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601B0" w:rsidRPr="004F15AD" w14:paraId="41DDC198" w14:textId="77777777" w:rsidTr="00923B49">
        <w:trPr>
          <w:trHeight w:hRule="exact" w:val="418"/>
          <w:jc w:val="center"/>
        </w:trPr>
        <w:tc>
          <w:tcPr>
            <w:tcW w:w="8721" w:type="dxa"/>
            <w:gridSpan w:val="2"/>
          </w:tcPr>
          <w:p w14:paraId="79F1873A" w14:textId="77777777" w:rsidR="001601B0" w:rsidRPr="004F15AD" w:rsidRDefault="001601B0" w:rsidP="002B6C0D">
            <w:pPr>
              <w:pStyle w:val="a3"/>
              <w:jc w:val="center"/>
              <w:rPr>
                <w:rFonts w:ascii="Tahoma" w:hAnsi="Tahoma" w:cs="Tahoma"/>
                <w:color w:val="000080"/>
                <w:rtl/>
              </w:rPr>
            </w:pPr>
            <w:bookmarkStart w:id="0" w:name="FirstLawyer"/>
            <w:bookmarkStart w:id="1" w:name="LastJudge"/>
            <w:r w:rsidRPr="004F15AD">
              <w:rPr>
                <w:rFonts w:ascii="Tahoma" w:hAnsi="Tahoma" w:cs="Tahoma"/>
                <w:b/>
                <w:bCs/>
                <w:color w:val="000080"/>
                <w:rtl/>
              </w:rPr>
              <w:t>בית המשפט המחוזי בירושלים</w:t>
            </w:r>
          </w:p>
        </w:tc>
      </w:tr>
      <w:tr w:rsidR="001601B0" w:rsidRPr="004F15AD" w14:paraId="36154931" w14:textId="77777777" w:rsidTr="00923B49">
        <w:trPr>
          <w:trHeight w:val="337"/>
          <w:jc w:val="center"/>
        </w:trPr>
        <w:tc>
          <w:tcPr>
            <w:tcW w:w="5054" w:type="dxa"/>
          </w:tcPr>
          <w:p w14:paraId="7358B211" w14:textId="77777777" w:rsidR="001601B0" w:rsidRPr="004F15AD" w:rsidRDefault="001601B0" w:rsidP="002B6C0D">
            <w:pPr>
              <w:rPr>
                <w:rFonts w:cs="FrankRuehl"/>
                <w:sz w:val="28"/>
                <w:szCs w:val="28"/>
                <w:rtl/>
              </w:rPr>
            </w:pPr>
            <w:r w:rsidRPr="004F15AD">
              <w:rPr>
                <w:rFonts w:cs="FrankRuehl"/>
                <w:sz w:val="28"/>
                <w:szCs w:val="28"/>
                <w:rtl/>
              </w:rPr>
              <w:t>ת"פ</w:t>
            </w:r>
            <w:r w:rsidRPr="004F15AD">
              <w:rPr>
                <w:rFonts w:cs="FrankRuehl" w:hint="cs"/>
                <w:sz w:val="28"/>
                <w:szCs w:val="28"/>
                <w:rtl/>
              </w:rPr>
              <w:t xml:space="preserve"> </w:t>
            </w:r>
            <w:r w:rsidRPr="004F15AD">
              <w:rPr>
                <w:rFonts w:cs="FrankRuehl"/>
                <w:sz w:val="28"/>
                <w:szCs w:val="28"/>
                <w:rtl/>
              </w:rPr>
              <w:t>31822-04-21</w:t>
            </w:r>
            <w:r w:rsidRPr="004F15AD">
              <w:rPr>
                <w:rFonts w:cs="FrankRuehl" w:hint="cs"/>
                <w:sz w:val="28"/>
                <w:szCs w:val="28"/>
                <w:rtl/>
              </w:rPr>
              <w:t xml:space="preserve"> </w:t>
            </w:r>
            <w:r w:rsidRPr="004F15AD">
              <w:rPr>
                <w:rFonts w:cs="FrankRuehl"/>
                <w:sz w:val="28"/>
                <w:szCs w:val="28"/>
                <w:rtl/>
              </w:rPr>
              <w:t>מדינת ישראל נ' סונינו</w:t>
            </w:r>
          </w:p>
          <w:p w14:paraId="2CB42BD1" w14:textId="77777777" w:rsidR="001601B0" w:rsidRPr="004F15AD" w:rsidRDefault="001601B0" w:rsidP="002B6C0D">
            <w:pPr>
              <w:pStyle w:val="a3"/>
              <w:rPr>
                <w:rFonts w:cs="FrankRuehl"/>
                <w:sz w:val="28"/>
                <w:szCs w:val="28"/>
                <w:rtl/>
              </w:rPr>
            </w:pPr>
          </w:p>
        </w:tc>
        <w:tc>
          <w:tcPr>
            <w:tcW w:w="3667" w:type="dxa"/>
          </w:tcPr>
          <w:p w14:paraId="1701AB4C" w14:textId="77777777" w:rsidR="001601B0" w:rsidRPr="004F15AD" w:rsidRDefault="001601B0" w:rsidP="002B6C0D">
            <w:pPr>
              <w:pStyle w:val="a3"/>
              <w:jc w:val="right"/>
              <w:rPr>
                <w:rFonts w:cs="FrankRuehl"/>
                <w:sz w:val="28"/>
                <w:szCs w:val="28"/>
                <w:rtl/>
              </w:rPr>
            </w:pPr>
          </w:p>
        </w:tc>
      </w:tr>
    </w:tbl>
    <w:p w14:paraId="69A5BAAF" w14:textId="77777777" w:rsidR="001601B0" w:rsidRPr="004F15AD" w:rsidRDefault="001601B0" w:rsidP="001601B0">
      <w:pPr>
        <w:pStyle w:val="a3"/>
        <w:rPr>
          <w:rtl/>
        </w:rPr>
      </w:pPr>
      <w:r w:rsidRPr="004F15AD">
        <w:rPr>
          <w:rFonts w:hint="cs"/>
          <w:rtl/>
        </w:rPr>
        <w:t xml:space="preserve"> </w:t>
      </w:r>
    </w:p>
    <w:p w14:paraId="15F7BC45" w14:textId="77777777" w:rsidR="001601B0" w:rsidRPr="004F15AD" w:rsidRDefault="001601B0" w:rsidP="001601B0">
      <w:pPr>
        <w:rPr>
          <w:rtl/>
        </w:rPr>
      </w:pPr>
    </w:p>
    <w:p w14:paraId="5BFE5DBC" w14:textId="77777777" w:rsidR="001601B0" w:rsidRPr="004F15AD" w:rsidRDefault="001601B0" w:rsidP="001601B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490"/>
        <w:gridCol w:w="3407"/>
      </w:tblGrid>
      <w:tr w:rsidR="001601B0" w:rsidRPr="004F15AD" w14:paraId="13333EC9" w14:textId="77777777" w:rsidTr="001601B0">
        <w:trPr>
          <w:trHeight w:val="295"/>
          <w:jc w:val="center"/>
        </w:trPr>
        <w:tc>
          <w:tcPr>
            <w:tcW w:w="923" w:type="dxa"/>
            <w:tcBorders>
              <w:top w:val="nil"/>
              <w:left w:val="nil"/>
              <w:bottom w:val="nil"/>
              <w:right w:val="nil"/>
            </w:tcBorders>
            <w:shd w:val="clear" w:color="auto" w:fill="auto"/>
          </w:tcPr>
          <w:p w14:paraId="485ED7C1" w14:textId="77777777" w:rsidR="001601B0" w:rsidRPr="004F15AD" w:rsidRDefault="001601B0" w:rsidP="001601B0">
            <w:pPr>
              <w:jc w:val="both"/>
              <w:rPr>
                <w:rFonts w:ascii="FrankRuehl" w:hAnsi="FrankRuehl" w:cs="FrankRuehl"/>
                <w:sz w:val="30"/>
                <w:szCs w:val="30"/>
              </w:rPr>
            </w:pPr>
            <w:r w:rsidRPr="004F15AD">
              <w:rPr>
                <w:rFonts w:ascii="FrankRuehl" w:hAnsi="FrankRuehl" w:cs="FrankRuehl"/>
                <w:sz w:val="30"/>
                <w:szCs w:val="30"/>
                <w:rtl/>
              </w:rPr>
              <w:t xml:space="preserve">בפני </w:t>
            </w:r>
          </w:p>
        </w:tc>
        <w:tc>
          <w:tcPr>
            <w:tcW w:w="7897" w:type="dxa"/>
            <w:gridSpan w:val="2"/>
            <w:tcBorders>
              <w:top w:val="nil"/>
              <w:left w:val="nil"/>
              <w:bottom w:val="nil"/>
              <w:right w:val="nil"/>
            </w:tcBorders>
            <w:shd w:val="clear" w:color="auto" w:fill="auto"/>
          </w:tcPr>
          <w:p w14:paraId="7987D483" w14:textId="77777777" w:rsidR="001601B0" w:rsidRPr="004F15AD" w:rsidRDefault="001601B0" w:rsidP="002B6C0D">
            <w:pPr>
              <w:rPr>
                <w:rFonts w:ascii="FrankRuehl" w:hAnsi="FrankRuehl" w:cs="FrankRuehl"/>
                <w:b/>
                <w:bCs/>
                <w:sz w:val="30"/>
                <w:szCs w:val="30"/>
                <w:rtl/>
              </w:rPr>
            </w:pPr>
            <w:r w:rsidRPr="004F15AD">
              <w:rPr>
                <w:rFonts w:ascii="FrankRuehl" w:hAnsi="FrankRuehl" w:cs="FrankRuehl"/>
                <w:b/>
                <w:bCs/>
                <w:sz w:val="30"/>
                <w:szCs w:val="30"/>
                <w:rtl/>
              </w:rPr>
              <w:t>כב</w:t>
            </w:r>
            <w:r w:rsidRPr="004F15AD">
              <w:rPr>
                <w:rFonts w:ascii="FrankRuehl" w:hAnsi="FrankRuehl" w:cs="FrankRuehl" w:hint="cs"/>
                <w:b/>
                <w:bCs/>
                <w:sz w:val="30"/>
                <w:szCs w:val="30"/>
                <w:rtl/>
              </w:rPr>
              <w:t>'</w:t>
            </w:r>
            <w:r w:rsidRPr="004F15AD">
              <w:rPr>
                <w:rFonts w:ascii="FrankRuehl" w:hAnsi="FrankRuehl" w:cs="FrankRuehl"/>
                <w:b/>
                <w:bCs/>
                <w:sz w:val="30"/>
                <w:szCs w:val="30"/>
                <w:rtl/>
              </w:rPr>
              <w:t xml:space="preserve"> השופט  אילן סלע</w:t>
            </w:r>
          </w:p>
          <w:p w14:paraId="6AF097C7" w14:textId="77777777" w:rsidR="001601B0" w:rsidRPr="004F15AD" w:rsidRDefault="001601B0" w:rsidP="002B6C0D">
            <w:pPr>
              <w:rPr>
                <w:rFonts w:ascii="FrankRuehl" w:hAnsi="FrankRuehl" w:cs="FrankRuehl"/>
                <w:sz w:val="30"/>
                <w:szCs w:val="30"/>
                <w:rtl/>
              </w:rPr>
            </w:pPr>
          </w:p>
          <w:p w14:paraId="2AFBA69A" w14:textId="77777777" w:rsidR="001601B0" w:rsidRPr="004F15AD" w:rsidRDefault="001601B0" w:rsidP="001601B0">
            <w:pPr>
              <w:jc w:val="both"/>
              <w:rPr>
                <w:rFonts w:ascii="FrankRuehl" w:hAnsi="FrankRuehl" w:cs="FrankRuehl"/>
                <w:sz w:val="30"/>
                <w:szCs w:val="30"/>
              </w:rPr>
            </w:pPr>
          </w:p>
        </w:tc>
      </w:tr>
      <w:tr w:rsidR="001601B0" w:rsidRPr="004F15AD" w14:paraId="28F7A38F" w14:textId="77777777" w:rsidTr="001601B0">
        <w:trPr>
          <w:trHeight w:val="355"/>
          <w:jc w:val="center"/>
        </w:trPr>
        <w:tc>
          <w:tcPr>
            <w:tcW w:w="923" w:type="dxa"/>
            <w:tcBorders>
              <w:top w:val="nil"/>
              <w:left w:val="nil"/>
              <w:bottom w:val="nil"/>
              <w:right w:val="nil"/>
            </w:tcBorders>
            <w:shd w:val="clear" w:color="auto" w:fill="auto"/>
          </w:tcPr>
          <w:p w14:paraId="2FFC5A85" w14:textId="77777777" w:rsidR="001601B0" w:rsidRPr="004F15AD" w:rsidRDefault="001601B0" w:rsidP="001601B0">
            <w:pPr>
              <w:jc w:val="both"/>
              <w:rPr>
                <w:rFonts w:ascii="FrankRuehl" w:hAnsi="FrankRuehl" w:cs="FrankRuehl"/>
                <w:b/>
                <w:bCs/>
                <w:sz w:val="30"/>
                <w:szCs w:val="30"/>
              </w:rPr>
            </w:pPr>
            <w:bookmarkStart w:id="2" w:name="FirstAppellant"/>
            <w:r w:rsidRPr="004F15AD">
              <w:rPr>
                <w:rFonts w:ascii="FrankRuehl" w:hAnsi="FrankRuehl" w:cs="FrankRuehl"/>
                <w:b/>
                <w:bCs/>
                <w:sz w:val="30"/>
                <w:szCs w:val="30"/>
                <w:rtl/>
              </w:rPr>
              <w:t>בעניין:</w:t>
            </w:r>
          </w:p>
        </w:tc>
        <w:tc>
          <w:tcPr>
            <w:tcW w:w="4490" w:type="dxa"/>
            <w:tcBorders>
              <w:top w:val="nil"/>
              <w:left w:val="nil"/>
              <w:bottom w:val="nil"/>
              <w:right w:val="nil"/>
            </w:tcBorders>
            <w:shd w:val="clear" w:color="auto" w:fill="auto"/>
          </w:tcPr>
          <w:p w14:paraId="7F296E50" w14:textId="77777777" w:rsidR="001601B0" w:rsidRPr="004F15AD" w:rsidRDefault="001601B0" w:rsidP="002B6C0D">
            <w:pPr>
              <w:rPr>
                <w:rFonts w:ascii="FrankRuehl" w:hAnsi="FrankRuehl" w:cs="FrankRuehl"/>
                <w:b/>
                <w:bCs/>
                <w:sz w:val="30"/>
                <w:szCs w:val="30"/>
              </w:rPr>
            </w:pPr>
            <w:r w:rsidRPr="004F15AD">
              <w:rPr>
                <w:rFonts w:ascii="FrankRuehl" w:hAnsi="FrankRuehl" w:cs="FrankRuehl"/>
                <w:b/>
                <w:bCs/>
                <w:sz w:val="30"/>
                <w:szCs w:val="30"/>
                <w:rtl/>
              </w:rPr>
              <w:t>מדינת ישראל</w:t>
            </w:r>
          </w:p>
        </w:tc>
        <w:tc>
          <w:tcPr>
            <w:tcW w:w="3407" w:type="dxa"/>
            <w:tcBorders>
              <w:top w:val="nil"/>
              <w:left w:val="nil"/>
              <w:bottom w:val="nil"/>
              <w:right w:val="nil"/>
            </w:tcBorders>
            <w:shd w:val="clear" w:color="auto" w:fill="auto"/>
          </w:tcPr>
          <w:p w14:paraId="7379F6A2" w14:textId="77777777" w:rsidR="001601B0" w:rsidRPr="004F15AD" w:rsidRDefault="001601B0" w:rsidP="001601B0">
            <w:pPr>
              <w:jc w:val="both"/>
              <w:rPr>
                <w:rFonts w:ascii="FrankRuehl" w:hAnsi="FrankRuehl" w:cs="FrankRuehl"/>
                <w:b/>
                <w:bCs/>
                <w:sz w:val="30"/>
                <w:szCs w:val="30"/>
              </w:rPr>
            </w:pPr>
          </w:p>
        </w:tc>
      </w:tr>
      <w:bookmarkEnd w:id="2"/>
      <w:tr w:rsidR="001601B0" w:rsidRPr="004F15AD" w14:paraId="752AC66D" w14:textId="77777777" w:rsidTr="001601B0">
        <w:trPr>
          <w:trHeight w:val="355"/>
          <w:jc w:val="center"/>
        </w:trPr>
        <w:tc>
          <w:tcPr>
            <w:tcW w:w="923" w:type="dxa"/>
            <w:tcBorders>
              <w:top w:val="nil"/>
              <w:left w:val="nil"/>
              <w:bottom w:val="nil"/>
              <w:right w:val="nil"/>
            </w:tcBorders>
            <w:shd w:val="clear" w:color="auto" w:fill="auto"/>
          </w:tcPr>
          <w:p w14:paraId="3F4A5E6B" w14:textId="77777777" w:rsidR="001601B0" w:rsidRPr="004F15AD" w:rsidRDefault="001601B0" w:rsidP="001601B0">
            <w:pPr>
              <w:jc w:val="both"/>
              <w:rPr>
                <w:rFonts w:ascii="FrankRuehl" w:hAnsi="FrankRuehl" w:cs="FrankRuehl"/>
                <w:b/>
                <w:bCs/>
                <w:sz w:val="30"/>
                <w:szCs w:val="30"/>
                <w:rtl/>
              </w:rPr>
            </w:pPr>
          </w:p>
        </w:tc>
        <w:tc>
          <w:tcPr>
            <w:tcW w:w="4490" w:type="dxa"/>
            <w:tcBorders>
              <w:top w:val="nil"/>
              <w:left w:val="nil"/>
              <w:bottom w:val="nil"/>
              <w:right w:val="nil"/>
            </w:tcBorders>
            <w:shd w:val="clear" w:color="auto" w:fill="auto"/>
          </w:tcPr>
          <w:p w14:paraId="231514ED" w14:textId="77777777" w:rsidR="001601B0" w:rsidRPr="004F15AD" w:rsidRDefault="001601B0" w:rsidP="001601B0">
            <w:pPr>
              <w:jc w:val="both"/>
              <w:rPr>
                <w:rFonts w:ascii="FrankRuehl" w:hAnsi="FrankRuehl" w:cs="FrankRuehl"/>
                <w:b/>
                <w:bCs/>
                <w:sz w:val="30"/>
                <w:szCs w:val="30"/>
                <w:rtl/>
              </w:rPr>
            </w:pPr>
            <w:r w:rsidRPr="004F15AD">
              <w:rPr>
                <w:rFonts w:ascii="FrankRuehl" w:hAnsi="FrankRuehl" w:cs="FrankRuehl" w:hint="cs"/>
                <w:b/>
                <w:bCs/>
                <w:sz w:val="30"/>
                <w:szCs w:val="30"/>
                <w:rtl/>
              </w:rPr>
              <w:t>באמצעות פרקליטות מחוז ירושלים (פלילי),</w:t>
            </w:r>
          </w:p>
          <w:p w14:paraId="7AD08AB5" w14:textId="77777777" w:rsidR="001601B0" w:rsidRPr="004F15AD" w:rsidRDefault="001601B0" w:rsidP="001601B0">
            <w:pPr>
              <w:jc w:val="both"/>
              <w:rPr>
                <w:rFonts w:ascii="FrankRuehl" w:hAnsi="FrankRuehl" w:cs="FrankRuehl"/>
                <w:b/>
                <w:bCs/>
                <w:sz w:val="30"/>
                <w:szCs w:val="30"/>
                <w:rtl/>
              </w:rPr>
            </w:pPr>
            <w:r w:rsidRPr="004F15AD">
              <w:rPr>
                <w:rFonts w:ascii="FrankRuehl" w:hAnsi="FrankRuehl" w:cs="FrankRuehl" w:hint="cs"/>
                <w:b/>
                <w:bCs/>
                <w:sz w:val="30"/>
                <w:szCs w:val="30"/>
                <w:rtl/>
              </w:rPr>
              <w:t xml:space="preserve">ע"י עו"ד שחר מלול </w:t>
            </w:r>
          </w:p>
        </w:tc>
        <w:tc>
          <w:tcPr>
            <w:tcW w:w="3407" w:type="dxa"/>
            <w:tcBorders>
              <w:top w:val="nil"/>
              <w:left w:val="nil"/>
              <w:bottom w:val="nil"/>
              <w:right w:val="nil"/>
            </w:tcBorders>
            <w:shd w:val="clear" w:color="auto" w:fill="auto"/>
          </w:tcPr>
          <w:p w14:paraId="2D662DF4" w14:textId="77777777" w:rsidR="001601B0" w:rsidRPr="004F15AD" w:rsidRDefault="001601B0" w:rsidP="001601B0">
            <w:pPr>
              <w:jc w:val="right"/>
              <w:rPr>
                <w:rFonts w:ascii="FrankRuehl" w:hAnsi="FrankRuehl" w:cs="FrankRuehl"/>
                <w:b/>
                <w:bCs/>
                <w:sz w:val="30"/>
                <w:szCs w:val="30"/>
                <w:rtl/>
              </w:rPr>
            </w:pPr>
          </w:p>
          <w:p w14:paraId="43FDA835" w14:textId="77777777" w:rsidR="001601B0" w:rsidRPr="004F15AD" w:rsidRDefault="001601B0" w:rsidP="001601B0">
            <w:pPr>
              <w:jc w:val="right"/>
              <w:rPr>
                <w:rFonts w:ascii="FrankRuehl" w:hAnsi="FrankRuehl" w:cs="FrankRuehl"/>
                <w:b/>
                <w:bCs/>
                <w:sz w:val="30"/>
                <w:szCs w:val="30"/>
                <w:rtl/>
              </w:rPr>
            </w:pPr>
            <w:r w:rsidRPr="004F15AD">
              <w:rPr>
                <w:rFonts w:ascii="FrankRuehl" w:hAnsi="FrankRuehl" w:cs="FrankRuehl"/>
                <w:b/>
                <w:bCs/>
                <w:sz w:val="30"/>
                <w:szCs w:val="30"/>
                <w:rtl/>
              </w:rPr>
              <w:t>המאשימה</w:t>
            </w:r>
          </w:p>
        </w:tc>
      </w:tr>
      <w:tr w:rsidR="001601B0" w:rsidRPr="004F15AD" w14:paraId="1321273E" w14:textId="77777777" w:rsidTr="001601B0">
        <w:trPr>
          <w:trHeight w:val="355"/>
          <w:jc w:val="center"/>
        </w:trPr>
        <w:tc>
          <w:tcPr>
            <w:tcW w:w="923" w:type="dxa"/>
            <w:tcBorders>
              <w:top w:val="nil"/>
              <w:left w:val="nil"/>
              <w:bottom w:val="nil"/>
              <w:right w:val="nil"/>
            </w:tcBorders>
            <w:shd w:val="clear" w:color="auto" w:fill="auto"/>
          </w:tcPr>
          <w:p w14:paraId="050B4740" w14:textId="77777777" w:rsidR="001601B0" w:rsidRPr="004F15AD" w:rsidRDefault="001601B0" w:rsidP="001601B0">
            <w:pPr>
              <w:jc w:val="both"/>
              <w:rPr>
                <w:rFonts w:ascii="FrankRuehl" w:hAnsi="FrankRuehl" w:cs="FrankRuehl"/>
                <w:b/>
                <w:bCs/>
                <w:sz w:val="30"/>
                <w:szCs w:val="30"/>
                <w:rtl/>
              </w:rPr>
            </w:pPr>
          </w:p>
        </w:tc>
        <w:tc>
          <w:tcPr>
            <w:tcW w:w="7897" w:type="dxa"/>
            <w:gridSpan w:val="2"/>
            <w:tcBorders>
              <w:top w:val="nil"/>
              <w:left w:val="nil"/>
              <w:bottom w:val="nil"/>
              <w:right w:val="nil"/>
            </w:tcBorders>
            <w:shd w:val="clear" w:color="auto" w:fill="auto"/>
          </w:tcPr>
          <w:p w14:paraId="1CB91B46" w14:textId="77777777" w:rsidR="001601B0" w:rsidRPr="004F15AD" w:rsidRDefault="001601B0" w:rsidP="001601B0">
            <w:pPr>
              <w:jc w:val="center"/>
              <w:rPr>
                <w:rFonts w:ascii="FrankRuehl" w:hAnsi="FrankRuehl" w:cs="FrankRuehl"/>
                <w:b/>
                <w:bCs/>
                <w:sz w:val="30"/>
                <w:szCs w:val="30"/>
                <w:rtl/>
              </w:rPr>
            </w:pPr>
          </w:p>
          <w:p w14:paraId="045808AD" w14:textId="77777777" w:rsidR="001601B0" w:rsidRPr="004F15AD" w:rsidRDefault="001601B0" w:rsidP="001601B0">
            <w:pPr>
              <w:jc w:val="center"/>
              <w:rPr>
                <w:rFonts w:ascii="FrankRuehl" w:hAnsi="FrankRuehl" w:cs="FrankRuehl"/>
                <w:b/>
                <w:bCs/>
                <w:sz w:val="30"/>
                <w:szCs w:val="30"/>
                <w:rtl/>
              </w:rPr>
            </w:pPr>
            <w:r w:rsidRPr="004F15AD">
              <w:rPr>
                <w:rFonts w:ascii="FrankRuehl" w:hAnsi="FrankRuehl" w:cs="FrankRuehl"/>
                <w:b/>
                <w:bCs/>
                <w:sz w:val="30"/>
                <w:szCs w:val="30"/>
                <w:rtl/>
              </w:rPr>
              <w:t>נגד</w:t>
            </w:r>
          </w:p>
          <w:p w14:paraId="405189D3" w14:textId="77777777" w:rsidR="001601B0" w:rsidRPr="004F15AD" w:rsidRDefault="001601B0" w:rsidP="001601B0">
            <w:pPr>
              <w:jc w:val="both"/>
              <w:rPr>
                <w:rFonts w:ascii="FrankRuehl" w:hAnsi="FrankRuehl" w:cs="FrankRuehl"/>
                <w:b/>
                <w:bCs/>
                <w:sz w:val="30"/>
                <w:szCs w:val="30"/>
              </w:rPr>
            </w:pPr>
          </w:p>
        </w:tc>
      </w:tr>
      <w:tr w:rsidR="001601B0" w:rsidRPr="004F15AD" w14:paraId="2C5B57FA" w14:textId="77777777" w:rsidTr="001601B0">
        <w:trPr>
          <w:trHeight w:val="355"/>
          <w:jc w:val="center"/>
        </w:trPr>
        <w:tc>
          <w:tcPr>
            <w:tcW w:w="923" w:type="dxa"/>
            <w:tcBorders>
              <w:top w:val="nil"/>
              <w:left w:val="nil"/>
              <w:bottom w:val="nil"/>
              <w:right w:val="nil"/>
            </w:tcBorders>
            <w:shd w:val="clear" w:color="auto" w:fill="auto"/>
          </w:tcPr>
          <w:p w14:paraId="79EB22DA" w14:textId="77777777" w:rsidR="001601B0" w:rsidRPr="004F15AD" w:rsidRDefault="001601B0" w:rsidP="002B6C0D">
            <w:pPr>
              <w:rPr>
                <w:rFonts w:ascii="FrankRuehl" w:hAnsi="FrankRuehl" w:cs="FrankRuehl"/>
                <w:b/>
                <w:bCs/>
                <w:sz w:val="30"/>
                <w:szCs w:val="30"/>
                <w:rtl/>
              </w:rPr>
            </w:pPr>
          </w:p>
        </w:tc>
        <w:tc>
          <w:tcPr>
            <w:tcW w:w="4490" w:type="dxa"/>
            <w:tcBorders>
              <w:top w:val="nil"/>
              <w:left w:val="nil"/>
              <w:bottom w:val="nil"/>
              <w:right w:val="nil"/>
            </w:tcBorders>
            <w:shd w:val="clear" w:color="auto" w:fill="auto"/>
          </w:tcPr>
          <w:p w14:paraId="4CA50147" w14:textId="77777777" w:rsidR="001601B0" w:rsidRPr="004F15AD" w:rsidRDefault="001601B0" w:rsidP="002B6C0D">
            <w:pPr>
              <w:rPr>
                <w:rFonts w:ascii="FrankRuehl" w:hAnsi="FrankRuehl" w:cs="FrankRuehl"/>
                <w:b/>
                <w:bCs/>
                <w:sz w:val="30"/>
                <w:szCs w:val="30"/>
                <w:rtl/>
              </w:rPr>
            </w:pPr>
            <w:r w:rsidRPr="004F15AD">
              <w:rPr>
                <w:rFonts w:ascii="FrankRuehl" w:hAnsi="FrankRuehl" w:cs="FrankRuehl"/>
                <w:b/>
                <w:bCs/>
                <w:sz w:val="30"/>
                <w:szCs w:val="30"/>
                <w:rtl/>
              </w:rPr>
              <w:t>טום סונינו</w:t>
            </w:r>
            <w:r w:rsidRPr="004F15AD">
              <w:rPr>
                <w:rFonts w:ascii="FrankRuehl" w:hAnsi="FrankRuehl" w:cs="FrankRuehl"/>
                <w:b/>
                <w:bCs/>
                <w:sz w:val="30"/>
                <w:szCs w:val="30"/>
                <w:rtl/>
              </w:rPr>
              <w:br/>
            </w:r>
            <w:r w:rsidRPr="004F15AD">
              <w:rPr>
                <w:rFonts w:ascii="FrankRuehl" w:hAnsi="FrankRuehl" w:cs="FrankRuehl" w:hint="cs"/>
                <w:b/>
                <w:bCs/>
                <w:sz w:val="30"/>
                <w:szCs w:val="30"/>
                <w:rtl/>
              </w:rPr>
              <w:t>ע"י ב"כ עו"ד אפרים אבן צדק</w:t>
            </w:r>
          </w:p>
        </w:tc>
        <w:tc>
          <w:tcPr>
            <w:tcW w:w="3407" w:type="dxa"/>
            <w:tcBorders>
              <w:top w:val="nil"/>
              <w:left w:val="nil"/>
              <w:bottom w:val="nil"/>
              <w:right w:val="nil"/>
            </w:tcBorders>
            <w:shd w:val="clear" w:color="auto" w:fill="auto"/>
          </w:tcPr>
          <w:p w14:paraId="712ED2D6" w14:textId="77777777" w:rsidR="001601B0" w:rsidRPr="004F15AD" w:rsidRDefault="001601B0" w:rsidP="001601B0">
            <w:pPr>
              <w:jc w:val="right"/>
              <w:rPr>
                <w:rFonts w:ascii="FrankRuehl" w:hAnsi="FrankRuehl" w:cs="FrankRuehl"/>
                <w:b/>
                <w:bCs/>
                <w:sz w:val="30"/>
                <w:szCs w:val="30"/>
              </w:rPr>
            </w:pPr>
          </w:p>
        </w:tc>
      </w:tr>
      <w:tr w:rsidR="001601B0" w:rsidRPr="004F15AD" w14:paraId="6774C71D" w14:textId="77777777" w:rsidTr="001601B0">
        <w:trPr>
          <w:trHeight w:val="355"/>
          <w:jc w:val="center"/>
        </w:trPr>
        <w:tc>
          <w:tcPr>
            <w:tcW w:w="923" w:type="dxa"/>
            <w:tcBorders>
              <w:top w:val="nil"/>
              <w:left w:val="nil"/>
              <w:bottom w:val="nil"/>
              <w:right w:val="nil"/>
            </w:tcBorders>
            <w:shd w:val="clear" w:color="auto" w:fill="auto"/>
          </w:tcPr>
          <w:p w14:paraId="474ACB97" w14:textId="77777777" w:rsidR="001601B0" w:rsidRPr="004F15AD" w:rsidRDefault="001601B0" w:rsidP="001601B0">
            <w:pPr>
              <w:jc w:val="both"/>
              <w:rPr>
                <w:rFonts w:ascii="FrankRuehl" w:hAnsi="FrankRuehl" w:cs="FrankRuehl"/>
                <w:b/>
                <w:bCs/>
                <w:sz w:val="30"/>
                <w:szCs w:val="30"/>
                <w:rtl/>
              </w:rPr>
            </w:pPr>
          </w:p>
        </w:tc>
        <w:tc>
          <w:tcPr>
            <w:tcW w:w="4490" w:type="dxa"/>
            <w:tcBorders>
              <w:top w:val="nil"/>
              <w:left w:val="nil"/>
              <w:bottom w:val="nil"/>
              <w:right w:val="nil"/>
            </w:tcBorders>
            <w:shd w:val="clear" w:color="auto" w:fill="auto"/>
          </w:tcPr>
          <w:p w14:paraId="1B713B6C" w14:textId="77777777" w:rsidR="001601B0" w:rsidRPr="004F15AD" w:rsidRDefault="001601B0" w:rsidP="001601B0">
            <w:pPr>
              <w:jc w:val="both"/>
              <w:rPr>
                <w:rFonts w:ascii="FrankRuehl" w:hAnsi="FrankRuehl" w:cs="FrankRuehl"/>
                <w:b/>
                <w:bCs/>
                <w:sz w:val="30"/>
                <w:szCs w:val="30"/>
                <w:rtl/>
              </w:rPr>
            </w:pPr>
          </w:p>
        </w:tc>
        <w:tc>
          <w:tcPr>
            <w:tcW w:w="3407" w:type="dxa"/>
            <w:tcBorders>
              <w:top w:val="nil"/>
              <w:left w:val="nil"/>
              <w:bottom w:val="nil"/>
              <w:right w:val="nil"/>
            </w:tcBorders>
            <w:shd w:val="clear" w:color="auto" w:fill="auto"/>
          </w:tcPr>
          <w:p w14:paraId="6201505C" w14:textId="77777777" w:rsidR="001601B0" w:rsidRPr="004F15AD" w:rsidRDefault="001601B0" w:rsidP="001601B0">
            <w:pPr>
              <w:jc w:val="right"/>
              <w:rPr>
                <w:rFonts w:ascii="FrankRuehl" w:hAnsi="FrankRuehl" w:cs="FrankRuehl"/>
                <w:b/>
                <w:bCs/>
                <w:sz w:val="30"/>
                <w:szCs w:val="30"/>
              </w:rPr>
            </w:pPr>
            <w:r w:rsidRPr="004F15AD">
              <w:rPr>
                <w:rFonts w:ascii="FrankRuehl" w:hAnsi="FrankRuehl" w:cs="FrankRuehl"/>
                <w:b/>
                <w:bCs/>
                <w:sz w:val="30"/>
                <w:szCs w:val="30"/>
                <w:rtl/>
              </w:rPr>
              <w:t>הנאשם</w:t>
            </w:r>
          </w:p>
        </w:tc>
      </w:tr>
    </w:tbl>
    <w:p w14:paraId="0607A0BF" w14:textId="77777777" w:rsidR="006F601F" w:rsidRPr="006F601F" w:rsidRDefault="006F601F" w:rsidP="006F601F">
      <w:pPr>
        <w:spacing w:before="120" w:after="120" w:line="240" w:lineRule="exact"/>
        <w:ind w:left="283" w:hanging="283"/>
        <w:jc w:val="both"/>
        <w:rPr>
          <w:rFonts w:ascii="FrankRuehl" w:hAnsi="FrankRuehl" w:cs="FrankRuehl"/>
          <w:rtl/>
        </w:rPr>
      </w:pPr>
    </w:p>
    <w:p w14:paraId="6DAE6081" w14:textId="77777777" w:rsidR="001169C2" w:rsidRDefault="001169C2" w:rsidP="001169C2">
      <w:pPr>
        <w:rPr>
          <w:rFonts w:ascii="FrankRuehl" w:hAnsi="FrankRuehl" w:cs="FrankRuehl"/>
          <w:sz w:val="30"/>
          <w:szCs w:val="30"/>
          <w:rtl/>
        </w:rPr>
      </w:pPr>
      <w:bookmarkStart w:id="3" w:name="LawTable"/>
      <w:bookmarkEnd w:id="3"/>
    </w:p>
    <w:p w14:paraId="55B919A4" w14:textId="77777777" w:rsidR="001169C2" w:rsidRPr="001169C2" w:rsidRDefault="001169C2" w:rsidP="001169C2">
      <w:pPr>
        <w:spacing w:before="120" w:after="120" w:line="240" w:lineRule="exact"/>
        <w:ind w:left="283" w:hanging="283"/>
        <w:jc w:val="both"/>
        <w:rPr>
          <w:rFonts w:ascii="FrankRuehl" w:hAnsi="FrankRuehl" w:cs="FrankRuehl"/>
          <w:rtl/>
        </w:rPr>
      </w:pPr>
    </w:p>
    <w:p w14:paraId="39198E42" w14:textId="77777777" w:rsidR="001169C2" w:rsidRPr="001169C2" w:rsidRDefault="001169C2" w:rsidP="001169C2">
      <w:pPr>
        <w:spacing w:before="120" w:after="120" w:line="240" w:lineRule="exact"/>
        <w:ind w:left="283" w:hanging="283"/>
        <w:jc w:val="both"/>
        <w:rPr>
          <w:rFonts w:ascii="FrankRuehl" w:hAnsi="FrankRuehl" w:cs="FrankRuehl"/>
          <w:rtl/>
        </w:rPr>
      </w:pPr>
    </w:p>
    <w:p w14:paraId="2473401D" w14:textId="77777777" w:rsidR="001169C2" w:rsidRPr="001169C2" w:rsidRDefault="001169C2" w:rsidP="001169C2">
      <w:pPr>
        <w:spacing w:before="120" w:after="120" w:line="240" w:lineRule="exact"/>
        <w:ind w:left="283" w:hanging="283"/>
        <w:jc w:val="both"/>
        <w:rPr>
          <w:rFonts w:ascii="FrankRuehl" w:hAnsi="FrankRuehl" w:cs="FrankRuehl"/>
          <w:rtl/>
        </w:rPr>
      </w:pPr>
      <w:r w:rsidRPr="001169C2">
        <w:rPr>
          <w:rFonts w:ascii="FrankRuehl" w:hAnsi="FrankRuehl" w:cs="FrankRuehl"/>
          <w:rtl/>
        </w:rPr>
        <w:t xml:space="preserve">חקיקה שאוזכרה: </w:t>
      </w:r>
    </w:p>
    <w:p w14:paraId="746F4C9C" w14:textId="77777777" w:rsidR="001169C2" w:rsidRPr="001169C2" w:rsidRDefault="001169C2" w:rsidP="001169C2">
      <w:pPr>
        <w:spacing w:before="120" w:after="120" w:line="240" w:lineRule="exact"/>
        <w:ind w:left="283" w:hanging="283"/>
        <w:jc w:val="both"/>
        <w:rPr>
          <w:rFonts w:ascii="FrankRuehl" w:hAnsi="FrankRuehl" w:cs="FrankRuehl"/>
          <w:rtl/>
        </w:rPr>
      </w:pPr>
      <w:hyperlink r:id="rId7" w:history="1">
        <w:r w:rsidRPr="001169C2">
          <w:rPr>
            <w:rFonts w:ascii="FrankRuehl" w:hAnsi="FrankRuehl" w:cs="FrankRuehl"/>
            <w:color w:val="0000FF"/>
            <w:rtl/>
          </w:rPr>
          <w:t>חוק העונשין, תשל"ז-1977</w:t>
        </w:r>
      </w:hyperlink>
      <w:r w:rsidRPr="001169C2">
        <w:rPr>
          <w:rFonts w:ascii="FrankRuehl" w:hAnsi="FrankRuehl" w:cs="FrankRuehl"/>
          <w:rtl/>
        </w:rPr>
        <w:t xml:space="preserve">: סע'  </w:t>
      </w:r>
      <w:hyperlink r:id="rId8" w:history="1">
        <w:r w:rsidRPr="001169C2">
          <w:rPr>
            <w:rFonts w:ascii="FrankRuehl" w:hAnsi="FrankRuehl" w:cs="FrankRuehl"/>
            <w:color w:val="0000FF"/>
            <w:rtl/>
          </w:rPr>
          <w:t>144</w:t>
        </w:r>
      </w:hyperlink>
      <w:r w:rsidRPr="001169C2">
        <w:rPr>
          <w:rFonts w:ascii="FrankRuehl" w:hAnsi="FrankRuehl" w:cs="FrankRuehl"/>
          <w:rtl/>
        </w:rPr>
        <w:t xml:space="preserve">, </w:t>
      </w:r>
      <w:hyperlink r:id="rId9" w:history="1">
        <w:r w:rsidRPr="001169C2">
          <w:rPr>
            <w:rFonts w:ascii="FrankRuehl" w:hAnsi="FrankRuehl" w:cs="FrankRuehl"/>
            <w:color w:val="0000FF"/>
            <w:rtl/>
          </w:rPr>
          <w:t>144(א)</w:t>
        </w:r>
      </w:hyperlink>
      <w:r w:rsidRPr="001169C2">
        <w:rPr>
          <w:rFonts w:ascii="FrankRuehl" w:hAnsi="FrankRuehl" w:cs="FrankRuehl"/>
          <w:rtl/>
        </w:rPr>
        <w:t xml:space="preserve">, </w:t>
      </w:r>
      <w:hyperlink r:id="rId10" w:history="1">
        <w:r w:rsidRPr="001169C2">
          <w:rPr>
            <w:rFonts w:ascii="FrankRuehl" w:hAnsi="FrankRuehl" w:cs="FrankRuehl"/>
            <w:color w:val="0000FF"/>
            <w:rtl/>
          </w:rPr>
          <w:t>144(ב2)</w:t>
        </w:r>
      </w:hyperlink>
      <w:r w:rsidRPr="001169C2">
        <w:rPr>
          <w:rFonts w:ascii="FrankRuehl" w:hAnsi="FrankRuehl" w:cs="FrankRuehl"/>
          <w:rtl/>
        </w:rPr>
        <w:t xml:space="preserve">, </w:t>
      </w:r>
      <w:hyperlink r:id="rId11" w:history="1">
        <w:r w:rsidRPr="001169C2">
          <w:rPr>
            <w:rFonts w:ascii="FrankRuehl" w:hAnsi="FrankRuehl" w:cs="FrankRuehl"/>
            <w:color w:val="0000FF"/>
            <w:rtl/>
          </w:rPr>
          <w:t>499(א)(1)</w:t>
        </w:r>
      </w:hyperlink>
    </w:p>
    <w:p w14:paraId="6CDADFBA" w14:textId="77777777" w:rsidR="001169C2" w:rsidRPr="001169C2" w:rsidRDefault="001169C2" w:rsidP="001169C2">
      <w:pPr>
        <w:rPr>
          <w:rFonts w:ascii="FrankRuehl" w:hAnsi="FrankRuehl" w:cs="FrankRuehl"/>
          <w:sz w:val="30"/>
          <w:szCs w:val="30"/>
          <w:rtl/>
        </w:rPr>
      </w:pPr>
      <w:bookmarkStart w:id="4" w:name="LawTable_End"/>
      <w:bookmarkEnd w:id="4"/>
    </w:p>
    <w:p w14:paraId="23C5C182" w14:textId="77777777" w:rsidR="001601B0" w:rsidRPr="006F601F" w:rsidRDefault="001601B0" w:rsidP="006F601F">
      <w:pPr>
        <w:rPr>
          <w:rFonts w:ascii="FrankRuehl" w:hAnsi="FrankRuehl" w:cs="FrankRuehl"/>
          <w:sz w:val="30"/>
          <w:szCs w:val="30"/>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01B0" w:rsidRPr="00AF0916" w14:paraId="0952A97C" w14:textId="77777777" w:rsidTr="001601B0">
        <w:trPr>
          <w:trHeight w:val="355"/>
          <w:jc w:val="center"/>
        </w:trPr>
        <w:tc>
          <w:tcPr>
            <w:tcW w:w="8820" w:type="dxa"/>
            <w:tcBorders>
              <w:top w:val="nil"/>
              <w:left w:val="nil"/>
              <w:bottom w:val="nil"/>
              <w:right w:val="nil"/>
            </w:tcBorders>
            <w:shd w:val="clear" w:color="auto" w:fill="auto"/>
          </w:tcPr>
          <w:p w14:paraId="749D5118" w14:textId="77777777" w:rsidR="004F15AD" w:rsidRPr="004F15AD" w:rsidRDefault="004F15AD" w:rsidP="004F15AD">
            <w:pPr>
              <w:jc w:val="center"/>
              <w:rPr>
                <w:rFonts w:ascii="FrankRuehl" w:hAnsi="FrankRuehl" w:cs="FrankRuehl"/>
                <w:b/>
                <w:bCs/>
                <w:sz w:val="36"/>
                <w:szCs w:val="36"/>
                <w:u w:val="single"/>
                <w:rtl/>
              </w:rPr>
            </w:pPr>
            <w:bookmarkStart w:id="5" w:name="PsakDin" w:colFirst="0" w:colLast="0"/>
            <w:bookmarkEnd w:id="0"/>
            <w:bookmarkEnd w:id="1"/>
            <w:r w:rsidRPr="004F15AD">
              <w:rPr>
                <w:rFonts w:ascii="FrankRuehl" w:hAnsi="FrankRuehl" w:cs="FrankRuehl"/>
                <w:b/>
                <w:bCs/>
                <w:sz w:val="36"/>
                <w:szCs w:val="36"/>
                <w:u w:val="single"/>
                <w:rtl/>
              </w:rPr>
              <w:t>גזר דין</w:t>
            </w:r>
          </w:p>
          <w:p w14:paraId="523D00C0" w14:textId="77777777" w:rsidR="001601B0" w:rsidRPr="004F15AD" w:rsidRDefault="001601B0" w:rsidP="004F15AD">
            <w:pPr>
              <w:jc w:val="center"/>
              <w:rPr>
                <w:rFonts w:ascii="FrankRuehl" w:hAnsi="FrankRuehl" w:cs="FrankRuehl"/>
                <w:b/>
                <w:bCs/>
                <w:sz w:val="36"/>
                <w:szCs w:val="36"/>
                <w:u w:val="single"/>
                <w:rtl/>
              </w:rPr>
            </w:pPr>
          </w:p>
        </w:tc>
      </w:tr>
      <w:bookmarkEnd w:id="5"/>
    </w:tbl>
    <w:p w14:paraId="433CA475" w14:textId="77777777" w:rsidR="001601B0" w:rsidRPr="002B7D23" w:rsidRDefault="001601B0" w:rsidP="001601B0">
      <w:pPr>
        <w:rPr>
          <w:rFonts w:ascii="David" w:hAnsi="David"/>
          <w:sz w:val="26"/>
          <w:szCs w:val="26"/>
          <w:rtl/>
        </w:rPr>
      </w:pPr>
    </w:p>
    <w:p w14:paraId="087DEF01" w14:textId="77777777" w:rsidR="001601B0" w:rsidRPr="002B7D23" w:rsidRDefault="001601B0" w:rsidP="001601B0">
      <w:pPr>
        <w:rPr>
          <w:rFonts w:ascii="David" w:hAnsi="David"/>
          <w:sz w:val="26"/>
          <w:szCs w:val="26"/>
          <w:rtl/>
        </w:rPr>
      </w:pPr>
    </w:p>
    <w:p w14:paraId="6246AC50" w14:textId="77777777" w:rsidR="001601B0" w:rsidRPr="000C7EDA" w:rsidRDefault="001601B0" w:rsidP="001601B0">
      <w:pPr>
        <w:spacing w:line="360" w:lineRule="auto"/>
        <w:rPr>
          <w:rFonts w:ascii="FrankRuehl" w:hAnsi="FrankRuehl" w:cs="FrankRuehl"/>
          <w:b/>
          <w:bCs/>
          <w:sz w:val="28"/>
          <w:szCs w:val="28"/>
          <w:u w:val="single"/>
          <w:rtl/>
        </w:rPr>
      </w:pPr>
      <w:r w:rsidRPr="000C7EDA">
        <w:rPr>
          <w:rFonts w:ascii="FrankRuehl" w:hAnsi="FrankRuehl" w:cs="FrankRuehl"/>
          <w:b/>
          <w:bCs/>
          <w:sz w:val="28"/>
          <w:szCs w:val="28"/>
          <w:u w:val="single"/>
          <w:rtl/>
        </w:rPr>
        <w:t>הכרעת הדין</w:t>
      </w:r>
    </w:p>
    <w:p w14:paraId="4C4D66AF"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1.</w:t>
      </w:r>
      <w:r w:rsidRPr="003D58E8">
        <w:rPr>
          <w:rFonts w:ascii="FrankRuehl" w:hAnsi="FrankRuehl" w:cs="FrankRuehl" w:hint="cs"/>
          <w:sz w:val="28"/>
          <w:szCs w:val="28"/>
          <w:rtl/>
        </w:rPr>
        <w:tab/>
      </w:r>
      <w:bookmarkStart w:id="6" w:name="ABSTRACT_START"/>
      <w:bookmarkEnd w:id="6"/>
      <w:r w:rsidRPr="003D58E8">
        <w:rPr>
          <w:rFonts w:ascii="FrankRuehl" w:hAnsi="FrankRuehl" w:cs="FrankRuehl" w:hint="cs"/>
          <w:sz w:val="28"/>
          <w:szCs w:val="28"/>
          <w:rtl/>
        </w:rPr>
        <w:t xml:space="preserve">הנאשם הורשע על פי הודאתו בעבירות של סחר בתחמושת לפי </w:t>
      </w:r>
      <w:hyperlink r:id="rId12" w:history="1">
        <w:r w:rsidR="00923B49" w:rsidRPr="00923B49">
          <w:rPr>
            <w:rStyle w:val="Hyperlink"/>
            <w:rFonts w:ascii="FrankRuehl" w:hAnsi="FrankRuehl" w:cs="FrankRuehl" w:hint="eastAsia"/>
            <w:sz w:val="28"/>
            <w:szCs w:val="28"/>
            <w:rtl/>
          </w:rPr>
          <w:t>סעיף</w:t>
        </w:r>
        <w:r w:rsidR="00923B49" w:rsidRPr="00923B49">
          <w:rPr>
            <w:rStyle w:val="Hyperlink"/>
            <w:rFonts w:ascii="FrankRuehl" w:hAnsi="FrankRuehl" w:cs="FrankRuehl"/>
            <w:sz w:val="28"/>
            <w:szCs w:val="28"/>
            <w:rtl/>
          </w:rPr>
          <w:t xml:space="preserve"> 144(ב2)</w:t>
        </w:r>
      </w:hyperlink>
      <w:r w:rsidRPr="003D58E8">
        <w:rPr>
          <w:rFonts w:ascii="FrankRuehl" w:hAnsi="FrankRuehl" w:cs="FrankRuehl" w:hint="cs"/>
          <w:sz w:val="28"/>
          <w:szCs w:val="28"/>
          <w:rtl/>
        </w:rPr>
        <w:t xml:space="preserve"> ל</w:t>
      </w:r>
      <w:hyperlink r:id="rId13" w:history="1">
        <w:r w:rsidR="004F15AD" w:rsidRPr="004F15AD">
          <w:rPr>
            <w:rFonts w:ascii="FrankRuehl" w:hAnsi="FrankRuehl" w:cs="FrankRuehl"/>
            <w:color w:val="0000FF"/>
            <w:sz w:val="28"/>
            <w:szCs w:val="28"/>
            <w:u w:val="single"/>
            <w:rtl/>
          </w:rPr>
          <w:t>חוק העונשין</w:t>
        </w:r>
      </w:hyperlink>
      <w:r w:rsidRPr="003D58E8">
        <w:rPr>
          <w:rFonts w:ascii="FrankRuehl" w:hAnsi="FrankRuehl" w:cs="FrankRuehl" w:hint="cs"/>
          <w:sz w:val="28"/>
          <w:szCs w:val="28"/>
          <w:rtl/>
        </w:rPr>
        <w:t xml:space="preserve">, התשל"ז-1977 (להלן: "החוק"); החזקת תחמושת לפי </w:t>
      </w:r>
      <w:hyperlink r:id="rId14" w:history="1">
        <w:r w:rsidR="00923B49" w:rsidRPr="00923B49">
          <w:rPr>
            <w:rStyle w:val="Hyperlink"/>
            <w:rFonts w:ascii="FrankRuehl" w:hAnsi="FrankRuehl" w:cs="FrankRuehl" w:hint="eastAsia"/>
            <w:sz w:val="28"/>
            <w:szCs w:val="28"/>
            <w:rtl/>
          </w:rPr>
          <w:t>סעיף</w:t>
        </w:r>
        <w:r w:rsidR="00923B49" w:rsidRPr="00923B49">
          <w:rPr>
            <w:rStyle w:val="Hyperlink"/>
            <w:rFonts w:ascii="FrankRuehl" w:hAnsi="FrankRuehl" w:cs="FrankRuehl"/>
            <w:sz w:val="28"/>
            <w:szCs w:val="28"/>
            <w:rtl/>
          </w:rPr>
          <w:t xml:space="preserve"> 144(א)</w:t>
        </w:r>
      </w:hyperlink>
      <w:r w:rsidRPr="003D58E8">
        <w:rPr>
          <w:rFonts w:ascii="FrankRuehl" w:hAnsi="FrankRuehl" w:cs="FrankRuehl" w:hint="cs"/>
          <w:sz w:val="28"/>
          <w:szCs w:val="28"/>
          <w:rtl/>
        </w:rPr>
        <w:t xml:space="preserve"> סיפא לחוק; ובעבירה של קשירת קשר לסחר בתחמושת לפי </w:t>
      </w:r>
      <w:hyperlink r:id="rId15" w:history="1">
        <w:r w:rsidR="00923B49" w:rsidRPr="00923B49">
          <w:rPr>
            <w:rStyle w:val="Hyperlink"/>
            <w:rFonts w:ascii="FrankRuehl" w:hAnsi="FrankRuehl" w:cs="FrankRuehl" w:hint="eastAsia"/>
            <w:sz w:val="28"/>
            <w:szCs w:val="28"/>
            <w:rtl/>
          </w:rPr>
          <w:t>סעיף</w:t>
        </w:r>
        <w:r w:rsidR="00923B49" w:rsidRPr="00923B49">
          <w:rPr>
            <w:rStyle w:val="Hyperlink"/>
            <w:rFonts w:ascii="FrankRuehl" w:hAnsi="FrankRuehl" w:cs="FrankRuehl"/>
            <w:sz w:val="28"/>
            <w:szCs w:val="28"/>
            <w:rtl/>
          </w:rPr>
          <w:t xml:space="preserve"> 499(א)(1)</w:t>
        </w:r>
      </w:hyperlink>
      <w:r w:rsidRPr="003D58E8">
        <w:rPr>
          <w:rFonts w:ascii="FrankRuehl" w:hAnsi="FrankRuehl" w:cs="FrankRuehl" w:hint="cs"/>
          <w:sz w:val="28"/>
          <w:szCs w:val="28"/>
          <w:rtl/>
        </w:rPr>
        <w:t xml:space="preserve"> לחוק.</w:t>
      </w:r>
    </w:p>
    <w:p w14:paraId="50691772" w14:textId="77777777" w:rsidR="001601B0" w:rsidRPr="003D58E8" w:rsidRDefault="001601B0" w:rsidP="001601B0">
      <w:pPr>
        <w:spacing w:line="360" w:lineRule="auto"/>
        <w:jc w:val="both"/>
        <w:rPr>
          <w:rFonts w:ascii="FrankRuehl" w:hAnsi="FrankRuehl" w:cs="FrankRuehl"/>
          <w:sz w:val="28"/>
          <w:szCs w:val="28"/>
          <w:rtl/>
        </w:rPr>
      </w:pPr>
      <w:bookmarkStart w:id="7" w:name="ABSTRACT_END"/>
      <w:bookmarkEnd w:id="7"/>
    </w:p>
    <w:p w14:paraId="6AB56261"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2.</w:t>
      </w:r>
      <w:r w:rsidRPr="003D58E8">
        <w:rPr>
          <w:rFonts w:ascii="FrankRuehl" w:hAnsi="FrankRuehl" w:cs="FrankRuehl" w:hint="cs"/>
          <w:sz w:val="28"/>
          <w:szCs w:val="28"/>
          <w:rtl/>
        </w:rPr>
        <w:tab/>
        <w:t xml:space="preserve">על פי עובדות כתב האישום, במהלך חודש ינואר 2021, נפגש הנאשם עם יובל, חבר המשרת בצה"ל (להלן: "יובל"), שהציע לו כי יסייע בידו למצוא רוכשים פוטנציאליים ממוצא </w:t>
      </w:r>
      <w:r w:rsidRPr="003D58E8">
        <w:rPr>
          <w:rFonts w:ascii="FrankRuehl" w:hAnsi="FrankRuehl" w:cs="FrankRuehl" w:hint="cs"/>
          <w:sz w:val="28"/>
          <w:szCs w:val="28"/>
          <w:rtl/>
        </w:rPr>
        <w:lastRenderedPageBreak/>
        <w:t>ערבי עבור תחמושת צה"לית, תמורת עמלה עבור חלקו בסחר בתחמושת. בהמשך לאותה פגישה, תיווך הנאשם את מכירתם של 500 כדורי תחמושת צה"לית בשלושה מועדים שונים לבאסל מוחמד (להלן: "באסל"), עמו הייתה לו היכרות מוקדמת. בסך הכ</w:t>
      </w:r>
      <w:r>
        <w:rPr>
          <w:rFonts w:ascii="FrankRuehl" w:hAnsi="FrankRuehl" w:cs="FrankRuehl" w:hint="cs"/>
          <w:sz w:val="28"/>
          <w:szCs w:val="28"/>
          <w:rtl/>
        </w:rPr>
        <w:t>ו</w:t>
      </w:r>
      <w:r w:rsidRPr="003D58E8">
        <w:rPr>
          <w:rFonts w:ascii="FrankRuehl" w:hAnsi="FrankRuehl" w:cs="FrankRuehl" w:hint="cs"/>
          <w:sz w:val="28"/>
          <w:szCs w:val="28"/>
          <w:rtl/>
        </w:rPr>
        <w:t xml:space="preserve">ל, מכרו השניים 1,500 כדורי תחמושת, וזאת תמורת סכום כולל של 6,000 ₪, אשר חילקו בניהם. בהמשך, החזיק הנאשם ברשותו תיק ובו כמות גדולה של תחמושת צה"לית ומספר מחסניות שהביא לו יובל. בשלב </w:t>
      </w:r>
      <w:r>
        <w:rPr>
          <w:rFonts w:ascii="FrankRuehl" w:hAnsi="FrankRuehl" w:cs="FrankRuehl" w:hint="cs"/>
          <w:sz w:val="28"/>
          <w:szCs w:val="28"/>
          <w:rtl/>
        </w:rPr>
        <w:t>מסוים, כאשר גילתה אמו של הנאשם את</w:t>
      </w:r>
      <w:r w:rsidRPr="003D58E8">
        <w:rPr>
          <w:rFonts w:ascii="FrankRuehl" w:hAnsi="FrankRuehl" w:cs="FrankRuehl" w:hint="cs"/>
          <w:sz w:val="28"/>
          <w:szCs w:val="28"/>
          <w:rtl/>
        </w:rPr>
        <w:t xml:space="preserve"> התיק, השיב אותו </w:t>
      </w:r>
      <w:r>
        <w:rPr>
          <w:rFonts w:ascii="FrankRuehl" w:hAnsi="FrankRuehl" w:cs="FrankRuehl" w:hint="cs"/>
          <w:sz w:val="28"/>
          <w:szCs w:val="28"/>
          <w:rtl/>
        </w:rPr>
        <w:t xml:space="preserve">הנאשם </w:t>
      </w:r>
      <w:r w:rsidRPr="003D58E8">
        <w:rPr>
          <w:rFonts w:ascii="FrankRuehl" w:hAnsi="FrankRuehl" w:cs="FrankRuehl" w:hint="cs"/>
          <w:sz w:val="28"/>
          <w:szCs w:val="28"/>
          <w:rtl/>
        </w:rPr>
        <w:t>ליובל. בהמשך, פנה הנאשם למכרים נוספים ממוצא ערבי על מנת לעניין אותם ברכישת תחמושת. במסגרת זו פנה הנאשם לאדם נוסף, אך בסופו של דבר, לא הבשיל קשר זה לידי עסקה.</w:t>
      </w:r>
    </w:p>
    <w:p w14:paraId="4B8C07A4" w14:textId="77777777" w:rsidR="001601B0" w:rsidRPr="003D58E8" w:rsidRDefault="001601B0" w:rsidP="001601B0">
      <w:pPr>
        <w:spacing w:line="360" w:lineRule="auto"/>
        <w:jc w:val="both"/>
        <w:rPr>
          <w:rFonts w:ascii="FrankRuehl" w:hAnsi="FrankRuehl" w:cs="FrankRuehl"/>
          <w:sz w:val="28"/>
          <w:szCs w:val="28"/>
          <w:rtl/>
        </w:rPr>
      </w:pPr>
    </w:p>
    <w:p w14:paraId="560E07B4"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3.</w:t>
      </w:r>
      <w:r w:rsidRPr="003D58E8">
        <w:rPr>
          <w:rFonts w:ascii="FrankRuehl" w:hAnsi="FrankRuehl" w:cs="FrankRuehl" w:hint="cs"/>
          <w:sz w:val="28"/>
          <w:szCs w:val="28"/>
          <w:rtl/>
        </w:rPr>
        <w:tab/>
        <w:t>ב"כ המאשימה הגיש רישום פלילי של הנאשם, וכן את גזרי הדין שניתנו בעניינם של השותפים לעבירה, יובל ובאסל.</w:t>
      </w:r>
    </w:p>
    <w:p w14:paraId="734A5828" w14:textId="77777777" w:rsidR="001601B0" w:rsidRPr="003D58E8" w:rsidRDefault="001601B0" w:rsidP="001601B0">
      <w:pPr>
        <w:spacing w:line="360" w:lineRule="auto"/>
        <w:jc w:val="both"/>
        <w:rPr>
          <w:rFonts w:ascii="FrankRuehl" w:hAnsi="FrankRuehl" w:cs="FrankRuehl"/>
          <w:sz w:val="28"/>
          <w:szCs w:val="28"/>
          <w:rtl/>
        </w:rPr>
      </w:pPr>
    </w:p>
    <w:p w14:paraId="0624F996" w14:textId="77777777" w:rsidR="001601B0" w:rsidRPr="003D58E8" w:rsidRDefault="001601B0" w:rsidP="001601B0">
      <w:pPr>
        <w:spacing w:line="360" w:lineRule="auto"/>
        <w:jc w:val="both"/>
        <w:rPr>
          <w:rFonts w:ascii="FrankRuehl" w:hAnsi="FrankRuehl" w:cs="FrankRuehl"/>
          <w:b/>
          <w:bCs/>
          <w:sz w:val="28"/>
          <w:szCs w:val="28"/>
          <w:u w:val="single"/>
          <w:rtl/>
        </w:rPr>
      </w:pPr>
      <w:r w:rsidRPr="003D58E8">
        <w:rPr>
          <w:rFonts w:ascii="FrankRuehl" w:hAnsi="FrankRuehl" w:cs="FrankRuehl" w:hint="cs"/>
          <w:b/>
          <w:bCs/>
          <w:sz w:val="28"/>
          <w:szCs w:val="28"/>
          <w:u w:val="single"/>
          <w:rtl/>
        </w:rPr>
        <w:t>תסקיר שירות המבחן</w:t>
      </w:r>
    </w:p>
    <w:p w14:paraId="53879721"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4.</w:t>
      </w:r>
      <w:r w:rsidRPr="003D58E8">
        <w:rPr>
          <w:rFonts w:ascii="FrankRuehl" w:hAnsi="FrankRuehl" w:cs="FrankRuehl" w:hint="cs"/>
          <w:sz w:val="28"/>
          <w:szCs w:val="28"/>
          <w:rtl/>
        </w:rPr>
        <w:tab/>
        <w:t>נתבקש והוגש תסקיר שירות המבחן בעניינו של הנאשם, ממנו נלמד אודות הנאשם והתייחסותו למעשה בו הורשע.</w:t>
      </w:r>
    </w:p>
    <w:p w14:paraId="13BDAA34" w14:textId="77777777" w:rsidR="001601B0" w:rsidRPr="003D58E8" w:rsidRDefault="001601B0" w:rsidP="001601B0">
      <w:pPr>
        <w:spacing w:line="360" w:lineRule="auto"/>
        <w:jc w:val="both"/>
        <w:rPr>
          <w:rFonts w:ascii="FrankRuehl" w:hAnsi="FrankRuehl" w:cs="FrankRuehl"/>
          <w:sz w:val="28"/>
          <w:szCs w:val="28"/>
          <w:rtl/>
        </w:rPr>
      </w:pPr>
    </w:p>
    <w:p w14:paraId="6E373EDE" w14:textId="77777777" w:rsidR="001601B0" w:rsidRDefault="001601B0" w:rsidP="001601B0">
      <w:pPr>
        <w:spacing w:line="360" w:lineRule="auto"/>
        <w:jc w:val="both"/>
        <w:rPr>
          <w:rFonts w:ascii="FrankRuehl" w:hAnsi="FrankRuehl" w:cs="FrankRuehl"/>
          <w:color w:val="FF0000"/>
          <w:sz w:val="28"/>
          <w:szCs w:val="28"/>
          <w:rtl/>
        </w:rPr>
      </w:pPr>
      <w:r w:rsidRPr="003D58E8">
        <w:rPr>
          <w:rFonts w:ascii="FrankRuehl" w:hAnsi="FrankRuehl" w:cs="FrankRuehl" w:hint="cs"/>
          <w:sz w:val="28"/>
          <w:szCs w:val="28"/>
          <w:rtl/>
        </w:rPr>
        <w:t>5.</w:t>
      </w:r>
      <w:r w:rsidRPr="003D58E8">
        <w:rPr>
          <w:rFonts w:ascii="FrankRuehl" w:hAnsi="FrankRuehl" w:cs="FrankRuehl" w:hint="cs"/>
          <w:sz w:val="28"/>
          <w:szCs w:val="28"/>
          <w:rtl/>
        </w:rPr>
        <w:tab/>
        <w:t xml:space="preserve">הנאשם, צעיר בן 19 שנים, רווק, בן יחיד להוריו מנישואיהם. נסיבות חייו של הנאשם קשות מאוד, ובשל צנעת הפרט לא אפרטם. טרם המעצר, עבד הנאשם מספר חודשים בחנות לממכר מזון באזור מגוריו. במסגרת הליך המעצר הנוכחי, שולב הנאשם בהוסטל, אולם ההליך לא שולם ובשלב מסוים הסתיימה שהות הנאשם בהוסטל ומאז הוא שוהה במעצר בית מלא.  איני רואה צורך להזדקק במסגרת זו למחלוקת שנפלה בין הצדדים באשר לנסיבות הפסקת השהות בהוסטל. </w:t>
      </w:r>
      <w:r>
        <w:rPr>
          <w:rFonts w:ascii="FrankRuehl" w:hAnsi="FrankRuehl" w:cs="FrankRuehl" w:hint="cs"/>
          <w:color w:val="FF0000"/>
          <w:sz w:val="28"/>
          <w:szCs w:val="28"/>
          <w:rtl/>
        </w:rPr>
        <w:t xml:space="preserve"> </w:t>
      </w:r>
    </w:p>
    <w:p w14:paraId="5873AA68" w14:textId="77777777" w:rsidR="001601B0" w:rsidRPr="003D58E8" w:rsidRDefault="001601B0" w:rsidP="001601B0">
      <w:pPr>
        <w:spacing w:line="360" w:lineRule="auto"/>
        <w:jc w:val="both"/>
        <w:rPr>
          <w:rFonts w:ascii="FrankRuehl" w:hAnsi="FrankRuehl" w:cs="FrankRuehl"/>
          <w:sz w:val="28"/>
          <w:szCs w:val="28"/>
          <w:rtl/>
        </w:rPr>
      </w:pPr>
    </w:p>
    <w:p w14:paraId="685D3703"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6.</w:t>
      </w:r>
      <w:r w:rsidRPr="003D58E8">
        <w:rPr>
          <w:rFonts w:ascii="FrankRuehl" w:hAnsi="FrankRuehl" w:cs="FrankRuehl" w:hint="cs"/>
          <w:sz w:val="28"/>
          <w:szCs w:val="28"/>
          <w:rtl/>
        </w:rPr>
        <w:tab/>
        <w:t xml:space="preserve">אשר למעשה העבירה, ציין הנאשם </w:t>
      </w:r>
      <w:r>
        <w:rPr>
          <w:rFonts w:ascii="FrankRuehl" w:hAnsi="FrankRuehl" w:cs="FrankRuehl" w:hint="cs"/>
          <w:sz w:val="28"/>
          <w:szCs w:val="28"/>
          <w:rtl/>
        </w:rPr>
        <w:t xml:space="preserve">בפני קצין המבחן </w:t>
      </w:r>
      <w:r w:rsidRPr="003D58E8">
        <w:rPr>
          <w:rFonts w:ascii="FrankRuehl" w:hAnsi="FrankRuehl" w:cs="FrankRuehl" w:hint="cs"/>
          <w:sz w:val="28"/>
          <w:szCs w:val="28"/>
          <w:rtl/>
        </w:rPr>
        <w:t xml:space="preserve">כי </w:t>
      </w:r>
      <w:r>
        <w:rPr>
          <w:rFonts w:ascii="FrankRuehl" w:hAnsi="FrankRuehl" w:cs="FrankRuehl" w:hint="cs"/>
          <w:sz w:val="28"/>
          <w:szCs w:val="28"/>
          <w:rtl/>
        </w:rPr>
        <w:t xml:space="preserve">הוא </w:t>
      </w:r>
      <w:r w:rsidRPr="003D58E8">
        <w:rPr>
          <w:rFonts w:ascii="FrankRuehl" w:hAnsi="FrankRuehl" w:cs="FrankRuehl" w:hint="cs"/>
          <w:sz w:val="28"/>
          <w:szCs w:val="28"/>
          <w:rtl/>
        </w:rPr>
        <w:t>חש שהונע לביצוע העבירה על ידי חברו, שהנחה אותו כיצד לפעול, וכי חש מחויבות לביצוע</w:t>
      </w:r>
      <w:r>
        <w:rPr>
          <w:rFonts w:ascii="FrankRuehl" w:hAnsi="FrankRuehl" w:cs="FrankRuehl" w:hint="cs"/>
          <w:sz w:val="28"/>
          <w:szCs w:val="28"/>
          <w:rtl/>
        </w:rPr>
        <w:t xml:space="preserve"> העבירה, על מנת שלא לאכזב את חב</w:t>
      </w:r>
      <w:r w:rsidRPr="003D58E8">
        <w:rPr>
          <w:rFonts w:ascii="FrankRuehl" w:hAnsi="FrankRuehl" w:cs="FrankRuehl" w:hint="cs"/>
          <w:sz w:val="28"/>
          <w:szCs w:val="28"/>
          <w:rtl/>
        </w:rPr>
        <w:t>רו. הוא ציין</w:t>
      </w:r>
      <w:r>
        <w:rPr>
          <w:rFonts w:ascii="FrankRuehl" w:hAnsi="FrankRuehl" w:cs="FrankRuehl" w:hint="cs"/>
          <w:sz w:val="28"/>
          <w:szCs w:val="28"/>
          <w:rtl/>
        </w:rPr>
        <w:t>,</w:t>
      </w:r>
      <w:r w:rsidRPr="003D58E8">
        <w:rPr>
          <w:rFonts w:ascii="FrankRuehl" w:hAnsi="FrankRuehl" w:cs="FrankRuehl" w:hint="cs"/>
          <w:sz w:val="28"/>
          <w:szCs w:val="28"/>
          <w:rtl/>
        </w:rPr>
        <w:t xml:space="preserve"> כי חש חרטה עמוקה על מעשיו, וכי ההכרה בהשלכות המעשים מעוררת בו חרדה ונקיפות מצפון. בסיכום, ציין קצין המבחן כי הוא סבור שיש להטיל על הנאשם ענישה מוחשית, שתבטא את חומרת מעשיו ותסייע לו להפנים את חומרתם. עם זאת, לנוכח גילו וההתרשמות כי לא ביצע את העבירה ממניעים פלילי</w:t>
      </w:r>
      <w:r>
        <w:rPr>
          <w:rFonts w:ascii="FrankRuehl" w:hAnsi="FrankRuehl" w:cs="FrankRuehl" w:hint="cs"/>
          <w:sz w:val="28"/>
          <w:szCs w:val="28"/>
          <w:rtl/>
        </w:rPr>
        <w:t xml:space="preserve">ים, כי אם מתוך נזקקות לסביבה חברתית, </w:t>
      </w:r>
      <w:r>
        <w:rPr>
          <w:rFonts w:ascii="FrankRuehl" w:hAnsi="FrankRuehl" w:cs="FrankRuehl" w:hint="cs"/>
          <w:sz w:val="28"/>
          <w:szCs w:val="28"/>
          <w:rtl/>
        </w:rPr>
        <w:lastRenderedPageBreak/>
        <w:t>כמו גם החשש כי ענישה מאחורי</w:t>
      </w:r>
      <w:r w:rsidRPr="003D58E8">
        <w:rPr>
          <w:rFonts w:ascii="FrankRuehl" w:hAnsi="FrankRuehl" w:cs="FrankRuehl" w:hint="cs"/>
          <w:sz w:val="28"/>
          <w:szCs w:val="28"/>
          <w:rtl/>
        </w:rPr>
        <w:t xml:space="preserve"> סורג ובריח תוביל לנסיגה במצבו, הומלץ על ענישה בדרך של עבודת שירות.</w:t>
      </w:r>
    </w:p>
    <w:p w14:paraId="5B14691F" w14:textId="77777777" w:rsidR="001601B0" w:rsidRPr="003D58E8" w:rsidRDefault="001601B0" w:rsidP="001601B0">
      <w:pPr>
        <w:spacing w:line="360" w:lineRule="auto"/>
        <w:jc w:val="both"/>
        <w:rPr>
          <w:rFonts w:ascii="FrankRuehl" w:hAnsi="FrankRuehl" w:cs="FrankRuehl"/>
          <w:sz w:val="28"/>
          <w:szCs w:val="28"/>
          <w:rtl/>
        </w:rPr>
      </w:pPr>
    </w:p>
    <w:p w14:paraId="3911ADD8"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b/>
          <w:bCs/>
          <w:sz w:val="28"/>
          <w:szCs w:val="28"/>
          <w:u w:val="single"/>
          <w:rtl/>
        </w:rPr>
        <w:t>טיעוני ב"כ הצדדים</w:t>
      </w:r>
    </w:p>
    <w:p w14:paraId="7646FA4D"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7.</w:t>
      </w:r>
      <w:r w:rsidRPr="003D58E8">
        <w:rPr>
          <w:rFonts w:ascii="FrankRuehl" w:hAnsi="FrankRuehl" w:cs="FrankRuehl" w:hint="cs"/>
          <w:sz w:val="28"/>
          <w:szCs w:val="28"/>
          <w:rtl/>
        </w:rPr>
        <w:tab/>
        <w:t xml:space="preserve">ב"כ המאשימה עמד בטיעוניו על הערכים המוגנים שנפגעו במעשי הנאשם, ועל חומרת המעשים לנוכח העובדה כי התחמושת שנמכרה יכולה </w:t>
      </w:r>
      <w:r>
        <w:rPr>
          <w:rFonts w:ascii="FrankRuehl" w:hAnsi="FrankRuehl" w:cs="FrankRuehl" w:hint="cs"/>
          <w:sz w:val="28"/>
          <w:szCs w:val="28"/>
          <w:rtl/>
        </w:rPr>
        <w:t xml:space="preserve">הייתה </w:t>
      </w:r>
      <w:r w:rsidRPr="003D58E8">
        <w:rPr>
          <w:rFonts w:ascii="FrankRuehl" w:hAnsi="FrankRuehl" w:cs="FrankRuehl" w:hint="cs"/>
          <w:sz w:val="28"/>
          <w:szCs w:val="28"/>
          <w:rtl/>
        </w:rPr>
        <w:t xml:space="preserve">להתגלגל לידיים עברייניות בסופו של יום, כך שיעשה בה שימוש כדי לבצע עבירות פליליות וביטחוניות. אשר לנסיבות ביצוע העבירה, הוסיף כי לא מדובר במעידה חד פעמית, אלא במספר מקרים בהם היה הנאשם מעורב בביצוע המעשים. ואף כי לא הנאשם היה זה שסיפק את התחמושת בפועל, נטען כי ניתן לראות בו כרוח החיה שהניעה את המהלך וקידמה את אותה הפעילות העבריינית עבור בצע כסף, וכי ספק אם </w:t>
      </w:r>
      <w:r>
        <w:rPr>
          <w:rFonts w:ascii="FrankRuehl" w:hAnsi="FrankRuehl" w:cs="FrankRuehl" w:hint="cs"/>
          <w:sz w:val="28"/>
          <w:szCs w:val="28"/>
          <w:rtl/>
        </w:rPr>
        <w:t xml:space="preserve">מעשה העבירה </w:t>
      </w:r>
      <w:r w:rsidRPr="003D58E8">
        <w:rPr>
          <w:rFonts w:ascii="FrankRuehl" w:hAnsi="FrankRuehl" w:cs="FrankRuehl" w:hint="cs"/>
          <w:sz w:val="28"/>
          <w:szCs w:val="28"/>
          <w:rtl/>
        </w:rPr>
        <w:t>היה יכול לצאת לפועל אילולא תרומתו של הנאשם.</w:t>
      </w:r>
    </w:p>
    <w:p w14:paraId="1BFD5D14" w14:textId="77777777" w:rsidR="001601B0" w:rsidRPr="003D58E8" w:rsidRDefault="001601B0" w:rsidP="001601B0">
      <w:pPr>
        <w:spacing w:line="360" w:lineRule="auto"/>
        <w:jc w:val="both"/>
        <w:rPr>
          <w:rFonts w:ascii="FrankRuehl" w:hAnsi="FrankRuehl" w:cs="FrankRuehl"/>
          <w:sz w:val="28"/>
          <w:szCs w:val="28"/>
          <w:rtl/>
        </w:rPr>
      </w:pPr>
    </w:p>
    <w:p w14:paraId="61E87A8A"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8.</w:t>
      </w:r>
      <w:r w:rsidRPr="003D58E8">
        <w:rPr>
          <w:rFonts w:ascii="FrankRuehl" w:hAnsi="FrankRuehl" w:cs="FrankRuehl" w:hint="cs"/>
          <w:sz w:val="28"/>
          <w:szCs w:val="28"/>
          <w:rtl/>
        </w:rPr>
        <w:tab/>
        <w:t>אשר לנאשם ציין, כי זה נטש את המסגרת אליה הופנה למטרות שיקום כחלופת מעצר, וכי נמנע מלשתף פעולה עם בית המשפט בעניין זה. בסיכום, לאור תסקיר המבחן ונסיבות חייו האישיות המיוחדות של הנאשם, ולמרות ההתרשמות כי הנאשם לקח אחריות פורמאלית בלבד וכי הוא נוטה להשליך את האחריות שלו לאחרים, עתר ב"כ המאשימה לעבודות שירות ברף מקסימלי של 9 חודשים, לצד מאסר על תנאי על עבירות נש</w:t>
      </w:r>
      <w:r>
        <w:rPr>
          <w:rFonts w:ascii="FrankRuehl" w:hAnsi="FrankRuehl" w:cs="FrankRuehl" w:hint="cs"/>
          <w:sz w:val="28"/>
          <w:szCs w:val="28"/>
          <w:rtl/>
        </w:rPr>
        <w:t>ק, תחמושת וקנס. הוא הוסיף כי ל</w:t>
      </w:r>
      <w:r w:rsidRPr="003D58E8">
        <w:rPr>
          <w:rFonts w:ascii="FrankRuehl" w:hAnsi="FrankRuehl" w:cs="FrankRuehl" w:hint="cs"/>
          <w:sz w:val="28"/>
          <w:szCs w:val="28"/>
          <w:rtl/>
        </w:rPr>
        <w:t>עמדה זו הגיע שלא בלי היסוס, וציין כי לשיטתו ולאור הפסיקה שהגיש, מדובר בעונש על הצד המקל ביותר, שעה שבנסיבות אלו עשוי מתחם הענישה להתחיל ב</w:t>
      </w:r>
      <w:r>
        <w:rPr>
          <w:rFonts w:ascii="FrankRuehl" w:hAnsi="FrankRuehl" w:cs="FrankRuehl" w:hint="cs"/>
          <w:sz w:val="28"/>
          <w:szCs w:val="28"/>
          <w:rtl/>
        </w:rPr>
        <w:t>-</w:t>
      </w:r>
      <w:r w:rsidRPr="003D58E8">
        <w:rPr>
          <w:rFonts w:ascii="FrankRuehl" w:hAnsi="FrankRuehl" w:cs="FrankRuehl" w:hint="cs"/>
          <w:sz w:val="28"/>
          <w:szCs w:val="28"/>
          <w:rtl/>
        </w:rPr>
        <w:t xml:space="preserve">8 חודשים ולהגיע עד 14 חודשי מאסר. עוד הוסיף כי גם העובדה שהנאשם היה במעצר של ממש במשך קרוב לחודשיים, ולאחר מכן שהה במעצר בית במשך תקופה נוספת, היוו שיקולים שנלקחו בחשבון כאשר הסכים לעתור לעונש של עבודות שירות תחת מאסר בפועל. </w:t>
      </w:r>
    </w:p>
    <w:p w14:paraId="2EB1FBC4" w14:textId="77777777" w:rsidR="001601B0" w:rsidRPr="003D58E8" w:rsidRDefault="001601B0" w:rsidP="001601B0">
      <w:pPr>
        <w:spacing w:line="360" w:lineRule="auto"/>
        <w:jc w:val="both"/>
        <w:rPr>
          <w:rFonts w:ascii="FrankRuehl" w:hAnsi="FrankRuehl" w:cs="FrankRuehl"/>
          <w:sz w:val="28"/>
          <w:szCs w:val="28"/>
          <w:rtl/>
        </w:rPr>
      </w:pPr>
    </w:p>
    <w:p w14:paraId="7D145CCD"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9.</w:t>
      </w:r>
      <w:r w:rsidRPr="003D58E8">
        <w:rPr>
          <w:rFonts w:ascii="FrankRuehl" w:hAnsi="FrankRuehl" w:cs="FrankRuehl" w:hint="cs"/>
          <w:b/>
          <w:bCs/>
          <w:sz w:val="28"/>
          <w:szCs w:val="28"/>
          <w:rtl/>
        </w:rPr>
        <w:tab/>
      </w:r>
      <w:r w:rsidRPr="003D58E8">
        <w:rPr>
          <w:rFonts w:ascii="FrankRuehl" w:hAnsi="FrankRuehl" w:cs="FrankRuehl" w:hint="cs"/>
          <w:sz w:val="28"/>
          <w:szCs w:val="28"/>
          <w:rtl/>
        </w:rPr>
        <w:t>בטיעוניו לעונש, ביקש ב"כ הנאשם להתחשב בעובדה שמדובר בנאשם ששהה כמעט חודשיים במעצר, וכי מהיום שנעצר ועד היום הוא במעצר בית מלא ללא כל הפרה. אשר לאי שילובו בהוסטל בהליך המעצר ציין, כי הנאשם מחפש לשקם את חייו. הוא הזכיר את נסיבות חייו הקשות של הנאשם, וכי</w:t>
      </w:r>
      <w:r>
        <w:rPr>
          <w:rFonts w:ascii="FrankRuehl" w:hAnsi="FrankRuehl" w:cs="FrankRuehl" w:hint="cs"/>
          <w:sz w:val="28"/>
          <w:szCs w:val="28"/>
          <w:rtl/>
        </w:rPr>
        <w:t xml:space="preserve"> הוא הביע חרטה בהזדמנות הראשונה</w:t>
      </w:r>
      <w:r w:rsidRPr="003D58E8">
        <w:rPr>
          <w:rFonts w:ascii="FrankRuehl" w:hAnsi="FrankRuehl" w:cs="FrankRuehl" w:hint="cs"/>
          <w:sz w:val="28"/>
          <w:szCs w:val="28"/>
          <w:rtl/>
        </w:rPr>
        <w:t xml:space="preserve"> ושיתף פעולה </w:t>
      </w:r>
      <w:r>
        <w:rPr>
          <w:rFonts w:ascii="FrankRuehl" w:hAnsi="FrankRuehl" w:cs="FrankRuehl" w:hint="cs"/>
          <w:sz w:val="28"/>
          <w:szCs w:val="28"/>
          <w:rtl/>
        </w:rPr>
        <w:t>ב</w:t>
      </w:r>
      <w:r w:rsidRPr="003D58E8">
        <w:rPr>
          <w:rFonts w:ascii="FrankRuehl" w:hAnsi="FrankRuehl" w:cs="FrankRuehl" w:hint="cs"/>
          <w:sz w:val="28"/>
          <w:szCs w:val="28"/>
          <w:rtl/>
        </w:rPr>
        <w:t>הליך. הוא הוסיף כי הנאשם מנסה להתרחק ממעגל הפשיעה, ו</w:t>
      </w:r>
      <w:r>
        <w:rPr>
          <w:rFonts w:ascii="FrankRuehl" w:hAnsi="FrankRuehl" w:cs="FrankRuehl" w:hint="cs"/>
          <w:sz w:val="28"/>
          <w:szCs w:val="28"/>
          <w:rtl/>
        </w:rPr>
        <w:t xml:space="preserve">אף </w:t>
      </w:r>
      <w:r w:rsidRPr="003D58E8">
        <w:rPr>
          <w:rFonts w:ascii="FrankRuehl" w:hAnsi="FrankRuehl" w:cs="FrankRuehl" w:hint="cs"/>
          <w:sz w:val="28"/>
          <w:szCs w:val="28"/>
          <w:rtl/>
        </w:rPr>
        <w:t>נמנע מליצור קשר טלפוני עם חבריו</w:t>
      </w:r>
      <w:r>
        <w:rPr>
          <w:rFonts w:ascii="FrankRuehl" w:hAnsi="FrankRuehl" w:cs="FrankRuehl" w:hint="cs"/>
          <w:sz w:val="28"/>
          <w:szCs w:val="28"/>
          <w:rtl/>
        </w:rPr>
        <w:t>, כל זאת</w:t>
      </w:r>
      <w:r w:rsidRPr="003D58E8">
        <w:rPr>
          <w:rFonts w:ascii="FrankRuehl" w:hAnsi="FrankRuehl" w:cs="FrankRuehl" w:hint="cs"/>
          <w:sz w:val="28"/>
          <w:szCs w:val="28"/>
          <w:rtl/>
        </w:rPr>
        <w:t xml:space="preserve"> כדי לשקם את חייו. בסיכום, עתר ב"כ הנאשם ל</w:t>
      </w:r>
      <w:r>
        <w:rPr>
          <w:rFonts w:ascii="FrankRuehl" w:hAnsi="FrankRuehl" w:cs="FrankRuehl" w:hint="cs"/>
          <w:sz w:val="28"/>
          <w:szCs w:val="28"/>
          <w:rtl/>
        </w:rPr>
        <w:t>השית על הנאשם עונש של חמישה חודשי מאסר ב</w:t>
      </w:r>
      <w:r w:rsidRPr="003D58E8">
        <w:rPr>
          <w:rFonts w:ascii="FrankRuehl" w:hAnsi="FrankRuehl" w:cs="FrankRuehl" w:hint="cs"/>
          <w:sz w:val="28"/>
          <w:szCs w:val="28"/>
          <w:rtl/>
        </w:rPr>
        <w:t>עבודות שירות</w:t>
      </w:r>
      <w:r>
        <w:rPr>
          <w:rFonts w:ascii="FrankRuehl" w:hAnsi="FrankRuehl" w:cs="FrankRuehl" w:hint="cs"/>
          <w:sz w:val="28"/>
          <w:szCs w:val="28"/>
          <w:rtl/>
        </w:rPr>
        <w:t xml:space="preserve">, </w:t>
      </w:r>
      <w:r w:rsidRPr="003D58E8">
        <w:rPr>
          <w:rFonts w:ascii="FrankRuehl" w:hAnsi="FrankRuehl" w:cs="FrankRuehl" w:hint="cs"/>
          <w:sz w:val="28"/>
          <w:szCs w:val="28"/>
          <w:rtl/>
        </w:rPr>
        <w:t xml:space="preserve">וזאת לאור שיתוף הפעולה ותקופת המעצר עד כה. </w:t>
      </w:r>
    </w:p>
    <w:p w14:paraId="11391312" w14:textId="77777777" w:rsidR="001601B0" w:rsidRPr="003D58E8" w:rsidRDefault="001601B0" w:rsidP="001601B0">
      <w:pPr>
        <w:spacing w:line="360" w:lineRule="auto"/>
        <w:jc w:val="both"/>
        <w:rPr>
          <w:rFonts w:ascii="FrankRuehl" w:hAnsi="FrankRuehl" w:cs="FrankRuehl"/>
          <w:sz w:val="28"/>
          <w:szCs w:val="28"/>
          <w:rtl/>
        </w:rPr>
      </w:pPr>
    </w:p>
    <w:p w14:paraId="559D50E9"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10.</w:t>
      </w:r>
      <w:r w:rsidRPr="003D58E8">
        <w:rPr>
          <w:rFonts w:ascii="FrankRuehl" w:hAnsi="FrankRuehl" w:cs="FrankRuehl" w:hint="cs"/>
          <w:sz w:val="28"/>
          <w:szCs w:val="28"/>
          <w:rtl/>
        </w:rPr>
        <w:tab/>
        <w:t>הנאשם ציין כי הוא יודע שעשה עבירות חמורות שספק אם יצליח לכפר ע</w:t>
      </w:r>
      <w:r>
        <w:rPr>
          <w:rFonts w:ascii="FrankRuehl" w:hAnsi="FrankRuehl" w:cs="FrankRuehl" w:hint="cs"/>
          <w:sz w:val="28"/>
          <w:szCs w:val="28"/>
          <w:rtl/>
        </w:rPr>
        <w:t>ליהם, וכי הוא לקח עליהן אחריות כבר מהה</w:t>
      </w:r>
      <w:r w:rsidRPr="003D58E8">
        <w:rPr>
          <w:rFonts w:ascii="FrankRuehl" w:hAnsi="FrankRuehl" w:cs="FrankRuehl" w:hint="cs"/>
          <w:sz w:val="28"/>
          <w:szCs w:val="28"/>
          <w:rtl/>
        </w:rPr>
        <w:t xml:space="preserve">תחלה. הוא הוסיף כי הוא מתחרט על מעשיו, והם אינם מאפיינים אותו. </w:t>
      </w:r>
      <w:r>
        <w:rPr>
          <w:rFonts w:ascii="FrankRuehl" w:hAnsi="FrankRuehl" w:cs="FrankRuehl" w:hint="cs"/>
          <w:sz w:val="28"/>
          <w:szCs w:val="28"/>
          <w:rtl/>
        </w:rPr>
        <w:t xml:space="preserve">הוא נכון לשאת בעונש על מעשיו וציין כי </w:t>
      </w:r>
      <w:r w:rsidRPr="003D58E8">
        <w:rPr>
          <w:rFonts w:ascii="FrankRuehl" w:hAnsi="FrankRuehl" w:cs="FrankRuehl" w:hint="cs"/>
          <w:sz w:val="28"/>
          <w:szCs w:val="28"/>
          <w:rtl/>
        </w:rPr>
        <w:t>מאז שנכנס ל</w:t>
      </w:r>
      <w:r>
        <w:rPr>
          <w:rFonts w:ascii="FrankRuehl" w:hAnsi="FrankRuehl" w:cs="FrankRuehl" w:hint="cs"/>
          <w:sz w:val="28"/>
          <w:szCs w:val="28"/>
          <w:rtl/>
        </w:rPr>
        <w:t>"</w:t>
      </w:r>
      <w:r w:rsidRPr="003D58E8">
        <w:rPr>
          <w:rFonts w:ascii="FrankRuehl" w:hAnsi="FrankRuehl" w:cs="FrankRuehl" w:hint="cs"/>
          <w:sz w:val="28"/>
          <w:szCs w:val="28"/>
          <w:rtl/>
        </w:rPr>
        <w:t>בור זה</w:t>
      </w:r>
      <w:r>
        <w:rPr>
          <w:rFonts w:ascii="FrankRuehl" w:hAnsi="FrankRuehl" w:cs="FrankRuehl" w:hint="cs"/>
          <w:sz w:val="28"/>
          <w:szCs w:val="28"/>
          <w:rtl/>
        </w:rPr>
        <w:t>" בחייו הוא במצב נפשי לא טוב.</w:t>
      </w:r>
      <w:r w:rsidRPr="003D58E8">
        <w:rPr>
          <w:rFonts w:ascii="FrankRuehl" w:hAnsi="FrankRuehl" w:cs="FrankRuehl" w:hint="cs"/>
          <w:sz w:val="28"/>
          <w:szCs w:val="28"/>
          <w:rtl/>
        </w:rPr>
        <w:t xml:space="preserve"> מצפונו נוקף אותו מאז שהבין כי </w:t>
      </w:r>
      <w:r>
        <w:rPr>
          <w:rFonts w:ascii="FrankRuehl" w:hAnsi="FrankRuehl" w:cs="FrankRuehl" w:hint="cs"/>
          <w:sz w:val="28"/>
          <w:szCs w:val="28"/>
          <w:rtl/>
        </w:rPr>
        <w:t>אפשר שהיה במעשיו ל</w:t>
      </w:r>
      <w:r w:rsidRPr="003D58E8">
        <w:rPr>
          <w:rFonts w:ascii="FrankRuehl" w:hAnsi="FrankRuehl" w:cs="FrankRuehl" w:hint="cs"/>
          <w:sz w:val="28"/>
          <w:szCs w:val="28"/>
          <w:rtl/>
        </w:rPr>
        <w:t>סייע לטרור, דבר אשר הוביל גם לכך שלא יוכל, לצערו, להתגייס לצה"ל.</w:t>
      </w:r>
    </w:p>
    <w:p w14:paraId="0F35DD67" w14:textId="77777777" w:rsidR="001601B0" w:rsidRPr="003D58E8" w:rsidRDefault="001601B0" w:rsidP="001601B0">
      <w:pPr>
        <w:spacing w:line="360" w:lineRule="auto"/>
        <w:jc w:val="both"/>
        <w:rPr>
          <w:rFonts w:ascii="FrankRuehl" w:hAnsi="FrankRuehl" w:cs="FrankRuehl"/>
          <w:sz w:val="28"/>
          <w:szCs w:val="28"/>
          <w:rtl/>
        </w:rPr>
      </w:pPr>
    </w:p>
    <w:p w14:paraId="207B7B55" w14:textId="77777777" w:rsidR="001601B0" w:rsidRPr="003D58E8" w:rsidRDefault="001601B0" w:rsidP="001601B0">
      <w:pPr>
        <w:spacing w:line="360" w:lineRule="auto"/>
        <w:jc w:val="both"/>
        <w:rPr>
          <w:rFonts w:ascii="FrankRuehl" w:hAnsi="FrankRuehl" w:cs="FrankRuehl"/>
          <w:b/>
          <w:bCs/>
          <w:sz w:val="28"/>
          <w:szCs w:val="28"/>
          <w:u w:val="single"/>
          <w:rtl/>
        </w:rPr>
      </w:pPr>
      <w:r w:rsidRPr="003D58E8">
        <w:rPr>
          <w:rFonts w:ascii="FrankRuehl" w:hAnsi="FrankRuehl" w:cs="FrankRuehl" w:hint="cs"/>
          <w:b/>
          <w:bCs/>
          <w:sz w:val="28"/>
          <w:szCs w:val="28"/>
          <w:u w:val="single"/>
          <w:rtl/>
        </w:rPr>
        <w:t>דיון והכרעה</w:t>
      </w:r>
    </w:p>
    <w:p w14:paraId="3C372739"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 xml:space="preserve"> 11.</w:t>
      </w:r>
      <w:r w:rsidRPr="003D58E8">
        <w:rPr>
          <w:rFonts w:ascii="FrankRuehl" w:hAnsi="FrankRuehl" w:cs="FrankRuehl" w:hint="cs"/>
          <w:sz w:val="28"/>
          <w:szCs w:val="28"/>
          <w:rtl/>
        </w:rPr>
        <w:tab/>
      </w:r>
      <w:r w:rsidRPr="003D58E8">
        <w:rPr>
          <w:rFonts w:ascii="FrankRuehl" w:eastAsia="Calibri" w:hAnsi="FrankRuehl" w:cs="FrankRuehl" w:hint="cs"/>
          <w:color w:val="000000"/>
          <w:sz w:val="28"/>
          <w:szCs w:val="28"/>
          <w:rtl/>
        </w:rPr>
        <w:t xml:space="preserve">הערכים המוגנים בעבירות נשק הם שלמות הגוף וחיי אדם, שלום הציבור וביטחונו. אין צורך לומר שסחר בתחמושת יוצר סיכון שמא יום אחד ייעשה שימוש בתחמושת לפגיעה בבני אדם, לשימוש בעבירות פליליות או בעבירות טרור. </w:t>
      </w:r>
      <w:r>
        <w:rPr>
          <w:rFonts w:ascii="FrankRuehl" w:eastAsia="Calibri" w:hAnsi="FrankRuehl" w:cs="FrankRuehl" w:hint="cs"/>
          <w:color w:val="000000"/>
          <w:sz w:val="28"/>
          <w:szCs w:val="28"/>
          <w:rtl/>
        </w:rPr>
        <w:t xml:space="preserve">בתקופה האחרונה כולנו עדים לתוצאות הרות האסון כתוצאה ממעשים מעין אלו. בצדק ציין ב"כ המאשימה כי </w:t>
      </w:r>
      <w:r w:rsidRPr="003D58E8">
        <w:rPr>
          <w:rFonts w:ascii="FrankRuehl" w:eastAsia="Calibri" w:hAnsi="FrankRuehl" w:cs="FrankRuehl" w:hint="cs"/>
          <w:color w:val="000000"/>
          <w:sz w:val="28"/>
          <w:szCs w:val="28"/>
          <w:rtl/>
        </w:rPr>
        <w:t xml:space="preserve">אך בשבוע </w:t>
      </w:r>
      <w:r>
        <w:rPr>
          <w:rFonts w:ascii="FrankRuehl" w:eastAsia="Calibri" w:hAnsi="FrankRuehl" w:cs="FrankRuehl" w:hint="cs"/>
          <w:color w:val="000000"/>
          <w:sz w:val="28"/>
          <w:szCs w:val="28"/>
          <w:rtl/>
        </w:rPr>
        <w:t>האחרון הוביל כדור ת</w:t>
      </w:r>
      <w:r w:rsidRPr="003D58E8">
        <w:rPr>
          <w:rFonts w:ascii="FrankRuehl" w:eastAsia="Calibri" w:hAnsi="FrankRuehl" w:cs="FrankRuehl" w:hint="cs"/>
          <w:color w:val="000000"/>
          <w:sz w:val="28"/>
          <w:szCs w:val="28"/>
          <w:rtl/>
        </w:rPr>
        <w:t>ועה למותו של ילד בן 4 בגינת שעשועים</w:t>
      </w:r>
      <w:r>
        <w:rPr>
          <w:rFonts w:ascii="FrankRuehl" w:eastAsia="Calibri" w:hAnsi="FrankRuehl" w:cs="FrankRuehl" w:hint="cs"/>
          <w:color w:val="000000"/>
          <w:sz w:val="28"/>
          <w:szCs w:val="28"/>
          <w:rtl/>
        </w:rPr>
        <w:t xml:space="preserve"> הסמוכה למקום מגוריו</w:t>
      </w:r>
      <w:r w:rsidRPr="003D58E8">
        <w:rPr>
          <w:rFonts w:ascii="FrankRuehl" w:eastAsia="Calibri" w:hAnsi="FrankRuehl" w:cs="FrankRuehl" w:hint="cs"/>
          <w:color w:val="000000"/>
          <w:sz w:val="28"/>
          <w:szCs w:val="28"/>
          <w:rtl/>
        </w:rPr>
        <w:t>. בענייננו, נמכרו למעלה מאלף כדורי תחמושת כשאין בידי הנאשם לדעת לאן אלו יתגלגלו ולאיזו מטרה ישמשו, כאש</w:t>
      </w:r>
      <w:r>
        <w:rPr>
          <w:rFonts w:ascii="FrankRuehl" w:eastAsia="Calibri" w:hAnsi="FrankRuehl" w:cs="FrankRuehl" w:hint="cs"/>
          <w:color w:val="000000"/>
          <w:sz w:val="28"/>
          <w:szCs w:val="28"/>
          <w:rtl/>
        </w:rPr>
        <w:t xml:space="preserve">ר בידי כל אחד מהם ליטול חיי אדם. </w:t>
      </w:r>
      <w:r w:rsidRPr="003D58E8">
        <w:rPr>
          <w:rFonts w:ascii="FrankRuehl" w:eastAsia="Calibri" w:hAnsi="FrankRuehl" w:cs="FrankRuehl" w:hint="cs"/>
          <w:color w:val="000000"/>
          <w:sz w:val="28"/>
          <w:szCs w:val="28"/>
          <w:rtl/>
        </w:rPr>
        <w:t xml:space="preserve">אומנם, הנאשם אינו זה שיזם את המכירה, כי אם שימש כמתווך בעסקה בלבד. ברם, בצדק נטען כי ספק אם זו הייתה יוצאת לפועל ללא הסיוע שסיפק.  </w:t>
      </w:r>
    </w:p>
    <w:p w14:paraId="2AE88A27" w14:textId="77777777" w:rsidR="001601B0" w:rsidRPr="003D58E8" w:rsidRDefault="001601B0" w:rsidP="001601B0">
      <w:pPr>
        <w:spacing w:line="360" w:lineRule="auto"/>
        <w:jc w:val="both"/>
        <w:rPr>
          <w:rFonts w:ascii="FrankRuehl" w:hAnsi="FrankRuehl" w:cs="FrankRuehl"/>
          <w:sz w:val="28"/>
          <w:szCs w:val="28"/>
          <w:rtl/>
        </w:rPr>
      </w:pPr>
    </w:p>
    <w:p w14:paraId="3608C8D8" w14:textId="77777777" w:rsidR="001601B0"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12.</w:t>
      </w:r>
      <w:r w:rsidRPr="003D58E8">
        <w:rPr>
          <w:rFonts w:ascii="FrankRuehl" w:hAnsi="FrankRuehl" w:cs="FrankRuehl" w:hint="cs"/>
          <w:sz w:val="28"/>
          <w:szCs w:val="28"/>
          <w:rtl/>
        </w:rPr>
        <w:tab/>
        <w:t xml:space="preserve">לזכותו של הנאשם עומדת העובדה כי אף שמדובר בשלושה אירועים נפרדים בהם נמכרו הכדורים, היו אלה </w:t>
      </w:r>
      <w:r>
        <w:rPr>
          <w:rFonts w:ascii="FrankRuehl" w:hAnsi="FrankRuehl" w:cs="FrankRuehl" w:hint="cs"/>
          <w:sz w:val="28"/>
          <w:szCs w:val="28"/>
          <w:rtl/>
        </w:rPr>
        <w:t>סמוכים בזמן כאשר בכולם נמכרה התחמושת</w:t>
      </w:r>
      <w:r w:rsidRPr="003D58E8">
        <w:rPr>
          <w:rFonts w:ascii="FrankRuehl" w:hAnsi="FrankRuehl" w:cs="FrankRuehl" w:hint="cs"/>
          <w:sz w:val="28"/>
          <w:szCs w:val="28"/>
          <w:rtl/>
        </w:rPr>
        <w:t xml:space="preserve"> לאותו אדם, שנתפס גם הוא בידי כוחות הביטחון. אכן, אין בכך כדי לנטרל את החשש מהשימוש באותה תחמושת, אולם יש בכך בכדי להפחית את הסיכון, כמו גם ללמד על אופיו ופעילותו של הנאשם, כמי שייתכן ומעד באופן חד פעמי. זאת, בפרט לנוכח גילו הצעיר, העובדה כי לא הוא יזם את המכירה, והאחריות, ולו החלקית, שלקח על מעשיו.</w:t>
      </w:r>
    </w:p>
    <w:p w14:paraId="0A0DD5AC" w14:textId="77777777" w:rsidR="001601B0" w:rsidRDefault="001601B0" w:rsidP="001601B0">
      <w:pPr>
        <w:spacing w:line="360" w:lineRule="auto"/>
        <w:jc w:val="both"/>
        <w:rPr>
          <w:rFonts w:ascii="FrankRuehl" w:hAnsi="FrankRuehl" w:cs="FrankRuehl"/>
          <w:sz w:val="28"/>
          <w:szCs w:val="28"/>
          <w:rtl/>
        </w:rPr>
      </w:pPr>
    </w:p>
    <w:p w14:paraId="4FCADABC" w14:textId="77777777" w:rsidR="001601B0" w:rsidRPr="003D58E8" w:rsidRDefault="001601B0" w:rsidP="001601B0">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t xml:space="preserve">יצוין כי על שותפיו של הנאשם, יובל ובאסל הושתו אמנם עונשי מאסר בפועל, ואולם לא ניתן להתעלם מהעובדה כי הם, בניגוד לנאשם, שהו במעצר מאחורי סורג ובריח במשך לא מעט חודשים עד לגזירת דינם ועל כן ממילא לא היה מקום להורות כי ירצו את עונש המאסר בעבודות שירות. על יובל, המשרת כחייל, הושת עונש מאסר בפועל לתקופה של תשעה חודשים, ועל באסל הושת עונש מאסר לתקופה של שישה וחצי חודשים.  </w:t>
      </w:r>
    </w:p>
    <w:p w14:paraId="3436416E" w14:textId="77777777" w:rsidR="001601B0" w:rsidRPr="003D58E8" w:rsidRDefault="001601B0" w:rsidP="001601B0">
      <w:pPr>
        <w:spacing w:line="360" w:lineRule="auto"/>
        <w:jc w:val="both"/>
        <w:rPr>
          <w:rFonts w:ascii="FrankRuehl" w:hAnsi="FrankRuehl" w:cs="FrankRuehl"/>
          <w:sz w:val="28"/>
          <w:szCs w:val="28"/>
          <w:rtl/>
        </w:rPr>
      </w:pPr>
    </w:p>
    <w:p w14:paraId="2078D85A" w14:textId="77777777" w:rsidR="001601B0" w:rsidRPr="003D58E8"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1</w:t>
      </w:r>
      <w:r>
        <w:rPr>
          <w:rFonts w:ascii="FrankRuehl" w:hAnsi="FrankRuehl" w:cs="FrankRuehl" w:hint="cs"/>
          <w:sz w:val="28"/>
          <w:szCs w:val="28"/>
          <w:rtl/>
        </w:rPr>
        <w:t>4</w:t>
      </w:r>
      <w:r w:rsidRPr="003D58E8">
        <w:rPr>
          <w:rFonts w:ascii="FrankRuehl" w:hAnsi="FrankRuehl" w:cs="FrankRuehl" w:hint="cs"/>
          <w:sz w:val="28"/>
          <w:szCs w:val="28"/>
          <w:rtl/>
        </w:rPr>
        <w:t>.</w:t>
      </w:r>
      <w:r w:rsidRPr="003D58E8">
        <w:rPr>
          <w:rFonts w:ascii="FrankRuehl" w:hAnsi="FrankRuehl" w:cs="FrankRuehl" w:hint="cs"/>
          <w:sz w:val="28"/>
          <w:szCs w:val="28"/>
          <w:rtl/>
        </w:rPr>
        <w:tab/>
        <w:t xml:space="preserve">באי כוח הצדדים, לכשעצמם, הגיעו לידי הסכמה כי העונש המתאים לנסיבות המקרה ולנוכח המלצת קצין המבחן הינו מאסר שירוצה בעבודות שירות, ואך חלוקים </w:t>
      </w:r>
      <w:r>
        <w:rPr>
          <w:rFonts w:ascii="FrankRuehl" w:hAnsi="FrankRuehl" w:cs="FrankRuehl" w:hint="cs"/>
          <w:sz w:val="28"/>
          <w:szCs w:val="28"/>
          <w:rtl/>
        </w:rPr>
        <w:t xml:space="preserve">היו </w:t>
      </w:r>
      <w:r w:rsidRPr="003D58E8">
        <w:rPr>
          <w:rFonts w:ascii="FrankRuehl" w:hAnsi="FrankRuehl" w:cs="FrankRuehl" w:hint="cs"/>
          <w:sz w:val="28"/>
          <w:szCs w:val="28"/>
          <w:rtl/>
        </w:rPr>
        <w:t xml:space="preserve">באשר למשך תקופת </w:t>
      </w:r>
      <w:r>
        <w:rPr>
          <w:rFonts w:ascii="FrankRuehl" w:hAnsi="FrankRuehl" w:cs="FrankRuehl" w:hint="cs"/>
          <w:sz w:val="28"/>
          <w:szCs w:val="28"/>
          <w:rtl/>
        </w:rPr>
        <w:t>מאסר זו שתרוצה כאמור ב</w:t>
      </w:r>
      <w:r w:rsidRPr="003D58E8">
        <w:rPr>
          <w:rFonts w:ascii="FrankRuehl" w:hAnsi="FrankRuehl" w:cs="FrankRuehl" w:hint="cs"/>
          <w:sz w:val="28"/>
          <w:szCs w:val="28"/>
          <w:rtl/>
        </w:rPr>
        <w:t>עבודות</w:t>
      </w:r>
      <w:r>
        <w:rPr>
          <w:rFonts w:ascii="FrankRuehl" w:hAnsi="FrankRuehl" w:cs="FrankRuehl" w:hint="cs"/>
          <w:sz w:val="28"/>
          <w:szCs w:val="28"/>
          <w:rtl/>
        </w:rPr>
        <w:t xml:space="preserve"> שירות</w:t>
      </w:r>
      <w:r w:rsidRPr="003D58E8">
        <w:rPr>
          <w:rFonts w:ascii="FrankRuehl" w:hAnsi="FrankRuehl" w:cs="FrankRuehl" w:hint="cs"/>
          <w:sz w:val="28"/>
          <w:szCs w:val="28"/>
          <w:rtl/>
        </w:rPr>
        <w:t>. טענות ב"כ המ</w:t>
      </w:r>
      <w:r>
        <w:rPr>
          <w:rFonts w:ascii="FrankRuehl" w:hAnsi="FrankRuehl" w:cs="FrankRuehl" w:hint="cs"/>
          <w:sz w:val="28"/>
          <w:szCs w:val="28"/>
          <w:rtl/>
        </w:rPr>
        <w:t xml:space="preserve">אשימה </w:t>
      </w:r>
      <w:r w:rsidRPr="003D58E8">
        <w:rPr>
          <w:rFonts w:ascii="FrankRuehl" w:hAnsi="FrankRuehl" w:cs="FrankRuehl" w:hint="cs"/>
          <w:sz w:val="28"/>
          <w:szCs w:val="28"/>
          <w:rtl/>
        </w:rPr>
        <w:t>בצדק יסודן, כי מדובר בענישה על הצד המקל, שעה ש</w:t>
      </w:r>
      <w:r>
        <w:rPr>
          <w:rFonts w:ascii="FrankRuehl" w:hAnsi="FrankRuehl" w:cs="FrankRuehl" w:hint="cs"/>
          <w:sz w:val="28"/>
          <w:szCs w:val="28"/>
          <w:rtl/>
        </w:rPr>
        <w:t xml:space="preserve">ככלל בעבירות מסוג זו יושת עונש מאסר בפועל. </w:t>
      </w:r>
      <w:r w:rsidRPr="003D58E8">
        <w:rPr>
          <w:rFonts w:ascii="FrankRuehl" w:hAnsi="FrankRuehl" w:cs="FrankRuehl" w:hint="cs"/>
          <w:sz w:val="28"/>
          <w:szCs w:val="28"/>
          <w:rtl/>
        </w:rPr>
        <w:t xml:space="preserve">ברם, לאור </w:t>
      </w:r>
      <w:r>
        <w:rPr>
          <w:rFonts w:ascii="FrankRuehl" w:hAnsi="FrankRuehl" w:cs="FrankRuehl" w:hint="cs"/>
          <w:sz w:val="28"/>
          <w:szCs w:val="28"/>
          <w:rtl/>
        </w:rPr>
        <w:t>ה</w:t>
      </w:r>
      <w:r w:rsidRPr="003D58E8">
        <w:rPr>
          <w:rFonts w:ascii="FrankRuehl" w:hAnsi="FrankRuehl" w:cs="FrankRuehl" w:hint="cs"/>
          <w:sz w:val="28"/>
          <w:szCs w:val="28"/>
          <w:rtl/>
        </w:rPr>
        <w:t>נסיבות</w:t>
      </w:r>
      <w:r>
        <w:rPr>
          <w:rFonts w:ascii="FrankRuehl" w:hAnsi="FrankRuehl" w:cs="FrankRuehl" w:hint="cs"/>
          <w:sz w:val="28"/>
          <w:szCs w:val="28"/>
          <w:rtl/>
        </w:rPr>
        <w:t xml:space="preserve"> המאפיינות מקרה זה, הן ביחס ל</w:t>
      </w:r>
      <w:r w:rsidRPr="003D58E8">
        <w:rPr>
          <w:rFonts w:ascii="FrankRuehl" w:hAnsi="FrankRuehl" w:cs="FrankRuehl" w:hint="cs"/>
          <w:sz w:val="28"/>
          <w:szCs w:val="28"/>
          <w:rtl/>
        </w:rPr>
        <w:t xml:space="preserve">ביצוע העבירה, </w:t>
      </w:r>
      <w:r>
        <w:rPr>
          <w:rFonts w:ascii="FrankRuehl" w:hAnsi="FrankRuehl" w:cs="FrankRuehl" w:hint="cs"/>
          <w:sz w:val="28"/>
          <w:szCs w:val="28"/>
          <w:rtl/>
        </w:rPr>
        <w:t>ובעיקר בכל הנוגע ל</w:t>
      </w:r>
      <w:r w:rsidRPr="003D58E8">
        <w:rPr>
          <w:rFonts w:ascii="FrankRuehl" w:hAnsi="FrankRuehl" w:cs="FrankRuehl" w:hint="cs"/>
          <w:sz w:val="28"/>
          <w:szCs w:val="28"/>
          <w:rtl/>
        </w:rPr>
        <w:t xml:space="preserve">נסיבות חייו הקשות של הנאשם, והמלצת קצין המבחן לפיה </w:t>
      </w:r>
      <w:r>
        <w:rPr>
          <w:rFonts w:ascii="FrankRuehl" w:hAnsi="FrankRuehl" w:cs="FrankRuehl" w:hint="cs"/>
          <w:sz w:val="28"/>
          <w:szCs w:val="28"/>
          <w:rtl/>
        </w:rPr>
        <w:t xml:space="preserve">יש </w:t>
      </w:r>
      <w:r w:rsidRPr="003D58E8">
        <w:rPr>
          <w:rFonts w:ascii="FrankRuehl" w:hAnsi="FrankRuehl" w:cs="FrankRuehl" w:hint="cs"/>
          <w:sz w:val="28"/>
          <w:szCs w:val="28"/>
          <w:rtl/>
        </w:rPr>
        <w:t>בעונש מאסר כדי לפגוע ב</w:t>
      </w:r>
      <w:r>
        <w:rPr>
          <w:rFonts w:ascii="FrankRuehl" w:hAnsi="FrankRuehl" w:cs="FrankRuehl" w:hint="cs"/>
          <w:sz w:val="28"/>
          <w:szCs w:val="28"/>
          <w:rtl/>
        </w:rPr>
        <w:t>נאשם</w:t>
      </w:r>
      <w:r w:rsidRPr="003D58E8">
        <w:rPr>
          <w:rFonts w:ascii="FrankRuehl" w:hAnsi="FrankRuehl" w:cs="FrankRuehl" w:hint="cs"/>
          <w:sz w:val="28"/>
          <w:szCs w:val="28"/>
          <w:rtl/>
        </w:rPr>
        <w:t xml:space="preserve">, </w:t>
      </w:r>
      <w:r>
        <w:rPr>
          <w:rFonts w:ascii="FrankRuehl" w:hAnsi="FrankRuehl" w:cs="FrankRuehl" w:hint="cs"/>
          <w:sz w:val="28"/>
          <w:szCs w:val="28"/>
          <w:rtl/>
        </w:rPr>
        <w:t>ובשים לב לענישה שהושתה על שותפיו של הנאשם, איני סבור כי יש מקום לסטות מ</w:t>
      </w:r>
      <w:r w:rsidRPr="003D58E8">
        <w:rPr>
          <w:rFonts w:ascii="FrankRuehl" w:hAnsi="FrankRuehl" w:cs="FrankRuehl" w:hint="cs"/>
          <w:sz w:val="28"/>
          <w:szCs w:val="28"/>
          <w:rtl/>
        </w:rPr>
        <w:t>הסכמה זו.</w:t>
      </w:r>
    </w:p>
    <w:p w14:paraId="5710C1CC" w14:textId="77777777" w:rsidR="001601B0" w:rsidRPr="003D58E8" w:rsidRDefault="001601B0" w:rsidP="001601B0">
      <w:pPr>
        <w:spacing w:line="360" w:lineRule="auto"/>
        <w:jc w:val="both"/>
        <w:rPr>
          <w:rFonts w:ascii="FrankRuehl" w:hAnsi="FrankRuehl" w:cs="FrankRuehl"/>
          <w:sz w:val="28"/>
          <w:szCs w:val="28"/>
          <w:rtl/>
        </w:rPr>
      </w:pPr>
    </w:p>
    <w:p w14:paraId="38E7856D" w14:textId="77777777" w:rsidR="001601B0" w:rsidRDefault="001601B0" w:rsidP="001601B0">
      <w:pPr>
        <w:spacing w:line="360" w:lineRule="auto"/>
        <w:jc w:val="both"/>
        <w:rPr>
          <w:rFonts w:ascii="FrankRuehl" w:hAnsi="FrankRuehl" w:cs="FrankRuehl"/>
          <w:sz w:val="28"/>
          <w:szCs w:val="28"/>
          <w:rtl/>
        </w:rPr>
      </w:pPr>
      <w:r w:rsidRPr="003D58E8">
        <w:rPr>
          <w:rFonts w:ascii="FrankRuehl" w:hAnsi="FrankRuehl" w:cs="FrankRuehl" w:hint="cs"/>
          <w:sz w:val="28"/>
          <w:szCs w:val="28"/>
          <w:rtl/>
        </w:rPr>
        <w:t>1</w:t>
      </w:r>
      <w:r>
        <w:rPr>
          <w:rFonts w:ascii="FrankRuehl" w:hAnsi="FrankRuehl" w:cs="FrankRuehl" w:hint="cs"/>
          <w:sz w:val="28"/>
          <w:szCs w:val="28"/>
          <w:rtl/>
        </w:rPr>
        <w:t>5</w:t>
      </w:r>
      <w:r w:rsidRPr="003D58E8">
        <w:rPr>
          <w:rFonts w:ascii="FrankRuehl" w:hAnsi="FrankRuehl" w:cs="FrankRuehl" w:hint="cs"/>
          <w:sz w:val="28"/>
          <w:szCs w:val="28"/>
          <w:rtl/>
        </w:rPr>
        <w:t>.</w:t>
      </w:r>
      <w:r w:rsidRPr="003D58E8">
        <w:rPr>
          <w:rFonts w:ascii="FrankRuehl" w:hAnsi="FrankRuehl" w:cs="FrankRuehl" w:hint="cs"/>
          <w:sz w:val="28"/>
          <w:szCs w:val="28"/>
          <w:rtl/>
        </w:rPr>
        <w:tab/>
      </w:r>
      <w:r>
        <w:rPr>
          <w:rFonts w:ascii="FrankRuehl" w:hAnsi="FrankRuehl" w:cs="FrankRuehl" w:hint="cs"/>
          <w:sz w:val="28"/>
          <w:szCs w:val="28"/>
          <w:rtl/>
        </w:rPr>
        <w:t>הנאשם כיום בן 20, ביצע את העבירות לפני כשנה. כאמור, נסיבות חייו קשות. בכלל זה בקטנותו ביצע עבירת איומים. לאחר שנתתי דעתי למכלול הנסיבות, ובין היתר לאמור בדבר ענישה במאסר בפועל ככלל בעבירות מעין אלו מחד, ומאידך לכך שהנאשם שהה במעצר מלא כחודשיים ולאחר מכן בחלופת מעצר כשלושה חודשים בהוסטל ולאחר מכן שלושה חודשים בביתו, אני משית על הנאשם את העונשים הבאים:</w:t>
      </w:r>
    </w:p>
    <w:p w14:paraId="24F68A08" w14:textId="77777777" w:rsidR="001601B0" w:rsidRDefault="001601B0" w:rsidP="001601B0">
      <w:pPr>
        <w:spacing w:line="360" w:lineRule="auto"/>
        <w:jc w:val="both"/>
        <w:rPr>
          <w:rFonts w:ascii="FrankRuehl" w:hAnsi="FrankRuehl" w:cs="FrankRuehl"/>
          <w:sz w:val="28"/>
          <w:szCs w:val="28"/>
          <w:rtl/>
        </w:rPr>
      </w:pPr>
    </w:p>
    <w:p w14:paraId="211A09CF" w14:textId="77777777" w:rsidR="001601B0" w:rsidRPr="006C6AED" w:rsidRDefault="001601B0" w:rsidP="001601B0">
      <w:pPr>
        <w:pStyle w:val="a9"/>
        <w:numPr>
          <w:ilvl w:val="0"/>
          <w:numId w:val="1"/>
        </w:numPr>
        <w:spacing w:line="360" w:lineRule="auto"/>
        <w:jc w:val="both"/>
        <w:rPr>
          <w:rFonts w:ascii="FrankRuehl" w:hAnsi="FrankRuehl" w:cs="FrankRuehl"/>
          <w:sz w:val="28"/>
          <w:szCs w:val="28"/>
        </w:rPr>
      </w:pPr>
      <w:r w:rsidRPr="006C6AED">
        <w:rPr>
          <w:rFonts w:ascii="FrankRuehl" w:hAnsi="FrankRuehl" w:cs="FrankRuehl" w:hint="cs"/>
          <w:sz w:val="28"/>
          <w:szCs w:val="28"/>
          <w:rtl/>
        </w:rPr>
        <w:t>7 חודשי מאסר אשר ירוצו בעבודות שירות בהתאם לחוות דעת הממונה ובכפוף לה.</w:t>
      </w:r>
    </w:p>
    <w:p w14:paraId="7EF706D0" w14:textId="77777777" w:rsidR="001601B0" w:rsidRPr="006C6AED" w:rsidRDefault="001601B0" w:rsidP="001601B0">
      <w:pPr>
        <w:spacing w:line="360" w:lineRule="auto"/>
        <w:ind w:left="720"/>
        <w:jc w:val="both"/>
        <w:rPr>
          <w:rFonts w:ascii="FrankRuehl" w:hAnsi="FrankRuehl" w:cs="FrankRuehl"/>
          <w:sz w:val="28"/>
          <w:szCs w:val="28"/>
        </w:rPr>
      </w:pPr>
      <w:r w:rsidRPr="006C6AED">
        <w:rPr>
          <w:rFonts w:ascii="FrankRuehl" w:hAnsi="FrankRuehl" w:cs="FrankRuehl"/>
          <w:sz w:val="28"/>
          <w:szCs w:val="28"/>
          <w:rtl/>
        </w:rPr>
        <w:t>הנאשם</w:t>
      </w:r>
      <w:r w:rsidR="004F15AD">
        <w:rPr>
          <w:rFonts w:ascii="FrankRuehl" w:hAnsi="FrankRuehl" w:cs="FrankRuehl"/>
          <w:sz w:val="28"/>
          <w:szCs w:val="28"/>
        </w:rPr>
        <w:t xml:space="preserve"> </w:t>
      </w:r>
      <w:r w:rsidRPr="006C6AED">
        <w:rPr>
          <w:rFonts w:ascii="FrankRuehl" w:hAnsi="FrankRuehl" w:cs="FrankRuehl"/>
          <w:sz w:val="28"/>
          <w:szCs w:val="28"/>
          <w:rtl/>
        </w:rPr>
        <w:t>יתייצב</w:t>
      </w:r>
      <w:r w:rsidR="004F15AD">
        <w:rPr>
          <w:rFonts w:ascii="FrankRuehl" w:hAnsi="FrankRuehl" w:cs="FrankRuehl"/>
          <w:sz w:val="28"/>
          <w:szCs w:val="28"/>
        </w:rPr>
        <w:t xml:space="preserve"> </w:t>
      </w:r>
      <w:r w:rsidRPr="006C6AED">
        <w:rPr>
          <w:rFonts w:ascii="FrankRuehl" w:hAnsi="FrankRuehl" w:cs="FrankRuehl"/>
          <w:sz w:val="28"/>
          <w:szCs w:val="28"/>
          <w:rtl/>
        </w:rPr>
        <w:t>לביצוע</w:t>
      </w:r>
      <w:r w:rsidR="004F15AD">
        <w:rPr>
          <w:rFonts w:ascii="FrankRuehl" w:hAnsi="FrankRuehl" w:cs="FrankRuehl"/>
          <w:sz w:val="28"/>
          <w:szCs w:val="28"/>
        </w:rPr>
        <w:t xml:space="preserve"> </w:t>
      </w:r>
      <w:r w:rsidRPr="006C6AED">
        <w:rPr>
          <w:rFonts w:ascii="FrankRuehl" w:hAnsi="FrankRuehl" w:cs="FrankRuehl"/>
          <w:sz w:val="28"/>
          <w:szCs w:val="28"/>
          <w:rtl/>
        </w:rPr>
        <w:t>עבודות</w:t>
      </w:r>
      <w:r w:rsidR="004F15AD">
        <w:rPr>
          <w:rFonts w:ascii="FrankRuehl" w:hAnsi="FrankRuehl" w:cs="FrankRuehl"/>
          <w:sz w:val="28"/>
          <w:szCs w:val="28"/>
        </w:rPr>
        <w:t xml:space="preserve"> </w:t>
      </w:r>
      <w:r w:rsidRPr="006C6AED">
        <w:rPr>
          <w:rFonts w:ascii="FrankRuehl" w:hAnsi="FrankRuehl" w:cs="FrankRuehl"/>
          <w:sz w:val="28"/>
          <w:szCs w:val="28"/>
          <w:rtl/>
        </w:rPr>
        <w:t>השירות</w:t>
      </w:r>
      <w:r w:rsidR="004F15AD">
        <w:rPr>
          <w:rFonts w:ascii="FrankRuehl" w:hAnsi="FrankRuehl" w:cs="FrankRuehl"/>
          <w:sz w:val="28"/>
          <w:szCs w:val="28"/>
        </w:rPr>
        <w:t xml:space="preserve"> </w:t>
      </w:r>
      <w:r w:rsidRPr="006C6AED">
        <w:rPr>
          <w:rFonts w:ascii="FrankRuehl" w:hAnsi="FrankRuehl" w:cs="FrankRuehl"/>
          <w:sz w:val="28"/>
          <w:szCs w:val="28"/>
          <w:rtl/>
        </w:rPr>
        <w:t>ביום</w:t>
      </w:r>
      <w:r w:rsidRPr="006C6AED">
        <w:rPr>
          <w:rFonts w:ascii="FrankRuehl" w:hAnsi="FrankRuehl" w:cs="FrankRuehl" w:hint="cs"/>
          <w:sz w:val="28"/>
          <w:szCs w:val="28"/>
          <w:rtl/>
        </w:rPr>
        <w:t xml:space="preserve"> 24.02.22 </w:t>
      </w:r>
      <w:r w:rsidRPr="006C6AED">
        <w:rPr>
          <w:rFonts w:ascii="FrankRuehl" w:hAnsi="FrankRuehl" w:cs="FrankRuehl"/>
          <w:sz w:val="28"/>
          <w:szCs w:val="28"/>
          <w:rtl/>
        </w:rPr>
        <w:t>עד</w:t>
      </w:r>
      <w:r w:rsidR="004F15AD">
        <w:rPr>
          <w:rFonts w:ascii="FrankRuehl" w:hAnsi="FrankRuehl" w:cs="FrankRuehl"/>
          <w:sz w:val="28"/>
          <w:szCs w:val="28"/>
        </w:rPr>
        <w:t xml:space="preserve"> </w:t>
      </w:r>
      <w:r w:rsidRPr="006C6AED">
        <w:rPr>
          <w:rFonts w:ascii="FrankRuehl" w:hAnsi="FrankRuehl" w:cs="FrankRuehl"/>
          <w:sz w:val="28"/>
          <w:szCs w:val="28"/>
          <w:rtl/>
        </w:rPr>
        <w:t>השעה 09:00 ביחידת</w:t>
      </w:r>
      <w:r w:rsidRPr="006C6AED">
        <w:rPr>
          <w:rFonts w:ascii="FrankRuehl" w:hAnsi="FrankRuehl" w:cs="FrankRuehl" w:hint="cs"/>
          <w:sz w:val="28"/>
          <w:szCs w:val="28"/>
          <w:rtl/>
        </w:rPr>
        <w:t xml:space="preserve"> עבודות השירות, </w:t>
      </w:r>
      <w:r w:rsidRPr="006C6AED">
        <w:rPr>
          <w:rFonts w:ascii="FrankRuehl" w:hAnsi="FrankRuehl" w:cs="FrankRuehl"/>
          <w:sz w:val="28"/>
          <w:szCs w:val="28"/>
          <w:rtl/>
        </w:rPr>
        <w:t>מפקדת</w:t>
      </w:r>
      <w:r w:rsidR="004F15AD">
        <w:rPr>
          <w:rFonts w:ascii="FrankRuehl" w:hAnsi="FrankRuehl" w:cs="FrankRuehl"/>
          <w:sz w:val="28"/>
          <w:szCs w:val="28"/>
        </w:rPr>
        <w:t xml:space="preserve"> </w:t>
      </w:r>
      <w:r w:rsidRPr="006C6AED">
        <w:rPr>
          <w:rFonts w:ascii="FrankRuehl" w:hAnsi="FrankRuehl" w:cs="FrankRuehl"/>
          <w:sz w:val="28"/>
          <w:szCs w:val="28"/>
          <w:rtl/>
        </w:rPr>
        <w:t>מחוז</w:t>
      </w:r>
      <w:r w:rsidR="004F15AD">
        <w:rPr>
          <w:rFonts w:ascii="FrankRuehl" w:hAnsi="FrankRuehl" w:cs="FrankRuehl"/>
          <w:sz w:val="28"/>
          <w:szCs w:val="28"/>
        </w:rPr>
        <w:t xml:space="preserve"> </w:t>
      </w:r>
      <w:r w:rsidRPr="006C6AED">
        <w:rPr>
          <w:rFonts w:ascii="FrankRuehl" w:hAnsi="FrankRuehl" w:cs="FrankRuehl"/>
          <w:sz w:val="28"/>
          <w:szCs w:val="28"/>
          <w:rtl/>
        </w:rPr>
        <w:t>דרום, באר</w:t>
      </w:r>
      <w:r w:rsidR="004F15AD">
        <w:rPr>
          <w:rFonts w:ascii="FrankRuehl" w:hAnsi="FrankRuehl" w:cs="FrankRuehl"/>
          <w:sz w:val="28"/>
          <w:szCs w:val="28"/>
        </w:rPr>
        <w:t xml:space="preserve"> </w:t>
      </w:r>
      <w:r w:rsidRPr="006C6AED">
        <w:rPr>
          <w:rFonts w:ascii="FrankRuehl" w:hAnsi="FrankRuehl" w:cs="FrankRuehl"/>
          <w:sz w:val="28"/>
          <w:szCs w:val="28"/>
          <w:rtl/>
        </w:rPr>
        <w:t>שבע.</w:t>
      </w:r>
    </w:p>
    <w:p w14:paraId="65CD57BD" w14:textId="77777777" w:rsidR="001601B0" w:rsidRPr="006C6AED" w:rsidRDefault="001601B0" w:rsidP="001601B0">
      <w:pPr>
        <w:spacing w:line="360" w:lineRule="auto"/>
        <w:ind w:left="720"/>
        <w:jc w:val="both"/>
        <w:rPr>
          <w:rFonts w:ascii="FrankRuehl" w:hAnsi="FrankRuehl" w:cs="FrankRuehl"/>
          <w:sz w:val="28"/>
          <w:szCs w:val="28"/>
          <w:rtl/>
        </w:rPr>
      </w:pPr>
      <w:r w:rsidRPr="006C6AED">
        <w:rPr>
          <w:rFonts w:ascii="FrankRuehl" w:hAnsi="FrankRuehl" w:cs="FrankRuehl"/>
          <w:sz w:val="28"/>
          <w:szCs w:val="28"/>
          <w:rtl/>
        </w:rPr>
        <w:t>הובהר</w:t>
      </w:r>
      <w:r w:rsidR="004F15AD">
        <w:rPr>
          <w:rFonts w:ascii="FrankRuehl" w:hAnsi="FrankRuehl" w:cs="FrankRuehl"/>
          <w:sz w:val="28"/>
          <w:szCs w:val="28"/>
        </w:rPr>
        <w:t xml:space="preserve"> </w:t>
      </w:r>
      <w:r w:rsidRPr="006C6AED">
        <w:rPr>
          <w:rFonts w:ascii="FrankRuehl" w:hAnsi="FrankRuehl" w:cs="FrankRuehl"/>
          <w:sz w:val="28"/>
          <w:szCs w:val="28"/>
          <w:rtl/>
        </w:rPr>
        <w:t>לנאשם,</w:t>
      </w:r>
      <w:r w:rsidRPr="006C6AED">
        <w:rPr>
          <w:rFonts w:ascii="FrankRuehl" w:hAnsi="FrankRuehl" w:cs="FrankRuehl" w:hint="cs"/>
          <w:sz w:val="28"/>
          <w:szCs w:val="28"/>
          <w:rtl/>
        </w:rPr>
        <w:t xml:space="preserve"> </w:t>
      </w:r>
      <w:r w:rsidRPr="006C6AED">
        <w:rPr>
          <w:rFonts w:ascii="FrankRuehl" w:hAnsi="FrankRuehl" w:cs="FrankRuehl"/>
          <w:sz w:val="28"/>
          <w:szCs w:val="28"/>
          <w:rtl/>
        </w:rPr>
        <w:t>כי</w:t>
      </w:r>
      <w:r w:rsidR="004F15AD">
        <w:rPr>
          <w:rFonts w:ascii="FrankRuehl" w:hAnsi="FrankRuehl" w:cs="FrankRuehl"/>
          <w:sz w:val="28"/>
          <w:szCs w:val="28"/>
        </w:rPr>
        <w:t xml:space="preserve"> </w:t>
      </w:r>
      <w:r w:rsidRPr="006C6AED">
        <w:rPr>
          <w:rFonts w:ascii="FrankRuehl" w:hAnsi="FrankRuehl" w:cs="FrankRuehl"/>
          <w:sz w:val="28"/>
          <w:szCs w:val="28"/>
          <w:rtl/>
        </w:rPr>
        <w:t>עליו</w:t>
      </w:r>
      <w:r w:rsidR="004F15AD">
        <w:rPr>
          <w:rFonts w:ascii="FrankRuehl" w:hAnsi="FrankRuehl" w:cs="FrankRuehl"/>
          <w:sz w:val="28"/>
          <w:szCs w:val="28"/>
        </w:rPr>
        <w:t xml:space="preserve"> </w:t>
      </w:r>
      <w:r w:rsidRPr="006C6AED">
        <w:rPr>
          <w:rFonts w:ascii="FrankRuehl" w:hAnsi="FrankRuehl" w:cs="FrankRuehl"/>
          <w:sz w:val="28"/>
          <w:szCs w:val="28"/>
          <w:rtl/>
        </w:rPr>
        <w:t>לבצע</w:t>
      </w:r>
      <w:r w:rsidR="004F15AD">
        <w:rPr>
          <w:rFonts w:ascii="FrankRuehl" w:hAnsi="FrankRuehl" w:cs="FrankRuehl"/>
          <w:sz w:val="28"/>
          <w:szCs w:val="28"/>
        </w:rPr>
        <w:t xml:space="preserve"> </w:t>
      </w:r>
      <w:r w:rsidRPr="006C6AED">
        <w:rPr>
          <w:rFonts w:ascii="FrankRuehl" w:hAnsi="FrankRuehl" w:cs="FrankRuehl"/>
          <w:sz w:val="28"/>
          <w:szCs w:val="28"/>
          <w:rtl/>
        </w:rPr>
        <w:t>את</w:t>
      </w:r>
      <w:r w:rsidR="004F15AD">
        <w:rPr>
          <w:rFonts w:ascii="FrankRuehl" w:hAnsi="FrankRuehl" w:cs="FrankRuehl"/>
          <w:sz w:val="28"/>
          <w:szCs w:val="28"/>
        </w:rPr>
        <w:t xml:space="preserve"> </w:t>
      </w:r>
      <w:r w:rsidRPr="006C6AED">
        <w:rPr>
          <w:rFonts w:ascii="FrankRuehl" w:hAnsi="FrankRuehl" w:cs="FrankRuehl"/>
          <w:sz w:val="28"/>
          <w:szCs w:val="28"/>
          <w:rtl/>
        </w:rPr>
        <w:t>עבודות</w:t>
      </w:r>
      <w:r w:rsidR="004F15AD">
        <w:rPr>
          <w:rFonts w:ascii="FrankRuehl" w:hAnsi="FrankRuehl" w:cs="FrankRuehl"/>
          <w:sz w:val="28"/>
          <w:szCs w:val="28"/>
        </w:rPr>
        <w:t xml:space="preserve"> </w:t>
      </w:r>
      <w:r w:rsidRPr="006C6AED">
        <w:rPr>
          <w:rFonts w:ascii="FrankRuehl" w:hAnsi="FrankRuehl" w:cs="FrankRuehl"/>
          <w:sz w:val="28"/>
          <w:szCs w:val="28"/>
          <w:rtl/>
        </w:rPr>
        <w:t>השירות</w:t>
      </w:r>
      <w:r w:rsidR="004F15AD">
        <w:rPr>
          <w:rFonts w:ascii="FrankRuehl" w:hAnsi="FrankRuehl" w:cs="FrankRuehl"/>
          <w:sz w:val="28"/>
          <w:szCs w:val="28"/>
        </w:rPr>
        <w:t xml:space="preserve"> </w:t>
      </w:r>
      <w:r w:rsidRPr="006C6AED">
        <w:rPr>
          <w:rFonts w:ascii="FrankRuehl" w:hAnsi="FrankRuehl" w:cs="FrankRuehl"/>
          <w:sz w:val="28"/>
          <w:szCs w:val="28"/>
          <w:rtl/>
        </w:rPr>
        <w:t>לשביעות</w:t>
      </w:r>
      <w:r w:rsidR="004F15AD">
        <w:rPr>
          <w:rFonts w:ascii="FrankRuehl" w:hAnsi="FrankRuehl" w:cs="FrankRuehl"/>
          <w:sz w:val="28"/>
          <w:szCs w:val="28"/>
        </w:rPr>
        <w:t xml:space="preserve"> </w:t>
      </w:r>
      <w:r w:rsidRPr="006C6AED">
        <w:rPr>
          <w:rFonts w:ascii="FrankRuehl" w:hAnsi="FrankRuehl" w:cs="FrankRuehl"/>
          <w:sz w:val="28"/>
          <w:szCs w:val="28"/>
          <w:rtl/>
        </w:rPr>
        <w:t>רצונו</w:t>
      </w:r>
      <w:r w:rsidR="004F15AD">
        <w:rPr>
          <w:rFonts w:ascii="FrankRuehl" w:hAnsi="FrankRuehl" w:cs="FrankRuehl"/>
          <w:sz w:val="28"/>
          <w:szCs w:val="28"/>
        </w:rPr>
        <w:t xml:space="preserve"> </w:t>
      </w:r>
      <w:r w:rsidRPr="006C6AED">
        <w:rPr>
          <w:rFonts w:ascii="FrankRuehl" w:hAnsi="FrankRuehl" w:cs="FrankRuehl"/>
          <w:sz w:val="28"/>
          <w:szCs w:val="28"/>
          <w:rtl/>
        </w:rPr>
        <w:t>של</w:t>
      </w:r>
      <w:r w:rsidR="004F15AD">
        <w:rPr>
          <w:rFonts w:ascii="FrankRuehl" w:hAnsi="FrankRuehl" w:cs="FrankRuehl"/>
          <w:sz w:val="28"/>
          <w:szCs w:val="28"/>
        </w:rPr>
        <w:t xml:space="preserve"> </w:t>
      </w:r>
      <w:r w:rsidRPr="006C6AED">
        <w:rPr>
          <w:rFonts w:ascii="FrankRuehl" w:hAnsi="FrankRuehl" w:cs="FrankRuehl"/>
          <w:sz w:val="28"/>
          <w:szCs w:val="28"/>
          <w:rtl/>
        </w:rPr>
        <w:t>הממונה,</w:t>
      </w:r>
      <w:r>
        <w:rPr>
          <w:rFonts w:ascii="FrankRuehl" w:hAnsi="FrankRuehl" w:cs="FrankRuehl" w:hint="cs"/>
          <w:sz w:val="28"/>
          <w:szCs w:val="28"/>
          <w:rtl/>
        </w:rPr>
        <w:t xml:space="preserve"> וכי אי עמידה </w:t>
      </w:r>
      <w:r w:rsidRPr="006C6AED">
        <w:rPr>
          <w:rFonts w:ascii="FrankRuehl" w:hAnsi="FrankRuehl" w:cs="FrankRuehl"/>
          <w:sz w:val="28"/>
          <w:szCs w:val="28"/>
          <w:rtl/>
        </w:rPr>
        <w:t>בהנחיות</w:t>
      </w:r>
      <w:r w:rsidR="004F15AD">
        <w:rPr>
          <w:rFonts w:ascii="FrankRuehl" w:hAnsi="FrankRuehl" w:cs="FrankRuehl"/>
          <w:sz w:val="28"/>
          <w:szCs w:val="28"/>
        </w:rPr>
        <w:t xml:space="preserve"> </w:t>
      </w:r>
      <w:r w:rsidRPr="006C6AED">
        <w:rPr>
          <w:rFonts w:ascii="FrankRuehl" w:hAnsi="FrankRuehl" w:cs="FrankRuehl"/>
          <w:sz w:val="28"/>
          <w:szCs w:val="28"/>
          <w:rtl/>
        </w:rPr>
        <w:t>הממונה</w:t>
      </w:r>
      <w:r w:rsidR="004F15AD">
        <w:rPr>
          <w:rFonts w:ascii="FrankRuehl" w:hAnsi="FrankRuehl" w:cs="FrankRuehl"/>
          <w:sz w:val="28"/>
          <w:szCs w:val="28"/>
        </w:rPr>
        <w:t xml:space="preserve"> </w:t>
      </w:r>
      <w:r w:rsidRPr="006C6AED">
        <w:rPr>
          <w:rFonts w:ascii="FrankRuehl" w:hAnsi="FrankRuehl" w:cs="FrankRuehl"/>
          <w:sz w:val="28"/>
          <w:szCs w:val="28"/>
          <w:rtl/>
        </w:rPr>
        <w:t>עלולה</w:t>
      </w:r>
      <w:r w:rsidR="004F15AD">
        <w:rPr>
          <w:rFonts w:ascii="FrankRuehl" w:hAnsi="FrankRuehl" w:cs="FrankRuehl"/>
          <w:sz w:val="28"/>
          <w:szCs w:val="28"/>
        </w:rPr>
        <w:t xml:space="preserve"> </w:t>
      </w:r>
      <w:r w:rsidRPr="006C6AED">
        <w:rPr>
          <w:rFonts w:ascii="FrankRuehl" w:hAnsi="FrankRuehl" w:cs="FrankRuehl"/>
          <w:sz w:val="28"/>
          <w:szCs w:val="28"/>
          <w:rtl/>
        </w:rPr>
        <w:t>להביא</w:t>
      </w:r>
      <w:r w:rsidR="004F15AD">
        <w:rPr>
          <w:rFonts w:ascii="FrankRuehl" w:hAnsi="FrankRuehl" w:cs="FrankRuehl"/>
          <w:sz w:val="28"/>
          <w:szCs w:val="28"/>
        </w:rPr>
        <w:t xml:space="preserve"> </w:t>
      </w:r>
      <w:r w:rsidRPr="006C6AED">
        <w:rPr>
          <w:rFonts w:ascii="FrankRuehl" w:hAnsi="FrankRuehl" w:cs="FrankRuehl"/>
          <w:sz w:val="28"/>
          <w:szCs w:val="28"/>
          <w:rtl/>
        </w:rPr>
        <w:t>לנקיטת</w:t>
      </w:r>
      <w:r w:rsidR="004F15AD">
        <w:rPr>
          <w:rFonts w:ascii="FrankRuehl" w:hAnsi="FrankRuehl" w:cs="FrankRuehl"/>
          <w:sz w:val="28"/>
          <w:szCs w:val="28"/>
        </w:rPr>
        <w:t xml:space="preserve"> </w:t>
      </w:r>
      <w:r w:rsidRPr="006C6AED">
        <w:rPr>
          <w:rFonts w:ascii="FrankRuehl" w:hAnsi="FrankRuehl" w:cs="FrankRuehl"/>
          <w:sz w:val="28"/>
          <w:szCs w:val="28"/>
          <w:rtl/>
        </w:rPr>
        <w:t>צעדים</w:t>
      </w:r>
      <w:r w:rsidR="004F15AD">
        <w:rPr>
          <w:rFonts w:ascii="FrankRuehl" w:hAnsi="FrankRuehl" w:cs="FrankRuehl"/>
          <w:sz w:val="28"/>
          <w:szCs w:val="28"/>
        </w:rPr>
        <w:t xml:space="preserve"> </w:t>
      </w:r>
      <w:r w:rsidRPr="006C6AED">
        <w:rPr>
          <w:rFonts w:ascii="FrankRuehl" w:hAnsi="FrankRuehl" w:cs="FrankRuehl"/>
          <w:sz w:val="28"/>
          <w:szCs w:val="28"/>
          <w:rtl/>
        </w:rPr>
        <w:t>כלפיו</w:t>
      </w:r>
      <w:r w:rsidR="004F15AD">
        <w:rPr>
          <w:rFonts w:ascii="FrankRuehl" w:hAnsi="FrankRuehl" w:cs="FrankRuehl"/>
          <w:sz w:val="28"/>
          <w:szCs w:val="28"/>
        </w:rPr>
        <w:t xml:space="preserve"> </w:t>
      </w:r>
      <w:r w:rsidRPr="006C6AED">
        <w:rPr>
          <w:rFonts w:ascii="FrankRuehl" w:hAnsi="FrankRuehl" w:cs="FrankRuehl"/>
          <w:sz w:val="28"/>
          <w:szCs w:val="28"/>
          <w:rtl/>
        </w:rPr>
        <w:t>ולהפסקה מנהלית, אשר יכול ותביא לריצוי יתרת העונש במאסר מאחורי סורג ובריח</w:t>
      </w:r>
      <w:r w:rsidRPr="006C6AED">
        <w:rPr>
          <w:rFonts w:ascii="FrankRuehl" w:hAnsi="FrankRuehl" w:cs="FrankRuehl"/>
          <w:sz w:val="28"/>
          <w:szCs w:val="28"/>
        </w:rPr>
        <w:t>.</w:t>
      </w:r>
    </w:p>
    <w:p w14:paraId="11ABE95F" w14:textId="77777777" w:rsidR="001601B0" w:rsidRDefault="001601B0" w:rsidP="001601B0">
      <w:pPr>
        <w:spacing w:line="360" w:lineRule="auto"/>
        <w:jc w:val="both"/>
        <w:rPr>
          <w:rFonts w:ascii="FrankRuehl" w:hAnsi="FrankRuehl" w:cs="FrankRuehl"/>
          <w:sz w:val="28"/>
          <w:szCs w:val="28"/>
        </w:rPr>
      </w:pPr>
    </w:p>
    <w:p w14:paraId="0B2490B8" w14:textId="77777777" w:rsidR="001601B0" w:rsidRPr="006C6AED" w:rsidRDefault="001601B0" w:rsidP="001601B0">
      <w:pPr>
        <w:pStyle w:val="a9"/>
        <w:numPr>
          <w:ilvl w:val="0"/>
          <w:numId w:val="1"/>
        </w:numPr>
        <w:spacing w:line="360" w:lineRule="auto"/>
        <w:jc w:val="both"/>
        <w:rPr>
          <w:rFonts w:ascii="FrankRuehl" w:hAnsi="FrankRuehl" w:cs="FrankRuehl"/>
          <w:sz w:val="28"/>
          <w:szCs w:val="28"/>
        </w:rPr>
      </w:pPr>
      <w:r w:rsidRPr="006C6AED">
        <w:rPr>
          <w:rFonts w:ascii="FrankRuehl" w:hAnsi="FrankRuehl" w:cs="FrankRuehl" w:hint="cs"/>
          <w:sz w:val="28"/>
          <w:szCs w:val="28"/>
          <w:rtl/>
        </w:rPr>
        <w:t xml:space="preserve">9 חודשי מאסר אשר לא ירוצו אלא אם כן הנאשם יעבור עבירת נשק לפי </w:t>
      </w:r>
      <w:hyperlink r:id="rId16" w:history="1">
        <w:r w:rsidR="00923B49" w:rsidRPr="00923B49">
          <w:rPr>
            <w:rStyle w:val="Hyperlink"/>
            <w:rFonts w:ascii="FrankRuehl" w:hAnsi="FrankRuehl" w:cs="FrankRuehl" w:hint="eastAsia"/>
            <w:sz w:val="28"/>
            <w:szCs w:val="28"/>
            <w:rtl/>
          </w:rPr>
          <w:t>סעיף</w:t>
        </w:r>
        <w:r w:rsidR="00923B49" w:rsidRPr="00923B49">
          <w:rPr>
            <w:rStyle w:val="Hyperlink"/>
            <w:rFonts w:ascii="FrankRuehl" w:hAnsi="FrankRuehl" w:cs="FrankRuehl"/>
            <w:sz w:val="28"/>
            <w:szCs w:val="28"/>
            <w:rtl/>
          </w:rPr>
          <w:t xml:space="preserve"> 144</w:t>
        </w:r>
      </w:hyperlink>
      <w:r w:rsidRPr="006C6AED">
        <w:rPr>
          <w:rFonts w:ascii="FrankRuehl" w:hAnsi="FrankRuehl" w:cs="FrankRuehl" w:hint="cs"/>
          <w:sz w:val="28"/>
          <w:szCs w:val="28"/>
          <w:rtl/>
        </w:rPr>
        <w:t xml:space="preserve"> ל</w:t>
      </w:r>
      <w:hyperlink r:id="rId17" w:history="1">
        <w:r w:rsidR="004F15AD" w:rsidRPr="004F15AD">
          <w:rPr>
            <w:rFonts w:ascii="FrankRuehl" w:hAnsi="FrankRuehl" w:cs="FrankRuehl"/>
            <w:color w:val="0000FF"/>
            <w:sz w:val="28"/>
            <w:szCs w:val="28"/>
            <w:u w:val="single"/>
            <w:rtl/>
          </w:rPr>
          <w:t>חוק העונשין</w:t>
        </w:r>
      </w:hyperlink>
      <w:r w:rsidRPr="006C6AED">
        <w:rPr>
          <w:rFonts w:ascii="FrankRuehl" w:hAnsi="FrankRuehl" w:cs="FrankRuehl" w:hint="cs"/>
          <w:sz w:val="28"/>
          <w:szCs w:val="28"/>
          <w:rtl/>
        </w:rPr>
        <w:t xml:space="preserve"> בתקופה של שלוש שנים מהיום. </w:t>
      </w:r>
    </w:p>
    <w:p w14:paraId="14D0A6F5" w14:textId="77777777" w:rsidR="001601B0" w:rsidRPr="00FB6919" w:rsidRDefault="001601B0" w:rsidP="001601B0">
      <w:pPr>
        <w:pStyle w:val="a9"/>
        <w:rPr>
          <w:rFonts w:ascii="FrankRuehl" w:hAnsi="FrankRuehl" w:cs="FrankRuehl"/>
          <w:sz w:val="28"/>
          <w:szCs w:val="28"/>
          <w:rtl/>
        </w:rPr>
      </w:pPr>
    </w:p>
    <w:p w14:paraId="23A1BCC1" w14:textId="77777777" w:rsidR="001601B0" w:rsidRPr="00843E86" w:rsidRDefault="001601B0" w:rsidP="001601B0">
      <w:pPr>
        <w:pStyle w:val="a9"/>
        <w:numPr>
          <w:ilvl w:val="0"/>
          <w:numId w:val="1"/>
        </w:numPr>
        <w:spacing w:line="360" w:lineRule="auto"/>
        <w:jc w:val="both"/>
        <w:rPr>
          <w:rFonts w:ascii="FrankRuehl" w:hAnsi="FrankRuehl" w:cs="FrankRuehl"/>
          <w:sz w:val="28"/>
          <w:szCs w:val="28"/>
          <w:rtl/>
        </w:rPr>
      </w:pPr>
      <w:r>
        <w:rPr>
          <w:rFonts w:ascii="FrankRuehl" w:hAnsi="FrankRuehl" w:cs="FrankRuehl" w:hint="cs"/>
          <w:sz w:val="28"/>
          <w:szCs w:val="28"/>
          <w:rtl/>
        </w:rPr>
        <w:t xml:space="preserve">קנס בסך 4,000 ₪ או 20 ימי מאסר תחתם. הקנס ישולם עד ליום 1.02.22. </w:t>
      </w:r>
      <w:r w:rsidRPr="00843E86">
        <w:rPr>
          <w:rFonts w:ascii="FrankRuehl" w:hAnsi="FrankRuehl" w:cs="FrankRuehl" w:hint="cs"/>
          <w:sz w:val="28"/>
          <w:szCs w:val="28"/>
          <w:rtl/>
        </w:rPr>
        <w:t xml:space="preserve"> </w:t>
      </w:r>
    </w:p>
    <w:p w14:paraId="0ED2F0FD" w14:textId="77777777" w:rsidR="001601B0" w:rsidRPr="004F15AD" w:rsidRDefault="004F15AD" w:rsidP="001601B0">
      <w:pPr>
        <w:spacing w:line="360" w:lineRule="auto"/>
        <w:jc w:val="both"/>
        <w:rPr>
          <w:rFonts w:ascii="FrankRuehl" w:hAnsi="FrankRuehl" w:cs="FrankRuehl"/>
          <w:color w:val="FFFFFF"/>
          <w:sz w:val="2"/>
          <w:szCs w:val="2"/>
          <w:rtl/>
        </w:rPr>
      </w:pPr>
      <w:r w:rsidRPr="004F15AD">
        <w:rPr>
          <w:rFonts w:ascii="FrankRuehl" w:hAnsi="FrankRuehl" w:cs="FrankRuehl"/>
          <w:color w:val="FFFFFF"/>
          <w:sz w:val="2"/>
          <w:szCs w:val="2"/>
          <w:rtl/>
        </w:rPr>
        <w:t>5129371</w:t>
      </w:r>
    </w:p>
    <w:p w14:paraId="4D73C837" w14:textId="77777777" w:rsidR="001601B0" w:rsidRDefault="004F15AD" w:rsidP="001601B0">
      <w:pPr>
        <w:spacing w:line="360" w:lineRule="auto"/>
        <w:jc w:val="both"/>
        <w:rPr>
          <w:rFonts w:ascii="FrankRuehl" w:hAnsi="FrankRuehl" w:cs="FrankRuehl"/>
          <w:sz w:val="28"/>
          <w:szCs w:val="28"/>
          <w:rtl/>
        </w:rPr>
      </w:pPr>
      <w:r w:rsidRPr="004F15AD">
        <w:rPr>
          <w:rFonts w:ascii="FrankRuehl" w:hAnsi="FrankRuehl" w:cs="FrankRuehl"/>
          <w:color w:val="FFFFFF"/>
          <w:sz w:val="2"/>
          <w:szCs w:val="2"/>
          <w:rtl/>
        </w:rPr>
        <w:t>54678313</w:t>
      </w:r>
      <w:r w:rsidR="001601B0">
        <w:rPr>
          <w:rFonts w:ascii="FrankRuehl" w:hAnsi="FrankRuehl" w:cs="FrankRuehl" w:hint="cs"/>
          <w:sz w:val="28"/>
          <w:szCs w:val="28"/>
          <w:rtl/>
        </w:rPr>
        <w:t>זכות ערעור לבית המשפט העליון בתוך 45 יום מהיום.</w:t>
      </w:r>
    </w:p>
    <w:p w14:paraId="6DD4C98F" w14:textId="77777777" w:rsidR="001601B0" w:rsidRDefault="001601B0" w:rsidP="001601B0">
      <w:pPr>
        <w:spacing w:line="360" w:lineRule="auto"/>
        <w:jc w:val="both"/>
        <w:rPr>
          <w:rFonts w:ascii="FrankRuehl" w:hAnsi="FrankRuehl" w:cs="FrankRuehl"/>
          <w:sz w:val="28"/>
          <w:szCs w:val="28"/>
          <w:rtl/>
        </w:rPr>
      </w:pPr>
    </w:p>
    <w:p w14:paraId="17455C27" w14:textId="77777777" w:rsidR="001601B0" w:rsidRPr="00FB6919" w:rsidRDefault="004F15AD" w:rsidP="001601B0">
      <w:pPr>
        <w:spacing w:line="360" w:lineRule="auto"/>
        <w:jc w:val="both"/>
        <w:rPr>
          <w:rFonts w:ascii="FrankRuehl" w:hAnsi="FrankRuehl" w:cs="FrankRuehl"/>
          <w:sz w:val="28"/>
          <w:szCs w:val="28"/>
          <w:rtl/>
        </w:rPr>
      </w:pPr>
      <w:bookmarkStart w:id="8" w:name="Nitan"/>
      <w:r>
        <w:rPr>
          <w:rFonts w:ascii="FrankRuehl" w:hAnsi="FrankRuehl" w:cs="FrankRuehl"/>
          <w:sz w:val="28"/>
          <w:szCs w:val="28"/>
          <w:rtl/>
        </w:rPr>
        <w:t xml:space="preserve">ניתן היום,  ט' שבט תשפ"ב, 11 ינואר 2022, במעמד המתייצבים. </w:t>
      </w:r>
      <w:bookmarkEnd w:id="8"/>
    </w:p>
    <w:p w14:paraId="5AECF88B" w14:textId="77777777" w:rsidR="001601B0" w:rsidRPr="002B7D23" w:rsidRDefault="001601B0" w:rsidP="004F15A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007C510" w14:textId="77777777" w:rsidR="001601B0" w:rsidRPr="002B7D23" w:rsidRDefault="001601B0" w:rsidP="001601B0">
      <w:pPr>
        <w:jc w:val="center"/>
        <w:rPr>
          <w:rFonts w:ascii="David" w:hAnsi="David"/>
          <w:sz w:val="26"/>
          <w:szCs w:val="26"/>
          <w:rtl/>
        </w:rPr>
      </w:pPr>
    </w:p>
    <w:p w14:paraId="551FC51D" w14:textId="77777777" w:rsidR="004D6206" w:rsidRPr="004F15AD" w:rsidRDefault="004D6206" w:rsidP="004F15AD">
      <w:pPr>
        <w:keepNext/>
        <w:rPr>
          <w:rFonts w:ascii="David" w:hAnsi="David"/>
          <w:color w:val="000000"/>
          <w:sz w:val="22"/>
          <w:szCs w:val="22"/>
          <w:rtl/>
        </w:rPr>
      </w:pPr>
    </w:p>
    <w:p w14:paraId="3ED9BC42" w14:textId="77777777" w:rsidR="004F15AD" w:rsidRPr="004F15AD" w:rsidRDefault="004F15AD" w:rsidP="004F15AD">
      <w:pPr>
        <w:keepNext/>
        <w:rPr>
          <w:rFonts w:ascii="David" w:hAnsi="David"/>
          <w:color w:val="000000"/>
          <w:sz w:val="22"/>
          <w:szCs w:val="22"/>
          <w:rtl/>
        </w:rPr>
      </w:pPr>
      <w:r w:rsidRPr="004F15AD">
        <w:rPr>
          <w:rFonts w:ascii="David" w:hAnsi="David"/>
          <w:color w:val="000000"/>
          <w:sz w:val="22"/>
          <w:szCs w:val="22"/>
          <w:rtl/>
        </w:rPr>
        <w:t>אילן סלע 54678313</w:t>
      </w:r>
    </w:p>
    <w:p w14:paraId="4217F7D5" w14:textId="77777777" w:rsidR="004F15AD" w:rsidRDefault="004F15AD" w:rsidP="004F15AD">
      <w:r w:rsidRPr="004F15AD">
        <w:rPr>
          <w:color w:val="000000"/>
          <w:rtl/>
        </w:rPr>
        <w:t>נוסח מסמך זה כפוף לשינויי ניסוח ועריכה</w:t>
      </w:r>
    </w:p>
    <w:p w14:paraId="2C8B87A3" w14:textId="77777777" w:rsidR="004F15AD" w:rsidRDefault="004F15AD" w:rsidP="004F15AD">
      <w:pPr>
        <w:rPr>
          <w:rtl/>
        </w:rPr>
      </w:pPr>
    </w:p>
    <w:p w14:paraId="7FDF4935" w14:textId="77777777" w:rsidR="004F15AD" w:rsidRDefault="004F15AD" w:rsidP="004F15AD">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34088405" w14:textId="77777777" w:rsidR="004F15AD" w:rsidRPr="004F15AD" w:rsidRDefault="004F15AD" w:rsidP="004F15AD">
      <w:pPr>
        <w:jc w:val="center"/>
        <w:rPr>
          <w:color w:val="0000FF"/>
          <w:u w:val="single"/>
        </w:rPr>
      </w:pPr>
    </w:p>
    <w:sectPr w:rsidR="004F15AD" w:rsidRPr="004F15AD" w:rsidSect="004F15AD">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A85A0" w14:textId="77777777" w:rsidR="000058DF" w:rsidRDefault="000058DF" w:rsidP="00354E81">
      <w:r>
        <w:separator/>
      </w:r>
    </w:p>
  </w:endnote>
  <w:endnote w:type="continuationSeparator" w:id="0">
    <w:p w14:paraId="5EAB757D" w14:textId="77777777" w:rsidR="000058DF" w:rsidRDefault="000058DF" w:rsidP="0035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0A1D" w14:textId="77777777" w:rsidR="004F15AD" w:rsidRDefault="004F15AD" w:rsidP="004F15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A7CAC8" w14:textId="77777777" w:rsidR="002B6C0D" w:rsidRPr="004F15AD" w:rsidRDefault="004F15AD" w:rsidP="004F15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03A3E" w14:textId="77777777" w:rsidR="004F15AD" w:rsidRDefault="004F15AD" w:rsidP="004F15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0F9D">
      <w:rPr>
        <w:rFonts w:ascii="FrankRuehl" w:hAnsi="FrankRuehl" w:cs="FrankRuehl"/>
        <w:noProof/>
        <w:rtl/>
      </w:rPr>
      <w:t>1</w:t>
    </w:r>
    <w:r>
      <w:rPr>
        <w:rFonts w:ascii="FrankRuehl" w:hAnsi="FrankRuehl" w:cs="FrankRuehl"/>
        <w:rtl/>
      </w:rPr>
      <w:fldChar w:fldCharType="end"/>
    </w:r>
  </w:p>
  <w:p w14:paraId="23574786" w14:textId="77777777" w:rsidR="002B6C0D" w:rsidRPr="004F15AD" w:rsidRDefault="004F15AD" w:rsidP="004F15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44B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1CDF3" w14:textId="77777777" w:rsidR="000058DF" w:rsidRDefault="000058DF" w:rsidP="00354E81">
      <w:r>
        <w:separator/>
      </w:r>
    </w:p>
  </w:footnote>
  <w:footnote w:type="continuationSeparator" w:id="0">
    <w:p w14:paraId="33BE5D02" w14:textId="77777777" w:rsidR="000058DF" w:rsidRDefault="000058DF" w:rsidP="00354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947D3" w14:textId="77777777" w:rsidR="004F15AD" w:rsidRPr="004F15AD" w:rsidRDefault="004F15AD" w:rsidP="004F15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31822-04-21</w:t>
    </w:r>
    <w:r>
      <w:rPr>
        <w:rFonts w:ascii="David" w:hAnsi="David"/>
        <w:color w:val="000000"/>
        <w:sz w:val="22"/>
        <w:szCs w:val="22"/>
        <w:rtl/>
      </w:rPr>
      <w:tab/>
      <w:t xml:space="preserve"> מדינת ישראל נ' טום סונינו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F594D" w14:textId="77777777" w:rsidR="004F15AD" w:rsidRPr="004F15AD" w:rsidRDefault="004F15AD" w:rsidP="004F15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31822-04-21</w:t>
    </w:r>
    <w:r>
      <w:rPr>
        <w:rFonts w:ascii="David" w:hAnsi="David"/>
        <w:color w:val="000000"/>
        <w:sz w:val="22"/>
        <w:szCs w:val="22"/>
        <w:rtl/>
      </w:rPr>
      <w:tab/>
      <w:t xml:space="preserve"> מדינת ישראל נ' טום סונינו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921D8"/>
    <w:multiLevelType w:val="hybridMultilevel"/>
    <w:tmpl w:val="44F86574"/>
    <w:lvl w:ilvl="0" w:tplc="7406A6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89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01B0"/>
    <w:rsid w:val="000058DF"/>
    <w:rsid w:val="001169C2"/>
    <w:rsid w:val="001601B0"/>
    <w:rsid w:val="001B5A3B"/>
    <w:rsid w:val="002B6C0D"/>
    <w:rsid w:val="00354E81"/>
    <w:rsid w:val="00377232"/>
    <w:rsid w:val="004D6206"/>
    <w:rsid w:val="004F15AD"/>
    <w:rsid w:val="006840AF"/>
    <w:rsid w:val="006D7B53"/>
    <w:rsid w:val="006F601F"/>
    <w:rsid w:val="00870F9D"/>
    <w:rsid w:val="00923B49"/>
    <w:rsid w:val="00B3243D"/>
    <w:rsid w:val="00B327A2"/>
    <w:rsid w:val="00E37A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B84E8C"/>
  <w15:chartTrackingRefBased/>
  <w15:docId w15:val="{96A622AC-BE1D-4DDF-8E9B-D8A7DAB3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01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01B0"/>
    <w:pPr>
      <w:tabs>
        <w:tab w:val="center" w:pos="4153"/>
        <w:tab w:val="right" w:pos="8306"/>
      </w:tabs>
    </w:pPr>
  </w:style>
  <w:style w:type="character" w:customStyle="1" w:styleId="a4">
    <w:name w:val="כותרת עליונה תו"/>
    <w:link w:val="a3"/>
    <w:rsid w:val="001601B0"/>
    <w:rPr>
      <w:rFonts w:ascii="Times New Roman" w:eastAsia="Times New Roman" w:hAnsi="Times New Roman" w:cs="David"/>
      <w:sz w:val="24"/>
      <w:szCs w:val="24"/>
    </w:rPr>
  </w:style>
  <w:style w:type="paragraph" w:styleId="a5">
    <w:name w:val="footer"/>
    <w:basedOn w:val="a"/>
    <w:link w:val="a6"/>
    <w:rsid w:val="001601B0"/>
    <w:pPr>
      <w:tabs>
        <w:tab w:val="center" w:pos="4153"/>
        <w:tab w:val="right" w:pos="8306"/>
      </w:tabs>
    </w:pPr>
  </w:style>
  <w:style w:type="character" w:customStyle="1" w:styleId="a6">
    <w:name w:val="כותרת תחתונה תו"/>
    <w:link w:val="a5"/>
    <w:rsid w:val="001601B0"/>
    <w:rPr>
      <w:rFonts w:ascii="Times New Roman" w:eastAsia="Times New Roman" w:hAnsi="Times New Roman" w:cs="David"/>
      <w:sz w:val="24"/>
      <w:szCs w:val="24"/>
    </w:rPr>
  </w:style>
  <w:style w:type="table" w:styleId="a7">
    <w:name w:val="Table Grid"/>
    <w:basedOn w:val="a1"/>
    <w:rsid w:val="001601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01B0"/>
  </w:style>
  <w:style w:type="paragraph" w:styleId="a9">
    <w:name w:val="List Paragraph"/>
    <w:basedOn w:val="a"/>
    <w:qFormat/>
    <w:rsid w:val="001601B0"/>
    <w:pPr>
      <w:ind w:left="720"/>
      <w:contextualSpacing/>
    </w:pPr>
  </w:style>
  <w:style w:type="character" w:styleId="Hyperlink">
    <w:name w:val="Hyperlink"/>
    <w:rsid w:val="004F1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a.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fontTable" Target="fontTable.xml"/><Relationship Id="rId10" Type="http://schemas.openxmlformats.org/officeDocument/2006/relationships/hyperlink" Target="http://www.nevo.co.il/law/70301/144.b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1435</Words>
  <Characters>7175</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8593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31822</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טום סונינו</vt:lpwstr>
  </property>
  <property fmtid="{D5CDD505-2E9C-101B-9397-08002B2CF9AE}" pid="10" name="LAWYER">
    <vt:lpwstr>אפרים אבן צדק;שחר מלול</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20220111</vt:lpwstr>
  </property>
  <property fmtid="{D5CDD505-2E9C-101B-9397-08002B2CF9AE}" pid="14" name="TYPE_N_DATE">
    <vt:lpwstr>39020220111</vt:lpwstr>
  </property>
  <property fmtid="{D5CDD505-2E9C-101B-9397-08002B2CF9AE}" pid="15" name="WORDNUMPAGES">
    <vt:lpwstr>5</vt:lpwstr>
  </property>
  <property fmtid="{D5CDD505-2E9C-101B-9397-08002B2CF9AE}" pid="16" name="TYPE_ABS_DATE">
    <vt:lpwstr>390020220111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70301/144.b2;144.a;499.a.1;144</vt:lpwstr>
  </property>
</Properties>
</file>