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7090"/>
        <w:gridCol w:w="1415"/>
      </w:tblGrid>
      <w:tr w:rsidR="00BC58D3" w:rsidRPr="00BC3B62" w14:paraId="6366CB0F" w14:textId="77777777" w:rsidTr="00425DEC">
        <w:trPr>
          <w:trHeight w:hRule="exact" w:val="418"/>
          <w:jc w:val="center"/>
        </w:trPr>
        <w:tc>
          <w:tcPr>
            <w:tcW w:w="8505" w:type="dxa"/>
            <w:gridSpan w:val="2"/>
          </w:tcPr>
          <w:p w14:paraId="46EF3F93" w14:textId="77777777" w:rsidR="00BC58D3" w:rsidRPr="00BC3B62" w:rsidRDefault="00BC58D3" w:rsidP="00425DEC">
            <w:pPr>
              <w:pStyle w:val="a3"/>
              <w:jc w:val="center"/>
              <w:rPr>
                <w:rFonts w:ascii="Tahoma" w:hAnsi="Tahoma" w:cs="Tahoma"/>
                <w:color w:val="000080"/>
                <w:rtl/>
              </w:rPr>
            </w:pPr>
            <w:r w:rsidRPr="00BC3B62">
              <w:rPr>
                <w:rFonts w:ascii="Tahoma" w:hAnsi="Tahoma" w:cs="Tahoma"/>
                <w:b/>
                <w:bCs/>
                <w:color w:val="000080"/>
                <w:rtl/>
              </w:rPr>
              <w:t>בית המשפט המחוזי בירושלים</w:t>
            </w:r>
          </w:p>
        </w:tc>
      </w:tr>
      <w:tr w:rsidR="00BC58D3" w:rsidRPr="00BC3B62" w14:paraId="721C05E4" w14:textId="77777777" w:rsidTr="00425DEC">
        <w:trPr>
          <w:trHeight w:val="337"/>
          <w:jc w:val="center"/>
        </w:trPr>
        <w:tc>
          <w:tcPr>
            <w:tcW w:w="7090" w:type="dxa"/>
          </w:tcPr>
          <w:p w14:paraId="7988E46C" w14:textId="77777777" w:rsidR="00BC58D3" w:rsidRPr="00BC3B62" w:rsidRDefault="00BC58D3" w:rsidP="00425DEC">
            <w:pPr>
              <w:rPr>
                <w:rFonts w:ascii="Tahoma" w:hAnsi="Tahoma" w:cs="Tahoma"/>
                <w:b/>
                <w:bCs/>
                <w:sz w:val="20"/>
                <w:szCs w:val="20"/>
                <w:rtl/>
              </w:rPr>
            </w:pPr>
            <w:r w:rsidRPr="00BC3B62">
              <w:rPr>
                <w:rFonts w:ascii="Tahoma" w:hAnsi="Tahoma" w:cs="Tahoma"/>
                <w:b/>
                <w:bCs/>
                <w:sz w:val="20"/>
                <w:szCs w:val="20"/>
                <w:rtl/>
              </w:rPr>
              <w:t>לפני כב' השופטים א' דראל – סגן נשיא, א' אברבנאל, ח' זנדברג</w:t>
            </w:r>
            <w:r w:rsidRPr="00BC3B62">
              <w:rPr>
                <w:rFonts w:ascii="Tahoma" w:hAnsi="Tahoma" w:cs="Tahoma"/>
                <w:b/>
                <w:bCs/>
                <w:sz w:val="20"/>
                <w:szCs w:val="20"/>
                <w:rtl/>
              </w:rPr>
              <w:br/>
              <w:t>תפ"ח 63773-04-21 מדינת ישראל נ' סאלחי ואח'</w:t>
            </w:r>
          </w:p>
          <w:p w14:paraId="13B00B9B" w14:textId="77777777" w:rsidR="00BC58D3" w:rsidRPr="00BC3B62" w:rsidRDefault="00BC58D3" w:rsidP="00425DEC">
            <w:pPr>
              <w:pStyle w:val="a3"/>
              <w:rPr>
                <w:rFonts w:cs="FrankRuehl"/>
                <w:sz w:val="28"/>
                <w:szCs w:val="28"/>
                <w:rtl/>
              </w:rPr>
            </w:pPr>
          </w:p>
        </w:tc>
        <w:tc>
          <w:tcPr>
            <w:tcW w:w="1415" w:type="dxa"/>
          </w:tcPr>
          <w:p w14:paraId="63BA0343" w14:textId="77777777" w:rsidR="00BC58D3" w:rsidRPr="00BC3B62" w:rsidRDefault="00BC58D3" w:rsidP="00425DEC">
            <w:pPr>
              <w:pStyle w:val="a3"/>
              <w:jc w:val="right"/>
              <w:rPr>
                <w:rFonts w:cs="FrankRuehl"/>
                <w:sz w:val="28"/>
                <w:szCs w:val="28"/>
                <w:rtl/>
              </w:rPr>
            </w:pPr>
            <w:r w:rsidRPr="00BC3B62">
              <w:rPr>
                <w:rFonts w:cs="FrankRuehl" w:hint="cs"/>
                <w:sz w:val="28"/>
                <w:szCs w:val="28"/>
                <w:rtl/>
              </w:rPr>
              <w:t>11.1.2023</w:t>
            </w:r>
          </w:p>
        </w:tc>
      </w:tr>
    </w:tbl>
    <w:p w14:paraId="381AF2E4" w14:textId="77777777" w:rsidR="00BC58D3" w:rsidRPr="00BC3B62" w:rsidRDefault="00BC58D3" w:rsidP="00BC58D3">
      <w:pPr>
        <w:pStyle w:val="a3"/>
        <w:rPr>
          <w:rtl/>
        </w:rPr>
      </w:pPr>
      <w:bookmarkStart w:id="0" w:name="LastJudge"/>
      <w:bookmarkEnd w:id="0"/>
      <w:r w:rsidRPr="00BC3B62">
        <w:rPr>
          <w:rFonts w:hint="cs"/>
          <w:rtl/>
        </w:rPr>
        <w:t xml:space="preserve"> </w:t>
      </w:r>
    </w:p>
    <w:p w14:paraId="7CE4E06D" w14:textId="77777777" w:rsidR="00BC58D3" w:rsidRPr="00BC3B62" w:rsidRDefault="00BC58D3" w:rsidP="00BC58D3">
      <w:pPr>
        <w:rPr>
          <w:rFonts w:ascii="FrankRuehl" w:hAnsi="FrankRuehl" w:cs="FrankRuehl"/>
          <w:sz w:val="26"/>
          <w:szCs w:val="26"/>
          <w:rtl/>
        </w:rPr>
      </w:pPr>
    </w:p>
    <w:p w14:paraId="7382C05D" w14:textId="77777777" w:rsidR="00BC58D3" w:rsidRPr="00BC3B62" w:rsidRDefault="00BC58D3" w:rsidP="00BC58D3">
      <w:pPr>
        <w:rPr>
          <w:rFonts w:ascii="FrankRuehl" w:hAnsi="FrankRuehl"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2230"/>
        <w:gridCol w:w="5667"/>
      </w:tblGrid>
      <w:tr w:rsidR="00BC58D3" w:rsidRPr="00BC3B62" w14:paraId="7AC4FD23" w14:textId="77777777" w:rsidTr="00BC58D3">
        <w:trPr>
          <w:trHeight w:val="295"/>
          <w:jc w:val="center"/>
        </w:trPr>
        <w:tc>
          <w:tcPr>
            <w:tcW w:w="923" w:type="dxa"/>
            <w:tcBorders>
              <w:top w:val="nil"/>
              <w:left w:val="nil"/>
              <w:bottom w:val="nil"/>
              <w:right w:val="nil"/>
            </w:tcBorders>
            <w:shd w:val="clear" w:color="auto" w:fill="auto"/>
          </w:tcPr>
          <w:p w14:paraId="7A1A98E8" w14:textId="77777777" w:rsidR="00BC58D3" w:rsidRPr="00BC3B62" w:rsidRDefault="00BC58D3" w:rsidP="00BC58D3">
            <w:pPr>
              <w:jc w:val="both"/>
              <w:rPr>
                <w:rFonts w:ascii="FrankRuehl" w:hAnsi="FrankRuehl" w:cs="FrankRuehl"/>
                <w:sz w:val="26"/>
                <w:szCs w:val="26"/>
              </w:rPr>
            </w:pPr>
          </w:p>
        </w:tc>
        <w:tc>
          <w:tcPr>
            <w:tcW w:w="7897" w:type="dxa"/>
            <w:gridSpan w:val="2"/>
            <w:tcBorders>
              <w:top w:val="nil"/>
              <w:left w:val="nil"/>
              <w:bottom w:val="nil"/>
              <w:right w:val="nil"/>
            </w:tcBorders>
            <w:shd w:val="clear" w:color="auto" w:fill="auto"/>
          </w:tcPr>
          <w:p w14:paraId="6968F67D" w14:textId="77777777" w:rsidR="00BC58D3" w:rsidRPr="00BC3B62" w:rsidRDefault="00BC58D3" w:rsidP="00BC58D3">
            <w:pPr>
              <w:jc w:val="both"/>
              <w:rPr>
                <w:rFonts w:ascii="FrankRuehl" w:hAnsi="FrankRuehl" w:cs="FrankRuehl"/>
                <w:sz w:val="26"/>
                <w:szCs w:val="26"/>
              </w:rPr>
            </w:pPr>
          </w:p>
        </w:tc>
      </w:tr>
      <w:tr w:rsidR="00BC58D3" w:rsidRPr="00BC3B62" w14:paraId="5EAB68B0" w14:textId="77777777" w:rsidTr="00BC58D3">
        <w:trPr>
          <w:trHeight w:val="355"/>
          <w:jc w:val="center"/>
        </w:trPr>
        <w:tc>
          <w:tcPr>
            <w:tcW w:w="923" w:type="dxa"/>
            <w:tcBorders>
              <w:top w:val="nil"/>
              <w:left w:val="nil"/>
              <w:bottom w:val="nil"/>
              <w:right w:val="nil"/>
            </w:tcBorders>
            <w:shd w:val="clear" w:color="auto" w:fill="auto"/>
          </w:tcPr>
          <w:p w14:paraId="72301ED9" w14:textId="77777777" w:rsidR="00BC58D3" w:rsidRPr="00BC3B62" w:rsidRDefault="00BC58D3" w:rsidP="00BC58D3">
            <w:pPr>
              <w:jc w:val="both"/>
              <w:rPr>
                <w:rFonts w:ascii="FrankRuehl" w:hAnsi="FrankRuehl" w:cs="FrankRuehl"/>
                <w:sz w:val="28"/>
                <w:szCs w:val="28"/>
              </w:rPr>
            </w:pPr>
            <w:bookmarkStart w:id="1" w:name="FirstAppellant"/>
            <w:bookmarkStart w:id="2" w:name="FirstLawyer"/>
            <w:r w:rsidRPr="00BC3B62">
              <w:rPr>
                <w:rFonts w:ascii="FrankRuehl" w:hAnsi="FrankRuehl" w:cs="FrankRuehl"/>
                <w:sz w:val="28"/>
                <w:szCs w:val="28"/>
                <w:rtl/>
              </w:rPr>
              <w:t>בעניין:</w:t>
            </w:r>
          </w:p>
        </w:tc>
        <w:tc>
          <w:tcPr>
            <w:tcW w:w="2230" w:type="dxa"/>
            <w:tcBorders>
              <w:top w:val="nil"/>
              <w:left w:val="nil"/>
              <w:bottom w:val="nil"/>
              <w:right w:val="nil"/>
            </w:tcBorders>
            <w:shd w:val="clear" w:color="auto" w:fill="auto"/>
          </w:tcPr>
          <w:p w14:paraId="3B1C63D8" w14:textId="77777777" w:rsidR="00BC58D3" w:rsidRPr="00BC3B62" w:rsidRDefault="00BC58D3" w:rsidP="00BC58D3">
            <w:pPr>
              <w:suppressLineNumbers/>
              <w:rPr>
                <w:rFonts w:ascii="FrankRuehl" w:hAnsi="FrankRuehl" w:cs="FrankRuehl"/>
                <w:sz w:val="28"/>
                <w:szCs w:val="28"/>
              </w:rPr>
            </w:pPr>
            <w:r w:rsidRPr="00BC3B62">
              <w:rPr>
                <w:rFonts w:ascii="FrankRuehl" w:hAnsi="FrankRuehl" w:cs="FrankRuehl"/>
                <w:b/>
                <w:bCs/>
                <w:sz w:val="28"/>
                <w:szCs w:val="28"/>
                <w:rtl/>
              </w:rPr>
              <w:t>המאשימה</w:t>
            </w:r>
          </w:p>
          <w:p w14:paraId="4B2F166E" w14:textId="77777777" w:rsidR="00BC58D3" w:rsidRPr="00BC3B62" w:rsidRDefault="00BC58D3" w:rsidP="00425DEC">
            <w:pPr>
              <w:rPr>
                <w:rFonts w:ascii="FrankRuehl" w:hAnsi="FrankRuehl" w:cs="FrankRuehl"/>
                <w:sz w:val="28"/>
                <w:szCs w:val="28"/>
              </w:rPr>
            </w:pPr>
          </w:p>
        </w:tc>
        <w:tc>
          <w:tcPr>
            <w:tcW w:w="5667" w:type="dxa"/>
            <w:tcBorders>
              <w:top w:val="nil"/>
              <w:left w:val="nil"/>
              <w:bottom w:val="nil"/>
              <w:right w:val="nil"/>
            </w:tcBorders>
            <w:shd w:val="clear" w:color="auto" w:fill="auto"/>
            <w:vAlign w:val="center"/>
          </w:tcPr>
          <w:p w14:paraId="687C664E" w14:textId="77777777" w:rsidR="00BC58D3" w:rsidRPr="00BC3B62" w:rsidRDefault="00BC58D3" w:rsidP="00BC58D3">
            <w:pPr>
              <w:suppressLineNumbers/>
              <w:rPr>
                <w:rFonts w:ascii="FrankRuehl" w:hAnsi="FrankRuehl" w:cs="FrankRuehl"/>
                <w:b/>
                <w:bCs/>
                <w:sz w:val="28"/>
                <w:szCs w:val="28"/>
                <w:rtl/>
              </w:rPr>
            </w:pPr>
            <w:r w:rsidRPr="00BC3B62">
              <w:rPr>
                <w:rFonts w:ascii="FrankRuehl" w:hAnsi="FrankRuehl" w:cs="FrankRuehl"/>
                <w:b/>
                <w:bCs/>
                <w:sz w:val="28"/>
                <w:szCs w:val="28"/>
                <w:rtl/>
              </w:rPr>
              <w:t xml:space="preserve">מדינת ישראל </w:t>
            </w:r>
          </w:p>
          <w:p w14:paraId="076DB134" w14:textId="77777777" w:rsidR="00BC58D3" w:rsidRPr="00BC3B62" w:rsidRDefault="00BC58D3" w:rsidP="00BC58D3">
            <w:pPr>
              <w:suppressLineNumbers/>
              <w:rPr>
                <w:rFonts w:ascii="FrankRuehl" w:hAnsi="FrankRuehl" w:cs="FrankRuehl"/>
                <w:sz w:val="28"/>
                <w:szCs w:val="28"/>
              </w:rPr>
            </w:pPr>
            <w:r w:rsidRPr="00BC3B62">
              <w:rPr>
                <w:rFonts w:ascii="FrankRuehl" w:hAnsi="FrankRuehl" w:cs="FrankRuehl"/>
                <w:sz w:val="28"/>
                <w:szCs w:val="28"/>
                <w:rtl/>
              </w:rPr>
              <w:t>ע"י עו"ד נורית לנגנטל-שוורץ</w:t>
            </w:r>
          </w:p>
          <w:p w14:paraId="1633DCD4" w14:textId="77777777" w:rsidR="00BC58D3" w:rsidRPr="00BC3B62" w:rsidRDefault="00BC58D3" w:rsidP="00425DEC">
            <w:pPr>
              <w:rPr>
                <w:rFonts w:ascii="FrankRuehl" w:hAnsi="FrankRuehl" w:cs="FrankRuehl"/>
                <w:sz w:val="28"/>
                <w:szCs w:val="28"/>
              </w:rPr>
            </w:pPr>
          </w:p>
        </w:tc>
      </w:tr>
      <w:bookmarkEnd w:id="1"/>
      <w:bookmarkEnd w:id="2"/>
      <w:tr w:rsidR="00BC58D3" w:rsidRPr="00BC3B62" w14:paraId="701D924D" w14:textId="77777777" w:rsidTr="00BC58D3">
        <w:trPr>
          <w:trHeight w:val="355"/>
          <w:jc w:val="center"/>
        </w:trPr>
        <w:tc>
          <w:tcPr>
            <w:tcW w:w="923" w:type="dxa"/>
            <w:tcBorders>
              <w:top w:val="nil"/>
              <w:left w:val="nil"/>
              <w:bottom w:val="nil"/>
              <w:right w:val="nil"/>
            </w:tcBorders>
            <w:shd w:val="clear" w:color="auto" w:fill="auto"/>
          </w:tcPr>
          <w:p w14:paraId="70DC0033" w14:textId="77777777" w:rsidR="00BC58D3" w:rsidRPr="00BC3B62" w:rsidRDefault="00BC58D3" w:rsidP="00BC58D3">
            <w:pPr>
              <w:jc w:val="both"/>
              <w:rPr>
                <w:rFonts w:ascii="FrankRuehl" w:hAnsi="FrankRuehl" w:cs="FrankRuehl"/>
                <w:sz w:val="28"/>
                <w:szCs w:val="28"/>
                <w:rtl/>
              </w:rPr>
            </w:pPr>
          </w:p>
        </w:tc>
        <w:tc>
          <w:tcPr>
            <w:tcW w:w="7897" w:type="dxa"/>
            <w:gridSpan w:val="2"/>
            <w:tcBorders>
              <w:top w:val="nil"/>
              <w:left w:val="nil"/>
              <w:bottom w:val="nil"/>
              <w:right w:val="nil"/>
            </w:tcBorders>
            <w:shd w:val="clear" w:color="auto" w:fill="auto"/>
          </w:tcPr>
          <w:p w14:paraId="4300A3AE" w14:textId="77777777" w:rsidR="00BC58D3" w:rsidRPr="00BC3B62" w:rsidRDefault="00BC58D3" w:rsidP="00BC58D3">
            <w:pPr>
              <w:jc w:val="center"/>
              <w:rPr>
                <w:rFonts w:ascii="FrankRuehl" w:hAnsi="FrankRuehl" w:cs="FrankRuehl"/>
                <w:b/>
                <w:bCs/>
                <w:sz w:val="28"/>
                <w:szCs w:val="28"/>
                <w:rtl/>
              </w:rPr>
            </w:pPr>
          </w:p>
          <w:p w14:paraId="0A942D7F" w14:textId="77777777" w:rsidR="00BC58D3" w:rsidRPr="00BC3B62" w:rsidRDefault="00BC58D3" w:rsidP="00BC58D3">
            <w:pPr>
              <w:jc w:val="center"/>
              <w:rPr>
                <w:rFonts w:ascii="FrankRuehl" w:hAnsi="FrankRuehl" w:cs="FrankRuehl"/>
                <w:b/>
                <w:bCs/>
                <w:sz w:val="28"/>
                <w:szCs w:val="28"/>
                <w:rtl/>
              </w:rPr>
            </w:pPr>
            <w:r w:rsidRPr="00BC3B62">
              <w:rPr>
                <w:rFonts w:ascii="FrankRuehl" w:hAnsi="FrankRuehl" w:cs="FrankRuehl"/>
                <w:b/>
                <w:bCs/>
                <w:sz w:val="28"/>
                <w:szCs w:val="28"/>
                <w:rtl/>
              </w:rPr>
              <w:t>נגד</w:t>
            </w:r>
          </w:p>
          <w:p w14:paraId="71A20819" w14:textId="77777777" w:rsidR="00BC58D3" w:rsidRPr="00BC3B62" w:rsidRDefault="00BC58D3" w:rsidP="00BC58D3">
            <w:pPr>
              <w:jc w:val="both"/>
              <w:rPr>
                <w:rFonts w:ascii="FrankRuehl" w:hAnsi="FrankRuehl" w:cs="FrankRuehl"/>
                <w:sz w:val="28"/>
                <w:szCs w:val="28"/>
              </w:rPr>
            </w:pPr>
          </w:p>
        </w:tc>
      </w:tr>
      <w:tr w:rsidR="00BC58D3" w:rsidRPr="00BC3B62" w14:paraId="1ADA08AC" w14:textId="77777777" w:rsidTr="00BC58D3">
        <w:trPr>
          <w:trHeight w:val="355"/>
          <w:jc w:val="center"/>
        </w:trPr>
        <w:tc>
          <w:tcPr>
            <w:tcW w:w="923" w:type="dxa"/>
            <w:tcBorders>
              <w:top w:val="nil"/>
              <w:left w:val="nil"/>
              <w:bottom w:val="nil"/>
              <w:right w:val="nil"/>
            </w:tcBorders>
            <w:shd w:val="clear" w:color="auto" w:fill="auto"/>
          </w:tcPr>
          <w:p w14:paraId="3982917A" w14:textId="77777777" w:rsidR="00BC58D3" w:rsidRPr="00BC3B62" w:rsidRDefault="00BC58D3" w:rsidP="00425DEC">
            <w:pPr>
              <w:rPr>
                <w:rFonts w:ascii="FrankRuehl" w:hAnsi="FrankRuehl" w:cs="FrankRuehl"/>
                <w:sz w:val="28"/>
                <w:szCs w:val="28"/>
                <w:rtl/>
              </w:rPr>
            </w:pPr>
          </w:p>
        </w:tc>
        <w:tc>
          <w:tcPr>
            <w:tcW w:w="2230" w:type="dxa"/>
            <w:tcBorders>
              <w:top w:val="nil"/>
              <w:left w:val="nil"/>
              <w:bottom w:val="nil"/>
              <w:right w:val="nil"/>
            </w:tcBorders>
            <w:shd w:val="clear" w:color="auto" w:fill="auto"/>
          </w:tcPr>
          <w:p w14:paraId="6113D8C0" w14:textId="77777777" w:rsidR="00BC58D3" w:rsidRPr="00BC3B62" w:rsidRDefault="00BC58D3" w:rsidP="00425DEC">
            <w:pPr>
              <w:rPr>
                <w:rFonts w:ascii="FrankRuehl" w:hAnsi="FrankRuehl" w:cs="FrankRuehl"/>
                <w:b/>
                <w:bCs/>
                <w:sz w:val="28"/>
                <w:szCs w:val="28"/>
                <w:rtl/>
              </w:rPr>
            </w:pPr>
          </w:p>
          <w:p w14:paraId="516F1903" w14:textId="77777777" w:rsidR="00BC58D3" w:rsidRPr="00BC3B62" w:rsidRDefault="00BC58D3" w:rsidP="00425DEC">
            <w:pPr>
              <w:rPr>
                <w:rFonts w:ascii="FrankRuehl" w:hAnsi="FrankRuehl" w:cs="FrankRuehl"/>
                <w:b/>
                <w:bCs/>
                <w:sz w:val="28"/>
                <w:szCs w:val="28"/>
                <w:rtl/>
              </w:rPr>
            </w:pPr>
            <w:r w:rsidRPr="00BC3B62">
              <w:rPr>
                <w:rFonts w:ascii="FrankRuehl" w:hAnsi="FrankRuehl" w:cs="FrankRuehl"/>
                <w:b/>
                <w:bCs/>
                <w:sz w:val="28"/>
                <w:szCs w:val="28"/>
                <w:rtl/>
              </w:rPr>
              <w:t>הנאשמים</w:t>
            </w:r>
          </w:p>
        </w:tc>
        <w:tc>
          <w:tcPr>
            <w:tcW w:w="5667" w:type="dxa"/>
            <w:tcBorders>
              <w:top w:val="nil"/>
              <w:left w:val="nil"/>
              <w:bottom w:val="nil"/>
              <w:right w:val="nil"/>
            </w:tcBorders>
            <w:shd w:val="clear" w:color="auto" w:fill="auto"/>
            <w:vAlign w:val="center"/>
          </w:tcPr>
          <w:p w14:paraId="2E1F6B12" w14:textId="77777777" w:rsidR="00BC58D3" w:rsidRPr="00BC3B62" w:rsidRDefault="00BC58D3" w:rsidP="00425DEC">
            <w:pPr>
              <w:rPr>
                <w:rFonts w:ascii="FrankRuehl" w:hAnsi="FrankRuehl" w:cs="FrankRuehl"/>
                <w:sz w:val="28"/>
                <w:szCs w:val="28"/>
              </w:rPr>
            </w:pPr>
          </w:p>
          <w:p w14:paraId="065B695C" w14:textId="77777777" w:rsidR="00BC58D3" w:rsidRPr="00BC3B62" w:rsidRDefault="00BC58D3" w:rsidP="00BC58D3">
            <w:pPr>
              <w:suppressLineNumbers/>
              <w:rPr>
                <w:rFonts w:ascii="FrankRuehl" w:hAnsi="FrankRuehl" w:cs="FrankRuehl"/>
                <w:b/>
                <w:bCs/>
                <w:sz w:val="28"/>
                <w:szCs w:val="28"/>
                <w:rtl/>
              </w:rPr>
            </w:pPr>
            <w:r w:rsidRPr="00BC3B62">
              <w:rPr>
                <w:rFonts w:ascii="FrankRuehl" w:hAnsi="FrankRuehl" w:cs="FrankRuehl"/>
                <w:b/>
                <w:bCs/>
                <w:sz w:val="28"/>
                <w:szCs w:val="28"/>
                <w:rtl/>
              </w:rPr>
              <w:t xml:space="preserve">1. עלאא סאלחי </w:t>
            </w:r>
          </w:p>
          <w:p w14:paraId="7BE59D66" w14:textId="77777777" w:rsidR="00BC58D3" w:rsidRPr="00BC3B62" w:rsidRDefault="00BC58D3" w:rsidP="00BC58D3">
            <w:pPr>
              <w:suppressLineNumbers/>
              <w:rPr>
                <w:rFonts w:ascii="FrankRuehl" w:hAnsi="FrankRuehl" w:cs="FrankRuehl"/>
                <w:sz w:val="28"/>
                <w:szCs w:val="28"/>
              </w:rPr>
            </w:pPr>
            <w:r w:rsidRPr="00BC3B62">
              <w:rPr>
                <w:rFonts w:ascii="FrankRuehl" w:hAnsi="FrankRuehl" w:cs="FrankRuehl"/>
                <w:sz w:val="28"/>
                <w:szCs w:val="28"/>
                <w:rtl/>
              </w:rPr>
              <w:t>ע"י עו"ד וסים דכוור</w:t>
            </w:r>
          </w:p>
          <w:p w14:paraId="32D44DFD" w14:textId="77777777" w:rsidR="00BC58D3" w:rsidRPr="00BC3B62" w:rsidRDefault="00BC58D3" w:rsidP="00BC58D3">
            <w:pPr>
              <w:suppressLineNumbers/>
              <w:rPr>
                <w:rFonts w:ascii="FrankRuehl" w:hAnsi="FrankRuehl" w:cs="FrankRuehl"/>
                <w:b/>
                <w:bCs/>
                <w:sz w:val="28"/>
                <w:szCs w:val="28"/>
                <w:rtl/>
              </w:rPr>
            </w:pPr>
            <w:r w:rsidRPr="00BC3B62">
              <w:rPr>
                <w:rFonts w:ascii="FrankRuehl" w:hAnsi="FrankRuehl" w:cs="FrankRuehl"/>
                <w:sz w:val="28"/>
                <w:szCs w:val="28"/>
                <w:rtl/>
              </w:rPr>
              <w:br/>
              <w:t>2</w:t>
            </w:r>
            <w:r w:rsidRPr="00BC3B62">
              <w:rPr>
                <w:rFonts w:ascii="FrankRuehl" w:hAnsi="FrankRuehl" w:cs="FrankRuehl"/>
                <w:b/>
                <w:bCs/>
                <w:sz w:val="28"/>
                <w:szCs w:val="28"/>
                <w:rtl/>
              </w:rPr>
              <w:t xml:space="preserve">. מחמד סאלחי  </w:t>
            </w:r>
          </w:p>
          <w:p w14:paraId="15C0A72C" w14:textId="77777777" w:rsidR="00BC58D3" w:rsidRPr="00BC3B62" w:rsidRDefault="00BC58D3" w:rsidP="00BC58D3">
            <w:pPr>
              <w:suppressLineNumbers/>
              <w:rPr>
                <w:rFonts w:ascii="FrankRuehl" w:hAnsi="FrankRuehl" w:cs="FrankRuehl"/>
                <w:sz w:val="28"/>
                <w:szCs w:val="28"/>
              </w:rPr>
            </w:pPr>
            <w:r w:rsidRPr="00BC3B62">
              <w:rPr>
                <w:rFonts w:ascii="FrankRuehl" w:hAnsi="FrankRuehl" w:cs="FrankRuehl"/>
                <w:sz w:val="28"/>
                <w:szCs w:val="28"/>
                <w:rtl/>
              </w:rPr>
              <w:t>ע"י עו"ד צבי אבנון</w:t>
            </w:r>
          </w:p>
        </w:tc>
      </w:tr>
    </w:tbl>
    <w:p w14:paraId="398B5F1D" w14:textId="77777777" w:rsidR="00BC035F" w:rsidRPr="00BC035F" w:rsidRDefault="00BC035F" w:rsidP="00BC035F">
      <w:pPr>
        <w:spacing w:before="120" w:after="120" w:line="240" w:lineRule="exact"/>
        <w:ind w:left="283" w:hanging="283"/>
        <w:jc w:val="both"/>
        <w:rPr>
          <w:rFonts w:ascii="FrankRuehl" w:hAnsi="FrankRuehl" w:cs="FrankRuehl"/>
          <w:rtl/>
        </w:rPr>
      </w:pPr>
    </w:p>
    <w:p w14:paraId="32CCB0F4" w14:textId="77777777" w:rsidR="0037097D" w:rsidRPr="0037097D" w:rsidRDefault="0037097D" w:rsidP="0037097D">
      <w:pPr>
        <w:spacing w:before="120" w:after="120" w:line="240" w:lineRule="exact"/>
        <w:ind w:left="283" w:hanging="283"/>
        <w:jc w:val="both"/>
        <w:rPr>
          <w:rFonts w:ascii="FrankRuehl" w:hAnsi="FrankRuehl" w:cs="FrankRuehl"/>
          <w:rtl/>
        </w:rPr>
      </w:pPr>
    </w:p>
    <w:p w14:paraId="71AD5D2D" w14:textId="77777777" w:rsidR="00324683" w:rsidRDefault="00324683" w:rsidP="00324683">
      <w:pPr>
        <w:rPr>
          <w:rFonts w:ascii="FrankRuehl" w:hAnsi="FrankRuehl" w:cs="FrankRuehl"/>
          <w:sz w:val="26"/>
          <w:szCs w:val="26"/>
          <w:rtl/>
        </w:rPr>
      </w:pPr>
      <w:bookmarkStart w:id="3" w:name="LawTable"/>
      <w:bookmarkEnd w:id="3"/>
    </w:p>
    <w:p w14:paraId="22DC6DB4" w14:textId="77777777" w:rsidR="00324683" w:rsidRPr="00324683" w:rsidRDefault="00324683" w:rsidP="00324683">
      <w:pPr>
        <w:spacing w:before="120" w:after="120" w:line="240" w:lineRule="exact"/>
        <w:ind w:left="283" w:hanging="283"/>
        <w:jc w:val="both"/>
        <w:rPr>
          <w:rFonts w:ascii="FrankRuehl" w:hAnsi="FrankRuehl" w:cs="FrankRuehl"/>
          <w:rtl/>
        </w:rPr>
      </w:pPr>
    </w:p>
    <w:p w14:paraId="7D694AA9" w14:textId="77777777" w:rsidR="00324683" w:rsidRPr="00324683" w:rsidRDefault="00324683" w:rsidP="00324683">
      <w:pPr>
        <w:spacing w:before="120" w:after="120" w:line="240" w:lineRule="exact"/>
        <w:ind w:left="283" w:hanging="283"/>
        <w:jc w:val="both"/>
        <w:rPr>
          <w:rFonts w:ascii="FrankRuehl" w:hAnsi="FrankRuehl" w:cs="FrankRuehl"/>
          <w:rtl/>
        </w:rPr>
      </w:pPr>
    </w:p>
    <w:p w14:paraId="4B621F0B" w14:textId="77777777" w:rsidR="00324683" w:rsidRPr="00324683" w:rsidRDefault="00324683" w:rsidP="00324683">
      <w:pPr>
        <w:spacing w:before="120" w:after="120" w:line="240" w:lineRule="exact"/>
        <w:ind w:left="283" w:hanging="283"/>
        <w:jc w:val="both"/>
        <w:rPr>
          <w:rFonts w:ascii="FrankRuehl" w:hAnsi="FrankRuehl" w:cs="FrankRuehl"/>
          <w:rtl/>
        </w:rPr>
      </w:pPr>
      <w:r w:rsidRPr="00324683">
        <w:rPr>
          <w:rFonts w:ascii="FrankRuehl" w:hAnsi="FrankRuehl" w:cs="FrankRuehl"/>
          <w:rtl/>
        </w:rPr>
        <w:t xml:space="preserve">חקיקה שאוזכרה: </w:t>
      </w:r>
    </w:p>
    <w:p w14:paraId="0E4DC756" w14:textId="77777777" w:rsidR="00324683" w:rsidRPr="00324683" w:rsidRDefault="00324683" w:rsidP="00324683">
      <w:pPr>
        <w:spacing w:before="120" w:after="120" w:line="240" w:lineRule="exact"/>
        <w:ind w:left="283" w:hanging="283"/>
        <w:jc w:val="both"/>
        <w:rPr>
          <w:rFonts w:ascii="FrankRuehl" w:hAnsi="FrankRuehl" w:cs="FrankRuehl"/>
          <w:rtl/>
        </w:rPr>
      </w:pPr>
      <w:hyperlink r:id="rId6" w:history="1">
        <w:r w:rsidRPr="00324683">
          <w:rPr>
            <w:rFonts w:ascii="FrankRuehl" w:hAnsi="FrankRuehl" w:cs="FrankRuehl"/>
            <w:color w:val="0000FF"/>
            <w:rtl/>
          </w:rPr>
          <w:t>חוק העונשין, תשל"ז-1977</w:t>
        </w:r>
      </w:hyperlink>
      <w:r w:rsidRPr="00324683">
        <w:rPr>
          <w:rFonts w:ascii="FrankRuehl" w:hAnsi="FrankRuehl" w:cs="FrankRuehl"/>
          <w:rtl/>
        </w:rPr>
        <w:t xml:space="preserve">: סע'  </w:t>
      </w:r>
      <w:hyperlink r:id="rId7" w:history="1">
        <w:r w:rsidRPr="00324683">
          <w:rPr>
            <w:rFonts w:ascii="FrankRuehl" w:hAnsi="FrankRuehl" w:cs="FrankRuehl"/>
            <w:color w:val="0000FF"/>
            <w:rtl/>
          </w:rPr>
          <w:t>144(א)</w:t>
        </w:r>
      </w:hyperlink>
      <w:r w:rsidRPr="00324683">
        <w:rPr>
          <w:rFonts w:ascii="FrankRuehl" w:hAnsi="FrankRuehl" w:cs="FrankRuehl"/>
          <w:rtl/>
        </w:rPr>
        <w:t xml:space="preserve">, </w:t>
      </w:r>
      <w:hyperlink r:id="rId8" w:history="1">
        <w:r w:rsidRPr="00324683">
          <w:rPr>
            <w:rFonts w:ascii="FrankRuehl" w:hAnsi="FrankRuehl" w:cs="FrankRuehl"/>
            <w:color w:val="0000FF"/>
            <w:rtl/>
          </w:rPr>
          <w:t>301ג</w:t>
        </w:r>
      </w:hyperlink>
      <w:r w:rsidRPr="00324683">
        <w:rPr>
          <w:rFonts w:ascii="FrankRuehl" w:hAnsi="FrankRuehl" w:cs="FrankRuehl"/>
          <w:rtl/>
        </w:rPr>
        <w:t xml:space="preserve">, </w:t>
      </w:r>
      <w:hyperlink r:id="rId9" w:history="1">
        <w:r w:rsidRPr="00324683">
          <w:rPr>
            <w:rFonts w:ascii="FrankRuehl" w:hAnsi="FrankRuehl" w:cs="FrankRuehl"/>
            <w:color w:val="0000FF"/>
            <w:rtl/>
          </w:rPr>
          <w:t>329</w:t>
        </w:r>
      </w:hyperlink>
    </w:p>
    <w:p w14:paraId="58E4D5A7" w14:textId="77777777" w:rsidR="00324683" w:rsidRPr="00324683" w:rsidRDefault="00324683" w:rsidP="00324683">
      <w:pPr>
        <w:spacing w:before="120" w:after="120" w:line="240" w:lineRule="exact"/>
        <w:ind w:left="283" w:hanging="283"/>
        <w:jc w:val="both"/>
        <w:rPr>
          <w:rFonts w:ascii="FrankRuehl" w:hAnsi="FrankRuehl" w:cs="FrankRuehl"/>
          <w:rtl/>
        </w:rPr>
      </w:pPr>
      <w:hyperlink r:id="rId10" w:history="1">
        <w:r w:rsidRPr="00324683">
          <w:rPr>
            <w:rFonts w:ascii="FrankRuehl" w:hAnsi="FrankRuehl" w:cs="FrankRuehl"/>
            <w:color w:val="0000FF"/>
            <w:rtl/>
          </w:rPr>
          <w:t>חוק סדר הדין הפלילי [נוסח משולב], תשמ"ב-1982</w:t>
        </w:r>
      </w:hyperlink>
      <w:r w:rsidRPr="00324683">
        <w:rPr>
          <w:rFonts w:ascii="FrankRuehl" w:hAnsi="FrankRuehl" w:cs="FrankRuehl"/>
          <w:rtl/>
        </w:rPr>
        <w:t xml:space="preserve">: סע'  </w:t>
      </w:r>
      <w:hyperlink r:id="rId11" w:history="1">
        <w:r w:rsidRPr="00324683">
          <w:rPr>
            <w:rFonts w:ascii="FrankRuehl" w:hAnsi="FrankRuehl" w:cs="FrankRuehl"/>
            <w:color w:val="0000FF"/>
            <w:rtl/>
          </w:rPr>
          <w:t>186</w:t>
        </w:r>
      </w:hyperlink>
    </w:p>
    <w:p w14:paraId="5DE55656" w14:textId="77777777" w:rsidR="00324683" w:rsidRPr="00324683" w:rsidRDefault="00324683" w:rsidP="00324683">
      <w:pPr>
        <w:rPr>
          <w:rFonts w:ascii="FrankRuehl" w:hAnsi="FrankRuehl" w:cs="FrankRuehl"/>
          <w:sz w:val="26"/>
          <w:szCs w:val="26"/>
          <w:rtl/>
        </w:rPr>
      </w:pPr>
      <w:bookmarkStart w:id="4" w:name="LawTable_End"/>
      <w:bookmarkEnd w:id="4"/>
    </w:p>
    <w:p w14:paraId="422E05F2" w14:textId="77777777" w:rsidR="00BC58D3" w:rsidRPr="0037097D" w:rsidRDefault="00BC58D3" w:rsidP="0037097D">
      <w:pPr>
        <w:rPr>
          <w:rFonts w:ascii="FrankRuehl" w:hAnsi="FrankRuehl" w:cs="FrankRueh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58D3" w:rsidRPr="00882788" w14:paraId="59C3F88F" w14:textId="77777777" w:rsidTr="00BC58D3">
        <w:trPr>
          <w:trHeight w:val="355"/>
          <w:jc w:val="center"/>
        </w:trPr>
        <w:tc>
          <w:tcPr>
            <w:tcW w:w="8820" w:type="dxa"/>
            <w:tcBorders>
              <w:top w:val="nil"/>
              <w:left w:val="nil"/>
              <w:bottom w:val="nil"/>
              <w:right w:val="nil"/>
            </w:tcBorders>
            <w:shd w:val="clear" w:color="auto" w:fill="auto"/>
          </w:tcPr>
          <w:p w14:paraId="7AA6F38C" w14:textId="77777777" w:rsidR="00BC3B62" w:rsidRPr="00BC3B62" w:rsidRDefault="00BC3B62" w:rsidP="00BC3B62">
            <w:pPr>
              <w:jc w:val="center"/>
              <w:rPr>
                <w:rFonts w:ascii="FrankRuehl" w:hAnsi="FrankRuehl" w:cs="FrankRuehl"/>
                <w:b/>
                <w:bCs/>
                <w:sz w:val="32"/>
                <w:szCs w:val="32"/>
                <w:u w:val="single"/>
                <w:rtl/>
              </w:rPr>
            </w:pPr>
            <w:bookmarkStart w:id="5" w:name="PsakDin" w:colFirst="0" w:colLast="0"/>
            <w:r w:rsidRPr="00BC3B62">
              <w:rPr>
                <w:rFonts w:ascii="FrankRuehl" w:hAnsi="FrankRuehl" w:cs="FrankRuehl"/>
                <w:b/>
                <w:bCs/>
                <w:sz w:val="32"/>
                <w:szCs w:val="32"/>
                <w:u w:val="single"/>
                <w:rtl/>
              </w:rPr>
              <w:t>גזר דין</w:t>
            </w:r>
          </w:p>
          <w:p w14:paraId="71DA2B81" w14:textId="77777777" w:rsidR="00BC58D3" w:rsidRPr="00BC3B62" w:rsidRDefault="00BC58D3" w:rsidP="00BC3B62">
            <w:pPr>
              <w:jc w:val="center"/>
              <w:rPr>
                <w:rFonts w:ascii="FrankRuehl" w:hAnsi="FrankRuehl" w:cs="FrankRuehl"/>
                <w:bCs/>
                <w:sz w:val="32"/>
                <w:szCs w:val="32"/>
                <w:u w:val="single"/>
                <w:rtl/>
              </w:rPr>
            </w:pPr>
          </w:p>
        </w:tc>
      </w:tr>
      <w:bookmarkEnd w:id="5"/>
    </w:tbl>
    <w:p w14:paraId="4E237A2A" w14:textId="77777777" w:rsidR="00BC58D3" w:rsidRPr="00882788" w:rsidRDefault="00BC58D3" w:rsidP="00BC58D3">
      <w:pPr>
        <w:rPr>
          <w:rFonts w:ascii="FrankRuehl" w:hAnsi="FrankRuehl" w:cs="FrankRuehl"/>
          <w:b/>
          <w:bCs/>
          <w:sz w:val="26"/>
          <w:szCs w:val="26"/>
          <w:rtl/>
        </w:rPr>
      </w:pPr>
    </w:p>
    <w:p w14:paraId="42126C88" w14:textId="77777777" w:rsidR="00BC58D3" w:rsidRPr="00107D78" w:rsidRDefault="00BC58D3" w:rsidP="00BC58D3">
      <w:pPr>
        <w:rPr>
          <w:rFonts w:ascii="FrankRuehl" w:hAnsi="FrankRuehl" w:cs="FrankRuehl"/>
          <w:b/>
          <w:bCs/>
          <w:sz w:val="28"/>
          <w:szCs w:val="28"/>
          <w:u w:val="single"/>
          <w:rtl/>
        </w:rPr>
      </w:pPr>
      <w:r w:rsidRPr="00107D78">
        <w:rPr>
          <w:rFonts w:ascii="FrankRuehl" w:hAnsi="FrankRuehl" w:cs="FrankRuehl"/>
          <w:b/>
          <w:bCs/>
          <w:sz w:val="28"/>
          <w:szCs w:val="28"/>
          <w:u w:val="single"/>
          <w:rtl/>
        </w:rPr>
        <w:t>השופט א' אברבנאל:</w:t>
      </w:r>
    </w:p>
    <w:p w14:paraId="57DA7DFD" w14:textId="77777777" w:rsidR="00BC58D3" w:rsidRPr="00882788" w:rsidRDefault="00BC58D3" w:rsidP="00BC58D3">
      <w:pPr>
        <w:rPr>
          <w:rFonts w:ascii="FrankRuehl" w:hAnsi="FrankRuehl" w:cs="FrankRuehl"/>
          <w:b/>
          <w:bCs/>
          <w:sz w:val="26"/>
          <w:szCs w:val="26"/>
          <w:u w:val="single"/>
          <w:rtl/>
        </w:rPr>
      </w:pPr>
    </w:p>
    <w:p w14:paraId="742031EB" w14:textId="77777777" w:rsidR="00BC58D3" w:rsidRDefault="00BC58D3" w:rsidP="00BC58D3">
      <w:pPr>
        <w:spacing w:line="360" w:lineRule="auto"/>
        <w:jc w:val="both"/>
        <w:rPr>
          <w:rFonts w:ascii="FrankRuehl" w:hAnsi="FrankRuehl" w:cs="FrankRuehl"/>
          <w:sz w:val="28"/>
          <w:szCs w:val="28"/>
        </w:rPr>
      </w:pPr>
      <w:r>
        <w:rPr>
          <w:rFonts w:ascii="FrankRuehl" w:hAnsi="FrankRuehl" w:cs="FrankRuehl"/>
          <w:sz w:val="28"/>
          <w:szCs w:val="28"/>
          <w:rtl/>
        </w:rPr>
        <w:t>1.</w:t>
      </w:r>
      <w:r>
        <w:rPr>
          <w:rFonts w:ascii="FrankRuehl" w:hAnsi="FrankRuehl" w:cs="FrankRuehl"/>
          <w:sz w:val="28"/>
          <w:szCs w:val="28"/>
          <w:rtl/>
        </w:rPr>
        <w:tab/>
      </w:r>
      <w:bookmarkStart w:id="6" w:name="ABSTRACT_START"/>
      <w:bookmarkEnd w:id="6"/>
      <w:r>
        <w:rPr>
          <w:rFonts w:ascii="FrankRuehl" w:hAnsi="FrankRuehl" w:cs="FrankRuehl"/>
          <w:sz w:val="28"/>
          <w:szCs w:val="28"/>
          <w:rtl/>
        </w:rPr>
        <w:t xml:space="preserve">הנאשמים, אחים, הורשעו ביום 22.5.2022 על פי הודאתם בעבירה של המתה בקלות דעת לפי </w:t>
      </w:r>
      <w:hyperlink r:id="rId12" w:history="1">
        <w:r w:rsidR="00BC035F" w:rsidRPr="00BC035F">
          <w:rPr>
            <w:rStyle w:val="Hyperlink"/>
            <w:rFonts w:ascii="FrankRuehl" w:hAnsi="FrankRuehl" w:cs="FrankRuehl"/>
            <w:sz w:val="28"/>
            <w:szCs w:val="28"/>
            <w:rtl/>
          </w:rPr>
          <w:t>סעיף 301ג</w:t>
        </w:r>
      </w:hyperlink>
      <w:r>
        <w:rPr>
          <w:rFonts w:ascii="FrankRuehl" w:hAnsi="FrankRuehl" w:cs="FrankRuehl"/>
          <w:sz w:val="28"/>
          <w:szCs w:val="28"/>
          <w:rtl/>
        </w:rPr>
        <w:t xml:space="preserve"> ל</w:t>
      </w:r>
      <w:hyperlink r:id="rId13" w:history="1">
        <w:r w:rsidR="00BC3B62" w:rsidRPr="00BC3B62">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התשל"ז-1977 (להלן: החוק) ובעבירה של החזקת נשק לפי </w:t>
      </w:r>
      <w:hyperlink r:id="rId14" w:history="1">
        <w:r w:rsidR="00BC035F" w:rsidRPr="00BC035F">
          <w:rPr>
            <w:rStyle w:val="Hyperlink"/>
            <w:rFonts w:ascii="FrankRuehl" w:hAnsi="FrankRuehl" w:cs="FrankRuehl"/>
            <w:sz w:val="28"/>
            <w:szCs w:val="28"/>
            <w:rtl/>
          </w:rPr>
          <w:t>סעיף 144(א)</w:t>
        </w:r>
      </w:hyperlink>
      <w:r>
        <w:rPr>
          <w:rFonts w:ascii="FrankRuehl" w:hAnsi="FrankRuehl" w:cs="FrankRuehl"/>
          <w:sz w:val="28"/>
          <w:szCs w:val="28"/>
          <w:rtl/>
        </w:rPr>
        <w:t xml:space="preserve"> </w:t>
      </w:r>
      <w:r>
        <w:rPr>
          <w:rFonts w:ascii="FrankRuehl" w:hAnsi="FrankRuehl" w:cs="FrankRuehl" w:hint="cs"/>
          <w:sz w:val="28"/>
          <w:szCs w:val="28"/>
          <w:rtl/>
        </w:rPr>
        <w:t xml:space="preserve">רישא </w:t>
      </w:r>
      <w:r>
        <w:rPr>
          <w:rFonts w:ascii="FrankRuehl" w:hAnsi="FrankRuehl" w:cs="FrankRuehl"/>
          <w:sz w:val="28"/>
          <w:szCs w:val="28"/>
          <w:rtl/>
        </w:rPr>
        <w:t>לחוק.</w:t>
      </w:r>
    </w:p>
    <w:p w14:paraId="1227EA80" w14:textId="77777777" w:rsidR="00BC58D3" w:rsidRDefault="00BC58D3" w:rsidP="00BC58D3">
      <w:pPr>
        <w:spacing w:line="360" w:lineRule="auto"/>
        <w:jc w:val="both"/>
        <w:rPr>
          <w:rFonts w:ascii="FrankRuehl" w:hAnsi="FrankRuehl" w:cs="FrankRuehl"/>
          <w:sz w:val="28"/>
          <w:szCs w:val="28"/>
          <w:rtl/>
        </w:rPr>
      </w:pPr>
      <w:bookmarkStart w:id="7" w:name="ABSTRACT_END"/>
      <w:bookmarkEnd w:id="7"/>
    </w:p>
    <w:p w14:paraId="205BFA28"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על פי עובדות כתב האישום המתוקן שהגישו הצדדים בהסכמה במסגרת הסדר טיעון, בסוף שנת 2019 התגלע סכסוך בין משפחתו של מחמוד אבראהים (להלן: אבראהים) הנמצא </w:t>
      </w:r>
      <w:r>
        <w:rPr>
          <w:rFonts w:ascii="FrankRuehl" w:hAnsi="FrankRuehl" w:cs="FrankRuehl"/>
          <w:sz w:val="28"/>
          <w:szCs w:val="28"/>
          <w:rtl/>
        </w:rPr>
        <w:lastRenderedPageBreak/>
        <w:t xml:space="preserve">בקשרי חברות עם הנאשמים, לבין משפחת גתית, המתגוררת בשכנות למשפחת אבראהים בשכונת בית חנינא בירושלים. כמו כן עובר ליום 11.9.2020 התגלע סכסוך בין עלאא גתית לנאשם 1. </w:t>
      </w:r>
    </w:p>
    <w:p w14:paraId="03989937" w14:textId="77777777" w:rsidR="00BC58D3" w:rsidRDefault="00BC58D3" w:rsidP="00BC58D3">
      <w:pPr>
        <w:spacing w:line="360" w:lineRule="auto"/>
        <w:ind w:firstLine="720"/>
        <w:jc w:val="both"/>
        <w:rPr>
          <w:rFonts w:ascii="FrankRuehl" w:hAnsi="FrankRuehl" w:cs="FrankRuehl"/>
          <w:sz w:val="28"/>
          <w:szCs w:val="28"/>
          <w:rtl/>
        </w:rPr>
      </w:pPr>
    </w:p>
    <w:p w14:paraId="103A8DCD"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בכתב האישום המתוקן נאמר כי ביום 11.9.2020 בשעות הלילה שהה עלאא גתית בביתו יחד עם שלושה חברים ובהם המנוח בהאא בדראן. בסמוך לשעה 05:00 הגיעו לבית משפחת גתית נאשם 1, אחיו בהאא סלאחי ואדם נוסף, "התעמתו מילולית עם עלאא גתית וחבריו" ועזבו את המקום. לאחר המפגש האמור, על רקע הסכסוך והעימות האמורים, קשרו הנאשמים ואבראהים קשר לירות על בית משפחת גתית – בית מוקף חומה ובה שער ברזל. בעקבות השיחות שהתקיימו ביניהם, בסמוך לשעה 06:30, הגיעו הנאשמים ואיברהים לבית משפחת גתית, כשברשותם אקדח בקוטר 9 מ"מ. השלושה הגיעו למקום במכונית שבה נהג נאשם 2, כשלצידו ישב אבראהים ונאשם 1 ישב במושב האחורי. "בסמוך לכך, יצא המנוח מהבית, לקח דבר מה מרכבו, ועבר את שער חצר הבית בדרכו חזרה לבית. בשלב זה, הגיעו הנאשמים ואבראהים בסמוך לבית, מטרים ספורים משער החצר, וירו לפחות 12 כדורים לעבר הבית מבעד לשער הברזל ולחומה הסמוכה, זאת כשהם מודעים לאפשרות כי אדם עשוי להיפגע מן הירי ולמות. כתוצאה מהירי, נפגע המנוח ומותו נגרם כתוצאה ממעבר קליע דרך הצוואר והריאה הימנית". </w:t>
      </w:r>
    </w:p>
    <w:p w14:paraId="315EBB81" w14:textId="77777777" w:rsidR="00BC58D3" w:rsidRDefault="00BC58D3" w:rsidP="00BC58D3">
      <w:pPr>
        <w:spacing w:line="360" w:lineRule="auto"/>
        <w:ind w:firstLine="720"/>
        <w:jc w:val="both"/>
        <w:rPr>
          <w:rFonts w:ascii="FrankRuehl" w:hAnsi="FrankRuehl" w:cs="FrankRuehl"/>
          <w:sz w:val="28"/>
          <w:szCs w:val="28"/>
          <w:rtl/>
        </w:rPr>
      </w:pPr>
    </w:p>
    <w:p w14:paraId="1A4C0906"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עוד נאמר כי לאחר האירוע נמלטו הנאשמים לרמאללה, ושהו בה עד למעצרם על ידי כוח משטרה ביום 13.10.2020. בכתב האישום צוין עוד כי כתוצאה מהירי נפגע ומת הסוס של משפחת גתית שעמד באותה עת בחצר הבית.</w:t>
      </w:r>
    </w:p>
    <w:p w14:paraId="7202F7C1" w14:textId="77777777" w:rsidR="00BC58D3" w:rsidRDefault="00BC58D3" w:rsidP="00BC58D3">
      <w:pPr>
        <w:spacing w:line="360" w:lineRule="auto"/>
        <w:jc w:val="both"/>
        <w:rPr>
          <w:rFonts w:ascii="FrankRuehl" w:hAnsi="FrankRuehl" w:cs="FrankRuehl"/>
          <w:sz w:val="28"/>
          <w:szCs w:val="28"/>
          <w:rtl/>
        </w:rPr>
      </w:pPr>
    </w:p>
    <w:p w14:paraId="76E79960" w14:textId="77777777" w:rsidR="00BC58D3" w:rsidRPr="00107D78" w:rsidRDefault="00BC58D3" w:rsidP="00BC58D3">
      <w:pPr>
        <w:spacing w:line="360" w:lineRule="auto"/>
        <w:jc w:val="both"/>
        <w:rPr>
          <w:rFonts w:ascii="Miriam" w:hAnsi="Miriam" w:cs="Miriam"/>
          <w:rtl/>
        </w:rPr>
      </w:pPr>
      <w:r w:rsidRPr="00107D78">
        <w:rPr>
          <w:rFonts w:ascii="Miriam" w:hAnsi="Miriam" w:cs="Miriam"/>
          <w:rtl/>
        </w:rPr>
        <w:t>הראיות לעונש</w:t>
      </w:r>
    </w:p>
    <w:p w14:paraId="2DF3F83B" w14:textId="77777777" w:rsidR="00BC58D3" w:rsidRDefault="00BC58D3" w:rsidP="00BC58D3">
      <w:pPr>
        <w:spacing w:line="360" w:lineRule="auto"/>
        <w:jc w:val="both"/>
        <w:rPr>
          <w:rFonts w:ascii="FrankRuehl" w:hAnsi="FrankRuehl" w:cs="FrankRuehl"/>
          <w:sz w:val="28"/>
          <w:szCs w:val="28"/>
          <w:rtl/>
        </w:rPr>
      </w:pPr>
    </w:p>
    <w:p w14:paraId="0386A8C2"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2.</w:t>
      </w:r>
      <w:r>
        <w:rPr>
          <w:rFonts w:ascii="FrankRuehl" w:hAnsi="FrankRuehl" w:cs="FrankRuehl"/>
          <w:sz w:val="28"/>
          <w:szCs w:val="28"/>
          <w:rtl/>
        </w:rPr>
        <w:tab/>
        <w:t xml:space="preserve">לבית המשפט הוגשו גיליונות ההרשעות הקודמות של הנאשמים, מהם עולה כי השניים הורשעו בעבירות מרובות ובהן עבירות אלימות, ובגינן ריצו תקופות מאסר ממושכות. </w:t>
      </w:r>
    </w:p>
    <w:p w14:paraId="6004CC3A" w14:textId="77777777" w:rsidR="00BC58D3" w:rsidRDefault="00BC58D3" w:rsidP="00BC58D3">
      <w:pPr>
        <w:spacing w:line="360" w:lineRule="auto"/>
        <w:jc w:val="both"/>
        <w:rPr>
          <w:rFonts w:ascii="FrankRuehl" w:hAnsi="FrankRuehl" w:cs="FrankRuehl"/>
          <w:sz w:val="28"/>
          <w:szCs w:val="28"/>
          <w:rtl/>
        </w:rPr>
      </w:pPr>
    </w:p>
    <w:p w14:paraId="331BBE4A"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בשל סירובם של בני משפחת המנוח לא הוגש בעניינם תסקיר נפגעי עבירה. בני משפחת המנוח בלטו בהיעדרם מאולם המשפט, ומשכך לא נשמעה ולו מילה אחת אודות המנוח, חייו ותכניותיו, שנגדעו בשל מותו באירוע מושא התיק. ב"כ הנאשמים מסרו כי בין משפחת המנוח למשפחת הנאשמים ולמשפחתו של אבראהים נערך הסכם סולחה, שבגדרו שולם למשפחת המנוח סכום של 130,000 דינר כפיצוי, שבו נשאו באופן שווה משפחת הנאשמים ומשפחת אבראהים.</w:t>
      </w:r>
    </w:p>
    <w:p w14:paraId="4A5FE1F7" w14:textId="77777777" w:rsidR="00BC58D3" w:rsidRDefault="00BC58D3" w:rsidP="00BC58D3">
      <w:pPr>
        <w:spacing w:line="360" w:lineRule="auto"/>
        <w:ind w:firstLine="720"/>
        <w:jc w:val="both"/>
        <w:rPr>
          <w:rFonts w:ascii="FrankRuehl" w:hAnsi="FrankRuehl" w:cs="FrankRuehl"/>
          <w:sz w:val="28"/>
          <w:szCs w:val="28"/>
          <w:rtl/>
        </w:rPr>
      </w:pPr>
    </w:p>
    <w:p w14:paraId="5B6CACB3"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בעניינם של הנאשמים לא הוגשו תסקירי מבחן.</w:t>
      </w:r>
    </w:p>
    <w:p w14:paraId="732A4569" w14:textId="77777777" w:rsidR="00BC58D3" w:rsidRDefault="00BC58D3" w:rsidP="00BC58D3">
      <w:pPr>
        <w:spacing w:line="360" w:lineRule="auto"/>
        <w:ind w:firstLine="720"/>
        <w:jc w:val="both"/>
        <w:rPr>
          <w:rFonts w:ascii="FrankRuehl" w:hAnsi="FrankRuehl" w:cs="FrankRuehl"/>
          <w:sz w:val="28"/>
          <w:szCs w:val="28"/>
          <w:rtl/>
        </w:rPr>
      </w:pPr>
    </w:p>
    <w:p w14:paraId="37B5CD0C"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 מטעם נאשם 2 הוגש תיעוד רפואי, ולפיו בשנת 2019 נפגע מירי בשתי רגליו. נטען כי מאז הפגיעה האמורה נעזר נאשם 2 בקביים להליכה.</w:t>
      </w:r>
    </w:p>
    <w:p w14:paraId="54882198" w14:textId="77777777" w:rsidR="00BC58D3" w:rsidRDefault="00BC58D3" w:rsidP="00BC58D3">
      <w:pPr>
        <w:spacing w:line="360" w:lineRule="auto"/>
        <w:jc w:val="both"/>
        <w:rPr>
          <w:rFonts w:ascii="FrankRuehl" w:hAnsi="FrankRuehl" w:cs="FrankRuehl"/>
          <w:sz w:val="28"/>
          <w:szCs w:val="28"/>
          <w:rtl/>
        </w:rPr>
      </w:pPr>
    </w:p>
    <w:p w14:paraId="057DB511" w14:textId="77777777" w:rsidR="00BC58D3" w:rsidRPr="00107D78" w:rsidRDefault="00BC58D3" w:rsidP="00BC58D3">
      <w:pPr>
        <w:spacing w:line="360" w:lineRule="auto"/>
        <w:jc w:val="both"/>
        <w:rPr>
          <w:rFonts w:ascii="Miriam" w:hAnsi="Miriam" w:cs="Miriam"/>
          <w:sz w:val="28"/>
          <w:szCs w:val="28"/>
          <w:rtl/>
        </w:rPr>
      </w:pPr>
      <w:r>
        <w:rPr>
          <w:rFonts w:ascii="FrankRuehl" w:hAnsi="FrankRuehl" w:cs="FrankRuehl"/>
          <w:sz w:val="28"/>
          <w:szCs w:val="28"/>
          <w:rtl/>
        </w:rPr>
        <w:t>3.</w:t>
      </w:r>
      <w:r>
        <w:rPr>
          <w:rFonts w:ascii="FrankRuehl" w:hAnsi="FrankRuehl" w:cs="FrankRuehl"/>
          <w:sz w:val="28"/>
          <w:szCs w:val="28"/>
          <w:rtl/>
        </w:rPr>
        <w:tab/>
        <w:t>הצדדים הפנו את בית המשפט לגזר הדין שניתן ביום 23.10.2022 בעניינו של אבראהים ב</w:t>
      </w:r>
      <w:hyperlink r:id="rId15" w:history="1">
        <w:r w:rsidR="00BC3B62" w:rsidRPr="00BC3B62">
          <w:rPr>
            <w:rFonts w:ascii="FrankRuehl" w:hAnsi="FrankRuehl" w:cs="FrankRuehl"/>
            <w:color w:val="0000FF"/>
            <w:sz w:val="28"/>
            <w:szCs w:val="28"/>
            <w:u w:val="single"/>
            <w:rtl/>
          </w:rPr>
          <w:t>תפ"ח 56125-10-20</w:t>
        </w:r>
      </w:hyperlink>
      <w:r>
        <w:rPr>
          <w:rFonts w:ascii="FrankRuehl" w:hAnsi="FrankRuehl" w:cs="FrankRuehl"/>
          <w:sz w:val="28"/>
          <w:szCs w:val="28"/>
          <w:rtl/>
        </w:rPr>
        <w:t xml:space="preserve">, שבגדרו נקבע כי מתחם העונש ההולם לעבירות שבהן הורשע עומד על 12-8 שנות מאסר בפועל, ועונשו של אבראהים נגזר למאסר בפועל לתקופה של תשע שנים ומאסר על תנאי. עוד נקבע כי לא נפסק פיצוי </w:t>
      </w:r>
      <w:r w:rsidRPr="00107D78">
        <w:rPr>
          <w:rFonts w:ascii="FrankRuehl" w:hAnsi="FrankRuehl" w:cs="FrankRuehl"/>
          <w:sz w:val="28"/>
          <w:szCs w:val="28"/>
          <w:rtl/>
        </w:rPr>
        <w:t>"</w:t>
      </w:r>
      <w:r w:rsidRPr="00107D78">
        <w:rPr>
          <w:rFonts w:ascii="Miriam" w:hAnsi="Miriam" w:cs="Miriam"/>
          <w:rtl/>
        </w:rPr>
        <w:t>נוכח הסכום המשמעותי ששולם במסגרת הסולחה ועמדת משפחת המנוח</w:t>
      </w:r>
      <w:r w:rsidRPr="00107D78">
        <w:rPr>
          <w:rFonts w:ascii="Miriam" w:hAnsi="Miriam" w:cs="Miriam"/>
          <w:sz w:val="28"/>
          <w:szCs w:val="28"/>
          <w:rtl/>
        </w:rPr>
        <w:t xml:space="preserve">". </w:t>
      </w:r>
    </w:p>
    <w:p w14:paraId="4297EF6B" w14:textId="77777777" w:rsidR="00BC58D3" w:rsidRDefault="00BC58D3" w:rsidP="00BC58D3">
      <w:pPr>
        <w:spacing w:line="360" w:lineRule="auto"/>
        <w:jc w:val="both"/>
        <w:rPr>
          <w:rFonts w:ascii="FrankRuehl" w:hAnsi="FrankRuehl" w:cs="FrankRuehl"/>
          <w:sz w:val="28"/>
          <w:szCs w:val="28"/>
          <w:rtl/>
        </w:rPr>
      </w:pPr>
    </w:p>
    <w:p w14:paraId="59C8B615"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כתב האישום המתוקן בעניינו של אבראהים דומה בהוראות החיקוק שבו ובעובדותיו לזה שהוגש בתיק שלפנינו. בעניינו של אבראהים הוסכם בין הצדדים כי אבראהים התייצב במשטרה לחקירה לאחר שהוזמן על ידי המשטרה וכי נחקר ב-14 חקירות, כשבחלקן הכחיש מעורבות באירוע מושא האישום או שתק, ובהמשך מסר הודעות מפלילות בעניינם של הנאשמים לאחר שהם נעצרו. כמו כן בעניינו של איבראהים טען סנגורו כי הירי ארך בין 8 ל-14 שניות, בניגוד לטענת המאשימה כי הירי נמשך 14 שניות. עוד עולה מגזר הדין האמור כי לחובתו של איבראהים הרשעה משנת 2019 בעבירות של נהיגה ללא ביטוח והתחזות לאחר, שבגינן נדון למאסר על תנאי, קנס והתחייבות, וכן נזקף לחובתו רישום בעבירות תעבורה. צוין עוד כי עובר לאירוע ניהל אבראהים אורח חיים נורמטיבי ועבד לפרנסתו כקבלן בניין משעות הבוקר המוקדמות עד שעות הערב מידי יום.</w:t>
      </w:r>
    </w:p>
    <w:p w14:paraId="03FE3825" w14:textId="77777777" w:rsidR="00BC58D3" w:rsidRDefault="00BC58D3" w:rsidP="00BC58D3">
      <w:pPr>
        <w:spacing w:line="360" w:lineRule="auto"/>
        <w:jc w:val="both"/>
        <w:rPr>
          <w:rFonts w:ascii="FrankRuehl" w:hAnsi="FrankRuehl" w:cs="FrankRuehl"/>
          <w:sz w:val="28"/>
          <w:szCs w:val="28"/>
          <w:rtl/>
        </w:rPr>
      </w:pPr>
    </w:p>
    <w:p w14:paraId="4ABCA83A" w14:textId="77777777" w:rsidR="00BC58D3" w:rsidRPr="00107D78" w:rsidRDefault="00BC58D3" w:rsidP="00BC58D3">
      <w:pPr>
        <w:spacing w:line="360" w:lineRule="auto"/>
        <w:jc w:val="both"/>
        <w:rPr>
          <w:rFonts w:ascii="Miriam" w:hAnsi="Miriam" w:cs="Miriam"/>
          <w:rtl/>
        </w:rPr>
      </w:pPr>
      <w:r w:rsidRPr="00107D78">
        <w:rPr>
          <w:rFonts w:ascii="Miriam" w:hAnsi="Miriam" w:cs="Miriam"/>
          <w:rtl/>
        </w:rPr>
        <w:t>טיעוני הצדדים לעונש</w:t>
      </w:r>
    </w:p>
    <w:p w14:paraId="428E892B" w14:textId="77777777" w:rsidR="00BC58D3" w:rsidRDefault="00BC58D3" w:rsidP="00BC58D3">
      <w:pPr>
        <w:spacing w:line="360" w:lineRule="auto"/>
        <w:jc w:val="both"/>
        <w:rPr>
          <w:rFonts w:ascii="FrankRuehl" w:hAnsi="FrankRuehl" w:cs="FrankRuehl"/>
          <w:sz w:val="28"/>
          <w:szCs w:val="28"/>
          <w:rtl/>
        </w:rPr>
      </w:pPr>
    </w:p>
    <w:p w14:paraId="71311720"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4.</w:t>
      </w:r>
      <w:r>
        <w:rPr>
          <w:rFonts w:ascii="FrankRuehl" w:hAnsi="FrankRuehl" w:cs="FrankRuehl"/>
          <w:sz w:val="28"/>
          <w:szCs w:val="28"/>
          <w:rtl/>
        </w:rPr>
        <w:tab/>
        <w:t>בטיעוניה לעונש עמדה המאשימה על כך שבתקופה שקדמה לרפורמה בעבירות ההמתה משנת 2019, עניינה של עבירת  ההמתה בקלות דעת  היה בדרך כלל גרימת מוות בתאונות דרכים או אירועי תאונה אחרים, בשונה מהאירוע מושא תיק זה.</w:t>
      </w:r>
    </w:p>
    <w:p w14:paraId="03512508" w14:textId="77777777" w:rsidR="00BC58D3" w:rsidRDefault="00BC58D3" w:rsidP="00BC58D3">
      <w:pPr>
        <w:spacing w:line="360" w:lineRule="auto"/>
        <w:jc w:val="both"/>
        <w:rPr>
          <w:rFonts w:ascii="FrankRuehl" w:hAnsi="FrankRuehl" w:cs="FrankRuehl"/>
          <w:sz w:val="28"/>
          <w:szCs w:val="28"/>
          <w:rtl/>
        </w:rPr>
      </w:pPr>
    </w:p>
    <w:p w14:paraId="5B0667DD"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 xml:space="preserve">המאשימה ציינה כי הגיעה להסדר הטיעון המקל שבגדרו הוגש כתב האישום המתוקן, בשל התנגדותם של עדים שהוזמנו מטעם המאשימה להתייצב בבית המשפט למתן עדות בתיק זה. </w:t>
      </w:r>
    </w:p>
    <w:p w14:paraId="1FCB7FD4" w14:textId="77777777" w:rsidR="00BC58D3" w:rsidRDefault="00BC58D3" w:rsidP="00BC58D3">
      <w:pPr>
        <w:spacing w:line="360" w:lineRule="auto"/>
        <w:jc w:val="both"/>
        <w:rPr>
          <w:rFonts w:ascii="FrankRuehl" w:hAnsi="FrankRuehl" w:cs="FrankRuehl"/>
          <w:sz w:val="28"/>
          <w:szCs w:val="28"/>
          <w:rtl/>
        </w:rPr>
      </w:pPr>
    </w:p>
    <w:p w14:paraId="5CF399C4"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המאשימה עמדה על כך כי הנאשמים וחברם לא טרחו לפתוח את שער הברזל בטרם ביצעו את הירי כדי לבדוק אם בני אדם שוהים בחצר, וחלף זאת ירו ללא אבחנה לעבר שער הברזל.</w:t>
      </w:r>
    </w:p>
    <w:p w14:paraId="085EE56C" w14:textId="77777777" w:rsidR="00BC58D3" w:rsidRDefault="00BC58D3" w:rsidP="00BC58D3">
      <w:pPr>
        <w:spacing w:line="360" w:lineRule="auto"/>
        <w:jc w:val="both"/>
        <w:rPr>
          <w:rFonts w:ascii="FrankRuehl" w:hAnsi="FrankRuehl" w:cs="FrankRuehl"/>
          <w:sz w:val="28"/>
          <w:szCs w:val="28"/>
          <w:rtl/>
        </w:rPr>
      </w:pPr>
    </w:p>
    <w:p w14:paraId="3B942552"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עוד נטען כי נוכח הרשעותיהם הקודמות הכוללות שימוש בנשק חם, יש להרתיע את הנאשמים שלפנינו באופן קונקרטי משימוש בנשק בעתיד; וכן נטען כי נדרש להרתיע את הרבים באמצעות ענישה מחמירה. </w:t>
      </w:r>
    </w:p>
    <w:p w14:paraId="3D688066" w14:textId="77777777" w:rsidR="00BC58D3" w:rsidRDefault="00BC58D3" w:rsidP="00BC58D3">
      <w:pPr>
        <w:spacing w:line="360" w:lineRule="auto"/>
        <w:ind w:firstLine="720"/>
        <w:jc w:val="both"/>
        <w:rPr>
          <w:rFonts w:ascii="FrankRuehl" w:hAnsi="FrankRuehl" w:cs="FrankRuehl"/>
          <w:sz w:val="28"/>
          <w:szCs w:val="28"/>
          <w:rtl/>
        </w:rPr>
      </w:pPr>
    </w:p>
    <w:p w14:paraId="6D129913"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עמדת המאשימה היא כי מתחם העונש ההולם לעבירות שבהן הורשעו הנאשמים עומד </w:t>
      </w:r>
      <w:hyperlink r:id="rId16" w:history="1">
        <w:r w:rsidR="00BC3B62" w:rsidRPr="00BC3B62">
          <w:rPr>
            <w:rFonts w:ascii="FrankRuehl" w:hAnsi="FrankRuehl" w:cs="FrankRuehl"/>
            <w:color w:val="0000FF"/>
            <w:sz w:val="28"/>
            <w:szCs w:val="28"/>
            <w:u w:val="single"/>
            <w:rtl/>
          </w:rPr>
          <w:t>על 15-11</w:t>
        </w:r>
      </w:hyperlink>
      <w:r>
        <w:rPr>
          <w:rFonts w:ascii="FrankRuehl" w:hAnsi="FrankRuehl" w:cs="FrankRuehl"/>
          <w:sz w:val="28"/>
          <w:szCs w:val="28"/>
          <w:rtl/>
        </w:rPr>
        <w:t xml:space="preserve"> שנות מאסר בנוסף לענישה נלווית ופיצוי. לטענתה יש להטיל על הנאשמים עונש מאסר בפועל של 14 שנים. עוד נטען כי אין להימנע מהטלת פיצוי על הנאשמים בשל הסכם הסולחה האמור.</w:t>
      </w:r>
    </w:p>
    <w:p w14:paraId="7D876DCD" w14:textId="77777777" w:rsidR="00BC58D3" w:rsidRDefault="00BC58D3" w:rsidP="00BC58D3">
      <w:pPr>
        <w:spacing w:line="360" w:lineRule="auto"/>
        <w:jc w:val="both"/>
        <w:rPr>
          <w:rFonts w:ascii="FrankRuehl" w:hAnsi="FrankRuehl" w:cs="FrankRuehl"/>
          <w:sz w:val="28"/>
          <w:szCs w:val="28"/>
          <w:rtl/>
        </w:rPr>
      </w:pPr>
    </w:p>
    <w:p w14:paraId="4F8C5412"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המאשימה מסרה עוד כי מעצרם של הנאשמים התאפשר הודות למבצע של כוחות מיוחדים שפעלו ברמאללה לשם כך.</w:t>
      </w:r>
    </w:p>
    <w:p w14:paraId="55822774" w14:textId="77777777" w:rsidR="00BC58D3" w:rsidRDefault="00BC58D3" w:rsidP="00BC58D3">
      <w:pPr>
        <w:spacing w:line="360" w:lineRule="auto"/>
        <w:ind w:firstLine="720"/>
        <w:jc w:val="both"/>
        <w:rPr>
          <w:rFonts w:ascii="FrankRuehl" w:hAnsi="FrankRuehl" w:cs="FrankRuehl"/>
          <w:sz w:val="28"/>
          <w:szCs w:val="28"/>
          <w:rtl/>
        </w:rPr>
      </w:pPr>
    </w:p>
    <w:p w14:paraId="7D308313"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בהשלמת טיעון בכתב, הגיבה המאשימה לטענת ב"כ הנאשמים, ולפיה אין לגזור על הנאשמים עונש מאסר העולה על העונש המרבי שבצדה של העבירה החמורה מהשתיים שבהן הורשעו. המאשימה התייחסה לעובדות כתב האישום המתוקן וטענה כי "מתקיימים בעובדות אלו שני מעשי עבירה נפרדים, לעניין </w:t>
      </w:r>
      <w:hyperlink r:id="rId17" w:history="1">
        <w:r w:rsidR="00BC035F" w:rsidRPr="00BC035F">
          <w:rPr>
            <w:rStyle w:val="Hyperlink"/>
            <w:rFonts w:ascii="FrankRuehl" w:hAnsi="FrankRuehl" w:cs="FrankRuehl"/>
            <w:sz w:val="28"/>
            <w:szCs w:val="28"/>
            <w:rtl/>
          </w:rPr>
          <w:t>סעיף 186</w:t>
        </w:r>
      </w:hyperlink>
      <w:r>
        <w:rPr>
          <w:rFonts w:ascii="FrankRuehl" w:hAnsi="FrankRuehl" w:cs="FrankRuehl"/>
          <w:sz w:val="28"/>
          <w:szCs w:val="28"/>
          <w:rtl/>
        </w:rPr>
        <w:t xml:space="preserve"> ל</w:t>
      </w:r>
      <w:hyperlink r:id="rId18" w:history="1">
        <w:r w:rsidR="00BC3B62" w:rsidRPr="00BC3B62">
          <w:rPr>
            <w:rFonts w:ascii="FrankRuehl" w:hAnsi="FrankRuehl" w:cs="FrankRuehl"/>
            <w:color w:val="0000FF"/>
            <w:sz w:val="28"/>
            <w:szCs w:val="28"/>
            <w:u w:val="single"/>
            <w:rtl/>
          </w:rPr>
          <w:t>חוק סדר הדין הפלילי</w:t>
        </w:r>
      </w:hyperlink>
      <w:r>
        <w:rPr>
          <w:rFonts w:ascii="FrankRuehl" w:hAnsi="FrankRuehl" w:cs="FrankRuehl"/>
          <w:sz w:val="28"/>
          <w:szCs w:val="28"/>
          <w:rtl/>
        </w:rPr>
        <w:t xml:space="preserve"> (נוסח משולב), התשמ"ב-1982... המאשימה תטען כי כיוון שהנאשמים הורשעו בשתי עבירות שונות, המהוות גם שני מעשים שונים – אשר אף מועד התגבשותם שונה – ניתן להענישם בשל כל אחד מן המעשים בנפרד אף אם המתחם אחד הוא, שכן הם מהווים אירוע אחד. משכך, תטען המאשימה כי אין מניעה – ואף קיימת חובה נוכח עקרונות הענישה המנחים ובראשם עקרון ההלימה – כי חלקו העליון של המתחם יהיה גבוה מעונש המקסימום הנוגע לאחד מין המעשים". עוד נטען כי עבירת החזקת הנשק התגבשה עוד בטרם ביצוע עבירת ההמתה, ומשכך "עומדת בפני עצמה", וכי האינטרסים המוגנים ע"י כל אחת מהעבירות האמורות שונה. משכך מוסיפה המאשימה וטוענת כי "בענייננו יש לקבוע מתחם אחד, כאשר עונש המקסימום שיוכל לגזור בית המשפט יהיה סכום שני עונשי המקסימום של שתי העבירות בהן הורשעו הנאשמים".</w:t>
      </w:r>
    </w:p>
    <w:p w14:paraId="49216C5C" w14:textId="77777777" w:rsidR="00BC58D3" w:rsidRDefault="00BC58D3" w:rsidP="00BC58D3">
      <w:pPr>
        <w:spacing w:line="360" w:lineRule="auto"/>
        <w:ind w:firstLine="720"/>
        <w:jc w:val="both"/>
        <w:rPr>
          <w:rFonts w:ascii="FrankRuehl" w:hAnsi="FrankRuehl" w:cs="FrankRuehl"/>
          <w:sz w:val="28"/>
          <w:szCs w:val="28"/>
          <w:rtl/>
        </w:rPr>
      </w:pPr>
    </w:p>
    <w:p w14:paraId="2246D406"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בהשלמת טיעון נוספת התייחסה המאשימה לגזר הדין שניתן בעניינו של אבראהים, ומסרה כי עמדתה היא כי העונש לשיטתה "מקל מדי ואינו מגלם בתוכו את חומרת המעשים". עוד נטען כי יש להחמיר בעונשם של הנאשמים בהשוואה לעונשו של אבראהים, זאת נוכח עברם הפלילי העשיר, שחלקו בגין עבירות אלימות ונוכח שיתוף הפעולה של אבראהים בפיענוח פרשה זו. עוד נטען כי בעניינו של איבראהים העניק בית המשפט משקל רב להסכם הסולחה האמור – דבר העומד בניגוד לפסיקת בית המשפט העליון. </w:t>
      </w:r>
    </w:p>
    <w:p w14:paraId="1240B26A" w14:textId="77777777" w:rsidR="00BC58D3" w:rsidRDefault="00BC58D3" w:rsidP="00BC58D3">
      <w:pPr>
        <w:spacing w:line="360" w:lineRule="auto"/>
        <w:jc w:val="both"/>
        <w:rPr>
          <w:rFonts w:ascii="FrankRuehl" w:hAnsi="FrankRuehl" w:cs="FrankRuehl"/>
          <w:sz w:val="28"/>
          <w:szCs w:val="28"/>
          <w:rtl/>
        </w:rPr>
      </w:pPr>
    </w:p>
    <w:p w14:paraId="570943E1"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4.</w:t>
      </w:r>
      <w:r>
        <w:rPr>
          <w:rFonts w:ascii="FrankRuehl" w:hAnsi="FrankRuehl" w:cs="FrankRuehl"/>
          <w:sz w:val="28"/>
          <w:szCs w:val="28"/>
          <w:rtl/>
        </w:rPr>
        <w:tab/>
        <w:t>ב"כ נאשם 1 טען כי עצם המרתה של עבירת רצח מתוך אדישות שבה הואשמו הנאשמים ובגינה עמדו הם בסיכון של הטלת עונש מאסר עולם, לעבירה שבה הורשעו, מפריכה את טיעון המאשימה כי הנאשמים ניהלו את המשפט שלא לצורך. לטענתו אין לטשטש את פער החומרה בין ירי באדישות או בכוונת קטילה לירי לעבר חצר בלתי נראית – אירוע שרמת חומרתו פחותה.</w:t>
      </w:r>
    </w:p>
    <w:p w14:paraId="197DF17F" w14:textId="77777777" w:rsidR="00BC58D3" w:rsidRDefault="00BC58D3" w:rsidP="00BC58D3">
      <w:pPr>
        <w:spacing w:line="360" w:lineRule="auto"/>
        <w:jc w:val="both"/>
        <w:rPr>
          <w:rFonts w:ascii="FrankRuehl" w:hAnsi="FrankRuehl" w:cs="FrankRuehl"/>
          <w:sz w:val="28"/>
          <w:szCs w:val="28"/>
          <w:rtl/>
        </w:rPr>
      </w:pPr>
    </w:p>
    <w:p w14:paraId="0FA6580D"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ב"כ נאשם 1 מוסיף וטוען כי אין הצדקה לגזור על הנאשמים מאסר בפועל העולה על שלוש שנים. </w:t>
      </w:r>
    </w:p>
    <w:p w14:paraId="7B8CA610" w14:textId="77777777" w:rsidR="00BC58D3" w:rsidRDefault="00BC58D3" w:rsidP="00BC58D3">
      <w:pPr>
        <w:spacing w:line="360" w:lineRule="auto"/>
        <w:ind w:firstLine="720"/>
        <w:jc w:val="both"/>
        <w:rPr>
          <w:rFonts w:ascii="FrankRuehl" w:hAnsi="FrankRuehl" w:cs="FrankRuehl"/>
          <w:sz w:val="28"/>
          <w:szCs w:val="28"/>
          <w:rtl/>
        </w:rPr>
      </w:pPr>
    </w:p>
    <w:p w14:paraId="5DCBAE9E"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עוד נטען כי נאשם 1 "מכה על חטא על מה שקרה שם. הוא נכנס לסכסוך לא שלו... אלוהים מלמעלה אמר לבחור, לבדראן, זכרונו לברכה, לצאת החוצה או לעשן, או לדבר בטלפון ושם הייתה שעתו. זה לא שעה שבה הבית הומה אנשים... ברור כאן שהירי היה ירי הפחדה".</w:t>
      </w:r>
    </w:p>
    <w:p w14:paraId="69F6D882" w14:textId="77777777" w:rsidR="00BC58D3" w:rsidRDefault="00BC58D3" w:rsidP="00BC58D3">
      <w:pPr>
        <w:spacing w:line="360" w:lineRule="auto"/>
        <w:jc w:val="both"/>
        <w:rPr>
          <w:rFonts w:ascii="FrankRuehl" w:hAnsi="FrankRuehl" w:cs="FrankRuehl"/>
          <w:sz w:val="28"/>
          <w:szCs w:val="28"/>
          <w:rtl/>
        </w:rPr>
      </w:pPr>
    </w:p>
    <w:p w14:paraId="3DDCEFC2"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 xml:space="preserve">ב"כ נאשם 1 טוען עוד כי חלקו של אבראהים "משמעותי יותר מהנאשם 1, הוא שתק בחקירתו וכשניסה להפליל הוא הפליל אחרים והרחיק את עצמו" וכן נוכח העובדה כי הוא בעל הסכסוך הממושך עם משפחת גתית. עוד נטען כי על פי חומר החקירה ניסה אבראהים להדיח אחר בחקירה, ולעומתו נאשם 1 הודה במיוחס לו ואף ציין בחקירה את מקום המצא האקדח ששימש באירוע. </w:t>
      </w:r>
    </w:p>
    <w:p w14:paraId="5FE6BAF8" w14:textId="77777777" w:rsidR="00BC58D3" w:rsidRDefault="00BC58D3" w:rsidP="00BC58D3">
      <w:pPr>
        <w:spacing w:line="360" w:lineRule="auto"/>
        <w:jc w:val="both"/>
        <w:rPr>
          <w:rFonts w:ascii="FrankRuehl" w:hAnsi="FrankRuehl" w:cs="FrankRuehl"/>
          <w:sz w:val="28"/>
          <w:szCs w:val="28"/>
          <w:rtl/>
        </w:rPr>
      </w:pPr>
    </w:p>
    <w:p w14:paraId="319F9F9A"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5.</w:t>
      </w:r>
      <w:r>
        <w:rPr>
          <w:rFonts w:ascii="FrankRuehl" w:hAnsi="FrankRuehl" w:cs="FrankRuehl"/>
          <w:sz w:val="28"/>
          <w:szCs w:val="28"/>
          <w:rtl/>
        </w:rPr>
        <w:tab/>
        <w:t>ב"כ נאשם 2 הוסיף על דבריו של חברו, וטען כי אין לגזור ענישה נפרדת בגין עבירת נשיאת הנשק ולהוסיפה לעונש הנגזר בתיק זה בגין עבירת ההמתה בקלות דעת. עוד נטען כי "עבירת נשיאת הנשק הומרה בעבירת החזקת נשק, שכן החזקת הנשק כאן הייתה 'החזקה קונסטרוקטיבית' בלבד מעצם השותפות לנסיעה ברכב ולעבירה הראשית של המתה בקלות דעת. לא ניתן לדעת ו/או לקבוע מי החזיק את הנשק לפני הנסיעה ברכב, לא ניתן לדעת ו/או לקבוע מי ביצע את הירי שהוביל למות המנוח ולא ניתן לדעת ו/או לקבוע מי החביא את הנשק אחרי הנסיעה ברכב, והכל כמוסכם עם ב"כ המדינה וכחלק מהסדר הטיעון". עוד נטען כי יש לזקוף לזכותם של הנאשמים את הודאתם ואת סיום התיק בהרשעתם ללא צורך בהכרעה שיפוטית בו.</w:t>
      </w:r>
    </w:p>
    <w:p w14:paraId="53BA92D0" w14:textId="77777777" w:rsidR="00BC58D3" w:rsidRDefault="00BC58D3" w:rsidP="00BC58D3">
      <w:pPr>
        <w:spacing w:line="360" w:lineRule="auto"/>
        <w:jc w:val="both"/>
        <w:rPr>
          <w:rFonts w:ascii="FrankRuehl" w:hAnsi="FrankRuehl" w:cs="FrankRuehl"/>
          <w:sz w:val="28"/>
          <w:szCs w:val="28"/>
          <w:rtl/>
        </w:rPr>
      </w:pPr>
    </w:p>
    <w:p w14:paraId="379F146C"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ב"כ נאשם 2 הוסיף וטען כי "עניינו של נאשם 2 שונה לחלוטין ודינו אמור להיגזר באופן קל הרבה יותר מעונשו של מחמוד אבראהים, זאת בין היתר משלנאשם 2 לא היה כל סכסוך עם משפחת המנוח והגעתו למקום הייתה באקראי "כאשר אף אחד לא יודע מתי ומי גמלה בליבו ההחלטה לירות לעבר הבית אשר דייריו היו מסוכסכים עם מחמוד אבראהים הנ"ל וכאשר ברור לכולם שבזמן הירי הנאשם 2 אחז בהגה המכונית בשתי ידיו".</w:t>
      </w:r>
    </w:p>
    <w:p w14:paraId="6CDF4B6C" w14:textId="77777777" w:rsidR="00BC58D3" w:rsidRDefault="00BC58D3" w:rsidP="00BC58D3">
      <w:pPr>
        <w:spacing w:line="360" w:lineRule="auto"/>
        <w:jc w:val="both"/>
        <w:rPr>
          <w:rFonts w:ascii="FrankRuehl" w:hAnsi="FrankRuehl" w:cs="FrankRuehl"/>
          <w:sz w:val="28"/>
          <w:szCs w:val="28"/>
          <w:rtl/>
        </w:rPr>
      </w:pPr>
    </w:p>
    <w:p w14:paraId="4D5D666B" w14:textId="77777777" w:rsidR="00BC58D3" w:rsidRPr="00107D78" w:rsidRDefault="00BC58D3" w:rsidP="00BC58D3">
      <w:pPr>
        <w:spacing w:line="360" w:lineRule="auto"/>
        <w:jc w:val="both"/>
        <w:rPr>
          <w:rFonts w:ascii="Miriam" w:hAnsi="Miriam" w:cs="Miriam"/>
          <w:rtl/>
        </w:rPr>
      </w:pPr>
      <w:r w:rsidRPr="00107D78">
        <w:rPr>
          <w:rFonts w:ascii="Miriam" w:hAnsi="Miriam" w:cs="Miriam"/>
          <w:rtl/>
        </w:rPr>
        <w:t>דיון והכרעה</w:t>
      </w:r>
    </w:p>
    <w:p w14:paraId="132EFE33"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6.</w:t>
      </w:r>
      <w:r>
        <w:rPr>
          <w:rFonts w:ascii="FrankRuehl" w:hAnsi="FrankRuehl" w:cs="FrankRuehl"/>
          <w:sz w:val="28"/>
          <w:szCs w:val="28"/>
          <w:rtl/>
        </w:rPr>
        <w:tab/>
        <w:t>בשעת בוקר הגיעו הנאשמים וחברם אל בית משפחה שעמה היו מסוכסכים, וירו מבעד השער הסגור 12 כדורים אל תוך חצר הבית, דבר שגרם למותו של המנוח. המנוח בחור צעיר שהתארח בבית המשפחה האמורה ושהה בו באקראי איבד את חייו.</w:t>
      </w:r>
    </w:p>
    <w:p w14:paraId="0CDAB084" w14:textId="77777777" w:rsidR="00BC58D3" w:rsidRDefault="00BC58D3" w:rsidP="00BC58D3">
      <w:pPr>
        <w:spacing w:line="360" w:lineRule="auto"/>
        <w:jc w:val="both"/>
        <w:rPr>
          <w:rFonts w:ascii="FrankRuehl" w:hAnsi="FrankRuehl" w:cs="FrankRuehl"/>
          <w:sz w:val="28"/>
          <w:szCs w:val="28"/>
          <w:rtl/>
        </w:rPr>
      </w:pPr>
    </w:p>
    <w:p w14:paraId="3CB25E18"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לירי האמור קדם תכנון משותף של השלושה, שבמסגרתו הצטיידו הם באקדח שבאמצעותו בוצע הירי. השלושה ירו בעד שער הכניסה ממרחק של מטרים אחדים, בלי שבדקו קודם לכן אם בני המשפחה או אחרים שוהים בחצר הבית, זאת כשהאקדח מכוון בזווית אופקית בגובה עמידתו של אדם, ובשעה שבה צפויה שהיית אנשים בחצר.</w:t>
      </w:r>
    </w:p>
    <w:p w14:paraId="21D083A8" w14:textId="77777777" w:rsidR="00BC58D3" w:rsidRDefault="00BC58D3" w:rsidP="00BC58D3">
      <w:pPr>
        <w:spacing w:line="360" w:lineRule="auto"/>
        <w:jc w:val="both"/>
        <w:rPr>
          <w:rFonts w:ascii="FrankRuehl" w:hAnsi="FrankRuehl" w:cs="FrankRuehl"/>
          <w:sz w:val="28"/>
          <w:szCs w:val="28"/>
          <w:rtl/>
        </w:rPr>
      </w:pPr>
    </w:p>
    <w:p w14:paraId="57577BB4" w14:textId="77777777" w:rsidR="00BC58D3" w:rsidRDefault="00BC58D3" w:rsidP="00BC58D3">
      <w:pPr>
        <w:spacing w:line="360" w:lineRule="auto"/>
        <w:jc w:val="both"/>
        <w:rPr>
          <w:rFonts w:ascii="FrankRuehl" w:hAnsi="FrankRuehl" w:cs="FrankRuehl"/>
          <w:sz w:val="28"/>
          <w:szCs w:val="28"/>
        </w:rPr>
      </w:pPr>
      <w:r>
        <w:rPr>
          <w:rFonts w:ascii="FrankRuehl" w:hAnsi="FrankRuehl" w:cs="FrankRuehl"/>
          <w:sz w:val="28"/>
          <w:szCs w:val="28"/>
          <w:rtl/>
        </w:rPr>
        <w:tab/>
        <w:t xml:space="preserve">הנאשמים ואבראהים ביצעו את המעשה בצוותא חדא, ומשכך בקביעת מתחם העונש ההולם אין להבחין ביניהם. אמנם לא ניתן לייחס למי מהם את הלחיצה על ההדק, ואולם מובן כי אין בכך כדי לגרוע מאחריותו של כל אחד מהם. אין חולק כי המרת הוראת החיקוק שבה הואשמו הנאשמים מלכתחילה לעבירה של המתה בקלות דעת, מחייבת הקלה בדינם בהשוואה לירי שנעשה בכוונה להמית או תוך אדישות לכך. עם זאת ריבוי הקליעים שנורו אל תוך החצר, זווית הירי ושעת הירי אל חצר בית מגורים, מצדיקים קביעת מתחם ענישה מחמיר, שהפער בינו ובין אירועי תאונה מסוגים שונים רב. מדובר בהתנהגות אלימה, בריונית, שכל מטרתה הטלת מורא באחרים בדרך של שימוש בנשק חם, תוך זלזול מופגן בחיי אדם. התנהגות כאמור, מסכנת את החיים, פוגעת בסדר החברתי ובתחושת הביטחון העצמי. הנאשמים הוסיפו חטא על פשע, בכך שלא הסגירו עד כה את כלי הנשק ששימש להמתה ובהימלטותם אל שטחי הרשות הפלסטינית ושהייתם בה כחודש ימים, דבר שחייב את כוחות הביטחון לעצרם שם למרות המורכבות הכרוכה בכך. </w:t>
      </w:r>
    </w:p>
    <w:p w14:paraId="523180A8" w14:textId="77777777" w:rsidR="00BC58D3" w:rsidRDefault="00BC58D3" w:rsidP="00BC58D3">
      <w:pPr>
        <w:spacing w:line="360" w:lineRule="auto"/>
        <w:ind w:firstLine="720"/>
        <w:jc w:val="both"/>
        <w:rPr>
          <w:rFonts w:ascii="FrankRuehl" w:hAnsi="FrankRuehl" w:cs="FrankRuehl"/>
          <w:sz w:val="28"/>
          <w:szCs w:val="28"/>
          <w:rtl/>
        </w:rPr>
      </w:pPr>
    </w:p>
    <w:p w14:paraId="502185D2"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בקביעת מתחם העונש ההולם יש להביא בחשבון את העונש המרבי בגין עבירת ההמתה העומד על 12 שנים וכן את העונש המרבי הקבוע לצד עבירת החזקת הנשק העומד על שבע שנים. כאמור בטיעוני המאשימה לעונש, על פי עובדות כתב האישום המוסכם בוצעה עבירת החזקת הנשק פרק זמן מסוים בטרם הירי, ומשכך אין היא נבלעת בעונש המרבי שלצד עבירת ההמתה.</w:t>
      </w:r>
    </w:p>
    <w:p w14:paraId="3117AC7F" w14:textId="77777777" w:rsidR="00BC58D3" w:rsidRDefault="00BC58D3" w:rsidP="00BC58D3">
      <w:pPr>
        <w:spacing w:line="360" w:lineRule="auto"/>
        <w:ind w:firstLine="720"/>
        <w:jc w:val="both"/>
        <w:rPr>
          <w:rFonts w:ascii="FrankRuehl" w:hAnsi="FrankRuehl" w:cs="FrankRuehl"/>
          <w:sz w:val="28"/>
          <w:szCs w:val="28"/>
          <w:rtl/>
        </w:rPr>
      </w:pPr>
    </w:p>
    <w:p w14:paraId="74414A7E"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אנו ערים לכך שהמתחם שנקבע בעניינו של אבראהים נמוך מזה הנקבע בתיק זה, ואולם קביעת העונש ההולם לעבירה הינה סוגיה נורמטיבית, ובעניין זה עמדתנו שונה.</w:t>
      </w:r>
    </w:p>
    <w:p w14:paraId="07D3B31F" w14:textId="77777777" w:rsidR="00BC58D3" w:rsidRDefault="00BC58D3" w:rsidP="00BC58D3">
      <w:pPr>
        <w:spacing w:line="360" w:lineRule="auto"/>
        <w:ind w:firstLine="720"/>
        <w:jc w:val="both"/>
        <w:rPr>
          <w:rFonts w:ascii="FrankRuehl" w:hAnsi="FrankRuehl" w:cs="FrankRuehl"/>
          <w:sz w:val="28"/>
          <w:szCs w:val="28"/>
          <w:rtl/>
        </w:rPr>
      </w:pPr>
    </w:p>
    <w:p w14:paraId="5F8B5CBD"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 xml:space="preserve">נוכח האמור מתחם העונש ההולם לעבירות שעברו הנאשמים יעמוד </w:t>
      </w:r>
      <w:r w:rsidR="00BC3B62" w:rsidRPr="00BC035F">
        <w:rPr>
          <w:rFonts w:ascii="FrankRuehl" w:hAnsi="FrankRuehl" w:cs="FrankRuehl"/>
          <w:sz w:val="28"/>
          <w:szCs w:val="28"/>
          <w:rtl/>
        </w:rPr>
        <w:t>על 14-10</w:t>
      </w:r>
      <w:r>
        <w:rPr>
          <w:rFonts w:ascii="FrankRuehl" w:hAnsi="FrankRuehl" w:cs="FrankRuehl"/>
          <w:sz w:val="28"/>
          <w:szCs w:val="28"/>
          <w:rtl/>
        </w:rPr>
        <w:t xml:space="preserve"> שנות מאסר בפועל בתוספת ענישה נלווית.</w:t>
      </w:r>
    </w:p>
    <w:p w14:paraId="0071AC82" w14:textId="77777777" w:rsidR="00BC58D3" w:rsidRDefault="00BC58D3" w:rsidP="00BC58D3">
      <w:pPr>
        <w:spacing w:line="360" w:lineRule="auto"/>
        <w:ind w:firstLine="720"/>
        <w:jc w:val="both"/>
        <w:rPr>
          <w:rFonts w:ascii="FrankRuehl" w:hAnsi="FrankRuehl" w:cs="FrankRuehl"/>
          <w:sz w:val="28"/>
          <w:szCs w:val="28"/>
          <w:rtl/>
        </w:rPr>
      </w:pPr>
    </w:p>
    <w:p w14:paraId="23F3B5A5"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7.</w:t>
      </w:r>
      <w:r>
        <w:rPr>
          <w:rFonts w:ascii="FrankRuehl" w:hAnsi="FrankRuehl" w:cs="FrankRuehl"/>
          <w:sz w:val="28"/>
          <w:szCs w:val="28"/>
          <w:rtl/>
        </w:rPr>
        <w:tab/>
        <w:t>נאשם 1 נדון בין השנים 2019-2014 ארבע פעמים לעונשי מאסר בגין עבירות אלימות, סמים, רכוש, והפרת הוראה חוקית, זאת בנוסף למאסר בן 14 יום שנגזר עליו בבית המשפט לנוער בגין עבירה של סיכון אדם בנתיב תחבורה. כמו כן נדון נאשם 1 לחמישה חודשי מאסר בפועל בגין עבירה של נהיגה בחוסר זהירות. בסך הכול נגזרו על נאשם 1 בשבע השנים שקדמו למעצרו בגין תיק זה, למעלה מארבע שנות מאסר בפועל.</w:t>
      </w:r>
    </w:p>
    <w:p w14:paraId="578C3A2E" w14:textId="77777777" w:rsidR="00BC58D3" w:rsidRDefault="00BC58D3" w:rsidP="00BC58D3">
      <w:pPr>
        <w:spacing w:line="360" w:lineRule="auto"/>
        <w:jc w:val="both"/>
        <w:rPr>
          <w:rFonts w:ascii="FrankRuehl" w:hAnsi="FrankRuehl" w:cs="FrankRuehl"/>
          <w:sz w:val="28"/>
          <w:szCs w:val="28"/>
          <w:rtl/>
        </w:rPr>
      </w:pPr>
    </w:p>
    <w:p w14:paraId="39A0E7BE"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 xml:space="preserve">נאשם 2 נדון בין השנים 2016-2007 שלוש פעמים לריצוי מאסר בפועל: בשנת 2007 נדון ל-42 חודשי מאסר בגין עבירה של גרימת מוות בכוונה לפי הצו להוראות בטחון (יהודה ושומרון), בגין פנייה למספר אנשים בהצעה לבצע פיגוע התאבדות בתוך מדינת ישראל באמצעות חגורת נפץ ואיתור אדם שהסכים לכך, אך התחרט סמוך לפני ביצוע הפיגוע; בשנת 2011 נדון ל-5 חודשי מאסר בגין סיוע לניסיון התפרצות והסעת שוהה שלא כדין; ובשנת 2016 נדון לשלוש שנות מאסר בפועל בגין עבירת פציעה בנסיבות מחמירות לפי </w:t>
      </w:r>
      <w:hyperlink r:id="rId19" w:history="1">
        <w:r w:rsidR="00BC035F" w:rsidRPr="00BC035F">
          <w:rPr>
            <w:rStyle w:val="Hyperlink"/>
            <w:rFonts w:ascii="FrankRuehl" w:hAnsi="FrankRuehl" w:cs="FrankRuehl"/>
            <w:sz w:val="28"/>
            <w:szCs w:val="28"/>
            <w:rtl/>
          </w:rPr>
          <w:t>סעיף 329</w:t>
        </w:r>
      </w:hyperlink>
      <w:r>
        <w:rPr>
          <w:rFonts w:ascii="FrankRuehl" w:hAnsi="FrankRuehl" w:cs="FrankRuehl"/>
          <w:sz w:val="28"/>
          <w:szCs w:val="28"/>
          <w:rtl/>
        </w:rPr>
        <w:t xml:space="preserve"> ל</w:t>
      </w:r>
      <w:hyperlink r:id="rId20" w:history="1">
        <w:r w:rsidR="00BC3B62" w:rsidRPr="00BC3B62">
          <w:rPr>
            <w:rFonts w:ascii="FrankRuehl" w:hAnsi="FrankRuehl" w:cs="FrankRuehl"/>
            <w:color w:val="0000FF"/>
            <w:sz w:val="28"/>
            <w:szCs w:val="28"/>
            <w:u w:val="single"/>
            <w:rtl/>
          </w:rPr>
          <w:t>חוק העונשין</w:t>
        </w:r>
      </w:hyperlink>
      <w:r>
        <w:rPr>
          <w:rFonts w:ascii="FrankRuehl" w:hAnsi="FrankRuehl" w:cs="FrankRuehl"/>
          <w:sz w:val="28"/>
          <w:szCs w:val="28"/>
          <w:rtl/>
        </w:rPr>
        <w:t xml:space="preserve"> ונשיאת נשק שלא כדין.</w:t>
      </w:r>
    </w:p>
    <w:p w14:paraId="6CE72AE7" w14:textId="77777777" w:rsidR="00BC58D3" w:rsidRDefault="00BC58D3" w:rsidP="00BC58D3">
      <w:pPr>
        <w:spacing w:line="360" w:lineRule="auto"/>
        <w:jc w:val="both"/>
        <w:rPr>
          <w:rFonts w:ascii="FrankRuehl" w:hAnsi="FrankRuehl" w:cs="FrankRuehl"/>
          <w:sz w:val="28"/>
          <w:szCs w:val="28"/>
          <w:rtl/>
        </w:rPr>
      </w:pPr>
    </w:p>
    <w:p w14:paraId="7B65D9AC"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ab/>
        <w:t>במיוחד רלוונטית לענייננו הרשעתם של הנאשמים ב</w:t>
      </w:r>
      <w:hyperlink r:id="rId21" w:history="1">
        <w:r w:rsidR="00BC3B62" w:rsidRPr="00BC3B62">
          <w:rPr>
            <w:rFonts w:ascii="FrankRuehl" w:hAnsi="FrankRuehl" w:cs="FrankRuehl"/>
            <w:color w:val="0000FF"/>
            <w:sz w:val="28"/>
            <w:szCs w:val="28"/>
            <w:u w:val="single"/>
            <w:rtl/>
          </w:rPr>
          <w:t>ת"פ (מחוזי י-ם) 14991-07-15</w:t>
        </w:r>
      </w:hyperlink>
      <w:r>
        <w:rPr>
          <w:rFonts w:ascii="FrankRuehl" w:hAnsi="FrankRuehl" w:cs="FrankRuehl"/>
          <w:sz w:val="28"/>
          <w:szCs w:val="28"/>
          <w:rtl/>
        </w:rPr>
        <w:t xml:space="preserve"> שבגדרו הועמדו לדין ביחד, ובגדרו הורשעו בכך כי על רקע עימות בין אחיהם לאדם אחר, נסעו עם שניים נוספים לבית האחר, כשבידיו של נאשם 2 אקדח. לאחר שיחה קצרה, שלף נאשם 2 את האקדח וירה לכיוון רגליהם של האחר ואביו. על נאשם 1 נגזר בגין אירוע זה מאסר של 12 חודשים ועל נאשם 2 נגזר מאסר בפועל של שלוש שנים. </w:t>
      </w:r>
    </w:p>
    <w:p w14:paraId="0D5CA222" w14:textId="77777777" w:rsidR="00BC58D3" w:rsidRDefault="00BC58D3" w:rsidP="00BC58D3">
      <w:pPr>
        <w:spacing w:line="360" w:lineRule="auto"/>
        <w:jc w:val="both"/>
        <w:rPr>
          <w:rFonts w:ascii="FrankRuehl" w:hAnsi="FrankRuehl" w:cs="FrankRuehl"/>
          <w:sz w:val="28"/>
          <w:szCs w:val="28"/>
          <w:rtl/>
        </w:rPr>
      </w:pPr>
    </w:p>
    <w:p w14:paraId="35C4B590"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מעורבותם החוזרת ונשנית של הנאשמים בעבירות אלימות, לרבות בעבירות אלימות שבהן נעשה שימוש בנשק חם, ועונשי מאסר שנגזרו עליהם בשנים האחרונות שלא הרתיעו אותם מלעבור את העבירות שלפנינו, הינה בעלת משקל רב בעת גזירת דינם.</w:t>
      </w:r>
    </w:p>
    <w:p w14:paraId="56762C87" w14:textId="77777777" w:rsidR="00BC58D3" w:rsidRDefault="00BC58D3" w:rsidP="00BC58D3">
      <w:pPr>
        <w:spacing w:line="360" w:lineRule="auto"/>
        <w:ind w:firstLine="720"/>
        <w:jc w:val="both"/>
        <w:rPr>
          <w:rFonts w:ascii="FrankRuehl" w:hAnsi="FrankRuehl" w:cs="FrankRuehl"/>
          <w:sz w:val="28"/>
          <w:szCs w:val="28"/>
          <w:rtl/>
        </w:rPr>
      </w:pPr>
    </w:p>
    <w:p w14:paraId="0E97215F"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לכך יש להוסיף את הימלטותם של הנאשמים מהדין לאחר האירוע, ומתן הודאתם בשלב מאוחר במשפט כחלק מהסדר טיעון, שמלמדים כי נטלו אחריות חלקית בלבד על מעשיהם.</w:t>
      </w:r>
    </w:p>
    <w:p w14:paraId="56E7E352" w14:textId="77777777" w:rsidR="00BC58D3" w:rsidRDefault="00BC58D3" w:rsidP="00BC58D3">
      <w:pPr>
        <w:spacing w:line="360" w:lineRule="auto"/>
        <w:ind w:firstLine="720"/>
        <w:jc w:val="both"/>
        <w:rPr>
          <w:rFonts w:ascii="FrankRuehl" w:hAnsi="FrankRuehl" w:cs="FrankRuehl"/>
          <w:sz w:val="28"/>
          <w:szCs w:val="28"/>
          <w:rtl/>
        </w:rPr>
      </w:pPr>
    </w:p>
    <w:p w14:paraId="1908A845"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נוכח חומרתן של העבירות שבהן הורשעו הנאשמים, סברנו כי משקלו של הסכם הסולחה שנערך בין משפחת המנוח למשפחות הנאשמים ואבראהים, לגזירת הדין אינו גבוה (</w:t>
      </w:r>
      <w:hyperlink r:id="rId22" w:history="1">
        <w:r w:rsidR="00BC3B62" w:rsidRPr="00BC3B62">
          <w:rPr>
            <w:rFonts w:ascii="FrankRuehl" w:hAnsi="FrankRuehl" w:cs="FrankRuehl"/>
            <w:color w:val="0000FF"/>
            <w:sz w:val="28"/>
            <w:szCs w:val="28"/>
            <w:u w:val="single"/>
            <w:rtl/>
          </w:rPr>
          <w:t>ע"פ 6496/21</w:t>
        </w:r>
      </w:hyperlink>
      <w:r>
        <w:rPr>
          <w:rFonts w:ascii="FrankRuehl" w:hAnsi="FrankRuehl" w:cs="FrankRuehl"/>
          <w:sz w:val="28"/>
          <w:szCs w:val="28"/>
          <w:rtl/>
        </w:rPr>
        <w:t xml:space="preserve"> </w:t>
      </w:r>
      <w:r w:rsidRPr="00107D78">
        <w:rPr>
          <w:rFonts w:ascii="Miriam" w:hAnsi="Miriam" w:cs="Miriam"/>
          <w:rtl/>
        </w:rPr>
        <w:t>ריאן נ' מדינת ישראל</w:t>
      </w:r>
      <w:r>
        <w:rPr>
          <w:rFonts w:ascii="FrankRuehl" w:hAnsi="FrankRuehl" w:cs="FrankRuehl"/>
          <w:sz w:val="28"/>
          <w:szCs w:val="28"/>
          <w:rtl/>
        </w:rPr>
        <w:t xml:space="preserve"> (20.12.2021)).</w:t>
      </w:r>
    </w:p>
    <w:p w14:paraId="7C2C0C9F" w14:textId="77777777" w:rsidR="00BC58D3" w:rsidRDefault="00BC58D3" w:rsidP="00BC58D3">
      <w:pPr>
        <w:spacing w:line="360" w:lineRule="auto"/>
        <w:jc w:val="both"/>
        <w:rPr>
          <w:rFonts w:ascii="FrankRuehl" w:hAnsi="FrankRuehl" w:cs="FrankRuehl"/>
          <w:sz w:val="28"/>
          <w:szCs w:val="28"/>
          <w:rtl/>
        </w:rPr>
      </w:pPr>
    </w:p>
    <w:p w14:paraId="40ED1A63"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8.</w:t>
      </w:r>
      <w:r>
        <w:rPr>
          <w:rFonts w:ascii="FrankRuehl" w:hAnsi="FrankRuehl" w:cs="FrankRuehl"/>
          <w:sz w:val="28"/>
          <w:szCs w:val="28"/>
          <w:rtl/>
        </w:rPr>
        <w:tab/>
        <w:t xml:space="preserve">נוכח הרשעותיהם הקודמות של הנאשמים, שחומרתן רבה ומידת הרלוונטיות שלהן לעבירות שלפנינו גבוהה במיוחד, ומשהנאשמים לא נטלו אחריות ממשית על מעשיהם, יש לקבוע את עונשם ברף העליון של המתחם האמור או בקרבתו . עם זאת בשים לב לעקרון אחידות הענישה, ראינו לנכון לקבוע את עונשם במרכז המתחם. </w:t>
      </w:r>
    </w:p>
    <w:p w14:paraId="631A0DB9" w14:textId="77777777" w:rsidR="00BC58D3" w:rsidRDefault="00BC58D3" w:rsidP="00BC58D3">
      <w:pPr>
        <w:spacing w:line="360" w:lineRule="auto"/>
        <w:jc w:val="both"/>
        <w:rPr>
          <w:rFonts w:ascii="FrankRuehl" w:hAnsi="FrankRuehl" w:cs="FrankRuehl"/>
          <w:sz w:val="28"/>
          <w:szCs w:val="28"/>
          <w:rtl/>
        </w:rPr>
      </w:pPr>
    </w:p>
    <w:p w14:paraId="798D502A"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 xml:space="preserve">יודגש כי אפילו אם היינו מאמצים בגזר דין זה את מתחם העונש ההולם לעבירות שנקבע בעניינו של אבראהים, נכון היה לגזור על הנאשמים את העונש האמור, נוכח נסיבותיהם המחמירות בהשוואה לנסיבותיו של אבראהים. </w:t>
      </w:r>
    </w:p>
    <w:p w14:paraId="3D4952EB" w14:textId="77777777" w:rsidR="00BC58D3" w:rsidRDefault="00BC58D3" w:rsidP="00BC58D3">
      <w:pPr>
        <w:spacing w:line="360" w:lineRule="auto"/>
        <w:ind w:firstLine="720"/>
        <w:jc w:val="both"/>
        <w:rPr>
          <w:rFonts w:ascii="FrankRuehl" w:hAnsi="FrankRuehl" w:cs="FrankRuehl"/>
          <w:sz w:val="28"/>
          <w:szCs w:val="28"/>
          <w:rtl/>
        </w:rPr>
      </w:pPr>
    </w:p>
    <w:p w14:paraId="40FEDE5B" w14:textId="77777777" w:rsidR="00BC58D3" w:rsidRDefault="00BC58D3" w:rsidP="00BC58D3">
      <w:pPr>
        <w:spacing w:line="360" w:lineRule="auto"/>
        <w:jc w:val="both"/>
        <w:rPr>
          <w:rFonts w:ascii="FrankRuehl" w:hAnsi="FrankRuehl" w:cs="FrankRuehl"/>
          <w:sz w:val="28"/>
          <w:szCs w:val="28"/>
          <w:rtl/>
        </w:rPr>
      </w:pPr>
      <w:r>
        <w:rPr>
          <w:rFonts w:ascii="FrankRuehl" w:hAnsi="FrankRuehl" w:cs="FrankRuehl"/>
          <w:sz w:val="28"/>
          <w:szCs w:val="28"/>
          <w:rtl/>
        </w:rPr>
        <w:t>9.</w:t>
      </w:r>
      <w:r>
        <w:rPr>
          <w:rFonts w:ascii="FrankRuehl" w:hAnsi="FrankRuehl" w:cs="FrankRuehl"/>
          <w:sz w:val="28"/>
          <w:szCs w:val="28"/>
          <w:rtl/>
        </w:rPr>
        <w:tab/>
        <w:t>נוכח האמור דינם של הנאשמים ייגזר כלהלן:</w:t>
      </w:r>
    </w:p>
    <w:p w14:paraId="0CA532DC" w14:textId="77777777" w:rsidR="00BC58D3" w:rsidRDefault="00BC58D3" w:rsidP="00BC58D3">
      <w:pPr>
        <w:spacing w:line="360" w:lineRule="auto"/>
        <w:ind w:firstLine="720"/>
        <w:jc w:val="both"/>
        <w:rPr>
          <w:rFonts w:ascii="FrankRuehl" w:hAnsi="FrankRuehl" w:cs="FrankRuehl"/>
          <w:sz w:val="28"/>
          <w:szCs w:val="28"/>
          <w:rtl/>
        </w:rPr>
      </w:pPr>
    </w:p>
    <w:p w14:paraId="389CE7AE"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12 שנות מאסר בפועל החל ביום מעצרם</w:t>
      </w:r>
      <w:r>
        <w:rPr>
          <w:rFonts w:ascii="FrankRuehl" w:hAnsi="FrankRuehl" w:cs="FrankRuehl" w:hint="cs"/>
          <w:sz w:val="28"/>
          <w:szCs w:val="28"/>
          <w:rtl/>
        </w:rPr>
        <w:t xml:space="preserve"> לפי רישומי שב"ס</w:t>
      </w:r>
      <w:r>
        <w:rPr>
          <w:rFonts w:ascii="FrankRuehl" w:hAnsi="FrankRuehl" w:cs="FrankRuehl"/>
          <w:sz w:val="28"/>
          <w:szCs w:val="28"/>
          <w:rtl/>
        </w:rPr>
        <w:t>.</w:t>
      </w:r>
    </w:p>
    <w:p w14:paraId="7670DC2B" w14:textId="77777777" w:rsidR="00BC58D3" w:rsidRDefault="00BC58D3" w:rsidP="00BC58D3">
      <w:pPr>
        <w:spacing w:line="360" w:lineRule="auto"/>
        <w:ind w:firstLine="720"/>
        <w:jc w:val="both"/>
        <w:rPr>
          <w:rFonts w:ascii="FrankRuehl" w:hAnsi="FrankRuehl" w:cs="FrankRuehl"/>
          <w:sz w:val="28"/>
          <w:szCs w:val="28"/>
          <w:rtl/>
        </w:rPr>
      </w:pPr>
    </w:p>
    <w:p w14:paraId="62BB5548"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שנת מאסר על תנאי שלא יעברו תוך שלוש שנים משחרורם עבירת אלימות מסוג פשע או עבירה בנשק מסוג פשע.</w:t>
      </w:r>
    </w:p>
    <w:p w14:paraId="47C38824" w14:textId="77777777" w:rsidR="00BC58D3" w:rsidRDefault="00BC58D3" w:rsidP="00BC58D3">
      <w:pPr>
        <w:spacing w:line="360" w:lineRule="auto"/>
        <w:ind w:firstLine="720"/>
        <w:jc w:val="both"/>
        <w:rPr>
          <w:rFonts w:ascii="FrankRuehl" w:hAnsi="FrankRuehl" w:cs="FrankRuehl"/>
          <w:sz w:val="28"/>
          <w:szCs w:val="28"/>
          <w:rtl/>
        </w:rPr>
      </w:pPr>
    </w:p>
    <w:p w14:paraId="334AB6E1" w14:textId="77777777" w:rsidR="00BC58D3" w:rsidRDefault="00BC58D3" w:rsidP="00BC58D3">
      <w:pPr>
        <w:spacing w:line="360" w:lineRule="auto"/>
        <w:ind w:firstLine="720"/>
        <w:jc w:val="both"/>
        <w:rPr>
          <w:rFonts w:ascii="FrankRuehl" w:hAnsi="FrankRuehl" w:cs="FrankRuehl"/>
          <w:sz w:val="28"/>
          <w:szCs w:val="28"/>
          <w:rtl/>
        </w:rPr>
      </w:pPr>
      <w:r>
        <w:rPr>
          <w:rFonts w:ascii="FrankRuehl" w:hAnsi="FrankRuehl" w:cs="FrankRuehl"/>
          <w:sz w:val="28"/>
          <w:szCs w:val="28"/>
          <w:rtl/>
        </w:rPr>
        <w:t>פיצוי למשפחת המנוח בסך 100,000 ₪, שישולם על ידם ביחד ולחוד</w:t>
      </w:r>
      <w:r>
        <w:rPr>
          <w:rFonts w:ascii="FrankRuehl" w:hAnsi="FrankRuehl" w:cs="FrankRuehl" w:hint="cs"/>
          <w:sz w:val="28"/>
          <w:szCs w:val="28"/>
          <w:rtl/>
        </w:rPr>
        <w:t xml:space="preserve"> וזאת עד ליום 2.4.2023</w:t>
      </w:r>
      <w:r>
        <w:rPr>
          <w:rFonts w:ascii="FrankRuehl" w:hAnsi="FrankRuehl" w:cs="FrankRuehl"/>
          <w:sz w:val="28"/>
          <w:szCs w:val="28"/>
          <w:rtl/>
        </w:rPr>
        <w:t>.</w:t>
      </w:r>
    </w:p>
    <w:tbl>
      <w:tblPr>
        <w:bidiVisual/>
        <w:tblW w:w="2294" w:type="dxa"/>
        <w:tblInd w:w="6372" w:type="dxa"/>
        <w:tblLook w:val="01E0" w:firstRow="1" w:lastRow="1" w:firstColumn="1" w:lastColumn="1" w:noHBand="0" w:noVBand="0"/>
      </w:tblPr>
      <w:tblGrid>
        <w:gridCol w:w="2301"/>
      </w:tblGrid>
      <w:tr w:rsidR="00BC58D3" w:rsidRPr="00882788" w14:paraId="19983519" w14:textId="77777777" w:rsidTr="00BC58D3">
        <w:tc>
          <w:tcPr>
            <w:tcW w:w="2294" w:type="dxa"/>
            <w:tcBorders>
              <w:bottom w:val="single" w:sz="4" w:space="0" w:color="auto"/>
            </w:tcBorders>
            <w:shd w:val="clear" w:color="auto" w:fill="auto"/>
          </w:tcPr>
          <w:p w14:paraId="54569B7F" w14:textId="77777777" w:rsidR="00BC58D3" w:rsidRPr="00BC58D3" w:rsidRDefault="00901166" w:rsidP="00BC58D3">
            <w:pPr>
              <w:spacing w:before="40" w:after="40"/>
              <w:jc w:val="center"/>
              <w:rPr>
                <w:rFonts w:ascii="FrankRuehl" w:hAnsi="FrankRuehl" w:cs="FrankRuehl"/>
                <w:rtl/>
              </w:rPr>
            </w:pPr>
            <w:r w:rsidRPr="00901166">
              <w:rPr>
                <w:rFonts w:ascii="FrankRuehl" w:hAnsi="FrankRuehl" w:cs="FrankRuehl"/>
                <w:noProof/>
              </w:rPr>
              <w:pict w14:anchorId="0C4838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i1026" type="#_x0000_t75" style="width:104.4pt;height:36pt;visibility:visible">
                  <v:imagedata r:id="rId23" o:title="056423866"/>
                </v:shape>
              </w:pict>
            </w:r>
          </w:p>
        </w:tc>
      </w:tr>
      <w:tr w:rsidR="00BC58D3" w:rsidRPr="00882788" w14:paraId="68225326" w14:textId="77777777" w:rsidTr="00BC58D3">
        <w:tc>
          <w:tcPr>
            <w:tcW w:w="2294" w:type="dxa"/>
            <w:tcBorders>
              <w:top w:val="single" w:sz="4" w:space="0" w:color="auto"/>
            </w:tcBorders>
            <w:shd w:val="clear" w:color="auto" w:fill="auto"/>
          </w:tcPr>
          <w:p w14:paraId="7F39D160" w14:textId="77777777" w:rsidR="00BC58D3" w:rsidRPr="00BC58D3" w:rsidRDefault="00BC58D3" w:rsidP="00BC58D3">
            <w:pPr>
              <w:tabs>
                <w:tab w:val="center" w:pos="1039"/>
              </w:tabs>
              <w:spacing w:before="40" w:after="40"/>
              <w:jc w:val="center"/>
              <w:rPr>
                <w:rFonts w:ascii="FrankRuehl" w:hAnsi="FrankRuehl" w:cs="FrankRuehl"/>
                <w:b/>
                <w:bCs/>
                <w:rtl/>
              </w:rPr>
            </w:pPr>
            <w:r w:rsidRPr="00BC58D3">
              <w:rPr>
                <w:rFonts w:ascii="FrankRuehl" w:hAnsi="FrankRuehl" w:cs="FrankRuehl"/>
                <w:b/>
                <w:bCs/>
                <w:rtl/>
              </w:rPr>
              <w:t>אלי אברבנאל, שופט</w:t>
            </w:r>
          </w:p>
        </w:tc>
      </w:tr>
    </w:tbl>
    <w:p w14:paraId="07DCBBA4" w14:textId="77777777" w:rsidR="00BC58D3" w:rsidRPr="00882788" w:rsidRDefault="00BC58D3" w:rsidP="00BC58D3">
      <w:pPr>
        <w:rPr>
          <w:rFonts w:ascii="FrankRuehl" w:hAnsi="FrankRuehl" w:cs="FrankRuehl"/>
        </w:rPr>
      </w:pPr>
    </w:p>
    <w:p w14:paraId="3A172618" w14:textId="77777777" w:rsidR="00BC58D3" w:rsidRPr="00882788" w:rsidRDefault="00BC58D3" w:rsidP="00BC58D3">
      <w:pPr>
        <w:rPr>
          <w:rFonts w:ascii="FrankRuehl" w:hAnsi="FrankRuehl" w:cs="FrankRuehl"/>
          <w:b/>
          <w:bCs/>
          <w:sz w:val="26"/>
          <w:szCs w:val="26"/>
          <w:rtl/>
        </w:rPr>
      </w:pPr>
    </w:p>
    <w:p w14:paraId="251D444E" w14:textId="77777777" w:rsidR="00BC58D3" w:rsidRPr="00107D78" w:rsidRDefault="00BC58D3" w:rsidP="00BC58D3">
      <w:pPr>
        <w:spacing w:line="360" w:lineRule="auto"/>
        <w:rPr>
          <w:rFonts w:ascii="FrankRuehl" w:hAnsi="FrankRuehl" w:cs="FrankRuehl"/>
          <w:b/>
          <w:bCs/>
          <w:sz w:val="28"/>
          <w:szCs w:val="28"/>
          <w:u w:val="single"/>
          <w:rtl/>
        </w:rPr>
      </w:pPr>
      <w:r w:rsidRPr="00107D78">
        <w:rPr>
          <w:rFonts w:ascii="FrankRuehl" w:hAnsi="FrankRuehl" w:cs="FrankRuehl"/>
          <w:b/>
          <w:bCs/>
          <w:sz w:val="28"/>
          <w:szCs w:val="28"/>
          <w:u w:val="single"/>
          <w:rtl/>
        </w:rPr>
        <w:t>השופט א' דראל – סגן נשיא:</w:t>
      </w:r>
    </w:p>
    <w:p w14:paraId="6ED23927" w14:textId="77777777" w:rsidR="00BC58D3" w:rsidRPr="00107D78" w:rsidRDefault="00BC58D3" w:rsidP="00BC58D3">
      <w:pPr>
        <w:spacing w:line="360" w:lineRule="auto"/>
        <w:rPr>
          <w:rFonts w:ascii="FrankRuehl" w:hAnsi="FrankRuehl" w:cs="FrankRuehl"/>
          <w:sz w:val="28"/>
          <w:szCs w:val="28"/>
          <w:rtl/>
        </w:rPr>
      </w:pPr>
      <w:r w:rsidRPr="00107D78">
        <w:rPr>
          <w:rFonts w:ascii="FrankRuehl" w:hAnsi="FrankRuehl" w:cs="FrankRuehl"/>
          <w:sz w:val="28"/>
          <w:szCs w:val="28"/>
          <w:rtl/>
        </w:rPr>
        <w:t>אני מסכים</w:t>
      </w:r>
    </w:p>
    <w:tbl>
      <w:tblPr>
        <w:bidiVisual/>
        <w:tblW w:w="2962" w:type="dxa"/>
        <w:tblInd w:w="7092" w:type="dxa"/>
        <w:tblLook w:val="01E0" w:firstRow="1" w:lastRow="1" w:firstColumn="1" w:lastColumn="1" w:noHBand="0" w:noVBand="0"/>
      </w:tblPr>
      <w:tblGrid>
        <w:gridCol w:w="2962"/>
      </w:tblGrid>
      <w:tr w:rsidR="00BC58D3" w:rsidRPr="00882788" w14:paraId="78F3E09A" w14:textId="77777777" w:rsidTr="00BC58D3">
        <w:trPr>
          <w:trHeight w:val="992"/>
        </w:trPr>
        <w:tc>
          <w:tcPr>
            <w:tcW w:w="2962" w:type="dxa"/>
            <w:tcBorders>
              <w:top w:val="nil"/>
              <w:left w:val="nil"/>
              <w:bottom w:val="single" w:sz="4" w:space="0" w:color="auto"/>
              <w:right w:val="nil"/>
            </w:tcBorders>
            <w:shd w:val="clear" w:color="auto" w:fill="auto"/>
            <w:vAlign w:val="center"/>
          </w:tcPr>
          <w:p w14:paraId="11E77EB0" w14:textId="77777777" w:rsidR="00BC58D3" w:rsidRPr="00BC58D3" w:rsidRDefault="00901166" w:rsidP="00BC58D3">
            <w:pPr>
              <w:jc w:val="center"/>
              <w:rPr>
                <w:rFonts w:ascii="FrankRuehl" w:hAnsi="FrankRuehl" w:cs="FrankRuehl"/>
                <w:b/>
                <w:bCs/>
              </w:rPr>
            </w:pPr>
            <w:r w:rsidRPr="00901166">
              <w:rPr>
                <w:rFonts w:ascii="FrankRuehl" w:hAnsi="FrankRuehl" w:cs="FrankRuehl"/>
                <w:b/>
                <w:bCs/>
                <w:noProof/>
              </w:rPr>
              <w:pict w14:anchorId="49A881DD">
                <v:shape id="_x0000_i1027" type="#_x0000_t75" alt="022213889" style="width:77.4pt;height:59.4pt;visibility:visible">
                  <v:imagedata r:id="rId24" o:title="022213889"/>
                </v:shape>
              </w:pict>
            </w:r>
          </w:p>
        </w:tc>
      </w:tr>
      <w:tr w:rsidR="00BC58D3" w:rsidRPr="00882788" w14:paraId="774B38C0" w14:textId="77777777" w:rsidTr="00BC58D3">
        <w:tc>
          <w:tcPr>
            <w:tcW w:w="2962" w:type="dxa"/>
            <w:tcBorders>
              <w:top w:val="single" w:sz="4" w:space="0" w:color="auto"/>
              <w:left w:val="nil"/>
              <w:bottom w:val="nil"/>
              <w:right w:val="nil"/>
            </w:tcBorders>
            <w:shd w:val="clear" w:color="auto" w:fill="auto"/>
            <w:vAlign w:val="bottom"/>
          </w:tcPr>
          <w:p w14:paraId="3EFC7CC4" w14:textId="77777777" w:rsidR="00BC58D3" w:rsidRPr="00BC58D3" w:rsidRDefault="00BC58D3" w:rsidP="00BC58D3">
            <w:pPr>
              <w:spacing w:line="276" w:lineRule="auto"/>
              <w:jc w:val="center"/>
              <w:rPr>
                <w:rFonts w:ascii="FrankRuehl" w:hAnsi="FrankRuehl" w:cs="FrankRuehl"/>
                <w:b/>
                <w:bCs/>
              </w:rPr>
            </w:pPr>
            <w:r w:rsidRPr="00BC58D3">
              <w:rPr>
                <w:rFonts w:ascii="FrankRuehl" w:hAnsi="FrankRuehl" w:cs="FrankRuehl"/>
                <w:b/>
                <w:bCs/>
                <w:rtl/>
              </w:rPr>
              <w:t>ארנון דראל, סגן נשיא</w:t>
            </w:r>
          </w:p>
        </w:tc>
      </w:tr>
    </w:tbl>
    <w:p w14:paraId="1BCD1DE1" w14:textId="77777777" w:rsidR="00BC58D3" w:rsidRPr="00882788" w:rsidRDefault="00BC58D3" w:rsidP="00BC58D3">
      <w:pPr>
        <w:rPr>
          <w:rFonts w:ascii="FrankRuehl" w:hAnsi="FrankRuehl" w:cs="FrankRuehl"/>
        </w:rPr>
      </w:pPr>
    </w:p>
    <w:p w14:paraId="27000B98" w14:textId="77777777" w:rsidR="00BC58D3" w:rsidRPr="00107D78" w:rsidRDefault="00BC58D3" w:rsidP="00BC58D3">
      <w:pPr>
        <w:spacing w:line="360" w:lineRule="auto"/>
        <w:rPr>
          <w:rFonts w:ascii="FrankRuehl" w:hAnsi="FrankRuehl" w:cs="FrankRuehl"/>
          <w:b/>
          <w:bCs/>
          <w:sz w:val="28"/>
          <w:szCs w:val="28"/>
          <w:u w:val="single"/>
          <w:rtl/>
        </w:rPr>
      </w:pPr>
      <w:r w:rsidRPr="00107D78">
        <w:rPr>
          <w:rFonts w:ascii="FrankRuehl" w:hAnsi="FrankRuehl" w:cs="FrankRuehl"/>
          <w:b/>
          <w:bCs/>
          <w:sz w:val="28"/>
          <w:szCs w:val="28"/>
          <w:u w:val="single"/>
          <w:rtl/>
        </w:rPr>
        <w:t>השופטת ח' זנדברג:</w:t>
      </w:r>
    </w:p>
    <w:p w14:paraId="47C98B4D" w14:textId="77777777" w:rsidR="00BC58D3" w:rsidRPr="00107D78" w:rsidRDefault="00BC58D3" w:rsidP="00BC58D3">
      <w:pPr>
        <w:rPr>
          <w:rFonts w:ascii="FrankRuehl" w:hAnsi="FrankRuehl" w:cs="FrankRuehl"/>
          <w:sz w:val="28"/>
          <w:szCs w:val="28"/>
          <w:rtl/>
        </w:rPr>
      </w:pPr>
      <w:r w:rsidRPr="00107D78">
        <w:rPr>
          <w:rFonts w:ascii="FrankRuehl" w:hAnsi="FrankRuehl" w:cs="FrankRuehl"/>
          <w:sz w:val="28"/>
          <w:szCs w:val="28"/>
          <w:rtl/>
        </w:rPr>
        <w:t>אני מסכימה</w:t>
      </w:r>
    </w:p>
    <w:p w14:paraId="19F1F4F2" w14:textId="77777777" w:rsidR="00BC58D3" w:rsidRPr="00882788" w:rsidRDefault="00BC58D3" w:rsidP="00BC58D3">
      <w:pPr>
        <w:rPr>
          <w:rFonts w:ascii="FrankRuehl" w:hAnsi="FrankRuehl" w:cs="FrankRuehl"/>
          <w:sz w:val="26"/>
          <w:szCs w:val="26"/>
          <w:rtl/>
        </w:rPr>
      </w:pPr>
    </w:p>
    <w:tbl>
      <w:tblPr>
        <w:bidiVisual/>
        <w:tblW w:w="2958" w:type="dxa"/>
        <w:tblInd w:w="5652" w:type="dxa"/>
        <w:tblLook w:val="01E0" w:firstRow="1" w:lastRow="1" w:firstColumn="1" w:lastColumn="1" w:noHBand="0" w:noVBand="0"/>
      </w:tblPr>
      <w:tblGrid>
        <w:gridCol w:w="2961"/>
      </w:tblGrid>
      <w:tr w:rsidR="00BC58D3" w:rsidRPr="00882788" w14:paraId="50F34BBA" w14:textId="77777777" w:rsidTr="00BC58D3">
        <w:tc>
          <w:tcPr>
            <w:tcW w:w="2958" w:type="dxa"/>
            <w:tcBorders>
              <w:top w:val="nil"/>
              <w:left w:val="nil"/>
              <w:bottom w:val="single" w:sz="4" w:space="0" w:color="auto"/>
              <w:right w:val="nil"/>
            </w:tcBorders>
            <w:shd w:val="clear" w:color="auto" w:fill="auto"/>
            <w:vAlign w:val="center"/>
          </w:tcPr>
          <w:p w14:paraId="724EB7EF" w14:textId="77777777" w:rsidR="00BC58D3" w:rsidRPr="00BC58D3" w:rsidRDefault="00901166" w:rsidP="00BC58D3">
            <w:pPr>
              <w:spacing w:before="40" w:after="40"/>
              <w:jc w:val="center"/>
              <w:rPr>
                <w:rFonts w:ascii="FrankRuehl" w:hAnsi="FrankRuehl" w:cs="FrankRuehl"/>
                <w:b/>
                <w:bCs/>
                <w:rtl/>
              </w:rPr>
            </w:pPr>
            <w:r w:rsidRPr="00901166">
              <w:rPr>
                <w:rFonts w:ascii="FrankRuehl" w:hAnsi="FrankRuehl" w:cs="FrankRuehl"/>
                <w:noProof/>
              </w:rPr>
              <w:pict w14:anchorId="608AC8D6">
                <v:shape id="תמונה 3" o:spid="_x0000_i1028" type="#_x0000_t75" style="width:137.4pt;height:50.4pt;visibility:visible">
                  <v:imagedata r:id="rId25" o:title="022787378"/>
                </v:shape>
              </w:pict>
            </w:r>
          </w:p>
        </w:tc>
      </w:tr>
      <w:tr w:rsidR="00BC58D3" w:rsidRPr="00882788" w14:paraId="271EA1AE" w14:textId="77777777" w:rsidTr="00BC58D3">
        <w:tc>
          <w:tcPr>
            <w:tcW w:w="2958" w:type="dxa"/>
            <w:tcBorders>
              <w:top w:val="single" w:sz="4" w:space="0" w:color="auto"/>
              <w:left w:val="nil"/>
              <w:bottom w:val="nil"/>
              <w:right w:val="nil"/>
            </w:tcBorders>
            <w:shd w:val="clear" w:color="auto" w:fill="auto"/>
          </w:tcPr>
          <w:p w14:paraId="20ACFACF" w14:textId="77777777" w:rsidR="00BC58D3" w:rsidRPr="00BC58D3" w:rsidRDefault="00BC58D3" w:rsidP="00BC58D3">
            <w:pPr>
              <w:pStyle w:val="3"/>
              <w:spacing w:before="40" w:after="40" w:line="240" w:lineRule="auto"/>
              <w:jc w:val="center"/>
              <w:rPr>
                <w:rFonts w:ascii="FrankRuehl" w:hAnsi="FrankRuehl" w:cs="FrankRuehl"/>
                <w:sz w:val="28"/>
                <w:rtl/>
              </w:rPr>
            </w:pPr>
            <w:r w:rsidRPr="00BC58D3">
              <w:rPr>
                <w:rFonts w:ascii="FrankRuehl" w:hAnsi="FrankRuehl" w:cs="FrankRuehl"/>
                <w:sz w:val="28"/>
                <w:rtl/>
              </w:rPr>
              <w:t>חיה זנדברג, שופטת</w:t>
            </w:r>
          </w:p>
        </w:tc>
      </w:tr>
    </w:tbl>
    <w:p w14:paraId="5D2D58D1" w14:textId="77777777" w:rsidR="00BC58D3" w:rsidRDefault="00BC58D3" w:rsidP="00BC58D3">
      <w:pPr>
        <w:jc w:val="center"/>
        <w:rPr>
          <w:rFonts w:ascii="FrankRuehl" w:hAnsi="FrankRuehl" w:cs="FrankRuehl"/>
          <w:rtl/>
        </w:rPr>
      </w:pPr>
    </w:p>
    <w:p w14:paraId="2FB52424" w14:textId="77777777" w:rsidR="00BC58D3" w:rsidRPr="00107D78" w:rsidRDefault="00BC58D3" w:rsidP="00BC58D3">
      <w:pPr>
        <w:bidi w:val="0"/>
        <w:jc w:val="right"/>
        <w:rPr>
          <w:rFonts w:ascii="FrankRuehl" w:hAnsi="FrankRuehl" w:cs="FrankRuehl"/>
          <w:b/>
          <w:bCs/>
          <w:sz w:val="28"/>
          <w:szCs w:val="28"/>
          <w:rtl/>
        </w:rPr>
      </w:pPr>
      <w:r>
        <w:rPr>
          <w:rFonts w:ascii="FrankRuehl" w:hAnsi="FrankRuehl" w:cs="FrankRuehl"/>
          <w:rtl/>
        </w:rPr>
        <w:br w:type="page"/>
      </w:r>
      <w:r w:rsidRPr="00107D78">
        <w:rPr>
          <w:rFonts w:ascii="FrankRuehl" w:hAnsi="FrankRuehl" w:cs="FrankRuehl"/>
          <w:b/>
          <w:bCs/>
          <w:sz w:val="28"/>
          <w:szCs w:val="28"/>
          <w:rtl/>
        </w:rPr>
        <w:t>הוחלט פה אחד כאמור בגזר הדין שניתן על ידי כב' השופט א' אברבנאל.</w:t>
      </w:r>
    </w:p>
    <w:p w14:paraId="5338473A" w14:textId="77777777" w:rsidR="00BC58D3" w:rsidRPr="00107D78" w:rsidRDefault="00BC58D3" w:rsidP="00BC58D3">
      <w:pPr>
        <w:rPr>
          <w:rFonts w:ascii="FrankRuehl" w:hAnsi="FrankRuehl" w:cs="FrankRuehl"/>
          <w:b/>
          <w:bCs/>
          <w:sz w:val="28"/>
          <w:szCs w:val="28"/>
          <w:rtl/>
        </w:rPr>
      </w:pPr>
    </w:p>
    <w:p w14:paraId="31116738" w14:textId="77777777" w:rsidR="00BC58D3" w:rsidRPr="00107D78" w:rsidRDefault="00BC58D3" w:rsidP="00BC58D3">
      <w:pPr>
        <w:rPr>
          <w:rFonts w:ascii="FrankRuehl" w:hAnsi="FrankRuehl" w:cs="FrankRuehl"/>
          <w:b/>
          <w:bCs/>
          <w:sz w:val="28"/>
          <w:szCs w:val="28"/>
          <w:rtl/>
        </w:rPr>
      </w:pPr>
      <w:r w:rsidRPr="00107D78">
        <w:rPr>
          <w:rFonts w:ascii="FrankRuehl" w:hAnsi="FrankRuehl" w:cs="FrankRuehl"/>
          <w:b/>
          <w:bCs/>
          <w:sz w:val="28"/>
          <w:szCs w:val="28"/>
          <w:rtl/>
        </w:rPr>
        <w:t>הודע על זכות ערעור לבית המשפט העליון תוך 45 יום.</w:t>
      </w:r>
    </w:p>
    <w:p w14:paraId="03B19F72" w14:textId="77777777" w:rsidR="00BC58D3" w:rsidRPr="00BC3B62" w:rsidRDefault="00BC3B62" w:rsidP="00BC58D3">
      <w:pPr>
        <w:rPr>
          <w:rFonts w:ascii="FrankRuehl" w:hAnsi="FrankRuehl" w:cs="FrankRuehl"/>
          <w:b/>
          <w:bCs/>
          <w:color w:val="FFFFFF"/>
          <w:sz w:val="2"/>
          <w:szCs w:val="2"/>
          <w:rtl/>
        </w:rPr>
      </w:pPr>
      <w:r w:rsidRPr="00BC3B62">
        <w:rPr>
          <w:rFonts w:ascii="FrankRuehl" w:hAnsi="FrankRuehl" w:cs="FrankRuehl"/>
          <w:b/>
          <w:bCs/>
          <w:color w:val="FFFFFF"/>
          <w:sz w:val="2"/>
          <w:szCs w:val="2"/>
          <w:rtl/>
        </w:rPr>
        <w:t>5129371</w:t>
      </w:r>
    </w:p>
    <w:tbl>
      <w:tblPr>
        <w:bidiVisual/>
        <w:tblW w:w="0" w:type="auto"/>
        <w:tblLook w:val="01E0" w:firstRow="1" w:lastRow="1" w:firstColumn="1" w:lastColumn="1" w:noHBand="0" w:noVBand="0"/>
      </w:tblPr>
      <w:tblGrid>
        <w:gridCol w:w="2782"/>
        <w:gridCol w:w="236"/>
        <w:gridCol w:w="2294"/>
        <w:gridCol w:w="236"/>
        <w:gridCol w:w="2657"/>
      </w:tblGrid>
      <w:tr w:rsidR="00BC58D3" w:rsidRPr="00882788" w14:paraId="3A8429C2" w14:textId="77777777" w:rsidTr="00BC58D3">
        <w:tc>
          <w:tcPr>
            <w:tcW w:w="2782" w:type="dxa"/>
            <w:tcBorders>
              <w:top w:val="nil"/>
              <w:left w:val="nil"/>
              <w:bottom w:val="single" w:sz="4" w:space="0" w:color="auto"/>
              <w:right w:val="nil"/>
            </w:tcBorders>
            <w:shd w:val="clear" w:color="auto" w:fill="auto"/>
            <w:vAlign w:val="center"/>
          </w:tcPr>
          <w:p w14:paraId="503E928F" w14:textId="77777777" w:rsidR="00BC58D3" w:rsidRPr="00BC58D3" w:rsidRDefault="00BC3B62" w:rsidP="00BC3B62">
            <w:pPr>
              <w:spacing w:before="40" w:after="40"/>
              <w:jc w:val="center"/>
              <w:rPr>
                <w:rFonts w:ascii="FrankRuehl" w:hAnsi="FrankRuehl" w:cs="FrankRuehl"/>
                <w:b/>
                <w:bCs/>
                <w:rtl/>
              </w:rPr>
            </w:pPr>
            <w:bookmarkStart w:id="8" w:name="Nitan"/>
            <w:r w:rsidRPr="00BC3B62">
              <w:rPr>
                <w:rFonts w:ascii="FrankRuehl" w:hAnsi="FrankRuehl" w:cs="FrankRuehl"/>
                <w:b/>
                <w:bCs/>
                <w:color w:val="FFFFFF"/>
                <w:sz w:val="2"/>
                <w:szCs w:val="2"/>
                <w:rtl/>
              </w:rPr>
              <w:t>54678313</w:t>
            </w:r>
            <w:r>
              <w:rPr>
                <w:rFonts w:ascii="FrankRuehl" w:hAnsi="FrankRuehl" w:cs="FrankRuehl"/>
                <w:b/>
                <w:bCs/>
                <w:sz w:val="28"/>
                <w:szCs w:val="28"/>
                <w:rtl/>
              </w:rPr>
              <w:t xml:space="preserve">ניתן היום, י"ח בטבת התשפ"ג, 11.1.2023 במעמד הצדדים </w:t>
            </w:r>
            <w:bookmarkEnd w:id="8"/>
          </w:p>
        </w:tc>
        <w:tc>
          <w:tcPr>
            <w:tcW w:w="236" w:type="dxa"/>
            <w:shd w:val="clear" w:color="auto" w:fill="auto"/>
            <w:vAlign w:val="center"/>
          </w:tcPr>
          <w:p w14:paraId="0B894FFE" w14:textId="77777777" w:rsidR="00BC58D3" w:rsidRPr="00BC58D3" w:rsidRDefault="00BC58D3" w:rsidP="00BC58D3">
            <w:pPr>
              <w:spacing w:before="40" w:after="40"/>
              <w:jc w:val="center"/>
              <w:rPr>
                <w:rFonts w:ascii="FrankRuehl" w:hAnsi="FrankRuehl" w:cs="FrankRuehl"/>
                <w:b/>
                <w:bCs/>
              </w:rPr>
            </w:pPr>
          </w:p>
        </w:tc>
        <w:tc>
          <w:tcPr>
            <w:tcW w:w="2294" w:type="dxa"/>
            <w:tcBorders>
              <w:top w:val="nil"/>
              <w:left w:val="nil"/>
              <w:bottom w:val="single" w:sz="4" w:space="0" w:color="auto"/>
              <w:right w:val="nil"/>
            </w:tcBorders>
            <w:shd w:val="clear" w:color="auto" w:fill="auto"/>
            <w:vAlign w:val="center"/>
          </w:tcPr>
          <w:p w14:paraId="2DCE8729" w14:textId="77777777" w:rsidR="00BC58D3" w:rsidRPr="00BC58D3" w:rsidRDefault="00BC58D3" w:rsidP="00BC58D3">
            <w:pPr>
              <w:spacing w:before="40" w:after="40"/>
              <w:jc w:val="center"/>
              <w:rPr>
                <w:rFonts w:ascii="FrankRuehl" w:hAnsi="FrankRuehl" w:cs="FrankRuehl"/>
                <w:b/>
                <w:bCs/>
                <w:rtl/>
              </w:rPr>
            </w:pPr>
          </w:p>
        </w:tc>
        <w:tc>
          <w:tcPr>
            <w:tcW w:w="236" w:type="dxa"/>
            <w:shd w:val="clear" w:color="auto" w:fill="auto"/>
            <w:vAlign w:val="center"/>
          </w:tcPr>
          <w:p w14:paraId="6723F919" w14:textId="77777777" w:rsidR="00BC58D3" w:rsidRPr="00BC58D3" w:rsidRDefault="00BC58D3" w:rsidP="00BC58D3">
            <w:pPr>
              <w:spacing w:before="40" w:after="40"/>
              <w:jc w:val="center"/>
              <w:rPr>
                <w:rFonts w:ascii="FrankRuehl" w:hAnsi="FrankRuehl" w:cs="FrankRuehl"/>
                <w:b/>
                <w:bCs/>
              </w:rPr>
            </w:pPr>
          </w:p>
        </w:tc>
        <w:tc>
          <w:tcPr>
            <w:tcW w:w="2657" w:type="dxa"/>
            <w:tcBorders>
              <w:top w:val="nil"/>
              <w:left w:val="nil"/>
              <w:bottom w:val="single" w:sz="4" w:space="0" w:color="auto"/>
              <w:right w:val="nil"/>
            </w:tcBorders>
            <w:shd w:val="clear" w:color="auto" w:fill="auto"/>
            <w:vAlign w:val="center"/>
          </w:tcPr>
          <w:p w14:paraId="6A181FAD" w14:textId="77777777" w:rsidR="00BC58D3" w:rsidRPr="00BC58D3" w:rsidRDefault="00BC58D3" w:rsidP="00BC58D3">
            <w:pPr>
              <w:spacing w:before="40" w:after="40"/>
              <w:jc w:val="center"/>
              <w:rPr>
                <w:rFonts w:ascii="FrankRuehl" w:hAnsi="FrankRuehl" w:cs="FrankRuehl"/>
                <w:b/>
                <w:bCs/>
              </w:rPr>
            </w:pPr>
          </w:p>
        </w:tc>
      </w:tr>
      <w:tr w:rsidR="00BC58D3" w:rsidRPr="00882788" w14:paraId="3D048CBE" w14:textId="77777777" w:rsidTr="00BC58D3">
        <w:tc>
          <w:tcPr>
            <w:tcW w:w="2782" w:type="dxa"/>
            <w:tcBorders>
              <w:top w:val="single" w:sz="4" w:space="0" w:color="auto"/>
              <w:left w:val="nil"/>
              <w:bottom w:val="nil"/>
              <w:right w:val="nil"/>
            </w:tcBorders>
            <w:shd w:val="clear" w:color="auto" w:fill="auto"/>
          </w:tcPr>
          <w:p w14:paraId="7B42BF41" w14:textId="77777777" w:rsidR="00BC58D3" w:rsidRPr="00BC58D3" w:rsidRDefault="00BC58D3" w:rsidP="00BC58D3">
            <w:pPr>
              <w:spacing w:before="40" w:after="40"/>
              <w:jc w:val="center"/>
              <w:rPr>
                <w:rFonts w:ascii="FrankRuehl" w:hAnsi="FrankRuehl" w:cs="FrankRuehl"/>
                <w:b/>
                <w:bCs/>
                <w:noProof/>
                <w:sz w:val="28"/>
                <w:rtl/>
              </w:rPr>
            </w:pPr>
            <w:r w:rsidRPr="00BC58D3">
              <w:rPr>
                <w:rFonts w:ascii="FrankRuehl" w:hAnsi="FrankRuehl" w:cs="FrankRuehl"/>
                <w:b/>
                <w:bCs/>
                <w:sz w:val="28"/>
                <w:rtl/>
              </w:rPr>
              <w:t xml:space="preserve">ארנון דראל, </w:t>
            </w:r>
            <w:r w:rsidRPr="00BC58D3">
              <w:rPr>
                <w:rFonts w:ascii="FrankRuehl" w:hAnsi="FrankRuehl" w:cs="FrankRuehl"/>
                <w:b/>
                <w:bCs/>
                <w:noProof/>
                <w:sz w:val="28"/>
                <w:rtl/>
              </w:rPr>
              <w:t xml:space="preserve"> סגן נשיא</w:t>
            </w:r>
          </w:p>
        </w:tc>
        <w:tc>
          <w:tcPr>
            <w:tcW w:w="236" w:type="dxa"/>
            <w:shd w:val="clear" w:color="auto" w:fill="auto"/>
          </w:tcPr>
          <w:p w14:paraId="4AB02144" w14:textId="77777777" w:rsidR="00BC58D3" w:rsidRPr="00BC58D3" w:rsidRDefault="00BC58D3" w:rsidP="00BC58D3">
            <w:pPr>
              <w:spacing w:before="40" w:after="40"/>
              <w:jc w:val="center"/>
              <w:rPr>
                <w:rFonts w:ascii="FrankRuehl" w:hAnsi="FrankRuehl" w:cs="FrankRuehl"/>
                <w:b/>
                <w:bCs/>
                <w:noProof/>
                <w:color w:val="FF0000"/>
                <w:sz w:val="28"/>
              </w:rPr>
            </w:pPr>
          </w:p>
        </w:tc>
        <w:tc>
          <w:tcPr>
            <w:tcW w:w="2294" w:type="dxa"/>
            <w:tcBorders>
              <w:top w:val="single" w:sz="4" w:space="0" w:color="auto"/>
              <w:left w:val="nil"/>
              <w:bottom w:val="nil"/>
              <w:right w:val="nil"/>
            </w:tcBorders>
            <w:shd w:val="clear" w:color="auto" w:fill="auto"/>
          </w:tcPr>
          <w:p w14:paraId="61F902E5" w14:textId="77777777" w:rsidR="00BC58D3" w:rsidRPr="00BC58D3" w:rsidRDefault="00BC58D3" w:rsidP="00BC58D3">
            <w:pPr>
              <w:pStyle w:val="3"/>
              <w:spacing w:before="40" w:after="40" w:line="240" w:lineRule="auto"/>
              <w:jc w:val="center"/>
              <w:rPr>
                <w:rFonts w:ascii="FrankRuehl" w:hAnsi="FrankRuehl" w:cs="FrankRuehl"/>
                <w:sz w:val="28"/>
                <w:rtl/>
              </w:rPr>
            </w:pPr>
            <w:r w:rsidRPr="00BC58D3">
              <w:rPr>
                <w:rFonts w:ascii="FrankRuehl" w:hAnsi="FrankRuehl" w:cs="FrankRuehl"/>
                <w:sz w:val="28"/>
                <w:rtl/>
              </w:rPr>
              <w:t>אלי אברבנאל, שופט</w:t>
            </w:r>
          </w:p>
        </w:tc>
        <w:tc>
          <w:tcPr>
            <w:tcW w:w="236" w:type="dxa"/>
            <w:shd w:val="clear" w:color="auto" w:fill="auto"/>
          </w:tcPr>
          <w:p w14:paraId="28F0F930" w14:textId="77777777" w:rsidR="00BC58D3" w:rsidRPr="00BC58D3" w:rsidRDefault="00BC58D3" w:rsidP="00BC58D3">
            <w:pPr>
              <w:spacing w:before="40" w:after="40"/>
              <w:jc w:val="center"/>
              <w:rPr>
                <w:rFonts w:ascii="FrankRuehl" w:hAnsi="FrankRuehl" w:cs="FrankRuehl"/>
                <w:b/>
                <w:bCs/>
                <w:noProof/>
                <w:color w:val="FF0000"/>
                <w:sz w:val="28"/>
              </w:rPr>
            </w:pPr>
          </w:p>
        </w:tc>
        <w:tc>
          <w:tcPr>
            <w:tcW w:w="2657" w:type="dxa"/>
            <w:tcBorders>
              <w:top w:val="single" w:sz="4" w:space="0" w:color="auto"/>
              <w:left w:val="nil"/>
              <w:bottom w:val="nil"/>
              <w:right w:val="nil"/>
            </w:tcBorders>
            <w:shd w:val="clear" w:color="auto" w:fill="auto"/>
          </w:tcPr>
          <w:p w14:paraId="3F9472CA" w14:textId="77777777" w:rsidR="00BC58D3" w:rsidRPr="00BC58D3" w:rsidRDefault="00BC58D3" w:rsidP="00BC58D3">
            <w:pPr>
              <w:spacing w:before="40" w:after="40"/>
              <w:jc w:val="center"/>
              <w:rPr>
                <w:rFonts w:ascii="FrankRuehl" w:hAnsi="FrankRuehl" w:cs="FrankRuehl"/>
                <w:b/>
                <w:bCs/>
                <w:noProof/>
                <w:sz w:val="28"/>
              </w:rPr>
            </w:pPr>
            <w:r w:rsidRPr="00BC58D3">
              <w:rPr>
                <w:rFonts w:ascii="FrankRuehl" w:hAnsi="FrankRuehl" w:cs="FrankRuehl"/>
                <w:b/>
                <w:bCs/>
                <w:noProof/>
                <w:sz w:val="28"/>
                <w:rtl/>
              </w:rPr>
              <w:t>חיה זנדברג, שופטת</w:t>
            </w:r>
          </w:p>
        </w:tc>
      </w:tr>
    </w:tbl>
    <w:p w14:paraId="72983B4C" w14:textId="77777777" w:rsidR="00BC58D3" w:rsidRDefault="00BC58D3" w:rsidP="00BC58D3">
      <w:pPr>
        <w:spacing w:line="360" w:lineRule="auto"/>
        <w:ind w:firstLine="720"/>
        <w:jc w:val="both"/>
        <w:rPr>
          <w:rFonts w:ascii="FrankRuehl" w:hAnsi="FrankRuehl" w:cs="FrankRuehl"/>
          <w:sz w:val="28"/>
          <w:szCs w:val="28"/>
          <w:rtl/>
        </w:rPr>
      </w:pPr>
    </w:p>
    <w:p w14:paraId="5527D07D" w14:textId="77777777" w:rsidR="00BC58D3" w:rsidRPr="00882788" w:rsidRDefault="00BC58D3" w:rsidP="00BC58D3">
      <w:pPr>
        <w:jc w:val="center"/>
        <w:rPr>
          <w:rFonts w:ascii="FrankRuehl" w:hAnsi="FrankRuehl" w:cs="FrankRuehl"/>
          <w:rtl/>
        </w:rPr>
      </w:pPr>
    </w:p>
    <w:p w14:paraId="73762B3E" w14:textId="77777777" w:rsidR="00C379B0" w:rsidRPr="00BC3B62" w:rsidRDefault="00C379B0" w:rsidP="00BC3B62">
      <w:pPr>
        <w:keepNext/>
        <w:rPr>
          <w:rFonts w:ascii="David" w:hAnsi="David"/>
          <w:color w:val="000000"/>
          <w:sz w:val="22"/>
          <w:szCs w:val="22"/>
          <w:rtl/>
        </w:rPr>
      </w:pPr>
    </w:p>
    <w:p w14:paraId="1765CF94" w14:textId="77777777" w:rsidR="00BC3B62" w:rsidRPr="00BC3B62" w:rsidRDefault="00BC3B62" w:rsidP="00BC3B62">
      <w:pPr>
        <w:keepNext/>
        <w:rPr>
          <w:rFonts w:ascii="David" w:hAnsi="David"/>
          <w:color w:val="000000"/>
          <w:sz w:val="22"/>
          <w:szCs w:val="22"/>
          <w:rtl/>
        </w:rPr>
      </w:pPr>
      <w:r w:rsidRPr="00BC3B62">
        <w:rPr>
          <w:rFonts w:ascii="David" w:hAnsi="David"/>
          <w:color w:val="000000"/>
          <w:sz w:val="22"/>
          <w:szCs w:val="22"/>
          <w:rtl/>
        </w:rPr>
        <w:t>א' דראל 54678313</w:t>
      </w:r>
    </w:p>
    <w:p w14:paraId="37D92387" w14:textId="77777777" w:rsidR="00BC3B62" w:rsidRDefault="00BC3B62" w:rsidP="00BC3B62">
      <w:r w:rsidRPr="00BC3B62">
        <w:rPr>
          <w:color w:val="000000"/>
          <w:rtl/>
        </w:rPr>
        <w:t>נוסח מסמך זה כפוף לשינויי ניסוח ועריכה</w:t>
      </w:r>
    </w:p>
    <w:p w14:paraId="2034C5D1" w14:textId="77777777" w:rsidR="00BC3B62" w:rsidRDefault="00BC3B62" w:rsidP="00BC3B62">
      <w:pPr>
        <w:rPr>
          <w:rtl/>
        </w:rPr>
      </w:pPr>
    </w:p>
    <w:p w14:paraId="23959940" w14:textId="77777777" w:rsidR="00BC3B62" w:rsidRDefault="00BC3B62" w:rsidP="00BC3B62">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3D24FA2D" w14:textId="77777777" w:rsidR="00BC3B62" w:rsidRPr="00BC3B62" w:rsidRDefault="00BC3B62" w:rsidP="00BC3B62">
      <w:pPr>
        <w:jc w:val="center"/>
        <w:rPr>
          <w:color w:val="0000FF"/>
          <w:u w:val="single"/>
        </w:rPr>
      </w:pPr>
    </w:p>
    <w:sectPr w:rsidR="00BC3B62" w:rsidRPr="00BC3B62" w:rsidSect="00BC3B62">
      <w:headerReference w:type="even" r:id="rId27"/>
      <w:headerReference w:type="default" r:id="rId28"/>
      <w:footerReference w:type="even" r:id="rId29"/>
      <w:footerReference w:type="default" r:id="rId30"/>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30366" w14:textId="77777777" w:rsidR="004C198B" w:rsidRDefault="004C198B" w:rsidP="00901166">
      <w:r>
        <w:separator/>
      </w:r>
    </w:p>
  </w:endnote>
  <w:endnote w:type="continuationSeparator" w:id="0">
    <w:p w14:paraId="4CD8904E" w14:textId="77777777" w:rsidR="004C198B" w:rsidRDefault="004C198B" w:rsidP="00901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DEDBA" w14:textId="77777777" w:rsidR="00BC3B62" w:rsidRDefault="00BC3B62" w:rsidP="00BC3B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C25BDA8" w14:textId="77777777" w:rsidR="00425DEC" w:rsidRPr="00BC3B62" w:rsidRDefault="00BC3B62" w:rsidP="00BC3B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4B29B" w14:textId="77777777" w:rsidR="00BC3B62" w:rsidRDefault="00BC3B62" w:rsidP="00BC3B6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D3D1A">
      <w:rPr>
        <w:rFonts w:ascii="FrankRuehl" w:hAnsi="FrankRuehl" w:cs="FrankRuehl"/>
        <w:noProof/>
        <w:rtl/>
      </w:rPr>
      <w:t>1</w:t>
    </w:r>
    <w:r>
      <w:rPr>
        <w:rFonts w:ascii="FrankRuehl" w:hAnsi="FrankRuehl" w:cs="FrankRuehl"/>
        <w:rtl/>
      </w:rPr>
      <w:fldChar w:fldCharType="end"/>
    </w:r>
  </w:p>
  <w:p w14:paraId="0644977D" w14:textId="77777777" w:rsidR="00425DEC" w:rsidRPr="00BC3B62" w:rsidRDefault="00BC3B62" w:rsidP="00BC3B6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592F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D28B52" w14:textId="77777777" w:rsidR="004C198B" w:rsidRDefault="004C198B" w:rsidP="00901166">
      <w:r>
        <w:separator/>
      </w:r>
    </w:p>
  </w:footnote>
  <w:footnote w:type="continuationSeparator" w:id="0">
    <w:p w14:paraId="497BC4CE" w14:textId="77777777" w:rsidR="004C198B" w:rsidRDefault="004C198B" w:rsidP="009011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F0EC0" w14:textId="77777777" w:rsidR="00BC3B62" w:rsidRPr="00BC3B62" w:rsidRDefault="00BC3B62" w:rsidP="00BC3B6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63773-04-21</w:t>
    </w:r>
    <w:r>
      <w:rPr>
        <w:rFonts w:ascii="David" w:hAnsi="David"/>
        <w:color w:val="000000"/>
        <w:sz w:val="22"/>
        <w:szCs w:val="22"/>
        <w:rtl/>
      </w:rPr>
      <w:tab/>
      <w:t xml:space="preserve"> מדינת ישראל נ' עלאא סאלחי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A54B1" w14:textId="77777777" w:rsidR="00BC3B62" w:rsidRPr="00BC3B62" w:rsidRDefault="00BC3B62" w:rsidP="00BC3B6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(י-ם) 63773-04-21</w:t>
    </w:r>
    <w:r>
      <w:rPr>
        <w:rFonts w:ascii="David" w:hAnsi="David"/>
        <w:color w:val="000000"/>
        <w:sz w:val="22"/>
        <w:szCs w:val="22"/>
        <w:rtl/>
      </w:rPr>
      <w:tab/>
      <w:t xml:space="preserve"> מדינת ישראל נ' עלאא סאלחי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58D3"/>
    <w:rsid w:val="00045ECE"/>
    <w:rsid w:val="00175076"/>
    <w:rsid w:val="001B5A3B"/>
    <w:rsid w:val="00264D32"/>
    <w:rsid w:val="00324683"/>
    <w:rsid w:val="0037097D"/>
    <w:rsid w:val="00425DEC"/>
    <w:rsid w:val="004C198B"/>
    <w:rsid w:val="00613F40"/>
    <w:rsid w:val="00901166"/>
    <w:rsid w:val="00B60607"/>
    <w:rsid w:val="00B87250"/>
    <w:rsid w:val="00BC035F"/>
    <w:rsid w:val="00BC3B62"/>
    <w:rsid w:val="00BC58D3"/>
    <w:rsid w:val="00C379B0"/>
    <w:rsid w:val="00FD3D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590A77"/>
  <w15:chartTrackingRefBased/>
  <w15:docId w15:val="{B22CA8FB-27CF-4F4B-A2B0-E4E8A9D3C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58D3"/>
    <w:pPr>
      <w:bidi/>
    </w:pPr>
    <w:rPr>
      <w:rFonts w:ascii="Times New Roman" w:eastAsia="Times New Roman" w:hAnsi="Times New Roman" w:cs="David"/>
      <w:sz w:val="24"/>
      <w:szCs w:val="24"/>
    </w:rPr>
  </w:style>
  <w:style w:type="paragraph" w:styleId="3">
    <w:name w:val="heading 3"/>
    <w:basedOn w:val="a"/>
    <w:next w:val="a"/>
    <w:link w:val="30"/>
    <w:qFormat/>
    <w:rsid w:val="00BC58D3"/>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BC58D3"/>
    <w:rPr>
      <w:rFonts w:ascii="Times New Roman" w:eastAsia="Times New Roman" w:hAnsi="Times New Roman" w:cs="David"/>
      <w:b/>
      <w:bCs/>
      <w:noProof/>
      <w:sz w:val="20"/>
      <w:szCs w:val="24"/>
      <w:lang w:eastAsia="he-IL"/>
    </w:rPr>
  </w:style>
  <w:style w:type="paragraph" w:styleId="a3">
    <w:name w:val="header"/>
    <w:basedOn w:val="a"/>
    <w:link w:val="a4"/>
    <w:rsid w:val="00BC58D3"/>
    <w:pPr>
      <w:tabs>
        <w:tab w:val="center" w:pos="4153"/>
        <w:tab w:val="right" w:pos="8306"/>
      </w:tabs>
    </w:pPr>
  </w:style>
  <w:style w:type="character" w:customStyle="1" w:styleId="a4">
    <w:name w:val="כותרת עליונה תו"/>
    <w:link w:val="a3"/>
    <w:rsid w:val="00BC58D3"/>
    <w:rPr>
      <w:rFonts w:ascii="Times New Roman" w:eastAsia="Times New Roman" w:hAnsi="Times New Roman" w:cs="David"/>
      <w:sz w:val="24"/>
      <w:szCs w:val="24"/>
    </w:rPr>
  </w:style>
  <w:style w:type="paragraph" w:styleId="a5">
    <w:name w:val="footer"/>
    <w:basedOn w:val="a"/>
    <w:link w:val="a6"/>
    <w:rsid w:val="00BC58D3"/>
    <w:pPr>
      <w:tabs>
        <w:tab w:val="center" w:pos="4153"/>
        <w:tab w:val="right" w:pos="8306"/>
      </w:tabs>
    </w:pPr>
  </w:style>
  <w:style w:type="character" w:customStyle="1" w:styleId="a6">
    <w:name w:val="כותרת תחתונה תו"/>
    <w:link w:val="a5"/>
    <w:rsid w:val="00BC58D3"/>
    <w:rPr>
      <w:rFonts w:ascii="Times New Roman" w:eastAsia="Times New Roman" w:hAnsi="Times New Roman" w:cs="David"/>
      <w:sz w:val="24"/>
      <w:szCs w:val="24"/>
    </w:rPr>
  </w:style>
  <w:style w:type="table" w:styleId="a7">
    <w:name w:val="Table Grid"/>
    <w:basedOn w:val="a1"/>
    <w:rsid w:val="00BC58D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58D3"/>
  </w:style>
  <w:style w:type="character" w:styleId="Hyperlink">
    <w:name w:val="Hyperlink"/>
    <w:rsid w:val="00BC3B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01c"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4903"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case/20423944" TargetMode="External"/><Relationship Id="rId7" Type="http://schemas.openxmlformats.org/officeDocument/2006/relationships/hyperlink" Target="http://www.nevo.co.il/law/70301/144.a" TargetMode="External"/><Relationship Id="rId12" Type="http://schemas.openxmlformats.org/officeDocument/2006/relationships/hyperlink" Target="http://www.nevo.co.il/law/70301/301c" TargetMode="External"/><Relationship Id="rId17" Type="http://schemas.openxmlformats.org/officeDocument/2006/relationships/hyperlink" Target="http://www.nevo.co.il/law/74903/186" TargetMode="External"/><Relationship Id="rId25"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www.nevo.co.il/case/25380377" TargetMode="External"/><Relationship Id="rId20" Type="http://schemas.openxmlformats.org/officeDocument/2006/relationships/hyperlink" Target="http://www.nevo.co.il/law/70301"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4903/186"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27106066" TargetMode="External"/><Relationship Id="rId23" Type="http://schemas.openxmlformats.org/officeDocument/2006/relationships/image" Target="media/image1.png"/><Relationship Id="rId28" Type="http://schemas.openxmlformats.org/officeDocument/2006/relationships/header" Target="header2.xml"/><Relationship Id="rId10" Type="http://schemas.openxmlformats.org/officeDocument/2006/relationships/hyperlink" Target="http://www.nevo.co.il/law/74903" TargetMode="External"/><Relationship Id="rId19" Type="http://schemas.openxmlformats.org/officeDocument/2006/relationships/hyperlink" Target="http://www.nevo.co.il/law/70301/329"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29"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793351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2382</Words>
  <Characters>11913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14267</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3735669</vt:i4>
      </vt:variant>
      <vt:variant>
        <vt:i4>48</vt:i4>
      </vt:variant>
      <vt:variant>
        <vt:i4>0</vt:i4>
      </vt:variant>
      <vt:variant>
        <vt:i4>5</vt:i4>
      </vt:variant>
      <vt:variant>
        <vt:lpwstr>http://www.nevo.co.il/case/27933514</vt:lpwstr>
      </vt:variant>
      <vt:variant>
        <vt:lpwstr/>
      </vt:variant>
      <vt:variant>
        <vt:i4>3211391</vt:i4>
      </vt:variant>
      <vt:variant>
        <vt:i4>45</vt:i4>
      </vt:variant>
      <vt:variant>
        <vt:i4>0</vt:i4>
      </vt:variant>
      <vt:variant>
        <vt:i4>5</vt:i4>
      </vt:variant>
      <vt:variant>
        <vt:lpwstr>http://www.nevo.co.il/case/20423944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6750310</vt:i4>
      </vt:variant>
      <vt:variant>
        <vt:i4>39</vt:i4>
      </vt:variant>
      <vt:variant>
        <vt:i4>0</vt:i4>
      </vt:variant>
      <vt:variant>
        <vt:i4>5</vt:i4>
      </vt:variant>
      <vt:variant>
        <vt:lpwstr>http://www.nevo.co.il/law/70301/329</vt:lpwstr>
      </vt:variant>
      <vt:variant>
        <vt:lpwstr/>
      </vt:variant>
      <vt:variant>
        <vt:i4>8257646</vt:i4>
      </vt:variant>
      <vt:variant>
        <vt:i4>36</vt:i4>
      </vt:variant>
      <vt:variant>
        <vt:i4>0</vt:i4>
      </vt:variant>
      <vt:variant>
        <vt:i4>5</vt:i4>
      </vt:variant>
      <vt:variant>
        <vt:lpwstr>http://www.nevo.co.il/law/74903</vt:lpwstr>
      </vt:variant>
      <vt:variant>
        <vt:lpwstr/>
      </vt:variant>
      <vt:variant>
        <vt:i4>6881388</vt:i4>
      </vt:variant>
      <vt:variant>
        <vt:i4>33</vt:i4>
      </vt:variant>
      <vt:variant>
        <vt:i4>0</vt:i4>
      </vt:variant>
      <vt:variant>
        <vt:i4>5</vt:i4>
      </vt:variant>
      <vt:variant>
        <vt:lpwstr>http://www.nevo.co.il/law/74903/186</vt:lpwstr>
      </vt:variant>
      <vt:variant>
        <vt:lpwstr/>
      </vt:variant>
      <vt:variant>
        <vt:i4>3539066</vt:i4>
      </vt:variant>
      <vt:variant>
        <vt:i4>30</vt:i4>
      </vt:variant>
      <vt:variant>
        <vt:i4>0</vt:i4>
      </vt:variant>
      <vt:variant>
        <vt:i4>5</vt:i4>
      </vt:variant>
      <vt:variant>
        <vt:lpwstr>http://www.nevo.co.il/case/25380377</vt:lpwstr>
      </vt:variant>
      <vt:variant>
        <vt:lpwstr/>
      </vt:variant>
      <vt:variant>
        <vt:i4>3342451</vt:i4>
      </vt:variant>
      <vt:variant>
        <vt:i4>27</vt:i4>
      </vt:variant>
      <vt:variant>
        <vt:i4>0</vt:i4>
      </vt:variant>
      <vt:variant>
        <vt:i4>5</vt:i4>
      </vt:variant>
      <vt:variant>
        <vt:lpwstr>http://www.nevo.co.il/case/27106066</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393303</vt:i4>
      </vt:variant>
      <vt:variant>
        <vt:i4>18</vt:i4>
      </vt:variant>
      <vt:variant>
        <vt:i4>0</vt:i4>
      </vt:variant>
      <vt:variant>
        <vt:i4>5</vt:i4>
      </vt:variant>
      <vt:variant>
        <vt:lpwstr>http://www.nevo.co.il/law/70301/301c</vt:lpwstr>
      </vt:variant>
      <vt:variant>
        <vt:lpwstr/>
      </vt:variant>
      <vt:variant>
        <vt:i4>6881388</vt:i4>
      </vt:variant>
      <vt:variant>
        <vt:i4>15</vt:i4>
      </vt:variant>
      <vt:variant>
        <vt:i4>0</vt:i4>
      </vt:variant>
      <vt:variant>
        <vt:i4>5</vt:i4>
      </vt:variant>
      <vt:variant>
        <vt:lpwstr>http://www.nevo.co.il/law/74903/186</vt:lpwstr>
      </vt:variant>
      <vt:variant>
        <vt:lpwstr/>
      </vt:variant>
      <vt:variant>
        <vt:i4>8257646</vt:i4>
      </vt:variant>
      <vt:variant>
        <vt:i4>12</vt:i4>
      </vt:variant>
      <vt:variant>
        <vt:i4>0</vt:i4>
      </vt:variant>
      <vt:variant>
        <vt:i4>5</vt:i4>
      </vt:variant>
      <vt:variant>
        <vt:lpwstr>http://www.nevo.co.il/law/74903</vt:lpwstr>
      </vt:variant>
      <vt:variant>
        <vt:lpwstr/>
      </vt:variant>
      <vt:variant>
        <vt:i4>6750310</vt:i4>
      </vt:variant>
      <vt:variant>
        <vt:i4>9</vt:i4>
      </vt:variant>
      <vt:variant>
        <vt:i4>0</vt:i4>
      </vt:variant>
      <vt:variant>
        <vt:i4>5</vt:i4>
      </vt:variant>
      <vt:variant>
        <vt:lpwstr>http://www.nevo.co.il/law/70301/329</vt:lpwstr>
      </vt:variant>
      <vt:variant>
        <vt:lpwstr/>
      </vt:variant>
      <vt:variant>
        <vt:i4>393303</vt:i4>
      </vt:variant>
      <vt:variant>
        <vt:i4>6</vt:i4>
      </vt:variant>
      <vt:variant>
        <vt:i4>0</vt:i4>
      </vt:variant>
      <vt:variant>
        <vt:i4>5</vt:i4>
      </vt:variant>
      <vt:variant>
        <vt:lpwstr>http://www.nevo.co.il/law/70301/301c</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2025-04-25T10:51:00Z</dcterms:created>
  <dcterms:modified xsi:type="dcterms:W3CDTF">2025-04-25T10:51:00Z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63773</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עלאא סאלחי;מחמד סאלחי</vt:lpwstr>
  </property>
  <property fmtid="{D5CDD505-2E9C-101B-9397-08002B2CF9AE}" pid="10" name="LAWYER">
    <vt:lpwstr>נורית לנגנטל שוורץ;וסים דכוור; צבי אבנון</vt:lpwstr>
  </property>
  <property fmtid="{D5CDD505-2E9C-101B-9397-08002B2CF9AE}" pid="11" name="JUDGE">
    <vt:lpwstr>א' דראל;א' אברבנאל;ח' זנדברג </vt:lpwstr>
  </property>
  <property fmtid="{D5CDD505-2E9C-101B-9397-08002B2CF9AE}" pid="12" name="CITY">
    <vt:lpwstr>י-ם</vt:lpwstr>
  </property>
  <property fmtid="{D5CDD505-2E9C-101B-9397-08002B2CF9AE}" pid="13" name="DATE">
    <vt:lpwstr>20230111</vt:lpwstr>
  </property>
  <property fmtid="{D5CDD505-2E9C-101B-9397-08002B2CF9AE}" pid="14" name="TYPE_N_DATE">
    <vt:lpwstr>39020230111</vt:lpwstr>
  </property>
  <property fmtid="{D5CDD505-2E9C-101B-9397-08002B2CF9AE}" pid="15" name="WORDNUMPAGES">
    <vt:lpwstr>10</vt:lpwstr>
  </property>
  <property fmtid="{D5CDD505-2E9C-101B-9397-08002B2CF9AE}" pid="16" name="TYPE_ABS_DATE">
    <vt:lpwstr>390020230111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27106066;25380377;20423944;27933514</vt:lpwstr>
  </property>
  <property fmtid="{D5CDD505-2E9C-101B-9397-08002B2CF9AE}" pid="36" name="LAWLISTTMP1">
    <vt:lpwstr>70301/301c;144.a;329</vt:lpwstr>
  </property>
  <property fmtid="{D5CDD505-2E9C-101B-9397-08002B2CF9AE}" pid="37" name="LAWLISTTMP2">
    <vt:lpwstr>74903/186</vt:lpwstr>
  </property>
</Properties>
</file>