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25D8C" w:rsidRPr="001A46EE" w14:paraId="5605C5CF" w14:textId="77777777" w:rsidTr="00036869">
        <w:trPr>
          <w:trHeight w:hRule="exact" w:val="418"/>
          <w:jc w:val="center"/>
        </w:trPr>
        <w:tc>
          <w:tcPr>
            <w:tcW w:w="8721" w:type="dxa"/>
            <w:gridSpan w:val="2"/>
          </w:tcPr>
          <w:p w14:paraId="77DC35B8" w14:textId="77777777" w:rsidR="00625D8C" w:rsidRPr="001A46EE" w:rsidRDefault="00625D8C" w:rsidP="00E0787B">
            <w:pPr>
              <w:pStyle w:val="a3"/>
              <w:jc w:val="center"/>
              <w:rPr>
                <w:rFonts w:ascii="Tahoma" w:hAnsi="Tahoma" w:cs="Tahoma"/>
                <w:color w:val="000080"/>
                <w:rtl/>
              </w:rPr>
            </w:pPr>
            <w:bookmarkStart w:id="0" w:name="LastJudge"/>
            <w:r w:rsidRPr="001A46EE">
              <w:rPr>
                <w:rFonts w:ascii="Tahoma" w:hAnsi="Tahoma" w:cs="Tahoma"/>
                <w:b/>
                <w:bCs/>
                <w:color w:val="000080"/>
                <w:rtl/>
              </w:rPr>
              <w:t>בית המשפט המחוזי בירושלים</w:t>
            </w:r>
          </w:p>
        </w:tc>
      </w:tr>
      <w:tr w:rsidR="00625D8C" w:rsidRPr="001A46EE" w14:paraId="72D3B896" w14:textId="77777777" w:rsidTr="00036869">
        <w:trPr>
          <w:trHeight w:val="337"/>
          <w:jc w:val="center"/>
        </w:trPr>
        <w:tc>
          <w:tcPr>
            <w:tcW w:w="5054" w:type="dxa"/>
          </w:tcPr>
          <w:p w14:paraId="36827AAE" w14:textId="77777777" w:rsidR="00625D8C" w:rsidRPr="001A46EE" w:rsidRDefault="00625D8C" w:rsidP="00E0787B">
            <w:pPr>
              <w:rPr>
                <w:rFonts w:cs="FrankRuehl"/>
                <w:sz w:val="28"/>
                <w:szCs w:val="28"/>
                <w:rtl/>
              </w:rPr>
            </w:pPr>
            <w:r w:rsidRPr="001A46EE">
              <w:rPr>
                <w:rFonts w:cs="FrankRuehl"/>
                <w:sz w:val="28"/>
                <w:szCs w:val="28"/>
                <w:rtl/>
              </w:rPr>
              <w:t>ת"פ</w:t>
            </w:r>
            <w:r w:rsidRPr="001A46EE">
              <w:rPr>
                <w:rFonts w:cs="FrankRuehl" w:hint="cs"/>
                <w:sz w:val="28"/>
                <w:szCs w:val="28"/>
                <w:rtl/>
              </w:rPr>
              <w:t xml:space="preserve"> </w:t>
            </w:r>
            <w:r w:rsidRPr="001A46EE">
              <w:rPr>
                <w:rFonts w:cs="FrankRuehl"/>
                <w:sz w:val="28"/>
                <w:szCs w:val="28"/>
                <w:rtl/>
              </w:rPr>
              <w:t>54337-05-21</w:t>
            </w:r>
            <w:r w:rsidRPr="001A46EE">
              <w:rPr>
                <w:rFonts w:cs="FrankRuehl" w:hint="cs"/>
                <w:sz w:val="28"/>
                <w:szCs w:val="28"/>
                <w:rtl/>
              </w:rPr>
              <w:t xml:space="preserve"> </w:t>
            </w:r>
            <w:r w:rsidRPr="001A46EE">
              <w:rPr>
                <w:rFonts w:cs="FrankRuehl"/>
                <w:sz w:val="28"/>
                <w:szCs w:val="28"/>
                <w:rtl/>
              </w:rPr>
              <w:t>מדינת ישראל נ' זחאיקה</w:t>
            </w:r>
          </w:p>
          <w:p w14:paraId="46A92EF1" w14:textId="77777777" w:rsidR="00625D8C" w:rsidRPr="001A46EE" w:rsidRDefault="00625D8C" w:rsidP="00E0787B">
            <w:pPr>
              <w:pStyle w:val="a3"/>
              <w:rPr>
                <w:rFonts w:cs="FrankRuehl"/>
                <w:sz w:val="28"/>
                <w:szCs w:val="28"/>
                <w:rtl/>
              </w:rPr>
            </w:pPr>
          </w:p>
        </w:tc>
        <w:tc>
          <w:tcPr>
            <w:tcW w:w="3667" w:type="dxa"/>
          </w:tcPr>
          <w:p w14:paraId="637AA333" w14:textId="77777777" w:rsidR="00625D8C" w:rsidRPr="001A46EE" w:rsidRDefault="00625D8C" w:rsidP="00E0787B">
            <w:pPr>
              <w:pStyle w:val="a3"/>
              <w:jc w:val="right"/>
              <w:rPr>
                <w:rFonts w:cs="FrankRuehl"/>
                <w:sz w:val="28"/>
                <w:szCs w:val="28"/>
                <w:rtl/>
              </w:rPr>
            </w:pPr>
          </w:p>
        </w:tc>
      </w:tr>
    </w:tbl>
    <w:p w14:paraId="3F5D4342" w14:textId="77777777" w:rsidR="00625D8C" w:rsidRPr="001A46EE" w:rsidRDefault="00625D8C" w:rsidP="00625D8C">
      <w:pPr>
        <w:pStyle w:val="a3"/>
        <w:rPr>
          <w:rtl/>
        </w:rPr>
      </w:pPr>
      <w:r w:rsidRPr="001A46EE">
        <w:rPr>
          <w:rFonts w:hint="cs"/>
          <w:rtl/>
        </w:rPr>
        <w:t xml:space="preserve"> </w:t>
      </w:r>
    </w:p>
    <w:p w14:paraId="77EA230D" w14:textId="77777777" w:rsidR="00625D8C" w:rsidRPr="001A46EE" w:rsidRDefault="00625D8C" w:rsidP="00625D8C">
      <w:pPr>
        <w:rPr>
          <w:rFonts w:ascii="FrankRuehl" w:hAnsi="FrankRueh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789"/>
        <w:gridCol w:w="2982"/>
      </w:tblGrid>
      <w:tr w:rsidR="00625D8C" w:rsidRPr="001A46EE" w14:paraId="2994C8C2" w14:textId="77777777" w:rsidTr="00625D8C">
        <w:trPr>
          <w:trHeight w:val="295"/>
          <w:jc w:val="center"/>
        </w:trPr>
        <w:tc>
          <w:tcPr>
            <w:tcW w:w="923" w:type="dxa"/>
            <w:tcBorders>
              <w:top w:val="nil"/>
              <w:left w:val="nil"/>
              <w:bottom w:val="nil"/>
              <w:right w:val="nil"/>
            </w:tcBorders>
            <w:shd w:val="clear" w:color="auto" w:fill="auto"/>
          </w:tcPr>
          <w:p w14:paraId="6C4F8F06" w14:textId="77777777" w:rsidR="00625D8C" w:rsidRPr="001A46EE" w:rsidRDefault="00625D8C" w:rsidP="00625D8C">
            <w:pPr>
              <w:jc w:val="both"/>
              <w:rPr>
                <w:rFonts w:ascii="FrankRuehl" w:hAnsi="FrankRuehl" w:cs="FrankRuehl"/>
                <w:sz w:val="30"/>
                <w:szCs w:val="30"/>
              </w:rPr>
            </w:pPr>
            <w:r w:rsidRPr="001A46EE">
              <w:rPr>
                <w:rFonts w:ascii="FrankRuehl" w:hAnsi="FrankRuehl" w:cs="FrankRuehl"/>
                <w:sz w:val="30"/>
                <w:szCs w:val="30"/>
                <w:rtl/>
              </w:rPr>
              <w:t xml:space="preserve">בפני </w:t>
            </w:r>
          </w:p>
        </w:tc>
        <w:tc>
          <w:tcPr>
            <w:tcW w:w="7897" w:type="dxa"/>
            <w:gridSpan w:val="3"/>
            <w:tcBorders>
              <w:top w:val="nil"/>
              <w:left w:val="nil"/>
              <w:bottom w:val="nil"/>
              <w:right w:val="nil"/>
            </w:tcBorders>
            <w:shd w:val="clear" w:color="auto" w:fill="auto"/>
          </w:tcPr>
          <w:p w14:paraId="432EC933" w14:textId="77777777" w:rsidR="00625D8C" w:rsidRPr="001A46EE" w:rsidRDefault="00625D8C" w:rsidP="00E0787B">
            <w:pPr>
              <w:rPr>
                <w:rFonts w:ascii="FrankRuehl" w:hAnsi="FrankRuehl" w:cs="FrankRuehl"/>
                <w:b/>
                <w:bCs/>
                <w:sz w:val="30"/>
                <w:szCs w:val="30"/>
                <w:rtl/>
              </w:rPr>
            </w:pPr>
            <w:r w:rsidRPr="001A46EE">
              <w:rPr>
                <w:rFonts w:ascii="FrankRuehl" w:hAnsi="FrankRuehl" w:cs="FrankRuehl"/>
                <w:b/>
                <w:bCs/>
                <w:sz w:val="30"/>
                <w:szCs w:val="30"/>
                <w:rtl/>
              </w:rPr>
              <w:t>כב</w:t>
            </w:r>
            <w:r w:rsidRPr="001A46EE">
              <w:rPr>
                <w:rFonts w:ascii="FrankRuehl" w:hAnsi="FrankRuehl" w:cs="FrankRuehl" w:hint="cs"/>
                <w:b/>
                <w:bCs/>
                <w:sz w:val="30"/>
                <w:szCs w:val="30"/>
                <w:rtl/>
              </w:rPr>
              <w:t>'</w:t>
            </w:r>
            <w:r w:rsidRPr="001A46EE">
              <w:rPr>
                <w:rFonts w:ascii="FrankRuehl" w:hAnsi="FrankRuehl" w:cs="FrankRuehl"/>
                <w:b/>
                <w:bCs/>
                <w:sz w:val="30"/>
                <w:szCs w:val="30"/>
                <w:rtl/>
              </w:rPr>
              <w:t xml:space="preserve"> השופט  אילן סלע</w:t>
            </w:r>
          </w:p>
          <w:p w14:paraId="74E97248" w14:textId="77777777" w:rsidR="00625D8C" w:rsidRPr="001A46EE" w:rsidRDefault="00625D8C" w:rsidP="00E0787B">
            <w:pPr>
              <w:rPr>
                <w:rFonts w:ascii="FrankRuehl" w:hAnsi="FrankRuehl" w:cs="FrankRuehl"/>
                <w:b/>
                <w:bCs/>
                <w:sz w:val="30"/>
                <w:szCs w:val="30"/>
                <w:rtl/>
              </w:rPr>
            </w:pPr>
          </w:p>
          <w:p w14:paraId="3AD21C4F" w14:textId="77777777" w:rsidR="00625D8C" w:rsidRPr="001A46EE" w:rsidRDefault="00625D8C" w:rsidP="00625D8C">
            <w:pPr>
              <w:jc w:val="both"/>
              <w:rPr>
                <w:rFonts w:ascii="FrankRuehl" w:hAnsi="FrankRuehl" w:cs="FrankRuehl"/>
                <w:b/>
                <w:bCs/>
                <w:sz w:val="30"/>
                <w:szCs w:val="30"/>
              </w:rPr>
            </w:pPr>
          </w:p>
        </w:tc>
      </w:tr>
      <w:tr w:rsidR="00625D8C" w:rsidRPr="001A46EE" w14:paraId="67F9C7F2" w14:textId="77777777" w:rsidTr="00625D8C">
        <w:trPr>
          <w:trHeight w:val="355"/>
          <w:jc w:val="center"/>
        </w:trPr>
        <w:tc>
          <w:tcPr>
            <w:tcW w:w="923" w:type="dxa"/>
            <w:tcBorders>
              <w:top w:val="nil"/>
              <w:left w:val="nil"/>
              <w:bottom w:val="nil"/>
              <w:right w:val="nil"/>
            </w:tcBorders>
            <w:shd w:val="clear" w:color="auto" w:fill="auto"/>
          </w:tcPr>
          <w:p w14:paraId="4BE68DF2" w14:textId="77777777" w:rsidR="00625D8C" w:rsidRPr="001A46EE" w:rsidRDefault="00625D8C" w:rsidP="00625D8C">
            <w:pPr>
              <w:jc w:val="both"/>
              <w:rPr>
                <w:rFonts w:ascii="FrankRuehl" w:hAnsi="FrankRuehl" w:cs="FrankRuehl"/>
                <w:b/>
                <w:bCs/>
                <w:sz w:val="30"/>
                <w:szCs w:val="30"/>
              </w:rPr>
            </w:pPr>
            <w:bookmarkStart w:id="1" w:name="FirstAppellant"/>
            <w:r w:rsidRPr="001A46EE">
              <w:rPr>
                <w:rFonts w:ascii="FrankRuehl" w:hAnsi="FrankRuehl" w:cs="FrankRuehl"/>
                <w:b/>
                <w:bCs/>
                <w:sz w:val="30"/>
                <w:szCs w:val="30"/>
                <w:rtl/>
              </w:rPr>
              <w:t>בעניין:</w:t>
            </w:r>
          </w:p>
        </w:tc>
        <w:tc>
          <w:tcPr>
            <w:tcW w:w="4915" w:type="dxa"/>
            <w:gridSpan w:val="2"/>
            <w:tcBorders>
              <w:top w:val="nil"/>
              <w:left w:val="nil"/>
              <w:bottom w:val="nil"/>
              <w:right w:val="nil"/>
            </w:tcBorders>
            <w:shd w:val="clear" w:color="auto" w:fill="auto"/>
          </w:tcPr>
          <w:p w14:paraId="66E06417" w14:textId="77777777" w:rsidR="00625D8C" w:rsidRPr="001A46EE" w:rsidRDefault="00625D8C" w:rsidP="00E0787B">
            <w:pPr>
              <w:rPr>
                <w:rFonts w:ascii="FrankRuehl" w:hAnsi="FrankRuehl" w:cs="FrankRuehl"/>
                <w:b/>
                <w:bCs/>
                <w:sz w:val="30"/>
                <w:szCs w:val="30"/>
              </w:rPr>
            </w:pPr>
            <w:r w:rsidRPr="001A46EE">
              <w:rPr>
                <w:rFonts w:ascii="FrankRuehl" w:hAnsi="FrankRuehl" w:cs="FrankRuehl"/>
                <w:b/>
                <w:bCs/>
                <w:sz w:val="30"/>
                <w:szCs w:val="30"/>
                <w:rtl/>
              </w:rPr>
              <w:t>מדינת ישראל</w:t>
            </w:r>
          </w:p>
        </w:tc>
        <w:tc>
          <w:tcPr>
            <w:tcW w:w="2982" w:type="dxa"/>
            <w:tcBorders>
              <w:top w:val="nil"/>
              <w:left w:val="nil"/>
              <w:bottom w:val="nil"/>
              <w:right w:val="nil"/>
            </w:tcBorders>
            <w:shd w:val="clear" w:color="auto" w:fill="auto"/>
          </w:tcPr>
          <w:p w14:paraId="496CA4C4" w14:textId="77777777" w:rsidR="00625D8C" w:rsidRPr="001A46EE" w:rsidRDefault="00625D8C" w:rsidP="00625D8C">
            <w:pPr>
              <w:jc w:val="both"/>
              <w:rPr>
                <w:rFonts w:ascii="FrankRuehl" w:hAnsi="FrankRuehl" w:cs="FrankRuehl"/>
                <w:b/>
                <w:bCs/>
                <w:sz w:val="28"/>
                <w:szCs w:val="28"/>
              </w:rPr>
            </w:pPr>
          </w:p>
        </w:tc>
      </w:tr>
      <w:bookmarkEnd w:id="1"/>
      <w:tr w:rsidR="00625D8C" w:rsidRPr="001A46EE" w14:paraId="66514418" w14:textId="77777777" w:rsidTr="00625D8C">
        <w:trPr>
          <w:trHeight w:val="355"/>
          <w:jc w:val="center"/>
        </w:trPr>
        <w:tc>
          <w:tcPr>
            <w:tcW w:w="923" w:type="dxa"/>
            <w:tcBorders>
              <w:top w:val="nil"/>
              <w:left w:val="nil"/>
              <w:bottom w:val="nil"/>
              <w:right w:val="nil"/>
            </w:tcBorders>
            <w:shd w:val="clear" w:color="auto" w:fill="auto"/>
          </w:tcPr>
          <w:p w14:paraId="74787976" w14:textId="77777777" w:rsidR="00625D8C" w:rsidRPr="001A46EE" w:rsidRDefault="00625D8C" w:rsidP="00625D8C">
            <w:pPr>
              <w:jc w:val="both"/>
              <w:rPr>
                <w:rFonts w:ascii="FrankRuehl" w:hAnsi="FrankRuehl" w:cs="FrankRuehl"/>
                <w:b/>
                <w:bCs/>
                <w:sz w:val="30"/>
                <w:szCs w:val="30"/>
                <w:rtl/>
              </w:rPr>
            </w:pPr>
          </w:p>
        </w:tc>
        <w:tc>
          <w:tcPr>
            <w:tcW w:w="4915" w:type="dxa"/>
            <w:gridSpan w:val="2"/>
            <w:tcBorders>
              <w:top w:val="nil"/>
              <w:left w:val="nil"/>
              <w:bottom w:val="nil"/>
              <w:right w:val="nil"/>
            </w:tcBorders>
            <w:shd w:val="clear" w:color="auto" w:fill="auto"/>
          </w:tcPr>
          <w:p w14:paraId="4CD888F2" w14:textId="77777777" w:rsidR="00625D8C" w:rsidRPr="001A46EE" w:rsidRDefault="00625D8C" w:rsidP="00625D8C">
            <w:pPr>
              <w:jc w:val="both"/>
              <w:rPr>
                <w:rFonts w:ascii="FrankRuehl" w:hAnsi="FrankRuehl" w:cs="FrankRuehl"/>
                <w:b/>
                <w:bCs/>
                <w:sz w:val="30"/>
                <w:szCs w:val="30"/>
                <w:rtl/>
              </w:rPr>
            </w:pPr>
            <w:r w:rsidRPr="001A46EE">
              <w:rPr>
                <w:rFonts w:ascii="FrankRuehl" w:hAnsi="FrankRuehl" w:cs="FrankRuehl" w:hint="cs"/>
                <w:b/>
                <w:bCs/>
                <w:sz w:val="30"/>
                <w:szCs w:val="30"/>
                <w:rtl/>
              </w:rPr>
              <w:t>באמצעות פרקליטות מחוז ירושלים (פלילי),</w:t>
            </w:r>
          </w:p>
          <w:p w14:paraId="2A0A871A" w14:textId="77777777" w:rsidR="00625D8C" w:rsidRPr="001A46EE" w:rsidRDefault="00625D8C" w:rsidP="00625D8C">
            <w:pPr>
              <w:jc w:val="both"/>
              <w:rPr>
                <w:rFonts w:ascii="FrankRuehl" w:hAnsi="FrankRuehl" w:cs="FrankRuehl"/>
                <w:b/>
                <w:bCs/>
                <w:sz w:val="30"/>
                <w:szCs w:val="30"/>
                <w:rtl/>
              </w:rPr>
            </w:pPr>
            <w:r w:rsidRPr="001A46EE">
              <w:rPr>
                <w:rFonts w:ascii="FrankRuehl" w:hAnsi="FrankRuehl" w:cs="FrankRuehl" w:hint="cs"/>
                <w:b/>
                <w:bCs/>
                <w:sz w:val="30"/>
                <w:szCs w:val="30"/>
                <w:rtl/>
              </w:rPr>
              <w:t>ע"י עו"ד יעל ריצ'קר</w:t>
            </w:r>
          </w:p>
        </w:tc>
        <w:tc>
          <w:tcPr>
            <w:tcW w:w="2982" w:type="dxa"/>
            <w:tcBorders>
              <w:top w:val="nil"/>
              <w:left w:val="nil"/>
              <w:bottom w:val="nil"/>
              <w:right w:val="nil"/>
            </w:tcBorders>
            <w:shd w:val="clear" w:color="auto" w:fill="auto"/>
          </w:tcPr>
          <w:p w14:paraId="70EDCC74" w14:textId="77777777" w:rsidR="00625D8C" w:rsidRPr="001A46EE" w:rsidRDefault="00625D8C" w:rsidP="00625D8C">
            <w:pPr>
              <w:jc w:val="right"/>
              <w:rPr>
                <w:rFonts w:ascii="FrankRuehl" w:hAnsi="FrankRuehl" w:cs="FrankRuehl"/>
                <w:b/>
                <w:bCs/>
                <w:sz w:val="28"/>
                <w:szCs w:val="28"/>
                <w:rtl/>
              </w:rPr>
            </w:pPr>
          </w:p>
          <w:p w14:paraId="6DC98070" w14:textId="77777777" w:rsidR="00625D8C" w:rsidRPr="001A46EE" w:rsidRDefault="00625D8C" w:rsidP="00625D8C">
            <w:pPr>
              <w:jc w:val="right"/>
              <w:rPr>
                <w:rFonts w:ascii="FrankRuehl" w:hAnsi="FrankRuehl" w:cs="FrankRuehl"/>
                <w:b/>
                <w:bCs/>
                <w:sz w:val="28"/>
                <w:szCs w:val="28"/>
                <w:rtl/>
              </w:rPr>
            </w:pPr>
            <w:r w:rsidRPr="001A46EE">
              <w:rPr>
                <w:rFonts w:ascii="FrankRuehl" w:hAnsi="FrankRuehl" w:cs="FrankRuehl"/>
                <w:b/>
                <w:bCs/>
                <w:sz w:val="30"/>
                <w:szCs w:val="30"/>
                <w:rtl/>
              </w:rPr>
              <w:t>המאשימה</w:t>
            </w:r>
          </w:p>
        </w:tc>
      </w:tr>
      <w:tr w:rsidR="00625D8C" w:rsidRPr="001A46EE" w14:paraId="242EDD50" w14:textId="77777777" w:rsidTr="00625D8C">
        <w:trPr>
          <w:trHeight w:val="355"/>
          <w:jc w:val="center"/>
        </w:trPr>
        <w:tc>
          <w:tcPr>
            <w:tcW w:w="923" w:type="dxa"/>
            <w:tcBorders>
              <w:top w:val="nil"/>
              <w:left w:val="nil"/>
              <w:bottom w:val="nil"/>
              <w:right w:val="nil"/>
            </w:tcBorders>
            <w:shd w:val="clear" w:color="auto" w:fill="auto"/>
          </w:tcPr>
          <w:p w14:paraId="56AE2CDA" w14:textId="77777777" w:rsidR="00625D8C" w:rsidRPr="001A46EE" w:rsidRDefault="00625D8C" w:rsidP="00625D8C">
            <w:pPr>
              <w:jc w:val="both"/>
              <w:rPr>
                <w:rFonts w:ascii="FrankRuehl" w:hAnsi="FrankRuehl" w:cs="FrankRuehl"/>
                <w:sz w:val="28"/>
                <w:szCs w:val="28"/>
                <w:rtl/>
              </w:rPr>
            </w:pPr>
          </w:p>
        </w:tc>
        <w:tc>
          <w:tcPr>
            <w:tcW w:w="7897" w:type="dxa"/>
            <w:gridSpan w:val="3"/>
            <w:tcBorders>
              <w:top w:val="nil"/>
              <w:left w:val="nil"/>
              <w:bottom w:val="nil"/>
              <w:right w:val="nil"/>
            </w:tcBorders>
            <w:shd w:val="clear" w:color="auto" w:fill="auto"/>
          </w:tcPr>
          <w:p w14:paraId="72FB82C1" w14:textId="77777777" w:rsidR="00625D8C" w:rsidRPr="001A46EE" w:rsidRDefault="00625D8C" w:rsidP="00625D8C">
            <w:pPr>
              <w:jc w:val="center"/>
              <w:rPr>
                <w:rFonts w:ascii="FrankRuehl" w:hAnsi="FrankRuehl" w:cs="FrankRuehl"/>
                <w:b/>
                <w:bCs/>
                <w:sz w:val="28"/>
                <w:szCs w:val="28"/>
                <w:rtl/>
              </w:rPr>
            </w:pPr>
          </w:p>
          <w:p w14:paraId="35D424F8" w14:textId="77777777" w:rsidR="00625D8C" w:rsidRPr="001A46EE" w:rsidRDefault="00625D8C" w:rsidP="00625D8C">
            <w:pPr>
              <w:jc w:val="center"/>
              <w:rPr>
                <w:rFonts w:ascii="FrankRuehl" w:hAnsi="FrankRuehl" w:cs="FrankRuehl"/>
                <w:b/>
                <w:bCs/>
                <w:sz w:val="28"/>
                <w:szCs w:val="28"/>
                <w:rtl/>
              </w:rPr>
            </w:pPr>
            <w:r w:rsidRPr="001A46EE">
              <w:rPr>
                <w:rFonts w:ascii="FrankRuehl" w:hAnsi="FrankRuehl" w:cs="FrankRuehl"/>
                <w:b/>
                <w:bCs/>
                <w:sz w:val="28"/>
                <w:szCs w:val="28"/>
                <w:rtl/>
              </w:rPr>
              <w:t>נגד</w:t>
            </w:r>
          </w:p>
          <w:p w14:paraId="269B0581" w14:textId="77777777" w:rsidR="00625D8C" w:rsidRPr="001A46EE" w:rsidRDefault="00625D8C" w:rsidP="00625D8C">
            <w:pPr>
              <w:jc w:val="both"/>
              <w:rPr>
                <w:rFonts w:ascii="FrankRuehl" w:hAnsi="FrankRuehl" w:cs="FrankRuehl"/>
                <w:sz w:val="28"/>
                <w:szCs w:val="28"/>
              </w:rPr>
            </w:pPr>
          </w:p>
        </w:tc>
      </w:tr>
      <w:tr w:rsidR="00625D8C" w:rsidRPr="001A46EE" w14:paraId="61B25648" w14:textId="77777777" w:rsidTr="00625D8C">
        <w:trPr>
          <w:trHeight w:val="355"/>
          <w:jc w:val="center"/>
        </w:trPr>
        <w:tc>
          <w:tcPr>
            <w:tcW w:w="923" w:type="dxa"/>
            <w:tcBorders>
              <w:top w:val="nil"/>
              <w:left w:val="nil"/>
              <w:bottom w:val="nil"/>
              <w:right w:val="nil"/>
            </w:tcBorders>
            <w:shd w:val="clear" w:color="auto" w:fill="auto"/>
          </w:tcPr>
          <w:p w14:paraId="34ED096D" w14:textId="77777777" w:rsidR="00625D8C" w:rsidRPr="001A46EE" w:rsidRDefault="00625D8C" w:rsidP="00E0787B">
            <w:pPr>
              <w:rPr>
                <w:rFonts w:ascii="FrankRuehl" w:hAnsi="FrankRuehl" w:cs="FrankRuehl"/>
                <w:sz w:val="28"/>
                <w:szCs w:val="28"/>
                <w:rtl/>
              </w:rPr>
            </w:pPr>
          </w:p>
        </w:tc>
        <w:tc>
          <w:tcPr>
            <w:tcW w:w="4126" w:type="dxa"/>
            <w:tcBorders>
              <w:top w:val="nil"/>
              <w:left w:val="nil"/>
              <w:bottom w:val="nil"/>
              <w:right w:val="nil"/>
            </w:tcBorders>
            <w:shd w:val="clear" w:color="auto" w:fill="auto"/>
          </w:tcPr>
          <w:p w14:paraId="048F5964" w14:textId="77777777" w:rsidR="00625D8C" w:rsidRPr="001A46EE" w:rsidRDefault="00625D8C" w:rsidP="00E0787B">
            <w:pPr>
              <w:rPr>
                <w:rFonts w:ascii="FrankRuehl" w:hAnsi="FrankRuehl" w:cs="FrankRuehl"/>
                <w:b/>
                <w:bCs/>
                <w:sz w:val="30"/>
                <w:szCs w:val="30"/>
                <w:rtl/>
              </w:rPr>
            </w:pPr>
            <w:r w:rsidRPr="001A46EE">
              <w:rPr>
                <w:rFonts w:ascii="FrankRuehl" w:hAnsi="FrankRuehl" w:cs="FrankRuehl"/>
                <w:b/>
                <w:bCs/>
                <w:sz w:val="30"/>
                <w:szCs w:val="30"/>
                <w:rtl/>
              </w:rPr>
              <w:t xml:space="preserve">אנס זחאיקה </w:t>
            </w:r>
          </w:p>
        </w:tc>
        <w:tc>
          <w:tcPr>
            <w:tcW w:w="3771" w:type="dxa"/>
            <w:gridSpan w:val="2"/>
            <w:tcBorders>
              <w:top w:val="nil"/>
              <w:left w:val="nil"/>
              <w:bottom w:val="nil"/>
              <w:right w:val="nil"/>
            </w:tcBorders>
            <w:shd w:val="clear" w:color="auto" w:fill="auto"/>
          </w:tcPr>
          <w:p w14:paraId="0A650D0D" w14:textId="77777777" w:rsidR="00625D8C" w:rsidRPr="001A46EE" w:rsidRDefault="00625D8C" w:rsidP="00625D8C">
            <w:pPr>
              <w:jc w:val="right"/>
              <w:rPr>
                <w:rFonts w:ascii="FrankRuehl" w:hAnsi="FrankRuehl" w:cs="FrankRuehl"/>
                <w:sz w:val="30"/>
                <w:szCs w:val="30"/>
              </w:rPr>
            </w:pPr>
          </w:p>
        </w:tc>
      </w:tr>
      <w:tr w:rsidR="00625D8C" w:rsidRPr="001A46EE" w14:paraId="5A5D6F7F" w14:textId="77777777" w:rsidTr="00625D8C">
        <w:trPr>
          <w:trHeight w:val="355"/>
          <w:jc w:val="center"/>
        </w:trPr>
        <w:tc>
          <w:tcPr>
            <w:tcW w:w="923" w:type="dxa"/>
            <w:tcBorders>
              <w:top w:val="nil"/>
              <w:left w:val="nil"/>
              <w:bottom w:val="nil"/>
              <w:right w:val="nil"/>
            </w:tcBorders>
            <w:shd w:val="clear" w:color="auto" w:fill="auto"/>
          </w:tcPr>
          <w:p w14:paraId="11A4E898" w14:textId="77777777" w:rsidR="00625D8C" w:rsidRPr="001A46EE" w:rsidRDefault="00625D8C" w:rsidP="00625D8C">
            <w:pPr>
              <w:jc w:val="both"/>
              <w:rPr>
                <w:rFonts w:ascii="FrankRuehl" w:hAnsi="FrankRuehl" w:cs="FrankRuehl"/>
                <w:sz w:val="28"/>
                <w:szCs w:val="28"/>
                <w:rtl/>
              </w:rPr>
            </w:pPr>
            <w:bookmarkStart w:id="2" w:name="FirstLawyer"/>
          </w:p>
        </w:tc>
        <w:tc>
          <w:tcPr>
            <w:tcW w:w="4126" w:type="dxa"/>
            <w:tcBorders>
              <w:top w:val="nil"/>
              <w:left w:val="nil"/>
              <w:bottom w:val="nil"/>
              <w:right w:val="nil"/>
            </w:tcBorders>
            <w:shd w:val="clear" w:color="auto" w:fill="auto"/>
          </w:tcPr>
          <w:p w14:paraId="7E7BB9ED" w14:textId="77777777" w:rsidR="00625D8C" w:rsidRPr="001A46EE" w:rsidRDefault="00625D8C" w:rsidP="00625D8C">
            <w:pPr>
              <w:jc w:val="both"/>
              <w:rPr>
                <w:rFonts w:ascii="FrankRuehl" w:hAnsi="FrankRuehl" w:cs="FrankRuehl"/>
                <w:b/>
                <w:bCs/>
                <w:sz w:val="30"/>
                <w:szCs w:val="30"/>
                <w:rtl/>
              </w:rPr>
            </w:pPr>
            <w:r w:rsidRPr="001A46EE">
              <w:rPr>
                <w:rFonts w:ascii="FrankRuehl" w:hAnsi="FrankRuehl" w:cs="FrankRuehl" w:hint="cs"/>
                <w:b/>
                <w:bCs/>
                <w:sz w:val="30"/>
                <w:szCs w:val="30"/>
                <w:rtl/>
              </w:rPr>
              <w:t>ע"י ב"כ עו"ד מונעם תאבת</w:t>
            </w:r>
          </w:p>
        </w:tc>
        <w:tc>
          <w:tcPr>
            <w:tcW w:w="3771" w:type="dxa"/>
            <w:gridSpan w:val="2"/>
            <w:tcBorders>
              <w:top w:val="nil"/>
              <w:left w:val="nil"/>
              <w:bottom w:val="nil"/>
              <w:right w:val="nil"/>
            </w:tcBorders>
            <w:shd w:val="clear" w:color="auto" w:fill="auto"/>
          </w:tcPr>
          <w:p w14:paraId="6B98A777" w14:textId="77777777" w:rsidR="00625D8C" w:rsidRPr="001A46EE" w:rsidRDefault="00625D8C" w:rsidP="00625D8C">
            <w:pPr>
              <w:jc w:val="right"/>
              <w:rPr>
                <w:rFonts w:ascii="FrankRuehl" w:hAnsi="FrankRuehl" w:cs="FrankRuehl"/>
                <w:b/>
                <w:bCs/>
                <w:sz w:val="30"/>
                <w:szCs w:val="30"/>
              </w:rPr>
            </w:pPr>
            <w:r w:rsidRPr="001A46EE">
              <w:rPr>
                <w:rFonts w:ascii="FrankRuehl" w:hAnsi="FrankRuehl" w:cs="FrankRuehl"/>
                <w:b/>
                <w:bCs/>
                <w:sz w:val="30"/>
                <w:szCs w:val="30"/>
                <w:rtl/>
              </w:rPr>
              <w:t>הנאשם</w:t>
            </w:r>
          </w:p>
        </w:tc>
      </w:tr>
      <w:bookmarkEnd w:id="2"/>
    </w:tbl>
    <w:p w14:paraId="4D8B514C" w14:textId="77777777" w:rsidR="00625D8C" w:rsidRPr="001A46EE" w:rsidRDefault="00625D8C" w:rsidP="00625D8C">
      <w:pPr>
        <w:rPr>
          <w:rFonts w:ascii="FrankRuehl" w:hAnsi="FrankRuehl" w:cs="FrankRuehl"/>
          <w:sz w:val="28"/>
          <w:szCs w:val="28"/>
          <w:rtl/>
        </w:rPr>
      </w:pPr>
    </w:p>
    <w:p w14:paraId="74BABB9B" w14:textId="77777777" w:rsidR="00B74609" w:rsidRDefault="00B74609" w:rsidP="00E42D74">
      <w:pPr>
        <w:rPr>
          <w:rFonts w:ascii="FrankRuehl" w:hAnsi="FrankRuehl" w:cs="FrankRuehl"/>
          <w:sz w:val="28"/>
          <w:szCs w:val="28"/>
          <w:rtl/>
        </w:rPr>
      </w:pPr>
      <w:bookmarkStart w:id="3" w:name="Links_Kitvei_Start"/>
    </w:p>
    <w:p w14:paraId="3ABC11D6" w14:textId="77777777" w:rsidR="00B74609" w:rsidRPr="00B74609" w:rsidRDefault="00B74609" w:rsidP="00B74609">
      <w:pPr>
        <w:spacing w:after="120" w:line="240" w:lineRule="exact"/>
        <w:ind w:left="283" w:hanging="283"/>
        <w:jc w:val="both"/>
        <w:rPr>
          <w:rFonts w:ascii="FrankRuehl" w:hAnsi="FrankRuehl" w:cs="FrankRuehl"/>
          <w:rtl/>
        </w:rPr>
      </w:pPr>
    </w:p>
    <w:bookmarkEnd w:id="3"/>
    <w:p w14:paraId="5C050134" w14:textId="77777777" w:rsidR="00B74609" w:rsidRPr="00B74609" w:rsidRDefault="00B74609" w:rsidP="00B74609">
      <w:pPr>
        <w:spacing w:after="120" w:line="240" w:lineRule="exact"/>
        <w:ind w:left="283" w:hanging="283"/>
        <w:jc w:val="both"/>
        <w:rPr>
          <w:rStyle w:val="Hyperlink"/>
          <w:rFonts w:ascii="FrankRuehl" w:hAnsi="FrankRuehl" w:cs="FrankRuehl"/>
          <w:u w:val="none"/>
        </w:rPr>
      </w:pPr>
      <w:r w:rsidRPr="00B74609">
        <w:rPr>
          <w:rFonts w:ascii="FrankRuehl" w:hAnsi="FrankRuehl" w:cs="FrankRuehl"/>
          <w:rtl/>
        </w:rPr>
        <w:t>כתבי עת:</w:t>
      </w:r>
      <w:r w:rsidRPr="00B74609">
        <w:rPr>
          <w:rFonts w:ascii="FrankRuehl" w:hAnsi="FrankRuehl" w:cs="FrankRuehl"/>
          <w:color w:val="0000FF"/>
          <w:rtl/>
        </w:rPr>
        <w:fldChar w:fldCharType="begin"/>
      </w:r>
      <w:r w:rsidRPr="00B74609">
        <w:rPr>
          <w:rFonts w:ascii="FrankRuehl" w:hAnsi="FrankRuehl" w:cs="FrankRuehl"/>
          <w:color w:val="0000FF"/>
          <w:rtl/>
        </w:rPr>
        <w:instrText xml:space="preserve"> </w:instrText>
      </w:r>
      <w:r w:rsidRPr="00B74609">
        <w:rPr>
          <w:rFonts w:ascii="FrankRuehl" w:hAnsi="FrankRuehl" w:cs="FrankRuehl"/>
          <w:color w:val="0000FF"/>
        </w:rPr>
        <w:instrText xml:space="preserve">HYPERLINK </w:instrText>
      </w:r>
      <w:r w:rsidRPr="00B74609">
        <w:rPr>
          <w:rFonts w:ascii="FrankRuehl" w:hAnsi="FrankRuehl" w:cs="FrankRuehl"/>
          <w:color w:val="0000FF"/>
          <w:rtl/>
        </w:rPr>
        <w:instrText>"</w:instrText>
      </w:r>
      <w:r w:rsidRPr="00B74609">
        <w:rPr>
          <w:rFonts w:ascii="FrankRuehl" w:hAnsi="FrankRuehl" w:cs="FrankRuehl"/>
          <w:color w:val="0000FF"/>
        </w:rPr>
        <w:instrText>http://www.nevo.co.il/safrut/book/29447"</w:instrText>
      </w:r>
      <w:r w:rsidRPr="00B74609">
        <w:rPr>
          <w:rFonts w:ascii="FrankRuehl" w:hAnsi="FrankRuehl" w:cs="FrankRuehl"/>
          <w:color w:val="0000FF"/>
          <w:rtl/>
        </w:rPr>
        <w:instrText xml:space="preserve"> </w:instrText>
      </w:r>
      <w:r w:rsidRPr="00B74609">
        <w:rPr>
          <w:rFonts w:ascii="FrankRuehl" w:hAnsi="FrankRuehl" w:cs="FrankRuehl"/>
          <w:color w:val="0000FF"/>
          <w:rtl/>
        </w:rPr>
      </w:r>
      <w:r w:rsidRPr="00B74609">
        <w:rPr>
          <w:rFonts w:ascii="FrankRuehl" w:hAnsi="FrankRuehl" w:cs="FrankRuehl"/>
          <w:color w:val="0000FF"/>
          <w:rtl/>
        </w:rPr>
        <w:fldChar w:fldCharType="separate"/>
      </w:r>
    </w:p>
    <w:p w14:paraId="470C0626" w14:textId="77777777" w:rsidR="00B74609" w:rsidRPr="00B74609" w:rsidRDefault="00B74609" w:rsidP="00B74609">
      <w:pPr>
        <w:spacing w:after="120" w:line="240" w:lineRule="exact"/>
        <w:ind w:left="283" w:hanging="283"/>
        <w:jc w:val="both"/>
        <w:rPr>
          <w:rFonts w:ascii="FrankRuehl" w:hAnsi="FrankRuehl" w:cs="FrankRuehl"/>
        </w:rPr>
      </w:pPr>
      <w:r w:rsidRPr="00B74609">
        <w:rPr>
          <w:rStyle w:val="Hyperlink"/>
          <w:rFonts w:ascii="FrankRuehl" w:hAnsi="FrankRuehl" w:cs="FrankRuehl"/>
          <w:u w:val="none"/>
          <w:rtl/>
        </w:rPr>
        <w:t>ברק אריאל;יעל לוי־אריאל, "התבוננות מחודשת במוסד ההרתעה (ובדרכים ליצירת הרתעה יעילה)", משפט, חברה ותרבות, משפט צדק? ההליך הפלילי בישראל - כשלים ואתגרים (אלון הראל עורך, אונ' תל אביב, 2017) 83</w:t>
      </w:r>
      <w:r w:rsidRPr="00B74609">
        <w:rPr>
          <w:rFonts w:ascii="FrankRuehl" w:hAnsi="FrankRuehl" w:cs="FrankRuehl"/>
          <w:color w:val="0000FF"/>
          <w:rtl/>
        </w:rPr>
        <w:fldChar w:fldCharType="end"/>
      </w:r>
    </w:p>
    <w:p w14:paraId="3354CCFA" w14:textId="77777777" w:rsidR="00B74609" w:rsidRDefault="00B74609" w:rsidP="00B74609">
      <w:pPr>
        <w:rPr>
          <w:rFonts w:ascii="FrankRuehl" w:hAnsi="FrankRuehl" w:cs="FrankRuehl"/>
          <w:sz w:val="28"/>
          <w:szCs w:val="28"/>
          <w:rtl/>
        </w:rPr>
      </w:pPr>
      <w:bookmarkStart w:id="4" w:name="Links_Kitvei_End"/>
      <w:bookmarkStart w:id="5" w:name="LawTable"/>
      <w:bookmarkEnd w:id="4"/>
      <w:bookmarkEnd w:id="5"/>
    </w:p>
    <w:p w14:paraId="57485F3F" w14:textId="77777777" w:rsidR="00B74609" w:rsidRPr="00B74609" w:rsidRDefault="00B74609" w:rsidP="00B74609">
      <w:pPr>
        <w:spacing w:before="120" w:after="120" w:line="240" w:lineRule="exact"/>
        <w:ind w:left="283" w:hanging="283"/>
        <w:jc w:val="both"/>
        <w:rPr>
          <w:rFonts w:ascii="FrankRuehl" w:hAnsi="FrankRuehl" w:cs="FrankRuehl"/>
          <w:rtl/>
        </w:rPr>
      </w:pPr>
    </w:p>
    <w:p w14:paraId="0E7AD838" w14:textId="77777777" w:rsidR="00B74609" w:rsidRPr="00B74609" w:rsidRDefault="00B74609" w:rsidP="00B74609">
      <w:pPr>
        <w:spacing w:before="120" w:after="120" w:line="240" w:lineRule="exact"/>
        <w:ind w:left="283" w:hanging="283"/>
        <w:jc w:val="both"/>
        <w:rPr>
          <w:rFonts w:ascii="FrankRuehl" w:hAnsi="FrankRuehl" w:cs="FrankRuehl"/>
          <w:rtl/>
        </w:rPr>
      </w:pPr>
    </w:p>
    <w:p w14:paraId="19C59824" w14:textId="77777777" w:rsidR="00B74609" w:rsidRPr="00B74609" w:rsidRDefault="00B74609" w:rsidP="00B74609">
      <w:pPr>
        <w:spacing w:before="120" w:after="120" w:line="240" w:lineRule="exact"/>
        <w:ind w:left="283" w:hanging="283"/>
        <w:jc w:val="both"/>
        <w:rPr>
          <w:rFonts w:ascii="FrankRuehl" w:hAnsi="FrankRuehl" w:cs="FrankRuehl"/>
          <w:rtl/>
        </w:rPr>
      </w:pPr>
      <w:r w:rsidRPr="00B74609">
        <w:rPr>
          <w:rFonts w:ascii="FrankRuehl" w:hAnsi="FrankRuehl" w:cs="FrankRuehl"/>
          <w:rtl/>
        </w:rPr>
        <w:t xml:space="preserve">חקיקה שאוזכרה: </w:t>
      </w:r>
    </w:p>
    <w:p w14:paraId="4C6A4E9B" w14:textId="77777777" w:rsidR="00B74609" w:rsidRPr="00B74609" w:rsidRDefault="00B74609" w:rsidP="00B74609">
      <w:pPr>
        <w:spacing w:before="120" w:after="120" w:line="240" w:lineRule="exact"/>
        <w:ind w:left="283" w:hanging="283"/>
        <w:jc w:val="both"/>
        <w:rPr>
          <w:rFonts w:ascii="FrankRuehl" w:hAnsi="FrankRuehl" w:cs="FrankRuehl"/>
          <w:rtl/>
        </w:rPr>
      </w:pPr>
      <w:hyperlink r:id="rId6" w:history="1">
        <w:r w:rsidRPr="00B74609">
          <w:rPr>
            <w:rFonts w:ascii="FrankRuehl" w:hAnsi="FrankRuehl" w:cs="FrankRuehl"/>
            <w:color w:val="0000FF"/>
            <w:rtl/>
          </w:rPr>
          <w:t>חוק העונשין, תשל"ז-1977</w:t>
        </w:r>
      </w:hyperlink>
      <w:r w:rsidRPr="00B74609">
        <w:rPr>
          <w:rFonts w:ascii="FrankRuehl" w:hAnsi="FrankRuehl" w:cs="FrankRuehl"/>
          <w:rtl/>
        </w:rPr>
        <w:t xml:space="preserve">: סע'  </w:t>
      </w:r>
      <w:hyperlink r:id="rId7" w:history="1">
        <w:r w:rsidRPr="00B74609">
          <w:rPr>
            <w:rFonts w:ascii="FrankRuehl" w:hAnsi="FrankRuehl" w:cs="FrankRuehl"/>
            <w:color w:val="0000FF"/>
            <w:rtl/>
          </w:rPr>
          <w:t>144(א)</w:t>
        </w:r>
      </w:hyperlink>
      <w:r w:rsidRPr="00B74609">
        <w:rPr>
          <w:rFonts w:ascii="FrankRuehl" w:hAnsi="FrankRuehl" w:cs="FrankRuehl"/>
          <w:rtl/>
        </w:rPr>
        <w:t xml:space="preserve">, </w:t>
      </w:r>
      <w:hyperlink r:id="rId8" w:history="1">
        <w:r w:rsidRPr="00B74609">
          <w:rPr>
            <w:rFonts w:ascii="FrankRuehl" w:hAnsi="FrankRuehl" w:cs="FrankRuehl"/>
            <w:color w:val="0000FF"/>
            <w:rtl/>
          </w:rPr>
          <w:t>144(ב)</w:t>
        </w:r>
      </w:hyperlink>
      <w:r w:rsidRPr="00B74609">
        <w:rPr>
          <w:rFonts w:ascii="FrankRuehl" w:hAnsi="FrankRuehl" w:cs="FrankRuehl"/>
          <w:rtl/>
        </w:rPr>
        <w:t xml:space="preserve">, </w:t>
      </w:r>
      <w:hyperlink r:id="rId9" w:history="1">
        <w:r w:rsidRPr="00B74609">
          <w:rPr>
            <w:rFonts w:ascii="FrankRuehl" w:hAnsi="FrankRuehl" w:cs="FrankRuehl"/>
            <w:color w:val="0000FF"/>
            <w:rtl/>
          </w:rPr>
          <w:t>144(ב2)</w:t>
        </w:r>
      </w:hyperlink>
      <w:r w:rsidRPr="00B74609">
        <w:rPr>
          <w:rFonts w:ascii="FrankRuehl" w:hAnsi="FrankRuehl" w:cs="FrankRuehl"/>
          <w:rtl/>
        </w:rPr>
        <w:t xml:space="preserve">, </w:t>
      </w:r>
      <w:hyperlink r:id="rId10" w:history="1">
        <w:r w:rsidRPr="00B74609">
          <w:rPr>
            <w:rFonts w:ascii="FrankRuehl" w:hAnsi="FrankRuehl" w:cs="FrankRuehl"/>
            <w:color w:val="0000FF"/>
            <w:rtl/>
          </w:rPr>
          <w:t>340(א)(ב)(1)</w:t>
        </w:r>
      </w:hyperlink>
      <w:r w:rsidRPr="00B74609">
        <w:rPr>
          <w:rFonts w:ascii="FrankRuehl" w:hAnsi="FrankRuehl" w:cs="FrankRuehl"/>
          <w:rtl/>
        </w:rPr>
        <w:t xml:space="preserve">, </w:t>
      </w:r>
      <w:hyperlink r:id="rId11" w:history="1">
        <w:r w:rsidRPr="00B74609">
          <w:rPr>
            <w:rFonts w:ascii="FrankRuehl" w:hAnsi="FrankRuehl" w:cs="FrankRuehl"/>
            <w:color w:val="0000FF"/>
            <w:rtl/>
          </w:rPr>
          <w:t>499(א)(1)</w:t>
        </w:r>
      </w:hyperlink>
    </w:p>
    <w:p w14:paraId="25566C9F" w14:textId="77777777" w:rsidR="00B74609" w:rsidRPr="00B74609" w:rsidRDefault="00B74609" w:rsidP="00B74609">
      <w:pPr>
        <w:rPr>
          <w:rFonts w:ascii="FrankRuehl" w:hAnsi="FrankRuehl" w:cs="FrankRuehl"/>
          <w:sz w:val="28"/>
          <w:szCs w:val="28"/>
          <w:rtl/>
        </w:rPr>
      </w:pPr>
      <w:bookmarkStart w:id="6" w:name="LawTable_End"/>
      <w:bookmarkEnd w:id="6"/>
    </w:p>
    <w:p w14:paraId="7F91E135" w14:textId="77777777" w:rsidR="00625D8C" w:rsidRPr="00B74609" w:rsidRDefault="00625D8C" w:rsidP="00E42D74">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5D8C" w:rsidRPr="00D36FCA" w14:paraId="2317C4A4" w14:textId="77777777" w:rsidTr="00625D8C">
        <w:trPr>
          <w:trHeight w:val="355"/>
          <w:jc w:val="center"/>
        </w:trPr>
        <w:tc>
          <w:tcPr>
            <w:tcW w:w="8820" w:type="dxa"/>
            <w:tcBorders>
              <w:top w:val="nil"/>
              <w:left w:val="nil"/>
              <w:bottom w:val="nil"/>
              <w:right w:val="nil"/>
            </w:tcBorders>
            <w:shd w:val="clear" w:color="auto" w:fill="auto"/>
          </w:tcPr>
          <w:p w14:paraId="1A79991B" w14:textId="77777777" w:rsidR="001A46EE" w:rsidRPr="001A46EE" w:rsidRDefault="001A46EE" w:rsidP="001A46EE">
            <w:pPr>
              <w:jc w:val="center"/>
              <w:rPr>
                <w:rFonts w:ascii="FrankRuehl" w:hAnsi="FrankRuehl" w:cs="FrankRuehl"/>
                <w:b/>
                <w:bCs/>
                <w:sz w:val="36"/>
                <w:szCs w:val="36"/>
                <w:u w:val="single"/>
                <w:rtl/>
              </w:rPr>
            </w:pPr>
            <w:bookmarkStart w:id="7" w:name="PsakDin" w:colFirst="0" w:colLast="0"/>
            <w:bookmarkEnd w:id="0"/>
            <w:r w:rsidRPr="001A46EE">
              <w:rPr>
                <w:rFonts w:ascii="FrankRuehl" w:hAnsi="FrankRuehl" w:cs="FrankRuehl"/>
                <w:b/>
                <w:bCs/>
                <w:sz w:val="36"/>
                <w:szCs w:val="36"/>
                <w:u w:val="single"/>
                <w:rtl/>
              </w:rPr>
              <w:t>גזר דין</w:t>
            </w:r>
          </w:p>
          <w:p w14:paraId="45F3552F" w14:textId="77777777" w:rsidR="00625D8C" w:rsidRPr="001A46EE" w:rsidRDefault="00625D8C" w:rsidP="001A46EE">
            <w:pPr>
              <w:jc w:val="center"/>
              <w:rPr>
                <w:rFonts w:ascii="FrankRuehl" w:hAnsi="FrankRuehl" w:cs="FrankRuehl"/>
                <w:bCs/>
                <w:sz w:val="36"/>
                <w:szCs w:val="36"/>
                <w:u w:val="single"/>
                <w:rtl/>
              </w:rPr>
            </w:pPr>
          </w:p>
        </w:tc>
      </w:tr>
      <w:bookmarkEnd w:id="7"/>
    </w:tbl>
    <w:p w14:paraId="61DF95E0" w14:textId="77777777" w:rsidR="00625D8C" w:rsidRPr="00D36FCA" w:rsidRDefault="00625D8C" w:rsidP="00625D8C">
      <w:pPr>
        <w:rPr>
          <w:rFonts w:ascii="FrankRuehl" w:hAnsi="FrankRuehl" w:cs="FrankRuehl"/>
          <w:sz w:val="28"/>
          <w:szCs w:val="28"/>
          <w:rtl/>
        </w:rPr>
      </w:pPr>
    </w:p>
    <w:p w14:paraId="5985AB75" w14:textId="77777777" w:rsidR="00625D8C" w:rsidRPr="00D36FCA" w:rsidRDefault="00625D8C" w:rsidP="00625D8C">
      <w:pPr>
        <w:rPr>
          <w:rFonts w:ascii="FrankRuehl" w:hAnsi="FrankRuehl" w:cs="FrankRuehl"/>
          <w:sz w:val="28"/>
          <w:szCs w:val="28"/>
          <w:rtl/>
        </w:rPr>
      </w:pPr>
    </w:p>
    <w:p w14:paraId="780F95B8" w14:textId="77777777" w:rsidR="00625D8C" w:rsidRPr="00A21E53" w:rsidRDefault="00625D8C" w:rsidP="00625D8C">
      <w:pPr>
        <w:spacing w:line="360" w:lineRule="auto"/>
        <w:jc w:val="both"/>
        <w:rPr>
          <w:rFonts w:ascii="FrankRuehl" w:hAnsi="FrankRuehl" w:cs="FrankRuehl"/>
          <w:b/>
          <w:bCs/>
          <w:sz w:val="28"/>
          <w:szCs w:val="28"/>
          <w:u w:val="single"/>
          <w:rtl/>
        </w:rPr>
      </w:pPr>
      <w:r w:rsidRPr="00A21E53">
        <w:rPr>
          <w:rFonts w:ascii="FrankRuehl" w:hAnsi="FrankRuehl" w:cs="FrankRuehl" w:hint="cs"/>
          <w:b/>
          <w:bCs/>
          <w:sz w:val="28"/>
          <w:szCs w:val="28"/>
          <w:u w:val="single"/>
          <w:rtl/>
        </w:rPr>
        <w:t>הכרעת הדין</w:t>
      </w:r>
    </w:p>
    <w:p w14:paraId="08EFBB78"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bookmarkStart w:id="8" w:name="ABSTRACT_START"/>
      <w:bookmarkEnd w:id="8"/>
      <w:r>
        <w:rPr>
          <w:rFonts w:ascii="FrankRuehl" w:hAnsi="FrankRuehl" w:cs="FrankRuehl" w:hint="cs"/>
          <w:sz w:val="28"/>
          <w:szCs w:val="28"/>
          <w:rtl/>
        </w:rPr>
        <w:t xml:space="preserve">הנאשם הורשע על פי הודאתו, שניתנה במסגרת הסדר טיעון, במספר עבירות נשק: שתי עבירות של רכישת נשק (תחמושת) לפי </w:t>
      </w:r>
      <w:hyperlink r:id="rId12" w:history="1">
        <w:r w:rsidR="00036869" w:rsidRPr="00036869">
          <w:rPr>
            <w:rStyle w:val="Hyperlink"/>
            <w:rFonts w:ascii="FrankRuehl" w:hAnsi="FrankRuehl" w:cs="FrankRuehl" w:hint="eastAsia"/>
            <w:sz w:val="28"/>
            <w:szCs w:val="28"/>
            <w:rtl/>
          </w:rPr>
          <w:t>סעיף</w:t>
        </w:r>
        <w:r w:rsidR="00036869" w:rsidRPr="00036869">
          <w:rPr>
            <w:rStyle w:val="Hyperlink"/>
            <w:rFonts w:ascii="FrankRuehl" w:hAnsi="FrankRuehl" w:cs="FrankRuehl"/>
            <w:sz w:val="28"/>
            <w:szCs w:val="28"/>
            <w:rtl/>
          </w:rPr>
          <w:t xml:space="preserve"> 144(א)</w:t>
        </w:r>
      </w:hyperlink>
      <w:r>
        <w:rPr>
          <w:rFonts w:ascii="FrankRuehl" w:hAnsi="FrankRuehl" w:cs="FrankRuehl" w:hint="cs"/>
          <w:sz w:val="28"/>
          <w:szCs w:val="28"/>
          <w:rtl/>
        </w:rPr>
        <w:t xml:space="preserve"> סיפא ל</w:t>
      </w:r>
      <w:hyperlink r:id="rId13" w:history="1">
        <w:r w:rsidR="001A46EE" w:rsidRPr="001A46EE">
          <w:rPr>
            <w:rFonts w:ascii="FrankRuehl" w:hAnsi="FrankRuehl" w:cs="FrankRuehl"/>
            <w:color w:val="0000FF"/>
            <w:sz w:val="28"/>
            <w:szCs w:val="28"/>
            <w:u w:val="single"/>
            <w:rtl/>
          </w:rPr>
          <w:t>חוק העונשין</w:t>
        </w:r>
      </w:hyperlink>
      <w:r>
        <w:rPr>
          <w:rFonts w:ascii="FrankRuehl" w:hAnsi="FrankRuehl" w:cs="FrankRuehl" w:hint="cs"/>
          <w:sz w:val="28"/>
          <w:szCs w:val="28"/>
          <w:rtl/>
        </w:rPr>
        <w:t xml:space="preserve">, התשל"ז-1977 (להלן: "החוק"), שלשו עבירות של נשיאת נשק ותחמושת לפי </w:t>
      </w:r>
      <w:hyperlink r:id="rId14" w:history="1">
        <w:r w:rsidR="00F51812" w:rsidRPr="00F51812">
          <w:rPr>
            <w:rStyle w:val="Hyperlink"/>
            <w:rFonts w:ascii="FrankRuehl" w:hAnsi="FrankRuehl" w:cs="FrankRuehl" w:hint="eastAsia"/>
            <w:sz w:val="28"/>
            <w:szCs w:val="28"/>
            <w:rtl/>
          </w:rPr>
          <w:t>סעיף</w:t>
        </w:r>
        <w:r w:rsidR="00F51812" w:rsidRPr="00F51812">
          <w:rPr>
            <w:rStyle w:val="Hyperlink"/>
            <w:rFonts w:ascii="FrankRuehl" w:hAnsi="FrankRuehl" w:cs="FrankRuehl"/>
            <w:sz w:val="28"/>
            <w:szCs w:val="28"/>
            <w:rtl/>
          </w:rPr>
          <w:t xml:space="preserve"> 144(ב)</w:t>
        </w:r>
      </w:hyperlink>
      <w:r>
        <w:rPr>
          <w:rFonts w:ascii="FrankRuehl" w:hAnsi="FrankRuehl" w:cs="FrankRuehl" w:hint="cs"/>
          <w:sz w:val="28"/>
          <w:szCs w:val="28"/>
          <w:rtl/>
        </w:rPr>
        <w:t xml:space="preserve"> רישא וסיפא לחוק, עבירה </w:t>
      </w:r>
      <w:r>
        <w:rPr>
          <w:rFonts w:ascii="FrankRuehl" w:hAnsi="FrankRuehl" w:cs="FrankRuehl" w:hint="cs"/>
          <w:sz w:val="28"/>
          <w:szCs w:val="28"/>
          <w:rtl/>
        </w:rPr>
        <w:lastRenderedPageBreak/>
        <w:t xml:space="preserve">של ירי מנשק חם לפי </w:t>
      </w:r>
      <w:hyperlink r:id="rId15" w:history="1">
        <w:r w:rsidR="00F51812" w:rsidRPr="00F51812">
          <w:rPr>
            <w:rStyle w:val="Hyperlink"/>
            <w:rFonts w:ascii="FrankRuehl" w:hAnsi="FrankRuehl" w:cs="FrankRuehl" w:hint="eastAsia"/>
            <w:sz w:val="28"/>
            <w:szCs w:val="28"/>
            <w:rtl/>
          </w:rPr>
          <w:t>סעיף</w:t>
        </w:r>
        <w:r w:rsidR="00F51812" w:rsidRPr="00F51812">
          <w:rPr>
            <w:rStyle w:val="Hyperlink"/>
            <w:rFonts w:ascii="FrankRuehl" w:hAnsi="FrankRuehl" w:cs="FrankRuehl"/>
            <w:sz w:val="28"/>
            <w:szCs w:val="28"/>
            <w:rtl/>
          </w:rPr>
          <w:t xml:space="preserve"> 340(א)(ב)(1)</w:t>
        </w:r>
      </w:hyperlink>
      <w:r>
        <w:rPr>
          <w:rFonts w:ascii="FrankRuehl" w:hAnsi="FrankRuehl" w:cs="FrankRuehl" w:hint="cs"/>
          <w:sz w:val="28"/>
          <w:szCs w:val="28"/>
          <w:rtl/>
        </w:rPr>
        <w:t xml:space="preserve"> לחוק, שתי עבירות של קשירת קשר לביצוע עסקה בנשק לפי </w:t>
      </w:r>
      <w:hyperlink r:id="rId16" w:history="1">
        <w:r w:rsidR="00F51812" w:rsidRPr="00F51812">
          <w:rPr>
            <w:rStyle w:val="Hyperlink"/>
            <w:rFonts w:ascii="FrankRuehl" w:hAnsi="FrankRuehl" w:cs="FrankRuehl" w:hint="eastAsia"/>
            <w:sz w:val="28"/>
            <w:szCs w:val="28"/>
            <w:rtl/>
          </w:rPr>
          <w:t>סעיף</w:t>
        </w:r>
        <w:r w:rsidR="00F51812" w:rsidRPr="00F51812">
          <w:rPr>
            <w:rStyle w:val="Hyperlink"/>
            <w:rFonts w:ascii="FrankRuehl" w:hAnsi="FrankRuehl" w:cs="FrankRuehl"/>
            <w:sz w:val="28"/>
            <w:szCs w:val="28"/>
            <w:rtl/>
          </w:rPr>
          <w:t xml:space="preserve"> 499(א)(1)</w:t>
        </w:r>
      </w:hyperlink>
      <w:r>
        <w:rPr>
          <w:rFonts w:ascii="FrankRuehl" w:hAnsi="FrankRuehl" w:cs="FrankRuehl" w:hint="cs"/>
          <w:sz w:val="28"/>
          <w:szCs w:val="28"/>
          <w:rtl/>
        </w:rPr>
        <w:t xml:space="preserve"> לחוק, ועבירה של סחר בנשק לפי </w:t>
      </w:r>
      <w:hyperlink r:id="rId17" w:history="1">
        <w:r w:rsidR="00F51812" w:rsidRPr="00F51812">
          <w:rPr>
            <w:rStyle w:val="Hyperlink"/>
            <w:rFonts w:ascii="FrankRuehl" w:hAnsi="FrankRuehl" w:cs="FrankRuehl" w:hint="eastAsia"/>
            <w:sz w:val="28"/>
            <w:szCs w:val="28"/>
            <w:rtl/>
          </w:rPr>
          <w:t>סעיף</w:t>
        </w:r>
        <w:r w:rsidR="00F51812" w:rsidRPr="00F51812">
          <w:rPr>
            <w:rStyle w:val="Hyperlink"/>
            <w:rFonts w:ascii="FrankRuehl" w:hAnsi="FrankRuehl" w:cs="FrankRuehl"/>
            <w:sz w:val="28"/>
            <w:szCs w:val="28"/>
            <w:rtl/>
          </w:rPr>
          <w:t xml:space="preserve"> 144(ב2)</w:t>
        </w:r>
      </w:hyperlink>
      <w:r>
        <w:rPr>
          <w:rFonts w:ascii="FrankRuehl" w:hAnsi="FrankRuehl" w:cs="FrankRuehl" w:hint="cs"/>
          <w:sz w:val="28"/>
          <w:szCs w:val="28"/>
          <w:rtl/>
        </w:rPr>
        <w:t xml:space="preserve"> לחוק.</w:t>
      </w:r>
    </w:p>
    <w:p w14:paraId="6FF79560" w14:textId="77777777" w:rsidR="00625D8C" w:rsidRDefault="00625D8C" w:rsidP="00625D8C">
      <w:pPr>
        <w:spacing w:line="360" w:lineRule="auto"/>
        <w:jc w:val="both"/>
        <w:rPr>
          <w:rFonts w:ascii="FrankRuehl" w:hAnsi="FrankRuehl" w:cs="FrankRuehl"/>
          <w:sz w:val="28"/>
          <w:szCs w:val="28"/>
          <w:rtl/>
        </w:rPr>
      </w:pPr>
      <w:bookmarkStart w:id="9" w:name="ABSTRACT_END"/>
      <w:bookmarkEnd w:id="9"/>
    </w:p>
    <w:p w14:paraId="082A7937"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 xml:space="preserve">בכתב האישום מפורטים שלושה אישומים. </w:t>
      </w:r>
    </w:p>
    <w:p w14:paraId="6078F7D7" w14:textId="77777777" w:rsidR="00625D8C" w:rsidRDefault="00625D8C" w:rsidP="00625D8C">
      <w:pPr>
        <w:spacing w:line="360" w:lineRule="auto"/>
        <w:jc w:val="both"/>
        <w:rPr>
          <w:rFonts w:ascii="FrankRuehl" w:hAnsi="FrankRuehl" w:cs="FrankRuehl"/>
          <w:sz w:val="28"/>
          <w:szCs w:val="28"/>
          <w:rtl/>
        </w:rPr>
      </w:pPr>
    </w:p>
    <w:p w14:paraId="1BC8CA2D"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t xml:space="preserve">באישום הראשון צוין כי בחודש מאי 2020 פנה הנאשם לאחמד פקיר וביקש ממנו לקבל תחמושת תואמת נשק </w:t>
      </w:r>
      <w:r>
        <w:rPr>
          <w:rFonts w:ascii="FrankRuehl" w:hAnsi="FrankRuehl" w:cs="FrankRuehl"/>
          <w:sz w:val="28"/>
          <w:szCs w:val="28"/>
        </w:rPr>
        <w:t xml:space="preserve"> </w:t>
      </w:r>
      <w:r w:rsidRPr="00625D8C">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הנאשם נסע לבאר שבע וקיבל מפקיר שתי מחסניות מלאות בכדורים תואמי נשק </w:t>
      </w:r>
      <w:r w:rsidRPr="00625D8C">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משם נסע הנאשם ישירות לחתונה במחנה הפליטים שועפט במהלכה ירה בנשק </w:t>
      </w:r>
      <w:r w:rsidRPr="00625D8C">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באמצעות המחסניות. </w:t>
      </w:r>
    </w:p>
    <w:p w14:paraId="0100D660" w14:textId="77777777" w:rsidR="00625D8C" w:rsidRDefault="00625D8C" w:rsidP="00625D8C">
      <w:pPr>
        <w:spacing w:line="360" w:lineRule="auto"/>
        <w:jc w:val="both"/>
        <w:rPr>
          <w:rFonts w:ascii="FrankRuehl" w:hAnsi="FrankRuehl" w:cs="FrankRuehl"/>
          <w:sz w:val="28"/>
          <w:szCs w:val="28"/>
          <w:rtl/>
        </w:rPr>
      </w:pPr>
    </w:p>
    <w:p w14:paraId="182CD2EE"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t xml:space="preserve">באותו חודש, פנה יזן עבידאת לנאשם וביקש לקנות כדורים תואמי נשק </w:t>
      </w:r>
      <w:r w:rsidRPr="00625D8C">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הנאשם אמר ליזן שהוא יפעל להשיג עבורו, אך לא עלה בידו. מספר חודשים לאחר מכן, פנה יזן לנאשם ושלח לו תמונות אקדחים, רובה </w:t>
      </w:r>
      <w:r w:rsidRPr="00625D8C">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וארגז רימונים השייכים לאחר ומוצעים למכירה. הנאשם השיב שהוא מעוניין ברכישת הנשק, אך העסקה לא יצאה לפועל. </w:t>
      </w:r>
    </w:p>
    <w:p w14:paraId="0AA4B4D4" w14:textId="77777777" w:rsidR="00625D8C" w:rsidRDefault="00625D8C" w:rsidP="00625D8C">
      <w:pPr>
        <w:spacing w:line="360" w:lineRule="auto"/>
        <w:jc w:val="both"/>
        <w:rPr>
          <w:rFonts w:ascii="FrankRuehl" w:hAnsi="FrankRuehl" w:cs="FrankRuehl"/>
          <w:sz w:val="28"/>
          <w:szCs w:val="28"/>
          <w:rtl/>
        </w:rPr>
      </w:pPr>
    </w:p>
    <w:p w14:paraId="6BB9E91D"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t xml:space="preserve">בחלוף כשנה, בחודש מאי 2021, פנה חאלד שאהין לנאשם וביקש ממנו תחמושת לשימוש בחתונה. ביום 9.05.21 נסע הנאשם לכפר מנדא ורכש מאדם שזהותו אינה ידועה למאשימה שש מחסניות ו-165 כדורים תואמי </w:t>
      </w:r>
      <w:r w:rsidRPr="00625D8C">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הנאשם שילם עבור התחמושת סך של 400 ₪. הנאשם נשא את התחמושת מכפר מנדא עד למחסום עופר הסמוך לירושלים, שם נעצר. </w:t>
      </w:r>
    </w:p>
    <w:p w14:paraId="5630F9A7" w14:textId="77777777" w:rsidR="00625D8C" w:rsidRDefault="00625D8C" w:rsidP="00625D8C">
      <w:pPr>
        <w:spacing w:line="360" w:lineRule="auto"/>
        <w:jc w:val="both"/>
        <w:rPr>
          <w:rFonts w:ascii="FrankRuehl" w:hAnsi="FrankRuehl" w:cs="FrankRuehl"/>
          <w:sz w:val="28"/>
          <w:szCs w:val="28"/>
          <w:rtl/>
        </w:rPr>
      </w:pPr>
    </w:p>
    <w:p w14:paraId="2FE6647E"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t xml:space="preserve">באישום השני צוין כי ביום 5.04.21 פנה מאלק עלקם לנאשם וביקש לרכוש אקדח מסוג "יריחו". מאלק ביקש מהנאשם שישלח לו תמונה של הנשק ואת מחירו, והנאשם הסכים. גם עסקה זו לא יצאה לפועל. </w:t>
      </w:r>
    </w:p>
    <w:p w14:paraId="34AA1409" w14:textId="77777777" w:rsidR="00625D8C" w:rsidRDefault="00625D8C" w:rsidP="00625D8C">
      <w:pPr>
        <w:spacing w:line="360" w:lineRule="auto"/>
        <w:jc w:val="both"/>
        <w:rPr>
          <w:rFonts w:ascii="FrankRuehl" w:hAnsi="FrankRuehl" w:cs="FrankRuehl"/>
          <w:sz w:val="28"/>
          <w:szCs w:val="28"/>
          <w:rtl/>
        </w:rPr>
      </w:pPr>
    </w:p>
    <w:p w14:paraId="7BCF6413"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בהמשך, ביום 21.04.21 שוחח הנאשם עם אמין אל-עוזר והציע לו תחמושת מסוג כדורי 9 מ"מ תמורת 4,000 ₪. אמין ביקש מהנאשם הנחה של 100 שקלים במחיר. הנאשם הסכים ואמין הגיע אליו וביצע את הרכישה.    </w:t>
      </w:r>
    </w:p>
    <w:p w14:paraId="5E3F1FB1" w14:textId="77777777" w:rsidR="00625D8C" w:rsidRDefault="00625D8C" w:rsidP="00625D8C">
      <w:pPr>
        <w:spacing w:line="360" w:lineRule="auto"/>
        <w:jc w:val="both"/>
        <w:rPr>
          <w:rFonts w:ascii="FrankRuehl" w:hAnsi="FrankRuehl" w:cs="FrankRuehl"/>
          <w:sz w:val="28"/>
          <w:szCs w:val="28"/>
          <w:rtl/>
        </w:rPr>
      </w:pPr>
    </w:p>
    <w:p w14:paraId="36AFADA1"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 xml:space="preserve">באישום השלישי נטען כי כחצי שנה עובר ליום 9.05.21 פנה יזן עבידאת לנאשם והציע לו לרכוש יחד תחמושת תואמת נשק </w:t>
      </w:r>
      <w:r w:rsidRPr="00625D8C">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באדם במחנה פליטים שועפט. הנאשם ויזן נסעו יחד </w:t>
      </w:r>
      <w:r>
        <w:rPr>
          <w:rFonts w:ascii="FrankRuehl" w:hAnsi="FrankRuehl" w:cs="FrankRuehl" w:hint="cs"/>
          <w:sz w:val="28"/>
          <w:szCs w:val="28"/>
          <w:rtl/>
        </w:rPr>
        <w:lastRenderedPageBreak/>
        <w:t xml:space="preserve">למחנה הפליטים ופגשו את המוכר שזהותו אינה ידועה למאשימה. המוכר מסר להם כי אין לו תחמושת אך הציע להם לרכוש מטען חבלה. הנאשם הסכים, לקח את המטען והעבירו לאחר. </w:t>
      </w:r>
    </w:p>
    <w:p w14:paraId="0CA4DBA6" w14:textId="77777777" w:rsidR="00625D8C" w:rsidRDefault="00625D8C" w:rsidP="00625D8C">
      <w:pPr>
        <w:spacing w:line="360" w:lineRule="auto"/>
        <w:jc w:val="both"/>
        <w:rPr>
          <w:rFonts w:ascii="FrankRuehl" w:hAnsi="FrankRuehl" w:cs="FrankRuehl"/>
          <w:sz w:val="28"/>
          <w:szCs w:val="28"/>
          <w:rtl/>
        </w:rPr>
      </w:pPr>
    </w:p>
    <w:p w14:paraId="2B8B20D5" w14:textId="77777777" w:rsidR="00625D8C" w:rsidRPr="00A21E53" w:rsidRDefault="00625D8C" w:rsidP="00625D8C">
      <w:pPr>
        <w:spacing w:line="360" w:lineRule="auto"/>
        <w:jc w:val="both"/>
        <w:rPr>
          <w:rFonts w:ascii="FrankRuehl" w:hAnsi="FrankRuehl" w:cs="FrankRuehl"/>
          <w:b/>
          <w:bCs/>
          <w:sz w:val="28"/>
          <w:szCs w:val="28"/>
          <w:u w:val="single"/>
          <w:rtl/>
        </w:rPr>
      </w:pPr>
      <w:r w:rsidRPr="00A21E53">
        <w:rPr>
          <w:rFonts w:ascii="FrankRuehl" w:hAnsi="FrankRuehl" w:cs="FrankRuehl" w:hint="cs"/>
          <w:b/>
          <w:bCs/>
          <w:sz w:val="28"/>
          <w:szCs w:val="28"/>
          <w:u w:val="single"/>
          <w:rtl/>
        </w:rPr>
        <w:t>תסקיר שירות המבחן</w:t>
      </w:r>
    </w:p>
    <w:p w14:paraId="137767B2"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t xml:space="preserve">בשל גילו של הנאשם הוגש תסקיר שירות המבחן, ממנו נלמד אודותיו. נלמד, כי הנאשם צעיר בן 21, עובר למעצרו עבד במפעל בראש העין ולמד הנדסה אזרחית. הוא גדל במשפחה מכובדת ונורמטיבית והוא נעדר עבר פלילי. באשר לעבירות בהן הורשע ציינה קצינת המבחן, כי הנאשם נוטל עליהן אחריות חלקית. לצד הבעת חרטה והבנת חומרת המעשים הוא נוטה לצמצם את אחריותו למעשים. בשולי התסקיר באה קצינת המבחן בהמלצה להשית על הנאשם ענישה מציבת גבולות בדמות מאסר בפועל לצד ענישה מרתיעה צופה פני עתיד וקנס כספי. </w:t>
      </w:r>
    </w:p>
    <w:p w14:paraId="66D1C2BF" w14:textId="77777777" w:rsidR="00625D8C" w:rsidRDefault="00625D8C" w:rsidP="00625D8C">
      <w:pPr>
        <w:spacing w:line="360" w:lineRule="auto"/>
        <w:jc w:val="both"/>
        <w:rPr>
          <w:rFonts w:ascii="FrankRuehl" w:hAnsi="FrankRuehl" w:cs="FrankRuehl"/>
          <w:sz w:val="28"/>
          <w:szCs w:val="28"/>
          <w:rtl/>
        </w:rPr>
      </w:pPr>
    </w:p>
    <w:p w14:paraId="1829043D" w14:textId="77777777" w:rsidR="00625D8C" w:rsidRPr="00A21E53" w:rsidRDefault="00625D8C" w:rsidP="00625D8C">
      <w:pPr>
        <w:spacing w:line="360" w:lineRule="auto"/>
        <w:jc w:val="both"/>
        <w:rPr>
          <w:rFonts w:ascii="FrankRuehl" w:hAnsi="FrankRuehl" w:cs="FrankRuehl"/>
          <w:b/>
          <w:bCs/>
          <w:sz w:val="28"/>
          <w:szCs w:val="28"/>
          <w:u w:val="single"/>
          <w:rtl/>
        </w:rPr>
      </w:pPr>
      <w:r w:rsidRPr="00A21E53">
        <w:rPr>
          <w:rFonts w:ascii="FrankRuehl" w:hAnsi="FrankRuehl" w:cs="FrankRuehl" w:hint="cs"/>
          <w:b/>
          <w:bCs/>
          <w:sz w:val="28"/>
          <w:szCs w:val="28"/>
          <w:u w:val="single"/>
          <w:rtl/>
        </w:rPr>
        <w:t>טיעוני ב"</w:t>
      </w:r>
      <w:r>
        <w:rPr>
          <w:rFonts w:ascii="FrankRuehl" w:hAnsi="FrankRuehl" w:cs="FrankRuehl" w:hint="cs"/>
          <w:b/>
          <w:bCs/>
          <w:sz w:val="28"/>
          <w:szCs w:val="28"/>
          <w:u w:val="single"/>
          <w:rtl/>
        </w:rPr>
        <w:t>כ הצדדים</w:t>
      </w:r>
    </w:p>
    <w:p w14:paraId="78944C62" w14:textId="77777777" w:rsidR="00625D8C" w:rsidRPr="00665E27"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t xml:space="preserve">בטיעוניה לעונש </w:t>
      </w:r>
      <w:r w:rsidRPr="00665E27">
        <w:rPr>
          <w:rFonts w:ascii="FrankRuehl" w:hAnsi="FrankRuehl" w:cs="FrankRuehl" w:hint="cs"/>
          <w:sz w:val="28"/>
          <w:szCs w:val="28"/>
          <w:rtl/>
        </w:rPr>
        <w:t xml:space="preserve">עמדה ב"כ המאשימה על הערכים המוגנים שנפגעו ממעשי הנאשם ועל חומרת עבירות הנשק והצורך בענישה משמעותית בגינן, כפי שהדבר בא לידי ביטוי בפסיקות בית המשפט העליון, בפרט בתקופה האחרונה. היא עתרה לקביעת מתחמים נפרדים לכל אחד מהאישומים שכן מדובר במעורבים שונים ובפעילות שונה שהתבצעה במועדים שונים. </w:t>
      </w:r>
      <w:r w:rsidRPr="00665E27">
        <w:rPr>
          <w:rFonts w:ascii="FrankRuehl" w:hAnsi="FrankRuehl" w:cs="FrankRuehl"/>
          <w:sz w:val="28"/>
          <w:szCs w:val="28"/>
          <w:rtl/>
        </w:rPr>
        <w:t>באישום הראשון נ</w:t>
      </w:r>
      <w:r w:rsidRPr="00665E27">
        <w:rPr>
          <w:rFonts w:ascii="FrankRuehl" w:hAnsi="FrankRuehl" w:cs="FrankRuehl" w:hint="cs"/>
          <w:sz w:val="28"/>
          <w:szCs w:val="28"/>
          <w:rtl/>
        </w:rPr>
        <w:t>ת</w:t>
      </w:r>
      <w:r w:rsidRPr="00665E27">
        <w:rPr>
          <w:rFonts w:ascii="FrankRuehl" w:hAnsi="FrankRuehl" w:cs="FrankRuehl"/>
          <w:sz w:val="28"/>
          <w:szCs w:val="28"/>
          <w:rtl/>
        </w:rPr>
        <w:t xml:space="preserve">בקש לקבוע מתחם </w:t>
      </w:r>
      <w:r w:rsidRPr="00665E27">
        <w:rPr>
          <w:rFonts w:ascii="FrankRuehl" w:hAnsi="FrankRuehl" w:cs="FrankRuehl" w:hint="cs"/>
          <w:sz w:val="28"/>
          <w:szCs w:val="28"/>
          <w:rtl/>
        </w:rPr>
        <w:t>ש</w:t>
      </w:r>
      <w:r w:rsidRPr="00665E27">
        <w:rPr>
          <w:rFonts w:ascii="FrankRuehl" w:hAnsi="FrankRuehl" w:cs="FrankRuehl"/>
          <w:sz w:val="28"/>
          <w:szCs w:val="28"/>
          <w:rtl/>
        </w:rPr>
        <w:t xml:space="preserve">נע </w:t>
      </w:r>
      <w:r w:rsidRPr="00665E27">
        <w:rPr>
          <w:rFonts w:ascii="FrankRuehl" w:hAnsi="FrankRuehl" w:cs="FrankRuehl" w:hint="cs"/>
          <w:sz w:val="28"/>
          <w:szCs w:val="28"/>
          <w:rtl/>
        </w:rPr>
        <w:t xml:space="preserve">משלושה ועד שש שנות </w:t>
      </w:r>
      <w:r w:rsidRPr="00665E27">
        <w:rPr>
          <w:rFonts w:ascii="FrankRuehl" w:hAnsi="FrankRuehl" w:cs="FrankRuehl"/>
          <w:sz w:val="28"/>
          <w:szCs w:val="28"/>
          <w:rtl/>
        </w:rPr>
        <w:t>מאסר</w:t>
      </w:r>
      <w:r w:rsidRPr="00665E27">
        <w:rPr>
          <w:rFonts w:ascii="FrankRuehl" w:hAnsi="FrankRuehl" w:cs="FrankRuehl" w:hint="cs"/>
          <w:sz w:val="28"/>
          <w:szCs w:val="28"/>
          <w:rtl/>
        </w:rPr>
        <w:t xml:space="preserve"> בפועל</w:t>
      </w:r>
      <w:r w:rsidRPr="00665E27">
        <w:rPr>
          <w:rFonts w:ascii="FrankRuehl" w:hAnsi="FrankRuehl" w:cs="FrankRuehl"/>
          <w:sz w:val="28"/>
          <w:szCs w:val="28"/>
          <w:rtl/>
        </w:rPr>
        <w:t xml:space="preserve"> לצד </w:t>
      </w:r>
      <w:r w:rsidRPr="00665E27">
        <w:rPr>
          <w:rFonts w:ascii="FrankRuehl" w:hAnsi="FrankRuehl" w:cs="FrankRuehl" w:hint="cs"/>
          <w:sz w:val="28"/>
          <w:szCs w:val="28"/>
          <w:rtl/>
        </w:rPr>
        <w:t xml:space="preserve">מאסר על תנאי וקנס. </w:t>
      </w:r>
      <w:r w:rsidRPr="00665E27">
        <w:rPr>
          <w:rFonts w:ascii="FrankRuehl" w:hAnsi="FrankRuehl" w:cs="FrankRuehl"/>
          <w:sz w:val="28"/>
          <w:szCs w:val="28"/>
          <w:rtl/>
        </w:rPr>
        <w:t>באישום השני נ</w:t>
      </w:r>
      <w:r w:rsidRPr="00665E27">
        <w:rPr>
          <w:rFonts w:ascii="FrankRuehl" w:hAnsi="FrankRuehl" w:cs="FrankRuehl" w:hint="cs"/>
          <w:sz w:val="28"/>
          <w:szCs w:val="28"/>
          <w:rtl/>
        </w:rPr>
        <w:t>ת</w:t>
      </w:r>
      <w:r w:rsidRPr="00665E27">
        <w:rPr>
          <w:rFonts w:ascii="FrankRuehl" w:hAnsi="FrankRuehl" w:cs="FrankRuehl"/>
          <w:sz w:val="28"/>
          <w:szCs w:val="28"/>
          <w:rtl/>
        </w:rPr>
        <w:t xml:space="preserve">בקש לקבוע מתחם עונש הנע </w:t>
      </w:r>
      <w:r w:rsidRPr="00665E27">
        <w:rPr>
          <w:rFonts w:ascii="FrankRuehl" w:hAnsi="FrankRuehl" w:cs="FrankRuehl" w:hint="cs"/>
          <w:sz w:val="28"/>
          <w:szCs w:val="28"/>
          <w:rtl/>
        </w:rPr>
        <w:t xml:space="preserve">מששה ועד שמונה עשר </w:t>
      </w:r>
      <w:r w:rsidRPr="00665E27">
        <w:rPr>
          <w:rFonts w:ascii="FrankRuehl" w:hAnsi="FrankRuehl" w:cs="FrankRuehl"/>
          <w:sz w:val="28"/>
          <w:szCs w:val="28"/>
          <w:rtl/>
        </w:rPr>
        <w:t xml:space="preserve">חודשי מאסר בפועל לצד </w:t>
      </w:r>
      <w:r w:rsidRPr="00665E27">
        <w:rPr>
          <w:rFonts w:ascii="FrankRuehl" w:hAnsi="FrankRuehl" w:cs="FrankRuehl" w:hint="cs"/>
          <w:sz w:val="28"/>
          <w:szCs w:val="28"/>
          <w:rtl/>
        </w:rPr>
        <w:t>מאסר על תנאי וקנס. ו</w:t>
      </w:r>
      <w:r w:rsidRPr="00665E27">
        <w:rPr>
          <w:rFonts w:ascii="FrankRuehl" w:hAnsi="FrankRuehl" w:cs="FrankRuehl"/>
          <w:sz w:val="28"/>
          <w:szCs w:val="28"/>
          <w:rtl/>
        </w:rPr>
        <w:t>באישום השלישי נ</w:t>
      </w:r>
      <w:r w:rsidRPr="00665E27">
        <w:rPr>
          <w:rFonts w:ascii="FrankRuehl" w:hAnsi="FrankRuehl" w:cs="FrankRuehl" w:hint="cs"/>
          <w:sz w:val="28"/>
          <w:szCs w:val="28"/>
          <w:rtl/>
        </w:rPr>
        <w:t>ת</w:t>
      </w:r>
      <w:r w:rsidRPr="00665E27">
        <w:rPr>
          <w:rFonts w:ascii="FrankRuehl" w:hAnsi="FrankRuehl" w:cs="FrankRuehl"/>
          <w:sz w:val="28"/>
          <w:szCs w:val="28"/>
          <w:rtl/>
        </w:rPr>
        <w:t xml:space="preserve">בקש לקבוע מתחם הנע </w:t>
      </w:r>
      <w:r w:rsidRPr="00665E27">
        <w:rPr>
          <w:rFonts w:ascii="FrankRuehl" w:hAnsi="FrankRuehl" w:cs="FrankRuehl" w:hint="cs"/>
          <w:sz w:val="28"/>
          <w:szCs w:val="28"/>
          <w:rtl/>
        </w:rPr>
        <w:t xml:space="preserve">משלושה וחצי ועד שמונה שנות מאסר בפועל לצד מאסר על תנאי וקנס. היא תמכה את טיעוניה בפסיקה.  </w:t>
      </w:r>
    </w:p>
    <w:p w14:paraId="6C433C97" w14:textId="77777777" w:rsidR="00625D8C" w:rsidRPr="00665E27" w:rsidRDefault="00625D8C" w:rsidP="00625D8C">
      <w:pPr>
        <w:spacing w:line="360" w:lineRule="auto"/>
        <w:jc w:val="both"/>
        <w:rPr>
          <w:rFonts w:ascii="FrankRuehl" w:hAnsi="FrankRuehl" w:cs="FrankRuehl"/>
          <w:sz w:val="28"/>
          <w:szCs w:val="28"/>
          <w:rtl/>
        </w:rPr>
      </w:pPr>
    </w:p>
    <w:p w14:paraId="6A7869C2" w14:textId="77777777" w:rsidR="00625D8C" w:rsidRPr="00665E27"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sidRPr="00665E27">
        <w:rPr>
          <w:rFonts w:ascii="FrankRuehl" w:hAnsi="FrankRuehl" w:cs="FrankRuehl" w:hint="cs"/>
          <w:sz w:val="28"/>
          <w:szCs w:val="28"/>
          <w:rtl/>
        </w:rPr>
        <w:t xml:space="preserve">באשר לנאשם הצביעה ב"כ המאשימה על העדר עבר פלילי ועל הודאתו במיוחס לו. לצד זאת היא ציינה את האמור בתסקיר שירות המבחן באשר לצמצום חלקו של הנאשם על ידו וטשטוש אופי קשריו השוליים והעבריינים. היא עתרה למקם את עונשו של הנאשם בחלקם התחתון של מתחמי הענישה אך לא בתחתיתם, ולהשית על הנאשם עונש מאסר של 6 שנים לצד מאסר מותנה מרתיע וקנס. </w:t>
      </w:r>
    </w:p>
    <w:p w14:paraId="287E2FE3" w14:textId="77777777" w:rsidR="00625D8C" w:rsidRPr="00665E27" w:rsidRDefault="00625D8C" w:rsidP="00625D8C">
      <w:pPr>
        <w:spacing w:line="360" w:lineRule="auto"/>
        <w:jc w:val="both"/>
        <w:rPr>
          <w:rFonts w:ascii="FrankRuehl" w:hAnsi="FrankRuehl" w:cs="FrankRuehl"/>
          <w:sz w:val="28"/>
          <w:szCs w:val="28"/>
          <w:rtl/>
        </w:rPr>
      </w:pPr>
    </w:p>
    <w:p w14:paraId="0BFFED56"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t xml:space="preserve">מנגד </w:t>
      </w:r>
      <w:r w:rsidRPr="00665E27">
        <w:rPr>
          <w:rFonts w:ascii="FrankRuehl" w:hAnsi="FrankRuehl" w:cs="FrankRuehl" w:hint="cs"/>
          <w:sz w:val="28"/>
          <w:szCs w:val="28"/>
          <w:rtl/>
        </w:rPr>
        <w:t xml:space="preserve">ב"כ הנאשם </w:t>
      </w:r>
      <w:r>
        <w:rPr>
          <w:rFonts w:ascii="FrankRuehl" w:hAnsi="FrankRuehl" w:cs="FrankRuehl" w:hint="cs"/>
          <w:sz w:val="28"/>
          <w:szCs w:val="28"/>
          <w:rtl/>
        </w:rPr>
        <w:t xml:space="preserve">טען למתחם עונש אחד, שנע משנים עשרה ועד שלושים וששה חודשי מאסר, כשלדבריו, יש למקם את עונשו של הנאשם בתחתית המתחם. </w:t>
      </w:r>
    </w:p>
    <w:p w14:paraId="7440B5DC" w14:textId="77777777" w:rsidR="00625D8C" w:rsidRDefault="00625D8C" w:rsidP="00625D8C">
      <w:pPr>
        <w:spacing w:line="360" w:lineRule="auto"/>
        <w:jc w:val="both"/>
        <w:rPr>
          <w:rFonts w:ascii="FrankRuehl" w:hAnsi="FrankRuehl" w:cs="FrankRuehl"/>
          <w:sz w:val="28"/>
          <w:szCs w:val="28"/>
          <w:rtl/>
        </w:rPr>
      </w:pPr>
    </w:p>
    <w:p w14:paraId="718DACE8"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t xml:space="preserve">הוא ציין כי הנאשם צעיר, נעדר עבר פלילי, שעד למעצרו ניהל חיים נורמטיביים עבד ולמד. הוא הודה ונטל אחריות על מעשיו. הוא הצביע על האמור בתסקיר בדבריו פעילותו של הנאשם בכלא בתקופת מעצרו, כתומך עצירים באגף ייחודי למניעת אובדנות ולעצירים בעלי רקע נפשי מורכב. לדבריו, אמנם מדובר בעבירות חמורות, אך מדובר במעידה </w:t>
      </w:r>
      <w:r w:rsidRPr="00665E27">
        <w:rPr>
          <w:rFonts w:ascii="FrankRuehl" w:hAnsi="FrankRuehl" w:cs="FrankRuehl" w:hint="cs"/>
          <w:sz w:val="28"/>
          <w:szCs w:val="28"/>
          <w:rtl/>
        </w:rPr>
        <w:t xml:space="preserve">חד פעמית, </w:t>
      </w:r>
      <w:r>
        <w:rPr>
          <w:rFonts w:ascii="FrankRuehl" w:hAnsi="FrankRuehl" w:cs="FrankRuehl" w:hint="cs"/>
          <w:sz w:val="28"/>
          <w:szCs w:val="28"/>
          <w:rtl/>
        </w:rPr>
        <w:t xml:space="preserve">שברקע לה לא עומדת פעילות עבריינית כי אם ירי בחתונות, שהוא מנהג פסול, אך מקובל בחברה לה משתייך הנאשם.  </w:t>
      </w:r>
    </w:p>
    <w:p w14:paraId="632F4760" w14:textId="77777777" w:rsidR="00625D8C" w:rsidRDefault="00625D8C" w:rsidP="00625D8C">
      <w:pPr>
        <w:spacing w:line="360" w:lineRule="auto"/>
        <w:jc w:val="both"/>
        <w:rPr>
          <w:rFonts w:ascii="FrankRuehl" w:hAnsi="FrankRuehl" w:cs="FrankRuehl"/>
          <w:sz w:val="28"/>
          <w:szCs w:val="28"/>
          <w:rtl/>
        </w:rPr>
      </w:pPr>
    </w:p>
    <w:p w14:paraId="27D21AE6"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t xml:space="preserve">ב"כ הנאשם טען גם להקלה בעונש בשל הגנה מן הצדק. לדבריו, הנאשם </w:t>
      </w:r>
      <w:r w:rsidRPr="00665E27">
        <w:rPr>
          <w:rFonts w:ascii="FrankRuehl" w:hAnsi="FrankRuehl" w:cs="FrankRuehl" w:hint="cs"/>
          <w:sz w:val="28"/>
          <w:szCs w:val="28"/>
          <w:rtl/>
        </w:rPr>
        <w:t>נעצר ללא צו</w:t>
      </w:r>
      <w:r>
        <w:rPr>
          <w:rFonts w:ascii="FrankRuehl" w:hAnsi="FrankRuehl" w:cs="FrankRuehl" w:hint="cs"/>
          <w:sz w:val="28"/>
          <w:szCs w:val="28"/>
          <w:rtl/>
        </w:rPr>
        <w:t xml:space="preserve">, והוא נחקר חקירת שב"כ ללא הצדקה, לאחר שלא היה חשוד כלל בעבירות ביטחון. בשל חקירה זו והפחד של הנאשם שייחסו לו עבירות ביטחון , הוא שיתף פעולה ונתן מיוזמתו את סיסמת המכשיר הנייד שלו רק כדי להוכיח שהוא אינו קשור לעבירות ביטחון, והודה במעשים שהוא עשה אך גם כאלו שהוא לא עשה והופיעו בכתב האישום המקורי. כראייה הצביע על מחיקת מעשים שיוחסו לו בכתב האישום המקורי על סמך הודאת שווא שהנאשם נתן. עוד טען ב"כ הנאשם בהקשר זה, כי הנאשם מסר בחקירותיו </w:t>
      </w:r>
      <w:r w:rsidRPr="00665E27">
        <w:rPr>
          <w:rFonts w:ascii="FrankRuehl" w:hAnsi="FrankRuehl" w:cs="FrankRuehl" w:hint="cs"/>
          <w:sz w:val="28"/>
          <w:szCs w:val="28"/>
          <w:rtl/>
        </w:rPr>
        <w:t>שמות של אנשים רבים</w:t>
      </w:r>
      <w:r>
        <w:rPr>
          <w:rFonts w:ascii="FrankRuehl" w:hAnsi="FrankRuehl" w:cs="FrankRuehl" w:hint="cs"/>
          <w:sz w:val="28"/>
          <w:szCs w:val="28"/>
          <w:rtl/>
        </w:rPr>
        <w:t xml:space="preserve">, חלקם נזכרו בכתב האישום, אך רשויות החקירה לא פעלו כלל כנגד אותם אנשים ואף לא חקרו אותם. בהתייחס לאישום השלישי טען ב"כ הנאשם כי מדובר במטען חבלה חלוד, ואף שהנאשם הציע לחוקריו לבוא לראות זאת בעיניהם הם סרבו. </w:t>
      </w:r>
    </w:p>
    <w:p w14:paraId="425EA80C" w14:textId="77777777" w:rsidR="00625D8C" w:rsidRDefault="00625D8C" w:rsidP="00625D8C">
      <w:pPr>
        <w:spacing w:line="360" w:lineRule="auto"/>
        <w:jc w:val="both"/>
        <w:rPr>
          <w:rFonts w:ascii="FrankRuehl" w:hAnsi="FrankRuehl" w:cs="FrankRuehl"/>
          <w:sz w:val="28"/>
          <w:szCs w:val="28"/>
          <w:rtl/>
        </w:rPr>
      </w:pPr>
    </w:p>
    <w:p w14:paraId="44619A91"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t>בתשובה לכך אישרה המאשימה כי המעורבים הנוספים שצוינו בכתב האישום אכן לא נחקרו. היא הסבירה זאת בכך שהם לא אותרו. היא הטעימה כי הנאשם היה מעורב בשלושה אירועים שונים בעוד שכל אחד מהמעורבים האחרים היו מעורבים רק באירוע אחד. על כן, בשים לב לאמצעיה המוגבלים של המאשימה ובייחוד נוכח מבצע "שומר החומות" שהתנהל באותה עת, אין לראות בהתנהלות זו של המאשימה אכיפה בררנית.</w:t>
      </w:r>
    </w:p>
    <w:p w14:paraId="6F738E14" w14:textId="77777777" w:rsidR="00625D8C" w:rsidRPr="00CC6427" w:rsidRDefault="00625D8C" w:rsidP="00625D8C">
      <w:pPr>
        <w:spacing w:line="360" w:lineRule="auto"/>
        <w:jc w:val="both"/>
        <w:rPr>
          <w:rFonts w:ascii="FrankRuehl" w:hAnsi="FrankRuehl" w:cs="FrankRuehl"/>
          <w:sz w:val="28"/>
          <w:szCs w:val="28"/>
          <w:rtl/>
        </w:rPr>
      </w:pPr>
    </w:p>
    <w:p w14:paraId="3F1E9A90" w14:textId="77777777" w:rsidR="00625D8C" w:rsidRPr="00CC6427"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r>
      <w:r w:rsidRPr="00CC6427">
        <w:rPr>
          <w:rFonts w:ascii="FrankRuehl" w:hAnsi="FrankRuehl" w:cs="FrankRuehl" w:hint="cs"/>
          <w:sz w:val="28"/>
          <w:szCs w:val="28"/>
          <w:rtl/>
        </w:rPr>
        <w:t>הנאשם הביע חרטה על מעשיו, התנצל עליהם וביקש את התחשבות בית המשפט.</w:t>
      </w:r>
    </w:p>
    <w:p w14:paraId="141C658D" w14:textId="77777777" w:rsidR="00625D8C" w:rsidRDefault="00625D8C" w:rsidP="00625D8C">
      <w:pPr>
        <w:spacing w:line="360" w:lineRule="auto"/>
        <w:jc w:val="both"/>
        <w:rPr>
          <w:rFonts w:ascii="FrankRuehl" w:hAnsi="FrankRuehl" w:cs="FrankRuehl"/>
          <w:sz w:val="28"/>
          <w:szCs w:val="28"/>
          <w:rtl/>
        </w:rPr>
      </w:pPr>
    </w:p>
    <w:p w14:paraId="20708088" w14:textId="77777777" w:rsidR="00625D8C" w:rsidRPr="009A2028" w:rsidRDefault="00625D8C" w:rsidP="00625D8C">
      <w:pPr>
        <w:spacing w:line="360" w:lineRule="auto"/>
        <w:jc w:val="both"/>
        <w:rPr>
          <w:rFonts w:ascii="FrankRuehl" w:hAnsi="FrankRuehl" w:cs="FrankRuehl"/>
          <w:b/>
          <w:bCs/>
          <w:sz w:val="28"/>
          <w:szCs w:val="28"/>
          <w:u w:val="single"/>
          <w:rtl/>
        </w:rPr>
      </w:pPr>
      <w:r w:rsidRPr="009A2028">
        <w:rPr>
          <w:rFonts w:ascii="FrankRuehl" w:hAnsi="FrankRuehl" w:cs="FrankRuehl" w:hint="cs"/>
          <w:b/>
          <w:bCs/>
          <w:sz w:val="28"/>
          <w:szCs w:val="28"/>
          <w:u w:val="single"/>
          <w:rtl/>
        </w:rPr>
        <w:t>דיון והכרעה</w:t>
      </w:r>
    </w:p>
    <w:p w14:paraId="16FF9EA0"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r>
      <w:r w:rsidRPr="0010482D">
        <w:rPr>
          <w:rFonts w:ascii="FrankRuehl" w:hAnsi="FrankRuehl" w:cs="FrankRuehl"/>
          <w:sz w:val="28"/>
          <w:szCs w:val="28"/>
          <w:rtl/>
        </w:rPr>
        <w:t xml:space="preserve">הערכים המוגנים בעבירות נשק הם שלמות הגוף וחיי אדם, שלום הציבור וביטחונו. למותר להכביר מילים באשר לסכנה הנשקפת מהחזקה ונשיאה של כלי נשק על ידי מי שאינם מורשים לכך, שלא למטרות ראויות, כגון הגנה על בטחון המדינה או על שלום אזרחיה. מדובר בכלי שהשימוש העיקרי בו הוא לצורך המתת אדם, גרימת פגיעה גופנית חמורה לאדם או איום בפגיעה כזו. </w:t>
      </w:r>
      <w:r w:rsidRPr="0010482D">
        <w:rPr>
          <w:rFonts w:ascii="FrankRuehl" w:hAnsi="FrankRuehl" w:cs="FrankRuehl" w:hint="cs"/>
          <w:sz w:val="28"/>
          <w:szCs w:val="28"/>
          <w:rtl/>
        </w:rPr>
        <w:t>הסכנה אינה פחותה כאשר השימוש נעשה במסגרת חתונה. אדרבה, לעיתים הוא חמור יותר, נוכח המשתתפים הרבים ונוכח המיקום שהוא בדרך כלל שטח בנוי וצפוף, כבמקרה זה (</w:t>
      </w:r>
      <w:r>
        <w:rPr>
          <w:rFonts w:ascii="FrankRuehl" w:hAnsi="FrankRuehl" w:cs="FrankRuehl" w:hint="cs"/>
          <w:sz w:val="28"/>
          <w:szCs w:val="28"/>
          <w:rtl/>
        </w:rPr>
        <w:t xml:space="preserve">ראו: </w:t>
      </w:r>
      <w:hyperlink r:id="rId18" w:history="1">
        <w:r w:rsidR="001A46EE" w:rsidRPr="001A46EE">
          <w:rPr>
            <w:rFonts w:ascii="FrankRuehl" w:hAnsi="FrankRuehl" w:cs="FrankRuehl"/>
            <w:color w:val="0000FF"/>
            <w:sz w:val="28"/>
            <w:szCs w:val="28"/>
            <w:u w:val="single"/>
            <w:rtl/>
          </w:rPr>
          <w:t>ע"פ 4456/21</w:t>
        </w:r>
      </w:hyperlink>
      <w:r>
        <w:rPr>
          <w:rFonts w:ascii="FrankRuehl" w:hAnsi="FrankRuehl" w:cs="FrankRuehl" w:hint="cs"/>
          <w:color w:val="000000"/>
          <w:sz w:val="28"/>
          <w:szCs w:val="28"/>
          <w:rtl/>
        </w:rPr>
        <w:t xml:space="preserve"> </w:t>
      </w:r>
      <w:r w:rsidRPr="00776DA4">
        <w:rPr>
          <w:rFonts w:ascii="FrankRuehl" w:hAnsi="FrankRuehl" w:cs="FrankRuehl" w:hint="cs"/>
          <w:b/>
          <w:bCs/>
          <w:color w:val="000000"/>
          <w:sz w:val="28"/>
          <w:szCs w:val="28"/>
          <w:rtl/>
        </w:rPr>
        <w:t>מדינת ישראל נ' אבו עבסה</w:t>
      </w:r>
      <w:r>
        <w:rPr>
          <w:rFonts w:ascii="FrankRuehl" w:hAnsi="FrankRuehl" w:cs="FrankRuehl" w:hint="cs"/>
          <w:color w:val="000000"/>
          <w:sz w:val="28"/>
          <w:szCs w:val="28"/>
          <w:rtl/>
        </w:rPr>
        <w:t xml:space="preserve"> (פורסם בנבו, 23.01.22);</w:t>
      </w:r>
      <w:r>
        <w:rPr>
          <w:rFonts w:ascii="FrankRuehl" w:hAnsi="FrankRuehl" w:cs="FrankRuehl" w:hint="cs"/>
          <w:sz w:val="28"/>
          <w:szCs w:val="28"/>
          <w:rtl/>
        </w:rPr>
        <w:t xml:space="preserve"> </w:t>
      </w:r>
      <w:hyperlink r:id="rId19" w:history="1">
        <w:r w:rsidR="001A46EE" w:rsidRPr="001A46EE">
          <w:rPr>
            <w:rFonts w:ascii="FrankRuehl" w:hAnsi="FrankRuehl" w:cs="FrankRuehl"/>
            <w:color w:val="0000FF"/>
            <w:sz w:val="28"/>
            <w:szCs w:val="28"/>
            <w:u w:val="single"/>
            <w:rtl/>
          </w:rPr>
          <w:t>ע"פ 7241/12</w:t>
        </w:r>
      </w:hyperlink>
      <w:r>
        <w:rPr>
          <w:rFonts w:ascii="FrankRuehl" w:hAnsi="FrankRuehl" w:cs="FrankRuehl" w:hint="cs"/>
          <w:sz w:val="28"/>
          <w:szCs w:val="28"/>
          <w:rtl/>
        </w:rPr>
        <w:t xml:space="preserve"> </w:t>
      </w:r>
      <w:r w:rsidRPr="000D1873">
        <w:rPr>
          <w:rFonts w:ascii="FrankRuehl" w:hAnsi="FrankRuehl" w:cs="FrankRuehl" w:hint="cs"/>
          <w:b/>
          <w:bCs/>
          <w:sz w:val="28"/>
          <w:szCs w:val="28"/>
          <w:rtl/>
        </w:rPr>
        <w:t xml:space="preserve">טאטור נ' מדינת ישראל </w:t>
      </w:r>
      <w:r>
        <w:rPr>
          <w:rFonts w:ascii="FrankRuehl" w:hAnsi="FrankRuehl" w:cs="FrankRuehl" w:hint="cs"/>
          <w:sz w:val="28"/>
          <w:szCs w:val="28"/>
          <w:rtl/>
        </w:rPr>
        <w:t>(פורסם בנבו, 12.02.13)</w:t>
      </w:r>
      <w:r w:rsidRPr="0010482D">
        <w:rPr>
          <w:rFonts w:ascii="FrankRuehl" w:hAnsi="FrankRuehl" w:cs="FrankRuehl" w:hint="cs"/>
          <w:sz w:val="28"/>
          <w:szCs w:val="28"/>
          <w:rtl/>
        </w:rPr>
        <w:t xml:space="preserve">). מה גם, שלא פעם נשק שנעשה בו שימוש מעין זה מוצא את דרכו לידיים עברייניות שעושות בו שימוש פלילי ואף בטחוני. </w:t>
      </w:r>
    </w:p>
    <w:p w14:paraId="677522F5" w14:textId="77777777" w:rsidR="00625D8C" w:rsidRDefault="00625D8C" w:rsidP="00625D8C">
      <w:pPr>
        <w:spacing w:line="360" w:lineRule="auto"/>
        <w:jc w:val="both"/>
        <w:rPr>
          <w:rFonts w:ascii="FrankRuehl" w:hAnsi="FrankRuehl" w:cs="FrankRuehl"/>
          <w:sz w:val="28"/>
          <w:szCs w:val="28"/>
          <w:rtl/>
        </w:rPr>
      </w:pPr>
    </w:p>
    <w:p w14:paraId="13CB121C" w14:textId="77777777" w:rsidR="00625D8C" w:rsidRDefault="00625D8C" w:rsidP="00625D8C">
      <w:pPr>
        <w:spacing w:line="360" w:lineRule="auto"/>
        <w:jc w:val="both"/>
        <w:rPr>
          <w:rFonts w:ascii="FrankRuehl" w:hAnsi="FrankRuehl" w:cs="FrankRuehl"/>
          <w:color w:val="000000"/>
          <w:sz w:val="28"/>
          <w:szCs w:val="28"/>
          <w:rtl/>
        </w:rPr>
      </w:pPr>
      <w:r>
        <w:rPr>
          <w:rFonts w:ascii="FrankRuehl" w:hAnsi="FrankRuehl" w:cs="FrankRuehl" w:hint="cs"/>
          <w:sz w:val="28"/>
          <w:szCs w:val="28"/>
          <w:rtl/>
        </w:rPr>
        <w:t>17.</w:t>
      </w:r>
      <w:r>
        <w:rPr>
          <w:rFonts w:ascii="FrankRuehl" w:hAnsi="FrankRuehl" w:cs="FrankRuehl" w:hint="cs"/>
          <w:sz w:val="28"/>
          <w:szCs w:val="28"/>
          <w:rtl/>
        </w:rPr>
        <w:tab/>
      </w:r>
      <w:r w:rsidRPr="0010482D">
        <w:rPr>
          <w:rFonts w:ascii="FrankRuehl" w:hAnsi="FrankRuehl" w:cs="FrankRuehl"/>
          <w:sz w:val="28"/>
          <w:szCs w:val="28"/>
          <w:rtl/>
        </w:rPr>
        <w:t>פסיקה עקבית</w:t>
      </w:r>
      <w:r w:rsidR="001A46EE">
        <w:rPr>
          <w:rFonts w:ascii="FrankRuehl" w:hAnsi="FrankRuehl" w:cs="FrankRuehl"/>
          <w:sz w:val="28"/>
          <w:szCs w:val="28"/>
          <w:rtl/>
        </w:rPr>
        <w:t xml:space="preserve"> </w:t>
      </w:r>
      <w:r w:rsidRPr="0010482D">
        <w:rPr>
          <w:rFonts w:ascii="FrankRuehl" w:hAnsi="FrankRuehl" w:cs="FrankRuehl"/>
          <w:sz w:val="28"/>
          <w:szCs w:val="28"/>
          <w:rtl/>
        </w:rPr>
        <w:t>עומדת על כך שעבירות נשק לסוגיהן הן "מכת מדינה" המשקפת סכנה חמורה ומיידית לביטחון הציבור</w:t>
      </w:r>
      <w:r w:rsidRPr="00CC6427">
        <w:rPr>
          <w:rFonts w:ascii="FrankRuehl" w:hAnsi="FrankRuehl" w:cs="FrankRuehl"/>
          <w:color w:val="000000"/>
          <w:sz w:val="28"/>
          <w:szCs w:val="28"/>
          <w:rtl/>
        </w:rPr>
        <w:t xml:space="preserve"> ולשלומו ועל הצורך בענישה מחמירה בעבירות אלו, ובהעלאת רף הענישה בעבירות הנשק לסוגיהן (ראו אך לדוגמה:</w:t>
      </w:r>
      <w:r>
        <w:rPr>
          <w:rFonts w:ascii="FrankRuehl" w:hAnsi="FrankRuehl" w:cs="FrankRuehl" w:hint="cs"/>
          <w:color w:val="000000"/>
          <w:sz w:val="28"/>
          <w:szCs w:val="28"/>
          <w:rtl/>
        </w:rPr>
        <w:t xml:space="preserve"> </w:t>
      </w:r>
      <w:hyperlink r:id="rId20" w:history="1">
        <w:r w:rsidR="001A46EE" w:rsidRPr="001A46EE">
          <w:rPr>
            <w:rFonts w:ascii="FrankRuehl" w:hAnsi="FrankRuehl" w:cs="FrankRuehl"/>
            <w:color w:val="0000FF"/>
            <w:sz w:val="28"/>
            <w:szCs w:val="28"/>
            <w:u w:val="single"/>
            <w:rtl/>
          </w:rPr>
          <w:t>ע"פ 2761/21</w:t>
        </w:r>
      </w:hyperlink>
      <w:r w:rsidR="001A46EE">
        <w:rPr>
          <w:rFonts w:ascii="FrankRuehl" w:hAnsi="FrankRuehl" w:cs="FrankRuehl"/>
          <w:color w:val="000000"/>
          <w:sz w:val="28"/>
          <w:szCs w:val="28"/>
          <w:rtl/>
        </w:rPr>
        <w:t xml:space="preserve"> </w:t>
      </w:r>
      <w:r w:rsidRPr="00CC6427">
        <w:rPr>
          <w:rFonts w:ascii="FrankRuehl" w:hAnsi="FrankRuehl" w:cs="FrankRuehl"/>
          <w:b/>
          <w:bCs/>
          <w:color w:val="000000"/>
          <w:sz w:val="28"/>
          <w:szCs w:val="28"/>
          <w:rtl/>
        </w:rPr>
        <w:t>עואלי נ' מדינת ישראל</w:t>
      </w:r>
      <w:r w:rsidR="001A46EE">
        <w:rPr>
          <w:rFonts w:ascii="FrankRuehl" w:hAnsi="FrankRuehl" w:cs="FrankRuehl"/>
          <w:color w:val="000000"/>
          <w:sz w:val="28"/>
          <w:szCs w:val="28"/>
          <w:rtl/>
        </w:rPr>
        <w:t xml:space="preserve"> </w:t>
      </w:r>
      <w:r w:rsidRPr="00CC6427">
        <w:rPr>
          <w:rFonts w:ascii="FrankRuehl" w:hAnsi="FrankRuehl" w:cs="FrankRuehl"/>
          <w:color w:val="000000"/>
          <w:sz w:val="28"/>
          <w:szCs w:val="28"/>
          <w:rtl/>
        </w:rPr>
        <w:t>(פורסם בנבו, 22.08.21);</w:t>
      </w:r>
      <w:r>
        <w:rPr>
          <w:rFonts w:ascii="FrankRuehl" w:hAnsi="FrankRuehl" w:cs="FrankRuehl" w:hint="cs"/>
          <w:color w:val="000000"/>
          <w:sz w:val="28"/>
          <w:szCs w:val="28"/>
          <w:rtl/>
        </w:rPr>
        <w:t xml:space="preserve"> </w:t>
      </w:r>
      <w:hyperlink r:id="rId21" w:history="1">
        <w:r w:rsidR="001A46EE" w:rsidRPr="001A46EE">
          <w:rPr>
            <w:rFonts w:ascii="FrankRuehl" w:hAnsi="FrankRuehl" w:cs="FrankRuehl"/>
            <w:color w:val="0000FF"/>
            <w:sz w:val="28"/>
            <w:szCs w:val="28"/>
            <w:u w:val="single"/>
            <w:rtl/>
          </w:rPr>
          <w:t>ע"פ 4207/21</w:t>
        </w:r>
      </w:hyperlink>
      <w:r w:rsidR="001A46EE">
        <w:rPr>
          <w:rFonts w:ascii="FrankRuehl" w:hAnsi="FrankRuehl" w:cs="FrankRuehl"/>
          <w:color w:val="000000"/>
          <w:sz w:val="28"/>
          <w:szCs w:val="28"/>
          <w:rtl/>
        </w:rPr>
        <w:t xml:space="preserve"> </w:t>
      </w:r>
      <w:r w:rsidRPr="00CC6427">
        <w:rPr>
          <w:rFonts w:ascii="FrankRuehl" w:hAnsi="FrankRuehl" w:cs="FrankRuehl"/>
          <w:b/>
          <w:bCs/>
          <w:color w:val="000000"/>
          <w:sz w:val="28"/>
          <w:szCs w:val="28"/>
          <w:rtl/>
        </w:rPr>
        <w:t>עמאר בעראני נורי נ' מדינת ישראל</w:t>
      </w:r>
      <w:r w:rsidR="001A46EE">
        <w:rPr>
          <w:rFonts w:ascii="FrankRuehl" w:hAnsi="FrankRuehl" w:cs="FrankRuehl"/>
          <w:color w:val="000000"/>
          <w:sz w:val="28"/>
          <w:szCs w:val="28"/>
          <w:rtl/>
        </w:rPr>
        <w:t xml:space="preserve"> </w:t>
      </w:r>
      <w:r w:rsidRPr="00CC6427">
        <w:rPr>
          <w:rFonts w:ascii="FrankRuehl" w:hAnsi="FrankRuehl" w:cs="FrankRuehl"/>
          <w:color w:val="000000"/>
          <w:sz w:val="28"/>
          <w:szCs w:val="28"/>
          <w:rtl/>
        </w:rPr>
        <w:t>(פורסם בנבו, 28.07.21);</w:t>
      </w:r>
      <w:r>
        <w:rPr>
          <w:rFonts w:ascii="FrankRuehl" w:hAnsi="FrankRuehl" w:cs="FrankRuehl" w:hint="cs"/>
          <w:color w:val="000000"/>
          <w:sz w:val="28"/>
          <w:szCs w:val="28"/>
          <w:rtl/>
        </w:rPr>
        <w:t xml:space="preserve"> </w:t>
      </w:r>
      <w:hyperlink r:id="rId22" w:history="1">
        <w:r w:rsidR="001A46EE" w:rsidRPr="001A46EE">
          <w:rPr>
            <w:rFonts w:ascii="FrankRuehl" w:hAnsi="FrankRuehl" w:cs="FrankRuehl"/>
            <w:color w:val="0000FF"/>
            <w:sz w:val="28"/>
            <w:szCs w:val="28"/>
            <w:u w:val="single"/>
            <w:rtl/>
          </w:rPr>
          <w:t>ע"פ 3793/21</w:t>
        </w:r>
      </w:hyperlink>
      <w:r w:rsidR="001A46EE">
        <w:rPr>
          <w:rFonts w:ascii="FrankRuehl" w:hAnsi="FrankRuehl" w:cs="FrankRuehl"/>
          <w:color w:val="000000"/>
          <w:sz w:val="28"/>
          <w:szCs w:val="28"/>
          <w:rtl/>
        </w:rPr>
        <w:t xml:space="preserve"> </w:t>
      </w:r>
      <w:r w:rsidRPr="00CC6427">
        <w:rPr>
          <w:rFonts w:ascii="FrankRuehl" w:hAnsi="FrankRuehl" w:cs="FrankRuehl"/>
          <w:b/>
          <w:bCs/>
          <w:color w:val="000000"/>
          <w:sz w:val="28"/>
          <w:szCs w:val="28"/>
          <w:rtl/>
        </w:rPr>
        <w:t>מורייחי נ' מדינת ישראל</w:t>
      </w:r>
      <w:r w:rsidR="001A46EE">
        <w:rPr>
          <w:rFonts w:ascii="FrankRuehl" w:hAnsi="FrankRuehl" w:cs="FrankRuehl"/>
          <w:color w:val="000000"/>
          <w:sz w:val="28"/>
          <w:szCs w:val="28"/>
          <w:rtl/>
        </w:rPr>
        <w:t xml:space="preserve"> </w:t>
      </w:r>
      <w:r w:rsidRPr="00CC6427">
        <w:rPr>
          <w:rFonts w:ascii="FrankRuehl" w:hAnsi="FrankRuehl" w:cs="FrankRuehl"/>
          <w:color w:val="000000"/>
          <w:sz w:val="28"/>
          <w:szCs w:val="28"/>
          <w:rtl/>
        </w:rPr>
        <w:t>(פורסם בנבו, 23.11.20)). בית המשפט אף קבע כי החמרת הענישה בגין עבירות אלו היא אינטרס ציבורי מהמעלה הראשונה ותנאי הכרחי</w:t>
      </w:r>
      <w:r>
        <w:rPr>
          <w:rFonts w:ascii="FrankRuehl" w:hAnsi="FrankRuehl" w:cs="FrankRuehl" w:hint="cs"/>
          <w:color w:val="000000"/>
          <w:sz w:val="28"/>
          <w:szCs w:val="28"/>
          <w:rtl/>
        </w:rPr>
        <w:t xml:space="preserve"> </w:t>
      </w:r>
      <w:r w:rsidRPr="00CC6427">
        <w:rPr>
          <w:rFonts w:ascii="FrankRuehl" w:hAnsi="FrankRuehl" w:cs="FrankRuehl"/>
          <w:color w:val="000000"/>
          <w:sz w:val="28"/>
          <w:szCs w:val="28"/>
          <w:rtl/>
        </w:rPr>
        <w:t>להרתעת הציבור מפני ביצוען (ראו:</w:t>
      </w:r>
      <w:r w:rsidR="001A46EE">
        <w:rPr>
          <w:rFonts w:ascii="FrankRuehl" w:hAnsi="FrankRuehl" w:cs="FrankRuehl"/>
          <w:color w:val="000000"/>
          <w:sz w:val="28"/>
          <w:szCs w:val="28"/>
          <w:rtl/>
        </w:rPr>
        <w:t xml:space="preserve"> </w:t>
      </w:r>
      <w:hyperlink r:id="rId23" w:history="1">
        <w:r w:rsidR="001A46EE" w:rsidRPr="001A46EE">
          <w:rPr>
            <w:rFonts w:ascii="FrankRuehl" w:hAnsi="FrankRuehl" w:cs="FrankRuehl"/>
            <w:color w:val="0000FF"/>
            <w:sz w:val="28"/>
            <w:szCs w:val="28"/>
            <w:u w:val="single"/>
            <w:rtl/>
          </w:rPr>
          <w:t>ע"פ 6068/21</w:t>
        </w:r>
      </w:hyperlink>
      <w:r>
        <w:rPr>
          <w:rFonts w:ascii="FrankRuehl" w:hAnsi="FrankRuehl" w:cs="FrankRuehl" w:hint="cs"/>
          <w:b/>
          <w:bCs/>
          <w:color w:val="000000"/>
          <w:sz w:val="28"/>
          <w:szCs w:val="28"/>
          <w:rtl/>
        </w:rPr>
        <w:t xml:space="preserve"> </w:t>
      </w:r>
      <w:r w:rsidRPr="00CC6427">
        <w:rPr>
          <w:rFonts w:ascii="FrankRuehl" w:hAnsi="FrankRuehl" w:cs="FrankRuehl"/>
          <w:b/>
          <w:bCs/>
          <w:color w:val="000000"/>
          <w:sz w:val="28"/>
          <w:szCs w:val="28"/>
          <w:rtl/>
        </w:rPr>
        <w:t>מדינת ישראל נ' פקיה</w:t>
      </w:r>
      <w:r w:rsidR="001A46EE">
        <w:rPr>
          <w:rFonts w:ascii="FrankRuehl" w:hAnsi="FrankRuehl" w:cs="FrankRuehl"/>
          <w:color w:val="000000"/>
          <w:sz w:val="28"/>
          <w:szCs w:val="28"/>
          <w:rtl/>
        </w:rPr>
        <w:t xml:space="preserve"> </w:t>
      </w:r>
      <w:r w:rsidRPr="00CC6427">
        <w:rPr>
          <w:rFonts w:ascii="FrankRuehl" w:hAnsi="FrankRuehl" w:cs="FrankRuehl"/>
          <w:color w:val="000000"/>
          <w:sz w:val="28"/>
          <w:szCs w:val="28"/>
          <w:rtl/>
        </w:rPr>
        <w:t>(פורסם בנבו, 19.12.21);</w:t>
      </w:r>
      <w:r>
        <w:rPr>
          <w:rFonts w:ascii="FrankRuehl" w:hAnsi="FrankRuehl" w:cs="FrankRuehl" w:hint="cs"/>
          <w:color w:val="000000"/>
          <w:sz w:val="28"/>
          <w:szCs w:val="28"/>
          <w:rtl/>
        </w:rPr>
        <w:t xml:space="preserve"> </w:t>
      </w:r>
      <w:hyperlink r:id="rId24" w:history="1">
        <w:r w:rsidR="001A46EE" w:rsidRPr="001A46EE">
          <w:rPr>
            <w:rFonts w:ascii="FrankRuehl" w:hAnsi="FrankRuehl" w:cs="FrankRuehl"/>
            <w:color w:val="0000FF"/>
            <w:sz w:val="28"/>
            <w:szCs w:val="28"/>
            <w:u w:val="single"/>
            <w:rtl/>
          </w:rPr>
          <w:t>ע"פ 4406/19</w:t>
        </w:r>
      </w:hyperlink>
      <w:r w:rsidR="001A46EE">
        <w:rPr>
          <w:rFonts w:ascii="FrankRuehl" w:hAnsi="FrankRuehl" w:cs="FrankRuehl"/>
          <w:color w:val="000000"/>
          <w:sz w:val="28"/>
          <w:szCs w:val="28"/>
          <w:rtl/>
        </w:rPr>
        <w:t xml:space="preserve"> </w:t>
      </w:r>
      <w:r w:rsidRPr="00CC6427">
        <w:rPr>
          <w:rFonts w:ascii="FrankRuehl" w:hAnsi="FrankRuehl" w:cs="FrankRuehl"/>
          <w:b/>
          <w:bCs/>
          <w:color w:val="000000"/>
          <w:sz w:val="28"/>
          <w:szCs w:val="28"/>
          <w:rtl/>
        </w:rPr>
        <w:t>מדינת ישראל נ' סובח</w:t>
      </w:r>
      <w:r w:rsidR="001A46EE">
        <w:rPr>
          <w:rFonts w:ascii="FrankRuehl" w:hAnsi="FrankRuehl" w:cs="FrankRuehl"/>
          <w:color w:val="000000"/>
          <w:sz w:val="28"/>
          <w:szCs w:val="28"/>
          <w:rtl/>
        </w:rPr>
        <w:t xml:space="preserve"> </w:t>
      </w:r>
      <w:r w:rsidRPr="00CC6427">
        <w:rPr>
          <w:rFonts w:ascii="FrankRuehl" w:hAnsi="FrankRuehl" w:cs="FrankRuehl"/>
          <w:color w:val="000000"/>
          <w:sz w:val="28"/>
          <w:szCs w:val="28"/>
          <w:rtl/>
        </w:rPr>
        <w:t xml:space="preserve">(פורסם בנבו, 5.11.19)). </w:t>
      </w:r>
    </w:p>
    <w:p w14:paraId="70826E5F" w14:textId="77777777" w:rsidR="00625D8C" w:rsidRDefault="00625D8C" w:rsidP="00625D8C">
      <w:pPr>
        <w:spacing w:after="160" w:line="360" w:lineRule="auto"/>
        <w:jc w:val="both"/>
        <w:rPr>
          <w:rFonts w:ascii="FrankRuehl" w:hAnsi="FrankRuehl" w:cs="FrankRuehl"/>
          <w:color w:val="000000"/>
          <w:sz w:val="28"/>
          <w:szCs w:val="28"/>
          <w:rtl/>
        </w:rPr>
      </w:pPr>
    </w:p>
    <w:p w14:paraId="56D1272D" w14:textId="77777777" w:rsidR="00625D8C" w:rsidRDefault="00625D8C" w:rsidP="00625D8C">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18.</w:t>
      </w:r>
      <w:r>
        <w:rPr>
          <w:rFonts w:ascii="FrankRuehl" w:hAnsi="FrankRuehl" w:cs="FrankRuehl" w:hint="cs"/>
          <w:color w:val="000000"/>
          <w:sz w:val="28"/>
          <w:szCs w:val="28"/>
          <w:rtl/>
        </w:rPr>
        <w:tab/>
      </w:r>
      <w:r w:rsidRPr="00CC6427">
        <w:rPr>
          <w:rFonts w:ascii="FrankRuehl" w:hAnsi="FrankRuehl" w:cs="FrankRuehl"/>
          <w:color w:val="000000"/>
          <w:sz w:val="28"/>
          <w:szCs w:val="28"/>
          <w:rtl/>
        </w:rPr>
        <w:t>לאחרונה, אף ציין בית המשפט העליון כי מצויים אנו לעת הזאת במצב חירום של ממש בעניין עבירות נשק</w:t>
      </w:r>
      <w:r>
        <w:rPr>
          <w:rFonts w:ascii="FrankRuehl" w:hAnsi="FrankRuehl" w:cs="FrankRuehl" w:hint="cs"/>
          <w:color w:val="000000"/>
          <w:sz w:val="28"/>
          <w:szCs w:val="28"/>
          <w:rtl/>
        </w:rPr>
        <w:t xml:space="preserve"> (</w:t>
      </w:r>
      <w:hyperlink r:id="rId25" w:history="1">
        <w:r w:rsidR="001A46EE" w:rsidRPr="001A46EE">
          <w:rPr>
            <w:rFonts w:ascii="FrankRuehl" w:hAnsi="FrankRuehl" w:cs="FrankRuehl"/>
            <w:color w:val="0000FF"/>
            <w:sz w:val="28"/>
            <w:szCs w:val="28"/>
            <w:u w:val="single"/>
            <w:rtl/>
          </w:rPr>
          <w:t>ע"פ 2251/21</w:t>
        </w:r>
      </w:hyperlink>
      <w:r w:rsidR="001A46EE">
        <w:rPr>
          <w:rFonts w:ascii="FrankRuehl" w:hAnsi="FrankRuehl" w:cs="FrankRuehl"/>
          <w:color w:val="000000"/>
          <w:sz w:val="28"/>
          <w:szCs w:val="28"/>
          <w:rtl/>
        </w:rPr>
        <w:t xml:space="preserve"> </w:t>
      </w:r>
      <w:r w:rsidRPr="00CC6427">
        <w:rPr>
          <w:rFonts w:ascii="FrankRuehl" w:hAnsi="FrankRuehl" w:cs="FrankRuehl"/>
          <w:b/>
          <w:bCs/>
          <w:color w:val="000000"/>
          <w:sz w:val="28"/>
          <w:szCs w:val="28"/>
          <w:rtl/>
        </w:rPr>
        <w:t>אבו עראר נ' מדינת ישראל</w:t>
      </w:r>
      <w:r w:rsidR="001A46EE">
        <w:rPr>
          <w:rFonts w:ascii="FrankRuehl" w:hAnsi="FrankRuehl" w:cs="FrankRuehl"/>
          <w:color w:val="000000"/>
          <w:sz w:val="28"/>
          <w:szCs w:val="28"/>
          <w:rtl/>
        </w:rPr>
        <w:t xml:space="preserve"> </w:t>
      </w:r>
      <w:r w:rsidRPr="00CC6427">
        <w:rPr>
          <w:rFonts w:ascii="FrankRuehl" w:hAnsi="FrankRuehl" w:cs="FrankRuehl"/>
          <w:color w:val="000000"/>
          <w:sz w:val="28"/>
          <w:szCs w:val="28"/>
          <w:rtl/>
        </w:rPr>
        <w:t>(פורסם בנבו, 15.12.21)). הצורך בענישה מחמירה בעבירות נשק הוא חיוני גם בעבירות של החזקת נשק שלא כדין שלא נלוו להן עבירות נוספות (ראו:</w:t>
      </w:r>
      <w:r>
        <w:rPr>
          <w:rFonts w:ascii="FrankRuehl" w:hAnsi="FrankRuehl" w:cs="FrankRuehl" w:hint="cs"/>
          <w:color w:val="000000"/>
          <w:sz w:val="28"/>
          <w:szCs w:val="28"/>
          <w:rtl/>
        </w:rPr>
        <w:t xml:space="preserve"> </w:t>
      </w:r>
      <w:hyperlink r:id="rId26" w:history="1">
        <w:r w:rsidR="001A46EE" w:rsidRPr="001A46EE">
          <w:rPr>
            <w:rFonts w:ascii="FrankRuehl" w:hAnsi="FrankRuehl" w:cs="FrankRuehl"/>
            <w:color w:val="0000FF"/>
            <w:sz w:val="28"/>
            <w:szCs w:val="28"/>
            <w:u w:val="single"/>
            <w:rtl/>
          </w:rPr>
          <w:t>ע"פ 4456/21</w:t>
        </w:r>
      </w:hyperlink>
      <w:r>
        <w:rPr>
          <w:rFonts w:ascii="FrankRuehl" w:hAnsi="FrankRuehl" w:cs="FrankRuehl" w:hint="cs"/>
          <w:color w:val="000000"/>
          <w:sz w:val="28"/>
          <w:szCs w:val="28"/>
          <w:rtl/>
        </w:rPr>
        <w:t xml:space="preserve"> בעניין </w:t>
      </w:r>
      <w:r w:rsidRPr="00776DA4">
        <w:rPr>
          <w:rFonts w:ascii="FrankRuehl" w:hAnsi="FrankRuehl" w:cs="FrankRuehl" w:hint="cs"/>
          <w:b/>
          <w:bCs/>
          <w:color w:val="000000"/>
          <w:sz w:val="28"/>
          <w:szCs w:val="28"/>
          <w:rtl/>
        </w:rPr>
        <w:t>אבו עבסה</w:t>
      </w:r>
      <w:r>
        <w:rPr>
          <w:rFonts w:ascii="FrankRuehl" w:hAnsi="FrankRuehl" w:cs="FrankRuehl" w:hint="cs"/>
          <w:color w:val="000000"/>
          <w:sz w:val="28"/>
          <w:szCs w:val="28"/>
          <w:rtl/>
        </w:rPr>
        <w:t xml:space="preserve">); </w:t>
      </w:r>
      <w:hyperlink r:id="rId27" w:history="1">
        <w:r w:rsidR="001A46EE" w:rsidRPr="001A46EE">
          <w:rPr>
            <w:rFonts w:ascii="FrankRuehl" w:hAnsi="FrankRuehl" w:cs="FrankRuehl"/>
            <w:color w:val="0000FF"/>
            <w:sz w:val="28"/>
            <w:szCs w:val="28"/>
            <w:u w:val="single"/>
            <w:rtl/>
          </w:rPr>
          <w:t>ע"פ 5330/20</w:t>
        </w:r>
      </w:hyperlink>
      <w:r w:rsidR="001A46EE">
        <w:rPr>
          <w:rFonts w:ascii="FrankRuehl" w:hAnsi="FrankRuehl" w:cs="FrankRuehl"/>
          <w:color w:val="000000"/>
          <w:sz w:val="28"/>
          <w:szCs w:val="28"/>
          <w:rtl/>
        </w:rPr>
        <w:t xml:space="preserve"> </w:t>
      </w:r>
      <w:r w:rsidRPr="00CC6427">
        <w:rPr>
          <w:rFonts w:ascii="FrankRuehl" w:hAnsi="FrankRuehl" w:cs="FrankRuehl"/>
          <w:b/>
          <w:bCs/>
          <w:color w:val="000000"/>
          <w:sz w:val="28"/>
          <w:szCs w:val="28"/>
          <w:rtl/>
        </w:rPr>
        <w:t>ענבתאוי נ' מדינת ישראל</w:t>
      </w:r>
      <w:r w:rsidR="001A46EE">
        <w:rPr>
          <w:rFonts w:ascii="FrankRuehl" w:hAnsi="FrankRuehl" w:cs="FrankRuehl"/>
          <w:color w:val="000000"/>
          <w:sz w:val="28"/>
          <w:szCs w:val="28"/>
          <w:rtl/>
        </w:rPr>
        <w:t xml:space="preserve"> </w:t>
      </w:r>
      <w:r w:rsidRPr="00CC6427">
        <w:rPr>
          <w:rFonts w:ascii="FrankRuehl" w:hAnsi="FrankRuehl" w:cs="FrankRuehl"/>
          <w:color w:val="000000"/>
          <w:sz w:val="28"/>
          <w:szCs w:val="28"/>
          <w:rtl/>
        </w:rPr>
        <w:t>(פורסם בנבו, 22.11.20)</w:t>
      </w:r>
      <w:r>
        <w:rPr>
          <w:rFonts w:ascii="FrankRuehl" w:hAnsi="FrankRuehl" w:cs="FrankRuehl" w:hint="cs"/>
          <w:color w:val="000000"/>
          <w:sz w:val="28"/>
          <w:szCs w:val="28"/>
          <w:rtl/>
        </w:rPr>
        <w:t>).</w:t>
      </w:r>
    </w:p>
    <w:p w14:paraId="30D8BC25" w14:textId="77777777" w:rsidR="00625D8C" w:rsidRDefault="00625D8C" w:rsidP="00625D8C">
      <w:pPr>
        <w:spacing w:after="160" w:line="360" w:lineRule="auto"/>
        <w:jc w:val="both"/>
        <w:rPr>
          <w:rFonts w:ascii="FrankRuehl" w:hAnsi="FrankRuehl" w:cs="FrankRuehl"/>
          <w:color w:val="000000"/>
          <w:sz w:val="28"/>
          <w:szCs w:val="28"/>
          <w:rtl/>
        </w:rPr>
      </w:pPr>
    </w:p>
    <w:p w14:paraId="05B6A645" w14:textId="77777777" w:rsidR="00625D8C" w:rsidRDefault="00625D8C" w:rsidP="00625D8C">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19.</w:t>
      </w:r>
      <w:r>
        <w:rPr>
          <w:rFonts w:ascii="FrankRuehl" w:hAnsi="FrankRuehl" w:cs="FrankRuehl" w:hint="cs"/>
          <w:color w:val="000000"/>
          <w:sz w:val="28"/>
          <w:szCs w:val="28"/>
          <w:rtl/>
        </w:rPr>
        <w:tab/>
        <w:t>ה</w:t>
      </w:r>
      <w:r w:rsidRPr="00CC6427">
        <w:rPr>
          <w:rFonts w:ascii="FrankRuehl" w:hAnsi="FrankRuehl" w:cs="FrankRuehl"/>
          <w:color w:val="000000"/>
          <w:sz w:val="28"/>
          <w:szCs w:val="28"/>
          <w:rtl/>
        </w:rPr>
        <w:t xml:space="preserve">מחוקק אף ראה לנכון לעגן מגמת החמרה זו בחקיקה, כשבמסגרת תיקון החוק </w:t>
      </w:r>
      <w:r>
        <w:rPr>
          <w:rFonts w:ascii="FrankRuehl" w:hAnsi="FrankRuehl" w:cs="FrankRuehl" w:hint="cs"/>
          <w:color w:val="000000"/>
          <w:sz w:val="28"/>
          <w:szCs w:val="28"/>
          <w:rtl/>
        </w:rPr>
        <w:t>(</w:t>
      </w:r>
      <w:hyperlink r:id="rId28" w:history="1">
        <w:r w:rsidR="001A46EE" w:rsidRPr="001A46EE">
          <w:rPr>
            <w:rFonts w:ascii="FrankRuehl" w:hAnsi="FrankRuehl" w:cs="FrankRuehl"/>
            <w:color w:val="0000FF"/>
            <w:sz w:val="28"/>
            <w:szCs w:val="28"/>
            <w:u w:val="single"/>
            <w:rtl/>
          </w:rPr>
          <w:t>חוק העונשין</w:t>
        </w:r>
      </w:hyperlink>
      <w:r>
        <w:rPr>
          <w:rFonts w:ascii="FrankRuehl" w:hAnsi="FrankRuehl" w:cs="FrankRuehl" w:hint="cs"/>
          <w:color w:val="000000"/>
          <w:sz w:val="28"/>
          <w:szCs w:val="28"/>
          <w:rtl/>
        </w:rPr>
        <w:t>)</w:t>
      </w:r>
      <w:r w:rsidR="001A46EE">
        <w:rPr>
          <w:rFonts w:ascii="FrankRuehl" w:hAnsi="FrankRuehl" w:cs="FrankRuehl"/>
          <w:color w:val="000000"/>
          <w:sz w:val="28"/>
          <w:szCs w:val="28"/>
          <w:rtl/>
        </w:rPr>
        <w:t xml:space="preserve"> </w:t>
      </w:r>
      <w:r w:rsidRPr="00CC6427">
        <w:rPr>
          <w:rFonts w:ascii="FrankRuehl" w:hAnsi="FrankRuehl" w:cs="FrankRuehl"/>
          <w:color w:val="000000"/>
          <w:sz w:val="28"/>
          <w:szCs w:val="28"/>
          <w:rtl/>
        </w:rPr>
        <w:t>(תיקון מס' 140 – הוראת שעה), התשפ"ב-2021, נקבע עונש מינימום של רבע מהעונש המרבי, למי שהורשע בעבירות של החזקה, נשיאה וסחר בנשק. לפי דברי ההסבר לתיקון, התיקון לחוק נעשה נוכח התפשטות ההתחמשות של קבוצות גדולות באוכלוסייה בנשק בלתי חוקי, ייחודיות התופעה והשלכותיה החמורות, ובפרט המחיר שהיא גובה בחיי אדם. תיקון זה אינו חל על הנאשם, אולם יש בו כדי ללמד על משנה החשיבות שהודגש זה מכבר בפסיקה, כי יש לתת משקל רב לאינטרס הציבורי ולשיקולי ההרתעה על פני נסיבותיו של הנאשם בקביעת העונש בעבירות אלו (ראו:</w:t>
      </w:r>
      <w:r>
        <w:rPr>
          <w:rFonts w:ascii="FrankRuehl" w:hAnsi="FrankRuehl" w:cs="FrankRuehl" w:hint="cs"/>
          <w:color w:val="000000"/>
          <w:sz w:val="28"/>
          <w:szCs w:val="28"/>
          <w:rtl/>
        </w:rPr>
        <w:t xml:space="preserve"> </w:t>
      </w:r>
      <w:hyperlink r:id="rId29" w:history="1">
        <w:r w:rsidR="001A46EE" w:rsidRPr="001A46EE">
          <w:rPr>
            <w:rFonts w:ascii="FrankRuehl" w:hAnsi="FrankRuehl" w:cs="FrankRuehl"/>
            <w:color w:val="0000FF"/>
            <w:sz w:val="28"/>
            <w:szCs w:val="28"/>
            <w:u w:val="single"/>
            <w:rtl/>
          </w:rPr>
          <w:t>ע"פ 2761/21</w:t>
        </w:r>
      </w:hyperlink>
      <w:r w:rsidR="001A46EE">
        <w:rPr>
          <w:rFonts w:ascii="FrankRuehl" w:hAnsi="FrankRuehl" w:cs="FrankRuehl"/>
          <w:color w:val="000000"/>
          <w:sz w:val="28"/>
          <w:szCs w:val="28"/>
          <w:rtl/>
        </w:rPr>
        <w:t xml:space="preserve"> </w:t>
      </w:r>
      <w:r w:rsidRPr="00CC6427">
        <w:rPr>
          <w:rFonts w:ascii="FrankRuehl" w:hAnsi="FrankRuehl" w:cs="FrankRuehl"/>
          <w:color w:val="000000"/>
          <w:sz w:val="28"/>
          <w:szCs w:val="28"/>
          <w:rtl/>
        </w:rPr>
        <w:t>בעניין</w:t>
      </w:r>
      <w:r w:rsidR="001A46EE">
        <w:rPr>
          <w:rFonts w:ascii="FrankRuehl" w:hAnsi="FrankRuehl" w:cs="FrankRuehl"/>
          <w:color w:val="000000"/>
          <w:sz w:val="28"/>
          <w:szCs w:val="28"/>
          <w:rtl/>
        </w:rPr>
        <w:t xml:space="preserve"> </w:t>
      </w:r>
      <w:r w:rsidRPr="003C01D9">
        <w:rPr>
          <w:rFonts w:ascii="FrankRuehl" w:hAnsi="FrankRuehl" w:cs="FrankRuehl"/>
          <w:b/>
          <w:bCs/>
          <w:color w:val="000000"/>
          <w:sz w:val="28"/>
          <w:szCs w:val="28"/>
          <w:rtl/>
        </w:rPr>
        <w:t>עואלי</w:t>
      </w:r>
      <w:r w:rsidRPr="00CC6427">
        <w:rPr>
          <w:rFonts w:ascii="FrankRuehl" w:hAnsi="FrankRuehl" w:cs="FrankRuehl"/>
          <w:color w:val="000000"/>
          <w:sz w:val="28"/>
          <w:szCs w:val="28"/>
          <w:rtl/>
        </w:rPr>
        <w:t>;</w:t>
      </w:r>
      <w:r w:rsidR="001A46EE">
        <w:rPr>
          <w:rFonts w:ascii="FrankRuehl" w:hAnsi="FrankRuehl" w:cs="FrankRuehl"/>
          <w:color w:val="000000"/>
          <w:sz w:val="28"/>
          <w:szCs w:val="28"/>
          <w:rtl/>
        </w:rPr>
        <w:t xml:space="preserve"> </w:t>
      </w:r>
      <w:hyperlink r:id="rId30" w:history="1">
        <w:r w:rsidR="001A46EE" w:rsidRPr="001A46EE">
          <w:rPr>
            <w:rFonts w:ascii="FrankRuehl" w:hAnsi="FrankRuehl" w:cs="FrankRuehl"/>
            <w:color w:val="0000FF"/>
            <w:sz w:val="28"/>
            <w:szCs w:val="28"/>
            <w:u w:val="single"/>
            <w:rtl/>
          </w:rPr>
          <w:t>ע"פ 2251/21</w:t>
        </w:r>
      </w:hyperlink>
      <w:r w:rsidR="001A46EE">
        <w:rPr>
          <w:rFonts w:ascii="FrankRuehl" w:hAnsi="FrankRuehl" w:cs="FrankRuehl"/>
          <w:color w:val="000000"/>
          <w:sz w:val="28"/>
          <w:szCs w:val="28"/>
          <w:rtl/>
        </w:rPr>
        <w:t xml:space="preserve"> </w:t>
      </w:r>
      <w:r w:rsidRPr="00CC6427">
        <w:rPr>
          <w:rFonts w:ascii="FrankRuehl" w:hAnsi="FrankRuehl" w:cs="FrankRuehl"/>
          <w:color w:val="000000"/>
          <w:sz w:val="28"/>
          <w:szCs w:val="28"/>
          <w:rtl/>
        </w:rPr>
        <w:t>בעניין</w:t>
      </w:r>
      <w:r w:rsidR="001A46EE">
        <w:rPr>
          <w:rFonts w:ascii="FrankRuehl" w:hAnsi="FrankRuehl" w:cs="FrankRuehl"/>
          <w:color w:val="000000"/>
          <w:sz w:val="28"/>
          <w:szCs w:val="28"/>
          <w:rtl/>
        </w:rPr>
        <w:t xml:space="preserve"> </w:t>
      </w:r>
      <w:r w:rsidRPr="003C01D9">
        <w:rPr>
          <w:rFonts w:ascii="FrankRuehl" w:hAnsi="FrankRuehl" w:cs="FrankRuehl"/>
          <w:b/>
          <w:bCs/>
          <w:color w:val="000000"/>
          <w:sz w:val="28"/>
          <w:szCs w:val="28"/>
          <w:rtl/>
        </w:rPr>
        <w:t>אבו עראר</w:t>
      </w:r>
      <w:r w:rsidRPr="00CC6427">
        <w:rPr>
          <w:rFonts w:ascii="FrankRuehl" w:hAnsi="FrankRuehl" w:cs="FrankRuehl"/>
          <w:color w:val="000000"/>
          <w:sz w:val="28"/>
          <w:szCs w:val="28"/>
          <w:rtl/>
        </w:rPr>
        <w:t>).</w:t>
      </w:r>
    </w:p>
    <w:p w14:paraId="4B155BD7" w14:textId="77777777" w:rsidR="00625D8C" w:rsidRDefault="00625D8C" w:rsidP="00625D8C">
      <w:pPr>
        <w:spacing w:after="160" w:line="360" w:lineRule="auto"/>
        <w:jc w:val="both"/>
        <w:rPr>
          <w:rFonts w:ascii="FrankRuehl" w:hAnsi="FrankRuehl" w:cs="FrankRuehl"/>
          <w:color w:val="000000"/>
          <w:sz w:val="28"/>
          <w:szCs w:val="28"/>
          <w:rtl/>
        </w:rPr>
      </w:pPr>
    </w:p>
    <w:p w14:paraId="0D71187B" w14:textId="77777777" w:rsidR="00625D8C" w:rsidRDefault="00625D8C" w:rsidP="00625D8C">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20.</w:t>
      </w:r>
      <w:r>
        <w:rPr>
          <w:rFonts w:ascii="FrankRuehl" w:hAnsi="FrankRuehl" w:cs="FrankRuehl" w:hint="cs"/>
          <w:color w:val="000000"/>
          <w:sz w:val="28"/>
          <w:szCs w:val="28"/>
          <w:rtl/>
        </w:rPr>
        <w:tab/>
      </w:r>
      <w:r w:rsidRPr="00CC6427">
        <w:rPr>
          <w:rFonts w:ascii="FrankRuehl" w:hAnsi="FrankRuehl" w:cs="FrankRuehl"/>
          <w:color w:val="000000"/>
          <w:sz w:val="28"/>
          <w:szCs w:val="28"/>
          <w:rtl/>
        </w:rPr>
        <w:t xml:space="preserve">אשר לנסיבות ביצוע העבירה, </w:t>
      </w:r>
      <w:r>
        <w:rPr>
          <w:rFonts w:ascii="FrankRuehl" w:hAnsi="FrankRuehl" w:cs="FrankRuehl" w:hint="cs"/>
          <w:color w:val="000000"/>
          <w:sz w:val="28"/>
          <w:szCs w:val="28"/>
          <w:rtl/>
        </w:rPr>
        <w:t xml:space="preserve">יש לציין את חלקו המשמעותי של הנאשם בביצוע העסקאות השונות, שגם אם לא תמיד הוא היה זה שיזם אותן, בלעדיו הן לא היו יוצאות לפועל. לצד זאת, יש לציין כי האישומים הראשון והשני מייחסים לנאשם רכישה ונשיאה של תחמושת וקשירת קשר לביצוע עסקה של רכישת אקדח שלא יצאה לפועל. אך האישום השלישי הוא חמור יותר, שכן על אף שמלכתחילה גם במקרה זה כוונת הנאשם הייתה לרכוש תחמושת, בסופו של דבר הוא רכש מטען חבלה. הוא גם העבירו לאחר וגורלו לא ידוע. גם אירוע הירי בחתונה באישום הראשון הוא בעל חומרה רבה. קשה להפריז בנזק שעלול היה להיגרם מהשימוש בנשק באירוע רב משתתפים באישום הראשון ולא ניתן לדעת עד להיכן יכלו המטען והתחמושת להתגלגל.  </w:t>
      </w:r>
    </w:p>
    <w:p w14:paraId="46C4E433" w14:textId="77777777" w:rsidR="00625D8C" w:rsidRDefault="00625D8C" w:rsidP="00625D8C">
      <w:pPr>
        <w:spacing w:after="160" w:line="360" w:lineRule="auto"/>
        <w:jc w:val="both"/>
        <w:rPr>
          <w:rFonts w:ascii="FrankRuehl" w:hAnsi="FrankRuehl" w:cs="FrankRuehl"/>
          <w:color w:val="000000"/>
          <w:sz w:val="28"/>
          <w:szCs w:val="28"/>
          <w:rtl/>
        </w:rPr>
      </w:pPr>
    </w:p>
    <w:p w14:paraId="0A73573E" w14:textId="77777777" w:rsidR="00625D8C" w:rsidRPr="00EE0A96" w:rsidRDefault="00625D8C" w:rsidP="00625D8C">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21.</w:t>
      </w:r>
      <w:r>
        <w:rPr>
          <w:rFonts w:ascii="FrankRuehl" w:hAnsi="FrankRuehl" w:cs="FrankRuehl" w:hint="cs"/>
          <w:color w:val="000000"/>
          <w:sz w:val="28"/>
          <w:szCs w:val="28"/>
          <w:rtl/>
        </w:rPr>
        <w:tab/>
        <w:t xml:space="preserve">באשר למחלוקת שבין הצדדים בשאלה אם יש לקבוע מתחם אחד כולל או מתחם נפרד לכל אישום, די לציין כי המאשימה עצמה כרכה באישום הראשון אירועים שונים מחודש מאי 2020 עם אירוע שונה מחודש מאי 2021, כאשר האירועים שבאישום השני והשלישי נכללים בתוך אותה תקופה שכן הם אירעו בחודשים אפריל ומאי 2021. לא ברור אפוא, על יסוד מה עותרת המאשימה לקביעת מתחם אחד לאישום הראשון ומתחמים אחרים לאישומים השני והשלישי שאירעו בין האירועים שבאישום הראשון. בנסיבות אלו ברי כי יש </w:t>
      </w:r>
      <w:r w:rsidRPr="00EE0A96">
        <w:rPr>
          <w:rFonts w:ascii="FrankRuehl" w:hAnsi="FrankRuehl" w:cs="FrankRuehl"/>
          <w:color w:val="000000"/>
          <w:sz w:val="28"/>
          <w:szCs w:val="28"/>
          <w:rtl/>
        </w:rPr>
        <w:t xml:space="preserve">לקבוע במקרה זה מתחם עונש הולם אחד לשלושת האישומים. </w:t>
      </w:r>
    </w:p>
    <w:p w14:paraId="05E6896B" w14:textId="77777777" w:rsidR="00625D8C" w:rsidRPr="00EE0A96" w:rsidRDefault="00625D8C" w:rsidP="00625D8C">
      <w:pPr>
        <w:spacing w:after="160" w:line="360" w:lineRule="auto"/>
        <w:jc w:val="both"/>
        <w:rPr>
          <w:rFonts w:ascii="FrankRuehl" w:hAnsi="FrankRuehl" w:cs="FrankRuehl"/>
          <w:color w:val="000000"/>
          <w:sz w:val="28"/>
          <w:szCs w:val="28"/>
          <w:rtl/>
        </w:rPr>
      </w:pPr>
    </w:p>
    <w:p w14:paraId="78328192" w14:textId="77777777" w:rsidR="00625D8C" w:rsidRDefault="00625D8C" w:rsidP="00625D8C">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22.</w:t>
      </w:r>
      <w:r>
        <w:rPr>
          <w:rFonts w:ascii="FrankRuehl" w:hAnsi="FrankRuehl" w:cs="FrankRuehl" w:hint="cs"/>
          <w:color w:val="000000"/>
          <w:sz w:val="28"/>
          <w:szCs w:val="28"/>
          <w:rtl/>
        </w:rPr>
        <w:tab/>
      </w:r>
      <w:r w:rsidRPr="00EE0A96">
        <w:rPr>
          <w:rFonts w:ascii="FrankRuehl" w:hAnsi="FrankRuehl" w:cs="FrankRuehl"/>
          <w:color w:val="000000"/>
          <w:sz w:val="28"/>
          <w:szCs w:val="28"/>
          <w:rtl/>
        </w:rPr>
        <w:t>בחינת מדיניות הענישה הנוהגת מעלה כי במקרים דומים הוטלו על נאשמים עונשי מאסר בפועל לתקופות משתנות</w:t>
      </w:r>
      <w:r>
        <w:rPr>
          <w:rFonts w:ascii="FrankRuehl" w:hAnsi="FrankRuehl" w:cs="FrankRuehl" w:hint="cs"/>
          <w:color w:val="000000"/>
          <w:sz w:val="28"/>
          <w:szCs w:val="28"/>
          <w:rtl/>
        </w:rPr>
        <w:t>. ב</w:t>
      </w:r>
      <w:hyperlink r:id="rId31" w:history="1">
        <w:r w:rsidR="001A46EE" w:rsidRPr="001A46EE">
          <w:rPr>
            <w:rFonts w:ascii="FrankRuehl" w:hAnsi="FrankRuehl" w:cs="FrankRuehl"/>
            <w:color w:val="0000FF"/>
            <w:sz w:val="28"/>
            <w:szCs w:val="28"/>
            <w:u w:val="single"/>
            <w:rtl/>
          </w:rPr>
          <w:t>ע"פ 5522/20</w:t>
        </w:r>
      </w:hyperlink>
      <w:r w:rsidR="001A46EE">
        <w:rPr>
          <w:rFonts w:ascii="FrankRuehl" w:hAnsi="FrankRuehl" w:cs="FrankRuehl"/>
          <w:b/>
          <w:bCs/>
          <w:color w:val="000000"/>
          <w:sz w:val="28"/>
          <w:szCs w:val="28"/>
          <w:rtl/>
        </w:rPr>
        <w:t xml:space="preserve"> </w:t>
      </w:r>
      <w:r w:rsidRPr="00EE0A96">
        <w:rPr>
          <w:rFonts w:ascii="FrankRuehl" w:hAnsi="FrankRuehl" w:cs="FrankRuehl"/>
          <w:b/>
          <w:bCs/>
          <w:color w:val="000000"/>
          <w:sz w:val="28"/>
          <w:szCs w:val="28"/>
          <w:rtl/>
        </w:rPr>
        <w:t>חלייחל נ' מדינת ישראל</w:t>
      </w:r>
      <w:r w:rsidR="001A46EE">
        <w:rPr>
          <w:rFonts w:ascii="FrankRuehl" w:hAnsi="FrankRuehl" w:cs="FrankRuehl"/>
          <w:b/>
          <w:bCs/>
          <w:color w:val="000000"/>
          <w:sz w:val="28"/>
          <w:szCs w:val="28"/>
          <w:rtl/>
        </w:rPr>
        <w:t xml:space="preserve"> </w:t>
      </w:r>
      <w:r w:rsidRPr="00EE0A96">
        <w:rPr>
          <w:rFonts w:ascii="FrankRuehl" w:hAnsi="FrankRuehl" w:cs="FrankRuehl"/>
          <w:color w:val="000000"/>
          <w:sz w:val="28"/>
          <w:szCs w:val="28"/>
          <w:rtl/>
        </w:rPr>
        <w:t>(פורסם בנבו, 24.02.21)</w:t>
      </w:r>
      <w:r w:rsidR="001A46EE">
        <w:rPr>
          <w:rFonts w:ascii="FrankRuehl" w:hAnsi="FrankRuehl" w:cs="FrankRuehl"/>
          <w:color w:val="000000"/>
          <w:sz w:val="28"/>
          <w:szCs w:val="28"/>
          <w:rtl/>
        </w:rPr>
        <w:t xml:space="preserve"> </w:t>
      </w:r>
      <w:r>
        <w:rPr>
          <w:rFonts w:ascii="FrankRuehl" w:hAnsi="FrankRuehl" w:cs="FrankRuehl" w:hint="cs"/>
          <w:color w:val="000000"/>
          <w:sz w:val="28"/>
          <w:szCs w:val="28"/>
          <w:shd w:val="clear" w:color="auto" w:fill="FFFFFF"/>
          <w:rtl/>
        </w:rPr>
        <w:t xml:space="preserve">אושר </w:t>
      </w:r>
      <w:r w:rsidRPr="00EE0A96">
        <w:rPr>
          <w:rFonts w:ascii="FrankRuehl" w:hAnsi="FrankRuehl" w:cs="FrankRuehl"/>
          <w:color w:val="000000"/>
          <w:sz w:val="28"/>
          <w:szCs w:val="28"/>
          <w:shd w:val="clear" w:color="auto" w:fill="FFFFFF"/>
          <w:rtl/>
        </w:rPr>
        <w:t xml:space="preserve">עונש של 36 חודשי מאסר בפועל; </w:t>
      </w:r>
      <w:r>
        <w:rPr>
          <w:rFonts w:ascii="FrankRuehl" w:hAnsi="FrankRuehl" w:cs="FrankRuehl" w:hint="cs"/>
          <w:color w:val="000000"/>
          <w:sz w:val="28"/>
          <w:szCs w:val="28"/>
          <w:shd w:val="clear" w:color="auto" w:fill="FFFFFF"/>
          <w:rtl/>
        </w:rPr>
        <w:t>ב</w:t>
      </w:r>
      <w:hyperlink r:id="rId32" w:history="1">
        <w:r w:rsidR="001A46EE" w:rsidRPr="001A46EE">
          <w:rPr>
            <w:rFonts w:ascii="FrankRuehl" w:hAnsi="FrankRuehl" w:cs="FrankRuehl"/>
            <w:color w:val="0000FF"/>
            <w:sz w:val="28"/>
            <w:szCs w:val="28"/>
            <w:u w:val="single"/>
            <w:rtl/>
          </w:rPr>
          <w:t>ע"פ 500/21</w:t>
        </w:r>
      </w:hyperlink>
      <w:r w:rsidRPr="00EE0A96">
        <w:rPr>
          <w:rFonts w:ascii="FrankRuehl" w:hAnsi="FrankRuehl" w:cs="FrankRuehl"/>
          <w:b/>
          <w:bCs/>
          <w:color w:val="000000"/>
          <w:sz w:val="28"/>
          <w:szCs w:val="28"/>
          <w:rtl/>
        </w:rPr>
        <w:t xml:space="preserve"> פלוני נ' מדינת ישראל</w:t>
      </w:r>
      <w:r w:rsidR="001A46EE">
        <w:rPr>
          <w:rFonts w:ascii="FrankRuehl" w:hAnsi="FrankRuehl" w:cs="FrankRuehl"/>
          <w:b/>
          <w:bCs/>
          <w:color w:val="000000"/>
          <w:sz w:val="28"/>
          <w:szCs w:val="28"/>
          <w:rtl/>
        </w:rPr>
        <w:t xml:space="preserve"> </w:t>
      </w:r>
      <w:r w:rsidRPr="00EE0A96">
        <w:rPr>
          <w:rFonts w:ascii="FrankRuehl" w:hAnsi="FrankRuehl" w:cs="FrankRuehl"/>
          <w:color w:val="000000"/>
          <w:sz w:val="28"/>
          <w:szCs w:val="28"/>
          <w:rtl/>
        </w:rPr>
        <w:t>(פורסם בנבו, 31.5.21), אושר עונש של 50 חודשים בגין שתי עבירות של סחר בנשק לסוכן משטרתי</w:t>
      </w:r>
      <w:r>
        <w:rPr>
          <w:rFonts w:ascii="FrankRuehl" w:hAnsi="FrankRuehl" w:cs="FrankRuehl" w:hint="cs"/>
          <w:color w:val="000000"/>
          <w:sz w:val="28"/>
          <w:szCs w:val="28"/>
          <w:rtl/>
        </w:rPr>
        <w:t>;</w:t>
      </w:r>
      <w:r w:rsidRPr="00EE0A96">
        <w:rPr>
          <w:rFonts w:ascii="FrankRuehl" w:hAnsi="FrankRuehl" w:cs="FrankRuehl"/>
          <w:color w:val="000000"/>
          <w:sz w:val="28"/>
          <w:szCs w:val="28"/>
          <w:rtl/>
        </w:rPr>
        <w:t xml:space="preserve"> </w:t>
      </w:r>
      <w:r>
        <w:rPr>
          <w:rFonts w:ascii="FrankRuehl" w:hAnsi="FrankRuehl" w:cs="FrankRuehl" w:hint="cs"/>
          <w:color w:val="000000"/>
          <w:sz w:val="28"/>
          <w:szCs w:val="28"/>
          <w:rtl/>
        </w:rPr>
        <w:t>ב</w:t>
      </w:r>
      <w:hyperlink r:id="rId33" w:history="1">
        <w:r w:rsidR="001A46EE" w:rsidRPr="001A46EE">
          <w:rPr>
            <w:rFonts w:ascii="FrankRuehl" w:hAnsi="FrankRuehl" w:cs="FrankRuehl"/>
            <w:color w:val="0000FF"/>
            <w:sz w:val="28"/>
            <w:szCs w:val="28"/>
            <w:u w:val="single"/>
            <w:rtl/>
          </w:rPr>
          <w:t>ת"פ (מחוזי-י-ם) 58524-11-19</w:t>
        </w:r>
      </w:hyperlink>
      <w:r w:rsidR="001A46EE">
        <w:rPr>
          <w:rFonts w:ascii="FrankRuehl" w:hAnsi="FrankRuehl" w:cs="FrankRuehl"/>
          <w:color w:val="000000"/>
          <w:sz w:val="28"/>
          <w:szCs w:val="28"/>
          <w:rtl/>
        </w:rPr>
        <w:t xml:space="preserve"> </w:t>
      </w:r>
      <w:r w:rsidRPr="00EE0A96">
        <w:rPr>
          <w:rFonts w:ascii="FrankRuehl" w:hAnsi="FrankRuehl" w:cs="FrankRuehl"/>
          <w:b/>
          <w:bCs/>
          <w:color w:val="000000"/>
          <w:sz w:val="28"/>
          <w:szCs w:val="28"/>
          <w:rtl/>
        </w:rPr>
        <w:t>מדינת ישראל נ' עודה</w:t>
      </w:r>
      <w:r w:rsidR="001A46EE">
        <w:rPr>
          <w:rFonts w:ascii="FrankRuehl" w:hAnsi="FrankRuehl" w:cs="FrankRuehl"/>
          <w:color w:val="000000"/>
          <w:sz w:val="28"/>
          <w:szCs w:val="28"/>
          <w:rtl/>
        </w:rPr>
        <w:t xml:space="preserve"> </w:t>
      </w:r>
      <w:r w:rsidRPr="00EE0A96">
        <w:rPr>
          <w:rFonts w:ascii="FrankRuehl" w:hAnsi="FrankRuehl" w:cs="FrankRuehl"/>
          <w:color w:val="000000"/>
          <w:sz w:val="28"/>
          <w:szCs w:val="28"/>
          <w:rtl/>
        </w:rPr>
        <w:t>(פורסם בנבו, 2.12.2020)</w:t>
      </w:r>
      <w:r>
        <w:rPr>
          <w:rFonts w:ascii="FrankRuehl" w:hAnsi="FrankRuehl" w:cs="FrankRuehl" w:hint="cs"/>
          <w:color w:val="000000"/>
          <w:sz w:val="28"/>
          <w:szCs w:val="28"/>
          <w:rtl/>
        </w:rPr>
        <w:t>,</w:t>
      </w:r>
      <w:r w:rsidRPr="00EE0A96">
        <w:rPr>
          <w:rFonts w:ascii="FrankRuehl" w:hAnsi="FrankRuehl" w:cs="FrankRuehl"/>
          <w:color w:val="000000"/>
          <w:sz w:val="28"/>
          <w:szCs w:val="28"/>
          <w:rtl/>
        </w:rPr>
        <w:t xml:space="preserve"> נקבע מתחם שנע בין 20-40 חודש, לגבי עבירת סחר</w:t>
      </w:r>
      <w:r>
        <w:rPr>
          <w:rFonts w:ascii="FrankRuehl" w:hAnsi="FrankRuehl" w:cs="FrankRuehl"/>
          <w:color w:val="000000"/>
          <w:sz w:val="28"/>
          <w:szCs w:val="28"/>
          <w:rtl/>
        </w:rPr>
        <w:t xml:space="preserve"> בודד באקדח שנמכר לסוכן משטרה</w:t>
      </w:r>
      <w:r>
        <w:rPr>
          <w:rFonts w:ascii="FrankRuehl" w:hAnsi="FrankRuehl" w:cs="FrankRuehl" w:hint="cs"/>
          <w:color w:val="000000"/>
          <w:sz w:val="28"/>
          <w:szCs w:val="28"/>
          <w:rtl/>
        </w:rPr>
        <w:t xml:space="preserve">; </w:t>
      </w:r>
      <w:r>
        <w:rPr>
          <w:rFonts w:ascii="FrankRuehl" w:hAnsi="FrankRuehl" w:cs="FrankRuehl" w:hint="cs"/>
          <w:color w:val="000000"/>
          <w:sz w:val="28"/>
          <w:szCs w:val="28"/>
          <w:shd w:val="clear" w:color="auto" w:fill="FFFFFF"/>
          <w:rtl/>
        </w:rPr>
        <w:t>ב</w:t>
      </w:r>
      <w:r w:rsidRPr="00EE0A96">
        <w:rPr>
          <w:rFonts w:ascii="FrankRuehl" w:hAnsi="FrankRuehl" w:cs="FrankRuehl"/>
          <w:color w:val="000000"/>
          <w:sz w:val="28"/>
          <w:szCs w:val="28"/>
          <w:shd w:val="clear" w:color="auto" w:fill="FFFFFF"/>
          <w:rtl/>
        </w:rPr>
        <w:t>ע"פ 7973/20</w:t>
      </w:r>
      <w:r w:rsidRPr="00EE0A96">
        <w:rPr>
          <w:rFonts w:ascii="FrankRuehl" w:hAnsi="FrankRuehl" w:cs="FrankRuehl"/>
          <w:b/>
          <w:bCs/>
          <w:color w:val="000000"/>
          <w:sz w:val="28"/>
          <w:szCs w:val="28"/>
          <w:rtl/>
        </w:rPr>
        <w:t xml:space="preserve"> מורייחי נ' מדינת ישראל</w:t>
      </w:r>
      <w:r w:rsidR="001A46EE">
        <w:rPr>
          <w:rFonts w:ascii="FrankRuehl" w:hAnsi="FrankRuehl" w:cs="FrankRuehl"/>
          <w:b/>
          <w:bCs/>
          <w:color w:val="000000"/>
          <w:sz w:val="28"/>
          <w:szCs w:val="28"/>
          <w:rtl/>
        </w:rPr>
        <w:t xml:space="preserve"> </w:t>
      </w:r>
      <w:r w:rsidRPr="00EE0A96">
        <w:rPr>
          <w:rFonts w:ascii="FrankRuehl" w:hAnsi="FrankRuehl" w:cs="FrankRuehl"/>
          <w:color w:val="000000"/>
          <w:sz w:val="28"/>
          <w:szCs w:val="28"/>
          <w:rtl/>
        </w:rPr>
        <w:t>(פורסם בנבו, 23.11.20)</w:t>
      </w:r>
      <w:r w:rsidR="001A46EE">
        <w:rPr>
          <w:rFonts w:ascii="FrankRuehl" w:hAnsi="FrankRuehl" w:cs="FrankRuehl"/>
          <w:color w:val="000000"/>
          <w:sz w:val="28"/>
          <w:szCs w:val="28"/>
          <w:rtl/>
        </w:rPr>
        <w:t xml:space="preserve"> </w:t>
      </w:r>
      <w:r>
        <w:rPr>
          <w:rFonts w:ascii="FrankRuehl" w:hAnsi="FrankRuehl" w:cs="FrankRuehl" w:hint="cs"/>
          <w:color w:val="000000"/>
          <w:sz w:val="28"/>
          <w:szCs w:val="28"/>
          <w:rtl/>
        </w:rPr>
        <w:t xml:space="preserve">אושר </w:t>
      </w:r>
      <w:r w:rsidRPr="00EE0A96">
        <w:rPr>
          <w:rFonts w:ascii="FrankRuehl" w:hAnsi="FrankRuehl" w:cs="FrankRuehl"/>
          <w:color w:val="000000"/>
          <w:sz w:val="28"/>
          <w:szCs w:val="28"/>
          <w:rtl/>
        </w:rPr>
        <w:t>עונש של 30 חודשי מאסר בגין הרשעה בעבירה אחת של נ</w:t>
      </w:r>
      <w:r>
        <w:rPr>
          <w:rFonts w:ascii="FrankRuehl" w:hAnsi="FrankRuehl" w:cs="FrankRuehl"/>
          <w:color w:val="000000"/>
          <w:sz w:val="28"/>
          <w:szCs w:val="28"/>
          <w:rtl/>
        </w:rPr>
        <w:t>יסיון לעסקה אחרת בנשק</w:t>
      </w:r>
      <w:r>
        <w:rPr>
          <w:rFonts w:ascii="FrankRuehl" w:hAnsi="FrankRuehl" w:cs="FrankRuehl" w:hint="cs"/>
          <w:color w:val="000000"/>
          <w:sz w:val="28"/>
          <w:szCs w:val="28"/>
          <w:rtl/>
        </w:rPr>
        <w:t>;</w:t>
      </w:r>
      <w:r w:rsidR="001A46EE">
        <w:rPr>
          <w:rFonts w:ascii="FrankRuehl" w:hAnsi="FrankRuehl" w:cs="FrankRuehl"/>
          <w:color w:val="000000"/>
          <w:sz w:val="28"/>
          <w:szCs w:val="28"/>
          <w:rtl/>
        </w:rPr>
        <w:t xml:space="preserve"> </w:t>
      </w:r>
      <w:r>
        <w:rPr>
          <w:rFonts w:ascii="FrankRuehl" w:hAnsi="FrankRuehl" w:cs="FrankRuehl" w:hint="cs"/>
          <w:color w:val="000000"/>
          <w:sz w:val="28"/>
          <w:szCs w:val="28"/>
          <w:rtl/>
        </w:rPr>
        <w:t>ב</w:t>
      </w:r>
      <w:hyperlink r:id="rId34" w:history="1">
        <w:r w:rsidR="001A46EE" w:rsidRPr="001A46EE">
          <w:rPr>
            <w:rFonts w:ascii="FrankRuehl" w:hAnsi="FrankRuehl" w:cs="FrankRuehl"/>
            <w:color w:val="0000FF"/>
            <w:sz w:val="28"/>
            <w:szCs w:val="28"/>
            <w:u w:val="single"/>
            <w:rtl/>
          </w:rPr>
          <w:t>ע"פ 1944/20</w:t>
        </w:r>
      </w:hyperlink>
      <w:r w:rsidR="001A46EE">
        <w:rPr>
          <w:rFonts w:ascii="FrankRuehl" w:hAnsi="FrankRuehl" w:cs="FrankRuehl"/>
          <w:b/>
          <w:bCs/>
          <w:color w:val="000000"/>
          <w:sz w:val="28"/>
          <w:szCs w:val="28"/>
          <w:rtl/>
        </w:rPr>
        <w:t xml:space="preserve"> </w:t>
      </w:r>
      <w:r w:rsidRPr="00EE0A96">
        <w:rPr>
          <w:rFonts w:ascii="FrankRuehl" w:hAnsi="FrankRuehl" w:cs="FrankRuehl"/>
          <w:b/>
          <w:bCs/>
          <w:color w:val="000000"/>
          <w:sz w:val="28"/>
          <w:szCs w:val="28"/>
          <w:rtl/>
        </w:rPr>
        <w:t>מדינת ישראל נ' אמארה</w:t>
      </w:r>
      <w:r w:rsidR="001A46EE">
        <w:rPr>
          <w:rFonts w:ascii="FrankRuehl" w:hAnsi="FrankRuehl" w:cs="FrankRuehl"/>
          <w:b/>
          <w:bCs/>
          <w:color w:val="000000"/>
          <w:sz w:val="28"/>
          <w:szCs w:val="28"/>
          <w:rtl/>
        </w:rPr>
        <w:t xml:space="preserve"> </w:t>
      </w:r>
      <w:r w:rsidRPr="00EE0A96">
        <w:rPr>
          <w:rFonts w:ascii="FrankRuehl" w:hAnsi="FrankRuehl" w:cs="FrankRuehl"/>
          <w:color w:val="000000"/>
          <w:sz w:val="28"/>
          <w:szCs w:val="28"/>
          <w:rtl/>
        </w:rPr>
        <w:t xml:space="preserve">(פורסם בנבו, 02.09.20) </w:t>
      </w:r>
      <w:r>
        <w:rPr>
          <w:rFonts w:ascii="FrankRuehl" w:hAnsi="FrankRuehl" w:cs="FrankRuehl" w:hint="cs"/>
          <w:color w:val="000000"/>
          <w:sz w:val="28"/>
          <w:szCs w:val="28"/>
          <w:rtl/>
        </w:rPr>
        <w:t>אושר</w:t>
      </w:r>
      <w:r w:rsidRPr="00EE0A96">
        <w:rPr>
          <w:rFonts w:ascii="FrankRuehl" w:hAnsi="FrankRuehl" w:cs="FrankRuehl"/>
          <w:color w:val="000000"/>
          <w:sz w:val="28"/>
          <w:szCs w:val="28"/>
          <w:rtl/>
        </w:rPr>
        <w:t xml:space="preserve"> עונש של 6 שנות מאסר בגין עבירות של סחר בנשק שלא כדין ועבירות החזקה ונשיאה</w:t>
      </w:r>
      <w:r>
        <w:rPr>
          <w:rFonts w:ascii="FrankRuehl" w:hAnsi="FrankRuehl" w:cs="FrankRuehl" w:hint="cs"/>
          <w:color w:val="000000"/>
          <w:sz w:val="28"/>
          <w:szCs w:val="28"/>
          <w:rtl/>
        </w:rPr>
        <w:t xml:space="preserve">; </w:t>
      </w:r>
      <w:r w:rsidRPr="00EE0A96">
        <w:rPr>
          <w:rFonts w:ascii="FrankRuehl" w:hAnsi="FrankRuehl" w:cs="FrankRuehl"/>
          <w:color w:val="000000"/>
          <w:sz w:val="28"/>
          <w:szCs w:val="28"/>
          <w:rtl/>
        </w:rPr>
        <w:t>ב</w:t>
      </w:r>
      <w:hyperlink r:id="rId35" w:history="1">
        <w:r w:rsidR="001A46EE" w:rsidRPr="001A46EE">
          <w:rPr>
            <w:rFonts w:ascii="FrankRuehl" w:hAnsi="FrankRuehl" w:cs="FrankRuehl"/>
            <w:color w:val="0000FF"/>
            <w:sz w:val="28"/>
            <w:szCs w:val="28"/>
            <w:u w:val="single"/>
            <w:rtl/>
          </w:rPr>
          <w:t>ת"פ (מחוזי-י-ם) 35608-04-18</w:t>
        </w:r>
      </w:hyperlink>
      <w:r w:rsidR="001A46EE">
        <w:rPr>
          <w:rFonts w:ascii="FrankRuehl" w:hAnsi="FrankRuehl" w:cs="FrankRuehl"/>
          <w:color w:val="000000"/>
          <w:sz w:val="28"/>
          <w:szCs w:val="28"/>
          <w:rtl/>
        </w:rPr>
        <w:t xml:space="preserve"> </w:t>
      </w:r>
      <w:r w:rsidRPr="00EE0A96">
        <w:rPr>
          <w:rFonts w:ascii="FrankRuehl" w:hAnsi="FrankRuehl" w:cs="FrankRuehl"/>
          <w:b/>
          <w:bCs/>
          <w:color w:val="000000"/>
          <w:sz w:val="28"/>
          <w:szCs w:val="28"/>
          <w:rtl/>
        </w:rPr>
        <w:t>מדינת ישראל נ' יזן קורד</w:t>
      </w:r>
      <w:r w:rsidR="001A46EE">
        <w:rPr>
          <w:rFonts w:ascii="FrankRuehl" w:hAnsi="FrankRuehl" w:cs="FrankRuehl"/>
          <w:color w:val="000000"/>
          <w:sz w:val="28"/>
          <w:szCs w:val="28"/>
          <w:rtl/>
        </w:rPr>
        <w:t xml:space="preserve"> </w:t>
      </w:r>
      <w:r w:rsidRPr="00EE0A96">
        <w:rPr>
          <w:rFonts w:ascii="FrankRuehl" w:hAnsi="FrankRuehl" w:cs="FrankRuehl"/>
          <w:color w:val="000000"/>
          <w:sz w:val="28"/>
          <w:szCs w:val="28"/>
          <w:rtl/>
        </w:rPr>
        <w:t>(פורסם בנבו, 28.2.2019) הוטלו על נאשם 34 חודשי מאסר בפועל, בגין עסקה לרכישת אקדח ועסקה לרכישת רובה</w:t>
      </w:r>
      <w:r>
        <w:rPr>
          <w:rFonts w:ascii="FrankRuehl" w:hAnsi="FrankRuehl" w:cs="FrankRuehl" w:hint="cs"/>
          <w:color w:val="000000"/>
          <w:sz w:val="28"/>
          <w:szCs w:val="28"/>
          <w:rtl/>
        </w:rPr>
        <w:t xml:space="preserve"> </w:t>
      </w:r>
      <w:r w:rsidRPr="00625D8C">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w:t>
      </w:r>
      <w:r w:rsidRPr="00EE0A96">
        <w:rPr>
          <w:rFonts w:ascii="FrankRuehl" w:hAnsi="FrankRuehl" w:cs="FrankRuehl"/>
          <w:color w:val="000000"/>
          <w:sz w:val="28"/>
          <w:szCs w:val="28"/>
          <w:rtl/>
        </w:rPr>
        <w:t xml:space="preserve"> באותו עניין נקבע כי המתחם עבור שתי העבירות נע משנתיים ועד שש שנות מאסר בפועל.</w:t>
      </w:r>
      <w:r>
        <w:rPr>
          <w:rFonts w:ascii="FrankRuehl" w:hAnsi="FrankRuehl" w:cs="FrankRuehl" w:hint="cs"/>
          <w:color w:val="000000"/>
          <w:sz w:val="28"/>
          <w:szCs w:val="28"/>
          <w:rtl/>
        </w:rPr>
        <w:t xml:space="preserve"> לאחרונה ממש, התערב בית המשפט העליון בעונש של 54 חודשי מאסר שהושת על נאשם שהורשע בשישה אישומים שכללו עבירות של ניסיון ייצור וסחר בנשק, סחר בנשק ובתחמושת, והחזקת נשק ותחמושת, והעמידו על 72 חודשי מאסר (</w:t>
      </w:r>
      <w:hyperlink r:id="rId36" w:history="1">
        <w:r w:rsidR="001A46EE" w:rsidRPr="001A46EE">
          <w:rPr>
            <w:rFonts w:ascii="FrankRuehl" w:hAnsi="FrankRuehl" w:cs="FrankRuehl"/>
            <w:color w:val="0000FF"/>
            <w:sz w:val="28"/>
            <w:szCs w:val="28"/>
            <w:u w:val="single"/>
            <w:rtl/>
          </w:rPr>
          <w:t>ע"פ 4456/21</w:t>
        </w:r>
      </w:hyperlink>
      <w:r>
        <w:rPr>
          <w:rFonts w:ascii="FrankRuehl" w:hAnsi="FrankRuehl" w:cs="FrankRuehl" w:hint="cs"/>
          <w:color w:val="000000"/>
          <w:sz w:val="28"/>
          <w:szCs w:val="28"/>
          <w:rtl/>
        </w:rPr>
        <w:t xml:space="preserve"> בעניין </w:t>
      </w:r>
      <w:r w:rsidRPr="00776DA4">
        <w:rPr>
          <w:rFonts w:ascii="FrankRuehl" w:hAnsi="FrankRuehl" w:cs="FrankRuehl" w:hint="cs"/>
          <w:b/>
          <w:bCs/>
          <w:color w:val="000000"/>
          <w:sz w:val="28"/>
          <w:szCs w:val="28"/>
          <w:rtl/>
        </w:rPr>
        <w:t>אבו עבסה</w:t>
      </w:r>
      <w:r>
        <w:rPr>
          <w:rFonts w:ascii="FrankRuehl" w:hAnsi="FrankRuehl" w:cs="FrankRuehl" w:hint="cs"/>
          <w:color w:val="000000"/>
          <w:sz w:val="28"/>
          <w:szCs w:val="28"/>
          <w:rtl/>
        </w:rPr>
        <w:t xml:space="preserve">)). </w:t>
      </w:r>
    </w:p>
    <w:p w14:paraId="44A1A49E" w14:textId="77777777" w:rsidR="00625D8C" w:rsidRPr="00EE0A96" w:rsidRDefault="00625D8C" w:rsidP="00625D8C">
      <w:pPr>
        <w:spacing w:after="160" w:line="360" w:lineRule="auto"/>
        <w:jc w:val="both"/>
        <w:rPr>
          <w:rFonts w:ascii="FrankRuehl" w:hAnsi="FrankRuehl" w:cs="FrankRuehl"/>
          <w:color w:val="000000"/>
          <w:sz w:val="28"/>
          <w:szCs w:val="28"/>
          <w:rtl/>
        </w:rPr>
      </w:pPr>
    </w:p>
    <w:p w14:paraId="08350E81" w14:textId="77777777" w:rsidR="00625D8C" w:rsidRPr="00CC6427" w:rsidRDefault="00625D8C" w:rsidP="00625D8C">
      <w:pPr>
        <w:spacing w:after="160" w:line="360" w:lineRule="auto"/>
        <w:jc w:val="both"/>
        <w:rPr>
          <w:rFonts w:cs="Times New Roman"/>
          <w:color w:val="000000"/>
          <w:sz w:val="27"/>
          <w:szCs w:val="27"/>
          <w:rtl/>
        </w:rPr>
      </w:pPr>
      <w:r>
        <w:rPr>
          <w:rFonts w:ascii="FrankRuehl" w:hAnsi="FrankRuehl" w:cs="FrankRuehl" w:hint="cs"/>
          <w:color w:val="000000"/>
          <w:sz w:val="28"/>
          <w:szCs w:val="28"/>
          <w:rtl/>
        </w:rPr>
        <w:t>23.</w:t>
      </w:r>
      <w:r>
        <w:rPr>
          <w:rFonts w:ascii="FrankRuehl" w:hAnsi="FrankRuehl" w:cs="FrankRuehl" w:hint="cs"/>
          <w:color w:val="000000"/>
          <w:sz w:val="28"/>
          <w:szCs w:val="28"/>
          <w:rtl/>
        </w:rPr>
        <w:tab/>
      </w:r>
      <w:r w:rsidRPr="00EE0A96">
        <w:rPr>
          <w:rFonts w:ascii="FrankRuehl" w:hAnsi="FrankRuehl" w:cs="FrankRuehl"/>
          <w:color w:val="000000"/>
          <w:sz w:val="28"/>
          <w:szCs w:val="28"/>
          <w:rtl/>
        </w:rPr>
        <w:t>בשים לב לכל האמור, לאינטרסים המוגנים שנפגעו ומידת הפגיעה בהם, נסיבות ביצוע העבירה ו</w:t>
      </w:r>
      <w:r>
        <w:rPr>
          <w:rFonts w:ascii="FrankRuehl" w:hAnsi="FrankRuehl" w:cs="FrankRuehl" w:hint="cs"/>
          <w:color w:val="000000"/>
          <w:sz w:val="28"/>
          <w:szCs w:val="28"/>
          <w:rtl/>
        </w:rPr>
        <w:t xml:space="preserve">מדיניות הענישה </w:t>
      </w:r>
      <w:r w:rsidRPr="00EE0A96">
        <w:rPr>
          <w:rFonts w:ascii="FrankRuehl" w:hAnsi="FrankRuehl" w:cs="FrankRuehl"/>
          <w:color w:val="000000"/>
          <w:sz w:val="28"/>
          <w:szCs w:val="28"/>
          <w:rtl/>
        </w:rPr>
        <w:t xml:space="preserve">הנוהגת, אני סבור כי מתחם העונש </w:t>
      </w:r>
      <w:r>
        <w:rPr>
          <w:rFonts w:ascii="FrankRuehl" w:hAnsi="FrankRuehl" w:cs="FrankRuehl"/>
          <w:color w:val="000000"/>
          <w:sz w:val="28"/>
          <w:szCs w:val="28"/>
          <w:rtl/>
        </w:rPr>
        <w:t>ההולם מקרה זה בנסיבותיו, נע מ-</w:t>
      </w:r>
      <w:r>
        <w:rPr>
          <w:rFonts w:ascii="FrankRuehl" w:hAnsi="FrankRuehl" w:cs="FrankRuehl" w:hint="cs"/>
          <w:color w:val="000000"/>
          <w:sz w:val="28"/>
          <w:szCs w:val="28"/>
          <w:rtl/>
        </w:rPr>
        <w:t>54</w:t>
      </w:r>
      <w:r>
        <w:rPr>
          <w:rFonts w:ascii="FrankRuehl" w:hAnsi="FrankRuehl" w:cs="FrankRuehl"/>
          <w:color w:val="000000"/>
          <w:sz w:val="28"/>
          <w:szCs w:val="28"/>
          <w:rtl/>
        </w:rPr>
        <w:t xml:space="preserve"> ועד ל-</w:t>
      </w:r>
      <w:r>
        <w:rPr>
          <w:rFonts w:ascii="FrankRuehl" w:hAnsi="FrankRuehl" w:cs="FrankRuehl" w:hint="cs"/>
          <w:color w:val="000000"/>
          <w:sz w:val="28"/>
          <w:szCs w:val="28"/>
          <w:rtl/>
        </w:rPr>
        <w:t>9</w:t>
      </w:r>
      <w:r w:rsidRPr="00EE0A96">
        <w:rPr>
          <w:rFonts w:ascii="FrankRuehl" w:hAnsi="FrankRuehl" w:cs="FrankRuehl"/>
          <w:color w:val="000000"/>
          <w:sz w:val="28"/>
          <w:szCs w:val="28"/>
          <w:rtl/>
        </w:rPr>
        <w:t>0 חודשי מאסר, לצד מאסר מות</w:t>
      </w:r>
      <w:r w:rsidRPr="00CC6427">
        <w:rPr>
          <w:rFonts w:ascii="FrankRuehl" w:hAnsi="FrankRuehl" w:cs="FrankRuehl"/>
          <w:color w:val="000000"/>
          <w:sz w:val="28"/>
          <w:szCs w:val="28"/>
          <w:rtl/>
        </w:rPr>
        <w:t>נה וקנס.</w:t>
      </w:r>
    </w:p>
    <w:p w14:paraId="767A1AD0" w14:textId="77777777" w:rsidR="00625D8C" w:rsidRDefault="00625D8C" w:rsidP="00625D8C">
      <w:pPr>
        <w:spacing w:line="360" w:lineRule="atLeast"/>
        <w:jc w:val="both"/>
        <w:rPr>
          <w:color w:val="000000"/>
          <w:sz w:val="27"/>
          <w:szCs w:val="27"/>
          <w:rtl/>
        </w:rPr>
      </w:pPr>
    </w:p>
    <w:p w14:paraId="4563A75B"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24.</w:t>
      </w:r>
      <w:r>
        <w:rPr>
          <w:rFonts w:ascii="FrankRuehl" w:hAnsi="FrankRuehl" w:cs="FrankRuehl" w:hint="cs"/>
          <w:sz w:val="28"/>
          <w:szCs w:val="28"/>
          <w:rtl/>
        </w:rPr>
        <w:tab/>
        <w:t xml:space="preserve">ובאשר לטענות הנאשם להגנה מן הצדק. לא מצאתי כי יש הצדקה של ממש בטענה כי יש פגם בכך כי הנאשם נחקר תחילה על ידי השב"כ בחשד לעבירות טרור. גם אם כך נעשה, אופיין של העבירות יש בו כדי להקים חשד לביצוע עבירות שכאלו, ומכל מקום לא נטען, וודאי לא הוכח, כי החקירה התנהלה באופן בלתי הגון. הטענה כי הנאשם שרצה להסיר מעליו את החשד לעבירות טרור, בחר להודות בעבירות שהודה בהן, אינה מעלה קושי כלשהו, וודאי לא כזה המצדיק הקלה בעונש בשל קיומה של הגנה מן הצדק.  </w:t>
      </w:r>
    </w:p>
    <w:p w14:paraId="1B182966" w14:textId="77777777" w:rsidR="00625D8C" w:rsidRDefault="00625D8C" w:rsidP="00625D8C">
      <w:pPr>
        <w:spacing w:line="360" w:lineRule="auto"/>
        <w:jc w:val="both"/>
        <w:rPr>
          <w:rFonts w:ascii="FrankRuehl" w:hAnsi="FrankRuehl" w:cs="FrankRuehl"/>
          <w:sz w:val="28"/>
          <w:szCs w:val="28"/>
          <w:rtl/>
        </w:rPr>
      </w:pPr>
    </w:p>
    <w:p w14:paraId="08F8F1A5"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t xml:space="preserve">גם בטענה בדבר מטען החבלה ואיכותו לא מצאתי ממש, בשים לב להודאת הנאשם בעובדות שהוסכם במסגרת הסדר הטיעון שיכללו בכתב האישום המתוקן, ובשים לב לאמירתו של הנאשם בחקירה כי העביר את המטען לקרוב משפחתו שעשה בו שימוש.    </w:t>
      </w:r>
    </w:p>
    <w:p w14:paraId="515AF446" w14:textId="77777777" w:rsidR="00625D8C" w:rsidRDefault="00625D8C" w:rsidP="00625D8C">
      <w:pPr>
        <w:spacing w:line="360" w:lineRule="auto"/>
        <w:jc w:val="both"/>
        <w:rPr>
          <w:rFonts w:ascii="FrankRuehl" w:hAnsi="FrankRuehl" w:cs="FrankRuehl"/>
          <w:sz w:val="28"/>
          <w:szCs w:val="28"/>
          <w:rtl/>
        </w:rPr>
      </w:pPr>
    </w:p>
    <w:p w14:paraId="2959F726" w14:textId="77777777" w:rsidR="00625D8C" w:rsidRDefault="00625D8C" w:rsidP="00625D8C">
      <w:pPr>
        <w:spacing w:line="360" w:lineRule="auto"/>
        <w:jc w:val="both"/>
        <w:rPr>
          <w:rFonts w:ascii="FrankRuehl" w:hAnsi="FrankRuehl" w:cs="FrankRuehl"/>
          <w:color w:val="000000"/>
          <w:sz w:val="28"/>
          <w:szCs w:val="28"/>
          <w:rtl/>
        </w:rPr>
      </w:pPr>
      <w:r>
        <w:rPr>
          <w:rFonts w:ascii="FrankRuehl" w:hAnsi="FrankRuehl" w:cs="FrankRuehl" w:hint="cs"/>
          <w:sz w:val="28"/>
          <w:szCs w:val="28"/>
          <w:rtl/>
        </w:rPr>
        <w:t>26.</w:t>
      </w:r>
      <w:r>
        <w:rPr>
          <w:rFonts w:ascii="FrankRuehl" w:hAnsi="FrankRuehl" w:cs="FrankRuehl" w:hint="cs"/>
          <w:sz w:val="28"/>
          <w:szCs w:val="28"/>
          <w:rtl/>
        </w:rPr>
        <w:tab/>
        <w:t xml:space="preserve">לצד זאת, לא ניתן להתעלם לחלוטין מטענות הנאשם בדבר אכיפה בררנית. אכן, לא כל אכיפה חלקית היא אכיפה בררנית. </w:t>
      </w:r>
      <w:r>
        <w:rPr>
          <w:rFonts w:ascii="FrankRuehl" w:hAnsi="FrankRuehl" w:cs="FrankRuehl" w:hint="cs"/>
          <w:color w:val="000000"/>
          <w:sz w:val="28"/>
          <w:szCs w:val="28"/>
          <w:rtl/>
        </w:rPr>
        <w:t>זאת, בין היתר נוכח ה</w:t>
      </w:r>
      <w:r w:rsidRPr="00376F4D">
        <w:rPr>
          <w:rFonts w:ascii="FrankRuehl" w:hAnsi="FrankRuehl" w:cs="FrankRuehl"/>
          <w:color w:val="000000"/>
          <w:sz w:val="28"/>
          <w:szCs w:val="28"/>
          <w:rtl/>
        </w:rPr>
        <w:t>משאבים המוגבלים של הרשות, והעדר אפשרות מעשית לנהל חקירה בכל מקרה של חשד לביצועה של עבירה פלילית והגשת כתב אישום בכל מקרה בו נמצא כי קיים סיכוי סביר להרשעה</w:t>
      </w:r>
      <w:r>
        <w:rPr>
          <w:rFonts w:ascii="FrankRuehl" w:hAnsi="FrankRuehl" w:cs="FrankRuehl" w:hint="cs"/>
          <w:color w:val="000000"/>
          <w:sz w:val="28"/>
          <w:szCs w:val="28"/>
          <w:rtl/>
        </w:rPr>
        <w:t>.</w:t>
      </w:r>
    </w:p>
    <w:p w14:paraId="7B6B3ED9" w14:textId="77777777" w:rsidR="00625D8C" w:rsidRDefault="00625D8C" w:rsidP="00625D8C">
      <w:pPr>
        <w:spacing w:line="360" w:lineRule="auto"/>
        <w:jc w:val="both"/>
        <w:rPr>
          <w:rFonts w:ascii="FrankRuehl" w:hAnsi="FrankRuehl" w:cs="FrankRuehl"/>
          <w:sz w:val="28"/>
          <w:szCs w:val="28"/>
          <w:rtl/>
        </w:rPr>
      </w:pPr>
    </w:p>
    <w:p w14:paraId="5C570710"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27.</w:t>
      </w:r>
      <w:r>
        <w:rPr>
          <w:rFonts w:ascii="FrankRuehl" w:hAnsi="FrankRuehl" w:cs="FrankRuehl" w:hint="cs"/>
          <w:sz w:val="28"/>
          <w:szCs w:val="28"/>
          <w:rtl/>
        </w:rPr>
        <w:tab/>
        <w:t xml:space="preserve">ברם, טענת המאשימה כי כלל השמות שמסר הנאשם בחקירתו, בכלל זה שמותיהם של אלו שיזמו את העסקאות, של אלו שהיו מקור הנשק והתחמושת, לא אותרו, כשלמעשה אף לא נטען כי נעשו ניסיונות לאתרם וכשהנאשם מסר בחקירתו פרטים ברורים ביותר על זהותם, כמו גם טענתה שאלו היו שותפים "רק" באישום אחד - עובדה שאגב אינה נכונה כשלעצמה בשים לב לחלקו של יזן עבידאת באישומים הראשון והשלישי </w:t>
      </w:r>
      <w:r>
        <w:rPr>
          <w:rFonts w:ascii="FrankRuehl" w:hAnsi="FrankRuehl" w:cs="FrankRuehl"/>
          <w:sz w:val="28"/>
          <w:szCs w:val="28"/>
          <w:rtl/>
        </w:rPr>
        <w:t>–</w:t>
      </w:r>
      <w:r>
        <w:rPr>
          <w:rFonts w:ascii="FrankRuehl" w:hAnsi="FrankRuehl" w:cs="FrankRuehl" w:hint="cs"/>
          <w:sz w:val="28"/>
          <w:szCs w:val="28"/>
          <w:rtl/>
        </w:rPr>
        <w:t xml:space="preserve"> ובכך יש להצדיק את ההתעלמות המוחלטת מכל אותם שותפים, אינה מתקבלת על הדעת. יש יותר מרגליים לסברת ב"כ הנאשם, כי לו היו מובאים מעורבים אלו לחקירה, כפי שמתבקש, הם היו קושרים עצמם לאירועים נוספים, כפי שעשה הנאשם.  </w:t>
      </w:r>
    </w:p>
    <w:p w14:paraId="11B6D0F3" w14:textId="77777777" w:rsidR="00625D8C" w:rsidRDefault="00625D8C" w:rsidP="00625D8C">
      <w:pPr>
        <w:spacing w:line="360" w:lineRule="auto"/>
        <w:jc w:val="both"/>
        <w:rPr>
          <w:rFonts w:ascii="FrankRuehl" w:hAnsi="FrankRuehl" w:cs="FrankRuehl"/>
          <w:sz w:val="28"/>
          <w:szCs w:val="28"/>
          <w:rtl/>
        </w:rPr>
      </w:pPr>
    </w:p>
    <w:p w14:paraId="2D7AAF7A"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t xml:space="preserve">כך או כך, </w:t>
      </w:r>
      <w:r w:rsidRPr="004169EE">
        <w:rPr>
          <w:rFonts w:ascii="FrankRuehl" w:hAnsi="FrankRuehl" w:cs="FrankRuehl" w:hint="cs"/>
          <w:sz w:val="28"/>
          <w:szCs w:val="28"/>
          <w:rtl/>
        </w:rPr>
        <w:t>טענת המאשימה לצורך בענישה מחמירה בעבירות נשק נוכח שכיחותן ותוצאתן הקשה</w:t>
      </w:r>
      <w:r w:rsidRPr="003C7F8B">
        <w:rPr>
          <w:rFonts w:ascii="FrankRuehl" w:hAnsi="FrankRuehl" w:cs="FrankRuehl" w:hint="cs"/>
          <w:sz w:val="28"/>
          <w:szCs w:val="28"/>
          <w:rtl/>
        </w:rPr>
        <w:t>, אינה יכולה לדור בכפיפה אחת עם חוסר המעש והמחדל בשימת היד על העבריינים בתחום זה. המלחמה כנגד תופעה חמורה זו של סחר</w:t>
      </w:r>
      <w:r>
        <w:rPr>
          <w:rFonts w:ascii="FrankRuehl" w:hAnsi="FrankRuehl" w:cs="FrankRuehl" w:hint="cs"/>
          <w:sz w:val="28"/>
          <w:szCs w:val="28"/>
          <w:rtl/>
        </w:rPr>
        <w:t>,</w:t>
      </w:r>
      <w:r w:rsidRPr="003C7F8B">
        <w:rPr>
          <w:rFonts w:ascii="FrankRuehl" w:hAnsi="FrankRuehl" w:cs="FrankRuehl" w:hint="cs"/>
          <w:sz w:val="28"/>
          <w:szCs w:val="28"/>
          <w:rtl/>
        </w:rPr>
        <w:t xml:space="preserve"> וכפועל יוצא מכך שימוש בנשק חם</w:t>
      </w:r>
      <w:r>
        <w:rPr>
          <w:rFonts w:ascii="FrankRuehl" w:hAnsi="FrankRuehl" w:cs="FrankRuehl" w:hint="cs"/>
          <w:sz w:val="28"/>
          <w:szCs w:val="28"/>
          <w:rtl/>
        </w:rPr>
        <w:t>,</w:t>
      </w:r>
      <w:r w:rsidRPr="003C7F8B">
        <w:rPr>
          <w:rFonts w:ascii="FrankRuehl" w:hAnsi="FrankRuehl" w:cs="FrankRuehl" w:hint="cs"/>
          <w:sz w:val="28"/>
          <w:szCs w:val="28"/>
          <w:rtl/>
        </w:rPr>
        <w:t xml:space="preserve"> הגובה כמעט מדי יום את חייהם של חפים מפשע, אינה יכולה להתמצות בהחמרת הענישה. היא דורשת גם את הגברת האכיפה. </w:t>
      </w:r>
    </w:p>
    <w:p w14:paraId="56AAB3CF" w14:textId="77777777" w:rsidR="00625D8C" w:rsidRDefault="00625D8C" w:rsidP="00625D8C">
      <w:pPr>
        <w:spacing w:line="360" w:lineRule="auto"/>
        <w:jc w:val="both"/>
        <w:rPr>
          <w:rFonts w:ascii="FrankRuehl" w:hAnsi="FrankRuehl" w:cs="FrankRuehl"/>
          <w:sz w:val="28"/>
          <w:szCs w:val="28"/>
          <w:rtl/>
        </w:rPr>
      </w:pPr>
    </w:p>
    <w:p w14:paraId="6DC0F9E4" w14:textId="77777777" w:rsidR="00625D8C" w:rsidRPr="00177272"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hint="cs"/>
          <w:sz w:val="28"/>
          <w:szCs w:val="28"/>
          <w:rtl/>
        </w:rPr>
        <w:tab/>
      </w:r>
      <w:r w:rsidRPr="003C7F8B">
        <w:rPr>
          <w:rFonts w:ascii="FrankRuehl" w:hAnsi="FrankRuehl" w:cs="FrankRuehl" w:hint="cs"/>
          <w:sz w:val="28"/>
          <w:szCs w:val="28"/>
          <w:rtl/>
        </w:rPr>
        <w:t xml:space="preserve">לא ניתן לקבל מצב בו יעמוד בפני רשות חוקרת </w:t>
      </w:r>
      <w:r>
        <w:rPr>
          <w:rFonts w:ascii="FrankRuehl" w:hAnsi="FrankRuehl" w:cs="FrankRuehl" w:hint="cs"/>
          <w:sz w:val="28"/>
          <w:szCs w:val="28"/>
          <w:rtl/>
        </w:rPr>
        <w:t xml:space="preserve">מידע על ביצוע עבירות בכל תחום, אך </w:t>
      </w:r>
      <w:r w:rsidRPr="003C7F8B">
        <w:rPr>
          <w:rFonts w:ascii="FrankRuehl" w:hAnsi="FrankRuehl" w:cs="FrankRuehl" w:hint="cs"/>
          <w:sz w:val="28"/>
          <w:szCs w:val="28"/>
          <w:rtl/>
        </w:rPr>
        <w:t xml:space="preserve">במיוחד בתחום </w:t>
      </w:r>
      <w:r w:rsidRPr="004169EE">
        <w:rPr>
          <w:rFonts w:ascii="FrankRuehl" w:hAnsi="FrankRuehl" w:cs="FrankRuehl" w:hint="cs"/>
          <w:sz w:val="28"/>
          <w:szCs w:val="28"/>
          <w:rtl/>
        </w:rPr>
        <w:t xml:space="preserve">זה של עבירות הנשק, מידע </w:t>
      </w:r>
      <w:r>
        <w:rPr>
          <w:rFonts w:ascii="FrankRuehl" w:hAnsi="FrankRuehl" w:cs="FrankRuehl" w:hint="cs"/>
          <w:sz w:val="28"/>
          <w:szCs w:val="28"/>
          <w:rtl/>
        </w:rPr>
        <w:t xml:space="preserve">ספציפי וממוקד </w:t>
      </w:r>
      <w:r w:rsidRPr="004169EE">
        <w:rPr>
          <w:rFonts w:ascii="FrankRuehl" w:hAnsi="FrankRuehl" w:cs="FrankRuehl" w:hint="cs"/>
          <w:sz w:val="28"/>
          <w:szCs w:val="28"/>
          <w:rtl/>
        </w:rPr>
        <w:t>אודות אנשים ש</w:t>
      </w:r>
      <w:r>
        <w:rPr>
          <w:rFonts w:ascii="FrankRuehl" w:hAnsi="FrankRuehl" w:cs="FrankRuehl" w:hint="cs"/>
          <w:sz w:val="28"/>
          <w:szCs w:val="28"/>
          <w:rtl/>
        </w:rPr>
        <w:t xml:space="preserve">היו </w:t>
      </w:r>
      <w:r w:rsidRPr="004169EE">
        <w:rPr>
          <w:rFonts w:ascii="FrankRuehl" w:hAnsi="FrankRuehl" w:cs="FrankRuehl" w:hint="cs"/>
          <w:sz w:val="28"/>
          <w:szCs w:val="28"/>
          <w:rtl/>
        </w:rPr>
        <w:t xml:space="preserve">שותפים לסחר בנשק, והם אפילו לא יזומנו לחקירה. מניעת פשיעה, </w:t>
      </w:r>
      <w:r>
        <w:rPr>
          <w:rFonts w:ascii="FrankRuehl" w:hAnsi="FrankRuehl" w:cs="FrankRuehl" w:hint="cs"/>
          <w:sz w:val="28"/>
          <w:szCs w:val="28"/>
          <w:rtl/>
        </w:rPr>
        <w:t>כפי העולה ממחקרים שונים</w:t>
      </w:r>
      <w:r w:rsidRPr="004169EE">
        <w:rPr>
          <w:rFonts w:ascii="FrankRuehl" w:hAnsi="FrankRuehl" w:cs="FrankRuehl" w:hint="cs"/>
          <w:sz w:val="28"/>
          <w:szCs w:val="28"/>
          <w:rtl/>
        </w:rPr>
        <w:t>, נעשית בראש ובראשונה בהגברת האכיפה, איתור העבריינ</w:t>
      </w:r>
      <w:r>
        <w:rPr>
          <w:rFonts w:ascii="FrankRuehl" w:hAnsi="FrankRuehl" w:cs="FrankRuehl" w:hint="cs"/>
          <w:sz w:val="28"/>
          <w:szCs w:val="28"/>
          <w:rtl/>
        </w:rPr>
        <w:t xml:space="preserve">ים והעמדתם לדין, ולאו דווקא </w:t>
      </w:r>
      <w:r w:rsidRPr="004169EE">
        <w:rPr>
          <w:rFonts w:ascii="FrankRuehl" w:hAnsi="FrankRuehl" w:cs="FrankRuehl" w:hint="cs"/>
          <w:sz w:val="28"/>
          <w:szCs w:val="28"/>
          <w:rtl/>
        </w:rPr>
        <w:t>בהחמרת הענישה</w:t>
      </w:r>
      <w:r>
        <w:rPr>
          <w:rFonts w:ascii="FrankRuehl" w:hAnsi="FrankRuehl" w:cs="FrankRuehl" w:hint="cs"/>
          <w:sz w:val="28"/>
          <w:szCs w:val="28"/>
          <w:rtl/>
        </w:rPr>
        <w:t xml:space="preserve"> (ראו, למשל: </w:t>
      </w:r>
      <w:r w:rsidRPr="00177272">
        <w:rPr>
          <w:rFonts w:ascii="FrankRuehl" w:hAnsi="FrankRuehl" w:cs="FrankRuehl"/>
          <w:sz w:val="28"/>
          <w:szCs w:val="28"/>
          <w:rtl/>
        </w:rPr>
        <w:t>דו"ח "הועדה הציבורית לבחינת מדיניות הענישה והטיפול בעבריינים" מנובמבר 2015</w:t>
      </w:r>
      <w:r>
        <w:rPr>
          <w:rFonts w:ascii="FrankRuehl" w:hAnsi="FrankRuehl" w:cs="FrankRuehl" w:hint="cs"/>
          <w:sz w:val="28"/>
          <w:szCs w:val="28"/>
          <w:rtl/>
        </w:rPr>
        <w:t>; ברק אריאל ויעל לוי-</w:t>
      </w:r>
      <w:hyperlink r:id="rId37" w:history="1">
        <w:r w:rsidR="001A46EE" w:rsidRPr="001A46EE">
          <w:rPr>
            <w:rFonts w:ascii="FrankRuehl" w:hAnsi="FrankRuehl" w:cs="FrankRuehl"/>
            <w:color w:val="0000FF"/>
            <w:sz w:val="28"/>
            <w:szCs w:val="28"/>
            <w:u w:val="single"/>
            <w:rtl/>
          </w:rPr>
          <w:t xml:space="preserve">אריאל "התבוננות מחודשת במוסד ההרתעה </w:t>
        </w:r>
      </w:hyperlink>
      <w:r>
        <w:rPr>
          <w:rFonts w:ascii="FrankRuehl" w:hAnsi="FrankRuehl" w:cs="FrankRuehl" w:hint="cs"/>
          <w:sz w:val="28"/>
          <w:szCs w:val="28"/>
          <w:rtl/>
        </w:rPr>
        <w:t xml:space="preserve"> (ובדרכים ליצירת הרתעה יעילה)", </w:t>
      </w:r>
      <w:r w:rsidRPr="00AF0297">
        <w:rPr>
          <w:rFonts w:ascii="FrankRuehl" w:hAnsi="FrankRuehl" w:cs="FrankRuehl" w:hint="cs"/>
          <w:b/>
          <w:bCs/>
          <w:sz w:val="28"/>
          <w:szCs w:val="28"/>
          <w:rtl/>
        </w:rPr>
        <w:t xml:space="preserve">משפט, חברה ותרבות </w:t>
      </w:r>
      <w:r w:rsidRPr="00AF0297">
        <w:rPr>
          <w:rFonts w:ascii="FrankRuehl" w:hAnsi="FrankRuehl" w:cs="FrankRuehl"/>
          <w:b/>
          <w:bCs/>
          <w:sz w:val="28"/>
          <w:szCs w:val="28"/>
          <w:rtl/>
        </w:rPr>
        <w:t>–</w:t>
      </w:r>
      <w:r w:rsidRPr="00AF0297">
        <w:rPr>
          <w:rFonts w:ascii="FrankRuehl" w:hAnsi="FrankRuehl" w:cs="FrankRuehl" w:hint="cs"/>
          <w:b/>
          <w:bCs/>
          <w:sz w:val="28"/>
          <w:szCs w:val="28"/>
          <w:rtl/>
        </w:rPr>
        <w:t xml:space="preserve"> משפט צדק? ההליך הפלילי בישראל </w:t>
      </w:r>
      <w:r w:rsidRPr="00AF0297">
        <w:rPr>
          <w:rFonts w:ascii="FrankRuehl" w:hAnsi="FrankRuehl" w:cs="FrankRuehl"/>
          <w:b/>
          <w:bCs/>
          <w:sz w:val="28"/>
          <w:szCs w:val="28"/>
          <w:rtl/>
        </w:rPr>
        <w:t>–</w:t>
      </w:r>
      <w:r w:rsidRPr="00AF0297">
        <w:rPr>
          <w:rFonts w:ascii="FrankRuehl" w:hAnsi="FrankRuehl" w:cs="FrankRuehl" w:hint="cs"/>
          <w:b/>
          <w:bCs/>
          <w:sz w:val="28"/>
          <w:szCs w:val="28"/>
          <w:rtl/>
        </w:rPr>
        <w:t xml:space="preserve"> כשלים ואתגרים</w:t>
      </w:r>
      <w:r>
        <w:rPr>
          <w:rFonts w:ascii="FrankRuehl" w:hAnsi="FrankRuehl" w:cs="FrankRuehl" w:hint="cs"/>
          <w:sz w:val="28"/>
          <w:szCs w:val="28"/>
          <w:rtl/>
        </w:rPr>
        <w:t xml:space="preserve"> (אלון הראל, עורך, 2017) 83).  </w:t>
      </w:r>
      <w:r w:rsidRPr="00177272">
        <w:rPr>
          <w:rFonts w:ascii="FrankRuehl" w:hAnsi="FrankRuehl" w:cs="FrankRuehl" w:hint="cs"/>
          <w:sz w:val="28"/>
          <w:szCs w:val="28"/>
          <w:rtl/>
        </w:rPr>
        <w:t xml:space="preserve"> </w:t>
      </w:r>
    </w:p>
    <w:p w14:paraId="1F3F9D09" w14:textId="77777777" w:rsidR="00625D8C" w:rsidRPr="003C7F8B" w:rsidRDefault="00625D8C" w:rsidP="00625D8C">
      <w:pPr>
        <w:spacing w:line="360" w:lineRule="auto"/>
        <w:jc w:val="both"/>
        <w:rPr>
          <w:rFonts w:ascii="FrankRuehl" w:hAnsi="FrankRuehl" w:cs="FrankRuehl"/>
          <w:sz w:val="28"/>
          <w:szCs w:val="28"/>
          <w:rtl/>
        </w:rPr>
      </w:pPr>
    </w:p>
    <w:p w14:paraId="667829D3" w14:textId="77777777" w:rsidR="00625D8C" w:rsidRDefault="00625D8C" w:rsidP="00625D8C">
      <w:pPr>
        <w:spacing w:line="360" w:lineRule="auto"/>
        <w:jc w:val="both"/>
        <w:rPr>
          <w:rFonts w:ascii="FrankRuehl" w:hAnsi="FrankRuehl" w:cs="FrankRuehl"/>
          <w:color w:val="000000"/>
          <w:sz w:val="28"/>
          <w:szCs w:val="28"/>
          <w:rtl/>
        </w:rPr>
      </w:pPr>
      <w:r>
        <w:rPr>
          <w:rFonts w:ascii="FrankRuehl" w:hAnsi="FrankRuehl" w:cs="FrankRuehl" w:hint="cs"/>
          <w:sz w:val="28"/>
          <w:szCs w:val="28"/>
          <w:rtl/>
        </w:rPr>
        <w:t>30.</w:t>
      </w:r>
      <w:r>
        <w:rPr>
          <w:rFonts w:ascii="FrankRuehl" w:hAnsi="FrankRuehl" w:cs="FrankRuehl" w:hint="cs"/>
          <w:sz w:val="28"/>
          <w:szCs w:val="28"/>
          <w:rtl/>
        </w:rPr>
        <w:tab/>
      </w:r>
      <w:r w:rsidRPr="003C7F8B">
        <w:rPr>
          <w:rFonts w:ascii="FrankRuehl" w:hAnsi="FrankRuehl" w:cs="FrankRuehl" w:hint="cs"/>
          <w:sz w:val="28"/>
          <w:szCs w:val="28"/>
          <w:rtl/>
        </w:rPr>
        <w:t>אך אין מדובר רק במחדל של רשויות אכיפת החוק. יש לכך השלכה ישירה גם על הנאשם</w:t>
      </w:r>
      <w:r>
        <w:rPr>
          <w:rFonts w:ascii="FrankRuehl" w:hAnsi="FrankRuehl" w:cs="FrankRuehl" w:hint="cs"/>
          <w:sz w:val="28"/>
          <w:szCs w:val="28"/>
          <w:rtl/>
        </w:rPr>
        <w:t xml:space="preserve"> וניהול ההליך הפלילי כנגדו</w:t>
      </w:r>
      <w:r w:rsidRPr="003C7F8B">
        <w:rPr>
          <w:rFonts w:ascii="FrankRuehl" w:hAnsi="FrankRuehl" w:cs="FrankRuehl" w:hint="cs"/>
          <w:sz w:val="28"/>
          <w:szCs w:val="28"/>
          <w:rtl/>
        </w:rPr>
        <w:t xml:space="preserve">. כאשר מתברר שביחס לאירועים שונים, בו נטלו חלק, מטבעם </w:t>
      </w:r>
      <w:r w:rsidRPr="004169EE">
        <w:rPr>
          <w:rFonts w:ascii="FrankRuehl" w:hAnsi="FrankRuehl" w:cs="FrankRuehl" w:hint="cs"/>
          <w:sz w:val="28"/>
          <w:szCs w:val="28"/>
          <w:rtl/>
        </w:rPr>
        <w:t xml:space="preserve">של דברים, גורמים שונים </w:t>
      </w:r>
      <w:r w:rsidRPr="004169EE">
        <w:rPr>
          <w:rFonts w:ascii="FrankRuehl" w:hAnsi="FrankRuehl" w:cs="FrankRuehl"/>
          <w:sz w:val="28"/>
          <w:szCs w:val="28"/>
          <w:rtl/>
        </w:rPr>
        <w:t>–</w:t>
      </w:r>
      <w:r w:rsidRPr="004169EE">
        <w:rPr>
          <w:rFonts w:ascii="FrankRuehl" w:hAnsi="FrankRuehl" w:cs="FrankRuehl" w:hint="cs"/>
          <w:sz w:val="28"/>
          <w:szCs w:val="28"/>
          <w:rtl/>
        </w:rPr>
        <w:t xml:space="preserve"> מוכרים, קונים ומתווכים </w:t>
      </w:r>
      <w:r w:rsidRPr="004169EE">
        <w:rPr>
          <w:rFonts w:ascii="FrankRuehl" w:hAnsi="FrankRuehl" w:cs="FrankRuehl"/>
          <w:sz w:val="28"/>
          <w:szCs w:val="28"/>
          <w:rtl/>
        </w:rPr>
        <w:t>–</w:t>
      </w:r>
      <w:r w:rsidRPr="004169EE">
        <w:rPr>
          <w:rFonts w:ascii="FrankRuehl" w:hAnsi="FrankRuehl" w:cs="FrankRuehl" w:hint="cs"/>
          <w:sz w:val="28"/>
          <w:szCs w:val="28"/>
          <w:rtl/>
        </w:rPr>
        <w:t xml:space="preserve"> הועמד לדין רק אחד מקושרי הקשר,</w:t>
      </w:r>
      <w:r>
        <w:rPr>
          <w:rFonts w:ascii="FrankRuehl" w:hAnsi="FrankRuehl" w:cs="FrankRuehl" w:hint="cs"/>
          <w:sz w:val="28"/>
          <w:szCs w:val="28"/>
          <w:rtl/>
        </w:rPr>
        <w:t xml:space="preserve"> דווקא זה אשר הודה בכך בחקירתו ומסר את כל המידע,</w:t>
      </w:r>
      <w:r w:rsidRPr="004169EE">
        <w:rPr>
          <w:rFonts w:ascii="FrankRuehl" w:hAnsi="FrankRuehl" w:cs="FrankRuehl" w:hint="cs"/>
          <w:sz w:val="28"/>
          <w:szCs w:val="28"/>
          <w:rtl/>
        </w:rPr>
        <w:t xml:space="preserve"> כשאף לא ברור שחלקו הוא הדומיננטי, ואילו האחרים לא אך שלא הועמדו לדין אלא אף לא נעשה מאמץ לחקור אותם, הדבר מעורר </w:t>
      </w:r>
      <w:r>
        <w:rPr>
          <w:rFonts w:ascii="FrankRuehl" w:hAnsi="FrankRuehl" w:cs="FrankRuehl" w:hint="cs"/>
          <w:sz w:val="28"/>
          <w:szCs w:val="28"/>
          <w:rtl/>
        </w:rPr>
        <w:t xml:space="preserve">אצל הנאשם </w:t>
      </w:r>
      <w:r w:rsidRPr="004169EE">
        <w:rPr>
          <w:rFonts w:ascii="FrankRuehl" w:hAnsi="FrankRuehl" w:cs="FrankRuehl" w:hint="cs"/>
          <w:sz w:val="28"/>
          <w:szCs w:val="28"/>
          <w:rtl/>
        </w:rPr>
        <w:t>תחושה</w:t>
      </w:r>
      <w:r>
        <w:rPr>
          <w:rFonts w:ascii="FrankRuehl" w:hAnsi="FrankRuehl" w:cs="FrankRuehl" w:hint="cs"/>
          <w:sz w:val="28"/>
          <w:szCs w:val="28"/>
          <w:rtl/>
        </w:rPr>
        <w:t>, צודקת,</w:t>
      </w:r>
      <w:r w:rsidRPr="004169EE">
        <w:rPr>
          <w:rFonts w:ascii="FrankRuehl" w:hAnsi="FrankRuehl" w:cs="FrankRuehl" w:hint="cs"/>
          <w:sz w:val="28"/>
          <w:szCs w:val="28"/>
          <w:rtl/>
        </w:rPr>
        <w:t xml:space="preserve"> של חוסר שוויון </w:t>
      </w:r>
      <w:r>
        <w:rPr>
          <w:rFonts w:ascii="FrankRuehl" w:hAnsi="FrankRuehl" w:cs="FrankRuehl" w:hint="cs"/>
          <w:sz w:val="28"/>
          <w:szCs w:val="28"/>
          <w:rtl/>
        </w:rPr>
        <w:t xml:space="preserve">ואכיפה בררנית. הנזק מתחושה זו הוא </w:t>
      </w:r>
      <w:r>
        <w:rPr>
          <w:rFonts w:ascii="FrankRuehl" w:hAnsi="FrankRuehl" w:cs="FrankRuehl" w:hint="cs"/>
          <w:color w:val="000000"/>
          <w:sz w:val="28"/>
          <w:szCs w:val="28"/>
          <w:rtl/>
        </w:rPr>
        <w:t xml:space="preserve">רב. </w:t>
      </w:r>
      <w:r w:rsidRPr="00376F4D">
        <w:rPr>
          <w:rFonts w:ascii="FrankRuehl" w:hAnsi="FrankRuehl" w:cs="FrankRuehl"/>
          <w:color w:val="000000"/>
          <w:sz w:val="28"/>
          <w:szCs w:val="28"/>
          <w:rtl/>
        </w:rPr>
        <w:t>כ</w:t>
      </w:r>
      <w:r>
        <w:rPr>
          <w:rFonts w:ascii="FrankRuehl" w:hAnsi="FrankRuehl" w:cs="FrankRuehl" w:hint="cs"/>
          <w:color w:val="000000"/>
          <w:sz w:val="28"/>
          <w:szCs w:val="28"/>
          <w:rtl/>
        </w:rPr>
        <w:t>בר</w:t>
      </w:r>
      <w:r w:rsidRPr="00376F4D">
        <w:rPr>
          <w:rFonts w:ascii="FrankRuehl" w:hAnsi="FrankRuehl" w:cs="FrankRuehl"/>
          <w:color w:val="000000"/>
          <w:sz w:val="28"/>
          <w:szCs w:val="28"/>
          <w:rtl/>
        </w:rPr>
        <w:t xml:space="preserve"> נאמר כי: "אין לך גורם הרסני יותר לחברה מאשר תחושת בניה ובנותיה כי</w:t>
      </w:r>
      <w:r>
        <w:rPr>
          <w:rFonts w:cs="Times New Roman" w:hint="cs"/>
          <w:color w:val="000000"/>
          <w:sz w:val="27"/>
          <w:szCs w:val="27"/>
          <w:rtl/>
        </w:rPr>
        <w:t xml:space="preserve"> </w:t>
      </w:r>
      <w:r>
        <w:rPr>
          <w:rFonts w:ascii="FrankRuehl" w:hAnsi="FrankRuehl" w:cs="FrankRuehl" w:hint="cs"/>
          <w:color w:val="000000"/>
          <w:sz w:val="28"/>
          <w:szCs w:val="28"/>
          <w:rtl/>
        </w:rPr>
        <w:t>נ</w:t>
      </w:r>
      <w:r w:rsidRPr="00376F4D">
        <w:rPr>
          <w:rFonts w:ascii="FrankRuehl" w:hAnsi="FrankRuehl" w:cs="FrankRuehl"/>
          <w:color w:val="000000"/>
          <w:sz w:val="28"/>
          <w:szCs w:val="28"/>
          <w:rtl/>
        </w:rPr>
        <w:t>והגים בהם איפה ואיפה. תחושת חוסר השוויון היא מהקשה שבתחושות. היא פוגעת בכוחות המאחדים את החברה"</w:t>
      </w:r>
      <w:r>
        <w:rPr>
          <w:rFonts w:ascii="FrankRuehl" w:hAnsi="FrankRuehl" w:cs="FrankRuehl" w:hint="cs"/>
          <w:color w:val="000000"/>
          <w:sz w:val="28"/>
          <w:szCs w:val="28"/>
          <w:rtl/>
        </w:rPr>
        <w:t xml:space="preserve"> (</w:t>
      </w:r>
      <w:hyperlink r:id="rId38" w:history="1">
        <w:r w:rsidR="001A46EE" w:rsidRPr="001A46EE">
          <w:rPr>
            <w:rFonts w:ascii="FrankRuehl" w:hAnsi="FrankRuehl" w:cs="FrankRuehl"/>
            <w:color w:val="0000FF"/>
            <w:sz w:val="28"/>
            <w:szCs w:val="28"/>
            <w:u w:val="single"/>
            <w:rtl/>
          </w:rPr>
          <w:t>בג"ץ 953/87</w:t>
        </w:r>
      </w:hyperlink>
      <w:r>
        <w:rPr>
          <w:rFonts w:ascii="FrankRuehl" w:hAnsi="FrankRuehl" w:cs="FrankRuehl" w:hint="cs"/>
          <w:color w:val="000000"/>
          <w:sz w:val="28"/>
          <w:szCs w:val="28"/>
          <w:rtl/>
        </w:rPr>
        <w:t xml:space="preserve"> </w:t>
      </w:r>
      <w:r w:rsidRPr="003C7F8B">
        <w:rPr>
          <w:rFonts w:ascii="FrankRuehl" w:hAnsi="FrankRuehl" w:cs="FrankRuehl" w:hint="cs"/>
          <w:b/>
          <w:bCs/>
          <w:color w:val="000000"/>
          <w:sz w:val="28"/>
          <w:szCs w:val="28"/>
          <w:rtl/>
        </w:rPr>
        <w:t>פורז נ' ראש עיריית תל אביב יפו</w:t>
      </w:r>
      <w:r>
        <w:rPr>
          <w:rFonts w:ascii="FrankRuehl" w:hAnsi="FrankRuehl" w:cs="FrankRuehl" w:hint="cs"/>
          <w:color w:val="000000"/>
          <w:sz w:val="28"/>
          <w:szCs w:val="28"/>
          <w:rtl/>
        </w:rPr>
        <w:t>, פ"ד מב</w:t>
      </w:r>
      <w:r w:rsidRPr="00376F4D">
        <w:rPr>
          <w:rFonts w:ascii="FrankRuehl" w:hAnsi="FrankRuehl" w:cs="FrankRuehl"/>
          <w:color w:val="000000"/>
          <w:sz w:val="28"/>
          <w:szCs w:val="28"/>
          <w:rtl/>
        </w:rPr>
        <w:t>(2) 309, 332 (1988)).</w:t>
      </w:r>
      <w:r w:rsidR="001A46EE">
        <w:rPr>
          <w:rFonts w:ascii="FrankRuehl" w:hAnsi="FrankRuehl" w:cs="FrankRuehl"/>
          <w:color w:val="000000"/>
          <w:sz w:val="28"/>
          <w:szCs w:val="28"/>
          <w:rtl/>
        </w:rPr>
        <w:t xml:space="preserve"> </w:t>
      </w:r>
      <w:r w:rsidRPr="00376F4D">
        <w:rPr>
          <w:rFonts w:ascii="FrankRuehl" w:hAnsi="FrankRuehl" w:cs="FrankRuehl"/>
          <w:color w:val="000000"/>
          <w:sz w:val="28"/>
          <w:szCs w:val="28"/>
          <w:rtl/>
        </w:rPr>
        <w:t>בבסיס השוויון בפני הדין הפלילי ניצבת ההנחה כי כל אדם העובר עבירה ייתן על כך את הדין</w:t>
      </w:r>
      <w:r>
        <w:rPr>
          <w:rFonts w:ascii="FrankRuehl" w:hAnsi="FrankRuehl" w:cs="FrankRuehl" w:hint="cs"/>
          <w:color w:val="000000"/>
          <w:sz w:val="28"/>
          <w:szCs w:val="28"/>
          <w:rtl/>
        </w:rPr>
        <w:t xml:space="preserve">. בפרט נכון הדבר, כאשר מדובר במעורבים באותה עסקה עצמה, כשלעיתים חלקם של המעורבים חמור משל הנאשם, בוודאי לא נופל ממנו. ובפרט כשטענה זו עלתה כבר בשלב מוקדם, ובפני המאשימה עמדה האפשרות לפעול לתיקון המעוות, שכן מדובר בעבירות שבוצעו לא לפני זמן רב, אך היא לא עשתה דבר בעניין זה. </w:t>
      </w:r>
    </w:p>
    <w:p w14:paraId="2AE96F67" w14:textId="77777777" w:rsidR="00625D8C" w:rsidRDefault="00625D8C" w:rsidP="00625D8C">
      <w:pPr>
        <w:spacing w:line="360" w:lineRule="auto"/>
        <w:jc w:val="both"/>
        <w:rPr>
          <w:rFonts w:ascii="FrankRuehl" w:hAnsi="FrankRuehl" w:cs="FrankRuehl"/>
          <w:color w:val="000000"/>
          <w:sz w:val="28"/>
          <w:szCs w:val="28"/>
          <w:rtl/>
        </w:rPr>
      </w:pPr>
    </w:p>
    <w:p w14:paraId="58637D89" w14:textId="77777777" w:rsidR="00625D8C" w:rsidRDefault="00625D8C" w:rsidP="00625D8C">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31.</w:t>
      </w:r>
      <w:r>
        <w:rPr>
          <w:rFonts w:ascii="FrankRuehl" w:hAnsi="FrankRuehl" w:cs="FrankRuehl"/>
          <w:color w:val="000000"/>
          <w:sz w:val="28"/>
          <w:szCs w:val="28"/>
          <w:rtl/>
        </w:rPr>
        <w:tab/>
      </w:r>
      <w:r w:rsidRPr="00376F4D">
        <w:rPr>
          <w:rFonts w:ascii="FrankRuehl" w:hAnsi="FrankRuehl" w:cs="FrankRuehl"/>
          <w:color w:val="000000"/>
          <w:sz w:val="28"/>
          <w:szCs w:val="28"/>
          <w:rtl/>
        </w:rPr>
        <w:t xml:space="preserve">אמנם, </w:t>
      </w:r>
      <w:r>
        <w:rPr>
          <w:rFonts w:ascii="FrankRuehl" w:hAnsi="FrankRuehl" w:cs="FrankRuehl" w:hint="cs"/>
          <w:color w:val="000000"/>
          <w:sz w:val="28"/>
          <w:szCs w:val="28"/>
          <w:rtl/>
        </w:rPr>
        <w:t xml:space="preserve">אל מול אינטרס זה של אכיפה שוויונית, </w:t>
      </w:r>
      <w:r w:rsidRPr="00376F4D">
        <w:rPr>
          <w:rFonts w:ascii="FrankRuehl" w:hAnsi="FrankRuehl" w:cs="FrankRuehl"/>
          <w:color w:val="000000"/>
          <w:sz w:val="28"/>
          <w:szCs w:val="28"/>
          <w:rtl/>
        </w:rPr>
        <w:t>ניצב</w:t>
      </w:r>
      <w:r>
        <w:rPr>
          <w:rFonts w:ascii="FrankRuehl" w:hAnsi="FrankRuehl" w:cs="FrankRuehl" w:hint="cs"/>
          <w:color w:val="000000"/>
          <w:sz w:val="28"/>
          <w:szCs w:val="28"/>
          <w:rtl/>
        </w:rPr>
        <w:t>ים ה</w:t>
      </w:r>
      <w:r w:rsidRPr="00376F4D">
        <w:rPr>
          <w:rFonts w:ascii="FrankRuehl" w:hAnsi="FrankRuehl" w:cs="FrankRuehl"/>
          <w:color w:val="000000"/>
          <w:sz w:val="28"/>
          <w:szCs w:val="28"/>
          <w:rtl/>
        </w:rPr>
        <w:t xml:space="preserve">אינטרסים </w:t>
      </w:r>
      <w:r>
        <w:rPr>
          <w:rFonts w:ascii="FrankRuehl" w:hAnsi="FrankRuehl" w:cs="FrankRuehl" w:hint="cs"/>
          <w:color w:val="000000"/>
          <w:sz w:val="28"/>
          <w:szCs w:val="28"/>
          <w:rtl/>
        </w:rPr>
        <w:t xml:space="preserve">של </w:t>
      </w:r>
      <w:r w:rsidRPr="00376F4D">
        <w:rPr>
          <w:rFonts w:ascii="FrankRuehl" w:hAnsi="FrankRuehl" w:cs="FrankRuehl"/>
          <w:color w:val="000000"/>
          <w:sz w:val="28"/>
          <w:szCs w:val="28"/>
          <w:rtl/>
        </w:rPr>
        <w:t xml:space="preserve">מיצוי הדין עם </w:t>
      </w:r>
      <w:r>
        <w:rPr>
          <w:rFonts w:ascii="FrankRuehl" w:hAnsi="FrankRuehl" w:cs="FrankRuehl" w:hint="cs"/>
          <w:color w:val="000000"/>
          <w:sz w:val="28"/>
          <w:szCs w:val="28"/>
          <w:rtl/>
        </w:rPr>
        <w:t>ה</w:t>
      </w:r>
      <w:r w:rsidRPr="00376F4D">
        <w:rPr>
          <w:rFonts w:ascii="FrankRuehl" w:hAnsi="FrankRuehl" w:cs="FrankRuehl"/>
          <w:color w:val="000000"/>
          <w:sz w:val="28"/>
          <w:szCs w:val="28"/>
          <w:rtl/>
        </w:rPr>
        <w:t xml:space="preserve">עבריינים; </w:t>
      </w:r>
      <w:r>
        <w:rPr>
          <w:rFonts w:ascii="FrankRuehl" w:hAnsi="FrankRuehl" w:cs="FrankRuehl" w:hint="cs"/>
          <w:color w:val="000000"/>
          <w:sz w:val="28"/>
          <w:szCs w:val="28"/>
          <w:rtl/>
        </w:rPr>
        <w:t>ושאר שיקולי ה</w:t>
      </w:r>
      <w:r w:rsidRPr="00376F4D">
        <w:rPr>
          <w:rFonts w:ascii="FrankRuehl" w:hAnsi="FrankRuehl" w:cs="FrankRuehl"/>
          <w:color w:val="000000"/>
          <w:sz w:val="28"/>
          <w:szCs w:val="28"/>
          <w:rtl/>
        </w:rPr>
        <w:t>הרתעה ו</w:t>
      </w:r>
      <w:r>
        <w:rPr>
          <w:rFonts w:ascii="FrankRuehl" w:hAnsi="FrankRuehl" w:cs="FrankRuehl" w:hint="cs"/>
          <w:color w:val="000000"/>
          <w:sz w:val="28"/>
          <w:szCs w:val="28"/>
          <w:rtl/>
        </w:rPr>
        <w:t>ה</w:t>
      </w:r>
      <w:r w:rsidRPr="00376F4D">
        <w:rPr>
          <w:rFonts w:ascii="FrankRuehl" w:hAnsi="FrankRuehl" w:cs="FrankRuehl"/>
          <w:color w:val="000000"/>
          <w:sz w:val="28"/>
          <w:szCs w:val="28"/>
          <w:rtl/>
        </w:rPr>
        <w:t>ענישה</w:t>
      </w:r>
      <w:r>
        <w:rPr>
          <w:rFonts w:ascii="FrankRuehl" w:hAnsi="FrankRuehl" w:cs="FrankRuehl" w:hint="cs"/>
          <w:color w:val="000000"/>
          <w:sz w:val="28"/>
          <w:szCs w:val="28"/>
          <w:rtl/>
        </w:rPr>
        <w:t xml:space="preserve">. מבלי לפגוע באמור באשר לחובת מיצוי החקירה והפגיעה בשוויון, גם לא ניתן להתעלם מחלקו של הנאשם אל מול חלקם של כלל המעורבים כפי שהדבר בא לידי ביטוי באישומים השונים בכתב האישום.  </w:t>
      </w:r>
    </w:p>
    <w:p w14:paraId="7BD3D6AB" w14:textId="77777777" w:rsidR="00625D8C" w:rsidRDefault="00625D8C" w:rsidP="00625D8C">
      <w:pPr>
        <w:spacing w:line="360" w:lineRule="auto"/>
        <w:jc w:val="both"/>
        <w:rPr>
          <w:rFonts w:ascii="FrankRuehl" w:hAnsi="FrankRuehl" w:cs="FrankRuehl"/>
          <w:color w:val="000000"/>
          <w:sz w:val="28"/>
          <w:szCs w:val="28"/>
          <w:rtl/>
        </w:rPr>
      </w:pPr>
    </w:p>
    <w:p w14:paraId="08DF5F87" w14:textId="77777777" w:rsidR="00625D8C" w:rsidRDefault="00625D8C" w:rsidP="00625D8C">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 xml:space="preserve">לכן, לעניין זה יש לתת משקל, בשים לב לשלב השלישי שנקבע בעניין </w:t>
      </w:r>
      <w:r w:rsidRPr="00C32070">
        <w:rPr>
          <w:rFonts w:ascii="FrankRuehl" w:hAnsi="FrankRuehl" w:cs="FrankRuehl" w:hint="cs"/>
          <w:b/>
          <w:bCs/>
          <w:color w:val="000000"/>
          <w:sz w:val="28"/>
          <w:szCs w:val="28"/>
          <w:rtl/>
        </w:rPr>
        <w:t>בורוביץ'</w:t>
      </w:r>
      <w:r>
        <w:rPr>
          <w:rFonts w:ascii="FrankRuehl" w:hAnsi="FrankRuehl" w:cs="FrankRuehl" w:hint="cs"/>
          <w:color w:val="000000"/>
          <w:sz w:val="28"/>
          <w:szCs w:val="28"/>
          <w:rtl/>
        </w:rPr>
        <w:t xml:space="preserve"> (ע"פ </w:t>
      </w:r>
      <w:hyperlink r:id="rId39" w:history="1">
        <w:r w:rsidR="00E42D74" w:rsidRPr="00E42D74">
          <w:rPr>
            <w:rFonts w:ascii="FrankRuehl" w:hAnsi="FrankRuehl" w:cs="FrankRuehl"/>
            <w:color w:val="0000FF"/>
            <w:sz w:val="28"/>
            <w:szCs w:val="28"/>
            <w:u w:val="single"/>
            <w:rtl/>
          </w:rPr>
          <w:t xml:space="preserve">4855/92 </w:t>
        </w:r>
      </w:hyperlink>
      <w:r>
        <w:rPr>
          <w:rFonts w:ascii="FrankRuehl" w:hAnsi="FrankRuehl" w:cs="FrankRuehl" w:hint="cs"/>
          <w:color w:val="000000"/>
          <w:sz w:val="28"/>
          <w:szCs w:val="28"/>
          <w:rtl/>
        </w:rPr>
        <w:t xml:space="preserve"> </w:t>
      </w:r>
      <w:r w:rsidRPr="00C32070">
        <w:rPr>
          <w:rFonts w:ascii="FrankRuehl" w:hAnsi="FrankRuehl" w:cs="FrankRuehl" w:hint="cs"/>
          <w:b/>
          <w:bCs/>
          <w:color w:val="000000"/>
          <w:sz w:val="28"/>
          <w:szCs w:val="28"/>
          <w:rtl/>
        </w:rPr>
        <w:t>מדינת ישראל נ' בורוביץ'</w:t>
      </w:r>
      <w:r>
        <w:rPr>
          <w:rFonts w:ascii="FrankRuehl" w:hAnsi="FrankRuehl" w:cs="FrankRuehl" w:hint="cs"/>
          <w:color w:val="000000"/>
          <w:sz w:val="28"/>
          <w:szCs w:val="28"/>
          <w:rtl/>
        </w:rPr>
        <w:t xml:space="preserve">, פ"ד נט(6) 776 (2005)), אך במשורה, במסגרת קביעת עונשו של הנאשם. </w:t>
      </w:r>
      <w:r w:rsidRPr="00376F4D">
        <w:rPr>
          <w:rFonts w:ascii="FrankRuehl" w:hAnsi="FrankRuehl" w:cs="FrankRuehl"/>
          <w:color w:val="000000"/>
          <w:sz w:val="28"/>
          <w:szCs w:val="28"/>
          <w:rtl/>
        </w:rPr>
        <w:t xml:space="preserve"> </w:t>
      </w:r>
    </w:p>
    <w:p w14:paraId="7C6065D4"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 xml:space="preserve"> </w:t>
      </w:r>
    </w:p>
    <w:p w14:paraId="192F612A"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מכאן לנאשם.</w:t>
      </w:r>
    </w:p>
    <w:p w14:paraId="49AF5881" w14:textId="77777777" w:rsidR="00625D8C" w:rsidRDefault="00625D8C" w:rsidP="00625D8C">
      <w:pPr>
        <w:spacing w:line="360" w:lineRule="auto"/>
        <w:jc w:val="both"/>
        <w:rPr>
          <w:rFonts w:ascii="FrankRuehl" w:hAnsi="FrankRuehl" w:cs="FrankRuehl"/>
          <w:sz w:val="28"/>
          <w:szCs w:val="28"/>
          <w:rtl/>
        </w:rPr>
      </w:pPr>
    </w:p>
    <w:p w14:paraId="66E33B4E"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31.</w:t>
      </w:r>
      <w:r>
        <w:rPr>
          <w:rFonts w:ascii="FrankRuehl" w:hAnsi="FrankRuehl" w:cs="FrankRuehl" w:hint="cs"/>
          <w:sz w:val="28"/>
          <w:szCs w:val="28"/>
          <w:rtl/>
        </w:rPr>
        <w:tab/>
        <w:t xml:space="preserve">הנאשם יליד שנת 2000, כיום בן 21. נעדר עבר פלילי. הגם שכפי שעולה מתסקיר שירות המבחן הנאשם נוטה לצמצם את חלקו ומטשטש את אופי קשריו השוליים והעברייניים, ככלל הוא חי עד היום חיים נורמטיביים, עבד ולמד, הודה במיוחס לו והביע חרטה על מעשיו. מהתסקיר עולה כי כבר בתקופת מעצרו הוא פעל בבית המעצר במתן סיוע לעצירים שנזקקו לתמיכה. </w:t>
      </w:r>
    </w:p>
    <w:p w14:paraId="36671580" w14:textId="77777777" w:rsidR="00625D8C" w:rsidRDefault="00625D8C" w:rsidP="00625D8C">
      <w:pPr>
        <w:spacing w:line="360" w:lineRule="auto"/>
        <w:jc w:val="both"/>
        <w:rPr>
          <w:rFonts w:ascii="FrankRuehl" w:hAnsi="FrankRuehl" w:cs="FrankRuehl"/>
          <w:sz w:val="28"/>
          <w:szCs w:val="28"/>
          <w:rtl/>
        </w:rPr>
      </w:pPr>
    </w:p>
    <w:p w14:paraId="2BB09423" w14:textId="77777777" w:rsidR="00625D8C"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32.</w:t>
      </w:r>
      <w:r>
        <w:rPr>
          <w:rFonts w:ascii="FrankRuehl" w:hAnsi="FrankRuehl" w:cs="FrankRuehl" w:hint="cs"/>
          <w:sz w:val="28"/>
          <w:szCs w:val="28"/>
          <w:rtl/>
        </w:rPr>
        <w:tab/>
        <w:t xml:space="preserve">בשים לב לאמור, יש לקבוע את עונשו של הנאשם בסמוך לתחתית המתחם, ובשים לב לאמור לעניין הפגיעה בשוויון בהתעלמות המוחלטת של הרשות החוקרת מחלקם של שותפיו, המצדיקה הקלה מן הצדק בעונש, אני סבור כי יש בכך להצדיק קביעת עונש מעט למטה מהרף התחתון. </w:t>
      </w:r>
    </w:p>
    <w:p w14:paraId="302FC4E1" w14:textId="77777777" w:rsidR="00625D8C" w:rsidRDefault="00625D8C" w:rsidP="00625D8C">
      <w:pPr>
        <w:spacing w:line="360" w:lineRule="auto"/>
        <w:jc w:val="both"/>
        <w:rPr>
          <w:rFonts w:ascii="FrankRuehl" w:hAnsi="FrankRuehl" w:cs="FrankRuehl"/>
          <w:sz w:val="28"/>
          <w:szCs w:val="28"/>
          <w:rtl/>
        </w:rPr>
      </w:pPr>
    </w:p>
    <w:p w14:paraId="33A0AE20" w14:textId="77777777" w:rsidR="00625D8C" w:rsidRPr="008315D2" w:rsidRDefault="00625D8C" w:rsidP="00625D8C">
      <w:pPr>
        <w:spacing w:line="360" w:lineRule="auto"/>
        <w:jc w:val="both"/>
        <w:rPr>
          <w:rFonts w:ascii="FrankRuehl" w:hAnsi="FrankRuehl" w:cs="FrankRuehl"/>
          <w:sz w:val="28"/>
          <w:szCs w:val="28"/>
          <w:rtl/>
        </w:rPr>
      </w:pPr>
      <w:r>
        <w:rPr>
          <w:rFonts w:ascii="FrankRuehl" w:hAnsi="FrankRuehl" w:cs="FrankRuehl" w:hint="cs"/>
          <w:sz w:val="28"/>
          <w:szCs w:val="28"/>
          <w:rtl/>
        </w:rPr>
        <w:t>33.</w:t>
      </w:r>
      <w:r>
        <w:rPr>
          <w:rFonts w:ascii="FrankRuehl" w:hAnsi="FrankRuehl" w:cs="FrankRuehl" w:hint="cs"/>
          <w:sz w:val="28"/>
          <w:szCs w:val="28"/>
          <w:rtl/>
        </w:rPr>
        <w:tab/>
      </w:r>
      <w:r w:rsidRPr="008315D2">
        <w:rPr>
          <w:rFonts w:ascii="FrankRuehl" w:hAnsi="FrankRuehl" w:cs="FrankRuehl"/>
          <w:sz w:val="28"/>
          <w:szCs w:val="28"/>
          <w:rtl/>
        </w:rPr>
        <w:t xml:space="preserve">אשר על כן אני </w:t>
      </w:r>
      <w:r w:rsidRPr="008315D2">
        <w:rPr>
          <w:rFonts w:ascii="FrankRuehl" w:hAnsi="FrankRuehl" w:cs="FrankRuehl" w:hint="cs"/>
          <w:sz w:val="28"/>
          <w:szCs w:val="28"/>
          <w:rtl/>
        </w:rPr>
        <w:t>משי</w:t>
      </w:r>
      <w:r w:rsidRPr="008315D2">
        <w:rPr>
          <w:rFonts w:ascii="FrankRuehl" w:hAnsi="FrankRuehl" w:cs="FrankRuehl"/>
          <w:sz w:val="28"/>
          <w:szCs w:val="28"/>
          <w:rtl/>
        </w:rPr>
        <w:t xml:space="preserve">ת על הנאשם את העונשים </w:t>
      </w:r>
      <w:r w:rsidRPr="008315D2">
        <w:rPr>
          <w:rFonts w:ascii="FrankRuehl" w:hAnsi="FrankRuehl" w:cs="FrankRuehl" w:hint="cs"/>
          <w:sz w:val="28"/>
          <w:szCs w:val="28"/>
          <w:rtl/>
        </w:rPr>
        <w:t>הבאים</w:t>
      </w:r>
      <w:r w:rsidRPr="008315D2">
        <w:rPr>
          <w:rFonts w:ascii="FrankRuehl" w:hAnsi="FrankRuehl" w:cs="FrankRuehl"/>
          <w:sz w:val="28"/>
          <w:szCs w:val="28"/>
          <w:rtl/>
        </w:rPr>
        <w:t>:</w:t>
      </w:r>
    </w:p>
    <w:p w14:paraId="3644D8EB" w14:textId="77777777" w:rsidR="00625D8C" w:rsidRPr="008315D2" w:rsidRDefault="001A46EE" w:rsidP="00625D8C">
      <w:pPr>
        <w:spacing w:line="360" w:lineRule="auto"/>
        <w:jc w:val="both"/>
        <w:rPr>
          <w:rFonts w:ascii="FrankRuehl" w:hAnsi="FrankRuehl" w:cs="FrankRuehl"/>
          <w:sz w:val="28"/>
          <w:szCs w:val="28"/>
          <w:rtl/>
        </w:rPr>
      </w:pPr>
      <w:r>
        <w:rPr>
          <w:rFonts w:ascii="FrankRuehl" w:hAnsi="FrankRuehl" w:cs="FrankRuehl"/>
          <w:sz w:val="28"/>
          <w:szCs w:val="28"/>
        </w:rPr>
        <w:t xml:space="preserve"> </w:t>
      </w:r>
    </w:p>
    <w:p w14:paraId="0A427A4E" w14:textId="77777777" w:rsidR="00625D8C" w:rsidRPr="008315D2" w:rsidRDefault="001A46EE" w:rsidP="00625D8C">
      <w:pPr>
        <w:spacing w:line="360" w:lineRule="auto"/>
        <w:jc w:val="both"/>
        <w:rPr>
          <w:rFonts w:ascii="FrankRuehl" w:hAnsi="FrankRuehl" w:cs="FrankRuehl"/>
          <w:sz w:val="28"/>
          <w:szCs w:val="28"/>
          <w:rtl/>
        </w:rPr>
      </w:pPr>
      <w:r>
        <w:rPr>
          <w:rFonts w:ascii="FrankRuehl" w:hAnsi="FrankRuehl" w:cs="FrankRuehl"/>
          <w:sz w:val="28"/>
          <w:szCs w:val="28"/>
          <w:rtl/>
        </w:rPr>
        <w:t xml:space="preserve">             </w:t>
      </w:r>
      <w:r w:rsidR="00625D8C" w:rsidRPr="008315D2">
        <w:rPr>
          <w:rFonts w:ascii="FrankRuehl" w:hAnsi="FrankRuehl" w:cs="FrankRuehl"/>
          <w:sz w:val="28"/>
          <w:szCs w:val="28"/>
          <w:rtl/>
        </w:rPr>
        <w:t>א.</w:t>
      </w:r>
      <w:r>
        <w:rPr>
          <w:rFonts w:ascii="FrankRuehl" w:hAnsi="FrankRuehl" w:cs="FrankRuehl"/>
          <w:sz w:val="28"/>
          <w:szCs w:val="28"/>
          <w:rtl/>
        </w:rPr>
        <w:t xml:space="preserve"> </w:t>
      </w:r>
      <w:r w:rsidR="00625D8C">
        <w:rPr>
          <w:rFonts w:ascii="FrankRuehl" w:hAnsi="FrankRuehl" w:cs="FrankRuehl"/>
          <w:sz w:val="28"/>
          <w:szCs w:val="28"/>
          <w:rtl/>
        </w:rPr>
        <w:tab/>
      </w:r>
      <w:r w:rsidR="00625D8C">
        <w:rPr>
          <w:rFonts w:ascii="FrankRuehl" w:hAnsi="FrankRuehl" w:cs="FrankRuehl" w:hint="cs"/>
          <w:sz w:val="28"/>
          <w:szCs w:val="28"/>
          <w:rtl/>
        </w:rPr>
        <w:t>45</w:t>
      </w:r>
      <w:r w:rsidR="00625D8C" w:rsidRPr="008315D2">
        <w:rPr>
          <w:rFonts w:ascii="FrankRuehl" w:hAnsi="FrankRuehl" w:cs="FrankRuehl"/>
          <w:sz w:val="28"/>
          <w:szCs w:val="28"/>
          <w:rtl/>
        </w:rPr>
        <w:t xml:space="preserve"> חודשי מאסר </w:t>
      </w:r>
      <w:r w:rsidR="00625D8C" w:rsidRPr="008315D2">
        <w:rPr>
          <w:rFonts w:ascii="FrankRuehl" w:hAnsi="FrankRuehl" w:cs="FrankRuehl" w:hint="cs"/>
          <w:sz w:val="28"/>
          <w:szCs w:val="28"/>
          <w:rtl/>
        </w:rPr>
        <w:t xml:space="preserve">בפועל </w:t>
      </w:r>
      <w:r w:rsidR="00625D8C" w:rsidRPr="008315D2">
        <w:rPr>
          <w:rFonts w:ascii="FrankRuehl" w:hAnsi="FrankRuehl" w:cs="FrankRuehl"/>
          <w:sz w:val="28"/>
          <w:szCs w:val="28"/>
          <w:rtl/>
        </w:rPr>
        <w:t>אשר י</w:t>
      </w:r>
      <w:r w:rsidR="00625D8C" w:rsidRPr="008315D2">
        <w:rPr>
          <w:rFonts w:ascii="FrankRuehl" w:hAnsi="FrankRuehl" w:cs="FrankRuehl" w:hint="cs"/>
          <w:sz w:val="28"/>
          <w:szCs w:val="28"/>
          <w:rtl/>
        </w:rPr>
        <w:t xml:space="preserve">ימנו </w:t>
      </w:r>
      <w:r w:rsidR="00625D8C" w:rsidRPr="008315D2">
        <w:rPr>
          <w:rFonts w:ascii="FrankRuehl" w:hAnsi="FrankRuehl" w:cs="FrankRuehl"/>
          <w:sz w:val="28"/>
          <w:szCs w:val="28"/>
          <w:rtl/>
        </w:rPr>
        <w:t xml:space="preserve">מיום מעצרו </w:t>
      </w:r>
      <w:r w:rsidR="00625D8C" w:rsidRPr="008315D2">
        <w:rPr>
          <w:rFonts w:ascii="FrankRuehl" w:hAnsi="FrankRuehl" w:cs="FrankRuehl" w:hint="cs"/>
          <w:sz w:val="28"/>
          <w:szCs w:val="28"/>
          <w:rtl/>
        </w:rPr>
        <w:t>9.05.21</w:t>
      </w:r>
      <w:r w:rsidR="00625D8C" w:rsidRPr="008315D2">
        <w:rPr>
          <w:rFonts w:ascii="FrankRuehl" w:hAnsi="FrankRuehl" w:cs="FrankRuehl"/>
          <w:sz w:val="28"/>
          <w:szCs w:val="28"/>
          <w:rtl/>
        </w:rPr>
        <w:t>.</w:t>
      </w:r>
    </w:p>
    <w:p w14:paraId="335AA807" w14:textId="77777777" w:rsidR="00625D8C" w:rsidRPr="00A16BEF" w:rsidRDefault="001A46EE" w:rsidP="00625D8C">
      <w:pPr>
        <w:spacing w:line="360" w:lineRule="auto"/>
        <w:jc w:val="both"/>
        <w:rPr>
          <w:rFonts w:ascii="FrankRuehl" w:hAnsi="FrankRuehl" w:cs="FrankRuehl"/>
          <w:sz w:val="28"/>
          <w:szCs w:val="28"/>
          <w:rtl/>
        </w:rPr>
      </w:pPr>
      <w:r>
        <w:rPr>
          <w:rFonts w:ascii="FrankRuehl" w:hAnsi="FrankRuehl" w:cs="FrankRuehl"/>
          <w:sz w:val="28"/>
          <w:szCs w:val="28"/>
        </w:rPr>
        <w:t xml:space="preserve"> </w:t>
      </w:r>
    </w:p>
    <w:p w14:paraId="37ECD608" w14:textId="77777777" w:rsidR="00625D8C" w:rsidRPr="008315D2" w:rsidRDefault="00625D8C" w:rsidP="00625D8C">
      <w:pPr>
        <w:spacing w:line="360" w:lineRule="auto"/>
        <w:ind w:left="1440" w:hanging="720"/>
        <w:jc w:val="both"/>
        <w:rPr>
          <w:rFonts w:ascii="FrankRuehl" w:hAnsi="FrankRuehl" w:cs="FrankRuehl"/>
          <w:sz w:val="28"/>
          <w:szCs w:val="28"/>
          <w:rtl/>
        </w:rPr>
      </w:pPr>
      <w:r w:rsidRPr="008315D2">
        <w:rPr>
          <w:rFonts w:ascii="FrankRuehl" w:hAnsi="FrankRuehl" w:cs="FrankRuehl"/>
          <w:sz w:val="28"/>
          <w:szCs w:val="28"/>
          <w:rtl/>
        </w:rPr>
        <w:t>ב.</w:t>
      </w:r>
      <w:r w:rsidR="001A46EE">
        <w:rPr>
          <w:rFonts w:ascii="FrankRuehl" w:hAnsi="FrankRuehl" w:cs="FrankRuehl"/>
          <w:sz w:val="28"/>
          <w:szCs w:val="28"/>
          <w:rtl/>
        </w:rPr>
        <w:t xml:space="preserve"> </w:t>
      </w:r>
      <w:r>
        <w:rPr>
          <w:rFonts w:ascii="FrankRuehl" w:hAnsi="FrankRuehl" w:cs="FrankRuehl"/>
          <w:sz w:val="28"/>
          <w:szCs w:val="28"/>
          <w:rtl/>
        </w:rPr>
        <w:tab/>
      </w:r>
      <w:r w:rsidRPr="008315D2">
        <w:rPr>
          <w:rFonts w:ascii="FrankRuehl" w:hAnsi="FrankRuehl" w:cs="FrankRuehl" w:hint="cs"/>
          <w:sz w:val="28"/>
          <w:szCs w:val="28"/>
          <w:rtl/>
        </w:rPr>
        <w:t>9</w:t>
      </w:r>
      <w:r w:rsidRPr="008315D2">
        <w:rPr>
          <w:rFonts w:ascii="FrankRuehl" w:hAnsi="FrankRuehl" w:cs="FrankRuehl"/>
          <w:sz w:val="28"/>
          <w:szCs w:val="28"/>
          <w:rtl/>
        </w:rPr>
        <w:t xml:space="preserve"> חודשי מאסר על תנאי </w:t>
      </w:r>
      <w:r w:rsidRPr="008315D2">
        <w:rPr>
          <w:rFonts w:ascii="FrankRuehl" w:hAnsi="FrankRuehl" w:cs="FrankRuehl" w:hint="cs"/>
          <w:sz w:val="28"/>
          <w:szCs w:val="28"/>
          <w:rtl/>
        </w:rPr>
        <w:t xml:space="preserve">אשר לא ירוצו אלא אם כן הנאשם </w:t>
      </w:r>
      <w:r w:rsidRPr="008315D2">
        <w:rPr>
          <w:rFonts w:ascii="FrankRuehl" w:hAnsi="FrankRuehl" w:cs="FrankRuehl"/>
          <w:sz w:val="28"/>
          <w:szCs w:val="28"/>
          <w:rtl/>
        </w:rPr>
        <w:t xml:space="preserve">יעבור בתוך שלוש שנים מיום שחרורו </w:t>
      </w:r>
      <w:r w:rsidRPr="008315D2">
        <w:rPr>
          <w:rFonts w:ascii="FrankRuehl" w:hAnsi="FrankRuehl" w:cs="FrankRuehl" w:hint="cs"/>
          <w:sz w:val="28"/>
          <w:szCs w:val="28"/>
          <w:rtl/>
        </w:rPr>
        <w:t xml:space="preserve">ממאסר </w:t>
      </w:r>
      <w:r w:rsidRPr="008315D2">
        <w:rPr>
          <w:rFonts w:ascii="FrankRuehl" w:hAnsi="FrankRuehl" w:cs="FrankRuehl"/>
          <w:sz w:val="28"/>
          <w:szCs w:val="28"/>
          <w:rtl/>
        </w:rPr>
        <w:t>עבירת נשק מסוג פשע.</w:t>
      </w:r>
    </w:p>
    <w:p w14:paraId="13DBC14F" w14:textId="77777777" w:rsidR="00625D8C" w:rsidRPr="008315D2" w:rsidRDefault="001A46EE" w:rsidP="00625D8C">
      <w:pPr>
        <w:spacing w:line="360" w:lineRule="auto"/>
        <w:jc w:val="both"/>
        <w:rPr>
          <w:rFonts w:ascii="FrankRuehl" w:hAnsi="FrankRuehl" w:cs="FrankRuehl"/>
          <w:sz w:val="28"/>
          <w:szCs w:val="28"/>
          <w:rtl/>
        </w:rPr>
      </w:pPr>
      <w:r>
        <w:rPr>
          <w:rFonts w:ascii="FrankRuehl" w:hAnsi="FrankRuehl" w:cs="FrankRuehl"/>
          <w:sz w:val="28"/>
          <w:szCs w:val="28"/>
        </w:rPr>
        <w:t xml:space="preserve"> </w:t>
      </w:r>
    </w:p>
    <w:p w14:paraId="7093A35A" w14:textId="77777777" w:rsidR="00625D8C" w:rsidRPr="008315D2" w:rsidRDefault="00625D8C" w:rsidP="00625D8C">
      <w:pPr>
        <w:spacing w:line="360" w:lineRule="auto"/>
        <w:ind w:left="1440" w:hanging="720"/>
        <w:jc w:val="both"/>
        <w:rPr>
          <w:rFonts w:ascii="FrankRuehl" w:hAnsi="FrankRuehl" w:cs="FrankRuehl"/>
          <w:sz w:val="28"/>
          <w:szCs w:val="28"/>
          <w:rtl/>
        </w:rPr>
      </w:pPr>
      <w:r w:rsidRPr="008315D2">
        <w:rPr>
          <w:rFonts w:ascii="FrankRuehl" w:hAnsi="FrankRuehl" w:cs="FrankRuehl"/>
          <w:sz w:val="28"/>
          <w:szCs w:val="28"/>
          <w:rtl/>
        </w:rPr>
        <w:t>ג.</w:t>
      </w:r>
      <w:r w:rsidR="001A46EE">
        <w:rPr>
          <w:rFonts w:ascii="FrankRuehl" w:hAnsi="FrankRuehl" w:cs="FrankRuehl"/>
          <w:sz w:val="28"/>
          <w:szCs w:val="28"/>
          <w:rtl/>
        </w:rPr>
        <w:t xml:space="preserve">  </w:t>
      </w:r>
      <w:r>
        <w:rPr>
          <w:rFonts w:ascii="FrankRuehl" w:hAnsi="FrankRuehl" w:cs="FrankRuehl"/>
          <w:sz w:val="28"/>
          <w:szCs w:val="28"/>
          <w:rtl/>
        </w:rPr>
        <w:tab/>
      </w:r>
      <w:r w:rsidRPr="008315D2">
        <w:rPr>
          <w:rFonts w:ascii="FrankRuehl" w:hAnsi="FrankRuehl" w:cs="FrankRuehl"/>
          <w:sz w:val="28"/>
          <w:szCs w:val="28"/>
          <w:rtl/>
        </w:rPr>
        <w:t xml:space="preserve">6 חודשי מאסר על תנאי </w:t>
      </w:r>
      <w:r w:rsidRPr="008315D2">
        <w:rPr>
          <w:rFonts w:ascii="FrankRuehl" w:hAnsi="FrankRuehl" w:cs="FrankRuehl" w:hint="cs"/>
          <w:sz w:val="28"/>
          <w:szCs w:val="28"/>
          <w:rtl/>
        </w:rPr>
        <w:t>אשר לא ירוצו אלא אם הנאשם י</w:t>
      </w:r>
      <w:r w:rsidRPr="008315D2">
        <w:rPr>
          <w:rFonts w:ascii="FrankRuehl" w:hAnsi="FrankRuehl" w:cs="FrankRuehl"/>
          <w:sz w:val="28"/>
          <w:szCs w:val="28"/>
          <w:rtl/>
        </w:rPr>
        <w:t xml:space="preserve">עבור בתוך שלוש שנים מיום שחרורו </w:t>
      </w:r>
      <w:r w:rsidRPr="008315D2">
        <w:rPr>
          <w:rFonts w:ascii="FrankRuehl" w:hAnsi="FrankRuehl" w:cs="FrankRuehl" w:hint="cs"/>
          <w:sz w:val="28"/>
          <w:szCs w:val="28"/>
          <w:rtl/>
        </w:rPr>
        <w:t xml:space="preserve">ממאסר </w:t>
      </w:r>
      <w:r w:rsidRPr="008315D2">
        <w:rPr>
          <w:rFonts w:ascii="FrankRuehl" w:hAnsi="FrankRuehl" w:cs="FrankRuehl"/>
          <w:sz w:val="28"/>
          <w:szCs w:val="28"/>
          <w:rtl/>
        </w:rPr>
        <w:t>עבירת נשק מסוג עוון.</w:t>
      </w:r>
    </w:p>
    <w:p w14:paraId="6AEEA19D" w14:textId="77777777" w:rsidR="00625D8C" w:rsidRPr="008315D2" w:rsidRDefault="001A46EE" w:rsidP="00625D8C">
      <w:pPr>
        <w:spacing w:line="360" w:lineRule="auto"/>
        <w:jc w:val="both"/>
        <w:rPr>
          <w:rFonts w:ascii="FrankRuehl" w:hAnsi="FrankRuehl" w:cs="FrankRuehl"/>
          <w:sz w:val="28"/>
          <w:szCs w:val="28"/>
          <w:rtl/>
        </w:rPr>
      </w:pPr>
      <w:r>
        <w:rPr>
          <w:rFonts w:ascii="FrankRuehl" w:hAnsi="FrankRuehl" w:cs="FrankRuehl"/>
          <w:sz w:val="28"/>
          <w:szCs w:val="28"/>
          <w:rtl/>
        </w:rPr>
        <w:t xml:space="preserve"> </w:t>
      </w:r>
    </w:p>
    <w:p w14:paraId="5FBAEFDB" w14:textId="77777777" w:rsidR="00625D8C" w:rsidRPr="008315D2" w:rsidRDefault="00625D8C" w:rsidP="00625D8C">
      <w:pPr>
        <w:spacing w:line="360" w:lineRule="auto"/>
        <w:ind w:left="1440" w:hanging="720"/>
        <w:jc w:val="both"/>
        <w:rPr>
          <w:rFonts w:ascii="FrankRuehl" w:hAnsi="FrankRuehl" w:cs="FrankRuehl"/>
          <w:sz w:val="28"/>
          <w:szCs w:val="28"/>
          <w:rtl/>
        </w:rPr>
      </w:pPr>
      <w:r w:rsidRPr="008315D2">
        <w:rPr>
          <w:rFonts w:ascii="FrankRuehl" w:hAnsi="FrankRuehl" w:cs="FrankRuehl"/>
          <w:sz w:val="28"/>
          <w:szCs w:val="28"/>
          <w:rtl/>
        </w:rPr>
        <w:t>ד.</w:t>
      </w:r>
      <w:r w:rsidR="001A46EE">
        <w:rPr>
          <w:rFonts w:ascii="FrankRuehl" w:hAnsi="FrankRuehl" w:cs="FrankRuehl"/>
          <w:sz w:val="28"/>
          <w:szCs w:val="28"/>
          <w:rtl/>
        </w:rPr>
        <w:t xml:space="preserve"> </w:t>
      </w:r>
      <w:r>
        <w:rPr>
          <w:rFonts w:ascii="FrankRuehl" w:hAnsi="FrankRuehl" w:cs="FrankRuehl"/>
          <w:sz w:val="28"/>
          <w:szCs w:val="28"/>
          <w:rtl/>
        </w:rPr>
        <w:tab/>
      </w:r>
      <w:r w:rsidRPr="008315D2">
        <w:rPr>
          <w:rFonts w:ascii="FrankRuehl" w:hAnsi="FrankRuehl" w:cs="FrankRuehl"/>
          <w:sz w:val="28"/>
          <w:szCs w:val="28"/>
          <w:rtl/>
        </w:rPr>
        <w:t xml:space="preserve">קנס בסך </w:t>
      </w:r>
      <w:r w:rsidRPr="008315D2">
        <w:rPr>
          <w:rFonts w:ascii="FrankRuehl" w:hAnsi="FrankRuehl" w:cs="FrankRuehl" w:hint="cs"/>
          <w:sz w:val="28"/>
          <w:szCs w:val="28"/>
          <w:rtl/>
        </w:rPr>
        <w:t>2</w:t>
      </w:r>
      <w:r w:rsidRPr="008315D2">
        <w:rPr>
          <w:rFonts w:ascii="FrankRuehl" w:hAnsi="FrankRuehl" w:cs="FrankRuehl"/>
          <w:sz w:val="28"/>
          <w:szCs w:val="28"/>
          <w:rtl/>
        </w:rPr>
        <w:t>,</w:t>
      </w:r>
      <w:r w:rsidRPr="008315D2">
        <w:rPr>
          <w:rFonts w:ascii="FrankRuehl" w:hAnsi="FrankRuehl" w:cs="FrankRuehl" w:hint="cs"/>
          <w:sz w:val="28"/>
          <w:szCs w:val="28"/>
          <w:rtl/>
        </w:rPr>
        <w:t>5</w:t>
      </w:r>
      <w:r w:rsidRPr="008315D2">
        <w:rPr>
          <w:rFonts w:ascii="FrankRuehl" w:hAnsi="FrankRuehl" w:cs="FrankRuehl"/>
          <w:sz w:val="28"/>
          <w:szCs w:val="28"/>
          <w:rtl/>
        </w:rPr>
        <w:t>00 ש"ח או 30 ימי מאסר תמורתו. הקנס ישולם ב-</w:t>
      </w:r>
      <w:r w:rsidRPr="008315D2">
        <w:rPr>
          <w:rFonts w:ascii="FrankRuehl" w:hAnsi="FrankRuehl" w:cs="FrankRuehl" w:hint="cs"/>
          <w:sz w:val="28"/>
          <w:szCs w:val="28"/>
          <w:rtl/>
        </w:rPr>
        <w:t>10</w:t>
      </w:r>
      <w:r w:rsidRPr="008315D2">
        <w:rPr>
          <w:rFonts w:ascii="FrankRuehl" w:hAnsi="FrankRuehl" w:cs="FrankRuehl"/>
          <w:sz w:val="28"/>
          <w:szCs w:val="28"/>
          <w:rtl/>
        </w:rPr>
        <w:t xml:space="preserve"> שלומים שווים ורצופים, החל מיום 1.</w:t>
      </w:r>
      <w:r>
        <w:rPr>
          <w:rFonts w:ascii="FrankRuehl" w:hAnsi="FrankRuehl" w:cs="FrankRuehl" w:hint="cs"/>
          <w:sz w:val="28"/>
          <w:szCs w:val="28"/>
          <w:rtl/>
        </w:rPr>
        <w:t>0</w:t>
      </w:r>
      <w:r w:rsidRPr="008315D2">
        <w:rPr>
          <w:rFonts w:ascii="FrankRuehl" w:hAnsi="FrankRuehl" w:cs="FrankRuehl"/>
          <w:sz w:val="28"/>
          <w:szCs w:val="28"/>
          <w:rtl/>
        </w:rPr>
        <w:t>1.23 ובכל 1 לחודש שלאחריו. לא י</w:t>
      </w:r>
      <w:r>
        <w:rPr>
          <w:rFonts w:ascii="FrankRuehl" w:hAnsi="FrankRuehl" w:cs="FrankRuehl" w:hint="cs"/>
          <w:sz w:val="28"/>
          <w:szCs w:val="28"/>
          <w:rtl/>
        </w:rPr>
        <w:t xml:space="preserve">שולם אחד התשלומים </w:t>
      </w:r>
      <w:r w:rsidRPr="008315D2">
        <w:rPr>
          <w:rFonts w:ascii="FrankRuehl" w:hAnsi="FrankRuehl" w:cs="FrankRuehl" w:hint="cs"/>
          <w:sz w:val="28"/>
          <w:szCs w:val="28"/>
          <w:rtl/>
        </w:rPr>
        <w:t>במועד</w:t>
      </w:r>
      <w:r>
        <w:rPr>
          <w:rFonts w:ascii="FrankRuehl" w:hAnsi="FrankRuehl" w:cs="FrankRuehl" w:hint="cs"/>
          <w:sz w:val="28"/>
          <w:szCs w:val="28"/>
          <w:rtl/>
        </w:rPr>
        <w:t>ו</w:t>
      </w:r>
      <w:r w:rsidRPr="008315D2">
        <w:rPr>
          <w:rFonts w:ascii="FrankRuehl" w:hAnsi="FrankRuehl" w:cs="FrankRuehl" w:hint="cs"/>
          <w:sz w:val="28"/>
          <w:szCs w:val="28"/>
          <w:rtl/>
        </w:rPr>
        <w:t xml:space="preserve">, </w:t>
      </w:r>
      <w:r w:rsidRPr="008315D2">
        <w:rPr>
          <w:rFonts w:ascii="FrankRuehl" w:hAnsi="FrankRuehl" w:cs="FrankRuehl"/>
          <w:sz w:val="28"/>
          <w:szCs w:val="28"/>
          <w:rtl/>
        </w:rPr>
        <w:t>תעמוד יתרת הקנס לפירעון מיידי.</w:t>
      </w:r>
    </w:p>
    <w:p w14:paraId="21908D16" w14:textId="77777777" w:rsidR="00625D8C" w:rsidRPr="003C7F8B" w:rsidRDefault="001A46EE" w:rsidP="00625D8C">
      <w:pPr>
        <w:spacing w:line="360" w:lineRule="auto"/>
        <w:jc w:val="both"/>
        <w:rPr>
          <w:rFonts w:ascii="FrankRuehl" w:hAnsi="FrankRuehl" w:cs="FrankRuehl"/>
          <w:sz w:val="28"/>
          <w:szCs w:val="28"/>
          <w:rtl/>
        </w:rPr>
      </w:pPr>
      <w:r>
        <w:rPr>
          <w:rFonts w:ascii="FrankRuehl" w:hAnsi="FrankRuehl" w:cs="FrankRuehl"/>
          <w:sz w:val="28"/>
          <w:szCs w:val="28"/>
        </w:rPr>
        <w:t xml:space="preserve"> </w:t>
      </w:r>
    </w:p>
    <w:p w14:paraId="41814761" w14:textId="77777777" w:rsidR="00625D8C" w:rsidRDefault="001A46EE" w:rsidP="00625D8C">
      <w:pPr>
        <w:spacing w:line="360" w:lineRule="auto"/>
        <w:jc w:val="both"/>
        <w:rPr>
          <w:rFonts w:ascii="FrankRuehl" w:hAnsi="FrankRuehl" w:cs="FrankRuehl"/>
          <w:sz w:val="28"/>
          <w:szCs w:val="28"/>
          <w:rtl/>
        </w:rPr>
      </w:pPr>
      <w:r w:rsidRPr="001A46EE">
        <w:rPr>
          <w:rFonts w:ascii="FrankRuehl" w:hAnsi="FrankRuehl" w:cs="FrankRuehl"/>
          <w:color w:val="FFFFFF"/>
          <w:sz w:val="2"/>
          <w:szCs w:val="2"/>
          <w:rtl/>
        </w:rPr>
        <w:t>5129371</w:t>
      </w:r>
      <w:r w:rsidR="00625D8C">
        <w:rPr>
          <w:rFonts w:ascii="FrankRuehl" w:hAnsi="FrankRuehl" w:cs="FrankRuehl" w:hint="cs"/>
          <w:sz w:val="28"/>
          <w:szCs w:val="28"/>
          <w:rtl/>
        </w:rPr>
        <w:t>זכות ערעור לבית המשפט העליון בתוך 45 יום מהיום.</w:t>
      </w:r>
    </w:p>
    <w:p w14:paraId="179C2B88" w14:textId="77777777" w:rsidR="00625D8C" w:rsidRPr="001A46EE" w:rsidRDefault="001A46EE" w:rsidP="00625D8C">
      <w:pPr>
        <w:spacing w:line="360" w:lineRule="auto"/>
        <w:jc w:val="both"/>
        <w:rPr>
          <w:rFonts w:ascii="FrankRuehl" w:hAnsi="FrankRuehl" w:cs="FrankRuehl"/>
          <w:color w:val="FFFFFF"/>
          <w:sz w:val="2"/>
          <w:szCs w:val="2"/>
          <w:rtl/>
        </w:rPr>
      </w:pPr>
      <w:r w:rsidRPr="001A46EE">
        <w:rPr>
          <w:rFonts w:ascii="FrankRuehl" w:hAnsi="FrankRuehl" w:cs="FrankRuehl"/>
          <w:color w:val="FFFFFF"/>
          <w:sz w:val="2"/>
          <w:szCs w:val="2"/>
          <w:rtl/>
        </w:rPr>
        <w:t>54678313</w:t>
      </w:r>
    </w:p>
    <w:p w14:paraId="5D3ECB55" w14:textId="77777777" w:rsidR="00625D8C" w:rsidRPr="00D36FCA" w:rsidRDefault="001A46EE" w:rsidP="00625D8C">
      <w:pPr>
        <w:spacing w:line="360" w:lineRule="auto"/>
        <w:jc w:val="both"/>
        <w:rPr>
          <w:rFonts w:ascii="FrankRuehl" w:hAnsi="FrankRuehl" w:cs="FrankRuehl"/>
          <w:sz w:val="28"/>
          <w:szCs w:val="28"/>
        </w:rPr>
      </w:pPr>
      <w:bookmarkStart w:id="10" w:name="Nitan"/>
      <w:r>
        <w:rPr>
          <w:rFonts w:ascii="FrankRuehl" w:hAnsi="FrankRuehl" w:cs="FrankRuehl"/>
          <w:sz w:val="28"/>
          <w:szCs w:val="28"/>
          <w:rtl/>
        </w:rPr>
        <w:t xml:space="preserve">ניתן היום,  ט' אדר א' תשפ"ב, 10 פברואר 2022, במעמד המתייצבים. </w:t>
      </w:r>
      <w:bookmarkEnd w:id="10"/>
    </w:p>
    <w:p w14:paraId="4D0B6E4B" w14:textId="77777777" w:rsidR="00625D8C" w:rsidRPr="00D36FCA" w:rsidRDefault="00625D8C" w:rsidP="00625D8C">
      <w:pPr>
        <w:rPr>
          <w:rFonts w:ascii="FrankRuehl" w:hAnsi="FrankRuehl" w:cs="FrankRuehl"/>
          <w:sz w:val="28"/>
          <w:szCs w:val="28"/>
          <w:rtl/>
        </w:rPr>
      </w:pPr>
    </w:p>
    <w:p w14:paraId="4A931B19" w14:textId="77777777" w:rsidR="00625D8C" w:rsidRPr="00D36FCA" w:rsidRDefault="00625D8C" w:rsidP="001A46EE">
      <w:pPr>
        <w:jc w:val="center"/>
      </w:pPr>
      <w:r w:rsidRPr="00D36FCA">
        <w:rPr>
          <w:rFonts w:ascii="FrankRuehl" w:hAnsi="FrankRuehl" w:cs="FrankRuehl"/>
          <w:sz w:val="28"/>
          <w:szCs w:val="28"/>
          <w:rtl/>
        </w:rPr>
        <w:t xml:space="preserve">   </w:t>
      </w:r>
      <w:r w:rsidRPr="00D36FCA">
        <w:rPr>
          <w:rFonts w:ascii="FrankRuehl" w:hAnsi="FrankRuehl" w:cs="FrankRuehl"/>
          <w:sz w:val="28"/>
          <w:szCs w:val="28"/>
          <w:rtl/>
        </w:rPr>
        <w:tab/>
      </w:r>
      <w:r w:rsidRPr="00D36FCA">
        <w:rPr>
          <w:rFonts w:ascii="FrankRuehl" w:hAnsi="FrankRuehl" w:cs="FrankRuehl"/>
          <w:sz w:val="28"/>
          <w:szCs w:val="28"/>
          <w:rtl/>
        </w:rPr>
        <w:tab/>
      </w:r>
      <w:r w:rsidRPr="00D36FCA">
        <w:rPr>
          <w:rFonts w:ascii="FrankRuehl" w:hAnsi="FrankRuehl" w:cs="FrankRuehl"/>
          <w:sz w:val="28"/>
          <w:szCs w:val="28"/>
          <w:rtl/>
        </w:rPr>
        <w:tab/>
      </w:r>
      <w:r w:rsidRPr="00D36FCA">
        <w:rPr>
          <w:rFonts w:ascii="FrankRuehl" w:hAnsi="FrankRuehl" w:cs="FrankRuehl"/>
          <w:sz w:val="28"/>
          <w:szCs w:val="28"/>
          <w:rtl/>
        </w:rPr>
        <w:tab/>
      </w:r>
      <w:r w:rsidRPr="00D36FCA">
        <w:rPr>
          <w:rFonts w:ascii="FrankRuehl" w:hAnsi="FrankRuehl" w:cs="FrankRuehl"/>
          <w:sz w:val="28"/>
          <w:szCs w:val="28"/>
          <w:rtl/>
        </w:rPr>
        <w:tab/>
      </w:r>
    </w:p>
    <w:p w14:paraId="08835E7C" w14:textId="77777777" w:rsidR="00625D8C" w:rsidRPr="00D36FCA" w:rsidRDefault="00625D8C" w:rsidP="00625D8C">
      <w:pPr>
        <w:jc w:val="center"/>
        <w:rPr>
          <w:rFonts w:ascii="FrankRuehl" w:hAnsi="FrankRuehl" w:cs="FrankRuehl"/>
          <w:sz w:val="28"/>
          <w:szCs w:val="28"/>
          <w:rtl/>
        </w:rPr>
      </w:pPr>
    </w:p>
    <w:p w14:paraId="32CC6AB4" w14:textId="77777777" w:rsidR="00406BC0" w:rsidRPr="001A46EE" w:rsidRDefault="00406BC0" w:rsidP="001A46EE">
      <w:pPr>
        <w:keepNext/>
        <w:rPr>
          <w:rFonts w:ascii="David" w:hAnsi="David"/>
          <w:color w:val="000000"/>
          <w:sz w:val="22"/>
          <w:szCs w:val="22"/>
          <w:rtl/>
        </w:rPr>
      </w:pPr>
    </w:p>
    <w:p w14:paraId="672642F2" w14:textId="77777777" w:rsidR="001A46EE" w:rsidRPr="001A46EE" w:rsidRDefault="001A46EE" w:rsidP="001A46EE">
      <w:pPr>
        <w:keepNext/>
        <w:rPr>
          <w:rFonts w:ascii="David" w:hAnsi="David"/>
          <w:color w:val="000000"/>
          <w:sz w:val="22"/>
          <w:szCs w:val="22"/>
          <w:rtl/>
        </w:rPr>
      </w:pPr>
      <w:r w:rsidRPr="001A46EE">
        <w:rPr>
          <w:rFonts w:ascii="David" w:hAnsi="David"/>
          <w:color w:val="000000"/>
          <w:sz w:val="22"/>
          <w:szCs w:val="22"/>
          <w:rtl/>
        </w:rPr>
        <w:t>אילן סלע 54678313</w:t>
      </w:r>
    </w:p>
    <w:p w14:paraId="41E329A9" w14:textId="77777777" w:rsidR="001A46EE" w:rsidRDefault="001A46EE" w:rsidP="001A46EE">
      <w:r w:rsidRPr="001A46EE">
        <w:rPr>
          <w:color w:val="000000"/>
          <w:rtl/>
        </w:rPr>
        <w:t>נוסח מסמך זה כפוף לשינויי ניסוח ועריכה</w:t>
      </w:r>
    </w:p>
    <w:p w14:paraId="42C219E0" w14:textId="77777777" w:rsidR="001A46EE" w:rsidRDefault="001A46EE" w:rsidP="001A46EE">
      <w:pPr>
        <w:rPr>
          <w:rtl/>
        </w:rPr>
      </w:pPr>
    </w:p>
    <w:p w14:paraId="2B678C47" w14:textId="77777777" w:rsidR="001A46EE" w:rsidRDefault="001A46EE" w:rsidP="001A46EE">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E7D5AD5" w14:textId="77777777" w:rsidR="001A46EE" w:rsidRPr="001A46EE" w:rsidRDefault="001A46EE" w:rsidP="001A46EE">
      <w:pPr>
        <w:jc w:val="center"/>
        <w:rPr>
          <w:color w:val="0000FF"/>
          <w:u w:val="single"/>
        </w:rPr>
      </w:pPr>
    </w:p>
    <w:sectPr w:rsidR="001A46EE" w:rsidRPr="001A46EE" w:rsidSect="001A46EE">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A6B89" w14:textId="77777777" w:rsidR="004B77BC" w:rsidRDefault="004B77BC" w:rsidP="001619FD">
      <w:r>
        <w:separator/>
      </w:r>
    </w:p>
  </w:endnote>
  <w:endnote w:type="continuationSeparator" w:id="0">
    <w:p w14:paraId="4BA13012" w14:textId="77777777" w:rsidR="004B77BC" w:rsidRDefault="004B77BC" w:rsidP="00161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30526" w14:textId="77777777" w:rsidR="001A46EE" w:rsidRDefault="001A46EE" w:rsidP="001A46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496568" w14:textId="77777777" w:rsidR="00E0787B" w:rsidRPr="001A46EE" w:rsidRDefault="001A46EE" w:rsidP="001A46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D80B5" w14:textId="77777777" w:rsidR="001A46EE" w:rsidRDefault="001A46EE" w:rsidP="001A46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23D9">
      <w:rPr>
        <w:rFonts w:ascii="FrankRuehl" w:hAnsi="FrankRuehl" w:cs="FrankRuehl"/>
        <w:noProof/>
        <w:rtl/>
      </w:rPr>
      <w:t>1</w:t>
    </w:r>
    <w:r>
      <w:rPr>
        <w:rFonts w:ascii="FrankRuehl" w:hAnsi="FrankRuehl" w:cs="FrankRuehl"/>
        <w:rtl/>
      </w:rPr>
      <w:fldChar w:fldCharType="end"/>
    </w:r>
  </w:p>
  <w:p w14:paraId="0ADF7A6C" w14:textId="77777777" w:rsidR="00E0787B" w:rsidRPr="001A46EE" w:rsidRDefault="001A46EE" w:rsidP="001A46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18CD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12551" w14:textId="77777777" w:rsidR="004B77BC" w:rsidRDefault="004B77BC" w:rsidP="001619FD">
      <w:r>
        <w:separator/>
      </w:r>
    </w:p>
  </w:footnote>
  <w:footnote w:type="continuationSeparator" w:id="0">
    <w:p w14:paraId="33081FDC" w14:textId="77777777" w:rsidR="004B77BC" w:rsidRDefault="004B77BC" w:rsidP="00161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76461" w14:textId="77777777" w:rsidR="001A46EE" w:rsidRPr="001A46EE" w:rsidRDefault="001A46EE" w:rsidP="001A46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54337-05-21</w:t>
    </w:r>
    <w:r>
      <w:rPr>
        <w:rFonts w:ascii="David" w:hAnsi="David"/>
        <w:color w:val="000000"/>
        <w:sz w:val="22"/>
        <w:szCs w:val="22"/>
        <w:rtl/>
      </w:rPr>
      <w:tab/>
      <w:t xml:space="preserve"> מדינת ישראל נ' אנס זחאיקה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AEB6" w14:textId="77777777" w:rsidR="001A46EE" w:rsidRPr="001A46EE" w:rsidRDefault="001A46EE" w:rsidP="001A46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54337-05-21</w:t>
    </w:r>
    <w:r>
      <w:rPr>
        <w:rFonts w:ascii="David" w:hAnsi="David"/>
        <w:color w:val="000000"/>
        <w:sz w:val="22"/>
        <w:szCs w:val="22"/>
        <w:rtl/>
      </w:rPr>
      <w:tab/>
      <w:t xml:space="preserve"> מדינת ישראל נ' אנס זחאיקה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5D8C"/>
    <w:rsid w:val="00036869"/>
    <w:rsid w:val="001619FD"/>
    <w:rsid w:val="001A46EE"/>
    <w:rsid w:val="001B5A3B"/>
    <w:rsid w:val="003F7D36"/>
    <w:rsid w:val="00406BC0"/>
    <w:rsid w:val="004B77BC"/>
    <w:rsid w:val="00625D8C"/>
    <w:rsid w:val="007C4AAD"/>
    <w:rsid w:val="0096266A"/>
    <w:rsid w:val="00A024B4"/>
    <w:rsid w:val="00B74609"/>
    <w:rsid w:val="00D223D9"/>
    <w:rsid w:val="00E0787B"/>
    <w:rsid w:val="00E42D74"/>
    <w:rsid w:val="00F51812"/>
    <w:rsid w:val="00F836BB"/>
    <w:rsid w:val="00FF5F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4006B1"/>
  <w15:chartTrackingRefBased/>
  <w15:docId w15:val="{9452CF06-3FAB-4425-A55F-AA295E86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5D8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5D8C"/>
    <w:pPr>
      <w:tabs>
        <w:tab w:val="center" w:pos="4153"/>
        <w:tab w:val="right" w:pos="8306"/>
      </w:tabs>
    </w:pPr>
  </w:style>
  <w:style w:type="character" w:customStyle="1" w:styleId="a4">
    <w:name w:val="כותרת עליונה תו"/>
    <w:link w:val="a3"/>
    <w:rsid w:val="00625D8C"/>
    <w:rPr>
      <w:rFonts w:ascii="Times New Roman" w:eastAsia="Times New Roman" w:hAnsi="Times New Roman" w:cs="David"/>
      <w:sz w:val="24"/>
      <w:szCs w:val="24"/>
    </w:rPr>
  </w:style>
  <w:style w:type="paragraph" w:styleId="a5">
    <w:name w:val="footer"/>
    <w:basedOn w:val="a"/>
    <w:link w:val="a6"/>
    <w:rsid w:val="00625D8C"/>
    <w:pPr>
      <w:tabs>
        <w:tab w:val="center" w:pos="4153"/>
        <w:tab w:val="right" w:pos="8306"/>
      </w:tabs>
    </w:pPr>
  </w:style>
  <w:style w:type="character" w:customStyle="1" w:styleId="a6">
    <w:name w:val="כותרת תחתונה תו"/>
    <w:link w:val="a5"/>
    <w:rsid w:val="00625D8C"/>
    <w:rPr>
      <w:rFonts w:ascii="Times New Roman" w:eastAsia="Times New Roman" w:hAnsi="Times New Roman" w:cs="David"/>
      <w:sz w:val="24"/>
      <w:szCs w:val="24"/>
    </w:rPr>
  </w:style>
  <w:style w:type="table" w:styleId="a7">
    <w:name w:val="Table Grid"/>
    <w:basedOn w:val="a1"/>
    <w:rsid w:val="00625D8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5D8C"/>
  </w:style>
  <w:style w:type="character" w:styleId="Hyperlink">
    <w:name w:val="Hyperlink"/>
    <w:rsid w:val="001A46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734980" TargetMode="External"/><Relationship Id="rId26" Type="http://schemas.openxmlformats.org/officeDocument/2006/relationships/hyperlink" Target="http://www.nevo.co.il/case/27734980" TargetMode="External"/><Relationship Id="rId39" Type="http://schemas.openxmlformats.org/officeDocument/2006/relationships/hyperlink" Target="http://www.nevo.co.il/case/17924643" TargetMode="External"/><Relationship Id="rId21" Type="http://schemas.openxmlformats.org/officeDocument/2006/relationships/hyperlink" Target="http://www.nevo.co.il/case/27708542" TargetMode="External"/><Relationship Id="rId34" Type="http://schemas.openxmlformats.org/officeDocument/2006/relationships/hyperlink" Target="http://www.nevo.co.il/case/26538254" TargetMode="External"/><Relationship Id="rId42" Type="http://schemas.openxmlformats.org/officeDocument/2006/relationships/header" Target="header2.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law/70301/499.a.1" TargetMode="External"/><Relationship Id="rId29" Type="http://schemas.openxmlformats.org/officeDocument/2006/relationships/hyperlink" Target="http://www.nevo.co.il/case/2756709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case/25824863" TargetMode="External"/><Relationship Id="rId32" Type="http://schemas.openxmlformats.org/officeDocument/2006/relationships/hyperlink" Target="http://www.nevo.co.il/case/27347604" TargetMode="External"/><Relationship Id="rId37" Type="http://schemas.openxmlformats.org/officeDocument/2006/relationships/hyperlink" Target="http://www.nevo.co.il/safrut/book/29447"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40.a.b.1" TargetMode="External"/><Relationship Id="rId23" Type="http://schemas.openxmlformats.org/officeDocument/2006/relationships/hyperlink" Target="http://www.nevo.co.il/case/27915710"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7734980" TargetMode="External"/><Relationship Id="rId10" Type="http://schemas.openxmlformats.org/officeDocument/2006/relationships/hyperlink" Target="http://www.nevo.co.il/law/70301/340.a.b.1" TargetMode="External"/><Relationship Id="rId19" Type="http://schemas.openxmlformats.org/officeDocument/2006/relationships/hyperlink" Target="http://www.nevo.co.il/case/5597217" TargetMode="External"/><Relationship Id="rId31" Type="http://schemas.openxmlformats.org/officeDocument/2006/relationships/hyperlink" Target="http://www.nevo.co.il/case/26905927"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7665277" TargetMode="External"/><Relationship Id="rId27" Type="http://schemas.openxmlformats.org/officeDocument/2006/relationships/hyperlink" Target="http://www.nevo.co.il/case/26888657" TargetMode="External"/><Relationship Id="rId30" Type="http://schemas.openxmlformats.org/officeDocument/2006/relationships/hyperlink" Target="http://www.nevo.co.il/case/27513376" TargetMode="External"/><Relationship Id="rId35" Type="http://schemas.openxmlformats.org/officeDocument/2006/relationships/hyperlink" Target="http://www.nevo.co.il/case/23877165" TargetMode="External"/><Relationship Id="rId43" Type="http://schemas.openxmlformats.org/officeDocument/2006/relationships/footer" Target="footer1.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case/27513376" TargetMode="External"/><Relationship Id="rId33" Type="http://schemas.openxmlformats.org/officeDocument/2006/relationships/hyperlink" Target="http://www.nevo.co.il/case/26216601" TargetMode="External"/><Relationship Id="rId38" Type="http://schemas.openxmlformats.org/officeDocument/2006/relationships/hyperlink" Target="http://www.nevo.co.il/case/17932902" TargetMode="External"/><Relationship Id="rId46" Type="http://schemas.openxmlformats.org/officeDocument/2006/relationships/theme" Target="theme/theme1.xml"/><Relationship Id="rId20" Type="http://schemas.openxmlformats.org/officeDocument/2006/relationships/hyperlink" Target="http://www.nevo.co.il/case/27567095"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2994</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17932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3670135</vt:i4>
      </vt:variant>
      <vt:variant>
        <vt:i4>102</vt:i4>
      </vt:variant>
      <vt:variant>
        <vt:i4>0</vt:i4>
      </vt:variant>
      <vt:variant>
        <vt:i4>5</vt:i4>
      </vt:variant>
      <vt:variant>
        <vt:lpwstr>http://www.nevo.co.il/case/17924643</vt:lpwstr>
      </vt:variant>
      <vt:variant>
        <vt:lpwstr/>
      </vt:variant>
      <vt:variant>
        <vt:i4>3801209</vt:i4>
      </vt:variant>
      <vt:variant>
        <vt:i4>99</vt:i4>
      </vt:variant>
      <vt:variant>
        <vt:i4>0</vt:i4>
      </vt:variant>
      <vt:variant>
        <vt:i4>5</vt:i4>
      </vt:variant>
      <vt:variant>
        <vt:lpwstr>http://www.nevo.co.il/case/17932902</vt:lpwstr>
      </vt:variant>
      <vt:variant>
        <vt:lpwstr/>
      </vt:variant>
      <vt:variant>
        <vt:i4>8126518</vt:i4>
      </vt:variant>
      <vt:variant>
        <vt:i4>96</vt:i4>
      </vt:variant>
      <vt:variant>
        <vt:i4>0</vt:i4>
      </vt:variant>
      <vt:variant>
        <vt:i4>5</vt:i4>
      </vt:variant>
      <vt:variant>
        <vt:lpwstr>http://www.nevo.co.il/safrut/book/29447</vt:lpwstr>
      </vt:variant>
      <vt:variant>
        <vt:lpwstr/>
      </vt:variant>
      <vt:variant>
        <vt:i4>3735673</vt:i4>
      </vt:variant>
      <vt:variant>
        <vt:i4>93</vt:i4>
      </vt:variant>
      <vt:variant>
        <vt:i4>0</vt:i4>
      </vt:variant>
      <vt:variant>
        <vt:i4>5</vt:i4>
      </vt:variant>
      <vt:variant>
        <vt:lpwstr>http://www.nevo.co.il/case/27734980</vt:lpwstr>
      </vt:variant>
      <vt:variant>
        <vt:lpwstr/>
      </vt:variant>
      <vt:variant>
        <vt:i4>3866737</vt:i4>
      </vt:variant>
      <vt:variant>
        <vt:i4>90</vt:i4>
      </vt:variant>
      <vt:variant>
        <vt:i4>0</vt:i4>
      </vt:variant>
      <vt:variant>
        <vt:i4>5</vt:i4>
      </vt:variant>
      <vt:variant>
        <vt:lpwstr>http://www.nevo.co.il/case/23877165</vt:lpwstr>
      </vt:variant>
      <vt:variant>
        <vt:lpwstr/>
      </vt:variant>
      <vt:variant>
        <vt:i4>3801203</vt:i4>
      </vt:variant>
      <vt:variant>
        <vt:i4>87</vt:i4>
      </vt:variant>
      <vt:variant>
        <vt:i4>0</vt:i4>
      </vt:variant>
      <vt:variant>
        <vt:i4>5</vt:i4>
      </vt:variant>
      <vt:variant>
        <vt:lpwstr>http://www.nevo.co.il/case/26538254</vt:lpwstr>
      </vt:variant>
      <vt:variant>
        <vt:lpwstr/>
      </vt:variant>
      <vt:variant>
        <vt:i4>3539061</vt:i4>
      </vt:variant>
      <vt:variant>
        <vt:i4>84</vt:i4>
      </vt:variant>
      <vt:variant>
        <vt:i4>0</vt:i4>
      </vt:variant>
      <vt:variant>
        <vt:i4>5</vt:i4>
      </vt:variant>
      <vt:variant>
        <vt:lpwstr>http://www.nevo.co.il/case/26216601</vt:lpwstr>
      </vt:variant>
      <vt:variant>
        <vt:lpwstr/>
      </vt:variant>
      <vt:variant>
        <vt:i4>3539057</vt:i4>
      </vt:variant>
      <vt:variant>
        <vt:i4>81</vt:i4>
      </vt:variant>
      <vt:variant>
        <vt:i4>0</vt:i4>
      </vt:variant>
      <vt:variant>
        <vt:i4>5</vt:i4>
      </vt:variant>
      <vt:variant>
        <vt:lpwstr>http://www.nevo.co.il/case/27347604</vt:lpwstr>
      </vt:variant>
      <vt:variant>
        <vt:lpwstr/>
      </vt:variant>
      <vt:variant>
        <vt:i4>3932283</vt:i4>
      </vt:variant>
      <vt:variant>
        <vt:i4>78</vt:i4>
      </vt:variant>
      <vt:variant>
        <vt:i4>0</vt:i4>
      </vt:variant>
      <vt:variant>
        <vt:i4>5</vt:i4>
      </vt:variant>
      <vt:variant>
        <vt:lpwstr>http://www.nevo.co.il/case/26905927</vt:lpwstr>
      </vt:variant>
      <vt:variant>
        <vt:lpwstr/>
      </vt:variant>
      <vt:variant>
        <vt:i4>3342449</vt:i4>
      </vt:variant>
      <vt:variant>
        <vt:i4>75</vt:i4>
      </vt:variant>
      <vt:variant>
        <vt:i4>0</vt:i4>
      </vt:variant>
      <vt:variant>
        <vt:i4>5</vt:i4>
      </vt:variant>
      <vt:variant>
        <vt:lpwstr>http://www.nevo.co.il/case/27513376</vt:lpwstr>
      </vt:variant>
      <vt:variant>
        <vt:lpwstr/>
      </vt:variant>
      <vt:variant>
        <vt:i4>3735669</vt:i4>
      </vt:variant>
      <vt:variant>
        <vt:i4>72</vt:i4>
      </vt:variant>
      <vt:variant>
        <vt:i4>0</vt:i4>
      </vt:variant>
      <vt:variant>
        <vt:i4>5</vt:i4>
      </vt:variant>
      <vt:variant>
        <vt:lpwstr>http://www.nevo.co.il/case/27567095</vt:lpwstr>
      </vt:variant>
      <vt:variant>
        <vt:lpwstr/>
      </vt:variant>
      <vt:variant>
        <vt:i4>7995492</vt:i4>
      </vt:variant>
      <vt:variant>
        <vt:i4>69</vt:i4>
      </vt:variant>
      <vt:variant>
        <vt:i4>0</vt:i4>
      </vt:variant>
      <vt:variant>
        <vt:i4>5</vt:i4>
      </vt:variant>
      <vt:variant>
        <vt:lpwstr>http://www.nevo.co.il/law/70301</vt:lpwstr>
      </vt:variant>
      <vt:variant>
        <vt:lpwstr/>
      </vt:variant>
      <vt:variant>
        <vt:i4>3604604</vt:i4>
      </vt:variant>
      <vt:variant>
        <vt:i4>66</vt:i4>
      </vt:variant>
      <vt:variant>
        <vt:i4>0</vt:i4>
      </vt:variant>
      <vt:variant>
        <vt:i4>5</vt:i4>
      </vt:variant>
      <vt:variant>
        <vt:lpwstr>http://www.nevo.co.il/case/26888657</vt:lpwstr>
      </vt:variant>
      <vt:variant>
        <vt:lpwstr/>
      </vt:variant>
      <vt:variant>
        <vt:i4>3735673</vt:i4>
      </vt:variant>
      <vt:variant>
        <vt:i4>63</vt:i4>
      </vt:variant>
      <vt:variant>
        <vt:i4>0</vt:i4>
      </vt:variant>
      <vt:variant>
        <vt:i4>5</vt:i4>
      </vt:variant>
      <vt:variant>
        <vt:lpwstr>http://www.nevo.co.il/case/27734980</vt:lpwstr>
      </vt:variant>
      <vt:variant>
        <vt:lpwstr/>
      </vt:variant>
      <vt:variant>
        <vt:i4>3342449</vt:i4>
      </vt:variant>
      <vt:variant>
        <vt:i4>60</vt:i4>
      </vt:variant>
      <vt:variant>
        <vt:i4>0</vt:i4>
      </vt:variant>
      <vt:variant>
        <vt:i4>5</vt:i4>
      </vt:variant>
      <vt:variant>
        <vt:lpwstr>http://www.nevo.co.il/case/27513376</vt:lpwstr>
      </vt:variant>
      <vt:variant>
        <vt:lpwstr/>
      </vt:variant>
      <vt:variant>
        <vt:i4>3670139</vt:i4>
      </vt:variant>
      <vt:variant>
        <vt:i4>57</vt:i4>
      </vt:variant>
      <vt:variant>
        <vt:i4>0</vt:i4>
      </vt:variant>
      <vt:variant>
        <vt:i4>5</vt:i4>
      </vt:variant>
      <vt:variant>
        <vt:lpwstr>http://www.nevo.co.il/case/25824863</vt:lpwstr>
      </vt:variant>
      <vt:variant>
        <vt:lpwstr/>
      </vt:variant>
      <vt:variant>
        <vt:i4>4128885</vt:i4>
      </vt:variant>
      <vt:variant>
        <vt:i4>54</vt:i4>
      </vt:variant>
      <vt:variant>
        <vt:i4>0</vt:i4>
      </vt:variant>
      <vt:variant>
        <vt:i4>5</vt:i4>
      </vt:variant>
      <vt:variant>
        <vt:lpwstr>http://www.nevo.co.il/case/27915710</vt:lpwstr>
      </vt:variant>
      <vt:variant>
        <vt:lpwstr/>
      </vt:variant>
      <vt:variant>
        <vt:i4>3539063</vt:i4>
      </vt:variant>
      <vt:variant>
        <vt:i4>51</vt:i4>
      </vt:variant>
      <vt:variant>
        <vt:i4>0</vt:i4>
      </vt:variant>
      <vt:variant>
        <vt:i4>5</vt:i4>
      </vt:variant>
      <vt:variant>
        <vt:lpwstr>http://www.nevo.co.il/case/27665277</vt:lpwstr>
      </vt:variant>
      <vt:variant>
        <vt:lpwstr/>
      </vt:variant>
      <vt:variant>
        <vt:i4>3735670</vt:i4>
      </vt:variant>
      <vt:variant>
        <vt:i4>48</vt:i4>
      </vt:variant>
      <vt:variant>
        <vt:i4>0</vt:i4>
      </vt:variant>
      <vt:variant>
        <vt:i4>5</vt:i4>
      </vt:variant>
      <vt:variant>
        <vt:lpwstr>http://www.nevo.co.il/case/27708542</vt:lpwstr>
      </vt:variant>
      <vt:variant>
        <vt:lpwstr/>
      </vt:variant>
      <vt:variant>
        <vt:i4>3735669</vt:i4>
      </vt:variant>
      <vt:variant>
        <vt:i4>45</vt:i4>
      </vt:variant>
      <vt:variant>
        <vt:i4>0</vt:i4>
      </vt:variant>
      <vt:variant>
        <vt:i4>5</vt:i4>
      </vt:variant>
      <vt:variant>
        <vt:lpwstr>http://www.nevo.co.il/case/27567095</vt:lpwstr>
      </vt:variant>
      <vt:variant>
        <vt:lpwstr/>
      </vt:variant>
      <vt:variant>
        <vt:i4>3735671</vt:i4>
      </vt:variant>
      <vt:variant>
        <vt:i4>42</vt:i4>
      </vt:variant>
      <vt:variant>
        <vt:i4>0</vt:i4>
      </vt:variant>
      <vt:variant>
        <vt:i4>5</vt:i4>
      </vt:variant>
      <vt:variant>
        <vt:lpwstr>http://www.nevo.co.il/case/5597217</vt:lpwstr>
      </vt:variant>
      <vt:variant>
        <vt:lpwstr/>
      </vt:variant>
      <vt:variant>
        <vt:i4>3735673</vt:i4>
      </vt:variant>
      <vt:variant>
        <vt:i4>39</vt:i4>
      </vt:variant>
      <vt:variant>
        <vt:i4>0</vt:i4>
      </vt:variant>
      <vt:variant>
        <vt:i4>5</vt:i4>
      </vt:variant>
      <vt:variant>
        <vt:lpwstr>http://www.nevo.co.il/case/27734980</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5177429</vt:i4>
      </vt:variant>
      <vt:variant>
        <vt:i4>30</vt:i4>
      </vt:variant>
      <vt:variant>
        <vt:i4>0</vt:i4>
      </vt:variant>
      <vt:variant>
        <vt:i4>5</vt:i4>
      </vt:variant>
      <vt:variant>
        <vt:lpwstr>http://www.nevo.co.il/law/70301/340.a.b.1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5177429</vt:i4>
      </vt:variant>
      <vt:variant>
        <vt:i4>15</vt:i4>
      </vt:variant>
      <vt:variant>
        <vt:i4>0</vt:i4>
      </vt:variant>
      <vt:variant>
        <vt:i4>5</vt:i4>
      </vt:variant>
      <vt:variant>
        <vt:lpwstr>http://www.nevo.co.il/law/70301/340.a.b.1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8126518</vt:i4>
      </vt:variant>
      <vt:variant>
        <vt:i4>0</vt:i4>
      </vt:variant>
      <vt:variant>
        <vt:i4>0</vt:i4>
      </vt:variant>
      <vt:variant>
        <vt:i4>5</vt:i4>
      </vt:variant>
      <vt:variant>
        <vt:lpwstr>http://www.nevo.co.il/safrut/book/29447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2025-01-19T16:42:00Z</dcterms:created>
  <dcterms:modified xsi:type="dcterms:W3CDTF">2025-01-19T16:42:00Z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54337</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אנס זחאיקה</vt:lpwstr>
  </property>
  <property fmtid="{D5CDD505-2E9C-101B-9397-08002B2CF9AE}" pid="10" name="LAWYER">
    <vt:lpwstr>מונעם תאבת;יעל ריצ'קר</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20220210</vt:lpwstr>
  </property>
  <property fmtid="{D5CDD505-2E9C-101B-9397-08002B2CF9AE}" pid="14" name="TYPE_N_DATE">
    <vt:lpwstr>39020220210</vt:lpwstr>
  </property>
  <property fmtid="{D5CDD505-2E9C-101B-9397-08002B2CF9AE}" pid="15" name="WORDNUMPAGES">
    <vt:lpwstr>10</vt:lpwstr>
  </property>
  <property fmtid="{D5CDD505-2E9C-101B-9397-08002B2CF9AE}" pid="16" name="TYPE_ABS_DATE">
    <vt:lpwstr>390020220210</vt:lpwstr>
  </property>
  <property fmtid="{D5CDD505-2E9C-101B-9397-08002B2CF9AE}" pid="17" name="ISABSTRACT">
    <vt:lpwstr>Y</vt:lpwstr>
  </property>
  <property fmtid="{D5CDD505-2E9C-101B-9397-08002B2CF9AE}" pid="18" name="CASESLISTTMP1">
    <vt:lpwstr>27734980:3;5597217;27567095:2;27708542;27665277;27915710;25824863;27513376:2;26888657;26905927;27347604;26216601;26538254;23877165;17932902;17924643</vt:lpwstr>
  </property>
  <property fmtid="{D5CDD505-2E9C-101B-9397-08002B2CF9AE}" pid="19" name="BOOKLISTTMP1">
    <vt:lpwstr>29447</vt:lpwstr>
  </property>
  <property fmtid="{D5CDD505-2E9C-101B-9397-08002B2CF9AE}" pid="20" name="LAWLISTTMP1">
    <vt:lpwstr>70301/144.a;144.b;340.a.b.1;499.a.1;144.b2</vt:lpwstr>
  </property>
</Properties>
</file>