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7F4B7E" w:rsidRPr="00DD60A7" w14:paraId="64160339" w14:textId="77777777" w:rsidTr="00913962">
        <w:trPr>
          <w:gridAfter w:val="1"/>
          <w:wAfter w:w="99" w:type="dxa"/>
          <w:trHeight w:hRule="exact" w:val="418"/>
          <w:jc w:val="center"/>
        </w:trPr>
        <w:tc>
          <w:tcPr>
            <w:tcW w:w="8721" w:type="dxa"/>
            <w:gridSpan w:val="4"/>
          </w:tcPr>
          <w:p w14:paraId="5B1F8AA0" w14:textId="77777777" w:rsidR="007F4B7E" w:rsidRPr="00DD60A7" w:rsidRDefault="007F4B7E" w:rsidP="00052C76">
            <w:pPr>
              <w:pStyle w:val="a4"/>
              <w:jc w:val="center"/>
              <w:rPr>
                <w:rFonts w:ascii="Tahoma" w:hAnsi="Tahoma" w:cs="Tahoma"/>
                <w:color w:val="000080"/>
                <w:rtl/>
              </w:rPr>
            </w:pPr>
            <w:bookmarkStart w:id="0" w:name="LastJudge"/>
            <w:r w:rsidRPr="00DD60A7">
              <w:rPr>
                <w:rFonts w:ascii="Tahoma" w:hAnsi="Tahoma" w:cs="Tahoma"/>
                <w:b/>
                <w:bCs/>
                <w:color w:val="000080"/>
                <w:rtl/>
              </w:rPr>
              <w:t>בית המשפט המחוזי מרכז-לוד</w:t>
            </w:r>
          </w:p>
        </w:tc>
      </w:tr>
      <w:tr w:rsidR="007F4B7E" w:rsidRPr="00DD60A7" w14:paraId="23CD66AA" w14:textId="77777777" w:rsidTr="00913962">
        <w:trPr>
          <w:gridAfter w:val="1"/>
          <w:wAfter w:w="99" w:type="dxa"/>
          <w:trHeight w:val="337"/>
          <w:jc w:val="center"/>
        </w:trPr>
        <w:tc>
          <w:tcPr>
            <w:tcW w:w="5054" w:type="dxa"/>
            <w:gridSpan w:val="3"/>
          </w:tcPr>
          <w:p w14:paraId="3B869F83" w14:textId="77777777" w:rsidR="007F4B7E" w:rsidRPr="00DD60A7" w:rsidRDefault="007F4B7E" w:rsidP="00052C76">
            <w:pPr>
              <w:rPr>
                <w:rFonts w:cs="FrankRuehl"/>
                <w:sz w:val="28"/>
                <w:szCs w:val="28"/>
                <w:rtl/>
              </w:rPr>
            </w:pPr>
            <w:r w:rsidRPr="00DD60A7">
              <w:rPr>
                <w:rFonts w:cs="FrankRuehl"/>
                <w:sz w:val="28"/>
                <w:szCs w:val="28"/>
                <w:rtl/>
              </w:rPr>
              <w:t>ת"פ</w:t>
            </w:r>
            <w:r w:rsidRPr="00DD60A7">
              <w:rPr>
                <w:rFonts w:cs="FrankRuehl" w:hint="cs"/>
                <w:sz w:val="28"/>
                <w:szCs w:val="28"/>
                <w:rtl/>
              </w:rPr>
              <w:t xml:space="preserve"> </w:t>
            </w:r>
            <w:r w:rsidRPr="00DD60A7">
              <w:rPr>
                <w:rFonts w:cs="FrankRuehl"/>
                <w:sz w:val="28"/>
                <w:szCs w:val="28"/>
                <w:rtl/>
              </w:rPr>
              <w:t>64119-05-21</w:t>
            </w:r>
            <w:r w:rsidRPr="00DD60A7">
              <w:rPr>
                <w:rFonts w:cs="FrankRuehl" w:hint="cs"/>
                <w:sz w:val="28"/>
                <w:szCs w:val="28"/>
                <w:rtl/>
              </w:rPr>
              <w:t xml:space="preserve"> </w:t>
            </w:r>
            <w:r w:rsidRPr="00DD60A7">
              <w:rPr>
                <w:rFonts w:cs="FrankRuehl"/>
                <w:sz w:val="28"/>
                <w:szCs w:val="28"/>
                <w:rtl/>
              </w:rPr>
              <w:t>מדינת ישראל נ' בשארה</w:t>
            </w:r>
          </w:p>
          <w:p w14:paraId="36A23D75" w14:textId="77777777" w:rsidR="007F4B7E" w:rsidRPr="00DD60A7" w:rsidRDefault="007F4B7E" w:rsidP="00052C76">
            <w:pPr>
              <w:pStyle w:val="a4"/>
              <w:rPr>
                <w:rFonts w:cs="FrankRuehl"/>
                <w:sz w:val="28"/>
                <w:szCs w:val="28"/>
                <w:rtl/>
              </w:rPr>
            </w:pPr>
          </w:p>
        </w:tc>
        <w:tc>
          <w:tcPr>
            <w:tcW w:w="3667" w:type="dxa"/>
          </w:tcPr>
          <w:p w14:paraId="091C7551" w14:textId="77777777" w:rsidR="007F4B7E" w:rsidRPr="00DD60A7" w:rsidRDefault="007F4B7E" w:rsidP="00052C76">
            <w:pPr>
              <w:pStyle w:val="a4"/>
              <w:jc w:val="right"/>
              <w:rPr>
                <w:rFonts w:cs="FrankRuehl"/>
                <w:sz w:val="28"/>
                <w:szCs w:val="28"/>
                <w:rtl/>
              </w:rPr>
            </w:pPr>
          </w:p>
        </w:tc>
      </w:tr>
      <w:tr w:rsidR="007F4B7E" w:rsidRPr="00DD60A7" w14:paraId="6BB781E4" w14:textId="77777777" w:rsidTr="009139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9E8511E" w14:textId="77777777" w:rsidR="007F4B7E" w:rsidRPr="00DD60A7" w:rsidRDefault="007F4B7E" w:rsidP="007F4B7E">
            <w:pPr>
              <w:jc w:val="both"/>
              <w:rPr>
                <w:rFonts w:ascii="David" w:hAnsi="David"/>
                <w:sz w:val="26"/>
                <w:szCs w:val="26"/>
              </w:rPr>
            </w:pPr>
            <w:r w:rsidRPr="00DD60A7">
              <w:rPr>
                <w:rFonts w:hint="cs"/>
                <w:rtl/>
              </w:rPr>
              <w:t xml:space="preserve"> </w:t>
            </w:r>
            <w:r w:rsidRPr="00DD60A7">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007C98B6" w14:textId="77777777" w:rsidR="007F4B7E" w:rsidRPr="00DD60A7" w:rsidRDefault="007F4B7E" w:rsidP="00052C76">
            <w:pPr>
              <w:rPr>
                <w:rFonts w:ascii="David" w:hAnsi="David"/>
                <w:b/>
                <w:bCs/>
                <w:sz w:val="26"/>
                <w:szCs w:val="26"/>
                <w:rtl/>
              </w:rPr>
            </w:pPr>
            <w:r w:rsidRPr="00DD60A7">
              <w:rPr>
                <w:rFonts w:ascii="David" w:hAnsi="David"/>
                <w:b/>
                <w:bCs/>
                <w:sz w:val="26"/>
                <w:szCs w:val="26"/>
                <w:rtl/>
              </w:rPr>
              <w:t>כבוד השופטת  מרב גרינברג</w:t>
            </w:r>
          </w:p>
          <w:p w14:paraId="46FB230F" w14:textId="77777777" w:rsidR="007F4B7E" w:rsidRPr="00DD60A7" w:rsidRDefault="007F4B7E" w:rsidP="00052C76">
            <w:pPr>
              <w:rPr>
                <w:rFonts w:ascii="David" w:hAnsi="David"/>
                <w:sz w:val="26"/>
                <w:szCs w:val="26"/>
                <w:rtl/>
              </w:rPr>
            </w:pPr>
          </w:p>
          <w:p w14:paraId="2B7CBEFC" w14:textId="77777777" w:rsidR="007F4B7E" w:rsidRPr="00DD60A7" w:rsidRDefault="007F4B7E" w:rsidP="007F4B7E">
            <w:pPr>
              <w:jc w:val="both"/>
              <w:rPr>
                <w:rFonts w:ascii="David" w:hAnsi="David"/>
                <w:sz w:val="26"/>
                <w:szCs w:val="26"/>
              </w:rPr>
            </w:pPr>
          </w:p>
        </w:tc>
      </w:tr>
      <w:tr w:rsidR="007F4B7E" w:rsidRPr="00DD60A7" w14:paraId="03211EF6" w14:textId="77777777" w:rsidTr="009139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9FEF871" w14:textId="77777777" w:rsidR="007F4B7E" w:rsidRPr="00DD60A7" w:rsidRDefault="007F4B7E" w:rsidP="007F4B7E">
            <w:pPr>
              <w:jc w:val="both"/>
              <w:rPr>
                <w:rFonts w:ascii="David" w:hAnsi="David"/>
                <w:sz w:val="26"/>
                <w:szCs w:val="26"/>
              </w:rPr>
            </w:pPr>
            <w:bookmarkStart w:id="1" w:name="FirstAppellant"/>
            <w:bookmarkStart w:id="2" w:name="FirstLawyer"/>
            <w:r w:rsidRPr="00DD60A7">
              <w:rPr>
                <w:rFonts w:ascii="David" w:hAnsi="David"/>
                <w:sz w:val="26"/>
                <w:szCs w:val="26"/>
                <w:rtl/>
              </w:rPr>
              <w:t>בעניין:</w:t>
            </w:r>
          </w:p>
        </w:tc>
        <w:tc>
          <w:tcPr>
            <w:tcW w:w="3219" w:type="dxa"/>
            <w:tcBorders>
              <w:top w:val="nil"/>
              <w:left w:val="nil"/>
              <w:bottom w:val="nil"/>
              <w:right w:val="nil"/>
            </w:tcBorders>
            <w:shd w:val="clear" w:color="auto" w:fill="auto"/>
          </w:tcPr>
          <w:p w14:paraId="458E078E" w14:textId="77777777" w:rsidR="007F4B7E" w:rsidRPr="00DD60A7" w:rsidRDefault="007F4B7E" w:rsidP="007F4B7E">
            <w:pPr>
              <w:suppressLineNumbers/>
            </w:pPr>
            <w:r w:rsidRPr="00DD60A7">
              <w:rPr>
                <w:rFonts w:ascii="Arial" w:hAnsi="Arial" w:hint="cs"/>
                <w:b/>
                <w:bCs/>
                <w:sz w:val="26"/>
                <w:szCs w:val="26"/>
                <w:rtl/>
              </w:rPr>
              <w:t>ה</w:t>
            </w:r>
            <w:r w:rsidRPr="00DD60A7">
              <w:rPr>
                <w:rFonts w:ascii="Arial" w:hAnsi="Arial"/>
                <w:b/>
                <w:bCs/>
                <w:sz w:val="26"/>
                <w:szCs w:val="26"/>
                <w:rtl/>
              </w:rPr>
              <w:t>מאשימה</w:t>
            </w:r>
          </w:p>
          <w:p w14:paraId="74C499D7" w14:textId="77777777" w:rsidR="007F4B7E" w:rsidRPr="00DD60A7" w:rsidRDefault="007F4B7E" w:rsidP="00052C76">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54EC358" w14:textId="77777777" w:rsidR="007F4B7E" w:rsidRPr="00DD60A7" w:rsidRDefault="007F4B7E" w:rsidP="007F4B7E">
            <w:pPr>
              <w:suppressLineNumbers/>
              <w:rPr>
                <w:rFonts w:ascii="Arial" w:hAnsi="Arial"/>
                <w:b/>
                <w:bCs/>
                <w:sz w:val="26"/>
                <w:szCs w:val="26"/>
                <w:rtl/>
              </w:rPr>
            </w:pPr>
            <w:r w:rsidRPr="00DD60A7">
              <w:rPr>
                <w:rFonts w:ascii="Arial" w:hAnsi="Arial"/>
                <w:b/>
                <w:bCs/>
                <w:sz w:val="26"/>
                <w:szCs w:val="26"/>
                <w:rtl/>
              </w:rPr>
              <w:t>מדינת ישראל</w:t>
            </w:r>
            <w:r w:rsidRPr="00DD60A7">
              <w:rPr>
                <w:rFonts w:ascii="Arial" w:hAnsi="Arial" w:hint="cs"/>
                <w:b/>
                <w:bCs/>
                <w:sz w:val="26"/>
                <w:szCs w:val="26"/>
                <w:rtl/>
              </w:rPr>
              <w:t xml:space="preserve"> </w:t>
            </w:r>
          </w:p>
          <w:p w14:paraId="29A8D2B9" w14:textId="77777777" w:rsidR="007F4B7E" w:rsidRPr="00DD60A7" w:rsidRDefault="007F4B7E" w:rsidP="007F4B7E">
            <w:pPr>
              <w:suppressLineNumbers/>
              <w:rPr>
                <w:b/>
                <w:bCs/>
              </w:rPr>
            </w:pPr>
            <w:r w:rsidRPr="00DD60A7">
              <w:rPr>
                <w:rFonts w:ascii="Arial" w:hAnsi="Arial"/>
                <w:b/>
                <w:bCs/>
                <w:sz w:val="26"/>
                <w:szCs w:val="26"/>
                <w:rtl/>
              </w:rPr>
              <w:t>ע"י ב"כ עוה"ד</w:t>
            </w:r>
            <w:r w:rsidRPr="00DD60A7">
              <w:rPr>
                <w:rFonts w:hint="cs"/>
                <w:rtl/>
              </w:rPr>
              <w:t xml:space="preserve"> </w:t>
            </w:r>
            <w:r w:rsidRPr="00DD60A7">
              <w:rPr>
                <w:rFonts w:hint="cs"/>
                <w:b/>
                <w:bCs/>
                <w:rtl/>
              </w:rPr>
              <w:t>עומר סגל</w:t>
            </w:r>
          </w:p>
          <w:p w14:paraId="4CA8CF2F" w14:textId="77777777" w:rsidR="007F4B7E" w:rsidRPr="00DD60A7" w:rsidRDefault="007F4B7E" w:rsidP="00052C76">
            <w:pPr>
              <w:rPr>
                <w:rFonts w:ascii="David" w:hAnsi="David"/>
                <w:sz w:val="26"/>
                <w:szCs w:val="26"/>
              </w:rPr>
            </w:pPr>
          </w:p>
        </w:tc>
      </w:tr>
      <w:bookmarkEnd w:id="1"/>
      <w:bookmarkEnd w:id="2"/>
      <w:tr w:rsidR="007F4B7E" w:rsidRPr="00DD60A7" w14:paraId="0F987E48" w14:textId="77777777" w:rsidTr="009139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8AD7186" w14:textId="77777777" w:rsidR="007F4B7E" w:rsidRPr="00DD60A7" w:rsidRDefault="007F4B7E" w:rsidP="007F4B7E">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0E8F754" w14:textId="77777777" w:rsidR="007F4B7E" w:rsidRPr="00DD60A7" w:rsidRDefault="007F4B7E" w:rsidP="007F4B7E">
            <w:pPr>
              <w:jc w:val="center"/>
              <w:rPr>
                <w:rFonts w:ascii="David" w:hAnsi="David"/>
                <w:b/>
                <w:bCs/>
                <w:sz w:val="26"/>
                <w:szCs w:val="26"/>
                <w:rtl/>
              </w:rPr>
            </w:pPr>
          </w:p>
          <w:p w14:paraId="24650D3C" w14:textId="77777777" w:rsidR="007F4B7E" w:rsidRPr="00DD60A7" w:rsidRDefault="007F4B7E" w:rsidP="007F4B7E">
            <w:pPr>
              <w:jc w:val="center"/>
              <w:rPr>
                <w:rFonts w:ascii="David" w:hAnsi="David"/>
                <w:b/>
                <w:bCs/>
                <w:sz w:val="26"/>
                <w:szCs w:val="26"/>
                <w:rtl/>
              </w:rPr>
            </w:pPr>
            <w:r w:rsidRPr="00DD60A7">
              <w:rPr>
                <w:rFonts w:ascii="David" w:hAnsi="David"/>
                <w:b/>
                <w:bCs/>
                <w:sz w:val="26"/>
                <w:szCs w:val="26"/>
                <w:rtl/>
              </w:rPr>
              <w:t>נגד</w:t>
            </w:r>
          </w:p>
          <w:p w14:paraId="53B987B8" w14:textId="77777777" w:rsidR="007F4B7E" w:rsidRPr="00DD60A7" w:rsidRDefault="007F4B7E" w:rsidP="007F4B7E">
            <w:pPr>
              <w:jc w:val="both"/>
              <w:rPr>
                <w:rFonts w:ascii="David" w:hAnsi="David"/>
                <w:sz w:val="26"/>
                <w:szCs w:val="26"/>
              </w:rPr>
            </w:pPr>
          </w:p>
        </w:tc>
      </w:tr>
      <w:tr w:rsidR="007F4B7E" w:rsidRPr="00DD60A7" w14:paraId="0401F5EE" w14:textId="77777777" w:rsidTr="009139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8313ADD" w14:textId="77777777" w:rsidR="007F4B7E" w:rsidRPr="00DD60A7" w:rsidRDefault="007F4B7E" w:rsidP="00052C76">
            <w:pPr>
              <w:rPr>
                <w:rFonts w:ascii="David" w:hAnsi="David"/>
                <w:sz w:val="26"/>
                <w:szCs w:val="26"/>
                <w:rtl/>
              </w:rPr>
            </w:pPr>
          </w:p>
        </w:tc>
        <w:tc>
          <w:tcPr>
            <w:tcW w:w="3219" w:type="dxa"/>
            <w:tcBorders>
              <w:top w:val="nil"/>
              <w:left w:val="nil"/>
              <w:bottom w:val="nil"/>
              <w:right w:val="nil"/>
            </w:tcBorders>
            <w:shd w:val="clear" w:color="auto" w:fill="auto"/>
          </w:tcPr>
          <w:p w14:paraId="43AC1EA8" w14:textId="77777777" w:rsidR="007F4B7E" w:rsidRPr="00DD60A7" w:rsidRDefault="007F4B7E" w:rsidP="00052C76">
            <w:pPr>
              <w:rPr>
                <w:rFonts w:ascii="Arial" w:hAnsi="Arial"/>
                <w:b/>
                <w:bCs/>
                <w:sz w:val="26"/>
                <w:szCs w:val="26"/>
                <w:rtl/>
              </w:rPr>
            </w:pPr>
            <w:r w:rsidRPr="00DD60A7">
              <w:rPr>
                <w:rFonts w:ascii="Arial" w:hAnsi="Arial"/>
                <w:b/>
                <w:bCs/>
                <w:sz w:val="26"/>
                <w:szCs w:val="26"/>
                <w:rtl/>
              </w:rPr>
              <w:t>הנא</w:t>
            </w:r>
            <w:r w:rsidRPr="00DD60A7">
              <w:rPr>
                <w:rFonts w:ascii="Arial" w:hAnsi="Arial" w:hint="cs"/>
                <w:b/>
                <w:bCs/>
                <w:sz w:val="26"/>
                <w:szCs w:val="26"/>
                <w:rtl/>
              </w:rPr>
              <w:t>ש</w:t>
            </w:r>
            <w:r w:rsidRPr="00DD60A7">
              <w:rPr>
                <w:rFonts w:ascii="Arial" w:hAnsi="Arial"/>
                <w:b/>
                <w:bCs/>
                <w:sz w:val="26"/>
                <w:szCs w:val="26"/>
                <w:rtl/>
              </w:rPr>
              <w:t>ם</w:t>
            </w:r>
          </w:p>
        </w:tc>
        <w:tc>
          <w:tcPr>
            <w:tcW w:w="4678" w:type="dxa"/>
            <w:gridSpan w:val="3"/>
            <w:tcBorders>
              <w:top w:val="nil"/>
              <w:left w:val="nil"/>
              <w:bottom w:val="nil"/>
              <w:right w:val="nil"/>
            </w:tcBorders>
            <w:shd w:val="clear" w:color="auto" w:fill="auto"/>
            <w:vAlign w:val="center"/>
          </w:tcPr>
          <w:p w14:paraId="3D20DBDD" w14:textId="77777777" w:rsidR="007F4B7E" w:rsidRPr="00DD60A7" w:rsidRDefault="007F4B7E" w:rsidP="007F4B7E">
            <w:pPr>
              <w:suppressLineNumbers/>
              <w:rPr>
                <w:rFonts w:ascii="Arial" w:hAnsi="Arial"/>
                <w:b/>
                <w:bCs/>
                <w:sz w:val="26"/>
                <w:szCs w:val="26"/>
                <w:rtl/>
              </w:rPr>
            </w:pPr>
            <w:r w:rsidRPr="00DD60A7">
              <w:rPr>
                <w:rFonts w:ascii="Arial" w:hAnsi="Arial"/>
                <w:b/>
                <w:bCs/>
                <w:sz w:val="26"/>
                <w:szCs w:val="26"/>
                <w:rtl/>
              </w:rPr>
              <w:t>עמרי בשארה</w:t>
            </w:r>
            <w:r w:rsidRPr="00DD60A7">
              <w:rPr>
                <w:rFonts w:ascii="Arial" w:hAnsi="Arial" w:hint="cs"/>
                <w:b/>
                <w:bCs/>
                <w:sz w:val="26"/>
                <w:szCs w:val="26"/>
                <w:rtl/>
              </w:rPr>
              <w:t xml:space="preserve"> </w:t>
            </w:r>
          </w:p>
          <w:p w14:paraId="309F760B" w14:textId="77777777" w:rsidR="007F4B7E" w:rsidRPr="00DD60A7" w:rsidRDefault="007F4B7E" w:rsidP="007F4B7E">
            <w:pPr>
              <w:suppressLineNumbers/>
            </w:pPr>
            <w:r w:rsidRPr="00DD60A7">
              <w:rPr>
                <w:rFonts w:ascii="Arial" w:hAnsi="Arial"/>
                <w:b/>
                <w:bCs/>
                <w:sz w:val="26"/>
                <w:szCs w:val="26"/>
                <w:rtl/>
              </w:rPr>
              <w:t>ע"י ב"כ עוה"ד</w:t>
            </w:r>
            <w:r w:rsidRPr="00DD60A7">
              <w:rPr>
                <w:rFonts w:ascii="Arial" w:hAnsi="Arial" w:hint="cs"/>
                <w:b/>
                <w:bCs/>
                <w:sz w:val="26"/>
                <w:szCs w:val="26"/>
                <w:rtl/>
              </w:rPr>
              <w:t xml:space="preserve"> איהאב ג'לג'ולי</w:t>
            </w:r>
          </w:p>
          <w:p w14:paraId="708045C8" w14:textId="77777777" w:rsidR="007F4B7E" w:rsidRPr="00DD60A7" w:rsidRDefault="007F4B7E" w:rsidP="00052C76">
            <w:pPr>
              <w:rPr>
                <w:rFonts w:ascii="David" w:hAnsi="David"/>
                <w:sz w:val="26"/>
                <w:szCs w:val="26"/>
              </w:rPr>
            </w:pPr>
          </w:p>
        </w:tc>
      </w:tr>
    </w:tbl>
    <w:p w14:paraId="5A447111" w14:textId="77777777" w:rsidR="00DD60A7" w:rsidRPr="00DD60A7" w:rsidRDefault="00DD60A7" w:rsidP="00DD60A7">
      <w:pPr>
        <w:spacing w:before="120" w:after="120" w:line="240" w:lineRule="exact"/>
        <w:ind w:left="283" w:hanging="283"/>
        <w:jc w:val="both"/>
        <w:rPr>
          <w:rFonts w:ascii="FrankRuehl" w:hAnsi="FrankRuehl" w:cs="FrankRuehl"/>
          <w:rtl/>
        </w:rPr>
      </w:pPr>
    </w:p>
    <w:p w14:paraId="0EB28F91" w14:textId="77777777" w:rsidR="00DD60A7" w:rsidRPr="00DD60A7" w:rsidRDefault="00DD60A7" w:rsidP="00DD60A7">
      <w:pPr>
        <w:rPr>
          <w:sz w:val="26"/>
          <w:szCs w:val="26"/>
          <w:rtl/>
        </w:rPr>
      </w:pPr>
    </w:p>
    <w:p w14:paraId="733A60D9" w14:textId="77777777" w:rsidR="00913962" w:rsidRPr="00913962" w:rsidRDefault="00913962" w:rsidP="00913962">
      <w:pPr>
        <w:spacing w:before="120" w:after="120" w:line="240" w:lineRule="exact"/>
        <w:ind w:left="283" w:hanging="283"/>
        <w:jc w:val="both"/>
        <w:rPr>
          <w:rFonts w:ascii="FrankRuehl" w:hAnsi="FrankRuehl" w:cs="FrankRuehl"/>
          <w:rtl/>
        </w:rPr>
      </w:pPr>
      <w:bookmarkStart w:id="3" w:name="LawTable"/>
      <w:bookmarkEnd w:id="3"/>
    </w:p>
    <w:p w14:paraId="21A2675C" w14:textId="77777777" w:rsidR="00913962" w:rsidRPr="00913962" w:rsidRDefault="00913962" w:rsidP="00913962">
      <w:pPr>
        <w:spacing w:before="120" w:after="120" w:line="240" w:lineRule="exact"/>
        <w:ind w:left="283" w:hanging="283"/>
        <w:jc w:val="both"/>
        <w:rPr>
          <w:rFonts w:ascii="FrankRuehl" w:hAnsi="FrankRuehl" w:cs="FrankRuehl"/>
          <w:rtl/>
        </w:rPr>
      </w:pPr>
      <w:r w:rsidRPr="00913962">
        <w:rPr>
          <w:rFonts w:ascii="FrankRuehl" w:hAnsi="FrankRuehl" w:cs="FrankRuehl"/>
          <w:rtl/>
        </w:rPr>
        <w:t xml:space="preserve">חקיקה שאוזכרה: </w:t>
      </w:r>
    </w:p>
    <w:p w14:paraId="6E63F814" w14:textId="77777777" w:rsidR="00913962" w:rsidRPr="00913962" w:rsidRDefault="00913962" w:rsidP="00913962">
      <w:pPr>
        <w:spacing w:before="120" w:after="120" w:line="240" w:lineRule="exact"/>
        <w:ind w:left="283" w:hanging="283"/>
        <w:jc w:val="both"/>
        <w:rPr>
          <w:rFonts w:ascii="FrankRuehl" w:hAnsi="FrankRuehl" w:cs="FrankRuehl"/>
          <w:color w:val="0000FF"/>
          <w:rtl/>
        </w:rPr>
      </w:pPr>
      <w:hyperlink r:id="rId7" w:history="1">
        <w:r w:rsidRPr="00913962">
          <w:rPr>
            <w:rStyle w:val="Hyperlink"/>
            <w:rFonts w:ascii="FrankRuehl" w:hAnsi="FrankRuehl" w:cs="FrankRuehl"/>
            <w:u w:val="none"/>
            <w:rtl/>
          </w:rPr>
          <w:t>חוק העונשין, תשל"ז-1977</w:t>
        </w:r>
      </w:hyperlink>
      <w:r w:rsidRPr="00913962">
        <w:rPr>
          <w:rFonts w:ascii="FrankRuehl" w:hAnsi="FrankRuehl" w:cs="FrankRuehl"/>
          <w:color w:val="0000FF"/>
          <w:rtl/>
        </w:rPr>
        <w:t xml:space="preserve">: סע'  </w:t>
      </w:r>
      <w:hyperlink r:id="rId8" w:history="1">
        <w:r w:rsidRPr="00913962">
          <w:rPr>
            <w:rStyle w:val="Hyperlink"/>
            <w:rFonts w:ascii="FrankRuehl" w:hAnsi="FrankRuehl" w:cs="FrankRuehl"/>
            <w:u w:val="none"/>
          </w:rPr>
          <w:t>144</w:t>
        </w:r>
      </w:hyperlink>
      <w:r w:rsidRPr="00913962">
        <w:rPr>
          <w:rFonts w:ascii="FrankRuehl" w:hAnsi="FrankRuehl" w:cs="FrankRuehl"/>
          <w:color w:val="0000FF"/>
          <w:rtl/>
        </w:rPr>
        <w:t>(ב)</w:t>
      </w:r>
    </w:p>
    <w:p w14:paraId="0C31184C" w14:textId="77777777" w:rsidR="007F4B7E" w:rsidRPr="00913962" w:rsidRDefault="007F4B7E" w:rsidP="00913962">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F4B7E" w14:paraId="6634B6F4" w14:textId="77777777" w:rsidTr="007F4B7E">
        <w:trPr>
          <w:trHeight w:val="355"/>
          <w:jc w:val="center"/>
        </w:trPr>
        <w:tc>
          <w:tcPr>
            <w:tcW w:w="8820" w:type="dxa"/>
            <w:tcBorders>
              <w:top w:val="nil"/>
              <w:left w:val="nil"/>
              <w:bottom w:val="nil"/>
              <w:right w:val="nil"/>
            </w:tcBorders>
            <w:shd w:val="clear" w:color="auto" w:fill="auto"/>
          </w:tcPr>
          <w:p w14:paraId="527DC6FE" w14:textId="77777777" w:rsidR="00DD60A7" w:rsidRPr="00DD60A7" w:rsidRDefault="00DD60A7" w:rsidP="00DD60A7">
            <w:pPr>
              <w:jc w:val="center"/>
              <w:rPr>
                <w:rFonts w:ascii="David" w:hAnsi="David"/>
                <w:b/>
                <w:bCs/>
                <w:sz w:val="32"/>
                <w:szCs w:val="32"/>
                <w:u w:val="single"/>
                <w:rtl/>
              </w:rPr>
            </w:pPr>
            <w:bookmarkStart w:id="5" w:name="PsakDin" w:colFirst="0" w:colLast="0"/>
            <w:bookmarkEnd w:id="0"/>
            <w:r w:rsidRPr="00DD60A7">
              <w:rPr>
                <w:rFonts w:ascii="David" w:hAnsi="David"/>
                <w:b/>
                <w:bCs/>
                <w:sz w:val="32"/>
                <w:szCs w:val="32"/>
                <w:u w:val="single"/>
                <w:rtl/>
              </w:rPr>
              <w:t>גזר דין</w:t>
            </w:r>
          </w:p>
          <w:p w14:paraId="3E47DEA2" w14:textId="77777777" w:rsidR="007F4B7E" w:rsidRPr="00DD60A7" w:rsidRDefault="007F4B7E" w:rsidP="00DD60A7">
            <w:pPr>
              <w:jc w:val="center"/>
              <w:rPr>
                <w:rFonts w:ascii="David" w:hAnsi="David"/>
                <w:bCs/>
                <w:sz w:val="32"/>
                <w:szCs w:val="32"/>
                <w:u w:val="single"/>
                <w:rtl/>
              </w:rPr>
            </w:pPr>
          </w:p>
        </w:tc>
      </w:tr>
      <w:bookmarkEnd w:id="5"/>
    </w:tbl>
    <w:p w14:paraId="0F5BA122" w14:textId="77777777" w:rsidR="007F4B7E" w:rsidRPr="000F2247" w:rsidRDefault="007F4B7E" w:rsidP="007F4B7E">
      <w:pPr>
        <w:rPr>
          <w:rFonts w:ascii="Arial" w:hAnsi="Arial"/>
          <w:b/>
          <w:bCs/>
          <w:sz w:val="26"/>
          <w:szCs w:val="26"/>
          <w:rtl/>
        </w:rPr>
      </w:pPr>
    </w:p>
    <w:p w14:paraId="49415DCF" w14:textId="77777777" w:rsidR="007F4B7E" w:rsidRPr="001A3C90" w:rsidRDefault="007F4B7E" w:rsidP="007F4B7E">
      <w:pPr>
        <w:pStyle w:val="aa"/>
        <w:numPr>
          <w:ilvl w:val="0"/>
          <w:numId w:val="1"/>
        </w:numPr>
        <w:spacing w:line="360" w:lineRule="auto"/>
        <w:jc w:val="both"/>
      </w:pPr>
      <w:bookmarkStart w:id="6" w:name="ABSTRACT_START"/>
      <w:bookmarkEnd w:id="6"/>
      <w:r>
        <w:rPr>
          <w:rFonts w:hint="cs"/>
          <w:rtl/>
        </w:rPr>
        <w:t xml:space="preserve">הנאשם הורשע על פי הודאתו במסגרת הסדר דיוני בעובדות כתב אישום שהוגש נגדו </w:t>
      </w:r>
      <w:r w:rsidRPr="001A3C90">
        <w:rPr>
          <w:rFonts w:hint="cs"/>
          <w:b/>
          <w:bCs/>
          <w:rtl/>
        </w:rPr>
        <w:t xml:space="preserve">בעבירת נשיאה והובלת נשק ותחמושת לפי </w:t>
      </w:r>
      <w:hyperlink r:id="rId9" w:history="1">
        <w:r w:rsidR="00913962" w:rsidRPr="00913962">
          <w:rPr>
            <w:rStyle w:val="Hyperlink"/>
            <w:rFonts w:hint="eastAsia"/>
            <w:b/>
            <w:bCs/>
            <w:color w:val="0000FF"/>
            <w:rtl/>
          </w:rPr>
          <w:t>סעיף</w:t>
        </w:r>
        <w:r w:rsidR="00913962" w:rsidRPr="00913962">
          <w:rPr>
            <w:rStyle w:val="Hyperlink"/>
            <w:b/>
            <w:bCs/>
            <w:color w:val="0000FF"/>
            <w:rtl/>
          </w:rPr>
          <w:t xml:space="preserve"> 144(ב)</w:t>
        </w:r>
      </w:hyperlink>
      <w:r w:rsidRPr="001A3C90">
        <w:rPr>
          <w:rFonts w:hint="cs"/>
          <w:b/>
          <w:bCs/>
          <w:rtl/>
        </w:rPr>
        <w:t xml:space="preserve"> רישא וסיפא </w:t>
      </w:r>
      <w:r>
        <w:rPr>
          <w:rFonts w:hint="cs"/>
          <w:b/>
          <w:bCs/>
          <w:rtl/>
        </w:rPr>
        <w:t>ל</w:t>
      </w:r>
      <w:hyperlink r:id="rId10" w:history="1">
        <w:r w:rsidR="00DD60A7" w:rsidRPr="00DD60A7">
          <w:rPr>
            <w:b/>
            <w:bCs/>
            <w:color w:val="0000FF"/>
            <w:u w:val="single"/>
            <w:rtl/>
          </w:rPr>
          <w:t>חוק העונשין</w:t>
        </w:r>
      </w:hyperlink>
      <w:r>
        <w:rPr>
          <w:rFonts w:hint="cs"/>
          <w:b/>
          <w:bCs/>
          <w:rtl/>
        </w:rPr>
        <w:t>, תשל"ז-</w:t>
      </w:r>
      <w:r w:rsidRPr="001A3C90">
        <w:rPr>
          <w:rFonts w:hint="cs"/>
          <w:b/>
          <w:bCs/>
          <w:rtl/>
        </w:rPr>
        <w:t>1977</w:t>
      </w:r>
      <w:r>
        <w:rPr>
          <w:rFonts w:hint="cs"/>
          <w:rtl/>
        </w:rPr>
        <w:t xml:space="preserve">.  </w:t>
      </w:r>
    </w:p>
    <w:p w14:paraId="6BB89A79" w14:textId="77777777" w:rsidR="007F4B7E" w:rsidRPr="008668AA" w:rsidRDefault="007F4B7E" w:rsidP="007F4B7E">
      <w:pPr>
        <w:pStyle w:val="aa"/>
        <w:spacing w:line="360" w:lineRule="auto"/>
        <w:jc w:val="both"/>
        <w:rPr>
          <w:rtl/>
        </w:rPr>
      </w:pPr>
    </w:p>
    <w:p w14:paraId="240B10B7" w14:textId="77777777" w:rsidR="007F4B7E" w:rsidRDefault="007F4B7E" w:rsidP="007F4B7E">
      <w:pPr>
        <w:pStyle w:val="aa"/>
        <w:numPr>
          <w:ilvl w:val="0"/>
          <w:numId w:val="1"/>
        </w:numPr>
        <w:spacing w:line="360" w:lineRule="auto"/>
        <w:jc w:val="both"/>
      </w:pPr>
      <w:bookmarkStart w:id="7" w:name="ABSTRACT_END"/>
      <w:bookmarkEnd w:id="7"/>
      <w:r>
        <w:rPr>
          <w:rFonts w:hint="cs"/>
          <w:rtl/>
        </w:rPr>
        <w:t xml:space="preserve">כמפורט בעובדות כתב האישום, ביום 24.9.20 או עובר לכך, הגיע לחזקת הנאשם נשק תת מקלע מאולתר "קרלו" ולצדו מחסנית עם תחמושת בתוכה (להלן: "הנשק"). במועד זה, נשא הנאשם את הנשק בביתו בטירה, ואף צילם את עצמו באמצעות מכשיר הטלפון שלו מחזיק נשק בידיו. </w:t>
      </w:r>
    </w:p>
    <w:p w14:paraId="578D0097" w14:textId="77777777" w:rsidR="007F4B7E" w:rsidRDefault="007F4B7E" w:rsidP="007F4B7E">
      <w:pPr>
        <w:pStyle w:val="aa"/>
        <w:rPr>
          <w:rtl/>
        </w:rPr>
      </w:pPr>
    </w:p>
    <w:p w14:paraId="575C7EF7" w14:textId="77777777" w:rsidR="007F4B7E" w:rsidRDefault="007F4B7E" w:rsidP="007F4B7E">
      <w:pPr>
        <w:pStyle w:val="aa"/>
        <w:numPr>
          <w:ilvl w:val="0"/>
          <w:numId w:val="1"/>
        </w:numPr>
        <w:spacing w:line="360" w:lineRule="auto"/>
        <w:jc w:val="both"/>
      </w:pPr>
      <w:r>
        <w:rPr>
          <w:rFonts w:hint="cs"/>
          <w:rtl/>
        </w:rPr>
        <w:t xml:space="preserve">ביום 12.10.21 הציגו הצדדים הסדר טיעון דיוני, במסגרתו הודה והורשע הנאשם בעובדות כתב האישום והופנה לתסקיר חובה. </w:t>
      </w:r>
    </w:p>
    <w:p w14:paraId="127FA8F8" w14:textId="77777777" w:rsidR="007F4B7E" w:rsidRDefault="007F4B7E" w:rsidP="007F4B7E">
      <w:pPr>
        <w:pStyle w:val="aa"/>
        <w:spacing w:line="360" w:lineRule="auto"/>
        <w:jc w:val="both"/>
        <w:rPr>
          <w:rtl/>
        </w:rPr>
      </w:pPr>
    </w:p>
    <w:p w14:paraId="4681E066" w14:textId="77777777" w:rsidR="007F4B7E" w:rsidRPr="000539D2" w:rsidRDefault="007F4B7E" w:rsidP="007F4B7E">
      <w:pPr>
        <w:spacing w:line="360" w:lineRule="auto"/>
        <w:jc w:val="both"/>
        <w:rPr>
          <w:b/>
          <w:bCs/>
          <w:u w:val="single"/>
          <w:rtl/>
        </w:rPr>
      </w:pPr>
      <w:r>
        <w:rPr>
          <w:rFonts w:hint="cs"/>
          <w:b/>
          <w:bCs/>
          <w:u w:val="single"/>
          <w:rtl/>
        </w:rPr>
        <w:t>רקע ו</w:t>
      </w:r>
      <w:r w:rsidRPr="000539D2">
        <w:rPr>
          <w:rFonts w:hint="cs"/>
          <w:b/>
          <w:bCs/>
          <w:u w:val="single"/>
          <w:rtl/>
        </w:rPr>
        <w:t>תסקיר</w:t>
      </w:r>
      <w:r>
        <w:rPr>
          <w:rFonts w:hint="cs"/>
          <w:b/>
          <w:bCs/>
          <w:u w:val="single"/>
          <w:rtl/>
        </w:rPr>
        <w:t>י</w:t>
      </w:r>
      <w:r w:rsidRPr="000539D2">
        <w:rPr>
          <w:rFonts w:hint="cs"/>
          <w:b/>
          <w:bCs/>
          <w:u w:val="single"/>
          <w:rtl/>
        </w:rPr>
        <w:t xml:space="preserve"> שירות המבחן</w:t>
      </w:r>
    </w:p>
    <w:p w14:paraId="7F8A8CA1" w14:textId="77777777" w:rsidR="007F4B7E" w:rsidRDefault="007F4B7E" w:rsidP="007F4B7E">
      <w:pPr>
        <w:pStyle w:val="aa"/>
        <w:numPr>
          <w:ilvl w:val="0"/>
          <w:numId w:val="1"/>
        </w:numPr>
        <w:spacing w:line="360" w:lineRule="auto"/>
        <w:jc w:val="both"/>
      </w:pPr>
      <w:r>
        <w:rPr>
          <w:rFonts w:hint="cs"/>
          <w:rtl/>
        </w:rPr>
        <w:t xml:space="preserve">הנאשם בן 21, נעדר עבר פלילי. נסיבותיו המורכבות נפרשו בהרחבה בתסקירי שירות המבחן. הנאשם סיים 12 שנות לימוד, לפני כחמש שנים נפצע פציעה קשה בעינו, ואיבד את </w:t>
      </w:r>
      <w:r>
        <w:rPr>
          <w:rFonts w:hint="cs"/>
          <w:rtl/>
        </w:rPr>
        <w:lastRenderedPageBreak/>
        <w:t>כושר הראיה שלו בעין ימין. מאז הפציעה חלה הדרדרות בכל מישורי חייו, הוא סבל מדחייה חברתית ובעיות רגשיות, נמנע ממפגשים חברתיים והתקשה להתמודד עם מצבי לחץ ומצוקה,</w:t>
      </w:r>
      <w:r w:rsidRPr="00DC74B8">
        <w:rPr>
          <w:rFonts w:hint="cs"/>
          <w:rtl/>
        </w:rPr>
        <w:t xml:space="preserve"> </w:t>
      </w:r>
      <w:r>
        <w:rPr>
          <w:rFonts w:hint="cs"/>
          <w:rtl/>
        </w:rPr>
        <w:t xml:space="preserve">קשייו הרגשיים באים לידי ביטוי בנדודי שינה, ירידה במשקל וחוסר תיאבון. טרם מעורבותו בעבירה עבד בעבודות מזדמנות, מהן פוטר לאחר תקופות קצרות ובעיקר, לדבריו,  בשל חוסר יכולת לעבוד במצבי לחץ. הוא מצוי בקשר קרוב עם הוריו ואחיו ונעזר בהם. בשיחה שקיים שירות המבחן עם אמו, עמדה אף היא על השינויים שחלו בבנה מאז הפציעה, ועל קשייו הרגשיים והנפשיים, מסרה כי מרבה להסתגר בבית, מתקשה לשמור על יציבות במקומות עבודה ומטופל  ע"י גורמי בריאות הנפש. </w:t>
      </w:r>
    </w:p>
    <w:p w14:paraId="01420C0E" w14:textId="77777777" w:rsidR="007F4B7E" w:rsidRDefault="007F4B7E" w:rsidP="007F4B7E">
      <w:pPr>
        <w:pStyle w:val="aa"/>
        <w:spacing w:line="360" w:lineRule="auto"/>
        <w:jc w:val="both"/>
        <w:rPr>
          <w:rtl/>
        </w:rPr>
      </w:pPr>
      <w:r>
        <w:rPr>
          <w:rFonts w:hint="cs"/>
          <w:b/>
          <w:bCs/>
          <w:rtl/>
        </w:rPr>
        <w:t xml:space="preserve">הנאשם מודה בביצוע העבירה, </w:t>
      </w:r>
      <w:r>
        <w:rPr>
          <w:rFonts w:hint="cs"/>
          <w:rtl/>
        </w:rPr>
        <w:t xml:space="preserve">לדבריו החזיק בנשק במטרה להצטלם איתו מתוך סקרנות ולחץ חברתי, ושלל מעורבות בחברה שולית או כוונה להשתמש בנשק למטרה פלילית. שירות המבחן התרשם כי פציעתו הקשה גרמה לפגיעה בדימויו ובביטחונו העצמי וכי ביצע את העבירה כדי לקדם את מעמדו בקרב החברה הסובבת אותו. </w:t>
      </w:r>
    </w:p>
    <w:p w14:paraId="5DD52976" w14:textId="77777777" w:rsidR="007F4B7E" w:rsidRDefault="007F4B7E" w:rsidP="007F4B7E">
      <w:pPr>
        <w:pStyle w:val="aa"/>
        <w:spacing w:line="360" w:lineRule="auto"/>
        <w:jc w:val="both"/>
        <w:rPr>
          <w:b/>
          <w:bCs/>
          <w:rtl/>
        </w:rPr>
      </w:pPr>
    </w:p>
    <w:p w14:paraId="55A46C6F" w14:textId="77777777" w:rsidR="007F4B7E" w:rsidRDefault="007F4B7E" w:rsidP="007F4B7E">
      <w:pPr>
        <w:pStyle w:val="aa"/>
        <w:spacing w:line="360" w:lineRule="auto"/>
        <w:jc w:val="both"/>
        <w:rPr>
          <w:rtl/>
        </w:rPr>
      </w:pPr>
      <w:r>
        <w:rPr>
          <w:rFonts w:hint="cs"/>
          <w:b/>
          <w:bCs/>
          <w:rtl/>
        </w:rPr>
        <w:t>מבחינה טיפולית</w:t>
      </w:r>
      <w:r>
        <w:rPr>
          <w:rFonts w:hint="cs"/>
          <w:rtl/>
        </w:rPr>
        <w:t xml:space="preserve">, הנאשם השתלב בטיפול קבוצתי לעצורי בית, הגיע לפגישות כנדרש אך התקשה לשתף בקשייו ובהתדרדרות עובר למעצרו. גורמי הטיפול התרשמו שחש תחושות תסכול וחוסר אונים ומתקשה להביע אמון בהם. שירות המבחן העריך כי מעורבות טיפולית תצמצם את הסיכון להישנות התנהגות עוברת חוק, ונוכח נכונות הנאשם לשתף פעולה, בא בהמלצה להעמידו תחת פיקוחם ולהסתפק בענישה צופה פני עתיד. בתסקיר נוסף (19.2.23) עדכן שירות המבחן שהנאשם אינו מעוניין להשתתף בקבוצה הטיפולית, לדבריו חושש מהמשתתפים בקבוצה ותופס אותם כאנשים מסוכנים שנכון להתרחק מהם. על בסיס חוסר שיתוף הפעולה של הנאשם נמנע שירות המבחן מהמלצה טיפולית. </w:t>
      </w:r>
    </w:p>
    <w:p w14:paraId="1FE0B817" w14:textId="77777777" w:rsidR="007F4B7E" w:rsidRDefault="007F4B7E" w:rsidP="007F4B7E">
      <w:pPr>
        <w:spacing w:line="360" w:lineRule="auto"/>
        <w:jc w:val="both"/>
        <w:rPr>
          <w:rtl/>
        </w:rPr>
      </w:pPr>
    </w:p>
    <w:p w14:paraId="0B031510" w14:textId="77777777" w:rsidR="007F4B7E" w:rsidRPr="00F40611" w:rsidRDefault="007F4B7E" w:rsidP="007F4B7E">
      <w:pPr>
        <w:pStyle w:val="aa"/>
        <w:numPr>
          <w:ilvl w:val="0"/>
          <w:numId w:val="1"/>
        </w:numPr>
        <w:spacing w:line="360" w:lineRule="auto"/>
        <w:jc w:val="both"/>
      </w:pPr>
      <w:r>
        <w:rPr>
          <w:rFonts w:hint="cs"/>
          <w:rtl/>
        </w:rPr>
        <w:t>ביום 28.3.23 התקיים דיון הטיעונים לעונש, ובסופו נשמעו דברי הנאשם. הנאשם סיפר בכאב כי מצבו קשה, "</w:t>
      </w:r>
      <w:r w:rsidRPr="00F40611">
        <w:rPr>
          <w:rFonts w:hint="cs"/>
          <w:b/>
          <w:bCs/>
          <w:rtl/>
        </w:rPr>
        <w:t xml:space="preserve">כל הזמן אני יושב בבית. אין עבודה, אין מה לעשות. אני כל הזמן בלחץ. אף אחד לא רוצה לעבוד איתי, עושים אותי עבריין גדול. אני אין לי חברים אין לי משהו. אין לי". </w:t>
      </w:r>
      <w:r w:rsidRPr="00F40611">
        <w:rPr>
          <w:rFonts w:hint="cs"/>
          <w:rtl/>
        </w:rPr>
        <w:t xml:space="preserve">באשר לסירובו להמשיך בהליך הטיפול הודה בכנות, כי מכיר חלק מחברי הקבוצה, מתבייש לדבר בפתיחות מולם וביקש לשלבו בקבוצה שאינה בעירו. </w:t>
      </w:r>
      <w:r>
        <w:rPr>
          <w:rFonts w:hint="cs"/>
          <w:rtl/>
        </w:rPr>
        <w:t>מצאתי, נוכח דבריו, לאפשר לו להמשיך בהליך הטיפולי.</w:t>
      </w:r>
    </w:p>
    <w:p w14:paraId="104BBDF7" w14:textId="77777777" w:rsidR="007F4B7E" w:rsidRDefault="007F4B7E" w:rsidP="007F4B7E">
      <w:pPr>
        <w:pStyle w:val="aa"/>
        <w:spacing w:line="360" w:lineRule="auto"/>
        <w:jc w:val="both"/>
        <w:rPr>
          <w:rtl/>
        </w:rPr>
      </w:pPr>
    </w:p>
    <w:p w14:paraId="44C35438" w14:textId="77777777" w:rsidR="007F4B7E" w:rsidRDefault="007F4B7E" w:rsidP="007F4B7E">
      <w:pPr>
        <w:pStyle w:val="aa"/>
        <w:numPr>
          <w:ilvl w:val="0"/>
          <w:numId w:val="1"/>
        </w:numPr>
        <w:spacing w:line="360" w:lineRule="auto"/>
        <w:jc w:val="both"/>
      </w:pPr>
      <w:r>
        <w:rPr>
          <w:rFonts w:hint="cs"/>
          <w:rtl/>
        </w:rPr>
        <w:t xml:space="preserve"> התמונה המתוארת בתסקירים המשלימים טובה יותר, כעולה מהם הנאשם השתלב בטיפול בקבוצה טיפולית אחרת המיועדת לצעירים עוברי חוק. תחילה גילה חוסר בטחון ובלבול ובהמשך החל להשתתף ושיתף באופן אותנטי באשר למצבו וחששותיו. שירות המבחן התרשם כי מבין את השלכות הסתבכותו בתיק ומתבונן באופן ביקורתי על מעשיו. הנאשם גילה מוטיבציה, נכונות לשקם את מצבו ולשתף פעולה בהליך הטיפולי. במהלך הטיפול, התדרדר מצבו הרפואי והוא החל לחוש תחושות ייאוש וחוסר אונים, מצוי במתח </w:t>
      </w:r>
      <w:r>
        <w:rPr>
          <w:rFonts w:hint="cs"/>
          <w:rtl/>
        </w:rPr>
        <w:lastRenderedPageBreak/>
        <w:t>מתמיד  וסובל מסף תסכול נמוך. בשיחה עם אביו, סיפר שמלווה אותו, מעורב במצבו, ומשפחתו תומכת בו. שירות המבחן התרשם כי מעורבות טיפולית במצבו תפחית את הסיכון להישנות התנהגות עוברת חוק, וחזר על המלצתו להעמידו בצו מבחן ולמאסר על תנאי.</w:t>
      </w:r>
    </w:p>
    <w:p w14:paraId="1482B79F" w14:textId="77777777" w:rsidR="007F4B7E" w:rsidRDefault="007F4B7E" w:rsidP="007F4B7E">
      <w:pPr>
        <w:pStyle w:val="aa"/>
        <w:rPr>
          <w:rtl/>
        </w:rPr>
      </w:pPr>
    </w:p>
    <w:p w14:paraId="75CB08FA" w14:textId="77777777" w:rsidR="007F4B7E" w:rsidRDefault="007F4B7E" w:rsidP="007F4B7E">
      <w:pPr>
        <w:pStyle w:val="aa"/>
        <w:spacing w:line="360" w:lineRule="auto"/>
        <w:jc w:val="both"/>
        <w:rPr>
          <w:rtl/>
        </w:rPr>
      </w:pPr>
    </w:p>
    <w:p w14:paraId="09246432" w14:textId="77777777" w:rsidR="007F4B7E" w:rsidRDefault="007F4B7E" w:rsidP="007F4B7E">
      <w:pPr>
        <w:pStyle w:val="aa"/>
        <w:spacing w:line="360" w:lineRule="auto"/>
        <w:jc w:val="both"/>
        <w:rPr>
          <w:rtl/>
        </w:rPr>
      </w:pPr>
    </w:p>
    <w:p w14:paraId="542491ED" w14:textId="77777777" w:rsidR="007F4B7E" w:rsidRDefault="007F4B7E" w:rsidP="007F4B7E">
      <w:pPr>
        <w:pStyle w:val="aa"/>
        <w:spacing w:line="360" w:lineRule="auto"/>
        <w:jc w:val="both"/>
        <w:rPr>
          <w:rtl/>
        </w:rPr>
      </w:pPr>
    </w:p>
    <w:p w14:paraId="19FF210B" w14:textId="77777777" w:rsidR="007F4B7E" w:rsidRDefault="007F4B7E" w:rsidP="007F4B7E">
      <w:pPr>
        <w:spacing w:line="360" w:lineRule="auto"/>
        <w:jc w:val="both"/>
        <w:rPr>
          <w:b/>
          <w:bCs/>
          <w:u w:val="single"/>
          <w:rtl/>
        </w:rPr>
      </w:pPr>
      <w:r>
        <w:rPr>
          <w:rFonts w:hint="cs"/>
          <w:b/>
          <w:bCs/>
          <w:u w:val="single"/>
          <w:rtl/>
        </w:rPr>
        <w:t>תמצית הטיעונים לעונש</w:t>
      </w:r>
    </w:p>
    <w:p w14:paraId="6BA364B5" w14:textId="77777777" w:rsidR="007F4B7E" w:rsidRDefault="007F4B7E" w:rsidP="007F4B7E">
      <w:pPr>
        <w:pStyle w:val="aa"/>
        <w:numPr>
          <w:ilvl w:val="0"/>
          <w:numId w:val="1"/>
        </w:numPr>
        <w:spacing w:line="360" w:lineRule="auto"/>
        <w:jc w:val="both"/>
        <w:rPr>
          <w:rtl/>
        </w:rPr>
      </w:pPr>
      <w:r>
        <w:rPr>
          <w:rFonts w:hint="cs"/>
          <w:rtl/>
        </w:rPr>
        <w:t xml:space="preserve">המאשימה עמדה בטיעוניה ובטיעוניה המשלימים על פגיעת מעשי הנאשם בערכים המוגנים של הגנה על שלום הציבור וביטחונו והסיכון הרב הגלום בנשיאת תת מקלע מאולתר, על מגמת ההחמרה בענישה בעבירות נשק המשתקפת בפסיקת בית המשפט העליון וחובת עונש מזערי. לפיכך עתרה למתחם ענישה הנע בין 60-30 חודשי מאסר בפועל. לנאשם הרשעה מאוחרת בעבירות חבלה במזיד ברכב ותקיפה וחבלה ממשית על ידי שניים או יותר (גזר דין מיום 11.1.23), לקולא ציינה את הודאתו וחסכון בזמן השיפוטי. באשר לתסקירים סבורה כי מעידים לכל היותר על ניצנים של שיתוף פעולה, הנאשם לא עבר הליך שיקום משמעותי, חרף ההזדמנויות הרבות שניתנו לו, כך שהמלצתו הסופית של שירות המבחן אינה עולה בקנה אחד עם תוכן התסקיר.  </w:t>
      </w:r>
    </w:p>
    <w:p w14:paraId="765B590E" w14:textId="77777777" w:rsidR="007F4B7E" w:rsidRDefault="007F4B7E" w:rsidP="007F4B7E">
      <w:pPr>
        <w:pStyle w:val="aa"/>
        <w:spacing w:line="360" w:lineRule="auto"/>
        <w:jc w:val="both"/>
        <w:rPr>
          <w:rtl/>
        </w:rPr>
      </w:pPr>
    </w:p>
    <w:p w14:paraId="29745E1B" w14:textId="77777777" w:rsidR="007F4B7E" w:rsidRDefault="007F4B7E" w:rsidP="007F4B7E">
      <w:pPr>
        <w:pStyle w:val="aa"/>
        <w:numPr>
          <w:ilvl w:val="0"/>
          <w:numId w:val="1"/>
        </w:numPr>
        <w:spacing w:line="360" w:lineRule="auto"/>
        <w:jc w:val="both"/>
      </w:pPr>
      <w:r>
        <w:rPr>
          <w:rFonts w:hint="cs"/>
          <w:rtl/>
        </w:rPr>
        <w:t xml:space="preserve">ב"כ הנאשם, עו"ד ג'לג'ולי, ביקש לאמץ את המלצת שירות המבחן, סבור שמדובר בעבירת נשק ברף נמוך ביותר </w:t>
      </w:r>
      <w:r>
        <w:rPr>
          <w:rtl/>
        </w:rPr>
        <w:t>–</w:t>
      </w:r>
      <w:r>
        <w:rPr>
          <w:rFonts w:hint="cs"/>
          <w:rtl/>
        </w:rPr>
        <w:t xml:space="preserve"> מעידה חד פעמית במהלכה</w:t>
      </w:r>
      <w:r w:rsidRPr="00791700">
        <w:rPr>
          <w:rFonts w:hint="cs"/>
          <w:b/>
          <w:bCs/>
          <w:rtl/>
        </w:rPr>
        <w:t xml:space="preserve"> </w:t>
      </w:r>
      <w:r>
        <w:rPr>
          <w:rFonts w:hint="cs"/>
          <w:rtl/>
        </w:rPr>
        <w:t>אחז</w:t>
      </w:r>
      <w:r w:rsidRPr="00791700">
        <w:rPr>
          <w:rFonts w:hint="cs"/>
          <w:b/>
          <w:bCs/>
          <w:rtl/>
        </w:rPr>
        <w:t xml:space="preserve"> </w:t>
      </w:r>
      <w:r>
        <w:rPr>
          <w:rFonts w:hint="cs"/>
          <w:rtl/>
        </w:rPr>
        <w:t xml:space="preserve">בנשק למספר שניות לצורך צילום גרידא. בהתאם לכך, לשיטתו, הענישה צריכה לשקף את רף החומרה הנמוך, בשונה מנאשמים בעלי דפוסי התנהגות עברייניים המהווים סכנה לציבור. עוד הפנה לאופק השיקומי כפי שהשתקף מתסקיר שירות המבחן, למצבו הרפואי המורכב, אחת מעיניו מזכוכית והוא סובל מגלאוקומה ועיוורון העין (מסמך רפואי מיום 27.9.23 מאת ד"ר אחמד מנסור),  מצבו הנפשי המורכב והמצוקה בה שרוי, הנאשם שרוי בדיכאון, סובל ממצב רוח ירוד, הפרעות בשינה ועצבנות, מטופל תרופתית (מסמך רפואי מיום 23.10.23 מאת ד"ר מחמוד מומחה לפסיכיאטריה). בנסיבות האמורות ביקש לאמץ את המלצות שירות המבחן ולחלופין להשית עונש בדמות עבודות שירות. ב"כ הנאשם הפנה לדברי הנאשם בדיון הטיעונים לעונש הקודם, הנאשם עצמו לא נכח בדיון השלמת הטיעונים מחמת מצבו הרפואי. </w:t>
      </w:r>
    </w:p>
    <w:p w14:paraId="704AFA90" w14:textId="77777777" w:rsidR="007F4B7E" w:rsidRDefault="007F4B7E" w:rsidP="007F4B7E">
      <w:pPr>
        <w:pStyle w:val="aa"/>
        <w:rPr>
          <w:rtl/>
        </w:rPr>
      </w:pPr>
    </w:p>
    <w:p w14:paraId="077B4E77" w14:textId="77777777" w:rsidR="007F4B7E" w:rsidRDefault="007F4B7E" w:rsidP="007F4B7E">
      <w:pPr>
        <w:pStyle w:val="aa"/>
        <w:spacing w:line="360" w:lineRule="auto"/>
        <w:jc w:val="both"/>
        <w:rPr>
          <w:rtl/>
        </w:rPr>
      </w:pPr>
      <w:r>
        <w:rPr>
          <w:rFonts w:hint="cs"/>
          <w:rtl/>
        </w:rPr>
        <w:t>לאחר השלמת הטיעונים הוגשו ע"י ההגנה מסמכים רפואיים - בעיה</w:t>
      </w:r>
    </w:p>
    <w:p w14:paraId="207DF14A" w14:textId="77777777" w:rsidR="007F4B7E" w:rsidRDefault="007F4B7E" w:rsidP="007F4B7E">
      <w:pPr>
        <w:pStyle w:val="aa"/>
        <w:spacing w:line="360" w:lineRule="auto"/>
        <w:jc w:val="both"/>
        <w:rPr>
          <w:rtl/>
        </w:rPr>
      </w:pPr>
    </w:p>
    <w:p w14:paraId="1A9E775B" w14:textId="77777777" w:rsidR="007F4B7E" w:rsidRDefault="007F4B7E" w:rsidP="007F4B7E">
      <w:pPr>
        <w:spacing w:line="360" w:lineRule="auto"/>
        <w:jc w:val="both"/>
        <w:rPr>
          <w:b/>
          <w:bCs/>
          <w:u w:val="single"/>
          <w:rtl/>
        </w:rPr>
      </w:pPr>
      <w:r w:rsidRPr="00505054">
        <w:rPr>
          <w:rFonts w:hint="cs"/>
          <w:b/>
          <w:bCs/>
          <w:u w:val="single"/>
          <w:rtl/>
        </w:rPr>
        <w:t>דיון והכרעה</w:t>
      </w:r>
    </w:p>
    <w:p w14:paraId="4C559EDF" w14:textId="77777777" w:rsidR="007F4B7E" w:rsidRPr="00505054" w:rsidRDefault="007F4B7E" w:rsidP="007F4B7E">
      <w:pPr>
        <w:spacing w:line="360" w:lineRule="auto"/>
        <w:jc w:val="both"/>
        <w:rPr>
          <w:b/>
          <w:bCs/>
          <w:u w:val="single"/>
          <w:rtl/>
        </w:rPr>
      </w:pPr>
      <w:r>
        <w:rPr>
          <w:rFonts w:hint="cs"/>
          <w:b/>
          <w:bCs/>
          <w:u w:val="single"/>
          <w:rtl/>
        </w:rPr>
        <w:t>מתחם העונש ההולם</w:t>
      </w:r>
    </w:p>
    <w:p w14:paraId="0BBCAF6D" w14:textId="77777777" w:rsidR="007F4B7E" w:rsidRDefault="007F4B7E" w:rsidP="007F4B7E">
      <w:pPr>
        <w:pStyle w:val="aa"/>
        <w:numPr>
          <w:ilvl w:val="0"/>
          <w:numId w:val="1"/>
        </w:numPr>
        <w:spacing w:line="360" w:lineRule="auto"/>
        <w:jc w:val="both"/>
        <w:rPr>
          <w:rFonts w:ascii="Times New Roman" w:eastAsia="Times New Roman" w:hAnsi="Times New Roman"/>
        </w:rPr>
      </w:pPr>
      <w:r w:rsidRPr="00655F5C">
        <w:rPr>
          <w:rFonts w:ascii="Times New Roman" w:eastAsia="Times New Roman" w:hAnsi="Times New Roman"/>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60A296FA" w14:textId="77777777" w:rsidR="007F4B7E" w:rsidRPr="00655F5C" w:rsidRDefault="007F4B7E" w:rsidP="007F4B7E">
      <w:pPr>
        <w:pStyle w:val="aa"/>
        <w:spacing w:line="360" w:lineRule="auto"/>
        <w:jc w:val="both"/>
        <w:rPr>
          <w:rFonts w:ascii="Times New Roman" w:eastAsia="Times New Roman" w:hAnsi="Times New Roman"/>
        </w:rPr>
      </w:pPr>
    </w:p>
    <w:p w14:paraId="5886DF5E" w14:textId="77777777" w:rsidR="007F4B7E" w:rsidRDefault="007F4B7E" w:rsidP="007F4B7E">
      <w:pPr>
        <w:pStyle w:val="aa"/>
        <w:numPr>
          <w:ilvl w:val="0"/>
          <w:numId w:val="1"/>
        </w:numPr>
        <w:spacing w:after="160" w:line="360" w:lineRule="auto"/>
        <w:jc w:val="both"/>
        <w:rPr>
          <w:rtl/>
        </w:rPr>
      </w:pPr>
      <w:r w:rsidRPr="007352C2">
        <w:rPr>
          <w:rFonts w:ascii="Times New Roman" w:eastAsia="Times New Roman" w:hAnsi="Times New Roman"/>
          <w:rtl/>
        </w:rPr>
        <w:t>עבירות הנשק הפכו זה מכבר למכת מדינה</w:t>
      </w:r>
      <w:r w:rsidRPr="007352C2">
        <w:rPr>
          <w:rFonts w:ascii="Times New Roman" w:eastAsia="Times New Roman" w:hAnsi="Times New Roman" w:hint="cs"/>
          <w:rtl/>
        </w:rPr>
        <w:t xml:space="preserve"> ומגלמות סכנה ממשית לשלום הציבור ולביטחונו</w:t>
      </w:r>
      <w:r w:rsidRPr="007352C2">
        <w:rPr>
          <w:rFonts w:ascii="Times New Roman" w:eastAsia="Times New Roman" w:hAnsi="Times New Roman"/>
          <w:rtl/>
        </w:rPr>
        <w:t>. חומרתן היתרה של עבירות אלה</w:t>
      </w:r>
      <w:r w:rsidRPr="007352C2">
        <w:rPr>
          <w:rFonts w:ascii="Times New Roman" w:eastAsia="Times New Roman" w:hAnsi="Times New Roman" w:hint="cs"/>
          <w:rtl/>
        </w:rPr>
        <w:t xml:space="preserve"> אינה מתמצה אך בעבירות גופן, אלא בפוטנציאל הנזק הנובע מהן.</w:t>
      </w:r>
      <w:r w:rsidRPr="007352C2">
        <w:rPr>
          <w:rFonts w:ascii="Times New Roman" w:eastAsia="Times New Roman" w:hAnsi="Times New Roman"/>
          <w:rtl/>
        </w:rPr>
        <w:t xml:space="preserve"> </w:t>
      </w:r>
      <w:r w:rsidRPr="007352C2">
        <w:rPr>
          <w:rFonts w:ascii="Times New Roman" w:eastAsia="Times New Roman" w:hAnsi="Times New Roman" w:hint="cs"/>
          <w:rtl/>
        </w:rPr>
        <w:t>מגמת הפסיקה בשנים האחרונות מלמדת על החמרה בענישה לצורך מיגור עבירות אלו, תוך מתן משקל לשיקולי הרתעה. מגמה זו אחידה ועיקבית ביחס לכלל עברייני הנשק, אף כשהם נעדרי עבר פלילי, והאירוע הוא בגדר חריג בנוף חייהם הנורמטיבי</w:t>
      </w:r>
      <w:r>
        <w:rPr>
          <w:rFonts w:hint="cs"/>
          <w:rtl/>
        </w:rPr>
        <w:t xml:space="preserve"> (</w:t>
      </w:r>
      <w:hyperlink r:id="rId11" w:history="1">
        <w:r w:rsidR="00DD60A7" w:rsidRPr="00DD60A7">
          <w:rPr>
            <w:color w:val="0000FF"/>
            <w:u w:val="single"/>
            <w:rtl/>
          </w:rPr>
          <w:t>ע"פ 5813/21</w:t>
        </w:r>
      </w:hyperlink>
      <w:r>
        <w:rPr>
          <w:rFonts w:hint="cs"/>
          <w:rtl/>
        </w:rPr>
        <w:t xml:space="preserve"> </w:t>
      </w:r>
      <w:r w:rsidRPr="007352C2">
        <w:rPr>
          <w:rFonts w:hint="cs"/>
          <w:b/>
          <w:bCs/>
          <w:rtl/>
        </w:rPr>
        <w:t>מוחמד ג'בארין נ' מדינת ישראל</w:t>
      </w:r>
      <w:r>
        <w:rPr>
          <w:rFonts w:hint="cs"/>
          <w:rtl/>
        </w:rPr>
        <w:t>, פס' 14</w:t>
      </w:r>
      <w:r w:rsidRPr="007352C2">
        <w:rPr>
          <w:rFonts w:hint="cs"/>
          <w:b/>
          <w:bCs/>
          <w:rtl/>
        </w:rPr>
        <w:t xml:space="preserve"> </w:t>
      </w:r>
      <w:r>
        <w:rPr>
          <w:rFonts w:hint="cs"/>
          <w:rtl/>
        </w:rPr>
        <w:t xml:space="preserve">(31.5.2022); </w:t>
      </w:r>
      <w:r w:rsidRPr="00525F0B">
        <w:rPr>
          <w:rFonts w:hint="cs"/>
          <w:rtl/>
        </w:rPr>
        <w:t>ב</w:t>
      </w:r>
      <w:hyperlink r:id="rId12" w:history="1">
        <w:r w:rsidR="00DD60A7" w:rsidRPr="00DD60A7">
          <w:rPr>
            <w:color w:val="0000FF"/>
            <w:u w:val="single"/>
            <w:rtl/>
          </w:rPr>
          <w:t>ע"פ 6011/21</w:t>
        </w:r>
      </w:hyperlink>
      <w:r>
        <w:rPr>
          <w:rFonts w:hint="cs"/>
          <w:rtl/>
        </w:rPr>
        <w:t xml:space="preserve"> </w:t>
      </w:r>
      <w:r w:rsidRPr="007352C2">
        <w:rPr>
          <w:rFonts w:hint="cs"/>
          <w:b/>
          <w:bCs/>
          <w:rtl/>
        </w:rPr>
        <w:t>חאלד דסוקי נ' מדנית ישראל</w:t>
      </w:r>
      <w:r>
        <w:rPr>
          <w:rFonts w:hint="cs"/>
          <w:rtl/>
        </w:rPr>
        <w:t xml:space="preserve">  </w:t>
      </w:r>
      <w:r w:rsidRPr="00525F0B">
        <w:rPr>
          <w:rFonts w:hint="cs"/>
          <w:rtl/>
        </w:rPr>
        <w:t>(25.11.</w:t>
      </w:r>
      <w:r>
        <w:rPr>
          <w:rFonts w:hint="cs"/>
          <w:rtl/>
        </w:rPr>
        <w:t>20</w:t>
      </w:r>
      <w:r w:rsidRPr="00525F0B">
        <w:rPr>
          <w:rFonts w:hint="cs"/>
          <w:rtl/>
        </w:rPr>
        <w:t>21)</w:t>
      </w:r>
      <w:r>
        <w:rPr>
          <w:rFonts w:hint="cs"/>
          <w:rtl/>
        </w:rPr>
        <w:t>;</w:t>
      </w:r>
      <w:r w:rsidRPr="005D3B31">
        <w:rPr>
          <w:rFonts w:hint="cs"/>
          <w:rtl/>
        </w:rPr>
        <w:t xml:space="preserve"> </w:t>
      </w:r>
      <w:hyperlink r:id="rId13" w:history="1">
        <w:r w:rsidR="00DD60A7" w:rsidRPr="00DD60A7">
          <w:rPr>
            <w:color w:val="0000FF"/>
            <w:spacing w:val="10"/>
            <w:sz w:val="20"/>
            <w:u w:val="single"/>
            <w:shd w:val="clear" w:color="auto" w:fill="FFFFFF"/>
            <w:rtl/>
          </w:rPr>
          <w:t>ע"פ 8320/21</w:t>
        </w:r>
      </w:hyperlink>
      <w:r w:rsidRPr="007352C2">
        <w:rPr>
          <w:rFonts w:hint="cs"/>
          <w:spacing w:val="10"/>
          <w:sz w:val="20"/>
          <w:shd w:val="clear" w:color="auto" w:fill="FFFFFF"/>
          <w:rtl/>
        </w:rPr>
        <w:t xml:space="preserve"> </w:t>
      </w:r>
      <w:r w:rsidRPr="007352C2">
        <w:rPr>
          <w:rFonts w:hint="cs"/>
          <w:b/>
          <w:bCs/>
          <w:spacing w:val="10"/>
          <w:sz w:val="20"/>
          <w:shd w:val="clear" w:color="auto" w:fill="FFFFFF"/>
          <w:rtl/>
        </w:rPr>
        <w:t>מדינת ישראל נ' מחמד בסילה</w:t>
      </w:r>
      <w:r w:rsidRPr="007352C2">
        <w:rPr>
          <w:rFonts w:hint="cs"/>
          <w:spacing w:val="10"/>
          <w:sz w:val="20"/>
          <w:shd w:val="clear" w:color="auto" w:fill="FFFFFF"/>
          <w:rtl/>
        </w:rPr>
        <w:t>, פס' 10 (28.12.2021)</w:t>
      </w:r>
      <w:r>
        <w:rPr>
          <w:rFonts w:hint="cs"/>
          <w:rtl/>
        </w:rPr>
        <w:t xml:space="preserve">; </w:t>
      </w:r>
      <w:hyperlink r:id="rId14" w:history="1">
        <w:r w:rsidR="00DD60A7" w:rsidRPr="00DD60A7">
          <w:rPr>
            <w:color w:val="0000FF"/>
            <w:u w:val="single"/>
            <w:rtl/>
          </w:rPr>
          <w:t>ע"פ 2283/22</w:t>
        </w:r>
      </w:hyperlink>
      <w:r>
        <w:rPr>
          <w:rFonts w:hint="cs"/>
          <w:rtl/>
        </w:rPr>
        <w:t xml:space="preserve"> </w:t>
      </w:r>
      <w:r w:rsidRPr="007352C2">
        <w:rPr>
          <w:rFonts w:hint="cs"/>
          <w:b/>
          <w:bCs/>
          <w:rtl/>
        </w:rPr>
        <w:t>אל נבארי נ' מדינת ישראל</w:t>
      </w:r>
      <w:r>
        <w:rPr>
          <w:rFonts w:hint="cs"/>
          <w:rtl/>
        </w:rPr>
        <w:t xml:space="preserve"> (31.7.2022); ע"פ 78/21 </w:t>
      </w:r>
      <w:r w:rsidRPr="007352C2">
        <w:rPr>
          <w:rFonts w:hint="cs"/>
          <w:b/>
          <w:bCs/>
          <w:rtl/>
        </w:rPr>
        <w:t>פלוני נ' מדינת</w:t>
      </w:r>
      <w:r>
        <w:rPr>
          <w:rFonts w:hint="cs"/>
          <w:rtl/>
        </w:rPr>
        <w:t xml:space="preserve"> </w:t>
      </w:r>
      <w:r w:rsidRPr="007352C2">
        <w:rPr>
          <w:rFonts w:hint="cs"/>
          <w:b/>
          <w:bCs/>
          <w:rtl/>
        </w:rPr>
        <w:t>ישראל</w:t>
      </w:r>
      <w:r>
        <w:rPr>
          <w:rFonts w:hint="cs"/>
          <w:rtl/>
        </w:rPr>
        <w:t xml:space="preserve"> (26.7.2022); </w:t>
      </w:r>
      <w:hyperlink r:id="rId15" w:history="1">
        <w:r w:rsidR="00DD60A7" w:rsidRPr="00DD60A7">
          <w:rPr>
            <w:color w:val="0000FF"/>
            <w:u w:val="single"/>
            <w:rtl/>
          </w:rPr>
          <w:t>ע"פ 116/13</w:t>
        </w:r>
      </w:hyperlink>
      <w:r w:rsidR="00DD60A7">
        <w:rPr>
          <w:rtl/>
        </w:rPr>
        <w:t xml:space="preserve"> </w:t>
      </w:r>
      <w:r w:rsidRPr="007352C2">
        <w:rPr>
          <w:b/>
          <w:bCs/>
          <w:rtl/>
        </w:rPr>
        <w:t>וקנין נ' מדינת ישראל</w:t>
      </w:r>
      <w:r w:rsidRPr="008C5E78">
        <w:rPr>
          <w:rtl/>
        </w:rPr>
        <w:t>,</w:t>
      </w:r>
      <w:r w:rsidR="00DD60A7">
        <w:rPr>
          <w:rtl/>
        </w:rPr>
        <w:t xml:space="preserve"> </w:t>
      </w:r>
      <w:r w:rsidRPr="008C5E78">
        <w:rPr>
          <w:rtl/>
        </w:rPr>
        <w:t>פס</w:t>
      </w:r>
      <w:r>
        <w:rPr>
          <w:rFonts w:hint="cs"/>
          <w:rtl/>
        </w:rPr>
        <w:t>'</w:t>
      </w:r>
      <w:r w:rsidRPr="008C5E78">
        <w:rPr>
          <w:rtl/>
        </w:rPr>
        <w:t xml:space="preserve"> 7 (31.7.</w:t>
      </w:r>
      <w:r>
        <w:rPr>
          <w:rFonts w:hint="cs"/>
          <w:rtl/>
        </w:rPr>
        <w:t>2013</w:t>
      </w:r>
      <w:r w:rsidRPr="008C5E78">
        <w:rPr>
          <w:rtl/>
        </w:rPr>
        <w:t>))</w:t>
      </w:r>
      <w:r w:rsidRPr="008C5E78">
        <w:rPr>
          <w:rFonts w:hint="cs"/>
          <w:rtl/>
        </w:rPr>
        <w:t xml:space="preserve">. </w:t>
      </w:r>
      <w:r w:rsidRPr="007352C2">
        <w:rPr>
          <w:rFonts w:ascii="Times New Roman" w:eastAsia="Times New Roman" w:hAnsi="Times New Roman"/>
          <w:rtl/>
        </w:rPr>
        <w:t>תיקון 140</w:t>
      </w:r>
      <w:r w:rsidRPr="007352C2">
        <w:rPr>
          <w:rFonts w:ascii="Times New Roman" w:eastAsia="Times New Roman" w:hAnsi="Times New Roman" w:hint="cs"/>
          <w:rtl/>
        </w:rPr>
        <w:t xml:space="preserve"> לחוק </w:t>
      </w:r>
      <w:r w:rsidRPr="007352C2">
        <w:rPr>
          <w:rFonts w:ascii="Times New Roman" w:eastAsia="Times New Roman" w:hAnsi="Times New Roman"/>
          <w:rtl/>
        </w:rPr>
        <w:t xml:space="preserve">בו נקבעו עונשי מינימום לעבירות נשק, </w:t>
      </w:r>
      <w:r w:rsidRPr="007352C2">
        <w:rPr>
          <w:rFonts w:ascii="Times New Roman" w:eastAsia="Times New Roman" w:hAnsi="Times New Roman" w:hint="cs"/>
          <w:rtl/>
        </w:rPr>
        <w:t>נכנס לתוקף ביום 8.12.21</w:t>
      </w:r>
      <w:r>
        <w:rPr>
          <w:rFonts w:ascii="Times New Roman" w:eastAsia="Times New Roman" w:hAnsi="Times New Roman" w:hint="cs"/>
          <w:rtl/>
        </w:rPr>
        <w:t xml:space="preserve">, </w:t>
      </w:r>
      <w:r w:rsidRPr="007352C2">
        <w:rPr>
          <w:rFonts w:ascii="Times New Roman" w:eastAsia="Times New Roman" w:hAnsi="Times New Roman" w:hint="cs"/>
          <w:rtl/>
        </w:rPr>
        <w:t>ה</w:t>
      </w:r>
      <w:r>
        <w:rPr>
          <w:rFonts w:ascii="Times New Roman" w:eastAsia="Times New Roman" w:hAnsi="Times New Roman" w:hint="cs"/>
          <w:rtl/>
        </w:rPr>
        <w:t>נאשם ביצע את העבירה בשנת 2020 ועל כן ה</w:t>
      </w:r>
      <w:r w:rsidRPr="007352C2">
        <w:rPr>
          <w:rFonts w:ascii="Times New Roman" w:eastAsia="Times New Roman" w:hAnsi="Times New Roman" w:hint="cs"/>
          <w:rtl/>
        </w:rPr>
        <w:t xml:space="preserve">תיקון </w:t>
      </w:r>
      <w:r>
        <w:rPr>
          <w:rFonts w:hint="cs"/>
          <w:rtl/>
        </w:rPr>
        <w:t xml:space="preserve">אינו חל בעניינו. </w:t>
      </w:r>
    </w:p>
    <w:p w14:paraId="4933FE3A" w14:textId="77777777" w:rsidR="007F4B7E" w:rsidRDefault="007F4B7E" w:rsidP="007F4B7E">
      <w:pPr>
        <w:pStyle w:val="aa"/>
        <w:rPr>
          <w:rFonts w:ascii="Times New Roman" w:eastAsia="Times New Roman" w:hAnsi="Times New Roman"/>
          <w:rtl/>
        </w:rPr>
      </w:pPr>
    </w:p>
    <w:p w14:paraId="6AACD22E" w14:textId="77777777" w:rsidR="007F4B7E" w:rsidRDefault="007F4B7E" w:rsidP="007F4B7E">
      <w:pPr>
        <w:pStyle w:val="aa"/>
        <w:numPr>
          <w:ilvl w:val="0"/>
          <w:numId w:val="1"/>
        </w:numPr>
        <w:spacing w:after="160" w:line="360" w:lineRule="auto"/>
        <w:jc w:val="both"/>
      </w:pPr>
      <w:r>
        <w:rPr>
          <w:rFonts w:hint="cs"/>
          <w:rtl/>
        </w:rPr>
        <w:t xml:space="preserve">בענייננו, אחז הנאשם בנשק תת מקלע, בביתו, וצילם עצמו בטלפון הנייד שלו. מדובר באירוע בודד של נשיאת נשק על גבול ההחזקה, שככל הנראה אותר במכשיר הטלפון של הנאשם במסגרת חקירה בתיק אחר. לדברי הנאשם החזיק בנשק במהלך מסיבת חתונה בשכונת מגוריו, טענה זו אינה מתיישבת עם עובדות כתב האישום. כעולה מתסקיריו של הנאשם, ביצוע העבירה נעוץ בגילו הצעיר, סקרנות, לחץ חברתי ונראות. אניח לטובתו שמדובר בנשיאת נשק קצרת מועד לצורך צילום ולא בכוונה לעשות בו שימוש בו למטרות פליליות. בצד זאת, בהחזקת נשק או נשיאתו גלום פוטנציאל סיכון רב, זמינותו של הנשק מעלה את הסיכון שיעשה בו שימוש למטרות פסולות. </w:t>
      </w:r>
    </w:p>
    <w:p w14:paraId="03082A1F" w14:textId="77777777" w:rsidR="007F4B7E" w:rsidRPr="00C363FA" w:rsidRDefault="007F4B7E" w:rsidP="007F4B7E">
      <w:pPr>
        <w:pStyle w:val="aa"/>
        <w:spacing w:after="160" w:line="360" w:lineRule="auto"/>
        <w:jc w:val="both"/>
        <w:rPr>
          <w:rtl/>
        </w:rPr>
      </w:pPr>
    </w:p>
    <w:p w14:paraId="6B44A0F4" w14:textId="77777777" w:rsidR="007F4B7E" w:rsidRDefault="007F4B7E" w:rsidP="007F4B7E">
      <w:pPr>
        <w:pStyle w:val="aa"/>
        <w:numPr>
          <w:ilvl w:val="0"/>
          <w:numId w:val="1"/>
        </w:numPr>
        <w:spacing w:after="120" w:line="360" w:lineRule="auto"/>
        <w:jc w:val="both"/>
        <w:rPr>
          <w:rFonts w:ascii="Times New Roman" w:eastAsia="Times New Roman" w:hAnsi="Times New Roman"/>
        </w:rPr>
      </w:pPr>
      <w:r w:rsidRPr="004E5C11">
        <w:rPr>
          <w:rFonts w:ascii="Times New Roman" w:eastAsia="Times New Roman" w:hAnsi="Times New Roman" w:hint="cs"/>
          <w:rtl/>
        </w:rPr>
        <w:t xml:space="preserve">בחינת מידת פגיעת מעשי הנאשם בערכים המוגנים מובילה למסקנה כי היא </w:t>
      </w:r>
      <w:r>
        <w:rPr>
          <w:rFonts w:ascii="Times New Roman" w:eastAsia="Times New Roman" w:hAnsi="Times New Roman" w:hint="cs"/>
          <w:b/>
          <w:bCs/>
          <w:rtl/>
        </w:rPr>
        <w:t>ברף הבינוני</w:t>
      </w:r>
      <w:r w:rsidRPr="004E5C11">
        <w:rPr>
          <w:rFonts w:ascii="Times New Roman" w:eastAsia="Times New Roman" w:hAnsi="Times New Roman" w:hint="cs"/>
          <w:rtl/>
        </w:rPr>
        <w:t>. בהקשר זה נתתי דעתי</w:t>
      </w:r>
      <w:r w:rsidRPr="004E5C11">
        <w:rPr>
          <w:rFonts w:ascii="Times New Roman" w:eastAsia="Times New Roman" w:hAnsi="Times New Roman" w:hint="cs"/>
          <w:b/>
          <w:bCs/>
          <w:rtl/>
        </w:rPr>
        <w:t xml:space="preserve"> </w:t>
      </w:r>
      <w:r>
        <w:rPr>
          <w:rFonts w:ascii="Times New Roman" w:eastAsia="Times New Roman" w:hAnsi="Times New Roman" w:hint="cs"/>
          <w:rtl/>
        </w:rPr>
        <w:t>לנשיאת נשק התקפי למטרת צילום, לכך שמדובר בנשיאה יחידה וקצרת מועד בביתו של הנאשם ולהעדר אינדיקציות לשימוש בו.</w:t>
      </w:r>
    </w:p>
    <w:p w14:paraId="42DFAB9A" w14:textId="77777777" w:rsidR="007F4B7E" w:rsidRPr="00567D33" w:rsidRDefault="007F4B7E" w:rsidP="007F4B7E">
      <w:pPr>
        <w:pStyle w:val="aa"/>
        <w:rPr>
          <w:rFonts w:ascii="Times New Roman" w:eastAsia="Times New Roman" w:hAnsi="Times New Roman"/>
          <w:rtl/>
        </w:rPr>
      </w:pPr>
    </w:p>
    <w:p w14:paraId="19C70033" w14:textId="77777777" w:rsidR="007F4B7E" w:rsidRPr="004E5C11" w:rsidRDefault="007F4B7E" w:rsidP="007F4B7E">
      <w:pPr>
        <w:pStyle w:val="aa"/>
        <w:spacing w:after="120" w:line="360" w:lineRule="auto"/>
        <w:jc w:val="both"/>
        <w:rPr>
          <w:rFonts w:ascii="Times New Roman" w:eastAsia="Times New Roman" w:hAnsi="Times New Roman"/>
          <w:rtl/>
        </w:rPr>
      </w:pPr>
    </w:p>
    <w:p w14:paraId="025F626C" w14:textId="77777777" w:rsidR="007F4B7E" w:rsidRPr="00260690" w:rsidRDefault="007F4B7E" w:rsidP="007F4B7E">
      <w:pPr>
        <w:spacing w:line="360" w:lineRule="auto"/>
        <w:rPr>
          <w:rtl/>
        </w:rPr>
      </w:pPr>
      <w:r w:rsidRPr="00260690">
        <w:rPr>
          <w:b/>
          <w:bCs/>
          <w:u w:val="single"/>
          <w:rtl/>
        </w:rPr>
        <w:t>מדיניות הענישה הנוהגת</w:t>
      </w:r>
    </w:p>
    <w:p w14:paraId="204F7E10" w14:textId="77777777" w:rsidR="007F4B7E" w:rsidRDefault="007F4B7E" w:rsidP="007F4B7E">
      <w:pPr>
        <w:pStyle w:val="aa"/>
        <w:numPr>
          <w:ilvl w:val="0"/>
          <w:numId w:val="1"/>
        </w:numPr>
        <w:spacing w:after="160" w:line="360" w:lineRule="auto"/>
        <w:jc w:val="both"/>
      </w:pPr>
      <w:r>
        <w:rPr>
          <w:rFonts w:hint="cs"/>
          <w:rtl/>
        </w:rPr>
        <w:t xml:space="preserve">העונש הראוי לגזור על נושאי נשק הוא מאסר מאחורי סורג ובריח לתקופות לא קצרות. הפסיקה אינה מקלה עם נאשמים צעירים שזו להם הסתבכותם הראשונה עם החוק, אף בעבירות שבוצעו בנסיבות שאינן חמורות, ללמדנו כי הענישה מבכרת את האינטרס הציבורי על פני נסיבותיו האישיות של הנאשם, לרבות במקרי שיקום: </w:t>
      </w:r>
      <w:r w:rsidRPr="00F77C0E">
        <w:rPr>
          <w:rFonts w:hint="cs"/>
          <w:b/>
          <w:bCs/>
          <w:rtl/>
        </w:rPr>
        <w:t xml:space="preserve">"המסר העונשי הנגזר ממדיניות הענישה האמורה הוא כי שומר נפשו ושלומו </w:t>
      </w:r>
      <w:r w:rsidRPr="00F77C0E">
        <w:rPr>
          <w:b/>
          <w:bCs/>
          <w:rtl/>
        </w:rPr>
        <w:t>–</w:t>
      </w:r>
      <w:r w:rsidRPr="00F77C0E">
        <w:rPr>
          <w:rFonts w:hint="cs"/>
          <w:b/>
          <w:bCs/>
          <w:rtl/>
        </w:rPr>
        <w:t xml:space="preserve"> ירחק מעבירות הנשק באשר הן, קלות כחמורות" </w:t>
      </w:r>
      <w:r w:rsidRPr="00257C6B">
        <w:rPr>
          <w:rFonts w:hint="cs"/>
          <w:rtl/>
        </w:rPr>
        <w:t>(ע"פ 78/21</w:t>
      </w:r>
      <w:r w:rsidRPr="00F77C0E">
        <w:rPr>
          <w:rFonts w:hint="cs"/>
          <w:b/>
          <w:bCs/>
          <w:rtl/>
        </w:rPr>
        <w:t xml:space="preserve"> פלוני נ' מדינת ישראל </w:t>
      </w:r>
      <w:r w:rsidRPr="00257C6B">
        <w:rPr>
          <w:rFonts w:hint="cs"/>
          <w:rtl/>
        </w:rPr>
        <w:t>פסקה 10</w:t>
      </w:r>
      <w:r w:rsidRPr="00F77C0E">
        <w:rPr>
          <w:rFonts w:hint="cs"/>
          <w:b/>
          <w:bCs/>
          <w:rtl/>
        </w:rPr>
        <w:t xml:space="preserve"> </w:t>
      </w:r>
      <w:r>
        <w:rPr>
          <w:rFonts w:hint="cs"/>
          <w:rtl/>
        </w:rPr>
        <w:t xml:space="preserve">(26.7.22) (להלן: </w:t>
      </w:r>
      <w:r w:rsidRPr="00B2414F">
        <w:rPr>
          <w:rFonts w:hint="cs"/>
          <w:rtl/>
        </w:rPr>
        <w:t>"עניין פלוני</w:t>
      </w:r>
      <w:r>
        <w:rPr>
          <w:rFonts w:hint="cs"/>
          <w:b/>
          <w:bCs/>
          <w:rtl/>
        </w:rPr>
        <w:t>"</w:t>
      </w:r>
      <w:r>
        <w:rPr>
          <w:rFonts w:hint="cs"/>
          <w:rtl/>
        </w:rPr>
        <w:t xml:space="preserve">)). בענייננו מדובר בעבירה של נשיאת נשק בתחומי בית הנאשם על גבול עבירת ההחזקה. </w:t>
      </w:r>
    </w:p>
    <w:p w14:paraId="24A3E177" w14:textId="77777777" w:rsidR="007F4B7E" w:rsidRDefault="007F4B7E" w:rsidP="007F4B7E">
      <w:pPr>
        <w:pStyle w:val="aa"/>
        <w:spacing w:after="160" w:line="360" w:lineRule="auto"/>
        <w:jc w:val="both"/>
        <w:rPr>
          <w:rtl/>
        </w:rPr>
      </w:pPr>
    </w:p>
    <w:p w14:paraId="3E0D5ECF" w14:textId="77777777" w:rsidR="007F4B7E" w:rsidRPr="00604021" w:rsidRDefault="007F4B7E" w:rsidP="007F4B7E">
      <w:pPr>
        <w:pStyle w:val="aa"/>
        <w:spacing w:after="160" w:line="360" w:lineRule="auto"/>
        <w:jc w:val="both"/>
      </w:pPr>
      <w:r>
        <w:rPr>
          <w:rFonts w:hint="cs"/>
          <w:rtl/>
        </w:rPr>
        <w:t>ב</w:t>
      </w:r>
      <w:hyperlink r:id="rId16" w:history="1">
        <w:r w:rsidR="00DD60A7" w:rsidRPr="00DD60A7">
          <w:rPr>
            <w:color w:val="0000FF"/>
            <w:u w:val="single"/>
            <w:rtl/>
          </w:rPr>
          <w:t>ע"פ 6806/23</w:t>
        </w:r>
      </w:hyperlink>
      <w:r>
        <w:rPr>
          <w:rFonts w:hint="cs"/>
          <w:rtl/>
        </w:rPr>
        <w:t xml:space="preserve"> </w:t>
      </w:r>
      <w:r>
        <w:rPr>
          <w:rFonts w:hint="cs"/>
          <w:b/>
          <w:bCs/>
          <w:rtl/>
        </w:rPr>
        <w:t xml:space="preserve">סעדיאיב נ' מדינת ישראל </w:t>
      </w:r>
      <w:r>
        <w:rPr>
          <w:rFonts w:hint="cs"/>
          <w:rtl/>
        </w:rPr>
        <w:t xml:space="preserve">(27.9.23) נדחה ערעור נאשם שהורשע בעבירות החזקה, נשיאה והובלה של אקדח טעון בחניון בניין מגוריו. נקבע מתחם ענישה הנע בין 40-18 חודשי מאסר. הנאשם, בעל עבר פלילי בעבירות סמים ורכוש, טען כי החזיקו להגנה עצמית. עוד ניתן משקל למצבו הרפואי- מתהלך בעזרת קביים. נדון למאסר בן 20 חודשים; </w:t>
      </w:r>
    </w:p>
    <w:p w14:paraId="21FAF71B" w14:textId="77777777" w:rsidR="007F4B7E" w:rsidRPr="00BF7D0B" w:rsidRDefault="007F4B7E" w:rsidP="007F4B7E">
      <w:pPr>
        <w:pStyle w:val="aa"/>
        <w:spacing w:after="160" w:line="360" w:lineRule="auto"/>
        <w:jc w:val="both"/>
      </w:pPr>
    </w:p>
    <w:p w14:paraId="33E67A5C" w14:textId="77777777" w:rsidR="007F4B7E" w:rsidRDefault="007F4B7E" w:rsidP="007F4B7E">
      <w:pPr>
        <w:spacing w:line="360" w:lineRule="auto"/>
        <w:ind w:left="720"/>
        <w:contextualSpacing/>
        <w:jc w:val="both"/>
        <w:rPr>
          <w:rtl/>
        </w:rPr>
      </w:pPr>
      <w:r>
        <w:rPr>
          <w:rFonts w:hint="cs"/>
          <w:rtl/>
        </w:rPr>
        <w:t>ב</w:t>
      </w:r>
      <w:hyperlink r:id="rId17" w:history="1">
        <w:r w:rsidR="00DD60A7" w:rsidRPr="00DD60A7">
          <w:rPr>
            <w:color w:val="0000FF"/>
            <w:u w:val="single"/>
            <w:rtl/>
          </w:rPr>
          <w:t>ע"פ 930/22</w:t>
        </w:r>
      </w:hyperlink>
      <w:r>
        <w:rPr>
          <w:rFonts w:hint="cs"/>
          <w:rtl/>
        </w:rPr>
        <w:t xml:space="preserve"> </w:t>
      </w:r>
      <w:r>
        <w:rPr>
          <w:rFonts w:hint="cs"/>
          <w:b/>
          <w:bCs/>
          <w:rtl/>
        </w:rPr>
        <w:t xml:space="preserve">חטיב נ' מדינת ישראל </w:t>
      </w:r>
      <w:r>
        <w:rPr>
          <w:rFonts w:hint="cs"/>
          <w:rtl/>
        </w:rPr>
        <w:t xml:space="preserve">(31.7.22) נדחה ערעור נאשם אשר זוכה מעבירת סחר באקדח ומחסנית ריקה, והורשע חלף זאת בנשיאת והובלת האקדח ברכבו. בית המשפט המחוזי קבע מתחם ענישה הנע בין 30-16 חודשי מאסר. נדון למאסר בן 23 חודשים; </w:t>
      </w:r>
    </w:p>
    <w:p w14:paraId="2BF0F410" w14:textId="77777777" w:rsidR="007F4B7E" w:rsidRDefault="007F4B7E" w:rsidP="007F4B7E">
      <w:pPr>
        <w:spacing w:line="360" w:lineRule="auto"/>
        <w:ind w:left="720"/>
        <w:contextualSpacing/>
        <w:jc w:val="both"/>
        <w:rPr>
          <w:rtl/>
        </w:rPr>
      </w:pPr>
    </w:p>
    <w:p w14:paraId="55CFDF14" w14:textId="77777777" w:rsidR="007F4B7E" w:rsidRDefault="007F4B7E" w:rsidP="007F4B7E">
      <w:pPr>
        <w:pStyle w:val="aa"/>
        <w:spacing w:line="360" w:lineRule="auto"/>
        <w:jc w:val="both"/>
        <w:rPr>
          <w:rFonts w:ascii="Times New Roman" w:hAnsi="Times New Roman"/>
          <w:rtl/>
        </w:rPr>
      </w:pPr>
      <w:r w:rsidRPr="00582254">
        <w:rPr>
          <w:rFonts w:ascii="Times New Roman" w:hAnsi="Times New Roman" w:hint="cs"/>
          <w:rtl/>
        </w:rPr>
        <w:t>ב</w:t>
      </w:r>
      <w:hyperlink r:id="rId18" w:history="1">
        <w:r w:rsidR="00DD60A7" w:rsidRPr="00DD60A7">
          <w:rPr>
            <w:rFonts w:ascii="Times New Roman" w:hAnsi="Times New Roman"/>
            <w:color w:val="0000FF"/>
            <w:u w:val="single"/>
            <w:rtl/>
          </w:rPr>
          <w:t>ע"פ 2141/21</w:t>
        </w:r>
      </w:hyperlink>
      <w:r w:rsidRPr="00582254">
        <w:rPr>
          <w:rFonts w:ascii="Times New Roman" w:hAnsi="Times New Roman" w:hint="cs"/>
          <w:rtl/>
        </w:rPr>
        <w:t xml:space="preserve"> </w:t>
      </w:r>
      <w:r w:rsidRPr="00582254">
        <w:rPr>
          <w:rFonts w:ascii="Times New Roman" w:hAnsi="Times New Roman" w:hint="cs"/>
          <w:b/>
          <w:bCs/>
          <w:rtl/>
        </w:rPr>
        <w:t>חניני נ' מדינת ישראל</w:t>
      </w:r>
      <w:r w:rsidRPr="00582254">
        <w:rPr>
          <w:rFonts w:ascii="Times New Roman" w:hAnsi="Times New Roman" w:hint="cs"/>
          <w:rtl/>
        </w:rPr>
        <w:t xml:space="preserve"> (</w:t>
      </w:r>
      <w:r>
        <w:rPr>
          <w:rFonts w:ascii="Times New Roman" w:hAnsi="Times New Roman" w:hint="cs"/>
          <w:rtl/>
        </w:rPr>
        <w:t>(27.5.21) נדחה</w:t>
      </w:r>
      <w:r w:rsidRPr="00582254">
        <w:rPr>
          <w:rFonts w:ascii="Times New Roman" w:hAnsi="Times New Roman" w:hint="cs"/>
          <w:rtl/>
        </w:rPr>
        <w:t xml:space="preserve"> ערעור</w:t>
      </w:r>
      <w:r>
        <w:rPr>
          <w:rFonts w:ascii="Times New Roman" w:hAnsi="Times New Roman" w:hint="cs"/>
          <w:rtl/>
        </w:rPr>
        <w:t>ו</w:t>
      </w:r>
      <w:r w:rsidRPr="00582254">
        <w:rPr>
          <w:rFonts w:ascii="Times New Roman" w:hAnsi="Times New Roman" w:hint="cs"/>
          <w:rtl/>
        </w:rPr>
        <w:t xml:space="preserve"> </w:t>
      </w:r>
      <w:r>
        <w:rPr>
          <w:rFonts w:ascii="Times New Roman" w:hAnsi="Times New Roman" w:hint="cs"/>
          <w:rtl/>
        </w:rPr>
        <w:t>של נאשם</w:t>
      </w:r>
      <w:r w:rsidRPr="00582254">
        <w:rPr>
          <w:rFonts w:ascii="Times New Roman" w:hAnsi="Times New Roman" w:hint="cs"/>
          <w:rtl/>
        </w:rPr>
        <w:t xml:space="preserve"> שהצטייד באקדח אוויר שבוצעו בו שינויים שמאפשרים ירי של תחמושת. הוא נתפס בחצר קרובה לביתו בשעת לילה מאוחרת, כשהוא נושא את האקדח על גופו ובתוכו ארבעה כדורים. </w:t>
      </w:r>
      <w:r>
        <w:rPr>
          <w:rFonts w:ascii="Times New Roman" w:hAnsi="Times New Roman" w:hint="cs"/>
          <w:rtl/>
        </w:rPr>
        <w:t>נדון למאסר בן 20 חודשים;</w:t>
      </w:r>
    </w:p>
    <w:p w14:paraId="22ADF73B" w14:textId="77777777" w:rsidR="007F4B7E" w:rsidRPr="00582254" w:rsidRDefault="007F4B7E" w:rsidP="007F4B7E">
      <w:pPr>
        <w:pStyle w:val="aa"/>
        <w:spacing w:line="360" w:lineRule="auto"/>
        <w:jc w:val="both"/>
        <w:rPr>
          <w:rFonts w:ascii="Times New Roman" w:hAnsi="Times New Roman"/>
          <w:rtl/>
        </w:rPr>
      </w:pPr>
    </w:p>
    <w:p w14:paraId="06F25AAB" w14:textId="77777777" w:rsidR="007F4B7E" w:rsidRDefault="007F4B7E" w:rsidP="007F4B7E">
      <w:pPr>
        <w:pStyle w:val="aa"/>
        <w:spacing w:after="160" w:line="360" w:lineRule="auto"/>
        <w:jc w:val="both"/>
        <w:rPr>
          <w:rtl/>
        </w:rPr>
      </w:pPr>
      <w:r>
        <w:rPr>
          <w:rFonts w:hint="cs"/>
          <w:rtl/>
        </w:rPr>
        <w:t>ב</w:t>
      </w:r>
      <w:hyperlink r:id="rId19" w:history="1">
        <w:r w:rsidR="00DD60A7" w:rsidRPr="00DD60A7">
          <w:rPr>
            <w:color w:val="0000FF"/>
            <w:u w:val="single"/>
            <w:rtl/>
          </w:rPr>
          <w:t>ע"פ 2283/22</w:t>
        </w:r>
      </w:hyperlink>
      <w:r>
        <w:rPr>
          <w:rFonts w:hint="cs"/>
          <w:rtl/>
        </w:rPr>
        <w:t xml:space="preserve"> </w:t>
      </w:r>
      <w:r w:rsidRPr="006001DD">
        <w:rPr>
          <w:rFonts w:hint="cs"/>
          <w:b/>
          <w:bCs/>
          <w:rtl/>
        </w:rPr>
        <w:t>אל נבארי נ' מדינת ישראל</w:t>
      </w:r>
      <w:r>
        <w:rPr>
          <w:rFonts w:hint="cs"/>
          <w:rtl/>
        </w:rPr>
        <w:t xml:space="preserve"> (31.7.22) נדחה ערעור המערער, ללא עבר, שנשא אקדח ומחסנית ריקה מוסלקים ברכבו, לאחר שהחזיקם במשך שנה וחצי לפחות. בית המשפט המחוזי קבע מתחם ענישה הנע בין 40-18 חודשי מאסר. נדון למאסר בן 18 חודשים; </w:t>
      </w:r>
    </w:p>
    <w:p w14:paraId="1A8D097F" w14:textId="77777777" w:rsidR="007F4B7E" w:rsidRDefault="007F4B7E" w:rsidP="007F4B7E">
      <w:pPr>
        <w:spacing w:line="360" w:lineRule="auto"/>
        <w:ind w:left="720"/>
        <w:contextualSpacing/>
        <w:jc w:val="both"/>
        <w:rPr>
          <w:rtl/>
        </w:rPr>
      </w:pPr>
      <w:r>
        <w:rPr>
          <w:rFonts w:hint="cs"/>
          <w:rtl/>
        </w:rPr>
        <w:t>ב</w:t>
      </w:r>
      <w:hyperlink r:id="rId20" w:history="1">
        <w:r w:rsidR="00DD60A7" w:rsidRPr="00DD60A7">
          <w:rPr>
            <w:color w:val="0000FF"/>
            <w:u w:val="single"/>
            <w:rtl/>
          </w:rPr>
          <w:t>ע"פ 2033/21</w:t>
        </w:r>
      </w:hyperlink>
      <w:r>
        <w:rPr>
          <w:rFonts w:hint="cs"/>
          <w:rtl/>
        </w:rPr>
        <w:t xml:space="preserve"> </w:t>
      </w:r>
      <w:r>
        <w:rPr>
          <w:rFonts w:hint="cs"/>
          <w:b/>
          <w:bCs/>
          <w:rtl/>
        </w:rPr>
        <w:t>זועבי נ' מדינת ישראל</w:t>
      </w:r>
      <w:r>
        <w:rPr>
          <w:rFonts w:hint="cs"/>
          <w:rtl/>
        </w:rPr>
        <w:t xml:space="preserve"> ((30.8.21) נדחה ערעורו המערער, בן 51, ללא עבר, חולה טרשת נפוצה שנדון בגין נשיאת שני אקדחים על רקע סכסוך פעיל </w:t>
      </w:r>
      <w:r w:rsidRPr="00D86A1F">
        <w:rPr>
          <w:rFonts w:hint="cs"/>
          <w:rtl/>
        </w:rPr>
        <w:t>למאסר בן 24 חודשים.</w:t>
      </w:r>
      <w:r>
        <w:rPr>
          <w:rFonts w:hint="cs"/>
          <w:rtl/>
        </w:rPr>
        <w:t xml:space="preserve"> נקבע כי </w:t>
      </w:r>
      <w:r w:rsidRPr="00D86A1F">
        <w:rPr>
          <w:rFonts w:hint="cs"/>
          <w:rtl/>
        </w:rPr>
        <w:t>סולחה שנערכה בין המשפחות</w:t>
      </w:r>
      <w:r>
        <w:rPr>
          <w:rFonts w:hint="cs"/>
          <w:rtl/>
        </w:rPr>
        <w:t xml:space="preserve"> ומצבו הרפואי לא מצדיקים חריגה מהמתחם. </w:t>
      </w:r>
      <w:r w:rsidRPr="00D86A1F">
        <w:rPr>
          <w:rFonts w:hint="cs"/>
          <w:rtl/>
        </w:rPr>
        <w:t xml:space="preserve"> </w:t>
      </w:r>
    </w:p>
    <w:p w14:paraId="2FB20988" w14:textId="77777777" w:rsidR="007F4B7E" w:rsidRDefault="007F4B7E" w:rsidP="007F4B7E">
      <w:pPr>
        <w:spacing w:line="360" w:lineRule="auto"/>
        <w:ind w:left="720"/>
        <w:contextualSpacing/>
        <w:jc w:val="both"/>
        <w:rPr>
          <w:rtl/>
        </w:rPr>
      </w:pPr>
    </w:p>
    <w:p w14:paraId="5C246951" w14:textId="77777777" w:rsidR="007F4B7E" w:rsidRDefault="007F4B7E" w:rsidP="007F4B7E">
      <w:pPr>
        <w:pStyle w:val="a"/>
        <w:numPr>
          <w:ilvl w:val="0"/>
          <w:numId w:val="1"/>
        </w:numPr>
        <w:spacing w:after="160"/>
        <w:ind w:right="0"/>
        <w:jc w:val="both"/>
        <w:rPr>
          <w:b/>
          <w:bCs/>
          <w:u w:val="single"/>
        </w:rPr>
      </w:pPr>
      <w:r>
        <w:rPr>
          <w:rFonts w:eastAsia="David" w:hint="cs"/>
          <w:rtl/>
        </w:rPr>
        <w:t xml:space="preserve">בבואי לקבוע את מתחם הענישה מצאתי להתחשב במידת הפגיעה בערכים המוגנים שאינה גבוהה ונסיבות המעשה הגובלות בעבירת החזקה. אתן משקל מסוים לכך שהעבירה בוצעה לפני למעלה מ-3 שנים, כשמדיניות הענישה הנוהגת הייתה נמוכה יותר, והתמשכות ההליך נבעה, בין היתר מכך שאפשרתי לנאשם להמשיך בהליכי טיפול. על יסוד כל אלו,  מצאתי לקבוע </w:t>
      </w:r>
      <w:r w:rsidRPr="00006F28">
        <w:rPr>
          <w:rFonts w:eastAsia="David" w:hint="cs"/>
          <w:b/>
          <w:bCs/>
          <w:rtl/>
        </w:rPr>
        <w:t xml:space="preserve">מתחם ענישה הנע בין </w:t>
      </w:r>
      <w:r>
        <w:rPr>
          <w:rFonts w:eastAsia="David" w:hint="cs"/>
          <w:b/>
          <w:bCs/>
          <w:rtl/>
        </w:rPr>
        <w:t xml:space="preserve">20-40 </w:t>
      </w:r>
      <w:r w:rsidRPr="00006F28">
        <w:rPr>
          <w:rFonts w:eastAsia="David" w:hint="cs"/>
          <w:b/>
          <w:bCs/>
          <w:rtl/>
        </w:rPr>
        <w:t>חודשי מאסר בפועל</w:t>
      </w:r>
      <w:r>
        <w:rPr>
          <w:rFonts w:eastAsia="David" w:hint="cs"/>
          <w:rtl/>
        </w:rPr>
        <w:t xml:space="preserve">. </w:t>
      </w:r>
    </w:p>
    <w:p w14:paraId="7BE92A21" w14:textId="77777777" w:rsidR="007F4B7E" w:rsidRDefault="007F4B7E" w:rsidP="007F4B7E">
      <w:pPr>
        <w:pStyle w:val="a"/>
        <w:numPr>
          <w:ilvl w:val="0"/>
          <w:numId w:val="0"/>
        </w:numPr>
        <w:spacing w:after="160"/>
        <w:ind w:left="720" w:right="0"/>
        <w:jc w:val="both"/>
        <w:rPr>
          <w:b/>
          <w:bCs/>
          <w:u w:val="single"/>
        </w:rPr>
      </w:pPr>
    </w:p>
    <w:p w14:paraId="3B022ECC" w14:textId="77777777" w:rsidR="007F4B7E" w:rsidRDefault="007F4B7E" w:rsidP="007F4B7E">
      <w:pPr>
        <w:spacing w:after="160" w:line="360" w:lineRule="auto"/>
        <w:ind w:firstLine="360"/>
        <w:jc w:val="both"/>
        <w:rPr>
          <w:b/>
          <w:bCs/>
          <w:u w:val="single"/>
          <w:rtl/>
        </w:rPr>
      </w:pPr>
      <w:r w:rsidRPr="006D4D4E">
        <w:rPr>
          <w:rFonts w:hint="cs"/>
          <w:b/>
          <w:bCs/>
          <w:u w:val="single"/>
          <w:rtl/>
        </w:rPr>
        <w:t>גזירת העונש המתאים לנאשם</w:t>
      </w:r>
    </w:p>
    <w:p w14:paraId="5DCA16DC" w14:textId="77777777" w:rsidR="007F4B7E" w:rsidRDefault="007F4B7E" w:rsidP="007F4B7E">
      <w:pPr>
        <w:pStyle w:val="aa"/>
        <w:numPr>
          <w:ilvl w:val="0"/>
          <w:numId w:val="1"/>
        </w:numPr>
        <w:spacing w:after="160" w:line="360" w:lineRule="auto"/>
        <w:jc w:val="both"/>
      </w:pPr>
      <w:r>
        <w:rPr>
          <w:rFonts w:hint="cs"/>
          <w:rtl/>
        </w:rPr>
        <w:t>הנאשם צעיר, הורשע לפני כשנה בביצוע עבירת אלימות (</w:t>
      </w:r>
      <w:hyperlink r:id="rId21" w:history="1">
        <w:r w:rsidR="00DD60A7" w:rsidRPr="00DD60A7">
          <w:rPr>
            <w:color w:val="0000FF"/>
            <w:u w:val="single"/>
            <w:rtl/>
          </w:rPr>
          <w:t>ת"פ 61970-05-21</w:t>
        </w:r>
      </w:hyperlink>
      <w:r>
        <w:rPr>
          <w:rFonts w:hint="cs"/>
          <w:rtl/>
        </w:rPr>
        <w:t xml:space="preserve">) ונדון למאסר בן 3 חודשים. כתב האישום בתיק זה הוגש במקביל לו, וככל הנראה מבוסס על תוצרי בדיקת מכשיר הטלפון שלו במסגרת התיק הנוסף. ניתן להתרשם מהתסקירים ומדבריו, כי פציעתו הקשה בעינו גרמה לו לטראומה קשה ושינתה את מסלול חייו. הנאשם סובל ממכאובים פיזיים, שרוי בחשש וחרדה שמצבו הרפואי יתדרדר וסובל ממצוקה נפשית ורגשית. פציעתו גרמה לפגיעה בבטחונו ודימויו העצמי, הנאשם נמנע ממפגשים חברתיים ונוטה להסתגר בביתו. שירות המבחן מעריך כי ביצע את עבירת הנשק שלא בשל דפוסים עברייניים או שוליים אלא מתוך רצון לקדם את מעמדו במסגרת החברה הסובבת אותו. </w:t>
      </w:r>
    </w:p>
    <w:p w14:paraId="2CDBCC17" w14:textId="77777777" w:rsidR="007F4B7E" w:rsidRDefault="007F4B7E" w:rsidP="007F4B7E">
      <w:pPr>
        <w:pStyle w:val="aa"/>
        <w:spacing w:after="160" w:line="360" w:lineRule="auto"/>
        <w:jc w:val="both"/>
      </w:pPr>
    </w:p>
    <w:p w14:paraId="073163DA" w14:textId="77777777" w:rsidR="007F4B7E" w:rsidRDefault="007F4B7E" w:rsidP="007F4B7E">
      <w:pPr>
        <w:pStyle w:val="aa"/>
        <w:spacing w:after="160" w:line="360" w:lineRule="auto"/>
        <w:jc w:val="both"/>
        <w:rPr>
          <w:rtl/>
        </w:rPr>
      </w:pPr>
      <w:r>
        <w:rPr>
          <w:rFonts w:hint="cs"/>
          <w:rtl/>
        </w:rPr>
        <w:t xml:space="preserve">מצבו הפיזי של הנאשם ומצוקתו הרגשית לא נעלמו מעיניי, אדרבא, נתונים אלו הם שעמדו מאחורי החלטותיי לאפשר לו, באופן חריג, להמשיך בהליכי הטיפול למשך תקופה ארוכה ואף לאחר ששירות המבחן נמנע מהמלצה הטיפולית. שילובו בקבוצה טיפולית שלא בסביבתו ותמיכת משפחתו היטיבו עימו, הנאשם מודע לחומרת מעשיו ולהשלכותיהם אך בפועל לא עבר הליכי שיקום משמעותיים. לאחר בחינה מעמיקה של כלל נסיבות הנאשם לא מצאתי את עניינו אינו נופל בין המקרים יוצאי הדופן המאפשרים להסתפק בעבירות נשק בענישה שאינה כוללת מאסר ממש (ראו </w:t>
      </w:r>
      <w:hyperlink r:id="rId22" w:history="1">
        <w:r w:rsidR="00DD60A7" w:rsidRPr="00DD60A7">
          <w:rPr>
            <w:color w:val="0000FF"/>
            <w:u w:val="single"/>
            <w:rtl/>
          </w:rPr>
          <w:t>ע"פ 6332/22</w:t>
        </w:r>
      </w:hyperlink>
      <w:r>
        <w:rPr>
          <w:rFonts w:hint="cs"/>
          <w:rtl/>
        </w:rPr>
        <w:t xml:space="preserve"> </w:t>
      </w:r>
      <w:r w:rsidRPr="00D86907">
        <w:rPr>
          <w:rFonts w:hint="cs"/>
          <w:b/>
          <w:bCs/>
          <w:rtl/>
        </w:rPr>
        <w:t xml:space="preserve">פדידה נ' מדינת ישראל </w:t>
      </w:r>
      <w:r>
        <w:rPr>
          <w:rFonts w:hint="cs"/>
          <w:rtl/>
        </w:rPr>
        <w:t xml:space="preserve">(16.2.23); </w:t>
      </w:r>
      <w:hyperlink r:id="rId23" w:history="1">
        <w:r w:rsidR="00DD60A7" w:rsidRPr="00DD60A7">
          <w:rPr>
            <w:color w:val="0000FF"/>
            <w:u w:val="single"/>
            <w:rtl/>
          </w:rPr>
          <w:t>ע"פ 5807/20</w:t>
        </w:r>
      </w:hyperlink>
      <w:r>
        <w:rPr>
          <w:rtl/>
        </w:rPr>
        <w:t xml:space="preserve"> </w:t>
      </w:r>
      <w:r w:rsidRPr="00D86907">
        <w:rPr>
          <w:b/>
          <w:bCs/>
          <w:rtl/>
        </w:rPr>
        <w:t>שיבלי נ' מדינת ישראל</w:t>
      </w:r>
      <w:r>
        <w:rPr>
          <w:rtl/>
        </w:rPr>
        <w:t xml:space="preserve"> (מיום 30.12.2020)</w:t>
      </w:r>
      <w:r>
        <w:rPr>
          <w:rFonts w:hint="cs"/>
          <w:rtl/>
        </w:rPr>
        <w:t xml:space="preserve">). </w:t>
      </w:r>
    </w:p>
    <w:p w14:paraId="0CD05F57" w14:textId="77777777" w:rsidR="007F4B7E" w:rsidRDefault="007F4B7E" w:rsidP="007F4B7E">
      <w:pPr>
        <w:pStyle w:val="aa"/>
        <w:spacing w:after="160" w:line="360" w:lineRule="auto"/>
        <w:jc w:val="both"/>
        <w:rPr>
          <w:rtl/>
        </w:rPr>
      </w:pPr>
    </w:p>
    <w:p w14:paraId="30E64879" w14:textId="77777777" w:rsidR="007F4B7E" w:rsidRDefault="007F4B7E" w:rsidP="007F4B7E">
      <w:pPr>
        <w:pStyle w:val="aa"/>
        <w:numPr>
          <w:ilvl w:val="0"/>
          <w:numId w:val="1"/>
        </w:numPr>
        <w:spacing w:line="360" w:lineRule="auto"/>
        <w:jc w:val="both"/>
      </w:pPr>
      <w:r>
        <w:rPr>
          <w:rFonts w:hint="cs"/>
          <w:rtl/>
        </w:rPr>
        <w:t xml:space="preserve">בצד זאת, על בסיס התקדמות טיפולית והפחתה מסויימת במסוכנותו ובצירוף העובדה שהרשעתו היחידה מאוחרת למועד העבירה שבפנינו, ימוקם עונשו בתחתית מתחם הענישה. מצאתי להתחשב התחשבות נוספת בנסיבותיו ובכך ששליחתו למאסר לתקופה ארוכה עלולה, חלילה, לדרדר את מצבו הנפשי והפיזי, ולגזור עליו עונש החורג חריגה מסויימת מתחתית מתחם הענישה בצד ענישה נלווית מרתיעה. </w:t>
      </w:r>
    </w:p>
    <w:p w14:paraId="0D7728D2" w14:textId="77777777" w:rsidR="007F4B7E" w:rsidRPr="006A7839" w:rsidRDefault="007F4B7E" w:rsidP="007F4B7E">
      <w:pPr>
        <w:spacing w:line="360" w:lineRule="auto"/>
        <w:jc w:val="both"/>
      </w:pPr>
    </w:p>
    <w:p w14:paraId="2F65B21E" w14:textId="77777777" w:rsidR="007F4B7E" w:rsidRDefault="007F4B7E" w:rsidP="007F4B7E">
      <w:pPr>
        <w:spacing w:line="360" w:lineRule="auto"/>
        <w:jc w:val="both"/>
        <w:rPr>
          <w:rtl/>
        </w:rPr>
      </w:pPr>
      <w:r w:rsidRPr="00B554C0">
        <w:rPr>
          <w:rFonts w:hint="cs"/>
          <w:b/>
          <w:bCs/>
          <w:u w:val="single"/>
          <w:rtl/>
        </w:rPr>
        <w:t>סוף דבר</w:t>
      </w:r>
    </w:p>
    <w:p w14:paraId="6B6EFAB8" w14:textId="77777777" w:rsidR="007F4B7E" w:rsidRPr="005D7E32" w:rsidRDefault="007F4B7E" w:rsidP="007F4B7E">
      <w:pPr>
        <w:pStyle w:val="aa"/>
        <w:numPr>
          <w:ilvl w:val="0"/>
          <w:numId w:val="1"/>
        </w:numPr>
        <w:spacing w:after="160" w:line="360" w:lineRule="auto"/>
        <w:jc w:val="both"/>
        <w:rPr>
          <w:b/>
          <w:bCs/>
        </w:rPr>
      </w:pPr>
      <w:r w:rsidRPr="005D7E32">
        <w:rPr>
          <w:rFonts w:hint="cs"/>
          <w:b/>
          <w:bCs/>
          <w:rtl/>
        </w:rPr>
        <w:t>אני גוזרת</w:t>
      </w:r>
      <w:r>
        <w:rPr>
          <w:rFonts w:hint="cs"/>
          <w:b/>
          <w:bCs/>
          <w:rtl/>
        </w:rPr>
        <w:t xml:space="preserve">, איפוא, </w:t>
      </w:r>
      <w:r w:rsidRPr="005D7E32">
        <w:rPr>
          <w:rFonts w:hint="cs"/>
          <w:b/>
          <w:bCs/>
          <w:rtl/>
        </w:rPr>
        <w:t xml:space="preserve"> על הנאשם את העונשים הבאים:</w:t>
      </w:r>
    </w:p>
    <w:p w14:paraId="1B954C2C" w14:textId="77777777" w:rsidR="007F4B7E" w:rsidRPr="00370D22" w:rsidRDefault="007F4B7E" w:rsidP="007F4B7E">
      <w:pPr>
        <w:pStyle w:val="aa"/>
        <w:rPr>
          <w:rtl/>
        </w:rPr>
      </w:pPr>
    </w:p>
    <w:p w14:paraId="4997FA0B" w14:textId="77777777" w:rsidR="007F4B7E" w:rsidRPr="008E61CD" w:rsidRDefault="007F4B7E" w:rsidP="007F4B7E">
      <w:pPr>
        <w:pStyle w:val="aa"/>
        <w:numPr>
          <w:ilvl w:val="0"/>
          <w:numId w:val="2"/>
        </w:numPr>
        <w:spacing w:line="360" w:lineRule="auto"/>
        <w:jc w:val="both"/>
      </w:pPr>
      <w:r w:rsidRPr="008E61CD">
        <w:rPr>
          <w:rFonts w:hint="cs"/>
          <w:rtl/>
        </w:rPr>
        <w:t>1</w:t>
      </w:r>
      <w:r>
        <w:rPr>
          <w:rFonts w:hint="cs"/>
          <w:rtl/>
        </w:rPr>
        <w:t>4</w:t>
      </w:r>
      <w:r w:rsidRPr="008E61CD">
        <w:rPr>
          <w:rFonts w:hint="cs"/>
          <w:rtl/>
        </w:rPr>
        <w:t xml:space="preserve"> </w:t>
      </w:r>
      <w:r w:rsidRPr="008E61CD">
        <w:rPr>
          <w:rtl/>
        </w:rPr>
        <w:t xml:space="preserve">חודשי מאסר בפועל </w:t>
      </w:r>
      <w:r w:rsidRPr="008E61CD">
        <w:rPr>
          <w:rFonts w:hint="cs"/>
          <w:rtl/>
        </w:rPr>
        <w:t xml:space="preserve">בניכוי ימי מעצרו בהתאם לחישובי שב"ס. </w:t>
      </w:r>
      <w:r w:rsidRPr="008E61CD">
        <w:rPr>
          <w:rtl/>
        </w:rPr>
        <w:t xml:space="preserve"> </w:t>
      </w:r>
    </w:p>
    <w:p w14:paraId="66604B77" w14:textId="77777777" w:rsidR="007F4B7E" w:rsidRPr="00AD6304" w:rsidRDefault="007F4B7E" w:rsidP="007F4B7E">
      <w:pPr>
        <w:pStyle w:val="aa"/>
        <w:numPr>
          <w:ilvl w:val="0"/>
          <w:numId w:val="2"/>
        </w:numPr>
        <w:spacing w:line="360" w:lineRule="auto"/>
        <w:jc w:val="both"/>
      </w:pPr>
      <w:r>
        <w:rPr>
          <w:rFonts w:hint="cs"/>
          <w:rtl/>
        </w:rPr>
        <w:t>10</w:t>
      </w:r>
      <w:r>
        <w:rPr>
          <w:rtl/>
        </w:rPr>
        <w:t xml:space="preserve"> חודשי מאסר על תנאי</w:t>
      </w:r>
      <w:r>
        <w:rPr>
          <w:rFonts w:hint="cs"/>
          <w:rtl/>
        </w:rPr>
        <w:t xml:space="preserve"> </w:t>
      </w:r>
      <w:r w:rsidRPr="00AD6304">
        <w:rPr>
          <w:rtl/>
        </w:rPr>
        <w:t>ל</w:t>
      </w:r>
      <w:r>
        <w:rPr>
          <w:rtl/>
        </w:rPr>
        <w:t xml:space="preserve">בל יעבור במשך 3 שנים עבירת </w:t>
      </w:r>
      <w:r>
        <w:rPr>
          <w:rFonts w:hint="cs"/>
          <w:rtl/>
        </w:rPr>
        <w:t>נשק מסוג פשע לאחר ששחרורו ממאסר.</w:t>
      </w:r>
      <w:r w:rsidRPr="00AD6304">
        <w:rPr>
          <w:rtl/>
        </w:rPr>
        <w:t xml:space="preserve"> </w:t>
      </w:r>
    </w:p>
    <w:p w14:paraId="173BFB69" w14:textId="77777777" w:rsidR="007F4B7E" w:rsidRDefault="007F4B7E" w:rsidP="007F4B7E">
      <w:pPr>
        <w:pStyle w:val="aa"/>
        <w:numPr>
          <w:ilvl w:val="0"/>
          <w:numId w:val="2"/>
        </w:numPr>
        <w:spacing w:line="360" w:lineRule="auto"/>
        <w:jc w:val="both"/>
      </w:pPr>
      <w:r>
        <w:rPr>
          <w:rFonts w:hint="cs"/>
          <w:rtl/>
        </w:rPr>
        <w:t>4</w:t>
      </w:r>
      <w:r w:rsidRPr="00AD6304">
        <w:rPr>
          <w:rtl/>
        </w:rPr>
        <w:t xml:space="preserve">,000 ₪ </w:t>
      </w:r>
      <w:r>
        <w:rPr>
          <w:rFonts w:hint="cs"/>
          <w:rtl/>
        </w:rPr>
        <w:t>קנס או 30 ימי מאסר תמורתו</w:t>
      </w:r>
      <w:r>
        <w:rPr>
          <w:rtl/>
        </w:rPr>
        <w:t>.</w:t>
      </w:r>
      <w:r>
        <w:rPr>
          <w:rFonts w:hint="cs"/>
          <w:rtl/>
        </w:rPr>
        <w:t xml:space="preserve"> הקנס ישולם החל מיום 4.2.24 בארבעה תשלומים שווים ורצופים. </w:t>
      </w:r>
    </w:p>
    <w:p w14:paraId="7328A330" w14:textId="77777777" w:rsidR="007F4B7E" w:rsidRDefault="007F4B7E" w:rsidP="007F4B7E">
      <w:pPr>
        <w:pStyle w:val="aa"/>
        <w:numPr>
          <w:ilvl w:val="0"/>
          <w:numId w:val="2"/>
        </w:numPr>
        <w:spacing w:line="360" w:lineRule="auto"/>
        <w:jc w:val="both"/>
      </w:pPr>
      <w:r>
        <w:rPr>
          <w:rFonts w:hint="cs"/>
          <w:rtl/>
        </w:rPr>
        <w:t xml:space="preserve">הנאשם יתייצב לריצוי מאסרו ביום 28.4.24  עד שעה 10:00 בבית מעצר "הדרים". לצורך הבטחת התייצבותו למאסר, תעמודנה הערבויות שהופקדו בהליך המעצר ולאחר מכן יושבו למפקיד. </w:t>
      </w:r>
    </w:p>
    <w:p w14:paraId="7909638B" w14:textId="77777777" w:rsidR="007F4B7E" w:rsidRDefault="007F4B7E" w:rsidP="007F4B7E">
      <w:pPr>
        <w:pStyle w:val="aa"/>
        <w:spacing w:line="360" w:lineRule="auto"/>
        <w:ind w:left="1080"/>
        <w:jc w:val="both"/>
      </w:pPr>
    </w:p>
    <w:p w14:paraId="783CB61E" w14:textId="77777777" w:rsidR="007F4B7E" w:rsidRPr="006A7839" w:rsidRDefault="007F4B7E" w:rsidP="007F4B7E">
      <w:pPr>
        <w:spacing w:line="360" w:lineRule="auto"/>
        <w:jc w:val="both"/>
        <w:rPr>
          <w:b/>
          <w:bCs/>
        </w:rPr>
      </w:pPr>
      <w:r w:rsidRPr="006A7839">
        <w:rPr>
          <w:rFonts w:hint="cs"/>
          <w:b/>
          <w:bCs/>
          <w:rtl/>
        </w:rPr>
        <w:t>צו כללי למוצגים</w:t>
      </w:r>
    </w:p>
    <w:p w14:paraId="4C238905" w14:textId="77777777" w:rsidR="007F4B7E" w:rsidRDefault="007F4B7E" w:rsidP="007F4B7E">
      <w:pPr>
        <w:rPr>
          <w:rtl/>
        </w:rPr>
      </w:pPr>
    </w:p>
    <w:p w14:paraId="0A4C62DB" w14:textId="77777777" w:rsidR="007F4B7E" w:rsidRPr="00037DD4" w:rsidRDefault="00DD60A7" w:rsidP="007F4B7E">
      <w:pPr>
        <w:spacing w:line="360" w:lineRule="auto"/>
        <w:rPr>
          <w:b/>
          <w:bCs/>
        </w:rPr>
      </w:pPr>
      <w:r w:rsidRPr="00DD60A7">
        <w:rPr>
          <w:b/>
          <w:bCs/>
          <w:color w:val="FFFFFF"/>
          <w:sz w:val="2"/>
          <w:szCs w:val="2"/>
          <w:rtl/>
        </w:rPr>
        <w:t>5129371</w:t>
      </w:r>
      <w:r w:rsidR="007F4B7E" w:rsidRPr="00037DD4">
        <w:rPr>
          <w:rFonts w:hint="cs"/>
          <w:b/>
          <w:bCs/>
          <w:rtl/>
        </w:rPr>
        <w:t xml:space="preserve">זכות ערעור תוך 45 יום </w:t>
      </w:r>
      <w:r w:rsidR="007F4B7E">
        <w:rPr>
          <w:rFonts w:hint="cs"/>
          <w:b/>
          <w:bCs/>
          <w:rtl/>
        </w:rPr>
        <w:t xml:space="preserve">לבית המשפט העליון. </w:t>
      </w:r>
      <w:r w:rsidR="007F4B7E" w:rsidRPr="00037DD4">
        <w:rPr>
          <w:rFonts w:hint="cs"/>
          <w:b/>
          <w:bCs/>
          <w:rtl/>
        </w:rPr>
        <w:t xml:space="preserve"> </w:t>
      </w:r>
    </w:p>
    <w:p w14:paraId="2F791D76" w14:textId="77777777" w:rsidR="007F4B7E" w:rsidRPr="00DD60A7" w:rsidRDefault="00DD60A7" w:rsidP="007F4B7E">
      <w:pPr>
        <w:pStyle w:val="Ruller40"/>
        <w:textAlignment w:val="baseline"/>
        <w:rPr>
          <w:rFonts w:ascii="Times New Roman" w:hAnsi="Times New Roman" w:cs="David"/>
          <w:color w:val="FFFFFF"/>
          <w:spacing w:val="0"/>
          <w:sz w:val="2"/>
          <w:szCs w:val="2"/>
          <w:rtl/>
        </w:rPr>
      </w:pPr>
      <w:r w:rsidRPr="00DD60A7">
        <w:rPr>
          <w:rFonts w:ascii="Times New Roman" w:hAnsi="Times New Roman" w:cs="David"/>
          <w:color w:val="FFFFFF"/>
          <w:spacing w:val="0"/>
          <w:sz w:val="2"/>
          <w:szCs w:val="2"/>
          <w:rtl/>
        </w:rPr>
        <w:t>54678313</w:t>
      </w:r>
    </w:p>
    <w:p w14:paraId="546C10A8" w14:textId="77777777" w:rsidR="007F4B7E" w:rsidRPr="00E02134" w:rsidRDefault="007F4B7E" w:rsidP="007F4B7E">
      <w:pPr>
        <w:pStyle w:val="Ruller40"/>
        <w:textAlignment w:val="baseline"/>
        <w:rPr>
          <w:rFonts w:ascii="Times New Roman" w:hAnsi="Times New Roman" w:cs="David"/>
          <w:spacing w:val="0"/>
          <w:sz w:val="24"/>
          <w:szCs w:val="24"/>
        </w:rPr>
      </w:pPr>
    </w:p>
    <w:p w14:paraId="50C7E03C" w14:textId="77777777" w:rsidR="007F4B7E" w:rsidRPr="000F2247" w:rsidRDefault="00DD60A7" w:rsidP="007F4B7E">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י"ב שבט תשפ"ד, 22 ינואר 2024, במעמד הצדדים. </w:t>
      </w:r>
      <w:bookmarkEnd w:id="8"/>
      <w:r w:rsidR="007F4B7E">
        <w:rPr>
          <w:rFonts w:ascii="Arial" w:hAnsi="Arial"/>
          <w:b/>
          <w:bCs/>
          <w:sz w:val="26"/>
          <w:szCs w:val="26"/>
          <w:rtl/>
        </w:rPr>
        <w:tab/>
      </w:r>
      <w:r w:rsidR="007F4B7E">
        <w:rPr>
          <w:rFonts w:ascii="Arial" w:hAnsi="Arial"/>
          <w:b/>
          <w:bCs/>
          <w:sz w:val="26"/>
          <w:szCs w:val="26"/>
          <w:rtl/>
        </w:rPr>
        <w:tab/>
      </w:r>
      <w:r w:rsidR="007F4B7E">
        <w:rPr>
          <w:rFonts w:ascii="Arial" w:hAnsi="Arial"/>
          <w:b/>
          <w:bCs/>
          <w:sz w:val="26"/>
          <w:szCs w:val="26"/>
          <w:rtl/>
        </w:rPr>
        <w:tab/>
      </w:r>
      <w:r w:rsidR="007F4B7E">
        <w:rPr>
          <w:rFonts w:ascii="Arial" w:hAnsi="Arial"/>
          <w:b/>
          <w:bCs/>
          <w:sz w:val="26"/>
          <w:szCs w:val="26"/>
          <w:rtl/>
        </w:rPr>
        <w:tab/>
      </w:r>
      <w:r w:rsidR="007F4B7E">
        <w:rPr>
          <w:rFonts w:ascii="Arial" w:hAnsi="Arial"/>
          <w:b/>
          <w:bCs/>
          <w:sz w:val="26"/>
          <w:szCs w:val="26"/>
          <w:rtl/>
        </w:rPr>
        <w:tab/>
      </w:r>
      <w:r w:rsidR="007F4B7E">
        <w:rPr>
          <w:rFonts w:ascii="Arial" w:hAnsi="Arial"/>
          <w:b/>
          <w:bCs/>
          <w:sz w:val="26"/>
          <w:szCs w:val="26"/>
          <w:rtl/>
        </w:rPr>
        <w:tab/>
      </w:r>
      <w:r w:rsidR="007F4B7E">
        <w:rPr>
          <w:rFonts w:ascii="Arial" w:hAnsi="Arial"/>
          <w:b/>
          <w:bCs/>
          <w:sz w:val="26"/>
          <w:szCs w:val="26"/>
          <w:rtl/>
        </w:rPr>
        <w:tab/>
      </w:r>
      <w:r w:rsidR="007F4B7E">
        <w:rPr>
          <w:rFonts w:ascii="Arial" w:hAnsi="Arial" w:hint="cs"/>
          <w:b/>
          <w:bCs/>
          <w:sz w:val="26"/>
          <w:szCs w:val="26"/>
          <w:rtl/>
        </w:rPr>
        <w:t xml:space="preserve">         </w:t>
      </w:r>
    </w:p>
    <w:p w14:paraId="1EF24A85" w14:textId="77777777" w:rsidR="007F4B7E" w:rsidRPr="000F2247" w:rsidRDefault="007F4B7E" w:rsidP="00DD60A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021994C" w14:textId="77777777" w:rsidR="007F4B7E" w:rsidRPr="000F2247" w:rsidRDefault="007F4B7E" w:rsidP="007F4B7E">
      <w:pPr>
        <w:jc w:val="center"/>
        <w:rPr>
          <w:rFonts w:ascii="Arial" w:hAnsi="Arial"/>
          <w:b/>
          <w:bCs/>
          <w:sz w:val="26"/>
          <w:szCs w:val="26"/>
          <w:rtl/>
        </w:rPr>
      </w:pPr>
    </w:p>
    <w:p w14:paraId="3402CF4D" w14:textId="77777777" w:rsidR="0092098B" w:rsidRPr="00DD60A7" w:rsidRDefault="0092098B" w:rsidP="00DD60A7">
      <w:pPr>
        <w:keepNext/>
        <w:rPr>
          <w:rFonts w:ascii="David" w:hAnsi="David"/>
          <w:color w:val="000000"/>
          <w:sz w:val="22"/>
          <w:szCs w:val="22"/>
          <w:rtl/>
        </w:rPr>
      </w:pPr>
    </w:p>
    <w:p w14:paraId="6AD79CE1" w14:textId="77777777" w:rsidR="00DD60A7" w:rsidRPr="00DD60A7" w:rsidRDefault="00DD60A7" w:rsidP="00DD60A7">
      <w:pPr>
        <w:keepNext/>
        <w:rPr>
          <w:rFonts w:ascii="David" w:hAnsi="David"/>
          <w:color w:val="000000"/>
          <w:sz w:val="22"/>
          <w:szCs w:val="22"/>
          <w:rtl/>
        </w:rPr>
      </w:pPr>
      <w:r w:rsidRPr="00DD60A7">
        <w:rPr>
          <w:rFonts w:ascii="David" w:hAnsi="David"/>
          <w:color w:val="000000"/>
          <w:sz w:val="22"/>
          <w:szCs w:val="22"/>
          <w:rtl/>
        </w:rPr>
        <w:t>מרב גרינברג 54678313</w:t>
      </w:r>
    </w:p>
    <w:p w14:paraId="6CAA50C2" w14:textId="77777777" w:rsidR="00DD60A7" w:rsidRDefault="00DD60A7" w:rsidP="00DD60A7">
      <w:r w:rsidRPr="00DD60A7">
        <w:rPr>
          <w:color w:val="000000"/>
          <w:rtl/>
        </w:rPr>
        <w:t>נוסח מסמך זה כפוף לשינויי ניסוח ועריכה</w:t>
      </w:r>
    </w:p>
    <w:p w14:paraId="5CE90767" w14:textId="77777777" w:rsidR="00DD60A7" w:rsidRDefault="00DD60A7" w:rsidP="00DD60A7">
      <w:pPr>
        <w:rPr>
          <w:rtl/>
        </w:rPr>
      </w:pPr>
    </w:p>
    <w:p w14:paraId="72CDEE08" w14:textId="77777777" w:rsidR="00DD60A7" w:rsidRDefault="00DD60A7" w:rsidP="00DD60A7">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61318D29" w14:textId="77777777" w:rsidR="00DD60A7" w:rsidRPr="00DD60A7" w:rsidRDefault="00DD60A7" w:rsidP="00DD60A7">
      <w:pPr>
        <w:jc w:val="center"/>
        <w:rPr>
          <w:color w:val="0000FF"/>
          <w:u w:val="single"/>
        </w:rPr>
      </w:pPr>
    </w:p>
    <w:sectPr w:rsidR="00DD60A7" w:rsidRPr="00DD60A7" w:rsidSect="00DD60A7">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FD82E" w14:textId="77777777" w:rsidR="00F02A3A" w:rsidRDefault="00F02A3A" w:rsidP="002A4557">
      <w:r>
        <w:separator/>
      </w:r>
    </w:p>
  </w:endnote>
  <w:endnote w:type="continuationSeparator" w:id="0">
    <w:p w14:paraId="3A7C0608" w14:textId="77777777" w:rsidR="00F02A3A" w:rsidRDefault="00F02A3A" w:rsidP="002A4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13159" w14:textId="77777777" w:rsidR="00DD60A7" w:rsidRDefault="00DD60A7" w:rsidP="00DD60A7">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9EF0C14" w14:textId="77777777" w:rsidR="00052C76" w:rsidRPr="00DD60A7" w:rsidRDefault="00DD60A7" w:rsidP="00DD60A7">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320A9" w14:textId="77777777" w:rsidR="00DD60A7" w:rsidRDefault="00DD60A7" w:rsidP="00DD60A7">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86221">
      <w:rPr>
        <w:rFonts w:ascii="FrankRuehl" w:hAnsi="FrankRuehl" w:cs="FrankRuehl"/>
        <w:noProof/>
        <w:rtl/>
      </w:rPr>
      <w:t>1</w:t>
    </w:r>
    <w:r>
      <w:rPr>
        <w:rFonts w:ascii="FrankRuehl" w:hAnsi="FrankRuehl" w:cs="FrankRuehl"/>
        <w:rtl/>
      </w:rPr>
      <w:fldChar w:fldCharType="end"/>
    </w:r>
  </w:p>
  <w:p w14:paraId="6938E5CF" w14:textId="77777777" w:rsidR="00052C76" w:rsidRPr="00DD60A7" w:rsidRDefault="00DD60A7" w:rsidP="00DD60A7">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5214A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FD7662" w14:textId="77777777" w:rsidR="00F02A3A" w:rsidRDefault="00F02A3A" w:rsidP="002A4557">
      <w:r>
        <w:separator/>
      </w:r>
    </w:p>
  </w:footnote>
  <w:footnote w:type="continuationSeparator" w:id="0">
    <w:p w14:paraId="24A87654" w14:textId="77777777" w:rsidR="00F02A3A" w:rsidRDefault="00F02A3A" w:rsidP="002A4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6C562" w14:textId="77777777" w:rsidR="00DD60A7" w:rsidRPr="00DD60A7" w:rsidRDefault="00DD60A7" w:rsidP="00DD60A7">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64119-05-21</w:t>
    </w:r>
    <w:r>
      <w:rPr>
        <w:rFonts w:ascii="David" w:hAnsi="David"/>
        <w:color w:val="000000"/>
        <w:sz w:val="22"/>
        <w:szCs w:val="22"/>
        <w:rtl/>
      </w:rPr>
      <w:tab/>
      <w:t xml:space="preserve"> מדינת ישראל נ' עמרי בשארה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2F5C1" w14:textId="77777777" w:rsidR="00DD60A7" w:rsidRPr="00DD60A7" w:rsidRDefault="00DD60A7" w:rsidP="00DD60A7">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64119-05-21</w:t>
    </w:r>
    <w:r>
      <w:rPr>
        <w:rFonts w:ascii="David" w:hAnsi="David"/>
        <w:color w:val="000000"/>
        <w:sz w:val="22"/>
        <w:szCs w:val="22"/>
        <w:rtl/>
      </w:rPr>
      <w:tab/>
      <w:t xml:space="preserve"> מדינת ישראל נ' עמרי בשארה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B6B82E64"/>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71CB35F1"/>
    <w:multiLevelType w:val="hybridMultilevel"/>
    <w:tmpl w:val="C700065E"/>
    <w:lvl w:ilvl="0" w:tplc="F69A0EB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EC356E9"/>
    <w:multiLevelType w:val="hybridMultilevel"/>
    <w:tmpl w:val="11543818"/>
    <w:lvl w:ilvl="0" w:tplc="3E76A852">
      <w:start w:val="1"/>
      <w:numFmt w:val="decimal"/>
      <w:lvlText w:val="%1."/>
      <w:lvlJc w:val="left"/>
      <w:pPr>
        <w:ind w:left="720" w:hanging="360"/>
      </w:pPr>
      <w:rPr>
        <w:rFonts w:ascii="David" w:hAnsi="David" w:cs="David"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1138547">
    <w:abstractNumId w:val="2"/>
  </w:num>
  <w:num w:numId="2" w16cid:durableId="1233270694">
    <w:abstractNumId w:val="1"/>
  </w:num>
  <w:num w:numId="3" w16cid:durableId="2439980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F4B7E"/>
    <w:rsid w:val="00052C76"/>
    <w:rsid w:val="001B5A3B"/>
    <w:rsid w:val="002A4557"/>
    <w:rsid w:val="007F4B7E"/>
    <w:rsid w:val="00913962"/>
    <w:rsid w:val="0092098B"/>
    <w:rsid w:val="009448F9"/>
    <w:rsid w:val="00B86221"/>
    <w:rsid w:val="00DD60A7"/>
    <w:rsid w:val="00F02A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1B761C"/>
  <w15:chartTrackingRefBased/>
  <w15:docId w15:val="{E9D73C1F-74B4-441B-BA84-32018B15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F4B7E"/>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7F4B7E"/>
    <w:pPr>
      <w:tabs>
        <w:tab w:val="center" w:pos="4153"/>
        <w:tab w:val="right" w:pos="8306"/>
      </w:tabs>
    </w:pPr>
  </w:style>
  <w:style w:type="character" w:customStyle="1" w:styleId="a5">
    <w:name w:val="כותרת עליונה תו"/>
    <w:link w:val="a4"/>
    <w:rsid w:val="007F4B7E"/>
    <w:rPr>
      <w:rFonts w:ascii="Times New Roman" w:eastAsia="Times New Roman" w:hAnsi="Times New Roman" w:cs="David"/>
      <w:sz w:val="24"/>
      <w:szCs w:val="24"/>
    </w:rPr>
  </w:style>
  <w:style w:type="paragraph" w:styleId="a6">
    <w:name w:val="footer"/>
    <w:basedOn w:val="a0"/>
    <w:link w:val="a7"/>
    <w:rsid w:val="007F4B7E"/>
    <w:pPr>
      <w:tabs>
        <w:tab w:val="center" w:pos="4153"/>
        <w:tab w:val="right" w:pos="8306"/>
      </w:tabs>
    </w:pPr>
  </w:style>
  <w:style w:type="character" w:customStyle="1" w:styleId="a7">
    <w:name w:val="כותרת תחתונה תו"/>
    <w:link w:val="a6"/>
    <w:rsid w:val="007F4B7E"/>
    <w:rPr>
      <w:rFonts w:ascii="Times New Roman" w:eastAsia="Times New Roman" w:hAnsi="Times New Roman" w:cs="David"/>
      <w:sz w:val="24"/>
      <w:szCs w:val="24"/>
    </w:rPr>
  </w:style>
  <w:style w:type="table" w:styleId="a8">
    <w:name w:val="Table Grid"/>
    <w:basedOn w:val="a2"/>
    <w:rsid w:val="007F4B7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7F4B7E"/>
  </w:style>
  <w:style w:type="paragraph" w:styleId="aa">
    <w:name w:val="List Paragraph"/>
    <w:basedOn w:val="a0"/>
    <w:link w:val="ab"/>
    <w:qFormat/>
    <w:rsid w:val="007F4B7E"/>
    <w:pPr>
      <w:ind w:left="720"/>
      <w:contextualSpacing/>
    </w:pPr>
    <w:rPr>
      <w:rFonts w:ascii="David" w:eastAsia="David" w:hAnsi="David"/>
    </w:rPr>
  </w:style>
  <w:style w:type="character" w:customStyle="1" w:styleId="Ruller4">
    <w:name w:val="Ruller4 תו"/>
    <w:link w:val="Ruller40"/>
    <w:locked/>
    <w:rsid w:val="007F4B7E"/>
    <w:rPr>
      <w:rFonts w:ascii="Arial TUR" w:hAnsi="Arial TUR" w:cs="FrankRuehl"/>
      <w:spacing w:val="10"/>
      <w:szCs w:val="28"/>
    </w:rPr>
  </w:style>
  <w:style w:type="paragraph" w:customStyle="1" w:styleId="Ruller40">
    <w:name w:val="Ruller4"/>
    <w:basedOn w:val="a0"/>
    <w:link w:val="Ruller4"/>
    <w:rsid w:val="007F4B7E"/>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paragraph" w:styleId="a">
    <w:name w:val="List Number"/>
    <w:basedOn w:val="a0"/>
    <w:rsid w:val="007F4B7E"/>
    <w:pPr>
      <w:numPr>
        <w:numId w:val="3"/>
      </w:numPr>
      <w:spacing w:after="120" w:line="360" w:lineRule="auto"/>
      <w:ind w:right="360"/>
    </w:pPr>
  </w:style>
  <w:style w:type="character" w:customStyle="1" w:styleId="ab">
    <w:name w:val="פיסקת רשימה תו"/>
    <w:link w:val="aa"/>
    <w:locked/>
    <w:rsid w:val="007F4B7E"/>
    <w:rPr>
      <w:rFonts w:ascii="David" w:eastAsia="David" w:hAnsi="David" w:cs="David"/>
      <w:sz w:val="24"/>
      <w:szCs w:val="24"/>
    </w:rPr>
  </w:style>
  <w:style w:type="character" w:styleId="Hyperlink">
    <w:name w:val="Hyperlink"/>
    <w:rsid w:val="00DD60A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case/28152132" TargetMode="External"/><Relationship Id="rId18" Type="http://schemas.openxmlformats.org/officeDocument/2006/relationships/hyperlink" Target="http://www.nevo.co.il/case/27502726"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27660612" TargetMode="External"/><Relationship Id="rId7" Type="http://schemas.openxmlformats.org/officeDocument/2006/relationships/hyperlink" Target="http://www.nevo.co.il/law/70301" TargetMode="External"/><Relationship Id="rId12" Type="http://schemas.openxmlformats.org/officeDocument/2006/relationships/hyperlink" Target="http://www.nevo.co.il/case/27911638" TargetMode="External"/><Relationship Id="rId17" Type="http://schemas.openxmlformats.org/officeDocument/2006/relationships/hyperlink" Target="http://www.nevo.co.il/case/28300349"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30024241" TargetMode="External"/><Relationship Id="rId20" Type="http://schemas.openxmlformats.org/officeDocument/2006/relationships/hyperlink" Target="http://www.nevo.co.il/case/2749482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7894608"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case/5568354" TargetMode="External"/><Relationship Id="rId23" Type="http://schemas.openxmlformats.org/officeDocument/2006/relationships/hyperlink" Target="http://www.nevo.co.il/case/26934681" TargetMode="External"/><Relationship Id="rId28"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28452933"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28452933" TargetMode="External"/><Relationship Id="rId22" Type="http://schemas.openxmlformats.org/officeDocument/2006/relationships/hyperlink" Target="http://www.nevo.co.il/case/28963593"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2121</Words>
  <Characters>10606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12702</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3604599</vt:i4>
      </vt:variant>
      <vt:variant>
        <vt:i4>48</vt:i4>
      </vt:variant>
      <vt:variant>
        <vt:i4>0</vt:i4>
      </vt:variant>
      <vt:variant>
        <vt:i4>5</vt:i4>
      </vt:variant>
      <vt:variant>
        <vt:lpwstr>http://www.nevo.co.il/case/26934681</vt:lpwstr>
      </vt:variant>
      <vt:variant>
        <vt:lpwstr/>
      </vt:variant>
      <vt:variant>
        <vt:i4>3211391</vt:i4>
      </vt:variant>
      <vt:variant>
        <vt:i4>45</vt:i4>
      </vt:variant>
      <vt:variant>
        <vt:i4>0</vt:i4>
      </vt:variant>
      <vt:variant>
        <vt:i4>5</vt:i4>
      </vt:variant>
      <vt:variant>
        <vt:lpwstr>http://www.nevo.co.il/case/28963593</vt:lpwstr>
      </vt:variant>
      <vt:variant>
        <vt:lpwstr/>
      </vt:variant>
      <vt:variant>
        <vt:i4>3473523</vt:i4>
      </vt:variant>
      <vt:variant>
        <vt:i4>42</vt:i4>
      </vt:variant>
      <vt:variant>
        <vt:i4>0</vt:i4>
      </vt:variant>
      <vt:variant>
        <vt:i4>5</vt:i4>
      </vt:variant>
      <vt:variant>
        <vt:lpwstr>http://www.nevo.co.il/case/27660612</vt:lpwstr>
      </vt:variant>
      <vt:variant>
        <vt:lpwstr/>
      </vt:variant>
      <vt:variant>
        <vt:i4>3145842</vt:i4>
      </vt:variant>
      <vt:variant>
        <vt:i4>39</vt:i4>
      </vt:variant>
      <vt:variant>
        <vt:i4>0</vt:i4>
      </vt:variant>
      <vt:variant>
        <vt:i4>5</vt:i4>
      </vt:variant>
      <vt:variant>
        <vt:lpwstr>http://www.nevo.co.il/case/27494821</vt:lpwstr>
      </vt:variant>
      <vt:variant>
        <vt:lpwstr/>
      </vt:variant>
      <vt:variant>
        <vt:i4>3604592</vt:i4>
      </vt:variant>
      <vt:variant>
        <vt:i4>36</vt:i4>
      </vt:variant>
      <vt:variant>
        <vt:i4>0</vt:i4>
      </vt:variant>
      <vt:variant>
        <vt:i4>5</vt:i4>
      </vt:variant>
      <vt:variant>
        <vt:lpwstr>http://www.nevo.co.il/case/28452933</vt:lpwstr>
      </vt:variant>
      <vt:variant>
        <vt:lpwstr/>
      </vt:variant>
      <vt:variant>
        <vt:i4>3604596</vt:i4>
      </vt:variant>
      <vt:variant>
        <vt:i4>33</vt:i4>
      </vt:variant>
      <vt:variant>
        <vt:i4>0</vt:i4>
      </vt:variant>
      <vt:variant>
        <vt:i4>5</vt:i4>
      </vt:variant>
      <vt:variant>
        <vt:lpwstr>http://www.nevo.co.il/case/27502726</vt:lpwstr>
      </vt:variant>
      <vt:variant>
        <vt:lpwstr/>
      </vt:variant>
      <vt:variant>
        <vt:i4>3473535</vt:i4>
      </vt:variant>
      <vt:variant>
        <vt:i4>30</vt:i4>
      </vt:variant>
      <vt:variant>
        <vt:i4>0</vt:i4>
      </vt:variant>
      <vt:variant>
        <vt:i4>5</vt:i4>
      </vt:variant>
      <vt:variant>
        <vt:lpwstr>http://www.nevo.co.il/case/28300349</vt:lpwstr>
      </vt:variant>
      <vt:variant>
        <vt:lpwstr/>
      </vt:variant>
      <vt:variant>
        <vt:i4>3342452</vt:i4>
      </vt:variant>
      <vt:variant>
        <vt:i4>27</vt:i4>
      </vt:variant>
      <vt:variant>
        <vt:i4>0</vt:i4>
      </vt:variant>
      <vt:variant>
        <vt:i4>5</vt:i4>
      </vt:variant>
      <vt:variant>
        <vt:lpwstr>http://www.nevo.co.il/case/30024241</vt:lpwstr>
      </vt:variant>
      <vt:variant>
        <vt:lpwstr/>
      </vt:variant>
      <vt:variant>
        <vt:i4>3407996</vt:i4>
      </vt:variant>
      <vt:variant>
        <vt:i4>24</vt:i4>
      </vt:variant>
      <vt:variant>
        <vt:i4>0</vt:i4>
      </vt:variant>
      <vt:variant>
        <vt:i4>5</vt:i4>
      </vt:variant>
      <vt:variant>
        <vt:lpwstr>http://www.nevo.co.il/case/5568354</vt:lpwstr>
      </vt:variant>
      <vt:variant>
        <vt:lpwstr/>
      </vt:variant>
      <vt:variant>
        <vt:i4>3604592</vt:i4>
      </vt:variant>
      <vt:variant>
        <vt:i4>21</vt:i4>
      </vt:variant>
      <vt:variant>
        <vt:i4>0</vt:i4>
      </vt:variant>
      <vt:variant>
        <vt:i4>5</vt:i4>
      </vt:variant>
      <vt:variant>
        <vt:lpwstr>http://www.nevo.co.il/case/28452933</vt:lpwstr>
      </vt:variant>
      <vt:variant>
        <vt:lpwstr/>
      </vt:variant>
      <vt:variant>
        <vt:i4>3276920</vt:i4>
      </vt:variant>
      <vt:variant>
        <vt:i4>18</vt:i4>
      </vt:variant>
      <vt:variant>
        <vt:i4>0</vt:i4>
      </vt:variant>
      <vt:variant>
        <vt:i4>5</vt:i4>
      </vt:variant>
      <vt:variant>
        <vt:lpwstr>http://www.nevo.co.il/case/28152132</vt:lpwstr>
      </vt:variant>
      <vt:variant>
        <vt:lpwstr/>
      </vt:variant>
      <vt:variant>
        <vt:i4>3735668</vt:i4>
      </vt:variant>
      <vt:variant>
        <vt:i4>15</vt:i4>
      </vt:variant>
      <vt:variant>
        <vt:i4>0</vt:i4>
      </vt:variant>
      <vt:variant>
        <vt:i4>5</vt:i4>
      </vt:variant>
      <vt:variant>
        <vt:lpwstr>http://www.nevo.co.il/case/27911638</vt:lpwstr>
      </vt:variant>
      <vt:variant>
        <vt:lpwstr/>
      </vt:variant>
      <vt:variant>
        <vt:i4>4063356</vt:i4>
      </vt:variant>
      <vt:variant>
        <vt:i4>12</vt:i4>
      </vt:variant>
      <vt:variant>
        <vt:i4>0</vt:i4>
      </vt:variant>
      <vt:variant>
        <vt:i4>5</vt:i4>
      </vt:variant>
      <vt:variant>
        <vt:lpwstr>http://www.nevo.co.il/case/27894608</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2025-01-19T16:42:00Z</dcterms:created>
  <dcterms:modified xsi:type="dcterms:W3CDTF">2025-01-19T16:42:00Z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64119</vt:lpwstr>
  </property>
  <property fmtid="{D5CDD505-2E9C-101B-9397-08002B2CF9AE}" pid="6" name="NEWPARTB">
    <vt:lpwstr>05</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עמרי בשארה</vt:lpwstr>
  </property>
  <property fmtid="{D5CDD505-2E9C-101B-9397-08002B2CF9AE}" pid="10" name="LAWYER">
    <vt:lpwstr>עומר סגל;איהאב ג'לג'ולי</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20240122</vt:lpwstr>
  </property>
  <property fmtid="{D5CDD505-2E9C-101B-9397-08002B2CF9AE}" pid="14" name="TYPE_N_DATE">
    <vt:lpwstr>39020240122</vt:lpwstr>
  </property>
  <property fmtid="{D5CDD505-2E9C-101B-9397-08002B2CF9AE}" pid="15" name="CASESLISTTMP1">
    <vt:lpwstr>27894608;27911638;28152132;28452933:2;5568354;30024241;28300349;27502726;27494821;27660612;28963593;26934681</vt:lpwstr>
  </property>
  <property fmtid="{D5CDD505-2E9C-101B-9397-08002B2CF9AE}" pid="16" name="CASENOTES1">
    <vt:lpwstr>ProcID=133;209&amp;PartA=78&amp;PartC=21</vt:lpwstr>
  </property>
  <property fmtid="{D5CDD505-2E9C-101B-9397-08002B2CF9AE}" pid="17" name="WORDNUMPAGES">
    <vt:lpwstr>7</vt:lpwstr>
  </property>
  <property fmtid="{D5CDD505-2E9C-101B-9397-08002B2CF9AE}" pid="18" name="TYPE_ABS_DATE">
    <vt:lpwstr>390020240122</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70301/144.b</vt:lpwstr>
  </property>
</Properties>
</file>