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23"/>
        <w:gridCol w:w="3656"/>
        <w:gridCol w:w="99"/>
      </w:tblGrid>
      <w:tr w:rsidR="00C23B45" w:rsidRPr="0098709A" w14:paraId="506B453F" w14:textId="77777777" w:rsidTr="00011A2C">
        <w:trPr>
          <w:gridAfter w:val="1"/>
          <w:wAfter w:w="99" w:type="dxa"/>
          <w:trHeight w:hRule="exact" w:val="418"/>
          <w:jc w:val="center"/>
        </w:trPr>
        <w:tc>
          <w:tcPr>
            <w:tcW w:w="8721" w:type="dxa"/>
            <w:gridSpan w:val="4"/>
          </w:tcPr>
          <w:p w14:paraId="313B7103" w14:textId="77777777" w:rsidR="00C23B45" w:rsidRPr="0098709A" w:rsidRDefault="00C23B45" w:rsidP="00E27E0A">
            <w:pPr>
              <w:pStyle w:val="a4"/>
              <w:jc w:val="center"/>
              <w:rPr>
                <w:rFonts w:ascii="Tahoma" w:hAnsi="Tahoma" w:cs="Tahoma"/>
                <w:color w:val="000080"/>
                <w:rtl/>
              </w:rPr>
            </w:pPr>
            <w:bookmarkStart w:id="0" w:name="LastJudge"/>
            <w:r w:rsidRPr="0098709A">
              <w:rPr>
                <w:rFonts w:ascii="Tahoma" w:hAnsi="Tahoma" w:cs="Tahoma"/>
                <w:b/>
                <w:bCs/>
                <w:color w:val="000080"/>
                <w:rtl/>
              </w:rPr>
              <w:t>בית המשפט המחוזי מרכז-לוד</w:t>
            </w:r>
          </w:p>
        </w:tc>
      </w:tr>
      <w:tr w:rsidR="00C23B45" w:rsidRPr="0098709A" w14:paraId="587F4A29" w14:textId="77777777" w:rsidTr="00011A2C">
        <w:trPr>
          <w:gridAfter w:val="1"/>
          <w:wAfter w:w="99" w:type="dxa"/>
          <w:trHeight w:val="337"/>
          <w:jc w:val="center"/>
        </w:trPr>
        <w:tc>
          <w:tcPr>
            <w:tcW w:w="5065" w:type="dxa"/>
            <w:gridSpan w:val="3"/>
          </w:tcPr>
          <w:p w14:paraId="3E4C74D4" w14:textId="77777777" w:rsidR="00C23B45" w:rsidRPr="0098709A" w:rsidRDefault="00C23B45" w:rsidP="00E27E0A">
            <w:pPr>
              <w:rPr>
                <w:rFonts w:cs="FrankRuehl"/>
                <w:sz w:val="28"/>
                <w:szCs w:val="28"/>
                <w:rtl/>
              </w:rPr>
            </w:pPr>
            <w:r w:rsidRPr="0098709A">
              <w:rPr>
                <w:rFonts w:cs="FrankRuehl"/>
                <w:sz w:val="28"/>
                <w:szCs w:val="28"/>
                <w:rtl/>
              </w:rPr>
              <w:t>ת"פ</w:t>
            </w:r>
            <w:r w:rsidRPr="0098709A">
              <w:rPr>
                <w:rFonts w:cs="FrankRuehl" w:hint="cs"/>
                <w:sz w:val="28"/>
                <w:szCs w:val="28"/>
                <w:rtl/>
              </w:rPr>
              <w:t xml:space="preserve"> </w:t>
            </w:r>
            <w:r w:rsidRPr="0098709A">
              <w:rPr>
                <w:rFonts w:cs="FrankRuehl"/>
                <w:sz w:val="28"/>
                <w:szCs w:val="28"/>
                <w:rtl/>
              </w:rPr>
              <w:t>1178-06-21</w:t>
            </w:r>
            <w:r w:rsidRPr="0098709A">
              <w:rPr>
                <w:rFonts w:cs="FrankRuehl" w:hint="cs"/>
                <w:sz w:val="28"/>
                <w:szCs w:val="28"/>
                <w:rtl/>
              </w:rPr>
              <w:t xml:space="preserve"> </w:t>
            </w:r>
            <w:r w:rsidRPr="0098709A">
              <w:rPr>
                <w:rFonts w:cs="FrankRuehl"/>
                <w:sz w:val="28"/>
                <w:szCs w:val="28"/>
                <w:rtl/>
              </w:rPr>
              <w:t>מדינת ישראל נ' מסארוה(עצור/אסיר בפיקוח)</w:t>
            </w:r>
          </w:p>
          <w:p w14:paraId="162AB4EC" w14:textId="77777777" w:rsidR="00C23B45" w:rsidRPr="0098709A" w:rsidRDefault="00C23B45" w:rsidP="00E27E0A">
            <w:pPr>
              <w:pStyle w:val="a4"/>
              <w:rPr>
                <w:rFonts w:cs="FrankRuehl"/>
                <w:sz w:val="28"/>
                <w:szCs w:val="28"/>
                <w:rtl/>
              </w:rPr>
            </w:pPr>
          </w:p>
        </w:tc>
        <w:tc>
          <w:tcPr>
            <w:tcW w:w="3656" w:type="dxa"/>
          </w:tcPr>
          <w:p w14:paraId="7F6B7548" w14:textId="77777777" w:rsidR="00C23B45" w:rsidRPr="0098709A" w:rsidRDefault="00C23B45" w:rsidP="00E27E0A">
            <w:pPr>
              <w:pStyle w:val="a4"/>
              <w:jc w:val="right"/>
              <w:rPr>
                <w:rFonts w:cs="FrankRuehl"/>
                <w:sz w:val="28"/>
                <w:szCs w:val="28"/>
                <w:rtl/>
              </w:rPr>
            </w:pPr>
          </w:p>
        </w:tc>
      </w:tr>
      <w:tr w:rsidR="00C23B45" w:rsidRPr="0098709A" w14:paraId="5B53D1E9" w14:textId="77777777" w:rsidTr="00011A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264CDC3D" w14:textId="77777777" w:rsidR="00C23B45" w:rsidRPr="0098709A" w:rsidRDefault="00C23B45" w:rsidP="00C23B45">
            <w:pPr>
              <w:jc w:val="both"/>
              <w:rPr>
                <w:rFonts w:ascii="David" w:hAnsi="David"/>
                <w:sz w:val="26"/>
                <w:szCs w:val="26"/>
              </w:rPr>
            </w:pPr>
            <w:r w:rsidRPr="0098709A">
              <w:rPr>
                <w:rFonts w:hint="cs"/>
                <w:rtl/>
              </w:rPr>
              <w:t xml:space="preserve"> </w:t>
            </w:r>
            <w:r w:rsidRPr="0098709A">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6DA9E5BA" w14:textId="77777777" w:rsidR="00C23B45" w:rsidRPr="0098709A" w:rsidRDefault="00C23B45" w:rsidP="00E27E0A">
            <w:pPr>
              <w:rPr>
                <w:rFonts w:ascii="David" w:hAnsi="David"/>
                <w:b/>
                <w:bCs/>
                <w:sz w:val="26"/>
                <w:szCs w:val="26"/>
                <w:rtl/>
              </w:rPr>
            </w:pPr>
            <w:r w:rsidRPr="0098709A">
              <w:rPr>
                <w:rFonts w:ascii="David" w:hAnsi="David"/>
                <w:b/>
                <w:bCs/>
                <w:sz w:val="26"/>
                <w:szCs w:val="26"/>
                <w:rtl/>
              </w:rPr>
              <w:t>כבוד השופטת  מרב גרינברג</w:t>
            </w:r>
          </w:p>
          <w:p w14:paraId="29DEFB0C" w14:textId="77777777" w:rsidR="00C23B45" w:rsidRPr="0098709A" w:rsidRDefault="00C23B45" w:rsidP="00E27E0A">
            <w:pPr>
              <w:rPr>
                <w:rFonts w:ascii="David" w:hAnsi="David"/>
                <w:sz w:val="26"/>
                <w:szCs w:val="26"/>
                <w:rtl/>
              </w:rPr>
            </w:pPr>
          </w:p>
          <w:p w14:paraId="6A51B32E" w14:textId="77777777" w:rsidR="00C23B45" w:rsidRPr="0098709A" w:rsidRDefault="00C23B45" w:rsidP="00C23B45">
            <w:pPr>
              <w:jc w:val="both"/>
              <w:rPr>
                <w:rFonts w:ascii="David" w:hAnsi="David"/>
                <w:sz w:val="26"/>
                <w:szCs w:val="26"/>
              </w:rPr>
            </w:pPr>
          </w:p>
        </w:tc>
      </w:tr>
      <w:tr w:rsidR="00C23B45" w:rsidRPr="0098709A" w14:paraId="6E605948" w14:textId="77777777" w:rsidTr="00011A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9A8CE8E" w14:textId="77777777" w:rsidR="00C23B45" w:rsidRPr="0098709A" w:rsidRDefault="00C23B45" w:rsidP="00C23B45">
            <w:pPr>
              <w:jc w:val="both"/>
              <w:rPr>
                <w:rFonts w:ascii="David" w:hAnsi="David"/>
                <w:sz w:val="26"/>
                <w:szCs w:val="26"/>
              </w:rPr>
            </w:pPr>
            <w:bookmarkStart w:id="1" w:name="FirstAppellant"/>
            <w:bookmarkStart w:id="2" w:name="FirstLawyer"/>
            <w:r w:rsidRPr="0098709A">
              <w:rPr>
                <w:rFonts w:ascii="David" w:hAnsi="David"/>
                <w:sz w:val="26"/>
                <w:szCs w:val="26"/>
                <w:rtl/>
              </w:rPr>
              <w:t>בעניין:</w:t>
            </w:r>
          </w:p>
        </w:tc>
        <w:tc>
          <w:tcPr>
            <w:tcW w:w="3219" w:type="dxa"/>
            <w:tcBorders>
              <w:top w:val="nil"/>
              <w:left w:val="nil"/>
              <w:bottom w:val="nil"/>
              <w:right w:val="nil"/>
            </w:tcBorders>
            <w:shd w:val="clear" w:color="auto" w:fill="auto"/>
          </w:tcPr>
          <w:p w14:paraId="1C09018B" w14:textId="77777777" w:rsidR="00C23B45" w:rsidRPr="0098709A" w:rsidRDefault="00C23B45" w:rsidP="00C23B45">
            <w:pPr>
              <w:suppressLineNumbers/>
            </w:pPr>
            <w:r w:rsidRPr="0098709A">
              <w:rPr>
                <w:rFonts w:ascii="Arial" w:hAnsi="Arial" w:hint="cs"/>
                <w:b/>
                <w:bCs/>
                <w:sz w:val="26"/>
                <w:szCs w:val="26"/>
                <w:rtl/>
              </w:rPr>
              <w:t>ה</w:t>
            </w:r>
            <w:r w:rsidRPr="0098709A">
              <w:rPr>
                <w:rFonts w:ascii="Arial" w:hAnsi="Arial"/>
                <w:b/>
                <w:bCs/>
                <w:sz w:val="26"/>
                <w:szCs w:val="26"/>
                <w:rtl/>
              </w:rPr>
              <w:t>מאשימה</w:t>
            </w:r>
          </w:p>
          <w:p w14:paraId="208CF0D0" w14:textId="77777777" w:rsidR="00C23B45" w:rsidRPr="0098709A" w:rsidRDefault="00C23B45" w:rsidP="00E27E0A">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59FF21B2" w14:textId="77777777" w:rsidR="00C23B45" w:rsidRPr="0098709A" w:rsidRDefault="00C23B45" w:rsidP="00C23B45">
            <w:pPr>
              <w:suppressLineNumbers/>
              <w:rPr>
                <w:rFonts w:ascii="Arial" w:hAnsi="Arial"/>
                <w:b/>
                <w:bCs/>
                <w:sz w:val="26"/>
                <w:szCs w:val="26"/>
                <w:rtl/>
              </w:rPr>
            </w:pPr>
            <w:r w:rsidRPr="0098709A">
              <w:rPr>
                <w:rFonts w:ascii="Arial" w:hAnsi="Arial"/>
                <w:b/>
                <w:bCs/>
                <w:sz w:val="26"/>
                <w:szCs w:val="26"/>
                <w:rtl/>
              </w:rPr>
              <w:t>מדינת ישראל</w:t>
            </w:r>
            <w:r w:rsidRPr="0098709A">
              <w:rPr>
                <w:rFonts w:ascii="Arial" w:hAnsi="Arial" w:hint="cs"/>
                <w:b/>
                <w:bCs/>
                <w:sz w:val="26"/>
                <w:szCs w:val="26"/>
                <w:rtl/>
              </w:rPr>
              <w:t xml:space="preserve"> </w:t>
            </w:r>
          </w:p>
          <w:p w14:paraId="2BBC841B" w14:textId="77777777" w:rsidR="00C23B45" w:rsidRPr="0098709A" w:rsidRDefault="00C23B45" w:rsidP="00C23B45">
            <w:pPr>
              <w:suppressLineNumbers/>
            </w:pPr>
            <w:r w:rsidRPr="0098709A">
              <w:rPr>
                <w:rFonts w:ascii="Arial" w:hAnsi="Arial"/>
                <w:b/>
                <w:bCs/>
                <w:sz w:val="26"/>
                <w:szCs w:val="26"/>
                <w:rtl/>
              </w:rPr>
              <w:t>ע"י ב"כ עוה"</w:t>
            </w:r>
            <w:r w:rsidRPr="0098709A">
              <w:rPr>
                <w:rFonts w:ascii="Arial" w:hAnsi="Arial" w:hint="cs"/>
                <w:b/>
                <w:bCs/>
                <w:sz w:val="26"/>
                <w:szCs w:val="26"/>
                <w:rtl/>
              </w:rPr>
              <w:t>ד ליטל שירי</w:t>
            </w:r>
          </w:p>
          <w:p w14:paraId="7A24BC7F" w14:textId="77777777" w:rsidR="00C23B45" w:rsidRPr="0098709A" w:rsidRDefault="00C23B45" w:rsidP="00E27E0A">
            <w:pPr>
              <w:rPr>
                <w:rFonts w:ascii="David" w:hAnsi="David"/>
                <w:sz w:val="26"/>
                <w:szCs w:val="26"/>
              </w:rPr>
            </w:pPr>
          </w:p>
        </w:tc>
      </w:tr>
      <w:bookmarkEnd w:id="1"/>
      <w:bookmarkEnd w:id="2"/>
      <w:tr w:rsidR="00C23B45" w:rsidRPr="0098709A" w14:paraId="6A9F9117" w14:textId="77777777" w:rsidTr="00011A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14E16D2" w14:textId="77777777" w:rsidR="00C23B45" w:rsidRPr="0098709A" w:rsidRDefault="00C23B45" w:rsidP="00C23B45">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2BCE2CEA" w14:textId="77777777" w:rsidR="00C23B45" w:rsidRPr="0098709A" w:rsidRDefault="00C23B45" w:rsidP="00C23B45">
            <w:pPr>
              <w:jc w:val="center"/>
              <w:rPr>
                <w:rFonts w:ascii="David" w:hAnsi="David"/>
                <w:b/>
                <w:bCs/>
                <w:sz w:val="26"/>
                <w:szCs w:val="26"/>
                <w:rtl/>
              </w:rPr>
            </w:pPr>
          </w:p>
          <w:p w14:paraId="1F9DD072" w14:textId="77777777" w:rsidR="00C23B45" w:rsidRPr="0098709A" w:rsidRDefault="00C23B45" w:rsidP="00C23B45">
            <w:pPr>
              <w:jc w:val="center"/>
              <w:rPr>
                <w:rFonts w:ascii="David" w:hAnsi="David"/>
                <w:b/>
                <w:bCs/>
                <w:sz w:val="26"/>
                <w:szCs w:val="26"/>
                <w:rtl/>
              </w:rPr>
            </w:pPr>
            <w:r w:rsidRPr="0098709A">
              <w:rPr>
                <w:rFonts w:ascii="David" w:hAnsi="David"/>
                <w:b/>
                <w:bCs/>
                <w:sz w:val="26"/>
                <w:szCs w:val="26"/>
                <w:rtl/>
              </w:rPr>
              <w:t>נגד</w:t>
            </w:r>
          </w:p>
          <w:p w14:paraId="045276AE" w14:textId="77777777" w:rsidR="00C23B45" w:rsidRPr="0098709A" w:rsidRDefault="00C23B45" w:rsidP="00C23B45">
            <w:pPr>
              <w:jc w:val="both"/>
              <w:rPr>
                <w:rFonts w:ascii="David" w:hAnsi="David"/>
                <w:sz w:val="26"/>
                <w:szCs w:val="26"/>
              </w:rPr>
            </w:pPr>
          </w:p>
        </w:tc>
      </w:tr>
      <w:tr w:rsidR="00C23B45" w:rsidRPr="0098709A" w14:paraId="644757BA" w14:textId="77777777" w:rsidTr="00011A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68E176F" w14:textId="77777777" w:rsidR="00C23B45" w:rsidRPr="0098709A" w:rsidRDefault="00C23B45" w:rsidP="00E27E0A">
            <w:pPr>
              <w:rPr>
                <w:rFonts w:ascii="David" w:hAnsi="David"/>
                <w:sz w:val="26"/>
                <w:szCs w:val="26"/>
                <w:rtl/>
              </w:rPr>
            </w:pPr>
          </w:p>
        </w:tc>
        <w:tc>
          <w:tcPr>
            <w:tcW w:w="3219" w:type="dxa"/>
            <w:tcBorders>
              <w:top w:val="nil"/>
              <w:left w:val="nil"/>
              <w:bottom w:val="nil"/>
              <w:right w:val="nil"/>
            </w:tcBorders>
            <w:shd w:val="clear" w:color="auto" w:fill="auto"/>
          </w:tcPr>
          <w:p w14:paraId="1425A0B2" w14:textId="77777777" w:rsidR="00C23B45" w:rsidRPr="0098709A" w:rsidRDefault="00C23B45" w:rsidP="00E27E0A">
            <w:pPr>
              <w:rPr>
                <w:rFonts w:ascii="Arial" w:hAnsi="Arial"/>
                <w:b/>
                <w:bCs/>
                <w:sz w:val="26"/>
                <w:szCs w:val="26"/>
                <w:rtl/>
              </w:rPr>
            </w:pPr>
            <w:r w:rsidRPr="0098709A">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029275F4" w14:textId="77777777" w:rsidR="00C23B45" w:rsidRPr="0098709A" w:rsidRDefault="00C23B45" w:rsidP="00C23B45">
            <w:pPr>
              <w:suppressLineNumbers/>
              <w:rPr>
                <w:rFonts w:ascii="Arial" w:hAnsi="Arial"/>
                <w:b/>
                <w:bCs/>
                <w:sz w:val="26"/>
                <w:szCs w:val="26"/>
                <w:rtl/>
              </w:rPr>
            </w:pPr>
            <w:r w:rsidRPr="0098709A">
              <w:rPr>
                <w:rFonts w:ascii="Arial" w:hAnsi="Arial"/>
                <w:b/>
                <w:bCs/>
                <w:sz w:val="26"/>
                <w:szCs w:val="26"/>
                <w:rtl/>
              </w:rPr>
              <w:t>נאדים מסארוה (עצור/אסיר בפיקוח)</w:t>
            </w:r>
            <w:r w:rsidRPr="0098709A">
              <w:rPr>
                <w:rFonts w:ascii="Arial" w:hAnsi="Arial" w:hint="cs"/>
                <w:b/>
                <w:bCs/>
                <w:sz w:val="26"/>
                <w:szCs w:val="26"/>
                <w:rtl/>
              </w:rPr>
              <w:t xml:space="preserve"> </w:t>
            </w:r>
          </w:p>
          <w:p w14:paraId="47C3C857" w14:textId="77777777" w:rsidR="00C23B45" w:rsidRPr="0098709A" w:rsidRDefault="00C23B45" w:rsidP="00C23B45">
            <w:pPr>
              <w:suppressLineNumbers/>
            </w:pPr>
            <w:r w:rsidRPr="0098709A">
              <w:rPr>
                <w:rFonts w:ascii="Arial" w:hAnsi="Arial"/>
                <w:b/>
                <w:bCs/>
                <w:sz w:val="26"/>
                <w:szCs w:val="26"/>
                <w:rtl/>
              </w:rPr>
              <w:t>ע"י ב"כ עוה"ד</w:t>
            </w:r>
            <w:r w:rsidRPr="0098709A">
              <w:rPr>
                <w:rFonts w:hint="cs"/>
                <w:rtl/>
              </w:rPr>
              <w:t xml:space="preserve"> </w:t>
            </w:r>
            <w:r w:rsidRPr="0098709A">
              <w:rPr>
                <w:rFonts w:hint="cs"/>
                <w:b/>
                <w:bCs/>
                <w:rtl/>
              </w:rPr>
              <w:t>בר עוז ובראנסי</w:t>
            </w:r>
          </w:p>
          <w:p w14:paraId="3CE97C03" w14:textId="77777777" w:rsidR="00C23B45" w:rsidRPr="0098709A" w:rsidRDefault="00C23B45" w:rsidP="00E27E0A">
            <w:pPr>
              <w:rPr>
                <w:rFonts w:ascii="David" w:hAnsi="David"/>
                <w:sz w:val="26"/>
                <w:szCs w:val="26"/>
              </w:rPr>
            </w:pPr>
          </w:p>
        </w:tc>
      </w:tr>
    </w:tbl>
    <w:p w14:paraId="1FFD7634" w14:textId="77777777" w:rsidR="00011A2C" w:rsidRDefault="00011A2C" w:rsidP="0098709A">
      <w:pPr>
        <w:rPr>
          <w:sz w:val="26"/>
          <w:szCs w:val="26"/>
          <w:rtl/>
        </w:rPr>
      </w:pPr>
    </w:p>
    <w:p w14:paraId="59AC777D" w14:textId="77777777" w:rsidR="00011A2C" w:rsidRPr="00011A2C" w:rsidRDefault="00011A2C" w:rsidP="00011A2C">
      <w:pPr>
        <w:spacing w:after="120" w:line="240" w:lineRule="exact"/>
        <w:ind w:left="283" w:hanging="283"/>
        <w:jc w:val="both"/>
        <w:rPr>
          <w:rFonts w:ascii="FrankRuehl" w:hAnsi="FrankRuehl" w:cs="FrankRuehl"/>
          <w:rtl/>
        </w:rPr>
      </w:pPr>
    </w:p>
    <w:p w14:paraId="4870E501" w14:textId="77777777" w:rsidR="009A7603" w:rsidRPr="009A7603" w:rsidRDefault="009A7603" w:rsidP="009A7603">
      <w:pPr>
        <w:spacing w:before="120" w:after="120" w:line="240" w:lineRule="exact"/>
        <w:ind w:left="283" w:hanging="283"/>
        <w:jc w:val="both"/>
        <w:rPr>
          <w:rFonts w:ascii="FrankRuehl" w:hAnsi="FrankRuehl" w:cs="FrankRuehl"/>
          <w:rtl/>
        </w:rPr>
      </w:pPr>
    </w:p>
    <w:p w14:paraId="2E0E351A" w14:textId="77777777" w:rsidR="00285DF9" w:rsidRDefault="00285DF9" w:rsidP="00285DF9">
      <w:pPr>
        <w:rPr>
          <w:sz w:val="26"/>
          <w:szCs w:val="26"/>
          <w:rtl/>
        </w:rPr>
      </w:pPr>
      <w:bookmarkStart w:id="3" w:name="LawTable"/>
      <w:bookmarkEnd w:id="3"/>
    </w:p>
    <w:p w14:paraId="7217E2D6" w14:textId="77777777" w:rsidR="00285DF9" w:rsidRPr="00285DF9" w:rsidRDefault="00285DF9" w:rsidP="00285DF9">
      <w:pPr>
        <w:spacing w:before="120" w:after="120" w:line="240" w:lineRule="exact"/>
        <w:ind w:left="283" w:hanging="283"/>
        <w:jc w:val="both"/>
        <w:rPr>
          <w:rFonts w:ascii="FrankRuehl" w:hAnsi="FrankRuehl" w:cs="FrankRuehl"/>
          <w:rtl/>
        </w:rPr>
      </w:pPr>
    </w:p>
    <w:p w14:paraId="19661505" w14:textId="77777777" w:rsidR="00285DF9" w:rsidRPr="00285DF9" w:rsidRDefault="00285DF9" w:rsidP="00285DF9">
      <w:pPr>
        <w:spacing w:before="120" w:after="120" w:line="240" w:lineRule="exact"/>
        <w:ind w:left="283" w:hanging="283"/>
        <w:jc w:val="both"/>
        <w:rPr>
          <w:rFonts w:ascii="FrankRuehl" w:hAnsi="FrankRuehl" w:cs="FrankRuehl"/>
          <w:rtl/>
        </w:rPr>
      </w:pPr>
    </w:p>
    <w:p w14:paraId="7C411C3B" w14:textId="77777777" w:rsidR="00285DF9" w:rsidRPr="00285DF9" w:rsidRDefault="00285DF9" w:rsidP="00285DF9">
      <w:pPr>
        <w:spacing w:before="120" w:after="120" w:line="240" w:lineRule="exact"/>
        <w:ind w:left="283" w:hanging="283"/>
        <w:jc w:val="both"/>
        <w:rPr>
          <w:rFonts w:ascii="FrankRuehl" w:hAnsi="FrankRuehl" w:cs="FrankRuehl"/>
          <w:rtl/>
        </w:rPr>
      </w:pPr>
      <w:r w:rsidRPr="00285DF9">
        <w:rPr>
          <w:rFonts w:ascii="FrankRuehl" w:hAnsi="FrankRuehl" w:cs="FrankRuehl"/>
          <w:rtl/>
        </w:rPr>
        <w:t xml:space="preserve">חקיקה שאוזכרה: </w:t>
      </w:r>
    </w:p>
    <w:p w14:paraId="68E50535" w14:textId="77777777" w:rsidR="00285DF9" w:rsidRPr="00285DF9" w:rsidRDefault="00285DF9" w:rsidP="00285DF9">
      <w:pPr>
        <w:spacing w:before="120" w:after="120" w:line="240" w:lineRule="exact"/>
        <w:ind w:left="283" w:hanging="283"/>
        <w:jc w:val="both"/>
        <w:rPr>
          <w:rFonts w:ascii="FrankRuehl" w:hAnsi="FrankRuehl" w:cs="FrankRuehl"/>
          <w:rtl/>
        </w:rPr>
      </w:pPr>
      <w:hyperlink r:id="rId7" w:history="1">
        <w:r w:rsidRPr="00285DF9">
          <w:rPr>
            <w:rFonts w:ascii="FrankRuehl" w:hAnsi="FrankRuehl" w:cs="FrankRuehl"/>
            <w:color w:val="0000FF"/>
            <w:rtl/>
          </w:rPr>
          <w:t>חוק העונשין, תשל"ז-1977</w:t>
        </w:r>
      </w:hyperlink>
      <w:r w:rsidRPr="00285DF9">
        <w:rPr>
          <w:rFonts w:ascii="FrankRuehl" w:hAnsi="FrankRuehl" w:cs="FrankRuehl"/>
          <w:rtl/>
        </w:rPr>
        <w:t xml:space="preserve">: סע'  </w:t>
      </w:r>
      <w:hyperlink r:id="rId8" w:history="1">
        <w:r w:rsidRPr="00285DF9">
          <w:rPr>
            <w:rFonts w:ascii="FrankRuehl" w:hAnsi="FrankRuehl" w:cs="FrankRuehl"/>
            <w:color w:val="0000FF"/>
            <w:rtl/>
          </w:rPr>
          <w:t>144(ב)</w:t>
        </w:r>
      </w:hyperlink>
    </w:p>
    <w:p w14:paraId="3505B32C" w14:textId="77777777" w:rsidR="00285DF9" w:rsidRPr="00285DF9" w:rsidRDefault="00285DF9" w:rsidP="00285DF9">
      <w:pPr>
        <w:rPr>
          <w:sz w:val="26"/>
          <w:szCs w:val="26"/>
          <w:rtl/>
        </w:rPr>
      </w:pPr>
      <w:bookmarkStart w:id="4" w:name="LawTable_End"/>
      <w:bookmarkEnd w:id="4"/>
    </w:p>
    <w:p w14:paraId="36B76E8F" w14:textId="77777777" w:rsidR="00C23B45" w:rsidRPr="009A7603" w:rsidRDefault="00C23B45" w:rsidP="009A7603">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23B45" w14:paraId="743983F0" w14:textId="77777777" w:rsidTr="00C23B45">
        <w:trPr>
          <w:trHeight w:val="355"/>
          <w:jc w:val="center"/>
        </w:trPr>
        <w:tc>
          <w:tcPr>
            <w:tcW w:w="8820" w:type="dxa"/>
            <w:tcBorders>
              <w:top w:val="nil"/>
              <w:left w:val="nil"/>
              <w:bottom w:val="nil"/>
              <w:right w:val="nil"/>
            </w:tcBorders>
            <w:shd w:val="clear" w:color="auto" w:fill="auto"/>
          </w:tcPr>
          <w:p w14:paraId="36193A0B" w14:textId="77777777" w:rsidR="0098709A" w:rsidRPr="0098709A" w:rsidRDefault="0098709A" w:rsidP="0098709A">
            <w:pPr>
              <w:jc w:val="center"/>
              <w:rPr>
                <w:rFonts w:ascii="David" w:hAnsi="David"/>
                <w:b/>
                <w:bCs/>
                <w:sz w:val="32"/>
                <w:szCs w:val="32"/>
                <w:u w:val="single"/>
                <w:rtl/>
              </w:rPr>
            </w:pPr>
            <w:bookmarkStart w:id="5" w:name="PsakDin" w:colFirst="0" w:colLast="0"/>
            <w:bookmarkEnd w:id="0"/>
            <w:r w:rsidRPr="0098709A">
              <w:rPr>
                <w:rFonts w:ascii="David" w:hAnsi="David"/>
                <w:b/>
                <w:bCs/>
                <w:sz w:val="32"/>
                <w:szCs w:val="32"/>
                <w:u w:val="single"/>
                <w:rtl/>
              </w:rPr>
              <w:t>גזר דין</w:t>
            </w:r>
          </w:p>
          <w:p w14:paraId="00D48686" w14:textId="77777777" w:rsidR="00C23B45" w:rsidRPr="0098709A" w:rsidRDefault="00C23B45" w:rsidP="0098709A">
            <w:pPr>
              <w:jc w:val="center"/>
              <w:rPr>
                <w:rFonts w:ascii="David" w:hAnsi="David"/>
                <w:bCs/>
                <w:sz w:val="32"/>
                <w:szCs w:val="32"/>
                <w:u w:val="single"/>
                <w:rtl/>
              </w:rPr>
            </w:pPr>
          </w:p>
        </w:tc>
      </w:tr>
      <w:bookmarkEnd w:id="5"/>
    </w:tbl>
    <w:p w14:paraId="5D879668" w14:textId="77777777" w:rsidR="00C23B45" w:rsidRPr="000F2247" w:rsidRDefault="00C23B45" w:rsidP="00C23B45">
      <w:pPr>
        <w:rPr>
          <w:rFonts w:ascii="Arial" w:hAnsi="Arial"/>
          <w:b/>
          <w:bCs/>
          <w:sz w:val="26"/>
          <w:szCs w:val="26"/>
          <w:rtl/>
        </w:rPr>
      </w:pPr>
    </w:p>
    <w:p w14:paraId="35A201B4" w14:textId="77777777" w:rsidR="00C23B45" w:rsidRPr="000F2247" w:rsidRDefault="00C23B45" w:rsidP="00C23B45">
      <w:pPr>
        <w:rPr>
          <w:rFonts w:ascii="Arial" w:hAnsi="Arial"/>
          <w:b/>
          <w:bCs/>
          <w:sz w:val="26"/>
          <w:szCs w:val="26"/>
          <w:rtl/>
        </w:rPr>
      </w:pPr>
    </w:p>
    <w:p w14:paraId="23281BC7" w14:textId="77777777" w:rsidR="00C23B45" w:rsidRDefault="00C23B45" w:rsidP="00C23B45">
      <w:pPr>
        <w:pStyle w:val="aa"/>
        <w:numPr>
          <w:ilvl w:val="0"/>
          <w:numId w:val="3"/>
        </w:numPr>
        <w:spacing w:line="360" w:lineRule="auto"/>
        <w:ind w:left="84" w:hanging="283"/>
        <w:jc w:val="both"/>
      </w:pPr>
      <w:bookmarkStart w:id="6" w:name="ABSTRACT_START"/>
      <w:bookmarkEnd w:id="6"/>
      <w:r>
        <w:rPr>
          <w:rFonts w:hint="cs"/>
          <w:rtl/>
        </w:rPr>
        <w:t xml:space="preserve">הנאשם הורשע במסגרת הסדר טיעון בעובדות כתב אישום מתוקן </w:t>
      </w:r>
      <w:r>
        <w:rPr>
          <w:rFonts w:hint="cs"/>
          <w:b/>
          <w:bCs/>
          <w:rtl/>
        </w:rPr>
        <w:t xml:space="preserve">בעבירת נשיאה והובלת נשק ותחמושת לפי </w:t>
      </w:r>
      <w:hyperlink r:id="rId9" w:history="1">
        <w:r w:rsidR="00011A2C" w:rsidRPr="00011A2C">
          <w:rPr>
            <w:rStyle w:val="Hyperlink"/>
            <w:rFonts w:hint="eastAsia"/>
            <w:b/>
            <w:bCs/>
            <w:rtl/>
          </w:rPr>
          <w:t>סעיף</w:t>
        </w:r>
        <w:r w:rsidR="00011A2C" w:rsidRPr="00011A2C">
          <w:rPr>
            <w:rStyle w:val="Hyperlink"/>
            <w:b/>
            <w:bCs/>
            <w:rtl/>
          </w:rPr>
          <w:t xml:space="preserve"> 144(ב)</w:t>
        </w:r>
      </w:hyperlink>
      <w:r>
        <w:rPr>
          <w:rFonts w:hint="cs"/>
          <w:b/>
          <w:bCs/>
          <w:rtl/>
        </w:rPr>
        <w:t xml:space="preserve"> רישא וסיפא ל</w:t>
      </w:r>
      <w:hyperlink r:id="rId10" w:history="1">
        <w:r w:rsidR="0098709A" w:rsidRPr="0098709A">
          <w:rPr>
            <w:b/>
            <w:bCs/>
            <w:color w:val="0000FF"/>
            <w:u w:val="single"/>
            <w:rtl/>
          </w:rPr>
          <w:t>חוק העונשין</w:t>
        </w:r>
      </w:hyperlink>
      <w:r>
        <w:rPr>
          <w:rFonts w:hint="cs"/>
          <w:b/>
          <w:bCs/>
          <w:rtl/>
        </w:rPr>
        <w:t>, תשל"ז-1977</w:t>
      </w:r>
      <w:r>
        <w:rPr>
          <w:rFonts w:hint="cs"/>
          <w:rtl/>
        </w:rPr>
        <w:t xml:space="preserve"> (להלן-החוק). </w:t>
      </w:r>
    </w:p>
    <w:p w14:paraId="54BE5C69" w14:textId="77777777" w:rsidR="00C23B45" w:rsidRDefault="00C23B45" w:rsidP="00C23B45">
      <w:pPr>
        <w:pStyle w:val="aa"/>
        <w:spacing w:line="360" w:lineRule="auto"/>
        <w:ind w:left="84"/>
        <w:jc w:val="both"/>
      </w:pPr>
    </w:p>
    <w:p w14:paraId="25EC0E0D" w14:textId="77777777" w:rsidR="00C23B45" w:rsidRDefault="00C23B45" w:rsidP="00C23B45">
      <w:pPr>
        <w:pStyle w:val="aa"/>
        <w:spacing w:line="360" w:lineRule="auto"/>
        <w:ind w:left="84"/>
        <w:jc w:val="both"/>
        <w:rPr>
          <w:rtl/>
        </w:rPr>
      </w:pPr>
      <w:r>
        <w:rPr>
          <w:rFonts w:hint="cs"/>
          <w:rtl/>
        </w:rPr>
        <w:t xml:space="preserve">כמפורט בעובדות כתב האישום המתוקן, ביום 27.5.21 בשעה 23:37 או בסמוך לכך, נורו מספר יריות בעיר טייבה. בסמוך לאחר מכן, בטייבה, הוביל הנאשם ברכב </w:t>
      </w:r>
      <w:r>
        <w:t>BMW</w:t>
      </w:r>
      <w:r>
        <w:rPr>
          <w:rFonts w:hint="cs"/>
          <w:rtl/>
        </w:rPr>
        <w:t xml:space="preserve"> בו נהג אקדח מסוג </w:t>
      </w:r>
      <w:r>
        <w:t>FN</w:t>
      </w:r>
      <w:r>
        <w:rPr>
          <w:rFonts w:hint="cs"/>
          <w:rtl/>
        </w:rPr>
        <w:t xml:space="preserve">, טעון מחסנית ובה כדורים תואמים, כשלצדו ישב קרוב משפחתו. </w:t>
      </w:r>
    </w:p>
    <w:p w14:paraId="6BE3BD65" w14:textId="77777777" w:rsidR="00C23B45" w:rsidRDefault="00C23B45" w:rsidP="00C23B45">
      <w:pPr>
        <w:pStyle w:val="aa"/>
        <w:ind w:left="84" w:hanging="283"/>
      </w:pPr>
      <w:bookmarkStart w:id="7" w:name="ABSTRACT_END"/>
      <w:bookmarkEnd w:id="7"/>
    </w:p>
    <w:p w14:paraId="1AE5C022" w14:textId="77777777" w:rsidR="00C23B45" w:rsidRDefault="00C23B45" w:rsidP="00C23B45">
      <w:pPr>
        <w:pStyle w:val="aa"/>
        <w:numPr>
          <w:ilvl w:val="0"/>
          <w:numId w:val="3"/>
        </w:numPr>
        <w:spacing w:line="360" w:lineRule="auto"/>
        <w:ind w:left="84" w:hanging="283"/>
        <w:jc w:val="both"/>
        <w:rPr>
          <w:rtl/>
        </w:rPr>
      </w:pPr>
      <w:r>
        <w:rPr>
          <w:rFonts w:hint="cs"/>
          <w:rtl/>
        </w:rPr>
        <w:t xml:space="preserve">ביום 13.10.21 הציגו הצדדים הסדר טיעון דיוני, במסגרתו הודה והורשע הנאשם בעובדות כתב האישום המתוקן והופנה, מפאת גילו, לתסקיר חובה של שירות המבחן. </w:t>
      </w:r>
    </w:p>
    <w:p w14:paraId="7B089650" w14:textId="77777777" w:rsidR="00C23B45" w:rsidRDefault="00C23B45" w:rsidP="00C23B45">
      <w:pPr>
        <w:pStyle w:val="aa"/>
        <w:ind w:left="84"/>
      </w:pPr>
    </w:p>
    <w:p w14:paraId="137B8396" w14:textId="77777777" w:rsidR="00C23B45" w:rsidRDefault="00C23B45" w:rsidP="00C23B45">
      <w:pPr>
        <w:pStyle w:val="aa"/>
        <w:spacing w:line="360" w:lineRule="auto"/>
        <w:ind w:left="84"/>
        <w:jc w:val="both"/>
        <w:rPr>
          <w:rtl/>
        </w:rPr>
      </w:pPr>
    </w:p>
    <w:p w14:paraId="0473C32C" w14:textId="77777777" w:rsidR="00C23B45" w:rsidRDefault="00C23B45" w:rsidP="00C23B45">
      <w:pPr>
        <w:spacing w:line="360" w:lineRule="auto"/>
        <w:ind w:left="84"/>
        <w:jc w:val="both"/>
        <w:rPr>
          <w:b/>
          <w:bCs/>
          <w:u w:val="single"/>
          <w:rtl/>
        </w:rPr>
      </w:pPr>
      <w:r>
        <w:rPr>
          <w:rFonts w:hint="cs"/>
          <w:b/>
          <w:bCs/>
          <w:u w:val="single"/>
          <w:rtl/>
        </w:rPr>
        <w:lastRenderedPageBreak/>
        <w:t>תסקירי שירות המבחן</w:t>
      </w:r>
    </w:p>
    <w:p w14:paraId="681332DE" w14:textId="77777777" w:rsidR="00C23B45" w:rsidRDefault="00C23B45" w:rsidP="00C23B45">
      <w:pPr>
        <w:pStyle w:val="aa"/>
        <w:numPr>
          <w:ilvl w:val="0"/>
          <w:numId w:val="3"/>
        </w:numPr>
        <w:spacing w:line="360" w:lineRule="auto"/>
        <w:ind w:left="84" w:hanging="283"/>
        <w:jc w:val="both"/>
        <w:rPr>
          <w:rtl/>
        </w:rPr>
      </w:pPr>
      <w:r>
        <w:rPr>
          <w:rFonts w:hint="cs"/>
          <w:rtl/>
        </w:rPr>
        <w:t>הנאשם בן 21, נעדר עבר פלילי, צפוי להתחתן בקרוב. לאחרונה נפצע בתאונת דרכים, מתנייד בסיוע בני משפחתו נוכח איסור דריכה על אחת מרגליו, קודם לכן נעזר בקביים. בחודש מרץ 2022 נפצע באירוע ירי, לדבריו הירי היה מכוון אליו, עם זאת שלל מעורבות בסכסוכים. כתוצאה מהירי נפצע קשה בחלקו התחתון של גופו וברגליו (ריסוק הירך). מאז עובר תהליכי טיפול רפואיים ופסיכולוגיים ומתמודד עם תחושות דיכאון, פוסט טראומה, חרדות, חוסר ביטחון, תלות במשפחתו וחרדה חברתית. נוכח מצבו הבריאותי הפסיק לעבוד ומצוי בהליך תביעת קצבת נכות.</w:t>
      </w:r>
    </w:p>
    <w:p w14:paraId="43935E37" w14:textId="77777777" w:rsidR="00C23B45" w:rsidRDefault="00C23B45" w:rsidP="00C23B45">
      <w:pPr>
        <w:pStyle w:val="aa"/>
        <w:spacing w:line="360" w:lineRule="auto"/>
        <w:ind w:left="84"/>
        <w:jc w:val="both"/>
      </w:pPr>
    </w:p>
    <w:p w14:paraId="07924F95" w14:textId="77777777" w:rsidR="00C23B45" w:rsidRDefault="00C23B45" w:rsidP="00C23B45">
      <w:pPr>
        <w:pStyle w:val="aa"/>
        <w:spacing w:line="360" w:lineRule="auto"/>
        <w:ind w:left="84"/>
        <w:jc w:val="both"/>
        <w:rPr>
          <w:rtl/>
        </w:rPr>
      </w:pPr>
      <w:r>
        <w:rPr>
          <w:rFonts w:hint="cs"/>
          <w:b/>
          <w:bCs/>
          <w:rtl/>
        </w:rPr>
        <w:t>אשר לעבירה</w:t>
      </w:r>
      <w:r>
        <w:rPr>
          <w:rFonts w:hint="cs"/>
          <w:rtl/>
        </w:rPr>
        <w:t xml:space="preserve"> - הנאשם מקבל אחריות לביצוע העבירה, מביע צער וחרטה, מכיר בבעייתיות שבהתנהגותו ונכון לשאת בתוצאות מעשיו.  עוד תיאר שבתקופת מעצרו, משך כשלושה חודשים, סבל מהתפרצויות בכי וחרדות. בהמשך שוחרר לחלופת מעצר, אך לא הצליח לשקם את עסקו,  עסק משפחתי לציוד חקלאי, וצבר חובות לבנק. </w:t>
      </w:r>
    </w:p>
    <w:p w14:paraId="1303B450" w14:textId="77777777" w:rsidR="00C23B45" w:rsidRDefault="00C23B45" w:rsidP="00C23B45">
      <w:pPr>
        <w:pStyle w:val="aa"/>
        <w:spacing w:line="360" w:lineRule="auto"/>
        <w:ind w:left="84"/>
        <w:jc w:val="both"/>
        <w:rPr>
          <w:rtl/>
        </w:rPr>
      </w:pPr>
      <w:r>
        <w:rPr>
          <w:rFonts w:hint="cs"/>
          <w:rtl/>
        </w:rPr>
        <w:t xml:space="preserve">שירות המבחן התרשם מבחור צעיר, שניהל אורח חיים תקין ונעדר דפוסים עבריינים מושרשים. את הסיבות לביצוע מעשיו מייחסים לחוסר בשלות וצורך בחיזוק הדימוי העצמי שהובילוהו ליצור קשרים שוליים ולמעורבות בעבירות הנשק. שירות המבחן לא שלל סיכון להמשך מעורבות שולית מצדו בתחום הנשק, אך העריך כי חלה הפחתה בסיכון הנשקף ממנו, צוין כי ההליך המשפטי מהווה גורם מרתיע, וכיום, בעקבות פציעתו, צמצם קשרים חברתיים, חרד לצאת לבד מביתו ומשקיע זמנו בשיקום מצבו. נוכח נסיבותיו, המליץ להסתפק בענישה מתונה הכוללת צו של"צ וצו מבחן. </w:t>
      </w:r>
    </w:p>
    <w:p w14:paraId="102928D9" w14:textId="77777777" w:rsidR="00C23B45" w:rsidRDefault="00C23B45" w:rsidP="00C23B45">
      <w:pPr>
        <w:pStyle w:val="aa"/>
        <w:spacing w:line="360" w:lineRule="auto"/>
        <w:ind w:left="84"/>
        <w:jc w:val="both"/>
        <w:rPr>
          <w:rtl/>
        </w:rPr>
      </w:pPr>
      <w:r>
        <w:rPr>
          <w:rFonts w:hint="cs"/>
          <w:rtl/>
        </w:rPr>
        <w:t xml:space="preserve">בתסקירו המשלים (מיום 26.10.22) חזר והדגיש את הנסיגה במצבו הנפשי והמצוקה הרגשית בה שרוי. עוד חזרו על המלצתם, נוכח שיתוף הפעולה של הנאשם, התגייסות משפחתו לטובתו, הליך השיקום הרפואי בו מצוי והכרה בתוצאות מעשיו, להסתפק בענישה חינוכית שיקומית. </w:t>
      </w:r>
    </w:p>
    <w:p w14:paraId="1610C0C3" w14:textId="77777777" w:rsidR="00C23B45" w:rsidRDefault="00C23B45" w:rsidP="00C23B45">
      <w:pPr>
        <w:pStyle w:val="aa"/>
        <w:ind w:left="84"/>
        <w:rPr>
          <w:rtl/>
        </w:rPr>
      </w:pPr>
    </w:p>
    <w:p w14:paraId="1BBFA799" w14:textId="77777777" w:rsidR="00C23B45" w:rsidRDefault="00C23B45" w:rsidP="00C23B45">
      <w:pPr>
        <w:pStyle w:val="aa"/>
        <w:ind w:left="84"/>
        <w:rPr>
          <w:rtl/>
        </w:rPr>
      </w:pPr>
    </w:p>
    <w:p w14:paraId="228D593F" w14:textId="77777777" w:rsidR="00C23B45" w:rsidRDefault="00C23B45" w:rsidP="00C23B45">
      <w:pPr>
        <w:spacing w:line="360" w:lineRule="auto"/>
        <w:ind w:left="84"/>
        <w:jc w:val="both"/>
        <w:rPr>
          <w:rtl/>
        </w:rPr>
      </w:pPr>
      <w:r>
        <w:rPr>
          <w:rFonts w:hint="cs"/>
          <w:b/>
          <w:bCs/>
          <w:u w:val="single"/>
          <w:rtl/>
        </w:rPr>
        <w:t>תמצית הטיעונים לעונש</w:t>
      </w:r>
    </w:p>
    <w:p w14:paraId="23A5965D" w14:textId="77777777" w:rsidR="00C23B45" w:rsidRDefault="00C23B45" w:rsidP="00C23B45">
      <w:pPr>
        <w:pStyle w:val="aa"/>
        <w:numPr>
          <w:ilvl w:val="0"/>
          <w:numId w:val="3"/>
        </w:numPr>
        <w:spacing w:line="360" w:lineRule="auto"/>
        <w:ind w:left="84" w:hanging="283"/>
        <w:jc w:val="both"/>
      </w:pPr>
      <w:r>
        <w:rPr>
          <w:rFonts w:hint="cs"/>
          <w:rtl/>
        </w:rPr>
        <w:t xml:space="preserve">המאשימה, באמצעות עו"ד קרן לוי, עמדה בטיעוניה על חומרת מעשי הנאשם, פגיעתם בערכים המוגנים של הגנה על שלום הציבור וביטחונו והסיכון הרב הגלום בהם. עוד עמדה על מגמת ההחמרה בענישה בעבירות נשק המשתקפת בפסיקת בית המשפט העליון ותיקון החוק. לפיכך עתרה למתחם ענישה הנע בין 48-24 חודשי מאסר בפועל, בצד ענישה נלווית. ב"כ המאשימה ציינה לקולה את הודאת הנאשם, גילו הצעיר והיעדר עבר פלילי אך סבורה שהמלצת שירות המבחן לענישה שיקומית אין לה בסיס. לשיטתה, אין ליתן משקל מיוחד למצבו הרפואי כיוון שנגרם כתוצאה ממעורבותו בעולם הנשק. משכך עתרה למקמו בשליש התחתון של המתחם אך לא בתחתיתו.   </w:t>
      </w:r>
    </w:p>
    <w:p w14:paraId="22862469" w14:textId="77777777" w:rsidR="00C23B45" w:rsidRDefault="00C23B45" w:rsidP="00C23B45">
      <w:pPr>
        <w:pStyle w:val="aa"/>
        <w:spacing w:line="360" w:lineRule="auto"/>
        <w:ind w:left="84" w:hanging="283"/>
        <w:jc w:val="both"/>
      </w:pPr>
    </w:p>
    <w:p w14:paraId="0F2F9395" w14:textId="77777777" w:rsidR="00C23B45" w:rsidRDefault="00C23B45" w:rsidP="00C23B45">
      <w:pPr>
        <w:pStyle w:val="aa"/>
        <w:numPr>
          <w:ilvl w:val="0"/>
          <w:numId w:val="3"/>
        </w:numPr>
        <w:spacing w:line="360" w:lineRule="auto"/>
        <w:ind w:left="84" w:hanging="283"/>
        <w:jc w:val="both"/>
        <w:rPr>
          <w:rtl/>
        </w:rPr>
      </w:pPr>
      <w:r>
        <w:rPr>
          <w:rFonts w:hint="cs"/>
          <w:rtl/>
        </w:rPr>
        <w:t xml:space="preserve">ב"כ הנאשם, עו"ד בר עוז ועו"ד בראנסי, עמדו על גילו הצעיר, מורכבות מצבו הרפואי (אסופת מסמכים רפואיים  (נ/1, נ/2), אורח חייו הנורמטיבי ונתוניו הטובים, כשכל אלו מעידים לדידם על </w:t>
      </w:r>
      <w:r>
        <w:rPr>
          <w:rFonts w:hint="cs"/>
          <w:rtl/>
        </w:rPr>
        <w:lastRenderedPageBreak/>
        <w:t xml:space="preserve">פוטנציאל שיקומי כדרישת החוק, משכך עתרו לאמץ את המלצת שירות המבחן. עוד נטען, כי לאחר שהנאשם חווה על בשרו את הסכנות הנובעות משימוש בנשק, למד את לקחו וכי גזירת מאסר בפועל תגרום לנזק בלתי הפיך במצבו הרפואי והנפשי </w:t>
      </w:r>
    </w:p>
    <w:p w14:paraId="2F3D80E3" w14:textId="77777777" w:rsidR="00C23B45" w:rsidRDefault="00C23B45" w:rsidP="00C23B45">
      <w:pPr>
        <w:pStyle w:val="aa"/>
        <w:ind w:left="84" w:hanging="283"/>
      </w:pPr>
    </w:p>
    <w:p w14:paraId="6586626C" w14:textId="77777777" w:rsidR="00C23B45" w:rsidRDefault="00C23B45" w:rsidP="00C23B45">
      <w:pPr>
        <w:pStyle w:val="aa"/>
        <w:spacing w:line="360" w:lineRule="auto"/>
        <w:ind w:left="84"/>
        <w:jc w:val="both"/>
        <w:rPr>
          <w:rtl/>
        </w:rPr>
      </w:pPr>
      <w:r>
        <w:rPr>
          <w:rFonts w:hint="cs"/>
          <w:rtl/>
        </w:rPr>
        <w:t xml:space="preserve">הצדדים הגישו פסיקה לתמיכה בעתירתם העונשית. </w:t>
      </w:r>
    </w:p>
    <w:p w14:paraId="6F7AC0E4" w14:textId="77777777" w:rsidR="00C23B45" w:rsidRDefault="00C23B45" w:rsidP="00C23B45">
      <w:pPr>
        <w:pStyle w:val="aa"/>
        <w:spacing w:line="360" w:lineRule="auto"/>
        <w:ind w:left="84" w:hanging="283"/>
        <w:jc w:val="both"/>
        <w:rPr>
          <w:rtl/>
        </w:rPr>
      </w:pPr>
    </w:p>
    <w:p w14:paraId="5346EE1A" w14:textId="77777777" w:rsidR="00C23B45" w:rsidRDefault="00C23B45" w:rsidP="00C23B45">
      <w:pPr>
        <w:pStyle w:val="aa"/>
        <w:numPr>
          <w:ilvl w:val="0"/>
          <w:numId w:val="3"/>
        </w:numPr>
        <w:spacing w:line="360" w:lineRule="auto"/>
        <w:ind w:left="84" w:hanging="283"/>
        <w:jc w:val="both"/>
        <w:rPr>
          <w:rtl/>
        </w:rPr>
      </w:pPr>
      <w:r>
        <w:rPr>
          <w:rFonts w:hint="cs"/>
          <w:rtl/>
        </w:rPr>
        <w:t xml:space="preserve">לטובת הנאשם העידה אחותו, הגב' רימה מסארווה. האחות, הלוקה בעיוורון, סטודנטית ומורה לחינוך מיוחד, סיפרה שנעזרת באחיה שדואג לה ונותן לה תקווה, וביקשה לתת לו הזדמנות לערוך שינוי חיובי. </w:t>
      </w:r>
    </w:p>
    <w:p w14:paraId="63293E46" w14:textId="77777777" w:rsidR="00C23B45" w:rsidRDefault="00C23B45" w:rsidP="00C23B45">
      <w:pPr>
        <w:pStyle w:val="aa"/>
        <w:spacing w:line="360" w:lineRule="auto"/>
        <w:ind w:left="84" w:hanging="283"/>
        <w:jc w:val="both"/>
        <w:rPr>
          <w:rtl/>
        </w:rPr>
      </w:pPr>
    </w:p>
    <w:p w14:paraId="4046F3AC" w14:textId="77777777" w:rsidR="00C23B45" w:rsidRDefault="00C23B45" w:rsidP="00C23B45">
      <w:pPr>
        <w:pStyle w:val="aa"/>
        <w:ind w:left="84"/>
        <w:rPr>
          <w:rtl/>
        </w:rPr>
      </w:pPr>
      <w:r>
        <w:rPr>
          <w:rFonts w:hint="cs"/>
          <w:b/>
          <w:bCs/>
          <w:rtl/>
        </w:rPr>
        <w:t xml:space="preserve">הנאשם בדברו האחרון </w:t>
      </w:r>
      <w:r>
        <w:rPr>
          <w:rFonts w:hint="cs"/>
          <w:rtl/>
        </w:rPr>
        <w:t xml:space="preserve">הצר על טעותו וביקש להתחשב בו. </w:t>
      </w:r>
    </w:p>
    <w:p w14:paraId="7CFEEB11" w14:textId="77777777" w:rsidR="00C23B45" w:rsidRDefault="00C23B45" w:rsidP="00C23B45">
      <w:pPr>
        <w:pStyle w:val="aa"/>
        <w:ind w:left="84"/>
        <w:rPr>
          <w:rtl/>
        </w:rPr>
      </w:pPr>
    </w:p>
    <w:p w14:paraId="5A8CE65B" w14:textId="77777777" w:rsidR="00C23B45" w:rsidRDefault="00C23B45" w:rsidP="00C23B45">
      <w:pPr>
        <w:pStyle w:val="aa"/>
        <w:ind w:left="84"/>
        <w:rPr>
          <w:b/>
          <w:bCs/>
          <w:u w:val="single"/>
          <w:rtl/>
        </w:rPr>
      </w:pPr>
    </w:p>
    <w:p w14:paraId="6A6E2293" w14:textId="77777777" w:rsidR="00C23B45" w:rsidRDefault="00C23B45" w:rsidP="00C23B45">
      <w:pPr>
        <w:spacing w:line="360" w:lineRule="auto"/>
        <w:ind w:left="84"/>
        <w:jc w:val="both"/>
        <w:rPr>
          <w:b/>
          <w:bCs/>
          <w:u w:val="single"/>
          <w:rtl/>
        </w:rPr>
      </w:pPr>
      <w:r>
        <w:rPr>
          <w:rFonts w:hint="cs"/>
          <w:b/>
          <w:bCs/>
          <w:u w:val="single"/>
          <w:rtl/>
        </w:rPr>
        <w:t>דיון והכרעה</w:t>
      </w:r>
    </w:p>
    <w:p w14:paraId="1E31425D" w14:textId="77777777" w:rsidR="00C23B45" w:rsidRDefault="00C23B45" w:rsidP="00C23B45">
      <w:pPr>
        <w:spacing w:line="360" w:lineRule="auto"/>
        <w:ind w:left="84"/>
        <w:jc w:val="both"/>
        <w:rPr>
          <w:b/>
          <w:bCs/>
          <w:u w:val="single"/>
          <w:rtl/>
        </w:rPr>
      </w:pPr>
      <w:r>
        <w:rPr>
          <w:rFonts w:hint="cs"/>
          <w:b/>
          <w:bCs/>
          <w:u w:val="single"/>
          <w:rtl/>
        </w:rPr>
        <w:t>מתחם העונש ההולם</w:t>
      </w:r>
    </w:p>
    <w:p w14:paraId="62CB9EE8" w14:textId="77777777" w:rsidR="00C23B45" w:rsidRDefault="00C23B45" w:rsidP="00C23B45">
      <w:pPr>
        <w:pStyle w:val="aa"/>
        <w:numPr>
          <w:ilvl w:val="0"/>
          <w:numId w:val="3"/>
        </w:numPr>
        <w:spacing w:line="360" w:lineRule="auto"/>
        <w:ind w:left="84" w:hanging="425"/>
        <w:jc w:val="both"/>
        <w:rPr>
          <w:rFonts w:ascii="Times New Roman" w:eastAsia="Times New Roman" w:hAnsi="Times New Roman"/>
          <w:rtl/>
        </w:rPr>
      </w:pPr>
      <w:r>
        <w:rPr>
          <w:rFonts w:ascii="Times New Roman" w:eastAsia="Times New Roman" w:hAnsi="Times New Roman" w:hint="cs"/>
          <w:rtl/>
        </w:rPr>
        <w:t xml:space="preserve">על ההליך שבפני חלים עקרונות הבניית שיקול הדעת השיפוטי בענישה בהתאם להוראות תיקון 113 לחוק. ע"פ הוראות אלו, העיקרון המנחה בענישה הינו עקרון ההלימה שפירושו קיומו של יחס הולם בין חומרת מעשה העבירה בנסיבותיו ובמידת אשמו של הנאשם ובין סוג ומידת העונש המוטל עליו. בדרכו של עקרון זה, על בית המשפט לקבוע מתחם עונש הולם למעשה העבירה, תוך שהוא מתחשב בערך החברתי המוגן שנפגע ומידת הפגיעה בו, במדיניות הענישה הנהוגה ובנסיבותיה הקונקרטיות של העבירה. בשלב הבא, לאחר שנקבע מתחם העונש, ובית המשפט לא מצא מקום לחרוג ממנו לקולא או לחומרא, נקבע העונש הראוי תוך התחשבות בנסיבות העושה. </w:t>
      </w:r>
    </w:p>
    <w:p w14:paraId="389C222B" w14:textId="77777777" w:rsidR="00C23B45" w:rsidRDefault="00C23B45" w:rsidP="00C23B45">
      <w:pPr>
        <w:pStyle w:val="aa"/>
        <w:spacing w:line="360" w:lineRule="auto"/>
        <w:ind w:left="84" w:hanging="425"/>
        <w:jc w:val="both"/>
        <w:rPr>
          <w:rFonts w:ascii="Times New Roman" w:eastAsia="Times New Roman" w:hAnsi="Times New Roman"/>
        </w:rPr>
      </w:pPr>
    </w:p>
    <w:p w14:paraId="58D79713" w14:textId="77777777" w:rsidR="00C23B45" w:rsidRDefault="00C23B45" w:rsidP="00C23B45">
      <w:pPr>
        <w:pStyle w:val="aa"/>
        <w:spacing w:after="160" w:line="360" w:lineRule="auto"/>
        <w:ind w:left="84"/>
        <w:jc w:val="both"/>
      </w:pPr>
      <w:r>
        <w:rPr>
          <w:rFonts w:hint="cs"/>
          <w:rtl/>
        </w:rPr>
        <w:t>דומה שאין צורך להכביר מילים ביחס לחומרתן של עבירות הנשק והסיכון הנשקף מהן לשלום הציבור וביטחונו, למרבה הצער עבירות בנשק חם הפכו להיות תופעה נפוצה במחוזותינו ולעיתים תכופות אנו עדי לנזקי עבירות אלו, בדמות פגיעות בגוף או בנפש, ואף אובדן חיי אדם (</w:t>
      </w:r>
      <w:hyperlink r:id="rId11" w:history="1">
        <w:r w:rsidR="0098709A" w:rsidRPr="0098709A">
          <w:rPr>
            <w:color w:val="0000FF"/>
            <w:u w:val="single"/>
            <w:rtl/>
          </w:rPr>
          <w:t>ע"פ 4456/21</w:t>
        </w:r>
      </w:hyperlink>
      <w:r>
        <w:rPr>
          <w:rFonts w:hint="cs"/>
          <w:rtl/>
        </w:rPr>
        <w:t xml:space="preserve"> </w:t>
      </w:r>
      <w:r>
        <w:rPr>
          <w:rFonts w:hint="cs"/>
          <w:b/>
          <w:bCs/>
          <w:rtl/>
        </w:rPr>
        <w:t>מדינת ישראל נ' אבו עבסה</w:t>
      </w:r>
      <w:r>
        <w:rPr>
          <w:rFonts w:hint="cs"/>
          <w:rtl/>
        </w:rPr>
        <w:t xml:space="preserve"> (23.1.2022)). נוכח מימדיה המדאיגים של התופעה נרתמו גם בתי המשפט למאבק למיגורה במדיניות ענישה בלתי מתפשרת כלפי כל עברייני הנשק, תוך מתן משקל בכורה לשיקול ההרתעתי, אף לנאשמים צעירים ונעדרי עבר פלילי: </w:t>
      </w:r>
      <w:r>
        <w:rPr>
          <w:rFonts w:hint="cs"/>
          <w:b/>
          <w:bCs/>
          <w:rtl/>
        </w:rPr>
        <w:t xml:space="preserve">"המסר העונשי הנגזר ממדיניות הענישה האמורה הוא כי שומר נפשו ושלומו – ירחק מעבירות הנשק באשר הן, קלות כחמורות" </w:t>
      </w:r>
      <w:r>
        <w:rPr>
          <w:rFonts w:hint="cs"/>
          <w:rtl/>
        </w:rPr>
        <w:t>(</w:t>
      </w:r>
      <w:hyperlink r:id="rId12" w:history="1">
        <w:r w:rsidR="0098709A" w:rsidRPr="0098709A">
          <w:rPr>
            <w:color w:val="0000FF"/>
            <w:u w:val="single"/>
            <w:rtl/>
          </w:rPr>
          <w:t>ע"פ 78/21</w:t>
        </w:r>
      </w:hyperlink>
      <w:r>
        <w:rPr>
          <w:rFonts w:hint="cs"/>
          <w:b/>
          <w:bCs/>
          <w:rtl/>
        </w:rPr>
        <w:t xml:space="preserve"> פלוני נ' מדינת ישראל </w:t>
      </w:r>
      <w:r>
        <w:rPr>
          <w:rFonts w:hint="cs"/>
          <w:rtl/>
        </w:rPr>
        <w:t>פסקה 10</w:t>
      </w:r>
      <w:r>
        <w:rPr>
          <w:rFonts w:hint="cs"/>
          <w:b/>
          <w:bCs/>
          <w:rtl/>
        </w:rPr>
        <w:t xml:space="preserve"> </w:t>
      </w:r>
      <w:r>
        <w:rPr>
          <w:rFonts w:hint="cs"/>
          <w:rtl/>
        </w:rPr>
        <w:t>(26.7.2022);</w:t>
      </w:r>
      <w:r w:rsidRPr="00C23B45">
        <w:rPr>
          <w:rFonts w:eastAsia="Calibri" w:hint="cs"/>
          <w:rtl/>
        </w:rPr>
        <w:t xml:space="preserve"> </w:t>
      </w:r>
      <w:hyperlink r:id="rId13" w:history="1">
        <w:r w:rsidR="0098709A" w:rsidRPr="0098709A">
          <w:rPr>
            <w:rFonts w:eastAsia="Calibri"/>
            <w:color w:val="0000FF"/>
            <w:u w:val="single"/>
            <w:rtl/>
          </w:rPr>
          <w:t>ע"פ 587/22</w:t>
        </w:r>
      </w:hyperlink>
      <w:r w:rsidRPr="00C23B45">
        <w:rPr>
          <w:rFonts w:eastAsia="Calibri" w:hint="cs"/>
          <w:rtl/>
        </w:rPr>
        <w:t xml:space="preserve"> </w:t>
      </w:r>
      <w:r w:rsidRPr="00C23B45">
        <w:rPr>
          <w:rFonts w:eastAsia="Calibri" w:hint="cs"/>
          <w:b/>
          <w:bCs/>
          <w:rtl/>
        </w:rPr>
        <w:t>עדאב אבו נאעסה נ' מדינת ישראל</w:t>
      </w:r>
      <w:r w:rsidRPr="00C23B45">
        <w:rPr>
          <w:rFonts w:eastAsia="Calibri" w:hint="cs"/>
          <w:rtl/>
        </w:rPr>
        <w:t xml:space="preserve"> פסקה 13 (22.5.2022)</w:t>
      </w:r>
      <w:r>
        <w:rPr>
          <w:rFonts w:hint="cs"/>
          <w:rtl/>
        </w:rPr>
        <w:t xml:space="preserve">; </w:t>
      </w:r>
      <w:hyperlink r:id="rId14" w:history="1">
        <w:r w:rsidR="0098709A" w:rsidRPr="0098709A">
          <w:rPr>
            <w:color w:val="0000FF"/>
            <w:u w:val="single"/>
            <w:rtl/>
          </w:rPr>
          <w:t>ע"פ 2482/22</w:t>
        </w:r>
      </w:hyperlink>
      <w:r>
        <w:rPr>
          <w:rFonts w:hint="cs"/>
          <w:rtl/>
        </w:rPr>
        <w:t xml:space="preserve"> </w:t>
      </w:r>
      <w:r>
        <w:rPr>
          <w:rFonts w:hint="cs"/>
          <w:b/>
          <w:bCs/>
          <w:rtl/>
        </w:rPr>
        <w:t>מדינת ישראל נ' אחמד קדורה</w:t>
      </w:r>
      <w:r>
        <w:rPr>
          <w:rFonts w:hint="cs"/>
          <w:rtl/>
        </w:rPr>
        <w:t xml:space="preserve">, פסקה 5-6 (14.4.2022); </w:t>
      </w:r>
      <w:hyperlink r:id="rId15" w:history="1">
        <w:r w:rsidR="0098709A" w:rsidRPr="0098709A">
          <w:rPr>
            <w:color w:val="0000FF"/>
            <w:u w:val="single"/>
            <w:rtl/>
          </w:rPr>
          <w:t>ע"פ 5813/21</w:t>
        </w:r>
      </w:hyperlink>
      <w:r>
        <w:rPr>
          <w:rFonts w:hint="cs"/>
          <w:rtl/>
        </w:rPr>
        <w:t xml:space="preserve"> </w:t>
      </w:r>
      <w:r>
        <w:rPr>
          <w:rFonts w:hint="cs"/>
          <w:b/>
          <w:bCs/>
          <w:rtl/>
        </w:rPr>
        <w:t>מוחמד ג'בארין נ' מדינת ישראל</w:t>
      </w:r>
      <w:r>
        <w:rPr>
          <w:rFonts w:hint="cs"/>
          <w:rtl/>
        </w:rPr>
        <w:t>, פסקה 14</w:t>
      </w:r>
      <w:r>
        <w:rPr>
          <w:rFonts w:hint="cs"/>
          <w:b/>
          <w:bCs/>
          <w:rtl/>
        </w:rPr>
        <w:t xml:space="preserve"> </w:t>
      </w:r>
      <w:r>
        <w:rPr>
          <w:rFonts w:hint="cs"/>
          <w:rtl/>
        </w:rPr>
        <w:t xml:space="preserve">(31.5.2022); </w:t>
      </w:r>
      <w:hyperlink r:id="rId16" w:history="1">
        <w:r w:rsidR="0098709A" w:rsidRPr="0098709A">
          <w:rPr>
            <w:color w:val="0000FF"/>
            <w:u w:val="single"/>
            <w:rtl/>
          </w:rPr>
          <w:t>ע"פ 6011/21</w:t>
        </w:r>
      </w:hyperlink>
      <w:r>
        <w:rPr>
          <w:rFonts w:hint="cs"/>
          <w:rtl/>
        </w:rPr>
        <w:t xml:space="preserve"> </w:t>
      </w:r>
      <w:r>
        <w:rPr>
          <w:rFonts w:hint="cs"/>
          <w:b/>
          <w:bCs/>
          <w:rtl/>
        </w:rPr>
        <w:t>חאלד דסוקי נ' מדינת ישראל</w:t>
      </w:r>
      <w:r>
        <w:rPr>
          <w:rFonts w:hint="cs"/>
          <w:rtl/>
        </w:rPr>
        <w:t xml:space="preserve">  (25.11.2021); </w:t>
      </w:r>
      <w:hyperlink r:id="rId17" w:history="1">
        <w:r w:rsidR="0098709A" w:rsidRPr="0098709A">
          <w:rPr>
            <w:color w:val="0000FF"/>
            <w:spacing w:val="10"/>
            <w:sz w:val="20"/>
            <w:u w:val="single"/>
            <w:shd w:val="clear" w:color="auto" w:fill="FFFFFF"/>
            <w:rtl/>
          </w:rPr>
          <w:t>ע"פ 8320/21</w:t>
        </w:r>
      </w:hyperlink>
      <w:r>
        <w:rPr>
          <w:rFonts w:hint="cs"/>
          <w:spacing w:val="10"/>
          <w:sz w:val="20"/>
          <w:shd w:val="clear" w:color="auto" w:fill="FFFFFF"/>
          <w:rtl/>
        </w:rPr>
        <w:t xml:space="preserve"> </w:t>
      </w:r>
      <w:r>
        <w:rPr>
          <w:rFonts w:hint="cs"/>
          <w:b/>
          <w:bCs/>
          <w:spacing w:val="10"/>
          <w:sz w:val="20"/>
          <w:shd w:val="clear" w:color="auto" w:fill="FFFFFF"/>
          <w:rtl/>
        </w:rPr>
        <w:t>מדינת ישראל נ' מחמד בסילה</w:t>
      </w:r>
      <w:r>
        <w:rPr>
          <w:rFonts w:hint="cs"/>
          <w:spacing w:val="10"/>
          <w:sz w:val="20"/>
          <w:shd w:val="clear" w:color="auto" w:fill="FFFFFF"/>
          <w:rtl/>
        </w:rPr>
        <w:t>, פסקה 10 (28.12.2021)</w:t>
      </w:r>
      <w:r>
        <w:rPr>
          <w:rFonts w:hint="cs"/>
          <w:rtl/>
        </w:rPr>
        <w:t xml:space="preserve">; </w:t>
      </w:r>
      <w:hyperlink r:id="rId18" w:history="1">
        <w:r w:rsidR="0098709A" w:rsidRPr="0098709A">
          <w:rPr>
            <w:color w:val="0000FF"/>
            <w:u w:val="single"/>
            <w:rtl/>
          </w:rPr>
          <w:t>ע"פ 2283/22</w:t>
        </w:r>
      </w:hyperlink>
      <w:r>
        <w:rPr>
          <w:rFonts w:hint="cs"/>
          <w:rtl/>
        </w:rPr>
        <w:t xml:space="preserve"> </w:t>
      </w:r>
      <w:r>
        <w:rPr>
          <w:rFonts w:hint="cs"/>
          <w:b/>
          <w:bCs/>
          <w:rtl/>
        </w:rPr>
        <w:t>אל נבארי נ' מדינת ישראל</w:t>
      </w:r>
      <w:r>
        <w:rPr>
          <w:rFonts w:hint="cs"/>
          <w:rtl/>
        </w:rPr>
        <w:t xml:space="preserve"> (31.7.2022); </w:t>
      </w:r>
      <w:hyperlink r:id="rId19" w:history="1">
        <w:r w:rsidR="0098709A" w:rsidRPr="0098709A">
          <w:rPr>
            <w:color w:val="0000FF"/>
            <w:u w:val="single"/>
            <w:rtl/>
          </w:rPr>
          <w:t>ע"פ 78/21</w:t>
        </w:r>
      </w:hyperlink>
      <w:r>
        <w:rPr>
          <w:rFonts w:hint="cs"/>
          <w:rtl/>
        </w:rPr>
        <w:t xml:space="preserve"> </w:t>
      </w:r>
      <w:r>
        <w:rPr>
          <w:rFonts w:hint="cs"/>
          <w:b/>
          <w:bCs/>
          <w:rtl/>
        </w:rPr>
        <w:t>פלוני נ' מדינת</w:t>
      </w:r>
      <w:r>
        <w:rPr>
          <w:rFonts w:hint="cs"/>
          <w:rtl/>
        </w:rPr>
        <w:t xml:space="preserve"> </w:t>
      </w:r>
      <w:r>
        <w:rPr>
          <w:rFonts w:hint="cs"/>
          <w:b/>
          <w:bCs/>
          <w:rtl/>
        </w:rPr>
        <w:t>ישראל</w:t>
      </w:r>
      <w:r>
        <w:rPr>
          <w:rFonts w:hint="cs"/>
          <w:rtl/>
        </w:rPr>
        <w:t xml:space="preserve"> (26.7.2022)). בהקשר זה נזכיר את התיקון לחוק (תיקון 140-הוראה שעה) התשפ"ב-2021, אשר אמנם אינו חל בענייננו אך רוחו שורה גם על עבירות שבוצעו בתקופות קודמות לו ומשקפת את רצון המחוקק בהחמרת הענישה בעבירות ממין דא.</w:t>
      </w:r>
    </w:p>
    <w:p w14:paraId="61CB8A5E" w14:textId="77777777" w:rsidR="00C23B45" w:rsidRDefault="00C23B45" w:rsidP="00C23B45">
      <w:pPr>
        <w:pStyle w:val="aa"/>
        <w:ind w:left="84" w:hanging="425"/>
        <w:rPr>
          <w:color w:val="000000"/>
          <w:spacing w:val="10"/>
          <w:rtl/>
        </w:rPr>
      </w:pPr>
    </w:p>
    <w:p w14:paraId="58882984" w14:textId="77777777" w:rsidR="00C23B45" w:rsidRDefault="00C23B45" w:rsidP="00C23B45">
      <w:pPr>
        <w:pStyle w:val="aa"/>
        <w:numPr>
          <w:ilvl w:val="0"/>
          <w:numId w:val="3"/>
        </w:numPr>
        <w:spacing w:after="160" w:line="360" w:lineRule="auto"/>
        <w:ind w:left="84" w:hanging="425"/>
        <w:jc w:val="both"/>
        <w:rPr>
          <w:rtl/>
        </w:rPr>
      </w:pPr>
      <w:r>
        <w:rPr>
          <w:rFonts w:hint="cs"/>
          <w:rtl/>
        </w:rPr>
        <w:t>בענייננו,</w:t>
      </w:r>
      <w:r>
        <w:rPr>
          <w:rFonts w:ascii="Times New Roman" w:eastAsia="Times New Roman" w:hAnsi="Times New Roman" w:hint="cs"/>
          <w:rtl/>
        </w:rPr>
        <w:t xml:space="preserve"> </w:t>
      </w:r>
      <w:r>
        <w:rPr>
          <w:rFonts w:hint="cs"/>
          <w:rtl/>
        </w:rPr>
        <w:t xml:space="preserve">הנאשם נשא אקדח טעון ברכבו בעיר טייבה. לא הובהר כיצד הגיע האקדח לחזקתו, ואף מטרת הנשיאה והרקע לביצועה נותרו עמומים, וככל הנראה קשורים למעורבותו באותה התקופה בחברה שולית. </w:t>
      </w:r>
      <w:r>
        <w:rPr>
          <w:rFonts w:ascii="Times New Roman" w:eastAsia="Times New Roman" w:hAnsi="Times New Roman" w:hint="cs"/>
          <w:rtl/>
        </w:rPr>
        <w:t xml:space="preserve">פוטנציאל הנזק הגלום בנשיאת אקדח טעון בסביבת מגורים הוא רב, </w:t>
      </w:r>
      <w:r>
        <w:rPr>
          <w:rFonts w:hint="cs"/>
          <w:rtl/>
        </w:rPr>
        <w:t xml:space="preserve">זמינותו של הנשק מעלה את הסיכון שיעשה בו שימוש למטרות פסולות, </w:t>
      </w:r>
      <w:r>
        <w:rPr>
          <w:rFonts w:ascii="Times New Roman" w:eastAsia="Times New Roman" w:hAnsi="Times New Roman" w:hint="cs"/>
          <w:rtl/>
        </w:rPr>
        <w:t xml:space="preserve">ולמרבה הצער הנאשם למד על בשרו את הסכנות הטמונות בו ומתמודד כיום עם נזקי פציעת ירי חמורה. </w:t>
      </w:r>
    </w:p>
    <w:p w14:paraId="7AAD7FF8" w14:textId="77777777" w:rsidR="00C23B45" w:rsidRDefault="00C23B45" w:rsidP="00C23B45">
      <w:pPr>
        <w:pStyle w:val="aa"/>
        <w:spacing w:after="160" w:line="360" w:lineRule="auto"/>
        <w:ind w:left="84" w:hanging="425"/>
        <w:jc w:val="both"/>
        <w:rPr>
          <w:rtl/>
        </w:rPr>
      </w:pPr>
    </w:p>
    <w:p w14:paraId="6D13572F" w14:textId="77777777" w:rsidR="00C23B45" w:rsidRDefault="00C23B45" w:rsidP="00C23B45">
      <w:pPr>
        <w:pStyle w:val="aa"/>
        <w:numPr>
          <w:ilvl w:val="0"/>
          <w:numId w:val="3"/>
        </w:numPr>
        <w:spacing w:after="120" w:line="360" w:lineRule="auto"/>
        <w:ind w:left="84" w:hanging="425"/>
        <w:jc w:val="both"/>
        <w:textAlignment w:val="baseline"/>
        <w:rPr>
          <w:rFonts w:ascii="Times New Roman" w:eastAsia="Times New Roman" w:hAnsi="Times New Roman"/>
          <w:rtl/>
        </w:rPr>
      </w:pPr>
      <w:r>
        <w:rPr>
          <w:rFonts w:ascii="Times New Roman" w:eastAsia="Times New Roman" w:hAnsi="Times New Roman" w:hint="cs"/>
          <w:rtl/>
        </w:rPr>
        <w:t xml:space="preserve">בחינת מידת פגיעת מעשי הנאשם בערכים המוגנים מובילה למסקנה כי היא </w:t>
      </w:r>
      <w:r>
        <w:rPr>
          <w:rFonts w:ascii="Times New Roman" w:eastAsia="Times New Roman" w:hAnsi="Times New Roman" w:hint="cs"/>
          <w:b/>
          <w:bCs/>
          <w:rtl/>
        </w:rPr>
        <w:t>ברף הבינוני</w:t>
      </w:r>
      <w:r>
        <w:rPr>
          <w:rFonts w:ascii="Times New Roman" w:eastAsia="Times New Roman" w:hAnsi="Times New Roman" w:hint="cs"/>
          <w:rtl/>
        </w:rPr>
        <w:t>. בהקשר זה נתתי דעתי</w:t>
      </w:r>
      <w:r>
        <w:rPr>
          <w:rFonts w:ascii="Times New Roman" w:eastAsia="Times New Roman" w:hAnsi="Times New Roman" w:hint="cs"/>
          <w:b/>
          <w:bCs/>
          <w:rtl/>
        </w:rPr>
        <w:t xml:space="preserve"> </w:t>
      </w:r>
      <w:r>
        <w:rPr>
          <w:rFonts w:ascii="Times New Roman" w:eastAsia="Times New Roman" w:hAnsi="Times New Roman" w:hint="cs"/>
          <w:rtl/>
        </w:rPr>
        <w:t xml:space="preserve">לסוג הנשק, הובלתו ברכב ברחבי עיר והחזקת תחמושת תואמת ולכך שלא יוחס לו שימוש בנשק או תכנון עבירה פלילית באמצעותו. </w:t>
      </w:r>
    </w:p>
    <w:p w14:paraId="1A049D4A" w14:textId="77777777" w:rsidR="00C23B45" w:rsidRDefault="00C23B45" w:rsidP="00C23B45">
      <w:pPr>
        <w:pStyle w:val="aa"/>
        <w:spacing w:after="120" w:line="360" w:lineRule="auto"/>
        <w:ind w:left="84" w:hanging="425"/>
        <w:jc w:val="both"/>
        <w:rPr>
          <w:rFonts w:ascii="Times New Roman" w:eastAsia="Times New Roman" w:hAnsi="Times New Roman"/>
          <w:rtl/>
        </w:rPr>
      </w:pPr>
    </w:p>
    <w:p w14:paraId="3E12D30F" w14:textId="77777777" w:rsidR="00C23B45" w:rsidRDefault="00C23B45" w:rsidP="00C23B45">
      <w:pPr>
        <w:spacing w:line="360" w:lineRule="auto"/>
        <w:ind w:left="84" w:hanging="425"/>
        <w:rPr>
          <w:rtl/>
        </w:rPr>
      </w:pPr>
      <w:r>
        <w:rPr>
          <w:rFonts w:hint="cs"/>
          <w:b/>
          <w:bCs/>
          <w:u w:val="single"/>
          <w:rtl/>
        </w:rPr>
        <w:t>מדיניות הענישה הנוהגת</w:t>
      </w:r>
    </w:p>
    <w:p w14:paraId="7337C29C" w14:textId="77777777" w:rsidR="00C23B45" w:rsidRPr="00C23B45" w:rsidRDefault="00C23B45" w:rsidP="00C23B45">
      <w:pPr>
        <w:pStyle w:val="aa"/>
        <w:numPr>
          <w:ilvl w:val="0"/>
          <w:numId w:val="3"/>
        </w:numPr>
        <w:spacing w:line="360" w:lineRule="auto"/>
        <w:ind w:left="84" w:hanging="425"/>
        <w:jc w:val="both"/>
        <w:rPr>
          <w:rFonts w:ascii="Calibri"/>
          <w:b/>
          <w:bCs/>
          <w:rtl/>
        </w:rPr>
      </w:pPr>
      <w:r>
        <w:rPr>
          <w:rFonts w:hint="cs"/>
          <w:rtl/>
        </w:rPr>
        <w:t xml:space="preserve">בפסיקה ענפה הושתו על נושאי נשק עונשי מאסר מאחורי סורג ובריח לתקופות לא קצרות. הפסיקה אינה מקלה עם נאשמים צעירים שזו להם הסתבכותם הראשונה עם החוק, אף בעבירות שבוצעו בנסיבות ברף חומרה שאינו גבוה. עוד נקבע בהקשר זה, כי אין מקום להקלה גם מקום שסיבת החזקת הנשק או השימוש בו, אינם ידועים: </w:t>
      </w:r>
      <w:r w:rsidRPr="00C23B45">
        <w:rPr>
          <w:rFonts w:ascii="Calibri" w:hint="cs"/>
          <w:b/>
          <w:bCs/>
          <w:rtl/>
        </w:rPr>
        <w:t>"יש להחמיר בענישה בגין עבירות בנשק ש"יעדו הסופי" אינו נהיר. לצערנו, בשנים האחרונות מורגשת עלייה בעבירות נשק, והחברה משלמת על כך מחיר כבד. במחיר זה נושאים, יותר ויותר, גם אזרחים נורמטיביים, שאינם מעורבים בעולם העברייני בכלל, ובעולם הנשק בפרט. ההיקף הגדול של עבירות הנשק הופך את המרחב הציבורי למקום מסוכן יותר ובטוח פחות"</w:t>
      </w:r>
      <w:r w:rsidRPr="00C23B45">
        <w:rPr>
          <w:rFonts w:ascii="Calibri" w:hint="cs"/>
          <w:rtl/>
        </w:rPr>
        <w:t xml:space="preserve"> </w:t>
      </w:r>
      <w:r w:rsidRPr="00C23B45">
        <w:rPr>
          <w:rFonts w:ascii="Calibri" w:eastAsia="Calibri" w:hAnsi="Calibri" w:hint="cs"/>
          <w:rtl/>
        </w:rPr>
        <w:t>(</w:t>
      </w:r>
      <w:hyperlink r:id="rId20" w:history="1">
        <w:r w:rsidR="0098709A" w:rsidRPr="0098709A">
          <w:rPr>
            <w:rFonts w:ascii="Calibri" w:eastAsia="Calibri" w:hAnsi="Calibri" w:hint="cs"/>
            <w:color w:val="0000FF"/>
            <w:u w:val="single"/>
            <w:rtl/>
          </w:rPr>
          <w:t>ע</w:t>
        </w:r>
        <w:r w:rsidR="0098709A" w:rsidRPr="0098709A">
          <w:rPr>
            <w:rFonts w:ascii="Calibri" w:eastAsia="Calibri" w:hAnsi="Calibri"/>
            <w:color w:val="0000FF"/>
            <w:u w:val="single"/>
            <w:rtl/>
          </w:rPr>
          <w:t>"</w:t>
        </w:r>
        <w:r w:rsidR="0098709A" w:rsidRPr="0098709A">
          <w:rPr>
            <w:rFonts w:ascii="Calibri" w:eastAsia="Calibri" w:hAnsi="Calibri" w:hint="cs"/>
            <w:color w:val="0000FF"/>
            <w:u w:val="single"/>
            <w:rtl/>
          </w:rPr>
          <w:t>פ</w:t>
        </w:r>
        <w:r w:rsidR="0098709A" w:rsidRPr="0098709A">
          <w:rPr>
            <w:rFonts w:ascii="Calibri" w:eastAsia="Calibri" w:hAnsi="Calibri"/>
            <w:color w:val="0000FF"/>
            <w:u w:val="single"/>
            <w:rtl/>
          </w:rPr>
          <w:t xml:space="preserve"> 2101/21</w:t>
        </w:r>
      </w:hyperlink>
      <w:r w:rsidRPr="00C23B45">
        <w:rPr>
          <w:rFonts w:ascii="Calibri" w:eastAsia="Calibri" w:hAnsi="Calibri" w:hint="cs"/>
          <w:rtl/>
        </w:rPr>
        <w:t xml:space="preserve"> </w:t>
      </w:r>
      <w:r w:rsidRPr="00C23B45">
        <w:rPr>
          <w:rFonts w:ascii="Calibri" w:eastAsia="Calibri" w:hAnsi="Calibri" w:hint="cs"/>
          <w:b/>
          <w:bCs/>
          <w:rtl/>
        </w:rPr>
        <w:t>תומר טוביה נ' מדינת ישראל</w:t>
      </w:r>
      <w:r w:rsidRPr="00C23B45">
        <w:rPr>
          <w:rFonts w:ascii="Calibri" w:eastAsia="Calibri" w:hAnsi="Calibri" w:hint="cs"/>
          <w:rtl/>
        </w:rPr>
        <w:t>, פסקה 2 (29.7.2021).</w:t>
      </w:r>
    </w:p>
    <w:p w14:paraId="3D31C48C" w14:textId="77777777" w:rsidR="00C23B45" w:rsidRPr="00C23B45" w:rsidRDefault="00C23B45" w:rsidP="00C23B45">
      <w:pPr>
        <w:pStyle w:val="aa"/>
        <w:spacing w:line="360" w:lineRule="auto"/>
        <w:ind w:left="84"/>
        <w:jc w:val="both"/>
        <w:rPr>
          <w:rFonts w:ascii="Calibri" w:eastAsia="Calibri" w:hAnsi="Calibri"/>
        </w:rPr>
      </w:pPr>
    </w:p>
    <w:p w14:paraId="394DFBA9" w14:textId="77777777" w:rsidR="00C23B45" w:rsidRPr="00C23B45" w:rsidRDefault="00C23B45" w:rsidP="00C23B45">
      <w:pPr>
        <w:pStyle w:val="aa"/>
        <w:spacing w:line="360" w:lineRule="auto"/>
        <w:ind w:left="84"/>
        <w:jc w:val="both"/>
        <w:rPr>
          <w:rFonts w:ascii="Calibri"/>
          <w:rtl/>
        </w:rPr>
      </w:pPr>
      <w:r w:rsidRPr="00C23B45">
        <w:rPr>
          <w:rFonts w:ascii="Calibri" w:eastAsia="Calibri" w:hAnsi="Calibri" w:hint="cs"/>
          <w:rtl/>
        </w:rPr>
        <w:t xml:space="preserve">מדיניות הפסיקה בעבירות נשק מהעת האחרונה מלמדת על מגמת החמרה עקבית ומשמעותית, כשמתחם הענישה בעבירה של נשיאת/הובלת נשק נע בין </w:t>
      </w:r>
      <w:r w:rsidRPr="00C23B45">
        <w:rPr>
          <w:rFonts w:ascii="Calibri" w:hint="cs"/>
          <w:b/>
          <w:bCs/>
          <w:rtl/>
        </w:rPr>
        <w:t>20-40 חודשי מאסר</w:t>
      </w:r>
      <w:r w:rsidRPr="00C23B45">
        <w:rPr>
          <w:rFonts w:ascii="Calibri" w:hint="cs"/>
          <w:rtl/>
        </w:rPr>
        <w:t xml:space="preserve"> תלוי נסיבות המעשה וסוג הנשק:</w:t>
      </w:r>
    </w:p>
    <w:p w14:paraId="7FBC6333" w14:textId="77777777" w:rsidR="00C23B45" w:rsidRDefault="00C23B45" w:rsidP="00C23B45">
      <w:pPr>
        <w:pStyle w:val="aa"/>
        <w:spacing w:after="160" w:line="360" w:lineRule="auto"/>
        <w:ind w:left="84"/>
        <w:jc w:val="both"/>
        <w:rPr>
          <w:rtl/>
        </w:rPr>
      </w:pPr>
    </w:p>
    <w:p w14:paraId="79368F70" w14:textId="77777777" w:rsidR="00C23B45" w:rsidRDefault="00C23B45" w:rsidP="00C23B45">
      <w:pPr>
        <w:pStyle w:val="aa"/>
        <w:spacing w:after="160" w:line="360" w:lineRule="auto"/>
        <w:ind w:left="84"/>
        <w:jc w:val="both"/>
      </w:pPr>
      <w:r>
        <w:rPr>
          <w:rFonts w:hint="cs"/>
          <w:rtl/>
        </w:rPr>
        <w:t>ב</w:t>
      </w:r>
      <w:hyperlink r:id="rId21" w:history="1">
        <w:r w:rsidR="0098709A" w:rsidRPr="0098709A">
          <w:rPr>
            <w:color w:val="0000FF"/>
            <w:u w:val="single"/>
            <w:rtl/>
          </w:rPr>
          <w:t>ע"פ 166/22</w:t>
        </w:r>
      </w:hyperlink>
      <w:r>
        <w:rPr>
          <w:rFonts w:hint="cs"/>
          <w:rtl/>
        </w:rPr>
        <w:t xml:space="preserve"> </w:t>
      </w:r>
      <w:r>
        <w:rPr>
          <w:rFonts w:hint="cs"/>
          <w:b/>
          <w:bCs/>
          <w:rtl/>
        </w:rPr>
        <w:t>מוחמד טאהא נ' מדינת ישראל</w:t>
      </w:r>
      <w:r>
        <w:rPr>
          <w:rFonts w:hint="cs"/>
          <w:rtl/>
        </w:rPr>
        <w:t xml:space="preserve"> (1.6.2022), נדחה ערעורו של נאשם שהורשע בכך שהוביל ברכב, לבקשת חברו, שקית ובתוכה תת-מקלע מאולתר ותחמושת. בית המשפט המחוזי קבע מתחם הנע בין 40-20 חודשי מאסר בפועל. הנאשם, ללא עבר, נדון למאסר בן 22 חודשים. ערעורו של הנאשם נדחה תוך שנקבע, והדברים יפים גם לענייננו,  כי "</w:t>
      </w:r>
      <w:r>
        <w:rPr>
          <w:rFonts w:hint="cs"/>
          <w:b/>
          <w:bCs/>
          <w:rtl/>
        </w:rPr>
        <w:t>ההסעה ה'תמימה' של נשק מסוג תת-מקלע מנקודה א' לנקודה ב', נועדה בסבירות גבוהה לסייע לביצוע פשע, ורק בנס, ובזכות תושייתו של השוטר שערך את החיפוש ברכב התמים למראה, הסתיים האירוע ללא נפגעים</w:t>
      </w:r>
      <w:r>
        <w:rPr>
          <w:rFonts w:hint="cs"/>
          <w:rtl/>
        </w:rPr>
        <w:t xml:space="preserve">" (שם, פ' 11). </w:t>
      </w:r>
    </w:p>
    <w:p w14:paraId="3D29BBE4" w14:textId="77777777" w:rsidR="00C23B45" w:rsidRDefault="00C23B45" w:rsidP="00C23B45">
      <w:pPr>
        <w:pStyle w:val="aa"/>
        <w:spacing w:line="360" w:lineRule="auto"/>
        <w:ind w:left="84"/>
        <w:jc w:val="both"/>
        <w:rPr>
          <w:rFonts w:ascii="Times New Roman" w:hAnsi="Times New Roman"/>
        </w:rPr>
      </w:pPr>
    </w:p>
    <w:p w14:paraId="0519EB94" w14:textId="77777777" w:rsidR="00C23B45" w:rsidRDefault="00C23B45" w:rsidP="00C23B45">
      <w:pPr>
        <w:pStyle w:val="aa"/>
        <w:spacing w:line="360" w:lineRule="auto"/>
        <w:ind w:left="84"/>
        <w:jc w:val="both"/>
        <w:rPr>
          <w:rtl/>
        </w:rPr>
      </w:pPr>
      <w:r>
        <w:rPr>
          <w:rFonts w:hint="cs"/>
          <w:rtl/>
        </w:rPr>
        <w:t>ב</w:t>
      </w:r>
      <w:hyperlink r:id="rId22" w:history="1">
        <w:r w:rsidR="0098709A" w:rsidRPr="0098709A">
          <w:rPr>
            <w:color w:val="0000FF"/>
            <w:u w:val="single"/>
            <w:rtl/>
          </w:rPr>
          <w:t>ע"פ 1695/22</w:t>
        </w:r>
      </w:hyperlink>
      <w:r>
        <w:rPr>
          <w:rFonts w:hint="cs"/>
          <w:rtl/>
        </w:rPr>
        <w:t xml:space="preserve"> </w:t>
      </w:r>
      <w:r>
        <w:rPr>
          <w:rFonts w:hint="cs"/>
          <w:b/>
          <w:bCs/>
          <w:rtl/>
        </w:rPr>
        <w:t>מדינת ישראל נ' גנאים ואח'</w:t>
      </w:r>
      <w:r>
        <w:rPr>
          <w:rFonts w:hint="cs"/>
          <w:rtl/>
        </w:rPr>
        <w:t xml:space="preserve"> (29.3.22) קיבל בית המשפט העליון את ערעור מדינה כנגד קולת עונשיהם של שני נאשמים צעירים שהורשעו בעבירות נשק. נאשם 1, ללא עבר פלילי, נהג ברכב, כשהוא מוביל תת-מקלע מאולתר לצד מחסנית מאולתרת תואמת.  בית המשפט המחוזי קבע בענייננו מתחם הנע בין 36-19 חודשי מאסר והעמיד את עונשו בתחתית המתחם, עונשו הוחמר, מבלי למצות את חומרת הדין, ל-22 חודשי מאסר. אשר לנאשם 2,  בן 18, שהצטרף לנסיעה והורשע גם בכך שתקף שוטר, נקבע כי העונש שנגזר עליו, מאסר בן 10 חודשים,  חורג לקולא באופן קיצוני, ועונשו הוחמר ל-22 חודשי מאסר;</w:t>
      </w:r>
    </w:p>
    <w:p w14:paraId="4E6F46C2" w14:textId="77777777" w:rsidR="00C23B45" w:rsidRDefault="00C23B45" w:rsidP="00C23B45">
      <w:pPr>
        <w:pStyle w:val="aa"/>
        <w:spacing w:after="160" w:line="360" w:lineRule="auto"/>
        <w:ind w:left="84"/>
        <w:jc w:val="both"/>
      </w:pPr>
    </w:p>
    <w:p w14:paraId="1DFA70F2" w14:textId="77777777" w:rsidR="00C23B45" w:rsidRPr="00C23B45" w:rsidRDefault="00C23B45" w:rsidP="00C23B45">
      <w:pPr>
        <w:pStyle w:val="aa"/>
        <w:spacing w:line="360" w:lineRule="auto"/>
        <w:ind w:left="84"/>
        <w:jc w:val="both"/>
        <w:rPr>
          <w:rFonts w:ascii="Calibri"/>
          <w:rtl/>
        </w:rPr>
      </w:pPr>
      <w:r w:rsidRPr="00C23B45">
        <w:rPr>
          <w:rFonts w:ascii="Calibri" w:hint="cs"/>
          <w:rtl/>
        </w:rPr>
        <w:t>ב</w:t>
      </w:r>
      <w:hyperlink r:id="rId23" w:history="1">
        <w:r w:rsidR="0098709A" w:rsidRPr="0098709A">
          <w:rPr>
            <w:rFonts w:ascii="Calibri"/>
            <w:color w:val="0000FF"/>
            <w:u w:val="single"/>
            <w:rtl/>
          </w:rPr>
          <w:t>ע"פ 5602/22</w:t>
        </w:r>
      </w:hyperlink>
      <w:r w:rsidRPr="00C23B45">
        <w:rPr>
          <w:rFonts w:ascii="Calibri" w:hint="cs"/>
          <w:rtl/>
        </w:rPr>
        <w:t xml:space="preserve"> </w:t>
      </w:r>
      <w:r w:rsidRPr="00C23B45">
        <w:rPr>
          <w:rFonts w:ascii="Calibri" w:hint="cs"/>
          <w:b/>
          <w:bCs/>
          <w:rtl/>
        </w:rPr>
        <w:t xml:space="preserve">מדינת ישראל נ' פלוני </w:t>
      </w:r>
      <w:r w:rsidRPr="00C23B45">
        <w:rPr>
          <w:rFonts w:ascii="Calibri" w:hint="cs"/>
          <w:rtl/>
        </w:rPr>
        <w:t xml:space="preserve">(14.9.22) שניתן לאחרונה, התקבל ערעור מדינה בעניינו של תושב האזור, שנשא אקדח טעון ברכב והתנגד למעצר,  נגזרו עליו 18 חודשי מאסר. </w:t>
      </w:r>
      <w:r>
        <w:rPr>
          <w:rFonts w:hint="cs"/>
          <w:rtl/>
        </w:rPr>
        <w:t xml:space="preserve">בית המשפט (כב' השופט שטיין) קבע מתחם ענישה ראוי שנע בין 30-42 חודשי מאסר. עונשו של המשיב, ללא עבר, הוחמר למאסר בן 28 חודשים; </w:t>
      </w:r>
    </w:p>
    <w:p w14:paraId="2BCBC00B" w14:textId="77777777" w:rsidR="00C23B45" w:rsidRPr="00C23B45" w:rsidRDefault="00C23B45" w:rsidP="00C23B45">
      <w:pPr>
        <w:pStyle w:val="aa"/>
        <w:spacing w:line="360" w:lineRule="auto"/>
        <w:ind w:left="84"/>
        <w:jc w:val="both"/>
        <w:rPr>
          <w:rFonts w:ascii="Calibri"/>
          <w:rtl/>
        </w:rPr>
      </w:pPr>
    </w:p>
    <w:p w14:paraId="42932E74" w14:textId="77777777" w:rsidR="00C23B45" w:rsidRDefault="00C23B45" w:rsidP="00C23B45">
      <w:pPr>
        <w:pStyle w:val="aa"/>
        <w:spacing w:after="160" w:line="360" w:lineRule="auto"/>
        <w:ind w:left="84"/>
        <w:jc w:val="both"/>
        <w:rPr>
          <w:rtl/>
        </w:rPr>
      </w:pPr>
      <w:r>
        <w:rPr>
          <w:rFonts w:hint="cs"/>
          <w:rtl/>
        </w:rPr>
        <w:t>ב</w:t>
      </w:r>
      <w:hyperlink r:id="rId24" w:history="1">
        <w:r w:rsidR="0098709A" w:rsidRPr="0098709A">
          <w:rPr>
            <w:color w:val="0000FF"/>
            <w:u w:val="single"/>
            <w:rtl/>
          </w:rPr>
          <w:t>ע"פ 6021/21</w:t>
        </w:r>
      </w:hyperlink>
      <w:r>
        <w:rPr>
          <w:rFonts w:hint="cs"/>
          <w:rtl/>
        </w:rPr>
        <w:t xml:space="preserve"> </w:t>
      </w:r>
      <w:r>
        <w:rPr>
          <w:rFonts w:hint="cs"/>
          <w:b/>
          <w:bCs/>
          <w:rtl/>
        </w:rPr>
        <w:t>עבוד נ' מדינת ישראל</w:t>
      </w:r>
      <w:r>
        <w:rPr>
          <w:rFonts w:hint="cs"/>
          <w:rtl/>
        </w:rPr>
        <w:t xml:space="preserve"> (19.12.21) נדחה ערעור נאשם, ללא עבר פלילי,  שהורשע בנשיאת נשק מסוג 16-</w:t>
      </w:r>
      <w:r>
        <w:t>M</w:t>
      </w:r>
      <w:r>
        <w:rPr>
          <w:rFonts w:hint="cs"/>
          <w:rtl/>
        </w:rPr>
        <w:t xml:space="preserve"> והפרעה לשוטר ונדון למאסר בן 30 חודשים. נקבע בעניינו מתחם ענישה הנע בין 50-24 חודשי מאסר;</w:t>
      </w:r>
    </w:p>
    <w:p w14:paraId="2369E46B" w14:textId="77777777" w:rsidR="00C23B45" w:rsidRDefault="00C23B45" w:rsidP="00C23B45">
      <w:pPr>
        <w:pStyle w:val="aa"/>
        <w:spacing w:after="160" w:line="360" w:lineRule="auto"/>
        <w:ind w:left="84"/>
        <w:jc w:val="both"/>
        <w:rPr>
          <w:rtl/>
        </w:rPr>
      </w:pPr>
    </w:p>
    <w:p w14:paraId="306CB344" w14:textId="77777777" w:rsidR="00C23B45" w:rsidRDefault="00C23B45" w:rsidP="00C23B45">
      <w:pPr>
        <w:spacing w:line="360" w:lineRule="auto"/>
        <w:ind w:left="84"/>
        <w:contextualSpacing/>
        <w:jc w:val="both"/>
        <w:rPr>
          <w:rtl/>
        </w:rPr>
      </w:pPr>
      <w:r>
        <w:rPr>
          <w:rFonts w:hint="cs"/>
          <w:rtl/>
        </w:rPr>
        <w:t>ב</w:t>
      </w:r>
      <w:hyperlink r:id="rId25" w:history="1">
        <w:r w:rsidR="0098709A" w:rsidRPr="0098709A">
          <w:rPr>
            <w:color w:val="0000FF"/>
            <w:u w:val="single"/>
            <w:rtl/>
          </w:rPr>
          <w:t>ע"פ 2033/21</w:t>
        </w:r>
      </w:hyperlink>
      <w:r>
        <w:rPr>
          <w:rFonts w:hint="cs"/>
          <w:rtl/>
        </w:rPr>
        <w:t xml:space="preserve"> </w:t>
      </w:r>
      <w:r>
        <w:rPr>
          <w:rFonts w:hint="cs"/>
          <w:b/>
          <w:bCs/>
          <w:rtl/>
        </w:rPr>
        <w:t>זועבי נ' מדינת ישראל</w:t>
      </w:r>
      <w:r>
        <w:rPr>
          <w:rFonts w:hint="cs"/>
          <w:rtl/>
        </w:rPr>
        <w:t xml:space="preserve"> ((30.8.21) נדחה ערעורו המערער, בן 51, ללא עבר, חולה טרשת נפוצה שנדון בגין נשיאת שני אקדחים על רקע סכסוך פעיל למאסר בן 24 חודשים. נקבע כי סולחה שנערכה בין המשפחות ומצבו הרפואי לא מצדיקים חריגה לקולא מהמתחם;   </w:t>
      </w:r>
    </w:p>
    <w:p w14:paraId="5525FBBD" w14:textId="77777777" w:rsidR="00C23B45" w:rsidRDefault="00C23B45" w:rsidP="00C23B45">
      <w:pPr>
        <w:spacing w:line="360" w:lineRule="auto"/>
        <w:ind w:left="84"/>
        <w:contextualSpacing/>
        <w:jc w:val="both"/>
        <w:rPr>
          <w:rtl/>
        </w:rPr>
      </w:pPr>
    </w:p>
    <w:p w14:paraId="2D3758CE" w14:textId="77777777" w:rsidR="00C23B45" w:rsidRDefault="00C23B45" w:rsidP="00C23B45">
      <w:pPr>
        <w:spacing w:line="360" w:lineRule="auto"/>
        <w:ind w:left="84"/>
        <w:contextualSpacing/>
        <w:jc w:val="both"/>
        <w:rPr>
          <w:rtl/>
        </w:rPr>
      </w:pPr>
      <w:r>
        <w:rPr>
          <w:rFonts w:hint="cs"/>
          <w:rtl/>
        </w:rPr>
        <w:t>ב</w:t>
      </w:r>
      <w:hyperlink r:id="rId26" w:history="1">
        <w:r w:rsidR="0098709A" w:rsidRPr="0098709A">
          <w:rPr>
            <w:color w:val="0000FF"/>
            <w:u w:val="single"/>
            <w:rtl/>
          </w:rPr>
          <w:t>ע"פ 930/22</w:t>
        </w:r>
      </w:hyperlink>
      <w:r>
        <w:rPr>
          <w:rFonts w:hint="cs"/>
          <w:rtl/>
        </w:rPr>
        <w:t xml:space="preserve"> </w:t>
      </w:r>
      <w:r>
        <w:rPr>
          <w:rFonts w:hint="cs"/>
          <w:b/>
          <w:bCs/>
          <w:rtl/>
        </w:rPr>
        <w:t xml:space="preserve">חטיב נ' מדינת ישראל </w:t>
      </w:r>
      <w:r>
        <w:rPr>
          <w:rFonts w:hint="cs"/>
          <w:rtl/>
        </w:rPr>
        <w:t xml:space="preserve">(31.7.22) נדחה ערעור נאשם אשר זוכה מעבירת סחר באקדח ומחסנית ריקה, והורשע חלף זאת בנשיאת והובלת האקדח ברכבו. בית המשפט המחוזי קבע מתחם ענישה הנע בין 30-16 חודשי מאסר. נדון למאסר בן 23 חודשים; </w:t>
      </w:r>
    </w:p>
    <w:p w14:paraId="3F5693D4" w14:textId="77777777" w:rsidR="00C23B45" w:rsidRDefault="00C23B45" w:rsidP="00C23B45">
      <w:pPr>
        <w:spacing w:line="360" w:lineRule="auto"/>
        <w:ind w:left="84"/>
        <w:jc w:val="both"/>
        <w:rPr>
          <w:rFonts w:ascii="Century" w:hAnsi="Century" w:cs="FrankRuehl"/>
          <w:spacing w:val="10"/>
          <w:szCs w:val="28"/>
          <w:rtl/>
        </w:rPr>
      </w:pPr>
    </w:p>
    <w:p w14:paraId="7772004F" w14:textId="77777777" w:rsidR="00C23B45" w:rsidRDefault="00C23B45" w:rsidP="00C23B45">
      <w:pPr>
        <w:pStyle w:val="aa"/>
        <w:spacing w:after="160" w:line="360" w:lineRule="auto"/>
        <w:ind w:left="84"/>
        <w:jc w:val="both"/>
        <w:rPr>
          <w:rtl/>
        </w:rPr>
      </w:pPr>
      <w:r>
        <w:rPr>
          <w:rFonts w:hint="cs"/>
          <w:rtl/>
        </w:rPr>
        <w:t>ב</w:t>
      </w:r>
      <w:hyperlink r:id="rId27" w:history="1">
        <w:r w:rsidR="0098709A" w:rsidRPr="0098709A">
          <w:rPr>
            <w:color w:val="0000FF"/>
            <w:u w:val="single"/>
            <w:rtl/>
          </w:rPr>
          <w:t>ע"פ 2283/22</w:t>
        </w:r>
      </w:hyperlink>
      <w:r>
        <w:rPr>
          <w:rFonts w:hint="cs"/>
          <w:rtl/>
        </w:rPr>
        <w:t xml:space="preserve"> </w:t>
      </w:r>
      <w:r>
        <w:rPr>
          <w:rFonts w:hint="cs"/>
          <w:b/>
          <w:bCs/>
          <w:rtl/>
        </w:rPr>
        <w:t>אל נבארי נ' מדינת ישראל</w:t>
      </w:r>
      <w:r>
        <w:rPr>
          <w:rFonts w:hint="cs"/>
          <w:rtl/>
        </w:rPr>
        <w:t xml:space="preserve"> (31.7.22) נדחה ערעור המערער, ללא עבר, שנשא אקדח ומחסנית ריקה מוסלקים ברכבו, לאחר שהחזיקם במשך שנה וחצי לפחות. בית המשפט המחוזי קבע מתחם ענישה הנע בין 40-18 חודשי מאסר. נדון למאסר בן 18 חודשים.</w:t>
      </w:r>
    </w:p>
    <w:p w14:paraId="6B82BDCC" w14:textId="77777777" w:rsidR="00C23B45" w:rsidRDefault="00C23B45" w:rsidP="00C23B45">
      <w:pPr>
        <w:pStyle w:val="a"/>
        <w:numPr>
          <w:ilvl w:val="0"/>
          <w:numId w:val="0"/>
        </w:numPr>
        <w:tabs>
          <w:tab w:val="left" w:pos="720"/>
        </w:tabs>
        <w:ind w:left="84" w:right="0"/>
        <w:jc w:val="both"/>
        <w:rPr>
          <w:rFonts w:eastAsia="David"/>
          <w:rtl/>
        </w:rPr>
      </w:pPr>
      <w:r>
        <w:rPr>
          <w:rtl/>
        </w:rPr>
        <w:t>עוד נתתי דעתי לכך שהנאשם הורשע בנשיאת נשק מסוג אקדח ולא נשק התקפי מסוג רובה סער, שלו מייחסת הפסיקה משנה חומרה ופוטנציאל קטלני גבוה (</w:t>
      </w:r>
      <w:hyperlink r:id="rId28" w:history="1">
        <w:r w:rsidR="0098709A" w:rsidRPr="0098709A">
          <w:rPr>
            <w:color w:val="0000FF"/>
            <w:u w:val="single"/>
            <w:rtl/>
          </w:rPr>
          <w:t>ע"פ 1695/22</w:t>
        </w:r>
      </w:hyperlink>
      <w:r>
        <w:rPr>
          <w:rtl/>
        </w:rPr>
        <w:t xml:space="preserve"> </w:t>
      </w:r>
      <w:r>
        <w:rPr>
          <w:b/>
          <w:bCs/>
          <w:rtl/>
        </w:rPr>
        <w:t xml:space="preserve">מדינת ישראל נ' מוחמד גנאים ואח' </w:t>
      </w:r>
      <w:r>
        <w:rPr>
          <w:rtl/>
        </w:rPr>
        <w:t xml:space="preserve">(29.3.2022). </w:t>
      </w:r>
    </w:p>
    <w:p w14:paraId="11B838EB" w14:textId="77777777" w:rsidR="00C23B45" w:rsidRDefault="00C23B45" w:rsidP="00C23B45">
      <w:pPr>
        <w:pStyle w:val="a"/>
        <w:numPr>
          <w:ilvl w:val="0"/>
          <w:numId w:val="3"/>
        </w:numPr>
        <w:tabs>
          <w:tab w:val="left" w:pos="720"/>
        </w:tabs>
        <w:spacing w:after="160"/>
        <w:ind w:left="84" w:right="0" w:hanging="283"/>
        <w:jc w:val="both"/>
        <w:rPr>
          <w:b/>
          <w:bCs/>
          <w:u w:val="single"/>
          <w:rtl/>
        </w:rPr>
      </w:pPr>
      <w:r>
        <w:rPr>
          <w:rFonts w:eastAsia="David"/>
          <w:rtl/>
        </w:rPr>
        <w:t xml:space="preserve">לאחר שבחנתי את נסיבות ביצוע העבירה, מידת הפגיעה בערכים המוגנים ומדיניות הענישה הנוהגת, ראיתי לקבוע </w:t>
      </w:r>
      <w:r>
        <w:rPr>
          <w:rFonts w:eastAsia="David"/>
          <w:b/>
          <w:bCs/>
          <w:rtl/>
        </w:rPr>
        <w:t>מתחם ענישה הנע בין 42-20 חודשי מאסר בפועל</w:t>
      </w:r>
      <w:r>
        <w:rPr>
          <w:rFonts w:eastAsia="David"/>
          <w:rtl/>
        </w:rPr>
        <w:t>.  הפסיקה שאליה הפנתה ההגנה כוללת ברובה פסקי דין שאינם מהעת האחרונה ואינם מתיישבים עם מגמת ההחמרה המשתקפת בפסיקה שנסקרה (</w:t>
      </w:r>
      <w:hyperlink r:id="rId29" w:history="1">
        <w:r w:rsidR="0098709A" w:rsidRPr="0098709A">
          <w:rPr>
            <w:rFonts w:eastAsia="David"/>
            <w:color w:val="0000FF"/>
            <w:u w:val="single"/>
            <w:rtl/>
          </w:rPr>
          <w:t>ע"פ 545/20</w:t>
        </w:r>
      </w:hyperlink>
      <w:r>
        <w:rPr>
          <w:rFonts w:eastAsia="David"/>
          <w:rtl/>
        </w:rPr>
        <w:t xml:space="preserve"> </w:t>
      </w:r>
      <w:r>
        <w:rPr>
          <w:rFonts w:eastAsia="David"/>
          <w:b/>
          <w:bCs/>
          <w:rtl/>
        </w:rPr>
        <w:t xml:space="preserve">פלוני נ' מדינת ישראל </w:t>
      </w:r>
      <w:r>
        <w:rPr>
          <w:rFonts w:eastAsia="David"/>
          <w:rtl/>
        </w:rPr>
        <w:t>(3.5.2021)</w:t>
      </w:r>
      <w:r>
        <w:rPr>
          <w:b/>
          <w:bCs/>
          <w:rtl/>
        </w:rPr>
        <w:t>.</w:t>
      </w:r>
    </w:p>
    <w:p w14:paraId="636C41F2" w14:textId="77777777" w:rsidR="00C23B45" w:rsidRDefault="00C23B45" w:rsidP="00C23B45">
      <w:pPr>
        <w:spacing w:after="160" w:line="360" w:lineRule="auto"/>
        <w:ind w:left="84" w:hanging="283"/>
        <w:jc w:val="both"/>
        <w:rPr>
          <w:b/>
          <w:bCs/>
          <w:u w:val="single"/>
          <w:rtl/>
        </w:rPr>
      </w:pPr>
      <w:r>
        <w:rPr>
          <w:rFonts w:hint="cs"/>
          <w:b/>
          <w:bCs/>
          <w:u w:val="single"/>
          <w:rtl/>
        </w:rPr>
        <w:t>גזירת העונש המתאים לנאשם</w:t>
      </w:r>
    </w:p>
    <w:p w14:paraId="4B2AD20E" w14:textId="77777777" w:rsidR="00C23B45" w:rsidRDefault="00C23B45" w:rsidP="00C23B45">
      <w:pPr>
        <w:pStyle w:val="aa"/>
        <w:numPr>
          <w:ilvl w:val="0"/>
          <w:numId w:val="3"/>
        </w:numPr>
        <w:spacing w:after="160" w:line="360" w:lineRule="auto"/>
        <w:ind w:left="84" w:hanging="283"/>
        <w:jc w:val="both"/>
        <w:rPr>
          <w:rtl/>
        </w:rPr>
      </w:pPr>
      <w:r>
        <w:rPr>
          <w:rFonts w:hint="cs"/>
          <w:rtl/>
        </w:rPr>
        <w:t xml:space="preserve">הנאשם, צעיר נעדר עבר פלילי, בן למשפחה טובה. במהלך ההליך דנא, מספר חודשים לאחר שהוגש כנגדו כתב אישום ובעודו נתון בתנאים מגבילים, נפצע קשה מירי מכוון בחלקו התחתון של גופו וברגליו. הנאשם סיפר בתסקירו כי הירי כוון אליו אך לא הרחיב באשר לרקע שעמד מאחוריו ושלל מעורבות בסכסוכים. בעקבות פציעתו נזקק לטיפולים רפואיים לרבות ניתוח אורולוגי (אסופת מסמכים רפואיים סומנה נ/2). עוד נזקק לטיפול פסיכולוגי בשל מצוקה נפשית. כעולה ממכתבו של הפסיכולוג המטפל בו (נ/1) הוא סובל מתסמינים פוסט טראומטיים המתבטאים בין היתר בהסתגרות ממושכת, מחשבות שליליות, פחדים, חרדות, ערעור דימויו העצמי, והחשש מהשלכות הפציעה שמוביל למתחים מתמשכים בינו לבין ארוסתו. </w:t>
      </w:r>
    </w:p>
    <w:p w14:paraId="44C94791" w14:textId="77777777" w:rsidR="00C23B45" w:rsidRDefault="00C23B45" w:rsidP="00C23B45">
      <w:pPr>
        <w:pStyle w:val="aa"/>
        <w:spacing w:after="160" w:line="360" w:lineRule="auto"/>
        <w:ind w:left="84" w:hanging="283"/>
        <w:jc w:val="both"/>
      </w:pPr>
    </w:p>
    <w:p w14:paraId="78CB4F67" w14:textId="77777777" w:rsidR="00C23B45" w:rsidRDefault="00C23B45" w:rsidP="00C23B45">
      <w:pPr>
        <w:pStyle w:val="aa"/>
        <w:numPr>
          <w:ilvl w:val="0"/>
          <w:numId w:val="3"/>
        </w:numPr>
        <w:spacing w:after="160" w:line="360" w:lineRule="auto"/>
        <w:ind w:left="84" w:hanging="283"/>
        <w:jc w:val="both"/>
      </w:pPr>
      <w:r>
        <w:rPr>
          <w:rFonts w:hint="cs"/>
          <w:rtl/>
        </w:rPr>
        <w:t xml:space="preserve">התמונה המשתקפת בתסקירי שירות המבחן היא אמנם חיובית אך אין מדובר בתסקיר שיקומי, הנאשם לא שולב בטיפול ושירות המבחן מתמקד בעיקר בהשלכות פציעתו על היבטי חייו השונים. המלצת שירות המבחן להסתפק בענישה טיפולית שיקומית נובעת בעיקר ממורכבות מצבו הפיזי ואינה מבוססת על שיקולי שיקום מהותיים. </w:t>
      </w:r>
    </w:p>
    <w:p w14:paraId="2AB2186F" w14:textId="77777777" w:rsidR="00C23B45" w:rsidRDefault="00C23B45" w:rsidP="00C23B45">
      <w:pPr>
        <w:pStyle w:val="aa"/>
      </w:pPr>
    </w:p>
    <w:p w14:paraId="0D60111A" w14:textId="77777777" w:rsidR="00C23B45" w:rsidRDefault="00C23B45" w:rsidP="00C23B45">
      <w:pPr>
        <w:pStyle w:val="aa"/>
        <w:ind w:left="84" w:hanging="283"/>
        <w:rPr>
          <w:rtl/>
        </w:rPr>
      </w:pPr>
    </w:p>
    <w:p w14:paraId="397CBD74" w14:textId="77777777" w:rsidR="00C23B45" w:rsidRDefault="00C23B45" w:rsidP="00C23B45">
      <w:pPr>
        <w:pStyle w:val="aa"/>
        <w:numPr>
          <w:ilvl w:val="0"/>
          <w:numId w:val="3"/>
        </w:numPr>
        <w:spacing w:after="160" w:line="360" w:lineRule="auto"/>
        <w:ind w:left="84" w:hanging="283"/>
        <w:jc w:val="both"/>
        <w:rPr>
          <w:rtl/>
        </w:rPr>
      </w:pPr>
      <w:r>
        <w:rPr>
          <w:rFonts w:hint="cs"/>
          <w:rtl/>
        </w:rPr>
        <w:t xml:space="preserve">אכן מצבו הפיזי והנפשי של הנאשם אינו טוב, ושליחתו למאסר תפגע במאמציו להשלים את הליכי החלמתו, שהייתו במאסר אף תקשה מאד על משפחתו, בעיקר על אחותו, כפי שעלה מעדותה. אלא שעניינו אינו בא בגדר המקרים החריגים שבהם עונש מאסר בפועל עלול לסכן את חייו או לקצרם, חלילה, בצורה ניכרת, ושבהם רשאי בית המשפט מטעמי צדק לחרוג ממתחם הענישה ההולם חריגה משמעותית </w:t>
      </w:r>
      <w:r>
        <w:t>)</w:t>
      </w:r>
      <w:r w:rsidRPr="0098709A">
        <w:rPr>
          <w:rFonts w:hint="cs"/>
          <w:color w:val="000000"/>
          <w:rtl/>
        </w:rPr>
        <w:t xml:space="preserve">ע"פ </w:t>
      </w:r>
      <w:hyperlink r:id="rId30" w:history="1">
        <w:r w:rsidR="009A7603" w:rsidRPr="009A7603">
          <w:rPr>
            <w:color w:val="0000FF"/>
            <w:u w:val="single"/>
            <w:rtl/>
          </w:rPr>
          <w:t xml:space="preserve">4456/14 </w:t>
        </w:r>
      </w:hyperlink>
      <w:r>
        <w:rPr>
          <w:rtl/>
        </w:rPr>
        <w:t xml:space="preserve"> </w:t>
      </w:r>
      <w:r>
        <w:rPr>
          <w:rFonts w:hint="cs"/>
          <w:b/>
          <w:bCs/>
          <w:rtl/>
        </w:rPr>
        <w:t>קלנר נ' מדינת ישראל</w:t>
      </w:r>
      <w:r>
        <w:rPr>
          <w:rFonts w:hint="cs"/>
          <w:rtl/>
        </w:rPr>
        <w:t>, פסקה 221 לפסק דינו של המשנה לנשיאה כב' השופט פוגלמן (29.12.15)). כפי שהודגש ע"י בית המשפט העליון ב</w:t>
      </w:r>
      <w:hyperlink r:id="rId31" w:history="1">
        <w:r w:rsidR="0098709A" w:rsidRPr="0098709A">
          <w:rPr>
            <w:color w:val="0000FF"/>
            <w:u w:val="single"/>
            <w:rtl/>
          </w:rPr>
          <w:t>ע"פ 5669/14</w:t>
        </w:r>
      </w:hyperlink>
      <w:r>
        <w:rPr>
          <w:rFonts w:hint="cs"/>
          <w:rtl/>
        </w:rPr>
        <w:t xml:space="preserve"> </w:t>
      </w:r>
      <w:r>
        <w:rPr>
          <w:rFonts w:hint="cs"/>
          <w:b/>
          <w:bCs/>
          <w:rtl/>
        </w:rPr>
        <w:t>לופליאנסקי נ'</w:t>
      </w:r>
      <w:r>
        <w:rPr>
          <w:rFonts w:hint="cs"/>
          <w:rtl/>
        </w:rPr>
        <w:t xml:space="preserve"> </w:t>
      </w:r>
      <w:r>
        <w:rPr>
          <w:rFonts w:hint="cs"/>
          <w:b/>
          <w:bCs/>
          <w:rtl/>
        </w:rPr>
        <w:t>מדינת ישראל</w:t>
      </w:r>
      <w:r>
        <w:rPr>
          <w:rFonts w:hint="cs"/>
          <w:rtl/>
        </w:rPr>
        <w:t xml:space="preserve"> פסקאות 221-223, (29.12.2015): </w:t>
      </w:r>
    </w:p>
    <w:p w14:paraId="017CEF06" w14:textId="77777777" w:rsidR="00C23B45" w:rsidRDefault="00C23B45" w:rsidP="00C23B45">
      <w:pPr>
        <w:pStyle w:val="Ruller41"/>
        <w:ind w:left="84" w:hanging="283"/>
        <w:rPr>
          <w:highlight w:val="yellow"/>
          <w:rtl/>
        </w:rPr>
      </w:pPr>
    </w:p>
    <w:p w14:paraId="30EA7187" w14:textId="77777777" w:rsidR="00C23B45" w:rsidRDefault="00C23B45" w:rsidP="00C23B45">
      <w:pPr>
        <w:pStyle w:val="Ruller5"/>
        <w:spacing w:line="360" w:lineRule="auto"/>
        <w:ind w:left="720"/>
        <w:rPr>
          <w:rFonts w:ascii="David" w:hAnsi="David" w:cs="David"/>
          <w:b/>
          <w:bCs/>
          <w:sz w:val="24"/>
          <w:szCs w:val="24"/>
          <w:rtl/>
        </w:rPr>
      </w:pPr>
      <w:r>
        <w:rPr>
          <w:rFonts w:ascii="David" w:hAnsi="David" w:cs="David"/>
          <w:b/>
          <w:bCs/>
          <w:sz w:val="24"/>
          <w:szCs w:val="24"/>
          <w:rtl/>
        </w:rPr>
        <w:t>"גם נאשם החולה במחלה קשה, או כזה שהמאסר יסב לו סבל רב וייחודי, עלול להישלח לשאת בעונש מאסר בפועל, מאחורי סורג ובריח. הדברים נכונים גם כאשר עסקינן במי שמצבו הבריאותי רעוע. כבר נפסק כי '[...] מצב בריאותי קשה – איננו צריך בהכרח להקנות לעבריין פטור מעונש מאסר בפועל בגין מעשיו הרעים, ככל שעונש זה מוצדק לגביו לאחר הרשעתו' [...] כאשר עסקינן במצב רפואי, ככלל, הנחת המוצא היא כי גורמי הרפואה בשירות בתי הסוהר ערוכים לטפל באסירים במצבים רפואיים שונים, כולל כאלה שאינם פשוטים כלל ועיקר. את מצבו הרפואי של מי שהורשע בדין יש לאזן עם שיקולים רלוונטיים אחרים, ובכלל אלה הסיכון שנשקף לציבור ממנו. אין אפוא בדברינו אלה משום קביעת כלל שלפיו טענה לקיצור תוחלת חיים נושאת בצידה, מניה וביה, חסינות מפני עונש מאסר בפועל" (שם, פסקה 222).</w:t>
      </w:r>
    </w:p>
    <w:p w14:paraId="2D12124D" w14:textId="77777777" w:rsidR="00C23B45" w:rsidRDefault="00C23B45" w:rsidP="00C23B45">
      <w:pPr>
        <w:pStyle w:val="Ruller5"/>
        <w:spacing w:line="360" w:lineRule="auto"/>
        <w:ind w:left="84"/>
        <w:rPr>
          <w:rFonts w:ascii="David" w:hAnsi="David" w:cs="David"/>
          <w:b/>
          <w:bCs/>
          <w:sz w:val="24"/>
          <w:szCs w:val="24"/>
          <w:rtl/>
        </w:rPr>
      </w:pPr>
    </w:p>
    <w:p w14:paraId="2954D32D" w14:textId="77777777" w:rsidR="00C23B45" w:rsidRDefault="00C23B45" w:rsidP="00C23B45">
      <w:pPr>
        <w:pStyle w:val="Ruller5"/>
        <w:spacing w:line="360" w:lineRule="auto"/>
        <w:ind w:left="84" w:right="0"/>
        <w:rPr>
          <w:rFonts w:ascii="David" w:hAnsi="David" w:cs="David"/>
          <w:sz w:val="24"/>
          <w:szCs w:val="24"/>
          <w:rtl/>
        </w:rPr>
      </w:pPr>
      <w:r>
        <w:rPr>
          <w:rFonts w:ascii="David" w:hAnsi="David" w:cs="David"/>
          <w:sz w:val="24"/>
          <w:szCs w:val="24"/>
          <w:rtl/>
        </w:rPr>
        <w:t xml:space="preserve">גם בפסיקות נוספות שנדונו בהן מקרי מצב רפואי קשה וחמור משמעותית מזה שלפנינו, לא היה בכך כדי להביא לקיצור תקופת המאסר או ביטולו. ראו, לשם הדוגמא, </w:t>
      </w:r>
      <w:hyperlink r:id="rId32" w:history="1">
        <w:r w:rsidR="0098709A" w:rsidRPr="0098709A">
          <w:rPr>
            <w:rFonts w:ascii="David" w:hAnsi="David" w:cs="David"/>
            <w:color w:val="0000FF"/>
            <w:sz w:val="24"/>
            <w:szCs w:val="24"/>
            <w:u w:val="single"/>
            <w:rtl/>
          </w:rPr>
          <w:t>ע"פ 2770/19</w:t>
        </w:r>
      </w:hyperlink>
      <w:r>
        <w:rPr>
          <w:rFonts w:ascii="David" w:hAnsi="David" w:cs="David"/>
          <w:sz w:val="24"/>
          <w:szCs w:val="24"/>
          <w:rtl/>
        </w:rPr>
        <w:t xml:space="preserve"> </w:t>
      </w:r>
      <w:r>
        <w:rPr>
          <w:rFonts w:ascii="David" w:hAnsi="David" w:cs="David"/>
          <w:b/>
          <w:bCs/>
          <w:sz w:val="24"/>
          <w:szCs w:val="24"/>
          <w:rtl/>
        </w:rPr>
        <w:t>זוהר כץ נ' מדינת ישראל</w:t>
      </w:r>
      <w:r>
        <w:rPr>
          <w:rFonts w:ascii="David" w:hAnsi="David" w:cs="David"/>
          <w:sz w:val="24"/>
          <w:szCs w:val="24"/>
          <w:rtl/>
        </w:rPr>
        <w:t xml:space="preserve"> (3.5.2020), שם הורשע נאשם בעבירות כלכליות שונות ונדון למאסר בן 11 חודשים. לאחר מתן גזר הדין החמיר מצבו הרפואי, הוא לקה בהתקף לב ונזקק להשתלת לב. הוגשו בעניינו חוות דעת רפואיות לפיהן "לא ישרוד בתנאי הכלא", בית המשפט העליון דחה את הערעור תוך שהוא מציין כי המערער יוכל לקבל טיפול נאות ע"י שב"ס (שם, פסקה 14). </w:t>
      </w:r>
    </w:p>
    <w:p w14:paraId="36363436" w14:textId="77777777" w:rsidR="00C23B45" w:rsidRDefault="00C23B45" w:rsidP="00C23B45">
      <w:pPr>
        <w:pStyle w:val="Ruller41"/>
        <w:spacing w:after="120"/>
        <w:ind w:left="84"/>
        <w:rPr>
          <w:rFonts w:ascii="David" w:hAnsi="David" w:cs="David"/>
          <w:b/>
          <w:bCs/>
          <w:sz w:val="24"/>
          <w:szCs w:val="24"/>
          <w:rtl/>
        </w:rPr>
      </w:pPr>
    </w:p>
    <w:p w14:paraId="587DC90E" w14:textId="77777777" w:rsidR="00C23B45" w:rsidRDefault="00C23B45" w:rsidP="00C23B45">
      <w:pPr>
        <w:pStyle w:val="aa"/>
        <w:numPr>
          <w:ilvl w:val="0"/>
          <w:numId w:val="3"/>
        </w:numPr>
        <w:spacing w:after="160" w:line="360" w:lineRule="auto"/>
        <w:ind w:left="84" w:hanging="283"/>
        <w:jc w:val="both"/>
        <w:rPr>
          <w:rtl/>
        </w:rPr>
      </w:pPr>
      <w:r>
        <w:rPr>
          <w:rFonts w:hint="cs"/>
          <w:rtl/>
        </w:rPr>
        <w:t xml:space="preserve">בענייננו, לא הוצגה כלל חוות דעת רפואית המעלה חשש ששליחתו של הנאשם למאסר תפגע בו פגיעה בלתי הפיכה. כזכור, הנאשם הורשע בביצוע עבירה חמורה ופציעתו קשורה בקשר ישיר למעורבותו בעולם הנשק הבלתי חוקי. הנאשם ייזקק לטיפול רפואי ונפשי בתקופת מאסרו וחזקה על  רשויות שירות בתי הסוהר שידעו ליתן מענה רפואי הולם לצרכיו. </w:t>
      </w:r>
    </w:p>
    <w:p w14:paraId="6C97008A" w14:textId="77777777" w:rsidR="00C23B45" w:rsidRDefault="00C23B45" w:rsidP="00C23B45">
      <w:pPr>
        <w:pStyle w:val="aa"/>
        <w:spacing w:after="160" w:line="360" w:lineRule="auto"/>
        <w:ind w:left="84" w:hanging="283"/>
        <w:jc w:val="both"/>
        <w:rPr>
          <w:rtl/>
        </w:rPr>
      </w:pPr>
    </w:p>
    <w:p w14:paraId="77FCA1E5" w14:textId="77777777" w:rsidR="00C23B45" w:rsidRDefault="00C23B45" w:rsidP="00C23B45">
      <w:pPr>
        <w:pStyle w:val="aa"/>
        <w:numPr>
          <w:ilvl w:val="0"/>
          <w:numId w:val="3"/>
        </w:numPr>
        <w:spacing w:after="160" w:line="360" w:lineRule="auto"/>
        <w:ind w:left="84" w:hanging="283"/>
        <w:jc w:val="both"/>
      </w:pPr>
      <w:r>
        <w:rPr>
          <w:rFonts w:hint="cs"/>
          <w:rtl/>
        </w:rPr>
        <w:t>במצב האמור, וכמצוות בית המשפט העליון, שומה עלינו ליתן משקל בכורה לאינטרס הציבורי על פני נתוניו האישיים של הנאשם, ומשכך אין מנוס מהשתת עונש מאסר בפועל. המלצת שירות המבחן להסתפק בעבודות של"צ אינה מתיישבת עם מדיניות הענישה הנוהגת בעבירות הנשק, וכידוע, אינה מחייבת את בית המשפט וביכולתו לסטות ממנה מטעמים מוצדקים (</w:t>
      </w:r>
      <w:hyperlink r:id="rId33" w:history="1">
        <w:r w:rsidR="0098709A" w:rsidRPr="0098709A">
          <w:rPr>
            <w:color w:val="0000FF"/>
            <w:u w:val="single"/>
            <w:rtl/>
          </w:rPr>
          <w:t>ע"פ 2260/22</w:t>
        </w:r>
      </w:hyperlink>
      <w:r>
        <w:rPr>
          <w:rFonts w:hint="cs"/>
          <w:rtl/>
        </w:rPr>
        <w:t xml:space="preserve"> </w:t>
      </w:r>
      <w:r>
        <w:rPr>
          <w:rFonts w:hint="cs"/>
          <w:b/>
          <w:bCs/>
          <w:rtl/>
        </w:rPr>
        <w:t xml:space="preserve">פלוני נ' מדינת ישראל </w:t>
      </w:r>
      <w:r>
        <w:rPr>
          <w:rFonts w:hint="cs"/>
          <w:rtl/>
        </w:rPr>
        <w:t xml:space="preserve">פסקה 10 (18.7.22)). לולא מצבו הרפואי היה ראוי למקמו בחלק התחתון של המתחם אך לא בתחתיתו. אתחשב במורכבות מצבו והשלכות המאסר עליו ועל משפחתו ואמקמו בתחתית המתחם. עוד אתן לו ולמשפחתו שהות להתארגן לכניסתו למאסר. </w:t>
      </w:r>
    </w:p>
    <w:p w14:paraId="31DBC075" w14:textId="77777777" w:rsidR="00C23B45" w:rsidRPr="004C781B" w:rsidRDefault="00C23B45" w:rsidP="00C23B45">
      <w:pPr>
        <w:pStyle w:val="aa"/>
        <w:rPr>
          <w:b/>
          <w:bCs/>
          <w:rtl/>
        </w:rPr>
      </w:pPr>
    </w:p>
    <w:p w14:paraId="5673227E" w14:textId="77777777" w:rsidR="00C23B45" w:rsidRPr="004C781B" w:rsidRDefault="00C23B45" w:rsidP="00C23B45">
      <w:pPr>
        <w:pStyle w:val="aa"/>
        <w:numPr>
          <w:ilvl w:val="0"/>
          <w:numId w:val="3"/>
        </w:numPr>
        <w:spacing w:after="160" w:line="360" w:lineRule="auto"/>
        <w:ind w:left="84" w:hanging="283"/>
        <w:jc w:val="both"/>
      </w:pPr>
      <w:r w:rsidRPr="004C781B">
        <w:rPr>
          <w:rFonts w:hint="cs"/>
          <w:b/>
          <w:bCs/>
          <w:rtl/>
        </w:rPr>
        <w:t>אני גוזרת, אפוא,  על הנאשם את העונשים הבאים:</w:t>
      </w:r>
    </w:p>
    <w:p w14:paraId="19FF1B62" w14:textId="77777777" w:rsidR="00C23B45" w:rsidRDefault="00C23B45" w:rsidP="00C23B45">
      <w:pPr>
        <w:pStyle w:val="aa"/>
        <w:ind w:left="84"/>
      </w:pPr>
    </w:p>
    <w:p w14:paraId="6ACA4FBF" w14:textId="77777777" w:rsidR="00C23B45" w:rsidRDefault="00C23B45" w:rsidP="00C23B45">
      <w:pPr>
        <w:pStyle w:val="aa"/>
        <w:numPr>
          <w:ilvl w:val="0"/>
          <w:numId w:val="4"/>
        </w:numPr>
        <w:spacing w:after="160" w:line="360" w:lineRule="auto"/>
        <w:ind w:left="84" w:firstLine="0"/>
        <w:jc w:val="both"/>
        <w:rPr>
          <w:rtl/>
        </w:rPr>
      </w:pPr>
      <w:r>
        <w:rPr>
          <w:rFonts w:hint="cs"/>
          <w:b/>
          <w:bCs/>
          <w:rtl/>
        </w:rPr>
        <w:t>20 חודשי מאסר בפועל</w:t>
      </w:r>
      <w:r>
        <w:rPr>
          <w:rFonts w:hint="cs"/>
          <w:rtl/>
        </w:rPr>
        <w:t xml:space="preserve"> בניכוי ימי מעצרו 27.5.21-20.7.21. </w:t>
      </w:r>
    </w:p>
    <w:p w14:paraId="6E6247B9" w14:textId="77777777" w:rsidR="00C23B45" w:rsidRDefault="00C23B45" w:rsidP="00C23B45">
      <w:pPr>
        <w:pStyle w:val="aa"/>
        <w:numPr>
          <w:ilvl w:val="0"/>
          <w:numId w:val="4"/>
        </w:numPr>
        <w:spacing w:after="160" w:line="360" w:lineRule="auto"/>
        <w:ind w:left="651" w:hanging="567"/>
        <w:jc w:val="both"/>
      </w:pPr>
      <w:r>
        <w:rPr>
          <w:rFonts w:hint="cs"/>
          <w:rtl/>
        </w:rPr>
        <w:t xml:space="preserve">מאסר על תנאי בן 12 חודשים לבל יעבור הנאשם עבירת נשק מסוג פשע תוך 3 שנים מיום  שחרורו. </w:t>
      </w:r>
    </w:p>
    <w:p w14:paraId="4B666F6E" w14:textId="77777777" w:rsidR="00C23B45" w:rsidRDefault="00C23B45" w:rsidP="00C23B45">
      <w:pPr>
        <w:pStyle w:val="aa"/>
        <w:numPr>
          <w:ilvl w:val="0"/>
          <w:numId w:val="4"/>
        </w:numPr>
        <w:spacing w:after="160" w:line="360" w:lineRule="auto"/>
        <w:ind w:left="84" w:firstLine="0"/>
        <w:jc w:val="both"/>
      </w:pPr>
      <w:r>
        <w:rPr>
          <w:rFonts w:hint="cs"/>
          <w:rtl/>
        </w:rPr>
        <w:t xml:space="preserve">קנס בסך 2,000 ₪ או 30 ימי מאסר תמורתו. הקנס ישולם בשני תשלומים החל מיום 3.4.23 </w:t>
      </w:r>
    </w:p>
    <w:p w14:paraId="33CDA61B" w14:textId="77777777" w:rsidR="00C23B45" w:rsidRDefault="00C23B45" w:rsidP="00C23B45">
      <w:pPr>
        <w:pStyle w:val="aa"/>
        <w:numPr>
          <w:ilvl w:val="0"/>
          <w:numId w:val="4"/>
        </w:numPr>
        <w:spacing w:after="160" w:line="360" w:lineRule="auto"/>
        <w:ind w:left="84" w:firstLine="0"/>
        <w:jc w:val="both"/>
      </w:pPr>
      <w:r>
        <w:rPr>
          <w:rFonts w:hint="cs"/>
          <w:rtl/>
        </w:rPr>
        <w:t xml:space="preserve">הנאשם יתייצב לריצוי מאסרו ביום 1.5.23 עד השעה 10:00 בבית מעצר "הדרים". </w:t>
      </w:r>
    </w:p>
    <w:p w14:paraId="736A16CC" w14:textId="77777777" w:rsidR="00C23B45" w:rsidRDefault="00C23B45" w:rsidP="00C23B45">
      <w:pPr>
        <w:pStyle w:val="aa"/>
        <w:spacing w:after="160" w:line="360" w:lineRule="auto"/>
        <w:ind w:left="84"/>
        <w:jc w:val="both"/>
      </w:pPr>
    </w:p>
    <w:p w14:paraId="47F98AC4" w14:textId="77777777" w:rsidR="00C23B45" w:rsidRDefault="00C23B45" w:rsidP="00C23B45">
      <w:pPr>
        <w:pStyle w:val="aa"/>
        <w:spacing w:after="160" w:line="360" w:lineRule="auto"/>
        <w:jc w:val="both"/>
        <w:rPr>
          <w:b/>
          <w:bCs/>
        </w:rPr>
      </w:pPr>
      <w:r>
        <w:rPr>
          <w:rFonts w:hint="cs"/>
          <w:b/>
          <w:bCs/>
          <w:rtl/>
        </w:rPr>
        <w:t>לצורך הבטחת התייצבותו יעמדו הערבויות שהופקדו בהליך המעצר, צו עיכוב יציאה מהארץ יוותר על כנו. ההפקדות יושבו למפקיד לאחר כניסתו למאסר.</w:t>
      </w:r>
    </w:p>
    <w:p w14:paraId="4B4D6861" w14:textId="77777777" w:rsidR="00C23B45" w:rsidRDefault="00C23B45" w:rsidP="00C23B45">
      <w:pPr>
        <w:pStyle w:val="aa"/>
        <w:spacing w:after="160" w:line="360" w:lineRule="auto"/>
        <w:ind w:left="84"/>
        <w:jc w:val="both"/>
        <w:rPr>
          <w:rtl/>
        </w:rPr>
      </w:pPr>
    </w:p>
    <w:p w14:paraId="73AA2FA5" w14:textId="77777777" w:rsidR="00C23B45" w:rsidRDefault="00C23B45" w:rsidP="00C23B45">
      <w:pPr>
        <w:pStyle w:val="aa"/>
        <w:spacing w:after="160" w:line="360" w:lineRule="auto"/>
        <w:ind w:left="84"/>
        <w:jc w:val="both"/>
        <w:rPr>
          <w:rtl/>
        </w:rPr>
      </w:pPr>
      <w:r>
        <w:rPr>
          <w:rFonts w:hint="cs"/>
          <w:rtl/>
        </w:rPr>
        <w:t xml:space="preserve">צו כללי למוצגים. </w:t>
      </w:r>
    </w:p>
    <w:p w14:paraId="62F2C80C" w14:textId="77777777" w:rsidR="00C23B45" w:rsidRDefault="00C23B45" w:rsidP="00C23B45">
      <w:pPr>
        <w:spacing w:line="360" w:lineRule="auto"/>
        <w:ind w:left="84"/>
        <w:jc w:val="both"/>
        <w:rPr>
          <w:b/>
          <w:bCs/>
        </w:rPr>
      </w:pPr>
    </w:p>
    <w:p w14:paraId="16F15EFC" w14:textId="77777777" w:rsidR="00C23B45" w:rsidRDefault="00C23B45" w:rsidP="00C23B45">
      <w:pPr>
        <w:spacing w:line="360" w:lineRule="auto"/>
        <w:ind w:left="84"/>
        <w:jc w:val="both"/>
        <w:rPr>
          <w:b/>
          <w:bCs/>
          <w:rtl/>
        </w:rPr>
      </w:pPr>
      <w:r>
        <w:rPr>
          <w:rFonts w:hint="cs"/>
          <w:b/>
          <w:bCs/>
          <w:rtl/>
        </w:rPr>
        <w:t xml:space="preserve">עותק מהחלטתי יועבר לשירות המבחן. </w:t>
      </w:r>
    </w:p>
    <w:p w14:paraId="44D5AF3B" w14:textId="77777777" w:rsidR="00C23B45" w:rsidRDefault="00C23B45" w:rsidP="00C23B45">
      <w:pPr>
        <w:spacing w:line="360" w:lineRule="auto"/>
        <w:ind w:left="84"/>
        <w:jc w:val="both"/>
        <w:rPr>
          <w:b/>
          <w:bCs/>
          <w:rtl/>
        </w:rPr>
      </w:pPr>
      <w:r>
        <w:rPr>
          <w:rFonts w:hint="cs"/>
          <w:b/>
          <w:bCs/>
          <w:rtl/>
        </w:rPr>
        <w:t xml:space="preserve">זכות ערעור לבית המשפט העליון תוך 45 יום. </w:t>
      </w:r>
    </w:p>
    <w:p w14:paraId="54B0416D" w14:textId="77777777" w:rsidR="00C23B45" w:rsidRDefault="00C23B45" w:rsidP="00C23B45">
      <w:pPr>
        <w:pStyle w:val="Ruller41"/>
        <w:ind w:left="84"/>
        <w:textAlignment w:val="baseline"/>
        <w:rPr>
          <w:rFonts w:ascii="Times New Roman" w:hAnsi="Times New Roman" w:cs="David"/>
          <w:spacing w:val="0"/>
          <w:sz w:val="24"/>
          <w:szCs w:val="24"/>
        </w:rPr>
      </w:pPr>
    </w:p>
    <w:p w14:paraId="08CAC805" w14:textId="77777777" w:rsidR="00C23B45" w:rsidRDefault="00C23B45" w:rsidP="00C23B45">
      <w:pPr>
        <w:pStyle w:val="Ruller41"/>
        <w:ind w:left="84"/>
        <w:textAlignment w:val="baseline"/>
        <w:rPr>
          <w:rFonts w:ascii="Times New Roman" w:hAnsi="Times New Roman" w:cs="David"/>
          <w:spacing w:val="0"/>
          <w:sz w:val="24"/>
          <w:szCs w:val="24"/>
          <w:rtl/>
        </w:rPr>
      </w:pPr>
    </w:p>
    <w:p w14:paraId="66681DFD" w14:textId="77777777" w:rsidR="00C23B45" w:rsidRDefault="00C23B45" w:rsidP="00C23B45">
      <w:pPr>
        <w:pStyle w:val="Ruller4"/>
        <w:numPr>
          <w:ilvl w:val="0"/>
          <w:numId w:val="0"/>
        </w:numPr>
        <w:ind w:left="84"/>
        <w:rPr>
          <w:rFonts w:ascii="David" w:eastAsia="David" w:hAnsi="David" w:cs="David"/>
          <w:spacing w:val="0"/>
          <w:szCs w:val="24"/>
          <w:rtl/>
        </w:rPr>
      </w:pPr>
    </w:p>
    <w:p w14:paraId="43535943" w14:textId="77777777" w:rsidR="00C23B45" w:rsidRPr="0098709A" w:rsidRDefault="0098709A" w:rsidP="00C23B45">
      <w:pPr>
        <w:pStyle w:val="Ruller41"/>
        <w:ind w:left="84"/>
        <w:textAlignment w:val="baseline"/>
        <w:rPr>
          <w:rFonts w:ascii="Times New Roman" w:hAnsi="Times New Roman" w:cs="David"/>
          <w:color w:val="FFFFFF"/>
          <w:spacing w:val="0"/>
          <w:sz w:val="2"/>
          <w:szCs w:val="2"/>
          <w:rtl/>
        </w:rPr>
      </w:pPr>
      <w:r w:rsidRPr="0098709A">
        <w:rPr>
          <w:rFonts w:ascii="Times New Roman" w:hAnsi="Times New Roman" w:cs="David"/>
          <w:color w:val="FFFFFF"/>
          <w:spacing w:val="0"/>
          <w:sz w:val="2"/>
          <w:szCs w:val="2"/>
          <w:rtl/>
        </w:rPr>
        <w:t>5129371</w:t>
      </w:r>
    </w:p>
    <w:p w14:paraId="6F943DD2" w14:textId="77777777" w:rsidR="00C23B45" w:rsidRPr="0098709A" w:rsidRDefault="0098709A" w:rsidP="00C23B45">
      <w:pPr>
        <w:rPr>
          <w:rFonts w:ascii="Arial" w:hAnsi="Arial"/>
          <w:b/>
          <w:bCs/>
          <w:color w:val="FFFFFF"/>
          <w:sz w:val="2"/>
          <w:szCs w:val="2"/>
          <w:rtl/>
        </w:rPr>
      </w:pPr>
      <w:r w:rsidRPr="0098709A">
        <w:rPr>
          <w:rFonts w:ascii="Arial" w:hAnsi="Arial"/>
          <w:b/>
          <w:bCs/>
          <w:color w:val="FFFFFF"/>
          <w:sz w:val="2"/>
          <w:szCs w:val="2"/>
          <w:rtl/>
        </w:rPr>
        <w:t>54678313</w:t>
      </w:r>
    </w:p>
    <w:p w14:paraId="2514A35E" w14:textId="77777777" w:rsidR="00C23B45" w:rsidRPr="000F2247" w:rsidRDefault="00C23B45" w:rsidP="00C23B45">
      <w:pPr>
        <w:rPr>
          <w:rFonts w:ascii="Arial" w:hAnsi="Arial"/>
          <w:b/>
          <w:bCs/>
          <w:sz w:val="26"/>
          <w:szCs w:val="26"/>
          <w:rtl/>
        </w:rPr>
      </w:pPr>
    </w:p>
    <w:p w14:paraId="23CC0D37" w14:textId="77777777" w:rsidR="00C23B45" w:rsidRPr="000F2247" w:rsidRDefault="0098709A" w:rsidP="00C23B45">
      <w:pPr>
        <w:rPr>
          <w:rFonts w:ascii="Arial" w:hAnsi="Arial"/>
          <w:b/>
          <w:bCs/>
          <w:sz w:val="26"/>
          <w:szCs w:val="26"/>
          <w:rtl/>
        </w:rPr>
      </w:pPr>
      <w:bookmarkStart w:id="8" w:name="Nitan"/>
      <w:r>
        <w:rPr>
          <w:rFonts w:ascii="Arial" w:hAnsi="Arial"/>
          <w:b/>
          <w:bCs/>
          <w:sz w:val="26"/>
          <w:szCs w:val="26"/>
          <w:rtl/>
        </w:rPr>
        <w:t xml:space="preserve">ניתן היום,  ח' שבט תשפ"ג, 30 ינואר 2023, במעמד הצדדים. </w:t>
      </w:r>
      <w:bookmarkEnd w:id="8"/>
    </w:p>
    <w:p w14:paraId="6623B611" w14:textId="77777777" w:rsidR="00C23B45" w:rsidRPr="000F2247" w:rsidRDefault="00C23B45" w:rsidP="0098709A">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30CA822" w14:textId="77777777" w:rsidR="00C23B45" w:rsidRPr="00011A2C" w:rsidRDefault="00011A2C" w:rsidP="00C23B45">
      <w:pPr>
        <w:jc w:val="center"/>
        <w:rPr>
          <w:rFonts w:ascii="Arial" w:hAnsi="Arial"/>
          <w:b/>
          <w:bCs/>
          <w:color w:val="FFFFFF"/>
          <w:sz w:val="2"/>
          <w:szCs w:val="2"/>
          <w:rtl/>
        </w:rPr>
      </w:pPr>
      <w:r w:rsidRPr="00011A2C">
        <w:rPr>
          <w:rFonts w:ascii="Arial" w:hAnsi="Arial"/>
          <w:b/>
          <w:bCs/>
          <w:color w:val="FFFFFF"/>
          <w:sz w:val="2"/>
          <w:szCs w:val="2"/>
          <w:rtl/>
        </w:rPr>
        <w:t>5129371</w:t>
      </w:r>
    </w:p>
    <w:p w14:paraId="179AE0CB" w14:textId="77777777" w:rsidR="00C7464E" w:rsidRPr="00011A2C" w:rsidRDefault="00011A2C" w:rsidP="0098709A">
      <w:pPr>
        <w:keepNext/>
        <w:rPr>
          <w:rFonts w:ascii="David" w:hAnsi="David"/>
          <w:color w:val="FFFFFF"/>
          <w:sz w:val="2"/>
          <w:szCs w:val="2"/>
          <w:rtl/>
        </w:rPr>
      </w:pPr>
      <w:r w:rsidRPr="00011A2C">
        <w:rPr>
          <w:rFonts w:ascii="David" w:hAnsi="David"/>
          <w:color w:val="FFFFFF"/>
          <w:sz w:val="2"/>
          <w:szCs w:val="2"/>
          <w:rtl/>
        </w:rPr>
        <w:t>54678313</w:t>
      </w:r>
    </w:p>
    <w:p w14:paraId="2BAE8751" w14:textId="77777777" w:rsidR="0098709A" w:rsidRDefault="0098709A" w:rsidP="0098709A">
      <w:pPr>
        <w:rPr>
          <w:rtl/>
        </w:rPr>
      </w:pPr>
    </w:p>
    <w:p w14:paraId="618A086A" w14:textId="77777777" w:rsidR="0098709A" w:rsidRDefault="0098709A" w:rsidP="0098709A">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p w14:paraId="0771AA1F" w14:textId="77777777" w:rsidR="00011A2C" w:rsidRPr="00011A2C" w:rsidRDefault="00011A2C" w:rsidP="00011A2C">
      <w:pPr>
        <w:keepNext/>
        <w:rPr>
          <w:rFonts w:ascii="David" w:hAnsi="David"/>
          <w:color w:val="000000"/>
          <w:sz w:val="22"/>
          <w:szCs w:val="22"/>
          <w:rtl/>
        </w:rPr>
      </w:pPr>
    </w:p>
    <w:p w14:paraId="2E98120C" w14:textId="77777777" w:rsidR="00011A2C" w:rsidRPr="00011A2C" w:rsidRDefault="00011A2C" w:rsidP="00011A2C">
      <w:pPr>
        <w:keepNext/>
        <w:rPr>
          <w:rFonts w:ascii="David" w:hAnsi="David"/>
          <w:color w:val="000000"/>
          <w:sz w:val="22"/>
          <w:szCs w:val="22"/>
          <w:rtl/>
        </w:rPr>
      </w:pPr>
      <w:r w:rsidRPr="00011A2C">
        <w:rPr>
          <w:rFonts w:ascii="David" w:hAnsi="David"/>
          <w:color w:val="000000"/>
          <w:sz w:val="22"/>
          <w:szCs w:val="22"/>
          <w:rtl/>
        </w:rPr>
        <w:t>מרב גרינברג 54678313-/</w:t>
      </w:r>
    </w:p>
    <w:p w14:paraId="1AF92556" w14:textId="77777777" w:rsidR="0098709A" w:rsidRPr="0098709A" w:rsidRDefault="00011A2C" w:rsidP="00011A2C">
      <w:pPr>
        <w:rPr>
          <w:color w:val="0000FF"/>
          <w:u w:val="single"/>
        </w:rPr>
      </w:pPr>
      <w:r w:rsidRPr="00011A2C">
        <w:rPr>
          <w:color w:val="000000"/>
          <w:u w:val="single"/>
          <w:rtl/>
        </w:rPr>
        <w:t>נוסח מסמך זה כפוף לשינויי ניסוח ועריכה</w:t>
      </w:r>
    </w:p>
    <w:sectPr w:rsidR="0098709A" w:rsidRPr="0098709A" w:rsidSect="00011A2C">
      <w:headerReference w:type="even" r:id="rId35"/>
      <w:headerReference w:type="default" r:id="rId36"/>
      <w:footerReference w:type="even" r:id="rId37"/>
      <w:footerReference w:type="default" r:id="rId3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56C0B9" w14:textId="77777777" w:rsidR="00EF0637" w:rsidRDefault="00EF0637" w:rsidP="00A2200B">
      <w:r>
        <w:separator/>
      </w:r>
    </w:p>
  </w:endnote>
  <w:endnote w:type="continuationSeparator" w:id="0">
    <w:p w14:paraId="4E2ACB2F" w14:textId="77777777" w:rsidR="00EF0637" w:rsidRDefault="00EF0637" w:rsidP="00A22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236D13" w14:textId="77777777" w:rsidR="00011A2C" w:rsidRDefault="00011A2C" w:rsidP="00011A2C">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A1C509D" w14:textId="77777777" w:rsidR="00E27E0A" w:rsidRPr="00011A2C" w:rsidRDefault="00011A2C" w:rsidP="00011A2C">
    <w:pPr>
      <w:pStyle w:val="a6"/>
      <w:pBdr>
        <w:top w:val="single" w:sz="4" w:space="1" w:color="auto"/>
        <w:between w:val="single" w:sz="4" w:space="0" w:color="auto"/>
      </w:pBdr>
      <w:spacing w:after="60"/>
      <w:jc w:val="center"/>
      <w:rPr>
        <w:rFonts w:ascii="FrankRuehl" w:hAnsi="FrankRuehl" w:cs="FrankRuehl"/>
        <w:color w:val="000000"/>
      </w:rPr>
    </w:pPr>
    <w:r w:rsidRPr="00011A2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9A2DF3" w14:textId="77777777" w:rsidR="00011A2C" w:rsidRDefault="00011A2C" w:rsidP="00011A2C">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91A81">
      <w:rPr>
        <w:rFonts w:ascii="FrankRuehl" w:hAnsi="FrankRuehl" w:cs="FrankRuehl"/>
        <w:noProof/>
        <w:rtl/>
      </w:rPr>
      <w:t>1</w:t>
    </w:r>
    <w:r>
      <w:rPr>
        <w:rFonts w:ascii="FrankRuehl" w:hAnsi="FrankRuehl" w:cs="FrankRuehl"/>
        <w:rtl/>
      </w:rPr>
      <w:fldChar w:fldCharType="end"/>
    </w:r>
  </w:p>
  <w:p w14:paraId="6FE1837D" w14:textId="77777777" w:rsidR="00E27E0A" w:rsidRPr="00011A2C" w:rsidRDefault="00011A2C" w:rsidP="00011A2C">
    <w:pPr>
      <w:pStyle w:val="a6"/>
      <w:pBdr>
        <w:top w:val="single" w:sz="4" w:space="1" w:color="auto"/>
        <w:between w:val="single" w:sz="4" w:space="0" w:color="auto"/>
      </w:pBdr>
      <w:spacing w:after="60"/>
      <w:jc w:val="center"/>
      <w:rPr>
        <w:rFonts w:ascii="FrankRuehl" w:hAnsi="FrankRuehl" w:cs="FrankRuehl"/>
        <w:color w:val="000000"/>
      </w:rPr>
    </w:pPr>
    <w:r w:rsidRPr="00011A2C">
      <w:rPr>
        <w:rFonts w:ascii="FrankRuehl" w:hAnsi="FrankRuehl" w:cs="FrankRuehl"/>
        <w:color w:val="000000"/>
      </w:rPr>
      <w:pict w14:anchorId="4B90F0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3C11C4" w14:textId="77777777" w:rsidR="00EF0637" w:rsidRDefault="00EF0637" w:rsidP="00A2200B">
      <w:r>
        <w:separator/>
      </w:r>
    </w:p>
  </w:footnote>
  <w:footnote w:type="continuationSeparator" w:id="0">
    <w:p w14:paraId="0EEF30E9" w14:textId="77777777" w:rsidR="00EF0637" w:rsidRDefault="00EF0637" w:rsidP="00A220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DFCF05" w14:textId="77777777" w:rsidR="0098709A" w:rsidRPr="00011A2C" w:rsidRDefault="00011A2C" w:rsidP="00011A2C">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1178-06-21</w:t>
    </w:r>
    <w:r>
      <w:rPr>
        <w:rFonts w:ascii="David" w:hAnsi="David"/>
        <w:color w:val="000000"/>
        <w:sz w:val="22"/>
        <w:szCs w:val="22"/>
        <w:rtl/>
      </w:rPr>
      <w:tab/>
      <w:t xml:space="preserve"> מדינת ישראל נ' נאדים מסארוה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B28DB7" w14:textId="77777777" w:rsidR="0098709A" w:rsidRPr="00011A2C" w:rsidRDefault="00011A2C" w:rsidP="00011A2C">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1178-06-21</w:t>
    </w:r>
    <w:r>
      <w:rPr>
        <w:rFonts w:ascii="David" w:hAnsi="David"/>
        <w:color w:val="000000"/>
        <w:sz w:val="22"/>
        <w:szCs w:val="22"/>
        <w:rtl/>
      </w:rPr>
      <w:tab/>
      <w:t xml:space="preserve"> מדינת ישראל נ' נאדים מסארוה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39328E7E"/>
    <w:lvl w:ilvl="0">
      <w:start w:val="1"/>
      <w:numFmt w:val="decimal"/>
      <w:pStyle w:val="a"/>
      <w:lvlText w:val="%1."/>
      <w:lvlJc w:val="left"/>
      <w:pPr>
        <w:tabs>
          <w:tab w:val="num" w:pos="360"/>
        </w:tabs>
        <w:ind w:left="360" w:hanging="360"/>
      </w:pPr>
    </w:lvl>
    <w:lvl w:ilvl="1">
      <w:start w:val="1"/>
      <w:numFmt w:val="decimal"/>
      <w:isLgl/>
      <w:lvlText w:val="%1.%2"/>
      <w:lvlJc w:val="left"/>
      <w:pPr>
        <w:tabs>
          <w:tab w:val="num" w:pos="360"/>
        </w:tabs>
        <w:ind w:left="360" w:hanging="360"/>
      </w:pPr>
    </w:lvl>
    <w:lvl w:ilvl="2">
      <w:start w:val="1"/>
      <w:numFmt w:val="decimal"/>
      <w:isLgl/>
      <w:lvlText w:val="%1.%2.%3"/>
      <w:lvlJc w:val="left"/>
      <w:pPr>
        <w:tabs>
          <w:tab w:val="num" w:pos="720"/>
        </w:tabs>
        <w:ind w:left="720" w:hanging="720"/>
      </w:pPr>
    </w:lvl>
    <w:lvl w:ilvl="3">
      <w:start w:val="1"/>
      <w:numFmt w:val="decimal"/>
      <w:isLgl/>
      <w:lvlText w:val="%1.%2.%3.%4"/>
      <w:lvlJc w:val="left"/>
      <w:pPr>
        <w:tabs>
          <w:tab w:val="num" w:pos="720"/>
        </w:tabs>
        <w:ind w:left="720" w:hanging="720"/>
      </w:pPr>
    </w:lvl>
    <w:lvl w:ilvl="4">
      <w:start w:val="1"/>
      <w:numFmt w:val="decimal"/>
      <w:isLgl/>
      <w:lvlText w:val="%1.%2.%3.%4.%5"/>
      <w:lvlJc w:val="left"/>
      <w:pPr>
        <w:tabs>
          <w:tab w:val="num" w:pos="1080"/>
        </w:tabs>
        <w:ind w:left="1080" w:hanging="1080"/>
      </w:pPr>
    </w:lvl>
    <w:lvl w:ilvl="5">
      <w:start w:val="1"/>
      <w:numFmt w:val="decimal"/>
      <w:isLgl/>
      <w:lvlText w:val="%1.%2.%3.%4.%5.%6"/>
      <w:lvlJc w:val="left"/>
      <w:pPr>
        <w:tabs>
          <w:tab w:val="num" w:pos="1080"/>
        </w:tabs>
        <w:ind w:left="1080" w:hanging="1080"/>
      </w:pPr>
    </w:lvl>
    <w:lvl w:ilvl="6">
      <w:start w:val="1"/>
      <w:numFmt w:val="decimal"/>
      <w:isLgl/>
      <w:lvlText w:val="%1.%2.%3.%4.%5.%6.%7"/>
      <w:lvlJc w:val="left"/>
      <w:pPr>
        <w:tabs>
          <w:tab w:val="num" w:pos="1080"/>
        </w:tabs>
        <w:ind w:left="1080" w:hanging="1080"/>
      </w:pPr>
    </w:lvl>
    <w:lvl w:ilvl="7">
      <w:start w:val="1"/>
      <w:numFmt w:val="decimal"/>
      <w:isLgl/>
      <w:lvlText w:val="%1.%2.%3.%4.%5.%6.%7.%8"/>
      <w:lvlJc w:val="left"/>
      <w:pPr>
        <w:tabs>
          <w:tab w:val="num" w:pos="1440"/>
        </w:tabs>
        <w:ind w:left="1440" w:hanging="1440"/>
      </w:pPr>
    </w:lvl>
    <w:lvl w:ilvl="8">
      <w:start w:val="1"/>
      <w:numFmt w:val="decimal"/>
      <w:isLgl/>
      <w:lvlText w:val="%1.%2.%3.%4.%5.%6.%7.%8.%9"/>
      <w:lvlJc w:val="left"/>
      <w:pPr>
        <w:tabs>
          <w:tab w:val="num" w:pos="1440"/>
        </w:tabs>
        <w:ind w:left="1440" w:hanging="1440"/>
      </w:pPr>
    </w:lvl>
  </w:abstractNum>
  <w:abstractNum w:abstractNumId="1" w15:restartNumberingAfterBreak="0">
    <w:nsid w:val="08A6001B"/>
    <w:multiLevelType w:val="hybridMultilevel"/>
    <w:tmpl w:val="B2C4B5E4"/>
    <w:lvl w:ilvl="0" w:tplc="FE1042E4">
      <w:start w:val="1"/>
      <w:numFmt w:val="decimal"/>
      <w:pStyle w:val="Ruller4"/>
      <w:lvlText w:val="%1."/>
      <w:lvlJc w:val="left"/>
      <w:pPr>
        <w:tabs>
          <w:tab w:val="num" w:pos="907"/>
        </w:tabs>
        <w:ind w:left="0" w:firstLine="0"/>
      </w:pPr>
    </w:lvl>
    <w:lvl w:ilvl="1" w:tplc="A19666A8">
      <w:start w:val="1"/>
      <w:numFmt w:val="lowerLetter"/>
      <w:lvlText w:val="%2."/>
      <w:lvlJc w:val="left"/>
      <w:pPr>
        <w:tabs>
          <w:tab w:val="num" w:pos="1440"/>
        </w:tabs>
        <w:ind w:left="1440" w:hanging="360"/>
      </w:pPr>
    </w:lvl>
    <w:lvl w:ilvl="2" w:tplc="91EECD40">
      <w:start w:val="1"/>
      <w:numFmt w:val="lowerRoman"/>
      <w:lvlText w:val="%3."/>
      <w:lvlJc w:val="right"/>
      <w:pPr>
        <w:tabs>
          <w:tab w:val="num" w:pos="2160"/>
        </w:tabs>
        <w:ind w:left="2160" w:hanging="180"/>
      </w:pPr>
    </w:lvl>
    <w:lvl w:ilvl="3" w:tplc="A28A38FE">
      <w:start w:val="1"/>
      <w:numFmt w:val="decimal"/>
      <w:lvlText w:val="%4."/>
      <w:lvlJc w:val="left"/>
      <w:pPr>
        <w:tabs>
          <w:tab w:val="num" w:pos="2880"/>
        </w:tabs>
        <w:ind w:left="2880" w:hanging="360"/>
      </w:pPr>
    </w:lvl>
    <w:lvl w:ilvl="4" w:tplc="CCE86CD0">
      <w:start w:val="1"/>
      <w:numFmt w:val="lowerLetter"/>
      <w:lvlText w:val="%5."/>
      <w:lvlJc w:val="left"/>
      <w:pPr>
        <w:tabs>
          <w:tab w:val="num" w:pos="3600"/>
        </w:tabs>
        <w:ind w:left="3600" w:hanging="360"/>
      </w:pPr>
    </w:lvl>
    <w:lvl w:ilvl="5" w:tplc="E1F87E3E">
      <w:start w:val="1"/>
      <w:numFmt w:val="lowerRoman"/>
      <w:lvlText w:val="%6."/>
      <w:lvlJc w:val="right"/>
      <w:pPr>
        <w:tabs>
          <w:tab w:val="num" w:pos="4320"/>
        </w:tabs>
        <w:ind w:left="4320" w:hanging="180"/>
      </w:pPr>
    </w:lvl>
    <w:lvl w:ilvl="6" w:tplc="9760C8FA">
      <w:start w:val="1"/>
      <w:numFmt w:val="decimal"/>
      <w:lvlText w:val="%7."/>
      <w:lvlJc w:val="left"/>
      <w:pPr>
        <w:tabs>
          <w:tab w:val="num" w:pos="5040"/>
        </w:tabs>
        <w:ind w:left="5040" w:hanging="360"/>
      </w:pPr>
    </w:lvl>
    <w:lvl w:ilvl="7" w:tplc="B9A6C96E">
      <w:start w:val="1"/>
      <w:numFmt w:val="lowerLetter"/>
      <w:lvlText w:val="%8."/>
      <w:lvlJc w:val="left"/>
      <w:pPr>
        <w:tabs>
          <w:tab w:val="num" w:pos="5760"/>
        </w:tabs>
        <w:ind w:left="5760" w:hanging="360"/>
      </w:pPr>
    </w:lvl>
    <w:lvl w:ilvl="8" w:tplc="3EDE1F9E">
      <w:start w:val="1"/>
      <w:numFmt w:val="lowerRoman"/>
      <w:lvlText w:val="%9."/>
      <w:lvlJc w:val="right"/>
      <w:pPr>
        <w:tabs>
          <w:tab w:val="num" w:pos="6480"/>
        </w:tabs>
        <w:ind w:left="6480" w:hanging="180"/>
      </w:pPr>
    </w:lvl>
  </w:abstractNum>
  <w:abstractNum w:abstractNumId="2" w15:restartNumberingAfterBreak="0">
    <w:nsid w:val="426A0D32"/>
    <w:multiLevelType w:val="hybridMultilevel"/>
    <w:tmpl w:val="98E4CE56"/>
    <w:lvl w:ilvl="0" w:tplc="BEDC841C">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7EC356E9"/>
    <w:multiLevelType w:val="hybridMultilevel"/>
    <w:tmpl w:val="BBDA4410"/>
    <w:lvl w:ilvl="0" w:tplc="3E76A852">
      <w:start w:val="1"/>
      <w:numFmt w:val="decimal"/>
      <w:lvlText w:val="%1."/>
      <w:lvlJc w:val="left"/>
      <w:pPr>
        <w:ind w:left="1494" w:hanging="360"/>
      </w:pPr>
      <w:rPr>
        <w:rFonts w:ascii="David" w:hAnsi="David" w:cs="David" w:hint="default"/>
        <w:b w:val="0"/>
        <w:b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5231355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602743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938442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493553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23B45"/>
    <w:rsid w:val="00011A2C"/>
    <w:rsid w:val="00126771"/>
    <w:rsid w:val="00285DF9"/>
    <w:rsid w:val="00391A81"/>
    <w:rsid w:val="004E7A49"/>
    <w:rsid w:val="0098709A"/>
    <w:rsid w:val="009A4E4C"/>
    <w:rsid w:val="009A7603"/>
    <w:rsid w:val="009F6865"/>
    <w:rsid w:val="00A138A0"/>
    <w:rsid w:val="00A2200B"/>
    <w:rsid w:val="00C23B45"/>
    <w:rsid w:val="00C7464E"/>
    <w:rsid w:val="00E27E0A"/>
    <w:rsid w:val="00EF0637"/>
    <w:rsid w:val="00F838F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8338E3A"/>
  <w15:chartTrackingRefBased/>
  <w15:docId w15:val="{831AADBD-706E-4AB7-AE8D-4EDFDFAC4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C23B45"/>
    <w:pPr>
      <w:bidi/>
    </w:pPr>
    <w:rPr>
      <w:rFonts w:ascii="Times New Roman" w:eastAsia="Times New Roman" w:hAnsi="Times New Roman" w:cs="David"/>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C23B45"/>
    <w:pPr>
      <w:tabs>
        <w:tab w:val="center" w:pos="4153"/>
        <w:tab w:val="right" w:pos="8306"/>
      </w:tabs>
    </w:pPr>
  </w:style>
  <w:style w:type="character" w:customStyle="1" w:styleId="a5">
    <w:name w:val="כותרת עליונה תו"/>
    <w:link w:val="a4"/>
    <w:rsid w:val="00C23B45"/>
    <w:rPr>
      <w:rFonts w:ascii="Times New Roman" w:eastAsia="Times New Roman" w:hAnsi="Times New Roman" w:cs="David"/>
      <w:sz w:val="24"/>
      <w:szCs w:val="24"/>
    </w:rPr>
  </w:style>
  <w:style w:type="paragraph" w:styleId="a6">
    <w:name w:val="footer"/>
    <w:basedOn w:val="a0"/>
    <w:link w:val="a7"/>
    <w:rsid w:val="00C23B45"/>
    <w:pPr>
      <w:tabs>
        <w:tab w:val="center" w:pos="4153"/>
        <w:tab w:val="right" w:pos="8306"/>
      </w:tabs>
    </w:pPr>
  </w:style>
  <w:style w:type="character" w:customStyle="1" w:styleId="a7">
    <w:name w:val="כותרת תחתונה תו"/>
    <w:link w:val="a6"/>
    <w:rsid w:val="00C23B45"/>
    <w:rPr>
      <w:rFonts w:ascii="Times New Roman" w:eastAsia="Times New Roman" w:hAnsi="Times New Roman" w:cs="David"/>
      <w:sz w:val="24"/>
      <w:szCs w:val="24"/>
    </w:rPr>
  </w:style>
  <w:style w:type="table" w:styleId="a8">
    <w:name w:val="Table Grid"/>
    <w:basedOn w:val="a2"/>
    <w:rsid w:val="00C23B4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C23B45"/>
  </w:style>
  <w:style w:type="paragraph" w:styleId="a">
    <w:name w:val="List Number"/>
    <w:basedOn w:val="a0"/>
    <w:rsid w:val="00C23B45"/>
    <w:pPr>
      <w:numPr>
        <w:numId w:val="1"/>
      </w:numPr>
      <w:spacing w:after="120" w:line="360" w:lineRule="auto"/>
      <w:ind w:right="360"/>
    </w:pPr>
  </w:style>
  <w:style w:type="paragraph" w:styleId="aa">
    <w:name w:val="List Paragraph"/>
    <w:basedOn w:val="a0"/>
    <w:qFormat/>
    <w:rsid w:val="00C23B45"/>
    <w:pPr>
      <w:ind w:left="720"/>
      <w:contextualSpacing/>
    </w:pPr>
    <w:rPr>
      <w:rFonts w:ascii="David" w:eastAsia="David" w:hAnsi="David"/>
    </w:rPr>
  </w:style>
  <w:style w:type="character" w:customStyle="1" w:styleId="Ruller40">
    <w:name w:val="Ruller4 תו"/>
    <w:link w:val="Ruller41"/>
    <w:locked/>
    <w:rsid w:val="00C23B45"/>
    <w:rPr>
      <w:rFonts w:ascii="Arial TUR" w:hAnsi="Arial TUR" w:cs="FrankRuehl"/>
      <w:spacing w:val="10"/>
      <w:szCs w:val="28"/>
    </w:rPr>
  </w:style>
  <w:style w:type="paragraph" w:customStyle="1" w:styleId="Ruller41">
    <w:name w:val="Ruller4"/>
    <w:basedOn w:val="a0"/>
    <w:link w:val="Ruller40"/>
    <w:rsid w:val="00C23B45"/>
    <w:pPr>
      <w:tabs>
        <w:tab w:val="left" w:pos="800"/>
      </w:tabs>
      <w:overflowPunct w:val="0"/>
      <w:autoSpaceDE w:val="0"/>
      <w:autoSpaceDN w:val="0"/>
      <w:adjustRightInd w:val="0"/>
      <w:spacing w:line="360" w:lineRule="auto"/>
      <w:jc w:val="both"/>
    </w:pPr>
    <w:rPr>
      <w:rFonts w:ascii="Arial TUR" w:eastAsia="Calibri" w:hAnsi="Arial TUR" w:cs="FrankRuehl"/>
      <w:spacing w:val="10"/>
      <w:sz w:val="22"/>
      <w:szCs w:val="28"/>
    </w:rPr>
  </w:style>
  <w:style w:type="character" w:customStyle="1" w:styleId="Ruller42">
    <w:name w:val="Ruller 4 ממוספר תו"/>
    <w:link w:val="Ruller4"/>
    <w:locked/>
    <w:rsid w:val="00C23B45"/>
    <w:rPr>
      <w:rFonts w:ascii="Garamond" w:hAnsi="Garamond" w:cs="FrankRuehl"/>
      <w:spacing w:val="10"/>
      <w:sz w:val="24"/>
      <w:szCs w:val="28"/>
    </w:rPr>
  </w:style>
  <w:style w:type="paragraph" w:customStyle="1" w:styleId="Ruller4">
    <w:name w:val="Ruller 4 ממוספר"/>
    <w:basedOn w:val="Ruller41"/>
    <w:next w:val="Ruller41"/>
    <w:link w:val="Ruller42"/>
    <w:rsid w:val="00C23B45"/>
    <w:pPr>
      <w:numPr>
        <w:numId w:val="2"/>
      </w:numPr>
    </w:pPr>
    <w:rPr>
      <w:rFonts w:ascii="Garamond" w:hAnsi="Garamond"/>
      <w:sz w:val="24"/>
    </w:rPr>
  </w:style>
  <w:style w:type="paragraph" w:customStyle="1" w:styleId="Ruller5">
    <w:name w:val="Ruller5"/>
    <w:basedOn w:val="a0"/>
    <w:rsid w:val="00C23B45"/>
    <w:pPr>
      <w:overflowPunct w:val="0"/>
      <w:autoSpaceDE w:val="0"/>
      <w:autoSpaceDN w:val="0"/>
      <w:adjustRightInd w:val="0"/>
      <w:ind w:left="1642" w:right="1282"/>
      <w:jc w:val="both"/>
    </w:pPr>
    <w:rPr>
      <w:rFonts w:ascii="Arial TUR" w:hAnsi="Arial TUR" w:cs="FrankRuehl"/>
      <w:spacing w:val="10"/>
      <w:sz w:val="22"/>
      <w:szCs w:val="28"/>
    </w:rPr>
  </w:style>
  <w:style w:type="character" w:styleId="Hyperlink">
    <w:name w:val="Hyperlink"/>
    <w:rsid w:val="009870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8268880" TargetMode="External"/><Relationship Id="rId18" Type="http://schemas.openxmlformats.org/officeDocument/2006/relationships/hyperlink" Target="http://www.nevo.co.il/case/28452933" TargetMode="External"/><Relationship Id="rId26" Type="http://schemas.openxmlformats.org/officeDocument/2006/relationships/hyperlink" Target="http://www.nevo.co.il/case/28300349" TargetMode="External"/><Relationship Id="rId39" Type="http://schemas.openxmlformats.org/officeDocument/2006/relationships/fontTable" Target="fontTable.xml"/><Relationship Id="rId21" Type="http://schemas.openxmlformats.org/officeDocument/2006/relationships/hyperlink" Target="http://www.nevo.co.il/case/28229995"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70301" TargetMode="External"/><Relationship Id="rId12" Type="http://schemas.openxmlformats.org/officeDocument/2006/relationships/hyperlink" Target="http://www.nevo.co.il/case/27305799" TargetMode="External"/><Relationship Id="rId17" Type="http://schemas.openxmlformats.org/officeDocument/2006/relationships/hyperlink" Target="http://www.nevo.co.il/case/28152132" TargetMode="External"/><Relationship Id="rId25" Type="http://schemas.openxmlformats.org/officeDocument/2006/relationships/hyperlink" Target="http://www.nevo.co.il/case/27494821" TargetMode="External"/><Relationship Id="rId33" Type="http://schemas.openxmlformats.org/officeDocument/2006/relationships/hyperlink" Target="http://www.nevo.co.il/case/28452957"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case/27911638" TargetMode="External"/><Relationship Id="rId20" Type="http://schemas.openxmlformats.org/officeDocument/2006/relationships/hyperlink" Target="http://www.nevo.co.il/case/27499246" TargetMode="External"/><Relationship Id="rId29" Type="http://schemas.openxmlformats.org/officeDocument/2006/relationships/hyperlink" Target="http://www.nevo.co.il/case/2638341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27734980" TargetMode="External"/><Relationship Id="rId24" Type="http://schemas.openxmlformats.org/officeDocument/2006/relationships/hyperlink" Target="http://www.nevo.co.il/case/27911655" TargetMode="External"/><Relationship Id="rId32" Type="http://schemas.openxmlformats.org/officeDocument/2006/relationships/hyperlink" Target="http://www.nevo.co.il/case/25633308"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27894608" TargetMode="External"/><Relationship Id="rId23" Type="http://schemas.openxmlformats.org/officeDocument/2006/relationships/hyperlink" Target="http://www.nevo.co.il/case/28883087" TargetMode="External"/><Relationship Id="rId28" Type="http://schemas.openxmlformats.org/officeDocument/2006/relationships/hyperlink" Target="http://www.nevo.co.il/case/28384637" TargetMode="External"/><Relationship Id="rId36" Type="http://schemas.openxmlformats.org/officeDocument/2006/relationships/header" Target="header2.xml"/><Relationship Id="rId10" Type="http://schemas.openxmlformats.org/officeDocument/2006/relationships/hyperlink" Target="http://www.nevo.co.il/law/70301" TargetMode="External"/><Relationship Id="rId19" Type="http://schemas.openxmlformats.org/officeDocument/2006/relationships/hyperlink" Target="http://www.nevo.co.il/case/27305799" TargetMode="External"/><Relationship Id="rId31" Type="http://schemas.openxmlformats.org/officeDocument/2006/relationships/hyperlink" Target="http://www.nevo.co.il/case/17954217" TargetMode="Externa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case/28513828" TargetMode="External"/><Relationship Id="rId22" Type="http://schemas.openxmlformats.org/officeDocument/2006/relationships/hyperlink" Target="http://www.nevo.co.il/case/28384637" TargetMode="External"/><Relationship Id="rId27" Type="http://schemas.openxmlformats.org/officeDocument/2006/relationships/hyperlink" Target="http://www.nevo.co.il/case/28452933" TargetMode="External"/><Relationship Id="rId30" Type="http://schemas.openxmlformats.org/officeDocument/2006/relationships/hyperlink" Target="http://www.nevo.co.il/case/17015235" TargetMode="External"/><Relationship Id="rId35" Type="http://schemas.openxmlformats.org/officeDocument/2006/relationships/header" Target="header1.xml"/><Relationship Id="rId8" Type="http://schemas.openxmlformats.org/officeDocument/2006/relationships/hyperlink" Target="http://www.nevo.co.il/law/70301/144.b"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2581</Words>
  <Characters>12907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15458</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3211376</vt:i4>
      </vt:variant>
      <vt:variant>
        <vt:i4>78</vt:i4>
      </vt:variant>
      <vt:variant>
        <vt:i4>0</vt:i4>
      </vt:variant>
      <vt:variant>
        <vt:i4>5</vt:i4>
      </vt:variant>
      <vt:variant>
        <vt:lpwstr>http://www.nevo.co.il/case/28452957</vt:lpwstr>
      </vt:variant>
      <vt:variant>
        <vt:lpwstr/>
      </vt:variant>
      <vt:variant>
        <vt:i4>3604593</vt:i4>
      </vt:variant>
      <vt:variant>
        <vt:i4>75</vt:i4>
      </vt:variant>
      <vt:variant>
        <vt:i4>0</vt:i4>
      </vt:variant>
      <vt:variant>
        <vt:i4>5</vt:i4>
      </vt:variant>
      <vt:variant>
        <vt:lpwstr>http://www.nevo.co.il/case/25633308</vt:lpwstr>
      </vt:variant>
      <vt:variant>
        <vt:lpwstr/>
      </vt:variant>
      <vt:variant>
        <vt:i4>3997812</vt:i4>
      </vt:variant>
      <vt:variant>
        <vt:i4>72</vt:i4>
      </vt:variant>
      <vt:variant>
        <vt:i4>0</vt:i4>
      </vt:variant>
      <vt:variant>
        <vt:i4>5</vt:i4>
      </vt:variant>
      <vt:variant>
        <vt:lpwstr>http://www.nevo.co.il/case/17954217</vt:lpwstr>
      </vt:variant>
      <vt:variant>
        <vt:lpwstr/>
      </vt:variant>
      <vt:variant>
        <vt:i4>3604592</vt:i4>
      </vt:variant>
      <vt:variant>
        <vt:i4>69</vt:i4>
      </vt:variant>
      <vt:variant>
        <vt:i4>0</vt:i4>
      </vt:variant>
      <vt:variant>
        <vt:i4>5</vt:i4>
      </vt:variant>
      <vt:variant>
        <vt:lpwstr>http://www.nevo.co.il/case/17015235</vt:lpwstr>
      </vt:variant>
      <vt:variant>
        <vt:lpwstr/>
      </vt:variant>
      <vt:variant>
        <vt:i4>3342462</vt:i4>
      </vt:variant>
      <vt:variant>
        <vt:i4>66</vt:i4>
      </vt:variant>
      <vt:variant>
        <vt:i4>0</vt:i4>
      </vt:variant>
      <vt:variant>
        <vt:i4>5</vt:i4>
      </vt:variant>
      <vt:variant>
        <vt:lpwstr>http://www.nevo.co.il/case/26383419</vt:lpwstr>
      </vt:variant>
      <vt:variant>
        <vt:lpwstr/>
      </vt:variant>
      <vt:variant>
        <vt:i4>3539058</vt:i4>
      </vt:variant>
      <vt:variant>
        <vt:i4>63</vt:i4>
      </vt:variant>
      <vt:variant>
        <vt:i4>0</vt:i4>
      </vt:variant>
      <vt:variant>
        <vt:i4>5</vt:i4>
      </vt:variant>
      <vt:variant>
        <vt:lpwstr>http://www.nevo.co.il/case/28384637</vt:lpwstr>
      </vt:variant>
      <vt:variant>
        <vt:lpwstr/>
      </vt:variant>
      <vt:variant>
        <vt:i4>3604592</vt:i4>
      </vt:variant>
      <vt:variant>
        <vt:i4>60</vt:i4>
      </vt:variant>
      <vt:variant>
        <vt:i4>0</vt:i4>
      </vt:variant>
      <vt:variant>
        <vt:i4>5</vt:i4>
      </vt:variant>
      <vt:variant>
        <vt:lpwstr>http://www.nevo.co.il/case/28452933</vt:lpwstr>
      </vt:variant>
      <vt:variant>
        <vt:lpwstr/>
      </vt:variant>
      <vt:variant>
        <vt:i4>3473535</vt:i4>
      </vt:variant>
      <vt:variant>
        <vt:i4>57</vt:i4>
      </vt:variant>
      <vt:variant>
        <vt:i4>0</vt:i4>
      </vt:variant>
      <vt:variant>
        <vt:i4>5</vt:i4>
      </vt:variant>
      <vt:variant>
        <vt:lpwstr>http://www.nevo.co.il/case/28300349</vt:lpwstr>
      </vt:variant>
      <vt:variant>
        <vt:lpwstr/>
      </vt:variant>
      <vt:variant>
        <vt:i4>3145842</vt:i4>
      </vt:variant>
      <vt:variant>
        <vt:i4>54</vt:i4>
      </vt:variant>
      <vt:variant>
        <vt:i4>0</vt:i4>
      </vt:variant>
      <vt:variant>
        <vt:i4>5</vt:i4>
      </vt:variant>
      <vt:variant>
        <vt:lpwstr>http://www.nevo.co.il/case/27494821</vt:lpwstr>
      </vt:variant>
      <vt:variant>
        <vt:lpwstr/>
      </vt:variant>
      <vt:variant>
        <vt:i4>4128884</vt:i4>
      </vt:variant>
      <vt:variant>
        <vt:i4>51</vt:i4>
      </vt:variant>
      <vt:variant>
        <vt:i4>0</vt:i4>
      </vt:variant>
      <vt:variant>
        <vt:i4>5</vt:i4>
      </vt:variant>
      <vt:variant>
        <vt:lpwstr>http://www.nevo.co.il/case/27911655</vt:lpwstr>
      </vt:variant>
      <vt:variant>
        <vt:lpwstr/>
      </vt:variant>
      <vt:variant>
        <vt:i4>3211380</vt:i4>
      </vt:variant>
      <vt:variant>
        <vt:i4>48</vt:i4>
      </vt:variant>
      <vt:variant>
        <vt:i4>0</vt:i4>
      </vt:variant>
      <vt:variant>
        <vt:i4>5</vt:i4>
      </vt:variant>
      <vt:variant>
        <vt:lpwstr>http://www.nevo.co.il/case/28883087</vt:lpwstr>
      </vt:variant>
      <vt:variant>
        <vt:lpwstr/>
      </vt:variant>
      <vt:variant>
        <vt:i4>3539058</vt:i4>
      </vt:variant>
      <vt:variant>
        <vt:i4>45</vt:i4>
      </vt:variant>
      <vt:variant>
        <vt:i4>0</vt:i4>
      </vt:variant>
      <vt:variant>
        <vt:i4>5</vt:i4>
      </vt:variant>
      <vt:variant>
        <vt:lpwstr>http://www.nevo.co.il/case/28384637</vt:lpwstr>
      </vt:variant>
      <vt:variant>
        <vt:lpwstr/>
      </vt:variant>
      <vt:variant>
        <vt:i4>3145847</vt:i4>
      </vt:variant>
      <vt:variant>
        <vt:i4>42</vt:i4>
      </vt:variant>
      <vt:variant>
        <vt:i4>0</vt:i4>
      </vt:variant>
      <vt:variant>
        <vt:i4>5</vt:i4>
      </vt:variant>
      <vt:variant>
        <vt:lpwstr>http://www.nevo.co.il/case/28229995</vt:lpwstr>
      </vt:variant>
      <vt:variant>
        <vt:lpwstr/>
      </vt:variant>
      <vt:variant>
        <vt:i4>3866744</vt:i4>
      </vt:variant>
      <vt:variant>
        <vt:i4>39</vt:i4>
      </vt:variant>
      <vt:variant>
        <vt:i4>0</vt:i4>
      </vt:variant>
      <vt:variant>
        <vt:i4>5</vt:i4>
      </vt:variant>
      <vt:variant>
        <vt:lpwstr>http://www.nevo.co.il/case/27499246</vt:lpwstr>
      </vt:variant>
      <vt:variant>
        <vt:lpwstr/>
      </vt:variant>
      <vt:variant>
        <vt:i4>3997812</vt:i4>
      </vt:variant>
      <vt:variant>
        <vt:i4>36</vt:i4>
      </vt:variant>
      <vt:variant>
        <vt:i4>0</vt:i4>
      </vt:variant>
      <vt:variant>
        <vt:i4>5</vt:i4>
      </vt:variant>
      <vt:variant>
        <vt:lpwstr>http://www.nevo.co.il/case/27305799</vt:lpwstr>
      </vt:variant>
      <vt:variant>
        <vt:lpwstr/>
      </vt:variant>
      <vt:variant>
        <vt:i4>3604592</vt:i4>
      </vt:variant>
      <vt:variant>
        <vt:i4>33</vt:i4>
      </vt:variant>
      <vt:variant>
        <vt:i4>0</vt:i4>
      </vt:variant>
      <vt:variant>
        <vt:i4>5</vt:i4>
      </vt:variant>
      <vt:variant>
        <vt:lpwstr>http://www.nevo.co.il/case/28452933</vt:lpwstr>
      </vt:variant>
      <vt:variant>
        <vt:lpwstr/>
      </vt:variant>
      <vt:variant>
        <vt:i4>3276920</vt:i4>
      </vt:variant>
      <vt:variant>
        <vt:i4>30</vt:i4>
      </vt:variant>
      <vt:variant>
        <vt:i4>0</vt:i4>
      </vt:variant>
      <vt:variant>
        <vt:i4>5</vt:i4>
      </vt:variant>
      <vt:variant>
        <vt:lpwstr>http://www.nevo.co.il/case/28152132</vt:lpwstr>
      </vt:variant>
      <vt:variant>
        <vt:lpwstr/>
      </vt:variant>
      <vt:variant>
        <vt:i4>3735668</vt:i4>
      </vt:variant>
      <vt:variant>
        <vt:i4>27</vt:i4>
      </vt:variant>
      <vt:variant>
        <vt:i4>0</vt:i4>
      </vt:variant>
      <vt:variant>
        <vt:i4>5</vt:i4>
      </vt:variant>
      <vt:variant>
        <vt:lpwstr>http://www.nevo.co.il/case/27911638</vt:lpwstr>
      </vt:variant>
      <vt:variant>
        <vt:lpwstr/>
      </vt:variant>
      <vt:variant>
        <vt:i4>4063356</vt:i4>
      </vt:variant>
      <vt:variant>
        <vt:i4>24</vt:i4>
      </vt:variant>
      <vt:variant>
        <vt:i4>0</vt:i4>
      </vt:variant>
      <vt:variant>
        <vt:i4>5</vt:i4>
      </vt:variant>
      <vt:variant>
        <vt:lpwstr>http://www.nevo.co.il/case/27894608</vt:lpwstr>
      </vt:variant>
      <vt:variant>
        <vt:lpwstr/>
      </vt:variant>
      <vt:variant>
        <vt:i4>3539061</vt:i4>
      </vt:variant>
      <vt:variant>
        <vt:i4>21</vt:i4>
      </vt:variant>
      <vt:variant>
        <vt:i4>0</vt:i4>
      </vt:variant>
      <vt:variant>
        <vt:i4>5</vt:i4>
      </vt:variant>
      <vt:variant>
        <vt:lpwstr>http://www.nevo.co.il/case/28513828</vt:lpwstr>
      </vt:variant>
      <vt:variant>
        <vt:lpwstr/>
      </vt:variant>
      <vt:variant>
        <vt:i4>3145842</vt:i4>
      </vt:variant>
      <vt:variant>
        <vt:i4>18</vt:i4>
      </vt:variant>
      <vt:variant>
        <vt:i4>0</vt:i4>
      </vt:variant>
      <vt:variant>
        <vt:i4>5</vt:i4>
      </vt:variant>
      <vt:variant>
        <vt:lpwstr>http://www.nevo.co.il/case/28268880</vt:lpwstr>
      </vt:variant>
      <vt:variant>
        <vt:lpwstr/>
      </vt:variant>
      <vt:variant>
        <vt:i4>3997812</vt:i4>
      </vt:variant>
      <vt:variant>
        <vt:i4>15</vt:i4>
      </vt:variant>
      <vt:variant>
        <vt:i4>0</vt:i4>
      </vt:variant>
      <vt:variant>
        <vt:i4>5</vt:i4>
      </vt:variant>
      <vt:variant>
        <vt:lpwstr>http://www.nevo.co.il/case/27305799</vt:lpwstr>
      </vt:variant>
      <vt:variant>
        <vt:lpwstr/>
      </vt:variant>
      <vt:variant>
        <vt:i4>3735673</vt:i4>
      </vt:variant>
      <vt:variant>
        <vt:i4>12</vt:i4>
      </vt:variant>
      <vt:variant>
        <vt:i4>0</vt:i4>
      </vt:variant>
      <vt:variant>
        <vt:i4>5</vt:i4>
      </vt:variant>
      <vt:variant>
        <vt:lpwstr>http://www.nevo.co.il/case/27734980</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2025-01-19T16:42:00Z</dcterms:created>
  <dcterms:modified xsi:type="dcterms:W3CDTF">2025-01-19T16:42:00Z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1178</vt:lpwstr>
  </property>
  <property fmtid="{D5CDD505-2E9C-101B-9397-08002B2CF9AE}" pid="6" name="NEWPARTB">
    <vt:lpwstr>06</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נאדים מסארוה </vt:lpwstr>
  </property>
  <property fmtid="{D5CDD505-2E9C-101B-9397-08002B2CF9AE}" pid="10" name="LAWYER">
    <vt:lpwstr>ליטל שירי;בר עוז ובראנסי</vt:lpwstr>
  </property>
  <property fmtid="{D5CDD505-2E9C-101B-9397-08002B2CF9AE}" pid="11" name="JUDGE">
    <vt:lpwstr>מרב גרינברג</vt:lpwstr>
  </property>
  <property fmtid="{D5CDD505-2E9C-101B-9397-08002B2CF9AE}" pid="12" name="CITY">
    <vt:lpwstr>מרכז</vt:lpwstr>
  </property>
  <property fmtid="{D5CDD505-2E9C-101B-9397-08002B2CF9AE}" pid="13" name="DATE">
    <vt:lpwstr>20230130</vt:lpwstr>
  </property>
  <property fmtid="{D5CDD505-2E9C-101B-9397-08002B2CF9AE}" pid="14" name="TYPE_N_DATE">
    <vt:lpwstr>39020230130</vt:lpwstr>
  </property>
  <property fmtid="{D5CDD505-2E9C-101B-9397-08002B2CF9AE}" pid="15" name="WORDNUMPAGES">
    <vt:lpwstr>8</vt:lpwstr>
  </property>
  <property fmtid="{D5CDD505-2E9C-101B-9397-08002B2CF9AE}" pid="16" name="TYPE_ABS_DATE">
    <vt:lpwstr>390020230130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27734980;27305799:2;28268880;28513828;27894608;27911638;28152132;28452933:2;27499246;28229995;28384637:2;28883087;27911655;27494821;28300349;26383419;17015235;17954217;25633308;28452957</vt:lpwstr>
  </property>
  <property fmtid="{D5CDD505-2E9C-101B-9397-08002B2CF9AE}" pid="36" name="LAWLISTTMP1">
    <vt:lpwstr>70301/144.b</vt:lpwstr>
  </property>
</Properties>
</file>