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52142F" w:rsidRPr="006C405F" w14:paraId="6E6AE0C2" w14:textId="77777777" w:rsidTr="000455DF">
        <w:trPr>
          <w:trHeight w:hRule="exact" w:val="418"/>
          <w:jc w:val="center"/>
        </w:trPr>
        <w:tc>
          <w:tcPr>
            <w:tcW w:w="8721" w:type="dxa"/>
            <w:gridSpan w:val="2"/>
          </w:tcPr>
          <w:p w14:paraId="2EBEF287" w14:textId="77777777" w:rsidR="0052142F" w:rsidRPr="006C405F" w:rsidRDefault="0052142F" w:rsidP="00C60558">
            <w:pPr>
              <w:pStyle w:val="a3"/>
              <w:jc w:val="center"/>
              <w:rPr>
                <w:rFonts w:ascii="Tahoma" w:hAnsi="Tahoma" w:cs="Tahoma"/>
                <w:color w:val="000080"/>
                <w:rtl/>
              </w:rPr>
            </w:pPr>
            <w:bookmarkStart w:id="0" w:name="LastJudge"/>
            <w:r w:rsidRPr="006C405F">
              <w:rPr>
                <w:rFonts w:ascii="Tahoma" w:hAnsi="Tahoma" w:cs="Tahoma"/>
                <w:b/>
                <w:bCs/>
                <w:color w:val="000080"/>
                <w:rtl/>
              </w:rPr>
              <w:t>בית המשפט המחוזי בחיפה</w:t>
            </w:r>
          </w:p>
        </w:tc>
      </w:tr>
      <w:tr w:rsidR="0052142F" w:rsidRPr="006C405F" w14:paraId="66E92104" w14:textId="77777777" w:rsidTr="000455DF">
        <w:trPr>
          <w:trHeight w:val="337"/>
          <w:jc w:val="center"/>
        </w:trPr>
        <w:tc>
          <w:tcPr>
            <w:tcW w:w="5060" w:type="dxa"/>
          </w:tcPr>
          <w:p w14:paraId="153D69C4" w14:textId="77777777" w:rsidR="0052142F" w:rsidRPr="006C405F" w:rsidRDefault="0052142F" w:rsidP="00C60558">
            <w:pPr>
              <w:rPr>
                <w:rFonts w:cs="FrankRuehl"/>
                <w:sz w:val="28"/>
                <w:szCs w:val="28"/>
                <w:rtl/>
              </w:rPr>
            </w:pPr>
            <w:r w:rsidRPr="006C405F">
              <w:rPr>
                <w:rFonts w:cs="FrankRuehl"/>
                <w:sz w:val="28"/>
                <w:szCs w:val="28"/>
                <w:rtl/>
              </w:rPr>
              <w:t>ת"פ</w:t>
            </w:r>
            <w:r w:rsidRPr="006C405F">
              <w:rPr>
                <w:rFonts w:cs="FrankRuehl" w:hint="cs"/>
                <w:sz w:val="28"/>
                <w:szCs w:val="28"/>
                <w:rtl/>
              </w:rPr>
              <w:t xml:space="preserve"> </w:t>
            </w:r>
            <w:r w:rsidRPr="006C405F">
              <w:rPr>
                <w:rFonts w:cs="FrankRuehl"/>
                <w:sz w:val="28"/>
                <w:szCs w:val="28"/>
                <w:rtl/>
              </w:rPr>
              <w:t>24361-06-21</w:t>
            </w:r>
            <w:r w:rsidRPr="006C405F">
              <w:rPr>
                <w:rFonts w:cs="FrankRuehl" w:hint="cs"/>
                <w:sz w:val="28"/>
                <w:szCs w:val="28"/>
                <w:rtl/>
              </w:rPr>
              <w:t xml:space="preserve"> </w:t>
            </w:r>
            <w:r w:rsidRPr="006C405F">
              <w:rPr>
                <w:rFonts w:cs="FrankRuehl"/>
                <w:sz w:val="28"/>
                <w:szCs w:val="28"/>
                <w:rtl/>
              </w:rPr>
              <w:t>מדינת ישראל נ' חסארמה(עציר) ואח'</w:t>
            </w:r>
          </w:p>
          <w:p w14:paraId="700F3E45" w14:textId="77777777" w:rsidR="0052142F" w:rsidRPr="006C405F" w:rsidRDefault="0052142F" w:rsidP="00C60558">
            <w:pPr>
              <w:pStyle w:val="a3"/>
              <w:rPr>
                <w:rFonts w:cs="FrankRuehl"/>
                <w:sz w:val="28"/>
                <w:szCs w:val="28"/>
                <w:rtl/>
              </w:rPr>
            </w:pPr>
          </w:p>
        </w:tc>
        <w:tc>
          <w:tcPr>
            <w:tcW w:w="3661" w:type="dxa"/>
          </w:tcPr>
          <w:p w14:paraId="13D4D481" w14:textId="77777777" w:rsidR="0052142F" w:rsidRPr="006C405F" w:rsidRDefault="0052142F" w:rsidP="00C60558">
            <w:pPr>
              <w:pStyle w:val="a3"/>
              <w:jc w:val="right"/>
              <w:rPr>
                <w:rFonts w:cs="FrankRuehl"/>
                <w:sz w:val="28"/>
                <w:szCs w:val="28"/>
                <w:rtl/>
              </w:rPr>
            </w:pPr>
          </w:p>
        </w:tc>
      </w:tr>
    </w:tbl>
    <w:p w14:paraId="18A49396" w14:textId="77777777" w:rsidR="0052142F" w:rsidRPr="006C405F" w:rsidRDefault="0052142F" w:rsidP="0052142F">
      <w:pPr>
        <w:pStyle w:val="a3"/>
        <w:rPr>
          <w:rtl/>
        </w:rPr>
      </w:pPr>
      <w:r w:rsidRPr="006C405F">
        <w:rPr>
          <w:rFonts w:hint="cs"/>
          <w:rtl/>
        </w:rPr>
        <w:t xml:space="preserve"> </w:t>
      </w:r>
    </w:p>
    <w:p w14:paraId="7CBEA201" w14:textId="77777777" w:rsidR="0052142F" w:rsidRPr="006C405F" w:rsidRDefault="0052142F" w:rsidP="0052142F">
      <w:pPr>
        <w:spacing w:line="360" w:lineRule="auto"/>
        <w:jc w:val="both"/>
        <w:rPr>
          <w:rFonts w:ascii="David" w:hAnsi="David"/>
          <w:sz w:val="6"/>
          <w:szCs w:val="6"/>
          <w:rtl/>
        </w:rPr>
      </w:pPr>
    </w:p>
    <w:p w14:paraId="3859E944" w14:textId="77777777" w:rsidR="0052142F" w:rsidRPr="006C405F" w:rsidRDefault="0052142F" w:rsidP="0052142F">
      <w:pPr>
        <w:spacing w:line="360" w:lineRule="auto"/>
        <w:jc w:val="both"/>
        <w:rPr>
          <w:rFonts w:ascii="David" w:hAnsi="David"/>
          <w:sz w:val="6"/>
          <w:szCs w:val="6"/>
          <w:rtl/>
        </w:rPr>
      </w:pPr>
    </w:p>
    <w:tbl>
      <w:tblPr>
        <w:bidiVisual/>
        <w:tblW w:w="8802" w:type="dxa"/>
        <w:tblInd w:w="-28" w:type="dxa"/>
        <w:tblLook w:val="01E0" w:firstRow="1" w:lastRow="1" w:firstColumn="1" w:lastColumn="1" w:noHBand="0" w:noVBand="0"/>
      </w:tblPr>
      <w:tblGrid>
        <w:gridCol w:w="2880"/>
        <w:gridCol w:w="5838"/>
        <w:gridCol w:w="84"/>
      </w:tblGrid>
      <w:tr w:rsidR="0052142F" w:rsidRPr="006C405F" w14:paraId="508E67B9" w14:textId="77777777" w:rsidTr="0052142F">
        <w:trPr>
          <w:gridAfter w:val="1"/>
          <w:wAfter w:w="56" w:type="dxa"/>
        </w:trPr>
        <w:tc>
          <w:tcPr>
            <w:tcW w:w="8718" w:type="dxa"/>
            <w:gridSpan w:val="2"/>
            <w:shd w:val="clear" w:color="auto" w:fill="auto"/>
          </w:tcPr>
          <w:p w14:paraId="6C569491" w14:textId="77777777" w:rsidR="0052142F" w:rsidRPr="006C405F" w:rsidRDefault="0052142F" w:rsidP="00C60558">
            <w:pPr>
              <w:rPr>
                <w:rFonts w:ascii="David" w:hAnsi="David"/>
                <w:b/>
                <w:bCs/>
                <w:sz w:val="26"/>
                <w:szCs w:val="26"/>
                <w:rtl/>
              </w:rPr>
            </w:pPr>
            <w:r w:rsidRPr="006C405F">
              <w:rPr>
                <w:rFonts w:ascii="David" w:hAnsi="David"/>
                <w:b/>
                <w:bCs/>
                <w:sz w:val="26"/>
                <w:szCs w:val="26"/>
                <w:rtl/>
              </w:rPr>
              <w:t>לפני כבוד השופט ארז פורת</w:t>
            </w:r>
            <w:r w:rsidRPr="006C405F">
              <w:rPr>
                <w:rStyle w:val="TimesNewRomanTimesNewRoman"/>
                <w:rFonts w:ascii="David" w:hAnsi="David"/>
                <w:rtl/>
              </w:rPr>
              <w:t xml:space="preserve"> </w:t>
            </w:r>
          </w:p>
        </w:tc>
      </w:tr>
      <w:tr w:rsidR="0052142F" w:rsidRPr="006C405F" w14:paraId="46EACEBD" w14:textId="77777777" w:rsidTr="0052142F">
        <w:trPr>
          <w:cantSplit/>
          <w:trHeight w:val="724"/>
        </w:trPr>
        <w:tc>
          <w:tcPr>
            <w:tcW w:w="2880" w:type="dxa"/>
            <w:shd w:val="clear" w:color="auto" w:fill="auto"/>
          </w:tcPr>
          <w:p w14:paraId="022E1787" w14:textId="77777777" w:rsidR="0052142F" w:rsidRPr="006C405F" w:rsidRDefault="0052142F" w:rsidP="0052142F">
            <w:pPr>
              <w:ind w:left="26"/>
              <w:rPr>
                <w:rFonts w:ascii="David" w:hAnsi="David"/>
                <w:b/>
                <w:bCs/>
                <w:sz w:val="26"/>
                <w:szCs w:val="26"/>
                <w:rtl/>
              </w:rPr>
            </w:pPr>
            <w:bookmarkStart w:id="1" w:name="FirstAppellant"/>
          </w:p>
          <w:p w14:paraId="3D493810" w14:textId="77777777" w:rsidR="0052142F" w:rsidRPr="006C405F" w:rsidRDefault="0052142F" w:rsidP="0052142F">
            <w:pPr>
              <w:ind w:left="26"/>
              <w:rPr>
                <w:rFonts w:ascii="David" w:hAnsi="David"/>
                <w:b/>
                <w:bCs/>
                <w:sz w:val="26"/>
                <w:szCs w:val="26"/>
                <w:rtl/>
              </w:rPr>
            </w:pPr>
            <w:r w:rsidRPr="006C405F">
              <w:rPr>
                <w:rFonts w:ascii="David" w:hAnsi="David"/>
                <w:b/>
                <w:bCs/>
                <w:sz w:val="26"/>
                <w:szCs w:val="26"/>
                <w:rtl/>
              </w:rPr>
              <w:t>המאשימה</w:t>
            </w:r>
          </w:p>
        </w:tc>
        <w:tc>
          <w:tcPr>
            <w:tcW w:w="5922" w:type="dxa"/>
            <w:gridSpan w:val="2"/>
            <w:shd w:val="clear" w:color="auto" w:fill="auto"/>
          </w:tcPr>
          <w:p w14:paraId="3CF88320" w14:textId="77777777" w:rsidR="0052142F" w:rsidRPr="006C405F" w:rsidRDefault="0052142F" w:rsidP="00C60558">
            <w:pPr>
              <w:rPr>
                <w:rFonts w:ascii="David" w:hAnsi="David"/>
                <w:rtl/>
              </w:rPr>
            </w:pPr>
          </w:p>
          <w:p w14:paraId="24CB2DC8" w14:textId="77777777" w:rsidR="0052142F" w:rsidRPr="006C405F" w:rsidRDefault="0052142F" w:rsidP="00C60558">
            <w:pPr>
              <w:rPr>
                <w:rFonts w:ascii="David" w:hAnsi="David"/>
                <w:b/>
                <w:bCs/>
                <w:sz w:val="26"/>
                <w:szCs w:val="26"/>
                <w:rtl/>
              </w:rPr>
            </w:pPr>
            <w:r w:rsidRPr="006C405F">
              <w:rPr>
                <w:rFonts w:ascii="David" w:hAnsi="David"/>
                <w:rtl/>
              </w:rPr>
              <w:t xml:space="preserve"> </w:t>
            </w:r>
            <w:r w:rsidRPr="006C405F">
              <w:rPr>
                <w:rFonts w:ascii="David" w:hAnsi="David"/>
                <w:b/>
                <w:bCs/>
                <w:sz w:val="26"/>
                <w:szCs w:val="26"/>
                <w:rtl/>
              </w:rPr>
              <w:t>מדינת ישראל</w:t>
            </w:r>
          </w:p>
          <w:p w14:paraId="21A80C41" w14:textId="77777777" w:rsidR="0052142F" w:rsidRPr="006C405F" w:rsidRDefault="0052142F" w:rsidP="00C60558">
            <w:pPr>
              <w:rPr>
                <w:rFonts w:ascii="David" w:hAnsi="David"/>
                <w:b/>
                <w:bCs/>
                <w:sz w:val="26"/>
                <w:szCs w:val="26"/>
                <w:rtl/>
              </w:rPr>
            </w:pPr>
          </w:p>
        </w:tc>
      </w:tr>
      <w:bookmarkEnd w:id="1"/>
      <w:tr w:rsidR="0052142F" w:rsidRPr="006C405F" w14:paraId="66BC8197" w14:textId="77777777" w:rsidTr="0052142F">
        <w:tc>
          <w:tcPr>
            <w:tcW w:w="8802" w:type="dxa"/>
            <w:gridSpan w:val="3"/>
            <w:shd w:val="clear" w:color="auto" w:fill="auto"/>
            <w:vAlign w:val="center"/>
          </w:tcPr>
          <w:p w14:paraId="3909FA2F" w14:textId="77777777" w:rsidR="0052142F" w:rsidRPr="006C405F" w:rsidRDefault="0052142F" w:rsidP="0052142F">
            <w:pPr>
              <w:jc w:val="center"/>
              <w:rPr>
                <w:rFonts w:ascii="David" w:hAnsi="David"/>
                <w:b/>
                <w:bCs/>
                <w:sz w:val="26"/>
                <w:szCs w:val="26"/>
                <w:rtl/>
              </w:rPr>
            </w:pPr>
          </w:p>
          <w:p w14:paraId="4ECFA887" w14:textId="77777777" w:rsidR="0052142F" w:rsidRPr="006C405F" w:rsidRDefault="0052142F" w:rsidP="0052142F">
            <w:pPr>
              <w:jc w:val="center"/>
              <w:rPr>
                <w:rFonts w:ascii="David" w:hAnsi="David"/>
                <w:b/>
                <w:bCs/>
                <w:sz w:val="26"/>
                <w:szCs w:val="26"/>
                <w:rtl/>
              </w:rPr>
            </w:pPr>
            <w:r w:rsidRPr="006C405F">
              <w:rPr>
                <w:rFonts w:ascii="David" w:hAnsi="David"/>
                <w:b/>
                <w:bCs/>
                <w:sz w:val="26"/>
                <w:szCs w:val="26"/>
                <w:rtl/>
              </w:rPr>
              <w:t>נגד</w:t>
            </w:r>
          </w:p>
          <w:p w14:paraId="0F811983" w14:textId="77777777" w:rsidR="0052142F" w:rsidRPr="006C405F" w:rsidRDefault="0052142F" w:rsidP="00C60558">
            <w:pPr>
              <w:rPr>
                <w:rFonts w:ascii="David" w:hAnsi="David"/>
                <w:b/>
                <w:bCs/>
                <w:sz w:val="26"/>
                <w:szCs w:val="26"/>
                <w:rtl/>
              </w:rPr>
            </w:pPr>
          </w:p>
        </w:tc>
      </w:tr>
      <w:tr w:rsidR="0052142F" w:rsidRPr="006C405F" w14:paraId="52BBE771" w14:textId="77777777" w:rsidTr="0052142F">
        <w:tc>
          <w:tcPr>
            <w:tcW w:w="2880" w:type="dxa"/>
            <w:shd w:val="clear" w:color="auto" w:fill="auto"/>
          </w:tcPr>
          <w:p w14:paraId="68C4773D" w14:textId="77777777" w:rsidR="0052142F" w:rsidRPr="006C405F" w:rsidRDefault="0052142F" w:rsidP="0052142F">
            <w:pPr>
              <w:ind w:left="26"/>
              <w:rPr>
                <w:rFonts w:ascii="David" w:hAnsi="David"/>
                <w:b/>
                <w:bCs/>
                <w:sz w:val="26"/>
                <w:szCs w:val="26"/>
              </w:rPr>
            </w:pPr>
            <w:r w:rsidRPr="006C405F">
              <w:rPr>
                <w:rFonts w:ascii="David" w:hAnsi="David"/>
                <w:b/>
                <w:bCs/>
                <w:sz w:val="26"/>
                <w:szCs w:val="26"/>
                <w:rtl/>
              </w:rPr>
              <w:t>הנאשמים</w:t>
            </w:r>
          </w:p>
        </w:tc>
        <w:tc>
          <w:tcPr>
            <w:tcW w:w="5922" w:type="dxa"/>
            <w:gridSpan w:val="2"/>
            <w:shd w:val="clear" w:color="auto" w:fill="auto"/>
          </w:tcPr>
          <w:p w14:paraId="541F42E4" w14:textId="77777777" w:rsidR="0052142F" w:rsidRPr="006C405F" w:rsidRDefault="0052142F" w:rsidP="00C60558">
            <w:pPr>
              <w:rPr>
                <w:rFonts w:ascii="David" w:hAnsi="David"/>
                <w:b/>
                <w:bCs/>
                <w:sz w:val="26"/>
                <w:szCs w:val="26"/>
                <w:rtl/>
              </w:rPr>
            </w:pPr>
            <w:r w:rsidRPr="006C405F">
              <w:rPr>
                <w:rFonts w:ascii="David" w:hAnsi="David"/>
                <w:b/>
                <w:bCs/>
                <w:sz w:val="26"/>
                <w:szCs w:val="26"/>
              </w:rPr>
              <w:t>.1</w:t>
            </w:r>
            <w:r w:rsidRPr="006C405F">
              <w:rPr>
                <w:rFonts w:ascii="David" w:hAnsi="David"/>
                <w:rtl/>
              </w:rPr>
              <w:t xml:space="preserve"> </w:t>
            </w:r>
            <w:r w:rsidRPr="006C405F">
              <w:rPr>
                <w:rFonts w:ascii="David" w:hAnsi="David"/>
                <w:b/>
                <w:bCs/>
                <w:sz w:val="26"/>
                <w:szCs w:val="26"/>
                <w:rtl/>
              </w:rPr>
              <w:t>מחמד חסארמה (עציר)</w:t>
            </w:r>
            <w:r w:rsidRPr="006C405F">
              <w:rPr>
                <w:rFonts w:ascii="David" w:hAnsi="David"/>
                <w:rtl/>
              </w:rPr>
              <w:t xml:space="preserve"> </w:t>
            </w:r>
            <w:r w:rsidRPr="006C405F">
              <w:rPr>
                <w:rFonts w:ascii="David" w:hAnsi="David"/>
                <w:b/>
                <w:bCs/>
                <w:sz w:val="26"/>
                <w:szCs w:val="26"/>
                <w:rtl/>
              </w:rPr>
              <w:t xml:space="preserve">ת"ז  </w:t>
            </w:r>
            <w:r w:rsidR="006C405F">
              <w:rPr>
                <w:rFonts w:ascii="David" w:hAnsi="David"/>
                <w:b/>
                <w:bCs/>
                <w:sz w:val="26"/>
                <w:szCs w:val="26"/>
              </w:rPr>
              <w:t>xxxxxxxxxx</w:t>
            </w:r>
          </w:p>
          <w:p w14:paraId="4E55F59A" w14:textId="77777777" w:rsidR="0052142F" w:rsidRPr="006C405F" w:rsidRDefault="0052142F" w:rsidP="00C60558">
            <w:pPr>
              <w:rPr>
                <w:rFonts w:ascii="David" w:hAnsi="David"/>
                <w:b/>
                <w:bCs/>
                <w:sz w:val="26"/>
                <w:szCs w:val="26"/>
                <w:rtl/>
              </w:rPr>
            </w:pPr>
            <w:r w:rsidRPr="006C405F">
              <w:rPr>
                <w:rFonts w:ascii="David" w:hAnsi="David"/>
                <w:b/>
                <w:bCs/>
                <w:sz w:val="26"/>
                <w:szCs w:val="26"/>
              </w:rPr>
              <w:t>.2</w:t>
            </w:r>
            <w:r w:rsidRPr="006C405F">
              <w:rPr>
                <w:rFonts w:ascii="David" w:hAnsi="David"/>
                <w:rtl/>
              </w:rPr>
              <w:t xml:space="preserve"> </w:t>
            </w:r>
            <w:r w:rsidRPr="006C405F">
              <w:rPr>
                <w:rFonts w:ascii="David" w:hAnsi="David"/>
                <w:b/>
                <w:bCs/>
                <w:sz w:val="26"/>
                <w:szCs w:val="26"/>
                <w:rtl/>
              </w:rPr>
              <w:t>רשיד חסארמה (עציר)</w:t>
            </w:r>
            <w:r w:rsidRPr="006C405F">
              <w:rPr>
                <w:rFonts w:ascii="David" w:hAnsi="David"/>
                <w:rtl/>
              </w:rPr>
              <w:t xml:space="preserve"> </w:t>
            </w:r>
            <w:r w:rsidRPr="006C405F">
              <w:rPr>
                <w:rFonts w:ascii="David" w:hAnsi="David"/>
                <w:b/>
                <w:bCs/>
                <w:sz w:val="26"/>
                <w:szCs w:val="26"/>
                <w:rtl/>
              </w:rPr>
              <w:t xml:space="preserve">ת"ז  </w:t>
            </w:r>
            <w:r w:rsidR="006C405F">
              <w:rPr>
                <w:rFonts w:ascii="David" w:hAnsi="David"/>
                <w:b/>
                <w:bCs/>
                <w:sz w:val="26"/>
                <w:szCs w:val="26"/>
              </w:rPr>
              <w:t>xxxxxxxxxx</w:t>
            </w:r>
          </w:p>
        </w:tc>
      </w:tr>
    </w:tbl>
    <w:p w14:paraId="0DAAB35E" w14:textId="77777777" w:rsidR="0052142F" w:rsidRPr="006C405F" w:rsidRDefault="0052142F" w:rsidP="0052142F">
      <w:pPr>
        <w:spacing w:line="360" w:lineRule="auto"/>
        <w:jc w:val="both"/>
        <w:rPr>
          <w:rFonts w:ascii="David" w:hAnsi="David"/>
          <w:sz w:val="6"/>
          <w:szCs w:val="6"/>
          <w:rtl/>
        </w:rPr>
      </w:pPr>
      <w:r w:rsidRPr="006C405F">
        <w:rPr>
          <w:rFonts w:ascii="David" w:hAnsi="David"/>
          <w:sz w:val="6"/>
          <w:szCs w:val="6"/>
          <w:rtl/>
        </w:rPr>
        <w:t>&lt;#1#&gt;</w:t>
      </w:r>
    </w:p>
    <w:p w14:paraId="68AFE467" w14:textId="77777777" w:rsidR="000455DF" w:rsidRPr="000455DF" w:rsidRDefault="000455DF" w:rsidP="000455DF">
      <w:pPr>
        <w:spacing w:before="120" w:after="120" w:line="240" w:lineRule="exact"/>
        <w:ind w:left="283" w:hanging="283"/>
        <w:jc w:val="both"/>
        <w:rPr>
          <w:rFonts w:ascii="FrankRuehl" w:hAnsi="FrankRuehl" w:cs="FrankRuehl"/>
          <w:rtl/>
        </w:rPr>
      </w:pPr>
    </w:p>
    <w:p w14:paraId="3EDA39A8" w14:textId="77777777" w:rsidR="00F21938" w:rsidRPr="00F21938" w:rsidRDefault="00F21938" w:rsidP="00F21938">
      <w:pPr>
        <w:spacing w:before="120" w:after="120" w:line="240" w:lineRule="exact"/>
        <w:ind w:left="283" w:hanging="283"/>
        <w:jc w:val="both"/>
        <w:rPr>
          <w:rFonts w:ascii="FrankRuehl" w:hAnsi="FrankRuehl" w:cs="FrankRuehl"/>
          <w:rtl/>
        </w:rPr>
      </w:pPr>
    </w:p>
    <w:p w14:paraId="54E2ADA2" w14:textId="77777777" w:rsidR="00991768" w:rsidRDefault="00991768" w:rsidP="00991768">
      <w:pPr>
        <w:jc w:val="center"/>
        <w:rPr>
          <w:rFonts w:ascii="David" w:hAnsi="David"/>
          <w:sz w:val="32"/>
          <w:szCs w:val="32"/>
          <w:rtl/>
        </w:rPr>
      </w:pPr>
      <w:bookmarkStart w:id="2" w:name="LawTable"/>
      <w:bookmarkEnd w:id="2"/>
    </w:p>
    <w:p w14:paraId="172C0442" w14:textId="77777777" w:rsidR="00991768" w:rsidRPr="00991768" w:rsidRDefault="00991768" w:rsidP="00991768">
      <w:pPr>
        <w:spacing w:before="120" w:after="120" w:line="240" w:lineRule="exact"/>
        <w:ind w:left="283" w:hanging="283"/>
        <w:jc w:val="both"/>
        <w:rPr>
          <w:rFonts w:ascii="FrankRuehl" w:hAnsi="FrankRuehl" w:cs="FrankRuehl"/>
          <w:rtl/>
        </w:rPr>
      </w:pPr>
    </w:p>
    <w:p w14:paraId="0EAC1ABE" w14:textId="77777777" w:rsidR="00991768" w:rsidRPr="00991768" w:rsidRDefault="00991768" w:rsidP="00991768">
      <w:pPr>
        <w:spacing w:before="120" w:after="120" w:line="240" w:lineRule="exact"/>
        <w:ind w:left="283" w:hanging="283"/>
        <w:jc w:val="both"/>
        <w:rPr>
          <w:rFonts w:ascii="FrankRuehl" w:hAnsi="FrankRuehl" w:cs="FrankRuehl"/>
          <w:rtl/>
        </w:rPr>
      </w:pPr>
    </w:p>
    <w:p w14:paraId="7B8A986D" w14:textId="77777777" w:rsidR="00991768" w:rsidRPr="00991768" w:rsidRDefault="00991768" w:rsidP="00991768">
      <w:pPr>
        <w:spacing w:before="120" w:after="120" w:line="240" w:lineRule="exact"/>
        <w:ind w:left="283" w:hanging="283"/>
        <w:jc w:val="both"/>
        <w:rPr>
          <w:rFonts w:ascii="FrankRuehl" w:hAnsi="FrankRuehl" w:cs="FrankRuehl"/>
          <w:rtl/>
        </w:rPr>
      </w:pPr>
      <w:r w:rsidRPr="00991768">
        <w:rPr>
          <w:rFonts w:ascii="FrankRuehl" w:hAnsi="FrankRuehl" w:cs="FrankRuehl"/>
          <w:rtl/>
        </w:rPr>
        <w:t xml:space="preserve">חקיקה שאוזכרה: </w:t>
      </w:r>
    </w:p>
    <w:p w14:paraId="0F0690A7" w14:textId="77777777" w:rsidR="00991768" w:rsidRPr="00991768" w:rsidRDefault="00991768" w:rsidP="00991768">
      <w:pPr>
        <w:spacing w:before="120" w:after="120" w:line="240" w:lineRule="exact"/>
        <w:ind w:left="283" w:hanging="283"/>
        <w:jc w:val="both"/>
        <w:rPr>
          <w:rFonts w:ascii="FrankRuehl" w:hAnsi="FrankRuehl" w:cs="FrankRuehl"/>
          <w:rtl/>
        </w:rPr>
      </w:pPr>
      <w:hyperlink r:id="rId6" w:history="1">
        <w:r w:rsidRPr="00991768">
          <w:rPr>
            <w:rFonts w:ascii="FrankRuehl" w:hAnsi="FrankRuehl" w:cs="FrankRuehl"/>
            <w:color w:val="0000FF"/>
            <w:rtl/>
          </w:rPr>
          <w:t>חוק העונשין, תשל"ז-1977</w:t>
        </w:r>
      </w:hyperlink>
      <w:r w:rsidRPr="00991768">
        <w:rPr>
          <w:rFonts w:ascii="FrankRuehl" w:hAnsi="FrankRuehl" w:cs="FrankRuehl"/>
          <w:rtl/>
        </w:rPr>
        <w:t xml:space="preserve">: סע'  </w:t>
      </w:r>
      <w:hyperlink r:id="rId7" w:history="1">
        <w:r w:rsidRPr="00991768">
          <w:rPr>
            <w:rFonts w:ascii="FrankRuehl" w:hAnsi="FrankRuehl" w:cs="FrankRuehl"/>
            <w:color w:val="0000FF"/>
            <w:rtl/>
          </w:rPr>
          <w:t>25</w:t>
        </w:r>
      </w:hyperlink>
      <w:r w:rsidRPr="00991768">
        <w:rPr>
          <w:rFonts w:ascii="FrankRuehl" w:hAnsi="FrankRuehl" w:cs="FrankRuehl"/>
          <w:rtl/>
        </w:rPr>
        <w:t xml:space="preserve">, </w:t>
      </w:r>
      <w:hyperlink r:id="rId8" w:history="1">
        <w:r w:rsidRPr="00991768">
          <w:rPr>
            <w:rFonts w:ascii="FrankRuehl" w:hAnsi="FrankRuehl" w:cs="FrankRuehl"/>
            <w:color w:val="0000FF"/>
            <w:rtl/>
          </w:rPr>
          <w:t>29</w:t>
        </w:r>
      </w:hyperlink>
      <w:r w:rsidRPr="00991768">
        <w:rPr>
          <w:rFonts w:ascii="FrankRuehl" w:hAnsi="FrankRuehl" w:cs="FrankRuehl"/>
          <w:rtl/>
        </w:rPr>
        <w:t xml:space="preserve">, </w:t>
      </w:r>
      <w:hyperlink r:id="rId9" w:history="1">
        <w:r w:rsidRPr="00991768">
          <w:rPr>
            <w:rFonts w:ascii="FrankRuehl" w:hAnsi="FrankRuehl" w:cs="FrankRuehl"/>
            <w:color w:val="0000FF"/>
            <w:rtl/>
          </w:rPr>
          <w:t>40ו</w:t>
        </w:r>
      </w:hyperlink>
      <w:r w:rsidRPr="00991768">
        <w:rPr>
          <w:rFonts w:ascii="FrankRuehl" w:hAnsi="FrankRuehl" w:cs="FrankRuehl"/>
          <w:rtl/>
        </w:rPr>
        <w:t xml:space="preserve">, </w:t>
      </w:r>
      <w:hyperlink r:id="rId10" w:history="1">
        <w:r w:rsidRPr="00991768">
          <w:rPr>
            <w:rFonts w:ascii="FrankRuehl" w:hAnsi="FrankRuehl" w:cs="FrankRuehl"/>
            <w:color w:val="0000FF"/>
            <w:rtl/>
          </w:rPr>
          <w:t>40ז</w:t>
        </w:r>
      </w:hyperlink>
      <w:r w:rsidRPr="00991768">
        <w:rPr>
          <w:rFonts w:ascii="FrankRuehl" w:hAnsi="FrankRuehl" w:cs="FrankRuehl"/>
          <w:rtl/>
        </w:rPr>
        <w:t xml:space="preserve">, </w:t>
      </w:r>
      <w:hyperlink r:id="rId11" w:history="1">
        <w:r w:rsidRPr="00991768">
          <w:rPr>
            <w:rFonts w:ascii="FrankRuehl" w:hAnsi="FrankRuehl" w:cs="FrankRuehl"/>
            <w:color w:val="0000FF"/>
            <w:rtl/>
          </w:rPr>
          <w:t>144</w:t>
        </w:r>
      </w:hyperlink>
      <w:r w:rsidRPr="00991768">
        <w:rPr>
          <w:rFonts w:ascii="FrankRuehl" w:hAnsi="FrankRuehl" w:cs="FrankRuehl"/>
          <w:rtl/>
        </w:rPr>
        <w:t xml:space="preserve">, </w:t>
      </w:r>
      <w:hyperlink r:id="rId12" w:history="1">
        <w:r w:rsidRPr="00991768">
          <w:rPr>
            <w:rFonts w:ascii="FrankRuehl" w:hAnsi="FrankRuehl" w:cs="FrankRuehl"/>
            <w:color w:val="0000FF"/>
            <w:rtl/>
          </w:rPr>
          <w:t>144(א)</w:t>
        </w:r>
      </w:hyperlink>
      <w:r w:rsidRPr="00991768">
        <w:rPr>
          <w:rFonts w:ascii="FrankRuehl" w:hAnsi="FrankRuehl" w:cs="FrankRuehl"/>
          <w:rtl/>
        </w:rPr>
        <w:t xml:space="preserve">, </w:t>
      </w:r>
      <w:hyperlink r:id="rId13" w:history="1">
        <w:r w:rsidRPr="00991768">
          <w:rPr>
            <w:rFonts w:ascii="FrankRuehl" w:hAnsi="FrankRuehl" w:cs="FrankRuehl"/>
            <w:color w:val="0000FF"/>
            <w:rtl/>
          </w:rPr>
          <w:t>(ב)</w:t>
        </w:r>
      </w:hyperlink>
      <w:r w:rsidRPr="00991768">
        <w:rPr>
          <w:rFonts w:ascii="FrankRuehl" w:hAnsi="FrankRuehl" w:cs="FrankRuehl"/>
          <w:rtl/>
        </w:rPr>
        <w:t xml:space="preserve">, </w:t>
      </w:r>
      <w:hyperlink r:id="rId14" w:history="1">
        <w:r w:rsidRPr="00991768">
          <w:rPr>
            <w:rFonts w:ascii="FrankRuehl" w:hAnsi="FrankRuehl" w:cs="FrankRuehl"/>
            <w:color w:val="0000FF"/>
            <w:rtl/>
          </w:rPr>
          <w:t>244</w:t>
        </w:r>
      </w:hyperlink>
      <w:r w:rsidRPr="00991768">
        <w:rPr>
          <w:rFonts w:ascii="FrankRuehl" w:hAnsi="FrankRuehl" w:cs="FrankRuehl"/>
          <w:rtl/>
        </w:rPr>
        <w:t xml:space="preserve">, </w:t>
      </w:r>
      <w:hyperlink r:id="rId15" w:history="1">
        <w:r w:rsidRPr="00991768">
          <w:rPr>
            <w:rFonts w:ascii="FrankRuehl" w:hAnsi="FrankRuehl" w:cs="FrankRuehl"/>
            <w:color w:val="0000FF"/>
            <w:rtl/>
          </w:rPr>
          <w:t>275</w:t>
        </w:r>
      </w:hyperlink>
      <w:r w:rsidRPr="00991768">
        <w:rPr>
          <w:rFonts w:ascii="FrankRuehl" w:hAnsi="FrankRuehl" w:cs="FrankRuehl"/>
          <w:rtl/>
        </w:rPr>
        <w:t xml:space="preserve">, </w:t>
      </w:r>
      <w:hyperlink r:id="rId16" w:history="1">
        <w:r w:rsidRPr="00991768">
          <w:rPr>
            <w:rFonts w:ascii="FrankRuehl" w:hAnsi="FrankRuehl" w:cs="FrankRuehl"/>
            <w:color w:val="0000FF"/>
            <w:rtl/>
          </w:rPr>
          <w:t>329</w:t>
        </w:r>
      </w:hyperlink>
      <w:r w:rsidRPr="00991768">
        <w:rPr>
          <w:rFonts w:ascii="FrankRuehl" w:hAnsi="FrankRuehl" w:cs="FrankRuehl"/>
          <w:rtl/>
        </w:rPr>
        <w:t xml:space="preserve">, </w:t>
      </w:r>
      <w:hyperlink r:id="rId17" w:history="1">
        <w:r w:rsidRPr="00991768">
          <w:rPr>
            <w:rFonts w:ascii="FrankRuehl" w:hAnsi="FrankRuehl" w:cs="FrankRuehl"/>
            <w:color w:val="0000FF"/>
            <w:rtl/>
          </w:rPr>
          <w:t>329(א)(2)</w:t>
        </w:r>
      </w:hyperlink>
      <w:r w:rsidRPr="00991768">
        <w:rPr>
          <w:rFonts w:ascii="FrankRuehl" w:hAnsi="FrankRuehl" w:cs="FrankRuehl"/>
          <w:rtl/>
        </w:rPr>
        <w:t xml:space="preserve">, </w:t>
      </w:r>
      <w:hyperlink r:id="rId18" w:history="1">
        <w:r w:rsidRPr="00991768">
          <w:rPr>
            <w:rFonts w:ascii="FrankRuehl" w:hAnsi="FrankRuehl" w:cs="FrankRuehl"/>
            <w:color w:val="0000FF"/>
            <w:rtl/>
          </w:rPr>
          <w:t>340</w:t>
        </w:r>
      </w:hyperlink>
      <w:r w:rsidRPr="00991768">
        <w:rPr>
          <w:rFonts w:ascii="FrankRuehl" w:hAnsi="FrankRuehl" w:cs="FrankRuehl"/>
          <w:rtl/>
        </w:rPr>
        <w:t xml:space="preserve">, </w:t>
      </w:r>
      <w:hyperlink r:id="rId19" w:history="1">
        <w:r w:rsidRPr="00991768">
          <w:rPr>
            <w:rFonts w:ascii="FrankRuehl" w:hAnsi="FrankRuehl" w:cs="FrankRuehl"/>
            <w:color w:val="0000FF"/>
            <w:rtl/>
          </w:rPr>
          <w:t>340א.ב.1.</w:t>
        </w:r>
      </w:hyperlink>
      <w:r w:rsidRPr="00991768">
        <w:rPr>
          <w:rFonts w:ascii="FrankRuehl" w:hAnsi="FrankRuehl" w:cs="FrankRuehl"/>
          <w:rtl/>
        </w:rPr>
        <w:t xml:space="preserve">, </w:t>
      </w:r>
      <w:hyperlink r:id="rId20" w:history="1">
        <w:r w:rsidRPr="00991768">
          <w:rPr>
            <w:rFonts w:ascii="FrankRuehl" w:hAnsi="FrankRuehl" w:cs="FrankRuehl"/>
            <w:color w:val="0000FF"/>
            <w:rtl/>
          </w:rPr>
          <w:t>340א.ב.2</w:t>
        </w:r>
      </w:hyperlink>
      <w:r w:rsidRPr="00991768">
        <w:rPr>
          <w:rFonts w:ascii="FrankRuehl" w:hAnsi="FrankRuehl" w:cs="FrankRuehl"/>
          <w:rtl/>
        </w:rPr>
        <w:t xml:space="preserve">, </w:t>
      </w:r>
      <w:hyperlink r:id="rId21" w:history="1">
        <w:r w:rsidRPr="00991768">
          <w:rPr>
            <w:rFonts w:ascii="FrankRuehl" w:hAnsi="FrankRuehl" w:cs="FrankRuehl"/>
            <w:color w:val="0000FF"/>
            <w:rtl/>
          </w:rPr>
          <w:t>413ג</w:t>
        </w:r>
      </w:hyperlink>
      <w:r w:rsidRPr="00991768">
        <w:rPr>
          <w:rFonts w:ascii="FrankRuehl" w:hAnsi="FrankRuehl" w:cs="FrankRuehl"/>
          <w:rtl/>
        </w:rPr>
        <w:t xml:space="preserve">, </w:t>
      </w:r>
      <w:hyperlink r:id="rId22" w:history="1">
        <w:r w:rsidRPr="00991768">
          <w:rPr>
            <w:rFonts w:ascii="FrankRuehl" w:hAnsi="FrankRuehl" w:cs="FrankRuehl"/>
            <w:color w:val="0000FF"/>
            <w:rtl/>
          </w:rPr>
          <w:t>448</w:t>
        </w:r>
      </w:hyperlink>
    </w:p>
    <w:p w14:paraId="09E7FE4F" w14:textId="77777777" w:rsidR="00991768" w:rsidRPr="00991768" w:rsidRDefault="00991768" w:rsidP="00991768">
      <w:pPr>
        <w:jc w:val="center"/>
        <w:rPr>
          <w:rFonts w:ascii="David" w:hAnsi="David"/>
          <w:sz w:val="32"/>
          <w:szCs w:val="32"/>
          <w:rtl/>
        </w:rPr>
      </w:pPr>
      <w:bookmarkStart w:id="3" w:name="LawTable_End"/>
      <w:bookmarkEnd w:id="3"/>
    </w:p>
    <w:p w14:paraId="2413D38C" w14:textId="77777777" w:rsidR="000455DF" w:rsidRPr="00F21938" w:rsidRDefault="000455DF" w:rsidP="00F21938">
      <w:pPr>
        <w:jc w:val="center"/>
        <w:rPr>
          <w:rFonts w:ascii="David" w:hAnsi="David"/>
          <w:sz w:val="32"/>
          <w:szCs w:val="32"/>
          <w:rtl/>
        </w:rPr>
      </w:pPr>
    </w:p>
    <w:p w14:paraId="27A77A34" w14:textId="77777777" w:rsidR="000455DF" w:rsidRPr="006C405F" w:rsidRDefault="000455DF" w:rsidP="006C405F">
      <w:pPr>
        <w:jc w:val="center"/>
        <w:rPr>
          <w:rFonts w:ascii="David" w:hAnsi="David"/>
          <w:b/>
          <w:bCs/>
          <w:sz w:val="32"/>
          <w:szCs w:val="32"/>
          <w:u w:val="single"/>
          <w:rtl/>
        </w:rPr>
      </w:pPr>
      <w:bookmarkStart w:id="4" w:name="PsakDin"/>
      <w:r w:rsidRPr="006C405F">
        <w:rPr>
          <w:rFonts w:ascii="David" w:hAnsi="David"/>
          <w:b/>
          <w:bCs/>
          <w:sz w:val="32"/>
          <w:szCs w:val="32"/>
          <w:u w:val="single"/>
          <w:rtl/>
        </w:rPr>
        <w:t>גזר דין</w:t>
      </w:r>
    </w:p>
    <w:bookmarkEnd w:id="4"/>
    <w:p w14:paraId="5F07D649" w14:textId="77777777" w:rsidR="000455DF" w:rsidRPr="0052142F" w:rsidRDefault="000455DF" w:rsidP="0052142F">
      <w:pPr>
        <w:jc w:val="center"/>
        <w:rPr>
          <w:rFonts w:ascii="David" w:hAnsi="David"/>
          <w:sz w:val="32"/>
          <w:szCs w:val="32"/>
          <w:u w:val="single"/>
          <w:rtl/>
        </w:rPr>
      </w:pPr>
    </w:p>
    <w:bookmarkEnd w:id="0"/>
    <w:p w14:paraId="4AB48D9A" w14:textId="77777777" w:rsidR="0052142F" w:rsidRDefault="0052142F" w:rsidP="0052142F">
      <w:pPr>
        <w:rPr>
          <w:rFonts w:ascii="Arial" w:hAnsi="Arial"/>
          <w:b/>
          <w:bCs/>
          <w:sz w:val="26"/>
          <w:szCs w:val="26"/>
          <w:rtl/>
        </w:rPr>
      </w:pPr>
    </w:p>
    <w:p w14:paraId="0BA93A0B" w14:textId="77777777" w:rsidR="0052142F" w:rsidRDefault="0052142F" w:rsidP="0052142F">
      <w:pPr>
        <w:spacing w:line="360" w:lineRule="auto"/>
        <w:ind w:left="720" w:hanging="720"/>
        <w:jc w:val="both"/>
        <w:rPr>
          <w:rFonts w:ascii="David" w:hAnsi="David"/>
          <w:rtl/>
        </w:rPr>
      </w:pPr>
      <w:r w:rsidRPr="001F7D82">
        <w:rPr>
          <w:rFonts w:ascii="Arial" w:hAnsi="Arial" w:hint="cs"/>
          <w:sz w:val="26"/>
          <w:szCs w:val="26"/>
          <w:rtl/>
        </w:rPr>
        <w:t>1.</w:t>
      </w:r>
      <w:r w:rsidRPr="001F7D82">
        <w:rPr>
          <w:rFonts w:ascii="Arial" w:hAnsi="Arial"/>
          <w:sz w:val="26"/>
          <w:szCs w:val="26"/>
          <w:rtl/>
        </w:rPr>
        <w:tab/>
      </w:r>
      <w:bookmarkStart w:id="5" w:name="ABSTRACT_START"/>
      <w:bookmarkEnd w:id="5"/>
      <w:r w:rsidRPr="001F7D82">
        <w:rPr>
          <w:rFonts w:ascii="David" w:hAnsi="David" w:hint="cs"/>
          <w:rtl/>
        </w:rPr>
        <w:t>הנאשמים 1 ו-2,מחמד ורשיד חסארמה שהם אחים, הודו והורשעו בעבירות המיוחסות להם בכתב האישום המתוקן שעניינן</w:t>
      </w:r>
      <w:r w:rsidRPr="001F7D82">
        <w:rPr>
          <w:rFonts w:ascii="David" w:hAnsi="David" w:hint="cs"/>
          <w:b/>
          <w:bCs/>
          <w:rtl/>
        </w:rPr>
        <w:t xml:space="preserve"> חבלה בכוונה מחמירה</w:t>
      </w:r>
      <w:r w:rsidRPr="001F7D82">
        <w:rPr>
          <w:rFonts w:ascii="David" w:hAnsi="David" w:hint="cs"/>
          <w:rtl/>
        </w:rPr>
        <w:t xml:space="preserve"> </w:t>
      </w:r>
      <w:r w:rsidRPr="001F7D82">
        <w:rPr>
          <w:rFonts w:ascii="David" w:hAnsi="David" w:hint="cs"/>
          <w:b/>
          <w:bCs/>
          <w:rtl/>
        </w:rPr>
        <w:t>בצוותא</w:t>
      </w:r>
      <w:r w:rsidRPr="001F7D82">
        <w:rPr>
          <w:rFonts w:ascii="David" w:hAnsi="David" w:hint="cs"/>
          <w:rtl/>
        </w:rPr>
        <w:t xml:space="preserve"> (ריבוי עבירות)- לפי </w:t>
      </w:r>
      <w:hyperlink r:id="rId23" w:history="1">
        <w:r w:rsidR="000455DF" w:rsidRPr="000455DF">
          <w:rPr>
            <w:rStyle w:val="Hyperlink"/>
            <w:rFonts w:ascii="David" w:hAnsi="David" w:hint="eastAsia"/>
            <w:rtl/>
          </w:rPr>
          <w:t>סעיפים</w:t>
        </w:r>
        <w:r w:rsidR="000455DF" w:rsidRPr="000455DF">
          <w:rPr>
            <w:rStyle w:val="Hyperlink"/>
            <w:rFonts w:ascii="David" w:hAnsi="David"/>
            <w:rtl/>
          </w:rPr>
          <w:t xml:space="preserve"> 329(א)(2)</w:t>
        </w:r>
      </w:hyperlink>
      <w:r w:rsidRPr="001F7D82">
        <w:rPr>
          <w:rFonts w:ascii="David" w:hAnsi="David" w:hint="cs"/>
          <w:rtl/>
        </w:rPr>
        <w:t xml:space="preserve"> + </w:t>
      </w:r>
      <w:hyperlink r:id="rId24" w:history="1">
        <w:r w:rsidR="000455DF" w:rsidRPr="000455DF">
          <w:rPr>
            <w:rStyle w:val="Hyperlink"/>
            <w:rFonts w:ascii="David" w:hAnsi="David"/>
            <w:rtl/>
          </w:rPr>
          <w:t>29</w:t>
        </w:r>
      </w:hyperlink>
      <w:r w:rsidRPr="001F7D82">
        <w:rPr>
          <w:rFonts w:ascii="David" w:hAnsi="David" w:hint="cs"/>
          <w:rtl/>
        </w:rPr>
        <w:t xml:space="preserve"> ב</w:t>
      </w:r>
      <w:hyperlink r:id="rId25" w:history="1">
        <w:r w:rsidR="006C405F" w:rsidRPr="006C405F">
          <w:rPr>
            <w:rFonts w:ascii="David" w:hAnsi="David"/>
            <w:color w:val="0000FF"/>
            <w:u w:val="single"/>
            <w:rtl/>
          </w:rPr>
          <w:t>חוק העונשין</w:t>
        </w:r>
      </w:hyperlink>
      <w:r w:rsidRPr="001F7D82">
        <w:rPr>
          <w:rFonts w:ascii="David" w:hAnsi="David" w:hint="cs"/>
          <w:rtl/>
        </w:rPr>
        <w:t xml:space="preserve">, התשל"ז-1977; </w:t>
      </w:r>
      <w:r w:rsidRPr="001F7D82">
        <w:rPr>
          <w:rFonts w:ascii="David" w:hAnsi="David" w:hint="cs"/>
          <w:b/>
          <w:bCs/>
          <w:rtl/>
        </w:rPr>
        <w:t xml:space="preserve">עבירות בנשק </w:t>
      </w:r>
      <w:r w:rsidRPr="001F7D82">
        <w:rPr>
          <w:rFonts w:ascii="David" w:hAnsi="David"/>
          <w:rtl/>
        </w:rPr>
        <w:t>–</w:t>
      </w:r>
      <w:r w:rsidRPr="001F7D82">
        <w:rPr>
          <w:rFonts w:ascii="David" w:hAnsi="David" w:hint="cs"/>
          <w:rtl/>
        </w:rPr>
        <w:t xml:space="preserve"> </w:t>
      </w:r>
      <w:r w:rsidRPr="001F7D82">
        <w:rPr>
          <w:rFonts w:ascii="David" w:hAnsi="David" w:hint="cs"/>
          <w:b/>
          <w:bCs/>
          <w:rtl/>
        </w:rPr>
        <w:t>החזקה ונשיאה</w:t>
      </w:r>
      <w:r w:rsidRPr="001F7D82">
        <w:rPr>
          <w:rFonts w:ascii="David" w:hAnsi="David" w:hint="cs"/>
          <w:rtl/>
        </w:rPr>
        <w:t xml:space="preserve"> </w:t>
      </w:r>
      <w:r w:rsidRPr="001F7D82">
        <w:rPr>
          <w:rFonts w:ascii="David" w:hAnsi="David" w:hint="cs"/>
          <w:b/>
          <w:bCs/>
          <w:rtl/>
        </w:rPr>
        <w:t xml:space="preserve">בצוותא </w:t>
      </w:r>
      <w:r w:rsidRPr="001F7D82">
        <w:rPr>
          <w:rFonts w:ascii="David" w:hAnsi="David" w:hint="cs"/>
          <w:rtl/>
        </w:rPr>
        <w:t xml:space="preserve">- לפי </w:t>
      </w:r>
      <w:hyperlink r:id="rId26" w:history="1">
        <w:r w:rsidR="000455DF" w:rsidRPr="000455DF">
          <w:rPr>
            <w:rStyle w:val="Hyperlink"/>
            <w:rFonts w:ascii="David" w:hAnsi="David" w:hint="eastAsia"/>
            <w:rtl/>
          </w:rPr>
          <w:t>סעיפים</w:t>
        </w:r>
        <w:r w:rsidR="000455DF" w:rsidRPr="000455DF">
          <w:rPr>
            <w:rStyle w:val="Hyperlink"/>
            <w:rFonts w:ascii="David" w:hAnsi="David"/>
            <w:rtl/>
          </w:rPr>
          <w:t xml:space="preserve"> 144(א)</w:t>
        </w:r>
      </w:hyperlink>
      <w:r w:rsidRPr="001F7D82">
        <w:rPr>
          <w:rFonts w:ascii="David" w:hAnsi="David" w:hint="cs"/>
          <w:rtl/>
        </w:rPr>
        <w:t xml:space="preserve"> + </w:t>
      </w:r>
      <w:hyperlink r:id="rId27" w:history="1">
        <w:r w:rsidR="000455DF" w:rsidRPr="000455DF">
          <w:rPr>
            <w:rStyle w:val="Hyperlink"/>
            <w:rFonts w:ascii="David" w:hAnsi="David"/>
            <w:rtl/>
          </w:rPr>
          <w:t>(ב)</w:t>
        </w:r>
      </w:hyperlink>
      <w:r w:rsidRPr="001F7D82">
        <w:rPr>
          <w:rFonts w:ascii="David" w:hAnsi="David" w:hint="cs"/>
          <w:rtl/>
        </w:rPr>
        <w:t xml:space="preserve"> +</w:t>
      </w:r>
      <w:hyperlink r:id="rId28" w:history="1">
        <w:r w:rsidR="000455DF" w:rsidRPr="000455DF">
          <w:rPr>
            <w:rStyle w:val="Hyperlink"/>
            <w:rFonts w:ascii="David" w:hAnsi="David"/>
            <w:rtl/>
          </w:rPr>
          <w:t>29</w:t>
        </w:r>
      </w:hyperlink>
      <w:r w:rsidRPr="001F7D82">
        <w:rPr>
          <w:rFonts w:ascii="David" w:hAnsi="David" w:hint="cs"/>
          <w:b/>
          <w:bCs/>
          <w:rtl/>
        </w:rPr>
        <w:t xml:space="preserve"> </w:t>
      </w:r>
      <w:r w:rsidRPr="001F7D82">
        <w:rPr>
          <w:rFonts w:ascii="David" w:hAnsi="David" w:hint="cs"/>
          <w:rtl/>
        </w:rPr>
        <w:t xml:space="preserve">בחוק העונשין; </w:t>
      </w:r>
      <w:r w:rsidRPr="001F7D82">
        <w:rPr>
          <w:rFonts w:ascii="David" w:hAnsi="David"/>
          <w:b/>
          <w:bCs/>
          <w:rtl/>
        </w:rPr>
        <w:t xml:space="preserve">ירי מנשק חם </w:t>
      </w:r>
      <w:r w:rsidRPr="001F7D82">
        <w:rPr>
          <w:rFonts w:ascii="David" w:hAnsi="David" w:hint="cs"/>
          <w:b/>
          <w:bCs/>
          <w:rtl/>
        </w:rPr>
        <w:t>בצוותא</w:t>
      </w:r>
      <w:r w:rsidRPr="001F7D82">
        <w:rPr>
          <w:rFonts w:ascii="David" w:hAnsi="David" w:hint="cs"/>
          <w:rtl/>
        </w:rPr>
        <w:t xml:space="preserve"> </w:t>
      </w:r>
      <w:r w:rsidRPr="001F7D82">
        <w:rPr>
          <w:rFonts w:ascii="David" w:hAnsi="David"/>
          <w:rtl/>
        </w:rPr>
        <w:t xml:space="preserve">לפי </w:t>
      </w:r>
      <w:hyperlink r:id="rId29" w:history="1">
        <w:r w:rsidR="000455DF" w:rsidRPr="000455DF">
          <w:rPr>
            <w:rStyle w:val="Hyperlink"/>
            <w:rFonts w:ascii="David" w:hAnsi="David" w:hint="eastAsia"/>
            <w:rtl/>
          </w:rPr>
          <w:t>סעיפים</w:t>
        </w:r>
        <w:r w:rsidR="000455DF" w:rsidRPr="000455DF">
          <w:rPr>
            <w:rStyle w:val="Hyperlink"/>
            <w:rFonts w:ascii="David" w:hAnsi="David"/>
            <w:rtl/>
          </w:rPr>
          <w:t xml:space="preserve"> 340א(ב)(1)+(2)</w:t>
        </w:r>
      </w:hyperlink>
      <w:r w:rsidRPr="001F7D82">
        <w:rPr>
          <w:rFonts w:ascii="David" w:hAnsi="David" w:hint="cs"/>
          <w:rtl/>
        </w:rPr>
        <w:t xml:space="preserve"> + </w:t>
      </w:r>
      <w:hyperlink r:id="rId30" w:history="1">
        <w:r w:rsidR="000455DF" w:rsidRPr="000455DF">
          <w:rPr>
            <w:rStyle w:val="Hyperlink"/>
            <w:rFonts w:ascii="David" w:hAnsi="David"/>
            <w:rtl/>
          </w:rPr>
          <w:t>29</w:t>
        </w:r>
      </w:hyperlink>
      <w:r w:rsidRPr="001F7D82">
        <w:rPr>
          <w:rFonts w:ascii="David" w:hAnsi="David"/>
          <w:rtl/>
        </w:rPr>
        <w:t xml:space="preserve"> בחוק העונשין</w:t>
      </w:r>
      <w:r w:rsidRPr="001F7D82">
        <w:rPr>
          <w:rFonts w:ascii="David" w:hAnsi="David" w:hint="cs"/>
          <w:rtl/>
        </w:rPr>
        <w:t xml:space="preserve">; </w:t>
      </w:r>
      <w:r w:rsidRPr="001F7D82">
        <w:rPr>
          <w:rFonts w:ascii="David" w:hAnsi="David" w:hint="cs"/>
          <w:b/>
          <w:bCs/>
          <w:rtl/>
        </w:rPr>
        <w:t>הפרעה לשוטר בשעת מילוי תפקידו בצוותא</w:t>
      </w:r>
      <w:r w:rsidRPr="001F7D82">
        <w:rPr>
          <w:rFonts w:ascii="David" w:hAnsi="David" w:hint="cs"/>
          <w:rtl/>
        </w:rPr>
        <w:t xml:space="preserve"> - לפי </w:t>
      </w:r>
      <w:hyperlink r:id="rId31" w:history="1">
        <w:r w:rsidR="000455DF" w:rsidRPr="000455DF">
          <w:rPr>
            <w:rStyle w:val="Hyperlink"/>
            <w:rFonts w:ascii="David" w:hAnsi="David" w:hint="eastAsia"/>
            <w:rtl/>
          </w:rPr>
          <w:t>סעיפים</w:t>
        </w:r>
        <w:r w:rsidR="000455DF" w:rsidRPr="000455DF">
          <w:rPr>
            <w:rStyle w:val="Hyperlink"/>
            <w:rFonts w:ascii="David" w:hAnsi="David"/>
            <w:rtl/>
          </w:rPr>
          <w:t xml:space="preserve"> 275</w:t>
        </w:r>
      </w:hyperlink>
      <w:r w:rsidRPr="001F7D82">
        <w:rPr>
          <w:rFonts w:ascii="David" w:hAnsi="David" w:hint="cs"/>
          <w:rtl/>
        </w:rPr>
        <w:t xml:space="preserve"> + </w:t>
      </w:r>
      <w:hyperlink r:id="rId32" w:history="1">
        <w:r w:rsidR="000455DF" w:rsidRPr="000455DF">
          <w:rPr>
            <w:rStyle w:val="Hyperlink"/>
            <w:rFonts w:ascii="David" w:hAnsi="David"/>
            <w:rtl/>
          </w:rPr>
          <w:t>29</w:t>
        </w:r>
      </w:hyperlink>
      <w:r w:rsidRPr="001F7D82">
        <w:rPr>
          <w:rFonts w:ascii="David" w:hAnsi="David" w:hint="cs"/>
          <w:rtl/>
        </w:rPr>
        <w:t xml:space="preserve"> בחוק העונשין; </w:t>
      </w:r>
      <w:r w:rsidRPr="001F7D82">
        <w:rPr>
          <w:rFonts w:ascii="David" w:hAnsi="David" w:hint="cs"/>
          <w:b/>
          <w:bCs/>
          <w:rtl/>
        </w:rPr>
        <w:t>ניסיון הצתה בצוותא</w:t>
      </w:r>
      <w:r w:rsidRPr="001F7D82">
        <w:rPr>
          <w:rFonts w:ascii="David" w:hAnsi="David" w:hint="cs"/>
          <w:rtl/>
        </w:rPr>
        <w:t xml:space="preserve"> - לפי </w:t>
      </w:r>
      <w:hyperlink r:id="rId33" w:history="1">
        <w:r w:rsidR="000455DF" w:rsidRPr="000455DF">
          <w:rPr>
            <w:rStyle w:val="Hyperlink"/>
            <w:rFonts w:ascii="David" w:hAnsi="David" w:hint="eastAsia"/>
            <w:rtl/>
          </w:rPr>
          <w:t>סעיפים</w:t>
        </w:r>
        <w:r w:rsidR="000455DF" w:rsidRPr="000455DF">
          <w:rPr>
            <w:rStyle w:val="Hyperlink"/>
            <w:rFonts w:ascii="David" w:hAnsi="David"/>
            <w:rtl/>
          </w:rPr>
          <w:t xml:space="preserve"> 448</w:t>
        </w:r>
      </w:hyperlink>
      <w:r w:rsidRPr="001F7D82">
        <w:rPr>
          <w:rFonts w:ascii="David" w:hAnsi="David" w:hint="cs"/>
          <w:rtl/>
        </w:rPr>
        <w:t xml:space="preserve"> רישא + </w:t>
      </w:r>
      <w:hyperlink r:id="rId34" w:history="1">
        <w:r w:rsidR="000455DF" w:rsidRPr="000455DF">
          <w:rPr>
            <w:rStyle w:val="Hyperlink"/>
            <w:rFonts w:ascii="David" w:hAnsi="David"/>
            <w:rtl/>
          </w:rPr>
          <w:t>29</w:t>
        </w:r>
      </w:hyperlink>
      <w:r w:rsidRPr="001F7D82">
        <w:rPr>
          <w:rFonts w:ascii="David" w:hAnsi="David" w:hint="cs"/>
          <w:rtl/>
        </w:rPr>
        <w:t xml:space="preserve"> + </w:t>
      </w:r>
      <w:hyperlink r:id="rId35" w:history="1">
        <w:r w:rsidR="000455DF" w:rsidRPr="000455DF">
          <w:rPr>
            <w:rStyle w:val="Hyperlink"/>
            <w:rFonts w:ascii="David" w:hAnsi="David"/>
            <w:rtl/>
          </w:rPr>
          <w:t>25</w:t>
        </w:r>
      </w:hyperlink>
      <w:r w:rsidRPr="001F7D82">
        <w:rPr>
          <w:rFonts w:ascii="David" w:hAnsi="David" w:hint="cs"/>
          <w:rtl/>
        </w:rPr>
        <w:t xml:space="preserve"> בחוק העונשין; </w:t>
      </w:r>
      <w:r w:rsidRPr="001F7D82">
        <w:rPr>
          <w:rFonts w:ascii="David" w:hAnsi="David" w:hint="cs"/>
          <w:b/>
          <w:bCs/>
          <w:rtl/>
        </w:rPr>
        <w:t>שיבוש מהלכי משפט</w:t>
      </w:r>
      <w:r w:rsidRPr="001F7D82">
        <w:rPr>
          <w:rFonts w:ascii="David" w:hAnsi="David" w:hint="cs"/>
          <w:rtl/>
        </w:rPr>
        <w:t xml:space="preserve"> </w:t>
      </w:r>
      <w:r w:rsidRPr="001F7D82">
        <w:rPr>
          <w:rFonts w:ascii="David" w:hAnsi="David" w:hint="cs"/>
          <w:b/>
          <w:bCs/>
          <w:rtl/>
        </w:rPr>
        <w:t xml:space="preserve">בצוותא </w:t>
      </w:r>
      <w:r w:rsidRPr="001F7D82">
        <w:rPr>
          <w:rFonts w:ascii="David" w:hAnsi="David" w:hint="cs"/>
          <w:rtl/>
        </w:rPr>
        <w:t xml:space="preserve">- לפי </w:t>
      </w:r>
      <w:hyperlink r:id="rId36" w:history="1">
        <w:r w:rsidR="000455DF" w:rsidRPr="000455DF">
          <w:rPr>
            <w:rStyle w:val="Hyperlink"/>
            <w:rFonts w:ascii="David" w:hAnsi="David" w:hint="eastAsia"/>
            <w:rtl/>
          </w:rPr>
          <w:t>סעיפים</w:t>
        </w:r>
        <w:r w:rsidR="000455DF" w:rsidRPr="000455DF">
          <w:rPr>
            <w:rStyle w:val="Hyperlink"/>
            <w:rFonts w:ascii="David" w:hAnsi="David"/>
            <w:rtl/>
          </w:rPr>
          <w:t xml:space="preserve"> 244</w:t>
        </w:r>
      </w:hyperlink>
      <w:r w:rsidRPr="001F7D82">
        <w:rPr>
          <w:rFonts w:ascii="David" w:hAnsi="David" w:hint="cs"/>
          <w:rtl/>
        </w:rPr>
        <w:t xml:space="preserve"> + </w:t>
      </w:r>
      <w:hyperlink r:id="rId37" w:history="1">
        <w:r w:rsidR="000455DF" w:rsidRPr="000455DF">
          <w:rPr>
            <w:rStyle w:val="Hyperlink"/>
            <w:rFonts w:ascii="David" w:hAnsi="David"/>
            <w:rtl/>
          </w:rPr>
          <w:t>29</w:t>
        </w:r>
      </w:hyperlink>
      <w:r w:rsidRPr="001F7D82">
        <w:rPr>
          <w:rFonts w:ascii="David" w:hAnsi="David" w:hint="cs"/>
          <w:rtl/>
        </w:rPr>
        <w:t xml:space="preserve"> בחוק העונשין; </w:t>
      </w:r>
      <w:r w:rsidRPr="001F7D82">
        <w:rPr>
          <w:rFonts w:ascii="David" w:hAnsi="David" w:hint="cs"/>
          <w:b/>
          <w:bCs/>
          <w:rtl/>
        </w:rPr>
        <w:t>שימוש ברכב ללא רשות בצוותא</w:t>
      </w:r>
      <w:r w:rsidRPr="001F7D82">
        <w:rPr>
          <w:rFonts w:ascii="David" w:hAnsi="David" w:hint="cs"/>
          <w:rtl/>
        </w:rPr>
        <w:t xml:space="preserve"> - לפי </w:t>
      </w:r>
      <w:hyperlink r:id="rId38" w:history="1">
        <w:r w:rsidR="000455DF" w:rsidRPr="000455DF">
          <w:rPr>
            <w:rStyle w:val="Hyperlink"/>
            <w:rFonts w:ascii="David" w:hAnsi="David" w:hint="eastAsia"/>
            <w:rtl/>
          </w:rPr>
          <w:t>סעיפים</w:t>
        </w:r>
        <w:r w:rsidR="000455DF" w:rsidRPr="000455DF">
          <w:rPr>
            <w:rStyle w:val="Hyperlink"/>
            <w:rFonts w:ascii="David" w:hAnsi="David"/>
            <w:rtl/>
          </w:rPr>
          <w:t xml:space="preserve"> 413ג</w:t>
        </w:r>
      </w:hyperlink>
      <w:r w:rsidRPr="001F7D82">
        <w:rPr>
          <w:rFonts w:ascii="David" w:hAnsi="David" w:hint="cs"/>
          <w:rtl/>
        </w:rPr>
        <w:t xml:space="preserve"> + </w:t>
      </w:r>
      <w:hyperlink r:id="rId39" w:history="1">
        <w:r w:rsidR="000455DF" w:rsidRPr="000455DF">
          <w:rPr>
            <w:rStyle w:val="Hyperlink"/>
            <w:rFonts w:ascii="David" w:hAnsi="David"/>
            <w:rtl/>
          </w:rPr>
          <w:t>29</w:t>
        </w:r>
      </w:hyperlink>
      <w:r w:rsidRPr="001F7D82">
        <w:rPr>
          <w:rFonts w:ascii="David" w:hAnsi="David" w:hint="cs"/>
          <w:rtl/>
        </w:rPr>
        <w:t xml:space="preserve"> בחוק העונשין . הנאשמים הודו בכתב האישום המתוקן מבלי שנשמעו ראיות בתיק וללא כל הסכמה מצד המאשימה לעניין העונש. להסדר הטיעון נוסף נספח עם הסכמות עובדתיות שגיבשו הצדדים.</w:t>
      </w:r>
    </w:p>
    <w:p w14:paraId="76247D74" w14:textId="77777777" w:rsidR="0052142F" w:rsidRDefault="0052142F" w:rsidP="0052142F">
      <w:pPr>
        <w:spacing w:line="360" w:lineRule="auto"/>
        <w:ind w:left="720" w:hanging="720"/>
        <w:jc w:val="both"/>
        <w:rPr>
          <w:rFonts w:ascii="David" w:hAnsi="David"/>
          <w:rtl/>
        </w:rPr>
      </w:pPr>
      <w:bookmarkStart w:id="6" w:name="ABSTRACT_END"/>
      <w:bookmarkEnd w:id="6"/>
    </w:p>
    <w:p w14:paraId="70EDB397" w14:textId="77777777" w:rsidR="0052142F" w:rsidRDefault="0052142F" w:rsidP="0052142F">
      <w:pPr>
        <w:spacing w:line="360" w:lineRule="auto"/>
        <w:ind w:left="720" w:hanging="720"/>
        <w:jc w:val="both"/>
        <w:rPr>
          <w:rFonts w:ascii="David" w:hAnsi="David"/>
          <w:rtl/>
        </w:rPr>
      </w:pPr>
      <w:r>
        <w:rPr>
          <w:rFonts w:ascii="David" w:hAnsi="David" w:hint="cs"/>
          <w:rtl/>
        </w:rPr>
        <w:lastRenderedPageBreak/>
        <w:t>2.</w:t>
      </w:r>
      <w:r>
        <w:rPr>
          <w:rFonts w:ascii="David" w:hAnsi="David"/>
          <w:rtl/>
        </w:rPr>
        <w:tab/>
      </w:r>
      <w:r>
        <w:rPr>
          <w:rFonts w:ascii="David" w:hAnsi="David" w:hint="cs"/>
          <w:rtl/>
        </w:rPr>
        <w:t xml:space="preserve">על פי עובדות כתב האישום המתוקן על רקע סכסוך בין משפחתם של הנאשמים לבין משפחת בדראן. הנאשמים סיכמו, יחד עם אחרים, לירות לעבר בית קפה "מקיאטו" בכפר בענה שבבעלות מ.ב.. כהכנה לפעולה הצטיידה החבורה במספר כלי נשק, בהם אקדח מסוג גלוק, רובה סער מסוג </w:t>
      </w:r>
      <w:r>
        <w:rPr>
          <w:rFonts w:ascii="David" w:hAnsi="David"/>
        </w:rPr>
        <w:t xml:space="preserve">M-4 </w:t>
      </w:r>
      <w:r>
        <w:rPr>
          <w:rFonts w:ascii="David" w:hAnsi="David" w:hint="cs"/>
          <w:rtl/>
        </w:rPr>
        <w:t xml:space="preserve"> ורובה סער מסוג </w:t>
      </w:r>
      <w:r>
        <w:rPr>
          <w:rFonts w:ascii="David" w:hAnsi="David"/>
        </w:rPr>
        <w:t>M-16</w:t>
      </w:r>
      <w:r>
        <w:rPr>
          <w:rFonts w:ascii="David" w:hAnsi="David" w:hint="cs"/>
          <w:rtl/>
        </w:rPr>
        <w:t xml:space="preserve"> בו הצטייד הנאשם 2. כמו כן הצטיידו במיכל בנזין לצורך הצתת בית הקפה, ובשני רכבים גנובים שזהותם טושטשה על ידי שימוש בלוחיות זיהוי שנגנבו מרכבים אחרים.</w:t>
      </w:r>
    </w:p>
    <w:p w14:paraId="6A0F89C9" w14:textId="77777777" w:rsidR="0052142F" w:rsidRDefault="0052142F" w:rsidP="0052142F">
      <w:pPr>
        <w:spacing w:line="360" w:lineRule="auto"/>
        <w:ind w:left="720" w:hanging="720"/>
        <w:jc w:val="both"/>
        <w:rPr>
          <w:rFonts w:ascii="David" w:hAnsi="David"/>
          <w:rtl/>
        </w:rPr>
      </w:pPr>
    </w:p>
    <w:p w14:paraId="7125CD71" w14:textId="77777777" w:rsidR="0052142F" w:rsidRDefault="0052142F" w:rsidP="0052142F">
      <w:pPr>
        <w:spacing w:line="360" w:lineRule="auto"/>
        <w:ind w:left="720" w:hanging="720"/>
        <w:jc w:val="both"/>
        <w:rPr>
          <w:rFonts w:ascii="David" w:hAnsi="David"/>
          <w:rtl/>
        </w:rPr>
      </w:pPr>
      <w:r>
        <w:rPr>
          <w:rFonts w:ascii="David" w:hAnsi="David"/>
          <w:rtl/>
        </w:rPr>
        <w:tab/>
      </w:r>
      <w:r>
        <w:rPr>
          <w:rFonts w:ascii="David" w:hAnsi="David" w:hint="cs"/>
          <w:rtl/>
        </w:rPr>
        <w:t xml:space="preserve">בתאריך 10.05.2021 סמוך לאחר השעה 03:00, הנאשמים ושאר החבורה ירדו כשהם רעולי פנים משני הרכבים סמוך לבית הקפה, ובעודם אוחזים בנשקים ובמיכל הבנזין התקדמו בריצה לעבר בית הקפה והחלו לירות. בבית הקפה נכחו באותה השעה שני עובדים ולקוח מזדמן שזהותו אינה ידועה. החבורה ירתה בצוותא עשרות כדורים לעבר בית הקפה והנוכחים בו. הובהר, על-פי ההסכמות העובדתיות כאמור, כי הנאשם 1 לא אחז בנשק. כתוצאה מהירי נגרם לבית הקפה נזק: חורי ירי בקירות ובפנים העסק. </w:t>
      </w:r>
    </w:p>
    <w:p w14:paraId="524757B1" w14:textId="77777777" w:rsidR="0052142F" w:rsidRDefault="0052142F" w:rsidP="0052142F">
      <w:pPr>
        <w:spacing w:line="360" w:lineRule="auto"/>
        <w:ind w:left="720" w:hanging="720"/>
        <w:jc w:val="both"/>
        <w:rPr>
          <w:rFonts w:ascii="David" w:hAnsi="David"/>
          <w:rtl/>
        </w:rPr>
      </w:pPr>
    </w:p>
    <w:p w14:paraId="15FC1405" w14:textId="77777777" w:rsidR="0052142F" w:rsidRDefault="0052142F" w:rsidP="0052142F">
      <w:pPr>
        <w:spacing w:line="360" w:lineRule="auto"/>
        <w:ind w:left="720" w:hanging="720"/>
        <w:jc w:val="both"/>
        <w:rPr>
          <w:rFonts w:ascii="David" w:hAnsi="David"/>
          <w:rtl/>
        </w:rPr>
      </w:pPr>
      <w:r>
        <w:rPr>
          <w:rFonts w:ascii="David" w:hAnsi="David"/>
          <w:rtl/>
        </w:rPr>
        <w:tab/>
      </w:r>
      <w:r>
        <w:rPr>
          <w:rFonts w:ascii="David" w:hAnsi="David" w:hint="cs"/>
          <w:rtl/>
        </w:rPr>
        <w:t>במהלך הירי, ותוך זמן קצר ביותר המוערך בכעשרים שניות מרגע עצירת הרכבים, על-פי סרטוני מצלמות האבטחה שהוגשו לעיוני בהתאם להסכמה העובדתית של הצדדים, הגיעה למקום ניידת משטרה ובה שני שוטרים. החבורה החלה להימלט מהמקום, חלקם ברגל וחלקם באמצעות הרכבים.</w:t>
      </w:r>
      <w:r w:rsidRPr="00C778C5">
        <w:rPr>
          <w:rFonts w:ascii="David" w:hAnsi="David" w:hint="cs"/>
          <w:rtl/>
        </w:rPr>
        <w:t xml:space="preserve"> </w:t>
      </w:r>
      <w:r>
        <w:rPr>
          <w:rFonts w:ascii="David" w:hAnsi="David" w:hint="cs"/>
          <w:rtl/>
        </w:rPr>
        <w:t>השוטרים פתחו לעברם באש. באירוע נפגע מירי השוטר חן בוחבוט, ברם פציעתו אינה מיוחסת לנאשמים או לחברי החבורה האחרים.</w:t>
      </w:r>
    </w:p>
    <w:p w14:paraId="0298BAD1" w14:textId="77777777" w:rsidR="0052142F" w:rsidRDefault="0052142F" w:rsidP="0052142F">
      <w:pPr>
        <w:spacing w:line="360" w:lineRule="auto"/>
        <w:ind w:left="720" w:hanging="720"/>
        <w:jc w:val="both"/>
        <w:rPr>
          <w:rFonts w:ascii="David" w:hAnsi="David"/>
          <w:rtl/>
        </w:rPr>
      </w:pPr>
    </w:p>
    <w:p w14:paraId="3843A3D7" w14:textId="77777777" w:rsidR="0052142F" w:rsidRDefault="0052142F" w:rsidP="0052142F">
      <w:pPr>
        <w:spacing w:line="360" w:lineRule="auto"/>
        <w:ind w:left="720" w:hanging="720"/>
        <w:jc w:val="both"/>
        <w:rPr>
          <w:rFonts w:ascii="David" w:hAnsi="David"/>
          <w:rtl/>
        </w:rPr>
      </w:pPr>
      <w:r>
        <w:rPr>
          <w:rFonts w:ascii="David" w:hAnsi="David"/>
          <w:rtl/>
        </w:rPr>
        <w:tab/>
      </w:r>
      <w:r>
        <w:rPr>
          <w:rFonts w:ascii="David" w:hAnsi="David" w:hint="cs"/>
          <w:rtl/>
        </w:rPr>
        <w:t>במנוסתם הגיעו הנאשמים ואחרים מבין החבורה למתחם מיושב הנמצא בסמיכות. שם החביאו והשליכו את כיסויי הפנים, את הבגדים שלבשו ולפחות שניים מהנשקים, והתחבאו בעצמם. זמן קצר לאחר מכן נעצרו הנאשמים על ידי המשטרה במתחם בו התחבאו.</w:t>
      </w:r>
    </w:p>
    <w:p w14:paraId="15F146A0" w14:textId="77777777" w:rsidR="0052142F" w:rsidRDefault="0052142F" w:rsidP="0052142F">
      <w:pPr>
        <w:spacing w:line="360" w:lineRule="auto"/>
        <w:ind w:left="720" w:hanging="720"/>
        <w:jc w:val="both"/>
        <w:rPr>
          <w:rFonts w:ascii="David" w:hAnsi="David"/>
          <w:rtl/>
        </w:rPr>
      </w:pPr>
    </w:p>
    <w:p w14:paraId="642F3899" w14:textId="77777777" w:rsidR="0052142F" w:rsidRDefault="0052142F" w:rsidP="0052142F">
      <w:pPr>
        <w:spacing w:line="360" w:lineRule="auto"/>
        <w:ind w:left="720" w:hanging="720"/>
        <w:jc w:val="both"/>
        <w:rPr>
          <w:rFonts w:ascii="David" w:hAnsi="David"/>
          <w:rtl/>
        </w:rPr>
      </w:pPr>
      <w:r>
        <w:rPr>
          <w:rFonts w:ascii="David" w:hAnsi="David" w:hint="cs"/>
          <w:rtl/>
        </w:rPr>
        <w:t>3.</w:t>
      </w:r>
      <w:r>
        <w:rPr>
          <w:rFonts w:ascii="David" w:hAnsi="David" w:hint="cs"/>
          <w:rtl/>
        </w:rPr>
        <w:tab/>
        <w:t>מטעם ההגנה, לעניין עונשו של הנאשם 1, העיד דודם של הנאשמים. הוא העיד כי מכיר את הנאשם 1 מאז היה ילד, וכי מדובר באדם טוב שעובד למחייתו כחשמלאי שנים רבות. ציין כי במשפחה ארעו מקרי רצח רבים שלוו בעבירות נוספות, ואילו הנאשם 1 מעולם לא לקח חלק בסכסוך אלא רק בא לקראת כולם להשכין שלום. העד הוסיף כי בעצמו שילם מעל עשרת אלפים שקלים למען תקינות היחסים בין הניצים.</w:t>
      </w:r>
    </w:p>
    <w:p w14:paraId="029B2292" w14:textId="77777777" w:rsidR="0052142F" w:rsidRDefault="0052142F" w:rsidP="0052142F">
      <w:pPr>
        <w:spacing w:line="360" w:lineRule="auto"/>
        <w:ind w:left="720" w:hanging="720"/>
        <w:jc w:val="both"/>
        <w:rPr>
          <w:rFonts w:ascii="David" w:hAnsi="David"/>
          <w:rtl/>
        </w:rPr>
      </w:pPr>
    </w:p>
    <w:p w14:paraId="1489FE7A" w14:textId="77777777" w:rsidR="0052142F" w:rsidRPr="001F7D82" w:rsidRDefault="0052142F" w:rsidP="0052142F">
      <w:pPr>
        <w:spacing w:line="360" w:lineRule="auto"/>
        <w:ind w:left="720" w:hanging="720"/>
        <w:jc w:val="both"/>
        <w:rPr>
          <w:rFonts w:ascii="David" w:hAnsi="David"/>
          <w:b/>
          <w:bCs/>
          <w:u w:val="single"/>
          <w:rtl/>
        </w:rPr>
      </w:pPr>
      <w:r w:rsidRPr="001F7D82">
        <w:rPr>
          <w:rFonts w:ascii="David" w:hAnsi="David" w:hint="cs"/>
          <w:b/>
          <w:bCs/>
          <w:u w:val="single"/>
          <w:rtl/>
        </w:rPr>
        <w:t>טיעונים לעונש</w:t>
      </w:r>
    </w:p>
    <w:p w14:paraId="0CF45416" w14:textId="77777777" w:rsidR="0052142F" w:rsidRDefault="0052142F" w:rsidP="0052142F">
      <w:pPr>
        <w:spacing w:line="360" w:lineRule="auto"/>
        <w:ind w:left="720" w:hanging="720"/>
        <w:jc w:val="both"/>
        <w:rPr>
          <w:rFonts w:ascii="David" w:hAnsi="David"/>
          <w:rtl/>
        </w:rPr>
      </w:pPr>
    </w:p>
    <w:p w14:paraId="144A783B" w14:textId="77777777" w:rsidR="0052142F" w:rsidRDefault="0052142F" w:rsidP="0052142F">
      <w:pPr>
        <w:spacing w:line="360" w:lineRule="auto"/>
        <w:ind w:left="720" w:hanging="720"/>
        <w:jc w:val="both"/>
        <w:rPr>
          <w:rFonts w:ascii="David" w:hAnsi="David"/>
          <w:rtl/>
        </w:rPr>
      </w:pPr>
      <w:r>
        <w:rPr>
          <w:rFonts w:ascii="David" w:hAnsi="David" w:hint="cs"/>
          <w:rtl/>
        </w:rPr>
        <w:t>4.</w:t>
      </w:r>
      <w:r>
        <w:rPr>
          <w:rFonts w:ascii="David" w:hAnsi="David"/>
          <w:rtl/>
        </w:rPr>
        <w:tab/>
      </w:r>
      <w:r w:rsidRPr="00110B8E">
        <w:rPr>
          <w:rFonts w:ascii="David" w:hAnsi="David"/>
          <w:rtl/>
        </w:rPr>
        <w:t xml:space="preserve">הצדדים טענו לעונש ההולם לעמדתם ותמכו עתירתם העונשית בפסיקה. </w:t>
      </w:r>
      <w:r w:rsidRPr="00110B8E">
        <w:rPr>
          <w:rFonts w:ascii="David" w:hAnsi="David" w:hint="cs"/>
          <w:rtl/>
        </w:rPr>
        <w:t>ב"כ המאשימה הדגיש</w:t>
      </w:r>
      <w:r>
        <w:rPr>
          <w:rFonts w:ascii="David" w:hAnsi="David" w:hint="cs"/>
          <w:rtl/>
        </w:rPr>
        <w:t>ה את חומרת המעשים המערערים את הסדר החברתי ושלטון החוק ופוגעים באופן ניכר בשלום הציבור, בשגרת חייו ובביטחונ</w:t>
      </w:r>
      <w:r>
        <w:rPr>
          <w:rFonts w:ascii="David" w:hAnsi="David" w:hint="eastAsia"/>
          <w:rtl/>
        </w:rPr>
        <w:t>ו</w:t>
      </w:r>
      <w:r>
        <w:rPr>
          <w:rFonts w:ascii="David" w:hAnsi="David" w:hint="cs"/>
          <w:rtl/>
        </w:rPr>
        <w:t xml:space="preserve">. טענה כי מעשי הנאשמים פגעו קשות בערכים </w:t>
      </w:r>
      <w:r>
        <w:rPr>
          <w:rFonts w:ascii="David" w:hAnsi="David" w:hint="cs"/>
          <w:rtl/>
        </w:rPr>
        <w:lastRenderedPageBreak/>
        <w:t>חברתיים מגוונים ובהם שמירה על חיי אדם ושמירה על הרכוש, ובנוסף הצורך למגר תופעת החזקת הנשק הבלתי חוקי והשימוש שנעשה בנשק כזה באירועים פליליים. באשר לנסיבות ביצוע העבירה, הדגישה ב"כ המאשימה את התכנון המוקדם והמוקפד, את ריבוי כלי הנשק, את הנזק שנגרם מהירי ואת פוטנציאל הנזק שעלול היה להיגרם מהירי או מהצתת בית הקפה, שלא יצאה אל הפועל בזכות התערבותם המהירה של השוטרים. את העובדה שכתוצאה מהאירוע נפגע מירי, שאינו מיוחס לנאשמים, השוטר ח.ב.</w:t>
      </w:r>
    </w:p>
    <w:p w14:paraId="07F337AB" w14:textId="77777777" w:rsidR="0052142F" w:rsidRDefault="0052142F" w:rsidP="0052142F">
      <w:pPr>
        <w:spacing w:line="360" w:lineRule="auto"/>
        <w:ind w:left="720" w:hanging="720"/>
        <w:jc w:val="both"/>
        <w:rPr>
          <w:rFonts w:ascii="David" w:hAnsi="David"/>
          <w:rtl/>
        </w:rPr>
      </w:pPr>
    </w:p>
    <w:p w14:paraId="18AB527F" w14:textId="77777777" w:rsidR="0052142F" w:rsidRDefault="0052142F" w:rsidP="0052142F">
      <w:pPr>
        <w:spacing w:line="360" w:lineRule="auto"/>
        <w:ind w:left="720" w:hanging="720"/>
        <w:jc w:val="both"/>
        <w:rPr>
          <w:rFonts w:ascii="David" w:hAnsi="David"/>
          <w:rtl/>
        </w:rPr>
      </w:pPr>
    </w:p>
    <w:p w14:paraId="7F888E86" w14:textId="77777777" w:rsidR="0052142F" w:rsidRDefault="0052142F" w:rsidP="0052142F">
      <w:pPr>
        <w:spacing w:line="360" w:lineRule="auto"/>
        <w:ind w:left="720" w:hanging="720"/>
        <w:jc w:val="both"/>
        <w:rPr>
          <w:rFonts w:ascii="David" w:hAnsi="David"/>
          <w:rtl/>
        </w:rPr>
      </w:pPr>
      <w:r>
        <w:rPr>
          <w:rFonts w:ascii="David" w:hAnsi="David"/>
          <w:rtl/>
        </w:rPr>
        <w:tab/>
      </w:r>
      <w:r>
        <w:rPr>
          <w:rFonts w:ascii="David" w:hAnsi="David" w:hint="cs"/>
          <w:rtl/>
        </w:rPr>
        <w:t>התובעת הפנתה למדיניות הענישה המחמירה בעבירות נשק הכוללת עונשי מאסר משמעותיים, גם בהרשעה ראשונה. לאמירות הנוקבות היוצאות מבית המשפט העליון בדבר הצורך בענישה מחמירה בעבירות נשק בשל פוטנציאל הסיכון הטמון בנשק לא חוקי הנמצא בידיים לא מורשות ולא מיומנות; לכך שעבירות הנשק הוגדרו</w:t>
      </w:r>
      <w:r w:rsidRPr="00110B8E">
        <w:rPr>
          <w:rFonts w:ascii="David" w:hAnsi="David" w:hint="cs"/>
          <w:rtl/>
        </w:rPr>
        <w:t xml:space="preserve"> </w:t>
      </w:r>
      <w:r>
        <w:rPr>
          <w:rFonts w:ascii="David" w:hAnsi="David" w:hint="cs"/>
          <w:rtl/>
        </w:rPr>
        <w:t xml:space="preserve">זה מכבר </w:t>
      </w:r>
      <w:r w:rsidRPr="00110B8E">
        <w:rPr>
          <w:rFonts w:ascii="David" w:hAnsi="David" w:hint="cs"/>
          <w:rtl/>
        </w:rPr>
        <w:t>כמכת מדינה</w:t>
      </w:r>
      <w:r>
        <w:rPr>
          <w:rFonts w:ascii="David" w:hAnsi="David" w:hint="cs"/>
          <w:rtl/>
        </w:rPr>
        <w:t>,</w:t>
      </w:r>
      <w:r w:rsidRPr="00110B8E">
        <w:rPr>
          <w:rFonts w:ascii="David" w:hAnsi="David" w:hint="cs"/>
          <w:rtl/>
        </w:rPr>
        <w:t xml:space="preserve"> </w:t>
      </w:r>
      <w:r>
        <w:rPr>
          <w:rFonts w:ascii="David" w:hAnsi="David" w:hint="cs"/>
          <w:rtl/>
        </w:rPr>
        <w:t>ו</w:t>
      </w:r>
      <w:r w:rsidRPr="00110B8E">
        <w:rPr>
          <w:rFonts w:ascii="David" w:hAnsi="David" w:hint="cs"/>
          <w:rtl/>
        </w:rPr>
        <w:t xml:space="preserve">לצורך </w:t>
      </w:r>
      <w:r>
        <w:rPr>
          <w:rFonts w:ascii="David" w:hAnsi="David" w:hint="cs"/>
          <w:rtl/>
        </w:rPr>
        <w:t>ב</w:t>
      </w:r>
      <w:r w:rsidRPr="00110B8E">
        <w:rPr>
          <w:rFonts w:ascii="David" w:hAnsi="David" w:hint="cs"/>
          <w:rtl/>
        </w:rPr>
        <w:t xml:space="preserve">הרתעת יחיד ורבים, כפי </w:t>
      </w:r>
      <w:r>
        <w:rPr>
          <w:rFonts w:ascii="David" w:hAnsi="David" w:hint="cs"/>
          <w:rtl/>
        </w:rPr>
        <w:t>שמשתקף</w:t>
      </w:r>
      <w:r w:rsidRPr="00110B8E">
        <w:rPr>
          <w:rFonts w:ascii="David" w:hAnsi="David" w:hint="cs"/>
          <w:rtl/>
        </w:rPr>
        <w:t xml:space="preserve"> </w:t>
      </w:r>
      <w:r>
        <w:rPr>
          <w:rFonts w:ascii="David" w:hAnsi="David" w:hint="cs"/>
          <w:rtl/>
        </w:rPr>
        <w:t>מ</w:t>
      </w:r>
      <w:r w:rsidRPr="00110B8E">
        <w:rPr>
          <w:rFonts w:ascii="David" w:hAnsi="David" w:hint="cs"/>
          <w:rtl/>
        </w:rPr>
        <w:t xml:space="preserve">פסיקת בית המשפט </w:t>
      </w:r>
      <w:r>
        <w:rPr>
          <w:rFonts w:ascii="David" w:hAnsi="David" w:hint="cs"/>
          <w:rtl/>
        </w:rPr>
        <w:t>העליון ו</w:t>
      </w:r>
      <w:r w:rsidRPr="00110B8E">
        <w:rPr>
          <w:rFonts w:ascii="David" w:hAnsi="David" w:hint="cs"/>
          <w:rtl/>
        </w:rPr>
        <w:t>תיקון 140 ל</w:t>
      </w:r>
      <w:hyperlink r:id="rId40" w:history="1">
        <w:r w:rsidR="006C405F" w:rsidRPr="006C405F">
          <w:rPr>
            <w:rFonts w:ascii="David" w:hAnsi="David"/>
            <w:color w:val="0000FF"/>
            <w:u w:val="single"/>
            <w:rtl/>
          </w:rPr>
          <w:t>חוק העונשין</w:t>
        </w:r>
      </w:hyperlink>
      <w:r w:rsidRPr="00110B8E">
        <w:rPr>
          <w:rFonts w:ascii="David" w:hAnsi="David" w:hint="cs"/>
          <w:rtl/>
        </w:rPr>
        <w:t xml:space="preserve">, </w:t>
      </w:r>
      <w:r>
        <w:rPr>
          <w:rFonts w:ascii="David" w:hAnsi="David" w:hint="cs"/>
          <w:rtl/>
        </w:rPr>
        <w:t xml:space="preserve">הגם </w:t>
      </w:r>
      <w:r w:rsidRPr="00110B8E">
        <w:rPr>
          <w:rFonts w:ascii="David" w:hAnsi="David" w:hint="cs"/>
          <w:rtl/>
        </w:rPr>
        <w:t xml:space="preserve">שאינו חל במקרה זה. להשקפת המאשימה מתחם העונש ההולם </w:t>
      </w:r>
      <w:r>
        <w:rPr>
          <w:rFonts w:ascii="David" w:hAnsi="David" w:hint="cs"/>
          <w:rtl/>
        </w:rPr>
        <w:t xml:space="preserve">בגין כל העבירות המתוארות בכתב האישום נע בין תשע שנות מאסר ממשי </w:t>
      </w:r>
      <w:r w:rsidRPr="00110B8E">
        <w:rPr>
          <w:rFonts w:ascii="David" w:hAnsi="David" w:hint="cs"/>
          <w:rtl/>
        </w:rPr>
        <w:t xml:space="preserve">ועד </w:t>
      </w:r>
      <w:r>
        <w:rPr>
          <w:rFonts w:ascii="David" w:hAnsi="David" w:hint="cs"/>
          <w:rtl/>
        </w:rPr>
        <w:t>שלוש עשרה שנות</w:t>
      </w:r>
      <w:r w:rsidRPr="00110B8E">
        <w:rPr>
          <w:rFonts w:ascii="David" w:hAnsi="David" w:hint="cs"/>
          <w:rtl/>
        </w:rPr>
        <w:t xml:space="preserve"> מאסר </w:t>
      </w:r>
      <w:r>
        <w:rPr>
          <w:rFonts w:ascii="David" w:hAnsi="David" w:hint="cs"/>
          <w:rtl/>
        </w:rPr>
        <w:t>בתקרתו</w:t>
      </w:r>
      <w:r w:rsidRPr="00110B8E">
        <w:rPr>
          <w:rFonts w:ascii="David" w:hAnsi="David" w:hint="cs"/>
          <w:rtl/>
        </w:rPr>
        <w:t xml:space="preserve">. </w:t>
      </w:r>
    </w:p>
    <w:p w14:paraId="34D0BA51" w14:textId="77777777" w:rsidR="0052142F" w:rsidRDefault="0052142F" w:rsidP="0052142F">
      <w:pPr>
        <w:spacing w:line="360" w:lineRule="auto"/>
        <w:ind w:left="720" w:hanging="720"/>
        <w:jc w:val="both"/>
        <w:rPr>
          <w:rFonts w:ascii="David" w:hAnsi="David"/>
          <w:rtl/>
        </w:rPr>
      </w:pPr>
    </w:p>
    <w:p w14:paraId="46889735" w14:textId="77777777" w:rsidR="0052142F" w:rsidRDefault="0052142F" w:rsidP="0052142F">
      <w:pPr>
        <w:spacing w:line="360" w:lineRule="auto"/>
        <w:ind w:left="720" w:hanging="720"/>
        <w:jc w:val="both"/>
        <w:rPr>
          <w:rFonts w:ascii="David" w:hAnsi="David"/>
          <w:rtl/>
        </w:rPr>
      </w:pPr>
      <w:r>
        <w:rPr>
          <w:rFonts w:ascii="David" w:hAnsi="David"/>
          <w:rtl/>
        </w:rPr>
        <w:tab/>
      </w:r>
      <w:r w:rsidRPr="00110B8E">
        <w:rPr>
          <w:rFonts w:ascii="David" w:hAnsi="David" w:hint="cs"/>
          <w:rtl/>
        </w:rPr>
        <w:t xml:space="preserve">ב"כ המאשימה </w:t>
      </w:r>
      <w:r>
        <w:rPr>
          <w:rFonts w:ascii="David" w:hAnsi="David" w:hint="cs"/>
          <w:rtl/>
        </w:rPr>
        <w:t xml:space="preserve">ציינה כי הנאשם 1 נעדר עבר פלילי, בעוד הנאשם 2 ריצה שמונה עשר חודשי מאסר בפועל בגין הרשעתו בעבירה של חבלה חמורה לפני כשש שנים. </w:t>
      </w:r>
      <w:r w:rsidRPr="00110B8E">
        <w:rPr>
          <w:rFonts w:ascii="David" w:hAnsi="David" w:hint="cs"/>
          <w:rtl/>
        </w:rPr>
        <w:t>עתר</w:t>
      </w:r>
      <w:r>
        <w:rPr>
          <w:rFonts w:ascii="David" w:hAnsi="David" w:hint="cs"/>
          <w:rtl/>
        </w:rPr>
        <w:t>ה</w:t>
      </w:r>
      <w:r w:rsidRPr="00110B8E">
        <w:rPr>
          <w:rFonts w:ascii="David" w:hAnsi="David" w:hint="cs"/>
          <w:rtl/>
        </w:rPr>
        <w:t xml:space="preserve"> להטיל על הנאש</w:t>
      </w:r>
      <w:r>
        <w:rPr>
          <w:rFonts w:ascii="David" w:hAnsi="David" w:hint="cs"/>
          <w:rtl/>
        </w:rPr>
        <w:t>מי</w:t>
      </w:r>
      <w:r w:rsidRPr="00110B8E">
        <w:rPr>
          <w:rFonts w:ascii="David" w:hAnsi="David" w:hint="cs"/>
          <w:rtl/>
        </w:rPr>
        <w:t>ם עונש ב</w:t>
      </w:r>
      <w:r>
        <w:rPr>
          <w:rFonts w:ascii="David" w:hAnsi="David" w:hint="cs"/>
          <w:rtl/>
        </w:rPr>
        <w:t>חציו התחתון של המתחם</w:t>
      </w:r>
      <w:r w:rsidRPr="00110B8E">
        <w:rPr>
          <w:rFonts w:ascii="David" w:hAnsi="David" w:hint="cs"/>
          <w:rtl/>
        </w:rPr>
        <w:t xml:space="preserve"> לצד עונש מאסר מותנה </w:t>
      </w:r>
      <w:r>
        <w:rPr>
          <w:rFonts w:ascii="David" w:hAnsi="David" w:hint="cs"/>
          <w:rtl/>
        </w:rPr>
        <w:t xml:space="preserve">מרתיע, </w:t>
      </w:r>
      <w:r w:rsidRPr="00110B8E">
        <w:rPr>
          <w:rFonts w:ascii="David" w:hAnsi="David" w:hint="cs"/>
          <w:rtl/>
        </w:rPr>
        <w:t>קנס</w:t>
      </w:r>
      <w:r>
        <w:rPr>
          <w:rFonts w:ascii="David" w:hAnsi="David" w:hint="cs"/>
          <w:rtl/>
        </w:rPr>
        <w:t xml:space="preserve"> ופיצויי משמעותי למ.ב., נפגע העבירה שהוא הבעלים של בית הקפה</w:t>
      </w:r>
      <w:r w:rsidRPr="00110B8E">
        <w:rPr>
          <w:rFonts w:ascii="David" w:hAnsi="David" w:hint="cs"/>
          <w:rtl/>
        </w:rPr>
        <w:t>.</w:t>
      </w:r>
    </w:p>
    <w:p w14:paraId="011DA7AC" w14:textId="77777777" w:rsidR="0052142F" w:rsidRDefault="0052142F" w:rsidP="0052142F">
      <w:pPr>
        <w:spacing w:line="360" w:lineRule="auto"/>
        <w:ind w:left="720" w:hanging="720"/>
        <w:jc w:val="both"/>
        <w:rPr>
          <w:rFonts w:ascii="David" w:hAnsi="David"/>
          <w:rtl/>
        </w:rPr>
      </w:pPr>
    </w:p>
    <w:p w14:paraId="69B615AC" w14:textId="77777777" w:rsidR="0052142F" w:rsidRDefault="0052142F" w:rsidP="0052142F">
      <w:pPr>
        <w:spacing w:line="360" w:lineRule="auto"/>
        <w:ind w:left="720" w:hanging="720"/>
        <w:jc w:val="both"/>
        <w:rPr>
          <w:rFonts w:ascii="David" w:hAnsi="David"/>
          <w:rtl/>
        </w:rPr>
      </w:pPr>
      <w:r>
        <w:rPr>
          <w:rFonts w:ascii="David" w:hAnsi="David" w:hint="cs"/>
          <w:rtl/>
        </w:rPr>
        <w:t>5.</w:t>
      </w:r>
      <w:r>
        <w:rPr>
          <w:rFonts w:ascii="David" w:hAnsi="David" w:hint="cs"/>
          <w:rtl/>
        </w:rPr>
        <w:tab/>
      </w:r>
      <w:r w:rsidRPr="00B245EE">
        <w:rPr>
          <w:rFonts w:ascii="David" w:hAnsi="David" w:hint="cs"/>
          <w:rtl/>
        </w:rPr>
        <w:t xml:space="preserve">הסניגור ציין </w:t>
      </w:r>
      <w:r>
        <w:rPr>
          <w:rFonts w:ascii="David" w:hAnsi="David" w:hint="cs"/>
          <w:rtl/>
        </w:rPr>
        <w:t xml:space="preserve">שחרף חומרת האירוע, עדיין אין המדובר באירוע ייחודי עד כדי כך שמצדיק קביעת רף ענישתי גבוה שחורג בחומרתו באופן ניכר, גם מהפסיקה </w:t>
      </w:r>
      <w:r w:rsidRPr="00B245EE">
        <w:rPr>
          <w:rFonts w:ascii="David" w:hAnsi="David" w:hint="cs"/>
          <w:rtl/>
        </w:rPr>
        <w:t>שהפנתה אליה המאשימה</w:t>
      </w:r>
      <w:r>
        <w:rPr>
          <w:rFonts w:ascii="David" w:hAnsi="David" w:hint="cs"/>
          <w:rtl/>
        </w:rPr>
        <w:t xml:space="preserve">, אשר להשקפתו עוסקת במקרים </w:t>
      </w:r>
      <w:r w:rsidRPr="00B245EE">
        <w:rPr>
          <w:rFonts w:ascii="David" w:hAnsi="David" w:hint="cs"/>
          <w:rtl/>
        </w:rPr>
        <w:t>חמור</w:t>
      </w:r>
      <w:r>
        <w:rPr>
          <w:rFonts w:ascii="David" w:hAnsi="David" w:hint="cs"/>
          <w:rtl/>
        </w:rPr>
        <w:t>ים</w:t>
      </w:r>
      <w:r w:rsidRPr="00B245EE">
        <w:rPr>
          <w:rFonts w:ascii="David" w:hAnsi="David" w:hint="cs"/>
          <w:rtl/>
        </w:rPr>
        <w:t xml:space="preserve"> מ</w:t>
      </w:r>
      <w:r>
        <w:rPr>
          <w:rFonts w:ascii="David" w:hAnsi="David" w:hint="cs"/>
          <w:rtl/>
        </w:rPr>
        <w:t>ה</w:t>
      </w:r>
      <w:r w:rsidRPr="00B245EE">
        <w:rPr>
          <w:rFonts w:ascii="David" w:hAnsi="David" w:hint="cs"/>
          <w:rtl/>
        </w:rPr>
        <w:t xml:space="preserve">מקרה </w:t>
      </w:r>
      <w:r>
        <w:rPr>
          <w:rFonts w:ascii="David" w:hAnsi="David" w:hint="cs"/>
          <w:rtl/>
        </w:rPr>
        <w:t>דנן</w:t>
      </w:r>
      <w:r w:rsidRPr="00B245EE">
        <w:rPr>
          <w:rFonts w:ascii="David" w:hAnsi="David" w:hint="cs"/>
          <w:rtl/>
        </w:rPr>
        <w:t xml:space="preserve">. </w:t>
      </w:r>
      <w:r>
        <w:rPr>
          <w:rFonts w:ascii="David" w:hAnsi="David" w:hint="cs"/>
          <w:rtl/>
        </w:rPr>
        <w:t>הסניגור הדגיש כי עובדתית הוסכם שלא מיוחסת לנאשמים או לאחרים שהיו איתם באירוע הפגיעה בשוטר, וכי כתב האישום המתוקן אינו מייחס להם ירי בניסיון לפגוע בשוטרים. הנאשמים הודו בהזדמנות הראשונה בכתב האישום המותקן, שתוקן תיקון משמעותי, וחסכו ניהול משפט ארוך במיוחד בשים לב למספר העדים הרב שנמנה ברשימת עדי התביעה, כל זאת ללא תמורה להקלה עונשית. הסניגור ביקש ללמוד מכך על חרטה כנה ואמיתית.</w:t>
      </w:r>
    </w:p>
    <w:p w14:paraId="096A5D6D" w14:textId="77777777" w:rsidR="0052142F" w:rsidRDefault="0052142F" w:rsidP="0052142F">
      <w:pPr>
        <w:spacing w:line="360" w:lineRule="auto"/>
        <w:ind w:left="720" w:hanging="720"/>
        <w:jc w:val="both"/>
        <w:rPr>
          <w:rFonts w:ascii="David" w:hAnsi="David"/>
          <w:rtl/>
        </w:rPr>
      </w:pPr>
    </w:p>
    <w:p w14:paraId="508ED9CA" w14:textId="77777777" w:rsidR="0052142F" w:rsidRDefault="0052142F" w:rsidP="0052142F">
      <w:pPr>
        <w:spacing w:line="360" w:lineRule="auto"/>
        <w:ind w:left="720" w:hanging="720"/>
        <w:jc w:val="both"/>
        <w:rPr>
          <w:rFonts w:ascii="David" w:hAnsi="David"/>
          <w:rtl/>
        </w:rPr>
      </w:pPr>
      <w:r>
        <w:rPr>
          <w:rFonts w:ascii="David" w:hAnsi="David"/>
          <w:rtl/>
        </w:rPr>
        <w:tab/>
      </w:r>
      <w:r>
        <w:rPr>
          <w:rFonts w:ascii="David" w:hAnsi="David" w:hint="cs"/>
          <w:rtl/>
        </w:rPr>
        <w:t>הסניגור התייחס לנסיבות האישיות של הנאשמים. הנאשם 1, מחמד, בן 39, שעובד כחשמלאי מוסמך, נשוי ואב לארבעה. ילדיו של הנאשם 1 מוכשרים והשיגו מדליות, גביעים ותעודות הצטיינות בספורט ומדעים. ללא עבר פלילי, למרות סכסוכים משפחתיים שאופפים את הפלג המשפחתי אליו משתייך. הסניגור הגיש דו"ח סוציאלי של מחלקת הרווחה במועצה המקומית בענה, בנוגע למשפחתו של הנאשם 1 מממנו עולה כי מצבה הכלכלי של המשפחה הורע אחר מעצר הנאשם 1 שהיה המפרנס היחיד שלה. הסניגור הוסיף כי מדובר באירוע חריג בחייו של הנאשם 1, שנמצא במעצר למעלה משנה. לדבריו, הנאשם 1 משמש כתומך בבית מעצר קישון לעצורים אחרים הזקוקים לכך. הוטעם כי הנאשם 1 לא החזיק בנשק וההחזקה המיוחסת לו נשענת על דיני השותפות בלבד, עניין שצריך לקבל ביטוי עונשי שיבדילו לקולא מאחיו, הנאשם 2.</w:t>
      </w:r>
    </w:p>
    <w:p w14:paraId="13460742" w14:textId="77777777" w:rsidR="0052142F" w:rsidRDefault="0052142F" w:rsidP="0052142F">
      <w:pPr>
        <w:spacing w:line="360" w:lineRule="auto"/>
        <w:ind w:left="720" w:hanging="720"/>
        <w:jc w:val="both"/>
        <w:rPr>
          <w:rFonts w:ascii="David" w:hAnsi="David"/>
          <w:rtl/>
        </w:rPr>
      </w:pPr>
    </w:p>
    <w:p w14:paraId="00911F89" w14:textId="77777777" w:rsidR="0052142F" w:rsidRDefault="0052142F" w:rsidP="0052142F">
      <w:pPr>
        <w:spacing w:line="360" w:lineRule="auto"/>
        <w:ind w:left="720" w:hanging="720"/>
        <w:jc w:val="both"/>
        <w:rPr>
          <w:rFonts w:ascii="David" w:hAnsi="David"/>
          <w:rtl/>
        </w:rPr>
      </w:pPr>
      <w:r>
        <w:rPr>
          <w:rFonts w:ascii="David" w:hAnsi="David"/>
          <w:rtl/>
        </w:rPr>
        <w:tab/>
      </w:r>
      <w:r>
        <w:rPr>
          <w:rFonts w:ascii="David" w:hAnsi="David" w:hint="cs"/>
          <w:rtl/>
        </w:rPr>
        <w:t>הנאשם 2, רשיד, בן 28, הורשע בעבר בגין עבירה שביצע בשנת 2015, לפני למעלה משש שנים ונדון בעטייה לשמונה עשרה חודשי מאסר. צויין כי בשנים שעברו מאז אותה עבירה לא נזקפו לחובתו הרשעות. הסניגור הגיש תעודות רפואיות בנוגע לאשפוזו של הנאשם 2 במרכז הרפואי גליל מיום המעצר 10.05.2021, למשך כארבעה ימים בשל שברים בצלעות, ובהמשך אובחן כסובל מפריצות דיסק. לדבריו הפציעות הן תולדה של מעצר שלווה בהפעלת כוח בלתי מוצדקת כלפיו. בהקשר זה ציין הסניגור שתלונה בעניין הוגשה למח"ש, ושם הוחלט שלא להמשיך בחקירה. יחד עם זאת נטען כי הפגיעות מהן עדיין סובל הנאשם יקשו עוד עליו בריצוי עונשו ויש לשקול אותן במסגרת שיקולי הענישה.</w:t>
      </w:r>
    </w:p>
    <w:p w14:paraId="5A7372DB" w14:textId="77777777" w:rsidR="0052142F" w:rsidRDefault="0052142F" w:rsidP="0052142F">
      <w:pPr>
        <w:spacing w:line="360" w:lineRule="auto"/>
        <w:ind w:left="720" w:hanging="720"/>
        <w:jc w:val="both"/>
        <w:rPr>
          <w:rFonts w:ascii="David" w:hAnsi="David"/>
          <w:rtl/>
        </w:rPr>
      </w:pPr>
    </w:p>
    <w:p w14:paraId="1A0A1C38" w14:textId="77777777" w:rsidR="0052142F" w:rsidRDefault="0052142F" w:rsidP="0052142F">
      <w:pPr>
        <w:spacing w:line="360" w:lineRule="auto"/>
        <w:ind w:left="720" w:hanging="720"/>
        <w:jc w:val="both"/>
        <w:rPr>
          <w:rFonts w:ascii="David" w:hAnsi="David"/>
          <w:rtl/>
        </w:rPr>
      </w:pPr>
      <w:r>
        <w:rPr>
          <w:rFonts w:ascii="David" w:hAnsi="David"/>
          <w:rtl/>
        </w:rPr>
        <w:tab/>
      </w:r>
      <w:r>
        <w:rPr>
          <w:rFonts w:ascii="David" w:hAnsi="David" w:hint="cs"/>
          <w:rtl/>
        </w:rPr>
        <w:t>ב"כ הנאשמים עמד על כי הסכסוך שהיווה את הרקע לאירועים הינו סכסוך ארוך כשהנאשמים עצמם לא היו מעורבים בביצוע עבירות במסגרת הסכסוך,</w:t>
      </w:r>
      <w:r w:rsidRPr="00F67C14">
        <w:rPr>
          <w:rFonts w:ascii="David" w:hAnsi="David" w:hint="cs"/>
          <w:rtl/>
        </w:rPr>
        <w:t xml:space="preserve"> </w:t>
      </w:r>
      <w:r>
        <w:rPr>
          <w:rFonts w:ascii="David" w:hAnsi="David" w:hint="cs"/>
          <w:rtl/>
        </w:rPr>
        <w:t xml:space="preserve">עד כה. כמו כן ביקש שבית המשפט ייקח בחשבון שבאירוע, כעולה מסרטוני מצלמות האבטחה, נכחו לפחות שישה משתתפים, בעוד הנאשמים הם היחידים שהועמדו לדין.   </w:t>
      </w:r>
    </w:p>
    <w:p w14:paraId="10E95B6D" w14:textId="77777777" w:rsidR="0052142F" w:rsidRDefault="0052142F" w:rsidP="0052142F">
      <w:pPr>
        <w:spacing w:line="360" w:lineRule="auto"/>
        <w:ind w:left="720" w:hanging="720"/>
        <w:jc w:val="both"/>
        <w:rPr>
          <w:rFonts w:ascii="David" w:hAnsi="David"/>
          <w:rtl/>
        </w:rPr>
      </w:pPr>
    </w:p>
    <w:p w14:paraId="63651839" w14:textId="77777777" w:rsidR="0052142F" w:rsidRDefault="0052142F" w:rsidP="0052142F">
      <w:pPr>
        <w:spacing w:line="360" w:lineRule="auto"/>
        <w:ind w:left="720" w:hanging="720"/>
        <w:jc w:val="both"/>
        <w:rPr>
          <w:rFonts w:ascii="David" w:hAnsi="David"/>
          <w:rtl/>
        </w:rPr>
      </w:pPr>
      <w:r>
        <w:rPr>
          <w:rFonts w:ascii="David" w:hAnsi="David"/>
          <w:rtl/>
        </w:rPr>
        <w:tab/>
      </w:r>
      <w:r>
        <w:rPr>
          <w:rFonts w:ascii="David" w:hAnsi="David" w:hint="cs"/>
          <w:rtl/>
        </w:rPr>
        <w:t>הסניגור עתר לפרש את כתב האישום לטובת הנאשמים במקומות שניתנים לפרשנות: כך לפרש את המונח "עשרות כדורים" שנורו על-פי נוסח כתב האישום, ככולל ירי של כ-20 כדורים בלבד, וכך כאשר יבוא בית המשפט להטיל פיצוי לטובת המתלונן יתחשב בכך שלא הוכח גובה הנזק ולא הוצג דו"ח שמאי או תמונות לצורך הערכת גובה הנזק.</w:t>
      </w:r>
    </w:p>
    <w:p w14:paraId="385F2251" w14:textId="77777777" w:rsidR="0052142F" w:rsidRDefault="0052142F" w:rsidP="0052142F">
      <w:pPr>
        <w:spacing w:line="360" w:lineRule="auto"/>
        <w:ind w:left="720" w:hanging="720"/>
        <w:jc w:val="both"/>
        <w:rPr>
          <w:rFonts w:ascii="David" w:hAnsi="David"/>
          <w:rtl/>
        </w:rPr>
      </w:pPr>
    </w:p>
    <w:p w14:paraId="34B44E93" w14:textId="77777777" w:rsidR="0052142F" w:rsidRDefault="0052142F" w:rsidP="0052142F">
      <w:pPr>
        <w:spacing w:line="360" w:lineRule="auto"/>
        <w:ind w:left="720" w:hanging="720"/>
        <w:jc w:val="both"/>
        <w:rPr>
          <w:rFonts w:ascii="David" w:hAnsi="David"/>
          <w:rtl/>
        </w:rPr>
      </w:pPr>
      <w:r>
        <w:rPr>
          <w:rFonts w:ascii="David" w:hAnsi="David" w:hint="cs"/>
          <w:rtl/>
        </w:rPr>
        <w:t>6.</w:t>
      </w:r>
      <w:r>
        <w:rPr>
          <w:rFonts w:ascii="David" w:hAnsi="David" w:hint="cs"/>
          <w:rtl/>
        </w:rPr>
        <w:tab/>
        <w:t>הנאשמים בדברם האחרון הביעו צער וחרטה. הנאשם 1 הדגיש שמדובר בטעות הראשונה שלו. והנאשם 2 הוסיף כי הוא עדיין סובל מהפציעות שנגרמו לו, כאמור.</w:t>
      </w:r>
    </w:p>
    <w:p w14:paraId="04372C61" w14:textId="77777777" w:rsidR="0052142F" w:rsidRDefault="0052142F" w:rsidP="0052142F">
      <w:pPr>
        <w:spacing w:line="360" w:lineRule="auto"/>
        <w:ind w:left="720" w:hanging="720"/>
        <w:jc w:val="both"/>
        <w:rPr>
          <w:rFonts w:ascii="David" w:hAnsi="David"/>
          <w:rtl/>
        </w:rPr>
      </w:pPr>
    </w:p>
    <w:p w14:paraId="53AE49F2" w14:textId="77777777" w:rsidR="0052142F" w:rsidRPr="004E4AE6" w:rsidRDefault="0052142F" w:rsidP="0052142F">
      <w:pPr>
        <w:spacing w:line="360" w:lineRule="auto"/>
        <w:ind w:left="720" w:hanging="720"/>
        <w:jc w:val="both"/>
        <w:rPr>
          <w:rFonts w:ascii="David" w:hAnsi="David"/>
          <w:b/>
          <w:bCs/>
          <w:u w:val="single"/>
          <w:rtl/>
        </w:rPr>
      </w:pPr>
      <w:r w:rsidRPr="004E4AE6">
        <w:rPr>
          <w:rFonts w:ascii="David" w:hAnsi="David" w:hint="cs"/>
          <w:b/>
          <w:bCs/>
          <w:u w:val="single"/>
          <w:rtl/>
        </w:rPr>
        <w:t>דיון והכרעה:</w:t>
      </w:r>
    </w:p>
    <w:p w14:paraId="6057B868" w14:textId="77777777" w:rsidR="0052142F" w:rsidRDefault="0052142F" w:rsidP="0052142F">
      <w:pPr>
        <w:spacing w:line="360" w:lineRule="auto"/>
        <w:ind w:left="720" w:hanging="720"/>
        <w:jc w:val="both"/>
        <w:rPr>
          <w:rFonts w:ascii="David" w:hAnsi="David"/>
          <w:rtl/>
        </w:rPr>
      </w:pPr>
      <w:r>
        <w:rPr>
          <w:rFonts w:ascii="David" w:hAnsi="David" w:hint="cs"/>
          <w:rtl/>
        </w:rPr>
        <w:t>7.</w:t>
      </w:r>
      <w:r>
        <w:rPr>
          <w:rFonts w:ascii="David" w:hAnsi="David" w:hint="cs"/>
          <w:rtl/>
        </w:rPr>
        <w:tab/>
        <w:t>עבירות אלימות הנעברות תוך שימוש בנשק חם פוגעות ב</w:t>
      </w:r>
      <w:r w:rsidRPr="00110B8E">
        <w:rPr>
          <w:rFonts w:ascii="David" w:hAnsi="David" w:hint="cs"/>
          <w:rtl/>
        </w:rPr>
        <w:t>שלום הציבור ובטחונו</w:t>
      </w:r>
      <w:r>
        <w:rPr>
          <w:rFonts w:ascii="David" w:hAnsi="David" w:hint="cs"/>
          <w:rtl/>
        </w:rPr>
        <w:t xml:space="preserve"> ומסכנות חיי אדם, גם של עוברי אורח תמימים. בית המשפט העליון עמד פעמים רבות על חומרתן של עבירות נשק, לכך שהפכו ל"מכת מדינה" ולצורך בהחמרה משמעותית בענישה בעניינן. גם המחוקק התייחס לחומרת עבירות הנשק כשקבע לאחרונה בהוראת שעה עונשי מינימום לעבירות אלו ב</w:t>
      </w:r>
      <w:hyperlink r:id="rId41" w:history="1">
        <w:r w:rsidR="006C405F" w:rsidRPr="006C405F">
          <w:rPr>
            <w:rFonts w:ascii="David" w:hAnsi="David"/>
            <w:color w:val="0000FF"/>
            <w:u w:val="single"/>
            <w:rtl/>
          </w:rPr>
          <w:t>חוק העונשין</w:t>
        </w:r>
      </w:hyperlink>
      <w:r>
        <w:rPr>
          <w:rFonts w:ascii="David" w:hAnsi="David" w:hint="cs"/>
          <w:rtl/>
        </w:rPr>
        <w:t xml:space="preserve"> (תיקון מס' 140 </w:t>
      </w:r>
      <w:r>
        <w:rPr>
          <w:rFonts w:ascii="David" w:hAnsi="David"/>
          <w:rtl/>
        </w:rPr>
        <w:t>–</w:t>
      </w:r>
      <w:r>
        <w:rPr>
          <w:rFonts w:ascii="David" w:hAnsi="David" w:hint="cs"/>
          <w:rtl/>
        </w:rPr>
        <w:t xml:space="preserve"> הוראת שעה), התשפ"ב-2021. ראו למשל </w:t>
      </w:r>
      <w:hyperlink r:id="rId42" w:history="1">
        <w:r w:rsidR="006C405F" w:rsidRPr="006C405F">
          <w:rPr>
            <w:rFonts w:ascii="David" w:hAnsi="David"/>
            <w:color w:val="0000FF"/>
            <w:u w:val="single"/>
            <w:rtl/>
          </w:rPr>
          <w:t>ע"פ 2251/21</w:t>
        </w:r>
      </w:hyperlink>
      <w:r w:rsidRPr="00A26405">
        <w:rPr>
          <w:rFonts w:ascii="David" w:hAnsi="David"/>
          <w:rtl/>
        </w:rPr>
        <w:t xml:space="preserve"> </w:t>
      </w:r>
      <w:r w:rsidRPr="00A26405">
        <w:rPr>
          <w:rFonts w:ascii="David" w:hAnsi="David"/>
          <w:b/>
          <w:bCs/>
          <w:rtl/>
        </w:rPr>
        <w:t>אבו עראר</w:t>
      </w:r>
      <w:r w:rsidRPr="00A26405">
        <w:rPr>
          <w:rFonts w:ascii="David" w:hAnsi="David"/>
          <w:rtl/>
        </w:rPr>
        <w:t xml:space="preserve"> </w:t>
      </w:r>
      <w:r w:rsidRPr="00A26405">
        <w:rPr>
          <w:rFonts w:ascii="David" w:hAnsi="David"/>
          <w:b/>
          <w:bCs/>
          <w:rtl/>
        </w:rPr>
        <w:t>נ' מדינת ישראל</w:t>
      </w:r>
      <w:r w:rsidRPr="00A26405">
        <w:rPr>
          <w:rFonts w:ascii="David" w:hAnsi="David"/>
          <w:rtl/>
        </w:rPr>
        <w:t xml:space="preserve"> </w:t>
      </w:r>
      <w:r>
        <w:rPr>
          <w:rFonts w:ascii="David" w:hAnsi="David" w:hint="cs"/>
          <w:rtl/>
        </w:rPr>
        <w:t xml:space="preserve">פס' 25 </w:t>
      </w:r>
      <w:r w:rsidRPr="00A26405">
        <w:rPr>
          <w:rFonts w:ascii="David" w:hAnsi="David"/>
          <w:rtl/>
        </w:rPr>
        <w:t>(נבו 15.12.2021)</w:t>
      </w:r>
      <w:r>
        <w:rPr>
          <w:rFonts w:ascii="David" w:hAnsi="David" w:hint="cs"/>
          <w:rtl/>
        </w:rPr>
        <w:t>:</w:t>
      </w:r>
    </w:p>
    <w:p w14:paraId="204A526A" w14:textId="77777777" w:rsidR="0052142F" w:rsidRDefault="0052142F" w:rsidP="0052142F">
      <w:pPr>
        <w:spacing w:line="360" w:lineRule="auto"/>
        <w:ind w:left="720" w:hanging="720"/>
        <w:jc w:val="both"/>
        <w:rPr>
          <w:rFonts w:ascii="David" w:hAnsi="David"/>
        </w:rPr>
      </w:pPr>
    </w:p>
    <w:p w14:paraId="5E485DCF" w14:textId="77777777" w:rsidR="0052142F" w:rsidRPr="004E4AE6" w:rsidRDefault="0052142F" w:rsidP="0052142F">
      <w:pPr>
        <w:pStyle w:val="aa"/>
        <w:rPr>
          <w:rFonts w:ascii="David" w:hAnsi="David"/>
          <w:color w:val="auto"/>
          <w:spacing w:val="10"/>
        </w:rPr>
      </w:pPr>
      <w:r w:rsidRPr="004E4AE6">
        <w:rPr>
          <w:rStyle w:val="ab"/>
          <w:rFonts w:hint="cs"/>
          <w:color w:val="auto"/>
          <w:rtl/>
        </w:rPr>
        <w:t>"[...]</w:t>
      </w:r>
      <w:r w:rsidRPr="004E4AE6">
        <w:rPr>
          <w:rStyle w:val="ab"/>
          <w:color w:val="auto"/>
          <w:rtl/>
        </w:rPr>
        <w:t>אין צורך להכביר במילים על אודות החומרה הנלווית לעבירות נשק. אין היום חולקין כי עבירות מסוג זה הפכו ל"מכת מדינה" של ממש (ראו</w:t>
      </w:r>
      <w:r w:rsidRPr="004E4AE6">
        <w:rPr>
          <w:rFonts w:ascii="David" w:hAnsi="David"/>
          <w:color w:val="auto"/>
          <w:spacing w:val="10"/>
          <w:rtl/>
        </w:rPr>
        <w:t xml:space="preserve"> לאחרונה:</w:t>
      </w:r>
      <w:r w:rsidR="006C405F">
        <w:rPr>
          <w:rFonts w:ascii="David" w:hAnsi="David"/>
          <w:color w:val="auto"/>
          <w:spacing w:val="10"/>
          <w:rtl/>
        </w:rPr>
        <w:t xml:space="preserve"> </w:t>
      </w:r>
      <w:hyperlink r:id="rId43" w:history="1">
        <w:r w:rsidR="006C405F" w:rsidRPr="006C405F">
          <w:rPr>
            <w:rFonts w:ascii="David" w:hAnsi="David"/>
            <w:color w:val="0000FF"/>
            <w:spacing w:val="10"/>
            <w:u w:val="single"/>
            <w:rtl/>
          </w:rPr>
          <w:t>ע"פ 7473/20</w:t>
        </w:r>
      </w:hyperlink>
      <w:r w:rsidR="006C405F">
        <w:rPr>
          <w:rFonts w:ascii="David" w:hAnsi="David"/>
          <w:color w:val="auto"/>
          <w:spacing w:val="10"/>
          <w:rtl/>
        </w:rPr>
        <w:t xml:space="preserve"> </w:t>
      </w:r>
      <w:r w:rsidRPr="004E4AE6">
        <w:rPr>
          <w:rFonts w:ascii="David" w:hAnsi="David"/>
          <w:color w:val="auto"/>
          <w:rtl/>
        </w:rPr>
        <w:t>מדינת ישראל נ' מחאמיד</w:t>
      </w:r>
      <w:r w:rsidRPr="004E4AE6">
        <w:rPr>
          <w:rFonts w:ascii="David" w:hAnsi="David"/>
          <w:color w:val="auto"/>
          <w:spacing w:val="10"/>
          <w:rtl/>
        </w:rPr>
        <w:t>,</w:t>
      </w:r>
      <w:r w:rsidR="006C405F">
        <w:rPr>
          <w:rFonts w:ascii="David" w:hAnsi="David"/>
          <w:color w:val="auto"/>
          <w:spacing w:val="10"/>
          <w:rtl/>
        </w:rPr>
        <w:t xml:space="preserve"> </w:t>
      </w:r>
      <w:r w:rsidRPr="004E4AE6">
        <w:rPr>
          <w:rFonts w:ascii="David" w:hAnsi="David"/>
          <w:color w:val="auto"/>
          <w:rtl/>
        </w:rPr>
        <w:t>[פורסם</w:t>
      </w:r>
      <w:r w:rsidRPr="004E4AE6">
        <w:rPr>
          <w:rFonts w:ascii="David" w:hAnsi="David" w:hint="cs"/>
          <w:color w:val="auto"/>
          <w:rtl/>
        </w:rPr>
        <w:t xml:space="preserve"> </w:t>
      </w:r>
      <w:r w:rsidRPr="004E4AE6">
        <w:rPr>
          <w:rFonts w:ascii="David" w:hAnsi="David"/>
          <w:color w:val="auto"/>
          <w:rtl/>
        </w:rPr>
        <w:t>בנבו]</w:t>
      </w:r>
      <w:r w:rsidR="006C405F">
        <w:rPr>
          <w:rFonts w:ascii="David" w:hAnsi="David"/>
          <w:color w:val="auto"/>
          <w:rtl/>
        </w:rPr>
        <w:t xml:space="preserve"> </w:t>
      </w:r>
      <w:r w:rsidRPr="004E4AE6">
        <w:rPr>
          <w:rFonts w:ascii="David" w:hAnsi="David"/>
          <w:color w:val="auto"/>
          <w:spacing w:val="10"/>
          <w:rtl/>
        </w:rPr>
        <w:t>פסקה 24 (29.6.2021);</w:t>
      </w:r>
      <w:r w:rsidR="006C405F">
        <w:rPr>
          <w:rFonts w:ascii="David" w:hAnsi="David"/>
          <w:color w:val="auto"/>
          <w:spacing w:val="10"/>
          <w:rtl/>
        </w:rPr>
        <w:t xml:space="preserve"> </w:t>
      </w:r>
      <w:hyperlink r:id="rId44" w:history="1">
        <w:r w:rsidR="006C405F" w:rsidRPr="006C405F">
          <w:rPr>
            <w:rFonts w:ascii="David" w:hAnsi="David"/>
            <w:color w:val="0000FF"/>
            <w:spacing w:val="10"/>
            <w:u w:val="single"/>
            <w:rtl/>
          </w:rPr>
          <w:t>ע"פ 5993/21</w:t>
        </w:r>
      </w:hyperlink>
      <w:r w:rsidR="006C405F">
        <w:rPr>
          <w:rFonts w:ascii="David" w:hAnsi="David"/>
          <w:color w:val="auto"/>
          <w:spacing w:val="10"/>
          <w:rtl/>
        </w:rPr>
        <w:t xml:space="preserve"> </w:t>
      </w:r>
      <w:r w:rsidRPr="004E4AE6">
        <w:rPr>
          <w:rFonts w:ascii="David" w:hAnsi="David"/>
          <w:color w:val="auto"/>
          <w:rtl/>
        </w:rPr>
        <w:t>סאלח נ' מדינת ישראל</w:t>
      </w:r>
      <w:r w:rsidRPr="004E4AE6">
        <w:rPr>
          <w:rFonts w:ascii="David" w:hAnsi="David"/>
          <w:color w:val="auto"/>
          <w:spacing w:val="10"/>
          <w:rtl/>
        </w:rPr>
        <w:t>,</w:t>
      </w:r>
      <w:r w:rsidR="006C405F">
        <w:rPr>
          <w:rFonts w:ascii="David" w:hAnsi="David"/>
          <w:color w:val="auto"/>
          <w:spacing w:val="10"/>
          <w:rtl/>
        </w:rPr>
        <w:t xml:space="preserve"> </w:t>
      </w:r>
      <w:r w:rsidRPr="004E4AE6">
        <w:rPr>
          <w:rFonts w:ascii="David" w:hAnsi="David"/>
          <w:color w:val="auto"/>
          <w:rtl/>
        </w:rPr>
        <w:t>[פורסם בנבו]</w:t>
      </w:r>
      <w:r w:rsidR="006C405F">
        <w:rPr>
          <w:rFonts w:ascii="David" w:hAnsi="David"/>
          <w:color w:val="auto"/>
          <w:rtl/>
        </w:rPr>
        <w:t xml:space="preserve"> </w:t>
      </w:r>
      <w:r w:rsidRPr="004E4AE6">
        <w:rPr>
          <w:rFonts w:ascii="David" w:hAnsi="David"/>
          <w:color w:val="auto"/>
          <w:spacing w:val="10"/>
          <w:rtl/>
        </w:rPr>
        <w:t>פסקה 8 (29.11.2021);</w:t>
      </w:r>
      <w:r w:rsidR="006C405F">
        <w:rPr>
          <w:rFonts w:ascii="David" w:hAnsi="David"/>
          <w:color w:val="auto"/>
          <w:spacing w:val="10"/>
          <w:rtl/>
        </w:rPr>
        <w:t xml:space="preserve"> </w:t>
      </w:r>
      <w:hyperlink r:id="rId45" w:history="1">
        <w:r w:rsidR="006C405F" w:rsidRPr="006C405F">
          <w:rPr>
            <w:rFonts w:ascii="David" w:hAnsi="David"/>
            <w:color w:val="0000FF"/>
            <w:spacing w:val="10"/>
            <w:u w:val="single"/>
            <w:rtl/>
          </w:rPr>
          <w:t>ע"פ 8416/20</w:t>
        </w:r>
      </w:hyperlink>
      <w:r w:rsidR="006C405F">
        <w:rPr>
          <w:rFonts w:ascii="David" w:hAnsi="David"/>
          <w:color w:val="auto"/>
          <w:spacing w:val="10"/>
          <w:rtl/>
        </w:rPr>
        <w:t xml:space="preserve"> </w:t>
      </w:r>
      <w:r w:rsidRPr="004E4AE6">
        <w:rPr>
          <w:rFonts w:ascii="David" w:hAnsi="David"/>
          <w:color w:val="auto"/>
          <w:rtl/>
        </w:rPr>
        <w:t>עייאט נ' מדינת ישראל</w:t>
      </w:r>
      <w:r w:rsidR="006C405F">
        <w:rPr>
          <w:rFonts w:ascii="David" w:hAnsi="David"/>
          <w:color w:val="auto"/>
          <w:spacing w:val="10"/>
          <w:rtl/>
        </w:rPr>
        <w:t xml:space="preserve"> </w:t>
      </w:r>
      <w:r w:rsidRPr="004E4AE6">
        <w:rPr>
          <w:rFonts w:ascii="David" w:hAnsi="David"/>
          <w:color w:val="auto"/>
          <w:rtl/>
        </w:rPr>
        <w:t>[פורסם בנבו]</w:t>
      </w:r>
      <w:r w:rsidR="006C405F">
        <w:rPr>
          <w:rFonts w:ascii="David" w:hAnsi="David"/>
          <w:color w:val="auto"/>
          <w:rtl/>
        </w:rPr>
        <w:t xml:space="preserve"> </w:t>
      </w:r>
      <w:r w:rsidRPr="004E4AE6">
        <w:rPr>
          <w:rFonts w:ascii="David" w:hAnsi="David"/>
          <w:color w:val="auto"/>
          <w:spacing w:val="10"/>
          <w:rtl/>
        </w:rPr>
        <w:t>(2.9.2021)).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46" w:history="1">
        <w:r w:rsidR="006C405F" w:rsidRPr="006C405F">
          <w:rPr>
            <w:rFonts w:ascii="David" w:hAnsi="David"/>
            <w:color w:val="0000FF"/>
            <w:spacing w:val="10"/>
            <w:u w:val="single"/>
            <w:rtl/>
          </w:rPr>
          <w:t>חוק העונשין</w:t>
        </w:r>
      </w:hyperlink>
      <w:r w:rsidR="006C405F">
        <w:rPr>
          <w:rFonts w:ascii="David" w:hAnsi="David"/>
          <w:color w:val="auto"/>
          <w:spacing w:val="10"/>
          <w:rtl/>
        </w:rPr>
        <w:t xml:space="preserve"> </w:t>
      </w:r>
      <w:r w:rsidRPr="004E4AE6">
        <w:rPr>
          <w:rFonts w:ascii="David" w:hAnsi="David"/>
          <w:color w:val="auto"/>
          <w:spacing w:val="10"/>
          <w:rtl/>
        </w:rPr>
        <w:t>(חוק העונשין (תיקון מס' 140 – הוראת שעה), התשפ"ב-2021) – שלא חל בענייננו – הקובע עונשי מינימום לעבירות נשק. הדברים האמורים מקבלים משנה תוקף במקרה זה בו כאמור הייתה כוונת מכוון לפגוע במתלונן ולפצעו. קשה להלום, זולת עבירת המתה על כל גווניה, עבירת אלימות קשה יותר. וכפי שנאמר</w:t>
      </w:r>
      <w:r w:rsidR="006C405F">
        <w:rPr>
          <w:rFonts w:ascii="David" w:hAnsi="David"/>
          <w:color w:val="auto"/>
          <w:spacing w:val="10"/>
          <w:rtl/>
        </w:rPr>
        <w:t xml:space="preserve"> </w:t>
      </w:r>
      <w:hyperlink r:id="rId47" w:history="1">
        <w:r w:rsidR="006C405F" w:rsidRPr="006C405F">
          <w:rPr>
            <w:rFonts w:ascii="David" w:hAnsi="David"/>
            <w:color w:val="0000FF"/>
            <w:spacing w:val="10"/>
            <w:u w:val="single"/>
            <w:rtl/>
          </w:rPr>
          <w:t>ע"פ 6493/05</w:t>
        </w:r>
      </w:hyperlink>
      <w:r w:rsidR="006C405F">
        <w:rPr>
          <w:rFonts w:ascii="David" w:hAnsi="David"/>
          <w:color w:val="auto"/>
          <w:spacing w:val="10"/>
          <w:rtl/>
        </w:rPr>
        <w:t xml:space="preserve"> </w:t>
      </w:r>
      <w:r w:rsidRPr="004E4AE6">
        <w:rPr>
          <w:rFonts w:ascii="David" w:hAnsi="David"/>
          <w:color w:val="auto"/>
          <w:rtl/>
        </w:rPr>
        <w:t>מוסא נ' מדינת ישראל</w:t>
      </w:r>
      <w:r w:rsidR="006C405F">
        <w:rPr>
          <w:rFonts w:ascii="David" w:hAnsi="David"/>
          <w:color w:val="auto"/>
          <w:spacing w:val="10"/>
          <w:rtl/>
        </w:rPr>
        <w:t xml:space="preserve"> </w:t>
      </w:r>
      <w:r w:rsidRPr="004E4AE6">
        <w:rPr>
          <w:rFonts w:ascii="David" w:hAnsi="David"/>
          <w:color w:val="auto"/>
          <w:rtl/>
        </w:rPr>
        <w:t>[פורסם בנבו]</w:t>
      </w:r>
      <w:r w:rsidR="006C405F">
        <w:rPr>
          <w:rFonts w:ascii="David" w:hAnsi="David"/>
          <w:color w:val="auto"/>
          <w:rtl/>
        </w:rPr>
        <w:t xml:space="preserve"> </w:t>
      </w:r>
      <w:r w:rsidRPr="004E4AE6">
        <w:rPr>
          <w:rFonts w:ascii="David" w:hAnsi="David"/>
          <w:color w:val="auto"/>
          <w:spacing w:val="10"/>
          <w:rtl/>
        </w:rPr>
        <w:t>(22.2.2006) והמתאים לענייננו:</w:t>
      </w:r>
    </w:p>
    <w:p w14:paraId="1943BBF9" w14:textId="77777777" w:rsidR="0052142F" w:rsidRPr="004E4AE6" w:rsidRDefault="0052142F" w:rsidP="0052142F">
      <w:pPr>
        <w:pStyle w:val="aa"/>
        <w:ind w:left="2160" w:hanging="742"/>
        <w:rPr>
          <w:color w:val="auto"/>
          <w:rtl/>
        </w:rPr>
      </w:pPr>
      <w:r w:rsidRPr="004E4AE6">
        <w:rPr>
          <w:color w:val="auto"/>
          <w:rtl/>
        </w:rPr>
        <w:tab/>
      </w:r>
      <w:r w:rsidR="006C405F">
        <w:rPr>
          <w:color w:val="auto"/>
          <w:rtl/>
        </w:rPr>
        <w:t xml:space="preserve"> </w:t>
      </w:r>
      <w:r w:rsidRPr="004E4AE6">
        <w:rPr>
          <w:color w:val="auto"/>
          <w:rtl/>
        </w:rPr>
        <w:t>"המערערים עשו שימוש בנשק חם על רקע סכסוך שפרץ בין משפחותיהם, תוך שהם מתכוונים לגרום חבלות ופציעה לזולת. ירי מסוג זה, ובמיוחד כשהוא מתרחש באזור מגורים, כרוכה בו סכנה של ממש לחיי אדם, ולא רק לאלה המעורבים בסכסוך, אלא גם לעוברי אורח תמימים. הנכונות של המערערים לעשות שימוש בנשק חם, ותהיה המחלוקת ביניהם אשר תהיה, היא המלמדת על מסוכנותם, ומכאן הצורך לנהוג בהם ביד קשה, דבר המתחייב גם מהצורך להרתיע את הרבים." (שם, פסקה 2)."</w:t>
      </w:r>
    </w:p>
    <w:p w14:paraId="568EF6E7" w14:textId="77777777" w:rsidR="0052142F" w:rsidRDefault="0052142F" w:rsidP="0052142F">
      <w:pPr>
        <w:widowControl w:val="0"/>
        <w:spacing w:before="240" w:line="360" w:lineRule="auto"/>
        <w:ind w:left="720" w:hanging="720"/>
        <w:jc w:val="both"/>
        <w:rPr>
          <w:rFonts w:ascii="David" w:hAnsi="David"/>
          <w:rtl/>
        </w:rPr>
      </w:pPr>
      <w:r w:rsidRPr="004E4AE6">
        <w:rPr>
          <w:rFonts w:ascii="David" w:hAnsi="David" w:hint="cs"/>
          <w:rtl/>
        </w:rPr>
        <w:t>8.</w:t>
      </w:r>
      <w:r w:rsidRPr="004E4AE6">
        <w:rPr>
          <w:rFonts w:ascii="David" w:hAnsi="David"/>
          <w:rtl/>
        </w:rPr>
        <w:tab/>
        <w:t xml:space="preserve">בחינת הפסיקה </w:t>
      </w:r>
      <w:r w:rsidRPr="004E4AE6">
        <w:rPr>
          <w:rFonts w:ascii="David" w:hAnsi="David" w:hint="cs"/>
          <w:rtl/>
        </w:rPr>
        <w:t>בעבירות נשק בנסיבות דומות מעלה כי הוטלו עונשים הכוללים רכיב של מאסר ממשי ממושך. בעניין אבו עראר לעיל, חמישה מערערים הורשעו על פי הודאתם בעבירות של חבלה בכוונה מחמירה, עבירות בנשק, שיבוש מהלכי משפט ועוד. שם, במסגרת סכסוך בין שני פלגים יריבים קשרו המערערים קשר לפגוע במתלונן מהפלג היריב. ארבעה מבין המערערים נסעו ברכב, כאשר שניים מתוכם מצוידים באקדחים, התקרבו למתלונן אשר עמד בכיכר בסמוך למכולת ברחוב ראשי, והמערערים 2 ו-5 ירו על המתלונן שנפגע מהירי. בית המשפט המחוזי קבע מתמחי עונש הולם של ארבע עד שמונה שנות מאסר ליוזם, שלא היה ברכב והורשע בשידול, ולשני היורים; ומתחמים של שלוש ועד שבע שנות מאסר לשניים הנוספים שהיו ברכב. דינם נגזר, כל אחד לפי חלקו ונסיבותיו הוא, לעונשים של חמישים ושניים חודשי מאסר ליורים, ארבעים ושמונה חודשי מאסר למשדל, ארבעים ושנים חודשי מאסר לנהג ושלושים ושישה חודשי מאסר למי שהיה באוטו ובעל עבר פלילי מכביד. בית המשפט העליון דחה את הערעור על גזר הדין וציין כי בית המשפט המחוזי הקל עם הנאשמים הן במתחמי הענישה והן בעונשים.</w:t>
      </w:r>
    </w:p>
    <w:p w14:paraId="45A2E5A4" w14:textId="77777777" w:rsidR="0052142F" w:rsidRDefault="0052142F" w:rsidP="0052142F">
      <w:pPr>
        <w:widowControl w:val="0"/>
        <w:spacing w:before="240" w:line="360" w:lineRule="auto"/>
        <w:ind w:left="720" w:hanging="720"/>
        <w:jc w:val="both"/>
        <w:rPr>
          <w:rFonts w:ascii="David" w:hAnsi="David"/>
          <w:rtl/>
        </w:rPr>
      </w:pPr>
      <w:r>
        <w:rPr>
          <w:rFonts w:ascii="David" w:hAnsi="David"/>
          <w:rtl/>
        </w:rPr>
        <w:tab/>
      </w:r>
      <w:r>
        <w:rPr>
          <w:rFonts w:ascii="David" w:hAnsi="David" w:hint="cs"/>
          <w:rtl/>
        </w:rPr>
        <w:t>פסקי הדין שהגישו הצדדים מצביעים גם הם על עונשים שנעים לרוב בין שלוש ועד חמש שנות מאסר, כל מקרה ונסיבותיו ובחלקם אף נגרמו פגיעות גוף מירי הנאשמים שלא כמו במקרה דנן. בית המשפט העליון עמד על הצורך בהחמרת הענישה בעבירות נשק, על הצורך בהרתעת היחיד והרבים ובכך ששיקולי השיקום בתקופה זאת משקפים בעיקרו של דבר את השיקום של המרחב הציבורי. כך למשל בפס"ד</w:t>
      </w:r>
      <w:r w:rsidRPr="00C45CA1">
        <w:rPr>
          <w:rtl/>
        </w:rPr>
        <w:t xml:space="preserve"> </w:t>
      </w:r>
      <w:hyperlink r:id="rId48" w:history="1">
        <w:r w:rsidR="006C405F" w:rsidRPr="006C405F">
          <w:rPr>
            <w:rFonts w:ascii="David" w:hAnsi="David"/>
            <w:color w:val="0000FF"/>
            <w:u w:val="single"/>
            <w:rtl/>
          </w:rPr>
          <w:t>ע"פ 4077/22</w:t>
        </w:r>
      </w:hyperlink>
      <w:r w:rsidRPr="00C45CA1">
        <w:rPr>
          <w:rFonts w:ascii="David" w:hAnsi="David"/>
          <w:rtl/>
        </w:rPr>
        <w:t xml:space="preserve"> </w:t>
      </w:r>
      <w:r w:rsidRPr="00C45CA1">
        <w:rPr>
          <w:rFonts w:ascii="David" w:hAnsi="David"/>
          <w:b/>
          <w:bCs/>
          <w:rtl/>
        </w:rPr>
        <w:t>פלוני נ' מדינת ישראל</w:t>
      </w:r>
      <w:r w:rsidRPr="00C45CA1">
        <w:rPr>
          <w:rFonts w:ascii="David" w:hAnsi="David"/>
          <w:rtl/>
        </w:rPr>
        <w:t xml:space="preserve"> </w:t>
      </w:r>
      <w:r>
        <w:rPr>
          <w:rFonts w:ascii="David" w:hAnsi="David" w:hint="cs"/>
          <w:rtl/>
        </w:rPr>
        <w:t xml:space="preserve">פס' 12-13 </w:t>
      </w:r>
      <w:r w:rsidRPr="00C45CA1">
        <w:rPr>
          <w:rFonts w:ascii="David" w:hAnsi="David"/>
          <w:rtl/>
        </w:rPr>
        <w:t>(נבו 28.07.2022)</w:t>
      </w:r>
      <w:r>
        <w:rPr>
          <w:rFonts w:ascii="David" w:hAnsi="David" w:hint="cs"/>
          <w:rtl/>
        </w:rPr>
        <w:t xml:space="preserve">  שניתן לאחרונה, צויין:</w:t>
      </w:r>
    </w:p>
    <w:p w14:paraId="1550A9BC" w14:textId="77777777" w:rsidR="0052142F" w:rsidRPr="001F7D82" w:rsidRDefault="0052142F" w:rsidP="0052142F">
      <w:pPr>
        <w:pStyle w:val="aa"/>
        <w:rPr>
          <w:color w:val="auto"/>
          <w:spacing w:val="10"/>
        </w:rPr>
      </w:pPr>
      <w:r w:rsidRPr="001F7D82">
        <w:rPr>
          <w:color w:val="auto"/>
          <w:spacing w:val="10"/>
          <w:rtl/>
        </w:rPr>
        <w:t>"בפסיקתו מן הזמן האחרון, בית משפט זה קבע לא אחת כי את מבצעיהן של עבירות נשק יש להעניש בחומרה יתרה – שכן מדובר בעבירות שהיו למכת מדינה, ושאחריהן בא השימוש הקטלני בנשק אשר מותיר אחריו פצועים ומתים כמעט מדי יום. מדיניות זו חלה ביתר שאת כאשר מדובר במכירה, ברכישה, בנשיאה או בהובלה – שלא כדין – של נשק התקפי בדמות תת-מקלעים ורובים ובשימוש לא חוקי בנשק כאמור. בטיפולנו בעבירות מסוג זה ובמבצעיהן, להרתעת היחיד והרבים ולהרחקת עברייני הנשק מהחברה על ידי השמתם בין כותלי הכלא לתקופות ממושכות יש מעמד בכורה (ראו:</w:t>
      </w:r>
      <w:r w:rsidR="006C405F">
        <w:rPr>
          <w:color w:val="auto"/>
          <w:spacing w:val="10"/>
          <w:rtl/>
        </w:rPr>
        <w:t xml:space="preserve"> </w:t>
      </w:r>
      <w:hyperlink r:id="rId49" w:history="1">
        <w:r w:rsidR="006C405F" w:rsidRPr="006C405F">
          <w:rPr>
            <w:color w:val="0000FF"/>
            <w:spacing w:val="10"/>
            <w:u w:val="single"/>
            <w:rtl/>
          </w:rPr>
          <w:t>ע"פ 5813/21</w:t>
        </w:r>
      </w:hyperlink>
      <w:r w:rsidR="006C405F">
        <w:rPr>
          <w:color w:val="auto"/>
          <w:spacing w:val="10"/>
          <w:rtl/>
        </w:rPr>
        <w:t xml:space="preserve"> </w:t>
      </w:r>
      <w:r w:rsidRPr="001F7D82">
        <w:rPr>
          <w:color w:val="auto"/>
          <w:rtl/>
        </w:rPr>
        <w:t>ג'בארין נ' מדינת ישראל</w:t>
      </w:r>
      <w:r w:rsidRPr="001F7D82">
        <w:rPr>
          <w:color w:val="auto"/>
          <w:spacing w:val="10"/>
          <w:rtl/>
        </w:rPr>
        <w:t xml:space="preserve">, פסקה 17 (31.5.2022); </w:t>
      </w:r>
      <w:hyperlink r:id="rId50" w:history="1">
        <w:r w:rsidR="006C405F" w:rsidRPr="006C405F">
          <w:rPr>
            <w:color w:val="0000FF"/>
            <w:spacing w:val="10"/>
            <w:u w:val="single"/>
            <w:rtl/>
          </w:rPr>
          <w:t>ע"פ 8045/17</w:t>
        </w:r>
      </w:hyperlink>
      <w:r w:rsidR="006C405F">
        <w:rPr>
          <w:color w:val="auto"/>
          <w:spacing w:val="10"/>
          <w:rtl/>
        </w:rPr>
        <w:t xml:space="preserve"> </w:t>
      </w:r>
      <w:r w:rsidRPr="001F7D82">
        <w:rPr>
          <w:color w:val="auto"/>
          <w:rtl/>
        </w:rPr>
        <w:t>בראנסי נ' מדינת ישראל</w:t>
      </w:r>
      <w:r w:rsidRPr="001F7D82">
        <w:rPr>
          <w:color w:val="auto"/>
          <w:spacing w:val="10"/>
          <w:rtl/>
        </w:rPr>
        <w:t xml:space="preserve">, פסקה 11 (16.8.2018); </w:t>
      </w:r>
      <w:hyperlink r:id="rId51" w:history="1">
        <w:r w:rsidR="006C405F" w:rsidRPr="006C405F">
          <w:rPr>
            <w:color w:val="0000FF"/>
            <w:spacing w:val="10"/>
            <w:u w:val="single"/>
            <w:rtl/>
          </w:rPr>
          <w:t>ע"פ 5643/14</w:t>
        </w:r>
      </w:hyperlink>
      <w:r w:rsidR="006C405F">
        <w:rPr>
          <w:color w:val="auto"/>
          <w:spacing w:val="10"/>
          <w:rtl/>
        </w:rPr>
        <w:t xml:space="preserve"> </w:t>
      </w:r>
      <w:r w:rsidRPr="001F7D82">
        <w:rPr>
          <w:color w:val="auto"/>
          <w:rtl/>
        </w:rPr>
        <w:t>עיסא נ' מדינת ישראל</w:t>
      </w:r>
      <w:r w:rsidRPr="001F7D82">
        <w:rPr>
          <w:color w:val="auto"/>
          <w:spacing w:val="10"/>
          <w:rtl/>
        </w:rPr>
        <w:t xml:space="preserve">, פסקה 13 (23.6.2015); </w:t>
      </w:r>
      <w:hyperlink r:id="rId52" w:history="1">
        <w:r w:rsidR="006C405F" w:rsidRPr="006C405F">
          <w:rPr>
            <w:color w:val="0000FF"/>
            <w:spacing w:val="10"/>
            <w:u w:val="single"/>
            <w:rtl/>
          </w:rPr>
          <w:t>ע"פ 78/21</w:t>
        </w:r>
      </w:hyperlink>
      <w:r w:rsidR="006C405F">
        <w:rPr>
          <w:color w:val="auto"/>
          <w:spacing w:val="10"/>
          <w:rtl/>
        </w:rPr>
        <w:t xml:space="preserve"> </w:t>
      </w:r>
      <w:r w:rsidRPr="001F7D82">
        <w:rPr>
          <w:color w:val="auto"/>
          <w:rtl/>
        </w:rPr>
        <w:t>פלוני נ' מדינת ישראל</w:t>
      </w:r>
      <w:r w:rsidRPr="001F7D82">
        <w:rPr>
          <w:color w:val="auto"/>
          <w:spacing w:val="10"/>
          <w:rtl/>
        </w:rPr>
        <w:t>, פסקה 9 (26.7.2022);</w:t>
      </w:r>
      <w:r w:rsidR="006C405F">
        <w:rPr>
          <w:color w:val="auto"/>
          <w:spacing w:val="10"/>
          <w:rtl/>
        </w:rPr>
        <w:t xml:space="preserve"> </w:t>
      </w:r>
      <w:hyperlink r:id="rId53" w:history="1">
        <w:r w:rsidR="006C405F" w:rsidRPr="006C405F">
          <w:rPr>
            <w:color w:val="0000FF"/>
            <w:spacing w:val="10"/>
            <w:u w:val="single"/>
            <w:shd w:val="clear" w:color="auto" w:fill="FFFFFF"/>
            <w:rtl/>
          </w:rPr>
          <w:t>ע"פ 587/22</w:t>
        </w:r>
      </w:hyperlink>
      <w:r w:rsidR="006C405F">
        <w:rPr>
          <w:color w:val="auto"/>
          <w:spacing w:val="10"/>
          <w:shd w:val="clear" w:color="auto" w:fill="FFFFFF"/>
          <w:rtl/>
        </w:rPr>
        <w:t xml:space="preserve">  </w:t>
      </w:r>
      <w:r w:rsidRPr="001F7D82">
        <w:rPr>
          <w:color w:val="auto"/>
          <w:shd w:val="clear" w:color="auto" w:fill="FFFFFF"/>
          <w:rtl/>
        </w:rPr>
        <w:t>נאעסה נ' מדינת ישראל</w:t>
      </w:r>
      <w:r w:rsidRPr="001F7D82">
        <w:rPr>
          <w:color w:val="auto"/>
          <w:spacing w:val="10"/>
          <w:shd w:val="clear" w:color="auto" w:fill="FFFFFF"/>
          <w:rtl/>
        </w:rPr>
        <w:t>, פסקה 9 (22.5.2022)</w:t>
      </w:r>
      <w:r w:rsidRPr="001F7D82">
        <w:rPr>
          <w:color w:val="auto"/>
          <w:spacing w:val="10"/>
          <w:rtl/>
        </w:rPr>
        <w:t xml:space="preserve">). ככלל, יעדים עונשיים אלו מוחקים מניה וביה את בקשת העבריין לשיקום שמחוץ לכלא – זאת, גם כאשר מדובר בעבריין צעיר שהסתבך לראשונה בפלילים ובקשתו לשיקום כנה ואף זוכה לתמיכתו של שירות המבחן (ראו: </w:t>
      </w:r>
      <w:hyperlink r:id="rId54" w:history="1">
        <w:r w:rsidR="006C405F" w:rsidRPr="006C405F">
          <w:rPr>
            <w:color w:val="0000FF"/>
            <w:spacing w:val="10"/>
            <w:u w:val="single"/>
            <w:rtl/>
          </w:rPr>
          <w:t>ע"פ 78/21</w:t>
        </w:r>
      </w:hyperlink>
      <w:r w:rsidR="006C405F">
        <w:rPr>
          <w:color w:val="auto"/>
          <w:spacing w:val="10"/>
          <w:rtl/>
        </w:rPr>
        <w:t xml:space="preserve"> </w:t>
      </w:r>
      <w:r w:rsidRPr="001F7D82">
        <w:rPr>
          <w:color w:val="auto"/>
          <w:rtl/>
        </w:rPr>
        <w:t>פלוני נ' מדינת ישראל</w:t>
      </w:r>
      <w:r w:rsidRPr="001F7D82">
        <w:rPr>
          <w:color w:val="auto"/>
          <w:spacing w:val="10"/>
          <w:rtl/>
        </w:rPr>
        <w:t>, פסקה 11 והאסמכתאות שם (26.7.2022)). בימים קשים אלה, השיקום שבראש מעייננו הוא שיקום המרחב הציבורי המדמם כתוצאה מעבירות נשק בלתי פוסקות והשימוש העברייני בנשק חם.</w:t>
      </w:r>
    </w:p>
    <w:p w14:paraId="528C4D04" w14:textId="77777777" w:rsidR="0052142F" w:rsidRPr="001F7D82" w:rsidRDefault="0052142F" w:rsidP="0052142F">
      <w:pPr>
        <w:pStyle w:val="aa"/>
        <w:rPr>
          <w:color w:val="auto"/>
          <w:spacing w:val="10"/>
          <w:rtl/>
        </w:rPr>
      </w:pPr>
      <w:r w:rsidRPr="001F7D82">
        <w:rPr>
          <w:color w:val="auto"/>
          <w:spacing w:val="10"/>
          <w:rtl/>
        </w:rPr>
        <w:t>13.</w:t>
      </w:r>
      <w:r w:rsidR="006C405F">
        <w:rPr>
          <w:color w:val="auto"/>
          <w:spacing w:val="10"/>
          <w:rtl/>
        </w:rPr>
        <w:t xml:space="preserve">      </w:t>
      </w:r>
      <w:r w:rsidRPr="001F7D82">
        <w:rPr>
          <w:color w:val="auto"/>
          <w:spacing w:val="10"/>
          <w:rtl/>
        </w:rPr>
        <w:t>בבואו ליישם את מדיניות הענישה כאמור, בית משפט זה נוהג להשית על מי שמוכר, קונה, נושא או מוביל נשק התקפי שלא כדין – קל וחומר, על מי שעושה שימוש בלתי חוקי בנשק התקפי</w:t>
      </w:r>
      <w:r w:rsidR="006C405F">
        <w:rPr>
          <w:color w:val="auto"/>
          <w:spacing w:val="10"/>
        </w:rPr>
        <w:t xml:space="preserve"> </w:t>
      </w:r>
      <w:r w:rsidRPr="001F7D82">
        <w:rPr>
          <w:color w:val="auto"/>
          <w:spacing w:val="10"/>
          <w:rtl/>
        </w:rPr>
        <w:t xml:space="preserve">– עונשי מאסר בין סורג ובריח לתקופות ארוכות יחסית (ראו: </w:t>
      </w:r>
      <w:hyperlink r:id="rId55" w:history="1">
        <w:r w:rsidR="006C405F" w:rsidRPr="006C405F">
          <w:rPr>
            <w:color w:val="0000FF"/>
            <w:spacing w:val="10"/>
            <w:u w:val="single"/>
            <w:rtl/>
          </w:rPr>
          <w:t>ע"פ 4456/21</w:t>
        </w:r>
      </w:hyperlink>
      <w:r w:rsidR="006C405F">
        <w:rPr>
          <w:color w:val="auto"/>
          <w:spacing w:val="10"/>
          <w:rtl/>
        </w:rPr>
        <w:t xml:space="preserve"> </w:t>
      </w:r>
      <w:r w:rsidRPr="001F7D82">
        <w:rPr>
          <w:color w:val="auto"/>
          <w:rtl/>
        </w:rPr>
        <w:t>מדינת ישראל נ' אבו עבסה</w:t>
      </w:r>
      <w:r w:rsidR="006C405F">
        <w:rPr>
          <w:color w:val="auto"/>
          <w:rtl/>
        </w:rPr>
        <w:t xml:space="preserve"> </w:t>
      </w:r>
      <w:r w:rsidRPr="001F7D82">
        <w:rPr>
          <w:color w:val="auto"/>
          <w:spacing w:val="10"/>
          <w:rtl/>
        </w:rPr>
        <w:t xml:space="preserve">(23.1.2022); </w:t>
      </w:r>
      <w:hyperlink r:id="rId56" w:history="1">
        <w:r w:rsidR="006C405F" w:rsidRPr="006C405F">
          <w:rPr>
            <w:color w:val="0000FF"/>
            <w:spacing w:val="10"/>
            <w:u w:val="single"/>
            <w:rtl/>
          </w:rPr>
          <w:t>ע"פ 579/22</w:t>
        </w:r>
      </w:hyperlink>
      <w:r w:rsidR="006C405F">
        <w:rPr>
          <w:color w:val="auto"/>
          <w:spacing w:val="10"/>
          <w:rtl/>
        </w:rPr>
        <w:t xml:space="preserve"> </w:t>
      </w:r>
      <w:r w:rsidRPr="001F7D82">
        <w:rPr>
          <w:color w:val="auto"/>
          <w:rtl/>
        </w:rPr>
        <w:t>מדינת ישראל נ' טחאינה</w:t>
      </w:r>
      <w:r w:rsidR="006C405F">
        <w:rPr>
          <w:color w:val="auto"/>
          <w:spacing w:val="10"/>
          <w:rtl/>
        </w:rPr>
        <w:t xml:space="preserve"> </w:t>
      </w:r>
      <w:r w:rsidRPr="001F7D82">
        <w:rPr>
          <w:color w:val="auto"/>
          <w:spacing w:val="10"/>
          <w:rtl/>
        </w:rPr>
        <w:t xml:space="preserve">(13.6.2022); </w:t>
      </w:r>
      <w:hyperlink r:id="rId57" w:history="1">
        <w:r w:rsidR="006C405F" w:rsidRPr="006C405F">
          <w:rPr>
            <w:color w:val="0000FF"/>
            <w:spacing w:val="10"/>
            <w:u w:val="single"/>
            <w:rtl/>
          </w:rPr>
          <w:t>ע"פ 8869/21</w:t>
        </w:r>
      </w:hyperlink>
      <w:r w:rsidR="006C405F">
        <w:rPr>
          <w:color w:val="auto"/>
          <w:spacing w:val="10"/>
          <w:rtl/>
        </w:rPr>
        <w:t xml:space="preserve"> </w:t>
      </w:r>
      <w:r w:rsidRPr="001F7D82">
        <w:rPr>
          <w:color w:val="auto"/>
          <w:rtl/>
        </w:rPr>
        <w:t>מדינת ישראל נ' קואסמה</w:t>
      </w:r>
      <w:r w:rsidR="006C405F">
        <w:rPr>
          <w:color w:val="auto"/>
          <w:spacing w:val="10"/>
          <w:rtl/>
        </w:rPr>
        <w:t xml:space="preserve"> </w:t>
      </w:r>
      <w:r w:rsidRPr="001F7D82">
        <w:rPr>
          <w:color w:val="auto"/>
          <w:spacing w:val="10"/>
          <w:rtl/>
        </w:rPr>
        <w:t xml:space="preserve">(13.3.2022)). לפי אמות המידה שמדיניות זו קבעה, מאסר בפועל לתקופה של 3 שנים בגין עבירות הקשורות לנשק התקפי נמצא ברף הנמוך של הענישה הראויה (ראו: </w:t>
      </w:r>
      <w:hyperlink r:id="rId58" w:history="1">
        <w:r w:rsidR="006C405F" w:rsidRPr="006C405F">
          <w:rPr>
            <w:color w:val="0000FF"/>
            <w:spacing w:val="10"/>
            <w:u w:val="single"/>
            <w:rtl/>
          </w:rPr>
          <w:t>ע"פ 4406/19</w:t>
        </w:r>
      </w:hyperlink>
      <w:r w:rsidR="006C405F">
        <w:rPr>
          <w:color w:val="auto"/>
          <w:spacing w:val="10"/>
          <w:rtl/>
        </w:rPr>
        <w:t xml:space="preserve"> </w:t>
      </w:r>
      <w:r w:rsidRPr="001F7D82">
        <w:rPr>
          <w:color w:val="auto"/>
          <w:rtl/>
        </w:rPr>
        <w:t>מדינת ישראל נ' סובח</w:t>
      </w:r>
      <w:r w:rsidR="006C405F">
        <w:rPr>
          <w:color w:val="auto"/>
          <w:spacing w:val="10"/>
          <w:rtl/>
        </w:rPr>
        <w:t xml:space="preserve"> </w:t>
      </w:r>
      <w:r w:rsidRPr="001F7D82">
        <w:rPr>
          <w:color w:val="auto"/>
          <w:spacing w:val="10"/>
          <w:rtl/>
        </w:rPr>
        <w:t xml:space="preserve">(5.11.2019); </w:t>
      </w:r>
      <w:hyperlink r:id="rId59" w:history="1">
        <w:r w:rsidR="006C405F" w:rsidRPr="006C405F">
          <w:rPr>
            <w:color w:val="0000FF"/>
            <w:spacing w:val="10"/>
            <w:u w:val="single"/>
            <w:rtl/>
          </w:rPr>
          <w:t>ע"פ 147/21</w:t>
        </w:r>
      </w:hyperlink>
      <w:r w:rsidR="006C405F">
        <w:rPr>
          <w:color w:val="auto"/>
          <w:spacing w:val="10"/>
          <w:rtl/>
        </w:rPr>
        <w:t xml:space="preserve"> </w:t>
      </w:r>
      <w:r w:rsidRPr="001F7D82">
        <w:rPr>
          <w:color w:val="auto"/>
          <w:rtl/>
        </w:rPr>
        <w:t>מדינת ישראל נ' ביטון</w:t>
      </w:r>
      <w:r w:rsidR="006C405F">
        <w:rPr>
          <w:color w:val="auto"/>
          <w:spacing w:val="10"/>
          <w:rtl/>
        </w:rPr>
        <w:t xml:space="preserve"> </w:t>
      </w:r>
      <w:r w:rsidRPr="001F7D82">
        <w:rPr>
          <w:color w:val="auto"/>
          <w:spacing w:val="10"/>
          <w:rtl/>
        </w:rPr>
        <w:t>(14.2.2021)). מאסר בפועל בסביבתן של שלוש שנים הולם הובלה ונשיאה חד-פעמית של</w:t>
      </w:r>
      <w:r w:rsidR="006C405F">
        <w:rPr>
          <w:color w:val="auto"/>
          <w:spacing w:val="10"/>
          <w:rtl/>
        </w:rPr>
        <w:t xml:space="preserve"> </w:t>
      </w:r>
      <w:r w:rsidRPr="001F7D82">
        <w:rPr>
          <w:color w:val="auto"/>
          <w:spacing w:val="10"/>
          <w:rtl/>
        </w:rPr>
        <w:t xml:space="preserve">נשק (ראו: </w:t>
      </w:r>
      <w:hyperlink r:id="rId60" w:history="1">
        <w:r w:rsidR="006C405F" w:rsidRPr="006C405F">
          <w:rPr>
            <w:color w:val="0000FF"/>
            <w:spacing w:val="10"/>
            <w:u w:val="single"/>
            <w:rtl/>
          </w:rPr>
          <w:t>ע"פ 6021/21</w:t>
        </w:r>
      </w:hyperlink>
      <w:r w:rsidR="006C405F">
        <w:rPr>
          <w:color w:val="auto"/>
          <w:spacing w:val="10"/>
          <w:rtl/>
        </w:rPr>
        <w:t xml:space="preserve"> </w:t>
      </w:r>
      <w:r w:rsidRPr="001F7D82">
        <w:rPr>
          <w:color w:val="auto"/>
          <w:rtl/>
        </w:rPr>
        <w:t>עבוד נ' מדינת ישראל</w:t>
      </w:r>
      <w:r w:rsidR="006C405F">
        <w:rPr>
          <w:color w:val="auto"/>
          <w:spacing w:val="10"/>
          <w:rtl/>
        </w:rPr>
        <w:t xml:space="preserve"> </w:t>
      </w:r>
      <w:r w:rsidRPr="001F7D82">
        <w:rPr>
          <w:color w:val="auto"/>
          <w:spacing w:val="10"/>
          <w:rtl/>
        </w:rPr>
        <w:t xml:space="preserve">(19.12.2021); </w:t>
      </w:r>
      <w:hyperlink r:id="rId61" w:history="1">
        <w:r w:rsidR="006C405F" w:rsidRPr="006C405F">
          <w:rPr>
            <w:color w:val="0000FF"/>
            <w:spacing w:val="10"/>
            <w:u w:val="single"/>
            <w:rtl/>
          </w:rPr>
          <w:t>ע"פ 309/22</w:t>
        </w:r>
      </w:hyperlink>
      <w:r w:rsidR="006C405F">
        <w:rPr>
          <w:color w:val="auto"/>
          <w:spacing w:val="10"/>
          <w:rtl/>
        </w:rPr>
        <w:t xml:space="preserve"> </w:t>
      </w:r>
      <w:r w:rsidRPr="001F7D82">
        <w:rPr>
          <w:color w:val="auto"/>
          <w:rtl/>
        </w:rPr>
        <w:t>מדינת ישראל נ' ביאדסה</w:t>
      </w:r>
      <w:r w:rsidR="006C405F">
        <w:rPr>
          <w:color w:val="auto"/>
          <w:spacing w:val="10"/>
          <w:rtl/>
        </w:rPr>
        <w:t xml:space="preserve"> </w:t>
      </w:r>
      <w:r w:rsidRPr="001F7D82">
        <w:rPr>
          <w:color w:val="auto"/>
          <w:spacing w:val="10"/>
          <w:rtl/>
        </w:rPr>
        <w:t>(10.5.2022) (להלן:</w:t>
      </w:r>
      <w:r w:rsidR="006C405F">
        <w:rPr>
          <w:color w:val="auto"/>
          <w:spacing w:val="10"/>
          <w:rtl/>
        </w:rPr>
        <w:t xml:space="preserve"> </w:t>
      </w:r>
      <w:r w:rsidRPr="001F7D82">
        <w:rPr>
          <w:color w:val="auto"/>
          <w:rtl/>
        </w:rPr>
        <w:t>עניין ביאדסה</w:t>
      </w:r>
      <w:r w:rsidRPr="001F7D82">
        <w:rPr>
          <w:color w:val="auto"/>
          <w:spacing w:val="10"/>
          <w:rtl/>
        </w:rPr>
        <w:t>)), והינו בגדר עונש מקל כאשר מדובר בעבירות נשק חמורות</w:t>
      </w:r>
      <w:r w:rsidR="006C405F">
        <w:rPr>
          <w:color w:val="auto"/>
          <w:spacing w:val="10"/>
          <w:rtl/>
        </w:rPr>
        <w:t xml:space="preserve"> </w:t>
      </w:r>
      <w:r w:rsidRPr="001F7D82">
        <w:rPr>
          <w:color w:val="auto"/>
          <w:spacing w:val="10"/>
          <w:rtl/>
        </w:rPr>
        <w:t>יותר.[...]"</w:t>
      </w:r>
    </w:p>
    <w:p w14:paraId="6B736360" w14:textId="77777777" w:rsidR="0052142F" w:rsidRDefault="0052142F" w:rsidP="0052142F">
      <w:pPr>
        <w:widowControl w:val="0"/>
        <w:spacing w:before="240" w:line="360" w:lineRule="auto"/>
        <w:ind w:left="720" w:hanging="720"/>
        <w:jc w:val="both"/>
        <w:rPr>
          <w:rFonts w:ascii="David" w:hAnsi="David"/>
          <w:rtl/>
        </w:rPr>
      </w:pPr>
      <w:r>
        <w:rPr>
          <w:rFonts w:ascii="David" w:hAnsi="David" w:hint="cs"/>
          <w:rtl/>
        </w:rPr>
        <w:t>9.</w:t>
      </w:r>
      <w:r>
        <w:rPr>
          <w:rFonts w:ascii="David" w:hAnsi="David"/>
          <w:rtl/>
        </w:rPr>
        <w:tab/>
      </w:r>
      <w:r w:rsidRPr="004E4AE6">
        <w:rPr>
          <w:rFonts w:ascii="David" w:hAnsi="David" w:hint="cs"/>
          <w:rtl/>
        </w:rPr>
        <w:t>בית המשפט העליון מציין כי מאסר בפועל של שלוש שנים פחות או יותר הוא עונש הולם רק לעבירה של הובלה ונשיאה חד-פעמית של נשק, כשלנאשמים כאן עבירות חמורות יותר. המאשימה הפנתה ל</w:t>
      </w:r>
      <w:hyperlink r:id="rId62" w:history="1">
        <w:r w:rsidR="006C405F" w:rsidRPr="006C405F">
          <w:rPr>
            <w:rFonts w:ascii="David" w:hAnsi="David"/>
            <w:color w:val="0000FF"/>
            <w:u w:val="single"/>
            <w:rtl/>
          </w:rPr>
          <w:t>ת"פ (נצרת) 28899-10-20</w:t>
        </w:r>
      </w:hyperlink>
      <w:r w:rsidRPr="004E4AE6">
        <w:rPr>
          <w:rFonts w:ascii="David" w:hAnsi="David" w:hint="cs"/>
          <w:rtl/>
        </w:rPr>
        <w:t xml:space="preserve"> </w:t>
      </w:r>
      <w:r w:rsidRPr="004E4AE6">
        <w:rPr>
          <w:rFonts w:ascii="David" w:hAnsi="David" w:hint="cs"/>
          <w:b/>
          <w:bCs/>
          <w:rtl/>
        </w:rPr>
        <w:t>מדינת ישראל נ' יוסף</w:t>
      </w:r>
      <w:r w:rsidRPr="004E4AE6">
        <w:rPr>
          <w:rFonts w:ascii="David" w:hAnsi="David" w:hint="cs"/>
          <w:rtl/>
        </w:rPr>
        <w:t xml:space="preserve"> (ניתן ביום 24.02.2022, טרם פורסם), בעניינו תלוי ערעור בבית המשפט העליון - שם הנאשם הורשע לאחר ניהול הוכחות, בכך שירה ברובה סער </w:t>
      </w:r>
      <w:r w:rsidRPr="004E4AE6">
        <w:rPr>
          <w:rFonts w:ascii="David" w:hAnsi="David"/>
        </w:rPr>
        <w:t>M-16</w:t>
      </w:r>
      <w:r w:rsidRPr="004E4AE6">
        <w:rPr>
          <w:rFonts w:ascii="David" w:hAnsi="David" w:hint="cs"/>
          <w:rtl/>
        </w:rPr>
        <w:t xml:space="preserve">, על שוטרים שהתקרבו למכוניתו, כאשר אזרחית נקלעה באקראי לזירה. הנאשם נמלט ברגל לחורשה סמוכה תוך כדי ירי לעבר השוטרים ולבסוף נלכד בשיח כאשר הנשק בידיו דרוך ומוכן לשימוש. בית המשפט ציין כי רק בזכות יכולת הקליעה הגרועה של הנאשם נמנע אסון ולא קופחו חיי אדם. בית המשפט המחוזי קבע מתחם ענישה של שמונה ועד שתים עשרה שנות מאסר, וגזר את דינו של הנאשם, בעל עבר פלילי מכביד, לעשר שנות מעשר בפועל. הסניגור התייחס לגזר דין זה וציין כי מדובר במקרה קיצון של ירי מטווח קצר לעבר שוטרים במספר הזדמנויות, והוא חמור מהמקרה שלפנינו.  </w:t>
      </w:r>
    </w:p>
    <w:p w14:paraId="44B83A4F" w14:textId="77777777" w:rsidR="0052142F" w:rsidRDefault="0052142F" w:rsidP="0052142F">
      <w:pPr>
        <w:widowControl w:val="0"/>
        <w:spacing w:before="240" w:line="360" w:lineRule="auto"/>
        <w:ind w:left="720" w:hanging="720"/>
        <w:jc w:val="both"/>
        <w:rPr>
          <w:rFonts w:ascii="David" w:hAnsi="David"/>
          <w:rtl/>
        </w:rPr>
      </w:pPr>
      <w:r>
        <w:rPr>
          <w:rFonts w:ascii="David" w:hAnsi="David" w:hint="cs"/>
          <w:rtl/>
        </w:rPr>
        <w:t>10.</w:t>
      </w:r>
      <w:r>
        <w:rPr>
          <w:rFonts w:ascii="David" w:hAnsi="David" w:hint="cs"/>
          <w:rtl/>
        </w:rPr>
        <w:tab/>
        <w:t>מדובר באירוע שבו נעשה שימוש בנשק רב, לפתרון סכסוך, כאילו אין במדינה רשויות אכיפה, לית דין ולית דיין. התערבותה המהירה של המשטרה מנעה תוצאות חמורות יותר.</w:t>
      </w:r>
    </w:p>
    <w:p w14:paraId="6AA1B9D8" w14:textId="77777777" w:rsidR="0052142F" w:rsidRDefault="0052142F" w:rsidP="0052142F">
      <w:pPr>
        <w:widowControl w:val="0"/>
        <w:spacing w:before="240" w:line="360" w:lineRule="auto"/>
        <w:ind w:left="720" w:hanging="720"/>
        <w:jc w:val="both"/>
        <w:rPr>
          <w:rFonts w:ascii="David" w:hAnsi="David"/>
          <w:rtl/>
        </w:rPr>
      </w:pPr>
      <w:r>
        <w:rPr>
          <w:rFonts w:ascii="David" w:hAnsi="David" w:hint="cs"/>
          <w:rtl/>
        </w:rPr>
        <w:t>11.</w:t>
      </w:r>
      <w:r>
        <w:rPr>
          <w:rFonts w:ascii="David" w:hAnsi="David" w:hint="cs"/>
          <w:rtl/>
        </w:rPr>
        <w:tab/>
      </w:r>
      <w:r w:rsidRPr="004056D7">
        <w:rPr>
          <w:rFonts w:ascii="David" w:hAnsi="David" w:hint="cs"/>
          <w:rtl/>
        </w:rPr>
        <w:t xml:space="preserve">בבחינת נסיבות ביצוע העבירות נתתי דעתי לתכנון המקדים והקפדני שכלל: </w:t>
      </w:r>
      <w:r>
        <w:rPr>
          <w:rFonts w:ascii="David" w:hAnsi="David" w:hint="cs"/>
          <w:rtl/>
        </w:rPr>
        <w:t xml:space="preserve">חבירה </w:t>
      </w:r>
      <w:r w:rsidRPr="004056D7">
        <w:rPr>
          <w:rFonts w:ascii="David" w:hAnsi="David" w:hint="cs"/>
          <w:rtl/>
        </w:rPr>
        <w:t>של למעלה מש</w:t>
      </w:r>
      <w:r>
        <w:rPr>
          <w:rFonts w:ascii="David" w:hAnsi="David" w:hint="cs"/>
          <w:rtl/>
        </w:rPr>
        <w:t>בע</w:t>
      </w:r>
      <w:r w:rsidRPr="004056D7">
        <w:rPr>
          <w:rFonts w:ascii="David" w:hAnsi="David" w:hint="cs"/>
          <w:rtl/>
        </w:rPr>
        <w:t>ה שותפים</w:t>
      </w:r>
      <w:r>
        <w:rPr>
          <w:rFonts w:ascii="David" w:hAnsi="David" w:hint="cs"/>
          <w:rtl/>
        </w:rPr>
        <w:t xml:space="preserve"> כעולה </w:t>
      </w:r>
      <w:r w:rsidRPr="004341A3">
        <w:rPr>
          <w:rFonts w:ascii="David" w:hAnsi="David" w:hint="cs"/>
          <w:rtl/>
        </w:rPr>
        <w:t xml:space="preserve">מהסרטון שהוגש, </w:t>
      </w:r>
      <w:r w:rsidRPr="004056D7">
        <w:rPr>
          <w:rFonts w:ascii="David" w:hAnsi="David" w:hint="cs"/>
          <w:rtl/>
        </w:rPr>
        <w:t>הצטיידות בלפחות שלושה כלי נשק</w:t>
      </w:r>
      <w:r>
        <w:rPr>
          <w:rFonts w:ascii="David" w:hAnsi="David" w:hint="cs"/>
          <w:rtl/>
        </w:rPr>
        <w:t xml:space="preserve"> </w:t>
      </w:r>
      <w:r>
        <w:rPr>
          <w:rFonts w:ascii="David" w:hAnsi="David"/>
          <w:rtl/>
        </w:rPr>
        <w:t>–</w:t>
      </w:r>
      <w:r>
        <w:rPr>
          <w:rFonts w:ascii="David" w:hAnsi="David" w:hint="cs"/>
          <w:rtl/>
        </w:rPr>
        <w:t xml:space="preserve"> שניים מהם רובי סער</w:t>
      </w:r>
      <w:r w:rsidRPr="004056D7">
        <w:rPr>
          <w:rFonts w:ascii="David" w:hAnsi="David" w:hint="cs"/>
          <w:rtl/>
        </w:rPr>
        <w:t xml:space="preserve">, הצטיידות בשני רכבים גנובים שזהותם הסוותה </w:t>
      </w:r>
      <w:r>
        <w:rPr>
          <w:rFonts w:ascii="David" w:hAnsi="David" w:hint="cs"/>
          <w:rtl/>
        </w:rPr>
        <w:t>כאמור</w:t>
      </w:r>
      <w:r w:rsidRPr="004056D7">
        <w:rPr>
          <w:rFonts w:ascii="David" w:hAnsi="David" w:hint="cs"/>
          <w:rtl/>
        </w:rPr>
        <w:t xml:space="preserve">, </w:t>
      </w:r>
      <w:r>
        <w:rPr>
          <w:rFonts w:ascii="David" w:hAnsi="David" w:hint="cs"/>
          <w:rtl/>
        </w:rPr>
        <w:t>הצטיידות ב</w:t>
      </w:r>
      <w:r w:rsidRPr="004056D7">
        <w:rPr>
          <w:rFonts w:ascii="David" w:hAnsi="David" w:hint="cs"/>
          <w:rtl/>
        </w:rPr>
        <w:t xml:space="preserve">מיכל בנזין, ובגדים להסוואת זהות המשתתפים; </w:t>
      </w:r>
      <w:r>
        <w:rPr>
          <w:rFonts w:ascii="David" w:hAnsi="David" w:hint="cs"/>
          <w:rtl/>
        </w:rPr>
        <w:t xml:space="preserve">לשימוש שנעשה בנשקים בירי לעבר בית הקפה; לעובדה שהנאשם 2 הצטייד ברובה סער מסוג </w:t>
      </w:r>
      <w:r>
        <w:rPr>
          <w:rFonts w:ascii="David" w:hAnsi="David"/>
        </w:rPr>
        <w:t>M-16</w:t>
      </w:r>
      <w:r>
        <w:rPr>
          <w:rFonts w:ascii="David" w:hAnsi="David" w:hint="cs"/>
          <w:rtl/>
        </w:rPr>
        <w:t xml:space="preserve"> בו השתמש באירוע; לעובדה שהנאשם 1 לא אחז בנשק; לעובדה שבזמן הירי שהו בבית הקפה עובדים ולקוח עובר אורח; לנזק שנגרם מהירי לבית הקפה ולפוטנציאל הנזק שלא התממש לפגיעה בגוף או חלילה בחיי אדם; לפוטנציאל הנזק מההצתה המתוכננת של בית הקפה שלא התממש במקרה זה; להימלטות מהזירה למתחם מגורים קרוב, השלכת והחבאת פרטי לבוש ונשקים ששימשו לביצוע העבירה וההסתתרות במקום כדי להקשות על מעצרם; נתתי דעתי גם לכך שהעבירות בוצעו על רקע סכסוך ארוך בין משפחת הנאשמים למשפחתו של בעלי בית הקפה. משכך עולה חשיבות ייחודית בהרתעת המעורבים כדי שיינטש</w:t>
      </w:r>
      <w:r>
        <w:rPr>
          <w:rFonts w:ascii="David" w:hAnsi="David" w:hint="eastAsia"/>
          <w:rtl/>
        </w:rPr>
        <w:t>ו</w:t>
      </w:r>
      <w:r>
        <w:rPr>
          <w:rFonts w:ascii="David" w:hAnsi="David" w:hint="cs"/>
          <w:rtl/>
        </w:rPr>
        <w:t xml:space="preserve"> כל רצון להמשיך בניהול הסכסוך על-ידי עשיית דין עצמית באמצעות כלי נשק.</w:t>
      </w:r>
    </w:p>
    <w:p w14:paraId="596388CE" w14:textId="77777777" w:rsidR="0052142F" w:rsidRDefault="0052142F" w:rsidP="0052142F">
      <w:pPr>
        <w:widowControl w:val="0"/>
        <w:spacing w:before="240" w:line="360" w:lineRule="auto"/>
        <w:ind w:left="720" w:hanging="720"/>
        <w:jc w:val="both"/>
        <w:rPr>
          <w:rFonts w:ascii="David" w:hAnsi="David"/>
          <w:rtl/>
        </w:rPr>
      </w:pPr>
      <w:r>
        <w:rPr>
          <w:rFonts w:ascii="David" w:hAnsi="David" w:hint="cs"/>
          <w:rtl/>
        </w:rPr>
        <w:t>12.</w:t>
      </w:r>
      <w:r>
        <w:rPr>
          <w:rFonts w:ascii="David" w:hAnsi="David" w:hint="cs"/>
          <w:rtl/>
        </w:rPr>
        <w:tab/>
        <w:t xml:space="preserve">מצאתי גם לתת משקל לנסיבת פציעתו של השוטר במהלך האירוע, הגם שפציעתו לא מיוחסת לירי שבצעו הנאשמים ושותפיהם; משנאלצו השוטרים לפתוח בירי כדי להפסיק את מעשיהם המסוכנים של הנאשמים והאחרים, יצר הדבר, מניה וביה, סיכון עצמי גם לשוטרים עצמם, סיכון שלמרבה הצער התממש כאן. השוטרים בתגובתם בירי שביצעו אכן הצליחו לסכל את תוכניתם של הנאשמים, שכן בבנזין לא נעשה שימוש -בית הקפה לא הוצת, ונמנעו פגיעות גוף לאזרחים שנכחו במקום.   </w:t>
      </w:r>
    </w:p>
    <w:p w14:paraId="5A8431E8" w14:textId="77777777" w:rsidR="0052142F" w:rsidRDefault="0052142F" w:rsidP="0052142F">
      <w:pPr>
        <w:widowControl w:val="0"/>
        <w:spacing w:before="240" w:line="360" w:lineRule="auto"/>
        <w:ind w:left="720" w:hanging="720"/>
        <w:jc w:val="both"/>
        <w:rPr>
          <w:rFonts w:ascii="David" w:hAnsi="David"/>
          <w:rtl/>
        </w:rPr>
      </w:pPr>
      <w:r>
        <w:rPr>
          <w:rFonts w:ascii="David" w:hAnsi="David" w:hint="cs"/>
          <w:rtl/>
        </w:rPr>
        <w:t>13.</w:t>
      </w:r>
      <w:r>
        <w:rPr>
          <w:rFonts w:ascii="David" w:hAnsi="David" w:hint="cs"/>
          <w:rtl/>
        </w:rPr>
        <w:tab/>
      </w:r>
      <w:r w:rsidRPr="004056D7">
        <w:rPr>
          <w:rFonts w:ascii="David" w:hAnsi="David" w:hint="cs"/>
          <w:rtl/>
        </w:rPr>
        <w:t xml:space="preserve">בנסיבות אלה מצאתי כי הפגיעה בערכים המוגנים </w:t>
      </w:r>
      <w:r>
        <w:rPr>
          <w:rFonts w:ascii="David" w:hAnsi="David" w:hint="cs"/>
          <w:rtl/>
        </w:rPr>
        <w:t>היא ברף הגבוה</w:t>
      </w:r>
      <w:r w:rsidRPr="004056D7">
        <w:rPr>
          <w:rFonts w:ascii="David" w:hAnsi="David" w:hint="cs"/>
          <w:rtl/>
        </w:rPr>
        <w:t>.</w:t>
      </w:r>
      <w:r>
        <w:rPr>
          <w:rFonts w:ascii="David" w:hAnsi="David" w:hint="cs"/>
          <w:rtl/>
        </w:rPr>
        <w:t xml:space="preserve"> </w:t>
      </w:r>
    </w:p>
    <w:p w14:paraId="1C7B80C7" w14:textId="77777777" w:rsidR="0052142F" w:rsidRDefault="0052142F" w:rsidP="0052142F">
      <w:pPr>
        <w:widowControl w:val="0"/>
        <w:spacing w:before="240" w:line="360" w:lineRule="auto"/>
        <w:ind w:left="720" w:hanging="720"/>
        <w:jc w:val="both"/>
        <w:rPr>
          <w:rFonts w:ascii="David" w:hAnsi="David"/>
          <w:rtl/>
        </w:rPr>
      </w:pPr>
      <w:r>
        <w:rPr>
          <w:rFonts w:ascii="David" w:hAnsi="David" w:hint="cs"/>
          <w:rtl/>
        </w:rPr>
        <w:t>14.</w:t>
      </w:r>
      <w:r>
        <w:rPr>
          <w:rFonts w:ascii="David" w:hAnsi="David" w:hint="cs"/>
          <w:rtl/>
        </w:rPr>
        <w:tab/>
        <w:t xml:space="preserve">מצאתי כי עובדות כתב האישום והעבירות המיוחסות לנאשמים מהוות כולן מסכת אחת שראוי לקבוע בעניינה מתחם עונש כולל לכל העבירות. יחד עם זאת, בשל חלקם השונה של הנאשמים ובפרט בשל העובדה כי הנאשם 2 הצטייד ברובה </w:t>
      </w:r>
      <w:r>
        <w:rPr>
          <w:rFonts w:ascii="David" w:hAnsi="David"/>
        </w:rPr>
        <w:t>M-16</w:t>
      </w:r>
      <w:r>
        <w:rPr>
          <w:rFonts w:ascii="David" w:hAnsi="David" w:hint="cs"/>
          <w:rtl/>
        </w:rPr>
        <w:t xml:space="preserve"> בעוד הנאשם 1 לא אחז כלל בנשק מצאתי לקבוע מתחם עונש שונה לכל אחד מהנאשמים בהתאם לעיקרון אחדות הענישה.</w:t>
      </w:r>
    </w:p>
    <w:p w14:paraId="4908108F" w14:textId="77777777" w:rsidR="0052142F" w:rsidRDefault="0052142F" w:rsidP="0052142F">
      <w:pPr>
        <w:widowControl w:val="0"/>
        <w:spacing w:before="240" w:line="360" w:lineRule="auto"/>
        <w:ind w:left="720" w:hanging="720"/>
        <w:jc w:val="both"/>
        <w:rPr>
          <w:rFonts w:ascii="David" w:hAnsi="David"/>
          <w:rtl/>
        </w:rPr>
      </w:pPr>
    </w:p>
    <w:p w14:paraId="5570159D" w14:textId="77777777" w:rsidR="0052142F" w:rsidRDefault="0052142F" w:rsidP="0052142F">
      <w:pPr>
        <w:widowControl w:val="0"/>
        <w:spacing w:before="240" w:line="360" w:lineRule="auto"/>
        <w:ind w:left="720" w:hanging="720"/>
        <w:jc w:val="both"/>
        <w:rPr>
          <w:rFonts w:ascii="David" w:hAnsi="David"/>
          <w:rtl/>
        </w:rPr>
      </w:pPr>
    </w:p>
    <w:p w14:paraId="47FA15CE" w14:textId="77777777" w:rsidR="0052142F" w:rsidRDefault="0052142F" w:rsidP="0052142F">
      <w:pPr>
        <w:widowControl w:val="0"/>
        <w:spacing w:before="240" w:line="360" w:lineRule="auto"/>
        <w:ind w:left="720" w:hanging="720"/>
        <w:jc w:val="both"/>
        <w:rPr>
          <w:rFonts w:ascii="David" w:hAnsi="David"/>
          <w:rtl/>
        </w:rPr>
      </w:pPr>
      <w:r>
        <w:rPr>
          <w:rFonts w:ascii="David" w:hAnsi="David" w:hint="cs"/>
          <w:rtl/>
        </w:rPr>
        <w:t>15.</w:t>
      </w:r>
      <w:r>
        <w:rPr>
          <w:rFonts w:ascii="David" w:hAnsi="David" w:hint="cs"/>
          <w:rtl/>
        </w:rPr>
        <w:tab/>
      </w:r>
      <w:r w:rsidRPr="008C18C9">
        <w:rPr>
          <w:rFonts w:ascii="David" w:hAnsi="David" w:hint="cs"/>
          <w:rtl/>
        </w:rPr>
        <w:t>בשים</w:t>
      </w:r>
      <w:r>
        <w:rPr>
          <w:rFonts w:ascii="David" w:hAnsi="David" w:hint="cs"/>
          <w:rtl/>
        </w:rPr>
        <w:t xml:space="preserve"> לב למידת הפגיעה בערכים המוגנים;</w:t>
      </w:r>
      <w:r w:rsidRPr="008C18C9">
        <w:rPr>
          <w:rFonts w:ascii="David" w:hAnsi="David" w:hint="cs"/>
          <w:rtl/>
        </w:rPr>
        <w:t xml:space="preserve"> למדיניות הענישה הנוהגת כאמור</w:t>
      </w:r>
      <w:r>
        <w:rPr>
          <w:rFonts w:ascii="David" w:hAnsi="David" w:hint="cs"/>
          <w:rtl/>
        </w:rPr>
        <w:t xml:space="preserve">; להגדרת עבירות הנשק כמכת מדינה; </w:t>
      </w:r>
      <w:r w:rsidRPr="008C18C9">
        <w:rPr>
          <w:rFonts w:ascii="David" w:hAnsi="David" w:hint="cs"/>
          <w:rtl/>
        </w:rPr>
        <w:t>ולנסיבות הקשורות בביצוע העבירות</w:t>
      </w:r>
      <w:r>
        <w:rPr>
          <w:rFonts w:ascii="David" w:hAnsi="David" w:hint="cs"/>
          <w:rtl/>
        </w:rPr>
        <w:t>, כאמור</w:t>
      </w:r>
      <w:r w:rsidRPr="008C18C9">
        <w:rPr>
          <w:rFonts w:ascii="David" w:hAnsi="David" w:hint="cs"/>
          <w:rtl/>
        </w:rPr>
        <w:t>, מצאתי לקבוע את מתחם העונש ההולם ב</w:t>
      </w:r>
      <w:r>
        <w:rPr>
          <w:rFonts w:ascii="David" w:hAnsi="David" w:hint="cs"/>
          <w:rtl/>
        </w:rPr>
        <w:t xml:space="preserve">גין העבירות בעניינו של הנאשם 1 </w:t>
      </w:r>
      <w:r w:rsidRPr="008C18C9">
        <w:rPr>
          <w:rFonts w:ascii="David" w:hAnsi="David" w:hint="cs"/>
          <w:rtl/>
        </w:rPr>
        <w:t xml:space="preserve">כנע בין </w:t>
      </w:r>
      <w:r>
        <w:rPr>
          <w:rFonts w:ascii="David" w:hAnsi="David" w:hint="cs"/>
          <w:b/>
          <w:bCs/>
          <w:rtl/>
        </w:rPr>
        <w:t>ארבע לבין שבע שנות מאסר</w:t>
      </w:r>
      <w:r>
        <w:rPr>
          <w:rFonts w:ascii="David" w:hAnsi="David" w:hint="cs"/>
          <w:rtl/>
        </w:rPr>
        <w:t xml:space="preserve"> </w:t>
      </w:r>
      <w:r w:rsidRPr="008C18C9">
        <w:rPr>
          <w:rFonts w:ascii="David" w:hAnsi="David" w:hint="cs"/>
          <w:b/>
          <w:bCs/>
          <w:rtl/>
        </w:rPr>
        <w:t>בפועל</w:t>
      </w:r>
      <w:r>
        <w:rPr>
          <w:rFonts w:ascii="David" w:hAnsi="David" w:hint="cs"/>
          <w:b/>
          <w:bCs/>
          <w:rtl/>
        </w:rPr>
        <w:t xml:space="preserve"> </w:t>
      </w:r>
      <w:r w:rsidRPr="006D081E">
        <w:rPr>
          <w:rFonts w:ascii="David" w:hAnsi="David" w:hint="cs"/>
          <w:rtl/>
        </w:rPr>
        <w:t>לצד עונשים נלווים שעניינם מאסר על תנאי, קנס ופיצוי לנפגע העבירה</w:t>
      </w:r>
      <w:r>
        <w:rPr>
          <w:rFonts w:ascii="David" w:hAnsi="David" w:hint="cs"/>
          <w:rtl/>
        </w:rPr>
        <w:t xml:space="preserve">; ובעניינו של הנאשם 2 כנע בין </w:t>
      </w:r>
      <w:r w:rsidRPr="00F3405B">
        <w:rPr>
          <w:rFonts w:ascii="David" w:hAnsi="David" w:hint="cs"/>
          <w:b/>
          <w:bCs/>
          <w:rtl/>
        </w:rPr>
        <w:t>שש לבין תשע שנות מאסר</w:t>
      </w:r>
      <w:r>
        <w:rPr>
          <w:rFonts w:ascii="David" w:hAnsi="David" w:hint="cs"/>
          <w:rtl/>
        </w:rPr>
        <w:t xml:space="preserve"> </w:t>
      </w:r>
      <w:r w:rsidRPr="006D081E">
        <w:rPr>
          <w:rFonts w:ascii="David" w:hAnsi="David" w:hint="cs"/>
          <w:b/>
          <w:bCs/>
          <w:rtl/>
        </w:rPr>
        <w:t>ממשי</w:t>
      </w:r>
      <w:r>
        <w:rPr>
          <w:rFonts w:ascii="David" w:hAnsi="David" w:hint="cs"/>
          <w:rtl/>
        </w:rPr>
        <w:t xml:space="preserve"> לצד עונשים נלווים כאמור.</w:t>
      </w:r>
      <w:r w:rsidRPr="008C18C9">
        <w:rPr>
          <w:rFonts w:ascii="David" w:hAnsi="David" w:hint="cs"/>
          <w:rtl/>
        </w:rPr>
        <w:t xml:space="preserve"> לא מצאתי עילה לסטיי</w:t>
      </w:r>
      <w:r w:rsidRPr="008C18C9">
        <w:rPr>
          <w:rFonts w:ascii="David" w:hAnsi="David" w:hint="eastAsia"/>
          <w:rtl/>
        </w:rPr>
        <w:t>ה</w:t>
      </w:r>
      <w:r w:rsidRPr="008C18C9">
        <w:rPr>
          <w:rFonts w:ascii="David" w:hAnsi="David" w:hint="cs"/>
          <w:rtl/>
        </w:rPr>
        <w:t xml:space="preserve"> ממתח</w:t>
      </w:r>
      <w:r>
        <w:rPr>
          <w:rFonts w:ascii="David" w:hAnsi="David" w:hint="cs"/>
          <w:rtl/>
        </w:rPr>
        <w:t>ם</w:t>
      </w:r>
      <w:r w:rsidRPr="008C18C9">
        <w:rPr>
          <w:rFonts w:ascii="David" w:hAnsi="David" w:hint="cs"/>
          <w:rtl/>
        </w:rPr>
        <w:t xml:space="preserve"> העונש ההולם לקולה או לחומרה.</w:t>
      </w:r>
    </w:p>
    <w:p w14:paraId="60235DA5" w14:textId="77777777" w:rsidR="0052142F" w:rsidRDefault="0052142F" w:rsidP="0052142F">
      <w:pPr>
        <w:widowControl w:val="0"/>
        <w:spacing w:before="240" w:line="360" w:lineRule="auto"/>
        <w:ind w:left="720" w:hanging="720"/>
        <w:jc w:val="both"/>
        <w:rPr>
          <w:rFonts w:ascii="David" w:hAnsi="David"/>
          <w:rtl/>
        </w:rPr>
      </w:pPr>
      <w:r>
        <w:rPr>
          <w:rFonts w:ascii="David" w:hAnsi="David" w:hint="cs"/>
          <w:rtl/>
        </w:rPr>
        <w:t>16.</w:t>
      </w:r>
      <w:r>
        <w:rPr>
          <w:rFonts w:ascii="David" w:hAnsi="David" w:hint="cs"/>
          <w:rtl/>
        </w:rPr>
        <w:tab/>
      </w:r>
      <w:r w:rsidRPr="00F40D05">
        <w:rPr>
          <w:rFonts w:ascii="David" w:hAnsi="David" w:hint="cs"/>
          <w:rtl/>
        </w:rPr>
        <w:t xml:space="preserve">באשר לנסיבות שאינן קשורות לביצוע העבירה נתתי דעתי לעברו הנקי של הנאשם </w:t>
      </w:r>
      <w:r>
        <w:rPr>
          <w:rFonts w:ascii="David" w:hAnsi="David" w:hint="cs"/>
          <w:rtl/>
        </w:rPr>
        <w:t>1, לחינוך להישגים שהקנה לילדיו ולהשפעה שלמאסר ארוך צפויה להיות על משפחתו נוכח היותו מפרנס יחיד</w:t>
      </w:r>
      <w:r w:rsidRPr="00F40D05">
        <w:rPr>
          <w:rFonts w:ascii="David" w:hAnsi="David" w:hint="cs"/>
          <w:rtl/>
        </w:rPr>
        <w:t xml:space="preserve">; להודאתם של הנאשמים בכתב האישום, ללא הסכמה עונשית מצד המאשימה, והחיסכון בזמן שיפוטי ומשאבי מערכת אכיפת החוק; לתקופת המעצר </w:t>
      </w:r>
      <w:r>
        <w:rPr>
          <w:rFonts w:ascii="David" w:hAnsi="David" w:hint="cs"/>
          <w:rtl/>
        </w:rPr>
        <w:t xml:space="preserve">הממושכת מיום האירוע, למעלה משנה; </w:t>
      </w:r>
      <w:r w:rsidRPr="00F40D05">
        <w:rPr>
          <w:rFonts w:ascii="David" w:hAnsi="David" w:hint="cs"/>
          <w:rtl/>
        </w:rPr>
        <w:t xml:space="preserve">מצאתי לתת משקל מה </w:t>
      </w:r>
      <w:r>
        <w:rPr>
          <w:rFonts w:ascii="David" w:hAnsi="David" w:hint="cs"/>
          <w:rtl/>
        </w:rPr>
        <w:t xml:space="preserve">למצבו הרפואי </w:t>
      </w:r>
      <w:r w:rsidRPr="00F40D05">
        <w:rPr>
          <w:rFonts w:ascii="David" w:hAnsi="David" w:hint="cs"/>
          <w:rtl/>
        </w:rPr>
        <w:t xml:space="preserve">של הנאשם 2, וזאת מבלי לקבוע </w:t>
      </w:r>
      <w:r>
        <w:rPr>
          <w:rFonts w:ascii="David" w:hAnsi="David" w:hint="cs"/>
          <w:rtl/>
        </w:rPr>
        <w:t>מסמרות</w:t>
      </w:r>
      <w:r w:rsidRPr="00F40D05">
        <w:rPr>
          <w:rFonts w:ascii="David" w:hAnsi="David" w:hint="cs"/>
          <w:rtl/>
        </w:rPr>
        <w:t xml:space="preserve"> באשר</w:t>
      </w:r>
      <w:r>
        <w:rPr>
          <w:rFonts w:ascii="David" w:hAnsi="David" w:hint="cs"/>
          <w:rtl/>
        </w:rPr>
        <w:t xml:space="preserve"> למקורו, מאחר שאלו</w:t>
      </w:r>
      <w:r w:rsidRPr="00F40D05">
        <w:rPr>
          <w:rFonts w:ascii="David" w:hAnsi="David" w:hint="cs"/>
          <w:rtl/>
        </w:rPr>
        <w:t xml:space="preserve"> נסיבות </w:t>
      </w:r>
      <w:r>
        <w:rPr>
          <w:rFonts w:ascii="David" w:hAnsi="David" w:hint="cs"/>
          <w:rtl/>
        </w:rPr>
        <w:t xml:space="preserve">שלא נפרסו </w:t>
      </w:r>
      <w:r w:rsidRPr="00F40D05">
        <w:rPr>
          <w:rFonts w:ascii="David" w:hAnsi="David" w:hint="cs"/>
          <w:rtl/>
        </w:rPr>
        <w:t>בפניי. מנגד</w:t>
      </w:r>
      <w:r>
        <w:rPr>
          <w:rFonts w:ascii="David" w:hAnsi="David" w:hint="cs"/>
          <w:rtl/>
        </w:rPr>
        <w:t xml:space="preserve"> שקלתי גם את עברו הפלילי</w:t>
      </w:r>
      <w:r w:rsidRPr="00F40D05">
        <w:rPr>
          <w:rFonts w:ascii="David" w:hAnsi="David" w:hint="cs"/>
          <w:rtl/>
        </w:rPr>
        <w:t xml:space="preserve"> של הנאשם 2</w:t>
      </w:r>
      <w:r>
        <w:rPr>
          <w:rFonts w:ascii="David" w:hAnsi="David" w:hint="cs"/>
          <w:rtl/>
        </w:rPr>
        <w:t>.</w:t>
      </w:r>
    </w:p>
    <w:p w14:paraId="47CC6CAA" w14:textId="77777777" w:rsidR="0052142F" w:rsidRDefault="0052142F" w:rsidP="0052142F">
      <w:pPr>
        <w:widowControl w:val="0"/>
        <w:spacing w:before="240" w:line="360" w:lineRule="auto"/>
        <w:ind w:left="720" w:hanging="720"/>
        <w:jc w:val="both"/>
        <w:rPr>
          <w:rFonts w:ascii="David" w:hAnsi="David"/>
          <w:rtl/>
        </w:rPr>
      </w:pPr>
      <w:r>
        <w:rPr>
          <w:rFonts w:ascii="David" w:hAnsi="David" w:hint="cs"/>
          <w:rtl/>
        </w:rPr>
        <w:t>17.</w:t>
      </w:r>
      <w:r>
        <w:rPr>
          <w:rFonts w:ascii="David" w:hAnsi="David" w:hint="cs"/>
          <w:rtl/>
        </w:rPr>
        <w:tab/>
      </w:r>
      <w:r w:rsidRPr="0077598B">
        <w:rPr>
          <w:rFonts w:ascii="David" w:hAnsi="David" w:hint="cs"/>
          <w:rtl/>
        </w:rPr>
        <w:t>בגזירת עונש</w:t>
      </w:r>
      <w:r>
        <w:rPr>
          <w:rFonts w:ascii="David" w:hAnsi="David" w:hint="cs"/>
          <w:rtl/>
        </w:rPr>
        <w:t>ם</w:t>
      </w:r>
      <w:r w:rsidRPr="0077598B">
        <w:rPr>
          <w:rFonts w:ascii="David" w:hAnsi="David" w:hint="cs"/>
          <w:rtl/>
        </w:rPr>
        <w:t xml:space="preserve"> של הנאש</w:t>
      </w:r>
      <w:r>
        <w:rPr>
          <w:rFonts w:ascii="David" w:hAnsi="David" w:hint="cs"/>
          <w:rtl/>
        </w:rPr>
        <w:t>מי</w:t>
      </w:r>
      <w:r w:rsidRPr="0077598B">
        <w:rPr>
          <w:rFonts w:ascii="David" w:hAnsi="David" w:hint="cs"/>
          <w:rtl/>
        </w:rPr>
        <w:t xml:space="preserve">ם מצאתי כי יש צורך להעביר מסר של הרתעה אישית לנאשמים אך יותר מכך להרתעת רבים, מביצוע עבירות נשק, בהתאם </w:t>
      </w:r>
      <w:hyperlink r:id="rId63" w:history="1">
        <w:r w:rsidR="000455DF" w:rsidRPr="000455DF">
          <w:rPr>
            <w:rStyle w:val="Hyperlink"/>
            <w:rFonts w:ascii="David" w:hAnsi="David" w:hint="eastAsia"/>
            <w:rtl/>
          </w:rPr>
          <w:t>לסעיפים</w:t>
        </w:r>
        <w:r w:rsidR="000455DF" w:rsidRPr="000455DF">
          <w:rPr>
            <w:rStyle w:val="Hyperlink"/>
            <w:rFonts w:ascii="David" w:hAnsi="David"/>
            <w:rtl/>
          </w:rPr>
          <w:t xml:space="preserve"> 40ו</w:t>
        </w:r>
      </w:hyperlink>
      <w:r w:rsidRPr="0077598B">
        <w:rPr>
          <w:rFonts w:ascii="David" w:hAnsi="David" w:hint="cs"/>
          <w:rtl/>
        </w:rPr>
        <w:t xml:space="preserve"> ו-</w:t>
      </w:r>
      <w:hyperlink r:id="rId64" w:history="1">
        <w:r w:rsidR="000455DF" w:rsidRPr="000455DF">
          <w:rPr>
            <w:rStyle w:val="Hyperlink"/>
            <w:rFonts w:ascii="David" w:hAnsi="David"/>
            <w:rtl/>
          </w:rPr>
          <w:t>40ז</w:t>
        </w:r>
      </w:hyperlink>
      <w:r w:rsidRPr="0077598B">
        <w:rPr>
          <w:rFonts w:ascii="David" w:hAnsi="David" w:hint="cs"/>
          <w:rtl/>
        </w:rPr>
        <w:t xml:space="preserve"> ב</w:t>
      </w:r>
      <w:hyperlink r:id="rId65" w:history="1">
        <w:r w:rsidR="006C405F" w:rsidRPr="006C405F">
          <w:rPr>
            <w:rFonts w:ascii="David" w:hAnsi="David"/>
            <w:color w:val="0000FF"/>
            <w:u w:val="single"/>
            <w:rtl/>
          </w:rPr>
          <w:t>חוק העונשין</w:t>
        </w:r>
      </w:hyperlink>
      <w:r w:rsidRPr="0077598B">
        <w:rPr>
          <w:rFonts w:ascii="David" w:hAnsi="David" w:hint="cs"/>
          <w:rtl/>
        </w:rPr>
        <w:t xml:space="preserve">. בעבירות נשק הצורך להרתיע נובע מפוטנציאל הנזק הטמון בהן ולאור התפשטות התופעה של החזקת נשק לא חוקי במדינה, על הפגיעות בגוף ובנפש הנגרמות מאותם כלי נשק השכם והערב. וכדי לשלוח מסר מרתיע לאחרים השוקלים להחזיק נשק שלא כדין, שידעו שהם צפויים לענישה מחמירה בשל מעשה שכזה. קל וחומר כאשר בנשק המוחזק נעשה שימוש כפי שקרה במקרה זה, אפילו אם מדובר רק על השתתפות בצוותא ואחריות מכוח דיני השותפות כבמקרה של הנאשם 1. </w:t>
      </w:r>
    </w:p>
    <w:p w14:paraId="08719AEA" w14:textId="77777777" w:rsidR="0052142F" w:rsidRDefault="0052142F" w:rsidP="0052142F">
      <w:pPr>
        <w:widowControl w:val="0"/>
        <w:spacing w:before="240" w:line="360" w:lineRule="auto"/>
        <w:ind w:left="720" w:hanging="720"/>
        <w:jc w:val="both"/>
        <w:rPr>
          <w:rFonts w:ascii="David" w:hAnsi="David"/>
          <w:rtl/>
        </w:rPr>
      </w:pPr>
      <w:r>
        <w:rPr>
          <w:rFonts w:ascii="David" w:hAnsi="David" w:hint="cs"/>
          <w:rtl/>
        </w:rPr>
        <w:t>18.</w:t>
      </w:r>
      <w:r>
        <w:rPr>
          <w:rFonts w:ascii="David" w:hAnsi="David"/>
          <w:rtl/>
        </w:rPr>
        <w:tab/>
      </w:r>
      <w:r w:rsidRPr="001F7D82">
        <w:rPr>
          <w:rFonts w:ascii="David" w:hAnsi="David" w:hint="cs"/>
          <w:u w:val="single"/>
          <w:rtl/>
        </w:rPr>
        <w:t>בשל כך אני גוזר את עונשם של הנאשמים כדלקמן</w:t>
      </w:r>
      <w:r w:rsidRPr="001F7D82">
        <w:rPr>
          <w:rFonts w:ascii="David" w:hAnsi="David" w:hint="cs"/>
          <w:rtl/>
        </w:rPr>
        <w:t>:</w:t>
      </w:r>
    </w:p>
    <w:p w14:paraId="0950BEBB" w14:textId="77777777" w:rsidR="0052142F" w:rsidRDefault="0052142F" w:rsidP="0052142F">
      <w:pPr>
        <w:rPr>
          <w:rFonts w:ascii="David" w:hAnsi="David"/>
          <w:rtl/>
        </w:rPr>
      </w:pPr>
      <w:r>
        <w:rPr>
          <w:rFonts w:ascii="David" w:hAnsi="David"/>
          <w:rtl/>
        </w:rPr>
        <w:tab/>
      </w:r>
    </w:p>
    <w:p w14:paraId="79B1B67D" w14:textId="77777777" w:rsidR="0052142F" w:rsidRPr="00D0552B" w:rsidRDefault="0052142F" w:rsidP="0052142F">
      <w:pPr>
        <w:pStyle w:val="a9"/>
        <w:widowControl w:val="0"/>
        <w:spacing w:line="360" w:lineRule="auto"/>
        <w:ind w:left="360"/>
        <w:jc w:val="both"/>
        <w:rPr>
          <w:rFonts w:ascii="David" w:hAnsi="David" w:cs="David"/>
          <w:b/>
          <w:bCs/>
          <w:sz w:val="24"/>
          <w:szCs w:val="24"/>
          <w:rtl/>
        </w:rPr>
      </w:pPr>
      <w:r w:rsidRPr="00D0552B">
        <w:rPr>
          <w:rFonts w:ascii="David" w:hAnsi="David" w:cs="David"/>
          <w:b/>
          <w:bCs/>
          <w:sz w:val="24"/>
          <w:szCs w:val="24"/>
          <w:rtl/>
        </w:rPr>
        <w:tab/>
      </w:r>
      <w:r w:rsidRPr="00D0552B">
        <w:rPr>
          <w:rFonts w:ascii="David" w:hAnsi="David" w:cs="David" w:hint="cs"/>
          <w:b/>
          <w:bCs/>
          <w:sz w:val="24"/>
          <w:szCs w:val="24"/>
          <w:u w:val="single"/>
          <w:rtl/>
        </w:rPr>
        <w:t>נאשם 1</w:t>
      </w:r>
      <w:r w:rsidRPr="00D0552B">
        <w:rPr>
          <w:rFonts w:ascii="David" w:hAnsi="David" w:cs="David" w:hint="cs"/>
          <w:b/>
          <w:bCs/>
          <w:sz w:val="24"/>
          <w:szCs w:val="24"/>
          <w:rtl/>
        </w:rPr>
        <w:t>:</w:t>
      </w:r>
    </w:p>
    <w:p w14:paraId="31B2E035" w14:textId="77777777" w:rsidR="0052142F" w:rsidRDefault="0052142F" w:rsidP="0052142F">
      <w:pPr>
        <w:pStyle w:val="a9"/>
        <w:widowControl w:val="0"/>
        <w:spacing w:line="360" w:lineRule="auto"/>
        <w:ind w:left="360"/>
        <w:jc w:val="both"/>
        <w:rPr>
          <w:rFonts w:ascii="David" w:hAnsi="David" w:cs="David"/>
          <w:sz w:val="24"/>
          <w:szCs w:val="24"/>
          <w:rtl/>
        </w:rPr>
      </w:pPr>
    </w:p>
    <w:p w14:paraId="36502267" w14:textId="77777777" w:rsidR="0052142F" w:rsidRDefault="0052142F" w:rsidP="0052142F">
      <w:pPr>
        <w:pStyle w:val="a9"/>
        <w:widowControl w:val="0"/>
        <w:spacing w:line="360" w:lineRule="auto"/>
        <w:ind w:left="1440" w:hanging="720"/>
        <w:jc w:val="both"/>
        <w:rPr>
          <w:rFonts w:ascii="David" w:hAnsi="David" w:cs="David"/>
          <w:sz w:val="24"/>
          <w:szCs w:val="24"/>
          <w:rtl/>
        </w:rPr>
      </w:pPr>
      <w:r>
        <w:rPr>
          <w:rFonts w:ascii="David" w:hAnsi="David" w:cs="David" w:hint="cs"/>
          <w:sz w:val="24"/>
          <w:szCs w:val="24"/>
          <w:rtl/>
        </w:rPr>
        <w:t>א.</w:t>
      </w:r>
      <w:r>
        <w:rPr>
          <w:rFonts w:ascii="David" w:hAnsi="David" w:cs="David"/>
          <w:sz w:val="24"/>
          <w:szCs w:val="24"/>
          <w:rtl/>
        </w:rPr>
        <w:tab/>
      </w:r>
      <w:r>
        <w:rPr>
          <w:rFonts w:ascii="David" w:hAnsi="David" w:cs="David" w:hint="cs"/>
          <w:sz w:val="24"/>
          <w:szCs w:val="24"/>
          <w:rtl/>
        </w:rPr>
        <w:t>ארבע (4) שנות מאסר אשר יהיו עונש מאסר בפועל שמניינן מיום מעצרו בתיק זה, 10.05.2021.</w:t>
      </w:r>
    </w:p>
    <w:p w14:paraId="3B449865" w14:textId="77777777" w:rsidR="0052142F" w:rsidRDefault="0052142F" w:rsidP="0052142F">
      <w:pPr>
        <w:pStyle w:val="a9"/>
        <w:widowControl w:val="0"/>
        <w:spacing w:line="360" w:lineRule="auto"/>
        <w:ind w:left="1440" w:hanging="720"/>
        <w:jc w:val="both"/>
        <w:rPr>
          <w:rFonts w:ascii="David" w:hAnsi="David" w:cs="David"/>
          <w:sz w:val="24"/>
          <w:szCs w:val="24"/>
          <w:rtl/>
        </w:rPr>
      </w:pPr>
    </w:p>
    <w:p w14:paraId="51971F66" w14:textId="77777777" w:rsidR="0052142F" w:rsidRDefault="0052142F" w:rsidP="0052142F">
      <w:pPr>
        <w:pStyle w:val="a9"/>
        <w:widowControl w:val="0"/>
        <w:spacing w:line="360" w:lineRule="auto"/>
        <w:ind w:left="1440" w:hanging="720"/>
        <w:jc w:val="both"/>
        <w:rPr>
          <w:rFonts w:ascii="David" w:hAnsi="David" w:cs="David"/>
          <w:sz w:val="24"/>
          <w:szCs w:val="24"/>
          <w:rtl/>
        </w:rPr>
      </w:pPr>
      <w:r>
        <w:rPr>
          <w:rFonts w:ascii="David" w:hAnsi="David" w:cs="David" w:hint="cs"/>
          <w:sz w:val="24"/>
          <w:szCs w:val="24"/>
          <w:rtl/>
        </w:rPr>
        <w:t>ב.</w:t>
      </w:r>
      <w:r>
        <w:rPr>
          <w:rFonts w:ascii="David" w:hAnsi="David" w:cs="David" w:hint="cs"/>
          <w:sz w:val="24"/>
          <w:szCs w:val="24"/>
          <w:rtl/>
        </w:rPr>
        <w:tab/>
        <w:t>לצד עונש זה ובנוסף, שמונה עשר (18) חודשי מאסר</w:t>
      </w:r>
      <w:r w:rsidRPr="00472FD4">
        <w:rPr>
          <w:rtl/>
        </w:rPr>
        <w:t xml:space="preserve"> </w:t>
      </w:r>
      <w:r w:rsidRPr="00472FD4">
        <w:rPr>
          <w:rFonts w:ascii="David" w:hAnsi="David" w:cs="David"/>
          <w:sz w:val="24"/>
          <w:szCs w:val="24"/>
          <w:rtl/>
        </w:rPr>
        <w:t>אותם לא ירצה אלא אם בתוך שלוש (3) שנים מיום שחרורו ממאסר יעבור עביר</w:t>
      </w:r>
      <w:r>
        <w:rPr>
          <w:rFonts w:ascii="David" w:hAnsi="David" w:cs="David" w:hint="cs"/>
          <w:sz w:val="24"/>
          <w:szCs w:val="24"/>
          <w:rtl/>
        </w:rPr>
        <w:t>ו</w:t>
      </w:r>
      <w:r w:rsidRPr="00472FD4">
        <w:rPr>
          <w:rFonts w:ascii="David" w:hAnsi="David" w:cs="David"/>
          <w:sz w:val="24"/>
          <w:szCs w:val="24"/>
          <w:rtl/>
        </w:rPr>
        <w:t xml:space="preserve">ת </w:t>
      </w:r>
      <w:r>
        <w:rPr>
          <w:rFonts w:ascii="David" w:hAnsi="David" w:cs="David" w:hint="cs"/>
          <w:sz w:val="24"/>
          <w:szCs w:val="24"/>
          <w:rtl/>
        </w:rPr>
        <w:t xml:space="preserve">בנשק </w:t>
      </w:r>
      <w:r w:rsidRPr="00472FD4">
        <w:rPr>
          <w:rFonts w:ascii="David" w:hAnsi="David" w:cs="David"/>
          <w:sz w:val="24"/>
          <w:szCs w:val="24"/>
          <w:rtl/>
        </w:rPr>
        <w:t xml:space="preserve">לפי </w:t>
      </w:r>
      <w:hyperlink r:id="rId66" w:history="1">
        <w:r w:rsidR="000455DF" w:rsidRPr="000455DF">
          <w:rPr>
            <w:rStyle w:val="Hyperlink"/>
            <w:rFonts w:ascii="David" w:hAnsi="David" w:cs="David" w:hint="cs"/>
            <w:sz w:val="24"/>
            <w:szCs w:val="24"/>
            <w:rtl/>
          </w:rPr>
          <w:t>סעיף</w:t>
        </w:r>
        <w:r w:rsidR="000455DF" w:rsidRPr="000455DF">
          <w:rPr>
            <w:rStyle w:val="Hyperlink"/>
            <w:rFonts w:ascii="David" w:hAnsi="David" w:cs="David"/>
            <w:sz w:val="24"/>
            <w:szCs w:val="24"/>
            <w:rtl/>
          </w:rPr>
          <w:t xml:space="preserve"> 144</w:t>
        </w:r>
      </w:hyperlink>
      <w:r w:rsidRPr="00472FD4">
        <w:rPr>
          <w:rFonts w:ascii="David" w:hAnsi="David" w:cs="David"/>
          <w:sz w:val="24"/>
          <w:szCs w:val="24"/>
          <w:rtl/>
        </w:rPr>
        <w:t xml:space="preserve"> ב</w:t>
      </w:r>
      <w:hyperlink r:id="rId67" w:history="1">
        <w:r w:rsidR="006C405F" w:rsidRPr="006C405F">
          <w:rPr>
            <w:rFonts w:ascii="David" w:hAnsi="David" w:cs="David"/>
            <w:color w:val="0000FF"/>
            <w:sz w:val="24"/>
            <w:szCs w:val="24"/>
            <w:u w:val="single"/>
            <w:rtl/>
          </w:rPr>
          <w:t>חוק העונשין</w:t>
        </w:r>
      </w:hyperlink>
      <w:r>
        <w:rPr>
          <w:rFonts w:ascii="David" w:hAnsi="David" w:cs="David" w:hint="cs"/>
          <w:sz w:val="24"/>
          <w:szCs w:val="24"/>
          <w:rtl/>
        </w:rPr>
        <w:t xml:space="preserve">, עבירה של חבלה בכוונה מחמירה לפי </w:t>
      </w:r>
      <w:hyperlink r:id="rId68" w:history="1">
        <w:r w:rsidR="000455DF" w:rsidRPr="000455DF">
          <w:rPr>
            <w:rStyle w:val="Hyperlink"/>
            <w:rFonts w:ascii="David" w:hAnsi="David" w:cs="David" w:hint="cs"/>
            <w:sz w:val="24"/>
            <w:szCs w:val="24"/>
            <w:rtl/>
          </w:rPr>
          <w:t>סעיף</w:t>
        </w:r>
        <w:r w:rsidR="000455DF" w:rsidRPr="000455DF">
          <w:rPr>
            <w:rStyle w:val="Hyperlink"/>
            <w:rFonts w:ascii="David" w:hAnsi="David" w:cs="David"/>
            <w:sz w:val="24"/>
            <w:szCs w:val="24"/>
            <w:rtl/>
          </w:rPr>
          <w:t xml:space="preserve"> 329</w:t>
        </w:r>
      </w:hyperlink>
      <w:r>
        <w:rPr>
          <w:rFonts w:ascii="David" w:hAnsi="David" w:cs="David" w:hint="cs"/>
          <w:sz w:val="24"/>
          <w:szCs w:val="24"/>
          <w:rtl/>
        </w:rPr>
        <w:t xml:space="preserve"> בחוק העונשין או עבירה של הצתה לפי </w:t>
      </w:r>
      <w:hyperlink r:id="rId69" w:history="1">
        <w:r w:rsidR="000455DF" w:rsidRPr="000455DF">
          <w:rPr>
            <w:rStyle w:val="Hyperlink"/>
            <w:rFonts w:ascii="David" w:hAnsi="David" w:cs="David" w:hint="cs"/>
            <w:sz w:val="24"/>
            <w:szCs w:val="24"/>
            <w:rtl/>
          </w:rPr>
          <w:t>סעיף</w:t>
        </w:r>
        <w:r w:rsidR="000455DF" w:rsidRPr="000455DF">
          <w:rPr>
            <w:rStyle w:val="Hyperlink"/>
            <w:rFonts w:ascii="David" w:hAnsi="David" w:cs="David"/>
            <w:sz w:val="24"/>
            <w:szCs w:val="24"/>
            <w:rtl/>
          </w:rPr>
          <w:t xml:space="preserve"> 448</w:t>
        </w:r>
      </w:hyperlink>
      <w:r>
        <w:rPr>
          <w:rFonts w:ascii="David" w:hAnsi="David" w:cs="David" w:hint="cs"/>
          <w:sz w:val="24"/>
          <w:szCs w:val="24"/>
          <w:rtl/>
        </w:rPr>
        <w:t xml:space="preserve"> בחוק העונשין.</w:t>
      </w:r>
    </w:p>
    <w:p w14:paraId="2D9C7B8D" w14:textId="77777777" w:rsidR="0052142F" w:rsidRDefault="0052142F" w:rsidP="0052142F">
      <w:pPr>
        <w:pStyle w:val="a9"/>
        <w:widowControl w:val="0"/>
        <w:spacing w:line="360" w:lineRule="auto"/>
        <w:ind w:left="1440" w:hanging="720"/>
        <w:jc w:val="both"/>
        <w:rPr>
          <w:rFonts w:ascii="David" w:hAnsi="David" w:cs="David"/>
          <w:sz w:val="24"/>
          <w:szCs w:val="24"/>
          <w:rtl/>
        </w:rPr>
      </w:pPr>
    </w:p>
    <w:p w14:paraId="673C8E7C" w14:textId="77777777" w:rsidR="0052142F" w:rsidRDefault="0052142F" w:rsidP="0052142F">
      <w:pPr>
        <w:pStyle w:val="a9"/>
        <w:widowControl w:val="0"/>
        <w:spacing w:line="360" w:lineRule="auto"/>
        <w:ind w:left="1440" w:hanging="720"/>
        <w:jc w:val="both"/>
        <w:rPr>
          <w:rFonts w:ascii="David" w:hAnsi="David" w:cs="David"/>
          <w:sz w:val="24"/>
          <w:szCs w:val="24"/>
          <w:rtl/>
        </w:rPr>
      </w:pPr>
      <w:r>
        <w:rPr>
          <w:rFonts w:ascii="David" w:hAnsi="David" w:cs="David" w:hint="cs"/>
          <w:sz w:val="24"/>
          <w:szCs w:val="24"/>
          <w:rtl/>
        </w:rPr>
        <w:t>ג.</w:t>
      </w:r>
      <w:r>
        <w:rPr>
          <w:rFonts w:ascii="David" w:hAnsi="David" w:cs="David" w:hint="cs"/>
          <w:sz w:val="24"/>
          <w:szCs w:val="24"/>
          <w:rtl/>
        </w:rPr>
        <w:tab/>
        <w:t xml:space="preserve">שישה (6) חודשי מאסר </w:t>
      </w:r>
      <w:r w:rsidRPr="00472FD4">
        <w:rPr>
          <w:rFonts w:ascii="David" w:hAnsi="David" w:cs="David"/>
          <w:sz w:val="24"/>
          <w:szCs w:val="24"/>
          <w:rtl/>
        </w:rPr>
        <w:t>אותם לא ירצה אלא אם בתוך שלוש (3) שנים מיום שחרורו ממאסר</w:t>
      </w:r>
      <w:r>
        <w:rPr>
          <w:rFonts w:ascii="David" w:hAnsi="David" w:cs="David" w:hint="cs"/>
          <w:sz w:val="24"/>
          <w:szCs w:val="24"/>
          <w:rtl/>
        </w:rPr>
        <w:t xml:space="preserve"> יעבור עבירות של הפרעה לשוטר לפי </w:t>
      </w:r>
      <w:hyperlink r:id="rId70" w:history="1">
        <w:r w:rsidR="000455DF" w:rsidRPr="000455DF">
          <w:rPr>
            <w:rStyle w:val="Hyperlink"/>
            <w:rFonts w:ascii="David" w:hAnsi="David" w:cs="David" w:hint="cs"/>
            <w:sz w:val="24"/>
            <w:szCs w:val="24"/>
            <w:rtl/>
          </w:rPr>
          <w:t>סעיף</w:t>
        </w:r>
        <w:r w:rsidR="000455DF" w:rsidRPr="000455DF">
          <w:rPr>
            <w:rStyle w:val="Hyperlink"/>
            <w:rFonts w:ascii="David" w:hAnsi="David" w:cs="David"/>
            <w:sz w:val="24"/>
            <w:szCs w:val="24"/>
            <w:rtl/>
          </w:rPr>
          <w:t xml:space="preserve"> 275</w:t>
        </w:r>
      </w:hyperlink>
      <w:r>
        <w:rPr>
          <w:rFonts w:ascii="David" w:hAnsi="David" w:cs="David" w:hint="cs"/>
          <w:sz w:val="24"/>
          <w:szCs w:val="24"/>
          <w:rtl/>
        </w:rPr>
        <w:t xml:space="preserve"> ב</w:t>
      </w:r>
      <w:hyperlink r:id="rId71" w:history="1">
        <w:r w:rsidR="006C405F" w:rsidRPr="006C405F">
          <w:rPr>
            <w:rFonts w:ascii="David" w:hAnsi="David" w:cs="David"/>
            <w:color w:val="0000FF"/>
            <w:sz w:val="24"/>
            <w:szCs w:val="24"/>
            <w:u w:val="single"/>
            <w:rtl/>
          </w:rPr>
          <w:t>חוק העונשין</w:t>
        </w:r>
      </w:hyperlink>
      <w:r>
        <w:rPr>
          <w:rFonts w:ascii="David" w:hAnsi="David" w:cs="David" w:hint="cs"/>
          <w:sz w:val="24"/>
          <w:szCs w:val="24"/>
          <w:rtl/>
        </w:rPr>
        <w:t xml:space="preserve">; ירי מנשק חם לפי </w:t>
      </w:r>
      <w:hyperlink r:id="rId72" w:history="1">
        <w:r w:rsidR="000455DF" w:rsidRPr="000455DF">
          <w:rPr>
            <w:rStyle w:val="Hyperlink"/>
            <w:rFonts w:ascii="David" w:hAnsi="David" w:cs="David" w:hint="cs"/>
            <w:sz w:val="24"/>
            <w:szCs w:val="24"/>
            <w:rtl/>
          </w:rPr>
          <w:t>סעיף</w:t>
        </w:r>
        <w:r w:rsidR="000455DF" w:rsidRPr="000455DF">
          <w:rPr>
            <w:rStyle w:val="Hyperlink"/>
            <w:rFonts w:ascii="David" w:hAnsi="David" w:cs="David"/>
            <w:sz w:val="24"/>
            <w:szCs w:val="24"/>
            <w:rtl/>
          </w:rPr>
          <w:t xml:space="preserve"> 340</w:t>
        </w:r>
      </w:hyperlink>
      <w:r>
        <w:rPr>
          <w:rFonts w:ascii="David" w:hAnsi="David" w:cs="David" w:hint="cs"/>
          <w:sz w:val="24"/>
          <w:szCs w:val="24"/>
          <w:rtl/>
        </w:rPr>
        <w:t xml:space="preserve"> בחוק העונשין; שיבוש מהלכי משפט לפי </w:t>
      </w:r>
      <w:hyperlink r:id="rId73" w:history="1">
        <w:r w:rsidR="000455DF" w:rsidRPr="000455DF">
          <w:rPr>
            <w:rStyle w:val="Hyperlink"/>
            <w:rFonts w:ascii="David" w:hAnsi="David" w:cs="David" w:hint="cs"/>
            <w:sz w:val="24"/>
            <w:szCs w:val="24"/>
            <w:rtl/>
          </w:rPr>
          <w:t>סעיף</w:t>
        </w:r>
        <w:r w:rsidR="000455DF" w:rsidRPr="000455DF">
          <w:rPr>
            <w:rStyle w:val="Hyperlink"/>
            <w:rFonts w:ascii="David" w:hAnsi="David" w:cs="David"/>
            <w:sz w:val="24"/>
            <w:szCs w:val="24"/>
            <w:rtl/>
          </w:rPr>
          <w:t xml:space="preserve"> 244</w:t>
        </w:r>
      </w:hyperlink>
      <w:r>
        <w:rPr>
          <w:rFonts w:ascii="David" w:hAnsi="David" w:cs="David" w:hint="cs"/>
          <w:sz w:val="24"/>
          <w:szCs w:val="24"/>
          <w:rtl/>
        </w:rPr>
        <w:t xml:space="preserve"> בחוק העונשין או שימוש ברכב ללא רשות לפי </w:t>
      </w:r>
      <w:hyperlink r:id="rId74" w:history="1">
        <w:r w:rsidR="000455DF" w:rsidRPr="000455DF">
          <w:rPr>
            <w:rStyle w:val="Hyperlink"/>
            <w:rFonts w:ascii="David" w:hAnsi="David" w:cs="David" w:hint="cs"/>
            <w:sz w:val="24"/>
            <w:szCs w:val="24"/>
            <w:rtl/>
          </w:rPr>
          <w:t>סעיף</w:t>
        </w:r>
        <w:r w:rsidR="000455DF" w:rsidRPr="000455DF">
          <w:rPr>
            <w:rStyle w:val="Hyperlink"/>
            <w:rFonts w:ascii="David" w:hAnsi="David" w:cs="David"/>
            <w:sz w:val="24"/>
            <w:szCs w:val="24"/>
            <w:rtl/>
          </w:rPr>
          <w:t xml:space="preserve"> 413ג</w:t>
        </w:r>
      </w:hyperlink>
      <w:r>
        <w:rPr>
          <w:rFonts w:ascii="David" w:hAnsi="David" w:cs="David" w:hint="cs"/>
          <w:sz w:val="24"/>
          <w:szCs w:val="24"/>
          <w:rtl/>
        </w:rPr>
        <w:t xml:space="preserve"> בחוק העונשין.</w:t>
      </w:r>
    </w:p>
    <w:p w14:paraId="19332914" w14:textId="77777777" w:rsidR="0052142F" w:rsidRDefault="0052142F" w:rsidP="0052142F">
      <w:pPr>
        <w:pStyle w:val="a9"/>
        <w:widowControl w:val="0"/>
        <w:spacing w:line="360" w:lineRule="auto"/>
        <w:ind w:left="1440" w:hanging="720"/>
        <w:jc w:val="both"/>
        <w:rPr>
          <w:rFonts w:ascii="David" w:hAnsi="David" w:cs="David"/>
          <w:sz w:val="24"/>
          <w:szCs w:val="24"/>
          <w:rtl/>
        </w:rPr>
      </w:pPr>
    </w:p>
    <w:p w14:paraId="5ABBABAC" w14:textId="77777777" w:rsidR="0052142F" w:rsidRDefault="0052142F" w:rsidP="0052142F">
      <w:pPr>
        <w:pStyle w:val="a9"/>
        <w:widowControl w:val="0"/>
        <w:spacing w:line="360" w:lineRule="auto"/>
        <w:ind w:left="1440" w:hanging="720"/>
        <w:jc w:val="both"/>
        <w:rPr>
          <w:rFonts w:ascii="David" w:hAnsi="David" w:cs="David"/>
          <w:sz w:val="24"/>
          <w:szCs w:val="24"/>
          <w:rtl/>
        </w:rPr>
      </w:pPr>
      <w:r>
        <w:rPr>
          <w:rFonts w:ascii="David" w:hAnsi="David" w:cs="David" w:hint="cs"/>
          <w:sz w:val="24"/>
          <w:szCs w:val="24"/>
          <w:rtl/>
        </w:rPr>
        <w:t>ד.</w:t>
      </w:r>
      <w:r>
        <w:rPr>
          <w:rFonts w:ascii="David" w:hAnsi="David" w:cs="David" w:hint="cs"/>
          <w:sz w:val="24"/>
          <w:szCs w:val="24"/>
          <w:rtl/>
        </w:rPr>
        <w:tab/>
        <w:t>קנס של חמשת אלפים שקלים (5,000 ₪), שישולם עד יום 01.12.2022 או חודש מאסר תמורתו.</w:t>
      </w:r>
    </w:p>
    <w:p w14:paraId="6CB5C34B" w14:textId="77777777" w:rsidR="0052142F" w:rsidRDefault="0052142F" w:rsidP="0052142F">
      <w:pPr>
        <w:pStyle w:val="a9"/>
        <w:widowControl w:val="0"/>
        <w:spacing w:line="360" w:lineRule="auto"/>
        <w:ind w:left="1440" w:hanging="720"/>
        <w:jc w:val="both"/>
        <w:rPr>
          <w:rFonts w:ascii="David" w:hAnsi="David" w:cs="David"/>
          <w:sz w:val="24"/>
          <w:szCs w:val="24"/>
          <w:rtl/>
        </w:rPr>
      </w:pPr>
    </w:p>
    <w:p w14:paraId="1411FDF9" w14:textId="77777777" w:rsidR="0052142F" w:rsidRDefault="0052142F" w:rsidP="0052142F">
      <w:pPr>
        <w:pStyle w:val="a9"/>
        <w:widowControl w:val="0"/>
        <w:spacing w:line="360" w:lineRule="auto"/>
        <w:ind w:left="1440" w:hanging="720"/>
        <w:jc w:val="both"/>
        <w:rPr>
          <w:rFonts w:ascii="David" w:hAnsi="David" w:cs="David"/>
          <w:sz w:val="24"/>
          <w:szCs w:val="24"/>
          <w:rtl/>
        </w:rPr>
      </w:pPr>
      <w:r>
        <w:rPr>
          <w:rFonts w:ascii="David" w:hAnsi="David" w:cs="David" w:hint="cs"/>
          <w:sz w:val="24"/>
          <w:szCs w:val="24"/>
          <w:rtl/>
        </w:rPr>
        <w:t>ה.</w:t>
      </w:r>
      <w:r>
        <w:rPr>
          <w:rFonts w:ascii="David" w:hAnsi="David" w:cs="David" w:hint="cs"/>
          <w:sz w:val="24"/>
          <w:szCs w:val="24"/>
          <w:rtl/>
        </w:rPr>
        <w:tab/>
        <w:t xml:space="preserve">פיצוי לבעל בית הקפה מ.ב. בסך חמשת אלפים שקלים (5,000 ₪), אשר ישולם עד יום 01.03.2022. </w:t>
      </w:r>
      <w:r w:rsidRPr="009A4805">
        <w:rPr>
          <w:rFonts w:ascii="David" w:hAnsi="David" w:cs="David"/>
          <w:sz w:val="24"/>
          <w:szCs w:val="24"/>
          <w:rtl/>
        </w:rPr>
        <w:t xml:space="preserve"> </w:t>
      </w:r>
      <w:r>
        <w:rPr>
          <w:rFonts w:ascii="David" w:hAnsi="David" w:cs="David" w:hint="cs"/>
          <w:sz w:val="24"/>
          <w:szCs w:val="24"/>
          <w:rtl/>
        </w:rPr>
        <w:t xml:space="preserve">ב"כ </w:t>
      </w:r>
      <w:r w:rsidRPr="009A4805">
        <w:rPr>
          <w:rFonts w:ascii="David" w:hAnsi="David" w:cs="David"/>
          <w:sz w:val="24"/>
          <w:szCs w:val="24"/>
          <w:rtl/>
        </w:rPr>
        <w:t xml:space="preserve">המאשימה </w:t>
      </w:r>
      <w:r>
        <w:rPr>
          <w:rFonts w:ascii="David" w:hAnsi="David" w:cs="David" w:hint="cs"/>
          <w:sz w:val="24"/>
          <w:szCs w:val="24"/>
          <w:rtl/>
        </w:rPr>
        <w:t>ת</w:t>
      </w:r>
      <w:r w:rsidRPr="009A4805">
        <w:rPr>
          <w:rFonts w:ascii="David" w:hAnsi="David" w:cs="David"/>
          <w:sz w:val="24"/>
          <w:szCs w:val="24"/>
          <w:rtl/>
        </w:rPr>
        <w:t xml:space="preserve">ודיע </w:t>
      </w:r>
      <w:r>
        <w:rPr>
          <w:rFonts w:ascii="David" w:hAnsi="David" w:cs="David" w:hint="cs"/>
          <w:sz w:val="24"/>
          <w:szCs w:val="24"/>
          <w:rtl/>
        </w:rPr>
        <w:t>לזכאי</w:t>
      </w:r>
      <w:r w:rsidRPr="009A4805">
        <w:rPr>
          <w:rFonts w:ascii="David" w:hAnsi="David" w:cs="David"/>
          <w:sz w:val="24"/>
          <w:szCs w:val="24"/>
          <w:rtl/>
        </w:rPr>
        <w:t xml:space="preserve"> על זכאות</w:t>
      </w:r>
      <w:r>
        <w:rPr>
          <w:rFonts w:ascii="David" w:hAnsi="David" w:cs="David" w:hint="cs"/>
          <w:sz w:val="24"/>
          <w:szCs w:val="24"/>
          <w:rtl/>
        </w:rPr>
        <w:t>ו</w:t>
      </w:r>
      <w:r w:rsidRPr="009A4805">
        <w:rPr>
          <w:rFonts w:ascii="David" w:hAnsi="David" w:cs="David"/>
          <w:sz w:val="24"/>
          <w:szCs w:val="24"/>
          <w:rtl/>
        </w:rPr>
        <w:t xml:space="preserve"> </w:t>
      </w:r>
      <w:r>
        <w:rPr>
          <w:rFonts w:ascii="David" w:hAnsi="David" w:cs="David" w:hint="cs"/>
          <w:sz w:val="24"/>
          <w:szCs w:val="24"/>
          <w:rtl/>
        </w:rPr>
        <w:t>לפי פסק הדין</w:t>
      </w:r>
      <w:r w:rsidRPr="009A4805">
        <w:rPr>
          <w:rFonts w:ascii="David" w:hAnsi="David" w:cs="David"/>
          <w:sz w:val="24"/>
          <w:szCs w:val="24"/>
          <w:rtl/>
        </w:rPr>
        <w:t xml:space="preserve"> כאמור.</w:t>
      </w:r>
    </w:p>
    <w:p w14:paraId="1148F853" w14:textId="77777777" w:rsidR="0052142F" w:rsidRDefault="0052142F" w:rsidP="0052142F">
      <w:pPr>
        <w:pStyle w:val="a9"/>
        <w:widowControl w:val="0"/>
        <w:spacing w:line="360" w:lineRule="auto"/>
        <w:ind w:left="360"/>
        <w:jc w:val="both"/>
        <w:rPr>
          <w:rFonts w:ascii="David" w:hAnsi="David" w:cs="David"/>
          <w:sz w:val="24"/>
          <w:szCs w:val="24"/>
          <w:rtl/>
        </w:rPr>
      </w:pPr>
    </w:p>
    <w:p w14:paraId="376B4AD7" w14:textId="77777777" w:rsidR="0052142F" w:rsidRPr="00D0552B" w:rsidRDefault="0052142F" w:rsidP="0052142F">
      <w:pPr>
        <w:pStyle w:val="a9"/>
        <w:widowControl w:val="0"/>
        <w:spacing w:line="360" w:lineRule="auto"/>
        <w:ind w:left="360"/>
        <w:jc w:val="both"/>
        <w:rPr>
          <w:rFonts w:ascii="David" w:hAnsi="David" w:cs="David"/>
          <w:b/>
          <w:bCs/>
          <w:sz w:val="24"/>
          <w:szCs w:val="24"/>
          <w:rtl/>
        </w:rPr>
      </w:pPr>
      <w:r w:rsidRPr="00D0552B">
        <w:rPr>
          <w:rFonts w:ascii="David" w:hAnsi="David" w:cs="David" w:hint="cs"/>
          <w:b/>
          <w:bCs/>
          <w:sz w:val="24"/>
          <w:szCs w:val="24"/>
          <w:u w:val="single"/>
          <w:rtl/>
        </w:rPr>
        <w:t>נאשם 2</w:t>
      </w:r>
      <w:r w:rsidRPr="00D0552B">
        <w:rPr>
          <w:rFonts w:ascii="David" w:hAnsi="David" w:cs="David" w:hint="cs"/>
          <w:b/>
          <w:bCs/>
          <w:sz w:val="24"/>
          <w:szCs w:val="24"/>
          <w:rtl/>
        </w:rPr>
        <w:t xml:space="preserve">: </w:t>
      </w:r>
    </w:p>
    <w:p w14:paraId="2A22E6E9" w14:textId="77777777" w:rsidR="0052142F" w:rsidRDefault="0052142F" w:rsidP="0052142F">
      <w:pPr>
        <w:pStyle w:val="a9"/>
        <w:widowControl w:val="0"/>
        <w:spacing w:line="360" w:lineRule="auto"/>
        <w:ind w:left="360"/>
        <w:jc w:val="both"/>
        <w:rPr>
          <w:rFonts w:ascii="David" w:hAnsi="David" w:cs="David"/>
          <w:sz w:val="24"/>
          <w:szCs w:val="24"/>
          <w:rtl/>
        </w:rPr>
      </w:pPr>
    </w:p>
    <w:p w14:paraId="18013317" w14:textId="77777777" w:rsidR="0052142F" w:rsidRDefault="0052142F" w:rsidP="0052142F">
      <w:pPr>
        <w:pStyle w:val="a9"/>
        <w:widowControl w:val="0"/>
        <w:spacing w:line="360" w:lineRule="auto"/>
        <w:ind w:left="1440" w:hanging="720"/>
        <w:jc w:val="both"/>
        <w:rPr>
          <w:rFonts w:ascii="David" w:hAnsi="David" w:cs="David"/>
          <w:sz w:val="24"/>
          <w:szCs w:val="24"/>
          <w:rtl/>
        </w:rPr>
      </w:pPr>
      <w:r>
        <w:rPr>
          <w:rFonts w:ascii="David" w:hAnsi="David" w:cs="David" w:hint="cs"/>
          <w:sz w:val="24"/>
          <w:szCs w:val="24"/>
          <w:rtl/>
        </w:rPr>
        <w:t>א.</w:t>
      </w:r>
      <w:r>
        <w:rPr>
          <w:rFonts w:ascii="David" w:hAnsi="David" w:cs="David" w:hint="cs"/>
          <w:sz w:val="24"/>
          <w:szCs w:val="24"/>
          <w:rtl/>
        </w:rPr>
        <w:tab/>
        <w:t xml:space="preserve">(6.5) שש שנות מאסר ומחצה אשר יהיו עונש מאסר בפועל שמניינן מיום מעצרו בתיק זה, 10.05.2021. העונש המוטל אינו בתחתית המתחם ממש וזאת בשל עברו הפלילי של הנאשם ובשל שיקולי הרתעת היחיד והרבים, </w:t>
      </w:r>
      <w:r w:rsidRPr="00D07787">
        <w:rPr>
          <w:rFonts w:ascii="David" w:hAnsi="David" w:cs="David"/>
          <w:sz w:val="24"/>
          <w:szCs w:val="24"/>
          <w:rtl/>
        </w:rPr>
        <w:t xml:space="preserve">בהתאם </w:t>
      </w:r>
      <w:hyperlink r:id="rId75" w:history="1">
        <w:r w:rsidR="000455DF" w:rsidRPr="000455DF">
          <w:rPr>
            <w:rStyle w:val="Hyperlink"/>
            <w:rFonts w:ascii="David" w:hAnsi="David" w:cs="David"/>
            <w:sz w:val="24"/>
            <w:szCs w:val="24"/>
            <w:rtl/>
          </w:rPr>
          <w:t>לסעיפים 40ו</w:t>
        </w:r>
      </w:hyperlink>
      <w:r w:rsidRPr="00D07787">
        <w:rPr>
          <w:rFonts w:ascii="David" w:hAnsi="David" w:cs="David"/>
          <w:sz w:val="24"/>
          <w:szCs w:val="24"/>
          <w:rtl/>
        </w:rPr>
        <w:t xml:space="preserve"> ו-</w:t>
      </w:r>
      <w:hyperlink r:id="rId76" w:history="1">
        <w:r w:rsidR="000455DF" w:rsidRPr="000455DF">
          <w:rPr>
            <w:rStyle w:val="Hyperlink"/>
            <w:rFonts w:ascii="David" w:hAnsi="David" w:cs="David"/>
            <w:sz w:val="24"/>
            <w:szCs w:val="24"/>
            <w:rtl/>
          </w:rPr>
          <w:t>40ז</w:t>
        </w:r>
      </w:hyperlink>
      <w:r w:rsidRPr="00D07787">
        <w:rPr>
          <w:rFonts w:ascii="David" w:hAnsi="David" w:cs="David"/>
          <w:sz w:val="24"/>
          <w:szCs w:val="24"/>
          <w:rtl/>
        </w:rPr>
        <w:t xml:space="preserve"> ב</w:t>
      </w:r>
      <w:hyperlink r:id="rId77" w:history="1">
        <w:r w:rsidR="006C405F" w:rsidRPr="006C405F">
          <w:rPr>
            <w:rFonts w:ascii="David" w:hAnsi="David" w:cs="David"/>
            <w:color w:val="0000FF"/>
            <w:sz w:val="24"/>
            <w:szCs w:val="24"/>
            <w:u w:val="single"/>
            <w:rtl/>
          </w:rPr>
          <w:t>חוק העונשין</w:t>
        </w:r>
      </w:hyperlink>
      <w:r>
        <w:rPr>
          <w:rFonts w:ascii="David" w:hAnsi="David" w:cs="David" w:hint="cs"/>
          <w:sz w:val="24"/>
          <w:szCs w:val="24"/>
          <w:rtl/>
        </w:rPr>
        <w:t>,</w:t>
      </w:r>
      <w:r w:rsidRPr="00D07787">
        <w:rPr>
          <w:rFonts w:ascii="David" w:hAnsi="David" w:cs="David" w:hint="cs"/>
          <w:sz w:val="24"/>
          <w:szCs w:val="24"/>
          <w:rtl/>
        </w:rPr>
        <w:t xml:space="preserve"> </w:t>
      </w:r>
      <w:r>
        <w:rPr>
          <w:rFonts w:ascii="David" w:hAnsi="David" w:cs="David" w:hint="cs"/>
          <w:sz w:val="24"/>
          <w:szCs w:val="24"/>
          <w:rtl/>
        </w:rPr>
        <w:t>כאמור לעיל.</w:t>
      </w:r>
    </w:p>
    <w:p w14:paraId="0111C6E9" w14:textId="77777777" w:rsidR="0052142F" w:rsidRDefault="0052142F" w:rsidP="0052142F">
      <w:pPr>
        <w:pStyle w:val="a9"/>
        <w:widowControl w:val="0"/>
        <w:spacing w:line="360" w:lineRule="auto"/>
        <w:ind w:left="1440" w:hanging="720"/>
        <w:jc w:val="both"/>
        <w:rPr>
          <w:rFonts w:ascii="David" w:hAnsi="David" w:cs="David"/>
          <w:sz w:val="24"/>
          <w:szCs w:val="24"/>
          <w:rtl/>
        </w:rPr>
      </w:pPr>
    </w:p>
    <w:p w14:paraId="22088C0C" w14:textId="77777777" w:rsidR="0052142F" w:rsidRDefault="0052142F" w:rsidP="0052142F">
      <w:pPr>
        <w:pStyle w:val="a9"/>
        <w:widowControl w:val="0"/>
        <w:spacing w:line="360" w:lineRule="auto"/>
        <w:ind w:left="1440" w:hanging="720"/>
        <w:jc w:val="both"/>
        <w:rPr>
          <w:rFonts w:ascii="David" w:hAnsi="David" w:cs="David"/>
          <w:sz w:val="24"/>
          <w:szCs w:val="24"/>
          <w:rtl/>
        </w:rPr>
      </w:pPr>
      <w:r>
        <w:rPr>
          <w:rFonts w:ascii="David" w:hAnsi="David" w:cs="David" w:hint="cs"/>
          <w:sz w:val="24"/>
          <w:szCs w:val="24"/>
          <w:rtl/>
        </w:rPr>
        <w:t>ב.</w:t>
      </w:r>
      <w:r>
        <w:rPr>
          <w:rFonts w:ascii="David" w:hAnsi="David" w:cs="David"/>
          <w:sz w:val="24"/>
          <w:szCs w:val="24"/>
          <w:rtl/>
        </w:rPr>
        <w:tab/>
      </w:r>
      <w:r w:rsidRPr="000C24F9">
        <w:rPr>
          <w:rFonts w:ascii="David" w:hAnsi="David" w:cs="David" w:hint="cs"/>
          <w:sz w:val="24"/>
          <w:szCs w:val="24"/>
          <w:rtl/>
        </w:rPr>
        <w:t>לצד עונש זה ובנוסף, שמונה עשר (18) חודשי מאסר</w:t>
      </w:r>
      <w:r w:rsidRPr="000C24F9">
        <w:rPr>
          <w:rFonts w:ascii="David" w:hAnsi="David" w:cs="David"/>
          <w:sz w:val="24"/>
          <w:szCs w:val="24"/>
          <w:rtl/>
        </w:rPr>
        <w:t xml:space="preserve"> </w:t>
      </w:r>
      <w:r w:rsidRPr="00472FD4">
        <w:rPr>
          <w:rFonts w:ascii="David" w:hAnsi="David" w:cs="David"/>
          <w:sz w:val="24"/>
          <w:szCs w:val="24"/>
          <w:rtl/>
        </w:rPr>
        <w:t>אותם לא ירצה אלא אם בתוך שלוש (3) שנים מיום שחרורו ממאסר יעבור עביר</w:t>
      </w:r>
      <w:r>
        <w:rPr>
          <w:rFonts w:ascii="David" w:hAnsi="David" w:cs="David" w:hint="cs"/>
          <w:sz w:val="24"/>
          <w:szCs w:val="24"/>
          <w:rtl/>
        </w:rPr>
        <w:t>ו</w:t>
      </w:r>
      <w:r w:rsidRPr="00472FD4">
        <w:rPr>
          <w:rFonts w:ascii="David" w:hAnsi="David" w:cs="David"/>
          <w:sz w:val="24"/>
          <w:szCs w:val="24"/>
          <w:rtl/>
        </w:rPr>
        <w:t xml:space="preserve">ת </w:t>
      </w:r>
      <w:r>
        <w:rPr>
          <w:rFonts w:ascii="David" w:hAnsi="David" w:cs="David" w:hint="cs"/>
          <w:sz w:val="24"/>
          <w:szCs w:val="24"/>
          <w:rtl/>
        </w:rPr>
        <w:t xml:space="preserve">בנשק </w:t>
      </w:r>
      <w:r w:rsidRPr="00472FD4">
        <w:rPr>
          <w:rFonts w:ascii="David" w:hAnsi="David" w:cs="David"/>
          <w:sz w:val="24"/>
          <w:szCs w:val="24"/>
          <w:rtl/>
        </w:rPr>
        <w:t xml:space="preserve">לפי </w:t>
      </w:r>
      <w:hyperlink r:id="rId78" w:history="1">
        <w:r w:rsidR="000455DF" w:rsidRPr="000455DF">
          <w:rPr>
            <w:rStyle w:val="Hyperlink"/>
            <w:rFonts w:ascii="David" w:hAnsi="David" w:cs="David" w:hint="cs"/>
            <w:sz w:val="24"/>
            <w:szCs w:val="24"/>
            <w:rtl/>
          </w:rPr>
          <w:t>סעיף</w:t>
        </w:r>
        <w:r w:rsidR="000455DF" w:rsidRPr="000455DF">
          <w:rPr>
            <w:rStyle w:val="Hyperlink"/>
            <w:rFonts w:ascii="David" w:hAnsi="David" w:cs="David"/>
            <w:sz w:val="24"/>
            <w:szCs w:val="24"/>
            <w:rtl/>
          </w:rPr>
          <w:t xml:space="preserve"> 144</w:t>
        </w:r>
      </w:hyperlink>
      <w:r w:rsidRPr="00472FD4">
        <w:rPr>
          <w:rFonts w:ascii="David" w:hAnsi="David" w:cs="David"/>
          <w:sz w:val="24"/>
          <w:szCs w:val="24"/>
          <w:rtl/>
        </w:rPr>
        <w:t xml:space="preserve"> ב</w:t>
      </w:r>
      <w:hyperlink r:id="rId79" w:history="1">
        <w:r w:rsidR="006C405F" w:rsidRPr="006C405F">
          <w:rPr>
            <w:rFonts w:ascii="David" w:hAnsi="David" w:cs="David"/>
            <w:color w:val="0000FF"/>
            <w:sz w:val="24"/>
            <w:szCs w:val="24"/>
            <w:u w:val="single"/>
            <w:rtl/>
          </w:rPr>
          <w:t>חוק העונשין</w:t>
        </w:r>
      </w:hyperlink>
      <w:r>
        <w:rPr>
          <w:rFonts w:ascii="David" w:hAnsi="David" w:cs="David" w:hint="cs"/>
          <w:sz w:val="24"/>
          <w:szCs w:val="24"/>
          <w:rtl/>
        </w:rPr>
        <w:t xml:space="preserve">, עבירה של חבלה בכוונה מחמירה לפי </w:t>
      </w:r>
      <w:hyperlink r:id="rId80" w:history="1">
        <w:r w:rsidR="000455DF" w:rsidRPr="000455DF">
          <w:rPr>
            <w:rStyle w:val="Hyperlink"/>
            <w:rFonts w:ascii="David" w:hAnsi="David" w:cs="David" w:hint="cs"/>
            <w:sz w:val="24"/>
            <w:szCs w:val="24"/>
            <w:rtl/>
          </w:rPr>
          <w:t>סעיף</w:t>
        </w:r>
        <w:r w:rsidR="000455DF" w:rsidRPr="000455DF">
          <w:rPr>
            <w:rStyle w:val="Hyperlink"/>
            <w:rFonts w:ascii="David" w:hAnsi="David" w:cs="David"/>
            <w:sz w:val="24"/>
            <w:szCs w:val="24"/>
            <w:rtl/>
          </w:rPr>
          <w:t xml:space="preserve"> 329</w:t>
        </w:r>
      </w:hyperlink>
      <w:r>
        <w:rPr>
          <w:rFonts w:ascii="David" w:hAnsi="David" w:cs="David" w:hint="cs"/>
          <w:sz w:val="24"/>
          <w:szCs w:val="24"/>
          <w:rtl/>
        </w:rPr>
        <w:t xml:space="preserve"> בחוק העונשין או עבירה של הצתה לפי </w:t>
      </w:r>
      <w:hyperlink r:id="rId81" w:history="1">
        <w:r w:rsidR="000455DF" w:rsidRPr="000455DF">
          <w:rPr>
            <w:rStyle w:val="Hyperlink"/>
            <w:rFonts w:ascii="David" w:hAnsi="David" w:cs="David" w:hint="cs"/>
            <w:sz w:val="24"/>
            <w:szCs w:val="24"/>
            <w:rtl/>
          </w:rPr>
          <w:t>סעיף</w:t>
        </w:r>
        <w:r w:rsidR="000455DF" w:rsidRPr="000455DF">
          <w:rPr>
            <w:rStyle w:val="Hyperlink"/>
            <w:rFonts w:ascii="David" w:hAnsi="David" w:cs="David"/>
            <w:sz w:val="24"/>
            <w:szCs w:val="24"/>
            <w:rtl/>
          </w:rPr>
          <w:t xml:space="preserve"> 448</w:t>
        </w:r>
      </w:hyperlink>
      <w:r>
        <w:rPr>
          <w:rFonts w:ascii="David" w:hAnsi="David" w:cs="David" w:hint="cs"/>
          <w:sz w:val="24"/>
          <w:szCs w:val="24"/>
          <w:rtl/>
        </w:rPr>
        <w:t xml:space="preserve"> בחוק העונשין.</w:t>
      </w:r>
    </w:p>
    <w:p w14:paraId="3CF17311" w14:textId="77777777" w:rsidR="0052142F" w:rsidRDefault="0052142F" w:rsidP="0052142F">
      <w:pPr>
        <w:pStyle w:val="a9"/>
        <w:widowControl w:val="0"/>
        <w:spacing w:line="360" w:lineRule="auto"/>
        <w:ind w:left="1440" w:hanging="720"/>
        <w:jc w:val="both"/>
        <w:rPr>
          <w:rFonts w:ascii="David" w:hAnsi="David" w:cs="David"/>
          <w:sz w:val="24"/>
          <w:szCs w:val="24"/>
          <w:rtl/>
        </w:rPr>
      </w:pPr>
    </w:p>
    <w:p w14:paraId="15D815D4" w14:textId="77777777" w:rsidR="0052142F" w:rsidRDefault="0052142F" w:rsidP="0052142F">
      <w:pPr>
        <w:pStyle w:val="a9"/>
        <w:widowControl w:val="0"/>
        <w:spacing w:line="360" w:lineRule="auto"/>
        <w:ind w:left="1440" w:hanging="720"/>
        <w:jc w:val="both"/>
        <w:rPr>
          <w:rFonts w:ascii="David" w:hAnsi="David" w:cs="David"/>
          <w:sz w:val="24"/>
          <w:szCs w:val="24"/>
          <w:rtl/>
        </w:rPr>
      </w:pPr>
      <w:r>
        <w:rPr>
          <w:rFonts w:ascii="David" w:hAnsi="David" w:cs="David" w:hint="cs"/>
          <w:sz w:val="24"/>
          <w:szCs w:val="24"/>
          <w:rtl/>
        </w:rPr>
        <w:t>ג.</w:t>
      </w:r>
      <w:r>
        <w:rPr>
          <w:rFonts w:ascii="David" w:hAnsi="David" w:cs="David" w:hint="cs"/>
          <w:sz w:val="24"/>
          <w:szCs w:val="24"/>
          <w:rtl/>
        </w:rPr>
        <w:tab/>
        <w:t xml:space="preserve">שישה (6) חודשי מאסר </w:t>
      </w:r>
      <w:r w:rsidRPr="00472FD4">
        <w:rPr>
          <w:rFonts w:ascii="David" w:hAnsi="David" w:cs="David"/>
          <w:sz w:val="24"/>
          <w:szCs w:val="24"/>
          <w:rtl/>
        </w:rPr>
        <w:t>אותם לא ירצה אלא אם בתוך שלוש (3) שנים מיום שחרורו ממאסר</w:t>
      </w:r>
      <w:r>
        <w:rPr>
          <w:rFonts w:ascii="David" w:hAnsi="David" w:cs="David" w:hint="cs"/>
          <w:sz w:val="24"/>
          <w:szCs w:val="24"/>
          <w:rtl/>
        </w:rPr>
        <w:t xml:space="preserve"> יעבור עבירות של הפרעה לשוטר לפי </w:t>
      </w:r>
      <w:hyperlink r:id="rId82" w:history="1">
        <w:r w:rsidR="000455DF" w:rsidRPr="000455DF">
          <w:rPr>
            <w:rStyle w:val="Hyperlink"/>
            <w:rFonts w:ascii="David" w:hAnsi="David" w:cs="David" w:hint="cs"/>
            <w:sz w:val="24"/>
            <w:szCs w:val="24"/>
            <w:rtl/>
          </w:rPr>
          <w:t>סעיף</w:t>
        </w:r>
        <w:r w:rsidR="000455DF" w:rsidRPr="000455DF">
          <w:rPr>
            <w:rStyle w:val="Hyperlink"/>
            <w:rFonts w:ascii="David" w:hAnsi="David" w:cs="David"/>
            <w:sz w:val="24"/>
            <w:szCs w:val="24"/>
            <w:rtl/>
          </w:rPr>
          <w:t xml:space="preserve"> 275</w:t>
        </w:r>
      </w:hyperlink>
      <w:r>
        <w:rPr>
          <w:rFonts w:ascii="David" w:hAnsi="David" w:cs="David" w:hint="cs"/>
          <w:sz w:val="24"/>
          <w:szCs w:val="24"/>
          <w:rtl/>
        </w:rPr>
        <w:t xml:space="preserve"> ב</w:t>
      </w:r>
      <w:hyperlink r:id="rId83" w:history="1">
        <w:r w:rsidR="006C405F" w:rsidRPr="006C405F">
          <w:rPr>
            <w:rFonts w:ascii="David" w:hAnsi="David" w:cs="David"/>
            <w:color w:val="0000FF"/>
            <w:sz w:val="24"/>
            <w:szCs w:val="24"/>
            <w:u w:val="single"/>
            <w:rtl/>
          </w:rPr>
          <w:t>חוק העונשין</w:t>
        </w:r>
      </w:hyperlink>
      <w:r>
        <w:rPr>
          <w:rFonts w:ascii="David" w:hAnsi="David" w:cs="David" w:hint="cs"/>
          <w:sz w:val="24"/>
          <w:szCs w:val="24"/>
          <w:rtl/>
        </w:rPr>
        <w:t xml:space="preserve">; ירי מנשק חם לפי </w:t>
      </w:r>
      <w:hyperlink r:id="rId84" w:history="1">
        <w:r w:rsidR="000455DF" w:rsidRPr="000455DF">
          <w:rPr>
            <w:rStyle w:val="Hyperlink"/>
            <w:rFonts w:ascii="David" w:hAnsi="David" w:cs="David" w:hint="cs"/>
            <w:sz w:val="24"/>
            <w:szCs w:val="24"/>
            <w:rtl/>
          </w:rPr>
          <w:t>סעיף</w:t>
        </w:r>
        <w:r w:rsidR="000455DF" w:rsidRPr="000455DF">
          <w:rPr>
            <w:rStyle w:val="Hyperlink"/>
            <w:rFonts w:ascii="David" w:hAnsi="David" w:cs="David"/>
            <w:sz w:val="24"/>
            <w:szCs w:val="24"/>
            <w:rtl/>
          </w:rPr>
          <w:t xml:space="preserve"> 340</w:t>
        </w:r>
      </w:hyperlink>
      <w:r>
        <w:rPr>
          <w:rFonts w:ascii="David" w:hAnsi="David" w:cs="David" w:hint="cs"/>
          <w:sz w:val="24"/>
          <w:szCs w:val="24"/>
          <w:rtl/>
        </w:rPr>
        <w:t xml:space="preserve"> בחוק העונשין; שיבוש מהלכי משפט לפי </w:t>
      </w:r>
      <w:hyperlink r:id="rId85" w:history="1">
        <w:r w:rsidR="000455DF" w:rsidRPr="000455DF">
          <w:rPr>
            <w:rStyle w:val="Hyperlink"/>
            <w:rFonts w:ascii="David" w:hAnsi="David" w:cs="David" w:hint="cs"/>
            <w:sz w:val="24"/>
            <w:szCs w:val="24"/>
            <w:rtl/>
          </w:rPr>
          <w:t>סעיף</w:t>
        </w:r>
        <w:r w:rsidR="000455DF" w:rsidRPr="000455DF">
          <w:rPr>
            <w:rStyle w:val="Hyperlink"/>
            <w:rFonts w:ascii="David" w:hAnsi="David" w:cs="David"/>
            <w:sz w:val="24"/>
            <w:szCs w:val="24"/>
            <w:rtl/>
          </w:rPr>
          <w:t xml:space="preserve"> 244</w:t>
        </w:r>
      </w:hyperlink>
      <w:r>
        <w:rPr>
          <w:rFonts w:ascii="David" w:hAnsi="David" w:cs="David" w:hint="cs"/>
          <w:sz w:val="24"/>
          <w:szCs w:val="24"/>
          <w:rtl/>
        </w:rPr>
        <w:t xml:space="preserve"> בחוק העונשין או שימוש ברכב ללא רשות לפי </w:t>
      </w:r>
      <w:hyperlink r:id="rId86" w:history="1">
        <w:r w:rsidR="000455DF" w:rsidRPr="000455DF">
          <w:rPr>
            <w:rStyle w:val="Hyperlink"/>
            <w:rFonts w:ascii="David" w:hAnsi="David" w:cs="David" w:hint="cs"/>
            <w:sz w:val="24"/>
            <w:szCs w:val="24"/>
            <w:rtl/>
          </w:rPr>
          <w:t>סעיף</w:t>
        </w:r>
        <w:r w:rsidR="000455DF" w:rsidRPr="000455DF">
          <w:rPr>
            <w:rStyle w:val="Hyperlink"/>
            <w:rFonts w:ascii="David" w:hAnsi="David" w:cs="David"/>
            <w:sz w:val="24"/>
            <w:szCs w:val="24"/>
            <w:rtl/>
          </w:rPr>
          <w:t xml:space="preserve"> 413ג</w:t>
        </w:r>
      </w:hyperlink>
      <w:r>
        <w:rPr>
          <w:rFonts w:ascii="David" w:hAnsi="David" w:cs="David" w:hint="cs"/>
          <w:sz w:val="24"/>
          <w:szCs w:val="24"/>
          <w:rtl/>
        </w:rPr>
        <w:t xml:space="preserve"> בחוק העונשין.</w:t>
      </w:r>
    </w:p>
    <w:p w14:paraId="1DCA1C1E" w14:textId="77777777" w:rsidR="0052142F" w:rsidRDefault="0052142F" w:rsidP="0052142F">
      <w:pPr>
        <w:pStyle w:val="a9"/>
        <w:widowControl w:val="0"/>
        <w:spacing w:line="360" w:lineRule="auto"/>
        <w:ind w:left="1440" w:hanging="720"/>
        <w:jc w:val="both"/>
        <w:rPr>
          <w:rFonts w:ascii="David" w:hAnsi="David" w:cs="David"/>
          <w:sz w:val="24"/>
          <w:szCs w:val="24"/>
          <w:rtl/>
        </w:rPr>
      </w:pPr>
    </w:p>
    <w:p w14:paraId="6DA563EB" w14:textId="77777777" w:rsidR="0052142F" w:rsidRDefault="0052142F" w:rsidP="0052142F">
      <w:pPr>
        <w:pStyle w:val="a9"/>
        <w:widowControl w:val="0"/>
        <w:spacing w:line="360" w:lineRule="auto"/>
        <w:ind w:left="1440" w:hanging="720"/>
        <w:jc w:val="both"/>
        <w:rPr>
          <w:rFonts w:ascii="David" w:hAnsi="David" w:cs="David"/>
          <w:sz w:val="24"/>
          <w:szCs w:val="24"/>
          <w:rtl/>
        </w:rPr>
      </w:pPr>
      <w:r>
        <w:rPr>
          <w:rFonts w:ascii="David" w:hAnsi="David" w:cs="David" w:hint="cs"/>
          <w:sz w:val="24"/>
          <w:szCs w:val="24"/>
          <w:rtl/>
        </w:rPr>
        <w:t>ד.</w:t>
      </w:r>
      <w:r>
        <w:rPr>
          <w:rFonts w:ascii="David" w:hAnsi="David" w:cs="David" w:hint="cs"/>
          <w:sz w:val="24"/>
          <w:szCs w:val="24"/>
          <w:rtl/>
        </w:rPr>
        <w:tab/>
        <w:t>קנס של עשרת אלפים שקלים (10,000 ₪), שישולם עד יום 01.12.2022 או חודשיים מאסר נוספים תמורתו.</w:t>
      </w:r>
    </w:p>
    <w:p w14:paraId="7CF710F9" w14:textId="77777777" w:rsidR="0052142F" w:rsidRDefault="0052142F" w:rsidP="0052142F">
      <w:pPr>
        <w:pStyle w:val="a9"/>
        <w:widowControl w:val="0"/>
        <w:spacing w:line="360" w:lineRule="auto"/>
        <w:ind w:left="1440" w:hanging="720"/>
        <w:jc w:val="both"/>
        <w:rPr>
          <w:rFonts w:ascii="David" w:hAnsi="David" w:cs="David"/>
          <w:sz w:val="24"/>
          <w:szCs w:val="24"/>
          <w:rtl/>
        </w:rPr>
      </w:pPr>
    </w:p>
    <w:p w14:paraId="2D532229" w14:textId="77777777" w:rsidR="0052142F" w:rsidRDefault="0052142F" w:rsidP="0052142F">
      <w:pPr>
        <w:pStyle w:val="a9"/>
        <w:widowControl w:val="0"/>
        <w:spacing w:line="360" w:lineRule="auto"/>
        <w:ind w:left="1440" w:hanging="720"/>
        <w:jc w:val="both"/>
        <w:rPr>
          <w:rFonts w:ascii="David" w:hAnsi="David" w:cs="David"/>
          <w:sz w:val="24"/>
          <w:szCs w:val="24"/>
          <w:rtl/>
        </w:rPr>
      </w:pPr>
      <w:r>
        <w:rPr>
          <w:rFonts w:ascii="David" w:hAnsi="David" w:cs="David" w:hint="cs"/>
          <w:sz w:val="24"/>
          <w:szCs w:val="24"/>
          <w:rtl/>
        </w:rPr>
        <w:t>ה.</w:t>
      </w:r>
      <w:r>
        <w:rPr>
          <w:rFonts w:ascii="David" w:hAnsi="David" w:cs="David" w:hint="cs"/>
          <w:sz w:val="24"/>
          <w:szCs w:val="24"/>
          <w:rtl/>
        </w:rPr>
        <w:tab/>
        <w:t xml:space="preserve">פיצוי לבעל בית הקפה מ.ב. בסך חמשת אלפים שקלים (5,000 ₪), אשר ישולם עד יום 01.03.2022. </w:t>
      </w:r>
      <w:r w:rsidRPr="009A4805">
        <w:rPr>
          <w:rFonts w:ascii="David" w:hAnsi="David" w:cs="David"/>
          <w:sz w:val="24"/>
          <w:szCs w:val="24"/>
          <w:rtl/>
        </w:rPr>
        <w:t xml:space="preserve"> </w:t>
      </w:r>
      <w:r>
        <w:rPr>
          <w:rFonts w:ascii="David" w:hAnsi="David" w:cs="David" w:hint="cs"/>
          <w:sz w:val="24"/>
          <w:szCs w:val="24"/>
          <w:rtl/>
        </w:rPr>
        <w:t xml:space="preserve">ב"כ </w:t>
      </w:r>
      <w:r w:rsidRPr="009A4805">
        <w:rPr>
          <w:rFonts w:ascii="David" w:hAnsi="David" w:cs="David"/>
          <w:sz w:val="24"/>
          <w:szCs w:val="24"/>
          <w:rtl/>
        </w:rPr>
        <w:t xml:space="preserve">המאשימה </w:t>
      </w:r>
      <w:r>
        <w:rPr>
          <w:rFonts w:ascii="David" w:hAnsi="David" w:cs="David" w:hint="cs"/>
          <w:sz w:val="24"/>
          <w:szCs w:val="24"/>
          <w:rtl/>
        </w:rPr>
        <w:t>ת</w:t>
      </w:r>
      <w:r w:rsidRPr="009A4805">
        <w:rPr>
          <w:rFonts w:ascii="David" w:hAnsi="David" w:cs="David"/>
          <w:sz w:val="24"/>
          <w:szCs w:val="24"/>
          <w:rtl/>
        </w:rPr>
        <w:t xml:space="preserve">ודיע </w:t>
      </w:r>
      <w:r>
        <w:rPr>
          <w:rFonts w:ascii="David" w:hAnsi="David" w:cs="David" w:hint="cs"/>
          <w:sz w:val="24"/>
          <w:szCs w:val="24"/>
          <w:rtl/>
        </w:rPr>
        <w:t>לזכאי</w:t>
      </w:r>
      <w:r w:rsidRPr="009A4805">
        <w:rPr>
          <w:rFonts w:ascii="David" w:hAnsi="David" w:cs="David"/>
          <w:sz w:val="24"/>
          <w:szCs w:val="24"/>
          <w:rtl/>
        </w:rPr>
        <w:t xml:space="preserve"> על זכאות</w:t>
      </w:r>
      <w:r>
        <w:rPr>
          <w:rFonts w:ascii="David" w:hAnsi="David" w:cs="David" w:hint="cs"/>
          <w:sz w:val="24"/>
          <w:szCs w:val="24"/>
          <w:rtl/>
        </w:rPr>
        <w:t>ו</w:t>
      </w:r>
      <w:r w:rsidRPr="009A4805">
        <w:rPr>
          <w:rFonts w:ascii="David" w:hAnsi="David" w:cs="David"/>
          <w:sz w:val="24"/>
          <w:szCs w:val="24"/>
          <w:rtl/>
        </w:rPr>
        <w:t xml:space="preserve"> </w:t>
      </w:r>
      <w:r>
        <w:rPr>
          <w:rFonts w:ascii="David" w:hAnsi="David" w:cs="David" w:hint="cs"/>
          <w:sz w:val="24"/>
          <w:szCs w:val="24"/>
          <w:rtl/>
        </w:rPr>
        <w:t>לפי פסק הדין</w:t>
      </w:r>
      <w:r w:rsidRPr="009A4805">
        <w:rPr>
          <w:rFonts w:ascii="David" w:hAnsi="David" w:cs="David"/>
          <w:sz w:val="24"/>
          <w:szCs w:val="24"/>
          <w:rtl/>
        </w:rPr>
        <w:t xml:space="preserve"> כאמור.</w:t>
      </w:r>
    </w:p>
    <w:p w14:paraId="6952428D" w14:textId="77777777" w:rsidR="0052142F" w:rsidRDefault="0052142F" w:rsidP="0052142F">
      <w:pPr>
        <w:pStyle w:val="a9"/>
        <w:widowControl w:val="0"/>
        <w:spacing w:line="360" w:lineRule="auto"/>
        <w:ind w:left="1440" w:hanging="720"/>
        <w:jc w:val="both"/>
        <w:rPr>
          <w:rFonts w:ascii="David" w:hAnsi="David" w:cs="David"/>
          <w:sz w:val="24"/>
          <w:szCs w:val="24"/>
          <w:rtl/>
        </w:rPr>
      </w:pPr>
    </w:p>
    <w:p w14:paraId="13D01C41" w14:textId="77777777" w:rsidR="0052142F" w:rsidRDefault="006C405F" w:rsidP="0052142F">
      <w:pPr>
        <w:spacing w:line="360" w:lineRule="auto"/>
        <w:jc w:val="both"/>
        <w:rPr>
          <w:rFonts w:ascii="Arial" w:hAnsi="Arial"/>
          <w:b/>
          <w:bCs/>
          <w:rtl/>
        </w:rPr>
      </w:pPr>
      <w:bookmarkStart w:id="7" w:name="Nitan"/>
      <w:r>
        <w:rPr>
          <w:rFonts w:ascii="Arial" w:hAnsi="Arial"/>
          <w:b/>
          <w:bCs/>
          <w:rtl/>
        </w:rPr>
        <w:t xml:space="preserve">ניתן היום,  ו' אב תשפ"ב, 03 אוגוסט 2022, במעמד ב"כ המאשימה: עו"ד יניב זוהר, ב"כ </w:t>
      </w:r>
      <w:bookmarkEnd w:id="7"/>
      <w:r w:rsidR="0052142F">
        <w:rPr>
          <w:rFonts w:ascii="Arial" w:hAnsi="Arial" w:hint="cs"/>
          <w:b/>
          <w:bCs/>
          <w:rtl/>
        </w:rPr>
        <w:t xml:space="preserve">הנאשמים: עו"ד שלומי שרון והנאשמים באמצעות הליווי </w:t>
      </w:r>
    </w:p>
    <w:p w14:paraId="31D894D9" w14:textId="77777777" w:rsidR="0052142F" w:rsidRDefault="0052142F" w:rsidP="0052142F">
      <w:pPr>
        <w:spacing w:line="360" w:lineRule="auto"/>
        <w:jc w:val="both"/>
        <w:rPr>
          <w:rFonts w:ascii="Arial" w:hAnsi="Arial"/>
          <w:b/>
          <w:bCs/>
          <w:rtl/>
        </w:rPr>
      </w:pPr>
    </w:p>
    <w:p w14:paraId="5CD31B40" w14:textId="77777777" w:rsidR="0052142F" w:rsidRPr="00D0552B" w:rsidRDefault="0052142F" w:rsidP="0052142F">
      <w:pPr>
        <w:spacing w:line="360" w:lineRule="auto"/>
        <w:jc w:val="both"/>
        <w:rPr>
          <w:rFonts w:ascii="Arial" w:hAnsi="Arial"/>
          <w:b/>
          <w:bCs/>
        </w:rPr>
      </w:pPr>
      <w:r>
        <w:rPr>
          <w:rFonts w:ascii="Arial" w:hAnsi="Arial" w:hint="cs"/>
          <w:b/>
          <w:bCs/>
          <w:rtl/>
        </w:rPr>
        <w:t xml:space="preserve">אני מתיר לנאשם 1 לחבק את בנו הקטן. </w:t>
      </w:r>
    </w:p>
    <w:p w14:paraId="29C95EF6" w14:textId="77777777" w:rsidR="0052142F" w:rsidRDefault="0052142F" w:rsidP="0052142F">
      <w:pPr>
        <w:widowControl w:val="0"/>
        <w:spacing w:line="360" w:lineRule="auto"/>
        <w:jc w:val="both"/>
        <w:rPr>
          <w:rFonts w:ascii="David" w:hAnsi="David"/>
          <w:rtl/>
        </w:rPr>
      </w:pPr>
      <w:r>
        <w:rPr>
          <w:rFonts w:ascii="David" w:hAnsi="David" w:hint="cs"/>
          <w:rtl/>
        </w:rPr>
        <w:t xml:space="preserve"> </w:t>
      </w:r>
    </w:p>
    <w:p w14:paraId="2D4CCEBF" w14:textId="77777777" w:rsidR="0052142F" w:rsidRDefault="0052142F" w:rsidP="0052142F">
      <w:pPr>
        <w:widowControl w:val="0"/>
        <w:spacing w:line="360" w:lineRule="auto"/>
        <w:jc w:val="both"/>
        <w:rPr>
          <w:rFonts w:ascii="David" w:hAnsi="David"/>
          <w:rtl/>
        </w:rPr>
      </w:pPr>
      <w:r w:rsidRPr="00281C05">
        <w:rPr>
          <w:rFonts w:ascii="David" w:hAnsi="David" w:hint="cs"/>
          <w:b/>
          <w:bCs/>
          <w:u w:val="single"/>
          <w:rtl/>
        </w:rPr>
        <w:t>הצדדים קיבלו עותקי גזר הדין</w:t>
      </w:r>
      <w:r w:rsidRPr="00887FBD">
        <w:rPr>
          <w:rFonts w:ascii="David" w:hAnsi="David" w:hint="cs"/>
          <w:rtl/>
        </w:rPr>
        <w:t xml:space="preserve">. </w:t>
      </w:r>
    </w:p>
    <w:p w14:paraId="76A444E2" w14:textId="77777777" w:rsidR="0052142F" w:rsidRPr="006C405F" w:rsidRDefault="006C405F" w:rsidP="0052142F">
      <w:pPr>
        <w:widowControl w:val="0"/>
        <w:spacing w:line="360" w:lineRule="auto"/>
        <w:jc w:val="both"/>
        <w:rPr>
          <w:rFonts w:ascii="David" w:hAnsi="David"/>
          <w:color w:val="FFFFFF"/>
          <w:sz w:val="2"/>
          <w:szCs w:val="2"/>
          <w:rtl/>
        </w:rPr>
      </w:pPr>
      <w:r w:rsidRPr="006C405F">
        <w:rPr>
          <w:rFonts w:ascii="David" w:hAnsi="David"/>
          <w:color w:val="FFFFFF"/>
          <w:sz w:val="2"/>
          <w:szCs w:val="2"/>
          <w:rtl/>
        </w:rPr>
        <w:t>5129371</w:t>
      </w:r>
    </w:p>
    <w:p w14:paraId="16F38798" w14:textId="77777777" w:rsidR="0052142F" w:rsidRPr="000F2247" w:rsidRDefault="006C405F" w:rsidP="0052142F">
      <w:pPr>
        <w:rPr>
          <w:rFonts w:ascii="Arial" w:hAnsi="Arial"/>
          <w:b/>
          <w:bCs/>
          <w:sz w:val="26"/>
          <w:szCs w:val="26"/>
          <w:rtl/>
        </w:rPr>
      </w:pPr>
      <w:r w:rsidRPr="006C405F">
        <w:rPr>
          <w:rFonts w:ascii="David" w:hAnsi="David"/>
          <w:b/>
          <w:bCs/>
          <w:color w:val="FFFFFF"/>
          <w:sz w:val="2"/>
          <w:szCs w:val="2"/>
          <w:rtl/>
        </w:rPr>
        <w:t>54678313</w:t>
      </w:r>
      <w:r>
        <w:rPr>
          <w:rFonts w:ascii="David" w:hAnsi="David"/>
          <w:b/>
          <w:bCs/>
          <w:rtl/>
        </w:rPr>
        <w:t xml:space="preserve">זכות ערעור כחוק מהיום, הודעה. </w:t>
      </w:r>
    </w:p>
    <w:p w14:paraId="17A57E81" w14:textId="77777777" w:rsidR="0052142F" w:rsidRPr="000F2247" w:rsidRDefault="0052142F" w:rsidP="0052142F">
      <w:pPr>
        <w:rPr>
          <w:rFonts w:ascii="Arial" w:hAnsi="Arial"/>
          <w:b/>
          <w:bCs/>
          <w:sz w:val="26"/>
          <w:szCs w:val="26"/>
          <w:rtl/>
        </w:rPr>
      </w:pPr>
    </w:p>
    <w:p w14:paraId="42F2DBC0" w14:textId="77777777" w:rsidR="0052142F" w:rsidRPr="000F2247" w:rsidRDefault="0052142F" w:rsidP="0052142F">
      <w:pPr>
        <w:rPr>
          <w:rFonts w:ascii="Arial" w:hAnsi="Arial"/>
          <w:b/>
          <w:bCs/>
          <w:sz w:val="26"/>
          <w:szCs w:val="26"/>
          <w:rtl/>
        </w:rPr>
      </w:pPr>
    </w:p>
    <w:p w14:paraId="79E53A20" w14:textId="77777777" w:rsidR="0052142F" w:rsidRPr="000F2247" w:rsidRDefault="0052142F" w:rsidP="006C405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9F3D49C" w14:textId="77777777" w:rsidR="0052142F" w:rsidRPr="000455DF" w:rsidRDefault="000455DF" w:rsidP="0052142F">
      <w:pPr>
        <w:jc w:val="center"/>
        <w:rPr>
          <w:rFonts w:ascii="Arial" w:hAnsi="Arial"/>
          <w:b/>
          <w:bCs/>
          <w:color w:val="FFFFFF"/>
          <w:sz w:val="2"/>
          <w:szCs w:val="2"/>
          <w:rtl/>
        </w:rPr>
      </w:pPr>
      <w:r w:rsidRPr="000455DF">
        <w:rPr>
          <w:rFonts w:ascii="Arial" w:hAnsi="Arial"/>
          <w:b/>
          <w:bCs/>
          <w:color w:val="FFFFFF"/>
          <w:sz w:val="2"/>
          <w:szCs w:val="2"/>
          <w:rtl/>
        </w:rPr>
        <w:t>5129371</w:t>
      </w:r>
    </w:p>
    <w:p w14:paraId="4A304F98" w14:textId="77777777" w:rsidR="007103F2" w:rsidRPr="000455DF" w:rsidRDefault="000455DF" w:rsidP="006C405F">
      <w:pPr>
        <w:keepNext/>
        <w:rPr>
          <w:rFonts w:ascii="David" w:hAnsi="David"/>
          <w:color w:val="FFFFFF"/>
          <w:sz w:val="2"/>
          <w:szCs w:val="2"/>
          <w:rtl/>
        </w:rPr>
      </w:pPr>
      <w:r w:rsidRPr="000455DF">
        <w:rPr>
          <w:rFonts w:ascii="David" w:hAnsi="David"/>
          <w:color w:val="FFFFFF"/>
          <w:sz w:val="2"/>
          <w:szCs w:val="2"/>
          <w:rtl/>
        </w:rPr>
        <w:t>54678313</w:t>
      </w:r>
    </w:p>
    <w:p w14:paraId="3A6A5BC7" w14:textId="77777777" w:rsidR="006C405F" w:rsidRPr="006C405F" w:rsidRDefault="006C405F" w:rsidP="006C405F">
      <w:pPr>
        <w:keepNext/>
        <w:rPr>
          <w:rFonts w:ascii="David" w:hAnsi="David"/>
          <w:color w:val="000000"/>
          <w:sz w:val="22"/>
          <w:szCs w:val="22"/>
          <w:rtl/>
        </w:rPr>
      </w:pPr>
      <w:r w:rsidRPr="006C405F">
        <w:rPr>
          <w:rFonts w:ascii="David" w:hAnsi="David"/>
          <w:color w:val="000000"/>
          <w:sz w:val="22"/>
          <w:szCs w:val="22"/>
          <w:rtl/>
        </w:rPr>
        <w:t>ארז פורת 54678313</w:t>
      </w:r>
    </w:p>
    <w:p w14:paraId="1D4FA7CE" w14:textId="77777777" w:rsidR="006C405F" w:rsidRDefault="006C405F" w:rsidP="006C405F">
      <w:r w:rsidRPr="006C405F">
        <w:rPr>
          <w:color w:val="000000"/>
          <w:rtl/>
        </w:rPr>
        <w:t>נוסח מסמך זה כפוף לשינויי ניסוח ועריכה</w:t>
      </w:r>
    </w:p>
    <w:p w14:paraId="13E53A64" w14:textId="77777777" w:rsidR="006C405F" w:rsidRDefault="006C405F" w:rsidP="006C405F">
      <w:pPr>
        <w:rPr>
          <w:rtl/>
        </w:rPr>
      </w:pPr>
    </w:p>
    <w:p w14:paraId="5BFDDCC7" w14:textId="77777777" w:rsidR="006C405F" w:rsidRDefault="006C405F" w:rsidP="006C405F">
      <w:pPr>
        <w:jc w:val="center"/>
        <w:rPr>
          <w:color w:val="0000FF"/>
          <w:u w:val="single"/>
        </w:rPr>
      </w:pPr>
      <w:hyperlink r:id="rId87" w:history="1">
        <w:r>
          <w:rPr>
            <w:color w:val="0000FF"/>
            <w:u w:val="single"/>
            <w:rtl/>
          </w:rPr>
          <w:t>בעניין עריכה ושינויים במסמכי פסיקה, חקיקה ועוד באתר נבו – הקש כאן</w:t>
        </w:r>
      </w:hyperlink>
    </w:p>
    <w:p w14:paraId="350B9EF4" w14:textId="77777777" w:rsidR="000455DF" w:rsidRPr="000455DF" w:rsidRDefault="000455DF" w:rsidP="000455DF">
      <w:pPr>
        <w:keepNext/>
        <w:rPr>
          <w:rFonts w:ascii="David" w:hAnsi="David"/>
          <w:color w:val="000000"/>
          <w:sz w:val="22"/>
          <w:szCs w:val="22"/>
          <w:rtl/>
        </w:rPr>
      </w:pPr>
    </w:p>
    <w:sectPr w:rsidR="000455DF" w:rsidRPr="000455DF" w:rsidSect="000455DF">
      <w:headerReference w:type="even" r:id="rId88"/>
      <w:headerReference w:type="default" r:id="rId89"/>
      <w:footerReference w:type="even" r:id="rId90"/>
      <w:footerReference w:type="default" r:id="rId9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AD1A0" w14:textId="77777777" w:rsidR="00346FFE" w:rsidRDefault="00346FFE" w:rsidP="007D13C1">
      <w:r>
        <w:separator/>
      </w:r>
    </w:p>
  </w:endnote>
  <w:endnote w:type="continuationSeparator" w:id="0">
    <w:p w14:paraId="3D89D169" w14:textId="77777777" w:rsidR="00346FFE" w:rsidRDefault="00346FFE" w:rsidP="007D1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5B44F" w14:textId="77777777" w:rsidR="000455DF" w:rsidRDefault="000455DF" w:rsidP="000455D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2330866" w14:textId="77777777" w:rsidR="00C60558" w:rsidRPr="000455DF" w:rsidRDefault="000455DF" w:rsidP="000455DF">
    <w:pPr>
      <w:pStyle w:val="a5"/>
      <w:pBdr>
        <w:top w:val="single" w:sz="4" w:space="1" w:color="auto"/>
        <w:between w:val="single" w:sz="4" w:space="0" w:color="auto"/>
      </w:pBdr>
      <w:spacing w:after="60"/>
      <w:jc w:val="center"/>
      <w:rPr>
        <w:rFonts w:ascii="FrankRuehl" w:hAnsi="FrankRuehl" w:cs="FrankRuehl"/>
        <w:color w:val="000000"/>
      </w:rPr>
    </w:pPr>
    <w:r w:rsidRPr="000455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08CF0" w14:textId="77777777" w:rsidR="000455DF" w:rsidRDefault="000455DF" w:rsidP="000455D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7736C">
      <w:rPr>
        <w:rFonts w:ascii="FrankRuehl" w:hAnsi="FrankRuehl" w:cs="FrankRuehl"/>
        <w:noProof/>
        <w:rtl/>
      </w:rPr>
      <w:t>1</w:t>
    </w:r>
    <w:r>
      <w:rPr>
        <w:rFonts w:ascii="FrankRuehl" w:hAnsi="FrankRuehl" w:cs="FrankRuehl"/>
        <w:rtl/>
      </w:rPr>
      <w:fldChar w:fldCharType="end"/>
    </w:r>
  </w:p>
  <w:p w14:paraId="78ABB172" w14:textId="77777777" w:rsidR="00C60558" w:rsidRPr="000455DF" w:rsidRDefault="000455DF" w:rsidP="000455DF">
    <w:pPr>
      <w:pStyle w:val="a5"/>
      <w:pBdr>
        <w:top w:val="single" w:sz="4" w:space="1" w:color="auto"/>
        <w:between w:val="single" w:sz="4" w:space="0" w:color="auto"/>
      </w:pBdr>
      <w:spacing w:after="60"/>
      <w:jc w:val="center"/>
      <w:rPr>
        <w:rFonts w:ascii="FrankRuehl" w:hAnsi="FrankRuehl" w:cs="FrankRuehl"/>
        <w:color w:val="000000"/>
      </w:rPr>
    </w:pPr>
    <w:r w:rsidRPr="000455DF">
      <w:rPr>
        <w:rFonts w:ascii="FrankRuehl" w:hAnsi="FrankRuehl" w:cs="FrankRuehl"/>
        <w:color w:val="000000"/>
      </w:rPr>
      <w:pict w14:anchorId="041370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5BD9E" w14:textId="77777777" w:rsidR="00346FFE" w:rsidRDefault="00346FFE" w:rsidP="007D13C1">
      <w:r>
        <w:separator/>
      </w:r>
    </w:p>
  </w:footnote>
  <w:footnote w:type="continuationSeparator" w:id="0">
    <w:p w14:paraId="396DBF09" w14:textId="77777777" w:rsidR="00346FFE" w:rsidRDefault="00346FFE" w:rsidP="007D1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35A15" w14:textId="77777777" w:rsidR="006C405F" w:rsidRPr="000455DF" w:rsidRDefault="000455DF" w:rsidP="000455D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24361-06-21</w:t>
    </w:r>
    <w:r>
      <w:rPr>
        <w:rFonts w:ascii="David" w:hAnsi="David"/>
        <w:color w:val="000000"/>
        <w:sz w:val="22"/>
        <w:szCs w:val="22"/>
        <w:rtl/>
      </w:rPr>
      <w:tab/>
      <w:t xml:space="preserve"> מדינת ישראל נ' מחמד חסארמה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3193B" w14:textId="77777777" w:rsidR="006C405F" w:rsidRPr="000455DF" w:rsidRDefault="000455DF" w:rsidP="000455D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24361-06-21</w:t>
    </w:r>
    <w:r>
      <w:rPr>
        <w:rFonts w:ascii="David" w:hAnsi="David"/>
        <w:color w:val="000000"/>
        <w:sz w:val="22"/>
        <w:szCs w:val="22"/>
        <w:rtl/>
      </w:rPr>
      <w:tab/>
      <w:t xml:space="preserve"> מדינת ישראל נ' מחמד חסארמה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2142F"/>
    <w:rsid w:val="000455DF"/>
    <w:rsid w:val="00187A2B"/>
    <w:rsid w:val="001B5A3B"/>
    <w:rsid w:val="0027736C"/>
    <w:rsid w:val="002C5273"/>
    <w:rsid w:val="00346FFE"/>
    <w:rsid w:val="0052142F"/>
    <w:rsid w:val="006C405F"/>
    <w:rsid w:val="007103F2"/>
    <w:rsid w:val="007D13C1"/>
    <w:rsid w:val="00887CDA"/>
    <w:rsid w:val="00991768"/>
    <w:rsid w:val="009B5FB6"/>
    <w:rsid w:val="00AC456C"/>
    <w:rsid w:val="00C60558"/>
    <w:rsid w:val="00F219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454DEE"/>
  <w15:chartTrackingRefBased/>
  <w15:docId w15:val="{B00148B2-F4CD-49DE-889F-5756EC83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142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2142F"/>
    <w:pPr>
      <w:tabs>
        <w:tab w:val="center" w:pos="4153"/>
        <w:tab w:val="right" w:pos="8306"/>
      </w:tabs>
    </w:pPr>
  </w:style>
  <w:style w:type="character" w:customStyle="1" w:styleId="a4">
    <w:name w:val="כותרת עליונה תו"/>
    <w:link w:val="a3"/>
    <w:rsid w:val="0052142F"/>
    <w:rPr>
      <w:rFonts w:ascii="Times New Roman" w:eastAsia="Times New Roman" w:hAnsi="Times New Roman" w:cs="David"/>
      <w:sz w:val="24"/>
      <w:szCs w:val="24"/>
    </w:rPr>
  </w:style>
  <w:style w:type="paragraph" w:styleId="a5">
    <w:name w:val="footer"/>
    <w:basedOn w:val="a"/>
    <w:link w:val="a6"/>
    <w:rsid w:val="0052142F"/>
    <w:pPr>
      <w:tabs>
        <w:tab w:val="center" w:pos="4153"/>
        <w:tab w:val="right" w:pos="8306"/>
      </w:tabs>
    </w:pPr>
  </w:style>
  <w:style w:type="character" w:customStyle="1" w:styleId="a6">
    <w:name w:val="כותרת תחתונה תו"/>
    <w:link w:val="a5"/>
    <w:rsid w:val="0052142F"/>
    <w:rPr>
      <w:rFonts w:ascii="Times New Roman" w:eastAsia="Times New Roman" w:hAnsi="Times New Roman" w:cs="David"/>
      <w:sz w:val="24"/>
      <w:szCs w:val="24"/>
    </w:rPr>
  </w:style>
  <w:style w:type="table" w:styleId="a7">
    <w:name w:val="Table Grid"/>
    <w:basedOn w:val="a1"/>
    <w:rsid w:val="005214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2142F"/>
  </w:style>
  <w:style w:type="paragraph" w:customStyle="1" w:styleId="12">
    <w:name w:val="רגיל + ‏12 נק'"/>
    <w:aliases w:val="מיושר לשני הצדדים,מרווח בין שורות:  שורה וחצי"/>
    <w:basedOn w:val="a"/>
    <w:rsid w:val="0052142F"/>
    <w:rPr>
      <w:b/>
      <w:bCs/>
      <w:u w:val="single"/>
    </w:rPr>
  </w:style>
  <w:style w:type="character" w:customStyle="1" w:styleId="TimesNewRomanTimesNewRoman">
    <w:name w:val="סגנון (לטיני) Times New Roman (עברית ושפות אחרות) Times New Roman..."/>
    <w:rsid w:val="0052142F"/>
    <w:rPr>
      <w:rFonts w:ascii="Times New Roman" w:hAnsi="Times New Roman" w:cs="David" w:hint="default"/>
      <w:b/>
      <w:bCs/>
      <w:sz w:val="26"/>
      <w:szCs w:val="26"/>
    </w:rPr>
  </w:style>
  <w:style w:type="paragraph" w:styleId="a9">
    <w:name w:val="List Paragraph"/>
    <w:basedOn w:val="a"/>
    <w:qFormat/>
    <w:rsid w:val="0052142F"/>
    <w:pPr>
      <w:spacing w:after="160" w:line="259" w:lineRule="auto"/>
      <w:ind w:left="720"/>
      <w:contextualSpacing/>
    </w:pPr>
    <w:rPr>
      <w:rFonts w:ascii="Calibri" w:eastAsia="Calibri" w:hAnsi="Calibri" w:cs="Arial"/>
      <w:sz w:val="22"/>
      <w:szCs w:val="22"/>
    </w:rPr>
  </w:style>
  <w:style w:type="character" w:styleId="Hyperlink">
    <w:name w:val="Hyperlink"/>
    <w:rsid w:val="0052142F"/>
    <w:rPr>
      <w:color w:val="0000FF"/>
      <w:u w:val="single"/>
    </w:rPr>
  </w:style>
  <w:style w:type="paragraph" w:styleId="aa">
    <w:name w:val="Quote"/>
    <w:basedOn w:val="a"/>
    <w:next w:val="a"/>
    <w:link w:val="ab"/>
    <w:qFormat/>
    <w:rsid w:val="0052142F"/>
    <w:pPr>
      <w:spacing w:before="200" w:after="200" w:line="360" w:lineRule="auto"/>
      <w:ind w:left="1418" w:right="1418"/>
      <w:jc w:val="both"/>
    </w:pPr>
    <w:rPr>
      <w:i/>
      <w:color w:val="404040"/>
    </w:rPr>
  </w:style>
  <w:style w:type="character" w:customStyle="1" w:styleId="ab">
    <w:name w:val="ציטוט תו"/>
    <w:link w:val="aa"/>
    <w:rsid w:val="0052142F"/>
    <w:rPr>
      <w:rFonts w:ascii="Times New Roman" w:eastAsia="Times New Roman" w:hAnsi="Times New Roman" w:cs="David"/>
      <w:i/>
      <w:color w:val="40404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a" TargetMode="External"/><Relationship Id="rId21" Type="http://schemas.openxmlformats.org/officeDocument/2006/relationships/hyperlink" Target="http://www.nevo.co.il/law/70301/413c" TargetMode="External"/><Relationship Id="rId42" Type="http://schemas.openxmlformats.org/officeDocument/2006/relationships/hyperlink" Target="http://www.nevo.co.il/case/27513376" TargetMode="External"/><Relationship Id="rId47" Type="http://schemas.openxmlformats.org/officeDocument/2006/relationships/hyperlink" Target="http://www.nevo.co.il/case/6068562" TargetMode="External"/><Relationship Id="rId63" Type="http://schemas.openxmlformats.org/officeDocument/2006/relationships/hyperlink" Target="http://www.nevo.co.il/law/70301/40f" TargetMode="External"/><Relationship Id="rId68" Type="http://schemas.openxmlformats.org/officeDocument/2006/relationships/hyperlink" Target="http://www.nevo.co.il/law/70301/329" TargetMode="External"/><Relationship Id="rId84" Type="http://schemas.openxmlformats.org/officeDocument/2006/relationships/hyperlink" Target="http://www.nevo.co.il/law/70301/340" TargetMode="External"/><Relationship Id="rId89" Type="http://schemas.openxmlformats.org/officeDocument/2006/relationships/header" Target="header2.xml"/><Relationship Id="rId16" Type="http://schemas.openxmlformats.org/officeDocument/2006/relationships/hyperlink" Target="http://www.nevo.co.il/law/70301/329" TargetMode="External"/><Relationship Id="rId11" Type="http://schemas.openxmlformats.org/officeDocument/2006/relationships/hyperlink" Target="http://www.nevo.co.il/law/70301/144" TargetMode="External"/><Relationship Id="rId32" Type="http://schemas.openxmlformats.org/officeDocument/2006/relationships/hyperlink" Target="http://www.nevo.co.il/law/70301/29" TargetMode="External"/><Relationship Id="rId37" Type="http://schemas.openxmlformats.org/officeDocument/2006/relationships/hyperlink" Target="http://www.nevo.co.il/law/70301/29" TargetMode="External"/><Relationship Id="rId53" Type="http://schemas.openxmlformats.org/officeDocument/2006/relationships/hyperlink" Target="http://www.nevo.co.il/case/28268880" TargetMode="External"/><Relationship Id="rId58" Type="http://schemas.openxmlformats.org/officeDocument/2006/relationships/hyperlink" Target="http://www.nevo.co.il/case/25824863" TargetMode="External"/><Relationship Id="rId74" Type="http://schemas.openxmlformats.org/officeDocument/2006/relationships/hyperlink" Target="http://www.nevo.co.il/law/70301/413c" TargetMode="External"/><Relationship Id="rId79" Type="http://schemas.openxmlformats.org/officeDocument/2006/relationships/hyperlink" Target="http://www.nevo.co.il/law/70301" TargetMode="External"/><Relationship Id="rId5" Type="http://schemas.openxmlformats.org/officeDocument/2006/relationships/endnotes" Target="endnotes.xml"/><Relationship Id="rId90" Type="http://schemas.openxmlformats.org/officeDocument/2006/relationships/footer" Target="footer1.xml"/><Relationship Id="rId22" Type="http://schemas.openxmlformats.org/officeDocument/2006/relationships/hyperlink" Target="http://www.nevo.co.il/law/70301/448" TargetMode="External"/><Relationship Id="rId27" Type="http://schemas.openxmlformats.org/officeDocument/2006/relationships/hyperlink" Target="http://www.nevo.co.il/law/70301/144.b" TargetMode="External"/><Relationship Id="rId43" Type="http://schemas.openxmlformats.org/officeDocument/2006/relationships/hyperlink" Target="http://www.nevo.co.il/case/27115374" TargetMode="External"/><Relationship Id="rId48" Type="http://schemas.openxmlformats.org/officeDocument/2006/relationships/hyperlink" Target="http://www.nevo.co.il/case/28697227" TargetMode="External"/><Relationship Id="rId64" Type="http://schemas.openxmlformats.org/officeDocument/2006/relationships/hyperlink" Target="http://www.nevo.co.il/law/70301/40g" TargetMode="External"/><Relationship Id="rId69" Type="http://schemas.openxmlformats.org/officeDocument/2006/relationships/hyperlink" Target="http://www.nevo.co.il/law/70301/448"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17954235" TargetMode="External"/><Relationship Id="rId72" Type="http://schemas.openxmlformats.org/officeDocument/2006/relationships/hyperlink" Target="http://www.nevo.co.il/law/70301/340" TargetMode="External"/><Relationship Id="rId80" Type="http://schemas.openxmlformats.org/officeDocument/2006/relationships/hyperlink" Target="http://www.nevo.co.il/law/70301/329" TargetMode="External"/><Relationship Id="rId85" Type="http://schemas.openxmlformats.org/officeDocument/2006/relationships/hyperlink" Target="http://www.nevo.co.il/law/70301/244"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329.a.2"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48" TargetMode="External"/><Relationship Id="rId38" Type="http://schemas.openxmlformats.org/officeDocument/2006/relationships/hyperlink" Target="http://www.nevo.co.il/law/70301/413c"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27309272"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340a.b.2"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7305799" TargetMode="External"/><Relationship Id="rId62" Type="http://schemas.openxmlformats.org/officeDocument/2006/relationships/hyperlink" Target="http://www.nevo.co.il/case/27072263" TargetMode="External"/><Relationship Id="rId70" Type="http://schemas.openxmlformats.org/officeDocument/2006/relationships/hyperlink" Target="http://www.nevo.co.il/law/70301/275" TargetMode="External"/><Relationship Id="rId75" Type="http://schemas.openxmlformats.org/officeDocument/2006/relationships/hyperlink" Target="http://www.nevo.co.il/law/70301/40f" TargetMode="External"/><Relationship Id="rId83" Type="http://schemas.openxmlformats.org/officeDocument/2006/relationships/hyperlink" Target="http://www.nevo.co.il/law/70301"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275" TargetMode="External"/><Relationship Id="rId23" Type="http://schemas.openxmlformats.org/officeDocument/2006/relationships/hyperlink" Target="http://www.nevo.co.il/law/70301/329.a.2" TargetMode="External"/><Relationship Id="rId28" Type="http://schemas.openxmlformats.org/officeDocument/2006/relationships/hyperlink" Target="http://www.nevo.co.il/law/70301/29" TargetMode="External"/><Relationship Id="rId36" Type="http://schemas.openxmlformats.org/officeDocument/2006/relationships/hyperlink" Target="http://www.nevo.co.il/law/70301/244" TargetMode="External"/><Relationship Id="rId49" Type="http://schemas.openxmlformats.org/officeDocument/2006/relationships/hyperlink" Target="http://www.nevo.co.il/case/27894608" TargetMode="External"/><Relationship Id="rId57" Type="http://schemas.openxmlformats.org/officeDocument/2006/relationships/hyperlink" Target="http://www.nevo.co.il/case/28200855" TargetMode="External"/><Relationship Id="rId10" Type="http://schemas.openxmlformats.org/officeDocument/2006/relationships/hyperlink" Target="http://www.nevo.co.il/law/70301/40g" TargetMode="External"/><Relationship Id="rId31" Type="http://schemas.openxmlformats.org/officeDocument/2006/relationships/hyperlink" Target="http://www.nevo.co.il/law/70301/275" TargetMode="External"/><Relationship Id="rId44" Type="http://schemas.openxmlformats.org/officeDocument/2006/relationships/hyperlink" Target="http://www.nevo.co.il/case/27907602" TargetMode="External"/><Relationship Id="rId52" Type="http://schemas.openxmlformats.org/officeDocument/2006/relationships/hyperlink" Target="http://www.nevo.co.il/case/27305799" TargetMode="External"/><Relationship Id="rId60" Type="http://schemas.openxmlformats.org/officeDocument/2006/relationships/hyperlink" Target="http://www.nevo.co.il/case/27911655"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244" TargetMode="External"/><Relationship Id="rId78" Type="http://schemas.openxmlformats.org/officeDocument/2006/relationships/hyperlink" Target="http://www.nevo.co.il/law/70301/144" TargetMode="External"/><Relationship Id="rId81" Type="http://schemas.openxmlformats.org/officeDocument/2006/relationships/hyperlink" Target="http://www.nevo.co.il/law/70301/448" TargetMode="External"/><Relationship Id="rId86" Type="http://schemas.openxmlformats.org/officeDocument/2006/relationships/hyperlink" Target="http://www.nevo.co.il/law/70301/413c" TargetMode="External"/><Relationship Id="rId4" Type="http://schemas.openxmlformats.org/officeDocument/2006/relationships/footnotes" Target="footnotes.xml"/><Relationship Id="rId9" Type="http://schemas.openxmlformats.org/officeDocument/2006/relationships/hyperlink" Target="http://www.nevo.co.il/law/70301/40f"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340" TargetMode="External"/><Relationship Id="rId39" Type="http://schemas.openxmlformats.org/officeDocument/2006/relationships/hyperlink" Target="http://www.nevo.co.il/law/70301/29" TargetMode="External"/><Relationship Id="rId34" Type="http://schemas.openxmlformats.org/officeDocument/2006/relationships/hyperlink" Target="http://www.nevo.co.il/law/70301/29" TargetMode="External"/><Relationship Id="rId50" Type="http://schemas.openxmlformats.org/officeDocument/2006/relationships/hyperlink" Target="http://www.nevo.co.il/case/23750625" TargetMode="External"/><Relationship Id="rId55" Type="http://schemas.openxmlformats.org/officeDocument/2006/relationships/hyperlink" Target="http://www.nevo.co.il/case/27734980" TargetMode="External"/><Relationship Id="rId76" Type="http://schemas.openxmlformats.org/officeDocument/2006/relationships/hyperlink" Target="http://www.nevo.co.il/law/70301/40g" TargetMode="External"/><Relationship Id="rId7" Type="http://schemas.openxmlformats.org/officeDocument/2006/relationships/hyperlink" Target="http://www.nevo.co.il/law/70301/25" TargetMode="External"/><Relationship Id="rId71" Type="http://schemas.openxmlformats.org/officeDocument/2006/relationships/hyperlink" Target="http://www.nevo.co.il/law/70301" TargetMode="External"/><Relationship Id="rId9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www.nevo.co.il/law/70301/340a.b.1.;340a.b.2" TargetMode="External"/><Relationship Id="rId24" Type="http://schemas.openxmlformats.org/officeDocument/2006/relationships/hyperlink" Target="http://www.nevo.co.il/law/70301/29"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7207408" TargetMode="External"/><Relationship Id="rId66" Type="http://schemas.openxmlformats.org/officeDocument/2006/relationships/hyperlink" Target="http://www.nevo.co.il/law/70301/144" TargetMode="External"/><Relationship Id="rId87" Type="http://schemas.openxmlformats.org/officeDocument/2006/relationships/hyperlink" Target="http://www.nevo.co.il/advertisements/nevo-100.doc" TargetMode="External"/><Relationship Id="rId61" Type="http://schemas.openxmlformats.org/officeDocument/2006/relationships/hyperlink" Target="http://www.nevo.co.il/case/28243273" TargetMode="External"/><Relationship Id="rId82" Type="http://schemas.openxmlformats.org/officeDocument/2006/relationships/hyperlink" Target="http://www.nevo.co.il/law/70301/275" TargetMode="External"/><Relationship Id="rId19" Type="http://schemas.openxmlformats.org/officeDocument/2006/relationships/hyperlink" Target="http://www.nevo.co.il/law/70301/340a.b.1." TargetMode="External"/><Relationship Id="rId14" Type="http://schemas.openxmlformats.org/officeDocument/2006/relationships/hyperlink" Target="http://www.nevo.co.il/law/70301/244" TargetMode="External"/><Relationship Id="rId30" Type="http://schemas.openxmlformats.org/officeDocument/2006/relationships/hyperlink" Target="http://www.nevo.co.il/law/70301/29" TargetMode="External"/><Relationship Id="rId35" Type="http://schemas.openxmlformats.org/officeDocument/2006/relationships/hyperlink" Target="http://www.nevo.co.il/law/70301/25" TargetMode="External"/><Relationship Id="rId56" Type="http://schemas.openxmlformats.org/officeDocument/2006/relationships/hyperlink" Target="http://www.nevo.co.il/case/28266138" TargetMode="External"/><Relationship Id="rId77"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3842</Words>
  <Characters>19212</Characters>
  <Application>Microsoft Office Word</Application>
  <DocSecurity>0</DocSecurity>
  <Lines>160</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23008</CharactersWithSpaces>
  <SharedDoc>false</SharedDoc>
  <HLinks>
    <vt:vector size="492" baseType="variant">
      <vt:variant>
        <vt:i4>393283</vt:i4>
      </vt:variant>
      <vt:variant>
        <vt:i4>243</vt:i4>
      </vt:variant>
      <vt:variant>
        <vt:i4>0</vt:i4>
      </vt:variant>
      <vt:variant>
        <vt:i4>5</vt:i4>
      </vt:variant>
      <vt:variant>
        <vt:lpwstr>http://www.nevo.co.il/advertisements/nevo-100.doc</vt:lpwstr>
      </vt:variant>
      <vt:variant>
        <vt:lpwstr/>
      </vt:variant>
      <vt:variant>
        <vt:i4>458834</vt:i4>
      </vt:variant>
      <vt:variant>
        <vt:i4>240</vt:i4>
      </vt:variant>
      <vt:variant>
        <vt:i4>0</vt:i4>
      </vt:variant>
      <vt:variant>
        <vt:i4>5</vt:i4>
      </vt:variant>
      <vt:variant>
        <vt:lpwstr>http://www.nevo.co.il/law/70301/413c</vt:lpwstr>
      </vt:variant>
      <vt:variant>
        <vt:lpwstr/>
      </vt:variant>
      <vt:variant>
        <vt:i4>6357095</vt:i4>
      </vt:variant>
      <vt:variant>
        <vt:i4>237</vt:i4>
      </vt:variant>
      <vt:variant>
        <vt:i4>0</vt:i4>
      </vt:variant>
      <vt:variant>
        <vt:i4>5</vt:i4>
      </vt:variant>
      <vt:variant>
        <vt:lpwstr>http://www.nevo.co.il/law/70301/244</vt:lpwstr>
      </vt:variant>
      <vt:variant>
        <vt:lpwstr/>
      </vt:variant>
      <vt:variant>
        <vt:i4>6357094</vt:i4>
      </vt:variant>
      <vt:variant>
        <vt:i4>234</vt:i4>
      </vt:variant>
      <vt:variant>
        <vt:i4>0</vt:i4>
      </vt:variant>
      <vt:variant>
        <vt:i4>5</vt:i4>
      </vt:variant>
      <vt:variant>
        <vt:lpwstr>http://www.nevo.co.il/law/70301/340</vt:lpwstr>
      </vt:variant>
      <vt:variant>
        <vt:lpwstr/>
      </vt:variant>
      <vt:variant>
        <vt:i4>7995492</vt:i4>
      </vt:variant>
      <vt:variant>
        <vt:i4>231</vt:i4>
      </vt:variant>
      <vt:variant>
        <vt:i4>0</vt:i4>
      </vt:variant>
      <vt:variant>
        <vt:i4>5</vt:i4>
      </vt:variant>
      <vt:variant>
        <vt:lpwstr>http://www.nevo.co.il/law/70301</vt:lpwstr>
      </vt:variant>
      <vt:variant>
        <vt:lpwstr/>
      </vt:variant>
      <vt:variant>
        <vt:i4>6422631</vt:i4>
      </vt:variant>
      <vt:variant>
        <vt:i4>228</vt:i4>
      </vt:variant>
      <vt:variant>
        <vt:i4>0</vt:i4>
      </vt:variant>
      <vt:variant>
        <vt:i4>5</vt:i4>
      </vt:variant>
      <vt:variant>
        <vt:lpwstr>http://www.nevo.co.il/law/70301/275</vt:lpwstr>
      </vt:variant>
      <vt:variant>
        <vt:lpwstr/>
      </vt:variant>
      <vt:variant>
        <vt:i4>6357089</vt:i4>
      </vt:variant>
      <vt:variant>
        <vt:i4>225</vt:i4>
      </vt:variant>
      <vt:variant>
        <vt:i4>0</vt:i4>
      </vt:variant>
      <vt:variant>
        <vt:i4>5</vt:i4>
      </vt:variant>
      <vt:variant>
        <vt:lpwstr>http://www.nevo.co.il/law/70301/448</vt:lpwstr>
      </vt:variant>
      <vt:variant>
        <vt:lpwstr/>
      </vt:variant>
      <vt:variant>
        <vt:i4>6750310</vt:i4>
      </vt:variant>
      <vt:variant>
        <vt:i4>222</vt:i4>
      </vt:variant>
      <vt:variant>
        <vt:i4>0</vt:i4>
      </vt:variant>
      <vt:variant>
        <vt:i4>5</vt:i4>
      </vt:variant>
      <vt:variant>
        <vt:lpwstr>http://www.nevo.co.il/law/70301/329</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6357092</vt:i4>
      </vt:variant>
      <vt:variant>
        <vt:i4>216</vt:i4>
      </vt:variant>
      <vt:variant>
        <vt:i4>0</vt:i4>
      </vt:variant>
      <vt:variant>
        <vt:i4>5</vt:i4>
      </vt:variant>
      <vt:variant>
        <vt:lpwstr>http://www.nevo.co.il/law/70301/144</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6619233</vt:i4>
      </vt:variant>
      <vt:variant>
        <vt:i4>210</vt:i4>
      </vt:variant>
      <vt:variant>
        <vt:i4>0</vt:i4>
      </vt:variant>
      <vt:variant>
        <vt:i4>5</vt:i4>
      </vt:variant>
      <vt:variant>
        <vt:lpwstr>http://www.nevo.co.il/law/70301/40g</vt:lpwstr>
      </vt:variant>
      <vt:variant>
        <vt:lpwstr/>
      </vt:variant>
      <vt:variant>
        <vt:i4>6619233</vt:i4>
      </vt:variant>
      <vt:variant>
        <vt:i4>207</vt:i4>
      </vt:variant>
      <vt:variant>
        <vt:i4>0</vt:i4>
      </vt:variant>
      <vt:variant>
        <vt:i4>5</vt:i4>
      </vt:variant>
      <vt:variant>
        <vt:lpwstr>http://www.nevo.co.il/law/70301/40f</vt:lpwstr>
      </vt:variant>
      <vt:variant>
        <vt:lpwstr/>
      </vt:variant>
      <vt:variant>
        <vt:i4>458834</vt:i4>
      </vt:variant>
      <vt:variant>
        <vt:i4>204</vt:i4>
      </vt:variant>
      <vt:variant>
        <vt:i4>0</vt:i4>
      </vt:variant>
      <vt:variant>
        <vt:i4>5</vt:i4>
      </vt:variant>
      <vt:variant>
        <vt:lpwstr>http://www.nevo.co.il/law/70301/413c</vt:lpwstr>
      </vt:variant>
      <vt:variant>
        <vt:lpwstr/>
      </vt:variant>
      <vt:variant>
        <vt:i4>6357095</vt:i4>
      </vt:variant>
      <vt:variant>
        <vt:i4>201</vt:i4>
      </vt:variant>
      <vt:variant>
        <vt:i4>0</vt:i4>
      </vt:variant>
      <vt:variant>
        <vt:i4>5</vt:i4>
      </vt:variant>
      <vt:variant>
        <vt:lpwstr>http://www.nevo.co.il/law/70301/244</vt:lpwstr>
      </vt:variant>
      <vt:variant>
        <vt:lpwstr/>
      </vt:variant>
      <vt:variant>
        <vt:i4>6357094</vt:i4>
      </vt:variant>
      <vt:variant>
        <vt:i4>198</vt:i4>
      </vt:variant>
      <vt:variant>
        <vt:i4>0</vt:i4>
      </vt:variant>
      <vt:variant>
        <vt:i4>5</vt:i4>
      </vt:variant>
      <vt:variant>
        <vt:lpwstr>http://www.nevo.co.il/law/70301/340</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6422631</vt:i4>
      </vt:variant>
      <vt:variant>
        <vt:i4>192</vt:i4>
      </vt:variant>
      <vt:variant>
        <vt:i4>0</vt:i4>
      </vt:variant>
      <vt:variant>
        <vt:i4>5</vt:i4>
      </vt:variant>
      <vt:variant>
        <vt:lpwstr>http://www.nevo.co.il/law/70301/275</vt:lpwstr>
      </vt:variant>
      <vt:variant>
        <vt:lpwstr/>
      </vt:variant>
      <vt:variant>
        <vt:i4>6357089</vt:i4>
      </vt:variant>
      <vt:variant>
        <vt:i4>189</vt:i4>
      </vt:variant>
      <vt:variant>
        <vt:i4>0</vt:i4>
      </vt:variant>
      <vt:variant>
        <vt:i4>5</vt:i4>
      </vt:variant>
      <vt:variant>
        <vt:lpwstr>http://www.nevo.co.il/law/70301/448</vt:lpwstr>
      </vt:variant>
      <vt:variant>
        <vt:lpwstr/>
      </vt:variant>
      <vt:variant>
        <vt:i4>6750310</vt:i4>
      </vt:variant>
      <vt:variant>
        <vt:i4>186</vt:i4>
      </vt:variant>
      <vt:variant>
        <vt:i4>0</vt:i4>
      </vt:variant>
      <vt:variant>
        <vt:i4>5</vt:i4>
      </vt:variant>
      <vt:variant>
        <vt:lpwstr>http://www.nevo.co.il/law/70301/329</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6357092</vt:i4>
      </vt:variant>
      <vt:variant>
        <vt:i4>180</vt:i4>
      </vt:variant>
      <vt:variant>
        <vt:i4>0</vt:i4>
      </vt:variant>
      <vt:variant>
        <vt:i4>5</vt:i4>
      </vt:variant>
      <vt:variant>
        <vt:lpwstr>http://www.nevo.co.il/law/70301/144</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6619233</vt:i4>
      </vt:variant>
      <vt:variant>
        <vt:i4>174</vt:i4>
      </vt:variant>
      <vt:variant>
        <vt:i4>0</vt:i4>
      </vt:variant>
      <vt:variant>
        <vt:i4>5</vt:i4>
      </vt:variant>
      <vt:variant>
        <vt:lpwstr>http://www.nevo.co.il/law/70301/40g</vt:lpwstr>
      </vt:variant>
      <vt:variant>
        <vt:lpwstr/>
      </vt:variant>
      <vt:variant>
        <vt:i4>6619233</vt:i4>
      </vt:variant>
      <vt:variant>
        <vt:i4>171</vt:i4>
      </vt:variant>
      <vt:variant>
        <vt:i4>0</vt:i4>
      </vt:variant>
      <vt:variant>
        <vt:i4>5</vt:i4>
      </vt:variant>
      <vt:variant>
        <vt:lpwstr>http://www.nevo.co.il/law/70301/40f</vt:lpwstr>
      </vt:variant>
      <vt:variant>
        <vt:lpwstr/>
      </vt:variant>
      <vt:variant>
        <vt:i4>3539062</vt:i4>
      </vt:variant>
      <vt:variant>
        <vt:i4>168</vt:i4>
      </vt:variant>
      <vt:variant>
        <vt:i4>0</vt:i4>
      </vt:variant>
      <vt:variant>
        <vt:i4>5</vt:i4>
      </vt:variant>
      <vt:variant>
        <vt:lpwstr>http://www.nevo.co.il/case/27072263</vt:lpwstr>
      </vt:variant>
      <vt:variant>
        <vt:lpwstr/>
      </vt:variant>
      <vt:variant>
        <vt:i4>3407994</vt:i4>
      </vt:variant>
      <vt:variant>
        <vt:i4>165</vt:i4>
      </vt:variant>
      <vt:variant>
        <vt:i4>0</vt:i4>
      </vt:variant>
      <vt:variant>
        <vt:i4>5</vt:i4>
      </vt:variant>
      <vt:variant>
        <vt:lpwstr>http://www.nevo.co.il/case/28243273</vt:lpwstr>
      </vt:variant>
      <vt:variant>
        <vt:lpwstr/>
      </vt:variant>
      <vt:variant>
        <vt:i4>4128884</vt:i4>
      </vt:variant>
      <vt:variant>
        <vt:i4>162</vt:i4>
      </vt:variant>
      <vt:variant>
        <vt:i4>0</vt:i4>
      </vt:variant>
      <vt:variant>
        <vt:i4>5</vt:i4>
      </vt:variant>
      <vt:variant>
        <vt:lpwstr>http://www.nevo.co.il/case/27911655</vt:lpwstr>
      </vt:variant>
      <vt:variant>
        <vt:lpwstr/>
      </vt:variant>
      <vt:variant>
        <vt:i4>4128881</vt:i4>
      </vt:variant>
      <vt:variant>
        <vt:i4>159</vt:i4>
      </vt:variant>
      <vt:variant>
        <vt:i4>0</vt:i4>
      </vt:variant>
      <vt:variant>
        <vt:i4>5</vt:i4>
      </vt:variant>
      <vt:variant>
        <vt:lpwstr>http://www.nevo.co.il/case/27309272</vt:lpwstr>
      </vt:variant>
      <vt:variant>
        <vt:lpwstr/>
      </vt:variant>
      <vt:variant>
        <vt:i4>3670139</vt:i4>
      </vt:variant>
      <vt:variant>
        <vt:i4>156</vt:i4>
      </vt:variant>
      <vt:variant>
        <vt:i4>0</vt:i4>
      </vt:variant>
      <vt:variant>
        <vt:i4>5</vt:i4>
      </vt:variant>
      <vt:variant>
        <vt:lpwstr>http://www.nevo.co.il/case/25824863</vt:lpwstr>
      </vt:variant>
      <vt:variant>
        <vt:lpwstr/>
      </vt:variant>
      <vt:variant>
        <vt:i4>3473524</vt:i4>
      </vt:variant>
      <vt:variant>
        <vt:i4>153</vt:i4>
      </vt:variant>
      <vt:variant>
        <vt:i4>0</vt:i4>
      </vt:variant>
      <vt:variant>
        <vt:i4>5</vt:i4>
      </vt:variant>
      <vt:variant>
        <vt:lpwstr>http://www.nevo.co.il/case/28200855</vt:lpwstr>
      </vt:variant>
      <vt:variant>
        <vt:lpwstr/>
      </vt:variant>
      <vt:variant>
        <vt:i4>3473531</vt:i4>
      </vt:variant>
      <vt:variant>
        <vt:i4>150</vt:i4>
      </vt:variant>
      <vt:variant>
        <vt:i4>0</vt:i4>
      </vt:variant>
      <vt:variant>
        <vt:i4>5</vt:i4>
      </vt:variant>
      <vt:variant>
        <vt:lpwstr>http://www.nevo.co.il/case/28266138</vt:lpwstr>
      </vt:variant>
      <vt:variant>
        <vt:lpwstr/>
      </vt:variant>
      <vt:variant>
        <vt:i4>3735673</vt:i4>
      </vt:variant>
      <vt:variant>
        <vt:i4>147</vt:i4>
      </vt:variant>
      <vt:variant>
        <vt:i4>0</vt:i4>
      </vt:variant>
      <vt:variant>
        <vt:i4>5</vt:i4>
      </vt:variant>
      <vt:variant>
        <vt:lpwstr>http://www.nevo.co.il/case/27734980</vt:lpwstr>
      </vt:variant>
      <vt:variant>
        <vt:lpwstr/>
      </vt:variant>
      <vt:variant>
        <vt:i4>3997812</vt:i4>
      </vt:variant>
      <vt:variant>
        <vt:i4>144</vt:i4>
      </vt:variant>
      <vt:variant>
        <vt:i4>0</vt:i4>
      </vt:variant>
      <vt:variant>
        <vt:i4>5</vt:i4>
      </vt:variant>
      <vt:variant>
        <vt:lpwstr>http://www.nevo.co.il/case/27305799</vt:lpwstr>
      </vt:variant>
      <vt:variant>
        <vt:lpwstr/>
      </vt:variant>
      <vt:variant>
        <vt:i4>3145842</vt:i4>
      </vt:variant>
      <vt:variant>
        <vt:i4>141</vt:i4>
      </vt:variant>
      <vt:variant>
        <vt:i4>0</vt:i4>
      </vt:variant>
      <vt:variant>
        <vt:i4>5</vt:i4>
      </vt:variant>
      <vt:variant>
        <vt:lpwstr>http://www.nevo.co.il/case/28268880</vt:lpwstr>
      </vt:variant>
      <vt:variant>
        <vt:lpwstr/>
      </vt:variant>
      <vt:variant>
        <vt:i4>3997812</vt:i4>
      </vt:variant>
      <vt:variant>
        <vt:i4>138</vt:i4>
      </vt:variant>
      <vt:variant>
        <vt:i4>0</vt:i4>
      </vt:variant>
      <vt:variant>
        <vt:i4>5</vt:i4>
      </vt:variant>
      <vt:variant>
        <vt:lpwstr>http://www.nevo.co.il/case/27305799</vt:lpwstr>
      </vt:variant>
      <vt:variant>
        <vt:lpwstr/>
      </vt:variant>
      <vt:variant>
        <vt:i4>4128884</vt:i4>
      </vt:variant>
      <vt:variant>
        <vt:i4>135</vt:i4>
      </vt:variant>
      <vt:variant>
        <vt:i4>0</vt:i4>
      </vt:variant>
      <vt:variant>
        <vt:i4>5</vt:i4>
      </vt:variant>
      <vt:variant>
        <vt:lpwstr>http://www.nevo.co.il/case/17954235</vt:lpwstr>
      </vt:variant>
      <vt:variant>
        <vt:lpwstr/>
      </vt:variant>
      <vt:variant>
        <vt:i4>3604596</vt:i4>
      </vt:variant>
      <vt:variant>
        <vt:i4>132</vt:i4>
      </vt:variant>
      <vt:variant>
        <vt:i4>0</vt:i4>
      </vt:variant>
      <vt:variant>
        <vt:i4>5</vt:i4>
      </vt:variant>
      <vt:variant>
        <vt:lpwstr>http://www.nevo.co.il/case/23750625</vt:lpwstr>
      </vt:variant>
      <vt:variant>
        <vt:lpwstr/>
      </vt:variant>
      <vt:variant>
        <vt:i4>4063356</vt:i4>
      </vt:variant>
      <vt:variant>
        <vt:i4>129</vt:i4>
      </vt:variant>
      <vt:variant>
        <vt:i4>0</vt:i4>
      </vt:variant>
      <vt:variant>
        <vt:i4>5</vt:i4>
      </vt:variant>
      <vt:variant>
        <vt:lpwstr>http://www.nevo.co.il/case/27894608</vt:lpwstr>
      </vt:variant>
      <vt:variant>
        <vt:lpwstr/>
      </vt:variant>
      <vt:variant>
        <vt:i4>3211383</vt:i4>
      </vt:variant>
      <vt:variant>
        <vt:i4>126</vt:i4>
      </vt:variant>
      <vt:variant>
        <vt:i4>0</vt:i4>
      </vt:variant>
      <vt:variant>
        <vt:i4>5</vt:i4>
      </vt:variant>
      <vt:variant>
        <vt:lpwstr>http://www.nevo.co.il/case/28697227</vt:lpwstr>
      </vt:variant>
      <vt:variant>
        <vt:lpwstr/>
      </vt:variant>
      <vt:variant>
        <vt:i4>3604602</vt:i4>
      </vt:variant>
      <vt:variant>
        <vt:i4>123</vt:i4>
      </vt:variant>
      <vt:variant>
        <vt:i4>0</vt:i4>
      </vt:variant>
      <vt:variant>
        <vt:i4>5</vt:i4>
      </vt:variant>
      <vt:variant>
        <vt:lpwstr>http://www.nevo.co.il/case/6068562</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3604599</vt:i4>
      </vt:variant>
      <vt:variant>
        <vt:i4>117</vt:i4>
      </vt:variant>
      <vt:variant>
        <vt:i4>0</vt:i4>
      </vt:variant>
      <vt:variant>
        <vt:i4>5</vt:i4>
      </vt:variant>
      <vt:variant>
        <vt:lpwstr>http://www.nevo.co.il/case/27207408</vt:lpwstr>
      </vt:variant>
      <vt:variant>
        <vt:lpwstr/>
      </vt:variant>
      <vt:variant>
        <vt:i4>3932277</vt:i4>
      </vt:variant>
      <vt:variant>
        <vt:i4>114</vt:i4>
      </vt:variant>
      <vt:variant>
        <vt:i4>0</vt:i4>
      </vt:variant>
      <vt:variant>
        <vt:i4>5</vt:i4>
      </vt:variant>
      <vt:variant>
        <vt:lpwstr>http://www.nevo.co.il/case/27907602</vt:lpwstr>
      </vt:variant>
      <vt:variant>
        <vt:lpwstr/>
      </vt:variant>
      <vt:variant>
        <vt:i4>3211377</vt:i4>
      </vt:variant>
      <vt:variant>
        <vt:i4>111</vt:i4>
      </vt:variant>
      <vt:variant>
        <vt:i4>0</vt:i4>
      </vt:variant>
      <vt:variant>
        <vt:i4>5</vt:i4>
      </vt:variant>
      <vt:variant>
        <vt:lpwstr>http://www.nevo.co.il/case/27115374</vt:lpwstr>
      </vt:variant>
      <vt:variant>
        <vt:lpwstr/>
      </vt:variant>
      <vt:variant>
        <vt:i4>3342449</vt:i4>
      </vt:variant>
      <vt:variant>
        <vt:i4>108</vt:i4>
      </vt:variant>
      <vt:variant>
        <vt:i4>0</vt:i4>
      </vt:variant>
      <vt:variant>
        <vt:i4>5</vt:i4>
      </vt:variant>
      <vt:variant>
        <vt:lpwstr>http://www.nevo.co.il/case/27513376</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7077991</vt:i4>
      </vt:variant>
      <vt:variant>
        <vt:i4>99</vt:i4>
      </vt:variant>
      <vt:variant>
        <vt:i4>0</vt:i4>
      </vt:variant>
      <vt:variant>
        <vt:i4>5</vt:i4>
      </vt:variant>
      <vt:variant>
        <vt:lpwstr>http://www.nevo.co.il/law/70301/29</vt:lpwstr>
      </vt:variant>
      <vt:variant>
        <vt:lpwstr/>
      </vt:variant>
      <vt:variant>
        <vt:i4>458834</vt:i4>
      </vt:variant>
      <vt:variant>
        <vt:i4>96</vt:i4>
      </vt:variant>
      <vt:variant>
        <vt:i4>0</vt:i4>
      </vt:variant>
      <vt:variant>
        <vt:i4>5</vt:i4>
      </vt:variant>
      <vt:variant>
        <vt:lpwstr>http://www.nevo.co.il/law/70301/413c</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6357095</vt:i4>
      </vt:variant>
      <vt:variant>
        <vt:i4>90</vt:i4>
      </vt:variant>
      <vt:variant>
        <vt:i4>0</vt:i4>
      </vt:variant>
      <vt:variant>
        <vt:i4>5</vt:i4>
      </vt:variant>
      <vt:variant>
        <vt:lpwstr>http://www.nevo.co.il/law/70301/244</vt:lpwstr>
      </vt:variant>
      <vt:variant>
        <vt:lpwstr/>
      </vt:variant>
      <vt:variant>
        <vt:i4>6291559</vt:i4>
      </vt:variant>
      <vt:variant>
        <vt:i4>87</vt:i4>
      </vt:variant>
      <vt:variant>
        <vt:i4>0</vt:i4>
      </vt:variant>
      <vt:variant>
        <vt:i4>5</vt:i4>
      </vt:variant>
      <vt:variant>
        <vt:lpwstr>http://www.nevo.co.il/law/70301/25</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6357089</vt:i4>
      </vt:variant>
      <vt:variant>
        <vt:i4>81</vt:i4>
      </vt:variant>
      <vt:variant>
        <vt:i4>0</vt:i4>
      </vt:variant>
      <vt:variant>
        <vt:i4>5</vt:i4>
      </vt:variant>
      <vt:variant>
        <vt:lpwstr>http://www.nevo.co.il/law/70301/448</vt:lpwstr>
      </vt:variant>
      <vt:variant>
        <vt:lpwstr/>
      </vt:variant>
      <vt:variant>
        <vt:i4>7077991</vt:i4>
      </vt:variant>
      <vt:variant>
        <vt:i4>78</vt:i4>
      </vt:variant>
      <vt:variant>
        <vt:i4>0</vt:i4>
      </vt:variant>
      <vt:variant>
        <vt:i4>5</vt:i4>
      </vt:variant>
      <vt:variant>
        <vt:lpwstr>http://www.nevo.co.il/law/70301/29</vt:lpwstr>
      </vt:variant>
      <vt:variant>
        <vt:lpwstr/>
      </vt:variant>
      <vt:variant>
        <vt:i4>6422631</vt:i4>
      </vt:variant>
      <vt:variant>
        <vt:i4>75</vt:i4>
      </vt:variant>
      <vt:variant>
        <vt:i4>0</vt:i4>
      </vt:variant>
      <vt:variant>
        <vt:i4>5</vt:i4>
      </vt:variant>
      <vt:variant>
        <vt:lpwstr>http://www.nevo.co.il/law/70301/275</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7143547</vt:i4>
      </vt:variant>
      <vt:variant>
        <vt:i4>69</vt:i4>
      </vt:variant>
      <vt:variant>
        <vt:i4>0</vt:i4>
      </vt:variant>
      <vt:variant>
        <vt:i4>5</vt:i4>
      </vt:variant>
      <vt:variant>
        <vt:lpwstr>http://www.nevo.co.il/law/70301/340a.b.1.;340a.b.2</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6750270</vt:i4>
      </vt:variant>
      <vt:variant>
        <vt:i4>51</vt:i4>
      </vt:variant>
      <vt:variant>
        <vt:i4>0</vt:i4>
      </vt:variant>
      <vt:variant>
        <vt:i4>5</vt:i4>
      </vt:variant>
      <vt:variant>
        <vt:lpwstr>http://www.nevo.co.il/law/70301/329.a.2</vt:lpwstr>
      </vt:variant>
      <vt:variant>
        <vt:lpwstr/>
      </vt:variant>
      <vt:variant>
        <vt:i4>6357089</vt:i4>
      </vt:variant>
      <vt:variant>
        <vt:i4>48</vt:i4>
      </vt:variant>
      <vt:variant>
        <vt:i4>0</vt:i4>
      </vt:variant>
      <vt:variant>
        <vt:i4>5</vt:i4>
      </vt:variant>
      <vt:variant>
        <vt:lpwstr>http://www.nevo.co.il/law/70301/448</vt:lpwstr>
      </vt:variant>
      <vt:variant>
        <vt:lpwstr/>
      </vt:variant>
      <vt:variant>
        <vt:i4>458834</vt:i4>
      </vt:variant>
      <vt:variant>
        <vt:i4>45</vt:i4>
      </vt:variant>
      <vt:variant>
        <vt:i4>0</vt:i4>
      </vt:variant>
      <vt:variant>
        <vt:i4>5</vt:i4>
      </vt:variant>
      <vt:variant>
        <vt:lpwstr>http://www.nevo.co.il/law/70301/413c</vt:lpwstr>
      </vt:variant>
      <vt:variant>
        <vt:lpwstr/>
      </vt:variant>
      <vt:variant>
        <vt:i4>5242966</vt:i4>
      </vt:variant>
      <vt:variant>
        <vt:i4>42</vt:i4>
      </vt:variant>
      <vt:variant>
        <vt:i4>0</vt:i4>
      </vt:variant>
      <vt:variant>
        <vt:i4>5</vt:i4>
      </vt:variant>
      <vt:variant>
        <vt:lpwstr>http://www.nevo.co.il/law/70301/340a.b.2</vt:lpwstr>
      </vt:variant>
      <vt:variant>
        <vt:lpwstr/>
      </vt:variant>
      <vt:variant>
        <vt:i4>5439574</vt:i4>
      </vt:variant>
      <vt:variant>
        <vt:i4>39</vt:i4>
      </vt:variant>
      <vt:variant>
        <vt:i4>0</vt:i4>
      </vt:variant>
      <vt:variant>
        <vt:i4>5</vt:i4>
      </vt:variant>
      <vt:variant>
        <vt:lpwstr>http://www.nevo.co.il/law/70301/340a.b.1.</vt:lpwstr>
      </vt:variant>
      <vt:variant>
        <vt:lpwstr/>
      </vt:variant>
      <vt:variant>
        <vt:i4>6357094</vt:i4>
      </vt:variant>
      <vt:variant>
        <vt:i4>36</vt:i4>
      </vt:variant>
      <vt:variant>
        <vt:i4>0</vt:i4>
      </vt:variant>
      <vt:variant>
        <vt:i4>5</vt:i4>
      </vt:variant>
      <vt:variant>
        <vt:lpwstr>http://www.nevo.co.il/law/70301/340</vt:lpwstr>
      </vt:variant>
      <vt:variant>
        <vt:lpwstr/>
      </vt:variant>
      <vt:variant>
        <vt:i4>6750270</vt:i4>
      </vt:variant>
      <vt:variant>
        <vt:i4>33</vt:i4>
      </vt:variant>
      <vt:variant>
        <vt:i4>0</vt:i4>
      </vt:variant>
      <vt:variant>
        <vt:i4>5</vt:i4>
      </vt:variant>
      <vt:variant>
        <vt:lpwstr>http://www.nevo.co.il/law/70301/329.a.2</vt:lpwstr>
      </vt:variant>
      <vt:variant>
        <vt:lpwstr/>
      </vt:variant>
      <vt:variant>
        <vt:i4>6750310</vt:i4>
      </vt:variant>
      <vt:variant>
        <vt:i4>30</vt:i4>
      </vt:variant>
      <vt:variant>
        <vt:i4>0</vt:i4>
      </vt:variant>
      <vt:variant>
        <vt:i4>5</vt:i4>
      </vt:variant>
      <vt:variant>
        <vt:lpwstr>http://www.nevo.co.il/law/70301/329</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6357095</vt:i4>
      </vt:variant>
      <vt:variant>
        <vt:i4>24</vt:i4>
      </vt:variant>
      <vt:variant>
        <vt:i4>0</vt:i4>
      </vt:variant>
      <vt:variant>
        <vt:i4>5</vt:i4>
      </vt:variant>
      <vt:variant>
        <vt:lpwstr>http://www.nevo.co.il/law/70301/244</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http://www.nevo.co.il/law/70301/40g</vt:lpwstr>
      </vt:variant>
      <vt:variant>
        <vt:lpwstr/>
      </vt:variant>
      <vt:variant>
        <vt:i4>6619233</vt:i4>
      </vt:variant>
      <vt:variant>
        <vt:i4>9</vt:i4>
      </vt:variant>
      <vt:variant>
        <vt:i4>0</vt:i4>
      </vt:variant>
      <vt:variant>
        <vt:i4>5</vt:i4>
      </vt:variant>
      <vt:variant>
        <vt:lpwstr>http://www.nevo.co.il/law/70301/40f</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2025-04-25T10:51:00Z</dcterms:created>
  <dcterms:modified xsi:type="dcterms:W3CDTF">2025-04-25T10:51:00Z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24361</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מחמד חסארמה  ;רשיד חסארמה  </vt:lpwstr>
  </property>
  <property fmtid="{D5CDD505-2E9C-101B-9397-08002B2CF9AE}" pid="10" name="JUDGE">
    <vt:lpwstr>ארז פורת</vt:lpwstr>
  </property>
  <property fmtid="{D5CDD505-2E9C-101B-9397-08002B2CF9AE}" pid="11" name="CITY">
    <vt:lpwstr>חי'</vt:lpwstr>
  </property>
  <property fmtid="{D5CDD505-2E9C-101B-9397-08002B2CF9AE}" pid="12" name="DATE">
    <vt:lpwstr>20220803</vt:lpwstr>
  </property>
  <property fmtid="{D5CDD505-2E9C-101B-9397-08002B2CF9AE}" pid="13" name="TYPE_N_DATE">
    <vt:lpwstr>39020220803</vt:lpwstr>
  </property>
  <property fmtid="{D5CDD505-2E9C-101B-9397-08002B2CF9AE}" pid="14" name="WORDNUMPAGES">
    <vt:lpwstr>11</vt:lpwstr>
  </property>
  <property fmtid="{D5CDD505-2E9C-101B-9397-08002B2CF9AE}" pid="15" name="TYPE_ABS_DATE">
    <vt:lpwstr>390020220803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27513376;27115374;27907602;27207408;6068562;28697227;27894608;23750625;17954235;27305799:2;28268880;27734980;28266138;28200855;25824863;27309272;27911655;28243273;27072263</vt:lpwstr>
  </property>
  <property fmtid="{D5CDD505-2E9C-101B-9397-08002B2CF9AE}" pid="36" name="LAWLISTTMP1">
    <vt:lpwstr>70301/329.a.2;029:7;144.a;144.b;340a.b.1;340a.b.2;275:3;448:3;025;244:3;413c:3;040f:2;040g:2;144:2;329:2;340:2</vt:lpwstr>
  </property>
</Properties>
</file>