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261F4B" w:rsidRPr="00CA6AFA" w14:paraId="589DD796" w14:textId="77777777" w:rsidTr="009E636D">
        <w:trPr>
          <w:trHeight w:hRule="exact" w:val="705"/>
          <w:jc w:val="center"/>
        </w:trPr>
        <w:tc>
          <w:tcPr>
            <w:tcW w:w="8721" w:type="dxa"/>
            <w:gridSpan w:val="2"/>
          </w:tcPr>
          <w:p w14:paraId="4F1016C6" w14:textId="77777777" w:rsidR="00261F4B" w:rsidRPr="00CA6AFA" w:rsidRDefault="00261F4B" w:rsidP="00235B1A">
            <w:pPr>
              <w:pStyle w:val="a3"/>
              <w:jc w:val="center"/>
              <w:rPr>
                <w:rFonts w:ascii="David" w:hAnsi="David"/>
                <w:sz w:val="28"/>
                <w:szCs w:val="28"/>
                <w:rtl/>
              </w:rPr>
            </w:pPr>
            <w:bookmarkStart w:id="0" w:name="LastJudge"/>
            <w:r w:rsidRPr="00CA6AFA">
              <w:rPr>
                <w:rFonts w:ascii="David" w:hAnsi="David"/>
                <w:b/>
                <w:bCs/>
                <w:color w:val="000080"/>
                <w:sz w:val="28"/>
                <w:szCs w:val="28"/>
                <w:rtl/>
              </w:rPr>
              <w:t>בית המשפט המחוזי בירושלים</w:t>
            </w:r>
          </w:p>
          <w:p w14:paraId="37468EB6" w14:textId="77777777" w:rsidR="00261F4B" w:rsidRPr="00CA6AFA" w:rsidRDefault="00261F4B" w:rsidP="00235B1A">
            <w:pPr>
              <w:pStyle w:val="a3"/>
              <w:jc w:val="center"/>
              <w:rPr>
                <w:rFonts w:ascii="Tahoma" w:hAnsi="Tahoma" w:cs="Tahoma"/>
                <w:b/>
                <w:bCs/>
                <w:color w:val="000080"/>
                <w:sz w:val="28"/>
                <w:szCs w:val="28"/>
                <w:rtl/>
              </w:rPr>
            </w:pPr>
            <w:r w:rsidRPr="00CA6AFA">
              <w:rPr>
                <w:rFonts w:ascii="Tahoma" w:hAnsi="Tahoma" w:hint="cs"/>
                <w:b/>
                <w:bCs/>
                <w:color w:val="000080"/>
                <w:sz w:val="28"/>
                <w:szCs w:val="28"/>
                <w:rtl/>
              </w:rPr>
              <w:t>לפני כב' השופט אברהם רובין</w:t>
            </w:r>
          </w:p>
          <w:p w14:paraId="28DD9B5C" w14:textId="77777777" w:rsidR="00261F4B" w:rsidRPr="00CA6AFA" w:rsidRDefault="00261F4B" w:rsidP="00235B1A">
            <w:pPr>
              <w:pStyle w:val="a3"/>
              <w:rPr>
                <w:rFonts w:ascii="Tahoma" w:hAnsi="Tahoma" w:cs="Tahoma"/>
                <w:color w:val="000080"/>
                <w:rtl/>
              </w:rPr>
            </w:pPr>
          </w:p>
        </w:tc>
      </w:tr>
      <w:tr w:rsidR="00261F4B" w:rsidRPr="00CA6AFA" w14:paraId="7FF48D08" w14:textId="77777777" w:rsidTr="009E636D">
        <w:trPr>
          <w:trHeight w:val="337"/>
          <w:jc w:val="center"/>
        </w:trPr>
        <w:tc>
          <w:tcPr>
            <w:tcW w:w="5057" w:type="dxa"/>
          </w:tcPr>
          <w:p w14:paraId="3A64740D" w14:textId="77777777" w:rsidR="00261F4B" w:rsidRPr="00CA6AFA" w:rsidRDefault="00261F4B" w:rsidP="00235B1A">
            <w:pPr>
              <w:rPr>
                <w:rFonts w:ascii="David" w:hAnsi="David"/>
                <w:b/>
                <w:bCs/>
                <w:rtl/>
              </w:rPr>
            </w:pPr>
            <w:r w:rsidRPr="00CA6AFA">
              <w:rPr>
                <w:rFonts w:ascii="David" w:hAnsi="David"/>
                <w:b/>
                <w:bCs/>
                <w:rtl/>
              </w:rPr>
              <w:t>ת"פ 40118-06-21 מדינת ישראל נ' ראזם(עציר)</w:t>
            </w:r>
          </w:p>
          <w:p w14:paraId="3AC4F967" w14:textId="77777777" w:rsidR="00261F4B" w:rsidRPr="00CA6AFA" w:rsidRDefault="00261F4B" w:rsidP="00235B1A">
            <w:pPr>
              <w:pStyle w:val="a3"/>
              <w:rPr>
                <w:rFonts w:cs="FrankRuehl"/>
                <w:sz w:val="28"/>
                <w:szCs w:val="28"/>
                <w:rtl/>
              </w:rPr>
            </w:pPr>
          </w:p>
        </w:tc>
        <w:tc>
          <w:tcPr>
            <w:tcW w:w="3664" w:type="dxa"/>
          </w:tcPr>
          <w:p w14:paraId="31A0C6BA" w14:textId="77777777" w:rsidR="00261F4B" w:rsidRPr="00CA6AFA" w:rsidRDefault="00261F4B" w:rsidP="00235B1A">
            <w:pPr>
              <w:pStyle w:val="a3"/>
              <w:jc w:val="right"/>
              <w:rPr>
                <w:rFonts w:cs="FrankRuehl"/>
                <w:sz w:val="28"/>
                <w:szCs w:val="28"/>
                <w:rtl/>
              </w:rPr>
            </w:pPr>
          </w:p>
        </w:tc>
      </w:tr>
    </w:tbl>
    <w:p w14:paraId="63D36656" w14:textId="77777777" w:rsidR="00261F4B" w:rsidRPr="00CA6AFA" w:rsidRDefault="00261F4B" w:rsidP="00261F4B">
      <w:pPr>
        <w:pStyle w:val="a3"/>
        <w:rPr>
          <w:rtl/>
        </w:rPr>
      </w:pPr>
      <w:r w:rsidRPr="00CA6AFA">
        <w:rPr>
          <w:rFonts w:hint="cs"/>
          <w:rtl/>
        </w:rPr>
        <w:t xml:space="preserve"> </w:t>
      </w:r>
    </w:p>
    <w:p w14:paraId="4009E9F4" w14:textId="77777777" w:rsidR="00261F4B" w:rsidRPr="00CA6AFA" w:rsidRDefault="00261F4B" w:rsidP="00261F4B">
      <w:pPr>
        <w:rPr>
          <w:rtl/>
        </w:rPr>
      </w:pPr>
    </w:p>
    <w:p w14:paraId="57610104" w14:textId="77777777" w:rsidR="00261F4B" w:rsidRPr="00CA6AFA" w:rsidRDefault="00261F4B" w:rsidP="00261F4B">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261F4B" w:rsidRPr="00CA6AFA" w14:paraId="690329DE" w14:textId="77777777" w:rsidTr="00261F4B">
        <w:trPr>
          <w:trHeight w:val="295"/>
          <w:jc w:val="center"/>
        </w:trPr>
        <w:tc>
          <w:tcPr>
            <w:tcW w:w="923" w:type="dxa"/>
            <w:tcBorders>
              <w:top w:val="nil"/>
              <w:left w:val="nil"/>
              <w:bottom w:val="nil"/>
              <w:right w:val="nil"/>
            </w:tcBorders>
            <w:shd w:val="clear" w:color="auto" w:fill="auto"/>
          </w:tcPr>
          <w:p w14:paraId="3F70EC51" w14:textId="77777777" w:rsidR="00261F4B" w:rsidRPr="00CA6AFA" w:rsidRDefault="00261F4B" w:rsidP="00261F4B">
            <w:pPr>
              <w:jc w:val="both"/>
              <w:rPr>
                <w:rFonts w:ascii="David" w:hAnsi="David"/>
                <w:b/>
                <w:bCs/>
                <w:sz w:val="26"/>
                <w:szCs w:val="26"/>
              </w:rPr>
            </w:pPr>
          </w:p>
        </w:tc>
        <w:tc>
          <w:tcPr>
            <w:tcW w:w="7897" w:type="dxa"/>
            <w:gridSpan w:val="2"/>
            <w:tcBorders>
              <w:top w:val="nil"/>
              <w:left w:val="nil"/>
              <w:bottom w:val="nil"/>
              <w:right w:val="nil"/>
            </w:tcBorders>
            <w:shd w:val="clear" w:color="auto" w:fill="auto"/>
          </w:tcPr>
          <w:p w14:paraId="6A26AE8C" w14:textId="77777777" w:rsidR="00261F4B" w:rsidRPr="00CA6AFA" w:rsidRDefault="00261F4B" w:rsidP="00261F4B">
            <w:pPr>
              <w:jc w:val="both"/>
              <w:rPr>
                <w:rFonts w:ascii="David" w:hAnsi="David"/>
                <w:sz w:val="26"/>
                <w:szCs w:val="26"/>
              </w:rPr>
            </w:pPr>
          </w:p>
        </w:tc>
      </w:tr>
      <w:tr w:rsidR="00261F4B" w:rsidRPr="00CA6AFA" w14:paraId="525C0956" w14:textId="77777777" w:rsidTr="00261F4B">
        <w:trPr>
          <w:trHeight w:val="355"/>
          <w:jc w:val="center"/>
        </w:trPr>
        <w:tc>
          <w:tcPr>
            <w:tcW w:w="923" w:type="dxa"/>
            <w:tcBorders>
              <w:top w:val="nil"/>
              <w:left w:val="nil"/>
              <w:bottom w:val="nil"/>
              <w:right w:val="nil"/>
            </w:tcBorders>
            <w:shd w:val="clear" w:color="auto" w:fill="auto"/>
          </w:tcPr>
          <w:p w14:paraId="396A10E6" w14:textId="77777777" w:rsidR="00261F4B" w:rsidRPr="00CA6AFA" w:rsidRDefault="00261F4B" w:rsidP="00261F4B">
            <w:pPr>
              <w:jc w:val="both"/>
              <w:rPr>
                <w:rFonts w:ascii="David" w:hAnsi="David"/>
                <w:sz w:val="26"/>
                <w:szCs w:val="26"/>
              </w:rPr>
            </w:pPr>
            <w:bookmarkStart w:id="1" w:name="FirstAppellant"/>
            <w:r w:rsidRPr="00CA6AFA">
              <w:rPr>
                <w:rFonts w:ascii="David" w:hAnsi="David"/>
                <w:b/>
                <w:bCs/>
                <w:sz w:val="26"/>
                <w:szCs w:val="26"/>
                <w:rtl/>
              </w:rPr>
              <w:t>בעניין</w:t>
            </w:r>
            <w:r w:rsidRPr="00CA6AFA">
              <w:rPr>
                <w:rFonts w:ascii="David" w:hAnsi="David"/>
                <w:sz w:val="26"/>
                <w:szCs w:val="26"/>
                <w:rtl/>
              </w:rPr>
              <w:t>:</w:t>
            </w:r>
          </w:p>
        </w:tc>
        <w:tc>
          <w:tcPr>
            <w:tcW w:w="4126" w:type="dxa"/>
            <w:tcBorders>
              <w:top w:val="nil"/>
              <w:left w:val="nil"/>
              <w:bottom w:val="nil"/>
              <w:right w:val="nil"/>
            </w:tcBorders>
            <w:shd w:val="clear" w:color="auto" w:fill="auto"/>
          </w:tcPr>
          <w:p w14:paraId="35172CEF" w14:textId="77777777" w:rsidR="00261F4B" w:rsidRPr="00CA6AFA" w:rsidRDefault="00261F4B" w:rsidP="00235B1A">
            <w:pPr>
              <w:rPr>
                <w:rFonts w:ascii="David" w:hAnsi="David"/>
                <w:sz w:val="26"/>
                <w:szCs w:val="26"/>
              </w:rPr>
            </w:pPr>
            <w:r w:rsidRPr="00CA6AFA">
              <w:rPr>
                <w:rFonts w:ascii="David" w:hAnsi="David"/>
                <w:b/>
                <w:bCs/>
                <w:rtl/>
              </w:rPr>
              <w:t>מדינת ישראל</w:t>
            </w:r>
          </w:p>
        </w:tc>
        <w:tc>
          <w:tcPr>
            <w:tcW w:w="3771" w:type="dxa"/>
            <w:tcBorders>
              <w:top w:val="nil"/>
              <w:left w:val="nil"/>
              <w:bottom w:val="nil"/>
              <w:right w:val="nil"/>
            </w:tcBorders>
            <w:shd w:val="clear" w:color="auto" w:fill="auto"/>
          </w:tcPr>
          <w:p w14:paraId="55239D72" w14:textId="77777777" w:rsidR="00261F4B" w:rsidRPr="00CA6AFA" w:rsidRDefault="00261F4B" w:rsidP="00261F4B">
            <w:pPr>
              <w:jc w:val="both"/>
              <w:rPr>
                <w:rFonts w:ascii="David" w:hAnsi="David"/>
                <w:b/>
                <w:bCs/>
              </w:rPr>
            </w:pPr>
            <w:r w:rsidRPr="00CA6AFA">
              <w:rPr>
                <w:rFonts w:ascii="David" w:hAnsi="David" w:hint="cs"/>
                <w:b/>
                <w:bCs/>
                <w:rtl/>
              </w:rPr>
              <w:t>המאשימה</w:t>
            </w:r>
          </w:p>
        </w:tc>
      </w:tr>
      <w:bookmarkEnd w:id="1"/>
      <w:tr w:rsidR="00261F4B" w:rsidRPr="00CA6AFA" w14:paraId="062BF2E6" w14:textId="77777777" w:rsidTr="00261F4B">
        <w:trPr>
          <w:trHeight w:val="355"/>
          <w:jc w:val="center"/>
        </w:trPr>
        <w:tc>
          <w:tcPr>
            <w:tcW w:w="923" w:type="dxa"/>
            <w:tcBorders>
              <w:top w:val="nil"/>
              <w:left w:val="nil"/>
              <w:bottom w:val="nil"/>
              <w:right w:val="nil"/>
            </w:tcBorders>
            <w:shd w:val="clear" w:color="auto" w:fill="auto"/>
          </w:tcPr>
          <w:p w14:paraId="2FDF09CD" w14:textId="77777777" w:rsidR="00261F4B" w:rsidRPr="00CA6AFA" w:rsidRDefault="00261F4B" w:rsidP="00261F4B">
            <w:pPr>
              <w:jc w:val="both"/>
              <w:rPr>
                <w:rFonts w:ascii="David" w:hAnsi="David"/>
                <w:sz w:val="26"/>
                <w:szCs w:val="26"/>
                <w:rtl/>
              </w:rPr>
            </w:pPr>
          </w:p>
        </w:tc>
        <w:tc>
          <w:tcPr>
            <w:tcW w:w="4126" w:type="dxa"/>
            <w:tcBorders>
              <w:top w:val="nil"/>
              <w:left w:val="nil"/>
              <w:bottom w:val="nil"/>
              <w:right w:val="nil"/>
            </w:tcBorders>
            <w:shd w:val="clear" w:color="auto" w:fill="auto"/>
          </w:tcPr>
          <w:p w14:paraId="1A87C3FC" w14:textId="77777777" w:rsidR="00261F4B" w:rsidRPr="00CA6AFA" w:rsidRDefault="00261F4B" w:rsidP="00261F4B">
            <w:pPr>
              <w:jc w:val="both"/>
              <w:rPr>
                <w:rFonts w:ascii="David" w:hAnsi="David"/>
                <w:sz w:val="26"/>
                <w:szCs w:val="26"/>
                <w:rtl/>
              </w:rPr>
            </w:pPr>
          </w:p>
        </w:tc>
        <w:tc>
          <w:tcPr>
            <w:tcW w:w="3771" w:type="dxa"/>
            <w:tcBorders>
              <w:top w:val="nil"/>
              <w:left w:val="nil"/>
              <w:bottom w:val="nil"/>
              <w:right w:val="nil"/>
            </w:tcBorders>
            <w:shd w:val="clear" w:color="auto" w:fill="auto"/>
          </w:tcPr>
          <w:p w14:paraId="65764B19" w14:textId="77777777" w:rsidR="00261F4B" w:rsidRPr="00CA6AFA" w:rsidRDefault="00261F4B" w:rsidP="00235B1A">
            <w:pPr>
              <w:rPr>
                <w:rFonts w:ascii="David" w:hAnsi="David"/>
                <w:sz w:val="26"/>
                <w:szCs w:val="26"/>
                <w:rtl/>
              </w:rPr>
            </w:pPr>
          </w:p>
        </w:tc>
      </w:tr>
      <w:tr w:rsidR="00261F4B" w:rsidRPr="00CA6AFA" w14:paraId="44BA40CF" w14:textId="77777777" w:rsidTr="00261F4B">
        <w:trPr>
          <w:trHeight w:val="355"/>
          <w:jc w:val="center"/>
        </w:trPr>
        <w:tc>
          <w:tcPr>
            <w:tcW w:w="923" w:type="dxa"/>
            <w:tcBorders>
              <w:top w:val="nil"/>
              <w:left w:val="nil"/>
              <w:bottom w:val="nil"/>
              <w:right w:val="nil"/>
            </w:tcBorders>
            <w:shd w:val="clear" w:color="auto" w:fill="auto"/>
          </w:tcPr>
          <w:p w14:paraId="5F121BD9" w14:textId="77777777" w:rsidR="00261F4B" w:rsidRPr="00CA6AFA" w:rsidRDefault="00261F4B" w:rsidP="00261F4B">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54C339CF" w14:textId="77777777" w:rsidR="00261F4B" w:rsidRPr="00CA6AFA" w:rsidRDefault="00261F4B" w:rsidP="00261F4B">
            <w:pPr>
              <w:jc w:val="center"/>
              <w:rPr>
                <w:rFonts w:ascii="David" w:hAnsi="David"/>
                <w:b/>
                <w:bCs/>
                <w:sz w:val="26"/>
                <w:szCs w:val="26"/>
                <w:rtl/>
              </w:rPr>
            </w:pPr>
          </w:p>
          <w:p w14:paraId="608D9C34" w14:textId="77777777" w:rsidR="00261F4B" w:rsidRPr="00CA6AFA" w:rsidRDefault="00261F4B" w:rsidP="00261F4B">
            <w:pPr>
              <w:tabs>
                <w:tab w:val="left" w:pos="2017"/>
                <w:tab w:val="left" w:pos="2190"/>
                <w:tab w:val="center" w:pos="3840"/>
              </w:tabs>
              <w:rPr>
                <w:rFonts w:ascii="David" w:hAnsi="David"/>
                <w:b/>
                <w:bCs/>
                <w:sz w:val="26"/>
                <w:szCs w:val="26"/>
                <w:rtl/>
              </w:rPr>
            </w:pPr>
            <w:r w:rsidRPr="00CA6AFA">
              <w:rPr>
                <w:rFonts w:ascii="David" w:hAnsi="David"/>
                <w:b/>
                <w:bCs/>
                <w:sz w:val="26"/>
                <w:szCs w:val="26"/>
                <w:rtl/>
              </w:rPr>
              <w:tab/>
            </w:r>
            <w:r w:rsidRPr="00CA6AFA">
              <w:rPr>
                <w:rFonts w:ascii="David" w:hAnsi="David"/>
                <w:b/>
                <w:bCs/>
                <w:sz w:val="26"/>
                <w:szCs w:val="26"/>
                <w:rtl/>
              </w:rPr>
              <w:tab/>
              <w:t>נגד</w:t>
            </w:r>
          </w:p>
          <w:p w14:paraId="33AE6736" w14:textId="77777777" w:rsidR="00261F4B" w:rsidRPr="00CA6AFA" w:rsidRDefault="00261F4B" w:rsidP="00261F4B">
            <w:pPr>
              <w:jc w:val="both"/>
              <w:rPr>
                <w:rFonts w:ascii="David" w:hAnsi="David"/>
                <w:sz w:val="26"/>
                <w:szCs w:val="26"/>
              </w:rPr>
            </w:pPr>
          </w:p>
        </w:tc>
      </w:tr>
      <w:tr w:rsidR="00261F4B" w:rsidRPr="00CA6AFA" w14:paraId="0AE908D9" w14:textId="77777777" w:rsidTr="00261F4B">
        <w:trPr>
          <w:trHeight w:val="355"/>
          <w:jc w:val="center"/>
        </w:trPr>
        <w:tc>
          <w:tcPr>
            <w:tcW w:w="923" w:type="dxa"/>
            <w:tcBorders>
              <w:top w:val="nil"/>
              <w:left w:val="nil"/>
              <w:bottom w:val="nil"/>
              <w:right w:val="nil"/>
            </w:tcBorders>
            <w:shd w:val="clear" w:color="auto" w:fill="auto"/>
          </w:tcPr>
          <w:p w14:paraId="385515E6" w14:textId="77777777" w:rsidR="00261F4B" w:rsidRPr="00CA6AFA" w:rsidRDefault="00261F4B" w:rsidP="00235B1A">
            <w:pPr>
              <w:rPr>
                <w:rFonts w:ascii="David" w:hAnsi="David"/>
                <w:sz w:val="26"/>
                <w:szCs w:val="26"/>
                <w:rtl/>
              </w:rPr>
            </w:pPr>
          </w:p>
        </w:tc>
        <w:tc>
          <w:tcPr>
            <w:tcW w:w="4126" w:type="dxa"/>
            <w:tcBorders>
              <w:top w:val="nil"/>
              <w:left w:val="nil"/>
              <w:bottom w:val="nil"/>
              <w:right w:val="nil"/>
            </w:tcBorders>
            <w:shd w:val="clear" w:color="auto" w:fill="auto"/>
          </w:tcPr>
          <w:p w14:paraId="3335E415" w14:textId="77777777" w:rsidR="00261F4B" w:rsidRPr="00CA6AFA" w:rsidRDefault="00261F4B" w:rsidP="00235B1A">
            <w:pPr>
              <w:rPr>
                <w:rFonts w:ascii="David" w:hAnsi="David"/>
                <w:b/>
                <w:bCs/>
                <w:sz w:val="26"/>
                <w:szCs w:val="26"/>
                <w:rtl/>
              </w:rPr>
            </w:pPr>
            <w:r w:rsidRPr="00CA6AFA">
              <w:rPr>
                <w:rFonts w:ascii="David" w:hAnsi="David"/>
                <w:b/>
                <w:bCs/>
                <w:rtl/>
              </w:rPr>
              <w:t xml:space="preserve">חרבי ראזם </w:t>
            </w:r>
            <w:r w:rsidRPr="00CA6AFA">
              <w:rPr>
                <w:rFonts w:ascii="David" w:hAnsi="David" w:hint="cs"/>
                <w:b/>
                <w:bCs/>
                <w:rtl/>
              </w:rPr>
              <w:t xml:space="preserve">ת.ז. </w:t>
            </w:r>
            <w:r w:rsidR="00CA6AFA">
              <w:rPr>
                <w:rFonts w:ascii="David" w:hAnsi="David"/>
                <w:b/>
                <w:bCs/>
              </w:rPr>
              <w:t>xxxxxxxxx</w:t>
            </w:r>
          </w:p>
        </w:tc>
        <w:tc>
          <w:tcPr>
            <w:tcW w:w="3771" w:type="dxa"/>
            <w:tcBorders>
              <w:top w:val="nil"/>
              <w:left w:val="nil"/>
              <w:bottom w:val="nil"/>
              <w:right w:val="nil"/>
            </w:tcBorders>
            <w:shd w:val="clear" w:color="auto" w:fill="auto"/>
          </w:tcPr>
          <w:p w14:paraId="357BD711" w14:textId="77777777" w:rsidR="00261F4B" w:rsidRPr="00CA6AFA" w:rsidRDefault="00261F4B" w:rsidP="00235B1A">
            <w:pPr>
              <w:rPr>
                <w:rFonts w:ascii="David" w:hAnsi="David"/>
                <w:b/>
                <w:bCs/>
                <w:sz w:val="26"/>
                <w:szCs w:val="26"/>
                <w:rtl/>
              </w:rPr>
            </w:pPr>
            <w:r w:rsidRPr="00CA6AFA">
              <w:rPr>
                <w:rFonts w:ascii="David" w:hAnsi="David" w:hint="cs"/>
                <w:b/>
                <w:bCs/>
                <w:rtl/>
              </w:rPr>
              <w:t>הנאשם</w:t>
            </w:r>
          </w:p>
          <w:p w14:paraId="6AF66E0E" w14:textId="77777777" w:rsidR="00261F4B" w:rsidRPr="00CA6AFA" w:rsidRDefault="00261F4B" w:rsidP="00235B1A">
            <w:pPr>
              <w:rPr>
                <w:rFonts w:ascii="David" w:hAnsi="David"/>
                <w:b/>
                <w:bCs/>
                <w:sz w:val="26"/>
                <w:szCs w:val="26"/>
              </w:rPr>
            </w:pPr>
          </w:p>
        </w:tc>
      </w:tr>
      <w:tr w:rsidR="00261F4B" w:rsidRPr="00CA6AFA" w14:paraId="15448695" w14:textId="77777777" w:rsidTr="00261F4B">
        <w:trPr>
          <w:trHeight w:val="355"/>
          <w:jc w:val="center"/>
        </w:trPr>
        <w:tc>
          <w:tcPr>
            <w:tcW w:w="923" w:type="dxa"/>
            <w:tcBorders>
              <w:top w:val="nil"/>
              <w:left w:val="nil"/>
              <w:bottom w:val="nil"/>
              <w:right w:val="nil"/>
            </w:tcBorders>
            <w:shd w:val="clear" w:color="auto" w:fill="auto"/>
          </w:tcPr>
          <w:p w14:paraId="290526C1" w14:textId="77777777" w:rsidR="00261F4B" w:rsidRPr="00CA6AFA" w:rsidRDefault="00261F4B" w:rsidP="00261F4B">
            <w:pPr>
              <w:jc w:val="both"/>
              <w:rPr>
                <w:rFonts w:ascii="David" w:hAnsi="David"/>
                <w:sz w:val="26"/>
                <w:szCs w:val="26"/>
                <w:rtl/>
              </w:rPr>
            </w:pPr>
          </w:p>
        </w:tc>
        <w:tc>
          <w:tcPr>
            <w:tcW w:w="4126" w:type="dxa"/>
            <w:tcBorders>
              <w:top w:val="nil"/>
              <w:left w:val="nil"/>
              <w:bottom w:val="nil"/>
              <w:right w:val="nil"/>
            </w:tcBorders>
            <w:shd w:val="clear" w:color="auto" w:fill="auto"/>
          </w:tcPr>
          <w:p w14:paraId="45AC7D40" w14:textId="77777777" w:rsidR="00261F4B" w:rsidRPr="00CA6AFA" w:rsidRDefault="00261F4B" w:rsidP="00261F4B">
            <w:pPr>
              <w:jc w:val="both"/>
              <w:rPr>
                <w:rFonts w:ascii="David" w:hAnsi="David"/>
                <w:sz w:val="26"/>
                <w:szCs w:val="26"/>
                <w:rtl/>
              </w:rPr>
            </w:pPr>
          </w:p>
        </w:tc>
        <w:tc>
          <w:tcPr>
            <w:tcW w:w="3771" w:type="dxa"/>
            <w:tcBorders>
              <w:top w:val="nil"/>
              <w:left w:val="nil"/>
              <w:bottom w:val="nil"/>
              <w:right w:val="nil"/>
            </w:tcBorders>
            <w:shd w:val="clear" w:color="auto" w:fill="auto"/>
          </w:tcPr>
          <w:p w14:paraId="054DD081" w14:textId="77777777" w:rsidR="00261F4B" w:rsidRPr="00CA6AFA" w:rsidRDefault="00261F4B" w:rsidP="00235B1A">
            <w:pPr>
              <w:rPr>
                <w:rFonts w:ascii="David" w:hAnsi="David"/>
                <w:sz w:val="26"/>
                <w:szCs w:val="26"/>
              </w:rPr>
            </w:pPr>
          </w:p>
        </w:tc>
      </w:tr>
    </w:tbl>
    <w:p w14:paraId="00EBD1EF" w14:textId="77777777" w:rsidR="009E636D" w:rsidRPr="009E636D" w:rsidRDefault="009E636D" w:rsidP="009E636D">
      <w:pPr>
        <w:spacing w:before="120" w:after="120" w:line="240" w:lineRule="exact"/>
        <w:ind w:left="283" w:hanging="283"/>
        <w:jc w:val="both"/>
        <w:rPr>
          <w:rFonts w:ascii="FrankRuehl" w:hAnsi="FrankRuehl" w:cs="FrankRuehl"/>
          <w:rtl/>
        </w:rPr>
      </w:pPr>
    </w:p>
    <w:p w14:paraId="71E15C18" w14:textId="77777777" w:rsidR="00C202A5" w:rsidRPr="00C202A5" w:rsidRDefault="00C202A5" w:rsidP="00C202A5">
      <w:pPr>
        <w:spacing w:before="120" w:after="120" w:line="240" w:lineRule="exact"/>
        <w:ind w:left="283" w:hanging="283"/>
        <w:jc w:val="both"/>
        <w:rPr>
          <w:rFonts w:ascii="FrankRuehl" w:hAnsi="FrankRuehl" w:cs="FrankRuehl"/>
          <w:rtl/>
        </w:rPr>
      </w:pPr>
    </w:p>
    <w:p w14:paraId="6D96ED3E" w14:textId="77777777" w:rsidR="005A07ED" w:rsidRDefault="005A07ED" w:rsidP="005A07ED">
      <w:pPr>
        <w:jc w:val="center"/>
        <w:rPr>
          <w:rFonts w:ascii="David" w:hAnsi="David"/>
          <w:sz w:val="32"/>
          <w:szCs w:val="32"/>
          <w:rtl/>
        </w:rPr>
      </w:pPr>
      <w:bookmarkStart w:id="2" w:name="LawTable"/>
      <w:bookmarkEnd w:id="2"/>
    </w:p>
    <w:p w14:paraId="521857E3" w14:textId="77777777" w:rsidR="005A07ED" w:rsidRPr="005A07ED" w:rsidRDefault="005A07ED" w:rsidP="005A07ED">
      <w:pPr>
        <w:spacing w:before="120" w:after="120" w:line="240" w:lineRule="exact"/>
        <w:ind w:left="283" w:hanging="283"/>
        <w:jc w:val="both"/>
        <w:rPr>
          <w:rFonts w:ascii="FrankRuehl" w:hAnsi="FrankRuehl" w:cs="FrankRuehl"/>
          <w:rtl/>
        </w:rPr>
      </w:pPr>
    </w:p>
    <w:p w14:paraId="0AF07CC1" w14:textId="77777777" w:rsidR="005A07ED" w:rsidRPr="005A07ED" w:rsidRDefault="005A07ED" w:rsidP="005A07ED">
      <w:pPr>
        <w:spacing w:before="120" w:after="120" w:line="240" w:lineRule="exact"/>
        <w:ind w:left="283" w:hanging="283"/>
        <w:jc w:val="both"/>
        <w:rPr>
          <w:rFonts w:ascii="FrankRuehl" w:hAnsi="FrankRuehl" w:cs="FrankRuehl"/>
          <w:rtl/>
        </w:rPr>
      </w:pPr>
    </w:p>
    <w:p w14:paraId="46EEB10F" w14:textId="77777777" w:rsidR="005A07ED" w:rsidRPr="005A07ED" w:rsidRDefault="005A07ED" w:rsidP="005A07ED">
      <w:pPr>
        <w:spacing w:before="120" w:after="120" w:line="240" w:lineRule="exact"/>
        <w:ind w:left="283" w:hanging="283"/>
        <w:jc w:val="both"/>
        <w:rPr>
          <w:rFonts w:ascii="FrankRuehl" w:hAnsi="FrankRuehl" w:cs="FrankRuehl"/>
          <w:rtl/>
        </w:rPr>
      </w:pPr>
      <w:r w:rsidRPr="005A07ED">
        <w:rPr>
          <w:rFonts w:ascii="FrankRuehl" w:hAnsi="FrankRuehl" w:cs="FrankRuehl"/>
          <w:rtl/>
        </w:rPr>
        <w:t xml:space="preserve">חקיקה שאוזכרה: </w:t>
      </w:r>
    </w:p>
    <w:p w14:paraId="4E0B6816" w14:textId="77777777" w:rsidR="005A07ED" w:rsidRPr="005A07ED" w:rsidRDefault="005A07ED" w:rsidP="005A07ED">
      <w:pPr>
        <w:spacing w:before="120" w:after="120" w:line="240" w:lineRule="exact"/>
        <w:ind w:left="283" w:hanging="283"/>
        <w:jc w:val="both"/>
        <w:rPr>
          <w:rFonts w:ascii="FrankRuehl" w:hAnsi="FrankRuehl" w:cs="FrankRuehl"/>
          <w:rtl/>
        </w:rPr>
      </w:pPr>
      <w:hyperlink r:id="rId7" w:history="1">
        <w:r w:rsidRPr="005A07ED">
          <w:rPr>
            <w:rFonts w:ascii="FrankRuehl" w:hAnsi="FrankRuehl" w:cs="FrankRuehl"/>
            <w:color w:val="0000FF"/>
            <w:rtl/>
          </w:rPr>
          <w:t>חוק העונשין, תשל"ז-1977</w:t>
        </w:r>
      </w:hyperlink>
      <w:r w:rsidRPr="005A07ED">
        <w:rPr>
          <w:rFonts w:ascii="FrankRuehl" w:hAnsi="FrankRuehl" w:cs="FrankRuehl"/>
          <w:rtl/>
        </w:rPr>
        <w:t xml:space="preserve">: סע'  </w:t>
      </w:r>
      <w:hyperlink r:id="rId8" w:history="1">
        <w:r w:rsidRPr="005A07ED">
          <w:rPr>
            <w:rFonts w:ascii="FrankRuehl" w:hAnsi="FrankRuehl" w:cs="FrankRuehl"/>
            <w:color w:val="0000FF"/>
            <w:rtl/>
          </w:rPr>
          <w:t>25</w:t>
        </w:r>
      </w:hyperlink>
      <w:r w:rsidRPr="005A07ED">
        <w:rPr>
          <w:rFonts w:ascii="FrankRuehl" w:hAnsi="FrankRuehl" w:cs="FrankRuehl"/>
          <w:rtl/>
        </w:rPr>
        <w:t xml:space="preserve">, </w:t>
      </w:r>
      <w:hyperlink r:id="rId9" w:history="1">
        <w:r w:rsidRPr="005A07ED">
          <w:rPr>
            <w:rFonts w:ascii="FrankRuehl" w:hAnsi="FrankRuehl" w:cs="FrankRuehl"/>
            <w:color w:val="0000FF"/>
            <w:rtl/>
          </w:rPr>
          <w:t>144(א)</w:t>
        </w:r>
      </w:hyperlink>
      <w:r w:rsidRPr="005A07ED">
        <w:rPr>
          <w:rFonts w:ascii="FrankRuehl" w:hAnsi="FrankRuehl" w:cs="FrankRuehl"/>
          <w:rtl/>
        </w:rPr>
        <w:t xml:space="preserve">, </w:t>
      </w:r>
      <w:hyperlink r:id="rId10" w:history="1">
        <w:r w:rsidRPr="005A07ED">
          <w:rPr>
            <w:rFonts w:ascii="FrankRuehl" w:hAnsi="FrankRuehl" w:cs="FrankRuehl"/>
            <w:color w:val="0000FF"/>
            <w:rtl/>
          </w:rPr>
          <w:t>152</w:t>
        </w:r>
      </w:hyperlink>
      <w:r w:rsidRPr="005A07ED">
        <w:rPr>
          <w:rFonts w:ascii="FrankRuehl" w:hAnsi="FrankRuehl" w:cs="FrankRuehl"/>
          <w:rtl/>
        </w:rPr>
        <w:t xml:space="preserve">, </w:t>
      </w:r>
      <w:hyperlink r:id="rId11" w:history="1">
        <w:r w:rsidRPr="005A07ED">
          <w:rPr>
            <w:rFonts w:ascii="FrankRuehl" w:hAnsi="FrankRuehl" w:cs="FrankRuehl"/>
            <w:color w:val="0000FF"/>
            <w:rtl/>
          </w:rPr>
          <w:t>274(1)</w:t>
        </w:r>
      </w:hyperlink>
      <w:r w:rsidRPr="005A07ED">
        <w:rPr>
          <w:rFonts w:ascii="FrankRuehl" w:hAnsi="FrankRuehl" w:cs="FrankRuehl"/>
          <w:rtl/>
        </w:rPr>
        <w:t xml:space="preserve">, </w:t>
      </w:r>
      <w:hyperlink r:id="rId12" w:history="1">
        <w:r w:rsidRPr="005A07ED">
          <w:rPr>
            <w:rFonts w:ascii="FrankRuehl" w:hAnsi="FrankRuehl" w:cs="FrankRuehl"/>
            <w:color w:val="0000FF"/>
            <w:rtl/>
          </w:rPr>
          <w:t>(2)</w:t>
        </w:r>
      </w:hyperlink>
      <w:r w:rsidRPr="005A07ED">
        <w:rPr>
          <w:rFonts w:ascii="FrankRuehl" w:hAnsi="FrankRuehl" w:cs="FrankRuehl"/>
          <w:rtl/>
        </w:rPr>
        <w:t xml:space="preserve">, </w:t>
      </w:r>
      <w:hyperlink r:id="rId13" w:history="1">
        <w:r w:rsidRPr="005A07ED">
          <w:rPr>
            <w:rFonts w:ascii="FrankRuehl" w:hAnsi="FrankRuehl" w:cs="FrankRuehl"/>
            <w:color w:val="0000FF"/>
            <w:rtl/>
          </w:rPr>
          <w:t>(3)</w:t>
        </w:r>
      </w:hyperlink>
      <w:r w:rsidRPr="005A07ED">
        <w:rPr>
          <w:rFonts w:ascii="FrankRuehl" w:hAnsi="FrankRuehl" w:cs="FrankRuehl"/>
          <w:rtl/>
        </w:rPr>
        <w:t xml:space="preserve">, </w:t>
      </w:r>
      <w:hyperlink r:id="rId14" w:history="1">
        <w:r w:rsidRPr="005A07ED">
          <w:rPr>
            <w:rFonts w:ascii="FrankRuehl" w:hAnsi="FrankRuehl" w:cs="FrankRuehl"/>
            <w:color w:val="0000FF"/>
            <w:rtl/>
          </w:rPr>
          <w:t>275א</w:t>
        </w:r>
      </w:hyperlink>
      <w:r w:rsidRPr="005A07ED">
        <w:rPr>
          <w:rFonts w:ascii="FrankRuehl" w:hAnsi="FrankRuehl" w:cs="FrankRuehl"/>
          <w:rtl/>
        </w:rPr>
        <w:t xml:space="preserve">, </w:t>
      </w:r>
      <w:hyperlink r:id="rId15" w:history="1">
        <w:r w:rsidRPr="005A07ED">
          <w:rPr>
            <w:rFonts w:ascii="FrankRuehl" w:hAnsi="FrankRuehl" w:cs="FrankRuehl"/>
            <w:color w:val="0000FF"/>
            <w:rtl/>
          </w:rPr>
          <w:t>448(א)</w:t>
        </w:r>
      </w:hyperlink>
    </w:p>
    <w:p w14:paraId="26A4F374" w14:textId="77777777" w:rsidR="005A07ED" w:rsidRPr="005A07ED" w:rsidRDefault="005A07ED" w:rsidP="005A07ED">
      <w:pPr>
        <w:spacing w:before="120" w:after="120" w:line="240" w:lineRule="exact"/>
        <w:ind w:left="283" w:hanging="283"/>
        <w:jc w:val="both"/>
        <w:rPr>
          <w:rFonts w:ascii="FrankRuehl" w:hAnsi="FrankRuehl" w:cs="FrankRuehl"/>
          <w:rtl/>
        </w:rPr>
      </w:pPr>
      <w:hyperlink r:id="rId16" w:history="1">
        <w:r w:rsidRPr="005A07ED">
          <w:rPr>
            <w:rFonts w:ascii="FrankRuehl" w:hAnsi="FrankRuehl" w:cs="FrankRuehl"/>
            <w:color w:val="0000FF"/>
            <w:rtl/>
          </w:rPr>
          <w:t>חוק המאבק בטרור, תשע"ו-2016</w:t>
        </w:r>
      </w:hyperlink>
    </w:p>
    <w:p w14:paraId="211C6C5B" w14:textId="77777777" w:rsidR="005A07ED" w:rsidRPr="005A07ED" w:rsidRDefault="005A07ED" w:rsidP="005A07ED">
      <w:pPr>
        <w:jc w:val="center"/>
        <w:rPr>
          <w:rFonts w:ascii="David" w:hAnsi="David"/>
          <w:sz w:val="32"/>
          <w:szCs w:val="32"/>
          <w:rtl/>
        </w:rPr>
      </w:pPr>
      <w:bookmarkStart w:id="3" w:name="LawTable_End"/>
      <w:bookmarkEnd w:id="3"/>
    </w:p>
    <w:p w14:paraId="5A758FE9" w14:textId="77777777" w:rsidR="009E636D" w:rsidRPr="00C202A5" w:rsidRDefault="009E636D" w:rsidP="00C202A5">
      <w:pPr>
        <w:jc w:val="center"/>
        <w:rPr>
          <w:rFonts w:ascii="David" w:hAnsi="David"/>
          <w:sz w:val="32"/>
          <w:szCs w:val="32"/>
          <w:rtl/>
        </w:rPr>
      </w:pPr>
    </w:p>
    <w:p w14:paraId="6B1EC7F7" w14:textId="77777777" w:rsidR="009E636D" w:rsidRPr="00CA6AFA" w:rsidRDefault="009E636D" w:rsidP="00CA6AFA">
      <w:pPr>
        <w:jc w:val="center"/>
        <w:rPr>
          <w:rFonts w:ascii="David" w:hAnsi="David"/>
          <w:b/>
          <w:bCs/>
          <w:sz w:val="32"/>
          <w:szCs w:val="32"/>
          <w:u w:val="single"/>
          <w:rtl/>
        </w:rPr>
      </w:pPr>
      <w:bookmarkStart w:id="4" w:name="PsakDin"/>
      <w:r w:rsidRPr="00CA6AFA">
        <w:rPr>
          <w:rFonts w:ascii="David" w:hAnsi="David"/>
          <w:b/>
          <w:bCs/>
          <w:sz w:val="32"/>
          <w:szCs w:val="32"/>
          <w:u w:val="single"/>
          <w:rtl/>
        </w:rPr>
        <w:t>גזר דין</w:t>
      </w:r>
    </w:p>
    <w:bookmarkEnd w:id="4"/>
    <w:p w14:paraId="16EA4545" w14:textId="77777777" w:rsidR="009E636D" w:rsidRPr="00261F4B" w:rsidRDefault="009E636D" w:rsidP="00261F4B">
      <w:pPr>
        <w:jc w:val="center"/>
        <w:rPr>
          <w:rFonts w:ascii="David" w:hAnsi="David"/>
          <w:sz w:val="32"/>
          <w:szCs w:val="32"/>
          <w:u w:val="single"/>
          <w:rtl/>
        </w:rPr>
      </w:pPr>
    </w:p>
    <w:bookmarkEnd w:id="0"/>
    <w:p w14:paraId="34702954" w14:textId="77777777" w:rsidR="00261F4B" w:rsidRDefault="00261F4B" w:rsidP="00261F4B">
      <w:pPr>
        <w:spacing w:line="360" w:lineRule="auto"/>
        <w:jc w:val="both"/>
        <w:rPr>
          <w:rFonts w:ascii="David" w:hAnsi="David"/>
          <w:sz w:val="26"/>
          <w:szCs w:val="26"/>
          <w:rtl/>
        </w:rPr>
      </w:pPr>
    </w:p>
    <w:p w14:paraId="4DEE5D5F" w14:textId="77777777" w:rsidR="00261F4B" w:rsidRDefault="00261F4B" w:rsidP="00261F4B">
      <w:pPr>
        <w:spacing w:line="360" w:lineRule="auto"/>
        <w:ind w:left="720" w:hanging="720"/>
        <w:jc w:val="both"/>
        <w:rPr>
          <w:rFonts w:ascii="David" w:hAnsi="David"/>
          <w:sz w:val="26"/>
          <w:szCs w:val="26"/>
          <w:rtl/>
        </w:rPr>
      </w:pPr>
      <w:r>
        <w:rPr>
          <w:rFonts w:ascii="David" w:hAnsi="David" w:hint="cs"/>
          <w:sz w:val="26"/>
          <w:szCs w:val="26"/>
          <w:rtl/>
        </w:rPr>
        <w:t>1.</w:t>
      </w:r>
      <w:r>
        <w:rPr>
          <w:rFonts w:ascii="David" w:hAnsi="David" w:hint="cs"/>
          <w:sz w:val="26"/>
          <w:szCs w:val="26"/>
          <w:rtl/>
        </w:rPr>
        <w:tab/>
      </w:r>
      <w:r w:rsidRPr="004807DB">
        <w:rPr>
          <w:rFonts w:ascii="David" w:hAnsi="David" w:hint="cs"/>
          <w:b/>
          <w:bCs/>
          <w:sz w:val="26"/>
          <w:szCs w:val="26"/>
          <w:u w:val="single"/>
          <w:rtl/>
        </w:rPr>
        <w:t>העבירות בהן הורשע הנאשם</w:t>
      </w:r>
    </w:p>
    <w:p w14:paraId="4C80E7E4" w14:textId="77777777" w:rsidR="00261F4B" w:rsidRDefault="00261F4B" w:rsidP="00261F4B">
      <w:pPr>
        <w:spacing w:line="360" w:lineRule="auto"/>
        <w:ind w:left="720"/>
        <w:jc w:val="both"/>
        <w:rPr>
          <w:rFonts w:ascii="David" w:hAnsi="David"/>
          <w:sz w:val="26"/>
          <w:szCs w:val="26"/>
          <w:rtl/>
        </w:rPr>
      </w:pPr>
      <w:bookmarkStart w:id="5" w:name="ABSTRACT_START"/>
      <w:bookmarkEnd w:id="5"/>
      <w:r>
        <w:rPr>
          <w:rFonts w:ascii="David" w:hAnsi="David" w:hint="cs"/>
          <w:sz w:val="26"/>
          <w:szCs w:val="26"/>
          <w:rtl/>
        </w:rPr>
        <w:t xml:space="preserve">הנאשם הורשע על יסוד הודאתו בכתב אישום מתוקן, במסגרת הסדר טיעון פתוח,  בביצוע עבירות כדלהלן: שתי עבירות של התפרעות - עבירות לפי </w:t>
      </w:r>
      <w:hyperlink r:id="rId17" w:history="1">
        <w:r w:rsidR="009E636D" w:rsidRPr="009E636D">
          <w:rPr>
            <w:rStyle w:val="Hyperlink"/>
            <w:rFonts w:ascii="David" w:hAnsi="David" w:hint="eastAsia"/>
            <w:sz w:val="26"/>
            <w:szCs w:val="26"/>
            <w:rtl/>
          </w:rPr>
          <w:t>סעיף</w:t>
        </w:r>
        <w:r w:rsidR="009E636D" w:rsidRPr="009E636D">
          <w:rPr>
            <w:rStyle w:val="Hyperlink"/>
            <w:rFonts w:ascii="David" w:hAnsi="David"/>
            <w:sz w:val="26"/>
            <w:szCs w:val="26"/>
            <w:rtl/>
          </w:rPr>
          <w:t xml:space="preserve"> 152</w:t>
        </w:r>
      </w:hyperlink>
      <w:r>
        <w:rPr>
          <w:rFonts w:ascii="David" w:hAnsi="David" w:hint="cs"/>
          <w:sz w:val="26"/>
          <w:szCs w:val="26"/>
          <w:rtl/>
        </w:rPr>
        <w:t xml:space="preserve"> ל</w:t>
      </w:r>
      <w:hyperlink r:id="rId18" w:history="1">
        <w:r w:rsidR="00CA6AFA" w:rsidRPr="00CA6AFA">
          <w:rPr>
            <w:rFonts w:ascii="David" w:hAnsi="David"/>
            <w:color w:val="0000FF"/>
            <w:sz w:val="26"/>
            <w:szCs w:val="26"/>
            <w:u w:val="single"/>
            <w:rtl/>
          </w:rPr>
          <w:t>חוק העונשין</w:t>
        </w:r>
      </w:hyperlink>
      <w:r>
        <w:rPr>
          <w:rFonts w:ascii="David" w:hAnsi="David" w:hint="cs"/>
          <w:sz w:val="26"/>
          <w:szCs w:val="26"/>
          <w:rtl/>
        </w:rPr>
        <w:t xml:space="preserve">, תשל"ז-1977, עבירה של ניסיון הצתה - עבירה לפי </w:t>
      </w:r>
      <w:hyperlink r:id="rId19" w:history="1">
        <w:r w:rsidR="009E636D" w:rsidRPr="009E636D">
          <w:rPr>
            <w:rStyle w:val="Hyperlink"/>
            <w:rFonts w:ascii="David" w:hAnsi="David" w:hint="eastAsia"/>
            <w:sz w:val="26"/>
            <w:szCs w:val="26"/>
            <w:rtl/>
          </w:rPr>
          <w:t>סעיף</w:t>
        </w:r>
        <w:r w:rsidR="009E636D" w:rsidRPr="009E636D">
          <w:rPr>
            <w:rStyle w:val="Hyperlink"/>
            <w:rFonts w:ascii="David" w:hAnsi="David"/>
            <w:sz w:val="26"/>
            <w:szCs w:val="26"/>
            <w:rtl/>
          </w:rPr>
          <w:t xml:space="preserve"> 448(א)</w:t>
        </w:r>
      </w:hyperlink>
      <w:r>
        <w:rPr>
          <w:rFonts w:ascii="David" w:hAnsi="David" w:hint="cs"/>
          <w:sz w:val="26"/>
          <w:szCs w:val="26"/>
          <w:rtl/>
        </w:rPr>
        <w:t xml:space="preserve"> סיפא בצרוף </w:t>
      </w:r>
      <w:hyperlink r:id="rId20" w:history="1">
        <w:r w:rsidR="009E636D" w:rsidRPr="009E636D">
          <w:rPr>
            <w:rStyle w:val="Hyperlink"/>
            <w:rFonts w:ascii="David" w:hAnsi="David" w:hint="eastAsia"/>
            <w:sz w:val="26"/>
            <w:szCs w:val="26"/>
            <w:rtl/>
          </w:rPr>
          <w:t>סעיף</w:t>
        </w:r>
        <w:r w:rsidR="009E636D" w:rsidRPr="009E636D">
          <w:rPr>
            <w:rStyle w:val="Hyperlink"/>
            <w:rFonts w:ascii="David" w:hAnsi="David"/>
            <w:sz w:val="26"/>
            <w:szCs w:val="26"/>
            <w:rtl/>
          </w:rPr>
          <w:t xml:space="preserve"> 25</w:t>
        </w:r>
      </w:hyperlink>
      <w:r>
        <w:rPr>
          <w:rFonts w:ascii="David" w:hAnsi="David" w:hint="cs"/>
          <w:sz w:val="26"/>
          <w:szCs w:val="26"/>
          <w:rtl/>
        </w:rPr>
        <w:t xml:space="preserve"> לחוק העונשין, עבירה של החזקת נשק - עבירה לפי </w:t>
      </w:r>
      <w:hyperlink r:id="rId21" w:history="1">
        <w:r w:rsidR="009E636D" w:rsidRPr="009E636D">
          <w:rPr>
            <w:rStyle w:val="Hyperlink"/>
            <w:rFonts w:ascii="David" w:hAnsi="David" w:hint="eastAsia"/>
            <w:sz w:val="26"/>
            <w:szCs w:val="26"/>
            <w:rtl/>
          </w:rPr>
          <w:t>סעיף</w:t>
        </w:r>
        <w:r w:rsidR="009E636D" w:rsidRPr="009E636D">
          <w:rPr>
            <w:rStyle w:val="Hyperlink"/>
            <w:rFonts w:ascii="David" w:hAnsi="David"/>
            <w:sz w:val="26"/>
            <w:szCs w:val="26"/>
            <w:rtl/>
          </w:rPr>
          <w:t xml:space="preserve"> 144(א)</w:t>
        </w:r>
      </w:hyperlink>
      <w:r>
        <w:rPr>
          <w:rFonts w:ascii="David" w:hAnsi="David" w:hint="cs"/>
          <w:sz w:val="26"/>
          <w:szCs w:val="26"/>
          <w:rtl/>
        </w:rPr>
        <w:t xml:space="preserve"> רישא לחוק העונשין, עבירה של הפרעה לשוטר בנסיבות מחמירות - עבירה לפי </w:t>
      </w:r>
      <w:hyperlink r:id="rId22" w:history="1">
        <w:r w:rsidR="009E636D" w:rsidRPr="009E636D">
          <w:rPr>
            <w:rStyle w:val="Hyperlink"/>
            <w:rFonts w:ascii="David" w:hAnsi="David" w:hint="eastAsia"/>
            <w:sz w:val="26"/>
            <w:szCs w:val="26"/>
            <w:rtl/>
          </w:rPr>
          <w:t>סעיף</w:t>
        </w:r>
        <w:r w:rsidR="009E636D" w:rsidRPr="009E636D">
          <w:rPr>
            <w:rStyle w:val="Hyperlink"/>
            <w:rFonts w:ascii="David" w:hAnsi="David"/>
            <w:sz w:val="26"/>
            <w:szCs w:val="26"/>
            <w:rtl/>
          </w:rPr>
          <w:t xml:space="preserve"> 275א</w:t>
        </w:r>
      </w:hyperlink>
      <w:r>
        <w:rPr>
          <w:rFonts w:ascii="David" w:hAnsi="David" w:hint="cs"/>
          <w:sz w:val="26"/>
          <w:szCs w:val="26"/>
          <w:rtl/>
        </w:rPr>
        <w:t xml:space="preserve"> לחוק העונשין, ועבירה של ניסיון לתקיפת שוטר בנסיבות מחמירות - עבירה לפי </w:t>
      </w:r>
      <w:hyperlink r:id="rId23" w:history="1">
        <w:r w:rsidR="009E636D" w:rsidRPr="009E636D">
          <w:rPr>
            <w:rStyle w:val="Hyperlink"/>
            <w:rFonts w:ascii="David" w:hAnsi="David" w:hint="eastAsia"/>
            <w:sz w:val="26"/>
            <w:szCs w:val="26"/>
            <w:rtl/>
          </w:rPr>
          <w:t>סעיפים</w:t>
        </w:r>
        <w:r w:rsidR="009E636D" w:rsidRPr="009E636D">
          <w:rPr>
            <w:rStyle w:val="Hyperlink"/>
            <w:rFonts w:ascii="David" w:hAnsi="David"/>
            <w:sz w:val="26"/>
            <w:szCs w:val="26"/>
            <w:rtl/>
          </w:rPr>
          <w:t xml:space="preserve"> 274(1)</w:t>
        </w:r>
      </w:hyperlink>
      <w:r>
        <w:rPr>
          <w:rFonts w:ascii="David" w:hAnsi="David" w:hint="cs"/>
          <w:sz w:val="26"/>
          <w:szCs w:val="26"/>
          <w:rtl/>
        </w:rPr>
        <w:t xml:space="preserve"> + </w:t>
      </w:r>
      <w:hyperlink r:id="rId24" w:history="1">
        <w:r w:rsidR="009E636D" w:rsidRPr="009E636D">
          <w:rPr>
            <w:rStyle w:val="Hyperlink"/>
            <w:rFonts w:ascii="David" w:hAnsi="David"/>
            <w:sz w:val="26"/>
            <w:szCs w:val="26"/>
            <w:rtl/>
          </w:rPr>
          <w:t>(2)</w:t>
        </w:r>
      </w:hyperlink>
      <w:r>
        <w:rPr>
          <w:rFonts w:ascii="David" w:hAnsi="David" w:hint="cs"/>
          <w:sz w:val="26"/>
          <w:szCs w:val="26"/>
          <w:rtl/>
        </w:rPr>
        <w:t xml:space="preserve"> + </w:t>
      </w:r>
      <w:hyperlink r:id="rId25" w:history="1">
        <w:r w:rsidR="009E636D" w:rsidRPr="009E636D">
          <w:rPr>
            <w:rStyle w:val="Hyperlink"/>
            <w:rFonts w:ascii="David" w:hAnsi="David"/>
            <w:sz w:val="26"/>
            <w:szCs w:val="26"/>
            <w:rtl/>
          </w:rPr>
          <w:t>(3)</w:t>
        </w:r>
      </w:hyperlink>
      <w:r>
        <w:rPr>
          <w:rFonts w:ascii="David" w:hAnsi="David" w:hint="cs"/>
          <w:sz w:val="26"/>
          <w:szCs w:val="26"/>
          <w:rtl/>
        </w:rPr>
        <w:t xml:space="preserve"> ו-</w:t>
      </w:r>
      <w:hyperlink r:id="rId26" w:history="1">
        <w:r w:rsidR="009E636D" w:rsidRPr="009E636D">
          <w:rPr>
            <w:rStyle w:val="Hyperlink"/>
            <w:rFonts w:ascii="David" w:hAnsi="David"/>
            <w:sz w:val="26"/>
            <w:szCs w:val="26"/>
            <w:rtl/>
          </w:rPr>
          <w:t>25</w:t>
        </w:r>
      </w:hyperlink>
      <w:r>
        <w:rPr>
          <w:rFonts w:ascii="David" w:hAnsi="David" w:hint="cs"/>
          <w:sz w:val="26"/>
          <w:szCs w:val="26"/>
          <w:rtl/>
        </w:rPr>
        <w:t xml:space="preserve"> לחוק העונשין. </w:t>
      </w:r>
    </w:p>
    <w:p w14:paraId="084D02A1" w14:textId="77777777" w:rsidR="00261F4B" w:rsidRDefault="00261F4B" w:rsidP="00261F4B">
      <w:pPr>
        <w:spacing w:line="360" w:lineRule="auto"/>
        <w:ind w:left="720" w:hanging="720"/>
        <w:jc w:val="both"/>
        <w:rPr>
          <w:rFonts w:ascii="David" w:hAnsi="David"/>
          <w:sz w:val="26"/>
          <w:szCs w:val="26"/>
          <w:rtl/>
        </w:rPr>
      </w:pPr>
      <w:bookmarkStart w:id="6" w:name="ABSTRACT_END"/>
      <w:bookmarkEnd w:id="6"/>
    </w:p>
    <w:p w14:paraId="0D6A8414" w14:textId="77777777" w:rsidR="00261F4B" w:rsidRDefault="00261F4B" w:rsidP="00261F4B">
      <w:pPr>
        <w:spacing w:line="360" w:lineRule="auto"/>
        <w:ind w:left="720" w:hanging="720"/>
        <w:jc w:val="both"/>
        <w:rPr>
          <w:rFonts w:ascii="David" w:hAnsi="David"/>
          <w:sz w:val="26"/>
          <w:szCs w:val="26"/>
          <w:rtl/>
        </w:rPr>
      </w:pPr>
      <w:r>
        <w:rPr>
          <w:rFonts w:ascii="David" w:hAnsi="David" w:hint="cs"/>
          <w:sz w:val="26"/>
          <w:szCs w:val="26"/>
          <w:rtl/>
        </w:rPr>
        <w:t>2.</w:t>
      </w:r>
      <w:r>
        <w:rPr>
          <w:rFonts w:ascii="David" w:hAnsi="David" w:hint="cs"/>
          <w:sz w:val="26"/>
          <w:szCs w:val="26"/>
          <w:rtl/>
        </w:rPr>
        <w:tab/>
        <w:t xml:space="preserve">כתב האישום מחזיק שני אישומים. על פי הנטען בחלק הכללי של כתב האישום, העבירות המיוחסות לנאשם בוצעו בשעה שהתחוללו בארץ בכלל ובירושלים בפרט, התפרעויות שכללו זריקות אבנים מתוך מניע גזעני לעבר אנשים וכלי רכב בעלי סממנים יהודיים, וכן התפרעויות ותקיפות על רקע לאומני נגד כוחות המשטרה והביטחון. באותה תקופה גם החל ירי רקטות מאסיבי לעבר ירושלים ולעבר אזור עוטף עזה, דבר שהוביל למבצע "שומר החומות". </w:t>
      </w:r>
    </w:p>
    <w:p w14:paraId="4A599F79" w14:textId="77777777" w:rsidR="00261F4B" w:rsidRDefault="00261F4B" w:rsidP="00261F4B">
      <w:pPr>
        <w:spacing w:line="360" w:lineRule="auto"/>
        <w:ind w:left="720" w:hanging="720"/>
        <w:jc w:val="both"/>
        <w:rPr>
          <w:rFonts w:ascii="David" w:hAnsi="David"/>
          <w:sz w:val="26"/>
          <w:szCs w:val="26"/>
          <w:rtl/>
        </w:rPr>
      </w:pPr>
      <w:r>
        <w:rPr>
          <w:rFonts w:ascii="David" w:hAnsi="David"/>
          <w:sz w:val="26"/>
          <w:szCs w:val="26"/>
          <w:rtl/>
        </w:rPr>
        <w:tab/>
      </w:r>
      <w:r>
        <w:rPr>
          <w:rFonts w:ascii="David" w:hAnsi="David" w:hint="cs"/>
          <w:sz w:val="26"/>
          <w:szCs w:val="26"/>
          <w:rtl/>
        </w:rPr>
        <w:t xml:space="preserve">על פי הנטען באישום הראשון, ביום 21.05.2021, בתום תפילות יום השישי  בהר הבית, התרחשה התפרעות ברחבת הר הבית או בסמוך לה. במהלך ההתפרעות מאות מתפרעים עטו רעלות, הניפו דגלי חמאס ודגלים של הרשות הפלסטינית, קראו קריאות "תכביר" והחלו ליידות אבנים ובקבוקי זכוכית לעבר כוחות הביטחון ששהו במקום. הנאשם הצטרף למתפרעים ויידה לעבר כוחות הביטחון, ממרחק של 50, 60 מטר, מספר אבנים בגודל של חצי כף יד. כמו כן, בשלב מסוים נטל הנאשם בקבוק תבערה שהיה במקום, הצית אותו ויידה אותו לעבר כוחות הביטחון ממרחק דומה. </w:t>
      </w:r>
    </w:p>
    <w:p w14:paraId="6B47C53D" w14:textId="77777777" w:rsidR="00261F4B" w:rsidRDefault="00261F4B" w:rsidP="00261F4B">
      <w:pPr>
        <w:spacing w:line="360" w:lineRule="auto"/>
        <w:ind w:left="720"/>
        <w:jc w:val="both"/>
        <w:rPr>
          <w:rFonts w:ascii="David" w:hAnsi="David"/>
          <w:sz w:val="26"/>
          <w:szCs w:val="26"/>
          <w:rtl/>
        </w:rPr>
      </w:pPr>
      <w:r>
        <w:rPr>
          <w:rFonts w:ascii="David" w:hAnsi="David" w:hint="cs"/>
          <w:sz w:val="26"/>
          <w:szCs w:val="26"/>
          <w:rtl/>
        </w:rPr>
        <w:t xml:space="preserve">על פי הנטען באישום השני, ביום 15.05.2021 התרחשה התפרעות בשכונת בית חנינה בירושלים, במהלכה כ-50 מתפרעים רעולי פנים הציתו פחים, חסמו באמצעותם את הצירים, ויידו אבנים לעבר כוחות הביטחון. הנאשם הצטרף למתפרעים ויידה אבנים על כוחות הביטחון ממרחק של 30 עד 50 מטר. </w:t>
      </w:r>
    </w:p>
    <w:p w14:paraId="3B669EA9" w14:textId="77777777" w:rsidR="00261F4B" w:rsidRDefault="00261F4B" w:rsidP="00261F4B">
      <w:pPr>
        <w:spacing w:line="360" w:lineRule="auto"/>
        <w:ind w:left="720"/>
        <w:jc w:val="both"/>
        <w:rPr>
          <w:rFonts w:ascii="David" w:hAnsi="David"/>
          <w:sz w:val="26"/>
          <w:szCs w:val="26"/>
          <w:rtl/>
        </w:rPr>
      </w:pPr>
      <w:r>
        <w:rPr>
          <w:rFonts w:ascii="David" w:hAnsi="David" w:hint="cs"/>
          <w:sz w:val="26"/>
          <w:szCs w:val="26"/>
          <w:rtl/>
        </w:rPr>
        <w:t xml:space="preserve">כאמור לעיל, הנאשם הודה בעובדות כתב האישום המתוקן והורשע בעבירות שפורטו לעיל. </w:t>
      </w:r>
    </w:p>
    <w:p w14:paraId="6AE189A4" w14:textId="77777777" w:rsidR="00261F4B" w:rsidRDefault="00261F4B" w:rsidP="00261F4B">
      <w:pPr>
        <w:spacing w:line="360" w:lineRule="auto"/>
        <w:jc w:val="both"/>
        <w:rPr>
          <w:rFonts w:ascii="David" w:hAnsi="David"/>
          <w:sz w:val="26"/>
          <w:szCs w:val="26"/>
          <w:rtl/>
        </w:rPr>
      </w:pPr>
    </w:p>
    <w:p w14:paraId="696A4705" w14:textId="77777777" w:rsidR="00261F4B" w:rsidRDefault="00261F4B" w:rsidP="00261F4B">
      <w:pPr>
        <w:spacing w:line="360" w:lineRule="auto"/>
        <w:jc w:val="both"/>
        <w:rPr>
          <w:rFonts w:ascii="David" w:hAnsi="David"/>
          <w:b/>
          <w:bCs/>
          <w:sz w:val="26"/>
          <w:szCs w:val="26"/>
          <w:u w:val="single"/>
          <w:rtl/>
        </w:rPr>
      </w:pPr>
      <w:r>
        <w:rPr>
          <w:rFonts w:ascii="David" w:hAnsi="David" w:hint="cs"/>
          <w:sz w:val="26"/>
          <w:szCs w:val="26"/>
          <w:rtl/>
        </w:rPr>
        <w:t>3.</w:t>
      </w:r>
      <w:r>
        <w:rPr>
          <w:rFonts w:ascii="David" w:hAnsi="David"/>
          <w:sz w:val="26"/>
          <w:szCs w:val="26"/>
          <w:rtl/>
        </w:rPr>
        <w:tab/>
      </w:r>
      <w:r>
        <w:rPr>
          <w:rFonts w:ascii="David" w:hAnsi="David" w:hint="cs"/>
          <w:b/>
          <w:bCs/>
          <w:sz w:val="26"/>
          <w:szCs w:val="26"/>
          <w:u w:val="single"/>
          <w:rtl/>
        </w:rPr>
        <w:t>תסקיר שירות המבחן</w:t>
      </w:r>
    </w:p>
    <w:p w14:paraId="2D338121" w14:textId="77777777" w:rsidR="00261F4B" w:rsidRDefault="00261F4B" w:rsidP="00261F4B">
      <w:pPr>
        <w:spacing w:line="360" w:lineRule="auto"/>
        <w:ind w:left="720"/>
        <w:jc w:val="both"/>
        <w:rPr>
          <w:rFonts w:ascii="David" w:hAnsi="David"/>
          <w:sz w:val="26"/>
          <w:szCs w:val="26"/>
          <w:rtl/>
        </w:rPr>
      </w:pPr>
      <w:r>
        <w:rPr>
          <w:rFonts w:ascii="David" w:hAnsi="David" w:hint="cs"/>
          <w:sz w:val="26"/>
          <w:szCs w:val="26"/>
          <w:rtl/>
        </w:rPr>
        <w:t>בעניינו של הנאשם הוגש תסקיר. יצוין, כי התסקיר מתייחס לכתב האישום המקורי ולא לכתב האישום שתוקן במסגרת ההסדר.</w:t>
      </w:r>
    </w:p>
    <w:p w14:paraId="2BEDA190" w14:textId="77777777" w:rsidR="00261F4B" w:rsidRDefault="00261F4B" w:rsidP="00261F4B">
      <w:pPr>
        <w:spacing w:line="360" w:lineRule="auto"/>
        <w:ind w:left="720"/>
        <w:jc w:val="both"/>
        <w:rPr>
          <w:rFonts w:ascii="David" w:hAnsi="David"/>
          <w:sz w:val="26"/>
          <w:szCs w:val="26"/>
          <w:rtl/>
        </w:rPr>
      </w:pPr>
      <w:r>
        <w:rPr>
          <w:rFonts w:ascii="David" w:hAnsi="David" w:hint="cs"/>
          <w:sz w:val="26"/>
          <w:szCs w:val="26"/>
          <w:rtl/>
        </w:rPr>
        <w:t xml:space="preserve">הנאשם יליד 18.05.2002, היה בן 19 בעת ביצוע העבירות. הנאשם סיים 12 שנות לימוד. עובר למעצרו הנאשם השתלב בעבודה כמטאטא רחובות במחלקת התברואה של עיריית ירושלים, זאת באמצעות קבלן משנה של העירייה.  משפחתו של הנאשם מנהלת אורח חיים נורמטיבי. לנאשם אין עבר פלילי. בשיחה עם שירות המבחן, טען הנאשם כי נגרר לביצוע העבירות מתוך הזדהות חברתית עם צעירים בחברת מגוריו. שירות המבחן מציין בתסקיר, כי הנאשם טשטש וצמצם את מעשיו, ושלל מניע אידיאולוגי למעשים או כוונה לפגיעה ממשית באדם. שירות המבחן התרשם כי הסביבה בה גדל הנאשם, במזרח ירושלים, הותירה בו משקעים וכעסים שלפי הערכת שירות המבחן הביאה יחד עם אישיותו הבלתי בשלה של הנאשם, והקושי </w:t>
      </w:r>
      <w:r>
        <w:rPr>
          <w:rFonts w:ascii="David" w:hAnsi="David" w:hint="cs"/>
          <w:sz w:val="26"/>
          <w:szCs w:val="26"/>
          <w:rtl/>
        </w:rPr>
        <w:lastRenderedPageBreak/>
        <w:t xml:space="preserve">שלו בדחיית סיפוקים, בוויסות כעסים ובריסון עצמי, לביצוע העבירות האמורות. שירות המבחן מעריך כי רמת הסיכון להישנות התנהגות פוגענית היא בינונית. בסיכום התסקיר לא בא שירות המבחן בהמלצה טיפולית בעניינו של הנאשם. שירות המבחן מציין שענישה בעלת מרכיב מציב גבול עשויה לצמצם את רמת הסיכון הנשקפת מהנאשם, ומצד שני סבור שירות המבחן כי מאסר ארוך עלול להעמיק את קשייו של הנאשם ולהביאו לאימוץ ערכים בלתי נורמטיביים. </w:t>
      </w:r>
    </w:p>
    <w:p w14:paraId="565BCB3B" w14:textId="77777777" w:rsidR="00261F4B" w:rsidRDefault="00261F4B" w:rsidP="00261F4B">
      <w:pPr>
        <w:spacing w:line="360" w:lineRule="auto"/>
        <w:ind w:left="720"/>
        <w:jc w:val="both"/>
        <w:rPr>
          <w:rFonts w:ascii="David" w:hAnsi="David"/>
          <w:sz w:val="26"/>
          <w:szCs w:val="26"/>
          <w:rtl/>
        </w:rPr>
      </w:pPr>
    </w:p>
    <w:p w14:paraId="1A907FEF" w14:textId="77777777" w:rsidR="00261F4B" w:rsidRDefault="00261F4B" w:rsidP="00261F4B">
      <w:pPr>
        <w:spacing w:line="360" w:lineRule="auto"/>
        <w:ind w:left="720"/>
        <w:jc w:val="both"/>
        <w:rPr>
          <w:rFonts w:ascii="David" w:hAnsi="David"/>
          <w:sz w:val="26"/>
          <w:szCs w:val="26"/>
          <w:rtl/>
        </w:rPr>
      </w:pPr>
    </w:p>
    <w:p w14:paraId="3488C413" w14:textId="77777777" w:rsidR="00261F4B" w:rsidRDefault="00261F4B" w:rsidP="00261F4B">
      <w:pPr>
        <w:spacing w:line="360" w:lineRule="auto"/>
        <w:jc w:val="both"/>
        <w:rPr>
          <w:rFonts w:ascii="David" w:hAnsi="David"/>
          <w:sz w:val="26"/>
          <w:szCs w:val="26"/>
          <w:rtl/>
        </w:rPr>
      </w:pPr>
    </w:p>
    <w:p w14:paraId="7DD6D4FB" w14:textId="77777777" w:rsidR="00261F4B" w:rsidRDefault="00261F4B" w:rsidP="00261F4B">
      <w:pPr>
        <w:spacing w:line="360" w:lineRule="auto"/>
        <w:jc w:val="both"/>
        <w:rPr>
          <w:rFonts w:ascii="David" w:hAnsi="David"/>
          <w:sz w:val="26"/>
          <w:szCs w:val="26"/>
          <w:rtl/>
        </w:rPr>
      </w:pPr>
      <w:r>
        <w:rPr>
          <w:rFonts w:ascii="David" w:hAnsi="David" w:hint="cs"/>
          <w:sz w:val="26"/>
          <w:szCs w:val="26"/>
          <w:rtl/>
        </w:rPr>
        <w:t>4.</w:t>
      </w:r>
      <w:r>
        <w:rPr>
          <w:rFonts w:ascii="David" w:hAnsi="David" w:hint="cs"/>
          <w:sz w:val="26"/>
          <w:szCs w:val="26"/>
          <w:rtl/>
        </w:rPr>
        <w:tab/>
      </w:r>
      <w:r>
        <w:rPr>
          <w:rFonts w:ascii="David" w:hAnsi="David" w:hint="cs"/>
          <w:b/>
          <w:bCs/>
          <w:sz w:val="26"/>
          <w:szCs w:val="26"/>
          <w:u w:val="single"/>
          <w:rtl/>
        </w:rPr>
        <w:t>טענות המאשימה לעונש</w:t>
      </w:r>
    </w:p>
    <w:p w14:paraId="35B59759" w14:textId="77777777" w:rsidR="00261F4B" w:rsidRDefault="00261F4B" w:rsidP="00261F4B">
      <w:pPr>
        <w:spacing w:line="360" w:lineRule="auto"/>
        <w:ind w:left="720"/>
        <w:jc w:val="both"/>
        <w:rPr>
          <w:rFonts w:ascii="David" w:hAnsi="David"/>
          <w:sz w:val="26"/>
          <w:szCs w:val="26"/>
          <w:rtl/>
        </w:rPr>
      </w:pPr>
      <w:r>
        <w:rPr>
          <w:rFonts w:ascii="David" w:hAnsi="David" w:hint="cs"/>
          <w:sz w:val="26"/>
          <w:szCs w:val="26"/>
          <w:rtl/>
        </w:rPr>
        <w:t>בא כוח המאשימה טען, כי</w:t>
      </w:r>
      <w:r w:rsidRPr="000754F7">
        <w:rPr>
          <w:rFonts w:ascii="David" w:hAnsi="David" w:hint="cs"/>
          <w:sz w:val="26"/>
          <w:szCs w:val="26"/>
          <w:rtl/>
        </w:rPr>
        <w:t xml:space="preserve"> יש לקבוע מתחם נפרד לכל אחד מהאישומים, זאת על רקע הריחוק בזמן ובמקום בין שני האירועים.</w:t>
      </w:r>
    </w:p>
    <w:p w14:paraId="127BF60B" w14:textId="77777777" w:rsidR="00261F4B" w:rsidRDefault="00261F4B" w:rsidP="00261F4B">
      <w:pPr>
        <w:spacing w:line="360" w:lineRule="auto"/>
        <w:ind w:left="720"/>
        <w:jc w:val="both"/>
        <w:rPr>
          <w:rFonts w:ascii="David" w:hAnsi="David"/>
          <w:sz w:val="26"/>
          <w:szCs w:val="26"/>
          <w:rtl/>
        </w:rPr>
      </w:pPr>
      <w:r>
        <w:rPr>
          <w:rFonts w:ascii="David" w:hAnsi="David" w:hint="cs"/>
          <w:sz w:val="26"/>
          <w:szCs w:val="26"/>
          <w:rtl/>
        </w:rPr>
        <w:t xml:space="preserve">בטיעוניו הדגיש בא כוח המאשימה את הנסיבות הקשורות בביצוע העבירות, במיוחד את נסיבות ביצוע העבירה המתוארת באישום הראשון. בא כוח המאשימה הפנה לכך שהנאשם הורשע בעבירה של ניסיון הצתה לפי </w:t>
      </w:r>
      <w:hyperlink r:id="rId27" w:history="1">
        <w:r w:rsidR="009E636D" w:rsidRPr="009E636D">
          <w:rPr>
            <w:rStyle w:val="Hyperlink"/>
            <w:rFonts w:ascii="David" w:hAnsi="David" w:hint="eastAsia"/>
            <w:sz w:val="26"/>
            <w:szCs w:val="26"/>
            <w:rtl/>
          </w:rPr>
          <w:t>סעיף</w:t>
        </w:r>
        <w:r w:rsidR="009E636D" w:rsidRPr="009E636D">
          <w:rPr>
            <w:rStyle w:val="Hyperlink"/>
            <w:rFonts w:ascii="David" w:hAnsi="David"/>
            <w:sz w:val="26"/>
            <w:szCs w:val="26"/>
            <w:rtl/>
          </w:rPr>
          <w:t xml:space="preserve"> 448(א)</w:t>
        </w:r>
      </w:hyperlink>
      <w:r>
        <w:rPr>
          <w:rFonts w:ascii="David" w:hAnsi="David" w:hint="cs"/>
          <w:sz w:val="26"/>
          <w:szCs w:val="26"/>
          <w:rtl/>
        </w:rPr>
        <w:t xml:space="preserve"> סיפא ל</w:t>
      </w:r>
      <w:hyperlink r:id="rId28" w:history="1">
        <w:r w:rsidR="00CA6AFA" w:rsidRPr="00CA6AFA">
          <w:rPr>
            <w:rFonts w:ascii="David" w:hAnsi="David"/>
            <w:color w:val="0000FF"/>
            <w:sz w:val="26"/>
            <w:szCs w:val="26"/>
            <w:u w:val="single"/>
            <w:rtl/>
          </w:rPr>
          <w:t>חוק העונשין</w:t>
        </w:r>
      </w:hyperlink>
      <w:r>
        <w:rPr>
          <w:rFonts w:ascii="David" w:hAnsi="David" w:hint="cs"/>
          <w:sz w:val="26"/>
          <w:szCs w:val="26"/>
          <w:rtl/>
        </w:rPr>
        <w:t xml:space="preserve">, דהיינו בעבירה של ניסיון הצתה אשר בוצע במטרה לפגוע בבני אדם. בא כוח המאשימה הוסיף והדגיש, כי ראוי להביא בחשבון לחומרה את העובדה שהעבירה נושא האישום הראשון בוצעה במתחם הר הבית, תוך שימוש בבקבוק תבערה, אשר נזרק לעבר כוחות ביטחון בשעה שאלו ממלאים את תפקידם. </w:t>
      </w:r>
    </w:p>
    <w:p w14:paraId="389ACD20" w14:textId="77777777" w:rsidR="00261F4B" w:rsidRDefault="00261F4B" w:rsidP="00261F4B">
      <w:pPr>
        <w:spacing w:line="360" w:lineRule="auto"/>
        <w:ind w:left="720"/>
        <w:jc w:val="both"/>
        <w:rPr>
          <w:rFonts w:ascii="David" w:hAnsi="David"/>
          <w:sz w:val="26"/>
          <w:szCs w:val="26"/>
          <w:rtl/>
        </w:rPr>
      </w:pPr>
      <w:r>
        <w:rPr>
          <w:rFonts w:ascii="David" w:hAnsi="David" w:hint="cs"/>
          <w:sz w:val="26"/>
          <w:szCs w:val="26"/>
          <w:rtl/>
        </w:rPr>
        <w:t>בא כוח המאשימה טען כי בגין האירוע נושא האישום הראשון יש לקבוע מתחם ענישה של 3 עד 6 שנות מאסר, וכי בגין האירוע נושא האישום השני יש לקבוע מתחם ענישה של 12 עד 24 חודשי מאסר בפועל. לנוכח הודאתו של הנאשם ועברו הנקי, טען בא כוח המאשימה כי יש למקם את עונשו של הנאשם בתחתית המתחמים, וכי בסיכום כולל יש לגזור על הנאשם עונש של 4 שנות מאסר, בצירוף מאסר על תנאי וקנס.</w:t>
      </w:r>
    </w:p>
    <w:p w14:paraId="25BC2941" w14:textId="77777777" w:rsidR="00261F4B" w:rsidRDefault="00261F4B" w:rsidP="00261F4B">
      <w:pPr>
        <w:spacing w:line="360" w:lineRule="auto"/>
        <w:jc w:val="both"/>
        <w:rPr>
          <w:rFonts w:ascii="David" w:hAnsi="David"/>
          <w:sz w:val="26"/>
          <w:szCs w:val="26"/>
          <w:rtl/>
        </w:rPr>
      </w:pPr>
    </w:p>
    <w:p w14:paraId="3E877A48" w14:textId="77777777" w:rsidR="00261F4B" w:rsidRDefault="00261F4B" w:rsidP="00261F4B">
      <w:pPr>
        <w:spacing w:line="360" w:lineRule="auto"/>
        <w:jc w:val="both"/>
        <w:rPr>
          <w:rFonts w:ascii="David" w:hAnsi="David"/>
          <w:sz w:val="26"/>
          <w:szCs w:val="26"/>
          <w:rtl/>
        </w:rPr>
      </w:pPr>
      <w:r>
        <w:rPr>
          <w:rFonts w:ascii="David" w:hAnsi="David" w:hint="cs"/>
          <w:sz w:val="26"/>
          <w:szCs w:val="26"/>
          <w:rtl/>
        </w:rPr>
        <w:t>5.</w:t>
      </w:r>
      <w:r>
        <w:rPr>
          <w:rFonts w:ascii="David" w:hAnsi="David"/>
          <w:sz w:val="26"/>
          <w:szCs w:val="26"/>
          <w:rtl/>
        </w:rPr>
        <w:tab/>
      </w:r>
      <w:r>
        <w:rPr>
          <w:rFonts w:ascii="David" w:hAnsi="David" w:hint="cs"/>
          <w:b/>
          <w:bCs/>
          <w:sz w:val="26"/>
          <w:szCs w:val="26"/>
          <w:u w:val="single"/>
          <w:rtl/>
        </w:rPr>
        <w:t>טענות הנאשם לעונש</w:t>
      </w:r>
    </w:p>
    <w:p w14:paraId="6E6AE38F" w14:textId="77777777" w:rsidR="00261F4B" w:rsidRDefault="00261F4B" w:rsidP="00261F4B">
      <w:pPr>
        <w:spacing w:line="360" w:lineRule="auto"/>
        <w:ind w:left="720"/>
        <w:jc w:val="both"/>
        <w:rPr>
          <w:rFonts w:ascii="David" w:hAnsi="David"/>
          <w:sz w:val="26"/>
          <w:szCs w:val="26"/>
          <w:rtl/>
        </w:rPr>
      </w:pPr>
      <w:r>
        <w:rPr>
          <w:rFonts w:ascii="David" w:hAnsi="David" w:hint="cs"/>
          <w:sz w:val="26"/>
          <w:szCs w:val="26"/>
          <w:rtl/>
        </w:rPr>
        <w:t>בא כוח הנאשם, הדגיש בטיעוניו כי לא יוחסו לנאשם בכתב האישום עבירות שהן בבחינת מעשה טרור, כהגדרתו של זה ב</w:t>
      </w:r>
      <w:hyperlink r:id="rId29" w:history="1">
        <w:r w:rsidR="00CA6AFA" w:rsidRPr="00CA6AFA">
          <w:rPr>
            <w:rFonts w:ascii="David" w:hAnsi="David"/>
            <w:color w:val="0000FF"/>
            <w:sz w:val="26"/>
            <w:szCs w:val="26"/>
            <w:u w:val="single"/>
            <w:rtl/>
          </w:rPr>
          <w:t>חוק המאבק בטרור, תשע"ו-2016</w:t>
        </w:r>
      </w:hyperlink>
      <w:r>
        <w:rPr>
          <w:rFonts w:ascii="David" w:hAnsi="David" w:hint="cs"/>
          <w:sz w:val="26"/>
          <w:szCs w:val="26"/>
          <w:rtl/>
        </w:rPr>
        <w:t xml:space="preserve">, וכן לא יוחסה לו עבירה של חבלה בכוונה מחמירה, למרות שעבירה זו הוזכרה בטיעוני בא כוח המאשימה. כמו כן, הדגיש בא כוח הנאשם, כי הנאשם לא הורשע בעבירה מושלמת של הצתה, אלא בניסיון הצתה. בא כוח הנאשם, טען שמדובר בבקבוק תבערה שנזרק ממרחק רב על כוחות הביטחון, ללא תכנון מראש. בא כוח הנאשם טען כי יש לקבוע מתחם אחד לשני האירועים, שכן מדובר באירועים הדומים זה לזה באופיים ובמהותם, אשר בוצעו שניהם במזרח ירושלים בהפרש של שבוע בלבד זה מזה. בא כוח הנאשם טען כי הפסיקה שהציג בא כוח המאשימה איננה תואמת בנסיבותיה את העבירות שביצע הנאשם. בא כוח הנאשם טען כי יש להעמיד את מתחם העונש ההולם על 10 עד 25 חודשי מאסר בפועל, וכי לנוכח הודאתו של הנאשם ועברו הנקי, יש לגזור על הנאשם עונש שלא יעלה על 15 חודשי מאסר בפועל. </w:t>
      </w:r>
    </w:p>
    <w:p w14:paraId="15A8E920" w14:textId="77777777" w:rsidR="00261F4B" w:rsidRDefault="00261F4B" w:rsidP="00261F4B">
      <w:pPr>
        <w:spacing w:line="360" w:lineRule="auto"/>
        <w:ind w:left="720"/>
        <w:jc w:val="both"/>
        <w:rPr>
          <w:rFonts w:ascii="David" w:hAnsi="David"/>
          <w:sz w:val="26"/>
          <w:szCs w:val="26"/>
          <w:rtl/>
        </w:rPr>
      </w:pPr>
      <w:r>
        <w:rPr>
          <w:rFonts w:ascii="David" w:hAnsi="David" w:hint="cs"/>
          <w:sz w:val="26"/>
          <w:szCs w:val="26"/>
          <w:rtl/>
        </w:rPr>
        <w:t xml:space="preserve">בתום הדיון מסר הנאשם שהוא מצטער על מעשיו. </w:t>
      </w:r>
    </w:p>
    <w:p w14:paraId="0C0433FD" w14:textId="77777777" w:rsidR="00261F4B" w:rsidRDefault="00261F4B" w:rsidP="00261F4B">
      <w:pPr>
        <w:spacing w:line="360" w:lineRule="auto"/>
        <w:ind w:left="720"/>
        <w:jc w:val="both"/>
        <w:rPr>
          <w:rFonts w:ascii="David" w:hAnsi="David"/>
          <w:sz w:val="26"/>
          <w:szCs w:val="26"/>
          <w:rtl/>
        </w:rPr>
      </w:pPr>
    </w:p>
    <w:p w14:paraId="184B2FB4" w14:textId="77777777" w:rsidR="00261F4B" w:rsidRDefault="00261F4B" w:rsidP="00261F4B">
      <w:pPr>
        <w:spacing w:line="360" w:lineRule="auto"/>
        <w:ind w:left="720"/>
        <w:jc w:val="both"/>
        <w:rPr>
          <w:rFonts w:ascii="David" w:hAnsi="David"/>
          <w:sz w:val="26"/>
          <w:szCs w:val="26"/>
          <w:rtl/>
        </w:rPr>
      </w:pPr>
    </w:p>
    <w:p w14:paraId="1771C81C" w14:textId="77777777" w:rsidR="00261F4B" w:rsidRDefault="00261F4B" w:rsidP="00261F4B">
      <w:pPr>
        <w:spacing w:line="360" w:lineRule="auto"/>
        <w:ind w:left="720"/>
        <w:jc w:val="both"/>
        <w:rPr>
          <w:rFonts w:ascii="David" w:hAnsi="David"/>
          <w:sz w:val="26"/>
          <w:szCs w:val="26"/>
          <w:rtl/>
        </w:rPr>
      </w:pPr>
    </w:p>
    <w:p w14:paraId="0316AB19" w14:textId="77777777" w:rsidR="00261F4B" w:rsidRDefault="00261F4B" w:rsidP="00261F4B">
      <w:pPr>
        <w:spacing w:line="360" w:lineRule="auto"/>
        <w:jc w:val="both"/>
        <w:rPr>
          <w:rFonts w:ascii="David" w:hAnsi="David"/>
          <w:sz w:val="26"/>
          <w:szCs w:val="26"/>
          <w:rtl/>
        </w:rPr>
      </w:pPr>
    </w:p>
    <w:p w14:paraId="17AE9827" w14:textId="77777777" w:rsidR="00261F4B" w:rsidRDefault="00261F4B" w:rsidP="00261F4B">
      <w:pPr>
        <w:spacing w:line="360" w:lineRule="auto"/>
        <w:jc w:val="both"/>
        <w:rPr>
          <w:rFonts w:ascii="David" w:hAnsi="David"/>
          <w:sz w:val="26"/>
          <w:szCs w:val="26"/>
          <w:rtl/>
        </w:rPr>
      </w:pPr>
      <w:r>
        <w:rPr>
          <w:rFonts w:ascii="David" w:hAnsi="David" w:hint="cs"/>
          <w:sz w:val="26"/>
          <w:szCs w:val="26"/>
          <w:rtl/>
        </w:rPr>
        <w:t>6.</w:t>
      </w:r>
      <w:r>
        <w:rPr>
          <w:rFonts w:ascii="David" w:hAnsi="David" w:hint="cs"/>
          <w:sz w:val="26"/>
          <w:szCs w:val="26"/>
          <w:rtl/>
        </w:rPr>
        <w:tab/>
      </w:r>
      <w:r w:rsidRPr="002D18CA">
        <w:rPr>
          <w:rFonts w:ascii="David" w:hAnsi="David" w:hint="cs"/>
          <w:b/>
          <w:bCs/>
          <w:sz w:val="26"/>
          <w:szCs w:val="26"/>
          <w:u w:val="single"/>
          <w:rtl/>
        </w:rPr>
        <w:t xml:space="preserve">מתחם העונש ההולם </w:t>
      </w:r>
      <w:r>
        <w:rPr>
          <w:rFonts w:ascii="David" w:hAnsi="David" w:hint="cs"/>
          <w:b/>
          <w:bCs/>
          <w:sz w:val="26"/>
          <w:szCs w:val="26"/>
          <w:u w:val="single"/>
          <w:rtl/>
        </w:rPr>
        <w:t>-</w:t>
      </w:r>
      <w:r w:rsidRPr="002D18CA">
        <w:rPr>
          <w:rFonts w:ascii="David" w:hAnsi="David" w:hint="cs"/>
          <w:b/>
          <w:bCs/>
          <w:sz w:val="26"/>
          <w:szCs w:val="26"/>
          <w:u w:val="single"/>
          <w:rtl/>
        </w:rPr>
        <w:t xml:space="preserve"> </w:t>
      </w:r>
      <w:r>
        <w:rPr>
          <w:rFonts w:ascii="David" w:hAnsi="David" w:hint="cs"/>
          <w:b/>
          <w:bCs/>
          <w:sz w:val="26"/>
          <w:szCs w:val="26"/>
          <w:u w:val="single"/>
          <w:rtl/>
        </w:rPr>
        <w:t>אירוע אחד או שני אירועים</w:t>
      </w:r>
      <w:r w:rsidRPr="002D18CA">
        <w:rPr>
          <w:rFonts w:ascii="David" w:hAnsi="David" w:hint="cs"/>
          <w:b/>
          <w:bCs/>
          <w:sz w:val="26"/>
          <w:szCs w:val="26"/>
          <w:u w:val="single"/>
          <w:rtl/>
        </w:rPr>
        <w:t>?</w:t>
      </w:r>
    </w:p>
    <w:p w14:paraId="200FE13F" w14:textId="77777777" w:rsidR="00261F4B" w:rsidRDefault="00261F4B" w:rsidP="00261F4B">
      <w:pPr>
        <w:spacing w:line="360" w:lineRule="auto"/>
        <w:ind w:left="720"/>
        <w:jc w:val="both"/>
        <w:rPr>
          <w:rFonts w:ascii="David" w:hAnsi="David"/>
          <w:sz w:val="26"/>
          <w:szCs w:val="26"/>
          <w:rtl/>
        </w:rPr>
      </w:pPr>
      <w:r>
        <w:rPr>
          <w:rFonts w:ascii="David" w:hAnsi="David" w:hint="cs"/>
          <w:sz w:val="26"/>
          <w:szCs w:val="26"/>
          <w:rtl/>
        </w:rPr>
        <w:t>השאלה האם יש לסווג את שני האירועים כאירוע אחד לצורך קביעת מתחם העונש ההולם, תוכרע על יסוד מבחן "</w:t>
      </w:r>
      <w:r w:rsidRPr="007102A0">
        <w:rPr>
          <w:rFonts w:ascii="David" w:hAnsi="David" w:hint="cs"/>
          <w:sz w:val="26"/>
          <w:szCs w:val="26"/>
          <w:rtl/>
        </w:rPr>
        <w:t>הקשר ההדוק</w:t>
      </w:r>
      <w:r>
        <w:rPr>
          <w:rFonts w:ascii="David" w:hAnsi="David" w:hint="cs"/>
          <w:sz w:val="26"/>
          <w:szCs w:val="26"/>
          <w:rtl/>
        </w:rPr>
        <w:t>", במסגרתו בוחן בית המשפט האם העבירות בוצעו בסמיכות זמנים זו לזו, כחלק מתכנית עבריינית אחת (</w:t>
      </w:r>
      <w:hyperlink r:id="rId30" w:history="1">
        <w:r w:rsidR="00CA6AFA" w:rsidRPr="00CA6AFA">
          <w:rPr>
            <w:rFonts w:ascii="David" w:hAnsi="David"/>
            <w:color w:val="0000FF"/>
            <w:sz w:val="26"/>
            <w:szCs w:val="26"/>
            <w:u w:val="single"/>
            <w:rtl/>
          </w:rPr>
          <w:t>ע"פ 4910/13</w:t>
        </w:r>
      </w:hyperlink>
      <w:r w:rsidRPr="009359A8">
        <w:rPr>
          <w:rFonts w:ascii="David" w:hAnsi="David" w:hint="cs"/>
          <w:sz w:val="26"/>
          <w:szCs w:val="26"/>
          <w:rtl/>
        </w:rPr>
        <w:t xml:space="preserve"> </w:t>
      </w:r>
      <w:r w:rsidRPr="009359A8">
        <w:rPr>
          <w:rFonts w:ascii="David" w:hAnsi="David" w:hint="cs"/>
          <w:b/>
          <w:bCs/>
          <w:sz w:val="26"/>
          <w:szCs w:val="26"/>
          <w:rtl/>
        </w:rPr>
        <w:t xml:space="preserve">ג'אבר נ' מדינת ישראל </w:t>
      </w:r>
      <w:r w:rsidRPr="009359A8">
        <w:rPr>
          <w:rFonts w:ascii="David" w:hAnsi="David" w:hint="cs"/>
          <w:sz w:val="26"/>
          <w:szCs w:val="26"/>
          <w:rtl/>
        </w:rPr>
        <w:t>(29.10.14)</w:t>
      </w:r>
      <w:r>
        <w:rPr>
          <w:rFonts w:ascii="David" w:hAnsi="David" w:hint="cs"/>
          <w:sz w:val="26"/>
          <w:szCs w:val="26"/>
          <w:rtl/>
        </w:rPr>
        <w:t>). ויודגש, על פי הפסיקה המונח "אירוע אחד" רחב דיו כדי לכלול גם פעולות עברייניות שבוצעו על פני רצף זמן, ואשר כללו מעשים שונים כלפי קורבנות שונים, במקומות שונים (</w:t>
      </w:r>
      <w:hyperlink r:id="rId31" w:history="1">
        <w:r w:rsidR="00CA6AFA" w:rsidRPr="00CA6AFA">
          <w:rPr>
            <w:rFonts w:ascii="David" w:hAnsi="David"/>
            <w:color w:val="0000FF"/>
            <w:sz w:val="26"/>
            <w:szCs w:val="26"/>
            <w:u w:val="single"/>
            <w:rtl/>
          </w:rPr>
          <w:t>ע"פ 2519/14</w:t>
        </w:r>
      </w:hyperlink>
      <w:r w:rsidRPr="009359A8">
        <w:rPr>
          <w:rFonts w:ascii="David" w:hAnsi="David" w:hint="cs"/>
          <w:sz w:val="26"/>
          <w:szCs w:val="26"/>
          <w:rtl/>
        </w:rPr>
        <w:t xml:space="preserve"> </w:t>
      </w:r>
      <w:r w:rsidRPr="009359A8">
        <w:rPr>
          <w:rFonts w:ascii="David" w:hAnsi="David" w:hint="cs"/>
          <w:b/>
          <w:bCs/>
          <w:sz w:val="26"/>
          <w:szCs w:val="26"/>
          <w:rtl/>
        </w:rPr>
        <w:t>אבו קיעאן נ' מדינת ישראל</w:t>
      </w:r>
      <w:r w:rsidRPr="009359A8">
        <w:rPr>
          <w:rFonts w:ascii="David" w:hAnsi="David" w:hint="cs"/>
          <w:sz w:val="26"/>
          <w:szCs w:val="26"/>
          <w:rtl/>
        </w:rPr>
        <w:t xml:space="preserve"> (29.12.14)</w:t>
      </w:r>
      <w:r>
        <w:rPr>
          <w:rFonts w:ascii="David" w:hAnsi="David" w:hint="cs"/>
          <w:sz w:val="26"/>
          <w:szCs w:val="26"/>
          <w:rtl/>
        </w:rPr>
        <w:t>).</w:t>
      </w:r>
    </w:p>
    <w:p w14:paraId="1C40E689" w14:textId="77777777" w:rsidR="00261F4B" w:rsidRDefault="00261F4B" w:rsidP="00261F4B">
      <w:pPr>
        <w:spacing w:line="360" w:lineRule="auto"/>
        <w:ind w:left="720"/>
        <w:jc w:val="both"/>
        <w:rPr>
          <w:rFonts w:ascii="David" w:hAnsi="David"/>
          <w:sz w:val="26"/>
          <w:szCs w:val="26"/>
          <w:rtl/>
        </w:rPr>
      </w:pPr>
      <w:r>
        <w:rPr>
          <w:rFonts w:ascii="David" w:hAnsi="David" w:hint="cs"/>
          <w:sz w:val="26"/>
          <w:szCs w:val="26"/>
          <w:rtl/>
        </w:rPr>
        <w:t xml:space="preserve">במקרה שלפניי מדובר בשתי עבירות דומות באופיין, אשר ניתן לומר עליהן שהן חלק מתכנית עבריינית אחת של הנאשם, שתכליתה לפגוע בכוחות הביטחון בתקופה הרגישה שבה התרחש מבצע "שומר החומות". שתי העבירות בוצעו בהפרש של שבוע בלבד אחת מהשנייה. שתי העבירות בוצעו בזירות גאוגרפיות לא זהות אך קרובות - במזרח ירושלים. אשר על כן, אני סבור כי יש לראות בשני האישומים "אירוע אחד", ועל כן אקבע מתחם ענישה אחד לשני האישומים. </w:t>
      </w:r>
    </w:p>
    <w:p w14:paraId="00D8D58A" w14:textId="77777777" w:rsidR="00261F4B" w:rsidRDefault="00261F4B" w:rsidP="00261F4B">
      <w:pPr>
        <w:spacing w:line="360" w:lineRule="auto"/>
        <w:jc w:val="both"/>
        <w:rPr>
          <w:rFonts w:ascii="David" w:hAnsi="David"/>
          <w:sz w:val="26"/>
          <w:szCs w:val="26"/>
          <w:rtl/>
        </w:rPr>
      </w:pPr>
    </w:p>
    <w:p w14:paraId="1984B25A" w14:textId="77777777" w:rsidR="00261F4B" w:rsidRDefault="00261F4B" w:rsidP="00261F4B">
      <w:pPr>
        <w:spacing w:line="360" w:lineRule="auto"/>
        <w:jc w:val="both"/>
        <w:rPr>
          <w:rFonts w:ascii="David" w:hAnsi="David"/>
          <w:sz w:val="26"/>
          <w:szCs w:val="26"/>
          <w:rtl/>
        </w:rPr>
      </w:pPr>
      <w:r>
        <w:rPr>
          <w:rFonts w:ascii="David" w:hAnsi="David" w:hint="cs"/>
          <w:sz w:val="26"/>
          <w:szCs w:val="26"/>
          <w:rtl/>
        </w:rPr>
        <w:t>7.</w:t>
      </w:r>
      <w:r>
        <w:rPr>
          <w:rFonts w:ascii="David" w:hAnsi="David" w:hint="cs"/>
          <w:sz w:val="26"/>
          <w:szCs w:val="26"/>
          <w:rtl/>
        </w:rPr>
        <w:tab/>
      </w:r>
      <w:r>
        <w:rPr>
          <w:rFonts w:ascii="David" w:hAnsi="David" w:hint="cs"/>
          <w:b/>
          <w:bCs/>
          <w:sz w:val="26"/>
          <w:szCs w:val="26"/>
          <w:u w:val="single"/>
          <w:rtl/>
        </w:rPr>
        <w:t>מתחם העונש ההולם - הערכים המוגנים ומידת הפגיעה בהם</w:t>
      </w:r>
    </w:p>
    <w:p w14:paraId="12BAE869" w14:textId="77777777" w:rsidR="00261F4B" w:rsidRDefault="00261F4B" w:rsidP="00261F4B">
      <w:pPr>
        <w:spacing w:line="360" w:lineRule="auto"/>
        <w:ind w:left="720"/>
        <w:jc w:val="both"/>
        <w:rPr>
          <w:rFonts w:ascii="David" w:hAnsi="David"/>
          <w:sz w:val="26"/>
          <w:szCs w:val="26"/>
          <w:rtl/>
        </w:rPr>
      </w:pPr>
      <w:r>
        <w:rPr>
          <w:rFonts w:ascii="David" w:hAnsi="David" w:hint="cs"/>
          <w:sz w:val="26"/>
          <w:szCs w:val="26"/>
          <w:rtl/>
        </w:rPr>
        <w:t>העבירות שביצע הנאשם פוגעות בראש ובראשונה בערך המוגן של חיי אדם ושל שלמות גופו של האדם. דומה כי על חשיבותם העליונה של ערכים אלו אין צורך להכביר דברים. ואולם, בכך לא מתמצית הפגיעה שפגע הנאשם בערכים המוגנים. מעשיו של הנאשם כוונו לא כנגד "סתם" אדם אלא כנגד כוחות הביטחון, ולא בתקופת שגרה אלא בתקופה רגישה ונפיצה במיוחד, בה ידיהם של כוחות הביטחון היו עמוסות לעייפה במטלות ביטחוניות הקשורות, במישרין ובעקיפין, במבצע שומר החומות ובמהומות שקדמו לו. אשר על כן, מעשיו של הנאשם פגעו גם בערך הכללי של השלטת החוק והסדר, וגם בערך של השמירה על ביטחונם וחייהם של כוחות הביטחון בכלל, ובשעה שהם עוסקים בהשלטת החוק והסדר בפרט. המסר למי שמסכנים את כוחות הביטחון ומפריעים להם בתקופה כה רגישה חייב להיות חד וברור בדמות ענישה מחמירה שתרתיע מביצוע מעשים כאלו. עמד על כך בית המשפט העליון ב</w:t>
      </w:r>
      <w:hyperlink r:id="rId32" w:history="1">
        <w:r w:rsidR="00CA6AFA" w:rsidRPr="00CA6AFA">
          <w:rPr>
            <w:rFonts w:ascii="David" w:hAnsi="David"/>
            <w:color w:val="0000FF"/>
            <w:sz w:val="26"/>
            <w:szCs w:val="26"/>
            <w:u w:val="single"/>
            <w:rtl/>
          </w:rPr>
          <w:t>ע"פ 6216/19</w:t>
        </w:r>
      </w:hyperlink>
      <w:r>
        <w:rPr>
          <w:rFonts w:ascii="David" w:hAnsi="David" w:hint="cs"/>
          <w:sz w:val="26"/>
          <w:szCs w:val="26"/>
          <w:rtl/>
        </w:rPr>
        <w:t xml:space="preserve"> </w:t>
      </w:r>
      <w:r w:rsidRPr="008C2651">
        <w:rPr>
          <w:rFonts w:ascii="David" w:hAnsi="David" w:hint="cs"/>
          <w:b/>
          <w:bCs/>
          <w:sz w:val="26"/>
          <w:szCs w:val="26"/>
          <w:rtl/>
        </w:rPr>
        <w:t>דארי נ' מדינת ישראל</w:t>
      </w:r>
      <w:r>
        <w:rPr>
          <w:rFonts w:ascii="David" w:hAnsi="David" w:hint="cs"/>
          <w:sz w:val="26"/>
          <w:szCs w:val="26"/>
          <w:rtl/>
        </w:rPr>
        <w:t xml:space="preserve"> (24.5.20):</w:t>
      </w:r>
    </w:p>
    <w:p w14:paraId="2772CE96" w14:textId="77777777" w:rsidR="00261F4B" w:rsidRDefault="00261F4B" w:rsidP="00261F4B">
      <w:pPr>
        <w:spacing w:line="360" w:lineRule="auto"/>
        <w:ind w:left="720"/>
        <w:jc w:val="both"/>
        <w:rPr>
          <w:rFonts w:ascii="David" w:hAnsi="David"/>
          <w:sz w:val="26"/>
          <w:szCs w:val="26"/>
          <w:rtl/>
        </w:rPr>
      </w:pPr>
    </w:p>
    <w:p w14:paraId="7A6C28CB" w14:textId="77777777" w:rsidR="00261F4B" w:rsidRDefault="00261F4B" w:rsidP="00261F4B">
      <w:pPr>
        <w:spacing w:line="360" w:lineRule="auto"/>
        <w:ind w:left="1417" w:right="851"/>
        <w:jc w:val="both"/>
        <w:rPr>
          <w:rFonts w:ascii="David" w:hAnsi="David"/>
          <w:b/>
          <w:bCs/>
          <w:sz w:val="26"/>
          <w:szCs w:val="26"/>
          <w:rtl/>
        </w:rPr>
      </w:pPr>
      <w:r>
        <w:rPr>
          <w:rFonts w:ascii="David" w:hAnsi="David" w:hint="cs"/>
          <w:b/>
          <w:bCs/>
          <w:sz w:val="26"/>
          <w:szCs w:val="26"/>
          <w:rtl/>
        </w:rPr>
        <w:t>"אין מקום אלא לגזור עונשים מוחשיים כדי להילחם נגד התופעה של הפרעה לאנשי משטרה ולאנשי הביטחון במילוי תפקידם. התופעה מסוכנת ועלולה להגיע לידי איבוד שליטה. חברה מתוקנת חייבת לשמור על הסדר ולהטיל עונשים ראויים על אלה שמטרתם לסכן את המרקם החברתי העדין".</w:t>
      </w:r>
    </w:p>
    <w:p w14:paraId="2265E334" w14:textId="77777777" w:rsidR="00261F4B" w:rsidRPr="008C2651" w:rsidRDefault="00261F4B" w:rsidP="00261F4B">
      <w:pPr>
        <w:spacing w:line="360" w:lineRule="auto"/>
        <w:ind w:left="1417" w:right="851"/>
        <w:jc w:val="both"/>
        <w:rPr>
          <w:rFonts w:ascii="David" w:hAnsi="David"/>
          <w:b/>
          <w:bCs/>
          <w:sz w:val="26"/>
          <w:szCs w:val="26"/>
          <w:rtl/>
        </w:rPr>
      </w:pPr>
    </w:p>
    <w:p w14:paraId="39CA0FE4" w14:textId="77777777" w:rsidR="00261F4B" w:rsidRDefault="00261F4B" w:rsidP="00261F4B">
      <w:pPr>
        <w:spacing w:line="360" w:lineRule="auto"/>
        <w:ind w:left="720"/>
        <w:jc w:val="both"/>
        <w:rPr>
          <w:rFonts w:ascii="David" w:hAnsi="David"/>
          <w:sz w:val="26"/>
          <w:szCs w:val="26"/>
          <w:rtl/>
        </w:rPr>
      </w:pPr>
      <w:r>
        <w:rPr>
          <w:rFonts w:ascii="David" w:hAnsi="David" w:hint="cs"/>
          <w:sz w:val="26"/>
          <w:szCs w:val="26"/>
          <w:rtl/>
        </w:rPr>
        <w:t>הנאשם ביצע את העבירות בשתי הזדמנויות. העבירה הראשונה בוצעה במתחם הר-הבית שהוא מתחם רגיש במיוחד (</w:t>
      </w:r>
      <w:hyperlink r:id="rId33" w:history="1">
        <w:r w:rsidR="00CA6AFA" w:rsidRPr="00CA6AFA">
          <w:rPr>
            <w:rFonts w:ascii="David" w:hAnsi="David"/>
            <w:color w:val="0000FF"/>
            <w:sz w:val="26"/>
            <w:szCs w:val="26"/>
            <w:u w:val="single"/>
            <w:rtl/>
          </w:rPr>
          <w:t>ע"פ 5590/16</w:t>
        </w:r>
      </w:hyperlink>
      <w:r>
        <w:rPr>
          <w:rFonts w:ascii="David" w:hAnsi="David" w:hint="cs"/>
          <w:sz w:val="26"/>
          <w:szCs w:val="26"/>
          <w:rtl/>
        </w:rPr>
        <w:t xml:space="preserve"> </w:t>
      </w:r>
      <w:r w:rsidRPr="009916DD">
        <w:rPr>
          <w:rFonts w:ascii="David" w:hAnsi="David"/>
          <w:b/>
          <w:bCs/>
          <w:sz w:val="26"/>
          <w:szCs w:val="26"/>
          <w:rtl/>
        </w:rPr>
        <w:t>נתשה נ' מדינת ישראל</w:t>
      </w:r>
      <w:r>
        <w:rPr>
          <w:rFonts w:ascii="David" w:hAnsi="David" w:hint="cs"/>
          <w:sz w:val="26"/>
          <w:szCs w:val="26"/>
          <w:rtl/>
        </w:rPr>
        <w:t xml:space="preserve"> (17.1.18)) בפסקה 35 לפסק הדין), והיא בוצעה תוך שימוש בבקבוק תבערה שהוא בבחינת נשק חם . אשר על כן, מידת הפגיעה בערכים המוגנים גבוהה. </w:t>
      </w:r>
    </w:p>
    <w:p w14:paraId="17D07B0B" w14:textId="77777777" w:rsidR="00261F4B" w:rsidRDefault="00261F4B" w:rsidP="00261F4B">
      <w:pPr>
        <w:jc w:val="both"/>
        <w:rPr>
          <w:rFonts w:ascii="David" w:hAnsi="David"/>
          <w:sz w:val="26"/>
          <w:szCs w:val="26"/>
          <w:rtl/>
        </w:rPr>
      </w:pPr>
    </w:p>
    <w:p w14:paraId="340D06F9" w14:textId="77777777" w:rsidR="00261F4B" w:rsidRDefault="00261F4B" w:rsidP="00261F4B">
      <w:pPr>
        <w:spacing w:line="360" w:lineRule="auto"/>
        <w:jc w:val="both"/>
        <w:rPr>
          <w:rFonts w:ascii="David" w:hAnsi="David"/>
          <w:b/>
          <w:bCs/>
          <w:sz w:val="26"/>
          <w:szCs w:val="26"/>
          <w:u w:val="single"/>
          <w:rtl/>
        </w:rPr>
      </w:pPr>
      <w:r>
        <w:rPr>
          <w:rFonts w:ascii="David" w:hAnsi="David" w:hint="cs"/>
          <w:sz w:val="26"/>
          <w:szCs w:val="26"/>
          <w:rtl/>
        </w:rPr>
        <w:t>8.</w:t>
      </w:r>
      <w:r>
        <w:rPr>
          <w:rFonts w:ascii="David" w:hAnsi="David"/>
          <w:sz w:val="26"/>
          <w:szCs w:val="26"/>
          <w:rtl/>
        </w:rPr>
        <w:tab/>
      </w:r>
      <w:r>
        <w:rPr>
          <w:rFonts w:ascii="David" w:hAnsi="David" w:hint="cs"/>
          <w:b/>
          <w:bCs/>
          <w:sz w:val="26"/>
          <w:szCs w:val="26"/>
          <w:u w:val="single"/>
          <w:rtl/>
        </w:rPr>
        <w:t xml:space="preserve">מתחם העונש ההולם </w:t>
      </w:r>
      <w:r>
        <w:rPr>
          <w:rFonts w:ascii="David" w:hAnsi="David"/>
          <w:b/>
          <w:bCs/>
          <w:sz w:val="26"/>
          <w:szCs w:val="26"/>
          <w:u w:val="single"/>
          <w:rtl/>
        </w:rPr>
        <w:t>–</w:t>
      </w:r>
      <w:r>
        <w:rPr>
          <w:rFonts w:ascii="David" w:hAnsi="David" w:hint="cs"/>
          <w:b/>
          <w:bCs/>
          <w:sz w:val="26"/>
          <w:szCs w:val="26"/>
          <w:u w:val="single"/>
          <w:rtl/>
        </w:rPr>
        <w:t xml:space="preserve"> הנסיבות הקשורות בביצוע העבירה</w:t>
      </w:r>
    </w:p>
    <w:p w14:paraId="72D15E36" w14:textId="77777777" w:rsidR="00261F4B" w:rsidRDefault="00261F4B" w:rsidP="00261F4B">
      <w:pPr>
        <w:spacing w:line="360" w:lineRule="auto"/>
        <w:ind w:left="720" w:hanging="720"/>
        <w:jc w:val="both"/>
        <w:rPr>
          <w:rFonts w:ascii="David" w:hAnsi="David"/>
          <w:sz w:val="26"/>
          <w:szCs w:val="26"/>
          <w:rtl/>
        </w:rPr>
      </w:pPr>
      <w:r>
        <w:rPr>
          <w:rFonts w:ascii="David" w:hAnsi="David"/>
          <w:sz w:val="26"/>
          <w:szCs w:val="26"/>
          <w:rtl/>
        </w:rPr>
        <w:tab/>
      </w:r>
      <w:r>
        <w:rPr>
          <w:rFonts w:ascii="David" w:hAnsi="David" w:hint="cs"/>
          <w:sz w:val="26"/>
          <w:szCs w:val="26"/>
          <w:rtl/>
        </w:rPr>
        <w:t xml:space="preserve">כאמור לעיל, מדובר בעבירות ששתיהן כוונו נגד כוחות הביטחון. העבירות נושא האישום הראשון בוצעו במתחם הר-הבית שהוא מתחם רגיש ונפיץ במיוחד. העבירות בוצעו בתקופה רגישה במיוחד, בה נדרשו כוחות הביטחון להתמודד הן עם מבצע צבאי והן עם מהומות אלימות שפרצו ברחבי הארץ. נסיבות אלה יובאו בחשבון לחומרה בעת קביעת מתחם העונש ההולם. </w:t>
      </w:r>
    </w:p>
    <w:p w14:paraId="65184310" w14:textId="77777777" w:rsidR="00261F4B" w:rsidRDefault="00261F4B" w:rsidP="00261F4B">
      <w:pPr>
        <w:spacing w:line="360" w:lineRule="auto"/>
        <w:ind w:left="720"/>
        <w:jc w:val="both"/>
        <w:rPr>
          <w:rFonts w:ascii="David" w:hAnsi="David"/>
          <w:sz w:val="26"/>
          <w:szCs w:val="26"/>
          <w:rtl/>
        </w:rPr>
      </w:pPr>
      <w:r>
        <w:rPr>
          <w:rFonts w:ascii="David" w:hAnsi="David" w:hint="cs"/>
          <w:sz w:val="26"/>
          <w:szCs w:val="26"/>
          <w:rtl/>
        </w:rPr>
        <w:t>העבירות שביצע הנאשם אינן עבירות ספונטאניות. גם אם לא קדם לביצוע העבירות תכנון מקיף מראש, הרי שמדובר בנאשם שביצע את העבירות לאחר שהחליט לפגוע בכוחות הביטחון ולשבש את פעילותם.</w:t>
      </w:r>
    </w:p>
    <w:p w14:paraId="6ED1A9FB" w14:textId="77777777" w:rsidR="00261F4B" w:rsidRPr="0016495A" w:rsidRDefault="00261F4B" w:rsidP="00261F4B">
      <w:pPr>
        <w:spacing w:line="360" w:lineRule="auto"/>
        <w:ind w:left="720"/>
        <w:jc w:val="both"/>
        <w:rPr>
          <w:rFonts w:ascii="David" w:hAnsi="David"/>
          <w:sz w:val="26"/>
          <w:szCs w:val="26"/>
          <w:rtl/>
        </w:rPr>
      </w:pPr>
      <w:r w:rsidRPr="0016495A">
        <w:rPr>
          <w:rFonts w:ascii="David" w:hAnsi="David" w:hint="cs"/>
          <w:sz w:val="26"/>
          <w:szCs w:val="26"/>
          <w:rtl/>
        </w:rPr>
        <w:t xml:space="preserve">הנזק שהיה צפוי להיגרם מביצוע העבירות הוא נזק גוף חמור. חשוב להדגיש שפעולותיו ושל הנאשם כוונו כנגד כוחות הביטחון בשעה שאלו ביצעו את תפקידם בתקופה רגישה. על כן הנזק שהיה צפוי כתוצאה מביצוע העבירות הוא לא רק נזק גוף לאנשי כוחות הביטחון, אלא גם נזק למאמציהם של אלו להשליט חוק וסדר בתקופה הרגישה האמורה. יש לציין כי באירוע נושא האישום הראשון נזרקו האבנים ובקבוק התבערה לעבר אנשי כוחות הביטחון ממרחק לא קטן של 50-60 מטר. ואכן, הלכה למעשה אין טענה לפיה האבנים או בקבוק התבערה פגעו במי מאנשי כוחות הביטחון. יחד עם זאת, פעולותיו של הנאשם יחד עם הפעולות של האחרים שהשתתפו באותן התפרעויות, גזלו משאבים מכוחות הביטחון ובמובן זה נגרם נזק בפועל למאבקם של כוחות הביטחון להשליט חוק וסדר. </w:t>
      </w:r>
    </w:p>
    <w:p w14:paraId="7C72F4F8" w14:textId="77777777" w:rsidR="00261F4B" w:rsidRPr="0016495A" w:rsidRDefault="00261F4B" w:rsidP="00261F4B">
      <w:pPr>
        <w:spacing w:line="360" w:lineRule="auto"/>
        <w:ind w:left="720"/>
        <w:jc w:val="both"/>
        <w:rPr>
          <w:rFonts w:ascii="David" w:hAnsi="David"/>
          <w:sz w:val="26"/>
          <w:szCs w:val="26"/>
          <w:rtl/>
        </w:rPr>
      </w:pPr>
      <w:r w:rsidRPr="0016495A">
        <w:rPr>
          <w:rFonts w:ascii="David" w:hAnsi="David" w:hint="cs"/>
          <w:sz w:val="26"/>
          <w:szCs w:val="26"/>
          <w:rtl/>
        </w:rPr>
        <w:t xml:space="preserve">בכתב האישום אין טענה לפיה העבירות בוצעו על-ידי הנאשם מתוך מניע גזעני או לאומני. יחד עם זאת, מסעיפי העבירה המיוחסים לנאשם עולה כי הוא התכוון במעשיו לפגוע בבני אדם, ולהפריע או להכשיל שוטרים בעת ביצוע תפקידם. </w:t>
      </w:r>
    </w:p>
    <w:p w14:paraId="612CD8C9" w14:textId="77777777" w:rsidR="00261F4B" w:rsidRPr="0016495A" w:rsidRDefault="00261F4B" w:rsidP="00261F4B">
      <w:pPr>
        <w:spacing w:line="360" w:lineRule="auto"/>
        <w:ind w:left="720"/>
        <w:jc w:val="both"/>
        <w:rPr>
          <w:rFonts w:ascii="David" w:hAnsi="David"/>
          <w:sz w:val="26"/>
          <w:szCs w:val="26"/>
          <w:rtl/>
        </w:rPr>
      </w:pPr>
      <w:r w:rsidRPr="0016495A">
        <w:rPr>
          <w:rFonts w:ascii="David" w:hAnsi="David" w:hint="cs"/>
          <w:sz w:val="26"/>
          <w:szCs w:val="26"/>
          <w:rtl/>
        </w:rPr>
        <w:t xml:space="preserve">הנאשם בגיר ולא נטענה כל טענה לפיה הוא לא הבין את הפסול שבמעשיו. </w:t>
      </w:r>
    </w:p>
    <w:p w14:paraId="10857941" w14:textId="77777777" w:rsidR="00261F4B" w:rsidRPr="0016495A" w:rsidRDefault="00261F4B" w:rsidP="00261F4B">
      <w:pPr>
        <w:spacing w:line="360" w:lineRule="auto"/>
        <w:ind w:left="720"/>
        <w:jc w:val="both"/>
        <w:rPr>
          <w:rFonts w:ascii="David" w:hAnsi="David"/>
          <w:sz w:val="26"/>
          <w:szCs w:val="26"/>
          <w:rtl/>
        </w:rPr>
      </w:pPr>
    </w:p>
    <w:p w14:paraId="6B896B1B" w14:textId="77777777" w:rsidR="00261F4B" w:rsidRPr="0016495A" w:rsidRDefault="00261F4B" w:rsidP="00261F4B">
      <w:pPr>
        <w:spacing w:line="360" w:lineRule="auto"/>
        <w:rPr>
          <w:rFonts w:ascii="David" w:hAnsi="David"/>
          <w:b/>
          <w:bCs/>
          <w:sz w:val="26"/>
          <w:szCs w:val="26"/>
          <w:u w:val="single"/>
          <w:rtl/>
        </w:rPr>
      </w:pPr>
      <w:r w:rsidRPr="0016495A">
        <w:rPr>
          <w:rFonts w:ascii="David" w:hAnsi="David" w:hint="cs"/>
          <w:sz w:val="26"/>
          <w:szCs w:val="26"/>
          <w:rtl/>
        </w:rPr>
        <w:t>9.</w:t>
      </w:r>
      <w:r w:rsidRPr="0016495A">
        <w:rPr>
          <w:rFonts w:ascii="David" w:hAnsi="David" w:hint="cs"/>
          <w:sz w:val="26"/>
          <w:szCs w:val="26"/>
          <w:rtl/>
        </w:rPr>
        <w:tab/>
      </w:r>
      <w:r w:rsidRPr="0016495A">
        <w:rPr>
          <w:rFonts w:ascii="David" w:hAnsi="David" w:hint="cs"/>
          <w:b/>
          <w:bCs/>
          <w:sz w:val="26"/>
          <w:szCs w:val="26"/>
          <w:u w:val="single"/>
          <w:rtl/>
        </w:rPr>
        <w:t xml:space="preserve">מתחם העונש ההולם </w:t>
      </w:r>
      <w:r w:rsidRPr="0016495A">
        <w:rPr>
          <w:rFonts w:ascii="David" w:hAnsi="David"/>
          <w:b/>
          <w:bCs/>
          <w:sz w:val="26"/>
          <w:szCs w:val="26"/>
          <w:u w:val="single"/>
          <w:rtl/>
        </w:rPr>
        <w:t>–</w:t>
      </w:r>
      <w:r w:rsidRPr="0016495A">
        <w:rPr>
          <w:rFonts w:ascii="David" w:hAnsi="David" w:hint="cs"/>
          <w:b/>
          <w:bCs/>
          <w:sz w:val="26"/>
          <w:szCs w:val="26"/>
          <w:u w:val="single"/>
          <w:rtl/>
        </w:rPr>
        <w:t xml:space="preserve"> הענישה הנוהגת</w:t>
      </w:r>
    </w:p>
    <w:p w14:paraId="11DEE95E" w14:textId="77777777" w:rsidR="00261F4B" w:rsidRPr="0016495A" w:rsidRDefault="00261F4B" w:rsidP="00261F4B">
      <w:pPr>
        <w:spacing w:line="360" w:lineRule="auto"/>
        <w:ind w:left="720" w:hanging="720"/>
        <w:jc w:val="both"/>
        <w:rPr>
          <w:rFonts w:ascii="David" w:hAnsi="David"/>
          <w:sz w:val="26"/>
          <w:szCs w:val="26"/>
          <w:rtl/>
        </w:rPr>
      </w:pPr>
      <w:r w:rsidRPr="0016495A">
        <w:rPr>
          <w:rFonts w:ascii="David" w:hAnsi="David"/>
          <w:sz w:val="26"/>
          <w:szCs w:val="26"/>
          <w:rtl/>
        </w:rPr>
        <w:tab/>
      </w:r>
      <w:r w:rsidRPr="0016495A">
        <w:rPr>
          <w:rFonts w:ascii="David" w:hAnsi="David" w:hint="cs"/>
          <w:sz w:val="26"/>
          <w:szCs w:val="26"/>
          <w:rtl/>
        </w:rPr>
        <w:t>ב"כ המאשימה הפנה בטיעוניו למספר פסקי דין במסגרתם נגזרו עונשי מאסר משמעותיים על מי שיידו בקבוקי תבערה על כוחות הביטחון.</w:t>
      </w:r>
    </w:p>
    <w:p w14:paraId="2FAB66AF" w14:textId="77777777" w:rsidR="00261F4B" w:rsidRPr="0016495A" w:rsidRDefault="00261F4B" w:rsidP="00261F4B">
      <w:pPr>
        <w:spacing w:line="360" w:lineRule="auto"/>
        <w:ind w:left="720"/>
        <w:jc w:val="both"/>
        <w:rPr>
          <w:rFonts w:ascii="David" w:hAnsi="David"/>
          <w:sz w:val="26"/>
          <w:szCs w:val="26"/>
          <w:rtl/>
        </w:rPr>
      </w:pPr>
      <w:r w:rsidRPr="0016495A">
        <w:rPr>
          <w:rFonts w:ascii="David" w:hAnsi="David" w:hint="cs"/>
          <w:sz w:val="26"/>
          <w:szCs w:val="26"/>
          <w:rtl/>
        </w:rPr>
        <w:t>ב</w:t>
      </w:r>
      <w:hyperlink r:id="rId34" w:history="1">
        <w:r w:rsidR="00CA6AFA" w:rsidRPr="00CA6AFA">
          <w:rPr>
            <w:rFonts w:ascii="David" w:hAnsi="David"/>
            <w:color w:val="0000FF"/>
            <w:sz w:val="26"/>
            <w:szCs w:val="26"/>
            <w:u w:val="single"/>
            <w:rtl/>
          </w:rPr>
          <w:t>ע"פ 2579/14</w:t>
        </w:r>
      </w:hyperlink>
      <w:r w:rsidRPr="0016495A">
        <w:rPr>
          <w:rFonts w:ascii="David" w:hAnsi="David" w:hint="cs"/>
          <w:sz w:val="26"/>
          <w:szCs w:val="26"/>
          <w:rtl/>
        </w:rPr>
        <w:t xml:space="preserve">  </w:t>
      </w:r>
      <w:r w:rsidRPr="0016495A">
        <w:rPr>
          <w:rFonts w:ascii="David" w:hAnsi="David" w:hint="cs"/>
          <w:b/>
          <w:bCs/>
          <w:sz w:val="26"/>
          <w:szCs w:val="26"/>
          <w:rtl/>
        </w:rPr>
        <w:t xml:space="preserve">פרחאן נ' מ"י </w:t>
      </w:r>
      <w:r w:rsidRPr="0016495A">
        <w:rPr>
          <w:rFonts w:ascii="David" w:hAnsi="David" w:hint="cs"/>
          <w:sz w:val="26"/>
          <w:szCs w:val="26"/>
          <w:rtl/>
        </w:rPr>
        <w:t>(25.5.15), נדון ערעור</w:t>
      </w:r>
      <w:r w:rsidRPr="0016495A">
        <w:rPr>
          <w:rFonts w:ascii="David" w:hAnsi="David"/>
          <w:sz w:val="26"/>
          <w:szCs w:val="26"/>
          <w:rtl/>
        </w:rPr>
        <w:tab/>
      </w:r>
      <w:r w:rsidRPr="0016495A">
        <w:rPr>
          <w:rFonts w:ascii="David" w:hAnsi="David" w:hint="cs"/>
          <w:sz w:val="26"/>
          <w:szCs w:val="26"/>
          <w:rtl/>
        </w:rPr>
        <w:t xml:space="preserve"> של מערער אשר הורשע בביצוע עבירות של קשירת קשר לפשע, ייצור נשק וחבלה בכוונה מחמירה, ונגזר עליו בבית המשפט המחוזי עונש של 6.5 שנות מאסר בפועל. בית המשפט העליון דחה את ערעורו של המערער, תוך שציין כי אמנם ניתן למצוא בפסיקה מקרים בהם נקבעו מתחמי ענישה מקלים יותר לגבי מי שהורשעו בעבירות של יידוי בקבוקי תבערה, ברם מקרהו של המערער איננו מסתכם ביידוי בקבוקי תבערה בלבד, אלא בקשירת קשר יחד עם אחרים להוציא לפועל תכנית עבריינית כוללת, מורכבת ומסוכנת, ועל כן העונש שנגזר הולם בנסיבות העניין. יצוין שבאותו מקרה בקבוק התבערה פגע בשוטר והאפוד שעליו החל לבעור. עוד יצוין, כי מדובר במקרה בו הוכנו מראש ויודו שמונה בקבוקי תבערה. נסיבותיו של מקרה זה שונות, אם כן, מהותית לחומרה מנסיבות המקרה שלפניי. </w:t>
      </w:r>
    </w:p>
    <w:p w14:paraId="5D8F0F81" w14:textId="77777777" w:rsidR="00261F4B" w:rsidRPr="0016495A" w:rsidRDefault="00261F4B" w:rsidP="00261F4B">
      <w:pPr>
        <w:spacing w:line="360" w:lineRule="auto"/>
        <w:ind w:left="720" w:hanging="720"/>
        <w:jc w:val="both"/>
        <w:rPr>
          <w:rFonts w:ascii="David" w:hAnsi="David"/>
          <w:sz w:val="26"/>
          <w:szCs w:val="26"/>
          <w:rtl/>
        </w:rPr>
      </w:pPr>
      <w:r w:rsidRPr="0016495A">
        <w:rPr>
          <w:rFonts w:ascii="David" w:hAnsi="David"/>
          <w:sz w:val="26"/>
          <w:szCs w:val="26"/>
          <w:rtl/>
        </w:rPr>
        <w:tab/>
      </w:r>
      <w:r w:rsidRPr="0016495A">
        <w:rPr>
          <w:rFonts w:ascii="David" w:hAnsi="David" w:hint="cs"/>
          <w:sz w:val="26"/>
          <w:szCs w:val="26"/>
          <w:rtl/>
        </w:rPr>
        <w:t>ב</w:t>
      </w:r>
      <w:hyperlink r:id="rId35" w:history="1">
        <w:r w:rsidR="00CA6AFA" w:rsidRPr="00CA6AFA">
          <w:rPr>
            <w:rFonts w:ascii="David" w:hAnsi="David"/>
            <w:color w:val="0000FF"/>
            <w:sz w:val="26"/>
            <w:szCs w:val="26"/>
            <w:u w:val="single"/>
            <w:rtl/>
          </w:rPr>
          <w:t>ע"פ 6216/19</w:t>
        </w:r>
      </w:hyperlink>
      <w:r w:rsidRPr="0016495A">
        <w:rPr>
          <w:rFonts w:ascii="David" w:hAnsi="David" w:hint="cs"/>
          <w:sz w:val="26"/>
          <w:szCs w:val="26"/>
          <w:rtl/>
        </w:rPr>
        <w:t xml:space="preserve"> </w:t>
      </w:r>
      <w:r w:rsidRPr="0016495A">
        <w:rPr>
          <w:rFonts w:ascii="David" w:hAnsi="David" w:hint="cs"/>
          <w:b/>
          <w:bCs/>
          <w:sz w:val="26"/>
          <w:szCs w:val="26"/>
          <w:rtl/>
        </w:rPr>
        <w:t>דארי נ'</w:t>
      </w:r>
      <w:r w:rsidRPr="0016495A">
        <w:rPr>
          <w:rFonts w:ascii="David" w:hAnsi="David" w:hint="cs"/>
          <w:sz w:val="26"/>
          <w:szCs w:val="26"/>
        </w:rPr>
        <w:t xml:space="preserve"> </w:t>
      </w:r>
      <w:r w:rsidRPr="0016495A">
        <w:rPr>
          <w:rFonts w:ascii="David" w:hAnsi="David" w:hint="cs"/>
          <w:b/>
          <w:bCs/>
          <w:sz w:val="26"/>
          <w:szCs w:val="26"/>
          <w:rtl/>
        </w:rPr>
        <w:t>מ"י</w:t>
      </w:r>
      <w:r w:rsidRPr="0016495A">
        <w:rPr>
          <w:rFonts w:ascii="David" w:hAnsi="David" w:hint="cs"/>
          <w:sz w:val="26"/>
          <w:szCs w:val="26"/>
          <w:rtl/>
        </w:rPr>
        <w:t xml:space="preserve"> (24.5.20), נדחה ערעור של מערער אשר הורשע בעבירות של התפרעות ושל ניסיון לתקיפת שוטר, ונגזר עליו עונש של 15 חודשי מאסר בפועל. באותו מקרה היה מדובר במי שיידה מספר אבנים לעבר אנשי כוחות ביטחון ממרחק של 40 מטר, בשעה שאלו פעלו להשלטת הסדר בשכונת עיסאוויה בירושלים.</w:t>
      </w:r>
    </w:p>
    <w:p w14:paraId="5452B016" w14:textId="77777777" w:rsidR="00261F4B" w:rsidRPr="0016495A" w:rsidRDefault="00261F4B" w:rsidP="00261F4B">
      <w:pPr>
        <w:spacing w:line="360" w:lineRule="auto"/>
        <w:ind w:left="720" w:hanging="720"/>
        <w:jc w:val="both"/>
        <w:rPr>
          <w:rFonts w:ascii="David" w:hAnsi="David"/>
          <w:sz w:val="26"/>
          <w:szCs w:val="26"/>
          <w:rtl/>
        </w:rPr>
      </w:pPr>
      <w:r w:rsidRPr="0016495A">
        <w:rPr>
          <w:rFonts w:ascii="David" w:hAnsi="David"/>
          <w:sz w:val="26"/>
          <w:szCs w:val="26"/>
          <w:rtl/>
        </w:rPr>
        <w:tab/>
      </w:r>
      <w:r w:rsidRPr="0016495A">
        <w:rPr>
          <w:rFonts w:ascii="David" w:hAnsi="David" w:hint="cs"/>
          <w:sz w:val="26"/>
          <w:szCs w:val="26"/>
          <w:rtl/>
        </w:rPr>
        <w:t>ב</w:t>
      </w:r>
      <w:hyperlink r:id="rId36" w:history="1">
        <w:r w:rsidR="00CA6AFA" w:rsidRPr="00CA6AFA">
          <w:rPr>
            <w:rFonts w:ascii="David" w:hAnsi="David"/>
            <w:color w:val="0000FF"/>
            <w:sz w:val="26"/>
            <w:szCs w:val="26"/>
            <w:u w:val="single"/>
            <w:rtl/>
          </w:rPr>
          <w:t>ע"פ 9723/16</w:t>
        </w:r>
      </w:hyperlink>
      <w:r w:rsidRPr="0016495A">
        <w:rPr>
          <w:rFonts w:ascii="David" w:hAnsi="David" w:hint="cs"/>
          <w:sz w:val="26"/>
          <w:szCs w:val="26"/>
          <w:rtl/>
        </w:rPr>
        <w:t xml:space="preserve"> </w:t>
      </w:r>
      <w:r w:rsidRPr="0016495A">
        <w:rPr>
          <w:rFonts w:ascii="David" w:hAnsi="David" w:hint="cs"/>
          <w:b/>
          <w:bCs/>
          <w:sz w:val="26"/>
          <w:szCs w:val="26"/>
          <w:rtl/>
        </w:rPr>
        <w:t>נאצר נ' מ"י</w:t>
      </w:r>
      <w:r w:rsidRPr="0016495A">
        <w:rPr>
          <w:rFonts w:ascii="David" w:hAnsi="David" w:hint="cs"/>
          <w:sz w:val="26"/>
          <w:szCs w:val="26"/>
          <w:rtl/>
        </w:rPr>
        <w:t xml:space="preserve"> (26.10.17), נדחה ערעור של מערער אשר הורשע בעבירות שבוצעו במסגרת הפרות סדר בשלוש הזדמנויות שונות. בין יתר העבירות בהן הורשע המערער נמנו עבירות של סיוע לייצור בקבוקי תבערה, ניסיון לתקיפת שוטר בנסיבות מחמירות והפרעה לשוטר בנסיבות מחמירות. בית המשפט המחוזי גזר על המערער עונש של 45 חודשי מאסר בפועל. כאמור, ערעורו של המערער על חומרת העונש נדחה, תוך שבית המשפט העליון עמד על החומרה היתרה הנודעת ליידוי אבנים ובקבוקי תבערה. </w:t>
      </w:r>
    </w:p>
    <w:p w14:paraId="033A2F3C" w14:textId="77777777" w:rsidR="00261F4B" w:rsidRPr="0016495A" w:rsidRDefault="00261F4B" w:rsidP="00261F4B">
      <w:pPr>
        <w:spacing w:line="360" w:lineRule="auto"/>
        <w:ind w:left="720"/>
        <w:jc w:val="both"/>
        <w:rPr>
          <w:rFonts w:ascii="David" w:hAnsi="David"/>
          <w:sz w:val="26"/>
          <w:szCs w:val="26"/>
          <w:rtl/>
        </w:rPr>
      </w:pPr>
      <w:r w:rsidRPr="0016495A">
        <w:rPr>
          <w:rFonts w:ascii="David" w:hAnsi="David" w:hint="cs"/>
          <w:sz w:val="26"/>
          <w:szCs w:val="26"/>
          <w:rtl/>
        </w:rPr>
        <w:t>ולבסוף, ב"כ המאשימה הפנה ל</w:t>
      </w:r>
      <w:hyperlink r:id="rId37" w:history="1">
        <w:r w:rsidR="00CA6AFA" w:rsidRPr="00CA6AFA">
          <w:rPr>
            <w:rFonts w:ascii="David" w:hAnsi="David"/>
            <w:color w:val="0000FF"/>
            <w:sz w:val="26"/>
            <w:szCs w:val="26"/>
            <w:u w:val="single"/>
            <w:rtl/>
          </w:rPr>
          <w:t>רע"פ 4770/18</w:t>
        </w:r>
      </w:hyperlink>
      <w:r w:rsidRPr="0016495A">
        <w:rPr>
          <w:rFonts w:ascii="David" w:hAnsi="David" w:hint="cs"/>
          <w:sz w:val="26"/>
          <w:szCs w:val="26"/>
          <w:rtl/>
        </w:rPr>
        <w:t xml:space="preserve"> </w:t>
      </w:r>
      <w:r w:rsidRPr="0016495A">
        <w:rPr>
          <w:rFonts w:ascii="David" w:hAnsi="David" w:hint="cs"/>
          <w:b/>
          <w:bCs/>
          <w:sz w:val="26"/>
          <w:szCs w:val="26"/>
          <w:rtl/>
        </w:rPr>
        <w:t>הדרה נ' מ"י</w:t>
      </w:r>
      <w:r w:rsidRPr="0016495A">
        <w:rPr>
          <w:rFonts w:ascii="David" w:hAnsi="David" w:hint="cs"/>
          <w:sz w:val="26"/>
          <w:szCs w:val="26"/>
          <w:rtl/>
        </w:rPr>
        <w:t xml:space="preserve"> (12.7.18), במסגרתו נדחתה בקשת רשות ערעור על פסק דין של בית המשפט המחוזי, שדחה ערעור על גזר דין של בית משפט השלום, במסגרתו הורשע המבקש בעבירות של ניסיון תקיפת שוטר בנסיבות מחמירות והתפרעות. על המערער נגזר בבית משפט השלום עונש של 10 חודשי מאסר בפועל. כאמור, ערעור לבית המשפט המחוזי נדחה, ובקשת רשות הערעור </w:t>
      </w:r>
      <w:r>
        <w:rPr>
          <w:rFonts w:ascii="David" w:hAnsi="David" w:hint="cs"/>
          <w:sz w:val="26"/>
          <w:szCs w:val="26"/>
          <w:rtl/>
        </w:rPr>
        <w:t xml:space="preserve">שהוגשה לבית המשפט העליון </w:t>
      </w:r>
      <w:r w:rsidRPr="0016495A">
        <w:rPr>
          <w:rFonts w:ascii="David" w:hAnsi="David" w:hint="cs"/>
          <w:sz w:val="26"/>
          <w:szCs w:val="26"/>
          <w:rtl/>
        </w:rPr>
        <w:t xml:space="preserve">נדחתה אף היא. יצוין כי במקרה זה היה מדובר בנאשם שהורשע לאחר ניהול משפט. </w:t>
      </w:r>
    </w:p>
    <w:p w14:paraId="6A32D235" w14:textId="77777777" w:rsidR="00261F4B" w:rsidRPr="0016495A" w:rsidRDefault="00261F4B" w:rsidP="00261F4B">
      <w:pPr>
        <w:spacing w:line="360" w:lineRule="auto"/>
        <w:ind w:left="720"/>
        <w:jc w:val="both"/>
        <w:rPr>
          <w:rFonts w:ascii="David" w:hAnsi="David"/>
          <w:sz w:val="26"/>
          <w:szCs w:val="26"/>
          <w:rtl/>
        </w:rPr>
      </w:pPr>
      <w:r w:rsidRPr="0016495A">
        <w:rPr>
          <w:rFonts w:ascii="David" w:hAnsi="David" w:hint="cs"/>
          <w:sz w:val="26"/>
          <w:szCs w:val="26"/>
          <w:rtl/>
        </w:rPr>
        <w:t>ב"כ הנאשם הפנה לגזרי דין מקלים יותר.</w:t>
      </w:r>
    </w:p>
    <w:p w14:paraId="3AB72B0D" w14:textId="77777777" w:rsidR="00261F4B" w:rsidRPr="0016495A" w:rsidRDefault="00261F4B" w:rsidP="00261F4B">
      <w:pPr>
        <w:spacing w:line="360" w:lineRule="auto"/>
        <w:ind w:left="720"/>
        <w:jc w:val="both"/>
        <w:rPr>
          <w:rFonts w:ascii="David" w:hAnsi="David"/>
          <w:sz w:val="26"/>
          <w:szCs w:val="26"/>
          <w:rtl/>
        </w:rPr>
      </w:pPr>
      <w:r w:rsidRPr="0016495A">
        <w:rPr>
          <w:rFonts w:ascii="David" w:hAnsi="David" w:hint="cs"/>
          <w:sz w:val="26"/>
          <w:szCs w:val="26"/>
          <w:rtl/>
        </w:rPr>
        <w:t>כך, ב</w:t>
      </w:r>
      <w:hyperlink r:id="rId38" w:history="1">
        <w:r w:rsidR="00CA6AFA" w:rsidRPr="00CA6AFA">
          <w:rPr>
            <w:rFonts w:ascii="David" w:hAnsi="David"/>
            <w:color w:val="0000FF"/>
            <w:sz w:val="26"/>
            <w:szCs w:val="26"/>
            <w:u w:val="single"/>
            <w:rtl/>
          </w:rPr>
          <w:t>ת"פ (מחוזי י-ם) 25089-02-21</w:t>
        </w:r>
      </w:hyperlink>
      <w:r w:rsidRPr="0016495A">
        <w:rPr>
          <w:rFonts w:ascii="David" w:hAnsi="David" w:hint="cs"/>
          <w:sz w:val="26"/>
          <w:szCs w:val="26"/>
          <w:rtl/>
        </w:rPr>
        <w:t xml:space="preserve"> </w:t>
      </w:r>
      <w:r w:rsidRPr="0016495A">
        <w:rPr>
          <w:rFonts w:ascii="David" w:hAnsi="David" w:hint="cs"/>
          <w:b/>
          <w:bCs/>
          <w:sz w:val="26"/>
          <w:szCs w:val="26"/>
          <w:rtl/>
        </w:rPr>
        <w:t>מ"י נ' טאהא</w:t>
      </w:r>
      <w:r w:rsidRPr="0016495A">
        <w:rPr>
          <w:rFonts w:ascii="David" w:hAnsi="David" w:hint="cs"/>
          <w:sz w:val="26"/>
          <w:szCs w:val="26"/>
          <w:rtl/>
        </w:rPr>
        <w:t xml:space="preserve"> (13.9.21) נגזר עונש של 30 חודשי מאסר בפועל על נאשם שהורשע בעבירות של התפרעות, מעשה טרור של חבלה בכוונה מחמירה ופעולה בנשק. באותו מקרה היה מדובר בנאשם שבמסגרת התפרעות יידה בקבוק תבערה לעבר כוחות הביטחון ממרחק של 15 מטר, ובהזדמנות אחרת יידה לעבר כוחות הביטחון בקבוק תבערה ממרחק של 7 מטר. </w:t>
      </w:r>
    </w:p>
    <w:p w14:paraId="1FFB5C81" w14:textId="77777777" w:rsidR="00261F4B" w:rsidRPr="0016495A" w:rsidRDefault="00261F4B" w:rsidP="00261F4B">
      <w:pPr>
        <w:spacing w:line="360" w:lineRule="auto"/>
        <w:ind w:left="720"/>
        <w:jc w:val="both"/>
        <w:rPr>
          <w:rFonts w:ascii="David" w:hAnsi="David"/>
          <w:sz w:val="26"/>
          <w:szCs w:val="26"/>
          <w:rtl/>
        </w:rPr>
      </w:pPr>
      <w:r w:rsidRPr="0016495A">
        <w:rPr>
          <w:rFonts w:ascii="David" w:hAnsi="David" w:hint="cs"/>
          <w:sz w:val="26"/>
          <w:szCs w:val="26"/>
          <w:rtl/>
        </w:rPr>
        <w:t>ב</w:t>
      </w:r>
      <w:hyperlink r:id="rId39" w:history="1">
        <w:r w:rsidR="00CA6AFA" w:rsidRPr="00CA6AFA">
          <w:rPr>
            <w:rFonts w:ascii="David" w:hAnsi="David"/>
            <w:color w:val="0000FF"/>
            <w:sz w:val="26"/>
            <w:szCs w:val="26"/>
            <w:u w:val="single"/>
            <w:rtl/>
          </w:rPr>
          <w:t>ת"פ (מחוזי י-ם) 66152-06-20</w:t>
        </w:r>
      </w:hyperlink>
      <w:r w:rsidRPr="0016495A">
        <w:rPr>
          <w:rFonts w:ascii="David" w:hAnsi="David" w:hint="cs"/>
          <w:sz w:val="26"/>
          <w:szCs w:val="26"/>
          <w:rtl/>
        </w:rPr>
        <w:t xml:space="preserve"> </w:t>
      </w:r>
      <w:r w:rsidRPr="0016495A">
        <w:rPr>
          <w:rFonts w:ascii="David" w:hAnsi="David" w:hint="cs"/>
          <w:b/>
          <w:bCs/>
          <w:sz w:val="26"/>
          <w:szCs w:val="26"/>
          <w:rtl/>
        </w:rPr>
        <w:t>מ"י נ' אבו סכראן</w:t>
      </w:r>
      <w:r w:rsidRPr="0016495A">
        <w:rPr>
          <w:rFonts w:ascii="David" w:hAnsi="David" w:hint="cs"/>
          <w:sz w:val="26"/>
          <w:szCs w:val="26"/>
          <w:rtl/>
        </w:rPr>
        <w:t xml:space="preserve"> (7.3.21), נגזר על שני נאשמים שהורשעו בביצוע מעשה טרור של הצתה ובביצוע שתי עבירות של מעשה טרור של ניסיון להיזק בזדון, עונשים של 26 ו-18 חודשי מאסר בפועל.  </w:t>
      </w:r>
    </w:p>
    <w:p w14:paraId="09187EFC" w14:textId="77777777" w:rsidR="00261F4B" w:rsidRPr="0016495A" w:rsidRDefault="00261F4B" w:rsidP="00261F4B">
      <w:pPr>
        <w:rPr>
          <w:rFonts w:ascii="David" w:hAnsi="David"/>
          <w:sz w:val="26"/>
          <w:szCs w:val="26"/>
          <w:rtl/>
        </w:rPr>
      </w:pPr>
    </w:p>
    <w:p w14:paraId="0BCC2CEB" w14:textId="77777777" w:rsidR="00261F4B" w:rsidRPr="0016495A" w:rsidRDefault="00261F4B" w:rsidP="00261F4B">
      <w:pPr>
        <w:spacing w:line="360" w:lineRule="auto"/>
        <w:ind w:left="720" w:hanging="720"/>
        <w:jc w:val="both"/>
        <w:rPr>
          <w:rFonts w:ascii="David" w:hAnsi="David"/>
          <w:sz w:val="26"/>
          <w:szCs w:val="26"/>
          <w:rtl/>
        </w:rPr>
      </w:pPr>
      <w:r w:rsidRPr="0016495A">
        <w:rPr>
          <w:rFonts w:ascii="David" w:hAnsi="David" w:hint="cs"/>
          <w:sz w:val="26"/>
          <w:szCs w:val="26"/>
          <w:rtl/>
        </w:rPr>
        <w:t>10.</w:t>
      </w:r>
      <w:r w:rsidRPr="0016495A">
        <w:rPr>
          <w:rFonts w:ascii="David" w:hAnsi="David" w:hint="cs"/>
          <w:sz w:val="26"/>
          <w:szCs w:val="26"/>
          <w:rtl/>
        </w:rPr>
        <w:tab/>
      </w:r>
      <w:r w:rsidRPr="0016495A">
        <w:rPr>
          <w:rFonts w:ascii="David" w:hAnsi="David" w:hint="cs"/>
          <w:b/>
          <w:bCs/>
          <w:sz w:val="26"/>
          <w:szCs w:val="26"/>
          <w:u w:val="single"/>
          <w:rtl/>
        </w:rPr>
        <w:t>מתחם העונש ההולם</w:t>
      </w:r>
    </w:p>
    <w:p w14:paraId="32E3DCA8" w14:textId="77777777" w:rsidR="00261F4B" w:rsidRPr="0016495A" w:rsidRDefault="00261F4B" w:rsidP="00261F4B">
      <w:pPr>
        <w:spacing w:line="360" w:lineRule="auto"/>
        <w:ind w:left="720"/>
        <w:jc w:val="both"/>
        <w:rPr>
          <w:rFonts w:ascii="David" w:hAnsi="David"/>
          <w:sz w:val="26"/>
          <w:szCs w:val="26"/>
          <w:rtl/>
        </w:rPr>
      </w:pPr>
      <w:r w:rsidRPr="0016495A">
        <w:rPr>
          <w:rFonts w:ascii="David" w:hAnsi="David" w:hint="cs"/>
          <w:sz w:val="26"/>
          <w:szCs w:val="26"/>
          <w:rtl/>
        </w:rPr>
        <w:t xml:space="preserve">לאור כל האמור, אני סבור כי מתחם העונש ההולם בעניינו של הנאשם נע בין 20 ל </w:t>
      </w:r>
      <w:r w:rsidRPr="0016495A">
        <w:rPr>
          <w:rFonts w:ascii="David" w:hAnsi="David"/>
          <w:sz w:val="26"/>
          <w:szCs w:val="26"/>
          <w:rtl/>
        </w:rPr>
        <w:t>–</w:t>
      </w:r>
      <w:r w:rsidRPr="0016495A">
        <w:rPr>
          <w:rFonts w:ascii="David" w:hAnsi="David" w:hint="cs"/>
          <w:sz w:val="26"/>
          <w:szCs w:val="26"/>
          <w:rtl/>
        </w:rPr>
        <w:t xml:space="preserve"> 40 חודשי מאסר בפועל, בתוספת מאסר על תנאי וקנס.</w:t>
      </w:r>
    </w:p>
    <w:p w14:paraId="6A94F617" w14:textId="77777777" w:rsidR="00261F4B" w:rsidRPr="0016495A" w:rsidRDefault="00261F4B" w:rsidP="00261F4B">
      <w:pPr>
        <w:spacing w:line="360" w:lineRule="auto"/>
        <w:ind w:left="720" w:hanging="720"/>
        <w:jc w:val="both"/>
        <w:rPr>
          <w:rFonts w:ascii="David" w:hAnsi="David"/>
          <w:sz w:val="26"/>
          <w:szCs w:val="26"/>
          <w:rtl/>
        </w:rPr>
      </w:pPr>
    </w:p>
    <w:p w14:paraId="6FB1C11F" w14:textId="77777777" w:rsidR="00261F4B" w:rsidRPr="0016495A" w:rsidRDefault="00261F4B" w:rsidP="00261F4B">
      <w:pPr>
        <w:spacing w:line="360" w:lineRule="auto"/>
        <w:ind w:left="720" w:hanging="720"/>
        <w:jc w:val="both"/>
        <w:rPr>
          <w:rFonts w:ascii="David" w:hAnsi="David"/>
          <w:b/>
          <w:bCs/>
          <w:sz w:val="26"/>
          <w:szCs w:val="26"/>
          <w:u w:val="single"/>
          <w:rtl/>
        </w:rPr>
      </w:pPr>
      <w:r w:rsidRPr="0016495A">
        <w:rPr>
          <w:rFonts w:ascii="David" w:hAnsi="David" w:hint="cs"/>
          <w:sz w:val="26"/>
          <w:szCs w:val="26"/>
          <w:rtl/>
        </w:rPr>
        <w:t>11.</w:t>
      </w:r>
      <w:r w:rsidRPr="0016495A">
        <w:rPr>
          <w:rFonts w:ascii="David" w:hAnsi="David" w:hint="cs"/>
          <w:sz w:val="26"/>
          <w:szCs w:val="26"/>
          <w:rtl/>
        </w:rPr>
        <w:tab/>
      </w:r>
      <w:r w:rsidRPr="0016495A">
        <w:rPr>
          <w:rFonts w:ascii="David" w:hAnsi="David" w:hint="cs"/>
          <w:b/>
          <w:bCs/>
          <w:sz w:val="26"/>
          <w:szCs w:val="26"/>
          <w:u w:val="single"/>
          <w:rtl/>
        </w:rPr>
        <w:t>העונש המתאים</w:t>
      </w:r>
    </w:p>
    <w:p w14:paraId="114AAA44" w14:textId="77777777" w:rsidR="00261F4B" w:rsidRPr="0016495A" w:rsidRDefault="00261F4B" w:rsidP="00261F4B">
      <w:pPr>
        <w:spacing w:line="360" w:lineRule="auto"/>
        <w:ind w:left="720" w:hanging="720"/>
        <w:jc w:val="both"/>
        <w:rPr>
          <w:rFonts w:ascii="David" w:hAnsi="David"/>
          <w:sz w:val="26"/>
          <w:szCs w:val="26"/>
          <w:rtl/>
        </w:rPr>
      </w:pPr>
      <w:r w:rsidRPr="0016495A">
        <w:rPr>
          <w:rFonts w:ascii="David" w:hAnsi="David"/>
          <w:sz w:val="26"/>
          <w:szCs w:val="26"/>
          <w:rtl/>
        </w:rPr>
        <w:tab/>
      </w:r>
      <w:r w:rsidRPr="0016495A">
        <w:rPr>
          <w:rFonts w:ascii="David" w:hAnsi="David" w:hint="cs"/>
          <w:sz w:val="26"/>
          <w:szCs w:val="26"/>
          <w:rtl/>
        </w:rPr>
        <w:t>הנאשם הודה במיוחס לו ובכך חסך מזמנה של המאשימה ומזמנו של בית המשפט. ההודאה באשמה מבטאת  גם קבלת אחריות מצדו של הנאשם. ואולם</w:t>
      </w:r>
      <w:r>
        <w:rPr>
          <w:rFonts w:ascii="David" w:hAnsi="David" w:hint="cs"/>
          <w:sz w:val="26"/>
          <w:szCs w:val="26"/>
          <w:rtl/>
        </w:rPr>
        <w:t>,</w:t>
      </w:r>
      <w:r w:rsidRPr="0016495A">
        <w:rPr>
          <w:rFonts w:ascii="David" w:hAnsi="David" w:hint="cs"/>
          <w:sz w:val="26"/>
          <w:szCs w:val="26"/>
          <w:rtl/>
        </w:rPr>
        <w:t xml:space="preserve"> יש להביא בחשבון לעניין זה את התרשמות שירות מבחן לפיה הנאשם </w:t>
      </w:r>
      <w:r w:rsidRPr="0016495A">
        <w:rPr>
          <w:rFonts w:ascii="David" w:hAnsi="David" w:hint="cs"/>
          <w:b/>
          <w:bCs/>
          <w:sz w:val="26"/>
          <w:szCs w:val="26"/>
          <w:rtl/>
        </w:rPr>
        <w:t>"טשטש וצמצם מעשיו....צמצם הבנתו לאפשרויות הפגיעה הנשקפות ממעשיו"</w:t>
      </w:r>
      <w:r w:rsidRPr="0016495A">
        <w:rPr>
          <w:rFonts w:ascii="David" w:hAnsi="David" w:hint="cs"/>
          <w:sz w:val="26"/>
          <w:szCs w:val="26"/>
          <w:rtl/>
        </w:rPr>
        <w:t xml:space="preserve"> (עמ' 2 לתסקיר).</w:t>
      </w:r>
    </w:p>
    <w:p w14:paraId="7872AAAC" w14:textId="77777777" w:rsidR="00261F4B" w:rsidRPr="0016495A" w:rsidRDefault="00261F4B" w:rsidP="00261F4B">
      <w:pPr>
        <w:spacing w:line="360" w:lineRule="auto"/>
        <w:ind w:left="720" w:hanging="720"/>
        <w:jc w:val="both"/>
        <w:rPr>
          <w:rFonts w:ascii="David" w:hAnsi="David"/>
          <w:sz w:val="26"/>
          <w:szCs w:val="26"/>
          <w:rtl/>
        </w:rPr>
      </w:pPr>
      <w:r w:rsidRPr="0016495A">
        <w:rPr>
          <w:rFonts w:ascii="David" w:hAnsi="David"/>
          <w:sz w:val="26"/>
          <w:szCs w:val="26"/>
          <w:rtl/>
        </w:rPr>
        <w:tab/>
      </w:r>
      <w:r w:rsidRPr="0016495A">
        <w:rPr>
          <w:rFonts w:ascii="David" w:hAnsi="David" w:hint="cs"/>
          <w:sz w:val="26"/>
          <w:szCs w:val="26"/>
          <w:rtl/>
        </w:rPr>
        <w:t>הנאשם נעדר עבר פלילי קודם. עובר לביצוע העבירה ניהל הנאשם חיים נורמטיביים שכללו סיום של 12 שנות לימוד ולאחר מכן השתלבות בעבודה. עובדות אלו יזקפו לזכותו של הנאשם בקביעת העונש המתאים.</w:t>
      </w:r>
    </w:p>
    <w:p w14:paraId="620A7C9F" w14:textId="77777777" w:rsidR="00261F4B" w:rsidRPr="0016495A" w:rsidRDefault="00261F4B" w:rsidP="00261F4B">
      <w:pPr>
        <w:spacing w:line="360" w:lineRule="auto"/>
        <w:ind w:left="720"/>
        <w:jc w:val="both"/>
        <w:rPr>
          <w:rFonts w:ascii="David" w:hAnsi="David"/>
          <w:sz w:val="26"/>
          <w:szCs w:val="26"/>
          <w:rtl/>
        </w:rPr>
      </w:pPr>
      <w:r w:rsidRPr="0016495A">
        <w:rPr>
          <w:rFonts w:ascii="David" w:hAnsi="David" w:hint="cs"/>
          <w:sz w:val="26"/>
          <w:szCs w:val="26"/>
          <w:rtl/>
        </w:rPr>
        <w:t>נסיבות חייו של הנאשם לא יכולות לשמש שיקול לקולא במקרה שלפניי. הנאשם גדל במשפחה נורמטיבית שתוארה על ידו כמטיבה ומגובשת.</w:t>
      </w:r>
    </w:p>
    <w:p w14:paraId="475BCE95" w14:textId="77777777" w:rsidR="00261F4B" w:rsidRPr="0016495A" w:rsidRDefault="00261F4B" w:rsidP="00261F4B">
      <w:pPr>
        <w:spacing w:line="360" w:lineRule="auto"/>
        <w:ind w:left="720"/>
        <w:jc w:val="both"/>
        <w:rPr>
          <w:rFonts w:ascii="David" w:hAnsi="David"/>
          <w:sz w:val="26"/>
          <w:szCs w:val="26"/>
          <w:rtl/>
        </w:rPr>
      </w:pPr>
      <w:r w:rsidRPr="0016495A">
        <w:rPr>
          <w:rFonts w:ascii="David" w:hAnsi="David" w:hint="cs"/>
          <w:sz w:val="26"/>
          <w:szCs w:val="26"/>
          <w:rtl/>
        </w:rPr>
        <w:t xml:space="preserve">הנאשם עצור עד לתום ההליכים. התרשמות שירות המבחן היא כי הנאשם נתון במצוקה על רקע מעצרו הראשון והממושך. עובדה זו תובא בחשבון לקולא לעת קביעת עונשו של הנאשם, אם כי באופן מתון בלבד, זאת לנוכח המלצת שירות המבחן לפיה נדרשת בעניינו של הנאשם </w:t>
      </w:r>
      <w:r w:rsidRPr="0016495A">
        <w:rPr>
          <w:rFonts w:ascii="David" w:hAnsi="David" w:hint="cs"/>
          <w:b/>
          <w:bCs/>
          <w:sz w:val="26"/>
          <w:szCs w:val="26"/>
          <w:rtl/>
        </w:rPr>
        <w:t>"ענישה בעלת אלמנט מציב גבול"</w:t>
      </w:r>
      <w:r w:rsidRPr="0016495A">
        <w:rPr>
          <w:rFonts w:ascii="David" w:hAnsi="David" w:hint="cs"/>
          <w:sz w:val="26"/>
          <w:szCs w:val="26"/>
          <w:rtl/>
        </w:rPr>
        <w:t>.</w:t>
      </w:r>
    </w:p>
    <w:p w14:paraId="2810F668" w14:textId="77777777" w:rsidR="00261F4B" w:rsidRPr="0016495A" w:rsidRDefault="00261F4B" w:rsidP="00261F4B">
      <w:pPr>
        <w:spacing w:line="360" w:lineRule="auto"/>
        <w:ind w:left="720"/>
        <w:jc w:val="both"/>
        <w:rPr>
          <w:rFonts w:ascii="David" w:hAnsi="David"/>
          <w:sz w:val="26"/>
          <w:szCs w:val="26"/>
          <w:rtl/>
        </w:rPr>
      </w:pPr>
      <w:r w:rsidRPr="0016495A">
        <w:rPr>
          <w:rFonts w:ascii="David" w:hAnsi="David" w:hint="cs"/>
          <w:sz w:val="26"/>
          <w:szCs w:val="26"/>
          <w:rtl/>
        </w:rPr>
        <w:t>לנוכח כל האמור ימוקם העונש המתאים בשליש התחתון של מתחם העונש ההולם.</w:t>
      </w:r>
    </w:p>
    <w:p w14:paraId="2DC9CA2D" w14:textId="77777777" w:rsidR="00261F4B" w:rsidRPr="0016495A" w:rsidRDefault="00261F4B" w:rsidP="00261F4B">
      <w:pPr>
        <w:spacing w:line="360" w:lineRule="auto"/>
        <w:jc w:val="both"/>
        <w:rPr>
          <w:rFonts w:ascii="David" w:hAnsi="David"/>
          <w:sz w:val="26"/>
          <w:szCs w:val="26"/>
          <w:rtl/>
        </w:rPr>
      </w:pPr>
    </w:p>
    <w:p w14:paraId="315DE462" w14:textId="77777777" w:rsidR="00261F4B" w:rsidRPr="0016495A" w:rsidRDefault="00261F4B" w:rsidP="00261F4B">
      <w:pPr>
        <w:spacing w:line="360" w:lineRule="auto"/>
        <w:jc w:val="both"/>
        <w:rPr>
          <w:rFonts w:ascii="David" w:hAnsi="David"/>
          <w:sz w:val="26"/>
          <w:szCs w:val="26"/>
          <w:rtl/>
        </w:rPr>
      </w:pPr>
      <w:r w:rsidRPr="0016495A">
        <w:rPr>
          <w:rFonts w:ascii="David" w:hAnsi="David" w:hint="cs"/>
          <w:sz w:val="26"/>
          <w:szCs w:val="26"/>
          <w:rtl/>
        </w:rPr>
        <w:t>12.</w:t>
      </w:r>
      <w:r w:rsidRPr="0016495A">
        <w:rPr>
          <w:rFonts w:ascii="David" w:hAnsi="David" w:hint="cs"/>
          <w:sz w:val="26"/>
          <w:szCs w:val="26"/>
          <w:rtl/>
        </w:rPr>
        <w:tab/>
        <w:t>לנוכח כל האמור אני גוזר על הנאשם את העונשים שלהלן:</w:t>
      </w:r>
    </w:p>
    <w:p w14:paraId="7A0F5ABD" w14:textId="77777777" w:rsidR="00261F4B" w:rsidRPr="0016495A" w:rsidRDefault="00261F4B" w:rsidP="00261F4B">
      <w:pPr>
        <w:spacing w:line="360" w:lineRule="auto"/>
        <w:jc w:val="both"/>
        <w:rPr>
          <w:rFonts w:ascii="David" w:hAnsi="David"/>
          <w:sz w:val="26"/>
          <w:szCs w:val="26"/>
          <w:rtl/>
        </w:rPr>
      </w:pPr>
    </w:p>
    <w:p w14:paraId="3A190E61" w14:textId="77777777" w:rsidR="00261F4B" w:rsidRPr="0016495A" w:rsidRDefault="00261F4B" w:rsidP="00261F4B">
      <w:pPr>
        <w:pStyle w:val="a9"/>
        <w:numPr>
          <w:ilvl w:val="0"/>
          <w:numId w:val="1"/>
        </w:numPr>
        <w:spacing w:line="360" w:lineRule="auto"/>
        <w:jc w:val="both"/>
        <w:rPr>
          <w:rFonts w:ascii="David" w:hAnsi="David"/>
          <w:sz w:val="26"/>
          <w:szCs w:val="26"/>
          <w:rtl/>
        </w:rPr>
      </w:pPr>
      <w:r w:rsidRPr="0016495A">
        <w:rPr>
          <w:rFonts w:ascii="David" w:hAnsi="David" w:hint="cs"/>
          <w:sz w:val="26"/>
          <w:szCs w:val="26"/>
          <w:rtl/>
        </w:rPr>
        <w:t>25 חודשי מאסר בפועל בניכוי ימי מעצרו של הנאשם לפי רישומי שב"ס.</w:t>
      </w:r>
    </w:p>
    <w:p w14:paraId="6E4973AE" w14:textId="77777777" w:rsidR="00261F4B" w:rsidRPr="0016495A" w:rsidRDefault="00261F4B" w:rsidP="00261F4B">
      <w:pPr>
        <w:pStyle w:val="a9"/>
        <w:numPr>
          <w:ilvl w:val="0"/>
          <w:numId w:val="1"/>
        </w:numPr>
        <w:spacing w:line="360" w:lineRule="auto"/>
        <w:jc w:val="both"/>
        <w:rPr>
          <w:rFonts w:ascii="David" w:hAnsi="David"/>
          <w:sz w:val="26"/>
          <w:szCs w:val="26"/>
        </w:rPr>
      </w:pPr>
      <w:r w:rsidRPr="0016495A">
        <w:rPr>
          <w:rFonts w:ascii="David" w:hAnsi="David" w:hint="cs"/>
          <w:sz w:val="26"/>
          <w:szCs w:val="26"/>
          <w:rtl/>
        </w:rPr>
        <w:t>5 חודשי מאסר על תנאי אותם ירצה הנאשם בפועל אם בתוך 3 שנים מיום שחרורו מהכלא הוא יבצע אחת מהעבירות בהן הוא הורשע לפניי או כל עבירה אחרת שהיא בגדר מעשה טרור כהגדרתו של זה ב</w:t>
      </w:r>
      <w:hyperlink r:id="rId40" w:history="1">
        <w:r w:rsidR="00CA6AFA" w:rsidRPr="00CA6AFA">
          <w:rPr>
            <w:rFonts w:ascii="David" w:hAnsi="David"/>
            <w:color w:val="0000FF"/>
            <w:sz w:val="26"/>
            <w:szCs w:val="26"/>
            <w:u w:val="single"/>
            <w:rtl/>
          </w:rPr>
          <w:t>חוק המאבק בטרור, התשע"ו – 2016</w:t>
        </w:r>
      </w:hyperlink>
      <w:r w:rsidRPr="0016495A">
        <w:rPr>
          <w:rFonts w:ascii="David" w:hAnsi="David" w:hint="cs"/>
          <w:sz w:val="26"/>
          <w:szCs w:val="26"/>
          <w:rtl/>
        </w:rPr>
        <w:t>.</w:t>
      </w:r>
    </w:p>
    <w:p w14:paraId="12E7CF41" w14:textId="77777777" w:rsidR="00261F4B" w:rsidRPr="0016495A" w:rsidRDefault="00261F4B" w:rsidP="00261F4B">
      <w:pPr>
        <w:pStyle w:val="a9"/>
        <w:numPr>
          <w:ilvl w:val="0"/>
          <w:numId w:val="1"/>
        </w:numPr>
        <w:spacing w:line="360" w:lineRule="auto"/>
        <w:jc w:val="both"/>
        <w:rPr>
          <w:rFonts w:ascii="David" w:hAnsi="David"/>
          <w:sz w:val="26"/>
          <w:szCs w:val="26"/>
        </w:rPr>
      </w:pPr>
      <w:r w:rsidRPr="0016495A">
        <w:rPr>
          <w:rFonts w:ascii="David" w:hAnsi="David" w:hint="cs"/>
          <w:sz w:val="26"/>
          <w:szCs w:val="26"/>
          <w:rtl/>
        </w:rPr>
        <w:t>קנס בסכום של 15,000 ₪ או 30 ימי מאסר תמורתו.</w:t>
      </w:r>
    </w:p>
    <w:p w14:paraId="62069999" w14:textId="77777777" w:rsidR="00261F4B" w:rsidRPr="0016495A" w:rsidRDefault="00261F4B" w:rsidP="00261F4B">
      <w:pPr>
        <w:spacing w:line="360" w:lineRule="auto"/>
        <w:ind w:left="720"/>
        <w:jc w:val="both"/>
        <w:rPr>
          <w:rFonts w:ascii="David" w:hAnsi="David"/>
          <w:sz w:val="26"/>
          <w:szCs w:val="26"/>
          <w:rtl/>
        </w:rPr>
      </w:pPr>
    </w:p>
    <w:p w14:paraId="323F6A22" w14:textId="77777777" w:rsidR="00261F4B" w:rsidRPr="0016495A" w:rsidRDefault="00261F4B" w:rsidP="00261F4B">
      <w:pPr>
        <w:spacing w:line="360" w:lineRule="auto"/>
        <w:ind w:left="720"/>
        <w:jc w:val="both"/>
        <w:rPr>
          <w:rFonts w:ascii="David" w:hAnsi="David"/>
          <w:sz w:val="26"/>
          <w:szCs w:val="26"/>
          <w:rtl/>
        </w:rPr>
      </w:pPr>
      <w:r w:rsidRPr="0016495A">
        <w:rPr>
          <w:rFonts w:ascii="David" w:hAnsi="David" w:hint="cs"/>
          <w:sz w:val="26"/>
          <w:szCs w:val="26"/>
          <w:rtl/>
        </w:rPr>
        <w:t>הודע לנאשם על זכותו לערער לבית המשפט העליון תוך 45 יום מהיום.</w:t>
      </w:r>
      <w:r w:rsidRPr="0016495A">
        <w:rPr>
          <w:rFonts w:ascii="David" w:hAnsi="David"/>
          <w:sz w:val="26"/>
          <w:szCs w:val="26"/>
          <w:rtl/>
        </w:rPr>
        <w:tab/>
      </w:r>
    </w:p>
    <w:p w14:paraId="45D7753D" w14:textId="77777777" w:rsidR="00261F4B" w:rsidRPr="00CA6AFA" w:rsidRDefault="00CA6AFA" w:rsidP="00261F4B">
      <w:pPr>
        <w:spacing w:line="360" w:lineRule="auto"/>
        <w:jc w:val="both"/>
        <w:rPr>
          <w:rFonts w:ascii="David" w:hAnsi="David"/>
          <w:color w:val="FFFFFF"/>
          <w:sz w:val="2"/>
          <w:szCs w:val="2"/>
          <w:rtl/>
        </w:rPr>
      </w:pPr>
      <w:r w:rsidRPr="00CA6AFA">
        <w:rPr>
          <w:rFonts w:ascii="David" w:hAnsi="David"/>
          <w:color w:val="FFFFFF"/>
          <w:sz w:val="2"/>
          <w:szCs w:val="2"/>
          <w:rtl/>
        </w:rPr>
        <w:t>5129371</w:t>
      </w:r>
    </w:p>
    <w:p w14:paraId="75B98BA9" w14:textId="77777777" w:rsidR="00261F4B" w:rsidRPr="00CA6AFA" w:rsidRDefault="00CA6AFA" w:rsidP="00261F4B">
      <w:pPr>
        <w:spacing w:line="360" w:lineRule="auto"/>
        <w:jc w:val="both"/>
        <w:rPr>
          <w:rFonts w:ascii="David" w:hAnsi="David"/>
          <w:color w:val="FFFFFF"/>
          <w:sz w:val="2"/>
          <w:szCs w:val="2"/>
          <w:rtl/>
        </w:rPr>
      </w:pPr>
      <w:r w:rsidRPr="00CA6AFA">
        <w:rPr>
          <w:rFonts w:ascii="David" w:hAnsi="David"/>
          <w:color w:val="FFFFFF"/>
          <w:sz w:val="2"/>
          <w:szCs w:val="2"/>
          <w:rtl/>
        </w:rPr>
        <w:t>54678313</w:t>
      </w:r>
    </w:p>
    <w:p w14:paraId="6A2FBED0" w14:textId="77777777" w:rsidR="00261F4B" w:rsidRPr="0016495A" w:rsidRDefault="00261F4B" w:rsidP="00261F4B">
      <w:pPr>
        <w:spacing w:line="360" w:lineRule="auto"/>
        <w:jc w:val="both"/>
        <w:rPr>
          <w:rFonts w:ascii="David" w:hAnsi="David"/>
          <w:sz w:val="26"/>
          <w:szCs w:val="26"/>
          <w:rtl/>
        </w:rPr>
      </w:pPr>
    </w:p>
    <w:p w14:paraId="44B82B79" w14:textId="77777777" w:rsidR="00261F4B" w:rsidRPr="0016495A" w:rsidRDefault="00CA6AFA" w:rsidP="00261F4B">
      <w:pPr>
        <w:spacing w:line="360" w:lineRule="auto"/>
        <w:jc w:val="both"/>
        <w:rPr>
          <w:rFonts w:ascii="David" w:hAnsi="David"/>
          <w:sz w:val="26"/>
          <w:szCs w:val="26"/>
          <w:rtl/>
        </w:rPr>
      </w:pPr>
      <w:bookmarkStart w:id="7" w:name="Nitan"/>
      <w:r>
        <w:rPr>
          <w:rFonts w:ascii="David" w:hAnsi="David"/>
          <w:sz w:val="26"/>
          <w:szCs w:val="26"/>
          <w:rtl/>
        </w:rPr>
        <w:t xml:space="preserve">ניתן היום,  ג' שבט תשפ"ב, 05 ינואר 2022, בנוכחות הצדדים. </w:t>
      </w:r>
      <w:bookmarkEnd w:id="7"/>
    </w:p>
    <w:p w14:paraId="686888BC" w14:textId="77777777" w:rsidR="00261F4B" w:rsidRPr="0016495A" w:rsidRDefault="00261F4B" w:rsidP="00CA6AFA">
      <w:pPr>
        <w:spacing w:line="360" w:lineRule="auto"/>
        <w:jc w:val="both"/>
      </w:pPr>
      <w:r w:rsidRPr="0016495A">
        <w:rPr>
          <w:rFonts w:ascii="David" w:hAnsi="David"/>
          <w:sz w:val="26"/>
          <w:szCs w:val="26"/>
          <w:rtl/>
        </w:rPr>
        <w:t xml:space="preserve">   </w:t>
      </w:r>
      <w:r w:rsidRPr="0016495A">
        <w:rPr>
          <w:rFonts w:ascii="David" w:hAnsi="David"/>
          <w:sz w:val="26"/>
          <w:szCs w:val="26"/>
          <w:rtl/>
        </w:rPr>
        <w:tab/>
      </w:r>
      <w:r w:rsidRPr="0016495A">
        <w:rPr>
          <w:rFonts w:ascii="David" w:hAnsi="David"/>
          <w:sz w:val="26"/>
          <w:szCs w:val="26"/>
          <w:rtl/>
        </w:rPr>
        <w:tab/>
      </w:r>
      <w:r w:rsidRPr="0016495A">
        <w:rPr>
          <w:rFonts w:ascii="David" w:hAnsi="David"/>
          <w:sz w:val="26"/>
          <w:szCs w:val="26"/>
          <w:rtl/>
        </w:rPr>
        <w:tab/>
      </w:r>
      <w:r w:rsidRPr="0016495A">
        <w:rPr>
          <w:rFonts w:ascii="David" w:hAnsi="David"/>
          <w:sz w:val="26"/>
          <w:szCs w:val="26"/>
          <w:rtl/>
        </w:rPr>
        <w:tab/>
      </w:r>
      <w:r w:rsidRPr="0016495A">
        <w:rPr>
          <w:rFonts w:ascii="David" w:hAnsi="David"/>
          <w:sz w:val="26"/>
          <w:szCs w:val="26"/>
          <w:rtl/>
        </w:rPr>
        <w:tab/>
      </w:r>
    </w:p>
    <w:p w14:paraId="0D5294F4" w14:textId="77777777" w:rsidR="00261F4B" w:rsidRPr="0016495A" w:rsidRDefault="00261F4B" w:rsidP="00261F4B">
      <w:pPr>
        <w:spacing w:line="360" w:lineRule="auto"/>
        <w:jc w:val="both"/>
        <w:rPr>
          <w:rFonts w:ascii="David" w:hAnsi="David"/>
          <w:sz w:val="26"/>
          <w:szCs w:val="26"/>
          <w:rtl/>
        </w:rPr>
      </w:pPr>
    </w:p>
    <w:p w14:paraId="34290366" w14:textId="77777777" w:rsidR="00881D62" w:rsidRPr="00CA6AFA" w:rsidRDefault="00881D62" w:rsidP="00CA6AFA">
      <w:pPr>
        <w:keepNext/>
        <w:rPr>
          <w:rFonts w:ascii="David" w:hAnsi="David"/>
          <w:color w:val="000000"/>
          <w:sz w:val="22"/>
          <w:szCs w:val="22"/>
          <w:rtl/>
        </w:rPr>
      </w:pPr>
    </w:p>
    <w:p w14:paraId="247420B8" w14:textId="77777777" w:rsidR="00CA6AFA" w:rsidRPr="00CA6AFA" w:rsidRDefault="00CA6AFA" w:rsidP="00CA6AFA">
      <w:pPr>
        <w:keepNext/>
        <w:rPr>
          <w:rFonts w:ascii="David" w:hAnsi="David"/>
          <w:color w:val="000000"/>
          <w:sz w:val="22"/>
          <w:szCs w:val="22"/>
          <w:rtl/>
        </w:rPr>
      </w:pPr>
      <w:r w:rsidRPr="00CA6AFA">
        <w:rPr>
          <w:rFonts w:ascii="David" w:hAnsi="David"/>
          <w:color w:val="000000"/>
          <w:sz w:val="22"/>
          <w:szCs w:val="22"/>
          <w:rtl/>
        </w:rPr>
        <w:t>בית המשפט המחוזי בירושלים 54678313</w:t>
      </w:r>
    </w:p>
    <w:p w14:paraId="16180352" w14:textId="77777777" w:rsidR="00CA6AFA" w:rsidRDefault="00CA6AFA" w:rsidP="00CA6AFA">
      <w:r w:rsidRPr="00CA6AFA">
        <w:rPr>
          <w:color w:val="000000"/>
          <w:rtl/>
        </w:rPr>
        <w:t>נוסח מסמך זה כפוף לשינויי ניסוח ועריכה</w:t>
      </w:r>
    </w:p>
    <w:p w14:paraId="3244176A" w14:textId="77777777" w:rsidR="00CA6AFA" w:rsidRDefault="00CA6AFA" w:rsidP="00CA6AFA">
      <w:pPr>
        <w:rPr>
          <w:rtl/>
        </w:rPr>
      </w:pPr>
    </w:p>
    <w:p w14:paraId="794300F1" w14:textId="77777777" w:rsidR="00CA6AFA" w:rsidRDefault="00CA6AFA" w:rsidP="00CA6AFA">
      <w:pPr>
        <w:jc w:val="center"/>
        <w:rPr>
          <w:color w:val="0000FF"/>
          <w:u w:val="single"/>
        </w:rPr>
      </w:pPr>
      <w:hyperlink r:id="rId41" w:history="1">
        <w:r>
          <w:rPr>
            <w:color w:val="0000FF"/>
            <w:u w:val="single"/>
            <w:rtl/>
          </w:rPr>
          <w:t>בעניין עריכה ושינויים במסמכי פסיקה, חקיקה ועוד באתר נבו – הקש כאן</w:t>
        </w:r>
      </w:hyperlink>
    </w:p>
    <w:p w14:paraId="1A8809AD" w14:textId="77777777" w:rsidR="00CA6AFA" w:rsidRPr="00CA6AFA" w:rsidRDefault="00CA6AFA" w:rsidP="00CA6AFA">
      <w:pPr>
        <w:jc w:val="center"/>
        <w:rPr>
          <w:color w:val="0000FF"/>
          <w:u w:val="single"/>
        </w:rPr>
      </w:pPr>
    </w:p>
    <w:sectPr w:rsidR="00CA6AFA" w:rsidRPr="00CA6AFA" w:rsidSect="00CA6AFA">
      <w:headerReference w:type="even" r:id="rId42"/>
      <w:headerReference w:type="default" r:id="rId43"/>
      <w:footerReference w:type="even" r:id="rId44"/>
      <w:footerReference w:type="default" r:id="rId4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D57A04" w14:textId="77777777" w:rsidR="00BF41D8" w:rsidRDefault="00BF41D8" w:rsidP="004B4D8B">
      <w:r>
        <w:separator/>
      </w:r>
    </w:p>
  </w:endnote>
  <w:endnote w:type="continuationSeparator" w:id="0">
    <w:p w14:paraId="0874F3BA" w14:textId="77777777" w:rsidR="00BF41D8" w:rsidRDefault="00BF41D8" w:rsidP="004B4D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A2CB64" w14:textId="77777777" w:rsidR="00CA6AFA" w:rsidRDefault="00CA6AFA" w:rsidP="00CA6AF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D617F19" w14:textId="77777777" w:rsidR="00235B1A" w:rsidRPr="00CA6AFA" w:rsidRDefault="00CA6AFA" w:rsidP="00CA6AFA">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A799E0" w14:textId="77777777" w:rsidR="00CA6AFA" w:rsidRDefault="00CA6AFA" w:rsidP="00CA6AF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74131">
      <w:rPr>
        <w:rFonts w:ascii="FrankRuehl" w:hAnsi="FrankRuehl" w:cs="FrankRuehl"/>
        <w:noProof/>
        <w:rtl/>
      </w:rPr>
      <w:t>1</w:t>
    </w:r>
    <w:r>
      <w:rPr>
        <w:rFonts w:ascii="FrankRuehl" w:hAnsi="FrankRuehl" w:cs="FrankRuehl"/>
        <w:rtl/>
      </w:rPr>
      <w:fldChar w:fldCharType="end"/>
    </w:r>
  </w:p>
  <w:p w14:paraId="70C6E9A8" w14:textId="77777777" w:rsidR="00235B1A" w:rsidRPr="00CA6AFA" w:rsidRDefault="00CA6AFA" w:rsidP="00CA6AFA">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62D8C7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F66B95" w14:textId="77777777" w:rsidR="00BF41D8" w:rsidRDefault="00BF41D8" w:rsidP="004B4D8B">
      <w:r>
        <w:separator/>
      </w:r>
    </w:p>
  </w:footnote>
  <w:footnote w:type="continuationSeparator" w:id="0">
    <w:p w14:paraId="50FDD951" w14:textId="77777777" w:rsidR="00BF41D8" w:rsidRDefault="00BF41D8" w:rsidP="004B4D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87AAAC" w14:textId="77777777" w:rsidR="00CA6AFA" w:rsidRPr="00CA6AFA" w:rsidRDefault="00CA6AFA" w:rsidP="00CA6AF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40118-06-21</w:t>
    </w:r>
    <w:r>
      <w:rPr>
        <w:rFonts w:ascii="David" w:hAnsi="David"/>
        <w:color w:val="000000"/>
        <w:sz w:val="22"/>
        <w:szCs w:val="22"/>
        <w:rtl/>
      </w:rPr>
      <w:tab/>
      <w:t xml:space="preserve"> מדינת ישראל נ' חרבי ראזם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945412" w14:textId="77777777" w:rsidR="00CA6AFA" w:rsidRPr="00CA6AFA" w:rsidRDefault="00CA6AFA" w:rsidP="00CA6AF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40118-06-21</w:t>
    </w:r>
    <w:r>
      <w:rPr>
        <w:rFonts w:ascii="David" w:hAnsi="David"/>
        <w:color w:val="000000"/>
        <w:sz w:val="22"/>
        <w:szCs w:val="22"/>
        <w:rtl/>
      </w:rPr>
      <w:tab/>
      <w:t xml:space="preserve"> מדינת ישראל נ' חרבי ראזם</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DA106D"/>
    <w:multiLevelType w:val="hybridMultilevel"/>
    <w:tmpl w:val="E8849EC2"/>
    <w:lvl w:ilvl="0" w:tplc="B9E4DAA8">
      <w:start w:val="1"/>
      <w:numFmt w:val="hebrew1"/>
      <w:lvlText w:val="%1."/>
      <w:lvlJc w:val="left"/>
      <w:pPr>
        <w:ind w:left="1635" w:hanging="91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54653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61F4B"/>
    <w:rsid w:val="000528DC"/>
    <w:rsid w:val="001B5A3B"/>
    <w:rsid w:val="001F3E8B"/>
    <w:rsid w:val="00235B1A"/>
    <w:rsid w:val="00244061"/>
    <w:rsid w:val="00261F4B"/>
    <w:rsid w:val="004B4D8B"/>
    <w:rsid w:val="005A07ED"/>
    <w:rsid w:val="00674131"/>
    <w:rsid w:val="006851C3"/>
    <w:rsid w:val="00881D62"/>
    <w:rsid w:val="009E636D"/>
    <w:rsid w:val="00BF41D8"/>
    <w:rsid w:val="00C202A5"/>
    <w:rsid w:val="00CA6AFA"/>
    <w:rsid w:val="00CE5B38"/>
    <w:rsid w:val="00FD28A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9313149"/>
  <w15:chartTrackingRefBased/>
  <w15:docId w15:val="{79F71CE5-D8BA-43D5-8DEF-6547AAF4D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61F4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61F4B"/>
    <w:pPr>
      <w:tabs>
        <w:tab w:val="center" w:pos="4153"/>
        <w:tab w:val="right" w:pos="8306"/>
      </w:tabs>
    </w:pPr>
  </w:style>
  <w:style w:type="character" w:customStyle="1" w:styleId="a4">
    <w:name w:val="כותרת עליונה תו"/>
    <w:link w:val="a3"/>
    <w:rsid w:val="00261F4B"/>
    <w:rPr>
      <w:rFonts w:ascii="Times New Roman" w:eastAsia="Times New Roman" w:hAnsi="Times New Roman" w:cs="David"/>
      <w:sz w:val="24"/>
      <w:szCs w:val="24"/>
    </w:rPr>
  </w:style>
  <w:style w:type="paragraph" w:styleId="a5">
    <w:name w:val="footer"/>
    <w:basedOn w:val="a"/>
    <w:link w:val="a6"/>
    <w:rsid w:val="00261F4B"/>
    <w:pPr>
      <w:tabs>
        <w:tab w:val="center" w:pos="4153"/>
        <w:tab w:val="right" w:pos="8306"/>
      </w:tabs>
    </w:pPr>
  </w:style>
  <w:style w:type="character" w:customStyle="1" w:styleId="a6">
    <w:name w:val="כותרת תחתונה תו"/>
    <w:link w:val="a5"/>
    <w:rsid w:val="00261F4B"/>
    <w:rPr>
      <w:rFonts w:ascii="Times New Roman" w:eastAsia="Times New Roman" w:hAnsi="Times New Roman" w:cs="David"/>
      <w:sz w:val="24"/>
      <w:szCs w:val="24"/>
    </w:rPr>
  </w:style>
  <w:style w:type="table" w:styleId="a7">
    <w:name w:val="Table Grid"/>
    <w:basedOn w:val="a1"/>
    <w:rsid w:val="00261F4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61F4B"/>
  </w:style>
  <w:style w:type="paragraph" w:styleId="a9">
    <w:name w:val="List Paragraph"/>
    <w:basedOn w:val="a"/>
    <w:qFormat/>
    <w:rsid w:val="00261F4B"/>
    <w:pPr>
      <w:ind w:left="720"/>
      <w:contextualSpacing/>
    </w:pPr>
  </w:style>
  <w:style w:type="character" w:styleId="Hyperlink">
    <w:name w:val="Hyperlink"/>
    <w:rsid w:val="00CA6A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74.3" TargetMode="External"/><Relationship Id="rId18" Type="http://schemas.openxmlformats.org/officeDocument/2006/relationships/hyperlink" Target="http://www.nevo.co.il/law/70301" TargetMode="External"/><Relationship Id="rId26" Type="http://schemas.openxmlformats.org/officeDocument/2006/relationships/hyperlink" Target="http://www.nevo.co.il/law/70301/25" TargetMode="External"/><Relationship Id="rId39" Type="http://schemas.openxmlformats.org/officeDocument/2006/relationships/hyperlink" Target="http://www.nevo.co.il/case/26795355" TargetMode="External"/><Relationship Id="rId21" Type="http://schemas.openxmlformats.org/officeDocument/2006/relationships/hyperlink" Target="http://www.nevo.co.il/law/70301/144.a" TargetMode="External"/><Relationship Id="rId34" Type="http://schemas.openxmlformats.org/officeDocument/2006/relationships/hyperlink" Target="http://www.nevo.co.il/case/13104258"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141771" TargetMode="External"/><Relationship Id="rId29" Type="http://schemas.openxmlformats.org/officeDocument/2006/relationships/hyperlink" Target="http://www.nevo.co.il/law/14177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274.1" TargetMode="External"/><Relationship Id="rId24" Type="http://schemas.openxmlformats.org/officeDocument/2006/relationships/hyperlink" Target="http://www.nevo.co.il/law/70301/274.2" TargetMode="External"/><Relationship Id="rId32" Type="http://schemas.openxmlformats.org/officeDocument/2006/relationships/hyperlink" Target="http://www.nevo.co.il/case/26058630" TargetMode="External"/><Relationship Id="rId37" Type="http://schemas.openxmlformats.org/officeDocument/2006/relationships/hyperlink" Target="http://www.nevo.co.il/case/24323398" TargetMode="External"/><Relationship Id="rId40" Type="http://schemas.openxmlformats.org/officeDocument/2006/relationships/hyperlink" Target="http://www.nevo.co.il/law/141771" TargetMode="External"/><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0301/448.a" TargetMode="External"/><Relationship Id="rId23" Type="http://schemas.openxmlformats.org/officeDocument/2006/relationships/hyperlink" Target="http://www.nevo.co.il/law/70301/274.1"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21771420" TargetMode="External"/><Relationship Id="rId10" Type="http://schemas.openxmlformats.org/officeDocument/2006/relationships/hyperlink" Target="http://www.nevo.co.il/law/70301/152" TargetMode="External"/><Relationship Id="rId19" Type="http://schemas.openxmlformats.org/officeDocument/2006/relationships/hyperlink" Target="http://www.nevo.co.il/law/70301/448.a" TargetMode="External"/><Relationship Id="rId31" Type="http://schemas.openxmlformats.org/officeDocument/2006/relationships/hyperlink" Target="http://www.nevo.co.il/case/13101134"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law/70301/275a" TargetMode="External"/><Relationship Id="rId22" Type="http://schemas.openxmlformats.org/officeDocument/2006/relationships/hyperlink" Target="http://www.nevo.co.il/law/70301/275a" TargetMode="External"/><Relationship Id="rId27" Type="http://schemas.openxmlformats.org/officeDocument/2006/relationships/hyperlink" Target="http://www.nevo.co.il/law/70301/448.a" TargetMode="External"/><Relationship Id="rId30" Type="http://schemas.openxmlformats.org/officeDocument/2006/relationships/hyperlink" Target="http://www.nevo.co.il/case/13093721" TargetMode="External"/><Relationship Id="rId35" Type="http://schemas.openxmlformats.org/officeDocument/2006/relationships/hyperlink" Target="http://www.nevo.co.il/case/26058630" TargetMode="External"/><Relationship Id="rId43" Type="http://schemas.openxmlformats.org/officeDocument/2006/relationships/header" Target="header2.xml"/><Relationship Id="rId8" Type="http://schemas.openxmlformats.org/officeDocument/2006/relationships/hyperlink" Target="http://www.nevo.co.il/law/70301/25" TargetMode="External"/><Relationship Id="rId3" Type="http://schemas.openxmlformats.org/officeDocument/2006/relationships/settings" Target="settings.xml"/><Relationship Id="rId12" Type="http://schemas.openxmlformats.org/officeDocument/2006/relationships/hyperlink" Target="http://www.nevo.co.il/law/70301/274.2" TargetMode="External"/><Relationship Id="rId17" Type="http://schemas.openxmlformats.org/officeDocument/2006/relationships/hyperlink" Target="http://www.nevo.co.il/law/70301/152" TargetMode="External"/><Relationship Id="rId25" Type="http://schemas.openxmlformats.org/officeDocument/2006/relationships/hyperlink" Target="http://www.nevo.co.il/law/70301/274.3" TargetMode="External"/><Relationship Id="rId33" Type="http://schemas.openxmlformats.org/officeDocument/2006/relationships/hyperlink" Target="http://www.nevo.co.il/case/21476340" TargetMode="External"/><Relationship Id="rId38" Type="http://schemas.openxmlformats.org/officeDocument/2006/relationships/hyperlink" Target="http://www.nevo.co.il/case/27395790" TargetMode="External"/><Relationship Id="rId46" Type="http://schemas.openxmlformats.org/officeDocument/2006/relationships/fontTable" Target="fontTable.xml"/><Relationship Id="rId20" Type="http://schemas.openxmlformats.org/officeDocument/2006/relationships/hyperlink" Target="http://www.nevo.co.il/law/70301/25" TargetMode="External"/><Relationship Id="rId41"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2508</Words>
  <Characters>12541</Characters>
  <Application>Microsoft Office Word</Application>
  <DocSecurity>0</DocSecurity>
  <Lines>104</Lines>
  <Paragraphs>30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15019</CharactersWithSpaces>
  <SharedDoc>false</SharedDoc>
  <HLinks>
    <vt:vector size="210" baseType="variant">
      <vt:variant>
        <vt:i4>393283</vt:i4>
      </vt:variant>
      <vt:variant>
        <vt:i4>102</vt:i4>
      </vt:variant>
      <vt:variant>
        <vt:i4>0</vt:i4>
      </vt:variant>
      <vt:variant>
        <vt:i4>5</vt:i4>
      </vt:variant>
      <vt:variant>
        <vt:lpwstr>http://www.nevo.co.il/advertisements/nevo-100.doc</vt:lpwstr>
      </vt:variant>
      <vt:variant>
        <vt:lpwstr/>
      </vt:variant>
      <vt:variant>
        <vt:i4>4718679</vt:i4>
      </vt:variant>
      <vt:variant>
        <vt:i4>99</vt:i4>
      </vt:variant>
      <vt:variant>
        <vt:i4>0</vt:i4>
      </vt:variant>
      <vt:variant>
        <vt:i4>5</vt:i4>
      </vt:variant>
      <vt:variant>
        <vt:lpwstr>http://www.nevo.co.il/law/141771</vt:lpwstr>
      </vt:variant>
      <vt:variant>
        <vt:lpwstr/>
      </vt:variant>
      <vt:variant>
        <vt:i4>3473528</vt:i4>
      </vt:variant>
      <vt:variant>
        <vt:i4>96</vt:i4>
      </vt:variant>
      <vt:variant>
        <vt:i4>0</vt:i4>
      </vt:variant>
      <vt:variant>
        <vt:i4>5</vt:i4>
      </vt:variant>
      <vt:variant>
        <vt:lpwstr>http://www.nevo.co.il/case/26795355</vt:lpwstr>
      </vt:variant>
      <vt:variant>
        <vt:lpwstr/>
      </vt:variant>
      <vt:variant>
        <vt:i4>3997821</vt:i4>
      </vt:variant>
      <vt:variant>
        <vt:i4>93</vt:i4>
      </vt:variant>
      <vt:variant>
        <vt:i4>0</vt:i4>
      </vt:variant>
      <vt:variant>
        <vt:i4>5</vt:i4>
      </vt:variant>
      <vt:variant>
        <vt:lpwstr>http://www.nevo.co.il/case/27395790</vt:lpwstr>
      </vt:variant>
      <vt:variant>
        <vt:lpwstr/>
      </vt:variant>
      <vt:variant>
        <vt:i4>3866737</vt:i4>
      </vt:variant>
      <vt:variant>
        <vt:i4>90</vt:i4>
      </vt:variant>
      <vt:variant>
        <vt:i4>0</vt:i4>
      </vt:variant>
      <vt:variant>
        <vt:i4>5</vt:i4>
      </vt:variant>
      <vt:variant>
        <vt:lpwstr>http://www.nevo.co.il/case/24323398</vt:lpwstr>
      </vt:variant>
      <vt:variant>
        <vt:lpwstr/>
      </vt:variant>
      <vt:variant>
        <vt:i4>3539062</vt:i4>
      </vt:variant>
      <vt:variant>
        <vt:i4>87</vt:i4>
      </vt:variant>
      <vt:variant>
        <vt:i4>0</vt:i4>
      </vt:variant>
      <vt:variant>
        <vt:i4>5</vt:i4>
      </vt:variant>
      <vt:variant>
        <vt:lpwstr>http://www.nevo.co.il/case/21771420</vt:lpwstr>
      </vt:variant>
      <vt:variant>
        <vt:lpwstr/>
      </vt:variant>
      <vt:variant>
        <vt:i4>3735665</vt:i4>
      </vt:variant>
      <vt:variant>
        <vt:i4>84</vt:i4>
      </vt:variant>
      <vt:variant>
        <vt:i4>0</vt:i4>
      </vt:variant>
      <vt:variant>
        <vt:i4>5</vt:i4>
      </vt:variant>
      <vt:variant>
        <vt:lpwstr>http://www.nevo.co.il/case/26058630</vt:lpwstr>
      </vt:variant>
      <vt:variant>
        <vt:lpwstr/>
      </vt:variant>
      <vt:variant>
        <vt:i4>3211381</vt:i4>
      </vt:variant>
      <vt:variant>
        <vt:i4>81</vt:i4>
      </vt:variant>
      <vt:variant>
        <vt:i4>0</vt:i4>
      </vt:variant>
      <vt:variant>
        <vt:i4>5</vt:i4>
      </vt:variant>
      <vt:variant>
        <vt:lpwstr>http://www.nevo.co.il/case/13104258</vt:lpwstr>
      </vt:variant>
      <vt:variant>
        <vt:lpwstr/>
      </vt:variant>
      <vt:variant>
        <vt:i4>3407985</vt:i4>
      </vt:variant>
      <vt:variant>
        <vt:i4>78</vt:i4>
      </vt:variant>
      <vt:variant>
        <vt:i4>0</vt:i4>
      </vt:variant>
      <vt:variant>
        <vt:i4>5</vt:i4>
      </vt:variant>
      <vt:variant>
        <vt:lpwstr>http://www.nevo.co.il/case/21476340</vt:lpwstr>
      </vt:variant>
      <vt:variant>
        <vt:lpwstr/>
      </vt:variant>
      <vt:variant>
        <vt:i4>3735665</vt:i4>
      </vt:variant>
      <vt:variant>
        <vt:i4>75</vt:i4>
      </vt:variant>
      <vt:variant>
        <vt:i4>0</vt:i4>
      </vt:variant>
      <vt:variant>
        <vt:i4>5</vt:i4>
      </vt:variant>
      <vt:variant>
        <vt:lpwstr>http://www.nevo.co.il/case/26058630</vt:lpwstr>
      </vt:variant>
      <vt:variant>
        <vt:lpwstr/>
      </vt:variant>
      <vt:variant>
        <vt:i4>3276918</vt:i4>
      </vt:variant>
      <vt:variant>
        <vt:i4>72</vt:i4>
      </vt:variant>
      <vt:variant>
        <vt:i4>0</vt:i4>
      </vt:variant>
      <vt:variant>
        <vt:i4>5</vt:i4>
      </vt:variant>
      <vt:variant>
        <vt:lpwstr>http://www.nevo.co.il/case/13101134</vt:lpwstr>
      </vt:variant>
      <vt:variant>
        <vt:lpwstr/>
      </vt:variant>
      <vt:variant>
        <vt:i4>3145849</vt:i4>
      </vt:variant>
      <vt:variant>
        <vt:i4>69</vt:i4>
      </vt:variant>
      <vt:variant>
        <vt:i4>0</vt:i4>
      </vt:variant>
      <vt:variant>
        <vt:i4>5</vt:i4>
      </vt:variant>
      <vt:variant>
        <vt:lpwstr>http://www.nevo.co.il/case/13093721</vt:lpwstr>
      </vt:variant>
      <vt:variant>
        <vt:lpwstr/>
      </vt:variant>
      <vt:variant>
        <vt:i4>4718679</vt:i4>
      </vt:variant>
      <vt:variant>
        <vt:i4>66</vt:i4>
      </vt:variant>
      <vt:variant>
        <vt:i4>0</vt:i4>
      </vt:variant>
      <vt:variant>
        <vt:i4>5</vt:i4>
      </vt:variant>
      <vt:variant>
        <vt:lpwstr>http://www.nevo.co.il/law/141771</vt:lpwstr>
      </vt:variant>
      <vt:variant>
        <vt:lpwstr/>
      </vt:variant>
      <vt:variant>
        <vt:i4>7995492</vt:i4>
      </vt:variant>
      <vt:variant>
        <vt:i4>63</vt:i4>
      </vt:variant>
      <vt:variant>
        <vt:i4>0</vt:i4>
      </vt:variant>
      <vt:variant>
        <vt:i4>5</vt:i4>
      </vt:variant>
      <vt:variant>
        <vt:lpwstr>http://www.nevo.co.il/law/70301</vt:lpwstr>
      </vt:variant>
      <vt:variant>
        <vt:lpwstr/>
      </vt:variant>
      <vt:variant>
        <vt:i4>5177433</vt:i4>
      </vt:variant>
      <vt:variant>
        <vt:i4>60</vt:i4>
      </vt:variant>
      <vt:variant>
        <vt:i4>0</vt:i4>
      </vt:variant>
      <vt:variant>
        <vt:i4>5</vt:i4>
      </vt:variant>
      <vt:variant>
        <vt:lpwstr>http://www.nevo.co.il/law/70301/448.a</vt:lpwstr>
      </vt:variant>
      <vt:variant>
        <vt:lpwstr/>
      </vt:variant>
      <vt:variant>
        <vt:i4>6291559</vt:i4>
      </vt:variant>
      <vt:variant>
        <vt:i4>57</vt:i4>
      </vt:variant>
      <vt:variant>
        <vt:i4>0</vt:i4>
      </vt:variant>
      <vt:variant>
        <vt:i4>5</vt:i4>
      </vt:variant>
      <vt:variant>
        <vt:lpwstr>http://www.nevo.co.il/law/70301/25</vt:lpwstr>
      </vt:variant>
      <vt:variant>
        <vt:lpwstr/>
      </vt:variant>
      <vt:variant>
        <vt:i4>4980819</vt:i4>
      </vt:variant>
      <vt:variant>
        <vt:i4>54</vt:i4>
      </vt:variant>
      <vt:variant>
        <vt:i4>0</vt:i4>
      </vt:variant>
      <vt:variant>
        <vt:i4>5</vt:i4>
      </vt:variant>
      <vt:variant>
        <vt:lpwstr>http://www.nevo.co.il/law/70301/274.3</vt:lpwstr>
      </vt:variant>
      <vt:variant>
        <vt:lpwstr/>
      </vt:variant>
      <vt:variant>
        <vt:i4>4980819</vt:i4>
      </vt:variant>
      <vt:variant>
        <vt:i4>51</vt:i4>
      </vt:variant>
      <vt:variant>
        <vt:i4>0</vt:i4>
      </vt:variant>
      <vt:variant>
        <vt:i4>5</vt:i4>
      </vt:variant>
      <vt:variant>
        <vt:lpwstr>http://www.nevo.co.il/law/70301/274.2</vt:lpwstr>
      </vt:variant>
      <vt:variant>
        <vt:lpwstr/>
      </vt:variant>
      <vt:variant>
        <vt:i4>4980819</vt:i4>
      </vt:variant>
      <vt:variant>
        <vt:i4>48</vt:i4>
      </vt:variant>
      <vt:variant>
        <vt:i4>0</vt:i4>
      </vt:variant>
      <vt:variant>
        <vt:i4>5</vt:i4>
      </vt:variant>
      <vt:variant>
        <vt:lpwstr>http://www.nevo.co.il/law/70301/274.1</vt:lpwstr>
      </vt:variant>
      <vt:variant>
        <vt:lpwstr/>
      </vt:variant>
      <vt:variant>
        <vt:i4>196690</vt:i4>
      </vt:variant>
      <vt:variant>
        <vt:i4>45</vt:i4>
      </vt:variant>
      <vt:variant>
        <vt:i4>0</vt:i4>
      </vt:variant>
      <vt:variant>
        <vt:i4>5</vt:i4>
      </vt:variant>
      <vt:variant>
        <vt:lpwstr>http://www.nevo.co.il/law/70301/275a</vt:lpwstr>
      </vt:variant>
      <vt:variant>
        <vt:lpwstr/>
      </vt:variant>
      <vt:variant>
        <vt:i4>5177424</vt:i4>
      </vt:variant>
      <vt:variant>
        <vt:i4>42</vt:i4>
      </vt:variant>
      <vt:variant>
        <vt:i4>0</vt:i4>
      </vt:variant>
      <vt:variant>
        <vt:i4>5</vt:i4>
      </vt:variant>
      <vt:variant>
        <vt:lpwstr>http://www.nevo.co.il/law/70301/144.a</vt:lpwstr>
      </vt:variant>
      <vt:variant>
        <vt:lpwstr/>
      </vt:variant>
      <vt:variant>
        <vt:i4>6291559</vt:i4>
      </vt:variant>
      <vt:variant>
        <vt:i4>39</vt:i4>
      </vt:variant>
      <vt:variant>
        <vt:i4>0</vt:i4>
      </vt:variant>
      <vt:variant>
        <vt:i4>5</vt:i4>
      </vt:variant>
      <vt:variant>
        <vt:lpwstr>http://www.nevo.co.il/law/70301/25</vt:lpwstr>
      </vt:variant>
      <vt:variant>
        <vt:lpwstr/>
      </vt:variant>
      <vt:variant>
        <vt:i4>5177433</vt:i4>
      </vt:variant>
      <vt:variant>
        <vt:i4>36</vt:i4>
      </vt:variant>
      <vt:variant>
        <vt:i4>0</vt:i4>
      </vt:variant>
      <vt:variant>
        <vt:i4>5</vt:i4>
      </vt:variant>
      <vt:variant>
        <vt:lpwstr>http://www.nevo.co.il/law/70301/448.a</vt:lpwstr>
      </vt:variant>
      <vt:variant>
        <vt:lpwstr/>
      </vt:variant>
      <vt:variant>
        <vt:i4>7995492</vt:i4>
      </vt:variant>
      <vt:variant>
        <vt:i4>33</vt:i4>
      </vt:variant>
      <vt:variant>
        <vt:i4>0</vt:i4>
      </vt:variant>
      <vt:variant>
        <vt:i4>5</vt:i4>
      </vt:variant>
      <vt:variant>
        <vt:lpwstr>http://www.nevo.co.il/law/70301</vt:lpwstr>
      </vt:variant>
      <vt:variant>
        <vt:lpwstr/>
      </vt:variant>
      <vt:variant>
        <vt:i4>6291556</vt:i4>
      </vt:variant>
      <vt:variant>
        <vt:i4>30</vt:i4>
      </vt:variant>
      <vt:variant>
        <vt:i4>0</vt:i4>
      </vt:variant>
      <vt:variant>
        <vt:i4>5</vt:i4>
      </vt:variant>
      <vt:variant>
        <vt:lpwstr>http://www.nevo.co.il/law/70301/152</vt:lpwstr>
      </vt:variant>
      <vt:variant>
        <vt:lpwstr/>
      </vt:variant>
      <vt:variant>
        <vt:i4>4718679</vt:i4>
      </vt:variant>
      <vt:variant>
        <vt:i4>27</vt:i4>
      </vt:variant>
      <vt:variant>
        <vt:i4>0</vt:i4>
      </vt:variant>
      <vt:variant>
        <vt:i4>5</vt:i4>
      </vt:variant>
      <vt:variant>
        <vt:lpwstr>http://www.nevo.co.il/law/141771</vt:lpwstr>
      </vt:variant>
      <vt:variant>
        <vt:lpwstr/>
      </vt:variant>
      <vt:variant>
        <vt:i4>5177433</vt:i4>
      </vt:variant>
      <vt:variant>
        <vt:i4>24</vt:i4>
      </vt:variant>
      <vt:variant>
        <vt:i4>0</vt:i4>
      </vt:variant>
      <vt:variant>
        <vt:i4>5</vt:i4>
      </vt:variant>
      <vt:variant>
        <vt:lpwstr>http://www.nevo.co.il/law/70301/448.a</vt:lpwstr>
      </vt:variant>
      <vt:variant>
        <vt:lpwstr/>
      </vt:variant>
      <vt:variant>
        <vt:i4>196690</vt:i4>
      </vt:variant>
      <vt:variant>
        <vt:i4>21</vt:i4>
      </vt:variant>
      <vt:variant>
        <vt:i4>0</vt:i4>
      </vt:variant>
      <vt:variant>
        <vt:i4>5</vt:i4>
      </vt:variant>
      <vt:variant>
        <vt:lpwstr>http://www.nevo.co.il/law/70301/275a</vt:lpwstr>
      </vt:variant>
      <vt:variant>
        <vt:lpwstr/>
      </vt:variant>
      <vt:variant>
        <vt:i4>4980819</vt:i4>
      </vt:variant>
      <vt:variant>
        <vt:i4>18</vt:i4>
      </vt:variant>
      <vt:variant>
        <vt:i4>0</vt:i4>
      </vt:variant>
      <vt:variant>
        <vt:i4>5</vt:i4>
      </vt:variant>
      <vt:variant>
        <vt:lpwstr>http://www.nevo.co.il/law/70301/274.3</vt:lpwstr>
      </vt:variant>
      <vt:variant>
        <vt:lpwstr/>
      </vt:variant>
      <vt:variant>
        <vt:i4>4980819</vt:i4>
      </vt:variant>
      <vt:variant>
        <vt:i4>15</vt:i4>
      </vt:variant>
      <vt:variant>
        <vt:i4>0</vt:i4>
      </vt:variant>
      <vt:variant>
        <vt:i4>5</vt:i4>
      </vt:variant>
      <vt:variant>
        <vt:lpwstr>http://www.nevo.co.il/law/70301/274.2</vt:lpwstr>
      </vt:variant>
      <vt:variant>
        <vt:lpwstr/>
      </vt:variant>
      <vt:variant>
        <vt:i4>4980819</vt:i4>
      </vt:variant>
      <vt:variant>
        <vt:i4>12</vt:i4>
      </vt:variant>
      <vt:variant>
        <vt:i4>0</vt:i4>
      </vt:variant>
      <vt:variant>
        <vt:i4>5</vt:i4>
      </vt:variant>
      <vt:variant>
        <vt:lpwstr>http://www.nevo.co.il/law/70301/274.1</vt:lpwstr>
      </vt:variant>
      <vt:variant>
        <vt:lpwstr/>
      </vt:variant>
      <vt:variant>
        <vt:i4>6291556</vt:i4>
      </vt:variant>
      <vt:variant>
        <vt:i4>9</vt:i4>
      </vt:variant>
      <vt:variant>
        <vt:i4>0</vt:i4>
      </vt:variant>
      <vt:variant>
        <vt:i4>5</vt:i4>
      </vt:variant>
      <vt:variant>
        <vt:lpwstr>http://www.nevo.co.il/law/70301/152</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2025-01-19T16:43:00Z</dcterms:created>
  <dcterms:modified xsi:type="dcterms:W3CDTF">2025-01-19T16:43:00Z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40118</vt:lpwstr>
  </property>
  <property fmtid="{D5CDD505-2E9C-101B-9397-08002B2CF9AE}" pid="6" name="NEWPARTB">
    <vt:lpwstr>06</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חרבי ראזם</vt:lpwstr>
  </property>
  <property fmtid="{D5CDD505-2E9C-101B-9397-08002B2CF9AE}" pid="10" name="JUDGE">
    <vt:lpwstr>אברהם רובין</vt:lpwstr>
  </property>
  <property fmtid="{D5CDD505-2E9C-101B-9397-08002B2CF9AE}" pid="11" name="CITY">
    <vt:lpwstr>י-ם</vt:lpwstr>
  </property>
  <property fmtid="{D5CDD505-2E9C-101B-9397-08002B2CF9AE}" pid="12" name="DATE">
    <vt:lpwstr>20220105</vt:lpwstr>
  </property>
  <property fmtid="{D5CDD505-2E9C-101B-9397-08002B2CF9AE}" pid="13" name="TYPE_N_DATE">
    <vt:lpwstr>39020220105</vt:lpwstr>
  </property>
  <property fmtid="{D5CDD505-2E9C-101B-9397-08002B2CF9AE}" pid="14" name="WORDNUMPAGES">
    <vt:lpwstr>8</vt:lpwstr>
  </property>
  <property fmtid="{D5CDD505-2E9C-101B-9397-08002B2CF9AE}" pid="15" name="TYPE_ABS_DATE">
    <vt:lpwstr>390020220105</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13093721;13101134;26058630:2;21476340;13104258;21771420;24323398;27395790;26795355</vt:lpwstr>
  </property>
  <property fmtid="{D5CDD505-2E9C-101B-9397-08002B2CF9AE}" pid="36" name="LAWLISTTMP1">
    <vt:lpwstr>70301/152;448.a:2;025:2;144.a;275a;274.1;274.2;274.3</vt:lpwstr>
  </property>
  <property fmtid="{D5CDD505-2E9C-101B-9397-08002B2CF9AE}" pid="37" name="LAWLISTTMP2">
    <vt:lpwstr>141771:2</vt:lpwstr>
  </property>
</Properties>
</file>