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94ECC" w:rsidRPr="00AB0E4D" w14:paraId="6AD64D64" w14:textId="77777777" w:rsidTr="009048EA">
        <w:trPr>
          <w:trHeight w:hRule="exact" w:val="418"/>
          <w:jc w:val="center"/>
        </w:trPr>
        <w:tc>
          <w:tcPr>
            <w:tcW w:w="8721" w:type="dxa"/>
            <w:gridSpan w:val="2"/>
          </w:tcPr>
          <w:p w14:paraId="7ABE1FC9" w14:textId="77777777" w:rsidR="00D94ECC" w:rsidRPr="00AB0E4D" w:rsidRDefault="00D94ECC" w:rsidP="00307AAC">
            <w:pPr>
              <w:pStyle w:val="a3"/>
              <w:jc w:val="center"/>
              <w:rPr>
                <w:rFonts w:ascii="Tahoma" w:hAnsi="Tahoma" w:cs="Tahoma"/>
                <w:color w:val="000080"/>
                <w:rtl/>
              </w:rPr>
            </w:pPr>
            <w:bookmarkStart w:id="0" w:name="LastJudge"/>
            <w:r w:rsidRPr="00AB0E4D">
              <w:rPr>
                <w:rFonts w:ascii="Tahoma" w:hAnsi="Tahoma" w:cs="Tahoma"/>
                <w:b/>
                <w:bCs/>
                <w:color w:val="000080"/>
                <w:rtl/>
              </w:rPr>
              <w:t>בית המשפט המחוזי בחיפה</w:t>
            </w:r>
          </w:p>
        </w:tc>
      </w:tr>
      <w:tr w:rsidR="00D94ECC" w:rsidRPr="00AB0E4D" w14:paraId="156847C0" w14:textId="77777777" w:rsidTr="009048EA">
        <w:trPr>
          <w:trHeight w:val="337"/>
          <w:jc w:val="center"/>
        </w:trPr>
        <w:tc>
          <w:tcPr>
            <w:tcW w:w="5054" w:type="dxa"/>
          </w:tcPr>
          <w:p w14:paraId="3A63DA68" w14:textId="77777777" w:rsidR="00D94ECC" w:rsidRPr="00AB0E4D" w:rsidRDefault="00D94ECC" w:rsidP="00307AAC">
            <w:pPr>
              <w:rPr>
                <w:rFonts w:cs="FrankRuehl"/>
                <w:sz w:val="28"/>
                <w:szCs w:val="28"/>
                <w:rtl/>
              </w:rPr>
            </w:pPr>
            <w:r w:rsidRPr="00AB0E4D">
              <w:rPr>
                <w:rFonts w:cs="FrankRuehl"/>
                <w:sz w:val="28"/>
                <w:szCs w:val="28"/>
                <w:rtl/>
              </w:rPr>
              <w:t>ת"פ</w:t>
            </w:r>
            <w:r w:rsidRPr="00AB0E4D">
              <w:rPr>
                <w:rFonts w:cs="FrankRuehl" w:hint="cs"/>
                <w:sz w:val="28"/>
                <w:szCs w:val="28"/>
                <w:rtl/>
              </w:rPr>
              <w:t xml:space="preserve"> </w:t>
            </w:r>
            <w:r w:rsidRPr="00AB0E4D">
              <w:rPr>
                <w:rFonts w:cs="FrankRuehl"/>
                <w:sz w:val="28"/>
                <w:szCs w:val="28"/>
                <w:rtl/>
              </w:rPr>
              <w:t>44351-06-21</w:t>
            </w:r>
            <w:r w:rsidRPr="00AB0E4D">
              <w:rPr>
                <w:rFonts w:cs="FrankRuehl" w:hint="cs"/>
                <w:sz w:val="28"/>
                <w:szCs w:val="28"/>
                <w:rtl/>
              </w:rPr>
              <w:t xml:space="preserve"> </w:t>
            </w:r>
            <w:r w:rsidRPr="00AB0E4D">
              <w:rPr>
                <w:rFonts w:cs="FrankRuehl"/>
                <w:sz w:val="28"/>
                <w:szCs w:val="28"/>
                <w:rtl/>
              </w:rPr>
              <w:t>מדינת ישראל נ' עותמאן</w:t>
            </w:r>
            <w:r w:rsidRPr="00AB0E4D">
              <w:rPr>
                <w:rFonts w:cs="FrankRuehl" w:hint="cs"/>
                <w:sz w:val="28"/>
                <w:szCs w:val="28"/>
                <w:rtl/>
              </w:rPr>
              <w:t xml:space="preserve"> </w:t>
            </w:r>
            <w:r w:rsidRPr="00AB0E4D">
              <w:rPr>
                <w:rFonts w:cs="FrankRuehl"/>
                <w:sz w:val="28"/>
                <w:szCs w:val="28"/>
                <w:rtl/>
              </w:rPr>
              <w:t>(עציר) ואח'</w:t>
            </w:r>
          </w:p>
          <w:p w14:paraId="23BEA2F9" w14:textId="77777777" w:rsidR="00D94ECC" w:rsidRPr="00AB0E4D" w:rsidRDefault="00D94ECC" w:rsidP="00307AAC">
            <w:pPr>
              <w:pStyle w:val="a3"/>
              <w:rPr>
                <w:rFonts w:cs="FrankRuehl"/>
                <w:sz w:val="28"/>
                <w:szCs w:val="28"/>
                <w:rtl/>
              </w:rPr>
            </w:pPr>
          </w:p>
        </w:tc>
        <w:tc>
          <w:tcPr>
            <w:tcW w:w="3667" w:type="dxa"/>
          </w:tcPr>
          <w:p w14:paraId="637EE01B" w14:textId="77777777" w:rsidR="00D94ECC" w:rsidRPr="00AB0E4D" w:rsidRDefault="00D94ECC" w:rsidP="00307AAC">
            <w:pPr>
              <w:pStyle w:val="a3"/>
              <w:jc w:val="right"/>
              <w:rPr>
                <w:rFonts w:cs="FrankRuehl"/>
                <w:sz w:val="28"/>
                <w:szCs w:val="28"/>
                <w:rtl/>
              </w:rPr>
            </w:pPr>
          </w:p>
        </w:tc>
      </w:tr>
    </w:tbl>
    <w:p w14:paraId="5C953F5B" w14:textId="77777777" w:rsidR="00D94ECC" w:rsidRPr="00AB0E4D" w:rsidRDefault="00D94ECC" w:rsidP="00D94ECC">
      <w:pPr>
        <w:pStyle w:val="a3"/>
        <w:rPr>
          <w:rtl/>
        </w:rPr>
      </w:pPr>
      <w:r w:rsidRPr="00AB0E4D">
        <w:rPr>
          <w:rFonts w:hint="cs"/>
          <w:rtl/>
        </w:rPr>
        <w:t xml:space="preserve"> </w:t>
      </w:r>
    </w:p>
    <w:p w14:paraId="64AC5F25" w14:textId="77777777" w:rsidR="00D94ECC" w:rsidRPr="00AB0E4D" w:rsidRDefault="00D94ECC" w:rsidP="00D94ECC">
      <w:pPr>
        <w:rPr>
          <w:rtl/>
        </w:rPr>
      </w:pPr>
    </w:p>
    <w:p w14:paraId="43CB0D85" w14:textId="77777777" w:rsidR="00D94ECC" w:rsidRPr="00AB0E4D" w:rsidRDefault="00D94ECC" w:rsidP="00D94ECC">
      <w:pPr>
        <w:rPr>
          <w:rtl/>
        </w:rPr>
      </w:pPr>
    </w:p>
    <w:tbl>
      <w:tblPr>
        <w:bidiVisual/>
        <w:tblW w:w="8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1959"/>
        <w:gridCol w:w="5672"/>
      </w:tblGrid>
      <w:tr w:rsidR="00D94ECC" w:rsidRPr="00AB0E4D" w14:paraId="5A41C429" w14:textId="77777777" w:rsidTr="00D94ECC">
        <w:trPr>
          <w:trHeight w:val="295"/>
          <w:jc w:val="center"/>
        </w:trPr>
        <w:tc>
          <w:tcPr>
            <w:tcW w:w="871" w:type="dxa"/>
            <w:tcBorders>
              <w:top w:val="nil"/>
              <w:left w:val="nil"/>
              <w:bottom w:val="nil"/>
              <w:right w:val="nil"/>
            </w:tcBorders>
            <w:shd w:val="clear" w:color="auto" w:fill="auto"/>
          </w:tcPr>
          <w:p w14:paraId="5FD2838D" w14:textId="77777777" w:rsidR="00D94ECC" w:rsidRPr="00AB0E4D" w:rsidRDefault="00D94ECC" w:rsidP="00D94ECC">
            <w:pPr>
              <w:jc w:val="both"/>
              <w:rPr>
                <w:rFonts w:ascii="David" w:hAnsi="David"/>
                <w:sz w:val="26"/>
                <w:szCs w:val="26"/>
              </w:rPr>
            </w:pPr>
            <w:r w:rsidRPr="00AB0E4D">
              <w:rPr>
                <w:rFonts w:ascii="David" w:hAnsi="David" w:hint="cs"/>
                <w:sz w:val="26"/>
                <w:szCs w:val="26"/>
                <w:rtl/>
              </w:rPr>
              <w:t>ל</w:t>
            </w:r>
            <w:r w:rsidRPr="00AB0E4D">
              <w:rPr>
                <w:rFonts w:ascii="David" w:hAnsi="David"/>
                <w:sz w:val="26"/>
                <w:szCs w:val="26"/>
                <w:rtl/>
              </w:rPr>
              <w:t xml:space="preserve">פני </w:t>
            </w:r>
          </w:p>
        </w:tc>
        <w:tc>
          <w:tcPr>
            <w:tcW w:w="7631" w:type="dxa"/>
            <w:gridSpan w:val="2"/>
            <w:tcBorders>
              <w:top w:val="nil"/>
              <w:left w:val="nil"/>
              <w:bottom w:val="nil"/>
              <w:right w:val="nil"/>
            </w:tcBorders>
            <w:shd w:val="clear" w:color="auto" w:fill="auto"/>
          </w:tcPr>
          <w:p w14:paraId="2A0DA911" w14:textId="77777777" w:rsidR="00D94ECC" w:rsidRPr="00AB0E4D" w:rsidRDefault="00D94ECC" w:rsidP="00307AAC">
            <w:pPr>
              <w:rPr>
                <w:rFonts w:ascii="David" w:hAnsi="David"/>
                <w:b/>
                <w:bCs/>
                <w:sz w:val="26"/>
                <w:szCs w:val="26"/>
                <w:rtl/>
              </w:rPr>
            </w:pPr>
            <w:r w:rsidRPr="00AB0E4D">
              <w:rPr>
                <w:rFonts w:ascii="David" w:hAnsi="David"/>
                <w:b/>
                <w:bCs/>
                <w:sz w:val="26"/>
                <w:szCs w:val="26"/>
                <w:rtl/>
              </w:rPr>
              <w:t>כבוד השופט  דניאל פיש</w:t>
            </w:r>
          </w:p>
          <w:p w14:paraId="691BB9C7" w14:textId="77777777" w:rsidR="00D94ECC" w:rsidRPr="00AB0E4D" w:rsidRDefault="00D94ECC" w:rsidP="00307AAC">
            <w:pPr>
              <w:rPr>
                <w:rFonts w:ascii="David" w:hAnsi="David"/>
                <w:sz w:val="26"/>
                <w:szCs w:val="26"/>
                <w:rtl/>
              </w:rPr>
            </w:pPr>
          </w:p>
          <w:p w14:paraId="67B307DE" w14:textId="77777777" w:rsidR="00D94ECC" w:rsidRPr="00AB0E4D" w:rsidRDefault="00D94ECC" w:rsidP="00D94ECC">
            <w:pPr>
              <w:jc w:val="both"/>
              <w:rPr>
                <w:rFonts w:ascii="David" w:hAnsi="David"/>
                <w:sz w:val="26"/>
                <w:szCs w:val="26"/>
              </w:rPr>
            </w:pPr>
          </w:p>
        </w:tc>
      </w:tr>
      <w:tr w:rsidR="00D94ECC" w:rsidRPr="00AB0E4D" w14:paraId="28BE5C71" w14:textId="77777777" w:rsidTr="00D94ECC">
        <w:trPr>
          <w:trHeight w:val="355"/>
          <w:jc w:val="center"/>
        </w:trPr>
        <w:tc>
          <w:tcPr>
            <w:tcW w:w="871" w:type="dxa"/>
            <w:tcBorders>
              <w:top w:val="nil"/>
              <w:left w:val="nil"/>
              <w:bottom w:val="nil"/>
              <w:right w:val="nil"/>
            </w:tcBorders>
            <w:shd w:val="clear" w:color="auto" w:fill="auto"/>
          </w:tcPr>
          <w:p w14:paraId="280F440B" w14:textId="77777777" w:rsidR="00D94ECC" w:rsidRPr="00AB0E4D" w:rsidRDefault="00D94ECC" w:rsidP="00D94ECC">
            <w:pPr>
              <w:jc w:val="both"/>
              <w:rPr>
                <w:rFonts w:ascii="David" w:hAnsi="David"/>
                <w:sz w:val="26"/>
                <w:szCs w:val="26"/>
              </w:rPr>
            </w:pPr>
            <w:bookmarkStart w:id="1" w:name="FirstAppellant"/>
            <w:r w:rsidRPr="00AB0E4D">
              <w:rPr>
                <w:rFonts w:ascii="David" w:hAnsi="David"/>
                <w:sz w:val="26"/>
                <w:szCs w:val="26"/>
                <w:rtl/>
              </w:rPr>
              <w:t>בעניין:</w:t>
            </w:r>
          </w:p>
        </w:tc>
        <w:tc>
          <w:tcPr>
            <w:tcW w:w="1959" w:type="dxa"/>
            <w:tcBorders>
              <w:top w:val="nil"/>
              <w:left w:val="nil"/>
              <w:bottom w:val="nil"/>
              <w:right w:val="nil"/>
            </w:tcBorders>
            <w:shd w:val="clear" w:color="auto" w:fill="auto"/>
          </w:tcPr>
          <w:p w14:paraId="6CB22A18" w14:textId="77777777" w:rsidR="00D94ECC" w:rsidRPr="00AB0E4D" w:rsidRDefault="00D94ECC" w:rsidP="00D94ECC">
            <w:pPr>
              <w:suppressLineNumbers/>
            </w:pPr>
            <w:r w:rsidRPr="00AB0E4D">
              <w:rPr>
                <w:rFonts w:ascii="Arial" w:hAnsi="Arial" w:hint="cs"/>
                <w:b/>
                <w:bCs/>
                <w:sz w:val="26"/>
                <w:szCs w:val="26"/>
                <w:rtl/>
              </w:rPr>
              <w:t>ה</w:t>
            </w:r>
            <w:r w:rsidRPr="00AB0E4D">
              <w:rPr>
                <w:rFonts w:ascii="Arial" w:hAnsi="Arial"/>
                <w:b/>
                <w:bCs/>
                <w:sz w:val="26"/>
                <w:szCs w:val="26"/>
                <w:rtl/>
              </w:rPr>
              <w:t>מאשימה</w:t>
            </w:r>
          </w:p>
          <w:p w14:paraId="0A05BB3B" w14:textId="77777777" w:rsidR="00D94ECC" w:rsidRPr="00AB0E4D" w:rsidRDefault="00D94ECC" w:rsidP="00307AAC">
            <w:pPr>
              <w:rPr>
                <w:rFonts w:ascii="David" w:hAnsi="David"/>
                <w:sz w:val="26"/>
                <w:szCs w:val="26"/>
              </w:rPr>
            </w:pPr>
          </w:p>
        </w:tc>
        <w:tc>
          <w:tcPr>
            <w:tcW w:w="5672" w:type="dxa"/>
            <w:tcBorders>
              <w:top w:val="nil"/>
              <w:left w:val="nil"/>
              <w:bottom w:val="nil"/>
              <w:right w:val="nil"/>
            </w:tcBorders>
            <w:shd w:val="clear" w:color="auto" w:fill="auto"/>
            <w:vAlign w:val="center"/>
          </w:tcPr>
          <w:p w14:paraId="18EC781D" w14:textId="77777777" w:rsidR="00D94ECC" w:rsidRPr="00AB0E4D" w:rsidRDefault="00D94ECC" w:rsidP="00D94ECC">
            <w:pPr>
              <w:suppressLineNumbers/>
            </w:pPr>
            <w:r w:rsidRPr="00AB0E4D">
              <w:rPr>
                <w:rFonts w:ascii="Arial" w:hAnsi="Arial"/>
                <w:b/>
                <w:bCs/>
                <w:sz w:val="26"/>
                <w:szCs w:val="26"/>
                <w:rtl/>
              </w:rPr>
              <w:t>מדינת ישראל</w:t>
            </w:r>
            <w:r w:rsidRPr="00AB0E4D">
              <w:rPr>
                <w:rFonts w:ascii="Arial" w:hAnsi="Arial" w:hint="cs"/>
                <w:b/>
                <w:bCs/>
                <w:sz w:val="26"/>
                <w:szCs w:val="26"/>
                <w:rtl/>
              </w:rPr>
              <w:t xml:space="preserve"> </w:t>
            </w:r>
          </w:p>
          <w:p w14:paraId="42C8B46C" w14:textId="77777777" w:rsidR="00D94ECC" w:rsidRPr="00AB0E4D" w:rsidRDefault="00D94ECC" w:rsidP="00307AAC">
            <w:pPr>
              <w:rPr>
                <w:rFonts w:ascii="David" w:hAnsi="David"/>
                <w:sz w:val="26"/>
                <w:szCs w:val="26"/>
              </w:rPr>
            </w:pPr>
          </w:p>
        </w:tc>
      </w:tr>
      <w:bookmarkEnd w:id="1"/>
      <w:tr w:rsidR="00D94ECC" w:rsidRPr="00AB0E4D" w14:paraId="1AFCDE5E" w14:textId="77777777" w:rsidTr="00D94ECC">
        <w:trPr>
          <w:trHeight w:val="355"/>
          <w:jc w:val="center"/>
        </w:trPr>
        <w:tc>
          <w:tcPr>
            <w:tcW w:w="871" w:type="dxa"/>
            <w:tcBorders>
              <w:top w:val="nil"/>
              <w:left w:val="nil"/>
              <w:bottom w:val="nil"/>
              <w:right w:val="nil"/>
            </w:tcBorders>
            <w:shd w:val="clear" w:color="auto" w:fill="auto"/>
          </w:tcPr>
          <w:p w14:paraId="29ED2049" w14:textId="77777777" w:rsidR="00D94ECC" w:rsidRPr="00AB0E4D" w:rsidRDefault="00D94ECC" w:rsidP="00D94ECC">
            <w:pPr>
              <w:jc w:val="both"/>
              <w:rPr>
                <w:rFonts w:ascii="David" w:hAnsi="David"/>
                <w:sz w:val="26"/>
                <w:szCs w:val="26"/>
                <w:rtl/>
              </w:rPr>
            </w:pPr>
          </w:p>
        </w:tc>
        <w:tc>
          <w:tcPr>
            <w:tcW w:w="7631" w:type="dxa"/>
            <w:gridSpan w:val="2"/>
            <w:tcBorders>
              <w:top w:val="nil"/>
              <w:left w:val="nil"/>
              <w:bottom w:val="nil"/>
              <w:right w:val="nil"/>
            </w:tcBorders>
            <w:shd w:val="clear" w:color="auto" w:fill="auto"/>
          </w:tcPr>
          <w:p w14:paraId="08FC6411" w14:textId="77777777" w:rsidR="00D94ECC" w:rsidRPr="00AB0E4D" w:rsidRDefault="00D94ECC" w:rsidP="00D94ECC">
            <w:pPr>
              <w:jc w:val="center"/>
              <w:rPr>
                <w:rFonts w:ascii="David" w:hAnsi="David"/>
                <w:b/>
                <w:bCs/>
                <w:sz w:val="26"/>
                <w:szCs w:val="26"/>
                <w:rtl/>
              </w:rPr>
            </w:pPr>
          </w:p>
          <w:p w14:paraId="5597A7F5" w14:textId="77777777" w:rsidR="00D94ECC" w:rsidRPr="00AB0E4D" w:rsidRDefault="00D94ECC" w:rsidP="00D94ECC">
            <w:pPr>
              <w:jc w:val="center"/>
              <w:rPr>
                <w:rFonts w:ascii="David" w:hAnsi="David"/>
                <w:b/>
                <w:bCs/>
                <w:sz w:val="26"/>
                <w:szCs w:val="26"/>
                <w:rtl/>
              </w:rPr>
            </w:pPr>
            <w:r w:rsidRPr="00AB0E4D">
              <w:rPr>
                <w:rFonts w:ascii="David" w:hAnsi="David"/>
                <w:b/>
                <w:bCs/>
                <w:sz w:val="26"/>
                <w:szCs w:val="26"/>
                <w:rtl/>
              </w:rPr>
              <w:t>נגד</w:t>
            </w:r>
          </w:p>
          <w:p w14:paraId="36133C4B" w14:textId="77777777" w:rsidR="00D94ECC" w:rsidRPr="00AB0E4D" w:rsidRDefault="00D94ECC" w:rsidP="00D94ECC">
            <w:pPr>
              <w:jc w:val="both"/>
              <w:rPr>
                <w:rFonts w:ascii="David" w:hAnsi="David"/>
                <w:sz w:val="26"/>
                <w:szCs w:val="26"/>
              </w:rPr>
            </w:pPr>
          </w:p>
        </w:tc>
      </w:tr>
      <w:tr w:rsidR="00D94ECC" w:rsidRPr="00AB0E4D" w14:paraId="7438D5F5" w14:textId="77777777" w:rsidTr="00D94ECC">
        <w:trPr>
          <w:trHeight w:val="355"/>
          <w:jc w:val="center"/>
        </w:trPr>
        <w:tc>
          <w:tcPr>
            <w:tcW w:w="871" w:type="dxa"/>
            <w:tcBorders>
              <w:top w:val="nil"/>
              <w:left w:val="nil"/>
              <w:bottom w:val="nil"/>
              <w:right w:val="nil"/>
            </w:tcBorders>
            <w:shd w:val="clear" w:color="auto" w:fill="auto"/>
          </w:tcPr>
          <w:p w14:paraId="71EB7CCF" w14:textId="77777777" w:rsidR="00D94ECC" w:rsidRPr="00AB0E4D" w:rsidRDefault="00D94ECC" w:rsidP="00307AAC">
            <w:pPr>
              <w:rPr>
                <w:rFonts w:ascii="David" w:hAnsi="David"/>
                <w:sz w:val="26"/>
                <w:szCs w:val="26"/>
                <w:rtl/>
              </w:rPr>
            </w:pPr>
          </w:p>
        </w:tc>
        <w:tc>
          <w:tcPr>
            <w:tcW w:w="1959" w:type="dxa"/>
            <w:tcBorders>
              <w:top w:val="nil"/>
              <w:left w:val="nil"/>
              <w:bottom w:val="nil"/>
              <w:right w:val="nil"/>
            </w:tcBorders>
            <w:shd w:val="clear" w:color="auto" w:fill="auto"/>
          </w:tcPr>
          <w:p w14:paraId="72200808" w14:textId="77777777" w:rsidR="00D94ECC" w:rsidRPr="00AB0E4D" w:rsidRDefault="00D94ECC" w:rsidP="00307AAC">
            <w:pPr>
              <w:rPr>
                <w:rFonts w:ascii="Arial" w:hAnsi="Arial"/>
                <w:b/>
                <w:bCs/>
                <w:sz w:val="26"/>
                <w:szCs w:val="26"/>
                <w:rtl/>
              </w:rPr>
            </w:pPr>
            <w:r w:rsidRPr="00AB0E4D">
              <w:rPr>
                <w:rFonts w:ascii="Arial" w:hAnsi="Arial"/>
                <w:b/>
                <w:bCs/>
                <w:sz w:val="26"/>
                <w:szCs w:val="26"/>
                <w:rtl/>
              </w:rPr>
              <w:t>הנאשמים</w:t>
            </w:r>
          </w:p>
        </w:tc>
        <w:tc>
          <w:tcPr>
            <w:tcW w:w="5672" w:type="dxa"/>
            <w:tcBorders>
              <w:top w:val="nil"/>
              <w:left w:val="nil"/>
              <w:bottom w:val="nil"/>
              <w:right w:val="nil"/>
            </w:tcBorders>
            <w:shd w:val="clear" w:color="auto" w:fill="auto"/>
            <w:vAlign w:val="center"/>
          </w:tcPr>
          <w:p w14:paraId="51E11E68" w14:textId="77777777" w:rsidR="00D94ECC" w:rsidRPr="00AB0E4D" w:rsidRDefault="00D94ECC" w:rsidP="00D94ECC">
            <w:pPr>
              <w:suppressLineNumbers/>
            </w:pPr>
            <w:r w:rsidRPr="00AB0E4D">
              <w:rPr>
                <w:rFonts w:ascii="Arial" w:hAnsi="Arial"/>
                <w:b/>
                <w:bCs/>
                <w:sz w:val="26"/>
                <w:szCs w:val="26"/>
                <w:rtl/>
              </w:rPr>
              <w:t>1. מוחמד עותמאן (עציר)</w:t>
            </w:r>
            <w:r w:rsidRPr="00AB0E4D">
              <w:rPr>
                <w:rFonts w:ascii="Arial" w:hAnsi="Arial" w:hint="cs"/>
                <w:b/>
                <w:bCs/>
                <w:sz w:val="26"/>
                <w:szCs w:val="26"/>
                <w:rtl/>
              </w:rPr>
              <w:t xml:space="preserve"> </w:t>
            </w:r>
          </w:p>
          <w:p w14:paraId="44584D3A" w14:textId="77777777" w:rsidR="00D94ECC" w:rsidRPr="00AB0E4D" w:rsidRDefault="00D94ECC" w:rsidP="00D94ECC">
            <w:pPr>
              <w:suppressLineNumbers/>
            </w:pPr>
            <w:r w:rsidRPr="00AB0E4D">
              <w:rPr>
                <w:rFonts w:ascii="Arial" w:hAnsi="Arial"/>
                <w:b/>
                <w:bCs/>
                <w:sz w:val="26"/>
                <w:szCs w:val="26"/>
                <w:rtl/>
              </w:rPr>
              <w:t>2. מוסטפא מסרי (עציר)</w:t>
            </w:r>
            <w:r w:rsidRPr="00AB0E4D">
              <w:rPr>
                <w:rFonts w:ascii="Arial" w:hAnsi="Arial" w:hint="cs"/>
                <w:b/>
                <w:bCs/>
                <w:sz w:val="26"/>
                <w:szCs w:val="26"/>
                <w:rtl/>
              </w:rPr>
              <w:t xml:space="preserve"> </w:t>
            </w:r>
          </w:p>
          <w:p w14:paraId="0A9794EC" w14:textId="77777777" w:rsidR="00D94ECC" w:rsidRPr="00AB0E4D" w:rsidRDefault="00D94ECC" w:rsidP="00D94ECC">
            <w:pPr>
              <w:suppressLineNumbers/>
            </w:pPr>
            <w:r w:rsidRPr="00AB0E4D">
              <w:rPr>
                <w:rFonts w:ascii="Arial" w:hAnsi="Arial"/>
                <w:b/>
                <w:bCs/>
                <w:sz w:val="26"/>
                <w:szCs w:val="26"/>
                <w:rtl/>
              </w:rPr>
              <w:t>3. ג'ואד אבו סטילה (עצור/אסיר בפיקוח)</w:t>
            </w:r>
            <w:r w:rsidRPr="00AB0E4D">
              <w:rPr>
                <w:rFonts w:ascii="Arial" w:hAnsi="Arial" w:hint="cs"/>
                <w:b/>
                <w:bCs/>
                <w:sz w:val="26"/>
                <w:szCs w:val="26"/>
                <w:rtl/>
              </w:rPr>
              <w:t xml:space="preserve"> </w:t>
            </w:r>
          </w:p>
        </w:tc>
      </w:tr>
    </w:tbl>
    <w:p w14:paraId="437508FF" w14:textId="77777777" w:rsidR="00D94ECC" w:rsidRPr="00AB0E4D" w:rsidRDefault="00D94ECC" w:rsidP="00D94ECC">
      <w:pPr>
        <w:rPr>
          <w:rtl/>
        </w:rPr>
      </w:pPr>
    </w:p>
    <w:p w14:paraId="7BE6F52D" w14:textId="77777777" w:rsidR="00D94ECC" w:rsidRPr="00AB0E4D" w:rsidRDefault="00D94ECC" w:rsidP="00D94ECC">
      <w:pPr>
        <w:rPr>
          <w:rtl/>
        </w:rPr>
      </w:pPr>
    </w:p>
    <w:p w14:paraId="6658B7AE" w14:textId="77777777" w:rsidR="00D94ECC" w:rsidRPr="00AB0E4D" w:rsidRDefault="00D94ECC" w:rsidP="00D94ECC">
      <w:bookmarkStart w:id="2" w:name="FirstLawyer"/>
      <w:r w:rsidRPr="00AB0E4D">
        <w:rPr>
          <w:rtl/>
        </w:rPr>
        <w:t>בשם</w:t>
      </w:r>
      <w:bookmarkEnd w:id="2"/>
      <w:r w:rsidRPr="00AB0E4D">
        <w:rPr>
          <w:rtl/>
        </w:rPr>
        <w:t xml:space="preserve"> המאשימה: עו"ד אבי פסטרנק מפרקליטות מחוז צפון (פלילי)</w:t>
      </w:r>
    </w:p>
    <w:p w14:paraId="748B839F" w14:textId="77777777" w:rsidR="00D94ECC" w:rsidRPr="00AB0E4D" w:rsidRDefault="00D94ECC" w:rsidP="00D94ECC">
      <w:pPr>
        <w:rPr>
          <w:rtl/>
        </w:rPr>
      </w:pPr>
      <w:r w:rsidRPr="00AB0E4D">
        <w:rPr>
          <w:rtl/>
        </w:rPr>
        <w:t>בשם נאשם 1: עו"ד נמיר אדלבי</w:t>
      </w:r>
    </w:p>
    <w:p w14:paraId="27455CCE" w14:textId="77777777" w:rsidR="00D94ECC" w:rsidRPr="00AB0E4D" w:rsidRDefault="00D94ECC" w:rsidP="00D94ECC">
      <w:pPr>
        <w:rPr>
          <w:rtl/>
        </w:rPr>
      </w:pPr>
      <w:r w:rsidRPr="00AB0E4D">
        <w:rPr>
          <w:rtl/>
        </w:rPr>
        <w:t>בשם נאשם 2: עו"ד רמזי כתילאת</w:t>
      </w:r>
    </w:p>
    <w:p w14:paraId="2B060FFF" w14:textId="77777777" w:rsidR="00D94ECC" w:rsidRPr="00AB0E4D" w:rsidRDefault="00D94ECC" w:rsidP="00D94ECC">
      <w:pPr>
        <w:rPr>
          <w:rtl/>
        </w:rPr>
      </w:pPr>
      <w:r w:rsidRPr="00AB0E4D">
        <w:rPr>
          <w:rtl/>
        </w:rPr>
        <w:t>בשם נאשם 3: עו"ד בדר אלדין אג'באריה</w:t>
      </w:r>
    </w:p>
    <w:p w14:paraId="22A07637" w14:textId="77777777" w:rsidR="00D94ECC" w:rsidRPr="00AB0E4D" w:rsidRDefault="00D94ECC" w:rsidP="00D94ECC">
      <w:pPr>
        <w:rPr>
          <w:rtl/>
        </w:rPr>
      </w:pPr>
    </w:p>
    <w:p w14:paraId="00E3E7E3" w14:textId="77777777" w:rsidR="009048EA" w:rsidRPr="009048EA" w:rsidRDefault="009048EA" w:rsidP="009048EA">
      <w:pPr>
        <w:spacing w:before="120" w:after="120" w:line="240" w:lineRule="exact"/>
        <w:ind w:left="283" w:hanging="283"/>
        <w:jc w:val="both"/>
        <w:rPr>
          <w:rFonts w:ascii="FrankRuehl" w:hAnsi="FrankRuehl" w:cs="FrankRuehl"/>
          <w:rtl/>
        </w:rPr>
      </w:pPr>
      <w:bookmarkStart w:id="3" w:name="LawTable"/>
      <w:bookmarkEnd w:id="3"/>
      <w:r w:rsidRPr="009048EA">
        <w:rPr>
          <w:rFonts w:ascii="FrankRuehl" w:hAnsi="FrankRuehl" w:cs="FrankRuehl"/>
          <w:rtl/>
        </w:rPr>
        <w:t xml:space="preserve">חקיקה שאוזכרה: </w:t>
      </w:r>
    </w:p>
    <w:p w14:paraId="4243A304" w14:textId="77777777" w:rsidR="009048EA" w:rsidRPr="009048EA" w:rsidRDefault="009048EA" w:rsidP="009048EA">
      <w:pPr>
        <w:spacing w:before="120" w:after="120" w:line="240" w:lineRule="exact"/>
        <w:ind w:left="283" w:hanging="283"/>
        <w:jc w:val="both"/>
        <w:rPr>
          <w:rFonts w:ascii="FrankRuehl" w:hAnsi="FrankRuehl" w:cs="FrankRuehl"/>
          <w:color w:val="0000FF"/>
          <w:rtl/>
        </w:rPr>
      </w:pPr>
      <w:hyperlink r:id="rId7" w:history="1">
        <w:r w:rsidRPr="009048EA">
          <w:rPr>
            <w:rStyle w:val="Hyperlink"/>
            <w:rFonts w:ascii="FrankRuehl" w:hAnsi="FrankRuehl" w:cs="FrankRuehl"/>
            <w:u w:val="none"/>
            <w:rtl/>
          </w:rPr>
          <w:t>חוק העונשין, תשל"ז-1977</w:t>
        </w:r>
      </w:hyperlink>
      <w:r w:rsidRPr="009048EA">
        <w:rPr>
          <w:rFonts w:ascii="FrankRuehl" w:hAnsi="FrankRuehl" w:cs="FrankRuehl"/>
          <w:color w:val="0000FF"/>
          <w:rtl/>
        </w:rPr>
        <w:t xml:space="preserve">: סע'  </w:t>
      </w:r>
      <w:hyperlink r:id="rId8" w:history="1">
        <w:r w:rsidRPr="009048EA">
          <w:rPr>
            <w:rStyle w:val="Hyperlink"/>
            <w:rFonts w:ascii="FrankRuehl" w:hAnsi="FrankRuehl" w:cs="FrankRuehl"/>
            <w:u w:val="none"/>
          </w:rPr>
          <w:t>25</w:t>
        </w:r>
      </w:hyperlink>
      <w:r w:rsidRPr="009048EA">
        <w:rPr>
          <w:rFonts w:ascii="FrankRuehl" w:hAnsi="FrankRuehl" w:cs="FrankRuehl"/>
          <w:color w:val="0000FF"/>
          <w:rtl/>
        </w:rPr>
        <w:t xml:space="preserve">, </w:t>
      </w:r>
      <w:hyperlink r:id="rId9" w:history="1">
        <w:r w:rsidRPr="009048EA">
          <w:rPr>
            <w:rStyle w:val="Hyperlink"/>
            <w:rFonts w:ascii="FrankRuehl" w:hAnsi="FrankRuehl" w:cs="FrankRuehl"/>
            <w:u w:val="none"/>
          </w:rPr>
          <w:t>29</w:t>
        </w:r>
      </w:hyperlink>
      <w:r w:rsidRPr="009048EA">
        <w:rPr>
          <w:rFonts w:ascii="FrankRuehl" w:hAnsi="FrankRuehl" w:cs="FrankRuehl"/>
          <w:color w:val="0000FF"/>
          <w:rtl/>
        </w:rPr>
        <w:t xml:space="preserve">, </w:t>
      </w:r>
      <w:hyperlink r:id="rId10" w:history="1">
        <w:r w:rsidRPr="009048EA">
          <w:rPr>
            <w:rStyle w:val="Hyperlink"/>
            <w:rFonts w:ascii="FrankRuehl" w:hAnsi="FrankRuehl" w:cs="FrankRuehl"/>
            <w:u w:val="none"/>
          </w:rPr>
          <w:t>40</w:t>
        </w:r>
        <w:r w:rsidRPr="009048EA">
          <w:rPr>
            <w:rStyle w:val="Hyperlink"/>
            <w:rFonts w:ascii="FrankRuehl" w:hAnsi="FrankRuehl" w:cs="FrankRuehl"/>
            <w:u w:val="none"/>
            <w:rtl/>
          </w:rPr>
          <w:t>ז</w:t>
        </w:r>
      </w:hyperlink>
      <w:r w:rsidRPr="009048EA">
        <w:rPr>
          <w:rFonts w:ascii="FrankRuehl" w:hAnsi="FrankRuehl" w:cs="FrankRuehl"/>
          <w:color w:val="0000FF"/>
          <w:rtl/>
        </w:rPr>
        <w:t xml:space="preserve">, </w:t>
      </w:r>
      <w:hyperlink r:id="rId11" w:history="1">
        <w:r w:rsidRPr="009048EA">
          <w:rPr>
            <w:rStyle w:val="Hyperlink"/>
            <w:rFonts w:ascii="FrankRuehl" w:hAnsi="FrankRuehl" w:cs="FrankRuehl"/>
            <w:u w:val="none"/>
          </w:rPr>
          <w:t>144</w:t>
        </w:r>
      </w:hyperlink>
      <w:r w:rsidRPr="009048EA">
        <w:rPr>
          <w:rFonts w:ascii="FrankRuehl" w:hAnsi="FrankRuehl" w:cs="FrankRuehl"/>
          <w:color w:val="0000FF"/>
          <w:rtl/>
        </w:rPr>
        <w:t xml:space="preserve">(א), </w:t>
      </w:r>
      <w:hyperlink r:id="rId12" w:history="1">
        <w:r w:rsidRPr="009048EA">
          <w:rPr>
            <w:rStyle w:val="Hyperlink"/>
            <w:rFonts w:ascii="FrankRuehl" w:hAnsi="FrankRuehl" w:cs="FrankRuehl"/>
            <w:u w:val="none"/>
          </w:rPr>
          <w:t>144</w:t>
        </w:r>
        <w:r w:rsidRPr="009048EA">
          <w:rPr>
            <w:rStyle w:val="Hyperlink"/>
            <w:rFonts w:ascii="FrankRuehl" w:hAnsi="FrankRuehl" w:cs="FrankRuehl"/>
            <w:u w:val="none"/>
            <w:rtl/>
          </w:rPr>
          <w:t>ב</w:t>
        </w:r>
      </w:hyperlink>
      <w:r w:rsidRPr="009048EA">
        <w:rPr>
          <w:rFonts w:ascii="FrankRuehl" w:hAnsi="FrankRuehl" w:cs="FrankRuehl"/>
          <w:color w:val="0000FF"/>
          <w:rtl/>
        </w:rPr>
        <w:t xml:space="preserve">, </w:t>
      </w:r>
      <w:hyperlink r:id="rId13" w:history="1">
        <w:r w:rsidRPr="009048EA">
          <w:rPr>
            <w:rStyle w:val="Hyperlink"/>
            <w:rFonts w:ascii="FrankRuehl" w:hAnsi="FrankRuehl" w:cs="FrankRuehl"/>
            <w:u w:val="none"/>
          </w:rPr>
          <w:t>144</w:t>
        </w:r>
        <w:r w:rsidRPr="009048EA">
          <w:rPr>
            <w:rStyle w:val="Hyperlink"/>
            <w:rFonts w:ascii="FrankRuehl" w:hAnsi="FrankRuehl" w:cs="FrankRuehl"/>
            <w:u w:val="none"/>
            <w:rtl/>
          </w:rPr>
          <w:t>ו</w:t>
        </w:r>
      </w:hyperlink>
      <w:r w:rsidRPr="009048EA">
        <w:rPr>
          <w:rFonts w:ascii="FrankRuehl" w:hAnsi="FrankRuehl" w:cs="FrankRuehl"/>
          <w:color w:val="0000FF"/>
          <w:rtl/>
        </w:rPr>
        <w:t xml:space="preserve">, </w:t>
      </w:r>
      <w:hyperlink r:id="rId14" w:history="1">
        <w:r w:rsidRPr="009048EA">
          <w:rPr>
            <w:rStyle w:val="Hyperlink"/>
            <w:rFonts w:ascii="FrankRuehl" w:hAnsi="FrankRuehl" w:cs="FrankRuehl"/>
            <w:u w:val="none"/>
          </w:rPr>
          <w:t>144</w:t>
        </w:r>
        <w:r w:rsidRPr="009048EA">
          <w:rPr>
            <w:rStyle w:val="Hyperlink"/>
            <w:rFonts w:ascii="FrankRuehl" w:hAnsi="FrankRuehl" w:cs="FrankRuehl"/>
            <w:u w:val="none"/>
            <w:rtl/>
          </w:rPr>
          <w:t>ו.א</w:t>
        </w:r>
        <w:r w:rsidRPr="009048EA">
          <w:rPr>
            <w:rStyle w:val="Hyperlink"/>
            <w:rFonts w:ascii="FrankRuehl" w:hAnsi="FrankRuehl" w:cs="FrankRuehl"/>
            <w:u w:val="none"/>
          </w:rPr>
          <w:t>.</w:t>
        </w:r>
      </w:hyperlink>
      <w:r w:rsidRPr="009048EA">
        <w:rPr>
          <w:rFonts w:ascii="FrankRuehl" w:hAnsi="FrankRuehl" w:cs="FrankRuehl"/>
          <w:color w:val="0000FF"/>
          <w:rtl/>
        </w:rPr>
        <w:t xml:space="preserve">, </w:t>
      </w:r>
      <w:hyperlink r:id="rId15" w:history="1">
        <w:r w:rsidRPr="009048EA">
          <w:rPr>
            <w:rStyle w:val="Hyperlink"/>
            <w:rFonts w:ascii="FrankRuehl" w:hAnsi="FrankRuehl" w:cs="FrankRuehl"/>
            <w:u w:val="none"/>
          </w:rPr>
          <w:t>152</w:t>
        </w:r>
      </w:hyperlink>
      <w:r w:rsidRPr="009048EA">
        <w:rPr>
          <w:rFonts w:ascii="FrankRuehl" w:hAnsi="FrankRuehl" w:cs="FrankRuehl"/>
          <w:color w:val="0000FF"/>
          <w:rtl/>
        </w:rPr>
        <w:t xml:space="preserve">, </w:t>
      </w:r>
      <w:hyperlink r:id="rId16" w:history="1">
        <w:r w:rsidRPr="009048EA">
          <w:rPr>
            <w:rStyle w:val="Hyperlink"/>
            <w:rFonts w:ascii="FrankRuehl" w:hAnsi="FrankRuehl" w:cs="FrankRuehl"/>
            <w:u w:val="none"/>
          </w:rPr>
          <w:t>157</w:t>
        </w:r>
      </w:hyperlink>
      <w:r w:rsidRPr="009048EA">
        <w:rPr>
          <w:rFonts w:ascii="FrankRuehl" w:hAnsi="FrankRuehl" w:cs="FrankRuehl"/>
          <w:color w:val="0000FF"/>
          <w:rtl/>
        </w:rPr>
        <w:t xml:space="preserve">, </w:t>
      </w:r>
      <w:hyperlink r:id="rId17" w:history="1">
        <w:r w:rsidRPr="009048EA">
          <w:rPr>
            <w:rStyle w:val="Hyperlink"/>
            <w:rFonts w:ascii="FrankRuehl" w:hAnsi="FrankRuehl" w:cs="FrankRuehl"/>
            <w:u w:val="none"/>
          </w:rPr>
          <w:t>192</w:t>
        </w:r>
      </w:hyperlink>
      <w:r w:rsidRPr="009048EA">
        <w:rPr>
          <w:rFonts w:ascii="FrankRuehl" w:hAnsi="FrankRuehl" w:cs="FrankRuehl"/>
          <w:color w:val="0000FF"/>
          <w:rtl/>
        </w:rPr>
        <w:t xml:space="preserve">, </w:t>
      </w:r>
      <w:hyperlink r:id="rId18" w:history="1">
        <w:r w:rsidRPr="009048EA">
          <w:rPr>
            <w:rStyle w:val="Hyperlink"/>
            <w:rFonts w:ascii="FrankRuehl" w:hAnsi="FrankRuehl" w:cs="FrankRuehl"/>
            <w:u w:val="none"/>
          </w:rPr>
          <w:t>274</w:t>
        </w:r>
      </w:hyperlink>
      <w:r w:rsidRPr="009048EA">
        <w:rPr>
          <w:rFonts w:ascii="FrankRuehl" w:hAnsi="FrankRuehl" w:cs="FrankRuehl"/>
          <w:color w:val="0000FF"/>
          <w:rtl/>
        </w:rPr>
        <w:t xml:space="preserve">, </w:t>
      </w:r>
      <w:hyperlink r:id="rId19" w:history="1">
        <w:r w:rsidRPr="009048EA">
          <w:rPr>
            <w:rStyle w:val="Hyperlink"/>
            <w:rFonts w:ascii="FrankRuehl" w:hAnsi="FrankRuehl" w:cs="FrankRuehl"/>
            <w:u w:val="none"/>
          </w:rPr>
          <w:t>275</w:t>
        </w:r>
      </w:hyperlink>
      <w:r w:rsidRPr="009048EA">
        <w:rPr>
          <w:rFonts w:ascii="FrankRuehl" w:hAnsi="FrankRuehl" w:cs="FrankRuehl"/>
          <w:color w:val="0000FF"/>
          <w:rtl/>
        </w:rPr>
        <w:t xml:space="preserve">, </w:t>
      </w:r>
      <w:hyperlink r:id="rId20" w:history="1">
        <w:r w:rsidRPr="009048EA">
          <w:rPr>
            <w:rStyle w:val="Hyperlink"/>
            <w:rFonts w:ascii="FrankRuehl" w:hAnsi="FrankRuehl" w:cs="FrankRuehl"/>
            <w:u w:val="none"/>
          </w:rPr>
          <w:t>275</w:t>
        </w:r>
        <w:r w:rsidRPr="009048EA">
          <w:rPr>
            <w:rStyle w:val="Hyperlink"/>
            <w:rFonts w:ascii="FrankRuehl" w:hAnsi="FrankRuehl" w:cs="FrankRuehl"/>
            <w:u w:val="none"/>
            <w:rtl/>
          </w:rPr>
          <w:t>א</w:t>
        </w:r>
      </w:hyperlink>
      <w:r w:rsidRPr="009048EA">
        <w:rPr>
          <w:rFonts w:ascii="FrankRuehl" w:hAnsi="FrankRuehl" w:cs="FrankRuehl"/>
          <w:color w:val="0000FF"/>
          <w:rtl/>
        </w:rPr>
        <w:t xml:space="preserve">, </w:t>
      </w:r>
      <w:hyperlink r:id="rId21" w:history="1">
        <w:r w:rsidRPr="009048EA">
          <w:rPr>
            <w:rStyle w:val="Hyperlink"/>
            <w:rFonts w:ascii="FrankRuehl" w:hAnsi="FrankRuehl" w:cs="FrankRuehl"/>
            <w:u w:val="none"/>
          </w:rPr>
          <w:t>329</w:t>
        </w:r>
      </w:hyperlink>
      <w:r w:rsidRPr="009048EA">
        <w:rPr>
          <w:rFonts w:ascii="FrankRuehl" w:hAnsi="FrankRuehl" w:cs="FrankRuehl"/>
          <w:color w:val="0000FF"/>
          <w:rtl/>
        </w:rPr>
        <w:t xml:space="preserve">, </w:t>
      </w:r>
      <w:hyperlink r:id="rId22" w:history="1">
        <w:r w:rsidRPr="009048EA">
          <w:rPr>
            <w:rStyle w:val="Hyperlink"/>
            <w:rFonts w:ascii="FrankRuehl" w:hAnsi="FrankRuehl" w:cs="FrankRuehl"/>
            <w:u w:val="none"/>
          </w:rPr>
          <w:t>329</w:t>
        </w:r>
      </w:hyperlink>
      <w:r w:rsidRPr="009048EA">
        <w:rPr>
          <w:rFonts w:ascii="FrankRuehl" w:hAnsi="FrankRuehl" w:cs="FrankRuehl"/>
          <w:color w:val="0000FF"/>
          <w:rtl/>
        </w:rPr>
        <w:t xml:space="preserve">(א)(2), </w:t>
      </w:r>
      <w:hyperlink r:id="rId23" w:history="1">
        <w:r w:rsidRPr="009048EA">
          <w:rPr>
            <w:rStyle w:val="Hyperlink"/>
            <w:rFonts w:ascii="FrankRuehl" w:hAnsi="FrankRuehl" w:cs="FrankRuehl"/>
            <w:u w:val="none"/>
          </w:rPr>
          <w:t>332</w:t>
        </w:r>
        <w:r w:rsidRPr="009048EA">
          <w:rPr>
            <w:rStyle w:val="Hyperlink"/>
            <w:rFonts w:ascii="FrankRuehl" w:hAnsi="FrankRuehl" w:cs="FrankRuehl"/>
            <w:u w:val="none"/>
            <w:rtl/>
          </w:rPr>
          <w:t>א</w:t>
        </w:r>
      </w:hyperlink>
      <w:r w:rsidRPr="009048EA">
        <w:rPr>
          <w:rFonts w:ascii="FrankRuehl" w:hAnsi="FrankRuehl" w:cs="FrankRuehl"/>
          <w:color w:val="0000FF"/>
          <w:rtl/>
        </w:rPr>
        <w:t xml:space="preserve">(א), </w:t>
      </w:r>
      <w:hyperlink r:id="rId24" w:history="1">
        <w:r w:rsidRPr="009048EA">
          <w:rPr>
            <w:rStyle w:val="Hyperlink"/>
            <w:rFonts w:ascii="FrankRuehl" w:hAnsi="FrankRuehl" w:cs="FrankRuehl"/>
            <w:u w:val="none"/>
          </w:rPr>
          <w:t>333</w:t>
        </w:r>
      </w:hyperlink>
      <w:r w:rsidRPr="009048EA">
        <w:rPr>
          <w:rFonts w:ascii="FrankRuehl" w:hAnsi="FrankRuehl" w:cs="FrankRuehl"/>
          <w:color w:val="0000FF"/>
          <w:rtl/>
        </w:rPr>
        <w:t xml:space="preserve">, </w:t>
      </w:r>
      <w:hyperlink r:id="rId25" w:history="1">
        <w:r w:rsidRPr="009048EA">
          <w:rPr>
            <w:rStyle w:val="Hyperlink"/>
            <w:rFonts w:ascii="FrankRuehl" w:hAnsi="FrankRuehl" w:cs="FrankRuehl"/>
            <w:u w:val="none"/>
          </w:rPr>
          <w:t>335</w:t>
        </w:r>
      </w:hyperlink>
      <w:r w:rsidRPr="009048EA">
        <w:rPr>
          <w:rFonts w:ascii="FrankRuehl" w:hAnsi="FrankRuehl" w:cs="FrankRuehl"/>
          <w:color w:val="0000FF"/>
          <w:rtl/>
        </w:rPr>
        <w:t xml:space="preserve">(א)(1), </w:t>
      </w:r>
      <w:hyperlink r:id="rId26" w:history="1">
        <w:r w:rsidRPr="009048EA">
          <w:rPr>
            <w:rStyle w:val="Hyperlink"/>
            <w:rFonts w:ascii="FrankRuehl" w:hAnsi="FrankRuehl" w:cs="FrankRuehl"/>
            <w:u w:val="none"/>
          </w:rPr>
          <w:t>338</w:t>
        </w:r>
      </w:hyperlink>
      <w:r w:rsidRPr="009048EA">
        <w:rPr>
          <w:rFonts w:ascii="FrankRuehl" w:hAnsi="FrankRuehl" w:cs="FrankRuehl"/>
          <w:color w:val="0000FF"/>
          <w:rtl/>
        </w:rPr>
        <w:t xml:space="preserve">(א)(3), </w:t>
      </w:r>
      <w:hyperlink r:id="rId27" w:history="1">
        <w:r w:rsidRPr="009048EA">
          <w:rPr>
            <w:rStyle w:val="Hyperlink"/>
            <w:rFonts w:ascii="FrankRuehl" w:hAnsi="FrankRuehl" w:cs="FrankRuehl"/>
            <w:u w:val="none"/>
          </w:rPr>
          <w:t>340</w:t>
        </w:r>
      </w:hyperlink>
      <w:r w:rsidRPr="009048EA">
        <w:rPr>
          <w:rFonts w:ascii="FrankRuehl" w:hAnsi="FrankRuehl" w:cs="FrankRuehl"/>
          <w:color w:val="0000FF"/>
          <w:rtl/>
        </w:rPr>
        <w:t xml:space="preserve">(א), </w:t>
      </w:r>
      <w:hyperlink r:id="rId28" w:history="1">
        <w:r w:rsidRPr="009048EA">
          <w:rPr>
            <w:rStyle w:val="Hyperlink"/>
            <w:rFonts w:ascii="FrankRuehl" w:hAnsi="FrankRuehl" w:cs="FrankRuehl"/>
            <w:u w:val="none"/>
          </w:rPr>
          <w:t>340</w:t>
        </w:r>
        <w:r w:rsidRPr="009048EA">
          <w:rPr>
            <w:rStyle w:val="Hyperlink"/>
            <w:rFonts w:ascii="FrankRuehl" w:hAnsi="FrankRuehl" w:cs="FrankRuehl"/>
            <w:u w:val="none"/>
            <w:rtl/>
          </w:rPr>
          <w:t>א</w:t>
        </w:r>
      </w:hyperlink>
      <w:r w:rsidRPr="009048EA">
        <w:rPr>
          <w:rFonts w:ascii="FrankRuehl" w:hAnsi="FrankRuehl" w:cs="FrankRuehl"/>
          <w:color w:val="0000FF"/>
          <w:rtl/>
        </w:rPr>
        <w:t xml:space="preserve">(ב), </w:t>
      </w:r>
      <w:hyperlink r:id="rId29" w:history="1">
        <w:r w:rsidRPr="009048EA">
          <w:rPr>
            <w:rStyle w:val="Hyperlink"/>
            <w:rFonts w:ascii="FrankRuehl" w:hAnsi="FrankRuehl" w:cs="FrankRuehl"/>
            <w:u w:val="none"/>
          </w:rPr>
          <w:t>384</w:t>
        </w:r>
      </w:hyperlink>
      <w:r w:rsidRPr="009048EA">
        <w:rPr>
          <w:rFonts w:ascii="FrankRuehl" w:hAnsi="FrankRuehl" w:cs="FrankRuehl"/>
          <w:color w:val="0000FF"/>
          <w:rtl/>
        </w:rPr>
        <w:t xml:space="preserve">, </w:t>
      </w:r>
      <w:hyperlink r:id="rId30" w:history="1">
        <w:r w:rsidRPr="009048EA">
          <w:rPr>
            <w:rStyle w:val="Hyperlink"/>
            <w:rFonts w:ascii="FrankRuehl" w:hAnsi="FrankRuehl" w:cs="FrankRuehl"/>
            <w:u w:val="none"/>
          </w:rPr>
          <w:t>406</w:t>
        </w:r>
      </w:hyperlink>
      <w:r w:rsidRPr="009048EA">
        <w:rPr>
          <w:rFonts w:ascii="FrankRuehl" w:hAnsi="FrankRuehl" w:cs="FrankRuehl"/>
          <w:color w:val="0000FF"/>
          <w:rtl/>
        </w:rPr>
        <w:t xml:space="preserve">(ב), </w:t>
      </w:r>
      <w:hyperlink r:id="rId31" w:history="1">
        <w:r w:rsidRPr="009048EA">
          <w:rPr>
            <w:rStyle w:val="Hyperlink"/>
            <w:rFonts w:ascii="FrankRuehl" w:hAnsi="FrankRuehl" w:cs="FrankRuehl"/>
            <w:u w:val="none"/>
          </w:rPr>
          <w:t>40</w:t>
        </w:r>
        <w:r w:rsidRPr="009048EA">
          <w:rPr>
            <w:rStyle w:val="Hyperlink"/>
            <w:rFonts w:ascii="FrankRuehl" w:hAnsi="FrankRuehl" w:cs="FrankRuehl"/>
            <w:u w:val="none"/>
            <w:rtl/>
          </w:rPr>
          <w:t>יג</w:t>
        </w:r>
      </w:hyperlink>
      <w:r w:rsidRPr="009048EA">
        <w:rPr>
          <w:rFonts w:ascii="FrankRuehl" w:hAnsi="FrankRuehl" w:cs="FrankRuehl"/>
          <w:color w:val="0000FF"/>
          <w:rtl/>
        </w:rPr>
        <w:t xml:space="preserve">(ב), </w:t>
      </w:r>
      <w:hyperlink r:id="rId32" w:history="1">
        <w:r w:rsidRPr="009048EA">
          <w:rPr>
            <w:rStyle w:val="Hyperlink"/>
            <w:rFonts w:ascii="FrankRuehl" w:hAnsi="FrankRuehl" w:cs="FrankRuehl"/>
            <w:u w:val="none"/>
          </w:rPr>
          <w:t>(</w:t>
        </w:r>
        <w:r w:rsidRPr="009048EA">
          <w:rPr>
            <w:rStyle w:val="Hyperlink"/>
            <w:rFonts w:ascii="FrankRuehl" w:hAnsi="FrankRuehl" w:cs="FrankRuehl"/>
            <w:u w:val="none"/>
            <w:rtl/>
          </w:rPr>
          <w:t>ג</w:t>
        </w:r>
        <w:r w:rsidRPr="009048EA">
          <w:rPr>
            <w:rStyle w:val="Hyperlink"/>
            <w:rFonts w:ascii="FrankRuehl" w:hAnsi="FrankRuehl" w:cs="FrankRuehl"/>
            <w:u w:val="none"/>
          </w:rPr>
          <w:t>)</w:t>
        </w:r>
      </w:hyperlink>
      <w:r w:rsidRPr="009048EA">
        <w:rPr>
          <w:rFonts w:ascii="FrankRuehl" w:hAnsi="FrankRuehl" w:cs="FrankRuehl"/>
          <w:color w:val="0000FF"/>
          <w:rtl/>
        </w:rPr>
        <w:t xml:space="preserve">, </w:t>
      </w:r>
      <w:hyperlink r:id="rId33" w:history="1">
        <w:r w:rsidRPr="009048EA">
          <w:rPr>
            <w:rStyle w:val="Hyperlink"/>
            <w:rFonts w:ascii="FrankRuehl" w:hAnsi="FrankRuehl" w:cs="FrankRuehl"/>
            <w:u w:val="none"/>
          </w:rPr>
          <w:t>448</w:t>
        </w:r>
      </w:hyperlink>
      <w:r w:rsidRPr="009048EA">
        <w:rPr>
          <w:rFonts w:ascii="FrankRuehl" w:hAnsi="FrankRuehl" w:cs="FrankRuehl"/>
          <w:color w:val="0000FF"/>
          <w:rtl/>
        </w:rPr>
        <w:t xml:space="preserve">(א), </w:t>
      </w:r>
      <w:hyperlink r:id="rId34" w:history="1">
        <w:r w:rsidRPr="009048EA">
          <w:rPr>
            <w:rStyle w:val="Hyperlink"/>
            <w:rFonts w:ascii="FrankRuehl" w:hAnsi="FrankRuehl" w:cs="FrankRuehl"/>
            <w:u w:val="none"/>
          </w:rPr>
          <w:t>452</w:t>
        </w:r>
      </w:hyperlink>
      <w:r w:rsidRPr="009048EA">
        <w:rPr>
          <w:rFonts w:ascii="FrankRuehl" w:hAnsi="FrankRuehl" w:cs="FrankRuehl"/>
          <w:color w:val="0000FF"/>
          <w:rtl/>
        </w:rPr>
        <w:t xml:space="preserve">, </w:t>
      </w:r>
      <w:hyperlink r:id="rId35" w:history="1">
        <w:r w:rsidRPr="009048EA">
          <w:rPr>
            <w:rStyle w:val="Hyperlink"/>
            <w:rFonts w:ascii="FrankRuehl" w:hAnsi="FrankRuehl" w:cs="FrankRuehl"/>
            <w:u w:val="none"/>
          </w:rPr>
          <w:t>453</w:t>
        </w:r>
      </w:hyperlink>
      <w:r w:rsidRPr="009048EA">
        <w:rPr>
          <w:rFonts w:ascii="FrankRuehl" w:hAnsi="FrankRuehl" w:cs="FrankRuehl"/>
          <w:color w:val="0000FF"/>
          <w:rtl/>
        </w:rPr>
        <w:t>(ג)</w:t>
      </w:r>
    </w:p>
    <w:p w14:paraId="37D1A918" w14:textId="77777777" w:rsidR="009048EA" w:rsidRPr="009048EA" w:rsidRDefault="009048EA" w:rsidP="009048EA">
      <w:pPr>
        <w:spacing w:before="120" w:after="120" w:line="240" w:lineRule="exact"/>
        <w:ind w:left="283" w:hanging="283"/>
        <w:jc w:val="both"/>
        <w:rPr>
          <w:rFonts w:ascii="FrankRuehl" w:hAnsi="FrankRuehl" w:cs="FrankRuehl"/>
          <w:color w:val="0000FF"/>
          <w:rtl/>
        </w:rPr>
      </w:pPr>
      <w:hyperlink r:id="rId36" w:history="1">
        <w:r w:rsidRPr="009048EA">
          <w:rPr>
            <w:rStyle w:val="Hyperlink"/>
            <w:rFonts w:ascii="FrankRuehl" w:hAnsi="FrankRuehl" w:cs="FrankRuehl"/>
            <w:u w:val="none"/>
            <w:rtl/>
          </w:rPr>
          <w:t>חוק המאבק בטרור, תשע"ו-2016</w:t>
        </w:r>
      </w:hyperlink>
      <w:r w:rsidRPr="009048EA">
        <w:rPr>
          <w:rFonts w:ascii="FrankRuehl" w:hAnsi="FrankRuehl" w:cs="FrankRuehl"/>
          <w:color w:val="0000FF"/>
          <w:rtl/>
        </w:rPr>
        <w:t xml:space="preserve">: סע'  </w:t>
      </w:r>
      <w:hyperlink r:id="rId37" w:history="1">
        <w:r w:rsidRPr="009048EA">
          <w:rPr>
            <w:rStyle w:val="Hyperlink"/>
            <w:rFonts w:ascii="FrankRuehl" w:hAnsi="FrankRuehl" w:cs="FrankRuehl"/>
            <w:u w:val="none"/>
          </w:rPr>
          <w:t>30</w:t>
        </w:r>
      </w:hyperlink>
      <w:r w:rsidRPr="009048EA">
        <w:rPr>
          <w:rFonts w:ascii="FrankRuehl" w:hAnsi="FrankRuehl" w:cs="FrankRuehl"/>
          <w:color w:val="0000FF"/>
          <w:rtl/>
        </w:rPr>
        <w:t xml:space="preserve">(א), </w:t>
      </w:r>
      <w:hyperlink r:id="rId38" w:history="1">
        <w:r w:rsidRPr="009048EA">
          <w:rPr>
            <w:rStyle w:val="Hyperlink"/>
            <w:rFonts w:ascii="FrankRuehl" w:hAnsi="FrankRuehl" w:cs="FrankRuehl"/>
            <w:u w:val="none"/>
          </w:rPr>
          <w:t>37</w:t>
        </w:r>
      </w:hyperlink>
      <w:r w:rsidRPr="009048EA">
        <w:rPr>
          <w:rFonts w:ascii="FrankRuehl" w:hAnsi="FrankRuehl" w:cs="FrankRuehl"/>
          <w:color w:val="0000FF"/>
          <w:rtl/>
        </w:rPr>
        <w:t xml:space="preserve">, </w:t>
      </w:r>
      <w:hyperlink r:id="rId39" w:history="1">
        <w:r w:rsidRPr="009048EA">
          <w:rPr>
            <w:rStyle w:val="Hyperlink"/>
            <w:rFonts w:ascii="FrankRuehl" w:hAnsi="FrankRuehl" w:cs="FrankRuehl"/>
            <w:u w:val="none"/>
          </w:rPr>
          <w:t>37</w:t>
        </w:r>
      </w:hyperlink>
      <w:r w:rsidRPr="009048EA">
        <w:rPr>
          <w:rFonts w:ascii="FrankRuehl" w:hAnsi="FrankRuehl" w:cs="FrankRuehl"/>
          <w:color w:val="0000FF"/>
          <w:rtl/>
        </w:rPr>
        <w:t>(א)</w:t>
      </w:r>
    </w:p>
    <w:p w14:paraId="0150DE75" w14:textId="77777777" w:rsidR="00D94ECC" w:rsidRPr="009048EA" w:rsidRDefault="00D94ECC" w:rsidP="009048EA">
      <w:pPr>
        <w:spacing w:line="360" w:lineRule="auto"/>
        <w:rPr>
          <w:rFonts w:ascii="David" w:hAnsi="David"/>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4ECC" w14:paraId="1373078D" w14:textId="77777777" w:rsidTr="00D94ECC">
        <w:trPr>
          <w:trHeight w:val="355"/>
          <w:jc w:val="center"/>
        </w:trPr>
        <w:tc>
          <w:tcPr>
            <w:tcW w:w="8820" w:type="dxa"/>
            <w:tcBorders>
              <w:top w:val="nil"/>
              <w:left w:val="nil"/>
              <w:bottom w:val="nil"/>
              <w:right w:val="nil"/>
            </w:tcBorders>
            <w:shd w:val="clear" w:color="auto" w:fill="auto"/>
          </w:tcPr>
          <w:p w14:paraId="1672CEBA" w14:textId="77777777" w:rsidR="00AB0E4D" w:rsidRPr="00AB0E4D" w:rsidRDefault="00AB0E4D" w:rsidP="00AB0E4D">
            <w:pPr>
              <w:jc w:val="center"/>
              <w:rPr>
                <w:rFonts w:ascii="Arial" w:hAnsi="Arial"/>
                <w:b/>
                <w:bCs/>
                <w:sz w:val="28"/>
                <w:szCs w:val="28"/>
                <w:u w:val="single"/>
                <w:rtl/>
              </w:rPr>
            </w:pPr>
            <w:bookmarkStart w:id="5" w:name="PsakDin" w:colFirst="0" w:colLast="0"/>
            <w:bookmarkEnd w:id="0"/>
            <w:r w:rsidRPr="00AB0E4D">
              <w:rPr>
                <w:rFonts w:ascii="Arial" w:hAnsi="Arial"/>
                <w:b/>
                <w:bCs/>
                <w:sz w:val="28"/>
                <w:szCs w:val="28"/>
                <w:u w:val="single"/>
                <w:rtl/>
              </w:rPr>
              <w:t>גזר דין</w:t>
            </w:r>
          </w:p>
          <w:p w14:paraId="4D716D18" w14:textId="77777777" w:rsidR="00D94ECC" w:rsidRPr="00AB0E4D" w:rsidRDefault="00D94ECC" w:rsidP="00AB0E4D">
            <w:pPr>
              <w:jc w:val="center"/>
              <w:rPr>
                <w:rFonts w:ascii="Arial" w:hAnsi="Arial"/>
                <w:bCs/>
                <w:sz w:val="28"/>
                <w:szCs w:val="28"/>
                <w:u w:val="single"/>
                <w:rtl/>
              </w:rPr>
            </w:pPr>
          </w:p>
        </w:tc>
      </w:tr>
      <w:bookmarkEnd w:id="5"/>
    </w:tbl>
    <w:p w14:paraId="3EF57581" w14:textId="77777777" w:rsidR="00D94ECC" w:rsidRDefault="00D94ECC" w:rsidP="00D94ECC">
      <w:pPr>
        <w:spacing w:line="360" w:lineRule="auto"/>
        <w:rPr>
          <w:rFonts w:ascii="David" w:hAnsi="David"/>
          <w:sz w:val="26"/>
          <w:szCs w:val="26"/>
          <w:rtl/>
        </w:rPr>
      </w:pPr>
    </w:p>
    <w:p w14:paraId="69A9A210" w14:textId="77777777" w:rsidR="00D94ECC" w:rsidRDefault="00D94ECC" w:rsidP="00D94ECC">
      <w:pPr>
        <w:pStyle w:val="af"/>
        <w:numPr>
          <w:ilvl w:val="0"/>
          <w:numId w:val="3"/>
        </w:numPr>
        <w:spacing w:line="360" w:lineRule="auto"/>
        <w:ind w:left="357" w:hanging="357"/>
        <w:jc w:val="both"/>
        <w:rPr>
          <w:rFonts w:ascii="David" w:hAnsi="David"/>
          <w:rtl/>
        </w:rPr>
      </w:pPr>
      <w:r>
        <w:rPr>
          <w:rFonts w:ascii="David" w:hAnsi="David"/>
          <w:rtl/>
        </w:rPr>
        <w:t>נגד הנאשמים הוגש כתב אישום</w:t>
      </w:r>
      <w:r>
        <w:rPr>
          <w:rFonts w:ascii="David" w:hAnsi="David" w:hint="cs"/>
          <w:rtl/>
        </w:rPr>
        <w:t xml:space="preserve"> ש</w:t>
      </w:r>
      <w:r>
        <w:rPr>
          <w:rFonts w:ascii="David" w:hAnsi="David"/>
          <w:rtl/>
        </w:rPr>
        <w:t>כלל שמונה אישומים</w:t>
      </w:r>
      <w:r>
        <w:rPr>
          <w:rFonts w:ascii="David" w:hAnsi="David" w:hint="cs"/>
          <w:rtl/>
        </w:rPr>
        <w:t>, בסופו של עניין הורשעו ב</w:t>
      </w:r>
      <w:r>
        <w:rPr>
          <w:rFonts w:ascii="David" w:hAnsi="David"/>
          <w:rtl/>
        </w:rPr>
        <w:t xml:space="preserve">עבירות כדלקמן:   </w:t>
      </w:r>
    </w:p>
    <w:p w14:paraId="2BBB359A" w14:textId="77777777" w:rsidR="00D94ECC" w:rsidRDefault="00D94ECC" w:rsidP="00D94ECC">
      <w:pPr>
        <w:spacing w:line="360" w:lineRule="auto"/>
        <w:jc w:val="both"/>
        <w:rPr>
          <w:rFonts w:ascii="David" w:hAnsi="David"/>
          <w:u w:val="single"/>
          <w:rtl/>
        </w:rPr>
      </w:pPr>
    </w:p>
    <w:p w14:paraId="48041D1A" w14:textId="77777777" w:rsidR="00D94ECC" w:rsidRPr="004A2F5A" w:rsidRDefault="00D94ECC" w:rsidP="00D94ECC">
      <w:pPr>
        <w:spacing w:line="360" w:lineRule="auto"/>
        <w:ind w:firstLine="357"/>
        <w:jc w:val="both"/>
        <w:rPr>
          <w:rFonts w:ascii="David" w:hAnsi="David"/>
          <w:rtl/>
        </w:rPr>
      </w:pPr>
      <w:r w:rsidRPr="004A2F5A">
        <w:rPr>
          <w:rFonts w:ascii="David" w:hAnsi="David" w:hint="cs"/>
          <w:rtl/>
        </w:rPr>
        <w:t>(1)</w:t>
      </w:r>
      <w:r w:rsidRPr="004A2F5A">
        <w:rPr>
          <w:rFonts w:ascii="David" w:hAnsi="David" w:hint="cs"/>
          <w:b/>
          <w:bCs/>
          <w:rtl/>
        </w:rPr>
        <w:t xml:space="preserve"> </w:t>
      </w:r>
      <w:r>
        <w:rPr>
          <w:rFonts w:ascii="David" w:hAnsi="David"/>
          <w:b/>
          <w:bCs/>
          <w:rtl/>
        </w:rPr>
        <w:tab/>
      </w:r>
      <w:r>
        <w:rPr>
          <w:rFonts w:ascii="David" w:hAnsi="David" w:hint="cs"/>
          <w:b/>
          <w:bCs/>
          <w:rtl/>
        </w:rPr>
        <w:t>נ</w:t>
      </w:r>
      <w:r w:rsidRPr="004A2F5A">
        <w:rPr>
          <w:rFonts w:ascii="David" w:hAnsi="David"/>
          <w:b/>
          <w:bCs/>
          <w:rtl/>
        </w:rPr>
        <w:t xml:space="preserve">אשם 1 </w:t>
      </w:r>
      <w:r w:rsidRPr="004A2F5A">
        <w:rPr>
          <w:rFonts w:ascii="David" w:hAnsi="David" w:hint="cs"/>
          <w:b/>
          <w:bCs/>
          <w:rtl/>
        </w:rPr>
        <w:t>הורשע ב</w:t>
      </w:r>
      <w:r w:rsidRPr="004A2F5A">
        <w:rPr>
          <w:rFonts w:ascii="David" w:hAnsi="David"/>
          <w:b/>
          <w:bCs/>
          <w:rtl/>
        </w:rPr>
        <w:t>עבירות הבאות</w:t>
      </w:r>
      <w:r w:rsidRPr="004A2F5A">
        <w:rPr>
          <w:rFonts w:ascii="David" w:hAnsi="David"/>
          <w:rtl/>
        </w:rPr>
        <w:t>:</w:t>
      </w:r>
    </w:p>
    <w:p w14:paraId="60DD4536" w14:textId="77777777" w:rsidR="00D94ECC" w:rsidRDefault="00D94ECC" w:rsidP="00D94ECC">
      <w:pPr>
        <w:pStyle w:val="af"/>
        <w:spacing w:line="360" w:lineRule="auto"/>
        <w:ind w:left="357"/>
        <w:jc w:val="both"/>
        <w:rPr>
          <w:rFonts w:ascii="David" w:hAnsi="David"/>
        </w:rPr>
      </w:pPr>
    </w:p>
    <w:p w14:paraId="23B50F7F" w14:textId="77777777" w:rsidR="00D94ECC" w:rsidRDefault="00D94ECC" w:rsidP="00D94ECC">
      <w:pPr>
        <w:pStyle w:val="af"/>
        <w:spacing w:line="360" w:lineRule="auto"/>
        <w:ind w:left="357"/>
        <w:jc w:val="both"/>
        <w:rPr>
          <w:rFonts w:ascii="David" w:hAnsi="David"/>
          <w:rtl/>
        </w:rPr>
      </w:pPr>
      <w:bookmarkStart w:id="6" w:name="ABSTRACT_START"/>
      <w:bookmarkEnd w:id="6"/>
      <w:r w:rsidRPr="009D749D">
        <w:rPr>
          <w:rFonts w:ascii="David" w:hAnsi="David"/>
          <w:u w:val="single"/>
          <w:rtl/>
        </w:rPr>
        <w:t>במסגרת האישום הראשון</w:t>
      </w:r>
      <w:r>
        <w:rPr>
          <w:rFonts w:ascii="David" w:hAnsi="David"/>
          <w:rtl/>
        </w:rPr>
        <w:t xml:space="preserve"> – ביצוע עבירות של </w:t>
      </w:r>
      <w:r>
        <w:rPr>
          <w:rFonts w:ascii="David" w:hAnsi="David"/>
          <w:b/>
          <w:bCs/>
          <w:rtl/>
        </w:rPr>
        <w:t>מעשה טרור של חבלה בכוונה מחמירה</w:t>
      </w:r>
      <w:r>
        <w:rPr>
          <w:rFonts w:ascii="David" w:hAnsi="David"/>
          <w:rtl/>
        </w:rPr>
        <w:t xml:space="preserve">, עבירה לפי </w:t>
      </w:r>
      <w:hyperlink r:id="rId40" w:history="1">
        <w:r w:rsidR="009048EA" w:rsidRPr="009048EA">
          <w:rPr>
            <w:rStyle w:val="Hyperlink"/>
            <w:rFonts w:ascii="David" w:hAnsi="David"/>
            <w:color w:val="0000FF"/>
            <w:rtl/>
          </w:rPr>
          <w:t>סעיף 329(א)(2)</w:t>
        </w:r>
      </w:hyperlink>
      <w:r>
        <w:rPr>
          <w:rFonts w:ascii="David" w:hAnsi="David"/>
          <w:rtl/>
        </w:rPr>
        <w:t xml:space="preserve"> ל</w:t>
      </w:r>
      <w:hyperlink r:id="rId41" w:history="1">
        <w:r w:rsidR="00AB0E4D" w:rsidRPr="00AB0E4D">
          <w:rPr>
            <w:rFonts w:ascii="David" w:hAnsi="David"/>
            <w:color w:val="0000FF"/>
            <w:u w:val="single"/>
            <w:rtl/>
          </w:rPr>
          <w:t>חוק העונשין</w:t>
        </w:r>
      </w:hyperlink>
      <w:r>
        <w:rPr>
          <w:rFonts w:ascii="David" w:hAnsi="David"/>
          <w:rtl/>
        </w:rPr>
        <w:t>, תשל"ז-1977 (להלן: "</w:t>
      </w:r>
      <w:r>
        <w:rPr>
          <w:rFonts w:ascii="David" w:hAnsi="David"/>
          <w:b/>
          <w:bCs/>
          <w:rtl/>
        </w:rPr>
        <w:t>חוק העונשין</w:t>
      </w:r>
      <w:r>
        <w:rPr>
          <w:rFonts w:ascii="David" w:hAnsi="David"/>
          <w:rtl/>
        </w:rPr>
        <w:t xml:space="preserve">"); </w:t>
      </w:r>
      <w:r>
        <w:rPr>
          <w:rFonts w:ascii="David" w:hAnsi="David"/>
          <w:b/>
          <w:bCs/>
          <w:rtl/>
        </w:rPr>
        <w:t>פעולה בנשק</w:t>
      </w:r>
      <w:r>
        <w:rPr>
          <w:rFonts w:ascii="David" w:hAnsi="David"/>
          <w:rtl/>
        </w:rPr>
        <w:t xml:space="preserve">, עבירה לפי </w:t>
      </w:r>
      <w:hyperlink r:id="rId42" w:history="1">
        <w:r w:rsidR="009048EA" w:rsidRPr="009048EA">
          <w:rPr>
            <w:rStyle w:val="Hyperlink"/>
            <w:rFonts w:ascii="David" w:hAnsi="David"/>
            <w:color w:val="0000FF"/>
            <w:rtl/>
          </w:rPr>
          <w:t>סעיף 30(א)</w:t>
        </w:r>
      </w:hyperlink>
      <w:r>
        <w:rPr>
          <w:rFonts w:ascii="David" w:hAnsi="David"/>
          <w:rtl/>
        </w:rPr>
        <w:t xml:space="preserve"> ל</w:t>
      </w:r>
      <w:hyperlink r:id="rId43" w:history="1">
        <w:r w:rsidR="00AB0E4D" w:rsidRPr="00AB0E4D">
          <w:rPr>
            <w:rFonts w:ascii="David" w:hAnsi="David"/>
            <w:color w:val="0000FF"/>
            <w:u w:val="single"/>
            <w:rtl/>
          </w:rPr>
          <w:t>חוק המאבק בטרור, תשע"ו-2016</w:t>
        </w:r>
      </w:hyperlink>
      <w:r>
        <w:rPr>
          <w:rFonts w:ascii="David" w:hAnsi="David"/>
          <w:rtl/>
        </w:rPr>
        <w:t xml:space="preserve"> (להלן: "</w:t>
      </w:r>
      <w:r>
        <w:rPr>
          <w:rFonts w:ascii="David" w:hAnsi="David"/>
          <w:b/>
          <w:bCs/>
          <w:rtl/>
        </w:rPr>
        <w:t>חוק המאבק בטרור</w:t>
      </w:r>
      <w:r>
        <w:rPr>
          <w:rFonts w:ascii="David" w:hAnsi="David"/>
          <w:rtl/>
        </w:rPr>
        <w:t xml:space="preserve">"); </w:t>
      </w:r>
      <w:r>
        <w:rPr>
          <w:rFonts w:ascii="David" w:hAnsi="David"/>
          <w:b/>
          <w:bCs/>
          <w:rtl/>
        </w:rPr>
        <w:t>התפרעות</w:t>
      </w:r>
      <w:r>
        <w:rPr>
          <w:rFonts w:ascii="David" w:hAnsi="David"/>
          <w:rtl/>
        </w:rPr>
        <w:t xml:space="preserve">, עבירה לפי </w:t>
      </w:r>
      <w:hyperlink r:id="rId44" w:history="1">
        <w:r w:rsidR="009048EA" w:rsidRPr="009048EA">
          <w:rPr>
            <w:rStyle w:val="Hyperlink"/>
            <w:rFonts w:ascii="David" w:hAnsi="David"/>
            <w:color w:val="0000FF"/>
            <w:rtl/>
          </w:rPr>
          <w:t>סעיף 152</w:t>
        </w:r>
      </w:hyperlink>
      <w:r>
        <w:rPr>
          <w:rFonts w:ascii="David" w:hAnsi="David"/>
          <w:rtl/>
        </w:rPr>
        <w:t xml:space="preserve"> לחוק העונשין; </w:t>
      </w:r>
      <w:r>
        <w:rPr>
          <w:rFonts w:ascii="David" w:hAnsi="David"/>
          <w:b/>
          <w:bCs/>
          <w:rtl/>
        </w:rPr>
        <w:t>מעשה פזיזות ורשלנות</w:t>
      </w:r>
      <w:r>
        <w:rPr>
          <w:rFonts w:ascii="David" w:hAnsi="David"/>
          <w:rtl/>
        </w:rPr>
        <w:t xml:space="preserve">, עבירה לפי </w:t>
      </w:r>
      <w:hyperlink r:id="rId45" w:history="1">
        <w:r w:rsidR="009048EA" w:rsidRPr="009048EA">
          <w:rPr>
            <w:rStyle w:val="Hyperlink"/>
            <w:rFonts w:ascii="David" w:hAnsi="David"/>
            <w:color w:val="0000FF"/>
            <w:rtl/>
          </w:rPr>
          <w:t>סעיף 338(א)(3)</w:t>
        </w:r>
      </w:hyperlink>
      <w:r>
        <w:rPr>
          <w:rFonts w:ascii="David" w:hAnsi="David"/>
          <w:rtl/>
        </w:rPr>
        <w:t xml:space="preserve"> לחוק </w:t>
      </w:r>
      <w:r>
        <w:rPr>
          <w:rFonts w:ascii="David" w:hAnsi="David"/>
          <w:rtl/>
        </w:rPr>
        <w:lastRenderedPageBreak/>
        <w:t xml:space="preserve">העונשין; </w:t>
      </w:r>
      <w:r>
        <w:rPr>
          <w:rFonts w:ascii="David" w:hAnsi="David"/>
          <w:b/>
          <w:bCs/>
          <w:rtl/>
        </w:rPr>
        <w:t>ניסיון לתקיפת שוטר בנסיבות מחמירות</w:t>
      </w:r>
      <w:r>
        <w:rPr>
          <w:rFonts w:ascii="David" w:hAnsi="David"/>
          <w:rtl/>
        </w:rPr>
        <w:t xml:space="preserve">, עבירה לפי </w:t>
      </w:r>
      <w:hyperlink r:id="rId46" w:history="1">
        <w:r w:rsidR="009048EA" w:rsidRPr="009048EA">
          <w:rPr>
            <w:rStyle w:val="Hyperlink"/>
            <w:rFonts w:ascii="David" w:hAnsi="David"/>
            <w:color w:val="0000FF"/>
            <w:rtl/>
          </w:rPr>
          <w:t>סעיף 274</w:t>
        </w:r>
      </w:hyperlink>
      <w:r>
        <w:rPr>
          <w:rFonts w:ascii="David" w:hAnsi="David"/>
          <w:rtl/>
        </w:rPr>
        <w:t xml:space="preserve"> בצ</w:t>
      </w:r>
      <w:r>
        <w:rPr>
          <w:rFonts w:ascii="David" w:hAnsi="David" w:hint="cs"/>
          <w:rtl/>
        </w:rPr>
        <w:t>י</w:t>
      </w:r>
      <w:r>
        <w:rPr>
          <w:rFonts w:ascii="David" w:hAnsi="David"/>
          <w:rtl/>
        </w:rPr>
        <w:t xml:space="preserve">רוף </w:t>
      </w:r>
      <w:hyperlink r:id="rId47" w:history="1">
        <w:r w:rsidR="009048EA" w:rsidRPr="009048EA">
          <w:rPr>
            <w:rStyle w:val="Hyperlink"/>
            <w:rFonts w:ascii="David" w:hAnsi="David"/>
            <w:color w:val="0000FF"/>
            <w:rtl/>
          </w:rPr>
          <w:t>סעיף 25</w:t>
        </w:r>
      </w:hyperlink>
      <w:r>
        <w:rPr>
          <w:rFonts w:ascii="David" w:hAnsi="David"/>
          <w:rtl/>
        </w:rPr>
        <w:t xml:space="preserve"> לחוק העונשין; </w:t>
      </w:r>
      <w:r>
        <w:rPr>
          <w:rFonts w:ascii="David" w:hAnsi="David"/>
          <w:b/>
          <w:bCs/>
          <w:rtl/>
        </w:rPr>
        <w:t>הפרעה לשוטר במילוי תפקידו</w:t>
      </w:r>
      <w:r>
        <w:rPr>
          <w:rFonts w:ascii="David" w:hAnsi="David"/>
          <w:rtl/>
        </w:rPr>
        <w:t xml:space="preserve">, עבירה לפי </w:t>
      </w:r>
      <w:hyperlink r:id="rId48" w:history="1">
        <w:r w:rsidR="009048EA" w:rsidRPr="009048EA">
          <w:rPr>
            <w:rStyle w:val="Hyperlink"/>
            <w:rFonts w:ascii="David" w:hAnsi="David"/>
            <w:color w:val="0000FF"/>
            <w:rtl/>
          </w:rPr>
          <w:t>סעיף 275</w:t>
        </w:r>
      </w:hyperlink>
      <w:r>
        <w:rPr>
          <w:rFonts w:ascii="David" w:hAnsi="David"/>
          <w:rtl/>
        </w:rPr>
        <w:t xml:space="preserve"> לחוק העונשין.</w:t>
      </w:r>
      <w:bookmarkStart w:id="7" w:name="ABSTRACT_END"/>
      <w:bookmarkEnd w:id="7"/>
    </w:p>
    <w:p w14:paraId="74203DAC" w14:textId="77777777" w:rsidR="00D94ECC" w:rsidRDefault="00D94ECC" w:rsidP="00D94ECC">
      <w:pPr>
        <w:pStyle w:val="af"/>
        <w:spacing w:line="360" w:lineRule="auto"/>
        <w:ind w:left="357"/>
        <w:jc w:val="both"/>
        <w:rPr>
          <w:rFonts w:ascii="David" w:hAnsi="David"/>
          <w:rtl/>
        </w:rPr>
      </w:pPr>
    </w:p>
    <w:p w14:paraId="13EAD4B7" w14:textId="77777777" w:rsidR="00D94ECC" w:rsidRDefault="00D94ECC" w:rsidP="00D94ECC">
      <w:pPr>
        <w:pStyle w:val="af"/>
        <w:spacing w:line="360" w:lineRule="auto"/>
        <w:ind w:left="357"/>
        <w:jc w:val="both"/>
        <w:rPr>
          <w:rFonts w:ascii="David" w:hAnsi="David"/>
          <w:rtl/>
        </w:rPr>
      </w:pPr>
      <w:r w:rsidRPr="009D749D">
        <w:rPr>
          <w:rFonts w:ascii="David" w:hAnsi="David"/>
          <w:u w:val="single"/>
          <w:rtl/>
        </w:rPr>
        <w:t>במסגרת האישום השני</w:t>
      </w:r>
      <w:r>
        <w:rPr>
          <w:rFonts w:ascii="David" w:hAnsi="David"/>
          <w:rtl/>
        </w:rPr>
        <w:t xml:space="preserve"> – ביצוע עבירות של </w:t>
      </w:r>
      <w:r>
        <w:rPr>
          <w:rFonts w:ascii="David" w:hAnsi="David"/>
          <w:b/>
          <w:bCs/>
          <w:rtl/>
        </w:rPr>
        <w:t>מעשה טרור של הצתה</w:t>
      </w:r>
      <w:r>
        <w:rPr>
          <w:rFonts w:ascii="David" w:hAnsi="David"/>
          <w:rtl/>
        </w:rPr>
        <w:t xml:space="preserve">, עבירה לפי </w:t>
      </w:r>
      <w:hyperlink r:id="rId49" w:history="1">
        <w:r w:rsidR="009048EA" w:rsidRPr="009048EA">
          <w:rPr>
            <w:rStyle w:val="Hyperlink"/>
            <w:rFonts w:ascii="David" w:hAnsi="David"/>
            <w:color w:val="0000FF"/>
            <w:rtl/>
          </w:rPr>
          <w:t>סעיף 448(א)</w:t>
        </w:r>
      </w:hyperlink>
      <w:r>
        <w:rPr>
          <w:rFonts w:ascii="David" w:hAnsi="David"/>
          <w:rtl/>
        </w:rPr>
        <w:t xml:space="preserve"> סיפא + </w:t>
      </w:r>
      <w:hyperlink r:id="rId50" w:history="1">
        <w:r w:rsidR="009048EA" w:rsidRPr="009048EA">
          <w:rPr>
            <w:rStyle w:val="Hyperlink"/>
            <w:rFonts w:ascii="David" w:hAnsi="David"/>
            <w:color w:val="0000FF"/>
            <w:rtl/>
          </w:rPr>
          <w:t>סעיף 29</w:t>
        </w:r>
      </w:hyperlink>
      <w:r>
        <w:rPr>
          <w:rFonts w:ascii="David" w:hAnsi="David"/>
          <w:rtl/>
        </w:rPr>
        <w:t xml:space="preserve"> ל</w:t>
      </w:r>
      <w:hyperlink r:id="rId51" w:history="1">
        <w:r w:rsidR="00AB0E4D" w:rsidRPr="00AB0E4D">
          <w:rPr>
            <w:rFonts w:ascii="David" w:hAnsi="David"/>
            <w:color w:val="0000FF"/>
            <w:u w:val="single"/>
            <w:rtl/>
          </w:rPr>
          <w:t>חוק העונשין</w:t>
        </w:r>
      </w:hyperlink>
      <w:r>
        <w:rPr>
          <w:rFonts w:ascii="David" w:hAnsi="David"/>
          <w:rtl/>
        </w:rPr>
        <w:t xml:space="preserve">, בנסיבות </w:t>
      </w:r>
      <w:hyperlink r:id="rId52" w:history="1">
        <w:r w:rsidR="009048EA" w:rsidRPr="009048EA">
          <w:rPr>
            <w:rStyle w:val="Hyperlink"/>
            <w:rFonts w:ascii="David" w:hAnsi="David"/>
            <w:color w:val="0000FF"/>
            <w:rtl/>
          </w:rPr>
          <w:t>סעיף 37</w:t>
        </w:r>
      </w:hyperlink>
      <w:r>
        <w:rPr>
          <w:rFonts w:ascii="David" w:hAnsi="David"/>
          <w:rtl/>
        </w:rPr>
        <w:t xml:space="preserve"> לחוק המאבק בטרור; </w:t>
      </w:r>
      <w:r>
        <w:rPr>
          <w:rFonts w:ascii="David" w:hAnsi="David"/>
          <w:b/>
          <w:bCs/>
          <w:rtl/>
        </w:rPr>
        <w:t>התפרעות שסופה נזק</w:t>
      </w:r>
      <w:r>
        <w:rPr>
          <w:rFonts w:ascii="David" w:hAnsi="David"/>
          <w:rtl/>
        </w:rPr>
        <w:t xml:space="preserve">, עבירה לפי </w:t>
      </w:r>
      <w:hyperlink r:id="rId53" w:history="1">
        <w:r w:rsidR="009048EA" w:rsidRPr="009048EA">
          <w:rPr>
            <w:rStyle w:val="Hyperlink"/>
            <w:rFonts w:ascii="David" w:hAnsi="David"/>
            <w:color w:val="0000FF"/>
            <w:rtl/>
          </w:rPr>
          <w:t>סעיף 157</w:t>
        </w:r>
      </w:hyperlink>
      <w:r>
        <w:rPr>
          <w:rFonts w:ascii="David" w:hAnsi="David"/>
          <w:rtl/>
        </w:rPr>
        <w:t xml:space="preserve"> רישא + </w:t>
      </w:r>
      <w:hyperlink r:id="rId54" w:history="1">
        <w:r w:rsidR="009048EA" w:rsidRPr="009048EA">
          <w:rPr>
            <w:rStyle w:val="Hyperlink"/>
            <w:rFonts w:ascii="David" w:hAnsi="David"/>
            <w:color w:val="0000FF"/>
            <w:rtl/>
          </w:rPr>
          <w:t>סעיף 144ו</w:t>
        </w:r>
      </w:hyperlink>
      <w:r>
        <w:rPr>
          <w:rFonts w:ascii="David" w:hAnsi="David"/>
          <w:rtl/>
        </w:rPr>
        <w:t xml:space="preserve"> לחוק העונשין; </w:t>
      </w:r>
      <w:r>
        <w:rPr>
          <w:rFonts w:ascii="David" w:hAnsi="David"/>
          <w:b/>
          <w:bCs/>
          <w:rtl/>
        </w:rPr>
        <w:t>היזק בזדון ממניע גזעני</w:t>
      </w:r>
      <w:r>
        <w:rPr>
          <w:rFonts w:ascii="David" w:hAnsi="David"/>
          <w:rtl/>
        </w:rPr>
        <w:t xml:space="preserve">, עבירה לפי </w:t>
      </w:r>
      <w:hyperlink r:id="rId55" w:history="1">
        <w:r w:rsidR="009048EA" w:rsidRPr="009048EA">
          <w:rPr>
            <w:rStyle w:val="Hyperlink"/>
            <w:rFonts w:ascii="David" w:hAnsi="David"/>
            <w:color w:val="0000FF"/>
            <w:rtl/>
          </w:rPr>
          <w:t>סעיף 452</w:t>
        </w:r>
      </w:hyperlink>
      <w:r>
        <w:rPr>
          <w:rFonts w:ascii="David" w:hAnsi="David"/>
          <w:rtl/>
        </w:rPr>
        <w:t xml:space="preserve"> + </w:t>
      </w:r>
      <w:hyperlink r:id="rId56" w:history="1">
        <w:r w:rsidR="009048EA" w:rsidRPr="009048EA">
          <w:rPr>
            <w:rStyle w:val="Hyperlink"/>
            <w:rFonts w:ascii="David" w:hAnsi="David"/>
            <w:color w:val="0000FF"/>
            <w:rtl/>
          </w:rPr>
          <w:t>144ו</w:t>
        </w:r>
      </w:hyperlink>
      <w:r>
        <w:rPr>
          <w:rFonts w:ascii="David" w:hAnsi="David"/>
          <w:rtl/>
        </w:rPr>
        <w:t xml:space="preserve"> + </w:t>
      </w:r>
      <w:hyperlink r:id="rId57" w:history="1">
        <w:r w:rsidR="009048EA" w:rsidRPr="009048EA">
          <w:rPr>
            <w:rStyle w:val="Hyperlink"/>
            <w:rFonts w:ascii="David" w:hAnsi="David"/>
            <w:color w:val="0000FF"/>
            <w:rtl/>
          </w:rPr>
          <w:t>29</w:t>
        </w:r>
      </w:hyperlink>
      <w:r>
        <w:rPr>
          <w:rFonts w:ascii="David" w:hAnsi="David"/>
          <w:rtl/>
        </w:rPr>
        <w:t xml:space="preserve"> לחוק העונשין. </w:t>
      </w:r>
    </w:p>
    <w:p w14:paraId="32EF333E" w14:textId="77777777" w:rsidR="00D94ECC" w:rsidRDefault="00D94ECC" w:rsidP="00D94ECC">
      <w:pPr>
        <w:pStyle w:val="af"/>
        <w:spacing w:line="360" w:lineRule="auto"/>
        <w:ind w:left="357"/>
        <w:jc w:val="both"/>
        <w:rPr>
          <w:rFonts w:ascii="David" w:hAnsi="David"/>
          <w:rtl/>
        </w:rPr>
      </w:pPr>
    </w:p>
    <w:p w14:paraId="1D8DA54C" w14:textId="77777777" w:rsidR="00D94ECC" w:rsidRDefault="00D94ECC" w:rsidP="00D94ECC">
      <w:pPr>
        <w:pStyle w:val="af"/>
        <w:spacing w:line="360" w:lineRule="auto"/>
        <w:ind w:left="357"/>
        <w:jc w:val="both"/>
        <w:rPr>
          <w:rFonts w:ascii="David" w:hAnsi="David"/>
          <w:rtl/>
        </w:rPr>
      </w:pPr>
      <w:r w:rsidRPr="009D749D">
        <w:rPr>
          <w:rFonts w:ascii="David" w:hAnsi="David"/>
          <w:u w:val="single"/>
          <w:rtl/>
        </w:rPr>
        <w:t>במסגרת האישום השלישי</w:t>
      </w:r>
      <w:r>
        <w:rPr>
          <w:rFonts w:ascii="David" w:hAnsi="David"/>
          <w:rtl/>
        </w:rPr>
        <w:t xml:space="preserve"> – ביצוע עבירות של</w:t>
      </w:r>
      <w:r>
        <w:rPr>
          <w:rFonts w:ascii="David" w:hAnsi="David"/>
          <w:b/>
          <w:bCs/>
          <w:rtl/>
        </w:rPr>
        <w:t xml:space="preserve"> הצתה</w:t>
      </w:r>
      <w:r>
        <w:rPr>
          <w:rFonts w:ascii="David" w:hAnsi="David"/>
          <w:rtl/>
        </w:rPr>
        <w:t xml:space="preserve">, עבירה לפי </w:t>
      </w:r>
      <w:hyperlink r:id="rId58" w:history="1">
        <w:r w:rsidR="009048EA" w:rsidRPr="009048EA">
          <w:rPr>
            <w:rStyle w:val="Hyperlink"/>
            <w:rFonts w:ascii="David" w:hAnsi="David"/>
            <w:color w:val="0000FF"/>
            <w:rtl/>
          </w:rPr>
          <w:t>סעיף 448(א)</w:t>
        </w:r>
      </w:hyperlink>
      <w:r>
        <w:rPr>
          <w:rFonts w:ascii="David" w:hAnsi="David"/>
          <w:rtl/>
        </w:rPr>
        <w:t xml:space="preserve"> רישא + </w:t>
      </w:r>
      <w:hyperlink r:id="rId59" w:history="1">
        <w:r w:rsidR="009048EA" w:rsidRPr="009048EA">
          <w:rPr>
            <w:rStyle w:val="Hyperlink"/>
            <w:rFonts w:ascii="David" w:hAnsi="David"/>
            <w:color w:val="0000FF"/>
            <w:rtl/>
          </w:rPr>
          <w:t>29</w:t>
        </w:r>
      </w:hyperlink>
      <w:r>
        <w:rPr>
          <w:rFonts w:ascii="David" w:hAnsi="David"/>
          <w:rtl/>
        </w:rPr>
        <w:t xml:space="preserve"> ל</w:t>
      </w:r>
      <w:hyperlink r:id="rId60" w:history="1">
        <w:r w:rsidR="00AB0E4D" w:rsidRPr="00AB0E4D">
          <w:rPr>
            <w:rFonts w:ascii="David" w:hAnsi="David"/>
            <w:color w:val="0000FF"/>
            <w:u w:val="single"/>
            <w:rtl/>
          </w:rPr>
          <w:t>חוק העונשין</w:t>
        </w:r>
      </w:hyperlink>
      <w:r>
        <w:rPr>
          <w:rFonts w:ascii="David" w:hAnsi="David"/>
          <w:rtl/>
        </w:rPr>
        <w:t xml:space="preserve"> </w:t>
      </w:r>
      <w:r>
        <w:rPr>
          <w:rFonts w:ascii="David" w:hAnsi="David"/>
          <w:b/>
          <w:bCs/>
          <w:rtl/>
        </w:rPr>
        <w:t>והיזק בזדון מיוחד ממניע גזעני,</w:t>
      </w:r>
      <w:r>
        <w:rPr>
          <w:rFonts w:ascii="David" w:hAnsi="David"/>
          <w:rtl/>
        </w:rPr>
        <w:t xml:space="preserve"> עבירה לפי </w:t>
      </w:r>
      <w:hyperlink r:id="rId61" w:history="1">
        <w:r w:rsidR="009048EA" w:rsidRPr="009048EA">
          <w:rPr>
            <w:rStyle w:val="Hyperlink"/>
            <w:rFonts w:ascii="David" w:hAnsi="David"/>
            <w:color w:val="0000FF"/>
            <w:rtl/>
          </w:rPr>
          <w:t>סעיף 453(ג)</w:t>
        </w:r>
      </w:hyperlink>
      <w:r>
        <w:rPr>
          <w:rFonts w:ascii="David" w:hAnsi="David"/>
          <w:rtl/>
        </w:rPr>
        <w:t xml:space="preserve"> + </w:t>
      </w:r>
      <w:hyperlink r:id="rId62" w:history="1">
        <w:r w:rsidR="009048EA" w:rsidRPr="009048EA">
          <w:rPr>
            <w:rStyle w:val="Hyperlink"/>
            <w:rFonts w:ascii="David" w:hAnsi="David"/>
            <w:color w:val="0000FF"/>
            <w:rtl/>
          </w:rPr>
          <w:t>144ו</w:t>
        </w:r>
      </w:hyperlink>
      <w:r>
        <w:rPr>
          <w:rFonts w:ascii="David" w:hAnsi="David"/>
          <w:rtl/>
        </w:rPr>
        <w:t xml:space="preserve"> + </w:t>
      </w:r>
      <w:hyperlink r:id="rId63" w:history="1">
        <w:r w:rsidR="009048EA" w:rsidRPr="009048EA">
          <w:rPr>
            <w:rStyle w:val="Hyperlink"/>
            <w:rFonts w:ascii="David" w:hAnsi="David"/>
            <w:color w:val="0000FF"/>
            <w:rtl/>
          </w:rPr>
          <w:t>29</w:t>
        </w:r>
      </w:hyperlink>
      <w:r>
        <w:rPr>
          <w:rFonts w:ascii="David" w:hAnsi="David"/>
          <w:rtl/>
        </w:rPr>
        <w:t xml:space="preserve"> לחוק העונשין. </w:t>
      </w:r>
    </w:p>
    <w:p w14:paraId="5E0B0AEE" w14:textId="77777777" w:rsidR="00D94ECC" w:rsidRDefault="00D94ECC" w:rsidP="00D94ECC">
      <w:pPr>
        <w:pStyle w:val="af"/>
        <w:spacing w:line="360" w:lineRule="auto"/>
        <w:ind w:left="357"/>
        <w:jc w:val="both"/>
        <w:rPr>
          <w:rFonts w:ascii="David" w:hAnsi="David"/>
          <w:rtl/>
        </w:rPr>
      </w:pPr>
    </w:p>
    <w:p w14:paraId="68AF40BF" w14:textId="77777777" w:rsidR="00D94ECC" w:rsidRDefault="00D94ECC" w:rsidP="00D94ECC">
      <w:pPr>
        <w:pStyle w:val="af"/>
        <w:spacing w:line="360" w:lineRule="auto"/>
        <w:ind w:left="357"/>
        <w:jc w:val="both"/>
        <w:rPr>
          <w:rFonts w:ascii="David" w:hAnsi="David"/>
          <w:rtl/>
        </w:rPr>
      </w:pPr>
      <w:r w:rsidRPr="009D749D">
        <w:rPr>
          <w:rFonts w:ascii="David" w:hAnsi="David"/>
          <w:u w:val="single"/>
          <w:rtl/>
        </w:rPr>
        <w:t>במסגרת האישום השביעי</w:t>
      </w:r>
      <w:r>
        <w:rPr>
          <w:rFonts w:ascii="David" w:hAnsi="David"/>
          <w:rtl/>
        </w:rPr>
        <w:t xml:space="preserve"> – ביצוע עבירת של </w:t>
      </w:r>
      <w:r>
        <w:rPr>
          <w:rFonts w:ascii="David" w:hAnsi="David"/>
          <w:b/>
          <w:bCs/>
          <w:rtl/>
        </w:rPr>
        <w:t>מעשה טרור של חבלה בכוונה מחמירה</w:t>
      </w:r>
      <w:r>
        <w:rPr>
          <w:rFonts w:ascii="David" w:hAnsi="David"/>
          <w:rtl/>
        </w:rPr>
        <w:t xml:space="preserve">, עבירה לפי </w:t>
      </w:r>
      <w:hyperlink r:id="rId64" w:history="1">
        <w:r w:rsidR="009048EA" w:rsidRPr="009048EA">
          <w:rPr>
            <w:rStyle w:val="Hyperlink"/>
            <w:rFonts w:ascii="David" w:hAnsi="David"/>
            <w:color w:val="0000FF"/>
            <w:rtl/>
          </w:rPr>
          <w:t>סעיף 329(א)(2)</w:t>
        </w:r>
      </w:hyperlink>
      <w:r>
        <w:rPr>
          <w:rFonts w:ascii="David" w:hAnsi="David"/>
          <w:rtl/>
        </w:rPr>
        <w:t xml:space="preserve"> ל</w:t>
      </w:r>
      <w:hyperlink r:id="rId65" w:history="1">
        <w:r w:rsidR="00AB0E4D" w:rsidRPr="00AB0E4D">
          <w:rPr>
            <w:rFonts w:ascii="David" w:hAnsi="David"/>
            <w:color w:val="0000FF"/>
            <w:u w:val="single"/>
            <w:rtl/>
          </w:rPr>
          <w:t>חוק העונשין</w:t>
        </w:r>
      </w:hyperlink>
      <w:r>
        <w:rPr>
          <w:rFonts w:ascii="David" w:hAnsi="David"/>
          <w:rtl/>
        </w:rPr>
        <w:t xml:space="preserve"> בצ</w:t>
      </w:r>
      <w:r>
        <w:rPr>
          <w:rFonts w:ascii="David" w:hAnsi="David" w:hint="cs"/>
          <w:rtl/>
        </w:rPr>
        <w:t>י</w:t>
      </w:r>
      <w:r>
        <w:rPr>
          <w:rFonts w:ascii="David" w:hAnsi="David"/>
          <w:rtl/>
        </w:rPr>
        <w:t xml:space="preserve">רוף </w:t>
      </w:r>
      <w:hyperlink r:id="rId66" w:history="1">
        <w:r w:rsidR="009048EA" w:rsidRPr="009048EA">
          <w:rPr>
            <w:rStyle w:val="Hyperlink"/>
            <w:rFonts w:ascii="David" w:hAnsi="David"/>
            <w:color w:val="0000FF"/>
            <w:rtl/>
          </w:rPr>
          <w:t>סעיף 29</w:t>
        </w:r>
      </w:hyperlink>
      <w:r>
        <w:rPr>
          <w:rFonts w:ascii="David" w:hAnsi="David"/>
          <w:rtl/>
        </w:rPr>
        <w:t xml:space="preserve"> ובנסיבות </w:t>
      </w:r>
      <w:hyperlink r:id="rId67" w:history="1">
        <w:r w:rsidR="009048EA" w:rsidRPr="009048EA">
          <w:rPr>
            <w:rStyle w:val="Hyperlink"/>
            <w:rFonts w:ascii="David" w:hAnsi="David"/>
            <w:color w:val="0000FF"/>
            <w:rtl/>
          </w:rPr>
          <w:t>סעיף 37</w:t>
        </w:r>
      </w:hyperlink>
      <w:r>
        <w:rPr>
          <w:rFonts w:ascii="David" w:hAnsi="David"/>
          <w:rtl/>
        </w:rPr>
        <w:t xml:space="preserve"> לחוק המאבק בטרור; </w:t>
      </w:r>
      <w:r>
        <w:rPr>
          <w:rFonts w:ascii="David" w:hAnsi="David"/>
          <w:b/>
          <w:bCs/>
          <w:rtl/>
        </w:rPr>
        <w:t>פעולה בנשק</w:t>
      </w:r>
      <w:r>
        <w:rPr>
          <w:rFonts w:ascii="David" w:hAnsi="David"/>
          <w:rtl/>
        </w:rPr>
        <w:t xml:space="preserve">, עבירה לפי </w:t>
      </w:r>
      <w:hyperlink r:id="rId68" w:history="1">
        <w:r w:rsidR="009048EA" w:rsidRPr="009048EA">
          <w:rPr>
            <w:rStyle w:val="Hyperlink"/>
            <w:rFonts w:ascii="David" w:hAnsi="David"/>
            <w:color w:val="0000FF"/>
            <w:rtl/>
          </w:rPr>
          <w:t>סעיף 30(א)</w:t>
        </w:r>
      </w:hyperlink>
      <w:r>
        <w:rPr>
          <w:rFonts w:ascii="David" w:hAnsi="David"/>
          <w:rtl/>
        </w:rPr>
        <w:t xml:space="preserve"> לחוק המאבק בטרור בצרוף </w:t>
      </w:r>
      <w:hyperlink r:id="rId69" w:history="1">
        <w:r w:rsidR="009048EA" w:rsidRPr="009048EA">
          <w:rPr>
            <w:rStyle w:val="Hyperlink"/>
            <w:rFonts w:ascii="David" w:hAnsi="David"/>
            <w:color w:val="0000FF"/>
            <w:rtl/>
          </w:rPr>
          <w:t>סעיף 29</w:t>
        </w:r>
      </w:hyperlink>
      <w:r>
        <w:rPr>
          <w:rFonts w:ascii="David" w:hAnsi="David"/>
          <w:rtl/>
        </w:rPr>
        <w:t xml:space="preserve"> לחוק העונשין; </w:t>
      </w:r>
      <w:r>
        <w:rPr>
          <w:rFonts w:ascii="David" w:hAnsi="David"/>
          <w:b/>
          <w:bCs/>
          <w:rtl/>
        </w:rPr>
        <w:t>ירי מנשק חם</w:t>
      </w:r>
      <w:r>
        <w:rPr>
          <w:rFonts w:ascii="David" w:hAnsi="David"/>
          <w:rtl/>
        </w:rPr>
        <w:t xml:space="preserve">, עבירה לפי </w:t>
      </w:r>
      <w:hyperlink r:id="rId70" w:history="1">
        <w:r w:rsidR="009048EA" w:rsidRPr="009048EA">
          <w:rPr>
            <w:rStyle w:val="Hyperlink"/>
            <w:rFonts w:ascii="David" w:hAnsi="David"/>
            <w:color w:val="0000FF"/>
            <w:rtl/>
          </w:rPr>
          <w:t>סעיף 340(א)</w:t>
        </w:r>
      </w:hyperlink>
      <w:r>
        <w:rPr>
          <w:rFonts w:ascii="David" w:hAnsi="David"/>
          <w:rtl/>
        </w:rPr>
        <w:t xml:space="preserve"> בצ</w:t>
      </w:r>
      <w:r>
        <w:rPr>
          <w:rFonts w:ascii="David" w:hAnsi="David" w:hint="cs"/>
          <w:rtl/>
        </w:rPr>
        <w:t>י</w:t>
      </w:r>
      <w:r>
        <w:rPr>
          <w:rFonts w:ascii="David" w:hAnsi="David"/>
          <w:rtl/>
        </w:rPr>
        <w:t xml:space="preserve">רוף </w:t>
      </w:r>
      <w:hyperlink r:id="rId71" w:history="1">
        <w:r w:rsidR="009048EA" w:rsidRPr="009048EA">
          <w:rPr>
            <w:rStyle w:val="Hyperlink"/>
            <w:rFonts w:ascii="David" w:hAnsi="David"/>
            <w:color w:val="0000FF"/>
            <w:rtl/>
          </w:rPr>
          <w:t>סעיף 29</w:t>
        </w:r>
      </w:hyperlink>
      <w:r>
        <w:rPr>
          <w:rFonts w:ascii="David" w:hAnsi="David"/>
          <w:rtl/>
        </w:rPr>
        <w:t xml:space="preserve"> לחוק העונשין; </w:t>
      </w:r>
      <w:r>
        <w:rPr>
          <w:rFonts w:ascii="David" w:hAnsi="David"/>
          <w:b/>
          <w:bCs/>
          <w:rtl/>
        </w:rPr>
        <w:t>איומים</w:t>
      </w:r>
      <w:r>
        <w:rPr>
          <w:rFonts w:ascii="David" w:hAnsi="David"/>
          <w:rtl/>
        </w:rPr>
        <w:t xml:space="preserve">, עבירה לפי </w:t>
      </w:r>
      <w:hyperlink r:id="rId72" w:history="1">
        <w:r w:rsidR="009048EA" w:rsidRPr="009048EA">
          <w:rPr>
            <w:rStyle w:val="Hyperlink"/>
            <w:rFonts w:ascii="David" w:hAnsi="David"/>
            <w:color w:val="0000FF"/>
            <w:rtl/>
          </w:rPr>
          <w:t>סעיף 192</w:t>
        </w:r>
      </w:hyperlink>
      <w:r>
        <w:rPr>
          <w:rFonts w:ascii="David" w:hAnsi="David"/>
          <w:rtl/>
        </w:rPr>
        <w:t xml:space="preserve"> בצ</w:t>
      </w:r>
      <w:r>
        <w:rPr>
          <w:rFonts w:ascii="David" w:hAnsi="David" w:hint="cs"/>
          <w:rtl/>
        </w:rPr>
        <w:t>י</w:t>
      </w:r>
      <w:r>
        <w:rPr>
          <w:rFonts w:ascii="David" w:hAnsi="David"/>
          <w:rtl/>
        </w:rPr>
        <w:t xml:space="preserve">רוף </w:t>
      </w:r>
      <w:hyperlink r:id="rId73" w:history="1">
        <w:r w:rsidR="009048EA" w:rsidRPr="009048EA">
          <w:rPr>
            <w:rStyle w:val="Hyperlink"/>
            <w:rFonts w:ascii="David" w:hAnsi="David"/>
            <w:color w:val="0000FF"/>
            <w:rtl/>
          </w:rPr>
          <w:t>סעיף 29</w:t>
        </w:r>
      </w:hyperlink>
      <w:r>
        <w:rPr>
          <w:rFonts w:ascii="David" w:hAnsi="David"/>
          <w:rtl/>
        </w:rPr>
        <w:t xml:space="preserve"> לחוק העונשין. </w:t>
      </w:r>
    </w:p>
    <w:p w14:paraId="2653DBFF" w14:textId="77777777" w:rsidR="00D94ECC" w:rsidRDefault="00D94ECC" w:rsidP="00D94ECC">
      <w:pPr>
        <w:pStyle w:val="af"/>
        <w:spacing w:line="360" w:lineRule="auto"/>
        <w:ind w:left="357"/>
        <w:jc w:val="both"/>
        <w:rPr>
          <w:rFonts w:ascii="David" w:hAnsi="David"/>
          <w:rtl/>
        </w:rPr>
      </w:pPr>
    </w:p>
    <w:p w14:paraId="7A2B7BBB" w14:textId="77777777" w:rsidR="00D94ECC" w:rsidRDefault="00D94ECC" w:rsidP="00D94ECC">
      <w:pPr>
        <w:pStyle w:val="af"/>
        <w:spacing w:line="360" w:lineRule="auto"/>
        <w:ind w:left="357"/>
        <w:jc w:val="both"/>
        <w:rPr>
          <w:rFonts w:ascii="David" w:hAnsi="David"/>
          <w:rtl/>
        </w:rPr>
      </w:pPr>
      <w:r>
        <w:rPr>
          <w:rFonts w:ascii="David" w:hAnsi="David" w:hint="cs"/>
          <w:rtl/>
        </w:rPr>
        <w:t xml:space="preserve">נאשם 1 זוכה מהאישום הרביעי מחמת הספק מביצוע עבירה של היזק בזדון ממניע גזעני לפי </w:t>
      </w:r>
      <w:hyperlink r:id="rId74" w:history="1">
        <w:r w:rsidR="009048EA" w:rsidRPr="009048EA">
          <w:rPr>
            <w:rStyle w:val="Hyperlink"/>
            <w:rFonts w:ascii="David" w:hAnsi="David" w:hint="eastAsia"/>
            <w:color w:val="0000FF"/>
            <w:rtl/>
          </w:rPr>
          <w:t>סעיף</w:t>
        </w:r>
        <w:r w:rsidR="009048EA" w:rsidRPr="009048EA">
          <w:rPr>
            <w:rStyle w:val="Hyperlink"/>
            <w:rFonts w:ascii="David" w:hAnsi="David"/>
            <w:color w:val="0000FF"/>
            <w:rtl/>
          </w:rPr>
          <w:t xml:space="preserve"> 452</w:t>
        </w:r>
      </w:hyperlink>
      <w:r>
        <w:rPr>
          <w:rFonts w:ascii="David" w:hAnsi="David" w:hint="cs"/>
          <w:rtl/>
        </w:rPr>
        <w:t xml:space="preserve"> + </w:t>
      </w:r>
      <w:hyperlink r:id="rId75" w:history="1">
        <w:r w:rsidR="009048EA" w:rsidRPr="009048EA">
          <w:rPr>
            <w:rStyle w:val="Hyperlink"/>
            <w:rFonts w:ascii="David" w:hAnsi="David"/>
            <w:color w:val="0000FF"/>
            <w:rtl/>
          </w:rPr>
          <w:t>144ו</w:t>
        </w:r>
      </w:hyperlink>
      <w:r>
        <w:rPr>
          <w:rFonts w:ascii="David" w:hAnsi="David" w:hint="cs"/>
          <w:rtl/>
        </w:rPr>
        <w:t xml:space="preserve"> + </w:t>
      </w:r>
      <w:hyperlink r:id="rId76" w:history="1">
        <w:r w:rsidR="009048EA" w:rsidRPr="009048EA">
          <w:rPr>
            <w:rStyle w:val="Hyperlink"/>
            <w:rFonts w:ascii="David" w:hAnsi="David"/>
            <w:color w:val="0000FF"/>
            <w:rtl/>
          </w:rPr>
          <w:t>29</w:t>
        </w:r>
      </w:hyperlink>
      <w:r>
        <w:rPr>
          <w:rFonts w:ascii="David" w:hAnsi="David" w:hint="cs"/>
          <w:rtl/>
        </w:rPr>
        <w:t xml:space="preserve"> ל</w:t>
      </w:r>
      <w:hyperlink r:id="rId77" w:history="1">
        <w:r w:rsidR="00AB0E4D" w:rsidRPr="00AB0E4D">
          <w:rPr>
            <w:rFonts w:ascii="David" w:hAnsi="David"/>
            <w:color w:val="0000FF"/>
            <w:u w:val="single"/>
            <w:rtl/>
          </w:rPr>
          <w:t>חוק העונשין</w:t>
        </w:r>
      </w:hyperlink>
      <w:r>
        <w:rPr>
          <w:rFonts w:ascii="David" w:hAnsi="David" w:hint="cs"/>
          <w:rtl/>
        </w:rPr>
        <w:t xml:space="preserve">. </w:t>
      </w:r>
    </w:p>
    <w:p w14:paraId="7136BAAE" w14:textId="77777777" w:rsidR="00D94ECC" w:rsidRDefault="00D94ECC" w:rsidP="00D94ECC">
      <w:pPr>
        <w:pStyle w:val="af"/>
        <w:spacing w:line="360" w:lineRule="auto"/>
        <w:ind w:left="357"/>
        <w:jc w:val="both"/>
        <w:rPr>
          <w:rFonts w:ascii="David" w:hAnsi="David"/>
          <w:u w:val="single"/>
          <w:rtl/>
        </w:rPr>
      </w:pPr>
    </w:p>
    <w:p w14:paraId="5BA487E4" w14:textId="77777777" w:rsidR="00D94ECC" w:rsidRDefault="00D94ECC" w:rsidP="00D94ECC">
      <w:pPr>
        <w:pStyle w:val="af"/>
        <w:spacing w:line="360" w:lineRule="auto"/>
        <w:ind w:left="357"/>
        <w:jc w:val="both"/>
        <w:rPr>
          <w:rFonts w:ascii="David" w:hAnsi="David"/>
          <w:rtl/>
        </w:rPr>
      </w:pPr>
      <w:r>
        <w:rPr>
          <w:rFonts w:ascii="David" w:hAnsi="David" w:hint="cs"/>
          <w:rtl/>
        </w:rPr>
        <w:t>(2)</w:t>
      </w:r>
      <w:r w:rsidRPr="00B5526A">
        <w:rPr>
          <w:rFonts w:ascii="David" w:hAnsi="David" w:hint="cs"/>
          <w:rtl/>
        </w:rPr>
        <w:tab/>
      </w:r>
      <w:r w:rsidRPr="00B5526A">
        <w:rPr>
          <w:rFonts w:ascii="David" w:hAnsi="David"/>
          <w:b/>
          <w:bCs/>
          <w:rtl/>
        </w:rPr>
        <w:t xml:space="preserve">נאשם 2 </w:t>
      </w:r>
      <w:r w:rsidRPr="00B5526A">
        <w:rPr>
          <w:rFonts w:ascii="David" w:hAnsi="David" w:hint="cs"/>
          <w:b/>
          <w:bCs/>
          <w:rtl/>
        </w:rPr>
        <w:t>הורשע ב</w:t>
      </w:r>
      <w:r w:rsidRPr="00B5526A">
        <w:rPr>
          <w:rFonts w:ascii="David" w:hAnsi="David"/>
          <w:b/>
          <w:bCs/>
          <w:rtl/>
        </w:rPr>
        <w:t>עבירות הבאות</w:t>
      </w:r>
      <w:r>
        <w:rPr>
          <w:rFonts w:ascii="David" w:hAnsi="David"/>
          <w:rtl/>
        </w:rPr>
        <w:t>:</w:t>
      </w:r>
    </w:p>
    <w:p w14:paraId="51FE1835" w14:textId="77777777" w:rsidR="00D94ECC" w:rsidRDefault="00D94ECC" w:rsidP="00D94ECC">
      <w:pPr>
        <w:pStyle w:val="af"/>
        <w:spacing w:line="360" w:lineRule="auto"/>
        <w:ind w:left="357"/>
        <w:jc w:val="both"/>
        <w:rPr>
          <w:rFonts w:ascii="David" w:hAnsi="David"/>
          <w:rtl/>
        </w:rPr>
      </w:pPr>
    </w:p>
    <w:p w14:paraId="1BF3960D" w14:textId="77777777" w:rsidR="00D94ECC" w:rsidRDefault="00D94ECC" w:rsidP="00D94ECC">
      <w:pPr>
        <w:pStyle w:val="af"/>
        <w:spacing w:line="360" w:lineRule="auto"/>
        <w:ind w:left="357"/>
        <w:jc w:val="both"/>
        <w:rPr>
          <w:rFonts w:ascii="David" w:hAnsi="David"/>
          <w:rtl/>
        </w:rPr>
      </w:pPr>
      <w:r w:rsidRPr="009D749D">
        <w:rPr>
          <w:rFonts w:ascii="David" w:hAnsi="David"/>
          <w:u w:val="single"/>
          <w:rtl/>
        </w:rPr>
        <w:t>במסגרת האישום החמישי</w:t>
      </w:r>
      <w:r>
        <w:rPr>
          <w:rFonts w:ascii="David" w:hAnsi="David"/>
          <w:rtl/>
        </w:rPr>
        <w:t xml:space="preserve"> – ביצוע </w:t>
      </w:r>
      <w:r>
        <w:rPr>
          <w:rFonts w:ascii="David" w:hAnsi="David"/>
          <w:b/>
          <w:bCs/>
          <w:rtl/>
        </w:rPr>
        <w:t xml:space="preserve">עבירות נשק </w:t>
      </w:r>
      <w:r>
        <w:rPr>
          <w:rFonts w:ascii="David" w:hAnsi="David"/>
          <w:rtl/>
        </w:rPr>
        <w:t xml:space="preserve">(רכישה והחזקה), עבירה לפי </w:t>
      </w:r>
      <w:hyperlink r:id="rId78" w:history="1">
        <w:r w:rsidR="009048EA" w:rsidRPr="009048EA">
          <w:rPr>
            <w:rStyle w:val="Hyperlink"/>
            <w:rFonts w:ascii="David" w:hAnsi="David"/>
            <w:color w:val="0000FF"/>
            <w:rtl/>
          </w:rPr>
          <w:t>סעיף 144(א)</w:t>
        </w:r>
      </w:hyperlink>
      <w:r>
        <w:rPr>
          <w:rFonts w:ascii="David" w:hAnsi="David"/>
          <w:rtl/>
        </w:rPr>
        <w:t xml:space="preserve"> ל</w:t>
      </w:r>
      <w:hyperlink r:id="rId79" w:history="1">
        <w:r w:rsidR="00AB0E4D" w:rsidRPr="00AB0E4D">
          <w:rPr>
            <w:rFonts w:ascii="David" w:hAnsi="David"/>
            <w:color w:val="0000FF"/>
            <w:u w:val="single"/>
            <w:rtl/>
          </w:rPr>
          <w:t>חוק העונשין</w:t>
        </w:r>
      </w:hyperlink>
      <w:r>
        <w:rPr>
          <w:rFonts w:ascii="David" w:hAnsi="David"/>
          <w:rtl/>
        </w:rPr>
        <w:t xml:space="preserve">. </w:t>
      </w:r>
    </w:p>
    <w:p w14:paraId="6AD040AB" w14:textId="77777777" w:rsidR="00D94ECC" w:rsidRDefault="00D94ECC" w:rsidP="00D94ECC">
      <w:pPr>
        <w:pStyle w:val="af"/>
        <w:spacing w:line="360" w:lineRule="auto"/>
        <w:ind w:left="357"/>
        <w:jc w:val="both"/>
        <w:rPr>
          <w:rFonts w:ascii="David" w:hAnsi="David"/>
          <w:rtl/>
        </w:rPr>
      </w:pPr>
    </w:p>
    <w:p w14:paraId="524DD90E" w14:textId="77777777" w:rsidR="00D94ECC" w:rsidRDefault="00D94ECC" w:rsidP="00D94ECC">
      <w:pPr>
        <w:pStyle w:val="af"/>
        <w:spacing w:line="360" w:lineRule="auto"/>
        <w:ind w:left="357"/>
        <w:jc w:val="both"/>
        <w:rPr>
          <w:rFonts w:ascii="David" w:hAnsi="David"/>
          <w:rtl/>
        </w:rPr>
      </w:pPr>
      <w:r w:rsidRPr="009D749D">
        <w:rPr>
          <w:rFonts w:ascii="David" w:hAnsi="David"/>
          <w:u w:val="single"/>
          <w:rtl/>
        </w:rPr>
        <w:t>במסגרת האישום השישי</w:t>
      </w:r>
      <w:r>
        <w:rPr>
          <w:rFonts w:ascii="David" w:hAnsi="David"/>
          <w:rtl/>
        </w:rPr>
        <w:t xml:space="preserve"> – ביצוע עבירות של </w:t>
      </w:r>
      <w:r>
        <w:rPr>
          <w:rFonts w:ascii="David" w:hAnsi="David"/>
          <w:b/>
          <w:bCs/>
          <w:rtl/>
        </w:rPr>
        <w:t>התפרעות</w:t>
      </w:r>
      <w:r>
        <w:rPr>
          <w:rFonts w:ascii="David" w:hAnsi="David"/>
          <w:rtl/>
        </w:rPr>
        <w:t xml:space="preserve">, עבירה לפי </w:t>
      </w:r>
      <w:hyperlink r:id="rId80" w:history="1">
        <w:r w:rsidR="009048EA" w:rsidRPr="009048EA">
          <w:rPr>
            <w:rStyle w:val="Hyperlink"/>
            <w:rFonts w:ascii="David" w:hAnsi="David"/>
            <w:color w:val="0000FF"/>
            <w:rtl/>
          </w:rPr>
          <w:t>סעיף 152</w:t>
        </w:r>
      </w:hyperlink>
      <w:r>
        <w:rPr>
          <w:rFonts w:ascii="David" w:hAnsi="David"/>
          <w:rtl/>
        </w:rPr>
        <w:t xml:space="preserve"> ל</w:t>
      </w:r>
      <w:hyperlink r:id="rId81" w:history="1">
        <w:r w:rsidR="00AB0E4D" w:rsidRPr="00AB0E4D">
          <w:rPr>
            <w:rFonts w:ascii="David" w:hAnsi="David"/>
            <w:color w:val="0000FF"/>
            <w:u w:val="single"/>
            <w:rtl/>
          </w:rPr>
          <w:t>חוק העונשין</w:t>
        </w:r>
      </w:hyperlink>
      <w:r>
        <w:rPr>
          <w:rFonts w:ascii="David" w:hAnsi="David"/>
          <w:rtl/>
        </w:rPr>
        <w:t xml:space="preserve"> </w:t>
      </w:r>
      <w:r>
        <w:rPr>
          <w:rFonts w:ascii="David" w:hAnsi="David"/>
          <w:b/>
          <w:bCs/>
          <w:rtl/>
        </w:rPr>
        <w:t>והפרעה לשוטר בנסיבות מחמירות</w:t>
      </w:r>
      <w:r>
        <w:rPr>
          <w:rFonts w:ascii="David" w:hAnsi="David"/>
          <w:rtl/>
        </w:rPr>
        <w:t xml:space="preserve">, עבירה לפי </w:t>
      </w:r>
      <w:hyperlink r:id="rId82" w:history="1">
        <w:r w:rsidR="009048EA" w:rsidRPr="009048EA">
          <w:rPr>
            <w:rStyle w:val="Hyperlink"/>
            <w:rFonts w:ascii="David" w:hAnsi="David"/>
            <w:color w:val="0000FF"/>
            <w:rtl/>
          </w:rPr>
          <w:t>סעיף 275א</w:t>
        </w:r>
      </w:hyperlink>
      <w:r>
        <w:rPr>
          <w:rFonts w:ascii="David" w:hAnsi="David"/>
          <w:rtl/>
        </w:rPr>
        <w:t xml:space="preserve"> + </w:t>
      </w:r>
      <w:hyperlink r:id="rId83" w:history="1">
        <w:r w:rsidR="009048EA" w:rsidRPr="009048EA">
          <w:rPr>
            <w:rStyle w:val="Hyperlink"/>
            <w:rFonts w:ascii="David" w:hAnsi="David"/>
            <w:color w:val="0000FF"/>
            <w:rtl/>
          </w:rPr>
          <w:t>29</w:t>
        </w:r>
      </w:hyperlink>
      <w:r>
        <w:rPr>
          <w:rFonts w:ascii="David" w:hAnsi="David"/>
          <w:rtl/>
        </w:rPr>
        <w:t xml:space="preserve"> לחוק העונשין. </w:t>
      </w:r>
    </w:p>
    <w:p w14:paraId="0F8CCE86" w14:textId="77777777" w:rsidR="00D94ECC" w:rsidRDefault="00D94ECC" w:rsidP="00D94ECC">
      <w:pPr>
        <w:pStyle w:val="af"/>
        <w:spacing w:line="360" w:lineRule="auto"/>
        <w:ind w:left="357"/>
        <w:jc w:val="both"/>
        <w:rPr>
          <w:rFonts w:ascii="David" w:hAnsi="David"/>
          <w:rtl/>
        </w:rPr>
      </w:pPr>
    </w:p>
    <w:p w14:paraId="27DB9564" w14:textId="77777777" w:rsidR="00D94ECC" w:rsidRDefault="00D94ECC" w:rsidP="00D94ECC">
      <w:pPr>
        <w:pStyle w:val="af"/>
        <w:spacing w:line="360" w:lineRule="auto"/>
        <w:ind w:left="357"/>
        <w:jc w:val="both"/>
        <w:rPr>
          <w:rFonts w:ascii="David" w:hAnsi="David"/>
          <w:rtl/>
        </w:rPr>
      </w:pPr>
      <w:r w:rsidRPr="009D749D">
        <w:rPr>
          <w:rFonts w:ascii="David" w:hAnsi="David"/>
          <w:u w:val="single"/>
          <w:rtl/>
        </w:rPr>
        <w:t>במסגרת האישום השביעי</w:t>
      </w:r>
      <w:r>
        <w:rPr>
          <w:rFonts w:ascii="David" w:hAnsi="David"/>
          <w:rtl/>
        </w:rPr>
        <w:t xml:space="preserve"> – ביצוע עבירת של </w:t>
      </w:r>
      <w:r>
        <w:rPr>
          <w:rFonts w:ascii="David" w:hAnsi="David"/>
          <w:b/>
          <w:bCs/>
          <w:rtl/>
        </w:rPr>
        <w:t>מעשה טרור של חבלה בכוונה מחמירה</w:t>
      </w:r>
      <w:r>
        <w:rPr>
          <w:rFonts w:ascii="David" w:hAnsi="David"/>
          <w:rtl/>
        </w:rPr>
        <w:t xml:space="preserve">, עבירה לפי </w:t>
      </w:r>
      <w:hyperlink r:id="rId84" w:history="1">
        <w:r w:rsidR="009048EA" w:rsidRPr="009048EA">
          <w:rPr>
            <w:rStyle w:val="Hyperlink"/>
            <w:rFonts w:ascii="David" w:hAnsi="David"/>
            <w:color w:val="0000FF"/>
            <w:rtl/>
          </w:rPr>
          <w:t>סעיף 329(א)(2)</w:t>
        </w:r>
      </w:hyperlink>
      <w:r>
        <w:rPr>
          <w:rFonts w:ascii="David" w:hAnsi="David"/>
          <w:rtl/>
        </w:rPr>
        <w:t xml:space="preserve"> ל</w:t>
      </w:r>
      <w:hyperlink r:id="rId85" w:history="1">
        <w:r w:rsidR="00AB0E4D" w:rsidRPr="00AB0E4D">
          <w:rPr>
            <w:rFonts w:ascii="David" w:hAnsi="David"/>
            <w:color w:val="0000FF"/>
            <w:u w:val="single"/>
            <w:rtl/>
          </w:rPr>
          <w:t>חוק העונשין</w:t>
        </w:r>
      </w:hyperlink>
      <w:r>
        <w:rPr>
          <w:rFonts w:ascii="David" w:hAnsi="David"/>
          <w:rtl/>
        </w:rPr>
        <w:t xml:space="preserve"> בצ</w:t>
      </w:r>
      <w:r>
        <w:rPr>
          <w:rFonts w:ascii="David" w:hAnsi="David" w:hint="cs"/>
          <w:rtl/>
        </w:rPr>
        <w:t>י</w:t>
      </w:r>
      <w:r>
        <w:rPr>
          <w:rFonts w:ascii="David" w:hAnsi="David"/>
          <w:rtl/>
        </w:rPr>
        <w:t xml:space="preserve">רוף </w:t>
      </w:r>
      <w:hyperlink r:id="rId86" w:history="1">
        <w:r w:rsidR="009048EA" w:rsidRPr="009048EA">
          <w:rPr>
            <w:rStyle w:val="Hyperlink"/>
            <w:rFonts w:ascii="David" w:hAnsi="David"/>
            <w:color w:val="0000FF"/>
            <w:rtl/>
          </w:rPr>
          <w:t>סעיף 29</w:t>
        </w:r>
      </w:hyperlink>
      <w:r>
        <w:rPr>
          <w:rFonts w:ascii="David" w:hAnsi="David"/>
          <w:rtl/>
        </w:rPr>
        <w:t xml:space="preserve"> ובנסיבות </w:t>
      </w:r>
      <w:hyperlink r:id="rId87" w:history="1">
        <w:r w:rsidR="009048EA" w:rsidRPr="009048EA">
          <w:rPr>
            <w:rStyle w:val="Hyperlink"/>
            <w:rFonts w:ascii="David" w:hAnsi="David"/>
            <w:color w:val="0000FF"/>
            <w:rtl/>
          </w:rPr>
          <w:t>סעיף 37</w:t>
        </w:r>
      </w:hyperlink>
      <w:r>
        <w:rPr>
          <w:rFonts w:ascii="David" w:hAnsi="David"/>
          <w:rtl/>
        </w:rPr>
        <w:t xml:space="preserve"> לחוק המאבק בטרור; </w:t>
      </w:r>
      <w:r>
        <w:rPr>
          <w:rFonts w:ascii="David" w:hAnsi="David"/>
          <w:b/>
          <w:bCs/>
          <w:rtl/>
        </w:rPr>
        <w:t>פעולה בנשק</w:t>
      </w:r>
      <w:r>
        <w:rPr>
          <w:rFonts w:ascii="David" w:hAnsi="David"/>
          <w:rtl/>
        </w:rPr>
        <w:t xml:space="preserve">, עבירה לפי </w:t>
      </w:r>
      <w:hyperlink r:id="rId88" w:history="1">
        <w:r w:rsidR="009048EA" w:rsidRPr="009048EA">
          <w:rPr>
            <w:rStyle w:val="Hyperlink"/>
            <w:rFonts w:ascii="David" w:hAnsi="David"/>
            <w:color w:val="0000FF"/>
            <w:rtl/>
          </w:rPr>
          <w:t>סעיף 30(א)</w:t>
        </w:r>
      </w:hyperlink>
      <w:r>
        <w:rPr>
          <w:rFonts w:ascii="David" w:hAnsi="David"/>
          <w:rtl/>
        </w:rPr>
        <w:t xml:space="preserve"> לחוק המאבק בטרור בצ</w:t>
      </w:r>
      <w:r>
        <w:rPr>
          <w:rFonts w:ascii="David" w:hAnsi="David" w:hint="cs"/>
          <w:rtl/>
        </w:rPr>
        <w:t>י</w:t>
      </w:r>
      <w:r>
        <w:rPr>
          <w:rFonts w:ascii="David" w:hAnsi="David"/>
          <w:rtl/>
        </w:rPr>
        <w:t xml:space="preserve">רוף </w:t>
      </w:r>
      <w:hyperlink r:id="rId89" w:history="1">
        <w:r w:rsidR="009048EA" w:rsidRPr="009048EA">
          <w:rPr>
            <w:rStyle w:val="Hyperlink"/>
            <w:rFonts w:ascii="David" w:hAnsi="David"/>
            <w:color w:val="0000FF"/>
            <w:rtl/>
          </w:rPr>
          <w:t>סעיף 29</w:t>
        </w:r>
      </w:hyperlink>
      <w:r>
        <w:rPr>
          <w:rFonts w:ascii="David" w:hAnsi="David"/>
          <w:rtl/>
        </w:rPr>
        <w:t xml:space="preserve"> לחוק העונשין; </w:t>
      </w:r>
      <w:r>
        <w:rPr>
          <w:rFonts w:ascii="David" w:hAnsi="David"/>
          <w:b/>
          <w:bCs/>
          <w:rtl/>
        </w:rPr>
        <w:t>ירי מנשק חם</w:t>
      </w:r>
      <w:r>
        <w:rPr>
          <w:rFonts w:ascii="David" w:hAnsi="David"/>
          <w:rtl/>
        </w:rPr>
        <w:t xml:space="preserve">, עבירה לפי </w:t>
      </w:r>
      <w:hyperlink r:id="rId90" w:history="1">
        <w:r w:rsidR="009048EA" w:rsidRPr="009048EA">
          <w:rPr>
            <w:rStyle w:val="Hyperlink"/>
            <w:rFonts w:ascii="David" w:hAnsi="David"/>
            <w:color w:val="0000FF"/>
            <w:rtl/>
          </w:rPr>
          <w:t>סעיף 340(א)</w:t>
        </w:r>
      </w:hyperlink>
      <w:r>
        <w:rPr>
          <w:rFonts w:ascii="David" w:hAnsi="David"/>
          <w:rtl/>
        </w:rPr>
        <w:t xml:space="preserve"> בצ</w:t>
      </w:r>
      <w:r>
        <w:rPr>
          <w:rFonts w:ascii="David" w:hAnsi="David" w:hint="cs"/>
          <w:rtl/>
        </w:rPr>
        <w:t>י</w:t>
      </w:r>
      <w:r>
        <w:rPr>
          <w:rFonts w:ascii="David" w:hAnsi="David"/>
          <w:rtl/>
        </w:rPr>
        <w:t xml:space="preserve">רוף </w:t>
      </w:r>
      <w:hyperlink r:id="rId91" w:history="1">
        <w:r w:rsidR="009048EA" w:rsidRPr="009048EA">
          <w:rPr>
            <w:rStyle w:val="Hyperlink"/>
            <w:rFonts w:ascii="David" w:hAnsi="David"/>
            <w:color w:val="0000FF"/>
            <w:rtl/>
          </w:rPr>
          <w:t>סעיף 29</w:t>
        </w:r>
      </w:hyperlink>
      <w:r>
        <w:rPr>
          <w:rFonts w:ascii="David" w:hAnsi="David"/>
          <w:rtl/>
        </w:rPr>
        <w:t xml:space="preserve"> לחוק העונשין; </w:t>
      </w:r>
      <w:r>
        <w:rPr>
          <w:rFonts w:ascii="David" w:hAnsi="David"/>
          <w:b/>
          <w:bCs/>
          <w:rtl/>
        </w:rPr>
        <w:t>איומים</w:t>
      </w:r>
      <w:r>
        <w:rPr>
          <w:rFonts w:ascii="David" w:hAnsi="David"/>
          <w:rtl/>
        </w:rPr>
        <w:t xml:space="preserve">, עבירה לפי </w:t>
      </w:r>
      <w:hyperlink r:id="rId92" w:history="1">
        <w:r w:rsidR="009048EA" w:rsidRPr="009048EA">
          <w:rPr>
            <w:rStyle w:val="Hyperlink"/>
            <w:rFonts w:ascii="David" w:hAnsi="David"/>
            <w:color w:val="0000FF"/>
            <w:rtl/>
          </w:rPr>
          <w:t>סעיף 192</w:t>
        </w:r>
      </w:hyperlink>
      <w:r>
        <w:rPr>
          <w:rFonts w:ascii="David" w:hAnsi="David"/>
          <w:rtl/>
        </w:rPr>
        <w:t xml:space="preserve"> בצ</w:t>
      </w:r>
      <w:r>
        <w:rPr>
          <w:rFonts w:ascii="David" w:hAnsi="David" w:hint="cs"/>
          <w:rtl/>
        </w:rPr>
        <w:t>י</w:t>
      </w:r>
      <w:r>
        <w:rPr>
          <w:rFonts w:ascii="David" w:hAnsi="David"/>
          <w:rtl/>
        </w:rPr>
        <w:t xml:space="preserve">רוף </w:t>
      </w:r>
      <w:hyperlink r:id="rId93" w:history="1">
        <w:r w:rsidR="009048EA" w:rsidRPr="009048EA">
          <w:rPr>
            <w:rStyle w:val="Hyperlink"/>
            <w:rFonts w:ascii="David" w:hAnsi="David"/>
            <w:color w:val="0000FF"/>
            <w:rtl/>
          </w:rPr>
          <w:t>סעיף 29</w:t>
        </w:r>
      </w:hyperlink>
      <w:r>
        <w:rPr>
          <w:rFonts w:ascii="David" w:hAnsi="David"/>
          <w:rtl/>
        </w:rPr>
        <w:t xml:space="preserve"> לחוק העונשין. </w:t>
      </w:r>
    </w:p>
    <w:p w14:paraId="2DFEE556" w14:textId="77777777" w:rsidR="00D94ECC" w:rsidRDefault="00D94ECC" w:rsidP="00D94ECC">
      <w:pPr>
        <w:pStyle w:val="af"/>
        <w:spacing w:line="360" w:lineRule="auto"/>
        <w:ind w:left="357"/>
        <w:jc w:val="both"/>
        <w:rPr>
          <w:rFonts w:ascii="David" w:hAnsi="David"/>
          <w:u w:val="single"/>
          <w:rtl/>
        </w:rPr>
      </w:pPr>
    </w:p>
    <w:p w14:paraId="26B0DD13" w14:textId="77777777" w:rsidR="00D94ECC" w:rsidRDefault="00D94ECC" w:rsidP="00D94ECC">
      <w:pPr>
        <w:pStyle w:val="af"/>
        <w:spacing w:line="360" w:lineRule="auto"/>
        <w:ind w:left="357"/>
        <w:jc w:val="both"/>
        <w:rPr>
          <w:rFonts w:ascii="David" w:hAnsi="David"/>
          <w:rtl/>
        </w:rPr>
      </w:pPr>
      <w:r w:rsidRPr="00B5526A">
        <w:rPr>
          <w:rFonts w:ascii="David" w:hAnsi="David" w:hint="cs"/>
          <w:rtl/>
        </w:rPr>
        <w:t>(3)</w:t>
      </w:r>
      <w:r w:rsidRPr="00B5526A">
        <w:rPr>
          <w:rFonts w:ascii="David" w:hAnsi="David" w:hint="cs"/>
          <w:rtl/>
        </w:rPr>
        <w:tab/>
      </w:r>
      <w:r w:rsidRPr="00B5526A">
        <w:rPr>
          <w:rFonts w:ascii="David" w:hAnsi="David"/>
          <w:b/>
          <w:bCs/>
          <w:rtl/>
        </w:rPr>
        <w:t xml:space="preserve">נאשם 3 </w:t>
      </w:r>
      <w:r w:rsidRPr="00B5526A">
        <w:rPr>
          <w:rFonts w:ascii="David" w:hAnsi="David" w:hint="cs"/>
          <w:b/>
          <w:bCs/>
          <w:rtl/>
        </w:rPr>
        <w:t>הורשע ב</w:t>
      </w:r>
      <w:r w:rsidRPr="00B5526A">
        <w:rPr>
          <w:rFonts w:ascii="David" w:hAnsi="David"/>
          <w:b/>
          <w:bCs/>
          <w:rtl/>
        </w:rPr>
        <w:t>ביצוע העבירות הבאות</w:t>
      </w:r>
      <w:r>
        <w:rPr>
          <w:rFonts w:ascii="David" w:hAnsi="David"/>
          <w:rtl/>
        </w:rPr>
        <w:t>:</w:t>
      </w:r>
    </w:p>
    <w:p w14:paraId="6A1DEAA8" w14:textId="77777777" w:rsidR="00D94ECC" w:rsidRDefault="00D94ECC" w:rsidP="00D94ECC">
      <w:pPr>
        <w:pStyle w:val="af"/>
        <w:spacing w:line="360" w:lineRule="auto"/>
        <w:ind w:left="357"/>
        <w:jc w:val="both"/>
        <w:rPr>
          <w:rFonts w:ascii="David" w:hAnsi="David"/>
          <w:rtl/>
        </w:rPr>
      </w:pPr>
    </w:p>
    <w:p w14:paraId="18C0172F" w14:textId="77777777" w:rsidR="00D94ECC" w:rsidRDefault="00D94ECC" w:rsidP="00D94ECC">
      <w:pPr>
        <w:pStyle w:val="af"/>
        <w:spacing w:line="360" w:lineRule="auto"/>
        <w:ind w:left="357"/>
        <w:jc w:val="both"/>
        <w:rPr>
          <w:rFonts w:ascii="David" w:hAnsi="David"/>
          <w:rtl/>
        </w:rPr>
      </w:pPr>
      <w:r w:rsidRPr="009D749D">
        <w:rPr>
          <w:rFonts w:ascii="David" w:hAnsi="David"/>
          <w:u w:val="single"/>
          <w:rtl/>
        </w:rPr>
        <w:t>במסגרת האישום השביעי</w:t>
      </w:r>
      <w:r>
        <w:rPr>
          <w:rFonts w:ascii="David" w:hAnsi="David"/>
          <w:rtl/>
        </w:rPr>
        <w:t xml:space="preserve"> – </w:t>
      </w:r>
      <w:r>
        <w:rPr>
          <w:rFonts w:ascii="David" w:hAnsi="David"/>
          <w:b/>
          <w:bCs/>
          <w:rtl/>
        </w:rPr>
        <w:t>עבירות בנשק (החזקה, נשיאה והובלה)</w:t>
      </w:r>
      <w:r>
        <w:rPr>
          <w:rFonts w:ascii="David" w:hAnsi="David"/>
          <w:rtl/>
        </w:rPr>
        <w:t xml:space="preserve">, לפי </w:t>
      </w:r>
      <w:hyperlink r:id="rId94" w:history="1">
        <w:r w:rsidR="009048EA" w:rsidRPr="009048EA">
          <w:rPr>
            <w:rStyle w:val="Hyperlink"/>
            <w:rFonts w:ascii="David" w:hAnsi="David"/>
            <w:color w:val="0000FF"/>
            <w:rtl/>
          </w:rPr>
          <w:t>סעיף 144ו(א)+(ב)</w:t>
        </w:r>
      </w:hyperlink>
      <w:r>
        <w:rPr>
          <w:rFonts w:ascii="David" w:hAnsi="David"/>
          <w:rtl/>
        </w:rPr>
        <w:t xml:space="preserve"> ל</w:t>
      </w:r>
      <w:hyperlink r:id="rId95" w:history="1">
        <w:r w:rsidR="00AB0E4D" w:rsidRPr="00AB0E4D">
          <w:rPr>
            <w:rFonts w:ascii="David" w:hAnsi="David"/>
            <w:color w:val="0000FF"/>
            <w:u w:val="single"/>
            <w:rtl/>
          </w:rPr>
          <w:t>חוק העונשין</w:t>
        </w:r>
      </w:hyperlink>
      <w:r>
        <w:rPr>
          <w:rFonts w:ascii="David" w:hAnsi="David"/>
          <w:rtl/>
        </w:rPr>
        <w:t xml:space="preserve">; </w:t>
      </w:r>
      <w:r>
        <w:rPr>
          <w:rFonts w:ascii="David" w:hAnsi="David"/>
          <w:b/>
          <w:bCs/>
          <w:rtl/>
        </w:rPr>
        <w:t>ירי מנשק חם</w:t>
      </w:r>
      <w:r>
        <w:rPr>
          <w:rFonts w:ascii="David" w:hAnsi="David"/>
          <w:rtl/>
        </w:rPr>
        <w:t xml:space="preserve">, עבירה לפי </w:t>
      </w:r>
      <w:hyperlink r:id="rId96" w:history="1">
        <w:r w:rsidR="009048EA" w:rsidRPr="009048EA">
          <w:rPr>
            <w:rStyle w:val="Hyperlink"/>
            <w:rFonts w:ascii="David" w:hAnsi="David"/>
            <w:color w:val="0000FF"/>
            <w:rtl/>
          </w:rPr>
          <w:t>סעיף 340א(ב)</w:t>
        </w:r>
      </w:hyperlink>
      <w:r>
        <w:rPr>
          <w:rFonts w:ascii="David" w:hAnsi="David"/>
          <w:rtl/>
        </w:rPr>
        <w:t xml:space="preserve"> לחוק העונשין; </w:t>
      </w:r>
      <w:r>
        <w:rPr>
          <w:rFonts w:ascii="David" w:hAnsi="David"/>
          <w:b/>
          <w:bCs/>
          <w:rtl/>
        </w:rPr>
        <w:t>איומים</w:t>
      </w:r>
      <w:r>
        <w:rPr>
          <w:rFonts w:ascii="David" w:hAnsi="David"/>
          <w:rtl/>
        </w:rPr>
        <w:t xml:space="preserve">, עבירה לפי </w:t>
      </w:r>
      <w:hyperlink r:id="rId97" w:history="1">
        <w:r w:rsidR="009048EA" w:rsidRPr="009048EA">
          <w:rPr>
            <w:rStyle w:val="Hyperlink"/>
            <w:rFonts w:ascii="David" w:hAnsi="David"/>
            <w:color w:val="0000FF"/>
            <w:rtl/>
          </w:rPr>
          <w:t>סעיף 192</w:t>
        </w:r>
      </w:hyperlink>
      <w:r>
        <w:rPr>
          <w:rFonts w:ascii="David" w:hAnsi="David"/>
          <w:rtl/>
        </w:rPr>
        <w:t xml:space="preserve"> לחוק העונשין. </w:t>
      </w:r>
    </w:p>
    <w:p w14:paraId="1C462BFC" w14:textId="77777777" w:rsidR="00D94ECC" w:rsidRDefault="00D94ECC" w:rsidP="00D94ECC">
      <w:pPr>
        <w:pStyle w:val="af"/>
        <w:spacing w:line="360" w:lineRule="auto"/>
        <w:ind w:left="357"/>
        <w:jc w:val="both"/>
        <w:rPr>
          <w:rFonts w:ascii="David" w:hAnsi="David"/>
        </w:rPr>
      </w:pPr>
    </w:p>
    <w:p w14:paraId="4B122814" w14:textId="77777777" w:rsidR="00D94ECC" w:rsidRDefault="00D94ECC" w:rsidP="00D94ECC">
      <w:pPr>
        <w:pStyle w:val="af"/>
        <w:spacing w:line="360" w:lineRule="auto"/>
        <w:ind w:left="357"/>
        <w:jc w:val="both"/>
        <w:rPr>
          <w:rFonts w:ascii="David" w:hAnsi="David"/>
          <w:rtl/>
        </w:rPr>
      </w:pPr>
      <w:r w:rsidRPr="009D749D">
        <w:rPr>
          <w:rFonts w:ascii="David" w:hAnsi="David"/>
          <w:u w:val="single"/>
          <w:rtl/>
        </w:rPr>
        <w:t>במסגרת האישום השמיני</w:t>
      </w:r>
      <w:r>
        <w:rPr>
          <w:rFonts w:ascii="David" w:hAnsi="David"/>
          <w:rtl/>
        </w:rPr>
        <w:t xml:space="preserve"> – </w:t>
      </w:r>
      <w:r>
        <w:rPr>
          <w:rFonts w:ascii="David" w:hAnsi="David"/>
          <w:b/>
          <w:bCs/>
          <w:rtl/>
        </w:rPr>
        <w:t>התפרצות לבית מגורים</w:t>
      </w:r>
      <w:r>
        <w:rPr>
          <w:rFonts w:ascii="David" w:hAnsi="David"/>
          <w:rtl/>
        </w:rPr>
        <w:t xml:space="preserve">, עבירה לפי </w:t>
      </w:r>
      <w:hyperlink r:id="rId98" w:history="1">
        <w:r w:rsidR="009048EA" w:rsidRPr="009048EA">
          <w:rPr>
            <w:rStyle w:val="Hyperlink"/>
            <w:rFonts w:ascii="David" w:hAnsi="David"/>
            <w:color w:val="0000FF"/>
            <w:rtl/>
          </w:rPr>
          <w:t>סעיפים 406(ב)</w:t>
        </w:r>
      </w:hyperlink>
      <w:r>
        <w:rPr>
          <w:rFonts w:ascii="David" w:hAnsi="David"/>
          <w:rtl/>
        </w:rPr>
        <w:t xml:space="preserve"> + </w:t>
      </w:r>
      <w:hyperlink r:id="rId99" w:history="1">
        <w:r w:rsidR="009048EA" w:rsidRPr="009048EA">
          <w:rPr>
            <w:rStyle w:val="Hyperlink"/>
            <w:rFonts w:ascii="David" w:hAnsi="David"/>
            <w:color w:val="0000FF"/>
            <w:rtl/>
          </w:rPr>
          <w:t>29</w:t>
        </w:r>
      </w:hyperlink>
      <w:r>
        <w:rPr>
          <w:rFonts w:ascii="David" w:hAnsi="David"/>
          <w:rtl/>
        </w:rPr>
        <w:t xml:space="preserve"> ל</w:t>
      </w:r>
      <w:hyperlink r:id="rId100" w:history="1">
        <w:r w:rsidR="00AB0E4D" w:rsidRPr="00AB0E4D">
          <w:rPr>
            <w:rFonts w:ascii="David" w:hAnsi="David"/>
            <w:color w:val="0000FF"/>
            <w:u w:val="single"/>
            <w:rtl/>
          </w:rPr>
          <w:t>חוק העונשין</w:t>
        </w:r>
      </w:hyperlink>
      <w:r>
        <w:rPr>
          <w:rFonts w:ascii="David" w:hAnsi="David" w:hint="cs"/>
          <w:rtl/>
        </w:rPr>
        <w:t>.</w:t>
      </w:r>
    </w:p>
    <w:p w14:paraId="129876B0" w14:textId="77777777" w:rsidR="00D94ECC" w:rsidRDefault="00D94ECC" w:rsidP="00D94ECC">
      <w:pPr>
        <w:pStyle w:val="af"/>
        <w:spacing w:line="360" w:lineRule="auto"/>
        <w:ind w:left="357"/>
        <w:jc w:val="both"/>
        <w:rPr>
          <w:rFonts w:ascii="David" w:hAnsi="David"/>
          <w:rtl/>
        </w:rPr>
      </w:pPr>
    </w:p>
    <w:p w14:paraId="7E0DF53B" w14:textId="77777777" w:rsidR="00D94ECC" w:rsidRDefault="00D94ECC" w:rsidP="00D94ECC">
      <w:pPr>
        <w:pStyle w:val="af"/>
        <w:spacing w:line="360" w:lineRule="auto"/>
        <w:ind w:left="357"/>
        <w:jc w:val="both"/>
        <w:rPr>
          <w:rFonts w:ascii="David" w:hAnsi="David"/>
          <w:rtl/>
        </w:rPr>
      </w:pPr>
      <w:r>
        <w:rPr>
          <w:rFonts w:ascii="David" w:hAnsi="David" w:hint="cs"/>
          <w:rtl/>
        </w:rPr>
        <w:t xml:space="preserve">יוער שהנאשם 3 זוכה מחמת ספק מביצוע עבירות של גניבה לפי </w:t>
      </w:r>
      <w:hyperlink r:id="rId101" w:history="1">
        <w:r w:rsidR="009048EA" w:rsidRPr="009048EA">
          <w:rPr>
            <w:rStyle w:val="Hyperlink"/>
            <w:rFonts w:ascii="David" w:hAnsi="David" w:hint="eastAsia"/>
            <w:color w:val="0000FF"/>
            <w:rtl/>
          </w:rPr>
          <w:t>סעיף</w:t>
        </w:r>
        <w:r w:rsidR="009048EA" w:rsidRPr="009048EA">
          <w:rPr>
            <w:rStyle w:val="Hyperlink"/>
            <w:rFonts w:ascii="David" w:hAnsi="David"/>
            <w:color w:val="0000FF"/>
            <w:rtl/>
          </w:rPr>
          <w:t xml:space="preserve"> 384</w:t>
        </w:r>
      </w:hyperlink>
      <w:r>
        <w:rPr>
          <w:rFonts w:ascii="David" w:hAnsi="David" w:hint="cs"/>
          <w:rtl/>
        </w:rPr>
        <w:t xml:space="preserve"> ל</w:t>
      </w:r>
      <w:hyperlink r:id="rId102" w:history="1">
        <w:r w:rsidR="00AB0E4D" w:rsidRPr="00AB0E4D">
          <w:rPr>
            <w:rFonts w:ascii="David" w:hAnsi="David"/>
            <w:color w:val="0000FF"/>
            <w:u w:val="single"/>
            <w:rtl/>
          </w:rPr>
          <w:t>חוק העונשין</w:t>
        </w:r>
      </w:hyperlink>
      <w:r>
        <w:rPr>
          <w:rFonts w:ascii="David" w:hAnsi="David" w:hint="cs"/>
          <w:rtl/>
        </w:rPr>
        <w:t xml:space="preserve"> והיזק לרכוש במזיד לפי </w:t>
      </w:r>
      <w:hyperlink r:id="rId103" w:history="1">
        <w:r w:rsidR="009048EA" w:rsidRPr="009048EA">
          <w:rPr>
            <w:rStyle w:val="Hyperlink"/>
            <w:rFonts w:ascii="David" w:hAnsi="David" w:hint="eastAsia"/>
            <w:color w:val="0000FF"/>
            <w:rtl/>
          </w:rPr>
          <w:t>סעיף</w:t>
        </w:r>
        <w:r w:rsidR="009048EA" w:rsidRPr="009048EA">
          <w:rPr>
            <w:rStyle w:val="Hyperlink"/>
            <w:rFonts w:ascii="David" w:hAnsi="David"/>
            <w:color w:val="0000FF"/>
            <w:rtl/>
          </w:rPr>
          <w:t xml:space="preserve"> 452</w:t>
        </w:r>
      </w:hyperlink>
      <w:r>
        <w:rPr>
          <w:rFonts w:ascii="David" w:hAnsi="David" w:hint="cs"/>
          <w:rtl/>
        </w:rPr>
        <w:t xml:space="preserve"> לחוק העונשין.</w:t>
      </w:r>
    </w:p>
    <w:p w14:paraId="7885DA95" w14:textId="77777777" w:rsidR="00D94ECC" w:rsidRDefault="00D94ECC" w:rsidP="00D94ECC">
      <w:pPr>
        <w:pStyle w:val="af"/>
        <w:spacing w:line="360" w:lineRule="auto"/>
        <w:ind w:left="357"/>
        <w:jc w:val="both"/>
        <w:rPr>
          <w:rFonts w:ascii="David" w:hAnsi="David"/>
          <w:rtl/>
        </w:rPr>
      </w:pPr>
    </w:p>
    <w:p w14:paraId="421F7399" w14:textId="77777777" w:rsidR="00D94ECC" w:rsidRDefault="00D94ECC" w:rsidP="00D94ECC">
      <w:pPr>
        <w:pStyle w:val="af"/>
        <w:numPr>
          <w:ilvl w:val="0"/>
          <w:numId w:val="3"/>
        </w:numPr>
        <w:spacing w:line="360" w:lineRule="auto"/>
        <w:ind w:left="357" w:hanging="357"/>
        <w:jc w:val="both"/>
        <w:rPr>
          <w:rFonts w:ascii="David" w:hAnsi="David"/>
          <w:rtl/>
        </w:rPr>
      </w:pPr>
      <w:r>
        <w:rPr>
          <w:rFonts w:ascii="David" w:hAnsi="David"/>
          <w:rtl/>
        </w:rPr>
        <w:t xml:space="preserve">על פי המתואר </w:t>
      </w:r>
      <w:r>
        <w:rPr>
          <w:rFonts w:ascii="David" w:hAnsi="David"/>
          <w:u w:val="single"/>
          <w:rtl/>
        </w:rPr>
        <w:t>בחלק הכללי</w:t>
      </w:r>
      <w:r>
        <w:rPr>
          <w:rFonts w:ascii="David" w:hAnsi="David"/>
          <w:rtl/>
        </w:rPr>
        <w:t xml:space="preserve"> של כתב האישום במהלך חודש מאי 2021 התקיימה מערכה צבאית בין מדינת ישראל לבין ארגון חמאס ברצועת עזה אשר כונתה מבצע "שומר החומות". במהלך המבצע האוכלוסייה האזרחית במדינה הייתה נתונה תחת מתקפה של אלפי רקטות. במקביל התעורר גל התפרעויות אלימות ברחבי הארץ על רקע לאומני-גזעני, שכלל תקיפות של כוחות המשטרה והביטחון וכן אזרחים יהודים וערבים. במסגרת גל ההתפרעויות התרחשו בעיר עכו התפרעויות אלימות במהלכן בוצעו מעשי אלימות שונים כלפי כוחות משטרה ואזרחים, ובכלל זה יידוי אבנים, ירי זיקוקים, השלכת בקבוקי תבערה וירי חי. כמו כן, במסגרת ההתפרעויות הועלו באש עשרות מבנים, סירות ורכוש נוסף בבעלות יהודית, כל זאת על רקע לאומני-גזעני. </w:t>
      </w:r>
    </w:p>
    <w:p w14:paraId="4BA29CF5" w14:textId="77777777" w:rsidR="00D94ECC" w:rsidRDefault="00D94ECC" w:rsidP="00D94ECC">
      <w:pPr>
        <w:pStyle w:val="af"/>
        <w:spacing w:line="360" w:lineRule="auto"/>
        <w:rPr>
          <w:rFonts w:ascii="David" w:hAnsi="David"/>
        </w:rPr>
      </w:pPr>
    </w:p>
    <w:p w14:paraId="386C3DD1" w14:textId="77777777" w:rsidR="00D94ECC" w:rsidRPr="002932D9" w:rsidRDefault="00D94ECC" w:rsidP="00D94ECC">
      <w:pPr>
        <w:pStyle w:val="af"/>
        <w:numPr>
          <w:ilvl w:val="0"/>
          <w:numId w:val="3"/>
        </w:numPr>
        <w:spacing w:line="360" w:lineRule="auto"/>
        <w:jc w:val="both"/>
        <w:rPr>
          <w:rFonts w:ascii="David" w:hAnsi="David"/>
        </w:rPr>
      </w:pPr>
      <w:r w:rsidRPr="002932D9">
        <w:rPr>
          <w:rFonts w:ascii="David" w:hAnsi="David"/>
          <w:rtl/>
        </w:rPr>
        <w:t xml:space="preserve">על פי המתואר </w:t>
      </w:r>
      <w:r w:rsidRPr="002932D9">
        <w:rPr>
          <w:rFonts w:ascii="David" w:hAnsi="David"/>
          <w:u w:val="single"/>
          <w:rtl/>
        </w:rPr>
        <w:t>באישום הראשון</w:t>
      </w:r>
      <w:r w:rsidRPr="002932D9">
        <w:rPr>
          <w:rFonts w:ascii="David" w:hAnsi="David"/>
          <w:rtl/>
        </w:rPr>
        <w:t>, ביום 11.5.21 סמוך לשעה 21:00 התקהלו עשרות אנשים בסמוך לאכסניית אנ"א "האבירים" שבעכו (להלן: "</w:t>
      </w:r>
      <w:r w:rsidRPr="002932D9">
        <w:rPr>
          <w:rFonts w:ascii="David" w:hAnsi="David"/>
          <w:b/>
          <w:bCs/>
          <w:rtl/>
        </w:rPr>
        <w:t>האכסניה</w:t>
      </w:r>
      <w:r w:rsidRPr="002932D9">
        <w:rPr>
          <w:rFonts w:ascii="David" w:hAnsi="David"/>
          <w:rtl/>
        </w:rPr>
        <w:t xml:space="preserve">"), מבלי שקיבלו לכך אישור או רישיון. המשתתפים בהתקהלות, חלק רעולי פנים, חסמו כבישים באמצעות פחי אשפה וחפצים אחרים, יידו אבנים ובקבוקי תבערה, ירו זיקוקים וגרמו נזק לרכוש, הכל תוך הפרת השלום והסדר הציבורי באופן שיש בו להטיל אימה על הציבור. בעקבות המתואר הגיעו כוחות משטרה למקום על מנת לפזר את ההתפרעות. זמן מה לפני ההתפרעות רכש נאשם 1 זיקוקים רבים תמורת 3,800 ₪ והשתתף בהתפרעות תוך שחילק זיקוקים למתפרעים על מנת שירו אותם לעבר כוחות המשטרה. כמו כן, הוא ירה בעצמו כ-20 זיקוקים לעבר כוח המשטרה. בנוסף, במסגרת ההתפרעות מסר משתתף שזהותו אינה ידועה לנאשם 1 ולמתפרע נוסף שזהותו אינה ידועה, חמישה בקבוקי תבערה, והשניים התקרבו לכיוון הכוח המשטרתי, הדליקו את הבקת"בים ויידו אותם לעבר השוטרים בכוונה להטיל בהם מום, נכות או לגרום להם לחבלה חמורה. נאשם 1 יידה שני בקת"בים והמתפרע הנוסף שלושה. אחד מהבקת"בים שיידה נאשם 1 כבה באוויר והשני פגע בקרקע במרחק של כ-10 מטרים מהשוטרים והתלקח. </w:t>
      </w:r>
    </w:p>
    <w:p w14:paraId="2B8C5A76" w14:textId="77777777" w:rsidR="00D94ECC" w:rsidRDefault="00D94ECC" w:rsidP="00D94ECC">
      <w:pPr>
        <w:pStyle w:val="af"/>
        <w:spacing w:line="360" w:lineRule="auto"/>
        <w:ind w:left="357"/>
        <w:jc w:val="both"/>
        <w:rPr>
          <w:rFonts w:ascii="David" w:hAnsi="David"/>
          <w:rtl/>
        </w:rPr>
      </w:pPr>
    </w:p>
    <w:p w14:paraId="42772B0C" w14:textId="77777777" w:rsidR="00D94ECC" w:rsidRPr="002932D9" w:rsidRDefault="00D94ECC" w:rsidP="00D94ECC">
      <w:pPr>
        <w:pStyle w:val="af"/>
        <w:numPr>
          <w:ilvl w:val="0"/>
          <w:numId w:val="3"/>
        </w:numPr>
        <w:spacing w:line="360" w:lineRule="auto"/>
        <w:jc w:val="both"/>
        <w:rPr>
          <w:rFonts w:ascii="David" w:hAnsi="David"/>
        </w:rPr>
      </w:pPr>
      <w:r w:rsidRPr="002932D9">
        <w:rPr>
          <w:rFonts w:ascii="David" w:hAnsi="David"/>
          <w:rtl/>
        </w:rPr>
        <w:t xml:space="preserve">על פי המתואר </w:t>
      </w:r>
      <w:r w:rsidRPr="002932D9">
        <w:rPr>
          <w:rFonts w:ascii="David" w:hAnsi="David"/>
          <w:u w:val="single"/>
          <w:rtl/>
        </w:rPr>
        <w:t>באישום השני</w:t>
      </w:r>
      <w:r w:rsidRPr="002932D9">
        <w:rPr>
          <w:rFonts w:ascii="David" w:hAnsi="David"/>
          <w:rtl/>
        </w:rPr>
        <w:t xml:space="preserve">, ביום 11.5.21, שהו באכסניה כמה עשרות אורחים. בסמוך לשעה 21:00 הגיעו נאשם 1 ומתפרעים נוספים שזהותם אינה ידועה לאכסניה, במטרה לגרום לה נזק ולהצית אותה, כשבידיהם לפחות 4 בקבוקי בנזין. כשהגיעו למקום, הם השליכו אבנים על החלונות והדלתות וניפצו כמה מהם. לאחר מכן, הציתו את האכסניה במספר מוקדים, כשבאחד מהם אחד מבני החבורה שפך בנזין ונאשם 1 הצית אותו. זמן מה לאחר מכן מערכות כיבוי האש של האכסניה הצליחו לכבות את האש. בסמוך לשעה 21:50 כוחות משטרה הצליחו להשתלט על המתפרעים ולהניסם מהמקום ואז פונו האורחים. כתוצאה ממעשי המתפרעים נגרם לאכסניה נזקים שכללו עקירת 10 מצלמות אבטחה, נזק לרצפה ולווילונות ונזקים רבים נוספים.  </w:t>
      </w:r>
    </w:p>
    <w:p w14:paraId="70BB3E74" w14:textId="77777777" w:rsidR="00D94ECC" w:rsidRDefault="00D94ECC" w:rsidP="00D94ECC">
      <w:pPr>
        <w:pStyle w:val="af"/>
        <w:spacing w:line="360" w:lineRule="auto"/>
        <w:rPr>
          <w:rFonts w:ascii="David" w:hAnsi="David"/>
          <w:rtl/>
        </w:rPr>
      </w:pPr>
    </w:p>
    <w:p w14:paraId="5A57D2D6" w14:textId="77777777" w:rsidR="00D94ECC" w:rsidRDefault="00D94ECC" w:rsidP="00D94ECC">
      <w:pPr>
        <w:pStyle w:val="af"/>
        <w:numPr>
          <w:ilvl w:val="0"/>
          <w:numId w:val="3"/>
        </w:numPr>
        <w:spacing w:line="360" w:lineRule="auto"/>
        <w:jc w:val="both"/>
        <w:rPr>
          <w:rFonts w:ascii="David" w:hAnsi="David"/>
        </w:rPr>
      </w:pPr>
      <w:r>
        <w:rPr>
          <w:rFonts w:ascii="David" w:hAnsi="David"/>
          <w:rtl/>
        </w:rPr>
        <w:t xml:space="preserve">על פי המתואר </w:t>
      </w:r>
      <w:r>
        <w:rPr>
          <w:rFonts w:ascii="David" w:hAnsi="David"/>
          <w:u w:val="single"/>
          <w:rtl/>
        </w:rPr>
        <w:t>באישום השלישי</w:t>
      </w:r>
      <w:r>
        <w:rPr>
          <w:rFonts w:ascii="David" w:hAnsi="David"/>
          <w:rtl/>
        </w:rPr>
        <w:t xml:space="preserve">, הבזאר הטורקי בעכו הוא סמטת בתי עסק שרובם בבעלות יהודים וסמוך לקיר הדרומי של בתי העסק יש בתי מגורים. ביום 11.5.202 בשעות הערב, הגיע נאשם 1 יחד עם מתפרעים נוספים שזהותם אינה ידועה לבזאר על מנת להצית ולגרום נזקים לבתי עסק של יהודים ממניע גזעני. בני החבורה שברו את החלונות והדלתות של שלושה בתי עסק באמצעות כלפי פריצה, ונאשם 1 שפך עליהם בקבוקי בנזין ומי מבני החבורה הצית אותם, הכל ממניע גזעני. כתוצאה מהמעשים נשרפו כליל בתי העסק ונגרמו להם, בין היתר, הנזקים הבאים: לבית עסק "מסעדת המרקטו" נזק בגובה 1,320,000 ₪ לא כולל מע"מ; לעסק "תמר הירדן" נזק מוערך של 100,000 ₪. </w:t>
      </w:r>
    </w:p>
    <w:p w14:paraId="76404EC1" w14:textId="77777777" w:rsidR="00D94ECC" w:rsidRPr="00D94ECC" w:rsidRDefault="00D94ECC" w:rsidP="00D94ECC">
      <w:pPr>
        <w:spacing w:line="360" w:lineRule="auto"/>
        <w:jc w:val="both"/>
        <w:rPr>
          <w:rFonts w:ascii="David" w:hAnsi="David" w:cs="Arial"/>
          <w:rtl/>
        </w:rPr>
      </w:pPr>
    </w:p>
    <w:p w14:paraId="1C1A3B5A" w14:textId="77777777" w:rsidR="00D94ECC" w:rsidRPr="002932D9" w:rsidRDefault="00D94ECC" w:rsidP="00D94ECC">
      <w:pPr>
        <w:pStyle w:val="af"/>
        <w:numPr>
          <w:ilvl w:val="0"/>
          <w:numId w:val="3"/>
        </w:numPr>
        <w:spacing w:line="360" w:lineRule="auto"/>
        <w:jc w:val="both"/>
        <w:rPr>
          <w:rFonts w:ascii="David" w:hAnsi="David"/>
          <w:rtl/>
        </w:rPr>
      </w:pPr>
      <w:r w:rsidRPr="002932D9">
        <w:rPr>
          <w:rFonts w:ascii="David" w:hAnsi="David"/>
          <w:rtl/>
        </w:rPr>
        <w:t xml:space="preserve">על פי המתואר </w:t>
      </w:r>
      <w:r w:rsidRPr="002932D9">
        <w:rPr>
          <w:rFonts w:ascii="David" w:hAnsi="David"/>
          <w:u w:val="single"/>
          <w:rtl/>
        </w:rPr>
        <w:t>באישום החמישי</w:t>
      </w:r>
      <w:r w:rsidRPr="002932D9">
        <w:rPr>
          <w:rFonts w:ascii="David" w:hAnsi="David"/>
          <w:rtl/>
        </w:rPr>
        <w:t xml:space="preserve">, במהלך שנת 2014 או בסמוך לכל, רכש נאשם 2 מאדם אחר אקדח מסוג סטאר תמורת 9,000 ₪. בסמוך למועד הרכישה ועל מנת לבדוק את תקינות הנשק, ירה נאשם 2 שמונה כדורים באוויר. מאז ועד יום 12.5.21 החזיק נאשם 2 באקדח. </w:t>
      </w:r>
    </w:p>
    <w:p w14:paraId="35639B47" w14:textId="77777777" w:rsidR="00D94ECC" w:rsidRDefault="00D94ECC" w:rsidP="00D94ECC">
      <w:pPr>
        <w:pStyle w:val="af"/>
        <w:spacing w:line="360" w:lineRule="auto"/>
        <w:ind w:left="360"/>
        <w:jc w:val="both"/>
        <w:rPr>
          <w:rFonts w:ascii="David" w:hAnsi="David"/>
          <w:rtl/>
        </w:rPr>
      </w:pPr>
    </w:p>
    <w:p w14:paraId="4948B362" w14:textId="77777777" w:rsidR="00D94ECC" w:rsidRPr="002932D9" w:rsidRDefault="00D94ECC" w:rsidP="00D94ECC">
      <w:pPr>
        <w:pStyle w:val="af"/>
        <w:numPr>
          <w:ilvl w:val="0"/>
          <w:numId w:val="3"/>
        </w:numPr>
        <w:spacing w:line="360" w:lineRule="auto"/>
        <w:jc w:val="both"/>
        <w:rPr>
          <w:rFonts w:ascii="David" w:hAnsi="David"/>
          <w:rtl/>
        </w:rPr>
      </w:pPr>
      <w:r w:rsidRPr="002932D9">
        <w:rPr>
          <w:rFonts w:ascii="David" w:hAnsi="David"/>
          <w:rtl/>
        </w:rPr>
        <w:t xml:space="preserve">על פי המתואר </w:t>
      </w:r>
      <w:r w:rsidRPr="002932D9">
        <w:rPr>
          <w:rFonts w:ascii="David" w:hAnsi="David"/>
          <w:u w:val="single"/>
          <w:rtl/>
        </w:rPr>
        <w:t>באישום השישי</w:t>
      </w:r>
      <w:r w:rsidRPr="002932D9">
        <w:rPr>
          <w:rFonts w:ascii="David" w:hAnsi="David"/>
          <w:rtl/>
        </w:rPr>
        <w:t xml:space="preserve">, לאחר האירועים שתוארו באישום הראשון, למחרת היום בתאריך 12.5.2021, התמקם כוח משטרתי סמוך לאכסניה על מנת להגן עליה ולמנוע מעשי התפרעות נוספים. בסמוך לשעה 21:00 התקהלו אנשים רבים באזור מסגד אלג'זאר הסמוך לאכסניה וזאת מבלי שקיבלו אישור לכך, כאשר המשתתפים, חלקם רעולי פנים, יידו אבנים וזרקו זיקוקים לעבר הכוח המשטרתי. נאשם 2 לקח חלק בהתפרעות ויידה לפחות 5 אבנים לעבר השוטרים ממרחק של כ-100 מטרים. </w:t>
      </w:r>
    </w:p>
    <w:p w14:paraId="0516801C" w14:textId="77777777" w:rsidR="00D94ECC" w:rsidRDefault="00D94ECC" w:rsidP="00D94ECC">
      <w:pPr>
        <w:pStyle w:val="af"/>
        <w:spacing w:line="360" w:lineRule="auto"/>
        <w:ind w:left="360"/>
        <w:jc w:val="both"/>
        <w:rPr>
          <w:rFonts w:ascii="David" w:hAnsi="David"/>
          <w:rtl/>
        </w:rPr>
      </w:pPr>
    </w:p>
    <w:p w14:paraId="4B3D6CEA" w14:textId="77777777" w:rsidR="00D94ECC" w:rsidRDefault="00D94ECC" w:rsidP="00D94ECC">
      <w:pPr>
        <w:pStyle w:val="af"/>
        <w:numPr>
          <w:ilvl w:val="0"/>
          <w:numId w:val="3"/>
        </w:numPr>
        <w:spacing w:line="360" w:lineRule="auto"/>
        <w:jc w:val="both"/>
        <w:rPr>
          <w:rFonts w:ascii="David" w:hAnsi="David"/>
          <w:rtl/>
        </w:rPr>
      </w:pPr>
      <w:r>
        <w:rPr>
          <w:rFonts w:ascii="David" w:hAnsi="David"/>
          <w:rtl/>
        </w:rPr>
        <w:t xml:space="preserve">על פי המתואר </w:t>
      </w:r>
      <w:r>
        <w:rPr>
          <w:rFonts w:ascii="David" w:hAnsi="David"/>
          <w:u w:val="single"/>
          <w:rtl/>
        </w:rPr>
        <w:t>באישום השביעי</w:t>
      </w:r>
      <w:r>
        <w:rPr>
          <w:rFonts w:ascii="David" w:hAnsi="David"/>
          <w:rtl/>
        </w:rPr>
        <w:t>, בלילה שבין 12.5.21-13.5.21 נפגשו נאשמים 1 ו-2 בעכו העתיקה כשנאשם 2 החזיק באקדח. נאשם 2 הראה לנאשם 1 את האקדח והציע לו כי יבצעו ירי לעבר שוטרים מתוך מניע לאומני-אידיאולוגי ובמטרה לעורר פחד או בהלה בציבור. באותו העת הגיע כוח משטרתי למלון "עכו</w:t>
      </w:r>
      <w:r>
        <w:rPr>
          <w:rFonts w:ascii="David" w:hAnsi="David" w:hint="cs"/>
          <w:rtl/>
        </w:rPr>
        <w:t>ט</w:t>
      </w:r>
      <w:r>
        <w:rPr>
          <w:rFonts w:ascii="David" w:hAnsi="David"/>
          <w:rtl/>
        </w:rPr>
        <w:t xml:space="preserve">ל" על מנת לחלץ תיירת ותינוק לאחר שהמלון הוצת. כשזיהה נאשם 2 את הכוח המשטרתי הוא ירה באקדח שלו לא פחות מ-6 כדורים לכיוון הכללי בו היה הכוח ממרחק של כ-120 מטר, וזאת על מנת לאיים על השוטרים. </w:t>
      </w:r>
    </w:p>
    <w:p w14:paraId="0E88366F" w14:textId="77777777" w:rsidR="00D94ECC" w:rsidRDefault="00D94ECC" w:rsidP="00D94ECC">
      <w:pPr>
        <w:pStyle w:val="af"/>
        <w:spacing w:line="360" w:lineRule="auto"/>
        <w:ind w:left="360"/>
        <w:jc w:val="both"/>
        <w:rPr>
          <w:rFonts w:ascii="David" w:hAnsi="David"/>
          <w:rtl/>
        </w:rPr>
      </w:pPr>
    </w:p>
    <w:p w14:paraId="1A9D099B" w14:textId="77777777" w:rsidR="00D94ECC" w:rsidRDefault="00D94ECC" w:rsidP="00D94ECC">
      <w:pPr>
        <w:pStyle w:val="af"/>
        <w:numPr>
          <w:ilvl w:val="0"/>
          <w:numId w:val="3"/>
        </w:numPr>
        <w:spacing w:line="360" w:lineRule="auto"/>
        <w:jc w:val="both"/>
        <w:rPr>
          <w:rFonts w:ascii="David" w:hAnsi="David"/>
          <w:rtl/>
        </w:rPr>
      </w:pPr>
      <w:r>
        <w:rPr>
          <w:rFonts w:ascii="David" w:hAnsi="David"/>
          <w:rtl/>
        </w:rPr>
        <w:t xml:space="preserve">לאחר שסיים את התחמושת שהייתה ברשותו, נאשמים 1 ו-2 נסוגו מהמקום כדי להצטייד בתחמושת נוספת. בשלב זה פגשו נאשמים 1 ו-2 את גיסו של נאשם 1, סאהר חתחות, וזה מסר לבקשתם תחמושת נוספת. במהלך אותו הלילה, החזיק נאשם 3 באקדח נוסף. נאשם 3 פגש את נאשמים 1 ו-2 וביקש מהם תחמושת ואלה מסרו לו מספר כדורי תחמושת. </w:t>
      </w:r>
    </w:p>
    <w:p w14:paraId="15864B83" w14:textId="77777777" w:rsidR="00D94ECC" w:rsidRDefault="00D94ECC" w:rsidP="00D94ECC">
      <w:pPr>
        <w:pStyle w:val="af"/>
        <w:spacing w:line="360" w:lineRule="auto"/>
        <w:ind w:left="360"/>
        <w:jc w:val="both"/>
        <w:rPr>
          <w:rFonts w:ascii="David" w:hAnsi="David"/>
          <w:rtl/>
        </w:rPr>
      </w:pPr>
    </w:p>
    <w:p w14:paraId="5C0BB003" w14:textId="77777777" w:rsidR="00D94ECC" w:rsidRPr="00395599" w:rsidRDefault="00D94ECC" w:rsidP="00D94ECC">
      <w:pPr>
        <w:pStyle w:val="af"/>
        <w:numPr>
          <w:ilvl w:val="0"/>
          <w:numId w:val="3"/>
        </w:numPr>
        <w:spacing w:line="360" w:lineRule="auto"/>
        <w:jc w:val="both"/>
        <w:rPr>
          <w:rFonts w:ascii="David" w:hAnsi="David"/>
          <w:rtl/>
        </w:rPr>
      </w:pPr>
      <w:r w:rsidRPr="00395599">
        <w:rPr>
          <w:rFonts w:ascii="David" w:hAnsi="David"/>
          <w:rtl/>
        </w:rPr>
        <w:t xml:space="preserve">לאחר שנאשמים 1 ו-2 הצטיידו בתחמושת נוספת, הם הגיעו לאזור מסגד אלג'זאר, בסמוך לרחוב ויצמן במרחק של כ-50 מטרים מהמקום בו שהה כוח משטרתי בסמוך לאכסניה על מנת להגן עליה מאירועי התפרעות נוספים. בשלב זה ירה נאשם 1 מאקדחו של נאשם 2, בנוכחותו ועל דעתו של נאשם 2, חמישה כדורים לעבר הכוח המשטרתי. נאשם 1 כיוון שניים מהכדורים לאוויר במטרה לאיים על הכוח המשטרתי בפגיעה חמורה בגופו ושלושה כדורים כיוון לעבר השוטרים במשטרה להטיל בהם מום, נכות או לגרום להם לחבלה חמורה. בשלב זה הכוח המשטרתי זיהה את מקור הירי, ירה על נאשם 1 ופגע בו ברגלו ונאשם 1 נסוג מהמקום. נאשם 2, נטל מנאשם 1 את אקדחו, שב למקום בו ביצע נאשם 1 את הירי, וירה על הכוח המשטרתי מספר כדורים במטרה להטיל בשוטרים מום, נכות או לגרום להם לחבלה חמורה. הכוח המשטרתי זיהה גם את מקור ירי זה וירה על נאשם 2 ופגע בבטנו. </w:t>
      </w:r>
    </w:p>
    <w:p w14:paraId="476C519C" w14:textId="77777777" w:rsidR="00D94ECC" w:rsidRDefault="00D94ECC" w:rsidP="00D94ECC">
      <w:pPr>
        <w:pStyle w:val="af"/>
        <w:spacing w:line="360" w:lineRule="auto"/>
        <w:ind w:left="360"/>
        <w:jc w:val="both"/>
        <w:rPr>
          <w:rFonts w:ascii="David" w:hAnsi="David"/>
          <w:rtl/>
        </w:rPr>
      </w:pPr>
    </w:p>
    <w:p w14:paraId="2183A471" w14:textId="77777777" w:rsidR="00D94ECC" w:rsidRDefault="00D94ECC" w:rsidP="00D94ECC">
      <w:pPr>
        <w:pStyle w:val="af"/>
        <w:numPr>
          <w:ilvl w:val="0"/>
          <w:numId w:val="3"/>
        </w:numPr>
        <w:spacing w:line="360" w:lineRule="auto"/>
        <w:jc w:val="both"/>
        <w:rPr>
          <w:rFonts w:ascii="David" w:hAnsi="David"/>
          <w:rtl/>
        </w:rPr>
      </w:pPr>
      <w:r>
        <w:rPr>
          <w:rFonts w:ascii="David" w:hAnsi="David"/>
          <w:rtl/>
        </w:rPr>
        <w:t xml:space="preserve">בסמוך לירי שביצעו נאשמים 1 ו-2, נאשם 3 הגיע סמוך למקום כשהוא חמוש באקדח ובתחמושת אותה קיבל וביצע ירי באוויר על מנת לאיים על הכוח המשטרתי. </w:t>
      </w:r>
    </w:p>
    <w:p w14:paraId="52484390" w14:textId="77777777" w:rsidR="00D94ECC" w:rsidRDefault="00D94ECC" w:rsidP="00D94ECC">
      <w:pPr>
        <w:pStyle w:val="af"/>
        <w:spacing w:line="360" w:lineRule="auto"/>
        <w:ind w:left="360"/>
        <w:jc w:val="both"/>
        <w:rPr>
          <w:rFonts w:ascii="David" w:hAnsi="David"/>
          <w:rtl/>
        </w:rPr>
      </w:pPr>
    </w:p>
    <w:p w14:paraId="3954D436" w14:textId="77777777" w:rsidR="00D94ECC" w:rsidRDefault="00D94ECC" w:rsidP="00D94ECC">
      <w:pPr>
        <w:pStyle w:val="af"/>
        <w:numPr>
          <w:ilvl w:val="0"/>
          <w:numId w:val="3"/>
        </w:numPr>
        <w:spacing w:line="360" w:lineRule="auto"/>
        <w:jc w:val="both"/>
        <w:rPr>
          <w:rFonts w:ascii="David" w:hAnsi="David"/>
          <w:rtl/>
        </w:rPr>
      </w:pPr>
      <w:r>
        <w:rPr>
          <w:rFonts w:ascii="David" w:hAnsi="David"/>
          <w:rtl/>
        </w:rPr>
        <w:t xml:space="preserve">על פי המתואר </w:t>
      </w:r>
      <w:r>
        <w:rPr>
          <w:rFonts w:ascii="David" w:hAnsi="David"/>
          <w:u w:val="single"/>
          <w:rtl/>
        </w:rPr>
        <w:t>באישום השמיני</w:t>
      </w:r>
      <w:r>
        <w:rPr>
          <w:rFonts w:ascii="David" w:hAnsi="David"/>
          <w:rtl/>
        </w:rPr>
        <w:t>, ביום 14.5.21 בסמוך לשעה 2:00, הגיע נאשם 3 יחד עם אחרים, שזהותם אינה ידועה, סמוך למתחם צימרים "שאטו" בעכו העתיקה. בני החבורה טיפסו לאחד החלונות בקומה השנייה, פתחו אותו ונכנסו פנימה</w:t>
      </w:r>
      <w:r w:rsidRPr="00FF729D">
        <w:rPr>
          <w:rFonts w:ascii="David" w:hAnsi="David"/>
          <w:rtl/>
        </w:rPr>
        <w:t xml:space="preserve">. באותה </w:t>
      </w:r>
      <w:r>
        <w:rPr>
          <w:rFonts w:ascii="David" w:hAnsi="David"/>
          <w:rtl/>
        </w:rPr>
        <w:t xml:space="preserve">העת, שהו בקומה הראשונה אכרם חטיב אשר מתגורר במתחם ואחראי על תפעולו, יחד עם אשתו וארבעת ילדיו. כששמעו את הרעש שגרמו הפורצים, המתינו בני המשפחה בחרדה שמא יציתו הפורצים את המקום וזאת בזיקה לשורת מעשי ההצתה והנזק שבוצעו במהלך ההתפרעויות בעכו כמתואר בחלק הכללי. </w:t>
      </w:r>
    </w:p>
    <w:p w14:paraId="065E00D9" w14:textId="77777777" w:rsidR="00D94ECC" w:rsidRDefault="00D94ECC" w:rsidP="00D94ECC">
      <w:pPr>
        <w:pStyle w:val="af"/>
        <w:spacing w:line="360" w:lineRule="auto"/>
        <w:ind w:left="360"/>
        <w:jc w:val="both"/>
        <w:rPr>
          <w:rFonts w:ascii="David" w:hAnsi="David"/>
          <w:rtl/>
        </w:rPr>
      </w:pPr>
    </w:p>
    <w:p w14:paraId="5F534784" w14:textId="77777777" w:rsidR="00D94ECC" w:rsidRDefault="00D94ECC" w:rsidP="00D94ECC">
      <w:pPr>
        <w:spacing w:line="360" w:lineRule="auto"/>
        <w:jc w:val="both"/>
        <w:rPr>
          <w:rFonts w:ascii="David" w:hAnsi="David"/>
          <w:b/>
          <w:bCs/>
          <w:u w:val="single"/>
          <w:rtl/>
        </w:rPr>
      </w:pPr>
      <w:r>
        <w:rPr>
          <w:rFonts w:ascii="David" w:hAnsi="David" w:hint="cs"/>
          <w:b/>
          <w:bCs/>
          <w:u w:val="single"/>
          <w:rtl/>
        </w:rPr>
        <w:t>ראיות לעונש</w:t>
      </w:r>
    </w:p>
    <w:p w14:paraId="18EB861F" w14:textId="77777777" w:rsidR="00D94ECC" w:rsidRDefault="00D94ECC" w:rsidP="00D94ECC">
      <w:pPr>
        <w:spacing w:line="360" w:lineRule="auto"/>
        <w:jc w:val="both"/>
        <w:rPr>
          <w:rFonts w:ascii="David" w:hAnsi="David"/>
          <w:b/>
          <w:bCs/>
          <w:u w:val="single"/>
          <w:rtl/>
        </w:rPr>
      </w:pPr>
    </w:p>
    <w:p w14:paraId="1E850DB5" w14:textId="77777777" w:rsidR="00D94ECC" w:rsidRPr="00395599" w:rsidRDefault="00D94ECC" w:rsidP="00D94ECC">
      <w:pPr>
        <w:pStyle w:val="af"/>
        <w:numPr>
          <w:ilvl w:val="0"/>
          <w:numId w:val="3"/>
        </w:numPr>
        <w:spacing w:line="360" w:lineRule="auto"/>
        <w:jc w:val="both"/>
        <w:rPr>
          <w:rFonts w:ascii="David" w:hAnsi="David"/>
          <w:rtl/>
        </w:rPr>
      </w:pPr>
      <w:r w:rsidRPr="00395599">
        <w:rPr>
          <w:rFonts w:ascii="David" w:hAnsi="David" w:hint="cs"/>
          <w:rtl/>
        </w:rPr>
        <w:t>בשלב הגשת הראיות לעונש הוגשו הרישומים הפליליים של נאשם 2 ונאשם 3 ונשמע עד אחד מטעם ההגנה - אביו של הנאשם 1.</w:t>
      </w:r>
    </w:p>
    <w:p w14:paraId="716BA64D" w14:textId="77777777" w:rsidR="00D94ECC" w:rsidRDefault="00D94ECC" w:rsidP="00D94ECC">
      <w:pPr>
        <w:spacing w:line="360" w:lineRule="auto"/>
        <w:jc w:val="both"/>
        <w:rPr>
          <w:rFonts w:ascii="David" w:hAnsi="David"/>
          <w:rtl/>
        </w:rPr>
      </w:pPr>
    </w:p>
    <w:p w14:paraId="49D7D81A" w14:textId="77777777" w:rsidR="00D94ECC" w:rsidRDefault="00D94ECC" w:rsidP="00D94ECC">
      <w:pPr>
        <w:spacing w:line="360" w:lineRule="auto"/>
        <w:jc w:val="both"/>
        <w:rPr>
          <w:rFonts w:ascii="David" w:hAnsi="David"/>
          <w:rtl/>
        </w:rPr>
      </w:pPr>
    </w:p>
    <w:p w14:paraId="788A284C" w14:textId="77777777" w:rsidR="00D94ECC" w:rsidRDefault="00D94ECC" w:rsidP="00D94ECC">
      <w:pPr>
        <w:spacing w:line="360" w:lineRule="auto"/>
        <w:jc w:val="both"/>
        <w:rPr>
          <w:rFonts w:ascii="David" w:hAnsi="David"/>
          <w:rtl/>
        </w:rPr>
      </w:pPr>
    </w:p>
    <w:p w14:paraId="6738D70E" w14:textId="77777777" w:rsidR="00D94ECC" w:rsidRPr="005C6E93" w:rsidRDefault="00D94ECC" w:rsidP="00D94ECC">
      <w:pPr>
        <w:spacing w:line="360" w:lineRule="auto"/>
        <w:jc w:val="both"/>
        <w:rPr>
          <w:rFonts w:ascii="David" w:hAnsi="David"/>
          <w:b/>
          <w:bCs/>
          <w:u w:val="single"/>
          <w:rtl/>
        </w:rPr>
      </w:pPr>
      <w:r w:rsidRPr="0029000E">
        <w:rPr>
          <w:rFonts w:ascii="David" w:hAnsi="David" w:hint="cs"/>
          <w:b/>
          <w:bCs/>
          <w:u w:val="single"/>
          <w:rtl/>
        </w:rPr>
        <w:t>עמדת המדינה לעניין העונש</w:t>
      </w:r>
    </w:p>
    <w:p w14:paraId="0A9F2036" w14:textId="77777777" w:rsidR="00D94ECC" w:rsidRPr="00395599" w:rsidRDefault="00D94ECC" w:rsidP="00D94ECC">
      <w:pPr>
        <w:pStyle w:val="af"/>
        <w:numPr>
          <w:ilvl w:val="0"/>
          <w:numId w:val="3"/>
        </w:numPr>
        <w:spacing w:before="240" w:line="360" w:lineRule="auto"/>
        <w:jc w:val="both"/>
        <w:rPr>
          <w:rFonts w:ascii="Arial" w:hAnsi="Arial"/>
          <w:rtl/>
        </w:rPr>
      </w:pPr>
      <w:r w:rsidRPr="00395599">
        <w:rPr>
          <w:rFonts w:ascii="Arial" w:hAnsi="Arial" w:hint="cs"/>
          <w:rtl/>
        </w:rPr>
        <w:t>נטען שנפגעו הערכים החברתיים המוגנים של הגנה על חיי אדם וגם ההגנה על הרכוש, והגנה על סדרי שלטון וביטחון. נטען שמעשיהם של הנאשמים חמורים מאוד, אך מקבלים משנה חומרה בשל המניעים האידיאולוגיים שלהם וכן מפאת הנסיבות המיוחדת בהן בוצעו (</w:t>
      </w:r>
      <w:hyperlink r:id="rId104" w:history="1">
        <w:r w:rsidR="00AB0E4D" w:rsidRPr="00AB0E4D">
          <w:rPr>
            <w:rFonts w:ascii="Arial" w:hAnsi="Arial"/>
            <w:color w:val="0000FF"/>
            <w:u w:val="single"/>
            <w:rtl/>
          </w:rPr>
          <w:t>ע"פ 901/22</w:t>
        </w:r>
      </w:hyperlink>
      <w:r w:rsidRPr="00395599">
        <w:rPr>
          <w:rFonts w:ascii="Arial" w:hAnsi="Arial" w:hint="cs"/>
          <w:rtl/>
        </w:rPr>
        <w:t xml:space="preserve"> </w:t>
      </w:r>
      <w:r w:rsidRPr="00395599">
        <w:rPr>
          <w:rFonts w:ascii="Arial" w:hAnsi="Arial" w:hint="cs"/>
          <w:b/>
          <w:bCs/>
          <w:rtl/>
        </w:rPr>
        <w:t>מדינת ישראל נ' מוחמד אסווד</w:t>
      </w:r>
      <w:r w:rsidRPr="00395599">
        <w:rPr>
          <w:rFonts w:ascii="Arial" w:hAnsi="Arial" w:hint="cs"/>
          <w:rtl/>
        </w:rPr>
        <w:t xml:space="preserve"> 24.2.22)). הוזכר שבעת ביצוע המעשים המדינה הייתה נתונה תחת מתקפה מבחוץ וגורמים מהפנים </w:t>
      </w:r>
      <w:r w:rsidRPr="00395599">
        <w:rPr>
          <w:rFonts w:ascii="Arial" w:hAnsi="Arial"/>
          <w:rtl/>
        </w:rPr>
        <w:t>–</w:t>
      </w:r>
      <w:r w:rsidRPr="00395599">
        <w:rPr>
          <w:rFonts w:ascii="Arial" w:hAnsi="Arial" w:hint="cs"/>
          <w:rtl/>
        </w:rPr>
        <w:t xml:space="preserve"> קבוצה מבין ערביי ישראל </w:t>
      </w:r>
      <w:r w:rsidRPr="00395599">
        <w:rPr>
          <w:rFonts w:ascii="Arial" w:hAnsi="Arial"/>
          <w:rtl/>
        </w:rPr>
        <w:t>–</w:t>
      </w:r>
      <w:r w:rsidRPr="00395599">
        <w:rPr>
          <w:rFonts w:ascii="Arial" w:hAnsi="Arial" w:hint="cs"/>
          <w:rtl/>
        </w:rPr>
        <w:t xml:space="preserve"> ניצלו זאת ופתחו בהתפרעויות אלימות במוקדים רבים ברחבי הארץ. נטען שעכו שהינה עיר מעורבת בה חיים יהודים וערבים זה לצד זה בביטחון וביחסי שכנות טובים, הפכה תוך זמן קצר לזירת קרב בה נפגע רכוש רב ואף אירעו אירועי אלימות חמורים. </w:t>
      </w:r>
    </w:p>
    <w:p w14:paraId="15A36F38" w14:textId="77777777" w:rsidR="00D94ECC" w:rsidRDefault="00D94ECC" w:rsidP="00D94ECC">
      <w:pPr>
        <w:spacing w:line="360" w:lineRule="auto"/>
        <w:jc w:val="both"/>
        <w:rPr>
          <w:rFonts w:ascii="Arial" w:hAnsi="Arial"/>
          <w:rtl/>
        </w:rPr>
      </w:pPr>
    </w:p>
    <w:p w14:paraId="39EE6247" w14:textId="77777777" w:rsidR="00D94ECC" w:rsidRDefault="00D94ECC" w:rsidP="00D94ECC">
      <w:pPr>
        <w:pStyle w:val="af"/>
        <w:numPr>
          <w:ilvl w:val="0"/>
          <w:numId w:val="3"/>
        </w:numPr>
        <w:spacing w:line="360" w:lineRule="auto"/>
        <w:jc w:val="both"/>
        <w:rPr>
          <w:rFonts w:ascii="Arial" w:hAnsi="Arial"/>
        </w:rPr>
      </w:pPr>
      <w:r w:rsidRPr="00395599">
        <w:rPr>
          <w:rFonts w:ascii="Arial" w:hAnsi="Arial" w:hint="cs"/>
          <w:rtl/>
        </w:rPr>
        <w:t>נטען עוד שהיה אפקט של סינרגיה בין כלל המתפרעים במוקדים שונים ובינם לבין אויבים מבחוץ אשר כולם גרמו במקביל לפגיעה בביטחון המדינה (</w:t>
      </w:r>
      <w:hyperlink r:id="rId105" w:history="1">
        <w:r w:rsidR="00AB0E4D" w:rsidRPr="00AB0E4D">
          <w:rPr>
            <w:rFonts w:ascii="Arial" w:hAnsi="Arial"/>
            <w:color w:val="0000FF"/>
            <w:u w:val="single"/>
            <w:rtl/>
          </w:rPr>
          <w:t>ע"פ 6106/23</w:t>
        </w:r>
      </w:hyperlink>
      <w:r w:rsidRPr="00395599">
        <w:rPr>
          <w:rFonts w:ascii="Arial" w:hAnsi="Arial" w:hint="cs"/>
          <w:rtl/>
        </w:rPr>
        <w:t xml:space="preserve"> </w:t>
      </w:r>
      <w:r w:rsidRPr="00395599">
        <w:rPr>
          <w:rFonts w:ascii="Arial" w:hAnsi="Arial" w:hint="cs"/>
          <w:b/>
          <w:bCs/>
          <w:rtl/>
        </w:rPr>
        <w:t xml:space="preserve">שחאדה עמראני נ' מדינת ישראל </w:t>
      </w:r>
      <w:r w:rsidRPr="00395599">
        <w:rPr>
          <w:rFonts w:ascii="Arial" w:hAnsi="Arial" w:hint="cs"/>
          <w:rtl/>
        </w:rPr>
        <w:t>(15.5.24)).</w:t>
      </w:r>
    </w:p>
    <w:p w14:paraId="093D1AB5" w14:textId="77777777" w:rsidR="00D94ECC" w:rsidRPr="00D14DBF" w:rsidRDefault="00D94ECC" w:rsidP="00D94ECC">
      <w:pPr>
        <w:spacing w:line="360" w:lineRule="auto"/>
        <w:jc w:val="both"/>
        <w:rPr>
          <w:rFonts w:ascii="Arial" w:hAnsi="Arial"/>
          <w:rtl/>
        </w:rPr>
      </w:pPr>
    </w:p>
    <w:p w14:paraId="08364E3A" w14:textId="77777777" w:rsidR="00D94ECC" w:rsidRPr="00D14DBF" w:rsidRDefault="00D94ECC" w:rsidP="00D94ECC">
      <w:pPr>
        <w:pStyle w:val="af"/>
        <w:numPr>
          <w:ilvl w:val="0"/>
          <w:numId w:val="3"/>
        </w:numPr>
        <w:spacing w:line="360" w:lineRule="auto"/>
        <w:jc w:val="both"/>
        <w:rPr>
          <w:rFonts w:ascii="Arial" w:hAnsi="Arial"/>
          <w:rtl/>
        </w:rPr>
      </w:pPr>
      <w:r w:rsidRPr="00D14DBF">
        <w:rPr>
          <w:rFonts w:ascii="Arial" w:hAnsi="Arial" w:hint="cs"/>
          <w:rtl/>
        </w:rPr>
        <w:t>עוד פורט שבחלק מהמקרים הורשעו נאשמים 1 ו-2 בעבירות של מעשי טרור אשר מהווה נסיבה מחמירה באופן אינהרנטי (</w:t>
      </w:r>
      <w:hyperlink r:id="rId106" w:history="1">
        <w:r w:rsidR="00AB0E4D" w:rsidRPr="00AB0E4D">
          <w:rPr>
            <w:rFonts w:ascii="Arial" w:hAnsi="Arial"/>
            <w:color w:val="0000FF"/>
            <w:u w:val="single"/>
            <w:rtl/>
          </w:rPr>
          <w:t>ע"פ 1466/20</w:t>
        </w:r>
      </w:hyperlink>
      <w:r w:rsidRPr="00D14DBF">
        <w:rPr>
          <w:rFonts w:ascii="Arial" w:hAnsi="Arial" w:hint="cs"/>
          <w:rtl/>
        </w:rPr>
        <w:t xml:space="preserve"> </w:t>
      </w:r>
      <w:r w:rsidRPr="00D14DBF">
        <w:rPr>
          <w:rFonts w:ascii="Arial" w:hAnsi="Arial" w:hint="cs"/>
          <w:b/>
          <w:bCs/>
          <w:rtl/>
        </w:rPr>
        <w:t xml:space="preserve">מדינת ישראל נ' פלוני </w:t>
      </w:r>
      <w:r w:rsidRPr="00D14DBF">
        <w:rPr>
          <w:rFonts w:ascii="Arial" w:hAnsi="Arial" w:hint="cs"/>
          <w:rtl/>
        </w:rPr>
        <w:t xml:space="preserve">(22.7.20)). </w:t>
      </w:r>
    </w:p>
    <w:p w14:paraId="2663AA97" w14:textId="77777777" w:rsidR="00D94ECC" w:rsidRDefault="00D94ECC" w:rsidP="00D94ECC">
      <w:pPr>
        <w:spacing w:line="360" w:lineRule="auto"/>
        <w:jc w:val="both"/>
        <w:rPr>
          <w:rFonts w:ascii="Arial" w:hAnsi="Arial"/>
          <w:rtl/>
        </w:rPr>
      </w:pPr>
    </w:p>
    <w:p w14:paraId="58941A14" w14:textId="77777777" w:rsidR="00D94ECC" w:rsidRPr="00D14DBF" w:rsidRDefault="00D94ECC" w:rsidP="00D94ECC">
      <w:pPr>
        <w:pStyle w:val="af"/>
        <w:numPr>
          <w:ilvl w:val="0"/>
          <w:numId w:val="3"/>
        </w:numPr>
        <w:spacing w:line="360" w:lineRule="auto"/>
        <w:jc w:val="both"/>
        <w:rPr>
          <w:rFonts w:ascii="Arial" w:hAnsi="Arial"/>
          <w:rtl/>
        </w:rPr>
      </w:pPr>
      <w:r w:rsidRPr="00D14DBF">
        <w:rPr>
          <w:rFonts w:ascii="Arial" w:hAnsi="Arial" w:hint="cs"/>
          <w:rtl/>
        </w:rPr>
        <w:t>נטען שהמעשים בהם הורשעו הנאשמים הינם בעלי חומרה מיוחדת כיוון שיש בהם כדי לערער את מאזן החיים המשותפים העדין והשברירי ולהעמיק את האיבה בין הקבוצות השונות החיות במדינה ולערער סדרי משטר ונטען כי "</w:t>
      </w:r>
      <w:r w:rsidRPr="00D14DBF">
        <w:rPr>
          <w:rFonts w:ascii="Arial" w:hAnsi="Arial" w:hint="cs"/>
          <w:b/>
          <w:bCs/>
          <w:rtl/>
        </w:rPr>
        <w:t>ראוי אפוא שמתחם הענישה, ועונשם של הנאשמים בתוכו, יתן ביטוי גם לפגיעה המשמעותית בערכים חברתיים אלה</w:t>
      </w:r>
      <w:r w:rsidRPr="00D14DBF">
        <w:rPr>
          <w:rFonts w:ascii="Arial" w:hAnsi="Arial" w:hint="cs"/>
          <w:rtl/>
        </w:rPr>
        <w:t>". (</w:t>
      </w:r>
      <w:hyperlink r:id="rId107" w:history="1">
        <w:r w:rsidR="00AB0E4D" w:rsidRPr="00AB0E4D">
          <w:rPr>
            <w:rFonts w:ascii="Arial" w:hAnsi="Arial"/>
            <w:color w:val="0000FF"/>
            <w:u w:val="single"/>
            <w:rtl/>
          </w:rPr>
          <w:t>ע"פ 5794/15</w:t>
        </w:r>
      </w:hyperlink>
      <w:r w:rsidRPr="00D14DBF">
        <w:rPr>
          <w:rFonts w:ascii="Arial" w:hAnsi="Arial" w:hint="cs"/>
          <w:rtl/>
        </w:rPr>
        <w:t xml:space="preserve"> </w:t>
      </w:r>
      <w:r w:rsidRPr="00D14DBF">
        <w:rPr>
          <w:rFonts w:ascii="Arial" w:hAnsi="Arial" w:hint="cs"/>
          <w:b/>
          <w:bCs/>
          <w:rtl/>
        </w:rPr>
        <w:t>מדינת ישראל נ' שלמה טויטו</w:t>
      </w:r>
      <w:r w:rsidRPr="00D14DBF">
        <w:rPr>
          <w:rFonts w:ascii="Arial" w:hAnsi="Arial" w:hint="cs"/>
          <w:rtl/>
        </w:rPr>
        <w:t xml:space="preserve"> (31.1.16)). </w:t>
      </w:r>
    </w:p>
    <w:p w14:paraId="44B94616" w14:textId="77777777" w:rsidR="00D94ECC" w:rsidRDefault="00D94ECC" w:rsidP="00D94ECC">
      <w:pPr>
        <w:spacing w:line="360" w:lineRule="auto"/>
        <w:jc w:val="both"/>
        <w:rPr>
          <w:rFonts w:ascii="Arial" w:hAnsi="Arial"/>
          <w:rtl/>
        </w:rPr>
      </w:pPr>
    </w:p>
    <w:p w14:paraId="12C28526" w14:textId="77777777" w:rsidR="00D94ECC" w:rsidRPr="00D14DBF" w:rsidRDefault="00D94ECC" w:rsidP="00D94ECC">
      <w:pPr>
        <w:pStyle w:val="af"/>
        <w:numPr>
          <w:ilvl w:val="0"/>
          <w:numId w:val="3"/>
        </w:numPr>
        <w:spacing w:line="360" w:lineRule="auto"/>
        <w:jc w:val="both"/>
        <w:rPr>
          <w:rFonts w:ascii="Arial" w:hAnsi="Arial"/>
        </w:rPr>
      </w:pPr>
      <w:r w:rsidRPr="00D14DBF">
        <w:rPr>
          <w:rFonts w:ascii="Arial" w:hAnsi="Arial" w:hint="cs"/>
          <w:rtl/>
        </w:rPr>
        <w:t xml:space="preserve">המדינה טענה שהמעשים שבוצעו על ידי הנאשמים גורמים לפגיעה חברתית נרחבת הרבה מעבר לפגיעה הגלומה במעשים עצמם. </w:t>
      </w:r>
    </w:p>
    <w:p w14:paraId="4B7ABD66" w14:textId="77777777" w:rsidR="00D94ECC" w:rsidRDefault="00D94ECC" w:rsidP="00D94ECC">
      <w:pPr>
        <w:spacing w:line="360" w:lineRule="auto"/>
        <w:jc w:val="both"/>
        <w:rPr>
          <w:rFonts w:ascii="Arial" w:hAnsi="Arial"/>
        </w:rPr>
      </w:pPr>
    </w:p>
    <w:p w14:paraId="3EC0CD8B" w14:textId="77777777" w:rsidR="00D94ECC" w:rsidRPr="00D14DBF" w:rsidRDefault="00D94ECC" w:rsidP="00D94ECC">
      <w:pPr>
        <w:pStyle w:val="af"/>
        <w:numPr>
          <w:ilvl w:val="0"/>
          <w:numId w:val="3"/>
        </w:numPr>
        <w:spacing w:line="360" w:lineRule="auto"/>
        <w:jc w:val="both"/>
        <w:rPr>
          <w:rFonts w:ascii="Arial" w:hAnsi="Arial"/>
          <w:rtl/>
        </w:rPr>
      </w:pPr>
      <w:r w:rsidRPr="00D14DBF">
        <w:rPr>
          <w:rFonts w:ascii="Arial" w:hAnsi="Arial" w:hint="cs"/>
          <w:rtl/>
        </w:rPr>
        <w:t xml:space="preserve">נטען שפגיעה בערכים המוגנים שונה ביחס לכל אחד מהנאשמים. ביחס לנאשמים 1 ו-2 נטען שמעשה הירי כלפי שוטרים מקים פגיעה ברמה הגבוהה ביותר. וכך גם יידוי בקת"בים כלפי שוטרים והצתת אכסניית אנ"א ויתר העסקים </w:t>
      </w:r>
      <w:r w:rsidRPr="00D14DBF">
        <w:rPr>
          <w:rFonts w:ascii="Arial" w:hAnsi="Arial"/>
          <w:rtl/>
        </w:rPr>
        <w:t>–</w:t>
      </w:r>
      <w:r w:rsidRPr="00D14DBF">
        <w:rPr>
          <w:rFonts w:ascii="Arial" w:hAnsi="Arial" w:hint="cs"/>
          <w:rtl/>
        </w:rPr>
        <w:t xml:space="preserve"> כל זאת ע"י נאשם 1. לצד זאת, עבירות הנשק שבוצעו ע"י נאשם 3 חמורות מאוד אך פחות מהעבירות שביצעו נאשמים 1 ו-2. </w:t>
      </w:r>
    </w:p>
    <w:p w14:paraId="059A1F06" w14:textId="77777777" w:rsidR="00D94ECC" w:rsidRDefault="00D94ECC" w:rsidP="00D94ECC">
      <w:pPr>
        <w:spacing w:line="360" w:lineRule="auto"/>
        <w:jc w:val="both"/>
        <w:rPr>
          <w:rFonts w:ascii="Arial" w:hAnsi="Arial"/>
          <w:rtl/>
        </w:rPr>
      </w:pPr>
    </w:p>
    <w:p w14:paraId="04A4CE46" w14:textId="77777777" w:rsidR="00D94ECC" w:rsidRPr="00D14DBF" w:rsidRDefault="00D94ECC" w:rsidP="00D94ECC">
      <w:pPr>
        <w:pStyle w:val="af"/>
        <w:numPr>
          <w:ilvl w:val="0"/>
          <w:numId w:val="3"/>
        </w:numPr>
        <w:spacing w:line="360" w:lineRule="auto"/>
        <w:jc w:val="both"/>
        <w:rPr>
          <w:rFonts w:ascii="Arial" w:hAnsi="Arial"/>
          <w:rtl/>
        </w:rPr>
      </w:pPr>
      <w:r w:rsidRPr="00D14DBF">
        <w:rPr>
          <w:rFonts w:ascii="Arial" w:hAnsi="Arial" w:hint="cs"/>
          <w:rtl/>
        </w:rPr>
        <w:t>באשר לנסיבות הקשורות בביצוע העבירה,  נטען שהתקיים תכנון משמעותי ביחס למעשים שבוצעו ע"י הנאשמים שהורכבו ממספר חוליות אשר הנאשמים יכלו להפסיק לבצעם בכל שלב. נטען שהבחירה להמשיך את המעשים מלמדת על תכנון. חומרה מיוחדת בעניין זה יוחסה לנאשם 1, שכן מעשיו כללו עבירות חמורות מאוד כבר בלילה הראשון והמשכם למחרת.</w:t>
      </w:r>
    </w:p>
    <w:p w14:paraId="418A0389" w14:textId="77777777" w:rsidR="00D94ECC" w:rsidRDefault="00D94ECC" w:rsidP="00D94ECC">
      <w:pPr>
        <w:spacing w:line="360" w:lineRule="auto"/>
        <w:jc w:val="both"/>
        <w:rPr>
          <w:rFonts w:ascii="Arial" w:hAnsi="Arial"/>
          <w:rtl/>
        </w:rPr>
      </w:pPr>
    </w:p>
    <w:p w14:paraId="66B669C5" w14:textId="77777777" w:rsidR="00D94ECC" w:rsidRPr="00D14DBF" w:rsidRDefault="00D94ECC" w:rsidP="00D94ECC">
      <w:pPr>
        <w:pStyle w:val="af"/>
        <w:numPr>
          <w:ilvl w:val="0"/>
          <w:numId w:val="3"/>
        </w:numPr>
        <w:spacing w:line="360" w:lineRule="auto"/>
        <w:jc w:val="both"/>
        <w:rPr>
          <w:rFonts w:ascii="Arial" w:hAnsi="Arial"/>
          <w:rtl/>
        </w:rPr>
      </w:pPr>
      <w:r w:rsidRPr="00D14DBF">
        <w:rPr>
          <w:rFonts w:ascii="Arial" w:hAnsi="Arial" w:hint="cs"/>
          <w:rtl/>
        </w:rPr>
        <w:t xml:space="preserve">באשר לנאשם 2, צוין שהוא החזיק באופן מתמשך בנשק משך שנים רבות, ומעבר לכך בליל האירוע הוא נטל את הנשק ממקום מחבוא, החזיקו על גופו והציע לנאשם 1 להצטרף ולבצע יחד את פיגוע הירי. כל זה מעיד על תכנון מוקדם, כמו גם שרשרת האירועים שלאחר מכן שכללה ירי, נסיגה לצורך התחמשות, התחמשות, הגעה נוספת לאזור מסגד אלג'זאר, הירי של הנאשם 1 ולאחר פציעתו של נאשם 1 הירי הנוסף שביצע נאשם 2 שהתכוון לפגוע בשוטרים. </w:t>
      </w:r>
    </w:p>
    <w:p w14:paraId="7F04A3F2" w14:textId="77777777" w:rsidR="00D94ECC" w:rsidRDefault="00D94ECC" w:rsidP="00D94ECC">
      <w:pPr>
        <w:spacing w:line="360" w:lineRule="auto"/>
        <w:jc w:val="both"/>
        <w:rPr>
          <w:rFonts w:ascii="Arial" w:hAnsi="Arial"/>
          <w:rtl/>
        </w:rPr>
      </w:pPr>
    </w:p>
    <w:p w14:paraId="70128501" w14:textId="77777777" w:rsidR="00D94ECC" w:rsidRPr="00F34C6F" w:rsidRDefault="00D94ECC" w:rsidP="00D94ECC">
      <w:pPr>
        <w:pStyle w:val="af"/>
        <w:numPr>
          <w:ilvl w:val="0"/>
          <w:numId w:val="3"/>
        </w:numPr>
        <w:spacing w:line="360" w:lineRule="auto"/>
        <w:jc w:val="both"/>
        <w:rPr>
          <w:rFonts w:ascii="Arial" w:hAnsi="Arial"/>
          <w:rtl/>
        </w:rPr>
      </w:pPr>
      <w:r w:rsidRPr="00F34C6F">
        <w:rPr>
          <w:rFonts w:ascii="Arial" w:hAnsi="Arial" w:hint="cs"/>
          <w:rtl/>
        </w:rPr>
        <w:t xml:space="preserve">ביחס לנאשם 3, נטען שגם הוא היה חמוש באותו ערב והתחמש מבעוד מועד וגם הוא המשיך למעשה את אירועי הירי הקודמים ועל כן לא ניתן לראות את מעשיו כתגובה רגעית בלבד. </w:t>
      </w:r>
    </w:p>
    <w:p w14:paraId="11856E94" w14:textId="77777777" w:rsidR="00D94ECC" w:rsidRDefault="00D94ECC" w:rsidP="00D94ECC">
      <w:pPr>
        <w:spacing w:line="360" w:lineRule="auto"/>
        <w:jc w:val="both"/>
        <w:rPr>
          <w:rFonts w:ascii="Arial" w:hAnsi="Arial"/>
          <w:rtl/>
        </w:rPr>
      </w:pPr>
    </w:p>
    <w:p w14:paraId="46EFD6F1" w14:textId="77777777" w:rsidR="00D94ECC" w:rsidRPr="00F34C6F" w:rsidRDefault="00D94ECC" w:rsidP="00D94ECC">
      <w:pPr>
        <w:pStyle w:val="af"/>
        <w:numPr>
          <w:ilvl w:val="0"/>
          <w:numId w:val="3"/>
        </w:numPr>
        <w:spacing w:line="360" w:lineRule="auto"/>
        <w:jc w:val="both"/>
        <w:rPr>
          <w:rFonts w:ascii="Arial" w:hAnsi="Arial"/>
          <w:rtl/>
        </w:rPr>
      </w:pPr>
      <w:r w:rsidRPr="00F34C6F">
        <w:rPr>
          <w:rFonts w:ascii="Arial" w:hAnsi="Arial" w:hint="cs"/>
          <w:rtl/>
        </w:rPr>
        <w:t xml:space="preserve">ביחס לחלקם היחסי של הנאשמים בביצוע העבירות, נטען שכל אחד לפי חלקו היה מלא ולא היה אשם תורם מצד מי מהקורבנות. בעניין זה המדינה ביקשה לא לקבל טענה של היגררות אחרי העדר באופן שמקל על מידת האשמה. נטען שמדובר בנסיבה לחומרה ולא לקולא. עוד נטען שרוב רובם המכריע של המתפרעים לא ביצעו ירי. כך נטען שהנאשמים כאן היו אלה שהנהיגו והובילו את המעשים החמורים בהתפרעויות וגרמו להפרת הסדר שכללה שימוש באבנים וזיקוקים ומעשים שכללו פיגוע ירי מנשק חם אל עבר כוחות הביטחון. </w:t>
      </w:r>
    </w:p>
    <w:p w14:paraId="7A15B7B6" w14:textId="77777777" w:rsidR="00D94ECC" w:rsidRDefault="00D94ECC" w:rsidP="00D94ECC">
      <w:pPr>
        <w:spacing w:line="360" w:lineRule="auto"/>
        <w:jc w:val="both"/>
        <w:rPr>
          <w:rFonts w:ascii="Arial" w:hAnsi="Arial"/>
          <w:rtl/>
        </w:rPr>
      </w:pPr>
    </w:p>
    <w:p w14:paraId="2E35AAFE" w14:textId="77777777" w:rsidR="00D94ECC" w:rsidRPr="00F34C6F" w:rsidRDefault="00D94ECC" w:rsidP="00D94ECC">
      <w:pPr>
        <w:pStyle w:val="af"/>
        <w:numPr>
          <w:ilvl w:val="0"/>
          <w:numId w:val="3"/>
        </w:numPr>
        <w:spacing w:line="360" w:lineRule="auto"/>
        <w:jc w:val="both"/>
        <w:rPr>
          <w:rFonts w:ascii="Arial" w:hAnsi="Arial"/>
          <w:rtl/>
        </w:rPr>
      </w:pPr>
      <w:r w:rsidRPr="00F34C6F">
        <w:rPr>
          <w:rFonts w:ascii="Arial" w:hAnsi="Arial" w:hint="cs"/>
          <w:rtl/>
        </w:rPr>
        <w:t xml:space="preserve">באשר לנזק שנגרם, נטען שנזקי הרכוש ניתנים לכימות אך שנגרמו גם מעגלי נזק רחבים יותר שפגעו ביחסי השכנות והשותפות בין הקהילות השונות בעכו. </w:t>
      </w:r>
    </w:p>
    <w:p w14:paraId="5BED9F13" w14:textId="77777777" w:rsidR="00D94ECC" w:rsidRDefault="00D94ECC" w:rsidP="00D94ECC">
      <w:pPr>
        <w:spacing w:line="360" w:lineRule="auto"/>
        <w:jc w:val="both"/>
        <w:rPr>
          <w:rFonts w:ascii="Arial" w:hAnsi="Arial"/>
          <w:rtl/>
        </w:rPr>
      </w:pPr>
    </w:p>
    <w:p w14:paraId="45FC7CB6" w14:textId="77777777" w:rsidR="00D94ECC" w:rsidRPr="00F34C6F" w:rsidRDefault="00D94ECC" w:rsidP="00D94ECC">
      <w:pPr>
        <w:pStyle w:val="af"/>
        <w:numPr>
          <w:ilvl w:val="0"/>
          <w:numId w:val="3"/>
        </w:numPr>
        <w:spacing w:line="360" w:lineRule="auto"/>
        <w:jc w:val="both"/>
        <w:rPr>
          <w:rFonts w:ascii="Arial" w:hAnsi="Arial"/>
          <w:rtl/>
        </w:rPr>
      </w:pPr>
      <w:r w:rsidRPr="00F34C6F">
        <w:rPr>
          <w:rFonts w:ascii="Arial" w:hAnsi="Arial" w:hint="cs"/>
          <w:rtl/>
        </w:rPr>
        <w:t>באשר למדיניות הענישה הנהוגה צוינו המקרים הבאים:</w:t>
      </w:r>
    </w:p>
    <w:p w14:paraId="02491FAC" w14:textId="77777777" w:rsidR="00D94ECC" w:rsidRDefault="00D94ECC" w:rsidP="00D94ECC">
      <w:pPr>
        <w:spacing w:line="360" w:lineRule="auto"/>
        <w:jc w:val="both"/>
        <w:rPr>
          <w:rFonts w:ascii="Arial" w:hAnsi="Arial"/>
          <w:rtl/>
        </w:rPr>
      </w:pPr>
    </w:p>
    <w:p w14:paraId="4A50BCE3" w14:textId="77777777" w:rsidR="00D94ECC" w:rsidRPr="00F34C6F" w:rsidRDefault="00AB0E4D" w:rsidP="00D94ECC">
      <w:pPr>
        <w:pStyle w:val="af"/>
        <w:numPr>
          <w:ilvl w:val="0"/>
          <w:numId w:val="8"/>
        </w:numPr>
        <w:spacing w:line="360" w:lineRule="auto"/>
        <w:jc w:val="both"/>
        <w:rPr>
          <w:rFonts w:ascii="Arial" w:hAnsi="Arial"/>
          <w:rtl/>
        </w:rPr>
      </w:pPr>
      <w:hyperlink r:id="rId108" w:history="1">
        <w:r w:rsidRPr="00AB0E4D">
          <w:rPr>
            <w:rFonts w:ascii="Arial" w:hAnsi="Arial"/>
            <w:color w:val="0000FF"/>
            <w:u w:val="single"/>
            <w:rtl/>
          </w:rPr>
          <w:t>ע"פ 6106/23</w:t>
        </w:r>
      </w:hyperlink>
      <w:r w:rsidR="00D94ECC" w:rsidRPr="00F34C6F">
        <w:rPr>
          <w:rFonts w:ascii="Arial" w:hAnsi="Arial" w:hint="cs"/>
          <w:rtl/>
        </w:rPr>
        <w:t xml:space="preserve"> </w:t>
      </w:r>
      <w:r w:rsidR="00D94ECC" w:rsidRPr="00F34C6F">
        <w:rPr>
          <w:rFonts w:ascii="Arial" w:hAnsi="Arial" w:hint="cs"/>
          <w:b/>
          <w:bCs/>
          <w:rtl/>
        </w:rPr>
        <w:t>שחאדה עמראני נ' מדינת ישראל</w:t>
      </w:r>
      <w:r w:rsidR="00D94ECC" w:rsidRPr="00F34C6F">
        <w:rPr>
          <w:rFonts w:ascii="Arial" w:hAnsi="Arial" w:hint="cs"/>
          <w:rtl/>
        </w:rPr>
        <w:t xml:space="preserve"> (15.5.24), נאשם שהורשע במסגרת התפרעות וחסימת כביש אלימה. במהלך מבצע שומר חומות הוא יידה שתי אבנים ממרחק של מטרים ספורים אל עבר ניידת משטרה. הורשע בהתפרעות, מעשי פזיזות ורשלנות, יידוי אבן לעבר כלי תחבורה והפרעה לשוטר במילוי תפקידו, וחבלה במזיד ברכב. ערעורו על העונש נדחה ואושר גזר הדין של הערכאה הדיונית שקבע מתחם בין 27-50 חודשי מאסר. בסוף הוטלו 38 חודשי מאסר. </w:t>
      </w:r>
    </w:p>
    <w:p w14:paraId="166B1B2C" w14:textId="77777777" w:rsidR="00D94ECC" w:rsidRDefault="00D94ECC" w:rsidP="00D94ECC">
      <w:pPr>
        <w:spacing w:line="360" w:lineRule="auto"/>
        <w:jc w:val="both"/>
        <w:rPr>
          <w:rFonts w:ascii="Arial" w:hAnsi="Arial"/>
          <w:rtl/>
        </w:rPr>
      </w:pPr>
    </w:p>
    <w:p w14:paraId="25FE3523" w14:textId="77777777" w:rsidR="00D94ECC" w:rsidRPr="00F34C6F" w:rsidRDefault="00AB0E4D" w:rsidP="00D94ECC">
      <w:pPr>
        <w:pStyle w:val="af"/>
        <w:numPr>
          <w:ilvl w:val="0"/>
          <w:numId w:val="8"/>
        </w:numPr>
        <w:spacing w:line="360" w:lineRule="auto"/>
        <w:jc w:val="both"/>
        <w:rPr>
          <w:rFonts w:ascii="Arial" w:hAnsi="Arial"/>
          <w:rtl/>
        </w:rPr>
      </w:pPr>
      <w:hyperlink r:id="rId109" w:history="1">
        <w:r w:rsidRPr="00AB0E4D">
          <w:rPr>
            <w:rFonts w:ascii="Arial" w:hAnsi="Arial"/>
            <w:color w:val="0000FF"/>
            <w:u w:val="single"/>
            <w:rtl/>
          </w:rPr>
          <w:t>ע"פ 3982/22</w:t>
        </w:r>
      </w:hyperlink>
      <w:r w:rsidR="00D94ECC" w:rsidRPr="00F34C6F">
        <w:rPr>
          <w:rFonts w:ascii="Arial" w:hAnsi="Arial" w:hint="cs"/>
          <w:rtl/>
        </w:rPr>
        <w:t xml:space="preserve"> </w:t>
      </w:r>
      <w:r w:rsidR="00D94ECC" w:rsidRPr="00F34C6F">
        <w:rPr>
          <w:rFonts w:ascii="Arial" w:hAnsi="Arial" w:hint="cs"/>
          <w:b/>
          <w:bCs/>
          <w:rtl/>
        </w:rPr>
        <w:t>מדינת ישראל נ' מוחמד חג'וג'</w:t>
      </w:r>
      <w:r w:rsidR="00D94ECC" w:rsidRPr="00F34C6F">
        <w:rPr>
          <w:rFonts w:ascii="Arial" w:hAnsi="Arial" w:hint="cs"/>
          <w:rtl/>
        </w:rPr>
        <w:t xml:space="preserve"> (27.10.22); נאשם שהשתתף בהתפרעות במסגרת אירועי שומר חומות בעיר עכו הורשע בהשתתפות בהתפרעות במסגד אלג'זאר בהן הוא השליך מספר אבנים. נקבע מתחם ענישה שבין 15 </w:t>
      </w:r>
      <w:r w:rsidR="00D94ECC" w:rsidRPr="00F34C6F">
        <w:rPr>
          <w:rFonts w:ascii="Arial" w:hAnsi="Arial"/>
          <w:rtl/>
        </w:rPr>
        <w:t>–</w:t>
      </w:r>
      <w:r w:rsidR="00D94ECC" w:rsidRPr="00F34C6F">
        <w:rPr>
          <w:rFonts w:ascii="Arial" w:hAnsi="Arial" w:hint="cs"/>
          <w:rtl/>
        </w:rPr>
        <w:t xml:space="preserve"> 24 חודשי מאסר. בשאר האישומים יוחסו לו היזק בזדון ממניע גזעני, הסגת גבול ועבירות נוספות ב- 4 מקרים בהם הוא פגע בסירה, במלון, בחנות תבלינים וכיו"ב. בגין מעשים אלו נקבע מתחם שבין 28 </w:t>
      </w:r>
      <w:r w:rsidR="00D94ECC" w:rsidRPr="00F34C6F">
        <w:rPr>
          <w:rFonts w:ascii="Arial" w:hAnsi="Arial"/>
          <w:rtl/>
        </w:rPr>
        <w:t>–</w:t>
      </w:r>
      <w:r w:rsidR="00D94ECC" w:rsidRPr="00F34C6F">
        <w:rPr>
          <w:rFonts w:ascii="Arial" w:hAnsi="Arial" w:hint="cs"/>
          <w:rtl/>
        </w:rPr>
        <w:t xml:space="preserve"> 54 חודשי מאסר. בסופו של דבר הוטלו עליו 35 חודשי מאסר. התקבל ערעור המדינה על קולת העונש שהוחמר ל-47 חודשי מאסר. </w:t>
      </w:r>
    </w:p>
    <w:p w14:paraId="24494480" w14:textId="77777777" w:rsidR="00D94ECC" w:rsidRDefault="00D94ECC" w:rsidP="00D94ECC">
      <w:pPr>
        <w:spacing w:line="360" w:lineRule="auto"/>
        <w:jc w:val="both"/>
        <w:rPr>
          <w:rFonts w:ascii="Arial" w:hAnsi="Arial"/>
          <w:rtl/>
        </w:rPr>
      </w:pPr>
    </w:p>
    <w:p w14:paraId="29D5B29A" w14:textId="77777777" w:rsidR="00D94ECC" w:rsidRPr="00F34C6F" w:rsidRDefault="00AB0E4D" w:rsidP="00D94ECC">
      <w:pPr>
        <w:pStyle w:val="af"/>
        <w:numPr>
          <w:ilvl w:val="0"/>
          <w:numId w:val="8"/>
        </w:numPr>
        <w:spacing w:line="360" w:lineRule="auto"/>
        <w:jc w:val="both"/>
        <w:rPr>
          <w:rFonts w:ascii="Arial" w:hAnsi="Arial"/>
          <w:rtl/>
        </w:rPr>
      </w:pPr>
      <w:hyperlink r:id="rId110" w:history="1">
        <w:r w:rsidRPr="00AB0E4D">
          <w:rPr>
            <w:rFonts w:ascii="Arial" w:hAnsi="Arial"/>
            <w:color w:val="0000FF"/>
            <w:u w:val="single"/>
            <w:rtl/>
          </w:rPr>
          <w:t>ע"פ 901/22</w:t>
        </w:r>
      </w:hyperlink>
      <w:r w:rsidR="00D94ECC" w:rsidRPr="00F34C6F">
        <w:rPr>
          <w:rFonts w:ascii="Arial" w:hAnsi="Arial" w:hint="cs"/>
          <w:rtl/>
        </w:rPr>
        <w:t xml:space="preserve"> </w:t>
      </w:r>
      <w:r w:rsidR="00D94ECC" w:rsidRPr="00F34C6F">
        <w:rPr>
          <w:rFonts w:ascii="Arial" w:hAnsi="Arial" w:hint="cs"/>
          <w:b/>
          <w:bCs/>
          <w:rtl/>
        </w:rPr>
        <w:t>מדינת ישראל נ'</w:t>
      </w:r>
      <w:r w:rsidR="00D94ECC" w:rsidRPr="00F34C6F">
        <w:rPr>
          <w:rFonts w:ascii="Arial" w:hAnsi="Arial" w:hint="cs"/>
          <w:rtl/>
        </w:rPr>
        <w:t xml:space="preserve"> </w:t>
      </w:r>
      <w:r w:rsidR="00D94ECC" w:rsidRPr="00F34C6F">
        <w:rPr>
          <w:rFonts w:ascii="Arial" w:hAnsi="Arial" w:hint="cs"/>
          <w:b/>
          <w:bCs/>
          <w:rtl/>
        </w:rPr>
        <w:t>מוחמד אסווד</w:t>
      </w:r>
      <w:r w:rsidR="00D94ECC" w:rsidRPr="00F34C6F">
        <w:rPr>
          <w:rFonts w:ascii="Arial" w:hAnsi="Arial" w:hint="cs"/>
          <w:rtl/>
        </w:rPr>
        <w:t xml:space="preserve">(24.2.22), לנאשם יוחס במסגרת באישום ראשון שהצטרף לאירועים בתוך מלון בבעלות יהודי וביחד עם אחרים זרע הרס למשך כדקה. באישום נוסף הוא השתתף בהתפרעות אך לא יידה בפועל אבנים. הערכאה הדיונית קבעה מתחם ענישה בין 10 </w:t>
      </w:r>
      <w:r w:rsidR="00D94ECC" w:rsidRPr="00F34C6F">
        <w:rPr>
          <w:rFonts w:ascii="Arial" w:hAnsi="Arial"/>
          <w:rtl/>
        </w:rPr>
        <w:t>–</w:t>
      </w:r>
      <w:r w:rsidR="00D94ECC" w:rsidRPr="00F34C6F">
        <w:rPr>
          <w:rFonts w:ascii="Arial" w:hAnsi="Arial" w:hint="cs"/>
          <w:rtl/>
        </w:rPr>
        <w:t xml:space="preserve"> 45 חודשי מאסר באישום הראשון ובגין האישום השני בין מאסר על תנאי ל-8 חודשים ובסופו של דבר הוטלו 12 חודשי מאסר. בית המשפט העליון קיבל ערעור המדינה על קולת העונש והוטלו 22 חודשי מאסר. </w:t>
      </w:r>
    </w:p>
    <w:p w14:paraId="06317818" w14:textId="77777777" w:rsidR="00D94ECC" w:rsidRPr="00D51830" w:rsidRDefault="00D94ECC" w:rsidP="00D94ECC">
      <w:pPr>
        <w:spacing w:line="360" w:lineRule="auto"/>
        <w:jc w:val="both"/>
        <w:rPr>
          <w:rFonts w:ascii="Arial" w:hAnsi="Arial"/>
          <w:rtl/>
        </w:rPr>
      </w:pPr>
    </w:p>
    <w:p w14:paraId="32D8E266" w14:textId="77777777" w:rsidR="00D94ECC" w:rsidRPr="00F34C6F" w:rsidRDefault="00AB0E4D" w:rsidP="00D94ECC">
      <w:pPr>
        <w:pStyle w:val="af"/>
        <w:numPr>
          <w:ilvl w:val="0"/>
          <w:numId w:val="8"/>
        </w:numPr>
        <w:spacing w:line="360" w:lineRule="auto"/>
        <w:jc w:val="both"/>
        <w:rPr>
          <w:rFonts w:ascii="Arial" w:hAnsi="Arial"/>
          <w:rtl/>
        </w:rPr>
      </w:pPr>
      <w:hyperlink r:id="rId111" w:history="1">
        <w:r w:rsidRPr="00AB0E4D">
          <w:rPr>
            <w:rFonts w:ascii="Arial" w:hAnsi="Arial"/>
            <w:color w:val="0000FF"/>
            <w:u w:val="single"/>
            <w:rtl/>
          </w:rPr>
          <w:t>ע"פ 3245/23</w:t>
        </w:r>
      </w:hyperlink>
      <w:r w:rsidR="00D94ECC" w:rsidRPr="00F34C6F">
        <w:rPr>
          <w:rFonts w:ascii="Arial" w:hAnsi="Arial" w:hint="cs"/>
          <w:rtl/>
        </w:rPr>
        <w:t xml:space="preserve"> </w:t>
      </w:r>
      <w:r w:rsidR="00D94ECC" w:rsidRPr="00F34C6F">
        <w:rPr>
          <w:rFonts w:ascii="Arial" w:hAnsi="Arial" w:hint="cs"/>
          <w:b/>
          <w:bCs/>
          <w:rtl/>
        </w:rPr>
        <w:t xml:space="preserve">מדינת ישראל נ' פואד מאדי </w:t>
      </w:r>
      <w:r w:rsidR="00D94ECC" w:rsidRPr="00F34C6F">
        <w:rPr>
          <w:rFonts w:ascii="Arial" w:hAnsi="Arial" w:hint="cs"/>
          <w:rtl/>
        </w:rPr>
        <w:t xml:space="preserve">(1.10.23); נאשם שהורשע בשני אישומים: בראשון בגין יידוי אבנים במהלך התפרעות הוא הורשע בהתפרעות והפרעה לשוטר, באישום השני בו השליך בקת"ב על מלון האפנדי שכבר בער הורשע במעשה טרור של הצתה ופעולה בנשק למטרות טרור. הערכאה הדיונית קבעה מתחם שבין 8 </w:t>
      </w:r>
      <w:r w:rsidR="00D94ECC" w:rsidRPr="00F34C6F">
        <w:rPr>
          <w:rFonts w:ascii="Arial" w:hAnsi="Arial"/>
          <w:rtl/>
        </w:rPr>
        <w:t>–</w:t>
      </w:r>
      <w:r w:rsidR="00D94ECC" w:rsidRPr="00F34C6F">
        <w:rPr>
          <w:rFonts w:ascii="Arial" w:hAnsi="Arial" w:hint="cs"/>
          <w:rtl/>
        </w:rPr>
        <w:t xml:space="preserve"> 20 חודשי מאסר באישום הראשון ו-30 </w:t>
      </w:r>
      <w:r w:rsidR="00D94ECC" w:rsidRPr="00F34C6F">
        <w:rPr>
          <w:rFonts w:ascii="Arial" w:hAnsi="Arial"/>
          <w:rtl/>
        </w:rPr>
        <w:t>–</w:t>
      </w:r>
      <w:r w:rsidR="00D94ECC" w:rsidRPr="00F34C6F">
        <w:rPr>
          <w:rFonts w:ascii="Arial" w:hAnsi="Arial" w:hint="cs"/>
          <w:rtl/>
        </w:rPr>
        <w:t xml:space="preserve"> 60 חודשי בגין האישום השני. בסה"כ הוטלו עליו 51 חודשי מאסר. בערעור הוחמר העונש ל-66 חודשי מאסר. </w:t>
      </w:r>
    </w:p>
    <w:p w14:paraId="457226F1" w14:textId="77777777" w:rsidR="00D94ECC" w:rsidRDefault="00D94ECC" w:rsidP="00D94ECC">
      <w:pPr>
        <w:spacing w:line="360" w:lineRule="auto"/>
        <w:jc w:val="both"/>
        <w:rPr>
          <w:rFonts w:ascii="Arial" w:hAnsi="Arial"/>
          <w:rtl/>
        </w:rPr>
      </w:pPr>
    </w:p>
    <w:p w14:paraId="474CB4C1" w14:textId="77777777" w:rsidR="00D94ECC" w:rsidRPr="00F34C6F" w:rsidRDefault="00D94ECC" w:rsidP="00D94ECC">
      <w:pPr>
        <w:pStyle w:val="af"/>
        <w:numPr>
          <w:ilvl w:val="0"/>
          <w:numId w:val="8"/>
        </w:numPr>
        <w:spacing w:line="360" w:lineRule="auto"/>
        <w:jc w:val="both"/>
        <w:rPr>
          <w:rFonts w:ascii="Arial" w:hAnsi="Arial"/>
          <w:rtl/>
        </w:rPr>
      </w:pPr>
      <w:r w:rsidRPr="00F34C6F">
        <w:rPr>
          <w:rFonts w:ascii="Arial" w:hAnsi="Arial" w:hint="cs"/>
          <w:rtl/>
        </w:rPr>
        <w:t xml:space="preserve">ת"פ 1734-07-21 </w:t>
      </w:r>
      <w:r w:rsidRPr="00F34C6F">
        <w:rPr>
          <w:rFonts w:ascii="Arial" w:hAnsi="Arial" w:hint="cs"/>
          <w:b/>
          <w:bCs/>
          <w:rtl/>
        </w:rPr>
        <w:t>מדינת ישראל נ' עכאוי</w:t>
      </w:r>
      <w:r w:rsidRPr="00F34C6F">
        <w:rPr>
          <w:rFonts w:ascii="Arial" w:hAnsi="Arial" w:hint="cs"/>
          <w:rtl/>
        </w:rPr>
        <w:t xml:space="preserve"> (2.3.23); מספר נאשמים שהשתתפו בהתפרעות במסגד אלג'זאר. על נאשם 1 שהשתתף בהתפרעות אך לא ידה אבנים, נגזרו עליו 33 חודשי מאסר. על נאשם 2 שהתפרץ והשחית את מסעדת אורי בורי וגנב ממנה הוטלו עליו 48 חודשי מאסר. נאשם 3 שהורשע ביידוי אבנים והשחתת חזית מלון אפנדי וגרימת נזק למלון ותקיפת פקח וכניסה ביחד עם עשרות אחרים לחנויות של יהודים ובזיזתן ובאישום נוסף השתתף בהתפרעות וידה אבנים ומסר לאחר תחמושת ואישום נוסף של החזקת תת מקלע מאולתר ותחמושת משך כשנתיים. בגין כל אלה הוטלו עליו 80 חודשי מאסר. נאשם אחר שידה אבנים במסגרת שומר חומות בעכו וחסם כבישים הוטלו עליו 12 חודשי מאסר ועל נאשם אחר שגרם נזק לרכוש במלון אפנדי והורשע בעבירות של התפרעות שסופה נזק, התפרצות והיזק לרכוש ממניע גזעני ובאישום נוסף של תקיפת פקח נגזרו 42 חודשי מאסר. על נאשם נוסף שהורשע בידוי אבנים במסגרת התפרעות באלג'זאר וגרימת נזק למלון אפנדי ואישום נוסף של תקיפת פקח ובזיזת חנויות של יהודים הוטלו 45 חודשי מאסר. </w:t>
      </w:r>
    </w:p>
    <w:p w14:paraId="64BF3BB5" w14:textId="77777777" w:rsidR="00D94ECC" w:rsidRDefault="00D94ECC" w:rsidP="00D94ECC">
      <w:pPr>
        <w:spacing w:line="360" w:lineRule="auto"/>
        <w:jc w:val="both"/>
        <w:rPr>
          <w:rFonts w:ascii="Arial" w:hAnsi="Arial"/>
          <w:rtl/>
        </w:rPr>
      </w:pPr>
    </w:p>
    <w:p w14:paraId="176288AA" w14:textId="77777777" w:rsidR="00D94ECC" w:rsidRPr="00F34C6F" w:rsidRDefault="00D94ECC" w:rsidP="00D94ECC">
      <w:pPr>
        <w:pStyle w:val="af"/>
        <w:numPr>
          <w:ilvl w:val="0"/>
          <w:numId w:val="3"/>
        </w:numPr>
        <w:spacing w:line="360" w:lineRule="auto"/>
        <w:jc w:val="both"/>
        <w:rPr>
          <w:rFonts w:ascii="Arial" w:hAnsi="Arial"/>
          <w:rtl/>
        </w:rPr>
      </w:pPr>
      <w:r w:rsidRPr="00F34C6F">
        <w:rPr>
          <w:rFonts w:ascii="Arial" w:hAnsi="Arial" w:hint="cs"/>
          <w:rtl/>
        </w:rPr>
        <w:t xml:space="preserve">נטען שהפסיקה מלמדת על גישה מחמירה שהותוותה על ידי בית המשפט העליון בתיקי שומר חומות. </w:t>
      </w:r>
    </w:p>
    <w:p w14:paraId="3A21A98A" w14:textId="77777777" w:rsidR="00D94ECC" w:rsidRDefault="00D94ECC" w:rsidP="00D94ECC">
      <w:pPr>
        <w:spacing w:line="360" w:lineRule="auto"/>
        <w:jc w:val="both"/>
        <w:rPr>
          <w:rFonts w:ascii="Arial" w:hAnsi="Arial"/>
          <w:rtl/>
        </w:rPr>
      </w:pPr>
    </w:p>
    <w:p w14:paraId="3871ED6C" w14:textId="77777777" w:rsidR="00D94ECC" w:rsidRPr="00F34C6F" w:rsidRDefault="00D94ECC" w:rsidP="00D94ECC">
      <w:pPr>
        <w:pStyle w:val="af"/>
        <w:numPr>
          <w:ilvl w:val="0"/>
          <w:numId w:val="3"/>
        </w:numPr>
        <w:spacing w:line="360" w:lineRule="auto"/>
        <w:jc w:val="both"/>
        <w:rPr>
          <w:rFonts w:ascii="Arial" w:hAnsi="Arial"/>
          <w:rtl/>
        </w:rPr>
      </w:pPr>
      <w:r w:rsidRPr="00F34C6F">
        <w:rPr>
          <w:rFonts w:ascii="Arial" w:hAnsi="Arial" w:hint="cs"/>
          <w:rtl/>
        </w:rPr>
        <w:t>באשר לנאשמים שהורשעו בעבירות של מעשי טרור אוזכרו התיקים הבאים:</w:t>
      </w:r>
    </w:p>
    <w:p w14:paraId="05AE1D5B" w14:textId="77777777" w:rsidR="00D94ECC" w:rsidRDefault="00D94ECC" w:rsidP="00D94ECC">
      <w:pPr>
        <w:spacing w:line="360" w:lineRule="auto"/>
        <w:jc w:val="both"/>
        <w:rPr>
          <w:rFonts w:ascii="Arial" w:hAnsi="Arial"/>
          <w:rtl/>
        </w:rPr>
      </w:pPr>
    </w:p>
    <w:p w14:paraId="03A8ECBA" w14:textId="77777777" w:rsidR="00D94ECC" w:rsidRPr="00F34C6F" w:rsidRDefault="00AB0E4D" w:rsidP="00D94ECC">
      <w:pPr>
        <w:pStyle w:val="af"/>
        <w:numPr>
          <w:ilvl w:val="0"/>
          <w:numId w:val="8"/>
        </w:numPr>
        <w:spacing w:line="360" w:lineRule="auto"/>
        <w:jc w:val="both"/>
        <w:rPr>
          <w:rFonts w:ascii="Arial" w:hAnsi="Arial"/>
          <w:rtl/>
        </w:rPr>
      </w:pPr>
      <w:hyperlink r:id="rId112" w:history="1">
        <w:r w:rsidRPr="00AB0E4D">
          <w:rPr>
            <w:rFonts w:ascii="Arial" w:hAnsi="Arial"/>
            <w:color w:val="0000FF"/>
            <w:u w:val="single"/>
            <w:rtl/>
          </w:rPr>
          <w:t>ע"פ 5633/22</w:t>
        </w:r>
      </w:hyperlink>
      <w:r w:rsidR="00D94ECC" w:rsidRPr="00F34C6F">
        <w:rPr>
          <w:rFonts w:ascii="Arial" w:hAnsi="Arial" w:hint="cs"/>
          <w:rtl/>
        </w:rPr>
        <w:t xml:space="preserve"> </w:t>
      </w:r>
      <w:r w:rsidR="00D94ECC" w:rsidRPr="00F34C6F">
        <w:rPr>
          <w:rFonts w:ascii="Arial" w:hAnsi="Arial" w:hint="cs"/>
          <w:b/>
          <w:bCs/>
          <w:rtl/>
        </w:rPr>
        <w:t>מדינת ישראל נ' רמי סאלח ואח'</w:t>
      </w:r>
      <w:r w:rsidR="00D94ECC" w:rsidRPr="00F34C6F">
        <w:rPr>
          <w:rFonts w:ascii="Arial" w:hAnsi="Arial" w:hint="cs"/>
          <w:rtl/>
        </w:rPr>
        <w:t xml:space="preserve"> (28.11.22); שם הורשעו הנאשמים בגין חלקם בלינץ' בבני זוג יהודים במסגרת אירועי שומר חומות ובגין מספר עבירות נוספות ובכלל זה יידוי בקת"בים , יידוי אבנים ועוד. הערכאה הדיונית הסתפקה בענישה של 5 ו-7 שנות מאסר ובבית המשפט העליון הוחמר העונש ל- 6 ו-9 שנות מאסר.  </w:t>
      </w:r>
    </w:p>
    <w:p w14:paraId="028E45AF" w14:textId="77777777" w:rsidR="00D94ECC" w:rsidRDefault="00D94ECC" w:rsidP="00D94ECC">
      <w:pPr>
        <w:spacing w:line="360" w:lineRule="auto"/>
        <w:jc w:val="both"/>
        <w:rPr>
          <w:rFonts w:ascii="Arial" w:hAnsi="Arial"/>
          <w:rtl/>
        </w:rPr>
      </w:pPr>
    </w:p>
    <w:p w14:paraId="27140133" w14:textId="77777777" w:rsidR="00D94ECC" w:rsidRPr="00F34C6F" w:rsidRDefault="00AB0E4D" w:rsidP="00D94ECC">
      <w:pPr>
        <w:pStyle w:val="af"/>
        <w:numPr>
          <w:ilvl w:val="0"/>
          <w:numId w:val="8"/>
        </w:numPr>
        <w:spacing w:line="360" w:lineRule="auto"/>
        <w:jc w:val="both"/>
        <w:rPr>
          <w:rFonts w:ascii="Arial" w:hAnsi="Arial"/>
          <w:rtl/>
        </w:rPr>
      </w:pPr>
      <w:hyperlink r:id="rId113" w:history="1">
        <w:r w:rsidRPr="00AB0E4D">
          <w:rPr>
            <w:rFonts w:ascii="Arial" w:hAnsi="Arial"/>
            <w:color w:val="0000FF"/>
            <w:u w:val="single"/>
            <w:rtl/>
          </w:rPr>
          <w:t>ת"פ 28246-06-21</w:t>
        </w:r>
      </w:hyperlink>
      <w:r w:rsidR="00D94ECC" w:rsidRPr="00F34C6F">
        <w:rPr>
          <w:rFonts w:ascii="Arial" w:hAnsi="Arial" w:hint="cs"/>
          <w:rtl/>
        </w:rPr>
        <w:t xml:space="preserve"> </w:t>
      </w:r>
      <w:r w:rsidR="00D94ECC" w:rsidRPr="00F34C6F">
        <w:rPr>
          <w:rFonts w:ascii="Arial" w:hAnsi="Arial" w:hint="cs"/>
          <w:b/>
          <w:bCs/>
          <w:rtl/>
        </w:rPr>
        <w:t>מדינת ישראל נ' מ' עמראני</w:t>
      </w:r>
      <w:r w:rsidR="00D94ECC" w:rsidRPr="00F34C6F">
        <w:rPr>
          <w:rFonts w:ascii="Arial" w:hAnsi="Arial" w:hint="cs"/>
          <w:rtl/>
        </w:rPr>
        <w:t xml:space="preserve"> (12.2.22); נאשם שהורשע לאחר שהודה במסגרת הסדר טיעון, במעשים שכללו השתתפות בהתפרעויות וידוי אבנים על כלי רכב של יהודים ובהמשך במעשה לינץ' באחד הנהגים. הוא הורשע בעבירות לפי </w:t>
      </w:r>
      <w:hyperlink r:id="rId114" w:history="1">
        <w:r w:rsidR="009048EA" w:rsidRPr="009048EA">
          <w:rPr>
            <w:rStyle w:val="Hyperlink"/>
            <w:rFonts w:ascii="Arial" w:hAnsi="Arial" w:hint="eastAsia"/>
            <w:color w:val="0000FF"/>
            <w:rtl/>
          </w:rPr>
          <w:t>סעיף</w:t>
        </w:r>
        <w:r w:rsidR="009048EA" w:rsidRPr="009048EA">
          <w:rPr>
            <w:rStyle w:val="Hyperlink"/>
            <w:rFonts w:ascii="Arial" w:hAnsi="Arial"/>
            <w:color w:val="0000FF"/>
            <w:rtl/>
          </w:rPr>
          <w:t xml:space="preserve"> 332א(א)</w:t>
        </w:r>
      </w:hyperlink>
      <w:r w:rsidR="00D94ECC" w:rsidRPr="00F34C6F">
        <w:rPr>
          <w:rFonts w:ascii="Arial" w:hAnsi="Arial" w:hint="cs"/>
          <w:rtl/>
        </w:rPr>
        <w:t xml:space="preserve"> לחוק כמעשה טרור ובסעיף </w:t>
      </w:r>
      <w:hyperlink r:id="rId115" w:history="1">
        <w:r w:rsidR="009048EA" w:rsidRPr="009048EA">
          <w:rPr>
            <w:rStyle w:val="Hyperlink"/>
            <w:rFonts w:ascii="Arial" w:hAnsi="Arial"/>
            <w:color w:val="0000FF"/>
            <w:rtl/>
          </w:rPr>
          <w:t>329(א)(2)</w:t>
        </w:r>
      </w:hyperlink>
      <w:r w:rsidR="00D94ECC" w:rsidRPr="00F34C6F">
        <w:rPr>
          <w:rFonts w:ascii="Arial" w:hAnsi="Arial" w:hint="cs"/>
          <w:rtl/>
        </w:rPr>
        <w:t xml:space="preserve"> כמעשה טרור, היזק לרכוש ממניע גזעני והתפרעות והפרת הוראה חוקית. בית המשפט קבע מתחם שבין 7 </w:t>
      </w:r>
      <w:r w:rsidR="00D94ECC" w:rsidRPr="00F34C6F">
        <w:rPr>
          <w:rFonts w:ascii="Arial" w:hAnsi="Arial"/>
          <w:rtl/>
        </w:rPr>
        <w:t>–</w:t>
      </w:r>
      <w:r w:rsidR="00D94ECC" w:rsidRPr="00F34C6F">
        <w:rPr>
          <w:rFonts w:ascii="Arial" w:hAnsi="Arial" w:hint="cs"/>
          <w:rtl/>
        </w:rPr>
        <w:t xml:space="preserve"> 10 שנות מאסר והטיל בסופו של יום 9 שנות מאסר. </w:t>
      </w:r>
    </w:p>
    <w:p w14:paraId="457EC4F7" w14:textId="77777777" w:rsidR="00D94ECC" w:rsidRDefault="00D94ECC" w:rsidP="00D94ECC">
      <w:pPr>
        <w:spacing w:line="360" w:lineRule="auto"/>
        <w:jc w:val="both"/>
        <w:rPr>
          <w:rFonts w:ascii="Arial" w:hAnsi="Arial"/>
          <w:rtl/>
        </w:rPr>
      </w:pPr>
    </w:p>
    <w:p w14:paraId="2B57147E" w14:textId="77777777" w:rsidR="00D94ECC" w:rsidRPr="00F34C6F" w:rsidRDefault="00AB0E4D" w:rsidP="00D94ECC">
      <w:pPr>
        <w:pStyle w:val="af"/>
        <w:numPr>
          <w:ilvl w:val="0"/>
          <w:numId w:val="8"/>
        </w:numPr>
        <w:spacing w:line="360" w:lineRule="auto"/>
        <w:jc w:val="both"/>
        <w:rPr>
          <w:rFonts w:ascii="Arial" w:hAnsi="Arial"/>
          <w:rtl/>
        </w:rPr>
      </w:pPr>
      <w:hyperlink r:id="rId116" w:history="1">
        <w:r w:rsidRPr="00AB0E4D">
          <w:rPr>
            <w:rFonts w:ascii="Arial" w:hAnsi="Arial"/>
            <w:color w:val="0000FF"/>
            <w:u w:val="single"/>
            <w:rtl/>
          </w:rPr>
          <w:t>תפ"ח 25853-06-21</w:t>
        </w:r>
      </w:hyperlink>
      <w:r w:rsidR="00D94ECC" w:rsidRPr="00F34C6F">
        <w:rPr>
          <w:rFonts w:ascii="Arial" w:hAnsi="Arial" w:hint="cs"/>
          <w:rtl/>
        </w:rPr>
        <w:t xml:space="preserve"> </w:t>
      </w:r>
      <w:r w:rsidR="00D94ECC" w:rsidRPr="00F34C6F">
        <w:rPr>
          <w:rFonts w:ascii="Arial" w:hAnsi="Arial" w:hint="cs"/>
          <w:b/>
          <w:bCs/>
          <w:rtl/>
        </w:rPr>
        <w:t xml:space="preserve">מדינת ישראל נ' מוחמד מהדי אג'באריה </w:t>
      </w:r>
      <w:r w:rsidR="00D94ECC" w:rsidRPr="00F34C6F">
        <w:rPr>
          <w:rFonts w:ascii="Arial" w:hAnsi="Arial" w:hint="cs"/>
          <w:rtl/>
        </w:rPr>
        <w:t xml:space="preserve">(8.12.22); נאשם שהורשע בשתי עבירות של מעשה טרור של חבלה בכוונה מחמירה ועבירות בנשק. במקרה הראשון ירה 10 כדורים כלפי כוחות ביטחון ממרחק של 100מ' ובמקרה שני כאשר הגיע כוח משטרתי לעצור אותו השליך רעף כבד על שוטר ופגע בו. בגין המקרה הראשון נקבע מתחם ענישה של 5 </w:t>
      </w:r>
      <w:r w:rsidR="00D94ECC" w:rsidRPr="00F34C6F">
        <w:rPr>
          <w:rFonts w:ascii="Arial" w:hAnsi="Arial"/>
          <w:rtl/>
        </w:rPr>
        <w:t>–</w:t>
      </w:r>
      <w:r w:rsidR="00D94ECC" w:rsidRPr="00F34C6F">
        <w:rPr>
          <w:rFonts w:ascii="Arial" w:hAnsi="Arial" w:hint="cs"/>
          <w:rtl/>
        </w:rPr>
        <w:t xml:space="preserve"> 8 שנות מאסר ובגין האישום השני נקבע מתחם שבין 7 </w:t>
      </w:r>
      <w:r w:rsidR="00D94ECC" w:rsidRPr="00F34C6F">
        <w:rPr>
          <w:rFonts w:ascii="Arial" w:hAnsi="Arial"/>
          <w:rtl/>
        </w:rPr>
        <w:t>–</w:t>
      </w:r>
      <w:r w:rsidR="00D94ECC" w:rsidRPr="00F34C6F">
        <w:rPr>
          <w:rFonts w:ascii="Arial" w:hAnsi="Arial" w:hint="cs"/>
          <w:rtl/>
        </w:rPr>
        <w:t xml:space="preserve"> 10 שנות מאסר. בסופו של דבר הוטלו 15 שנות מאסר (הערעור תלוי ועומד). </w:t>
      </w:r>
    </w:p>
    <w:p w14:paraId="46B9FAAB" w14:textId="77777777" w:rsidR="00D94ECC" w:rsidRDefault="00D94ECC" w:rsidP="00D94ECC">
      <w:pPr>
        <w:spacing w:line="360" w:lineRule="auto"/>
        <w:jc w:val="both"/>
        <w:rPr>
          <w:rFonts w:ascii="Arial" w:hAnsi="Arial"/>
          <w:rtl/>
        </w:rPr>
      </w:pPr>
    </w:p>
    <w:p w14:paraId="67D2443E" w14:textId="77777777" w:rsidR="00D94ECC" w:rsidRPr="00F34C6F" w:rsidRDefault="00AB0E4D" w:rsidP="00D94ECC">
      <w:pPr>
        <w:pStyle w:val="af"/>
        <w:numPr>
          <w:ilvl w:val="0"/>
          <w:numId w:val="8"/>
        </w:numPr>
        <w:spacing w:line="360" w:lineRule="auto"/>
        <w:jc w:val="both"/>
        <w:rPr>
          <w:rFonts w:ascii="Arial" w:hAnsi="Arial"/>
          <w:rtl/>
        </w:rPr>
      </w:pPr>
      <w:hyperlink r:id="rId117" w:history="1">
        <w:r w:rsidRPr="00AB0E4D">
          <w:rPr>
            <w:rFonts w:ascii="Arial" w:hAnsi="Arial"/>
            <w:color w:val="0000FF"/>
            <w:u w:val="single"/>
            <w:rtl/>
          </w:rPr>
          <w:t>תפ"ח 55524-06-21</w:t>
        </w:r>
      </w:hyperlink>
      <w:r w:rsidR="00D94ECC" w:rsidRPr="00F34C6F">
        <w:rPr>
          <w:rFonts w:ascii="Arial" w:hAnsi="Arial" w:hint="cs"/>
          <w:rtl/>
        </w:rPr>
        <w:t xml:space="preserve"> </w:t>
      </w:r>
      <w:r w:rsidR="00D94ECC" w:rsidRPr="00F34C6F">
        <w:rPr>
          <w:rFonts w:ascii="Arial" w:hAnsi="Arial" w:hint="cs"/>
          <w:b/>
          <w:bCs/>
          <w:rtl/>
        </w:rPr>
        <w:t>מדינת ישראל נ' בשיר</w:t>
      </w:r>
      <w:r w:rsidR="00D94ECC" w:rsidRPr="00F34C6F">
        <w:rPr>
          <w:rFonts w:ascii="Arial" w:hAnsi="Arial" w:hint="cs"/>
          <w:rtl/>
        </w:rPr>
        <w:t xml:space="preserve"> (21.3.22); נאשם שהורשע בגין חלקו בלינץ' בעבירות של מעשה טרור של חבלה בכוונה מחמירה. נקבע מתחם שבין 8 </w:t>
      </w:r>
      <w:r w:rsidR="00D94ECC" w:rsidRPr="00F34C6F">
        <w:rPr>
          <w:rFonts w:ascii="Arial" w:hAnsi="Arial"/>
          <w:rtl/>
        </w:rPr>
        <w:t>–</w:t>
      </w:r>
      <w:r w:rsidR="00D94ECC" w:rsidRPr="00F34C6F">
        <w:rPr>
          <w:rFonts w:ascii="Arial" w:hAnsi="Arial" w:hint="cs"/>
          <w:rtl/>
        </w:rPr>
        <w:t xml:space="preserve"> 13 שנות מאסר והוטלו 10 שנות מאסר (הערעור תלוי ועומד). </w:t>
      </w:r>
    </w:p>
    <w:p w14:paraId="0890DB5D" w14:textId="77777777" w:rsidR="00D94ECC" w:rsidRDefault="00D94ECC" w:rsidP="00D94ECC">
      <w:pPr>
        <w:spacing w:line="360" w:lineRule="auto"/>
        <w:jc w:val="both"/>
        <w:rPr>
          <w:rFonts w:ascii="Arial" w:hAnsi="Arial"/>
          <w:rtl/>
        </w:rPr>
      </w:pPr>
    </w:p>
    <w:p w14:paraId="383C3449" w14:textId="77777777" w:rsidR="00D94ECC" w:rsidRPr="00F34C6F" w:rsidRDefault="00AB0E4D" w:rsidP="00D94ECC">
      <w:pPr>
        <w:pStyle w:val="af"/>
        <w:numPr>
          <w:ilvl w:val="0"/>
          <w:numId w:val="8"/>
        </w:numPr>
        <w:spacing w:line="360" w:lineRule="auto"/>
        <w:jc w:val="both"/>
        <w:rPr>
          <w:rFonts w:ascii="Arial" w:hAnsi="Arial"/>
          <w:rtl/>
        </w:rPr>
      </w:pPr>
      <w:hyperlink r:id="rId118" w:history="1">
        <w:r w:rsidRPr="00AB0E4D">
          <w:rPr>
            <w:rFonts w:ascii="Arial" w:hAnsi="Arial"/>
            <w:color w:val="0000FF"/>
            <w:u w:val="single"/>
            <w:rtl/>
          </w:rPr>
          <w:t>ע"פ 3708/21</w:t>
        </w:r>
      </w:hyperlink>
      <w:r w:rsidR="00D94ECC" w:rsidRPr="00F34C6F">
        <w:rPr>
          <w:rFonts w:ascii="Arial" w:hAnsi="Arial" w:hint="cs"/>
          <w:rtl/>
        </w:rPr>
        <w:t xml:space="preserve"> </w:t>
      </w:r>
      <w:r w:rsidR="00D94ECC" w:rsidRPr="00F34C6F">
        <w:rPr>
          <w:rFonts w:ascii="Arial" w:hAnsi="Arial" w:hint="cs"/>
          <w:b/>
          <w:bCs/>
          <w:rtl/>
        </w:rPr>
        <w:t xml:space="preserve">פלוני נ' מדינת ישראל </w:t>
      </w:r>
      <w:r w:rsidR="00D94ECC" w:rsidRPr="00F34C6F">
        <w:rPr>
          <w:rFonts w:ascii="Arial" w:hAnsi="Arial" w:hint="cs"/>
          <w:rtl/>
        </w:rPr>
        <w:t xml:space="preserve">(13.7.21); נאשם שהורשע בשני מקרים של יידוי בקת"בים על ניידת משטרה ועבירות נוספים. הוא הורשע בשני מקרים של מעשה טרור בנסיבות </w:t>
      </w:r>
      <w:hyperlink r:id="rId119" w:history="1">
        <w:r w:rsidR="009048EA" w:rsidRPr="009048EA">
          <w:rPr>
            <w:rStyle w:val="Hyperlink"/>
            <w:rFonts w:ascii="Arial" w:hAnsi="Arial" w:hint="eastAsia"/>
            <w:color w:val="0000FF"/>
            <w:rtl/>
          </w:rPr>
          <w:t>סעיף</w:t>
        </w:r>
        <w:r w:rsidR="009048EA" w:rsidRPr="009048EA">
          <w:rPr>
            <w:rStyle w:val="Hyperlink"/>
            <w:rFonts w:ascii="Arial" w:hAnsi="Arial"/>
            <w:color w:val="0000FF"/>
            <w:rtl/>
          </w:rPr>
          <w:t xml:space="preserve"> 329</w:t>
        </w:r>
      </w:hyperlink>
      <w:r w:rsidR="00D94ECC" w:rsidRPr="00F34C6F">
        <w:rPr>
          <w:rFonts w:ascii="Arial" w:hAnsi="Arial" w:hint="cs"/>
          <w:rtl/>
        </w:rPr>
        <w:t xml:space="preserve"> ל</w:t>
      </w:r>
      <w:hyperlink r:id="rId120" w:history="1">
        <w:r w:rsidRPr="00AB0E4D">
          <w:rPr>
            <w:rFonts w:ascii="Arial" w:hAnsi="Arial"/>
            <w:color w:val="0000FF"/>
            <w:u w:val="single"/>
            <w:rtl/>
          </w:rPr>
          <w:t>חוק העונשין</w:t>
        </w:r>
      </w:hyperlink>
      <w:r w:rsidR="00D94ECC" w:rsidRPr="00F34C6F">
        <w:rPr>
          <w:rFonts w:ascii="Arial" w:hAnsi="Arial" w:hint="cs"/>
          <w:rtl/>
        </w:rPr>
        <w:t xml:space="preserve"> ועבירות נוספות. נקבע מתחם ענישה שבין 4 </w:t>
      </w:r>
      <w:r w:rsidR="00D94ECC" w:rsidRPr="00F34C6F">
        <w:rPr>
          <w:rFonts w:ascii="Arial" w:hAnsi="Arial"/>
          <w:rtl/>
        </w:rPr>
        <w:t>–</w:t>
      </w:r>
      <w:r w:rsidR="00D94ECC" w:rsidRPr="00F34C6F">
        <w:rPr>
          <w:rFonts w:ascii="Arial" w:hAnsi="Arial" w:hint="cs"/>
          <w:rtl/>
        </w:rPr>
        <w:t xml:space="preserve"> 9 שנות מאסר והוטלו 6 שנות מאסר. הערעור נדחה. </w:t>
      </w:r>
    </w:p>
    <w:p w14:paraId="78AEA284" w14:textId="77777777" w:rsidR="00D94ECC" w:rsidRDefault="00D94ECC" w:rsidP="00D94ECC">
      <w:pPr>
        <w:spacing w:line="360" w:lineRule="auto"/>
        <w:jc w:val="both"/>
        <w:rPr>
          <w:rFonts w:ascii="Arial" w:hAnsi="Arial"/>
          <w:rtl/>
        </w:rPr>
      </w:pPr>
    </w:p>
    <w:p w14:paraId="5E9DA587" w14:textId="77777777" w:rsidR="00D94ECC" w:rsidRPr="00F4064B" w:rsidRDefault="00D94ECC" w:rsidP="00D94ECC">
      <w:pPr>
        <w:pStyle w:val="af"/>
        <w:numPr>
          <w:ilvl w:val="0"/>
          <w:numId w:val="3"/>
        </w:numPr>
        <w:spacing w:line="360" w:lineRule="auto"/>
        <w:jc w:val="both"/>
        <w:rPr>
          <w:rFonts w:ascii="Arial" w:hAnsi="Arial"/>
          <w:rtl/>
        </w:rPr>
      </w:pPr>
      <w:r w:rsidRPr="00F4064B">
        <w:rPr>
          <w:rFonts w:ascii="Arial" w:hAnsi="Arial" w:hint="cs"/>
          <w:rtl/>
        </w:rPr>
        <w:t xml:space="preserve">ביחס לפסיקה בעבירות של הצתה רגילה צוין ע"פ 35960/16 </w:t>
      </w:r>
      <w:r w:rsidRPr="00F4064B">
        <w:rPr>
          <w:rFonts w:ascii="Arial" w:hAnsi="Arial" w:hint="cs"/>
          <w:b/>
          <w:bCs/>
          <w:rtl/>
        </w:rPr>
        <w:t>מדינת ישראל נ' עון</w:t>
      </w:r>
      <w:r w:rsidRPr="00F4064B">
        <w:rPr>
          <w:rFonts w:ascii="Arial" w:hAnsi="Arial" w:hint="cs"/>
          <w:rtl/>
        </w:rPr>
        <w:t xml:space="preserve">; שם הערכאה הדיונית קבעה מתחם שבין 2 </w:t>
      </w:r>
      <w:r w:rsidRPr="00F4064B">
        <w:rPr>
          <w:rFonts w:ascii="Arial" w:hAnsi="Arial"/>
          <w:rtl/>
        </w:rPr>
        <w:t>–</w:t>
      </w:r>
      <w:r w:rsidRPr="00F4064B">
        <w:rPr>
          <w:rFonts w:ascii="Arial" w:hAnsi="Arial" w:hint="cs"/>
          <w:rtl/>
        </w:rPr>
        <w:t xml:space="preserve"> 4 שנות מאסר והטילה 30 חודשי מאסר. בערעור נקבע שהמתחם היה צריך להיות 3 </w:t>
      </w:r>
      <w:r w:rsidRPr="00F4064B">
        <w:rPr>
          <w:rFonts w:ascii="Arial" w:hAnsi="Arial"/>
          <w:rtl/>
        </w:rPr>
        <w:t>–</w:t>
      </w:r>
      <w:r w:rsidRPr="00F4064B">
        <w:rPr>
          <w:rFonts w:ascii="Arial" w:hAnsi="Arial" w:hint="cs"/>
          <w:rtl/>
        </w:rPr>
        <w:t xml:space="preserve"> 6 שנות מאסר, העונש הוחמר ל-42 חודשי מאסר, תוך כדי הבחנה בין עבירה לפי </w:t>
      </w:r>
      <w:hyperlink r:id="rId121" w:history="1">
        <w:r w:rsidR="009048EA" w:rsidRPr="009048EA">
          <w:rPr>
            <w:rStyle w:val="Hyperlink"/>
            <w:rFonts w:ascii="Arial" w:hAnsi="Arial" w:hint="eastAsia"/>
            <w:color w:val="0000FF"/>
            <w:rtl/>
          </w:rPr>
          <w:t>סעיף</w:t>
        </w:r>
        <w:r w:rsidR="009048EA" w:rsidRPr="009048EA">
          <w:rPr>
            <w:rStyle w:val="Hyperlink"/>
            <w:rFonts w:ascii="Arial" w:hAnsi="Arial"/>
            <w:color w:val="0000FF"/>
            <w:rtl/>
          </w:rPr>
          <w:t xml:space="preserve"> 448(א)</w:t>
        </w:r>
      </w:hyperlink>
      <w:r w:rsidRPr="00F4064B">
        <w:rPr>
          <w:rFonts w:ascii="Arial" w:hAnsi="Arial" w:hint="cs"/>
          <w:rtl/>
        </w:rPr>
        <w:t xml:space="preserve"> רישא וסיפא. כמו כן הוזכר </w:t>
      </w:r>
      <w:hyperlink r:id="rId122" w:history="1">
        <w:r w:rsidR="00AB0E4D" w:rsidRPr="00AB0E4D">
          <w:rPr>
            <w:rFonts w:ascii="Arial" w:hAnsi="Arial"/>
            <w:color w:val="0000FF"/>
            <w:u w:val="single"/>
            <w:rtl/>
          </w:rPr>
          <w:t>ערעור פלילי 2249/18</w:t>
        </w:r>
      </w:hyperlink>
      <w:r w:rsidRPr="00F4064B">
        <w:rPr>
          <w:rFonts w:ascii="Arial" w:hAnsi="Arial" w:hint="cs"/>
          <w:rtl/>
        </w:rPr>
        <w:t xml:space="preserve"> </w:t>
      </w:r>
      <w:r w:rsidRPr="00F4064B">
        <w:rPr>
          <w:rFonts w:ascii="Arial" w:hAnsi="Arial" w:hint="cs"/>
          <w:b/>
          <w:bCs/>
          <w:rtl/>
        </w:rPr>
        <w:t>מדינת ישראל נ' פלוני</w:t>
      </w:r>
      <w:r w:rsidRPr="00F4064B">
        <w:rPr>
          <w:rFonts w:ascii="Arial" w:hAnsi="Arial" w:hint="cs"/>
          <w:rtl/>
        </w:rPr>
        <w:t>;</w:t>
      </w:r>
      <w:r w:rsidRPr="00F4064B">
        <w:rPr>
          <w:rFonts w:ascii="Arial" w:hAnsi="Arial" w:hint="cs"/>
          <w:b/>
          <w:bCs/>
          <w:rtl/>
        </w:rPr>
        <w:t xml:space="preserve"> </w:t>
      </w:r>
      <w:r w:rsidRPr="00F4064B">
        <w:rPr>
          <w:rFonts w:ascii="Arial" w:hAnsi="Arial" w:hint="cs"/>
          <w:rtl/>
        </w:rPr>
        <w:t xml:space="preserve">שם גם נקבע מתחם שבין 3 </w:t>
      </w:r>
      <w:r w:rsidRPr="00F4064B">
        <w:rPr>
          <w:rFonts w:ascii="Arial" w:hAnsi="Arial"/>
          <w:rtl/>
        </w:rPr>
        <w:t>–</w:t>
      </w:r>
      <w:r w:rsidRPr="00F4064B">
        <w:rPr>
          <w:rFonts w:ascii="Arial" w:hAnsi="Arial" w:hint="cs"/>
          <w:rtl/>
        </w:rPr>
        <w:t xml:space="preserve"> 6 שנות מאסר שהוחמר בבית המשפט העליון ל-4 </w:t>
      </w:r>
      <w:r w:rsidRPr="00F4064B">
        <w:rPr>
          <w:rFonts w:ascii="Arial" w:hAnsi="Arial"/>
          <w:rtl/>
        </w:rPr>
        <w:t>–</w:t>
      </w:r>
      <w:r w:rsidRPr="00F4064B">
        <w:rPr>
          <w:rFonts w:ascii="Arial" w:hAnsi="Arial" w:hint="cs"/>
          <w:rtl/>
        </w:rPr>
        <w:t xml:space="preserve"> 8 שנות מאסר לאור כך שמדובר בעבירה לפי </w:t>
      </w:r>
      <w:hyperlink r:id="rId123" w:history="1">
        <w:r w:rsidR="009048EA" w:rsidRPr="009048EA">
          <w:rPr>
            <w:rStyle w:val="Hyperlink"/>
            <w:rFonts w:ascii="Arial" w:hAnsi="Arial" w:hint="eastAsia"/>
            <w:color w:val="0000FF"/>
            <w:rtl/>
          </w:rPr>
          <w:t>סעיף</w:t>
        </w:r>
        <w:r w:rsidR="009048EA" w:rsidRPr="009048EA">
          <w:rPr>
            <w:rStyle w:val="Hyperlink"/>
            <w:rFonts w:ascii="Arial" w:hAnsi="Arial"/>
            <w:color w:val="0000FF"/>
            <w:rtl/>
          </w:rPr>
          <w:t xml:space="preserve"> 448(א)</w:t>
        </w:r>
      </w:hyperlink>
      <w:r w:rsidRPr="00F4064B">
        <w:rPr>
          <w:rFonts w:ascii="Arial" w:hAnsi="Arial" w:hint="cs"/>
          <w:rtl/>
        </w:rPr>
        <w:t xml:space="preserve"> סיפא. </w:t>
      </w:r>
    </w:p>
    <w:p w14:paraId="60E40462" w14:textId="77777777" w:rsidR="00D94ECC" w:rsidRDefault="00D94ECC" w:rsidP="00D94ECC">
      <w:pPr>
        <w:spacing w:line="360" w:lineRule="auto"/>
        <w:jc w:val="both"/>
        <w:rPr>
          <w:rFonts w:ascii="Arial" w:hAnsi="Arial"/>
          <w:rtl/>
        </w:rPr>
      </w:pPr>
    </w:p>
    <w:p w14:paraId="2689035D" w14:textId="77777777" w:rsidR="00D94ECC" w:rsidRPr="00F4064B" w:rsidRDefault="00D94ECC" w:rsidP="00D94ECC">
      <w:pPr>
        <w:pStyle w:val="af"/>
        <w:numPr>
          <w:ilvl w:val="0"/>
          <w:numId w:val="3"/>
        </w:numPr>
        <w:spacing w:line="360" w:lineRule="auto"/>
        <w:jc w:val="both"/>
        <w:rPr>
          <w:rFonts w:ascii="Arial" w:hAnsi="Arial"/>
          <w:rtl/>
        </w:rPr>
      </w:pPr>
      <w:r w:rsidRPr="00F4064B">
        <w:rPr>
          <w:rFonts w:ascii="Arial" w:hAnsi="Arial" w:hint="cs"/>
          <w:rtl/>
        </w:rPr>
        <w:t xml:space="preserve">נטען שבעבירת הצתה רגילה המתחם המתבקש הוא בין 2 </w:t>
      </w:r>
      <w:r w:rsidRPr="00F4064B">
        <w:rPr>
          <w:rFonts w:ascii="Arial" w:hAnsi="Arial"/>
          <w:rtl/>
        </w:rPr>
        <w:t>–</w:t>
      </w:r>
      <w:r w:rsidRPr="00F4064B">
        <w:rPr>
          <w:rFonts w:ascii="Arial" w:hAnsi="Arial" w:hint="cs"/>
          <w:rtl/>
        </w:rPr>
        <w:t xml:space="preserve"> 4 או 3 </w:t>
      </w:r>
      <w:r w:rsidRPr="00F4064B">
        <w:rPr>
          <w:rFonts w:ascii="Arial" w:hAnsi="Arial"/>
          <w:rtl/>
        </w:rPr>
        <w:t>–</w:t>
      </w:r>
      <w:r w:rsidRPr="00F4064B">
        <w:rPr>
          <w:rFonts w:ascii="Arial" w:hAnsi="Arial" w:hint="cs"/>
          <w:rtl/>
        </w:rPr>
        <w:t xml:space="preserve"> 5 שנות מאסר וכאשר ההצתה היא בנסיבות חמורות יותר של מטרה לפגוע באנשים המתחם צריך להיות גבוה יותר, בין 4 </w:t>
      </w:r>
      <w:r w:rsidRPr="00F4064B">
        <w:rPr>
          <w:rFonts w:ascii="Arial" w:hAnsi="Arial"/>
          <w:rtl/>
        </w:rPr>
        <w:t>–</w:t>
      </w:r>
      <w:r w:rsidRPr="00F4064B">
        <w:rPr>
          <w:rFonts w:ascii="Arial" w:hAnsi="Arial" w:hint="cs"/>
          <w:rtl/>
        </w:rPr>
        <w:t xml:space="preserve"> 8 שנות מאסר. </w:t>
      </w:r>
    </w:p>
    <w:p w14:paraId="7152BF81" w14:textId="77777777" w:rsidR="00D94ECC" w:rsidRDefault="00D94ECC" w:rsidP="00D94ECC">
      <w:pPr>
        <w:spacing w:line="360" w:lineRule="auto"/>
        <w:jc w:val="both"/>
        <w:rPr>
          <w:rFonts w:ascii="Arial" w:hAnsi="Arial"/>
          <w:rtl/>
        </w:rPr>
      </w:pPr>
    </w:p>
    <w:p w14:paraId="0E89A4F6"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כך נטען למתחמים הבאים ביחס לנאשמים כאן:</w:t>
      </w:r>
    </w:p>
    <w:p w14:paraId="518A36D3" w14:textId="77777777" w:rsidR="00D94ECC" w:rsidRDefault="00D94ECC" w:rsidP="00D94ECC">
      <w:pPr>
        <w:spacing w:line="360" w:lineRule="auto"/>
        <w:jc w:val="both"/>
        <w:rPr>
          <w:rFonts w:ascii="Arial" w:hAnsi="Arial"/>
          <w:rtl/>
        </w:rPr>
      </w:pPr>
    </w:p>
    <w:p w14:paraId="3E66251A" w14:textId="77777777" w:rsidR="00D94ECC" w:rsidRDefault="00D94ECC" w:rsidP="00D94ECC">
      <w:pPr>
        <w:spacing w:line="360" w:lineRule="auto"/>
        <w:ind w:left="360"/>
        <w:jc w:val="both"/>
        <w:rPr>
          <w:rFonts w:ascii="Arial" w:hAnsi="Arial"/>
          <w:rtl/>
        </w:rPr>
      </w:pPr>
      <w:r>
        <w:rPr>
          <w:rFonts w:ascii="Arial" w:hAnsi="Arial" w:hint="cs"/>
          <w:rtl/>
        </w:rPr>
        <w:t xml:space="preserve">באישום הראשון (נאשם 1) </w:t>
      </w:r>
      <w:r>
        <w:rPr>
          <w:rFonts w:ascii="Arial" w:hAnsi="Arial"/>
          <w:rtl/>
        </w:rPr>
        <w:t>–</w:t>
      </w:r>
      <w:r>
        <w:rPr>
          <w:rFonts w:ascii="Arial" w:hAnsi="Arial" w:hint="cs"/>
          <w:rtl/>
        </w:rPr>
        <w:t xml:space="preserve"> 6 </w:t>
      </w:r>
      <w:r>
        <w:rPr>
          <w:rFonts w:ascii="Arial" w:hAnsi="Arial"/>
          <w:rtl/>
        </w:rPr>
        <w:t>–</w:t>
      </w:r>
      <w:r>
        <w:rPr>
          <w:rFonts w:ascii="Arial" w:hAnsi="Arial" w:hint="cs"/>
          <w:rtl/>
        </w:rPr>
        <w:t xml:space="preserve"> 10 שנות מאסר;</w:t>
      </w:r>
    </w:p>
    <w:p w14:paraId="6FAA3839" w14:textId="77777777" w:rsidR="00D94ECC" w:rsidRDefault="00D94ECC" w:rsidP="00D94ECC">
      <w:pPr>
        <w:spacing w:line="360" w:lineRule="auto"/>
        <w:ind w:left="360"/>
        <w:jc w:val="both"/>
        <w:rPr>
          <w:rFonts w:ascii="Arial" w:hAnsi="Arial"/>
          <w:rtl/>
        </w:rPr>
      </w:pPr>
      <w:r>
        <w:rPr>
          <w:rFonts w:ascii="Arial" w:hAnsi="Arial" w:hint="cs"/>
          <w:rtl/>
        </w:rPr>
        <w:t xml:space="preserve">באישום השני (נאשם 1) </w:t>
      </w:r>
      <w:r>
        <w:rPr>
          <w:rFonts w:ascii="Arial" w:hAnsi="Arial"/>
          <w:rtl/>
        </w:rPr>
        <w:t>–</w:t>
      </w:r>
      <w:r>
        <w:rPr>
          <w:rFonts w:ascii="Arial" w:hAnsi="Arial" w:hint="cs"/>
          <w:rtl/>
        </w:rPr>
        <w:t xml:space="preserve"> 7 </w:t>
      </w:r>
      <w:r>
        <w:rPr>
          <w:rFonts w:ascii="Arial" w:hAnsi="Arial"/>
          <w:rtl/>
        </w:rPr>
        <w:t>–</w:t>
      </w:r>
      <w:r>
        <w:rPr>
          <w:rFonts w:ascii="Arial" w:hAnsi="Arial" w:hint="cs"/>
          <w:rtl/>
        </w:rPr>
        <w:t xml:space="preserve"> 11 שנות מאסר;</w:t>
      </w:r>
    </w:p>
    <w:p w14:paraId="703BE47B" w14:textId="77777777" w:rsidR="00D94ECC" w:rsidRDefault="00D94ECC" w:rsidP="00D94ECC">
      <w:pPr>
        <w:spacing w:line="360" w:lineRule="auto"/>
        <w:ind w:left="360"/>
        <w:jc w:val="both"/>
        <w:rPr>
          <w:rFonts w:ascii="Arial" w:hAnsi="Arial"/>
          <w:rtl/>
        </w:rPr>
      </w:pPr>
      <w:r>
        <w:rPr>
          <w:rFonts w:ascii="Arial" w:hAnsi="Arial" w:hint="cs"/>
          <w:rtl/>
        </w:rPr>
        <w:t xml:space="preserve">באישום השלישי (נאשם 1) </w:t>
      </w:r>
      <w:r>
        <w:rPr>
          <w:rFonts w:ascii="Arial" w:hAnsi="Arial"/>
          <w:rtl/>
        </w:rPr>
        <w:t>–</w:t>
      </w:r>
      <w:r>
        <w:rPr>
          <w:rFonts w:ascii="Arial" w:hAnsi="Arial" w:hint="cs"/>
          <w:rtl/>
        </w:rPr>
        <w:t xml:space="preserve"> 7 </w:t>
      </w:r>
      <w:r>
        <w:rPr>
          <w:rFonts w:ascii="Arial" w:hAnsi="Arial"/>
          <w:rtl/>
        </w:rPr>
        <w:t>–</w:t>
      </w:r>
      <w:r>
        <w:rPr>
          <w:rFonts w:ascii="Arial" w:hAnsi="Arial" w:hint="cs"/>
          <w:rtl/>
        </w:rPr>
        <w:t xml:space="preserve"> 11 שנות מאסר;</w:t>
      </w:r>
    </w:p>
    <w:p w14:paraId="44B9339A" w14:textId="77777777" w:rsidR="00D94ECC" w:rsidRDefault="00D94ECC" w:rsidP="00D94ECC">
      <w:pPr>
        <w:spacing w:line="360" w:lineRule="auto"/>
        <w:ind w:left="360"/>
        <w:jc w:val="both"/>
        <w:rPr>
          <w:rFonts w:ascii="Arial" w:hAnsi="Arial"/>
          <w:rtl/>
        </w:rPr>
      </w:pPr>
      <w:r>
        <w:rPr>
          <w:rFonts w:ascii="Arial" w:hAnsi="Arial" w:hint="cs"/>
          <w:rtl/>
        </w:rPr>
        <w:t xml:space="preserve">באישום החמישי (נאשם 2) - 24 </w:t>
      </w:r>
      <w:r>
        <w:rPr>
          <w:rFonts w:ascii="Arial" w:hAnsi="Arial"/>
          <w:rtl/>
        </w:rPr>
        <w:t>–</w:t>
      </w:r>
      <w:r>
        <w:rPr>
          <w:rFonts w:ascii="Arial" w:hAnsi="Arial" w:hint="cs"/>
          <w:rtl/>
        </w:rPr>
        <w:t xml:space="preserve"> 48 חודשי מאסר;</w:t>
      </w:r>
    </w:p>
    <w:p w14:paraId="0FFD6A99" w14:textId="77777777" w:rsidR="00D94ECC" w:rsidRDefault="00D94ECC" w:rsidP="00D94ECC">
      <w:pPr>
        <w:spacing w:line="360" w:lineRule="auto"/>
        <w:ind w:left="360"/>
        <w:jc w:val="both"/>
        <w:rPr>
          <w:rFonts w:ascii="Arial" w:hAnsi="Arial"/>
          <w:rtl/>
        </w:rPr>
      </w:pPr>
      <w:r>
        <w:rPr>
          <w:rFonts w:ascii="Arial" w:hAnsi="Arial" w:hint="cs"/>
          <w:rtl/>
        </w:rPr>
        <w:t xml:space="preserve">באישום שישי (נאשם 2) </w:t>
      </w:r>
      <w:r>
        <w:rPr>
          <w:rFonts w:ascii="Arial" w:hAnsi="Arial"/>
          <w:rtl/>
        </w:rPr>
        <w:t>–</w:t>
      </w:r>
      <w:r>
        <w:rPr>
          <w:rFonts w:ascii="Arial" w:hAnsi="Arial" w:hint="cs"/>
          <w:rtl/>
        </w:rPr>
        <w:t xml:space="preserve"> 24 </w:t>
      </w:r>
      <w:r>
        <w:rPr>
          <w:rFonts w:ascii="Arial" w:hAnsi="Arial"/>
          <w:rtl/>
        </w:rPr>
        <w:t>–</w:t>
      </w:r>
      <w:r>
        <w:rPr>
          <w:rFonts w:ascii="Arial" w:hAnsi="Arial" w:hint="cs"/>
          <w:rtl/>
        </w:rPr>
        <w:t xml:space="preserve"> 48 חודשי מאסר;</w:t>
      </w:r>
    </w:p>
    <w:p w14:paraId="07EF2649" w14:textId="77777777" w:rsidR="00D94ECC" w:rsidRDefault="00D94ECC" w:rsidP="00D94ECC">
      <w:pPr>
        <w:spacing w:line="360" w:lineRule="auto"/>
        <w:ind w:left="360"/>
        <w:jc w:val="both"/>
        <w:rPr>
          <w:rFonts w:ascii="Arial" w:hAnsi="Arial"/>
          <w:rtl/>
        </w:rPr>
      </w:pPr>
      <w:r>
        <w:rPr>
          <w:rFonts w:ascii="Arial" w:hAnsi="Arial" w:hint="cs"/>
          <w:rtl/>
        </w:rPr>
        <w:t xml:space="preserve">באישום השביעי (כל הנאשמים) </w:t>
      </w:r>
      <w:r>
        <w:rPr>
          <w:rFonts w:ascii="Arial" w:hAnsi="Arial"/>
          <w:rtl/>
        </w:rPr>
        <w:t>–</w:t>
      </w:r>
      <w:r>
        <w:rPr>
          <w:rFonts w:ascii="Arial" w:hAnsi="Arial" w:hint="cs"/>
          <w:rtl/>
        </w:rPr>
        <w:t xml:space="preserve"> לנאשם 1 </w:t>
      </w:r>
      <w:r>
        <w:rPr>
          <w:rFonts w:ascii="Arial" w:hAnsi="Arial"/>
          <w:rtl/>
        </w:rPr>
        <w:t>–</w:t>
      </w:r>
      <w:r>
        <w:rPr>
          <w:rFonts w:ascii="Arial" w:hAnsi="Arial" w:hint="cs"/>
          <w:rtl/>
        </w:rPr>
        <w:t xml:space="preserve"> 10-15 שנות מאסר, לנאשם 2 </w:t>
      </w:r>
      <w:r>
        <w:rPr>
          <w:rFonts w:ascii="Arial" w:hAnsi="Arial"/>
          <w:rtl/>
        </w:rPr>
        <w:t>–</w:t>
      </w:r>
      <w:r>
        <w:rPr>
          <w:rFonts w:ascii="Arial" w:hAnsi="Arial" w:hint="cs"/>
          <w:rtl/>
        </w:rPr>
        <w:t xml:space="preserve"> 11-16 שנות מאסר (ביצע שני אקטים של ירי), נאשם 3 </w:t>
      </w:r>
      <w:r>
        <w:rPr>
          <w:rFonts w:ascii="Arial" w:hAnsi="Arial"/>
          <w:rtl/>
        </w:rPr>
        <w:t>–</w:t>
      </w:r>
      <w:r>
        <w:rPr>
          <w:rFonts w:ascii="Arial" w:hAnsi="Arial" w:hint="cs"/>
          <w:rtl/>
        </w:rPr>
        <w:t xml:space="preserve"> 4-8 שנות מאסר. </w:t>
      </w:r>
    </w:p>
    <w:p w14:paraId="7C9C628F" w14:textId="77777777" w:rsidR="00D94ECC" w:rsidRDefault="00D94ECC" w:rsidP="00D94ECC">
      <w:pPr>
        <w:spacing w:line="360" w:lineRule="auto"/>
        <w:ind w:left="360"/>
        <w:jc w:val="both"/>
        <w:rPr>
          <w:rFonts w:ascii="Arial" w:hAnsi="Arial"/>
          <w:rtl/>
        </w:rPr>
      </w:pPr>
      <w:r>
        <w:rPr>
          <w:rFonts w:ascii="Arial" w:hAnsi="Arial" w:hint="cs"/>
          <w:rtl/>
        </w:rPr>
        <w:t xml:space="preserve">באישום השמיני (נאשם 3) </w:t>
      </w:r>
      <w:r>
        <w:rPr>
          <w:rFonts w:ascii="Arial" w:hAnsi="Arial"/>
          <w:rtl/>
        </w:rPr>
        <w:t>–</w:t>
      </w:r>
      <w:r>
        <w:rPr>
          <w:rFonts w:ascii="Arial" w:hAnsi="Arial" w:hint="cs"/>
          <w:rtl/>
        </w:rPr>
        <w:t xml:space="preserve"> 18-42 חודשי מאסר.</w:t>
      </w:r>
    </w:p>
    <w:p w14:paraId="167DEFF4" w14:textId="77777777" w:rsidR="00D94ECC" w:rsidRDefault="00D94ECC" w:rsidP="00D94ECC">
      <w:pPr>
        <w:spacing w:line="360" w:lineRule="auto"/>
        <w:jc w:val="both"/>
        <w:rPr>
          <w:rFonts w:ascii="Arial" w:hAnsi="Arial"/>
          <w:rtl/>
        </w:rPr>
      </w:pPr>
    </w:p>
    <w:p w14:paraId="786B1B9C"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 xml:space="preserve">באשר לעונש הראוי בתוך המתחם, צוין גילם של הנאשמים בעת ביצוע העבירות: נאשם 1 היה בן 22, נאשם 2 היה בן 26 ונאשם 3 היה בן 18.5, את עברם הפלילי כאשר לנאשם 1 אין עבר פלילי ושיתוף הפעולה עם רשויות האכיפה כאשר צוין שבמהלך החקירה הנאשמים שיתפו פעולה והודו אך לאחר מכן חזרו בהם וניהלו את משפטם. כך נטען שאין הם זכאים להקלה הניתנת לאלה שמודים. צוין עוד התסקיר השלילי שניתן לגבי נאשם 3. </w:t>
      </w:r>
    </w:p>
    <w:p w14:paraId="400F23D0" w14:textId="77777777" w:rsidR="00D94ECC" w:rsidRDefault="00D94ECC" w:rsidP="00D94ECC">
      <w:pPr>
        <w:spacing w:line="360" w:lineRule="auto"/>
        <w:jc w:val="both"/>
        <w:rPr>
          <w:rFonts w:ascii="Arial" w:hAnsi="Arial"/>
          <w:rtl/>
        </w:rPr>
      </w:pPr>
    </w:p>
    <w:p w14:paraId="1FDDAB05"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 xml:space="preserve">המדינה אזכרה </w:t>
      </w:r>
      <w:hyperlink r:id="rId124" w:history="1">
        <w:r w:rsidR="009048EA" w:rsidRPr="009048EA">
          <w:rPr>
            <w:rStyle w:val="Hyperlink"/>
            <w:rFonts w:ascii="Arial" w:hAnsi="Arial" w:hint="eastAsia"/>
            <w:color w:val="0000FF"/>
            <w:rtl/>
          </w:rPr>
          <w:t>סעיף</w:t>
        </w:r>
        <w:r w:rsidR="009048EA" w:rsidRPr="009048EA">
          <w:rPr>
            <w:rStyle w:val="Hyperlink"/>
            <w:rFonts w:ascii="Arial" w:hAnsi="Arial"/>
            <w:color w:val="0000FF"/>
            <w:rtl/>
          </w:rPr>
          <w:t xml:space="preserve"> 40ז</w:t>
        </w:r>
      </w:hyperlink>
      <w:r w:rsidRPr="004344C9">
        <w:rPr>
          <w:rFonts w:ascii="Arial" w:hAnsi="Arial" w:hint="cs"/>
          <w:rtl/>
        </w:rPr>
        <w:t xml:space="preserve"> ל</w:t>
      </w:r>
      <w:hyperlink r:id="rId125" w:history="1">
        <w:r w:rsidR="00AB0E4D" w:rsidRPr="00AB0E4D">
          <w:rPr>
            <w:rFonts w:ascii="Arial" w:hAnsi="Arial"/>
            <w:color w:val="0000FF"/>
            <w:u w:val="single"/>
            <w:rtl/>
          </w:rPr>
          <w:t>חוק העונשין</w:t>
        </w:r>
      </w:hyperlink>
      <w:r w:rsidRPr="004344C9">
        <w:rPr>
          <w:rFonts w:ascii="Arial" w:hAnsi="Arial" w:hint="cs"/>
          <w:rtl/>
        </w:rPr>
        <w:t xml:space="preserve"> המאפשר התחשבות לצורך בהרתעת הרבים בענישה. נטען ששיקול זה צריך לקבל משקל משמעותי בקביעת העונש. המדינה ביקשה בסופו של יום שיוטל עונש בחלק העליון של המתחמים ופסיקת פיצוי לקורבנות והטלת מאסר על תנאי וקנס גבוה לקופת המדינה. </w:t>
      </w:r>
    </w:p>
    <w:p w14:paraId="15F6AB19" w14:textId="77777777" w:rsidR="00D94ECC" w:rsidRDefault="00D94ECC" w:rsidP="00D94ECC">
      <w:pPr>
        <w:spacing w:line="360" w:lineRule="auto"/>
        <w:jc w:val="both"/>
        <w:rPr>
          <w:rFonts w:ascii="Arial" w:hAnsi="Arial"/>
          <w:rtl/>
        </w:rPr>
      </w:pPr>
    </w:p>
    <w:p w14:paraId="330E8E1D" w14:textId="77777777" w:rsidR="00D94ECC" w:rsidRDefault="00D94ECC" w:rsidP="00D94ECC">
      <w:pPr>
        <w:spacing w:line="360" w:lineRule="auto"/>
        <w:jc w:val="both"/>
        <w:rPr>
          <w:rFonts w:ascii="Arial" w:hAnsi="Arial"/>
          <w:rtl/>
        </w:rPr>
      </w:pPr>
      <w:r>
        <w:rPr>
          <w:rFonts w:ascii="Arial" w:hAnsi="Arial" w:hint="cs"/>
          <w:b/>
          <w:bCs/>
          <w:u w:val="single"/>
          <w:rtl/>
        </w:rPr>
        <w:t>טיעוני נאשם 1 לעניין העונש</w:t>
      </w:r>
    </w:p>
    <w:p w14:paraId="506EB292" w14:textId="77777777" w:rsidR="00D94ECC" w:rsidRDefault="00D94ECC" w:rsidP="00D94ECC">
      <w:pPr>
        <w:spacing w:line="360" w:lineRule="auto"/>
        <w:jc w:val="both"/>
        <w:rPr>
          <w:rFonts w:ascii="Arial" w:hAnsi="Arial"/>
          <w:rtl/>
        </w:rPr>
      </w:pPr>
    </w:p>
    <w:p w14:paraId="41C5622E"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הסנגור של נאשם 1 טען שהמתחמים שהוצגו על ידי המדינה אינם מתאימים לפסיקה שהובאה על ידה. נטען שלנאשם 1 מיוחסים 4 אישומים וכי הוא זוכה מאישום אחד. צוין שבעת ביצוע העבירות לפני כ-3 שנים היה הנאשם בן 21.5 ונטען שמדובר באירועים שהתרחשו אחד אחרי השני בסמיכות זמן ובסמיכות מקום. נטען שעל פי הכללים בפסיקה צריך לקבוע שמדובר באירוע אחד שלגביו ייקבע מתחם עונש אחד בגין שלושת האירועים הראשונים.</w:t>
      </w:r>
    </w:p>
    <w:p w14:paraId="4C546211" w14:textId="77777777" w:rsidR="00D94ECC" w:rsidRDefault="00D94ECC" w:rsidP="00D94ECC">
      <w:pPr>
        <w:spacing w:line="360" w:lineRule="auto"/>
        <w:jc w:val="both"/>
        <w:rPr>
          <w:rFonts w:ascii="Arial" w:hAnsi="Arial"/>
          <w:rtl/>
        </w:rPr>
      </w:pPr>
    </w:p>
    <w:p w14:paraId="5C42FA78"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נטען שהמדינה בחרה להפריד את האישומים כדי להעצים את כתב האישום ולהחמיר את מצבו של הנאשם 1. נטען שגם אם בית המשפט לא יראה לנכון לקבוע מתחם אחד בגין כל האירועים, יש לכל היותר לקבוע שני מתחמים בלבד כאשר אירוע הירי שהתרחש באישום השביעי התרחש בכלל ביום השני לאירועים. נטען שגם אם נקבעים מתחמים נפרדים צריך לקחת את הקשר ביניהם בחשבון על ידי חפיפת העונשים המוטלים.</w:t>
      </w:r>
    </w:p>
    <w:p w14:paraId="108FB4B3" w14:textId="77777777" w:rsidR="00D94ECC" w:rsidRDefault="00D94ECC" w:rsidP="00D94ECC">
      <w:pPr>
        <w:spacing w:line="360" w:lineRule="auto"/>
        <w:jc w:val="both"/>
        <w:rPr>
          <w:rFonts w:ascii="Arial" w:hAnsi="Arial"/>
          <w:rtl/>
        </w:rPr>
      </w:pPr>
    </w:p>
    <w:p w14:paraId="7413E81A"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 xml:space="preserve">כמו כן, נטען שיש לבחון את העונש באספקלריה להתאמתו של המעשה עצמו ופחות ביחס להוראות החיקוק. כמו כן, נטען שהעבירות לא כללו תכנון אלא מדובר באירועים שהתגלגלו מאחד לשני. נטען עוד שכאשר מדובר באירוע המוני, עם כל החומרה שיש לכך לא ניתן לטעון לתכנון מוקדם בנסיבות העניין. נטען שגם בקשר ליום השני המפגש בין הנאשמים היה מקרי והם לא התארגנו יחד. הסנגור טען שמדובר בסופו של עניין באירועים ספונטניים על אף חומרתם שהתפתחו תוך רגע ללא שום תכנון מוקדם. נטען שעל אף ההרשעה בעבירות טרור, אין מדובר באנשים שיש להם רקע אידיאולוגי כלשהו; לגבי נאשם 1 נאמר שמדובר באדם צעיר ללא עבר פלילי או ביטחוני ושהוא לא מעורב פוליטית או ביטחונית, והוא מעולם השתתף בהפגנה קודם לכן. </w:t>
      </w:r>
    </w:p>
    <w:p w14:paraId="3ABC2CAD" w14:textId="77777777" w:rsidR="00D94ECC" w:rsidRDefault="00D94ECC" w:rsidP="00D94ECC">
      <w:pPr>
        <w:spacing w:line="360" w:lineRule="auto"/>
        <w:jc w:val="both"/>
        <w:rPr>
          <w:rFonts w:ascii="Arial" w:hAnsi="Arial"/>
          <w:rtl/>
        </w:rPr>
      </w:pPr>
    </w:p>
    <w:p w14:paraId="600AACCE" w14:textId="77777777" w:rsidR="00D94ECC" w:rsidRDefault="00D94ECC" w:rsidP="00D94ECC">
      <w:pPr>
        <w:spacing w:line="360" w:lineRule="auto"/>
        <w:ind w:firstLine="360"/>
        <w:jc w:val="both"/>
        <w:rPr>
          <w:rFonts w:ascii="Arial" w:hAnsi="Arial"/>
          <w:rtl/>
        </w:rPr>
      </w:pPr>
      <w:r>
        <w:rPr>
          <w:rFonts w:ascii="Arial" w:hAnsi="Arial" w:hint="cs"/>
          <w:rtl/>
        </w:rPr>
        <w:t>נטען שמדובר בהתארגנות מקרית של אנשים רבים שנכחו במקום.</w:t>
      </w:r>
    </w:p>
    <w:p w14:paraId="14945160" w14:textId="77777777" w:rsidR="00D94ECC" w:rsidRDefault="00D94ECC" w:rsidP="00D94ECC">
      <w:pPr>
        <w:spacing w:line="360" w:lineRule="auto"/>
        <w:jc w:val="both"/>
        <w:rPr>
          <w:rFonts w:ascii="Arial" w:hAnsi="Arial"/>
          <w:rtl/>
        </w:rPr>
      </w:pPr>
    </w:p>
    <w:p w14:paraId="190290FE"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 xml:space="preserve">ביחס לחלקו היחסי של הנאשם ומידת ההשפעה של האחר עליו, נטען שהנאשם 1 הוא היחיד שהואשם והורשע בשלושת האישומים הראשונים, למרות שביצע את הדברים יחד עם אחרים. נטען שההבדל היחיד בינו לבינם היה שהוא הודה בחקירתו בביצועם והאחרים לא, ונטען שמדובר במחדל חקירתי. נטען שהיום נאשם 1 נדרש לשלם לבדו את המחיר בגין כל אותם עשרות שהשתתפו באירועים. נטען שאין צדק בגישה כאילו שהוא לבדו גרם לאותם נזקים הכלולים באישומים 1 </w:t>
      </w:r>
      <w:r w:rsidRPr="004344C9">
        <w:rPr>
          <w:rFonts w:ascii="Arial" w:hAnsi="Arial"/>
          <w:rtl/>
        </w:rPr>
        <w:t>–</w:t>
      </w:r>
      <w:r w:rsidRPr="004344C9">
        <w:rPr>
          <w:rFonts w:ascii="Arial" w:hAnsi="Arial" w:hint="cs"/>
          <w:rtl/>
        </w:rPr>
        <w:t xml:space="preserve"> 3. </w:t>
      </w:r>
    </w:p>
    <w:p w14:paraId="12810DD5" w14:textId="77777777" w:rsidR="00D94ECC" w:rsidRDefault="00D94ECC" w:rsidP="00D94ECC">
      <w:pPr>
        <w:spacing w:line="360" w:lineRule="auto"/>
        <w:jc w:val="both"/>
        <w:rPr>
          <w:rFonts w:ascii="Arial" w:hAnsi="Arial"/>
          <w:rtl/>
        </w:rPr>
      </w:pPr>
    </w:p>
    <w:p w14:paraId="7BFC68A3"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 xml:space="preserve">נטען שבמקרה זה העובדה שמדובר באירוע המוני צריכה להיות נסיבה מקלה ולא מחמירה, בעיקר כיוון שלא היה תכנון והאירוע היה ספונטני. </w:t>
      </w:r>
    </w:p>
    <w:p w14:paraId="1D472144" w14:textId="77777777" w:rsidR="00D94ECC" w:rsidRDefault="00D94ECC" w:rsidP="00D94ECC">
      <w:pPr>
        <w:spacing w:line="360" w:lineRule="auto"/>
        <w:jc w:val="both"/>
        <w:rPr>
          <w:rFonts w:ascii="Arial" w:hAnsi="Arial"/>
          <w:rtl/>
        </w:rPr>
      </w:pPr>
    </w:p>
    <w:p w14:paraId="4CD3DE7B"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 xml:space="preserve">באשר לנזק שנגרם כתוצאה מביצוע העבירות, נטען שאומנם נגרמו נזקים רכושיים רציניים אך לא נגרמה שום פגיעה בנפש או בגוף, בשונה ממקרים אחרים. הסנגור הסכים שהיה פוטנציאל לגרימת נזק כזה אך ביקש להדגיש שבשורה תחתונה לא נגרם נזק לנפש ונטען שדבר זה צריך לפעול לטובת הנאשם. </w:t>
      </w:r>
    </w:p>
    <w:p w14:paraId="770AF809" w14:textId="77777777" w:rsidR="00D94ECC" w:rsidRDefault="00D94ECC" w:rsidP="00D94ECC">
      <w:pPr>
        <w:spacing w:line="360" w:lineRule="auto"/>
        <w:jc w:val="both"/>
        <w:rPr>
          <w:rFonts w:ascii="Arial" w:hAnsi="Arial"/>
          <w:rtl/>
        </w:rPr>
      </w:pPr>
    </w:p>
    <w:p w14:paraId="7ADA6BED" w14:textId="77777777" w:rsidR="00D94ECC" w:rsidRPr="004344C9" w:rsidRDefault="00D94ECC" w:rsidP="00D94ECC">
      <w:pPr>
        <w:pStyle w:val="af"/>
        <w:numPr>
          <w:ilvl w:val="0"/>
          <w:numId w:val="3"/>
        </w:numPr>
        <w:spacing w:line="360" w:lineRule="auto"/>
        <w:jc w:val="both"/>
        <w:rPr>
          <w:rFonts w:ascii="Arial" w:hAnsi="Arial"/>
          <w:rtl/>
        </w:rPr>
      </w:pPr>
      <w:r w:rsidRPr="004344C9">
        <w:rPr>
          <w:rFonts w:ascii="Arial" w:hAnsi="Arial" w:hint="cs"/>
          <w:rtl/>
        </w:rPr>
        <w:t>אוזכרו המקרים הבאים:</w:t>
      </w:r>
    </w:p>
    <w:p w14:paraId="286B4A47" w14:textId="77777777" w:rsidR="00D94ECC" w:rsidRDefault="00D94ECC" w:rsidP="00D94ECC">
      <w:pPr>
        <w:spacing w:line="360" w:lineRule="auto"/>
        <w:jc w:val="both"/>
        <w:rPr>
          <w:rFonts w:ascii="Arial" w:hAnsi="Arial"/>
          <w:rtl/>
        </w:rPr>
      </w:pPr>
    </w:p>
    <w:p w14:paraId="370D3DEA" w14:textId="77777777" w:rsidR="00D94ECC" w:rsidRPr="004344C9" w:rsidRDefault="00D94ECC" w:rsidP="00D94ECC">
      <w:pPr>
        <w:pStyle w:val="af"/>
        <w:numPr>
          <w:ilvl w:val="0"/>
          <w:numId w:val="8"/>
        </w:numPr>
        <w:spacing w:line="360" w:lineRule="auto"/>
        <w:jc w:val="both"/>
        <w:rPr>
          <w:rFonts w:ascii="Arial" w:hAnsi="Arial"/>
          <w:rtl/>
        </w:rPr>
      </w:pPr>
      <w:r w:rsidRPr="004344C9">
        <w:rPr>
          <w:rFonts w:ascii="Arial" w:hAnsi="Arial" w:hint="cs"/>
          <w:rtl/>
        </w:rPr>
        <w:t xml:space="preserve">ת"פ 3947-12-21 </w:t>
      </w:r>
      <w:r w:rsidRPr="004344C9">
        <w:rPr>
          <w:rFonts w:ascii="Arial" w:hAnsi="Arial" w:hint="cs"/>
          <w:b/>
          <w:bCs/>
          <w:rtl/>
        </w:rPr>
        <w:t xml:space="preserve">מדינת ישראל נ' אמסלם חסונה </w:t>
      </w:r>
      <w:r w:rsidRPr="004344C9">
        <w:rPr>
          <w:rFonts w:ascii="Arial" w:hAnsi="Arial" w:hint="cs"/>
          <w:rtl/>
        </w:rPr>
        <w:t xml:space="preserve">(12.7.23); שם נאשם הורשע על יסוד הודאתו בהסדר טיעון בביצוע עבירות של חבלה  חמורה לפי </w:t>
      </w:r>
      <w:hyperlink r:id="rId126" w:history="1">
        <w:r w:rsidR="009048EA" w:rsidRPr="009048EA">
          <w:rPr>
            <w:rStyle w:val="Hyperlink"/>
            <w:rFonts w:ascii="Arial" w:hAnsi="Arial" w:hint="eastAsia"/>
            <w:color w:val="0000FF"/>
            <w:rtl/>
          </w:rPr>
          <w:t>סעיפים</w:t>
        </w:r>
        <w:r w:rsidR="009048EA" w:rsidRPr="009048EA">
          <w:rPr>
            <w:rStyle w:val="Hyperlink"/>
            <w:rFonts w:ascii="Arial" w:hAnsi="Arial"/>
            <w:color w:val="0000FF"/>
            <w:rtl/>
          </w:rPr>
          <w:t xml:space="preserve"> 333</w:t>
        </w:r>
      </w:hyperlink>
      <w:r w:rsidRPr="004344C9">
        <w:rPr>
          <w:rFonts w:ascii="Arial" w:hAnsi="Arial" w:hint="cs"/>
          <w:rtl/>
        </w:rPr>
        <w:t xml:space="preserve"> + </w:t>
      </w:r>
      <w:hyperlink r:id="rId127" w:history="1">
        <w:r w:rsidR="009048EA" w:rsidRPr="009048EA">
          <w:rPr>
            <w:rStyle w:val="Hyperlink"/>
            <w:rFonts w:ascii="Arial" w:hAnsi="Arial"/>
            <w:color w:val="0000FF"/>
            <w:rtl/>
          </w:rPr>
          <w:t>335(א)(1)</w:t>
        </w:r>
      </w:hyperlink>
      <w:r w:rsidRPr="004344C9">
        <w:rPr>
          <w:rFonts w:ascii="Arial" w:hAnsi="Arial" w:hint="cs"/>
          <w:rtl/>
        </w:rPr>
        <w:t xml:space="preserve"> ל</w:t>
      </w:r>
      <w:hyperlink r:id="rId128" w:history="1">
        <w:r w:rsidR="00AB0E4D" w:rsidRPr="00AB0E4D">
          <w:rPr>
            <w:rFonts w:ascii="Arial" w:hAnsi="Arial"/>
            <w:color w:val="0000FF"/>
            <w:u w:val="single"/>
            <w:rtl/>
          </w:rPr>
          <w:t>חוק העונשין</w:t>
        </w:r>
      </w:hyperlink>
      <w:r w:rsidRPr="004344C9">
        <w:rPr>
          <w:rFonts w:ascii="Arial" w:hAnsi="Arial" w:hint="cs"/>
          <w:rtl/>
        </w:rPr>
        <w:t xml:space="preserve"> + </w:t>
      </w:r>
      <w:hyperlink r:id="rId129" w:history="1">
        <w:r w:rsidR="009048EA" w:rsidRPr="009048EA">
          <w:rPr>
            <w:rStyle w:val="Hyperlink"/>
            <w:rFonts w:ascii="Arial" w:hAnsi="Arial" w:hint="eastAsia"/>
            <w:color w:val="0000FF"/>
            <w:rtl/>
          </w:rPr>
          <w:t>סעיף</w:t>
        </w:r>
        <w:r w:rsidR="009048EA" w:rsidRPr="009048EA">
          <w:rPr>
            <w:rStyle w:val="Hyperlink"/>
            <w:rFonts w:ascii="Arial" w:hAnsi="Arial"/>
            <w:color w:val="0000FF"/>
            <w:rtl/>
          </w:rPr>
          <w:t xml:space="preserve"> 37(א)</w:t>
        </w:r>
      </w:hyperlink>
      <w:r w:rsidRPr="004344C9">
        <w:rPr>
          <w:rFonts w:ascii="Arial" w:hAnsi="Arial" w:hint="cs"/>
          <w:rtl/>
        </w:rPr>
        <w:t xml:space="preserve"> לחוק המאבק בטרור, נשיאת נשק, ירי מנשק חם ושיבוש מהלכי משפט, כאשר האירועים התרחשו בתקופת מבצע שומר חומות ונורה קרוב משפחתו של הנאשם. הנאשם ואחר הצטיידו  באקדחים טעונים, בהמשך הגיעו לזירת האירוע שהסתיים בירי של האחר לעבר תושבים יהודים. הנאשם זיהה את המתלונן, כיוון אליו את אקדחו וירה בו ופגע בו בשל זהותו כיהודי. באותו מקרה הוטלו 4 שנות מאסר (התיק הסתיים לאחר הליכי גישור). ההסדר אושר ע"י בית המשפט. </w:t>
      </w:r>
    </w:p>
    <w:p w14:paraId="120D15B9" w14:textId="77777777" w:rsidR="00D94ECC" w:rsidRPr="00944A05" w:rsidRDefault="00D94ECC" w:rsidP="00D94ECC">
      <w:pPr>
        <w:spacing w:line="360" w:lineRule="auto"/>
        <w:jc w:val="both"/>
        <w:rPr>
          <w:rFonts w:ascii="Arial" w:hAnsi="Arial"/>
          <w:rtl/>
        </w:rPr>
      </w:pPr>
    </w:p>
    <w:p w14:paraId="1B071A46" w14:textId="77777777" w:rsidR="00D94ECC" w:rsidRPr="004344C9" w:rsidRDefault="00AB0E4D" w:rsidP="00D94ECC">
      <w:pPr>
        <w:pStyle w:val="af"/>
        <w:numPr>
          <w:ilvl w:val="0"/>
          <w:numId w:val="8"/>
        </w:numPr>
        <w:spacing w:line="360" w:lineRule="auto"/>
        <w:jc w:val="both"/>
        <w:rPr>
          <w:rFonts w:ascii="Arial" w:hAnsi="Arial"/>
          <w:rtl/>
        </w:rPr>
      </w:pPr>
      <w:hyperlink r:id="rId130" w:history="1">
        <w:r w:rsidRPr="00AB0E4D">
          <w:rPr>
            <w:rFonts w:ascii="Arial" w:hAnsi="Arial"/>
            <w:color w:val="0000FF"/>
            <w:u w:val="single"/>
            <w:rtl/>
          </w:rPr>
          <w:t>תפ"ח 25853-06-21</w:t>
        </w:r>
      </w:hyperlink>
      <w:r w:rsidR="00D94ECC" w:rsidRPr="004344C9">
        <w:rPr>
          <w:rFonts w:ascii="Arial" w:hAnsi="Arial" w:hint="cs"/>
          <w:rtl/>
        </w:rPr>
        <w:t xml:space="preserve"> </w:t>
      </w:r>
      <w:r w:rsidR="00D94ECC" w:rsidRPr="004344C9">
        <w:rPr>
          <w:rFonts w:ascii="Arial" w:hAnsi="Arial" w:hint="cs"/>
          <w:b/>
          <w:bCs/>
          <w:rtl/>
        </w:rPr>
        <w:t xml:space="preserve">מדינת ישראל נ' אג'באריה </w:t>
      </w:r>
      <w:r w:rsidR="00D94ECC" w:rsidRPr="004344C9">
        <w:rPr>
          <w:rFonts w:ascii="Arial" w:hAnsi="Arial" w:hint="cs"/>
          <w:rtl/>
        </w:rPr>
        <w:t>(8.12.22); אירועים שהתרחשו במהלך מבצע שומר חומות. הנאשם החזיק מספר שנים באקדח שלא כדין וירה במהלך התפרעות לעבר שוטרים שהיו במרחק כ-100 מ' ממנו. על פי אישום נוסף הוא השליך רעף על אנשי כוחות הביטחון בכוונה להטיל בהם מום או לגרום להם חבלה חמורה מתוך מניע לאומני אידיאולוגי, הוא פגע בראשו של אחד מהם. הוטלו עליו 15 שנות מאסר בפועל. נטען כי מדובר בשני אישומים וכי המקרה היה חמור יותר מאשר המקרה דנן. נטען עוד כי נטען למתחם נמוך יותר לעניין הירי למרות הדמיון למקרה דנן.</w:t>
      </w:r>
    </w:p>
    <w:p w14:paraId="7A87AE84" w14:textId="77777777" w:rsidR="00D94ECC" w:rsidRDefault="00D94ECC" w:rsidP="00D94ECC">
      <w:pPr>
        <w:spacing w:line="360" w:lineRule="auto"/>
        <w:jc w:val="both"/>
        <w:rPr>
          <w:rFonts w:ascii="Arial" w:hAnsi="Arial"/>
          <w:rtl/>
        </w:rPr>
      </w:pPr>
    </w:p>
    <w:p w14:paraId="423EFBE8" w14:textId="77777777" w:rsidR="00D94ECC" w:rsidRPr="004344C9" w:rsidRDefault="00AB0E4D" w:rsidP="00D94ECC">
      <w:pPr>
        <w:pStyle w:val="af"/>
        <w:numPr>
          <w:ilvl w:val="0"/>
          <w:numId w:val="8"/>
        </w:numPr>
        <w:spacing w:line="360" w:lineRule="auto"/>
        <w:jc w:val="both"/>
        <w:rPr>
          <w:rFonts w:ascii="Arial" w:hAnsi="Arial"/>
          <w:rtl/>
        </w:rPr>
      </w:pPr>
      <w:hyperlink r:id="rId131" w:history="1">
        <w:r w:rsidRPr="00AB0E4D">
          <w:rPr>
            <w:rFonts w:ascii="Arial" w:hAnsi="Arial"/>
            <w:color w:val="0000FF"/>
            <w:u w:val="single"/>
            <w:rtl/>
          </w:rPr>
          <w:t>ת"פ 55483-06-21</w:t>
        </w:r>
      </w:hyperlink>
      <w:r w:rsidR="00D94ECC" w:rsidRPr="004344C9">
        <w:rPr>
          <w:rFonts w:ascii="Arial" w:hAnsi="Arial" w:hint="cs"/>
          <w:rtl/>
        </w:rPr>
        <w:t xml:space="preserve"> </w:t>
      </w:r>
      <w:r w:rsidR="00D94ECC" w:rsidRPr="004344C9">
        <w:rPr>
          <w:rFonts w:ascii="Arial" w:hAnsi="Arial" w:hint="cs"/>
          <w:b/>
          <w:bCs/>
          <w:rtl/>
        </w:rPr>
        <w:t xml:space="preserve">מדינת ישראל נ' מוחמד שאער </w:t>
      </w:r>
      <w:r w:rsidR="00D94ECC" w:rsidRPr="004344C9">
        <w:rPr>
          <w:rFonts w:ascii="Arial" w:hAnsi="Arial" w:hint="cs"/>
          <w:rtl/>
        </w:rPr>
        <w:t>(30.6.22); שני נאשמים הורשעו על פי הודאתם בהתפרעות, נשיאה והובלת נשק, ירי מנשק חם, היזק לרכוש בזדון, שינוי זהות של רכב ונהיגה ללא ביטוח (לנאשם 2 הוספה עבירה של החזקת נשק והוא היה ללא עבירות הנהיגה). העבירות א</w:t>
      </w:r>
      <w:r w:rsidR="00D94ECC">
        <w:rPr>
          <w:rFonts w:ascii="Arial" w:hAnsi="Arial" w:hint="cs"/>
          <w:rtl/>
        </w:rPr>
        <w:t>י</w:t>
      </w:r>
      <w:r w:rsidR="00D94ECC" w:rsidRPr="004344C9">
        <w:rPr>
          <w:rFonts w:ascii="Arial" w:hAnsi="Arial" w:hint="cs"/>
          <w:rtl/>
        </w:rPr>
        <w:t xml:space="preserve">רעו במהלך מבצע שומר חומות כאשר בשעות הלילה ביום 10.5.21 התקיימה התקהלות במתחם הר הבית בירושלים שהידרדרה לכדי התפרעות. שני הנאשמים השתתפו בהתפרעות. כ-3 ימים לאחר מכן קשרו קשר לבצע ירי לעבר סניף בנק בשפרעם נוכח האירועים. בשעת לילה מאוחרת כשהם רכובים על אופנוע ירה נאשם 2 מספר כדורים מאקדח שנשא. בהמשך תכננו לידות בקת"בים לעבר תחנת משטרת שפרעם ולהציתה ממניע לאומני אידיאולוגי ויצרו בקת"בים לצורך זה. על נאשם 1 נגזרו 6 שנות מאסר. על נאשם 2 הוטלו 43 חודשי מאסר. </w:t>
      </w:r>
    </w:p>
    <w:p w14:paraId="0552DA29" w14:textId="77777777" w:rsidR="00D94ECC" w:rsidRDefault="00D94ECC" w:rsidP="00D94ECC">
      <w:pPr>
        <w:spacing w:line="360" w:lineRule="auto"/>
        <w:jc w:val="both"/>
        <w:rPr>
          <w:rFonts w:ascii="Arial" w:hAnsi="Arial"/>
          <w:rtl/>
        </w:rPr>
      </w:pPr>
    </w:p>
    <w:p w14:paraId="5688196E" w14:textId="77777777" w:rsidR="00D94ECC" w:rsidRPr="004344C9" w:rsidRDefault="00D94ECC" w:rsidP="00D94ECC">
      <w:pPr>
        <w:pStyle w:val="af"/>
        <w:numPr>
          <w:ilvl w:val="0"/>
          <w:numId w:val="8"/>
        </w:numPr>
        <w:spacing w:line="360" w:lineRule="auto"/>
        <w:jc w:val="both"/>
        <w:rPr>
          <w:rFonts w:ascii="Arial" w:hAnsi="Arial"/>
          <w:rtl/>
        </w:rPr>
      </w:pPr>
      <w:r w:rsidRPr="004344C9">
        <w:rPr>
          <w:rFonts w:ascii="Arial" w:hAnsi="Arial" w:hint="cs"/>
          <w:rtl/>
        </w:rPr>
        <w:t xml:space="preserve">ת"פ 1734-07-21 </w:t>
      </w:r>
      <w:r w:rsidRPr="004344C9">
        <w:rPr>
          <w:rFonts w:ascii="Arial" w:hAnsi="Arial" w:hint="cs"/>
          <w:b/>
          <w:bCs/>
          <w:rtl/>
        </w:rPr>
        <w:t>מדינת ישראל נ' עכאוי ואח'</w:t>
      </w:r>
      <w:r w:rsidRPr="004344C9">
        <w:rPr>
          <w:rFonts w:ascii="Arial" w:hAnsi="Arial" w:hint="cs"/>
          <w:rtl/>
        </w:rPr>
        <w:t xml:space="preserve"> (7.3.22), נטען שנאשם 3 באותו מקרה הורשע ב-7 אישומים להבדיל מ-4 אישומים בהם הורשע נאשם 1 כאן. שבעת האישומים כללו התפרעות, התפרעות שסופה נזק ממניע גזעני והיזק בזדון לרכוש ממניע של גזענות, התפרעות (שני אישומים), הסגת גבול כדי לעבור עבירה ממניע של גזענות, התפרצות לבניין בנסיבות מחמירות ממניע של גזענות, תקיפת עובד ציבור בנסיבות מחמירות וסיוע לתקיפת עובד ציבור בנסיבות מחמירות, הסגת גבול כדי לעבור עבירה ממניע של גזענות, הצתה ועבירות בנשק ועוד התפרעות והפרעה לשוטר בנסיבות מחמירות ועבירות בנשק. נטען עוד שהיה לו עבר פלילי מכביד יותר. נטען שבית המשפט העליון הביע דעתו שהוטל עונש חמור אך שאינו מצדיק התערבותו. כמו כן נטען שבמקרה דנן צריכה להיות חפיפה משמעותית עם העונשים שיוטלו. בסופו של עניין נידון נאשם 3 ל-6 שנות מאסר ו-8 חודשים. </w:t>
      </w:r>
    </w:p>
    <w:p w14:paraId="3E447631" w14:textId="77777777" w:rsidR="00D94ECC" w:rsidRDefault="00D94ECC" w:rsidP="00D94ECC">
      <w:pPr>
        <w:spacing w:line="360" w:lineRule="auto"/>
        <w:jc w:val="both"/>
        <w:rPr>
          <w:rFonts w:ascii="Arial" w:hAnsi="Arial"/>
          <w:rtl/>
        </w:rPr>
      </w:pPr>
    </w:p>
    <w:p w14:paraId="6376F87C" w14:textId="77777777" w:rsidR="00D94ECC" w:rsidRPr="004344C9" w:rsidRDefault="00D94ECC" w:rsidP="00D94ECC">
      <w:pPr>
        <w:pStyle w:val="af"/>
        <w:numPr>
          <w:ilvl w:val="0"/>
          <w:numId w:val="8"/>
        </w:numPr>
        <w:spacing w:line="360" w:lineRule="auto"/>
        <w:jc w:val="both"/>
        <w:rPr>
          <w:rFonts w:ascii="Arial" w:hAnsi="Arial"/>
          <w:rtl/>
        </w:rPr>
      </w:pPr>
      <w:r w:rsidRPr="004344C9">
        <w:rPr>
          <w:rFonts w:ascii="Arial" w:hAnsi="Arial" w:hint="cs"/>
          <w:rtl/>
        </w:rPr>
        <w:t xml:space="preserve">ת"פ 18259-03-21 </w:t>
      </w:r>
      <w:r w:rsidRPr="004344C9">
        <w:rPr>
          <w:rFonts w:ascii="Arial" w:hAnsi="Arial" w:hint="cs"/>
          <w:b/>
          <w:bCs/>
          <w:rtl/>
        </w:rPr>
        <w:t xml:space="preserve">מדינת ישראל נ' חליל חאסקיה </w:t>
      </w:r>
      <w:r w:rsidRPr="004344C9">
        <w:rPr>
          <w:rFonts w:ascii="Arial" w:hAnsi="Arial" w:hint="cs"/>
          <w:rtl/>
        </w:rPr>
        <w:t xml:space="preserve">(21.7.22); במהלך מבצע שומר חומות שני אירועי התפרעות  במהלכם נחסמו כבישים ויודו בקת"בים. שם היה מדובר ב-5 אישומים ומעורבות בשתי התפרעויות בהן נטל הנאשם חלק פעיל יותר, והיה מעורב ב-3 אירועים של היזק לרכוש ממניע גזעני שכלל הצתות. הוטלו עליו בסופו של דבר 6 שנות מאסר. </w:t>
      </w:r>
    </w:p>
    <w:p w14:paraId="6627A036" w14:textId="77777777" w:rsidR="00D94ECC" w:rsidRDefault="00D94ECC" w:rsidP="00D94ECC">
      <w:pPr>
        <w:spacing w:line="360" w:lineRule="auto"/>
        <w:jc w:val="both"/>
        <w:rPr>
          <w:rFonts w:ascii="Arial" w:hAnsi="Arial"/>
          <w:rtl/>
        </w:rPr>
      </w:pPr>
    </w:p>
    <w:p w14:paraId="193A186D" w14:textId="77777777" w:rsidR="00D94ECC" w:rsidRPr="004344C9" w:rsidRDefault="00AB0E4D" w:rsidP="00D94ECC">
      <w:pPr>
        <w:pStyle w:val="af"/>
        <w:numPr>
          <w:ilvl w:val="0"/>
          <w:numId w:val="8"/>
        </w:numPr>
        <w:spacing w:line="360" w:lineRule="auto"/>
        <w:jc w:val="both"/>
        <w:rPr>
          <w:rFonts w:ascii="Arial" w:hAnsi="Arial"/>
          <w:rtl/>
        </w:rPr>
      </w:pPr>
      <w:hyperlink r:id="rId132" w:history="1">
        <w:r w:rsidRPr="00AB0E4D">
          <w:rPr>
            <w:rFonts w:ascii="Arial" w:hAnsi="Arial"/>
            <w:color w:val="0000FF"/>
            <w:u w:val="single"/>
            <w:rtl/>
          </w:rPr>
          <w:t>ע"פ 7848/22</w:t>
        </w:r>
      </w:hyperlink>
      <w:r w:rsidR="00D94ECC" w:rsidRPr="004344C9">
        <w:rPr>
          <w:rFonts w:ascii="Arial" w:hAnsi="Arial" w:hint="cs"/>
          <w:rtl/>
        </w:rPr>
        <w:t xml:space="preserve"> </w:t>
      </w:r>
      <w:r w:rsidR="00D94ECC" w:rsidRPr="004344C9">
        <w:rPr>
          <w:rFonts w:ascii="Arial" w:hAnsi="Arial" w:hint="cs"/>
          <w:b/>
          <w:bCs/>
          <w:rtl/>
        </w:rPr>
        <w:t xml:space="preserve">אמסרי נ' מדינת ישראל </w:t>
      </w:r>
      <w:r w:rsidR="00D94ECC" w:rsidRPr="004344C9">
        <w:rPr>
          <w:rFonts w:ascii="Arial" w:hAnsi="Arial" w:hint="cs"/>
          <w:rtl/>
        </w:rPr>
        <w:t>(2.5.23); מדובר בנאשם שהיה מעורב במספר אירועים במספר זירות על פני יומיים, בעבירות שכללו התפרעות שסופה נזק ממניע של גזענות, הפרעה לשוטר בנסיבות מחמירות, היזק בזדון ממניע של גזענות, התפרצות לבניין בנסיבות מחמירות ממניע של גזענות, גניבה ממניע של גזענות, הסגת גבול כדי לעבור עבירה ממניע של גזענות.  הוטלו עליו 40 חודשי מאסר והערעור נדחה.</w:t>
      </w:r>
    </w:p>
    <w:p w14:paraId="64C7DB26" w14:textId="77777777" w:rsidR="00D94ECC" w:rsidRDefault="00D94ECC" w:rsidP="00D94ECC">
      <w:pPr>
        <w:spacing w:line="360" w:lineRule="auto"/>
        <w:jc w:val="both"/>
        <w:rPr>
          <w:rFonts w:ascii="Arial" w:hAnsi="Arial"/>
          <w:rtl/>
        </w:rPr>
      </w:pPr>
    </w:p>
    <w:p w14:paraId="622F1A91" w14:textId="77777777" w:rsidR="00D94ECC" w:rsidRPr="008C7F84" w:rsidRDefault="00D94ECC" w:rsidP="00D94ECC">
      <w:pPr>
        <w:pStyle w:val="af"/>
        <w:numPr>
          <w:ilvl w:val="0"/>
          <w:numId w:val="8"/>
        </w:numPr>
        <w:spacing w:line="360" w:lineRule="auto"/>
        <w:jc w:val="both"/>
        <w:rPr>
          <w:rFonts w:ascii="Arial" w:hAnsi="Arial"/>
          <w:rtl/>
        </w:rPr>
      </w:pPr>
      <w:r w:rsidRPr="004344C9">
        <w:rPr>
          <w:rFonts w:ascii="Arial" w:hAnsi="Arial" w:hint="cs"/>
          <w:rtl/>
        </w:rPr>
        <w:t xml:space="preserve">ת"פ 58199-06-21 </w:t>
      </w:r>
      <w:r w:rsidRPr="004344C9">
        <w:rPr>
          <w:rFonts w:ascii="Arial" w:hAnsi="Arial" w:hint="cs"/>
          <w:b/>
          <w:bCs/>
          <w:rtl/>
        </w:rPr>
        <w:t xml:space="preserve">מדינת ישראל נ' מוחמד ח'ליל </w:t>
      </w:r>
      <w:r w:rsidRPr="004344C9">
        <w:rPr>
          <w:rFonts w:ascii="Arial" w:hAnsi="Arial" w:hint="cs"/>
          <w:rtl/>
        </w:rPr>
        <w:t xml:space="preserve">(2.12.21); נאשם שנטל חלק בשני אירועי התפרעות, הראשון היה עם אחרים כשהוא רעול פנים במהלכו ידה מספר אבנים לעבר שוטרים והכין בעזרת קטין 9 בקת"בים. באירוע נוסף הוא השתתף בהתקהלות בה הוצתו צמיגים ויודו אבנים לעבר שוטרים שפעלו ברחוב, כאשר הובאו למקום הבקת"בים והשליך בקבוק לעבר צמיג שהיה במקום, בקבוק נוסף לעבר קרש כדי להציתו והשליך מספר אבנים לעבר שוטרים. באירוע נוסף הייתה התקהלות נוספת עם חסימת כביש והבערת צמיגים ויידוי אבנים ובקת"בים ואף נורתה אש מנשק חם לעבר השוטרים כאשר הנאשם נטל חלק בהתפרעות. </w:t>
      </w:r>
      <w:r w:rsidRPr="008C7F84">
        <w:rPr>
          <w:rFonts w:ascii="Arial" w:hAnsi="Arial" w:hint="cs"/>
          <w:rtl/>
        </w:rPr>
        <w:t xml:space="preserve">שם נקבע שמתחם עונש הולם ל-3 אירועים בין 22 </w:t>
      </w:r>
      <w:r w:rsidRPr="008C7F84">
        <w:rPr>
          <w:rFonts w:ascii="Arial" w:hAnsi="Arial"/>
          <w:rtl/>
        </w:rPr>
        <w:t>–</w:t>
      </w:r>
      <w:r w:rsidRPr="008C7F84">
        <w:rPr>
          <w:rFonts w:ascii="Arial" w:hAnsi="Arial" w:hint="cs"/>
          <w:rtl/>
        </w:rPr>
        <w:t xml:space="preserve"> 48 חודשי מאסר. האירועים התפרשו על פני 3 ימים. לבסוף החליט בית המשפט לסטות ממתחם הענישה לקולא והטיל 20 חודשי מאסר שהוחמר בבית המשפט העליון ל-32 חודשים - </w:t>
      </w:r>
      <w:hyperlink r:id="rId133" w:history="1">
        <w:r w:rsidR="00AB0E4D" w:rsidRPr="00AB0E4D">
          <w:rPr>
            <w:rFonts w:ascii="Arial" w:hAnsi="Arial"/>
            <w:color w:val="0000FF"/>
            <w:u w:val="single"/>
            <w:rtl/>
          </w:rPr>
          <w:t>ע"פ 292/22</w:t>
        </w:r>
      </w:hyperlink>
      <w:r w:rsidRPr="008C7F84">
        <w:rPr>
          <w:rFonts w:ascii="Arial" w:hAnsi="Arial" w:hint="cs"/>
          <w:rtl/>
        </w:rPr>
        <w:t>).</w:t>
      </w:r>
    </w:p>
    <w:p w14:paraId="441B1DBE" w14:textId="77777777" w:rsidR="00D94ECC" w:rsidRDefault="00D94ECC" w:rsidP="00D94ECC">
      <w:pPr>
        <w:spacing w:line="360" w:lineRule="auto"/>
        <w:jc w:val="both"/>
        <w:rPr>
          <w:rFonts w:ascii="Arial" w:hAnsi="Arial"/>
          <w:rtl/>
        </w:rPr>
      </w:pPr>
    </w:p>
    <w:p w14:paraId="5F50DF88" w14:textId="77777777" w:rsidR="00D94ECC" w:rsidRPr="00021F74" w:rsidRDefault="00AB0E4D" w:rsidP="00D94ECC">
      <w:pPr>
        <w:pStyle w:val="af"/>
        <w:numPr>
          <w:ilvl w:val="0"/>
          <w:numId w:val="8"/>
        </w:numPr>
        <w:spacing w:line="360" w:lineRule="auto"/>
        <w:jc w:val="both"/>
        <w:rPr>
          <w:rFonts w:ascii="Arial" w:hAnsi="Arial"/>
          <w:rtl/>
        </w:rPr>
      </w:pPr>
      <w:hyperlink r:id="rId134" w:history="1">
        <w:r w:rsidRPr="00AB0E4D">
          <w:rPr>
            <w:rFonts w:ascii="Arial" w:hAnsi="Arial"/>
            <w:color w:val="0000FF"/>
            <w:u w:val="single"/>
            <w:rtl/>
          </w:rPr>
          <w:t>ת"פ 10894-06-21</w:t>
        </w:r>
      </w:hyperlink>
      <w:r w:rsidR="00D94ECC" w:rsidRPr="00021F74">
        <w:rPr>
          <w:rFonts w:ascii="Arial" w:hAnsi="Arial" w:hint="cs"/>
          <w:rtl/>
        </w:rPr>
        <w:t xml:space="preserve"> </w:t>
      </w:r>
      <w:r w:rsidR="00D94ECC" w:rsidRPr="00021F74">
        <w:rPr>
          <w:rFonts w:ascii="Arial" w:hAnsi="Arial" w:hint="cs"/>
          <w:b/>
          <w:bCs/>
          <w:rtl/>
        </w:rPr>
        <w:t xml:space="preserve">מדינת ישראל נ' עומר אבו זינה </w:t>
      </w:r>
      <w:r w:rsidR="00D94ECC" w:rsidRPr="00021F74">
        <w:rPr>
          <w:rFonts w:ascii="Arial" w:hAnsi="Arial" w:hint="cs"/>
          <w:rtl/>
        </w:rPr>
        <w:t xml:space="preserve">(8.12.21); שם היה מדובר בהתפרעות, עבירת מעשה פזיזות ורשלנות, עבירה של פעולה בנשק למטרות טרור, עבירה של מעשה טרור וחבלה בכוונה מחמירה. באותו מקרה במהלך מבצע שומר חומות החלה הפרת סדר והתפרעות נגד שוטרים בישוב בית חנינה. עשרות מתפרעים חסמו את הכביש והציתו צמיגים והשליכי לעבר שוטרים אבנים, זיקוקים, ובקת"ב. הנאשם הצטרף ומשך ודקות ארוכות ידה ממרחק 20 מ' אבנים לעבר שוטרים וידה בקת"ב לעברם. נקבע מתחם ענישה שבין 30 </w:t>
      </w:r>
      <w:r w:rsidR="00D94ECC" w:rsidRPr="00021F74">
        <w:rPr>
          <w:rFonts w:ascii="Arial" w:hAnsi="Arial"/>
          <w:rtl/>
        </w:rPr>
        <w:t>–</w:t>
      </w:r>
      <w:r w:rsidR="00D94ECC" w:rsidRPr="00021F74">
        <w:rPr>
          <w:rFonts w:ascii="Arial" w:hAnsi="Arial" w:hint="cs"/>
          <w:rtl/>
        </w:rPr>
        <w:t xml:space="preserve"> 60 חודשי מאסר והוטלו 30 חודשים. </w:t>
      </w:r>
    </w:p>
    <w:p w14:paraId="3C9C589F" w14:textId="77777777" w:rsidR="00D94ECC" w:rsidRDefault="00D94ECC" w:rsidP="00D94ECC">
      <w:pPr>
        <w:spacing w:line="360" w:lineRule="auto"/>
        <w:jc w:val="both"/>
        <w:rPr>
          <w:rFonts w:ascii="Arial" w:hAnsi="Arial"/>
          <w:rtl/>
        </w:rPr>
      </w:pPr>
    </w:p>
    <w:p w14:paraId="55009B09" w14:textId="77777777" w:rsidR="00D94ECC" w:rsidRPr="00021F74" w:rsidRDefault="00AB0E4D" w:rsidP="00D94ECC">
      <w:pPr>
        <w:pStyle w:val="af"/>
        <w:numPr>
          <w:ilvl w:val="0"/>
          <w:numId w:val="8"/>
        </w:numPr>
        <w:spacing w:line="360" w:lineRule="auto"/>
        <w:jc w:val="both"/>
        <w:rPr>
          <w:rFonts w:ascii="Arial" w:hAnsi="Arial"/>
          <w:rtl/>
        </w:rPr>
      </w:pPr>
      <w:hyperlink r:id="rId135" w:history="1">
        <w:r w:rsidRPr="00AB0E4D">
          <w:rPr>
            <w:rFonts w:ascii="Arial" w:hAnsi="Arial"/>
            <w:color w:val="0000FF"/>
            <w:u w:val="single"/>
            <w:rtl/>
          </w:rPr>
          <w:t>ת"פ 66152-06-20</w:t>
        </w:r>
      </w:hyperlink>
      <w:r w:rsidR="00D94ECC" w:rsidRPr="00021F74">
        <w:rPr>
          <w:rFonts w:ascii="Arial" w:hAnsi="Arial" w:hint="cs"/>
          <w:rtl/>
        </w:rPr>
        <w:t xml:space="preserve"> </w:t>
      </w:r>
      <w:r w:rsidR="00D94ECC" w:rsidRPr="00021F74">
        <w:rPr>
          <w:rFonts w:ascii="Arial" w:hAnsi="Arial" w:hint="cs"/>
          <w:b/>
          <w:bCs/>
          <w:rtl/>
        </w:rPr>
        <w:t>מדינת ישראל נ' אבו סקראן</w:t>
      </w:r>
      <w:r w:rsidR="00D94ECC" w:rsidRPr="00021F74">
        <w:rPr>
          <w:rFonts w:ascii="Arial" w:hAnsi="Arial" w:hint="cs"/>
          <w:rtl/>
        </w:rPr>
        <w:t xml:space="preserve"> (7.3.21); המקרה כלל 3 אישומים שיוחסו לשני נאשמים ואירוע רביעי שיוחס לנאשם אחד. דובר בקשירת קשר ויידוי בקת"בים שכלל התארגנות והפעלת זיקוקים לעבר בתי יהודים ורכבים. ביחס לנאשם 1 שהורשע בארבעה אישומים נקבע מתחם ענישה שבין 20 </w:t>
      </w:r>
      <w:r w:rsidR="00D94ECC" w:rsidRPr="00021F74">
        <w:rPr>
          <w:rFonts w:ascii="Arial" w:hAnsi="Arial"/>
          <w:rtl/>
        </w:rPr>
        <w:t>–</w:t>
      </w:r>
      <w:r w:rsidR="00D94ECC" w:rsidRPr="00021F74">
        <w:rPr>
          <w:rFonts w:ascii="Arial" w:hAnsi="Arial" w:hint="cs"/>
          <w:rtl/>
        </w:rPr>
        <w:t xml:space="preserve"> 40 חודשים ולגבי נאשם אחר שיוחסו לו 3 אישומים נקבע מתחם שבין 15 </w:t>
      </w:r>
      <w:r w:rsidR="00D94ECC" w:rsidRPr="00021F74">
        <w:rPr>
          <w:rFonts w:ascii="Arial" w:hAnsi="Arial"/>
          <w:rtl/>
        </w:rPr>
        <w:t>–</w:t>
      </w:r>
      <w:r w:rsidR="00D94ECC" w:rsidRPr="00021F74">
        <w:rPr>
          <w:rFonts w:ascii="Arial" w:hAnsi="Arial" w:hint="cs"/>
          <w:rtl/>
        </w:rPr>
        <w:t xml:space="preserve"> 30 חודשים. על נאשם 1 נגזרו 26 חודשים ועל נאשם 2 נגזרו 18 חודשים. </w:t>
      </w:r>
    </w:p>
    <w:p w14:paraId="134888DB" w14:textId="77777777" w:rsidR="00D94ECC" w:rsidRDefault="00D94ECC" w:rsidP="00D94ECC">
      <w:pPr>
        <w:spacing w:line="360" w:lineRule="auto"/>
        <w:jc w:val="both"/>
        <w:rPr>
          <w:rFonts w:ascii="Arial" w:hAnsi="Arial"/>
          <w:rtl/>
        </w:rPr>
      </w:pPr>
    </w:p>
    <w:p w14:paraId="60B6F234" w14:textId="77777777" w:rsidR="00D94ECC" w:rsidRPr="00021F74" w:rsidRDefault="00AB0E4D" w:rsidP="00D94ECC">
      <w:pPr>
        <w:pStyle w:val="af"/>
        <w:numPr>
          <w:ilvl w:val="0"/>
          <w:numId w:val="8"/>
        </w:numPr>
        <w:spacing w:line="360" w:lineRule="auto"/>
        <w:jc w:val="both"/>
        <w:rPr>
          <w:rFonts w:ascii="Arial" w:hAnsi="Arial"/>
          <w:rtl/>
        </w:rPr>
      </w:pPr>
      <w:hyperlink r:id="rId136" w:history="1">
        <w:r w:rsidRPr="00AB0E4D">
          <w:rPr>
            <w:rFonts w:ascii="Arial" w:hAnsi="Arial"/>
            <w:color w:val="0000FF"/>
            <w:u w:val="single"/>
            <w:rtl/>
          </w:rPr>
          <w:t>ת"פ 30932-05-21</w:t>
        </w:r>
      </w:hyperlink>
      <w:r w:rsidR="00D94ECC" w:rsidRPr="00021F74">
        <w:rPr>
          <w:rFonts w:ascii="Arial" w:hAnsi="Arial" w:hint="cs"/>
          <w:rtl/>
        </w:rPr>
        <w:t xml:space="preserve"> </w:t>
      </w:r>
      <w:r w:rsidR="00D94ECC" w:rsidRPr="00021F74">
        <w:rPr>
          <w:rFonts w:ascii="Arial" w:hAnsi="Arial" w:hint="cs"/>
          <w:b/>
          <w:bCs/>
          <w:rtl/>
        </w:rPr>
        <w:t>מדינת ישראל נ' יוסף יאזן</w:t>
      </w:r>
      <w:r w:rsidR="00D94ECC" w:rsidRPr="00021F74">
        <w:rPr>
          <w:rFonts w:ascii="Arial" w:hAnsi="Arial" w:hint="cs"/>
          <w:rtl/>
        </w:rPr>
        <w:t xml:space="preserve"> (24.5.22); שם נקבע מתחם אחד ל-4 אירועים של ירי זיקוקים ואבנים שהתפרשו על פני חודשים ובכל זאת נקבע מתחם עונש אחד. הנאשם הורשע על פי הודאתו בהתפרעות </w:t>
      </w:r>
      <w:r w:rsidR="00D94ECC" w:rsidRPr="00021F74">
        <w:rPr>
          <w:rFonts w:ascii="Arial" w:hAnsi="Arial"/>
          <w:rtl/>
        </w:rPr>
        <w:t>–</w:t>
      </w:r>
      <w:r w:rsidR="00D94ECC" w:rsidRPr="00021F74">
        <w:rPr>
          <w:rFonts w:ascii="Arial" w:hAnsi="Arial" w:hint="cs"/>
          <w:rtl/>
        </w:rPr>
        <w:t xml:space="preserve"> 3 עבירות, ניסיון תקיפת שוטר בנסיבות מחמירות, מעשי פזיזות ורשלנות </w:t>
      </w:r>
      <w:r w:rsidR="00D94ECC" w:rsidRPr="00021F74">
        <w:rPr>
          <w:rFonts w:ascii="Arial" w:hAnsi="Arial"/>
          <w:rtl/>
        </w:rPr>
        <w:t>–</w:t>
      </w:r>
      <w:r w:rsidR="00D94ECC" w:rsidRPr="00021F74">
        <w:rPr>
          <w:rFonts w:ascii="Arial" w:hAnsi="Arial" w:hint="cs"/>
          <w:rtl/>
        </w:rPr>
        <w:t xml:space="preserve"> 3 עבירות, ניסיון מעשה טרור של ניסיון הצתה, הפרעה לשוטר בנסיבות מחמירות וניסיון תקיפת שוטר בנסיבות מחמירות. הוטל מאסר בן 3 שנים ו-4 חודשים שבערעור הורדו ה-4 חודשים כאשר בשל אחידות הענישה הומתק העונש בעליון ל-3 שנים. </w:t>
      </w:r>
    </w:p>
    <w:p w14:paraId="65769B04" w14:textId="77777777" w:rsidR="00D94ECC" w:rsidRDefault="00D94ECC" w:rsidP="00D94ECC">
      <w:pPr>
        <w:spacing w:line="360" w:lineRule="auto"/>
        <w:jc w:val="both"/>
        <w:rPr>
          <w:rFonts w:ascii="Arial" w:hAnsi="Arial"/>
          <w:rtl/>
        </w:rPr>
      </w:pPr>
    </w:p>
    <w:p w14:paraId="1225D866" w14:textId="77777777" w:rsidR="00D94ECC" w:rsidRDefault="00D94ECC" w:rsidP="00D94ECC">
      <w:pPr>
        <w:spacing w:line="360" w:lineRule="auto"/>
        <w:ind w:left="425" w:hanging="425"/>
        <w:jc w:val="both"/>
        <w:rPr>
          <w:rFonts w:ascii="Arial" w:hAnsi="Arial"/>
          <w:rtl/>
        </w:rPr>
      </w:pPr>
      <w:r>
        <w:rPr>
          <w:rFonts w:ascii="Arial" w:hAnsi="Arial" w:hint="cs"/>
          <w:rtl/>
        </w:rPr>
        <w:t>30.</w:t>
      </w:r>
      <w:r>
        <w:rPr>
          <w:rFonts w:ascii="Arial" w:hAnsi="Arial"/>
          <w:rtl/>
        </w:rPr>
        <w:tab/>
      </w:r>
      <w:r>
        <w:rPr>
          <w:rFonts w:ascii="Arial" w:hAnsi="Arial" w:hint="cs"/>
          <w:rtl/>
        </w:rPr>
        <w:t xml:space="preserve">לגבי הפגיעה של העונש בנאשם, נטען שמדובר באדם הנמצא במעצר מזה כ- 3 שנים באגפים ביטחוניים שבהם התנאים קשים והפכו לעוד יותר קשים בעקבות אירועי 7 לאוקטובר. נטען עוד שהנאשם לא יזכה לשליש ולא יהיו לו חופשות, כך שכל עונש שיוטל הינו "נטו". נטען שהנאשם כמעט בן 24 היום ונטען שאין ציפייה שהוא ישוחרר מיד עם סיום ההליך אך צוין שיש פער עצום אם ישתחרר בעוד שנתיים או 4 שנים כשהוא שעדיין יוכל לבנות עתידו ולהקים משפחה לבין אדם שמשתחרר בגיל מאוחר יותר באופן משמעותי. נטען שמשפחתו של הנאשם נורמטיבית כפי שעלה מעדות אביו וכי האישומים השפיעו קשות על המשפחה. </w:t>
      </w:r>
    </w:p>
    <w:p w14:paraId="50EB82C4" w14:textId="77777777" w:rsidR="00D94ECC" w:rsidRDefault="00D94ECC" w:rsidP="00D94ECC">
      <w:pPr>
        <w:spacing w:line="360" w:lineRule="auto"/>
        <w:jc w:val="both"/>
        <w:rPr>
          <w:rFonts w:ascii="Arial" w:hAnsi="Arial"/>
          <w:rtl/>
        </w:rPr>
      </w:pPr>
    </w:p>
    <w:p w14:paraId="76047E81" w14:textId="77777777" w:rsidR="00D94ECC" w:rsidRDefault="00D94ECC" w:rsidP="00D94ECC">
      <w:pPr>
        <w:spacing w:line="360" w:lineRule="auto"/>
        <w:ind w:left="425" w:hanging="425"/>
        <w:jc w:val="both"/>
        <w:rPr>
          <w:rFonts w:ascii="Arial" w:hAnsi="Arial"/>
          <w:rtl/>
        </w:rPr>
      </w:pPr>
      <w:r>
        <w:rPr>
          <w:rFonts w:ascii="Arial" w:hAnsi="Arial" w:hint="cs"/>
          <w:rtl/>
        </w:rPr>
        <w:t>31.</w:t>
      </w:r>
      <w:r>
        <w:rPr>
          <w:rFonts w:ascii="Arial" w:hAnsi="Arial" w:hint="cs"/>
          <w:rtl/>
        </w:rPr>
        <w:tab/>
        <w:t xml:space="preserve">לעניין נטילת האחריות נטען שניהול ההליך לא צריך להיזקף לחובתו של הנאשם ונטען שבנסיבות לא הייתה להגנה כל ברירה אלא לנהל את ההליך. נטען שאין מקום להתעלם מההודאות שנמסרו במסגרת החקירה שהיוו את הבסיס להגשת כתב האישום. נטען עוד שהנאשם איבד את אמו בגיל צעיר. </w:t>
      </w:r>
    </w:p>
    <w:p w14:paraId="25760AE2" w14:textId="77777777" w:rsidR="00D94ECC" w:rsidRDefault="00D94ECC" w:rsidP="00D94ECC">
      <w:pPr>
        <w:spacing w:line="360" w:lineRule="auto"/>
        <w:ind w:left="425" w:hanging="425"/>
        <w:jc w:val="both"/>
        <w:rPr>
          <w:rFonts w:ascii="Arial" w:hAnsi="Arial"/>
          <w:rtl/>
        </w:rPr>
      </w:pPr>
    </w:p>
    <w:p w14:paraId="3C8C48DC" w14:textId="77777777" w:rsidR="00D94ECC" w:rsidRDefault="00D94ECC" w:rsidP="00D94ECC">
      <w:pPr>
        <w:spacing w:line="360" w:lineRule="auto"/>
        <w:ind w:left="425" w:hanging="425"/>
        <w:jc w:val="both"/>
        <w:rPr>
          <w:rFonts w:ascii="Arial" w:hAnsi="Arial"/>
          <w:rtl/>
        </w:rPr>
      </w:pPr>
      <w:r>
        <w:rPr>
          <w:rFonts w:ascii="Arial" w:hAnsi="Arial" w:hint="cs"/>
          <w:rtl/>
        </w:rPr>
        <w:t>32.</w:t>
      </w:r>
      <w:r>
        <w:rPr>
          <w:rFonts w:ascii="Arial" w:hAnsi="Arial" w:hint="cs"/>
          <w:rtl/>
        </w:rPr>
        <w:tab/>
        <w:t>מבחינת הרתעת הרבים נטען שאין בכך צורך, כאשר בין היתר</w:t>
      </w:r>
      <w:r w:rsidRPr="00253511">
        <w:rPr>
          <w:rFonts w:ascii="Arial" w:hAnsi="Arial" w:hint="cs"/>
          <w:rtl/>
        </w:rPr>
        <w:t>,</w:t>
      </w:r>
      <w:r>
        <w:rPr>
          <w:rFonts w:ascii="Arial" w:hAnsi="Arial" w:hint="cs"/>
          <w:rtl/>
        </w:rPr>
        <w:t xml:space="preserve"> אירועים דומים לאלו שאירעו בשומר חומות לא חזרו על עצמם לאחר מכן. בסופו של דבר ביקש הסנגור שיוטל עונש מתון, ככל שניתן ולכל היותר 8 שנות מאסר שיהווה בכל מקרה עונש כבד לבחור צעיר שיהא כמעט בן 30 לכשישתחרר. </w:t>
      </w:r>
    </w:p>
    <w:p w14:paraId="6CD3E1B5" w14:textId="77777777" w:rsidR="00D94ECC" w:rsidRDefault="00D94ECC" w:rsidP="00D94ECC">
      <w:pPr>
        <w:spacing w:line="360" w:lineRule="auto"/>
        <w:jc w:val="both"/>
        <w:rPr>
          <w:rFonts w:ascii="Arial" w:hAnsi="Arial"/>
          <w:rtl/>
        </w:rPr>
      </w:pPr>
    </w:p>
    <w:p w14:paraId="1786C907" w14:textId="77777777" w:rsidR="00D94ECC" w:rsidRDefault="00D94ECC" w:rsidP="00D94ECC">
      <w:pPr>
        <w:spacing w:line="360" w:lineRule="auto"/>
        <w:jc w:val="both"/>
        <w:rPr>
          <w:rFonts w:ascii="Arial" w:hAnsi="Arial"/>
          <w:rtl/>
        </w:rPr>
      </w:pPr>
      <w:r w:rsidRPr="00253511">
        <w:rPr>
          <w:rFonts w:ascii="Arial" w:hAnsi="Arial" w:hint="cs"/>
          <w:b/>
          <w:bCs/>
          <w:u w:val="single"/>
          <w:rtl/>
        </w:rPr>
        <w:t>טיעוני נאשם 2 לעניין העונש</w:t>
      </w:r>
    </w:p>
    <w:p w14:paraId="28DAD727" w14:textId="77777777" w:rsidR="00D94ECC" w:rsidRDefault="00D94ECC" w:rsidP="00D94ECC">
      <w:pPr>
        <w:spacing w:line="360" w:lineRule="auto"/>
        <w:jc w:val="both"/>
        <w:rPr>
          <w:rFonts w:ascii="Arial" w:hAnsi="Arial"/>
          <w:b/>
          <w:bCs/>
          <w:rtl/>
        </w:rPr>
      </w:pPr>
    </w:p>
    <w:p w14:paraId="6E7CC330" w14:textId="77777777" w:rsidR="00D94ECC" w:rsidRDefault="00D94ECC" w:rsidP="00D94ECC">
      <w:pPr>
        <w:spacing w:line="360" w:lineRule="auto"/>
        <w:ind w:left="425" w:hanging="425"/>
        <w:jc w:val="both"/>
        <w:rPr>
          <w:rFonts w:ascii="Arial" w:hAnsi="Arial"/>
          <w:rtl/>
        </w:rPr>
      </w:pPr>
      <w:r>
        <w:rPr>
          <w:rFonts w:ascii="Arial" w:hAnsi="Arial" w:hint="cs"/>
          <w:rtl/>
        </w:rPr>
        <w:t>33.</w:t>
      </w:r>
      <w:r>
        <w:rPr>
          <w:rFonts w:ascii="Arial" w:hAnsi="Arial" w:hint="cs"/>
          <w:rtl/>
        </w:rPr>
        <w:tab/>
      </w:r>
      <w:r w:rsidRPr="00253511">
        <w:rPr>
          <w:rFonts w:ascii="Arial" w:hAnsi="Arial" w:hint="cs"/>
          <w:rtl/>
        </w:rPr>
        <w:t>סנגורו</w:t>
      </w:r>
      <w:r w:rsidRPr="00907675">
        <w:rPr>
          <w:rFonts w:ascii="Arial" w:hAnsi="Arial" w:hint="cs"/>
          <w:rtl/>
        </w:rPr>
        <w:t xml:space="preserve"> </w:t>
      </w:r>
      <w:r>
        <w:rPr>
          <w:rFonts w:ascii="Arial" w:hAnsi="Arial" w:hint="cs"/>
          <w:rtl/>
        </w:rPr>
        <w:t xml:space="preserve">של נאשם 2 </w:t>
      </w:r>
      <w:r w:rsidRPr="00907675">
        <w:rPr>
          <w:rFonts w:ascii="Arial" w:hAnsi="Arial" w:hint="cs"/>
          <w:rtl/>
        </w:rPr>
        <w:t>הצ</w:t>
      </w:r>
      <w:r>
        <w:rPr>
          <w:rFonts w:ascii="Arial" w:hAnsi="Arial" w:hint="cs"/>
          <w:rtl/>
        </w:rPr>
        <w:t xml:space="preserve">טרף לטיעונים שהועלו ביחס לנאשם 1 בכל הקשור לנושאים המשותפים. הוזכר שהנאשם 2 נותן את הדין על 3 אישומים בהם הורשע. בנוגע לאישום המרכזי בו הורשע </w:t>
      </w:r>
      <w:r>
        <w:rPr>
          <w:rFonts w:ascii="Arial" w:hAnsi="Arial"/>
          <w:rtl/>
        </w:rPr>
        <w:t>–</w:t>
      </w:r>
      <w:r>
        <w:rPr>
          <w:rFonts w:ascii="Arial" w:hAnsi="Arial" w:hint="cs"/>
          <w:rtl/>
        </w:rPr>
        <w:t xml:space="preserve"> נטען להעדר תכנון ושהאירוע כולו התפתח באופן ספונטני ללא תיאום מוקדם בין המשתתפים. נטען שמדובר בהצטרפות להתפרעות פעילה. נטען שהמעשים אומנם התארכו על פני פרק זמן אך נטען שלא היו תולדה של התארגנות מוקדמת. נטען שהנאשם 2 נטל חלק באירוע והוא אחראי על אותו חלק כפי שהורשע  בהכרעת הדין אך לא מעבר לכך. בכך ביקש הסנגור לשלול את הטענות לתכנון מוקדם שהועלו על ידי המדינה.</w:t>
      </w:r>
    </w:p>
    <w:p w14:paraId="43590857" w14:textId="77777777" w:rsidR="00D94ECC" w:rsidRDefault="00D94ECC" w:rsidP="00D94ECC">
      <w:pPr>
        <w:spacing w:line="360" w:lineRule="auto"/>
        <w:jc w:val="both"/>
        <w:rPr>
          <w:rFonts w:ascii="Arial" w:hAnsi="Arial"/>
          <w:rtl/>
        </w:rPr>
      </w:pPr>
    </w:p>
    <w:p w14:paraId="49A1CDD8" w14:textId="77777777" w:rsidR="00D94ECC" w:rsidRDefault="00D94ECC" w:rsidP="00D94ECC">
      <w:pPr>
        <w:spacing w:line="360" w:lineRule="auto"/>
        <w:ind w:left="425" w:hanging="425"/>
        <w:jc w:val="both"/>
        <w:rPr>
          <w:rFonts w:ascii="Arial" w:hAnsi="Arial"/>
          <w:rtl/>
        </w:rPr>
      </w:pPr>
      <w:r>
        <w:rPr>
          <w:rFonts w:ascii="Arial" w:hAnsi="Arial" w:hint="cs"/>
          <w:rtl/>
        </w:rPr>
        <w:t>34.</w:t>
      </w:r>
      <w:r>
        <w:rPr>
          <w:rFonts w:ascii="Arial" w:hAnsi="Arial" w:hint="cs"/>
          <w:rtl/>
        </w:rPr>
        <w:tab/>
        <w:t xml:space="preserve">הסנגור הדגיש, כי לא נגרם כל נזק גוף כתוצאה ממעשי הנאשם, ונטען שזה לב לבה של העבירה בה הורשע. נטען שהנזק לא  התממש </w:t>
      </w:r>
      <w:r>
        <w:rPr>
          <w:rFonts w:ascii="Arial" w:hAnsi="Arial"/>
          <w:rtl/>
        </w:rPr>
        <w:t>–</w:t>
      </w:r>
      <w:r>
        <w:rPr>
          <w:rFonts w:ascii="Arial" w:hAnsi="Arial" w:hint="cs"/>
          <w:rtl/>
        </w:rPr>
        <w:t xml:space="preserve"> לא לרכוש ולא לגוף. לעניין זה הסנגור הזכיר את השוני מהמקרה דנן </w:t>
      </w:r>
      <w:r w:rsidRPr="00253511">
        <w:rPr>
          <w:rFonts w:ascii="Arial" w:hAnsi="Arial" w:hint="cs"/>
          <w:rtl/>
        </w:rPr>
        <w:t xml:space="preserve">לעניין </w:t>
      </w:r>
      <w:r w:rsidRPr="00253511">
        <w:rPr>
          <w:rFonts w:ascii="Arial" w:hAnsi="Arial" w:hint="cs"/>
          <w:i/>
          <w:iCs/>
          <w:rtl/>
        </w:rPr>
        <w:t xml:space="preserve"> </w:t>
      </w:r>
      <w:r w:rsidRPr="00253511">
        <w:rPr>
          <w:rFonts w:ascii="Arial" w:hAnsi="Arial" w:hint="cs"/>
          <w:rtl/>
        </w:rPr>
        <w:t>אג'באריה</w:t>
      </w:r>
      <w:r>
        <w:rPr>
          <w:rFonts w:ascii="Arial" w:hAnsi="Arial" w:hint="cs"/>
          <w:rtl/>
        </w:rPr>
        <w:t xml:space="preserve">. </w:t>
      </w:r>
      <w:r w:rsidRPr="00EF53D6">
        <w:rPr>
          <w:rFonts w:ascii="Arial" w:hAnsi="Arial" w:hint="cs"/>
          <w:rtl/>
        </w:rPr>
        <w:t xml:space="preserve">הוזכר </w:t>
      </w:r>
      <w:r>
        <w:rPr>
          <w:rFonts w:ascii="Arial" w:hAnsi="Arial" w:hint="cs"/>
          <w:rtl/>
        </w:rPr>
        <w:t xml:space="preserve">עוד באותו עניין שלפי אחד האישומים שם הנאשם ירה במהלך התפרעות באום אל פחם על רקע שומר חומות ונקבע שהמתחם בגין עבירה זאת בין 5 </w:t>
      </w:r>
      <w:r>
        <w:rPr>
          <w:rFonts w:ascii="Arial" w:hAnsi="Arial"/>
          <w:rtl/>
        </w:rPr>
        <w:t>–</w:t>
      </w:r>
      <w:r>
        <w:rPr>
          <w:rFonts w:ascii="Arial" w:hAnsi="Arial" w:hint="cs"/>
          <w:rtl/>
        </w:rPr>
        <w:t xml:space="preserve"> 8 שנות מאסר. נטען ש</w:t>
      </w:r>
      <w:r w:rsidRPr="00253511">
        <w:rPr>
          <w:rFonts w:ascii="Arial" w:hAnsi="Arial" w:hint="cs"/>
          <w:rtl/>
        </w:rPr>
        <w:t>עניין</w:t>
      </w:r>
      <w:r w:rsidRPr="001964E7">
        <w:rPr>
          <w:rFonts w:ascii="Arial" w:hAnsi="Arial" w:hint="cs"/>
          <w:i/>
          <w:iCs/>
          <w:rtl/>
        </w:rPr>
        <w:t xml:space="preserve"> אגבאריה </w:t>
      </w:r>
      <w:r>
        <w:rPr>
          <w:rFonts w:ascii="Arial" w:hAnsi="Arial" w:hint="cs"/>
          <w:rtl/>
        </w:rPr>
        <w:t>היה חמור יותר מהמקרה דנן.</w:t>
      </w:r>
    </w:p>
    <w:p w14:paraId="5F62A1F2" w14:textId="77777777" w:rsidR="00D94ECC" w:rsidRDefault="00D94ECC" w:rsidP="00D94ECC">
      <w:pPr>
        <w:spacing w:line="360" w:lineRule="auto"/>
        <w:jc w:val="both"/>
        <w:rPr>
          <w:rFonts w:ascii="Arial" w:hAnsi="Arial"/>
          <w:rtl/>
        </w:rPr>
      </w:pPr>
    </w:p>
    <w:p w14:paraId="65EBAFE2" w14:textId="77777777" w:rsidR="00D94ECC" w:rsidRDefault="00D94ECC" w:rsidP="00D94ECC">
      <w:pPr>
        <w:spacing w:line="360" w:lineRule="auto"/>
        <w:ind w:left="425" w:hanging="425"/>
        <w:jc w:val="both"/>
        <w:rPr>
          <w:rFonts w:ascii="Arial" w:hAnsi="Arial"/>
          <w:rtl/>
        </w:rPr>
      </w:pPr>
      <w:r>
        <w:rPr>
          <w:rFonts w:ascii="Arial" w:hAnsi="Arial" w:hint="cs"/>
          <w:rtl/>
        </w:rPr>
        <w:t>35.</w:t>
      </w:r>
      <w:r>
        <w:rPr>
          <w:rFonts w:ascii="Arial" w:hAnsi="Arial" w:hint="cs"/>
          <w:rtl/>
        </w:rPr>
        <w:tab/>
        <w:t xml:space="preserve">נטען שאין להתיר למדינה לדבר בשני קולות כאשר יהיה בכך פגיעה בתחושת הצדק הבסיסית. נטען שבאופן פתאומי המדינה מכפילה את גבולות המתחם המוצע על ידה (מ-5-8 שנים ל- 11-16 </w:t>
      </w:r>
      <w:r w:rsidRPr="00253511">
        <w:rPr>
          <w:rFonts w:ascii="Arial" w:hAnsi="Arial" w:hint="cs"/>
          <w:rtl/>
        </w:rPr>
        <w:t>שנים).</w:t>
      </w:r>
      <w:r>
        <w:rPr>
          <w:rFonts w:ascii="Arial" w:hAnsi="Arial" w:hint="cs"/>
          <w:rtl/>
        </w:rPr>
        <w:t xml:space="preserve"> נטען שלא ניתן לבסס קפיצה כה משמעותית במתחם המוצע. נטען עוד שלנאשם שם הייתה מעורבות בעבירות ביטחון לרבות חברות בארגון טרור וגם הופעל אלימות כלפי שוטרים. בנוסף נטען שבמקרה דנן הייתה החזקת נשק משך תקופה, אבל לא היה שימוש בו מלבד האירוע שבכתב האישום. נטען שהאירוע של רכישת הנשק צריך לחפוף את האירוע שנכלל בכתב האישום כיוון שהוא האירוע היחיד בו נעשה שימוש בו. </w:t>
      </w:r>
    </w:p>
    <w:p w14:paraId="1DC74B51" w14:textId="77777777" w:rsidR="00D94ECC" w:rsidRDefault="00D94ECC" w:rsidP="00D94ECC">
      <w:pPr>
        <w:spacing w:line="360" w:lineRule="auto"/>
        <w:ind w:left="425" w:hanging="425"/>
        <w:jc w:val="both"/>
        <w:rPr>
          <w:rFonts w:ascii="Arial" w:hAnsi="Arial"/>
          <w:rtl/>
        </w:rPr>
      </w:pPr>
    </w:p>
    <w:p w14:paraId="01A13095" w14:textId="77777777" w:rsidR="00D94ECC" w:rsidRDefault="00D94ECC" w:rsidP="00D94ECC">
      <w:pPr>
        <w:spacing w:line="360" w:lineRule="auto"/>
        <w:ind w:left="425" w:hanging="425"/>
        <w:jc w:val="both"/>
        <w:rPr>
          <w:rFonts w:ascii="Arial" w:hAnsi="Arial"/>
          <w:rtl/>
        </w:rPr>
      </w:pPr>
      <w:r>
        <w:rPr>
          <w:rFonts w:ascii="Arial" w:hAnsi="Arial" w:hint="cs"/>
          <w:rtl/>
        </w:rPr>
        <w:t>36.</w:t>
      </w:r>
      <w:r>
        <w:rPr>
          <w:rFonts w:ascii="Arial" w:hAnsi="Arial"/>
          <w:rtl/>
        </w:rPr>
        <w:tab/>
      </w:r>
      <w:r>
        <w:rPr>
          <w:rFonts w:ascii="Arial" w:hAnsi="Arial" w:hint="cs"/>
          <w:rtl/>
        </w:rPr>
        <w:t xml:space="preserve">נטען שאומנם הנאשם מורשע בעבירה נוספת של התפרעות בה הוא ידה 5 אבנים לעבר כוחות המשטרה, אך נטען שהעונש בגין אירוע זה צריך להינתן בחפיפה לאירועים האחרים. הסנגור לא היה מעוניין לנקוט במתחם אך נטען שבשים לב לטיעונים יש להקל עם הנאשם ככל הניתן. </w:t>
      </w:r>
    </w:p>
    <w:p w14:paraId="1FD1628D" w14:textId="77777777" w:rsidR="00D94ECC" w:rsidRDefault="00D94ECC" w:rsidP="00D94ECC">
      <w:pPr>
        <w:spacing w:line="360" w:lineRule="auto"/>
        <w:ind w:left="425" w:hanging="425"/>
        <w:jc w:val="both"/>
        <w:rPr>
          <w:rFonts w:ascii="Arial" w:hAnsi="Arial"/>
          <w:rtl/>
        </w:rPr>
      </w:pPr>
    </w:p>
    <w:p w14:paraId="3EBE8B53" w14:textId="77777777" w:rsidR="00D94ECC" w:rsidRPr="00F37A88" w:rsidRDefault="00D94ECC" w:rsidP="00D94ECC">
      <w:pPr>
        <w:spacing w:line="360" w:lineRule="auto"/>
        <w:ind w:left="425" w:hanging="425"/>
        <w:jc w:val="both"/>
        <w:rPr>
          <w:rFonts w:ascii="Arial" w:hAnsi="Arial"/>
          <w:rtl/>
        </w:rPr>
      </w:pPr>
      <w:r>
        <w:rPr>
          <w:rFonts w:ascii="Arial" w:hAnsi="Arial" w:hint="cs"/>
          <w:rtl/>
        </w:rPr>
        <w:t>37.</w:t>
      </w:r>
      <w:r>
        <w:rPr>
          <w:rFonts w:ascii="Arial" w:hAnsi="Arial"/>
          <w:rtl/>
        </w:rPr>
        <w:tab/>
      </w:r>
      <w:r w:rsidRPr="00F37A88">
        <w:rPr>
          <w:rFonts w:ascii="Arial" w:hAnsi="Arial" w:hint="cs"/>
          <w:rtl/>
        </w:rPr>
        <w:t xml:space="preserve">הסנגור אזכר </w:t>
      </w:r>
      <w:hyperlink r:id="rId137" w:history="1">
        <w:r w:rsidR="00AB0E4D" w:rsidRPr="00AB0E4D">
          <w:rPr>
            <w:rFonts w:ascii="Arial" w:hAnsi="Arial"/>
            <w:color w:val="0000FF"/>
            <w:u w:val="single"/>
            <w:rtl/>
          </w:rPr>
          <w:t>ת"פ 57177-05-22</w:t>
        </w:r>
      </w:hyperlink>
      <w:r w:rsidRPr="00F37A88">
        <w:rPr>
          <w:rFonts w:ascii="Arial" w:hAnsi="Arial" w:hint="cs"/>
          <w:rtl/>
        </w:rPr>
        <w:t xml:space="preserve"> </w:t>
      </w:r>
      <w:r w:rsidRPr="00F37A88">
        <w:rPr>
          <w:rFonts w:ascii="Arial" w:hAnsi="Arial" w:hint="cs"/>
          <w:b/>
          <w:bCs/>
          <w:rtl/>
        </w:rPr>
        <w:t>מדינת ישראל נ' אבו ח'דיר</w:t>
      </w:r>
      <w:r>
        <w:rPr>
          <w:rFonts w:ascii="Arial" w:hAnsi="Arial" w:hint="cs"/>
          <w:rtl/>
        </w:rPr>
        <w:t xml:space="preserve"> (2.5.23), שם הורשע </w:t>
      </w:r>
      <w:r w:rsidRPr="00F37A88">
        <w:rPr>
          <w:rFonts w:ascii="Arial" w:hAnsi="Arial" w:hint="cs"/>
          <w:rtl/>
        </w:rPr>
        <w:t>נאשם על פי הודאתו בכתב אישום מתוקן במספר אישומים, ובין היתר, בחברות פעילה בארגון טרור, א</w:t>
      </w:r>
      <w:r>
        <w:rPr>
          <w:rFonts w:ascii="Arial" w:hAnsi="Arial" w:hint="cs"/>
          <w:rtl/>
        </w:rPr>
        <w:t>י</w:t>
      </w:r>
      <w:r w:rsidRPr="00F37A88">
        <w:rPr>
          <w:rFonts w:ascii="Arial" w:hAnsi="Arial" w:hint="cs"/>
          <w:rtl/>
        </w:rPr>
        <w:t xml:space="preserve">מונים או הדרכה למטרות טרור, פעולה בנשק למטרות טרור, יצור ונשיאת נשק, השתתפות בהתפרעות, מעשה טרור של חבלה בכוונה מחמירה, תקיפת שוטרים בנסיבות מחמירות (מספר עבירות), התפרעות, הפרעה לשוטר בנסיבות מחמירות וקשירת קשר לפשע </w:t>
      </w:r>
      <w:r w:rsidRPr="00F37A88">
        <w:rPr>
          <w:rFonts w:ascii="Arial" w:hAnsi="Arial"/>
          <w:rtl/>
        </w:rPr>
        <w:t>–</w:t>
      </w:r>
      <w:r w:rsidRPr="00F37A88">
        <w:rPr>
          <w:rFonts w:ascii="Arial" w:hAnsi="Arial" w:hint="cs"/>
          <w:rtl/>
        </w:rPr>
        <w:t xml:space="preserve"> כל זה במסגרת 4 אישומים שהוגשו נגדו בגין מעורבות עמוקה בפעילות כנגד ביטחון המדינה וכנגד כוחות הביטחון במסגרת תא סטודנטיאלי של החזית העממית </w:t>
      </w:r>
      <w:r w:rsidRPr="00C67B46">
        <w:rPr>
          <w:rFonts w:ascii="Arial" w:hAnsi="Arial" w:hint="cs"/>
          <w:rtl/>
        </w:rPr>
        <w:t>ב</w:t>
      </w:r>
      <w:r w:rsidRPr="00F37A88">
        <w:rPr>
          <w:rFonts w:ascii="Arial" w:hAnsi="Arial" w:hint="cs"/>
          <w:rtl/>
        </w:rPr>
        <w:t xml:space="preserve">אוניברסיטה בה למד. הסנגור הפנה לאישום השני שהיה האישום המרכזי בתיק, בו החליט הנאשם לייצר מטען חבלה לעימותים מול כוחות משטרה ובמהלך התפרעות המונית הדליק מטען </w:t>
      </w:r>
      <w:r>
        <w:rPr>
          <w:rFonts w:ascii="Arial" w:hAnsi="Arial" w:hint="cs"/>
          <w:rtl/>
        </w:rPr>
        <w:t>ה</w:t>
      </w:r>
      <w:r w:rsidRPr="00F37A88">
        <w:rPr>
          <w:rFonts w:ascii="Arial" w:hAnsi="Arial" w:hint="cs"/>
          <w:rtl/>
        </w:rPr>
        <w:t xml:space="preserve">צינור שהכין והשליכו לעבר כוחות הביטחון שפעלו במקום, כאשר הפיצוץ גרם לשוטרים שנכחו במקום צפצופים וכאבים באוזניהם. בגין האישום השני נקבע שבין 3 </w:t>
      </w:r>
      <w:r w:rsidRPr="00F37A88">
        <w:rPr>
          <w:rFonts w:ascii="Arial" w:hAnsi="Arial"/>
          <w:rtl/>
        </w:rPr>
        <w:t>–</w:t>
      </w:r>
      <w:r w:rsidRPr="00F37A88">
        <w:rPr>
          <w:rFonts w:ascii="Arial" w:hAnsi="Arial" w:hint="cs"/>
          <w:rtl/>
        </w:rPr>
        <w:t xml:space="preserve"> 8 שנות מאסר בפועל והוטל עונש כולל בגין כל האישומים של 8 שנות מאסר בפועל. </w:t>
      </w:r>
    </w:p>
    <w:p w14:paraId="2EF3B4CD" w14:textId="77777777" w:rsidR="00D94ECC" w:rsidRDefault="00D94ECC" w:rsidP="00D94ECC">
      <w:pPr>
        <w:spacing w:line="360" w:lineRule="auto"/>
        <w:jc w:val="both"/>
        <w:rPr>
          <w:rFonts w:ascii="Arial" w:hAnsi="Arial"/>
          <w:rtl/>
        </w:rPr>
      </w:pPr>
    </w:p>
    <w:p w14:paraId="566BDCC3" w14:textId="77777777" w:rsidR="00D94ECC" w:rsidRDefault="00D94ECC" w:rsidP="00D94ECC">
      <w:pPr>
        <w:spacing w:line="360" w:lineRule="auto"/>
        <w:ind w:left="425" w:hanging="425"/>
        <w:jc w:val="both"/>
        <w:rPr>
          <w:rFonts w:ascii="Arial" w:hAnsi="Arial"/>
          <w:rtl/>
        </w:rPr>
      </w:pPr>
      <w:r>
        <w:rPr>
          <w:rFonts w:ascii="Arial" w:hAnsi="Arial" w:hint="cs"/>
          <w:rtl/>
        </w:rPr>
        <w:t>38.</w:t>
      </w:r>
      <w:r>
        <w:rPr>
          <w:rFonts w:ascii="Arial" w:hAnsi="Arial" w:hint="cs"/>
          <w:rtl/>
        </w:rPr>
        <w:tab/>
        <w:t xml:space="preserve">הסנגור הזכיר גם  </w:t>
      </w:r>
      <w:hyperlink r:id="rId138" w:history="1">
        <w:r w:rsidR="00AB0E4D" w:rsidRPr="00AB0E4D">
          <w:rPr>
            <w:rFonts w:ascii="Arial" w:hAnsi="Arial"/>
            <w:color w:val="0000FF"/>
            <w:u w:val="single"/>
            <w:rtl/>
          </w:rPr>
          <w:t>תפ"ח 62111-05-21</w:t>
        </w:r>
      </w:hyperlink>
      <w:r>
        <w:rPr>
          <w:rFonts w:ascii="Arial" w:hAnsi="Arial" w:hint="cs"/>
          <w:rtl/>
        </w:rPr>
        <w:t xml:space="preserve"> </w:t>
      </w:r>
      <w:r w:rsidRPr="00D00A88">
        <w:rPr>
          <w:rFonts w:ascii="Arial" w:hAnsi="Arial" w:hint="cs"/>
          <w:b/>
          <w:bCs/>
          <w:rtl/>
        </w:rPr>
        <w:t>מדינת ישראל נ' אלימלך ואח'</w:t>
      </w:r>
      <w:r>
        <w:rPr>
          <w:rFonts w:ascii="Arial" w:hAnsi="Arial" w:hint="cs"/>
          <w:rtl/>
        </w:rPr>
        <w:t xml:space="preserve"> (13.9.23), שם שלושה נאשמים ביצעו לינץ' בסטודנט ערבי בירושלים על רקע אירועי שומר חומות מתוך מניע גזעני. </w:t>
      </w:r>
      <w:r w:rsidRPr="00C67B46">
        <w:rPr>
          <w:rFonts w:ascii="Arial" w:hAnsi="Arial" w:hint="cs"/>
          <w:rtl/>
        </w:rPr>
        <w:t>נאשם 1 הורשע בעבירות של חבלה בכוונה מחמירה</w:t>
      </w:r>
      <w:r>
        <w:rPr>
          <w:rFonts w:ascii="Arial" w:hAnsi="Arial" w:hint="cs"/>
          <w:rtl/>
        </w:rPr>
        <w:t xml:space="preserve"> לפי </w:t>
      </w:r>
      <w:hyperlink r:id="rId139" w:history="1">
        <w:r w:rsidR="009048EA" w:rsidRPr="009048EA">
          <w:rPr>
            <w:rStyle w:val="Hyperlink"/>
            <w:rFonts w:ascii="Arial" w:hAnsi="Arial"/>
            <w:color w:val="0000FF"/>
            <w:rtl/>
          </w:rPr>
          <w:t>סעיף 32</w:t>
        </w:r>
        <w:r w:rsidR="009048EA" w:rsidRPr="009048EA">
          <w:rPr>
            <w:rStyle w:val="Hyperlink"/>
            <w:rFonts w:ascii="Arial" w:hAnsi="Arial"/>
            <w:color w:val="0000FF"/>
            <w:rtl/>
          </w:rPr>
          <w:t>9</w:t>
        </w:r>
      </w:hyperlink>
      <w:r>
        <w:rPr>
          <w:rFonts w:ascii="Arial" w:hAnsi="Arial" w:hint="cs"/>
          <w:rtl/>
        </w:rPr>
        <w:t xml:space="preserve"> בצירוף </w:t>
      </w:r>
      <w:hyperlink r:id="rId140" w:history="1">
        <w:r w:rsidR="009048EA" w:rsidRPr="009048EA">
          <w:rPr>
            <w:rStyle w:val="Hyperlink"/>
            <w:rFonts w:ascii="Arial" w:hAnsi="Arial" w:hint="eastAsia"/>
            <w:color w:val="0000FF"/>
            <w:rtl/>
          </w:rPr>
          <w:t>סע</w:t>
        </w:r>
        <w:r w:rsidR="009048EA" w:rsidRPr="009048EA">
          <w:rPr>
            <w:rStyle w:val="Hyperlink"/>
            <w:rFonts w:ascii="Arial" w:hAnsi="Arial"/>
            <w:color w:val="0000FF"/>
            <w:rtl/>
          </w:rPr>
          <w:t>' 3</w:t>
        </w:r>
        <w:r w:rsidR="009048EA" w:rsidRPr="009048EA">
          <w:rPr>
            <w:rStyle w:val="Hyperlink"/>
            <w:rFonts w:ascii="Arial" w:hAnsi="Arial"/>
            <w:color w:val="0000FF"/>
            <w:rtl/>
          </w:rPr>
          <w:t>7</w:t>
        </w:r>
        <w:r w:rsidR="009048EA" w:rsidRPr="009048EA">
          <w:rPr>
            <w:rStyle w:val="Hyperlink"/>
            <w:rFonts w:ascii="Arial" w:hAnsi="Arial"/>
            <w:color w:val="0000FF"/>
            <w:rtl/>
          </w:rPr>
          <w:t>(א)</w:t>
        </w:r>
      </w:hyperlink>
      <w:r>
        <w:rPr>
          <w:rFonts w:ascii="Arial" w:hAnsi="Arial" w:hint="cs"/>
          <w:rtl/>
        </w:rPr>
        <w:t xml:space="preserve"> לחוק המאבק בטרור </w:t>
      </w:r>
      <w:r w:rsidRPr="00C67B46">
        <w:rPr>
          <w:rFonts w:ascii="Arial" w:hAnsi="Arial" w:hint="cs"/>
          <w:rtl/>
        </w:rPr>
        <w:t>החזקת סכין והשמ</w:t>
      </w:r>
      <w:r>
        <w:rPr>
          <w:rFonts w:ascii="Arial" w:hAnsi="Arial" w:hint="cs"/>
          <w:rtl/>
        </w:rPr>
        <w:t>ד</w:t>
      </w:r>
      <w:r w:rsidRPr="00C67B46">
        <w:rPr>
          <w:rFonts w:ascii="Arial" w:hAnsi="Arial" w:hint="cs"/>
          <w:rtl/>
        </w:rPr>
        <w:t>ת ראיה</w:t>
      </w:r>
      <w:r>
        <w:rPr>
          <w:rFonts w:ascii="Arial" w:hAnsi="Arial" w:hint="cs"/>
          <w:rtl/>
        </w:rPr>
        <w:t xml:space="preserve"> בגין </w:t>
      </w:r>
      <w:r w:rsidRPr="00C67B46">
        <w:rPr>
          <w:rFonts w:ascii="Arial" w:hAnsi="Arial" w:hint="cs"/>
          <w:rtl/>
        </w:rPr>
        <w:t>ש</w:t>
      </w:r>
      <w:r>
        <w:rPr>
          <w:rFonts w:ascii="Arial" w:hAnsi="Arial" w:hint="cs"/>
          <w:rtl/>
        </w:rPr>
        <w:t xml:space="preserve">דקר את המתלונן 10 דקירות בפלג גופו העליון, תוך שהאחרים מכים אותו ומבצעים בו לינץ'. נקבע שם מתחם בין 9 </w:t>
      </w:r>
      <w:r>
        <w:rPr>
          <w:rFonts w:ascii="Arial" w:hAnsi="Arial"/>
          <w:rtl/>
        </w:rPr>
        <w:t>–</w:t>
      </w:r>
      <w:r>
        <w:rPr>
          <w:rFonts w:ascii="Arial" w:hAnsi="Arial" w:hint="cs"/>
          <w:rtl/>
        </w:rPr>
        <w:t xml:space="preserve"> 14 שנות מאסר וביהמ"ש הטיל על המבצע העיקרי 11 שנות מאסר ועל נאשם נוסף 4.5 שנות מאסר. נטען שהמקרה שם חמור יותר מהמקרה דנן. </w:t>
      </w:r>
    </w:p>
    <w:p w14:paraId="0300F8D7" w14:textId="77777777" w:rsidR="00D94ECC" w:rsidRDefault="00D94ECC" w:rsidP="00D94ECC">
      <w:pPr>
        <w:spacing w:line="360" w:lineRule="auto"/>
        <w:ind w:left="425" w:hanging="425"/>
        <w:jc w:val="both"/>
        <w:rPr>
          <w:rFonts w:ascii="Arial" w:hAnsi="Arial"/>
          <w:rtl/>
        </w:rPr>
      </w:pPr>
    </w:p>
    <w:p w14:paraId="5756F4F8" w14:textId="77777777" w:rsidR="00D94ECC" w:rsidRPr="00257472" w:rsidRDefault="00D94ECC" w:rsidP="00D94ECC">
      <w:pPr>
        <w:spacing w:line="360" w:lineRule="auto"/>
        <w:ind w:left="425" w:hanging="425"/>
        <w:jc w:val="both"/>
        <w:rPr>
          <w:rFonts w:ascii="Arial" w:hAnsi="Arial"/>
          <w:rtl/>
        </w:rPr>
      </w:pPr>
      <w:r>
        <w:rPr>
          <w:rFonts w:ascii="Arial" w:hAnsi="Arial" w:hint="cs"/>
          <w:rtl/>
        </w:rPr>
        <w:t>39.</w:t>
      </w:r>
      <w:r>
        <w:rPr>
          <w:rFonts w:ascii="Arial" w:hAnsi="Arial"/>
          <w:rtl/>
        </w:rPr>
        <w:tab/>
      </w:r>
      <w:r>
        <w:rPr>
          <w:rFonts w:ascii="Arial" w:hAnsi="Arial" w:hint="cs"/>
          <w:rtl/>
        </w:rPr>
        <w:t>ה</w:t>
      </w:r>
      <w:r w:rsidRPr="00257472">
        <w:rPr>
          <w:rFonts w:ascii="Arial" w:hAnsi="Arial" w:hint="cs"/>
          <w:rtl/>
        </w:rPr>
        <w:t xml:space="preserve">סנגור טען שהתיק דנן נוהל פחות במישור העובדתי ויותר לעניין היסוד הנפשי להתגבשות עבירה לפי </w:t>
      </w:r>
      <w:hyperlink r:id="rId141" w:history="1">
        <w:r w:rsidR="009048EA" w:rsidRPr="009048EA">
          <w:rPr>
            <w:rStyle w:val="Hyperlink"/>
            <w:rFonts w:ascii="Arial" w:hAnsi="Arial" w:hint="eastAsia"/>
            <w:color w:val="0000FF"/>
            <w:rtl/>
          </w:rPr>
          <w:t>סעיף</w:t>
        </w:r>
        <w:r w:rsidR="009048EA" w:rsidRPr="009048EA">
          <w:rPr>
            <w:rStyle w:val="Hyperlink"/>
            <w:rFonts w:ascii="Arial" w:hAnsi="Arial"/>
            <w:color w:val="0000FF"/>
            <w:rtl/>
          </w:rPr>
          <w:t xml:space="preserve"> 329</w:t>
        </w:r>
      </w:hyperlink>
      <w:r w:rsidRPr="00257472">
        <w:rPr>
          <w:rFonts w:ascii="Arial" w:hAnsi="Arial" w:hint="cs"/>
          <w:rtl/>
        </w:rPr>
        <w:t xml:space="preserve"> ל</w:t>
      </w:r>
      <w:hyperlink r:id="rId142" w:history="1">
        <w:r w:rsidR="00AB0E4D" w:rsidRPr="00AB0E4D">
          <w:rPr>
            <w:rFonts w:ascii="Arial" w:hAnsi="Arial"/>
            <w:color w:val="0000FF"/>
            <w:u w:val="single"/>
            <w:rtl/>
          </w:rPr>
          <w:t>חוק העונשין</w:t>
        </w:r>
      </w:hyperlink>
      <w:r w:rsidRPr="00257472">
        <w:rPr>
          <w:rFonts w:ascii="Arial" w:hAnsi="Arial" w:hint="cs"/>
          <w:rtl/>
        </w:rPr>
        <w:t xml:space="preserve">. נטען עוד שהנאשם  פרפר בין החיים למוות לאחר שנפצע משך מספר ימים והוא איבד אחת מכליותיו. נטען שזו אחת ההשלכות מהאירוע שהנאשם יישא בה לשארית חייו. </w:t>
      </w:r>
    </w:p>
    <w:p w14:paraId="3E00B606" w14:textId="77777777" w:rsidR="00D94ECC" w:rsidRDefault="00D94ECC" w:rsidP="00D94ECC">
      <w:pPr>
        <w:spacing w:line="360" w:lineRule="auto"/>
        <w:jc w:val="both"/>
        <w:rPr>
          <w:rFonts w:ascii="Arial" w:hAnsi="Arial"/>
          <w:rtl/>
        </w:rPr>
      </w:pPr>
    </w:p>
    <w:p w14:paraId="3C53CC30" w14:textId="77777777" w:rsidR="00D94ECC" w:rsidRPr="00257472" w:rsidRDefault="00D94ECC" w:rsidP="00D94ECC">
      <w:pPr>
        <w:pStyle w:val="af"/>
        <w:numPr>
          <w:ilvl w:val="0"/>
          <w:numId w:val="3"/>
        </w:numPr>
        <w:spacing w:line="360" w:lineRule="auto"/>
        <w:jc w:val="both"/>
        <w:rPr>
          <w:rFonts w:ascii="Arial" w:hAnsi="Arial"/>
          <w:rtl/>
        </w:rPr>
      </w:pPr>
      <w:r w:rsidRPr="00257472">
        <w:rPr>
          <w:rFonts w:ascii="Arial" w:hAnsi="Arial" w:hint="cs"/>
          <w:rtl/>
        </w:rPr>
        <w:t xml:space="preserve">הסנגור הפנה לנסיבות חייו הלא פשוטות של הנאשם וכמו כן לתנאים הקשים בהם שוהים האסירים הביטחוניים. הוזכר שהנאשם עצור כבר מזה כ-3 שנים. נטען שעברו הפלילי ישן. נטען עוד שהנאשם עתיד לשהות במאסר משך שנות חייו המשמעותיות ביותר ויש להתחשב בנתון זה. </w:t>
      </w:r>
    </w:p>
    <w:p w14:paraId="75CD1644" w14:textId="77777777" w:rsidR="00D94ECC" w:rsidRDefault="00D94ECC" w:rsidP="00D94ECC">
      <w:pPr>
        <w:spacing w:line="360" w:lineRule="auto"/>
        <w:jc w:val="both"/>
        <w:rPr>
          <w:rFonts w:ascii="Arial" w:hAnsi="Arial"/>
          <w:rtl/>
        </w:rPr>
      </w:pPr>
    </w:p>
    <w:p w14:paraId="57DC1DD2" w14:textId="77777777" w:rsidR="00D94ECC" w:rsidRDefault="00D94ECC" w:rsidP="00D94ECC">
      <w:pPr>
        <w:spacing w:line="360" w:lineRule="auto"/>
        <w:jc w:val="both"/>
        <w:rPr>
          <w:rFonts w:ascii="Arial" w:hAnsi="Arial"/>
          <w:rtl/>
        </w:rPr>
      </w:pPr>
      <w:r>
        <w:rPr>
          <w:rFonts w:ascii="Arial" w:hAnsi="Arial" w:hint="cs"/>
          <w:b/>
          <w:bCs/>
          <w:u w:val="single"/>
          <w:rtl/>
        </w:rPr>
        <w:t>טיעוני נאשם 3 לעניין העונש</w:t>
      </w:r>
    </w:p>
    <w:p w14:paraId="3270E984" w14:textId="77777777" w:rsidR="00D94ECC" w:rsidRPr="00913CAB" w:rsidRDefault="00D94ECC" w:rsidP="00D94ECC">
      <w:pPr>
        <w:spacing w:line="360" w:lineRule="auto"/>
        <w:jc w:val="both"/>
        <w:rPr>
          <w:rFonts w:ascii="Arial" w:hAnsi="Arial"/>
          <w:b/>
          <w:bCs/>
          <w:rtl/>
        </w:rPr>
      </w:pPr>
    </w:p>
    <w:p w14:paraId="30BB39D5" w14:textId="77777777" w:rsidR="00D94ECC" w:rsidRPr="00257472" w:rsidRDefault="00D94ECC" w:rsidP="00D94ECC">
      <w:pPr>
        <w:pStyle w:val="af"/>
        <w:numPr>
          <w:ilvl w:val="0"/>
          <w:numId w:val="3"/>
        </w:numPr>
        <w:spacing w:line="360" w:lineRule="auto"/>
        <w:jc w:val="both"/>
        <w:rPr>
          <w:rFonts w:ascii="Arial" w:hAnsi="Arial"/>
          <w:rtl/>
        </w:rPr>
      </w:pPr>
      <w:r w:rsidRPr="00257472">
        <w:rPr>
          <w:rFonts w:ascii="Arial" w:hAnsi="Arial" w:hint="cs"/>
          <w:rtl/>
        </w:rPr>
        <w:t xml:space="preserve">גם סנגורו של נאשם 3 ביקש לאמץ את הטיעונים ביחס לאישום השביעי שהועלו בנוגע לנאשם 1. נטען שהנאשם 3 לא הורשע בעבירה של התפרעות והוא מופיע באישום השביעי (וחלק מהאישום השמיני) בלבד כאשר גם שם חלק מהפירוט העובדתי אינו שייך אליו. </w:t>
      </w:r>
    </w:p>
    <w:p w14:paraId="19A661CB" w14:textId="77777777" w:rsidR="00D94ECC" w:rsidRDefault="00D94ECC" w:rsidP="00D94ECC">
      <w:pPr>
        <w:spacing w:line="360" w:lineRule="auto"/>
        <w:jc w:val="both"/>
        <w:rPr>
          <w:rFonts w:ascii="Arial" w:hAnsi="Arial"/>
          <w:rtl/>
        </w:rPr>
      </w:pPr>
    </w:p>
    <w:p w14:paraId="1F02722E" w14:textId="77777777" w:rsidR="00D94ECC" w:rsidRPr="00257472" w:rsidRDefault="00D94ECC" w:rsidP="00D94ECC">
      <w:pPr>
        <w:pStyle w:val="af"/>
        <w:numPr>
          <w:ilvl w:val="0"/>
          <w:numId w:val="3"/>
        </w:numPr>
        <w:spacing w:line="360" w:lineRule="auto"/>
        <w:jc w:val="both"/>
        <w:rPr>
          <w:rFonts w:ascii="Arial" w:hAnsi="Arial"/>
          <w:rtl/>
        </w:rPr>
      </w:pPr>
      <w:r w:rsidRPr="00257472">
        <w:rPr>
          <w:rFonts w:ascii="Arial" w:hAnsi="Arial" w:hint="cs"/>
          <w:rtl/>
        </w:rPr>
        <w:t>נטען שעובדות כתב האישום בהן הורשע הנאשם מפריכות את הטענה לתכנון מוקדם שהועלתה על ידי המדינה ונטען שמדובר בפגישה אקראית בין נאשם 3 לנאשמים האחרים. נטען עוד שלאחר שנאשם 3 קיבל את התחמושת מנאשמים 1 ו-2 הוא נעלם מהפרשיה עד שהוא צץ עוד פעם בסוף שרשרת העובדות שתוארה. כמו כן הסב הסנגור את תשומת הלב לכך שלנאשם 3 לא מיוחסת עבירת מעשה טרור ושהוא ביצע ירי לאוויר בלבד.</w:t>
      </w:r>
    </w:p>
    <w:p w14:paraId="3BE3027D" w14:textId="77777777" w:rsidR="00D94ECC" w:rsidRDefault="00D94ECC" w:rsidP="00D94ECC">
      <w:pPr>
        <w:spacing w:line="360" w:lineRule="auto"/>
        <w:jc w:val="both"/>
        <w:rPr>
          <w:rFonts w:ascii="Arial" w:hAnsi="Arial"/>
          <w:rtl/>
        </w:rPr>
      </w:pPr>
    </w:p>
    <w:p w14:paraId="0EE33C98" w14:textId="77777777" w:rsidR="00D94ECC" w:rsidRPr="00257472" w:rsidRDefault="00D94ECC" w:rsidP="00D94ECC">
      <w:pPr>
        <w:pStyle w:val="af"/>
        <w:numPr>
          <w:ilvl w:val="0"/>
          <w:numId w:val="3"/>
        </w:numPr>
        <w:spacing w:line="360" w:lineRule="auto"/>
        <w:jc w:val="both"/>
        <w:rPr>
          <w:rFonts w:ascii="Arial" w:hAnsi="Arial"/>
          <w:rtl/>
        </w:rPr>
      </w:pPr>
      <w:r w:rsidRPr="00257472">
        <w:rPr>
          <w:rFonts w:ascii="Arial" w:hAnsi="Arial" w:hint="cs"/>
          <w:rtl/>
        </w:rPr>
        <w:t xml:space="preserve">נטען שאין הסבר למתחם שהמדינה ביקשה ביחס לנאשם 3 של 4-8 שנות מאסר ושאין לזה ביסוס.  </w:t>
      </w:r>
    </w:p>
    <w:p w14:paraId="3E985C20" w14:textId="77777777" w:rsidR="00D94ECC" w:rsidRDefault="00D94ECC" w:rsidP="00D94ECC">
      <w:pPr>
        <w:spacing w:line="360" w:lineRule="auto"/>
        <w:jc w:val="both"/>
        <w:rPr>
          <w:rFonts w:ascii="Arial" w:hAnsi="Arial"/>
          <w:rtl/>
        </w:rPr>
      </w:pPr>
    </w:p>
    <w:p w14:paraId="76130759" w14:textId="77777777" w:rsidR="00D94ECC" w:rsidRPr="00257472" w:rsidRDefault="00D94ECC" w:rsidP="00D94ECC">
      <w:pPr>
        <w:pStyle w:val="af"/>
        <w:numPr>
          <w:ilvl w:val="0"/>
          <w:numId w:val="3"/>
        </w:numPr>
        <w:spacing w:line="360" w:lineRule="auto"/>
        <w:jc w:val="both"/>
        <w:rPr>
          <w:rFonts w:ascii="Arial" w:hAnsi="Arial"/>
          <w:rtl/>
        </w:rPr>
      </w:pPr>
      <w:r w:rsidRPr="00257472">
        <w:rPr>
          <w:rFonts w:ascii="Arial" w:hAnsi="Arial" w:hint="cs"/>
          <w:rtl/>
        </w:rPr>
        <w:t xml:space="preserve">נטען שחלקו של נאשם 3 בעבירות אינו דומיננטי ושלא נגרם נזק כתוצאה מהירי של נאשם 3 או אף נזק לרכוש. כמו כן, הוזכר שהנאשם 3 שהה במעצר תקופה של כ-24 חודשים במהלך ההליך ונמצא כעת במעצר באיזוק תקופה של שנה וחודש ללא חלונות התאווררות. עוד נטען שמשך תקופה ארוכה היה מרוחק מביתו במסגרת התנאים המגבילים. </w:t>
      </w:r>
    </w:p>
    <w:p w14:paraId="530DC55C" w14:textId="77777777" w:rsidR="00D94ECC" w:rsidRDefault="00D94ECC" w:rsidP="00D94ECC">
      <w:pPr>
        <w:spacing w:line="360" w:lineRule="auto"/>
        <w:jc w:val="both"/>
        <w:rPr>
          <w:rFonts w:ascii="Arial" w:hAnsi="Arial"/>
          <w:rtl/>
        </w:rPr>
      </w:pPr>
    </w:p>
    <w:p w14:paraId="52594724" w14:textId="77777777" w:rsidR="00D94ECC" w:rsidRPr="00257472" w:rsidRDefault="00D94ECC" w:rsidP="00D94ECC">
      <w:pPr>
        <w:pStyle w:val="af"/>
        <w:numPr>
          <w:ilvl w:val="0"/>
          <w:numId w:val="3"/>
        </w:numPr>
        <w:spacing w:line="360" w:lineRule="auto"/>
        <w:jc w:val="both"/>
        <w:rPr>
          <w:rFonts w:ascii="Arial" w:hAnsi="Arial"/>
          <w:rtl/>
        </w:rPr>
      </w:pPr>
      <w:r w:rsidRPr="00257472">
        <w:rPr>
          <w:rFonts w:ascii="Arial" w:hAnsi="Arial" w:hint="cs"/>
          <w:rtl/>
        </w:rPr>
        <w:t xml:space="preserve">הסנגור ביקש לאור זאת להסתפק בתקופת המעצר כתקופת המאסר שתוטל. הוזכר שהנאשם היה בן 18.5 בעת ביצוע העבירה, בגיר-צעיר. הסנגור הזכיר את הנתונים האישיים שעולים מתוך התסקיר אשר פועלים לטענתו לקולא בעניינו של הנאשם 3. עוד הוזכר שכיוון שמדובר בתיק ביטחוני, אין ניכויים או הקלות מהעונש שיוטל. </w:t>
      </w:r>
    </w:p>
    <w:p w14:paraId="460B1F6C" w14:textId="77777777" w:rsidR="00D94ECC" w:rsidRDefault="00D94ECC" w:rsidP="00D94ECC">
      <w:pPr>
        <w:spacing w:line="360" w:lineRule="auto"/>
        <w:jc w:val="both"/>
        <w:rPr>
          <w:rFonts w:ascii="Arial" w:hAnsi="Arial"/>
          <w:rtl/>
        </w:rPr>
      </w:pPr>
    </w:p>
    <w:p w14:paraId="33C148ED" w14:textId="77777777" w:rsidR="00D94ECC" w:rsidRPr="00257472" w:rsidRDefault="00D94ECC" w:rsidP="00D94ECC">
      <w:pPr>
        <w:pStyle w:val="af"/>
        <w:numPr>
          <w:ilvl w:val="0"/>
          <w:numId w:val="3"/>
        </w:numPr>
        <w:spacing w:line="360" w:lineRule="auto"/>
        <w:jc w:val="both"/>
        <w:rPr>
          <w:rFonts w:ascii="Arial" w:hAnsi="Arial"/>
          <w:rtl/>
        </w:rPr>
      </w:pPr>
      <w:r w:rsidRPr="00257472">
        <w:rPr>
          <w:rFonts w:ascii="Arial" w:hAnsi="Arial" w:hint="cs"/>
          <w:rtl/>
        </w:rPr>
        <w:t xml:space="preserve">הסנגור אזכר ת"פ 53339-09-22 </w:t>
      </w:r>
      <w:r w:rsidRPr="00257472">
        <w:rPr>
          <w:rFonts w:ascii="Arial" w:hAnsi="Arial" w:hint="cs"/>
          <w:b/>
          <w:bCs/>
          <w:rtl/>
        </w:rPr>
        <w:t>מדינת ישראל נ' אחמד נאשף</w:t>
      </w:r>
      <w:r w:rsidRPr="00257472">
        <w:rPr>
          <w:rFonts w:ascii="Arial" w:hAnsi="Arial" w:hint="cs"/>
          <w:rtl/>
        </w:rPr>
        <w:t xml:space="preserve"> (29.1.24); שם הורשעו שני נאשמים במסגרת הסדר בעבירות נשק, התפרעות ואלימות שאירעו במהלך מבצע שומר חומות. נאשם 1 הורשע ב-5 אישומים, כאשר במסגרת האישום הראשון הוא הורשע בירי מנשק חם באזור מגורים ונשיאה והובלה של נשק ותחמושת. תואר שעל רקע מהומות מבצע שומר חומות הנאשם 1 החליט לירות באקדח ופנה לנאשם אחר שאצלו היה מוטמן אקדח. הוא הוסע לאזור גשר בטייבה וניסה לירות באקדח ולא הצליח. הוא חזר ופגש נאשמים אחרים שאחד מהם הסביר לו איך לתפעל את הנשק, ואז הוא חזר לאזור הגשר וירה 3 כדורים באוויר, כאשר הוא תועד במצלמה. האישומים הנוספים ייחסו לו השתתפות בהתפרעויות וניסיון יידוי אבנים על שוטרים, נשיאה והובלת נשק (שני אישומים) ועסקה אחרת בנשק. </w:t>
      </w:r>
    </w:p>
    <w:p w14:paraId="19178C02" w14:textId="77777777" w:rsidR="00D94ECC" w:rsidRDefault="00D94ECC" w:rsidP="00D94ECC">
      <w:pPr>
        <w:spacing w:line="360" w:lineRule="auto"/>
        <w:jc w:val="both"/>
        <w:rPr>
          <w:rFonts w:ascii="Arial" w:hAnsi="Arial"/>
          <w:rtl/>
        </w:rPr>
      </w:pPr>
    </w:p>
    <w:p w14:paraId="3762EF63" w14:textId="77777777" w:rsidR="00D94ECC" w:rsidRPr="00257472" w:rsidRDefault="00D94ECC" w:rsidP="00D94ECC">
      <w:pPr>
        <w:pStyle w:val="af"/>
        <w:numPr>
          <w:ilvl w:val="0"/>
          <w:numId w:val="3"/>
        </w:numPr>
        <w:spacing w:line="360" w:lineRule="auto"/>
        <w:jc w:val="both"/>
        <w:rPr>
          <w:rFonts w:ascii="Arial" w:hAnsi="Arial"/>
          <w:rtl/>
        </w:rPr>
      </w:pPr>
      <w:r w:rsidRPr="00257472">
        <w:rPr>
          <w:rFonts w:ascii="Arial" w:hAnsi="Arial" w:hint="cs"/>
          <w:rtl/>
        </w:rPr>
        <w:t xml:space="preserve">בגין כלל המעשים שביצע נקבע לו מתחם ענישה כולל שבין 5.5 </w:t>
      </w:r>
      <w:r w:rsidRPr="00257472">
        <w:rPr>
          <w:rFonts w:ascii="Arial" w:hAnsi="Arial"/>
          <w:rtl/>
        </w:rPr>
        <w:t>–</w:t>
      </w:r>
      <w:r w:rsidRPr="00257472">
        <w:rPr>
          <w:rFonts w:ascii="Arial" w:hAnsi="Arial" w:hint="cs"/>
          <w:rtl/>
        </w:rPr>
        <w:t xml:space="preserve"> 8 שנות מאסר לנאשם 1. בסופו של עניין נגזרו עליו 68 חודשי מאסר בפועל. </w:t>
      </w:r>
    </w:p>
    <w:p w14:paraId="69866774" w14:textId="77777777" w:rsidR="00D94ECC" w:rsidRDefault="00D94ECC" w:rsidP="00D94ECC">
      <w:pPr>
        <w:spacing w:line="360" w:lineRule="auto"/>
        <w:jc w:val="both"/>
        <w:rPr>
          <w:rFonts w:ascii="Arial" w:hAnsi="Arial"/>
          <w:rtl/>
        </w:rPr>
      </w:pPr>
    </w:p>
    <w:p w14:paraId="643BB9B6" w14:textId="77777777" w:rsidR="00D94ECC" w:rsidRPr="00257472" w:rsidRDefault="00D94ECC" w:rsidP="00D94ECC">
      <w:pPr>
        <w:pStyle w:val="af"/>
        <w:numPr>
          <w:ilvl w:val="0"/>
          <w:numId w:val="3"/>
        </w:numPr>
        <w:spacing w:line="360" w:lineRule="auto"/>
        <w:jc w:val="both"/>
        <w:rPr>
          <w:rFonts w:ascii="Arial" w:hAnsi="Arial"/>
          <w:rtl/>
        </w:rPr>
      </w:pPr>
      <w:r w:rsidRPr="008C7F84">
        <w:rPr>
          <w:rFonts w:ascii="Arial" w:hAnsi="Arial" w:hint="cs"/>
          <w:b/>
          <w:bCs/>
          <w:u w:val="single"/>
          <w:rtl/>
        </w:rPr>
        <w:t>עמדת</w:t>
      </w:r>
      <w:r w:rsidRPr="00257472">
        <w:rPr>
          <w:rFonts w:ascii="Arial" w:hAnsi="Arial" w:hint="cs"/>
          <w:b/>
          <w:bCs/>
          <w:u w:val="single"/>
          <w:rtl/>
        </w:rPr>
        <w:t xml:space="preserve"> נאשם 1</w:t>
      </w:r>
    </w:p>
    <w:p w14:paraId="62505C86" w14:textId="77777777" w:rsidR="00D94ECC" w:rsidRDefault="00D94ECC" w:rsidP="00D94ECC">
      <w:pPr>
        <w:spacing w:line="360" w:lineRule="auto"/>
        <w:jc w:val="both"/>
        <w:rPr>
          <w:rFonts w:ascii="Arial" w:hAnsi="Arial"/>
          <w:rtl/>
        </w:rPr>
      </w:pPr>
      <w:r>
        <w:rPr>
          <w:rFonts w:ascii="Arial" w:hAnsi="Arial" w:hint="cs"/>
          <w:rtl/>
        </w:rPr>
        <w:t>ביקש שיתאפשר לו להמשיך ולבנות את חייו. אמר שלמד לקח ולא יחזור על מעשים כאלה.</w:t>
      </w:r>
    </w:p>
    <w:p w14:paraId="3FFA5F9D" w14:textId="77777777" w:rsidR="00D94ECC" w:rsidRDefault="00D94ECC" w:rsidP="00D94ECC">
      <w:pPr>
        <w:spacing w:line="360" w:lineRule="auto"/>
        <w:jc w:val="both"/>
        <w:rPr>
          <w:rFonts w:ascii="Arial" w:hAnsi="Arial"/>
          <w:rtl/>
        </w:rPr>
      </w:pPr>
    </w:p>
    <w:p w14:paraId="0332E933" w14:textId="77777777" w:rsidR="00D94ECC" w:rsidRPr="00257472" w:rsidRDefault="00D94ECC" w:rsidP="00D94ECC">
      <w:pPr>
        <w:pStyle w:val="af"/>
        <w:numPr>
          <w:ilvl w:val="0"/>
          <w:numId w:val="3"/>
        </w:numPr>
        <w:spacing w:line="360" w:lineRule="auto"/>
        <w:jc w:val="both"/>
        <w:rPr>
          <w:rFonts w:ascii="Arial" w:hAnsi="Arial"/>
          <w:b/>
          <w:bCs/>
          <w:u w:val="single"/>
          <w:rtl/>
        </w:rPr>
      </w:pPr>
      <w:r w:rsidRPr="008C7F84">
        <w:rPr>
          <w:rFonts w:ascii="Arial" w:hAnsi="Arial" w:hint="cs"/>
          <w:b/>
          <w:bCs/>
          <w:u w:val="single"/>
          <w:rtl/>
        </w:rPr>
        <w:t>עמדת</w:t>
      </w:r>
      <w:r w:rsidRPr="00257472">
        <w:rPr>
          <w:rFonts w:ascii="Arial" w:hAnsi="Arial" w:hint="cs"/>
          <w:b/>
          <w:bCs/>
          <w:u w:val="single"/>
          <w:rtl/>
        </w:rPr>
        <w:t xml:space="preserve"> נאשם 2</w:t>
      </w:r>
    </w:p>
    <w:p w14:paraId="5328F0DD" w14:textId="77777777" w:rsidR="00D94ECC" w:rsidRDefault="00D94ECC" w:rsidP="00D94ECC">
      <w:pPr>
        <w:spacing w:line="360" w:lineRule="auto"/>
        <w:jc w:val="both"/>
        <w:rPr>
          <w:rFonts w:ascii="Arial" w:hAnsi="Arial"/>
          <w:b/>
          <w:bCs/>
          <w:u w:val="single"/>
          <w:rtl/>
        </w:rPr>
      </w:pPr>
      <w:r>
        <w:rPr>
          <w:rFonts w:ascii="Arial" w:hAnsi="Arial" w:hint="cs"/>
          <w:rtl/>
        </w:rPr>
        <w:t>לא ביקש להוסיף דבר מעבר לכך שיכבד את החלטת בית המשפט.</w:t>
      </w:r>
    </w:p>
    <w:p w14:paraId="64AD35FD" w14:textId="77777777" w:rsidR="00D94ECC" w:rsidRPr="00FD55FE" w:rsidRDefault="00D94ECC" w:rsidP="00D94ECC">
      <w:pPr>
        <w:spacing w:line="360" w:lineRule="auto"/>
        <w:jc w:val="both"/>
        <w:rPr>
          <w:rFonts w:ascii="Arial" w:hAnsi="Arial"/>
          <w:b/>
          <w:bCs/>
          <w:u w:val="single"/>
          <w:rtl/>
        </w:rPr>
      </w:pPr>
    </w:p>
    <w:p w14:paraId="63FD045F" w14:textId="77777777" w:rsidR="00D94ECC" w:rsidRPr="00FD55FE" w:rsidRDefault="00D94ECC" w:rsidP="00D94ECC">
      <w:pPr>
        <w:spacing w:line="360" w:lineRule="auto"/>
        <w:jc w:val="both"/>
        <w:rPr>
          <w:rFonts w:ascii="Arial" w:hAnsi="Arial"/>
          <w:b/>
          <w:bCs/>
          <w:u w:val="single"/>
          <w:rtl/>
        </w:rPr>
      </w:pPr>
      <w:r>
        <w:rPr>
          <w:rFonts w:ascii="Arial" w:hAnsi="Arial" w:hint="cs"/>
          <w:b/>
          <w:bCs/>
          <w:rtl/>
        </w:rPr>
        <w:t>50</w:t>
      </w:r>
      <w:r w:rsidRPr="00375BCD">
        <w:rPr>
          <w:rFonts w:ascii="Arial" w:hAnsi="Arial" w:hint="cs"/>
          <w:b/>
          <w:bCs/>
          <w:rtl/>
        </w:rPr>
        <w:t xml:space="preserve">.  </w:t>
      </w:r>
      <w:r w:rsidRPr="008C7F84">
        <w:rPr>
          <w:rFonts w:ascii="Arial" w:hAnsi="Arial" w:hint="cs"/>
          <w:b/>
          <w:bCs/>
          <w:u w:val="single"/>
          <w:rtl/>
        </w:rPr>
        <w:t>עמדת</w:t>
      </w:r>
      <w:r>
        <w:rPr>
          <w:rFonts w:ascii="Arial" w:hAnsi="Arial" w:hint="cs"/>
          <w:b/>
          <w:bCs/>
          <w:u w:val="single"/>
          <w:rtl/>
        </w:rPr>
        <w:t xml:space="preserve"> </w:t>
      </w:r>
      <w:r w:rsidRPr="00FD55FE">
        <w:rPr>
          <w:rFonts w:ascii="Arial" w:hAnsi="Arial" w:hint="cs"/>
          <w:b/>
          <w:bCs/>
          <w:u w:val="single"/>
          <w:rtl/>
        </w:rPr>
        <w:t>נאשם 3</w:t>
      </w:r>
    </w:p>
    <w:p w14:paraId="7C9DAC11" w14:textId="77777777" w:rsidR="00D94ECC" w:rsidRDefault="00D94ECC" w:rsidP="00D94ECC">
      <w:pPr>
        <w:spacing w:line="360" w:lineRule="auto"/>
        <w:jc w:val="both"/>
        <w:rPr>
          <w:rFonts w:ascii="Arial" w:hAnsi="Arial"/>
          <w:rtl/>
        </w:rPr>
      </w:pPr>
      <w:r>
        <w:rPr>
          <w:rFonts w:ascii="Arial" w:hAnsi="Arial" w:hint="cs"/>
          <w:rtl/>
        </w:rPr>
        <w:t>הביע חרטה על מעשיו ואמר שלא יחזור עליהם וביקש סליחה.</w:t>
      </w:r>
    </w:p>
    <w:p w14:paraId="47DEF62C" w14:textId="77777777" w:rsidR="00D94ECC" w:rsidRDefault="00D94ECC" w:rsidP="00D94ECC">
      <w:pPr>
        <w:spacing w:line="360" w:lineRule="auto"/>
        <w:jc w:val="both"/>
        <w:rPr>
          <w:rFonts w:ascii="Arial" w:hAnsi="Arial"/>
          <w:rtl/>
        </w:rPr>
      </w:pPr>
    </w:p>
    <w:p w14:paraId="4F96C256" w14:textId="77777777" w:rsidR="00D94ECC" w:rsidRDefault="00D94ECC" w:rsidP="00D94ECC">
      <w:pPr>
        <w:spacing w:line="360" w:lineRule="auto"/>
        <w:ind w:left="425" w:hanging="425"/>
        <w:jc w:val="both"/>
        <w:rPr>
          <w:rFonts w:ascii="Arial" w:hAnsi="Arial"/>
          <w:rtl/>
        </w:rPr>
      </w:pPr>
      <w:r>
        <w:rPr>
          <w:rFonts w:ascii="Arial" w:hAnsi="Arial" w:hint="cs"/>
          <w:rtl/>
        </w:rPr>
        <w:t>51.</w:t>
      </w:r>
      <w:r>
        <w:rPr>
          <w:rFonts w:ascii="Arial" w:hAnsi="Arial" w:hint="cs"/>
          <w:rtl/>
        </w:rPr>
        <w:tab/>
        <w:t xml:space="preserve">יוער כי לנאשם 3 נערך תסקיר מבחן בו תוארו קורותיו. בתסקיר הוא שלל את ביצוע העבירות ונקבע כי </w:t>
      </w:r>
      <w:r w:rsidRPr="00C67B46">
        <w:rPr>
          <w:rFonts w:ascii="Arial" w:hAnsi="Arial" w:hint="cs"/>
          <w:rtl/>
        </w:rPr>
        <w:t>עדיין</w:t>
      </w:r>
      <w:r>
        <w:rPr>
          <w:rFonts w:ascii="Arial" w:hAnsi="Arial" w:hint="cs"/>
          <w:rtl/>
        </w:rPr>
        <w:t xml:space="preserve"> קיים סיכון להישנות עבירות. כיוון שהנאשם 3 לא ביטא קבלת אחריות ושלל נזקקות טיפולית לא הובאה המלצה שיקומית בעניינו.</w:t>
      </w:r>
    </w:p>
    <w:p w14:paraId="65AA3A9A" w14:textId="77777777" w:rsidR="00D94ECC" w:rsidRDefault="00D94ECC" w:rsidP="00D94ECC">
      <w:pPr>
        <w:spacing w:line="360" w:lineRule="auto"/>
        <w:jc w:val="both"/>
        <w:rPr>
          <w:rFonts w:ascii="Arial" w:hAnsi="Arial"/>
          <w:rtl/>
        </w:rPr>
      </w:pPr>
    </w:p>
    <w:p w14:paraId="4E970C39" w14:textId="77777777" w:rsidR="00D94ECC" w:rsidRDefault="00D94ECC" w:rsidP="00D94ECC">
      <w:pPr>
        <w:spacing w:line="360" w:lineRule="auto"/>
        <w:jc w:val="both"/>
        <w:rPr>
          <w:rFonts w:ascii="Arial" w:hAnsi="Arial"/>
          <w:rtl/>
        </w:rPr>
      </w:pPr>
      <w:r>
        <w:rPr>
          <w:rFonts w:ascii="Arial" w:hAnsi="Arial" w:hint="cs"/>
          <w:b/>
          <w:bCs/>
          <w:u w:val="single"/>
          <w:rtl/>
        </w:rPr>
        <w:t>דיון</w:t>
      </w:r>
    </w:p>
    <w:p w14:paraId="13BCBE3A" w14:textId="77777777" w:rsidR="00D94ECC" w:rsidRDefault="00D94ECC" w:rsidP="00D94ECC">
      <w:pPr>
        <w:spacing w:line="360" w:lineRule="auto"/>
        <w:jc w:val="both"/>
        <w:rPr>
          <w:rFonts w:ascii="Arial" w:hAnsi="Arial"/>
          <w:rtl/>
        </w:rPr>
      </w:pPr>
    </w:p>
    <w:p w14:paraId="4ADA708A" w14:textId="77777777" w:rsidR="00D94ECC" w:rsidRDefault="00D94ECC" w:rsidP="00D94ECC">
      <w:pPr>
        <w:spacing w:line="360" w:lineRule="auto"/>
        <w:ind w:left="425" w:hanging="425"/>
        <w:jc w:val="both"/>
        <w:rPr>
          <w:rFonts w:ascii="Arial" w:hAnsi="Arial"/>
          <w:rtl/>
        </w:rPr>
      </w:pPr>
      <w:r>
        <w:rPr>
          <w:rFonts w:ascii="Arial" w:hAnsi="Arial" w:hint="cs"/>
          <w:rtl/>
        </w:rPr>
        <w:t>52.</w:t>
      </w:r>
      <w:r>
        <w:rPr>
          <w:rFonts w:ascii="Arial" w:hAnsi="Arial" w:hint="cs"/>
          <w:rtl/>
        </w:rPr>
        <w:tab/>
        <w:t xml:space="preserve">בעת ביצוע העבירות הנאשמים היו בגילאים הבאים: נאשם 1 בן 22, נאשם 2 בן 26 ונאשם 3 בן 18.5. לנאשם 1 אין עבר פלילי. לנאשם 2 עבר פלילי בעבירות רכוש ואלימות בגינן ריצה שני מאסרים קצרים לפני כעשור והרשעה בעבירות קלות משנת 2020. לנאשם 3 שתי הרשעות קודמות בעבירות סמים והפקרה לאחר פגיעה, בגינן הוטלו עליו עונשי מאסר </w:t>
      </w:r>
      <w:r w:rsidRPr="00F26DAA">
        <w:rPr>
          <w:rFonts w:ascii="Arial" w:hAnsi="Arial" w:hint="cs"/>
          <w:rtl/>
        </w:rPr>
        <w:t>מותנים</w:t>
      </w:r>
      <w:r>
        <w:rPr>
          <w:rFonts w:ascii="Arial" w:hAnsi="Arial" w:hint="cs"/>
          <w:rtl/>
        </w:rPr>
        <w:t>.</w:t>
      </w:r>
    </w:p>
    <w:p w14:paraId="391C4430" w14:textId="77777777" w:rsidR="00D94ECC" w:rsidRDefault="00D94ECC" w:rsidP="00D94ECC">
      <w:pPr>
        <w:spacing w:line="360" w:lineRule="auto"/>
        <w:jc w:val="both"/>
        <w:rPr>
          <w:rFonts w:ascii="Arial" w:hAnsi="Arial"/>
          <w:rtl/>
        </w:rPr>
      </w:pPr>
    </w:p>
    <w:p w14:paraId="0C70A80D" w14:textId="77777777" w:rsidR="00D94ECC" w:rsidRDefault="00D94ECC" w:rsidP="00D94ECC">
      <w:pPr>
        <w:spacing w:line="360" w:lineRule="auto"/>
        <w:ind w:left="425" w:hanging="425"/>
        <w:jc w:val="both"/>
        <w:rPr>
          <w:rFonts w:ascii="Arial" w:hAnsi="Arial"/>
          <w:rtl/>
        </w:rPr>
      </w:pPr>
      <w:r>
        <w:rPr>
          <w:rFonts w:ascii="Arial" w:hAnsi="Arial" w:hint="cs"/>
          <w:rtl/>
        </w:rPr>
        <w:t>53.</w:t>
      </w:r>
      <w:r>
        <w:rPr>
          <w:rFonts w:ascii="Arial" w:hAnsi="Arial" w:hint="cs"/>
          <w:rtl/>
        </w:rPr>
        <w:tab/>
        <w:t>הערכים המוגנים שנפגעו כתוצאה ממעשיהם של הנאשמים היו שמירה על שלטון החוק והסדר הציבורי, פגיעה ברכוש ובגוף, בזכות הקניין, בשלום הציבור, ובשלומם וביטחונם של אנשי כוחות הביטחון. בכל הקשור לעבירות על חוק המאבק בטרור, מדובר בפגיעה קשה בערכים המוגנים, וכן גם ביחס לעבירות שבוצעו ממניע גזעני (</w:t>
      </w:r>
      <w:hyperlink r:id="rId143" w:history="1">
        <w:r w:rsidR="00AB0E4D" w:rsidRPr="00AB0E4D">
          <w:rPr>
            <w:rFonts w:ascii="Arial" w:hAnsi="Arial"/>
            <w:color w:val="0000FF"/>
            <w:u w:val="single"/>
            <w:rtl/>
          </w:rPr>
          <w:t>ע"פ 1466/20</w:t>
        </w:r>
      </w:hyperlink>
      <w:r>
        <w:rPr>
          <w:rFonts w:ascii="Arial" w:hAnsi="Arial" w:hint="cs"/>
          <w:rtl/>
        </w:rPr>
        <w:t xml:space="preserve"> </w:t>
      </w:r>
      <w:r>
        <w:rPr>
          <w:rFonts w:ascii="Arial" w:hAnsi="Arial" w:hint="cs"/>
          <w:b/>
          <w:bCs/>
          <w:rtl/>
        </w:rPr>
        <w:t xml:space="preserve">מדינת ישראל נ' פלוני </w:t>
      </w:r>
      <w:r w:rsidRPr="00F26DAA">
        <w:rPr>
          <w:rFonts w:ascii="Arial" w:hAnsi="Arial" w:hint="cs"/>
          <w:rtl/>
        </w:rPr>
        <w:t>(22.7.20)).</w:t>
      </w:r>
    </w:p>
    <w:p w14:paraId="58EBC08E" w14:textId="77777777" w:rsidR="00D94ECC" w:rsidRDefault="00D94ECC" w:rsidP="00D94ECC">
      <w:pPr>
        <w:spacing w:line="360" w:lineRule="auto"/>
        <w:jc w:val="both"/>
        <w:rPr>
          <w:rFonts w:ascii="Arial" w:hAnsi="Arial"/>
          <w:rtl/>
        </w:rPr>
      </w:pPr>
    </w:p>
    <w:p w14:paraId="6746EC83" w14:textId="77777777" w:rsidR="00D94ECC" w:rsidRDefault="00D94ECC" w:rsidP="00D94ECC">
      <w:pPr>
        <w:spacing w:line="360" w:lineRule="auto"/>
        <w:ind w:left="425" w:hanging="425"/>
        <w:jc w:val="both"/>
        <w:rPr>
          <w:rFonts w:ascii="Arial" w:hAnsi="Arial"/>
          <w:rtl/>
        </w:rPr>
      </w:pPr>
      <w:r>
        <w:rPr>
          <w:rFonts w:ascii="Arial" w:hAnsi="Arial" w:hint="cs"/>
          <w:rtl/>
        </w:rPr>
        <w:t>54.</w:t>
      </w:r>
      <w:r>
        <w:rPr>
          <w:rFonts w:ascii="Arial" w:hAnsi="Arial" w:hint="cs"/>
          <w:rtl/>
        </w:rPr>
        <w:tab/>
        <w:t>נסיבה מחמירה נוספת הינה העבודה שהעבירות כולן בוצעו על רקע המבצע הצבאי שומר החומות שבמהלכו שררה מתיחות ביטחונית רבה ומצב בטחון רגיש במדינה (</w:t>
      </w:r>
      <w:hyperlink r:id="rId144" w:history="1">
        <w:r w:rsidR="00AB0E4D" w:rsidRPr="00AB0E4D">
          <w:rPr>
            <w:rFonts w:ascii="Arial" w:hAnsi="Arial"/>
            <w:color w:val="0000FF"/>
            <w:u w:val="single"/>
            <w:rtl/>
          </w:rPr>
          <w:t>ע"פ 6106/23</w:t>
        </w:r>
      </w:hyperlink>
      <w:r>
        <w:rPr>
          <w:rFonts w:ascii="Arial" w:hAnsi="Arial" w:hint="cs"/>
          <w:rtl/>
        </w:rPr>
        <w:t xml:space="preserve"> </w:t>
      </w:r>
      <w:r>
        <w:rPr>
          <w:rFonts w:ascii="Arial" w:hAnsi="Arial" w:hint="cs"/>
          <w:b/>
          <w:bCs/>
          <w:rtl/>
        </w:rPr>
        <w:t>שחאדה עמרני נ' מדינת ישראל</w:t>
      </w:r>
      <w:r>
        <w:rPr>
          <w:rFonts w:ascii="Arial" w:hAnsi="Arial" w:hint="cs"/>
          <w:rtl/>
        </w:rPr>
        <w:t xml:space="preserve"> (</w:t>
      </w:r>
      <w:r w:rsidRPr="00F26DAA">
        <w:rPr>
          <w:rFonts w:ascii="Arial" w:hAnsi="Arial" w:hint="cs"/>
          <w:rtl/>
        </w:rPr>
        <w:t>15.5.24)).</w:t>
      </w:r>
      <w:r>
        <w:rPr>
          <w:rFonts w:ascii="Arial" w:hAnsi="Arial" w:hint="cs"/>
          <w:rtl/>
        </w:rPr>
        <w:t xml:space="preserve"> </w:t>
      </w:r>
    </w:p>
    <w:p w14:paraId="26EC5122" w14:textId="77777777" w:rsidR="00D94ECC" w:rsidRDefault="00D94ECC" w:rsidP="00D94ECC">
      <w:pPr>
        <w:spacing w:line="360" w:lineRule="auto"/>
        <w:ind w:left="425" w:hanging="425"/>
        <w:jc w:val="both"/>
        <w:rPr>
          <w:rFonts w:ascii="Arial" w:hAnsi="Arial"/>
          <w:rtl/>
        </w:rPr>
      </w:pPr>
    </w:p>
    <w:p w14:paraId="52F13C46" w14:textId="77777777" w:rsidR="00D94ECC" w:rsidRDefault="00D94ECC" w:rsidP="00D94ECC">
      <w:pPr>
        <w:spacing w:line="360" w:lineRule="auto"/>
        <w:ind w:left="425" w:hanging="425"/>
        <w:jc w:val="both"/>
        <w:rPr>
          <w:rFonts w:ascii="Arial" w:hAnsi="Arial"/>
          <w:rtl/>
        </w:rPr>
      </w:pPr>
      <w:r>
        <w:rPr>
          <w:rFonts w:ascii="Arial" w:hAnsi="Arial" w:hint="cs"/>
          <w:rtl/>
        </w:rPr>
        <w:t>55.</w:t>
      </w:r>
      <w:r>
        <w:rPr>
          <w:rFonts w:ascii="Arial" w:hAnsi="Arial" w:hint="cs"/>
          <w:rtl/>
        </w:rPr>
        <w:tab/>
        <w:t xml:space="preserve">באשר לשאלה אם מדובר באירוע אחד או מספר אירועים שונים, עולה שכל אחד מהאישומים שבכתב האישום עומד בפני עצמו, כאשר לא מתקיים קשר הכרחי בין כל אישום ואישום. לא עולה מכתב האישום או מהראיות שהוגשו כי היה מדובר בתכנית עבריינית אחת על אף סמיכות הזמנים בין האישומים השונים. אומנם הקשר בין כל האירועים הינו שמדובר באירועים שהתרחשו בימים סמוכים וכולם קשורים לשומר החומות, אך אין בכך כדי להוביל למסקנה כי מדובר באירוע אחד כולל. </w:t>
      </w:r>
      <w:r w:rsidRPr="00230E50">
        <w:rPr>
          <w:rFonts w:ascii="Arial" w:hAnsi="Arial" w:hint="cs"/>
          <w:rtl/>
        </w:rPr>
        <w:t>כך המעשים אינם עומדים במבחן הקשר ההדוק שנקבע בפסיקה (</w:t>
      </w:r>
      <w:hyperlink r:id="rId145" w:history="1">
        <w:r w:rsidR="00AB0E4D" w:rsidRPr="00AB0E4D">
          <w:rPr>
            <w:rFonts w:ascii="Arial" w:hAnsi="Arial"/>
            <w:color w:val="0000FF"/>
            <w:u w:val="single"/>
            <w:rtl/>
          </w:rPr>
          <w:t>ע"פ 4910/13</w:t>
        </w:r>
      </w:hyperlink>
      <w:r w:rsidRPr="00230E50">
        <w:rPr>
          <w:rFonts w:ascii="Arial" w:hAnsi="Arial" w:hint="cs"/>
          <w:rtl/>
        </w:rPr>
        <w:t xml:space="preserve"> </w:t>
      </w:r>
      <w:r w:rsidRPr="00230E50">
        <w:rPr>
          <w:rFonts w:ascii="Arial" w:hAnsi="Arial" w:hint="cs"/>
          <w:b/>
          <w:bCs/>
          <w:rtl/>
        </w:rPr>
        <w:t xml:space="preserve">ג'אבר נ' מדינת ישראל </w:t>
      </w:r>
      <w:r w:rsidRPr="00230E50">
        <w:rPr>
          <w:rFonts w:ascii="Arial" w:hAnsi="Arial" w:hint="cs"/>
          <w:rtl/>
        </w:rPr>
        <w:t xml:space="preserve"> (29.10.14)</w:t>
      </w:r>
      <w:r>
        <w:rPr>
          <w:rFonts w:ascii="Arial" w:hAnsi="Arial" w:hint="cs"/>
          <w:rtl/>
        </w:rPr>
        <w:t>.</w:t>
      </w:r>
    </w:p>
    <w:p w14:paraId="0BA228BE" w14:textId="77777777" w:rsidR="00D94ECC" w:rsidRDefault="00D94ECC" w:rsidP="00D94ECC">
      <w:pPr>
        <w:spacing w:line="360" w:lineRule="auto"/>
        <w:ind w:left="425" w:hanging="425"/>
        <w:jc w:val="both"/>
        <w:rPr>
          <w:rFonts w:ascii="Arial" w:hAnsi="Arial"/>
          <w:rtl/>
        </w:rPr>
      </w:pPr>
    </w:p>
    <w:p w14:paraId="6701B64C" w14:textId="77777777" w:rsidR="00D94ECC" w:rsidRDefault="00D94ECC" w:rsidP="00D94ECC">
      <w:pPr>
        <w:spacing w:line="360" w:lineRule="auto"/>
        <w:ind w:left="425" w:hanging="425"/>
        <w:jc w:val="both"/>
        <w:rPr>
          <w:rFonts w:ascii="Arial" w:hAnsi="Arial"/>
          <w:rtl/>
        </w:rPr>
      </w:pPr>
      <w:r>
        <w:rPr>
          <w:rFonts w:ascii="Arial" w:hAnsi="Arial" w:hint="cs"/>
          <w:rtl/>
        </w:rPr>
        <w:t>56.</w:t>
      </w:r>
      <w:r>
        <w:rPr>
          <w:rFonts w:ascii="Arial" w:hAnsi="Arial" w:hint="cs"/>
          <w:rtl/>
        </w:rPr>
        <w:tab/>
        <w:t xml:space="preserve">בכל הקשור לרכיב של תכנון ביחס לעבירות </w:t>
      </w:r>
      <w:r>
        <w:rPr>
          <w:rFonts w:ascii="Arial" w:hAnsi="Arial"/>
          <w:rtl/>
        </w:rPr>
        <w:t>–</w:t>
      </w:r>
      <w:r>
        <w:rPr>
          <w:rFonts w:ascii="Arial" w:hAnsi="Arial" w:hint="cs"/>
          <w:rtl/>
        </w:rPr>
        <w:t xml:space="preserve"> ההצטיידות בנשק חם והשימוש בבקבוקי תבערה </w:t>
      </w:r>
      <w:r w:rsidRPr="00F26DAA">
        <w:rPr>
          <w:rFonts w:ascii="Arial" w:hAnsi="Arial" w:hint="cs"/>
          <w:rtl/>
        </w:rPr>
        <w:t>ו/או בקבוקי בנזין</w:t>
      </w:r>
      <w:r>
        <w:rPr>
          <w:rFonts w:ascii="Arial" w:hAnsi="Arial" w:hint="cs"/>
          <w:rtl/>
        </w:rPr>
        <w:t xml:space="preserve"> מצביעות על הכנה ותכנון לגבי העבירות החמורות יותר שפורטו בכתב האישום.  כל אחד מהנאשמים נושא באחריות בלעדית למעשיו והיה צריך לדעת את הפסול בהם להימנע מביצוע העבירות. </w:t>
      </w:r>
    </w:p>
    <w:p w14:paraId="47BB6111" w14:textId="77777777" w:rsidR="00D94ECC" w:rsidRDefault="00D94ECC" w:rsidP="00D94ECC">
      <w:pPr>
        <w:spacing w:line="360" w:lineRule="auto"/>
        <w:ind w:left="425" w:hanging="425"/>
        <w:jc w:val="both"/>
        <w:rPr>
          <w:rFonts w:ascii="Arial" w:hAnsi="Arial"/>
          <w:rtl/>
        </w:rPr>
      </w:pPr>
    </w:p>
    <w:p w14:paraId="7A87B2BF" w14:textId="77777777" w:rsidR="00D94ECC" w:rsidRDefault="00D94ECC" w:rsidP="00D94ECC">
      <w:pPr>
        <w:spacing w:line="360" w:lineRule="auto"/>
        <w:ind w:left="425" w:hanging="425"/>
        <w:jc w:val="both"/>
        <w:rPr>
          <w:rFonts w:ascii="Arial" w:hAnsi="Arial"/>
          <w:rtl/>
        </w:rPr>
      </w:pPr>
      <w:r>
        <w:rPr>
          <w:rFonts w:ascii="Arial" w:hAnsi="Arial" w:hint="cs"/>
          <w:rtl/>
        </w:rPr>
        <w:t>57.</w:t>
      </w:r>
      <w:r>
        <w:rPr>
          <w:rFonts w:ascii="Arial" w:hAnsi="Arial"/>
          <w:rtl/>
        </w:rPr>
        <w:tab/>
      </w:r>
      <w:r>
        <w:rPr>
          <w:rFonts w:ascii="Arial" w:hAnsi="Arial" w:hint="cs"/>
          <w:rtl/>
        </w:rPr>
        <w:t>באשר לסיכון הגלום בביצוע העבירות, יצוין שלא ניתן להפריז בסיכון הפוטנציאלי הכרוך בשימוש בנשק חם (ובייחוד בהתחשב בעבירות בהן הורשעו הנאשמים) במהלך התפרעויות המוניות. כמו כן, ביצוע מעשי ההצתה במלון ובחנויות היה כרוך ביצירת סיכונים אדירים. שני רכיבים אלה מהווים "מכפילי סיכון" משמעותיים ביותר המחייבים התייחסות מחמירה בענישה.</w:t>
      </w:r>
    </w:p>
    <w:p w14:paraId="42E146F7" w14:textId="77777777" w:rsidR="00D94ECC" w:rsidRDefault="00D94ECC" w:rsidP="00D94ECC">
      <w:pPr>
        <w:spacing w:line="360" w:lineRule="auto"/>
        <w:jc w:val="both"/>
        <w:rPr>
          <w:rFonts w:ascii="Arial" w:hAnsi="Arial"/>
          <w:rtl/>
        </w:rPr>
      </w:pPr>
    </w:p>
    <w:p w14:paraId="576C5C0D" w14:textId="77777777" w:rsidR="00D94ECC" w:rsidRDefault="00D94ECC" w:rsidP="00D94ECC">
      <w:pPr>
        <w:spacing w:line="360" w:lineRule="auto"/>
        <w:jc w:val="both"/>
        <w:rPr>
          <w:rFonts w:ascii="Arial" w:hAnsi="Arial"/>
          <w:rtl/>
        </w:rPr>
      </w:pPr>
      <w:r>
        <w:rPr>
          <w:rFonts w:ascii="Arial" w:hAnsi="Arial" w:hint="cs"/>
          <w:rtl/>
        </w:rPr>
        <w:t>58.  על בסיס האמור, טענות הצדדים, ומדיניות הענישה הנוהגת, הנני קובע מתחמי ענישה כדלקמן:</w:t>
      </w:r>
    </w:p>
    <w:p w14:paraId="73145542" w14:textId="77777777" w:rsidR="00D94ECC" w:rsidRDefault="00D94ECC" w:rsidP="00D94ECC">
      <w:pPr>
        <w:spacing w:line="360" w:lineRule="auto"/>
        <w:jc w:val="both"/>
        <w:rPr>
          <w:rFonts w:ascii="Arial" w:hAnsi="Arial"/>
          <w:rtl/>
        </w:rPr>
      </w:pPr>
    </w:p>
    <w:p w14:paraId="6E17AC73" w14:textId="77777777" w:rsidR="00D94ECC" w:rsidRPr="00375BCD" w:rsidRDefault="00D94ECC" w:rsidP="00D94ECC">
      <w:pPr>
        <w:pStyle w:val="af"/>
        <w:numPr>
          <w:ilvl w:val="0"/>
          <w:numId w:val="8"/>
        </w:numPr>
        <w:spacing w:line="360" w:lineRule="auto"/>
        <w:jc w:val="both"/>
        <w:rPr>
          <w:rFonts w:ascii="Arial" w:hAnsi="Arial"/>
          <w:rtl/>
        </w:rPr>
      </w:pPr>
      <w:r w:rsidRPr="00375BCD">
        <w:rPr>
          <w:rFonts w:ascii="Arial" w:hAnsi="Arial" w:hint="cs"/>
          <w:rtl/>
        </w:rPr>
        <w:t xml:space="preserve">בגין האישום הראשון: 4 </w:t>
      </w:r>
      <w:r w:rsidRPr="00375BCD">
        <w:rPr>
          <w:rFonts w:ascii="Arial" w:hAnsi="Arial"/>
          <w:rtl/>
        </w:rPr>
        <w:t>–</w:t>
      </w:r>
      <w:r w:rsidRPr="00375BCD">
        <w:rPr>
          <w:rFonts w:ascii="Arial" w:hAnsi="Arial" w:hint="cs"/>
          <w:rtl/>
        </w:rPr>
        <w:t xml:space="preserve"> 8 שנות מאסר. </w:t>
      </w:r>
    </w:p>
    <w:p w14:paraId="1D3FB223" w14:textId="77777777" w:rsidR="00D94ECC" w:rsidRPr="00375BCD" w:rsidRDefault="00D94ECC" w:rsidP="00D94ECC">
      <w:pPr>
        <w:pStyle w:val="af"/>
        <w:numPr>
          <w:ilvl w:val="0"/>
          <w:numId w:val="8"/>
        </w:numPr>
        <w:spacing w:line="360" w:lineRule="auto"/>
        <w:jc w:val="both"/>
        <w:rPr>
          <w:rFonts w:ascii="Arial" w:hAnsi="Arial"/>
          <w:rtl/>
        </w:rPr>
      </w:pPr>
      <w:r w:rsidRPr="00375BCD">
        <w:rPr>
          <w:rFonts w:ascii="Arial" w:hAnsi="Arial" w:hint="cs"/>
          <w:rtl/>
        </w:rPr>
        <w:t xml:space="preserve">בגין האישום השני: 5 </w:t>
      </w:r>
      <w:r w:rsidRPr="00375BCD">
        <w:rPr>
          <w:rFonts w:ascii="Arial" w:hAnsi="Arial"/>
          <w:rtl/>
        </w:rPr>
        <w:t>–</w:t>
      </w:r>
      <w:r w:rsidRPr="00375BCD">
        <w:rPr>
          <w:rFonts w:ascii="Arial" w:hAnsi="Arial" w:hint="cs"/>
          <w:rtl/>
        </w:rPr>
        <w:t xml:space="preserve"> 9 שנות מאסר. </w:t>
      </w:r>
    </w:p>
    <w:p w14:paraId="2FA1B405" w14:textId="77777777" w:rsidR="00D94ECC" w:rsidRPr="00375BCD" w:rsidRDefault="00D94ECC" w:rsidP="00D94ECC">
      <w:pPr>
        <w:pStyle w:val="af"/>
        <w:numPr>
          <w:ilvl w:val="0"/>
          <w:numId w:val="8"/>
        </w:numPr>
        <w:spacing w:line="360" w:lineRule="auto"/>
        <w:jc w:val="both"/>
        <w:rPr>
          <w:rFonts w:ascii="Arial" w:hAnsi="Arial"/>
          <w:rtl/>
        </w:rPr>
      </w:pPr>
      <w:r w:rsidRPr="00375BCD">
        <w:rPr>
          <w:rFonts w:ascii="Arial" w:hAnsi="Arial" w:hint="cs"/>
          <w:rtl/>
        </w:rPr>
        <w:t xml:space="preserve">בגין האישום השלישי: 4 - 7 שנות מאסר. </w:t>
      </w:r>
    </w:p>
    <w:p w14:paraId="6983EC58" w14:textId="77777777" w:rsidR="00D94ECC" w:rsidRPr="00375BCD" w:rsidRDefault="00D94ECC" w:rsidP="00D94ECC">
      <w:pPr>
        <w:pStyle w:val="af"/>
        <w:numPr>
          <w:ilvl w:val="0"/>
          <w:numId w:val="8"/>
        </w:numPr>
        <w:spacing w:line="360" w:lineRule="auto"/>
        <w:jc w:val="both"/>
        <w:rPr>
          <w:rFonts w:ascii="Arial" w:hAnsi="Arial"/>
          <w:rtl/>
        </w:rPr>
      </w:pPr>
      <w:r w:rsidRPr="00375BCD">
        <w:rPr>
          <w:rFonts w:ascii="Arial" w:hAnsi="Arial" w:hint="cs"/>
          <w:rtl/>
        </w:rPr>
        <w:t xml:space="preserve">בגין האישום החמישי: 20 </w:t>
      </w:r>
      <w:r w:rsidRPr="00375BCD">
        <w:rPr>
          <w:rFonts w:ascii="Arial" w:hAnsi="Arial"/>
          <w:rtl/>
        </w:rPr>
        <w:t>–</w:t>
      </w:r>
      <w:r w:rsidRPr="00375BCD">
        <w:rPr>
          <w:rFonts w:ascii="Arial" w:hAnsi="Arial" w:hint="cs"/>
          <w:rtl/>
        </w:rPr>
        <w:t xml:space="preserve"> 40 חודשי מאסר. </w:t>
      </w:r>
    </w:p>
    <w:p w14:paraId="050EE595" w14:textId="77777777" w:rsidR="00D94ECC" w:rsidRPr="00375BCD" w:rsidRDefault="00D94ECC" w:rsidP="00D94ECC">
      <w:pPr>
        <w:pStyle w:val="af"/>
        <w:numPr>
          <w:ilvl w:val="0"/>
          <w:numId w:val="8"/>
        </w:numPr>
        <w:spacing w:line="360" w:lineRule="auto"/>
        <w:jc w:val="both"/>
        <w:rPr>
          <w:rFonts w:ascii="Arial" w:hAnsi="Arial"/>
          <w:rtl/>
        </w:rPr>
      </w:pPr>
      <w:r w:rsidRPr="00375BCD">
        <w:rPr>
          <w:rFonts w:ascii="Arial" w:hAnsi="Arial" w:hint="cs"/>
          <w:rtl/>
        </w:rPr>
        <w:t xml:space="preserve">בגין האישום השישי: 18 </w:t>
      </w:r>
      <w:r w:rsidRPr="00375BCD">
        <w:rPr>
          <w:rFonts w:ascii="Arial" w:hAnsi="Arial"/>
          <w:rtl/>
        </w:rPr>
        <w:t>–</w:t>
      </w:r>
      <w:r w:rsidRPr="00375BCD">
        <w:rPr>
          <w:rFonts w:ascii="Arial" w:hAnsi="Arial" w:hint="cs"/>
          <w:rtl/>
        </w:rPr>
        <w:t xml:space="preserve"> 36 חודשי מאסר.</w:t>
      </w:r>
    </w:p>
    <w:p w14:paraId="278A310A" w14:textId="77777777" w:rsidR="00D94ECC" w:rsidRPr="00375BCD" w:rsidRDefault="00D94ECC" w:rsidP="00D94ECC">
      <w:pPr>
        <w:pStyle w:val="af"/>
        <w:numPr>
          <w:ilvl w:val="0"/>
          <w:numId w:val="8"/>
        </w:numPr>
        <w:spacing w:line="360" w:lineRule="auto"/>
        <w:jc w:val="both"/>
        <w:rPr>
          <w:rFonts w:ascii="Arial" w:hAnsi="Arial"/>
          <w:rtl/>
        </w:rPr>
      </w:pPr>
      <w:r w:rsidRPr="00375BCD">
        <w:rPr>
          <w:rFonts w:ascii="Arial" w:hAnsi="Arial" w:hint="cs"/>
          <w:rtl/>
        </w:rPr>
        <w:t>בגין האישום השביעי : נאשם 1 שביצע אקט אחד של ירי</w:t>
      </w:r>
      <w:r>
        <w:rPr>
          <w:rFonts w:ascii="Arial" w:hAnsi="Arial" w:hint="cs"/>
          <w:rtl/>
        </w:rPr>
        <w:t xml:space="preserve"> -</w:t>
      </w:r>
      <w:r w:rsidRPr="00375BCD">
        <w:rPr>
          <w:rFonts w:ascii="Arial" w:hAnsi="Arial" w:hint="cs"/>
          <w:rtl/>
        </w:rPr>
        <w:t xml:space="preserve"> 6 </w:t>
      </w:r>
      <w:r w:rsidRPr="00375BCD">
        <w:rPr>
          <w:rFonts w:ascii="Arial" w:hAnsi="Arial"/>
          <w:rtl/>
        </w:rPr>
        <w:t>–</w:t>
      </w:r>
      <w:r w:rsidRPr="00375BCD">
        <w:rPr>
          <w:rFonts w:ascii="Arial" w:hAnsi="Arial" w:hint="cs"/>
          <w:rtl/>
        </w:rPr>
        <w:t xml:space="preserve"> 10 שנות מאסר.</w:t>
      </w:r>
    </w:p>
    <w:p w14:paraId="7B88110A" w14:textId="77777777" w:rsidR="00D94ECC" w:rsidRDefault="00D94ECC" w:rsidP="00D94ECC">
      <w:pPr>
        <w:spacing w:line="360" w:lineRule="auto"/>
        <w:ind w:left="2160"/>
        <w:jc w:val="both"/>
        <w:rPr>
          <w:rFonts w:ascii="Arial" w:hAnsi="Arial"/>
          <w:rtl/>
        </w:rPr>
      </w:pPr>
      <w:r>
        <w:rPr>
          <w:rFonts w:ascii="Arial" w:hAnsi="Arial" w:hint="cs"/>
          <w:rtl/>
        </w:rPr>
        <w:t xml:space="preserve">          נאשם 2 שביצע שני אקטים של ירי - 7 - 11 שנות מאסר.</w:t>
      </w:r>
    </w:p>
    <w:p w14:paraId="2E02A69E" w14:textId="77777777" w:rsidR="00D94ECC" w:rsidRDefault="00D94ECC" w:rsidP="00D94ECC">
      <w:pPr>
        <w:spacing w:line="360" w:lineRule="auto"/>
        <w:ind w:left="2160"/>
        <w:jc w:val="both"/>
        <w:rPr>
          <w:rFonts w:ascii="Arial" w:hAnsi="Arial"/>
          <w:rtl/>
        </w:rPr>
      </w:pPr>
      <w:r>
        <w:rPr>
          <w:rFonts w:ascii="Arial" w:hAnsi="Arial" w:hint="cs"/>
          <w:rtl/>
        </w:rPr>
        <w:t xml:space="preserve">          נאשם 3 </w:t>
      </w:r>
      <w:r>
        <w:rPr>
          <w:rFonts w:ascii="Arial" w:hAnsi="Arial"/>
          <w:rtl/>
        </w:rPr>
        <w:t>–</w:t>
      </w:r>
      <w:r>
        <w:rPr>
          <w:rFonts w:ascii="Arial" w:hAnsi="Arial" w:hint="cs"/>
          <w:rtl/>
        </w:rPr>
        <w:t xml:space="preserve"> 3.5 </w:t>
      </w:r>
      <w:r>
        <w:rPr>
          <w:rFonts w:ascii="Arial" w:hAnsi="Arial"/>
          <w:rtl/>
        </w:rPr>
        <w:t>–</w:t>
      </w:r>
      <w:r>
        <w:rPr>
          <w:rFonts w:ascii="Arial" w:hAnsi="Arial" w:hint="cs"/>
          <w:rtl/>
        </w:rPr>
        <w:t xml:space="preserve"> 6 שנות מאסר.</w:t>
      </w:r>
    </w:p>
    <w:p w14:paraId="36BECA26" w14:textId="77777777" w:rsidR="00D94ECC" w:rsidRPr="00375BCD" w:rsidRDefault="00D94ECC" w:rsidP="00D94ECC">
      <w:pPr>
        <w:pStyle w:val="af"/>
        <w:numPr>
          <w:ilvl w:val="0"/>
          <w:numId w:val="8"/>
        </w:numPr>
        <w:spacing w:line="360" w:lineRule="auto"/>
        <w:jc w:val="both"/>
        <w:rPr>
          <w:rFonts w:ascii="Arial" w:hAnsi="Arial"/>
          <w:rtl/>
        </w:rPr>
      </w:pPr>
      <w:r w:rsidRPr="00375BCD">
        <w:rPr>
          <w:rFonts w:ascii="Arial" w:hAnsi="Arial" w:hint="cs"/>
          <w:rtl/>
        </w:rPr>
        <w:t xml:space="preserve">בגין האישום השמיני:  10 </w:t>
      </w:r>
      <w:r w:rsidRPr="00375BCD">
        <w:rPr>
          <w:rFonts w:ascii="Arial" w:hAnsi="Arial"/>
          <w:rtl/>
        </w:rPr>
        <w:t>–</w:t>
      </w:r>
      <w:r w:rsidRPr="00375BCD">
        <w:rPr>
          <w:rFonts w:ascii="Arial" w:hAnsi="Arial" w:hint="cs"/>
          <w:rtl/>
        </w:rPr>
        <w:t xml:space="preserve"> 24 חודשי מאסר.</w:t>
      </w:r>
    </w:p>
    <w:p w14:paraId="505DE9F9" w14:textId="77777777" w:rsidR="00D94ECC" w:rsidRDefault="00D94ECC" w:rsidP="00D94ECC">
      <w:pPr>
        <w:spacing w:line="360" w:lineRule="auto"/>
        <w:jc w:val="both"/>
        <w:rPr>
          <w:rFonts w:ascii="Arial" w:hAnsi="Arial"/>
          <w:rtl/>
        </w:rPr>
      </w:pPr>
    </w:p>
    <w:p w14:paraId="3DE5CAF3" w14:textId="77777777" w:rsidR="00D94ECC" w:rsidRDefault="00D94ECC" w:rsidP="00D94ECC">
      <w:pPr>
        <w:spacing w:line="360" w:lineRule="auto"/>
        <w:ind w:left="567" w:hanging="426"/>
        <w:jc w:val="both"/>
        <w:rPr>
          <w:rFonts w:ascii="Arial" w:hAnsi="Arial"/>
          <w:rtl/>
        </w:rPr>
      </w:pPr>
      <w:r>
        <w:rPr>
          <w:rFonts w:ascii="Arial" w:hAnsi="Arial" w:hint="cs"/>
          <w:rtl/>
        </w:rPr>
        <w:t>59.</w:t>
      </w:r>
      <w:r>
        <w:rPr>
          <w:rFonts w:ascii="Arial" w:hAnsi="Arial" w:hint="cs"/>
          <w:rtl/>
        </w:rPr>
        <w:tab/>
        <w:t xml:space="preserve">בכל הקשור לנסיבות שאינן קשורות לביצוע העבירה, כל שלושת הנאשמים הינם אנשים צעירים כאשר בעת ביצוע העבירות נאשם 3 היה רק בן 18.5. לנאשם 1 אין עבר פלילי ולנאשם 2 עבר פלילי בעבירות רכוש ואלימות בגינו ריצה שני עונשי מאסר קצרים לפני כעשור והרשעה בגין עבירות קלות בשנת 2020. לנאשם 3 שתי הרשעות קודמות  בעבירות סמים ובעבירת הפקרה בעת פגיעה בגינן הוטלו עליו עונשי מאסר על תנאי.  </w:t>
      </w:r>
    </w:p>
    <w:p w14:paraId="33A7AFC8" w14:textId="77777777" w:rsidR="00D94ECC" w:rsidRDefault="00D94ECC" w:rsidP="00D94ECC">
      <w:pPr>
        <w:spacing w:line="360" w:lineRule="auto"/>
        <w:jc w:val="both"/>
        <w:rPr>
          <w:rFonts w:ascii="Arial" w:hAnsi="Arial"/>
          <w:rtl/>
        </w:rPr>
      </w:pPr>
    </w:p>
    <w:p w14:paraId="430F6DE3" w14:textId="77777777" w:rsidR="00D94ECC" w:rsidRDefault="00D94ECC" w:rsidP="00D94ECC">
      <w:pPr>
        <w:spacing w:line="360" w:lineRule="auto"/>
        <w:ind w:left="567" w:hanging="426"/>
        <w:jc w:val="both"/>
        <w:rPr>
          <w:rFonts w:ascii="Arial" w:hAnsi="Arial"/>
          <w:rtl/>
        </w:rPr>
      </w:pPr>
      <w:r>
        <w:rPr>
          <w:rFonts w:ascii="Arial" w:hAnsi="Arial" w:hint="cs"/>
          <w:rtl/>
        </w:rPr>
        <w:t>60.</w:t>
      </w:r>
      <w:r>
        <w:rPr>
          <w:rFonts w:ascii="Arial" w:hAnsi="Arial" w:hint="cs"/>
          <w:rtl/>
        </w:rPr>
        <w:tab/>
        <w:t>עוד יצוין שבמהלך חקירת התיק, הנאשמים שיתפו פעולה והודו, אך לאחר מכן חזרו בהם וניהלו את משפטם. אין זו נסיבה לחומרה אך מאידך אין בכך כדי להקל בעונש שיוטל.</w:t>
      </w:r>
    </w:p>
    <w:p w14:paraId="41F77C53" w14:textId="77777777" w:rsidR="00D94ECC" w:rsidRDefault="00D94ECC" w:rsidP="00D94ECC">
      <w:pPr>
        <w:spacing w:line="360" w:lineRule="auto"/>
        <w:ind w:left="567" w:hanging="426"/>
        <w:jc w:val="both"/>
        <w:rPr>
          <w:rFonts w:ascii="Arial" w:hAnsi="Arial"/>
          <w:rtl/>
        </w:rPr>
      </w:pPr>
    </w:p>
    <w:p w14:paraId="4E695458" w14:textId="77777777" w:rsidR="00D94ECC" w:rsidRDefault="00D94ECC" w:rsidP="00D94ECC">
      <w:pPr>
        <w:spacing w:line="360" w:lineRule="auto"/>
        <w:ind w:left="567" w:hanging="426"/>
        <w:jc w:val="both"/>
        <w:rPr>
          <w:rFonts w:ascii="Arial" w:hAnsi="Arial"/>
          <w:rtl/>
        </w:rPr>
      </w:pPr>
      <w:r>
        <w:rPr>
          <w:rFonts w:ascii="Arial" w:hAnsi="Arial" w:hint="cs"/>
          <w:rtl/>
        </w:rPr>
        <w:t xml:space="preserve">61. </w:t>
      </w:r>
      <w:r>
        <w:rPr>
          <w:rFonts w:ascii="Arial" w:hAnsi="Arial" w:hint="cs"/>
          <w:rtl/>
        </w:rPr>
        <w:tab/>
        <w:t xml:space="preserve">בתסקיר המבחן שנערך לנאשם 3 צוין העדר קבלת האחריות, שלילת נזקקות טיפולית, העדר הכרה בצרכיו הטיפוליים והובאה הערכה כי הסיכון להישנות עבירות </w:t>
      </w:r>
      <w:r w:rsidRPr="00F26DAA">
        <w:rPr>
          <w:rFonts w:ascii="Arial" w:hAnsi="Arial" w:hint="cs"/>
          <w:rtl/>
        </w:rPr>
        <w:t>עדיין</w:t>
      </w:r>
      <w:r>
        <w:rPr>
          <w:rFonts w:ascii="Arial" w:hAnsi="Arial" w:hint="cs"/>
          <w:rtl/>
        </w:rPr>
        <w:t xml:space="preserve"> מתקיים. </w:t>
      </w:r>
    </w:p>
    <w:p w14:paraId="39D585CB" w14:textId="77777777" w:rsidR="00D94ECC" w:rsidRDefault="00D94ECC" w:rsidP="00D94ECC">
      <w:pPr>
        <w:spacing w:line="360" w:lineRule="auto"/>
        <w:ind w:left="567" w:hanging="426"/>
        <w:jc w:val="both"/>
        <w:rPr>
          <w:rFonts w:ascii="Arial" w:hAnsi="Arial"/>
          <w:rtl/>
        </w:rPr>
      </w:pPr>
    </w:p>
    <w:p w14:paraId="4F7A7DB5" w14:textId="77777777" w:rsidR="00D94ECC" w:rsidRDefault="00D94ECC" w:rsidP="00D94ECC">
      <w:pPr>
        <w:spacing w:line="360" w:lineRule="auto"/>
        <w:ind w:left="567" w:hanging="426"/>
        <w:jc w:val="both"/>
        <w:rPr>
          <w:rFonts w:ascii="Arial" w:hAnsi="Arial"/>
          <w:rtl/>
        </w:rPr>
      </w:pPr>
      <w:r>
        <w:rPr>
          <w:rFonts w:ascii="Arial" w:hAnsi="Arial" w:hint="cs"/>
          <w:rtl/>
        </w:rPr>
        <w:t>62.</w:t>
      </w:r>
      <w:r>
        <w:rPr>
          <w:rFonts w:ascii="Arial" w:hAnsi="Arial" w:hint="cs"/>
          <w:rtl/>
        </w:rPr>
        <w:tab/>
        <w:t>בהתחשב בכל האמור לעיל הנני קובע עונשים לכל אחד מהנאשמים בתוך המתחמים שנקבעו כלהלן:</w:t>
      </w:r>
    </w:p>
    <w:p w14:paraId="2935751A" w14:textId="77777777" w:rsidR="00D94ECC" w:rsidRDefault="00D94ECC" w:rsidP="00D94ECC">
      <w:pPr>
        <w:spacing w:line="360" w:lineRule="auto"/>
        <w:jc w:val="both"/>
        <w:rPr>
          <w:rFonts w:ascii="Arial" w:hAnsi="Arial"/>
          <w:rtl/>
        </w:rPr>
      </w:pPr>
    </w:p>
    <w:p w14:paraId="02DA32F3" w14:textId="77777777" w:rsidR="00D94ECC" w:rsidRPr="00375BCD" w:rsidRDefault="00D94ECC" w:rsidP="00D94ECC">
      <w:pPr>
        <w:spacing w:line="360" w:lineRule="auto"/>
        <w:ind w:firstLine="567"/>
        <w:jc w:val="both"/>
        <w:rPr>
          <w:rFonts w:ascii="Arial" w:hAnsi="Arial"/>
          <w:b/>
          <w:bCs/>
          <w:rtl/>
        </w:rPr>
      </w:pPr>
      <w:r w:rsidRPr="00375BCD">
        <w:rPr>
          <w:rFonts w:ascii="Arial" w:hAnsi="Arial" w:hint="cs"/>
          <w:b/>
          <w:bCs/>
          <w:u w:val="single"/>
          <w:rtl/>
        </w:rPr>
        <w:t>נאשם 1</w:t>
      </w:r>
      <w:r w:rsidRPr="00375BCD">
        <w:rPr>
          <w:rFonts w:ascii="Arial" w:hAnsi="Arial" w:hint="cs"/>
          <w:b/>
          <w:bCs/>
          <w:rtl/>
        </w:rPr>
        <w:t xml:space="preserve"> </w:t>
      </w:r>
      <w:r w:rsidRPr="00375BCD">
        <w:rPr>
          <w:rFonts w:ascii="Arial" w:hAnsi="Arial"/>
          <w:b/>
          <w:bCs/>
          <w:rtl/>
        </w:rPr>
        <w:t>–</w:t>
      </w:r>
      <w:r w:rsidRPr="00375BCD">
        <w:rPr>
          <w:rFonts w:ascii="Arial" w:hAnsi="Arial" w:hint="cs"/>
          <w:b/>
          <w:bCs/>
          <w:rtl/>
        </w:rPr>
        <w:t xml:space="preserve"> </w:t>
      </w:r>
    </w:p>
    <w:p w14:paraId="07E15937" w14:textId="77777777" w:rsidR="00D94ECC" w:rsidRPr="00375BCD" w:rsidRDefault="00D94ECC" w:rsidP="00D94ECC">
      <w:pPr>
        <w:pStyle w:val="af"/>
        <w:numPr>
          <w:ilvl w:val="0"/>
          <w:numId w:val="8"/>
        </w:numPr>
        <w:spacing w:line="360" w:lineRule="auto"/>
        <w:ind w:left="992" w:hanging="425"/>
        <w:jc w:val="both"/>
        <w:rPr>
          <w:rFonts w:ascii="Arial" w:hAnsi="Arial"/>
          <w:rtl/>
        </w:rPr>
      </w:pPr>
      <w:r w:rsidRPr="00375BCD">
        <w:rPr>
          <w:rFonts w:ascii="Arial" w:hAnsi="Arial" w:hint="cs"/>
          <w:rtl/>
        </w:rPr>
        <w:t xml:space="preserve">בגין האישום הראשון </w:t>
      </w:r>
      <w:r w:rsidRPr="00375BCD">
        <w:rPr>
          <w:rFonts w:ascii="Arial" w:hAnsi="Arial"/>
          <w:rtl/>
        </w:rPr>
        <w:t>–</w:t>
      </w:r>
      <w:r w:rsidRPr="00375BCD">
        <w:rPr>
          <w:rFonts w:ascii="Arial" w:hAnsi="Arial" w:hint="cs"/>
          <w:rtl/>
        </w:rPr>
        <w:t xml:space="preserve"> 6 שנות מאסר;</w:t>
      </w:r>
    </w:p>
    <w:p w14:paraId="6B284AA7" w14:textId="77777777" w:rsidR="00D94ECC" w:rsidRPr="00375BCD" w:rsidRDefault="00D94ECC" w:rsidP="00D94ECC">
      <w:pPr>
        <w:pStyle w:val="af"/>
        <w:numPr>
          <w:ilvl w:val="0"/>
          <w:numId w:val="8"/>
        </w:numPr>
        <w:spacing w:line="360" w:lineRule="auto"/>
        <w:ind w:left="992" w:hanging="425"/>
        <w:jc w:val="both"/>
        <w:rPr>
          <w:rFonts w:ascii="Arial" w:hAnsi="Arial"/>
          <w:rtl/>
        </w:rPr>
      </w:pPr>
      <w:r w:rsidRPr="00375BCD">
        <w:rPr>
          <w:rFonts w:ascii="Arial" w:hAnsi="Arial" w:hint="cs"/>
          <w:rtl/>
        </w:rPr>
        <w:t xml:space="preserve">בגין האישום השני </w:t>
      </w:r>
      <w:r w:rsidRPr="00375BCD">
        <w:rPr>
          <w:rFonts w:ascii="Arial" w:hAnsi="Arial"/>
          <w:rtl/>
        </w:rPr>
        <w:t>–</w:t>
      </w:r>
      <w:r w:rsidRPr="00375BCD">
        <w:rPr>
          <w:rFonts w:ascii="Arial" w:hAnsi="Arial" w:hint="cs"/>
          <w:rtl/>
        </w:rPr>
        <w:t xml:space="preserve"> 7 שנות מאסר;</w:t>
      </w:r>
    </w:p>
    <w:p w14:paraId="03C4D7EE" w14:textId="77777777" w:rsidR="00D94ECC" w:rsidRPr="00375BCD" w:rsidRDefault="00D94ECC" w:rsidP="00D94ECC">
      <w:pPr>
        <w:pStyle w:val="af"/>
        <w:numPr>
          <w:ilvl w:val="0"/>
          <w:numId w:val="8"/>
        </w:numPr>
        <w:spacing w:line="360" w:lineRule="auto"/>
        <w:ind w:left="992" w:hanging="425"/>
        <w:jc w:val="both"/>
        <w:rPr>
          <w:rFonts w:ascii="Arial" w:hAnsi="Arial"/>
          <w:rtl/>
        </w:rPr>
      </w:pPr>
      <w:r w:rsidRPr="00375BCD">
        <w:rPr>
          <w:rFonts w:ascii="Arial" w:hAnsi="Arial" w:hint="cs"/>
          <w:rtl/>
        </w:rPr>
        <w:t xml:space="preserve">בגין האישום השלישי </w:t>
      </w:r>
      <w:r w:rsidRPr="00375BCD">
        <w:rPr>
          <w:rFonts w:ascii="Arial" w:hAnsi="Arial"/>
          <w:rtl/>
        </w:rPr>
        <w:t>–</w:t>
      </w:r>
      <w:r w:rsidRPr="00375BCD">
        <w:rPr>
          <w:rFonts w:ascii="Arial" w:hAnsi="Arial" w:hint="cs"/>
          <w:rtl/>
        </w:rPr>
        <w:t xml:space="preserve"> 5 שנות מאסר;</w:t>
      </w:r>
    </w:p>
    <w:p w14:paraId="319C85FA" w14:textId="77777777" w:rsidR="00D94ECC" w:rsidRPr="00375BCD" w:rsidRDefault="00D94ECC" w:rsidP="00D94ECC">
      <w:pPr>
        <w:pStyle w:val="af"/>
        <w:numPr>
          <w:ilvl w:val="0"/>
          <w:numId w:val="8"/>
        </w:numPr>
        <w:spacing w:line="360" w:lineRule="auto"/>
        <w:ind w:left="992" w:hanging="425"/>
        <w:jc w:val="both"/>
        <w:rPr>
          <w:rFonts w:ascii="Arial" w:hAnsi="Arial"/>
          <w:rtl/>
        </w:rPr>
      </w:pPr>
      <w:r w:rsidRPr="00375BCD">
        <w:rPr>
          <w:rFonts w:ascii="Arial" w:hAnsi="Arial" w:hint="cs"/>
          <w:rtl/>
        </w:rPr>
        <w:t xml:space="preserve">בגין האישום השביעי </w:t>
      </w:r>
      <w:r w:rsidRPr="00375BCD">
        <w:rPr>
          <w:rFonts w:ascii="Arial" w:hAnsi="Arial"/>
          <w:rtl/>
        </w:rPr>
        <w:t>–</w:t>
      </w:r>
      <w:r w:rsidRPr="00375BCD">
        <w:rPr>
          <w:rFonts w:ascii="Arial" w:hAnsi="Arial" w:hint="cs"/>
          <w:rtl/>
        </w:rPr>
        <w:t xml:space="preserve"> </w:t>
      </w:r>
      <w:r>
        <w:rPr>
          <w:rFonts w:ascii="Arial" w:hAnsi="Arial" w:hint="cs"/>
          <w:rtl/>
        </w:rPr>
        <w:t>8</w:t>
      </w:r>
      <w:r w:rsidRPr="00375BCD">
        <w:rPr>
          <w:rFonts w:ascii="Arial" w:hAnsi="Arial" w:hint="cs"/>
          <w:rtl/>
        </w:rPr>
        <w:t xml:space="preserve"> שנות מאסר;</w:t>
      </w:r>
    </w:p>
    <w:p w14:paraId="5CCC8A5B" w14:textId="77777777" w:rsidR="00D94ECC" w:rsidRDefault="00D94ECC" w:rsidP="00D94ECC">
      <w:pPr>
        <w:spacing w:line="360" w:lineRule="auto"/>
        <w:jc w:val="both"/>
        <w:rPr>
          <w:rFonts w:ascii="Arial" w:hAnsi="Arial"/>
          <w:rtl/>
        </w:rPr>
      </w:pPr>
    </w:p>
    <w:p w14:paraId="2DE4AA4A" w14:textId="77777777" w:rsidR="00D94ECC" w:rsidRPr="00375BCD" w:rsidRDefault="00D94ECC" w:rsidP="00D94ECC">
      <w:pPr>
        <w:spacing w:line="360" w:lineRule="auto"/>
        <w:ind w:firstLine="567"/>
        <w:jc w:val="both"/>
        <w:rPr>
          <w:rFonts w:ascii="Arial" w:hAnsi="Arial"/>
          <w:b/>
          <w:bCs/>
          <w:rtl/>
        </w:rPr>
      </w:pPr>
      <w:r w:rsidRPr="00375BCD">
        <w:rPr>
          <w:rFonts w:ascii="Arial" w:hAnsi="Arial" w:hint="cs"/>
          <w:b/>
          <w:bCs/>
          <w:u w:val="single"/>
          <w:rtl/>
        </w:rPr>
        <w:t>נאשם 2</w:t>
      </w:r>
      <w:r w:rsidRPr="00375BCD">
        <w:rPr>
          <w:rFonts w:ascii="Arial" w:hAnsi="Arial" w:hint="cs"/>
          <w:b/>
          <w:bCs/>
          <w:rtl/>
        </w:rPr>
        <w:t xml:space="preserve"> </w:t>
      </w:r>
      <w:r w:rsidRPr="00375BCD">
        <w:rPr>
          <w:rFonts w:ascii="Arial" w:hAnsi="Arial"/>
          <w:b/>
          <w:bCs/>
          <w:rtl/>
        </w:rPr>
        <w:t>–</w:t>
      </w:r>
      <w:r w:rsidRPr="00375BCD">
        <w:rPr>
          <w:rFonts w:ascii="Arial" w:hAnsi="Arial" w:hint="cs"/>
          <w:b/>
          <w:bCs/>
          <w:rtl/>
        </w:rPr>
        <w:t xml:space="preserve"> </w:t>
      </w:r>
    </w:p>
    <w:p w14:paraId="38659B92" w14:textId="77777777" w:rsidR="00D94ECC" w:rsidRPr="00375BCD" w:rsidRDefault="00D94ECC" w:rsidP="00D94ECC">
      <w:pPr>
        <w:pStyle w:val="af"/>
        <w:numPr>
          <w:ilvl w:val="0"/>
          <w:numId w:val="8"/>
        </w:numPr>
        <w:spacing w:line="360" w:lineRule="auto"/>
        <w:ind w:left="992" w:hanging="425"/>
        <w:jc w:val="both"/>
        <w:rPr>
          <w:rFonts w:ascii="Arial" w:hAnsi="Arial"/>
          <w:rtl/>
        </w:rPr>
      </w:pPr>
      <w:r w:rsidRPr="00375BCD">
        <w:rPr>
          <w:rFonts w:ascii="Arial" w:hAnsi="Arial" w:hint="cs"/>
          <w:rtl/>
        </w:rPr>
        <w:t xml:space="preserve">בגין האישום החמישי </w:t>
      </w:r>
      <w:r w:rsidRPr="00375BCD">
        <w:rPr>
          <w:rFonts w:ascii="Arial" w:hAnsi="Arial"/>
          <w:rtl/>
        </w:rPr>
        <w:t>–</w:t>
      </w:r>
      <w:r w:rsidRPr="00375BCD">
        <w:rPr>
          <w:rFonts w:ascii="Arial" w:hAnsi="Arial" w:hint="cs"/>
          <w:rtl/>
        </w:rPr>
        <w:t xml:space="preserve"> 30 חודשי מאסר;</w:t>
      </w:r>
    </w:p>
    <w:p w14:paraId="2D0DFCD8" w14:textId="77777777" w:rsidR="00D94ECC" w:rsidRPr="00375BCD" w:rsidRDefault="00D94ECC" w:rsidP="00D94ECC">
      <w:pPr>
        <w:pStyle w:val="af"/>
        <w:numPr>
          <w:ilvl w:val="0"/>
          <w:numId w:val="8"/>
        </w:numPr>
        <w:spacing w:line="360" w:lineRule="auto"/>
        <w:ind w:left="992" w:hanging="425"/>
        <w:jc w:val="both"/>
        <w:rPr>
          <w:rFonts w:ascii="Arial" w:hAnsi="Arial"/>
          <w:rtl/>
        </w:rPr>
      </w:pPr>
      <w:r w:rsidRPr="00375BCD">
        <w:rPr>
          <w:rFonts w:ascii="Arial" w:hAnsi="Arial" w:hint="cs"/>
          <w:rtl/>
        </w:rPr>
        <w:t xml:space="preserve">בגין האישום השישי </w:t>
      </w:r>
      <w:r w:rsidRPr="00375BCD">
        <w:rPr>
          <w:rFonts w:ascii="Arial" w:hAnsi="Arial"/>
          <w:rtl/>
        </w:rPr>
        <w:t>–</w:t>
      </w:r>
      <w:r w:rsidRPr="00375BCD">
        <w:rPr>
          <w:rFonts w:ascii="Arial" w:hAnsi="Arial" w:hint="cs"/>
          <w:rtl/>
        </w:rPr>
        <w:t xml:space="preserve"> 24 חודשי מאסר;</w:t>
      </w:r>
    </w:p>
    <w:p w14:paraId="0CA9A4EB" w14:textId="77777777" w:rsidR="00D94ECC" w:rsidRPr="00375BCD" w:rsidRDefault="00D94ECC" w:rsidP="00D94ECC">
      <w:pPr>
        <w:pStyle w:val="af"/>
        <w:numPr>
          <w:ilvl w:val="0"/>
          <w:numId w:val="8"/>
        </w:numPr>
        <w:spacing w:line="360" w:lineRule="auto"/>
        <w:ind w:left="992" w:hanging="425"/>
        <w:jc w:val="both"/>
        <w:rPr>
          <w:rFonts w:ascii="Arial" w:hAnsi="Arial"/>
          <w:rtl/>
        </w:rPr>
      </w:pPr>
      <w:r w:rsidRPr="00375BCD">
        <w:rPr>
          <w:rFonts w:ascii="Arial" w:hAnsi="Arial" w:hint="cs"/>
          <w:rtl/>
        </w:rPr>
        <w:t xml:space="preserve">בגין האישום השביעי </w:t>
      </w:r>
      <w:r w:rsidRPr="00375BCD">
        <w:rPr>
          <w:rFonts w:ascii="Arial" w:hAnsi="Arial"/>
          <w:rtl/>
        </w:rPr>
        <w:t>–</w:t>
      </w:r>
      <w:r w:rsidRPr="00375BCD">
        <w:rPr>
          <w:rFonts w:ascii="Arial" w:hAnsi="Arial" w:hint="cs"/>
          <w:rtl/>
        </w:rPr>
        <w:t xml:space="preserve"> </w:t>
      </w:r>
      <w:r>
        <w:rPr>
          <w:rFonts w:ascii="Arial" w:hAnsi="Arial" w:hint="cs"/>
          <w:rtl/>
        </w:rPr>
        <w:t>9</w:t>
      </w:r>
      <w:r w:rsidRPr="00375BCD">
        <w:rPr>
          <w:rFonts w:ascii="Arial" w:hAnsi="Arial" w:hint="cs"/>
          <w:rtl/>
        </w:rPr>
        <w:t xml:space="preserve"> שנות מאסר.</w:t>
      </w:r>
    </w:p>
    <w:p w14:paraId="6328728F" w14:textId="77777777" w:rsidR="00D94ECC" w:rsidRDefault="00D94ECC" w:rsidP="00D94ECC">
      <w:pPr>
        <w:spacing w:line="360" w:lineRule="auto"/>
        <w:jc w:val="both"/>
        <w:rPr>
          <w:rFonts w:ascii="Arial" w:hAnsi="Arial"/>
          <w:rtl/>
        </w:rPr>
      </w:pPr>
    </w:p>
    <w:p w14:paraId="21BFB1B7" w14:textId="77777777" w:rsidR="00D94ECC" w:rsidRPr="003B2A5B" w:rsidRDefault="00D94ECC" w:rsidP="00D94ECC">
      <w:pPr>
        <w:spacing w:line="360" w:lineRule="auto"/>
        <w:ind w:firstLine="567"/>
        <w:jc w:val="both"/>
        <w:rPr>
          <w:rFonts w:ascii="Arial" w:hAnsi="Arial"/>
          <w:b/>
          <w:bCs/>
          <w:rtl/>
        </w:rPr>
      </w:pPr>
      <w:r w:rsidRPr="003B2A5B">
        <w:rPr>
          <w:rFonts w:ascii="Arial" w:hAnsi="Arial" w:hint="cs"/>
          <w:b/>
          <w:bCs/>
          <w:u w:val="single"/>
          <w:rtl/>
        </w:rPr>
        <w:t xml:space="preserve">נאשם 3 </w:t>
      </w:r>
      <w:r>
        <w:rPr>
          <w:rFonts w:ascii="Arial" w:hAnsi="Arial"/>
          <w:b/>
          <w:bCs/>
          <w:rtl/>
        </w:rPr>
        <w:t>–</w:t>
      </w:r>
      <w:r w:rsidRPr="003B2A5B">
        <w:rPr>
          <w:rFonts w:ascii="Arial" w:hAnsi="Arial" w:hint="cs"/>
          <w:b/>
          <w:bCs/>
          <w:rtl/>
        </w:rPr>
        <w:t xml:space="preserve"> </w:t>
      </w:r>
    </w:p>
    <w:p w14:paraId="5211842F" w14:textId="77777777" w:rsidR="00D94ECC" w:rsidRPr="003B2A5B" w:rsidRDefault="00D94ECC" w:rsidP="00D94ECC">
      <w:pPr>
        <w:pStyle w:val="af"/>
        <w:numPr>
          <w:ilvl w:val="0"/>
          <w:numId w:val="8"/>
        </w:numPr>
        <w:spacing w:line="360" w:lineRule="auto"/>
        <w:ind w:left="850" w:hanging="283"/>
        <w:jc w:val="both"/>
        <w:rPr>
          <w:rFonts w:ascii="Arial" w:hAnsi="Arial"/>
          <w:rtl/>
        </w:rPr>
      </w:pPr>
      <w:r w:rsidRPr="003B2A5B">
        <w:rPr>
          <w:rFonts w:ascii="Arial" w:hAnsi="Arial" w:hint="cs"/>
          <w:rtl/>
        </w:rPr>
        <w:t xml:space="preserve">בגין האישום השביעי </w:t>
      </w:r>
      <w:r w:rsidRPr="003B2A5B">
        <w:rPr>
          <w:rFonts w:ascii="Arial" w:hAnsi="Arial"/>
          <w:rtl/>
        </w:rPr>
        <w:t>–</w:t>
      </w:r>
      <w:r w:rsidRPr="003B2A5B">
        <w:rPr>
          <w:rFonts w:ascii="Arial" w:hAnsi="Arial" w:hint="cs"/>
          <w:rtl/>
        </w:rPr>
        <w:t xml:space="preserve"> 4.5 שנות מאסר;</w:t>
      </w:r>
    </w:p>
    <w:p w14:paraId="0508DC97" w14:textId="77777777" w:rsidR="00D94ECC" w:rsidRPr="003B2A5B" w:rsidRDefault="00D94ECC" w:rsidP="00D94ECC">
      <w:pPr>
        <w:pStyle w:val="af"/>
        <w:numPr>
          <w:ilvl w:val="0"/>
          <w:numId w:val="8"/>
        </w:numPr>
        <w:spacing w:line="360" w:lineRule="auto"/>
        <w:ind w:left="850" w:hanging="283"/>
        <w:jc w:val="both"/>
        <w:rPr>
          <w:rFonts w:ascii="Arial" w:hAnsi="Arial"/>
          <w:rtl/>
        </w:rPr>
      </w:pPr>
      <w:r w:rsidRPr="003B2A5B">
        <w:rPr>
          <w:rFonts w:ascii="Arial" w:hAnsi="Arial" w:hint="cs"/>
          <w:rtl/>
        </w:rPr>
        <w:t xml:space="preserve">בגין האישום השמיני </w:t>
      </w:r>
      <w:r w:rsidRPr="003B2A5B">
        <w:rPr>
          <w:rFonts w:ascii="Arial" w:hAnsi="Arial"/>
          <w:rtl/>
        </w:rPr>
        <w:t>–</w:t>
      </w:r>
      <w:r w:rsidRPr="003B2A5B">
        <w:rPr>
          <w:rFonts w:ascii="Arial" w:hAnsi="Arial" w:hint="cs"/>
          <w:rtl/>
        </w:rPr>
        <w:t xml:space="preserve"> 14 חודשי מאסר.</w:t>
      </w:r>
    </w:p>
    <w:p w14:paraId="40033458" w14:textId="77777777" w:rsidR="00D94ECC" w:rsidRDefault="00D94ECC" w:rsidP="00D94ECC">
      <w:pPr>
        <w:spacing w:line="360" w:lineRule="auto"/>
        <w:jc w:val="both"/>
        <w:rPr>
          <w:rFonts w:ascii="Arial" w:hAnsi="Arial"/>
          <w:rtl/>
        </w:rPr>
      </w:pPr>
    </w:p>
    <w:p w14:paraId="55FBE33E" w14:textId="77777777" w:rsidR="00D94ECC" w:rsidRDefault="00D94ECC" w:rsidP="00D94ECC">
      <w:pPr>
        <w:spacing w:line="360" w:lineRule="auto"/>
        <w:ind w:left="567" w:hanging="426"/>
        <w:jc w:val="both"/>
        <w:rPr>
          <w:rFonts w:ascii="Arial" w:hAnsi="Arial"/>
          <w:rtl/>
        </w:rPr>
      </w:pPr>
      <w:r>
        <w:rPr>
          <w:rFonts w:ascii="Arial" w:hAnsi="Arial" w:hint="cs"/>
          <w:rtl/>
        </w:rPr>
        <w:t>63.</w:t>
      </w:r>
      <w:r>
        <w:rPr>
          <w:rFonts w:ascii="Arial" w:hAnsi="Arial" w:hint="cs"/>
          <w:rtl/>
        </w:rPr>
        <w:tab/>
        <w:t xml:space="preserve">מידת החפיפה בין העונשים שיוטלו על כל נאשם, תיקבע בהתאם להוראות </w:t>
      </w:r>
      <w:hyperlink r:id="rId146" w:history="1">
        <w:r w:rsidR="009048EA" w:rsidRPr="009048EA">
          <w:rPr>
            <w:rStyle w:val="Hyperlink"/>
            <w:rFonts w:ascii="Arial" w:hAnsi="Arial" w:hint="eastAsia"/>
            <w:color w:val="0000FF"/>
            <w:rtl/>
          </w:rPr>
          <w:t>סעיף</w:t>
        </w:r>
        <w:r w:rsidR="009048EA" w:rsidRPr="009048EA">
          <w:rPr>
            <w:rStyle w:val="Hyperlink"/>
            <w:rFonts w:ascii="Arial" w:hAnsi="Arial"/>
            <w:color w:val="0000FF"/>
            <w:rtl/>
          </w:rPr>
          <w:t xml:space="preserve"> 40יג(ב)</w:t>
        </w:r>
      </w:hyperlink>
      <w:r>
        <w:rPr>
          <w:rFonts w:ascii="Arial" w:hAnsi="Arial" w:hint="cs"/>
          <w:rtl/>
        </w:rPr>
        <w:t xml:space="preserve"> סיפא ו-</w:t>
      </w:r>
      <w:hyperlink r:id="rId147" w:history="1">
        <w:r w:rsidR="009048EA" w:rsidRPr="009048EA">
          <w:rPr>
            <w:rStyle w:val="Hyperlink"/>
            <w:rFonts w:ascii="Arial" w:hAnsi="Arial"/>
            <w:color w:val="0000FF"/>
            <w:rtl/>
          </w:rPr>
          <w:t>(ג)</w:t>
        </w:r>
      </w:hyperlink>
      <w:r>
        <w:rPr>
          <w:rFonts w:ascii="Arial" w:hAnsi="Arial" w:hint="cs"/>
          <w:rtl/>
        </w:rPr>
        <w:t xml:space="preserve"> ל</w:t>
      </w:r>
      <w:hyperlink r:id="rId148" w:history="1">
        <w:r w:rsidR="00AB0E4D" w:rsidRPr="00AB0E4D">
          <w:rPr>
            <w:rFonts w:ascii="Arial" w:hAnsi="Arial"/>
            <w:color w:val="0000FF"/>
            <w:u w:val="single"/>
            <w:rtl/>
          </w:rPr>
          <w:t>חוק העונשין</w:t>
        </w:r>
      </w:hyperlink>
      <w:r>
        <w:rPr>
          <w:rFonts w:ascii="Arial" w:hAnsi="Arial" w:hint="cs"/>
          <w:rtl/>
        </w:rPr>
        <w:t xml:space="preserve">. </w:t>
      </w:r>
    </w:p>
    <w:p w14:paraId="3B49A21B" w14:textId="77777777" w:rsidR="00D94ECC" w:rsidRDefault="00D94ECC" w:rsidP="00D94ECC">
      <w:pPr>
        <w:spacing w:line="360" w:lineRule="auto"/>
        <w:ind w:left="567" w:hanging="426"/>
        <w:jc w:val="both"/>
        <w:rPr>
          <w:rFonts w:ascii="Arial" w:hAnsi="Arial"/>
          <w:rtl/>
        </w:rPr>
      </w:pPr>
    </w:p>
    <w:p w14:paraId="12DCC4D2" w14:textId="77777777" w:rsidR="00D94ECC" w:rsidRDefault="00D94ECC" w:rsidP="00D94ECC">
      <w:pPr>
        <w:spacing w:line="360" w:lineRule="auto"/>
        <w:ind w:left="567" w:hanging="426"/>
        <w:jc w:val="both"/>
        <w:rPr>
          <w:rFonts w:ascii="Arial" w:hAnsi="Arial"/>
          <w:rtl/>
        </w:rPr>
      </w:pPr>
      <w:r>
        <w:rPr>
          <w:rFonts w:ascii="Arial" w:hAnsi="Arial" w:hint="cs"/>
          <w:rtl/>
        </w:rPr>
        <w:t>64.   אשר על כן הנני גוזר עונשים כדלקמן:</w:t>
      </w:r>
    </w:p>
    <w:p w14:paraId="3A776C0E" w14:textId="77777777" w:rsidR="00D94ECC" w:rsidRPr="002406C7" w:rsidRDefault="00D94ECC" w:rsidP="00D94ECC">
      <w:pPr>
        <w:spacing w:line="360" w:lineRule="auto"/>
        <w:ind w:left="567" w:hanging="426"/>
        <w:jc w:val="both"/>
        <w:rPr>
          <w:rFonts w:ascii="Arial" w:hAnsi="Arial"/>
          <w:u w:val="single"/>
          <w:rtl/>
        </w:rPr>
      </w:pPr>
    </w:p>
    <w:p w14:paraId="12791EAB" w14:textId="77777777" w:rsidR="00D94ECC" w:rsidRPr="00E57A90" w:rsidRDefault="00D94ECC" w:rsidP="00D94ECC">
      <w:pPr>
        <w:spacing w:line="360" w:lineRule="auto"/>
        <w:ind w:firstLine="360"/>
        <w:jc w:val="both"/>
        <w:rPr>
          <w:rFonts w:ascii="Arial" w:hAnsi="Arial"/>
          <w:b/>
          <w:bCs/>
          <w:u w:val="single"/>
          <w:rtl/>
        </w:rPr>
      </w:pPr>
      <w:r w:rsidRPr="002406C7">
        <w:rPr>
          <w:rFonts w:ascii="Arial" w:hAnsi="Arial" w:hint="cs"/>
          <w:u w:val="single"/>
          <w:rtl/>
        </w:rPr>
        <w:t>על נאשם 1</w:t>
      </w:r>
      <w:r>
        <w:rPr>
          <w:rFonts w:ascii="Arial" w:hAnsi="Arial" w:hint="cs"/>
          <w:rtl/>
        </w:rPr>
        <w:t xml:space="preserve"> - </w:t>
      </w:r>
    </w:p>
    <w:p w14:paraId="4B9A47D5" w14:textId="77777777" w:rsidR="00D94ECC" w:rsidRPr="00BB1287" w:rsidRDefault="00D94ECC" w:rsidP="00D94ECC">
      <w:pPr>
        <w:pStyle w:val="af"/>
        <w:numPr>
          <w:ilvl w:val="0"/>
          <w:numId w:val="4"/>
        </w:numPr>
        <w:spacing w:line="360" w:lineRule="auto"/>
        <w:jc w:val="both"/>
        <w:rPr>
          <w:rFonts w:ascii="Arial" w:hAnsi="Arial"/>
          <w:rtl/>
        </w:rPr>
      </w:pPr>
      <w:r w:rsidRPr="00BB1287">
        <w:rPr>
          <w:rFonts w:ascii="Arial" w:hAnsi="Arial" w:hint="cs"/>
          <w:rtl/>
        </w:rPr>
        <w:t>1</w:t>
      </w:r>
      <w:r>
        <w:rPr>
          <w:rFonts w:ascii="Arial" w:hAnsi="Arial" w:hint="cs"/>
          <w:rtl/>
        </w:rPr>
        <w:t>2</w:t>
      </w:r>
      <w:r w:rsidRPr="00BB1287">
        <w:rPr>
          <w:rFonts w:ascii="Arial" w:hAnsi="Arial" w:hint="cs"/>
          <w:rtl/>
        </w:rPr>
        <w:t xml:space="preserve"> שנות מאסר </w:t>
      </w:r>
      <w:r>
        <w:rPr>
          <w:rFonts w:ascii="Arial" w:hAnsi="Arial" w:hint="cs"/>
          <w:rtl/>
        </w:rPr>
        <w:t xml:space="preserve">בפועל </w:t>
      </w:r>
      <w:r w:rsidRPr="00BB1287">
        <w:rPr>
          <w:rFonts w:ascii="Arial" w:hAnsi="Arial" w:hint="cs"/>
          <w:rtl/>
        </w:rPr>
        <w:t xml:space="preserve">שמתקופה זו תנוכה תקופת מעצרו מיום </w:t>
      </w:r>
      <w:r w:rsidRPr="00F26DAA">
        <w:rPr>
          <w:rFonts w:ascii="Arial" w:hAnsi="Arial" w:hint="cs"/>
          <w:rtl/>
        </w:rPr>
        <w:t>17.5.21;</w:t>
      </w:r>
    </w:p>
    <w:p w14:paraId="78C29BAE" w14:textId="77777777" w:rsidR="00D94ECC" w:rsidRDefault="00D94ECC" w:rsidP="00D94ECC">
      <w:pPr>
        <w:pStyle w:val="af"/>
        <w:numPr>
          <w:ilvl w:val="0"/>
          <w:numId w:val="4"/>
        </w:numPr>
        <w:spacing w:line="360" w:lineRule="auto"/>
        <w:jc w:val="both"/>
        <w:rPr>
          <w:rFonts w:ascii="Arial" w:hAnsi="Arial"/>
        </w:rPr>
      </w:pPr>
      <w:r w:rsidRPr="00BB1287">
        <w:rPr>
          <w:rFonts w:ascii="Arial" w:hAnsi="Arial" w:hint="cs"/>
          <w:rtl/>
        </w:rPr>
        <w:t>24 חודשי מאסר על תנאי למשך 3 שנים מיום שחרורו, כאשר התנאי יופעל במידה והנאשם יבצע עבירות אלימות או רכוש מסוג פשע;</w:t>
      </w:r>
    </w:p>
    <w:p w14:paraId="5CDB523A" w14:textId="77777777" w:rsidR="00D94ECC" w:rsidRDefault="00D94ECC" w:rsidP="00D94ECC">
      <w:pPr>
        <w:pStyle w:val="af"/>
        <w:numPr>
          <w:ilvl w:val="0"/>
          <w:numId w:val="4"/>
        </w:numPr>
        <w:spacing w:line="360" w:lineRule="auto"/>
        <w:jc w:val="both"/>
        <w:rPr>
          <w:rFonts w:ascii="Arial" w:hAnsi="Arial"/>
        </w:rPr>
      </w:pPr>
      <w:r>
        <w:rPr>
          <w:rFonts w:ascii="Arial" w:hAnsi="Arial" w:hint="cs"/>
          <w:rtl/>
        </w:rPr>
        <w:t>פיצוי לכל אחד מבעלי הנכסים שניזוק כמתואר באישום השלישי, בסך 10,000 ₪ כל אחד (יצחק מסיקה, תמר דוידסון, עומרי שחר) לתשלום עד ליום 31.12.25.</w:t>
      </w:r>
    </w:p>
    <w:p w14:paraId="64EE6A30" w14:textId="77777777" w:rsidR="00D94ECC" w:rsidRDefault="00D94ECC" w:rsidP="00D94ECC">
      <w:pPr>
        <w:pStyle w:val="af"/>
        <w:numPr>
          <w:ilvl w:val="0"/>
          <w:numId w:val="4"/>
        </w:numPr>
        <w:spacing w:line="360" w:lineRule="auto"/>
        <w:jc w:val="both"/>
        <w:rPr>
          <w:rFonts w:ascii="Arial" w:hAnsi="Arial"/>
        </w:rPr>
      </w:pPr>
      <w:r>
        <w:rPr>
          <w:rFonts w:ascii="Arial" w:hAnsi="Arial" w:hint="cs"/>
          <w:rtl/>
        </w:rPr>
        <w:t>קנס בסך של 10,000 ₪ לתשלום עד ליום 31.12.25.</w:t>
      </w:r>
    </w:p>
    <w:p w14:paraId="296C9B97" w14:textId="77777777" w:rsidR="00D94ECC" w:rsidRDefault="00D94ECC" w:rsidP="00D94ECC">
      <w:pPr>
        <w:spacing w:line="360" w:lineRule="auto"/>
        <w:ind w:left="360"/>
        <w:jc w:val="both"/>
        <w:rPr>
          <w:rFonts w:ascii="Arial" w:hAnsi="Arial"/>
          <w:rtl/>
        </w:rPr>
      </w:pPr>
    </w:p>
    <w:p w14:paraId="4699B5C3" w14:textId="77777777" w:rsidR="00D94ECC" w:rsidRPr="00922BFA" w:rsidRDefault="00D94ECC" w:rsidP="00D94ECC">
      <w:pPr>
        <w:spacing w:line="360" w:lineRule="auto"/>
        <w:ind w:left="360"/>
        <w:jc w:val="both"/>
        <w:rPr>
          <w:rFonts w:ascii="Arial" w:hAnsi="Arial"/>
          <w:u w:val="single"/>
          <w:rtl/>
        </w:rPr>
      </w:pPr>
      <w:r w:rsidRPr="00922BFA">
        <w:rPr>
          <w:rFonts w:ascii="Arial" w:hAnsi="Arial" w:hint="cs"/>
          <w:u w:val="single"/>
          <w:rtl/>
        </w:rPr>
        <w:t xml:space="preserve">על נאשם 2 </w:t>
      </w:r>
      <w:r w:rsidRPr="00922BFA">
        <w:rPr>
          <w:rFonts w:ascii="Arial" w:hAnsi="Arial"/>
          <w:rtl/>
        </w:rPr>
        <w:t>–</w:t>
      </w:r>
      <w:r w:rsidRPr="00922BFA">
        <w:rPr>
          <w:rFonts w:ascii="Arial" w:hAnsi="Arial" w:hint="cs"/>
          <w:rtl/>
        </w:rPr>
        <w:t xml:space="preserve"> </w:t>
      </w:r>
    </w:p>
    <w:p w14:paraId="11DEE5BD" w14:textId="77777777" w:rsidR="00D94ECC" w:rsidRPr="00BB1287" w:rsidRDefault="00D94ECC" w:rsidP="00D94ECC">
      <w:pPr>
        <w:pStyle w:val="af"/>
        <w:numPr>
          <w:ilvl w:val="0"/>
          <w:numId w:val="4"/>
        </w:numPr>
        <w:spacing w:line="360" w:lineRule="auto"/>
        <w:jc w:val="both"/>
        <w:rPr>
          <w:rFonts w:ascii="Arial" w:hAnsi="Arial"/>
          <w:rtl/>
        </w:rPr>
      </w:pPr>
      <w:r>
        <w:rPr>
          <w:rFonts w:ascii="Arial" w:hAnsi="Arial" w:hint="cs"/>
          <w:rtl/>
        </w:rPr>
        <w:t xml:space="preserve">11 שנות מאסר בפועל שמתקופה זו תנוכה תקופת מעצרו מיום </w:t>
      </w:r>
      <w:r w:rsidRPr="00F26DAA">
        <w:rPr>
          <w:rFonts w:ascii="Arial" w:hAnsi="Arial" w:hint="cs"/>
          <w:rtl/>
        </w:rPr>
        <w:t>13.5.21</w:t>
      </w:r>
      <w:r>
        <w:rPr>
          <w:rFonts w:ascii="Arial" w:hAnsi="Arial" w:hint="cs"/>
          <w:rtl/>
        </w:rPr>
        <w:t>;</w:t>
      </w:r>
    </w:p>
    <w:p w14:paraId="2F204CB7" w14:textId="77777777" w:rsidR="00D94ECC" w:rsidRDefault="00D94ECC" w:rsidP="00D94ECC">
      <w:pPr>
        <w:pStyle w:val="af"/>
        <w:numPr>
          <w:ilvl w:val="0"/>
          <w:numId w:val="4"/>
        </w:numPr>
        <w:spacing w:line="360" w:lineRule="auto"/>
        <w:jc w:val="both"/>
        <w:rPr>
          <w:rFonts w:ascii="Arial" w:hAnsi="Arial"/>
        </w:rPr>
      </w:pPr>
      <w:r w:rsidRPr="00BB1287">
        <w:rPr>
          <w:rFonts w:ascii="Arial" w:hAnsi="Arial" w:hint="cs"/>
          <w:rtl/>
        </w:rPr>
        <w:t>24 חודשי מאסר על תנאי למשך 3 שנים מיום שחרורו, כאשר התנאי יופעל במידה והנאשם יבצע עבירות אלימות או רכוש מסוג פשע;</w:t>
      </w:r>
    </w:p>
    <w:p w14:paraId="052BE625" w14:textId="77777777" w:rsidR="00D94ECC" w:rsidRDefault="00D94ECC" w:rsidP="00D94ECC">
      <w:pPr>
        <w:pStyle w:val="af"/>
        <w:numPr>
          <w:ilvl w:val="0"/>
          <w:numId w:val="4"/>
        </w:numPr>
        <w:spacing w:line="360" w:lineRule="auto"/>
        <w:jc w:val="both"/>
        <w:rPr>
          <w:rFonts w:ascii="Arial" w:hAnsi="Arial"/>
        </w:rPr>
      </w:pPr>
      <w:r>
        <w:rPr>
          <w:rFonts w:ascii="Arial" w:hAnsi="Arial" w:hint="cs"/>
          <w:rtl/>
        </w:rPr>
        <w:t>קנס בסך של 10,000 ₪ לתשלום עד ליום 31.12.25.</w:t>
      </w:r>
    </w:p>
    <w:p w14:paraId="0028CEDF" w14:textId="77777777" w:rsidR="00D94ECC" w:rsidRDefault="00D94ECC" w:rsidP="00D94ECC">
      <w:pPr>
        <w:spacing w:line="360" w:lineRule="auto"/>
        <w:jc w:val="both"/>
        <w:rPr>
          <w:rFonts w:ascii="Arial" w:hAnsi="Arial"/>
          <w:rtl/>
        </w:rPr>
      </w:pPr>
    </w:p>
    <w:p w14:paraId="3894E1AE" w14:textId="77777777" w:rsidR="00D94ECC" w:rsidRDefault="00D94ECC" w:rsidP="00D94ECC">
      <w:pPr>
        <w:spacing w:line="360" w:lineRule="auto"/>
        <w:ind w:firstLine="360"/>
        <w:jc w:val="both"/>
        <w:rPr>
          <w:rFonts w:ascii="Arial" w:hAnsi="Arial"/>
          <w:rtl/>
        </w:rPr>
      </w:pPr>
      <w:r w:rsidRPr="002406C7">
        <w:rPr>
          <w:rFonts w:ascii="Arial" w:hAnsi="Arial" w:hint="cs"/>
          <w:u w:val="single"/>
          <w:rtl/>
        </w:rPr>
        <w:t>על נאשם 3</w:t>
      </w:r>
      <w:r>
        <w:rPr>
          <w:rFonts w:ascii="Arial" w:hAnsi="Arial" w:hint="cs"/>
          <w:rtl/>
        </w:rPr>
        <w:t xml:space="preserve"> </w:t>
      </w:r>
      <w:r>
        <w:rPr>
          <w:rFonts w:ascii="Arial" w:hAnsi="Arial"/>
          <w:rtl/>
        </w:rPr>
        <w:t>–</w:t>
      </w:r>
      <w:r>
        <w:rPr>
          <w:rFonts w:ascii="Arial" w:hAnsi="Arial" w:hint="cs"/>
          <w:rtl/>
        </w:rPr>
        <w:t xml:space="preserve"> </w:t>
      </w:r>
    </w:p>
    <w:p w14:paraId="42A2B18B" w14:textId="77777777" w:rsidR="00D94ECC" w:rsidRPr="002406C7" w:rsidRDefault="00D94ECC" w:rsidP="00D94ECC">
      <w:pPr>
        <w:pStyle w:val="af"/>
        <w:numPr>
          <w:ilvl w:val="0"/>
          <w:numId w:val="4"/>
        </w:numPr>
        <w:spacing w:line="360" w:lineRule="auto"/>
        <w:jc w:val="both"/>
        <w:rPr>
          <w:rFonts w:ascii="Arial" w:hAnsi="Arial"/>
          <w:rtl/>
        </w:rPr>
      </w:pPr>
      <w:r>
        <w:rPr>
          <w:rFonts w:ascii="Arial" w:hAnsi="Arial" w:hint="cs"/>
          <w:rtl/>
        </w:rPr>
        <w:t>5</w:t>
      </w:r>
      <w:r w:rsidRPr="002406C7">
        <w:rPr>
          <w:rFonts w:ascii="Arial" w:hAnsi="Arial" w:hint="cs"/>
          <w:rtl/>
        </w:rPr>
        <w:t xml:space="preserve"> שנות מאסר </w:t>
      </w:r>
      <w:r>
        <w:rPr>
          <w:rFonts w:ascii="Arial" w:hAnsi="Arial" w:hint="cs"/>
          <w:rtl/>
        </w:rPr>
        <w:t xml:space="preserve">בפועל </w:t>
      </w:r>
      <w:r w:rsidRPr="002406C7">
        <w:rPr>
          <w:rFonts w:ascii="Arial" w:hAnsi="Arial" w:hint="cs"/>
          <w:rtl/>
        </w:rPr>
        <w:t xml:space="preserve">שמתקופה זו תנוכה תקופת מעצרו מיום </w:t>
      </w:r>
      <w:r w:rsidRPr="00DB3F02">
        <w:rPr>
          <w:rFonts w:ascii="Arial" w:hAnsi="Arial" w:hint="cs"/>
          <w:rtl/>
        </w:rPr>
        <w:t>23.5.21 עד ליום</w:t>
      </w:r>
      <w:r w:rsidRPr="002406C7">
        <w:rPr>
          <w:rFonts w:ascii="Arial" w:hAnsi="Arial" w:hint="cs"/>
          <w:rtl/>
        </w:rPr>
        <w:t xml:space="preserve"> </w:t>
      </w:r>
      <w:r>
        <w:rPr>
          <w:rFonts w:ascii="Arial" w:hAnsi="Arial" w:hint="cs"/>
          <w:rtl/>
        </w:rPr>
        <w:t>17.5.23;</w:t>
      </w:r>
    </w:p>
    <w:p w14:paraId="768207D8" w14:textId="77777777" w:rsidR="00D94ECC" w:rsidRDefault="00D94ECC" w:rsidP="00D94ECC">
      <w:pPr>
        <w:pStyle w:val="af"/>
        <w:numPr>
          <w:ilvl w:val="0"/>
          <w:numId w:val="4"/>
        </w:numPr>
        <w:spacing w:line="360" w:lineRule="auto"/>
        <w:jc w:val="both"/>
        <w:rPr>
          <w:rFonts w:ascii="Arial" w:hAnsi="Arial"/>
        </w:rPr>
      </w:pPr>
      <w:r>
        <w:rPr>
          <w:rFonts w:ascii="Arial" w:hAnsi="Arial" w:hint="cs"/>
          <w:rtl/>
        </w:rPr>
        <w:t>12</w:t>
      </w:r>
      <w:r w:rsidRPr="00BB1287">
        <w:rPr>
          <w:rFonts w:ascii="Arial" w:hAnsi="Arial" w:hint="cs"/>
          <w:rtl/>
        </w:rPr>
        <w:t xml:space="preserve"> חודשי מאסר על תנאי למשך 3 שנים מיום שחרורו, כאשר התנאי יופעל במידה והנאשם יבצע עבירות אלימות או רכוש מסוג פשע;</w:t>
      </w:r>
    </w:p>
    <w:p w14:paraId="7573EE50" w14:textId="77777777" w:rsidR="00D94ECC" w:rsidRDefault="00D94ECC" w:rsidP="00D94ECC">
      <w:pPr>
        <w:pStyle w:val="af"/>
        <w:numPr>
          <w:ilvl w:val="0"/>
          <w:numId w:val="4"/>
        </w:numPr>
        <w:spacing w:line="360" w:lineRule="auto"/>
        <w:jc w:val="both"/>
        <w:rPr>
          <w:rFonts w:ascii="Arial" w:hAnsi="Arial"/>
        </w:rPr>
      </w:pPr>
      <w:r>
        <w:rPr>
          <w:rFonts w:ascii="Arial" w:hAnsi="Arial" w:hint="cs"/>
          <w:rtl/>
        </w:rPr>
        <w:t>קנס בסך של 3,000 ₪ לתשלום עד ליום 31.12.25.</w:t>
      </w:r>
    </w:p>
    <w:p w14:paraId="7B8A7536" w14:textId="77777777" w:rsidR="00D94ECC" w:rsidRPr="00BB1287" w:rsidRDefault="00D94ECC" w:rsidP="00D94ECC">
      <w:pPr>
        <w:spacing w:line="360" w:lineRule="auto"/>
        <w:ind w:firstLine="360"/>
        <w:jc w:val="both"/>
        <w:rPr>
          <w:rFonts w:ascii="Arial" w:hAnsi="Arial"/>
        </w:rPr>
      </w:pPr>
      <w:r>
        <w:rPr>
          <w:rFonts w:ascii="Arial" w:hAnsi="Arial" w:hint="cs"/>
          <w:rtl/>
        </w:rPr>
        <w:t xml:space="preserve">נאשם 3 יתייצב ביום </w:t>
      </w:r>
      <w:r>
        <w:rPr>
          <w:rFonts w:ascii="Arial" w:hAnsi="Arial" w:hint="cs"/>
          <w:b/>
          <w:bCs/>
          <w:u w:val="single"/>
          <w:rtl/>
        </w:rPr>
        <w:t>1.9.24</w:t>
      </w:r>
      <w:r w:rsidRPr="004959EF">
        <w:rPr>
          <w:rFonts w:ascii="Arial" w:hAnsi="Arial" w:hint="cs"/>
          <w:b/>
          <w:bCs/>
          <w:u w:val="single"/>
          <w:rtl/>
        </w:rPr>
        <w:t xml:space="preserve"> עד השעה 10:00</w:t>
      </w:r>
      <w:r w:rsidRPr="004959EF">
        <w:rPr>
          <w:rFonts w:ascii="Arial" w:hAnsi="Arial" w:hint="cs"/>
          <w:b/>
          <w:bCs/>
          <w:rtl/>
        </w:rPr>
        <w:t xml:space="preserve"> </w:t>
      </w:r>
      <w:r>
        <w:rPr>
          <w:rFonts w:ascii="Arial" w:hAnsi="Arial" w:hint="cs"/>
          <w:rtl/>
        </w:rPr>
        <w:t>בבית מעצר קישון לתחילת ריצוי עונשו.</w:t>
      </w:r>
    </w:p>
    <w:p w14:paraId="09BF8617" w14:textId="77777777" w:rsidR="00D94ECC" w:rsidRPr="00EC5BD9" w:rsidRDefault="00D94ECC" w:rsidP="00D94ECC">
      <w:pPr>
        <w:spacing w:line="360" w:lineRule="auto"/>
        <w:jc w:val="both"/>
        <w:rPr>
          <w:rFonts w:ascii="Arial" w:hAnsi="Arial"/>
          <w:b/>
          <w:bCs/>
          <w:u w:val="single"/>
          <w:rtl/>
        </w:rPr>
      </w:pPr>
      <w:r>
        <w:rPr>
          <w:rFonts w:ascii="Arial" w:hAnsi="Arial" w:hint="cs"/>
          <w:b/>
          <w:bCs/>
          <w:u w:val="single"/>
          <w:rtl/>
        </w:rPr>
        <w:t>מובהר שהתנאים המגבילים החלים על נאשם 3 ישארו בעינם עד לכניסתו למאסר.</w:t>
      </w:r>
    </w:p>
    <w:p w14:paraId="1387E25F" w14:textId="77777777" w:rsidR="00D94ECC" w:rsidRPr="002406C7" w:rsidRDefault="00AB0E4D" w:rsidP="00D94ECC">
      <w:pPr>
        <w:spacing w:line="360" w:lineRule="auto"/>
        <w:jc w:val="both"/>
        <w:rPr>
          <w:rFonts w:ascii="Arial" w:hAnsi="Arial"/>
          <w:rtl/>
        </w:rPr>
      </w:pPr>
      <w:r w:rsidRPr="00AB0E4D">
        <w:rPr>
          <w:rFonts w:ascii="Arial" w:hAnsi="Arial"/>
          <w:b/>
          <w:bCs/>
          <w:color w:val="FFFFFF"/>
          <w:sz w:val="2"/>
          <w:szCs w:val="2"/>
          <w:u w:val="single"/>
          <w:rtl/>
        </w:rPr>
        <w:t>5129371</w:t>
      </w:r>
      <w:r w:rsidR="00D94ECC" w:rsidRPr="002406C7">
        <w:rPr>
          <w:rFonts w:ascii="Arial" w:hAnsi="Arial" w:hint="cs"/>
          <w:b/>
          <w:bCs/>
          <w:u w:val="single"/>
          <w:rtl/>
        </w:rPr>
        <w:t xml:space="preserve">זכות </w:t>
      </w:r>
      <w:r w:rsidR="00D94ECC">
        <w:rPr>
          <w:rFonts w:ascii="Arial" w:hAnsi="Arial" w:hint="cs"/>
          <w:b/>
          <w:bCs/>
          <w:u w:val="single"/>
          <w:rtl/>
        </w:rPr>
        <w:t>ערעור תוך 45 ימים הודעה לנאשמים</w:t>
      </w:r>
      <w:r w:rsidR="00D94ECC">
        <w:rPr>
          <w:rFonts w:ascii="Arial" w:hAnsi="Arial" w:hint="cs"/>
          <w:rtl/>
        </w:rPr>
        <w:t>.</w:t>
      </w:r>
    </w:p>
    <w:p w14:paraId="5F040AF6" w14:textId="77777777" w:rsidR="00D94ECC" w:rsidRPr="00AB0E4D" w:rsidRDefault="00AB0E4D" w:rsidP="00D94ECC">
      <w:pPr>
        <w:rPr>
          <w:rFonts w:ascii="Arial" w:hAnsi="Arial"/>
          <w:b/>
          <w:bCs/>
          <w:color w:val="FFFFFF"/>
          <w:sz w:val="2"/>
          <w:szCs w:val="2"/>
          <w:rtl/>
        </w:rPr>
      </w:pPr>
      <w:r w:rsidRPr="00AB0E4D">
        <w:rPr>
          <w:rFonts w:ascii="Arial" w:hAnsi="Arial"/>
          <w:b/>
          <w:bCs/>
          <w:color w:val="FFFFFF"/>
          <w:sz w:val="2"/>
          <w:szCs w:val="2"/>
          <w:rtl/>
        </w:rPr>
        <w:t>54678313</w:t>
      </w:r>
    </w:p>
    <w:p w14:paraId="39255EE7" w14:textId="77777777" w:rsidR="00D94ECC" w:rsidRPr="000F2247" w:rsidRDefault="00D94ECC" w:rsidP="00D94ECC">
      <w:pPr>
        <w:rPr>
          <w:rFonts w:ascii="Arial" w:hAnsi="Arial"/>
          <w:b/>
          <w:bCs/>
          <w:sz w:val="26"/>
          <w:szCs w:val="26"/>
          <w:rtl/>
        </w:rPr>
      </w:pPr>
    </w:p>
    <w:p w14:paraId="69B68E18" w14:textId="77777777" w:rsidR="00D94ECC" w:rsidRPr="000F2247" w:rsidRDefault="00AB0E4D" w:rsidP="00D94EC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תמוז תשפ"ד, 23 יולי 2024, בהעדר הצדדים. </w:t>
      </w:r>
      <w:bookmarkEnd w:id="8"/>
      <w:r w:rsidR="00D94ECC">
        <w:rPr>
          <w:rFonts w:ascii="Arial" w:hAnsi="Arial"/>
          <w:b/>
          <w:bCs/>
          <w:sz w:val="26"/>
          <w:szCs w:val="26"/>
          <w:rtl/>
        </w:rPr>
        <w:tab/>
      </w:r>
      <w:r w:rsidR="00D94ECC">
        <w:rPr>
          <w:rFonts w:ascii="Arial" w:hAnsi="Arial"/>
          <w:b/>
          <w:bCs/>
          <w:sz w:val="26"/>
          <w:szCs w:val="26"/>
          <w:rtl/>
        </w:rPr>
        <w:tab/>
      </w:r>
      <w:r w:rsidR="00D94ECC">
        <w:rPr>
          <w:rFonts w:ascii="Arial" w:hAnsi="Arial"/>
          <w:b/>
          <w:bCs/>
          <w:sz w:val="26"/>
          <w:szCs w:val="26"/>
          <w:rtl/>
        </w:rPr>
        <w:tab/>
      </w:r>
      <w:r w:rsidR="00D94ECC">
        <w:rPr>
          <w:rFonts w:ascii="Arial" w:hAnsi="Arial"/>
          <w:b/>
          <w:bCs/>
          <w:sz w:val="26"/>
          <w:szCs w:val="26"/>
          <w:rtl/>
        </w:rPr>
        <w:tab/>
      </w:r>
      <w:r w:rsidR="00D94ECC">
        <w:rPr>
          <w:rFonts w:ascii="Arial" w:hAnsi="Arial"/>
          <w:b/>
          <w:bCs/>
          <w:sz w:val="26"/>
          <w:szCs w:val="26"/>
          <w:rtl/>
        </w:rPr>
        <w:tab/>
      </w:r>
      <w:r w:rsidR="00D94ECC">
        <w:rPr>
          <w:rFonts w:ascii="Arial" w:hAnsi="Arial"/>
          <w:b/>
          <w:bCs/>
          <w:sz w:val="26"/>
          <w:szCs w:val="26"/>
          <w:rtl/>
        </w:rPr>
        <w:tab/>
      </w:r>
      <w:r w:rsidR="00D94ECC">
        <w:rPr>
          <w:rFonts w:ascii="Arial" w:hAnsi="Arial"/>
          <w:b/>
          <w:bCs/>
          <w:sz w:val="26"/>
          <w:szCs w:val="26"/>
          <w:rtl/>
        </w:rPr>
        <w:tab/>
      </w:r>
      <w:r w:rsidR="00D94ECC">
        <w:rPr>
          <w:rFonts w:ascii="Arial" w:hAnsi="Arial" w:hint="cs"/>
          <w:b/>
          <w:bCs/>
          <w:sz w:val="26"/>
          <w:szCs w:val="26"/>
          <w:rtl/>
        </w:rPr>
        <w:t xml:space="preserve">         </w:t>
      </w:r>
    </w:p>
    <w:p w14:paraId="1B76282E" w14:textId="77777777" w:rsidR="00D94ECC" w:rsidRPr="000F2247" w:rsidRDefault="00D94ECC" w:rsidP="00AB0E4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EF0310C" w14:textId="77777777" w:rsidR="00D94ECC" w:rsidRPr="009048EA" w:rsidRDefault="009048EA" w:rsidP="00D94ECC">
      <w:pPr>
        <w:jc w:val="center"/>
        <w:rPr>
          <w:rFonts w:ascii="Arial" w:hAnsi="Arial"/>
          <w:b/>
          <w:bCs/>
          <w:color w:val="FFFFFF"/>
          <w:sz w:val="2"/>
          <w:szCs w:val="2"/>
          <w:rtl/>
        </w:rPr>
      </w:pPr>
      <w:r w:rsidRPr="009048EA">
        <w:rPr>
          <w:rFonts w:ascii="Arial" w:hAnsi="Arial"/>
          <w:b/>
          <w:bCs/>
          <w:color w:val="FFFFFF"/>
          <w:sz w:val="2"/>
          <w:szCs w:val="2"/>
          <w:rtl/>
        </w:rPr>
        <w:t>5129371</w:t>
      </w:r>
    </w:p>
    <w:p w14:paraId="7F966602" w14:textId="77777777" w:rsidR="00FC40EB" w:rsidRPr="009048EA" w:rsidRDefault="009048EA" w:rsidP="00AB0E4D">
      <w:pPr>
        <w:keepNext/>
        <w:rPr>
          <w:rFonts w:ascii="David" w:hAnsi="David"/>
          <w:color w:val="FFFFFF"/>
          <w:sz w:val="2"/>
          <w:szCs w:val="2"/>
          <w:rtl/>
        </w:rPr>
      </w:pPr>
      <w:r w:rsidRPr="009048EA">
        <w:rPr>
          <w:rFonts w:ascii="David" w:hAnsi="David"/>
          <w:color w:val="FFFFFF"/>
          <w:sz w:val="2"/>
          <w:szCs w:val="2"/>
          <w:rtl/>
        </w:rPr>
        <w:t>54678313</w:t>
      </w:r>
    </w:p>
    <w:p w14:paraId="47D453F6" w14:textId="77777777" w:rsidR="00AB0E4D" w:rsidRPr="00AB0E4D" w:rsidRDefault="00AB0E4D" w:rsidP="00AB0E4D">
      <w:pPr>
        <w:keepNext/>
        <w:rPr>
          <w:rFonts w:ascii="David" w:hAnsi="David"/>
          <w:color w:val="000000"/>
          <w:sz w:val="22"/>
          <w:szCs w:val="22"/>
          <w:rtl/>
        </w:rPr>
      </w:pPr>
      <w:r w:rsidRPr="00AB0E4D">
        <w:rPr>
          <w:rFonts w:ascii="David" w:hAnsi="David"/>
          <w:color w:val="000000"/>
          <w:sz w:val="22"/>
          <w:szCs w:val="22"/>
          <w:rtl/>
        </w:rPr>
        <w:t>דניאל פיש 54678313</w:t>
      </w:r>
    </w:p>
    <w:p w14:paraId="37A5DA50" w14:textId="77777777" w:rsidR="00AB0E4D" w:rsidRDefault="00AB0E4D" w:rsidP="00AB0E4D">
      <w:r w:rsidRPr="00AB0E4D">
        <w:rPr>
          <w:color w:val="000000"/>
          <w:rtl/>
        </w:rPr>
        <w:t>נוסח מסמך זה כפוף לשינויי ניסוח ועריכה</w:t>
      </w:r>
    </w:p>
    <w:p w14:paraId="70B4EFA6" w14:textId="77777777" w:rsidR="00AB0E4D" w:rsidRDefault="00AB0E4D" w:rsidP="00AB0E4D">
      <w:pPr>
        <w:rPr>
          <w:rtl/>
        </w:rPr>
      </w:pPr>
    </w:p>
    <w:p w14:paraId="685AA32C" w14:textId="77777777" w:rsidR="00AB0E4D" w:rsidRDefault="00AB0E4D" w:rsidP="00AB0E4D">
      <w:pPr>
        <w:jc w:val="center"/>
        <w:rPr>
          <w:color w:val="0000FF"/>
          <w:u w:val="single"/>
        </w:rPr>
      </w:pPr>
      <w:hyperlink r:id="rId149" w:history="1">
        <w:r>
          <w:rPr>
            <w:color w:val="0000FF"/>
            <w:u w:val="single"/>
            <w:rtl/>
          </w:rPr>
          <w:t>בעניין עריכה ושינויים במסמכי פסיקה, חקיקה ועוד באתר נבו – הקש כאן</w:t>
        </w:r>
      </w:hyperlink>
    </w:p>
    <w:sectPr w:rsidR="00AB0E4D" w:rsidSect="009048EA">
      <w:headerReference w:type="even" r:id="rId150"/>
      <w:headerReference w:type="default" r:id="rId151"/>
      <w:footerReference w:type="even" r:id="rId152"/>
      <w:footerReference w:type="default" r:id="rId1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CD12D" w14:textId="77777777" w:rsidR="00C7569F" w:rsidRDefault="00C7569F" w:rsidP="00AA7841">
      <w:r>
        <w:separator/>
      </w:r>
    </w:p>
  </w:endnote>
  <w:endnote w:type="continuationSeparator" w:id="0">
    <w:p w14:paraId="48B1562E" w14:textId="77777777" w:rsidR="00C7569F" w:rsidRDefault="00C7569F" w:rsidP="00AA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BA6" w14:textId="77777777" w:rsidR="009048EA" w:rsidRDefault="009048EA" w:rsidP="009048E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C48AB8" w14:textId="77777777" w:rsidR="00307AAC" w:rsidRPr="009048EA" w:rsidRDefault="009048EA" w:rsidP="009048EA">
    <w:pPr>
      <w:pStyle w:val="a5"/>
      <w:pBdr>
        <w:top w:val="single" w:sz="4" w:space="1" w:color="auto"/>
        <w:between w:val="single" w:sz="4" w:space="0" w:color="auto"/>
      </w:pBdr>
      <w:spacing w:after="60"/>
      <w:jc w:val="center"/>
      <w:rPr>
        <w:rFonts w:ascii="FrankRuehl" w:hAnsi="FrankRuehl" w:cs="FrankRuehl"/>
        <w:color w:val="000000"/>
      </w:rPr>
    </w:pPr>
    <w:r w:rsidRPr="009048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63BA1" w14:textId="77777777" w:rsidR="009048EA" w:rsidRDefault="009048EA" w:rsidP="009048E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2D8A">
      <w:rPr>
        <w:rFonts w:ascii="FrankRuehl" w:hAnsi="FrankRuehl" w:cs="FrankRuehl"/>
        <w:noProof/>
        <w:rtl/>
      </w:rPr>
      <w:t>1</w:t>
    </w:r>
    <w:r>
      <w:rPr>
        <w:rFonts w:ascii="FrankRuehl" w:hAnsi="FrankRuehl" w:cs="FrankRuehl"/>
        <w:rtl/>
      </w:rPr>
      <w:fldChar w:fldCharType="end"/>
    </w:r>
  </w:p>
  <w:p w14:paraId="57EA6594" w14:textId="77777777" w:rsidR="00307AAC" w:rsidRPr="009048EA" w:rsidRDefault="009048EA" w:rsidP="009048EA">
    <w:pPr>
      <w:pStyle w:val="a5"/>
      <w:pBdr>
        <w:top w:val="single" w:sz="4" w:space="1" w:color="auto"/>
        <w:between w:val="single" w:sz="4" w:space="0" w:color="auto"/>
      </w:pBdr>
      <w:spacing w:after="60"/>
      <w:jc w:val="center"/>
      <w:rPr>
        <w:rFonts w:ascii="FrankRuehl" w:hAnsi="FrankRuehl" w:cs="FrankRuehl"/>
        <w:color w:val="000000"/>
      </w:rPr>
    </w:pPr>
    <w:r w:rsidRPr="009048EA">
      <w:rPr>
        <w:rFonts w:ascii="FrankRuehl" w:hAnsi="FrankRuehl" w:cs="FrankRuehl"/>
        <w:color w:val="000000"/>
      </w:rPr>
      <w:pict w14:anchorId="4B5F4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D2BA6" w14:textId="77777777" w:rsidR="00C7569F" w:rsidRDefault="00C7569F" w:rsidP="00AA7841">
      <w:r>
        <w:separator/>
      </w:r>
    </w:p>
  </w:footnote>
  <w:footnote w:type="continuationSeparator" w:id="0">
    <w:p w14:paraId="102F1398" w14:textId="77777777" w:rsidR="00C7569F" w:rsidRDefault="00C7569F" w:rsidP="00AA7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D524C" w14:textId="77777777" w:rsidR="00AB0E4D" w:rsidRPr="009048EA" w:rsidRDefault="009048EA" w:rsidP="009048E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44351-06-21</w:t>
    </w:r>
    <w:r>
      <w:rPr>
        <w:rFonts w:ascii="David" w:hAnsi="David"/>
        <w:color w:val="000000"/>
        <w:sz w:val="22"/>
        <w:szCs w:val="22"/>
        <w:rtl/>
      </w:rPr>
      <w:tab/>
      <w:t xml:space="preserve"> מדינת ישראל נ' מוחמד עותמאן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F53F0" w14:textId="77777777" w:rsidR="00AB0E4D" w:rsidRPr="009048EA" w:rsidRDefault="009048EA" w:rsidP="009048E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44351-06-21</w:t>
    </w:r>
    <w:r>
      <w:rPr>
        <w:rFonts w:ascii="David" w:hAnsi="David"/>
        <w:color w:val="000000"/>
        <w:sz w:val="22"/>
        <w:szCs w:val="22"/>
        <w:rtl/>
      </w:rPr>
      <w:tab/>
      <w:t xml:space="preserve"> מדינת ישראל נ' מוחמד עותמאן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58E"/>
    <w:multiLevelType w:val="multilevel"/>
    <w:tmpl w:val="BFBE529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BC19BF"/>
    <w:multiLevelType w:val="hybridMultilevel"/>
    <w:tmpl w:val="B4A6CB5E"/>
    <w:lvl w:ilvl="0" w:tplc="85E8AA70">
      <w:start w:val="1"/>
      <w:numFmt w:val="decimal"/>
      <w:lvlText w:val="(%1)"/>
      <w:lvlJc w:val="left"/>
      <w:pPr>
        <w:ind w:left="717" w:hanging="360"/>
      </w:pPr>
      <w:rPr>
        <w:rFonts w:hint="default"/>
        <w:u w:val="no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39ED7E52"/>
    <w:multiLevelType w:val="hybridMultilevel"/>
    <w:tmpl w:val="66EE548E"/>
    <w:lvl w:ilvl="0" w:tplc="3A728A62">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1726E"/>
    <w:multiLevelType w:val="hybridMultilevel"/>
    <w:tmpl w:val="34A295F0"/>
    <w:lvl w:ilvl="0" w:tplc="B8E26066">
      <w:start w:val="1"/>
      <w:numFmt w:val="decimal"/>
      <w:lvlText w:val="%1."/>
      <w:lvlJc w:val="left"/>
      <w:pPr>
        <w:ind w:left="360" w:hanging="360"/>
      </w:pPr>
      <w:rPr>
        <w:rFonts w:ascii="David" w:hAnsi="David" w:cs="David" w:hint="default"/>
        <w:b w:val="0"/>
        <w:bCs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716D3E83"/>
    <w:multiLevelType w:val="hybridMultilevel"/>
    <w:tmpl w:val="E820CD30"/>
    <w:lvl w:ilvl="0" w:tplc="F496A380">
      <w:start w:val="13"/>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A3B81"/>
    <w:multiLevelType w:val="hybridMultilevel"/>
    <w:tmpl w:val="F702CDFA"/>
    <w:lvl w:ilvl="0" w:tplc="94A86194">
      <w:start w:val="25"/>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378345">
    <w:abstractNumId w:val="4"/>
  </w:num>
  <w:num w:numId="2" w16cid:durableId="641811527">
    <w:abstractNumId w:val="1"/>
  </w:num>
  <w:num w:numId="3" w16cid:durableId="3354250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3184386">
    <w:abstractNumId w:val="6"/>
  </w:num>
  <w:num w:numId="5" w16cid:durableId="1100761663">
    <w:abstractNumId w:val="0"/>
  </w:num>
  <w:num w:numId="6" w16cid:durableId="532307308">
    <w:abstractNumId w:val="3"/>
  </w:num>
  <w:num w:numId="7" w16cid:durableId="1221749590">
    <w:abstractNumId w:val="2"/>
  </w:num>
  <w:num w:numId="8" w16cid:durableId="182014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4ECC"/>
    <w:rsid w:val="00085FC4"/>
    <w:rsid w:val="00307AAC"/>
    <w:rsid w:val="009048EA"/>
    <w:rsid w:val="009A4E4C"/>
    <w:rsid w:val="00AA7841"/>
    <w:rsid w:val="00AB0E4D"/>
    <w:rsid w:val="00C7569F"/>
    <w:rsid w:val="00D94ECC"/>
    <w:rsid w:val="00FC40EB"/>
    <w:rsid w:val="00FF2D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D81673"/>
  <w15:chartTrackingRefBased/>
  <w15:docId w15:val="{6ACF4414-1081-473F-AFC5-66E89166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4ECC"/>
    <w:pPr>
      <w:bidi/>
    </w:pPr>
    <w:rPr>
      <w:rFonts w:ascii="Times New Roman" w:eastAsia="Times New Roman" w:hAnsi="Times New Roman" w:cs="David"/>
      <w:sz w:val="24"/>
      <w:szCs w:val="24"/>
    </w:rPr>
  </w:style>
  <w:style w:type="paragraph" w:styleId="1">
    <w:name w:val="heading 1"/>
    <w:basedOn w:val="a"/>
    <w:next w:val="a"/>
    <w:link w:val="10"/>
    <w:qFormat/>
    <w:rsid w:val="00D94EC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94EC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94ECC"/>
    <w:rPr>
      <w:rFonts w:ascii="Arial" w:eastAsia="Times New Roman" w:hAnsi="Arial" w:cs="Arial"/>
      <w:b/>
      <w:bCs/>
      <w:kern w:val="32"/>
      <w:sz w:val="32"/>
      <w:szCs w:val="32"/>
    </w:rPr>
  </w:style>
  <w:style w:type="character" w:customStyle="1" w:styleId="40">
    <w:name w:val="כותרת 4 תו"/>
    <w:link w:val="4"/>
    <w:rsid w:val="00D94ECC"/>
    <w:rPr>
      <w:rFonts w:ascii="Times New Roman" w:eastAsia="Times New Roman" w:hAnsi="Times New Roman" w:cs="Narkisim"/>
      <w:b/>
      <w:bCs/>
      <w:sz w:val="24"/>
      <w:szCs w:val="24"/>
    </w:rPr>
  </w:style>
  <w:style w:type="paragraph" w:styleId="a3">
    <w:name w:val="header"/>
    <w:basedOn w:val="a"/>
    <w:link w:val="a4"/>
    <w:rsid w:val="00D94ECC"/>
    <w:pPr>
      <w:tabs>
        <w:tab w:val="center" w:pos="4153"/>
        <w:tab w:val="right" w:pos="8306"/>
      </w:tabs>
    </w:pPr>
  </w:style>
  <w:style w:type="character" w:customStyle="1" w:styleId="a4">
    <w:name w:val="כותרת עליונה תו"/>
    <w:link w:val="a3"/>
    <w:rsid w:val="00D94ECC"/>
    <w:rPr>
      <w:rFonts w:ascii="Times New Roman" w:eastAsia="Times New Roman" w:hAnsi="Times New Roman" w:cs="David"/>
      <w:sz w:val="24"/>
      <w:szCs w:val="24"/>
    </w:rPr>
  </w:style>
  <w:style w:type="paragraph" w:styleId="a5">
    <w:name w:val="footer"/>
    <w:basedOn w:val="a"/>
    <w:link w:val="a6"/>
    <w:rsid w:val="00D94ECC"/>
    <w:pPr>
      <w:tabs>
        <w:tab w:val="center" w:pos="4153"/>
        <w:tab w:val="right" w:pos="8306"/>
      </w:tabs>
    </w:pPr>
  </w:style>
  <w:style w:type="character" w:customStyle="1" w:styleId="a6">
    <w:name w:val="כותרת תחתונה תו"/>
    <w:link w:val="a5"/>
    <w:rsid w:val="00D94ECC"/>
    <w:rPr>
      <w:rFonts w:ascii="Times New Roman" w:eastAsia="Times New Roman" w:hAnsi="Times New Roman" w:cs="David"/>
      <w:sz w:val="24"/>
      <w:szCs w:val="24"/>
    </w:rPr>
  </w:style>
  <w:style w:type="character" w:styleId="a7">
    <w:name w:val="annotation reference"/>
    <w:rsid w:val="00D94ECC"/>
    <w:rPr>
      <w:sz w:val="16"/>
      <w:szCs w:val="16"/>
    </w:rPr>
  </w:style>
  <w:style w:type="paragraph" w:styleId="a8">
    <w:name w:val="annotation text"/>
    <w:basedOn w:val="a"/>
    <w:link w:val="a9"/>
    <w:rsid w:val="00D94ECC"/>
    <w:rPr>
      <w:rFonts w:cs="Times New Roman"/>
      <w:lang w:eastAsia="he-IL"/>
    </w:rPr>
  </w:style>
  <w:style w:type="character" w:customStyle="1" w:styleId="a9">
    <w:name w:val="טקסט הערה תו"/>
    <w:link w:val="a8"/>
    <w:rsid w:val="00D94ECC"/>
    <w:rPr>
      <w:rFonts w:ascii="Times New Roman" w:eastAsia="Times New Roman" w:hAnsi="Times New Roman" w:cs="Times New Roman"/>
      <w:sz w:val="24"/>
      <w:szCs w:val="24"/>
      <w:lang w:eastAsia="he-IL"/>
    </w:rPr>
  </w:style>
  <w:style w:type="paragraph" w:styleId="aa">
    <w:name w:val="Balloon Text"/>
    <w:basedOn w:val="a"/>
    <w:link w:val="ab"/>
    <w:rsid w:val="00D94ECC"/>
    <w:rPr>
      <w:rFonts w:ascii="Tahoma" w:hAnsi="Tahoma" w:cs="Tahoma"/>
      <w:sz w:val="16"/>
      <w:szCs w:val="16"/>
    </w:rPr>
  </w:style>
  <w:style w:type="character" w:customStyle="1" w:styleId="ab">
    <w:name w:val="טקסט בלונים תו"/>
    <w:link w:val="aa"/>
    <w:rsid w:val="00D94ECC"/>
    <w:rPr>
      <w:rFonts w:ascii="Tahoma" w:eastAsia="Times New Roman" w:hAnsi="Tahoma" w:cs="Tahoma"/>
      <w:sz w:val="16"/>
      <w:szCs w:val="16"/>
    </w:rPr>
  </w:style>
  <w:style w:type="table" w:styleId="ac">
    <w:name w:val="Table Grid"/>
    <w:basedOn w:val="a1"/>
    <w:rsid w:val="00D94E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94ECC"/>
  </w:style>
  <w:style w:type="character" w:styleId="ae">
    <w:name w:val="Placeholder Text"/>
    <w:rsid w:val="00D94ECC"/>
    <w:rPr>
      <w:color w:val="808080"/>
    </w:rPr>
  </w:style>
  <w:style w:type="paragraph" w:styleId="af">
    <w:name w:val="List Paragraph"/>
    <w:basedOn w:val="a"/>
    <w:qFormat/>
    <w:rsid w:val="00D94ECC"/>
    <w:pPr>
      <w:ind w:left="720"/>
      <w:contextualSpacing/>
    </w:pPr>
    <w:rPr>
      <w:rFonts w:ascii="Arial (W1)" w:hAnsi="Arial (W1)"/>
    </w:rPr>
  </w:style>
  <w:style w:type="character" w:styleId="Hyperlink">
    <w:name w:val="Hyperlink"/>
    <w:rsid w:val="00AB0E4D"/>
    <w:rPr>
      <w:color w:val="0563C1"/>
      <w:u w:val="single"/>
    </w:rPr>
  </w:style>
  <w:style w:type="character" w:styleId="FollowedHyperlink">
    <w:name w:val="FollowedHyperlink"/>
    <w:rsid w:val="009048E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7733378" TargetMode="External"/><Relationship Id="rId21" Type="http://schemas.openxmlformats.org/officeDocument/2006/relationships/hyperlink" Target="http://www.nevo.co.il/law/70301/329" TargetMode="External"/><Relationship Id="rId42" Type="http://schemas.openxmlformats.org/officeDocument/2006/relationships/hyperlink" Target="http://www.nevo.co.il/law/141771/30.a" TargetMode="External"/><Relationship Id="rId63" Type="http://schemas.openxmlformats.org/officeDocument/2006/relationships/hyperlink" Target="http://www.nevo.co.il/law/70301/29" TargetMode="External"/><Relationship Id="rId84" Type="http://schemas.openxmlformats.org/officeDocument/2006/relationships/hyperlink" Target="http://www.nevo.co.il/law/70301/329.a.2" TargetMode="External"/><Relationship Id="rId138" Type="http://schemas.openxmlformats.org/officeDocument/2006/relationships/hyperlink" Target="http://www.nevo.co.il/case/27660696" TargetMode="External"/><Relationship Id="rId107" Type="http://schemas.openxmlformats.org/officeDocument/2006/relationships/hyperlink" Target="http://www.nevo.co.il/case/20923902"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70301/40jc.c" TargetMode="External"/><Relationship Id="rId53" Type="http://schemas.openxmlformats.org/officeDocument/2006/relationships/hyperlink" Target="http://www.nevo.co.il/law/70301/157" TargetMode="External"/><Relationship Id="rId74" Type="http://schemas.openxmlformats.org/officeDocument/2006/relationships/hyperlink" Target="http://www.nevo.co.il/law/70301/452" TargetMode="External"/><Relationship Id="rId128" Type="http://schemas.openxmlformats.org/officeDocument/2006/relationships/hyperlink" Target="http://www.nevo.co.il/law/70301" TargetMode="External"/><Relationship Id="rId149" Type="http://schemas.openxmlformats.org/officeDocument/2006/relationships/hyperlink" Target="http://www.nevo.co.il/advertisements/nevo-100.doc" TargetMode="External"/><Relationship Id="rId5" Type="http://schemas.openxmlformats.org/officeDocument/2006/relationships/footnotes" Target="footnotes.xml"/><Relationship Id="rId95" Type="http://schemas.openxmlformats.org/officeDocument/2006/relationships/hyperlink" Target="http://www.nevo.co.il/law/70301" TargetMode="External"/><Relationship Id="rId22" Type="http://schemas.openxmlformats.org/officeDocument/2006/relationships/hyperlink" Target="http://www.nevo.co.il/law/70301/329.a.2" TargetMode="External"/><Relationship Id="rId27" Type="http://schemas.openxmlformats.org/officeDocument/2006/relationships/hyperlink" Target="http://www.nevo.co.il/law/70301/340.a" TargetMode="External"/><Relationship Id="rId43" Type="http://schemas.openxmlformats.org/officeDocument/2006/relationships/hyperlink" Target="http://www.nevo.co.il/law/141771" TargetMode="External"/><Relationship Id="rId48" Type="http://schemas.openxmlformats.org/officeDocument/2006/relationships/hyperlink" Target="http://www.nevo.co.il/law/70301/275" TargetMode="External"/><Relationship Id="rId64" Type="http://schemas.openxmlformats.org/officeDocument/2006/relationships/hyperlink" Target="http://www.nevo.co.il/law/70301/329.a.2" TargetMode="External"/><Relationship Id="rId69" Type="http://schemas.openxmlformats.org/officeDocument/2006/relationships/hyperlink" Target="http://www.nevo.co.il/law/70301/29" TargetMode="External"/><Relationship Id="rId113" Type="http://schemas.openxmlformats.org/officeDocument/2006/relationships/hyperlink" Target="http://www.nevo.co.il/case/27700018" TargetMode="External"/><Relationship Id="rId118" Type="http://schemas.openxmlformats.org/officeDocument/2006/relationships/hyperlink" Target="http://www.nevo.co.il/case/27654256" TargetMode="External"/><Relationship Id="rId134" Type="http://schemas.openxmlformats.org/officeDocument/2006/relationships/hyperlink" Target="http://www.nevo.co.il/case/27679696" TargetMode="External"/><Relationship Id="rId139" Type="http://schemas.openxmlformats.org/officeDocument/2006/relationships/hyperlink" Target="http://www.nevo.co.il/law/70301/329" TargetMode="External"/><Relationship Id="rId80" Type="http://schemas.openxmlformats.org/officeDocument/2006/relationships/hyperlink" Target="http://www.nevo.co.il/law/70301/152" TargetMode="External"/><Relationship Id="rId85" Type="http://schemas.openxmlformats.org/officeDocument/2006/relationships/hyperlink" Target="http://www.nevo.co.il/law/70301" TargetMode="External"/><Relationship Id="rId150" Type="http://schemas.openxmlformats.org/officeDocument/2006/relationships/header" Target="header1.xml"/><Relationship Id="rId155" Type="http://schemas.openxmlformats.org/officeDocument/2006/relationships/theme" Target="theme/theme1.xml"/><Relationship Id="rId12" Type="http://schemas.openxmlformats.org/officeDocument/2006/relationships/hyperlink" Target="http://www.nevo.co.il/law/70301/144b" TargetMode="External"/><Relationship Id="rId17" Type="http://schemas.openxmlformats.org/officeDocument/2006/relationships/hyperlink" Target="http://www.nevo.co.il/law/70301/192" TargetMode="External"/><Relationship Id="rId33" Type="http://schemas.openxmlformats.org/officeDocument/2006/relationships/hyperlink" Target="http://www.nevo.co.il/law/70301/448.a" TargetMode="External"/><Relationship Id="rId38" Type="http://schemas.openxmlformats.org/officeDocument/2006/relationships/hyperlink" Target="http://www.nevo.co.il/law/141771/37" TargetMode="External"/><Relationship Id="rId59" Type="http://schemas.openxmlformats.org/officeDocument/2006/relationships/hyperlink" Target="http://www.nevo.co.il/law/70301/29" TargetMode="External"/><Relationship Id="rId103" Type="http://schemas.openxmlformats.org/officeDocument/2006/relationships/hyperlink" Target="http://www.nevo.co.il/law/70301/452" TargetMode="External"/><Relationship Id="rId108" Type="http://schemas.openxmlformats.org/officeDocument/2006/relationships/hyperlink" Target="http://www.nevo.co.il/case/29922728" TargetMode="External"/><Relationship Id="rId124" Type="http://schemas.openxmlformats.org/officeDocument/2006/relationships/hyperlink" Target="http://www.nevo.co.il/law/70301/40g" TargetMode="External"/><Relationship Id="rId129" Type="http://schemas.openxmlformats.org/officeDocument/2006/relationships/hyperlink" Target="http://www.nevo.co.il/law/141771/37.a" TargetMode="External"/><Relationship Id="rId54" Type="http://schemas.openxmlformats.org/officeDocument/2006/relationships/hyperlink" Target="http://www.nevo.co.il/law/70301/144f" TargetMode="External"/><Relationship Id="rId70" Type="http://schemas.openxmlformats.org/officeDocument/2006/relationships/hyperlink" Target="http://www.nevo.co.il/law/70301/340.a" TargetMode="External"/><Relationship Id="rId75" Type="http://schemas.openxmlformats.org/officeDocument/2006/relationships/hyperlink" Target="http://www.nevo.co.il/law/70301/144f" TargetMode="External"/><Relationship Id="rId91" Type="http://schemas.openxmlformats.org/officeDocument/2006/relationships/hyperlink" Target="http://www.nevo.co.il/law/70301/29" TargetMode="External"/><Relationship Id="rId96" Type="http://schemas.openxmlformats.org/officeDocument/2006/relationships/hyperlink" Target="http://www.nevo.co.il/law/70301/340a.b" TargetMode="External"/><Relationship Id="rId140" Type="http://schemas.openxmlformats.org/officeDocument/2006/relationships/hyperlink" Target="http://www.nevo.co.il/law/141771/37.a" TargetMode="External"/><Relationship Id="rId145" Type="http://schemas.openxmlformats.org/officeDocument/2006/relationships/hyperlink" Target="http://www.nevo.co.il/case/1309372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32a.a" TargetMode="External"/><Relationship Id="rId28" Type="http://schemas.openxmlformats.org/officeDocument/2006/relationships/hyperlink" Target="http://www.nevo.co.il/law/70301/340a.b" TargetMode="External"/><Relationship Id="rId49" Type="http://schemas.openxmlformats.org/officeDocument/2006/relationships/hyperlink" Target="http://www.nevo.co.il/law/70301/448.a" TargetMode="External"/><Relationship Id="rId114" Type="http://schemas.openxmlformats.org/officeDocument/2006/relationships/hyperlink" Target="http://www.nevo.co.il/law/70301/332a.a" TargetMode="External"/><Relationship Id="rId119" Type="http://schemas.openxmlformats.org/officeDocument/2006/relationships/hyperlink" Target="http://www.nevo.co.il/law/70301/329" TargetMode="External"/><Relationship Id="rId44" Type="http://schemas.openxmlformats.org/officeDocument/2006/relationships/hyperlink" Target="http://www.nevo.co.il/law/70301/152"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29" TargetMode="External"/><Relationship Id="rId130" Type="http://schemas.openxmlformats.org/officeDocument/2006/relationships/hyperlink" Target="http://www.nevo.co.il/case/27697597" TargetMode="External"/><Relationship Id="rId135" Type="http://schemas.openxmlformats.org/officeDocument/2006/relationships/hyperlink" Target="http://www.nevo.co.il/case/26795355" TargetMode="External"/><Relationship Id="rId151" Type="http://schemas.openxmlformats.org/officeDocument/2006/relationships/header" Target="header2.xml"/><Relationship Id="rId13" Type="http://schemas.openxmlformats.org/officeDocument/2006/relationships/hyperlink" Target="http://www.nevo.co.il/law/70301/144f" TargetMode="External"/><Relationship Id="rId18" Type="http://schemas.openxmlformats.org/officeDocument/2006/relationships/hyperlink" Target="http://www.nevo.co.il/law/70301/274" TargetMode="External"/><Relationship Id="rId39" Type="http://schemas.openxmlformats.org/officeDocument/2006/relationships/hyperlink" Target="http://www.nevo.co.il/law/141771/37.a" TargetMode="External"/><Relationship Id="rId109" Type="http://schemas.openxmlformats.org/officeDocument/2006/relationships/hyperlink" Target="http://www.nevo.co.il/case/28681545" TargetMode="External"/><Relationship Id="rId34" Type="http://schemas.openxmlformats.org/officeDocument/2006/relationships/hyperlink" Target="http://www.nevo.co.il/law/70301/452" TargetMode="External"/><Relationship Id="rId50" Type="http://schemas.openxmlformats.org/officeDocument/2006/relationships/hyperlink" Target="http://www.nevo.co.il/law/70301/29" TargetMode="External"/><Relationship Id="rId55" Type="http://schemas.openxmlformats.org/officeDocument/2006/relationships/hyperlink" Target="http://www.nevo.co.il/law/70301/452" TargetMode="External"/><Relationship Id="rId76" Type="http://schemas.openxmlformats.org/officeDocument/2006/relationships/hyperlink" Target="http://www.nevo.co.il/law/70301/29" TargetMode="External"/><Relationship Id="rId97" Type="http://schemas.openxmlformats.org/officeDocument/2006/relationships/hyperlink" Target="http://www.nevo.co.il/law/70301/192" TargetMode="External"/><Relationship Id="rId104" Type="http://schemas.openxmlformats.org/officeDocument/2006/relationships/hyperlink" Target="http://www.nevo.co.il/case/28296934" TargetMode="External"/><Relationship Id="rId120" Type="http://schemas.openxmlformats.org/officeDocument/2006/relationships/hyperlink" Target="http://www.nevo.co.il/law/70301" TargetMode="External"/><Relationship Id="rId125" Type="http://schemas.openxmlformats.org/officeDocument/2006/relationships/hyperlink" Target="http://www.nevo.co.il/law/70301" TargetMode="External"/><Relationship Id="rId141" Type="http://schemas.openxmlformats.org/officeDocument/2006/relationships/hyperlink" Target="http://www.nevo.co.il/law/70301/329" TargetMode="External"/><Relationship Id="rId146" Type="http://schemas.openxmlformats.org/officeDocument/2006/relationships/hyperlink" Target="http://www.nevo.co.il/law/70301/40jc.b"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29" TargetMode="External"/><Relationship Id="rId92" Type="http://schemas.openxmlformats.org/officeDocument/2006/relationships/hyperlink" Target="http://www.nevo.co.il/law/70301/192" TargetMode="External"/><Relationship Id="rId2" Type="http://schemas.openxmlformats.org/officeDocument/2006/relationships/styles" Target="styles.xml"/><Relationship Id="rId29" Type="http://schemas.openxmlformats.org/officeDocument/2006/relationships/hyperlink" Target="http://www.nevo.co.il/law/70301/384" TargetMode="External"/><Relationship Id="rId24" Type="http://schemas.openxmlformats.org/officeDocument/2006/relationships/hyperlink" Target="http://www.nevo.co.il/law/70301/333" TargetMode="External"/><Relationship Id="rId40" Type="http://schemas.openxmlformats.org/officeDocument/2006/relationships/hyperlink" Target="http://www.nevo.co.il/law/70301/329.a.2" TargetMode="External"/><Relationship Id="rId45" Type="http://schemas.openxmlformats.org/officeDocument/2006/relationships/hyperlink" Target="http://www.nevo.co.il/law/70301/338.a.3" TargetMode="External"/><Relationship Id="rId66" Type="http://schemas.openxmlformats.org/officeDocument/2006/relationships/hyperlink" Target="http://www.nevo.co.il/law/70301/29" TargetMode="External"/><Relationship Id="rId87" Type="http://schemas.openxmlformats.org/officeDocument/2006/relationships/hyperlink" Target="http://www.nevo.co.il/law/141771/37" TargetMode="External"/><Relationship Id="rId110" Type="http://schemas.openxmlformats.org/officeDocument/2006/relationships/hyperlink" Target="http://www.nevo.co.il/case/28296934" TargetMode="External"/><Relationship Id="rId115" Type="http://schemas.openxmlformats.org/officeDocument/2006/relationships/hyperlink" Target="http://www.nevo.co.il/law/70301/329.a.2" TargetMode="External"/><Relationship Id="rId131" Type="http://schemas.openxmlformats.org/officeDocument/2006/relationships/hyperlink" Target="http://www.nevo.co.il/case/27733322" TargetMode="External"/><Relationship Id="rId136" Type="http://schemas.openxmlformats.org/officeDocument/2006/relationships/hyperlink" Target="http://www.nevo.co.il/case/27623662" TargetMode="External"/><Relationship Id="rId61" Type="http://schemas.openxmlformats.org/officeDocument/2006/relationships/hyperlink" Target="http://www.nevo.co.il/law/70301/453.c" TargetMode="External"/><Relationship Id="rId82" Type="http://schemas.openxmlformats.org/officeDocument/2006/relationships/hyperlink" Target="http://www.nevo.co.il/law/70301/275a" TargetMode="External"/><Relationship Id="rId152" Type="http://schemas.openxmlformats.org/officeDocument/2006/relationships/footer" Target="footer1.xml"/><Relationship Id="rId19" Type="http://schemas.openxmlformats.org/officeDocument/2006/relationships/hyperlink" Target="http://www.nevo.co.il/law/70301/275" TargetMode="External"/><Relationship Id="rId14" Type="http://schemas.openxmlformats.org/officeDocument/2006/relationships/hyperlink" Target="http://www.nevo.co.il/law/70301/144f.a." TargetMode="External"/><Relationship Id="rId30" Type="http://schemas.openxmlformats.org/officeDocument/2006/relationships/hyperlink" Target="http://www.nevo.co.il/law/70301/406.b" TargetMode="External"/><Relationship Id="rId35" Type="http://schemas.openxmlformats.org/officeDocument/2006/relationships/hyperlink" Target="http://www.nevo.co.il/law/70301/453.c" TargetMode="External"/><Relationship Id="rId56" Type="http://schemas.openxmlformats.org/officeDocument/2006/relationships/hyperlink" Target="http://www.nevo.co.il/law/70301/144f"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 TargetMode="External"/><Relationship Id="rId105" Type="http://schemas.openxmlformats.org/officeDocument/2006/relationships/hyperlink" Target="http://www.nevo.co.il/case/29922728" TargetMode="External"/><Relationship Id="rId126" Type="http://schemas.openxmlformats.org/officeDocument/2006/relationships/hyperlink" Target="http://www.nevo.co.il/law/70301/333" TargetMode="External"/><Relationship Id="rId147" Type="http://schemas.openxmlformats.org/officeDocument/2006/relationships/hyperlink" Target="http://www.nevo.co.il/law/70301/40jc.c"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192" TargetMode="External"/><Relationship Id="rId93" Type="http://schemas.openxmlformats.org/officeDocument/2006/relationships/hyperlink" Target="http://www.nevo.co.il/law/70301/29" TargetMode="External"/><Relationship Id="rId98" Type="http://schemas.openxmlformats.org/officeDocument/2006/relationships/hyperlink" Target="http://www.nevo.co.il/law/70301/406.b" TargetMode="External"/><Relationship Id="rId121" Type="http://schemas.openxmlformats.org/officeDocument/2006/relationships/hyperlink" Target="http://www.nevo.co.il/law/70301/448.a" TargetMode="External"/><Relationship Id="rId142"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0301/335.a.1" TargetMode="External"/><Relationship Id="rId46" Type="http://schemas.openxmlformats.org/officeDocument/2006/relationships/hyperlink" Target="http://www.nevo.co.il/law/70301/274" TargetMode="External"/><Relationship Id="rId67" Type="http://schemas.openxmlformats.org/officeDocument/2006/relationships/hyperlink" Target="http://www.nevo.co.il/law/141771/37" TargetMode="External"/><Relationship Id="rId116" Type="http://schemas.openxmlformats.org/officeDocument/2006/relationships/hyperlink" Target="http://www.nevo.co.il/case/27697597" TargetMode="External"/><Relationship Id="rId137" Type="http://schemas.openxmlformats.org/officeDocument/2006/relationships/hyperlink" Target="http://www.nevo.co.il/case/28640864" TargetMode="External"/><Relationship Id="rId20" Type="http://schemas.openxmlformats.org/officeDocument/2006/relationships/hyperlink" Target="http://www.nevo.co.il/law/70301/275a"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144f" TargetMode="External"/><Relationship Id="rId83" Type="http://schemas.openxmlformats.org/officeDocument/2006/relationships/hyperlink" Target="http://www.nevo.co.il/law/70301/29" TargetMode="External"/><Relationship Id="rId88" Type="http://schemas.openxmlformats.org/officeDocument/2006/relationships/hyperlink" Target="http://www.nevo.co.il/law/141771/30.a" TargetMode="External"/><Relationship Id="rId111" Type="http://schemas.openxmlformats.org/officeDocument/2006/relationships/hyperlink" Target="http://www.nevo.co.il/case/29591824" TargetMode="External"/><Relationship Id="rId132" Type="http://schemas.openxmlformats.org/officeDocument/2006/relationships/hyperlink" Target="http://www.nevo.co.il/case/29145070" TargetMode="External"/><Relationship Id="rId153" Type="http://schemas.openxmlformats.org/officeDocument/2006/relationships/footer" Target="footer2.xml"/><Relationship Id="rId15" Type="http://schemas.openxmlformats.org/officeDocument/2006/relationships/hyperlink" Target="http://www.nevo.co.il/law/70301/152" TargetMode="External"/><Relationship Id="rId36" Type="http://schemas.openxmlformats.org/officeDocument/2006/relationships/hyperlink" Target="http://www.nevo.co.il/law/141771" TargetMode="External"/><Relationship Id="rId57" Type="http://schemas.openxmlformats.org/officeDocument/2006/relationships/hyperlink" Target="http://www.nevo.co.il/law/70301/29" TargetMode="External"/><Relationship Id="rId106" Type="http://schemas.openxmlformats.org/officeDocument/2006/relationships/hyperlink" Target="http://www.nevo.co.il/case/26489415" TargetMode="External"/><Relationship Id="rId127" Type="http://schemas.openxmlformats.org/officeDocument/2006/relationships/hyperlink" Target="http://www.nevo.co.il/law/70301/335.a.1" TargetMode="External"/><Relationship Id="rId10" Type="http://schemas.openxmlformats.org/officeDocument/2006/relationships/hyperlink" Target="http://www.nevo.co.il/law/70301/40g" TargetMode="External"/><Relationship Id="rId31" Type="http://schemas.openxmlformats.org/officeDocument/2006/relationships/hyperlink" Target="http://www.nevo.co.il/law/70301/40jc.b" TargetMode="External"/><Relationship Id="rId52" Type="http://schemas.openxmlformats.org/officeDocument/2006/relationships/hyperlink" Target="http://www.nevo.co.il/law/141771/37" TargetMode="External"/><Relationship Id="rId73" Type="http://schemas.openxmlformats.org/officeDocument/2006/relationships/hyperlink" Target="http://www.nevo.co.il/law/70301/29" TargetMode="External"/><Relationship Id="rId78" Type="http://schemas.openxmlformats.org/officeDocument/2006/relationships/hyperlink" Target="http://www.nevo.co.il/law/70301/144.a" TargetMode="External"/><Relationship Id="rId94" Type="http://schemas.openxmlformats.org/officeDocument/2006/relationships/hyperlink" Target="http://www.nevo.co.il/law/70301/144f.a.;144b" TargetMode="External"/><Relationship Id="rId99" Type="http://schemas.openxmlformats.org/officeDocument/2006/relationships/hyperlink" Target="http://www.nevo.co.il/law/70301/29" TargetMode="External"/><Relationship Id="rId101" Type="http://schemas.openxmlformats.org/officeDocument/2006/relationships/hyperlink" Target="http://www.nevo.co.il/law/70301/384" TargetMode="External"/><Relationship Id="rId122" Type="http://schemas.openxmlformats.org/officeDocument/2006/relationships/hyperlink" Target="http://www.nevo.co.il/case/23793887" TargetMode="External"/><Relationship Id="rId143" Type="http://schemas.openxmlformats.org/officeDocument/2006/relationships/hyperlink" Target="http://www.nevo.co.il/case/26489415" TargetMode="External"/><Relationship Id="rId148"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26" Type="http://schemas.openxmlformats.org/officeDocument/2006/relationships/hyperlink" Target="http://www.nevo.co.il/law/70301/338.a.3" TargetMode="External"/><Relationship Id="rId47" Type="http://schemas.openxmlformats.org/officeDocument/2006/relationships/hyperlink" Target="http://www.nevo.co.il/law/70301/25" TargetMode="External"/><Relationship Id="rId68" Type="http://schemas.openxmlformats.org/officeDocument/2006/relationships/hyperlink" Target="http://www.nevo.co.il/law/141771/30.a" TargetMode="External"/><Relationship Id="rId89" Type="http://schemas.openxmlformats.org/officeDocument/2006/relationships/hyperlink" Target="http://www.nevo.co.il/law/70301/29" TargetMode="External"/><Relationship Id="rId112" Type="http://schemas.openxmlformats.org/officeDocument/2006/relationships/hyperlink" Target="http://www.nevo.co.il/case/28889052" TargetMode="External"/><Relationship Id="rId133" Type="http://schemas.openxmlformats.org/officeDocument/2006/relationships/hyperlink" Target="http://www.nevo.co.il/case/28243256" TargetMode="External"/><Relationship Id="rId154" Type="http://schemas.openxmlformats.org/officeDocument/2006/relationships/fontTable" Target="fontTable.xml"/><Relationship Id="rId16" Type="http://schemas.openxmlformats.org/officeDocument/2006/relationships/hyperlink" Target="http://www.nevo.co.il/law/70301/157" TargetMode="External"/><Relationship Id="rId37" Type="http://schemas.openxmlformats.org/officeDocument/2006/relationships/hyperlink" Target="http://www.nevo.co.il/law/141771/30.a" TargetMode="External"/><Relationship Id="rId58" Type="http://schemas.openxmlformats.org/officeDocument/2006/relationships/hyperlink" Target="http://www.nevo.co.il/law/70301/448.a"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448.a" TargetMode="External"/><Relationship Id="rId144" Type="http://schemas.openxmlformats.org/officeDocument/2006/relationships/hyperlink" Target="http://www.nevo.co.il/case/29922728" TargetMode="External"/><Relationship Id="rId90" Type="http://schemas.openxmlformats.org/officeDocument/2006/relationships/hyperlink" Target="http://www.nevo.co.il/law/70301/340.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7650</Words>
  <Characters>38251</Characters>
  <Application>Microsoft Office Word</Application>
  <DocSecurity>0</DocSecurity>
  <Lines>318</Lines>
  <Paragraphs>91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45810</CharactersWithSpaces>
  <SharedDoc>false</SharedDoc>
  <HLinks>
    <vt:vector size="858" baseType="variant">
      <vt:variant>
        <vt:i4>393283</vt:i4>
      </vt:variant>
      <vt:variant>
        <vt:i4>426</vt:i4>
      </vt:variant>
      <vt:variant>
        <vt:i4>0</vt:i4>
      </vt:variant>
      <vt:variant>
        <vt:i4>5</vt:i4>
      </vt:variant>
      <vt:variant>
        <vt:lpwstr>http://www.nevo.co.il/advertisements/nevo-100.doc</vt:lpwstr>
      </vt:variant>
      <vt:variant>
        <vt:lpwstr/>
      </vt:variant>
      <vt:variant>
        <vt:i4>7995492</vt:i4>
      </vt:variant>
      <vt:variant>
        <vt:i4>423</vt:i4>
      </vt:variant>
      <vt:variant>
        <vt:i4>0</vt:i4>
      </vt:variant>
      <vt:variant>
        <vt:i4>5</vt:i4>
      </vt:variant>
      <vt:variant>
        <vt:lpwstr>http://www.nevo.co.il/law/70301</vt:lpwstr>
      </vt:variant>
      <vt:variant>
        <vt:lpwstr/>
      </vt:variant>
      <vt:variant>
        <vt:i4>6619173</vt:i4>
      </vt:variant>
      <vt:variant>
        <vt:i4>420</vt:i4>
      </vt:variant>
      <vt:variant>
        <vt:i4>0</vt:i4>
      </vt:variant>
      <vt:variant>
        <vt:i4>5</vt:i4>
      </vt:variant>
      <vt:variant>
        <vt:lpwstr>http://www.nevo.co.il/law/70301/40jc.c</vt:lpwstr>
      </vt:variant>
      <vt:variant>
        <vt:lpwstr/>
      </vt:variant>
      <vt:variant>
        <vt:i4>6553637</vt:i4>
      </vt:variant>
      <vt:variant>
        <vt:i4>417</vt:i4>
      </vt:variant>
      <vt:variant>
        <vt:i4>0</vt:i4>
      </vt:variant>
      <vt:variant>
        <vt:i4>5</vt:i4>
      </vt:variant>
      <vt:variant>
        <vt:lpwstr>http://www.nevo.co.il/law/70301/40jc.b</vt:lpwstr>
      </vt:variant>
      <vt:variant>
        <vt:lpwstr/>
      </vt:variant>
      <vt:variant>
        <vt:i4>3145849</vt:i4>
      </vt:variant>
      <vt:variant>
        <vt:i4>414</vt:i4>
      </vt:variant>
      <vt:variant>
        <vt:i4>0</vt:i4>
      </vt:variant>
      <vt:variant>
        <vt:i4>5</vt:i4>
      </vt:variant>
      <vt:variant>
        <vt:lpwstr>http://www.nevo.co.il/case/13093721</vt:lpwstr>
      </vt:variant>
      <vt:variant>
        <vt:lpwstr/>
      </vt:variant>
      <vt:variant>
        <vt:i4>3866744</vt:i4>
      </vt:variant>
      <vt:variant>
        <vt:i4>411</vt:i4>
      </vt:variant>
      <vt:variant>
        <vt:i4>0</vt:i4>
      </vt:variant>
      <vt:variant>
        <vt:i4>5</vt:i4>
      </vt:variant>
      <vt:variant>
        <vt:lpwstr>http://www.nevo.co.il/case/29922728</vt:lpwstr>
      </vt:variant>
      <vt:variant>
        <vt:lpwstr/>
      </vt:variant>
      <vt:variant>
        <vt:i4>4063358</vt:i4>
      </vt:variant>
      <vt:variant>
        <vt:i4>408</vt:i4>
      </vt:variant>
      <vt:variant>
        <vt:i4>0</vt:i4>
      </vt:variant>
      <vt:variant>
        <vt:i4>5</vt:i4>
      </vt:variant>
      <vt:variant>
        <vt:lpwstr>http://www.nevo.co.il/case/26489415</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6750310</vt:i4>
      </vt:variant>
      <vt:variant>
        <vt:i4>402</vt:i4>
      </vt:variant>
      <vt:variant>
        <vt:i4>0</vt:i4>
      </vt:variant>
      <vt:variant>
        <vt:i4>5</vt:i4>
      </vt:variant>
      <vt:variant>
        <vt:lpwstr>http://www.nevo.co.il/law/70301/329</vt:lpwstr>
      </vt:variant>
      <vt:variant>
        <vt:lpwstr/>
      </vt:variant>
      <vt:variant>
        <vt:i4>5570639</vt:i4>
      </vt:variant>
      <vt:variant>
        <vt:i4>399</vt:i4>
      </vt:variant>
      <vt:variant>
        <vt:i4>0</vt:i4>
      </vt:variant>
      <vt:variant>
        <vt:i4>5</vt:i4>
      </vt:variant>
      <vt:variant>
        <vt:lpwstr>http://www.nevo.co.il/law/141771/37.a</vt:lpwstr>
      </vt:variant>
      <vt:variant>
        <vt:lpwstr/>
      </vt:variant>
      <vt:variant>
        <vt:i4>6750310</vt:i4>
      </vt:variant>
      <vt:variant>
        <vt:i4>396</vt:i4>
      </vt:variant>
      <vt:variant>
        <vt:i4>0</vt:i4>
      </vt:variant>
      <vt:variant>
        <vt:i4>5</vt:i4>
      </vt:variant>
      <vt:variant>
        <vt:lpwstr>http://www.nevo.co.il/law/70301/329</vt:lpwstr>
      </vt:variant>
      <vt:variant>
        <vt:lpwstr/>
      </vt:variant>
      <vt:variant>
        <vt:i4>3997811</vt:i4>
      </vt:variant>
      <vt:variant>
        <vt:i4>393</vt:i4>
      </vt:variant>
      <vt:variant>
        <vt:i4>0</vt:i4>
      </vt:variant>
      <vt:variant>
        <vt:i4>5</vt:i4>
      </vt:variant>
      <vt:variant>
        <vt:lpwstr>http://www.nevo.co.il/case/27660696</vt:lpwstr>
      </vt:variant>
      <vt:variant>
        <vt:lpwstr/>
      </vt:variant>
      <vt:variant>
        <vt:i4>3276912</vt:i4>
      </vt:variant>
      <vt:variant>
        <vt:i4>390</vt:i4>
      </vt:variant>
      <vt:variant>
        <vt:i4>0</vt:i4>
      </vt:variant>
      <vt:variant>
        <vt:i4>5</vt:i4>
      </vt:variant>
      <vt:variant>
        <vt:lpwstr>http://www.nevo.co.il/case/28640864</vt:lpwstr>
      </vt:variant>
      <vt:variant>
        <vt:lpwstr/>
      </vt:variant>
      <vt:variant>
        <vt:i4>3211383</vt:i4>
      </vt:variant>
      <vt:variant>
        <vt:i4>387</vt:i4>
      </vt:variant>
      <vt:variant>
        <vt:i4>0</vt:i4>
      </vt:variant>
      <vt:variant>
        <vt:i4>5</vt:i4>
      </vt:variant>
      <vt:variant>
        <vt:lpwstr>http://www.nevo.co.il/case/27623662</vt:lpwstr>
      </vt:variant>
      <vt:variant>
        <vt:lpwstr/>
      </vt:variant>
      <vt:variant>
        <vt:i4>3473528</vt:i4>
      </vt:variant>
      <vt:variant>
        <vt:i4>384</vt:i4>
      </vt:variant>
      <vt:variant>
        <vt:i4>0</vt:i4>
      </vt:variant>
      <vt:variant>
        <vt:i4>5</vt:i4>
      </vt:variant>
      <vt:variant>
        <vt:lpwstr>http://www.nevo.co.il/case/26795355</vt:lpwstr>
      </vt:variant>
      <vt:variant>
        <vt:lpwstr/>
      </vt:variant>
      <vt:variant>
        <vt:i4>3407986</vt:i4>
      </vt:variant>
      <vt:variant>
        <vt:i4>381</vt:i4>
      </vt:variant>
      <vt:variant>
        <vt:i4>0</vt:i4>
      </vt:variant>
      <vt:variant>
        <vt:i4>5</vt:i4>
      </vt:variant>
      <vt:variant>
        <vt:lpwstr>http://www.nevo.co.il/case/27679696</vt:lpwstr>
      </vt:variant>
      <vt:variant>
        <vt:lpwstr/>
      </vt:variant>
      <vt:variant>
        <vt:i4>3539066</vt:i4>
      </vt:variant>
      <vt:variant>
        <vt:i4>378</vt:i4>
      </vt:variant>
      <vt:variant>
        <vt:i4>0</vt:i4>
      </vt:variant>
      <vt:variant>
        <vt:i4>5</vt:i4>
      </vt:variant>
      <vt:variant>
        <vt:lpwstr>http://www.nevo.co.il/case/28243256</vt:lpwstr>
      </vt:variant>
      <vt:variant>
        <vt:lpwstr/>
      </vt:variant>
      <vt:variant>
        <vt:i4>3211385</vt:i4>
      </vt:variant>
      <vt:variant>
        <vt:i4>375</vt:i4>
      </vt:variant>
      <vt:variant>
        <vt:i4>0</vt:i4>
      </vt:variant>
      <vt:variant>
        <vt:i4>5</vt:i4>
      </vt:variant>
      <vt:variant>
        <vt:lpwstr>http://www.nevo.co.il/case/29145070</vt:lpwstr>
      </vt:variant>
      <vt:variant>
        <vt:lpwstr/>
      </vt:variant>
      <vt:variant>
        <vt:i4>3407987</vt:i4>
      </vt:variant>
      <vt:variant>
        <vt:i4>372</vt:i4>
      </vt:variant>
      <vt:variant>
        <vt:i4>0</vt:i4>
      </vt:variant>
      <vt:variant>
        <vt:i4>5</vt:i4>
      </vt:variant>
      <vt:variant>
        <vt:lpwstr>http://www.nevo.co.il/case/27733322</vt:lpwstr>
      </vt:variant>
      <vt:variant>
        <vt:lpwstr/>
      </vt:variant>
      <vt:variant>
        <vt:i4>3801215</vt:i4>
      </vt:variant>
      <vt:variant>
        <vt:i4>369</vt:i4>
      </vt:variant>
      <vt:variant>
        <vt:i4>0</vt:i4>
      </vt:variant>
      <vt:variant>
        <vt:i4>5</vt:i4>
      </vt:variant>
      <vt:variant>
        <vt:lpwstr>http://www.nevo.co.il/case/27697597</vt:lpwstr>
      </vt:variant>
      <vt:variant>
        <vt:lpwstr/>
      </vt:variant>
      <vt:variant>
        <vt:i4>5570639</vt:i4>
      </vt:variant>
      <vt:variant>
        <vt:i4>366</vt:i4>
      </vt:variant>
      <vt:variant>
        <vt:i4>0</vt:i4>
      </vt:variant>
      <vt:variant>
        <vt:i4>5</vt:i4>
      </vt:variant>
      <vt:variant>
        <vt:lpwstr>http://www.nevo.co.il/law/141771/37.a</vt:lpwstr>
      </vt:variant>
      <vt:variant>
        <vt:lpwstr/>
      </vt:variant>
      <vt:variant>
        <vt:i4>7995492</vt:i4>
      </vt:variant>
      <vt:variant>
        <vt:i4>363</vt:i4>
      </vt:variant>
      <vt:variant>
        <vt:i4>0</vt:i4>
      </vt:variant>
      <vt:variant>
        <vt:i4>5</vt:i4>
      </vt:variant>
      <vt:variant>
        <vt:lpwstr>http://www.nevo.co.il/law/70301</vt:lpwstr>
      </vt:variant>
      <vt:variant>
        <vt:lpwstr/>
      </vt:variant>
      <vt:variant>
        <vt:i4>6684722</vt:i4>
      </vt:variant>
      <vt:variant>
        <vt:i4>360</vt:i4>
      </vt:variant>
      <vt:variant>
        <vt:i4>0</vt:i4>
      </vt:variant>
      <vt:variant>
        <vt:i4>5</vt:i4>
      </vt:variant>
      <vt:variant>
        <vt:lpwstr>http://www.nevo.co.il/law/70301/335.a.1</vt:lpwstr>
      </vt:variant>
      <vt:variant>
        <vt:lpwstr/>
      </vt:variant>
      <vt:variant>
        <vt:i4>6684774</vt:i4>
      </vt:variant>
      <vt:variant>
        <vt:i4>357</vt:i4>
      </vt:variant>
      <vt:variant>
        <vt:i4>0</vt:i4>
      </vt:variant>
      <vt:variant>
        <vt:i4>5</vt:i4>
      </vt:variant>
      <vt:variant>
        <vt:lpwstr>http://www.nevo.co.il/law/70301/333</vt:lpwstr>
      </vt:variant>
      <vt:variant>
        <vt:lpwstr/>
      </vt:variant>
      <vt:variant>
        <vt:i4>7995492</vt:i4>
      </vt:variant>
      <vt:variant>
        <vt:i4>354</vt:i4>
      </vt:variant>
      <vt:variant>
        <vt:i4>0</vt:i4>
      </vt:variant>
      <vt:variant>
        <vt:i4>5</vt:i4>
      </vt:variant>
      <vt:variant>
        <vt:lpwstr>http://www.nevo.co.il/law/70301</vt:lpwstr>
      </vt:variant>
      <vt:variant>
        <vt:lpwstr/>
      </vt:variant>
      <vt:variant>
        <vt:i4>6619233</vt:i4>
      </vt:variant>
      <vt:variant>
        <vt:i4>351</vt:i4>
      </vt:variant>
      <vt:variant>
        <vt:i4>0</vt:i4>
      </vt:variant>
      <vt:variant>
        <vt:i4>5</vt:i4>
      </vt:variant>
      <vt:variant>
        <vt:lpwstr>http://www.nevo.co.il/law/70301/40g</vt:lpwstr>
      </vt:variant>
      <vt:variant>
        <vt:lpwstr/>
      </vt:variant>
      <vt:variant>
        <vt:i4>5177433</vt:i4>
      </vt:variant>
      <vt:variant>
        <vt:i4>348</vt:i4>
      </vt:variant>
      <vt:variant>
        <vt:i4>0</vt:i4>
      </vt:variant>
      <vt:variant>
        <vt:i4>5</vt:i4>
      </vt:variant>
      <vt:variant>
        <vt:lpwstr>http://www.nevo.co.il/law/70301/448.a</vt:lpwstr>
      </vt:variant>
      <vt:variant>
        <vt:lpwstr/>
      </vt:variant>
      <vt:variant>
        <vt:i4>4063350</vt:i4>
      </vt:variant>
      <vt:variant>
        <vt:i4>345</vt:i4>
      </vt:variant>
      <vt:variant>
        <vt:i4>0</vt:i4>
      </vt:variant>
      <vt:variant>
        <vt:i4>5</vt:i4>
      </vt:variant>
      <vt:variant>
        <vt:lpwstr>http://www.nevo.co.il/case/23793887</vt:lpwstr>
      </vt:variant>
      <vt:variant>
        <vt:lpwstr/>
      </vt:variant>
      <vt:variant>
        <vt:i4>5177433</vt:i4>
      </vt:variant>
      <vt:variant>
        <vt:i4>342</vt:i4>
      </vt:variant>
      <vt:variant>
        <vt:i4>0</vt:i4>
      </vt:variant>
      <vt:variant>
        <vt:i4>5</vt:i4>
      </vt:variant>
      <vt:variant>
        <vt:lpwstr>http://www.nevo.co.il/law/70301/448.a</vt:lpwstr>
      </vt:variant>
      <vt:variant>
        <vt:lpwstr/>
      </vt:variant>
      <vt:variant>
        <vt:i4>7995492</vt:i4>
      </vt:variant>
      <vt:variant>
        <vt:i4>339</vt:i4>
      </vt:variant>
      <vt:variant>
        <vt:i4>0</vt:i4>
      </vt:variant>
      <vt:variant>
        <vt:i4>5</vt:i4>
      </vt:variant>
      <vt:variant>
        <vt:lpwstr>http://www.nevo.co.il/law/70301</vt:lpwstr>
      </vt:variant>
      <vt:variant>
        <vt:lpwstr/>
      </vt:variant>
      <vt:variant>
        <vt:i4>6750310</vt:i4>
      </vt:variant>
      <vt:variant>
        <vt:i4>336</vt:i4>
      </vt:variant>
      <vt:variant>
        <vt:i4>0</vt:i4>
      </vt:variant>
      <vt:variant>
        <vt:i4>5</vt:i4>
      </vt:variant>
      <vt:variant>
        <vt:lpwstr>http://www.nevo.co.il/law/70301/329</vt:lpwstr>
      </vt:variant>
      <vt:variant>
        <vt:lpwstr/>
      </vt:variant>
      <vt:variant>
        <vt:i4>3473524</vt:i4>
      </vt:variant>
      <vt:variant>
        <vt:i4>333</vt:i4>
      </vt:variant>
      <vt:variant>
        <vt:i4>0</vt:i4>
      </vt:variant>
      <vt:variant>
        <vt:i4>5</vt:i4>
      </vt:variant>
      <vt:variant>
        <vt:lpwstr>http://www.nevo.co.il/case/27654256</vt:lpwstr>
      </vt:variant>
      <vt:variant>
        <vt:lpwstr/>
      </vt:variant>
      <vt:variant>
        <vt:i4>3211379</vt:i4>
      </vt:variant>
      <vt:variant>
        <vt:i4>330</vt:i4>
      </vt:variant>
      <vt:variant>
        <vt:i4>0</vt:i4>
      </vt:variant>
      <vt:variant>
        <vt:i4>5</vt:i4>
      </vt:variant>
      <vt:variant>
        <vt:lpwstr>http://www.nevo.co.il/case/27733378</vt:lpwstr>
      </vt:variant>
      <vt:variant>
        <vt:lpwstr/>
      </vt:variant>
      <vt:variant>
        <vt:i4>3801215</vt:i4>
      </vt:variant>
      <vt:variant>
        <vt:i4>327</vt:i4>
      </vt:variant>
      <vt:variant>
        <vt:i4>0</vt:i4>
      </vt:variant>
      <vt:variant>
        <vt:i4>5</vt:i4>
      </vt:variant>
      <vt:variant>
        <vt:lpwstr>http://www.nevo.co.il/case/27697597</vt:lpwstr>
      </vt:variant>
      <vt:variant>
        <vt:lpwstr/>
      </vt:variant>
      <vt:variant>
        <vt:i4>6750270</vt:i4>
      </vt:variant>
      <vt:variant>
        <vt:i4>324</vt:i4>
      </vt:variant>
      <vt:variant>
        <vt:i4>0</vt:i4>
      </vt:variant>
      <vt:variant>
        <vt:i4>5</vt:i4>
      </vt:variant>
      <vt:variant>
        <vt:lpwstr>http://www.nevo.co.il/law/70301/329.a.2</vt:lpwstr>
      </vt:variant>
      <vt:variant>
        <vt:lpwstr/>
      </vt:variant>
      <vt:variant>
        <vt:i4>6684794</vt:i4>
      </vt:variant>
      <vt:variant>
        <vt:i4>321</vt:i4>
      </vt:variant>
      <vt:variant>
        <vt:i4>0</vt:i4>
      </vt:variant>
      <vt:variant>
        <vt:i4>5</vt:i4>
      </vt:variant>
      <vt:variant>
        <vt:lpwstr>http://www.nevo.co.il/law/70301/332a.a</vt:lpwstr>
      </vt:variant>
      <vt:variant>
        <vt:lpwstr/>
      </vt:variant>
      <vt:variant>
        <vt:i4>3407987</vt:i4>
      </vt:variant>
      <vt:variant>
        <vt:i4>318</vt:i4>
      </vt:variant>
      <vt:variant>
        <vt:i4>0</vt:i4>
      </vt:variant>
      <vt:variant>
        <vt:i4>5</vt:i4>
      </vt:variant>
      <vt:variant>
        <vt:lpwstr>http://www.nevo.co.il/case/27700018</vt:lpwstr>
      </vt:variant>
      <vt:variant>
        <vt:lpwstr/>
      </vt:variant>
      <vt:variant>
        <vt:i4>3539060</vt:i4>
      </vt:variant>
      <vt:variant>
        <vt:i4>315</vt:i4>
      </vt:variant>
      <vt:variant>
        <vt:i4>0</vt:i4>
      </vt:variant>
      <vt:variant>
        <vt:i4>5</vt:i4>
      </vt:variant>
      <vt:variant>
        <vt:lpwstr>http://www.nevo.co.il/case/28889052</vt:lpwstr>
      </vt:variant>
      <vt:variant>
        <vt:lpwstr/>
      </vt:variant>
      <vt:variant>
        <vt:i4>3407996</vt:i4>
      </vt:variant>
      <vt:variant>
        <vt:i4>312</vt:i4>
      </vt:variant>
      <vt:variant>
        <vt:i4>0</vt:i4>
      </vt:variant>
      <vt:variant>
        <vt:i4>5</vt:i4>
      </vt:variant>
      <vt:variant>
        <vt:lpwstr>http://www.nevo.co.il/case/29591824</vt:lpwstr>
      </vt:variant>
      <vt:variant>
        <vt:lpwstr/>
      </vt:variant>
      <vt:variant>
        <vt:i4>3473532</vt:i4>
      </vt:variant>
      <vt:variant>
        <vt:i4>309</vt:i4>
      </vt:variant>
      <vt:variant>
        <vt:i4>0</vt:i4>
      </vt:variant>
      <vt:variant>
        <vt:i4>5</vt:i4>
      </vt:variant>
      <vt:variant>
        <vt:lpwstr>http://www.nevo.co.il/case/28296934</vt:lpwstr>
      </vt:variant>
      <vt:variant>
        <vt:lpwstr/>
      </vt:variant>
      <vt:variant>
        <vt:i4>3211377</vt:i4>
      </vt:variant>
      <vt:variant>
        <vt:i4>306</vt:i4>
      </vt:variant>
      <vt:variant>
        <vt:i4>0</vt:i4>
      </vt:variant>
      <vt:variant>
        <vt:i4>5</vt:i4>
      </vt:variant>
      <vt:variant>
        <vt:lpwstr>http://www.nevo.co.il/case/28681545</vt:lpwstr>
      </vt:variant>
      <vt:variant>
        <vt:lpwstr/>
      </vt:variant>
      <vt:variant>
        <vt:i4>3866744</vt:i4>
      </vt:variant>
      <vt:variant>
        <vt:i4>303</vt:i4>
      </vt:variant>
      <vt:variant>
        <vt:i4>0</vt:i4>
      </vt:variant>
      <vt:variant>
        <vt:i4>5</vt:i4>
      </vt:variant>
      <vt:variant>
        <vt:lpwstr>http://www.nevo.co.il/case/29922728</vt:lpwstr>
      </vt:variant>
      <vt:variant>
        <vt:lpwstr/>
      </vt:variant>
      <vt:variant>
        <vt:i4>3670143</vt:i4>
      </vt:variant>
      <vt:variant>
        <vt:i4>300</vt:i4>
      </vt:variant>
      <vt:variant>
        <vt:i4>0</vt:i4>
      </vt:variant>
      <vt:variant>
        <vt:i4>5</vt:i4>
      </vt:variant>
      <vt:variant>
        <vt:lpwstr>http://www.nevo.co.il/case/20923902</vt:lpwstr>
      </vt:variant>
      <vt:variant>
        <vt:lpwstr/>
      </vt:variant>
      <vt:variant>
        <vt:i4>4063358</vt:i4>
      </vt:variant>
      <vt:variant>
        <vt:i4>297</vt:i4>
      </vt:variant>
      <vt:variant>
        <vt:i4>0</vt:i4>
      </vt:variant>
      <vt:variant>
        <vt:i4>5</vt:i4>
      </vt:variant>
      <vt:variant>
        <vt:lpwstr>http://www.nevo.co.il/case/26489415</vt:lpwstr>
      </vt:variant>
      <vt:variant>
        <vt:lpwstr/>
      </vt:variant>
      <vt:variant>
        <vt:i4>3866744</vt:i4>
      </vt:variant>
      <vt:variant>
        <vt:i4>294</vt:i4>
      </vt:variant>
      <vt:variant>
        <vt:i4>0</vt:i4>
      </vt:variant>
      <vt:variant>
        <vt:i4>5</vt:i4>
      </vt:variant>
      <vt:variant>
        <vt:lpwstr>http://www.nevo.co.il/case/29922728</vt:lpwstr>
      </vt:variant>
      <vt:variant>
        <vt:lpwstr/>
      </vt:variant>
      <vt:variant>
        <vt:i4>3473532</vt:i4>
      </vt:variant>
      <vt:variant>
        <vt:i4>291</vt:i4>
      </vt:variant>
      <vt:variant>
        <vt:i4>0</vt:i4>
      </vt:variant>
      <vt:variant>
        <vt:i4>5</vt:i4>
      </vt:variant>
      <vt:variant>
        <vt:lpwstr>http://www.nevo.co.il/case/28296934</vt:lpwstr>
      </vt:variant>
      <vt:variant>
        <vt:lpwstr/>
      </vt:variant>
      <vt:variant>
        <vt:i4>6291553</vt:i4>
      </vt:variant>
      <vt:variant>
        <vt:i4>288</vt:i4>
      </vt:variant>
      <vt:variant>
        <vt:i4>0</vt:i4>
      </vt:variant>
      <vt:variant>
        <vt:i4>5</vt:i4>
      </vt:variant>
      <vt:variant>
        <vt:lpwstr>http://www.nevo.co.il/law/70301/452</vt:lpwstr>
      </vt:variant>
      <vt:variant>
        <vt:lpwstr/>
      </vt:variant>
      <vt:variant>
        <vt:i4>7995492</vt:i4>
      </vt:variant>
      <vt:variant>
        <vt:i4>285</vt:i4>
      </vt:variant>
      <vt:variant>
        <vt:i4>0</vt:i4>
      </vt:variant>
      <vt:variant>
        <vt:i4>5</vt:i4>
      </vt:variant>
      <vt:variant>
        <vt:lpwstr>http://www.nevo.co.il/law/70301</vt:lpwstr>
      </vt:variant>
      <vt:variant>
        <vt:lpwstr/>
      </vt:variant>
      <vt:variant>
        <vt:i4>7143526</vt:i4>
      </vt:variant>
      <vt:variant>
        <vt:i4>282</vt:i4>
      </vt:variant>
      <vt:variant>
        <vt:i4>0</vt:i4>
      </vt:variant>
      <vt:variant>
        <vt:i4>5</vt:i4>
      </vt:variant>
      <vt:variant>
        <vt:lpwstr>http://www.nevo.co.il/law/70301/384</vt:lpwstr>
      </vt:variant>
      <vt:variant>
        <vt:lpwstr/>
      </vt:variant>
      <vt:variant>
        <vt:i4>7995492</vt:i4>
      </vt:variant>
      <vt:variant>
        <vt:i4>279</vt:i4>
      </vt:variant>
      <vt:variant>
        <vt:i4>0</vt:i4>
      </vt:variant>
      <vt:variant>
        <vt:i4>5</vt:i4>
      </vt:variant>
      <vt:variant>
        <vt:lpwstr>http://www.nevo.co.il/law/70301</vt:lpwstr>
      </vt:variant>
      <vt:variant>
        <vt:lpwstr/>
      </vt:variant>
      <vt:variant>
        <vt:i4>7077991</vt:i4>
      </vt:variant>
      <vt:variant>
        <vt:i4>276</vt:i4>
      </vt:variant>
      <vt:variant>
        <vt:i4>0</vt:i4>
      </vt:variant>
      <vt:variant>
        <vt:i4>5</vt:i4>
      </vt:variant>
      <vt:variant>
        <vt:lpwstr>http://www.nevo.co.il/law/70301/29</vt:lpwstr>
      </vt:variant>
      <vt:variant>
        <vt:lpwstr/>
      </vt:variant>
      <vt:variant>
        <vt:i4>4915287</vt:i4>
      </vt:variant>
      <vt:variant>
        <vt:i4>273</vt:i4>
      </vt:variant>
      <vt:variant>
        <vt:i4>0</vt:i4>
      </vt:variant>
      <vt:variant>
        <vt:i4>5</vt:i4>
      </vt:variant>
      <vt:variant>
        <vt:lpwstr>http://www.nevo.co.il/law/70301/406.b</vt:lpwstr>
      </vt:variant>
      <vt:variant>
        <vt:lpwstr/>
      </vt:variant>
      <vt:variant>
        <vt:i4>7077988</vt:i4>
      </vt:variant>
      <vt:variant>
        <vt:i4>270</vt:i4>
      </vt:variant>
      <vt:variant>
        <vt:i4>0</vt:i4>
      </vt:variant>
      <vt:variant>
        <vt:i4>5</vt:i4>
      </vt:variant>
      <vt:variant>
        <vt:lpwstr>http://www.nevo.co.il/law/70301/192</vt:lpwstr>
      </vt:variant>
      <vt:variant>
        <vt:lpwstr/>
      </vt:variant>
      <vt:variant>
        <vt:i4>6422648</vt:i4>
      </vt:variant>
      <vt:variant>
        <vt:i4>267</vt:i4>
      </vt:variant>
      <vt:variant>
        <vt:i4>0</vt:i4>
      </vt:variant>
      <vt:variant>
        <vt:i4>5</vt:i4>
      </vt:variant>
      <vt:variant>
        <vt:lpwstr>http://www.nevo.co.il/law/70301/340a.b</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720981</vt:i4>
      </vt:variant>
      <vt:variant>
        <vt:i4>261</vt:i4>
      </vt:variant>
      <vt:variant>
        <vt:i4>0</vt:i4>
      </vt:variant>
      <vt:variant>
        <vt:i4>5</vt:i4>
      </vt:variant>
      <vt:variant>
        <vt:lpwstr>http://www.nevo.co.il/law/70301/144f.a.;144b</vt:lpwstr>
      </vt:variant>
      <vt:variant>
        <vt:lpwstr/>
      </vt:variant>
      <vt:variant>
        <vt:i4>7077991</vt:i4>
      </vt:variant>
      <vt:variant>
        <vt:i4>258</vt:i4>
      </vt:variant>
      <vt:variant>
        <vt:i4>0</vt:i4>
      </vt:variant>
      <vt:variant>
        <vt:i4>5</vt:i4>
      </vt:variant>
      <vt:variant>
        <vt:lpwstr>http://www.nevo.co.il/law/70301/29</vt:lpwstr>
      </vt:variant>
      <vt:variant>
        <vt:lpwstr/>
      </vt:variant>
      <vt:variant>
        <vt:i4>7077988</vt:i4>
      </vt:variant>
      <vt:variant>
        <vt:i4>255</vt:i4>
      </vt:variant>
      <vt:variant>
        <vt:i4>0</vt:i4>
      </vt:variant>
      <vt:variant>
        <vt:i4>5</vt:i4>
      </vt:variant>
      <vt:variant>
        <vt:lpwstr>http://www.nevo.co.il/law/70301/192</vt:lpwstr>
      </vt:variant>
      <vt:variant>
        <vt:lpwstr/>
      </vt:variant>
      <vt:variant>
        <vt:i4>7077991</vt:i4>
      </vt:variant>
      <vt:variant>
        <vt:i4>252</vt:i4>
      </vt:variant>
      <vt:variant>
        <vt:i4>0</vt:i4>
      </vt:variant>
      <vt:variant>
        <vt:i4>5</vt:i4>
      </vt:variant>
      <vt:variant>
        <vt:lpwstr>http://www.nevo.co.il/law/70301/29</vt:lpwstr>
      </vt:variant>
      <vt:variant>
        <vt:lpwstr/>
      </vt:variant>
      <vt:variant>
        <vt:i4>5177430</vt:i4>
      </vt:variant>
      <vt:variant>
        <vt:i4>249</vt:i4>
      </vt:variant>
      <vt:variant>
        <vt:i4>0</vt:i4>
      </vt:variant>
      <vt:variant>
        <vt:i4>5</vt:i4>
      </vt:variant>
      <vt:variant>
        <vt:lpwstr>http://www.nevo.co.il/law/70301/340.a</vt:lpwstr>
      </vt:variant>
      <vt:variant>
        <vt:lpwstr/>
      </vt:variant>
      <vt:variant>
        <vt:i4>7077991</vt:i4>
      </vt:variant>
      <vt:variant>
        <vt:i4>246</vt:i4>
      </vt:variant>
      <vt:variant>
        <vt:i4>0</vt:i4>
      </vt:variant>
      <vt:variant>
        <vt:i4>5</vt:i4>
      </vt:variant>
      <vt:variant>
        <vt:lpwstr>http://www.nevo.co.il/law/70301/29</vt:lpwstr>
      </vt:variant>
      <vt:variant>
        <vt:lpwstr/>
      </vt:variant>
      <vt:variant>
        <vt:i4>5570632</vt:i4>
      </vt:variant>
      <vt:variant>
        <vt:i4>243</vt:i4>
      </vt:variant>
      <vt:variant>
        <vt:i4>0</vt:i4>
      </vt:variant>
      <vt:variant>
        <vt:i4>5</vt:i4>
      </vt:variant>
      <vt:variant>
        <vt:lpwstr>http://www.nevo.co.il/law/141771/30.a</vt:lpwstr>
      </vt:variant>
      <vt:variant>
        <vt:lpwstr/>
      </vt:variant>
      <vt:variant>
        <vt:i4>8061048</vt:i4>
      </vt:variant>
      <vt:variant>
        <vt:i4>240</vt:i4>
      </vt:variant>
      <vt:variant>
        <vt:i4>0</vt:i4>
      </vt:variant>
      <vt:variant>
        <vt:i4>5</vt:i4>
      </vt:variant>
      <vt:variant>
        <vt:lpwstr>http://www.nevo.co.il/law/141771/37</vt:lpwstr>
      </vt:variant>
      <vt:variant>
        <vt:lpwstr/>
      </vt:variant>
      <vt:variant>
        <vt:i4>7077991</vt:i4>
      </vt:variant>
      <vt:variant>
        <vt:i4>237</vt:i4>
      </vt:variant>
      <vt:variant>
        <vt:i4>0</vt:i4>
      </vt:variant>
      <vt:variant>
        <vt:i4>5</vt:i4>
      </vt:variant>
      <vt:variant>
        <vt:lpwstr>http://www.nevo.co.il/law/70301/29</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6750270</vt:i4>
      </vt:variant>
      <vt:variant>
        <vt:i4>231</vt:i4>
      </vt:variant>
      <vt:variant>
        <vt:i4>0</vt:i4>
      </vt:variant>
      <vt:variant>
        <vt:i4>5</vt:i4>
      </vt:variant>
      <vt:variant>
        <vt:lpwstr>http://www.nevo.co.il/law/70301/329.a.2</vt:lpwstr>
      </vt:variant>
      <vt:variant>
        <vt:lpwstr/>
      </vt:variant>
      <vt:variant>
        <vt:i4>7077991</vt:i4>
      </vt:variant>
      <vt:variant>
        <vt:i4>228</vt:i4>
      </vt:variant>
      <vt:variant>
        <vt:i4>0</vt:i4>
      </vt:variant>
      <vt:variant>
        <vt:i4>5</vt:i4>
      </vt:variant>
      <vt:variant>
        <vt:lpwstr>http://www.nevo.co.il/law/70301/29</vt:lpwstr>
      </vt:variant>
      <vt:variant>
        <vt:lpwstr/>
      </vt:variant>
      <vt:variant>
        <vt:i4>196690</vt:i4>
      </vt:variant>
      <vt:variant>
        <vt:i4>225</vt:i4>
      </vt:variant>
      <vt:variant>
        <vt:i4>0</vt:i4>
      </vt:variant>
      <vt:variant>
        <vt:i4>5</vt:i4>
      </vt:variant>
      <vt:variant>
        <vt:lpwstr>http://www.nevo.co.il/law/70301/275a</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6291556</vt:i4>
      </vt:variant>
      <vt:variant>
        <vt:i4>219</vt:i4>
      </vt:variant>
      <vt:variant>
        <vt:i4>0</vt:i4>
      </vt:variant>
      <vt:variant>
        <vt:i4>5</vt:i4>
      </vt:variant>
      <vt:variant>
        <vt:lpwstr>http://www.nevo.co.il/law/70301/152</vt:lpwstr>
      </vt:variant>
      <vt:variant>
        <vt:lpwstr/>
      </vt:variant>
      <vt:variant>
        <vt:i4>7995492</vt:i4>
      </vt:variant>
      <vt:variant>
        <vt:i4>216</vt:i4>
      </vt:variant>
      <vt:variant>
        <vt:i4>0</vt:i4>
      </vt:variant>
      <vt:variant>
        <vt:i4>5</vt:i4>
      </vt:variant>
      <vt:variant>
        <vt:lpwstr>http://www.nevo.co.il/law/70301</vt:lpwstr>
      </vt:variant>
      <vt:variant>
        <vt:lpwstr/>
      </vt:variant>
      <vt:variant>
        <vt:i4>5177424</vt:i4>
      </vt:variant>
      <vt:variant>
        <vt:i4>213</vt:i4>
      </vt:variant>
      <vt:variant>
        <vt:i4>0</vt:i4>
      </vt:variant>
      <vt:variant>
        <vt:i4>5</vt:i4>
      </vt:variant>
      <vt:variant>
        <vt:lpwstr>http://www.nevo.co.il/law/70301/144.a</vt:lpwstr>
      </vt:variant>
      <vt:variant>
        <vt:lpwstr/>
      </vt:variant>
      <vt:variant>
        <vt:i4>7995492</vt:i4>
      </vt:variant>
      <vt:variant>
        <vt:i4>210</vt:i4>
      </vt:variant>
      <vt:variant>
        <vt:i4>0</vt:i4>
      </vt:variant>
      <vt:variant>
        <vt:i4>5</vt:i4>
      </vt:variant>
      <vt:variant>
        <vt:lpwstr>http://www.nevo.co.il/law/70301</vt:lpwstr>
      </vt:variant>
      <vt:variant>
        <vt:lpwstr/>
      </vt:variant>
      <vt:variant>
        <vt:i4>7077991</vt:i4>
      </vt:variant>
      <vt:variant>
        <vt:i4>207</vt:i4>
      </vt:variant>
      <vt:variant>
        <vt:i4>0</vt:i4>
      </vt:variant>
      <vt:variant>
        <vt:i4>5</vt:i4>
      </vt:variant>
      <vt:variant>
        <vt:lpwstr>http://www.nevo.co.il/law/70301/29</vt:lpwstr>
      </vt:variant>
      <vt:variant>
        <vt:lpwstr/>
      </vt:variant>
      <vt:variant>
        <vt:i4>458832</vt:i4>
      </vt:variant>
      <vt:variant>
        <vt:i4>204</vt:i4>
      </vt:variant>
      <vt:variant>
        <vt:i4>0</vt:i4>
      </vt:variant>
      <vt:variant>
        <vt:i4>5</vt:i4>
      </vt:variant>
      <vt:variant>
        <vt:lpwstr>http://www.nevo.co.il/law/70301/144f</vt:lpwstr>
      </vt:variant>
      <vt:variant>
        <vt:lpwstr/>
      </vt:variant>
      <vt:variant>
        <vt:i4>6291553</vt:i4>
      </vt:variant>
      <vt:variant>
        <vt:i4>201</vt:i4>
      </vt:variant>
      <vt:variant>
        <vt:i4>0</vt:i4>
      </vt:variant>
      <vt:variant>
        <vt:i4>5</vt:i4>
      </vt:variant>
      <vt:variant>
        <vt:lpwstr>http://www.nevo.co.il/law/70301/452</vt:lpwstr>
      </vt:variant>
      <vt:variant>
        <vt:lpwstr/>
      </vt:variant>
      <vt:variant>
        <vt:i4>7077991</vt:i4>
      </vt:variant>
      <vt:variant>
        <vt:i4>198</vt:i4>
      </vt:variant>
      <vt:variant>
        <vt:i4>0</vt:i4>
      </vt:variant>
      <vt:variant>
        <vt:i4>5</vt:i4>
      </vt:variant>
      <vt:variant>
        <vt:lpwstr>http://www.nevo.co.il/law/70301/29</vt:lpwstr>
      </vt:variant>
      <vt:variant>
        <vt:lpwstr/>
      </vt:variant>
      <vt:variant>
        <vt:i4>7077988</vt:i4>
      </vt:variant>
      <vt:variant>
        <vt:i4>195</vt:i4>
      </vt:variant>
      <vt:variant>
        <vt:i4>0</vt:i4>
      </vt:variant>
      <vt:variant>
        <vt:i4>5</vt:i4>
      </vt:variant>
      <vt:variant>
        <vt:lpwstr>http://www.nevo.co.il/law/70301/192</vt:lpwstr>
      </vt:variant>
      <vt:variant>
        <vt:lpwstr/>
      </vt:variant>
      <vt:variant>
        <vt:i4>7077991</vt:i4>
      </vt:variant>
      <vt:variant>
        <vt:i4>192</vt:i4>
      </vt:variant>
      <vt:variant>
        <vt:i4>0</vt:i4>
      </vt:variant>
      <vt:variant>
        <vt:i4>5</vt:i4>
      </vt:variant>
      <vt:variant>
        <vt:lpwstr>http://www.nevo.co.il/law/70301/29</vt:lpwstr>
      </vt:variant>
      <vt:variant>
        <vt:lpwstr/>
      </vt:variant>
      <vt:variant>
        <vt:i4>5177430</vt:i4>
      </vt:variant>
      <vt:variant>
        <vt:i4>189</vt:i4>
      </vt:variant>
      <vt:variant>
        <vt:i4>0</vt:i4>
      </vt:variant>
      <vt:variant>
        <vt:i4>5</vt:i4>
      </vt:variant>
      <vt:variant>
        <vt:lpwstr>http://www.nevo.co.il/law/70301/340.a</vt:lpwstr>
      </vt:variant>
      <vt:variant>
        <vt:lpwstr/>
      </vt:variant>
      <vt:variant>
        <vt:i4>7077991</vt:i4>
      </vt:variant>
      <vt:variant>
        <vt:i4>186</vt:i4>
      </vt:variant>
      <vt:variant>
        <vt:i4>0</vt:i4>
      </vt:variant>
      <vt:variant>
        <vt:i4>5</vt:i4>
      </vt:variant>
      <vt:variant>
        <vt:lpwstr>http://www.nevo.co.il/law/70301/29</vt:lpwstr>
      </vt:variant>
      <vt:variant>
        <vt:lpwstr/>
      </vt:variant>
      <vt:variant>
        <vt:i4>5570632</vt:i4>
      </vt:variant>
      <vt:variant>
        <vt:i4>183</vt:i4>
      </vt:variant>
      <vt:variant>
        <vt:i4>0</vt:i4>
      </vt:variant>
      <vt:variant>
        <vt:i4>5</vt:i4>
      </vt:variant>
      <vt:variant>
        <vt:lpwstr>http://www.nevo.co.il/law/141771/30.a</vt:lpwstr>
      </vt:variant>
      <vt:variant>
        <vt:lpwstr/>
      </vt:variant>
      <vt:variant>
        <vt:i4>8061048</vt:i4>
      </vt:variant>
      <vt:variant>
        <vt:i4>180</vt:i4>
      </vt:variant>
      <vt:variant>
        <vt:i4>0</vt:i4>
      </vt:variant>
      <vt:variant>
        <vt:i4>5</vt:i4>
      </vt:variant>
      <vt:variant>
        <vt:lpwstr>http://www.nevo.co.il/law/141771/37</vt:lpwstr>
      </vt:variant>
      <vt:variant>
        <vt:lpwstr/>
      </vt:variant>
      <vt:variant>
        <vt:i4>7077991</vt:i4>
      </vt:variant>
      <vt:variant>
        <vt:i4>177</vt:i4>
      </vt:variant>
      <vt:variant>
        <vt:i4>0</vt:i4>
      </vt:variant>
      <vt:variant>
        <vt:i4>5</vt:i4>
      </vt:variant>
      <vt:variant>
        <vt:lpwstr>http://www.nevo.co.il/law/70301/29</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6750270</vt:i4>
      </vt:variant>
      <vt:variant>
        <vt:i4>171</vt:i4>
      </vt:variant>
      <vt:variant>
        <vt:i4>0</vt:i4>
      </vt:variant>
      <vt:variant>
        <vt:i4>5</vt:i4>
      </vt:variant>
      <vt:variant>
        <vt:lpwstr>http://www.nevo.co.il/law/70301/329.a.2</vt:lpwstr>
      </vt:variant>
      <vt:variant>
        <vt:lpwstr/>
      </vt:variant>
      <vt:variant>
        <vt:i4>7077991</vt:i4>
      </vt:variant>
      <vt:variant>
        <vt:i4>168</vt:i4>
      </vt:variant>
      <vt:variant>
        <vt:i4>0</vt:i4>
      </vt:variant>
      <vt:variant>
        <vt:i4>5</vt:i4>
      </vt:variant>
      <vt:variant>
        <vt:lpwstr>http://www.nevo.co.il/law/70301/29</vt:lpwstr>
      </vt:variant>
      <vt:variant>
        <vt:lpwstr/>
      </vt:variant>
      <vt:variant>
        <vt:i4>458832</vt:i4>
      </vt:variant>
      <vt:variant>
        <vt:i4>165</vt:i4>
      </vt:variant>
      <vt:variant>
        <vt:i4>0</vt:i4>
      </vt:variant>
      <vt:variant>
        <vt:i4>5</vt:i4>
      </vt:variant>
      <vt:variant>
        <vt:lpwstr>http://www.nevo.co.il/law/70301/144f</vt:lpwstr>
      </vt:variant>
      <vt:variant>
        <vt:lpwstr/>
      </vt:variant>
      <vt:variant>
        <vt:i4>5111890</vt:i4>
      </vt:variant>
      <vt:variant>
        <vt:i4>162</vt:i4>
      </vt:variant>
      <vt:variant>
        <vt:i4>0</vt:i4>
      </vt:variant>
      <vt:variant>
        <vt:i4>5</vt:i4>
      </vt:variant>
      <vt:variant>
        <vt:lpwstr>http://www.nevo.co.il/law/70301/453.c</vt:lpwstr>
      </vt:variant>
      <vt:variant>
        <vt:lpwstr/>
      </vt:variant>
      <vt:variant>
        <vt:i4>7995492</vt:i4>
      </vt:variant>
      <vt:variant>
        <vt:i4>159</vt:i4>
      </vt:variant>
      <vt:variant>
        <vt:i4>0</vt:i4>
      </vt:variant>
      <vt:variant>
        <vt:i4>5</vt:i4>
      </vt:variant>
      <vt:variant>
        <vt:lpwstr>http://www.nevo.co.il/law/70301</vt:lpwstr>
      </vt:variant>
      <vt:variant>
        <vt:lpwstr/>
      </vt:variant>
      <vt:variant>
        <vt:i4>7077991</vt:i4>
      </vt:variant>
      <vt:variant>
        <vt:i4>156</vt:i4>
      </vt:variant>
      <vt:variant>
        <vt:i4>0</vt:i4>
      </vt:variant>
      <vt:variant>
        <vt:i4>5</vt:i4>
      </vt:variant>
      <vt:variant>
        <vt:lpwstr>http://www.nevo.co.il/law/70301/29</vt:lpwstr>
      </vt:variant>
      <vt:variant>
        <vt:lpwstr/>
      </vt:variant>
      <vt:variant>
        <vt:i4>5177433</vt:i4>
      </vt:variant>
      <vt:variant>
        <vt:i4>153</vt:i4>
      </vt:variant>
      <vt:variant>
        <vt:i4>0</vt:i4>
      </vt:variant>
      <vt:variant>
        <vt:i4>5</vt:i4>
      </vt:variant>
      <vt:variant>
        <vt:lpwstr>http://www.nevo.co.il/law/70301/448.a</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458832</vt:i4>
      </vt:variant>
      <vt:variant>
        <vt:i4>147</vt:i4>
      </vt:variant>
      <vt:variant>
        <vt:i4>0</vt:i4>
      </vt:variant>
      <vt:variant>
        <vt:i4>5</vt:i4>
      </vt:variant>
      <vt:variant>
        <vt:lpwstr>http://www.nevo.co.il/law/70301/144f</vt:lpwstr>
      </vt:variant>
      <vt:variant>
        <vt:lpwstr/>
      </vt:variant>
      <vt:variant>
        <vt:i4>6291553</vt:i4>
      </vt:variant>
      <vt:variant>
        <vt:i4>144</vt:i4>
      </vt:variant>
      <vt:variant>
        <vt:i4>0</vt:i4>
      </vt:variant>
      <vt:variant>
        <vt:i4>5</vt:i4>
      </vt:variant>
      <vt:variant>
        <vt:lpwstr>http://www.nevo.co.il/law/70301/452</vt:lpwstr>
      </vt:variant>
      <vt:variant>
        <vt:lpwstr/>
      </vt:variant>
      <vt:variant>
        <vt:i4>458832</vt:i4>
      </vt:variant>
      <vt:variant>
        <vt:i4>141</vt:i4>
      </vt:variant>
      <vt:variant>
        <vt:i4>0</vt:i4>
      </vt:variant>
      <vt:variant>
        <vt:i4>5</vt:i4>
      </vt:variant>
      <vt:variant>
        <vt:lpwstr>http://www.nevo.co.il/law/70301/144f</vt:lpwstr>
      </vt:variant>
      <vt:variant>
        <vt:lpwstr/>
      </vt:variant>
      <vt:variant>
        <vt:i4>6291556</vt:i4>
      </vt:variant>
      <vt:variant>
        <vt:i4>138</vt:i4>
      </vt:variant>
      <vt:variant>
        <vt:i4>0</vt:i4>
      </vt:variant>
      <vt:variant>
        <vt:i4>5</vt:i4>
      </vt:variant>
      <vt:variant>
        <vt:lpwstr>http://www.nevo.co.il/law/70301/157</vt:lpwstr>
      </vt:variant>
      <vt:variant>
        <vt:lpwstr/>
      </vt:variant>
      <vt:variant>
        <vt:i4>8061048</vt:i4>
      </vt:variant>
      <vt:variant>
        <vt:i4>135</vt:i4>
      </vt:variant>
      <vt:variant>
        <vt:i4>0</vt:i4>
      </vt:variant>
      <vt:variant>
        <vt:i4>5</vt:i4>
      </vt:variant>
      <vt:variant>
        <vt:lpwstr>http://www.nevo.co.il/law/141771/37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7077991</vt:i4>
      </vt:variant>
      <vt:variant>
        <vt:i4>129</vt:i4>
      </vt:variant>
      <vt:variant>
        <vt:i4>0</vt:i4>
      </vt:variant>
      <vt:variant>
        <vt:i4>5</vt:i4>
      </vt:variant>
      <vt:variant>
        <vt:lpwstr>http://www.nevo.co.il/law/70301/29</vt:lpwstr>
      </vt:variant>
      <vt:variant>
        <vt:lpwstr/>
      </vt:variant>
      <vt:variant>
        <vt:i4>5177433</vt:i4>
      </vt:variant>
      <vt:variant>
        <vt:i4>126</vt:i4>
      </vt:variant>
      <vt:variant>
        <vt:i4>0</vt:i4>
      </vt:variant>
      <vt:variant>
        <vt:i4>5</vt:i4>
      </vt:variant>
      <vt:variant>
        <vt:lpwstr>http://www.nevo.co.il/law/70301/448.a</vt:lpwstr>
      </vt:variant>
      <vt:variant>
        <vt:lpwstr/>
      </vt:variant>
      <vt:variant>
        <vt:i4>6422631</vt:i4>
      </vt:variant>
      <vt:variant>
        <vt:i4>123</vt:i4>
      </vt:variant>
      <vt:variant>
        <vt:i4>0</vt:i4>
      </vt:variant>
      <vt:variant>
        <vt:i4>5</vt:i4>
      </vt:variant>
      <vt:variant>
        <vt:lpwstr>http://www.nevo.co.il/law/70301/275</vt:lpwstr>
      </vt:variant>
      <vt:variant>
        <vt:lpwstr/>
      </vt:variant>
      <vt:variant>
        <vt:i4>6291559</vt:i4>
      </vt:variant>
      <vt:variant>
        <vt:i4>120</vt:i4>
      </vt:variant>
      <vt:variant>
        <vt:i4>0</vt:i4>
      </vt:variant>
      <vt:variant>
        <vt:i4>5</vt:i4>
      </vt:variant>
      <vt:variant>
        <vt:lpwstr>http://www.nevo.co.il/law/70301/25</vt:lpwstr>
      </vt:variant>
      <vt:variant>
        <vt:lpwstr/>
      </vt:variant>
      <vt:variant>
        <vt:i4>6422631</vt:i4>
      </vt:variant>
      <vt:variant>
        <vt:i4>117</vt:i4>
      </vt:variant>
      <vt:variant>
        <vt:i4>0</vt:i4>
      </vt:variant>
      <vt:variant>
        <vt:i4>5</vt:i4>
      </vt:variant>
      <vt:variant>
        <vt:lpwstr>http://www.nevo.co.il/law/70301/274</vt:lpwstr>
      </vt:variant>
      <vt:variant>
        <vt:lpwstr/>
      </vt:variant>
      <vt:variant>
        <vt:i4>6684735</vt:i4>
      </vt:variant>
      <vt:variant>
        <vt:i4>114</vt:i4>
      </vt:variant>
      <vt:variant>
        <vt:i4>0</vt:i4>
      </vt:variant>
      <vt:variant>
        <vt:i4>5</vt:i4>
      </vt:variant>
      <vt:variant>
        <vt:lpwstr>http://www.nevo.co.il/law/70301/338.a.3</vt:lpwstr>
      </vt:variant>
      <vt:variant>
        <vt:lpwstr/>
      </vt:variant>
      <vt:variant>
        <vt:i4>6291556</vt:i4>
      </vt:variant>
      <vt:variant>
        <vt:i4>111</vt:i4>
      </vt:variant>
      <vt:variant>
        <vt:i4>0</vt:i4>
      </vt:variant>
      <vt:variant>
        <vt:i4>5</vt:i4>
      </vt:variant>
      <vt:variant>
        <vt:lpwstr>http://www.nevo.co.il/law/70301/152</vt:lpwstr>
      </vt:variant>
      <vt:variant>
        <vt:lpwstr/>
      </vt:variant>
      <vt:variant>
        <vt:i4>4718679</vt:i4>
      </vt:variant>
      <vt:variant>
        <vt:i4>108</vt:i4>
      </vt:variant>
      <vt:variant>
        <vt:i4>0</vt:i4>
      </vt:variant>
      <vt:variant>
        <vt:i4>5</vt:i4>
      </vt:variant>
      <vt:variant>
        <vt:lpwstr>http://www.nevo.co.il/law/141771</vt:lpwstr>
      </vt:variant>
      <vt:variant>
        <vt:lpwstr/>
      </vt:variant>
      <vt:variant>
        <vt:i4>5570632</vt:i4>
      </vt:variant>
      <vt:variant>
        <vt:i4>105</vt:i4>
      </vt:variant>
      <vt:variant>
        <vt:i4>0</vt:i4>
      </vt:variant>
      <vt:variant>
        <vt:i4>5</vt:i4>
      </vt:variant>
      <vt:variant>
        <vt:lpwstr>http://www.nevo.co.il/law/141771/30.a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6750270</vt:i4>
      </vt:variant>
      <vt:variant>
        <vt:i4>99</vt:i4>
      </vt:variant>
      <vt:variant>
        <vt:i4>0</vt:i4>
      </vt:variant>
      <vt:variant>
        <vt:i4>5</vt:i4>
      </vt:variant>
      <vt:variant>
        <vt:lpwstr>http://www.nevo.co.il/law/70301/329.a.2</vt:lpwstr>
      </vt:variant>
      <vt:variant>
        <vt:lpwstr/>
      </vt:variant>
      <vt:variant>
        <vt:i4>5570639</vt:i4>
      </vt:variant>
      <vt:variant>
        <vt:i4>96</vt:i4>
      </vt:variant>
      <vt:variant>
        <vt:i4>0</vt:i4>
      </vt:variant>
      <vt:variant>
        <vt:i4>5</vt:i4>
      </vt:variant>
      <vt:variant>
        <vt:lpwstr>http://www.nevo.co.il/law/141771/37.a</vt:lpwstr>
      </vt:variant>
      <vt:variant>
        <vt:lpwstr/>
      </vt:variant>
      <vt:variant>
        <vt:i4>8061048</vt:i4>
      </vt:variant>
      <vt:variant>
        <vt:i4>93</vt:i4>
      </vt:variant>
      <vt:variant>
        <vt:i4>0</vt:i4>
      </vt:variant>
      <vt:variant>
        <vt:i4>5</vt:i4>
      </vt:variant>
      <vt:variant>
        <vt:lpwstr>http://www.nevo.co.il/law/141771/37</vt:lpwstr>
      </vt:variant>
      <vt:variant>
        <vt:lpwstr/>
      </vt:variant>
      <vt:variant>
        <vt:i4>5570632</vt:i4>
      </vt:variant>
      <vt:variant>
        <vt:i4>90</vt:i4>
      </vt:variant>
      <vt:variant>
        <vt:i4>0</vt:i4>
      </vt:variant>
      <vt:variant>
        <vt:i4>5</vt:i4>
      </vt:variant>
      <vt:variant>
        <vt:lpwstr>http://www.nevo.co.il/law/141771/30.a</vt:lpwstr>
      </vt:variant>
      <vt:variant>
        <vt:lpwstr/>
      </vt:variant>
      <vt:variant>
        <vt:i4>4718679</vt:i4>
      </vt:variant>
      <vt:variant>
        <vt:i4>87</vt:i4>
      </vt:variant>
      <vt:variant>
        <vt:i4>0</vt:i4>
      </vt:variant>
      <vt:variant>
        <vt:i4>5</vt:i4>
      </vt:variant>
      <vt:variant>
        <vt:lpwstr>http://www.nevo.co.il/law/141771</vt:lpwstr>
      </vt:variant>
      <vt:variant>
        <vt:lpwstr/>
      </vt:variant>
      <vt:variant>
        <vt:i4>5111890</vt:i4>
      </vt:variant>
      <vt:variant>
        <vt:i4>84</vt:i4>
      </vt:variant>
      <vt:variant>
        <vt:i4>0</vt:i4>
      </vt:variant>
      <vt:variant>
        <vt:i4>5</vt:i4>
      </vt:variant>
      <vt:variant>
        <vt:lpwstr>http://www.nevo.co.il/law/70301/453.c</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5177433</vt:i4>
      </vt:variant>
      <vt:variant>
        <vt:i4>78</vt:i4>
      </vt:variant>
      <vt:variant>
        <vt:i4>0</vt:i4>
      </vt:variant>
      <vt:variant>
        <vt:i4>5</vt:i4>
      </vt:variant>
      <vt:variant>
        <vt:lpwstr>http://www.nevo.co.il/law/70301/448.a</vt:lpwstr>
      </vt:variant>
      <vt:variant>
        <vt:lpwstr/>
      </vt:variant>
      <vt:variant>
        <vt:i4>6619173</vt:i4>
      </vt:variant>
      <vt:variant>
        <vt:i4>75</vt:i4>
      </vt:variant>
      <vt:variant>
        <vt:i4>0</vt:i4>
      </vt:variant>
      <vt:variant>
        <vt:i4>5</vt:i4>
      </vt:variant>
      <vt:variant>
        <vt:lpwstr>http://www.nevo.co.il/law/70301/40jc.c</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4915287</vt:i4>
      </vt:variant>
      <vt:variant>
        <vt:i4>69</vt:i4>
      </vt:variant>
      <vt:variant>
        <vt:i4>0</vt:i4>
      </vt:variant>
      <vt:variant>
        <vt:i4>5</vt:i4>
      </vt:variant>
      <vt:variant>
        <vt:lpwstr>http://www.nevo.co.il/law/70301/406.b</vt:lpwstr>
      </vt:variant>
      <vt:variant>
        <vt:lpwstr/>
      </vt:variant>
      <vt:variant>
        <vt:i4>7143526</vt:i4>
      </vt:variant>
      <vt:variant>
        <vt:i4>66</vt:i4>
      </vt:variant>
      <vt:variant>
        <vt:i4>0</vt:i4>
      </vt:variant>
      <vt:variant>
        <vt:i4>5</vt:i4>
      </vt:variant>
      <vt:variant>
        <vt:lpwstr>http://www.nevo.co.il/law/70301/384</vt:lpwstr>
      </vt:variant>
      <vt:variant>
        <vt:lpwstr/>
      </vt:variant>
      <vt:variant>
        <vt:i4>6422648</vt:i4>
      </vt:variant>
      <vt:variant>
        <vt:i4>63</vt:i4>
      </vt:variant>
      <vt:variant>
        <vt:i4>0</vt:i4>
      </vt:variant>
      <vt:variant>
        <vt:i4>5</vt:i4>
      </vt:variant>
      <vt:variant>
        <vt:lpwstr>http://www.nevo.co.il/law/70301/340a.b</vt:lpwstr>
      </vt:variant>
      <vt:variant>
        <vt:lpwstr/>
      </vt:variant>
      <vt:variant>
        <vt:i4>5177430</vt:i4>
      </vt:variant>
      <vt:variant>
        <vt:i4>60</vt:i4>
      </vt:variant>
      <vt:variant>
        <vt:i4>0</vt:i4>
      </vt:variant>
      <vt:variant>
        <vt:i4>5</vt:i4>
      </vt:variant>
      <vt:variant>
        <vt:lpwstr>http://www.nevo.co.il/law/70301/340.a</vt:lpwstr>
      </vt:variant>
      <vt:variant>
        <vt:lpwstr/>
      </vt:variant>
      <vt:variant>
        <vt:i4>6684735</vt:i4>
      </vt:variant>
      <vt:variant>
        <vt:i4>57</vt:i4>
      </vt:variant>
      <vt:variant>
        <vt:i4>0</vt:i4>
      </vt:variant>
      <vt:variant>
        <vt:i4>5</vt:i4>
      </vt:variant>
      <vt:variant>
        <vt:lpwstr>http://www.nevo.co.il/law/70301/338.a.3</vt:lpwstr>
      </vt:variant>
      <vt:variant>
        <vt:lpwstr/>
      </vt:variant>
      <vt:variant>
        <vt:i4>6684722</vt:i4>
      </vt:variant>
      <vt:variant>
        <vt:i4>54</vt:i4>
      </vt:variant>
      <vt:variant>
        <vt:i4>0</vt:i4>
      </vt:variant>
      <vt:variant>
        <vt:i4>5</vt:i4>
      </vt:variant>
      <vt:variant>
        <vt:lpwstr>http://www.nevo.co.il/law/70301/335.a.1</vt:lpwstr>
      </vt:variant>
      <vt:variant>
        <vt:lpwstr/>
      </vt:variant>
      <vt:variant>
        <vt:i4>6684774</vt:i4>
      </vt:variant>
      <vt:variant>
        <vt:i4>51</vt:i4>
      </vt:variant>
      <vt:variant>
        <vt:i4>0</vt:i4>
      </vt:variant>
      <vt:variant>
        <vt:i4>5</vt:i4>
      </vt:variant>
      <vt:variant>
        <vt:lpwstr>http://www.nevo.co.il/law/70301/333</vt:lpwstr>
      </vt:variant>
      <vt:variant>
        <vt:lpwstr/>
      </vt:variant>
      <vt:variant>
        <vt:i4>6684794</vt:i4>
      </vt:variant>
      <vt:variant>
        <vt:i4>48</vt:i4>
      </vt:variant>
      <vt:variant>
        <vt:i4>0</vt:i4>
      </vt:variant>
      <vt:variant>
        <vt:i4>5</vt:i4>
      </vt:variant>
      <vt:variant>
        <vt:lpwstr>http://www.nevo.co.il/law/70301/332a.a</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6750310</vt:i4>
      </vt:variant>
      <vt:variant>
        <vt:i4>42</vt:i4>
      </vt:variant>
      <vt:variant>
        <vt:i4>0</vt:i4>
      </vt:variant>
      <vt:variant>
        <vt:i4>5</vt:i4>
      </vt:variant>
      <vt:variant>
        <vt:lpwstr>http://www.nevo.co.il/law/70301/329</vt:lpwstr>
      </vt:variant>
      <vt:variant>
        <vt:lpwstr/>
      </vt:variant>
      <vt:variant>
        <vt:i4>196690</vt:i4>
      </vt:variant>
      <vt:variant>
        <vt:i4>39</vt:i4>
      </vt:variant>
      <vt:variant>
        <vt:i4>0</vt:i4>
      </vt:variant>
      <vt:variant>
        <vt:i4>5</vt:i4>
      </vt:variant>
      <vt:variant>
        <vt:lpwstr>http://www.nevo.co.il/law/70301/275a</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6422631</vt:i4>
      </vt:variant>
      <vt:variant>
        <vt:i4>33</vt:i4>
      </vt:variant>
      <vt:variant>
        <vt:i4>0</vt:i4>
      </vt:variant>
      <vt:variant>
        <vt:i4>5</vt:i4>
      </vt:variant>
      <vt:variant>
        <vt:lpwstr>http://www.nevo.co.il/law/70301/274</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6291556</vt:i4>
      </vt:variant>
      <vt:variant>
        <vt:i4>27</vt:i4>
      </vt:variant>
      <vt:variant>
        <vt:i4>0</vt:i4>
      </vt:variant>
      <vt:variant>
        <vt:i4>5</vt:i4>
      </vt:variant>
      <vt:variant>
        <vt:lpwstr>http://www.nevo.co.il/law/70301/157</vt:lpwstr>
      </vt:variant>
      <vt:variant>
        <vt:lpwstr/>
      </vt:variant>
      <vt:variant>
        <vt:i4>6291556</vt:i4>
      </vt:variant>
      <vt:variant>
        <vt:i4>24</vt:i4>
      </vt:variant>
      <vt:variant>
        <vt:i4>0</vt:i4>
      </vt:variant>
      <vt:variant>
        <vt:i4>5</vt:i4>
      </vt:variant>
      <vt:variant>
        <vt:lpwstr>http://www.nevo.co.il/law/70301/152</vt:lpwstr>
      </vt:variant>
      <vt:variant>
        <vt:lpwstr/>
      </vt:variant>
      <vt:variant>
        <vt:i4>6684798</vt:i4>
      </vt:variant>
      <vt:variant>
        <vt:i4>21</vt:i4>
      </vt:variant>
      <vt:variant>
        <vt:i4>0</vt:i4>
      </vt:variant>
      <vt:variant>
        <vt:i4>5</vt:i4>
      </vt:variant>
      <vt:variant>
        <vt:lpwstr>http://www.nevo.co.il/law/70301/144f.a.</vt:lpwstr>
      </vt:variant>
      <vt:variant>
        <vt:lpwstr/>
      </vt:variant>
      <vt:variant>
        <vt:i4>458832</vt:i4>
      </vt:variant>
      <vt:variant>
        <vt:i4>18</vt:i4>
      </vt:variant>
      <vt:variant>
        <vt:i4>0</vt:i4>
      </vt:variant>
      <vt:variant>
        <vt:i4>5</vt:i4>
      </vt:variant>
      <vt:variant>
        <vt:lpwstr>http://www.nevo.co.il/law/70301/144f</vt:lpwstr>
      </vt:variant>
      <vt:variant>
        <vt:lpwstr/>
      </vt:variant>
      <vt:variant>
        <vt:i4>196688</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44351</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עותמאן;מוסטפא מסרי;ג'ואד אבו סטילה</vt:lpwstr>
  </property>
  <property fmtid="{D5CDD505-2E9C-101B-9397-08002B2CF9AE}" pid="10" name="LAWYER">
    <vt:lpwstr>אבי פסטרנק;נמיר אדלבי;רמזי כתילאת;בדר אלדין אג'באריה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20240723</vt:lpwstr>
  </property>
  <property fmtid="{D5CDD505-2E9C-101B-9397-08002B2CF9AE}" pid="14" name="TYPE_N_DATE">
    <vt:lpwstr>39020240723</vt:lpwstr>
  </property>
  <property fmtid="{D5CDD505-2E9C-101B-9397-08002B2CF9AE}" pid="15" name="CASESLISTTMP1">
    <vt:lpwstr>28296934:2;29922728:3;26489415:2;20923902;28681545;29591824;28889052;27700018;27697597:2;27733378;27654256;23793887;27733322;29145070;28243256;27679696;26795355;27623662;28640864;27660696;13093721</vt:lpwstr>
  </property>
  <property fmtid="{D5CDD505-2E9C-101B-9397-08002B2CF9AE}" pid="16" name="CASENOTES1">
    <vt:lpwstr>ProcID=209&amp;PartA=1734&amp;PartB=07&amp;PartC=21</vt:lpwstr>
  </property>
  <property fmtid="{D5CDD505-2E9C-101B-9397-08002B2CF9AE}" pid="17" name="CASENOTES2">
    <vt:lpwstr>ProcID=209&amp;PartA=3947&amp;PartB=12&amp;PartC=21</vt:lpwstr>
  </property>
  <property fmtid="{D5CDD505-2E9C-101B-9397-08002B2CF9AE}" pid="18" name="CASENOTES3">
    <vt:lpwstr>ProcID=209&amp;PartA=18259&amp;PartB=03&amp;PartC=21</vt:lpwstr>
  </property>
  <property fmtid="{D5CDD505-2E9C-101B-9397-08002B2CF9AE}" pid="19" name="CASENOTES4">
    <vt:lpwstr>ProcID=209&amp;PartA=58199&amp;PartB=06&amp;PartC=21</vt:lpwstr>
  </property>
  <property fmtid="{D5CDD505-2E9C-101B-9397-08002B2CF9AE}" pid="20" name="CASENOTES5">
    <vt:lpwstr>ProcID=209&amp;PartA=53339&amp;PartB=09&amp;PartC=22</vt:lpwstr>
  </property>
  <property fmtid="{D5CDD505-2E9C-101B-9397-08002B2CF9AE}" pid="21" name="CASENOTES6">
    <vt:lpwstr>ProcID=133;209&amp;PartA=35960&amp;PartC=16</vt:lpwstr>
  </property>
  <property fmtid="{D5CDD505-2E9C-101B-9397-08002B2CF9AE}" pid="22" name="WORDNUMPAGES">
    <vt:lpwstr>21</vt:lpwstr>
  </property>
  <property fmtid="{D5CDD505-2E9C-101B-9397-08002B2CF9AE}" pid="23" name="TYPE_ABS_DATE">
    <vt:lpwstr>390020240723</vt:lpwstr>
  </property>
  <property fmtid="{D5CDD505-2E9C-101B-9397-08002B2CF9AE}" pid="24" name="ISABSTRACT">
    <vt:lpwstr>Y</vt:lpwstr>
  </property>
  <property fmtid="{D5CDD505-2E9C-101B-9397-08002B2CF9AE}" pid="25" name="LAWLISTTMP1">
    <vt:lpwstr>70301/329.a.2:4;152:2;338.a.3;274;025;275;448.a:4;029:15;157;144f:4;452:3;453.c;340.a:2;192:3;144.a;275a;144f.a;144b;340a.b;406.b;384;332a.a;329:3;040g;333;335.a.1;40jc.b;40jc.c</vt:lpwstr>
  </property>
  <property fmtid="{D5CDD505-2E9C-101B-9397-08002B2CF9AE}" pid="26" name="LAWLISTTMP2">
    <vt:lpwstr>141771/030.a:3;037:3;037.a:2</vt:lpwstr>
  </property>
  <property fmtid="{D5CDD505-2E9C-101B-9397-08002B2CF9AE}" pid="27" name="APPELLANT1">
    <vt:lpwstr/>
  </property>
  <property fmtid="{D5CDD505-2E9C-101B-9397-08002B2CF9AE}" pid="28" name="APPELLANT2">
    <vt:lpwstr/>
  </property>
  <property fmtid="{D5CDD505-2E9C-101B-9397-08002B2CF9AE}" pid="29" name="APPELLEE1">
    <vt:lpwstr/>
  </property>
  <property fmtid="{D5CDD505-2E9C-101B-9397-08002B2CF9AE}" pid="30" name="APPELLEE2">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VOLUME">
    <vt:lpwstr/>
  </property>
  <property fmtid="{D5CDD505-2E9C-101B-9397-08002B2CF9AE}" pid="35" name="PART">
    <vt:lpwstr/>
  </property>
  <property fmtid="{D5CDD505-2E9C-101B-9397-08002B2CF9AE}" pid="36" name="PAGE">
    <vt:lpwstr/>
  </property>
  <property fmtid="{D5CDD505-2E9C-101B-9397-08002B2CF9AE}" pid="37" name="PADIMAIL">
    <vt:lpwstr/>
  </property>
  <property fmtid="{D5CDD505-2E9C-101B-9397-08002B2CF9AE}" pid="38" name="DELEMATA">
    <vt:lpwstr/>
  </property>
  <property fmtid="{D5CDD505-2E9C-101B-9397-08002B2CF9AE}" pid="39" name="LINKK1">
    <vt:lpwstr/>
  </property>
  <property fmtid="{D5CDD505-2E9C-101B-9397-08002B2CF9AE}" pid="40" name="LINKK2">
    <vt:lpwstr/>
  </property>
  <property fmtid="{D5CDD505-2E9C-101B-9397-08002B2CF9AE}" pid="41" name="LINKK3">
    <vt:lpwstr/>
  </property>
  <property fmtid="{D5CDD505-2E9C-101B-9397-08002B2CF9AE}" pid="42" name="LINKK4">
    <vt:lpwstr/>
  </property>
  <property fmtid="{D5CDD505-2E9C-101B-9397-08002B2CF9AE}" pid="43" name="LINKK5">
    <vt:lpwstr/>
  </property>
</Properties>
</file>