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4265B" w:rsidRPr="00282F11" w14:paraId="1C31E15E" w14:textId="77777777" w:rsidTr="006F224A">
        <w:trPr>
          <w:trHeight w:hRule="exact" w:val="418"/>
          <w:jc w:val="center"/>
        </w:trPr>
        <w:tc>
          <w:tcPr>
            <w:tcW w:w="8721" w:type="dxa"/>
            <w:gridSpan w:val="2"/>
          </w:tcPr>
          <w:p w14:paraId="2E12A432" w14:textId="77777777" w:rsidR="0044265B" w:rsidRPr="00282F11" w:rsidRDefault="0044265B" w:rsidP="00BE4BB6">
            <w:pPr>
              <w:pStyle w:val="a3"/>
              <w:jc w:val="center"/>
              <w:rPr>
                <w:rFonts w:ascii="Tahoma" w:hAnsi="Tahoma" w:cs="Tahoma"/>
                <w:color w:val="000080"/>
                <w:rtl/>
              </w:rPr>
            </w:pPr>
            <w:bookmarkStart w:id="0" w:name="LastJudge"/>
            <w:r w:rsidRPr="00282F11">
              <w:rPr>
                <w:rFonts w:ascii="Tahoma" w:hAnsi="Tahoma" w:cs="Tahoma"/>
                <w:b/>
                <w:bCs/>
                <w:color w:val="000080"/>
                <w:rtl/>
              </w:rPr>
              <w:t>בית המשפט המחוזי מרכז-לוד</w:t>
            </w:r>
          </w:p>
        </w:tc>
      </w:tr>
      <w:tr w:rsidR="0044265B" w:rsidRPr="00282F11" w14:paraId="2672EC1E" w14:textId="77777777" w:rsidTr="006F224A">
        <w:trPr>
          <w:trHeight w:val="337"/>
          <w:jc w:val="center"/>
        </w:trPr>
        <w:tc>
          <w:tcPr>
            <w:tcW w:w="5054" w:type="dxa"/>
          </w:tcPr>
          <w:p w14:paraId="409F8666" w14:textId="77777777" w:rsidR="0044265B" w:rsidRPr="00282F11" w:rsidRDefault="0044265B" w:rsidP="00BE4BB6">
            <w:pPr>
              <w:rPr>
                <w:rFonts w:cs="FrankRuehl"/>
                <w:sz w:val="28"/>
                <w:szCs w:val="28"/>
                <w:rtl/>
              </w:rPr>
            </w:pPr>
            <w:r w:rsidRPr="00282F11">
              <w:rPr>
                <w:rFonts w:cs="FrankRuehl"/>
                <w:sz w:val="28"/>
                <w:szCs w:val="28"/>
                <w:rtl/>
              </w:rPr>
              <w:t>ת"פ</w:t>
            </w:r>
            <w:r w:rsidRPr="00282F11">
              <w:rPr>
                <w:rFonts w:cs="FrankRuehl" w:hint="cs"/>
                <w:sz w:val="28"/>
                <w:szCs w:val="28"/>
                <w:rtl/>
              </w:rPr>
              <w:t xml:space="preserve"> </w:t>
            </w:r>
            <w:r w:rsidRPr="00282F11">
              <w:rPr>
                <w:rFonts w:cs="FrankRuehl"/>
                <w:sz w:val="28"/>
                <w:szCs w:val="28"/>
                <w:rtl/>
              </w:rPr>
              <w:t>19759-07-21</w:t>
            </w:r>
            <w:r w:rsidRPr="00282F11">
              <w:rPr>
                <w:rFonts w:cs="FrankRuehl" w:hint="cs"/>
                <w:sz w:val="28"/>
                <w:szCs w:val="28"/>
                <w:rtl/>
              </w:rPr>
              <w:t xml:space="preserve"> </w:t>
            </w:r>
            <w:r w:rsidRPr="00282F11">
              <w:rPr>
                <w:rFonts w:cs="FrankRuehl"/>
                <w:sz w:val="28"/>
                <w:szCs w:val="28"/>
                <w:rtl/>
              </w:rPr>
              <w:t>מדינת ישראל נ' עודה</w:t>
            </w:r>
          </w:p>
          <w:p w14:paraId="42F3DA2F" w14:textId="77777777" w:rsidR="0044265B" w:rsidRPr="00282F11" w:rsidRDefault="0044265B" w:rsidP="00BE4BB6">
            <w:pPr>
              <w:pStyle w:val="a3"/>
              <w:rPr>
                <w:rFonts w:cs="FrankRuehl"/>
                <w:sz w:val="28"/>
                <w:szCs w:val="28"/>
                <w:rtl/>
              </w:rPr>
            </w:pPr>
          </w:p>
        </w:tc>
        <w:tc>
          <w:tcPr>
            <w:tcW w:w="3667" w:type="dxa"/>
          </w:tcPr>
          <w:p w14:paraId="200622D4" w14:textId="77777777" w:rsidR="0044265B" w:rsidRPr="00282F11" w:rsidRDefault="0044265B" w:rsidP="00BE4BB6">
            <w:pPr>
              <w:pStyle w:val="a3"/>
              <w:jc w:val="right"/>
              <w:rPr>
                <w:rFonts w:cs="FrankRuehl"/>
                <w:sz w:val="28"/>
                <w:szCs w:val="28"/>
                <w:rtl/>
              </w:rPr>
            </w:pPr>
          </w:p>
        </w:tc>
      </w:tr>
    </w:tbl>
    <w:p w14:paraId="21D91138" w14:textId="77777777" w:rsidR="0044265B" w:rsidRPr="00282F11" w:rsidRDefault="0044265B" w:rsidP="006F224A">
      <w:pPr>
        <w:pStyle w:val="a3"/>
        <w:tabs>
          <w:tab w:val="clear" w:pos="4153"/>
          <w:tab w:val="clear" w:pos="8306"/>
          <w:tab w:val="left" w:pos="1140"/>
        </w:tabs>
        <w:rPr>
          <w:rtl/>
        </w:rPr>
      </w:pPr>
      <w:r w:rsidRPr="00282F11">
        <w:rPr>
          <w:rFonts w:hint="cs"/>
          <w:rtl/>
        </w:rPr>
        <w:t xml:space="preserve"> </w:t>
      </w:r>
      <w:r w:rsidR="006F224A">
        <w:rPr>
          <w:rtl/>
        </w:rPr>
        <w:tab/>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4265B" w:rsidRPr="00282F11" w14:paraId="693EAB5F" w14:textId="77777777" w:rsidTr="0044265B">
        <w:trPr>
          <w:trHeight w:val="295"/>
          <w:jc w:val="center"/>
        </w:trPr>
        <w:tc>
          <w:tcPr>
            <w:tcW w:w="923" w:type="dxa"/>
            <w:tcBorders>
              <w:top w:val="nil"/>
              <w:left w:val="nil"/>
              <w:bottom w:val="nil"/>
              <w:right w:val="nil"/>
            </w:tcBorders>
            <w:shd w:val="clear" w:color="auto" w:fill="auto"/>
          </w:tcPr>
          <w:p w14:paraId="1F764E6A" w14:textId="77777777" w:rsidR="0044265B" w:rsidRPr="00282F11" w:rsidRDefault="0044265B" w:rsidP="0044265B">
            <w:pPr>
              <w:jc w:val="both"/>
              <w:rPr>
                <w:rFonts w:ascii="David" w:hAnsi="David"/>
                <w:sz w:val="26"/>
                <w:szCs w:val="26"/>
              </w:rPr>
            </w:pPr>
            <w:r w:rsidRPr="00282F1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8AAED69" w14:textId="77777777" w:rsidR="0044265B" w:rsidRPr="00282F11" w:rsidRDefault="0044265B" w:rsidP="00BE4BB6">
            <w:pPr>
              <w:rPr>
                <w:rFonts w:ascii="David" w:hAnsi="David"/>
                <w:b/>
                <w:bCs/>
                <w:sz w:val="26"/>
                <w:szCs w:val="26"/>
                <w:rtl/>
              </w:rPr>
            </w:pPr>
            <w:r w:rsidRPr="00282F11">
              <w:rPr>
                <w:rFonts w:ascii="David" w:hAnsi="David"/>
                <w:b/>
                <w:bCs/>
                <w:sz w:val="26"/>
                <w:szCs w:val="26"/>
                <w:rtl/>
              </w:rPr>
              <w:t>כבוד השופטת  מרב גרינברג</w:t>
            </w:r>
          </w:p>
          <w:p w14:paraId="706291C2" w14:textId="77777777" w:rsidR="0044265B" w:rsidRPr="00282F11" w:rsidRDefault="0044265B" w:rsidP="00BE4BB6">
            <w:pPr>
              <w:rPr>
                <w:rFonts w:ascii="David" w:hAnsi="David"/>
                <w:sz w:val="26"/>
                <w:szCs w:val="26"/>
                <w:rtl/>
              </w:rPr>
            </w:pPr>
          </w:p>
          <w:p w14:paraId="107EBDA9" w14:textId="77777777" w:rsidR="0044265B" w:rsidRPr="00282F11" w:rsidRDefault="0044265B" w:rsidP="0044265B">
            <w:pPr>
              <w:jc w:val="both"/>
              <w:rPr>
                <w:rFonts w:ascii="David" w:hAnsi="David"/>
                <w:sz w:val="26"/>
                <w:szCs w:val="26"/>
              </w:rPr>
            </w:pPr>
          </w:p>
        </w:tc>
      </w:tr>
      <w:tr w:rsidR="0044265B" w:rsidRPr="00282F11" w14:paraId="64E72076" w14:textId="77777777" w:rsidTr="0044265B">
        <w:trPr>
          <w:trHeight w:val="355"/>
          <w:jc w:val="center"/>
        </w:trPr>
        <w:tc>
          <w:tcPr>
            <w:tcW w:w="923" w:type="dxa"/>
            <w:tcBorders>
              <w:top w:val="nil"/>
              <w:left w:val="nil"/>
              <w:bottom w:val="nil"/>
              <w:right w:val="nil"/>
            </w:tcBorders>
            <w:shd w:val="clear" w:color="auto" w:fill="auto"/>
          </w:tcPr>
          <w:p w14:paraId="24415772" w14:textId="77777777" w:rsidR="0044265B" w:rsidRPr="00282F11" w:rsidRDefault="0044265B" w:rsidP="0044265B">
            <w:pPr>
              <w:jc w:val="both"/>
              <w:rPr>
                <w:rFonts w:ascii="David" w:hAnsi="David"/>
                <w:sz w:val="26"/>
                <w:szCs w:val="26"/>
              </w:rPr>
            </w:pPr>
            <w:bookmarkStart w:id="1" w:name="FirstAppellant"/>
            <w:bookmarkStart w:id="2" w:name="FirstLawyer"/>
            <w:r w:rsidRPr="00282F11">
              <w:rPr>
                <w:rFonts w:ascii="David" w:hAnsi="David"/>
                <w:sz w:val="26"/>
                <w:szCs w:val="26"/>
                <w:rtl/>
              </w:rPr>
              <w:t>בעניין:</w:t>
            </w:r>
          </w:p>
        </w:tc>
        <w:tc>
          <w:tcPr>
            <w:tcW w:w="3219" w:type="dxa"/>
            <w:tcBorders>
              <w:top w:val="nil"/>
              <w:left w:val="nil"/>
              <w:bottom w:val="nil"/>
              <w:right w:val="nil"/>
            </w:tcBorders>
            <w:shd w:val="clear" w:color="auto" w:fill="auto"/>
          </w:tcPr>
          <w:p w14:paraId="79C47485" w14:textId="77777777" w:rsidR="0044265B" w:rsidRPr="00282F11" w:rsidRDefault="0044265B" w:rsidP="0044265B">
            <w:pPr>
              <w:suppressLineNumbers/>
            </w:pPr>
            <w:r w:rsidRPr="00282F11">
              <w:rPr>
                <w:rFonts w:ascii="Arial" w:hAnsi="Arial" w:hint="cs"/>
                <w:b/>
                <w:bCs/>
                <w:sz w:val="26"/>
                <w:szCs w:val="26"/>
                <w:rtl/>
              </w:rPr>
              <w:t>ה</w:t>
            </w:r>
            <w:r w:rsidRPr="00282F11">
              <w:rPr>
                <w:rFonts w:ascii="Arial" w:hAnsi="Arial"/>
                <w:b/>
                <w:bCs/>
                <w:sz w:val="26"/>
                <w:szCs w:val="26"/>
                <w:rtl/>
              </w:rPr>
              <w:t>מאשימה</w:t>
            </w:r>
          </w:p>
          <w:p w14:paraId="00B716CB" w14:textId="77777777" w:rsidR="0044265B" w:rsidRPr="00282F11" w:rsidRDefault="0044265B" w:rsidP="00BE4BB6">
            <w:pPr>
              <w:rPr>
                <w:rFonts w:ascii="David" w:hAnsi="David"/>
                <w:sz w:val="26"/>
                <w:szCs w:val="26"/>
              </w:rPr>
            </w:pPr>
          </w:p>
        </w:tc>
        <w:tc>
          <w:tcPr>
            <w:tcW w:w="4678" w:type="dxa"/>
            <w:tcBorders>
              <w:top w:val="nil"/>
              <w:left w:val="nil"/>
              <w:bottom w:val="nil"/>
              <w:right w:val="nil"/>
            </w:tcBorders>
            <w:shd w:val="clear" w:color="auto" w:fill="auto"/>
            <w:vAlign w:val="center"/>
          </w:tcPr>
          <w:p w14:paraId="0AF2229F" w14:textId="77777777" w:rsidR="0044265B" w:rsidRPr="00282F11" w:rsidRDefault="0044265B" w:rsidP="0044265B">
            <w:pPr>
              <w:suppressLineNumbers/>
              <w:rPr>
                <w:rFonts w:ascii="Arial" w:hAnsi="Arial"/>
                <w:b/>
                <w:bCs/>
                <w:sz w:val="26"/>
                <w:szCs w:val="26"/>
                <w:rtl/>
              </w:rPr>
            </w:pPr>
            <w:r w:rsidRPr="00282F11">
              <w:rPr>
                <w:rFonts w:ascii="Arial" w:hAnsi="Arial"/>
                <w:b/>
                <w:bCs/>
                <w:sz w:val="26"/>
                <w:szCs w:val="26"/>
                <w:rtl/>
              </w:rPr>
              <w:t>מדינת ישראל</w:t>
            </w:r>
            <w:r w:rsidRPr="00282F11">
              <w:rPr>
                <w:rFonts w:ascii="Arial" w:hAnsi="Arial" w:hint="cs"/>
                <w:b/>
                <w:bCs/>
                <w:sz w:val="26"/>
                <w:szCs w:val="26"/>
                <w:rtl/>
              </w:rPr>
              <w:t xml:space="preserve"> </w:t>
            </w:r>
          </w:p>
          <w:p w14:paraId="0626DC13" w14:textId="77777777" w:rsidR="0044265B" w:rsidRPr="00282F11" w:rsidRDefault="0044265B" w:rsidP="0044265B">
            <w:pPr>
              <w:suppressLineNumbers/>
              <w:rPr>
                <w:b/>
                <w:bCs/>
              </w:rPr>
            </w:pPr>
            <w:r w:rsidRPr="00282F11">
              <w:rPr>
                <w:rFonts w:ascii="Arial" w:hAnsi="Arial"/>
                <w:b/>
                <w:bCs/>
                <w:sz w:val="26"/>
                <w:szCs w:val="26"/>
                <w:rtl/>
              </w:rPr>
              <w:t>ע"י ב"כ עוה"ד</w:t>
            </w:r>
            <w:r w:rsidRPr="00282F11">
              <w:rPr>
                <w:rFonts w:hint="cs"/>
                <w:b/>
                <w:bCs/>
                <w:rtl/>
              </w:rPr>
              <w:t xml:space="preserve"> ליטל שירי</w:t>
            </w:r>
          </w:p>
          <w:p w14:paraId="1BD56742" w14:textId="77777777" w:rsidR="0044265B" w:rsidRPr="00282F11" w:rsidRDefault="0044265B" w:rsidP="00BE4BB6">
            <w:pPr>
              <w:rPr>
                <w:rFonts w:ascii="David" w:hAnsi="David"/>
                <w:b/>
                <w:bCs/>
                <w:sz w:val="26"/>
                <w:szCs w:val="26"/>
              </w:rPr>
            </w:pPr>
          </w:p>
        </w:tc>
      </w:tr>
      <w:bookmarkEnd w:id="1"/>
      <w:bookmarkEnd w:id="2"/>
      <w:tr w:rsidR="0044265B" w:rsidRPr="00282F11" w14:paraId="11803E88" w14:textId="77777777" w:rsidTr="0044265B">
        <w:trPr>
          <w:trHeight w:val="355"/>
          <w:jc w:val="center"/>
        </w:trPr>
        <w:tc>
          <w:tcPr>
            <w:tcW w:w="923" w:type="dxa"/>
            <w:tcBorders>
              <w:top w:val="nil"/>
              <w:left w:val="nil"/>
              <w:bottom w:val="nil"/>
              <w:right w:val="nil"/>
            </w:tcBorders>
            <w:shd w:val="clear" w:color="auto" w:fill="auto"/>
          </w:tcPr>
          <w:p w14:paraId="11D52A05" w14:textId="77777777" w:rsidR="0044265B" w:rsidRPr="00282F11" w:rsidRDefault="0044265B" w:rsidP="0044265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9B9C733" w14:textId="77777777" w:rsidR="0044265B" w:rsidRPr="00282F11" w:rsidRDefault="0044265B" w:rsidP="0044265B">
            <w:pPr>
              <w:jc w:val="center"/>
              <w:rPr>
                <w:rFonts w:ascii="David" w:hAnsi="David"/>
                <w:b/>
                <w:bCs/>
                <w:sz w:val="26"/>
                <w:szCs w:val="26"/>
                <w:rtl/>
              </w:rPr>
            </w:pPr>
          </w:p>
          <w:p w14:paraId="271BD103" w14:textId="77777777" w:rsidR="0044265B" w:rsidRPr="00282F11" w:rsidRDefault="0044265B" w:rsidP="0044265B">
            <w:pPr>
              <w:jc w:val="center"/>
              <w:rPr>
                <w:rFonts w:ascii="David" w:hAnsi="David"/>
                <w:b/>
                <w:bCs/>
                <w:sz w:val="26"/>
                <w:szCs w:val="26"/>
                <w:rtl/>
              </w:rPr>
            </w:pPr>
            <w:r w:rsidRPr="00282F11">
              <w:rPr>
                <w:rFonts w:ascii="David" w:hAnsi="David"/>
                <w:b/>
                <w:bCs/>
                <w:sz w:val="26"/>
                <w:szCs w:val="26"/>
                <w:rtl/>
              </w:rPr>
              <w:t>נגד</w:t>
            </w:r>
          </w:p>
          <w:p w14:paraId="712E1FA0" w14:textId="77777777" w:rsidR="0044265B" w:rsidRPr="00282F11" w:rsidRDefault="0044265B" w:rsidP="0044265B">
            <w:pPr>
              <w:jc w:val="both"/>
              <w:rPr>
                <w:rFonts w:ascii="David" w:hAnsi="David"/>
                <w:b/>
                <w:bCs/>
                <w:sz w:val="26"/>
                <w:szCs w:val="26"/>
              </w:rPr>
            </w:pPr>
          </w:p>
        </w:tc>
      </w:tr>
      <w:tr w:rsidR="0044265B" w:rsidRPr="00282F11" w14:paraId="6021EAF9" w14:textId="77777777" w:rsidTr="0044265B">
        <w:trPr>
          <w:trHeight w:val="355"/>
          <w:jc w:val="center"/>
        </w:trPr>
        <w:tc>
          <w:tcPr>
            <w:tcW w:w="923" w:type="dxa"/>
            <w:tcBorders>
              <w:top w:val="nil"/>
              <w:left w:val="nil"/>
              <w:bottom w:val="nil"/>
              <w:right w:val="nil"/>
            </w:tcBorders>
            <w:shd w:val="clear" w:color="auto" w:fill="auto"/>
          </w:tcPr>
          <w:p w14:paraId="7FEB8F31" w14:textId="77777777" w:rsidR="0044265B" w:rsidRPr="00282F11" w:rsidRDefault="0044265B" w:rsidP="00BE4BB6">
            <w:pPr>
              <w:rPr>
                <w:rFonts w:ascii="David" w:hAnsi="David"/>
                <w:sz w:val="26"/>
                <w:szCs w:val="26"/>
                <w:rtl/>
              </w:rPr>
            </w:pPr>
          </w:p>
        </w:tc>
        <w:tc>
          <w:tcPr>
            <w:tcW w:w="3219" w:type="dxa"/>
            <w:tcBorders>
              <w:top w:val="nil"/>
              <w:left w:val="nil"/>
              <w:bottom w:val="nil"/>
              <w:right w:val="nil"/>
            </w:tcBorders>
            <w:shd w:val="clear" w:color="auto" w:fill="auto"/>
          </w:tcPr>
          <w:p w14:paraId="0AE135F4" w14:textId="77777777" w:rsidR="0044265B" w:rsidRPr="00282F11" w:rsidRDefault="0044265B" w:rsidP="00BE4BB6">
            <w:pPr>
              <w:rPr>
                <w:rFonts w:ascii="Arial" w:hAnsi="Arial"/>
                <w:b/>
                <w:bCs/>
                <w:sz w:val="26"/>
                <w:szCs w:val="26"/>
                <w:rtl/>
              </w:rPr>
            </w:pPr>
            <w:r w:rsidRPr="00282F1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CDF7B86" w14:textId="77777777" w:rsidR="0044265B" w:rsidRPr="00282F11" w:rsidRDefault="0044265B" w:rsidP="0044265B">
            <w:pPr>
              <w:suppressLineNumbers/>
              <w:rPr>
                <w:rFonts w:ascii="Arial" w:hAnsi="Arial"/>
                <w:b/>
                <w:bCs/>
                <w:sz w:val="26"/>
                <w:szCs w:val="26"/>
                <w:rtl/>
              </w:rPr>
            </w:pPr>
            <w:r w:rsidRPr="00282F11">
              <w:rPr>
                <w:rFonts w:ascii="Arial" w:hAnsi="Arial"/>
                <w:b/>
                <w:bCs/>
                <w:sz w:val="26"/>
                <w:szCs w:val="26"/>
                <w:rtl/>
              </w:rPr>
              <w:t>חאלד עודה</w:t>
            </w:r>
            <w:r w:rsidRPr="00282F11">
              <w:rPr>
                <w:rFonts w:ascii="Arial" w:hAnsi="Arial" w:hint="cs"/>
                <w:b/>
                <w:bCs/>
                <w:sz w:val="26"/>
                <w:szCs w:val="26"/>
                <w:rtl/>
              </w:rPr>
              <w:t xml:space="preserve"> </w:t>
            </w:r>
          </w:p>
          <w:p w14:paraId="2492B220" w14:textId="77777777" w:rsidR="0044265B" w:rsidRPr="00282F11" w:rsidRDefault="0044265B" w:rsidP="0044265B">
            <w:pPr>
              <w:suppressLineNumbers/>
              <w:rPr>
                <w:b/>
                <w:bCs/>
              </w:rPr>
            </w:pPr>
            <w:r w:rsidRPr="00282F11">
              <w:rPr>
                <w:rFonts w:ascii="Arial" w:hAnsi="Arial"/>
                <w:b/>
                <w:bCs/>
                <w:sz w:val="26"/>
                <w:szCs w:val="26"/>
                <w:rtl/>
              </w:rPr>
              <w:t>ע"י ב"כ עוה"ד</w:t>
            </w:r>
            <w:r w:rsidRPr="00282F11">
              <w:rPr>
                <w:rFonts w:hint="cs"/>
                <w:b/>
                <w:bCs/>
                <w:rtl/>
              </w:rPr>
              <w:t xml:space="preserve"> ערן צלניקר</w:t>
            </w:r>
          </w:p>
          <w:p w14:paraId="2AC84593" w14:textId="77777777" w:rsidR="0044265B" w:rsidRPr="00282F11" w:rsidRDefault="0044265B" w:rsidP="00BE4BB6">
            <w:pPr>
              <w:rPr>
                <w:rFonts w:ascii="David" w:hAnsi="David"/>
                <w:b/>
                <w:bCs/>
                <w:sz w:val="26"/>
                <w:szCs w:val="26"/>
              </w:rPr>
            </w:pPr>
          </w:p>
        </w:tc>
      </w:tr>
    </w:tbl>
    <w:p w14:paraId="104032BE" w14:textId="77777777" w:rsidR="006F224A" w:rsidRDefault="006F224A" w:rsidP="00282F11">
      <w:pPr>
        <w:rPr>
          <w:rtl/>
        </w:rPr>
      </w:pPr>
    </w:p>
    <w:p w14:paraId="09E7662A" w14:textId="77777777" w:rsidR="006F224A" w:rsidRPr="006F224A" w:rsidRDefault="006F224A" w:rsidP="006F224A">
      <w:pPr>
        <w:spacing w:after="120" w:line="240" w:lineRule="exact"/>
        <w:ind w:left="283" w:hanging="283"/>
        <w:jc w:val="both"/>
        <w:rPr>
          <w:rFonts w:ascii="FrankRuehl" w:hAnsi="FrankRuehl" w:cs="FrankRuehl"/>
          <w:rtl/>
        </w:rPr>
      </w:pPr>
    </w:p>
    <w:p w14:paraId="0D470325" w14:textId="77777777" w:rsidR="00430E6D" w:rsidRPr="00430E6D" w:rsidRDefault="00430E6D" w:rsidP="00430E6D">
      <w:pPr>
        <w:spacing w:before="120" w:after="120" w:line="240" w:lineRule="exact"/>
        <w:ind w:left="283" w:hanging="283"/>
        <w:jc w:val="both"/>
        <w:rPr>
          <w:rFonts w:ascii="FrankRuehl" w:hAnsi="FrankRuehl" w:cs="FrankRuehl"/>
          <w:rtl/>
        </w:rPr>
      </w:pPr>
    </w:p>
    <w:p w14:paraId="78506A85" w14:textId="77777777" w:rsidR="00F16537" w:rsidRDefault="00F16537" w:rsidP="00F16537">
      <w:pPr>
        <w:rPr>
          <w:rtl/>
        </w:rPr>
      </w:pPr>
      <w:bookmarkStart w:id="3" w:name="LawTable"/>
      <w:bookmarkEnd w:id="3"/>
    </w:p>
    <w:p w14:paraId="4013667B" w14:textId="77777777" w:rsidR="00F16537" w:rsidRPr="00F16537" w:rsidRDefault="00F16537" w:rsidP="00F16537">
      <w:pPr>
        <w:spacing w:before="120" w:after="120" w:line="240" w:lineRule="exact"/>
        <w:ind w:left="283" w:hanging="283"/>
        <w:jc w:val="both"/>
        <w:rPr>
          <w:rFonts w:ascii="FrankRuehl" w:hAnsi="FrankRuehl" w:cs="FrankRuehl"/>
          <w:rtl/>
        </w:rPr>
      </w:pPr>
    </w:p>
    <w:p w14:paraId="434F4165" w14:textId="77777777" w:rsidR="00F16537" w:rsidRPr="00F16537" w:rsidRDefault="00F16537" w:rsidP="00F16537">
      <w:pPr>
        <w:spacing w:before="120" w:after="120" w:line="240" w:lineRule="exact"/>
        <w:ind w:left="283" w:hanging="283"/>
        <w:jc w:val="both"/>
        <w:rPr>
          <w:rFonts w:ascii="FrankRuehl" w:hAnsi="FrankRuehl" w:cs="FrankRuehl"/>
          <w:rtl/>
        </w:rPr>
      </w:pPr>
    </w:p>
    <w:p w14:paraId="528C88D2" w14:textId="77777777" w:rsidR="00F16537" w:rsidRPr="00F16537" w:rsidRDefault="00F16537" w:rsidP="00F16537">
      <w:pPr>
        <w:spacing w:before="120" w:after="120" w:line="240" w:lineRule="exact"/>
        <w:ind w:left="283" w:hanging="283"/>
        <w:jc w:val="both"/>
        <w:rPr>
          <w:rFonts w:ascii="FrankRuehl" w:hAnsi="FrankRuehl" w:cs="FrankRuehl"/>
          <w:rtl/>
        </w:rPr>
      </w:pPr>
      <w:r w:rsidRPr="00F16537">
        <w:rPr>
          <w:rFonts w:ascii="FrankRuehl" w:hAnsi="FrankRuehl" w:cs="FrankRuehl"/>
          <w:rtl/>
        </w:rPr>
        <w:t xml:space="preserve">חקיקה שאוזכרה: </w:t>
      </w:r>
    </w:p>
    <w:p w14:paraId="7469C4EA" w14:textId="77777777" w:rsidR="00F16537" w:rsidRPr="00F16537" w:rsidRDefault="00F16537" w:rsidP="00F16537">
      <w:pPr>
        <w:spacing w:before="120" w:after="120" w:line="240" w:lineRule="exact"/>
        <w:ind w:left="283" w:hanging="283"/>
        <w:jc w:val="both"/>
        <w:rPr>
          <w:rFonts w:ascii="FrankRuehl" w:hAnsi="FrankRuehl" w:cs="FrankRuehl"/>
          <w:rtl/>
        </w:rPr>
      </w:pPr>
      <w:hyperlink r:id="rId7" w:history="1">
        <w:r w:rsidRPr="00F16537">
          <w:rPr>
            <w:rFonts w:ascii="FrankRuehl" w:hAnsi="FrankRuehl" w:cs="FrankRuehl"/>
            <w:color w:val="0000FF"/>
            <w:rtl/>
          </w:rPr>
          <w:t>חוק העונשין, תשל"ז-1977</w:t>
        </w:r>
      </w:hyperlink>
      <w:r w:rsidRPr="00F16537">
        <w:rPr>
          <w:rFonts w:ascii="FrankRuehl" w:hAnsi="FrankRuehl" w:cs="FrankRuehl"/>
          <w:rtl/>
        </w:rPr>
        <w:t xml:space="preserve">: סע'  </w:t>
      </w:r>
      <w:hyperlink r:id="rId8" w:history="1">
        <w:r w:rsidRPr="00F16537">
          <w:rPr>
            <w:rFonts w:ascii="FrankRuehl" w:hAnsi="FrankRuehl" w:cs="FrankRuehl"/>
            <w:color w:val="0000FF"/>
            <w:rtl/>
          </w:rPr>
          <w:t>144(ב)</w:t>
        </w:r>
      </w:hyperlink>
    </w:p>
    <w:p w14:paraId="18B4430A" w14:textId="77777777" w:rsidR="00F16537" w:rsidRPr="00F16537" w:rsidRDefault="00F16537" w:rsidP="00F16537">
      <w:pPr>
        <w:rPr>
          <w:rtl/>
        </w:rPr>
      </w:pPr>
      <w:bookmarkStart w:id="4" w:name="LawTable_End"/>
      <w:bookmarkEnd w:id="4"/>
    </w:p>
    <w:p w14:paraId="567C9E30" w14:textId="77777777" w:rsidR="00282F11" w:rsidRPr="00430E6D" w:rsidRDefault="00282F11" w:rsidP="00430E6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265B" w14:paraId="6B79C47C" w14:textId="77777777" w:rsidTr="0044265B">
        <w:trPr>
          <w:trHeight w:val="355"/>
          <w:jc w:val="center"/>
        </w:trPr>
        <w:tc>
          <w:tcPr>
            <w:tcW w:w="8820" w:type="dxa"/>
            <w:tcBorders>
              <w:top w:val="nil"/>
              <w:left w:val="nil"/>
              <w:bottom w:val="nil"/>
              <w:right w:val="nil"/>
            </w:tcBorders>
            <w:shd w:val="clear" w:color="auto" w:fill="auto"/>
          </w:tcPr>
          <w:p w14:paraId="05CD8330" w14:textId="77777777" w:rsidR="00282F11" w:rsidRPr="00282F11" w:rsidRDefault="00282F11" w:rsidP="00282F11">
            <w:pPr>
              <w:jc w:val="center"/>
              <w:rPr>
                <w:rFonts w:ascii="David" w:hAnsi="David"/>
                <w:b/>
                <w:bCs/>
                <w:sz w:val="32"/>
                <w:szCs w:val="32"/>
                <w:u w:val="single"/>
                <w:rtl/>
              </w:rPr>
            </w:pPr>
            <w:bookmarkStart w:id="5" w:name="PsakDin" w:colFirst="0" w:colLast="0"/>
            <w:bookmarkEnd w:id="0"/>
            <w:r w:rsidRPr="00282F11">
              <w:rPr>
                <w:rFonts w:ascii="David" w:hAnsi="David"/>
                <w:b/>
                <w:bCs/>
                <w:sz w:val="32"/>
                <w:szCs w:val="32"/>
                <w:u w:val="single"/>
                <w:rtl/>
              </w:rPr>
              <w:t>גזר דין</w:t>
            </w:r>
          </w:p>
          <w:p w14:paraId="382E838F" w14:textId="77777777" w:rsidR="0044265B" w:rsidRPr="00282F11" w:rsidRDefault="0044265B" w:rsidP="00282F11">
            <w:pPr>
              <w:jc w:val="center"/>
              <w:rPr>
                <w:rFonts w:ascii="David" w:hAnsi="David"/>
                <w:bCs/>
                <w:sz w:val="32"/>
                <w:szCs w:val="32"/>
                <w:u w:val="single"/>
                <w:rtl/>
              </w:rPr>
            </w:pPr>
          </w:p>
        </w:tc>
      </w:tr>
      <w:bookmarkEnd w:id="5"/>
    </w:tbl>
    <w:p w14:paraId="3973CA73" w14:textId="77777777" w:rsidR="0044265B" w:rsidRPr="000F2247" w:rsidRDefault="0044265B" w:rsidP="0044265B">
      <w:pPr>
        <w:rPr>
          <w:rFonts w:ascii="Arial" w:hAnsi="Arial"/>
          <w:b/>
          <w:bCs/>
          <w:sz w:val="26"/>
          <w:szCs w:val="26"/>
          <w:rtl/>
        </w:rPr>
      </w:pPr>
    </w:p>
    <w:p w14:paraId="2A2A6BEE" w14:textId="77777777" w:rsidR="0044265B" w:rsidRDefault="0044265B" w:rsidP="0044265B">
      <w:pPr>
        <w:pStyle w:val="a9"/>
        <w:numPr>
          <w:ilvl w:val="0"/>
          <w:numId w:val="1"/>
        </w:numPr>
        <w:spacing w:line="360" w:lineRule="auto"/>
        <w:rPr>
          <w:rFonts w:cs="David"/>
          <w:sz w:val="24"/>
          <w:szCs w:val="24"/>
        </w:rPr>
      </w:pPr>
      <w:bookmarkStart w:id="6" w:name="ABSTRACT_START"/>
      <w:bookmarkEnd w:id="6"/>
      <w:r>
        <w:rPr>
          <w:rFonts w:cs="David"/>
          <w:sz w:val="24"/>
          <w:szCs w:val="24"/>
          <w:rtl/>
        </w:rPr>
        <w:t xml:space="preserve">הנאשם, יליד 1994, הורשע על יסוד הודאתו, בעובדות כתב אישום מתוקן, בעבירה של נשיאת  נשק ותחמושת </w:t>
      </w:r>
      <w:r>
        <w:rPr>
          <w:rFonts w:cs="David"/>
          <w:b/>
          <w:bCs/>
          <w:sz w:val="24"/>
          <w:szCs w:val="24"/>
          <w:rtl/>
        </w:rPr>
        <w:t xml:space="preserve">לפי </w:t>
      </w:r>
      <w:hyperlink r:id="rId9" w:history="1">
        <w:r w:rsidR="006F224A" w:rsidRPr="006F224A">
          <w:rPr>
            <w:rStyle w:val="Hyperlink"/>
            <w:rFonts w:cs="David" w:hint="cs"/>
            <w:b/>
            <w:bCs/>
            <w:sz w:val="24"/>
            <w:szCs w:val="24"/>
            <w:rtl/>
          </w:rPr>
          <w:t>סעיף</w:t>
        </w:r>
        <w:r w:rsidR="006F224A" w:rsidRPr="006F224A">
          <w:rPr>
            <w:rStyle w:val="Hyperlink"/>
            <w:rFonts w:cs="David"/>
            <w:b/>
            <w:bCs/>
            <w:sz w:val="24"/>
            <w:szCs w:val="24"/>
            <w:rtl/>
          </w:rPr>
          <w:t xml:space="preserve"> 144(</w:t>
        </w:r>
        <w:r w:rsidR="006F224A" w:rsidRPr="006F224A">
          <w:rPr>
            <w:rStyle w:val="Hyperlink"/>
            <w:rFonts w:cs="David" w:hint="cs"/>
            <w:b/>
            <w:bCs/>
            <w:sz w:val="24"/>
            <w:szCs w:val="24"/>
            <w:rtl/>
          </w:rPr>
          <w:t>ב</w:t>
        </w:r>
        <w:r w:rsidR="006F224A" w:rsidRPr="006F224A">
          <w:rPr>
            <w:rStyle w:val="Hyperlink"/>
            <w:rFonts w:cs="David"/>
            <w:b/>
            <w:bCs/>
            <w:sz w:val="24"/>
            <w:szCs w:val="24"/>
            <w:rtl/>
          </w:rPr>
          <w:t>)</w:t>
        </w:r>
      </w:hyperlink>
      <w:r>
        <w:rPr>
          <w:rFonts w:cs="David"/>
          <w:b/>
          <w:bCs/>
          <w:sz w:val="24"/>
          <w:szCs w:val="24"/>
          <w:rtl/>
        </w:rPr>
        <w:t xml:space="preserve"> רישא וסיפא ל</w:t>
      </w:r>
      <w:hyperlink r:id="rId10" w:history="1">
        <w:r w:rsidR="00282F11" w:rsidRPr="00282F11">
          <w:rPr>
            <w:rFonts w:cs="David" w:hint="cs"/>
            <w:b/>
            <w:bCs/>
            <w:color w:val="0000FF"/>
            <w:sz w:val="24"/>
            <w:szCs w:val="24"/>
            <w:u w:val="single"/>
            <w:rtl/>
          </w:rPr>
          <w:t>חוק</w:t>
        </w:r>
        <w:r w:rsidR="00282F11" w:rsidRPr="00282F11">
          <w:rPr>
            <w:rFonts w:cs="David"/>
            <w:b/>
            <w:bCs/>
            <w:color w:val="0000FF"/>
            <w:sz w:val="24"/>
            <w:szCs w:val="24"/>
            <w:u w:val="single"/>
            <w:rtl/>
          </w:rPr>
          <w:t xml:space="preserve"> </w:t>
        </w:r>
        <w:r w:rsidR="00282F11" w:rsidRPr="00282F11">
          <w:rPr>
            <w:rFonts w:cs="David" w:hint="cs"/>
            <w:b/>
            <w:bCs/>
            <w:color w:val="0000FF"/>
            <w:sz w:val="24"/>
            <w:szCs w:val="24"/>
            <w:u w:val="single"/>
            <w:rtl/>
          </w:rPr>
          <w:t>העונשין</w:t>
        </w:r>
      </w:hyperlink>
      <w:r>
        <w:rPr>
          <w:rFonts w:cs="David"/>
          <w:b/>
          <w:bCs/>
          <w:sz w:val="24"/>
          <w:szCs w:val="24"/>
          <w:rtl/>
        </w:rPr>
        <w:t xml:space="preserve"> התשל"ז-1977.</w:t>
      </w:r>
    </w:p>
    <w:p w14:paraId="387B4E3F" w14:textId="77777777" w:rsidR="0044265B" w:rsidRDefault="0044265B" w:rsidP="0044265B">
      <w:pPr>
        <w:pStyle w:val="a9"/>
        <w:spacing w:line="360" w:lineRule="auto"/>
        <w:rPr>
          <w:rFonts w:cs="David"/>
          <w:sz w:val="24"/>
          <w:szCs w:val="24"/>
        </w:rPr>
      </w:pPr>
    </w:p>
    <w:p w14:paraId="6D7596FC" w14:textId="77777777" w:rsidR="0044265B" w:rsidRDefault="0044265B" w:rsidP="0044265B">
      <w:pPr>
        <w:pStyle w:val="a9"/>
        <w:numPr>
          <w:ilvl w:val="0"/>
          <w:numId w:val="1"/>
        </w:numPr>
        <w:spacing w:line="360" w:lineRule="auto"/>
        <w:jc w:val="both"/>
        <w:rPr>
          <w:rFonts w:cs="David"/>
          <w:sz w:val="24"/>
          <w:szCs w:val="24"/>
        </w:rPr>
      </w:pPr>
      <w:r>
        <w:rPr>
          <w:rFonts w:cs="David"/>
          <w:sz w:val="24"/>
          <w:szCs w:val="24"/>
          <w:rtl/>
        </w:rPr>
        <w:t xml:space="preserve">לפי עובדות כתב האישום המתוקן ביום 4.6.21, במהלך חתונה שהתקיימה במתחם סמוך למסגד בעיר ג'לג'וליה, נשא הנאשם נשק חם שסוגו אינו ידוע ובתוכו מחסנית טעונה בכדורים. בהמשך נורו מהנשק במהלך החתונה מספר יריות.  </w:t>
      </w:r>
    </w:p>
    <w:p w14:paraId="532E220E" w14:textId="77777777" w:rsidR="0044265B" w:rsidRDefault="0044265B" w:rsidP="0044265B">
      <w:pPr>
        <w:pStyle w:val="a9"/>
        <w:rPr>
          <w:rFonts w:cs="David"/>
          <w:sz w:val="24"/>
          <w:szCs w:val="24"/>
        </w:rPr>
      </w:pPr>
    </w:p>
    <w:p w14:paraId="2BDD4B21" w14:textId="77777777" w:rsidR="0044265B" w:rsidRDefault="0044265B" w:rsidP="0044265B">
      <w:pPr>
        <w:pStyle w:val="a9"/>
        <w:spacing w:line="360" w:lineRule="auto"/>
        <w:rPr>
          <w:rFonts w:cs="David"/>
          <w:sz w:val="24"/>
          <w:szCs w:val="24"/>
          <w:rtl/>
        </w:rPr>
      </w:pPr>
      <w:bookmarkStart w:id="7" w:name="ABSTRACT_END"/>
      <w:bookmarkEnd w:id="7"/>
      <w:r>
        <w:rPr>
          <w:rFonts w:cs="David"/>
          <w:b/>
          <w:bCs/>
          <w:sz w:val="24"/>
          <w:szCs w:val="24"/>
          <w:u w:val="single"/>
          <w:rtl/>
        </w:rPr>
        <w:t>עיקרי תסקיר שירות המבחן</w:t>
      </w:r>
    </w:p>
    <w:p w14:paraId="6397F4DF" w14:textId="77777777" w:rsidR="0044265B" w:rsidRDefault="0044265B" w:rsidP="0044265B">
      <w:pPr>
        <w:pStyle w:val="a9"/>
        <w:numPr>
          <w:ilvl w:val="0"/>
          <w:numId w:val="1"/>
        </w:numPr>
        <w:spacing w:line="360" w:lineRule="auto"/>
        <w:jc w:val="both"/>
        <w:rPr>
          <w:rFonts w:cs="David"/>
          <w:sz w:val="24"/>
          <w:szCs w:val="24"/>
          <w:rtl/>
        </w:rPr>
      </w:pPr>
      <w:r>
        <w:rPr>
          <w:rFonts w:cs="David"/>
          <w:sz w:val="24"/>
          <w:szCs w:val="24"/>
          <w:rtl/>
        </w:rPr>
        <w:t>ביום 1.2.22 הורשע הנאשם במסגרת הסדר טיעון,</w:t>
      </w:r>
      <w:r>
        <w:rPr>
          <w:rFonts w:cs="David" w:hint="cs"/>
          <w:sz w:val="24"/>
          <w:szCs w:val="24"/>
          <w:rtl/>
        </w:rPr>
        <w:t xml:space="preserve"> </w:t>
      </w:r>
      <w:r>
        <w:rPr>
          <w:rFonts w:cs="David"/>
          <w:sz w:val="24"/>
          <w:szCs w:val="24"/>
          <w:rtl/>
        </w:rPr>
        <w:t xml:space="preserve">המאשימה הצהירה שתעתור לעונש ראוי בן 18 חודשים וענישה נלווית. הנאשם הופנה לתסקיר. מתסקיר שירות המבחן עולה תמונה של נאשם מתפקד, עובד למחייתו, נישא במהלך החודש האחרון. לנאשם הרשעה קודמת </w:t>
      </w:r>
      <w:r>
        <w:rPr>
          <w:rFonts w:cs="David"/>
          <w:sz w:val="24"/>
          <w:szCs w:val="24"/>
          <w:rtl/>
        </w:rPr>
        <w:lastRenderedPageBreak/>
        <w:t>משנת 2017 בעבירה של החזקת תחמושת לנשק, שירות המבחן העריך כי נחשף לגורמים עבר</w:t>
      </w:r>
      <w:r>
        <w:rPr>
          <w:rFonts w:cs="David" w:hint="cs"/>
          <w:sz w:val="24"/>
          <w:szCs w:val="24"/>
          <w:rtl/>
        </w:rPr>
        <w:t>י</w:t>
      </w:r>
      <w:r>
        <w:rPr>
          <w:rFonts w:cs="David"/>
          <w:sz w:val="24"/>
          <w:szCs w:val="24"/>
          <w:rtl/>
        </w:rPr>
        <w:t xml:space="preserve">יניים ולנשק בסביבת מגוריו ומחזיק בעמדות מקלות ביחס למעורבות בתחום זה. הנאשם שולב בפיקוח מעצרים, שיתף פעולה, מקבל אחריות על מעשיו והביע חרטה. להערכת שירות המבחן פעל מתוך ריגוש , ללא מחשבה על הסיכון שבמעשיו אך אינו בעל דפוסי התנהגות עברייניים. עוד סבור כי קיים סיכון במצבו נוכח חוסר בשלות וקשרים חברתיים שוליים אם כי זה פחת במהלך ההליך. בסופו של תסקיר בא בהמלצה להסתפק בענישה שיקומית הכוללת עבודות שירות וצו מבחן. </w:t>
      </w:r>
    </w:p>
    <w:p w14:paraId="5799FE94" w14:textId="77777777" w:rsidR="0044265B" w:rsidRDefault="0044265B" w:rsidP="0044265B">
      <w:pPr>
        <w:pStyle w:val="a9"/>
        <w:spacing w:line="360" w:lineRule="auto"/>
        <w:jc w:val="both"/>
        <w:rPr>
          <w:rFonts w:cs="David"/>
          <w:sz w:val="24"/>
          <w:szCs w:val="24"/>
          <w:rtl/>
        </w:rPr>
      </w:pPr>
    </w:p>
    <w:p w14:paraId="49C85F5D" w14:textId="77777777" w:rsidR="0044265B" w:rsidRDefault="0044265B" w:rsidP="0044265B">
      <w:pPr>
        <w:pStyle w:val="a9"/>
        <w:spacing w:line="360" w:lineRule="auto"/>
        <w:jc w:val="both"/>
        <w:rPr>
          <w:rFonts w:cs="David"/>
          <w:sz w:val="24"/>
          <w:szCs w:val="24"/>
          <w:rtl/>
        </w:rPr>
      </w:pPr>
    </w:p>
    <w:p w14:paraId="26FF4655" w14:textId="77777777" w:rsidR="0044265B" w:rsidRDefault="0044265B" w:rsidP="0044265B">
      <w:pPr>
        <w:pStyle w:val="a9"/>
        <w:spacing w:line="360" w:lineRule="auto"/>
        <w:jc w:val="both"/>
        <w:rPr>
          <w:rFonts w:cs="David"/>
          <w:sz w:val="24"/>
          <w:szCs w:val="24"/>
        </w:rPr>
      </w:pPr>
    </w:p>
    <w:p w14:paraId="2A39F2A9" w14:textId="77777777" w:rsidR="0044265B" w:rsidRDefault="0044265B" w:rsidP="0044265B">
      <w:pPr>
        <w:pStyle w:val="a9"/>
        <w:spacing w:line="360" w:lineRule="auto"/>
        <w:jc w:val="both"/>
        <w:rPr>
          <w:rFonts w:cs="David"/>
          <w:sz w:val="24"/>
          <w:szCs w:val="24"/>
        </w:rPr>
      </w:pPr>
      <w:r>
        <w:rPr>
          <w:rFonts w:cs="David"/>
          <w:b/>
          <w:bCs/>
          <w:sz w:val="24"/>
          <w:szCs w:val="24"/>
          <w:u w:val="single"/>
          <w:rtl/>
        </w:rPr>
        <w:t>תמצית טיעוני הצדדים לעונש</w:t>
      </w:r>
    </w:p>
    <w:p w14:paraId="0C1F17B0" w14:textId="77777777" w:rsidR="0044265B" w:rsidRDefault="0044265B" w:rsidP="0044265B">
      <w:pPr>
        <w:pStyle w:val="a9"/>
        <w:numPr>
          <w:ilvl w:val="0"/>
          <w:numId w:val="1"/>
        </w:numPr>
        <w:spacing w:line="360" w:lineRule="auto"/>
        <w:jc w:val="both"/>
        <w:rPr>
          <w:rFonts w:cs="David"/>
          <w:sz w:val="24"/>
          <w:szCs w:val="24"/>
          <w:rtl/>
        </w:rPr>
      </w:pPr>
      <w:r>
        <w:rPr>
          <w:rFonts w:cs="David"/>
          <w:sz w:val="24"/>
          <w:szCs w:val="24"/>
          <w:rtl/>
        </w:rPr>
        <w:t xml:space="preserve">ב"כ המאשימה, עו"ד שירי, עמדה על חומרת מעשיו והסיכון הגלום בהם. ב"כ המאשימה סקרה את מגמת החמרה בעבירות דומות וסבורה שהעונש שאליו עותרת חורג לקולא ממדיניות הענישה הנוהגת בתקופה האחרונה. עוד סבורה שהתסקיר שהתקבל חיובי בעיקרו אך אינו כולל נתוני שיקום ולפיכך עותרת לעונש ראוי של 18 חודשי מאסר וענישה נלווית. </w:t>
      </w:r>
    </w:p>
    <w:p w14:paraId="1FDC69B2" w14:textId="77777777" w:rsidR="0044265B" w:rsidRDefault="0044265B" w:rsidP="0044265B">
      <w:pPr>
        <w:pStyle w:val="a9"/>
        <w:spacing w:line="360" w:lineRule="auto"/>
        <w:jc w:val="both"/>
        <w:rPr>
          <w:rFonts w:cs="David"/>
          <w:sz w:val="24"/>
          <w:szCs w:val="24"/>
        </w:rPr>
      </w:pPr>
    </w:p>
    <w:p w14:paraId="65CF9253" w14:textId="77777777" w:rsidR="0044265B" w:rsidRDefault="0044265B" w:rsidP="0044265B">
      <w:pPr>
        <w:pStyle w:val="a9"/>
        <w:numPr>
          <w:ilvl w:val="0"/>
          <w:numId w:val="1"/>
        </w:numPr>
        <w:spacing w:line="360" w:lineRule="auto"/>
        <w:jc w:val="both"/>
        <w:rPr>
          <w:rFonts w:cs="David"/>
          <w:sz w:val="24"/>
          <w:szCs w:val="24"/>
        </w:rPr>
      </w:pPr>
      <w:r>
        <w:rPr>
          <w:rFonts w:cs="David"/>
          <w:sz w:val="24"/>
          <w:szCs w:val="24"/>
          <w:rtl/>
        </w:rPr>
        <w:t xml:space="preserve">ב"כ הנאשם, עו"ד צלניקר, עותר לאימוץ המלצת שירות המבחן ולהסתפק בענישה שיקומית. ב"כ הנאשם אינו מתעלם ממדיניות הענישה אך סבור שנסיבות מעשי הנאשם ומיהותו שונים, הנאשם נישא לאחרונה ומנהל אורח חיים תקין. עוד ביקש ליתן משקל לנסיבות המעשים שאינן ברף גבוה ועד לפני תקופה שאינה ארוכה לא הוגש בגינם כתב אישום וכי מדובר בנשיאת נשק שלא למטרה פלילית, הנאשם לא הביא את הנשק אלא נשאו לפרק זמן קצר. </w:t>
      </w:r>
    </w:p>
    <w:p w14:paraId="672D70FD" w14:textId="77777777" w:rsidR="0044265B" w:rsidRDefault="0044265B" w:rsidP="0044265B">
      <w:pPr>
        <w:pStyle w:val="a9"/>
        <w:rPr>
          <w:rFonts w:cs="David"/>
          <w:sz w:val="24"/>
          <w:szCs w:val="24"/>
          <w:rtl/>
        </w:rPr>
      </w:pPr>
    </w:p>
    <w:p w14:paraId="555476E5" w14:textId="77777777" w:rsidR="0044265B" w:rsidRDefault="0044265B" w:rsidP="0044265B">
      <w:pPr>
        <w:pStyle w:val="a9"/>
        <w:numPr>
          <w:ilvl w:val="0"/>
          <w:numId w:val="1"/>
        </w:numPr>
        <w:spacing w:line="360" w:lineRule="auto"/>
        <w:ind w:left="360"/>
        <w:jc w:val="both"/>
        <w:rPr>
          <w:rFonts w:cs="David"/>
          <w:sz w:val="24"/>
          <w:szCs w:val="24"/>
          <w:rtl/>
        </w:rPr>
      </w:pPr>
      <w:r>
        <w:rPr>
          <w:rFonts w:cs="David"/>
          <w:sz w:val="24"/>
          <w:szCs w:val="24"/>
          <w:rtl/>
        </w:rPr>
        <w:t>הנאשם בדברו האחרון</w:t>
      </w:r>
      <w:r>
        <w:rPr>
          <w:rFonts w:cs="David"/>
          <w:b/>
          <w:bCs/>
          <w:sz w:val="24"/>
          <w:szCs w:val="24"/>
          <w:rtl/>
        </w:rPr>
        <w:t xml:space="preserve">, </w:t>
      </w:r>
      <w:r>
        <w:rPr>
          <w:rFonts w:cs="David"/>
          <w:sz w:val="24"/>
          <w:szCs w:val="24"/>
          <w:rtl/>
        </w:rPr>
        <w:t xml:space="preserve">התנצל והבטיח שלא יחזור על מעשיו. </w:t>
      </w:r>
    </w:p>
    <w:p w14:paraId="246218FE" w14:textId="77777777" w:rsidR="0044265B" w:rsidRDefault="0044265B" w:rsidP="0044265B">
      <w:pPr>
        <w:pStyle w:val="a9"/>
        <w:spacing w:line="360" w:lineRule="auto"/>
        <w:ind w:left="360"/>
        <w:jc w:val="both"/>
        <w:rPr>
          <w:rFonts w:cs="David"/>
          <w:sz w:val="24"/>
          <w:szCs w:val="24"/>
        </w:rPr>
      </w:pPr>
    </w:p>
    <w:p w14:paraId="62658E08" w14:textId="77777777" w:rsidR="0044265B" w:rsidRDefault="0044265B" w:rsidP="0044265B">
      <w:pPr>
        <w:pStyle w:val="a9"/>
        <w:spacing w:line="360" w:lineRule="auto"/>
        <w:ind w:left="360"/>
        <w:rPr>
          <w:rFonts w:cs="David"/>
          <w:b/>
          <w:bCs/>
          <w:sz w:val="24"/>
          <w:szCs w:val="24"/>
          <w:u w:val="single"/>
        </w:rPr>
      </w:pPr>
      <w:r>
        <w:rPr>
          <w:rFonts w:cs="David"/>
          <w:b/>
          <w:bCs/>
          <w:sz w:val="24"/>
          <w:szCs w:val="24"/>
          <w:u w:val="single"/>
          <w:rtl/>
        </w:rPr>
        <w:t>דיון והכרעה</w:t>
      </w:r>
    </w:p>
    <w:p w14:paraId="6D06A6DD" w14:textId="77777777" w:rsidR="0044265B" w:rsidRDefault="0044265B" w:rsidP="0044265B">
      <w:pPr>
        <w:pStyle w:val="a9"/>
        <w:numPr>
          <w:ilvl w:val="0"/>
          <w:numId w:val="1"/>
        </w:numPr>
        <w:spacing w:after="0" w:line="360" w:lineRule="auto"/>
        <w:jc w:val="both"/>
        <w:rPr>
          <w:rFonts w:ascii="Times New Roman" w:eastAsia="Times New Roman" w:hAnsi="Times New Roman" w:cs="David"/>
          <w:sz w:val="24"/>
          <w:szCs w:val="24"/>
        </w:rPr>
      </w:pPr>
      <w:r>
        <w:rPr>
          <w:rFonts w:ascii="Times New Roman" w:eastAsia="Times New Roman" w:hAnsi="Times New Roman" w:cs="David"/>
          <w:sz w:val="24"/>
          <w:szCs w:val="24"/>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w:t>
      </w:r>
      <w:r>
        <w:rPr>
          <w:rFonts w:ascii="Times New Roman" w:eastAsia="Times New Roman" w:hAnsi="Times New Roman" w:cs="David"/>
          <w:sz w:val="24"/>
          <w:szCs w:val="24"/>
          <w:rtl/>
        </w:rPr>
        <w:lastRenderedPageBreak/>
        <w:t>מתחם העונש, ובית המשפט לא מצא מקום לחרוג ממנו לקולא או לחומרא, נקבע העונש הראוי תוך התחשבות בנסיבות העושה.</w:t>
      </w:r>
    </w:p>
    <w:p w14:paraId="333C63F2" w14:textId="77777777" w:rsidR="0044265B" w:rsidRDefault="0044265B" w:rsidP="0044265B">
      <w:pPr>
        <w:pStyle w:val="a9"/>
        <w:spacing w:after="0" w:line="360" w:lineRule="auto"/>
        <w:jc w:val="both"/>
        <w:rPr>
          <w:rFonts w:ascii="Times New Roman" w:eastAsia="Times New Roman" w:hAnsi="Times New Roman" w:cs="David"/>
          <w:sz w:val="24"/>
          <w:szCs w:val="24"/>
        </w:rPr>
      </w:pPr>
      <w:r>
        <w:rPr>
          <w:rFonts w:ascii="Times New Roman" w:eastAsia="Times New Roman" w:hAnsi="Times New Roman" w:cs="David"/>
          <w:sz w:val="24"/>
          <w:szCs w:val="24"/>
          <w:rtl/>
        </w:rPr>
        <w:t xml:space="preserve"> </w:t>
      </w:r>
    </w:p>
    <w:p w14:paraId="2ED317E7" w14:textId="77777777" w:rsidR="0044265B" w:rsidRDefault="0044265B" w:rsidP="0044265B">
      <w:pPr>
        <w:pStyle w:val="a9"/>
        <w:numPr>
          <w:ilvl w:val="0"/>
          <w:numId w:val="1"/>
        </w:numPr>
        <w:spacing w:line="360" w:lineRule="auto"/>
        <w:jc w:val="both"/>
        <w:rPr>
          <w:rFonts w:cs="David"/>
          <w:sz w:val="24"/>
          <w:szCs w:val="24"/>
        </w:rPr>
      </w:pPr>
      <w:r>
        <w:rPr>
          <w:rFonts w:cs="David"/>
          <w:sz w:val="24"/>
          <w:szCs w:val="24"/>
          <w:rtl/>
        </w:rPr>
        <w:t>דומה שאין להכביר מילים ביחס לחומרתן של עבירות הנשק והסיכון הגלום בהן שיש בו כדי לפגוע פגיעה ממשית בשלום הציבור ובטחונו מפני פגיעות בגוף ובנפש. בתי המשפט עמדו חזור ושנה על החומרה הרבה הגלומה בביצוע עבירות בנשק בלתי חוקי והתפשטות עבירות אלו בקרב הציבור כולו, ובקרב המגזר הערבי בפרט ועל הפוטנציאל הטמון בחובן לסיכון של פגיעה בשלום הציבור ובטחונו. "</w:t>
      </w:r>
      <w:r>
        <w:rPr>
          <w:rFonts w:cs="David"/>
          <w:b/>
          <w:bCs/>
          <w:sz w:val="24"/>
          <w:szCs w:val="24"/>
          <w:rtl/>
        </w:rPr>
        <w:t>עצם החזקת נשק בעל פוטנציאל קטילה מבלי שיש עליו ועל בעליו פיקוח מוסדר של הרשויות טומן בחובו סיכון, כאשר המחזיק נתון תמיד לחשש שיתפתה לעשות בו שימוש, ולו ברגעי לחץ ופחד"</w:t>
      </w:r>
      <w:r>
        <w:rPr>
          <w:rFonts w:cs="David"/>
          <w:sz w:val="24"/>
          <w:szCs w:val="24"/>
          <w:rtl/>
        </w:rPr>
        <w:t xml:space="preserve"> </w:t>
      </w:r>
      <w:hyperlink r:id="rId11" w:history="1">
        <w:r w:rsidR="00282F11" w:rsidRPr="00282F11">
          <w:rPr>
            <w:rFonts w:cs="David" w:hint="cs"/>
            <w:color w:val="0000FF"/>
            <w:sz w:val="24"/>
            <w:szCs w:val="24"/>
            <w:u w:val="single"/>
            <w:rtl/>
          </w:rPr>
          <w:t>ע</w:t>
        </w:r>
        <w:r w:rsidR="00282F11" w:rsidRPr="00282F11">
          <w:rPr>
            <w:rFonts w:cs="David"/>
            <w:color w:val="0000FF"/>
            <w:sz w:val="24"/>
            <w:szCs w:val="24"/>
            <w:u w:val="single"/>
            <w:rtl/>
          </w:rPr>
          <w:t>"</w:t>
        </w:r>
        <w:r w:rsidR="00282F11" w:rsidRPr="00282F11">
          <w:rPr>
            <w:rFonts w:cs="David" w:hint="cs"/>
            <w:color w:val="0000FF"/>
            <w:sz w:val="24"/>
            <w:szCs w:val="24"/>
            <w:u w:val="single"/>
            <w:rtl/>
          </w:rPr>
          <w:t>פ</w:t>
        </w:r>
        <w:r w:rsidR="00282F11" w:rsidRPr="00282F11">
          <w:rPr>
            <w:rFonts w:cs="David"/>
            <w:color w:val="0000FF"/>
            <w:sz w:val="24"/>
            <w:szCs w:val="24"/>
            <w:u w:val="single"/>
            <w:rtl/>
          </w:rPr>
          <w:t xml:space="preserve"> 4945/13</w:t>
        </w:r>
      </w:hyperlink>
      <w:r>
        <w:rPr>
          <w:rFonts w:cs="David"/>
          <w:sz w:val="24"/>
          <w:szCs w:val="24"/>
          <w:u w:val="single"/>
          <w:rtl/>
        </w:rPr>
        <w:t xml:space="preserve"> </w:t>
      </w:r>
      <w:r>
        <w:rPr>
          <w:rFonts w:cs="David"/>
          <w:b/>
          <w:bCs/>
          <w:sz w:val="24"/>
          <w:szCs w:val="24"/>
          <w:rtl/>
        </w:rPr>
        <w:t>מדינת ישראל נ' עבד אלכרים</w:t>
      </w:r>
      <w:r>
        <w:rPr>
          <w:rFonts w:cs="David"/>
          <w:sz w:val="24"/>
          <w:szCs w:val="24"/>
          <w:rtl/>
        </w:rPr>
        <w:t xml:space="preserve"> (19.1.2014) ועוד נקבע ב</w:t>
      </w:r>
      <w:hyperlink r:id="rId12" w:history="1">
        <w:r w:rsidR="00282F11" w:rsidRPr="00282F11">
          <w:rPr>
            <w:rFonts w:cs="David" w:hint="cs"/>
            <w:color w:val="0000FF"/>
            <w:sz w:val="24"/>
            <w:szCs w:val="24"/>
            <w:u w:val="single"/>
            <w:rtl/>
          </w:rPr>
          <w:t>ע</w:t>
        </w:r>
        <w:r w:rsidR="00282F11" w:rsidRPr="00282F11">
          <w:rPr>
            <w:rFonts w:cs="David"/>
            <w:color w:val="0000FF"/>
            <w:sz w:val="24"/>
            <w:szCs w:val="24"/>
            <w:u w:val="single"/>
            <w:rtl/>
          </w:rPr>
          <w:t>"</w:t>
        </w:r>
        <w:r w:rsidR="00282F11" w:rsidRPr="00282F11">
          <w:rPr>
            <w:rFonts w:cs="David" w:hint="cs"/>
            <w:color w:val="0000FF"/>
            <w:sz w:val="24"/>
            <w:szCs w:val="24"/>
            <w:u w:val="single"/>
            <w:rtl/>
          </w:rPr>
          <w:t>פ</w:t>
        </w:r>
        <w:r w:rsidR="00282F11" w:rsidRPr="00282F11">
          <w:rPr>
            <w:rFonts w:cs="David"/>
            <w:color w:val="0000FF"/>
            <w:sz w:val="24"/>
            <w:szCs w:val="24"/>
            <w:u w:val="single"/>
            <w:rtl/>
          </w:rPr>
          <w:t xml:space="preserve"> 7502/12</w:t>
        </w:r>
      </w:hyperlink>
      <w:r>
        <w:rPr>
          <w:rFonts w:cs="David"/>
          <w:sz w:val="24"/>
          <w:szCs w:val="24"/>
          <w:rtl/>
        </w:rPr>
        <w:t xml:space="preserve"> </w:t>
      </w:r>
      <w:r w:rsidRPr="00F41A65">
        <w:rPr>
          <w:rFonts w:cs="David"/>
          <w:b/>
          <w:bCs/>
          <w:sz w:val="24"/>
          <w:szCs w:val="24"/>
          <w:rtl/>
        </w:rPr>
        <w:t>כוויס נ' מדינת ישראל</w:t>
      </w:r>
      <w:r>
        <w:rPr>
          <w:rFonts w:cs="David"/>
          <w:sz w:val="24"/>
          <w:szCs w:val="24"/>
          <w:rtl/>
        </w:rPr>
        <w:t xml:space="preserve"> (25.6.2013) כי "</w:t>
      </w:r>
      <w:r>
        <w:rPr>
          <w:rFonts w:cs="David"/>
          <w:b/>
          <w:bCs/>
          <w:sz w:val="24"/>
          <w:szCs w:val="24"/>
          <w:rtl/>
        </w:rPr>
        <w:t>עבירות נשק לסוגיהן מגלמות בתוכן סיכון ממשי לשלום הציבור ובטחונו, שכן לא ניתן לדעת להיכן יתגלגלו כלי הנשק המוחזקים שלא כדין, ואיזה שימוש ייעשה בהם בעתיד"</w:t>
      </w:r>
      <w:r>
        <w:rPr>
          <w:rFonts w:cs="David"/>
          <w:sz w:val="24"/>
          <w:szCs w:val="24"/>
          <w:rtl/>
        </w:rPr>
        <w:t xml:space="preserve">. </w:t>
      </w:r>
    </w:p>
    <w:p w14:paraId="7348BC5A" w14:textId="77777777" w:rsidR="0044265B" w:rsidRDefault="0044265B" w:rsidP="0044265B">
      <w:pPr>
        <w:pStyle w:val="a9"/>
        <w:rPr>
          <w:rFonts w:cs="David"/>
          <w:sz w:val="24"/>
          <w:szCs w:val="24"/>
        </w:rPr>
      </w:pPr>
    </w:p>
    <w:p w14:paraId="486EB4D1" w14:textId="77777777" w:rsidR="0044265B" w:rsidRDefault="0044265B" w:rsidP="0044265B">
      <w:pPr>
        <w:pStyle w:val="a9"/>
        <w:numPr>
          <w:ilvl w:val="0"/>
          <w:numId w:val="1"/>
        </w:numPr>
        <w:spacing w:after="120" w:line="360" w:lineRule="auto"/>
        <w:jc w:val="both"/>
        <w:rPr>
          <w:rFonts w:ascii="David" w:eastAsia="David" w:hAnsi="David" w:cs="David"/>
          <w:sz w:val="24"/>
          <w:szCs w:val="24"/>
          <w:rtl/>
        </w:rPr>
      </w:pPr>
      <w:r>
        <w:rPr>
          <w:rFonts w:ascii="David" w:eastAsia="David" w:hAnsi="David" w:cs="David"/>
          <w:sz w:val="24"/>
          <w:szCs w:val="24"/>
          <w:rtl/>
        </w:rPr>
        <w:t xml:space="preserve">צו השעה הוא להחמיר בענישה בגין עבירות נשק, תוך מתן משקל בכורה לשיקולי הרתעה, אף אם הנאשמים נעדרי עבר פלילי, והאירוע הוא בגדר חריג בנוף חייהם הנורמטיבי </w:t>
      </w:r>
      <w:r>
        <w:rPr>
          <w:rFonts w:cs="David"/>
          <w:sz w:val="24"/>
          <w:szCs w:val="24"/>
          <w:rtl/>
        </w:rPr>
        <w:t>"</w:t>
      </w:r>
      <w:r>
        <w:rPr>
          <w:rFonts w:cs="David"/>
          <w:b/>
          <w:bCs/>
          <w:sz w:val="24"/>
          <w:szCs w:val="24"/>
          <w:rtl/>
        </w:rPr>
        <w:t>ההלכה כי בעת גזירת עונשו של מי שהורשע בעבירות נשק, על בית המשפט לבכר את האינטרס הציבורי שבהרתעת הרבים, על פני נסיבותיו האישיות של הנידון</w:t>
      </w:r>
      <w:r>
        <w:rPr>
          <w:rFonts w:cs="David"/>
          <w:sz w:val="24"/>
          <w:szCs w:val="24"/>
          <w:rtl/>
        </w:rPr>
        <w:t>" (</w:t>
      </w:r>
      <w:hyperlink r:id="rId13" w:history="1">
        <w:r w:rsidR="00282F11" w:rsidRPr="00282F11">
          <w:rPr>
            <w:rFonts w:cs="David" w:hint="cs"/>
            <w:color w:val="0000FF"/>
            <w:sz w:val="24"/>
            <w:szCs w:val="24"/>
            <w:u w:val="single"/>
            <w:rtl/>
          </w:rPr>
          <w:t>ע</w:t>
        </w:r>
        <w:r w:rsidR="00282F11" w:rsidRPr="00282F11">
          <w:rPr>
            <w:rFonts w:cs="David"/>
            <w:color w:val="0000FF"/>
            <w:sz w:val="24"/>
            <w:szCs w:val="24"/>
            <w:u w:val="single"/>
            <w:rtl/>
          </w:rPr>
          <w:t>"</w:t>
        </w:r>
        <w:r w:rsidR="00282F11" w:rsidRPr="00282F11">
          <w:rPr>
            <w:rFonts w:cs="David" w:hint="cs"/>
            <w:color w:val="0000FF"/>
            <w:sz w:val="24"/>
            <w:szCs w:val="24"/>
            <w:u w:val="single"/>
            <w:rtl/>
          </w:rPr>
          <w:t>פ</w:t>
        </w:r>
        <w:r w:rsidR="00282F11" w:rsidRPr="00282F11">
          <w:rPr>
            <w:rFonts w:cs="David"/>
            <w:color w:val="0000FF"/>
            <w:sz w:val="24"/>
            <w:szCs w:val="24"/>
            <w:u w:val="single"/>
            <w:rtl/>
          </w:rPr>
          <w:t xml:space="preserve"> 587/22</w:t>
        </w:r>
      </w:hyperlink>
      <w:r>
        <w:rPr>
          <w:rFonts w:cs="David"/>
          <w:sz w:val="24"/>
          <w:szCs w:val="24"/>
          <w:rtl/>
        </w:rPr>
        <w:t xml:space="preserve"> </w:t>
      </w:r>
      <w:r>
        <w:rPr>
          <w:rFonts w:cs="David"/>
          <w:b/>
          <w:bCs/>
          <w:sz w:val="24"/>
          <w:szCs w:val="24"/>
          <w:rtl/>
        </w:rPr>
        <w:t>עדאב אבו נאעסה נ' מדינת ישראל</w:t>
      </w:r>
      <w:r>
        <w:rPr>
          <w:rFonts w:cs="David"/>
          <w:sz w:val="24"/>
          <w:szCs w:val="24"/>
          <w:rtl/>
        </w:rPr>
        <w:t xml:space="preserve"> פסקה 13 (22.5.2022); </w:t>
      </w:r>
      <w:r>
        <w:rPr>
          <w:rFonts w:ascii="David" w:eastAsia="David" w:hAnsi="David" w:cs="David"/>
          <w:sz w:val="24"/>
          <w:szCs w:val="24"/>
          <w:rtl/>
        </w:rPr>
        <w:t>(</w:t>
      </w:r>
      <w:hyperlink r:id="rId14" w:history="1">
        <w:r w:rsidR="00282F11" w:rsidRPr="00282F11">
          <w:rPr>
            <w:rFonts w:ascii="David" w:eastAsia="David" w:hAnsi="David" w:cs="David"/>
            <w:color w:val="0000FF"/>
            <w:sz w:val="24"/>
            <w:szCs w:val="24"/>
            <w:u w:val="single"/>
            <w:rtl/>
          </w:rPr>
          <w:t>ע"פ 2482/22</w:t>
        </w:r>
      </w:hyperlink>
      <w:r>
        <w:rPr>
          <w:rFonts w:ascii="David" w:eastAsia="David" w:hAnsi="David" w:cs="David"/>
          <w:sz w:val="24"/>
          <w:szCs w:val="24"/>
          <w:rtl/>
        </w:rPr>
        <w:t xml:space="preserve"> </w:t>
      </w:r>
      <w:r>
        <w:rPr>
          <w:rFonts w:ascii="David" w:eastAsia="David" w:hAnsi="David" w:cs="David"/>
          <w:b/>
          <w:bCs/>
          <w:sz w:val="24"/>
          <w:szCs w:val="24"/>
          <w:rtl/>
        </w:rPr>
        <w:t>מדינת ישראל נ' אחמד קדורה</w:t>
      </w:r>
      <w:r>
        <w:rPr>
          <w:rFonts w:ascii="David" w:eastAsia="David" w:hAnsi="David" w:cs="David"/>
          <w:sz w:val="24"/>
          <w:szCs w:val="24"/>
          <w:rtl/>
        </w:rPr>
        <w:t xml:space="preserve">, פסקה 5-6 (14.4.2022); </w:t>
      </w:r>
      <w:hyperlink r:id="rId15" w:history="1">
        <w:r w:rsidR="00282F11" w:rsidRPr="00282F11">
          <w:rPr>
            <w:rFonts w:ascii="David" w:eastAsia="David" w:hAnsi="David" w:cs="David"/>
            <w:color w:val="0000FF"/>
            <w:sz w:val="24"/>
            <w:szCs w:val="24"/>
            <w:u w:val="single"/>
            <w:rtl/>
          </w:rPr>
          <w:t>ע"פ 5813/21</w:t>
        </w:r>
      </w:hyperlink>
      <w:r>
        <w:rPr>
          <w:rFonts w:ascii="David" w:eastAsia="David" w:hAnsi="David" w:cs="David"/>
          <w:sz w:val="24"/>
          <w:szCs w:val="24"/>
          <w:rtl/>
        </w:rPr>
        <w:t xml:space="preserve"> </w:t>
      </w:r>
      <w:r>
        <w:rPr>
          <w:rFonts w:ascii="David" w:eastAsia="David" w:hAnsi="David" w:cs="David"/>
          <w:b/>
          <w:bCs/>
          <w:sz w:val="24"/>
          <w:szCs w:val="24"/>
          <w:rtl/>
        </w:rPr>
        <w:t>מוחמד ג'בארין נ' מדינת ישראל</w:t>
      </w:r>
      <w:r>
        <w:rPr>
          <w:rFonts w:ascii="David" w:eastAsia="David" w:hAnsi="David" w:cs="David"/>
          <w:sz w:val="24"/>
          <w:szCs w:val="24"/>
          <w:rtl/>
        </w:rPr>
        <w:t>, פסקה 14</w:t>
      </w:r>
      <w:r>
        <w:rPr>
          <w:rFonts w:ascii="David" w:eastAsia="David" w:hAnsi="David" w:cs="David"/>
          <w:b/>
          <w:bCs/>
          <w:sz w:val="24"/>
          <w:szCs w:val="24"/>
          <w:rtl/>
        </w:rPr>
        <w:t xml:space="preserve"> </w:t>
      </w:r>
      <w:r>
        <w:rPr>
          <w:rFonts w:ascii="David" w:eastAsia="David" w:hAnsi="David" w:cs="David"/>
          <w:sz w:val="24"/>
          <w:szCs w:val="24"/>
          <w:rtl/>
        </w:rPr>
        <w:t xml:space="preserve">(31.5.2022); </w:t>
      </w:r>
      <w:hyperlink r:id="rId16" w:history="1">
        <w:r w:rsidR="00282F11" w:rsidRPr="00282F11">
          <w:rPr>
            <w:rFonts w:ascii="David" w:eastAsia="David" w:hAnsi="David" w:cs="David"/>
            <w:color w:val="0000FF"/>
            <w:sz w:val="24"/>
            <w:szCs w:val="24"/>
            <w:u w:val="single"/>
            <w:rtl/>
          </w:rPr>
          <w:t>ע"פ 6011/21</w:t>
        </w:r>
      </w:hyperlink>
      <w:r>
        <w:rPr>
          <w:rFonts w:ascii="David" w:eastAsia="David" w:hAnsi="David" w:cs="David"/>
          <w:sz w:val="24"/>
          <w:szCs w:val="24"/>
          <w:rtl/>
        </w:rPr>
        <w:t xml:space="preserve"> </w:t>
      </w:r>
      <w:r>
        <w:rPr>
          <w:rFonts w:ascii="David" w:eastAsia="David" w:hAnsi="David" w:cs="David"/>
          <w:b/>
          <w:bCs/>
          <w:sz w:val="24"/>
          <w:szCs w:val="24"/>
          <w:rtl/>
        </w:rPr>
        <w:t>חאלד דסוקי נ' מדנית ישראל</w:t>
      </w:r>
      <w:r>
        <w:rPr>
          <w:rFonts w:ascii="David" w:eastAsia="David" w:hAnsi="David" w:cs="David"/>
          <w:sz w:val="24"/>
          <w:szCs w:val="24"/>
          <w:rtl/>
        </w:rPr>
        <w:t xml:space="preserve">  (25.11.2021); </w:t>
      </w:r>
      <w:hyperlink r:id="rId17" w:history="1">
        <w:r w:rsidR="00282F11" w:rsidRPr="00282F11">
          <w:rPr>
            <w:rFonts w:ascii="David" w:eastAsia="David" w:hAnsi="David" w:cs="David"/>
            <w:color w:val="0000FF"/>
            <w:spacing w:val="10"/>
            <w:sz w:val="20"/>
            <w:szCs w:val="24"/>
            <w:u w:val="single"/>
            <w:shd w:val="clear" w:color="auto" w:fill="FFFFFF"/>
            <w:rtl/>
          </w:rPr>
          <w:t>ע"פ 8320/21</w:t>
        </w:r>
      </w:hyperlink>
      <w:r>
        <w:rPr>
          <w:rFonts w:ascii="David" w:eastAsia="David" w:hAnsi="David" w:cs="David"/>
          <w:spacing w:val="10"/>
          <w:sz w:val="20"/>
          <w:szCs w:val="24"/>
          <w:shd w:val="clear" w:color="auto" w:fill="FFFFFF"/>
          <w:rtl/>
        </w:rPr>
        <w:t xml:space="preserve"> </w:t>
      </w:r>
      <w:r>
        <w:rPr>
          <w:rFonts w:ascii="David" w:eastAsia="David" w:hAnsi="David" w:cs="David"/>
          <w:b/>
          <w:bCs/>
          <w:spacing w:val="10"/>
          <w:sz w:val="20"/>
          <w:szCs w:val="24"/>
          <w:shd w:val="clear" w:color="auto" w:fill="FFFFFF"/>
          <w:rtl/>
        </w:rPr>
        <w:t>מדינת ישראל נ' מחמד בסילה</w:t>
      </w:r>
      <w:r>
        <w:rPr>
          <w:rFonts w:ascii="David" w:eastAsia="David" w:hAnsi="David" w:cs="David"/>
          <w:spacing w:val="10"/>
          <w:sz w:val="20"/>
          <w:szCs w:val="24"/>
          <w:shd w:val="clear" w:color="auto" w:fill="FFFFFF"/>
          <w:rtl/>
        </w:rPr>
        <w:t>, פסקה 10 (28.12.2021)</w:t>
      </w:r>
      <w:r>
        <w:rPr>
          <w:rFonts w:ascii="David" w:eastAsia="David" w:hAnsi="David" w:cs="David"/>
          <w:sz w:val="24"/>
          <w:szCs w:val="24"/>
          <w:rtl/>
        </w:rPr>
        <w:t xml:space="preserve">; </w:t>
      </w:r>
      <w:hyperlink r:id="rId18" w:history="1">
        <w:r w:rsidR="00282F11" w:rsidRPr="00282F11">
          <w:rPr>
            <w:rFonts w:ascii="David" w:eastAsia="David" w:hAnsi="David" w:cs="David"/>
            <w:color w:val="0000FF"/>
            <w:sz w:val="24"/>
            <w:szCs w:val="24"/>
            <w:u w:val="single"/>
            <w:rtl/>
          </w:rPr>
          <w:t>ע"פ 2283/22</w:t>
        </w:r>
      </w:hyperlink>
      <w:r>
        <w:rPr>
          <w:rFonts w:ascii="David" w:eastAsia="David" w:hAnsi="David" w:cs="David"/>
          <w:sz w:val="24"/>
          <w:szCs w:val="24"/>
          <w:rtl/>
        </w:rPr>
        <w:t xml:space="preserve"> </w:t>
      </w:r>
      <w:r>
        <w:rPr>
          <w:rFonts w:ascii="David" w:eastAsia="David" w:hAnsi="David" w:cs="David"/>
          <w:b/>
          <w:bCs/>
          <w:sz w:val="24"/>
          <w:szCs w:val="24"/>
          <w:rtl/>
        </w:rPr>
        <w:t>אל נבארי נ' מדינת ישראל</w:t>
      </w:r>
      <w:r>
        <w:rPr>
          <w:rFonts w:ascii="David" w:eastAsia="David" w:hAnsi="David" w:cs="David"/>
          <w:sz w:val="24"/>
          <w:szCs w:val="24"/>
          <w:rtl/>
        </w:rPr>
        <w:t xml:space="preserve"> (31.7.2022); </w:t>
      </w:r>
      <w:hyperlink r:id="rId19" w:history="1">
        <w:r w:rsidR="00282F11" w:rsidRPr="00282F11">
          <w:rPr>
            <w:rFonts w:ascii="David" w:eastAsia="David" w:hAnsi="David" w:cs="David"/>
            <w:color w:val="0000FF"/>
            <w:sz w:val="24"/>
            <w:szCs w:val="24"/>
            <w:u w:val="single"/>
            <w:rtl/>
          </w:rPr>
          <w:t>ע"פ 78/21</w:t>
        </w:r>
      </w:hyperlink>
      <w:r>
        <w:rPr>
          <w:rFonts w:ascii="David" w:eastAsia="David" w:hAnsi="David" w:cs="David"/>
          <w:sz w:val="24"/>
          <w:szCs w:val="24"/>
          <w:rtl/>
        </w:rPr>
        <w:t xml:space="preserve"> </w:t>
      </w:r>
      <w:r>
        <w:rPr>
          <w:rFonts w:ascii="David" w:eastAsia="David" w:hAnsi="David" w:cs="David"/>
          <w:b/>
          <w:bCs/>
          <w:sz w:val="24"/>
          <w:szCs w:val="24"/>
          <w:rtl/>
        </w:rPr>
        <w:t>פלוני נ' מדינת</w:t>
      </w:r>
      <w:r>
        <w:rPr>
          <w:rFonts w:ascii="David" w:eastAsia="David" w:hAnsi="David" w:cs="David"/>
          <w:sz w:val="24"/>
          <w:szCs w:val="24"/>
          <w:rtl/>
        </w:rPr>
        <w:t xml:space="preserve"> </w:t>
      </w:r>
      <w:r>
        <w:rPr>
          <w:rFonts w:ascii="David" w:eastAsia="David" w:hAnsi="David" w:cs="David"/>
          <w:b/>
          <w:bCs/>
          <w:sz w:val="24"/>
          <w:szCs w:val="24"/>
          <w:rtl/>
        </w:rPr>
        <w:t>ישראל</w:t>
      </w:r>
      <w:r>
        <w:rPr>
          <w:rFonts w:ascii="David" w:eastAsia="David" w:hAnsi="David" w:cs="David"/>
          <w:sz w:val="24"/>
          <w:szCs w:val="24"/>
          <w:rtl/>
        </w:rPr>
        <w:t xml:space="preserve"> (26.7.2022)).</w:t>
      </w:r>
      <w:r>
        <w:rPr>
          <w:rFonts w:ascii="Times New Roman" w:eastAsia="Times New Roman" w:hAnsi="Times New Roman" w:cs="David"/>
          <w:sz w:val="24"/>
          <w:szCs w:val="24"/>
          <w:rtl/>
        </w:rPr>
        <w:t xml:space="preserve"> </w:t>
      </w:r>
    </w:p>
    <w:p w14:paraId="5A1B93F6" w14:textId="77777777" w:rsidR="0044265B" w:rsidRDefault="0044265B" w:rsidP="0044265B">
      <w:pPr>
        <w:pStyle w:val="a9"/>
        <w:rPr>
          <w:rFonts w:ascii="David" w:eastAsia="David" w:hAnsi="David" w:cs="David"/>
          <w:sz w:val="24"/>
          <w:szCs w:val="24"/>
        </w:rPr>
      </w:pPr>
    </w:p>
    <w:p w14:paraId="6F081CA1" w14:textId="77777777" w:rsidR="0044265B" w:rsidRDefault="0044265B" w:rsidP="0044265B">
      <w:pPr>
        <w:pStyle w:val="a9"/>
        <w:spacing w:line="360" w:lineRule="auto"/>
        <w:jc w:val="both"/>
        <w:rPr>
          <w:rFonts w:ascii="David" w:eastAsia="David" w:hAnsi="David" w:cs="David"/>
          <w:sz w:val="24"/>
          <w:szCs w:val="24"/>
          <w:rtl/>
        </w:rPr>
      </w:pPr>
      <w:r>
        <w:rPr>
          <w:rFonts w:ascii="David" w:eastAsia="David" w:hAnsi="David" w:cs="David"/>
          <w:sz w:val="24"/>
          <w:szCs w:val="24"/>
          <w:rtl/>
        </w:rPr>
        <w:t xml:space="preserve">מגמה זו באה לידי ביטוי גם בחקיקה במסגרת תיקון 140 לחוק, שאינו חל בענייננו, בו נקבעו עונשי מינימום לעבירות נשק.  </w:t>
      </w:r>
    </w:p>
    <w:p w14:paraId="253F4BA5" w14:textId="77777777" w:rsidR="0044265B" w:rsidRDefault="0044265B" w:rsidP="0044265B">
      <w:pPr>
        <w:pStyle w:val="a9"/>
        <w:spacing w:line="360" w:lineRule="auto"/>
        <w:jc w:val="both"/>
        <w:rPr>
          <w:rFonts w:cs="David"/>
          <w:sz w:val="24"/>
          <w:szCs w:val="24"/>
          <w:rtl/>
        </w:rPr>
      </w:pPr>
    </w:p>
    <w:p w14:paraId="0845B5DD" w14:textId="77777777" w:rsidR="0044265B" w:rsidRDefault="0044265B" w:rsidP="0044265B">
      <w:pPr>
        <w:pStyle w:val="a9"/>
        <w:numPr>
          <w:ilvl w:val="0"/>
          <w:numId w:val="1"/>
        </w:numPr>
        <w:spacing w:line="360" w:lineRule="auto"/>
        <w:jc w:val="both"/>
        <w:rPr>
          <w:rFonts w:cs="David"/>
          <w:sz w:val="24"/>
          <w:szCs w:val="24"/>
          <w:rtl/>
        </w:rPr>
      </w:pPr>
      <w:r>
        <w:rPr>
          <w:rFonts w:cs="David"/>
          <w:sz w:val="24"/>
          <w:szCs w:val="24"/>
          <w:rtl/>
        </w:rPr>
        <w:t xml:space="preserve">אכן מעשיו של הנאשם אינם חמורים מאד, הנאשם נשא נשק במהלך חתונה ולטענת ב"כ בהמשך נורו בו, בהתאם למנהג המשתתפים בה, יריות שמחה. עם זאת, ירי בסביבה הומת אדם מסוכן ובעל פוטנציאל לפגיעה בגוף ובנפש, גם אם לא בוצע למטרות עברייניות. עוד יוסף, כי לא מיוחס לנאשם הירי בנשק וכן לא הובהר סוגו. </w:t>
      </w:r>
    </w:p>
    <w:p w14:paraId="755E863F" w14:textId="77777777" w:rsidR="0044265B" w:rsidRDefault="0044265B" w:rsidP="0044265B">
      <w:pPr>
        <w:pStyle w:val="a9"/>
        <w:spacing w:line="360" w:lineRule="auto"/>
        <w:jc w:val="both"/>
        <w:rPr>
          <w:rFonts w:cs="David"/>
          <w:sz w:val="24"/>
          <w:szCs w:val="24"/>
        </w:rPr>
      </w:pPr>
    </w:p>
    <w:p w14:paraId="46510A1C" w14:textId="77777777" w:rsidR="0044265B" w:rsidRDefault="0044265B" w:rsidP="0044265B">
      <w:pPr>
        <w:pStyle w:val="a9"/>
        <w:numPr>
          <w:ilvl w:val="0"/>
          <w:numId w:val="1"/>
        </w:numPr>
        <w:spacing w:line="360" w:lineRule="auto"/>
        <w:jc w:val="both"/>
        <w:rPr>
          <w:rFonts w:cs="David"/>
          <w:sz w:val="24"/>
          <w:szCs w:val="24"/>
          <w:rtl/>
        </w:rPr>
      </w:pPr>
      <w:r>
        <w:rPr>
          <w:rFonts w:cs="David"/>
          <w:sz w:val="24"/>
          <w:szCs w:val="24"/>
          <w:rtl/>
        </w:rPr>
        <w:t xml:space="preserve">עתירתה של המאשימה לעונש ראוי אינה פוטרת את בית המשפט מבחינה מעמיקה של מדיניות הענישה הנוהגת וקביעת מתחם מתאים. צודקת ב"כ המאשימה כי עתירתה לעונש ראוי בן 18 חודשים מתונה וסוטה לקולא ממדיניות הענישה הנוהגת. בפסיקה רבה וענפה הושת על נושאי נשק ומוביליו, חלקם נטולי עבר פלילי, מאסר מאחורי סורג ובריח לתקופות שאינן קצרות. מתחם הענישה שנקבע בפסיקה שהתקבלה לאחרונה, </w:t>
      </w:r>
      <w:hyperlink r:id="rId20" w:history="1">
        <w:r w:rsidR="00282F11" w:rsidRPr="00282F11">
          <w:rPr>
            <w:rFonts w:cs="David" w:hint="cs"/>
            <w:color w:val="0000FF"/>
            <w:sz w:val="24"/>
            <w:szCs w:val="24"/>
            <w:u w:val="single"/>
            <w:rtl/>
          </w:rPr>
          <w:t>ע</w:t>
        </w:r>
        <w:r w:rsidR="00282F11" w:rsidRPr="00282F11">
          <w:rPr>
            <w:rFonts w:cs="David"/>
            <w:color w:val="0000FF"/>
            <w:sz w:val="24"/>
            <w:szCs w:val="24"/>
            <w:u w:val="single"/>
            <w:rtl/>
          </w:rPr>
          <w:t>"</w:t>
        </w:r>
        <w:r w:rsidR="00282F11" w:rsidRPr="00282F11">
          <w:rPr>
            <w:rFonts w:cs="David" w:hint="cs"/>
            <w:color w:val="0000FF"/>
            <w:sz w:val="24"/>
            <w:szCs w:val="24"/>
            <w:u w:val="single"/>
            <w:rtl/>
          </w:rPr>
          <w:t>פ</w:t>
        </w:r>
        <w:r w:rsidR="00282F11" w:rsidRPr="00282F11">
          <w:rPr>
            <w:rFonts w:cs="David"/>
            <w:color w:val="0000FF"/>
            <w:sz w:val="24"/>
            <w:szCs w:val="24"/>
            <w:u w:val="single"/>
            <w:rtl/>
          </w:rPr>
          <w:t xml:space="preserve"> 5602/22</w:t>
        </w:r>
      </w:hyperlink>
      <w:r>
        <w:rPr>
          <w:rFonts w:cs="David"/>
          <w:sz w:val="24"/>
          <w:szCs w:val="24"/>
          <w:rtl/>
        </w:rPr>
        <w:t xml:space="preserve">, </w:t>
      </w:r>
      <w:r>
        <w:rPr>
          <w:rFonts w:cs="David"/>
          <w:b/>
          <w:bCs/>
          <w:sz w:val="24"/>
          <w:szCs w:val="24"/>
          <w:rtl/>
        </w:rPr>
        <w:t>פלוני נ' מדינת ישראל</w:t>
      </w:r>
      <w:r>
        <w:rPr>
          <w:rFonts w:cs="David"/>
          <w:sz w:val="24"/>
          <w:szCs w:val="24"/>
          <w:rtl/>
        </w:rPr>
        <w:t xml:space="preserve">, בגין נשיאת נשק בלתי חוקית נע בין 30-42 חודשים (ראו עוד: </w:t>
      </w:r>
      <w:hyperlink r:id="rId21" w:history="1">
        <w:r w:rsidR="00282F11" w:rsidRPr="00282F11">
          <w:rPr>
            <w:rFonts w:cs="David" w:hint="cs"/>
            <w:color w:val="0000FF"/>
            <w:sz w:val="24"/>
            <w:szCs w:val="24"/>
            <w:u w:val="single"/>
            <w:rtl/>
          </w:rPr>
          <w:t>ע</w:t>
        </w:r>
        <w:r w:rsidR="00282F11" w:rsidRPr="00282F11">
          <w:rPr>
            <w:rFonts w:cs="David"/>
            <w:color w:val="0000FF"/>
            <w:sz w:val="24"/>
            <w:szCs w:val="24"/>
            <w:u w:val="single"/>
            <w:rtl/>
          </w:rPr>
          <w:t>"</w:t>
        </w:r>
        <w:r w:rsidR="00282F11" w:rsidRPr="00282F11">
          <w:rPr>
            <w:rFonts w:cs="David" w:hint="cs"/>
            <w:color w:val="0000FF"/>
            <w:sz w:val="24"/>
            <w:szCs w:val="24"/>
            <w:u w:val="single"/>
            <w:rtl/>
          </w:rPr>
          <w:t>פ</w:t>
        </w:r>
        <w:r w:rsidR="00282F11" w:rsidRPr="00282F11">
          <w:rPr>
            <w:rFonts w:cs="David"/>
            <w:color w:val="0000FF"/>
            <w:sz w:val="24"/>
            <w:szCs w:val="24"/>
            <w:u w:val="single"/>
            <w:rtl/>
          </w:rPr>
          <w:t xml:space="preserve"> 1695/22</w:t>
        </w:r>
      </w:hyperlink>
      <w:r>
        <w:rPr>
          <w:rFonts w:cs="David"/>
          <w:sz w:val="24"/>
          <w:szCs w:val="24"/>
          <w:rtl/>
        </w:rPr>
        <w:t xml:space="preserve"> </w:t>
      </w:r>
      <w:r>
        <w:rPr>
          <w:rFonts w:cs="David"/>
          <w:b/>
          <w:bCs/>
          <w:sz w:val="24"/>
          <w:szCs w:val="24"/>
          <w:rtl/>
        </w:rPr>
        <w:t>מדינת ישראל נ' גנאים ואח'</w:t>
      </w:r>
      <w:r>
        <w:rPr>
          <w:rFonts w:cs="David"/>
          <w:sz w:val="24"/>
          <w:szCs w:val="24"/>
          <w:rtl/>
        </w:rPr>
        <w:t xml:space="preserve"> (29.3.2022); </w:t>
      </w:r>
      <w:hyperlink r:id="rId22" w:history="1">
        <w:r w:rsidR="00282F11" w:rsidRPr="00282F11">
          <w:rPr>
            <w:rFonts w:cs="David" w:hint="cs"/>
            <w:color w:val="0000FF"/>
            <w:sz w:val="24"/>
            <w:szCs w:val="24"/>
            <w:u w:val="single"/>
            <w:rtl/>
          </w:rPr>
          <w:t>ע</w:t>
        </w:r>
        <w:r w:rsidR="00282F11" w:rsidRPr="00282F11">
          <w:rPr>
            <w:rFonts w:cs="David"/>
            <w:color w:val="0000FF"/>
            <w:sz w:val="24"/>
            <w:szCs w:val="24"/>
            <w:u w:val="single"/>
            <w:rtl/>
          </w:rPr>
          <w:t>"</w:t>
        </w:r>
        <w:r w:rsidR="00282F11" w:rsidRPr="00282F11">
          <w:rPr>
            <w:rFonts w:cs="David" w:hint="cs"/>
            <w:color w:val="0000FF"/>
            <w:sz w:val="24"/>
            <w:szCs w:val="24"/>
            <w:u w:val="single"/>
            <w:rtl/>
          </w:rPr>
          <w:t>פ</w:t>
        </w:r>
        <w:r w:rsidR="00282F11" w:rsidRPr="00282F11">
          <w:rPr>
            <w:rFonts w:cs="David"/>
            <w:color w:val="0000FF"/>
            <w:sz w:val="24"/>
            <w:szCs w:val="24"/>
            <w:u w:val="single"/>
            <w:rtl/>
          </w:rPr>
          <w:t xml:space="preserve"> 166/22</w:t>
        </w:r>
      </w:hyperlink>
      <w:r>
        <w:rPr>
          <w:rFonts w:cs="David"/>
          <w:sz w:val="24"/>
          <w:szCs w:val="24"/>
          <w:rtl/>
        </w:rPr>
        <w:t xml:space="preserve"> </w:t>
      </w:r>
      <w:r>
        <w:rPr>
          <w:rFonts w:cs="David"/>
          <w:b/>
          <w:bCs/>
          <w:sz w:val="24"/>
          <w:szCs w:val="24"/>
          <w:rtl/>
        </w:rPr>
        <w:t>מוחמד טאהא נ' מדינת ישראל</w:t>
      </w:r>
      <w:r>
        <w:rPr>
          <w:rFonts w:cs="David"/>
          <w:sz w:val="24"/>
          <w:szCs w:val="24"/>
          <w:rtl/>
        </w:rPr>
        <w:t xml:space="preserve"> (1.6.2022); </w:t>
      </w:r>
      <w:hyperlink r:id="rId23" w:history="1">
        <w:r w:rsidR="00282F11" w:rsidRPr="00282F11">
          <w:rPr>
            <w:rFonts w:ascii="David" w:eastAsia="David" w:hAnsi="David" w:cs="David"/>
            <w:color w:val="0000FF"/>
            <w:sz w:val="24"/>
            <w:szCs w:val="24"/>
            <w:u w:val="single"/>
            <w:rtl/>
          </w:rPr>
          <w:t>ע"פ 6021/21</w:t>
        </w:r>
      </w:hyperlink>
      <w:r>
        <w:rPr>
          <w:rFonts w:ascii="David" w:eastAsia="David" w:hAnsi="David" w:cs="David"/>
          <w:sz w:val="24"/>
          <w:szCs w:val="24"/>
          <w:rtl/>
        </w:rPr>
        <w:t xml:space="preserve"> </w:t>
      </w:r>
      <w:r>
        <w:rPr>
          <w:rFonts w:ascii="David" w:eastAsia="David" w:hAnsi="David" w:cs="David"/>
          <w:b/>
          <w:bCs/>
          <w:sz w:val="24"/>
          <w:szCs w:val="24"/>
          <w:rtl/>
        </w:rPr>
        <w:t>עלי עבוד נ' מדינת ישראל</w:t>
      </w:r>
      <w:r>
        <w:rPr>
          <w:rFonts w:ascii="David" w:eastAsia="David" w:hAnsi="David" w:cs="David"/>
          <w:sz w:val="24"/>
          <w:szCs w:val="24"/>
          <w:rtl/>
        </w:rPr>
        <w:t xml:space="preserve"> (19.12.2021); </w:t>
      </w:r>
      <w:hyperlink r:id="rId24" w:history="1">
        <w:r w:rsidR="00282F11" w:rsidRPr="00282F11">
          <w:rPr>
            <w:rFonts w:ascii="David" w:eastAsia="David" w:hAnsi="David" w:cs="David"/>
            <w:color w:val="0000FF"/>
            <w:sz w:val="24"/>
            <w:szCs w:val="24"/>
            <w:u w:val="single"/>
            <w:rtl/>
          </w:rPr>
          <w:t>ע"פ 1658/22</w:t>
        </w:r>
      </w:hyperlink>
      <w:r>
        <w:rPr>
          <w:rFonts w:ascii="David" w:eastAsia="David" w:hAnsi="David" w:cs="David"/>
          <w:sz w:val="24"/>
          <w:szCs w:val="24"/>
          <w:rtl/>
        </w:rPr>
        <w:t xml:space="preserve"> </w:t>
      </w:r>
      <w:r>
        <w:rPr>
          <w:rFonts w:ascii="David" w:eastAsia="David" w:hAnsi="David" w:cs="David"/>
          <w:b/>
          <w:bCs/>
          <w:sz w:val="24"/>
          <w:szCs w:val="24"/>
          <w:rtl/>
        </w:rPr>
        <w:t>איהאב נח'אש נ' מדינת ישראל</w:t>
      </w:r>
      <w:r>
        <w:rPr>
          <w:rFonts w:ascii="David" w:eastAsia="David" w:hAnsi="David" w:cs="David"/>
          <w:sz w:val="24"/>
          <w:szCs w:val="24"/>
          <w:rtl/>
        </w:rPr>
        <w:t xml:space="preserve"> (19.6.2022)</w:t>
      </w:r>
      <w:r>
        <w:rPr>
          <w:rFonts w:cs="David"/>
          <w:sz w:val="24"/>
          <w:szCs w:val="24"/>
          <w:rtl/>
        </w:rPr>
        <w:t>. עוד נקבע, כי ככל שעסקינן בעבירות בנשק בלתי חוקי, ייסוגו נסיבותיו האישיות של הנאשם מפני שיקולים של אינטרס הציבור והרתעת הרבים (</w:t>
      </w:r>
      <w:hyperlink r:id="rId25" w:history="1">
        <w:r w:rsidR="00282F11" w:rsidRPr="00282F11">
          <w:rPr>
            <w:rFonts w:cs="David" w:hint="cs"/>
            <w:color w:val="0000FF"/>
            <w:sz w:val="24"/>
            <w:szCs w:val="24"/>
            <w:u w:val="single"/>
            <w:rtl/>
          </w:rPr>
          <w:t>ע</w:t>
        </w:r>
        <w:r w:rsidR="00282F11" w:rsidRPr="00282F11">
          <w:rPr>
            <w:rFonts w:cs="David"/>
            <w:color w:val="0000FF"/>
            <w:sz w:val="24"/>
            <w:szCs w:val="24"/>
            <w:u w:val="single"/>
            <w:rtl/>
          </w:rPr>
          <w:t>"</w:t>
        </w:r>
        <w:r w:rsidR="00282F11" w:rsidRPr="00282F11">
          <w:rPr>
            <w:rFonts w:cs="David" w:hint="cs"/>
            <w:color w:val="0000FF"/>
            <w:sz w:val="24"/>
            <w:szCs w:val="24"/>
            <w:u w:val="single"/>
            <w:rtl/>
          </w:rPr>
          <w:t>פ</w:t>
        </w:r>
        <w:r w:rsidR="00282F11" w:rsidRPr="00282F11">
          <w:rPr>
            <w:rFonts w:cs="David"/>
            <w:color w:val="0000FF"/>
            <w:sz w:val="24"/>
            <w:szCs w:val="24"/>
            <w:u w:val="single"/>
            <w:rtl/>
          </w:rPr>
          <w:t xml:space="preserve"> 8012/04</w:t>
        </w:r>
      </w:hyperlink>
      <w:r>
        <w:rPr>
          <w:rFonts w:cs="David"/>
          <w:sz w:val="24"/>
          <w:szCs w:val="24"/>
          <w:rtl/>
        </w:rPr>
        <w:t xml:space="preserve"> </w:t>
      </w:r>
      <w:r>
        <w:rPr>
          <w:rFonts w:cs="David"/>
          <w:b/>
          <w:bCs/>
          <w:sz w:val="24"/>
          <w:szCs w:val="24"/>
          <w:rtl/>
        </w:rPr>
        <w:t>מתאני נ' מדינת ישראל</w:t>
      </w:r>
      <w:r>
        <w:rPr>
          <w:rFonts w:cs="David"/>
          <w:sz w:val="24"/>
          <w:szCs w:val="24"/>
          <w:rtl/>
        </w:rPr>
        <w:t xml:space="preserve">, 16.11.2005). </w:t>
      </w:r>
    </w:p>
    <w:p w14:paraId="2DFDAB51" w14:textId="77777777" w:rsidR="0044265B" w:rsidRDefault="0044265B" w:rsidP="0044265B">
      <w:pPr>
        <w:pStyle w:val="a9"/>
        <w:rPr>
          <w:rFonts w:cs="David"/>
          <w:sz w:val="24"/>
          <w:szCs w:val="24"/>
        </w:rPr>
      </w:pPr>
    </w:p>
    <w:p w14:paraId="77A1FF6A" w14:textId="77777777" w:rsidR="0044265B" w:rsidRDefault="0044265B" w:rsidP="0044265B">
      <w:pPr>
        <w:pStyle w:val="a9"/>
        <w:numPr>
          <w:ilvl w:val="0"/>
          <w:numId w:val="1"/>
        </w:numPr>
        <w:spacing w:line="360" w:lineRule="auto"/>
        <w:jc w:val="both"/>
        <w:rPr>
          <w:rFonts w:ascii="David" w:eastAsia="David" w:hAnsi="David" w:cs="David"/>
          <w:b/>
          <w:bCs/>
          <w:sz w:val="24"/>
          <w:szCs w:val="24"/>
          <w:rtl/>
        </w:rPr>
      </w:pPr>
      <w:r>
        <w:rPr>
          <w:rFonts w:cs="David"/>
          <w:sz w:val="24"/>
          <w:szCs w:val="24"/>
          <w:rtl/>
        </w:rPr>
        <w:t xml:space="preserve">על יסוד נסיבות מעשי הנאשם ומדיניות הענישה הנוהגת היה ראוי לקבוע מתחם ענישה מחמיר יותר אלא שהמאשימה עותרת לעונש של מאסר בן 18 חודשים ונטען אף לקושי ראייתי שניתן לו משקל במסגרת עתירתה.  </w:t>
      </w:r>
      <w:r>
        <w:rPr>
          <w:rFonts w:ascii="David" w:eastAsia="David" w:hAnsi="David" w:cs="David"/>
          <w:sz w:val="24"/>
          <w:szCs w:val="24"/>
          <w:rtl/>
        </w:rPr>
        <w:t xml:space="preserve">עוד מצאתי טעם בטיעוני ב"כ הנאשם, כי במשך שנים רבות תופעת יריות השמחה בחתונות לא טופלה ולא בוצעה אכיפה בתחום זה, מכאן שההחמרה בענישה בעבירות בנסיבות דומות צריכה להתבצע בהדרגה. </w:t>
      </w:r>
      <w:r>
        <w:rPr>
          <w:rFonts w:ascii="David" w:eastAsia="David" w:hAnsi="David" w:cs="David"/>
          <w:b/>
          <w:bCs/>
          <w:sz w:val="24"/>
          <w:szCs w:val="24"/>
          <w:rtl/>
        </w:rPr>
        <w:t xml:space="preserve">לפיכך, אני קובעת מתחם ענישה שנע בין 16-30 חודשי מאסר. </w:t>
      </w:r>
    </w:p>
    <w:p w14:paraId="1CD0802B" w14:textId="77777777" w:rsidR="0044265B" w:rsidRDefault="0044265B" w:rsidP="0044265B">
      <w:pPr>
        <w:pStyle w:val="a9"/>
        <w:rPr>
          <w:rFonts w:cs="David"/>
          <w:b/>
          <w:bCs/>
          <w:sz w:val="24"/>
          <w:szCs w:val="24"/>
          <w:rtl/>
        </w:rPr>
      </w:pPr>
    </w:p>
    <w:p w14:paraId="05D1B270" w14:textId="77777777" w:rsidR="0044265B" w:rsidRDefault="0044265B" w:rsidP="0044265B">
      <w:pPr>
        <w:pStyle w:val="a9"/>
        <w:numPr>
          <w:ilvl w:val="0"/>
          <w:numId w:val="1"/>
        </w:numPr>
        <w:spacing w:line="360" w:lineRule="auto"/>
        <w:jc w:val="both"/>
        <w:rPr>
          <w:rFonts w:cs="David"/>
          <w:sz w:val="24"/>
          <w:szCs w:val="24"/>
          <w:rtl/>
        </w:rPr>
      </w:pPr>
      <w:r>
        <w:rPr>
          <w:rFonts w:cs="David"/>
          <w:sz w:val="24"/>
          <w:szCs w:val="24"/>
          <w:rtl/>
        </w:rPr>
        <w:t>הנאשם בן 28, בעברו הרשעה רלוונטית בהחזקת תחמושת. תסקירו חיובי, הנאשם מנהל אורח חיים תקין, שירות המבחן מעריך שאינו בעל דפוסים עבר</w:t>
      </w:r>
      <w:r>
        <w:rPr>
          <w:rFonts w:cs="David" w:hint="cs"/>
          <w:sz w:val="24"/>
          <w:szCs w:val="24"/>
          <w:rtl/>
        </w:rPr>
        <w:t>י</w:t>
      </w:r>
      <w:r>
        <w:rPr>
          <w:rFonts w:cs="David"/>
          <w:sz w:val="24"/>
          <w:szCs w:val="24"/>
          <w:rtl/>
        </w:rPr>
        <w:t>יניים ושהסיכון הנשקף ממנו פחת. אין בנתוניו כדי לשמש בסיס לחריגה משמעותית ממתחם הענישה לצרכי שיקום ולה</w:t>
      </w:r>
      <w:r>
        <w:rPr>
          <w:rFonts w:cs="David" w:hint="cs"/>
          <w:sz w:val="24"/>
          <w:szCs w:val="24"/>
          <w:rtl/>
        </w:rPr>
        <w:t>י</w:t>
      </w:r>
      <w:r>
        <w:rPr>
          <w:rFonts w:cs="David"/>
          <w:sz w:val="24"/>
          <w:szCs w:val="24"/>
          <w:rtl/>
        </w:rPr>
        <w:t xml:space="preserve">מנעות מהטלת עונש מאסר ממש, לדאבון הלב, רובם של הנאשמים שהורשעו בעבירות דומות בתקופה אחרונה אינם עבריינים אלא בנים למשפחות טובות שמבצעים עבירות נשק לצורך ריגוש ולצורך הוכחת גבריות והתרברבות בפני הסובבים אותם. בפועל הנאשם לא עבר הליך טיפולי ומחזיק בעמדות מקלות כלפי עבירות בנשק. כזכור, </w:t>
      </w:r>
      <w:r>
        <w:rPr>
          <w:rFonts w:ascii="David" w:hAnsi="David" w:cs="David"/>
          <w:sz w:val="24"/>
          <w:szCs w:val="24"/>
          <w:rtl/>
        </w:rPr>
        <w:t xml:space="preserve">המלצות שירות המבחן אינן מחייבות את בית המשפט וביכולתו לסטות ממנה מטעמים מוצדקים (2048/18 </w:t>
      </w:r>
      <w:r>
        <w:rPr>
          <w:rFonts w:ascii="David" w:hAnsi="David" w:cs="David"/>
          <w:b/>
          <w:bCs/>
          <w:sz w:val="24"/>
          <w:szCs w:val="24"/>
          <w:rtl/>
        </w:rPr>
        <w:t>ע"פ פלוני נ' מדינת ישראל</w:t>
      </w:r>
      <w:r>
        <w:rPr>
          <w:rFonts w:ascii="David" w:hAnsi="David" w:cs="David"/>
          <w:sz w:val="24"/>
          <w:szCs w:val="24"/>
          <w:rtl/>
        </w:rPr>
        <w:t>, פסקה 13, 14.11.2018).</w:t>
      </w:r>
    </w:p>
    <w:p w14:paraId="58B72ABC" w14:textId="77777777" w:rsidR="0044265B" w:rsidRDefault="0044265B" w:rsidP="0044265B">
      <w:pPr>
        <w:pStyle w:val="a9"/>
        <w:rPr>
          <w:rFonts w:cs="David"/>
          <w:sz w:val="24"/>
          <w:szCs w:val="24"/>
        </w:rPr>
      </w:pPr>
    </w:p>
    <w:p w14:paraId="05EF430B" w14:textId="77777777" w:rsidR="0044265B" w:rsidRDefault="0044265B" w:rsidP="0044265B">
      <w:pPr>
        <w:pStyle w:val="a9"/>
        <w:numPr>
          <w:ilvl w:val="0"/>
          <w:numId w:val="1"/>
        </w:numPr>
        <w:spacing w:line="360" w:lineRule="auto"/>
        <w:jc w:val="both"/>
        <w:rPr>
          <w:rFonts w:cs="David"/>
          <w:sz w:val="24"/>
          <w:szCs w:val="24"/>
          <w:rtl/>
        </w:rPr>
      </w:pPr>
      <w:r>
        <w:rPr>
          <w:rFonts w:cs="David"/>
          <w:sz w:val="24"/>
          <w:szCs w:val="24"/>
          <w:rtl/>
        </w:rPr>
        <w:t xml:space="preserve">נוכח הרשעתו הקודמת היה ראוי למקם את עונשו מעל הרף התחתון של מתחם הענישה.   לאחר שבחנתי את כלל השיקולים, טיעוני ההגנה והמלצת שירות המבחן, מצאתי ללכת צעד נוסף לקראתו ולקבוע את עונשו בתחתית המתחם לצד ענישה נלווית. </w:t>
      </w:r>
    </w:p>
    <w:p w14:paraId="46EBC12E" w14:textId="77777777" w:rsidR="0044265B" w:rsidRDefault="0044265B" w:rsidP="0044265B">
      <w:pPr>
        <w:pStyle w:val="a9"/>
        <w:rPr>
          <w:rFonts w:cs="David"/>
          <w:sz w:val="24"/>
          <w:szCs w:val="24"/>
        </w:rPr>
      </w:pPr>
    </w:p>
    <w:p w14:paraId="5D5EE6CA" w14:textId="77777777" w:rsidR="0044265B" w:rsidRDefault="0044265B" w:rsidP="0044265B">
      <w:pPr>
        <w:pStyle w:val="a9"/>
        <w:numPr>
          <w:ilvl w:val="0"/>
          <w:numId w:val="1"/>
        </w:numPr>
        <w:spacing w:line="360" w:lineRule="auto"/>
        <w:rPr>
          <w:rFonts w:cs="David"/>
          <w:sz w:val="24"/>
          <w:szCs w:val="24"/>
          <w:rtl/>
        </w:rPr>
      </w:pPr>
      <w:r>
        <w:rPr>
          <w:rFonts w:cs="David"/>
          <w:b/>
          <w:bCs/>
          <w:sz w:val="24"/>
          <w:szCs w:val="24"/>
          <w:rtl/>
        </w:rPr>
        <w:t>אשר על כן, אני גוזרת על הנאשם העונשים הבאים</w:t>
      </w:r>
      <w:r>
        <w:rPr>
          <w:rFonts w:cs="David"/>
          <w:sz w:val="24"/>
          <w:szCs w:val="24"/>
          <w:rtl/>
        </w:rPr>
        <w:t>:</w:t>
      </w:r>
    </w:p>
    <w:p w14:paraId="1CC8AE80" w14:textId="77777777" w:rsidR="0044265B" w:rsidRDefault="0044265B" w:rsidP="0044265B">
      <w:pPr>
        <w:pStyle w:val="a9"/>
        <w:spacing w:line="360" w:lineRule="auto"/>
        <w:rPr>
          <w:rFonts w:cs="David"/>
          <w:sz w:val="24"/>
          <w:szCs w:val="24"/>
        </w:rPr>
      </w:pPr>
      <w:r>
        <w:rPr>
          <w:rFonts w:cs="David"/>
          <w:sz w:val="24"/>
          <w:szCs w:val="24"/>
          <w:rtl/>
        </w:rPr>
        <w:t xml:space="preserve">א. </w:t>
      </w:r>
      <w:r>
        <w:rPr>
          <w:rFonts w:cs="David"/>
          <w:b/>
          <w:bCs/>
          <w:sz w:val="24"/>
          <w:szCs w:val="24"/>
          <w:rtl/>
        </w:rPr>
        <w:t>מאסר בפועל בן 16 חודשים</w:t>
      </w:r>
      <w:r>
        <w:rPr>
          <w:rFonts w:cs="David"/>
          <w:sz w:val="24"/>
          <w:szCs w:val="24"/>
          <w:rtl/>
        </w:rPr>
        <w:t xml:space="preserve"> בניכוי ימי מעצרו מיום 4.7.21-21.7.21.</w:t>
      </w:r>
    </w:p>
    <w:p w14:paraId="59DB132E" w14:textId="77777777" w:rsidR="0044265B" w:rsidRDefault="0044265B" w:rsidP="0044265B">
      <w:pPr>
        <w:pStyle w:val="a9"/>
        <w:spacing w:line="360" w:lineRule="auto"/>
        <w:rPr>
          <w:rFonts w:cs="David"/>
          <w:sz w:val="24"/>
          <w:szCs w:val="24"/>
          <w:rtl/>
        </w:rPr>
      </w:pPr>
      <w:r>
        <w:rPr>
          <w:rFonts w:cs="David"/>
          <w:sz w:val="24"/>
          <w:szCs w:val="24"/>
          <w:rtl/>
        </w:rPr>
        <w:t>ב. מאסר על תנאי בן 8 חודשים למשך 3 שנים מיום שחרורו לבל יבצע עבירת נשק מסוג פשע.</w:t>
      </w:r>
    </w:p>
    <w:p w14:paraId="447BABC5" w14:textId="77777777" w:rsidR="0044265B" w:rsidRDefault="0044265B" w:rsidP="0044265B">
      <w:pPr>
        <w:pStyle w:val="a9"/>
        <w:spacing w:line="360" w:lineRule="auto"/>
        <w:rPr>
          <w:rFonts w:cs="David"/>
          <w:sz w:val="24"/>
          <w:szCs w:val="24"/>
          <w:rtl/>
        </w:rPr>
      </w:pPr>
      <w:r>
        <w:rPr>
          <w:rFonts w:cs="David"/>
          <w:sz w:val="24"/>
          <w:szCs w:val="24"/>
          <w:rtl/>
        </w:rPr>
        <w:t>ג. מאסר על תנאי בן 4 חודשים למשך 3 שנים מיום שחרורו לבל יבצע עבירת נשק מסוג עוון.</w:t>
      </w:r>
    </w:p>
    <w:p w14:paraId="57797929" w14:textId="77777777" w:rsidR="0044265B" w:rsidRDefault="0044265B" w:rsidP="0044265B">
      <w:pPr>
        <w:pStyle w:val="a9"/>
        <w:spacing w:line="360" w:lineRule="auto"/>
        <w:rPr>
          <w:rFonts w:cs="David"/>
          <w:sz w:val="24"/>
          <w:szCs w:val="24"/>
          <w:rtl/>
        </w:rPr>
      </w:pPr>
      <w:r>
        <w:rPr>
          <w:rFonts w:cs="David"/>
          <w:sz w:val="24"/>
          <w:szCs w:val="24"/>
          <w:rtl/>
        </w:rPr>
        <w:t>ד. קנס בסך 2000 ₪ או 20 ימי מאסר תמורתו. הקנס ישולם בארבעה תשלומים שווים ורצופים החל מיום 1.</w:t>
      </w:r>
      <w:r>
        <w:rPr>
          <w:rFonts w:cs="David" w:hint="cs"/>
          <w:sz w:val="24"/>
          <w:szCs w:val="24"/>
          <w:rtl/>
        </w:rPr>
        <w:t>2</w:t>
      </w:r>
      <w:r>
        <w:rPr>
          <w:rFonts w:cs="David"/>
          <w:sz w:val="24"/>
          <w:szCs w:val="24"/>
          <w:rtl/>
        </w:rPr>
        <w:t xml:space="preserve">.23. </w:t>
      </w:r>
      <w:r>
        <w:rPr>
          <w:rFonts w:cs="David" w:hint="cs"/>
          <w:sz w:val="24"/>
          <w:szCs w:val="24"/>
          <w:rtl/>
        </w:rPr>
        <w:t xml:space="preserve">הקנס יקוזז מההפקדה בהליך המעצר הנלווה והיתרה תושב לב"כ הנאשם לאחר שהנאשם יחל בריצוי מאסרו. </w:t>
      </w:r>
    </w:p>
    <w:p w14:paraId="6A29F681" w14:textId="77777777" w:rsidR="0044265B" w:rsidRDefault="0044265B" w:rsidP="0044265B">
      <w:pPr>
        <w:pStyle w:val="a9"/>
        <w:spacing w:line="360" w:lineRule="auto"/>
        <w:rPr>
          <w:rFonts w:cs="David"/>
          <w:sz w:val="24"/>
          <w:szCs w:val="24"/>
          <w:rtl/>
        </w:rPr>
      </w:pPr>
      <w:r>
        <w:rPr>
          <w:rFonts w:cs="David"/>
          <w:sz w:val="24"/>
          <w:szCs w:val="24"/>
          <w:rtl/>
        </w:rPr>
        <w:t xml:space="preserve">ה. הנאשם יתייצב לריצוי מאסרו ביום </w:t>
      </w:r>
      <w:r>
        <w:rPr>
          <w:rFonts w:cs="David" w:hint="cs"/>
          <w:sz w:val="24"/>
          <w:szCs w:val="24"/>
          <w:rtl/>
        </w:rPr>
        <w:t>15.1.23</w:t>
      </w:r>
      <w:r>
        <w:rPr>
          <w:rFonts w:cs="David"/>
          <w:sz w:val="24"/>
          <w:szCs w:val="24"/>
          <w:rtl/>
        </w:rPr>
        <w:t xml:space="preserve"> עד שעה 10:00 בבימ"ר ניצן. </w:t>
      </w:r>
      <w:r>
        <w:rPr>
          <w:rFonts w:cs="David" w:hint="cs"/>
          <w:sz w:val="24"/>
          <w:szCs w:val="24"/>
          <w:rtl/>
        </w:rPr>
        <w:t xml:space="preserve">הערבויות הכספיות לאחר קיזוז הקנס ישמשו להבטחת התייצבותו. צו עיכוב יציאה מהארץ יוותר בתוקף. </w:t>
      </w:r>
    </w:p>
    <w:p w14:paraId="66E2A02E" w14:textId="77777777" w:rsidR="0044265B" w:rsidRDefault="0044265B" w:rsidP="0044265B">
      <w:pPr>
        <w:pStyle w:val="a9"/>
        <w:spacing w:line="360" w:lineRule="auto"/>
        <w:rPr>
          <w:rFonts w:cs="David"/>
          <w:sz w:val="24"/>
          <w:szCs w:val="24"/>
          <w:rtl/>
        </w:rPr>
      </w:pPr>
    </w:p>
    <w:p w14:paraId="1F280571" w14:textId="77777777" w:rsidR="0044265B" w:rsidRDefault="0044265B" w:rsidP="0044265B">
      <w:pPr>
        <w:pStyle w:val="a9"/>
        <w:spacing w:line="360" w:lineRule="auto"/>
        <w:rPr>
          <w:rFonts w:cs="David"/>
          <w:sz w:val="24"/>
          <w:szCs w:val="24"/>
          <w:rtl/>
        </w:rPr>
      </w:pPr>
    </w:p>
    <w:p w14:paraId="5D6575C6" w14:textId="77777777" w:rsidR="0044265B" w:rsidRDefault="0044265B" w:rsidP="0044265B">
      <w:pPr>
        <w:pStyle w:val="a9"/>
        <w:spacing w:line="360" w:lineRule="auto"/>
        <w:rPr>
          <w:rFonts w:cs="David"/>
          <w:sz w:val="24"/>
          <w:szCs w:val="24"/>
          <w:rtl/>
        </w:rPr>
      </w:pPr>
      <w:r>
        <w:rPr>
          <w:rFonts w:cs="David"/>
          <w:sz w:val="24"/>
          <w:szCs w:val="24"/>
          <w:rtl/>
        </w:rPr>
        <w:t xml:space="preserve">מורה על השמדת כלי הנשק והתחמושת לאחר תום תקופת הערעור. </w:t>
      </w:r>
    </w:p>
    <w:p w14:paraId="18640FD6" w14:textId="77777777" w:rsidR="0044265B" w:rsidRDefault="0044265B" w:rsidP="0044265B">
      <w:pPr>
        <w:pStyle w:val="a9"/>
        <w:spacing w:line="360" w:lineRule="auto"/>
        <w:rPr>
          <w:rFonts w:cs="David"/>
          <w:b/>
          <w:bCs/>
          <w:sz w:val="24"/>
          <w:szCs w:val="24"/>
          <w:rtl/>
        </w:rPr>
      </w:pPr>
    </w:p>
    <w:p w14:paraId="51C05597" w14:textId="77777777" w:rsidR="0044265B" w:rsidRDefault="0044265B" w:rsidP="0044265B">
      <w:pPr>
        <w:pStyle w:val="a9"/>
        <w:spacing w:line="360" w:lineRule="auto"/>
        <w:rPr>
          <w:rFonts w:cs="David"/>
          <w:b/>
          <w:bCs/>
          <w:sz w:val="24"/>
          <w:szCs w:val="24"/>
          <w:rtl/>
        </w:rPr>
      </w:pPr>
    </w:p>
    <w:p w14:paraId="5AA05B52" w14:textId="77777777" w:rsidR="0044265B" w:rsidRPr="00282F11" w:rsidRDefault="00282F11" w:rsidP="0044265B">
      <w:pPr>
        <w:pStyle w:val="a9"/>
        <w:tabs>
          <w:tab w:val="left" w:pos="1646"/>
        </w:tabs>
        <w:spacing w:line="360" w:lineRule="auto"/>
        <w:rPr>
          <w:rFonts w:cs="David"/>
          <w:b/>
          <w:bCs/>
          <w:color w:val="FFFFFF"/>
          <w:sz w:val="2"/>
          <w:szCs w:val="2"/>
          <w:rtl/>
        </w:rPr>
      </w:pPr>
      <w:r w:rsidRPr="00282F11">
        <w:rPr>
          <w:rFonts w:cs="David"/>
          <w:b/>
          <w:bCs/>
          <w:color w:val="FFFFFF"/>
          <w:sz w:val="2"/>
          <w:szCs w:val="2"/>
          <w:rtl/>
        </w:rPr>
        <w:t>5129371</w:t>
      </w:r>
    </w:p>
    <w:p w14:paraId="54DC2DFB" w14:textId="77777777" w:rsidR="0044265B" w:rsidRDefault="00282F11" w:rsidP="0044265B">
      <w:pPr>
        <w:pStyle w:val="a9"/>
        <w:spacing w:line="360" w:lineRule="auto"/>
        <w:rPr>
          <w:rFonts w:cs="David"/>
          <w:b/>
          <w:bCs/>
          <w:sz w:val="24"/>
          <w:szCs w:val="24"/>
          <w:rtl/>
        </w:rPr>
      </w:pPr>
      <w:r w:rsidRPr="00282F11">
        <w:rPr>
          <w:rFonts w:cs="David"/>
          <w:b/>
          <w:bCs/>
          <w:color w:val="FFFFFF"/>
          <w:sz w:val="2"/>
          <w:szCs w:val="2"/>
          <w:rtl/>
        </w:rPr>
        <w:t>54678313</w:t>
      </w:r>
      <w:r w:rsidR="0044265B">
        <w:rPr>
          <w:rFonts w:cs="David"/>
          <w:b/>
          <w:bCs/>
          <w:sz w:val="24"/>
          <w:szCs w:val="24"/>
          <w:rtl/>
        </w:rPr>
        <w:t xml:space="preserve">זכות ערעור לבית המשפט העליון בתוך 45 יום. </w:t>
      </w:r>
    </w:p>
    <w:p w14:paraId="1DDCE42E" w14:textId="77777777" w:rsidR="0044265B" w:rsidRDefault="0044265B" w:rsidP="0044265B"/>
    <w:p w14:paraId="3E2A8510" w14:textId="77777777" w:rsidR="0044265B" w:rsidRPr="000F2247" w:rsidRDefault="00282F11" w:rsidP="0044265B">
      <w:pPr>
        <w:rPr>
          <w:rFonts w:ascii="Arial" w:hAnsi="Arial"/>
          <w:b/>
          <w:bCs/>
          <w:sz w:val="26"/>
          <w:szCs w:val="26"/>
          <w:rtl/>
        </w:rPr>
      </w:pPr>
      <w:bookmarkStart w:id="8" w:name="Nitan"/>
      <w:r>
        <w:rPr>
          <w:rFonts w:ascii="Arial" w:hAnsi="Arial"/>
          <w:b/>
          <w:bCs/>
          <w:sz w:val="26"/>
          <w:szCs w:val="26"/>
          <w:rtl/>
        </w:rPr>
        <w:t xml:space="preserve">              ניתן היום, י"ג חשוון תשפ"ג, 07 נובמבר 2022. </w:t>
      </w:r>
      <w:bookmarkEnd w:id="8"/>
    </w:p>
    <w:p w14:paraId="003F942D" w14:textId="77777777" w:rsidR="0044265B" w:rsidRPr="000F2247" w:rsidRDefault="0044265B" w:rsidP="00282F1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2244243" w14:textId="77777777" w:rsidR="0044265B" w:rsidRPr="000F2247" w:rsidRDefault="0044265B" w:rsidP="0044265B">
      <w:pPr>
        <w:jc w:val="center"/>
        <w:rPr>
          <w:rFonts w:ascii="Arial" w:hAnsi="Arial"/>
          <w:b/>
          <w:bCs/>
          <w:sz w:val="26"/>
          <w:szCs w:val="26"/>
          <w:rtl/>
        </w:rPr>
      </w:pPr>
    </w:p>
    <w:p w14:paraId="640EDBDB" w14:textId="77777777" w:rsidR="00EE5BA6" w:rsidRPr="00282F11" w:rsidRDefault="00EE5BA6" w:rsidP="00282F11">
      <w:pPr>
        <w:keepNext/>
        <w:rPr>
          <w:rFonts w:ascii="David" w:hAnsi="David"/>
          <w:color w:val="000000"/>
          <w:sz w:val="22"/>
          <w:szCs w:val="22"/>
          <w:rtl/>
        </w:rPr>
      </w:pPr>
    </w:p>
    <w:p w14:paraId="29154EC8" w14:textId="77777777" w:rsidR="00282F11" w:rsidRPr="00282F11" w:rsidRDefault="00282F11" w:rsidP="00282F11">
      <w:pPr>
        <w:keepNext/>
        <w:rPr>
          <w:rFonts w:ascii="David" w:hAnsi="David"/>
          <w:color w:val="000000"/>
          <w:sz w:val="22"/>
          <w:szCs w:val="22"/>
          <w:rtl/>
        </w:rPr>
      </w:pPr>
      <w:r w:rsidRPr="00282F11">
        <w:rPr>
          <w:rFonts w:ascii="David" w:hAnsi="David"/>
          <w:color w:val="000000"/>
          <w:sz w:val="22"/>
          <w:szCs w:val="22"/>
          <w:rtl/>
        </w:rPr>
        <w:t>מרב גרינברג 54678313</w:t>
      </w:r>
    </w:p>
    <w:p w14:paraId="317C098D" w14:textId="77777777" w:rsidR="00282F11" w:rsidRDefault="00282F11" w:rsidP="00282F11">
      <w:r w:rsidRPr="00282F11">
        <w:rPr>
          <w:color w:val="000000"/>
          <w:rtl/>
        </w:rPr>
        <w:t>נוסח מסמך זה כפוף לשינויי ניסוח ועריכה</w:t>
      </w:r>
    </w:p>
    <w:p w14:paraId="7E873737" w14:textId="77777777" w:rsidR="00282F11" w:rsidRDefault="00282F11" w:rsidP="00282F11">
      <w:pPr>
        <w:rPr>
          <w:rtl/>
        </w:rPr>
      </w:pPr>
    </w:p>
    <w:p w14:paraId="245E46BF" w14:textId="77777777" w:rsidR="00282F11" w:rsidRDefault="00282F11" w:rsidP="00282F11">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FCCDA56" w14:textId="77777777" w:rsidR="00282F11" w:rsidRPr="00282F11" w:rsidRDefault="00282F11" w:rsidP="00282F11">
      <w:pPr>
        <w:jc w:val="center"/>
        <w:rPr>
          <w:color w:val="0000FF"/>
          <w:u w:val="single"/>
        </w:rPr>
      </w:pPr>
    </w:p>
    <w:sectPr w:rsidR="00282F11" w:rsidRPr="00282F11" w:rsidSect="00282F11">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AEB9E" w14:textId="77777777" w:rsidR="00EB1D1F" w:rsidRDefault="00EB1D1F" w:rsidP="00650576">
      <w:r>
        <w:separator/>
      </w:r>
    </w:p>
  </w:endnote>
  <w:endnote w:type="continuationSeparator" w:id="0">
    <w:p w14:paraId="01E731E1" w14:textId="77777777" w:rsidR="00EB1D1F" w:rsidRDefault="00EB1D1F" w:rsidP="0065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AD550" w14:textId="77777777" w:rsidR="00282F11" w:rsidRDefault="00282F11" w:rsidP="00282F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F62E9D" w14:textId="77777777" w:rsidR="00BE4BB6" w:rsidRPr="00282F11" w:rsidRDefault="00282F11" w:rsidP="00282F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9B1CD" w14:textId="77777777" w:rsidR="00282F11" w:rsidRDefault="00282F11" w:rsidP="00282F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0584">
      <w:rPr>
        <w:rFonts w:ascii="FrankRuehl" w:hAnsi="FrankRuehl" w:cs="FrankRuehl"/>
        <w:noProof/>
        <w:rtl/>
      </w:rPr>
      <w:t>1</w:t>
    </w:r>
    <w:r>
      <w:rPr>
        <w:rFonts w:ascii="FrankRuehl" w:hAnsi="FrankRuehl" w:cs="FrankRuehl"/>
        <w:rtl/>
      </w:rPr>
      <w:fldChar w:fldCharType="end"/>
    </w:r>
  </w:p>
  <w:p w14:paraId="7516F20A" w14:textId="77777777" w:rsidR="00BE4BB6" w:rsidRPr="00282F11" w:rsidRDefault="00282F11" w:rsidP="00282F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8C6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2C638" w14:textId="77777777" w:rsidR="00EB1D1F" w:rsidRDefault="00EB1D1F" w:rsidP="00650576">
      <w:r>
        <w:separator/>
      </w:r>
    </w:p>
  </w:footnote>
  <w:footnote w:type="continuationSeparator" w:id="0">
    <w:p w14:paraId="37D4C30C" w14:textId="77777777" w:rsidR="00EB1D1F" w:rsidRDefault="00EB1D1F" w:rsidP="00650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C52E9" w14:textId="77777777" w:rsidR="00282F11" w:rsidRPr="00282F11" w:rsidRDefault="00282F11" w:rsidP="00282F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19759-07-21</w:t>
    </w:r>
    <w:r>
      <w:rPr>
        <w:rFonts w:ascii="David" w:hAnsi="David"/>
        <w:color w:val="000000"/>
        <w:sz w:val="22"/>
        <w:szCs w:val="22"/>
        <w:rtl/>
      </w:rPr>
      <w:tab/>
      <w:t xml:space="preserve"> מדינת ישראל נ' חאלד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68355" w14:textId="77777777" w:rsidR="00282F11" w:rsidRPr="00282F11" w:rsidRDefault="00282F11" w:rsidP="00282F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19759-07-21</w:t>
    </w:r>
    <w:r>
      <w:rPr>
        <w:rFonts w:ascii="David" w:hAnsi="David"/>
        <w:color w:val="000000"/>
        <w:sz w:val="22"/>
        <w:szCs w:val="22"/>
        <w:rtl/>
      </w:rPr>
      <w:tab/>
      <w:t xml:space="preserve"> מדינת ישראל נ' חאלד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C25C2"/>
    <w:multiLevelType w:val="hybridMultilevel"/>
    <w:tmpl w:val="12C4434A"/>
    <w:lvl w:ilvl="0" w:tplc="CD20E46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240149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265B"/>
    <w:rsid w:val="00114767"/>
    <w:rsid w:val="001B5A3B"/>
    <w:rsid w:val="00282F11"/>
    <w:rsid w:val="002A4C3A"/>
    <w:rsid w:val="00430E6D"/>
    <w:rsid w:val="0044265B"/>
    <w:rsid w:val="004B7D76"/>
    <w:rsid w:val="00650576"/>
    <w:rsid w:val="006F224A"/>
    <w:rsid w:val="00880584"/>
    <w:rsid w:val="00890846"/>
    <w:rsid w:val="00BE4BB6"/>
    <w:rsid w:val="00EB1D1F"/>
    <w:rsid w:val="00EE5BA6"/>
    <w:rsid w:val="00F16537"/>
    <w:rsid w:val="00F577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C4C8AD"/>
  <w15:chartTrackingRefBased/>
  <w15:docId w15:val="{7502327F-1F76-4BFC-B89F-FAF7D4FF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26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265B"/>
    <w:pPr>
      <w:tabs>
        <w:tab w:val="center" w:pos="4153"/>
        <w:tab w:val="right" w:pos="8306"/>
      </w:tabs>
    </w:pPr>
  </w:style>
  <w:style w:type="character" w:customStyle="1" w:styleId="a4">
    <w:name w:val="כותרת עליונה תו"/>
    <w:link w:val="a3"/>
    <w:rsid w:val="0044265B"/>
    <w:rPr>
      <w:rFonts w:ascii="Times New Roman" w:eastAsia="Times New Roman" w:hAnsi="Times New Roman" w:cs="David"/>
      <w:sz w:val="24"/>
      <w:szCs w:val="24"/>
    </w:rPr>
  </w:style>
  <w:style w:type="paragraph" w:styleId="a5">
    <w:name w:val="footer"/>
    <w:basedOn w:val="a"/>
    <w:link w:val="a6"/>
    <w:rsid w:val="0044265B"/>
    <w:pPr>
      <w:tabs>
        <w:tab w:val="center" w:pos="4153"/>
        <w:tab w:val="right" w:pos="8306"/>
      </w:tabs>
    </w:pPr>
  </w:style>
  <w:style w:type="character" w:customStyle="1" w:styleId="a6">
    <w:name w:val="כותרת תחתונה תו"/>
    <w:link w:val="a5"/>
    <w:rsid w:val="0044265B"/>
    <w:rPr>
      <w:rFonts w:ascii="Times New Roman" w:eastAsia="Times New Roman" w:hAnsi="Times New Roman" w:cs="David"/>
      <w:sz w:val="24"/>
      <w:szCs w:val="24"/>
    </w:rPr>
  </w:style>
  <w:style w:type="table" w:styleId="a7">
    <w:name w:val="Table Grid"/>
    <w:basedOn w:val="a1"/>
    <w:rsid w:val="004426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265B"/>
  </w:style>
  <w:style w:type="paragraph" w:styleId="a9">
    <w:name w:val="List Paragraph"/>
    <w:basedOn w:val="a"/>
    <w:qFormat/>
    <w:rsid w:val="0044265B"/>
    <w:pPr>
      <w:spacing w:after="160" w:line="256" w:lineRule="auto"/>
      <w:ind w:left="720"/>
      <w:contextualSpacing/>
    </w:pPr>
    <w:rPr>
      <w:rFonts w:ascii="Calibri" w:eastAsia="Calibri" w:hAnsi="Calibri" w:cs="Arial"/>
      <w:sz w:val="22"/>
      <w:szCs w:val="22"/>
    </w:rPr>
  </w:style>
  <w:style w:type="character" w:styleId="Hyperlink">
    <w:name w:val="Hyperlink"/>
    <w:rsid w:val="00282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8268880" TargetMode="External"/><Relationship Id="rId18" Type="http://schemas.openxmlformats.org/officeDocument/2006/relationships/hyperlink" Target="http://www.nevo.co.il/case/28452933"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8384637" TargetMode="External"/><Relationship Id="rId7" Type="http://schemas.openxmlformats.org/officeDocument/2006/relationships/hyperlink" Target="http://www.nevo.co.il/law/70301" TargetMode="External"/><Relationship Id="rId12" Type="http://schemas.openxmlformats.org/officeDocument/2006/relationships/hyperlink" Target="http://www.nevo.co.il/case/5601503" TargetMode="External"/><Relationship Id="rId17" Type="http://schemas.openxmlformats.org/officeDocument/2006/relationships/hyperlink" Target="http://www.nevo.co.il/case/28152132" TargetMode="External"/><Relationship Id="rId25" Type="http://schemas.openxmlformats.org/officeDocument/2006/relationships/hyperlink" Target="http://www.nevo.co.il/case/6118595" TargetMode="External"/><Relationship Id="rId2" Type="http://schemas.openxmlformats.org/officeDocument/2006/relationships/styles" Target="styles.xml"/><Relationship Id="rId16" Type="http://schemas.openxmlformats.org/officeDocument/2006/relationships/hyperlink" Target="http://www.nevo.co.il/case/27911638" TargetMode="External"/><Relationship Id="rId20" Type="http://schemas.openxmlformats.org/officeDocument/2006/relationships/hyperlink" Target="http://www.nevo.co.il/case/2888308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7791493" TargetMode="External"/><Relationship Id="rId24" Type="http://schemas.openxmlformats.org/officeDocument/2006/relationships/hyperlink" Target="http://www.nevo.co.il/case/2838086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894608" TargetMode="External"/><Relationship Id="rId23" Type="http://schemas.openxmlformats.org/officeDocument/2006/relationships/hyperlink" Target="http://www.nevo.co.il/case/27911655"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730579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513828" TargetMode="External"/><Relationship Id="rId22" Type="http://schemas.openxmlformats.org/officeDocument/2006/relationships/hyperlink" Target="http://www.nevo.co.il/case/2822999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1451</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8689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3604596</vt:i4>
      </vt:variant>
      <vt:variant>
        <vt:i4>54</vt:i4>
      </vt:variant>
      <vt:variant>
        <vt:i4>0</vt:i4>
      </vt:variant>
      <vt:variant>
        <vt:i4>5</vt:i4>
      </vt:variant>
      <vt:variant>
        <vt:lpwstr>http://www.nevo.co.il/case/6118595</vt:lpwstr>
      </vt:variant>
      <vt:variant>
        <vt:lpwstr/>
      </vt:variant>
      <vt:variant>
        <vt:i4>3604604</vt:i4>
      </vt:variant>
      <vt:variant>
        <vt:i4>51</vt:i4>
      </vt:variant>
      <vt:variant>
        <vt:i4>0</vt:i4>
      </vt:variant>
      <vt:variant>
        <vt:i4>5</vt:i4>
      </vt:variant>
      <vt:variant>
        <vt:lpwstr>http://www.nevo.co.il/case/28380863</vt:lpwstr>
      </vt:variant>
      <vt:variant>
        <vt:lpwstr/>
      </vt:variant>
      <vt:variant>
        <vt:i4>4128884</vt:i4>
      </vt:variant>
      <vt:variant>
        <vt:i4>48</vt:i4>
      </vt:variant>
      <vt:variant>
        <vt:i4>0</vt:i4>
      </vt:variant>
      <vt:variant>
        <vt:i4>5</vt:i4>
      </vt:variant>
      <vt:variant>
        <vt:lpwstr>http://www.nevo.co.il/case/27911655</vt:lpwstr>
      </vt:variant>
      <vt:variant>
        <vt:lpwstr/>
      </vt:variant>
      <vt:variant>
        <vt:i4>3145847</vt:i4>
      </vt:variant>
      <vt:variant>
        <vt:i4>45</vt:i4>
      </vt:variant>
      <vt:variant>
        <vt:i4>0</vt:i4>
      </vt:variant>
      <vt:variant>
        <vt:i4>5</vt:i4>
      </vt:variant>
      <vt:variant>
        <vt:lpwstr>http://www.nevo.co.il/case/28229995</vt:lpwstr>
      </vt:variant>
      <vt:variant>
        <vt:lpwstr/>
      </vt:variant>
      <vt:variant>
        <vt:i4>3539058</vt:i4>
      </vt:variant>
      <vt:variant>
        <vt:i4>42</vt:i4>
      </vt:variant>
      <vt:variant>
        <vt:i4>0</vt:i4>
      </vt:variant>
      <vt:variant>
        <vt:i4>5</vt:i4>
      </vt:variant>
      <vt:variant>
        <vt:lpwstr>http://www.nevo.co.il/case/28384637</vt:lpwstr>
      </vt:variant>
      <vt:variant>
        <vt:lpwstr/>
      </vt:variant>
      <vt:variant>
        <vt:i4>3211380</vt:i4>
      </vt:variant>
      <vt:variant>
        <vt:i4>39</vt:i4>
      </vt:variant>
      <vt:variant>
        <vt:i4>0</vt:i4>
      </vt:variant>
      <vt:variant>
        <vt:i4>5</vt:i4>
      </vt:variant>
      <vt:variant>
        <vt:lpwstr>http://www.nevo.co.il/case/28883087</vt:lpwstr>
      </vt:variant>
      <vt:variant>
        <vt:lpwstr/>
      </vt:variant>
      <vt:variant>
        <vt:i4>3997812</vt:i4>
      </vt:variant>
      <vt:variant>
        <vt:i4>36</vt:i4>
      </vt:variant>
      <vt:variant>
        <vt:i4>0</vt:i4>
      </vt:variant>
      <vt:variant>
        <vt:i4>5</vt:i4>
      </vt:variant>
      <vt:variant>
        <vt:lpwstr>http://www.nevo.co.il/case/27305799</vt:lpwstr>
      </vt:variant>
      <vt:variant>
        <vt:lpwstr/>
      </vt:variant>
      <vt:variant>
        <vt:i4>3604592</vt:i4>
      </vt:variant>
      <vt:variant>
        <vt:i4>33</vt:i4>
      </vt:variant>
      <vt:variant>
        <vt:i4>0</vt:i4>
      </vt:variant>
      <vt:variant>
        <vt:i4>5</vt:i4>
      </vt:variant>
      <vt:variant>
        <vt:lpwstr>http://www.nevo.co.il/case/28452933</vt:lpwstr>
      </vt:variant>
      <vt:variant>
        <vt:lpwstr/>
      </vt:variant>
      <vt:variant>
        <vt:i4>3276920</vt:i4>
      </vt:variant>
      <vt:variant>
        <vt:i4>30</vt:i4>
      </vt:variant>
      <vt:variant>
        <vt:i4>0</vt:i4>
      </vt:variant>
      <vt:variant>
        <vt:i4>5</vt:i4>
      </vt:variant>
      <vt:variant>
        <vt:lpwstr>http://www.nevo.co.il/case/28152132</vt:lpwstr>
      </vt:variant>
      <vt:variant>
        <vt:lpwstr/>
      </vt:variant>
      <vt:variant>
        <vt:i4>3735668</vt:i4>
      </vt:variant>
      <vt:variant>
        <vt:i4>27</vt:i4>
      </vt:variant>
      <vt:variant>
        <vt:i4>0</vt:i4>
      </vt:variant>
      <vt:variant>
        <vt:i4>5</vt:i4>
      </vt:variant>
      <vt:variant>
        <vt:lpwstr>http://www.nevo.co.il/case/27911638</vt:lpwstr>
      </vt:variant>
      <vt:variant>
        <vt:lpwstr/>
      </vt:variant>
      <vt:variant>
        <vt:i4>4063356</vt:i4>
      </vt:variant>
      <vt:variant>
        <vt:i4>24</vt:i4>
      </vt:variant>
      <vt:variant>
        <vt:i4>0</vt:i4>
      </vt:variant>
      <vt:variant>
        <vt:i4>5</vt:i4>
      </vt:variant>
      <vt:variant>
        <vt:lpwstr>http://www.nevo.co.il/case/27894608</vt:lpwstr>
      </vt:variant>
      <vt:variant>
        <vt:lpwstr/>
      </vt:variant>
      <vt:variant>
        <vt:i4>3539061</vt:i4>
      </vt:variant>
      <vt:variant>
        <vt:i4>21</vt:i4>
      </vt:variant>
      <vt:variant>
        <vt:i4>0</vt:i4>
      </vt:variant>
      <vt:variant>
        <vt:i4>5</vt:i4>
      </vt:variant>
      <vt:variant>
        <vt:lpwstr>http://www.nevo.co.il/case/28513828</vt:lpwstr>
      </vt:variant>
      <vt:variant>
        <vt:lpwstr/>
      </vt:variant>
      <vt:variant>
        <vt:i4>3145842</vt:i4>
      </vt:variant>
      <vt:variant>
        <vt:i4>18</vt:i4>
      </vt:variant>
      <vt:variant>
        <vt:i4>0</vt:i4>
      </vt:variant>
      <vt:variant>
        <vt:i4>5</vt:i4>
      </vt:variant>
      <vt:variant>
        <vt:lpwstr>http://www.nevo.co.il/case/28268880</vt:lpwstr>
      </vt:variant>
      <vt:variant>
        <vt:lpwstr/>
      </vt:variant>
      <vt:variant>
        <vt:i4>3342451</vt:i4>
      </vt:variant>
      <vt:variant>
        <vt:i4>15</vt:i4>
      </vt:variant>
      <vt:variant>
        <vt:i4>0</vt:i4>
      </vt:variant>
      <vt:variant>
        <vt:i4>5</vt:i4>
      </vt:variant>
      <vt:variant>
        <vt:lpwstr>http://www.nevo.co.il/case/5601503</vt:lpwstr>
      </vt:variant>
      <vt:variant>
        <vt:lpwstr/>
      </vt:variant>
      <vt:variant>
        <vt:i4>3735675</vt:i4>
      </vt:variant>
      <vt:variant>
        <vt:i4>12</vt:i4>
      </vt:variant>
      <vt:variant>
        <vt:i4>0</vt:i4>
      </vt:variant>
      <vt:variant>
        <vt:i4>5</vt:i4>
      </vt:variant>
      <vt:variant>
        <vt:lpwstr>http://www.nevo.co.il/case/7791493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2025-01-19T16:43:00Z</dcterms:created>
  <dcterms:modified xsi:type="dcterms:W3CDTF">2025-01-19T16:43:00Z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19759</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חאלד עודה</vt:lpwstr>
  </property>
  <property fmtid="{D5CDD505-2E9C-101B-9397-08002B2CF9AE}" pid="10" name="LAWYER">
    <vt:lpwstr>ליטל שירי;ערן צלניקר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20221107</vt:lpwstr>
  </property>
  <property fmtid="{D5CDD505-2E9C-101B-9397-08002B2CF9AE}" pid="14" name="TYPE_N_DATE">
    <vt:lpwstr>39020221107</vt:lpwstr>
  </property>
  <property fmtid="{D5CDD505-2E9C-101B-9397-08002B2CF9AE}" pid="15" name="WORDNUMPAGES">
    <vt:lpwstr>5</vt:lpwstr>
  </property>
  <property fmtid="{D5CDD505-2E9C-101B-9397-08002B2CF9AE}" pid="16" name="TYPE_ABS_DATE">
    <vt:lpwstr>390020221107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7791493;5601503;28268880;28513828;27894608;27911638;28152132;28452933;27305799;28883087;28384637;28229995;27911655;28380863;6118595</vt:lpwstr>
  </property>
  <property fmtid="{D5CDD505-2E9C-101B-9397-08002B2CF9AE}" pid="36" name="LAWLISTTMP1">
    <vt:lpwstr>70301/144.b</vt:lpwstr>
  </property>
</Properties>
</file>