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31"/>
        <w:gridCol w:w="1502"/>
        <w:gridCol w:w="2165"/>
        <w:gridCol w:w="99"/>
      </w:tblGrid>
      <w:tr w:rsidR="00E10664" w:rsidRPr="00534565" w14:paraId="3DFEC509" w14:textId="77777777" w:rsidTr="002625BC">
        <w:trPr>
          <w:gridAfter w:val="1"/>
          <w:wAfter w:w="99" w:type="dxa"/>
          <w:trHeight w:hRule="exact" w:val="418"/>
          <w:jc w:val="center"/>
        </w:trPr>
        <w:tc>
          <w:tcPr>
            <w:tcW w:w="8721" w:type="dxa"/>
            <w:gridSpan w:val="4"/>
          </w:tcPr>
          <w:p w14:paraId="5B35E77E" w14:textId="77777777" w:rsidR="00E10664" w:rsidRPr="00534565" w:rsidRDefault="00E10664" w:rsidP="00595146">
            <w:pPr>
              <w:pStyle w:val="a3"/>
              <w:jc w:val="center"/>
              <w:rPr>
                <w:rFonts w:ascii="Tahoma" w:hAnsi="Tahoma" w:cs="Tahoma"/>
                <w:color w:val="000080"/>
                <w:rtl/>
              </w:rPr>
            </w:pPr>
            <w:bookmarkStart w:id="0" w:name="LastJudge"/>
            <w:r w:rsidRPr="00534565">
              <w:rPr>
                <w:rFonts w:ascii="Tahoma" w:hAnsi="Tahoma" w:cs="Tahoma"/>
                <w:b/>
                <w:bCs/>
                <w:color w:val="000080"/>
                <w:rtl/>
              </w:rPr>
              <w:t>בית המשפט המחוזי בירושלים</w:t>
            </w:r>
          </w:p>
        </w:tc>
      </w:tr>
      <w:tr w:rsidR="00E10664" w:rsidRPr="00534565" w14:paraId="0F7BEF8F" w14:textId="77777777" w:rsidTr="002625BC">
        <w:trPr>
          <w:gridAfter w:val="1"/>
          <w:wAfter w:w="99" w:type="dxa"/>
          <w:trHeight w:val="337"/>
          <w:jc w:val="center"/>
        </w:trPr>
        <w:tc>
          <w:tcPr>
            <w:tcW w:w="5054" w:type="dxa"/>
            <w:gridSpan w:val="2"/>
          </w:tcPr>
          <w:p w14:paraId="71D9B233" w14:textId="77777777" w:rsidR="00E10664" w:rsidRPr="00534565" w:rsidRDefault="00E10664" w:rsidP="00595146">
            <w:pPr>
              <w:rPr>
                <w:rFonts w:cs="FrankRuehl"/>
                <w:sz w:val="28"/>
                <w:szCs w:val="28"/>
                <w:rtl/>
              </w:rPr>
            </w:pPr>
            <w:r w:rsidRPr="00534565">
              <w:rPr>
                <w:rFonts w:cs="FrankRuehl"/>
                <w:sz w:val="28"/>
                <w:szCs w:val="28"/>
                <w:rtl/>
              </w:rPr>
              <w:t>ת"פ</w:t>
            </w:r>
            <w:r w:rsidRPr="00534565">
              <w:rPr>
                <w:rFonts w:cs="FrankRuehl" w:hint="cs"/>
                <w:sz w:val="28"/>
                <w:szCs w:val="28"/>
                <w:rtl/>
              </w:rPr>
              <w:t xml:space="preserve"> </w:t>
            </w:r>
            <w:r w:rsidRPr="00534565">
              <w:rPr>
                <w:rFonts w:cs="FrankRuehl"/>
                <w:sz w:val="28"/>
                <w:szCs w:val="28"/>
                <w:rtl/>
              </w:rPr>
              <w:t>35397-07-21</w:t>
            </w:r>
            <w:r w:rsidRPr="00534565">
              <w:rPr>
                <w:rFonts w:cs="FrankRuehl" w:hint="cs"/>
                <w:sz w:val="28"/>
                <w:szCs w:val="28"/>
                <w:rtl/>
              </w:rPr>
              <w:t xml:space="preserve"> </w:t>
            </w:r>
            <w:r w:rsidRPr="00534565">
              <w:rPr>
                <w:rFonts w:cs="FrankRuehl"/>
                <w:sz w:val="28"/>
                <w:szCs w:val="28"/>
                <w:rtl/>
              </w:rPr>
              <w:t>מדינת ישראל נ' עאצי</w:t>
            </w:r>
          </w:p>
          <w:p w14:paraId="479636C1" w14:textId="77777777" w:rsidR="00E10664" w:rsidRPr="00534565" w:rsidRDefault="00E10664" w:rsidP="00595146">
            <w:pPr>
              <w:pStyle w:val="a3"/>
              <w:rPr>
                <w:rFonts w:cs="FrankRuehl"/>
                <w:sz w:val="28"/>
                <w:szCs w:val="28"/>
                <w:rtl/>
              </w:rPr>
            </w:pPr>
          </w:p>
        </w:tc>
        <w:tc>
          <w:tcPr>
            <w:tcW w:w="3667" w:type="dxa"/>
            <w:gridSpan w:val="2"/>
          </w:tcPr>
          <w:p w14:paraId="68BF5710" w14:textId="77777777" w:rsidR="00E10664" w:rsidRPr="00534565" w:rsidRDefault="00E10664" w:rsidP="00595146">
            <w:pPr>
              <w:pStyle w:val="a3"/>
              <w:jc w:val="right"/>
              <w:rPr>
                <w:rFonts w:cs="FrankRuehl"/>
                <w:sz w:val="28"/>
                <w:szCs w:val="28"/>
                <w:rtl/>
              </w:rPr>
            </w:pPr>
          </w:p>
        </w:tc>
      </w:tr>
      <w:tr w:rsidR="00E10664" w:rsidRPr="00534565" w14:paraId="138D0781" w14:textId="77777777" w:rsidTr="002625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0A20643" w14:textId="77777777" w:rsidR="00E10664" w:rsidRPr="00534565" w:rsidRDefault="00E10664" w:rsidP="00E10664">
            <w:pPr>
              <w:jc w:val="both"/>
              <w:rPr>
                <w:rFonts w:ascii="FrankRuehl" w:hAnsi="FrankRuehl" w:cs="FrankRuehl"/>
                <w:sz w:val="30"/>
                <w:szCs w:val="30"/>
              </w:rPr>
            </w:pPr>
            <w:r w:rsidRPr="00534565">
              <w:rPr>
                <w:rFonts w:hint="cs"/>
                <w:rtl/>
              </w:rPr>
              <w:t xml:space="preserve"> </w:t>
            </w:r>
            <w:r w:rsidRPr="00534565">
              <w:rPr>
                <w:rFonts w:ascii="FrankRuehl" w:hAnsi="FrankRuehl" w:cs="FrankRuehl"/>
                <w:sz w:val="30"/>
                <w:szCs w:val="30"/>
                <w:rtl/>
              </w:rPr>
              <w:t xml:space="preserve">בפני </w:t>
            </w:r>
          </w:p>
        </w:tc>
        <w:tc>
          <w:tcPr>
            <w:tcW w:w="7897" w:type="dxa"/>
            <w:gridSpan w:val="4"/>
            <w:tcBorders>
              <w:top w:val="nil"/>
              <w:left w:val="nil"/>
              <w:bottom w:val="nil"/>
              <w:right w:val="nil"/>
            </w:tcBorders>
            <w:shd w:val="clear" w:color="auto" w:fill="auto"/>
          </w:tcPr>
          <w:p w14:paraId="02D6EC7E" w14:textId="77777777" w:rsidR="00E10664" w:rsidRPr="00534565" w:rsidRDefault="00E10664" w:rsidP="00595146">
            <w:pPr>
              <w:rPr>
                <w:rFonts w:ascii="FrankRuehl" w:hAnsi="FrankRuehl" w:cs="FrankRuehl"/>
                <w:b/>
                <w:bCs/>
                <w:sz w:val="30"/>
                <w:szCs w:val="30"/>
                <w:rtl/>
              </w:rPr>
            </w:pPr>
            <w:r w:rsidRPr="00534565">
              <w:rPr>
                <w:rFonts w:ascii="FrankRuehl" w:hAnsi="FrankRuehl" w:cs="FrankRuehl"/>
                <w:b/>
                <w:bCs/>
                <w:sz w:val="30"/>
                <w:szCs w:val="30"/>
                <w:rtl/>
              </w:rPr>
              <w:t>כב</w:t>
            </w:r>
            <w:r w:rsidRPr="00534565">
              <w:rPr>
                <w:rFonts w:ascii="FrankRuehl" w:hAnsi="FrankRuehl" w:cs="FrankRuehl" w:hint="cs"/>
                <w:b/>
                <w:bCs/>
                <w:sz w:val="30"/>
                <w:szCs w:val="30"/>
                <w:rtl/>
              </w:rPr>
              <w:t>'</w:t>
            </w:r>
            <w:r w:rsidRPr="00534565">
              <w:rPr>
                <w:rFonts w:ascii="FrankRuehl" w:hAnsi="FrankRuehl" w:cs="FrankRuehl"/>
                <w:b/>
                <w:bCs/>
                <w:sz w:val="30"/>
                <w:szCs w:val="30"/>
                <w:rtl/>
              </w:rPr>
              <w:t xml:space="preserve"> השופט  אילן סלע</w:t>
            </w:r>
          </w:p>
          <w:p w14:paraId="0A3B6170" w14:textId="77777777" w:rsidR="00E10664" w:rsidRPr="00534565" w:rsidRDefault="00E10664" w:rsidP="00595146">
            <w:pPr>
              <w:rPr>
                <w:rFonts w:ascii="FrankRuehl" w:hAnsi="FrankRuehl" w:cs="FrankRuehl"/>
                <w:sz w:val="30"/>
                <w:szCs w:val="30"/>
                <w:rtl/>
              </w:rPr>
            </w:pPr>
          </w:p>
          <w:p w14:paraId="2315B9FE" w14:textId="77777777" w:rsidR="00E10664" w:rsidRPr="00534565" w:rsidRDefault="00E10664" w:rsidP="00E10664">
            <w:pPr>
              <w:jc w:val="both"/>
              <w:rPr>
                <w:rFonts w:ascii="FrankRuehl" w:hAnsi="FrankRuehl" w:cs="FrankRuehl"/>
                <w:sz w:val="30"/>
                <w:szCs w:val="30"/>
              </w:rPr>
            </w:pPr>
          </w:p>
        </w:tc>
      </w:tr>
      <w:tr w:rsidR="00E10664" w:rsidRPr="00534565" w14:paraId="78D7F88D" w14:textId="77777777" w:rsidTr="002625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6599F9" w14:textId="77777777" w:rsidR="00E10664" w:rsidRPr="00534565" w:rsidRDefault="00E10664" w:rsidP="00E10664">
            <w:pPr>
              <w:jc w:val="both"/>
              <w:rPr>
                <w:rFonts w:ascii="FrankRuehl" w:hAnsi="FrankRuehl" w:cs="FrankRuehl"/>
                <w:sz w:val="30"/>
                <w:szCs w:val="30"/>
              </w:rPr>
            </w:pPr>
            <w:bookmarkStart w:id="1" w:name="FirstAppellant"/>
            <w:r w:rsidRPr="00534565">
              <w:rPr>
                <w:rFonts w:ascii="FrankRuehl" w:hAnsi="FrankRuehl" w:cs="FrankRuehl"/>
                <w:sz w:val="30"/>
                <w:szCs w:val="30"/>
                <w:rtl/>
              </w:rPr>
              <w:t>בעניין:</w:t>
            </w:r>
          </w:p>
        </w:tc>
        <w:tc>
          <w:tcPr>
            <w:tcW w:w="5633" w:type="dxa"/>
            <w:gridSpan w:val="2"/>
            <w:tcBorders>
              <w:top w:val="nil"/>
              <w:left w:val="nil"/>
              <w:bottom w:val="nil"/>
              <w:right w:val="nil"/>
            </w:tcBorders>
            <w:shd w:val="clear" w:color="auto" w:fill="auto"/>
          </w:tcPr>
          <w:p w14:paraId="68D0A6D4" w14:textId="77777777" w:rsidR="00E10664" w:rsidRPr="00534565" w:rsidRDefault="00E10664" w:rsidP="00E10664">
            <w:pPr>
              <w:suppressLineNumbers/>
              <w:rPr>
                <w:rFonts w:ascii="FrankRuehl" w:hAnsi="FrankRuehl" w:cs="FrankRuehl"/>
                <w:b/>
                <w:bCs/>
                <w:sz w:val="30"/>
                <w:szCs w:val="30"/>
                <w:rtl/>
              </w:rPr>
            </w:pPr>
            <w:r w:rsidRPr="00534565">
              <w:rPr>
                <w:rFonts w:ascii="FrankRuehl" w:hAnsi="FrankRuehl" w:cs="FrankRuehl" w:hint="cs"/>
                <w:b/>
                <w:bCs/>
                <w:sz w:val="30"/>
                <w:szCs w:val="30"/>
                <w:rtl/>
              </w:rPr>
              <w:t>מדינת ישראל</w:t>
            </w:r>
          </w:p>
          <w:p w14:paraId="279D1282" w14:textId="77777777" w:rsidR="00E10664" w:rsidRPr="00534565" w:rsidRDefault="00E10664" w:rsidP="00E10664">
            <w:pPr>
              <w:suppressLineNumbers/>
              <w:rPr>
                <w:rFonts w:ascii="FrankRuehl" w:hAnsi="FrankRuehl" w:cs="FrankRuehl"/>
                <w:b/>
                <w:bCs/>
                <w:sz w:val="30"/>
                <w:szCs w:val="30"/>
                <w:rtl/>
              </w:rPr>
            </w:pPr>
            <w:r w:rsidRPr="00534565">
              <w:rPr>
                <w:rFonts w:ascii="FrankRuehl" w:hAnsi="FrankRuehl" w:cs="FrankRuehl" w:hint="cs"/>
                <w:b/>
                <w:bCs/>
                <w:sz w:val="30"/>
                <w:szCs w:val="30"/>
                <w:rtl/>
              </w:rPr>
              <w:t>באמצעות פרקליטות מחוז ירושלים (פלילי),</w:t>
            </w:r>
          </w:p>
          <w:p w14:paraId="4FDBCE35" w14:textId="77777777" w:rsidR="00E10664" w:rsidRPr="00534565" w:rsidRDefault="00E10664" w:rsidP="00E10664">
            <w:pPr>
              <w:suppressLineNumbers/>
              <w:rPr>
                <w:rFonts w:ascii="FrankRuehl" w:hAnsi="FrankRuehl" w:cs="FrankRuehl"/>
                <w:sz w:val="30"/>
                <w:szCs w:val="30"/>
                <w:rtl/>
              </w:rPr>
            </w:pPr>
            <w:r w:rsidRPr="00534565">
              <w:rPr>
                <w:rFonts w:ascii="FrankRuehl" w:hAnsi="FrankRuehl" w:cs="FrankRuehl" w:hint="cs"/>
                <w:b/>
                <w:bCs/>
                <w:sz w:val="30"/>
                <w:szCs w:val="30"/>
                <w:rtl/>
              </w:rPr>
              <w:t>ע"י עו"ד</w:t>
            </w:r>
            <w:r w:rsidRPr="00534565">
              <w:rPr>
                <w:rFonts w:ascii="FrankRuehl" w:hAnsi="FrankRuehl" w:cs="FrankRuehl" w:hint="cs"/>
                <w:sz w:val="30"/>
                <w:szCs w:val="30"/>
                <w:rtl/>
              </w:rPr>
              <w:t xml:space="preserve"> </w:t>
            </w:r>
            <w:r w:rsidRPr="00534565">
              <w:rPr>
                <w:rFonts w:ascii="FrankRuehl" w:hAnsi="FrankRuehl" w:cs="FrankRuehl" w:hint="cs"/>
                <w:b/>
                <w:bCs/>
                <w:sz w:val="30"/>
                <w:szCs w:val="30"/>
                <w:rtl/>
              </w:rPr>
              <w:t>ברכה בן אדרת</w:t>
            </w:r>
          </w:p>
          <w:p w14:paraId="3E829DF2" w14:textId="77777777" w:rsidR="00E10664" w:rsidRPr="00534565" w:rsidRDefault="00E10664" w:rsidP="00E10664">
            <w:pPr>
              <w:suppressLineNumbers/>
              <w:rPr>
                <w:rFonts w:ascii="FrankRuehl" w:hAnsi="FrankRuehl" w:cs="FrankRuehl"/>
                <w:sz w:val="30"/>
                <w:szCs w:val="30"/>
              </w:rPr>
            </w:pPr>
          </w:p>
        </w:tc>
        <w:tc>
          <w:tcPr>
            <w:tcW w:w="2264" w:type="dxa"/>
            <w:gridSpan w:val="2"/>
            <w:tcBorders>
              <w:top w:val="nil"/>
              <w:left w:val="nil"/>
              <w:bottom w:val="nil"/>
              <w:right w:val="nil"/>
            </w:tcBorders>
            <w:shd w:val="clear" w:color="auto" w:fill="auto"/>
            <w:vAlign w:val="center"/>
          </w:tcPr>
          <w:p w14:paraId="33F22CD3" w14:textId="77777777" w:rsidR="00E10664" w:rsidRPr="00534565" w:rsidRDefault="00E10664" w:rsidP="00E10664">
            <w:pPr>
              <w:suppressLineNumbers/>
              <w:rPr>
                <w:rFonts w:ascii="FrankRuehl" w:hAnsi="FrankRuehl" w:cs="FrankRuehl"/>
                <w:b/>
                <w:bCs/>
                <w:sz w:val="30"/>
                <w:szCs w:val="30"/>
                <w:rtl/>
              </w:rPr>
            </w:pPr>
          </w:p>
          <w:p w14:paraId="6CAE614F" w14:textId="77777777" w:rsidR="00E10664" w:rsidRPr="00534565" w:rsidRDefault="00E10664" w:rsidP="00E10664">
            <w:pPr>
              <w:suppressLineNumbers/>
              <w:rPr>
                <w:rFonts w:ascii="FrankRuehl" w:hAnsi="FrankRuehl" w:cs="FrankRuehl"/>
                <w:sz w:val="30"/>
                <w:szCs w:val="30"/>
              </w:rPr>
            </w:pPr>
            <w:r w:rsidRPr="00534565">
              <w:rPr>
                <w:rFonts w:ascii="FrankRuehl" w:hAnsi="FrankRuehl" w:cs="FrankRuehl" w:hint="cs"/>
                <w:b/>
                <w:bCs/>
                <w:sz w:val="30"/>
                <w:szCs w:val="30"/>
                <w:rtl/>
              </w:rPr>
              <w:t>המאשימה</w:t>
            </w:r>
          </w:p>
        </w:tc>
      </w:tr>
      <w:bookmarkEnd w:id="1"/>
      <w:tr w:rsidR="00E10664" w:rsidRPr="00534565" w14:paraId="70C69FF3" w14:textId="77777777" w:rsidTr="002625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06725F2" w14:textId="77777777" w:rsidR="00E10664" w:rsidRPr="00534565" w:rsidRDefault="00E10664" w:rsidP="00E10664">
            <w:pPr>
              <w:jc w:val="both"/>
              <w:rPr>
                <w:rFonts w:ascii="FrankRuehl" w:hAnsi="FrankRuehl" w:cs="FrankRuehl"/>
                <w:sz w:val="30"/>
                <w:szCs w:val="30"/>
                <w:rtl/>
              </w:rPr>
            </w:pPr>
          </w:p>
        </w:tc>
        <w:tc>
          <w:tcPr>
            <w:tcW w:w="7897" w:type="dxa"/>
            <w:gridSpan w:val="4"/>
            <w:tcBorders>
              <w:top w:val="nil"/>
              <w:left w:val="nil"/>
              <w:bottom w:val="nil"/>
              <w:right w:val="nil"/>
            </w:tcBorders>
            <w:shd w:val="clear" w:color="auto" w:fill="auto"/>
          </w:tcPr>
          <w:p w14:paraId="60277DF8" w14:textId="77777777" w:rsidR="00E10664" w:rsidRPr="00534565" w:rsidRDefault="00E10664" w:rsidP="00E10664">
            <w:pPr>
              <w:jc w:val="center"/>
              <w:rPr>
                <w:rFonts w:ascii="FrankRuehl" w:hAnsi="FrankRuehl" w:cs="FrankRuehl"/>
                <w:b/>
                <w:bCs/>
                <w:sz w:val="30"/>
                <w:szCs w:val="30"/>
                <w:rtl/>
              </w:rPr>
            </w:pPr>
          </w:p>
          <w:p w14:paraId="661870C1" w14:textId="77777777" w:rsidR="00E10664" w:rsidRPr="00534565" w:rsidRDefault="00E10664" w:rsidP="00E10664">
            <w:pPr>
              <w:jc w:val="center"/>
              <w:rPr>
                <w:rFonts w:ascii="FrankRuehl" w:hAnsi="FrankRuehl" w:cs="FrankRuehl"/>
                <w:b/>
                <w:bCs/>
                <w:sz w:val="30"/>
                <w:szCs w:val="30"/>
                <w:rtl/>
              </w:rPr>
            </w:pPr>
            <w:r w:rsidRPr="00534565">
              <w:rPr>
                <w:rFonts w:ascii="FrankRuehl" w:hAnsi="FrankRuehl" w:cs="FrankRuehl"/>
                <w:b/>
                <w:bCs/>
                <w:sz w:val="30"/>
                <w:szCs w:val="30"/>
                <w:rtl/>
              </w:rPr>
              <w:t>נגד</w:t>
            </w:r>
          </w:p>
          <w:p w14:paraId="52AA77E6" w14:textId="77777777" w:rsidR="00E10664" w:rsidRPr="00534565" w:rsidRDefault="00E10664" w:rsidP="00E10664">
            <w:pPr>
              <w:jc w:val="both"/>
              <w:rPr>
                <w:rFonts w:ascii="FrankRuehl" w:hAnsi="FrankRuehl" w:cs="FrankRuehl"/>
                <w:sz w:val="30"/>
                <w:szCs w:val="30"/>
              </w:rPr>
            </w:pPr>
          </w:p>
        </w:tc>
      </w:tr>
      <w:tr w:rsidR="00E10664" w:rsidRPr="00534565" w14:paraId="7CB7B65C" w14:textId="77777777" w:rsidTr="002625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F30E9D" w14:textId="77777777" w:rsidR="00E10664" w:rsidRPr="00534565" w:rsidRDefault="00E10664" w:rsidP="00595146">
            <w:pPr>
              <w:rPr>
                <w:rFonts w:ascii="FrankRuehl" w:hAnsi="FrankRuehl" w:cs="FrankRuehl"/>
                <w:sz w:val="30"/>
                <w:szCs w:val="30"/>
                <w:rtl/>
              </w:rPr>
            </w:pPr>
            <w:bookmarkStart w:id="2" w:name="FirstLawyer"/>
          </w:p>
        </w:tc>
        <w:tc>
          <w:tcPr>
            <w:tcW w:w="5633" w:type="dxa"/>
            <w:gridSpan w:val="2"/>
            <w:tcBorders>
              <w:top w:val="nil"/>
              <w:left w:val="nil"/>
              <w:bottom w:val="nil"/>
              <w:right w:val="nil"/>
            </w:tcBorders>
            <w:shd w:val="clear" w:color="auto" w:fill="auto"/>
          </w:tcPr>
          <w:p w14:paraId="1D844EB7" w14:textId="77777777" w:rsidR="00E10664" w:rsidRPr="00534565" w:rsidRDefault="00E10664" w:rsidP="00595146">
            <w:pPr>
              <w:rPr>
                <w:rFonts w:ascii="FrankRuehl" w:hAnsi="FrankRuehl" w:cs="FrankRuehl"/>
                <w:b/>
                <w:bCs/>
                <w:sz w:val="30"/>
                <w:szCs w:val="30"/>
                <w:rtl/>
              </w:rPr>
            </w:pPr>
            <w:r w:rsidRPr="00534565">
              <w:rPr>
                <w:rFonts w:ascii="FrankRuehl" w:hAnsi="FrankRuehl" w:cs="FrankRuehl" w:hint="cs"/>
                <w:b/>
                <w:bCs/>
                <w:sz w:val="30"/>
                <w:szCs w:val="30"/>
                <w:rtl/>
              </w:rPr>
              <w:t>לית' עאצי</w:t>
            </w:r>
          </w:p>
          <w:p w14:paraId="77CC865D" w14:textId="77777777" w:rsidR="00E10664" w:rsidRPr="00534565" w:rsidRDefault="00E10664" w:rsidP="00595146">
            <w:pPr>
              <w:rPr>
                <w:rFonts w:ascii="FrankRuehl" w:hAnsi="FrankRuehl" w:cs="FrankRuehl"/>
                <w:b/>
                <w:bCs/>
                <w:sz w:val="30"/>
                <w:szCs w:val="30"/>
                <w:rtl/>
              </w:rPr>
            </w:pPr>
            <w:r w:rsidRPr="00534565">
              <w:rPr>
                <w:rFonts w:ascii="FrankRuehl" w:hAnsi="FrankRuehl" w:cs="FrankRuehl" w:hint="cs"/>
                <w:b/>
                <w:bCs/>
                <w:sz w:val="30"/>
                <w:szCs w:val="30"/>
                <w:rtl/>
              </w:rPr>
              <w:t xml:space="preserve">ע"י ב"כ עו"ד עיסא מוחמדיה </w:t>
            </w:r>
          </w:p>
        </w:tc>
        <w:tc>
          <w:tcPr>
            <w:tcW w:w="2264" w:type="dxa"/>
            <w:gridSpan w:val="2"/>
            <w:tcBorders>
              <w:top w:val="nil"/>
              <w:left w:val="nil"/>
              <w:bottom w:val="nil"/>
              <w:right w:val="nil"/>
            </w:tcBorders>
            <w:shd w:val="clear" w:color="auto" w:fill="auto"/>
            <w:vAlign w:val="center"/>
          </w:tcPr>
          <w:p w14:paraId="7C4B8D5A" w14:textId="77777777" w:rsidR="00E10664" w:rsidRPr="00534565" w:rsidRDefault="00E10664" w:rsidP="00E10664">
            <w:pPr>
              <w:suppressLineNumbers/>
              <w:rPr>
                <w:rFonts w:ascii="FrankRuehl" w:hAnsi="FrankRuehl" w:cs="FrankRuehl"/>
                <w:b/>
                <w:bCs/>
                <w:sz w:val="30"/>
                <w:szCs w:val="30"/>
                <w:rtl/>
              </w:rPr>
            </w:pPr>
          </w:p>
          <w:p w14:paraId="797AA15D" w14:textId="77777777" w:rsidR="00E10664" w:rsidRPr="00534565" w:rsidRDefault="00E10664" w:rsidP="00E10664">
            <w:pPr>
              <w:suppressLineNumbers/>
              <w:rPr>
                <w:rFonts w:ascii="FrankRuehl" w:hAnsi="FrankRuehl" w:cs="FrankRuehl"/>
                <w:sz w:val="30"/>
                <w:szCs w:val="30"/>
              </w:rPr>
            </w:pPr>
            <w:r w:rsidRPr="00534565">
              <w:rPr>
                <w:rFonts w:ascii="FrankRuehl" w:hAnsi="FrankRuehl" w:cs="FrankRuehl" w:hint="cs"/>
                <w:b/>
                <w:bCs/>
                <w:sz w:val="30"/>
                <w:szCs w:val="30"/>
                <w:rtl/>
              </w:rPr>
              <w:t>הנאשם</w:t>
            </w:r>
          </w:p>
          <w:p w14:paraId="708D6DBC" w14:textId="77777777" w:rsidR="00E10664" w:rsidRPr="00534565" w:rsidRDefault="00E10664" w:rsidP="00595146">
            <w:pPr>
              <w:rPr>
                <w:rFonts w:ascii="FrankRuehl" w:hAnsi="FrankRuehl" w:cs="FrankRuehl"/>
                <w:sz w:val="30"/>
                <w:szCs w:val="30"/>
              </w:rPr>
            </w:pPr>
          </w:p>
        </w:tc>
      </w:tr>
      <w:bookmarkEnd w:id="2"/>
    </w:tbl>
    <w:p w14:paraId="2EDBEB5F" w14:textId="77777777" w:rsidR="002625BC" w:rsidRDefault="002625BC" w:rsidP="00534565">
      <w:pPr>
        <w:rPr>
          <w:rFonts w:ascii="FrankRuehl" w:hAnsi="FrankRuehl" w:cs="FrankRuehl"/>
          <w:sz w:val="30"/>
          <w:szCs w:val="30"/>
          <w:rtl/>
        </w:rPr>
      </w:pPr>
    </w:p>
    <w:p w14:paraId="45E17068" w14:textId="77777777" w:rsidR="002625BC" w:rsidRPr="002625BC" w:rsidRDefault="002625BC" w:rsidP="002625BC">
      <w:pPr>
        <w:spacing w:after="120" w:line="240" w:lineRule="exact"/>
        <w:ind w:left="283" w:hanging="283"/>
        <w:jc w:val="both"/>
        <w:rPr>
          <w:rFonts w:ascii="FrankRuehl" w:hAnsi="FrankRuehl" w:cs="FrankRuehl"/>
          <w:rtl/>
        </w:rPr>
      </w:pPr>
    </w:p>
    <w:p w14:paraId="74A217E6" w14:textId="77777777" w:rsidR="00156E65" w:rsidRPr="00156E65" w:rsidRDefault="00156E65" w:rsidP="00156E65">
      <w:pPr>
        <w:spacing w:before="120" w:after="120" w:line="240" w:lineRule="exact"/>
        <w:ind w:left="283" w:hanging="283"/>
        <w:jc w:val="both"/>
        <w:rPr>
          <w:rFonts w:ascii="FrankRuehl" w:hAnsi="FrankRuehl" w:cs="FrankRuehl"/>
          <w:rtl/>
        </w:rPr>
      </w:pPr>
    </w:p>
    <w:p w14:paraId="097BD5C2" w14:textId="77777777" w:rsidR="00872664" w:rsidRDefault="00872664" w:rsidP="00872664">
      <w:pPr>
        <w:rPr>
          <w:rFonts w:ascii="FrankRuehl" w:hAnsi="FrankRuehl" w:cs="FrankRuehl"/>
          <w:sz w:val="30"/>
          <w:szCs w:val="30"/>
          <w:rtl/>
        </w:rPr>
      </w:pPr>
      <w:bookmarkStart w:id="3" w:name="LawTable"/>
      <w:bookmarkEnd w:id="3"/>
    </w:p>
    <w:p w14:paraId="6EC4290C" w14:textId="77777777" w:rsidR="00872664" w:rsidRPr="00872664" w:rsidRDefault="00872664" w:rsidP="00872664">
      <w:pPr>
        <w:spacing w:before="120" w:after="120" w:line="240" w:lineRule="exact"/>
        <w:ind w:left="283" w:hanging="283"/>
        <w:jc w:val="both"/>
        <w:rPr>
          <w:rFonts w:ascii="FrankRuehl" w:hAnsi="FrankRuehl" w:cs="FrankRuehl"/>
          <w:rtl/>
        </w:rPr>
      </w:pPr>
    </w:p>
    <w:p w14:paraId="7667ACB0" w14:textId="77777777" w:rsidR="00872664" w:rsidRPr="00872664" w:rsidRDefault="00872664" w:rsidP="00872664">
      <w:pPr>
        <w:spacing w:before="120" w:after="120" w:line="240" w:lineRule="exact"/>
        <w:ind w:left="283" w:hanging="283"/>
        <w:jc w:val="both"/>
        <w:rPr>
          <w:rFonts w:ascii="FrankRuehl" w:hAnsi="FrankRuehl" w:cs="FrankRuehl"/>
          <w:rtl/>
        </w:rPr>
      </w:pPr>
    </w:p>
    <w:p w14:paraId="0258DB8B" w14:textId="77777777" w:rsidR="00872664" w:rsidRPr="00872664" w:rsidRDefault="00872664" w:rsidP="00872664">
      <w:pPr>
        <w:spacing w:before="120" w:after="120" w:line="240" w:lineRule="exact"/>
        <w:ind w:left="283" w:hanging="283"/>
        <w:jc w:val="both"/>
        <w:rPr>
          <w:rFonts w:ascii="FrankRuehl" w:hAnsi="FrankRuehl" w:cs="FrankRuehl"/>
          <w:rtl/>
        </w:rPr>
      </w:pPr>
      <w:r w:rsidRPr="00872664">
        <w:rPr>
          <w:rFonts w:ascii="FrankRuehl" w:hAnsi="FrankRuehl" w:cs="FrankRuehl"/>
          <w:rtl/>
        </w:rPr>
        <w:t xml:space="preserve">חקיקה שאוזכרה: </w:t>
      </w:r>
    </w:p>
    <w:p w14:paraId="25EB23DD" w14:textId="77777777" w:rsidR="00872664" w:rsidRPr="00872664" w:rsidRDefault="00872664" w:rsidP="00872664">
      <w:pPr>
        <w:spacing w:before="120" w:after="120" w:line="240" w:lineRule="exact"/>
        <w:ind w:left="283" w:hanging="283"/>
        <w:jc w:val="both"/>
        <w:rPr>
          <w:rFonts w:ascii="FrankRuehl" w:hAnsi="FrankRuehl" w:cs="FrankRuehl"/>
          <w:rtl/>
        </w:rPr>
      </w:pPr>
      <w:hyperlink r:id="rId7" w:history="1">
        <w:r w:rsidRPr="00872664">
          <w:rPr>
            <w:rFonts w:ascii="FrankRuehl" w:hAnsi="FrankRuehl" w:cs="FrankRuehl"/>
            <w:color w:val="0000FF"/>
            <w:rtl/>
          </w:rPr>
          <w:t>חוק העונשין, תשל"ז-1977</w:t>
        </w:r>
      </w:hyperlink>
      <w:r w:rsidRPr="00872664">
        <w:rPr>
          <w:rFonts w:ascii="FrankRuehl" w:hAnsi="FrankRuehl" w:cs="FrankRuehl"/>
          <w:rtl/>
        </w:rPr>
        <w:t xml:space="preserve">: סע'  </w:t>
      </w:r>
      <w:hyperlink r:id="rId8" w:history="1">
        <w:r w:rsidRPr="00872664">
          <w:rPr>
            <w:rFonts w:ascii="FrankRuehl" w:hAnsi="FrankRuehl" w:cs="FrankRuehl"/>
            <w:color w:val="0000FF"/>
            <w:rtl/>
          </w:rPr>
          <w:t>29</w:t>
        </w:r>
      </w:hyperlink>
      <w:r w:rsidRPr="00872664">
        <w:rPr>
          <w:rFonts w:ascii="FrankRuehl" w:hAnsi="FrankRuehl" w:cs="FrankRuehl"/>
          <w:rtl/>
        </w:rPr>
        <w:t xml:space="preserve">, </w:t>
      </w:r>
      <w:hyperlink r:id="rId9" w:history="1">
        <w:r w:rsidRPr="00872664">
          <w:rPr>
            <w:rFonts w:ascii="FrankRuehl" w:hAnsi="FrankRuehl" w:cs="FrankRuehl"/>
            <w:color w:val="0000FF"/>
            <w:rtl/>
          </w:rPr>
          <w:t>144</w:t>
        </w:r>
      </w:hyperlink>
      <w:r w:rsidRPr="00872664">
        <w:rPr>
          <w:rFonts w:ascii="FrankRuehl" w:hAnsi="FrankRuehl" w:cs="FrankRuehl"/>
          <w:rtl/>
        </w:rPr>
        <w:t xml:space="preserve">, </w:t>
      </w:r>
      <w:hyperlink r:id="rId10" w:history="1">
        <w:r w:rsidRPr="00872664">
          <w:rPr>
            <w:rFonts w:ascii="FrankRuehl" w:hAnsi="FrankRuehl" w:cs="FrankRuehl"/>
            <w:color w:val="0000FF"/>
            <w:rtl/>
          </w:rPr>
          <w:t>340א(א)</w:t>
        </w:r>
      </w:hyperlink>
    </w:p>
    <w:p w14:paraId="48CB89E3" w14:textId="77777777" w:rsidR="00872664" w:rsidRPr="00872664" w:rsidRDefault="00872664" w:rsidP="00872664">
      <w:pPr>
        <w:rPr>
          <w:rFonts w:ascii="FrankRuehl" w:hAnsi="FrankRuehl" w:cs="FrankRuehl"/>
          <w:sz w:val="30"/>
          <w:szCs w:val="30"/>
          <w:rtl/>
        </w:rPr>
      </w:pPr>
      <w:bookmarkStart w:id="4" w:name="LawTable_End"/>
      <w:bookmarkEnd w:id="4"/>
    </w:p>
    <w:p w14:paraId="4375A793" w14:textId="77777777" w:rsidR="00E10664" w:rsidRPr="00156E65" w:rsidRDefault="00E10664" w:rsidP="00156E65">
      <w:pPr>
        <w:rPr>
          <w:rFonts w:ascii="FrankRuehl" w:hAnsi="FrankRuehl" w:cs="FrankRuehl"/>
          <w:sz w:val="30"/>
          <w:szCs w:val="30"/>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10664" w:rsidRPr="004F3FA9" w14:paraId="0C5637AF" w14:textId="77777777" w:rsidTr="00E10664">
        <w:trPr>
          <w:trHeight w:val="355"/>
          <w:jc w:val="center"/>
        </w:trPr>
        <w:tc>
          <w:tcPr>
            <w:tcW w:w="8820" w:type="dxa"/>
            <w:tcBorders>
              <w:top w:val="nil"/>
              <w:left w:val="nil"/>
              <w:bottom w:val="nil"/>
              <w:right w:val="nil"/>
            </w:tcBorders>
            <w:shd w:val="clear" w:color="auto" w:fill="auto"/>
          </w:tcPr>
          <w:p w14:paraId="13AA91A4" w14:textId="77777777" w:rsidR="00534565" w:rsidRPr="00534565" w:rsidRDefault="00534565" w:rsidP="00534565">
            <w:pPr>
              <w:jc w:val="center"/>
              <w:rPr>
                <w:rFonts w:ascii="FrankRuehl" w:hAnsi="FrankRuehl" w:cs="FrankRuehl"/>
                <w:b/>
                <w:bCs/>
                <w:sz w:val="36"/>
                <w:szCs w:val="36"/>
                <w:u w:val="single"/>
                <w:rtl/>
              </w:rPr>
            </w:pPr>
            <w:bookmarkStart w:id="5" w:name="PsakDin" w:colFirst="0" w:colLast="0"/>
            <w:bookmarkEnd w:id="0"/>
            <w:r w:rsidRPr="00534565">
              <w:rPr>
                <w:rFonts w:ascii="FrankRuehl" w:hAnsi="FrankRuehl" w:cs="FrankRuehl"/>
                <w:b/>
                <w:bCs/>
                <w:sz w:val="36"/>
                <w:szCs w:val="36"/>
                <w:u w:val="single"/>
                <w:rtl/>
              </w:rPr>
              <w:t>גזר דין</w:t>
            </w:r>
          </w:p>
          <w:p w14:paraId="11A1EEE3" w14:textId="77777777" w:rsidR="00E10664" w:rsidRPr="00534565" w:rsidRDefault="00E10664" w:rsidP="00534565">
            <w:pPr>
              <w:jc w:val="center"/>
              <w:rPr>
                <w:rFonts w:ascii="FrankRuehl" w:hAnsi="FrankRuehl" w:cs="FrankRuehl"/>
                <w:bCs/>
                <w:sz w:val="36"/>
                <w:szCs w:val="36"/>
                <w:u w:val="single"/>
                <w:rtl/>
              </w:rPr>
            </w:pPr>
          </w:p>
        </w:tc>
      </w:tr>
      <w:bookmarkEnd w:id="5"/>
    </w:tbl>
    <w:p w14:paraId="62A2F769" w14:textId="77777777" w:rsidR="00E10664" w:rsidRPr="000F2247" w:rsidRDefault="00E10664" w:rsidP="00E10664">
      <w:pPr>
        <w:rPr>
          <w:rFonts w:ascii="Arial" w:hAnsi="Arial"/>
          <w:b/>
          <w:bCs/>
          <w:sz w:val="26"/>
          <w:szCs w:val="26"/>
          <w:rtl/>
        </w:rPr>
      </w:pPr>
    </w:p>
    <w:p w14:paraId="20FA51E3" w14:textId="77777777" w:rsidR="00E10664" w:rsidRPr="000F2247" w:rsidRDefault="00E10664" w:rsidP="00E10664">
      <w:pPr>
        <w:rPr>
          <w:rFonts w:ascii="Arial" w:hAnsi="Arial"/>
          <w:b/>
          <w:bCs/>
          <w:sz w:val="26"/>
          <w:szCs w:val="26"/>
          <w:rtl/>
        </w:rPr>
      </w:pPr>
    </w:p>
    <w:p w14:paraId="3E2423AB" w14:textId="77777777" w:rsidR="00E10664" w:rsidRDefault="00E10664" w:rsidP="00E10664">
      <w:pPr>
        <w:rPr>
          <w:rFonts w:ascii="Arial" w:hAnsi="Arial"/>
          <w:b/>
          <w:bCs/>
          <w:sz w:val="26"/>
          <w:szCs w:val="26"/>
          <w:rtl/>
        </w:rPr>
      </w:pPr>
    </w:p>
    <w:p w14:paraId="0B79256D" w14:textId="77777777" w:rsidR="00E10664" w:rsidRPr="004F3FA9" w:rsidRDefault="00E10664" w:rsidP="00E10664">
      <w:pPr>
        <w:spacing w:line="360" w:lineRule="auto"/>
        <w:jc w:val="both"/>
        <w:rPr>
          <w:rFonts w:ascii="FrankRuehl" w:hAnsi="FrankRuehl" w:cs="FrankRuehl"/>
          <w:sz w:val="28"/>
          <w:szCs w:val="28"/>
          <w:rtl/>
        </w:rPr>
      </w:pPr>
      <w:r>
        <w:rPr>
          <w:rFonts w:ascii="FrankRuehl" w:hAnsi="FrankRuehl" w:cs="FrankRuehl" w:hint="cs"/>
          <w:sz w:val="28"/>
          <w:szCs w:val="28"/>
          <w:rtl/>
        </w:rPr>
        <w:t>1.</w:t>
      </w:r>
      <w:r>
        <w:rPr>
          <w:rFonts w:ascii="FrankRuehl" w:hAnsi="FrankRuehl" w:cs="FrankRuehl" w:hint="cs"/>
          <w:sz w:val="28"/>
          <w:szCs w:val="28"/>
          <w:rtl/>
        </w:rPr>
        <w:tab/>
      </w:r>
      <w:bookmarkStart w:id="6" w:name="ABSTRACT_START"/>
      <w:bookmarkEnd w:id="6"/>
      <w:r w:rsidRPr="004F3FA9">
        <w:rPr>
          <w:rFonts w:ascii="FrankRuehl" w:hAnsi="FrankRuehl" w:cs="FrankRuehl" w:hint="cs"/>
          <w:sz w:val="28"/>
          <w:szCs w:val="28"/>
          <w:rtl/>
        </w:rPr>
        <w:t xml:space="preserve">הנאשם הורשע על פי הודאתו, שניתנה במסגרת הסדר טיעון, בעבירה של החזקת נשק ותחמושת לפי </w:t>
      </w:r>
      <w:hyperlink r:id="rId11" w:history="1">
        <w:r w:rsidR="002625BC" w:rsidRPr="002625BC">
          <w:rPr>
            <w:rStyle w:val="Hyperlink"/>
            <w:rFonts w:ascii="FrankRuehl" w:hAnsi="FrankRuehl" w:cs="FrankRuehl" w:hint="eastAsia"/>
            <w:sz w:val="28"/>
            <w:szCs w:val="28"/>
            <w:rtl/>
          </w:rPr>
          <w:t>סעיף</w:t>
        </w:r>
        <w:r w:rsidR="002625BC" w:rsidRPr="002625BC">
          <w:rPr>
            <w:rStyle w:val="Hyperlink"/>
            <w:rFonts w:ascii="FrankRuehl" w:hAnsi="FrankRuehl" w:cs="FrankRuehl"/>
            <w:sz w:val="28"/>
            <w:szCs w:val="28"/>
            <w:rtl/>
          </w:rPr>
          <w:t xml:space="preserve"> 144</w:t>
        </w:r>
      </w:hyperlink>
      <w:r w:rsidRPr="004F3FA9">
        <w:rPr>
          <w:rFonts w:ascii="FrankRuehl" w:hAnsi="FrankRuehl" w:cs="FrankRuehl" w:hint="cs"/>
          <w:sz w:val="28"/>
          <w:szCs w:val="28"/>
          <w:rtl/>
        </w:rPr>
        <w:t xml:space="preserve"> ל</w:t>
      </w:r>
      <w:hyperlink r:id="rId12" w:history="1">
        <w:r w:rsidR="00534565" w:rsidRPr="00534565">
          <w:rPr>
            <w:rFonts w:ascii="FrankRuehl" w:hAnsi="FrankRuehl" w:cs="FrankRuehl"/>
            <w:color w:val="0000FF"/>
            <w:sz w:val="28"/>
            <w:szCs w:val="28"/>
            <w:u w:val="single"/>
            <w:rtl/>
          </w:rPr>
          <w:t>חוק העונשין</w:t>
        </w:r>
      </w:hyperlink>
      <w:r w:rsidRPr="004F3FA9">
        <w:rPr>
          <w:rFonts w:ascii="FrankRuehl" w:hAnsi="FrankRuehl" w:cs="FrankRuehl" w:hint="cs"/>
          <w:sz w:val="28"/>
          <w:szCs w:val="28"/>
          <w:rtl/>
        </w:rPr>
        <w:t xml:space="preserve">, התשל"ז-1977 ועבירה של ירי מנשק חם בצוותא לפי </w:t>
      </w:r>
      <w:hyperlink r:id="rId13" w:history="1">
        <w:r w:rsidR="002625BC" w:rsidRPr="002625BC">
          <w:rPr>
            <w:rStyle w:val="Hyperlink"/>
            <w:rFonts w:ascii="FrankRuehl" w:hAnsi="FrankRuehl" w:cs="FrankRuehl" w:hint="eastAsia"/>
            <w:sz w:val="28"/>
            <w:szCs w:val="28"/>
            <w:rtl/>
          </w:rPr>
          <w:t>סעיף</w:t>
        </w:r>
        <w:r w:rsidR="002625BC" w:rsidRPr="002625BC">
          <w:rPr>
            <w:rStyle w:val="Hyperlink"/>
            <w:rFonts w:ascii="FrankRuehl" w:hAnsi="FrankRuehl" w:cs="FrankRuehl"/>
            <w:sz w:val="28"/>
            <w:szCs w:val="28"/>
            <w:rtl/>
          </w:rPr>
          <w:t xml:space="preserve"> 340א(א)</w:t>
        </w:r>
      </w:hyperlink>
      <w:r w:rsidRPr="004F3FA9">
        <w:rPr>
          <w:rFonts w:ascii="FrankRuehl" w:hAnsi="FrankRuehl" w:cs="FrankRuehl" w:hint="cs"/>
          <w:sz w:val="28"/>
          <w:szCs w:val="28"/>
          <w:rtl/>
        </w:rPr>
        <w:t xml:space="preserve"> בצירוף סעיף </w:t>
      </w:r>
      <w:hyperlink r:id="rId14" w:history="1">
        <w:r w:rsidR="002625BC" w:rsidRPr="002625BC">
          <w:rPr>
            <w:rStyle w:val="Hyperlink"/>
            <w:rFonts w:ascii="FrankRuehl" w:hAnsi="FrankRuehl" w:cs="FrankRuehl"/>
            <w:sz w:val="28"/>
            <w:szCs w:val="28"/>
            <w:rtl/>
          </w:rPr>
          <w:t>29</w:t>
        </w:r>
      </w:hyperlink>
      <w:r w:rsidRPr="004F3FA9">
        <w:rPr>
          <w:rFonts w:ascii="FrankRuehl" w:hAnsi="FrankRuehl" w:cs="FrankRuehl" w:hint="cs"/>
          <w:sz w:val="28"/>
          <w:szCs w:val="28"/>
          <w:rtl/>
        </w:rPr>
        <w:t xml:space="preserve"> לאותו חוק. </w:t>
      </w:r>
    </w:p>
    <w:p w14:paraId="419D72F5" w14:textId="77777777" w:rsidR="00E10664" w:rsidRDefault="00E10664" w:rsidP="00E10664">
      <w:pPr>
        <w:spacing w:line="360" w:lineRule="auto"/>
        <w:jc w:val="both"/>
        <w:rPr>
          <w:rFonts w:ascii="FrankRuehl" w:hAnsi="FrankRuehl" w:cs="FrankRuehl"/>
          <w:b/>
          <w:bCs/>
          <w:sz w:val="28"/>
          <w:szCs w:val="28"/>
          <w:rtl/>
        </w:rPr>
      </w:pPr>
    </w:p>
    <w:p w14:paraId="504FE8DC" w14:textId="77777777" w:rsidR="00E10664" w:rsidRPr="001F041B" w:rsidRDefault="00E10664" w:rsidP="00E10664">
      <w:pPr>
        <w:spacing w:line="360" w:lineRule="auto"/>
        <w:jc w:val="both"/>
        <w:rPr>
          <w:rFonts w:ascii="FrankRuehl" w:hAnsi="FrankRuehl" w:cs="FrankRuehl"/>
          <w:sz w:val="28"/>
          <w:szCs w:val="28"/>
          <w:rtl/>
        </w:rPr>
      </w:pPr>
      <w:bookmarkStart w:id="7" w:name="ABSTRACT_END"/>
      <w:bookmarkEnd w:id="7"/>
      <w:r>
        <w:rPr>
          <w:rFonts w:ascii="FrankRuehl" w:hAnsi="FrankRuehl" w:cs="FrankRuehl" w:hint="cs"/>
          <w:sz w:val="28"/>
          <w:szCs w:val="28"/>
          <w:rtl/>
        </w:rPr>
        <w:t>2.</w:t>
      </w:r>
      <w:r>
        <w:rPr>
          <w:rFonts w:ascii="FrankRuehl" w:hAnsi="FrankRuehl" w:cs="FrankRuehl" w:hint="cs"/>
          <w:sz w:val="28"/>
          <w:szCs w:val="28"/>
          <w:rtl/>
        </w:rPr>
        <w:tab/>
      </w:r>
      <w:r w:rsidRPr="001F041B">
        <w:rPr>
          <w:rFonts w:ascii="FrankRuehl" w:hAnsi="FrankRuehl" w:cs="FrankRuehl" w:hint="cs"/>
          <w:sz w:val="28"/>
          <w:szCs w:val="28"/>
          <w:rtl/>
        </w:rPr>
        <w:t xml:space="preserve">לפי המתואר בכתב האישום המתוקן, ביום 11.09.20, בשעות הערב, הלך הנאשם עם חברו עבד אל רזאק להר באזור שכונת אבו תור, כשהנאשם החזיק אקדח מסוג שאינו ידוע </w:t>
      </w:r>
      <w:r w:rsidRPr="001F041B">
        <w:rPr>
          <w:rFonts w:ascii="FrankRuehl" w:hAnsi="FrankRuehl" w:cs="FrankRuehl" w:hint="cs"/>
          <w:sz w:val="28"/>
          <w:szCs w:val="28"/>
          <w:rtl/>
        </w:rPr>
        <w:lastRenderedPageBreak/>
        <w:t>למאשימה. הנאשם הוציא את האקד</w:t>
      </w:r>
      <w:r>
        <w:rPr>
          <w:rFonts w:ascii="FrankRuehl" w:hAnsi="FrankRuehl" w:cs="FrankRuehl" w:hint="cs"/>
          <w:sz w:val="28"/>
          <w:szCs w:val="28"/>
          <w:rtl/>
        </w:rPr>
        <w:t>ח</w:t>
      </w:r>
      <w:r w:rsidRPr="001F041B">
        <w:rPr>
          <w:rFonts w:ascii="FrankRuehl" w:hAnsi="FrankRuehl" w:cs="FrankRuehl" w:hint="cs"/>
          <w:sz w:val="28"/>
          <w:szCs w:val="28"/>
          <w:rtl/>
        </w:rPr>
        <w:t xml:space="preserve"> ומסר אותו לעבד אל רזאק, אשר ירה באמצעותו 9 כדורים לאוויר. </w:t>
      </w:r>
    </w:p>
    <w:p w14:paraId="24A5212E" w14:textId="77777777" w:rsidR="00E10664" w:rsidRPr="001F041B" w:rsidRDefault="00E10664" w:rsidP="00E10664">
      <w:pPr>
        <w:spacing w:line="360" w:lineRule="auto"/>
        <w:jc w:val="both"/>
        <w:rPr>
          <w:rFonts w:ascii="FrankRuehl" w:hAnsi="FrankRuehl" w:cs="FrankRuehl"/>
          <w:sz w:val="28"/>
          <w:szCs w:val="28"/>
          <w:rtl/>
        </w:rPr>
      </w:pPr>
    </w:p>
    <w:p w14:paraId="6DF6B2B5" w14:textId="77777777" w:rsidR="00E10664" w:rsidRDefault="00E10664" w:rsidP="00E10664">
      <w:pPr>
        <w:spacing w:line="360" w:lineRule="auto"/>
        <w:jc w:val="both"/>
        <w:rPr>
          <w:rFonts w:ascii="FrankRuehl" w:hAnsi="FrankRuehl" w:cs="FrankRuehl"/>
          <w:b/>
          <w:bCs/>
          <w:sz w:val="28"/>
          <w:szCs w:val="28"/>
          <w:rtl/>
        </w:rPr>
      </w:pPr>
      <w:r>
        <w:rPr>
          <w:rFonts w:ascii="FrankRuehl" w:hAnsi="FrankRuehl" w:cs="FrankRuehl" w:hint="cs"/>
          <w:sz w:val="28"/>
          <w:szCs w:val="28"/>
          <w:rtl/>
        </w:rPr>
        <w:t>3.</w:t>
      </w:r>
      <w:r>
        <w:rPr>
          <w:rFonts w:ascii="FrankRuehl" w:hAnsi="FrankRuehl" w:cs="FrankRuehl" w:hint="cs"/>
          <w:sz w:val="28"/>
          <w:szCs w:val="28"/>
          <w:rtl/>
        </w:rPr>
        <w:tab/>
        <w:t xml:space="preserve">ביום 28.02.22 </w:t>
      </w:r>
      <w:r w:rsidRPr="001F041B">
        <w:rPr>
          <w:rFonts w:ascii="FrankRuehl" w:hAnsi="FrankRuehl" w:cs="FrankRuehl" w:hint="cs"/>
          <w:sz w:val="28"/>
          <w:szCs w:val="28"/>
          <w:rtl/>
        </w:rPr>
        <w:t>הוגש תסקיר שירות מבחן ממנו נלמד אודות הנאשם. קצינת המבחן ציינה כי הנאשם מתקשה לקחת אחריות על מעשיו וכופר במיוחס לו, לדבריו הוא הודה אך כדי לרצות את הוריו ואת עורך דינו. בנסיבות אלו ציינה קצינת המבחן את הערכתה</w:t>
      </w:r>
      <w:r>
        <w:rPr>
          <w:rFonts w:ascii="FrankRuehl" w:hAnsi="FrankRuehl" w:cs="FrankRuehl" w:hint="cs"/>
          <w:sz w:val="28"/>
          <w:szCs w:val="28"/>
          <w:rtl/>
        </w:rPr>
        <w:t>,</w:t>
      </w:r>
      <w:r w:rsidRPr="001F041B">
        <w:rPr>
          <w:rFonts w:ascii="FrankRuehl" w:hAnsi="FrankRuehl" w:cs="FrankRuehl" w:hint="cs"/>
          <w:sz w:val="28"/>
          <w:szCs w:val="28"/>
          <w:rtl/>
        </w:rPr>
        <w:t xml:space="preserve"> כי ההליך המשפטי א</w:t>
      </w:r>
      <w:r w:rsidRPr="00294A55">
        <w:rPr>
          <w:rFonts w:ascii="FrankRuehl" w:hAnsi="FrankRuehl" w:cs="FrankRuehl" w:hint="cs"/>
          <w:sz w:val="28"/>
          <w:szCs w:val="28"/>
          <w:rtl/>
        </w:rPr>
        <w:t xml:space="preserve">ינו מהווה </w:t>
      </w:r>
      <w:r>
        <w:rPr>
          <w:rFonts w:ascii="FrankRuehl" w:hAnsi="FrankRuehl" w:cs="FrankRuehl" w:hint="cs"/>
          <w:sz w:val="28"/>
          <w:szCs w:val="28"/>
          <w:rtl/>
        </w:rPr>
        <w:t xml:space="preserve">עבורו </w:t>
      </w:r>
      <w:r w:rsidRPr="00294A55">
        <w:rPr>
          <w:rFonts w:ascii="FrankRuehl" w:hAnsi="FrankRuehl" w:cs="FrankRuehl" w:hint="cs"/>
          <w:sz w:val="28"/>
          <w:szCs w:val="28"/>
          <w:rtl/>
        </w:rPr>
        <w:t xml:space="preserve">גורם הרתעה וקיים סיכון להישנות ביצוע העבירות. לצד זאת ציינה קצינת המבחן כי מדובר בבחור צעיר נעדר עבר פלילי, הנמצא בשלבי גיבוש זהותו, והיא לא התרשמה מדפוסי עבריינות מושרשים. בנסיבות אלו, התרשמותה הייתה כי עונש מאסר בפועל יהווה גורם מדרדר עבורו. </w:t>
      </w:r>
    </w:p>
    <w:p w14:paraId="2C32B128" w14:textId="77777777" w:rsidR="00E10664" w:rsidRPr="00294A55" w:rsidRDefault="00E10664" w:rsidP="00E10664">
      <w:pPr>
        <w:spacing w:line="360" w:lineRule="auto"/>
        <w:jc w:val="both"/>
        <w:rPr>
          <w:rFonts w:ascii="FrankRuehl" w:hAnsi="FrankRuehl" w:cs="FrankRuehl"/>
          <w:sz w:val="28"/>
          <w:szCs w:val="28"/>
          <w:rtl/>
        </w:rPr>
      </w:pPr>
    </w:p>
    <w:p w14:paraId="2FC3187C" w14:textId="77777777" w:rsidR="00E10664" w:rsidRPr="00294A55" w:rsidRDefault="00E10664" w:rsidP="00E10664">
      <w:pPr>
        <w:spacing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r>
      <w:r w:rsidRPr="00294A55">
        <w:rPr>
          <w:rFonts w:ascii="FrankRuehl" w:hAnsi="FrankRuehl" w:cs="FrankRuehl" w:hint="cs"/>
          <w:sz w:val="28"/>
          <w:szCs w:val="28"/>
          <w:rtl/>
        </w:rPr>
        <w:t>יצוין, כי במקביל התראיין הנאשם בפני הממונה על עבודות השירות ואולם הוא סרב בתוקף לביצוע עבודות שירות בהתאם לכללים</w:t>
      </w:r>
      <w:r>
        <w:rPr>
          <w:rFonts w:ascii="FrankRuehl" w:hAnsi="FrankRuehl" w:cs="FrankRuehl" w:hint="cs"/>
          <w:sz w:val="28"/>
          <w:szCs w:val="28"/>
          <w:rtl/>
        </w:rPr>
        <w:t xml:space="preserve"> שהוצגו לו.</w:t>
      </w:r>
    </w:p>
    <w:p w14:paraId="6A8F156D" w14:textId="77777777" w:rsidR="00E10664" w:rsidRPr="00294A55" w:rsidRDefault="00E10664" w:rsidP="00E10664">
      <w:pPr>
        <w:spacing w:line="360" w:lineRule="auto"/>
        <w:jc w:val="both"/>
        <w:rPr>
          <w:rFonts w:ascii="FrankRuehl" w:hAnsi="FrankRuehl" w:cs="FrankRuehl"/>
          <w:sz w:val="28"/>
          <w:szCs w:val="28"/>
          <w:rtl/>
        </w:rPr>
      </w:pPr>
    </w:p>
    <w:p w14:paraId="0E35E246" w14:textId="77777777" w:rsidR="00E10664" w:rsidRPr="00294A55" w:rsidRDefault="00E10664" w:rsidP="00E10664">
      <w:pPr>
        <w:spacing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r>
      <w:r w:rsidRPr="00294A55">
        <w:rPr>
          <w:rFonts w:ascii="FrankRuehl" w:hAnsi="FrankRuehl" w:cs="FrankRuehl" w:hint="cs"/>
          <w:sz w:val="28"/>
          <w:szCs w:val="28"/>
          <w:rtl/>
        </w:rPr>
        <w:t xml:space="preserve">נוכח כפירתו של הנאשם בפני קצינת המבחן, נתבקש לדחות את הטיעונים לעונש שנקבעו מלכתחילה ליום 30.03.22. בהמשך, ביום 6.07.22, שב הנאשם והודה במיוחס לו. בנסיבות אלו נתבקש תסקיר משלים של שירות המבחן. </w:t>
      </w:r>
    </w:p>
    <w:p w14:paraId="44364B94" w14:textId="77777777" w:rsidR="00E10664" w:rsidRDefault="00E10664" w:rsidP="00E10664">
      <w:pPr>
        <w:spacing w:line="360" w:lineRule="auto"/>
        <w:jc w:val="both"/>
        <w:rPr>
          <w:rFonts w:ascii="FrankRuehl" w:hAnsi="FrankRuehl" w:cs="FrankRuehl"/>
          <w:b/>
          <w:bCs/>
          <w:sz w:val="28"/>
          <w:szCs w:val="28"/>
          <w:rtl/>
        </w:rPr>
      </w:pPr>
    </w:p>
    <w:p w14:paraId="71FE56C9" w14:textId="77777777" w:rsidR="00E10664" w:rsidRPr="002F2BAB" w:rsidRDefault="00E10664" w:rsidP="00E10664">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r>
      <w:r w:rsidRPr="002F2BAB">
        <w:rPr>
          <w:rFonts w:ascii="FrankRuehl" w:hAnsi="FrankRuehl" w:cs="FrankRuehl" w:hint="cs"/>
          <w:sz w:val="28"/>
          <w:szCs w:val="28"/>
          <w:rtl/>
        </w:rPr>
        <w:t>בתסקיר המשלים</w:t>
      </w:r>
      <w:r>
        <w:rPr>
          <w:rFonts w:ascii="FrankRuehl" w:hAnsi="FrankRuehl" w:cs="FrankRuehl" w:hint="cs"/>
          <w:sz w:val="28"/>
          <w:szCs w:val="28"/>
          <w:rtl/>
        </w:rPr>
        <w:t>,</w:t>
      </w:r>
      <w:r w:rsidRPr="002F2BAB">
        <w:rPr>
          <w:rFonts w:ascii="FrankRuehl" w:hAnsi="FrankRuehl" w:cs="FrankRuehl" w:hint="cs"/>
          <w:sz w:val="28"/>
          <w:szCs w:val="28"/>
          <w:rtl/>
        </w:rPr>
        <w:t xml:space="preserve"> שהוגש ביום 19.10.22</w:t>
      </w:r>
      <w:r>
        <w:rPr>
          <w:rFonts w:ascii="FrankRuehl" w:hAnsi="FrankRuehl" w:cs="FrankRuehl" w:hint="cs"/>
          <w:sz w:val="28"/>
          <w:szCs w:val="28"/>
          <w:rtl/>
        </w:rPr>
        <w:t>,</w:t>
      </w:r>
      <w:r w:rsidRPr="002F2BAB">
        <w:rPr>
          <w:rFonts w:ascii="FrankRuehl" w:hAnsi="FrankRuehl" w:cs="FrankRuehl" w:hint="cs"/>
          <w:sz w:val="28"/>
          <w:szCs w:val="28"/>
          <w:rtl/>
        </w:rPr>
        <w:t xml:space="preserve"> ציינה קצינת המבחן כי הנאשם עדיין מתקשה לקחת אחריות על מעשיו וע</w:t>
      </w:r>
      <w:r>
        <w:rPr>
          <w:rFonts w:ascii="FrankRuehl" w:hAnsi="FrankRuehl" w:cs="FrankRuehl" w:hint="cs"/>
          <w:sz w:val="28"/>
          <w:szCs w:val="28"/>
          <w:rtl/>
        </w:rPr>
        <w:t>ו</w:t>
      </w:r>
      <w:r w:rsidRPr="002F2BAB">
        <w:rPr>
          <w:rFonts w:ascii="FrankRuehl" w:hAnsi="FrankRuehl" w:cs="FrankRuehl" w:hint="cs"/>
          <w:sz w:val="28"/>
          <w:szCs w:val="28"/>
          <w:rtl/>
        </w:rPr>
        <w:t xml:space="preserve">מד על טענתו כי הורשע על לא עוול בכפו. בנסיבות אלו שבה קצינת המבחן על המלצתה </w:t>
      </w:r>
      <w:r>
        <w:rPr>
          <w:rFonts w:ascii="FrankRuehl" w:hAnsi="FrankRuehl" w:cs="FrankRuehl" w:hint="cs"/>
          <w:sz w:val="28"/>
          <w:szCs w:val="28"/>
          <w:rtl/>
        </w:rPr>
        <w:t>ה</w:t>
      </w:r>
      <w:r w:rsidRPr="002F2BAB">
        <w:rPr>
          <w:rFonts w:ascii="FrankRuehl" w:hAnsi="FrankRuehl" w:cs="FrankRuehl" w:hint="cs"/>
          <w:sz w:val="28"/>
          <w:szCs w:val="28"/>
          <w:rtl/>
        </w:rPr>
        <w:t xml:space="preserve">קודמת להשית על הנאשם עונש מאסר בעבודות שירות. </w:t>
      </w:r>
    </w:p>
    <w:p w14:paraId="45545E0C" w14:textId="77777777" w:rsidR="00E10664" w:rsidRPr="000109D1" w:rsidRDefault="00E10664" w:rsidP="00E10664">
      <w:pPr>
        <w:spacing w:line="360" w:lineRule="auto"/>
        <w:jc w:val="both"/>
        <w:rPr>
          <w:rFonts w:ascii="FrankRuehl" w:hAnsi="FrankRuehl" w:cs="FrankRuehl"/>
          <w:sz w:val="28"/>
          <w:szCs w:val="28"/>
          <w:rtl/>
        </w:rPr>
      </w:pPr>
    </w:p>
    <w:p w14:paraId="50A8C41B" w14:textId="77777777" w:rsidR="00E10664" w:rsidRPr="000109D1" w:rsidRDefault="00E10664" w:rsidP="00E10664">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r>
      <w:r w:rsidRPr="000109D1">
        <w:rPr>
          <w:rFonts w:ascii="FrankRuehl" w:hAnsi="FrankRuehl" w:cs="FrankRuehl" w:hint="cs"/>
          <w:sz w:val="28"/>
          <w:szCs w:val="28"/>
          <w:rtl/>
        </w:rPr>
        <w:t>בטיעוניה לעונש</w:t>
      </w:r>
      <w:r>
        <w:rPr>
          <w:rFonts w:ascii="FrankRuehl" w:hAnsi="FrankRuehl" w:cs="FrankRuehl" w:hint="cs"/>
          <w:sz w:val="28"/>
          <w:szCs w:val="28"/>
          <w:rtl/>
        </w:rPr>
        <w:t>,</w:t>
      </w:r>
      <w:r w:rsidRPr="000109D1">
        <w:rPr>
          <w:rFonts w:ascii="FrankRuehl" w:hAnsi="FrankRuehl" w:cs="FrankRuehl" w:hint="cs"/>
          <w:sz w:val="28"/>
          <w:szCs w:val="28"/>
          <w:rtl/>
        </w:rPr>
        <w:t xml:space="preserve"> עמדה ב"כ המאשימה על הערכים המוגנים שנפגעו ממעשי הנאשם, את פוטנציאל הנזק הגלום בהם, ואת התוצאות הרות האסון הנגרמות באופן תדיר ממעשים מעין אלו. היא הדגישה כי הנשק לא נתפס עד היום ואין לדעת איזה שימוש נעשה בו. ב"כ המאשימה עמדה על מגמת ההחמרה בעבירות נשק, וטענה למתחם עונש הולם הנע מ-24 ועד 40 חודשי מאסר לצד מאסר על תנאי וקנס. </w:t>
      </w:r>
    </w:p>
    <w:p w14:paraId="7578202A" w14:textId="77777777" w:rsidR="00E10664" w:rsidRPr="000109D1" w:rsidRDefault="00E10664" w:rsidP="00E10664">
      <w:pPr>
        <w:spacing w:line="360" w:lineRule="auto"/>
        <w:jc w:val="both"/>
        <w:rPr>
          <w:rFonts w:ascii="FrankRuehl" w:hAnsi="FrankRuehl" w:cs="FrankRuehl"/>
          <w:sz w:val="28"/>
          <w:szCs w:val="28"/>
          <w:rtl/>
        </w:rPr>
      </w:pPr>
    </w:p>
    <w:p w14:paraId="1C76DBBA" w14:textId="77777777" w:rsidR="00E10664" w:rsidRPr="000109D1" w:rsidRDefault="00E10664" w:rsidP="00E10664">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r>
      <w:r w:rsidRPr="000109D1">
        <w:rPr>
          <w:rFonts w:ascii="FrankRuehl" w:hAnsi="FrankRuehl" w:cs="FrankRuehl" w:hint="cs"/>
          <w:sz w:val="28"/>
          <w:szCs w:val="28"/>
          <w:rtl/>
        </w:rPr>
        <w:t>באשר לנאשם היא הצביעה על כך שמתסקיר שירות המבחן עולה כי הו</w:t>
      </w:r>
      <w:r w:rsidRPr="000109D1">
        <w:rPr>
          <w:rFonts w:ascii="FrankRuehl" w:hAnsi="FrankRuehl" w:cs="FrankRuehl"/>
          <w:sz w:val="28"/>
          <w:szCs w:val="28"/>
          <w:rtl/>
        </w:rPr>
        <w:t>א מתקשה להתבונן במשמעותן של העבירות</w:t>
      </w:r>
      <w:r w:rsidRPr="000109D1">
        <w:rPr>
          <w:rFonts w:ascii="FrankRuehl" w:hAnsi="FrankRuehl" w:cs="FrankRuehl" w:hint="cs"/>
          <w:sz w:val="28"/>
          <w:szCs w:val="28"/>
          <w:rtl/>
        </w:rPr>
        <w:t>,</w:t>
      </w:r>
      <w:r w:rsidRPr="000109D1">
        <w:rPr>
          <w:rFonts w:ascii="FrankRuehl" w:hAnsi="FrankRuehl" w:cs="FrankRuehl"/>
          <w:sz w:val="28"/>
          <w:szCs w:val="28"/>
          <w:rtl/>
        </w:rPr>
        <w:t xml:space="preserve"> חומרתן והשלכותיהן</w:t>
      </w:r>
      <w:r w:rsidRPr="000109D1">
        <w:rPr>
          <w:rFonts w:ascii="FrankRuehl" w:hAnsi="FrankRuehl" w:cs="FrankRuehl" w:hint="cs"/>
          <w:sz w:val="28"/>
          <w:szCs w:val="28"/>
          <w:rtl/>
        </w:rPr>
        <w:t xml:space="preserve">, וכי הוא הוא </w:t>
      </w:r>
      <w:r w:rsidRPr="000109D1">
        <w:rPr>
          <w:rFonts w:ascii="FrankRuehl" w:hAnsi="FrankRuehl" w:cs="FrankRuehl"/>
          <w:sz w:val="28"/>
          <w:szCs w:val="28"/>
          <w:rtl/>
        </w:rPr>
        <w:t xml:space="preserve">מתקשה </w:t>
      </w:r>
      <w:r w:rsidRPr="000109D1">
        <w:rPr>
          <w:rFonts w:ascii="FrankRuehl" w:hAnsi="FrankRuehl" w:cs="FrankRuehl" w:hint="cs"/>
          <w:sz w:val="28"/>
          <w:szCs w:val="28"/>
          <w:rtl/>
        </w:rPr>
        <w:t xml:space="preserve">בלקיחת </w:t>
      </w:r>
      <w:r w:rsidRPr="000109D1">
        <w:rPr>
          <w:rFonts w:ascii="FrankRuehl" w:hAnsi="FrankRuehl" w:cs="FrankRuehl"/>
          <w:sz w:val="28"/>
          <w:szCs w:val="28"/>
          <w:rtl/>
        </w:rPr>
        <w:t>אחריות</w:t>
      </w:r>
      <w:r w:rsidRPr="000109D1">
        <w:rPr>
          <w:rFonts w:ascii="FrankRuehl" w:hAnsi="FrankRuehl" w:cs="FrankRuehl" w:hint="cs"/>
          <w:sz w:val="28"/>
          <w:szCs w:val="28"/>
          <w:rtl/>
        </w:rPr>
        <w:t xml:space="preserve"> </w:t>
      </w:r>
      <w:r w:rsidRPr="000109D1">
        <w:rPr>
          <w:rFonts w:ascii="FrankRuehl" w:hAnsi="FrankRuehl" w:cs="FrankRuehl" w:hint="cs"/>
          <w:sz w:val="28"/>
          <w:szCs w:val="28"/>
          <w:rtl/>
        </w:rPr>
        <w:lastRenderedPageBreak/>
        <w:t xml:space="preserve">על מעשיו. מאידך, מדובר בנאשם נעדר עבר פלילי שהודה במיוחס לו. בנסיבות אלו, נתבקש לגזור את עונשו של הנאשם </w:t>
      </w:r>
      <w:r w:rsidRPr="000109D1">
        <w:rPr>
          <w:rFonts w:ascii="FrankRuehl" w:hAnsi="FrankRuehl" w:cs="FrankRuehl"/>
          <w:sz w:val="28"/>
          <w:szCs w:val="28"/>
          <w:rtl/>
        </w:rPr>
        <w:t>בשליש התחתון ש</w:t>
      </w:r>
      <w:r w:rsidRPr="000109D1">
        <w:rPr>
          <w:rFonts w:ascii="FrankRuehl" w:hAnsi="FrankRuehl" w:cs="FrankRuehl" w:hint="cs"/>
          <w:sz w:val="28"/>
          <w:szCs w:val="28"/>
          <w:rtl/>
        </w:rPr>
        <w:t>ל המתחם</w:t>
      </w:r>
      <w:r>
        <w:rPr>
          <w:rFonts w:ascii="FrankRuehl" w:hAnsi="FrankRuehl" w:cs="FrankRuehl" w:hint="cs"/>
          <w:sz w:val="28"/>
          <w:szCs w:val="28"/>
          <w:rtl/>
        </w:rPr>
        <w:t>,</w:t>
      </w:r>
      <w:r w:rsidRPr="000109D1">
        <w:rPr>
          <w:rFonts w:ascii="FrankRuehl" w:hAnsi="FrankRuehl" w:cs="FrankRuehl" w:hint="cs"/>
          <w:sz w:val="28"/>
          <w:szCs w:val="28"/>
          <w:rtl/>
        </w:rPr>
        <w:t xml:space="preserve"> ולהשית </w:t>
      </w:r>
      <w:r w:rsidRPr="000109D1">
        <w:rPr>
          <w:rFonts w:ascii="FrankRuehl" w:hAnsi="FrankRuehl" w:cs="FrankRuehl"/>
          <w:sz w:val="28"/>
          <w:szCs w:val="28"/>
          <w:rtl/>
        </w:rPr>
        <w:t>עליו מאסר על תנאי מרתיע וקנס</w:t>
      </w:r>
      <w:r w:rsidRPr="000109D1">
        <w:rPr>
          <w:rFonts w:ascii="FrankRuehl" w:hAnsi="FrankRuehl" w:cs="FrankRuehl" w:hint="cs"/>
          <w:sz w:val="28"/>
          <w:szCs w:val="28"/>
          <w:rtl/>
        </w:rPr>
        <w:t>.</w:t>
      </w:r>
    </w:p>
    <w:p w14:paraId="16D83AC6" w14:textId="77777777" w:rsidR="00E10664" w:rsidRPr="000109D1" w:rsidRDefault="00E10664" w:rsidP="00E10664">
      <w:pPr>
        <w:spacing w:line="360" w:lineRule="auto"/>
        <w:jc w:val="both"/>
        <w:rPr>
          <w:rFonts w:ascii="FrankRuehl" w:hAnsi="FrankRuehl" w:cs="FrankRuehl"/>
          <w:sz w:val="28"/>
          <w:szCs w:val="28"/>
          <w:rtl/>
        </w:rPr>
      </w:pPr>
    </w:p>
    <w:p w14:paraId="00538D5C" w14:textId="77777777" w:rsidR="00E10664" w:rsidRPr="000109D1" w:rsidRDefault="00E10664" w:rsidP="00E10664">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r>
      <w:r w:rsidRPr="000109D1">
        <w:rPr>
          <w:rFonts w:ascii="FrankRuehl" w:hAnsi="FrankRuehl" w:cs="FrankRuehl" w:hint="cs"/>
          <w:sz w:val="28"/>
          <w:szCs w:val="28"/>
          <w:rtl/>
        </w:rPr>
        <w:t>מנגד</w:t>
      </w:r>
      <w:r>
        <w:rPr>
          <w:rFonts w:ascii="FrankRuehl" w:hAnsi="FrankRuehl" w:cs="FrankRuehl" w:hint="cs"/>
          <w:sz w:val="28"/>
          <w:szCs w:val="28"/>
          <w:rtl/>
        </w:rPr>
        <w:t>,</w:t>
      </w:r>
      <w:r w:rsidRPr="000109D1">
        <w:rPr>
          <w:rFonts w:ascii="FrankRuehl" w:hAnsi="FrankRuehl" w:cs="FrankRuehl" w:hint="cs"/>
          <w:sz w:val="28"/>
          <w:szCs w:val="28"/>
          <w:rtl/>
        </w:rPr>
        <w:t xml:space="preserve"> </w:t>
      </w:r>
      <w:r w:rsidRPr="000109D1">
        <w:rPr>
          <w:rFonts w:ascii="FrankRuehl" w:hAnsi="FrankRuehl" w:cs="FrankRuehl"/>
          <w:sz w:val="28"/>
          <w:szCs w:val="28"/>
          <w:rtl/>
        </w:rPr>
        <w:t xml:space="preserve">ב"כ הנאשם </w:t>
      </w:r>
      <w:r w:rsidRPr="000109D1">
        <w:rPr>
          <w:rFonts w:ascii="FrankRuehl" w:hAnsi="FrankRuehl" w:cs="FrankRuehl" w:hint="cs"/>
          <w:sz w:val="28"/>
          <w:szCs w:val="28"/>
          <w:rtl/>
        </w:rPr>
        <w:t>עמד על הזמן הרב שחלף מאז האירוע ועד הגש</w:t>
      </w:r>
      <w:r>
        <w:rPr>
          <w:rFonts w:ascii="FrankRuehl" w:hAnsi="FrankRuehl" w:cs="FrankRuehl" w:hint="cs"/>
          <w:sz w:val="28"/>
          <w:szCs w:val="28"/>
          <w:rtl/>
        </w:rPr>
        <w:t>ת</w:t>
      </w:r>
      <w:r w:rsidRPr="000109D1">
        <w:rPr>
          <w:rFonts w:ascii="FrankRuehl" w:hAnsi="FrankRuehl" w:cs="FrankRuehl" w:hint="cs"/>
          <w:sz w:val="28"/>
          <w:szCs w:val="28"/>
          <w:rtl/>
        </w:rPr>
        <w:t xml:space="preserve"> כתב האישום </w:t>
      </w:r>
      <w:r w:rsidRPr="000109D1">
        <w:rPr>
          <w:rFonts w:ascii="FrankRuehl" w:hAnsi="FrankRuehl" w:cs="FrankRuehl"/>
          <w:sz w:val="28"/>
          <w:szCs w:val="28"/>
          <w:rtl/>
        </w:rPr>
        <w:t>–</w:t>
      </w:r>
      <w:r w:rsidRPr="000109D1">
        <w:rPr>
          <w:rFonts w:ascii="FrankRuehl" w:hAnsi="FrankRuehl" w:cs="FrankRuehl" w:hint="cs"/>
          <w:sz w:val="28"/>
          <w:szCs w:val="28"/>
          <w:rtl/>
        </w:rPr>
        <w:t xml:space="preserve"> כעשרה חודשים, ועל הזמן שחלף מאז ביצוע העבירה ועד היום. הוא גם הצביע על כך שהנאשם לא היה הדמות הדומיננטית, כי אם עבד אל רזאק, שהיה גם מי שירה בנשק, והורשע בעבירות נוספות ונשלח למאסר לתקופה של ארבע שנים. לדבריו, מתחם העונש ההולם מקרה זה יכול להתחיל גם במאסר שירוצה בעבודות שירות, וה</w:t>
      </w:r>
      <w:r>
        <w:rPr>
          <w:rFonts w:ascii="FrankRuehl" w:hAnsi="FrankRuehl" w:cs="FrankRuehl" w:hint="cs"/>
          <w:sz w:val="28"/>
          <w:szCs w:val="28"/>
          <w:rtl/>
        </w:rPr>
        <w:t>ו</w:t>
      </w:r>
      <w:r w:rsidRPr="000109D1">
        <w:rPr>
          <w:rFonts w:ascii="FrankRuehl" w:hAnsi="FrankRuehl" w:cs="FrankRuehl" w:hint="cs"/>
          <w:sz w:val="28"/>
          <w:szCs w:val="28"/>
          <w:rtl/>
        </w:rPr>
        <w:t>א תמך טיעוניו בפסיקה.</w:t>
      </w:r>
    </w:p>
    <w:p w14:paraId="2062A437" w14:textId="77777777" w:rsidR="00E10664" w:rsidRPr="000109D1" w:rsidRDefault="00E10664" w:rsidP="00E10664">
      <w:pPr>
        <w:spacing w:line="360" w:lineRule="auto"/>
        <w:jc w:val="both"/>
        <w:rPr>
          <w:rFonts w:ascii="FrankRuehl" w:hAnsi="FrankRuehl" w:cs="FrankRuehl"/>
          <w:sz w:val="28"/>
          <w:szCs w:val="28"/>
          <w:rtl/>
        </w:rPr>
      </w:pPr>
      <w:r w:rsidRPr="000109D1">
        <w:rPr>
          <w:rFonts w:ascii="FrankRuehl" w:hAnsi="FrankRuehl" w:cs="FrankRuehl"/>
          <w:sz w:val="28"/>
          <w:szCs w:val="28"/>
          <w:rtl/>
        </w:rPr>
        <w:t xml:space="preserve"> </w:t>
      </w:r>
    </w:p>
    <w:p w14:paraId="0342A8C1" w14:textId="77777777" w:rsidR="00E10664" w:rsidRPr="000109D1" w:rsidRDefault="00E10664" w:rsidP="00E10664">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sidRPr="000109D1">
        <w:rPr>
          <w:rFonts w:ascii="FrankRuehl" w:hAnsi="FrankRuehl" w:cs="FrankRuehl" w:hint="cs"/>
          <w:sz w:val="28"/>
          <w:szCs w:val="28"/>
          <w:rtl/>
        </w:rPr>
        <w:t xml:space="preserve">ב"כ הנאשם </w:t>
      </w:r>
      <w:r>
        <w:rPr>
          <w:rFonts w:ascii="FrankRuehl" w:hAnsi="FrankRuehl" w:cs="FrankRuehl" w:hint="cs"/>
          <w:sz w:val="28"/>
          <w:szCs w:val="28"/>
          <w:rtl/>
        </w:rPr>
        <w:t xml:space="preserve">גם </w:t>
      </w:r>
      <w:r w:rsidRPr="000109D1">
        <w:rPr>
          <w:rFonts w:ascii="FrankRuehl" w:hAnsi="FrankRuehl" w:cs="FrankRuehl" w:hint="cs"/>
          <w:sz w:val="28"/>
          <w:szCs w:val="28"/>
          <w:rtl/>
        </w:rPr>
        <w:t xml:space="preserve">עמד על כך שמדובר באדם צעיר, שבמועד </w:t>
      </w:r>
      <w:r w:rsidRPr="000109D1">
        <w:rPr>
          <w:rFonts w:ascii="FrankRuehl" w:hAnsi="FrankRuehl" w:cs="FrankRuehl"/>
          <w:sz w:val="28"/>
          <w:szCs w:val="28"/>
          <w:rtl/>
        </w:rPr>
        <w:t xml:space="preserve">ביצוע העבירה </w:t>
      </w:r>
      <w:r w:rsidRPr="000109D1">
        <w:rPr>
          <w:rFonts w:ascii="FrankRuehl" w:hAnsi="FrankRuehl" w:cs="FrankRuehl" w:hint="cs"/>
          <w:sz w:val="28"/>
          <w:szCs w:val="28"/>
          <w:rtl/>
        </w:rPr>
        <w:t xml:space="preserve">טרם מלאו לו 21 שנים. הוא נעדר עבר פלילי עד ביצוע העבירות, ומאז ועד היום. הוא הודה במיוחס לו וחסך זמן שיפוטי. הנאשם גם היה במעצר בית מלא </w:t>
      </w:r>
      <w:r w:rsidRPr="000109D1">
        <w:rPr>
          <w:rFonts w:ascii="FrankRuehl" w:hAnsi="FrankRuehl" w:cs="FrankRuehl"/>
          <w:sz w:val="28"/>
          <w:szCs w:val="28"/>
          <w:rtl/>
        </w:rPr>
        <w:t xml:space="preserve">תקופה של 6 חודשים, </w:t>
      </w:r>
      <w:r w:rsidRPr="000109D1">
        <w:rPr>
          <w:rFonts w:ascii="FrankRuehl" w:hAnsi="FrankRuehl" w:cs="FrankRuehl" w:hint="cs"/>
          <w:sz w:val="28"/>
          <w:szCs w:val="28"/>
          <w:rtl/>
        </w:rPr>
        <w:t>ו</w:t>
      </w:r>
      <w:r w:rsidRPr="000109D1">
        <w:rPr>
          <w:rFonts w:ascii="FrankRuehl" w:hAnsi="FrankRuehl" w:cs="FrankRuehl"/>
          <w:sz w:val="28"/>
          <w:szCs w:val="28"/>
          <w:rtl/>
        </w:rPr>
        <w:t xml:space="preserve">לאחר מכן </w:t>
      </w:r>
      <w:r w:rsidRPr="000109D1">
        <w:rPr>
          <w:rFonts w:ascii="FrankRuehl" w:hAnsi="FrankRuehl" w:cs="FrankRuehl" w:hint="cs"/>
          <w:sz w:val="28"/>
          <w:szCs w:val="28"/>
          <w:rtl/>
        </w:rPr>
        <w:t xml:space="preserve">שהה במעצר בית לילי. לדבריו, המתחם לו עתרה המאשימה אינו תואם את נסיבות המקרה. ב"כ הנאשם הדגיש כי הנאשם עומד על נטילת האחריות ודבריו לקצינת המבחן נבעו </w:t>
      </w:r>
      <w:r w:rsidRPr="000109D1">
        <w:rPr>
          <w:rFonts w:ascii="FrankRuehl" w:hAnsi="FrankRuehl" w:cs="FrankRuehl"/>
          <w:sz w:val="28"/>
          <w:szCs w:val="28"/>
          <w:rtl/>
        </w:rPr>
        <w:t xml:space="preserve">מתסכול </w:t>
      </w:r>
      <w:r w:rsidRPr="000109D1">
        <w:rPr>
          <w:rFonts w:ascii="FrankRuehl" w:hAnsi="FrankRuehl" w:cs="FrankRuehl" w:hint="cs"/>
          <w:sz w:val="28"/>
          <w:szCs w:val="28"/>
          <w:rtl/>
        </w:rPr>
        <w:t xml:space="preserve">נוכח </w:t>
      </w:r>
      <w:r w:rsidRPr="000109D1">
        <w:rPr>
          <w:rFonts w:ascii="FrankRuehl" w:hAnsi="FrankRuehl" w:cs="FrankRuehl"/>
          <w:sz w:val="28"/>
          <w:szCs w:val="28"/>
          <w:rtl/>
        </w:rPr>
        <w:t>מעצר הבית</w:t>
      </w:r>
      <w:r w:rsidRPr="000109D1">
        <w:rPr>
          <w:rFonts w:ascii="FrankRuehl" w:hAnsi="FrankRuehl" w:cs="FrankRuehl" w:hint="cs"/>
          <w:sz w:val="28"/>
          <w:szCs w:val="28"/>
          <w:rtl/>
        </w:rPr>
        <w:t xml:space="preserve"> הארוך בו שהה, כשהמצב הכלכלי של משפחתו אינו טוב. הוא ביקש אפוא להשית על הנאשם עונש מאסר בעבודות שירות, וציין כי שליחתו למאסר מאחורי סורג ובריח עלולה לדרדר אותו. </w:t>
      </w:r>
    </w:p>
    <w:p w14:paraId="2F509CA7" w14:textId="77777777" w:rsidR="00E10664" w:rsidRPr="000109D1" w:rsidRDefault="00E10664" w:rsidP="00E10664">
      <w:pPr>
        <w:spacing w:line="360" w:lineRule="auto"/>
        <w:jc w:val="both"/>
        <w:rPr>
          <w:rFonts w:ascii="FrankRuehl" w:hAnsi="FrankRuehl" w:cs="FrankRuehl"/>
          <w:sz w:val="28"/>
          <w:szCs w:val="28"/>
          <w:rtl/>
        </w:rPr>
      </w:pPr>
    </w:p>
    <w:p w14:paraId="42967069" w14:textId="77777777" w:rsidR="00E10664" w:rsidRDefault="00E10664" w:rsidP="00E10664">
      <w:pPr>
        <w:spacing w:line="360" w:lineRule="auto"/>
        <w:jc w:val="both"/>
        <w:rPr>
          <w:rFonts w:cs="Times New Roman"/>
          <w:color w:val="000000"/>
          <w:sz w:val="27"/>
          <w:szCs w:val="27"/>
          <w:rtl/>
        </w:rPr>
      </w:pPr>
      <w:r>
        <w:rPr>
          <w:rFonts w:ascii="FrankRuehl" w:hAnsi="FrankRuehl" w:cs="FrankRuehl" w:hint="cs"/>
          <w:sz w:val="28"/>
          <w:szCs w:val="28"/>
          <w:rtl/>
        </w:rPr>
        <w:t>11.</w:t>
      </w:r>
      <w:r>
        <w:rPr>
          <w:rFonts w:ascii="FrankRuehl" w:hAnsi="FrankRuehl" w:cs="FrankRuehl" w:hint="cs"/>
          <w:sz w:val="28"/>
          <w:szCs w:val="28"/>
          <w:rtl/>
        </w:rPr>
        <w:tab/>
      </w:r>
      <w:r w:rsidRPr="000109D1">
        <w:rPr>
          <w:rFonts w:ascii="FrankRuehl" w:hAnsi="FrankRuehl" w:cs="FrankRuehl"/>
          <w:sz w:val="28"/>
          <w:szCs w:val="28"/>
          <w:rtl/>
        </w:rPr>
        <w:t>הערכים החברתיים המוגנים באמצעות עבירות נשק, הם שמירה על שלמות גופו ורכושו של אדם ומניעת פגיעה משמעותית בו כתוצאה משימוש בנשק חם על ידי מי שאינו מיומן בכך. הנזק יכול להיגרם הן בשל שימוש בנשק שלא כדין, והן בשל אפשרות הגעתו לידי גורמים שיבצעו באמצעותו עבירות פליליות חמורות.</w:t>
      </w:r>
      <w:r w:rsidRPr="000109D1">
        <w:rPr>
          <w:rFonts w:ascii="FrankRuehl" w:hAnsi="FrankRuehl" w:cs="FrankRuehl" w:hint="cs"/>
          <w:sz w:val="28"/>
          <w:szCs w:val="28"/>
          <w:rtl/>
        </w:rPr>
        <w:t xml:space="preserve"> </w:t>
      </w:r>
      <w:r w:rsidRPr="000109D1">
        <w:rPr>
          <w:rFonts w:ascii="FrankRuehl" w:hAnsi="FrankRuehl" w:cs="FrankRuehl"/>
          <w:sz w:val="28"/>
          <w:szCs w:val="28"/>
          <w:rtl/>
        </w:rPr>
        <w:t>בית המשפט ציין פעמים רבות את החומרה הגלומה בעבירות נשק ופוטנציאל הפגיעה בנפש וברכוש שעלולים להיגרם כתוצאה מכך</w:t>
      </w:r>
      <w:r>
        <w:rPr>
          <w:rFonts w:ascii="FrankRuehl" w:hAnsi="FrankRuehl" w:cs="FrankRuehl" w:hint="cs"/>
          <w:color w:val="000000"/>
          <w:sz w:val="28"/>
          <w:szCs w:val="28"/>
          <w:rtl/>
        </w:rPr>
        <w:t xml:space="preserve">, </w:t>
      </w:r>
      <w:r w:rsidRPr="000109D1">
        <w:rPr>
          <w:rFonts w:ascii="FrankRuehl" w:hAnsi="FrankRuehl" w:cs="FrankRuehl"/>
          <w:color w:val="000000"/>
          <w:sz w:val="28"/>
          <w:szCs w:val="28"/>
          <w:rtl/>
        </w:rPr>
        <w:t>ואת הצורך בהחמרת הענישה לצורך מיגור התופעה (ראו למשל:</w:t>
      </w:r>
      <w:r>
        <w:rPr>
          <w:rFonts w:ascii="FrankRuehl" w:hAnsi="FrankRuehl" w:cs="FrankRuehl" w:hint="cs"/>
          <w:color w:val="000000"/>
          <w:sz w:val="28"/>
          <w:szCs w:val="28"/>
          <w:rtl/>
        </w:rPr>
        <w:t xml:space="preserve"> </w:t>
      </w:r>
      <w:hyperlink r:id="rId15" w:history="1">
        <w:r w:rsidR="00534565" w:rsidRPr="00534565">
          <w:rPr>
            <w:rFonts w:ascii="FrankRuehl" w:hAnsi="FrankRuehl" w:cs="FrankRuehl"/>
            <w:color w:val="0000FF"/>
            <w:sz w:val="28"/>
            <w:szCs w:val="28"/>
            <w:u w:val="single"/>
            <w:rtl/>
          </w:rPr>
          <w:t>ע"פ 4406/19</w:t>
        </w:r>
      </w:hyperlink>
      <w:r>
        <w:rPr>
          <w:rFonts w:ascii="FrankRuehl" w:hAnsi="FrankRuehl" w:cs="FrankRuehl" w:hint="cs"/>
          <w:color w:val="000000"/>
          <w:sz w:val="28"/>
          <w:szCs w:val="28"/>
          <w:rtl/>
        </w:rPr>
        <w:t xml:space="preserve"> </w:t>
      </w:r>
      <w:r w:rsidRPr="00A23D90">
        <w:rPr>
          <w:rFonts w:ascii="FrankRuehl" w:hAnsi="FrankRuehl" w:cs="FrankRuehl" w:hint="cs"/>
          <w:b/>
          <w:bCs/>
          <w:color w:val="000000"/>
          <w:sz w:val="28"/>
          <w:szCs w:val="28"/>
          <w:rtl/>
        </w:rPr>
        <w:t>מדינת ישראל נ' סובח</w:t>
      </w:r>
      <w:r>
        <w:rPr>
          <w:rFonts w:ascii="FrankRuehl" w:hAnsi="FrankRuehl" w:cs="FrankRuehl" w:hint="cs"/>
          <w:color w:val="000000"/>
          <w:sz w:val="28"/>
          <w:szCs w:val="28"/>
          <w:rtl/>
        </w:rPr>
        <w:t xml:space="preserve"> (5.11.19); </w:t>
      </w:r>
      <w:hyperlink r:id="rId16" w:history="1">
        <w:r w:rsidR="00534565" w:rsidRPr="00534565">
          <w:rPr>
            <w:rFonts w:ascii="FrankRuehl" w:hAnsi="FrankRuehl" w:cs="FrankRuehl"/>
            <w:color w:val="0000FF"/>
            <w:sz w:val="28"/>
            <w:szCs w:val="28"/>
            <w:u w:val="single"/>
            <w:rtl/>
          </w:rPr>
          <w:t>ע"פ 8045/17</w:t>
        </w:r>
      </w:hyperlink>
      <w:r>
        <w:rPr>
          <w:rFonts w:ascii="FrankRuehl" w:hAnsi="FrankRuehl" w:cs="FrankRuehl" w:hint="cs"/>
          <w:b/>
          <w:bCs/>
          <w:color w:val="000000"/>
          <w:sz w:val="28"/>
          <w:szCs w:val="28"/>
          <w:rtl/>
        </w:rPr>
        <w:t xml:space="preserve"> </w:t>
      </w:r>
      <w:r w:rsidRPr="000109D1">
        <w:rPr>
          <w:rFonts w:ascii="FrankRuehl" w:hAnsi="FrankRuehl" w:cs="FrankRuehl"/>
          <w:b/>
          <w:bCs/>
          <w:color w:val="000000"/>
          <w:sz w:val="28"/>
          <w:szCs w:val="28"/>
          <w:rtl/>
        </w:rPr>
        <w:t>בראנסי נ' מדינת ישראל</w:t>
      </w:r>
      <w:r w:rsidR="00534565">
        <w:rPr>
          <w:rFonts w:ascii="FrankRuehl" w:hAnsi="FrankRuehl" w:cs="FrankRuehl"/>
          <w:color w:val="000000"/>
          <w:sz w:val="28"/>
          <w:szCs w:val="28"/>
          <w:rtl/>
        </w:rPr>
        <w:t xml:space="preserve"> </w:t>
      </w:r>
      <w:r w:rsidRPr="000109D1">
        <w:rPr>
          <w:rFonts w:ascii="FrankRuehl" w:hAnsi="FrankRuehl" w:cs="FrankRuehl"/>
          <w:color w:val="000000"/>
          <w:sz w:val="28"/>
          <w:szCs w:val="28"/>
          <w:rtl/>
        </w:rPr>
        <w:t>(16.08.18)).</w:t>
      </w:r>
      <w:r>
        <w:rPr>
          <w:rFonts w:cs="Times New Roman" w:hint="cs"/>
          <w:color w:val="000000"/>
          <w:sz w:val="27"/>
          <w:szCs w:val="27"/>
          <w:rtl/>
        </w:rPr>
        <w:t xml:space="preserve"> </w:t>
      </w:r>
      <w:r>
        <w:rPr>
          <w:rFonts w:ascii="FrankRuehl" w:hAnsi="FrankRuehl" w:cs="FrankRuehl" w:hint="cs"/>
          <w:sz w:val="28"/>
          <w:szCs w:val="28"/>
          <w:rtl/>
        </w:rPr>
        <w:t xml:space="preserve">הכלל הוא כי בגין עבירות נשק כאלו העונש הראוי הוא מאסר בפועל.  </w:t>
      </w:r>
    </w:p>
    <w:p w14:paraId="20635067" w14:textId="77777777" w:rsidR="00E10664" w:rsidRDefault="00E10664" w:rsidP="00E10664">
      <w:pPr>
        <w:spacing w:line="360" w:lineRule="auto"/>
        <w:jc w:val="both"/>
        <w:rPr>
          <w:rFonts w:cs="Times New Roman"/>
          <w:color w:val="000000"/>
          <w:sz w:val="27"/>
          <w:szCs w:val="27"/>
          <w:rtl/>
        </w:rPr>
      </w:pPr>
    </w:p>
    <w:p w14:paraId="1D10343F" w14:textId="77777777" w:rsidR="00E10664" w:rsidRDefault="00E10664" w:rsidP="00E10664">
      <w:pPr>
        <w:spacing w:line="360" w:lineRule="auto"/>
        <w:jc w:val="both"/>
        <w:rPr>
          <w:rFonts w:ascii="FrankRuehl" w:hAnsi="FrankRueh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t>באשר למדיניות הענישה הנוהגת ראו:</w:t>
      </w:r>
    </w:p>
    <w:p w14:paraId="11B10A8A" w14:textId="77777777" w:rsidR="00E10664" w:rsidRDefault="00534565" w:rsidP="00E10664">
      <w:pPr>
        <w:pStyle w:val="a9"/>
        <w:numPr>
          <w:ilvl w:val="0"/>
          <w:numId w:val="1"/>
        </w:numPr>
        <w:bidi/>
        <w:spacing w:line="360" w:lineRule="auto"/>
        <w:jc w:val="both"/>
        <w:rPr>
          <w:rFonts w:ascii="FrankRuehl" w:hAnsi="FrankRuehl" w:cs="FrankRuehl"/>
          <w:sz w:val="28"/>
          <w:szCs w:val="28"/>
        </w:rPr>
      </w:pPr>
      <w:hyperlink r:id="rId17" w:history="1">
        <w:r w:rsidRPr="00534565">
          <w:rPr>
            <w:rFonts w:ascii="FrankRuehl" w:hAnsi="FrankRuehl" w:cs="FrankRuehl"/>
            <w:color w:val="0000FF"/>
            <w:sz w:val="28"/>
            <w:szCs w:val="28"/>
            <w:u w:val="single"/>
            <w:rtl/>
          </w:rPr>
          <w:t>ת"פ (מחוזי-י-ם) 66542-05-20</w:t>
        </w:r>
      </w:hyperlink>
      <w:r w:rsidR="00E10664" w:rsidRPr="00817621">
        <w:rPr>
          <w:rFonts w:ascii="FrankRuehl" w:hAnsi="FrankRuehl" w:cs="FrankRuehl" w:hint="cs"/>
          <w:sz w:val="28"/>
          <w:szCs w:val="28"/>
          <w:rtl/>
        </w:rPr>
        <w:t xml:space="preserve"> מדינת ישראל נ' אבו נאב (25.01.21) שם נקבע מתחם של 8 עד 24 חודשים בעבירות של רכישת תחמושת, החזקת נשק ותחמושת וירי במקום מגורים (וראו שם גם ההפניות לגזרי דין נוספים)</w:t>
      </w:r>
      <w:r w:rsidR="00E10664">
        <w:rPr>
          <w:rFonts w:ascii="FrankRuehl" w:hAnsi="FrankRuehl" w:cs="FrankRuehl" w:hint="cs"/>
          <w:sz w:val="28"/>
          <w:szCs w:val="28"/>
          <w:rtl/>
        </w:rPr>
        <w:t>.</w:t>
      </w:r>
      <w:r w:rsidR="00E10664" w:rsidRPr="00817621">
        <w:rPr>
          <w:rFonts w:ascii="FrankRuehl" w:hAnsi="FrankRuehl" w:cs="FrankRuehl" w:hint="cs"/>
          <w:sz w:val="28"/>
          <w:szCs w:val="28"/>
          <w:rtl/>
        </w:rPr>
        <w:t xml:space="preserve"> </w:t>
      </w:r>
    </w:p>
    <w:p w14:paraId="4FEE05B5" w14:textId="77777777" w:rsidR="00E10664" w:rsidRDefault="00534565" w:rsidP="00E10664">
      <w:pPr>
        <w:pStyle w:val="a9"/>
        <w:numPr>
          <w:ilvl w:val="0"/>
          <w:numId w:val="1"/>
        </w:numPr>
        <w:bidi/>
        <w:spacing w:line="360" w:lineRule="auto"/>
        <w:jc w:val="both"/>
        <w:rPr>
          <w:rFonts w:ascii="FrankRuehl" w:hAnsi="FrankRuehl" w:cs="FrankRuehl"/>
          <w:sz w:val="28"/>
          <w:szCs w:val="28"/>
        </w:rPr>
      </w:pPr>
      <w:hyperlink r:id="rId18" w:history="1">
        <w:r w:rsidRPr="00534565">
          <w:rPr>
            <w:rFonts w:ascii="FrankRuehl" w:hAnsi="FrankRuehl" w:cs="FrankRuehl"/>
            <w:color w:val="0000FF"/>
            <w:sz w:val="28"/>
            <w:szCs w:val="28"/>
            <w:u w:val="single"/>
            <w:rtl/>
          </w:rPr>
          <w:t>ת"פ (מחוזי-חי) 41276-06-17</w:t>
        </w:r>
      </w:hyperlink>
      <w:r w:rsidR="00E10664" w:rsidRPr="00817621">
        <w:rPr>
          <w:rFonts w:ascii="FrankRuehl" w:hAnsi="FrankRuehl" w:cs="FrankRuehl" w:hint="cs"/>
          <w:sz w:val="28"/>
          <w:szCs w:val="28"/>
          <w:rtl/>
        </w:rPr>
        <w:t xml:space="preserve"> מדינת ישראל נ' ג'בארין (17.07.18) שם נקבע מתחם של 10 עד 30 חודשי מאסר במקרה של נשיאת נשק ותחמושת וירי בסמוך למקום מגורים</w:t>
      </w:r>
      <w:r w:rsidR="00E10664">
        <w:rPr>
          <w:rFonts w:ascii="FrankRuehl" w:hAnsi="FrankRuehl" w:cs="FrankRuehl" w:hint="cs"/>
          <w:sz w:val="28"/>
          <w:szCs w:val="28"/>
          <w:rtl/>
        </w:rPr>
        <w:t>.</w:t>
      </w:r>
    </w:p>
    <w:p w14:paraId="795DC5B8" w14:textId="77777777" w:rsidR="00E10664" w:rsidRPr="00817621" w:rsidRDefault="00534565" w:rsidP="00E10664">
      <w:pPr>
        <w:pStyle w:val="a9"/>
        <w:numPr>
          <w:ilvl w:val="0"/>
          <w:numId w:val="1"/>
        </w:numPr>
        <w:bidi/>
        <w:spacing w:line="360" w:lineRule="auto"/>
        <w:jc w:val="both"/>
        <w:rPr>
          <w:rFonts w:ascii="FrankRuehl" w:hAnsi="FrankRuehl" w:cs="FrankRuehl"/>
          <w:sz w:val="28"/>
          <w:szCs w:val="28"/>
          <w:rtl/>
        </w:rPr>
      </w:pPr>
      <w:hyperlink r:id="rId19" w:history="1">
        <w:r w:rsidRPr="00534565">
          <w:rPr>
            <w:rFonts w:ascii="FrankRuehl" w:hAnsi="FrankRuehl" w:cs="FrankRuehl"/>
            <w:color w:val="0000FF"/>
            <w:sz w:val="28"/>
            <w:szCs w:val="28"/>
            <w:u w:val="single"/>
            <w:rtl/>
          </w:rPr>
          <w:t>ת"פ (מחוזי-י-ם) 52515-03-20</w:t>
        </w:r>
      </w:hyperlink>
      <w:r w:rsidR="00E10664" w:rsidRPr="00817621">
        <w:rPr>
          <w:rFonts w:ascii="FrankRuehl" w:hAnsi="FrankRuehl" w:cs="FrankRuehl" w:hint="cs"/>
          <w:sz w:val="28"/>
          <w:szCs w:val="28"/>
          <w:rtl/>
        </w:rPr>
        <w:t xml:space="preserve"> מדינת ישראל נ' סנדוקה (19.10.20), שם נקבע מתחם של 7 עד 20 חודשי מאסר בעבירה של החזקת נשק בלבד (וראו שם גם ההפניות לגזרי דין נוספים). </w:t>
      </w:r>
    </w:p>
    <w:p w14:paraId="1D77234D" w14:textId="77777777" w:rsidR="00E10664" w:rsidRDefault="00E10664" w:rsidP="00E10664">
      <w:pPr>
        <w:spacing w:line="360" w:lineRule="auto"/>
        <w:jc w:val="both"/>
        <w:rPr>
          <w:rFonts w:ascii="FrankRuehl" w:hAnsi="FrankRuehl" w:cs="FrankRuehl"/>
          <w:sz w:val="28"/>
          <w:szCs w:val="28"/>
          <w:rtl/>
        </w:rPr>
      </w:pPr>
    </w:p>
    <w:p w14:paraId="7E91F365" w14:textId="77777777" w:rsidR="00E10664" w:rsidRDefault="00E10664" w:rsidP="00E10664">
      <w:pPr>
        <w:spacing w:line="360" w:lineRule="auto"/>
        <w:jc w:val="both"/>
        <w:rPr>
          <w:rFonts w:cs="Times New Roman"/>
          <w:color w:val="000000"/>
          <w:sz w:val="27"/>
          <w:szCs w:val="27"/>
        </w:rPr>
      </w:pPr>
      <w:r>
        <w:rPr>
          <w:rFonts w:ascii="FrankRuehl" w:hAnsi="FrankRuehl" w:cs="FrankRuehl" w:hint="cs"/>
          <w:sz w:val="28"/>
          <w:szCs w:val="28"/>
          <w:rtl/>
        </w:rPr>
        <w:t>13.</w:t>
      </w:r>
      <w:r>
        <w:rPr>
          <w:rFonts w:ascii="FrankRuehl" w:hAnsi="FrankRuehl" w:cs="FrankRuehl" w:hint="cs"/>
          <w:sz w:val="28"/>
          <w:szCs w:val="28"/>
          <w:rtl/>
        </w:rPr>
        <w:tab/>
        <w:t xml:space="preserve">למעשה, </w:t>
      </w:r>
      <w:r w:rsidRPr="00817621">
        <w:rPr>
          <w:rFonts w:ascii="FrankRuehl" w:hAnsi="FrankRuehl" w:cs="FrankRuehl" w:hint="cs"/>
          <w:sz w:val="28"/>
          <w:szCs w:val="28"/>
          <w:rtl/>
        </w:rPr>
        <w:t xml:space="preserve">מאז מתן גזרי דין אלו, </w:t>
      </w:r>
      <w:r>
        <w:rPr>
          <w:rFonts w:ascii="FrankRuehl" w:hAnsi="FrankRuehl" w:cs="FrankRuehl" w:hint="cs"/>
          <w:sz w:val="28"/>
          <w:szCs w:val="28"/>
          <w:rtl/>
        </w:rPr>
        <w:t xml:space="preserve">מגמת ההחמרה נמשכת והולכת נוכח נפיצותן של עבירות הנשק והנזקים הנגרמים לציבור בעטיין של העבירות. </w:t>
      </w:r>
      <w:r>
        <w:rPr>
          <w:rFonts w:ascii="FrankRuehl" w:hAnsi="FrankRuehl" w:cs="FrankRuehl"/>
          <w:color w:val="000000"/>
          <w:sz w:val="28"/>
          <w:szCs w:val="28"/>
          <w:rtl/>
        </w:rPr>
        <w:t>במסגרת תיקון 140 (הוראת שעה) ל</w:t>
      </w:r>
      <w:hyperlink r:id="rId20" w:history="1">
        <w:r w:rsidR="00534565" w:rsidRPr="00534565">
          <w:rPr>
            <w:rFonts w:ascii="FrankRuehl" w:hAnsi="FrankRuehl" w:cs="FrankRuehl"/>
            <w:color w:val="0000FF"/>
            <w:sz w:val="28"/>
            <w:szCs w:val="28"/>
            <w:u w:val="single"/>
            <w:rtl/>
          </w:rPr>
          <w:t>חוק העונשין</w:t>
        </w:r>
      </w:hyperlink>
      <w:r>
        <w:rPr>
          <w:rFonts w:ascii="FrankRuehl" w:hAnsi="FrankRuehl" w:cs="FrankRuehl"/>
          <w:color w:val="000000"/>
          <w:sz w:val="28"/>
          <w:szCs w:val="28"/>
          <w:rtl/>
        </w:rPr>
        <w:t xml:space="preserve"> הורה המחוקק</w:t>
      </w:r>
      <w:r w:rsidR="00534565">
        <w:rPr>
          <w:rFonts w:ascii="FrankRuehl" w:hAnsi="FrankRuehl" w:cs="FrankRuehl"/>
          <w:color w:val="000000"/>
          <w:sz w:val="28"/>
          <w:szCs w:val="28"/>
          <w:rtl/>
        </w:rPr>
        <w:t xml:space="preserve"> </w:t>
      </w:r>
      <w:r>
        <w:rPr>
          <w:rFonts w:ascii="FrankRuehl" w:hAnsi="FrankRuehl" w:cs="FrankRuehl"/>
          <w:color w:val="000000"/>
          <w:sz w:val="28"/>
          <w:szCs w:val="28"/>
          <w:rtl/>
        </w:rPr>
        <w:t xml:space="preserve">על עונש מינימום בעבירות נשק, שלא יפחת מרבע העונש המרבי שנקבע לאותה עבירה. זאת נוכח העלייה הרבה בעבירות נשק, אשר הביאו ומביאים כמעט יום יום לקרבנות בגוף ובנפש. והגם שהתיקון אינו חל על מקרה זה, הוא מצדיק את מגמת ההחמרה בענישה (השוו: </w:t>
      </w:r>
      <w:hyperlink r:id="rId21" w:history="1">
        <w:r w:rsidR="00534565" w:rsidRPr="00534565">
          <w:rPr>
            <w:rFonts w:ascii="FrankRuehl" w:hAnsi="FrankRuehl" w:cs="FrankRuehl"/>
            <w:color w:val="0000FF"/>
            <w:sz w:val="28"/>
            <w:szCs w:val="28"/>
            <w:u w:val="single"/>
            <w:rtl/>
          </w:rPr>
          <w:t>ע"פ 4456/21</w:t>
        </w:r>
      </w:hyperlink>
      <w:r w:rsidR="00534565">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אבו עבסה</w:t>
      </w:r>
      <w:r w:rsidR="00534565">
        <w:rPr>
          <w:rFonts w:ascii="FrankRuehl" w:hAnsi="FrankRuehl" w:cs="FrankRuehl"/>
          <w:color w:val="000000"/>
          <w:sz w:val="28"/>
          <w:szCs w:val="28"/>
          <w:rtl/>
        </w:rPr>
        <w:t xml:space="preserve"> </w:t>
      </w:r>
      <w:r>
        <w:rPr>
          <w:rFonts w:ascii="FrankRuehl" w:hAnsi="FrankRuehl" w:cs="FrankRuehl"/>
          <w:color w:val="000000"/>
          <w:sz w:val="28"/>
          <w:szCs w:val="28"/>
          <w:rtl/>
        </w:rPr>
        <w:t xml:space="preserve">(23.01.22); </w:t>
      </w:r>
      <w:hyperlink r:id="rId22" w:history="1">
        <w:r w:rsidR="00534565" w:rsidRPr="00534565">
          <w:rPr>
            <w:rFonts w:ascii="FrankRuehl" w:hAnsi="FrankRuehl" w:cs="FrankRuehl"/>
            <w:color w:val="0000FF"/>
            <w:sz w:val="28"/>
            <w:szCs w:val="28"/>
            <w:u w:val="single"/>
            <w:rtl/>
          </w:rPr>
          <w:t>ע"פ 8869/21</w:t>
        </w:r>
      </w:hyperlink>
      <w:r w:rsidR="00534565">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קואסמה</w:t>
      </w:r>
      <w:r w:rsidR="00534565">
        <w:rPr>
          <w:rFonts w:ascii="FrankRuehl" w:hAnsi="FrankRuehl" w:cs="FrankRuehl"/>
          <w:color w:val="000000"/>
          <w:sz w:val="28"/>
          <w:szCs w:val="28"/>
          <w:rtl/>
        </w:rPr>
        <w:t xml:space="preserve"> </w:t>
      </w:r>
      <w:r>
        <w:rPr>
          <w:rFonts w:ascii="FrankRuehl" w:hAnsi="FrankRuehl" w:cs="FrankRuehl"/>
          <w:color w:val="000000"/>
          <w:sz w:val="28"/>
          <w:szCs w:val="28"/>
          <w:rtl/>
        </w:rPr>
        <w:t xml:space="preserve">(13.03.22); </w:t>
      </w:r>
      <w:hyperlink r:id="rId23" w:history="1">
        <w:r w:rsidR="00534565" w:rsidRPr="00534565">
          <w:rPr>
            <w:rFonts w:ascii="FrankRuehl" w:hAnsi="FrankRuehl" w:cs="FrankRuehl"/>
            <w:color w:val="0000FF"/>
            <w:sz w:val="28"/>
            <w:szCs w:val="28"/>
            <w:u w:val="single"/>
            <w:rtl/>
          </w:rPr>
          <w:t>ע"פ 4077/22</w:t>
        </w:r>
      </w:hyperlink>
      <w:r w:rsidR="00534565">
        <w:rPr>
          <w:rFonts w:ascii="FrankRuehl" w:hAnsi="FrankRuehl" w:cs="FrankRuehl"/>
          <w:color w:val="000000"/>
          <w:sz w:val="28"/>
          <w:szCs w:val="28"/>
          <w:rtl/>
        </w:rPr>
        <w:t xml:space="preserve"> </w:t>
      </w:r>
      <w:r>
        <w:rPr>
          <w:rFonts w:ascii="FrankRuehl" w:hAnsi="FrankRuehl" w:cs="FrankRuehl"/>
          <w:b/>
          <w:bCs/>
          <w:color w:val="000000"/>
          <w:sz w:val="28"/>
          <w:szCs w:val="28"/>
          <w:rtl/>
        </w:rPr>
        <w:t>פלוני נ' מדינת ישראל</w:t>
      </w:r>
      <w:r w:rsidR="00534565">
        <w:rPr>
          <w:rFonts w:ascii="FrankRuehl" w:hAnsi="FrankRuehl" w:cs="FrankRuehl"/>
          <w:color w:val="000000"/>
          <w:sz w:val="28"/>
          <w:szCs w:val="28"/>
          <w:rtl/>
        </w:rPr>
        <w:t xml:space="preserve"> </w:t>
      </w:r>
      <w:r>
        <w:rPr>
          <w:rFonts w:ascii="FrankRuehl" w:hAnsi="FrankRuehl" w:cs="FrankRuehl"/>
          <w:color w:val="000000"/>
          <w:sz w:val="28"/>
          <w:szCs w:val="28"/>
          <w:rtl/>
        </w:rPr>
        <w:t xml:space="preserve">(28.07.22); ובפרט לאחרונה </w:t>
      </w:r>
      <w:hyperlink r:id="rId24" w:history="1">
        <w:r w:rsidR="00534565" w:rsidRPr="00534565">
          <w:rPr>
            <w:rFonts w:ascii="FrankRuehl" w:hAnsi="FrankRuehl" w:cs="FrankRuehl"/>
            <w:color w:val="0000FF"/>
            <w:sz w:val="28"/>
            <w:szCs w:val="28"/>
            <w:u w:val="single"/>
            <w:rtl/>
          </w:rPr>
          <w:t>ע"פ 5602/22</w:t>
        </w:r>
      </w:hyperlink>
      <w:r w:rsidR="00534565">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פלוני</w:t>
      </w:r>
      <w:r w:rsidR="00534565">
        <w:rPr>
          <w:rFonts w:ascii="FrankRuehl" w:hAnsi="FrankRuehl" w:cs="FrankRuehl"/>
          <w:color w:val="000000"/>
          <w:sz w:val="28"/>
          <w:szCs w:val="28"/>
          <w:rtl/>
        </w:rPr>
        <w:t xml:space="preserve"> </w:t>
      </w:r>
      <w:r>
        <w:rPr>
          <w:rFonts w:ascii="FrankRuehl" w:hAnsi="FrankRuehl" w:cs="FrankRuehl"/>
          <w:color w:val="000000"/>
          <w:sz w:val="28"/>
          <w:szCs w:val="28"/>
          <w:rtl/>
        </w:rPr>
        <w:t xml:space="preserve">(14.09.22)). </w:t>
      </w:r>
    </w:p>
    <w:p w14:paraId="40337343" w14:textId="77777777" w:rsidR="00E10664" w:rsidRDefault="00E10664" w:rsidP="00E10664">
      <w:pPr>
        <w:spacing w:line="360" w:lineRule="auto"/>
        <w:jc w:val="both"/>
        <w:rPr>
          <w:rFonts w:ascii="FrankRuehl" w:hAnsi="FrankRuehl" w:cs="FrankRuehl"/>
          <w:sz w:val="28"/>
          <w:szCs w:val="28"/>
          <w:rtl/>
        </w:rPr>
      </w:pPr>
    </w:p>
    <w:p w14:paraId="10D997B3" w14:textId="77777777" w:rsidR="00E10664" w:rsidRPr="000109D1" w:rsidRDefault="00E10664" w:rsidP="00E10664">
      <w:pPr>
        <w:spacing w:line="360" w:lineRule="auto"/>
        <w:jc w:val="both"/>
        <w:rPr>
          <w:rFonts w:ascii="FrankRuehl" w:hAnsi="FrankRuehl" w:cs="FrankRuehl"/>
          <w:sz w:val="28"/>
          <w:szCs w:val="28"/>
        </w:rPr>
      </w:pPr>
      <w:r>
        <w:rPr>
          <w:rFonts w:ascii="FrankRuehl" w:hAnsi="FrankRuehl" w:cs="FrankRuehl" w:hint="cs"/>
          <w:sz w:val="28"/>
          <w:szCs w:val="28"/>
          <w:rtl/>
        </w:rPr>
        <w:t>14.</w:t>
      </w:r>
      <w:r>
        <w:rPr>
          <w:rFonts w:ascii="FrankRuehl" w:hAnsi="FrankRuehl" w:cs="FrankRuehl" w:hint="cs"/>
          <w:sz w:val="28"/>
          <w:szCs w:val="28"/>
          <w:rtl/>
        </w:rPr>
        <w:tab/>
      </w:r>
      <w:r w:rsidRPr="000109D1">
        <w:rPr>
          <w:rFonts w:ascii="FrankRuehl" w:hAnsi="FrankRuehl" w:cs="FrankRuehl" w:hint="cs"/>
          <w:sz w:val="28"/>
          <w:szCs w:val="28"/>
          <w:rtl/>
        </w:rPr>
        <w:t xml:space="preserve">במקרה זה </w:t>
      </w:r>
      <w:r>
        <w:rPr>
          <w:rFonts w:ascii="FrankRuehl" w:hAnsi="FrankRuehl" w:cs="FrankRuehl" w:hint="cs"/>
          <w:sz w:val="28"/>
          <w:szCs w:val="28"/>
          <w:rtl/>
        </w:rPr>
        <w:t xml:space="preserve">אין </w:t>
      </w:r>
      <w:r w:rsidRPr="000109D1">
        <w:rPr>
          <w:rFonts w:ascii="FrankRuehl" w:hAnsi="FrankRuehl" w:cs="FrankRuehl" w:hint="cs"/>
          <w:sz w:val="28"/>
          <w:szCs w:val="28"/>
          <w:rtl/>
        </w:rPr>
        <w:t>מדובר</w:t>
      </w:r>
      <w:r>
        <w:rPr>
          <w:rFonts w:ascii="FrankRuehl" w:hAnsi="FrankRuehl" w:cs="FrankRuehl" w:hint="cs"/>
          <w:sz w:val="28"/>
          <w:szCs w:val="28"/>
          <w:rtl/>
        </w:rPr>
        <w:t xml:space="preserve"> אך בנשיאה של נשק, כי אם </w:t>
      </w:r>
      <w:r w:rsidRPr="000109D1">
        <w:rPr>
          <w:rFonts w:ascii="FrankRuehl" w:hAnsi="FrankRuehl" w:cs="FrankRuehl" w:hint="cs"/>
          <w:sz w:val="28"/>
          <w:szCs w:val="28"/>
          <w:rtl/>
        </w:rPr>
        <w:t>גם בירי, שאמנם נעשה שלא בתוך שכונת מגורים, אך עדים אנו לא פעם למקרים בהם כדורים תועים הנורים סתם פוגעים באזרחים תמימים</w:t>
      </w:r>
      <w:r>
        <w:rPr>
          <w:rFonts w:ascii="FrankRuehl" w:hAnsi="FrankRuehl" w:cs="FrankRuehl" w:hint="cs"/>
          <w:sz w:val="28"/>
          <w:szCs w:val="28"/>
          <w:rtl/>
        </w:rPr>
        <w:t xml:space="preserve"> המצויים במרחק ממקום הירי</w:t>
      </w:r>
      <w:r w:rsidRPr="000109D1">
        <w:rPr>
          <w:rFonts w:ascii="FrankRuehl" w:hAnsi="FrankRuehl" w:cs="FrankRuehl" w:hint="cs"/>
          <w:sz w:val="28"/>
          <w:szCs w:val="28"/>
          <w:rtl/>
        </w:rPr>
        <w:t xml:space="preserve">. </w:t>
      </w:r>
    </w:p>
    <w:p w14:paraId="069D7703" w14:textId="77777777" w:rsidR="00E10664" w:rsidRPr="00817621" w:rsidRDefault="00E10664" w:rsidP="00E10664">
      <w:pPr>
        <w:spacing w:line="360" w:lineRule="auto"/>
        <w:jc w:val="both"/>
        <w:rPr>
          <w:rFonts w:ascii="FrankRuehl" w:hAnsi="FrankRuehl" w:cs="FrankRuehl"/>
          <w:sz w:val="28"/>
          <w:szCs w:val="28"/>
          <w:rtl/>
        </w:rPr>
      </w:pPr>
    </w:p>
    <w:p w14:paraId="61EB5E6B" w14:textId="77777777" w:rsidR="00E10664" w:rsidRPr="00C41310" w:rsidRDefault="00E10664" w:rsidP="00E10664">
      <w:pPr>
        <w:spacing w:line="360" w:lineRule="auto"/>
        <w:jc w:val="both"/>
        <w:rPr>
          <w:rFonts w:ascii="FrankRuehl" w:hAnsi="FrankRuehl" w:cs="FrankRuehl"/>
          <w:sz w:val="28"/>
          <w:szCs w:val="28"/>
          <w:rtl/>
        </w:rPr>
      </w:pPr>
      <w:r>
        <w:rPr>
          <w:rFonts w:ascii="FrankRuehl" w:hAnsi="FrankRuehl" w:cs="FrankRuehl" w:hint="cs"/>
          <w:sz w:val="28"/>
          <w:szCs w:val="28"/>
          <w:rtl/>
        </w:rPr>
        <w:t>15.</w:t>
      </w:r>
      <w:r>
        <w:rPr>
          <w:rFonts w:ascii="FrankRuehl" w:hAnsi="FrankRuehl" w:cs="FrankRuehl" w:hint="cs"/>
          <w:sz w:val="28"/>
          <w:szCs w:val="28"/>
          <w:rtl/>
        </w:rPr>
        <w:tab/>
      </w:r>
      <w:r w:rsidRPr="000109D1">
        <w:rPr>
          <w:rFonts w:ascii="FrankRuehl" w:hAnsi="FrankRuehl" w:cs="FrankRuehl"/>
          <w:sz w:val="28"/>
          <w:szCs w:val="28"/>
          <w:rtl/>
        </w:rPr>
        <w:t>בשים לב לכל האמור, אני סבור כי יש לקבוע מתחם עונש הולם למעשה העבירה שביצע הנאשם בנסיבותיו, בשים לב לערך החברתי הנפגע בו טמון סיכון משמעותי לחיי אדם, למדינ</w:t>
      </w:r>
      <w:r>
        <w:rPr>
          <w:rFonts w:ascii="FrankRuehl" w:hAnsi="FrankRuehl" w:cs="FrankRuehl"/>
          <w:sz w:val="28"/>
          <w:szCs w:val="28"/>
          <w:rtl/>
        </w:rPr>
        <w:t>יות הענישה הנהוגה</w:t>
      </w:r>
      <w:r>
        <w:rPr>
          <w:rFonts w:ascii="FrankRuehl" w:hAnsi="FrankRuehl" w:cs="FrankRuehl" w:hint="cs"/>
          <w:sz w:val="28"/>
          <w:szCs w:val="28"/>
          <w:rtl/>
        </w:rPr>
        <w:t xml:space="preserve"> - </w:t>
      </w:r>
      <w:r w:rsidRPr="000109D1">
        <w:rPr>
          <w:rFonts w:ascii="FrankRuehl" w:hAnsi="FrankRuehl" w:cs="FrankRuehl"/>
          <w:sz w:val="28"/>
          <w:szCs w:val="28"/>
          <w:rtl/>
        </w:rPr>
        <w:t>עונש הנע בין מאסר לתקופה של</w:t>
      </w:r>
      <w:r w:rsidRPr="00C41310">
        <w:rPr>
          <w:rFonts w:ascii="FrankRuehl" w:hAnsi="FrankRuehl" w:cs="FrankRuehl" w:hint="cs"/>
          <w:sz w:val="28"/>
          <w:szCs w:val="28"/>
          <w:rtl/>
        </w:rPr>
        <w:t xml:space="preserve"> 12 </w:t>
      </w:r>
      <w:r w:rsidRPr="000109D1">
        <w:rPr>
          <w:rFonts w:ascii="FrankRuehl" w:hAnsi="FrankRuehl" w:cs="FrankRuehl"/>
          <w:sz w:val="28"/>
          <w:szCs w:val="28"/>
          <w:rtl/>
        </w:rPr>
        <w:t xml:space="preserve">חודשים </w:t>
      </w:r>
      <w:r w:rsidRPr="00C41310">
        <w:rPr>
          <w:rFonts w:ascii="FrankRuehl" w:hAnsi="FrankRuehl" w:cs="FrankRuehl"/>
          <w:sz w:val="28"/>
          <w:szCs w:val="28"/>
          <w:rtl/>
        </w:rPr>
        <w:t xml:space="preserve">עד למאסר של </w:t>
      </w:r>
      <w:r w:rsidRPr="00C41310">
        <w:rPr>
          <w:rFonts w:ascii="FrankRuehl" w:hAnsi="FrankRuehl" w:cs="FrankRuehl" w:hint="cs"/>
          <w:sz w:val="28"/>
          <w:szCs w:val="28"/>
          <w:rtl/>
        </w:rPr>
        <w:t>30</w:t>
      </w:r>
      <w:r w:rsidRPr="00C41310">
        <w:rPr>
          <w:rFonts w:ascii="FrankRuehl" w:hAnsi="FrankRuehl" w:cs="FrankRuehl"/>
          <w:sz w:val="28"/>
          <w:szCs w:val="28"/>
          <w:rtl/>
        </w:rPr>
        <w:t xml:space="preserve"> חודשים</w:t>
      </w:r>
      <w:r>
        <w:rPr>
          <w:rFonts w:ascii="FrankRuehl" w:hAnsi="FrankRuehl" w:cs="FrankRuehl" w:hint="cs"/>
          <w:sz w:val="28"/>
          <w:szCs w:val="28"/>
          <w:rtl/>
        </w:rPr>
        <w:t>.</w:t>
      </w:r>
      <w:r w:rsidRPr="00C41310">
        <w:rPr>
          <w:rFonts w:ascii="FrankRuehl" w:hAnsi="FrankRuehl" w:cs="FrankRuehl" w:hint="cs"/>
          <w:sz w:val="28"/>
          <w:szCs w:val="28"/>
          <w:rtl/>
        </w:rPr>
        <w:t xml:space="preserve"> </w:t>
      </w:r>
    </w:p>
    <w:p w14:paraId="1D920EC8" w14:textId="77777777" w:rsidR="00E10664" w:rsidRDefault="00E10664" w:rsidP="00E10664">
      <w:pPr>
        <w:spacing w:line="360" w:lineRule="auto"/>
        <w:jc w:val="both"/>
        <w:rPr>
          <w:rFonts w:ascii="FrankRuehl" w:hAnsi="FrankRuehl" w:cs="FrankRuehl"/>
          <w:sz w:val="28"/>
          <w:szCs w:val="28"/>
          <w:rtl/>
        </w:rPr>
      </w:pPr>
    </w:p>
    <w:p w14:paraId="074DD551" w14:textId="77777777" w:rsidR="00E10664" w:rsidRPr="00C41310" w:rsidRDefault="00E10664" w:rsidP="00E10664">
      <w:pPr>
        <w:spacing w:line="360" w:lineRule="auto"/>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r>
      <w:r w:rsidRPr="00C41310">
        <w:rPr>
          <w:rFonts w:ascii="FrankRuehl" w:hAnsi="FrankRuehl" w:cs="FrankRuehl" w:hint="cs"/>
          <w:sz w:val="28"/>
          <w:szCs w:val="28"/>
          <w:rtl/>
        </w:rPr>
        <w:t>ב"כ הנאשם הציג פסיקה בה הושת עונש מאסר בעבודות שירות בעבירות דומות ובנסיבות דומות. דא עקא, שבאותם מקרים מדובר היה בסטייה ממתחם העונש ההולם בשל שיקולי שיקום, כשה</w:t>
      </w:r>
      <w:r>
        <w:rPr>
          <w:rFonts w:ascii="FrankRuehl" w:hAnsi="FrankRuehl" w:cs="FrankRuehl" w:hint="cs"/>
          <w:sz w:val="28"/>
          <w:szCs w:val="28"/>
          <w:rtl/>
        </w:rPr>
        <w:t>ש</w:t>
      </w:r>
      <w:r w:rsidRPr="00C41310">
        <w:rPr>
          <w:rFonts w:ascii="FrankRuehl" w:hAnsi="FrankRuehl" w:cs="FrankRuehl" w:hint="cs"/>
          <w:sz w:val="28"/>
          <w:szCs w:val="28"/>
          <w:rtl/>
        </w:rPr>
        <w:t>יקום היה מובהק וברור, מה שאין כן במקרה זה, שהנאשם, לצד הודאה בבית המשפט, מתקשה בנטילת האחריות באופן מהותי, ו</w:t>
      </w:r>
      <w:r>
        <w:rPr>
          <w:rFonts w:ascii="FrankRuehl" w:hAnsi="FrankRuehl" w:cs="FrankRuehl" w:hint="cs"/>
          <w:sz w:val="28"/>
          <w:szCs w:val="28"/>
          <w:rtl/>
        </w:rPr>
        <w:t xml:space="preserve">אינו עושה </w:t>
      </w:r>
      <w:r w:rsidRPr="00C41310">
        <w:rPr>
          <w:rFonts w:ascii="FrankRuehl" w:hAnsi="FrankRuehl" w:cs="FrankRuehl" w:hint="cs"/>
          <w:sz w:val="28"/>
          <w:szCs w:val="28"/>
          <w:rtl/>
        </w:rPr>
        <w:t xml:space="preserve">מעשים שיש בהם כדי להצביע על התקדמות בדרך של שיקום שיהיה בה כדי להבטיח שהוא לא ישוב על מעשיו בעתיד. </w:t>
      </w:r>
    </w:p>
    <w:p w14:paraId="4FFD42EA" w14:textId="77777777" w:rsidR="00E10664" w:rsidRPr="000109D1" w:rsidRDefault="00534565" w:rsidP="00E10664">
      <w:pPr>
        <w:spacing w:line="360" w:lineRule="auto"/>
        <w:jc w:val="both"/>
        <w:rPr>
          <w:rFonts w:ascii="FrankRuehl" w:hAnsi="FrankRuehl" w:cs="FrankRuehl"/>
          <w:sz w:val="28"/>
          <w:szCs w:val="28"/>
          <w:rtl/>
        </w:rPr>
      </w:pPr>
      <w:r>
        <w:rPr>
          <w:rFonts w:ascii="FrankRuehl" w:hAnsi="FrankRuehl" w:cs="FrankRuehl"/>
          <w:sz w:val="28"/>
          <w:szCs w:val="28"/>
          <w:rtl/>
        </w:rPr>
        <w:t xml:space="preserve"> </w:t>
      </w:r>
    </w:p>
    <w:p w14:paraId="41FCF794" w14:textId="77777777" w:rsidR="00E10664" w:rsidRPr="00C41310" w:rsidRDefault="00E10664" w:rsidP="00E10664">
      <w:pPr>
        <w:spacing w:line="360" w:lineRule="auto"/>
        <w:jc w:val="both"/>
        <w:rPr>
          <w:rFonts w:ascii="FrankRuehl" w:hAnsi="FrankRuehl" w:cs="FrankRuehl"/>
          <w:sz w:val="28"/>
          <w:szCs w:val="28"/>
          <w:rtl/>
        </w:rPr>
      </w:pPr>
      <w:r>
        <w:rPr>
          <w:rFonts w:ascii="FrankRuehl" w:hAnsi="FrankRuehl" w:cs="FrankRuehl" w:hint="cs"/>
          <w:sz w:val="28"/>
          <w:szCs w:val="28"/>
          <w:rtl/>
        </w:rPr>
        <w:t>17.</w:t>
      </w:r>
      <w:r>
        <w:rPr>
          <w:rFonts w:ascii="FrankRuehl" w:hAnsi="FrankRuehl" w:cs="FrankRuehl" w:hint="cs"/>
          <w:sz w:val="28"/>
          <w:szCs w:val="28"/>
          <w:rtl/>
        </w:rPr>
        <w:tab/>
        <w:t xml:space="preserve">הנאשם, יליד 1999, כיום בן 23. נעדר עבר פלילי. הוא הודה במיוחס לו תוך כדי שמיעת ההוכחות, אך כאמור, מתסקירי שירות המבחן עולה כי נטילת האחריות לא נעשתה במובנה המהותי. למעשה, הוא גם לא שיתף פעולה עם הממונה על עבודות השירות שעה שהוא נשלח אליו. לצד זאת, לא ניתן להתעלם מכך שהעבירות בוצעו בטרם מלאו לו 21 שנים, ומאז ועד היום הוא לא ביצע כל עבירה נוספת. יש לתת את הדעת גם על חלוף הזמן, מעצר הבית המלא והחלקי בו שהה, ושאר נסיבותיו האישיות כפי שפורטו בתסקיר. בשים לב לאמור, אני סבור כי יש לקבוע את עונשו של הנאשם בסמוך לרף התחתון.  </w:t>
      </w:r>
      <w:r w:rsidR="00534565">
        <w:rPr>
          <w:rFonts w:ascii="FrankRuehl" w:hAnsi="FrankRuehl" w:cs="FrankRuehl"/>
          <w:sz w:val="28"/>
          <w:szCs w:val="28"/>
          <w:rtl/>
        </w:rPr>
        <w:t xml:space="preserve"> </w:t>
      </w:r>
    </w:p>
    <w:p w14:paraId="20B2CA2D" w14:textId="77777777" w:rsidR="00E10664" w:rsidRDefault="00E10664" w:rsidP="00E10664">
      <w:pPr>
        <w:spacing w:line="360" w:lineRule="atLeast"/>
        <w:jc w:val="both"/>
        <w:rPr>
          <w:rFonts w:ascii="FrankRuehl" w:hAnsi="FrankRuehl" w:cs="FrankRuehl"/>
          <w:color w:val="000000"/>
          <w:sz w:val="28"/>
          <w:szCs w:val="28"/>
          <w:rtl/>
        </w:rPr>
      </w:pPr>
    </w:p>
    <w:p w14:paraId="0602D8EC" w14:textId="77777777" w:rsidR="00E10664" w:rsidRPr="000109D1" w:rsidRDefault="00E10664" w:rsidP="00E10664">
      <w:pPr>
        <w:spacing w:line="360" w:lineRule="atLeast"/>
        <w:jc w:val="both"/>
        <w:rPr>
          <w:rFonts w:cs="Times New Roman"/>
          <w:color w:val="000000"/>
          <w:sz w:val="27"/>
          <w:szCs w:val="27"/>
          <w:rtl/>
        </w:rPr>
      </w:pPr>
      <w:r>
        <w:rPr>
          <w:rFonts w:ascii="FrankRuehl" w:hAnsi="FrankRuehl" w:cs="FrankRuehl" w:hint="cs"/>
          <w:color w:val="000000"/>
          <w:sz w:val="28"/>
          <w:szCs w:val="28"/>
          <w:rtl/>
        </w:rPr>
        <w:t>18.</w:t>
      </w:r>
      <w:r>
        <w:rPr>
          <w:rFonts w:ascii="FrankRuehl" w:hAnsi="FrankRuehl" w:cs="FrankRuehl" w:hint="cs"/>
          <w:color w:val="000000"/>
          <w:sz w:val="28"/>
          <w:szCs w:val="28"/>
          <w:rtl/>
        </w:rPr>
        <w:tab/>
      </w:r>
      <w:r w:rsidRPr="000109D1">
        <w:rPr>
          <w:rFonts w:ascii="FrankRuehl" w:hAnsi="FrankRuehl" w:cs="FrankRuehl"/>
          <w:color w:val="000000"/>
          <w:sz w:val="28"/>
          <w:szCs w:val="28"/>
          <w:rtl/>
        </w:rPr>
        <w:t xml:space="preserve">אני משית </w:t>
      </w:r>
      <w:r>
        <w:rPr>
          <w:rFonts w:ascii="FrankRuehl" w:hAnsi="FrankRuehl" w:cs="FrankRuehl" w:hint="cs"/>
          <w:color w:val="000000"/>
          <w:sz w:val="28"/>
          <w:szCs w:val="28"/>
          <w:rtl/>
        </w:rPr>
        <w:t xml:space="preserve">אפוא </w:t>
      </w:r>
      <w:r w:rsidRPr="000109D1">
        <w:rPr>
          <w:rFonts w:ascii="FrankRuehl" w:hAnsi="FrankRuehl" w:cs="FrankRuehl"/>
          <w:color w:val="000000"/>
          <w:sz w:val="28"/>
          <w:szCs w:val="28"/>
          <w:rtl/>
        </w:rPr>
        <w:t>על הנאשם את העונשים הבאים:</w:t>
      </w:r>
    </w:p>
    <w:p w14:paraId="36488E88" w14:textId="77777777" w:rsidR="00E10664" w:rsidRDefault="00E10664" w:rsidP="00E10664">
      <w:pPr>
        <w:spacing w:line="360" w:lineRule="atLeast"/>
        <w:jc w:val="both"/>
        <w:rPr>
          <w:rFonts w:ascii="FrankRuehl" w:hAnsi="FrankRuehl" w:cs="FrankRuehl"/>
          <w:color w:val="000000"/>
          <w:sz w:val="28"/>
          <w:szCs w:val="28"/>
          <w:rtl/>
        </w:rPr>
      </w:pPr>
    </w:p>
    <w:p w14:paraId="1890C51C" w14:textId="77777777" w:rsidR="00E10664" w:rsidRDefault="00E10664" w:rsidP="00E10664">
      <w:pPr>
        <w:pStyle w:val="a9"/>
        <w:numPr>
          <w:ilvl w:val="0"/>
          <w:numId w:val="2"/>
        </w:numPr>
        <w:bidi/>
        <w:spacing w:line="360" w:lineRule="auto"/>
        <w:jc w:val="both"/>
        <w:rPr>
          <w:rFonts w:ascii="FrankRuehl" w:hAnsi="FrankRuehl" w:cs="FrankRuehl"/>
          <w:color w:val="000000"/>
          <w:sz w:val="28"/>
          <w:szCs w:val="28"/>
        </w:rPr>
      </w:pPr>
      <w:r>
        <w:rPr>
          <w:rFonts w:ascii="FrankRuehl" w:hAnsi="FrankRuehl" w:cs="FrankRuehl" w:hint="cs"/>
          <w:color w:val="000000"/>
          <w:sz w:val="28"/>
          <w:szCs w:val="28"/>
          <w:rtl/>
        </w:rPr>
        <w:t>12</w:t>
      </w:r>
      <w:r w:rsidRPr="00046C49">
        <w:rPr>
          <w:rFonts w:ascii="FrankRuehl" w:hAnsi="FrankRuehl" w:cs="FrankRuehl"/>
          <w:color w:val="000000"/>
          <w:sz w:val="28"/>
          <w:szCs w:val="28"/>
          <w:rtl/>
        </w:rPr>
        <w:t xml:space="preserve"> חודשי מאסר בפועל </w:t>
      </w:r>
      <w:r w:rsidRPr="00046C49">
        <w:rPr>
          <w:rFonts w:ascii="FrankRuehl" w:hAnsi="FrankRuehl" w:cs="FrankRuehl" w:hint="cs"/>
          <w:color w:val="000000"/>
          <w:sz w:val="28"/>
          <w:szCs w:val="28"/>
          <w:rtl/>
        </w:rPr>
        <w:t xml:space="preserve">בניכוי ימי מעצרו מיום 5.07.21 עד ליום 8.07.21. </w:t>
      </w:r>
    </w:p>
    <w:p w14:paraId="04E68483" w14:textId="77777777" w:rsidR="00E10664" w:rsidRPr="00046C49" w:rsidRDefault="00E10664" w:rsidP="00E10664">
      <w:pPr>
        <w:pStyle w:val="a9"/>
        <w:bidi/>
        <w:spacing w:line="360" w:lineRule="auto"/>
        <w:ind w:left="720"/>
        <w:jc w:val="both"/>
        <w:rPr>
          <w:rFonts w:ascii="FrankRuehl" w:hAnsi="FrankRuehl" w:cs="FrankRuehl"/>
          <w:color w:val="000000"/>
          <w:sz w:val="28"/>
          <w:szCs w:val="28"/>
          <w:rtl/>
        </w:rPr>
      </w:pPr>
      <w:r w:rsidRPr="00046C49">
        <w:rPr>
          <w:rFonts w:ascii="FrankRuehl" w:hAnsi="FrankRuehl" w:cs="FrankRuehl"/>
          <w:color w:val="000000"/>
          <w:sz w:val="28"/>
          <w:szCs w:val="28"/>
          <w:rtl/>
        </w:rPr>
        <w:t>הנאשם יתאם את כניסתו</w:t>
      </w:r>
      <w:r w:rsidR="00534565">
        <w:rPr>
          <w:color w:val="000000"/>
          <w:sz w:val="28"/>
          <w:szCs w:val="28"/>
        </w:rPr>
        <w:t xml:space="preserve"> </w:t>
      </w:r>
      <w:r w:rsidRPr="00046C49">
        <w:rPr>
          <w:rFonts w:ascii="FrankRuehl" w:hAnsi="FrankRuehl" w:cs="FrankRuehl"/>
          <w:color w:val="000000"/>
          <w:sz w:val="28"/>
          <w:szCs w:val="28"/>
          <w:rtl/>
        </w:rPr>
        <w:t>למאסר עם</w:t>
      </w:r>
      <w:r w:rsidR="00534565">
        <w:rPr>
          <w:color w:val="000000"/>
          <w:sz w:val="28"/>
          <w:szCs w:val="28"/>
        </w:rPr>
        <w:t xml:space="preserve"> </w:t>
      </w:r>
      <w:r w:rsidRPr="00046C49">
        <w:rPr>
          <w:rFonts w:ascii="FrankRuehl" w:hAnsi="FrankRuehl" w:cs="FrankRuehl"/>
          <w:color w:val="000000"/>
          <w:sz w:val="28"/>
          <w:szCs w:val="28"/>
          <w:rtl/>
        </w:rPr>
        <w:t>ענף</w:t>
      </w:r>
      <w:r w:rsidR="00534565">
        <w:rPr>
          <w:color w:val="000000"/>
          <w:sz w:val="28"/>
          <w:szCs w:val="28"/>
        </w:rPr>
        <w:t xml:space="preserve"> </w:t>
      </w:r>
      <w:r w:rsidRPr="00046C49">
        <w:rPr>
          <w:rFonts w:ascii="FrankRuehl" w:hAnsi="FrankRuehl" w:cs="FrankRuehl"/>
          <w:color w:val="000000"/>
          <w:sz w:val="28"/>
          <w:szCs w:val="28"/>
          <w:rtl/>
        </w:rPr>
        <w:t>אבחון</w:t>
      </w:r>
      <w:r w:rsidR="00534565">
        <w:rPr>
          <w:color w:val="000000"/>
          <w:sz w:val="28"/>
          <w:szCs w:val="28"/>
        </w:rPr>
        <w:t xml:space="preserve"> </w:t>
      </w:r>
      <w:r w:rsidRPr="00046C49">
        <w:rPr>
          <w:rFonts w:ascii="FrankRuehl" w:hAnsi="FrankRuehl" w:cs="FrankRuehl"/>
          <w:color w:val="000000"/>
          <w:sz w:val="28"/>
          <w:szCs w:val="28"/>
          <w:rtl/>
        </w:rPr>
        <w:t>ומיון</w:t>
      </w:r>
      <w:r w:rsidR="00534565">
        <w:rPr>
          <w:color w:val="000000"/>
          <w:sz w:val="28"/>
          <w:szCs w:val="28"/>
        </w:rPr>
        <w:t xml:space="preserve"> </w:t>
      </w:r>
      <w:r w:rsidRPr="00046C49">
        <w:rPr>
          <w:rFonts w:ascii="FrankRuehl" w:hAnsi="FrankRuehl" w:cs="FrankRuehl"/>
          <w:color w:val="000000"/>
          <w:sz w:val="28"/>
          <w:szCs w:val="28"/>
          <w:rtl/>
        </w:rPr>
        <w:t>של</w:t>
      </w:r>
      <w:r w:rsidR="00534565">
        <w:rPr>
          <w:color w:val="000000"/>
          <w:sz w:val="28"/>
          <w:szCs w:val="28"/>
        </w:rPr>
        <w:t xml:space="preserve"> </w:t>
      </w:r>
      <w:r w:rsidRPr="00046C49">
        <w:rPr>
          <w:rFonts w:ascii="FrankRuehl" w:hAnsi="FrankRuehl" w:cs="FrankRuehl"/>
          <w:color w:val="000000"/>
          <w:sz w:val="28"/>
          <w:szCs w:val="28"/>
          <w:rtl/>
        </w:rPr>
        <w:t>שירות</w:t>
      </w:r>
      <w:r w:rsidR="00534565">
        <w:rPr>
          <w:color w:val="000000"/>
          <w:sz w:val="28"/>
          <w:szCs w:val="28"/>
        </w:rPr>
        <w:t xml:space="preserve"> </w:t>
      </w:r>
      <w:r w:rsidRPr="00046C49">
        <w:rPr>
          <w:rFonts w:ascii="FrankRuehl" w:hAnsi="FrankRuehl" w:cs="FrankRuehl"/>
          <w:color w:val="000000"/>
          <w:sz w:val="28"/>
          <w:szCs w:val="28"/>
          <w:rtl/>
        </w:rPr>
        <w:t xml:space="preserve">בתי הסוהר בטלפונים 08-9787377 או 08-9787336. ככל שלא יקבל הנאשם הנחיה אחרת, עליו להתייצב עד ליום </w:t>
      </w:r>
      <w:r>
        <w:rPr>
          <w:rFonts w:ascii="FrankRuehl" w:hAnsi="FrankRuehl" w:cs="FrankRuehl" w:hint="cs"/>
          <w:color w:val="000000"/>
          <w:sz w:val="28"/>
          <w:szCs w:val="28"/>
          <w:rtl/>
        </w:rPr>
        <w:t>22.01.2023</w:t>
      </w:r>
      <w:r w:rsidRPr="00046C49">
        <w:rPr>
          <w:rFonts w:ascii="FrankRuehl" w:hAnsi="FrankRuehl" w:cs="FrankRuehl"/>
          <w:color w:val="000000"/>
          <w:sz w:val="28"/>
          <w:szCs w:val="28"/>
          <w:rtl/>
        </w:rPr>
        <w:t xml:space="preserve"> בשעה 9:00 במתקן המעצר בבית סוהר ניצן ברמלה, עם תעודה מזהה והעתק גזר הדין. </w:t>
      </w:r>
      <w:r w:rsidR="00534565">
        <w:rPr>
          <w:rFonts w:ascii="FrankRuehl" w:hAnsi="FrankRuehl" w:cs="FrankRuehl"/>
          <w:color w:val="000000"/>
          <w:sz w:val="28"/>
          <w:szCs w:val="28"/>
        </w:rPr>
        <w:t xml:space="preserve">  </w:t>
      </w:r>
    </w:p>
    <w:p w14:paraId="1A76580E" w14:textId="77777777" w:rsidR="00E10664" w:rsidRPr="00A10CBD" w:rsidRDefault="00E10664" w:rsidP="00E10664">
      <w:pPr>
        <w:pStyle w:val="a9"/>
        <w:numPr>
          <w:ilvl w:val="0"/>
          <w:numId w:val="2"/>
        </w:numPr>
        <w:bidi/>
        <w:spacing w:line="360" w:lineRule="auto"/>
        <w:jc w:val="both"/>
        <w:rPr>
          <w:rFonts w:ascii="FrankRuehl" w:hAnsi="FrankRuehl" w:cs="FrankRuehl"/>
          <w:color w:val="000000"/>
          <w:sz w:val="28"/>
          <w:szCs w:val="28"/>
        </w:rPr>
      </w:pPr>
      <w:r w:rsidRPr="00046C49">
        <w:rPr>
          <w:rFonts w:ascii="FrankRuehl" w:hAnsi="FrankRuehl" w:cs="FrankRuehl"/>
          <w:color w:val="000000"/>
          <w:sz w:val="28"/>
          <w:szCs w:val="28"/>
          <w:rtl/>
        </w:rPr>
        <w:t>6 חודשי מאסר על תנאי שלא ירוצו אלא אם יעבור תוך 3 שנים מיום שחרורו ממאסר עבירת נ</w:t>
      </w:r>
      <w:r w:rsidRPr="003E36F9">
        <w:rPr>
          <w:rFonts w:ascii="FrankRuehl" w:hAnsi="FrankRuehl" w:cs="FrankRuehl"/>
          <w:color w:val="000000"/>
          <w:sz w:val="28"/>
          <w:szCs w:val="28"/>
          <w:rtl/>
        </w:rPr>
        <w:t>ש</w:t>
      </w:r>
      <w:r w:rsidRPr="00A10CBD">
        <w:rPr>
          <w:rFonts w:ascii="FrankRuehl" w:hAnsi="FrankRuehl" w:cs="FrankRuehl"/>
          <w:color w:val="000000"/>
          <w:sz w:val="28"/>
          <w:szCs w:val="28"/>
          <w:rtl/>
        </w:rPr>
        <w:t>ק מסוג פשע.</w:t>
      </w:r>
    </w:p>
    <w:p w14:paraId="491CC8FB" w14:textId="77777777" w:rsidR="00E10664" w:rsidRPr="003E36F9" w:rsidRDefault="00E10664" w:rsidP="00E10664">
      <w:pPr>
        <w:pStyle w:val="a9"/>
        <w:numPr>
          <w:ilvl w:val="0"/>
          <w:numId w:val="2"/>
        </w:numPr>
        <w:bidi/>
        <w:spacing w:line="360" w:lineRule="auto"/>
        <w:jc w:val="both"/>
        <w:rPr>
          <w:color w:val="000000"/>
          <w:sz w:val="27"/>
          <w:szCs w:val="27"/>
          <w:rtl/>
        </w:rPr>
      </w:pPr>
      <w:r w:rsidRPr="00A10CBD">
        <w:rPr>
          <w:rFonts w:ascii="FrankRuehl" w:hAnsi="FrankRuehl" w:cs="FrankRuehl"/>
          <w:color w:val="000000"/>
          <w:sz w:val="28"/>
          <w:szCs w:val="28"/>
          <w:rtl/>
        </w:rPr>
        <w:t>3 חודשי</w:t>
      </w:r>
      <w:r w:rsidRPr="003E36F9">
        <w:rPr>
          <w:rFonts w:ascii="FrankRuehl" w:hAnsi="FrankRuehl" w:cs="FrankRuehl"/>
          <w:color w:val="000000"/>
          <w:sz w:val="28"/>
          <w:szCs w:val="28"/>
          <w:rtl/>
        </w:rPr>
        <w:t xml:space="preserve"> מאסר על תנאי שלא ירוצו אלא אם יעבור תוך 3 שנים מיום שחרורו ממאסר עבירת נשק מסוג עוון.</w:t>
      </w:r>
    </w:p>
    <w:p w14:paraId="7057325A" w14:textId="77777777" w:rsidR="00E10664" w:rsidRPr="000109D1" w:rsidRDefault="00534565" w:rsidP="00E10664">
      <w:pPr>
        <w:spacing w:line="360" w:lineRule="atLeast"/>
        <w:jc w:val="both"/>
        <w:rPr>
          <w:rFonts w:cs="Times New Roman"/>
          <w:color w:val="000000"/>
          <w:sz w:val="27"/>
          <w:szCs w:val="27"/>
          <w:rtl/>
        </w:rPr>
      </w:pPr>
      <w:r w:rsidRPr="00534565">
        <w:rPr>
          <w:rFonts w:ascii="FrankRuehl" w:hAnsi="FrankRuehl" w:cs="FrankRuehl"/>
          <w:color w:val="FFFFFF"/>
          <w:sz w:val="2"/>
          <w:szCs w:val="2"/>
          <w:rtl/>
        </w:rPr>
        <w:t>5129371</w:t>
      </w:r>
      <w:r w:rsidR="00E10664" w:rsidRPr="000109D1">
        <w:rPr>
          <w:rFonts w:ascii="FrankRuehl" w:hAnsi="FrankRuehl" w:cs="FrankRuehl"/>
          <w:color w:val="000000"/>
          <w:sz w:val="28"/>
          <w:szCs w:val="28"/>
          <w:rtl/>
        </w:rPr>
        <w:t>זכות ערעור לבית המשפט ה</w:t>
      </w:r>
      <w:r w:rsidR="00E10664">
        <w:rPr>
          <w:rFonts w:ascii="FrankRuehl" w:hAnsi="FrankRuehl" w:cs="FrankRuehl" w:hint="cs"/>
          <w:color w:val="000000"/>
          <w:sz w:val="28"/>
          <w:szCs w:val="28"/>
          <w:rtl/>
        </w:rPr>
        <w:t xml:space="preserve">עליון </w:t>
      </w:r>
      <w:r w:rsidR="00E10664" w:rsidRPr="000109D1">
        <w:rPr>
          <w:rFonts w:ascii="FrankRuehl" w:hAnsi="FrankRuehl" w:cs="FrankRuehl"/>
          <w:color w:val="000000"/>
          <w:sz w:val="28"/>
          <w:szCs w:val="28"/>
          <w:rtl/>
        </w:rPr>
        <w:t>בתוך 45 יום מהיום.</w:t>
      </w:r>
    </w:p>
    <w:p w14:paraId="5C33997C" w14:textId="77777777" w:rsidR="00E10664" w:rsidRPr="00534565" w:rsidRDefault="00534565" w:rsidP="00E10664">
      <w:pPr>
        <w:spacing w:line="360" w:lineRule="atLeast"/>
        <w:jc w:val="both"/>
        <w:rPr>
          <w:rFonts w:ascii="FrankRuehl" w:hAnsi="FrankRuehl" w:cs="FrankRuehl"/>
          <w:color w:val="FFFFFF"/>
          <w:sz w:val="2"/>
          <w:szCs w:val="2"/>
          <w:rtl/>
        </w:rPr>
      </w:pPr>
      <w:r w:rsidRPr="00534565">
        <w:rPr>
          <w:rFonts w:ascii="Arial" w:hAnsi="Arial" w:cs="Arial"/>
          <w:color w:val="FFFFFF"/>
          <w:sz w:val="2"/>
          <w:szCs w:val="2"/>
          <w:rtl/>
        </w:rPr>
        <w:t xml:space="preserve">54678313 </w:t>
      </w:r>
    </w:p>
    <w:p w14:paraId="42940E60" w14:textId="77777777" w:rsidR="00E10664" w:rsidRPr="000109D1" w:rsidRDefault="00534565" w:rsidP="00E10664">
      <w:pPr>
        <w:spacing w:line="360" w:lineRule="auto"/>
        <w:jc w:val="both"/>
        <w:rPr>
          <w:rFonts w:ascii="FrankRuehl" w:hAnsi="FrankRuehl" w:cs="FrankRuehl"/>
          <w:sz w:val="28"/>
          <w:szCs w:val="28"/>
        </w:rPr>
      </w:pPr>
      <w:bookmarkStart w:id="8" w:name="Nitan"/>
      <w:r>
        <w:rPr>
          <w:rFonts w:ascii="FrankRuehl" w:hAnsi="FrankRuehl" w:cs="FrankRuehl"/>
          <w:sz w:val="28"/>
          <w:szCs w:val="28"/>
          <w:rtl/>
        </w:rPr>
        <w:t xml:space="preserve">ניתן היום,  ג' טבת תשפ"ג, 27 דצמבר 2022, במעמד המתייצבים. </w:t>
      </w:r>
      <w:bookmarkEnd w:id="8"/>
    </w:p>
    <w:p w14:paraId="44F85B08" w14:textId="77777777" w:rsidR="00E10664" w:rsidRPr="000F2247" w:rsidRDefault="00E10664" w:rsidP="00E10664">
      <w:pPr>
        <w:rPr>
          <w:rFonts w:ascii="Arial" w:hAnsi="Arial"/>
          <w:b/>
          <w:bCs/>
          <w:sz w:val="26"/>
          <w:szCs w:val="26"/>
          <w:rtl/>
        </w:rPr>
      </w:pPr>
    </w:p>
    <w:p w14:paraId="06C919CD" w14:textId="77777777" w:rsidR="00E10664" w:rsidRPr="000F2247" w:rsidRDefault="00E10664" w:rsidP="0053456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BEF836B" w14:textId="77777777" w:rsidR="00E10664" w:rsidRPr="002625BC" w:rsidRDefault="002625BC" w:rsidP="00E10664">
      <w:pPr>
        <w:jc w:val="center"/>
        <w:rPr>
          <w:rFonts w:ascii="Arial" w:hAnsi="Arial"/>
          <w:b/>
          <w:bCs/>
          <w:color w:val="FFFFFF"/>
          <w:sz w:val="2"/>
          <w:szCs w:val="2"/>
          <w:rtl/>
        </w:rPr>
      </w:pPr>
      <w:r w:rsidRPr="002625BC">
        <w:rPr>
          <w:rFonts w:ascii="Arial" w:hAnsi="Arial"/>
          <w:b/>
          <w:bCs/>
          <w:color w:val="FFFFFF"/>
          <w:sz w:val="2"/>
          <w:szCs w:val="2"/>
          <w:rtl/>
        </w:rPr>
        <w:t>5129371</w:t>
      </w:r>
    </w:p>
    <w:p w14:paraId="5E9197AE" w14:textId="77777777" w:rsidR="00E56DF1" w:rsidRPr="002625BC" w:rsidRDefault="002625BC" w:rsidP="00534565">
      <w:pPr>
        <w:keepNext/>
        <w:rPr>
          <w:rFonts w:ascii="David" w:hAnsi="David"/>
          <w:color w:val="FFFFFF"/>
          <w:sz w:val="2"/>
          <w:szCs w:val="2"/>
          <w:rtl/>
        </w:rPr>
      </w:pPr>
      <w:r w:rsidRPr="002625BC">
        <w:rPr>
          <w:rFonts w:ascii="David" w:hAnsi="David"/>
          <w:color w:val="FFFFFF"/>
          <w:sz w:val="2"/>
          <w:szCs w:val="2"/>
          <w:rtl/>
        </w:rPr>
        <w:t>54678313</w:t>
      </w:r>
    </w:p>
    <w:p w14:paraId="1274D923" w14:textId="77777777" w:rsidR="00534565" w:rsidRDefault="00534565" w:rsidP="00534565">
      <w:pPr>
        <w:rPr>
          <w:rtl/>
        </w:rPr>
      </w:pPr>
    </w:p>
    <w:p w14:paraId="27BACEE9" w14:textId="77777777" w:rsidR="00534565" w:rsidRDefault="00534565" w:rsidP="00534565">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44A08727" w14:textId="77777777" w:rsidR="002625BC" w:rsidRPr="002625BC" w:rsidRDefault="002625BC" w:rsidP="002625BC">
      <w:pPr>
        <w:keepNext/>
        <w:rPr>
          <w:rFonts w:ascii="David" w:hAnsi="David"/>
          <w:color w:val="000000"/>
          <w:sz w:val="22"/>
          <w:szCs w:val="22"/>
          <w:rtl/>
        </w:rPr>
      </w:pPr>
    </w:p>
    <w:p w14:paraId="5D6DBA15" w14:textId="77777777" w:rsidR="002625BC" w:rsidRPr="002625BC" w:rsidRDefault="002625BC" w:rsidP="002625BC">
      <w:pPr>
        <w:keepNext/>
        <w:rPr>
          <w:rFonts w:ascii="David" w:hAnsi="David"/>
          <w:color w:val="000000"/>
          <w:sz w:val="22"/>
          <w:szCs w:val="22"/>
          <w:rtl/>
        </w:rPr>
      </w:pPr>
      <w:r w:rsidRPr="002625BC">
        <w:rPr>
          <w:rFonts w:ascii="David" w:hAnsi="David"/>
          <w:color w:val="000000"/>
          <w:sz w:val="22"/>
          <w:szCs w:val="22"/>
          <w:rtl/>
        </w:rPr>
        <w:t>אילן סלע 54678313-/</w:t>
      </w:r>
    </w:p>
    <w:p w14:paraId="5588AC71" w14:textId="77777777" w:rsidR="00534565" w:rsidRPr="00534565" w:rsidRDefault="002625BC" w:rsidP="002625BC">
      <w:pPr>
        <w:rPr>
          <w:color w:val="0000FF"/>
          <w:u w:val="single"/>
        </w:rPr>
      </w:pPr>
      <w:r w:rsidRPr="002625BC">
        <w:rPr>
          <w:color w:val="000000"/>
          <w:u w:val="single"/>
          <w:rtl/>
        </w:rPr>
        <w:t>נוסח מסמך זה כפוף לשינויי ניסוח ועריכה</w:t>
      </w:r>
    </w:p>
    <w:sectPr w:rsidR="00534565" w:rsidRPr="00534565" w:rsidSect="002625BC">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D44C5" w14:textId="77777777" w:rsidR="00CB00B4" w:rsidRDefault="00CB00B4" w:rsidP="000F61C8">
      <w:r>
        <w:separator/>
      </w:r>
    </w:p>
  </w:endnote>
  <w:endnote w:type="continuationSeparator" w:id="0">
    <w:p w14:paraId="1972AAC3" w14:textId="77777777" w:rsidR="00CB00B4" w:rsidRDefault="00CB00B4" w:rsidP="000F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94BB7" w14:textId="77777777" w:rsidR="002625BC" w:rsidRDefault="002625BC" w:rsidP="002625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FA7908" w14:textId="77777777" w:rsidR="00595146" w:rsidRPr="002625BC" w:rsidRDefault="002625BC" w:rsidP="002625BC">
    <w:pPr>
      <w:pStyle w:val="a5"/>
      <w:pBdr>
        <w:top w:val="single" w:sz="4" w:space="1" w:color="auto"/>
        <w:between w:val="single" w:sz="4" w:space="0" w:color="auto"/>
      </w:pBdr>
      <w:spacing w:after="60"/>
      <w:jc w:val="center"/>
      <w:rPr>
        <w:rFonts w:ascii="FrankRuehl" w:hAnsi="FrankRuehl" w:cs="FrankRuehl"/>
        <w:color w:val="000000"/>
      </w:rPr>
    </w:pPr>
    <w:r w:rsidRPr="002625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6EE30" w14:textId="77777777" w:rsidR="002625BC" w:rsidRDefault="002625BC" w:rsidP="002625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4B80">
      <w:rPr>
        <w:rFonts w:ascii="FrankRuehl" w:hAnsi="FrankRuehl" w:cs="FrankRuehl"/>
        <w:noProof/>
        <w:rtl/>
      </w:rPr>
      <w:t>1</w:t>
    </w:r>
    <w:r>
      <w:rPr>
        <w:rFonts w:ascii="FrankRuehl" w:hAnsi="FrankRuehl" w:cs="FrankRuehl"/>
        <w:rtl/>
      </w:rPr>
      <w:fldChar w:fldCharType="end"/>
    </w:r>
  </w:p>
  <w:p w14:paraId="59EC84F2" w14:textId="77777777" w:rsidR="00595146" w:rsidRPr="002625BC" w:rsidRDefault="002625BC" w:rsidP="002625BC">
    <w:pPr>
      <w:pStyle w:val="a5"/>
      <w:pBdr>
        <w:top w:val="single" w:sz="4" w:space="1" w:color="auto"/>
        <w:between w:val="single" w:sz="4" w:space="0" w:color="auto"/>
      </w:pBdr>
      <w:spacing w:after="60"/>
      <w:jc w:val="center"/>
      <w:rPr>
        <w:rFonts w:ascii="FrankRuehl" w:hAnsi="FrankRuehl" w:cs="FrankRuehl"/>
        <w:color w:val="000000"/>
      </w:rPr>
    </w:pPr>
    <w:r w:rsidRPr="002625BC">
      <w:rPr>
        <w:rFonts w:ascii="FrankRuehl" w:hAnsi="FrankRuehl" w:cs="FrankRuehl"/>
        <w:color w:val="000000"/>
      </w:rPr>
      <w:pict w14:anchorId="5FEB93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144BB" w14:textId="77777777" w:rsidR="00CB00B4" w:rsidRDefault="00CB00B4" w:rsidP="000F61C8">
      <w:r>
        <w:separator/>
      </w:r>
    </w:p>
  </w:footnote>
  <w:footnote w:type="continuationSeparator" w:id="0">
    <w:p w14:paraId="648C1660" w14:textId="77777777" w:rsidR="00CB00B4" w:rsidRDefault="00CB00B4" w:rsidP="000F6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95499" w14:textId="77777777" w:rsidR="00534565" w:rsidRPr="002625BC" w:rsidRDefault="002625BC" w:rsidP="002625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35397-07-21</w:t>
    </w:r>
    <w:r>
      <w:rPr>
        <w:rFonts w:ascii="David" w:hAnsi="David"/>
        <w:color w:val="000000"/>
        <w:sz w:val="22"/>
        <w:szCs w:val="22"/>
        <w:rtl/>
      </w:rPr>
      <w:tab/>
      <w:t xml:space="preserve"> מדינת ישראל נ' לית' עאצי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26E77" w14:textId="77777777" w:rsidR="00534565" w:rsidRPr="002625BC" w:rsidRDefault="002625BC" w:rsidP="002625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35397-07-21</w:t>
    </w:r>
    <w:r>
      <w:rPr>
        <w:rFonts w:ascii="David" w:hAnsi="David"/>
        <w:color w:val="000000"/>
        <w:sz w:val="22"/>
        <w:szCs w:val="22"/>
        <w:rtl/>
      </w:rPr>
      <w:tab/>
      <w:t xml:space="preserve"> מדינת ישראל נ' לית' עאצי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103AA"/>
    <w:multiLevelType w:val="hybridMultilevel"/>
    <w:tmpl w:val="AD4E2838"/>
    <w:lvl w:ilvl="0" w:tplc="60700F1A">
      <w:numFmt w:val="bullet"/>
      <w:lvlText w:val=""/>
      <w:lvlJc w:val="left"/>
      <w:pPr>
        <w:ind w:left="720" w:hanging="360"/>
      </w:pPr>
      <w:rPr>
        <w:rFonts w:ascii="Symbol" w:eastAsia="Times New Roman" w:hAnsi="Symbo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B204C"/>
    <w:multiLevelType w:val="hybridMultilevel"/>
    <w:tmpl w:val="AC246B94"/>
    <w:lvl w:ilvl="0" w:tplc="91E81CF0">
      <w:start w:val="1"/>
      <w:numFmt w:val="hebrew1"/>
      <w:lvlText w:val="%1."/>
      <w:lvlJc w:val="left"/>
      <w:pPr>
        <w:ind w:left="720" w:hanging="360"/>
      </w:pPr>
      <w:rPr>
        <w:rFonts w:ascii="FrankRuehl" w:hAnsi="FrankRuehl" w:cs="FrankRueh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122087">
    <w:abstractNumId w:val="0"/>
  </w:num>
  <w:num w:numId="2" w16cid:durableId="1138374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0664"/>
    <w:rsid w:val="000F61C8"/>
    <w:rsid w:val="00156E65"/>
    <w:rsid w:val="001B5A3B"/>
    <w:rsid w:val="002625BC"/>
    <w:rsid w:val="00275373"/>
    <w:rsid w:val="00534565"/>
    <w:rsid w:val="00594B80"/>
    <w:rsid w:val="00595146"/>
    <w:rsid w:val="00872664"/>
    <w:rsid w:val="00936872"/>
    <w:rsid w:val="00C475DE"/>
    <w:rsid w:val="00CB00B4"/>
    <w:rsid w:val="00E10664"/>
    <w:rsid w:val="00E56DF1"/>
    <w:rsid w:val="00F742C1"/>
    <w:rsid w:val="00FB7D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177606"/>
  <w15:chartTrackingRefBased/>
  <w15:docId w15:val="{9DDF1BAF-7924-48DF-8E74-6D1D970D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06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10664"/>
    <w:pPr>
      <w:tabs>
        <w:tab w:val="center" w:pos="4153"/>
        <w:tab w:val="right" w:pos="8306"/>
      </w:tabs>
    </w:pPr>
  </w:style>
  <w:style w:type="character" w:customStyle="1" w:styleId="a4">
    <w:name w:val="כותרת עליונה תו"/>
    <w:link w:val="a3"/>
    <w:rsid w:val="00E10664"/>
    <w:rPr>
      <w:rFonts w:ascii="Times New Roman" w:eastAsia="Times New Roman" w:hAnsi="Times New Roman" w:cs="David"/>
      <w:sz w:val="24"/>
      <w:szCs w:val="24"/>
    </w:rPr>
  </w:style>
  <w:style w:type="paragraph" w:styleId="a5">
    <w:name w:val="footer"/>
    <w:basedOn w:val="a"/>
    <w:link w:val="a6"/>
    <w:rsid w:val="00E10664"/>
    <w:pPr>
      <w:tabs>
        <w:tab w:val="center" w:pos="4153"/>
        <w:tab w:val="right" w:pos="8306"/>
      </w:tabs>
    </w:pPr>
  </w:style>
  <w:style w:type="character" w:customStyle="1" w:styleId="a6">
    <w:name w:val="כותרת תחתונה תו"/>
    <w:link w:val="a5"/>
    <w:rsid w:val="00E10664"/>
    <w:rPr>
      <w:rFonts w:ascii="Times New Roman" w:eastAsia="Times New Roman" w:hAnsi="Times New Roman" w:cs="David"/>
      <w:sz w:val="24"/>
      <w:szCs w:val="24"/>
    </w:rPr>
  </w:style>
  <w:style w:type="table" w:styleId="a7">
    <w:name w:val="Table Grid"/>
    <w:basedOn w:val="a1"/>
    <w:rsid w:val="00E106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10664"/>
  </w:style>
  <w:style w:type="paragraph" w:styleId="a9">
    <w:name w:val="List Paragraph"/>
    <w:basedOn w:val="a"/>
    <w:qFormat/>
    <w:rsid w:val="00E10664"/>
    <w:pPr>
      <w:bidi w:val="0"/>
      <w:spacing w:before="100" w:beforeAutospacing="1" w:after="100" w:afterAutospacing="1"/>
    </w:pPr>
    <w:rPr>
      <w:rFonts w:cs="Times New Roman"/>
    </w:rPr>
  </w:style>
  <w:style w:type="character" w:styleId="Hyperlink">
    <w:name w:val="Hyperlink"/>
    <w:rsid w:val="005345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9" TargetMode="External"/><Relationship Id="rId13" Type="http://schemas.openxmlformats.org/officeDocument/2006/relationships/hyperlink" Target="http://www.nevo.co.il/law/70301/340a.a" TargetMode="External"/><Relationship Id="rId18" Type="http://schemas.openxmlformats.org/officeDocument/2006/relationships/hyperlink" Target="http://www.nevo.co.il/case/22746666"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7734980"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6714559"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3750625" TargetMode="External"/><Relationship Id="rId20" Type="http://schemas.openxmlformats.org/officeDocument/2006/relationships/hyperlink" Target="http://www.nevo.co.il/law/7030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case/28883087" TargetMode="External"/><Relationship Id="rId5" Type="http://schemas.openxmlformats.org/officeDocument/2006/relationships/footnotes" Target="footnotes.xml"/><Relationship Id="rId15" Type="http://schemas.openxmlformats.org/officeDocument/2006/relationships/hyperlink" Target="http://www.nevo.co.il/case/25824863" TargetMode="External"/><Relationship Id="rId23" Type="http://schemas.openxmlformats.org/officeDocument/2006/relationships/hyperlink" Target="http://www.nevo.co.il/case/28697227" TargetMode="External"/><Relationship Id="rId28" Type="http://schemas.openxmlformats.org/officeDocument/2006/relationships/footer" Target="footer1.xml"/><Relationship Id="rId10" Type="http://schemas.openxmlformats.org/officeDocument/2006/relationships/hyperlink" Target="http://www.nevo.co.il/law/70301/340a.a" TargetMode="External"/><Relationship Id="rId19" Type="http://schemas.openxmlformats.org/officeDocument/2006/relationships/hyperlink" Target="http://www.nevo.co.il/case/2656849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29" TargetMode="External"/><Relationship Id="rId22" Type="http://schemas.openxmlformats.org/officeDocument/2006/relationships/hyperlink" Target="http://www.nevo.co.il/case/28200855"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1392</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8341</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3211380</vt:i4>
      </vt:variant>
      <vt:variant>
        <vt:i4>51</vt:i4>
      </vt:variant>
      <vt:variant>
        <vt:i4>0</vt:i4>
      </vt:variant>
      <vt:variant>
        <vt:i4>5</vt:i4>
      </vt:variant>
      <vt:variant>
        <vt:lpwstr>http://www.nevo.co.il/case/28883087</vt:lpwstr>
      </vt:variant>
      <vt:variant>
        <vt:lpwstr/>
      </vt:variant>
      <vt:variant>
        <vt:i4>3211383</vt:i4>
      </vt:variant>
      <vt:variant>
        <vt:i4>48</vt:i4>
      </vt:variant>
      <vt:variant>
        <vt:i4>0</vt:i4>
      </vt:variant>
      <vt:variant>
        <vt:i4>5</vt:i4>
      </vt:variant>
      <vt:variant>
        <vt:lpwstr>http://www.nevo.co.il/case/28697227</vt:lpwstr>
      </vt:variant>
      <vt:variant>
        <vt:lpwstr/>
      </vt:variant>
      <vt:variant>
        <vt:i4>3473524</vt:i4>
      </vt:variant>
      <vt:variant>
        <vt:i4>45</vt:i4>
      </vt:variant>
      <vt:variant>
        <vt:i4>0</vt:i4>
      </vt:variant>
      <vt:variant>
        <vt:i4>5</vt:i4>
      </vt:variant>
      <vt:variant>
        <vt:lpwstr>http://www.nevo.co.il/case/28200855</vt:lpwstr>
      </vt:variant>
      <vt:variant>
        <vt:lpwstr/>
      </vt:variant>
      <vt:variant>
        <vt:i4>3735673</vt:i4>
      </vt:variant>
      <vt:variant>
        <vt:i4>42</vt:i4>
      </vt:variant>
      <vt:variant>
        <vt:i4>0</vt:i4>
      </vt:variant>
      <vt:variant>
        <vt:i4>5</vt:i4>
      </vt:variant>
      <vt:variant>
        <vt:lpwstr>http://www.nevo.co.il/case/27734980</vt:lpwstr>
      </vt:variant>
      <vt:variant>
        <vt:lpwstr/>
      </vt:variant>
      <vt:variant>
        <vt:i4>7995492</vt:i4>
      </vt:variant>
      <vt:variant>
        <vt:i4>39</vt:i4>
      </vt:variant>
      <vt:variant>
        <vt:i4>0</vt:i4>
      </vt:variant>
      <vt:variant>
        <vt:i4>5</vt:i4>
      </vt:variant>
      <vt:variant>
        <vt:lpwstr>http://www.nevo.co.il/law/70301</vt:lpwstr>
      </vt:variant>
      <vt:variant>
        <vt:lpwstr/>
      </vt:variant>
      <vt:variant>
        <vt:i4>3539056</vt:i4>
      </vt:variant>
      <vt:variant>
        <vt:i4>36</vt:i4>
      </vt:variant>
      <vt:variant>
        <vt:i4>0</vt:i4>
      </vt:variant>
      <vt:variant>
        <vt:i4>5</vt:i4>
      </vt:variant>
      <vt:variant>
        <vt:lpwstr>http://www.nevo.co.il/case/26568495</vt:lpwstr>
      </vt:variant>
      <vt:variant>
        <vt:lpwstr/>
      </vt:variant>
      <vt:variant>
        <vt:i4>3473524</vt:i4>
      </vt:variant>
      <vt:variant>
        <vt:i4>33</vt:i4>
      </vt:variant>
      <vt:variant>
        <vt:i4>0</vt:i4>
      </vt:variant>
      <vt:variant>
        <vt:i4>5</vt:i4>
      </vt:variant>
      <vt:variant>
        <vt:lpwstr>http://www.nevo.co.il/case/22746666</vt:lpwstr>
      </vt:variant>
      <vt:variant>
        <vt:lpwstr/>
      </vt:variant>
      <vt:variant>
        <vt:i4>3407990</vt:i4>
      </vt:variant>
      <vt:variant>
        <vt:i4>30</vt:i4>
      </vt:variant>
      <vt:variant>
        <vt:i4>0</vt:i4>
      </vt:variant>
      <vt:variant>
        <vt:i4>5</vt:i4>
      </vt:variant>
      <vt:variant>
        <vt:lpwstr>http://www.nevo.co.il/case/26714559</vt:lpwstr>
      </vt:variant>
      <vt:variant>
        <vt:lpwstr/>
      </vt:variant>
      <vt:variant>
        <vt:i4>3604596</vt:i4>
      </vt:variant>
      <vt:variant>
        <vt:i4>27</vt:i4>
      </vt:variant>
      <vt:variant>
        <vt:i4>0</vt:i4>
      </vt:variant>
      <vt:variant>
        <vt:i4>5</vt:i4>
      </vt:variant>
      <vt:variant>
        <vt:lpwstr>http://www.nevo.co.il/case/23750625</vt:lpwstr>
      </vt:variant>
      <vt:variant>
        <vt:lpwstr/>
      </vt:variant>
      <vt:variant>
        <vt:i4>3670139</vt:i4>
      </vt:variant>
      <vt:variant>
        <vt:i4>24</vt:i4>
      </vt:variant>
      <vt:variant>
        <vt:i4>0</vt:i4>
      </vt:variant>
      <vt:variant>
        <vt:i4>5</vt:i4>
      </vt:variant>
      <vt:variant>
        <vt:lpwstr>http://www.nevo.co.il/case/25824863</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6357112</vt:i4>
      </vt:variant>
      <vt:variant>
        <vt:i4>18</vt:i4>
      </vt:variant>
      <vt:variant>
        <vt:i4>0</vt:i4>
      </vt:variant>
      <vt:variant>
        <vt:i4>5</vt:i4>
      </vt:variant>
      <vt:variant>
        <vt:lpwstr>http://www.nevo.co.il/law/70301/340a.a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6357112</vt:i4>
      </vt:variant>
      <vt:variant>
        <vt:i4>9</vt:i4>
      </vt:variant>
      <vt:variant>
        <vt:i4>0</vt:i4>
      </vt:variant>
      <vt:variant>
        <vt:i4>5</vt:i4>
      </vt:variant>
      <vt:variant>
        <vt:lpwstr>http://www.nevo.co.il/law/70301/340a.a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2025-01-19T16:43:00Z</dcterms:created>
  <dcterms:modified xsi:type="dcterms:W3CDTF">2025-01-19T16:43:00Z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35397</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לית' עאצי</vt:lpwstr>
  </property>
  <property fmtid="{D5CDD505-2E9C-101B-9397-08002B2CF9AE}" pid="10" name="LAWYER">
    <vt:lpwstr>עיסא מוחמדיה;ברכה בן אדרת</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20221227</vt:lpwstr>
  </property>
  <property fmtid="{D5CDD505-2E9C-101B-9397-08002B2CF9AE}" pid="14" name="TYPE_N_DATE">
    <vt:lpwstr>39020221227</vt:lpwstr>
  </property>
  <property fmtid="{D5CDD505-2E9C-101B-9397-08002B2CF9AE}" pid="15" name="WORDNUMPAGES">
    <vt:lpwstr>5</vt:lpwstr>
  </property>
  <property fmtid="{D5CDD505-2E9C-101B-9397-08002B2CF9AE}" pid="16" name="TYPE_ABS_DATE">
    <vt:lpwstr>390020221227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25824863;23750625;26714559;22746666;26568495;27734980;28200855;28697227;28883087</vt:lpwstr>
  </property>
  <property fmtid="{D5CDD505-2E9C-101B-9397-08002B2CF9AE}" pid="36" name="LAWLISTTMP1">
    <vt:lpwstr>70301/144;340a.a;029</vt:lpwstr>
  </property>
</Properties>
</file>