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03474" w:rsidRPr="00703474" w14:paraId="524AFAD7" w14:textId="77777777" w:rsidTr="00FC6920">
        <w:trPr>
          <w:trHeight w:hRule="exact" w:val="418"/>
          <w:jc w:val="center"/>
        </w:trPr>
        <w:tc>
          <w:tcPr>
            <w:tcW w:w="8721" w:type="dxa"/>
            <w:gridSpan w:val="2"/>
          </w:tcPr>
          <w:p w14:paraId="7944750A" w14:textId="77777777" w:rsidR="00703474" w:rsidRPr="00703474" w:rsidRDefault="00703474" w:rsidP="0097480E">
            <w:pPr>
              <w:pStyle w:val="a3"/>
              <w:jc w:val="center"/>
              <w:rPr>
                <w:rFonts w:ascii="Tahoma" w:hAnsi="Tahoma" w:cs="Tahoma"/>
                <w:color w:val="000080"/>
                <w:rtl/>
              </w:rPr>
            </w:pPr>
            <w:r w:rsidRPr="00703474">
              <w:rPr>
                <w:rFonts w:ascii="Tahoma" w:hAnsi="Tahoma" w:cs="Tahoma"/>
                <w:b/>
                <w:bCs/>
                <w:color w:val="000080"/>
                <w:rtl/>
              </w:rPr>
              <w:t>בית המשפט המחוזי מרכז-לוד</w:t>
            </w:r>
          </w:p>
        </w:tc>
      </w:tr>
      <w:tr w:rsidR="00703474" w:rsidRPr="00703474" w14:paraId="03AF1A19" w14:textId="77777777" w:rsidTr="00FC6920">
        <w:trPr>
          <w:trHeight w:val="337"/>
          <w:jc w:val="center"/>
        </w:trPr>
        <w:tc>
          <w:tcPr>
            <w:tcW w:w="5054" w:type="dxa"/>
          </w:tcPr>
          <w:p w14:paraId="2185EDD6" w14:textId="77777777" w:rsidR="00703474" w:rsidRPr="00703474" w:rsidRDefault="00703474" w:rsidP="0097480E">
            <w:pPr>
              <w:rPr>
                <w:rFonts w:cs="FrankRuehl"/>
                <w:sz w:val="28"/>
                <w:szCs w:val="28"/>
                <w:rtl/>
              </w:rPr>
            </w:pPr>
            <w:r w:rsidRPr="00703474">
              <w:rPr>
                <w:rFonts w:cs="FrankRuehl"/>
                <w:sz w:val="28"/>
                <w:szCs w:val="28"/>
                <w:rtl/>
              </w:rPr>
              <w:t>תפ"ח 39587-07-21 מדינת ישראל נ' פלוני</w:t>
            </w:r>
          </w:p>
          <w:p w14:paraId="2A01FB84" w14:textId="77777777" w:rsidR="00703474" w:rsidRPr="00703474" w:rsidRDefault="00703474" w:rsidP="0097480E">
            <w:pPr>
              <w:pStyle w:val="a3"/>
              <w:rPr>
                <w:rFonts w:cs="FrankRuehl"/>
                <w:sz w:val="28"/>
                <w:szCs w:val="28"/>
                <w:rtl/>
              </w:rPr>
            </w:pPr>
          </w:p>
        </w:tc>
        <w:tc>
          <w:tcPr>
            <w:tcW w:w="3667" w:type="dxa"/>
          </w:tcPr>
          <w:p w14:paraId="291AC973" w14:textId="77777777" w:rsidR="00703474" w:rsidRPr="00703474" w:rsidRDefault="00703474" w:rsidP="0097480E">
            <w:pPr>
              <w:pStyle w:val="a3"/>
              <w:jc w:val="right"/>
              <w:rPr>
                <w:rFonts w:cs="FrankRuehl"/>
                <w:sz w:val="28"/>
                <w:szCs w:val="28"/>
                <w:rtl/>
              </w:rPr>
            </w:pPr>
          </w:p>
        </w:tc>
      </w:tr>
    </w:tbl>
    <w:p w14:paraId="6F88D1F9" w14:textId="77777777" w:rsidR="00703474" w:rsidRPr="00703474" w:rsidRDefault="00703474" w:rsidP="00703474">
      <w:pPr>
        <w:pStyle w:val="a3"/>
        <w:rPr>
          <w:rtl/>
        </w:rPr>
      </w:pPr>
      <w:r w:rsidRPr="00703474">
        <w:rPr>
          <w:rtl/>
        </w:rPr>
        <w:t xml:space="preserve"> </w:t>
      </w:r>
    </w:p>
    <w:p w14:paraId="6EEC33B1" w14:textId="77777777" w:rsidR="00532FE9" w:rsidRPr="00703474" w:rsidRDefault="00532FE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32FE9" w:rsidRPr="00703474" w14:paraId="6270FADC" w14:textId="77777777" w:rsidTr="00C96FEA">
        <w:trPr>
          <w:trHeight w:val="295"/>
          <w:jc w:val="center"/>
        </w:trPr>
        <w:tc>
          <w:tcPr>
            <w:tcW w:w="923" w:type="dxa"/>
            <w:tcBorders>
              <w:top w:val="nil"/>
              <w:left w:val="nil"/>
              <w:bottom w:val="nil"/>
              <w:right w:val="nil"/>
            </w:tcBorders>
          </w:tcPr>
          <w:p w14:paraId="7687FF6A" w14:textId="77777777" w:rsidR="00532FE9" w:rsidRPr="00703474" w:rsidRDefault="00532FE9" w:rsidP="00C96FEA">
            <w:pPr>
              <w:jc w:val="both"/>
              <w:rPr>
                <w:rFonts w:ascii="David" w:hAnsi="David"/>
                <w:b/>
                <w:bCs/>
                <w:sz w:val="26"/>
                <w:szCs w:val="26"/>
              </w:rPr>
            </w:pPr>
            <w:r w:rsidRPr="00703474">
              <w:rPr>
                <w:rFonts w:ascii="David" w:hAnsi="David"/>
                <w:b/>
                <w:bCs/>
                <w:sz w:val="26"/>
                <w:szCs w:val="26"/>
                <w:rtl/>
              </w:rPr>
              <w:t xml:space="preserve">בפני </w:t>
            </w:r>
          </w:p>
        </w:tc>
        <w:tc>
          <w:tcPr>
            <w:tcW w:w="7897" w:type="dxa"/>
            <w:gridSpan w:val="2"/>
            <w:tcBorders>
              <w:top w:val="nil"/>
              <w:left w:val="nil"/>
              <w:bottom w:val="nil"/>
              <w:right w:val="nil"/>
            </w:tcBorders>
          </w:tcPr>
          <w:p w14:paraId="5A5E77EC" w14:textId="77777777" w:rsidR="00532FE9" w:rsidRPr="00703474" w:rsidRDefault="00532FE9" w:rsidP="00C96FEA">
            <w:pPr>
              <w:jc w:val="both"/>
              <w:rPr>
                <w:rFonts w:ascii="David" w:hAnsi="David"/>
                <w:b/>
                <w:bCs/>
                <w:sz w:val="26"/>
                <w:szCs w:val="26"/>
              </w:rPr>
            </w:pPr>
          </w:p>
          <w:p w14:paraId="752B80A8" w14:textId="77777777" w:rsidR="00532FE9" w:rsidRPr="00703474" w:rsidRDefault="00532FE9">
            <w:pPr>
              <w:rPr>
                <w:rFonts w:ascii="David" w:hAnsi="David"/>
                <w:b/>
                <w:bCs/>
                <w:sz w:val="26"/>
                <w:szCs w:val="26"/>
                <w:rtl/>
              </w:rPr>
            </w:pPr>
            <w:r w:rsidRPr="00703474">
              <w:rPr>
                <w:rFonts w:ascii="David" w:hAnsi="David"/>
                <w:b/>
                <w:bCs/>
                <w:sz w:val="26"/>
                <w:szCs w:val="26"/>
                <w:rtl/>
              </w:rPr>
              <w:t>כבוד השופט  עמי קובו – אב"ד</w:t>
            </w:r>
          </w:p>
          <w:p w14:paraId="20F3AAC3" w14:textId="77777777" w:rsidR="00532FE9" w:rsidRPr="00703474" w:rsidRDefault="00532FE9">
            <w:pPr>
              <w:rPr>
                <w:rFonts w:ascii="David" w:hAnsi="David"/>
                <w:b/>
                <w:bCs/>
                <w:sz w:val="26"/>
                <w:szCs w:val="26"/>
                <w:rtl/>
              </w:rPr>
            </w:pPr>
            <w:r w:rsidRPr="00703474">
              <w:rPr>
                <w:rFonts w:ascii="David" w:hAnsi="David"/>
                <w:b/>
                <w:bCs/>
                <w:sz w:val="26"/>
                <w:szCs w:val="26"/>
                <w:rtl/>
              </w:rPr>
              <w:t>כבוד השופט  מיכאל קרשן</w:t>
            </w:r>
          </w:p>
          <w:p w14:paraId="3EEACCE3" w14:textId="77777777" w:rsidR="00532FE9" w:rsidRPr="00703474" w:rsidRDefault="00532FE9">
            <w:pPr>
              <w:rPr>
                <w:rFonts w:ascii="David" w:hAnsi="David"/>
                <w:b/>
                <w:bCs/>
                <w:sz w:val="26"/>
                <w:szCs w:val="26"/>
                <w:rtl/>
              </w:rPr>
            </w:pPr>
            <w:r w:rsidRPr="00703474">
              <w:rPr>
                <w:rFonts w:ascii="David" w:hAnsi="David"/>
                <w:b/>
                <w:bCs/>
                <w:sz w:val="26"/>
                <w:szCs w:val="26"/>
                <w:rtl/>
              </w:rPr>
              <w:t>כבוד השופטת  מרב גרינברג</w:t>
            </w:r>
          </w:p>
          <w:p w14:paraId="50C2F655" w14:textId="77777777" w:rsidR="00532FE9" w:rsidRPr="00703474" w:rsidRDefault="00532FE9">
            <w:pPr>
              <w:rPr>
                <w:rFonts w:ascii="David" w:hAnsi="David"/>
                <w:b/>
                <w:bCs/>
                <w:sz w:val="26"/>
                <w:szCs w:val="26"/>
                <w:rtl/>
              </w:rPr>
            </w:pPr>
          </w:p>
        </w:tc>
      </w:tr>
      <w:tr w:rsidR="00532FE9" w:rsidRPr="00703474" w14:paraId="4F498790" w14:textId="77777777" w:rsidTr="00C96FEA">
        <w:trPr>
          <w:trHeight w:val="355"/>
          <w:jc w:val="center"/>
        </w:trPr>
        <w:tc>
          <w:tcPr>
            <w:tcW w:w="923" w:type="dxa"/>
            <w:tcBorders>
              <w:top w:val="nil"/>
              <w:left w:val="nil"/>
              <w:bottom w:val="nil"/>
              <w:right w:val="nil"/>
            </w:tcBorders>
          </w:tcPr>
          <w:p w14:paraId="2354BDEA" w14:textId="77777777" w:rsidR="00532FE9" w:rsidRPr="00703474" w:rsidRDefault="00532FE9" w:rsidP="00C96FEA">
            <w:pPr>
              <w:jc w:val="both"/>
              <w:rPr>
                <w:rFonts w:ascii="David" w:hAnsi="David"/>
                <w:sz w:val="26"/>
                <w:szCs w:val="26"/>
              </w:rPr>
            </w:pPr>
            <w:bookmarkStart w:id="0" w:name="FirstAppellant"/>
            <w:bookmarkStart w:id="1" w:name="FirstLawyer"/>
            <w:bookmarkStart w:id="2" w:name="LastJudge"/>
            <w:bookmarkEnd w:id="2"/>
            <w:r w:rsidRPr="00703474">
              <w:rPr>
                <w:rFonts w:ascii="David" w:hAnsi="David"/>
                <w:sz w:val="26"/>
                <w:szCs w:val="26"/>
                <w:rtl/>
              </w:rPr>
              <w:t>בעניין:</w:t>
            </w:r>
          </w:p>
        </w:tc>
        <w:tc>
          <w:tcPr>
            <w:tcW w:w="3219" w:type="dxa"/>
            <w:tcBorders>
              <w:top w:val="nil"/>
              <w:left w:val="nil"/>
              <w:bottom w:val="nil"/>
              <w:right w:val="nil"/>
            </w:tcBorders>
          </w:tcPr>
          <w:p w14:paraId="05067462" w14:textId="77777777" w:rsidR="00532FE9" w:rsidRPr="00703474" w:rsidRDefault="00532FE9" w:rsidP="00C96FEA">
            <w:pPr>
              <w:suppressLineNumbers/>
            </w:pPr>
            <w:r w:rsidRPr="00703474">
              <w:rPr>
                <w:rFonts w:ascii="Arial" w:hAnsi="Arial"/>
                <w:b/>
                <w:bCs/>
                <w:sz w:val="26"/>
                <w:szCs w:val="26"/>
                <w:rtl/>
              </w:rPr>
              <w:t>המאשימה</w:t>
            </w:r>
          </w:p>
          <w:p w14:paraId="63AB73D2" w14:textId="77777777" w:rsidR="00532FE9" w:rsidRPr="00703474" w:rsidRDefault="00532FE9" w:rsidP="003E0C9F">
            <w:pPr>
              <w:rPr>
                <w:rFonts w:ascii="David" w:hAnsi="David"/>
                <w:sz w:val="26"/>
                <w:szCs w:val="26"/>
              </w:rPr>
            </w:pPr>
          </w:p>
        </w:tc>
        <w:tc>
          <w:tcPr>
            <w:tcW w:w="4678" w:type="dxa"/>
            <w:tcBorders>
              <w:top w:val="nil"/>
              <w:left w:val="nil"/>
              <w:bottom w:val="nil"/>
              <w:right w:val="nil"/>
            </w:tcBorders>
            <w:vAlign w:val="center"/>
          </w:tcPr>
          <w:p w14:paraId="43871D2D" w14:textId="77777777" w:rsidR="00532FE9" w:rsidRPr="00703474" w:rsidRDefault="00532FE9" w:rsidP="00C96FEA">
            <w:pPr>
              <w:suppressLineNumbers/>
              <w:rPr>
                <w:rFonts w:ascii="Arial" w:hAnsi="Arial"/>
                <w:b/>
                <w:bCs/>
                <w:sz w:val="26"/>
                <w:szCs w:val="26"/>
                <w:rtl/>
              </w:rPr>
            </w:pPr>
            <w:r w:rsidRPr="00703474">
              <w:rPr>
                <w:rFonts w:ascii="Arial" w:hAnsi="Arial"/>
                <w:b/>
                <w:bCs/>
                <w:sz w:val="26"/>
                <w:szCs w:val="26"/>
                <w:rtl/>
              </w:rPr>
              <w:t xml:space="preserve">מדינת ישראל </w:t>
            </w:r>
          </w:p>
          <w:p w14:paraId="317711AE" w14:textId="77777777" w:rsidR="00532FE9" w:rsidRPr="00703474" w:rsidRDefault="00532FE9" w:rsidP="00C96FEA">
            <w:pPr>
              <w:suppressLineNumbers/>
              <w:rPr>
                <w:rFonts w:ascii="Arial" w:hAnsi="Arial"/>
                <w:b/>
                <w:bCs/>
                <w:sz w:val="26"/>
                <w:szCs w:val="26"/>
                <w:rtl/>
              </w:rPr>
            </w:pPr>
            <w:r w:rsidRPr="00703474">
              <w:rPr>
                <w:rFonts w:ascii="Arial" w:hAnsi="Arial"/>
                <w:b/>
                <w:bCs/>
                <w:sz w:val="26"/>
                <w:szCs w:val="26"/>
                <w:rtl/>
              </w:rPr>
              <w:t>באמצעות פרקליטות מחוז מרכז</w:t>
            </w:r>
          </w:p>
          <w:p w14:paraId="3FEDFAE1" w14:textId="77777777" w:rsidR="00532FE9" w:rsidRPr="00703474" w:rsidRDefault="00532FE9" w:rsidP="00C96FEA">
            <w:pPr>
              <w:suppressLineNumbers/>
            </w:pPr>
            <w:r w:rsidRPr="00703474">
              <w:rPr>
                <w:rFonts w:ascii="Arial" w:hAnsi="Arial"/>
                <w:b/>
                <w:bCs/>
                <w:sz w:val="26"/>
                <w:szCs w:val="26"/>
                <w:rtl/>
              </w:rPr>
              <w:t>ע"י ב"כ עו"ד</w:t>
            </w:r>
            <w:r w:rsidRPr="00703474">
              <w:rPr>
                <w:rtl/>
              </w:rPr>
              <w:t xml:space="preserve"> </w:t>
            </w:r>
            <w:r w:rsidRPr="00703474">
              <w:rPr>
                <w:b/>
                <w:bCs/>
                <w:rtl/>
              </w:rPr>
              <w:t>תומר שטיינברג</w:t>
            </w:r>
          </w:p>
          <w:p w14:paraId="27BE6C32" w14:textId="77777777" w:rsidR="00532FE9" w:rsidRPr="00703474" w:rsidRDefault="00532FE9" w:rsidP="000F2247">
            <w:pPr>
              <w:rPr>
                <w:rFonts w:ascii="David" w:hAnsi="David"/>
                <w:sz w:val="26"/>
                <w:szCs w:val="26"/>
              </w:rPr>
            </w:pPr>
          </w:p>
        </w:tc>
      </w:tr>
      <w:bookmarkEnd w:id="0"/>
      <w:bookmarkEnd w:id="1"/>
      <w:tr w:rsidR="00532FE9" w:rsidRPr="00703474" w14:paraId="34895376" w14:textId="77777777" w:rsidTr="00C96FEA">
        <w:trPr>
          <w:trHeight w:val="355"/>
          <w:jc w:val="center"/>
        </w:trPr>
        <w:tc>
          <w:tcPr>
            <w:tcW w:w="923" w:type="dxa"/>
            <w:tcBorders>
              <w:top w:val="nil"/>
              <w:left w:val="nil"/>
              <w:bottom w:val="nil"/>
              <w:right w:val="nil"/>
            </w:tcBorders>
          </w:tcPr>
          <w:p w14:paraId="52E29181" w14:textId="77777777" w:rsidR="00532FE9" w:rsidRPr="00703474" w:rsidRDefault="00532FE9" w:rsidP="00C96FEA">
            <w:pPr>
              <w:jc w:val="both"/>
              <w:rPr>
                <w:rFonts w:ascii="David" w:hAnsi="David"/>
                <w:sz w:val="26"/>
                <w:szCs w:val="26"/>
                <w:rtl/>
              </w:rPr>
            </w:pPr>
          </w:p>
        </w:tc>
        <w:tc>
          <w:tcPr>
            <w:tcW w:w="7897" w:type="dxa"/>
            <w:gridSpan w:val="2"/>
            <w:tcBorders>
              <w:top w:val="nil"/>
              <w:left w:val="nil"/>
              <w:bottom w:val="nil"/>
              <w:right w:val="nil"/>
            </w:tcBorders>
          </w:tcPr>
          <w:p w14:paraId="58F4D4CF" w14:textId="77777777" w:rsidR="00532FE9" w:rsidRPr="00703474" w:rsidRDefault="00532FE9" w:rsidP="00C96FEA">
            <w:pPr>
              <w:jc w:val="center"/>
              <w:rPr>
                <w:rFonts w:ascii="David" w:hAnsi="David"/>
                <w:b/>
                <w:bCs/>
                <w:sz w:val="26"/>
                <w:szCs w:val="26"/>
                <w:rtl/>
              </w:rPr>
            </w:pPr>
          </w:p>
          <w:p w14:paraId="4394E5F6" w14:textId="77777777" w:rsidR="00532FE9" w:rsidRPr="00703474" w:rsidRDefault="00532FE9" w:rsidP="00C96FEA">
            <w:pPr>
              <w:jc w:val="center"/>
              <w:rPr>
                <w:rFonts w:ascii="David" w:hAnsi="David"/>
                <w:b/>
                <w:bCs/>
                <w:sz w:val="26"/>
                <w:szCs w:val="26"/>
                <w:rtl/>
              </w:rPr>
            </w:pPr>
            <w:r w:rsidRPr="00703474">
              <w:rPr>
                <w:rFonts w:ascii="David" w:hAnsi="David"/>
                <w:b/>
                <w:bCs/>
                <w:sz w:val="26"/>
                <w:szCs w:val="26"/>
                <w:rtl/>
              </w:rPr>
              <w:t>נגד</w:t>
            </w:r>
          </w:p>
          <w:p w14:paraId="4246E343" w14:textId="77777777" w:rsidR="00532FE9" w:rsidRPr="00703474" w:rsidRDefault="00532FE9" w:rsidP="00C96FEA">
            <w:pPr>
              <w:jc w:val="both"/>
              <w:rPr>
                <w:rFonts w:ascii="David" w:hAnsi="David"/>
                <w:sz w:val="26"/>
                <w:szCs w:val="26"/>
              </w:rPr>
            </w:pPr>
          </w:p>
        </w:tc>
      </w:tr>
      <w:tr w:rsidR="00532FE9" w:rsidRPr="00703474" w14:paraId="015DE52C" w14:textId="77777777" w:rsidTr="00C96FEA">
        <w:trPr>
          <w:trHeight w:val="355"/>
          <w:jc w:val="center"/>
        </w:trPr>
        <w:tc>
          <w:tcPr>
            <w:tcW w:w="923" w:type="dxa"/>
            <w:tcBorders>
              <w:top w:val="nil"/>
              <w:left w:val="nil"/>
              <w:bottom w:val="nil"/>
              <w:right w:val="nil"/>
            </w:tcBorders>
          </w:tcPr>
          <w:p w14:paraId="1353B2B5" w14:textId="77777777" w:rsidR="00532FE9" w:rsidRPr="00703474" w:rsidRDefault="00532FE9" w:rsidP="003E0C9F">
            <w:pPr>
              <w:rPr>
                <w:rFonts w:ascii="David" w:hAnsi="David"/>
                <w:sz w:val="26"/>
                <w:szCs w:val="26"/>
                <w:rtl/>
              </w:rPr>
            </w:pPr>
          </w:p>
        </w:tc>
        <w:tc>
          <w:tcPr>
            <w:tcW w:w="3219" w:type="dxa"/>
            <w:tcBorders>
              <w:top w:val="nil"/>
              <w:left w:val="nil"/>
              <w:bottom w:val="nil"/>
              <w:right w:val="nil"/>
            </w:tcBorders>
          </w:tcPr>
          <w:p w14:paraId="0CFB7F42" w14:textId="77777777" w:rsidR="00532FE9" w:rsidRPr="00703474" w:rsidRDefault="00532FE9" w:rsidP="003E0C9F">
            <w:pPr>
              <w:rPr>
                <w:rFonts w:ascii="Arial" w:hAnsi="Arial"/>
                <w:b/>
                <w:bCs/>
                <w:sz w:val="26"/>
                <w:szCs w:val="26"/>
                <w:rtl/>
              </w:rPr>
            </w:pPr>
            <w:r w:rsidRPr="00703474">
              <w:rPr>
                <w:rFonts w:ascii="Arial" w:hAnsi="Arial"/>
                <w:b/>
                <w:bCs/>
                <w:sz w:val="26"/>
                <w:szCs w:val="26"/>
                <w:rtl/>
              </w:rPr>
              <w:t>הנאשמים</w:t>
            </w:r>
          </w:p>
        </w:tc>
        <w:tc>
          <w:tcPr>
            <w:tcW w:w="4678" w:type="dxa"/>
            <w:tcBorders>
              <w:top w:val="nil"/>
              <w:left w:val="nil"/>
              <w:bottom w:val="nil"/>
              <w:right w:val="nil"/>
            </w:tcBorders>
            <w:vAlign w:val="center"/>
          </w:tcPr>
          <w:p w14:paraId="274DAE9E" w14:textId="77777777" w:rsidR="00532FE9" w:rsidRPr="00703474" w:rsidRDefault="00532FE9" w:rsidP="000F2247">
            <w:pPr>
              <w:rPr>
                <w:rFonts w:ascii="David" w:hAnsi="David"/>
                <w:sz w:val="26"/>
                <w:szCs w:val="26"/>
              </w:rPr>
            </w:pPr>
          </w:p>
          <w:p w14:paraId="6A309A3E" w14:textId="77777777" w:rsidR="00532FE9" w:rsidRPr="00703474" w:rsidRDefault="00532FE9" w:rsidP="00C96FEA">
            <w:pPr>
              <w:suppressLineNumbers/>
              <w:rPr>
                <w:b/>
                <w:bCs/>
              </w:rPr>
            </w:pPr>
            <w:r w:rsidRPr="00703474">
              <w:rPr>
                <w:rFonts w:ascii="Arial" w:hAnsi="Arial"/>
                <w:b/>
                <w:bCs/>
                <w:sz w:val="26"/>
                <w:szCs w:val="26"/>
                <w:rtl/>
              </w:rPr>
              <w:t xml:space="preserve">1. פלוני </w:t>
            </w:r>
            <w:r w:rsidRPr="00703474">
              <w:rPr>
                <w:rFonts w:ascii="Arial" w:hAnsi="Arial"/>
                <w:b/>
                <w:bCs/>
                <w:sz w:val="26"/>
                <w:szCs w:val="26"/>
                <w:rtl/>
              </w:rPr>
              <w:br/>
              <w:t xml:space="preserve">    ע"י ב"כ עו"ד</w:t>
            </w:r>
            <w:r w:rsidRPr="00703474">
              <w:rPr>
                <w:b/>
                <w:bCs/>
                <w:rtl/>
              </w:rPr>
              <w:t xml:space="preserve"> אהוד בן יהודה</w:t>
            </w:r>
          </w:p>
          <w:p w14:paraId="659A3B3A" w14:textId="77777777" w:rsidR="00532FE9" w:rsidRPr="00703474" w:rsidRDefault="00532FE9" w:rsidP="00C96FEA">
            <w:pPr>
              <w:suppressLineNumbers/>
              <w:rPr>
                <w:b/>
                <w:bCs/>
              </w:rPr>
            </w:pPr>
            <w:r w:rsidRPr="00703474">
              <w:rPr>
                <w:rFonts w:ascii="Arial" w:hAnsi="Arial"/>
                <w:b/>
                <w:bCs/>
                <w:sz w:val="26"/>
                <w:szCs w:val="26"/>
                <w:rtl/>
              </w:rPr>
              <w:t xml:space="preserve">2. פלוני </w:t>
            </w:r>
            <w:r w:rsidRPr="00703474">
              <w:rPr>
                <w:rFonts w:ascii="Arial" w:hAnsi="Arial"/>
                <w:b/>
                <w:bCs/>
                <w:sz w:val="26"/>
                <w:szCs w:val="26"/>
                <w:rtl/>
              </w:rPr>
              <w:br/>
              <w:t xml:space="preserve">    ע"י ב"כ עו"ד</w:t>
            </w:r>
            <w:r w:rsidRPr="00703474">
              <w:rPr>
                <w:b/>
                <w:bCs/>
                <w:rtl/>
              </w:rPr>
              <w:t xml:space="preserve"> דרויש נאשף</w:t>
            </w:r>
          </w:p>
          <w:p w14:paraId="68DEFFD4" w14:textId="77777777" w:rsidR="00532FE9" w:rsidRPr="00703474" w:rsidRDefault="00532FE9" w:rsidP="00C96FEA">
            <w:pPr>
              <w:suppressLineNumbers/>
              <w:rPr>
                <w:rFonts w:ascii="Arial" w:hAnsi="Arial"/>
                <w:b/>
                <w:bCs/>
                <w:sz w:val="26"/>
                <w:szCs w:val="26"/>
                <w:rtl/>
              </w:rPr>
            </w:pPr>
            <w:r w:rsidRPr="00703474">
              <w:rPr>
                <w:rFonts w:ascii="Arial" w:hAnsi="Arial"/>
                <w:b/>
                <w:bCs/>
                <w:sz w:val="26"/>
                <w:szCs w:val="26"/>
                <w:rtl/>
              </w:rPr>
              <w:t xml:space="preserve">3. פלוני </w:t>
            </w:r>
          </w:p>
          <w:p w14:paraId="4E094719" w14:textId="77777777" w:rsidR="00532FE9" w:rsidRPr="00703474" w:rsidRDefault="00532FE9" w:rsidP="00C96FEA">
            <w:pPr>
              <w:suppressLineNumbers/>
            </w:pPr>
            <w:r w:rsidRPr="00703474">
              <w:rPr>
                <w:rFonts w:ascii="Arial" w:hAnsi="Arial"/>
                <w:b/>
                <w:bCs/>
                <w:sz w:val="26"/>
                <w:szCs w:val="26"/>
                <w:rtl/>
              </w:rPr>
              <w:t xml:space="preserve">    ע"י ב"כ עו"ד</w:t>
            </w:r>
            <w:r w:rsidRPr="00703474">
              <w:rPr>
                <w:b/>
                <w:bCs/>
                <w:rtl/>
              </w:rPr>
              <w:t xml:space="preserve"> אהוד בן יהודה</w:t>
            </w:r>
          </w:p>
          <w:p w14:paraId="54F9772D" w14:textId="77777777" w:rsidR="00532FE9" w:rsidRPr="00703474" w:rsidRDefault="00532FE9" w:rsidP="00C96FEA">
            <w:pPr>
              <w:suppressLineNumbers/>
            </w:pPr>
          </w:p>
        </w:tc>
      </w:tr>
      <w:tr w:rsidR="00532FE9" w:rsidRPr="00703474" w14:paraId="34692D98" w14:textId="77777777" w:rsidTr="00C96FEA">
        <w:trPr>
          <w:trHeight w:val="355"/>
          <w:jc w:val="center"/>
        </w:trPr>
        <w:tc>
          <w:tcPr>
            <w:tcW w:w="923" w:type="dxa"/>
            <w:tcBorders>
              <w:top w:val="nil"/>
              <w:left w:val="nil"/>
              <w:bottom w:val="nil"/>
              <w:right w:val="nil"/>
            </w:tcBorders>
          </w:tcPr>
          <w:p w14:paraId="0A2D8B13" w14:textId="77777777" w:rsidR="00532FE9" w:rsidRPr="00703474" w:rsidRDefault="00532FE9" w:rsidP="00C96FEA">
            <w:pPr>
              <w:jc w:val="both"/>
              <w:rPr>
                <w:rFonts w:ascii="David" w:hAnsi="David"/>
                <w:sz w:val="26"/>
                <w:szCs w:val="26"/>
                <w:rtl/>
              </w:rPr>
            </w:pPr>
          </w:p>
        </w:tc>
        <w:tc>
          <w:tcPr>
            <w:tcW w:w="3219" w:type="dxa"/>
            <w:tcBorders>
              <w:top w:val="nil"/>
              <w:left w:val="nil"/>
              <w:bottom w:val="nil"/>
              <w:right w:val="nil"/>
            </w:tcBorders>
          </w:tcPr>
          <w:p w14:paraId="103D1353" w14:textId="77777777" w:rsidR="00532FE9" w:rsidRPr="00703474" w:rsidRDefault="00532FE9" w:rsidP="00C96FEA">
            <w:pPr>
              <w:jc w:val="both"/>
              <w:rPr>
                <w:rFonts w:ascii="David" w:hAnsi="David"/>
                <w:sz w:val="26"/>
                <w:szCs w:val="26"/>
                <w:rtl/>
              </w:rPr>
            </w:pPr>
          </w:p>
        </w:tc>
        <w:tc>
          <w:tcPr>
            <w:tcW w:w="4678" w:type="dxa"/>
            <w:tcBorders>
              <w:top w:val="nil"/>
              <w:left w:val="nil"/>
              <w:bottom w:val="nil"/>
              <w:right w:val="nil"/>
            </w:tcBorders>
          </w:tcPr>
          <w:p w14:paraId="121B17B5" w14:textId="77777777" w:rsidR="00532FE9" w:rsidRPr="00703474" w:rsidRDefault="00532FE9" w:rsidP="00C96FEA">
            <w:pPr>
              <w:jc w:val="right"/>
              <w:rPr>
                <w:rFonts w:ascii="David" w:hAnsi="David"/>
                <w:sz w:val="26"/>
                <w:szCs w:val="26"/>
              </w:rPr>
            </w:pPr>
          </w:p>
        </w:tc>
      </w:tr>
    </w:tbl>
    <w:p w14:paraId="4206F034" w14:textId="77777777" w:rsidR="00532FE9" w:rsidRPr="00703474" w:rsidRDefault="00532FE9">
      <w:pPr>
        <w:rPr>
          <w:sz w:val="26"/>
          <w:szCs w:val="26"/>
        </w:rPr>
      </w:pPr>
    </w:p>
    <w:p w14:paraId="1F39E421" w14:textId="77777777" w:rsidR="004B749E" w:rsidRPr="004B749E" w:rsidRDefault="004B749E" w:rsidP="004B749E">
      <w:pPr>
        <w:spacing w:before="120" w:after="120" w:line="240" w:lineRule="exact"/>
        <w:ind w:left="283" w:hanging="283"/>
        <w:jc w:val="both"/>
        <w:rPr>
          <w:rFonts w:ascii="FrankRuehl" w:hAnsi="FrankRuehl" w:cs="FrankRuehl"/>
          <w:rtl/>
        </w:rPr>
      </w:pPr>
    </w:p>
    <w:p w14:paraId="0AF19112" w14:textId="77777777" w:rsidR="00466F50" w:rsidRDefault="00466F50" w:rsidP="00466F50">
      <w:pPr>
        <w:rPr>
          <w:sz w:val="26"/>
          <w:szCs w:val="26"/>
          <w:rtl/>
        </w:rPr>
      </w:pPr>
      <w:bookmarkStart w:id="3" w:name="LawTable"/>
      <w:bookmarkEnd w:id="3"/>
    </w:p>
    <w:p w14:paraId="70571329" w14:textId="77777777" w:rsidR="00466F50" w:rsidRPr="00466F50" w:rsidRDefault="00466F50" w:rsidP="00466F50">
      <w:pPr>
        <w:spacing w:before="120" w:after="120" w:line="240" w:lineRule="exact"/>
        <w:ind w:left="283" w:hanging="283"/>
        <w:jc w:val="both"/>
        <w:rPr>
          <w:rFonts w:ascii="FrankRuehl" w:hAnsi="FrankRuehl" w:cs="FrankRuehl"/>
          <w:rtl/>
        </w:rPr>
      </w:pPr>
    </w:p>
    <w:p w14:paraId="578711DD" w14:textId="77777777" w:rsidR="00466F50" w:rsidRPr="00466F50" w:rsidRDefault="00466F50" w:rsidP="00466F50">
      <w:pPr>
        <w:spacing w:before="120" w:after="120" w:line="240" w:lineRule="exact"/>
        <w:ind w:left="283" w:hanging="283"/>
        <w:jc w:val="both"/>
        <w:rPr>
          <w:rFonts w:ascii="FrankRuehl" w:hAnsi="FrankRuehl" w:cs="FrankRuehl"/>
          <w:rtl/>
        </w:rPr>
      </w:pPr>
    </w:p>
    <w:p w14:paraId="73C542CB" w14:textId="77777777" w:rsidR="00466F50" w:rsidRPr="00466F50" w:rsidRDefault="00466F50" w:rsidP="00466F50">
      <w:pPr>
        <w:spacing w:before="120" w:after="120" w:line="240" w:lineRule="exact"/>
        <w:ind w:left="283" w:hanging="283"/>
        <w:jc w:val="both"/>
        <w:rPr>
          <w:rFonts w:ascii="FrankRuehl" w:hAnsi="FrankRuehl" w:cs="FrankRuehl"/>
          <w:rtl/>
        </w:rPr>
      </w:pPr>
      <w:r w:rsidRPr="00466F50">
        <w:rPr>
          <w:rFonts w:ascii="FrankRuehl" w:hAnsi="FrankRuehl" w:cs="FrankRuehl"/>
          <w:rtl/>
        </w:rPr>
        <w:t xml:space="preserve">חקיקה שאוזכרה: </w:t>
      </w:r>
    </w:p>
    <w:p w14:paraId="71A05B15" w14:textId="77777777" w:rsidR="00466F50" w:rsidRPr="00466F50" w:rsidRDefault="00466F50" w:rsidP="00466F50">
      <w:pPr>
        <w:spacing w:before="120" w:after="120" w:line="240" w:lineRule="exact"/>
        <w:ind w:left="283" w:hanging="283"/>
        <w:jc w:val="both"/>
        <w:rPr>
          <w:rFonts w:ascii="FrankRuehl" w:hAnsi="FrankRuehl" w:cs="FrankRuehl"/>
          <w:rtl/>
        </w:rPr>
      </w:pPr>
      <w:hyperlink r:id="rId7" w:history="1">
        <w:r w:rsidRPr="00466F50">
          <w:rPr>
            <w:rFonts w:ascii="FrankRuehl" w:hAnsi="FrankRuehl" w:cs="FrankRuehl"/>
            <w:color w:val="0000FF"/>
            <w:rtl/>
          </w:rPr>
          <w:t>חוק העונשין, תשל"ז-1977</w:t>
        </w:r>
      </w:hyperlink>
      <w:r w:rsidRPr="00466F50">
        <w:rPr>
          <w:rFonts w:ascii="FrankRuehl" w:hAnsi="FrankRuehl" w:cs="FrankRuehl"/>
          <w:rtl/>
        </w:rPr>
        <w:t xml:space="preserve">: סע'  </w:t>
      </w:r>
      <w:hyperlink r:id="rId8" w:history="1">
        <w:r w:rsidRPr="00466F50">
          <w:rPr>
            <w:rFonts w:ascii="FrankRuehl" w:hAnsi="FrankRuehl" w:cs="FrankRuehl"/>
            <w:color w:val="0000FF"/>
            <w:rtl/>
          </w:rPr>
          <w:t>31</w:t>
        </w:r>
      </w:hyperlink>
      <w:r w:rsidRPr="00466F50">
        <w:rPr>
          <w:rFonts w:ascii="FrankRuehl" w:hAnsi="FrankRuehl" w:cs="FrankRuehl"/>
          <w:rtl/>
        </w:rPr>
        <w:t xml:space="preserve">, </w:t>
      </w:r>
      <w:hyperlink r:id="rId9" w:history="1">
        <w:r w:rsidRPr="00466F50">
          <w:rPr>
            <w:rFonts w:ascii="FrankRuehl" w:hAnsi="FrankRuehl" w:cs="FrankRuehl"/>
            <w:color w:val="0000FF"/>
            <w:rtl/>
          </w:rPr>
          <w:t>144(א)</w:t>
        </w:r>
      </w:hyperlink>
      <w:r w:rsidRPr="00466F50">
        <w:rPr>
          <w:rFonts w:ascii="FrankRuehl" w:hAnsi="FrankRuehl" w:cs="FrankRuehl"/>
          <w:rtl/>
        </w:rPr>
        <w:t xml:space="preserve">, </w:t>
      </w:r>
      <w:hyperlink r:id="rId10" w:history="1">
        <w:r w:rsidRPr="00466F50">
          <w:rPr>
            <w:rFonts w:ascii="FrankRuehl" w:hAnsi="FrankRuehl" w:cs="FrankRuehl"/>
            <w:color w:val="0000FF"/>
            <w:rtl/>
          </w:rPr>
          <w:t>152</w:t>
        </w:r>
      </w:hyperlink>
      <w:r w:rsidRPr="00466F50">
        <w:rPr>
          <w:rFonts w:ascii="FrankRuehl" w:hAnsi="FrankRuehl" w:cs="FrankRuehl"/>
          <w:rtl/>
        </w:rPr>
        <w:t xml:space="preserve">, </w:t>
      </w:r>
      <w:hyperlink r:id="rId11" w:history="1">
        <w:r w:rsidRPr="00466F50">
          <w:rPr>
            <w:rFonts w:ascii="FrankRuehl" w:hAnsi="FrankRuehl" w:cs="FrankRuehl"/>
            <w:color w:val="0000FF"/>
            <w:rtl/>
          </w:rPr>
          <w:t>275א</w:t>
        </w:r>
      </w:hyperlink>
      <w:r w:rsidRPr="00466F50">
        <w:rPr>
          <w:rFonts w:ascii="FrankRuehl" w:hAnsi="FrankRuehl" w:cs="FrankRuehl"/>
          <w:rtl/>
        </w:rPr>
        <w:t xml:space="preserve">, </w:t>
      </w:r>
      <w:hyperlink r:id="rId12" w:history="1">
        <w:r w:rsidRPr="00466F50">
          <w:rPr>
            <w:rFonts w:ascii="FrankRuehl" w:hAnsi="FrankRuehl" w:cs="FrankRuehl"/>
            <w:color w:val="0000FF"/>
            <w:rtl/>
          </w:rPr>
          <w:t>329(א)(2)</w:t>
        </w:r>
      </w:hyperlink>
      <w:r w:rsidRPr="00466F50">
        <w:rPr>
          <w:rFonts w:ascii="FrankRuehl" w:hAnsi="FrankRuehl" w:cs="FrankRuehl"/>
          <w:rtl/>
        </w:rPr>
        <w:t xml:space="preserve">, </w:t>
      </w:r>
      <w:hyperlink r:id="rId13" w:history="1">
        <w:r w:rsidRPr="00466F50">
          <w:rPr>
            <w:rFonts w:ascii="FrankRuehl" w:hAnsi="FrankRuehl" w:cs="FrankRuehl"/>
            <w:color w:val="0000FF"/>
            <w:rtl/>
          </w:rPr>
          <w:t>448(א)</w:t>
        </w:r>
      </w:hyperlink>
    </w:p>
    <w:p w14:paraId="2FD31FDA" w14:textId="77777777" w:rsidR="00466F50" w:rsidRPr="00466F50" w:rsidRDefault="00466F50" w:rsidP="00466F50">
      <w:pPr>
        <w:spacing w:before="120" w:after="120" w:line="240" w:lineRule="exact"/>
        <w:ind w:left="283" w:hanging="283"/>
        <w:jc w:val="both"/>
        <w:rPr>
          <w:rFonts w:ascii="FrankRuehl" w:hAnsi="FrankRuehl" w:cs="FrankRuehl"/>
          <w:rtl/>
        </w:rPr>
      </w:pPr>
      <w:hyperlink r:id="rId14" w:history="1">
        <w:r w:rsidRPr="00466F50">
          <w:rPr>
            <w:rFonts w:ascii="FrankRuehl" w:hAnsi="FrankRuehl" w:cs="FrankRuehl"/>
            <w:color w:val="0000FF"/>
            <w:rtl/>
          </w:rPr>
          <w:t>חוק המאבק בטרור, תשע"ו-2016</w:t>
        </w:r>
      </w:hyperlink>
      <w:r w:rsidRPr="00466F50">
        <w:rPr>
          <w:rFonts w:ascii="FrankRuehl" w:hAnsi="FrankRuehl" w:cs="FrankRuehl"/>
          <w:rtl/>
        </w:rPr>
        <w:t xml:space="preserve">: סע'  </w:t>
      </w:r>
      <w:hyperlink r:id="rId15" w:history="1">
        <w:r w:rsidRPr="00466F50">
          <w:rPr>
            <w:rFonts w:ascii="FrankRuehl" w:hAnsi="FrankRuehl" w:cs="FrankRuehl"/>
            <w:color w:val="0000FF"/>
            <w:rtl/>
          </w:rPr>
          <w:t>37</w:t>
        </w:r>
      </w:hyperlink>
    </w:p>
    <w:p w14:paraId="5179C556" w14:textId="77777777" w:rsidR="00466F50" w:rsidRPr="00466F50" w:rsidRDefault="00466F50" w:rsidP="00466F50">
      <w:pPr>
        <w:rPr>
          <w:sz w:val="26"/>
          <w:szCs w:val="26"/>
          <w:rtl/>
        </w:rPr>
      </w:pPr>
      <w:bookmarkStart w:id="4" w:name="LawTable_End"/>
      <w:bookmarkEnd w:id="4"/>
    </w:p>
    <w:p w14:paraId="47945799" w14:textId="77777777" w:rsidR="00937B32" w:rsidRPr="004B749E" w:rsidRDefault="00937B32" w:rsidP="004B749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32FE9" w14:paraId="133DF3C4" w14:textId="77777777" w:rsidTr="00C96FEA">
        <w:trPr>
          <w:trHeight w:val="355"/>
          <w:jc w:val="center"/>
        </w:trPr>
        <w:tc>
          <w:tcPr>
            <w:tcW w:w="8820" w:type="dxa"/>
            <w:tcBorders>
              <w:top w:val="nil"/>
              <w:left w:val="nil"/>
              <w:bottom w:val="nil"/>
              <w:right w:val="nil"/>
            </w:tcBorders>
          </w:tcPr>
          <w:p w14:paraId="20F15CE1" w14:textId="77777777" w:rsidR="00703474" w:rsidRPr="00703474" w:rsidRDefault="00703474" w:rsidP="00703474">
            <w:pPr>
              <w:jc w:val="center"/>
              <w:rPr>
                <w:rFonts w:ascii="David" w:hAnsi="David"/>
                <w:b/>
                <w:bCs/>
                <w:sz w:val="32"/>
                <w:szCs w:val="32"/>
                <w:u w:val="single"/>
                <w:rtl/>
              </w:rPr>
            </w:pPr>
            <w:bookmarkStart w:id="5" w:name="PsakDin"/>
            <w:r w:rsidRPr="00703474">
              <w:rPr>
                <w:rFonts w:ascii="David" w:hAnsi="David"/>
                <w:b/>
                <w:bCs/>
                <w:sz w:val="32"/>
                <w:szCs w:val="32"/>
                <w:u w:val="single"/>
                <w:rtl/>
              </w:rPr>
              <w:t>גזר דין</w:t>
            </w:r>
          </w:p>
          <w:bookmarkEnd w:id="5"/>
          <w:p w14:paraId="6684E479" w14:textId="77777777" w:rsidR="00532FE9" w:rsidRPr="00C96FEA" w:rsidRDefault="00532FE9" w:rsidP="00C96FEA">
            <w:pPr>
              <w:jc w:val="center"/>
              <w:rPr>
                <w:rFonts w:ascii="David" w:hAnsi="David"/>
                <w:sz w:val="32"/>
                <w:szCs w:val="32"/>
                <w:u w:val="single"/>
                <w:rtl/>
              </w:rPr>
            </w:pPr>
            <w:r w:rsidRPr="00C96FEA">
              <w:rPr>
                <w:rFonts w:ascii="David" w:hAnsi="David"/>
                <w:b/>
                <w:bCs/>
                <w:sz w:val="32"/>
                <w:szCs w:val="32"/>
                <w:u w:val="single"/>
                <w:rtl/>
              </w:rPr>
              <w:t>בעניינם של הנאשמים 1-3</w:t>
            </w:r>
          </w:p>
        </w:tc>
      </w:tr>
    </w:tbl>
    <w:p w14:paraId="4ABD58B4" w14:textId="77777777" w:rsidR="00532FE9" w:rsidRPr="000F2247" w:rsidRDefault="00532FE9">
      <w:pPr>
        <w:rPr>
          <w:rFonts w:ascii="Arial" w:hAnsi="Arial"/>
          <w:b/>
          <w:bCs/>
          <w:sz w:val="26"/>
          <w:szCs w:val="26"/>
          <w:rtl/>
        </w:rPr>
      </w:pPr>
    </w:p>
    <w:p w14:paraId="5D00DB90" w14:textId="77777777" w:rsidR="00532FE9" w:rsidRPr="000F2247" w:rsidRDefault="00532FE9">
      <w:pPr>
        <w:rPr>
          <w:rFonts w:ascii="Arial" w:hAnsi="Arial"/>
          <w:b/>
          <w:bCs/>
          <w:sz w:val="26"/>
          <w:szCs w:val="26"/>
          <w:rtl/>
        </w:rPr>
      </w:pPr>
    </w:p>
    <w:p w14:paraId="04F40BEB" w14:textId="77777777" w:rsidR="00532FE9" w:rsidRDefault="00532FE9" w:rsidP="00156B48">
      <w:pPr>
        <w:pStyle w:val="ac"/>
        <w:numPr>
          <w:ilvl w:val="0"/>
          <w:numId w:val="3"/>
        </w:numPr>
        <w:spacing w:before="240" w:line="360" w:lineRule="auto"/>
        <w:jc w:val="both"/>
      </w:pPr>
      <w:bookmarkStart w:id="6" w:name="ABSTRACT_START"/>
      <w:bookmarkEnd w:id="6"/>
      <w:r>
        <w:rPr>
          <w:color w:val="000000"/>
          <w:rtl/>
        </w:rPr>
        <w:lastRenderedPageBreak/>
        <w:t xml:space="preserve">נגד הנאשמים ואחרים, הוגש כתב אישום חמור המייחס להם מעורבות בתכנית פיגוע וביצוע מעשי טרור נגד תושבים יהודים בעיר לוד, במהלך ימי מבצע "שומר חומות", בחודש מאי 2021.  </w:t>
      </w:r>
    </w:p>
    <w:p w14:paraId="2179D95D" w14:textId="77777777" w:rsidR="00532FE9" w:rsidRDefault="00532FE9" w:rsidP="00156B48">
      <w:pPr>
        <w:pStyle w:val="ac"/>
        <w:spacing w:before="240" w:line="360" w:lineRule="auto"/>
        <w:ind w:left="786"/>
        <w:jc w:val="both"/>
      </w:pPr>
      <w:bookmarkStart w:id="7" w:name="ABSTRACT_END"/>
      <w:bookmarkEnd w:id="7"/>
    </w:p>
    <w:p w14:paraId="5A9497F4" w14:textId="77777777" w:rsidR="00532FE9" w:rsidRDefault="00532FE9" w:rsidP="00156B48">
      <w:pPr>
        <w:spacing w:line="360" w:lineRule="auto"/>
        <w:ind w:left="720"/>
        <w:jc w:val="both"/>
        <w:rPr>
          <w:rFonts w:ascii="David" w:hAnsi="David"/>
        </w:rPr>
      </w:pPr>
      <w:r>
        <w:rPr>
          <w:color w:val="000000"/>
          <w:rtl/>
        </w:rPr>
        <w:t xml:space="preserve">נאשמים 1-3 הורשעו, בהתאם להודאתם, </w:t>
      </w:r>
      <w:r>
        <w:rPr>
          <w:rtl/>
        </w:rPr>
        <w:t>במסגרת הסדר טיעון, בעבירות הבאות:  נאשמים 1 ו-2</w:t>
      </w:r>
      <w:r>
        <w:rPr>
          <w:b/>
          <w:bCs/>
          <w:rtl/>
        </w:rPr>
        <w:t xml:space="preserve"> </w:t>
      </w:r>
      <w:r>
        <w:rPr>
          <w:rtl/>
        </w:rPr>
        <w:t>בעבירות של</w:t>
      </w:r>
      <w:r>
        <w:rPr>
          <w:b/>
          <w:bCs/>
          <w:u w:val="single"/>
          <w:rtl/>
        </w:rPr>
        <w:t xml:space="preserve"> </w:t>
      </w:r>
      <w:r>
        <w:rPr>
          <w:u w:val="single"/>
          <w:rtl/>
        </w:rPr>
        <w:t>מעשה טרור של חבלה בכוונה מחמירה</w:t>
      </w:r>
      <w:r>
        <w:rPr>
          <w:rtl/>
        </w:rPr>
        <w:t>,</w:t>
      </w:r>
      <w:r>
        <w:rPr>
          <w:b/>
          <w:bCs/>
          <w:rtl/>
        </w:rPr>
        <w:t xml:space="preserve"> </w:t>
      </w:r>
      <w:r>
        <w:rPr>
          <w:rtl/>
        </w:rPr>
        <w:t xml:space="preserve">לפי </w:t>
      </w:r>
      <w:hyperlink r:id="rId16" w:history="1">
        <w:r w:rsidR="00FC6920" w:rsidRPr="00FC6920">
          <w:rPr>
            <w:rStyle w:val="Hyperlink"/>
            <w:rtl/>
          </w:rPr>
          <w:t>סעיף 329(א)(2)</w:t>
        </w:r>
      </w:hyperlink>
      <w:r>
        <w:rPr>
          <w:rtl/>
        </w:rPr>
        <w:t xml:space="preserve"> ל</w:t>
      </w:r>
      <w:hyperlink r:id="rId17" w:history="1">
        <w:r w:rsidR="00703474" w:rsidRPr="00703474">
          <w:rPr>
            <w:color w:val="0000FF"/>
            <w:u w:val="single"/>
            <w:rtl/>
          </w:rPr>
          <w:t>חוק העונשין</w:t>
        </w:r>
      </w:hyperlink>
      <w:r>
        <w:rPr>
          <w:rtl/>
        </w:rPr>
        <w:t xml:space="preserve">, תשל"ז-1977 (להלן: "החוק") יחד עם </w:t>
      </w:r>
      <w:hyperlink r:id="rId18" w:history="1">
        <w:r w:rsidR="00FC6920" w:rsidRPr="00FC6920">
          <w:rPr>
            <w:rStyle w:val="Hyperlink"/>
            <w:rtl/>
          </w:rPr>
          <w:t>סעיף 37</w:t>
        </w:r>
      </w:hyperlink>
      <w:r>
        <w:rPr>
          <w:rtl/>
        </w:rPr>
        <w:t xml:space="preserve"> ל</w:t>
      </w:r>
      <w:hyperlink r:id="rId19" w:history="1">
        <w:r w:rsidR="00703474" w:rsidRPr="00703474">
          <w:rPr>
            <w:color w:val="0000FF"/>
            <w:u w:val="single"/>
            <w:rtl/>
          </w:rPr>
          <w:t>חוק המאבק בטרור, תשע"ו-2016</w:t>
        </w:r>
      </w:hyperlink>
      <w:r>
        <w:rPr>
          <w:rtl/>
        </w:rPr>
        <w:t xml:space="preserve"> (להלן: "חוק המאבק בטרור")</w:t>
      </w:r>
      <w:r>
        <w:rPr>
          <w:b/>
          <w:bCs/>
          <w:rtl/>
        </w:rPr>
        <w:t xml:space="preserve"> </w:t>
      </w:r>
      <w:r>
        <w:rPr>
          <w:rtl/>
        </w:rPr>
        <w:t>;</w:t>
      </w:r>
      <w:r>
        <w:rPr>
          <w:b/>
          <w:bCs/>
          <w:rtl/>
        </w:rPr>
        <w:t xml:space="preserve"> </w:t>
      </w:r>
      <w:r>
        <w:rPr>
          <w:u w:val="single"/>
          <w:rtl/>
        </w:rPr>
        <w:t>מעשה טרור של הצתה</w:t>
      </w:r>
      <w:r>
        <w:rPr>
          <w:b/>
          <w:bCs/>
          <w:rtl/>
        </w:rPr>
        <w:t xml:space="preserve"> </w:t>
      </w:r>
      <w:r>
        <w:rPr>
          <w:rtl/>
        </w:rPr>
        <w:t xml:space="preserve">לפי </w:t>
      </w:r>
      <w:hyperlink r:id="rId20" w:history="1">
        <w:r w:rsidR="00FC6920" w:rsidRPr="00FC6920">
          <w:rPr>
            <w:rStyle w:val="Hyperlink"/>
            <w:rtl/>
          </w:rPr>
          <w:t>סעיף 448(א)</w:t>
        </w:r>
      </w:hyperlink>
      <w:r>
        <w:rPr>
          <w:rtl/>
        </w:rPr>
        <w:t xml:space="preserve"> סיפא לחוק יחד עם </w:t>
      </w:r>
      <w:hyperlink r:id="rId21" w:history="1">
        <w:r w:rsidR="00FC6920" w:rsidRPr="00FC6920">
          <w:rPr>
            <w:rStyle w:val="Hyperlink"/>
            <w:rtl/>
          </w:rPr>
          <w:t>סעיף 37</w:t>
        </w:r>
      </w:hyperlink>
      <w:r>
        <w:rPr>
          <w:rtl/>
        </w:rPr>
        <w:t xml:space="preserve"> לחוק המאבק בטרור.</w:t>
      </w:r>
      <w:r>
        <w:rPr>
          <w:b/>
          <w:bCs/>
          <w:rtl/>
        </w:rPr>
        <w:t xml:space="preserve"> </w:t>
      </w:r>
      <w:r>
        <w:rPr>
          <w:rtl/>
        </w:rPr>
        <w:t>עוד הורשע נאשם 2</w:t>
      </w:r>
      <w:r>
        <w:rPr>
          <w:b/>
          <w:bCs/>
          <w:rtl/>
        </w:rPr>
        <w:t xml:space="preserve"> </w:t>
      </w:r>
      <w:r>
        <w:rPr>
          <w:rtl/>
        </w:rPr>
        <w:t xml:space="preserve">בעבירת </w:t>
      </w:r>
      <w:r>
        <w:rPr>
          <w:u w:val="single"/>
          <w:rtl/>
        </w:rPr>
        <w:t>החזקת נשק אביזר ותחמושת</w:t>
      </w:r>
      <w:r>
        <w:rPr>
          <w:rtl/>
        </w:rPr>
        <w:t xml:space="preserve"> לפי </w:t>
      </w:r>
      <w:hyperlink r:id="rId22" w:history="1">
        <w:r w:rsidR="00FC6920" w:rsidRPr="00FC6920">
          <w:rPr>
            <w:rStyle w:val="Hyperlink"/>
            <w:rtl/>
          </w:rPr>
          <w:t>סעיף 144(א)</w:t>
        </w:r>
      </w:hyperlink>
      <w:r>
        <w:rPr>
          <w:rtl/>
        </w:rPr>
        <w:t xml:space="preserve"> לחוק ונאשם 1 </w:t>
      </w:r>
      <w:r>
        <w:rPr>
          <w:u w:val="single"/>
          <w:rtl/>
        </w:rPr>
        <w:t>בסיוע להחזקת נשק, אביזר</w:t>
      </w:r>
      <w:r>
        <w:rPr>
          <w:rtl/>
        </w:rPr>
        <w:t xml:space="preserve"> </w:t>
      </w:r>
      <w:r>
        <w:rPr>
          <w:u w:val="single"/>
          <w:rtl/>
        </w:rPr>
        <w:t>ותחמושת</w:t>
      </w:r>
      <w:r>
        <w:rPr>
          <w:rtl/>
        </w:rPr>
        <w:t xml:space="preserve"> לפי </w:t>
      </w:r>
      <w:hyperlink r:id="rId23" w:history="1">
        <w:r w:rsidR="00FC6920" w:rsidRPr="00FC6920">
          <w:rPr>
            <w:rStyle w:val="Hyperlink"/>
            <w:rtl/>
          </w:rPr>
          <w:t>סעיף 144(א)</w:t>
        </w:r>
      </w:hyperlink>
      <w:r>
        <w:rPr>
          <w:rtl/>
        </w:rPr>
        <w:t xml:space="preserve"> יחד עם </w:t>
      </w:r>
      <w:hyperlink r:id="rId24" w:history="1">
        <w:r w:rsidR="00FC6920" w:rsidRPr="00FC6920">
          <w:rPr>
            <w:rStyle w:val="Hyperlink"/>
            <w:rtl/>
          </w:rPr>
          <w:t>סעיף 31</w:t>
        </w:r>
      </w:hyperlink>
      <w:r>
        <w:rPr>
          <w:rtl/>
        </w:rPr>
        <w:t xml:space="preserve"> לחוק. </w:t>
      </w:r>
    </w:p>
    <w:p w14:paraId="11965D4F" w14:textId="77777777" w:rsidR="00532FE9" w:rsidRDefault="00532FE9" w:rsidP="00156B48">
      <w:pPr>
        <w:spacing w:line="360" w:lineRule="auto"/>
        <w:ind w:left="720"/>
        <w:jc w:val="both"/>
        <w:rPr>
          <w:rtl/>
        </w:rPr>
      </w:pPr>
      <w:r>
        <w:rPr>
          <w:rtl/>
        </w:rPr>
        <w:t>נאשם 3 הורשע</w:t>
      </w:r>
      <w:r>
        <w:rPr>
          <w:b/>
          <w:bCs/>
          <w:u w:val="single"/>
          <w:rtl/>
        </w:rPr>
        <w:t xml:space="preserve"> </w:t>
      </w:r>
      <w:r>
        <w:rPr>
          <w:u w:val="single"/>
          <w:rtl/>
        </w:rPr>
        <w:t>בעבירות של סיוע למעשה טרור של חבלה בכוונה מחמירה</w:t>
      </w:r>
      <w:r>
        <w:rPr>
          <w:rtl/>
        </w:rPr>
        <w:t xml:space="preserve"> לפי </w:t>
      </w:r>
      <w:hyperlink r:id="rId25" w:history="1">
        <w:r w:rsidR="00FC6920" w:rsidRPr="00FC6920">
          <w:rPr>
            <w:rStyle w:val="Hyperlink"/>
            <w:rtl/>
          </w:rPr>
          <w:t>סעיף 329(א)(2)</w:t>
        </w:r>
      </w:hyperlink>
      <w:r>
        <w:rPr>
          <w:rtl/>
        </w:rPr>
        <w:t xml:space="preserve"> יחד עם </w:t>
      </w:r>
      <w:hyperlink r:id="rId26" w:history="1">
        <w:r w:rsidR="00FC6920" w:rsidRPr="00FC6920">
          <w:rPr>
            <w:rStyle w:val="Hyperlink"/>
            <w:rtl/>
          </w:rPr>
          <w:t>סעיף 31</w:t>
        </w:r>
      </w:hyperlink>
      <w:r>
        <w:rPr>
          <w:rtl/>
        </w:rPr>
        <w:t xml:space="preserve"> לחוק </w:t>
      </w:r>
      <w:hyperlink r:id="rId27" w:history="1">
        <w:r w:rsidR="00FC6920" w:rsidRPr="00FC6920">
          <w:rPr>
            <w:rStyle w:val="Hyperlink"/>
            <w:rtl/>
          </w:rPr>
          <w:t>וסעיף 37</w:t>
        </w:r>
      </w:hyperlink>
      <w:r>
        <w:rPr>
          <w:rtl/>
        </w:rPr>
        <w:t xml:space="preserve"> לחוק המאבק בטרור ו</w:t>
      </w:r>
      <w:r>
        <w:rPr>
          <w:u w:val="single"/>
          <w:rtl/>
        </w:rPr>
        <w:t>סיוע למעשה טרור של הצתה</w:t>
      </w:r>
      <w:r>
        <w:rPr>
          <w:rtl/>
        </w:rPr>
        <w:t xml:space="preserve"> לפי </w:t>
      </w:r>
      <w:hyperlink r:id="rId28" w:history="1">
        <w:r w:rsidR="00FC6920" w:rsidRPr="00FC6920">
          <w:rPr>
            <w:rStyle w:val="Hyperlink"/>
            <w:rtl/>
          </w:rPr>
          <w:t>סעיף 448(א)</w:t>
        </w:r>
      </w:hyperlink>
      <w:r>
        <w:rPr>
          <w:rtl/>
        </w:rPr>
        <w:t xml:space="preserve"> סיפא יחד עם </w:t>
      </w:r>
      <w:hyperlink r:id="rId29" w:history="1">
        <w:r w:rsidR="00FC6920" w:rsidRPr="00FC6920">
          <w:rPr>
            <w:rStyle w:val="Hyperlink"/>
            <w:rtl/>
          </w:rPr>
          <w:t>סעיף 31</w:t>
        </w:r>
      </w:hyperlink>
      <w:r>
        <w:rPr>
          <w:rtl/>
        </w:rPr>
        <w:t xml:space="preserve"> לחוק </w:t>
      </w:r>
      <w:hyperlink r:id="rId30" w:history="1">
        <w:r w:rsidR="00FC6920" w:rsidRPr="00FC6920">
          <w:rPr>
            <w:rStyle w:val="Hyperlink"/>
            <w:rtl/>
          </w:rPr>
          <w:t>וסעיף 37</w:t>
        </w:r>
      </w:hyperlink>
      <w:r>
        <w:rPr>
          <w:rtl/>
        </w:rPr>
        <w:t xml:space="preserve"> לחוק המאבק בטרור, וכן בעבירות של </w:t>
      </w:r>
      <w:r>
        <w:rPr>
          <w:u w:val="single"/>
          <w:rtl/>
        </w:rPr>
        <w:t>הפרעה לשוטר בנסיבות מחמירות</w:t>
      </w:r>
      <w:r>
        <w:rPr>
          <w:rtl/>
        </w:rPr>
        <w:t xml:space="preserve"> לפי </w:t>
      </w:r>
      <w:hyperlink r:id="rId31" w:history="1">
        <w:r w:rsidR="00FC6920" w:rsidRPr="00FC6920">
          <w:rPr>
            <w:rStyle w:val="Hyperlink"/>
            <w:rtl/>
          </w:rPr>
          <w:t>סעיף 275א</w:t>
        </w:r>
      </w:hyperlink>
      <w:r>
        <w:rPr>
          <w:rtl/>
        </w:rPr>
        <w:t xml:space="preserve"> לחוק ו</w:t>
      </w:r>
      <w:r>
        <w:rPr>
          <w:u w:val="single"/>
          <w:rtl/>
        </w:rPr>
        <w:t xml:space="preserve">התפרעות </w:t>
      </w:r>
      <w:r>
        <w:rPr>
          <w:rtl/>
        </w:rPr>
        <w:t xml:space="preserve">לפי </w:t>
      </w:r>
      <w:hyperlink r:id="rId32" w:history="1">
        <w:r w:rsidR="00FC6920" w:rsidRPr="00FC6920">
          <w:rPr>
            <w:rStyle w:val="Hyperlink"/>
            <w:rtl/>
          </w:rPr>
          <w:t>סעיף 152</w:t>
        </w:r>
      </w:hyperlink>
      <w:r>
        <w:rPr>
          <w:rtl/>
        </w:rPr>
        <w:t xml:space="preserve"> לחוק.  </w:t>
      </w:r>
    </w:p>
    <w:p w14:paraId="5086683B" w14:textId="77777777" w:rsidR="00532FE9" w:rsidRDefault="00532FE9" w:rsidP="00156B48">
      <w:pPr>
        <w:spacing w:line="360" w:lineRule="auto"/>
        <w:ind w:left="1080"/>
        <w:contextualSpacing/>
        <w:jc w:val="both"/>
        <w:rPr>
          <w:rFonts w:ascii="David" w:hAnsi="David"/>
        </w:rPr>
      </w:pPr>
    </w:p>
    <w:p w14:paraId="4F5972AE" w14:textId="77777777" w:rsidR="00532FE9" w:rsidRDefault="00532FE9" w:rsidP="00156B48">
      <w:pPr>
        <w:pStyle w:val="ac"/>
        <w:numPr>
          <w:ilvl w:val="0"/>
          <w:numId w:val="3"/>
        </w:numPr>
        <w:spacing w:line="360" w:lineRule="auto"/>
        <w:jc w:val="both"/>
        <w:rPr>
          <w:rtl/>
        </w:rPr>
      </w:pPr>
      <w:r>
        <w:rPr>
          <w:rtl/>
        </w:rPr>
        <w:t xml:space="preserve">כמפורט בחלק הכללי לכתב האישום המתוקן, החל מתאריך 10.5.21 החל מבצע צבאי של צבא ההגנה לישראל המכונה "שומר חומות". בד בבד החלו הפרות סדר רחבות בכל רחבי הארץ, לרבות בעיר לוד, בה התרחשו אירועים רבים של אלימות בין יהודים, ערבים וכוחות הביטחון על רקע לאומני וגזעני, בין היתר באמצעות התפרעויות, השלכת בקבוקי תבערה, ירי זיקוקים, חסימת כבישים וזריקות אבנים לעבר אזרחים וכוחות הביטחון. ביום 10.5.21, במסגרת המהומות, נורה למוות מוסא חסונה ז"ל (להלן: "מות חסונה"). </w:t>
      </w:r>
    </w:p>
    <w:p w14:paraId="35914F7C" w14:textId="77777777" w:rsidR="00532FE9" w:rsidRDefault="00532FE9" w:rsidP="00156B48">
      <w:pPr>
        <w:pStyle w:val="ac"/>
      </w:pPr>
    </w:p>
    <w:p w14:paraId="22A30C75" w14:textId="77777777" w:rsidR="00532FE9" w:rsidRDefault="00532FE9" w:rsidP="00156B48">
      <w:pPr>
        <w:pStyle w:val="ac"/>
        <w:spacing w:line="360" w:lineRule="auto"/>
        <w:ind w:left="786"/>
        <w:jc w:val="both"/>
        <w:rPr>
          <w:rtl/>
        </w:rPr>
      </w:pPr>
      <w:r>
        <w:rPr>
          <w:u w:val="single"/>
          <w:rtl/>
        </w:rPr>
        <w:t xml:space="preserve">על פי עובדות האישום השני </w:t>
      </w:r>
      <w:r>
        <w:rPr>
          <w:rtl/>
        </w:rPr>
        <w:t xml:space="preserve">המיוחס לנאשמים 1-4 ו-6-8, הנאשמים 1-3 הם קרובי משפחה. ביום 13.5.21, או סמוך לכך, נפגש </w:t>
      </w:r>
      <w:r>
        <w:rPr>
          <w:b/>
          <w:bCs/>
          <w:rtl/>
        </w:rPr>
        <w:t>נאשם 1</w:t>
      </w:r>
      <w:r>
        <w:rPr>
          <w:rtl/>
        </w:rPr>
        <w:t xml:space="preserve"> בביתו עם הנאשמים 6, 7 ו-8. במהלך המפגש הציע נאשם 7 לנוכחים להשליך בקבוקי תבערה אל עבר בניין בו מתגוררים יהודים בשכונת חב"ד בעיר לוד, על רקע מהומות 'שומר חומות' ומות חסונה. </w:t>
      </w:r>
      <w:r>
        <w:rPr>
          <w:b/>
          <w:bCs/>
          <w:rtl/>
        </w:rPr>
        <w:t>הנאשמים</w:t>
      </w:r>
      <w:r>
        <w:rPr>
          <w:rtl/>
        </w:rPr>
        <w:t xml:space="preserve"> </w:t>
      </w:r>
      <w:r>
        <w:rPr>
          <w:b/>
          <w:bCs/>
          <w:rtl/>
        </w:rPr>
        <w:t>1</w:t>
      </w:r>
      <w:r>
        <w:rPr>
          <w:rtl/>
        </w:rPr>
        <w:t xml:space="preserve">, 6 ו-8 הסכימו להצעתו של הנאשם 7, והארבעה סיכמו שיבצעו את תכניתם בהמשך אותו הלילה. בהמשך, בשעות הערב, </w:t>
      </w:r>
      <w:r>
        <w:rPr>
          <w:b/>
          <w:bCs/>
          <w:rtl/>
        </w:rPr>
        <w:t>נסע נאשם 1</w:t>
      </w:r>
      <w:r>
        <w:rPr>
          <w:rtl/>
        </w:rPr>
        <w:t xml:space="preserve"> עם נאשמים 6 ו-7 ברכבו של נאשם 6, וביצעו סיור הכנה בזירה בה תכננו לבצע את הפיגוע בהמשך הלילה. </w:t>
      </w:r>
      <w:r>
        <w:rPr>
          <w:b/>
          <w:bCs/>
          <w:rtl/>
        </w:rPr>
        <w:t>נאשמים</w:t>
      </w:r>
      <w:r>
        <w:rPr>
          <w:rtl/>
        </w:rPr>
        <w:t xml:space="preserve"> </w:t>
      </w:r>
      <w:r>
        <w:rPr>
          <w:b/>
          <w:bCs/>
          <w:rtl/>
        </w:rPr>
        <w:t>1</w:t>
      </w:r>
      <w:r>
        <w:rPr>
          <w:rtl/>
        </w:rPr>
        <w:t xml:space="preserve">, 6 ו-7 הגיעו לשכונת חב"ד בלוד, בחרו את הבניין שלעברו ישליכו את בקבוקי התבערה וחילקו ביניהם את התפקידים, כך </w:t>
      </w:r>
      <w:r>
        <w:rPr>
          <w:b/>
          <w:bCs/>
          <w:rtl/>
        </w:rPr>
        <w:t>שנאשמים</w:t>
      </w:r>
      <w:r>
        <w:rPr>
          <w:rtl/>
        </w:rPr>
        <w:t xml:space="preserve"> </w:t>
      </w:r>
      <w:r>
        <w:rPr>
          <w:b/>
          <w:bCs/>
          <w:rtl/>
        </w:rPr>
        <w:t>1</w:t>
      </w:r>
      <w:r>
        <w:rPr>
          <w:rtl/>
        </w:rPr>
        <w:t xml:space="preserve"> ו-7 ישליכו את בקבוקי התבערה לעבר הבניין ונאשם 6 יתצפת ויזהיר את שותפיו מפני הגעת כוחות משטרה לזירה. עוד תכננו הנאשמים את דרך הגעתם לזירה ואת דרך המילוט. חרף התכנון, לא ביצעו את תוכניתם באותו הלילה. </w:t>
      </w:r>
    </w:p>
    <w:p w14:paraId="6421B81F" w14:textId="77777777" w:rsidR="00532FE9" w:rsidRDefault="00532FE9" w:rsidP="00156B48">
      <w:pPr>
        <w:pStyle w:val="ac"/>
        <w:spacing w:line="360" w:lineRule="auto"/>
        <w:ind w:left="786"/>
        <w:jc w:val="both"/>
        <w:rPr>
          <w:rtl/>
        </w:rPr>
      </w:pPr>
    </w:p>
    <w:p w14:paraId="7CA1725F" w14:textId="77777777" w:rsidR="00532FE9" w:rsidRDefault="00532FE9" w:rsidP="00156B48">
      <w:pPr>
        <w:pStyle w:val="ac"/>
        <w:spacing w:line="360" w:lineRule="auto"/>
        <w:ind w:left="786"/>
        <w:jc w:val="both"/>
        <w:rPr>
          <w:rtl/>
        </w:rPr>
      </w:pPr>
      <w:r>
        <w:rPr>
          <w:rtl/>
        </w:rPr>
        <w:lastRenderedPageBreak/>
        <w:t xml:space="preserve">ביום 16.5.21, </w:t>
      </w:r>
      <w:r>
        <w:rPr>
          <w:b/>
          <w:bCs/>
          <w:rtl/>
        </w:rPr>
        <w:t>נפגשו נאשמים 1-3,</w:t>
      </w:r>
      <w:r>
        <w:rPr>
          <w:rtl/>
        </w:rPr>
        <w:t xml:space="preserve"> 4, 6-8 ושוחחו על רצונם לפגוע ביהודים בלוד. בהמשך, קשרו נאשמים 1 ו-2 קשר לביצוע פיגוע נגד יהודים בלוד, במסגרתו ישליכו בקבוקי תבערה בשעת לילה מאוחרת לעבר בניין מגורים בשכונת חב"ד בלוד בו מתגוררים יהודים. מספר ימים לאחר מכן </w:t>
      </w:r>
      <w:r>
        <w:rPr>
          <w:b/>
          <w:bCs/>
          <w:rtl/>
        </w:rPr>
        <w:t>פנו נאשמים 1 ו-2 לנאשם 3</w:t>
      </w:r>
      <w:r>
        <w:rPr>
          <w:rtl/>
        </w:rPr>
        <w:t xml:space="preserve"> והציעו לו לסייע להם ולשמש כתצפיתן במהלך הפיגוע. נאשם 3 השיב בחיוב והשלושה סיכמו כי תפקידו יהיה להתמקם על גשר שנמצא בסמוך לשכונת חב"ד בלוד, ולהזהיר את </w:t>
      </w:r>
      <w:r>
        <w:rPr>
          <w:b/>
          <w:bCs/>
          <w:rtl/>
        </w:rPr>
        <w:t>הנאשמים 1 ו-2</w:t>
      </w:r>
      <w:r>
        <w:rPr>
          <w:rtl/>
        </w:rPr>
        <w:t xml:space="preserve">, באמצעות מכשירי קשר, בדבר הגעת כוחות משטרה לאזור. לצורך קידום התכנית ביצעו </w:t>
      </w:r>
      <w:r>
        <w:rPr>
          <w:b/>
          <w:bCs/>
          <w:rtl/>
        </w:rPr>
        <w:t>הנאשמים 1-3</w:t>
      </w:r>
      <w:r>
        <w:rPr>
          <w:rtl/>
        </w:rPr>
        <w:t xml:space="preserve"> מספר סיורי שטח בזירת הפיגוע המתוכנן, בחנו לאיזה בניין מגורים ישליכו את בקבוקי התבערה וסיכמו על נתיבי הגעה ומילוט: </w:t>
      </w:r>
      <w:r>
        <w:rPr>
          <w:b/>
          <w:bCs/>
          <w:rtl/>
        </w:rPr>
        <w:t>בסיור הראשון השתתפו הנאשמים 1 ו-2</w:t>
      </w:r>
      <w:r>
        <w:rPr>
          <w:rtl/>
        </w:rPr>
        <w:t xml:space="preserve">, בסיור השני השתתפו </w:t>
      </w:r>
      <w:r>
        <w:rPr>
          <w:b/>
          <w:bCs/>
          <w:rtl/>
        </w:rPr>
        <w:t>הנאשמים 1, 2</w:t>
      </w:r>
      <w:r>
        <w:rPr>
          <w:rtl/>
        </w:rPr>
        <w:t xml:space="preserve"> ו-6, </w:t>
      </w:r>
      <w:r>
        <w:rPr>
          <w:b/>
          <w:bCs/>
          <w:rtl/>
        </w:rPr>
        <w:t>בסיור השלישי השתתפו הנאשמים 2 ו-3,</w:t>
      </w:r>
      <w:r>
        <w:rPr>
          <w:rtl/>
        </w:rPr>
        <w:t xml:space="preserve"> </w:t>
      </w:r>
      <w:r>
        <w:rPr>
          <w:b/>
          <w:bCs/>
          <w:rtl/>
        </w:rPr>
        <w:t>בסיור הרביעי השתתפו הנאשמים 1 ו-2.</w:t>
      </w:r>
      <w:r>
        <w:rPr>
          <w:rtl/>
        </w:rPr>
        <w:t xml:space="preserve"> בימים הסמוכים נפגשו </w:t>
      </w:r>
      <w:r>
        <w:rPr>
          <w:b/>
          <w:bCs/>
          <w:rtl/>
        </w:rPr>
        <w:t xml:space="preserve">הנאשמים 1-2 </w:t>
      </w:r>
      <w:r>
        <w:rPr>
          <w:rtl/>
        </w:rPr>
        <w:t xml:space="preserve">עם הנאשמים 3,4,6-8 במספר מועדים ועדכנו אותם על תכנית הפיגוע. </w:t>
      </w:r>
      <w:r>
        <w:rPr>
          <w:b/>
          <w:bCs/>
          <w:rtl/>
        </w:rPr>
        <w:t xml:space="preserve">במסגרת הקשר הצטיידו נאשמים 1-3 </w:t>
      </w:r>
      <w:r>
        <w:rPr>
          <w:rtl/>
        </w:rPr>
        <w:t xml:space="preserve">בכלי עזר וחפצים שונים: אופניים חשמליים שאותם רכש </w:t>
      </w:r>
      <w:r>
        <w:rPr>
          <w:b/>
          <w:bCs/>
          <w:rtl/>
        </w:rPr>
        <w:t xml:space="preserve">הנאשם 2 </w:t>
      </w:r>
      <w:r>
        <w:rPr>
          <w:rtl/>
        </w:rPr>
        <w:t xml:space="preserve">לקראת הפיגוע, </w:t>
      </w:r>
      <w:r>
        <w:rPr>
          <w:b/>
          <w:bCs/>
          <w:rtl/>
        </w:rPr>
        <w:t>הנאשמים 1</w:t>
      </w:r>
      <w:r>
        <w:rPr>
          <w:rtl/>
        </w:rPr>
        <w:t xml:space="preserve"> ו-6 הביאו את האופניים מהחנות בה נקנו על ידי </w:t>
      </w:r>
      <w:r>
        <w:rPr>
          <w:b/>
          <w:bCs/>
          <w:rtl/>
        </w:rPr>
        <w:t>הנאשם 2</w:t>
      </w:r>
      <w:r>
        <w:rPr>
          <w:rtl/>
        </w:rPr>
        <w:t xml:space="preserve"> והחנו אותם בביתו של </w:t>
      </w:r>
      <w:r>
        <w:rPr>
          <w:b/>
          <w:bCs/>
          <w:rtl/>
        </w:rPr>
        <w:t>נאשם 1</w:t>
      </w:r>
      <w:r>
        <w:rPr>
          <w:rtl/>
        </w:rPr>
        <w:t xml:space="preserve">; שישה בקבוקי תבערה שאותם קיבל </w:t>
      </w:r>
      <w:r>
        <w:rPr>
          <w:b/>
          <w:bCs/>
          <w:rtl/>
        </w:rPr>
        <w:t xml:space="preserve">הנאשם 1 </w:t>
      </w:r>
      <w:r>
        <w:rPr>
          <w:rtl/>
        </w:rPr>
        <w:t xml:space="preserve">לבקשתו מנאשם 4; שני מכשירי קשר שאותם קיבלו </w:t>
      </w:r>
      <w:r>
        <w:rPr>
          <w:b/>
          <w:bCs/>
          <w:rtl/>
        </w:rPr>
        <w:t>הנאשמים 1-2</w:t>
      </w:r>
      <w:r>
        <w:rPr>
          <w:rtl/>
        </w:rPr>
        <w:t xml:space="preserve"> מנאשם 8. </w:t>
      </w:r>
    </w:p>
    <w:p w14:paraId="58ADA30B" w14:textId="77777777" w:rsidR="00532FE9" w:rsidRDefault="00532FE9" w:rsidP="00156B48">
      <w:pPr>
        <w:pStyle w:val="ac"/>
        <w:spacing w:line="360" w:lineRule="auto"/>
        <w:ind w:left="786"/>
        <w:jc w:val="both"/>
        <w:rPr>
          <w:rtl/>
        </w:rPr>
      </w:pPr>
    </w:p>
    <w:p w14:paraId="1854B2A4" w14:textId="77777777" w:rsidR="00532FE9" w:rsidRDefault="00532FE9" w:rsidP="00156B48">
      <w:pPr>
        <w:pStyle w:val="ac"/>
        <w:spacing w:line="360" w:lineRule="auto"/>
        <w:ind w:left="786"/>
        <w:jc w:val="both"/>
        <w:rPr>
          <w:rtl/>
        </w:rPr>
      </w:pPr>
      <w:r>
        <w:rPr>
          <w:b/>
          <w:bCs/>
          <w:rtl/>
        </w:rPr>
        <w:t>ביום 28.5.21 הוציאו נאשמים 1-3 בצוותא את תכנית הפיגוע אל הפועל</w:t>
      </w:r>
      <w:r>
        <w:rPr>
          <w:rtl/>
        </w:rPr>
        <w:t xml:space="preserve">: ביום 27.5.21 בשעת ערב מאוחרת, נפגשו נאשמים 1-2 בבית, הוסיפו בנזין לששת בקבוקי התבערה שהביא עמו הנאשם 1, וקשרו חמישה מהם יחדיו. בשלב מסוים בערב הגיע הנאשם 3 למקום המפגש, נאשמים 1-2 ציידו אותו באחד ממכשירי הקשר לצורך תפקידו כתצפיתן. הנאשמים עטפו את פנס האופניים, שעון האופניים וכתוביות שהיו מודפסות על האופניים, הכל לצורך הסוואה. בהמשך, בסמוך לשעת חצות, הסיע נאשם 1 את נאשם 3 על האופניים לכיוון שכונת חב"ד, והאחרון התמקם על גשר סמוך. נאשם 1 שב עם האופניים לבית, שם פגש את נאשם 2 שהמתין לו, השניים הצטיידו בששת בקבוקי התבערה, במכשיר חיתוך, מכשיר קשר, בכפפות לידיים ובמכשיר הדלקת אש, יחדיו רכבו לעבר שכונת חב"ד לביצוע הפיגוע. </w:t>
      </w:r>
    </w:p>
    <w:p w14:paraId="045608A9" w14:textId="77777777" w:rsidR="00532FE9" w:rsidRDefault="00532FE9" w:rsidP="004E6C42">
      <w:pPr>
        <w:pStyle w:val="ac"/>
        <w:spacing w:line="360" w:lineRule="auto"/>
        <w:ind w:left="786"/>
        <w:jc w:val="both"/>
        <w:rPr>
          <w:b/>
          <w:bCs/>
          <w:rtl/>
        </w:rPr>
      </w:pPr>
      <w:r>
        <w:rPr>
          <w:rtl/>
        </w:rPr>
        <w:t xml:space="preserve">נאשמים 1-2 הגיעו בסמוך לגדר הסמוכה לשכונה וחתכו פתח בגדר כדי להקל על מנוסתם, והמשיכו בדרכם עד לבניין מגורים ברחוב בעל התניא 6 בלוד, ווידאו עם נאשם 3 באמצעות מכשירי הקשר שאין כוחות שיטור באזור, </w:t>
      </w:r>
      <w:r>
        <w:rPr>
          <w:b/>
          <w:bCs/>
          <w:rtl/>
        </w:rPr>
        <w:t>ואז בשעה 00:30 הבעיר הנאשם 1 אש בששת בקבוקי התבערה. נאשם 1 זרק בקבוק תבערה אחד לעבר פתחי הדירות בבניין המגורים בהן שהו אותה עת אנשים, ונאשם 2 זרק את חמשת בקבוקי התבערה הנוספים שחוברו יחדיו, לעבר מרפסות וחלונות של דירות מגורים בהן שהו אותה עת אנשים</w:t>
      </w:r>
      <w:r>
        <w:rPr>
          <w:rtl/>
        </w:rPr>
        <w:t xml:space="preserve">. </w:t>
      </w:r>
      <w:r>
        <w:rPr>
          <w:b/>
          <w:bCs/>
          <w:rtl/>
        </w:rPr>
        <w:t>בקבוקי התבערה התנפצו על בניין המגורים והחלה שריפה בבניין.</w:t>
      </w:r>
      <w:r>
        <w:rPr>
          <w:rtl/>
        </w:rPr>
        <w:t xml:space="preserve"> הנאשמים 1-2 נמלטו מהמקום באמצעות האופניים, דרך הפתח בגדר, במהלך מנוסתם יצר קשר נאשם 2 עם נאשם 3 באמצעות מכשירי הקשר ושאל האם זיהה כוחות שיטור, אך האחרון לא השיב. כתוצאה מהשריפה נכנס עשן למספר דירות ונגרם נזק לרכוש. דיירי הבניין נמלטו מדירותיהם וכיבו את השריפה בסיועו של עובר אורח שהגיע למקום באקראי. </w:t>
      </w:r>
      <w:r>
        <w:rPr>
          <w:b/>
          <w:bCs/>
          <w:rtl/>
        </w:rPr>
        <w:t xml:space="preserve">בגין מעשיהם אלו הורשעו הנאשמים 1 ו-2 בעבירות של מעשה טרור של חבלה בכוונה מחמירה ומעשה טרור של הצתה ונאשם 3 הורשע בסיוע למעשיהם.  </w:t>
      </w:r>
    </w:p>
    <w:p w14:paraId="7396EF04" w14:textId="77777777" w:rsidR="00532FE9" w:rsidRDefault="00532FE9" w:rsidP="00156B48">
      <w:pPr>
        <w:pStyle w:val="ac"/>
      </w:pPr>
    </w:p>
    <w:p w14:paraId="005C726E" w14:textId="77777777" w:rsidR="00532FE9" w:rsidRDefault="00532FE9" w:rsidP="00156B48">
      <w:pPr>
        <w:pStyle w:val="ac"/>
        <w:spacing w:line="360" w:lineRule="auto"/>
        <w:ind w:left="786"/>
        <w:jc w:val="both"/>
        <w:rPr>
          <w:rtl/>
        </w:rPr>
      </w:pPr>
    </w:p>
    <w:p w14:paraId="759E90BE" w14:textId="77777777" w:rsidR="00532FE9" w:rsidRDefault="00532FE9" w:rsidP="00156B48">
      <w:pPr>
        <w:spacing w:line="360" w:lineRule="auto"/>
        <w:ind w:left="720"/>
        <w:jc w:val="both"/>
        <w:rPr>
          <w:rtl/>
        </w:rPr>
      </w:pPr>
      <w:r>
        <w:rPr>
          <w:u w:val="single"/>
          <w:rtl/>
        </w:rPr>
        <w:t>על פי עובדות האישום השלישי (</w:t>
      </w:r>
      <w:r>
        <w:rPr>
          <w:b/>
          <w:bCs/>
          <w:u w:val="single"/>
          <w:rtl/>
        </w:rPr>
        <w:t>נאשמים 1-2 בלבד)</w:t>
      </w:r>
      <w:r>
        <w:rPr>
          <w:b/>
          <w:bCs/>
          <w:rtl/>
        </w:rPr>
        <w:t>,</w:t>
      </w:r>
      <w:r>
        <w:rPr>
          <w:rtl/>
        </w:rPr>
        <w:t xml:space="preserve"> ביום 6.7.21 החזיק נאשם 2 במקום מסתור בבית סבו, בסיועו של נאשם 1, אקדח חצי אוטומטי, מחסנית תואמת וארבעה עשר כדורי תחמושת מתאימים. </w:t>
      </w:r>
      <w:r>
        <w:rPr>
          <w:b/>
          <w:bCs/>
          <w:rtl/>
        </w:rPr>
        <w:t xml:space="preserve">בגין מעשיהם אלו הורשע נאשם 2 בעבירת החזקת נשק אביזר ותחמושת ונאשם 2 בכך שסייע בידו. </w:t>
      </w:r>
    </w:p>
    <w:p w14:paraId="5F23BE5C" w14:textId="77777777" w:rsidR="00532FE9" w:rsidRDefault="00532FE9" w:rsidP="00156B48">
      <w:pPr>
        <w:pStyle w:val="ac"/>
        <w:spacing w:line="360" w:lineRule="auto"/>
        <w:ind w:left="1800"/>
        <w:jc w:val="both"/>
        <w:rPr>
          <w:rtl/>
        </w:rPr>
      </w:pPr>
    </w:p>
    <w:p w14:paraId="794AC8E1" w14:textId="77777777" w:rsidR="00532FE9" w:rsidRDefault="00532FE9" w:rsidP="00156B48">
      <w:pPr>
        <w:spacing w:line="360" w:lineRule="auto"/>
        <w:ind w:left="720"/>
        <w:jc w:val="both"/>
        <w:rPr>
          <w:rtl/>
        </w:rPr>
      </w:pPr>
      <w:r>
        <w:rPr>
          <w:u w:val="single"/>
          <w:rtl/>
        </w:rPr>
        <w:t>על פי עובדות האישום החמישי (</w:t>
      </w:r>
      <w:r>
        <w:rPr>
          <w:b/>
          <w:bCs/>
          <w:u w:val="single"/>
          <w:rtl/>
        </w:rPr>
        <w:t>נאשם 3 בלבד)</w:t>
      </w:r>
      <w:r>
        <w:rPr>
          <w:b/>
          <w:bCs/>
          <w:rtl/>
        </w:rPr>
        <w:t>,</w:t>
      </w:r>
      <w:r>
        <w:rPr>
          <w:rtl/>
        </w:rPr>
        <w:t xml:space="preserve"> ביום 11.5.21 בשעות הערב, נטל הנאשם 3 חלק בהתפרעות שהתקיימה בסמוך לתחנת המשטרה בעיר לוד, ויידה ארבע אבנים לעבר כוחות ותחנת המשטרה, ממרחק שאינו ידוע. </w:t>
      </w:r>
      <w:r>
        <w:rPr>
          <w:b/>
          <w:bCs/>
          <w:rtl/>
        </w:rPr>
        <w:t xml:space="preserve">בגין מעשיו אלו הורשע בעבירות של הפרעה לשוטר בנסיבות מחמירות והתפרעות. </w:t>
      </w:r>
    </w:p>
    <w:p w14:paraId="45094A70" w14:textId="77777777" w:rsidR="00532FE9" w:rsidRDefault="00532FE9" w:rsidP="00156B48">
      <w:pPr>
        <w:spacing w:line="360" w:lineRule="auto"/>
        <w:ind w:left="720"/>
        <w:jc w:val="both"/>
        <w:rPr>
          <w:rtl/>
        </w:rPr>
      </w:pPr>
    </w:p>
    <w:p w14:paraId="10797758" w14:textId="77777777" w:rsidR="00532FE9" w:rsidRDefault="00532FE9" w:rsidP="00156B48">
      <w:pPr>
        <w:pStyle w:val="ac"/>
        <w:numPr>
          <w:ilvl w:val="0"/>
          <w:numId w:val="3"/>
        </w:numPr>
        <w:spacing w:line="360" w:lineRule="auto"/>
        <w:jc w:val="both"/>
        <w:rPr>
          <w:rtl/>
        </w:rPr>
      </w:pPr>
      <w:r>
        <w:rPr>
          <w:rtl/>
        </w:rPr>
        <w:t xml:space="preserve">הצדדים הגיעו להסדר טיעון: </w:t>
      </w:r>
      <w:r>
        <w:rPr>
          <w:u w:val="single"/>
          <w:rtl/>
        </w:rPr>
        <w:t>אשר לנאשם 1</w:t>
      </w:r>
      <w:r>
        <w:rPr>
          <w:rtl/>
        </w:rPr>
        <w:t xml:space="preserve">, קטין, עתרו במשותף לגזור עליו מאסר בן 36 חודשי מאסר וענישה נלווית; </w:t>
      </w:r>
      <w:r>
        <w:rPr>
          <w:u w:val="single"/>
          <w:rtl/>
        </w:rPr>
        <w:t>אשר לנאשם 2,</w:t>
      </w:r>
      <w:r>
        <w:rPr>
          <w:rtl/>
        </w:rPr>
        <w:t xml:space="preserve"> עתרו הצדדים לעונש מאסר מוסכם בן 4 שנות מאסר וענישה נלווית הכוללת פיצוי משמעותי וקנס; </w:t>
      </w:r>
      <w:r>
        <w:rPr>
          <w:u w:val="single"/>
          <w:rtl/>
        </w:rPr>
        <w:t>אשר לנאשם 3</w:t>
      </w:r>
      <w:r>
        <w:rPr>
          <w:rtl/>
        </w:rPr>
        <w:t xml:space="preserve">, המאשימה טענה לעונש ראוי בן 30 חודשי מאסר, כשההגנה חופשית בטיעוניה. </w:t>
      </w:r>
    </w:p>
    <w:p w14:paraId="1EE4177A" w14:textId="77777777" w:rsidR="00532FE9" w:rsidRDefault="00532FE9" w:rsidP="00156B48">
      <w:pPr>
        <w:pStyle w:val="ac"/>
        <w:spacing w:line="360" w:lineRule="auto"/>
        <w:ind w:left="786"/>
        <w:jc w:val="both"/>
      </w:pPr>
    </w:p>
    <w:p w14:paraId="2F65791D" w14:textId="77777777" w:rsidR="00532FE9" w:rsidRDefault="00532FE9" w:rsidP="00156B48">
      <w:pPr>
        <w:pStyle w:val="ac"/>
        <w:spacing w:line="360" w:lineRule="auto"/>
        <w:ind w:left="786"/>
        <w:jc w:val="both"/>
        <w:rPr>
          <w:rtl/>
        </w:rPr>
      </w:pPr>
      <w:r>
        <w:rPr>
          <w:rtl/>
        </w:rPr>
        <w:t xml:space="preserve">לצורך השלמת התמונה יצוין כי </w:t>
      </w:r>
      <w:r>
        <w:rPr>
          <w:b/>
          <w:bCs/>
          <w:rtl/>
        </w:rPr>
        <w:t>נאשם 4,</w:t>
      </w:r>
      <w:r>
        <w:rPr>
          <w:rtl/>
        </w:rPr>
        <w:t xml:space="preserve"> שהורשע בעבירת ייצור נשק וקשירת קשר למעשה טרור מסוג פשע, נדון למאסר בן 20 חודשים; </w:t>
      </w:r>
      <w:r>
        <w:rPr>
          <w:b/>
          <w:bCs/>
          <w:rtl/>
        </w:rPr>
        <w:t>נאשם 5</w:t>
      </w:r>
      <w:r>
        <w:rPr>
          <w:rtl/>
        </w:rPr>
        <w:t xml:space="preserve"> הורשע בעבירת ייצור נשק, נדון למאסר בן 12 חודשים </w:t>
      </w:r>
      <w:r>
        <w:rPr>
          <w:b/>
          <w:bCs/>
          <w:rtl/>
        </w:rPr>
        <w:t>ונאשם 6</w:t>
      </w:r>
      <w:r>
        <w:rPr>
          <w:rtl/>
        </w:rPr>
        <w:t xml:space="preserve"> שהורשע בעבירות סיוע לייצור נשק והכנה לביצוע מעשה טרור, נדון למאסר בן 20 חודשים. נאשמים 7 ו-8 (קטין) ממתינים לגזר דין.  </w:t>
      </w:r>
    </w:p>
    <w:p w14:paraId="62E4268C" w14:textId="77777777" w:rsidR="00532FE9" w:rsidRDefault="00532FE9" w:rsidP="00156B48">
      <w:pPr>
        <w:pStyle w:val="ac"/>
      </w:pPr>
    </w:p>
    <w:p w14:paraId="65A7C0F8" w14:textId="77777777" w:rsidR="00532FE9" w:rsidRDefault="00532FE9" w:rsidP="00156B48">
      <w:pPr>
        <w:spacing w:line="360" w:lineRule="auto"/>
        <w:ind w:left="1080"/>
        <w:contextualSpacing/>
        <w:jc w:val="both"/>
        <w:rPr>
          <w:rtl/>
        </w:rPr>
      </w:pPr>
    </w:p>
    <w:p w14:paraId="6FA2CA73" w14:textId="77777777" w:rsidR="00532FE9" w:rsidRDefault="00532FE9" w:rsidP="00156B48">
      <w:pPr>
        <w:spacing w:line="360" w:lineRule="auto"/>
        <w:jc w:val="both"/>
        <w:rPr>
          <w:b/>
          <w:bCs/>
          <w:u w:val="single"/>
          <w:rtl/>
        </w:rPr>
      </w:pPr>
      <w:r>
        <w:rPr>
          <w:b/>
          <w:bCs/>
          <w:u w:val="single"/>
          <w:rtl/>
        </w:rPr>
        <w:t xml:space="preserve">תסקירי שירות המבחן </w:t>
      </w:r>
    </w:p>
    <w:p w14:paraId="533D8E3E" w14:textId="77777777" w:rsidR="00532FE9" w:rsidRDefault="00532FE9" w:rsidP="00210005">
      <w:pPr>
        <w:pStyle w:val="ac"/>
        <w:numPr>
          <w:ilvl w:val="0"/>
          <w:numId w:val="3"/>
        </w:numPr>
        <w:spacing w:line="360" w:lineRule="auto"/>
        <w:jc w:val="both"/>
        <w:rPr>
          <w:rFonts w:ascii="Times New Roman" w:hAnsi="Times New Roman"/>
          <w:rtl/>
        </w:rPr>
      </w:pPr>
      <w:r>
        <w:rPr>
          <w:rFonts w:ascii="Times New Roman" w:hAnsi="Times New Roman"/>
          <w:b/>
          <w:bCs/>
          <w:rtl/>
        </w:rPr>
        <w:t>נאשם 1</w:t>
      </w:r>
      <w:r>
        <w:rPr>
          <w:rFonts w:ascii="Times New Roman" w:hAnsi="Times New Roman"/>
          <w:rtl/>
        </w:rPr>
        <w:t xml:space="preserve"> – [הושמט]. </w:t>
      </w:r>
    </w:p>
    <w:p w14:paraId="7B86D316" w14:textId="77777777" w:rsidR="00532FE9" w:rsidRDefault="00532FE9" w:rsidP="00210005">
      <w:pPr>
        <w:pStyle w:val="ac"/>
        <w:spacing w:line="360" w:lineRule="auto"/>
        <w:ind w:left="786"/>
        <w:jc w:val="both"/>
        <w:rPr>
          <w:rtl/>
        </w:rPr>
      </w:pPr>
      <w:r>
        <w:rPr>
          <w:b/>
          <w:bCs/>
          <w:u w:val="single"/>
          <w:rtl/>
        </w:rPr>
        <w:t>נאשם 2</w:t>
      </w:r>
      <w:r>
        <w:rPr>
          <w:rtl/>
        </w:rPr>
        <w:t xml:space="preserve"> – [הושמט].</w:t>
      </w:r>
    </w:p>
    <w:p w14:paraId="7E5CE8C7" w14:textId="77777777" w:rsidR="00532FE9" w:rsidRDefault="00532FE9" w:rsidP="00210005">
      <w:pPr>
        <w:spacing w:line="360" w:lineRule="auto"/>
        <w:ind w:left="786"/>
        <w:jc w:val="both"/>
        <w:rPr>
          <w:rtl/>
        </w:rPr>
      </w:pPr>
      <w:r>
        <w:rPr>
          <w:b/>
          <w:bCs/>
          <w:u w:val="single"/>
          <w:rtl/>
        </w:rPr>
        <w:t>נאשם 3</w:t>
      </w:r>
      <w:r>
        <w:rPr>
          <w:b/>
          <w:bCs/>
          <w:rtl/>
        </w:rPr>
        <w:t xml:space="preserve"> </w:t>
      </w:r>
      <w:r>
        <w:rPr>
          <w:rtl/>
        </w:rPr>
        <w:t>– [הושמט].</w:t>
      </w:r>
    </w:p>
    <w:p w14:paraId="4D5B08D0" w14:textId="77777777" w:rsidR="00532FE9" w:rsidRDefault="00532FE9" w:rsidP="00156B48">
      <w:pPr>
        <w:spacing w:line="360" w:lineRule="auto"/>
        <w:jc w:val="both"/>
        <w:rPr>
          <w:b/>
          <w:bCs/>
          <w:rtl/>
        </w:rPr>
      </w:pPr>
    </w:p>
    <w:p w14:paraId="386DEA68" w14:textId="77777777" w:rsidR="00532FE9" w:rsidRDefault="00532FE9" w:rsidP="00156B48">
      <w:pPr>
        <w:spacing w:line="360" w:lineRule="auto"/>
        <w:jc w:val="both"/>
        <w:rPr>
          <w:rtl/>
        </w:rPr>
      </w:pPr>
      <w:r>
        <w:rPr>
          <w:b/>
          <w:bCs/>
          <w:u w:val="single"/>
          <w:rtl/>
        </w:rPr>
        <w:t>תמצית טענות הצדדים</w:t>
      </w:r>
    </w:p>
    <w:p w14:paraId="6BC65F43" w14:textId="77777777" w:rsidR="00532FE9" w:rsidRDefault="00532FE9" w:rsidP="00156B48">
      <w:pPr>
        <w:numPr>
          <w:ilvl w:val="0"/>
          <w:numId w:val="3"/>
        </w:numPr>
        <w:spacing w:line="360" w:lineRule="auto"/>
        <w:contextualSpacing/>
        <w:jc w:val="both"/>
        <w:rPr>
          <w:rFonts w:ascii="David" w:hAnsi="David"/>
        </w:rPr>
      </w:pPr>
      <w:r>
        <w:rPr>
          <w:rtl/>
        </w:rPr>
        <w:t xml:space="preserve">המאשימה, באמצעות עו"ד תומר שטיינברג, עמדה בטיעוניה בהרחבה על חומרת מעשי הנאשמים, מועד ביצועם במהלך מבצע "שומר חומות" ופגיעתם הקשה בשלומו, בטחונו ורכושו של הציבור והתושבים היהודים בעיר לוד, בשלטון החוק ובסדר הציבורי. ב"כ המאשימה הדגיש בעיקר את חומרת האישום השני, השלכת מספר בקבוקי תבערה לעבר בניין מגורים, במטרה לפגוע בדייריו. לדבריו המעשה בוצע לאחר שנרגעו המהומות ובמטרה להביא להסלמה נוספת. עוד עמד על התכנון הקפדני והמקיף שביצעו הנאשמים עובר לפיגוע, שכלל סיורים מקדימים, והצטיידות בציוד הכולל מכשירי קשר, ועל הנזק שנגרם. לדבריו, נאשמים 1 ו-2 הם הרוח החיה בהוצאת הפיגוע לפועל, המתכננים והמבצעים, וההבדלים ברמת הענישה ביניהם נובעים מכך שנאשם 1 קטין ובשל נסיבותיו האישיות המורכבות. נאשם 3 אמנם לא היה מעורב בשלבי תכנון והכנת תכנית הפיגוע אך ביצע פעולות כדי לאפשר את הוצאתה לפועל. עוד הפנה התובע למעורבות נאשם 3 במעשה התפרעות והשלכת אבנים לעבר שוטרים. אשר לנאשם זה עתרה המאשימה  ביחס לאישום השני למתחם ענישה הנע בין 48-24 חודשי מאסר, ובגין האישום החמישי, בין 24-10 חודשים. אשר למיקום הנאשם במתחם, הנאשם צעיר, ללא עבר פלילי, הודה בשלב החקירה וחסך זמן שיפוטי ניכר. נתוניו טובים אך התסקיר בעניינו אינו חיובי. בשל אופי העבירות ושיקולי ההרתעה עתרה לעונש ראוי בן  30 חודשי מאסר וענישה נלווית. </w:t>
      </w:r>
    </w:p>
    <w:p w14:paraId="3441721F" w14:textId="77777777" w:rsidR="00532FE9" w:rsidRDefault="00532FE9" w:rsidP="00156B48">
      <w:pPr>
        <w:pStyle w:val="ac"/>
      </w:pPr>
    </w:p>
    <w:p w14:paraId="4DC3CE93" w14:textId="77777777" w:rsidR="00532FE9" w:rsidRPr="00C96FEA" w:rsidRDefault="00532FE9" w:rsidP="00156B48">
      <w:pPr>
        <w:pStyle w:val="ac"/>
        <w:spacing w:line="360" w:lineRule="auto"/>
        <w:jc w:val="both"/>
        <w:rPr>
          <w:rtl/>
        </w:rPr>
      </w:pPr>
      <w:r>
        <w:rPr>
          <w:rtl/>
        </w:rPr>
        <w:t xml:space="preserve">המאשימה הגישה אסופת פסיקה לתמיכה בעתירתה העונשית. </w:t>
      </w:r>
    </w:p>
    <w:p w14:paraId="6BD8C9E5" w14:textId="77777777" w:rsidR="00532FE9" w:rsidRDefault="00532FE9" w:rsidP="00156B48">
      <w:pPr>
        <w:pStyle w:val="ac"/>
        <w:spacing w:line="360" w:lineRule="auto"/>
        <w:jc w:val="both"/>
        <w:rPr>
          <w:rtl/>
        </w:rPr>
      </w:pPr>
    </w:p>
    <w:p w14:paraId="76C656FD" w14:textId="77777777" w:rsidR="00532FE9" w:rsidRDefault="00532FE9" w:rsidP="00156B48">
      <w:pPr>
        <w:pStyle w:val="ac"/>
        <w:numPr>
          <w:ilvl w:val="0"/>
          <w:numId w:val="3"/>
        </w:numPr>
        <w:spacing w:line="360" w:lineRule="auto"/>
        <w:jc w:val="both"/>
        <w:rPr>
          <w:rtl/>
        </w:rPr>
      </w:pPr>
      <w:r>
        <w:rPr>
          <w:rtl/>
        </w:rPr>
        <w:t xml:space="preserve">ב"כ נאשמים 1 ו-3, עו"ד אהוד בן יהודה, ביקש לאמץ את הסדר הטיעון בנוגע לנאשם 1. אשר לנאשם 3 סבור שחלקו קטן משמעותית ומאפשר להסתפק בענישה בדרך של עבודות שירות. לטענתו, הנאשם וחבריו לא ביצעו את המעשים מתוך אידיאולוגיה לאומנית אלא מדובר במעשה ללא שיקול דעת של חבורת צעירים ברקע המהומות והמתח ששרר בעיר לוד. לדבריו, מאז האירועים חלפו שנתיים, נאשם 3 לא הסתבך שוב, לא היה שותף בתכנון המעשים וחלקו שולי ומתמצה בהשתתפות באחד הסיורים המקדימים ובמהלך האירוע כששימש כתצפיתן. עוד לטענתו, יש להתחשב בכך שהיה נתון במעצר כ-4 חודשים, והחזרתו לכלא תדרדר את מצבו. הנאשם הודה במיוחס לו, צעיר, הפנים את חומרת מעשיו וראוי למקמו בתחתית מתחם הענישה. </w:t>
      </w:r>
    </w:p>
    <w:p w14:paraId="32043168" w14:textId="77777777" w:rsidR="00532FE9" w:rsidRDefault="00532FE9" w:rsidP="00156B48">
      <w:pPr>
        <w:pStyle w:val="ac"/>
        <w:spacing w:line="360" w:lineRule="auto"/>
        <w:ind w:left="786"/>
        <w:jc w:val="both"/>
      </w:pPr>
    </w:p>
    <w:p w14:paraId="65E8223E" w14:textId="77777777" w:rsidR="00532FE9" w:rsidRDefault="00532FE9" w:rsidP="00156B48">
      <w:pPr>
        <w:pStyle w:val="ac"/>
        <w:numPr>
          <w:ilvl w:val="0"/>
          <w:numId w:val="3"/>
        </w:numPr>
        <w:spacing w:line="360" w:lineRule="auto"/>
        <w:jc w:val="both"/>
      </w:pPr>
      <w:r>
        <w:rPr>
          <w:rtl/>
        </w:rPr>
        <w:t xml:space="preserve">ב"כ נאשם 2, עו"ד דרוויש נאשף, ביקש אף הוא לאמץ את הסדר הטיעון. לדבריו, יש לתת משקל נכבד להודאתו במיוחס לו, למעצרו הממושך ולכך שמדובר במעידה שלא תחזור על עצמה. </w:t>
      </w:r>
    </w:p>
    <w:p w14:paraId="15769EF6" w14:textId="77777777" w:rsidR="00532FE9" w:rsidRDefault="00532FE9" w:rsidP="00156B48">
      <w:pPr>
        <w:pStyle w:val="ac"/>
      </w:pPr>
    </w:p>
    <w:p w14:paraId="02BCEF34" w14:textId="77777777" w:rsidR="00532FE9" w:rsidRDefault="00532FE9" w:rsidP="00156B48">
      <w:pPr>
        <w:pStyle w:val="ac"/>
        <w:spacing w:line="360" w:lineRule="auto"/>
        <w:ind w:left="786"/>
        <w:jc w:val="both"/>
        <w:rPr>
          <w:rtl/>
        </w:rPr>
      </w:pPr>
    </w:p>
    <w:p w14:paraId="25315B55" w14:textId="77777777" w:rsidR="00532FE9" w:rsidRDefault="00532FE9" w:rsidP="00156B48">
      <w:pPr>
        <w:pStyle w:val="ac"/>
        <w:spacing w:line="360" w:lineRule="auto"/>
        <w:ind w:left="786"/>
        <w:jc w:val="both"/>
        <w:rPr>
          <w:rtl/>
        </w:rPr>
      </w:pPr>
      <w:r>
        <w:rPr>
          <w:u w:val="single"/>
          <w:rtl/>
        </w:rPr>
        <w:t>דיון והכרעה</w:t>
      </w:r>
    </w:p>
    <w:p w14:paraId="7189A39F" w14:textId="77777777" w:rsidR="00532FE9" w:rsidRDefault="00532FE9" w:rsidP="00156B48">
      <w:pPr>
        <w:pStyle w:val="ruller40"/>
        <w:numPr>
          <w:ilvl w:val="0"/>
          <w:numId w:val="3"/>
        </w:numPr>
        <w:bidi/>
        <w:spacing w:before="0" w:beforeAutospacing="0" w:after="0" w:afterAutospacing="0" w:line="360" w:lineRule="atLeast"/>
        <w:jc w:val="both"/>
        <w:rPr>
          <w:rFonts w:ascii="David" w:hAnsi="David" w:cs="David"/>
          <w:color w:val="000000"/>
          <w:spacing w:val="10"/>
          <w:sz w:val="22"/>
          <w:szCs w:val="22"/>
          <w:rtl/>
        </w:rPr>
      </w:pPr>
      <w:r>
        <w:rPr>
          <w:rFonts w:ascii="David" w:hAnsi="David" w:cs="David"/>
          <w:rtl/>
        </w:rPr>
        <w:t xml:space="preserve">דומה שאין צורך להכביר מילים ביחס לחומרתם היתרה של מעשי הנאשמים. מדובר בתיק חמור שעניינו ביצוע עבירות אלימות וטרור על רקע מבצע "שומר חומות", במוקד כתב האישום, תכנון פיגוע נגד יהודים בעיר לוד על רקע גזעני ולאומני. לחומרת העבירות כשלעצמה מתווספת הרשעתם בביצוע עבירות טרור בהתאם לחוק המאבק בטרור. הנאשמים הורשעו בביצוע עבירות אלימות והצתה בנסיבות </w:t>
      </w:r>
      <w:hyperlink r:id="rId33" w:history="1">
        <w:r w:rsidR="00FC6920" w:rsidRPr="00FC6920">
          <w:rPr>
            <w:rStyle w:val="Hyperlink"/>
            <w:rFonts w:ascii="David" w:hAnsi="David" w:cs="David"/>
            <w:rtl/>
          </w:rPr>
          <w:t>סעיף 37</w:t>
        </w:r>
      </w:hyperlink>
      <w:r>
        <w:rPr>
          <w:rFonts w:ascii="David" w:hAnsi="David" w:cs="David"/>
          <w:rtl/>
        </w:rPr>
        <w:t xml:space="preserve"> לחוק המאבק בטרור, שעניינו החמרת הענישה על מעשים אלו עד כדי כפל העונש הקבוע לאותה עבירה. כעולה מדברי הסבר לחוק </w:t>
      </w:r>
      <w:r>
        <w:rPr>
          <w:rFonts w:ascii="David" w:hAnsi="David" w:cs="David"/>
          <w:b/>
          <w:bCs/>
          <w:color w:val="000000"/>
          <w:spacing w:val="10"/>
          <w:rtl/>
        </w:rPr>
        <w:t>"בעבירות מסוג זה, יש מקום להדגשה מיוחדת הן של תכלית ההרתעה שבענישה, והן של עקרון הגמול. זאת - בעיקר נוכח המניע האידיאולוגי שבבסיסן, ההישענות על שיתוף הפעולה האזרחי, וההשפעה והנזק שעבריינות זו גורמת לכלל האוכלוסייה בישראל"</w:t>
      </w:r>
      <w:r>
        <w:rPr>
          <w:rFonts w:ascii="David" w:hAnsi="David"/>
          <w:b/>
          <w:bCs/>
          <w:color w:val="000000"/>
          <w:spacing w:val="10"/>
          <w:rtl/>
        </w:rPr>
        <w:t xml:space="preserve"> </w:t>
      </w:r>
      <w:r>
        <w:rPr>
          <w:rFonts w:ascii="David" w:hAnsi="David"/>
          <w:color w:val="000000"/>
          <w:spacing w:val="10"/>
          <w:rtl/>
        </w:rPr>
        <w:t>(</w:t>
      </w:r>
      <w:r>
        <w:rPr>
          <w:rFonts w:ascii="David" w:hAnsi="David" w:cs="David"/>
          <w:color w:val="000000"/>
          <w:rtl/>
        </w:rPr>
        <w:t>דברי הסבר ל</w:t>
      </w:r>
      <w:r>
        <w:rPr>
          <w:rFonts w:ascii="David" w:hAnsi="David" w:cs="David"/>
          <w:color w:val="000000"/>
          <w:spacing w:val="10"/>
          <w:rtl/>
        </w:rPr>
        <w:t>הצעת החוק, התשע"ה-2015, ה"ח 949,967 בעמ' 1104).</w:t>
      </w:r>
    </w:p>
    <w:p w14:paraId="4856F024" w14:textId="77777777" w:rsidR="00532FE9" w:rsidRDefault="00703474" w:rsidP="00156B48">
      <w:pPr>
        <w:pStyle w:val="ruller40"/>
        <w:bidi/>
        <w:spacing w:before="0" w:beforeAutospacing="0" w:after="0" w:afterAutospacing="0" w:line="360" w:lineRule="atLeast"/>
        <w:ind w:left="786"/>
        <w:jc w:val="both"/>
        <w:rPr>
          <w:rFonts w:ascii="Arial TUR" w:hAnsi="Arial TUR" w:cs="Arial TUR"/>
          <w:color w:val="000000"/>
          <w:spacing w:val="10"/>
          <w:sz w:val="22"/>
          <w:szCs w:val="22"/>
        </w:rPr>
      </w:pPr>
      <w:r>
        <w:rPr>
          <w:rFonts w:ascii="FrankRuehl" w:hAnsi="FrankRuehl" w:cs="FrankRuehl"/>
          <w:color w:val="000000"/>
          <w:spacing w:val="10"/>
          <w:sz w:val="28"/>
          <w:szCs w:val="28"/>
          <w:rtl/>
        </w:rPr>
        <w:t xml:space="preserve"> </w:t>
      </w:r>
    </w:p>
    <w:p w14:paraId="4A4765C7" w14:textId="77777777" w:rsidR="00532FE9" w:rsidRDefault="00532FE9" w:rsidP="00156B48">
      <w:pPr>
        <w:pStyle w:val="ac"/>
        <w:numPr>
          <w:ilvl w:val="0"/>
          <w:numId w:val="3"/>
        </w:numPr>
        <w:spacing w:line="360" w:lineRule="auto"/>
        <w:jc w:val="both"/>
        <w:rPr>
          <w:rtl/>
        </w:rPr>
      </w:pPr>
      <w:r>
        <w:rPr>
          <w:rtl/>
        </w:rPr>
        <w:t xml:space="preserve">מעשי הנאשמים פגעו פגיעה קשה ומוחשית בשלומו ובטחונו של הציבור בכלל, ושל ציבור האזרחים היהודים בעיר לוד בפרט, בשלטון החוק ובסדר הציבורי, ופגעו פגיעה אנושה במרקם החיים המשותפים בערים המעורבות, ובזכותו של כל אזרח במדינה לחיות חיים של שקט ובטחון על פי דרכו ואמונותיו. </w:t>
      </w:r>
    </w:p>
    <w:p w14:paraId="30184ED2" w14:textId="77777777" w:rsidR="00532FE9" w:rsidRDefault="00532FE9" w:rsidP="00156B48">
      <w:pPr>
        <w:pStyle w:val="ac"/>
        <w:spacing w:line="360" w:lineRule="auto"/>
        <w:ind w:left="786"/>
        <w:jc w:val="both"/>
      </w:pPr>
    </w:p>
    <w:p w14:paraId="2F94ABBA" w14:textId="77777777" w:rsidR="00532FE9" w:rsidRDefault="00532FE9" w:rsidP="00156B48">
      <w:pPr>
        <w:pStyle w:val="ac"/>
        <w:numPr>
          <w:ilvl w:val="0"/>
          <w:numId w:val="3"/>
        </w:numPr>
        <w:spacing w:line="360" w:lineRule="auto"/>
        <w:jc w:val="both"/>
        <w:rPr>
          <w:rFonts w:ascii="Arial" w:hAnsi="Arial"/>
        </w:rPr>
      </w:pPr>
      <w:r>
        <w:rPr>
          <w:rFonts w:ascii="Arial" w:hAnsi="Arial"/>
          <w:rtl/>
        </w:rPr>
        <w:t>הנאשמים הורשעו כולם במעורבות במעשים מושא האישום השני. נאשמים 1 ו-2 הורשעו גם בעבירה של החזקת נשק וסיוע לה, במועד מאוחר יותר (אישום שלישי), ונאשם 3 – הורשע גם בהשתתפות בהתפרעות במהלך ימי מבצע "שומר חומות" (אישום חמישי). מדובר ב'אירועים' נפרדים אך בהתחשב בהסדר הטיעון ייגזר בעניינם עונש אחד כולל. בעניינם של נאשמים 1 ו-2 עותרים הצדדים לאמץ את הסדר הטיעון, ובעניינו של נאשם 3, הקשור אליהם בקשר הדוק, טענו הצדדים באופן חופשי.</w:t>
      </w:r>
    </w:p>
    <w:p w14:paraId="758CC573" w14:textId="77777777" w:rsidR="00532FE9" w:rsidRDefault="00532FE9" w:rsidP="00156B48">
      <w:pPr>
        <w:pStyle w:val="ac"/>
        <w:rPr>
          <w:rFonts w:ascii="Arial" w:hAnsi="Arial"/>
        </w:rPr>
      </w:pPr>
    </w:p>
    <w:p w14:paraId="347FC689" w14:textId="77777777" w:rsidR="00532FE9" w:rsidRDefault="00532FE9" w:rsidP="00156B48">
      <w:pPr>
        <w:pStyle w:val="ac"/>
        <w:numPr>
          <w:ilvl w:val="0"/>
          <w:numId w:val="3"/>
        </w:numPr>
        <w:spacing w:line="360" w:lineRule="auto"/>
        <w:jc w:val="both"/>
        <w:rPr>
          <w:rFonts w:ascii="Arial" w:hAnsi="Arial"/>
          <w:rtl/>
        </w:rPr>
      </w:pPr>
      <w:r>
        <w:rPr>
          <w:rFonts w:ascii="Arial" w:hAnsi="Arial"/>
          <w:rtl/>
        </w:rPr>
        <w:t xml:space="preserve">נסיבות מעשי הנאשמים כוללות פנים רבים של חומרה: </w:t>
      </w:r>
    </w:p>
    <w:p w14:paraId="24F0560E" w14:textId="77777777" w:rsidR="00532FE9" w:rsidRDefault="00532FE9" w:rsidP="00156B48">
      <w:pPr>
        <w:pStyle w:val="ac"/>
        <w:rPr>
          <w:rFonts w:ascii="Arial" w:hAnsi="Arial"/>
        </w:rPr>
      </w:pPr>
    </w:p>
    <w:p w14:paraId="33221A39" w14:textId="77777777" w:rsidR="00532FE9" w:rsidRDefault="00532FE9" w:rsidP="00156B48">
      <w:pPr>
        <w:pStyle w:val="ac"/>
        <w:spacing w:line="360" w:lineRule="auto"/>
        <w:ind w:left="786"/>
        <w:jc w:val="both"/>
        <w:rPr>
          <w:rtl/>
        </w:rPr>
      </w:pPr>
      <w:r>
        <w:rPr>
          <w:rFonts w:ascii="Arial" w:hAnsi="Arial"/>
          <w:rtl/>
        </w:rPr>
        <w:t xml:space="preserve"> </w:t>
      </w:r>
      <w:r>
        <w:rPr>
          <w:rFonts w:ascii="Arial" w:hAnsi="Arial"/>
          <w:b/>
          <w:bCs/>
          <w:u w:val="single"/>
          <w:rtl/>
        </w:rPr>
        <w:t>עיתוי המעשים והרקע לביצועם -</w:t>
      </w:r>
      <w:r>
        <w:rPr>
          <w:rFonts w:ascii="Arial" w:hAnsi="Arial"/>
          <w:rtl/>
        </w:rPr>
        <w:t xml:space="preserve"> המעשים בוצעו במהלך מבצע צבאי "שומר חומות", נגד תושבים יהודים בעיר לוד. בעניין זה נקבע כי </w:t>
      </w:r>
      <w:r>
        <w:rPr>
          <w:rFonts w:ascii="Arial" w:hAnsi="Arial"/>
          <w:b/>
          <w:bCs/>
          <w:rtl/>
        </w:rPr>
        <w:t>"יש מקום ליתן משקל מתאים גם לפרק הזמן שבו נעברו העבירות, במהלכו הייתה האוכלוסייה האזרחית נתונה למתקפה של אלפי רקטות... ובמקביל התעורר גל של הפרות סדר והתפרעויות אלימות, שכלל תקיפת כוחות הביטחון, כמו גם תקיפת אזרחים יהודים וערבים. גם בכך יש להקרין גם על אפיוני החומרה של ההתפרעות והעבירות האחרות שבוצעו ממניע של גזענות"</w:t>
      </w:r>
      <w:r>
        <w:rPr>
          <w:rFonts w:ascii="Arial" w:hAnsi="Arial"/>
          <w:rtl/>
        </w:rPr>
        <w:t xml:space="preserve"> (</w:t>
      </w:r>
      <w:hyperlink r:id="rId34" w:history="1">
        <w:r w:rsidR="00703474" w:rsidRPr="00703474">
          <w:rPr>
            <w:rFonts w:ascii="Arial" w:hAnsi="Arial"/>
            <w:color w:val="0000FF"/>
            <w:u w:val="single"/>
            <w:rtl/>
          </w:rPr>
          <w:t>ע"פ 901/22</w:t>
        </w:r>
      </w:hyperlink>
      <w:r>
        <w:rPr>
          <w:rFonts w:ascii="Arial" w:hAnsi="Arial"/>
          <w:rtl/>
        </w:rPr>
        <w:t xml:space="preserve"> </w:t>
      </w:r>
      <w:r>
        <w:rPr>
          <w:rFonts w:ascii="Arial" w:hAnsi="Arial"/>
          <w:b/>
          <w:bCs/>
          <w:rtl/>
        </w:rPr>
        <w:t>מדינת ישראל נ' אסווד</w:t>
      </w:r>
      <w:r>
        <w:rPr>
          <w:rFonts w:ascii="Arial" w:hAnsi="Arial"/>
          <w:rtl/>
        </w:rPr>
        <w:t xml:space="preserve"> (24.2.2022) (להלן – "עניין אסווד"), כבוד השופט ע' פוגלמן, פסקה 10; </w:t>
      </w:r>
      <w:hyperlink r:id="rId35" w:history="1">
        <w:r w:rsidR="00703474" w:rsidRPr="00703474">
          <w:rPr>
            <w:color w:val="0000FF"/>
            <w:u w:val="single"/>
            <w:rtl/>
          </w:rPr>
          <w:t>ע"פ 8114/22</w:t>
        </w:r>
      </w:hyperlink>
      <w:r>
        <w:rPr>
          <w:b/>
          <w:bCs/>
          <w:rtl/>
        </w:rPr>
        <w:t xml:space="preserve"> מדינת ישראל נ' ראזם</w:t>
      </w:r>
      <w:r>
        <w:rPr>
          <w:rtl/>
        </w:rPr>
        <w:t>, (30.1.2023), להלן: "עניין ראזם");</w:t>
      </w:r>
    </w:p>
    <w:p w14:paraId="3E54CCF5" w14:textId="77777777" w:rsidR="00532FE9" w:rsidRPr="00C96FEA" w:rsidRDefault="00532FE9" w:rsidP="00156B48">
      <w:pPr>
        <w:pStyle w:val="ac"/>
        <w:spacing w:line="360" w:lineRule="auto"/>
        <w:ind w:left="786"/>
        <w:jc w:val="both"/>
        <w:rPr>
          <w:b/>
          <w:bCs/>
          <w:u w:val="single"/>
          <w:rtl/>
        </w:rPr>
      </w:pPr>
    </w:p>
    <w:p w14:paraId="56479B15" w14:textId="77777777" w:rsidR="00532FE9" w:rsidRDefault="00532FE9" w:rsidP="00156B48">
      <w:pPr>
        <w:pStyle w:val="ac"/>
        <w:spacing w:line="360" w:lineRule="auto"/>
        <w:ind w:left="786"/>
        <w:jc w:val="both"/>
        <w:rPr>
          <w:rFonts w:ascii="Arial" w:hAnsi="Arial"/>
          <w:rtl/>
        </w:rPr>
      </w:pPr>
      <w:r>
        <w:rPr>
          <w:rFonts w:ascii="Arial" w:hAnsi="Arial"/>
          <w:b/>
          <w:bCs/>
          <w:u w:val="single"/>
          <w:rtl/>
        </w:rPr>
        <w:t>העבירות נעברו לאחר תכנון והכנה</w:t>
      </w:r>
      <w:r>
        <w:rPr>
          <w:rFonts w:ascii="Arial" w:hAnsi="Arial"/>
          <w:rtl/>
        </w:rPr>
        <w:t xml:space="preserve"> וכללו תכנית פעולה מאורגנת, ביצוע מספר סיורים מקדמיים בהרכבים שונים של נאשמים, הכנת פתח מילוט בגדר בסמוך למקום האירועים והצטיידות בבקבוקי תבערה, מכשירי קשר וציוד נוסף;</w:t>
      </w:r>
    </w:p>
    <w:p w14:paraId="14156ACB" w14:textId="77777777" w:rsidR="00532FE9" w:rsidRDefault="00532FE9" w:rsidP="00156B48">
      <w:pPr>
        <w:pStyle w:val="ac"/>
        <w:spacing w:line="360" w:lineRule="auto"/>
        <w:ind w:left="786"/>
        <w:jc w:val="both"/>
        <w:rPr>
          <w:rFonts w:ascii="Arial" w:hAnsi="Arial"/>
          <w:rtl/>
        </w:rPr>
      </w:pPr>
    </w:p>
    <w:p w14:paraId="14AEB262" w14:textId="77777777" w:rsidR="00532FE9" w:rsidRDefault="00532FE9" w:rsidP="00156B48">
      <w:pPr>
        <w:pStyle w:val="ac"/>
        <w:spacing w:line="360" w:lineRule="auto"/>
        <w:ind w:left="786"/>
        <w:jc w:val="both"/>
        <w:rPr>
          <w:rtl/>
        </w:rPr>
      </w:pPr>
      <w:r>
        <w:rPr>
          <w:rFonts w:ascii="Arial" w:hAnsi="Arial"/>
          <w:b/>
          <w:bCs/>
          <w:u w:val="single"/>
          <w:rtl/>
        </w:rPr>
        <w:t xml:space="preserve">המעשים בוצעו בחבורה </w:t>
      </w:r>
      <w:r>
        <w:rPr>
          <w:rFonts w:ascii="Arial" w:hAnsi="Arial"/>
          <w:rtl/>
        </w:rPr>
        <w:t xml:space="preserve">תוך חלוקת תפקידים בין הנאשמים השונים. </w:t>
      </w:r>
      <w:r>
        <w:rPr>
          <w:rtl/>
        </w:rPr>
        <w:t xml:space="preserve">עם זאת, ובניגוד למקרים אחרים שנדונו בפסיקה, הנאשמים לא היו חברים פעילים בארגון טרור, אלא פעלו על רקע הנסיבות הקונקרטיות של אירועי מבצע "שומר חומות" (ראו עניין ראזם). חלקם של נאשמים 1 ו-2 היה מרכזי, בעוד חלקו היחסי של נאשם 3 היה קטן יותר והתמצה בסיוע בכך שהשתתף בסיור מקדים ושימש במהלך האירוע כתצפיתן כשהוא מצוייד במכשיר קשר. אין מדובר בחלק שולי וזוטר כטענת בא כוחו אך חלקו קטן משמעותית מזה של שותפיו. הנאשם 3 אף לא נטל חלק בשלבי היגוי תכנית הפיגוע; </w:t>
      </w:r>
    </w:p>
    <w:p w14:paraId="0CFE1BC4" w14:textId="77777777" w:rsidR="00532FE9" w:rsidRDefault="00532FE9" w:rsidP="00156B48">
      <w:pPr>
        <w:pStyle w:val="ac"/>
        <w:spacing w:line="360" w:lineRule="auto"/>
        <w:ind w:left="786"/>
        <w:jc w:val="both"/>
        <w:rPr>
          <w:rtl/>
        </w:rPr>
      </w:pPr>
    </w:p>
    <w:p w14:paraId="0B7BF098" w14:textId="77777777" w:rsidR="00532FE9" w:rsidRDefault="00532FE9" w:rsidP="00156B48">
      <w:pPr>
        <w:pStyle w:val="ac"/>
        <w:spacing w:line="360" w:lineRule="auto"/>
        <w:ind w:left="786"/>
        <w:jc w:val="both"/>
        <w:rPr>
          <w:rFonts w:ascii="Arial" w:hAnsi="Arial"/>
          <w:rtl/>
        </w:rPr>
      </w:pPr>
      <w:r>
        <w:rPr>
          <w:b/>
          <w:bCs/>
          <w:u w:val="single"/>
          <w:rtl/>
        </w:rPr>
        <w:t>הנזק שנגרם</w:t>
      </w:r>
      <w:r>
        <w:rPr>
          <w:rtl/>
        </w:rPr>
        <w:t xml:space="preserve"> </w:t>
      </w:r>
      <w:r>
        <w:rPr>
          <w:b/>
          <w:bCs/>
          <w:u w:val="single"/>
          <w:rtl/>
        </w:rPr>
        <w:t>ופוטנציאל הנזק</w:t>
      </w:r>
      <w:r>
        <w:rPr>
          <w:rtl/>
        </w:rPr>
        <w:t xml:space="preserve"> –נאשמים 1 ו-2 הגיעו לבניין המגורים המאוכלס במשפחות יהודיות בסמוך לשעת חצות, שעה שדיירי הבית נמו את שנתם, נאשם 1 הבעיר אש בששת בקבוקי התבערה, השליך אחד מהם לעבר פתחי הדירות בבניין המגורים, ונאשם 2 השליך את חמשת בקבוקי התבערה הנוספים שחוברו יחדיו, לעבר מרפסות וחלונות של דירות מגורים בהן שהו אותה עת אנשים. בקבוקי התבערה התנפצו על בניין המגורים והחלה שריפה בבניין. הנאשמים 1-2 נמלטו מהמקום. כתוצאה מהשריפה חדר  עשן למספר דירות, דיירי הבניין נמלטו מדירותיהם וכיבו את השריפה בסיועו של עובר אורח שהגיע למקום באקראי. במכתביהם (תע/1, תע/2) מספרים שניים מדיירי הבניין על הטראומה הקשה שנגרמה להם ולילדיהם כתוצאה ממעשי הנאשמים, ילדיהם לא הצליחו להרדם  בלילות, חוו חרדות וסיוטי לילה והחזרה לשגרה נמשכה זמן רב.  הנזק שנגרם לרכוש אמנם אינו רב, </w:t>
      </w:r>
      <w:r>
        <w:rPr>
          <w:rFonts w:ascii="Arial" w:hAnsi="Arial"/>
          <w:rtl/>
        </w:rPr>
        <w:t>אך אין בכך כדי להפחית מחומרת המעשים, הבקבוקים הושלכו לעבר מרפסות וחלונות דירות הבניין בכוונה לפגוע ביושביהן</w:t>
      </w:r>
      <w:r>
        <w:rPr>
          <w:rFonts w:ascii="Arial" w:hAnsi="Arial"/>
          <w:b/>
          <w:bCs/>
          <w:rtl/>
        </w:rPr>
        <w:t xml:space="preserve">. </w:t>
      </w:r>
      <w:r>
        <w:rPr>
          <w:rtl/>
        </w:rPr>
        <w:t xml:space="preserve">פוטנציאל הנזק של המעשים הוא רב מאוד ועלולה הייתה להיגרם פגיעה בגוף ובנפש. </w:t>
      </w:r>
      <w:r>
        <w:rPr>
          <w:rFonts w:ascii="Arial" w:hAnsi="Arial"/>
          <w:b/>
          <w:bCs/>
          <w:rtl/>
        </w:rPr>
        <w:t>בית המשפט עמד לא אחת על הסכנה הגלומה במעשים מעין אלה, העלולים לגרום לנזק רב ואף לגבות קורבנות בנפש. לפיכך נפסק כי יש להתייחס בחומרה גם למקרים שבהם לא נגרם נזק בפועל מעבירות אלו</w:t>
      </w:r>
      <w:r>
        <w:rPr>
          <w:rFonts w:ascii="Arial" w:hAnsi="Arial"/>
          <w:rtl/>
        </w:rPr>
        <w:t xml:space="preserve"> (ראו למשל </w:t>
      </w:r>
      <w:hyperlink r:id="rId36" w:history="1">
        <w:r w:rsidR="00703474" w:rsidRPr="00703474">
          <w:rPr>
            <w:rFonts w:ascii="Arial" w:hAnsi="Arial"/>
            <w:color w:val="0000FF"/>
            <w:u w:val="single"/>
            <w:rtl/>
          </w:rPr>
          <w:t>ע"פ 9821/16</w:t>
        </w:r>
      </w:hyperlink>
      <w:r>
        <w:rPr>
          <w:rFonts w:ascii="Arial" w:hAnsi="Arial"/>
          <w:rtl/>
        </w:rPr>
        <w:t xml:space="preserve"> </w:t>
      </w:r>
      <w:r>
        <w:rPr>
          <w:rFonts w:ascii="Arial" w:hAnsi="Arial"/>
          <w:b/>
          <w:bCs/>
          <w:rtl/>
        </w:rPr>
        <w:t>פלוני נ' מדינת ישראל</w:t>
      </w:r>
      <w:r>
        <w:rPr>
          <w:rFonts w:ascii="Arial" w:hAnsi="Arial"/>
          <w:rtl/>
        </w:rPr>
        <w:t xml:space="preserve">, פסקה 13 (30.11.2017); </w:t>
      </w:r>
      <w:hyperlink r:id="rId37" w:history="1">
        <w:r w:rsidR="00703474" w:rsidRPr="00703474">
          <w:rPr>
            <w:rFonts w:ascii="Arial" w:hAnsi="Arial"/>
            <w:color w:val="0000FF"/>
            <w:u w:val="single"/>
            <w:rtl/>
          </w:rPr>
          <w:t>ע"פ 4324/16</w:t>
        </w:r>
      </w:hyperlink>
      <w:r>
        <w:rPr>
          <w:rFonts w:ascii="Arial" w:hAnsi="Arial"/>
          <w:rtl/>
        </w:rPr>
        <w:t xml:space="preserve"> </w:t>
      </w:r>
      <w:r>
        <w:rPr>
          <w:rFonts w:ascii="Arial" w:hAnsi="Arial"/>
          <w:b/>
          <w:bCs/>
          <w:rtl/>
        </w:rPr>
        <w:t>נגאר נ' מדינת ישראל,</w:t>
      </w:r>
      <w:r>
        <w:rPr>
          <w:rFonts w:ascii="Arial" w:hAnsi="Arial"/>
          <w:rtl/>
        </w:rPr>
        <w:t xml:space="preserve"> פסקה 12 (31.7.2016)).</w:t>
      </w:r>
    </w:p>
    <w:p w14:paraId="2CC9A826" w14:textId="77777777" w:rsidR="00532FE9" w:rsidRDefault="00532FE9" w:rsidP="00156B48">
      <w:pPr>
        <w:pStyle w:val="ac"/>
        <w:spacing w:line="360" w:lineRule="auto"/>
        <w:ind w:left="786"/>
        <w:jc w:val="both"/>
        <w:rPr>
          <w:rFonts w:ascii="Arial" w:hAnsi="Arial"/>
          <w:rtl/>
        </w:rPr>
      </w:pPr>
    </w:p>
    <w:p w14:paraId="4F4484BB" w14:textId="77777777" w:rsidR="00532FE9" w:rsidRDefault="00532FE9" w:rsidP="00156B48">
      <w:pPr>
        <w:pStyle w:val="ac"/>
        <w:spacing w:line="360" w:lineRule="auto"/>
        <w:ind w:left="786"/>
        <w:jc w:val="both"/>
        <w:rPr>
          <w:rFonts w:ascii="Arial" w:hAnsi="Arial"/>
          <w:b/>
          <w:bCs/>
          <w:rtl/>
        </w:rPr>
      </w:pPr>
      <w:r>
        <w:rPr>
          <w:rFonts w:ascii="Arial" w:hAnsi="Arial"/>
          <w:b/>
          <w:bCs/>
          <w:rtl/>
        </w:rPr>
        <w:t xml:space="preserve">עוד יודגש הסיכון הרב הגלום בהשלכת בקבוקי תבערה בוערים:  </w:t>
      </w:r>
    </w:p>
    <w:p w14:paraId="12A4EC5A" w14:textId="77777777" w:rsidR="00532FE9" w:rsidRDefault="00532FE9" w:rsidP="00156B48">
      <w:pPr>
        <w:pStyle w:val="ac"/>
        <w:spacing w:line="360" w:lineRule="auto"/>
        <w:ind w:left="786"/>
        <w:jc w:val="both"/>
        <w:rPr>
          <w:rFonts w:ascii="Arial" w:hAnsi="Arial"/>
          <w:rtl/>
        </w:rPr>
      </w:pPr>
    </w:p>
    <w:p w14:paraId="5C0BFA2E" w14:textId="77777777" w:rsidR="00532FE9" w:rsidRDefault="00532FE9" w:rsidP="00156B48">
      <w:pPr>
        <w:pStyle w:val="ac"/>
        <w:overflowPunct w:val="0"/>
        <w:autoSpaceDE w:val="0"/>
        <w:autoSpaceDN w:val="0"/>
        <w:spacing w:line="360" w:lineRule="auto"/>
        <w:ind w:left="1440" w:right="709"/>
        <w:jc w:val="both"/>
        <w:rPr>
          <w:rFonts w:ascii="Arial TUR" w:hAnsi="Arial TUR" w:cs="FrankRuehl"/>
          <w:spacing w:val="10"/>
          <w:sz w:val="28"/>
          <w:szCs w:val="28"/>
          <w:rtl/>
        </w:rPr>
      </w:pPr>
      <w:r>
        <w:rPr>
          <w:rFonts w:ascii="Arial TUR" w:hAnsi="Arial TUR" w:cs="FrankRuehl"/>
          <w:spacing w:val="10"/>
          <w:sz w:val="28"/>
          <w:szCs w:val="28"/>
          <w:rtl/>
        </w:rPr>
        <w:t>"</w:t>
      </w:r>
      <w:r>
        <w:rPr>
          <w:b/>
          <w:bCs/>
          <w:spacing w:val="10"/>
          <w:rtl/>
        </w:rPr>
        <w:t>בית משפט זה עמד פעמים רבות מספור על החומרה שביידוי אבנים ובקבוקי תבערה. בקבוקי תבערה הריהם כנשק חם, כך גם תוחלת הסכנה מזריקתה של אבן – רבה וקשה. לדאבוננו חזינו לא אחת במצבים שבהם הסבו התפרעויות מעין אלו פגיעות משמעותיות בגוף וברכוש, לעיתים אף לאובדן חיי אדם. חומרתם של מעשים כגון דא גוברת כאשר הם... מבוצעים על רקע אידיאולוגי-לאומני</w:t>
      </w:r>
      <w:r>
        <w:rPr>
          <w:spacing w:val="10"/>
          <w:rtl/>
        </w:rPr>
        <w:t xml:space="preserve"> " (כב' השופט נ' סולברג בע"פ </w:t>
      </w:r>
      <w:hyperlink r:id="rId38" w:history="1">
        <w:r w:rsidR="004B749E" w:rsidRPr="004B749E">
          <w:rPr>
            <w:color w:val="0000FF"/>
            <w:spacing w:val="10"/>
            <w:u w:val="single"/>
            <w:rtl/>
          </w:rPr>
          <w:t xml:space="preserve">258/17 </w:t>
        </w:r>
      </w:hyperlink>
      <w:r>
        <w:rPr>
          <w:spacing w:val="10"/>
          <w:rtl/>
        </w:rPr>
        <w:t xml:space="preserve"> </w:t>
      </w:r>
      <w:r>
        <w:rPr>
          <w:b/>
          <w:bCs/>
          <w:spacing w:val="10"/>
          <w:rtl/>
        </w:rPr>
        <w:t>סלאח נ' מדינת ישראל</w:t>
      </w:r>
      <w:r>
        <w:rPr>
          <w:spacing w:val="10"/>
          <w:rtl/>
        </w:rPr>
        <w:t xml:space="preserve">, פסקה 17 (1.8.2017). </w:t>
      </w:r>
    </w:p>
    <w:p w14:paraId="5289AD79" w14:textId="77777777" w:rsidR="00532FE9" w:rsidRDefault="00532FE9" w:rsidP="00156B48">
      <w:pPr>
        <w:pStyle w:val="ac"/>
        <w:spacing w:line="360" w:lineRule="auto"/>
        <w:ind w:left="786"/>
        <w:jc w:val="both"/>
        <w:rPr>
          <w:rtl/>
        </w:rPr>
      </w:pPr>
    </w:p>
    <w:p w14:paraId="06D0D0FB" w14:textId="77777777" w:rsidR="00532FE9" w:rsidRDefault="00532FE9" w:rsidP="00156B48">
      <w:pPr>
        <w:pStyle w:val="ac"/>
        <w:numPr>
          <w:ilvl w:val="0"/>
          <w:numId w:val="3"/>
        </w:numPr>
        <w:spacing w:line="360" w:lineRule="auto"/>
        <w:jc w:val="both"/>
      </w:pPr>
      <w:r>
        <w:rPr>
          <w:rtl/>
        </w:rPr>
        <w:t xml:space="preserve">נאשמים 1 ו-2 הורשעו גם בעבירה של החזקת נשק. ביום 6.7.2021  החזיק נאשם 2 במקום מסתור בבית סבו, אקדח חצי אוטומטי ותחמושת מתאימה, כשנאשם 1 סייע בידו. העבירה בוצעה בתקופה מאוחרת לאישום השני, לא נטען לאינדיקציה לשימוש בו לצורך ביצוע עבירה פלילית או ביטחונית. נאשם 3 הורשע בכך שנטל חלק בהתפרעות בסמוך לתחנת המשטרה בעיר לוד, ויידוי ארבע אבנים לעבר כוחות ותחנת המשטרה, ממרחק שאינו ידוע. הרקע למעשה דומה, המעשה בוצע ברקע ההתפרעויות שאירעו בחודש מאי 2021, הנאשם נטל חלק פעיל בהתפרעות ויידה אבנים במטרה לפגוע בכוחות הביטחון. </w:t>
      </w:r>
    </w:p>
    <w:p w14:paraId="13EDCE61" w14:textId="77777777" w:rsidR="00532FE9" w:rsidRDefault="00532FE9" w:rsidP="00156B48">
      <w:pPr>
        <w:pStyle w:val="ac"/>
        <w:spacing w:line="360" w:lineRule="auto"/>
        <w:ind w:left="786"/>
        <w:jc w:val="both"/>
      </w:pPr>
    </w:p>
    <w:p w14:paraId="251324A0" w14:textId="77777777" w:rsidR="00532FE9" w:rsidRDefault="00532FE9" w:rsidP="00156B48">
      <w:pPr>
        <w:pStyle w:val="ac"/>
        <w:numPr>
          <w:ilvl w:val="0"/>
          <w:numId w:val="3"/>
        </w:numPr>
        <w:spacing w:line="360" w:lineRule="auto"/>
        <w:jc w:val="both"/>
      </w:pPr>
      <w:r>
        <w:rPr>
          <w:rtl/>
        </w:rPr>
        <w:t xml:space="preserve">עיון בפסיקה במקרים דומים, שבהם בוצעו עבירות אלימות במהלך ההתפרעויות בתקופת מבצע "שומר חומות" ובמקרים אחרים שבהם בוצעו המעשים על רקע לאומני, מעלה כי, על דרך הכלל, נגזרים על מבצעיהם עונשי מאסר ממושכים. במקרים שבהם הורשעו נאשמים בביצוע המעשים בנסיבות </w:t>
      </w:r>
      <w:hyperlink r:id="rId39" w:history="1">
        <w:r w:rsidR="00FC6920" w:rsidRPr="00FC6920">
          <w:rPr>
            <w:rStyle w:val="Hyperlink"/>
            <w:rtl/>
          </w:rPr>
          <w:t>סעיף 37</w:t>
        </w:r>
      </w:hyperlink>
      <w:r>
        <w:rPr>
          <w:rtl/>
        </w:rPr>
        <w:t xml:space="preserve"> לחוק המאבק בטרור, הקובע כפל עונש בגין אותן עבירות, רף הענישה חמור יותר. </w:t>
      </w:r>
    </w:p>
    <w:p w14:paraId="6A70C93E" w14:textId="77777777" w:rsidR="00532FE9" w:rsidRDefault="00532FE9" w:rsidP="00156B48">
      <w:pPr>
        <w:pStyle w:val="ac"/>
      </w:pPr>
    </w:p>
    <w:p w14:paraId="03E5356E" w14:textId="77777777" w:rsidR="00532FE9" w:rsidRDefault="00703474" w:rsidP="00156B48">
      <w:pPr>
        <w:numPr>
          <w:ilvl w:val="0"/>
          <w:numId w:val="4"/>
        </w:numPr>
        <w:spacing w:line="360" w:lineRule="auto"/>
        <w:ind w:left="786"/>
        <w:contextualSpacing/>
        <w:jc w:val="both"/>
        <w:rPr>
          <w:rtl/>
        </w:rPr>
      </w:pPr>
      <w:hyperlink r:id="rId40" w:history="1">
        <w:r w:rsidRPr="00703474">
          <w:rPr>
            <w:rFonts w:ascii="Arial" w:hAnsi="Arial"/>
            <w:color w:val="0000FF"/>
            <w:u w:val="single"/>
            <w:rtl/>
          </w:rPr>
          <w:t>ע"פ 5794/15</w:t>
        </w:r>
      </w:hyperlink>
      <w:r w:rsidR="00532FE9">
        <w:rPr>
          <w:rFonts w:ascii="Arial" w:hAnsi="Arial"/>
          <w:rtl/>
        </w:rPr>
        <w:t xml:space="preserve"> </w:t>
      </w:r>
      <w:r w:rsidR="00532FE9">
        <w:rPr>
          <w:rFonts w:ascii="Arial" w:hAnsi="Arial"/>
          <w:b/>
          <w:bCs/>
          <w:rtl/>
        </w:rPr>
        <w:t>מדינת ישראל נ' טויטו</w:t>
      </w:r>
      <w:r w:rsidR="00532FE9">
        <w:rPr>
          <w:rFonts w:ascii="Arial" w:hAnsi="Arial"/>
          <w:rtl/>
        </w:rPr>
        <w:t xml:space="preserve"> (31.10.16) - שני נאשמים בפרשת הצתת בית הספר הדו-לשוני בירושלים על רקע אידיאולוגי. על הנאשמים נגזרו עונשי מאסר בני 24 חודשים ו-30 חודשים. ערעור המדינה התקבל, בהתאם לכך, הוספו 8 חודשי מאסר לעונש של כל אחד מהנאשמים כך שבסופו של דבר העונשים הועמדו על 32 חודשים ו-38 חודשים.</w:t>
      </w:r>
    </w:p>
    <w:p w14:paraId="0B3F71A4" w14:textId="77777777" w:rsidR="00532FE9" w:rsidRDefault="00532FE9" w:rsidP="00156B48">
      <w:pPr>
        <w:spacing w:line="360" w:lineRule="auto"/>
        <w:ind w:left="786"/>
        <w:contextualSpacing/>
        <w:jc w:val="both"/>
      </w:pPr>
    </w:p>
    <w:p w14:paraId="1BF7484B" w14:textId="77777777" w:rsidR="00532FE9" w:rsidRDefault="00703474" w:rsidP="00156B48">
      <w:pPr>
        <w:pStyle w:val="ac"/>
        <w:numPr>
          <w:ilvl w:val="0"/>
          <w:numId w:val="4"/>
        </w:numPr>
        <w:spacing w:line="360" w:lineRule="auto"/>
        <w:jc w:val="both"/>
        <w:rPr>
          <w:rFonts w:ascii="Arial" w:hAnsi="Arial"/>
        </w:rPr>
      </w:pPr>
      <w:hyperlink r:id="rId41" w:history="1">
        <w:r w:rsidRPr="00703474">
          <w:rPr>
            <w:rFonts w:ascii="Arial" w:hAnsi="Arial"/>
            <w:color w:val="0000FF"/>
            <w:u w:val="single"/>
            <w:rtl/>
          </w:rPr>
          <w:t>ע"פ 6928/17</w:t>
        </w:r>
      </w:hyperlink>
      <w:r w:rsidR="00532FE9">
        <w:rPr>
          <w:rFonts w:ascii="Arial" w:hAnsi="Arial"/>
          <w:rtl/>
        </w:rPr>
        <w:t xml:space="preserve"> </w:t>
      </w:r>
      <w:r w:rsidR="00532FE9">
        <w:rPr>
          <w:rFonts w:ascii="Arial" w:hAnsi="Arial"/>
          <w:b/>
          <w:bCs/>
          <w:rtl/>
        </w:rPr>
        <w:t>מדינת ישראל נ' אשרף</w:t>
      </w:r>
      <w:r w:rsidR="00532FE9">
        <w:rPr>
          <w:rFonts w:ascii="Arial" w:hAnsi="Arial"/>
          <w:rtl/>
        </w:rPr>
        <w:t xml:space="preserve"> (16.8.18) - התקבל ערעור המדינה ונדחה ערעורו של אחד המערערים שהורשע בהצתת כנסיית הלחם והדגים על רקע אידיאולוגי.  המערער הורשע בעבירות הצתה, השחתת פני מקרקעין ממניע של עוינות כלפי ציבור, קשירת קשר לביצוע פשע ומעשים אחרים והסתייעות ברכב לביצוע פשע. עונשו הוחמר  והועמד על 5.5 שנות מאסר בפועל, חלף 4 שנים. </w:t>
      </w:r>
    </w:p>
    <w:p w14:paraId="789D230F" w14:textId="77777777" w:rsidR="00532FE9" w:rsidRDefault="00532FE9" w:rsidP="00156B48">
      <w:pPr>
        <w:spacing w:line="360" w:lineRule="auto"/>
        <w:ind w:left="720"/>
        <w:jc w:val="both"/>
        <w:rPr>
          <w:rFonts w:ascii="Arial" w:hAnsi="Arial"/>
          <w:rtl/>
        </w:rPr>
      </w:pPr>
    </w:p>
    <w:p w14:paraId="3F56F108" w14:textId="77777777" w:rsidR="00532FE9" w:rsidRDefault="00703474" w:rsidP="00156B48">
      <w:pPr>
        <w:pStyle w:val="ac"/>
        <w:numPr>
          <w:ilvl w:val="0"/>
          <w:numId w:val="4"/>
        </w:numPr>
        <w:spacing w:line="360" w:lineRule="auto"/>
        <w:ind w:left="786"/>
        <w:jc w:val="both"/>
        <w:rPr>
          <w:rtl/>
        </w:rPr>
      </w:pPr>
      <w:hyperlink r:id="rId42" w:history="1">
        <w:r w:rsidRPr="00703474">
          <w:rPr>
            <w:rFonts w:ascii="Arial" w:hAnsi="Arial"/>
            <w:color w:val="0000FF"/>
            <w:u w:val="single"/>
            <w:rtl/>
          </w:rPr>
          <w:t>ע"פ 9821/16</w:t>
        </w:r>
      </w:hyperlink>
      <w:r w:rsidR="00532FE9">
        <w:rPr>
          <w:rFonts w:ascii="Arial" w:hAnsi="Arial"/>
          <w:rtl/>
        </w:rPr>
        <w:t xml:space="preserve"> </w:t>
      </w:r>
      <w:r w:rsidR="00532FE9">
        <w:rPr>
          <w:rFonts w:ascii="Arial" w:hAnsi="Arial"/>
          <w:b/>
          <w:bCs/>
          <w:rtl/>
        </w:rPr>
        <w:t xml:space="preserve">פלוני נ' מדינת ישראל </w:t>
      </w:r>
      <w:r w:rsidR="00532FE9">
        <w:rPr>
          <w:rFonts w:ascii="Arial" w:hAnsi="Arial"/>
          <w:rtl/>
        </w:rPr>
        <w:t xml:space="preserve">(30.11.17) - נדחו ערעורים של נאשמים שהורשעו בהשלכת בקבוקי תבערה ויידוי אבנים לעבר תושבים יהודים וכוחות ביטחון בעיר העתיקה בירושלים. בבית המשפט המחוזי הוטלו עליהם עונשים כדלקמן: 5 שנות מאסר, 6.5 שנות מאסר ו-7 שנות מאסר. </w:t>
      </w:r>
    </w:p>
    <w:p w14:paraId="0569A00B" w14:textId="77777777" w:rsidR="00532FE9" w:rsidRDefault="00532FE9" w:rsidP="00156B48">
      <w:pPr>
        <w:pStyle w:val="ac"/>
      </w:pPr>
    </w:p>
    <w:p w14:paraId="402D7B32" w14:textId="77777777" w:rsidR="00532FE9" w:rsidRDefault="00532FE9" w:rsidP="00156B48">
      <w:pPr>
        <w:pStyle w:val="ac"/>
        <w:numPr>
          <w:ilvl w:val="0"/>
          <w:numId w:val="4"/>
        </w:numPr>
        <w:spacing w:line="360" w:lineRule="auto"/>
        <w:jc w:val="both"/>
        <w:rPr>
          <w:rFonts w:ascii="Arial" w:hAnsi="Arial"/>
          <w:rtl/>
        </w:rPr>
      </w:pPr>
      <w:r>
        <w:rPr>
          <w:rFonts w:ascii="Arial" w:hAnsi="Arial"/>
          <w:rtl/>
        </w:rPr>
        <w:t xml:space="preserve">בת"פ (מחוזי חי') </w:t>
      </w:r>
      <w:hyperlink r:id="rId43" w:history="1">
        <w:r w:rsidR="004B749E" w:rsidRPr="004B749E">
          <w:rPr>
            <w:rFonts w:ascii="Arial" w:hAnsi="Arial"/>
            <w:color w:val="0000FF"/>
            <w:u w:val="single"/>
            <w:rtl/>
          </w:rPr>
          <w:t xml:space="preserve">1734-07-21 </w:t>
        </w:r>
      </w:hyperlink>
      <w:r>
        <w:rPr>
          <w:rFonts w:ascii="Arial" w:hAnsi="Arial"/>
          <w:rtl/>
        </w:rPr>
        <w:t xml:space="preserve"> </w:t>
      </w:r>
      <w:r>
        <w:rPr>
          <w:rFonts w:ascii="Arial" w:hAnsi="Arial"/>
          <w:b/>
          <w:bCs/>
          <w:rtl/>
        </w:rPr>
        <w:t xml:space="preserve">מדינת ישראל נ' עראווי </w:t>
      </w:r>
      <w:r>
        <w:rPr>
          <w:rFonts w:ascii="Arial" w:hAnsi="Arial"/>
          <w:rtl/>
        </w:rPr>
        <w:t xml:space="preserve"> (2.3.2023) נדונו לאחרונה מספר נאשמים שהיו מעורבים, בין היתר, בהצתת מלון בבעלות יהודים, בעכו. נאשם 5, שהוא הרלוונטי לענייננו, נדון בין השאר בגין עבירות של מעשה טרור של הצתה ופעולה בנשק למטרות טרור, בכך שהשליך בקבוק תבערה בוער לעבר המלון בו שהו באותה עת אורחים ועובדים (לא יוחס לו האישום הנוגע למותו של אחד האורחים). בית המשפט קבע בגין אישום זה מתחם הנע בין 30-60 חודשי מאסר וגזר עליו עונש כולל (גם בגין מעורבות בעבירות התפרעות) בן 60 חודשים. </w:t>
      </w:r>
    </w:p>
    <w:p w14:paraId="2BDC05A8" w14:textId="77777777" w:rsidR="00532FE9" w:rsidRDefault="00532FE9" w:rsidP="00156B48">
      <w:pPr>
        <w:pStyle w:val="ac"/>
      </w:pPr>
    </w:p>
    <w:p w14:paraId="32D1C55D" w14:textId="77777777" w:rsidR="00532FE9" w:rsidRDefault="00532FE9" w:rsidP="00156B48">
      <w:pPr>
        <w:pStyle w:val="ac"/>
        <w:numPr>
          <w:ilvl w:val="0"/>
          <w:numId w:val="4"/>
        </w:numPr>
        <w:spacing w:line="360" w:lineRule="auto"/>
        <w:jc w:val="both"/>
        <w:rPr>
          <w:rFonts w:ascii="Arial" w:hAnsi="Arial"/>
          <w:rtl/>
        </w:rPr>
      </w:pPr>
      <w:r>
        <w:rPr>
          <w:rtl/>
        </w:rPr>
        <w:t>ב</w:t>
      </w:r>
      <w:hyperlink r:id="rId44" w:history="1">
        <w:r w:rsidR="00703474" w:rsidRPr="00703474">
          <w:rPr>
            <w:rFonts w:ascii="Arial" w:hAnsi="Arial"/>
            <w:color w:val="0000FF"/>
            <w:u w:val="single"/>
            <w:rtl/>
          </w:rPr>
          <w:t>ת"פ (מחוזי י-ם) 66152-06-20</w:t>
        </w:r>
      </w:hyperlink>
      <w:r>
        <w:rPr>
          <w:rFonts w:ascii="Arial" w:hAnsi="Arial"/>
          <w:rtl/>
        </w:rPr>
        <w:t xml:space="preserve"> </w:t>
      </w:r>
      <w:r>
        <w:rPr>
          <w:rFonts w:ascii="Arial" w:hAnsi="Arial"/>
          <w:b/>
          <w:bCs/>
          <w:rtl/>
        </w:rPr>
        <w:t>מדינת ישראל נ' אבו סכראן</w:t>
      </w:r>
      <w:r>
        <w:rPr>
          <w:rFonts w:ascii="Arial" w:hAnsi="Arial"/>
          <w:rtl/>
        </w:rPr>
        <w:t xml:space="preserve"> (7.3.2021) – שני הנאשמים הורשעו במספר עבירות, בהן, מעשה טרור של הצתה ושתי עבירות מעשה טרור של ניסיון להיזק בזדון. הנאשמים השליכו בקבוקי תבערה וירו זיקוקים אל עבר בתי מגורים של משפחות יהודיות בשכונה בי-ם ולעבר כלי רכב של יהודים. בעניין הנאשם 1, שהורשע בארבעת האישומים נקבע מתחם עונש בין 20 ל-40 חודשי מאסר והושתו עליו 26 חודשי מאסר בפועל. </w:t>
      </w:r>
    </w:p>
    <w:p w14:paraId="348D57A1" w14:textId="77777777" w:rsidR="00532FE9" w:rsidRDefault="00532FE9" w:rsidP="00156B48">
      <w:pPr>
        <w:spacing w:line="360" w:lineRule="auto"/>
        <w:jc w:val="both"/>
        <w:rPr>
          <w:rFonts w:ascii="Arial" w:hAnsi="Arial"/>
          <w:rtl/>
        </w:rPr>
      </w:pPr>
    </w:p>
    <w:p w14:paraId="2D6782F9" w14:textId="77777777" w:rsidR="00532FE9" w:rsidRDefault="00703474" w:rsidP="00156B48">
      <w:pPr>
        <w:pStyle w:val="ac"/>
        <w:numPr>
          <w:ilvl w:val="0"/>
          <w:numId w:val="4"/>
        </w:numPr>
        <w:spacing w:line="360" w:lineRule="auto"/>
        <w:jc w:val="both"/>
        <w:rPr>
          <w:rFonts w:ascii="Arial" w:hAnsi="Arial"/>
          <w:rtl/>
        </w:rPr>
      </w:pPr>
      <w:hyperlink r:id="rId45" w:history="1">
        <w:r w:rsidRPr="00703474">
          <w:rPr>
            <w:rFonts w:ascii="Arial" w:hAnsi="Arial"/>
            <w:color w:val="0000FF"/>
            <w:u w:val="single"/>
            <w:rtl/>
          </w:rPr>
          <w:t>ת"פ (מחוזי י-ם) 30932-05-21</w:t>
        </w:r>
      </w:hyperlink>
      <w:r w:rsidR="00532FE9">
        <w:rPr>
          <w:rFonts w:ascii="Arial" w:hAnsi="Arial"/>
          <w:rtl/>
        </w:rPr>
        <w:t xml:space="preserve"> </w:t>
      </w:r>
      <w:r w:rsidR="00532FE9">
        <w:rPr>
          <w:rFonts w:ascii="Arial" w:hAnsi="Arial"/>
          <w:b/>
          <w:bCs/>
          <w:rtl/>
        </w:rPr>
        <w:t>מדינת ישראל נ' יאזן</w:t>
      </w:r>
      <w:r w:rsidR="00532FE9">
        <w:rPr>
          <w:rFonts w:ascii="Arial" w:hAnsi="Arial"/>
          <w:rtl/>
        </w:rPr>
        <w:t xml:space="preserve"> (24.5.2022)‏‏ – הנאשם הורשע על-פי הודאתו בשורה של עבירות שנעברו בארבעה אירועים (ארבעה אישומים) שעניינם התפרעויות, יידוי בקבוקי תבערה וזיקוקים אל עבר כוחות הביטחון בשכונה במזרח י-ם. בין השאר הורשע במעשה פזיזות ורשלנות, ניסיון מעשה טרור של ניסיון הצתה, הפרעה לשוטר בנסיבות מחמירות וניסיון תקיפת שוטר בנסיבות מחמירות. נקבע מתחם עונש בין 3-7 שנות מאסר. על הנאשם, צעיר ללא עבר, הושתו 40 חודשי מאסר ומאסר מותנה.</w:t>
      </w:r>
    </w:p>
    <w:p w14:paraId="771848DF" w14:textId="77777777" w:rsidR="00532FE9" w:rsidRDefault="00532FE9" w:rsidP="00156B48">
      <w:pPr>
        <w:spacing w:line="360" w:lineRule="auto"/>
        <w:ind w:left="720"/>
        <w:jc w:val="both"/>
        <w:rPr>
          <w:rFonts w:ascii="Arial" w:hAnsi="Arial"/>
          <w:rtl/>
        </w:rPr>
      </w:pPr>
    </w:p>
    <w:p w14:paraId="79B0789C" w14:textId="77777777" w:rsidR="00532FE9" w:rsidRDefault="00703474" w:rsidP="00156B48">
      <w:pPr>
        <w:pStyle w:val="ac"/>
        <w:numPr>
          <w:ilvl w:val="0"/>
          <w:numId w:val="4"/>
        </w:numPr>
        <w:spacing w:line="360" w:lineRule="auto"/>
        <w:jc w:val="both"/>
        <w:rPr>
          <w:rFonts w:ascii="Arial" w:hAnsi="Arial"/>
          <w:rtl/>
        </w:rPr>
      </w:pPr>
      <w:hyperlink r:id="rId46" w:history="1">
        <w:r w:rsidRPr="00703474">
          <w:rPr>
            <w:rFonts w:ascii="Arial" w:hAnsi="Arial"/>
            <w:color w:val="0000FF"/>
            <w:u w:val="single"/>
            <w:rtl/>
          </w:rPr>
          <w:t>ת"פ (מחוזי י-ם) 10894-06-21</w:t>
        </w:r>
      </w:hyperlink>
      <w:r w:rsidR="00532FE9">
        <w:rPr>
          <w:rFonts w:ascii="Arial" w:hAnsi="Arial"/>
          <w:rtl/>
        </w:rPr>
        <w:t xml:space="preserve"> </w:t>
      </w:r>
      <w:r w:rsidR="00532FE9">
        <w:rPr>
          <w:rFonts w:ascii="Arial" w:hAnsi="Arial"/>
          <w:b/>
          <w:bCs/>
          <w:rtl/>
        </w:rPr>
        <w:t xml:space="preserve">מדינת ישראל נ' אבו זינה </w:t>
      </w:r>
      <w:r w:rsidR="00532FE9">
        <w:rPr>
          <w:rFonts w:ascii="Arial" w:hAnsi="Arial"/>
          <w:rtl/>
        </w:rPr>
        <w:t>(8.12.2021) – הנאשם הורשע בעבירות התפרעות, מעשה פזיזות ורשלנות, פעולה בנשק למטרת טרור ומעשה טרור של חבלה בכוונה מחמירה. מדובר בהצתת צמיגים והשלכתם אל כוחות הבטחון וביידוי אבנים וירי זיקוקים לעברם. נקבע מתחם עונש בין 30 ל-60 חודשי מאסר בפועל. על הנאשם, כבן 24, נעדר עבר פלילי, הושתו 30 חודשי מאסר בפועל ומאסר מותנה. ערעורו על העונש נדחה (</w:t>
      </w:r>
      <w:hyperlink r:id="rId47" w:history="1">
        <w:r w:rsidRPr="00703474">
          <w:rPr>
            <w:rFonts w:ascii="Arial" w:hAnsi="Arial"/>
            <w:color w:val="0000FF"/>
            <w:u w:val="single"/>
            <w:rtl/>
          </w:rPr>
          <w:t>ע"פ 18/22</w:t>
        </w:r>
      </w:hyperlink>
      <w:r w:rsidR="00532FE9">
        <w:rPr>
          <w:rFonts w:ascii="Arial" w:hAnsi="Arial"/>
          <w:rtl/>
        </w:rPr>
        <w:t xml:space="preserve"> </w:t>
      </w:r>
      <w:r w:rsidR="00532FE9">
        <w:rPr>
          <w:rFonts w:ascii="Arial" w:hAnsi="Arial"/>
          <w:b/>
          <w:bCs/>
          <w:rtl/>
        </w:rPr>
        <w:t>אבו זינה נ' מדינת ישראל</w:t>
      </w:r>
      <w:r w:rsidR="00532FE9">
        <w:rPr>
          <w:rFonts w:ascii="Arial" w:hAnsi="Arial"/>
          <w:rtl/>
        </w:rPr>
        <w:t xml:space="preserve"> (‏27.7.2022)).</w:t>
      </w:r>
    </w:p>
    <w:p w14:paraId="02100491" w14:textId="77777777" w:rsidR="00532FE9" w:rsidRDefault="00532FE9" w:rsidP="00156B48">
      <w:pPr>
        <w:spacing w:line="360" w:lineRule="auto"/>
        <w:ind w:left="720"/>
        <w:jc w:val="both"/>
        <w:rPr>
          <w:rFonts w:ascii="Arial" w:hAnsi="Arial"/>
          <w:rtl/>
        </w:rPr>
      </w:pPr>
    </w:p>
    <w:p w14:paraId="3B8BE6F3" w14:textId="77777777" w:rsidR="00532FE9" w:rsidRDefault="00703474" w:rsidP="00156B48">
      <w:pPr>
        <w:pStyle w:val="ac"/>
        <w:numPr>
          <w:ilvl w:val="0"/>
          <w:numId w:val="4"/>
        </w:numPr>
        <w:spacing w:line="360" w:lineRule="auto"/>
        <w:jc w:val="both"/>
        <w:rPr>
          <w:rFonts w:ascii="Arial" w:hAnsi="Arial"/>
          <w:rtl/>
        </w:rPr>
      </w:pPr>
      <w:hyperlink r:id="rId48" w:history="1">
        <w:r w:rsidRPr="00703474">
          <w:rPr>
            <w:rFonts w:ascii="Arial" w:hAnsi="Arial"/>
            <w:color w:val="0000FF"/>
            <w:u w:val="single"/>
            <w:rtl/>
          </w:rPr>
          <w:t>ת"פ (מחוזי י-ם) 40220-06-21</w:t>
        </w:r>
      </w:hyperlink>
      <w:r w:rsidR="00532FE9">
        <w:rPr>
          <w:rFonts w:ascii="Arial" w:hAnsi="Arial"/>
          <w:rtl/>
        </w:rPr>
        <w:t xml:space="preserve"> </w:t>
      </w:r>
      <w:r w:rsidR="00532FE9">
        <w:rPr>
          <w:rFonts w:ascii="Arial" w:hAnsi="Arial"/>
          <w:b/>
          <w:bCs/>
          <w:rtl/>
        </w:rPr>
        <w:t>מדינת ישראל נ' ג'אבר</w:t>
      </w:r>
      <w:r w:rsidR="00532FE9">
        <w:rPr>
          <w:rFonts w:ascii="Arial" w:hAnsi="Arial"/>
          <w:rtl/>
        </w:rPr>
        <w:t xml:space="preserve"> (6.7.2022) – הנאשם הורשע  בעבירות מעשה טרור של ניסיון הצתה, מעשה טרור של חבלה בכוונה מחמירה, יידוי אבן לעבר אוטובוס בתקופת מבצע 'שומר חומות'. נקבע מתחם עונש בין 30 ל-60 חודשי מאסר. על הנאשם, כבן 23, נעדר עבר, הושתו 38 חודשי מאסר. </w:t>
      </w:r>
    </w:p>
    <w:p w14:paraId="0127BB92" w14:textId="77777777" w:rsidR="00532FE9" w:rsidRDefault="00532FE9" w:rsidP="00156B48">
      <w:pPr>
        <w:pStyle w:val="ac"/>
        <w:rPr>
          <w:b/>
          <w:bCs/>
        </w:rPr>
      </w:pPr>
    </w:p>
    <w:p w14:paraId="6C53787F" w14:textId="77777777" w:rsidR="00532FE9" w:rsidRDefault="00532FE9" w:rsidP="00156B48">
      <w:pPr>
        <w:pStyle w:val="ac"/>
        <w:numPr>
          <w:ilvl w:val="0"/>
          <w:numId w:val="3"/>
        </w:numPr>
        <w:spacing w:after="120" w:line="360" w:lineRule="auto"/>
        <w:jc w:val="both"/>
        <w:rPr>
          <w:rFonts w:ascii="Times New Roman" w:hAnsi="Times New Roman"/>
          <w:rtl/>
        </w:rPr>
      </w:pPr>
      <w:r>
        <w:rPr>
          <w:rtl/>
        </w:rPr>
        <w:t>נאשמים 1 ו-2 הורשעו גם בעבירה של החזקת נשק, רמת הענישה בעבירות נשק מצויה במגמת ההחמרה עיקבית ומתמשכת, מתחם הענישה בגין עבירת החזקת נשק נע, ברגיל, בין 15-30 חודשי מאסר (</w:t>
      </w:r>
      <w:hyperlink r:id="rId49" w:history="1">
        <w:r w:rsidR="00703474" w:rsidRPr="00703474">
          <w:rPr>
            <w:color w:val="0000FF"/>
            <w:u w:val="single"/>
            <w:rtl/>
          </w:rPr>
          <w:t>ע"פ 2482/22</w:t>
        </w:r>
      </w:hyperlink>
      <w:r>
        <w:rPr>
          <w:rtl/>
        </w:rPr>
        <w:t xml:space="preserve"> </w:t>
      </w:r>
      <w:r>
        <w:rPr>
          <w:b/>
          <w:bCs/>
          <w:rtl/>
        </w:rPr>
        <w:t>מדינת ישראל נ' קדורה</w:t>
      </w:r>
      <w:r>
        <w:rPr>
          <w:rtl/>
        </w:rPr>
        <w:t xml:space="preserve">, פ' 6 (14.04.2022)); </w:t>
      </w:r>
      <w:hyperlink r:id="rId50" w:history="1">
        <w:r w:rsidR="00703474" w:rsidRPr="00703474">
          <w:rPr>
            <w:rFonts w:ascii="Times New Roman" w:hAnsi="Times New Roman"/>
            <w:color w:val="0000FF"/>
            <w:u w:val="single"/>
            <w:rtl/>
          </w:rPr>
          <w:t>ע"פ 8320/21</w:t>
        </w:r>
      </w:hyperlink>
      <w:r>
        <w:rPr>
          <w:rFonts w:ascii="Times New Roman" w:hAnsi="Times New Roman"/>
          <w:rtl/>
        </w:rPr>
        <w:t xml:space="preserve"> </w:t>
      </w:r>
      <w:r>
        <w:rPr>
          <w:rFonts w:ascii="Times New Roman" w:hAnsi="Times New Roman"/>
          <w:b/>
          <w:bCs/>
          <w:rtl/>
        </w:rPr>
        <w:t>מדינת ישראל נ' בסילה</w:t>
      </w:r>
      <w:r>
        <w:rPr>
          <w:rFonts w:ascii="Times New Roman" w:hAnsi="Times New Roman"/>
          <w:rtl/>
        </w:rPr>
        <w:t xml:space="preserve"> (28.12.2021);</w:t>
      </w:r>
      <w:hyperlink r:id="rId51" w:history="1">
        <w:r w:rsidR="00703474" w:rsidRPr="00703474">
          <w:rPr>
            <w:rFonts w:ascii="Times New Roman" w:hAnsi="Times New Roman"/>
            <w:color w:val="0000FF"/>
            <w:u w:val="single"/>
            <w:rtl/>
          </w:rPr>
          <w:t>ע"פ 1826/19</w:t>
        </w:r>
      </w:hyperlink>
      <w:r>
        <w:rPr>
          <w:rFonts w:ascii="Times New Roman" w:hAnsi="Times New Roman"/>
          <w:rtl/>
        </w:rPr>
        <w:t xml:space="preserve"> </w:t>
      </w:r>
      <w:r>
        <w:rPr>
          <w:rFonts w:ascii="Times New Roman" w:hAnsi="Times New Roman"/>
          <w:b/>
          <w:bCs/>
          <w:rtl/>
        </w:rPr>
        <w:t>אבו עסא נ' מדינת ישראל</w:t>
      </w:r>
      <w:r>
        <w:rPr>
          <w:rFonts w:ascii="Times New Roman" w:hAnsi="Times New Roman"/>
          <w:rtl/>
        </w:rPr>
        <w:t xml:space="preserve"> (11.7.2019). </w:t>
      </w:r>
    </w:p>
    <w:p w14:paraId="5942A3A3" w14:textId="77777777" w:rsidR="00532FE9" w:rsidRDefault="00532FE9" w:rsidP="00156B48">
      <w:pPr>
        <w:pStyle w:val="ac"/>
        <w:spacing w:after="120" w:line="360" w:lineRule="auto"/>
        <w:ind w:left="786"/>
        <w:jc w:val="both"/>
        <w:rPr>
          <w:rFonts w:ascii="Times New Roman" w:hAnsi="Times New Roman"/>
        </w:rPr>
      </w:pPr>
    </w:p>
    <w:p w14:paraId="6C8C8133" w14:textId="77777777" w:rsidR="00532FE9" w:rsidRDefault="00532FE9" w:rsidP="00156B48">
      <w:pPr>
        <w:spacing w:line="360" w:lineRule="auto"/>
        <w:ind w:left="786"/>
        <w:jc w:val="both"/>
      </w:pPr>
      <w:r>
        <w:rPr>
          <w:rtl/>
        </w:rPr>
        <w:t>אשר לעבירות ההתפרעות ויידוי האבנים כלפי שוטרים שבהן הורשע נאשם 3 במסגרת האישום החמישי - ב</w:t>
      </w:r>
      <w:hyperlink r:id="rId52" w:history="1">
        <w:r w:rsidR="00703474" w:rsidRPr="00703474">
          <w:rPr>
            <w:color w:val="0000FF"/>
            <w:u w:val="single"/>
            <w:rtl/>
          </w:rPr>
          <w:t>ע"פ 6216/19</w:t>
        </w:r>
      </w:hyperlink>
      <w:r>
        <w:rPr>
          <w:rtl/>
        </w:rPr>
        <w:t xml:space="preserve"> </w:t>
      </w:r>
      <w:r>
        <w:rPr>
          <w:b/>
          <w:bCs/>
          <w:rtl/>
        </w:rPr>
        <w:t>דארי נ'</w:t>
      </w:r>
      <w:r>
        <w:rPr>
          <w:b/>
          <w:bCs/>
        </w:rPr>
        <w:t xml:space="preserve"> </w:t>
      </w:r>
      <w:r>
        <w:rPr>
          <w:b/>
          <w:bCs/>
          <w:rtl/>
        </w:rPr>
        <w:t>מדינת ישראל</w:t>
      </w:r>
      <w:r>
        <w:rPr>
          <w:rtl/>
        </w:rPr>
        <w:t xml:space="preserve"> (24.5.20)), נדחה ערעור של מערער שהורשע בעבירות של התפרעות וניסיון לתקיפת שוטר, המערער יידה מספר אבנים לעבר כוחות הביטחון ממרחק של 40 מטרים. נקבע מתחם ענישה הנע בין 24-10 חודשי מאסר. הנאשם, בן 19 במועד ביצוע העבירות, נדון למאסר בן 15 חודשים ובנוסף הפעלה במצטבר של שלושה חודשי מאסר על תנאי, סך הכל מאסר בן 18 חודשים; ב</w:t>
      </w:r>
      <w:hyperlink r:id="rId53" w:history="1">
        <w:r w:rsidR="00703474" w:rsidRPr="00703474">
          <w:rPr>
            <w:color w:val="0000FF"/>
            <w:u w:val="single"/>
            <w:rtl/>
          </w:rPr>
          <w:t>ע"פ 4324/16</w:t>
        </w:r>
      </w:hyperlink>
      <w:r>
        <w:rPr>
          <w:rtl/>
        </w:rPr>
        <w:t xml:space="preserve"> </w:t>
      </w:r>
      <w:r>
        <w:rPr>
          <w:b/>
          <w:bCs/>
          <w:rtl/>
        </w:rPr>
        <w:t>נגאר נ' מדינת ישראל</w:t>
      </w:r>
      <w:r>
        <w:rPr>
          <w:rtl/>
        </w:rPr>
        <w:t xml:space="preserve"> (31.7.2016) נדחה ערעור המערער שהורשע, בין השאר, בעבירת ניסיון תקיפת שוטר בנסיבות מחמירות, התפרעות ויידוי אבן לעבר כלי תחבורה. בגין אישום זה נקבע מתחם ענישה הנע בין 30-12 חודשי מאסר. במסגרת האישום השני יידה אבנים לעבר רכבי כוחות הביטחון. בגין אישום זה נקבע מתחם ענישה הנע בין 45-20 חודשי מאסר.  המערער, צעיר ללא עבר פלילי, נדון למאסר בן 28 חודשים; ב</w:t>
      </w:r>
      <w:hyperlink r:id="rId54" w:history="1">
        <w:r w:rsidR="00703474" w:rsidRPr="00703474">
          <w:rPr>
            <w:color w:val="0000FF"/>
            <w:u w:val="single"/>
            <w:rtl/>
          </w:rPr>
          <w:t>רע"פ 4770/18</w:t>
        </w:r>
      </w:hyperlink>
      <w:r>
        <w:rPr>
          <w:rtl/>
        </w:rPr>
        <w:t xml:space="preserve"> </w:t>
      </w:r>
      <w:r>
        <w:rPr>
          <w:b/>
          <w:bCs/>
          <w:rtl/>
        </w:rPr>
        <w:t xml:space="preserve">הדרה נ' מדינת ישראל </w:t>
      </w:r>
      <w:r>
        <w:rPr>
          <w:rtl/>
        </w:rPr>
        <w:t xml:space="preserve"> (12.7.2018) נדחתה בקשת רשות ערעור בה נדון עניינו של המבקש שהורשע בעבירות של ניסיון תקיפת שוטר בנסיבות מחמירות והתפרעות. המבקש יידה אבן ממרחק של כ-50 מטרים לעבר שוטר בתפקיד. המבקש הורשע לאחר שמיעת ראיות, נקבע מתחם ענישה הנע בין 18-7 חודשי מאסר, נדון למאסר בן 10 חודשים.  </w:t>
      </w:r>
    </w:p>
    <w:p w14:paraId="65456B53" w14:textId="77777777" w:rsidR="00532FE9" w:rsidRDefault="00532FE9" w:rsidP="00156B48">
      <w:pPr>
        <w:pStyle w:val="ac"/>
        <w:spacing w:after="120" w:line="360" w:lineRule="auto"/>
        <w:ind w:left="786"/>
        <w:jc w:val="both"/>
        <w:rPr>
          <w:rFonts w:ascii="Times New Roman" w:hAnsi="Times New Roman"/>
          <w:rtl/>
        </w:rPr>
      </w:pPr>
    </w:p>
    <w:p w14:paraId="33333B46" w14:textId="77777777" w:rsidR="00532FE9" w:rsidRDefault="00532FE9" w:rsidP="00156B48">
      <w:pPr>
        <w:pStyle w:val="ac"/>
        <w:numPr>
          <w:ilvl w:val="0"/>
          <w:numId w:val="3"/>
        </w:numPr>
        <w:spacing w:line="360" w:lineRule="auto"/>
        <w:jc w:val="both"/>
        <w:rPr>
          <w:rtl/>
        </w:rPr>
      </w:pPr>
      <w:r>
        <w:rPr>
          <w:b/>
          <w:bCs/>
          <w:rtl/>
        </w:rPr>
        <w:t>נאשמים 1 ו-2</w:t>
      </w:r>
      <w:r>
        <w:rPr>
          <w:rtl/>
        </w:rPr>
        <w:t xml:space="preserve"> –הודו במסגרת הסדר טיעון סגור. הנאשמים הם הרוח החיה והמוציאים לפועל של תכנית הפיגוע מושא האישום השני, מדובר במעשים שתוכננו בקפידה במטרה לפגוע בדרכי אלימות וטרור בתושבים יהודים המתגוררים בעיר לוד אך בשל מוצאם. הנאשמים צעירים, ללא עבר פלילי, עצורים כשנתיים, לראשונה בחייהם, הודו ונטלו אחריות על מעשיהם. מתסקיריהם עולה כי אינם אוחזים בהשקפות גזעניות, ולדבריהם ביצעו את המעשים על רקע המתיחות ששררה באותה תקופה ומתוך תחושות כעס ונקם. </w:t>
      </w:r>
    </w:p>
    <w:p w14:paraId="4F75CA64" w14:textId="77777777" w:rsidR="00532FE9" w:rsidRDefault="00532FE9" w:rsidP="00156B48">
      <w:pPr>
        <w:pStyle w:val="ac"/>
        <w:spacing w:line="360" w:lineRule="auto"/>
        <w:ind w:left="786"/>
        <w:jc w:val="both"/>
      </w:pPr>
    </w:p>
    <w:p w14:paraId="74E22F9F" w14:textId="77777777" w:rsidR="00532FE9" w:rsidRDefault="00532FE9" w:rsidP="00156B48">
      <w:pPr>
        <w:pStyle w:val="ac"/>
        <w:numPr>
          <w:ilvl w:val="0"/>
          <w:numId w:val="3"/>
        </w:numPr>
        <w:spacing w:line="360" w:lineRule="auto"/>
        <w:jc w:val="both"/>
      </w:pPr>
      <w:r>
        <w:rPr>
          <w:b/>
          <w:bCs/>
          <w:rtl/>
        </w:rPr>
        <w:t>נאשם 1,</w:t>
      </w:r>
      <w:r>
        <w:rPr>
          <w:rtl/>
        </w:rPr>
        <w:t xml:space="preserve"> קטין, ביצע את המעשים כשהוא בן 16.5, נסיבותיו המשפחתיות מורכבות, וטרם מעצרו</w:t>
      </w:r>
      <w:r>
        <w:rPr>
          <w:rFonts w:ascii="Times New Roman" w:hAnsi="Times New Roman"/>
          <w:rtl/>
        </w:rPr>
        <w:t xml:space="preserve"> תואר כתלמיד חיובי שהצליח בלימודים חרף המצוקות הכלכליות והמשפחתיות בהן נתון. </w:t>
      </w:r>
      <w:r>
        <w:rPr>
          <w:b/>
          <w:bCs/>
          <w:rtl/>
        </w:rPr>
        <w:t>נאשם 2</w:t>
      </w:r>
      <w:r>
        <w:rPr>
          <w:rtl/>
        </w:rPr>
        <w:t xml:space="preserve">, על גבול הקטינות במועד ביצוע העבירות, נטל אחריות על מעשיו אך צמצם מחומרתם. חלקם בביצוע העבירות דומה, וההבדל בענישה נובע מכך שנאשם 1 קטין ובשל נסיבותיו האישיות. העונשים שאליהם עותרים הצדדים, 3 שנות מאסר לנאשם 1 ו-4 שנות מאסר לנאשם 2 אינם חמורים כלל ואילו נדרשנו לגזור את דינם שלא במסגרת הסדר טיעון יכול שהיו מוטלים על הנאשמים עונשי מאסר חמורים יותר. עם זאת, לאחר ששמענו את טיעוני הצדדים, ונתנו משקל לנתוני הנאשמים, מצאנו לכבד את הסדר הטיעון. </w:t>
      </w:r>
    </w:p>
    <w:p w14:paraId="2449EA0A" w14:textId="77777777" w:rsidR="00532FE9" w:rsidRDefault="00532FE9" w:rsidP="00156B48">
      <w:pPr>
        <w:pStyle w:val="ac"/>
      </w:pPr>
    </w:p>
    <w:p w14:paraId="42A43E1A" w14:textId="77777777" w:rsidR="00532FE9" w:rsidRDefault="00532FE9" w:rsidP="00156B48">
      <w:pPr>
        <w:pStyle w:val="ac"/>
        <w:numPr>
          <w:ilvl w:val="0"/>
          <w:numId w:val="3"/>
        </w:numPr>
        <w:spacing w:line="360" w:lineRule="auto"/>
        <w:jc w:val="both"/>
        <w:rPr>
          <w:b/>
          <w:bCs/>
          <w:rtl/>
        </w:rPr>
      </w:pPr>
      <w:r>
        <w:rPr>
          <w:b/>
          <w:bCs/>
          <w:rtl/>
        </w:rPr>
        <w:t xml:space="preserve">נאשם 3 - </w:t>
      </w:r>
      <w:r>
        <w:rPr>
          <w:rtl/>
        </w:rPr>
        <w:t xml:space="preserve">הורשע, במסגרת האישום השני, בסיוע לנאשמים 1-2. לאחר שבחנו את נסיבות מעשיו, מדיניות הענישה הנוהגת ועונשיהם של נאשמים 1 ו-2, ראינו לקבוע בנוגע לאישום השני, מתחם ענישה שנע בין 16-36 חודשי מאסר. אשר לאישום החמישי – נקבע מתחם ענישה הנע בין 10-24 חודשי מאסר. </w:t>
      </w:r>
    </w:p>
    <w:p w14:paraId="31EF3553" w14:textId="77777777" w:rsidR="00532FE9" w:rsidRDefault="00532FE9" w:rsidP="00156B48">
      <w:pPr>
        <w:pStyle w:val="ac"/>
      </w:pPr>
    </w:p>
    <w:p w14:paraId="40DD8EBD" w14:textId="77777777" w:rsidR="00532FE9" w:rsidRDefault="00532FE9" w:rsidP="00156B48">
      <w:pPr>
        <w:pStyle w:val="ac"/>
        <w:numPr>
          <w:ilvl w:val="0"/>
          <w:numId w:val="3"/>
        </w:numPr>
        <w:spacing w:line="360" w:lineRule="auto"/>
        <w:jc w:val="both"/>
        <w:rPr>
          <w:rtl/>
        </w:rPr>
      </w:pPr>
      <w:r>
        <w:rPr>
          <w:rtl/>
        </w:rPr>
        <w:t xml:space="preserve">הנאשם צעיר, ללא עבר פלילי, הודה והביע חרטה על מעשיו. בתסקירו צמצם מחומרת מעשיו, ומסוכנותו הוערכה כבינונית. הנאשם היה עצור בתיק זה כ-4 חודשים ותקופה ממושכת נוספת שהה בתנאים מגבילים. </w:t>
      </w:r>
    </w:p>
    <w:p w14:paraId="0EB9BD7B" w14:textId="77777777" w:rsidR="00532FE9" w:rsidRDefault="00532FE9" w:rsidP="00156B48">
      <w:pPr>
        <w:pStyle w:val="ac"/>
      </w:pPr>
    </w:p>
    <w:p w14:paraId="06A6E2D7" w14:textId="77777777" w:rsidR="00532FE9" w:rsidRDefault="00532FE9" w:rsidP="00156B48">
      <w:pPr>
        <w:pStyle w:val="ac"/>
        <w:numPr>
          <w:ilvl w:val="0"/>
          <w:numId w:val="3"/>
        </w:numPr>
        <w:spacing w:line="360" w:lineRule="auto"/>
        <w:jc w:val="both"/>
        <w:rPr>
          <w:b/>
          <w:bCs/>
          <w:rtl/>
        </w:rPr>
      </w:pPr>
      <w:r>
        <w:rPr>
          <w:b/>
          <w:bCs/>
          <w:rtl/>
        </w:rPr>
        <w:t>לאחר ששקלנו את כלל השיקולים ונתנו דעתנו לחומרת מעשי הנאשם 3 ולשיקולי ההרתעה ומנגד לגילו הצעיר, חלקו כמסייע, הודאת הנאשם וחרטתו, ובעיקר ליחס בין עונשו לבין עונשיהם של הנאשמים 1-2, מצאנו להשית על הנאשם עונש מאסר כולל המצוי בתחתית מתחם הענישה, לצד ענישה נלווית.</w:t>
      </w:r>
    </w:p>
    <w:p w14:paraId="4B590CB3" w14:textId="77777777" w:rsidR="00532FE9" w:rsidRDefault="00532FE9" w:rsidP="00156B48">
      <w:pPr>
        <w:pStyle w:val="ac"/>
      </w:pPr>
    </w:p>
    <w:p w14:paraId="32490A84" w14:textId="77777777" w:rsidR="00532FE9" w:rsidRDefault="00532FE9" w:rsidP="00156B48">
      <w:pPr>
        <w:pStyle w:val="ac"/>
        <w:numPr>
          <w:ilvl w:val="0"/>
          <w:numId w:val="3"/>
        </w:numPr>
        <w:spacing w:line="360" w:lineRule="auto"/>
        <w:jc w:val="both"/>
        <w:rPr>
          <w:rtl/>
        </w:rPr>
      </w:pPr>
      <w:r>
        <w:rPr>
          <w:rtl/>
        </w:rPr>
        <w:t xml:space="preserve">אשר לרכיבים הנוספים - כתוצאה ממעשי הנאשמים נגרם נזק משמעותי לתריסים וחלונות דיירי הבניין (מכתבי דיירי הבניין עת/1, עת/2). לפיכך, יושת על הנאשמים פיצוי לטובת דיירי הבניין עדי תביעה 1-5 והגב' חיה ברון (עת/1) וקנס מתון. </w:t>
      </w:r>
    </w:p>
    <w:p w14:paraId="37253B7A" w14:textId="77777777" w:rsidR="00532FE9" w:rsidRDefault="00532FE9" w:rsidP="00156B48">
      <w:pPr>
        <w:pStyle w:val="ac"/>
      </w:pPr>
    </w:p>
    <w:p w14:paraId="2A6782C6" w14:textId="77777777" w:rsidR="00532FE9" w:rsidRDefault="00532FE9" w:rsidP="00156B48">
      <w:pPr>
        <w:pStyle w:val="ac"/>
        <w:numPr>
          <w:ilvl w:val="0"/>
          <w:numId w:val="3"/>
        </w:numPr>
        <w:spacing w:line="360" w:lineRule="auto"/>
        <w:jc w:val="both"/>
        <w:rPr>
          <w:rtl/>
        </w:rPr>
      </w:pPr>
      <w:r>
        <w:rPr>
          <w:b/>
          <w:bCs/>
          <w:rtl/>
        </w:rPr>
        <w:t>אנו גוזרים, אפוא, על הנאשמים את העונשים הבאים</w:t>
      </w:r>
      <w:r>
        <w:rPr>
          <w:rtl/>
        </w:rPr>
        <w:t>:</w:t>
      </w:r>
    </w:p>
    <w:p w14:paraId="6010BC65" w14:textId="77777777" w:rsidR="00532FE9" w:rsidRDefault="00532FE9" w:rsidP="00156B48">
      <w:pPr>
        <w:pStyle w:val="ac"/>
      </w:pPr>
    </w:p>
    <w:p w14:paraId="7D18600E" w14:textId="77777777" w:rsidR="00532FE9" w:rsidRDefault="00532FE9" w:rsidP="00156B48">
      <w:pPr>
        <w:pStyle w:val="ac"/>
        <w:spacing w:line="360" w:lineRule="auto"/>
        <w:ind w:left="786"/>
        <w:jc w:val="both"/>
        <w:rPr>
          <w:u w:val="single"/>
          <w:rtl/>
        </w:rPr>
      </w:pPr>
      <w:r>
        <w:rPr>
          <w:u w:val="single"/>
          <w:rtl/>
        </w:rPr>
        <w:t>נאשם 1</w:t>
      </w:r>
    </w:p>
    <w:p w14:paraId="2B29F279" w14:textId="77777777" w:rsidR="00532FE9" w:rsidRDefault="00532FE9" w:rsidP="00156B48">
      <w:pPr>
        <w:pStyle w:val="ac"/>
        <w:numPr>
          <w:ilvl w:val="0"/>
          <w:numId w:val="5"/>
        </w:numPr>
        <w:spacing w:line="360" w:lineRule="auto"/>
        <w:jc w:val="both"/>
        <w:rPr>
          <w:rtl/>
        </w:rPr>
      </w:pPr>
      <w:r>
        <w:rPr>
          <w:rtl/>
        </w:rPr>
        <w:t>מאסר בפועל בן</w:t>
      </w:r>
      <w:r>
        <w:rPr>
          <w:b/>
          <w:bCs/>
          <w:rtl/>
        </w:rPr>
        <w:t xml:space="preserve"> 36 חודשים </w:t>
      </w:r>
      <w:r>
        <w:rPr>
          <w:rtl/>
        </w:rPr>
        <w:t xml:space="preserve">החל מיום מעצרו 30.6.21. </w:t>
      </w:r>
    </w:p>
    <w:p w14:paraId="0347C954" w14:textId="77777777" w:rsidR="00532FE9" w:rsidRDefault="00532FE9" w:rsidP="00156B48">
      <w:pPr>
        <w:pStyle w:val="ac"/>
        <w:numPr>
          <w:ilvl w:val="0"/>
          <w:numId w:val="5"/>
        </w:numPr>
        <w:spacing w:line="360" w:lineRule="auto"/>
        <w:jc w:val="both"/>
      </w:pPr>
      <w:r>
        <w:rPr>
          <w:rtl/>
        </w:rPr>
        <w:t>מאסר על תנאי בן 12 חודשים לבל יעבור עבירת אלימות מסוג פשע, עבירת נשק מסוג פשע או כל עבירה על חוק המאבק בטרור במשך 3 שנים מיום שחרורו ממאסר.</w:t>
      </w:r>
    </w:p>
    <w:p w14:paraId="740345EC" w14:textId="77777777" w:rsidR="00532FE9" w:rsidRDefault="00532FE9" w:rsidP="00156B48">
      <w:pPr>
        <w:pStyle w:val="ac"/>
        <w:numPr>
          <w:ilvl w:val="0"/>
          <w:numId w:val="5"/>
        </w:numPr>
        <w:spacing w:line="360" w:lineRule="auto"/>
        <w:jc w:val="both"/>
      </w:pPr>
      <w:r>
        <w:rPr>
          <w:rtl/>
        </w:rPr>
        <w:t>מאסר על תנאי בן 6 חודשים לבל יעבור עבירת אלימות מסוג עוון או עבירת נשק מסוג עוון במשך 3 שנים מיום שחרורו ממאסר.</w:t>
      </w:r>
    </w:p>
    <w:p w14:paraId="3C9E6799" w14:textId="77777777" w:rsidR="00532FE9" w:rsidRDefault="00532FE9" w:rsidP="00156B48">
      <w:pPr>
        <w:pStyle w:val="ac"/>
        <w:numPr>
          <w:ilvl w:val="0"/>
          <w:numId w:val="5"/>
        </w:numPr>
        <w:spacing w:line="360" w:lineRule="auto"/>
        <w:jc w:val="both"/>
      </w:pPr>
      <w:r>
        <w:rPr>
          <w:rtl/>
        </w:rPr>
        <w:t>פיצוי בסך 6,000 ₪ שישולם ב-5 תשלומים שווים ורצופים החל מיום 1.7.23 ויועבר באופן שווה לעדי תביעה 1-5 והגב' חיה ברון, בהתאם לפרטים שתמסור המאשימה למזכירות.</w:t>
      </w:r>
    </w:p>
    <w:p w14:paraId="23F9228A" w14:textId="77777777" w:rsidR="00532FE9" w:rsidRDefault="00532FE9" w:rsidP="00156B48">
      <w:pPr>
        <w:pStyle w:val="ac"/>
        <w:numPr>
          <w:ilvl w:val="0"/>
          <w:numId w:val="5"/>
        </w:numPr>
        <w:spacing w:line="360" w:lineRule="auto"/>
        <w:jc w:val="both"/>
      </w:pPr>
      <w:r>
        <w:rPr>
          <w:rtl/>
        </w:rPr>
        <w:t xml:space="preserve">קנס בסך 1,500 ₪ או 21 ימי מאסר שישולם עד ליום 1.11.23. </w:t>
      </w:r>
    </w:p>
    <w:p w14:paraId="27AEC653" w14:textId="77777777" w:rsidR="00532FE9" w:rsidRDefault="00532FE9" w:rsidP="00156B48">
      <w:pPr>
        <w:spacing w:line="360" w:lineRule="auto"/>
        <w:ind w:left="786"/>
        <w:jc w:val="both"/>
      </w:pPr>
    </w:p>
    <w:p w14:paraId="76FB2ED9" w14:textId="77777777" w:rsidR="00532FE9" w:rsidRDefault="00532FE9" w:rsidP="00156B48">
      <w:pPr>
        <w:spacing w:line="360" w:lineRule="auto"/>
        <w:ind w:left="786"/>
        <w:jc w:val="both"/>
        <w:rPr>
          <w:u w:val="single"/>
          <w:rtl/>
        </w:rPr>
      </w:pPr>
      <w:r>
        <w:rPr>
          <w:u w:val="single"/>
          <w:rtl/>
        </w:rPr>
        <w:t>נאשם 2</w:t>
      </w:r>
    </w:p>
    <w:p w14:paraId="1D412CBA" w14:textId="77777777" w:rsidR="00532FE9" w:rsidRDefault="00532FE9" w:rsidP="00156B48">
      <w:pPr>
        <w:pStyle w:val="ac"/>
        <w:numPr>
          <w:ilvl w:val="0"/>
          <w:numId w:val="6"/>
        </w:numPr>
        <w:spacing w:line="360" w:lineRule="auto"/>
        <w:jc w:val="both"/>
        <w:rPr>
          <w:rtl/>
        </w:rPr>
      </w:pPr>
      <w:r>
        <w:rPr>
          <w:rtl/>
        </w:rPr>
        <w:t>מאסר בפועל בן</w:t>
      </w:r>
      <w:r>
        <w:rPr>
          <w:b/>
          <w:bCs/>
          <w:rtl/>
        </w:rPr>
        <w:t xml:space="preserve"> 4 שנים</w:t>
      </w:r>
      <w:r>
        <w:rPr>
          <w:rtl/>
        </w:rPr>
        <w:t xml:space="preserve"> החל מיום מעצרו 30.6.21.</w:t>
      </w:r>
    </w:p>
    <w:p w14:paraId="685D92A4" w14:textId="77777777" w:rsidR="00532FE9" w:rsidRDefault="00532FE9" w:rsidP="00156B48">
      <w:pPr>
        <w:pStyle w:val="ac"/>
        <w:numPr>
          <w:ilvl w:val="0"/>
          <w:numId w:val="6"/>
        </w:numPr>
        <w:spacing w:line="360" w:lineRule="auto"/>
        <w:jc w:val="both"/>
      </w:pPr>
      <w:r>
        <w:rPr>
          <w:rtl/>
        </w:rPr>
        <w:t>מאסר על תנאי בן 12 חודשים לבל יעבור עבירת אלימות מסוג פשע, עבירת נשק מסוג פשע, או כל עבירה על חוק המאבק בטרור במשך 3 שנים מיום שחרורו ממאסר.</w:t>
      </w:r>
    </w:p>
    <w:p w14:paraId="68CF8AD2" w14:textId="77777777" w:rsidR="00532FE9" w:rsidRDefault="00532FE9" w:rsidP="00156B48">
      <w:pPr>
        <w:pStyle w:val="ac"/>
        <w:numPr>
          <w:ilvl w:val="0"/>
          <w:numId w:val="6"/>
        </w:numPr>
        <w:spacing w:line="360" w:lineRule="auto"/>
        <w:jc w:val="both"/>
      </w:pPr>
      <w:r>
        <w:rPr>
          <w:rtl/>
        </w:rPr>
        <w:t>מאסר על תנאי בן 6 חודשים לבל יעבור עבירת אלימות מסוג עוון או עבירת נשק מסוג עוון במשך 3 שנים מיום שחרורו ממאסר.</w:t>
      </w:r>
    </w:p>
    <w:p w14:paraId="7D0D940B" w14:textId="77777777" w:rsidR="00532FE9" w:rsidRDefault="00532FE9" w:rsidP="00156B48">
      <w:pPr>
        <w:pStyle w:val="ac"/>
        <w:numPr>
          <w:ilvl w:val="0"/>
          <w:numId w:val="6"/>
        </w:numPr>
        <w:spacing w:line="360" w:lineRule="auto"/>
        <w:jc w:val="both"/>
      </w:pPr>
      <w:r>
        <w:rPr>
          <w:rtl/>
        </w:rPr>
        <w:t>פיצוי בסך 6,000 ₪ שישולם ב-5 תשלומים שווים ורצופים החל מיום 1.7.23 ויועבר באופן שווה לעדי תביעה 1-5 והגב' חיה ברון, בהתאם לפרטים שתמסור המאשימה למזכירות.</w:t>
      </w:r>
    </w:p>
    <w:p w14:paraId="0CF57092" w14:textId="77777777" w:rsidR="00532FE9" w:rsidRDefault="00532FE9" w:rsidP="00156B48">
      <w:pPr>
        <w:pStyle w:val="ac"/>
        <w:numPr>
          <w:ilvl w:val="0"/>
          <w:numId w:val="6"/>
        </w:numPr>
        <w:spacing w:line="360" w:lineRule="auto"/>
        <w:jc w:val="both"/>
      </w:pPr>
      <w:r>
        <w:rPr>
          <w:rtl/>
        </w:rPr>
        <w:t xml:space="preserve">קנס בסך 1,500 ₪ או 21 ימי מאסר שישולם עד ליום 1.11.23. </w:t>
      </w:r>
    </w:p>
    <w:p w14:paraId="3EEC4D35" w14:textId="77777777" w:rsidR="00532FE9" w:rsidRDefault="00532FE9" w:rsidP="00156B48">
      <w:pPr>
        <w:spacing w:line="360" w:lineRule="auto"/>
        <w:ind w:left="786"/>
        <w:jc w:val="both"/>
      </w:pPr>
    </w:p>
    <w:p w14:paraId="0A5ABEA0" w14:textId="77777777" w:rsidR="00532FE9" w:rsidRDefault="00532FE9" w:rsidP="00156B48">
      <w:pPr>
        <w:spacing w:line="360" w:lineRule="auto"/>
        <w:ind w:left="786"/>
        <w:jc w:val="both"/>
        <w:rPr>
          <w:u w:val="single"/>
          <w:rtl/>
        </w:rPr>
      </w:pPr>
      <w:r>
        <w:rPr>
          <w:u w:val="single"/>
          <w:rtl/>
        </w:rPr>
        <w:t>נאשם 3</w:t>
      </w:r>
    </w:p>
    <w:p w14:paraId="564FC7D5" w14:textId="77777777" w:rsidR="00532FE9" w:rsidRDefault="00532FE9" w:rsidP="00156B48">
      <w:pPr>
        <w:pStyle w:val="ac"/>
        <w:numPr>
          <w:ilvl w:val="0"/>
          <w:numId w:val="7"/>
        </w:numPr>
        <w:spacing w:line="360" w:lineRule="auto"/>
        <w:jc w:val="both"/>
        <w:rPr>
          <w:rtl/>
        </w:rPr>
      </w:pPr>
      <w:r>
        <w:rPr>
          <w:rtl/>
        </w:rPr>
        <w:t xml:space="preserve">מאסר בפועל בן </w:t>
      </w:r>
      <w:r>
        <w:rPr>
          <w:b/>
          <w:bCs/>
          <w:rtl/>
        </w:rPr>
        <w:t>24 חודשים</w:t>
      </w:r>
      <w:r>
        <w:rPr>
          <w:rtl/>
        </w:rPr>
        <w:t xml:space="preserve"> בניכוי ימי מעצרו 6.7.21-3.11.21. </w:t>
      </w:r>
    </w:p>
    <w:p w14:paraId="4DB209B3" w14:textId="77777777" w:rsidR="00532FE9" w:rsidRDefault="00532FE9" w:rsidP="00156B48">
      <w:pPr>
        <w:pStyle w:val="ac"/>
        <w:numPr>
          <w:ilvl w:val="0"/>
          <w:numId w:val="7"/>
        </w:numPr>
        <w:spacing w:line="360" w:lineRule="auto"/>
        <w:jc w:val="both"/>
      </w:pPr>
      <w:r>
        <w:rPr>
          <w:rtl/>
        </w:rPr>
        <w:t>מאסר על תנאי בן 8 חודשים לבל יעבור עבירת אלימות מסוג פשע, עבירת התפרעות או כל עבירה על חוק המאבק בטרור במשך 3 שנים מיום שחרורו ממאסר.</w:t>
      </w:r>
    </w:p>
    <w:p w14:paraId="422AF144" w14:textId="77777777" w:rsidR="00532FE9" w:rsidRDefault="00532FE9" w:rsidP="00156B48">
      <w:pPr>
        <w:pStyle w:val="ac"/>
        <w:numPr>
          <w:ilvl w:val="0"/>
          <w:numId w:val="7"/>
        </w:numPr>
        <w:spacing w:line="360" w:lineRule="auto"/>
        <w:jc w:val="both"/>
      </w:pPr>
      <w:r>
        <w:rPr>
          <w:rtl/>
        </w:rPr>
        <w:t>מאסר על תנאי בן 5 חודשים לבל יעבור עבירת אלימות מסוג עוון או עבירה כנגד שוטרים במשך 3 שנים מיום שחרורו ממאסר.</w:t>
      </w:r>
    </w:p>
    <w:p w14:paraId="0476A45C" w14:textId="77777777" w:rsidR="00532FE9" w:rsidRDefault="00532FE9" w:rsidP="00156B48">
      <w:pPr>
        <w:pStyle w:val="ac"/>
        <w:numPr>
          <w:ilvl w:val="0"/>
          <w:numId w:val="7"/>
        </w:numPr>
        <w:spacing w:line="360" w:lineRule="auto"/>
        <w:jc w:val="both"/>
      </w:pPr>
      <w:r>
        <w:rPr>
          <w:rtl/>
        </w:rPr>
        <w:t xml:space="preserve">פיצוי בסך 2,500 ₪ שישולם ב-5 תשלומים שווים ורצופים החל מיום 1.7.23 ויועבר באופן שווה לעדי תביעה 1-5, בהתאם לפרטים שתמסור המאשימה למזכירות. </w:t>
      </w:r>
    </w:p>
    <w:p w14:paraId="568C0B0D" w14:textId="77777777" w:rsidR="00532FE9" w:rsidRDefault="00532FE9" w:rsidP="00156B48">
      <w:pPr>
        <w:pStyle w:val="ac"/>
        <w:numPr>
          <w:ilvl w:val="0"/>
          <w:numId w:val="7"/>
        </w:numPr>
        <w:spacing w:line="360" w:lineRule="auto"/>
        <w:jc w:val="both"/>
        <w:rPr>
          <w:rtl/>
        </w:rPr>
      </w:pPr>
      <w:r>
        <w:rPr>
          <w:rtl/>
        </w:rPr>
        <w:t>קנס בסך 1,000 ₪ או 14 ימי מאסר תמורתו. הקנס ישולם עד ליום 1.11.23.</w:t>
      </w:r>
    </w:p>
    <w:p w14:paraId="5590E350" w14:textId="77777777" w:rsidR="00532FE9" w:rsidRDefault="00532FE9" w:rsidP="004F19BC">
      <w:pPr>
        <w:pStyle w:val="ac"/>
        <w:numPr>
          <w:ilvl w:val="0"/>
          <w:numId w:val="7"/>
        </w:numPr>
        <w:spacing w:line="360" w:lineRule="auto"/>
        <w:jc w:val="both"/>
        <w:rPr>
          <w:rtl/>
        </w:rPr>
      </w:pPr>
      <w:r>
        <w:rPr>
          <w:rtl/>
        </w:rPr>
        <w:t xml:space="preserve">הנאשם יתייצב לתחילת ריצוי מאסרו ביום 2.7.23 עד שעה 10:00 בבימ"ר ""הדרים". להבטחת התייצבותו תעמודנה הערבויות בתיק המעצר. לאחר התייצבותו למאסר, יוחזרו למפקיד בכפוף לכל הוראה חוקית. </w:t>
      </w:r>
    </w:p>
    <w:p w14:paraId="326D5BFD" w14:textId="77777777" w:rsidR="00532FE9" w:rsidRDefault="00532FE9" w:rsidP="00156B48">
      <w:pPr>
        <w:pStyle w:val="ac"/>
        <w:spacing w:line="360" w:lineRule="auto"/>
        <w:ind w:left="786"/>
        <w:jc w:val="both"/>
      </w:pPr>
    </w:p>
    <w:p w14:paraId="286ED047" w14:textId="77777777" w:rsidR="00532FE9" w:rsidRDefault="00532FE9" w:rsidP="00156B48">
      <w:pPr>
        <w:spacing w:line="360" w:lineRule="auto"/>
        <w:ind w:left="1080"/>
        <w:contextualSpacing/>
        <w:jc w:val="both"/>
        <w:rPr>
          <w:rFonts w:ascii="David" w:hAnsi="David"/>
          <w:b/>
          <w:bCs/>
        </w:rPr>
      </w:pPr>
      <w:r>
        <w:rPr>
          <w:b/>
          <w:bCs/>
          <w:rtl/>
        </w:rPr>
        <w:t>זכות ערעור לבית המשפט העליון תוך 45 ימים.</w:t>
      </w:r>
    </w:p>
    <w:p w14:paraId="3E3905B1" w14:textId="77777777" w:rsidR="00532FE9" w:rsidRDefault="00532FE9" w:rsidP="00156B48">
      <w:pPr>
        <w:rPr>
          <w:rtl/>
        </w:rPr>
      </w:pPr>
    </w:p>
    <w:p w14:paraId="2C9C1F3C" w14:textId="77777777" w:rsidR="00532FE9" w:rsidRPr="000F2247" w:rsidRDefault="00532FE9">
      <w:pPr>
        <w:rPr>
          <w:rFonts w:ascii="Arial" w:hAnsi="Arial"/>
          <w:b/>
          <w:bCs/>
          <w:sz w:val="26"/>
          <w:szCs w:val="26"/>
          <w:rtl/>
        </w:rPr>
      </w:pPr>
    </w:p>
    <w:p w14:paraId="7C6702A8" w14:textId="77777777" w:rsidR="00532FE9" w:rsidRPr="000F2247" w:rsidRDefault="00532FE9">
      <w:pPr>
        <w:rPr>
          <w:rFonts w:ascii="Arial" w:hAnsi="Arial"/>
          <w:b/>
          <w:bCs/>
          <w:sz w:val="26"/>
          <w:szCs w:val="26"/>
          <w:rtl/>
        </w:rPr>
      </w:pPr>
    </w:p>
    <w:p w14:paraId="16DDDA46" w14:textId="77777777" w:rsidR="00532FE9" w:rsidRDefault="00703474" w:rsidP="00260C6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ד' אייר תשפ"ג, 25 אפריל 2023, בנוכחות הצדדים. </w:t>
      </w:r>
      <w:bookmarkEnd w:id="8"/>
      <w:r w:rsidR="00532FE9">
        <w:rPr>
          <w:rFonts w:ascii="Arial" w:hAnsi="Arial"/>
          <w:b/>
          <w:bCs/>
          <w:sz w:val="26"/>
          <w:szCs w:val="26"/>
          <w:rtl/>
        </w:rPr>
        <w:tab/>
      </w:r>
      <w:r w:rsidR="00532FE9">
        <w:rPr>
          <w:rFonts w:ascii="Arial" w:hAnsi="Arial"/>
          <w:b/>
          <w:bCs/>
          <w:sz w:val="26"/>
          <w:szCs w:val="26"/>
          <w:rtl/>
        </w:rPr>
        <w:tab/>
      </w:r>
      <w:r w:rsidR="00532FE9">
        <w:rPr>
          <w:rFonts w:ascii="Arial" w:hAnsi="Arial"/>
          <w:b/>
          <w:bCs/>
          <w:sz w:val="26"/>
          <w:szCs w:val="26"/>
          <w:rtl/>
        </w:rPr>
        <w:tab/>
      </w:r>
      <w:r w:rsidR="00532FE9">
        <w:rPr>
          <w:rFonts w:ascii="Arial" w:hAnsi="Arial"/>
          <w:b/>
          <w:bCs/>
          <w:sz w:val="26"/>
          <w:szCs w:val="26"/>
          <w:rtl/>
        </w:rPr>
        <w:tab/>
      </w:r>
      <w:r w:rsidR="00532FE9">
        <w:rPr>
          <w:rFonts w:ascii="Arial" w:hAnsi="Arial"/>
          <w:b/>
          <w:bCs/>
          <w:sz w:val="26"/>
          <w:szCs w:val="26"/>
          <w:rtl/>
        </w:rPr>
        <w:tab/>
      </w:r>
      <w:r w:rsidR="00532FE9">
        <w:rPr>
          <w:rFonts w:ascii="Arial" w:hAnsi="Arial"/>
          <w:b/>
          <w:bCs/>
          <w:sz w:val="26"/>
          <w:szCs w:val="26"/>
          <w:rtl/>
        </w:rPr>
        <w:tab/>
      </w:r>
      <w:r w:rsidR="00532FE9">
        <w:rPr>
          <w:rFonts w:ascii="Arial" w:hAnsi="Arial"/>
          <w:b/>
          <w:bCs/>
          <w:sz w:val="26"/>
          <w:szCs w:val="26"/>
          <w:rtl/>
        </w:rPr>
        <w:tab/>
        <w:t xml:space="preserve">                     </w:t>
      </w:r>
    </w:p>
    <w:p w14:paraId="580B70FE" w14:textId="77777777" w:rsidR="00532FE9" w:rsidRPr="00703474" w:rsidRDefault="00703474" w:rsidP="00260C6C">
      <w:pPr>
        <w:tabs>
          <w:tab w:val="left" w:pos="6210"/>
        </w:tabs>
        <w:rPr>
          <w:rFonts w:ascii="Arial" w:hAnsi="Arial"/>
          <w:color w:val="FFFFFF"/>
          <w:sz w:val="2"/>
          <w:szCs w:val="2"/>
          <w:rtl/>
        </w:rPr>
      </w:pPr>
      <w:r w:rsidRPr="00703474">
        <w:rPr>
          <w:rFonts w:ascii="Arial" w:hAnsi="Arial"/>
          <w:color w:val="FFFFFF"/>
          <w:sz w:val="2"/>
          <w:szCs w:val="2"/>
          <w:rtl/>
        </w:rPr>
        <w:t>5129371</w:t>
      </w:r>
      <w:r w:rsidR="00532FE9" w:rsidRPr="00703474">
        <w:rPr>
          <w:rFonts w:ascii="Arial" w:hAnsi="Arial"/>
          <w:color w:val="FFFFFF"/>
          <w:sz w:val="2"/>
          <w:szCs w:val="2"/>
          <w:rtl/>
        </w:rPr>
        <w:t xml:space="preserve">   </w:t>
      </w:r>
    </w:p>
    <w:tbl>
      <w:tblPr>
        <w:tblpPr w:leftFromText="180" w:rightFromText="180" w:vertAnchor="text" w:horzAnchor="margin" w:tblpXSpec="center" w:tblpY="35"/>
        <w:bidiVisual/>
        <w:tblW w:w="10260" w:type="dxa"/>
        <w:tblLook w:val="01E0" w:firstRow="1" w:lastRow="1" w:firstColumn="1" w:lastColumn="1" w:noHBand="0" w:noVBand="0"/>
      </w:tblPr>
      <w:tblGrid>
        <w:gridCol w:w="3383"/>
        <w:gridCol w:w="3536"/>
        <w:gridCol w:w="3341"/>
      </w:tblGrid>
      <w:tr w:rsidR="00532FE9" w14:paraId="09520833" w14:textId="77777777" w:rsidTr="00C96FEA">
        <w:tc>
          <w:tcPr>
            <w:tcW w:w="3383" w:type="dxa"/>
          </w:tcPr>
          <w:p w14:paraId="49FA97A4" w14:textId="77777777" w:rsidR="00532FE9" w:rsidRPr="00703474" w:rsidRDefault="00703474" w:rsidP="00C96FEA">
            <w:pPr>
              <w:jc w:val="center"/>
              <w:rPr>
                <w:rFonts w:cs="Times New Roman"/>
                <w:color w:val="FFFFFF"/>
                <w:sz w:val="2"/>
                <w:szCs w:val="2"/>
              </w:rPr>
            </w:pPr>
            <w:r w:rsidRPr="00703474">
              <w:rPr>
                <w:rFonts w:cs="Times New Roman"/>
                <w:color w:val="FFFFFF"/>
                <w:sz w:val="2"/>
                <w:szCs w:val="2"/>
                <w:rtl/>
              </w:rPr>
              <w:t>54678313</w:t>
            </w:r>
          </w:p>
        </w:tc>
        <w:tc>
          <w:tcPr>
            <w:tcW w:w="3536" w:type="dxa"/>
          </w:tcPr>
          <w:p w14:paraId="2D98407A" w14:textId="77777777" w:rsidR="00532FE9" w:rsidRPr="00C96FEA" w:rsidRDefault="00532FE9" w:rsidP="00C96FEA">
            <w:pPr>
              <w:spacing w:line="360" w:lineRule="auto"/>
              <w:jc w:val="center"/>
              <w:rPr>
                <w:rFonts w:ascii="David" w:hAnsi="David"/>
                <w:sz w:val="20"/>
                <w:szCs w:val="20"/>
              </w:rPr>
            </w:pPr>
          </w:p>
          <w:p w14:paraId="44EE5040" w14:textId="77777777" w:rsidR="00532FE9" w:rsidRPr="00C96FEA" w:rsidRDefault="00532FE9" w:rsidP="00C96FEA">
            <w:pPr>
              <w:jc w:val="center"/>
              <w:rPr>
                <w:rFonts w:cs="Times New Roman"/>
                <w:sz w:val="20"/>
                <w:szCs w:val="20"/>
                <w:rtl/>
              </w:rPr>
            </w:pPr>
          </w:p>
        </w:tc>
        <w:tc>
          <w:tcPr>
            <w:tcW w:w="3341" w:type="dxa"/>
          </w:tcPr>
          <w:p w14:paraId="05898F7B" w14:textId="77777777" w:rsidR="00532FE9" w:rsidRPr="00C96FEA" w:rsidRDefault="00532FE9" w:rsidP="00C96FEA">
            <w:pPr>
              <w:jc w:val="center"/>
              <w:rPr>
                <w:sz w:val="20"/>
                <w:szCs w:val="20"/>
              </w:rPr>
            </w:pPr>
          </w:p>
        </w:tc>
      </w:tr>
      <w:tr w:rsidR="00532FE9" w14:paraId="59C98955" w14:textId="77777777" w:rsidTr="00C96FEA">
        <w:tc>
          <w:tcPr>
            <w:tcW w:w="3383" w:type="dxa"/>
          </w:tcPr>
          <w:p w14:paraId="2B114DF1" w14:textId="77777777" w:rsidR="00532FE9" w:rsidRPr="00C96FEA" w:rsidRDefault="00532FE9" w:rsidP="00C96FEA">
            <w:pPr>
              <w:spacing w:line="360" w:lineRule="auto"/>
              <w:jc w:val="center"/>
              <w:rPr>
                <w:rFonts w:ascii="David" w:hAnsi="David"/>
              </w:rPr>
            </w:pPr>
            <w:r w:rsidRPr="00C96FEA">
              <w:rPr>
                <w:rFonts w:ascii="David" w:hAnsi="David"/>
                <w:rtl/>
              </w:rPr>
              <w:t>עמי  קובו, שופט, אב"ד</w:t>
            </w:r>
          </w:p>
        </w:tc>
        <w:tc>
          <w:tcPr>
            <w:tcW w:w="3536" w:type="dxa"/>
          </w:tcPr>
          <w:p w14:paraId="51E7DFFB" w14:textId="77777777" w:rsidR="00532FE9" w:rsidRPr="00C96FEA" w:rsidRDefault="00532FE9" w:rsidP="00C96FEA">
            <w:pPr>
              <w:spacing w:line="360" w:lineRule="auto"/>
              <w:jc w:val="center"/>
              <w:rPr>
                <w:rFonts w:ascii="David" w:hAnsi="David"/>
                <w:rtl/>
              </w:rPr>
            </w:pPr>
            <w:r w:rsidRPr="00C96FEA">
              <w:rPr>
                <w:rFonts w:ascii="David" w:hAnsi="David"/>
                <w:rtl/>
              </w:rPr>
              <w:t>מיכאל קרשן, שופט</w:t>
            </w:r>
          </w:p>
        </w:tc>
        <w:tc>
          <w:tcPr>
            <w:tcW w:w="3341" w:type="dxa"/>
          </w:tcPr>
          <w:p w14:paraId="47887A52" w14:textId="77777777" w:rsidR="00532FE9" w:rsidRPr="00C96FEA" w:rsidRDefault="00532FE9" w:rsidP="00C96FEA">
            <w:pPr>
              <w:spacing w:line="360" w:lineRule="auto"/>
              <w:jc w:val="center"/>
              <w:rPr>
                <w:rFonts w:ascii="David" w:hAnsi="David"/>
                <w:rtl/>
              </w:rPr>
            </w:pPr>
            <w:r w:rsidRPr="00C96FEA">
              <w:rPr>
                <w:rFonts w:ascii="David" w:hAnsi="David"/>
                <w:rtl/>
              </w:rPr>
              <w:t>מרב גרינברג, שופטת</w:t>
            </w:r>
          </w:p>
        </w:tc>
      </w:tr>
    </w:tbl>
    <w:p w14:paraId="23A67126" w14:textId="77777777" w:rsidR="00532FE9" w:rsidRPr="00C96FEA" w:rsidRDefault="00532FE9" w:rsidP="00260C6C">
      <w:pPr>
        <w:spacing w:line="360" w:lineRule="auto"/>
        <w:jc w:val="both"/>
        <w:rPr>
          <w:rFonts w:ascii="Calibri" w:hAnsi="Calibri" w:cs="Arial"/>
          <w:sz w:val="22"/>
          <w:szCs w:val="22"/>
          <w:rtl/>
        </w:rPr>
      </w:pPr>
      <w:r>
        <w:rPr>
          <w:rtl/>
        </w:rPr>
        <w:t xml:space="preserve">  </w:t>
      </w:r>
    </w:p>
    <w:p w14:paraId="434F8E87" w14:textId="77777777" w:rsidR="00532FE9" w:rsidRPr="00703474" w:rsidRDefault="00532FE9" w:rsidP="00703474">
      <w:pPr>
        <w:keepNext/>
        <w:tabs>
          <w:tab w:val="left" w:pos="6210"/>
        </w:tabs>
        <w:rPr>
          <w:rFonts w:ascii="David" w:hAnsi="David"/>
          <w:color w:val="000000"/>
          <w:sz w:val="22"/>
          <w:szCs w:val="22"/>
          <w:rtl/>
        </w:rPr>
      </w:pPr>
    </w:p>
    <w:p w14:paraId="5E1BB512" w14:textId="77777777" w:rsidR="00703474" w:rsidRPr="00703474" w:rsidRDefault="00703474" w:rsidP="00703474">
      <w:pPr>
        <w:keepNext/>
        <w:tabs>
          <w:tab w:val="left" w:pos="6210"/>
        </w:tabs>
        <w:rPr>
          <w:rFonts w:ascii="David" w:hAnsi="David"/>
          <w:color w:val="000000"/>
          <w:sz w:val="22"/>
          <w:szCs w:val="22"/>
          <w:rtl/>
        </w:rPr>
      </w:pPr>
      <w:r w:rsidRPr="00703474">
        <w:rPr>
          <w:rFonts w:ascii="David" w:hAnsi="David"/>
          <w:color w:val="000000"/>
          <w:sz w:val="22"/>
          <w:szCs w:val="22"/>
          <w:rtl/>
        </w:rPr>
        <w:t>עמי קובו 54678313</w:t>
      </w:r>
    </w:p>
    <w:p w14:paraId="67FE602F" w14:textId="77777777" w:rsidR="00703474" w:rsidRDefault="00703474" w:rsidP="00703474">
      <w:pPr>
        <w:tabs>
          <w:tab w:val="left" w:pos="6210"/>
        </w:tabs>
        <w:rPr>
          <w:rFonts w:ascii="Arial" w:hAnsi="Arial"/>
          <w:sz w:val="26"/>
          <w:szCs w:val="26"/>
          <w:rtl/>
        </w:rPr>
      </w:pPr>
      <w:r w:rsidRPr="00703474">
        <w:rPr>
          <w:rFonts w:ascii="Arial" w:hAnsi="Arial"/>
          <w:color w:val="000000"/>
          <w:sz w:val="26"/>
          <w:szCs w:val="26"/>
          <w:rtl/>
        </w:rPr>
        <w:t>נוסח מסמך זה כפוף לשינויי ניסוח ועריכה</w:t>
      </w:r>
    </w:p>
    <w:p w14:paraId="24BCD374" w14:textId="77777777" w:rsidR="00703474" w:rsidRDefault="00703474" w:rsidP="00703474">
      <w:pPr>
        <w:tabs>
          <w:tab w:val="left" w:pos="6210"/>
        </w:tabs>
        <w:rPr>
          <w:rFonts w:ascii="Arial" w:hAnsi="Arial"/>
          <w:sz w:val="26"/>
          <w:szCs w:val="26"/>
          <w:rtl/>
        </w:rPr>
      </w:pPr>
    </w:p>
    <w:p w14:paraId="7B08BD96" w14:textId="77777777" w:rsidR="00703474" w:rsidRDefault="00703474" w:rsidP="00703474">
      <w:pPr>
        <w:tabs>
          <w:tab w:val="left" w:pos="6210"/>
        </w:tabs>
        <w:jc w:val="center"/>
        <w:rPr>
          <w:rFonts w:ascii="Arial" w:hAnsi="Arial"/>
          <w:color w:val="0000FF"/>
          <w:sz w:val="26"/>
          <w:u w:val="single"/>
          <w:rtl/>
        </w:rPr>
      </w:pPr>
      <w:hyperlink r:id="rId55" w:history="1">
        <w:r>
          <w:rPr>
            <w:rFonts w:ascii="Arial" w:hAnsi="Arial"/>
            <w:color w:val="0000FF"/>
            <w:sz w:val="26"/>
            <w:u w:val="single"/>
            <w:rtl/>
          </w:rPr>
          <w:t>בעניין עריכה ושינויים במסמכי פסיקה, חקיקה ועוד באתר נבו – הקש כאן</w:t>
        </w:r>
      </w:hyperlink>
    </w:p>
    <w:p w14:paraId="195E2964" w14:textId="77777777" w:rsidR="00703474" w:rsidRPr="00703474" w:rsidRDefault="00703474" w:rsidP="00703474">
      <w:pPr>
        <w:tabs>
          <w:tab w:val="left" w:pos="6210"/>
        </w:tabs>
        <w:jc w:val="center"/>
        <w:rPr>
          <w:rFonts w:ascii="Arial" w:hAnsi="Arial"/>
          <w:color w:val="0000FF"/>
          <w:sz w:val="26"/>
          <w:u w:val="single"/>
          <w:rtl/>
        </w:rPr>
      </w:pPr>
    </w:p>
    <w:sectPr w:rsidR="00703474" w:rsidRPr="00703474" w:rsidSect="00703474">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E7346" w14:textId="77777777" w:rsidR="001C4D38" w:rsidRDefault="001C4D38">
      <w:r>
        <w:separator/>
      </w:r>
    </w:p>
  </w:endnote>
  <w:endnote w:type="continuationSeparator" w:id="0">
    <w:p w14:paraId="4DE90CAB" w14:textId="77777777" w:rsidR="001C4D38" w:rsidRDefault="001C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70C1C" w14:textId="77777777" w:rsidR="00703474" w:rsidRDefault="00703474" w:rsidP="0070347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18519C" w14:textId="77777777" w:rsidR="00532FE9" w:rsidRPr="00703474" w:rsidRDefault="00703474" w:rsidP="00703474">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7C0EB" w14:textId="77777777" w:rsidR="00703474" w:rsidRDefault="00703474" w:rsidP="0070347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6B2E">
      <w:rPr>
        <w:rFonts w:ascii="FrankRuehl" w:hAnsi="FrankRuehl" w:cs="FrankRuehl"/>
        <w:noProof/>
        <w:rtl/>
      </w:rPr>
      <w:t>1</w:t>
    </w:r>
    <w:r>
      <w:rPr>
        <w:rFonts w:ascii="FrankRuehl" w:hAnsi="FrankRuehl" w:cs="FrankRuehl"/>
        <w:rtl/>
      </w:rPr>
      <w:fldChar w:fldCharType="end"/>
    </w:r>
  </w:p>
  <w:p w14:paraId="7340EF07" w14:textId="77777777" w:rsidR="00532FE9" w:rsidRPr="00703474" w:rsidRDefault="00703474" w:rsidP="00703474">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0537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14D32" w14:textId="77777777" w:rsidR="001C4D38" w:rsidRDefault="001C4D38">
      <w:r>
        <w:separator/>
      </w:r>
    </w:p>
  </w:footnote>
  <w:footnote w:type="continuationSeparator" w:id="0">
    <w:p w14:paraId="30D85144" w14:textId="77777777" w:rsidR="001C4D38" w:rsidRDefault="001C4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4BE31" w14:textId="77777777" w:rsidR="00703474" w:rsidRPr="00703474" w:rsidRDefault="00703474" w:rsidP="0070347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(מרכז) 39587-07-21</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1E0DA" w14:textId="77777777" w:rsidR="00532FE9" w:rsidRPr="00703474" w:rsidRDefault="00703474" w:rsidP="0070347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(מרכז) 39587-07-21</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411"/>
    <w:multiLevelType w:val="hybridMultilevel"/>
    <w:tmpl w:val="13A4F440"/>
    <w:lvl w:ilvl="0" w:tplc="3CF4E888">
      <w:start w:val="1"/>
      <w:numFmt w:val="decimal"/>
      <w:lvlText w:val="%1."/>
      <w:lvlJc w:val="left"/>
      <w:pPr>
        <w:ind w:left="786" w:hanging="360"/>
      </w:pPr>
      <w:rPr>
        <w:rFonts w:cs="Times New Roman"/>
        <w:b w:val="0"/>
        <w:bCs w:val="0"/>
        <w:color w:val="000000"/>
        <w:sz w:val="24"/>
        <w:szCs w:val="2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09221044"/>
    <w:multiLevelType w:val="hybridMultilevel"/>
    <w:tmpl w:val="69044EC4"/>
    <w:lvl w:ilvl="0" w:tplc="91C23C02">
      <w:start w:val="1"/>
      <w:numFmt w:val="hebrew1"/>
      <w:lvlText w:val="%1."/>
      <w:lvlJc w:val="left"/>
      <w:pPr>
        <w:ind w:left="1211" w:hanging="360"/>
      </w:pPr>
      <w:rPr>
        <w:rFonts w:cs="Times New Roman"/>
      </w:rPr>
    </w:lvl>
    <w:lvl w:ilvl="1" w:tplc="04090019">
      <w:start w:val="1"/>
      <w:numFmt w:val="lowerLetter"/>
      <w:lvlText w:val="%2."/>
      <w:lvlJc w:val="left"/>
      <w:pPr>
        <w:ind w:left="1866" w:hanging="360"/>
      </w:pPr>
      <w:rPr>
        <w:rFonts w:cs="Times New Roman"/>
      </w:rPr>
    </w:lvl>
    <w:lvl w:ilvl="2" w:tplc="0409001B">
      <w:start w:val="1"/>
      <w:numFmt w:val="lowerRoman"/>
      <w:lvlText w:val="%3."/>
      <w:lvlJc w:val="right"/>
      <w:pPr>
        <w:ind w:left="2586" w:hanging="180"/>
      </w:pPr>
      <w:rPr>
        <w:rFonts w:cs="Times New Roman"/>
      </w:rPr>
    </w:lvl>
    <w:lvl w:ilvl="3" w:tplc="0409000F">
      <w:start w:val="1"/>
      <w:numFmt w:val="decimal"/>
      <w:lvlText w:val="%4."/>
      <w:lvlJc w:val="left"/>
      <w:pPr>
        <w:ind w:left="3306" w:hanging="360"/>
      </w:pPr>
      <w:rPr>
        <w:rFonts w:cs="Times New Roman"/>
      </w:rPr>
    </w:lvl>
    <w:lvl w:ilvl="4" w:tplc="04090019">
      <w:start w:val="1"/>
      <w:numFmt w:val="lowerLetter"/>
      <w:lvlText w:val="%5."/>
      <w:lvlJc w:val="left"/>
      <w:pPr>
        <w:ind w:left="4026" w:hanging="360"/>
      </w:pPr>
      <w:rPr>
        <w:rFonts w:cs="Times New Roman"/>
      </w:rPr>
    </w:lvl>
    <w:lvl w:ilvl="5" w:tplc="0409001B">
      <w:start w:val="1"/>
      <w:numFmt w:val="lowerRoman"/>
      <w:lvlText w:val="%6."/>
      <w:lvlJc w:val="right"/>
      <w:pPr>
        <w:ind w:left="4746" w:hanging="180"/>
      </w:pPr>
      <w:rPr>
        <w:rFonts w:cs="Times New Roman"/>
      </w:rPr>
    </w:lvl>
    <w:lvl w:ilvl="6" w:tplc="0409000F">
      <w:start w:val="1"/>
      <w:numFmt w:val="decimal"/>
      <w:lvlText w:val="%7."/>
      <w:lvlJc w:val="left"/>
      <w:pPr>
        <w:ind w:left="5466" w:hanging="360"/>
      </w:pPr>
      <w:rPr>
        <w:rFonts w:cs="Times New Roman"/>
      </w:rPr>
    </w:lvl>
    <w:lvl w:ilvl="7" w:tplc="04090019">
      <w:start w:val="1"/>
      <w:numFmt w:val="lowerLetter"/>
      <w:lvlText w:val="%8."/>
      <w:lvlJc w:val="left"/>
      <w:pPr>
        <w:ind w:left="6186" w:hanging="360"/>
      </w:pPr>
      <w:rPr>
        <w:rFonts w:cs="Times New Roman"/>
      </w:rPr>
    </w:lvl>
    <w:lvl w:ilvl="8" w:tplc="0409001B">
      <w:start w:val="1"/>
      <w:numFmt w:val="lowerRoman"/>
      <w:lvlText w:val="%9."/>
      <w:lvlJc w:val="right"/>
      <w:pPr>
        <w:ind w:left="6906" w:hanging="180"/>
      </w:pPr>
      <w:rPr>
        <w:rFonts w:cs="Times New Roman"/>
      </w:rPr>
    </w:lvl>
  </w:abstractNum>
  <w:abstractNum w:abstractNumId="2" w15:restartNumberingAfterBreak="0">
    <w:nsid w:val="188A166F"/>
    <w:multiLevelType w:val="hybridMultilevel"/>
    <w:tmpl w:val="7F263A1E"/>
    <w:lvl w:ilvl="0" w:tplc="D3FADC64">
      <w:start w:val="6"/>
      <w:numFmt w:val="bullet"/>
      <w:lvlText w:val="-"/>
      <w:lvlJc w:val="left"/>
      <w:pPr>
        <w:ind w:left="720" w:hanging="360"/>
      </w:pPr>
      <w:rPr>
        <w:rFonts w:ascii="David" w:eastAsia="Times New Roman" w:hAnsi="David" w:hint="default"/>
        <w:b/>
        <w:i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DD2697C"/>
    <w:multiLevelType w:val="hybridMultilevel"/>
    <w:tmpl w:val="CA360DEE"/>
    <w:lvl w:ilvl="0" w:tplc="3058EB5C">
      <w:start w:val="1"/>
      <w:numFmt w:val="hebrew1"/>
      <w:lvlText w:val="%1."/>
      <w:lvlJc w:val="left"/>
      <w:pPr>
        <w:ind w:left="1146" w:hanging="360"/>
      </w:pPr>
      <w:rPr>
        <w:rFonts w:cs="Times New Roman"/>
      </w:rPr>
    </w:lvl>
    <w:lvl w:ilvl="1" w:tplc="04090019">
      <w:start w:val="1"/>
      <w:numFmt w:val="lowerLetter"/>
      <w:lvlText w:val="%2."/>
      <w:lvlJc w:val="left"/>
      <w:pPr>
        <w:ind w:left="1866" w:hanging="360"/>
      </w:pPr>
      <w:rPr>
        <w:rFonts w:cs="Times New Roman"/>
      </w:rPr>
    </w:lvl>
    <w:lvl w:ilvl="2" w:tplc="0409001B">
      <w:start w:val="1"/>
      <w:numFmt w:val="lowerRoman"/>
      <w:lvlText w:val="%3."/>
      <w:lvlJc w:val="right"/>
      <w:pPr>
        <w:ind w:left="2586" w:hanging="180"/>
      </w:pPr>
      <w:rPr>
        <w:rFonts w:cs="Times New Roman"/>
      </w:rPr>
    </w:lvl>
    <w:lvl w:ilvl="3" w:tplc="0409000F">
      <w:start w:val="1"/>
      <w:numFmt w:val="decimal"/>
      <w:lvlText w:val="%4."/>
      <w:lvlJc w:val="left"/>
      <w:pPr>
        <w:ind w:left="3306" w:hanging="360"/>
      </w:pPr>
      <w:rPr>
        <w:rFonts w:cs="Times New Roman"/>
      </w:rPr>
    </w:lvl>
    <w:lvl w:ilvl="4" w:tplc="04090019">
      <w:start w:val="1"/>
      <w:numFmt w:val="lowerLetter"/>
      <w:lvlText w:val="%5."/>
      <w:lvlJc w:val="left"/>
      <w:pPr>
        <w:ind w:left="4026" w:hanging="360"/>
      </w:pPr>
      <w:rPr>
        <w:rFonts w:cs="Times New Roman"/>
      </w:rPr>
    </w:lvl>
    <w:lvl w:ilvl="5" w:tplc="0409001B">
      <w:start w:val="1"/>
      <w:numFmt w:val="lowerRoman"/>
      <w:lvlText w:val="%6."/>
      <w:lvlJc w:val="right"/>
      <w:pPr>
        <w:ind w:left="4746" w:hanging="180"/>
      </w:pPr>
      <w:rPr>
        <w:rFonts w:cs="Times New Roman"/>
      </w:rPr>
    </w:lvl>
    <w:lvl w:ilvl="6" w:tplc="0409000F">
      <w:start w:val="1"/>
      <w:numFmt w:val="decimal"/>
      <w:lvlText w:val="%7."/>
      <w:lvlJc w:val="left"/>
      <w:pPr>
        <w:ind w:left="5466" w:hanging="360"/>
      </w:pPr>
      <w:rPr>
        <w:rFonts w:cs="Times New Roman"/>
      </w:rPr>
    </w:lvl>
    <w:lvl w:ilvl="7" w:tplc="04090019">
      <w:start w:val="1"/>
      <w:numFmt w:val="lowerLetter"/>
      <w:lvlText w:val="%8."/>
      <w:lvlJc w:val="left"/>
      <w:pPr>
        <w:ind w:left="6186" w:hanging="360"/>
      </w:pPr>
      <w:rPr>
        <w:rFonts w:cs="Times New Roman"/>
      </w:rPr>
    </w:lvl>
    <w:lvl w:ilvl="8" w:tplc="0409001B">
      <w:start w:val="1"/>
      <w:numFmt w:val="lowerRoman"/>
      <w:lvlText w:val="%9."/>
      <w:lvlJc w:val="right"/>
      <w:pPr>
        <w:ind w:left="6906"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74912641"/>
    <w:multiLevelType w:val="hybridMultilevel"/>
    <w:tmpl w:val="570E342A"/>
    <w:lvl w:ilvl="0" w:tplc="73D2A376">
      <w:start w:val="1"/>
      <w:numFmt w:val="hebrew1"/>
      <w:lvlText w:val="%1."/>
      <w:lvlJc w:val="left"/>
      <w:pPr>
        <w:ind w:left="1146" w:hanging="360"/>
      </w:pPr>
      <w:rPr>
        <w:rFonts w:cs="Times New Roman"/>
      </w:rPr>
    </w:lvl>
    <w:lvl w:ilvl="1" w:tplc="04090019">
      <w:start w:val="1"/>
      <w:numFmt w:val="lowerLetter"/>
      <w:lvlText w:val="%2."/>
      <w:lvlJc w:val="left"/>
      <w:pPr>
        <w:ind w:left="1866" w:hanging="360"/>
      </w:pPr>
      <w:rPr>
        <w:rFonts w:cs="Times New Roman"/>
      </w:rPr>
    </w:lvl>
    <w:lvl w:ilvl="2" w:tplc="0409001B">
      <w:start w:val="1"/>
      <w:numFmt w:val="lowerRoman"/>
      <w:lvlText w:val="%3."/>
      <w:lvlJc w:val="right"/>
      <w:pPr>
        <w:ind w:left="2586" w:hanging="180"/>
      </w:pPr>
      <w:rPr>
        <w:rFonts w:cs="Times New Roman"/>
      </w:rPr>
    </w:lvl>
    <w:lvl w:ilvl="3" w:tplc="0409000F">
      <w:start w:val="1"/>
      <w:numFmt w:val="decimal"/>
      <w:lvlText w:val="%4."/>
      <w:lvlJc w:val="left"/>
      <w:pPr>
        <w:ind w:left="3306" w:hanging="360"/>
      </w:pPr>
      <w:rPr>
        <w:rFonts w:cs="Times New Roman"/>
      </w:rPr>
    </w:lvl>
    <w:lvl w:ilvl="4" w:tplc="04090019">
      <w:start w:val="1"/>
      <w:numFmt w:val="lowerLetter"/>
      <w:lvlText w:val="%5."/>
      <w:lvlJc w:val="left"/>
      <w:pPr>
        <w:ind w:left="4026" w:hanging="360"/>
      </w:pPr>
      <w:rPr>
        <w:rFonts w:cs="Times New Roman"/>
      </w:rPr>
    </w:lvl>
    <w:lvl w:ilvl="5" w:tplc="0409001B">
      <w:start w:val="1"/>
      <w:numFmt w:val="lowerRoman"/>
      <w:lvlText w:val="%6."/>
      <w:lvlJc w:val="right"/>
      <w:pPr>
        <w:ind w:left="4746" w:hanging="180"/>
      </w:pPr>
      <w:rPr>
        <w:rFonts w:cs="Times New Roman"/>
      </w:rPr>
    </w:lvl>
    <w:lvl w:ilvl="6" w:tplc="0409000F">
      <w:start w:val="1"/>
      <w:numFmt w:val="decimal"/>
      <w:lvlText w:val="%7."/>
      <w:lvlJc w:val="left"/>
      <w:pPr>
        <w:ind w:left="5466" w:hanging="360"/>
      </w:pPr>
      <w:rPr>
        <w:rFonts w:cs="Times New Roman"/>
      </w:rPr>
    </w:lvl>
    <w:lvl w:ilvl="7" w:tplc="04090019">
      <w:start w:val="1"/>
      <w:numFmt w:val="lowerLetter"/>
      <w:lvlText w:val="%8."/>
      <w:lvlJc w:val="left"/>
      <w:pPr>
        <w:ind w:left="6186" w:hanging="360"/>
      </w:pPr>
      <w:rPr>
        <w:rFonts w:cs="Times New Roman"/>
      </w:rPr>
    </w:lvl>
    <w:lvl w:ilvl="8" w:tplc="0409001B">
      <w:start w:val="1"/>
      <w:numFmt w:val="lowerRoman"/>
      <w:lvlText w:val="%9."/>
      <w:lvlJc w:val="right"/>
      <w:pPr>
        <w:ind w:left="6906" w:hanging="180"/>
      </w:pPr>
      <w:rPr>
        <w:rFonts w:cs="Times New Roman"/>
      </w:rPr>
    </w:lvl>
  </w:abstractNum>
  <w:num w:numId="1" w16cid:durableId="1239514125">
    <w:abstractNumId w:val="5"/>
  </w:num>
  <w:num w:numId="2" w16cid:durableId="1550848232">
    <w:abstractNumId w:val="3"/>
  </w:num>
  <w:num w:numId="3" w16cid:durableId="14185545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0536237">
    <w:abstractNumId w:val="2"/>
  </w:num>
  <w:num w:numId="5" w16cid:durableId="13645565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25505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61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31F8A"/>
    <w:rsid w:val="000454A8"/>
    <w:rsid w:val="00054FC4"/>
    <w:rsid w:val="0006726A"/>
    <w:rsid w:val="000F2247"/>
    <w:rsid w:val="00100577"/>
    <w:rsid w:val="00126CD4"/>
    <w:rsid w:val="001352F8"/>
    <w:rsid w:val="00156B48"/>
    <w:rsid w:val="001C4D38"/>
    <w:rsid w:val="00210005"/>
    <w:rsid w:val="00212125"/>
    <w:rsid w:val="00224AC0"/>
    <w:rsid w:val="00260C6C"/>
    <w:rsid w:val="002B7D23"/>
    <w:rsid w:val="002D6C61"/>
    <w:rsid w:val="00367565"/>
    <w:rsid w:val="0038782B"/>
    <w:rsid w:val="003D7D8A"/>
    <w:rsid w:val="003E0C9F"/>
    <w:rsid w:val="004215DC"/>
    <w:rsid w:val="00465B12"/>
    <w:rsid w:val="00466F50"/>
    <w:rsid w:val="004902D6"/>
    <w:rsid w:val="004B749E"/>
    <w:rsid w:val="004D2F44"/>
    <w:rsid w:val="004E6C42"/>
    <w:rsid w:val="004F19BC"/>
    <w:rsid w:val="00507694"/>
    <w:rsid w:val="00532FE9"/>
    <w:rsid w:val="00555749"/>
    <w:rsid w:val="005C7B0B"/>
    <w:rsid w:val="0060329C"/>
    <w:rsid w:val="00683ABD"/>
    <w:rsid w:val="00684E84"/>
    <w:rsid w:val="006C2095"/>
    <w:rsid w:val="00703474"/>
    <w:rsid w:val="00706644"/>
    <w:rsid w:val="00707D2C"/>
    <w:rsid w:val="00757983"/>
    <w:rsid w:val="007D3CC2"/>
    <w:rsid w:val="007D46DD"/>
    <w:rsid w:val="00821F29"/>
    <w:rsid w:val="00822550"/>
    <w:rsid w:val="00832D73"/>
    <w:rsid w:val="008679DE"/>
    <w:rsid w:val="008819B4"/>
    <w:rsid w:val="00885F34"/>
    <w:rsid w:val="008E48E6"/>
    <w:rsid w:val="00937B32"/>
    <w:rsid w:val="00947B38"/>
    <w:rsid w:val="009705CC"/>
    <w:rsid w:val="0097480E"/>
    <w:rsid w:val="009A730D"/>
    <w:rsid w:val="009E35A7"/>
    <w:rsid w:val="009E49A1"/>
    <w:rsid w:val="009E6B2E"/>
    <w:rsid w:val="009F504D"/>
    <w:rsid w:val="00A504C4"/>
    <w:rsid w:val="00AA14D9"/>
    <w:rsid w:val="00AE0B21"/>
    <w:rsid w:val="00B05847"/>
    <w:rsid w:val="00B22E0A"/>
    <w:rsid w:val="00B91074"/>
    <w:rsid w:val="00BA160A"/>
    <w:rsid w:val="00BC71FE"/>
    <w:rsid w:val="00BD67E7"/>
    <w:rsid w:val="00BE0015"/>
    <w:rsid w:val="00C02463"/>
    <w:rsid w:val="00C06556"/>
    <w:rsid w:val="00C45023"/>
    <w:rsid w:val="00C55E62"/>
    <w:rsid w:val="00C572E8"/>
    <w:rsid w:val="00C96FEA"/>
    <w:rsid w:val="00D202F4"/>
    <w:rsid w:val="00D3203D"/>
    <w:rsid w:val="00E70F9C"/>
    <w:rsid w:val="00ED4465"/>
    <w:rsid w:val="00F75AFC"/>
    <w:rsid w:val="00FA415B"/>
    <w:rsid w:val="00FC6920"/>
    <w:rsid w:val="00FD34CC"/>
    <w:rsid w:val="00FD7CF9"/>
    <w:rsid w:val="00FE3BA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9E7855"/>
  <w15:chartTrackingRefBased/>
  <w15:docId w15:val="{FB0577A7-810E-4FF8-B1CA-BDC81788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aa">
    <w:name w:val="Placeholder Text"/>
    <w:semiHidden/>
    <w:rsid w:val="003D7D8A"/>
    <w:rPr>
      <w:color w:val="808080"/>
    </w:rPr>
  </w:style>
  <w:style w:type="character" w:customStyle="1" w:styleId="ab">
    <w:name w:val="פיסקת רשימה תו"/>
    <w:link w:val="ac"/>
    <w:locked/>
    <w:rsid w:val="00156B48"/>
    <w:rPr>
      <w:rFonts w:ascii="David" w:hAnsi="David"/>
      <w:sz w:val="24"/>
    </w:rPr>
  </w:style>
  <w:style w:type="paragraph" w:styleId="ac">
    <w:name w:val="List Paragraph"/>
    <w:basedOn w:val="a"/>
    <w:link w:val="ab"/>
    <w:qFormat/>
    <w:rsid w:val="00156B48"/>
    <w:pPr>
      <w:ind w:left="720"/>
      <w:contextualSpacing/>
    </w:pPr>
    <w:rPr>
      <w:rFonts w:ascii="David" w:hAnsi="David"/>
    </w:rPr>
  </w:style>
  <w:style w:type="paragraph" w:customStyle="1" w:styleId="ruller40">
    <w:name w:val="ruller40"/>
    <w:basedOn w:val="a"/>
    <w:rsid w:val="00156B48"/>
    <w:pPr>
      <w:bidi w:val="0"/>
      <w:spacing w:before="100" w:beforeAutospacing="1" w:after="100" w:afterAutospacing="1"/>
    </w:pPr>
    <w:rPr>
      <w:rFonts w:cs="Times New Roman"/>
    </w:rPr>
  </w:style>
  <w:style w:type="character" w:styleId="Hyperlink">
    <w:name w:val="Hyperlink"/>
    <w:semiHidden/>
    <w:rsid w:val="00156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48.a" TargetMode="External"/><Relationship Id="rId18" Type="http://schemas.openxmlformats.org/officeDocument/2006/relationships/hyperlink" Target="http://www.nevo.co.il/law/141771/37" TargetMode="External"/><Relationship Id="rId26" Type="http://schemas.openxmlformats.org/officeDocument/2006/relationships/hyperlink" Target="http://www.nevo.co.il/law/70301/31" TargetMode="External"/><Relationship Id="rId39" Type="http://schemas.openxmlformats.org/officeDocument/2006/relationships/hyperlink" Target="http://www.nevo.co.il/law/141771/37" TargetMode="External"/><Relationship Id="rId21" Type="http://schemas.openxmlformats.org/officeDocument/2006/relationships/hyperlink" Target="http://www.nevo.co.il/law/141771/37" TargetMode="External"/><Relationship Id="rId34" Type="http://schemas.openxmlformats.org/officeDocument/2006/relationships/hyperlink" Target="http://www.nevo.co.il/case/28296934" TargetMode="External"/><Relationship Id="rId42" Type="http://schemas.openxmlformats.org/officeDocument/2006/relationships/hyperlink" Target="http://www.nevo.co.il/case/23506710" TargetMode="External"/><Relationship Id="rId47" Type="http://schemas.openxmlformats.org/officeDocument/2006/relationships/hyperlink" Target="http://www.nevo.co.il/case/28217264" TargetMode="External"/><Relationship Id="rId50" Type="http://schemas.openxmlformats.org/officeDocument/2006/relationships/hyperlink" Target="http://www.nevo.co.il/case/28152132"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2" TargetMode="External"/><Relationship Id="rId29" Type="http://schemas.openxmlformats.org/officeDocument/2006/relationships/hyperlink" Target="http://www.nevo.co.il/law/70301/31" TargetMode="External"/><Relationship Id="rId11" Type="http://schemas.openxmlformats.org/officeDocument/2006/relationships/hyperlink" Target="http://www.nevo.co.il/law/70301/275a" TargetMode="External"/><Relationship Id="rId24" Type="http://schemas.openxmlformats.org/officeDocument/2006/relationships/hyperlink" Target="http://www.nevo.co.il/law/70301/31" TargetMode="External"/><Relationship Id="rId32" Type="http://schemas.openxmlformats.org/officeDocument/2006/relationships/hyperlink" Target="http://www.nevo.co.il/law/70301/152" TargetMode="External"/><Relationship Id="rId37" Type="http://schemas.openxmlformats.org/officeDocument/2006/relationships/hyperlink" Target="http://www.nevo.co.il/case/21474812" TargetMode="External"/><Relationship Id="rId40" Type="http://schemas.openxmlformats.org/officeDocument/2006/relationships/hyperlink" Target="http://www.nevo.co.il/case/20923902" TargetMode="External"/><Relationship Id="rId45" Type="http://schemas.openxmlformats.org/officeDocument/2006/relationships/hyperlink" Target="http://www.nevo.co.il/case/27623662" TargetMode="External"/><Relationship Id="rId53" Type="http://schemas.openxmlformats.org/officeDocument/2006/relationships/hyperlink" Target="http://www.nevo.co.il/case/21474812"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141771" TargetMode="External"/><Relationship Id="rId14" Type="http://schemas.openxmlformats.org/officeDocument/2006/relationships/hyperlink" Target="http://www.nevo.co.il/law/141771"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141771/37" TargetMode="External"/><Relationship Id="rId30" Type="http://schemas.openxmlformats.org/officeDocument/2006/relationships/hyperlink" Target="http://www.nevo.co.il/law/141771/37" TargetMode="External"/><Relationship Id="rId35" Type="http://schemas.openxmlformats.org/officeDocument/2006/relationships/hyperlink" Target="http://www.nevo.co.il/case/29173557" TargetMode="External"/><Relationship Id="rId43" Type="http://schemas.openxmlformats.org/officeDocument/2006/relationships/hyperlink" Target="http://www.nevo.co.il/case/29816637" TargetMode="External"/><Relationship Id="rId48" Type="http://schemas.openxmlformats.org/officeDocument/2006/relationships/hyperlink" Target="http://www.nevo.co.il/case/27714932" TargetMode="External"/><Relationship Id="rId56" Type="http://schemas.openxmlformats.org/officeDocument/2006/relationships/header" Target="header1.xml"/><Relationship Id="rId8" Type="http://schemas.openxmlformats.org/officeDocument/2006/relationships/hyperlink" Target="http://www.nevo.co.il/law/70301/31" TargetMode="External"/><Relationship Id="rId51" Type="http://schemas.openxmlformats.org/officeDocument/2006/relationships/hyperlink" Target="http://www.nevo.co.il/case/25528737" TargetMode="External"/><Relationship Id="rId3" Type="http://schemas.openxmlformats.org/officeDocument/2006/relationships/settings" Target="settings.xml"/><Relationship Id="rId12" Type="http://schemas.openxmlformats.org/officeDocument/2006/relationships/hyperlink" Target="http://www.nevo.co.il/law/70301/329.a.2"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29.a.2" TargetMode="External"/><Relationship Id="rId33" Type="http://schemas.openxmlformats.org/officeDocument/2006/relationships/hyperlink" Target="http://www.nevo.co.il/law/141771/37" TargetMode="External"/><Relationship Id="rId38" Type="http://schemas.openxmlformats.org/officeDocument/2006/relationships/hyperlink" Target="http://www.nevo.co.il/case/22303605" TargetMode="External"/><Relationship Id="rId46" Type="http://schemas.openxmlformats.org/officeDocument/2006/relationships/hyperlink" Target="http://www.nevo.co.il/case/27679696" TargetMode="External"/><Relationship Id="rId59" Type="http://schemas.openxmlformats.org/officeDocument/2006/relationships/footer" Target="footer2.xml"/><Relationship Id="rId20" Type="http://schemas.openxmlformats.org/officeDocument/2006/relationships/hyperlink" Target="http://www.nevo.co.il/law/70301/448.a" TargetMode="External"/><Relationship Id="rId41" Type="http://schemas.openxmlformats.org/officeDocument/2006/relationships/hyperlink" Target="http://www.nevo.co.il/case/23763436" TargetMode="External"/><Relationship Id="rId54" Type="http://schemas.openxmlformats.org/officeDocument/2006/relationships/hyperlink" Target="http://www.nevo.co.il/case/2432339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141771/37"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448.a" TargetMode="External"/><Relationship Id="rId36" Type="http://schemas.openxmlformats.org/officeDocument/2006/relationships/hyperlink" Target="http://www.nevo.co.il/case/23506710" TargetMode="External"/><Relationship Id="rId49" Type="http://schemas.openxmlformats.org/officeDocument/2006/relationships/hyperlink" Target="http://www.nevo.co.il/case/28513828" TargetMode="External"/><Relationship Id="rId57" Type="http://schemas.openxmlformats.org/officeDocument/2006/relationships/header" Target="header2.xml"/><Relationship Id="rId10" Type="http://schemas.openxmlformats.org/officeDocument/2006/relationships/hyperlink" Target="http://www.nevo.co.il/law/70301/152" TargetMode="External"/><Relationship Id="rId31" Type="http://schemas.openxmlformats.org/officeDocument/2006/relationships/hyperlink" Target="http://www.nevo.co.il/law/70301/275a" TargetMode="External"/><Relationship Id="rId44" Type="http://schemas.openxmlformats.org/officeDocument/2006/relationships/hyperlink" Target="http://www.nevo.co.il/case/26795355" TargetMode="External"/><Relationship Id="rId52" Type="http://schemas.openxmlformats.org/officeDocument/2006/relationships/hyperlink" Target="http://www.nevo.co.il/case/2605863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4216</Words>
  <Characters>21085</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25251</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3866737</vt:i4>
      </vt:variant>
      <vt:variant>
        <vt:i4>141</vt:i4>
      </vt:variant>
      <vt:variant>
        <vt:i4>0</vt:i4>
      </vt:variant>
      <vt:variant>
        <vt:i4>5</vt:i4>
      </vt:variant>
      <vt:variant>
        <vt:lpwstr>http://www.nevo.co.il/case/24323398</vt:lpwstr>
      </vt:variant>
      <vt:variant>
        <vt:lpwstr/>
      </vt:variant>
      <vt:variant>
        <vt:i4>3342458</vt:i4>
      </vt:variant>
      <vt:variant>
        <vt:i4>138</vt:i4>
      </vt:variant>
      <vt:variant>
        <vt:i4>0</vt:i4>
      </vt:variant>
      <vt:variant>
        <vt:i4>5</vt:i4>
      </vt:variant>
      <vt:variant>
        <vt:lpwstr>http://www.nevo.co.il/case/21474812</vt:lpwstr>
      </vt:variant>
      <vt:variant>
        <vt:lpwstr/>
      </vt:variant>
      <vt:variant>
        <vt:i4>3735665</vt:i4>
      </vt:variant>
      <vt:variant>
        <vt:i4>135</vt:i4>
      </vt:variant>
      <vt:variant>
        <vt:i4>0</vt:i4>
      </vt:variant>
      <vt:variant>
        <vt:i4>5</vt:i4>
      </vt:variant>
      <vt:variant>
        <vt:lpwstr>http://www.nevo.co.il/case/26058630</vt:lpwstr>
      </vt:variant>
      <vt:variant>
        <vt:lpwstr/>
      </vt:variant>
      <vt:variant>
        <vt:i4>3932276</vt:i4>
      </vt:variant>
      <vt:variant>
        <vt:i4>132</vt:i4>
      </vt:variant>
      <vt:variant>
        <vt:i4>0</vt:i4>
      </vt:variant>
      <vt:variant>
        <vt:i4>5</vt:i4>
      </vt:variant>
      <vt:variant>
        <vt:lpwstr>http://www.nevo.co.il/case/25528737</vt:lpwstr>
      </vt:variant>
      <vt:variant>
        <vt:lpwstr/>
      </vt:variant>
      <vt:variant>
        <vt:i4>3276920</vt:i4>
      </vt:variant>
      <vt:variant>
        <vt:i4>129</vt:i4>
      </vt:variant>
      <vt:variant>
        <vt:i4>0</vt:i4>
      </vt:variant>
      <vt:variant>
        <vt:i4>5</vt:i4>
      </vt:variant>
      <vt:variant>
        <vt:lpwstr>http://www.nevo.co.il/case/28152132</vt:lpwstr>
      </vt:variant>
      <vt:variant>
        <vt:lpwstr/>
      </vt:variant>
      <vt:variant>
        <vt:i4>3539061</vt:i4>
      </vt:variant>
      <vt:variant>
        <vt:i4>126</vt:i4>
      </vt:variant>
      <vt:variant>
        <vt:i4>0</vt:i4>
      </vt:variant>
      <vt:variant>
        <vt:i4>5</vt:i4>
      </vt:variant>
      <vt:variant>
        <vt:lpwstr>http://www.nevo.co.il/case/28513828</vt:lpwstr>
      </vt:variant>
      <vt:variant>
        <vt:lpwstr/>
      </vt:variant>
      <vt:variant>
        <vt:i4>3276923</vt:i4>
      </vt:variant>
      <vt:variant>
        <vt:i4>123</vt:i4>
      </vt:variant>
      <vt:variant>
        <vt:i4>0</vt:i4>
      </vt:variant>
      <vt:variant>
        <vt:i4>5</vt:i4>
      </vt:variant>
      <vt:variant>
        <vt:lpwstr>http://www.nevo.co.il/case/27714932</vt:lpwstr>
      </vt:variant>
      <vt:variant>
        <vt:lpwstr/>
      </vt:variant>
      <vt:variant>
        <vt:i4>3211391</vt:i4>
      </vt:variant>
      <vt:variant>
        <vt:i4>120</vt:i4>
      </vt:variant>
      <vt:variant>
        <vt:i4>0</vt:i4>
      </vt:variant>
      <vt:variant>
        <vt:i4>5</vt:i4>
      </vt:variant>
      <vt:variant>
        <vt:lpwstr>http://www.nevo.co.il/case/28217264</vt:lpwstr>
      </vt:variant>
      <vt:variant>
        <vt:lpwstr/>
      </vt:variant>
      <vt:variant>
        <vt:i4>3407986</vt:i4>
      </vt:variant>
      <vt:variant>
        <vt:i4>117</vt:i4>
      </vt:variant>
      <vt:variant>
        <vt:i4>0</vt:i4>
      </vt:variant>
      <vt:variant>
        <vt:i4>5</vt:i4>
      </vt:variant>
      <vt:variant>
        <vt:lpwstr>http://www.nevo.co.il/case/27679696</vt:lpwstr>
      </vt:variant>
      <vt:variant>
        <vt:lpwstr/>
      </vt:variant>
      <vt:variant>
        <vt:i4>3211383</vt:i4>
      </vt:variant>
      <vt:variant>
        <vt:i4>114</vt:i4>
      </vt:variant>
      <vt:variant>
        <vt:i4>0</vt:i4>
      </vt:variant>
      <vt:variant>
        <vt:i4>5</vt:i4>
      </vt:variant>
      <vt:variant>
        <vt:lpwstr>http://www.nevo.co.il/case/27623662</vt:lpwstr>
      </vt:variant>
      <vt:variant>
        <vt:lpwstr/>
      </vt:variant>
      <vt:variant>
        <vt:i4>3473528</vt:i4>
      </vt:variant>
      <vt:variant>
        <vt:i4>111</vt:i4>
      </vt:variant>
      <vt:variant>
        <vt:i4>0</vt:i4>
      </vt:variant>
      <vt:variant>
        <vt:i4>5</vt:i4>
      </vt:variant>
      <vt:variant>
        <vt:lpwstr>http://www.nevo.co.il/case/26795355</vt:lpwstr>
      </vt:variant>
      <vt:variant>
        <vt:lpwstr/>
      </vt:variant>
      <vt:variant>
        <vt:i4>4128890</vt:i4>
      </vt:variant>
      <vt:variant>
        <vt:i4>108</vt:i4>
      </vt:variant>
      <vt:variant>
        <vt:i4>0</vt:i4>
      </vt:variant>
      <vt:variant>
        <vt:i4>5</vt:i4>
      </vt:variant>
      <vt:variant>
        <vt:lpwstr>http://www.nevo.co.il/case/29816637</vt:lpwstr>
      </vt:variant>
      <vt:variant>
        <vt:lpwstr/>
      </vt:variant>
      <vt:variant>
        <vt:i4>3145840</vt:i4>
      </vt:variant>
      <vt:variant>
        <vt:i4>105</vt:i4>
      </vt:variant>
      <vt:variant>
        <vt:i4>0</vt:i4>
      </vt:variant>
      <vt:variant>
        <vt:i4>5</vt:i4>
      </vt:variant>
      <vt:variant>
        <vt:lpwstr>http://www.nevo.co.il/case/23506710</vt:lpwstr>
      </vt:variant>
      <vt:variant>
        <vt:lpwstr/>
      </vt:variant>
      <vt:variant>
        <vt:i4>3473525</vt:i4>
      </vt:variant>
      <vt:variant>
        <vt:i4>102</vt:i4>
      </vt:variant>
      <vt:variant>
        <vt:i4>0</vt:i4>
      </vt:variant>
      <vt:variant>
        <vt:i4>5</vt:i4>
      </vt:variant>
      <vt:variant>
        <vt:lpwstr>http://www.nevo.co.il/case/23763436</vt:lpwstr>
      </vt:variant>
      <vt:variant>
        <vt:lpwstr/>
      </vt:variant>
      <vt:variant>
        <vt:i4>3670143</vt:i4>
      </vt:variant>
      <vt:variant>
        <vt:i4>99</vt:i4>
      </vt:variant>
      <vt:variant>
        <vt:i4>0</vt:i4>
      </vt:variant>
      <vt:variant>
        <vt:i4>5</vt:i4>
      </vt:variant>
      <vt:variant>
        <vt:lpwstr>http://www.nevo.co.il/case/20923902</vt:lpwstr>
      </vt:variant>
      <vt:variant>
        <vt:lpwstr/>
      </vt:variant>
      <vt:variant>
        <vt:i4>8061048</vt:i4>
      </vt:variant>
      <vt:variant>
        <vt:i4>96</vt:i4>
      </vt:variant>
      <vt:variant>
        <vt:i4>0</vt:i4>
      </vt:variant>
      <vt:variant>
        <vt:i4>5</vt:i4>
      </vt:variant>
      <vt:variant>
        <vt:lpwstr>http://www.nevo.co.il/law/141771/37</vt:lpwstr>
      </vt:variant>
      <vt:variant>
        <vt:lpwstr/>
      </vt:variant>
      <vt:variant>
        <vt:i4>3276912</vt:i4>
      </vt:variant>
      <vt:variant>
        <vt:i4>93</vt:i4>
      </vt:variant>
      <vt:variant>
        <vt:i4>0</vt:i4>
      </vt:variant>
      <vt:variant>
        <vt:i4>5</vt:i4>
      </vt:variant>
      <vt:variant>
        <vt:lpwstr>http://www.nevo.co.il/case/22303605</vt:lpwstr>
      </vt:variant>
      <vt:variant>
        <vt:lpwstr/>
      </vt:variant>
      <vt:variant>
        <vt:i4>3342458</vt:i4>
      </vt:variant>
      <vt:variant>
        <vt:i4>90</vt:i4>
      </vt:variant>
      <vt:variant>
        <vt:i4>0</vt:i4>
      </vt:variant>
      <vt:variant>
        <vt:i4>5</vt:i4>
      </vt:variant>
      <vt:variant>
        <vt:lpwstr>http://www.nevo.co.il/case/21474812</vt:lpwstr>
      </vt:variant>
      <vt:variant>
        <vt:lpwstr/>
      </vt:variant>
      <vt:variant>
        <vt:i4>3145840</vt:i4>
      </vt:variant>
      <vt:variant>
        <vt:i4>87</vt:i4>
      </vt:variant>
      <vt:variant>
        <vt:i4>0</vt:i4>
      </vt:variant>
      <vt:variant>
        <vt:i4>5</vt:i4>
      </vt:variant>
      <vt:variant>
        <vt:lpwstr>http://www.nevo.co.il/case/23506710</vt:lpwstr>
      </vt:variant>
      <vt:variant>
        <vt:lpwstr/>
      </vt:variant>
      <vt:variant>
        <vt:i4>3473535</vt:i4>
      </vt:variant>
      <vt:variant>
        <vt:i4>84</vt:i4>
      </vt:variant>
      <vt:variant>
        <vt:i4>0</vt:i4>
      </vt:variant>
      <vt:variant>
        <vt:i4>5</vt:i4>
      </vt:variant>
      <vt:variant>
        <vt:lpwstr>http://www.nevo.co.il/case/29173557</vt:lpwstr>
      </vt:variant>
      <vt:variant>
        <vt:lpwstr/>
      </vt:variant>
      <vt:variant>
        <vt:i4>3473532</vt:i4>
      </vt:variant>
      <vt:variant>
        <vt:i4>81</vt:i4>
      </vt:variant>
      <vt:variant>
        <vt:i4>0</vt:i4>
      </vt:variant>
      <vt:variant>
        <vt:i4>5</vt:i4>
      </vt:variant>
      <vt:variant>
        <vt:lpwstr>http://www.nevo.co.il/case/28296934</vt:lpwstr>
      </vt:variant>
      <vt:variant>
        <vt:lpwstr/>
      </vt:variant>
      <vt:variant>
        <vt:i4>8061048</vt:i4>
      </vt:variant>
      <vt:variant>
        <vt:i4>78</vt:i4>
      </vt:variant>
      <vt:variant>
        <vt:i4>0</vt:i4>
      </vt:variant>
      <vt:variant>
        <vt:i4>5</vt:i4>
      </vt:variant>
      <vt:variant>
        <vt:lpwstr>http://www.nevo.co.il/law/141771/37</vt:lpwstr>
      </vt:variant>
      <vt:variant>
        <vt:lpwstr/>
      </vt:variant>
      <vt:variant>
        <vt:i4>6291556</vt:i4>
      </vt:variant>
      <vt:variant>
        <vt:i4>75</vt:i4>
      </vt:variant>
      <vt:variant>
        <vt:i4>0</vt:i4>
      </vt:variant>
      <vt:variant>
        <vt:i4>5</vt:i4>
      </vt:variant>
      <vt:variant>
        <vt:lpwstr>http://www.nevo.co.il/law/70301/152</vt:lpwstr>
      </vt:variant>
      <vt:variant>
        <vt:lpwstr/>
      </vt:variant>
      <vt:variant>
        <vt:i4>196690</vt:i4>
      </vt:variant>
      <vt:variant>
        <vt:i4>72</vt:i4>
      </vt:variant>
      <vt:variant>
        <vt:i4>0</vt:i4>
      </vt:variant>
      <vt:variant>
        <vt:i4>5</vt:i4>
      </vt:variant>
      <vt:variant>
        <vt:lpwstr>http://www.nevo.co.il/law/70301/275a</vt:lpwstr>
      </vt:variant>
      <vt:variant>
        <vt:lpwstr/>
      </vt:variant>
      <vt:variant>
        <vt:i4>8061048</vt:i4>
      </vt:variant>
      <vt:variant>
        <vt:i4>69</vt:i4>
      </vt:variant>
      <vt:variant>
        <vt:i4>0</vt:i4>
      </vt:variant>
      <vt:variant>
        <vt:i4>5</vt:i4>
      </vt:variant>
      <vt:variant>
        <vt:lpwstr>http://www.nevo.co.il/law/141771/37</vt:lpwstr>
      </vt:variant>
      <vt:variant>
        <vt:lpwstr/>
      </vt:variant>
      <vt:variant>
        <vt:i4>6553702</vt:i4>
      </vt:variant>
      <vt:variant>
        <vt:i4>66</vt:i4>
      </vt:variant>
      <vt:variant>
        <vt:i4>0</vt:i4>
      </vt:variant>
      <vt:variant>
        <vt:i4>5</vt:i4>
      </vt:variant>
      <vt:variant>
        <vt:lpwstr>http://www.nevo.co.il/law/70301/31</vt:lpwstr>
      </vt:variant>
      <vt:variant>
        <vt:lpwstr/>
      </vt:variant>
      <vt:variant>
        <vt:i4>5177433</vt:i4>
      </vt:variant>
      <vt:variant>
        <vt:i4>63</vt:i4>
      </vt:variant>
      <vt:variant>
        <vt:i4>0</vt:i4>
      </vt:variant>
      <vt:variant>
        <vt:i4>5</vt:i4>
      </vt:variant>
      <vt:variant>
        <vt:lpwstr>http://www.nevo.co.il/law/70301/448.a</vt:lpwstr>
      </vt:variant>
      <vt:variant>
        <vt:lpwstr/>
      </vt:variant>
      <vt:variant>
        <vt:i4>8061048</vt:i4>
      </vt:variant>
      <vt:variant>
        <vt:i4>60</vt:i4>
      </vt:variant>
      <vt:variant>
        <vt:i4>0</vt:i4>
      </vt:variant>
      <vt:variant>
        <vt:i4>5</vt:i4>
      </vt:variant>
      <vt:variant>
        <vt:lpwstr>http://www.nevo.co.il/law/141771/37</vt:lpwstr>
      </vt:variant>
      <vt:variant>
        <vt:lpwstr/>
      </vt:variant>
      <vt:variant>
        <vt:i4>6553702</vt:i4>
      </vt:variant>
      <vt:variant>
        <vt:i4>57</vt:i4>
      </vt:variant>
      <vt:variant>
        <vt:i4>0</vt:i4>
      </vt:variant>
      <vt:variant>
        <vt:i4>5</vt:i4>
      </vt:variant>
      <vt:variant>
        <vt:lpwstr>http://www.nevo.co.il/law/70301/31</vt:lpwstr>
      </vt:variant>
      <vt:variant>
        <vt:lpwstr/>
      </vt:variant>
      <vt:variant>
        <vt:i4>6750270</vt:i4>
      </vt:variant>
      <vt:variant>
        <vt:i4>54</vt:i4>
      </vt:variant>
      <vt:variant>
        <vt:i4>0</vt:i4>
      </vt:variant>
      <vt:variant>
        <vt:i4>5</vt:i4>
      </vt:variant>
      <vt:variant>
        <vt:lpwstr>http://www.nevo.co.il/law/70301/329.a.2</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8061048</vt:i4>
      </vt:variant>
      <vt:variant>
        <vt:i4>42</vt:i4>
      </vt:variant>
      <vt:variant>
        <vt:i4>0</vt:i4>
      </vt:variant>
      <vt:variant>
        <vt:i4>5</vt:i4>
      </vt:variant>
      <vt:variant>
        <vt:lpwstr>http://www.nevo.co.il/law/141771/37</vt:lpwstr>
      </vt:variant>
      <vt:variant>
        <vt:lpwstr/>
      </vt:variant>
      <vt:variant>
        <vt:i4>5177433</vt:i4>
      </vt:variant>
      <vt:variant>
        <vt:i4>39</vt:i4>
      </vt:variant>
      <vt:variant>
        <vt:i4>0</vt:i4>
      </vt:variant>
      <vt:variant>
        <vt:i4>5</vt:i4>
      </vt:variant>
      <vt:variant>
        <vt:lpwstr>http://www.nevo.co.il/law/70301/448.a</vt:lpwstr>
      </vt:variant>
      <vt:variant>
        <vt:lpwstr/>
      </vt:variant>
      <vt:variant>
        <vt:i4>4718679</vt:i4>
      </vt:variant>
      <vt:variant>
        <vt:i4>36</vt:i4>
      </vt:variant>
      <vt:variant>
        <vt:i4>0</vt:i4>
      </vt:variant>
      <vt:variant>
        <vt:i4>5</vt:i4>
      </vt:variant>
      <vt:variant>
        <vt:lpwstr>http://www.nevo.co.il/law/141771</vt:lpwstr>
      </vt:variant>
      <vt:variant>
        <vt:lpwstr/>
      </vt:variant>
      <vt:variant>
        <vt:i4>8061048</vt:i4>
      </vt:variant>
      <vt:variant>
        <vt:i4>33</vt:i4>
      </vt:variant>
      <vt:variant>
        <vt:i4>0</vt:i4>
      </vt:variant>
      <vt:variant>
        <vt:i4>5</vt:i4>
      </vt:variant>
      <vt:variant>
        <vt:lpwstr>http://www.nevo.co.il/law/141771/37</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8061048</vt:i4>
      </vt:variant>
      <vt:variant>
        <vt:i4>24</vt:i4>
      </vt:variant>
      <vt:variant>
        <vt:i4>0</vt:i4>
      </vt:variant>
      <vt:variant>
        <vt:i4>5</vt:i4>
      </vt:variant>
      <vt:variant>
        <vt:lpwstr>http://www.nevo.co.il/law/141771/37</vt:lpwstr>
      </vt:variant>
      <vt:variant>
        <vt:lpwstr/>
      </vt:variant>
      <vt:variant>
        <vt:i4>4718679</vt:i4>
      </vt:variant>
      <vt:variant>
        <vt:i4>21</vt:i4>
      </vt:variant>
      <vt:variant>
        <vt:i4>0</vt:i4>
      </vt:variant>
      <vt:variant>
        <vt:i4>5</vt:i4>
      </vt:variant>
      <vt:variant>
        <vt:lpwstr>http://www.nevo.co.il/law/141771</vt:lpwstr>
      </vt:variant>
      <vt:variant>
        <vt:lpwstr/>
      </vt:variant>
      <vt:variant>
        <vt:i4>5177433</vt:i4>
      </vt:variant>
      <vt:variant>
        <vt:i4>18</vt:i4>
      </vt:variant>
      <vt:variant>
        <vt:i4>0</vt:i4>
      </vt:variant>
      <vt:variant>
        <vt:i4>5</vt:i4>
      </vt:variant>
      <vt:variant>
        <vt:lpwstr>http://www.nevo.co.il/law/70301/448.a</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196690</vt:i4>
      </vt:variant>
      <vt:variant>
        <vt:i4>12</vt:i4>
      </vt:variant>
      <vt:variant>
        <vt:i4>0</vt:i4>
      </vt:variant>
      <vt:variant>
        <vt:i4>5</vt:i4>
      </vt:variant>
      <vt:variant>
        <vt:lpwstr>http://www.nevo.co.il/law/70301/275a</vt:lpwstr>
      </vt:variant>
      <vt:variant>
        <vt:lpwstr/>
      </vt:variant>
      <vt:variant>
        <vt:i4>6291556</vt:i4>
      </vt:variant>
      <vt:variant>
        <vt:i4>9</vt:i4>
      </vt:variant>
      <vt:variant>
        <vt:i4>0</vt:i4>
      </vt:variant>
      <vt:variant>
        <vt:i4>5</vt:i4>
      </vt:variant>
      <vt:variant>
        <vt:lpwstr>http://www.nevo.co.il/law/70301/152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2025-01-19T16:43:00Z</dcterms:created>
  <dcterms:modified xsi:type="dcterms:W3CDTF">2025-01-19T16:43:00Z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39587</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תומר שטיינברג;אהוד בן יהודה</vt:lpwstr>
  </property>
  <property fmtid="{D5CDD505-2E9C-101B-9397-08002B2CF9AE}" pid="11" name="JUDGE">
    <vt:lpwstr>עמי קובו;מיכאל קרשן;מרב גרינברג</vt:lpwstr>
  </property>
  <property fmtid="{D5CDD505-2E9C-101B-9397-08002B2CF9AE}" pid="12" name="CITY">
    <vt:lpwstr>מרכז</vt:lpwstr>
  </property>
  <property fmtid="{D5CDD505-2E9C-101B-9397-08002B2CF9AE}" pid="13" name="DATE">
    <vt:lpwstr>20230425</vt:lpwstr>
  </property>
  <property fmtid="{D5CDD505-2E9C-101B-9397-08002B2CF9AE}" pid="14" name="TYPE_N_DATE">
    <vt:lpwstr>39020230425</vt:lpwstr>
  </property>
  <property fmtid="{D5CDD505-2E9C-101B-9397-08002B2CF9AE}" pid="15" name="WORDNUMPAGES">
    <vt:lpwstr>12</vt:lpwstr>
  </property>
  <property fmtid="{D5CDD505-2E9C-101B-9397-08002B2CF9AE}" pid="16" name="TYPE_ABS_DATE">
    <vt:lpwstr>390020230425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28296934;29173557;23506710:2;21474812:2;22303605;20923902;23763436;29816637;26795355;27623662;27679696;28217264;27714932;28513828;28152132;25528737;26058630;24323398</vt:lpwstr>
  </property>
  <property fmtid="{D5CDD505-2E9C-101B-9397-08002B2CF9AE}" pid="36" name="LAWLISTTMP1">
    <vt:lpwstr>70301/329.a.2:2;448.a:2;144.a:2;031:3;275a;152</vt:lpwstr>
  </property>
  <property fmtid="{D5CDD505-2E9C-101B-9397-08002B2CF9AE}" pid="37" name="LAWLISTTMP2">
    <vt:lpwstr>141771/037:6</vt:lpwstr>
  </property>
</Properties>
</file>