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734A7C" w:rsidRPr="00333FFE" w14:paraId="2F0822DD" w14:textId="77777777" w:rsidTr="003159D5">
        <w:trPr>
          <w:trHeight w:hRule="exact" w:val="418"/>
          <w:jc w:val="center"/>
        </w:trPr>
        <w:tc>
          <w:tcPr>
            <w:tcW w:w="8721" w:type="dxa"/>
            <w:gridSpan w:val="2"/>
          </w:tcPr>
          <w:p w14:paraId="554E11A7" w14:textId="77777777" w:rsidR="00734A7C" w:rsidRPr="00333FFE" w:rsidRDefault="00734A7C" w:rsidP="004D7BA5">
            <w:pPr>
              <w:pStyle w:val="a3"/>
              <w:jc w:val="center"/>
              <w:rPr>
                <w:rFonts w:ascii="Tahoma" w:hAnsi="Tahoma" w:cs="Tahoma"/>
                <w:color w:val="000080"/>
                <w:rtl/>
              </w:rPr>
            </w:pPr>
            <w:bookmarkStart w:id="0" w:name="LastJudge"/>
            <w:r w:rsidRPr="00333FFE">
              <w:rPr>
                <w:rFonts w:ascii="Tahoma" w:hAnsi="Tahoma" w:cs="Tahoma"/>
                <w:b/>
                <w:bCs/>
                <w:color w:val="000080"/>
                <w:rtl/>
              </w:rPr>
              <w:t>בית המשפט המחוזי בחיפה</w:t>
            </w:r>
          </w:p>
        </w:tc>
      </w:tr>
      <w:tr w:rsidR="00734A7C" w:rsidRPr="00333FFE" w14:paraId="71FE58ED" w14:textId="77777777" w:rsidTr="003159D5">
        <w:trPr>
          <w:trHeight w:val="337"/>
          <w:jc w:val="center"/>
        </w:trPr>
        <w:tc>
          <w:tcPr>
            <w:tcW w:w="5062" w:type="dxa"/>
          </w:tcPr>
          <w:p w14:paraId="662E410A" w14:textId="77777777" w:rsidR="00734A7C" w:rsidRPr="00333FFE" w:rsidRDefault="00734A7C" w:rsidP="004D7BA5">
            <w:pPr>
              <w:rPr>
                <w:rFonts w:cs="FrankRuehl"/>
                <w:sz w:val="28"/>
                <w:szCs w:val="28"/>
                <w:rtl/>
              </w:rPr>
            </w:pPr>
            <w:r w:rsidRPr="00333FFE">
              <w:rPr>
                <w:rFonts w:cs="FrankRuehl"/>
                <w:sz w:val="28"/>
                <w:szCs w:val="28"/>
                <w:rtl/>
              </w:rPr>
              <w:t>ת"פ</w:t>
            </w:r>
            <w:r w:rsidRPr="00333FFE">
              <w:rPr>
                <w:rFonts w:cs="FrankRuehl" w:hint="cs"/>
                <w:sz w:val="28"/>
                <w:szCs w:val="28"/>
                <w:rtl/>
              </w:rPr>
              <w:t xml:space="preserve"> </w:t>
            </w:r>
            <w:r w:rsidRPr="00333FFE">
              <w:rPr>
                <w:rFonts w:cs="FrankRuehl"/>
                <w:sz w:val="28"/>
                <w:szCs w:val="28"/>
                <w:rtl/>
              </w:rPr>
              <w:t>13164-08-21</w:t>
            </w:r>
            <w:r w:rsidRPr="00333FFE">
              <w:rPr>
                <w:rFonts w:cs="FrankRuehl" w:hint="cs"/>
                <w:sz w:val="28"/>
                <w:szCs w:val="28"/>
                <w:rtl/>
              </w:rPr>
              <w:t xml:space="preserve"> </w:t>
            </w:r>
            <w:r w:rsidRPr="00333FFE">
              <w:rPr>
                <w:rFonts w:cs="FrankRuehl"/>
                <w:sz w:val="28"/>
                <w:szCs w:val="28"/>
                <w:rtl/>
              </w:rPr>
              <w:t>מדינת ישראל נ' קרוביאקוב(עציר)</w:t>
            </w:r>
          </w:p>
        </w:tc>
        <w:tc>
          <w:tcPr>
            <w:tcW w:w="3659" w:type="dxa"/>
          </w:tcPr>
          <w:p w14:paraId="178204C9" w14:textId="77777777" w:rsidR="00734A7C" w:rsidRPr="00333FFE" w:rsidRDefault="00734A7C" w:rsidP="004D7BA5">
            <w:pPr>
              <w:pStyle w:val="a3"/>
              <w:jc w:val="right"/>
              <w:rPr>
                <w:rFonts w:cs="FrankRuehl"/>
                <w:sz w:val="28"/>
                <w:szCs w:val="28"/>
                <w:rtl/>
              </w:rPr>
            </w:pPr>
          </w:p>
        </w:tc>
      </w:tr>
    </w:tbl>
    <w:p w14:paraId="45A667FF" w14:textId="77777777" w:rsidR="00734A7C" w:rsidRPr="00333FFE" w:rsidRDefault="00734A7C" w:rsidP="00734A7C">
      <w:pPr>
        <w:pStyle w:val="a3"/>
        <w:rPr>
          <w:rtl/>
        </w:rPr>
      </w:pPr>
      <w:r w:rsidRPr="00333FFE">
        <w:rPr>
          <w:rFonts w:hint="cs"/>
          <w:rtl/>
        </w:rPr>
        <w:t xml:space="preserve"> </w:t>
      </w:r>
    </w:p>
    <w:p w14:paraId="1BF06AB2" w14:textId="77777777" w:rsidR="00734A7C" w:rsidRPr="00333FFE" w:rsidRDefault="00734A7C" w:rsidP="00734A7C">
      <w:pPr>
        <w:spacing w:line="360" w:lineRule="auto"/>
        <w:jc w:val="both"/>
        <w:rPr>
          <w:rtl/>
        </w:rPr>
      </w:pPr>
    </w:p>
    <w:p w14:paraId="7139E5F5" w14:textId="77777777" w:rsidR="00734A7C" w:rsidRPr="00333FFE" w:rsidRDefault="00734A7C" w:rsidP="00734A7C">
      <w:pPr>
        <w:spacing w:line="360" w:lineRule="auto"/>
        <w:jc w:val="both"/>
        <w:rPr>
          <w:rtl/>
        </w:rPr>
      </w:pPr>
    </w:p>
    <w:tbl>
      <w:tblPr>
        <w:bidiVisual/>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5479"/>
        <w:gridCol w:w="443"/>
      </w:tblGrid>
      <w:tr w:rsidR="00734A7C" w:rsidRPr="00333FFE" w14:paraId="5D1EC7A3" w14:textId="77777777" w:rsidTr="00734A7C">
        <w:trPr>
          <w:gridAfter w:val="1"/>
          <w:wAfter w:w="415" w:type="dxa"/>
          <w:trHeight w:val="295"/>
          <w:jc w:val="center"/>
        </w:trPr>
        <w:tc>
          <w:tcPr>
            <w:tcW w:w="8359" w:type="dxa"/>
            <w:gridSpan w:val="2"/>
            <w:tcBorders>
              <w:top w:val="nil"/>
              <w:left w:val="nil"/>
              <w:bottom w:val="nil"/>
              <w:right w:val="nil"/>
            </w:tcBorders>
            <w:shd w:val="clear" w:color="auto" w:fill="auto"/>
          </w:tcPr>
          <w:p w14:paraId="5537EA27" w14:textId="77777777" w:rsidR="00734A7C" w:rsidRPr="00333FFE" w:rsidRDefault="00734A7C" w:rsidP="00734A7C">
            <w:pPr>
              <w:jc w:val="both"/>
              <w:rPr>
                <w:rFonts w:ascii="David" w:hAnsi="David"/>
                <w:b/>
                <w:bCs/>
                <w:sz w:val="26"/>
                <w:szCs w:val="26"/>
              </w:rPr>
            </w:pPr>
            <w:r w:rsidRPr="00333FFE">
              <w:rPr>
                <w:rFonts w:ascii="David" w:hAnsi="David"/>
                <w:b/>
                <w:bCs/>
                <w:sz w:val="26"/>
                <w:szCs w:val="26"/>
                <w:rtl/>
              </w:rPr>
              <w:t>בפני כבוד השופט דניאל פיש</w:t>
            </w:r>
          </w:p>
        </w:tc>
      </w:tr>
      <w:tr w:rsidR="00734A7C" w:rsidRPr="00333FFE" w14:paraId="14B658B6" w14:textId="77777777" w:rsidTr="00734A7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52"/>
        </w:trPr>
        <w:tc>
          <w:tcPr>
            <w:tcW w:w="2880" w:type="dxa"/>
            <w:shd w:val="clear" w:color="auto" w:fill="auto"/>
          </w:tcPr>
          <w:p w14:paraId="00DDA085" w14:textId="77777777" w:rsidR="00734A7C" w:rsidRPr="00333FFE" w:rsidRDefault="00734A7C" w:rsidP="00734A7C">
            <w:pPr>
              <w:ind w:left="26"/>
              <w:rPr>
                <w:b/>
                <w:bCs/>
                <w:sz w:val="26"/>
                <w:szCs w:val="26"/>
              </w:rPr>
            </w:pPr>
            <w:bookmarkStart w:id="1" w:name="FirstAppellant"/>
          </w:p>
          <w:p w14:paraId="5163BBCC" w14:textId="77777777" w:rsidR="00734A7C" w:rsidRPr="00333FFE" w:rsidRDefault="00734A7C" w:rsidP="00734A7C">
            <w:pPr>
              <w:ind w:left="26"/>
              <w:rPr>
                <w:b/>
                <w:bCs/>
                <w:sz w:val="26"/>
                <w:szCs w:val="26"/>
                <w:rtl/>
              </w:rPr>
            </w:pPr>
            <w:r w:rsidRPr="00333FFE">
              <w:rPr>
                <w:rFonts w:hint="cs"/>
                <w:b/>
                <w:bCs/>
                <w:sz w:val="26"/>
                <w:szCs w:val="26"/>
                <w:rtl/>
              </w:rPr>
              <w:t>ה</w:t>
            </w:r>
            <w:r w:rsidRPr="00333FFE">
              <w:rPr>
                <w:b/>
                <w:bCs/>
                <w:sz w:val="26"/>
                <w:szCs w:val="26"/>
                <w:rtl/>
              </w:rPr>
              <w:t>מאשימה</w:t>
            </w:r>
          </w:p>
        </w:tc>
        <w:tc>
          <w:tcPr>
            <w:tcW w:w="5922" w:type="dxa"/>
            <w:gridSpan w:val="2"/>
            <w:shd w:val="clear" w:color="auto" w:fill="auto"/>
          </w:tcPr>
          <w:p w14:paraId="7A2864C3" w14:textId="77777777" w:rsidR="00734A7C" w:rsidRPr="00333FFE" w:rsidRDefault="00734A7C" w:rsidP="004D7BA5">
            <w:pPr>
              <w:rPr>
                <w:rFonts w:cs="Times New Roman"/>
                <w:rtl/>
              </w:rPr>
            </w:pPr>
          </w:p>
          <w:p w14:paraId="7AAE8878" w14:textId="77777777" w:rsidR="00734A7C" w:rsidRPr="00333FFE" w:rsidRDefault="00734A7C" w:rsidP="004D7BA5">
            <w:pPr>
              <w:rPr>
                <w:b/>
                <w:bCs/>
                <w:sz w:val="26"/>
                <w:szCs w:val="26"/>
                <w:rtl/>
              </w:rPr>
            </w:pPr>
            <w:r w:rsidRPr="00333FFE">
              <w:rPr>
                <w:rtl/>
              </w:rPr>
              <w:t xml:space="preserve"> </w:t>
            </w:r>
            <w:r w:rsidRPr="00333FFE">
              <w:rPr>
                <w:b/>
                <w:bCs/>
                <w:sz w:val="26"/>
                <w:szCs w:val="26"/>
                <w:rtl/>
              </w:rPr>
              <w:t>מדינת ישראל</w:t>
            </w:r>
            <w:r w:rsidRPr="00333FFE">
              <w:rPr>
                <w:rFonts w:hint="cs"/>
                <w:b/>
                <w:bCs/>
                <w:sz w:val="26"/>
                <w:szCs w:val="26"/>
                <w:rtl/>
              </w:rPr>
              <w:t xml:space="preserve"> </w:t>
            </w:r>
          </w:p>
        </w:tc>
      </w:tr>
      <w:bookmarkEnd w:id="1"/>
      <w:tr w:rsidR="00734A7C" w:rsidRPr="00333FFE" w14:paraId="1932A9EA" w14:textId="77777777" w:rsidTr="00734A7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802" w:type="dxa"/>
            <w:gridSpan w:val="3"/>
            <w:shd w:val="clear" w:color="auto" w:fill="auto"/>
            <w:vAlign w:val="center"/>
          </w:tcPr>
          <w:p w14:paraId="3275EDFF" w14:textId="77777777" w:rsidR="00734A7C" w:rsidRPr="00333FFE" w:rsidRDefault="00734A7C" w:rsidP="00734A7C">
            <w:pPr>
              <w:jc w:val="center"/>
              <w:rPr>
                <w:rFonts w:ascii="Arial" w:hAnsi="Arial"/>
                <w:b/>
                <w:bCs/>
                <w:sz w:val="26"/>
                <w:szCs w:val="26"/>
                <w:rtl/>
              </w:rPr>
            </w:pPr>
          </w:p>
          <w:p w14:paraId="71382C18" w14:textId="77777777" w:rsidR="00734A7C" w:rsidRPr="00333FFE" w:rsidRDefault="00734A7C" w:rsidP="00734A7C">
            <w:pPr>
              <w:jc w:val="center"/>
              <w:rPr>
                <w:rFonts w:ascii="Arial" w:hAnsi="Arial"/>
                <w:b/>
                <w:bCs/>
                <w:sz w:val="26"/>
                <w:szCs w:val="26"/>
                <w:rtl/>
              </w:rPr>
            </w:pPr>
            <w:r w:rsidRPr="00333FFE">
              <w:rPr>
                <w:rFonts w:ascii="Arial" w:hAnsi="Arial" w:hint="cs"/>
                <w:b/>
                <w:bCs/>
                <w:sz w:val="26"/>
                <w:szCs w:val="26"/>
                <w:rtl/>
              </w:rPr>
              <w:t>נגד</w:t>
            </w:r>
          </w:p>
          <w:p w14:paraId="13009A78" w14:textId="77777777" w:rsidR="00734A7C" w:rsidRPr="00333FFE" w:rsidRDefault="00734A7C" w:rsidP="004D7BA5">
            <w:pPr>
              <w:rPr>
                <w:rFonts w:ascii="Arial" w:hAnsi="Arial"/>
                <w:b/>
                <w:bCs/>
                <w:sz w:val="26"/>
                <w:szCs w:val="26"/>
                <w:rtl/>
              </w:rPr>
            </w:pPr>
          </w:p>
        </w:tc>
      </w:tr>
      <w:tr w:rsidR="00734A7C" w:rsidRPr="00333FFE" w14:paraId="010368E2" w14:textId="77777777" w:rsidTr="00734A7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80" w:type="dxa"/>
            <w:shd w:val="clear" w:color="auto" w:fill="auto"/>
          </w:tcPr>
          <w:p w14:paraId="47AD31F3" w14:textId="77777777" w:rsidR="00734A7C" w:rsidRPr="00333FFE" w:rsidRDefault="00734A7C" w:rsidP="00734A7C">
            <w:pPr>
              <w:ind w:left="26"/>
              <w:rPr>
                <w:b/>
                <w:bCs/>
                <w:sz w:val="26"/>
                <w:szCs w:val="26"/>
              </w:rPr>
            </w:pPr>
            <w:r w:rsidRPr="00333FFE">
              <w:rPr>
                <w:rFonts w:hint="cs"/>
                <w:b/>
                <w:bCs/>
                <w:sz w:val="26"/>
                <w:szCs w:val="26"/>
                <w:rtl/>
              </w:rPr>
              <w:t>ה</w:t>
            </w:r>
            <w:r w:rsidRPr="00333FFE">
              <w:rPr>
                <w:b/>
                <w:bCs/>
                <w:sz w:val="26"/>
                <w:szCs w:val="26"/>
                <w:rtl/>
              </w:rPr>
              <w:t>נאשם</w:t>
            </w:r>
          </w:p>
        </w:tc>
        <w:tc>
          <w:tcPr>
            <w:tcW w:w="5922" w:type="dxa"/>
            <w:gridSpan w:val="2"/>
            <w:shd w:val="clear" w:color="auto" w:fill="auto"/>
          </w:tcPr>
          <w:p w14:paraId="5A621D1B" w14:textId="77777777" w:rsidR="00734A7C" w:rsidRPr="00333FFE" w:rsidRDefault="00734A7C" w:rsidP="004D7BA5">
            <w:pPr>
              <w:rPr>
                <w:b/>
                <w:bCs/>
                <w:sz w:val="26"/>
                <w:szCs w:val="26"/>
                <w:rtl/>
              </w:rPr>
            </w:pPr>
            <w:r w:rsidRPr="00333FFE">
              <w:rPr>
                <w:rtl/>
              </w:rPr>
              <w:t xml:space="preserve"> </w:t>
            </w:r>
            <w:r w:rsidRPr="00333FFE">
              <w:rPr>
                <w:b/>
                <w:bCs/>
                <w:sz w:val="26"/>
                <w:szCs w:val="26"/>
                <w:rtl/>
              </w:rPr>
              <w:t>סרגיי קרוביאקוב (עציר)</w:t>
            </w:r>
            <w:r w:rsidRPr="00333FFE">
              <w:rPr>
                <w:rFonts w:cs="Times New Roman"/>
                <w:rtl/>
              </w:rPr>
              <w:t xml:space="preserve"> </w:t>
            </w:r>
            <w:r w:rsidRPr="00333FFE">
              <w:rPr>
                <w:b/>
                <w:bCs/>
                <w:sz w:val="26"/>
                <w:szCs w:val="26"/>
                <w:rtl/>
              </w:rPr>
              <w:t>ת"ז</w:t>
            </w:r>
            <w:r w:rsidRPr="00333FFE">
              <w:rPr>
                <w:rFonts w:hint="cs"/>
                <w:b/>
                <w:bCs/>
                <w:sz w:val="26"/>
                <w:szCs w:val="26"/>
                <w:rtl/>
              </w:rPr>
              <w:t xml:space="preserve">  </w:t>
            </w:r>
            <w:r w:rsidR="00333FFE">
              <w:rPr>
                <w:b/>
                <w:bCs/>
                <w:sz w:val="26"/>
                <w:szCs w:val="26"/>
              </w:rPr>
              <w:t>xxxxxxxxxx</w:t>
            </w:r>
          </w:p>
        </w:tc>
      </w:tr>
    </w:tbl>
    <w:p w14:paraId="7ADB51EE" w14:textId="77777777" w:rsidR="00734A7C" w:rsidRPr="00333FFE" w:rsidRDefault="00734A7C" w:rsidP="00734A7C">
      <w:pPr>
        <w:spacing w:line="360" w:lineRule="auto"/>
        <w:jc w:val="both"/>
        <w:rPr>
          <w:rtl/>
        </w:rPr>
      </w:pPr>
    </w:p>
    <w:p w14:paraId="4AE321A1" w14:textId="77777777" w:rsidR="00734A7C" w:rsidRPr="00333FFE" w:rsidRDefault="00734A7C" w:rsidP="00734A7C">
      <w:pPr>
        <w:pStyle w:val="12"/>
        <w:rPr>
          <w:b w:val="0"/>
          <w:bCs w:val="0"/>
          <w:u w:val="none"/>
          <w:rtl/>
        </w:rPr>
      </w:pPr>
      <w:bookmarkStart w:id="2" w:name="FirstLawyer"/>
      <w:r w:rsidRPr="00333FFE">
        <w:rPr>
          <w:b w:val="0"/>
          <w:bCs w:val="0"/>
          <w:u w:val="none"/>
          <w:rtl/>
        </w:rPr>
        <w:t>ב</w:t>
      </w:r>
      <w:r w:rsidRPr="00333FFE">
        <w:rPr>
          <w:rFonts w:hint="cs"/>
          <w:b w:val="0"/>
          <w:bCs w:val="0"/>
          <w:u w:val="none"/>
          <w:rtl/>
        </w:rPr>
        <w:t>שם</w:t>
      </w:r>
      <w:bookmarkEnd w:id="2"/>
      <w:r w:rsidRPr="00333FFE">
        <w:rPr>
          <w:b w:val="0"/>
          <w:bCs w:val="0"/>
          <w:u w:val="none"/>
          <w:rtl/>
        </w:rPr>
        <w:t xml:space="preserve"> המאשימה: עו"ד יובל לביא</w:t>
      </w:r>
    </w:p>
    <w:p w14:paraId="068E00C6" w14:textId="77777777" w:rsidR="00734A7C" w:rsidRPr="00333FFE" w:rsidRDefault="00734A7C" w:rsidP="00734A7C">
      <w:pPr>
        <w:pStyle w:val="12"/>
        <w:rPr>
          <w:b w:val="0"/>
          <w:bCs w:val="0"/>
          <w:u w:val="none"/>
          <w:rtl/>
        </w:rPr>
      </w:pPr>
      <w:r w:rsidRPr="00333FFE">
        <w:rPr>
          <w:b w:val="0"/>
          <w:bCs w:val="0"/>
          <w:u w:val="none"/>
          <w:rtl/>
        </w:rPr>
        <w:t>ב</w:t>
      </w:r>
      <w:r w:rsidRPr="00333FFE">
        <w:rPr>
          <w:rFonts w:hint="cs"/>
          <w:b w:val="0"/>
          <w:bCs w:val="0"/>
          <w:u w:val="none"/>
          <w:rtl/>
        </w:rPr>
        <w:t>שם</w:t>
      </w:r>
      <w:r w:rsidRPr="00333FFE">
        <w:rPr>
          <w:b w:val="0"/>
          <w:bCs w:val="0"/>
          <w:u w:val="none"/>
          <w:rtl/>
        </w:rPr>
        <w:t xml:space="preserve"> הנאשם: עו"ד מאיר נבון</w:t>
      </w:r>
    </w:p>
    <w:p w14:paraId="10C052E5" w14:textId="77777777" w:rsidR="00734A7C" w:rsidRPr="00333FFE" w:rsidRDefault="00734A7C" w:rsidP="00734A7C">
      <w:pPr>
        <w:rPr>
          <w:sz w:val="26"/>
          <w:szCs w:val="26"/>
          <w:rtl/>
        </w:rPr>
      </w:pPr>
    </w:p>
    <w:p w14:paraId="3D38E00D" w14:textId="77777777" w:rsidR="00333FFE" w:rsidRPr="00333FFE" w:rsidRDefault="00333FFE" w:rsidP="00333FFE">
      <w:pPr>
        <w:spacing w:before="120" w:after="120" w:line="240" w:lineRule="exact"/>
        <w:ind w:left="283" w:hanging="283"/>
        <w:jc w:val="both"/>
        <w:rPr>
          <w:rFonts w:ascii="FrankRuehl" w:hAnsi="FrankRuehl" w:cs="FrankRuehl"/>
          <w:rtl/>
        </w:rPr>
      </w:pPr>
    </w:p>
    <w:p w14:paraId="49F829CA" w14:textId="77777777" w:rsidR="00333FFE" w:rsidRPr="00333FFE" w:rsidRDefault="00333FFE" w:rsidP="00333FFE">
      <w:pPr>
        <w:rPr>
          <w:rFonts w:ascii="Arial" w:hAnsi="Arial"/>
          <w:sz w:val="26"/>
          <w:szCs w:val="26"/>
          <w:rtl/>
        </w:rPr>
      </w:pPr>
    </w:p>
    <w:p w14:paraId="506806C5" w14:textId="77777777" w:rsidR="003159D5" w:rsidRPr="003159D5" w:rsidRDefault="003159D5" w:rsidP="003159D5">
      <w:pPr>
        <w:spacing w:before="120" w:after="120" w:line="240" w:lineRule="exact"/>
        <w:ind w:left="283" w:hanging="283"/>
        <w:jc w:val="both"/>
        <w:rPr>
          <w:rFonts w:ascii="FrankRuehl" w:hAnsi="FrankRuehl" w:cs="FrankRuehl"/>
          <w:rtl/>
        </w:rPr>
      </w:pPr>
    </w:p>
    <w:p w14:paraId="41D88BFB" w14:textId="77777777" w:rsidR="009403B3" w:rsidRPr="009403B3" w:rsidRDefault="009403B3" w:rsidP="009403B3">
      <w:pPr>
        <w:spacing w:before="120" w:after="120" w:line="240" w:lineRule="exact"/>
        <w:ind w:left="283" w:hanging="283"/>
        <w:jc w:val="both"/>
        <w:rPr>
          <w:rFonts w:ascii="FrankRuehl" w:hAnsi="FrankRuehl" w:cs="FrankRuehl"/>
          <w:rtl/>
        </w:rPr>
      </w:pPr>
    </w:p>
    <w:p w14:paraId="2B7F02E9" w14:textId="77777777" w:rsidR="00DE7C05" w:rsidRDefault="00DE7C05" w:rsidP="00DE7C05">
      <w:pPr>
        <w:rPr>
          <w:rFonts w:ascii="Arial" w:hAnsi="Arial"/>
          <w:sz w:val="26"/>
          <w:szCs w:val="26"/>
          <w:rtl/>
        </w:rPr>
      </w:pPr>
      <w:bookmarkStart w:id="3" w:name="LawTable"/>
      <w:bookmarkEnd w:id="3"/>
    </w:p>
    <w:p w14:paraId="429F7F9C" w14:textId="77777777" w:rsidR="00DE7C05" w:rsidRPr="00DE7C05" w:rsidRDefault="00DE7C05" w:rsidP="00DE7C05">
      <w:pPr>
        <w:spacing w:before="120" w:after="120" w:line="240" w:lineRule="exact"/>
        <w:ind w:left="283" w:hanging="283"/>
        <w:jc w:val="both"/>
        <w:rPr>
          <w:rFonts w:ascii="FrankRuehl" w:hAnsi="FrankRuehl" w:cs="FrankRuehl"/>
          <w:rtl/>
        </w:rPr>
      </w:pPr>
    </w:p>
    <w:p w14:paraId="7BEF4AC7" w14:textId="77777777" w:rsidR="00DE7C05" w:rsidRPr="00DE7C05" w:rsidRDefault="00DE7C05" w:rsidP="00DE7C05">
      <w:pPr>
        <w:spacing w:before="120" w:after="120" w:line="240" w:lineRule="exact"/>
        <w:ind w:left="283" w:hanging="283"/>
        <w:jc w:val="both"/>
        <w:rPr>
          <w:rFonts w:ascii="FrankRuehl" w:hAnsi="FrankRuehl" w:cs="FrankRuehl"/>
          <w:rtl/>
        </w:rPr>
      </w:pPr>
    </w:p>
    <w:p w14:paraId="26149C98" w14:textId="77777777" w:rsidR="00DE7C05" w:rsidRPr="00DE7C05" w:rsidRDefault="00DE7C05" w:rsidP="00DE7C05">
      <w:pPr>
        <w:spacing w:before="120" w:after="120" w:line="240" w:lineRule="exact"/>
        <w:ind w:left="283" w:hanging="283"/>
        <w:jc w:val="both"/>
        <w:rPr>
          <w:rFonts w:ascii="FrankRuehl" w:hAnsi="FrankRuehl" w:cs="FrankRuehl"/>
          <w:rtl/>
        </w:rPr>
      </w:pPr>
      <w:r w:rsidRPr="00DE7C05">
        <w:rPr>
          <w:rFonts w:ascii="FrankRuehl" w:hAnsi="FrankRuehl" w:cs="FrankRuehl"/>
          <w:rtl/>
        </w:rPr>
        <w:t xml:space="preserve">חקיקה שאוזכרה: </w:t>
      </w:r>
    </w:p>
    <w:p w14:paraId="7FC8470F" w14:textId="77777777" w:rsidR="00DE7C05" w:rsidRPr="00DE7C05" w:rsidRDefault="00DE7C05" w:rsidP="00DE7C05">
      <w:pPr>
        <w:spacing w:before="120" w:after="120" w:line="240" w:lineRule="exact"/>
        <w:ind w:left="283" w:hanging="283"/>
        <w:jc w:val="both"/>
        <w:rPr>
          <w:rFonts w:ascii="FrankRuehl" w:hAnsi="FrankRuehl" w:cs="FrankRuehl"/>
          <w:rtl/>
        </w:rPr>
      </w:pPr>
      <w:hyperlink r:id="rId7" w:history="1">
        <w:r w:rsidRPr="00DE7C05">
          <w:rPr>
            <w:rFonts w:ascii="FrankRuehl" w:hAnsi="FrankRuehl" w:cs="FrankRuehl"/>
            <w:color w:val="0000FF"/>
            <w:rtl/>
          </w:rPr>
          <w:t>חוק העונשין, תשל"ז-1977</w:t>
        </w:r>
      </w:hyperlink>
      <w:r w:rsidRPr="00DE7C05">
        <w:rPr>
          <w:rFonts w:ascii="FrankRuehl" w:hAnsi="FrankRuehl" w:cs="FrankRuehl"/>
          <w:rtl/>
        </w:rPr>
        <w:t xml:space="preserve">: סע'  </w:t>
      </w:r>
      <w:hyperlink r:id="rId8" w:history="1">
        <w:r w:rsidRPr="00DE7C05">
          <w:rPr>
            <w:rFonts w:ascii="FrankRuehl" w:hAnsi="FrankRuehl" w:cs="FrankRuehl"/>
            <w:color w:val="0000FF"/>
            <w:rtl/>
          </w:rPr>
          <w:t>144(א)</w:t>
        </w:r>
      </w:hyperlink>
      <w:r w:rsidRPr="00DE7C05">
        <w:rPr>
          <w:rFonts w:ascii="FrankRuehl" w:hAnsi="FrankRuehl" w:cs="FrankRuehl"/>
          <w:rtl/>
        </w:rPr>
        <w:t xml:space="preserve">, </w:t>
      </w:r>
      <w:hyperlink r:id="rId9" w:history="1">
        <w:r w:rsidRPr="00DE7C05">
          <w:rPr>
            <w:rFonts w:ascii="FrankRuehl" w:hAnsi="FrankRuehl" w:cs="FrankRuehl"/>
            <w:color w:val="0000FF"/>
            <w:rtl/>
          </w:rPr>
          <w:t>144(ב)</w:t>
        </w:r>
      </w:hyperlink>
      <w:r w:rsidRPr="00DE7C05">
        <w:rPr>
          <w:rFonts w:ascii="FrankRuehl" w:hAnsi="FrankRuehl" w:cs="FrankRuehl"/>
          <w:rtl/>
        </w:rPr>
        <w:t xml:space="preserve">, </w:t>
      </w:r>
      <w:hyperlink r:id="rId10" w:history="1">
        <w:r w:rsidRPr="00DE7C05">
          <w:rPr>
            <w:rFonts w:ascii="FrankRuehl" w:hAnsi="FrankRuehl" w:cs="FrankRuehl"/>
            <w:color w:val="0000FF"/>
            <w:rtl/>
          </w:rPr>
          <w:t>192</w:t>
        </w:r>
      </w:hyperlink>
      <w:r w:rsidRPr="00DE7C05">
        <w:rPr>
          <w:rFonts w:ascii="FrankRuehl" w:hAnsi="FrankRuehl" w:cs="FrankRuehl"/>
          <w:rtl/>
        </w:rPr>
        <w:t xml:space="preserve">, </w:t>
      </w:r>
      <w:hyperlink r:id="rId11" w:history="1">
        <w:r w:rsidRPr="00DE7C05">
          <w:rPr>
            <w:rFonts w:ascii="FrankRuehl" w:hAnsi="FrankRuehl" w:cs="FrankRuehl"/>
            <w:color w:val="0000FF"/>
            <w:rtl/>
          </w:rPr>
          <w:t>382 (ב)</w:t>
        </w:r>
      </w:hyperlink>
    </w:p>
    <w:p w14:paraId="415B1478" w14:textId="77777777" w:rsidR="00DE7C05" w:rsidRPr="00DE7C05" w:rsidRDefault="00DE7C05" w:rsidP="00DE7C05">
      <w:pPr>
        <w:rPr>
          <w:rFonts w:ascii="Arial" w:hAnsi="Arial"/>
          <w:sz w:val="26"/>
          <w:szCs w:val="26"/>
          <w:rtl/>
        </w:rPr>
      </w:pPr>
      <w:bookmarkStart w:id="4" w:name="LawTable_End"/>
      <w:bookmarkEnd w:id="4"/>
    </w:p>
    <w:p w14:paraId="5E2D098C" w14:textId="77777777" w:rsidR="00734A7C" w:rsidRPr="009403B3" w:rsidRDefault="00734A7C" w:rsidP="009403B3">
      <w:pPr>
        <w:rPr>
          <w:rFonts w:ascii="Arial" w:hAnsi="Arial"/>
          <w:sz w:val="26"/>
          <w:szCs w:val="26"/>
          <w:rtl/>
        </w:rPr>
      </w:pPr>
    </w:p>
    <w:tbl>
      <w:tblPr>
        <w:bidiVisual/>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9"/>
      </w:tblGrid>
      <w:tr w:rsidR="00734A7C" w14:paraId="583807C8" w14:textId="77777777" w:rsidTr="00734A7C">
        <w:trPr>
          <w:trHeight w:val="355"/>
          <w:jc w:val="center"/>
        </w:trPr>
        <w:tc>
          <w:tcPr>
            <w:tcW w:w="8359" w:type="dxa"/>
            <w:tcBorders>
              <w:top w:val="nil"/>
              <w:left w:val="nil"/>
              <w:bottom w:val="nil"/>
              <w:right w:val="nil"/>
            </w:tcBorders>
            <w:shd w:val="clear" w:color="auto" w:fill="auto"/>
          </w:tcPr>
          <w:p w14:paraId="00D4246B" w14:textId="77777777" w:rsidR="00333FFE" w:rsidRPr="00333FFE" w:rsidRDefault="00333FFE" w:rsidP="00333FFE">
            <w:pPr>
              <w:jc w:val="center"/>
              <w:rPr>
                <w:rFonts w:ascii="David" w:hAnsi="David"/>
                <w:b/>
                <w:bCs/>
                <w:sz w:val="32"/>
                <w:szCs w:val="32"/>
                <w:u w:val="single"/>
                <w:rtl/>
              </w:rPr>
            </w:pPr>
            <w:bookmarkStart w:id="5" w:name="PsakDin" w:colFirst="0" w:colLast="0"/>
            <w:bookmarkEnd w:id="0"/>
            <w:r w:rsidRPr="00333FFE">
              <w:rPr>
                <w:rFonts w:ascii="David" w:hAnsi="David"/>
                <w:b/>
                <w:bCs/>
                <w:sz w:val="32"/>
                <w:szCs w:val="32"/>
                <w:u w:val="single"/>
                <w:rtl/>
              </w:rPr>
              <w:t>גזר דין</w:t>
            </w:r>
          </w:p>
          <w:p w14:paraId="6585C734" w14:textId="77777777" w:rsidR="00734A7C" w:rsidRPr="00333FFE" w:rsidRDefault="00734A7C" w:rsidP="00333FFE">
            <w:pPr>
              <w:jc w:val="center"/>
              <w:rPr>
                <w:rFonts w:ascii="David" w:hAnsi="David"/>
                <w:bCs/>
                <w:sz w:val="32"/>
                <w:szCs w:val="32"/>
                <w:u w:val="single"/>
                <w:rtl/>
              </w:rPr>
            </w:pPr>
          </w:p>
        </w:tc>
      </w:tr>
      <w:bookmarkEnd w:id="5"/>
    </w:tbl>
    <w:p w14:paraId="788F6C8D" w14:textId="77777777" w:rsidR="00734A7C" w:rsidRPr="000F2247" w:rsidRDefault="00734A7C" w:rsidP="00734A7C">
      <w:pPr>
        <w:rPr>
          <w:rFonts w:ascii="Arial" w:hAnsi="Arial"/>
          <w:b/>
          <w:bCs/>
          <w:sz w:val="26"/>
          <w:szCs w:val="26"/>
          <w:rtl/>
        </w:rPr>
      </w:pPr>
    </w:p>
    <w:p w14:paraId="314468D1" w14:textId="77777777" w:rsidR="00734A7C" w:rsidRDefault="00734A7C" w:rsidP="00734A7C">
      <w:pPr>
        <w:spacing w:line="360" w:lineRule="auto"/>
        <w:ind w:left="720" w:hanging="720"/>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rtl/>
        </w:rPr>
        <w:t>הנאשם הורשע ע</w:t>
      </w:r>
      <w:r>
        <w:rPr>
          <w:rFonts w:ascii="David" w:hAnsi="David" w:hint="cs"/>
          <w:rtl/>
        </w:rPr>
        <w:t>ל פי</w:t>
      </w:r>
      <w:r>
        <w:rPr>
          <w:rFonts w:ascii="David" w:hAnsi="David"/>
          <w:rtl/>
        </w:rPr>
        <w:t xml:space="preserve"> הודאת</w:t>
      </w:r>
      <w:r>
        <w:rPr>
          <w:rFonts w:ascii="David" w:hAnsi="David" w:hint="cs"/>
          <w:rtl/>
        </w:rPr>
        <w:t xml:space="preserve">ו </w:t>
      </w:r>
      <w:r w:rsidRPr="001B41E6">
        <w:rPr>
          <w:rFonts w:ascii="David" w:hAnsi="David"/>
          <w:rtl/>
        </w:rPr>
        <w:t xml:space="preserve">בביצוע </w:t>
      </w:r>
      <w:r>
        <w:rPr>
          <w:rFonts w:ascii="David" w:hAnsi="David"/>
          <w:rtl/>
        </w:rPr>
        <w:t>עבירות נשק (החזקה</w:t>
      </w:r>
      <w:r>
        <w:rPr>
          <w:rFonts w:ascii="David" w:hAnsi="David" w:hint="cs"/>
          <w:rtl/>
        </w:rPr>
        <w:t>, נשיאה והובלה)</w:t>
      </w:r>
      <w:r w:rsidRPr="001B41E6">
        <w:rPr>
          <w:rFonts w:ascii="David" w:hAnsi="David"/>
          <w:rtl/>
        </w:rPr>
        <w:t xml:space="preserve"> לפי </w:t>
      </w:r>
      <w:hyperlink r:id="rId12" w:history="1">
        <w:r w:rsidR="003159D5" w:rsidRPr="003159D5">
          <w:rPr>
            <w:rStyle w:val="Hyperlink"/>
            <w:rFonts w:ascii="David" w:hAnsi="David"/>
            <w:rtl/>
          </w:rPr>
          <w:t>סעיף 144(א)</w:t>
        </w:r>
      </w:hyperlink>
      <w:r w:rsidRPr="001B41E6">
        <w:rPr>
          <w:rFonts w:ascii="David" w:hAnsi="David"/>
          <w:rtl/>
        </w:rPr>
        <w:t xml:space="preserve"> </w:t>
      </w:r>
      <w:r>
        <w:rPr>
          <w:rFonts w:ascii="David" w:hAnsi="David"/>
          <w:rtl/>
        </w:rPr>
        <w:t>רישא וסיפא ל</w:t>
      </w:r>
      <w:hyperlink r:id="rId13" w:history="1">
        <w:r w:rsidR="00333FFE" w:rsidRPr="00333FFE">
          <w:rPr>
            <w:rFonts w:ascii="David" w:hAnsi="David"/>
            <w:color w:val="0000FF"/>
            <w:u w:val="single"/>
            <w:rtl/>
          </w:rPr>
          <w:t>חוק העונשין</w:t>
        </w:r>
      </w:hyperlink>
      <w:r>
        <w:rPr>
          <w:rFonts w:ascii="David" w:hAnsi="David"/>
          <w:rtl/>
        </w:rPr>
        <w:t>, התשל"ז</w:t>
      </w:r>
      <w:r w:rsidRPr="001B41E6">
        <w:rPr>
          <w:rFonts w:ascii="David" w:hAnsi="David"/>
          <w:rtl/>
        </w:rPr>
        <w:t>-1977 (להלן: "</w:t>
      </w:r>
      <w:r w:rsidRPr="001B41E6">
        <w:rPr>
          <w:rFonts w:ascii="David" w:hAnsi="David"/>
          <w:b/>
          <w:bCs/>
          <w:rtl/>
        </w:rPr>
        <w:t xml:space="preserve">חוק העונשין), </w:t>
      </w:r>
      <w:hyperlink r:id="rId14" w:history="1">
        <w:r w:rsidR="003159D5" w:rsidRPr="003159D5">
          <w:rPr>
            <w:rStyle w:val="Hyperlink"/>
            <w:rFonts w:ascii="David" w:hAnsi="David"/>
            <w:rtl/>
          </w:rPr>
          <w:t>וסעיף 144(ב)</w:t>
        </w:r>
      </w:hyperlink>
      <w:r w:rsidRPr="001B41E6">
        <w:rPr>
          <w:rFonts w:ascii="David" w:hAnsi="David"/>
          <w:rtl/>
        </w:rPr>
        <w:t xml:space="preserve"> רישא </w:t>
      </w:r>
      <w:r>
        <w:rPr>
          <w:rFonts w:ascii="David" w:hAnsi="David"/>
          <w:rtl/>
        </w:rPr>
        <w:t>וסיפא לחוק</w:t>
      </w:r>
      <w:r>
        <w:rPr>
          <w:rFonts w:ascii="David" w:hAnsi="David" w:hint="cs"/>
          <w:rtl/>
        </w:rPr>
        <w:t xml:space="preserve">. </w:t>
      </w:r>
      <w:bookmarkStart w:id="7" w:name="ABSTRACT_END"/>
      <w:bookmarkEnd w:id="7"/>
    </w:p>
    <w:p w14:paraId="2875DCB0" w14:textId="77777777" w:rsidR="00734A7C" w:rsidRDefault="00734A7C" w:rsidP="00734A7C">
      <w:pPr>
        <w:spacing w:line="360" w:lineRule="auto"/>
        <w:ind w:left="720" w:hanging="720"/>
        <w:jc w:val="both"/>
        <w:rPr>
          <w:rFonts w:ascii="David" w:hAnsi="David"/>
          <w:rtl/>
        </w:rPr>
      </w:pPr>
      <w:r>
        <w:rPr>
          <w:rFonts w:ascii="David" w:hAnsi="David"/>
          <w:rtl/>
        </w:rPr>
        <w:tab/>
      </w:r>
      <w:r>
        <w:rPr>
          <w:rFonts w:ascii="David" w:hAnsi="David" w:hint="cs"/>
          <w:rtl/>
        </w:rPr>
        <w:t xml:space="preserve">כמו כן, הנאשם צירף תיק נוסף שהתנהל בבית המשפט השלום </w:t>
      </w:r>
      <w:r>
        <w:rPr>
          <w:rFonts w:ascii="David" w:hAnsi="David"/>
          <w:rtl/>
        </w:rPr>
        <w:t>–</w:t>
      </w:r>
      <w:r>
        <w:rPr>
          <w:rFonts w:ascii="David" w:hAnsi="David" w:hint="cs"/>
          <w:rtl/>
        </w:rPr>
        <w:t xml:space="preserve"> קריות, </w:t>
      </w:r>
      <w:hyperlink r:id="rId15" w:history="1">
        <w:r w:rsidR="00333FFE" w:rsidRPr="00333FFE">
          <w:rPr>
            <w:rFonts w:ascii="David" w:hAnsi="David"/>
            <w:color w:val="0000FF"/>
            <w:u w:val="single"/>
            <w:rtl/>
          </w:rPr>
          <w:t>ת"פ 10202-08-21</w:t>
        </w:r>
      </w:hyperlink>
      <w:r>
        <w:rPr>
          <w:rFonts w:ascii="David" w:hAnsi="David" w:hint="cs"/>
          <w:rtl/>
        </w:rPr>
        <w:t xml:space="preserve">, שם הודה ב-2 עבירות של איומים לפי </w:t>
      </w:r>
      <w:hyperlink r:id="rId16" w:history="1">
        <w:r w:rsidR="003159D5" w:rsidRPr="003159D5">
          <w:rPr>
            <w:rStyle w:val="Hyperlink"/>
            <w:rFonts w:ascii="David" w:hAnsi="David" w:hint="eastAsia"/>
            <w:rtl/>
          </w:rPr>
          <w:t>סעיף</w:t>
        </w:r>
        <w:r w:rsidR="003159D5" w:rsidRPr="003159D5">
          <w:rPr>
            <w:rStyle w:val="Hyperlink"/>
            <w:rFonts w:ascii="David" w:hAnsi="David"/>
            <w:rtl/>
          </w:rPr>
          <w:t xml:space="preserve"> 192</w:t>
        </w:r>
      </w:hyperlink>
      <w:r>
        <w:rPr>
          <w:rFonts w:ascii="David" w:hAnsi="David" w:hint="cs"/>
          <w:rtl/>
        </w:rPr>
        <w:t xml:space="preserve"> ל</w:t>
      </w:r>
      <w:hyperlink r:id="rId17" w:history="1">
        <w:r w:rsidR="00333FFE" w:rsidRPr="00333FFE">
          <w:rPr>
            <w:rFonts w:ascii="David" w:hAnsi="David"/>
            <w:color w:val="0000FF"/>
            <w:u w:val="single"/>
            <w:rtl/>
          </w:rPr>
          <w:t>חוק העונשין</w:t>
        </w:r>
      </w:hyperlink>
      <w:r>
        <w:rPr>
          <w:rFonts w:ascii="David" w:hAnsi="David" w:hint="cs"/>
          <w:rtl/>
        </w:rPr>
        <w:t xml:space="preserve"> ו -3 עבירות של תקיפת סתם לפי </w:t>
      </w:r>
      <w:hyperlink r:id="rId18" w:history="1">
        <w:r w:rsidR="003159D5" w:rsidRPr="003159D5">
          <w:rPr>
            <w:rStyle w:val="Hyperlink"/>
            <w:rFonts w:ascii="David" w:hAnsi="David" w:hint="eastAsia"/>
            <w:rtl/>
          </w:rPr>
          <w:t>סעיף</w:t>
        </w:r>
        <w:r w:rsidR="003159D5" w:rsidRPr="003159D5">
          <w:rPr>
            <w:rStyle w:val="Hyperlink"/>
            <w:rFonts w:ascii="David" w:hAnsi="David"/>
            <w:rtl/>
          </w:rPr>
          <w:t xml:space="preserve"> 382 (ב)</w:t>
        </w:r>
      </w:hyperlink>
      <w:r>
        <w:rPr>
          <w:rFonts w:ascii="David" w:hAnsi="David" w:hint="cs"/>
          <w:rtl/>
        </w:rPr>
        <w:t xml:space="preserve"> לחוק העונשין. </w:t>
      </w:r>
    </w:p>
    <w:p w14:paraId="4CA01FB5" w14:textId="77777777" w:rsidR="00734A7C" w:rsidRDefault="00734A7C" w:rsidP="00734A7C">
      <w:pPr>
        <w:spacing w:line="360" w:lineRule="auto"/>
        <w:ind w:left="720" w:hanging="720"/>
        <w:jc w:val="both"/>
        <w:rPr>
          <w:rFonts w:ascii="David" w:hAnsi="David"/>
          <w:rtl/>
        </w:rPr>
      </w:pPr>
    </w:p>
    <w:p w14:paraId="35ED3F71" w14:textId="77777777" w:rsidR="00734A7C" w:rsidRDefault="00734A7C" w:rsidP="00734A7C">
      <w:pPr>
        <w:spacing w:line="360" w:lineRule="auto"/>
        <w:ind w:left="720" w:hanging="720"/>
        <w:jc w:val="both"/>
        <w:rPr>
          <w:rFonts w:ascii="David" w:hAnsi="David"/>
          <w:rtl/>
        </w:rPr>
      </w:pPr>
      <w:r>
        <w:rPr>
          <w:rFonts w:ascii="David" w:hAnsi="David" w:hint="cs"/>
          <w:rtl/>
        </w:rPr>
        <w:lastRenderedPageBreak/>
        <w:t>2.</w:t>
      </w:r>
      <w:r>
        <w:rPr>
          <w:rFonts w:ascii="David" w:hAnsi="David" w:hint="cs"/>
          <w:rtl/>
        </w:rPr>
        <w:tab/>
        <w:t xml:space="preserve">על פי האמור בכתב האישום המתייחס לעבירות הנשק, הנאשם התגורר ברחוב החשמל בעיר חיפה. בתאריך 20.07.2021 החזיק הנאשם בדירתו באקדח חצי אוטומטי מסוג </w:t>
      </w:r>
      <w:r w:rsidRPr="003536F0">
        <w:rPr>
          <w:rFonts w:ascii="David" w:hAnsi="David" w:hint="cs"/>
          <w:rtl/>
        </w:rPr>
        <w:t>זיג זאוור</w:t>
      </w:r>
      <w:r>
        <w:rPr>
          <w:rFonts w:ascii="David" w:hAnsi="David" w:hint="cs"/>
          <w:rtl/>
        </w:rPr>
        <w:t xml:space="preserve">, קליבר 9 מ"מ פרבלום, וכן שלוש מחסניות המתאימות לנשק ובתוכן כדורים. </w:t>
      </w:r>
    </w:p>
    <w:p w14:paraId="69A79FF9" w14:textId="77777777" w:rsidR="00734A7C" w:rsidRDefault="00734A7C" w:rsidP="00734A7C">
      <w:pPr>
        <w:spacing w:line="360" w:lineRule="auto"/>
        <w:ind w:left="720" w:hanging="720"/>
        <w:jc w:val="both"/>
        <w:rPr>
          <w:rFonts w:ascii="David" w:hAnsi="David"/>
          <w:rtl/>
        </w:rPr>
      </w:pPr>
      <w:r>
        <w:rPr>
          <w:rFonts w:ascii="David" w:hAnsi="David"/>
          <w:rtl/>
        </w:rPr>
        <w:tab/>
      </w:r>
      <w:r>
        <w:rPr>
          <w:rFonts w:ascii="David" w:hAnsi="David" w:hint="cs"/>
          <w:rtl/>
        </w:rPr>
        <w:t xml:space="preserve">בתאריך הנ"ל בשעה 18:50 או בסמוך לכך, יצא הנאשם מהדירה והלך לעבר מכוניתו שחנתה באזור, כשהוא נושא ומוביל בתוך תיק גב את האקדח וכן את המחסניות עם הכדורים בתוכן, כאשר אחת מהמחסניות בתוך האקדח. בדרכו למכוניות נעצר הנאשם על ידי שוטרים. </w:t>
      </w:r>
    </w:p>
    <w:p w14:paraId="5EB11010" w14:textId="77777777" w:rsidR="00734A7C" w:rsidRDefault="00734A7C" w:rsidP="00734A7C">
      <w:pPr>
        <w:spacing w:line="360" w:lineRule="auto"/>
        <w:ind w:left="720" w:hanging="720"/>
        <w:jc w:val="both"/>
        <w:rPr>
          <w:rFonts w:ascii="David" w:hAnsi="David"/>
          <w:rtl/>
        </w:rPr>
      </w:pPr>
      <w:r>
        <w:rPr>
          <w:rFonts w:ascii="David" w:hAnsi="David"/>
          <w:rtl/>
        </w:rPr>
        <w:tab/>
      </w:r>
    </w:p>
    <w:p w14:paraId="49C21246" w14:textId="77777777" w:rsidR="00734A7C" w:rsidRDefault="00734A7C" w:rsidP="00734A7C">
      <w:pPr>
        <w:spacing w:line="360" w:lineRule="auto"/>
        <w:ind w:left="720" w:hanging="720"/>
        <w:jc w:val="both"/>
        <w:rPr>
          <w:rFonts w:ascii="David" w:hAnsi="David"/>
        </w:rPr>
      </w:pPr>
      <w:r>
        <w:rPr>
          <w:rFonts w:ascii="David" w:hAnsi="David" w:hint="cs"/>
          <w:rtl/>
        </w:rPr>
        <w:t xml:space="preserve">3. </w:t>
      </w:r>
      <w:r>
        <w:rPr>
          <w:rFonts w:ascii="David" w:hAnsi="David" w:hint="cs"/>
          <w:rtl/>
        </w:rPr>
        <w:tab/>
        <w:t xml:space="preserve">על פי כתב האישום (המתוקן) השני שצורף, הנאשם שלח ביום 15.07.2021 מסרונים מהפלאפון שברשותו לפלאפון שברשות המתלוננת, שהיתה בעבר בת זוגו, בהם איים עליה. </w:t>
      </w:r>
    </w:p>
    <w:p w14:paraId="3543E6D0" w14:textId="77777777" w:rsidR="00734A7C" w:rsidRDefault="00734A7C" w:rsidP="00734A7C">
      <w:pPr>
        <w:spacing w:line="360" w:lineRule="auto"/>
        <w:ind w:left="720"/>
        <w:jc w:val="both"/>
        <w:rPr>
          <w:rFonts w:ascii="David" w:hAnsi="David"/>
          <w:rtl/>
        </w:rPr>
      </w:pPr>
      <w:r>
        <w:rPr>
          <w:rFonts w:ascii="David" w:hAnsi="David" w:hint="cs"/>
          <w:rtl/>
        </w:rPr>
        <w:t xml:space="preserve">בנוסף לכך, ביום 12.06.2020, בשביל המצוי ליד הבית, תקף הנאשם את המתלוננת בכך שמשך בחולצתה בעוצמה עד שנקרעה ואחז בשערות ראשה. </w:t>
      </w:r>
    </w:p>
    <w:p w14:paraId="08FA9C2C" w14:textId="77777777" w:rsidR="00734A7C" w:rsidRDefault="00734A7C" w:rsidP="00734A7C">
      <w:pPr>
        <w:spacing w:line="360" w:lineRule="auto"/>
        <w:ind w:left="720" w:hanging="720"/>
        <w:jc w:val="both"/>
        <w:rPr>
          <w:rFonts w:ascii="David" w:hAnsi="David"/>
          <w:rtl/>
        </w:rPr>
      </w:pPr>
      <w:r>
        <w:rPr>
          <w:rFonts w:ascii="David" w:hAnsi="David"/>
          <w:rtl/>
        </w:rPr>
        <w:tab/>
      </w:r>
      <w:r>
        <w:rPr>
          <w:rFonts w:ascii="David" w:hAnsi="David" w:hint="cs"/>
          <w:rtl/>
        </w:rPr>
        <w:t xml:space="preserve">ביום 07.11.2020, בסמוך לשעה 03:00, בסלון הבית, על רקע ויכוח בין הנאשם למתלוננת, תקף הנאשם את המתלוננת בכך שסטר אותה באמצעות ידו בפניה ואחז בצווארה. </w:t>
      </w:r>
    </w:p>
    <w:p w14:paraId="1145F8F6" w14:textId="77777777" w:rsidR="00734A7C" w:rsidRDefault="00734A7C" w:rsidP="00734A7C">
      <w:pPr>
        <w:spacing w:line="360" w:lineRule="auto"/>
        <w:ind w:left="720" w:hanging="720"/>
        <w:jc w:val="both"/>
        <w:rPr>
          <w:rFonts w:ascii="David" w:hAnsi="David"/>
          <w:rtl/>
        </w:rPr>
      </w:pPr>
      <w:r>
        <w:rPr>
          <w:rFonts w:ascii="David" w:hAnsi="David"/>
          <w:rtl/>
        </w:rPr>
        <w:tab/>
      </w:r>
      <w:r>
        <w:rPr>
          <w:rFonts w:ascii="David" w:hAnsi="David" w:hint="cs"/>
          <w:rtl/>
        </w:rPr>
        <w:t xml:space="preserve">ביום 20.12.2020, בסמוך לשעה 21:00 בבית, תקף הנאשם את המתלוננת באמצעות גופו בראשה (כך נוסח כתב האישום המתוקן) של המתלוננת. </w:t>
      </w:r>
    </w:p>
    <w:p w14:paraId="446CB8F4" w14:textId="77777777" w:rsidR="00734A7C" w:rsidRDefault="00734A7C" w:rsidP="00734A7C">
      <w:pPr>
        <w:spacing w:line="360" w:lineRule="auto"/>
        <w:ind w:left="720"/>
        <w:jc w:val="both"/>
        <w:rPr>
          <w:rFonts w:ascii="David" w:hAnsi="David"/>
          <w:rtl/>
        </w:rPr>
      </w:pPr>
      <w:r>
        <w:rPr>
          <w:rFonts w:ascii="David" w:hAnsi="David" w:hint="cs"/>
          <w:rtl/>
        </w:rPr>
        <w:t xml:space="preserve">ביום 26.03.2021, בסמוך לשעה 19:30 בבית, על רקע ויכוח בנוגע למכירת המכונית בעקבות פרידתם, איים הנאשם על המתלוננת פעם נוספת. </w:t>
      </w:r>
    </w:p>
    <w:p w14:paraId="1A003C57" w14:textId="77777777" w:rsidR="00734A7C" w:rsidRDefault="00734A7C" w:rsidP="00734A7C">
      <w:pPr>
        <w:spacing w:line="360" w:lineRule="auto"/>
        <w:ind w:left="720" w:hanging="720"/>
        <w:jc w:val="both"/>
        <w:rPr>
          <w:rFonts w:ascii="David" w:hAnsi="David"/>
          <w:b/>
          <w:bCs/>
          <w:u w:val="single"/>
          <w:rtl/>
        </w:rPr>
      </w:pPr>
    </w:p>
    <w:p w14:paraId="161784F7" w14:textId="77777777" w:rsidR="00734A7C" w:rsidRDefault="00734A7C" w:rsidP="00734A7C">
      <w:pPr>
        <w:spacing w:line="360" w:lineRule="auto"/>
        <w:ind w:left="720" w:hanging="720"/>
        <w:jc w:val="both"/>
        <w:rPr>
          <w:rFonts w:ascii="David" w:hAnsi="David"/>
          <w:b/>
          <w:bCs/>
          <w:u w:val="single"/>
          <w:rtl/>
        </w:rPr>
      </w:pPr>
      <w:r w:rsidRPr="00E35D37">
        <w:rPr>
          <w:rFonts w:ascii="David" w:hAnsi="David" w:hint="cs"/>
          <w:b/>
          <w:bCs/>
          <w:u w:val="single"/>
          <w:rtl/>
        </w:rPr>
        <w:t>טיעוני המדינה</w:t>
      </w:r>
    </w:p>
    <w:p w14:paraId="1F54A36A" w14:textId="77777777" w:rsidR="00734A7C" w:rsidRDefault="00734A7C" w:rsidP="00734A7C">
      <w:pPr>
        <w:spacing w:line="360" w:lineRule="auto"/>
        <w:ind w:left="720" w:hanging="720"/>
        <w:jc w:val="both"/>
        <w:rPr>
          <w:rFonts w:ascii="David" w:hAnsi="David"/>
          <w:rtl/>
        </w:rPr>
      </w:pPr>
    </w:p>
    <w:p w14:paraId="0D0DEF61" w14:textId="77777777" w:rsidR="00734A7C" w:rsidRDefault="00734A7C" w:rsidP="00734A7C">
      <w:pPr>
        <w:spacing w:line="360" w:lineRule="auto"/>
        <w:ind w:left="720" w:hanging="720"/>
        <w:jc w:val="both"/>
        <w:rPr>
          <w:rFonts w:ascii="David" w:hAnsi="David"/>
          <w:rtl/>
        </w:rPr>
      </w:pPr>
      <w:r>
        <w:rPr>
          <w:rFonts w:ascii="David" w:hAnsi="David" w:hint="cs"/>
          <w:rtl/>
        </w:rPr>
        <w:t xml:space="preserve">4. </w:t>
      </w:r>
      <w:r>
        <w:rPr>
          <w:rFonts w:ascii="David" w:hAnsi="David" w:hint="cs"/>
          <w:rtl/>
        </w:rPr>
        <w:tab/>
        <w:t xml:space="preserve">באשר לתיק הנשק, המדינה עתרה למתחם ענישה שבין 18 </w:t>
      </w:r>
      <w:r>
        <w:rPr>
          <w:rFonts w:ascii="David" w:hAnsi="David"/>
          <w:rtl/>
        </w:rPr>
        <w:t>–</w:t>
      </w:r>
      <w:r>
        <w:rPr>
          <w:rFonts w:ascii="David" w:hAnsi="David" w:hint="cs"/>
          <w:rtl/>
        </w:rPr>
        <w:t xml:space="preserve"> 48 חודשי מאסר בפועל. ובתיק האלימות במשפחה טענה המדינה למתחם כולל שבין 18 </w:t>
      </w:r>
      <w:r>
        <w:rPr>
          <w:rFonts w:ascii="David" w:hAnsi="David"/>
          <w:rtl/>
        </w:rPr>
        <w:t>–</w:t>
      </w:r>
      <w:r>
        <w:rPr>
          <w:rFonts w:ascii="David" w:hAnsi="David" w:hint="cs"/>
          <w:rtl/>
        </w:rPr>
        <w:t xml:space="preserve"> 36 חודשי מאסר בפועל. לצד עונשים אלו ביקשה המדינה להטיל מאסרים מותנים, קנס משמעותי, חילוט הנשק ופיצוי למתלוננת. </w:t>
      </w:r>
    </w:p>
    <w:p w14:paraId="6AA515DB" w14:textId="77777777" w:rsidR="00734A7C" w:rsidRDefault="00734A7C" w:rsidP="00734A7C">
      <w:pPr>
        <w:spacing w:line="360" w:lineRule="auto"/>
        <w:ind w:left="720" w:hanging="720"/>
        <w:jc w:val="both"/>
        <w:rPr>
          <w:rFonts w:ascii="David" w:hAnsi="David"/>
          <w:rtl/>
        </w:rPr>
      </w:pPr>
    </w:p>
    <w:p w14:paraId="5A44668C" w14:textId="77777777" w:rsidR="00734A7C" w:rsidRDefault="00734A7C" w:rsidP="00734A7C">
      <w:pPr>
        <w:spacing w:line="360" w:lineRule="auto"/>
        <w:ind w:left="720" w:hanging="720"/>
        <w:jc w:val="both"/>
        <w:rPr>
          <w:rFonts w:ascii="David" w:hAnsi="David"/>
          <w:rtl/>
        </w:rPr>
      </w:pPr>
      <w:r>
        <w:rPr>
          <w:rFonts w:ascii="David" w:hAnsi="David" w:hint="cs"/>
          <w:rtl/>
        </w:rPr>
        <w:t xml:space="preserve">5. </w:t>
      </w:r>
      <w:r>
        <w:rPr>
          <w:rFonts w:ascii="David" w:hAnsi="David" w:hint="cs"/>
          <w:rtl/>
        </w:rPr>
        <w:tab/>
        <w:t>המדינה הפנתה בעניין מדיניות הענישה להנחיית פרקליט המדינה 9.16 וטענה כי יש להחמיר את הענישה הנוהגת בעבירות נשק. כמו כן הפנתה המדינה לפסיקה לפיה יש להחמיר את הענישה בעבירות נשק בשל היותן "מכת מדינה" (</w:t>
      </w:r>
      <w:hyperlink r:id="rId19" w:history="1">
        <w:r w:rsidR="009403B3" w:rsidRPr="009403B3">
          <w:rPr>
            <w:rFonts w:ascii="David" w:hAnsi="David"/>
            <w:color w:val="0000FF"/>
            <w:u w:val="single"/>
            <w:rtl/>
          </w:rPr>
          <w:t xml:space="preserve">4439/19 </w:t>
        </w:r>
      </w:hyperlink>
      <w:r w:rsidRPr="00E35D37">
        <w:rPr>
          <w:rFonts w:ascii="David" w:hAnsi="David" w:hint="cs"/>
          <w:rtl/>
        </w:rPr>
        <w:t xml:space="preserve"> </w:t>
      </w:r>
      <w:r w:rsidRPr="00E35D37">
        <w:rPr>
          <w:rFonts w:ascii="David" w:hAnsi="David" w:hint="cs"/>
          <w:b/>
          <w:bCs/>
          <w:rtl/>
        </w:rPr>
        <w:t xml:space="preserve">מדינת ישראל נ' יונס סובח </w:t>
      </w:r>
      <w:r w:rsidRPr="00E35D37">
        <w:rPr>
          <w:rFonts w:ascii="David" w:hAnsi="David" w:hint="cs"/>
          <w:rtl/>
        </w:rPr>
        <w:t>(05.11.2019)</w:t>
      </w:r>
      <w:r>
        <w:rPr>
          <w:rFonts w:ascii="David" w:hAnsi="David" w:hint="cs"/>
          <w:rtl/>
        </w:rPr>
        <w:t>).</w:t>
      </w:r>
    </w:p>
    <w:p w14:paraId="0D1EE998" w14:textId="77777777" w:rsidR="00734A7C" w:rsidRPr="005D3532" w:rsidRDefault="00734A7C" w:rsidP="00734A7C">
      <w:pPr>
        <w:spacing w:line="360" w:lineRule="auto"/>
        <w:ind w:left="720" w:hanging="720"/>
        <w:jc w:val="both"/>
        <w:rPr>
          <w:rFonts w:ascii="David" w:hAnsi="David"/>
          <w:rtl/>
        </w:rPr>
      </w:pPr>
    </w:p>
    <w:p w14:paraId="75F432CC" w14:textId="77777777" w:rsidR="00734A7C" w:rsidRDefault="00734A7C" w:rsidP="00734A7C">
      <w:pPr>
        <w:spacing w:line="360" w:lineRule="auto"/>
        <w:ind w:left="720" w:hanging="720"/>
        <w:jc w:val="both"/>
        <w:rPr>
          <w:rFonts w:ascii="David" w:hAnsi="David"/>
          <w:rtl/>
        </w:rPr>
      </w:pPr>
      <w:r>
        <w:rPr>
          <w:rFonts w:ascii="David" w:hAnsi="David" w:hint="cs"/>
          <w:rtl/>
        </w:rPr>
        <w:t xml:space="preserve">6. </w:t>
      </w:r>
      <w:r>
        <w:rPr>
          <w:rFonts w:ascii="David" w:hAnsi="David" w:hint="cs"/>
          <w:rtl/>
        </w:rPr>
        <w:tab/>
        <w:t xml:space="preserve">בתיק הנשק נטען כי נפגעו ערכים חברתיים של שמירה על חיי אדם, שלום הציבור ושלטון החוק. </w:t>
      </w:r>
      <w:r>
        <w:rPr>
          <w:rFonts w:ascii="David" w:hAnsi="David"/>
          <w:rtl/>
        </w:rPr>
        <w:t>נטען כי זמינות הנשק תורמת במידה ניכרת להגדלת מעגל האלימות ולתוצאות הקשות הנובעות מכך.</w:t>
      </w:r>
    </w:p>
    <w:p w14:paraId="344DC05C" w14:textId="77777777" w:rsidR="00734A7C" w:rsidRDefault="00734A7C" w:rsidP="00734A7C">
      <w:pPr>
        <w:spacing w:line="360" w:lineRule="auto"/>
        <w:ind w:left="720" w:hanging="720"/>
        <w:jc w:val="both"/>
        <w:rPr>
          <w:rFonts w:ascii="David" w:hAnsi="David"/>
          <w:rtl/>
        </w:rPr>
      </w:pPr>
    </w:p>
    <w:p w14:paraId="25D953D4" w14:textId="77777777" w:rsidR="00734A7C" w:rsidRPr="00677F0C" w:rsidRDefault="00734A7C" w:rsidP="00734A7C">
      <w:pPr>
        <w:spacing w:line="360" w:lineRule="auto"/>
        <w:ind w:left="720" w:hanging="720"/>
        <w:jc w:val="both"/>
        <w:rPr>
          <w:rFonts w:ascii="David" w:hAnsi="David"/>
          <w:rtl/>
        </w:rPr>
      </w:pPr>
      <w:r>
        <w:rPr>
          <w:rFonts w:ascii="David" w:hAnsi="David" w:hint="cs"/>
          <w:rtl/>
        </w:rPr>
        <w:lastRenderedPageBreak/>
        <w:t>7.</w:t>
      </w:r>
      <w:r>
        <w:rPr>
          <w:rFonts w:ascii="David" w:hAnsi="David" w:hint="cs"/>
          <w:rtl/>
        </w:rPr>
        <w:tab/>
        <w:t>בעבירות האלימות במשפחה נטען כי נפגעו ערכים חברתיים של שמירה על החיים ושלמות הגוף, בייחוד של המתלוננת (</w:t>
      </w:r>
      <w:hyperlink r:id="rId20" w:history="1">
        <w:r w:rsidR="00333FFE" w:rsidRPr="00333FFE">
          <w:rPr>
            <w:rFonts w:ascii="David" w:hAnsi="David"/>
            <w:color w:val="0000FF"/>
            <w:u w:val="single"/>
            <w:rtl/>
          </w:rPr>
          <w:t>ע"פ 3863/09</w:t>
        </w:r>
      </w:hyperlink>
      <w:r>
        <w:rPr>
          <w:rFonts w:ascii="David" w:hAnsi="David" w:hint="cs"/>
          <w:rtl/>
        </w:rPr>
        <w:t xml:space="preserve"> </w:t>
      </w:r>
      <w:r>
        <w:rPr>
          <w:rFonts w:ascii="David" w:hAnsi="David" w:hint="cs"/>
          <w:b/>
          <w:bCs/>
          <w:rtl/>
        </w:rPr>
        <w:t xml:space="preserve">מדינת ישראל נ' נאסר חסן </w:t>
      </w:r>
      <w:r>
        <w:rPr>
          <w:rFonts w:ascii="David" w:hAnsi="David" w:hint="cs"/>
          <w:rtl/>
        </w:rPr>
        <w:t xml:space="preserve">(10.11.2009)).   </w:t>
      </w:r>
    </w:p>
    <w:p w14:paraId="1D71ADA8" w14:textId="77777777" w:rsidR="00734A7C" w:rsidRPr="004F3841" w:rsidRDefault="00734A7C" w:rsidP="00734A7C">
      <w:pPr>
        <w:spacing w:line="360" w:lineRule="auto"/>
        <w:ind w:left="720" w:hanging="720"/>
        <w:jc w:val="both"/>
        <w:rPr>
          <w:rFonts w:ascii="David" w:hAnsi="David"/>
          <w:rtl/>
        </w:rPr>
      </w:pPr>
      <w:r>
        <w:rPr>
          <w:rFonts w:ascii="David" w:hAnsi="David"/>
          <w:rtl/>
        </w:rPr>
        <w:tab/>
      </w:r>
      <w:r>
        <w:rPr>
          <w:rFonts w:ascii="David" w:hAnsi="David" w:hint="cs"/>
          <w:rtl/>
        </w:rPr>
        <w:t>המדינה הפנתה עוד בנוגע לחומרה שבעבירות אלימות במשפחה ועל הצורך להחמיר בעבירות אלו ל</w:t>
      </w:r>
      <w:hyperlink r:id="rId21" w:history="1">
        <w:r w:rsidR="00333FFE" w:rsidRPr="00333FFE">
          <w:rPr>
            <w:rFonts w:ascii="David" w:hAnsi="David"/>
            <w:color w:val="0000FF"/>
            <w:u w:val="single"/>
            <w:rtl/>
          </w:rPr>
          <w:t>ע"פ 6758/07</w:t>
        </w:r>
      </w:hyperlink>
      <w:r>
        <w:rPr>
          <w:rFonts w:ascii="David" w:hAnsi="David" w:hint="cs"/>
          <w:rtl/>
        </w:rPr>
        <w:t xml:space="preserve"> </w:t>
      </w:r>
      <w:r>
        <w:rPr>
          <w:rFonts w:ascii="David" w:hAnsi="David" w:hint="cs"/>
          <w:b/>
          <w:bCs/>
          <w:rtl/>
        </w:rPr>
        <w:t>פלוני נ' מדינת ישראל</w:t>
      </w:r>
      <w:r>
        <w:rPr>
          <w:rFonts w:ascii="David" w:hAnsi="David" w:hint="cs"/>
          <w:rtl/>
        </w:rPr>
        <w:t xml:space="preserve"> (11.10.2007) ולע"פ </w:t>
      </w:r>
      <w:hyperlink r:id="rId22" w:history="1">
        <w:r w:rsidR="009403B3" w:rsidRPr="009403B3">
          <w:rPr>
            <w:rFonts w:ascii="David" w:hAnsi="David"/>
            <w:color w:val="0000FF"/>
            <w:u w:val="single"/>
            <w:rtl/>
          </w:rPr>
          <w:t xml:space="preserve">305/12 </w:t>
        </w:r>
      </w:hyperlink>
      <w:r>
        <w:rPr>
          <w:rFonts w:ascii="David" w:hAnsi="David" w:hint="cs"/>
          <w:rtl/>
        </w:rPr>
        <w:t xml:space="preserve"> </w:t>
      </w:r>
      <w:r>
        <w:rPr>
          <w:rFonts w:ascii="David" w:hAnsi="David" w:hint="cs"/>
          <w:b/>
          <w:bCs/>
          <w:rtl/>
        </w:rPr>
        <w:t>מדינת ישראל נ' חיים צוובנר זליג</w:t>
      </w:r>
      <w:r>
        <w:rPr>
          <w:rFonts w:ascii="David" w:hAnsi="David" w:hint="cs"/>
          <w:rtl/>
        </w:rPr>
        <w:t xml:space="preserve"> (24.06.2013). </w:t>
      </w:r>
    </w:p>
    <w:p w14:paraId="2D1FBE01" w14:textId="77777777" w:rsidR="00734A7C" w:rsidRDefault="00734A7C" w:rsidP="00734A7C">
      <w:pPr>
        <w:spacing w:line="360" w:lineRule="auto"/>
        <w:ind w:left="720" w:hanging="720"/>
        <w:jc w:val="both"/>
        <w:rPr>
          <w:rFonts w:ascii="David" w:hAnsi="David"/>
          <w:rtl/>
        </w:rPr>
      </w:pPr>
    </w:p>
    <w:p w14:paraId="35C8FA24" w14:textId="77777777" w:rsidR="00734A7C" w:rsidRDefault="00734A7C" w:rsidP="00734A7C">
      <w:pPr>
        <w:spacing w:line="360" w:lineRule="auto"/>
        <w:ind w:left="720" w:hanging="720"/>
        <w:jc w:val="both"/>
        <w:rPr>
          <w:rFonts w:ascii="David" w:hAnsi="David"/>
          <w:rtl/>
        </w:rPr>
      </w:pPr>
      <w:r>
        <w:rPr>
          <w:rFonts w:ascii="David" w:hAnsi="David" w:hint="cs"/>
          <w:rtl/>
        </w:rPr>
        <w:t>8.</w:t>
      </w:r>
      <w:r>
        <w:rPr>
          <w:rFonts w:ascii="David" w:hAnsi="David" w:hint="cs"/>
          <w:rtl/>
        </w:rPr>
        <w:tab/>
        <w:t xml:space="preserve">באשר לנסיבות שקשורות לביצוע העבירה, בתיק הנשק נטען כי הנאשם הוביל את הנשק לאחר שיצא מדירתו טעון במחסנית התואמת לאקדח ויחד עמו בתיק שתי מחסניות עם כדורים תואמים ונטען כי האקדח היה מוכן לירי. נטען בין היתר כי הנאשם ביצע את העבירה כאשר 5 ימים לפני כן בוצעו גם עבירות בתיק האלמ"ב. </w:t>
      </w:r>
    </w:p>
    <w:p w14:paraId="7A30FF61" w14:textId="77777777" w:rsidR="00734A7C" w:rsidRDefault="00734A7C" w:rsidP="00734A7C">
      <w:pPr>
        <w:spacing w:line="360" w:lineRule="auto"/>
        <w:ind w:left="720" w:hanging="720"/>
        <w:jc w:val="both"/>
        <w:rPr>
          <w:rFonts w:ascii="David" w:hAnsi="David"/>
          <w:rtl/>
        </w:rPr>
      </w:pPr>
    </w:p>
    <w:p w14:paraId="44C2374E" w14:textId="77777777" w:rsidR="00734A7C" w:rsidRDefault="00734A7C" w:rsidP="00734A7C">
      <w:pPr>
        <w:spacing w:line="360" w:lineRule="auto"/>
        <w:ind w:left="720" w:hanging="720"/>
        <w:jc w:val="both"/>
        <w:rPr>
          <w:rFonts w:ascii="David" w:hAnsi="David"/>
          <w:rtl/>
        </w:rPr>
      </w:pPr>
      <w:r>
        <w:rPr>
          <w:rFonts w:ascii="David" w:hAnsi="David" w:hint="cs"/>
          <w:rtl/>
        </w:rPr>
        <w:t>9.</w:t>
      </w:r>
      <w:r>
        <w:rPr>
          <w:rFonts w:ascii="David" w:hAnsi="David" w:hint="cs"/>
          <w:rtl/>
        </w:rPr>
        <w:tab/>
        <w:t>באשר לנסיבות הקשורות לביצוע העבירה, נטען כי חלקו היחסי של הנאשם בעבירות הינו מוחלט. לגבי הנזק שנגרם מביצוע העבירה נטען כי מעשיהו של הנאשם גרמו למתלוננת לתחושה קשה של פחד ופגיעה בגופה כמתואר בעובדות כתב האישום המתוקן. וגם נטען לגבי הנזק הנפשי והרגשי אשר נגרמו למתלוננת.</w:t>
      </w:r>
    </w:p>
    <w:p w14:paraId="69D089F8" w14:textId="77777777" w:rsidR="00734A7C" w:rsidRDefault="00734A7C" w:rsidP="00734A7C">
      <w:pPr>
        <w:spacing w:line="360" w:lineRule="auto"/>
        <w:ind w:left="720" w:hanging="720"/>
        <w:jc w:val="both"/>
        <w:rPr>
          <w:rFonts w:ascii="David" w:hAnsi="David"/>
          <w:rtl/>
        </w:rPr>
      </w:pPr>
      <w:r>
        <w:rPr>
          <w:rFonts w:ascii="David" w:hAnsi="David"/>
          <w:rtl/>
        </w:rPr>
        <w:tab/>
      </w:r>
      <w:r>
        <w:rPr>
          <w:rFonts w:ascii="David" w:hAnsi="David" w:hint="cs"/>
          <w:rtl/>
        </w:rPr>
        <w:t xml:space="preserve">נטעו כי הנאשם ביצע חלק ממעשיו על רקע ויכוחים בינו לבין המתלוננת. עוד נטען כי כפי שמתואר בכתב האישום המתוקן מדובר באירוע מתמשך כנגד המתלוננת שהתחיל בחודש יוני 2020 והסתיים ביולי 2021. </w:t>
      </w:r>
    </w:p>
    <w:p w14:paraId="0049D8BF" w14:textId="77777777" w:rsidR="00734A7C" w:rsidRDefault="00734A7C" w:rsidP="00734A7C">
      <w:pPr>
        <w:spacing w:line="360" w:lineRule="auto"/>
        <w:ind w:left="720" w:hanging="720"/>
        <w:jc w:val="both"/>
        <w:rPr>
          <w:rFonts w:ascii="David" w:hAnsi="David"/>
          <w:rtl/>
        </w:rPr>
      </w:pPr>
    </w:p>
    <w:p w14:paraId="2C0CCF36" w14:textId="77777777" w:rsidR="00734A7C" w:rsidRDefault="00734A7C" w:rsidP="00734A7C">
      <w:pPr>
        <w:spacing w:line="360" w:lineRule="auto"/>
        <w:ind w:left="720" w:hanging="720"/>
        <w:jc w:val="both"/>
        <w:rPr>
          <w:rFonts w:ascii="David" w:hAnsi="David"/>
          <w:rtl/>
        </w:rPr>
      </w:pPr>
      <w:r>
        <w:rPr>
          <w:rFonts w:ascii="David" w:hAnsi="David" w:hint="cs"/>
          <w:rtl/>
        </w:rPr>
        <w:t>10.</w:t>
      </w:r>
      <w:r>
        <w:rPr>
          <w:rFonts w:ascii="David" w:hAnsi="David" w:hint="cs"/>
          <w:rtl/>
        </w:rPr>
        <w:tab/>
        <w:t>באשר למדיניות הענישה צוינו המקרים הבאים:</w:t>
      </w:r>
    </w:p>
    <w:p w14:paraId="02760A76" w14:textId="77777777" w:rsidR="00734A7C" w:rsidRDefault="00734A7C" w:rsidP="00734A7C">
      <w:pPr>
        <w:spacing w:line="360" w:lineRule="auto"/>
        <w:ind w:left="720" w:hanging="720"/>
        <w:jc w:val="both"/>
        <w:rPr>
          <w:rFonts w:ascii="David" w:hAnsi="David"/>
          <w:rtl/>
        </w:rPr>
      </w:pPr>
    </w:p>
    <w:p w14:paraId="057C0971" w14:textId="77777777" w:rsidR="00734A7C" w:rsidRPr="0079637E" w:rsidRDefault="00734A7C" w:rsidP="00734A7C">
      <w:pPr>
        <w:spacing w:line="360" w:lineRule="auto"/>
        <w:ind w:left="720" w:hanging="720"/>
        <w:jc w:val="both"/>
        <w:rPr>
          <w:rFonts w:ascii="David" w:hAnsi="David"/>
          <w:b/>
          <w:bCs/>
          <w:u w:val="single"/>
          <w:rtl/>
        </w:rPr>
      </w:pPr>
      <w:r>
        <w:rPr>
          <w:rFonts w:ascii="David" w:hAnsi="David" w:hint="cs"/>
          <w:b/>
          <w:bCs/>
          <w:u w:val="single"/>
          <w:rtl/>
        </w:rPr>
        <w:t>עבירות הנשק</w:t>
      </w:r>
    </w:p>
    <w:p w14:paraId="0282ECDA" w14:textId="77777777" w:rsidR="00734A7C" w:rsidRDefault="00734A7C" w:rsidP="00734A7C">
      <w:pPr>
        <w:spacing w:line="360" w:lineRule="auto"/>
        <w:ind w:left="720" w:hanging="720"/>
        <w:jc w:val="both"/>
        <w:rPr>
          <w:rFonts w:ascii="David" w:hAnsi="David"/>
          <w:rtl/>
        </w:rPr>
      </w:pPr>
    </w:p>
    <w:p w14:paraId="73C52586" w14:textId="77777777" w:rsidR="00734A7C" w:rsidRDefault="00333FFE" w:rsidP="00734A7C">
      <w:pPr>
        <w:pStyle w:val="a9"/>
        <w:numPr>
          <w:ilvl w:val="0"/>
          <w:numId w:val="1"/>
        </w:numPr>
        <w:spacing w:line="360" w:lineRule="auto"/>
        <w:jc w:val="both"/>
        <w:rPr>
          <w:rFonts w:ascii="David" w:hAnsi="David"/>
        </w:rPr>
      </w:pPr>
      <w:hyperlink r:id="rId23" w:history="1">
        <w:r w:rsidRPr="00333FFE">
          <w:rPr>
            <w:rFonts w:ascii="David" w:hAnsi="David"/>
            <w:color w:val="0000FF"/>
            <w:u w:val="single"/>
            <w:rtl/>
          </w:rPr>
          <w:t>ע"פ 2564/19</w:t>
        </w:r>
      </w:hyperlink>
      <w:r w:rsidR="00734A7C" w:rsidRPr="008247DA">
        <w:rPr>
          <w:rFonts w:ascii="David" w:hAnsi="David" w:hint="cs"/>
          <w:rtl/>
        </w:rPr>
        <w:t xml:space="preserve"> </w:t>
      </w:r>
      <w:r w:rsidR="00734A7C" w:rsidRPr="008247DA">
        <w:rPr>
          <w:rFonts w:ascii="David" w:hAnsi="David" w:hint="cs"/>
          <w:b/>
          <w:bCs/>
          <w:rtl/>
        </w:rPr>
        <w:t xml:space="preserve">אזברגה נ' מדינת ישראל </w:t>
      </w:r>
      <w:r w:rsidR="00734A7C" w:rsidRPr="008247DA">
        <w:rPr>
          <w:rFonts w:ascii="David" w:hAnsi="David" w:hint="cs"/>
          <w:rtl/>
        </w:rPr>
        <w:t xml:space="preserve">(18.07.2019):  שם נדחה ערעורו של נאשם שבמסגרתו נדון הנאשם לעונש של 16 חודשי מאסר בפועל </w:t>
      </w:r>
      <w:r w:rsidR="00734A7C" w:rsidRPr="008247DA">
        <w:rPr>
          <w:shd w:val="clear" w:color="auto" w:fill="FFFFFF"/>
          <w:rtl/>
        </w:rPr>
        <w:t>בגין הרשעתו בעבירה של נשיאת נשק</w:t>
      </w:r>
      <w:r w:rsidR="00734A7C" w:rsidRPr="008247DA">
        <w:rPr>
          <w:rFonts w:ascii="David" w:hAnsi="David" w:hint="cs"/>
          <w:rtl/>
        </w:rPr>
        <w:t xml:space="preserve"> בתוך רכב. </w:t>
      </w:r>
    </w:p>
    <w:p w14:paraId="6D3D7B6C" w14:textId="77777777" w:rsidR="00734A7C" w:rsidRDefault="00734A7C" w:rsidP="00734A7C">
      <w:pPr>
        <w:pStyle w:val="a9"/>
        <w:spacing w:line="360" w:lineRule="auto"/>
        <w:jc w:val="both"/>
        <w:rPr>
          <w:rFonts w:ascii="David" w:hAnsi="David"/>
        </w:rPr>
      </w:pPr>
    </w:p>
    <w:p w14:paraId="6AB4BDEA" w14:textId="77777777" w:rsidR="00734A7C" w:rsidRDefault="00333FFE" w:rsidP="00734A7C">
      <w:pPr>
        <w:pStyle w:val="a9"/>
        <w:numPr>
          <w:ilvl w:val="0"/>
          <w:numId w:val="1"/>
        </w:numPr>
        <w:spacing w:line="360" w:lineRule="auto"/>
        <w:jc w:val="both"/>
        <w:rPr>
          <w:rFonts w:ascii="David" w:hAnsi="David"/>
        </w:rPr>
      </w:pPr>
      <w:hyperlink r:id="rId24" w:history="1">
        <w:r w:rsidRPr="00333FFE">
          <w:rPr>
            <w:rFonts w:ascii="David" w:hAnsi="David"/>
            <w:color w:val="0000FF"/>
            <w:u w:val="single"/>
            <w:rtl/>
          </w:rPr>
          <w:t>ע"פ 3288/14</w:t>
        </w:r>
      </w:hyperlink>
      <w:r w:rsidR="00734A7C">
        <w:rPr>
          <w:rFonts w:ascii="David" w:hAnsi="David" w:hint="cs"/>
          <w:rtl/>
        </w:rPr>
        <w:t xml:space="preserve"> </w:t>
      </w:r>
      <w:r w:rsidR="00734A7C">
        <w:rPr>
          <w:rFonts w:ascii="David" w:hAnsi="David" w:hint="cs"/>
          <w:b/>
          <w:bCs/>
          <w:rtl/>
        </w:rPr>
        <w:t xml:space="preserve">מדינת ישראל נ' קריספיל </w:t>
      </w:r>
      <w:r w:rsidR="00734A7C">
        <w:rPr>
          <w:rFonts w:ascii="David" w:hAnsi="David" w:hint="cs"/>
          <w:rtl/>
        </w:rPr>
        <w:t xml:space="preserve">(24.08.2014): שם הורשע הנאשם </w:t>
      </w:r>
      <w:r w:rsidR="00734A7C">
        <w:rPr>
          <w:rtl/>
        </w:rPr>
        <w:t>בבית המשפט המחוזי, על פי הודאתו בעבירות של החזקת נשק בלא רשות והחזקת נכס החשוד כגנוב</w:t>
      </w:r>
      <w:r w:rsidR="00734A7C">
        <w:rPr>
          <w:rFonts w:hint="cs"/>
          <w:rtl/>
        </w:rPr>
        <w:t xml:space="preserve">. נקבע כי מתחם העונש ההולם </w:t>
      </w:r>
      <w:r w:rsidR="00734A7C">
        <w:rPr>
          <w:rtl/>
        </w:rPr>
        <w:t>נע בין 6 ל-22 חודשי מאסר בפועל</w:t>
      </w:r>
      <w:r w:rsidR="00734A7C">
        <w:rPr>
          <w:rFonts w:ascii="David" w:hAnsi="David" w:hint="cs"/>
          <w:rtl/>
        </w:rPr>
        <w:t xml:space="preserve"> והושת על הנאשם 9 חודשי מאסר בפועל. בית המשפט העליון קיבל את ערעור המדינה והחמיר את העונש על 18 חודשי מאסר בפועל.</w:t>
      </w:r>
    </w:p>
    <w:p w14:paraId="32E6B890" w14:textId="77777777" w:rsidR="00734A7C" w:rsidRDefault="00734A7C" w:rsidP="00734A7C">
      <w:pPr>
        <w:pStyle w:val="a9"/>
        <w:spacing w:line="360" w:lineRule="auto"/>
        <w:jc w:val="both"/>
        <w:rPr>
          <w:rFonts w:ascii="David" w:hAnsi="David"/>
        </w:rPr>
      </w:pPr>
    </w:p>
    <w:p w14:paraId="58433E22" w14:textId="77777777" w:rsidR="00734A7C" w:rsidRDefault="00333FFE" w:rsidP="00734A7C">
      <w:pPr>
        <w:pStyle w:val="a9"/>
        <w:numPr>
          <w:ilvl w:val="0"/>
          <w:numId w:val="1"/>
        </w:numPr>
        <w:spacing w:line="360" w:lineRule="auto"/>
        <w:jc w:val="both"/>
        <w:rPr>
          <w:rFonts w:ascii="David" w:hAnsi="David"/>
        </w:rPr>
      </w:pPr>
      <w:hyperlink r:id="rId25" w:history="1">
        <w:r w:rsidRPr="00333FFE">
          <w:rPr>
            <w:rFonts w:ascii="David" w:hAnsi="David"/>
            <w:color w:val="0000FF"/>
            <w:u w:val="single"/>
            <w:rtl/>
          </w:rPr>
          <w:t>ע"פ 390/17</w:t>
        </w:r>
      </w:hyperlink>
      <w:r w:rsidR="00734A7C">
        <w:rPr>
          <w:rFonts w:ascii="David" w:hAnsi="David" w:hint="cs"/>
          <w:rtl/>
        </w:rPr>
        <w:t xml:space="preserve"> </w:t>
      </w:r>
      <w:r w:rsidR="00734A7C">
        <w:rPr>
          <w:rFonts w:ascii="David" w:hAnsi="David" w:hint="cs"/>
          <w:b/>
          <w:bCs/>
          <w:rtl/>
        </w:rPr>
        <w:t xml:space="preserve">סער נ' מדינת ישראל </w:t>
      </w:r>
      <w:r w:rsidR="00734A7C">
        <w:rPr>
          <w:rFonts w:ascii="David" w:hAnsi="David" w:hint="cs"/>
          <w:rtl/>
        </w:rPr>
        <w:t xml:space="preserve">(03.07.2017): שם הורשע הנאשם על פי הודאתו בעבירות של נשיאת אקדח בצוותא באמצעות אופנוע ונהיגה בקלות דעת. בית המשפט העליון קיבל את ערעורו וגזר עליו 34 חודשי מאסר בפועל במקום 40 חודשי מאסר בפועל. </w:t>
      </w:r>
    </w:p>
    <w:p w14:paraId="26B385AE" w14:textId="77777777" w:rsidR="00734A7C" w:rsidRPr="005E0331" w:rsidRDefault="00734A7C" w:rsidP="00734A7C">
      <w:pPr>
        <w:pStyle w:val="a9"/>
        <w:spacing w:line="360" w:lineRule="auto"/>
        <w:rPr>
          <w:rFonts w:ascii="David" w:hAnsi="David"/>
          <w:rtl/>
        </w:rPr>
      </w:pPr>
    </w:p>
    <w:p w14:paraId="501C2A31" w14:textId="77777777" w:rsidR="00734A7C" w:rsidRPr="00FF1D6F" w:rsidRDefault="00333FFE" w:rsidP="00734A7C">
      <w:pPr>
        <w:pStyle w:val="a9"/>
        <w:numPr>
          <w:ilvl w:val="0"/>
          <w:numId w:val="1"/>
        </w:numPr>
        <w:spacing w:line="360" w:lineRule="auto"/>
        <w:jc w:val="both"/>
        <w:rPr>
          <w:rFonts w:ascii="David" w:hAnsi="David"/>
        </w:rPr>
      </w:pPr>
      <w:hyperlink r:id="rId26" w:history="1">
        <w:r w:rsidRPr="00333FFE">
          <w:rPr>
            <w:rFonts w:ascii="David" w:hAnsi="David"/>
            <w:color w:val="0000FF"/>
            <w:u w:val="single"/>
            <w:rtl/>
          </w:rPr>
          <w:t>ע"פ 3877/16</w:t>
        </w:r>
      </w:hyperlink>
      <w:r w:rsidR="00734A7C">
        <w:rPr>
          <w:rFonts w:ascii="David" w:hAnsi="David" w:hint="cs"/>
          <w:rtl/>
        </w:rPr>
        <w:t xml:space="preserve"> </w:t>
      </w:r>
      <w:r w:rsidR="00734A7C">
        <w:rPr>
          <w:rFonts w:ascii="David" w:hAnsi="David" w:hint="cs"/>
          <w:b/>
          <w:bCs/>
          <w:rtl/>
        </w:rPr>
        <w:t xml:space="preserve">ג'אבלי נ' מדינת ישראל </w:t>
      </w:r>
      <w:r w:rsidR="00734A7C">
        <w:rPr>
          <w:rFonts w:hint="cs"/>
          <w:rtl/>
        </w:rPr>
        <w:t xml:space="preserve">(17.11.2016): הנאשם הורשע על פי הודאתו בעבירות של נשיאת אקדח טעון עם 14 כדורים, על רקע סכסוך וניסיון להשליכו בעת הגעת השוטרים למקום. לנאשם היה עבר פלילי מכביד. בית המשפט המחוזי השית עליו 34 חודשי מאסר בפועל. הערעור נדחה. </w:t>
      </w:r>
    </w:p>
    <w:p w14:paraId="638B8CAA" w14:textId="77777777" w:rsidR="00734A7C" w:rsidRPr="00C36B7B" w:rsidRDefault="00734A7C" w:rsidP="00734A7C">
      <w:pPr>
        <w:spacing w:line="360" w:lineRule="auto"/>
        <w:rPr>
          <w:rFonts w:ascii="David" w:hAnsi="David"/>
          <w:b/>
          <w:bCs/>
          <w:rtl/>
        </w:rPr>
      </w:pPr>
    </w:p>
    <w:p w14:paraId="7BA0410D" w14:textId="77777777" w:rsidR="00734A7C" w:rsidRDefault="00734A7C" w:rsidP="00734A7C">
      <w:pPr>
        <w:spacing w:line="360" w:lineRule="auto"/>
        <w:jc w:val="both"/>
        <w:rPr>
          <w:rFonts w:ascii="David" w:hAnsi="David"/>
          <w:b/>
          <w:bCs/>
          <w:u w:val="single"/>
          <w:rtl/>
        </w:rPr>
      </w:pPr>
      <w:r>
        <w:rPr>
          <w:rFonts w:ascii="David" w:hAnsi="David" w:hint="cs"/>
          <w:b/>
          <w:bCs/>
          <w:u w:val="single"/>
          <w:rtl/>
        </w:rPr>
        <w:t>פסיקה לעניין עבירות האלימות</w:t>
      </w:r>
    </w:p>
    <w:p w14:paraId="4DEC941F" w14:textId="77777777" w:rsidR="00734A7C" w:rsidRDefault="00734A7C" w:rsidP="00734A7C">
      <w:pPr>
        <w:spacing w:line="360" w:lineRule="auto"/>
        <w:ind w:left="720"/>
        <w:jc w:val="both"/>
        <w:rPr>
          <w:rFonts w:ascii="David" w:hAnsi="David"/>
          <w:rtl/>
        </w:rPr>
      </w:pPr>
    </w:p>
    <w:p w14:paraId="07FB419B" w14:textId="77777777" w:rsidR="00734A7C" w:rsidRDefault="00734A7C" w:rsidP="00734A7C">
      <w:pPr>
        <w:pStyle w:val="a9"/>
        <w:numPr>
          <w:ilvl w:val="0"/>
          <w:numId w:val="1"/>
        </w:numPr>
        <w:spacing w:line="360" w:lineRule="auto"/>
        <w:jc w:val="both"/>
      </w:pPr>
      <w:r w:rsidRPr="008A2730">
        <w:rPr>
          <w:rtl/>
        </w:rPr>
        <w:t xml:space="preserve">ע"פ </w:t>
      </w:r>
      <w:hyperlink r:id="rId27" w:history="1">
        <w:r w:rsidR="009403B3" w:rsidRPr="009403B3">
          <w:rPr>
            <w:color w:val="0000FF"/>
            <w:u w:val="single"/>
            <w:rtl/>
          </w:rPr>
          <w:t xml:space="preserve">1631/12 </w:t>
        </w:r>
      </w:hyperlink>
      <w:r w:rsidRPr="008A2730">
        <w:rPr>
          <w:rtl/>
        </w:rPr>
        <w:t xml:space="preserve"> </w:t>
      </w:r>
      <w:r w:rsidRPr="000E2769">
        <w:rPr>
          <w:b/>
          <w:bCs/>
          <w:rtl/>
        </w:rPr>
        <w:t xml:space="preserve">פדידה נ' מדינת ישראל </w:t>
      </w:r>
      <w:r w:rsidRPr="008A2730">
        <w:rPr>
          <w:rtl/>
        </w:rPr>
        <w:t>(27.02.2012): שם הורשע הנאשם על פי הודאתו בבית-משפט השלום בעבירות של תקיפה הגו</w:t>
      </w:r>
      <w:r>
        <w:rPr>
          <w:rtl/>
        </w:rPr>
        <w:t xml:space="preserve">רמת חבלה של ממש כלפי בת זוג </w:t>
      </w:r>
      <w:r w:rsidRPr="008A2730">
        <w:rPr>
          <w:rtl/>
        </w:rPr>
        <w:t>וכן בעבירה של הפרת הוראה</w:t>
      </w:r>
      <w:r>
        <w:rPr>
          <w:rtl/>
        </w:rPr>
        <w:t xml:space="preserve"> ח</w:t>
      </w:r>
      <w:r>
        <w:rPr>
          <w:rFonts w:hint="cs"/>
          <w:rtl/>
        </w:rPr>
        <w:t xml:space="preserve">וקית. הוטל על הנאשם 18 חודשי מאסר בפועל. ערעורים לבית המשפט המחוזי ולבית המשפט העליון נדחו. </w:t>
      </w:r>
    </w:p>
    <w:p w14:paraId="4D1090B4" w14:textId="77777777" w:rsidR="00734A7C" w:rsidRPr="008A2730" w:rsidRDefault="00734A7C" w:rsidP="00734A7C">
      <w:pPr>
        <w:spacing w:line="360" w:lineRule="auto"/>
        <w:jc w:val="both"/>
      </w:pPr>
    </w:p>
    <w:p w14:paraId="0F8C287A" w14:textId="77777777" w:rsidR="00734A7C" w:rsidRDefault="00333FFE" w:rsidP="00734A7C">
      <w:pPr>
        <w:pStyle w:val="a9"/>
        <w:numPr>
          <w:ilvl w:val="0"/>
          <w:numId w:val="1"/>
        </w:numPr>
        <w:spacing w:line="360" w:lineRule="auto"/>
        <w:jc w:val="both"/>
        <w:rPr>
          <w:rFonts w:ascii="David" w:hAnsi="David"/>
        </w:rPr>
      </w:pPr>
      <w:hyperlink r:id="rId28" w:history="1">
        <w:r w:rsidRPr="00333FFE">
          <w:rPr>
            <w:rFonts w:ascii="David" w:hAnsi="David"/>
            <w:color w:val="0000FF"/>
            <w:u w:val="single"/>
            <w:rtl/>
          </w:rPr>
          <w:t>ע"פ 9074/12</w:t>
        </w:r>
      </w:hyperlink>
      <w:r w:rsidR="00734A7C">
        <w:rPr>
          <w:rFonts w:ascii="David" w:hAnsi="David" w:hint="cs"/>
          <w:rtl/>
        </w:rPr>
        <w:t xml:space="preserve"> </w:t>
      </w:r>
      <w:r w:rsidR="00734A7C">
        <w:rPr>
          <w:rFonts w:ascii="David" w:hAnsi="David" w:hint="cs"/>
          <w:b/>
          <w:bCs/>
          <w:rtl/>
        </w:rPr>
        <w:t xml:space="preserve">מדינת ישראל נ' פלוני </w:t>
      </w:r>
      <w:r w:rsidR="00734A7C">
        <w:rPr>
          <w:rFonts w:ascii="David" w:hAnsi="David" w:hint="cs"/>
          <w:rtl/>
        </w:rPr>
        <w:t xml:space="preserve">(13.06.2013): שם הורשע הנאשם על פי הודאתו בעבירות של תקיפת הגורמת חבלה של ממש בבת זוג ואיומים. דובר בהתעללות ואלימות ממושכת כלפי בת הזוג. בית המשפט המחוזי השית עליו 18 חודשי מאסר בפועל. המדינה ערערה על קלות העונש ובית המשפט העליון השית עליון 30 חודשי מאסר בפועל. </w:t>
      </w:r>
    </w:p>
    <w:p w14:paraId="0EF9970E" w14:textId="77777777" w:rsidR="00734A7C" w:rsidRPr="00A315B0" w:rsidRDefault="00734A7C" w:rsidP="00734A7C">
      <w:pPr>
        <w:pStyle w:val="a9"/>
        <w:spacing w:line="360" w:lineRule="auto"/>
        <w:rPr>
          <w:rFonts w:ascii="David" w:hAnsi="David"/>
          <w:rtl/>
        </w:rPr>
      </w:pPr>
    </w:p>
    <w:p w14:paraId="1824B98C" w14:textId="77777777" w:rsidR="00734A7C" w:rsidRDefault="00333FFE" w:rsidP="00734A7C">
      <w:pPr>
        <w:pStyle w:val="a9"/>
        <w:numPr>
          <w:ilvl w:val="0"/>
          <w:numId w:val="1"/>
        </w:numPr>
        <w:spacing w:line="360" w:lineRule="auto"/>
        <w:jc w:val="both"/>
        <w:rPr>
          <w:rFonts w:ascii="David" w:hAnsi="David"/>
        </w:rPr>
      </w:pPr>
      <w:hyperlink r:id="rId29" w:history="1">
        <w:r w:rsidRPr="00333FFE">
          <w:rPr>
            <w:rFonts w:ascii="David" w:hAnsi="David"/>
            <w:color w:val="0000FF"/>
            <w:u w:val="single"/>
            <w:rtl/>
          </w:rPr>
          <w:t>ע"פ 8360/17</w:t>
        </w:r>
      </w:hyperlink>
      <w:r w:rsidR="00734A7C" w:rsidRPr="00A315B0">
        <w:rPr>
          <w:rFonts w:ascii="David" w:hAnsi="David"/>
          <w:rtl/>
        </w:rPr>
        <w:t xml:space="preserve"> </w:t>
      </w:r>
      <w:r w:rsidR="00734A7C" w:rsidRPr="00A315B0">
        <w:rPr>
          <w:rFonts w:ascii="David" w:hAnsi="David"/>
          <w:b/>
          <w:bCs/>
          <w:rtl/>
        </w:rPr>
        <w:t>חמודה נ' מדינת ישראל</w:t>
      </w:r>
      <w:r w:rsidR="00734A7C" w:rsidRPr="00A315B0">
        <w:rPr>
          <w:rFonts w:ascii="David" w:hAnsi="David"/>
          <w:rtl/>
        </w:rPr>
        <w:t xml:space="preserve"> (22.03.2018): שם נדחה ערעורו של נאשם בבית המשפט העליון אשר הורשע על פי הודאתו במסגרת הסדר טיעון, בעבירות של איומים</w:t>
      </w:r>
      <w:r w:rsidR="00734A7C">
        <w:rPr>
          <w:rFonts w:ascii="David" w:hAnsi="David" w:hint="cs"/>
          <w:rtl/>
        </w:rPr>
        <w:t xml:space="preserve"> והושתו עליו 10 חודשי מאסר בפועל. </w:t>
      </w:r>
    </w:p>
    <w:p w14:paraId="53EEF1F2" w14:textId="77777777" w:rsidR="00734A7C" w:rsidRPr="00946969" w:rsidRDefault="00734A7C" w:rsidP="00734A7C">
      <w:pPr>
        <w:pStyle w:val="a9"/>
        <w:spacing w:line="360" w:lineRule="auto"/>
        <w:rPr>
          <w:rFonts w:ascii="David" w:hAnsi="David"/>
          <w:rtl/>
        </w:rPr>
      </w:pPr>
    </w:p>
    <w:p w14:paraId="10C4B2B3" w14:textId="77777777" w:rsidR="00734A7C" w:rsidRPr="002D59EE" w:rsidRDefault="00333FFE" w:rsidP="00734A7C">
      <w:pPr>
        <w:pStyle w:val="a9"/>
        <w:numPr>
          <w:ilvl w:val="0"/>
          <w:numId w:val="1"/>
        </w:numPr>
        <w:spacing w:line="360" w:lineRule="auto"/>
        <w:jc w:val="both"/>
        <w:rPr>
          <w:rFonts w:cs="FrankRuehl"/>
          <w:szCs w:val="28"/>
        </w:rPr>
      </w:pPr>
      <w:hyperlink r:id="rId30" w:history="1">
        <w:r w:rsidRPr="00333FFE">
          <w:rPr>
            <w:rFonts w:ascii="David" w:hAnsi="David"/>
            <w:color w:val="0000FF"/>
            <w:u w:val="single"/>
            <w:rtl/>
          </w:rPr>
          <w:t>רע"פ 1536/20</w:t>
        </w:r>
      </w:hyperlink>
      <w:r w:rsidR="00734A7C" w:rsidRPr="002D59EE">
        <w:rPr>
          <w:rFonts w:ascii="David" w:hAnsi="David" w:hint="cs"/>
          <w:rtl/>
        </w:rPr>
        <w:t xml:space="preserve"> </w:t>
      </w:r>
      <w:r w:rsidR="00734A7C">
        <w:rPr>
          <w:rFonts w:ascii="David" w:hAnsi="David" w:hint="cs"/>
          <w:b/>
          <w:bCs/>
          <w:rtl/>
        </w:rPr>
        <w:t>פלוני</w:t>
      </w:r>
      <w:r w:rsidR="00734A7C" w:rsidRPr="002D59EE">
        <w:rPr>
          <w:rFonts w:ascii="David" w:hAnsi="David" w:hint="cs"/>
          <w:b/>
          <w:bCs/>
          <w:rtl/>
        </w:rPr>
        <w:t xml:space="preserve"> נ' מדינת ישראל </w:t>
      </w:r>
      <w:r w:rsidR="00734A7C" w:rsidRPr="002D59EE">
        <w:rPr>
          <w:rFonts w:ascii="David" w:hAnsi="David" w:hint="cs"/>
          <w:rtl/>
        </w:rPr>
        <w:t xml:space="preserve">(01.03.2020): </w:t>
      </w:r>
      <w:r w:rsidR="00734A7C" w:rsidRPr="002D59EE">
        <w:rPr>
          <w:rFonts w:ascii="David" w:hAnsi="David"/>
          <w:rtl/>
        </w:rPr>
        <w:t xml:space="preserve"> </w:t>
      </w:r>
      <w:r w:rsidR="00734A7C">
        <w:rPr>
          <w:rFonts w:hint="cs"/>
          <w:rtl/>
        </w:rPr>
        <w:t xml:space="preserve">שם </w:t>
      </w:r>
      <w:r w:rsidR="00734A7C">
        <w:rPr>
          <w:rtl/>
        </w:rPr>
        <w:t xml:space="preserve">הורשע </w:t>
      </w:r>
      <w:r w:rsidR="00734A7C">
        <w:rPr>
          <w:rFonts w:hint="cs"/>
          <w:rtl/>
        </w:rPr>
        <w:t>הנאשם</w:t>
      </w:r>
      <w:r w:rsidR="00734A7C">
        <w:rPr>
          <w:rtl/>
        </w:rPr>
        <w:t xml:space="preserve"> על פי הודאתו בביצוע עבירות תקיפה ואיומים כלפי </w:t>
      </w:r>
      <w:r w:rsidR="00734A7C">
        <w:rPr>
          <w:rFonts w:hint="cs"/>
          <w:rtl/>
        </w:rPr>
        <w:t xml:space="preserve">רעייתו </w:t>
      </w:r>
      <w:r w:rsidR="00734A7C">
        <w:rPr>
          <w:rtl/>
        </w:rPr>
        <w:t xml:space="preserve">בשלושה אירועים שונים המתוארים בכתב האישום </w:t>
      </w:r>
      <w:r w:rsidR="00734A7C" w:rsidRPr="002D59EE">
        <w:rPr>
          <w:rFonts w:ascii="David" w:hAnsi="David"/>
          <w:rtl/>
        </w:rPr>
        <w:t>המתוקן</w:t>
      </w:r>
      <w:r w:rsidR="00734A7C">
        <w:rPr>
          <w:rFonts w:ascii="David" w:hAnsi="David"/>
          <w:rtl/>
        </w:rPr>
        <w:t xml:space="preserve">. בית </w:t>
      </w:r>
      <w:r w:rsidR="00734A7C" w:rsidRPr="002D59EE">
        <w:rPr>
          <w:rFonts w:ascii="David" w:hAnsi="David"/>
          <w:rtl/>
        </w:rPr>
        <w:t xml:space="preserve">משפט השלום </w:t>
      </w:r>
      <w:r w:rsidR="00734A7C">
        <w:rPr>
          <w:rFonts w:ascii="David" w:hAnsi="David" w:hint="cs"/>
          <w:rtl/>
        </w:rPr>
        <w:t>גזר</w:t>
      </w:r>
      <w:r w:rsidR="00734A7C">
        <w:rPr>
          <w:rFonts w:ascii="David" w:hAnsi="David"/>
          <w:rtl/>
        </w:rPr>
        <w:t xml:space="preserve"> על</w:t>
      </w:r>
      <w:r w:rsidR="00734A7C">
        <w:rPr>
          <w:rFonts w:ascii="David" w:hAnsi="David" w:hint="cs"/>
          <w:rtl/>
        </w:rPr>
        <w:t>יו</w:t>
      </w:r>
      <w:r w:rsidR="00734A7C">
        <w:rPr>
          <w:rFonts w:ascii="David" w:hAnsi="David"/>
          <w:rtl/>
        </w:rPr>
        <w:t xml:space="preserve"> </w:t>
      </w:r>
      <w:r w:rsidR="00734A7C">
        <w:rPr>
          <w:rFonts w:ascii="David" w:hAnsi="David" w:hint="cs"/>
          <w:rtl/>
        </w:rPr>
        <w:t>12 חודשי מאסר בפועל. ערעוריו של הנאשם לבית המשפט המחוזי ולבית המשפט העליון נדחו.</w:t>
      </w:r>
    </w:p>
    <w:p w14:paraId="65083213" w14:textId="77777777" w:rsidR="00734A7C" w:rsidRPr="002D59EE" w:rsidRDefault="00734A7C" w:rsidP="00734A7C">
      <w:pPr>
        <w:pStyle w:val="a9"/>
        <w:spacing w:line="360" w:lineRule="auto"/>
        <w:jc w:val="both"/>
        <w:rPr>
          <w:rFonts w:cs="FrankRuehl"/>
          <w:szCs w:val="28"/>
          <w:rtl/>
        </w:rPr>
      </w:pPr>
    </w:p>
    <w:p w14:paraId="0675F3D3" w14:textId="77777777" w:rsidR="00734A7C" w:rsidRDefault="00734A7C" w:rsidP="00734A7C">
      <w:pPr>
        <w:spacing w:line="360" w:lineRule="auto"/>
        <w:ind w:left="720" w:hanging="720"/>
        <w:jc w:val="both"/>
        <w:rPr>
          <w:rtl/>
        </w:rPr>
      </w:pPr>
      <w:r>
        <w:rPr>
          <w:rFonts w:hint="cs"/>
          <w:rtl/>
        </w:rPr>
        <w:t>11.</w:t>
      </w:r>
      <w:r>
        <w:rPr>
          <w:rFonts w:hint="cs"/>
          <w:rtl/>
        </w:rPr>
        <w:tab/>
        <w:t xml:space="preserve">לגבי תסקיר שירות המבחן טענה המדינה כי מהתסקיר עולה שהנאשם מתקשה להכיר בחלקו באירועי חייו השונים ונוטה להשליך את האחריות לאירועים על גורמים חיצוניים ועל כן לא ניתנה המלצה שיקומית. </w:t>
      </w:r>
    </w:p>
    <w:p w14:paraId="76178EDC" w14:textId="77777777" w:rsidR="00734A7C" w:rsidRDefault="00734A7C" w:rsidP="00734A7C">
      <w:pPr>
        <w:spacing w:line="360" w:lineRule="auto"/>
        <w:ind w:left="720" w:hanging="720"/>
        <w:jc w:val="both"/>
        <w:rPr>
          <w:rtl/>
        </w:rPr>
      </w:pPr>
    </w:p>
    <w:p w14:paraId="00D08A62" w14:textId="77777777" w:rsidR="00734A7C" w:rsidRDefault="00734A7C" w:rsidP="00734A7C">
      <w:pPr>
        <w:spacing w:line="360" w:lineRule="auto"/>
        <w:ind w:left="720" w:hanging="720"/>
        <w:jc w:val="both"/>
        <w:rPr>
          <w:rtl/>
        </w:rPr>
      </w:pPr>
      <w:r>
        <w:rPr>
          <w:rFonts w:hint="cs"/>
          <w:rtl/>
        </w:rPr>
        <w:t>12.</w:t>
      </w:r>
      <w:r>
        <w:rPr>
          <w:rtl/>
        </w:rPr>
        <w:tab/>
      </w:r>
      <w:r>
        <w:rPr>
          <w:rFonts w:hint="cs"/>
          <w:rtl/>
        </w:rPr>
        <w:t xml:space="preserve">לבסוף טענה המדינה כי מדובר בנאשם בן 34, בעל עבר פלילי (5 הרשעות קודמות) ובדגש על האישית של הנאשם והרתעת הרבים בעבירות מסוג נשק ואלימות במשפחה יש לגזור על הנאשם עונש מאסר בפועל מאחורי סורג ובריח באמצע חלקם האמצעי - עליון של המתחמים שהוצגו, מאסר מותנה, קנס, חילוט הנשק ופיצויים למתלוננת. </w:t>
      </w:r>
    </w:p>
    <w:p w14:paraId="5B5979D6" w14:textId="77777777" w:rsidR="00734A7C" w:rsidRDefault="00734A7C" w:rsidP="00734A7C">
      <w:pPr>
        <w:spacing w:line="360" w:lineRule="auto"/>
        <w:ind w:left="720" w:hanging="720"/>
        <w:jc w:val="both"/>
        <w:rPr>
          <w:rtl/>
        </w:rPr>
      </w:pPr>
    </w:p>
    <w:p w14:paraId="12A3F557" w14:textId="77777777" w:rsidR="00734A7C" w:rsidRDefault="00734A7C" w:rsidP="00734A7C">
      <w:pPr>
        <w:spacing w:line="360" w:lineRule="auto"/>
        <w:ind w:left="720" w:hanging="720"/>
        <w:jc w:val="both"/>
        <w:rPr>
          <w:b/>
          <w:bCs/>
          <w:u w:val="single"/>
          <w:rtl/>
        </w:rPr>
      </w:pPr>
      <w:r>
        <w:rPr>
          <w:rFonts w:hint="cs"/>
          <w:b/>
          <w:bCs/>
          <w:u w:val="single"/>
          <w:rtl/>
        </w:rPr>
        <w:t>טיעוני ההגנה</w:t>
      </w:r>
    </w:p>
    <w:p w14:paraId="3707CD71" w14:textId="77777777" w:rsidR="00734A7C" w:rsidRPr="00C75772" w:rsidRDefault="00734A7C" w:rsidP="00734A7C">
      <w:pPr>
        <w:spacing w:line="360" w:lineRule="auto"/>
        <w:ind w:left="720" w:hanging="720"/>
        <w:jc w:val="both"/>
        <w:rPr>
          <w:b/>
          <w:bCs/>
          <w:u w:val="single"/>
          <w:rtl/>
        </w:rPr>
      </w:pPr>
    </w:p>
    <w:p w14:paraId="416142CA" w14:textId="77777777" w:rsidR="00734A7C" w:rsidRDefault="00734A7C" w:rsidP="00734A7C">
      <w:pPr>
        <w:spacing w:line="360" w:lineRule="auto"/>
        <w:ind w:left="720" w:hanging="720"/>
        <w:jc w:val="both"/>
        <w:rPr>
          <w:rtl/>
        </w:rPr>
      </w:pPr>
      <w:r>
        <w:rPr>
          <w:rFonts w:hint="cs"/>
          <w:rtl/>
        </w:rPr>
        <w:t>13.</w:t>
      </w:r>
      <w:r>
        <w:rPr>
          <w:rFonts w:hint="cs"/>
          <w:rtl/>
        </w:rPr>
        <w:tab/>
        <w:t>לטובת הנאשם העידו מעבידו ושני עמיתים. עמיתיו טענו לרצף אירועים אלימים במועדון בו עבד הנאשם שהיוו איום כלפיו. מעבידו מסר שמדובר בעובד מסור ואחראי.</w:t>
      </w:r>
    </w:p>
    <w:p w14:paraId="4B4C17F3" w14:textId="77777777" w:rsidR="00734A7C" w:rsidRDefault="00734A7C" w:rsidP="00734A7C">
      <w:pPr>
        <w:spacing w:line="360" w:lineRule="auto"/>
        <w:ind w:left="720" w:hanging="720"/>
        <w:jc w:val="both"/>
        <w:rPr>
          <w:rtl/>
        </w:rPr>
      </w:pPr>
    </w:p>
    <w:p w14:paraId="413F9394" w14:textId="77777777" w:rsidR="00734A7C" w:rsidRDefault="00734A7C" w:rsidP="00734A7C">
      <w:pPr>
        <w:spacing w:line="360" w:lineRule="auto"/>
        <w:ind w:left="720" w:hanging="720"/>
        <w:jc w:val="both"/>
        <w:rPr>
          <w:rtl/>
        </w:rPr>
      </w:pPr>
      <w:r>
        <w:rPr>
          <w:rFonts w:hint="cs"/>
          <w:rtl/>
        </w:rPr>
        <w:t>14.</w:t>
      </w:r>
      <w:r>
        <w:rPr>
          <w:rFonts w:hint="cs"/>
          <w:rtl/>
        </w:rPr>
        <w:tab/>
        <w:t xml:space="preserve">ב"כ הנאשם טען בקשר לרכיב התכנון כי הנאשם אכן הצטייד באקדח אך כל התכנון קשור לעצם ההצטיידות ולא לשם הוצאה לפועל של תכנית עבריינית. נטען כי הנאשם הצטייד באקדח כדי למנוע מצב בו הוא יפגע מפני הרוחשים מזימות כנגדו ולכן לא היה צפוי נזק. </w:t>
      </w:r>
    </w:p>
    <w:p w14:paraId="3F0D677D" w14:textId="77777777" w:rsidR="00734A7C" w:rsidRDefault="00734A7C" w:rsidP="00734A7C">
      <w:pPr>
        <w:spacing w:line="360" w:lineRule="auto"/>
        <w:ind w:left="720" w:hanging="720"/>
        <w:jc w:val="both"/>
        <w:rPr>
          <w:rtl/>
        </w:rPr>
      </w:pPr>
      <w:r>
        <w:rPr>
          <w:rtl/>
        </w:rPr>
        <w:tab/>
      </w:r>
      <w:r>
        <w:rPr>
          <w:rFonts w:hint="cs"/>
          <w:rtl/>
        </w:rPr>
        <w:t>נטען כי הנאשם לא עשה שימוש באקדח ולא בדק את תקינתו.</w:t>
      </w:r>
    </w:p>
    <w:p w14:paraId="0047EE45" w14:textId="77777777" w:rsidR="00734A7C" w:rsidRDefault="00734A7C" w:rsidP="00734A7C">
      <w:pPr>
        <w:spacing w:line="360" w:lineRule="auto"/>
        <w:ind w:left="720" w:hanging="720"/>
        <w:jc w:val="both"/>
        <w:rPr>
          <w:rtl/>
        </w:rPr>
      </w:pPr>
    </w:p>
    <w:p w14:paraId="628C87F5" w14:textId="77777777" w:rsidR="00734A7C" w:rsidRDefault="00734A7C" w:rsidP="00734A7C">
      <w:pPr>
        <w:spacing w:line="360" w:lineRule="auto"/>
        <w:ind w:left="720" w:hanging="720"/>
        <w:jc w:val="both"/>
        <w:rPr>
          <w:rtl/>
        </w:rPr>
      </w:pPr>
      <w:r>
        <w:rPr>
          <w:rFonts w:hint="cs"/>
          <w:rtl/>
        </w:rPr>
        <w:t>15.</w:t>
      </w:r>
      <w:r>
        <w:rPr>
          <w:rtl/>
        </w:rPr>
        <w:tab/>
      </w:r>
      <w:r>
        <w:rPr>
          <w:rFonts w:hint="cs"/>
          <w:rtl/>
        </w:rPr>
        <w:t xml:space="preserve">הסנגור טען בקשר לנסיבות שהובילו את הנאשם לבצע את העבירה, כי הנאשם חש איום ממשי על חייו, ובהקשר הזה הסתמך הסנגור על עדי האופי אשר העידו על אירועים שקרו לנאשם לפני מעצרו ושבגללם הנאשם חש מאוים. </w:t>
      </w:r>
    </w:p>
    <w:p w14:paraId="4448B95E" w14:textId="77777777" w:rsidR="00734A7C" w:rsidRDefault="00734A7C" w:rsidP="00734A7C">
      <w:pPr>
        <w:spacing w:line="360" w:lineRule="auto"/>
        <w:ind w:left="720" w:hanging="720"/>
        <w:jc w:val="both"/>
        <w:rPr>
          <w:rtl/>
        </w:rPr>
      </w:pPr>
    </w:p>
    <w:p w14:paraId="34FC1A93" w14:textId="77777777" w:rsidR="00734A7C" w:rsidRDefault="00734A7C" w:rsidP="00734A7C">
      <w:pPr>
        <w:spacing w:line="360" w:lineRule="auto"/>
        <w:ind w:left="720" w:hanging="720"/>
        <w:jc w:val="both"/>
        <w:rPr>
          <w:rtl/>
        </w:rPr>
      </w:pPr>
      <w:r>
        <w:rPr>
          <w:rFonts w:hint="cs"/>
          <w:rtl/>
        </w:rPr>
        <w:t>16.</w:t>
      </w:r>
      <w:r>
        <w:rPr>
          <w:rFonts w:hint="cs"/>
          <w:rtl/>
        </w:rPr>
        <w:tab/>
        <w:t xml:space="preserve">הסנגור טען שהנאשם נטל אחריות והודה במעשים ויש לראות עובדה זאת כעבודה לזכותו. </w:t>
      </w:r>
    </w:p>
    <w:p w14:paraId="4694418F" w14:textId="77777777" w:rsidR="00734A7C" w:rsidRDefault="00734A7C" w:rsidP="00734A7C">
      <w:pPr>
        <w:spacing w:line="360" w:lineRule="auto"/>
        <w:ind w:left="720" w:hanging="720"/>
        <w:jc w:val="both"/>
        <w:rPr>
          <w:rtl/>
        </w:rPr>
      </w:pPr>
    </w:p>
    <w:p w14:paraId="40A3E1B7" w14:textId="77777777" w:rsidR="00734A7C" w:rsidRDefault="00734A7C" w:rsidP="00734A7C">
      <w:pPr>
        <w:spacing w:line="360" w:lineRule="auto"/>
        <w:ind w:left="720" w:hanging="720"/>
        <w:jc w:val="both"/>
        <w:rPr>
          <w:rtl/>
        </w:rPr>
      </w:pPr>
      <w:r>
        <w:rPr>
          <w:rFonts w:hint="cs"/>
          <w:rtl/>
        </w:rPr>
        <w:t>17.</w:t>
      </w:r>
      <w:r>
        <w:rPr>
          <w:rtl/>
        </w:rPr>
        <w:tab/>
      </w:r>
      <w:r>
        <w:rPr>
          <w:rFonts w:hint="cs"/>
          <w:rtl/>
        </w:rPr>
        <w:t xml:space="preserve">בקשר לנסיבות חייו טען הסנגור כי מדובר בנאשם שעלה לארץ מרוסיה, הוריו נעדרו שעות מרובות מהבית עת היה קטין. אמו של הנאשם צורכת אלכוהול. </w:t>
      </w:r>
    </w:p>
    <w:p w14:paraId="6A17105B" w14:textId="77777777" w:rsidR="00734A7C" w:rsidRDefault="00734A7C" w:rsidP="00734A7C">
      <w:pPr>
        <w:spacing w:line="360" w:lineRule="auto"/>
        <w:ind w:left="720" w:hanging="720"/>
        <w:jc w:val="both"/>
        <w:rPr>
          <w:rtl/>
        </w:rPr>
      </w:pPr>
      <w:r>
        <w:rPr>
          <w:rtl/>
        </w:rPr>
        <w:tab/>
      </w:r>
      <w:r>
        <w:rPr>
          <w:rFonts w:hint="cs"/>
          <w:rtl/>
        </w:rPr>
        <w:t xml:space="preserve">הסנגור טען שהנאשם איבד את חברו הטוב בגיל 15, אירוע אשר חווה כאירוע טראומטי, ולאחר אירוע זה החלה הידרדרות במצבו ברמה ההתנהגותית אשר באה לידיי ביטוי באימפולסיביות וקשיי ויסות. נטען בנוסף, כי הנאשם חווה התנהגות ביריונית מצד נערים אחרים בעקבות מוצאו. </w:t>
      </w:r>
    </w:p>
    <w:p w14:paraId="11DB5BF6" w14:textId="77777777" w:rsidR="00734A7C" w:rsidRDefault="00734A7C" w:rsidP="00734A7C">
      <w:pPr>
        <w:spacing w:line="360" w:lineRule="auto"/>
        <w:ind w:left="720" w:hanging="720"/>
        <w:jc w:val="both"/>
        <w:rPr>
          <w:rtl/>
        </w:rPr>
      </w:pPr>
    </w:p>
    <w:p w14:paraId="2763AB3C" w14:textId="77777777" w:rsidR="00734A7C" w:rsidRDefault="00734A7C" w:rsidP="00734A7C">
      <w:pPr>
        <w:spacing w:line="360" w:lineRule="auto"/>
        <w:ind w:left="720" w:hanging="720"/>
        <w:jc w:val="both"/>
        <w:rPr>
          <w:rtl/>
        </w:rPr>
      </w:pPr>
      <w:r>
        <w:rPr>
          <w:rFonts w:hint="cs"/>
          <w:rtl/>
        </w:rPr>
        <w:t>18.</w:t>
      </w:r>
      <w:r>
        <w:rPr>
          <w:rFonts w:hint="cs"/>
          <w:rtl/>
        </w:rPr>
        <w:tab/>
        <w:t>בקשר לתסקיר שירות המבחן, נטען כי מהתסקיר עולה כי הנאשם הביע חרטה על מעשיו.</w:t>
      </w:r>
    </w:p>
    <w:p w14:paraId="35ACDF7C" w14:textId="77777777" w:rsidR="00734A7C" w:rsidRDefault="00734A7C" w:rsidP="00734A7C">
      <w:pPr>
        <w:spacing w:line="360" w:lineRule="auto"/>
        <w:ind w:left="720" w:hanging="720"/>
        <w:jc w:val="both"/>
        <w:rPr>
          <w:rtl/>
        </w:rPr>
      </w:pPr>
      <w:r>
        <w:rPr>
          <w:rtl/>
        </w:rPr>
        <w:tab/>
      </w:r>
      <w:r>
        <w:rPr>
          <w:rFonts w:hint="cs"/>
          <w:rtl/>
        </w:rPr>
        <w:t xml:space="preserve">הסנגור טען כי לחובת הנאשם הרשעה אחרונה 5 שנים עובר לאישום הנוכחי, וכי בין התקופות שמר על אורח חיים תקין. </w:t>
      </w:r>
    </w:p>
    <w:p w14:paraId="440664D9" w14:textId="77777777" w:rsidR="00734A7C" w:rsidRDefault="00734A7C" w:rsidP="00734A7C">
      <w:pPr>
        <w:spacing w:line="360" w:lineRule="auto"/>
        <w:ind w:left="720" w:hanging="720"/>
        <w:jc w:val="both"/>
        <w:rPr>
          <w:rtl/>
        </w:rPr>
      </w:pPr>
      <w:r>
        <w:rPr>
          <w:rtl/>
        </w:rPr>
        <w:tab/>
      </w:r>
    </w:p>
    <w:p w14:paraId="4457B9A4" w14:textId="77777777" w:rsidR="00734A7C" w:rsidRDefault="00734A7C" w:rsidP="00734A7C">
      <w:pPr>
        <w:spacing w:line="360" w:lineRule="auto"/>
        <w:ind w:left="720" w:hanging="720"/>
        <w:jc w:val="both"/>
        <w:rPr>
          <w:rtl/>
        </w:rPr>
      </w:pPr>
      <w:r>
        <w:rPr>
          <w:rFonts w:hint="cs"/>
          <w:rtl/>
        </w:rPr>
        <w:t>19.</w:t>
      </w:r>
      <w:r>
        <w:rPr>
          <w:rtl/>
        </w:rPr>
        <w:tab/>
      </w:r>
      <w:r>
        <w:rPr>
          <w:rFonts w:hint="cs"/>
          <w:rtl/>
        </w:rPr>
        <w:t>באשר למדיניות הענישה הוזכרה הפסיקה כדלקמן:</w:t>
      </w:r>
    </w:p>
    <w:p w14:paraId="74799620" w14:textId="77777777" w:rsidR="00734A7C" w:rsidRDefault="00734A7C" w:rsidP="00734A7C">
      <w:pPr>
        <w:spacing w:line="360" w:lineRule="auto"/>
        <w:ind w:left="720" w:hanging="720"/>
        <w:jc w:val="both"/>
        <w:rPr>
          <w:rtl/>
        </w:rPr>
      </w:pPr>
    </w:p>
    <w:p w14:paraId="778149C0" w14:textId="77777777" w:rsidR="00734A7C" w:rsidRDefault="00333FFE" w:rsidP="00734A7C">
      <w:pPr>
        <w:pStyle w:val="a9"/>
        <w:numPr>
          <w:ilvl w:val="0"/>
          <w:numId w:val="1"/>
        </w:numPr>
        <w:tabs>
          <w:tab w:val="left" w:pos="800"/>
        </w:tabs>
        <w:spacing w:line="360" w:lineRule="auto"/>
        <w:jc w:val="both"/>
      </w:pPr>
      <w:hyperlink r:id="rId31" w:history="1">
        <w:r w:rsidRPr="00333FFE">
          <w:rPr>
            <w:rFonts w:ascii="David" w:hAnsi="David"/>
            <w:color w:val="0000FF"/>
            <w:u w:val="single"/>
            <w:rtl/>
          </w:rPr>
          <w:t>ע"פ 4945/13</w:t>
        </w:r>
      </w:hyperlink>
      <w:r w:rsidR="00734A7C" w:rsidRPr="00AE5095">
        <w:rPr>
          <w:rFonts w:ascii="David" w:hAnsi="David"/>
          <w:rtl/>
        </w:rPr>
        <w:t xml:space="preserve"> </w:t>
      </w:r>
      <w:r w:rsidR="00734A7C" w:rsidRPr="00AE5095">
        <w:rPr>
          <w:rFonts w:ascii="David" w:hAnsi="David"/>
          <w:b/>
          <w:bCs/>
          <w:rtl/>
        </w:rPr>
        <w:t xml:space="preserve">מדינת ישראל נ' עבד אלכרים סלמאן </w:t>
      </w:r>
      <w:r w:rsidR="00734A7C" w:rsidRPr="00AE5095">
        <w:rPr>
          <w:rFonts w:ascii="David" w:hAnsi="David"/>
          <w:rtl/>
        </w:rPr>
        <w:t>(19.1.2014):</w:t>
      </w:r>
      <w:r w:rsidR="00734A7C" w:rsidRPr="00AE5095">
        <w:rPr>
          <w:rFonts w:ascii="David" w:hAnsi="David" w:hint="cs"/>
          <w:rtl/>
        </w:rPr>
        <w:t xml:space="preserve">שם </w:t>
      </w:r>
      <w:r w:rsidR="00734A7C" w:rsidRPr="00AE5095">
        <w:rPr>
          <w:rFonts w:ascii="David" w:hAnsi="David"/>
          <w:rtl/>
        </w:rPr>
        <w:t xml:space="preserve">הורשע </w:t>
      </w:r>
      <w:r w:rsidR="00734A7C" w:rsidRPr="00AE5095">
        <w:rPr>
          <w:rFonts w:ascii="David" w:hAnsi="David" w:hint="cs"/>
          <w:rtl/>
        </w:rPr>
        <w:t xml:space="preserve">הנאשם בבית המשפט המחוזי </w:t>
      </w:r>
      <w:r w:rsidR="00734A7C" w:rsidRPr="00AE5095">
        <w:rPr>
          <w:rFonts w:ascii="David" w:hAnsi="David"/>
          <w:rtl/>
        </w:rPr>
        <w:t>בעבירות של רכישת, החזקת, נשיאת והובלת נשק ותחמושת</w:t>
      </w:r>
      <w:r w:rsidR="00734A7C" w:rsidRPr="00AE5095">
        <w:rPr>
          <w:rFonts w:ascii="David" w:hAnsi="David" w:hint="cs"/>
          <w:rtl/>
        </w:rPr>
        <w:t>. בית המשפט העליון קבע כי</w:t>
      </w:r>
      <w:r w:rsidR="00734A7C" w:rsidRPr="00AE5095">
        <w:rPr>
          <w:rFonts w:ascii="David" w:hAnsi="David"/>
          <w:rtl/>
        </w:rPr>
        <w:t xml:space="preserve"> מתחם העונש ההולם הוא 12-36 חודשי מאסר בפועל. </w:t>
      </w:r>
      <w:r w:rsidR="00734A7C">
        <w:rPr>
          <w:rFonts w:ascii="David" w:hAnsi="David" w:hint="cs"/>
          <w:rtl/>
        </w:rPr>
        <w:t>נטען ששם היה מדובר בנשק מסוג קרלו (נשק התקפי).</w:t>
      </w:r>
    </w:p>
    <w:p w14:paraId="35F73BF8" w14:textId="77777777" w:rsidR="00734A7C" w:rsidRDefault="00734A7C" w:rsidP="00734A7C">
      <w:pPr>
        <w:pStyle w:val="a9"/>
        <w:tabs>
          <w:tab w:val="left" w:pos="800"/>
        </w:tabs>
        <w:spacing w:line="360" w:lineRule="auto"/>
        <w:ind w:left="360"/>
        <w:jc w:val="both"/>
      </w:pPr>
    </w:p>
    <w:p w14:paraId="68C45E40" w14:textId="77777777" w:rsidR="00734A7C" w:rsidRDefault="00333FFE" w:rsidP="00734A7C">
      <w:pPr>
        <w:pStyle w:val="1"/>
        <w:numPr>
          <w:ilvl w:val="0"/>
          <w:numId w:val="1"/>
        </w:numPr>
        <w:spacing w:line="360" w:lineRule="auto"/>
        <w:jc w:val="both"/>
      </w:pPr>
      <w:hyperlink r:id="rId32" w:history="1">
        <w:r w:rsidRPr="00333FFE">
          <w:rPr>
            <w:color w:val="0000FF"/>
            <w:u w:val="single"/>
            <w:rtl/>
          </w:rPr>
          <w:t>ת"פ 9983-05-16</w:t>
        </w:r>
      </w:hyperlink>
      <w:r w:rsidR="00734A7C">
        <w:rPr>
          <w:rFonts w:hint="cs"/>
          <w:rtl/>
        </w:rPr>
        <w:t xml:space="preserve"> </w:t>
      </w:r>
      <w:r w:rsidR="00734A7C">
        <w:rPr>
          <w:rFonts w:hint="cs"/>
          <w:b/>
          <w:bCs/>
          <w:rtl/>
        </w:rPr>
        <w:t xml:space="preserve">מדינת ישראל נ' בסל </w:t>
      </w:r>
      <w:r w:rsidR="00734A7C">
        <w:rPr>
          <w:rFonts w:hint="cs"/>
          <w:rtl/>
        </w:rPr>
        <w:t xml:space="preserve">(21.11.2016): </w:t>
      </w:r>
      <w:r w:rsidR="00734A7C">
        <w:rPr>
          <w:rtl/>
        </w:rPr>
        <w:t>הנאשם הודה במסגרת הסדר טיעון חלקי בעבירה של החזקה ונשיאת נשק</w:t>
      </w:r>
      <w:r w:rsidR="00734A7C">
        <w:rPr>
          <w:rFonts w:hint="cs"/>
          <w:rtl/>
        </w:rPr>
        <w:t xml:space="preserve">. נקבע </w:t>
      </w:r>
      <w:r w:rsidR="00734A7C">
        <w:rPr>
          <w:rtl/>
        </w:rPr>
        <w:t xml:space="preserve">שמתחם העונש ההולם נמצא בין 9 חודשי מאסר בפועל עד 3 שנות מאסר בפועל </w:t>
      </w:r>
      <w:r w:rsidR="00734A7C">
        <w:rPr>
          <w:rFonts w:hint="cs"/>
          <w:rtl/>
        </w:rPr>
        <w:t xml:space="preserve">ונגזרו </w:t>
      </w:r>
      <w:r w:rsidR="00734A7C">
        <w:rPr>
          <w:rtl/>
        </w:rPr>
        <w:t>12 חודשי מאסר בפועל</w:t>
      </w:r>
      <w:r w:rsidR="00734A7C">
        <w:rPr>
          <w:rFonts w:hint="cs"/>
          <w:rtl/>
        </w:rPr>
        <w:t xml:space="preserve">. </w:t>
      </w:r>
    </w:p>
    <w:p w14:paraId="5060B030" w14:textId="77777777" w:rsidR="00734A7C" w:rsidRDefault="00734A7C" w:rsidP="00734A7C">
      <w:pPr>
        <w:pStyle w:val="1"/>
        <w:spacing w:line="360" w:lineRule="auto"/>
        <w:jc w:val="both"/>
      </w:pPr>
    </w:p>
    <w:p w14:paraId="285413B4" w14:textId="77777777" w:rsidR="00734A7C" w:rsidRPr="008B77E5" w:rsidRDefault="00333FFE" w:rsidP="00734A7C">
      <w:pPr>
        <w:pStyle w:val="a9"/>
        <w:numPr>
          <w:ilvl w:val="0"/>
          <w:numId w:val="1"/>
        </w:numPr>
        <w:spacing w:line="360" w:lineRule="auto"/>
        <w:jc w:val="both"/>
        <w:rPr>
          <w:rStyle w:val="aa"/>
          <w:b w:val="0"/>
          <w:bCs w:val="0"/>
        </w:rPr>
      </w:pPr>
      <w:hyperlink r:id="rId33" w:history="1">
        <w:r w:rsidRPr="00333FFE">
          <w:rPr>
            <w:rStyle w:val="aa"/>
            <w:color w:val="0000FF"/>
            <w:u w:val="single"/>
            <w:rtl/>
          </w:rPr>
          <w:t>ע"פ 2044/11</w:t>
        </w:r>
      </w:hyperlink>
      <w:r w:rsidR="00734A7C" w:rsidRPr="008B77E5">
        <w:rPr>
          <w:rStyle w:val="aa"/>
          <w:rFonts w:hint="cs"/>
          <w:rtl/>
        </w:rPr>
        <w:t xml:space="preserve"> מדינת ישראל נ' גנאדי (07.07.2011): נאשם הורשע על פי הודאתו בעבירות של נשיאת </w:t>
      </w:r>
      <w:r w:rsidR="00734A7C" w:rsidRPr="008B77E5">
        <w:rPr>
          <w:rStyle w:val="aa"/>
          <w:rtl/>
        </w:rPr>
        <w:t>נשק שלא כדין ובהחזקת נשק שלא כדין</w:t>
      </w:r>
      <w:r w:rsidR="00734A7C" w:rsidRPr="008B77E5">
        <w:rPr>
          <w:rStyle w:val="aa"/>
          <w:rFonts w:hint="cs"/>
          <w:rtl/>
        </w:rPr>
        <w:t xml:space="preserve">. </w:t>
      </w:r>
      <w:r w:rsidR="00734A7C">
        <w:rPr>
          <w:rStyle w:val="aa"/>
          <w:rFonts w:hint="cs"/>
          <w:rtl/>
        </w:rPr>
        <w:t>בית המשפט המחוזי גזר על הנאשם ש</w:t>
      </w:r>
      <w:r w:rsidR="00734A7C" w:rsidRPr="008B77E5">
        <w:rPr>
          <w:rStyle w:val="aa"/>
          <w:rFonts w:hint="cs"/>
          <w:rtl/>
        </w:rPr>
        <w:t>שה</w:t>
      </w:r>
      <w:r w:rsidR="00734A7C" w:rsidRPr="008B77E5">
        <w:rPr>
          <w:rStyle w:val="aa"/>
          <w:rtl/>
        </w:rPr>
        <w:t xml:space="preserve"> חודשי מאסר שירוצו בעבודות שירות</w:t>
      </w:r>
      <w:r w:rsidR="00734A7C">
        <w:rPr>
          <w:rStyle w:val="aa"/>
          <w:rFonts w:hint="cs"/>
          <w:rtl/>
        </w:rPr>
        <w:t>. הערעור</w:t>
      </w:r>
      <w:r w:rsidR="00734A7C" w:rsidRPr="008B77E5">
        <w:rPr>
          <w:rStyle w:val="aa"/>
          <w:rFonts w:hint="cs"/>
          <w:rtl/>
        </w:rPr>
        <w:t xml:space="preserve"> </w:t>
      </w:r>
      <w:r w:rsidR="00734A7C">
        <w:rPr>
          <w:rStyle w:val="aa"/>
          <w:rFonts w:hint="cs"/>
          <w:rtl/>
        </w:rPr>
        <w:t>התקבל והוטלו</w:t>
      </w:r>
      <w:r w:rsidR="00734A7C" w:rsidRPr="008B77E5">
        <w:rPr>
          <w:rStyle w:val="aa"/>
          <w:rFonts w:hint="cs"/>
          <w:rtl/>
        </w:rPr>
        <w:t xml:space="preserve"> </w:t>
      </w:r>
      <w:r w:rsidR="00734A7C" w:rsidRPr="008B77E5">
        <w:rPr>
          <w:rStyle w:val="aa"/>
          <w:rtl/>
        </w:rPr>
        <w:t>שבעה חודשים לריצוי בפועל</w:t>
      </w:r>
      <w:r w:rsidR="00734A7C">
        <w:rPr>
          <w:rStyle w:val="aa"/>
          <w:rFonts w:hint="cs"/>
          <w:rtl/>
        </w:rPr>
        <w:t xml:space="preserve">. </w:t>
      </w:r>
    </w:p>
    <w:p w14:paraId="3C84BA4E" w14:textId="77777777" w:rsidR="00734A7C" w:rsidRDefault="00734A7C" w:rsidP="00734A7C">
      <w:pPr>
        <w:spacing w:line="360" w:lineRule="auto"/>
        <w:jc w:val="both"/>
      </w:pPr>
    </w:p>
    <w:p w14:paraId="4AEC1AFA" w14:textId="77777777" w:rsidR="00734A7C" w:rsidRDefault="00333FFE" w:rsidP="00734A7C">
      <w:pPr>
        <w:pStyle w:val="a9"/>
        <w:numPr>
          <w:ilvl w:val="0"/>
          <w:numId w:val="1"/>
        </w:numPr>
        <w:spacing w:line="360" w:lineRule="auto"/>
        <w:jc w:val="both"/>
        <w:rPr>
          <w:shd w:val="clear" w:color="auto" w:fill="FFFFFF"/>
          <w:rtl/>
        </w:rPr>
      </w:pPr>
      <w:hyperlink r:id="rId34" w:history="1">
        <w:r w:rsidRPr="00333FFE">
          <w:rPr>
            <w:color w:val="0000FF"/>
            <w:u w:val="single"/>
            <w:rtl/>
          </w:rPr>
          <w:t>ע"פ 4377/16</w:t>
        </w:r>
      </w:hyperlink>
      <w:r w:rsidR="00734A7C" w:rsidRPr="008B77E5">
        <w:rPr>
          <w:rtl/>
        </w:rPr>
        <w:t xml:space="preserve"> </w:t>
      </w:r>
      <w:r w:rsidR="00734A7C" w:rsidRPr="009F5835">
        <w:rPr>
          <w:b/>
          <w:bCs/>
          <w:rtl/>
        </w:rPr>
        <w:t xml:space="preserve">רמדאן תורק נ' מדינת ישראל </w:t>
      </w:r>
      <w:r w:rsidR="00734A7C" w:rsidRPr="008B77E5">
        <w:rPr>
          <w:rtl/>
        </w:rPr>
        <w:t xml:space="preserve">(06.10.2016): </w:t>
      </w:r>
      <w:r w:rsidR="00734A7C" w:rsidRPr="009F5835">
        <w:rPr>
          <w:rFonts w:hint="cs"/>
          <w:shd w:val="clear" w:color="auto" w:fill="FFFFFF"/>
          <w:rtl/>
        </w:rPr>
        <w:t xml:space="preserve">שם נדחה ערעורו </w:t>
      </w:r>
      <w:r w:rsidR="00734A7C" w:rsidRPr="009F5835">
        <w:rPr>
          <w:shd w:val="clear" w:color="auto" w:fill="FFFFFF"/>
          <w:rtl/>
        </w:rPr>
        <w:t xml:space="preserve">במסגרתו הושתו </w:t>
      </w:r>
      <w:r w:rsidR="00734A7C" w:rsidRPr="009F5835">
        <w:rPr>
          <w:rFonts w:hint="cs"/>
          <w:shd w:val="clear" w:color="auto" w:fill="FFFFFF"/>
          <w:rtl/>
        </w:rPr>
        <w:t xml:space="preserve">על הנאשם 30 </w:t>
      </w:r>
      <w:r w:rsidR="00734A7C" w:rsidRPr="009F5835">
        <w:rPr>
          <w:shd w:val="clear" w:color="auto" w:fill="FFFFFF"/>
          <w:rtl/>
        </w:rPr>
        <w:t xml:space="preserve">חודשי מאסר בפועל ועונשים נוספים בגין הרשעתו </w:t>
      </w:r>
      <w:r w:rsidR="00734A7C" w:rsidRPr="009F5835">
        <w:rPr>
          <w:rFonts w:hint="cs"/>
          <w:shd w:val="clear" w:color="auto" w:fill="FFFFFF"/>
          <w:rtl/>
        </w:rPr>
        <w:t>על פי הודאתו</w:t>
      </w:r>
      <w:r w:rsidR="00734A7C" w:rsidRPr="009F5835">
        <w:rPr>
          <w:shd w:val="clear" w:color="auto" w:fill="FFFFFF"/>
          <w:rtl/>
        </w:rPr>
        <w:t xml:space="preserve"> בנשיאת נשק, מעשה פזיזות ורשלנות, איומים וירי באזור מגו</w:t>
      </w:r>
      <w:r w:rsidR="00734A7C" w:rsidRPr="009F5835">
        <w:rPr>
          <w:rFonts w:hint="cs"/>
          <w:shd w:val="clear" w:color="auto" w:fill="FFFFFF"/>
          <w:rtl/>
        </w:rPr>
        <w:t xml:space="preserve">רים. </w:t>
      </w:r>
    </w:p>
    <w:p w14:paraId="5ED3BE16" w14:textId="77777777" w:rsidR="00734A7C" w:rsidRPr="009F5835" w:rsidRDefault="00734A7C" w:rsidP="00734A7C">
      <w:pPr>
        <w:pStyle w:val="a9"/>
        <w:spacing w:line="360" w:lineRule="auto"/>
        <w:ind w:left="0"/>
        <w:jc w:val="both"/>
        <w:rPr>
          <w:shd w:val="clear" w:color="auto" w:fill="FFFFFF"/>
          <w:rtl/>
        </w:rPr>
      </w:pPr>
    </w:p>
    <w:p w14:paraId="7C3046F4" w14:textId="77777777" w:rsidR="00734A7C" w:rsidRDefault="00333FFE" w:rsidP="00734A7C">
      <w:pPr>
        <w:pStyle w:val="Ruller4"/>
        <w:numPr>
          <w:ilvl w:val="0"/>
          <w:numId w:val="1"/>
        </w:numPr>
        <w:spacing w:line="360" w:lineRule="auto"/>
        <w:rPr>
          <w:rtl/>
        </w:rPr>
      </w:pPr>
      <w:hyperlink r:id="rId35" w:history="1">
        <w:r w:rsidRPr="00333FFE">
          <w:rPr>
            <w:rFonts w:hint="eastAsia"/>
            <w:color w:val="0000FF"/>
            <w:u w:val="single"/>
            <w:shd w:val="clear" w:color="auto" w:fill="FFFFFF"/>
            <w:rtl/>
          </w:rPr>
          <w:t>ע</w:t>
        </w:r>
        <w:r w:rsidRPr="00333FFE">
          <w:rPr>
            <w:color w:val="0000FF"/>
            <w:u w:val="single"/>
            <w:shd w:val="clear" w:color="auto" w:fill="FFFFFF"/>
            <w:rtl/>
          </w:rPr>
          <w:t>"</w:t>
        </w:r>
        <w:r w:rsidRPr="00333FFE">
          <w:rPr>
            <w:rFonts w:hint="eastAsia"/>
            <w:color w:val="0000FF"/>
            <w:u w:val="single"/>
            <w:shd w:val="clear" w:color="auto" w:fill="FFFFFF"/>
            <w:rtl/>
          </w:rPr>
          <w:t>פ</w:t>
        </w:r>
        <w:r w:rsidRPr="00333FFE">
          <w:rPr>
            <w:color w:val="0000FF"/>
            <w:u w:val="single"/>
            <w:shd w:val="clear" w:color="auto" w:fill="FFFFFF"/>
            <w:rtl/>
          </w:rPr>
          <w:t xml:space="preserve"> 4978/19</w:t>
        </w:r>
      </w:hyperlink>
      <w:r w:rsidR="00734A7C">
        <w:rPr>
          <w:rFonts w:hint="cs"/>
          <w:shd w:val="clear" w:color="auto" w:fill="FFFFFF"/>
          <w:rtl/>
        </w:rPr>
        <w:t xml:space="preserve"> </w:t>
      </w:r>
      <w:r w:rsidR="00734A7C">
        <w:rPr>
          <w:rFonts w:hint="cs"/>
          <w:b/>
          <w:bCs/>
          <w:shd w:val="clear" w:color="auto" w:fill="FFFFFF"/>
          <w:rtl/>
        </w:rPr>
        <w:t xml:space="preserve">אבו מנסור נ' מדינת ישראל </w:t>
      </w:r>
      <w:r w:rsidR="00734A7C">
        <w:rPr>
          <w:rFonts w:hint="cs"/>
          <w:shd w:val="clear" w:color="auto" w:fill="FFFFFF"/>
          <w:rtl/>
        </w:rPr>
        <w:t xml:space="preserve">(31.07.2019): שם הורשע הנאשם </w:t>
      </w:r>
      <w:r w:rsidR="00734A7C">
        <w:rPr>
          <w:rtl/>
        </w:rPr>
        <w:t>במסגרת הסדר טיעון בעבירות של נשיאה והובלת נשק</w:t>
      </w:r>
      <w:r w:rsidR="00734A7C">
        <w:rPr>
          <w:rFonts w:hint="cs"/>
          <w:shd w:val="clear" w:color="auto" w:fill="FFFFFF"/>
          <w:rtl/>
        </w:rPr>
        <w:t xml:space="preserve">. בית המשפט המחוזי </w:t>
      </w:r>
      <w:r w:rsidR="00734A7C">
        <w:rPr>
          <w:rtl/>
        </w:rPr>
        <w:t>קבע כי מתחם העונש ההולם בעניינו של המבקש נע בין 18 ובין 36 חודשי מאסר בפועל</w:t>
      </w:r>
      <w:r w:rsidR="00734A7C">
        <w:rPr>
          <w:rFonts w:hint="cs"/>
          <w:rtl/>
        </w:rPr>
        <w:t xml:space="preserve"> וגזר עליו 18 חודשי מאסר בפועל.</w:t>
      </w:r>
    </w:p>
    <w:p w14:paraId="631EED3C" w14:textId="77777777" w:rsidR="00734A7C" w:rsidRPr="00C159DF" w:rsidRDefault="00734A7C" w:rsidP="00734A7C">
      <w:pPr>
        <w:spacing w:line="360" w:lineRule="auto"/>
      </w:pPr>
    </w:p>
    <w:p w14:paraId="347FF488" w14:textId="77777777" w:rsidR="00734A7C" w:rsidRDefault="00734A7C" w:rsidP="00734A7C">
      <w:pPr>
        <w:spacing w:line="360" w:lineRule="auto"/>
        <w:ind w:left="720" w:hanging="720"/>
        <w:jc w:val="both"/>
        <w:rPr>
          <w:rtl/>
        </w:rPr>
      </w:pPr>
      <w:r>
        <w:rPr>
          <w:rFonts w:hint="cs"/>
          <w:rtl/>
        </w:rPr>
        <w:t>20.</w:t>
      </w:r>
      <w:r>
        <w:rPr>
          <w:rFonts w:hint="cs"/>
          <w:rtl/>
        </w:rPr>
        <w:tab/>
        <w:t xml:space="preserve">באשר לעבירות הנשק טען הסנגור למתחם ענישה שינוע בין 9 -  24 חודשי מאסר וביקש למקמו ברף התחתון של העבירה. </w:t>
      </w:r>
    </w:p>
    <w:p w14:paraId="2BD4E82A" w14:textId="77777777" w:rsidR="00734A7C" w:rsidRDefault="00734A7C" w:rsidP="00734A7C">
      <w:pPr>
        <w:spacing w:line="360" w:lineRule="auto"/>
        <w:ind w:left="720" w:hanging="720"/>
        <w:jc w:val="both"/>
        <w:rPr>
          <w:rtl/>
        </w:rPr>
      </w:pPr>
    </w:p>
    <w:p w14:paraId="21DB562C" w14:textId="77777777" w:rsidR="00734A7C" w:rsidRDefault="00734A7C" w:rsidP="00734A7C">
      <w:pPr>
        <w:spacing w:line="360" w:lineRule="auto"/>
        <w:ind w:left="720" w:hanging="720"/>
        <w:jc w:val="both"/>
        <w:rPr>
          <w:rtl/>
        </w:rPr>
      </w:pPr>
      <w:r>
        <w:rPr>
          <w:rFonts w:hint="cs"/>
          <w:rtl/>
        </w:rPr>
        <w:t xml:space="preserve">21. </w:t>
      </w:r>
      <w:r>
        <w:rPr>
          <w:rtl/>
        </w:rPr>
        <w:tab/>
      </w:r>
      <w:r>
        <w:rPr>
          <w:rFonts w:hint="cs"/>
          <w:rtl/>
        </w:rPr>
        <w:t xml:space="preserve">באשר לתיק האלימות במשפחה טען הסנגור כי הנאשם לא תכנן לפגוע במתלוננת. הסנגור טען כי הדברים אירעו בצורה ספונטאנית תוך כדי מריבה בין השניים. </w:t>
      </w:r>
    </w:p>
    <w:p w14:paraId="76859153" w14:textId="77777777" w:rsidR="00734A7C" w:rsidRDefault="00734A7C" w:rsidP="00734A7C">
      <w:pPr>
        <w:spacing w:line="360" w:lineRule="auto"/>
        <w:ind w:left="720" w:hanging="720"/>
        <w:jc w:val="both"/>
        <w:rPr>
          <w:rtl/>
        </w:rPr>
      </w:pPr>
    </w:p>
    <w:p w14:paraId="7D2517F5" w14:textId="77777777" w:rsidR="00734A7C" w:rsidRDefault="00734A7C" w:rsidP="00734A7C">
      <w:pPr>
        <w:spacing w:line="360" w:lineRule="auto"/>
        <w:ind w:left="720" w:hanging="720"/>
        <w:jc w:val="both"/>
        <w:rPr>
          <w:rtl/>
        </w:rPr>
      </w:pPr>
      <w:r>
        <w:rPr>
          <w:rFonts w:hint="cs"/>
          <w:rtl/>
        </w:rPr>
        <w:t xml:space="preserve">22. </w:t>
      </w:r>
      <w:r>
        <w:rPr>
          <w:rtl/>
        </w:rPr>
        <w:tab/>
      </w:r>
      <w:r>
        <w:rPr>
          <w:rFonts w:hint="cs"/>
          <w:rtl/>
        </w:rPr>
        <w:t xml:space="preserve">הסנגור טען כי מבלי להמעיט מהמעשים המתוארים בכתב האישום, שלא נגרם נזק למתלוננת והאלימות שיוחסה לנאשם נמצאת ברף הנמוך. </w:t>
      </w:r>
    </w:p>
    <w:p w14:paraId="1315071F" w14:textId="77777777" w:rsidR="00734A7C" w:rsidRDefault="00734A7C" w:rsidP="00734A7C">
      <w:pPr>
        <w:spacing w:line="360" w:lineRule="auto"/>
        <w:ind w:left="720" w:hanging="720"/>
        <w:jc w:val="both"/>
        <w:rPr>
          <w:rtl/>
        </w:rPr>
      </w:pPr>
      <w:r>
        <w:rPr>
          <w:rtl/>
        </w:rPr>
        <w:tab/>
      </w:r>
      <w:r>
        <w:rPr>
          <w:rFonts w:hint="cs"/>
          <w:rtl/>
        </w:rPr>
        <w:t xml:space="preserve">כמו כן, טען הסנגור כי יש לזקוף לזכותו של הנאשם הודאתו בשלבים הראשונים של המשפט. </w:t>
      </w:r>
    </w:p>
    <w:p w14:paraId="28BEE025" w14:textId="77777777" w:rsidR="00734A7C" w:rsidRDefault="00734A7C" w:rsidP="00734A7C">
      <w:pPr>
        <w:spacing w:line="360" w:lineRule="auto"/>
        <w:ind w:left="720" w:hanging="720"/>
        <w:jc w:val="both"/>
        <w:rPr>
          <w:rtl/>
        </w:rPr>
      </w:pPr>
    </w:p>
    <w:p w14:paraId="3DA9A18A" w14:textId="77777777" w:rsidR="00734A7C" w:rsidRDefault="00734A7C" w:rsidP="00734A7C">
      <w:pPr>
        <w:spacing w:line="360" w:lineRule="auto"/>
        <w:ind w:left="720" w:hanging="720"/>
        <w:jc w:val="both"/>
        <w:rPr>
          <w:rtl/>
        </w:rPr>
      </w:pPr>
      <w:r>
        <w:rPr>
          <w:rFonts w:hint="cs"/>
          <w:rtl/>
        </w:rPr>
        <w:t>23.</w:t>
      </w:r>
      <w:r>
        <w:rPr>
          <w:rtl/>
        </w:rPr>
        <w:tab/>
      </w:r>
      <w:r>
        <w:rPr>
          <w:rFonts w:hint="cs"/>
          <w:rtl/>
        </w:rPr>
        <w:t>באשר למדיניות הענישה אוזכרו המקרים הבאים:</w:t>
      </w:r>
    </w:p>
    <w:p w14:paraId="2FA70A85" w14:textId="77777777" w:rsidR="00734A7C" w:rsidRDefault="00734A7C" w:rsidP="00734A7C">
      <w:pPr>
        <w:spacing w:line="360" w:lineRule="auto"/>
        <w:ind w:left="720" w:hanging="720"/>
        <w:jc w:val="both"/>
        <w:rPr>
          <w:rtl/>
        </w:rPr>
      </w:pPr>
    </w:p>
    <w:p w14:paraId="364B4C8F" w14:textId="77777777" w:rsidR="00734A7C" w:rsidRDefault="00333FFE" w:rsidP="00734A7C">
      <w:pPr>
        <w:pStyle w:val="a9"/>
        <w:numPr>
          <w:ilvl w:val="0"/>
          <w:numId w:val="1"/>
        </w:numPr>
        <w:spacing w:line="360" w:lineRule="auto"/>
        <w:jc w:val="both"/>
      </w:pPr>
      <w:hyperlink r:id="rId36" w:history="1">
        <w:r w:rsidRPr="00333FFE">
          <w:rPr>
            <w:color w:val="0000FF"/>
            <w:u w:val="single"/>
            <w:rtl/>
          </w:rPr>
          <w:t>רע"פ 8833/15</w:t>
        </w:r>
      </w:hyperlink>
      <w:r w:rsidR="00734A7C">
        <w:rPr>
          <w:rFonts w:hint="cs"/>
          <w:rtl/>
        </w:rPr>
        <w:t xml:space="preserve"> </w:t>
      </w:r>
      <w:r w:rsidR="00734A7C" w:rsidRPr="00595067">
        <w:rPr>
          <w:rFonts w:hint="cs"/>
          <w:b/>
          <w:bCs/>
          <w:rtl/>
        </w:rPr>
        <w:t xml:space="preserve">פלוני נ' מדינת ישראל </w:t>
      </w:r>
      <w:r w:rsidR="00734A7C">
        <w:rPr>
          <w:rFonts w:hint="cs"/>
          <w:rtl/>
        </w:rPr>
        <w:t xml:space="preserve">(23.12.2015): שם </w:t>
      </w:r>
      <w:r w:rsidR="00734A7C">
        <w:rPr>
          <w:rtl/>
        </w:rPr>
        <w:t>הורשע</w:t>
      </w:r>
      <w:r w:rsidR="00734A7C">
        <w:rPr>
          <w:rFonts w:hint="cs"/>
          <w:rtl/>
        </w:rPr>
        <w:t xml:space="preserve"> הנאשם</w:t>
      </w:r>
      <w:r w:rsidR="00734A7C">
        <w:rPr>
          <w:rtl/>
        </w:rPr>
        <w:t xml:space="preserve"> בבית משפט השלום, על יסוד הודאתו בעבירות של תקיפה הגורמת חבלה של ממש כלפי בן זוג, תקיפה סתם כלפי בן זוג</w:t>
      </w:r>
      <w:r w:rsidR="00734A7C">
        <w:rPr>
          <w:rFonts w:hint="cs"/>
          <w:rtl/>
        </w:rPr>
        <w:t xml:space="preserve"> </w:t>
      </w:r>
      <w:r w:rsidR="00734A7C">
        <w:rPr>
          <w:rtl/>
        </w:rPr>
        <w:t>ואיומים</w:t>
      </w:r>
      <w:r w:rsidR="00734A7C">
        <w:rPr>
          <w:rFonts w:hint="cs"/>
          <w:rtl/>
        </w:rPr>
        <w:t>. נ</w:t>
      </w:r>
      <w:r w:rsidR="00734A7C">
        <w:rPr>
          <w:rtl/>
        </w:rPr>
        <w:t xml:space="preserve">קבע כי מתחם העונש ההולם נע בין עונש מאסר על תנאי לבין 12 חודשי מאסר בפועל </w:t>
      </w:r>
      <w:r w:rsidR="00734A7C">
        <w:rPr>
          <w:rFonts w:hint="cs"/>
          <w:rtl/>
        </w:rPr>
        <w:t>והוטלו</w:t>
      </w:r>
      <w:r w:rsidR="00734A7C">
        <w:rPr>
          <w:rtl/>
        </w:rPr>
        <w:t xml:space="preserve"> 10 חודשי מאסר על תנאי</w:t>
      </w:r>
      <w:r w:rsidR="00734A7C">
        <w:rPr>
          <w:rFonts w:hint="cs"/>
          <w:rtl/>
        </w:rPr>
        <w:t>,</w:t>
      </w:r>
      <w:r w:rsidR="00734A7C">
        <w:rPr>
          <w:rtl/>
        </w:rPr>
        <w:t xml:space="preserve"> 4 חודשי מאסר על תנאי</w:t>
      </w:r>
      <w:r w:rsidR="00734A7C">
        <w:rPr>
          <w:rFonts w:hint="cs"/>
          <w:rtl/>
        </w:rPr>
        <w:t xml:space="preserve">, </w:t>
      </w:r>
      <w:r w:rsidR="00734A7C">
        <w:rPr>
          <w:rtl/>
        </w:rPr>
        <w:t xml:space="preserve">והתחייבות כספית </w:t>
      </w:r>
      <w:r w:rsidR="00734A7C">
        <w:rPr>
          <w:rFonts w:hint="cs"/>
          <w:rtl/>
        </w:rPr>
        <w:t>בגין העבירות השונות</w:t>
      </w:r>
      <w:r w:rsidR="00734A7C">
        <w:rPr>
          <w:rtl/>
        </w:rPr>
        <w:t>.</w:t>
      </w:r>
      <w:r w:rsidR="00734A7C">
        <w:rPr>
          <w:rFonts w:hint="cs"/>
          <w:rtl/>
        </w:rPr>
        <w:t xml:space="preserve"> ערעור המדינה התקבל</w:t>
      </w:r>
      <w:r w:rsidR="00734A7C">
        <w:rPr>
          <w:rtl/>
        </w:rPr>
        <w:t xml:space="preserve"> </w:t>
      </w:r>
      <w:r w:rsidR="00734A7C">
        <w:rPr>
          <w:rFonts w:hint="cs"/>
          <w:rtl/>
        </w:rPr>
        <w:t>והעונש הוחמר ל-</w:t>
      </w:r>
      <w:r w:rsidR="00734A7C">
        <w:rPr>
          <w:rtl/>
        </w:rPr>
        <w:t>7 חודשי מאסר בפועל</w:t>
      </w:r>
      <w:r w:rsidR="00734A7C">
        <w:rPr>
          <w:rFonts w:hint="cs"/>
          <w:rtl/>
        </w:rPr>
        <w:t>. בקשה לרשות ערעור נדחתה.</w:t>
      </w:r>
    </w:p>
    <w:p w14:paraId="01C4E54A" w14:textId="77777777" w:rsidR="00734A7C" w:rsidRDefault="00734A7C" w:rsidP="00734A7C">
      <w:pPr>
        <w:pStyle w:val="a9"/>
        <w:spacing w:line="360" w:lineRule="auto"/>
        <w:ind w:left="360"/>
        <w:jc w:val="both"/>
        <w:rPr>
          <w:rtl/>
        </w:rPr>
      </w:pPr>
    </w:p>
    <w:p w14:paraId="799D0B77" w14:textId="77777777" w:rsidR="00734A7C" w:rsidRDefault="00333FFE" w:rsidP="00734A7C">
      <w:pPr>
        <w:pStyle w:val="a9"/>
        <w:numPr>
          <w:ilvl w:val="0"/>
          <w:numId w:val="1"/>
        </w:numPr>
        <w:spacing w:line="360" w:lineRule="auto"/>
        <w:jc w:val="both"/>
      </w:pPr>
      <w:hyperlink r:id="rId37" w:history="1">
        <w:r w:rsidRPr="00333FFE">
          <w:rPr>
            <w:color w:val="0000FF"/>
            <w:u w:val="single"/>
            <w:rtl/>
          </w:rPr>
          <w:t>ת"פ 20291-02-10</w:t>
        </w:r>
      </w:hyperlink>
      <w:r w:rsidR="00734A7C">
        <w:rPr>
          <w:rFonts w:hint="cs"/>
          <w:rtl/>
        </w:rPr>
        <w:t xml:space="preserve"> </w:t>
      </w:r>
      <w:r w:rsidR="00734A7C">
        <w:rPr>
          <w:rFonts w:hint="cs"/>
          <w:b/>
          <w:bCs/>
          <w:rtl/>
        </w:rPr>
        <w:t>מדינת ישראל נ' בטש</w:t>
      </w:r>
      <w:r w:rsidR="00734A7C">
        <w:rPr>
          <w:rFonts w:hint="cs"/>
          <w:rtl/>
        </w:rPr>
        <w:t xml:space="preserve"> (30.03.2011): שם הורשע הנאשם בשלוש עבירות של תקיפת סתם ושלוש עבירות של איומים. נגזר </w:t>
      </w:r>
      <w:r w:rsidR="00734A7C">
        <w:rPr>
          <w:rtl/>
        </w:rPr>
        <w:t>מאסר על תנאי לתקופה של 14 חודשים</w:t>
      </w:r>
      <w:r w:rsidR="00734A7C">
        <w:rPr>
          <w:rFonts w:hint="cs"/>
          <w:rtl/>
        </w:rPr>
        <w:t>.</w:t>
      </w:r>
    </w:p>
    <w:p w14:paraId="18CDCE4B" w14:textId="77777777" w:rsidR="00734A7C" w:rsidRDefault="00734A7C" w:rsidP="00734A7C">
      <w:pPr>
        <w:spacing w:line="360" w:lineRule="auto"/>
        <w:jc w:val="both"/>
      </w:pPr>
    </w:p>
    <w:p w14:paraId="2A6FD99B" w14:textId="77777777" w:rsidR="00734A7C" w:rsidRDefault="00734A7C" w:rsidP="00734A7C">
      <w:pPr>
        <w:spacing w:line="360" w:lineRule="auto"/>
        <w:jc w:val="both"/>
        <w:rPr>
          <w:b/>
          <w:bCs/>
          <w:u w:val="single"/>
          <w:rtl/>
        </w:rPr>
      </w:pPr>
      <w:r>
        <w:rPr>
          <w:rFonts w:hint="cs"/>
          <w:b/>
          <w:bCs/>
          <w:u w:val="single"/>
          <w:rtl/>
        </w:rPr>
        <w:t>עמדת הנאשם</w:t>
      </w:r>
    </w:p>
    <w:p w14:paraId="1FFBD84B" w14:textId="77777777" w:rsidR="00734A7C" w:rsidRDefault="00734A7C" w:rsidP="00734A7C">
      <w:pPr>
        <w:spacing w:line="360" w:lineRule="auto"/>
        <w:jc w:val="both"/>
        <w:rPr>
          <w:b/>
          <w:bCs/>
          <w:u w:val="single"/>
          <w:rtl/>
        </w:rPr>
      </w:pPr>
    </w:p>
    <w:p w14:paraId="1BA56594" w14:textId="77777777" w:rsidR="00734A7C" w:rsidRDefault="00734A7C" w:rsidP="00734A7C">
      <w:pPr>
        <w:spacing w:line="360" w:lineRule="auto"/>
        <w:jc w:val="both"/>
        <w:rPr>
          <w:rtl/>
        </w:rPr>
      </w:pPr>
      <w:r>
        <w:rPr>
          <w:rFonts w:hint="cs"/>
          <w:rtl/>
        </w:rPr>
        <w:t>24.</w:t>
      </w:r>
      <w:r>
        <w:rPr>
          <w:rFonts w:hint="cs"/>
          <w:rtl/>
        </w:rPr>
        <w:tab/>
        <w:t xml:space="preserve">הנאשם הביע צער על מעשיו והתנצל על הטעויות שעשה. </w:t>
      </w:r>
    </w:p>
    <w:p w14:paraId="33369850" w14:textId="77777777" w:rsidR="00734A7C" w:rsidRDefault="00734A7C" w:rsidP="00734A7C">
      <w:pPr>
        <w:spacing w:line="360" w:lineRule="auto"/>
        <w:jc w:val="both"/>
        <w:rPr>
          <w:rtl/>
        </w:rPr>
      </w:pPr>
    </w:p>
    <w:p w14:paraId="507DFBB8" w14:textId="77777777" w:rsidR="00734A7C" w:rsidRDefault="00734A7C" w:rsidP="00734A7C">
      <w:pPr>
        <w:spacing w:line="360" w:lineRule="auto"/>
        <w:jc w:val="both"/>
        <w:rPr>
          <w:b/>
          <w:bCs/>
          <w:u w:val="single"/>
          <w:rtl/>
        </w:rPr>
      </w:pPr>
      <w:r>
        <w:rPr>
          <w:rFonts w:hint="cs"/>
          <w:b/>
          <w:bCs/>
          <w:u w:val="single"/>
          <w:rtl/>
        </w:rPr>
        <w:t>תסקיר שירות המבחן</w:t>
      </w:r>
    </w:p>
    <w:p w14:paraId="0C2EA6B3" w14:textId="77777777" w:rsidR="00734A7C" w:rsidRDefault="00734A7C" w:rsidP="00734A7C">
      <w:pPr>
        <w:spacing w:line="360" w:lineRule="auto"/>
        <w:jc w:val="both"/>
        <w:rPr>
          <w:b/>
          <w:bCs/>
          <w:u w:val="single"/>
          <w:rtl/>
        </w:rPr>
      </w:pPr>
    </w:p>
    <w:p w14:paraId="74BDE73B" w14:textId="77777777" w:rsidR="00734A7C" w:rsidRDefault="00734A7C" w:rsidP="00734A7C">
      <w:pPr>
        <w:spacing w:line="360" w:lineRule="auto"/>
        <w:jc w:val="both"/>
        <w:rPr>
          <w:rtl/>
        </w:rPr>
      </w:pPr>
      <w:r>
        <w:rPr>
          <w:rFonts w:hint="cs"/>
          <w:rtl/>
        </w:rPr>
        <w:t>25.</w:t>
      </w:r>
      <w:r>
        <w:rPr>
          <w:rFonts w:hint="cs"/>
          <w:rtl/>
        </w:rPr>
        <w:tab/>
        <w:t xml:space="preserve">התסקיר תיאר נאשם בן 33, גרוש, עובד בתחום האבטחה. </w:t>
      </w:r>
    </w:p>
    <w:p w14:paraId="345CCA34" w14:textId="77777777" w:rsidR="00734A7C" w:rsidRDefault="00734A7C" w:rsidP="00734A7C">
      <w:pPr>
        <w:spacing w:line="360" w:lineRule="auto"/>
        <w:ind w:left="720"/>
        <w:jc w:val="both"/>
        <w:rPr>
          <w:rtl/>
        </w:rPr>
      </w:pPr>
      <w:r>
        <w:rPr>
          <w:rFonts w:hint="cs"/>
          <w:rtl/>
        </w:rPr>
        <w:t xml:space="preserve">הנאשם עלה לארץ מרוסיה בשנת 1991, תואר כי הוריו נעדרו לשעות ארוכות מהבית בשל עבודתם. מהתסקיר עולה כי הקשר בין הנאשם לבין אמו היה מורכב עקב בעיית האלכוהול שאמו סובלת ממנה. </w:t>
      </w:r>
    </w:p>
    <w:p w14:paraId="66C60BD3" w14:textId="77777777" w:rsidR="00734A7C" w:rsidRDefault="00734A7C" w:rsidP="00734A7C">
      <w:pPr>
        <w:spacing w:line="360" w:lineRule="auto"/>
        <w:ind w:left="720"/>
        <w:jc w:val="both"/>
        <w:rPr>
          <w:rtl/>
        </w:rPr>
      </w:pPr>
      <w:r>
        <w:rPr>
          <w:rFonts w:hint="cs"/>
          <w:rtl/>
        </w:rPr>
        <w:t xml:space="preserve">תואר כי הנאשם החל לעבוד בגיל 15 בעבודות מזדמנות וטרם מעצרו עבד בחברת אבטחה בתחום הלוגיסטיקה. </w:t>
      </w:r>
    </w:p>
    <w:p w14:paraId="56C07CCF" w14:textId="77777777" w:rsidR="00734A7C" w:rsidRDefault="00734A7C" w:rsidP="00734A7C">
      <w:pPr>
        <w:spacing w:line="360" w:lineRule="auto"/>
        <w:ind w:left="720"/>
        <w:jc w:val="both"/>
        <w:rPr>
          <w:rtl/>
        </w:rPr>
      </w:pPr>
      <w:r>
        <w:rPr>
          <w:rFonts w:hint="cs"/>
          <w:rtl/>
        </w:rPr>
        <w:t xml:space="preserve">תואר בתסקיר אודות אירוע טראומטי שעבר הנאשם בהיותו צעיר כשחברו נפטר לנגד עיניו בדריסת רכבת ולאחר מכן החלה הדרדרות במצבו ברמה ההתנהגותית. </w:t>
      </w:r>
    </w:p>
    <w:p w14:paraId="31810544" w14:textId="77777777" w:rsidR="00734A7C" w:rsidRDefault="00734A7C" w:rsidP="00734A7C">
      <w:pPr>
        <w:spacing w:line="360" w:lineRule="auto"/>
        <w:ind w:left="720"/>
        <w:jc w:val="both"/>
        <w:rPr>
          <w:rtl/>
        </w:rPr>
      </w:pPr>
      <w:r>
        <w:rPr>
          <w:rFonts w:hint="cs"/>
          <w:rtl/>
        </w:rPr>
        <w:t>צוין בתסקיר שהנאשם לא ביצע שירות צבאי עקב מעורבות</w:t>
      </w:r>
      <w:r>
        <w:rPr>
          <w:rFonts w:hint="eastAsia"/>
          <w:rtl/>
        </w:rPr>
        <w:t>ו</w:t>
      </w:r>
      <w:r>
        <w:rPr>
          <w:rFonts w:hint="cs"/>
          <w:rtl/>
        </w:rPr>
        <w:t xml:space="preserve"> בפלילים.  </w:t>
      </w:r>
    </w:p>
    <w:p w14:paraId="3DB3C30B" w14:textId="77777777" w:rsidR="00734A7C" w:rsidRPr="00D30F02" w:rsidRDefault="00734A7C" w:rsidP="00734A7C">
      <w:pPr>
        <w:pStyle w:val="a9"/>
        <w:spacing w:line="360" w:lineRule="auto"/>
        <w:jc w:val="both"/>
      </w:pPr>
      <w:r>
        <w:rPr>
          <w:rFonts w:hint="cs"/>
          <w:rtl/>
        </w:rPr>
        <w:t xml:space="preserve">תואר כי הנאשם  נוטל אחריות פורמלית לביצוע העבירה.  </w:t>
      </w:r>
    </w:p>
    <w:p w14:paraId="344E3F75" w14:textId="77777777" w:rsidR="00734A7C" w:rsidRDefault="00734A7C" w:rsidP="00734A7C">
      <w:pPr>
        <w:spacing w:line="360" w:lineRule="auto"/>
        <w:ind w:left="720"/>
        <w:jc w:val="both"/>
        <w:rPr>
          <w:rtl/>
        </w:rPr>
      </w:pPr>
      <w:r>
        <w:rPr>
          <w:rFonts w:hint="cs"/>
          <w:rtl/>
        </w:rPr>
        <w:t xml:space="preserve">ההתרשמות הייתה לאור כל מה שתואר לעיל, כי הנאשם הוא חסר כוחות בשל גבולות פנימיים רופפים לצורך עריכת שינוי בדפוסי התנהגות העבריינית שפיתח. נטען כי לאורך השנים נתנו לנאשם הזדמנויות טיפוליות שונות אך הוא התקשה לנצל אותן. </w:t>
      </w:r>
    </w:p>
    <w:p w14:paraId="38E549C4" w14:textId="77777777" w:rsidR="00734A7C" w:rsidRDefault="00734A7C" w:rsidP="00734A7C">
      <w:pPr>
        <w:spacing w:line="360" w:lineRule="auto"/>
        <w:ind w:left="720"/>
        <w:jc w:val="both"/>
        <w:rPr>
          <w:rtl/>
        </w:rPr>
      </w:pPr>
      <w:r>
        <w:rPr>
          <w:rFonts w:hint="cs"/>
          <w:rtl/>
        </w:rPr>
        <w:t xml:space="preserve">תואר כי גם לאחר שהנאשם הצליח במשך 5 השנים לשמור על אורח חיים תקין הוא חזר לבצע עבירות וכנראה שהליכים טיפוליים קודמים לא סייעו לו בהפחתת סיכון להישנות עבירות. </w:t>
      </w:r>
    </w:p>
    <w:p w14:paraId="4F4BAB02" w14:textId="77777777" w:rsidR="00734A7C" w:rsidRDefault="00734A7C" w:rsidP="00734A7C">
      <w:pPr>
        <w:spacing w:line="360" w:lineRule="auto"/>
        <w:ind w:left="720"/>
        <w:jc w:val="both"/>
        <w:rPr>
          <w:rtl/>
        </w:rPr>
      </w:pPr>
      <w:r>
        <w:rPr>
          <w:rFonts w:hint="cs"/>
          <w:rtl/>
        </w:rPr>
        <w:t xml:space="preserve">על כן לא ניתנה המלצה טיפולית. </w:t>
      </w:r>
    </w:p>
    <w:p w14:paraId="24EC5E85" w14:textId="77777777" w:rsidR="00734A7C" w:rsidRDefault="00734A7C" w:rsidP="00734A7C">
      <w:pPr>
        <w:spacing w:line="360" w:lineRule="auto"/>
        <w:jc w:val="both"/>
        <w:rPr>
          <w:rtl/>
        </w:rPr>
      </w:pPr>
    </w:p>
    <w:p w14:paraId="1AF2D249" w14:textId="77777777" w:rsidR="00734A7C" w:rsidRDefault="00734A7C" w:rsidP="00734A7C">
      <w:pPr>
        <w:spacing w:line="360" w:lineRule="auto"/>
        <w:jc w:val="both"/>
        <w:rPr>
          <w:b/>
          <w:bCs/>
          <w:u w:val="single"/>
          <w:rtl/>
        </w:rPr>
      </w:pPr>
      <w:r>
        <w:rPr>
          <w:rFonts w:hint="cs"/>
          <w:b/>
          <w:bCs/>
          <w:u w:val="single"/>
          <w:rtl/>
        </w:rPr>
        <w:t>דיון</w:t>
      </w:r>
    </w:p>
    <w:p w14:paraId="7079F64F" w14:textId="77777777" w:rsidR="00734A7C" w:rsidRDefault="00734A7C" w:rsidP="00734A7C">
      <w:pPr>
        <w:spacing w:line="360" w:lineRule="auto"/>
        <w:jc w:val="both"/>
        <w:rPr>
          <w:b/>
          <w:bCs/>
          <w:u w:val="single"/>
          <w:rtl/>
        </w:rPr>
      </w:pPr>
    </w:p>
    <w:p w14:paraId="11EB32F5" w14:textId="77777777" w:rsidR="00734A7C" w:rsidRDefault="00734A7C" w:rsidP="00734A7C">
      <w:pPr>
        <w:spacing w:line="360" w:lineRule="auto"/>
        <w:ind w:left="720" w:hanging="720"/>
        <w:jc w:val="both"/>
        <w:rPr>
          <w:rtl/>
        </w:rPr>
      </w:pPr>
      <w:r>
        <w:rPr>
          <w:rFonts w:hint="cs"/>
          <w:rtl/>
        </w:rPr>
        <w:t>26.</w:t>
      </w:r>
      <w:r>
        <w:rPr>
          <w:rtl/>
        </w:rPr>
        <w:tab/>
      </w:r>
      <w:r>
        <w:rPr>
          <w:rFonts w:hint="cs"/>
          <w:rtl/>
        </w:rPr>
        <w:t xml:space="preserve">הערכים החברתיים המוגנים שנפגעו הם שמירה על שלום הציבור ובטחונו. </w:t>
      </w:r>
      <w:r>
        <w:rPr>
          <w:rtl/>
        </w:rPr>
        <w:t>הפגיעה בערכים האמורים הי</w:t>
      </w:r>
      <w:r>
        <w:rPr>
          <w:rFonts w:hint="cs"/>
          <w:rtl/>
        </w:rPr>
        <w:t>י</w:t>
      </w:r>
      <w:r>
        <w:rPr>
          <w:rtl/>
        </w:rPr>
        <w:t>תה מהותית</w:t>
      </w:r>
      <w:r>
        <w:rPr>
          <w:rFonts w:hint="cs"/>
          <w:rtl/>
        </w:rPr>
        <w:t xml:space="preserve"> </w:t>
      </w:r>
      <w:r>
        <w:rPr>
          <w:rtl/>
        </w:rPr>
        <w:t xml:space="preserve">כאשר מדובר בנשק </w:t>
      </w:r>
      <w:r>
        <w:rPr>
          <w:rFonts w:hint="cs"/>
          <w:rtl/>
        </w:rPr>
        <w:t xml:space="preserve">טעון במחסנית. </w:t>
      </w:r>
      <w:r>
        <w:rPr>
          <w:rtl/>
        </w:rPr>
        <w:t xml:space="preserve">עבירות </w:t>
      </w:r>
      <w:r>
        <w:rPr>
          <w:rFonts w:hint="cs"/>
          <w:rtl/>
        </w:rPr>
        <w:t>ה</w:t>
      </w:r>
      <w:r>
        <w:rPr>
          <w:rtl/>
        </w:rPr>
        <w:t>נשק לסוגיהן היו זה מכבר למכת מדינה</w:t>
      </w:r>
      <w:r>
        <w:rPr>
          <w:rFonts w:hint="cs"/>
          <w:rtl/>
        </w:rPr>
        <w:t xml:space="preserve"> שיש להחמיר את הענישה לגביהן (</w:t>
      </w:r>
      <w:hyperlink r:id="rId38" w:history="1">
        <w:r w:rsidR="00333FFE" w:rsidRPr="00333FFE">
          <w:rPr>
            <w:color w:val="0000FF"/>
            <w:u w:val="single"/>
            <w:rtl/>
          </w:rPr>
          <w:t>ע"פ 5993/21</w:t>
        </w:r>
      </w:hyperlink>
      <w:r>
        <w:rPr>
          <w:rFonts w:hint="cs"/>
          <w:rtl/>
        </w:rPr>
        <w:t xml:space="preserve"> </w:t>
      </w:r>
      <w:r>
        <w:rPr>
          <w:rFonts w:hint="cs"/>
          <w:b/>
          <w:bCs/>
          <w:rtl/>
        </w:rPr>
        <w:t xml:space="preserve">חוסיין אבו סאלח נ' מדינת ישראל </w:t>
      </w:r>
      <w:r>
        <w:rPr>
          <w:rFonts w:hint="cs"/>
          <w:rtl/>
        </w:rPr>
        <w:t>(29.11.2021).</w:t>
      </w:r>
    </w:p>
    <w:p w14:paraId="070E9708" w14:textId="77777777" w:rsidR="00734A7C" w:rsidRDefault="00734A7C" w:rsidP="00734A7C">
      <w:pPr>
        <w:spacing w:line="360" w:lineRule="auto"/>
        <w:ind w:left="720"/>
        <w:jc w:val="both"/>
        <w:rPr>
          <w:rtl/>
        </w:rPr>
      </w:pPr>
      <w:r>
        <w:rPr>
          <w:rFonts w:hint="cs"/>
          <w:rtl/>
        </w:rPr>
        <w:t xml:space="preserve">לעניין האישום השני של עבירות האלימות במשפחה נפגעו </w:t>
      </w:r>
      <w:r>
        <w:rPr>
          <w:rtl/>
        </w:rPr>
        <w:t>הער</w:t>
      </w:r>
      <w:r>
        <w:rPr>
          <w:rFonts w:hint="cs"/>
          <w:rtl/>
        </w:rPr>
        <w:t>כים</w:t>
      </w:r>
      <w:r>
        <w:rPr>
          <w:rtl/>
        </w:rPr>
        <w:t xml:space="preserve"> החברתי</w:t>
      </w:r>
      <w:r>
        <w:rPr>
          <w:rFonts w:hint="cs"/>
          <w:rtl/>
        </w:rPr>
        <w:t>ים</w:t>
      </w:r>
      <w:r>
        <w:rPr>
          <w:rtl/>
        </w:rPr>
        <w:t xml:space="preserve"> </w:t>
      </w:r>
      <w:r>
        <w:rPr>
          <w:rFonts w:hint="cs"/>
          <w:rtl/>
        </w:rPr>
        <w:t xml:space="preserve">של שמירה על שלומו של אדם ובטחונו במסגרת המשפחתית. </w:t>
      </w:r>
    </w:p>
    <w:p w14:paraId="55C4BFF5" w14:textId="77777777" w:rsidR="00734A7C" w:rsidRDefault="00734A7C" w:rsidP="00734A7C">
      <w:pPr>
        <w:spacing w:line="360" w:lineRule="auto"/>
        <w:jc w:val="both"/>
        <w:rPr>
          <w:rFonts w:ascii="Arial" w:hAnsi="Arial"/>
          <w:rtl/>
        </w:rPr>
      </w:pPr>
      <w:r>
        <w:rPr>
          <w:rFonts w:ascii="Arial" w:hAnsi="Arial" w:hint="cs"/>
          <w:rtl/>
        </w:rPr>
        <w:t xml:space="preserve"> </w:t>
      </w:r>
    </w:p>
    <w:p w14:paraId="780500BA" w14:textId="77777777" w:rsidR="00734A7C" w:rsidRDefault="00734A7C" w:rsidP="00734A7C">
      <w:pPr>
        <w:spacing w:line="360" w:lineRule="auto"/>
        <w:ind w:left="720" w:hanging="720"/>
        <w:jc w:val="both"/>
        <w:rPr>
          <w:rtl/>
        </w:rPr>
      </w:pPr>
      <w:r>
        <w:rPr>
          <w:rFonts w:ascii="Arial" w:hAnsi="Arial" w:hint="cs"/>
          <w:rtl/>
        </w:rPr>
        <w:t>27.</w:t>
      </w:r>
      <w:r>
        <w:rPr>
          <w:rFonts w:ascii="Arial" w:hAnsi="Arial" w:hint="cs"/>
          <w:rtl/>
        </w:rPr>
        <w:tab/>
        <w:t xml:space="preserve">באשר לסיבות שהביאו את הנאשם לביצוע העבירות הנשק, הרי שגם כשלטענת הנאשם הוא </w:t>
      </w:r>
      <w:r>
        <w:rPr>
          <w:rFonts w:hint="cs"/>
          <w:rtl/>
        </w:rPr>
        <w:t>חש פחד ואיום על חייו ועל כן הצטייד בנשק כאמור, אין הצדקה להצטייד בנשק שלא כדין בטענה של הגנה עצמית. הנאשם נושא באחריות בלעדית הן לעבירת הנשק והן לעבירות האלמ"ב.</w:t>
      </w:r>
    </w:p>
    <w:p w14:paraId="72F9E0E5" w14:textId="77777777" w:rsidR="00734A7C" w:rsidRDefault="00734A7C" w:rsidP="00734A7C">
      <w:pPr>
        <w:spacing w:line="360" w:lineRule="auto"/>
        <w:ind w:left="720" w:hanging="720"/>
        <w:jc w:val="both"/>
        <w:rPr>
          <w:rtl/>
        </w:rPr>
      </w:pPr>
      <w:r>
        <w:rPr>
          <w:rFonts w:hint="cs"/>
          <w:rtl/>
        </w:rPr>
        <w:t xml:space="preserve">            </w:t>
      </w:r>
    </w:p>
    <w:p w14:paraId="77359ECF" w14:textId="77777777" w:rsidR="00734A7C" w:rsidRDefault="00734A7C" w:rsidP="00734A7C">
      <w:pPr>
        <w:spacing w:line="360" w:lineRule="auto"/>
        <w:ind w:left="720" w:hanging="720"/>
        <w:jc w:val="both"/>
        <w:rPr>
          <w:rtl/>
        </w:rPr>
      </w:pPr>
      <w:r>
        <w:rPr>
          <w:rFonts w:hint="cs"/>
          <w:rtl/>
        </w:rPr>
        <w:t>28.</w:t>
      </w:r>
      <w:r>
        <w:rPr>
          <w:rFonts w:hint="cs"/>
          <w:rtl/>
        </w:rPr>
        <w:tab/>
        <w:t xml:space="preserve">לאור האמור לעיל </w:t>
      </w:r>
      <w:r>
        <w:rPr>
          <w:rtl/>
        </w:rPr>
        <w:t>ו</w:t>
      </w:r>
      <w:r>
        <w:rPr>
          <w:rFonts w:hint="cs"/>
          <w:rtl/>
        </w:rPr>
        <w:t xml:space="preserve">בהתחשב </w:t>
      </w:r>
      <w:r>
        <w:rPr>
          <w:rtl/>
        </w:rPr>
        <w:t>במדיניות הענישה שהובאה בפסיקה – כאשר לדעתי הפסיקה שהובאה על ידי המדינה רלוונטית יותר למקרה מאשר הפסיקה שאוזכרה על ידי הסנגור</w:t>
      </w:r>
      <w:r>
        <w:rPr>
          <w:rFonts w:hint="cs"/>
          <w:rtl/>
        </w:rPr>
        <w:t xml:space="preserve">, אני קובע מתחם עונש לעבירות הנשק שנע בין 16 </w:t>
      </w:r>
      <w:r>
        <w:rPr>
          <w:rtl/>
        </w:rPr>
        <w:t>–</w:t>
      </w:r>
      <w:r>
        <w:rPr>
          <w:rFonts w:hint="cs"/>
          <w:rtl/>
        </w:rPr>
        <w:t xml:space="preserve"> 45 חודשי מאסר בפועל. באשר לעבירות אלימות במשפחה אני קובע מתחם של חודשים בודדים </w:t>
      </w:r>
      <w:r>
        <w:rPr>
          <w:rtl/>
        </w:rPr>
        <w:t>–</w:t>
      </w:r>
      <w:r>
        <w:rPr>
          <w:rFonts w:hint="cs"/>
          <w:rtl/>
        </w:rPr>
        <w:t xml:space="preserve"> 12 חודשי מאסר בפועל. היות שמדובר בכתבי אישום שונים יש מקום לפסוק את העונש במצטבר.</w:t>
      </w:r>
    </w:p>
    <w:p w14:paraId="5F1A6182" w14:textId="77777777" w:rsidR="00734A7C" w:rsidRDefault="00734A7C" w:rsidP="00734A7C">
      <w:pPr>
        <w:spacing w:line="360" w:lineRule="auto"/>
        <w:ind w:left="720" w:hanging="720"/>
        <w:jc w:val="both"/>
        <w:rPr>
          <w:rtl/>
        </w:rPr>
      </w:pPr>
    </w:p>
    <w:p w14:paraId="121BB13D" w14:textId="77777777" w:rsidR="00734A7C" w:rsidRDefault="00734A7C" w:rsidP="00734A7C">
      <w:pPr>
        <w:spacing w:line="360" w:lineRule="auto"/>
        <w:ind w:left="720" w:hanging="720"/>
        <w:jc w:val="both"/>
        <w:rPr>
          <w:rtl/>
        </w:rPr>
      </w:pPr>
      <w:r>
        <w:rPr>
          <w:rFonts w:hint="cs"/>
          <w:rtl/>
        </w:rPr>
        <w:t>29.</w:t>
      </w:r>
      <w:r>
        <w:rPr>
          <w:rtl/>
        </w:rPr>
        <w:tab/>
      </w:r>
      <w:r>
        <w:rPr>
          <w:rFonts w:ascii="Arial" w:hAnsi="Arial"/>
          <w:rtl/>
        </w:rPr>
        <w:t xml:space="preserve">באשר לנסיבות </w:t>
      </w:r>
      <w:r>
        <w:rPr>
          <w:rFonts w:ascii="Arial" w:hAnsi="Arial" w:hint="cs"/>
          <w:rtl/>
        </w:rPr>
        <w:t xml:space="preserve">שאינן קשורות בביצוע העבירות </w:t>
      </w:r>
      <w:r>
        <w:rPr>
          <w:rFonts w:ascii="Arial" w:hAnsi="Arial"/>
          <w:rtl/>
        </w:rPr>
        <w:t>יצוין כי הנאשם נטל אחריות למעשיו</w:t>
      </w:r>
      <w:r>
        <w:rPr>
          <w:rFonts w:hint="cs"/>
          <w:rtl/>
        </w:rPr>
        <w:t xml:space="preserve"> בשני כתבי האישום וחסך זמן שיפוטי. להודאתו חשיבות לעניין קבלת אחריות מצידו, למרות האמור בתסקיר. לצד זאת, מדובר בנאשם בעל עבר פלילי מכביד עם אופק שיקומי מוגבל בהתאם להערכה שניתנה בתסקיר. </w:t>
      </w:r>
    </w:p>
    <w:p w14:paraId="4B6B320C" w14:textId="77777777" w:rsidR="00734A7C" w:rsidRPr="00290459" w:rsidRDefault="00734A7C" w:rsidP="00734A7C">
      <w:pPr>
        <w:spacing w:line="360" w:lineRule="auto"/>
        <w:ind w:left="720" w:hanging="720"/>
        <w:jc w:val="both"/>
        <w:rPr>
          <w:rFonts w:ascii="Calibri" w:hAnsi="Calibri"/>
          <w:rtl/>
        </w:rPr>
      </w:pPr>
      <w:r>
        <w:rPr>
          <w:rFonts w:hint="cs"/>
          <w:rtl/>
        </w:rPr>
        <w:t xml:space="preserve">30. </w:t>
      </w:r>
      <w:r>
        <w:rPr>
          <w:rFonts w:ascii="Calibri" w:hAnsi="Calibri"/>
          <w:rtl/>
        </w:rPr>
        <w:tab/>
      </w:r>
      <w:r>
        <w:rPr>
          <w:rFonts w:ascii="Calibri" w:hAnsi="Calibri"/>
          <w:b/>
          <w:bCs/>
          <w:u w:val="single"/>
          <w:rtl/>
        </w:rPr>
        <w:t>לאור האמור, אני מטיל על הנאשם את העונשים הבאים</w:t>
      </w:r>
      <w:r>
        <w:rPr>
          <w:rFonts w:ascii="Calibri" w:hAnsi="Calibri" w:hint="cs"/>
          <w:rtl/>
        </w:rPr>
        <w:t>:</w:t>
      </w:r>
    </w:p>
    <w:p w14:paraId="6A6BDBBC" w14:textId="77777777" w:rsidR="00734A7C" w:rsidRDefault="00734A7C" w:rsidP="00734A7C">
      <w:pPr>
        <w:spacing w:line="360" w:lineRule="auto"/>
        <w:ind w:left="720" w:hanging="720"/>
        <w:jc w:val="both"/>
        <w:rPr>
          <w:rFonts w:ascii="Calibri" w:hAnsi="Calibri"/>
          <w:b/>
          <w:bCs/>
          <w:u w:val="single"/>
          <w:rtl/>
        </w:rPr>
      </w:pPr>
    </w:p>
    <w:p w14:paraId="46D9B248" w14:textId="77777777" w:rsidR="00734A7C" w:rsidRDefault="00734A7C" w:rsidP="00734A7C">
      <w:pPr>
        <w:spacing w:line="360" w:lineRule="auto"/>
        <w:ind w:left="720" w:hanging="720"/>
        <w:jc w:val="both"/>
        <w:rPr>
          <w:rFonts w:ascii="Calibri" w:hAnsi="Calibri"/>
          <w:b/>
          <w:bCs/>
          <w:u w:val="single"/>
          <w:rtl/>
        </w:rPr>
      </w:pPr>
      <w:r>
        <w:rPr>
          <w:rFonts w:ascii="Calibri" w:hAnsi="Calibri" w:hint="cs"/>
          <w:b/>
          <w:bCs/>
          <w:u w:val="single"/>
          <w:rtl/>
        </w:rPr>
        <w:t>בגין עבירת הנשק</w:t>
      </w:r>
    </w:p>
    <w:p w14:paraId="28995F15" w14:textId="77777777" w:rsidR="00734A7C" w:rsidRDefault="00734A7C" w:rsidP="00734A7C">
      <w:pPr>
        <w:spacing w:line="360" w:lineRule="auto"/>
        <w:ind w:left="720" w:hanging="720"/>
        <w:jc w:val="both"/>
        <w:rPr>
          <w:rFonts w:ascii="Calibri" w:hAnsi="Calibri"/>
          <w:b/>
          <w:bCs/>
          <w:u w:val="single"/>
          <w:rtl/>
        </w:rPr>
      </w:pPr>
    </w:p>
    <w:p w14:paraId="1EE163D3" w14:textId="77777777" w:rsidR="00734A7C" w:rsidRDefault="00734A7C" w:rsidP="00734A7C">
      <w:pPr>
        <w:spacing w:line="360" w:lineRule="auto"/>
        <w:ind w:left="720" w:hanging="720"/>
        <w:jc w:val="both"/>
        <w:rPr>
          <w:rtl/>
        </w:rPr>
      </w:pPr>
      <w:r w:rsidRPr="00290459">
        <w:rPr>
          <w:rFonts w:ascii="Calibri" w:hAnsi="Calibri" w:hint="cs"/>
          <w:rtl/>
        </w:rPr>
        <w:t>א.</w:t>
      </w:r>
      <w:r>
        <w:rPr>
          <w:rFonts w:ascii="Calibri" w:hAnsi="Calibri"/>
          <w:rtl/>
        </w:rPr>
        <w:tab/>
      </w:r>
      <w:r>
        <w:rPr>
          <w:rFonts w:ascii="Calibri" w:hAnsi="Calibri" w:hint="cs"/>
          <w:rtl/>
        </w:rPr>
        <w:t>28</w:t>
      </w:r>
      <w:r w:rsidRPr="008809D1">
        <w:rPr>
          <w:rFonts w:ascii="Calibri" w:hAnsi="Calibri"/>
          <w:rtl/>
        </w:rPr>
        <w:t xml:space="preserve"> חודשי מאסר לריצוי בפועל בניכוי ימי מעצרו מיום </w:t>
      </w:r>
      <w:r>
        <w:rPr>
          <w:rFonts w:ascii="Calibri" w:hAnsi="Calibri" w:hint="cs"/>
          <w:rtl/>
        </w:rPr>
        <w:t xml:space="preserve">20.07.2021. </w:t>
      </w:r>
    </w:p>
    <w:p w14:paraId="47BF5C29" w14:textId="77777777" w:rsidR="00734A7C" w:rsidRDefault="00734A7C" w:rsidP="00734A7C">
      <w:pPr>
        <w:spacing w:line="360" w:lineRule="auto"/>
        <w:ind w:left="720" w:hanging="720"/>
        <w:jc w:val="both"/>
        <w:rPr>
          <w:rFonts w:ascii="David" w:hAnsi="David"/>
          <w:rtl/>
        </w:rPr>
      </w:pPr>
      <w:r>
        <w:rPr>
          <w:rFonts w:hint="cs"/>
          <w:rtl/>
        </w:rPr>
        <w:t>ב.</w:t>
      </w:r>
      <w:r>
        <w:rPr>
          <w:rFonts w:ascii="David" w:hAnsi="David"/>
          <w:rtl/>
        </w:rPr>
        <w:tab/>
        <w:t xml:space="preserve">12 חודשי מאסר על תנאי למשך 3 שנים כאשר התנאי יופעל במידה ויעבור עבירות נשק מסוג פשע. </w:t>
      </w:r>
    </w:p>
    <w:p w14:paraId="133F67D0" w14:textId="77777777" w:rsidR="00734A7C" w:rsidRDefault="00734A7C" w:rsidP="00734A7C">
      <w:pPr>
        <w:spacing w:line="360" w:lineRule="auto"/>
        <w:ind w:left="720" w:hanging="720"/>
        <w:jc w:val="both"/>
        <w:rPr>
          <w:rFonts w:ascii="David" w:hAnsi="David"/>
          <w:rtl/>
        </w:rPr>
      </w:pPr>
      <w:r>
        <w:rPr>
          <w:rFonts w:ascii="David" w:hAnsi="David" w:hint="cs"/>
          <w:rtl/>
        </w:rPr>
        <w:t>ג.</w:t>
      </w:r>
      <w:r>
        <w:rPr>
          <w:rFonts w:ascii="David" w:hAnsi="David"/>
          <w:rtl/>
        </w:rPr>
        <w:tab/>
        <w:t xml:space="preserve">קנס של </w:t>
      </w:r>
      <w:r>
        <w:rPr>
          <w:rFonts w:ascii="David" w:hAnsi="David" w:hint="cs"/>
          <w:rtl/>
        </w:rPr>
        <w:t xml:space="preserve">5,000 </w:t>
      </w:r>
      <w:r>
        <w:rPr>
          <w:rFonts w:ascii="David" w:hAnsi="David"/>
          <w:rtl/>
        </w:rPr>
        <w:t>₪ לתשלום</w:t>
      </w:r>
      <w:r>
        <w:rPr>
          <w:rFonts w:ascii="David" w:hAnsi="David" w:hint="cs"/>
          <w:rtl/>
        </w:rPr>
        <w:t xml:space="preserve"> חודש מיום שחרורו.</w:t>
      </w:r>
    </w:p>
    <w:p w14:paraId="027E6504" w14:textId="77777777" w:rsidR="00734A7C" w:rsidRDefault="00734A7C" w:rsidP="00734A7C">
      <w:pPr>
        <w:spacing w:line="360" w:lineRule="auto"/>
        <w:ind w:left="720" w:hanging="720"/>
        <w:jc w:val="both"/>
        <w:rPr>
          <w:rFonts w:ascii="David" w:hAnsi="David"/>
        </w:rPr>
      </w:pPr>
      <w:r>
        <w:rPr>
          <w:rFonts w:ascii="David" w:hAnsi="David" w:hint="cs"/>
          <w:rtl/>
        </w:rPr>
        <w:t>ד.</w:t>
      </w:r>
      <w:r>
        <w:rPr>
          <w:rFonts w:ascii="David" w:hAnsi="David" w:hint="cs"/>
          <w:rtl/>
        </w:rPr>
        <w:tab/>
        <w:t>ניתן בזה צו לחילוט הנשק.</w:t>
      </w:r>
    </w:p>
    <w:p w14:paraId="45F604BF" w14:textId="77777777" w:rsidR="00734A7C" w:rsidRDefault="00734A7C" w:rsidP="00734A7C">
      <w:pPr>
        <w:spacing w:line="360" w:lineRule="auto"/>
        <w:jc w:val="both"/>
        <w:rPr>
          <w:rFonts w:ascii="David" w:hAnsi="David"/>
          <w:rtl/>
        </w:rPr>
      </w:pPr>
    </w:p>
    <w:p w14:paraId="0A20F95F" w14:textId="77777777" w:rsidR="00734A7C" w:rsidRDefault="00734A7C" w:rsidP="00734A7C">
      <w:pPr>
        <w:spacing w:line="360" w:lineRule="auto"/>
        <w:jc w:val="both"/>
        <w:rPr>
          <w:rFonts w:ascii="David" w:hAnsi="David"/>
          <w:b/>
          <w:bCs/>
          <w:u w:val="single"/>
          <w:rtl/>
        </w:rPr>
      </w:pPr>
      <w:r w:rsidRPr="008412A7">
        <w:rPr>
          <w:rFonts w:ascii="David" w:hAnsi="David" w:hint="cs"/>
          <w:b/>
          <w:bCs/>
          <w:u w:val="single"/>
          <w:rtl/>
        </w:rPr>
        <w:t>בגין עבירות האלמ"ב</w:t>
      </w:r>
    </w:p>
    <w:p w14:paraId="2E0B5DCC" w14:textId="77777777" w:rsidR="00734A7C" w:rsidRDefault="00734A7C" w:rsidP="00734A7C">
      <w:pPr>
        <w:spacing w:line="360" w:lineRule="auto"/>
        <w:jc w:val="both"/>
        <w:rPr>
          <w:rFonts w:ascii="David" w:hAnsi="David"/>
          <w:rtl/>
        </w:rPr>
      </w:pPr>
    </w:p>
    <w:p w14:paraId="051A1C00" w14:textId="77777777" w:rsidR="00734A7C" w:rsidRDefault="00734A7C" w:rsidP="00734A7C">
      <w:pPr>
        <w:spacing w:line="360" w:lineRule="auto"/>
        <w:jc w:val="both"/>
        <w:rPr>
          <w:rFonts w:ascii="David" w:hAnsi="David"/>
          <w:rtl/>
        </w:rPr>
      </w:pPr>
      <w:r>
        <w:rPr>
          <w:rFonts w:ascii="David" w:hAnsi="David" w:hint="cs"/>
          <w:rtl/>
        </w:rPr>
        <w:t>א.</w:t>
      </w:r>
      <w:r>
        <w:rPr>
          <w:rFonts w:ascii="David" w:hAnsi="David" w:hint="cs"/>
          <w:rtl/>
        </w:rPr>
        <w:tab/>
        <w:t>6 חודשי מאסר בפועל.</w:t>
      </w:r>
    </w:p>
    <w:p w14:paraId="55B0EB04" w14:textId="77777777" w:rsidR="00734A7C" w:rsidRPr="008412A7" w:rsidRDefault="00734A7C" w:rsidP="00734A7C">
      <w:pPr>
        <w:spacing w:line="360" w:lineRule="auto"/>
        <w:ind w:left="720" w:hanging="720"/>
        <w:jc w:val="both"/>
        <w:rPr>
          <w:rFonts w:ascii="David" w:hAnsi="David"/>
        </w:rPr>
      </w:pPr>
      <w:r>
        <w:rPr>
          <w:rFonts w:ascii="David" w:hAnsi="David" w:hint="cs"/>
          <w:rtl/>
        </w:rPr>
        <w:t>ב</w:t>
      </w:r>
      <w:r w:rsidRPr="00BB0EF4">
        <w:rPr>
          <w:rFonts w:ascii="David" w:hAnsi="David"/>
          <w:rtl/>
        </w:rPr>
        <w:t>.</w:t>
      </w:r>
      <w:r w:rsidRPr="00BB0EF4">
        <w:rPr>
          <w:rFonts w:ascii="David" w:hAnsi="David"/>
          <w:rtl/>
        </w:rPr>
        <w:tab/>
      </w:r>
      <w:r>
        <w:rPr>
          <w:rFonts w:ascii="David" w:hAnsi="David" w:hint="cs"/>
          <w:rtl/>
        </w:rPr>
        <w:t>6</w:t>
      </w:r>
      <w:r w:rsidRPr="00BB0EF4">
        <w:rPr>
          <w:rFonts w:ascii="David" w:hAnsi="David"/>
          <w:rtl/>
        </w:rPr>
        <w:t xml:space="preserve"> חודשי מאסר על תנאי למשך 3 שנים כאשר התנאי יופעל במידה ויעבור עבירות אלימות</w:t>
      </w:r>
      <w:r>
        <w:rPr>
          <w:rFonts w:ascii="David" w:hAnsi="David" w:hint="cs"/>
          <w:rtl/>
        </w:rPr>
        <w:t xml:space="preserve"> במשפחה</w:t>
      </w:r>
      <w:r w:rsidRPr="00BB0EF4">
        <w:rPr>
          <w:rFonts w:ascii="David" w:hAnsi="David"/>
          <w:rtl/>
        </w:rPr>
        <w:t>.</w:t>
      </w:r>
    </w:p>
    <w:p w14:paraId="7F34C913" w14:textId="77777777" w:rsidR="00734A7C" w:rsidRDefault="00734A7C" w:rsidP="00734A7C">
      <w:pPr>
        <w:spacing w:line="360" w:lineRule="auto"/>
        <w:jc w:val="both"/>
        <w:rPr>
          <w:rtl/>
        </w:rPr>
      </w:pPr>
      <w:r>
        <w:rPr>
          <w:rFonts w:hint="cs"/>
          <w:rtl/>
        </w:rPr>
        <w:t>ג.</w:t>
      </w:r>
      <w:r>
        <w:rPr>
          <w:rFonts w:hint="cs"/>
          <w:rtl/>
        </w:rPr>
        <w:tab/>
        <w:t>פיצוי למתלוננת בסך 2,500 ₪ לתשלום חודש לאחר שחרורו.</w:t>
      </w:r>
    </w:p>
    <w:p w14:paraId="2712C8D4" w14:textId="77777777" w:rsidR="00734A7C" w:rsidRDefault="00734A7C" w:rsidP="00734A7C">
      <w:pPr>
        <w:spacing w:line="360" w:lineRule="auto"/>
        <w:ind w:left="360"/>
        <w:jc w:val="both"/>
        <w:rPr>
          <w:rtl/>
        </w:rPr>
      </w:pPr>
    </w:p>
    <w:p w14:paraId="16AF2849" w14:textId="77777777" w:rsidR="00734A7C" w:rsidRDefault="00734A7C" w:rsidP="00734A7C">
      <w:pPr>
        <w:spacing w:line="360" w:lineRule="auto"/>
        <w:jc w:val="both"/>
        <w:rPr>
          <w:rtl/>
        </w:rPr>
      </w:pPr>
      <w:r w:rsidRPr="00E87656">
        <w:rPr>
          <w:rFonts w:hint="cs"/>
          <w:u w:val="single"/>
          <w:rtl/>
        </w:rPr>
        <w:t>מובהר שהעונשים</w:t>
      </w:r>
      <w:r>
        <w:rPr>
          <w:rFonts w:hint="cs"/>
          <w:u w:val="single"/>
          <w:rtl/>
        </w:rPr>
        <w:t xml:space="preserve"> </w:t>
      </w:r>
      <w:r w:rsidRPr="00E87656">
        <w:rPr>
          <w:rFonts w:hint="cs"/>
          <w:u w:val="single"/>
          <w:rtl/>
        </w:rPr>
        <w:t>יח</w:t>
      </w:r>
      <w:r>
        <w:rPr>
          <w:rFonts w:hint="cs"/>
          <w:u w:val="single"/>
          <w:rtl/>
        </w:rPr>
        <w:t>ו</w:t>
      </w:r>
      <w:r w:rsidRPr="00E87656">
        <w:rPr>
          <w:rFonts w:hint="cs"/>
          <w:u w:val="single"/>
          <w:rtl/>
        </w:rPr>
        <w:t>שבו במצטבר</w:t>
      </w:r>
      <w:r>
        <w:rPr>
          <w:rFonts w:hint="cs"/>
          <w:rtl/>
        </w:rPr>
        <w:t>.</w:t>
      </w:r>
    </w:p>
    <w:p w14:paraId="58A945FF" w14:textId="77777777" w:rsidR="00734A7C" w:rsidRPr="00333FFE" w:rsidRDefault="00333FFE" w:rsidP="00734A7C">
      <w:pPr>
        <w:spacing w:line="360" w:lineRule="auto"/>
        <w:ind w:left="360"/>
        <w:jc w:val="both"/>
        <w:rPr>
          <w:color w:val="FFFFFF"/>
          <w:sz w:val="2"/>
          <w:szCs w:val="2"/>
          <w:rtl/>
        </w:rPr>
      </w:pPr>
      <w:r w:rsidRPr="00333FFE">
        <w:rPr>
          <w:color w:val="FFFFFF"/>
          <w:sz w:val="2"/>
          <w:szCs w:val="2"/>
          <w:rtl/>
        </w:rPr>
        <w:t>5129371</w:t>
      </w:r>
    </w:p>
    <w:p w14:paraId="70EF1A6E" w14:textId="77777777" w:rsidR="00734A7C" w:rsidRDefault="00333FFE" w:rsidP="00734A7C">
      <w:pPr>
        <w:spacing w:line="360" w:lineRule="auto"/>
        <w:jc w:val="both"/>
        <w:rPr>
          <w:rtl/>
        </w:rPr>
      </w:pPr>
      <w:r w:rsidRPr="00333FFE">
        <w:rPr>
          <w:b/>
          <w:bCs/>
          <w:color w:val="FFFFFF"/>
          <w:sz w:val="2"/>
          <w:szCs w:val="2"/>
          <w:u w:val="single"/>
          <w:rtl/>
        </w:rPr>
        <w:t>54678313</w:t>
      </w:r>
      <w:r w:rsidR="00734A7C">
        <w:rPr>
          <w:rFonts w:hint="cs"/>
          <w:b/>
          <w:bCs/>
          <w:u w:val="single"/>
          <w:rtl/>
        </w:rPr>
        <w:t>זכות ערעור תוך 45 יום</w:t>
      </w:r>
      <w:r w:rsidR="00734A7C">
        <w:rPr>
          <w:rFonts w:hint="cs"/>
          <w:rtl/>
        </w:rPr>
        <w:t>.</w:t>
      </w:r>
    </w:p>
    <w:p w14:paraId="1FD5E327" w14:textId="77777777" w:rsidR="00734A7C" w:rsidRDefault="00734A7C" w:rsidP="00734A7C">
      <w:pPr>
        <w:spacing w:line="360" w:lineRule="auto"/>
        <w:jc w:val="both"/>
        <w:rPr>
          <w:rFonts w:ascii="Arial" w:hAnsi="Arial"/>
          <w:b/>
          <w:bCs/>
          <w:sz w:val="26"/>
          <w:szCs w:val="26"/>
          <w:rtl/>
        </w:rPr>
      </w:pPr>
    </w:p>
    <w:p w14:paraId="6B7805F0" w14:textId="77777777" w:rsidR="00734A7C" w:rsidRPr="000F2247" w:rsidRDefault="00333FFE" w:rsidP="00734A7C">
      <w:pPr>
        <w:rPr>
          <w:rFonts w:ascii="Arial" w:hAnsi="Arial"/>
          <w:b/>
          <w:bCs/>
          <w:sz w:val="26"/>
          <w:szCs w:val="26"/>
          <w:rtl/>
        </w:rPr>
      </w:pPr>
      <w:bookmarkStart w:id="8" w:name="Nitan"/>
      <w:r>
        <w:rPr>
          <w:rFonts w:ascii="Arial" w:hAnsi="Arial"/>
          <w:b/>
          <w:bCs/>
          <w:sz w:val="26"/>
          <w:szCs w:val="26"/>
          <w:rtl/>
        </w:rPr>
        <w:t xml:space="preserve">ניתן היום,  כ"ח אדר א' תשפ"ב, 01 מרץ 2022, בהעדר הצדדים. </w:t>
      </w:r>
      <w:bookmarkEnd w:id="8"/>
    </w:p>
    <w:p w14:paraId="7688BFEB" w14:textId="77777777" w:rsidR="00734A7C" w:rsidRPr="000F2247" w:rsidRDefault="00734A7C" w:rsidP="00333FF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737A4C3" w14:textId="77777777" w:rsidR="00734A7C" w:rsidRPr="000F2247" w:rsidRDefault="00734A7C" w:rsidP="00734A7C">
      <w:pPr>
        <w:jc w:val="center"/>
        <w:rPr>
          <w:rFonts w:ascii="Arial" w:hAnsi="Arial"/>
          <w:b/>
          <w:bCs/>
          <w:sz w:val="26"/>
          <w:szCs w:val="26"/>
          <w:rtl/>
        </w:rPr>
      </w:pPr>
    </w:p>
    <w:p w14:paraId="2CB8B990" w14:textId="77777777" w:rsidR="00582DCD" w:rsidRPr="00333FFE" w:rsidRDefault="00582DCD" w:rsidP="00333FFE">
      <w:pPr>
        <w:keepNext/>
        <w:rPr>
          <w:rFonts w:ascii="David" w:hAnsi="David"/>
          <w:color w:val="000000"/>
          <w:sz w:val="22"/>
          <w:szCs w:val="22"/>
          <w:rtl/>
        </w:rPr>
      </w:pPr>
    </w:p>
    <w:p w14:paraId="45B3925E" w14:textId="77777777" w:rsidR="00333FFE" w:rsidRPr="00333FFE" w:rsidRDefault="00333FFE" w:rsidP="00333FFE">
      <w:pPr>
        <w:keepNext/>
        <w:rPr>
          <w:rFonts w:ascii="David" w:hAnsi="David"/>
          <w:color w:val="000000"/>
          <w:sz w:val="22"/>
          <w:szCs w:val="22"/>
          <w:rtl/>
        </w:rPr>
      </w:pPr>
      <w:r w:rsidRPr="00333FFE">
        <w:rPr>
          <w:rFonts w:ascii="David" w:hAnsi="David"/>
          <w:color w:val="000000"/>
          <w:sz w:val="22"/>
          <w:szCs w:val="22"/>
          <w:rtl/>
        </w:rPr>
        <w:t>דניאל פיש 54678313</w:t>
      </w:r>
    </w:p>
    <w:p w14:paraId="1502FDD0" w14:textId="77777777" w:rsidR="00333FFE" w:rsidRDefault="00333FFE" w:rsidP="00333FFE">
      <w:r w:rsidRPr="00333FFE">
        <w:rPr>
          <w:color w:val="000000"/>
          <w:rtl/>
        </w:rPr>
        <w:t>נוסח מסמך זה כפוף לשינויי ניסוח ועריכה</w:t>
      </w:r>
    </w:p>
    <w:p w14:paraId="2ECFC9FD" w14:textId="77777777" w:rsidR="00333FFE" w:rsidRDefault="00333FFE" w:rsidP="00333FFE">
      <w:pPr>
        <w:rPr>
          <w:rtl/>
        </w:rPr>
      </w:pPr>
    </w:p>
    <w:p w14:paraId="7484B5F0" w14:textId="77777777" w:rsidR="00333FFE" w:rsidRDefault="00333FFE" w:rsidP="00333FFE">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244BFE3" w14:textId="77777777" w:rsidR="00333FFE" w:rsidRPr="00333FFE" w:rsidRDefault="00333FFE" w:rsidP="00333FFE">
      <w:pPr>
        <w:jc w:val="center"/>
        <w:rPr>
          <w:color w:val="0000FF"/>
          <w:u w:val="single"/>
        </w:rPr>
      </w:pPr>
    </w:p>
    <w:sectPr w:rsidR="00333FFE" w:rsidRPr="00333FFE" w:rsidSect="00333FFE">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F9C70" w14:textId="77777777" w:rsidR="00F36D27" w:rsidRDefault="00F36D27" w:rsidP="00D114A8">
      <w:r>
        <w:separator/>
      </w:r>
    </w:p>
  </w:endnote>
  <w:endnote w:type="continuationSeparator" w:id="0">
    <w:p w14:paraId="6B3AF5E9" w14:textId="77777777" w:rsidR="00F36D27" w:rsidRDefault="00F36D27" w:rsidP="00D1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726DD" w14:textId="77777777" w:rsidR="00333FFE" w:rsidRDefault="00333FFE" w:rsidP="00333F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AAED51" w14:textId="77777777" w:rsidR="004D7BA5" w:rsidRPr="00333FFE" w:rsidRDefault="00333FFE" w:rsidP="00333FF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FD090" w14:textId="77777777" w:rsidR="00333FFE" w:rsidRDefault="00333FFE" w:rsidP="00333F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611D">
      <w:rPr>
        <w:rFonts w:ascii="FrankRuehl" w:hAnsi="FrankRuehl" w:cs="FrankRuehl"/>
        <w:noProof/>
        <w:rtl/>
      </w:rPr>
      <w:t>1</w:t>
    </w:r>
    <w:r>
      <w:rPr>
        <w:rFonts w:ascii="FrankRuehl" w:hAnsi="FrankRuehl" w:cs="FrankRuehl"/>
        <w:rtl/>
      </w:rPr>
      <w:fldChar w:fldCharType="end"/>
    </w:r>
  </w:p>
  <w:p w14:paraId="5C20C80D" w14:textId="77777777" w:rsidR="004D7BA5" w:rsidRPr="00333FFE" w:rsidRDefault="00333FFE" w:rsidP="00333FF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4B7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B6454" w14:textId="77777777" w:rsidR="00F36D27" w:rsidRDefault="00F36D27" w:rsidP="00D114A8">
      <w:r>
        <w:separator/>
      </w:r>
    </w:p>
  </w:footnote>
  <w:footnote w:type="continuationSeparator" w:id="0">
    <w:p w14:paraId="793F8570" w14:textId="77777777" w:rsidR="00F36D27" w:rsidRDefault="00F36D27" w:rsidP="00D11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54050" w14:textId="77777777" w:rsidR="00333FFE" w:rsidRPr="00333FFE" w:rsidRDefault="00333FFE" w:rsidP="00333F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13164-08-21</w:t>
    </w:r>
    <w:r>
      <w:rPr>
        <w:rFonts w:ascii="David" w:hAnsi="David"/>
        <w:color w:val="000000"/>
        <w:sz w:val="22"/>
        <w:szCs w:val="22"/>
        <w:rtl/>
      </w:rPr>
      <w:tab/>
      <w:t xml:space="preserve"> מדינת ישראל נ' סרגיי קרוביאקוב  </w:t>
    </w:r>
    <w:r>
      <w:rPr>
        <w:rFonts w:ascii="David" w:hAnsi="David"/>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AABB9" w14:textId="77777777" w:rsidR="00333FFE" w:rsidRPr="00333FFE" w:rsidRDefault="00333FFE" w:rsidP="00333F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13164-08-21</w:t>
    </w:r>
    <w:r>
      <w:rPr>
        <w:rFonts w:ascii="David" w:hAnsi="David"/>
        <w:color w:val="000000"/>
        <w:sz w:val="22"/>
        <w:szCs w:val="22"/>
        <w:rtl/>
      </w:rPr>
      <w:tab/>
      <w:t xml:space="preserve"> מדינת ישראל נ' סרגיי קרוביאקוב  </w:t>
    </w:r>
    <w:r>
      <w:rPr>
        <w:rFonts w:ascii="David" w:hAnsi="David"/>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1987"/>
        </w:tabs>
        <w:ind w:left="1080" w:firstLine="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 w15:restartNumberingAfterBreak="0">
    <w:nsid w:val="321C13D2"/>
    <w:multiLevelType w:val="hybridMultilevel"/>
    <w:tmpl w:val="7B6EC53C"/>
    <w:lvl w:ilvl="0" w:tplc="5F9C58C8">
      <w:start w:val="11"/>
      <w:numFmt w:val="bullet"/>
      <w:lvlText w:val="-"/>
      <w:lvlJc w:val="left"/>
      <w:pPr>
        <w:ind w:left="36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042957">
    <w:abstractNumId w:val="1"/>
  </w:num>
  <w:num w:numId="2" w16cid:durableId="365370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4A7C"/>
    <w:rsid w:val="001B5A3B"/>
    <w:rsid w:val="00242A01"/>
    <w:rsid w:val="003159D5"/>
    <w:rsid w:val="00333FFE"/>
    <w:rsid w:val="004D7BA5"/>
    <w:rsid w:val="00582DCD"/>
    <w:rsid w:val="006E14DD"/>
    <w:rsid w:val="00734A7C"/>
    <w:rsid w:val="00745F27"/>
    <w:rsid w:val="00822D76"/>
    <w:rsid w:val="009403B3"/>
    <w:rsid w:val="00A22FD8"/>
    <w:rsid w:val="00A2611D"/>
    <w:rsid w:val="00B7592D"/>
    <w:rsid w:val="00D114A8"/>
    <w:rsid w:val="00DE7C05"/>
    <w:rsid w:val="00F36D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EB9A8D"/>
  <w15:chartTrackingRefBased/>
  <w15:docId w15:val="{54631922-F391-4EEF-BC2F-99EA4939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4A7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4A7C"/>
    <w:pPr>
      <w:tabs>
        <w:tab w:val="center" w:pos="4153"/>
        <w:tab w:val="right" w:pos="8306"/>
      </w:tabs>
    </w:pPr>
  </w:style>
  <w:style w:type="character" w:customStyle="1" w:styleId="a4">
    <w:name w:val="כותרת עליונה תו"/>
    <w:link w:val="a3"/>
    <w:rsid w:val="00734A7C"/>
    <w:rPr>
      <w:rFonts w:ascii="Times New Roman" w:eastAsia="Times New Roman" w:hAnsi="Times New Roman" w:cs="David"/>
      <w:sz w:val="24"/>
      <w:szCs w:val="24"/>
    </w:rPr>
  </w:style>
  <w:style w:type="paragraph" w:styleId="a5">
    <w:name w:val="footer"/>
    <w:basedOn w:val="a"/>
    <w:link w:val="a6"/>
    <w:rsid w:val="00734A7C"/>
    <w:pPr>
      <w:tabs>
        <w:tab w:val="center" w:pos="4153"/>
        <w:tab w:val="right" w:pos="8306"/>
      </w:tabs>
    </w:pPr>
  </w:style>
  <w:style w:type="character" w:customStyle="1" w:styleId="a6">
    <w:name w:val="כותרת תחתונה תו"/>
    <w:link w:val="a5"/>
    <w:rsid w:val="00734A7C"/>
    <w:rPr>
      <w:rFonts w:ascii="Times New Roman" w:eastAsia="Times New Roman" w:hAnsi="Times New Roman" w:cs="David"/>
      <w:sz w:val="24"/>
      <w:szCs w:val="24"/>
    </w:rPr>
  </w:style>
  <w:style w:type="table" w:styleId="a7">
    <w:name w:val="Table Grid"/>
    <w:basedOn w:val="a1"/>
    <w:rsid w:val="00734A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4A7C"/>
  </w:style>
  <w:style w:type="paragraph" w:styleId="a9">
    <w:name w:val="List Paragraph"/>
    <w:basedOn w:val="a"/>
    <w:qFormat/>
    <w:rsid w:val="00734A7C"/>
    <w:pPr>
      <w:ind w:left="720"/>
      <w:contextualSpacing/>
    </w:pPr>
  </w:style>
  <w:style w:type="paragraph" w:customStyle="1" w:styleId="Ruller4">
    <w:name w:val="Ruller 4 ממוספר"/>
    <w:basedOn w:val="a"/>
    <w:next w:val="a"/>
    <w:rsid w:val="00734A7C"/>
    <w:pPr>
      <w:numPr>
        <w:numId w:val="2"/>
      </w:numPr>
      <w:tabs>
        <w:tab w:val="left" w:pos="800"/>
      </w:tabs>
      <w:overflowPunct w:val="0"/>
      <w:autoSpaceDE w:val="0"/>
      <w:autoSpaceDN w:val="0"/>
      <w:adjustRightInd w:val="0"/>
      <w:jc w:val="both"/>
    </w:pPr>
    <w:rPr>
      <w:rFonts w:ascii="Garamond" w:hAnsi="Garamond"/>
    </w:rPr>
  </w:style>
  <w:style w:type="paragraph" w:customStyle="1" w:styleId="1">
    <w:name w:val="פיסקת רשימה1"/>
    <w:basedOn w:val="a"/>
    <w:rsid w:val="00734A7C"/>
    <w:pPr>
      <w:ind w:left="720"/>
      <w:contextualSpacing/>
    </w:pPr>
  </w:style>
  <w:style w:type="character" w:styleId="aa">
    <w:name w:val="Strong"/>
    <w:qFormat/>
    <w:rsid w:val="00734A7C"/>
    <w:rPr>
      <w:b/>
      <w:bCs/>
    </w:rPr>
  </w:style>
  <w:style w:type="paragraph" w:customStyle="1" w:styleId="12">
    <w:name w:val="רגיל + ‏12 נק'"/>
    <w:aliases w:val="מיושר לשני הצדדים,מרווח בין שורות:  שורה וחצי"/>
    <w:basedOn w:val="a"/>
    <w:rsid w:val="00734A7C"/>
    <w:rPr>
      <w:b/>
      <w:bCs/>
      <w:u w:val="single"/>
    </w:rPr>
  </w:style>
  <w:style w:type="character" w:styleId="Hyperlink">
    <w:name w:val="Hyperlink"/>
    <w:rsid w:val="00333F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82.b" TargetMode="External"/><Relationship Id="rId26" Type="http://schemas.openxmlformats.org/officeDocument/2006/relationships/hyperlink" Target="http://www.nevo.co.il/case/21474168"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6234659" TargetMode="External"/><Relationship Id="rId34" Type="http://schemas.openxmlformats.org/officeDocument/2006/relationships/hyperlink" Target="http://www.nevo.co.il/case/21474922"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case/232379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2.b" TargetMode="External"/><Relationship Id="rId24" Type="http://schemas.openxmlformats.org/officeDocument/2006/relationships/hyperlink" Target="http://www.nevo.co.il/case/16913730" TargetMode="External"/><Relationship Id="rId32" Type="http://schemas.openxmlformats.org/officeDocument/2006/relationships/hyperlink" Target="http://www.nevo.co.il/case/21659433" TargetMode="External"/><Relationship Id="rId37" Type="http://schemas.openxmlformats.org/officeDocument/2006/relationships/hyperlink" Target="http://www.nevo.co.il/case/4428185"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836172" TargetMode="External"/><Relationship Id="rId23" Type="http://schemas.openxmlformats.org/officeDocument/2006/relationships/hyperlink" Target="http://www.nevo.co.il/case/25612982" TargetMode="External"/><Relationship Id="rId28" Type="http://schemas.openxmlformats.org/officeDocument/2006/relationships/hyperlink" Target="http://www.nevo.co.il/case/5610792" TargetMode="External"/><Relationship Id="rId36" Type="http://schemas.openxmlformats.org/officeDocument/2006/relationships/hyperlink" Target="http://www.nevo.co.il/case/20817888" TargetMode="External"/><Relationship Id="rId10" Type="http://schemas.openxmlformats.org/officeDocument/2006/relationships/hyperlink" Target="http://www.nevo.co.il/law/70301/192"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779149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571437" TargetMode="External"/><Relationship Id="rId27" Type="http://schemas.openxmlformats.org/officeDocument/2006/relationships/hyperlink" Target="http://www.nevo.co.il/case/5576612" TargetMode="External"/><Relationship Id="rId30" Type="http://schemas.openxmlformats.org/officeDocument/2006/relationships/hyperlink" Target="http://www.nevo.co.il/case/26496248" TargetMode="External"/><Relationship Id="rId35" Type="http://schemas.openxmlformats.org/officeDocument/2006/relationships/hyperlink" Target="http://www.nevo.co.il/case/25892549" TargetMode="External"/><Relationship Id="rId43"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137915" TargetMode="External"/><Relationship Id="rId33" Type="http://schemas.openxmlformats.org/officeDocument/2006/relationships/hyperlink" Target="http://www.nevo.co.il/case/5808567" TargetMode="External"/><Relationship Id="rId38" Type="http://schemas.openxmlformats.org/officeDocument/2006/relationships/hyperlink" Target="http://www.nevo.co.il/case/27907602" TargetMode="External"/><Relationship Id="rId20" Type="http://schemas.openxmlformats.org/officeDocument/2006/relationships/hyperlink" Target="http://www.nevo.co.il/case/5920165"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2431</Words>
  <Characters>12156</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14558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3932277</vt:i4>
      </vt:variant>
      <vt:variant>
        <vt:i4>93</vt:i4>
      </vt:variant>
      <vt:variant>
        <vt:i4>0</vt:i4>
      </vt:variant>
      <vt:variant>
        <vt:i4>5</vt:i4>
      </vt:variant>
      <vt:variant>
        <vt:lpwstr>http://www.nevo.co.il/case/27907602</vt:lpwstr>
      </vt:variant>
      <vt:variant>
        <vt:lpwstr/>
      </vt:variant>
      <vt:variant>
        <vt:i4>3276912</vt:i4>
      </vt:variant>
      <vt:variant>
        <vt:i4>90</vt:i4>
      </vt:variant>
      <vt:variant>
        <vt:i4>0</vt:i4>
      </vt:variant>
      <vt:variant>
        <vt:i4>5</vt:i4>
      </vt:variant>
      <vt:variant>
        <vt:lpwstr>http://www.nevo.co.il/case/4428185</vt:lpwstr>
      </vt:variant>
      <vt:variant>
        <vt:lpwstr/>
      </vt:variant>
      <vt:variant>
        <vt:i4>3473533</vt:i4>
      </vt:variant>
      <vt:variant>
        <vt:i4>87</vt:i4>
      </vt:variant>
      <vt:variant>
        <vt:i4>0</vt:i4>
      </vt:variant>
      <vt:variant>
        <vt:i4>5</vt:i4>
      </vt:variant>
      <vt:variant>
        <vt:lpwstr>http://www.nevo.co.il/case/20817888</vt:lpwstr>
      </vt:variant>
      <vt:variant>
        <vt:lpwstr/>
      </vt:variant>
      <vt:variant>
        <vt:i4>3932285</vt:i4>
      </vt:variant>
      <vt:variant>
        <vt:i4>84</vt:i4>
      </vt:variant>
      <vt:variant>
        <vt:i4>0</vt:i4>
      </vt:variant>
      <vt:variant>
        <vt:i4>5</vt:i4>
      </vt:variant>
      <vt:variant>
        <vt:lpwstr>http://www.nevo.co.il/case/25892549</vt:lpwstr>
      </vt:variant>
      <vt:variant>
        <vt:lpwstr/>
      </vt:variant>
      <vt:variant>
        <vt:i4>3145851</vt:i4>
      </vt:variant>
      <vt:variant>
        <vt:i4>81</vt:i4>
      </vt:variant>
      <vt:variant>
        <vt:i4>0</vt:i4>
      </vt:variant>
      <vt:variant>
        <vt:i4>5</vt:i4>
      </vt:variant>
      <vt:variant>
        <vt:lpwstr>http://www.nevo.co.il/case/21474922</vt:lpwstr>
      </vt:variant>
      <vt:variant>
        <vt:lpwstr/>
      </vt:variant>
      <vt:variant>
        <vt:i4>3604594</vt:i4>
      </vt:variant>
      <vt:variant>
        <vt:i4>78</vt:i4>
      </vt:variant>
      <vt:variant>
        <vt:i4>0</vt:i4>
      </vt:variant>
      <vt:variant>
        <vt:i4>5</vt:i4>
      </vt:variant>
      <vt:variant>
        <vt:lpwstr>http://www.nevo.co.il/case/5808567</vt:lpwstr>
      </vt:variant>
      <vt:variant>
        <vt:lpwstr/>
      </vt:variant>
      <vt:variant>
        <vt:i4>4063348</vt:i4>
      </vt:variant>
      <vt:variant>
        <vt:i4>75</vt:i4>
      </vt:variant>
      <vt:variant>
        <vt:i4>0</vt:i4>
      </vt:variant>
      <vt:variant>
        <vt:i4>5</vt:i4>
      </vt:variant>
      <vt:variant>
        <vt:lpwstr>http://www.nevo.co.il/case/21659433</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3407993</vt:i4>
      </vt:variant>
      <vt:variant>
        <vt:i4>69</vt:i4>
      </vt:variant>
      <vt:variant>
        <vt:i4>0</vt:i4>
      </vt:variant>
      <vt:variant>
        <vt:i4>5</vt:i4>
      </vt:variant>
      <vt:variant>
        <vt:lpwstr>http://www.nevo.co.il/case/26496248</vt:lpwstr>
      </vt:variant>
      <vt:variant>
        <vt:lpwstr/>
      </vt:variant>
      <vt:variant>
        <vt:i4>4063357</vt:i4>
      </vt:variant>
      <vt:variant>
        <vt:i4>66</vt:i4>
      </vt:variant>
      <vt:variant>
        <vt:i4>0</vt:i4>
      </vt:variant>
      <vt:variant>
        <vt:i4>5</vt:i4>
      </vt:variant>
      <vt:variant>
        <vt:lpwstr>http://www.nevo.co.il/case/23237999</vt:lpwstr>
      </vt:variant>
      <vt:variant>
        <vt:lpwstr/>
      </vt:variant>
      <vt:variant>
        <vt:i4>3211387</vt:i4>
      </vt:variant>
      <vt:variant>
        <vt:i4>63</vt:i4>
      </vt:variant>
      <vt:variant>
        <vt:i4>0</vt:i4>
      </vt:variant>
      <vt:variant>
        <vt:i4>5</vt:i4>
      </vt:variant>
      <vt:variant>
        <vt:lpwstr>http://www.nevo.co.il/case/5610792</vt:lpwstr>
      </vt:variant>
      <vt:variant>
        <vt:lpwstr/>
      </vt:variant>
      <vt:variant>
        <vt:i4>3539062</vt:i4>
      </vt:variant>
      <vt:variant>
        <vt:i4>60</vt:i4>
      </vt:variant>
      <vt:variant>
        <vt:i4>0</vt:i4>
      </vt:variant>
      <vt:variant>
        <vt:i4>5</vt:i4>
      </vt:variant>
      <vt:variant>
        <vt:lpwstr>http://www.nevo.co.il/case/5576612</vt:lpwstr>
      </vt:variant>
      <vt:variant>
        <vt:lpwstr/>
      </vt:variant>
      <vt:variant>
        <vt:i4>3407987</vt:i4>
      </vt:variant>
      <vt:variant>
        <vt:i4>57</vt:i4>
      </vt:variant>
      <vt:variant>
        <vt:i4>0</vt:i4>
      </vt:variant>
      <vt:variant>
        <vt:i4>5</vt:i4>
      </vt:variant>
      <vt:variant>
        <vt:lpwstr>http://www.nevo.co.il/case/21474168</vt:lpwstr>
      </vt:variant>
      <vt:variant>
        <vt:lpwstr/>
      </vt:variant>
      <vt:variant>
        <vt:i4>3473532</vt:i4>
      </vt:variant>
      <vt:variant>
        <vt:i4>54</vt:i4>
      </vt:variant>
      <vt:variant>
        <vt:i4>0</vt:i4>
      </vt:variant>
      <vt:variant>
        <vt:i4>5</vt:i4>
      </vt:variant>
      <vt:variant>
        <vt:lpwstr>http://www.nevo.co.il/case/22137915</vt:lpwstr>
      </vt:variant>
      <vt:variant>
        <vt:lpwstr/>
      </vt:variant>
      <vt:variant>
        <vt:i4>3670132</vt:i4>
      </vt:variant>
      <vt:variant>
        <vt:i4>51</vt:i4>
      </vt:variant>
      <vt:variant>
        <vt:i4>0</vt:i4>
      </vt:variant>
      <vt:variant>
        <vt:i4>5</vt:i4>
      </vt:variant>
      <vt:variant>
        <vt:lpwstr>http://www.nevo.co.il/case/16913730</vt:lpwstr>
      </vt:variant>
      <vt:variant>
        <vt:lpwstr/>
      </vt:variant>
      <vt:variant>
        <vt:i4>4063353</vt:i4>
      </vt:variant>
      <vt:variant>
        <vt:i4>48</vt:i4>
      </vt:variant>
      <vt:variant>
        <vt:i4>0</vt:i4>
      </vt:variant>
      <vt:variant>
        <vt:i4>5</vt:i4>
      </vt:variant>
      <vt:variant>
        <vt:lpwstr>http://www.nevo.co.il/case/25612982</vt:lpwstr>
      </vt:variant>
      <vt:variant>
        <vt:lpwstr/>
      </vt:variant>
      <vt:variant>
        <vt:i4>3211379</vt:i4>
      </vt:variant>
      <vt:variant>
        <vt:i4>45</vt:i4>
      </vt:variant>
      <vt:variant>
        <vt:i4>0</vt:i4>
      </vt:variant>
      <vt:variant>
        <vt:i4>5</vt:i4>
      </vt:variant>
      <vt:variant>
        <vt:lpwstr>http://www.nevo.co.il/case/5571437</vt:lpwstr>
      </vt:variant>
      <vt:variant>
        <vt:lpwstr/>
      </vt:variant>
      <vt:variant>
        <vt:i4>3801207</vt:i4>
      </vt:variant>
      <vt:variant>
        <vt:i4>42</vt:i4>
      </vt:variant>
      <vt:variant>
        <vt:i4>0</vt:i4>
      </vt:variant>
      <vt:variant>
        <vt:i4>5</vt:i4>
      </vt:variant>
      <vt:variant>
        <vt:lpwstr>http://www.nevo.co.il/case/6234659</vt:lpwstr>
      </vt:variant>
      <vt:variant>
        <vt:lpwstr/>
      </vt:variant>
      <vt:variant>
        <vt:i4>3342459</vt:i4>
      </vt:variant>
      <vt:variant>
        <vt:i4>39</vt:i4>
      </vt:variant>
      <vt:variant>
        <vt:i4>0</vt:i4>
      </vt:variant>
      <vt:variant>
        <vt:i4>5</vt:i4>
      </vt:variant>
      <vt:variant>
        <vt:lpwstr>http://www.nevo.co.il/case/5920165</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4390996</vt:i4>
      </vt:variant>
      <vt:variant>
        <vt:i4>33</vt:i4>
      </vt:variant>
      <vt:variant>
        <vt:i4>0</vt:i4>
      </vt:variant>
      <vt:variant>
        <vt:i4>5</vt:i4>
      </vt:variant>
      <vt:variant>
        <vt:lpwstr>http://www.nevo.co.il/law/70301/382.b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3866737</vt:i4>
      </vt:variant>
      <vt:variant>
        <vt:i4>24</vt:i4>
      </vt:variant>
      <vt:variant>
        <vt:i4>0</vt:i4>
      </vt:variant>
      <vt:variant>
        <vt:i4>5</vt:i4>
      </vt:variant>
      <vt:variant>
        <vt:lpwstr>http://www.nevo.co.il/case/27836172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4390996</vt:i4>
      </vt:variant>
      <vt:variant>
        <vt:i4>12</vt:i4>
      </vt:variant>
      <vt:variant>
        <vt:i4>0</vt:i4>
      </vt:variant>
      <vt:variant>
        <vt:i4>5</vt:i4>
      </vt:variant>
      <vt:variant>
        <vt:lpwstr>http://www.nevo.co.il/law/70301/382.b</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2025-01-19T16:44:00Z</dcterms:created>
  <dcterms:modified xsi:type="dcterms:W3CDTF">2025-01-19T16:44:00Z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13164</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סרגיי קרוביאקוב </vt:lpwstr>
  </property>
  <property fmtid="{D5CDD505-2E9C-101B-9397-08002B2CF9AE}" pid="10" name="LAWYER">
    <vt:lpwstr>יובל לביא;מאיר נבון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20220301</vt:lpwstr>
  </property>
  <property fmtid="{D5CDD505-2E9C-101B-9397-08002B2CF9AE}" pid="14" name="TYPE_N_DATE">
    <vt:lpwstr>39020220301</vt:lpwstr>
  </property>
  <property fmtid="{D5CDD505-2E9C-101B-9397-08002B2CF9AE}" pid="15" name="WORDNUMPAGES">
    <vt:lpwstr>9</vt:lpwstr>
  </property>
  <property fmtid="{D5CDD505-2E9C-101B-9397-08002B2CF9AE}" pid="16" name="TYPE_ABS_DATE">
    <vt:lpwstr>390020220301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27836172;25824863;5920165;6234659;5571437;25612982;16913730;22137915;21474168;5576612;5610792;23237999;26496248;7791493;21659433;5808567;21474922;25892549;20817888;4428185;27907602</vt:lpwstr>
  </property>
  <property fmtid="{D5CDD505-2E9C-101B-9397-08002B2CF9AE}" pid="36" name="LAWLISTTMP1">
    <vt:lpwstr>70301/144.a;144.b;192;382.b</vt:lpwstr>
  </property>
</Properties>
</file>