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3D065E" w:rsidRPr="00AA70CA" w14:paraId="485A2AED" w14:textId="77777777" w:rsidTr="00B64D91">
        <w:trPr>
          <w:trHeight w:val="418"/>
          <w:jc w:val="center"/>
        </w:trPr>
        <w:tc>
          <w:tcPr>
            <w:tcW w:w="8504" w:type="dxa"/>
            <w:gridSpan w:val="3"/>
          </w:tcPr>
          <w:p w14:paraId="6C710F05" w14:textId="77777777" w:rsidR="003D065E" w:rsidRPr="00AA70CA" w:rsidRDefault="003D065E" w:rsidP="00B64D91">
            <w:pPr>
              <w:pStyle w:val="a3"/>
              <w:jc w:val="center"/>
              <w:rPr>
                <w:rtl/>
              </w:rPr>
            </w:pPr>
            <w:r w:rsidRPr="00AA70CA">
              <w:rPr>
                <w:rFonts w:ascii="Tahoma" w:hAnsi="Tahoma" w:cs="Tahoma"/>
                <w:b/>
                <w:bCs/>
                <w:color w:val="000080"/>
                <w:sz w:val="20"/>
                <w:szCs w:val="20"/>
                <w:rtl/>
              </w:rPr>
              <w:t>בית המשפט המחוזי בבאר שבע</w:t>
            </w:r>
          </w:p>
        </w:tc>
      </w:tr>
      <w:tr w:rsidR="003D065E" w:rsidRPr="00AA70CA" w14:paraId="5F5445F5" w14:textId="77777777" w:rsidTr="00B64D91">
        <w:trPr>
          <w:trHeight w:val="337"/>
          <w:jc w:val="center"/>
        </w:trPr>
        <w:tc>
          <w:tcPr>
            <w:tcW w:w="4676" w:type="dxa"/>
          </w:tcPr>
          <w:p w14:paraId="462DA688" w14:textId="77777777" w:rsidR="003D065E" w:rsidRPr="00AA70CA" w:rsidRDefault="003D065E" w:rsidP="00B64D91">
            <w:pPr>
              <w:spacing w:line="360" w:lineRule="auto"/>
              <w:jc w:val="both"/>
              <w:rPr>
                <w:b/>
                <w:bCs/>
                <w:rtl/>
              </w:rPr>
            </w:pPr>
            <w:r w:rsidRPr="00AA70CA">
              <w:rPr>
                <w:rFonts w:hint="cs"/>
                <w:b/>
                <w:bCs/>
                <w:rtl/>
              </w:rPr>
              <w:t>לפני כבוד סגן הנשיאה, השופט אליהו ביתן</w:t>
            </w:r>
          </w:p>
        </w:tc>
        <w:tc>
          <w:tcPr>
            <w:tcW w:w="241" w:type="dxa"/>
          </w:tcPr>
          <w:p w14:paraId="605A807A" w14:textId="77777777" w:rsidR="003D065E" w:rsidRPr="00AA70CA" w:rsidRDefault="003D065E" w:rsidP="00B64D91">
            <w:pPr>
              <w:pStyle w:val="a3"/>
              <w:jc w:val="right"/>
              <w:rPr>
                <w:b/>
                <w:bCs/>
                <w:rtl/>
              </w:rPr>
            </w:pPr>
          </w:p>
        </w:tc>
        <w:tc>
          <w:tcPr>
            <w:tcW w:w="3587" w:type="dxa"/>
          </w:tcPr>
          <w:p w14:paraId="0AFFB6B1" w14:textId="77777777" w:rsidR="003D065E" w:rsidRPr="00AA70CA" w:rsidRDefault="003D065E" w:rsidP="00B64D91">
            <w:pPr>
              <w:pStyle w:val="a3"/>
              <w:tabs>
                <w:tab w:val="clear" w:pos="4153"/>
              </w:tabs>
              <w:jc w:val="right"/>
              <w:rPr>
                <w:rtl/>
              </w:rPr>
            </w:pPr>
            <w:r w:rsidRPr="00AA70CA">
              <w:rPr>
                <w:rFonts w:hint="cs"/>
                <w:b/>
                <w:bCs/>
                <w:rtl/>
              </w:rPr>
              <w:t>19 מאי 2022</w:t>
            </w:r>
          </w:p>
          <w:p w14:paraId="0F106D22" w14:textId="77777777" w:rsidR="003D065E" w:rsidRPr="00AA70CA" w:rsidRDefault="003D065E" w:rsidP="00B64D91">
            <w:pPr>
              <w:pStyle w:val="a3"/>
              <w:tabs>
                <w:tab w:val="clear" w:pos="4153"/>
              </w:tabs>
              <w:rPr>
                <w:b/>
                <w:bCs/>
                <w:rtl/>
              </w:rPr>
            </w:pPr>
          </w:p>
          <w:p w14:paraId="04377A1C" w14:textId="77777777" w:rsidR="003D065E" w:rsidRPr="00AA70CA" w:rsidRDefault="003D065E" w:rsidP="00B64D91">
            <w:pPr>
              <w:jc w:val="right"/>
              <w:rPr>
                <w:rtl/>
              </w:rPr>
            </w:pPr>
            <w:r w:rsidRPr="00AA70CA">
              <w:rPr>
                <w:rFonts w:hint="cs"/>
                <w:b/>
                <w:bCs/>
                <w:rtl/>
              </w:rPr>
              <w:t>ת"פ 15133-08-21 מדינת ישראל נ' אבו מדיעם(עציר)</w:t>
            </w:r>
          </w:p>
        </w:tc>
      </w:tr>
    </w:tbl>
    <w:p w14:paraId="3F0CB447" w14:textId="77777777" w:rsidR="003D065E" w:rsidRPr="00AA70CA" w:rsidRDefault="003D065E" w:rsidP="003D065E">
      <w:pPr>
        <w:spacing w:line="360" w:lineRule="auto"/>
        <w:jc w:val="both"/>
        <w:rPr>
          <w:sz w:val="6"/>
          <w:szCs w:val="6"/>
          <w:rtl/>
        </w:rPr>
      </w:pPr>
      <w:bookmarkStart w:id="0" w:name="LastJudge"/>
      <w:bookmarkEnd w:id="0"/>
    </w:p>
    <w:tbl>
      <w:tblPr>
        <w:bidiVisual/>
        <w:tblW w:w="8524" w:type="dxa"/>
        <w:tblInd w:w="250" w:type="dxa"/>
        <w:tblLook w:val="01E0" w:firstRow="1" w:lastRow="1" w:firstColumn="1" w:lastColumn="1" w:noHBand="0" w:noVBand="0"/>
      </w:tblPr>
      <w:tblGrid>
        <w:gridCol w:w="2242"/>
        <w:gridCol w:w="6226"/>
        <w:gridCol w:w="56"/>
      </w:tblGrid>
      <w:tr w:rsidR="003D065E" w:rsidRPr="00AA70CA" w14:paraId="1A0DD893" w14:textId="77777777" w:rsidTr="003D065E">
        <w:trPr>
          <w:gridAfter w:val="1"/>
          <w:wAfter w:w="56" w:type="dxa"/>
        </w:trPr>
        <w:tc>
          <w:tcPr>
            <w:tcW w:w="8468" w:type="dxa"/>
            <w:gridSpan w:val="2"/>
            <w:shd w:val="clear" w:color="auto" w:fill="auto"/>
          </w:tcPr>
          <w:p w14:paraId="656CCD53" w14:textId="77777777" w:rsidR="003D065E" w:rsidRPr="00AA70CA" w:rsidRDefault="003D065E" w:rsidP="003D065E">
            <w:pPr>
              <w:spacing w:line="360" w:lineRule="auto"/>
              <w:jc w:val="both"/>
              <w:rPr>
                <w:rFonts w:ascii="David" w:hAnsi="David"/>
                <w:b/>
                <w:bCs/>
                <w:rtl/>
              </w:rPr>
            </w:pPr>
            <w:r w:rsidRPr="00AA70CA">
              <w:rPr>
                <w:rFonts w:ascii="David" w:hAnsi="David" w:hint="cs"/>
                <w:b/>
                <w:bCs/>
                <w:rtl/>
              </w:rPr>
              <w:t>בעניין:</w:t>
            </w:r>
          </w:p>
        </w:tc>
      </w:tr>
      <w:tr w:rsidR="003D065E" w:rsidRPr="00AA70CA" w14:paraId="6DFCB4F5" w14:textId="77777777" w:rsidTr="003D065E">
        <w:tc>
          <w:tcPr>
            <w:tcW w:w="2242" w:type="dxa"/>
            <w:shd w:val="clear" w:color="auto" w:fill="auto"/>
          </w:tcPr>
          <w:p w14:paraId="203A36B4" w14:textId="77777777" w:rsidR="003D065E" w:rsidRPr="00AA70CA" w:rsidRDefault="003D065E" w:rsidP="003D065E">
            <w:pPr>
              <w:spacing w:line="360" w:lineRule="auto"/>
              <w:ind w:left="26"/>
              <w:rPr>
                <w:rFonts w:ascii="David" w:hAnsi="David"/>
                <w:b/>
                <w:bCs/>
                <w:rtl/>
              </w:rPr>
            </w:pPr>
            <w:bookmarkStart w:id="1" w:name="FirstAppellant"/>
            <w:r w:rsidRPr="00AA70CA">
              <w:rPr>
                <w:rFonts w:ascii="David" w:hAnsi="David" w:hint="cs"/>
                <w:b/>
                <w:bCs/>
                <w:rtl/>
              </w:rPr>
              <w:t>המאשימה:</w:t>
            </w:r>
          </w:p>
        </w:tc>
        <w:tc>
          <w:tcPr>
            <w:tcW w:w="6282" w:type="dxa"/>
            <w:gridSpan w:val="2"/>
            <w:shd w:val="clear" w:color="auto" w:fill="auto"/>
          </w:tcPr>
          <w:p w14:paraId="74514CD0" w14:textId="77777777" w:rsidR="003D065E" w:rsidRPr="00AA70CA" w:rsidRDefault="003D065E" w:rsidP="003D065E">
            <w:pPr>
              <w:spacing w:line="360" w:lineRule="auto"/>
              <w:rPr>
                <w:rFonts w:ascii="David" w:hAnsi="David"/>
                <w:b/>
                <w:bCs/>
                <w:rtl/>
              </w:rPr>
            </w:pPr>
            <w:r w:rsidRPr="00AA70CA">
              <w:rPr>
                <w:rFonts w:ascii="David" w:hAnsi="David" w:hint="cs"/>
                <w:b/>
                <w:bCs/>
                <w:rtl/>
              </w:rPr>
              <w:t>מדינת ישראל</w:t>
            </w:r>
          </w:p>
        </w:tc>
      </w:tr>
      <w:bookmarkEnd w:id="1"/>
      <w:tr w:rsidR="003D065E" w:rsidRPr="00AA70CA" w14:paraId="10FB4749" w14:textId="77777777" w:rsidTr="003D065E">
        <w:tc>
          <w:tcPr>
            <w:tcW w:w="8524" w:type="dxa"/>
            <w:gridSpan w:val="3"/>
            <w:shd w:val="clear" w:color="auto" w:fill="auto"/>
          </w:tcPr>
          <w:p w14:paraId="12B6FC57" w14:textId="77777777" w:rsidR="003D065E" w:rsidRPr="00AA70CA" w:rsidRDefault="003D065E" w:rsidP="003D065E">
            <w:pPr>
              <w:spacing w:line="360" w:lineRule="auto"/>
              <w:jc w:val="center"/>
              <w:rPr>
                <w:rFonts w:ascii="David" w:hAnsi="David"/>
                <w:b/>
                <w:bCs/>
                <w:sz w:val="28"/>
                <w:szCs w:val="28"/>
                <w:rtl/>
              </w:rPr>
            </w:pPr>
            <w:r w:rsidRPr="00AA70CA">
              <w:rPr>
                <w:rFonts w:ascii="David" w:hAnsi="David" w:hint="cs"/>
                <w:b/>
                <w:bCs/>
                <w:sz w:val="28"/>
                <w:szCs w:val="28"/>
                <w:rtl/>
              </w:rPr>
              <w:t>נגד</w:t>
            </w:r>
          </w:p>
        </w:tc>
      </w:tr>
      <w:tr w:rsidR="003D065E" w:rsidRPr="00AA70CA" w14:paraId="65558C24" w14:textId="77777777" w:rsidTr="003D065E">
        <w:tc>
          <w:tcPr>
            <w:tcW w:w="2242" w:type="dxa"/>
            <w:shd w:val="clear" w:color="auto" w:fill="auto"/>
          </w:tcPr>
          <w:p w14:paraId="12EA7F68" w14:textId="77777777" w:rsidR="003D065E" w:rsidRPr="00AA70CA" w:rsidRDefault="003D065E" w:rsidP="003D065E">
            <w:pPr>
              <w:spacing w:line="360" w:lineRule="auto"/>
              <w:ind w:left="26"/>
              <w:rPr>
                <w:rFonts w:ascii="David" w:hAnsi="David"/>
                <w:b/>
                <w:bCs/>
              </w:rPr>
            </w:pPr>
            <w:r w:rsidRPr="00AA70CA">
              <w:rPr>
                <w:rFonts w:ascii="David" w:hAnsi="David" w:hint="cs"/>
                <w:b/>
                <w:bCs/>
                <w:rtl/>
              </w:rPr>
              <w:t>הנאשם:</w:t>
            </w:r>
          </w:p>
        </w:tc>
        <w:tc>
          <w:tcPr>
            <w:tcW w:w="6282" w:type="dxa"/>
            <w:gridSpan w:val="2"/>
            <w:shd w:val="clear" w:color="auto" w:fill="auto"/>
          </w:tcPr>
          <w:p w14:paraId="492681FC" w14:textId="77777777" w:rsidR="003D065E" w:rsidRPr="00AA70CA" w:rsidRDefault="003D065E" w:rsidP="003D065E">
            <w:pPr>
              <w:spacing w:line="360" w:lineRule="auto"/>
              <w:rPr>
                <w:rFonts w:ascii="David" w:hAnsi="David"/>
                <w:b/>
                <w:bCs/>
                <w:rtl/>
              </w:rPr>
            </w:pPr>
            <w:r w:rsidRPr="00AA70CA">
              <w:rPr>
                <w:rFonts w:ascii="David" w:hAnsi="David"/>
                <w:b/>
                <w:bCs/>
                <w:rtl/>
              </w:rPr>
              <w:t>נידאל אבו מדיעם (עציר)</w:t>
            </w:r>
          </w:p>
        </w:tc>
      </w:tr>
    </w:tbl>
    <w:p w14:paraId="1DEE3AFD" w14:textId="77777777" w:rsidR="003D065E" w:rsidRPr="00AA70CA" w:rsidRDefault="003D065E" w:rsidP="003D065E">
      <w:pPr>
        <w:spacing w:line="360" w:lineRule="auto"/>
        <w:jc w:val="both"/>
        <w:rPr>
          <w:rFonts w:ascii="David" w:hAnsi="David"/>
          <w:sz w:val="6"/>
          <w:szCs w:val="6"/>
          <w:rtl/>
        </w:rPr>
      </w:pPr>
      <w:r w:rsidRPr="00AA70CA">
        <w:rPr>
          <w:rFonts w:hint="cs"/>
          <w:sz w:val="6"/>
          <w:szCs w:val="6"/>
          <w:rtl/>
        </w:rPr>
        <w:t>&lt;#1#&gt;</w:t>
      </w:r>
    </w:p>
    <w:p w14:paraId="5759C3B1" w14:textId="77777777" w:rsidR="003D065E" w:rsidRPr="00AA70CA" w:rsidRDefault="003D065E" w:rsidP="003D065E">
      <w:pPr>
        <w:pStyle w:val="12"/>
        <w:spacing w:line="360" w:lineRule="auto"/>
        <w:rPr>
          <w:u w:val="none"/>
          <w:rtl/>
        </w:rPr>
      </w:pPr>
      <w:r w:rsidRPr="00AA70CA">
        <w:rPr>
          <w:u w:val="none"/>
          <w:rtl/>
        </w:rPr>
        <w:t>נוכחים:</w:t>
      </w:r>
    </w:p>
    <w:p w14:paraId="29B53797" w14:textId="77777777" w:rsidR="003D065E" w:rsidRPr="00AA70CA" w:rsidRDefault="003D065E" w:rsidP="003D065E">
      <w:pPr>
        <w:pStyle w:val="12"/>
        <w:spacing w:line="360" w:lineRule="auto"/>
        <w:rPr>
          <w:b w:val="0"/>
          <w:bCs w:val="0"/>
          <w:u w:val="none"/>
        </w:rPr>
      </w:pPr>
      <w:bookmarkStart w:id="2" w:name="FirstLawyer"/>
      <w:r w:rsidRPr="00AA70CA">
        <w:rPr>
          <w:b w:val="0"/>
          <w:bCs w:val="0"/>
          <w:u w:val="none"/>
          <w:rtl/>
        </w:rPr>
        <w:t>ב"כ</w:t>
      </w:r>
      <w:bookmarkEnd w:id="2"/>
      <w:r w:rsidRPr="00AA70CA">
        <w:rPr>
          <w:b w:val="0"/>
          <w:bCs w:val="0"/>
          <w:u w:val="none"/>
          <w:rtl/>
        </w:rPr>
        <w:t xml:space="preserve"> המאשימה, עו"ד הדס עמר </w:t>
      </w:r>
    </w:p>
    <w:p w14:paraId="282270FA" w14:textId="77777777" w:rsidR="003D065E" w:rsidRPr="00AA70CA" w:rsidRDefault="003D065E" w:rsidP="003D065E">
      <w:pPr>
        <w:pStyle w:val="12"/>
        <w:spacing w:line="360" w:lineRule="auto"/>
        <w:rPr>
          <w:b w:val="0"/>
          <w:bCs w:val="0"/>
          <w:u w:val="none"/>
          <w:rtl/>
        </w:rPr>
      </w:pPr>
      <w:r w:rsidRPr="00AA70CA">
        <w:rPr>
          <w:b w:val="0"/>
          <w:bCs w:val="0"/>
          <w:u w:val="none"/>
          <w:rtl/>
        </w:rPr>
        <w:t>הנאשם ובא-כוחו, עו"ד אהוד בן יהודה</w:t>
      </w:r>
    </w:p>
    <w:p w14:paraId="4C54E77C" w14:textId="77777777" w:rsidR="00970E7A" w:rsidRDefault="003D065E" w:rsidP="003D065E">
      <w:pPr>
        <w:spacing w:line="360" w:lineRule="auto"/>
        <w:jc w:val="both"/>
        <w:rPr>
          <w:sz w:val="6"/>
          <w:szCs w:val="6"/>
          <w:rtl/>
        </w:rPr>
      </w:pPr>
      <w:r w:rsidRPr="00AA70CA">
        <w:rPr>
          <w:rFonts w:hint="cs"/>
          <w:sz w:val="6"/>
          <w:szCs w:val="6"/>
          <w:rtl/>
        </w:rPr>
        <w:t>4#&gt;</w:t>
      </w:r>
    </w:p>
    <w:p w14:paraId="70415084" w14:textId="77777777" w:rsidR="00970E7A" w:rsidRPr="00970E7A" w:rsidRDefault="00970E7A" w:rsidP="00970E7A">
      <w:pPr>
        <w:spacing w:after="120" w:line="240" w:lineRule="exact"/>
        <w:ind w:left="283" w:hanging="283"/>
        <w:jc w:val="both"/>
        <w:rPr>
          <w:rFonts w:ascii="FrankRuehl" w:hAnsi="FrankRuehl" w:cs="FrankRuehl"/>
          <w:rtl/>
        </w:rPr>
      </w:pPr>
    </w:p>
    <w:p w14:paraId="14BADB4E" w14:textId="77777777" w:rsidR="00935CBB" w:rsidRPr="00935CBB" w:rsidRDefault="00935CBB" w:rsidP="00935CBB">
      <w:pPr>
        <w:spacing w:before="120" w:after="120" w:line="240" w:lineRule="exact"/>
        <w:ind w:left="283" w:hanging="283"/>
        <w:jc w:val="both"/>
        <w:rPr>
          <w:rFonts w:ascii="FrankRuehl" w:hAnsi="FrankRuehl" w:cs="FrankRuehl"/>
          <w:rtl/>
        </w:rPr>
      </w:pPr>
    </w:p>
    <w:p w14:paraId="5F7C02D8" w14:textId="77777777" w:rsidR="00F84156" w:rsidRDefault="00F84156" w:rsidP="00F84156">
      <w:pPr>
        <w:spacing w:after="120" w:line="240" w:lineRule="exact"/>
        <w:ind w:left="283" w:hanging="283"/>
        <w:jc w:val="both"/>
        <w:rPr>
          <w:rFonts w:ascii="FrankRuehl" w:hAnsi="FrankRuehl" w:cs="FrankRuehl"/>
          <w:rtl/>
        </w:rPr>
      </w:pPr>
      <w:bookmarkStart w:id="3" w:name="LawTable"/>
      <w:bookmarkEnd w:id="3"/>
    </w:p>
    <w:p w14:paraId="33860B8F" w14:textId="77777777" w:rsidR="00F84156" w:rsidRPr="00F84156" w:rsidRDefault="00F84156" w:rsidP="00F84156">
      <w:pPr>
        <w:spacing w:before="120" w:after="120" w:line="240" w:lineRule="exact"/>
        <w:ind w:left="283" w:hanging="283"/>
        <w:jc w:val="both"/>
        <w:rPr>
          <w:rFonts w:ascii="FrankRuehl" w:hAnsi="FrankRuehl" w:cs="FrankRuehl"/>
          <w:rtl/>
        </w:rPr>
      </w:pPr>
    </w:p>
    <w:p w14:paraId="387646CA" w14:textId="77777777" w:rsidR="00F84156" w:rsidRPr="00F84156" w:rsidRDefault="00F84156" w:rsidP="00F84156">
      <w:pPr>
        <w:spacing w:before="120" w:after="120" w:line="240" w:lineRule="exact"/>
        <w:ind w:left="283" w:hanging="283"/>
        <w:jc w:val="both"/>
        <w:rPr>
          <w:rFonts w:ascii="FrankRuehl" w:hAnsi="FrankRuehl" w:cs="FrankRuehl"/>
          <w:rtl/>
        </w:rPr>
      </w:pPr>
    </w:p>
    <w:p w14:paraId="2C86850E" w14:textId="77777777" w:rsidR="00F84156" w:rsidRPr="00F84156" w:rsidRDefault="00F84156" w:rsidP="00F84156">
      <w:pPr>
        <w:spacing w:before="120" w:after="120" w:line="240" w:lineRule="exact"/>
        <w:ind w:left="283" w:hanging="283"/>
        <w:jc w:val="both"/>
        <w:rPr>
          <w:rFonts w:ascii="FrankRuehl" w:hAnsi="FrankRuehl" w:cs="FrankRuehl"/>
          <w:rtl/>
        </w:rPr>
      </w:pPr>
      <w:r w:rsidRPr="00F84156">
        <w:rPr>
          <w:rFonts w:ascii="FrankRuehl" w:hAnsi="FrankRuehl" w:cs="FrankRuehl"/>
          <w:rtl/>
        </w:rPr>
        <w:t xml:space="preserve">חקיקה שאוזכרה: </w:t>
      </w:r>
    </w:p>
    <w:p w14:paraId="3FAB437A" w14:textId="77777777" w:rsidR="00F84156" w:rsidRPr="00F84156" w:rsidRDefault="00F84156" w:rsidP="00F84156">
      <w:pPr>
        <w:spacing w:before="120" w:after="120" w:line="240" w:lineRule="exact"/>
        <w:ind w:left="283" w:hanging="283"/>
        <w:jc w:val="both"/>
        <w:rPr>
          <w:rFonts w:ascii="FrankRuehl" w:hAnsi="FrankRuehl" w:cs="FrankRuehl"/>
          <w:rtl/>
        </w:rPr>
      </w:pPr>
      <w:hyperlink r:id="rId6" w:history="1">
        <w:r w:rsidRPr="00F84156">
          <w:rPr>
            <w:rFonts w:ascii="FrankRuehl" w:hAnsi="FrankRuehl" w:cs="FrankRuehl"/>
            <w:color w:val="0000FF"/>
            <w:rtl/>
          </w:rPr>
          <w:t>חוק העונשין, תשל"ז-1977</w:t>
        </w:r>
      </w:hyperlink>
      <w:r w:rsidRPr="00F84156">
        <w:rPr>
          <w:rFonts w:ascii="FrankRuehl" w:hAnsi="FrankRuehl" w:cs="FrankRuehl"/>
          <w:rtl/>
        </w:rPr>
        <w:t xml:space="preserve">: סע'  </w:t>
      </w:r>
      <w:hyperlink r:id="rId7" w:history="1">
        <w:r w:rsidRPr="00F84156">
          <w:rPr>
            <w:rFonts w:ascii="FrankRuehl" w:hAnsi="FrankRuehl" w:cs="FrankRuehl"/>
            <w:color w:val="0000FF"/>
            <w:rtl/>
          </w:rPr>
          <w:t>144</w:t>
        </w:r>
      </w:hyperlink>
      <w:r w:rsidRPr="00F84156">
        <w:rPr>
          <w:rFonts w:ascii="FrankRuehl" w:hAnsi="FrankRuehl" w:cs="FrankRuehl"/>
          <w:rtl/>
        </w:rPr>
        <w:t xml:space="preserve">, </w:t>
      </w:r>
      <w:hyperlink r:id="rId8" w:history="1">
        <w:r w:rsidRPr="00F84156">
          <w:rPr>
            <w:rFonts w:ascii="FrankRuehl" w:hAnsi="FrankRuehl" w:cs="FrankRuehl"/>
            <w:color w:val="0000FF"/>
            <w:rtl/>
          </w:rPr>
          <w:t>144(ב)</w:t>
        </w:r>
      </w:hyperlink>
      <w:r w:rsidRPr="00F84156">
        <w:rPr>
          <w:rFonts w:ascii="FrankRuehl" w:hAnsi="FrankRuehl" w:cs="FrankRuehl"/>
          <w:rtl/>
        </w:rPr>
        <w:t xml:space="preserve">, </w:t>
      </w:r>
      <w:hyperlink r:id="rId9" w:history="1">
        <w:r w:rsidRPr="00F84156">
          <w:rPr>
            <w:rFonts w:ascii="FrankRuehl" w:hAnsi="FrankRuehl" w:cs="FrankRuehl"/>
            <w:color w:val="0000FF"/>
            <w:rtl/>
          </w:rPr>
          <w:t>340א' (ב)(1)</w:t>
        </w:r>
      </w:hyperlink>
    </w:p>
    <w:p w14:paraId="28486D8C" w14:textId="77777777" w:rsidR="00F84156" w:rsidRPr="00F84156" w:rsidRDefault="00F84156" w:rsidP="00F84156">
      <w:pPr>
        <w:spacing w:after="120" w:line="240" w:lineRule="exact"/>
        <w:ind w:left="283" w:hanging="283"/>
        <w:jc w:val="both"/>
        <w:rPr>
          <w:rFonts w:ascii="FrankRuehl" w:hAnsi="FrankRuehl" w:cs="FrankRuehl"/>
          <w:rtl/>
        </w:rPr>
      </w:pPr>
      <w:bookmarkStart w:id="4" w:name="LawTable_End"/>
      <w:bookmarkEnd w:id="4"/>
    </w:p>
    <w:p w14:paraId="7D9F5F9C" w14:textId="77777777" w:rsidR="00970E7A" w:rsidRPr="00935CBB" w:rsidRDefault="00970E7A" w:rsidP="00935CBB">
      <w:pPr>
        <w:spacing w:after="120" w:line="240" w:lineRule="exact"/>
        <w:ind w:left="283" w:hanging="283"/>
        <w:jc w:val="both"/>
        <w:rPr>
          <w:rFonts w:ascii="FrankRuehl" w:hAnsi="FrankRuehl" w:cs="FrankRuehl"/>
          <w:rtl/>
        </w:rPr>
      </w:pPr>
    </w:p>
    <w:p w14:paraId="6623D603" w14:textId="77777777" w:rsidR="00AA70CA" w:rsidRPr="00AA70CA" w:rsidRDefault="00AA70CA" w:rsidP="00AA70CA">
      <w:pPr>
        <w:spacing w:line="360" w:lineRule="auto"/>
        <w:jc w:val="center"/>
        <w:rPr>
          <w:rFonts w:ascii="Arial" w:hAnsi="Arial"/>
          <w:b/>
          <w:bCs/>
          <w:sz w:val="28"/>
          <w:szCs w:val="28"/>
          <w:u w:val="single"/>
          <w:rtl/>
        </w:rPr>
      </w:pPr>
      <w:bookmarkStart w:id="5" w:name="PsakDin"/>
      <w:r w:rsidRPr="00AA70CA">
        <w:rPr>
          <w:rFonts w:ascii="Arial" w:hAnsi="Arial"/>
          <w:b/>
          <w:bCs/>
          <w:sz w:val="28"/>
          <w:szCs w:val="28"/>
          <w:u w:val="single"/>
          <w:rtl/>
        </w:rPr>
        <w:t>גזר דין</w:t>
      </w:r>
    </w:p>
    <w:bookmarkEnd w:id="5"/>
    <w:p w14:paraId="07D61220" w14:textId="77777777" w:rsidR="003D065E" w:rsidRPr="0001350E" w:rsidRDefault="003D065E" w:rsidP="003D065E">
      <w:pPr>
        <w:spacing w:line="360" w:lineRule="auto"/>
        <w:jc w:val="both"/>
        <w:rPr>
          <w:rFonts w:ascii="Arial" w:hAnsi="Arial"/>
          <w:rtl/>
        </w:rPr>
      </w:pPr>
    </w:p>
    <w:p w14:paraId="3A8211B8" w14:textId="77777777" w:rsidR="003D065E" w:rsidRPr="0001350E" w:rsidRDefault="003D065E" w:rsidP="003D065E">
      <w:pPr>
        <w:spacing w:line="360" w:lineRule="auto"/>
        <w:jc w:val="both"/>
        <w:rPr>
          <w:rFonts w:ascii="David" w:hAnsi="David"/>
          <w:b/>
          <w:bCs/>
          <w:u w:val="single"/>
        </w:rPr>
      </w:pPr>
      <w:r w:rsidRPr="0001350E">
        <w:rPr>
          <w:rFonts w:hint="cs"/>
          <w:b/>
          <w:bCs/>
          <w:u w:val="single"/>
          <w:rtl/>
        </w:rPr>
        <w:t>כללי</w:t>
      </w:r>
      <w:bookmarkStart w:id="6" w:name="ABSTRACT_START"/>
      <w:bookmarkEnd w:id="6"/>
    </w:p>
    <w:p w14:paraId="2AEE8D3F" w14:textId="77777777" w:rsidR="003D065E" w:rsidRPr="0001350E" w:rsidRDefault="003D065E" w:rsidP="003D065E">
      <w:pPr>
        <w:spacing w:line="360" w:lineRule="auto"/>
        <w:ind w:left="720" w:hanging="720"/>
        <w:jc w:val="both"/>
        <w:rPr>
          <w:rtl/>
        </w:rPr>
      </w:pPr>
      <w:r w:rsidRPr="0001350E">
        <w:rPr>
          <w:rFonts w:hint="cs"/>
          <w:rtl/>
        </w:rPr>
        <w:t>1.</w:t>
      </w:r>
      <w:r w:rsidRPr="0001350E">
        <w:rPr>
          <w:rFonts w:hint="cs"/>
          <w:rtl/>
        </w:rPr>
        <w:tab/>
        <w:t>בטרם שמיעת הראיות, הגיעו הצדדים להסדר טיעון במסגרתו כתב האישום שהוגש נגד הנאשם תוקן והנאשם הודה בעובדות כתב האישום המתוקן, שאלה עיקריהן:</w:t>
      </w:r>
    </w:p>
    <w:p w14:paraId="1CAD75B7" w14:textId="77777777" w:rsidR="003D065E" w:rsidRPr="0001350E" w:rsidRDefault="003D065E" w:rsidP="003D065E">
      <w:pPr>
        <w:spacing w:line="360" w:lineRule="auto"/>
        <w:ind w:left="720"/>
        <w:jc w:val="both"/>
        <w:rPr>
          <w:rtl/>
        </w:rPr>
      </w:pPr>
    </w:p>
    <w:p w14:paraId="4589C06D" w14:textId="77777777" w:rsidR="003D065E" w:rsidRPr="0001350E" w:rsidRDefault="003D065E" w:rsidP="003D065E">
      <w:pPr>
        <w:spacing w:line="360" w:lineRule="auto"/>
        <w:ind w:left="720"/>
        <w:jc w:val="both"/>
        <w:rPr>
          <w:rtl/>
        </w:rPr>
      </w:pPr>
      <w:r w:rsidRPr="0001350E">
        <w:rPr>
          <w:rFonts w:hint="cs"/>
          <w:rtl/>
        </w:rPr>
        <w:t xml:space="preserve">ביום 23.07.21 בשעה 02:55 הנאשם שהה מחוץ לדירתו ברהט, לבוש מכנסיים קצרים וללא חולצה, והחזיק באקדח חצי אוטומטי בעל קליבר 9 מ"מ. בהמשך, הוא ירה מהאקדח 3- 7 יריות באוויר. שכנתו של הנאשם שמעה את קולות הירי וצעקות ופתחה את דלת ביתה לראות מה קרה, ואז הנאשם ניגש אליה, דחף בכוח את דלת ביתה וזרק את האקדח לתוך סלון הבית. בנסיבות המתוארות הנאשם החזיק ארבעה כדורים בקליבר 9 מ"מ. </w:t>
      </w:r>
      <w:bookmarkStart w:id="7" w:name="ABSTRACT_END"/>
      <w:bookmarkEnd w:id="7"/>
    </w:p>
    <w:p w14:paraId="50A7F25C" w14:textId="77777777" w:rsidR="003D065E" w:rsidRPr="0001350E" w:rsidRDefault="003D065E" w:rsidP="003D065E">
      <w:pPr>
        <w:spacing w:line="360" w:lineRule="auto"/>
        <w:ind w:left="720"/>
        <w:jc w:val="both"/>
        <w:rPr>
          <w:rtl/>
        </w:rPr>
      </w:pPr>
    </w:p>
    <w:p w14:paraId="56098851" w14:textId="77777777" w:rsidR="003D065E" w:rsidRPr="0001350E" w:rsidRDefault="003D065E" w:rsidP="003D065E">
      <w:pPr>
        <w:spacing w:line="360" w:lineRule="auto"/>
        <w:ind w:left="720" w:hanging="720"/>
        <w:jc w:val="both"/>
      </w:pPr>
      <w:r w:rsidRPr="0001350E">
        <w:rPr>
          <w:rFonts w:hint="cs"/>
          <w:rtl/>
        </w:rPr>
        <w:lastRenderedPageBreak/>
        <w:t>2.</w:t>
      </w:r>
      <w:r w:rsidRPr="0001350E">
        <w:rPr>
          <w:rFonts w:hint="cs"/>
          <w:rtl/>
        </w:rPr>
        <w:tab/>
        <w:t xml:space="preserve">על יסוד הודאת הנאשם בעובדות כאמור, הוא הורשע בעבירות של נשיאת נשק ותחמושת, לפי </w:t>
      </w:r>
      <w:hyperlink r:id="rId10" w:history="1">
        <w:r w:rsidR="00970E7A" w:rsidRPr="00970E7A">
          <w:rPr>
            <w:rStyle w:val="Hyperlink"/>
            <w:rFonts w:hint="eastAsia"/>
            <w:rtl/>
          </w:rPr>
          <w:t>סעיף</w:t>
        </w:r>
        <w:r w:rsidR="00970E7A" w:rsidRPr="00970E7A">
          <w:rPr>
            <w:rStyle w:val="Hyperlink"/>
            <w:rtl/>
          </w:rPr>
          <w:t xml:space="preserve"> 144(ב)</w:t>
        </w:r>
      </w:hyperlink>
      <w:r w:rsidRPr="0001350E">
        <w:rPr>
          <w:rFonts w:hint="cs"/>
          <w:rtl/>
        </w:rPr>
        <w:t xml:space="preserve"> רישא וסיפא ב</w:t>
      </w:r>
      <w:hyperlink r:id="rId11" w:history="1">
        <w:r w:rsidR="00AA70CA" w:rsidRPr="00AA70CA">
          <w:rPr>
            <w:color w:val="0000FF"/>
            <w:u w:val="single"/>
            <w:rtl/>
          </w:rPr>
          <w:t>חוק העונשין</w:t>
        </w:r>
      </w:hyperlink>
      <w:r w:rsidRPr="0001350E">
        <w:rPr>
          <w:rFonts w:hint="cs"/>
          <w:rtl/>
        </w:rPr>
        <w:t xml:space="preserve"> התשל"ז-1977 (להלן: "חוק העונשין"); ובעבירה של ירי מנשק חם באזור מגורים, לפי סעיף </w:t>
      </w:r>
      <w:hyperlink r:id="rId12" w:history="1">
        <w:r w:rsidR="00970E7A" w:rsidRPr="00970E7A">
          <w:rPr>
            <w:rStyle w:val="Hyperlink"/>
            <w:rtl/>
          </w:rPr>
          <w:t>340א' (ב)(1)</w:t>
        </w:r>
      </w:hyperlink>
      <w:r w:rsidRPr="0001350E">
        <w:rPr>
          <w:rFonts w:hint="cs"/>
          <w:rtl/>
        </w:rPr>
        <w:t xml:space="preserve"> בחוק העונשין.</w:t>
      </w:r>
    </w:p>
    <w:p w14:paraId="46BF5D8C" w14:textId="77777777" w:rsidR="003D065E" w:rsidRPr="0001350E" w:rsidRDefault="003D065E" w:rsidP="003D065E">
      <w:pPr>
        <w:spacing w:line="360" w:lineRule="auto"/>
        <w:jc w:val="both"/>
        <w:rPr>
          <w:rtl/>
        </w:rPr>
      </w:pPr>
    </w:p>
    <w:p w14:paraId="3674A0B2" w14:textId="77777777" w:rsidR="003D065E" w:rsidRPr="0001350E" w:rsidRDefault="003D065E" w:rsidP="003D065E">
      <w:pPr>
        <w:spacing w:line="360" w:lineRule="auto"/>
        <w:ind w:left="720" w:hanging="720"/>
        <w:jc w:val="both"/>
        <w:rPr>
          <w:rtl/>
        </w:rPr>
      </w:pPr>
      <w:r w:rsidRPr="0001350E">
        <w:rPr>
          <w:rFonts w:hint="cs"/>
          <w:rtl/>
        </w:rPr>
        <w:t>3.</w:t>
      </w:r>
      <w:r w:rsidRPr="0001350E">
        <w:rPr>
          <w:rFonts w:hint="cs"/>
          <w:rtl/>
        </w:rPr>
        <w:tab/>
        <w:t xml:space="preserve">תחילה, הצדדים לא הציגו במסגרת הסדר הטיעון ביניהם הסכמה מוגדרת בענין העונש. אולם בישיבת הטיעונים לעונש, הצדדים הצהירו על הסכמה לפיה התביעה תעתור להטיל על הנאשם 42 חודשי מאסר בפועל, מאסר על תנאי וקנס, וההגנה תטען לעונש כראות עיניה.  </w:t>
      </w:r>
    </w:p>
    <w:p w14:paraId="3345A887" w14:textId="77777777" w:rsidR="003D065E" w:rsidRPr="0001350E" w:rsidRDefault="003D065E" w:rsidP="003D065E">
      <w:pPr>
        <w:spacing w:line="360" w:lineRule="auto"/>
        <w:ind w:left="720" w:hanging="720"/>
        <w:jc w:val="both"/>
        <w:rPr>
          <w:rtl/>
        </w:rPr>
      </w:pPr>
    </w:p>
    <w:p w14:paraId="125F110C" w14:textId="77777777" w:rsidR="003D065E" w:rsidRPr="0001350E" w:rsidRDefault="003D065E" w:rsidP="003D065E">
      <w:pPr>
        <w:spacing w:line="360" w:lineRule="auto"/>
        <w:ind w:left="720" w:hanging="720"/>
        <w:jc w:val="both"/>
        <w:rPr>
          <w:b/>
          <w:bCs/>
          <w:u w:val="single"/>
          <w:rtl/>
        </w:rPr>
      </w:pPr>
    </w:p>
    <w:p w14:paraId="641DB034" w14:textId="77777777" w:rsidR="003D065E" w:rsidRPr="0001350E" w:rsidRDefault="003D065E" w:rsidP="003D065E">
      <w:pPr>
        <w:spacing w:line="360" w:lineRule="auto"/>
        <w:ind w:left="720" w:hanging="720"/>
        <w:jc w:val="both"/>
        <w:rPr>
          <w:b/>
          <w:bCs/>
          <w:u w:val="single"/>
          <w:rtl/>
        </w:rPr>
      </w:pPr>
    </w:p>
    <w:p w14:paraId="61FDB998" w14:textId="77777777" w:rsidR="003D065E" w:rsidRPr="0001350E" w:rsidRDefault="003D065E" w:rsidP="003D065E">
      <w:pPr>
        <w:spacing w:line="360" w:lineRule="auto"/>
        <w:ind w:left="720" w:hanging="720"/>
        <w:jc w:val="both"/>
        <w:rPr>
          <w:b/>
          <w:bCs/>
          <w:u w:val="single"/>
          <w:rtl/>
        </w:rPr>
      </w:pPr>
    </w:p>
    <w:p w14:paraId="5DC5DBFA" w14:textId="77777777" w:rsidR="003D065E" w:rsidRPr="0001350E" w:rsidRDefault="003D065E" w:rsidP="003D065E">
      <w:pPr>
        <w:spacing w:line="360" w:lineRule="auto"/>
        <w:ind w:left="720" w:hanging="720"/>
        <w:jc w:val="both"/>
        <w:rPr>
          <w:b/>
          <w:bCs/>
          <w:u w:val="single"/>
          <w:rtl/>
        </w:rPr>
      </w:pPr>
      <w:r w:rsidRPr="0001350E">
        <w:rPr>
          <w:rFonts w:hint="cs"/>
          <w:b/>
          <w:bCs/>
          <w:u w:val="single"/>
          <w:rtl/>
        </w:rPr>
        <w:t>תסקיר שירות המבחן</w:t>
      </w:r>
    </w:p>
    <w:p w14:paraId="0A94E4E8" w14:textId="77777777" w:rsidR="003D065E" w:rsidRPr="0001350E" w:rsidRDefault="003D065E" w:rsidP="003D065E">
      <w:pPr>
        <w:spacing w:line="360" w:lineRule="auto"/>
        <w:ind w:left="720" w:hanging="720"/>
        <w:jc w:val="both"/>
        <w:rPr>
          <w:rtl/>
        </w:rPr>
      </w:pPr>
      <w:r w:rsidRPr="0001350E">
        <w:rPr>
          <w:rFonts w:hint="cs"/>
          <w:rtl/>
        </w:rPr>
        <w:t>4.</w:t>
      </w:r>
      <w:r w:rsidRPr="0001350E">
        <w:rPr>
          <w:rFonts w:hint="cs"/>
          <w:rtl/>
        </w:rPr>
        <w:tab/>
        <w:t xml:space="preserve">שירות המבחן ערך תסקיר על הנאשם, בו צוינו בין היתר הדברים הבאים – </w:t>
      </w:r>
    </w:p>
    <w:p w14:paraId="0D1E5F04" w14:textId="77777777" w:rsidR="003D065E" w:rsidRPr="0001350E" w:rsidRDefault="003D065E" w:rsidP="003D065E">
      <w:pPr>
        <w:spacing w:line="360" w:lineRule="auto"/>
        <w:ind w:left="720"/>
        <w:jc w:val="both"/>
        <w:rPr>
          <w:rtl/>
        </w:rPr>
      </w:pPr>
      <w:r w:rsidRPr="0001350E">
        <w:rPr>
          <w:rFonts w:hint="cs"/>
          <w:rtl/>
        </w:rPr>
        <w:t xml:space="preserve">הנאשם בן 25, נשוי. ללא עבר פלילי. טרם מעצרו עבד כקבלן בתיווך עובדים לבתי אריזה.  סיים 7 שנות לימוד. נשר מהמסגרת החינוכית על רקע קשיים כלכליים. אביו נשוי לשלוש נשים ולנאשם 24 אחים. תיאר קשר קרוב ומשמעותי עם כל משפחתו. אשר לעבירות, לקח אחריות עליהן וביטא חרטה. עם זאת, התקשה להעמיק בתכנים הקשורים למניעיו, לביצוע העבירות, למקור הנשק ולהתנהגותו באירוע. שירות המבחן סבר שהעבירה קשורה בקשרים שוליים שהנאשם מנהל עם גורמים עוברי חוק בתחום הנשק, ככל הנראה על רקע מצבו הכלכלי. והעריך שעל הנאשם לערוך שינוי משמעותי בחייו. ובסופו של דבר המליץ לנאשם להשתלב בטיפול בכלא, ונמנע מהמלצה שיקומית. </w:t>
      </w:r>
    </w:p>
    <w:p w14:paraId="612FE1E9" w14:textId="77777777" w:rsidR="003D065E" w:rsidRPr="0001350E" w:rsidRDefault="003D065E" w:rsidP="003D065E">
      <w:pPr>
        <w:spacing w:line="360" w:lineRule="auto"/>
        <w:jc w:val="both"/>
        <w:rPr>
          <w:rtl/>
        </w:rPr>
      </w:pPr>
    </w:p>
    <w:p w14:paraId="04FA9019" w14:textId="77777777" w:rsidR="003D065E" w:rsidRPr="0001350E" w:rsidRDefault="003D065E" w:rsidP="003D065E">
      <w:pPr>
        <w:spacing w:line="360" w:lineRule="auto"/>
        <w:jc w:val="both"/>
        <w:rPr>
          <w:b/>
          <w:bCs/>
          <w:u w:val="single"/>
          <w:rtl/>
        </w:rPr>
      </w:pPr>
      <w:r w:rsidRPr="0001350E">
        <w:rPr>
          <w:rFonts w:hint="cs"/>
          <w:b/>
          <w:bCs/>
          <w:u w:val="single"/>
          <w:rtl/>
        </w:rPr>
        <w:t>טענות הצדדים</w:t>
      </w:r>
    </w:p>
    <w:p w14:paraId="1B76CA81" w14:textId="77777777" w:rsidR="003D065E" w:rsidRPr="0001350E" w:rsidRDefault="003D065E" w:rsidP="003D065E">
      <w:pPr>
        <w:spacing w:line="360" w:lineRule="auto"/>
        <w:ind w:left="720" w:hanging="720"/>
        <w:jc w:val="both"/>
        <w:rPr>
          <w:rtl/>
        </w:rPr>
      </w:pPr>
      <w:r w:rsidRPr="0001350E">
        <w:rPr>
          <w:rFonts w:hint="cs"/>
          <w:rtl/>
        </w:rPr>
        <w:t>5.</w:t>
      </w:r>
      <w:r w:rsidRPr="0001350E">
        <w:rPr>
          <w:rFonts w:hint="cs"/>
          <w:rtl/>
        </w:rPr>
        <w:tab/>
        <w:t>התביעה טענה, כי מתחם העונש ההולם למעשה הנאשם נע בין 3 ל- 5 שנות מאסר בפועל. היא עמדה על הערכים החברתיים שנפגעו מביצוע העבירות; על מדיניות הענישה בעבירות הנשק; ועל נסיבות ביצוע העבירות. ציינה כי עבירות הנשק לסוגיהן הפכו  למכת מדינה ויש צורך בענישה מחמירה ומרתיעה. הפנתה לתיקון ב</w:t>
      </w:r>
      <w:hyperlink r:id="rId13" w:history="1">
        <w:r w:rsidR="00AA70CA" w:rsidRPr="00AA70CA">
          <w:rPr>
            <w:color w:val="0000FF"/>
            <w:u w:val="single"/>
            <w:rtl/>
          </w:rPr>
          <w:t>חוק העונשין</w:t>
        </w:r>
      </w:hyperlink>
      <w:r w:rsidRPr="0001350E">
        <w:rPr>
          <w:rFonts w:hint="cs"/>
          <w:rtl/>
        </w:rPr>
        <w:t xml:space="preserve"> שקבע בהוראת שעה שתוקפה לשלוש שנים, עונש מזערי לעבירות הנשק, ולדברי ההסבר להצעת החוק, וטענה כי הגם שהתיקון אינו חל בעניינו של הנאשם, שכן העבירות בוצעו טרם כניסתו לתוקף, הרי שניתן להיעזר בו על מנת לאמוד את מידת הפגיעה בערכים החברתיים. ציינה את חומרת מעשי הנאשם, שמעבר לנשיאת הנשק גם ביצע בו  ירי. הדגישה את פוטנציאל הנזק במעשה ואת הצורך בהרתעת הרבים. והסבירה, כי בהתחשב בהתרשמות שירות המבחן מהנאשם ובצורך להטיל עונש מרתיע, יש להטיל על הנאשם עונש במחצית התחתונה של המתחם, ועתרה לקבל את עמדתה ולהטיל על הנאשם 42 חודשי מאסר בפועל, מאסר מותנה וקנס </w:t>
      </w:r>
      <w:r w:rsidRPr="0001350E">
        <w:rPr>
          <w:rFonts w:hint="cs"/>
          <w:rtl/>
        </w:rPr>
        <w:lastRenderedPageBreak/>
        <w:t xml:space="preserve">בסך 10,000 ₪. ביחס לקנס טענה התביעה שעתירתה מתבססת על הנחיות פרקליט המדינה. </w:t>
      </w:r>
    </w:p>
    <w:p w14:paraId="37436BEA" w14:textId="77777777" w:rsidR="003D065E" w:rsidRPr="0001350E" w:rsidRDefault="003D065E" w:rsidP="003D065E">
      <w:pPr>
        <w:spacing w:line="360" w:lineRule="auto"/>
        <w:jc w:val="both"/>
        <w:rPr>
          <w:rtl/>
        </w:rPr>
      </w:pPr>
    </w:p>
    <w:p w14:paraId="308FBA90" w14:textId="77777777" w:rsidR="003D065E" w:rsidRPr="0001350E" w:rsidRDefault="003D065E" w:rsidP="003D065E">
      <w:pPr>
        <w:spacing w:line="360" w:lineRule="auto"/>
        <w:ind w:left="720" w:hanging="720"/>
        <w:jc w:val="both"/>
        <w:rPr>
          <w:rtl/>
        </w:rPr>
      </w:pPr>
      <w:r w:rsidRPr="0001350E">
        <w:rPr>
          <w:rFonts w:hint="cs"/>
          <w:rtl/>
        </w:rPr>
        <w:t>6.</w:t>
      </w:r>
      <w:r w:rsidRPr="0001350E">
        <w:rPr>
          <w:rFonts w:hint="cs"/>
          <w:rtl/>
        </w:rPr>
        <w:tab/>
        <w:t>ההגנה טענה, כי הנאשם בחור צעיר, ללא עבר פלילי, העומד לדין לראשונה בחייו. הוא הודה במיוחס לו ולקח אחריות על מעשיו. והוא נתון במעצר מזה כעשרה חודשים. טענה כי הירי לא בוצע כלפי אדם או רכוש, לא נגרם נזק, ומדובר במעשה שנבע מרוח שטות. וכיום הנאשם משולב במערכות חינוך בכלא. וטענה, כי מתחם העונש ההולם למעשה הנאשם נע בין 2 ל-4 שנות מאסר, וכי נסיבות העושה מאפשרות למקם את העונש הראוי בתחתית המתחם.</w:t>
      </w:r>
    </w:p>
    <w:p w14:paraId="14F4F5E4" w14:textId="77777777" w:rsidR="003D065E" w:rsidRPr="0001350E" w:rsidRDefault="003D065E" w:rsidP="003D065E">
      <w:pPr>
        <w:spacing w:line="360" w:lineRule="auto"/>
        <w:ind w:left="720" w:hanging="720"/>
        <w:jc w:val="both"/>
        <w:rPr>
          <w:rtl/>
        </w:rPr>
      </w:pPr>
    </w:p>
    <w:p w14:paraId="1489DB8F" w14:textId="77777777" w:rsidR="003D065E" w:rsidRPr="0001350E" w:rsidRDefault="003D065E" w:rsidP="003D065E">
      <w:pPr>
        <w:spacing w:line="360" w:lineRule="auto"/>
        <w:ind w:left="720" w:hanging="720"/>
        <w:jc w:val="both"/>
        <w:rPr>
          <w:rtl/>
        </w:rPr>
      </w:pPr>
      <w:r w:rsidRPr="0001350E">
        <w:rPr>
          <w:rFonts w:hint="cs"/>
          <w:rtl/>
        </w:rPr>
        <w:t>7.</w:t>
      </w:r>
      <w:r w:rsidRPr="0001350E">
        <w:rPr>
          <w:rFonts w:hint="cs"/>
          <w:rtl/>
        </w:rPr>
        <w:tab/>
        <w:t xml:space="preserve">הנאשם הביע חרטה על מעשיו וסיפר כי הוא משולב בכלא בלימודים ובטיפול. </w:t>
      </w:r>
    </w:p>
    <w:p w14:paraId="07B8CB7A" w14:textId="77777777" w:rsidR="003D065E" w:rsidRPr="0001350E" w:rsidRDefault="003D065E" w:rsidP="003D065E">
      <w:pPr>
        <w:spacing w:line="360" w:lineRule="auto"/>
        <w:jc w:val="both"/>
        <w:rPr>
          <w:b/>
          <w:bCs/>
          <w:u w:val="single"/>
          <w:rtl/>
        </w:rPr>
      </w:pPr>
      <w:r w:rsidRPr="0001350E">
        <w:rPr>
          <w:rFonts w:hint="cs"/>
          <w:b/>
          <w:bCs/>
          <w:u w:val="single"/>
          <w:rtl/>
        </w:rPr>
        <w:t>דיון והכרעה</w:t>
      </w:r>
    </w:p>
    <w:p w14:paraId="5762C895" w14:textId="77777777" w:rsidR="003D065E" w:rsidRPr="0001350E" w:rsidRDefault="003D065E" w:rsidP="003D065E">
      <w:pPr>
        <w:shd w:val="clear" w:color="auto" w:fill="FFFFFF"/>
        <w:spacing w:line="360" w:lineRule="auto"/>
        <w:ind w:left="720" w:hanging="720"/>
        <w:jc w:val="both"/>
        <w:rPr>
          <w:rtl/>
        </w:rPr>
      </w:pPr>
      <w:r w:rsidRPr="0001350E">
        <w:rPr>
          <w:rFonts w:hint="cs"/>
          <w:rtl/>
        </w:rPr>
        <w:t>8.</w:t>
      </w:r>
      <w:r w:rsidRPr="0001350E">
        <w:rPr>
          <w:rFonts w:hint="cs"/>
          <w:rtl/>
        </w:rPr>
        <w:tab/>
        <w:t>נשק הוא כלי שנועד לירות כדורים שבכוחם להמית אדם. הפעלתו פשוטה יחסית, כח הפגיעה שלו רב, ניתן לעשות בו שימוש רב פעמי, וקשה מאוד להתגונן מפניו. בשל מאפייניו המיוחדים, הוא מעורב בעבירות פליליות חמורות, הן בהפעלתו לפגיעה פיזית באדם או ברכוש, והן באיום לעשות בו שימוש כזה; מעורב בפיגועים חבלניים; ומעורב בתאונות הנגרמות מהחזקה ושימוש בלתי נאותים שלו.</w:t>
      </w:r>
    </w:p>
    <w:p w14:paraId="03B5DDFD" w14:textId="77777777" w:rsidR="003D065E" w:rsidRPr="0001350E" w:rsidRDefault="00AA70CA" w:rsidP="003D065E">
      <w:pPr>
        <w:shd w:val="clear" w:color="auto" w:fill="FFFFFF"/>
        <w:spacing w:line="360" w:lineRule="auto"/>
        <w:ind w:left="720" w:hanging="720"/>
        <w:jc w:val="both"/>
      </w:pPr>
      <w:r>
        <w:rPr>
          <w:rFonts w:hint="cs"/>
          <w:rtl/>
        </w:rPr>
        <w:t xml:space="preserve"> </w:t>
      </w:r>
    </w:p>
    <w:p w14:paraId="7311EEED" w14:textId="77777777" w:rsidR="003D065E" w:rsidRPr="0001350E" w:rsidRDefault="003D065E" w:rsidP="003D065E">
      <w:pPr>
        <w:shd w:val="clear" w:color="auto" w:fill="FFFFFF"/>
        <w:spacing w:line="360" w:lineRule="auto"/>
        <w:ind w:left="720" w:hanging="720"/>
        <w:jc w:val="both"/>
        <w:rPr>
          <w:rtl/>
        </w:rPr>
      </w:pPr>
      <w:r w:rsidRPr="0001350E">
        <w:rPr>
          <w:rFonts w:hint="cs"/>
          <w:rtl/>
        </w:rPr>
        <w:t>9.</w:t>
      </w:r>
      <w:r w:rsidRPr="0001350E">
        <w:rPr>
          <w:rFonts w:hint="cs"/>
          <w:rtl/>
        </w:rPr>
        <w:tab/>
        <w:t xml:space="preserve">נוכח הסכנות הכרוכות בנשק, יש למדינה ענין לפקח על החזקת כלי הנשק בתחומה, להגבילה ולהתנותה ברישיון - הכרוך בעמידה בקריטריונים ובהכשרה מעשית. </w:t>
      </w:r>
    </w:p>
    <w:p w14:paraId="1207E6E6" w14:textId="77777777" w:rsidR="003D065E" w:rsidRPr="0001350E" w:rsidRDefault="003D065E" w:rsidP="003D065E">
      <w:pPr>
        <w:shd w:val="clear" w:color="auto" w:fill="FFFFFF"/>
        <w:spacing w:line="360" w:lineRule="auto"/>
        <w:ind w:left="720"/>
        <w:jc w:val="both"/>
        <w:rPr>
          <w:rtl/>
        </w:rPr>
      </w:pPr>
    </w:p>
    <w:p w14:paraId="5431AF24" w14:textId="77777777" w:rsidR="003D065E" w:rsidRPr="0001350E" w:rsidRDefault="003D065E" w:rsidP="003D065E">
      <w:pPr>
        <w:shd w:val="clear" w:color="auto" w:fill="FFFFFF"/>
        <w:spacing w:line="360" w:lineRule="auto"/>
        <w:ind w:left="720" w:hanging="720"/>
        <w:jc w:val="both"/>
        <w:rPr>
          <w:rtl/>
        </w:rPr>
      </w:pPr>
      <w:r w:rsidRPr="0001350E">
        <w:rPr>
          <w:rFonts w:hint="cs"/>
          <w:rtl/>
        </w:rPr>
        <w:t>10.</w:t>
      </w:r>
      <w:r w:rsidRPr="0001350E">
        <w:rPr>
          <w:rFonts w:hint="cs"/>
          <w:rtl/>
        </w:rPr>
        <w:tab/>
        <w:t xml:space="preserve">פוטנציאל הפגיעה של הנשק מצדיק הפללת עצם החזקתו ונשיאתו ללא רישיון, עוד בטרם עשיית שימוש פוגעני בו. ואכן, העונשים הקבועים לעבירות ההחזקה והנשיאה של נשק ללא רישיון – 7 ו- 10 שנות מאסר, חמורים. </w:t>
      </w:r>
    </w:p>
    <w:p w14:paraId="1118CAA7" w14:textId="77777777" w:rsidR="003D065E" w:rsidRPr="0001350E" w:rsidRDefault="003D065E" w:rsidP="003D065E">
      <w:pPr>
        <w:spacing w:line="360" w:lineRule="auto"/>
        <w:ind w:left="720" w:hanging="720"/>
        <w:jc w:val="both"/>
        <w:rPr>
          <w:rtl/>
        </w:rPr>
      </w:pPr>
    </w:p>
    <w:p w14:paraId="7F232296" w14:textId="77777777" w:rsidR="003D065E" w:rsidRPr="0001350E" w:rsidRDefault="003D065E" w:rsidP="003D065E">
      <w:pPr>
        <w:shd w:val="clear" w:color="auto" w:fill="FFFFFF"/>
        <w:spacing w:line="360" w:lineRule="auto"/>
        <w:ind w:left="720" w:hanging="720"/>
        <w:jc w:val="both"/>
        <w:rPr>
          <w:rtl/>
          <w:lang w:eastAsia="he-IL"/>
        </w:rPr>
      </w:pPr>
      <w:r w:rsidRPr="0001350E">
        <w:rPr>
          <w:rFonts w:hint="cs"/>
          <w:rtl/>
        </w:rPr>
        <w:t>11.</w:t>
      </w:r>
      <w:r w:rsidRPr="0001350E">
        <w:rPr>
          <w:rFonts w:hint="cs"/>
          <w:rtl/>
        </w:rPr>
        <w:tab/>
        <w:t xml:space="preserve">למרות האיסור הפלילי החמור והעונשים הקבועים לעבירה, </w:t>
      </w:r>
      <w:r w:rsidRPr="0001350E">
        <w:rPr>
          <w:rFonts w:hint="cs"/>
          <w:rtl/>
          <w:lang w:eastAsia="he-IL"/>
        </w:rPr>
        <w:t xml:space="preserve">התופעה של החזקת נשק שלא כדין נפוצה מאוד והיא הגיעה לממדים בלתי נסבלים, במיוחד בחברה הערבית. אחד ממאפייני התופעה באזורנו, בחברה הבדואית, הוא, שכלי הנשק הבלתי חוקיים מוחזקים לאו דווקא בידי עבריינים מובהקים, לצורך שימוש למטרות עברייניות טיפוסיות, אלא על ידי אנשים מהשורה, המקיימים אורח חיים רגיל ונורמטיבי, לצורך שימוש בהם במסגרת סכסוכים שגרתיים פנימיים. </w:t>
      </w:r>
    </w:p>
    <w:p w14:paraId="01F2BDFF" w14:textId="77777777" w:rsidR="003D065E" w:rsidRPr="0001350E" w:rsidRDefault="003D065E" w:rsidP="003D065E">
      <w:pPr>
        <w:shd w:val="clear" w:color="auto" w:fill="FFFFFF"/>
        <w:spacing w:line="360" w:lineRule="auto"/>
        <w:ind w:left="720" w:hanging="720"/>
        <w:jc w:val="both"/>
        <w:rPr>
          <w:rtl/>
          <w:lang w:eastAsia="he-IL"/>
        </w:rPr>
      </w:pPr>
      <w:r w:rsidRPr="0001350E">
        <w:rPr>
          <w:rFonts w:hint="cs"/>
          <w:rtl/>
          <w:lang w:eastAsia="he-IL"/>
        </w:rPr>
        <w:t xml:space="preserve"> </w:t>
      </w:r>
    </w:p>
    <w:p w14:paraId="586F8985" w14:textId="77777777" w:rsidR="003D065E" w:rsidRPr="0001350E" w:rsidRDefault="003D065E" w:rsidP="003D065E">
      <w:pPr>
        <w:shd w:val="clear" w:color="auto" w:fill="FFFFFF"/>
        <w:spacing w:line="360" w:lineRule="auto"/>
        <w:ind w:left="720"/>
        <w:jc w:val="both"/>
        <w:rPr>
          <w:rtl/>
          <w:lang w:eastAsia="he-IL"/>
        </w:rPr>
      </w:pPr>
      <w:r w:rsidRPr="0001350E">
        <w:rPr>
          <w:rFonts w:hint="cs"/>
          <w:rtl/>
          <w:lang w:eastAsia="he-IL"/>
        </w:rPr>
        <w:t xml:space="preserve">תופעה נוספת, הקשורה לכך, הינה, שבעבר, באירועי האלימות בחברה הבדואית השתמשו במקלות ובאבנים ובמקרים החמורים נעשה שימוש בסכינים ושבריות. ובשנים האחרונות, למרבה הצער, ניתן לראות שבסכסוכים פעוטים – לעתים על רקע ריב שגרתי בין ילדים – רובים נשלפים וירי בשכונות מגורים הפך לשגרה ממש. </w:t>
      </w:r>
    </w:p>
    <w:p w14:paraId="49FBA1C3" w14:textId="77777777" w:rsidR="003D065E" w:rsidRPr="0001350E" w:rsidRDefault="003D065E" w:rsidP="003D065E">
      <w:pPr>
        <w:shd w:val="clear" w:color="auto" w:fill="FFFFFF"/>
        <w:spacing w:line="360" w:lineRule="auto"/>
        <w:ind w:left="720"/>
        <w:jc w:val="both"/>
        <w:rPr>
          <w:rtl/>
          <w:lang w:eastAsia="he-IL"/>
        </w:rPr>
      </w:pPr>
    </w:p>
    <w:p w14:paraId="55799CA4" w14:textId="77777777" w:rsidR="003D065E" w:rsidRPr="0001350E" w:rsidRDefault="003D065E" w:rsidP="003D065E">
      <w:pPr>
        <w:shd w:val="clear" w:color="auto" w:fill="FFFFFF"/>
        <w:spacing w:line="360" w:lineRule="auto"/>
        <w:ind w:left="720"/>
        <w:jc w:val="both"/>
        <w:rPr>
          <w:rtl/>
        </w:rPr>
      </w:pPr>
      <w:r w:rsidRPr="0001350E">
        <w:rPr>
          <w:rFonts w:hint="cs"/>
          <w:rtl/>
          <w:lang w:eastAsia="he-IL"/>
        </w:rPr>
        <w:t xml:space="preserve">השלכות המצב על על שלום הציבור וביטחונו ועל תחושת הביטחון האישי במרחב הציבורי, ניכרות ובולטות. והציבור משווע לשינוי המצב. </w:t>
      </w:r>
      <w:r w:rsidRPr="0001350E">
        <w:rPr>
          <w:rFonts w:hint="cs"/>
          <w:rtl/>
        </w:rPr>
        <w:t>והעיניים נשואות למערכות אכיפת החוק.</w:t>
      </w:r>
    </w:p>
    <w:p w14:paraId="357B2183" w14:textId="77777777" w:rsidR="003D065E" w:rsidRPr="0001350E" w:rsidRDefault="003D065E" w:rsidP="003D065E">
      <w:pPr>
        <w:shd w:val="clear" w:color="auto" w:fill="FFFFFF"/>
        <w:spacing w:line="360" w:lineRule="auto"/>
        <w:ind w:left="720"/>
        <w:jc w:val="both"/>
        <w:rPr>
          <w:rtl/>
        </w:rPr>
      </w:pPr>
    </w:p>
    <w:p w14:paraId="4FC16193" w14:textId="77777777" w:rsidR="003D065E" w:rsidRPr="0001350E" w:rsidRDefault="003D065E" w:rsidP="003D065E">
      <w:pPr>
        <w:shd w:val="clear" w:color="auto" w:fill="FFFFFF"/>
        <w:spacing w:line="360" w:lineRule="auto"/>
        <w:ind w:left="720" w:hanging="720"/>
        <w:jc w:val="both"/>
        <w:rPr>
          <w:rtl/>
        </w:rPr>
      </w:pPr>
    </w:p>
    <w:p w14:paraId="48C92D14" w14:textId="77777777" w:rsidR="003D065E" w:rsidRPr="0001350E" w:rsidRDefault="003D065E" w:rsidP="003D065E">
      <w:pPr>
        <w:shd w:val="clear" w:color="auto" w:fill="FFFFFF"/>
        <w:spacing w:line="360" w:lineRule="auto"/>
        <w:ind w:left="720" w:hanging="720"/>
        <w:jc w:val="both"/>
        <w:rPr>
          <w:rtl/>
        </w:rPr>
      </w:pPr>
    </w:p>
    <w:p w14:paraId="68D32896" w14:textId="77777777" w:rsidR="003D065E" w:rsidRPr="0001350E" w:rsidRDefault="003D065E" w:rsidP="003D065E">
      <w:pPr>
        <w:shd w:val="clear" w:color="auto" w:fill="FFFFFF"/>
        <w:spacing w:line="360" w:lineRule="auto"/>
        <w:ind w:left="720" w:hanging="720"/>
        <w:jc w:val="both"/>
        <w:rPr>
          <w:rtl/>
        </w:rPr>
      </w:pPr>
    </w:p>
    <w:p w14:paraId="07C8F7E9" w14:textId="77777777" w:rsidR="003D065E" w:rsidRPr="0001350E" w:rsidRDefault="003D065E" w:rsidP="003D065E">
      <w:pPr>
        <w:shd w:val="clear" w:color="auto" w:fill="FFFFFF"/>
        <w:spacing w:line="360" w:lineRule="auto"/>
        <w:ind w:left="720" w:hanging="720"/>
        <w:jc w:val="both"/>
        <w:rPr>
          <w:rtl/>
          <w:lang w:eastAsia="he-IL"/>
        </w:rPr>
      </w:pPr>
      <w:r w:rsidRPr="0001350E">
        <w:rPr>
          <w:rFonts w:hint="cs"/>
          <w:rtl/>
        </w:rPr>
        <w:t xml:space="preserve">12. </w:t>
      </w:r>
      <w:r w:rsidRPr="0001350E">
        <w:rPr>
          <w:rFonts w:hint="cs"/>
          <w:rtl/>
          <w:lang w:eastAsia="he-IL"/>
        </w:rPr>
        <w:tab/>
        <w:t xml:space="preserve">הדברים הבאים, מתוך </w:t>
      </w:r>
      <w:hyperlink r:id="rId14" w:history="1">
        <w:r w:rsidR="00AA70CA" w:rsidRPr="00AA70CA">
          <w:rPr>
            <w:color w:val="0000FF"/>
            <w:u w:val="single"/>
            <w:rtl/>
            <w:lang w:eastAsia="he-IL"/>
          </w:rPr>
          <w:t>ע"פ 4406-19</w:t>
        </w:r>
      </w:hyperlink>
      <w:r w:rsidR="00AA70CA">
        <w:rPr>
          <w:rFonts w:hint="cs"/>
          <w:rtl/>
          <w:lang w:eastAsia="he-IL"/>
        </w:rPr>
        <w:t xml:space="preserve"> </w:t>
      </w:r>
      <w:r w:rsidRPr="0001350E">
        <w:rPr>
          <w:rFonts w:hint="cs"/>
          <w:b/>
          <w:bCs/>
          <w:rtl/>
          <w:lang w:eastAsia="he-IL"/>
        </w:rPr>
        <w:t>מדינת ישראל</w:t>
      </w:r>
      <w:r w:rsidR="00AA70CA">
        <w:rPr>
          <w:rFonts w:hint="cs"/>
          <w:rtl/>
          <w:lang w:eastAsia="he-IL"/>
        </w:rPr>
        <w:t xml:space="preserve"> </w:t>
      </w:r>
      <w:r w:rsidRPr="0001350E">
        <w:rPr>
          <w:rFonts w:hint="cs"/>
          <w:rtl/>
          <w:lang w:eastAsia="he-IL"/>
        </w:rPr>
        <w:t>נ'</w:t>
      </w:r>
      <w:r w:rsidR="00AA70CA">
        <w:rPr>
          <w:rFonts w:hint="cs"/>
          <w:rtl/>
          <w:lang w:eastAsia="he-IL"/>
        </w:rPr>
        <w:t xml:space="preserve"> </w:t>
      </w:r>
      <w:r w:rsidRPr="0001350E">
        <w:rPr>
          <w:rFonts w:hint="cs"/>
          <w:b/>
          <w:bCs/>
          <w:rtl/>
          <w:lang w:eastAsia="he-IL"/>
        </w:rPr>
        <w:t>יונס סובח</w:t>
      </w:r>
      <w:r w:rsidR="00AA70CA">
        <w:rPr>
          <w:rFonts w:hint="cs"/>
          <w:rtl/>
          <w:lang w:eastAsia="he-IL"/>
        </w:rPr>
        <w:t xml:space="preserve"> </w:t>
      </w:r>
      <w:r w:rsidRPr="0001350E">
        <w:rPr>
          <w:rFonts w:hint="cs"/>
          <w:rtl/>
          <w:lang w:eastAsia="he-IL"/>
        </w:rPr>
        <w:t>(נבו, 05.11.19),</w:t>
      </w:r>
    </w:p>
    <w:p w14:paraId="43DB4AF5" w14:textId="77777777" w:rsidR="003D065E" w:rsidRPr="0001350E" w:rsidRDefault="003D065E" w:rsidP="003D065E">
      <w:pPr>
        <w:shd w:val="clear" w:color="auto" w:fill="FFFFFF"/>
        <w:spacing w:line="360" w:lineRule="auto"/>
        <w:ind w:left="720"/>
        <w:jc w:val="both"/>
        <w:rPr>
          <w:rtl/>
          <w:lang w:eastAsia="he-IL"/>
        </w:rPr>
      </w:pPr>
      <w:r w:rsidRPr="0001350E">
        <w:rPr>
          <w:rFonts w:hint="cs"/>
          <w:rtl/>
          <w:lang w:eastAsia="he-IL"/>
        </w:rPr>
        <w:t>מתארים היטב את המצב ומדברים בעד עצמם.</w:t>
      </w:r>
    </w:p>
    <w:p w14:paraId="4ED78460" w14:textId="77777777" w:rsidR="003D065E" w:rsidRPr="0001350E" w:rsidRDefault="003D065E" w:rsidP="003D065E">
      <w:pPr>
        <w:shd w:val="clear" w:color="auto" w:fill="FFFFFF"/>
        <w:spacing w:line="360" w:lineRule="auto"/>
        <w:ind w:left="1440"/>
        <w:jc w:val="both"/>
        <w:rPr>
          <w:rtl/>
          <w:lang w:eastAsia="he-IL"/>
        </w:rPr>
      </w:pPr>
      <w:r w:rsidRPr="0001350E">
        <w:rPr>
          <w:rFonts w:hint="cs"/>
          <w:rtl/>
          <w:lang w:eastAsia="he-IL"/>
        </w:rPr>
        <w:t>"התופעה של החזקת נשק שלא כדין על ידי אזרחים מהווה איום על שלום הציבור ועל הסדר הציבורי. היא התשתית ו"הגורם בלעדו איין" (</w:t>
      </w:r>
      <w:r w:rsidRPr="0001350E">
        <w:rPr>
          <w:lang w:eastAsia="he-IL"/>
        </w:rPr>
        <w:t>causa sine qua non</w:t>
      </w:r>
      <w:r w:rsidRPr="0001350E">
        <w:rPr>
          <w:rFonts w:hint="cs"/>
          <w:rtl/>
          <w:lang w:eastAsia="he-IL"/>
        </w:rPr>
        <w:t>) למגוון רחב של עבירות, החל בעבירות איומים ושוד מזוין, המשך בעבירות גרימת חבלה חמורה וכלה</w:t>
      </w:r>
      <w:r w:rsidR="00AA70CA">
        <w:rPr>
          <w:rFonts w:hint="cs"/>
          <w:rtl/>
          <w:lang w:eastAsia="he-IL"/>
        </w:rPr>
        <w:t xml:space="preserve"> </w:t>
      </w:r>
      <w:r w:rsidRPr="0001350E">
        <w:rPr>
          <w:rFonts w:hint="cs"/>
          <w:rtl/>
          <w:lang w:eastAsia="he-IL"/>
        </w:rPr>
        <w:t>בעבירות</w:t>
      </w:r>
      <w:r w:rsidR="00AA70CA">
        <w:rPr>
          <w:rFonts w:hint="cs"/>
          <w:rtl/>
          <w:lang w:eastAsia="he-IL"/>
        </w:rPr>
        <w:t xml:space="preserve"> </w:t>
      </w:r>
      <w:r w:rsidRPr="0001350E">
        <w:rPr>
          <w:rFonts w:hint="cs"/>
          <w:rtl/>
          <w:lang w:eastAsia="he-IL"/>
        </w:rPr>
        <w:t>המתה.</w:t>
      </w:r>
      <w:r w:rsidR="00AA70CA">
        <w:rPr>
          <w:rFonts w:hint="cs"/>
          <w:rtl/>
          <w:lang w:eastAsia="he-IL"/>
        </w:rPr>
        <w:t xml:space="preserve"> </w:t>
      </w:r>
      <w:r w:rsidRPr="0001350E">
        <w:rPr>
          <w:rFonts w:hint="cs"/>
          <w:rtl/>
          <w:lang w:eastAsia="he-IL"/>
        </w:rPr>
        <w:t>לעתים</w:t>
      </w:r>
      <w:r w:rsidR="00AA70CA">
        <w:rPr>
          <w:rFonts w:hint="cs"/>
          <w:rtl/>
          <w:lang w:eastAsia="he-IL"/>
        </w:rPr>
        <w:t xml:space="preserve"> </w:t>
      </w:r>
      <w:r w:rsidRPr="0001350E">
        <w:rPr>
          <w:rFonts w:hint="cs"/>
          <w:rtl/>
          <w:lang w:eastAsia="he-IL"/>
        </w:rPr>
        <w:t>קרובות</w:t>
      </w:r>
      <w:r w:rsidR="00AA70CA">
        <w:rPr>
          <w:rFonts w:hint="cs"/>
          <w:rtl/>
          <w:lang w:eastAsia="he-IL"/>
        </w:rPr>
        <w:t xml:space="preserve"> </w:t>
      </w:r>
      <w:r w:rsidRPr="0001350E">
        <w:rPr>
          <w:rFonts w:hint="cs"/>
          <w:rtl/>
          <w:lang w:eastAsia="he-IL"/>
        </w:rPr>
        <w:t>הנשק</w:t>
      </w:r>
      <w:r w:rsidR="00AA70CA">
        <w:rPr>
          <w:rFonts w:hint="cs"/>
          <w:rtl/>
          <w:lang w:eastAsia="he-IL"/>
        </w:rPr>
        <w:t xml:space="preserve"> </w:t>
      </w:r>
      <w:r w:rsidRPr="0001350E">
        <w:rPr>
          <w:rFonts w:hint="cs"/>
          <w:rtl/>
          <w:lang w:eastAsia="he-IL"/>
        </w:rPr>
        <w:t>הבלתי חוקי נרכש מלכתחילה למטרות</w:t>
      </w:r>
      <w:r w:rsidR="00AA70CA">
        <w:rPr>
          <w:rFonts w:hint="cs"/>
          <w:rtl/>
          <w:lang w:eastAsia="he-IL"/>
        </w:rPr>
        <w:t xml:space="preserve"> </w:t>
      </w:r>
      <w:r w:rsidRPr="0001350E">
        <w:rPr>
          <w:rFonts w:hint="cs"/>
          <w:rtl/>
          <w:lang w:eastAsia="he-IL"/>
        </w:rPr>
        <w:t>עבירה,</w:t>
      </w:r>
      <w:r w:rsidR="00AA70CA">
        <w:rPr>
          <w:rFonts w:hint="cs"/>
          <w:rtl/>
          <w:lang w:eastAsia="he-IL"/>
        </w:rPr>
        <w:t xml:space="preserve"> </w:t>
      </w:r>
      <w:r w:rsidRPr="0001350E">
        <w:rPr>
          <w:rFonts w:hint="cs"/>
          <w:rtl/>
          <w:lang w:eastAsia="he-IL"/>
        </w:rPr>
        <w:t>ואף</w:t>
      </w:r>
      <w:r w:rsidR="00AA70CA">
        <w:rPr>
          <w:rFonts w:hint="cs"/>
          <w:rtl/>
          <w:lang w:eastAsia="he-IL"/>
        </w:rPr>
        <w:t xml:space="preserve"> </w:t>
      </w:r>
      <w:r w:rsidRPr="0001350E">
        <w:rPr>
          <w:rFonts w:hint="cs"/>
          <w:rtl/>
          <w:lang w:eastAsia="he-IL"/>
        </w:rPr>
        <w:t>אם</w:t>
      </w:r>
      <w:r w:rsidR="00AA70CA">
        <w:rPr>
          <w:rFonts w:hint="cs"/>
          <w:rtl/>
          <w:lang w:eastAsia="he-IL"/>
        </w:rPr>
        <w:t xml:space="preserve"> </w:t>
      </w:r>
      <w:r w:rsidRPr="0001350E">
        <w:rPr>
          <w:rFonts w:hint="cs"/>
          <w:rtl/>
          <w:lang w:eastAsia="he-IL"/>
        </w:rPr>
        <w:t>הנשק</w:t>
      </w:r>
      <w:r w:rsidR="00AA70CA">
        <w:rPr>
          <w:rFonts w:hint="cs"/>
          <w:rtl/>
          <w:lang w:eastAsia="he-IL"/>
        </w:rPr>
        <w:t xml:space="preserve"> </w:t>
      </w:r>
      <w:r w:rsidRPr="0001350E">
        <w:rPr>
          <w:rFonts w:hint="cs"/>
          <w:rtl/>
          <w:lang w:eastAsia="he-IL"/>
        </w:rPr>
        <w:t>נרכש למטרות "הגנה עצמית", הזמינות של הנשק מעודדת את השימוש בו לביצוע עבירות שונות ולהחרפת תוצאותיהן... על כן, המאבק בתופעות האלימות החמורות בחברה הישראלית בהן נעשה שימוש</w:t>
      </w:r>
      <w:r w:rsidR="00AA70CA">
        <w:rPr>
          <w:rFonts w:hint="cs"/>
          <w:rtl/>
          <w:lang w:eastAsia="he-IL"/>
        </w:rPr>
        <w:t xml:space="preserve"> </w:t>
      </w:r>
      <w:r w:rsidRPr="0001350E">
        <w:rPr>
          <w:rFonts w:hint="cs"/>
          <w:rtl/>
          <w:lang w:eastAsia="he-IL"/>
        </w:rPr>
        <w:t>בנשק</w:t>
      </w:r>
      <w:r w:rsidR="00AA70CA">
        <w:rPr>
          <w:rFonts w:hint="cs"/>
          <w:rtl/>
          <w:lang w:eastAsia="he-IL"/>
        </w:rPr>
        <w:t xml:space="preserve"> </w:t>
      </w:r>
      <w:r w:rsidRPr="0001350E">
        <w:rPr>
          <w:rFonts w:hint="cs"/>
          <w:rtl/>
          <w:lang w:eastAsia="he-IL"/>
        </w:rPr>
        <w:t>מחייב,</w:t>
      </w:r>
      <w:r w:rsidR="00AA70CA">
        <w:rPr>
          <w:rFonts w:hint="cs"/>
          <w:rtl/>
          <w:lang w:eastAsia="he-IL"/>
        </w:rPr>
        <w:t xml:space="preserve"> </w:t>
      </w:r>
      <w:r w:rsidRPr="0001350E">
        <w:rPr>
          <w:rFonts w:hint="cs"/>
          <w:rtl/>
          <w:lang w:eastAsia="he-IL"/>
        </w:rPr>
        <w:t>מעבר</w:t>
      </w:r>
      <w:r w:rsidR="00AA70CA">
        <w:rPr>
          <w:rFonts w:hint="cs"/>
          <w:rtl/>
          <w:lang w:eastAsia="he-IL"/>
        </w:rPr>
        <w:t xml:space="preserve"> </w:t>
      </w:r>
      <w:r w:rsidRPr="0001350E">
        <w:rPr>
          <w:rFonts w:hint="cs"/>
          <w:rtl/>
          <w:lang w:eastAsia="he-IL"/>
        </w:rPr>
        <w:t>למאמץ "לשים יד" על כלי הנשק הבלתי חוקיים הרבים שבידי הציבור, גם ענישה מחמירה ומרתיעה</w:t>
      </w:r>
      <w:r w:rsidR="00AA70CA">
        <w:rPr>
          <w:rFonts w:hint="cs"/>
          <w:rtl/>
          <w:lang w:eastAsia="he-IL"/>
        </w:rPr>
        <w:t xml:space="preserve"> </w:t>
      </w:r>
      <w:r w:rsidRPr="0001350E">
        <w:rPr>
          <w:rFonts w:hint="cs"/>
          <w:rtl/>
          <w:lang w:eastAsia="he-IL"/>
        </w:rPr>
        <w:t>בעבירות</w:t>
      </w:r>
      <w:r w:rsidR="00AA70CA">
        <w:rPr>
          <w:rFonts w:hint="cs"/>
          <w:rtl/>
          <w:lang w:eastAsia="he-IL"/>
        </w:rPr>
        <w:t xml:space="preserve"> </w:t>
      </w:r>
      <w:r w:rsidRPr="0001350E">
        <w:rPr>
          <w:rFonts w:hint="cs"/>
          <w:rtl/>
          <w:lang w:eastAsia="he-IL"/>
        </w:rPr>
        <w:t>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w:t>
      </w:r>
    </w:p>
    <w:p w14:paraId="3CFE3BE1" w14:textId="77777777" w:rsidR="003D065E" w:rsidRPr="0001350E" w:rsidRDefault="003D065E" w:rsidP="003D065E">
      <w:pPr>
        <w:shd w:val="clear" w:color="auto" w:fill="FFFFFF"/>
        <w:spacing w:line="360" w:lineRule="auto"/>
        <w:ind w:left="1440"/>
        <w:jc w:val="both"/>
        <w:rPr>
          <w:rtl/>
          <w:lang w:eastAsia="he-IL"/>
        </w:rPr>
      </w:pPr>
      <w:r w:rsidRPr="0001350E">
        <w:rPr>
          <w:rFonts w:hint="cs"/>
          <w:rtl/>
          <w:lang w:eastAsia="he-IL"/>
        </w:rPr>
        <w:t>ו – 15 שנות מאסר על ייצור, יבוא או סחר בנשק בלא רשות על פי דין (</w:t>
      </w:r>
      <w:hyperlink r:id="rId15" w:history="1">
        <w:r w:rsidR="00970E7A" w:rsidRPr="00970E7A">
          <w:rPr>
            <w:rStyle w:val="Hyperlink"/>
            <w:rFonts w:hint="eastAsia"/>
            <w:rtl/>
            <w:lang w:eastAsia="he-IL"/>
          </w:rPr>
          <w:t>סעיף</w:t>
        </w:r>
        <w:r w:rsidR="00970E7A" w:rsidRPr="00970E7A">
          <w:rPr>
            <w:rStyle w:val="Hyperlink"/>
            <w:rtl/>
            <w:lang w:eastAsia="he-IL"/>
          </w:rPr>
          <w:t xml:space="preserve"> 144</w:t>
        </w:r>
      </w:hyperlink>
      <w:r w:rsidRPr="0001350E">
        <w:rPr>
          <w:rFonts w:hint="cs"/>
          <w:rtl/>
          <w:lang w:eastAsia="he-IL"/>
        </w:rPr>
        <w:t xml:space="preserve"> ל</w:t>
      </w:r>
      <w:hyperlink r:id="rId16" w:history="1">
        <w:r w:rsidR="00AA70CA" w:rsidRPr="00AA70CA">
          <w:rPr>
            <w:color w:val="0000FF"/>
            <w:u w:val="single"/>
            <w:rtl/>
            <w:lang w:eastAsia="he-IL"/>
          </w:rPr>
          <w:t>חוק העונשין</w:t>
        </w:r>
      </w:hyperlink>
      <w:r w:rsidRPr="0001350E">
        <w:rPr>
          <w:rFonts w:hint="cs"/>
          <w:rtl/>
          <w:lang w:eastAsia="he-IL"/>
        </w:rPr>
        <w:t>, התשל"ז – 1977); זאת אף בלא שנעשה</w:t>
      </w:r>
      <w:r w:rsidR="00AA70CA">
        <w:rPr>
          <w:rFonts w:hint="cs"/>
          <w:rtl/>
          <w:lang w:eastAsia="he-IL"/>
        </w:rPr>
        <w:t xml:space="preserve"> </w:t>
      </w:r>
      <w:r w:rsidRPr="0001350E">
        <w:rPr>
          <w:rFonts w:hint="cs"/>
          <w:rtl/>
          <w:lang w:eastAsia="he-IL"/>
        </w:rPr>
        <w:t>בנשק</w:t>
      </w:r>
      <w:r w:rsidR="00AA70CA">
        <w:rPr>
          <w:rFonts w:hint="cs"/>
          <w:rtl/>
          <w:lang w:eastAsia="he-IL"/>
        </w:rPr>
        <w:t xml:space="preserve"> </w:t>
      </w:r>
      <w:r w:rsidRPr="0001350E">
        <w:rPr>
          <w:rFonts w:hint="cs"/>
          <w:rtl/>
          <w:lang w:eastAsia="he-IL"/>
        </w:rPr>
        <w:t>שימוש</w:t>
      </w:r>
      <w:r w:rsidR="00AA70CA">
        <w:rPr>
          <w:rFonts w:hint="cs"/>
          <w:rtl/>
          <w:lang w:eastAsia="he-IL"/>
        </w:rPr>
        <w:t xml:space="preserve"> </w:t>
      </w:r>
      <w:r w:rsidRPr="0001350E">
        <w:rPr>
          <w:rFonts w:hint="cs"/>
          <w:rtl/>
          <w:lang w:eastAsia="he-IL"/>
        </w:rPr>
        <w:t>לביצוע</w:t>
      </w:r>
      <w:r w:rsidR="00AA70CA">
        <w:rPr>
          <w:rFonts w:hint="cs"/>
          <w:rtl/>
          <w:lang w:eastAsia="he-IL"/>
        </w:rPr>
        <w:t xml:space="preserve"> </w:t>
      </w:r>
      <w:r w:rsidRPr="0001350E">
        <w:rPr>
          <w:rFonts w:hint="cs"/>
          <w:rtl/>
          <w:lang w:eastAsia="he-IL"/>
        </w:rPr>
        <w:t>עבירה</w:t>
      </w:r>
      <w:r w:rsidR="00AA70CA">
        <w:rPr>
          <w:rFonts w:hint="cs"/>
          <w:rtl/>
          <w:lang w:eastAsia="he-IL"/>
        </w:rPr>
        <w:t xml:space="preserve"> </w:t>
      </w:r>
      <w:r w:rsidRPr="0001350E">
        <w:rPr>
          <w:rFonts w:hint="cs"/>
          <w:rtl/>
          <w:lang w:eastAsia="he-IL"/>
        </w:rPr>
        <w:t>נוספת.</w:t>
      </w:r>
      <w:r w:rsidR="00AA70CA">
        <w:rPr>
          <w:rFonts w:hint="cs"/>
          <w:rtl/>
          <w:lang w:eastAsia="he-IL"/>
        </w:rPr>
        <w:t xml:space="preserve"> </w:t>
      </w:r>
      <w:r w:rsidRPr="0001350E">
        <w:rPr>
          <w:rFonts w:hint="cs"/>
          <w:b/>
          <w:bCs/>
          <w:rtl/>
          <w:lang w:eastAsia="he-I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w:t>
      </w:r>
      <w:r w:rsidR="00AA70CA">
        <w:rPr>
          <w:rFonts w:hint="cs"/>
          <w:b/>
          <w:bCs/>
          <w:rtl/>
          <w:lang w:eastAsia="he-IL"/>
        </w:rPr>
        <w:t xml:space="preserve"> </w:t>
      </w:r>
      <w:r w:rsidRPr="0001350E">
        <w:rPr>
          <w:rFonts w:hint="cs"/>
          <w:b/>
          <w:bCs/>
          <w:rtl/>
          <w:lang w:eastAsia="he-IL"/>
        </w:rPr>
        <w:t>לעבירות</w:t>
      </w:r>
      <w:r w:rsidR="00AA70CA">
        <w:rPr>
          <w:rFonts w:hint="cs"/>
          <w:b/>
          <w:bCs/>
          <w:rtl/>
          <w:lang w:eastAsia="he-IL"/>
        </w:rPr>
        <w:t xml:space="preserve"> </w:t>
      </w:r>
      <w:r w:rsidRPr="0001350E">
        <w:rPr>
          <w:rFonts w:hint="cs"/>
          <w:b/>
          <w:bCs/>
          <w:rtl/>
          <w:lang w:eastAsia="he-IL"/>
        </w:rPr>
        <w:t>נשק</w:t>
      </w:r>
      <w:r w:rsidR="00AA70CA">
        <w:rPr>
          <w:rFonts w:hint="cs"/>
          <w:b/>
          <w:bCs/>
          <w:rtl/>
          <w:lang w:eastAsia="he-IL"/>
        </w:rPr>
        <w:t xml:space="preserve"> </w:t>
      </w:r>
      <w:r w:rsidRPr="0001350E">
        <w:rPr>
          <w:rFonts w:hint="cs"/>
          <w:b/>
          <w:bCs/>
          <w:rtl/>
          <w:lang w:eastAsia="he-IL"/>
        </w:rPr>
        <w:t>בלתי חוקי באשר הן</w:t>
      </w:r>
      <w:r w:rsidRPr="0001350E">
        <w:rPr>
          <w:rFonts w:hint="cs"/>
          <w:rtl/>
          <w:lang w:eastAsia="he-IL"/>
        </w:rPr>
        <w:t>, וכל שכן מקום שנעשה</w:t>
      </w:r>
      <w:r w:rsidR="00AA70CA">
        <w:rPr>
          <w:rFonts w:hint="cs"/>
          <w:rtl/>
          <w:lang w:eastAsia="he-IL"/>
        </w:rPr>
        <w:t xml:space="preserve"> </w:t>
      </w:r>
      <w:r w:rsidRPr="0001350E">
        <w:rPr>
          <w:rFonts w:hint="cs"/>
          <w:rtl/>
          <w:lang w:eastAsia="he-IL"/>
        </w:rPr>
        <w:t>בנשק</w:t>
      </w:r>
      <w:r w:rsidR="00AA70CA">
        <w:rPr>
          <w:rFonts w:hint="cs"/>
          <w:rtl/>
          <w:lang w:eastAsia="he-IL"/>
        </w:rPr>
        <w:t xml:space="preserve"> </w:t>
      </w:r>
      <w:r w:rsidRPr="0001350E">
        <w:rPr>
          <w:rFonts w:hint="cs"/>
          <w:rtl/>
          <w:lang w:eastAsia="he-IL"/>
        </w:rPr>
        <w:t>כזה</w:t>
      </w:r>
      <w:r w:rsidR="00AA70CA">
        <w:rPr>
          <w:rFonts w:hint="cs"/>
          <w:rtl/>
          <w:lang w:eastAsia="he-IL"/>
        </w:rPr>
        <w:t xml:space="preserve"> </w:t>
      </w:r>
      <w:r w:rsidRPr="0001350E">
        <w:rPr>
          <w:rFonts w:hint="cs"/>
          <w:rtl/>
          <w:lang w:eastAsia="he-IL"/>
        </w:rPr>
        <w:t>שימוש</w:t>
      </w:r>
      <w:r w:rsidR="00AA70CA">
        <w:rPr>
          <w:rFonts w:hint="cs"/>
          <w:rtl/>
          <w:lang w:eastAsia="he-IL"/>
        </w:rPr>
        <w:t xml:space="preserve"> </w:t>
      </w:r>
      <w:r w:rsidRPr="0001350E">
        <w:rPr>
          <w:rFonts w:hint="cs"/>
          <w:rtl/>
          <w:lang w:eastAsia="he-IL"/>
        </w:rPr>
        <w:t>בביצוע</w:t>
      </w:r>
      <w:r w:rsidR="00AA70CA">
        <w:rPr>
          <w:rFonts w:hint="cs"/>
          <w:rtl/>
          <w:lang w:eastAsia="he-IL"/>
        </w:rPr>
        <w:t xml:space="preserve"> </w:t>
      </w:r>
      <w:r w:rsidRPr="0001350E">
        <w:rPr>
          <w:rFonts w:hint="cs"/>
          <w:rtl/>
          <w:lang w:eastAsia="he-IL"/>
        </w:rPr>
        <w:t>עבירות</w:t>
      </w:r>
      <w:r w:rsidR="00AA70CA">
        <w:rPr>
          <w:rFonts w:hint="cs"/>
          <w:rtl/>
          <w:lang w:eastAsia="he-IL"/>
        </w:rPr>
        <w:t xml:space="preserve"> </w:t>
      </w:r>
      <w:r w:rsidRPr="0001350E">
        <w:rPr>
          <w:rFonts w:hint="cs"/>
          <w:rtl/>
          <w:lang w:eastAsia="he-IL"/>
        </w:rPr>
        <w:t>אלימות לסוגיהן."</w:t>
      </w:r>
    </w:p>
    <w:p w14:paraId="004BFAE3" w14:textId="77777777" w:rsidR="003D065E" w:rsidRPr="0001350E" w:rsidRDefault="00AA70CA" w:rsidP="003D065E">
      <w:pPr>
        <w:shd w:val="clear" w:color="auto" w:fill="FFFFFF"/>
        <w:spacing w:line="360" w:lineRule="auto"/>
        <w:ind w:left="720" w:hanging="720"/>
        <w:jc w:val="both"/>
        <w:rPr>
          <w:rtl/>
        </w:rPr>
      </w:pPr>
      <w:r>
        <w:rPr>
          <w:rFonts w:hint="cs"/>
          <w:rtl/>
          <w:lang w:eastAsia="he-IL"/>
        </w:rPr>
        <w:t xml:space="preserve"> </w:t>
      </w:r>
    </w:p>
    <w:p w14:paraId="7DE48943" w14:textId="77777777" w:rsidR="003D065E" w:rsidRPr="0001350E" w:rsidRDefault="003D065E" w:rsidP="003D065E">
      <w:pPr>
        <w:spacing w:line="360" w:lineRule="auto"/>
        <w:ind w:left="720" w:hanging="720"/>
        <w:jc w:val="both"/>
        <w:rPr>
          <w:rtl/>
        </w:rPr>
      </w:pPr>
      <w:r w:rsidRPr="0001350E">
        <w:rPr>
          <w:rFonts w:hint="cs"/>
          <w:rtl/>
        </w:rPr>
        <w:t xml:space="preserve">13. </w:t>
      </w:r>
      <w:r w:rsidRPr="0001350E">
        <w:rPr>
          <w:rFonts w:hint="cs"/>
          <w:rtl/>
        </w:rPr>
        <w:tab/>
        <w:t xml:space="preserve">כאן, הנאשם החזיק אקדח תקני, בקוטר 9 מ"מ, וכדורים תואמים, ללא רישיון, וירה באקדח בשעת לילה מאוחרת מאוד, בלב שכונת מגורים, כשהתושבים נמים את שנתם בבתיהם. ומעשיו פגעו בערכים החברתיים של שמירת הגוף והנפש, שמירת בטחון הציבור ושמירת הסדר הציבורי, במידה משמעותית מאוד. </w:t>
      </w:r>
    </w:p>
    <w:p w14:paraId="4372D563" w14:textId="77777777" w:rsidR="003D065E" w:rsidRPr="0001350E" w:rsidRDefault="003D065E" w:rsidP="003D065E">
      <w:pPr>
        <w:spacing w:line="360" w:lineRule="auto"/>
        <w:ind w:left="720" w:hanging="720"/>
        <w:jc w:val="both"/>
        <w:rPr>
          <w:rtl/>
        </w:rPr>
      </w:pPr>
    </w:p>
    <w:p w14:paraId="27711D8B" w14:textId="77777777" w:rsidR="003D065E" w:rsidRPr="0001350E" w:rsidRDefault="003D065E" w:rsidP="003D065E">
      <w:pPr>
        <w:spacing w:line="360" w:lineRule="auto"/>
        <w:ind w:left="720" w:hanging="720"/>
        <w:jc w:val="both"/>
        <w:rPr>
          <w:rtl/>
        </w:rPr>
      </w:pPr>
      <w:r w:rsidRPr="0001350E">
        <w:rPr>
          <w:rFonts w:hint="cs"/>
          <w:rtl/>
        </w:rPr>
        <w:t>14.</w:t>
      </w:r>
      <w:r w:rsidRPr="0001350E">
        <w:rPr>
          <w:rFonts w:hint="cs"/>
          <w:rtl/>
        </w:rPr>
        <w:tab/>
        <w:t>העונשים הקבועים לעבירות נשיאת נשק וירי באזור מגורים, בהן הורשע הנאשם, 10 ו- 5 שנות מאסר, מבטאים את התייחסות המחוקק למעשים אלה ומסמנים לעבר ענישה משמעותית.</w:t>
      </w:r>
    </w:p>
    <w:p w14:paraId="39872A86" w14:textId="77777777" w:rsidR="003D065E" w:rsidRPr="0001350E" w:rsidRDefault="003D065E" w:rsidP="003D065E">
      <w:pPr>
        <w:spacing w:line="360" w:lineRule="auto"/>
        <w:ind w:left="720" w:hanging="720"/>
        <w:jc w:val="both"/>
        <w:rPr>
          <w:rtl/>
        </w:rPr>
      </w:pPr>
      <w:r w:rsidRPr="0001350E">
        <w:rPr>
          <w:rFonts w:hint="cs"/>
          <w:rtl/>
        </w:rPr>
        <w:t xml:space="preserve"> </w:t>
      </w:r>
    </w:p>
    <w:p w14:paraId="11772608" w14:textId="77777777" w:rsidR="003D065E" w:rsidRPr="0001350E" w:rsidRDefault="003D065E" w:rsidP="003D065E">
      <w:pPr>
        <w:shd w:val="clear" w:color="auto" w:fill="FFFFFF"/>
        <w:spacing w:line="360" w:lineRule="auto"/>
        <w:ind w:left="720" w:hanging="720"/>
        <w:jc w:val="both"/>
        <w:rPr>
          <w:rtl/>
        </w:rPr>
      </w:pPr>
      <w:r w:rsidRPr="0001350E">
        <w:rPr>
          <w:rFonts w:hint="cs"/>
          <w:rtl/>
        </w:rPr>
        <w:t>15.</w:t>
      </w:r>
      <w:r w:rsidRPr="0001350E">
        <w:rPr>
          <w:rFonts w:hint="cs"/>
          <w:rtl/>
        </w:rPr>
        <w:tab/>
        <w:t>מטבע הדברים, מדיניות הענישה הנוהגת בעבירות נשק הינה מימים ימימה של רצינות וחומרה. בשנים האחרונות, נוכח ריבוי העבירות בתחום זה והשפעתן הרחבה והקשה, מגמה זו התחזקה ביתר שאת ומדיניות הענישה הינה של חומרה מובהקת.</w:t>
      </w:r>
    </w:p>
    <w:p w14:paraId="22FAC219" w14:textId="77777777" w:rsidR="003D065E" w:rsidRPr="0001350E" w:rsidRDefault="003D065E" w:rsidP="003D065E">
      <w:pPr>
        <w:spacing w:line="360" w:lineRule="auto"/>
        <w:ind w:left="1440"/>
        <w:jc w:val="both"/>
        <w:rPr>
          <w:rtl/>
          <w:lang w:eastAsia="he-IL"/>
        </w:rPr>
      </w:pPr>
    </w:p>
    <w:p w14:paraId="08F4ED9C" w14:textId="77777777" w:rsidR="003D065E" w:rsidRPr="0001350E" w:rsidRDefault="003D065E" w:rsidP="003D065E">
      <w:pPr>
        <w:spacing w:line="360" w:lineRule="auto"/>
        <w:ind w:left="1440"/>
        <w:jc w:val="both"/>
        <w:rPr>
          <w:rtl/>
          <w:lang w:eastAsia="he-IL"/>
        </w:rPr>
      </w:pPr>
      <w:r w:rsidRPr="0001350E">
        <w:rPr>
          <w:rFonts w:hint="cs"/>
          <w:rtl/>
          <w:lang w:eastAsia="he-IL"/>
        </w:rPr>
        <w:t xml:space="preserve">"...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01350E">
        <w:rPr>
          <w:rFonts w:hint="cs"/>
          <w:b/>
          <w:rtl/>
          <w:lang w:eastAsia="he-IL"/>
        </w:rPr>
        <w:t>התמודדות משטרת ישראל עם החזקת אמצעי לחימה לא חוקיים ואירועי ירי ביישובי החברה הערבית וביישובים מעורבים</w:t>
      </w:r>
      <w:r w:rsidRPr="0001350E">
        <w:rPr>
          <w:rFonts w:hint="cs"/>
          <w:rtl/>
          <w:lang w:eastAsia="he-IL"/>
        </w:rPr>
        <w:t xml:space="preserve"> 28 (2018)). על רקע המציאות אותה אנו חווים למרבה הצער מדי יום, אנו עדים לקריאה ציבורית נרגשת להגברת האכיפה כלפי עבירות נשק – ולהחמרה במדיניות הענישה הנוהגת." (</w:t>
      </w:r>
      <w:hyperlink r:id="rId17" w:history="1">
        <w:r w:rsidR="00AA70CA" w:rsidRPr="00AA70CA">
          <w:rPr>
            <w:color w:val="0000FF"/>
            <w:u w:val="single"/>
            <w:rtl/>
            <w:lang w:eastAsia="he-IL"/>
          </w:rPr>
          <w:t>ע"פ 4406/19</w:t>
        </w:r>
      </w:hyperlink>
      <w:r w:rsidRPr="0001350E">
        <w:rPr>
          <w:rtl/>
          <w:lang w:eastAsia="he-IL"/>
        </w:rPr>
        <w:t xml:space="preserve"> </w:t>
      </w:r>
      <w:r w:rsidRPr="0001350E">
        <w:rPr>
          <w:rFonts w:hint="cs"/>
          <w:b/>
          <w:rtl/>
          <w:lang w:eastAsia="he-IL"/>
        </w:rPr>
        <w:t>מדינת ישראל נ' סובח</w:t>
      </w:r>
      <w:r w:rsidRPr="0001350E">
        <w:rPr>
          <w:rFonts w:hint="cs"/>
          <w:rtl/>
          <w:lang w:eastAsia="he-IL"/>
        </w:rPr>
        <w:t xml:space="preserve"> (05.11.2019))</w:t>
      </w:r>
    </w:p>
    <w:p w14:paraId="374C39D0" w14:textId="77777777" w:rsidR="003D065E" w:rsidRPr="0001350E" w:rsidRDefault="003D065E" w:rsidP="003D065E">
      <w:pPr>
        <w:spacing w:line="360" w:lineRule="auto"/>
        <w:ind w:left="1440"/>
        <w:jc w:val="both"/>
        <w:rPr>
          <w:rtl/>
          <w:lang w:eastAsia="he-IL"/>
        </w:rPr>
      </w:pPr>
    </w:p>
    <w:p w14:paraId="0252A6A0" w14:textId="77777777" w:rsidR="003D065E" w:rsidRPr="0001350E" w:rsidRDefault="003D065E" w:rsidP="003D065E">
      <w:pPr>
        <w:spacing w:line="360" w:lineRule="auto"/>
        <w:ind w:left="720" w:hanging="720"/>
        <w:jc w:val="both"/>
        <w:rPr>
          <w:rtl/>
        </w:rPr>
      </w:pPr>
      <w:r w:rsidRPr="0001350E">
        <w:rPr>
          <w:rFonts w:hint="cs"/>
          <w:rtl/>
        </w:rPr>
        <w:t>16.</w:t>
      </w:r>
      <w:r w:rsidRPr="0001350E">
        <w:rPr>
          <w:rFonts w:hint="cs"/>
          <w:rtl/>
        </w:rPr>
        <w:tab/>
        <w:t xml:space="preserve">הלכה למעשה, בעבירות נשק הדומות בנסיבותיהן לענייננו, בתי המשפט מטילים עונשי מאסר לתקופות משמעותיות.  </w:t>
      </w:r>
    </w:p>
    <w:p w14:paraId="37CEF53C" w14:textId="77777777" w:rsidR="003D065E" w:rsidRPr="0001350E" w:rsidRDefault="003D065E" w:rsidP="003D065E">
      <w:pPr>
        <w:spacing w:line="360" w:lineRule="auto"/>
        <w:ind w:left="720"/>
        <w:jc w:val="both"/>
        <w:rPr>
          <w:rtl/>
        </w:rPr>
      </w:pPr>
    </w:p>
    <w:p w14:paraId="19A2BF9D" w14:textId="77777777" w:rsidR="003D065E" w:rsidRPr="0001350E" w:rsidRDefault="003D065E" w:rsidP="003D065E">
      <w:pPr>
        <w:spacing w:line="360" w:lineRule="auto"/>
        <w:ind w:left="720"/>
        <w:jc w:val="both"/>
        <w:rPr>
          <w:rtl/>
        </w:rPr>
      </w:pPr>
      <w:r w:rsidRPr="0001350E">
        <w:rPr>
          <w:rFonts w:hint="cs"/>
          <w:rtl/>
        </w:rPr>
        <w:t>ב</w:t>
      </w:r>
      <w:hyperlink r:id="rId18" w:history="1">
        <w:r w:rsidR="00AA70CA" w:rsidRPr="00AA70CA">
          <w:rPr>
            <w:color w:val="0000FF"/>
            <w:u w:val="single"/>
            <w:rtl/>
          </w:rPr>
          <w:t>ע"פ 1059-21</w:t>
        </w:r>
      </w:hyperlink>
      <w:r w:rsidR="00AA70CA">
        <w:rPr>
          <w:rFonts w:hint="cs"/>
          <w:rtl/>
        </w:rPr>
        <w:t xml:space="preserve"> </w:t>
      </w:r>
      <w:r w:rsidRPr="0001350E">
        <w:rPr>
          <w:rFonts w:hint="cs"/>
          <w:b/>
          <w:bCs/>
          <w:rtl/>
        </w:rPr>
        <w:t xml:space="preserve">פלוני </w:t>
      </w:r>
      <w:r w:rsidRPr="0001350E">
        <w:rPr>
          <w:rFonts w:hint="cs"/>
          <w:rtl/>
        </w:rPr>
        <w:t>נ'</w:t>
      </w:r>
      <w:r w:rsidR="00AA70CA">
        <w:t xml:space="preserve"> </w:t>
      </w:r>
      <w:r w:rsidRPr="0001350E">
        <w:rPr>
          <w:rFonts w:hint="cs"/>
          <w:b/>
          <w:bCs/>
          <w:rtl/>
        </w:rPr>
        <w:t xml:space="preserve">מדינת ישראל </w:t>
      </w:r>
      <w:r w:rsidRPr="0001350E">
        <w:rPr>
          <w:rFonts w:hint="cs"/>
          <w:rtl/>
        </w:rPr>
        <w:t xml:space="preserve">(29.04.21) נקבע מתחם עונש הולם של 3-5 שנות מאסר והוטלו על המערער 42 חודשי מאסר בפועל, בעיקר על החזקת אקדח גנוב וירי ממנו. </w:t>
      </w:r>
    </w:p>
    <w:p w14:paraId="139DB916" w14:textId="77777777" w:rsidR="003D065E" w:rsidRPr="0001350E" w:rsidRDefault="003D065E" w:rsidP="003D065E">
      <w:pPr>
        <w:spacing w:line="360" w:lineRule="auto"/>
        <w:ind w:left="720"/>
        <w:jc w:val="both"/>
        <w:rPr>
          <w:rtl/>
        </w:rPr>
      </w:pPr>
      <w:r w:rsidRPr="0001350E">
        <w:rPr>
          <w:rFonts w:hint="cs"/>
          <w:rtl/>
        </w:rPr>
        <w:t>ב</w:t>
      </w:r>
      <w:hyperlink r:id="rId19" w:history="1">
        <w:r w:rsidR="00AA70CA" w:rsidRPr="00AA70CA">
          <w:rPr>
            <w:color w:val="0000FF"/>
            <w:u w:val="single"/>
            <w:rtl/>
          </w:rPr>
          <w:t>ע"פ 5522-20</w:t>
        </w:r>
      </w:hyperlink>
      <w:r w:rsidR="00AA70CA">
        <w:rPr>
          <w:rFonts w:hint="cs"/>
          <w:rtl/>
        </w:rPr>
        <w:t xml:space="preserve"> </w:t>
      </w:r>
      <w:r w:rsidRPr="0001350E">
        <w:rPr>
          <w:rFonts w:hint="cs"/>
          <w:b/>
          <w:bCs/>
          <w:rtl/>
        </w:rPr>
        <w:t>נזאר חלייחל</w:t>
      </w:r>
      <w:r w:rsidR="00AA70CA">
        <w:rPr>
          <w:rFonts w:hint="cs"/>
          <w:rtl/>
        </w:rPr>
        <w:t xml:space="preserve"> </w:t>
      </w:r>
      <w:r w:rsidRPr="0001350E">
        <w:rPr>
          <w:rFonts w:hint="cs"/>
          <w:rtl/>
        </w:rPr>
        <w:t>נ'</w:t>
      </w:r>
      <w:r w:rsidR="00AA70CA">
        <w:t xml:space="preserve"> </w:t>
      </w:r>
      <w:r w:rsidRPr="0001350E">
        <w:rPr>
          <w:rFonts w:hint="cs"/>
          <w:b/>
          <w:bCs/>
          <w:rtl/>
        </w:rPr>
        <w:t xml:space="preserve">מדינת ישראל </w:t>
      </w:r>
      <w:r w:rsidRPr="0001350E">
        <w:rPr>
          <w:rFonts w:hint="cs"/>
          <w:rtl/>
        </w:rPr>
        <w:t xml:space="preserve">(24.02.21) המערער נדון על נשיאת נשק וירי ממנו בשעת לילה באזור כפרי, ל- 41 חודשי מאסר בפועל, כולל הפעלת מאסר על תנאי של 5 חודשים. </w:t>
      </w:r>
    </w:p>
    <w:p w14:paraId="24D24CAC" w14:textId="77777777" w:rsidR="003D065E" w:rsidRPr="0001350E" w:rsidRDefault="003D065E" w:rsidP="003D065E">
      <w:pPr>
        <w:spacing w:line="360" w:lineRule="auto"/>
        <w:ind w:left="720"/>
        <w:jc w:val="both"/>
        <w:rPr>
          <w:rtl/>
        </w:rPr>
      </w:pPr>
      <w:r w:rsidRPr="0001350E">
        <w:rPr>
          <w:rFonts w:hint="cs"/>
          <w:rtl/>
        </w:rPr>
        <w:t>ב</w:t>
      </w:r>
      <w:hyperlink r:id="rId20" w:history="1">
        <w:r w:rsidR="00AA70CA" w:rsidRPr="00AA70CA">
          <w:rPr>
            <w:color w:val="0000FF"/>
            <w:u w:val="single"/>
            <w:rtl/>
          </w:rPr>
          <w:t>ע"פ 1509-20</w:t>
        </w:r>
      </w:hyperlink>
      <w:r w:rsidR="00AA70CA">
        <w:rPr>
          <w:rFonts w:hint="cs"/>
          <w:rtl/>
        </w:rPr>
        <w:t xml:space="preserve"> </w:t>
      </w:r>
      <w:r w:rsidRPr="0001350E">
        <w:rPr>
          <w:rFonts w:hint="cs"/>
          <w:b/>
          <w:bCs/>
          <w:rtl/>
        </w:rPr>
        <w:t>מדינת ישראל</w:t>
      </w:r>
      <w:r w:rsidRPr="0001350E">
        <w:rPr>
          <w:rFonts w:hint="cs"/>
          <w:rtl/>
        </w:rPr>
        <w:t xml:space="preserve"> נ' </w:t>
      </w:r>
      <w:r w:rsidRPr="0001350E">
        <w:rPr>
          <w:rFonts w:hint="cs"/>
          <w:b/>
          <w:bCs/>
          <w:rtl/>
        </w:rPr>
        <w:t xml:space="preserve">ראפאת נבארי </w:t>
      </w:r>
      <w:r w:rsidRPr="0001350E">
        <w:rPr>
          <w:rFonts w:hint="cs"/>
          <w:rtl/>
        </w:rPr>
        <w:t xml:space="preserve">(02.07.20) בית המשפט העליון החמיר בעונשו של המשיב, אשר הורשע בנשיאה והובלה של נשק ובירי מנשק חם באזור מגורים, והטיל עליו 36 חודשי מאסר בפועל, תחת עונש מאסר של 27 חודשים שנקבע לו בבית המשפט המחוזי, תוך ציון ההלכה שערכאת הערעור איננה ממצה את הדין. </w:t>
      </w:r>
    </w:p>
    <w:p w14:paraId="32D4277F" w14:textId="77777777" w:rsidR="003D065E" w:rsidRPr="0001350E" w:rsidRDefault="003D065E" w:rsidP="003D065E">
      <w:pPr>
        <w:spacing w:line="360" w:lineRule="auto"/>
        <w:ind w:left="720"/>
        <w:jc w:val="both"/>
        <w:rPr>
          <w:rtl/>
        </w:rPr>
      </w:pPr>
    </w:p>
    <w:p w14:paraId="0FFBF1C8" w14:textId="77777777" w:rsidR="003D065E" w:rsidRPr="0001350E" w:rsidRDefault="003D065E" w:rsidP="003D065E">
      <w:pPr>
        <w:spacing w:line="360" w:lineRule="auto"/>
        <w:ind w:left="720"/>
        <w:jc w:val="both"/>
        <w:rPr>
          <w:rtl/>
        </w:rPr>
      </w:pPr>
      <w:r w:rsidRPr="0001350E">
        <w:rPr>
          <w:rFonts w:hint="cs"/>
          <w:rtl/>
        </w:rPr>
        <w:t>ב</w:t>
      </w:r>
      <w:hyperlink r:id="rId21" w:history="1">
        <w:r w:rsidR="00AA70CA" w:rsidRPr="00AA70CA">
          <w:rPr>
            <w:color w:val="0000FF"/>
            <w:u w:val="single"/>
            <w:rtl/>
          </w:rPr>
          <w:t>ע"פ 6068-21</w:t>
        </w:r>
      </w:hyperlink>
      <w:r w:rsidR="00AA70CA">
        <w:rPr>
          <w:rFonts w:hint="cs"/>
          <w:rtl/>
        </w:rPr>
        <w:t xml:space="preserve"> </w:t>
      </w:r>
      <w:r w:rsidRPr="0001350E">
        <w:rPr>
          <w:rFonts w:hint="cs"/>
          <w:b/>
          <w:bCs/>
          <w:rtl/>
        </w:rPr>
        <w:t>מדינת ישראל</w:t>
      </w:r>
      <w:r w:rsidRPr="0001350E">
        <w:rPr>
          <w:rFonts w:hint="cs"/>
          <w:rtl/>
        </w:rPr>
        <w:t xml:space="preserve"> נ'</w:t>
      </w:r>
      <w:r w:rsidRPr="0001350E">
        <w:rPr>
          <w:rFonts w:hint="cs"/>
          <w:b/>
          <w:bCs/>
          <w:rtl/>
        </w:rPr>
        <w:t xml:space="preserve"> אברהים פקיה </w:t>
      </w:r>
      <w:r w:rsidRPr="0001350E">
        <w:rPr>
          <w:rFonts w:hint="cs"/>
          <w:rtl/>
        </w:rPr>
        <w:t xml:space="preserve">(19.12.21) בית המשפט העליון החמיר בעונשו של המשיב, אשר הורשע בעבירות של נשיאת נשק וירי באזור מגורים, והטיל עליו 25 חודשי מאסר בפועל, תחת עונש מאסר של 14 חודשים שהוטל עליו בבית המשפט המחוזי.  </w:t>
      </w:r>
    </w:p>
    <w:p w14:paraId="4F773370" w14:textId="77777777" w:rsidR="003D065E" w:rsidRPr="0001350E" w:rsidRDefault="003D065E" w:rsidP="003D065E">
      <w:pPr>
        <w:spacing w:line="360" w:lineRule="auto"/>
        <w:ind w:left="720"/>
        <w:jc w:val="both"/>
        <w:rPr>
          <w:rtl/>
          <w:lang w:eastAsia="he-IL"/>
        </w:rPr>
      </w:pPr>
    </w:p>
    <w:p w14:paraId="2AFD28DB" w14:textId="77777777" w:rsidR="003D065E" w:rsidRPr="0001350E" w:rsidRDefault="003D065E" w:rsidP="003D065E">
      <w:pPr>
        <w:spacing w:line="360" w:lineRule="auto"/>
        <w:ind w:left="720" w:hanging="720"/>
        <w:jc w:val="both"/>
        <w:rPr>
          <w:rtl/>
        </w:rPr>
      </w:pPr>
      <w:r w:rsidRPr="0001350E">
        <w:rPr>
          <w:rFonts w:hint="cs"/>
          <w:rtl/>
        </w:rPr>
        <w:t>17.</w:t>
      </w:r>
      <w:r w:rsidRPr="0001350E">
        <w:rPr>
          <w:rFonts w:hint="cs"/>
          <w:rtl/>
        </w:rPr>
        <w:tab/>
        <w:t xml:space="preserve">מעשי הנאשם היו כרוכים בפעולות מקדימות וקדם להם תכנון. עצם ההתחמשות בכלי נשק ובתחמושת ללא רישיון מחייבת יוזמה ופעולה. ובוודאי שהירי באמצע הלילה ואחר כך זריקת הנשק לתוך ביתה של השכנה, הם תוצאה של מעשים יזומים ומכוונים של הנאשם. </w:t>
      </w:r>
    </w:p>
    <w:p w14:paraId="4D1512E1" w14:textId="77777777" w:rsidR="003D065E" w:rsidRPr="0001350E" w:rsidRDefault="003D065E" w:rsidP="003D065E">
      <w:pPr>
        <w:spacing w:line="360" w:lineRule="auto"/>
        <w:ind w:left="720"/>
        <w:jc w:val="both"/>
        <w:rPr>
          <w:rtl/>
        </w:rPr>
      </w:pPr>
      <w:r w:rsidRPr="0001350E">
        <w:rPr>
          <w:rFonts w:hint="cs"/>
          <w:rtl/>
        </w:rPr>
        <w:t xml:space="preserve">הרקע להחזקת הנשק ולירי, לא הובהרו. וכשהנאשם התבקש על ידי שירות המבחן להתייחס לנסיבות ביצוע העבירות הוא התחמק מכך, וכך הענין נותר לוט בערפל. אולם הדעת נותנת שירי בנסיבות כבענייננו איננו סתמי, ואין להסבירו ב"מעשה שטות" של הנאשם, כטענת הסנגור. </w:t>
      </w:r>
    </w:p>
    <w:p w14:paraId="3C8219DB" w14:textId="77777777" w:rsidR="003D065E" w:rsidRPr="0001350E" w:rsidRDefault="003D065E" w:rsidP="003D065E">
      <w:pPr>
        <w:spacing w:line="360" w:lineRule="auto"/>
        <w:ind w:left="720"/>
        <w:jc w:val="both"/>
        <w:rPr>
          <w:rtl/>
        </w:rPr>
      </w:pPr>
    </w:p>
    <w:p w14:paraId="6626B169" w14:textId="77777777" w:rsidR="003D065E" w:rsidRPr="0001350E" w:rsidRDefault="003D065E" w:rsidP="003D065E">
      <w:pPr>
        <w:spacing w:line="360" w:lineRule="auto"/>
        <w:ind w:left="720"/>
        <w:jc w:val="both"/>
        <w:rPr>
          <w:rtl/>
        </w:rPr>
      </w:pPr>
      <w:r w:rsidRPr="0001350E">
        <w:rPr>
          <w:rFonts w:hint="cs"/>
          <w:rtl/>
        </w:rPr>
        <w:t xml:space="preserve">למרבה המזל, מעשי הנאשם לא גרמו לפגיעה פיזית, אולם עצם השגת הנשק הבלתי חוקי ונשיאתו, טומנת בחובה סכנות רבות וחמורות. וודאי שירי בלב שכונת מגורים, בטבורה של עיר, גם אם הוא "באוויר", הינו מעשה חמור ומסוכן מאוד היכול להסתיים באסון. ורק בתקופה האחרונה פורסמו שני מקרים של פגיעת אנשים תמימים שהיו ספונים בביתם, מירי תועה ביישובם. </w:t>
      </w:r>
    </w:p>
    <w:p w14:paraId="7570F497" w14:textId="77777777" w:rsidR="003D065E" w:rsidRPr="0001350E" w:rsidRDefault="003D065E" w:rsidP="003D065E">
      <w:pPr>
        <w:spacing w:line="360" w:lineRule="auto"/>
        <w:ind w:left="720"/>
        <w:jc w:val="both"/>
        <w:rPr>
          <w:rtl/>
        </w:rPr>
      </w:pPr>
    </w:p>
    <w:p w14:paraId="096430D5" w14:textId="77777777" w:rsidR="003D065E" w:rsidRPr="0001350E" w:rsidRDefault="003D065E" w:rsidP="003D065E">
      <w:pPr>
        <w:spacing w:line="360" w:lineRule="auto"/>
        <w:ind w:left="720"/>
        <w:jc w:val="both"/>
        <w:rPr>
          <w:rtl/>
        </w:rPr>
      </w:pPr>
      <w:r w:rsidRPr="0001350E">
        <w:rPr>
          <w:rFonts w:hint="cs"/>
          <w:rtl/>
        </w:rPr>
        <w:t xml:space="preserve">מעבר לכך, ירי באמצע הלילה בשכונת מגורים, מכניס פחד ודאגה בלב האנשים ופוגע בשלוות הנפש של הציבור. </w:t>
      </w:r>
    </w:p>
    <w:p w14:paraId="63B2051D" w14:textId="77777777" w:rsidR="003D065E" w:rsidRPr="0001350E" w:rsidRDefault="003D065E" w:rsidP="003D065E">
      <w:pPr>
        <w:spacing w:line="360" w:lineRule="auto"/>
        <w:ind w:left="720"/>
        <w:jc w:val="both"/>
        <w:rPr>
          <w:rtl/>
          <w:lang w:eastAsia="he-IL"/>
        </w:rPr>
      </w:pPr>
    </w:p>
    <w:p w14:paraId="3F7B0A0B" w14:textId="77777777" w:rsidR="003D065E" w:rsidRPr="0001350E" w:rsidRDefault="003D065E" w:rsidP="003D065E">
      <w:pPr>
        <w:spacing w:line="360" w:lineRule="auto"/>
        <w:ind w:left="720"/>
        <w:jc w:val="both"/>
        <w:rPr>
          <w:rtl/>
          <w:lang w:eastAsia="he-IL"/>
        </w:rPr>
      </w:pPr>
      <w:r w:rsidRPr="0001350E">
        <w:rPr>
          <w:rFonts w:hint="cs"/>
          <w:rtl/>
          <w:lang w:eastAsia="he-IL"/>
        </w:rPr>
        <w:t xml:space="preserve">הנאשם ביצע את העבירות בעצמו ולבדו. </w:t>
      </w:r>
    </w:p>
    <w:p w14:paraId="6E3D2009" w14:textId="77777777" w:rsidR="003D065E" w:rsidRPr="0001350E" w:rsidRDefault="003D065E" w:rsidP="003D065E">
      <w:pPr>
        <w:spacing w:line="360" w:lineRule="auto"/>
        <w:ind w:left="720"/>
        <w:jc w:val="both"/>
        <w:rPr>
          <w:rtl/>
        </w:rPr>
      </w:pPr>
    </w:p>
    <w:p w14:paraId="3A02E385" w14:textId="77777777" w:rsidR="003D065E" w:rsidRPr="0001350E" w:rsidRDefault="003D065E" w:rsidP="003D065E">
      <w:pPr>
        <w:shd w:val="clear" w:color="auto" w:fill="FFFFFF"/>
        <w:spacing w:line="360" w:lineRule="auto"/>
        <w:ind w:left="720" w:hanging="720"/>
        <w:jc w:val="both"/>
        <w:rPr>
          <w:rtl/>
        </w:rPr>
      </w:pPr>
      <w:r w:rsidRPr="0001350E">
        <w:rPr>
          <w:rFonts w:hint="cs"/>
          <w:rtl/>
        </w:rPr>
        <w:t>18.</w:t>
      </w:r>
      <w:r w:rsidRPr="0001350E">
        <w:rPr>
          <w:rFonts w:hint="cs"/>
          <w:rtl/>
        </w:rPr>
        <w:tab/>
      </w:r>
      <w:r w:rsidRPr="0001350E">
        <w:rPr>
          <w:rFonts w:hint="cs"/>
          <w:b/>
          <w:rtl/>
          <w:lang w:eastAsia="he-IL"/>
        </w:rPr>
        <w:t xml:space="preserve">נוכח הסדר הטיעון שבגדרו הסכימו הצדדים על טווח ענישה שחלקו העליון הוא 42 חודשי מאסר בפועל, ובהינתן שהעונש לו עותרת התביעה איננו מעמיד לדיון את האפשרות לדחיית ההסדר ולהטלת עונש חמור יותר על הנאשם, הרי שהשאלה שעל הפרק נוגעת למיקום העונש בתוך הטווח שנקבע. ובמצב דברים זה אין צורך לקבוע במדויק את גבולות מתחם העונש ההולם. (ראה </w:t>
      </w:r>
      <w:hyperlink r:id="rId22" w:history="1">
        <w:r w:rsidR="00AA70CA" w:rsidRPr="00AA70CA">
          <w:rPr>
            <w:b/>
            <w:color w:val="0000FF"/>
            <w:u w:val="single"/>
            <w:rtl/>
            <w:lang w:eastAsia="he-IL"/>
          </w:rPr>
          <w:t>ע"פ 6943/16</w:t>
        </w:r>
      </w:hyperlink>
      <w:r w:rsidRPr="0001350E">
        <w:rPr>
          <w:rFonts w:hint="cs"/>
          <w:b/>
          <w:rtl/>
          <w:lang w:eastAsia="he-IL"/>
        </w:rPr>
        <w:t xml:space="preserve"> גנדי גלקין נ' מדינת ישראל (28.1.2018)). אזכיר את השוני הידוע בין מתחם העונש ההולם הנקבע על ידי בית המשפט לבין טווח הענישה המוסכם על ידי הצדדים, המתייחס לעונש עצמו ומשקלל גם נתונים ונסיבות שאינם קשורים בביצוע העבירה.</w:t>
      </w:r>
    </w:p>
    <w:p w14:paraId="1BDF2EAC" w14:textId="77777777" w:rsidR="003D065E" w:rsidRPr="0001350E" w:rsidRDefault="003D065E" w:rsidP="003D065E">
      <w:pPr>
        <w:spacing w:line="360" w:lineRule="auto"/>
        <w:ind w:left="720" w:hanging="720"/>
        <w:jc w:val="both"/>
        <w:rPr>
          <w:rtl/>
        </w:rPr>
      </w:pPr>
    </w:p>
    <w:p w14:paraId="5C0E4FA7" w14:textId="77777777" w:rsidR="003D065E" w:rsidRPr="0001350E" w:rsidRDefault="003D065E" w:rsidP="003D065E">
      <w:pPr>
        <w:spacing w:line="360" w:lineRule="auto"/>
        <w:ind w:left="720" w:hanging="720"/>
        <w:jc w:val="both"/>
        <w:rPr>
          <w:rtl/>
        </w:rPr>
      </w:pPr>
      <w:r w:rsidRPr="0001350E">
        <w:rPr>
          <w:rFonts w:hint="cs"/>
          <w:rtl/>
        </w:rPr>
        <w:t>19.</w:t>
      </w:r>
      <w:r w:rsidRPr="0001350E">
        <w:rPr>
          <w:rFonts w:hint="cs"/>
          <w:rtl/>
        </w:rPr>
        <w:tab/>
      </w:r>
      <w:r w:rsidRPr="0001350E">
        <w:rPr>
          <w:rFonts w:hint="cs"/>
          <w:rtl/>
          <w:lang w:eastAsia="he-IL"/>
        </w:rPr>
        <w:t>בגזירת עונשו של הנאשם אני מביא בחשבון גם את גילו הצעיר של הנאשם; העובדה שאין לו עבר פלילי והוא שמר על יציבות תעסוקתית; נסיבותיו האישיות והמשפחתיות המורכבות של הנאשם; הודאת הנאשם - על משמעויותיה; עמדת התביעה לעונש במסגרת הסדר הטיעון; והעובדה שזהו מאסרו הראשון של הנאשם ומטבע הדברים הוא יגרום לפגיעה בנאשם ובמשפחתו.</w:t>
      </w:r>
      <w:r w:rsidRPr="0001350E">
        <w:rPr>
          <w:rFonts w:hint="cs"/>
          <w:rtl/>
        </w:rPr>
        <w:t xml:space="preserve"> </w:t>
      </w:r>
    </w:p>
    <w:p w14:paraId="2C12AB56" w14:textId="77777777" w:rsidR="003D065E" w:rsidRPr="0001350E" w:rsidRDefault="003D065E" w:rsidP="003D065E">
      <w:pPr>
        <w:spacing w:line="360" w:lineRule="auto"/>
        <w:ind w:left="720" w:hanging="720"/>
        <w:jc w:val="both"/>
        <w:rPr>
          <w:rtl/>
        </w:rPr>
      </w:pPr>
      <w:r w:rsidRPr="0001350E">
        <w:rPr>
          <w:rFonts w:hint="cs"/>
          <w:rtl/>
        </w:rPr>
        <w:tab/>
        <w:t xml:space="preserve">מנגד, מעשי הנאשם, התרשמות שירות המבחן בדבר הרקע להם, והתייחסות הנאשם למעשיו, מעלים את הצורך בהרתעת הנאשם מפני חזרה על מעשים דומים. </w:t>
      </w:r>
    </w:p>
    <w:p w14:paraId="6343CAC5" w14:textId="77777777" w:rsidR="003D065E" w:rsidRPr="0001350E" w:rsidRDefault="003D065E" w:rsidP="003D065E">
      <w:pPr>
        <w:spacing w:line="360" w:lineRule="auto"/>
        <w:ind w:left="720" w:hanging="720"/>
        <w:jc w:val="both"/>
        <w:rPr>
          <w:rtl/>
        </w:rPr>
      </w:pPr>
    </w:p>
    <w:p w14:paraId="3AC6E12D" w14:textId="77777777" w:rsidR="003D065E" w:rsidRPr="0001350E" w:rsidRDefault="003D065E" w:rsidP="003D065E">
      <w:pPr>
        <w:spacing w:line="360" w:lineRule="auto"/>
        <w:ind w:left="720" w:hanging="720"/>
        <w:jc w:val="both"/>
        <w:rPr>
          <w:rtl/>
        </w:rPr>
      </w:pPr>
      <w:r w:rsidRPr="0001350E">
        <w:rPr>
          <w:rFonts w:hint="cs"/>
          <w:rtl/>
        </w:rPr>
        <w:tab/>
        <w:t xml:space="preserve">ונוכח נפוצות עבירות הנשק ופסיקה עקבית של בית המשפט העליון בנוגע למטרת ההרתעה הכללית בענישת עבירות נשק, אני מוצא כי יש צורך בהרתעת הרבים מפני ביצוע עבירות נשק ושיש סיכוי ממשי שהחמרה בעונשו של הנאשם תביא להרתעת הרבים. </w:t>
      </w:r>
    </w:p>
    <w:p w14:paraId="7AB94D9E" w14:textId="77777777" w:rsidR="003D065E" w:rsidRPr="0001350E" w:rsidRDefault="003D065E" w:rsidP="003D065E">
      <w:pPr>
        <w:spacing w:line="360" w:lineRule="auto"/>
        <w:ind w:left="720" w:hanging="720"/>
        <w:jc w:val="both"/>
        <w:rPr>
          <w:rtl/>
        </w:rPr>
      </w:pPr>
    </w:p>
    <w:p w14:paraId="31E3912C" w14:textId="77777777" w:rsidR="003D065E" w:rsidRPr="0001350E" w:rsidRDefault="003D065E" w:rsidP="003D065E">
      <w:pPr>
        <w:spacing w:line="360" w:lineRule="auto"/>
        <w:ind w:left="720" w:hanging="720"/>
        <w:jc w:val="both"/>
        <w:rPr>
          <w:rtl/>
        </w:rPr>
      </w:pPr>
      <w:r w:rsidRPr="0001350E">
        <w:rPr>
          <w:rFonts w:hint="cs"/>
          <w:rtl/>
        </w:rPr>
        <w:t>20.</w:t>
      </w:r>
      <w:r w:rsidRPr="0001350E">
        <w:rPr>
          <w:rFonts w:hint="cs"/>
          <w:rtl/>
        </w:rPr>
        <w:tab/>
        <w:t xml:space="preserve">בעבירות החמורות, ובהן עבירות הנשק, הבכורה ניתנת לאינטרס הציבורי המתבטא בעקרון ההלימה, בעוד נסיבותיו של הנאשם מקבלות משקל קטן.  </w:t>
      </w:r>
    </w:p>
    <w:p w14:paraId="024518AF" w14:textId="77777777" w:rsidR="003D065E" w:rsidRPr="0001350E" w:rsidRDefault="003D065E" w:rsidP="003D065E">
      <w:pPr>
        <w:shd w:val="clear" w:color="auto" w:fill="FFFFFF"/>
        <w:spacing w:line="360" w:lineRule="auto"/>
        <w:ind w:left="720"/>
        <w:jc w:val="both"/>
        <w:rPr>
          <w:rtl/>
        </w:rPr>
      </w:pPr>
      <w:r w:rsidRPr="0001350E">
        <w:rPr>
          <w:rFonts w:hint="cs"/>
          <w:rtl/>
        </w:rPr>
        <w:t>שמירת שלום הציבור ובטחונו מפני הפגיעות הנובעות מזמינותם הגבוהה של כלי נשק המוחזקים באופן בלתי חוקי, הינה ערך ראשון במעלה, המצדיק נקיטה בצעדים, גם חריפים יותר מאלו שננקטו עד כה, הדרושים להשגת המטרה. אין המדובר כאן בהתנגשות בין אינטרסים לגיטימיים של שני צדדים הגונים, המחייבת מציאת נקודת איזון בין הרצונות המנוגדים, אלא בהתנגשות בין ציבור אזרחי המדינה, המבקש לחיות את חייו בביטחון מבלי להיות נתון לסכנות הנובעות מהשימוש הבלתי חוקי בנשק - שהשפעתן על החברה ופרטיה הרסניות, לבין פרטים עוברי חוק, הפוגעים בציבור בצורה בוטה וחסרת רסן. ובמצב דברים זה, קיימת הצדקה מלאה לתנועת נגד, השמה את עיקר המשקל על טובת הציבור ונותנת משקל נמוך לאינטרס הפרטי של העבריין, ומממשת את קו החומרה שהותווה בפסיקת בית המשפט העליון בנוגע</w:t>
      </w:r>
      <w:r w:rsidR="00AA70CA">
        <w:rPr>
          <w:rFonts w:hint="cs"/>
          <w:rtl/>
        </w:rPr>
        <w:t xml:space="preserve"> </w:t>
      </w:r>
      <w:r w:rsidRPr="0001350E">
        <w:rPr>
          <w:rFonts w:hint="cs"/>
          <w:rtl/>
        </w:rPr>
        <w:t>לעבירות</w:t>
      </w:r>
      <w:r w:rsidR="00AA70CA">
        <w:rPr>
          <w:rFonts w:hint="cs"/>
          <w:rtl/>
        </w:rPr>
        <w:t xml:space="preserve"> </w:t>
      </w:r>
      <w:r w:rsidRPr="0001350E">
        <w:rPr>
          <w:rFonts w:hint="cs"/>
          <w:rtl/>
        </w:rPr>
        <w:t>הנשק, בהטלת עונשי מאסר חמורים.</w:t>
      </w:r>
    </w:p>
    <w:p w14:paraId="2FD0A0EE" w14:textId="77777777" w:rsidR="003D065E" w:rsidRPr="0001350E" w:rsidRDefault="003D065E" w:rsidP="003D065E">
      <w:pPr>
        <w:spacing w:line="360" w:lineRule="auto"/>
        <w:jc w:val="both"/>
        <w:rPr>
          <w:rtl/>
        </w:rPr>
      </w:pPr>
    </w:p>
    <w:p w14:paraId="71BA9C82" w14:textId="77777777" w:rsidR="003D065E" w:rsidRDefault="003D065E" w:rsidP="003D065E">
      <w:pPr>
        <w:spacing w:line="360" w:lineRule="auto"/>
        <w:ind w:left="720" w:hanging="720"/>
        <w:jc w:val="both"/>
        <w:rPr>
          <w:rtl/>
        </w:rPr>
      </w:pPr>
      <w:r w:rsidRPr="0001350E">
        <w:rPr>
          <w:rFonts w:hint="cs"/>
          <w:rtl/>
        </w:rPr>
        <w:t>21.</w:t>
      </w:r>
      <w:r w:rsidRPr="0001350E">
        <w:rPr>
          <w:rFonts w:hint="cs"/>
          <w:rtl/>
        </w:rPr>
        <w:tab/>
        <w:t xml:space="preserve">עמדת התביעה לעונש, מגלמת את ההתחשבות בנתוני הנאשם ונסיבותיו הנוגעים לענין ביחס לעונש שהיה ראוי להטיל עליו בלעדיהן, ואינני רואה הצדקה להקלה נוספת בעונשו של הנאשם. </w:t>
      </w:r>
    </w:p>
    <w:p w14:paraId="1F13141A" w14:textId="77777777" w:rsidR="003D065E" w:rsidRDefault="003D065E" w:rsidP="003D065E">
      <w:pPr>
        <w:spacing w:line="360" w:lineRule="auto"/>
        <w:ind w:left="720" w:hanging="720"/>
        <w:jc w:val="both"/>
        <w:rPr>
          <w:rtl/>
        </w:rPr>
      </w:pPr>
    </w:p>
    <w:p w14:paraId="39F6DA13" w14:textId="77777777" w:rsidR="003D065E" w:rsidRDefault="003D065E" w:rsidP="003D065E">
      <w:pPr>
        <w:spacing w:line="360" w:lineRule="auto"/>
        <w:ind w:left="720" w:hanging="720"/>
        <w:jc w:val="both"/>
        <w:rPr>
          <w:rtl/>
        </w:rPr>
      </w:pPr>
    </w:p>
    <w:p w14:paraId="4E18E052" w14:textId="77777777" w:rsidR="003D065E" w:rsidRDefault="003D065E" w:rsidP="003D065E">
      <w:pPr>
        <w:spacing w:line="360" w:lineRule="auto"/>
        <w:ind w:left="720" w:hanging="720"/>
        <w:jc w:val="both"/>
        <w:rPr>
          <w:rtl/>
        </w:rPr>
      </w:pPr>
    </w:p>
    <w:p w14:paraId="2B628654" w14:textId="77777777" w:rsidR="003D065E" w:rsidRPr="0001350E" w:rsidRDefault="003D065E" w:rsidP="003D065E">
      <w:pPr>
        <w:spacing w:line="360" w:lineRule="auto"/>
        <w:ind w:left="720" w:hanging="720"/>
        <w:jc w:val="both"/>
        <w:rPr>
          <w:rtl/>
        </w:rPr>
      </w:pPr>
    </w:p>
    <w:p w14:paraId="7DC80480" w14:textId="77777777" w:rsidR="003D065E" w:rsidRPr="0001350E" w:rsidRDefault="003D065E" w:rsidP="003D065E">
      <w:pPr>
        <w:spacing w:line="360" w:lineRule="auto"/>
        <w:jc w:val="both"/>
        <w:rPr>
          <w:rtl/>
        </w:rPr>
      </w:pPr>
      <w:r w:rsidRPr="0001350E">
        <w:rPr>
          <w:rFonts w:hint="cs"/>
          <w:rtl/>
        </w:rPr>
        <w:t>22.</w:t>
      </w:r>
      <w:r w:rsidRPr="0001350E">
        <w:rPr>
          <w:rFonts w:hint="cs"/>
          <w:rtl/>
        </w:rPr>
        <w:tab/>
        <w:t xml:space="preserve">בהתחשב בכל האמור, אני גוזר על הנאשם את  העונשים הבאים: </w:t>
      </w:r>
    </w:p>
    <w:p w14:paraId="7D61A758" w14:textId="77777777" w:rsidR="003D065E" w:rsidRPr="0001350E" w:rsidRDefault="003D065E" w:rsidP="003D065E">
      <w:pPr>
        <w:spacing w:line="360" w:lineRule="auto"/>
        <w:jc w:val="both"/>
        <w:rPr>
          <w:rtl/>
        </w:rPr>
      </w:pPr>
    </w:p>
    <w:p w14:paraId="265DDD1F" w14:textId="77777777" w:rsidR="003D065E" w:rsidRPr="0001350E" w:rsidRDefault="003D065E" w:rsidP="003D065E">
      <w:pPr>
        <w:spacing w:line="360" w:lineRule="auto"/>
        <w:jc w:val="both"/>
        <w:rPr>
          <w:rtl/>
        </w:rPr>
      </w:pPr>
      <w:r w:rsidRPr="0001350E">
        <w:rPr>
          <w:rFonts w:hint="cs"/>
          <w:rtl/>
        </w:rPr>
        <w:tab/>
        <w:t>א.</w:t>
      </w:r>
      <w:r w:rsidRPr="0001350E">
        <w:rPr>
          <w:rFonts w:hint="cs"/>
          <w:rtl/>
        </w:rPr>
        <w:tab/>
        <w:t>42 חודשי מאסר בפועל, בניכוי ימי מעצרו.</w:t>
      </w:r>
    </w:p>
    <w:p w14:paraId="79F8B55E" w14:textId="77777777" w:rsidR="003D065E" w:rsidRPr="0001350E" w:rsidRDefault="003D065E" w:rsidP="003D065E">
      <w:pPr>
        <w:spacing w:line="360" w:lineRule="auto"/>
        <w:ind w:left="1440" w:hanging="720"/>
        <w:jc w:val="both"/>
        <w:rPr>
          <w:rtl/>
        </w:rPr>
      </w:pPr>
      <w:r w:rsidRPr="0001350E">
        <w:rPr>
          <w:rFonts w:hint="cs"/>
          <w:rtl/>
        </w:rPr>
        <w:t>ב.</w:t>
      </w:r>
      <w:r w:rsidRPr="0001350E">
        <w:rPr>
          <w:rFonts w:hint="cs"/>
          <w:rtl/>
        </w:rPr>
        <w:tab/>
        <w:t>12 חודשי מאסר על תנאי למשך שלוש שנים מיום שחרורו מהמאסר שלא יעבור עבירת נשק המסווגת כפשע.</w:t>
      </w:r>
    </w:p>
    <w:p w14:paraId="5552BF73" w14:textId="77777777" w:rsidR="003D065E" w:rsidRPr="0001350E" w:rsidRDefault="003D065E" w:rsidP="003D065E">
      <w:pPr>
        <w:spacing w:line="360" w:lineRule="auto"/>
        <w:ind w:left="1440" w:hanging="720"/>
        <w:jc w:val="both"/>
        <w:rPr>
          <w:rtl/>
        </w:rPr>
      </w:pPr>
      <w:r w:rsidRPr="0001350E">
        <w:rPr>
          <w:rFonts w:hint="cs"/>
          <w:rtl/>
        </w:rPr>
        <w:t>ג.</w:t>
      </w:r>
      <w:r w:rsidRPr="0001350E">
        <w:rPr>
          <w:rFonts w:hint="cs"/>
          <w:rtl/>
        </w:rPr>
        <w:tab/>
        <w:t>קנס בסך 5,000 ₪ או 20 ימי מאסר תחתיו.</w:t>
      </w:r>
    </w:p>
    <w:p w14:paraId="6287729F" w14:textId="77777777" w:rsidR="003D065E" w:rsidRPr="0001350E" w:rsidRDefault="003D065E" w:rsidP="003D065E">
      <w:pPr>
        <w:spacing w:line="360" w:lineRule="auto"/>
        <w:ind w:left="1440" w:hanging="720"/>
        <w:jc w:val="both"/>
        <w:rPr>
          <w:rtl/>
        </w:rPr>
      </w:pPr>
    </w:p>
    <w:p w14:paraId="0145216C" w14:textId="77777777" w:rsidR="003D065E" w:rsidRPr="0001350E" w:rsidRDefault="003D065E" w:rsidP="003D065E">
      <w:pPr>
        <w:spacing w:line="360" w:lineRule="auto"/>
        <w:ind w:left="1440" w:hanging="720"/>
        <w:jc w:val="both"/>
        <w:rPr>
          <w:rtl/>
        </w:rPr>
      </w:pPr>
    </w:p>
    <w:p w14:paraId="541FCFAD" w14:textId="77777777" w:rsidR="003D065E" w:rsidRPr="0001350E" w:rsidRDefault="003D065E" w:rsidP="003D065E">
      <w:pPr>
        <w:spacing w:line="360" w:lineRule="auto"/>
        <w:jc w:val="both"/>
        <w:rPr>
          <w:rtl/>
        </w:rPr>
      </w:pPr>
      <w:r w:rsidRPr="0001350E">
        <w:rPr>
          <w:rFonts w:hint="cs"/>
          <w:rtl/>
        </w:rPr>
        <w:t xml:space="preserve">זכות ערעור תוך 45 יום. </w:t>
      </w:r>
    </w:p>
    <w:p w14:paraId="636EF677" w14:textId="77777777" w:rsidR="003D065E" w:rsidRPr="0001350E" w:rsidRDefault="003D065E" w:rsidP="003D065E">
      <w:pPr>
        <w:spacing w:line="360" w:lineRule="auto"/>
        <w:jc w:val="both"/>
        <w:rPr>
          <w:rFonts w:eastAsia="David"/>
          <w:rtl/>
        </w:rPr>
      </w:pPr>
    </w:p>
    <w:p w14:paraId="32F217A3" w14:textId="77777777" w:rsidR="003D065E" w:rsidRPr="0001350E" w:rsidRDefault="003D065E" w:rsidP="003D065E">
      <w:pPr>
        <w:spacing w:line="360" w:lineRule="auto"/>
        <w:jc w:val="both"/>
        <w:rPr>
          <w:sz w:val="6"/>
          <w:szCs w:val="6"/>
          <w:rtl/>
        </w:rPr>
      </w:pPr>
      <w:r w:rsidRPr="0001350E">
        <w:rPr>
          <w:rFonts w:hint="cs"/>
          <w:sz w:val="6"/>
          <w:szCs w:val="6"/>
          <w:rtl/>
        </w:rPr>
        <w:t>&lt;#5#&gt;</w:t>
      </w:r>
    </w:p>
    <w:p w14:paraId="0C818AFB" w14:textId="77777777" w:rsidR="003D065E" w:rsidRPr="0001350E" w:rsidRDefault="003D065E" w:rsidP="003D065E">
      <w:pPr>
        <w:jc w:val="right"/>
        <w:rPr>
          <w:rtl/>
        </w:rPr>
      </w:pPr>
    </w:p>
    <w:p w14:paraId="60BD6C97" w14:textId="77777777" w:rsidR="003D065E" w:rsidRPr="0001350E" w:rsidRDefault="00AA70CA" w:rsidP="003D065E">
      <w:pPr>
        <w:jc w:val="center"/>
        <w:rPr>
          <w:rtl/>
        </w:rPr>
      </w:pPr>
      <w:bookmarkStart w:id="8" w:name="Nitan"/>
      <w:r>
        <w:rPr>
          <w:b/>
          <w:bCs/>
          <w:rtl/>
        </w:rPr>
        <w:t xml:space="preserve">ניתנה והודעה היום י"ח אייר תשפ"ב, 19/05/2022 במעמד הנוכחים. </w:t>
      </w:r>
      <w:bookmarkEnd w:id="8"/>
    </w:p>
    <w:p w14:paraId="5DFBB98A" w14:textId="77777777" w:rsidR="003D065E" w:rsidRPr="00AA70CA" w:rsidRDefault="00AA70CA" w:rsidP="003D065E">
      <w:pPr>
        <w:jc w:val="right"/>
        <w:rPr>
          <w:rFonts w:ascii="David" w:hAnsi="David"/>
          <w:color w:val="FFFFFF"/>
          <w:sz w:val="2"/>
          <w:szCs w:val="2"/>
          <w:rtl/>
        </w:rPr>
      </w:pPr>
      <w:r w:rsidRPr="00AA70CA">
        <w:rPr>
          <w:rFonts w:ascii="David" w:hAnsi="David"/>
          <w:color w:val="FFFFFF"/>
          <w:sz w:val="2"/>
          <w:szCs w:val="2"/>
          <w:rtl/>
        </w:rPr>
        <w:t>5129371</w:t>
      </w:r>
    </w:p>
    <w:tbl>
      <w:tblPr>
        <w:bidiVisual/>
        <w:tblW w:w="0" w:type="auto"/>
        <w:tblInd w:w="4402" w:type="dxa"/>
        <w:tblBorders>
          <w:insideH w:val="single" w:sz="4" w:space="0" w:color="auto"/>
          <w:insideV w:val="single" w:sz="4" w:space="0" w:color="auto"/>
        </w:tblBorders>
        <w:tblLook w:val="01E0" w:firstRow="1" w:lastRow="1" w:firstColumn="1" w:lastColumn="1" w:noHBand="0" w:noVBand="0"/>
      </w:tblPr>
      <w:tblGrid>
        <w:gridCol w:w="3967"/>
      </w:tblGrid>
      <w:tr w:rsidR="003D065E" w:rsidRPr="0001350E" w14:paraId="3CDCC4C8" w14:textId="77777777" w:rsidTr="003D065E">
        <w:trPr>
          <w:trHeight w:val="316"/>
        </w:trPr>
        <w:tc>
          <w:tcPr>
            <w:tcW w:w="3967" w:type="dxa"/>
            <w:tcBorders>
              <w:top w:val="nil"/>
              <w:left w:val="nil"/>
              <w:bottom w:val="single" w:sz="4" w:space="0" w:color="auto"/>
              <w:right w:val="nil"/>
            </w:tcBorders>
            <w:shd w:val="clear" w:color="auto" w:fill="auto"/>
          </w:tcPr>
          <w:p w14:paraId="1D09D76D" w14:textId="77777777" w:rsidR="003D065E" w:rsidRPr="00AA70CA" w:rsidRDefault="00AA70CA" w:rsidP="003D065E">
            <w:pPr>
              <w:jc w:val="center"/>
              <w:rPr>
                <w:color w:val="FFFFFF"/>
                <w:sz w:val="2"/>
                <w:szCs w:val="2"/>
                <w:rtl/>
              </w:rPr>
            </w:pPr>
            <w:r w:rsidRPr="00AA70CA">
              <w:rPr>
                <w:color w:val="FFFFFF"/>
                <w:sz w:val="2"/>
                <w:szCs w:val="2"/>
                <w:rtl/>
              </w:rPr>
              <w:t>54678313</w:t>
            </w:r>
          </w:p>
          <w:p w14:paraId="1D9A207B" w14:textId="77777777" w:rsidR="003D065E" w:rsidRPr="0001350E" w:rsidRDefault="003D065E" w:rsidP="003D065E">
            <w:pPr>
              <w:jc w:val="center"/>
            </w:pPr>
          </w:p>
        </w:tc>
      </w:tr>
      <w:tr w:rsidR="003D065E" w:rsidRPr="0001350E" w14:paraId="6567057F" w14:textId="77777777" w:rsidTr="003D065E">
        <w:trPr>
          <w:trHeight w:val="361"/>
        </w:trPr>
        <w:tc>
          <w:tcPr>
            <w:tcW w:w="3967" w:type="dxa"/>
            <w:tcBorders>
              <w:top w:val="single" w:sz="4" w:space="0" w:color="auto"/>
              <w:left w:val="nil"/>
              <w:bottom w:val="nil"/>
              <w:right w:val="nil"/>
            </w:tcBorders>
            <w:shd w:val="clear" w:color="auto" w:fill="auto"/>
          </w:tcPr>
          <w:p w14:paraId="7C760C09" w14:textId="77777777" w:rsidR="003D065E" w:rsidRPr="003D065E" w:rsidRDefault="003D065E" w:rsidP="003D065E">
            <w:pPr>
              <w:jc w:val="center"/>
              <w:rPr>
                <w:b/>
                <w:bCs/>
                <w:rtl/>
              </w:rPr>
            </w:pPr>
            <w:r w:rsidRPr="003D065E">
              <w:rPr>
                <w:rFonts w:hint="cs"/>
                <w:b/>
                <w:bCs/>
                <w:rtl/>
              </w:rPr>
              <w:t>אליהו ביתן, שופט</w:t>
            </w:r>
          </w:p>
          <w:p w14:paraId="57B8BE3D" w14:textId="77777777" w:rsidR="003D065E" w:rsidRPr="003D065E" w:rsidRDefault="003D065E" w:rsidP="003D065E">
            <w:pPr>
              <w:jc w:val="center"/>
              <w:rPr>
                <w:b/>
                <w:bCs/>
                <w:rtl/>
              </w:rPr>
            </w:pPr>
            <w:r w:rsidRPr="003D065E">
              <w:rPr>
                <w:rFonts w:hint="cs"/>
                <w:b/>
                <w:bCs/>
                <w:rtl/>
              </w:rPr>
              <w:t>סגן הנשיאה</w:t>
            </w:r>
          </w:p>
        </w:tc>
      </w:tr>
    </w:tbl>
    <w:p w14:paraId="3C4AC316" w14:textId="77777777" w:rsidR="003D065E" w:rsidRPr="0001350E" w:rsidRDefault="003D065E" w:rsidP="003D065E">
      <w:pPr>
        <w:jc w:val="right"/>
        <w:rPr>
          <w:rFonts w:ascii="David" w:hAnsi="David"/>
          <w:rtl/>
        </w:rPr>
      </w:pPr>
    </w:p>
    <w:p w14:paraId="1B2AF6B1" w14:textId="77777777" w:rsidR="00291437" w:rsidRPr="00AA70CA" w:rsidRDefault="00291437" w:rsidP="00AA70CA">
      <w:pPr>
        <w:keepNext/>
        <w:rPr>
          <w:rFonts w:ascii="David" w:hAnsi="David"/>
          <w:color w:val="000000"/>
          <w:sz w:val="22"/>
          <w:szCs w:val="22"/>
          <w:rtl/>
        </w:rPr>
      </w:pPr>
    </w:p>
    <w:p w14:paraId="5A4693A7" w14:textId="77777777" w:rsidR="00AA70CA" w:rsidRPr="00AA70CA" w:rsidRDefault="00AA70CA" w:rsidP="00AA70CA">
      <w:pPr>
        <w:keepNext/>
        <w:rPr>
          <w:rFonts w:ascii="David" w:hAnsi="David"/>
          <w:color w:val="000000"/>
          <w:sz w:val="22"/>
          <w:szCs w:val="22"/>
          <w:rtl/>
        </w:rPr>
      </w:pPr>
      <w:r w:rsidRPr="00AA70CA">
        <w:rPr>
          <w:rFonts w:ascii="David" w:hAnsi="David"/>
          <w:color w:val="000000"/>
          <w:sz w:val="22"/>
          <w:szCs w:val="22"/>
          <w:rtl/>
        </w:rPr>
        <w:t>אליהו ביתן 54678313</w:t>
      </w:r>
    </w:p>
    <w:p w14:paraId="609B6613" w14:textId="77777777" w:rsidR="00AA70CA" w:rsidRDefault="00AA70CA" w:rsidP="00AA70CA">
      <w:r w:rsidRPr="00AA70CA">
        <w:rPr>
          <w:color w:val="000000"/>
          <w:rtl/>
        </w:rPr>
        <w:t>נוסח מסמך זה כפוף לשינויי ניסוח ועריכה</w:t>
      </w:r>
    </w:p>
    <w:p w14:paraId="44A7E322" w14:textId="77777777" w:rsidR="00AA70CA" w:rsidRDefault="00AA70CA" w:rsidP="00AA70CA">
      <w:pPr>
        <w:rPr>
          <w:rtl/>
        </w:rPr>
      </w:pPr>
    </w:p>
    <w:p w14:paraId="77C16F55" w14:textId="77777777" w:rsidR="00AA70CA" w:rsidRDefault="00AA70CA" w:rsidP="00AA70CA">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2D903DE" w14:textId="77777777" w:rsidR="00AA70CA" w:rsidRPr="00AA70CA" w:rsidRDefault="00AA70CA" w:rsidP="00AA70CA">
      <w:pPr>
        <w:jc w:val="center"/>
        <w:rPr>
          <w:color w:val="0000FF"/>
          <w:u w:val="single"/>
        </w:rPr>
      </w:pPr>
    </w:p>
    <w:sectPr w:rsidR="00AA70CA" w:rsidRPr="00AA70CA" w:rsidSect="00AA70CA">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9511E" w14:textId="77777777" w:rsidR="00FE48F8" w:rsidRDefault="00FE48F8" w:rsidP="00A34579">
      <w:r>
        <w:separator/>
      </w:r>
    </w:p>
  </w:endnote>
  <w:endnote w:type="continuationSeparator" w:id="0">
    <w:p w14:paraId="4D464896" w14:textId="77777777" w:rsidR="00FE48F8" w:rsidRDefault="00FE48F8" w:rsidP="00A3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BBA10" w14:textId="77777777" w:rsidR="00AA70CA" w:rsidRDefault="00AA70CA" w:rsidP="00AA70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0DE86E" w14:textId="77777777" w:rsidR="00B64D91" w:rsidRPr="00AA70CA" w:rsidRDefault="00AA70CA" w:rsidP="00AA70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D32C3" w14:textId="77777777" w:rsidR="00AA70CA" w:rsidRDefault="00AA70CA" w:rsidP="00AA70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3B90">
      <w:rPr>
        <w:rFonts w:ascii="FrankRuehl" w:hAnsi="FrankRuehl" w:cs="FrankRuehl"/>
        <w:noProof/>
        <w:rtl/>
      </w:rPr>
      <w:t>1</w:t>
    </w:r>
    <w:r>
      <w:rPr>
        <w:rFonts w:ascii="FrankRuehl" w:hAnsi="FrankRuehl" w:cs="FrankRuehl"/>
        <w:rtl/>
      </w:rPr>
      <w:fldChar w:fldCharType="end"/>
    </w:r>
  </w:p>
  <w:p w14:paraId="3D810981" w14:textId="77777777" w:rsidR="00B64D91" w:rsidRPr="00AA70CA" w:rsidRDefault="00AA70CA" w:rsidP="00AA70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EB6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7422F" w14:textId="77777777" w:rsidR="00FE48F8" w:rsidRDefault="00FE48F8" w:rsidP="00A34579">
      <w:r>
        <w:separator/>
      </w:r>
    </w:p>
  </w:footnote>
  <w:footnote w:type="continuationSeparator" w:id="0">
    <w:p w14:paraId="65B9C1B2" w14:textId="77777777" w:rsidR="00FE48F8" w:rsidRDefault="00FE48F8" w:rsidP="00A3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52672" w14:textId="77777777" w:rsidR="00AA70CA" w:rsidRPr="00AA70CA" w:rsidRDefault="00AA70CA" w:rsidP="00AA70C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15133-08-21</w:t>
    </w:r>
    <w:r>
      <w:rPr>
        <w:rFonts w:ascii="David" w:hAnsi="David"/>
        <w:color w:val="000000"/>
        <w:sz w:val="22"/>
        <w:szCs w:val="22"/>
        <w:rtl/>
      </w:rPr>
      <w:tab/>
      <w:t xml:space="preserve"> מדינת ישראל נ' נידאל אבו מדיעם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B3EAF" w14:textId="77777777" w:rsidR="00AA70CA" w:rsidRPr="00AA70CA" w:rsidRDefault="00AA70CA" w:rsidP="00AA70C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15133-08-21</w:t>
    </w:r>
    <w:r>
      <w:rPr>
        <w:rFonts w:ascii="David" w:hAnsi="David"/>
        <w:color w:val="000000"/>
        <w:sz w:val="22"/>
        <w:szCs w:val="22"/>
        <w:rtl/>
      </w:rPr>
      <w:tab/>
      <w:t xml:space="preserve"> מדינת ישראל נ' נידאל אבו מדיעם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065E"/>
    <w:rsid w:val="00073C56"/>
    <w:rsid w:val="001B5A3B"/>
    <w:rsid w:val="001F0D7D"/>
    <w:rsid w:val="00291437"/>
    <w:rsid w:val="003D065E"/>
    <w:rsid w:val="004B0B66"/>
    <w:rsid w:val="00933B90"/>
    <w:rsid w:val="00935CBB"/>
    <w:rsid w:val="00970E7A"/>
    <w:rsid w:val="00A34579"/>
    <w:rsid w:val="00AA70CA"/>
    <w:rsid w:val="00B64D91"/>
    <w:rsid w:val="00DA3417"/>
    <w:rsid w:val="00F84156"/>
    <w:rsid w:val="00F907BD"/>
    <w:rsid w:val="00FE48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0076A0"/>
  <w15:chartTrackingRefBased/>
  <w15:docId w15:val="{22165BE4-398C-4C2B-9CFB-94271628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065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D065E"/>
    <w:pPr>
      <w:tabs>
        <w:tab w:val="center" w:pos="4153"/>
        <w:tab w:val="right" w:pos="8306"/>
      </w:tabs>
    </w:pPr>
  </w:style>
  <w:style w:type="character" w:customStyle="1" w:styleId="a4">
    <w:name w:val="כותרת עליונה תו"/>
    <w:link w:val="a3"/>
    <w:rsid w:val="003D065E"/>
    <w:rPr>
      <w:rFonts w:ascii="Times New Roman" w:eastAsia="Times New Roman" w:hAnsi="Times New Roman" w:cs="David"/>
      <w:sz w:val="24"/>
      <w:szCs w:val="24"/>
    </w:rPr>
  </w:style>
  <w:style w:type="paragraph" w:styleId="a5">
    <w:name w:val="footer"/>
    <w:basedOn w:val="a"/>
    <w:link w:val="a6"/>
    <w:rsid w:val="003D065E"/>
    <w:pPr>
      <w:tabs>
        <w:tab w:val="center" w:pos="4153"/>
        <w:tab w:val="right" w:pos="8306"/>
      </w:tabs>
    </w:pPr>
  </w:style>
  <w:style w:type="character" w:customStyle="1" w:styleId="a6">
    <w:name w:val="כותרת תחתונה תו"/>
    <w:link w:val="a5"/>
    <w:rsid w:val="003D065E"/>
    <w:rPr>
      <w:rFonts w:ascii="Times New Roman" w:eastAsia="Times New Roman" w:hAnsi="Times New Roman" w:cs="David"/>
      <w:sz w:val="24"/>
      <w:szCs w:val="24"/>
    </w:rPr>
  </w:style>
  <w:style w:type="table" w:styleId="a7">
    <w:name w:val="Table Grid"/>
    <w:basedOn w:val="a1"/>
    <w:rsid w:val="003D06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D065E"/>
  </w:style>
  <w:style w:type="paragraph" w:customStyle="1" w:styleId="12">
    <w:name w:val="רגיל + ‏12 נק'"/>
    <w:aliases w:val="מיושר לשני הצדדים,מרווח בין שורות:  שורה וחצי"/>
    <w:basedOn w:val="a"/>
    <w:rsid w:val="003D065E"/>
    <w:rPr>
      <w:b/>
      <w:bCs/>
      <w:u w:val="single"/>
    </w:rPr>
  </w:style>
  <w:style w:type="character" w:styleId="Hyperlink">
    <w:name w:val="Hyperlink"/>
    <w:rsid w:val="003D0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7404359"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27915710" TargetMode="External"/><Relationship Id="rId7" Type="http://schemas.openxmlformats.org/officeDocument/2006/relationships/hyperlink" Target="http://www.nevo.co.il/law/70301/144" TargetMode="External"/><Relationship Id="rId12" Type="http://schemas.openxmlformats.org/officeDocument/2006/relationships/hyperlink" Target="http://www.nevo.co.il/law/70301/340a.b.1" TargetMode="External"/><Relationship Id="rId17" Type="http://schemas.openxmlformats.org/officeDocument/2006/relationships/hyperlink" Target="http://www.nevo.co.il/case/25824863"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649259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144"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case/26905927" TargetMode="External"/><Relationship Id="rId4" Type="http://schemas.openxmlformats.org/officeDocument/2006/relationships/footnotes" Target="footnotes.xml"/><Relationship Id="rId9" Type="http://schemas.openxmlformats.org/officeDocument/2006/relationships/hyperlink" Target="http://www.nevo.co.il/law/70301/340a.b.1"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1479019"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2284</Words>
  <Characters>11420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13677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4063346</vt:i4>
      </vt:variant>
      <vt:variant>
        <vt:i4>48</vt:i4>
      </vt:variant>
      <vt:variant>
        <vt:i4>0</vt:i4>
      </vt:variant>
      <vt:variant>
        <vt:i4>5</vt:i4>
      </vt:variant>
      <vt:variant>
        <vt:lpwstr>http://www.nevo.co.il/case/21479019</vt:lpwstr>
      </vt:variant>
      <vt:variant>
        <vt:lpwstr/>
      </vt:variant>
      <vt:variant>
        <vt:i4>4128885</vt:i4>
      </vt:variant>
      <vt:variant>
        <vt:i4>45</vt:i4>
      </vt:variant>
      <vt:variant>
        <vt:i4>0</vt:i4>
      </vt:variant>
      <vt:variant>
        <vt:i4>5</vt:i4>
      </vt:variant>
      <vt:variant>
        <vt:lpwstr>http://www.nevo.co.il/case/27915710</vt:lpwstr>
      </vt:variant>
      <vt:variant>
        <vt:lpwstr/>
      </vt:variant>
      <vt:variant>
        <vt:i4>3997822</vt:i4>
      </vt:variant>
      <vt:variant>
        <vt:i4>42</vt:i4>
      </vt:variant>
      <vt:variant>
        <vt:i4>0</vt:i4>
      </vt:variant>
      <vt:variant>
        <vt:i4>5</vt:i4>
      </vt:variant>
      <vt:variant>
        <vt:lpwstr>http://www.nevo.co.il/case/26492590</vt:lpwstr>
      </vt:variant>
      <vt:variant>
        <vt:lpwstr/>
      </vt:variant>
      <vt:variant>
        <vt:i4>3932283</vt:i4>
      </vt:variant>
      <vt:variant>
        <vt:i4>39</vt:i4>
      </vt:variant>
      <vt:variant>
        <vt:i4>0</vt:i4>
      </vt:variant>
      <vt:variant>
        <vt:i4>5</vt:i4>
      </vt:variant>
      <vt:variant>
        <vt:lpwstr>http://www.nevo.co.il/case/26905927</vt:lpwstr>
      </vt:variant>
      <vt:variant>
        <vt:lpwstr/>
      </vt:variant>
      <vt:variant>
        <vt:i4>3604592</vt:i4>
      </vt:variant>
      <vt:variant>
        <vt:i4>36</vt:i4>
      </vt:variant>
      <vt:variant>
        <vt:i4>0</vt:i4>
      </vt:variant>
      <vt:variant>
        <vt:i4>5</vt:i4>
      </vt:variant>
      <vt:variant>
        <vt:lpwstr>http://www.nevo.co.il/case/27404359</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5439574</vt:i4>
      </vt:variant>
      <vt:variant>
        <vt:i4>9</vt:i4>
      </vt:variant>
      <vt:variant>
        <vt:i4>0</vt:i4>
      </vt:variant>
      <vt:variant>
        <vt:i4>5</vt:i4>
      </vt:variant>
      <vt:variant>
        <vt:lpwstr>http://www.nevo.co.il/law/70301/340a.b.1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2025-01-19T16:44:00Z</dcterms:created>
  <dcterms:modified xsi:type="dcterms:W3CDTF">2025-01-19T16:44:00Z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15133</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נידאל אבו מדיעם</vt:lpwstr>
  </property>
  <property fmtid="{D5CDD505-2E9C-101B-9397-08002B2CF9AE}" pid="10" name="LAWYER">
    <vt:lpwstr>הדס עמר;אהוד בן יהודה</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20220519</vt:lpwstr>
  </property>
  <property fmtid="{D5CDD505-2E9C-101B-9397-08002B2CF9AE}" pid="14" name="TYPE_N_DATE">
    <vt:lpwstr>39020220519</vt:lpwstr>
  </property>
  <property fmtid="{D5CDD505-2E9C-101B-9397-08002B2CF9AE}" pid="15" name="WORDNUMPAGES">
    <vt:lpwstr>8</vt:lpwstr>
  </property>
  <property fmtid="{D5CDD505-2E9C-101B-9397-08002B2CF9AE}" pid="16" name="TYPE_ABS_DATE">
    <vt:lpwstr>390020220519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25824863:2;27404359;26905927;26492590;27915710;21479019</vt:lpwstr>
  </property>
  <property fmtid="{D5CDD505-2E9C-101B-9397-08002B2CF9AE}" pid="36" name="LAWLISTTMP1">
    <vt:lpwstr>70301/144.b;340a.b.1;144</vt:lpwstr>
  </property>
</Properties>
</file>