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033823" w:rsidRPr="00F7514F" w14:paraId="07A252EF" w14:textId="77777777" w:rsidTr="00331A6C">
        <w:trPr>
          <w:trHeight w:hRule="exact" w:val="418"/>
          <w:jc w:val="center"/>
        </w:trPr>
        <w:tc>
          <w:tcPr>
            <w:tcW w:w="8721" w:type="dxa"/>
            <w:gridSpan w:val="2"/>
          </w:tcPr>
          <w:p w14:paraId="283EADE8" w14:textId="77777777" w:rsidR="00033823" w:rsidRPr="00F7514F" w:rsidRDefault="00033823" w:rsidP="00867E61">
            <w:pPr>
              <w:pStyle w:val="a3"/>
              <w:jc w:val="center"/>
              <w:rPr>
                <w:rFonts w:ascii="Tahoma" w:hAnsi="Tahoma" w:cs="Tahoma"/>
                <w:color w:val="000080"/>
                <w:rtl/>
              </w:rPr>
            </w:pPr>
            <w:bookmarkStart w:id="0" w:name="LastJudge"/>
            <w:r w:rsidRPr="00F7514F">
              <w:rPr>
                <w:rFonts w:ascii="Tahoma" w:hAnsi="Tahoma" w:cs="Tahoma"/>
                <w:b/>
                <w:bCs/>
                <w:color w:val="000080"/>
                <w:rtl/>
              </w:rPr>
              <w:t>בית המשפט המחוזי בחיפה</w:t>
            </w:r>
          </w:p>
        </w:tc>
      </w:tr>
      <w:tr w:rsidR="00033823" w:rsidRPr="00F7514F" w14:paraId="13D47087" w14:textId="77777777" w:rsidTr="00331A6C">
        <w:trPr>
          <w:trHeight w:val="337"/>
          <w:jc w:val="center"/>
        </w:trPr>
        <w:tc>
          <w:tcPr>
            <w:tcW w:w="5059" w:type="dxa"/>
          </w:tcPr>
          <w:p w14:paraId="79545065" w14:textId="77777777" w:rsidR="00033823" w:rsidRPr="00F7514F" w:rsidRDefault="00033823" w:rsidP="00867E61">
            <w:pPr>
              <w:rPr>
                <w:rFonts w:cs="FrankRuehl"/>
                <w:sz w:val="28"/>
                <w:szCs w:val="28"/>
                <w:rtl/>
              </w:rPr>
            </w:pPr>
            <w:r w:rsidRPr="00F7514F">
              <w:rPr>
                <w:rFonts w:cs="FrankRuehl"/>
                <w:sz w:val="28"/>
                <w:szCs w:val="28"/>
                <w:rtl/>
              </w:rPr>
              <w:t>ת"פ</w:t>
            </w:r>
            <w:r w:rsidRPr="00F7514F">
              <w:rPr>
                <w:rFonts w:cs="FrankRuehl" w:hint="cs"/>
                <w:sz w:val="28"/>
                <w:szCs w:val="28"/>
                <w:rtl/>
              </w:rPr>
              <w:t xml:space="preserve"> </w:t>
            </w:r>
            <w:r w:rsidRPr="00F7514F">
              <w:rPr>
                <w:rFonts w:cs="FrankRuehl"/>
                <w:sz w:val="28"/>
                <w:szCs w:val="28"/>
                <w:rtl/>
              </w:rPr>
              <w:t>26036-08-21</w:t>
            </w:r>
            <w:r w:rsidRPr="00F7514F">
              <w:rPr>
                <w:rFonts w:cs="FrankRuehl" w:hint="cs"/>
                <w:sz w:val="28"/>
                <w:szCs w:val="28"/>
                <w:rtl/>
              </w:rPr>
              <w:t xml:space="preserve"> </w:t>
            </w:r>
            <w:r w:rsidRPr="00F7514F">
              <w:rPr>
                <w:rFonts w:cs="FrankRuehl"/>
                <w:sz w:val="28"/>
                <w:szCs w:val="28"/>
                <w:rtl/>
              </w:rPr>
              <w:t>מדינת ישראל נ' ג'ארחי(עציר)</w:t>
            </w:r>
          </w:p>
          <w:p w14:paraId="329D2E06" w14:textId="77777777" w:rsidR="00033823" w:rsidRPr="00F7514F" w:rsidRDefault="00033823" w:rsidP="00867E61">
            <w:pPr>
              <w:pStyle w:val="a3"/>
              <w:rPr>
                <w:rFonts w:cs="FrankRuehl"/>
                <w:sz w:val="28"/>
                <w:szCs w:val="28"/>
                <w:rtl/>
              </w:rPr>
            </w:pPr>
          </w:p>
        </w:tc>
        <w:tc>
          <w:tcPr>
            <w:tcW w:w="3662" w:type="dxa"/>
          </w:tcPr>
          <w:p w14:paraId="52FB756B" w14:textId="77777777" w:rsidR="00033823" w:rsidRPr="00F7514F" w:rsidRDefault="00033823" w:rsidP="00867E61">
            <w:pPr>
              <w:pStyle w:val="a3"/>
              <w:jc w:val="right"/>
              <w:rPr>
                <w:rFonts w:cs="FrankRuehl"/>
                <w:sz w:val="28"/>
                <w:szCs w:val="28"/>
                <w:rtl/>
              </w:rPr>
            </w:pPr>
          </w:p>
        </w:tc>
      </w:tr>
    </w:tbl>
    <w:p w14:paraId="57ED98AC" w14:textId="77777777" w:rsidR="00033823" w:rsidRPr="00F7514F" w:rsidRDefault="00033823" w:rsidP="00033823">
      <w:pPr>
        <w:pStyle w:val="a3"/>
        <w:rPr>
          <w:rtl/>
        </w:rPr>
      </w:pPr>
      <w:r w:rsidRPr="00F7514F">
        <w:rPr>
          <w:rFonts w:hint="cs"/>
          <w:rtl/>
        </w:rPr>
        <w:t xml:space="preserve"> </w:t>
      </w:r>
    </w:p>
    <w:p w14:paraId="5106F013" w14:textId="77777777" w:rsidR="00033823" w:rsidRPr="00F7514F" w:rsidRDefault="00033823" w:rsidP="00033823">
      <w:pPr>
        <w:rPr>
          <w:rtl/>
        </w:rPr>
      </w:pPr>
    </w:p>
    <w:p w14:paraId="1234F0D5" w14:textId="77777777" w:rsidR="00033823" w:rsidRPr="00F7514F" w:rsidRDefault="00033823" w:rsidP="00033823">
      <w:pPr>
        <w:rPr>
          <w:rtl/>
        </w:rPr>
      </w:pPr>
    </w:p>
    <w:p w14:paraId="1407CC63" w14:textId="77777777" w:rsidR="00331A6C" w:rsidRPr="00F7514F" w:rsidRDefault="00331A6C" w:rsidP="00867E61">
      <w:pPr>
        <w:rPr>
          <w:rFonts w:ascii="David" w:hAnsi="David"/>
          <w:b/>
          <w:bCs/>
          <w:sz w:val="26"/>
          <w:szCs w:val="26"/>
          <w:rtl/>
        </w:rPr>
      </w:pPr>
      <w:r w:rsidRPr="00F7514F">
        <w:rPr>
          <w:rFonts w:ascii="David" w:hAnsi="David"/>
          <w:sz w:val="26"/>
          <w:szCs w:val="26"/>
          <w:rtl/>
        </w:rPr>
        <w:t xml:space="preserve">בפני </w:t>
      </w:r>
      <w:r w:rsidRPr="00F7514F">
        <w:rPr>
          <w:rFonts w:ascii="David" w:hAnsi="David"/>
          <w:sz w:val="26"/>
          <w:szCs w:val="26"/>
        </w:rPr>
        <w:tab/>
      </w:r>
      <w:r w:rsidRPr="00F7514F">
        <w:rPr>
          <w:rFonts w:ascii="David" w:hAnsi="David"/>
          <w:b/>
          <w:bCs/>
          <w:sz w:val="26"/>
          <w:szCs w:val="26"/>
          <w:rtl/>
        </w:rPr>
        <w:t>כבוד השופט  דניאל פיש</w:t>
      </w:r>
    </w:p>
    <w:p w14:paraId="0A389D80" w14:textId="77777777" w:rsidR="00331A6C" w:rsidRPr="00F7514F" w:rsidRDefault="00331A6C" w:rsidP="00867E61">
      <w:pPr>
        <w:rPr>
          <w:rFonts w:ascii="David" w:hAnsi="David"/>
          <w:sz w:val="26"/>
          <w:szCs w:val="26"/>
          <w:rtl/>
        </w:rPr>
      </w:pPr>
    </w:p>
    <w:p w14:paraId="38FEFF6F" w14:textId="77777777" w:rsidR="00331A6C" w:rsidRPr="00F7514F" w:rsidRDefault="00331A6C" w:rsidP="00033823">
      <w:pPr>
        <w:tabs>
          <w:tab w:val="left" w:pos="923"/>
        </w:tabs>
        <w:rPr>
          <w:rFonts w:ascii="David" w:hAnsi="David"/>
          <w:sz w:val="26"/>
          <w:szCs w:val="26"/>
        </w:rPr>
      </w:pPr>
    </w:p>
    <w:p w14:paraId="299A0730" w14:textId="77777777" w:rsidR="00331A6C" w:rsidRPr="00F7514F" w:rsidRDefault="00331A6C" w:rsidP="00033823">
      <w:pPr>
        <w:suppressLineNumbers/>
      </w:pPr>
      <w:bookmarkStart w:id="1" w:name="FirstAppellant"/>
      <w:r w:rsidRPr="00F7514F">
        <w:rPr>
          <w:rFonts w:ascii="David" w:hAnsi="David"/>
          <w:sz w:val="26"/>
          <w:szCs w:val="26"/>
          <w:rtl/>
        </w:rPr>
        <w:t>בעניין:</w:t>
      </w:r>
      <w:r w:rsidRPr="00F7514F">
        <w:rPr>
          <w:rFonts w:ascii="David" w:hAnsi="David"/>
          <w:sz w:val="26"/>
          <w:szCs w:val="26"/>
        </w:rPr>
        <w:tab/>
      </w:r>
      <w:r w:rsidRPr="00F7514F">
        <w:rPr>
          <w:rFonts w:ascii="Arial" w:hAnsi="Arial" w:hint="cs"/>
          <w:b/>
          <w:bCs/>
          <w:sz w:val="26"/>
          <w:szCs w:val="26"/>
          <w:rtl/>
        </w:rPr>
        <w:t>ה</w:t>
      </w:r>
      <w:r w:rsidRPr="00F7514F">
        <w:rPr>
          <w:rFonts w:ascii="Arial" w:hAnsi="Arial"/>
          <w:b/>
          <w:bCs/>
          <w:sz w:val="26"/>
          <w:szCs w:val="26"/>
          <w:rtl/>
        </w:rPr>
        <w:t>מאשימה</w:t>
      </w:r>
    </w:p>
    <w:p w14:paraId="15128951" w14:textId="77777777" w:rsidR="00331A6C" w:rsidRPr="00F7514F" w:rsidRDefault="00331A6C" w:rsidP="00033823">
      <w:pPr>
        <w:suppressLineNumbers/>
      </w:pPr>
      <w:r w:rsidRPr="00F7514F">
        <w:rPr>
          <w:rFonts w:ascii="David" w:hAnsi="David"/>
          <w:sz w:val="26"/>
          <w:szCs w:val="26"/>
        </w:rPr>
        <w:tab/>
      </w:r>
      <w:r w:rsidRPr="00F7514F">
        <w:rPr>
          <w:rFonts w:ascii="Arial" w:hAnsi="Arial"/>
          <w:b/>
          <w:bCs/>
          <w:sz w:val="26"/>
          <w:szCs w:val="26"/>
          <w:rtl/>
        </w:rPr>
        <w:t>מדינת ישראל</w:t>
      </w:r>
    </w:p>
    <w:p w14:paraId="032AA9D8" w14:textId="77777777" w:rsidR="00331A6C" w:rsidRPr="00F7514F" w:rsidRDefault="00331A6C" w:rsidP="00867E61">
      <w:pPr>
        <w:tabs>
          <w:tab w:val="left" w:pos="923"/>
          <w:tab w:val="left" w:pos="4142"/>
        </w:tabs>
        <w:rPr>
          <w:rFonts w:ascii="David" w:hAnsi="David"/>
          <w:sz w:val="26"/>
          <w:szCs w:val="26"/>
        </w:rPr>
      </w:pPr>
    </w:p>
    <w:bookmarkEnd w:id="1"/>
    <w:p w14:paraId="16C2668A" w14:textId="77777777" w:rsidR="00331A6C" w:rsidRPr="00F7514F" w:rsidRDefault="00331A6C" w:rsidP="00033823">
      <w:pPr>
        <w:jc w:val="center"/>
        <w:rPr>
          <w:rFonts w:ascii="David" w:hAnsi="David"/>
          <w:b/>
          <w:bCs/>
          <w:sz w:val="26"/>
          <w:szCs w:val="26"/>
          <w:rtl/>
        </w:rPr>
      </w:pPr>
      <w:r w:rsidRPr="00F7514F">
        <w:rPr>
          <w:rFonts w:ascii="David" w:hAnsi="David"/>
          <w:sz w:val="26"/>
          <w:szCs w:val="26"/>
          <w:rtl/>
        </w:rPr>
        <w:tab/>
      </w:r>
    </w:p>
    <w:p w14:paraId="3AE46FE9" w14:textId="77777777" w:rsidR="00331A6C" w:rsidRPr="00F7514F" w:rsidRDefault="00331A6C" w:rsidP="00033823">
      <w:pPr>
        <w:jc w:val="center"/>
        <w:rPr>
          <w:rFonts w:ascii="David" w:hAnsi="David"/>
          <w:b/>
          <w:bCs/>
          <w:sz w:val="26"/>
          <w:szCs w:val="26"/>
          <w:rtl/>
        </w:rPr>
      </w:pPr>
      <w:r w:rsidRPr="00F7514F">
        <w:rPr>
          <w:rFonts w:ascii="David" w:hAnsi="David"/>
          <w:b/>
          <w:bCs/>
          <w:sz w:val="26"/>
          <w:szCs w:val="26"/>
          <w:rtl/>
        </w:rPr>
        <w:t>נגד</w:t>
      </w:r>
    </w:p>
    <w:p w14:paraId="68A61BD4" w14:textId="77777777" w:rsidR="00331A6C" w:rsidRPr="00F7514F" w:rsidRDefault="00331A6C" w:rsidP="00033823">
      <w:pPr>
        <w:tabs>
          <w:tab w:val="left" w:pos="923"/>
        </w:tabs>
        <w:rPr>
          <w:rFonts w:ascii="David" w:hAnsi="David"/>
          <w:sz w:val="26"/>
          <w:szCs w:val="26"/>
        </w:rPr>
      </w:pPr>
    </w:p>
    <w:p w14:paraId="47867A38" w14:textId="77777777" w:rsidR="00331A6C" w:rsidRPr="00F7514F" w:rsidRDefault="00331A6C" w:rsidP="00033823">
      <w:pPr>
        <w:suppressLineNumbers/>
      </w:pPr>
      <w:r w:rsidRPr="00F7514F">
        <w:rPr>
          <w:rFonts w:ascii="David" w:hAnsi="David"/>
          <w:sz w:val="26"/>
          <w:szCs w:val="26"/>
          <w:rtl/>
        </w:rPr>
        <w:tab/>
      </w:r>
      <w:r w:rsidRPr="00F7514F">
        <w:rPr>
          <w:rFonts w:ascii="Arial" w:hAnsi="Arial"/>
          <w:b/>
          <w:bCs/>
          <w:sz w:val="26"/>
          <w:szCs w:val="26"/>
          <w:rtl/>
        </w:rPr>
        <w:t>הנאשמים</w:t>
      </w:r>
      <w:r w:rsidRPr="00F7514F">
        <w:rPr>
          <w:rFonts w:ascii="Arial" w:hAnsi="Arial"/>
          <w:b/>
          <w:bCs/>
          <w:sz w:val="26"/>
          <w:szCs w:val="26"/>
          <w:rtl/>
        </w:rPr>
        <w:tab/>
        <w:t>אורהאן ג'</w:t>
      </w:r>
      <w:r w:rsidRPr="00F7514F">
        <w:rPr>
          <w:rFonts w:ascii="Arial" w:hAnsi="Arial" w:hint="cs"/>
          <w:b/>
          <w:bCs/>
          <w:sz w:val="26"/>
          <w:szCs w:val="26"/>
          <w:rtl/>
        </w:rPr>
        <w:t>אר</w:t>
      </w:r>
      <w:r w:rsidRPr="00F7514F">
        <w:rPr>
          <w:rFonts w:ascii="Arial" w:hAnsi="Arial"/>
          <w:b/>
          <w:bCs/>
          <w:sz w:val="26"/>
          <w:szCs w:val="26"/>
          <w:rtl/>
        </w:rPr>
        <w:t>חי (עציר)</w:t>
      </w:r>
    </w:p>
    <w:p w14:paraId="0D0B86E5" w14:textId="77777777" w:rsidR="00331A6C" w:rsidRPr="00F7514F" w:rsidRDefault="00331A6C" w:rsidP="00867E61">
      <w:pPr>
        <w:tabs>
          <w:tab w:val="left" w:pos="923"/>
          <w:tab w:val="left" w:pos="4142"/>
        </w:tabs>
        <w:rPr>
          <w:rFonts w:ascii="David" w:hAnsi="David"/>
          <w:sz w:val="26"/>
          <w:szCs w:val="26"/>
        </w:rPr>
      </w:pPr>
    </w:p>
    <w:p w14:paraId="0E42BCC9" w14:textId="77777777" w:rsidR="00331A6C" w:rsidRPr="00F7514F" w:rsidRDefault="00331A6C" w:rsidP="00033823">
      <w:pPr>
        <w:jc w:val="both"/>
        <w:rPr>
          <w:rFonts w:ascii="David" w:hAnsi="David"/>
          <w:sz w:val="26"/>
          <w:szCs w:val="26"/>
          <w:rtl/>
        </w:rPr>
      </w:pPr>
      <w:bookmarkStart w:id="2" w:name="FirstLawyer"/>
      <w:r w:rsidRPr="00F7514F">
        <w:rPr>
          <w:rFonts w:ascii="David" w:hAnsi="David"/>
          <w:sz w:val="26"/>
          <w:szCs w:val="26"/>
          <w:rtl/>
        </w:rPr>
        <w:tab/>
      </w:r>
    </w:p>
    <w:p w14:paraId="31512A56" w14:textId="77777777" w:rsidR="00331A6C" w:rsidRPr="00F7514F" w:rsidRDefault="00331A6C" w:rsidP="00033823">
      <w:pPr>
        <w:jc w:val="both"/>
        <w:rPr>
          <w:rFonts w:ascii="David" w:hAnsi="David"/>
          <w:sz w:val="26"/>
          <w:szCs w:val="26"/>
          <w:rtl/>
        </w:rPr>
      </w:pPr>
      <w:r w:rsidRPr="00F7514F">
        <w:rPr>
          <w:rFonts w:ascii="David" w:hAnsi="David" w:hint="cs"/>
          <w:sz w:val="26"/>
          <w:szCs w:val="26"/>
          <w:rtl/>
        </w:rPr>
        <w:t>בשם המאשימה : עו"ד יאיר גויכמן פרקליטות המדינה חיפה - פלילי</w:t>
      </w:r>
    </w:p>
    <w:p w14:paraId="11D1EB61" w14:textId="77777777" w:rsidR="00331A6C" w:rsidRDefault="00331A6C" w:rsidP="00033823">
      <w:pPr>
        <w:tabs>
          <w:tab w:val="left" w:pos="923"/>
          <w:tab w:val="left" w:pos="4142"/>
        </w:tabs>
        <w:rPr>
          <w:rFonts w:ascii="David" w:hAnsi="David"/>
          <w:sz w:val="26"/>
          <w:szCs w:val="26"/>
          <w:rtl/>
        </w:rPr>
      </w:pPr>
      <w:r w:rsidRPr="00F7514F">
        <w:rPr>
          <w:rFonts w:ascii="David" w:hAnsi="David" w:hint="cs"/>
          <w:sz w:val="26"/>
          <w:szCs w:val="26"/>
          <w:rtl/>
        </w:rPr>
        <w:t xml:space="preserve">בשם הנאשם: עו"ד שאדי דבאח </w:t>
      </w:r>
      <w:r w:rsidRPr="00F7514F">
        <w:rPr>
          <w:rFonts w:ascii="David" w:hAnsi="David"/>
          <w:sz w:val="26"/>
          <w:szCs w:val="26"/>
          <w:rtl/>
        </w:rPr>
        <w:tab/>
      </w:r>
    </w:p>
    <w:p w14:paraId="3D3F9C50" w14:textId="77777777" w:rsidR="00331A6C" w:rsidRPr="00331A6C" w:rsidRDefault="00331A6C" w:rsidP="00331A6C">
      <w:pPr>
        <w:tabs>
          <w:tab w:val="left" w:pos="923"/>
          <w:tab w:val="left" w:pos="4142"/>
        </w:tabs>
        <w:spacing w:after="120" w:line="240" w:lineRule="exact"/>
        <w:ind w:left="283" w:hanging="283"/>
        <w:jc w:val="both"/>
        <w:rPr>
          <w:rFonts w:ascii="FrankRuehl" w:hAnsi="FrankRuehl" w:cs="FrankRuehl"/>
          <w:rtl/>
        </w:rPr>
      </w:pPr>
    </w:p>
    <w:bookmarkEnd w:id="2"/>
    <w:p w14:paraId="4C5C8C1E" w14:textId="77777777" w:rsidR="000314F0" w:rsidRPr="000314F0" w:rsidRDefault="000314F0" w:rsidP="000314F0">
      <w:pPr>
        <w:spacing w:before="120" w:after="120" w:line="240" w:lineRule="exact"/>
        <w:ind w:left="283" w:hanging="283"/>
        <w:jc w:val="both"/>
        <w:rPr>
          <w:rFonts w:ascii="FrankRuehl" w:hAnsi="FrankRuehl" w:cs="FrankRuehl"/>
          <w:rtl/>
        </w:rPr>
      </w:pPr>
    </w:p>
    <w:p w14:paraId="157839B0" w14:textId="77777777" w:rsidR="009E3175" w:rsidRDefault="009E3175" w:rsidP="009E3175">
      <w:pPr>
        <w:rPr>
          <w:sz w:val="26"/>
          <w:szCs w:val="26"/>
          <w:rtl/>
        </w:rPr>
      </w:pPr>
      <w:bookmarkStart w:id="3" w:name="LawTable"/>
      <w:bookmarkEnd w:id="3"/>
    </w:p>
    <w:p w14:paraId="4049BFCC" w14:textId="77777777" w:rsidR="009E3175" w:rsidRPr="009E3175" w:rsidRDefault="009E3175" w:rsidP="009E3175">
      <w:pPr>
        <w:spacing w:before="120" w:after="120" w:line="240" w:lineRule="exact"/>
        <w:ind w:left="283" w:hanging="283"/>
        <w:jc w:val="both"/>
        <w:rPr>
          <w:rFonts w:ascii="FrankRuehl" w:hAnsi="FrankRuehl" w:cs="FrankRuehl"/>
          <w:rtl/>
        </w:rPr>
      </w:pPr>
    </w:p>
    <w:p w14:paraId="684FCB0D" w14:textId="77777777" w:rsidR="009E3175" w:rsidRPr="009E3175" w:rsidRDefault="009E3175" w:rsidP="009E3175">
      <w:pPr>
        <w:spacing w:before="120" w:after="120" w:line="240" w:lineRule="exact"/>
        <w:ind w:left="283" w:hanging="283"/>
        <w:jc w:val="both"/>
        <w:rPr>
          <w:rFonts w:ascii="FrankRuehl" w:hAnsi="FrankRuehl" w:cs="FrankRuehl"/>
          <w:rtl/>
        </w:rPr>
      </w:pPr>
    </w:p>
    <w:p w14:paraId="582D98AC" w14:textId="77777777" w:rsidR="009E3175" w:rsidRPr="009E3175" w:rsidRDefault="009E3175" w:rsidP="009E3175">
      <w:pPr>
        <w:spacing w:before="120" w:after="120" w:line="240" w:lineRule="exact"/>
        <w:ind w:left="283" w:hanging="283"/>
        <w:jc w:val="both"/>
        <w:rPr>
          <w:rFonts w:ascii="FrankRuehl" w:hAnsi="FrankRuehl" w:cs="FrankRuehl"/>
          <w:rtl/>
        </w:rPr>
      </w:pPr>
      <w:r w:rsidRPr="009E3175">
        <w:rPr>
          <w:rFonts w:ascii="FrankRuehl" w:hAnsi="FrankRuehl" w:cs="FrankRuehl"/>
          <w:rtl/>
        </w:rPr>
        <w:t xml:space="preserve">חקיקה שאוזכרה: </w:t>
      </w:r>
    </w:p>
    <w:p w14:paraId="6846EE5A" w14:textId="77777777" w:rsidR="009E3175" w:rsidRPr="009E3175" w:rsidRDefault="009E3175" w:rsidP="009E3175">
      <w:pPr>
        <w:spacing w:before="120" w:after="120" w:line="240" w:lineRule="exact"/>
        <w:ind w:left="283" w:hanging="283"/>
        <w:jc w:val="both"/>
        <w:rPr>
          <w:rFonts w:ascii="FrankRuehl" w:hAnsi="FrankRuehl" w:cs="FrankRuehl"/>
          <w:rtl/>
        </w:rPr>
      </w:pPr>
      <w:hyperlink r:id="rId7" w:history="1">
        <w:r w:rsidRPr="009E3175">
          <w:rPr>
            <w:rFonts w:ascii="FrankRuehl" w:hAnsi="FrankRuehl" w:cs="FrankRuehl"/>
            <w:color w:val="0000FF"/>
            <w:rtl/>
          </w:rPr>
          <w:t>חוק העונשין, תשל"ז-1977</w:t>
        </w:r>
      </w:hyperlink>
      <w:r w:rsidRPr="009E3175">
        <w:rPr>
          <w:rFonts w:ascii="FrankRuehl" w:hAnsi="FrankRuehl" w:cs="FrankRuehl"/>
          <w:rtl/>
        </w:rPr>
        <w:t xml:space="preserve">: סע'  </w:t>
      </w:r>
      <w:hyperlink r:id="rId8" w:history="1">
        <w:r w:rsidRPr="009E3175">
          <w:rPr>
            <w:rFonts w:ascii="FrankRuehl" w:hAnsi="FrankRuehl" w:cs="FrankRuehl"/>
            <w:color w:val="0000FF"/>
            <w:rtl/>
          </w:rPr>
          <w:t>29</w:t>
        </w:r>
      </w:hyperlink>
      <w:r w:rsidRPr="009E3175">
        <w:rPr>
          <w:rFonts w:ascii="FrankRuehl" w:hAnsi="FrankRuehl" w:cs="FrankRuehl"/>
          <w:rtl/>
        </w:rPr>
        <w:t xml:space="preserve">, </w:t>
      </w:r>
      <w:hyperlink r:id="rId9" w:history="1">
        <w:r w:rsidRPr="009E3175">
          <w:rPr>
            <w:rFonts w:ascii="FrankRuehl" w:hAnsi="FrankRuehl" w:cs="FrankRuehl"/>
            <w:color w:val="0000FF"/>
            <w:rtl/>
          </w:rPr>
          <w:t>144(א)</w:t>
        </w:r>
      </w:hyperlink>
      <w:r w:rsidRPr="009E3175">
        <w:rPr>
          <w:rFonts w:ascii="FrankRuehl" w:hAnsi="FrankRuehl" w:cs="FrankRuehl"/>
          <w:rtl/>
        </w:rPr>
        <w:t xml:space="preserve">, </w:t>
      </w:r>
      <w:hyperlink r:id="rId10" w:history="1">
        <w:r w:rsidRPr="009E3175">
          <w:rPr>
            <w:rFonts w:ascii="FrankRuehl" w:hAnsi="FrankRuehl" w:cs="FrankRuehl"/>
            <w:color w:val="0000FF"/>
            <w:rtl/>
          </w:rPr>
          <w:t>144 (ב)</w:t>
        </w:r>
      </w:hyperlink>
      <w:r w:rsidRPr="009E3175">
        <w:rPr>
          <w:rFonts w:ascii="FrankRuehl" w:hAnsi="FrankRuehl" w:cs="FrankRuehl"/>
          <w:rtl/>
        </w:rPr>
        <w:t xml:space="preserve">, </w:t>
      </w:r>
      <w:hyperlink r:id="rId11" w:history="1">
        <w:r w:rsidRPr="009E3175">
          <w:rPr>
            <w:rFonts w:ascii="FrankRuehl" w:hAnsi="FrankRuehl" w:cs="FrankRuehl"/>
            <w:color w:val="0000FF"/>
            <w:rtl/>
          </w:rPr>
          <w:t>144(ג)(1)</w:t>
        </w:r>
      </w:hyperlink>
      <w:r w:rsidRPr="009E3175">
        <w:rPr>
          <w:rFonts w:ascii="FrankRuehl" w:hAnsi="FrankRuehl" w:cs="FrankRuehl"/>
          <w:rtl/>
        </w:rPr>
        <w:t xml:space="preserve">, </w:t>
      </w:r>
      <w:hyperlink r:id="rId12" w:history="1">
        <w:r w:rsidRPr="009E3175">
          <w:rPr>
            <w:rFonts w:ascii="FrankRuehl" w:hAnsi="FrankRuehl" w:cs="FrankRuehl"/>
            <w:color w:val="0000FF"/>
            <w:rtl/>
          </w:rPr>
          <w:t>244</w:t>
        </w:r>
      </w:hyperlink>
    </w:p>
    <w:p w14:paraId="0432D3CE" w14:textId="77777777" w:rsidR="009E3175" w:rsidRPr="009E3175" w:rsidRDefault="009E3175" w:rsidP="009E3175">
      <w:pPr>
        <w:spacing w:before="120" w:after="120" w:line="240" w:lineRule="exact"/>
        <w:ind w:left="283" w:hanging="283"/>
        <w:jc w:val="both"/>
        <w:rPr>
          <w:rFonts w:ascii="FrankRuehl" w:hAnsi="FrankRuehl" w:cs="FrankRuehl"/>
          <w:rtl/>
        </w:rPr>
      </w:pPr>
      <w:hyperlink r:id="rId13" w:history="1">
        <w:r w:rsidRPr="009E3175">
          <w:rPr>
            <w:rFonts w:ascii="FrankRuehl" w:hAnsi="FrankRuehl" w:cs="FrankRuehl"/>
            <w:color w:val="0000FF"/>
            <w:rtl/>
          </w:rPr>
          <w:t>פקודת סדר הדין הפלילי (מעצר וחיפוש) [נוסח חדש], תשכ"ט-1969</w:t>
        </w:r>
      </w:hyperlink>
      <w:r w:rsidRPr="009E3175">
        <w:rPr>
          <w:rFonts w:ascii="FrankRuehl" w:hAnsi="FrankRuehl" w:cs="FrankRuehl"/>
          <w:rtl/>
        </w:rPr>
        <w:t xml:space="preserve">: סע'  </w:t>
      </w:r>
      <w:hyperlink r:id="rId14" w:history="1">
        <w:r w:rsidRPr="009E3175">
          <w:rPr>
            <w:rFonts w:ascii="FrankRuehl" w:hAnsi="FrankRuehl" w:cs="FrankRuehl"/>
            <w:color w:val="0000FF"/>
            <w:rtl/>
          </w:rPr>
          <w:t>32</w:t>
        </w:r>
      </w:hyperlink>
      <w:r w:rsidRPr="009E3175">
        <w:rPr>
          <w:rFonts w:ascii="FrankRuehl" w:hAnsi="FrankRuehl" w:cs="FrankRuehl"/>
          <w:rtl/>
        </w:rPr>
        <w:t xml:space="preserve">, </w:t>
      </w:r>
      <w:hyperlink r:id="rId15" w:history="1">
        <w:r w:rsidRPr="009E3175">
          <w:rPr>
            <w:rFonts w:ascii="FrankRuehl" w:hAnsi="FrankRuehl" w:cs="FrankRuehl"/>
            <w:color w:val="0000FF"/>
            <w:rtl/>
          </w:rPr>
          <w:t>39</w:t>
        </w:r>
      </w:hyperlink>
    </w:p>
    <w:p w14:paraId="2CF448E6" w14:textId="77777777" w:rsidR="009E3175" w:rsidRPr="009E3175" w:rsidRDefault="009E3175" w:rsidP="009E3175">
      <w:pPr>
        <w:rPr>
          <w:sz w:val="26"/>
          <w:szCs w:val="26"/>
          <w:rtl/>
        </w:rPr>
      </w:pPr>
      <w:bookmarkStart w:id="4" w:name="LawTable_End"/>
      <w:bookmarkEnd w:id="4"/>
    </w:p>
    <w:p w14:paraId="329D68D6" w14:textId="77777777" w:rsidR="00033823" w:rsidRPr="000314F0" w:rsidRDefault="00033823" w:rsidP="000314F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3823" w14:paraId="4B7545C3" w14:textId="77777777" w:rsidTr="00033823">
        <w:trPr>
          <w:trHeight w:val="355"/>
          <w:jc w:val="center"/>
        </w:trPr>
        <w:tc>
          <w:tcPr>
            <w:tcW w:w="8820" w:type="dxa"/>
            <w:tcBorders>
              <w:top w:val="nil"/>
              <w:left w:val="nil"/>
              <w:bottom w:val="nil"/>
              <w:right w:val="nil"/>
            </w:tcBorders>
            <w:shd w:val="clear" w:color="auto" w:fill="auto"/>
          </w:tcPr>
          <w:p w14:paraId="5BCBA5F1" w14:textId="77777777" w:rsidR="00F7514F" w:rsidRPr="00F7514F" w:rsidRDefault="00F7514F" w:rsidP="00F7514F">
            <w:pPr>
              <w:jc w:val="center"/>
              <w:rPr>
                <w:rFonts w:ascii="David" w:hAnsi="David"/>
                <w:b/>
                <w:bCs/>
                <w:sz w:val="32"/>
                <w:szCs w:val="32"/>
                <w:u w:val="single"/>
                <w:rtl/>
              </w:rPr>
            </w:pPr>
            <w:bookmarkStart w:id="5" w:name="PsakDin" w:colFirst="0" w:colLast="0"/>
            <w:bookmarkEnd w:id="0"/>
            <w:r w:rsidRPr="00F7514F">
              <w:rPr>
                <w:rFonts w:ascii="David" w:hAnsi="David"/>
                <w:b/>
                <w:bCs/>
                <w:sz w:val="32"/>
                <w:szCs w:val="32"/>
                <w:u w:val="single"/>
                <w:rtl/>
              </w:rPr>
              <w:t>גזר דין</w:t>
            </w:r>
          </w:p>
          <w:p w14:paraId="2EAA0457" w14:textId="77777777" w:rsidR="00033823" w:rsidRPr="00F7514F" w:rsidRDefault="00033823" w:rsidP="00F7514F">
            <w:pPr>
              <w:jc w:val="center"/>
              <w:rPr>
                <w:rFonts w:ascii="David" w:hAnsi="David"/>
                <w:bCs/>
                <w:sz w:val="32"/>
                <w:szCs w:val="32"/>
                <w:u w:val="single"/>
                <w:rtl/>
              </w:rPr>
            </w:pPr>
          </w:p>
        </w:tc>
      </w:tr>
      <w:bookmarkEnd w:id="5"/>
    </w:tbl>
    <w:p w14:paraId="6D02209B" w14:textId="77777777" w:rsidR="00033823" w:rsidRDefault="00033823" w:rsidP="00033823">
      <w:pPr>
        <w:pStyle w:val="a9"/>
        <w:jc w:val="both"/>
        <w:rPr>
          <w:rFonts w:ascii="Arial" w:hAnsi="Arial"/>
          <w:sz w:val="26"/>
          <w:szCs w:val="26"/>
        </w:rPr>
      </w:pPr>
    </w:p>
    <w:p w14:paraId="05A9C130" w14:textId="77777777" w:rsidR="00033823" w:rsidRPr="003017C4" w:rsidRDefault="00033823" w:rsidP="00033823">
      <w:pPr>
        <w:pStyle w:val="a9"/>
        <w:numPr>
          <w:ilvl w:val="0"/>
          <w:numId w:val="1"/>
        </w:numPr>
        <w:spacing w:line="360" w:lineRule="auto"/>
        <w:jc w:val="both"/>
        <w:rPr>
          <w:rFonts w:ascii="Arial" w:hAnsi="Arial"/>
        </w:rPr>
      </w:pPr>
      <w:bookmarkStart w:id="6" w:name="ABSTRACT_START"/>
      <w:bookmarkEnd w:id="6"/>
      <w:r w:rsidRPr="003017C4">
        <w:rPr>
          <w:rFonts w:ascii="Arial" w:hAnsi="Arial" w:hint="cs"/>
          <w:rtl/>
        </w:rPr>
        <w:t xml:space="preserve">הנאשם הורשע ע"פ הודאתו בכתב אישום בעבירת נשק (נשיאה והובלה) לפי סעיף  </w:t>
      </w:r>
      <w:hyperlink r:id="rId16" w:history="1">
        <w:r w:rsidR="00331A6C" w:rsidRPr="00331A6C">
          <w:rPr>
            <w:rStyle w:val="Hyperlink"/>
            <w:rFonts w:ascii="Arial" w:hAnsi="Arial"/>
            <w:rtl/>
          </w:rPr>
          <w:t>144 (ב)</w:t>
        </w:r>
      </w:hyperlink>
      <w:r w:rsidRPr="003017C4">
        <w:rPr>
          <w:rFonts w:ascii="Arial" w:hAnsi="Arial" w:hint="cs"/>
          <w:rtl/>
        </w:rPr>
        <w:t xml:space="preserve"> (רישא+סיפא) ל</w:t>
      </w:r>
      <w:hyperlink r:id="rId17" w:history="1">
        <w:r w:rsidR="00F7514F" w:rsidRPr="00F7514F">
          <w:rPr>
            <w:rFonts w:ascii="Arial" w:hAnsi="Arial"/>
            <w:color w:val="0000FF"/>
            <w:u w:val="single"/>
            <w:rtl/>
          </w:rPr>
          <w:t>חוק העונשין</w:t>
        </w:r>
      </w:hyperlink>
      <w:r w:rsidRPr="003017C4">
        <w:rPr>
          <w:rFonts w:ascii="Arial" w:hAnsi="Arial" w:hint="cs"/>
          <w:rtl/>
        </w:rPr>
        <w:t xml:space="preserve">, </w:t>
      </w:r>
      <w:r>
        <w:rPr>
          <w:rFonts w:ascii="Arial" w:hAnsi="Arial" w:hint="cs"/>
          <w:rtl/>
        </w:rPr>
        <w:t>ה</w:t>
      </w:r>
      <w:r w:rsidRPr="003017C4">
        <w:rPr>
          <w:rFonts w:ascii="Arial" w:hAnsi="Arial" w:hint="cs"/>
          <w:rtl/>
        </w:rPr>
        <w:t xml:space="preserve">תשל"ז </w:t>
      </w:r>
      <w:r w:rsidRPr="003017C4">
        <w:rPr>
          <w:rFonts w:ascii="Arial" w:hAnsi="Arial"/>
          <w:rtl/>
        </w:rPr>
        <w:t>–</w:t>
      </w:r>
      <w:r w:rsidRPr="003017C4">
        <w:rPr>
          <w:rFonts w:ascii="Arial" w:hAnsi="Arial" w:hint="cs"/>
          <w:rtl/>
        </w:rPr>
        <w:t xml:space="preserve"> 1977 (להלן: </w:t>
      </w:r>
      <w:r w:rsidRPr="003017C4">
        <w:rPr>
          <w:rFonts w:ascii="Arial" w:hAnsi="Arial" w:hint="cs"/>
          <w:b/>
          <w:bCs/>
          <w:rtl/>
        </w:rPr>
        <w:t>"חוק העונשין"</w:t>
      </w:r>
      <w:r w:rsidRPr="003017C4">
        <w:rPr>
          <w:rFonts w:ascii="Arial" w:hAnsi="Arial" w:hint="cs"/>
          <w:rtl/>
        </w:rPr>
        <w:t xml:space="preserve">) ועבירת נשק (החזקה) לפי </w:t>
      </w:r>
      <w:hyperlink r:id="rId18" w:history="1">
        <w:r w:rsidR="00331A6C" w:rsidRPr="00331A6C">
          <w:rPr>
            <w:rStyle w:val="Hyperlink"/>
            <w:rFonts w:ascii="Arial" w:hAnsi="Arial" w:hint="eastAsia"/>
            <w:rtl/>
          </w:rPr>
          <w:t>סעיף</w:t>
        </w:r>
        <w:r w:rsidR="00331A6C" w:rsidRPr="00331A6C">
          <w:rPr>
            <w:rStyle w:val="Hyperlink"/>
            <w:rFonts w:ascii="Arial" w:hAnsi="Arial"/>
            <w:rtl/>
          </w:rPr>
          <w:t xml:space="preserve"> 144(א)</w:t>
        </w:r>
      </w:hyperlink>
      <w:r w:rsidRPr="003017C4">
        <w:rPr>
          <w:rFonts w:ascii="Arial" w:hAnsi="Arial" w:hint="cs"/>
          <w:rtl/>
        </w:rPr>
        <w:t xml:space="preserve"> (רישא+סיפא) לחוק העונשין.</w:t>
      </w:r>
    </w:p>
    <w:p w14:paraId="5C65110C" w14:textId="77777777" w:rsidR="00033823" w:rsidRPr="003017C4" w:rsidRDefault="00033823" w:rsidP="00033823">
      <w:pPr>
        <w:pStyle w:val="a9"/>
        <w:spacing w:line="360" w:lineRule="auto"/>
        <w:jc w:val="both"/>
        <w:rPr>
          <w:rFonts w:ascii="Arial" w:hAnsi="Arial"/>
        </w:rPr>
      </w:pPr>
    </w:p>
    <w:p w14:paraId="2C4BE58F" w14:textId="77777777" w:rsidR="00033823" w:rsidRPr="003017C4" w:rsidRDefault="00033823" w:rsidP="00033823">
      <w:pPr>
        <w:pStyle w:val="a9"/>
        <w:numPr>
          <w:ilvl w:val="0"/>
          <w:numId w:val="1"/>
        </w:numPr>
        <w:spacing w:line="360" w:lineRule="auto"/>
        <w:jc w:val="both"/>
        <w:rPr>
          <w:rFonts w:ascii="Arial" w:hAnsi="Arial"/>
        </w:rPr>
      </w:pPr>
      <w:bookmarkStart w:id="7" w:name="ABSTRACT_END"/>
      <w:bookmarkEnd w:id="7"/>
      <w:r w:rsidRPr="003017C4">
        <w:rPr>
          <w:rFonts w:ascii="Arial" w:hAnsi="Arial" w:hint="cs"/>
          <w:rtl/>
        </w:rPr>
        <w:t>על פי האמור בכתב האישום</w:t>
      </w:r>
      <w:r>
        <w:rPr>
          <w:rFonts w:ascii="Arial" w:hAnsi="Arial" w:hint="cs"/>
          <w:rtl/>
        </w:rPr>
        <w:t>,</w:t>
      </w:r>
      <w:r w:rsidRPr="003017C4">
        <w:rPr>
          <w:rFonts w:ascii="Arial" w:hAnsi="Arial" w:hint="cs"/>
          <w:rtl/>
        </w:rPr>
        <w:t xml:space="preserve"> בתקופה הרלוונטית </w:t>
      </w:r>
      <w:r>
        <w:rPr>
          <w:rFonts w:ascii="Arial" w:hAnsi="Arial" w:hint="cs"/>
          <w:rtl/>
        </w:rPr>
        <w:t xml:space="preserve">הנאשם </w:t>
      </w:r>
      <w:r w:rsidRPr="003017C4">
        <w:rPr>
          <w:rFonts w:ascii="Arial" w:hAnsi="Arial" w:hint="cs"/>
          <w:rtl/>
        </w:rPr>
        <w:t xml:space="preserve">היה הבעלים של רכב מסוג ניסאן </w:t>
      </w:r>
      <w:r>
        <w:rPr>
          <w:rFonts w:ascii="Arial" w:hAnsi="Arial" w:hint="cs"/>
          <w:rtl/>
        </w:rPr>
        <w:t>ו</w:t>
      </w:r>
      <w:r w:rsidRPr="003017C4">
        <w:rPr>
          <w:rFonts w:ascii="Arial" w:hAnsi="Arial" w:hint="cs"/>
          <w:rtl/>
        </w:rPr>
        <w:t xml:space="preserve">עבד כשומר בשעות הלילה ב "שוק פייסל" במזרעה. </w:t>
      </w:r>
    </w:p>
    <w:p w14:paraId="76B25D83" w14:textId="77777777" w:rsidR="00033823" w:rsidRPr="003017C4" w:rsidRDefault="00033823" w:rsidP="00033823">
      <w:pPr>
        <w:pStyle w:val="a9"/>
        <w:spacing w:line="360" w:lineRule="auto"/>
        <w:jc w:val="both"/>
        <w:rPr>
          <w:rFonts w:ascii="Arial" w:hAnsi="Arial"/>
          <w:rtl/>
        </w:rPr>
      </w:pPr>
      <w:r w:rsidRPr="003017C4">
        <w:rPr>
          <w:rFonts w:ascii="Arial" w:hAnsi="Arial" w:hint="cs"/>
          <w:rtl/>
        </w:rPr>
        <w:t xml:space="preserve">החל ממועד שאינו ידוע למאשימה, כחודשיים לפני התאריך 23.7.21 ועד תאריך 24.7.21 הנאשם החזיק, נשא והוביל ברכב נשק, תחמושת ואביזרים לנשק כמפורט להלן: </w:t>
      </w:r>
    </w:p>
    <w:p w14:paraId="33BA5E21" w14:textId="77777777" w:rsidR="00033823" w:rsidRPr="003017C4" w:rsidRDefault="00033823" w:rsidP="00033823">
      <w:pPr>
        <w:spacing w:line="360" w:lineRule="auto"/>
        <w:ind w:left="720"/>
        <w:jc w:val="both"/>
        <w:rPr>
          <w:rFonts w:ascii="Arial" w:hAnsi="Arial"/>
          <w:rtl/>
        </w:rPr>
      </w:pPr>
      <w:r w:rsidRPr="003017C4">
        <w:rPr>
          <w:rFonts w:ascii="Arial" w:hAnsi="Arial" w:hint="cs"/>
          <w:rtl/>
        </w:rPr>
        <w:lastRenderedPageBreak/>
        <w:t>נשק מסוג</w:t>
      </w:r>
      <w:r w:rsidRPr="003017C4">
        <w:rPr>
          <w:rFonts w:ascii="Arial" w:hAnsi="Arial" w:hint="cs"/>
        </w:rPr>
        <w:t xml:space="preserve"> M1</w:t>
      </w:r>
      <w:r w:rsidRPr="003017C4">
        <w:rPr>
          <w:rFonts w:ascii="Arial" w:hAnsi="Arial"/>
        </w:rPr>
        <w:t>6</w:t>
      </w:r>
      <w:r w:rsidRPr="003017C4">
        <w:rPr>
          <w:rFonts w:ascii="Arial" w:hAnsi="Arial" w:hint="cs"/>
          <w:rtl/>
        </w:rPr>
        <w:t xml:space="preserve">, מחסנית מלאה ב 30 כדורים בקוטר 5.56 מ"מ, רימון יד גז, רימון יד הלם וכוורת זיקוקים בעלת 25 קנים, מחסנית מלאה ב 8 כדורים בקוטר 9 מ"מ פאראבלום וקופסא ובתוכה שקית המכילה 57 כדורים בקוטר 5.56 מ"מ. </w:t>
      </w:r>
    </w:p>
    <w:p w14:paraId="0FB9F56D" w14:textId="77777777" w:rsidR="00033823" w:rsidRDefault="00033823" w:rsidP="00033823">
      <w:pPr>
        <w:pStyle w:val="a9"/>
        <w:spacing w:line="360" w:lineRule="auto"/>
        <w:jc w:val="both"/>
        <w:rPr>
          <w:rFonts w:ascii="Arial" w:hAnsi="Arial"/>
          <w:rtl/>
        </w:rPr>
      </w:pPr>
      <w:r w:rsidRPr="003017C4">
        <w:rPr>
          <w:rFonts w:ascii="Arial" w:hAnsi="Arial" w:hint="cs"/>
          <w:rtl/>
        </w:rPr>
        <w:t>בתאריך 23.7.21 סמוך לשעה 21:00 הגיע הנאשם בנהיגה ברכב למקום עבודתו בשוק, כשהוא מחזיק, נושא ומוביל ברכב את הנשק, התחמושת והאביזרים לנשק. בשעה 01:55 או בסמוך לכך, הגיעו אנשי משטרה לשוק ובחיפוש שערכו ברכבו של הנאשם נמצאו ונתפסו הנ</w:t>
      </w:r>
      <w:r>
        <w:rPr>
          <w:rFonts w:ascii="Arial" w:hAnsi="Arial" w:hint="cs"/>
          <w:rtl/>
        </w:rPr>
        <w:t>שק, התחמושת, והאביזרים</w:t>
      </w:r>
      <w:r w:rsidRPr="003017C4">
        <w:rPr>
          <w:rFonts w:ascii="Arial" w:hAnsi="Arial" w:hint="cs"/>
          <w:rtl/>
        </w:rPr>
        <w:t xml:space="preserve">. </w:t>
      </w:r>
    </w:p>
    <w:p w14:paraId="6C091D7A" w14:textId="77777777" w:rsidR="00033823" w:rsidRDefault="00033823" w:rsidP="00033823">
      <w:pPr>
        <w:pStyle w:val="a9"/>
        <w:spacing w:line="360" w:lineRule="auto"/>
        <w:jc w:val="both"/>
        <w:rPr>
          <w:rFonts w:ascii="Arial" w:hAnsi="Arial"/>
          <w:rtl/>
        </w:rPr>
      </w:pPr>
    </w:p>
    <w:p w14:paraId="34BCCB14" w14:textId="77777777" w:rsidR="00033823" w:rsidRDefault="00033823" w:rsidP="00033823">
      <w:pPr>
        <w:pStyle w:val="a9"/>
        <w:numPr>
          <w:ilvl w:val="0"/>
          <w:numId w:val="1"/>
        </w:numPr>
        <w:spacing w:line="360" w:lineRule="auto"/>
        <w:jc w:val="both"/>
        <w:rPr>
          <w:rFonts w:ascii="Arial" w:hAnsi="Arial"/>
          <w:rtl/>
        </w:rPr>
      </w:pPr>
      <w:r>
        <w:rPr>
          <w:rFonts w:ascii="Arial" w:hAnsi="Arial" w:hint="cs"/>
          <w:rtl/>
        </w:rPr>
        <w:t xml:space="preserve">בטיעונים לעונש העידה לטובתו של הנאשם אמו, הגב' אבתיסאם ג'ארחי, שסיפרה כי הנאשם אדם שאוהב לעזור לזולת, כאדם טוב, לא עבריין, שמתחרט על מעשיו. היא הוסיפה גם שהנאשם שירת במשטרה (בתור מתנדב) וביקשה להקל בעונשו. </w:t>
      </w:r>
    </w:p>
    <w:p w14:paraId="49C79E8C" w14:textId="77777777" w:rsidR="00033823" w:rsidRDefault="00033823" w:rsidP="00033823">
      <w:pPr>
        <w:pStyle w:val="a9"/>
        <w:spacing w:line="360" w:lineRule="auto"/>
        <w:jc w:val="both"/>
        <w:rPr>
          <w:rFonts w:ascii="Arial" w:hAnsi="Arial"/>
          <w:rtl/>
        </w:rPr>
      </w:pPr>
    </w:p>
    <w:p w14:paraId="0A1A4A5D" w14:textId="77777777" w:rsidR="00033823" w:rsidRDefault="00033823" w:rsidP="00033823">
      <w:pPr>
        <w:pStyle w:val="a9"/>
        <w:spacing w:line="360" w:lineRule="auto"/>
        <w:jc w:val="both"/>
        <w:rPr>
          <w:rFonts w:ascii="Arial" w:hAnsi="Arial"/>
          <w:rtl/>
        </w:rPr>
      </w:pPr>
    </w:p>
    <w:p w14:paraId="2DA37BAC" w14:textId="77777777" w:rsidR="00033823" w:rsidRDefault="00033823" w:rsidP="00033823">
      <w:pPr>
        <w:spacing w:line="360" w:lineRule="auto"/>
        <w:jc w:val="both"/>
        <w:rPr>
          <w:rFonts w:ascii="Arial" w:hAnsi="Arial"/>
          <w:b/>
          <w:bCs/>
          <w:u w:val="single"/>
          <w:rtl/>
        </w:rPr>
      </w:pPr>
      <w:r>
        <w:rPr>
          <w:rFonts w:ascii="Arial" w:hAnsi="Arial" w:hint="cs"/>
          <w:b/>
          <w:bCs/>
          <w:u w:val="single"/>
          <w:rtl/>
        </w:rPr>
        <w:t>עמדת המאשימה</w:t>
      </w:r>
    </w:p>
    <w:p w14:paraId="73CC3D90" w14:textId="77777777" w:rsidR="00033823" w:rsidRDefault="00033823" w:rsidP="00033823">
      <w:pPr>
        <w:spacing w:line="360" w:lineRule="auto"/>
        <w:jc w:val="both"/>
        <w:rPr>
          <w:rFonts w:ascii="Arial" w:hAnsi="Arial"/>
          <w:b/>
          <w:bCs/>
          <w:u w:val="single"/>
          <w:rtl/>
        </w:rPr>
      </w:pPr>
    </w:p>
    <w:p w14:paraId="7D62B379"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 xml:space="preserve">המאשימה טענה למתחם עונש הולם שנע בין 4 </w:t>
      </w:r>
      <w:r>
        <w:rPr>
          <w:rFonts w:ascii="Arial" w:hAnsi="Arial"/>
          <w:rtl/>
        </w:rPr>
        <w:t>–</w:t>
      </w:r>
      <w:r>
        <w:rPr>
          <w:rFonts w:ascii="Arial" w:hAnsi="Arial" w:hint="cs"/>
          <w:rtl/>
        </w:rPr>
        <w:t xml:space="preserve"> 7 שנות מאסר בפועל. </w:t>
      </w:r>
    </w:p>
    <w:p w14:paraId="4E8C1407" w14:textId="77777777" w:rsidR="00033823" w:rsidRDefault="00033823" w:rsidP="00033823">
      <w:pPr>
        <w:spacing w:line="360" w:lineRule="auto"/>
        <w:jc w:val="both"/>
        <w:rPr>
          <w:rFonts w:ascii="Arial" w:hAnsi="Arial"/>
          <w:rtl/>
        </w:rPr>
      </w:pPr>
    </w:p>
    <w:p w14:paraId="6EE9401C" w14:textId="77777777" w:rsidR="00033823" w:rsidRPr="003F5D35" w:rsidRDefault="00033823" w:rsidP="00033823">
      <w:pPr>
        <w:pStyle w:val="a9"/>
        <w:numPr>
          <w:ilvl w:val="0"/>
          <w:numId w:val="1"/>
        </w:numPr>
        <w:spacing w:line="360" w:lineRule="auto"/>
        <w:jc w:val="both"/>
        <w:rPr>
          <w:rFonts w:ascii="Arial" w:hAnsi="Arial"/>
        </w:rPr>
      </w:pPr>
      <w:r w:rsidRPr="003F5D35">
        <w:rPr>
          <w:rFonts w:ascii="Arial" w:hAnsi="Arial" w:hint="cs"/>
          <w:rtl/>
        </w:rPr>
        <w:t>נטען כי ע</w:t>
      </w:r>
      <w:r>
        <w:rPr>
          <w:rFonts w:ascii="Arial" w:hAnsi="Arial" w:hint="cs"/>
          <w:rtl/>
        </w:rPr>
        <w:t>בירות האלימות המבוצעות באמצעות נשק, ש</w:t>
      </w:r>
      <w:r w:rsidRPr="003F5D35">
        <w:rPr>
          <w:rFonts w:ascii="Arial" w:hAnsi="Arial" w:hint="cs"/>
          <w:rtl/>
        </w:rPr>
        <w:t>התרבו בשנים האחרונות נגזרות באופן ישיר מהחזקה של נשק בלתי חוקי על ידי אנשים שאי</w:t>
      </w:r>
      <w:r>
        <w:rPr>
          <w:rFonts w:ascii="Arial" w:hAnsi="Arial" w:hint="cs"/>
          <w:rtl/>
        </w:rPr>
        <w:t>נ</w:t>
      </w:r>
      <w:r w:rsidRPr="003F5D35">
        <w:rPr>
          <w:rFonts w:ascii="Arial" w:hAnsi="Arial" w:hint="cs"/>
          <w:rtl/>
        </w:rPr>
        <w:t xml:space="preserve">ם מורשים </w:t>
      </w:r>
      <w:r>
        <w:rPr>
          <w:rFonts w:ascii="Arial" w:hAnsi="Arial" w:hint="cs"/>
          <w:rtl/>
        </w:rPr>
        <w:t xml:space="preserve">לכך </w:t>
      </w:r>
      <w:r w:rsidRPr="003F5D35">
        <w:rPr>
          <w:rFonts w:ascii="Arial" w:hAnsi="Arial" w:hint="cs"/>
          <w:rtl/>
        </w:rPr>
        <w:t>ועל ידי גורמים עבריינ</w:t>
      </w:r>
      <w:r>
        <w:rPr>
          <w:rFonts w:ascii="Arial" w:hAnsi="Arial" w:hint="cs"/>
          <w:rtl/>
        </w:rPr>
        <w:t>י</w:t>
      </w:r>
      <w:r w:rsidRPr="003F5D35">
        <w:rPr>
          <w:rFonts w:ascii="Arial" w:hAnsi="Arial" w:hint="cs"/>
          <w:rtl/>
        </w:rPr>
        <w:t xml:space="preserve">ים אשר </w:t>
      </w:r>
      <w:r>
        <w:rPr>
          <w:rFonts w:ascii="Arial" w:hAnsi="Arial" w:hint="cs"/>
          <w:rtl/>
        </w:rPr>
        <w:t>עושים שימוש בנשק</w:t>
      </w:r>
      <w:r w:rsidRPr="003F5D35">
        <w:rPr>
          <w:rFonts w:ascii="Arial" w:hAnsi="Arial" w:hint="cs"/>
          <w:rtl/>
        </w:rPr>
        <w:t xml:space="preserve">.                                                                                                                                                                                             </w:t>
      </w:r>
    </w:p>
    <w:p w14:paraId="054D5DC6" w14:textId="77777777" w:rsidR="00033823" w:rsidRPr="002433A0" w:rsidRDefault="00033823" w:rsidP="00033823">
      <w:pPr>
        <w:spacing w:line="360" w:lineRule="auto"/>
        <w:jc w:val="both"/>
        <w:rPr>
          <w:rFonts w:ascii="Arial" w:hAnsi="Arial"/>
          <w:rtl/>
        </w:rPr>
      </w:pPr>
    </w:p>
    <w:p w14:paraId="0413221E" w14:textId="77777777" w:rsidR="00033823" w:rsidRDefault="00033823" w:rsidP="00033823">
      <w:pPr>
        <w:pStyle w:val="a9"/>
        <w:numPr>
          <w:ilvl w:val="0"/>
          <w:numId w:val="1"/>
        </w:numPr>
        <w:spacing w:line="360" w:lineRule="auto"/>
        <w:jc w:val="both"/>
        <w:rPr>
          <w:rFonts w:ascii="Arial" w:hAnsi="Arial"/>
        </w:rPr>
      </w:pPr>
      <w:r w:rsidRPr="003F5D35">
        <w:rPr>
          <w:rFonts w:ascii="Arial" w:hAnsi="Arial" w:hint="cs"/>
          <w:rtl/>
        </w:rPr>
        <w:t xml:space="preserve">נטען כי תופעת החזקת ונשיאת הנשק הבלתי </w:t>
      </w:r>
      <w:r>
        <w:rPr>
          <w:rFonts w:ascii="Arial" w:hAnsi="Arial" w:hint="cs"/>
          <w:rtl/>
        </w:rPr>
        <w:t>ח</w:t>
      </w:r>
      <w:r w:rsidRPr="003F5D35">
        <w:rPr>
          <w:rFonts w:ascii="Arial" w:hAnsi="Arial" w:hint="cs"/>
          <w:rtl/>
        </w:rPr>
        <w:t>וקי הפכה למכת מדינה של ממש</w:t>
      </w:r>
      <w:r>
        <w:rPr>
          <w:rFonts w:ascii="Arial" w:hAnsi="Arial" w:hint="cs"/>
          <w:rtl/>
        </w:rPr>
        <w:t xml:space="preserve"> ועל בתי המשפט מוטלת החובה להילחם בתופעה באמצעות ענישה מחמירה אשר תעביר מסר תקיף לחברה. </w:t>
      </w:r>
    </w:p>
    <w:p w14:paraId="6D107A50" w14:textId="77777777" w:rsidR="00033823" w:rsidRPr="003F5D35" w:rsidRDefault="00033823" w:rsidP="00033823">
      <w:pPr>
        <w:pStyle w:val="a9"/>
        <w:rPr>
          <w:rFonts w:ascii="Arial" w:hAnsi="Arial"/>
          <w:rtl/>
        </w:rPr>
      </w:pPr>
    </w:p>
    <w:p w14:paraId="2C314FB7"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 xml:space="preserve">נטען כי מדובר בעבירה מתוכננת ומתמשכת. הנשק הוחזק, נישא והובל ברכב תקופה ארוכה. </w:t>
      </w:r>
    </w:p>
    <w:p w14:paraId="7ACBF4AC" w14:textId="77777777" w:rsidR="00033823" w:rsidRPr="00FF5901" w:rsidRDefault="00033823" w:rsidP="00033823">
      <w:pPr>
        <w:pStyle w:val="a9"/>
        <w:rPr>
          <w:rFonts w:ascii="Arial" w:hAnsi="Arial"/>
          <w:rtl/>
        </w:rPr>
      </w:pPr>
    </w:p>
    <w:p w14:paraId="7D76587A"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 xml:space="preserve">נטען כי חלקו של הנאשם בביצוע העבירות היה בלעדי. עוד נטען כי לא ניתן לדעת להיכן היו מגיעים כלי הנשק ואיזה שימוש היה נעשה בהם וכי הנזק שצפוי להיגרם כתוצאה מהתגלגלות כלי נשק רבים בין גורמים עברייניים הוא ברור.  </w:t>
      </w:r>
      <w:r w:rsidRPr="003F5D35">
        <w:rPr>
          <w:rFonts w:ascii="Arial" w:hAnsi="Arial" w:hint="cs"/>
          <w:rtl/>
        </w:rPr>
        <w:t xml:space="preserve"> </w:t>
      </w:r>
    </w:p>
    <w:p w14:paraId="402D3309" w14:textId="77777777" w:rsidR="00033823" w:rsidRPr="002433A0" w:rsidRDefault="00033823" w:rsidP="00033823">
      <w:pPr>
        <w:pStyle w:val="a9"/>
        <w:rPr>
          <w:rFonts w:ascii="Arial" w:hAnsi="Arial"/>
          <w:rtl/>
        </w:rPr>
      </w:pPr>
    </w:p>
    <w:p w14:paraId="210BBDB5"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המאשימה הפנתה לפסיקה כדלקמן:</w:t>
      </w:r>
    </w:p>
    <w:p w14:paraId="5A798FA3" w14:textId="77777777" w:rsidR="00033823" w:rsidRPr="002433A0" w:rsidRDefault="00033823" w:rsidP="00033823">
      <w:pPr>
        <w:pStyle w:val="a9"/>
        <w:rPr>
          <w:rFonts w:ascii="Arial" w:hAnsi="Arial"/>
          <w:rtl/>
        </w:rPr>
      </w:pPr>
    </w:p>
    <w:p w14:paraId="0488339D" w14:textId="77777777" w:rsidR="00033823" w:rsidRDefault="00F7514F" w:rsidP="00033823">
      <w:pPr>
        <w:pStyle w:val="a9"/>
        <w:numPr>
          <w:ilvl w:val="0"/>
          <w:numId w:val="2"/>
        </w:numPr>
        <w:spacing w:line="360" w:lineRule="auto"/>
        <w:jc w:val="both"/>
        <w:rPr>
          <w:rFonts w:ascii="Arial" w:hAnsi="Arial"/>
        </w:rPr>
      </w:pPr>
      <w:hyperlink r:id="rId19" w:history="1">
        <w:r w:rsidRPr="00F7514F">
          <w:rPr>
            <w:rFonts w:ascii="Arial" w:hAnsi="Arial"/>
            <w:color w:val="0000FF"/>
            <w:u w:val="single"/>
            <w:rtl/>
          </w:rPr>
          <w:t>ע"פ 6021/21</w:t>
        </w:r>
      </w:hyperlink>
      <w:r w:rsidR="00033823">
        <w:rPr>
          <w:rFonts w:ascii="Arial" w:hAnsi="Arial" w:hint="cs"/>
          <w:rtl/>
        </w:rPr>
        <w:t xml:space="preserve"> </w:t>
      </w:r>
      <w:r w:rsidR="00033823">
        <w:rPr>
          <w:rFonts w:ascii="Arial" w:hAnsi="Arial" w:hint="cs"/>
          <w:b/>
          <w:bCs/>
          <w:rtl/>
        </w:rPr>
        <w:t xml:space="preserve">עלי עבוד נ' מדינת ישראל </w:t>
      </w:r>
      <w:r w:rsidR="00033823">
        <w:rPr>
          <w:rFonts w:ascii="Arial" w:hAnsi="Arial" w:hint="cs"/>
          <w:rtl/>
        </w:rPr>
        <w:t xml:space="preserve">(19.12.21), שם הורשע נאשם על פי הודאתו בעבירות של נשיאה והובלת נשק והפרעה לשוטר בשעת מילוי תפקידו. בית המשפט המחוזי השית עליו עונש של 30 חודשי מאסר בפועל. הנאשם על חומרת העונש נדחה. </w:t>
      </w:r>
    </w:p>
    <w:p w14:paraId="7830C7E0" w14:textId="77777777" w:rsidR="00033823" w:rsidRPr="00D01E9A" w:rsidRDefault="00F7514F" w:rsidP="00033823">
      <w:pPr>
        <w:pStyle w:val="a9"/>
        <w:numPr>
          <w:ilvl w:val="0"/>
          <w:numId w:val="2"/>
        </w:numPr>
        <w:spacing w:line="360" w:lineRule="auto"/>
        <w:jc w:val="both"/>
        <w:rPr>
          <w:rFonts w:ascii="Arial" w:hAnsi="Arial"/>
          <w:b/>
          <w:bCs/>
          <w:sz w:val="26"/>
          <w:szCs w:val="26"/>
        </w:rPr>
      </w:pPr>
      <w:hyperlink r:id="rId20" w:history="1">
        <w:r w:rsidRPr="00F7514F">
          <w:rPr>
            <w:rFonts w:ascii="Arial" w:hAnsi="Arial"/>
            <w:color w:val="0000FF"/>
            <w:u w:val="single"/>
            <w:rtl/>
          </w:rPr>
          <w:t>ע"פ 5522/20</w:t>
        </w:r>
      </w:hyperlink>
      <w:r w:rsidR="00033823" w:rsidRPr="00DA1C46">
        <w:rPr>
          <w:rFonts w:ascii="Arial" w:hAnsi="Arial" w:hint="cs"/>
          <w:rtl/>
        </w:rPr>
        <w:t xml:space="preserve"> </w:t>
      </w:r>
      <w:r w:rsidR="00033823" w:rsidRPr="00DA1C46">
        <w:rPr>
          <w:rFonts w:ascii="Arial" w:hAnsi="Arial" w:hint="cs"/>
          <w:b/>
          <w:bCs/>
          <w:rtl/>
        </w:rPr>
        <w:t xml:space="preserve">חלייחל נ' מדינת ישראל </w:t>
      </w:r>
      <w:r w:rsidR="00033823" w:rsidRPr="00DA1C46">
        <w:rPr>
          <w:rFonts w:ascii="Arial" w:hAnsi="Arial" w:hint="cs"/>
          <w:rtl/>
        </w:rPr>
        <w:t xml:space="preserve">(24.2.21), </w:t>
      </w:r>
      <w:r w:rsidR="00033823">
        <w:rPr>
          <w:rtl/>
        </w:rPr>
        <w:t>ערעור על גזר הדין של בית המשפט המחוזי שבגדרו הושת על המערער</w:t>
      </w:r>
      <w:r w:rsidR="00033823">
        <w:rPr>
          <w:rFonts w:hint="cs"/>
          <w:rtl/>
        </w:rPr>
        <w:t xml:space="preserve"> </w:t>
      </w:r>
      <w:r w:rsidR="00033823">
        <w:rPr>
          <w:rtl/>
        </w:rPr>
        <w:t>עונש של 36 חודשי מאסר בפועל</w:t>
      </w:r>
      <w:r w:rsidR="00033823" w:rsidRPr="00DA1C46">
        <w:rPr>
          <w:rFonts w:ascii="Arial" w:hAnsi="Arial" w:hint="cs"/>
          <w:rtl/>
        </w:rPr>
        <w:t xml:space="preserve">. הנאשם </w:t>
      </w:r>
      <w:r w:rsidR="00033823">
        <w:rPr>
          <w:rtl/>
        </w:rPr>
        <w:t xml:space="preserve">הורשע על בסיס הודאתו בכתב אישום מתוקן </w:t>
      </w:r>
      <w:r w:rsidR="00033823">
        <w:rPr>
          <w:rFonts w:hint="cs"/>
          <w:rtl/>
        </w:rPr>
        <w:t>ש</w:t>
      </w:r>
      <w:r w:rsidR="00033823">
        <w:rPr>
          <w:rtl/>
        </w:rPr>
        <w:t xml:space="preserve">ייחס לו </w:t>
      </w:r>
      <w:r w:rsidR="00033823" w:rsidRPr="00DA1C46">
        <w:rPr>
          <w:rtl/>
        </w:rPr>
        <w:t xml:space="preserve">ביצוע עבירות בנשק לפי </w:t>
      </w:r>
      <w:hyperlink r:id="rId21" w:history="1">
        <w:r w:rsidR="00331A6C" w:rsidRPr="00331A6C">
          <w:rPr>
            <w:rStyle w:val="Hyperlink"/>
            <w:rtl/>
          </w:rPr>
          <w:t>סעיף 144(ב)</w:t>
        </w:r>
      </w:hyperlink>
      <w:r w:rsidR="00033823">
        <w:rPr>
          <w:rFonts w:hint="cs"/>
          <w:rtl/>
        </w:rPr>
        <w:t xml:space="preserve"> ל</w:t>
      </w:r>
      <w:hyperlink r:id="rId22" w:history="1">
        <w:r w:rsidRPr="00F7514F">
          <w:rPr>
            <w:color w:val="0000FF"/>
            <w:u w:val="single"/>
            <w:rtl/>
          </w:rPr>
          <w:t>חוק העונשין</w:t>
        </w:r>
      </w:hyperlink>
      <w:r w:rsidR="00033823">
        <w:rPr>
          <w:rFonts w:hint="cs"/>
          <w:rtl/>
        </w:rPr>
        <w:t>. הערעור נדחה.</w:t>
      </w:r>
    </w:p>
    <w:p w14:paraId="0270E546" w14:textId="77777777" w:rsidR="00033823" w:rsidRPr="000625F2" w:rsidRDefault="00F7514F" w:rsidP="00033823">
      <w:pPr>
        <w:pStyle w:val="a9"/>
        <w:numPr>
          <w:ilvl w:val="0"/>
          <w:numId w:val="2"/>
        </w:numPr>
        <w:spacing w:line="360" w:lineRule="auto"/>
        <w:jc w:val="both"/>
        <w:rPr>
          <w:rFonts w:ascii="Arial" w:hAnsi="Arial"/>
          <w:b/>
          <w:bCs/>
          <w:sz w:val="26"/>
          <w:szCs w:val="26"/>
        </w:rPr>
      </w:pPr>
      <w:hyperlink r:id="rId23" w:history="1">
        <w:r w:rsidRPr="00F7514F">
          <w:rPr>
            <w:color w:val="0000FF"/>
            <w:u w:val="single"/>
            <w:rtl/>
          </w:rPr>
          <w:t>ע"פ 5750/20</w:t>
        </w:r>
      </w:hyperlink>
      <w:r w:rsidR="00033823">
        <w:rPr>
          <w:rFonts w:hint="cs"/>
          <w:rtl/>
        </w:rPr>
        <w:t xml:space="preserve"> </w:t>
      </w:r>
      <w:r w:rsidR="00033823">
        <w:rPr>
          <w:rFonts w:hint="cs"/>
          <w:b/>
          <w:bCs/>
          <w:rtl/>
        </w:rPr>
        <w:t>עימאד חוסיין נ' מדינת ישראל</w:t>
      </w:r>
      <w:r w:rsidR="00033823">
        <w:rPr>
          <w:rFonts w:hint="cs"/>
          <w:rtl/>
        </w:rPr>
        <w:t xml:space="preserve">, שם הורשע הנאשם בעבירות של נשיאה והובלה של נשק ותחמושת ושיבוש מהלכי משפט, בית המשפט המחוזי קבע מתחם שנע בין 2 </w:t>
      </w:r>
      <w:r w:rsidR="00033823">
        <w:rPr>
          <w:rtl/>
        </w:rPr>
        <w:t>–</w:t>
      </w:r>
      <w:r w:rsidR="00033823">
        <w:rPr>
          <w:rFonts w:hint="cs"/>
          <w:rtl/>
        </w:rPr>
        <w:t xml:space="preserve"> 5 שנות מאסר בפועל וגזר 34 חודשי מאסר בפועל. ערעורו של הנאשם על חומרת העונש נדחה.</w:t>
      </w:r>
    </w:p>
    <w:p w14:paraId="40185C83" w14:textId="77777777" w:rsidR="00033823" w:rsidRPr="00FF4FCE" w:rsidRDefault="00033823" w:rsidP="00033823">
      <w:pPr>
        <w:pStyle w:val="a9"/>
        <w:numPr>
          <w:ilvl w:val="0"/>
          <w:numId w:val="2"/>
        </w:numPr>
        <w:spacing w:line="360" w:lineRule="auto"/>
        <w:jc w:val="both"/>
        <w:rPr>
          <w:rFonts w:ascii="Arial" w:hAnsi="Arial"/>
          <w:b/>
          <w:bCs/>
        </w:rPr>
      </w:pPr>
      <w:r>
        <w:rPr>
          <w:rFonts w:hint="cs"/>
          <w:rtl/>
        </w:rPr>
        <w:t xml:space="preserve">ת"פ 63360-04-21 </w:t>
      </w:r>
      <w:r>
        <w:rPr>
          <w:rFonts w:hint="cs"/>
          <w:b/>
          <w:bCs/>
          <w:rtl/>
        </w:rPr>
        <w:t xml:space="preserve">מדינת ישראל נ' מוניר סעד </w:t>
      </w:r>
      <w:r>
        <w:rPr>
          <w:rFonts w:hint="cs"/>
          <w:rtl/>
        </w:rPr>
        <w:t xml:space="preserve">(4.1.22), שם הורשע הנאשם על פי הודאתו בעבירות של נשיאה והובלת </w:t>
      </w:r>
      <w:r w:rsidRPr="00CB5B69">
        <w:rPr>
          <w:rFonts w:hint="cs"/>
          <w:rtl/>
        </w:rPr>
        <w:t xml:space="preserve">נשק ואיומים. </w:t>
      </w:r>
      <w:r w:rsidRPr="00CB5B69">
        <w:rPr>
          <w:rFonts w:ascii="Arial" w:hAnsi="Arial" w:hint="cs"/>
          <w:sz w:val="26"/>
          <w:szCs w:val="26"/>
          <w:rtl/>
        </w:rPr>
        <w:t>בית המשפט קבע מתחם עונש שנע בין 18-45 חודשי מאסר בפועל</w:t>
      </w:r>
      <w:r>
        <w:rPr>
          <w:rFonts w:ascii="Arial" w:hAnsi="Arial" w:hint="cs"/>
          <w:sz w:val="26"/>
          <w:szCs w:val="26"/>
          <w:rtl/>
        </w:rPr>
        <w:t xml:space="preserve"> וגזר על הנאשם עונש ש</w:t>
      </w:r>
      <w:r w:rsidRPr="00FF4FCE">
        <w:rPr>
          <w:rFonts w:ascii="Arial" w:hAnsi="Arial" w:hint="cs"/>
          <w:rtl/>
        </w:rPr>
        <w:t xml:space="preserve">ל 24 חודשי מאסר בפועל. </w:t>
      </w:r>
    </w:p>
    <w:p w14:paraId="01A1DC45" w14:textId="77777777" w:rsidR="00033823" w:rsidRPr="00FF4FCE" w:rsidRDefault="00F7514F" w:rsidP="00033823">
      <w:pPr>
        <w:pStyle w:val="a9"/>
        <w:numPr>
          <w:ilvl w:val="0"/>
          <w:numId w:val="2"/>
        </w:numPr>
        <w:spacing w:line="360" w:lineRule="auto"/>
        <w:jc w:val="both"/>
        <w:rPr>
          <w:rFonts w:ascii="Arial" w:hAnsi="Arial"/>
          <w:b/>
          <w:bCs/>
          <w:sz w:val="26"/>
          <w:szCs w:val="26"/>
        </w:rPr>
      </w:pPr>
      <w:hyperlink r:id="rId24" w:history="1">
        <w:r w:rsidRPr="00F7514F">
          <w:rPr>
            <w:rFonts w:ascii="Arial" w:hAnsi="Arial"/>
            <w:color w:val="0000FF"/>
            <w:u w:val="single"/>
            <w:rtl/>
          </w:rPr>
          <w:t>ת"פ 54607-07-19</w:t>
        </w:r>
      </w:hyperlink>
      <w:r w:rsidR="00033823" w:rsidRPr="00FF4FCE">
        <w:rPr>
          <w:rFonts w:ascii="Arial" w:hAnsi="Arial" w:hint="cs"/>
          <w:rtl/>
        </w:rPr>
        <w:t xml:space="preserve"> </w:t>
      </w:r>
      <w:r w:rsidR="00033823" w:rsidRPr="00FF4FCE">
        <w:rPr>
          <w:rFonts w:ascii="Arial" w:hAnsi="Arial" w:hint="cs"/>
          <w:b/>
          <w:bCs/>
          <w:rtl/>
        </w:rPr>
        <w:t xml:space="preserve">מדינת ישראל נ' יעקוב ג'בור </w:t>
      </w:r>
      <w:r w:rsidR="00033823" w:rsidRPr="00FF4FCE">
        <w:rPr>
          <w:rFonts w:ascii="Arial" w:hAnsi="Arial" w:hint="cs"/>
          <w:rtl/>
        </w:rPr>
        <w:t>(12.1.20)</w:t>
      </w:r>
      <w:r w:rsidR="00033823" w:rsidRPr="00FF4FCE">
        <w:rPr>
          <w:rFonts w:ascii="Arial" w:hAnsi="Arial" w:hint="cs"/>
          <w:sz w:val="26"/>
          <w:szCs w:val="26"/>
          <w:rtl/>
        </w:rPr>
        <w:t xml:space="preserve">, שם </w:t>
      </w:r>
      <w:r w:rsidR="00033823">
        <w:rPr>
          <w:rtl/>
        </w:rPr>
        <w:t>הורשע</w:t>
      </w:r>
      <w:r w:rsidR="00033823">
        <w:rPr>
          <w:rFonts w:hint="cs"/>
          <w:rtl/>
        </w:rPr>
        <w:t xml:space="preserve"> הנאשם</w:t>
      </w:r>
      <w:r w:rsidR="00033823">
        <w:rPr>
          <w:rtl/>
        </w:rPr>
        <w:t xml:space="preserve"> על פי הודאתו במסגרת הסדר טיעון</w:t>
      </w:r>
      <w:r w:rsidR="00033823">
        <w:rPr>
          <w:rFonts w:hint="cs"/>
          <w:rtl/>
        </w:rPr>
        <w:t xml:space="preserve"> </w:t>
      </w:r>
      <w:r w:rsidR="00033823">
        <w:rPr>
          <w:rtl/>
        </w:rPr>
        <w:t>בכתב אישום מתוקן המייחס לו ביצוע עבירה של החזקת נשק ואביזר נש</w:t>
      </w:r>
      <w:r w:rsidR="00033823">
        <w:rPr>
          <w:rFonts w:hint="cs"/>
          <w:rtl/>
        </w:rPr>
        <w:t xml:space="preserve">ק. בית המשפט גזר על הנאשם 22 חודשי מאסר בפועל. </w:t>
      </w:r>
      <w:r w:rsidR="00033823" w:rsidRPr="00FF4FCE">
        <w:rPr>
          <w:rFonts w:hint="cs"/>
          <w:b/>
          <w:bCs/>
          <w:rtl/>
        </w:rPr>
        <w:t xml:space="preserve">     </w:t>
      </w:r>
    </w:p>
    <w:p w14:paraId="398C02E8" w14:textId="77777777" w:rsidR="00033823" w:rsidRDefault="00033823" w:rsidP="00033823">
      <w:pPr>
        <w:spacing w:line="360" w:lineRule="auto"/>
        <w:jc w:val="both"/>
        <w:rPr>
          <w:rFonts w:ascii="Arial" w:hAnsi="Arial"/>
          <w:b/>
          <w:bCs/>
          <w:sz w:val="26"/>
          <w:szCs w:val="26"/>
          <w:rtl/>
        </w:rPr>
      </w:pPr>
    </w:p>
    <w:p w14:paraId="4B584ED4" w14:textId="77777777" w:rsidR="00033823" w:rsidRDefault="00033823" w:rsidP="00033823">
      <w:pPr>
        <w:pStyle w:val="a9"/>
        <w:numPr>
          <w:ilvl w:val="0"/>
          <w:numId w:val="1"/>
        </w:numPr>
        <w:spacing w:line="360" w:lineRule="auto"/>
        <w:jc w:val="both"/>
        <w:rPr>
          <w:rFonts w:ascii="Arial" w:hAnsi="Arial"/>
          <w:b/>
          <w:bCs/>
        </w:rPr>
      </w:pPr>
      <w:r w:rsidRPr="008937D6">
        <w:rPr>
          <w:rFonts w:ascii="Arial" w:hAnsi="Arial" w:hint="cs"/>
          <w:rtl/>
        </w:rPr>
        <w:t xml:space="preserve">באשר לנסיבות שאינן קשורות בביצוע העבירה נטען כי </w:t>
      </w:r>
      <w:r>
        <w:rPr>
          <w:rFonts w:ascii="Arial" w:hAnsi="Arial" w:hint="cs"/>
          <w:rtl/>
        </w:rPr>
        <w:t xml:space="preserve">הנאשם לקח אחריות על מעשיו והבין את השלכות מעשיו. </w:t>
      </w:r>
    </w:p>
    <w:p w14:paraId="15D50A70" w14:textId="77777777" w:rsidR="00033823" w:rsidRPr="003F2F04" w:rsidRDefault="00033823" w:rsidP="00033823">
      <w:pPr>
        <w:pStyle w:val="a9"/>
        <w:spacing w:line="360" w:lineRule="auto"/>
        <w:jc w:val="both"/>
        <w:rPr>
          <w:rFonts w:ascii="Arial" w:hAnsi="Arial"/>
          <w:b/>
          <w:bCs/>
        </w:rPr>
      </w:pPr>
    </w:p>
    <w:p w14:paraId="28FE21FC" w14:textId="77777777" w:rsidR="00033823" w:rsidRPr="003F2F04" w:rsidRDefault="00033823" w:rsidP="00033823">
      <w:pPr>
        <w:pStyle w:val="a9"/>
        <w:numPr>
          <w:ilvl w:val="0"/>
          <w:numId w:val="1"/>
        </w:numPr>
        <w:spacing w:line="360" w:lineRule="auto"/>
        <w:jc w:val="both"/>
        <w:rPr>
          <w:rFonts w:ascii="Arial" w:hAnsi="Arial"/>
          <w:b/>
          <w:bCs/>
        </w:rPr>
      </w:pPr>
      <w:r>
        <w:rPr>
          <w:rFonts w:ascii="Arial" w:hAnsi="Arial" w:hint="cs"/>
          <w:rtl/>
        </w:rPr>
        <w:t xml:space="preserve">נטען כי אין לסטות ממתחם העונש בשל שיקולי שיקום שכן הנאשם לא הצביע על כך שהוא השתקם או שקיים סיכויי של ממש כי הוא ישתקם. </w:t>
      </w:r>
    </w:p>
    <w:p w14:paraId="386A9C56" w14:textId="77777777" w:rsidR="00033823" w:rsidRPr="00A9699D" w:rsidRDefault="00033823" w:rsidP="00033823">
      <w:pPr>
        <w:pStyle w:val="a9"/>
        <w:spacing w:line="360" w:lineRule="auto"/>
        <w:jc w:val="both"/>
        <w:rPr>
          <w:rFonts w:ascii="Arial" w:hAnsi="Arial"/>
          <w:b/>
          <w:bCs/>
        </w:rPr>
      </w:pPr>
    </w:p>
    <w:p w14:paraId="6CFC5646" w14:textId="77777777" w:rsidR="00033823" w:rsidRDefault="00033823" w:rsidP="00033823">
      <w:pPr>
        <w:pStyle w:val="a9"/>
        <w:numPr>
          <w:ilvl w:val="0"/>
          <w:numId w:val="1"/>
        </w:numPr>
        <w:spacing w:line="360" w:lineRule="auto"/>
        <w:jc w:val="both"/>
        <w:rPr>
          <w:rFonts w:ascii="Arial" w:hAnsi="Arial"/>
          <w:b/>
          <w:bCs/>
        </w:rPr>
      </w:pPr>
      <w:r>
        <w:rPr>
          <w:rFonts w:ascii="Arial" w:hAnsi="Arial" w:hint="cs"/>
          <w:rtl/>
        </w:rPr>
        <w:t xml:space="preserve">המאשימה ביקשה לחלט את רכבו מסוג אינפניטי מ.ר 31-444-33 של הנאשם ששימש לביצוע העבירה ושימש להובלת והחזקת הנשק לפי סעיף </w:t>
      </w:r>
      <w:hyperlink r:id="rId25" w:history="1">
        <w:r w:rsidR="00331A6C" w:rsidRPr="00331A6C">
          <w:rPr>
            <w:rStyle w:val="Hyperlink"/>
            <w:rFonts w:ascii="Arial" w:hAnsi="Arial"/>
            <w:rtl/>
          </w:rPr>
          <w:t>32 + 39</w:t>
        </w:r>
      </w:hyperlink>
      <w:r>
        <w:rPr>
          <w:rFonts w:ascii="Arial" w:hAnsi="Arial" w:hint="cs"/>
          <w:rtl/>
        </w:rPr>
        <w:t xml:space="preserve"> לפקודת סדר הדין הפלילי. </w:t>
      </w:r>
      <w:r w:rsidRPr="008937D6">
        <w:rPr>
          <w:rFonts w:ascii="Arial" w:hAnsi="Arial" w:hint="cs"/>
          <w:rtl/>
        </w:rPr>
        <w:t xml:space="preserve"> </w:t>
      </w:r>
    </w:p>
    <w:p w14:paraId="27869CC3" w14:textId="77777777" w:rsidR="00033823" w:rsidRDefault="00033823" w:rsidP="00033823">
      <w:pPr>
        <w:pStyle w:val="a9"/>
        <w:spacing w:line="360" w:lineRule="auto"/>
        <w:jc w:val="both"/>
        <w:rPr>
          <w:rFonts w:ascii="Arial" w:hAnsi="Arial"/>
        </w:rPr>
      </w:pPr>
    </w:p>
    <w:p w14:paraId="7238BCE1" w14:textId="77777777" w:rsidR="00033823" w:rsidRPr="00A9699D" w:rsidRDefault="00033823" w:rsidP="00033823">
      <w:pPr>
        <w:pStyle w:val="a9"/>
        <w:numPr>
          <w:ilvl w:val="0"/>
          <w:numId w:val="1"/>
        </w:numPr>
        <w:spacing w:line="360" w:lineRule="auto"/>
        <w:jc w:val="both"/>
        <w:rPr>
          <w:rFonts w:ascii="Arial" w:hAnsi="Arial"/>
          <w:rtl/>
        </w:rPr>
      </w:pPr>
      <w:r w:rsidRPr="00A9699D">
        <w:rPr>
          <w:rFonts w:ascii="Arial" w:hAnsi="Arial" w:hint="cs"/>
          <w:rtl/>
        </w:rPr>
        <w:t xml:space="preserve">המאשימה </w:t>
      </w:r>
      <w:r>
        <w:rPr>
          <w:rFonts w:ascii="Arial" w:hAnsi="Arial" w:hint="cs"/>
          <w:rtl/>
        </w:rPr>
        <w:t>סברה</w:t>
      </w:r>
      <w:r w:rsidRPr="00A9699D">
        <w:rPr>
          <w:rFonts w:ascii="Arial" w:hAnsi="Arial" w:hint="cs"/>
          <w:rtl/>
        </w:rPr>
        <w:t xml:space="preserve"> כי נוכח העובדה כי הנאשם נעדר עבר פלילי ונטל אחריות על מעשיו יש למקם את ע</w:t>
      </w:r>
      <w:r>
        <w:rPr>
          <w:rFonts w:ascii="Arial" w:hAnsi="Arial" w:hint="cs"/>
          <w:rtl/>
        </w:rPr>
        <w:t xml:space="preserve">ונשו ברף התחתון של המתחם שייקבע לצד עונשים נלווים של מאסר מותנה וקנס כספי. </w:t>
      </w:r>
      <w:r w:rsidRPr="00A9699D">
        <w:rPr>
          <w:rFonts w:ascii="Arial" w:hAnsi="Arial" w:hint="cs"/>
          <w:rtl/>
        </w:rPr>
        <w:t xml:space="preserve"> </w:t>
      </w:r>
    </w:p>
    <w:p w14:paraId="05B2EDFE" w14:textId="77777777" w:rsidR="00033823" w:rsidRDefault="00033823" w:rsidP="00033823">
      <w:pPr>
        <w:spacing w:line="360" w:lineRule="auto"/>
        <w:jc w:val="both"/>
        <w:rPr>
          <w:rFonts w:ascii="Arial" w:hAnsi="Arial"/>
          <w:b/>
          <w:bCs/>
          <w:sz w:val="26"/>
          <w:szCs w:val="26"/>
          <w:rtl/>
        </w:rPr>
      </w:pPr>
    </w:p>
    <w:p w14:paraId="3C60CC44" w14:textId="77777777" w:rsidR="00033823" w:rsidRDefault="00033823" w:rsidP="00033823">
      <w:pPr>
        <w:spacing w:line="360" w:lineRule="auto"/>
        <w:jc w:val="both"/>
        <w:rPr>
          <w:rFonts w:ascii="Arial" w:hAnsi="Arial"/>
          <w:b/>
          <w:bCs/>
          <w:u w:val="single"/>
          <w:rtl/>
        </w:rPr>
      </w:pPr>
      <w:r>
        <w:rPr>
          <w:rFonts w:ascii="Arial" w:hAnsi="Arial" w:hint="cs"/>
          <w:b/>
          <w:bCs/>
          <w:u w:val="single"/>
          <w:rtl/>
        </w:rPr>
        <w:t xml:space="preserve">טיעוני ההגנה </w:t>
      </w:r>
    </w:p>
    <w:p w14:paraId="68891FDF" w14:textId="77777777" w:rsidR="00033823" w:rsidRDefault="00033823" w:rsidP="00033823">
      <w:pPr>
        <w:spacing w:line="360" w:lineRule="auto"/>
        <w:jc w:val="both"/>
        <w:rPr>
          <w:rFonts w:ascii="Arial" w:hAnsi="Arial"/>
          <w:b/>
          <w:bCs/>
          <w:u w:val="single"/>
          <w:rtl/>
        </w:rPr>
      </w:pPr>
    </w:p>
    <w:p w14:paraId="6F989FAD"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 xml:space="preserve">הסנגור טען כי מדובר בנאשם שזוהי מעידתו הראשונה וכי מדובר בנאשם שהתנדב במשטרה למשך שנתיים ועשה זאת למרות הביקורות שקיבל מסביבתו, עד שהתחיל ללמוד משפטים ורק אז עזב את שירותי המשטרה. </w:t>
      </w:r>
    </w:p>
    <w:p w14:paraId="4D329EBE" w14:textId="77777777" w:rsidR="00033823" w:rsidRDefault="00033823" w:rsidP="00033823">
      <w:pPr>
        <w:pStyle w:val="a9"/>
        <w:spacing w:line="360" w:lineRule="auto"/>
        <w:jc w:val="both"/>
        <w:rPr>
          <w:rFonts w:ascii="Arial" w:hAnsi="Arial"/>
        </w:rPr>
      </w:pPr>
    </w:p>
    <w:p w14:paraId="2A00B245"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 xml:space="preserve">נטען כי הנאשם החליט להודות בעבירות שמיוחסים לו כבר במהלך חקירתו במשטרה. </w:t>
      </w:r>
    </w:p>
    <w:p w14:paraId="77C3D356" w14:textId="77777777" w:rsidR="00033823" w:rsidRDefault="00033823" w:rsidP="00033823">
      <w:pPr>
        <w:pStyle w:val="a9"/>
        <w:spacing w:line="360" w:lineRule="auto"/>
        <w:jc w:val="both"/>
        <w:rPr>
          <w:rFonts w:ascii="Arial" w:hAnsi="Arial"/>
        </w:rPr>
      </w:pPr>
    </w:p>
    <w:p w14:paraId="2E8F7504"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 xml:space="preserve">נטען כי הערך החברתי שנפגע הוא ברמה הנמוכה מאחר ולא נעשה כל שימוש בנשק. </w:t>
      </w:r>
    </w:p>
    <w:p w14:paraId="5088EE26" w14:textId="77777777" w:rsidR="00033823" w:rsidRDefault="00033823" w:rsidP="00033823">
      <w:pPr>
        <w:pStyle w:val="a9"/>
        <w:spacing w:line="360" w:lineRule="auto"/>
        <w:jc w:val="both"/>
        <w:rPr>
          <w:rFonts w:ascii="Arial" w:hAnsi="Arial"/>
        </w:rPr>
      </w:pPr>
    </w:p>
    <w:p w14:paraId="3024FD86"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 xml:space="preserve">נטען כי הנאשם עבד כשומר כדי לממן את לימודיו, וכי התבצע במקום עבודתו שוד אלים ומכאן הגיעה ההחלטה להחזיק את הנשק וזאת על מנת להרתיע אנשים ולא בכדי לעשות בו שימוש. </w:t>
      </w:r>
    </w:p>
    <w:p w14:paraId="161ECFBB" w14:textId="77777777" w:rsidR="00033823" w:rsidRDefault="00033823" w:rsidP="00033823">
      <w:pPr>
        <w:pStyle w:val="a9"/>
        <w:spacing w:line="360" w:lineRule="auto"/>
        <w:jc w:val="both"/>
        <w:rPr>
          <w:rFonts w:ascii="Arial" w:hAnsi="Arial"/>
        </w:rPr>
      </w:pPr>
    </w:p>
    <w:p w14:paraId="3713E870"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באשר לנסיבותיו האישיות נטען כי הנאשם מאורס ובטרם מעצרו התכוון להתחתן.</w:t>
      </w:r>
    </w:p>
    <w:p w14:paraId="11C8F0AC" w14:textId="77777777" w:rsidR="00033823" w:rsidRPr="001274F8" w:rsidRDefault="00033823" w:rsidP="00033823">
      <w:pPr>
        <w:pStyle w:val="a9"/>
        <w:rPr>
          <w:rFonts w:ascii="Arial" w:hAnsi="Arial"/>
          <w:rtl/>
        </w:rPr>
      </w:pPr>
    </w:p>
    <w:p w14:paraId="64C5C41C"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 xml:space="preserve">הסנגור טען כי יש להתייחס למקרה כאירוע אחד, כאשר עבירת הנשיאה הינה ברף הנמוך ונבלעת בעבירת ההחזקה כשלא נעשה שימוש בנשק. </w:t>
      </w:r>
    </w:p>
    <w:p w14:paraId="120146E8" w14:textId="77777777" w:rsidR="00033823" w:rsidRPr="00E1035D" w:rsidRDefault="00033823" w:rsidP="00033823">
      <w:pPr>
        <w:pStyle w:val="a9"/>
        <w:rPr>
          <w:rFonts w:ascii="Arial" w:hAnsi="Arial"/>
          <w:rtl/>
        </w:rPr>
      </w:pPr>
    </w:p>
    <w:p w14:paraId="5609F8DD"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באשר למדיניות אוזכרו מספר פסקי דין:</w:t>
      </w:r>
    </w:p>
    <w:p w14:paraId="579D142B" w14:textId="77777777" w:rsidR="00033823" w:rsidRPr="00E1035D" w:rsidRDefault="00033823" w:rsidP="00033823">
      <w:pPr>
        <w:pStyle w:val="a9"/>
        <w:rPr>
          <w:rFonts w:ascii="Arial" w:hAnsi="Arial"/>
          <w:rtl/>
        </w:rPr>
      </w:pPr>
    </w:p>
    <w:p w14:paraId="401BA650" w14:textId="77777777" w:rsidR="00033823" w:rsidRDefault="00F7514F" w:rsidP="00033823">
      <w:pPr>
        <w:pStyle w:val="a9"/>
        <w:numPr>
          <w:ilvl w:val="0"/>
          <w:numId w:val="2"/>
        </w:numPr>
        <w:spacing w:line="360" w:lineRule="auto"/>
        <w:jc w:val="both"/>
        <w:rPr>
          <w:rFonts w:ascii="Arial" w:hAnsi="Arial"/>
        </w:rPr>
      </w:pPr>
      <w:hyperlink r:id="rId26" w:history="1">
        <w:r w:rsidRPr="00F7514F">
          <w:rPr>
            <w:rFonts w:ascii="Arial" w:hAnsi="Arial"/>
            <w:color w:val="0000FF"/>
            <w:u w:val="single"/>
            <w:rtl/>
          </w:rPr>
          <w:t>ע"פ 4978/19</w:t>
        </w:r>
      </w:hyperlink>
      <w:r w:rsidR="00033823">
        <w:rPr>
          <w:rFonts w:ascii="Arial" w:hAnsi="Arial" w:hint="cs"/>
          <w:rtl/>
        </w:rPr>
        <w:t xml:space="preserve"> </w:t>
      </w:r>
      <w:r w:rsidR="00033823">
        <w:rPr>
          <w:rFonts w:ascii="Arial" w:hAnsi="Arial" w:hint="cs"/>
          <w:b/>
          <w:bCs/>
          <w:rtl/>
        </w:rPr>
        <w:t xml:space="preserve">חוסאם אבו מנסור נ' מדינת ישראל </w:t>
      </w:r>
      <w:r w:rsidR="00033823">
        <w:rPr>
          <w:rFonts w:ascii="Arial" w:hAnsi="Arial" w:hint="cs"/>
          <w:rtl/>
        </w:rPr>
        <w:t xml:space="preserve">(28.1.20), שם הורשעו שני אחים על פי הודאתם לאחר שברכבם נמצא כלי נשק. הנאשם 1 הורשע בנשיאה והובלת נשק ואילו נאשם 2 הורשע בהחזקת נשק. בית המשפט המחוזי גזר על נאשם 1 18 חודשי מאסר בפועל ועונשים נלווים ואילו נאשם 2 נידון ל 9 חודשי מאסר בפועל לריצוי בדרך של עבודות שירות. בית המשפט העליון קיבל את ערעורם של הנאשמים והקל בעונשו של נאשם 1 משיקולי שיקום והשית עליו 12 חודשי מאסר בפועל. כמו כן, העמיד את עונשו </w:t>
      </w:r>
      <w:r w:rsidR="00033823" w:rsidRPr="00676BA2">
        <w:rPr>
          <w:rFonts w:ascii="Arial" w:hAnsi="Arial" w:hint="cs"/>
          <w:rtl/>
        </w:rPr>
        <w:t xml:space="preserve">של נאשם 2 על 6 חודשי מאסר שירותו בעבודות שירות. </w:t>
      </w:r>
    </w:p>
    <w:p w14:paraId="7FC82C17" w14:textId="77777777" w:rsidR="00033823" w:rsidRDefault="00F7514F" w:rsidP="00033823">
      <w:pPr>
        <w:pStyle w:val="a9"/>
        <w:numPr>
          <w:ilvl w:val="0"/>
          <w:numId w:val="2"/>
        </w:numPr>
        <w:spacing w:line="360" w:lineRule="auto"/>
        <w:jc w:val="both"/>
        <w:rPr>
          <w:rFonts w:ascii="Arial" w:hAnsi="Arial"/>
        </w:rPr>
      </w:pPr>
      <w:hyperlink r:id="rId27" w:history="1">
        <w:r w:rsidRPr="00F7514F">
          <w:rPr>
            <w:rFonts w:ascii="Arial" w:hAnsi="Arial"/>
            <w:color w:val="0000FF"/>
            <w:u w:val="single"/>
            <w:rtl/>
          </w:rPr>
          <w:t>ע"פ 5330/20</w:t>
        </w:r>
      </w:hyperlink>
      <w:r w:rsidR="00033823" w:rsidRPr="00676BA2">
        <w:rPr>
          <w:rFonts w:ascii="Arial" w:hAnsi="Arial" w:hint="cs"/>
          <w:rtl/>
        </w:rPr>
        <w:t xml:space="preserve"> </w:t>
      </w:r>
      <w:r w:rsidR="00033823" w:rsidRPr="00676BA2">
        <w:rPr>
          <w:rFonts w:ascii="Arial" w:hAnsi="Arial" w:hint="cs"/>
          <w:b/>
          <w:bCs/>
          <w:rtl/>
        </w:rPr>
        <w:t xml:space="preserve">ענבתאוי נ' מדינת ישראל </w:t>
      </w:r>
      <w:r w:rsidR="00033823" w:rsidRPr="00676BA2">
        <w:rPr>
          <w:rFonts w:ascii="Arial" w:hAnsi="Arial" w:hint="cs"/>
          <w:rtl/>
        </w:rPr>
        <w:t xml:space="preserve">(22.11.20), שם הורשעו הנאשמים בעבירות נשק לפי הסעיפים </w:t>
      </w:r>
      <w:hyperlink r:id="rId28" w:history="1">
        <w:r w:rsidR="00331A6C" w:rsidRPr="00331A6C">
          <w:rPr>
            <w:rStyle w:val="Hyperlink"/>
            <w:rtl/>
          </w:rPr>
          <w:t>סעיף 144(א)</w:t>
        </w:r>
      </w:hyperlink>
      <w:r w:rsidR="00033823" w:rsidRPr="00676BA2">
        <w:rPr>
          <w:rtl/>
        </w:rPr>
        <w:t xml:space="preserve"> רישא ו-</w:t>
      </w:r>
      <w:r w:rsidR="00033823" w:rsidRPr="00F7514F">
        <w:rPr>
          <w:color w:val="000000"/>
          <w:rtl/>
        </w:rPr>
        <w:t>(</w:t>
      </w:r>
      <w:hyperlink r:id="rId29" w:history="1">
        <w:r w:rsidR="00331A6C" w:rsidRPr="00331A6C">
          <w:rPr>
            <w:rStyle w:val="Hyperlink"/>
            <w:rtl/>
          </w:rPr>
          <w:t>ב</w:t>
        </w:r>
      </w:hyperlink>
      <w:r w:rsidR="00033823" w:rsidRPr="00F7514F">
        <w:rPr>
          <w:color w:val="000000"/>
          <w:rtl/>
        </w:rPr>
        <w:t>)</w:t>
      </w:r>
      <w:r w:rsidR="00033823" w:rsidRPr="00676BA2">
        <w:rPr>
          <w:rtl/>
        </w:rPr>
        <w:t xml:space="preserve"> רישא יחד עם </w:t>
      </w:r>
      <w:hyperlink r:id="rId30" w:history="1">
        <w:r w:rsidR="00331A6C" w:rsidRPr="00331A6C">
          <w:rPr>
            <w:rStyle w:val="Hyperlink"/>
            <w:rtl/>
          </w:rPr>
          <w:t>סעיף 29</w:t>
        </w:r>
      </w:hyperlink>
      <w:r w:rsidR="00033823">
        <w:rPr>
          <w:rtl/>
        </w:rPr>
        <w:t xml:space="preserve"> </w:t>
      </w:r>
      <w:r w:rsidR="00033823">
        <w:rPr>
          <w:rFonts w:hint="cs"/>
          <w:rtl/>
        </w:rPr>
        <w:t xml:space="preserve">לחוק </w:t>
      </w:r>
      <w:r w:rsidR="00033823" w:rsidRPr="00676BA2">
        <w:rPr>
          <w:rtl/>
        </w:rPr>
        <w:t>וכן</w:t>
      </w:r>
      <w:r w:rsidR="00033823">
        <w:rPr>
          <w:rFonts w:hint="cs"/>
          <w:rtl/>
        </w:rPr>
        <w:t>, נאשם 1 הורשע בנוסף</w:t>
      </w:r>
      <w:r w:rsidR="00033823" w:rsidRPr="00676BA2">
        <w:rPr>
          <w:rtl/>
        </w:rPr>
        <w:t xml:space="preserve"> בעבירה של עסקה אחרת בנשק, לפי </w:t>
      </w:r>
      <w:hyperlink r:id="rId31" w:history="1">
        <w:r w:rsidR="00331A6C" w:rsidRPr="00331A6C">
          <w:rPr>
            <w:rStyle w:val="Hyperlink"/>
            <w:rtl/>
          </w:rPr>
          <w:t>סעיף 144(ב2)</w:t>
        </w:r>
      </w:hyperlink>
      <w:r w:rsidR="00033823" w:rsidRPr="00676BA2">
        <w:rPr>
          <w:rtl/>
        </w:rPr>
        <w:t xml:space="preserve"> לחוק.</w:t>
      </w:r>
      <w:r w:rsidR="00033823">
        <w:rPr>
          <w:rFonts w:ascii="Arial" w:hAnsi="Arial" w:hint="cs"/>
          <w:rtl/>
        </w:rPr>
        <w:t xml:space="preserve"> בית המשפט העליון אישר מתחם עונש נמוך אך העלה את עונשו של הנאשם 1 (סובחי) ל- 10 חודשי מאסר בפועל ואת עונשו של נאשם 2 (ג'נאן) ל -14 חודשי מאסר בפועל לאור הנסיבות. </w:t>
      </w:r>
    </w:p>
    <w:p w14:paraId="3D50772D" w14:textId="77777777" w:rsidR="00033823" w:rsidRDefault="00F7514F" w:rsidP="00033823">
      <w:pPr>
        <w:pStyle w:val="a9"/>
        <w:numPr>
          <w:ilvl w:val="0"/>
          <w:numId w:val="2"/>
        </w:numPr>
        <w:spacing w:line="360" w:lineRule="auto"/>
        <w:jc w:val="both"/>
        <w:rPr>
          <w:rFonts w:ascii="Arial" w:hAnsi="Arial"/>
        </w:rPr>
      </w:pPr>
      <w:hyperlink r:id="rId32" w:history="1">
        <w:r w:rsidRPr="00F7514F">
          <w:rPr>
            <w:rFonts w:ascii="Arial" w:hAnsi="Arial"/>
            <w:color w:val="0000FF"/>
            <w:u w:val="single"/>
            <w:rtl/>
          </w:rPr>
          <w:t>ע"פ 2564/19</w:t>
        </w:r>
      </w:hyperlink>
      <w:r w:rsidR="00033823">
        <w:rPr>
          <w:rFonts w:ascii="Arial" w:hAnsi="Arial" w:hint="cs"/>
          <w:rtl/>
        </w:rPr>
        <w:t xml:space="preserve"> </w:t>
      </w:r>
      <w:r w:rsidR="00033823">
        <w:rPr>
          <w:rFonts w:ascii="Arial" w:hAnsi="Arial" w:hint="cs"/>
          <w:b/>
          <w:bCs/>
          <w:rtl/>
        </w:rPr>
        <w:t xml:space="preserve">אבראהים אזברגה נ' מדינת ישראל </w:t>
      </w:r>
      <w:r w:rsidR="00033823">
        <w:rPr>
          <w:rFonts w:ascii="Arial" w:hAnsi="Arial" w:hint="cs"/>
          <w:rtl/>
        </w:rPr>
        <w:t xml:space="preserve">(18.7.19), </w:t>
      </w:r>
      <w:r w:rsidR="00033823">
        <w:rPr>
          <w:rFonts w:ascii="Arial TUR" w:hAnsi="Arial TUR"/>
          <w:sz w:val="22"/>
          <w:rtl/>
        </w:rPr>
        <w:t xml:space="preserve">ערעור על גזר דינו </w:t>
      </w:r>
      <w:r w:rsidR="00033823">
        <w:rPr>
          <w:rFonts w:ascii="Arial TUR" w:hAnsi="Arial TUR" w:hint="cs"/>
          <w:sz w:val="22"/>
          <w:rtl/>
        </w:rPr>
        <w:t>של נאשם ש</w:t>
      </w:r>
      <w:r w:rsidR="00033823">
        <w:rPr>
          <w:rtl/>
        </w:rPr>
        <w:t>נדון לעונש של 16 חודשי מאסר בפועל מיום מעצרו</w:t>
      </w:r>
      <w:r w:rsidR="00033823">
        <w:rPr>
          <w:rFonts w:hint="cs"/>
          <w:rtl/>
        </w:rPr>
        <w:t xml:space="preserve"> ו</w:t>
      </w:r>
      <w:r w:rsidR="00033823">
        <w:rPr>
          <w:rtl/>
        </w:rPr>
        <w:t>זאת לאחר שהורשע, על פי הודאתו בעבירה של נשיאת נשק לפי</w:t>
      </w:r>
      <w:r w:rsidR="00033823" w:rsidRPr="00033823">
        <w:rPr>
          <w:color w:val="000000"/>
          <w:rtl/>
        </w:rPr>
        <w:t xml:space="preserve"> </w:t>
      </w:r>
      <w:hyperlink r:id="rId33" w:history="1">
        <w:r w:rsidR="00331A6C" w:rsidRPr="00331A6C">
          <w:rPr>
            <w:rStyle w:val="Hyperlink"/>
            <w:rtl/>
          </w:rPr>
          <w:t>סעיף 144(ב)</w:t>
        </w:r>
      </w:hyperlink>
      <w:r w:rsidR="00033823" w:rsidRPr="00033823">
        <w:rPr>
          <w:rFonts w:hint="cs"/>
          <w:color w:val="000000"/>
          <w:rtl/>
        </w:rPr>
        <w:t xml:space="preserve"> לחוק. </w:t>
      </w:r>
      <w:r w:rsidR="00033823">
        <w:rPr>
          <w:rFonts w:hint="cs"/>
          <w:sz w:val="28"/>
          <w:rtl/>
        </w:rPr>
        <w:t xml:space="preserve">בית המשפט העליון </w:t>
      </w:r>
      <w:r w:rsidR="00033823">
        <w:rPr>
          <w:rFonts w:ascii="Arial" w:hAnsi="Arial" w:hint="cs"/>
          <w:rtl/>
        </w:rPr>
        <w:t xml:space="preserve">הותיר את העונש על כנו. </w:t>
      </w:r>
    </w:p>
    <w:p w14:paraId="52F8C6E6" w14:textId="77777777" w:rsidR="00033823" w:rsidRPr="00764D9C" w:rsidRDefault="00F7514F" w:rsidP="00033823">
      <w:pPr>
        <w:pStyle w:val="a9"/>
        <w:numPr>
          <w:ilvl w:val="0"/>
          <w:numId w:val="2"/>
        </w:numPr>
        <w:spacing w:line="360" w:lineRule="auto"/>
        <w:jc w:val="both"/>
        <w:rPr>
          <w:rFonts w:ascii="David" w:hAnsi="David"/>
        </w:rPr>
      </w:pPr>
      <w:hyperlink r:id="rId34" w:history="1">
        <w:r w:rsidRPr="00F7514F">
          <w:rPr>
            <w:rFonts w:ascii="Arial" w:hAnsi="Arial"/>
            <w:color w:val="0000FF"/>
            <w:u w:val="single"/>
            <w:rtl/>
          </w:rPr>
          <w:t>ת"פ 15387-01-21</w:t>
        </w:r>
      </w:hyperlink>
      <w:r w:rsidR="00033823" w:rsidRPr="00764D9C">
        <w:rPr>
          <w:rFonts w:ascii="Arial" w:hAnsi="Arial" w:hint="cs"/>
          <w:rtl/>
        </w:rPr>
        <w:t xml:space="preserve"> </w:t>
      </w:r>
      <w:r w:rsidR="00033823" w:rsidRPr="00764D9C">
        <w:rPr>
          <w:rFonts w:ascii="Arial" w:hAnsi="Arial" w:hint="cs"/>
          <w:b/>
          <w:bCs/>
          <w:rtl/>
        </w:rPr>
        <w:t xml:space="preserve">מדינת ישראל נ' שוויקי </w:t>
      </w:r>
      <w:r w:rsidR="00033823" w:rsidRPr="00764D9C">
        <w:rPr>
          <w:rFonts w:ascii="Arial" w:hAnsi="Arial" w:hint="cs"/>
          <w:rtl/>
        </w:rPr>
        <w:t xml:space="preserve">(13.1.22), </w:t>
      </w:r>
      <w:r w:rsidR="00033823" w:rsidRPr="00033823">
        <w:rPr>
          <w:rFonts w:ascii="David" w:hAnsi="David"/>
          <w:color w:val="000000"/>
          <w:rtl/>
        </w:rPr>
        <w:t xml:space="preserve">הנאשם הורשע בעבירת נשיאת נשק, לפי </w:t>
      </w:r>
      <w:hyperlink r:id="rId35" w:history="1">
        <w:r w:rsidR="00331A6C" w:rsidRPr="00331A6C">
          <w:rPr>
            <w:rStyle w:val="Hyperlink"/>
            <w:rFonts w:ascii="David" w:hAnsi="David"/>
            <w:rtl/>
          </w:rPr>
          <w:t>סעיף 144(ב)</w:t>
        </w:r>
      </w:hyperlink>
      <w:r w:rsidR="00033823" w:rsidRPr="00033823">
        <w:rPr>
          <w:rFonts w:ascii="David" w:hAnsi="David"/>
          <w:color w:val="000000"/>
          <w:rtl/>
        </w:rPr>
        <w:t xml:space="preserve"> ריש</w:t>
      </w:r>
      <w:r w:rsidR="00033823" w:rsidRPr="00033823">
        <w:rPr>
          <w:rFonts w:ascii="David" w:hAnsi="David" w:hint="cs"/>
          <w:color w:val="000000"/>
          <w:rtl/>
        </w:rPr>
        <w:t>א</w:t>
      </w:r>
      <w:r w:rsidR="00033823" w:rsidRPr="00033823">
        <w:rPr>
          <w:rFonts w:ascii="David" w:hAnsi="David"/>
          <w:color w:val="000000"/>
          <w:rtl/>
        </w:rPr>
        <w:t xml:space="preserve"> וסיפ</w:t>
      </w:r>
      <w:r w:rsidR="00033823" w:rsidRPr="00033823">
        <w:rPr>
          <w:rFonts w:ascii="David" w:hAnsi="David" w:hint="cs"/>
          <w:color w:val="000000"/>
          <w:rtl/>
        </w:rPr>
        <w:t>א</w:t>
      </w:r>
      <w:r w:rsidR="00033823" w:rsidRPr="00033823">
        <w:rPr>
          <w:rFonts w:ascii="David" w:hAnsi="David"/>
          <w:color w:val="000000"/>
          <w:rtl/>
        </w:rPr>
        <w:t xml:space="preserve"> בצירוף </w:t>
      </w:r>
      <w:hyperlink r:id="rId36" w:history="1">
        <w:r w:rsidR="00331A6C" w:rsidRPr="00331A6C">
          <w:rPr>
            <w:rStyle w:val="Hyperlink"/>
            <w:rFonts w:ascii="David" w:hAnsi="David"/>
            <w:rtl/>
          </w:rPr>
          <w:t>סעיף 144(ג)(1)</w:t>
        </w:r>
      </w:hyperlink>
      <w:r w:rsidR="00033823" w:rsidRPr="00033823">
        <w:rPr>
          <w:rFonts w:ascii="David" w:hAnsi="David"/>
          <w:color w:val="000000"/>
          <w:rtl/>
        </w:rPr>
        <w:t xml:space="preserve"> </w:t>
      </w:r>
      <w:r w:rsidR="00033823" w:rsidRPr="00033823">
        <w:rPr>
          <w:rFonts w:ascii="David" w:hAnsi="David" w:hint="cs"/>
          <w:color w:val="000000"/>
          <w:rtl/>
        </w:rPr>
        <w:t xml:space="preserve">לחוק, </w:t>
      </w:r>
      <w:r w:rsidR="00033823" w:rsidRPr="00033823">
        <w:rPr>
          <w:rFonts w:ascii="David" w:hAnsi="David"/>
          <w:color w:val="000000"/>
          <w:rtl/>
        </w:rPr>
        <w:t xml:space="preserve">בעבירת החזקת נשק לפי </w:t>
      </w:r>
      <w:hyperlink r:id="rId37" w:history="1">
        <w:r w:rsidR="00331A6C" w:rsidRPr="00331A6C">
          <w:rPr>
            <w:rStyle w:val="Hyperlink"/>
            <w:rFonts w:ascii="David" w:hAnsi="David"/>
            <w:rtl/>
          </w:rPr>
          <w:t>סעיף 144(א)</w:t>
        </w:r>
      </w:hyperlink>
      <w:r w:rsidR="00033823" w:rsidRPr="00033823">
        <w:rPr>
          <w:rFonts w:ascii="David" w:hAnsi="David"/>
          <w:color w:val="000000"/>
          <w:rtl/>
        </w:rPr>
        <w:t xml:space="preserve"> </w:t>
      </w:r>
      <w:r w:rsidR="00033823" w:rsidRPr="00033823">
        <w:rPr>
          <w:rFonts w:ascii="David" w:hAnsi="David" w:hint="cs"/>
          <w:color w:val="000000"/>
          <w:rtl/>
        </w:rPr>
        <w:t>ל</w:t>
      </w:r>
      <w:r w:rsidR="00033823" w:rsidRPr="00033823">
        <w:rPr>
          <w:rFonts w:ascii="David" w:hAnsi="David"/>
          <w:color w:val="000000"/>
          <w:rtl/>
        </w:rPr>
        <w:t xml:space="preserve">חוק ובעבירת שיבוש מהלכי משפט, לפי </w:t>
      </w:r>
      <w:hyperlink r:id="rId38" w:history="1">
        <w:r w:rsidR="00331A6C" w:rsidRPr="00331A6C">
          <w:rPr>
            <w:rStyle w:val="Hyperlink"/>
            <w:rFonts w:ascii="David" w:hAnsi="David"/>
            <w:rtl/>
          </w:rPr>
          <w:t>סעיף 244</w:t>
        </w:r>
      </w:hyperlink>
      <w:r w:rsidR="00033823" w:rsidRPr="00033823">
        <w:rPr>
          <w:rFonts w:ascii="David" w:hAnsi="David"/>
          <w:color w:val="000000"/>
          <w:rtl/>
        </w:rPr>
        <w:t xml:space="preserve"> </w:t>
      </w:r>
      <w:r w:rsidR="00033823" w:rsidRPr="00033823">
        <w:rPr>
          <w:rFonts w:ascii="David" w:hAnsi="David" w:hint="cs"/>
          <w:color w:val="000000"/>
          <w:rtl/>
        </w:rPr>
        <w:t>ל</w:t>
      </w:r>
      <w:r w:rsidR="00033823" w:rsidRPr="00033823">
        <w:rPr>
          <w:rFonts w:ascii="David" w:hAnsi="David"/>
          <w:color w:val="000000"/>
          <w:rtl/>
        </w:rPr>
        <w:t>חוק</w:t>
      </w:r>
      <w:r w:rsidR="00033823" w:rsidRPr="00033823">
        <w:rPr>
          <w:rFonts w:ascii="David" w:hAnsi="David" w:hint="cs"/>
          <w:color w:val="000000"/>
          <w:rtl/>
        </w:rPr>
        <w:t xml:space="preserve">. נקבע כי לאור מכלול הנסיבות </w:t>
      </w:r>
      <w:r w:rsidR="00033823" w:rsidRPr="00764D9C">
        <w:rPr>
          <w:rFonts w:ascii="David" w:hAnsi="David"/>
          <w:rtl/>
        </w:rPr>
        <w:t>יש להעמיד את עונשו של הנאשם</w:t>
      </w:r>
      <w:r w:rsidR="00033823">
        <w:rPr>
          <w:rFonts w:ascii="David" w:hAnsi="David"/>
          <w:rtl/>
        </w:rPr>
        <w:t xml:space="preserve"> ברף הנמוך</w:t>
      </w:r>
      <w:r w:rsidR="00033823">
        <w:rPr>
          <w:rFonts w:ascii="David" w:hAnsi="David" w:hint="cs"/>
          <w:rtl/>
        </w:rPr>
        <w:t xml:space="preserve"> וגזר 12 חודשי מאסר בפועל לצד עונשים נלווים. </w:t>
      </w:r>
    </w:p>
    <w:p w14:paraId="2CF33F52" w14:textId="77777777" w:rsidR="00033823" w:rsidRPr="00033823" w:rsidRDefault="00033823" w:rsidP="00033823">
      <w:pPr>
        <w:pStyle w:val="a9"/>
        <w:spacing w:line="360" w:lineRule="auto"/>
        <w:ind w:left="1080"/>
        <w:jc w:val="both"/>
        <w:rPr>
          <w:rFonts w:ascii="David" w:hAnsi="David"/>
          <w:color w:val="000000"/>
          <w:rtl/>
        </w:rPr>
      </w:pPr>
    </w:p>
    <w:p w14:paraId="0AD0F77F" w14:textId="77777777" w:rsidR="00033823" w:rsidRPr="00033823" w:rsidRDefault="00033823" w:rsidP="00033823">
      <w:pPr>
        <w:pStyle w:val="a9"/>
        <w:numPr>
          <w:ilvl w:val="0"/>
          <w:numId w:val="1"/>
        </w:numPr>
        <w:spacing w:line="360" w:lineRule="auto"/>
        <w:jc w:val="both"/>
        <w:rPr>
          <w:rFonts w:ascii="David" w:hAnsi="David"/>
          <w:color w:val="000000"/>
        </w:rPr>
      </w:pPr>
      <w:r w:rsidRPr="00033823">
        <w:rPr>
          <w:rFonts w:ascii="David" w:hAnsi="David" w:hint="cs"/>
          <w:color w:val="000000"/>
          <w:rtl/>
        </w:rPr>
        <w:t xml:space="preserve">במהלך הטיעונים לעונש הוגש מסמך מטעם השייח סמיר עאסי, אשר הכיר את הנאשם עת עבד כמחנך בבית ספרו. הוא תיאר כי הנאשם נחשב לאחד הצעירים החיוביים בעיר עכו אשר ניסה תמיד לתרום ולעזור לזולת. הוא סיפר כי במהלך שיחה שניהל לאחרונה עם הנאשם, הנאשם הביע צער והחרטה על המעשה. </w:t>
      </w:r>
    </w:p>
    <w:p w14:paraId="0DB37A4A" w14:textId="77777777" w:rsidR="00033823" w:rsidRPr="00033823" w:rsidRDefault="00033823" w:rsidP="00033823">
      <w:pPr>
        <w:spacing w:line="360" w:lineRule="auto"/>
        <w:jc w:val="both"/>
        <w:rPr>
          <w:rFonts w:ascii="David" w:hAnsi="David"/>
          <w:color w:val="000000"/>
          <w:rtl/>
        </w:rPr>
      </w:pPr>
    </w:p>
    <w:p w14:paraId="3967105F" w14:textId="77777777" w:rsidR="00033823" w:rsidRPr="00033823" w:rsidRDefault="00033823" w:rsidP="00033823">
      <w:pPr>
        <w:pStyle w:val="a9"/>
        <w:numPr>
          <w:ilvl w:val="0"/>
          <w:numId w:val="1"/>
        </w:numPr>
        <w:spacing w:line="360" w:lineRule="auto"/>
        <w:jc w:val="both"/>
        <w:rPr>
          <w:rFonts w:ascii="David" w:hAnsi="David"/>
          <w:color w:val="000000"/>
        </w:rPr>
      </w:pPr>
      <w:r w:rsidRPr="00033823">
        <w:rPr>
          <w:rFonts w:ascii="David" w:hAnsi="David" w:hint="cs"/>
          <w:color w:val="000000"/>
          <w:rtl/>
        </w:rPr>
        <w:t xml:space="preserve">כמו כן הוגשו חוות דעת ממשטרת ישראל אודות הנאשם עת שהתנדב במשטרה ששיבחה אותו ואת העבודה שעשה במהלך שירותו. </w:t>
      </w:r>
    </w:p>
    <w:p w14:paraId="41EBDBC9" w14:textId="77777777" w:rsidR="00033823" w:rsidRPr="00033823" w:rsidRDefault="00033823" w:rsidP="00033823">
      <w:pPr>
        <w:pStyle w:val="a9"/>
        <w:rPr>
          <w:rFonts w:ascii="David" w:hAnsi="David"/>
          <w:color w:val="000000"/>
          <w:rtl/>
        </w:rPr>
      </w:pPr>
    </w:p>
    <w:p w14:paraId="105B8E9B" w14:textId="77777777" w:rsidR="00033823" w:rsidRPr="00033823" w:rsidRDefault="00033823" w:rsidP="00033823">
      <w:pPr>
        <w:pStyle w:val="a9"/>
        <w:numPr>
          <w:ilvl w:val="0"/>
          <w:numId w:val="1"/>
        </w:numPr>
        <w:spacing w:line="360" w:lineRule="auto"/>
        <w:jc w:val="both"/>
        <w:rPr>
          <w:rFonts w:ascii="David" w:hAnsi="David"/>
          <w:color w:val="000000"/>
        </w:rPr>
      </w:pPr>
      <w:r w:rsidRPr="00033823">
        <w:rPr>
          <w:rFonts w:ascii="David" w:hAnsi="David" w:hint="cs"/>
          <w:color w:val="000000"/>
          <w:rtl/>
        </w:rPr>
        <w:t xml:space="preserve">ביום 20.03.22, הוגש לתיק בית המשפט מכתב מקצינת אסירים בכלא שטה לפיו הנאשם שימש כתומך לעצורי השגחה ושולב בקבוצת טיפולית המיועדת לתומכים אך בסופו של יום הודח מתפקידו כתומך בעקבות קטטה בה היה מעורב. </w:t>
      </w:r>
    </w:p>
    <w:p w14:paraId="237A88F5" w14:textId="77777777" w:rsidR="00033823" w:rsidRPr="00033823" w:rsidRDefault="00033823" w:rsidP="00033823">
      <w:pPr>
        <w:spacing w:line="360" w:lineRule="auto"/>
        <w:jc w:val="both"/>
        <w:rPr>
          <w:rFonts w:ascii="David" w:hAnsi="David"/>
          <w:color w:val="000000"/>
          <w:rtl/>
        </w:rPr>
      </w:pPr>
    </w:p>
    <w:p w14:paraId="2EE4DEC5" w14:textId="77777777" w:rsidR="00033823" w:rsidRPr="00033823" w:rsidRDefault="00033823" w:rsidP="00033823">
      <w:pPr>
        <w:spacing w:line="360" w:lineRule="auto"/>
        <w:jc w:val="both"/>
        <w:rPr>
          <w:rFonts w:ascii="David" w:hAnsi="David"/>
          <w:color w:val="000000"/>
          <w:u w:val="single"/>
          <w:rtl/>
        </w:rPr>
      </w:pPr>
      <w:r w:rsidRPr="00033823">
        <w:rPr>
          <w:rFonts w:ascii="David" w:hAnsi="David" w:hint="cs"/>
          <w:color w:val="000000"/>
          <w:u w:val="single"/>
          <w:rtl/>
        </w:rPr>
        <w:t>עמדת הנאשם</w:t>
      </w:r>
    </w:p>
    <w:p w14:paraId="1D42F526" w14:textId="77777777" w:rsidR="00033823" w:rsidRPr="00033823" w:rsidRDefault="00033823" w:rsidP="00033823">
      <w:pPr>
        <w:spacing w:line="360" w:lineRule="auto"/>
        <w:jc w:val="both"/>
        <w:rPr>
          <w:rFonts w:ascii="David" w:hAnsi="David"/>
          <w:color w:val="000000"/>
          <w:rtl/>
        </w:rPr>
      </w:pPr>
    </w:p>
    <w:p w14:paraId="2CC37485" w14:textId="77777777" w:rsidR="00033823" w:rsidRPr="00033823" w:rsidRDefault="00033823" w:rsidP="00033823">
      <w:pPr>
        <w:pStyle w:val="a9"/>
        <w:numPr>
          <w:ilvl w:val="0"/>
          <w:numId w:val="1"/>
        </w:numPr>
        <w:spacing w:line="360" w:lineRule="auto"/>
        <w:jc w:val="both"/>
        <w:rPr>
          <w:rFonts w:ascii="David" w:hAnsi="David"/>
          <w:color w:val="000000"/>
        </w:rPr>
      </w:pPr>
      <w:r w:rsidRPr="00033823">
        <w:rPr>
          <w:rFonts w:ascii="David" w:hAnsi="David" w:hint="cs"/>
          <w:color w:val="000000"/>
          <w:rtl/>
        </w:rPr>
        <w:t xml:space="preserve">הנאשם הביע צער וחרטה על המעשה וביקש לזקוף לזכותו את הודאתו המוקדמת כבר בשלב החקירות. מסר כי קשה לו בבית הסוהר בין כל העבריינים וביקש שלא להחמיר בעונשו. </w:t>
      </w:r>
    </w:p>
    <w:p w14:paraId="6159D141" w14:textId="77777777" w:rsidR="00033823" w:rsidRPr="00033823" w:rsidRDefault="00033823" w:rsidP="00033823">
      <w:pPr>
        <w:spacing w:line="360" w:lineRule="auto"/>
        <w:jc w:val="both"/>
        <w:rPr>
          <w:rFonts w:ascii="David" w:hAnsi="David"/>
          <w:color w:val="000000"/>
          <w:rtl/>
        </w:rPr>
      </w:pPr>
    </w:p>
    <w:p w14:paraId="4DBD9AA1" w14:textId="77777777" w:rsidR="00033823" w:rsidRPr="00033823" w:rsidRDefault="00033823" w:rsidP="00033823">
      <w:pPr>
        <w:spacing w:line="360" w:lineRule="auto"/>
        <w:jc w:val="both"/>
        <w:rPr>
          <w:rFonts w:ascii="David" w:hAnsi="David"/>
          <w:b/>
          <w:bCs/>
          <w:color w:val="000000"/>
          <w:u w:val="single"/>
          <w:rtl/>
        </w:rPr>
      </w:pPr>
      <w:r w:rsidRPr="00033823">
        <w:rPr>
          <w:rFonts w:ascii="David" w:hAnsi="David" w:hint="cs"/>
          <w:b/>
          <w:bCs/>
          <w:color w:val="000000"/>
          <w:u w:val="single"/>
          <w:rtl/>
        </w:rPr>
        <w:t>דיון</w:t>
      </w:r>
    </w:p>
    <w:p w14:paraId="7DE20187" w14:textId="77777777" w:rsidR="00033823" w:rsidRPr="00033823" w:rsidRDefault="00033823" w:rsidP="00033823">
      <w:pPr>
        <w:spacing w:line="360" w:lineRule="auto"/>
        <w:jc w:val="both"/>
        <w:rPr>
          <w:rFonts w:ascii="David" w:hAnsi="David"/>
          <w:b/>
          <w:bCs/>
          <w:color w:val="000000"/>
          <w:u w:val="single"/>
          <w:rtl/>
        </w:rPr>
      </w:pPr>
    </w:p>
    <w:p w14:paraId="62619F96" w14:textId="77777777" w:rsidR="00033823" w:rsidRPr="00033823" w:rsidRDefault="00033823" w:rsidP="00033823">
      <w:pPr>
        <w:pStyle w:val="a9"/>
        <w:numPr>
          <w:ilvl w:val="0"/>
          <w:numId w:val="1"/>
        </w:numPr>
        <w:spacing w:line="360" w:lineRule="auto"/>
        <w:jc w:val="both"/>
        <w:rPr>
          <w:rFonts w:ascii="David" w:hAnsi="David"/>
          <w:color w:val="000000"/>
        </w:rPr>
      </w:pPr>
      <w:r w:rsidRPr="00033823">
        <w:rPr>
          <w:rFonts w:ascii="David" w:hAnsi="David" w:hint="cs"/>
          <w:color w:val="000000"/>
          <w:rtl/>
        </w:rPr>
        <w:t xml:space="preserve">הנאשם יליד שנת 1994 ועצור מיום 24.7.21. </w:t>
      </w:r>
    </w:p>
    <w:p w14:paraId="56342DF5" w14:textId="77777777" w:rsidR="00033823" w:rsidRDefault="00033823" w:rsidP="00033823">
      <w:pPr>
        <w:spacing w:line="360" w:lineRule="auto"/>
        <w:jc w:val="both"/>
        <w:rPr>
          <w:rFonts w:ascii="Arial" w:hAnsi="Arial"/>
          <w:rtl/>
        </w:rPr>
      </w:pPr>
    </w:p>
    <w:p w14:paraId="2AD4027F" w14:textId="77777777" w:rsidR="00033823" w:rsidRPr="00E97DBC" w:rsidRDefault="00033823" w:rsidP="00033823">
      <w:pPr>
        <w:pStyle w:val="a9"/>
        <w:numPr>
          <w:ilvl w:val="0"/>
          <w:numId w:val="1"/>
        </w:numPr>
        <w:spacing w:line="360" w:lineRule="auto"/>
        <w:jc w:val="both"/>
        <w:rPr>
          <w:rFonts w:ascii="Arial" w:hAnsi="Arial"/>
        </w:rPr>
      </w:pPr>
      <w:r>
        <w:rPr>
          <w:rFonts w:ascii="David" w:hAnsi="David" w:hint="cs"/>
          <w:rtl/>
        </w:rPr>
        <w:t>אין</w:t>
      </w:r>
      <w:r>
        <w:rPr>
          <w:rFonts w:ascii="David" w:hAnsi="David"/>
          <w:rtl/>
        </w:rPr>
        <w:t xml:space="preserve"> צריך להכביר במילים על חומרתן של עבירות הנשק, בייחוד בתקופה הנוכחית בה כמעט ולא חולף יום </w:t>
      </w:r>
      <w:r>
        <w:rPr>
          <w:rFonts w:ascii="David" w:hAnsi="David" w:hint="cs"/>
          <w:rtl/>
        </w:rPr>
        <w:t>ל</w:t>
      </w:r>
      <w:r>
        <w:rPr>
          <w:rFonts w:ascii="David" w:hAnsi="David"/>
          <w:rtl/>
        </w:rPr>
        <w:t>לא נפגעים, בייחוד במגזר הערבי. בעניין דנן הערכים החברתיים שנפגעו הי</w:t>
      </w:r>
      <w:r>
        <w:rPr>
          <w:rFonts w:ascii="David" w:hAnsi="David" w:hint="cs"/>
          <w:rtl/>
        </w:rPr>
        <w:t>ו שלום ו</w:t>
      </w:r>
      <w:r>
        <w:rPr>
          <w:rFonts w:ascii="David" w:hAnsi="David"/>
          <w:rtl/>
        </w:rPr>
        <w:t>בטחון הפרט והציבור</w:t>
      </w:r>
      <w:r>
        <w:rPr>
          <w:rFonts w:ascii="David" w:hAnsi="David" w:hint="cs"/>
          <w:rtl/>
        </w:rPr>
        <w:t>, ו</w:t>
      </w:r>
      <w:r>
        <w:rPr>
          <w:rFonts w:ascii="David" w:hAnsi="David"/>
          <w:rtl/>
        </w:rPr>
        <w:t>מידת הפגיעה בערכים האמורים הייתה ב</w:t>
      </w:r>
      <w:r>
        <w:rPr>
          <w:rFonts w:ascii="David" w:hAnsi="David" w:hint="cs"/>
          <w:rtl/>
        </w:rPr>
        <w:t xml:space="preserve">רף הבינוני. </w:t>
      </w:r>
    </w:p>
    <w:p w14:paraId="22708A98" w14:textId="77777777" w:rsidR="00033823" w:rsidRPr="00E97DBC" w:rsidRDefault="00033823" w:rsidP="00033823">
      <w:pPr>
        <w:pStyle w:val="a9"/>
        <w:rPr>
          <w:rFonts w:ascii="Arial" w:hAnsi="Arial"/>
          <w:rtl/>
        </w:rPr>
      </w:pPr>
    </w:p>
    <w:p w14:paraId="5281B57F"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באשר לתכנון, הנאשם יצא מביתו ונסע ברכבו משך תקופה עם הנשק והתחמושת כמתואר בכתב האישום אך לא היה ברור מידת התכנון שקשורה בעבירות. יחד עם זאת, הנאשם היה צריך לדעת את הפסול שבמעשיו ולהימנע מהם. לחומרה עוד יש לציין כי מדובר בנשק ארוך, תקני, והתקפי וכמות תחמושת גדולה, יחד עם נשק נוסף.</w:t>
      </w:r>
    </w:p>
    <w:p w14:paraId="551C9F87" w14:textId="77777777" w:rsidR="00033823" w:rsidRPr="00FD1480" w:rsidRDefault="00033823" w:rsidP="00033823">
      <w:pPr>
        <w:pStyle w:val="a9"/>
        <w:rPr>
          <w:rFonts w:ascii="Arial" w:hAnsi="Arial"/>
          <w:rtl/>
        </w:rPr>
      </w:pPr>
    </w:p>
    <w:p w14:paraId="4620E871"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 xml:space="preserve">הנאשם נעדר עבר פלילי, כאשר לחובתו מספר עבירות תעבורה קלות בלבד. </w:t>
      </w:r>
    </w:p>
    <w:p w14:paraId="77820E30" w14:textId="77777777" w:rsidR="00033823" w:rsidRPr="00FF04DC" w:rsidRDefault="00033823" w:rsidP="00033823">
      <w:pPr>
        <w:pStyle w:val="a9"/>
        <w:rPr>
          <w:rFonts w:ascii="Arial" w:hAnsi="Arial"/>
          <w:rtl/>
        </w:rPr>
      </w:pPr>
    </w:p>
    <w:p w14:paraId="53675128"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 xml:space="preserve">בהתבסס על הפסיקה שהוגשה לעיל והמגמה להחמיר בעבירות הנשק יש לקבוע מתחם ענישה שבין 20 חודשים </w:t>
      </w:r>
      <w:r>
        <w:rPr>
          <w:rFonts w:ascii="Arial" w:hAnsi="Arial"/>
          <w:rtl/>
        </w:rPr>
        <w:t>–</w:t>
      </w:r>
      <w:r>
        <w:rPr>
          <w:rFonts w:ascii="Arial" w:hAnsi="Arial" w:hint="cs"/>
          <w:rtl/>
        </w:rPr>
        <w:t xml:space="preserve"> 50 חודשי מאסר בפועל.  יצויין עוד כי התיקון לחוק בעניין עונש מזערי אינו חל אך יש מקום לקחת אותו בחשבון כרכיב במדיניות הענישה.</w:t>
      </w:r>
    </w:p>
    <w:p w14:paraId="3DA13FFA" w14:textId="77777777" w:rsidR="00033823" w:rsidRPr="00FF04DC" w:rsidRDefault="00033823" w:rsidP="00033823">
      <w:pPr>
        <w:pStyle w:val="a9"/>
        <w:rPr>
          <w:rFonts w:ascii="Arial" w:hAnsi="Arial"/>
          <w:rtl/>
        </w:rPr>
      </w:pPr>
    </w:p>
    <w:p w14:paraId="6E20287E"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 xml:space="preserve">בתוך המתחם יש להתחשב שזוהי מעידתו הראשונה של נאשם שהודה בהזדמנות הראשונה ונטל אחריות בשלב מוקדם של ההליך, והודאתו נראית על פניה ככנה. </w:t>
      </w:r>
    </w:p>
    <w:p w14:paraId="62BE5F56" w14:textId="77777777" w:rsidR="00033823" w:rsidRPr="00E60782" w:rsidRDefault="00033823" w:rsidP="00033823">
      <w:pPr>
        <w:pStyle w:val="a9"/>
        <w:rPr>
          <w:rFonts w:ascii="Arial" w:hAnsi="Arial"/>
          <w:rtl/>
        </w:rPr>
      </w:pPr>
    </w:p>
    <w:p w14:paraId="3C5C3FEF"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 xml:space="preserve">כמו כן, בעת קביעת עונשו של הנאשם לקחתי בחשבון את תרומתו עת שהתנדב במשטרת ישראל ואת העדויות שדיברו על אופיו הטוב (יוער כי ניתן גם לראות את שירותו במשטרה כנסיבה לחומרה כיוון שהיה צריך להיות מודע ביתר שאת לחומרת העבירות). </w:t>
      </w:r>
    </w:p>
    <w:p w14:paraId="3A0D778F" w14:textId="77777777" w:rsidR="00033823" w:rsidRPr="00E60782" w:rsidRDefault="00033823" w:rsidP="00033823">
      <w:pPr>
        <w:pStyle w:val="a9"/>
        <w:rPr>
          <w:rFonts w:ascii="Arial" w:hAnsi="Arial"/>
          <w:rtl/>
        </w:rPr>
      </w:pPr>
    </w:p>
    <w:p w14:paraId="31B08A95" w14:textId="77777777" w:rsidR="00033823" w:rsidRDefault="00033823" w:rsidP="00033823">
      <w:pPr>
        <w:pStyle w:val="a9"/>
        <w:numPr>
          <w:ilvl w:val="0"/>
          <w:numId w:val="1"/>
        </w:numPr>
        <w:spacing w:line="360" w:lineRule="auto"/>
        <w:jc w:val="both"/>
        <w:rPr>
          <w:rFonts w:ascii="Arial" w:hAnsi="Arial"/>
        </w:rPr>
      </w:pPr>
      <w:r>
        <w:rPr>
          <w:rFonts w:ascii="Arial" w:hAnsi="Arial" w:hint="cs"/>
          <w:rtl/>
        </w:rPr>
        <w:t>אשר על כן אני מטיל על הנאשם את העונשים כדלקמן:</w:t>
      </w:r>
    </w:p>
    <w:p w14:paraId="5CC1439A" w14:textId="77777777" w:rsidR="00033823" w:rsidRPr="006B3408" w:rsidRDefault="00033823" w:rsidP="00033823">
      <w:pPr>
        <w:pStyle w:val="a9"/>
        <w:rPr>
          <w:rFonts w:ascii="Arial" w:hAnsi="Arial"/>
          <w:rtl/>
        </w:rPr>
      </w:pPr>
    </w:p>
    <w:p w14:paraId="7D4B641A" w14:textId="77777777" w:rsidR="00033823" w:rsidRDefault="00033823" w:rsidP="00033823">
      <w:pPr>
        <w:pStyle w:val="a9"/>
        <w:numPr>
          <w:ilvl w:val="0"/>
          <w:numId w:val="2"/>
        </w:numPr>
        <w:spacing w:line="360" w:lineRule="auto"/>
        <w:jc w:val="both"/>
        <w:rPr>
          <w:rFonts w:ascii="Arial" w:hAnsi="Arial"/>
        </w:rPr>
      </w:pPr>
      <w:r>
        <w:rPr>
          <w:rFonts w:ascii="Arial" w:hAnsi="Arial" w:hint="cs"/>
          <w:rtl/>
        </w:rPr>
        <w:t xml:space="preserve">30 חודשי מאסר בפועל בניכוי ימי מעצרו החל מיום 24.07.21. </w:t>
      </w:r>
    </w:p>
    <w:p w14:paraId="504C2EA2" w14:textId="77777777" w:rsidR="00033823" w:rsidRDefault="00033823" w:rsidP="00033823">
      <w:pPr>
        <w:pStyle w:val="a9"/>
        <w:spacing w:line="360" w:lineRule="auto"/>
        <w:ind w:left="1080"/>
        <w:jc w:val="both"/>
        <w:rPr>
          <w:rFonts w:ascii="Arial" w:hAnsi="Arial"/>
        </w:rPr>
      </w:pPr>
    </w:p>
    <w:p w14:paraId="15A5D9FE" w14:textId="77777777" w:rsidR="00033823" w:rsidRDefault="00033823" w:rsidP="00033823">
      <w:pPr>
        <w:pStyle w:val="a9"/>
        <w:numPr>
          <w:ilvl w:val="0"/>
          <w:numId w:val="2"/>
        </w:numPr>
        <w:spacing w:line="360" w:lineRule="auto"/>
        <w:jc w:val="both"/>
        <w:rPr>
          <w:rFonts w:ascii="Arial" w:hAnsi="Arial"/>
        </w:rPr>
      </w:pPr>
      <w:r>
        <w:rPr>
          <w:rFonts w:ascii="Arial" w:hAnsi="Arial" w:hint="cs"/>
          <w:rtl/>
        </w:rPr>
        <w:t xml:space="preserve">מאסר על תנאי לתקופה של 18 חודשים למשך 3 שנים, כאשר התנאי יופעל במידה והנאשם יבצע עבירות נשק או אלימות מסוג פשע. </w:t>
      </w:r>
    </w:p>
    <w:p w14:paraId="16A89049" w14:textId="77777777" w:rsidR="00033823" w:rsidRDefault="00033823" w:rsidP="00033823">
      <w:pPr>
        <w:pStyle w:val="a9"/>
        <w:spacing w:line="360" w:lineRule="auto"/>
        <w:ind w:left="1080"/>
        <w:jc w:val="both"/>
        <w:rPr>
          <w:rFonts w:ascii="Arial" w:hAnsi="Arial"/>
        </w:rPr>
      </w:pPr>
    </w:p>
    <w:p w14:paraId="5BB3FE09" w14:textId="77777777" w:rsidR="00033823" w:rsidRDefault="00033823" w:rsidP="00033823">
      <w:pPr>
        <w:pStyle w:val="a9"/>
        <w:numPr>
          <w:ilvl w:val="0"/>
          <w:numId w:val="2"/>
        </w:numPr>
        <w:spacing w:line="360" w:lineRule="auto"/>
        <w:jc w:val="both"/>
        <w:rPr>
          <w:rFonts w:ascii="Arial" w:hAnsi="Arial"/>
        </w:rPr>
      </w:pPr>
      <w:r>
        <w:rPr>
          <w:rFonts w:ascii="Arial" w:hAnsi="Arial" w:hint="cs"/>
          <w:rtl/>
        </w:rPr>
        <w:t xml:space="preserve">קנס בסך 3,500 ₪ לתשלום עד ליום 01.07.2022. </w:t>
      </w:r>
    </w:p>
    <w:p w14:paraId="23257DFB" w14:textId="77777777" w:rsidR="00033823" w:rsidRPr="00716C6C" w:rsidRDefault="00033823" w:rsidP="00033823">
      <w:pPr>
        <w:pStyle w:val="a9"/>
        <w:rPr>
          <w:rFonts w:ascii="Arial" w:hAnsi="Arial"/>
          <w:rtl/>
        </w:rPr>
      </w:pPr>
    </w:p>
    <w:p w14:paraId="705ED06F" w14:textId="77777777" w:rsidR="00033823" w:rsidRPr="00716C6C" w:rsidRDefault="00F7514F" w:rsidP="00033823">
      <w:pPr>
        <w:pStyle w:val="a9"/>
        <w:numPr>
          <w:ilvl w:val="0"/>
          <w:numId w:val="1"/>
        </w:numPr>
        <w:spacing w:line="360" w:lineRule="auto"/>
        <w:jc w:val="both"/>
        <w:rPr>
          <w:rFonts w:ascii="Arial" w:hAnsi="Arial"/>
        </w:rPr>
      </w:pPr>
      <w:r w:rsidRPr="00F7514F">
        <w:rPr>
          <w:rFonts w:ascii="Arial" w:hAnsi="Arial"/>
          <w:color w:val="FFFFFF"/>
          <w:sz w:val="2"/>
          <w:szCs w:val="2"/>
          <w:rtl/>
        </w:rPr>
        <w:t>5129371</w:t>
      </w:r>
      <w:r w:rsidR="00033823">
        <w:rPr>
          <w:rFonts w:ascii="Arial" w:hAnsi="Arial" w:hint="cs"/>
          <w:rtl/>
        </w:rPr>
        <w:t xml:space="preserve">תינתן החלטה נפרדת באשר לחילוט הרכב. </w:t>
      </w:r>
    </w:p>
    <w:p w14:paraId="006F32C1" w14:textId="77777777" w:rsidR="00033823" w:rsidRPr="00F7514F" w:rsidRDefault="00F7514F" w:rsidP="00033823">
      <w:pPr>
        <w:pStyle w:val="a9"/>
        <w:spacing w:line="360" w:lineRule="auto"/>
        <w:ind w:left="1080"/>
        <w:jc w:val="both"/>
        <w:rPr>
          <w:rFonts w:ascii="Arial" w:hAnsi="Arial"/>
          <w:color w:val="FFFFFF"/>
          <w:sz w:val="2"/>
          <w:szCs w:val="2"/>
          <w:rtl/>
        </w:rPr>
      </w:pPr>
      <w:r w:rsidRPr="00F7514F">
        <w:rPr>
          <w:rFonts w:ascii="Arial" w:hAnsi="Arial"/>
          <w:color w:val="FFFFFF"/>
          <w:sz w:val="2"/>
          <w:szCs w:val="2"/>
          <w:rtl/>
        </w:rPr>
        <w:t>54678313</w:t>
      </w:r>
    </w:p>
    <w:p w14:paraId="44FAD67A" w14:textId="77777777" w:rsidR="00033823" w:rsidRPr="000F2247" w:rsidRDefault="00033823" w:rsidP="00033823">
      <w:pPr>
        <w:rPr>
          <w:rFonts w:ascii="Arial" w:hAnsi="Arial"/>
          <w:b/>
          <w:bCs/>
          <w:sz w:val="26"/>
          <w:szCs w:val="26"/>
          <w:rtl/>
        </w:rPr>
      </w:pPr>
    </w:p>
    <w:p w14:paraId="6602E148" w14:textId="77777777" w:rsidR="00033823" w:rsidRPr="000F2247" w:rsidRDefault="00F7514F" w:rsidP="00033823">
      <w:pPr>
        <w:rPr>
          <w:rFonts w:ascii="Arial" w:hAnsi="Arial"/>
          <w:b/>
          <w:bCs/>
          <w:sz w:val="26"/>
          <w:szCs w:val="26"/>
          <w:rtl/>
        </w:rPr>
      </w:pPr>
      <w:bookmarkStart w:id="8" w:name="Nitan"/>
      <w:r>
        <w:rPr>
          <w:rFonts w:ascii="Arial" w:hAnsi="Arial"/>
          <w:b/>
          <w:bCs/>
          <w:sz w:val="26"/>
          <w:szCs w:val="26"/>
          <w:rtl/>
        </w:rPr>
        <w:t xml:space="preserve">ניתן היום,  כ"ד ניסן תשפ"ב, 25 אפריל 2022, בהעדר הצדדים. </w:t>
      </w:r>
      <w:bookmarkEnd w:id="8"/>
    </w:p>
    <w:p w14:paraId="17898018" w14:textId="77777777" w:rsidR="00033823" w:rsidRPr="000F2247" w:rsidRDefault="00033823" w:rsidP="00F7514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103D2A4" w14:textId="77777777" w:rsidR="00033823" w:rsidRPr="00331A6C" w:rsidRDefault="00331A6C" w:rsidP="00033823">
      <w:pPr>
        <w:jc w:val="center"/>
        <w:rPr>
          <w:rFonts w:ascii="Arial" w:hAnsi="Arial"/>
          <w:b/>
          <w:bCs/>
          <w:color w:val="FFFFFF"/>
          <w:sz w:val="2"/>
          <w:szCs w:val="2"/>
          <w:rtl/>
        </w:rPr>
      </w:pPr>
      <w:r w:rsidRPr="00331A6C">
        <w:rPr>
          <w:rFonts w:ascii="Arial" w:hAnsi="Arial"/>
          <w:b/>
          <w:bCs/>
          <w:color w:val="FFFFFF"/>
          <w:sz w:val="2"/>
          <w:szCs w:val="2"/>
          <w:rtl/>
        </w:rPr>
        <w:t>5129371</w:t>
      </w:r>
    </w:p>
    <w:p w14:paraId="5AB4A0B6" w14:textId="77777777" w:rsidR="00327FF0" w:rsidRPr="00331A6C" w:rsidRDefault="00331A6C" w:rsidP="00F7514F">
      <w:pPr>
        <w:keepNext/>
        <w:rPr>
          <w:rFonts w:ascii="David" w:hAnsi="David"/>
          <w:color w:val="FFFFFF"/>
          <w:sz w:val="2"/>
          <w:szCs w:val="2"/>
          <w:rtl/>
        </w:rPr>
      </w:pPr>
      <w:r w:rsidRPr="00331A6C">
        <w:rPr>
          <w:rFonts w:ascii="David" w:hAnsi="David"/>
          <w:color w:val="FFFFFF"/>
          <w:sz w:val="2"/>
          <w:szCs w:val="2"/>
          <w:rtl/>
        </w:rPr>
        <w:t>54678313</w:t>
      </w:r>
    </w:p>
    <w:p w14:paraId="5E865CBA" w14:textId="77777777" w:rsidR="00F7514F" w:rsidRDefault="00F7514F" w:rsidP="00F7514F">
      <w:pPr>
        <w:rPr>
          <w:rtl/>
        </w:rPr>
      </w:pPr>
    </w:p>
    <w:p w14:paraId="63A03A03" w14:textId="77777777" w:rsidR="00F7514F" w:rsidRDefault="00F7514F" w:rsidP="00F7514F">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14DE7B41" w14:textId="77777777" w:rsidR="00331A6C" w:rsidRPr="00331A6C" w:rsidRDefault="00331A6C" w:rsidP="00331A6C">
      <w:pPr>
        <w:keepNext/>
        <w:rPr>
          <w:rFonts w:ascii="David" w:hAnsi="David"/>
          <w:color w:val="000000"/>
          <w:sz w:val="22"/>
          <w:szCs w:val="22"/>
          <w:rtl/>
        </w:rPr>
      </w:pPr>
    </w:p>
    <w:p w14:paraId="362B3140" w14:textId="77777777" w:rsidR="00331A6C" w:rsidRPr="00331A6C" w:rsidRDefault="00331A6C" w:rsidP="00331A6C">
      <w:pPr>
        <w:keepNext/>
        <w:rPr>
          <w:rFonts w:ascii="David" w:hAnsi="David"/>
          <w:color w:val="000000"/>
          <w:sz w:val="22"/>
          <w:szCs w:val="22"/>
          <w:rtl/>
        </w:rPr>
      </w:pPr>
      <w:r w:rsidRPr="00331A6C">
        <w:rPr>
          <w:rFonts w:ascii="David" w:hAnsi="David"/>
          <w:color w:val="000000"/>
          <w:sz w:val="22"/>
          <w:szCs w:val="22"/>
          <w:rtl/>
        </w:rPr>
        <w:t>דניאל פיש 54678313-/</w:t>
      </w:r>
    </w:p>
    <w:p w14:paraId="320D266A" w14:textId="77777777" w:rsidR="00F7514F" w:rsidRPr="00F7514F" w:rsidRDefault="00331A6C" w:rsidP="00331A6C">
      <w:pPr>
        <w:rPr>
          <w:color w:val="0000FF"/>
          <w:u w:val="single"/>
        </w:rPr>
      </w:pPr>
      <w:r w:rsidRPr="00331A6C">
        <w:rPr>
          <w:color w:val="000000"/>
          <w:u w:val="single"/>
          <w:rtl/>
        </w:rPr>
        <w:t>נוסח מסמך זה כפוף לשינויי ניסוח ועריכה</w:t>
      </w:r>
    </w:p>
    <w:sectPr w:rsidR="00F7514F" w:rsidRPr="00F7514F" w:rsidSect="00331A6C">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697AE" w14:textId="77777777" w:rsidR="00A759CF" w:rsidRDefault="00A759CF" w:rsidP="00DF630B">
      <w:r>
        <w:separator/>
      </w:r>
    </w:p>
  </w:endnote>
  <w:endnote w:type="continuationSeparator" w:id="0">
    <w:p w14:paraId="611590C6" w14:textId="77777777" w:rsidR="00A759CF" w:rsidRDefault="00A759CF" w:rsidP="00DF6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FFF07" w14:textId="77777777" w:rsidR="00331A6C" w:rsidRDefault="00331A6C" w:rsidP="00331A6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975D66" w14:textId="77777777" w:rsidR="00867E61" w:rsidRPr="00331A6C" w:rsidRDefault="00331A6C" w:rsidP="00331A6C">
    <w:pPr>
      <w:pStyle w:val="a5"/>
      <w:pBdr>
        <w:top w:val="single" w:sz="4" w:space="1" w:color="auto"/>
        <w:between w:val="single" w:sz="4" w:space="0" w:color="auto"/>
      </w:pBdr>
      <w:spacing w:after="60"/>
      <w:jc w:val="center"/>
      <w:rPr>
        <w:rFonts w:ascii="FrankRuehl" w:hAnsi="FrankRuehl" w:cs="FrankRuehl"/>
        <w:color w:val="000000"/>
      </w:rPr>
    </w:pPr>
    <w:r w:rsidRPr="00331A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5F6FF" w14:textId="77777777" w:rsidR="00331A6C" w:rsidRDefault="00331A6C" w:rsidP="00331A6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0689">
      <w:rPr>
        <w:rFonts w:ascii="FrankRuehl" w:hAnsi="FrankRuehl" w:cs="FrankRuehl"/>
        <w:noProof/>
        <w:rtl/>
      </w:rPr>
      <w:t>1</w:t>
    </w:r>
    <w:r>
      <w:rPr>
        <w:rFonts w:ascii="FrankRuehl" w:hAnsi="FrankRuehl" w:cs="FrankRuehl"/>
        <w:rtl/>
      </w:rPr>
      <w:fldChar w:fldCharType="end"/>
    </w:r>
  </w:p>
  <w:p w14:paraId="6541937D" w14:textId="77777777" w:rsidR="00867E61" w:rsidRPr="00331A6C" w:rsidRDefault="00331A6C" w:rsidP="00331A6C">
    <w:pPr>
      <w:pStyle w:val="a5"/>
      <w:pBdr>
        <w:top w:val="single" w:sz="4" w:space="1" w:color="auto"/>
        <w:between w:val="single" w:sz="4" w:space="0" w:color="auto"/>
      </w:pBdr>
      <w:spacing w:after="60"/>
      <w:jc w:val="center"/>
      <w:rPr>
        <w:rFonts w:ascii="FrankRuehl" w:hAnsi="FrankRuehl" w:cs="FrankRuehl"/>
        <w:color w:val="000000"/>
      </w:rPr>
    </w:pPr>
    <w:r w:rsidRPr="00331A6C">
      <w:rPr>
        <w:rFonts w:ascii="FrankRuehl" w:hAnsi="FrankRuehl" w:cs="FrankRuehl"/>
        <w:color w:val="000000"/>
      </w:rPr>
      <w:pict w14:anchorId="12947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F927C" w14:textId="77777777" w:rsidR="00A759CF" w:rsidRDefault="00A759CF" w:rsidP="00DF630B">
      <w:r>
        <w:separator/>
      </w:r>
    </w:p>
  </w:footnote>
  <w:footnote w:type="continuationSeparator" w:id="0">
    <w:p w14:paraId="18F567E0" w14:textId="77777777" w:rsidR="00A759CF" w:rsidRDefault="00A759CF" w:rsidP="00DF6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7B954" w14:textId="77777777" w:rsidR="00F7514F" w:rsidRPr="00331A6C" w:rsidRDefault="00331A6C" w:rsidP="00331A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26036-08-21</w:t>
    </w:r>
    <w:r>
      <w:rPr>
        <w:rFonts w:ascii="David" w:hAnsi="David"/>
        <w:color w:val="000000"/>
        <w:sz w:val="22"/>
        <w:szCs w:val="22"/>
        <w:rtl/>
      </w:rPr>
      <w:tab/>
      <w:t xml:space="preserve"> מדינת ישראל נ' אורהאן ג'ארחי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C30E9" w14:textId="77777777" w:rsidR="00F7514F" w:rsidRPr="00331A6C" w:rsidRDefault="00331A6C" w:rsidP="00331A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26036-08-21</w:t>
    </w:r>
    <w:r>
      <w:rPr>
        <w:rFonts w:ascii="David" w:hAnsi="David"/>
        <w:color w:val="000000"/>
        <w:sz w:val="22"/>
        <w:szCs w:val="22"/>
        <w:rtl/>
      </w:rPr>
      <w:tab/>
      <w:t xml:space="preserve"> מדינת ישראל נ' אורהאן ג'ארחי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04C26"/>
    <w:multiLevelType w:val="hybridMultilevel"/>
    <w:tmpl w:val="86EC9152"/>
    <w:lvl w:ilvl="0" w:tplc="7EC8268E">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631225"/>
    <w:multiLevelType w:val="hybridMultilevel"/>
    <w:tmpl w:val="B98CB6EC"/>
    <w:lvl w:ilvl="0" w:tplc="6FA6B17A">
      <w:start w:val="1"/>
      <w:numFmt w:val="decimal"/>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17590">
    <w:abstractNumId w:val="1"/>
  </w:num>
  <w:num w:numId="2" w16cid:durableId="50490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3823"/>
    <w:rsid w:val="000314F0"/>
    <w:rsid w:val="00033823"/>
    <w:rsid w:val="000D0624"/>
    <w:rsid w:val="001B5A3B"/>
    <w:rsid w:val="00327FF0"/>
    <w:rsid w:val="00331A6C"/>
    <w:rsid w:val="00867E61"/>
    <w:rsid w:val="008F733A"/>
    <w:rsid w:val="009E3175"/>
    <w:rsid w:val="009F4121"/>
    <w:rsid w:val="00A759CF"/>
    <w:rsid w:val="00AD2FC7"/>
    <w:rsid w:val="00DF630B"/>
    <w:rsid w:val="00E21DDF"/>
    <w:rsid w:val="00ED0689"/>
    <w:rsid w:val="00F751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51EFBB"/>
  <w15:chartTrackingRefBased/>
  <w15:docId w15:val="{C9B2B258-C473-4DF9-A644-DF4D7463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382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33823"/>
    <w:pPr>
      <w:tabs>
        <w:tab w:val="center" w:pos="4153"/>
        <w:tab w:val="right" w:pos="8306"/>
      </w:tabs>
    </w:pPr>
  </w:style>
  <w:style w:type="character" w:customStyle="1" w:styleId="a4">
    <w:name w:val="כותרת עליונה תו"/>
    <w:link w:val="a3"/>
    <w:rsid w:val="00033823"/>
    <w:rPr>
      <w:rFonts w:ascii="Times New Roman" w:eastAsia="Times New Roman" w:hAnsi="Times New Roman" w:cs="David"/>
      <w:sz w:val="24"/>
      <w:szCs w:val="24"/>
    </w:rPr>
  </w:style>
  <w:style w:type="paragraph" w:styleId="a5">
    <w:name w:val="footer"/>
    <w:basedOn w:val="a"/>
    <w:link w:val="a6"/>
    <w:rsid w:val="00033823"/>
    <w:pPr>
      <w:tabs>
        <w:tab w:val="center" w:pos="4153"/>
        <w:tab w:val="right" w:pos="8306"/>
      </w:tabs>
    </w:pPr>
  </w:style>
  <w:style w:type="character" w:customStyle="1" w:styleId="a6">
    <w:name w:val="כותרת תחתונה תו"/>
    <w:link w:val="a5"/>
    <w:rsid w:val="00033823"/>
    <w:rPr>
      <w:rFonts w:ascii="Times New Roman" w:eastAsia="Times New Roman" w:hAnsi="Times New Roman" w:cs="David"/>
      <w:sz w:val="24"/>
      <w:szCs w:val="24"/>
    </w:rPr>
  </w:style>
  <w:style w:type="table" w:styleId="a7">
    <w:name w:val="Table Grid"/>
    <w:basedOn w:val="a1"/>
    <w:rsid w:val="000338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33823"/>
  </w:style>
  <w:style w:type="paragraph" w:styleId="a9">
    <w:name w:val="List Paragraph"/>
    <w:basedOn w:val="a"/>
    <w:qFormat/>
    <w:rsid w:val="00033823"/>
    <w:pPr>
      <w:ind w:left="720"/>
      <w:contextualSpacing/>
    </w:pPr>
  </w:style>
  <w:style w:type="character" w:styleId="Hyperlink">
    <w:name w:val="Hyperlink"/>
    <w:rsid w:val="000338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8"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5892549"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27311262"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law/70301/144.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c.1" TargetMode="External"/><Relationship Id="rId24" Type="http://schemas.openxmlformats.org/officeDocument/2006/relationships/hyperlink" Target="http://www.nevo.co.il/case/25890687" TargetMode="External"/><Relationship Id="rId32" Type="http://schemas.openxmlformats.org/officeDocument/2006/relationships/hyperlink" Target="http://www.nevo.co.il/case/25612982" TargetMode="External"/><Relationship Id="rId37" Type="http://schemas.openxmlformats.org/officeDocument/2006/relationships/hyperlink" Target="http://www.nevo.co.il/law/70301/144.a"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4918/39" TargetMode="External"/><Relationship Id="rId23" Type="http://schemas.openxmlformats.org/officeDocument/2006/relationships/hyperlink" Target="http://www.nevo.co.il/case/26927619"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144.c.1"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7911655" TargetMode="External"/><Relationship Id="rId31" Type="http://schemas.openxmlformats.org/officeDocument/2006/relationships/hyperlink" Target="http://www.nevo.co.il/law/70301/144.b"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4918/32"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888657" TargetMode="External"/><Relationship Id="rId30" Type="http://schemas.openxmlformats.org/officeDocument/2006/relationships/hyperlink" Target="http://www.nevo.co.il/law/70301/29" TargetMode="External"/><Relationship Id="rId35" Type="http://schemas.openxmlformats.org/officeDocument/2006/relationships/hyperlink" Target="http://www.nevo.co.il/law/70301/144.b" TargetMode="External"/><Relationship Id="rId43" Type="http://schemas.openxmlformats.org/officeDocument/2006/relationships/footer" Target="footer2.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4918/32;39" TargetMode="External"/><Relationship Id="rId33" Type="http://schemas.openxmlformats.org/officeDocument/2006/relationships/hyperlink" Target="http://www.nevo.co.il/law/70301/144.b" TargetMode="External"/><Relationship Id="rId38" Type="http://schemas.openxmlformats.org/officeDocument/2006/relationships/hyperlink" Target="http://www.nevo.co.il/law/70301/244" TargetMode="External"/><Relationship Id="rId20" Type="http://schemas.openxmlformats.org/officeDocument/2006/relationships/hyperlink" Target="http://www.nevo.co.il/case/26905927"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1764</Words>
  <Characters>8825</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10568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6357095</vt:i4>
      </vt:variant>
      <vt:variant>
        <vt:i4>93</vt:i4>
      </vt:variant>
      <vt:variant>
        <vt:i4>0</vt:i4>
      </vt:variant>
      <vt:variant>
        <vt:i4>5</vt:i4>
      </vt:variant>
      <vt:variant>
        <vt:lpwstr>http://www.nevo.co.il/law/70301/244</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6357043</vt:i4>
      </vt:variant>
      <vt:variant>
        <vt:i4>87</vt:i4>
      </vt:variant>
      <vt:variant>
        <vt:i4>0</vt:i4>
      </vt:variant>
      <vt:variant>
        <vt:i4>5</vt:i4>
      </vt:variant>
      <vt:variant>
        <vt:lpwstr>http://www.nevo.co.il/law/70301/144.c.1</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3539056</vt:i4>
      </vt:variant>
      <vt:variant>
        <vt:i4>81</vt:i4>
      </vt:variant>
      <vt:variant>
        <vt:i4>0</vt:i4>
      </vt:variant>
      <vt:variant>
        <vt:i4>5</vt:i4>
      </vt:variant>
      <vt:variant>
        <vt:lpwstr>http://www.nevo.co.il/case/27311262</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4063353</vt:i4>
      </vt:variant>
      <vt:variant>
        <vt:i4>75</vt:i4>
      </vt:variant>
      <vt:variant>
        <vt:i4>0</vt:i4>
      </vt:variant>
      <vt:variant>
        <vt:i4>5</vt:i4>
      </vt:variant>
      <vt:variant>
        <vt:lpwstr>http://www.nevo.co.il/case/25612982</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3604604</vt:i4>
      </vt:variant>
      <vt:variant>
        <vt:i4>60</vt:i4>
      </vt:variant>
      <vt:variant>
        <vt:i4>0</vt:i4>
      </vt:variant>
      <vt:variant>
        <vt:i4>5</vt:i4>
      </vt:variant>
      <vt:variant>
        <vt:lpwstr>http://www.nevo.co.il/case/26888657</vt:lpwstr>
      </vt:variant>
      <vt:variant>
        <vt:lpwstr/>
      </vt:variant>
      <vt:variant>
        <vt:i4>3932285</vt:i4>
      </vt:variant>
      <vt:variant>
        <vt:i4>57</vt:i4>
      </vt:variant>
      <vt:variant>
        <vt:i4>0</vt:i4>
      </vt:variant>
      <vt:variant>
        <vt:i4>5</vt:i4>
      </vt:variant>
      <vt:variant>
        <vt:lpwstr>http://www.nevo.co.il/case/25892549</vt:lpwstr>
      </vt:variant>
      <vt:variant>
        <vt:lpwstr/>
      </vt:variant>
      <vt:variant>
        <vt:i4>5308510</vt:i4>
      </vt:variant>
      <vt:variant>
        <vt:i4>54</vt:i4>
      </vt:variant>
      <vt:variant>
        <vt:i4>0</vt:i4>
      </vt:variant>
      <vt:variant>
        <vt:i4>5</vt:i4>
      </vt:variant>
      <vt:variant>
        <vt:lpwstr>http://www.nevo.co.il/law/74918/32;39</vt:lpwstr>
      </vt:variant>
      <vt:variant>
        <vt:lpwstr/>
      </vt:variant>
      <vt:variant>
        <vt:i4>3276926</vt:i4>
      </vt:variant>
      <vt:variant>
        <vt:i4>51</vt:i4>
      </vt:variant>
      <vt:variant>
        <vt:i4>0</vt:i4>
      </vt:variant>
      <vt:variant>
        <vt:i4>5</vt:i4>
      </vt:variant>
      <vt:variant>
        <vt:lpwstr>http://www.nevo.co.il/case/25890687</vt:lpwstr>
      </vt:variant>
      <vt:variant>
        <vt:lpwstr/>
      </vt:variant>
      <vt:variant>
        <vt:i4>3997814</vt:i4>
      </vt:variant>
      <vt:variant>
        <vt:i4>48</vt:i4>
      </vt:variant>
      <vt:variant>
        <vt:i4>0</vt:i4>
      </vt:variant>
      <vt:variant>
        <vt:i4>5</vt:i4>
      </vt:variant>
      <vt:variant>
        <vt:lpwstr>http://www.nevo.co.il/case/26927619</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3932283</vt:i4>
      </vt:variant>
      <vt:variant>
        <vt:i4>39</vt:i4>
      </vt:variant>
      <vt:variant>
        <vt:i4>0</vt:i4>
      </vt:variant>
      <vt:variant>
        <vt:i4>5</vt:i4>
      </vt:variant>
      <vt:variant>
        <vt:lpwstr>http://www.nevo.co.il/case/26905927</vt:lpwstr>
      </vt:variant>
      <vt:variant>
        <vt:lpwstr/>
      </vt:variant>
      <vt:variant>
        <vt:i4>4128884</vt:i4>
      </vt:variant>
      <vt:variant>
        <vt:i4>36</vt:i4>
      </vt:variant>
      <vt:variant>
        <vt:i4>0</vt:i4>
      </vt:variant>
      <vt:variant>
        <vt:i4>5</vt:i4>
      </vt:variant>
      <vt:variant>
        <vt:lpwstr>http://www.nevo.co.il/case/27911655</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6881381</vt:i4>
      </vt:variant>
      <vt:variant>
        <vt:i4>24</vt:i4>
      </vt:variant>
      <vt:variant>
        <vt:i4>0</vt:i4>
      </vt:variant>
      <vt:variant>
        <vt:i4>5</vt:i4>
      </vt:variant>
      <vt:variant>
        <vt:lpwstr>http://www.nevo.co.il/law/74918/39</vt:lpwstr>
      </vt:variant>
      <vt:variant>
        <vt:lpwstr/>
      </vt:variant>
      <vt:variant>
        <vt:i4>6422629</vt:i4>
      </vt:variant>
      <vt:variant>
        <vt:i4>21</vt:i4>
      </vt:variant>
      <vt:variant>
        <vt:i4>0</vt:i4>
      </vt:variant>
      <vt:variant>
        <vt:i4>5</vt:i4>
      </vt:variant>
      <vt:variant>
        <vt:lpwstr>http://www.nevo.co.il/law/74918/32</vt:lpwstr>
      </vt:variant>
      <vt:variant>
        <vt:lpwstr/>
      </vt:variant>
      <vt:variant>
        <vt:i4>8323182</vt:i4>
      </vt:variant>
      <vt:variant>
        <vt:i4>18</vt:i4>
      </vt:variant>
      <vt:variant>
        <vt:i4>0</vt:i4>
      </vt:variant>
      <vt:variant>
        <vt:i4>5</vt:i4>
      </vt:variant>
      <vt:variant>
        <vt:lpwstr>http://www.nevo.co.il/law/74918</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6357043</vt:i4>
      </vt:variant>
      <vt:variant>
        <vt:i4>12</vt:i4>
      </vt:variant>
      <vt:variant>
        <vt:i4>0</vt:i4>
      </vt:variant>
      <vt:variant>
        <vt:i4>5</vt:i4>
      </vt:variant>
      <vt:variant>
        <vt:lpwstr>http://www.nevo.co.il/law/70301/144.c.1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2025-01-19T16:44:00Z</dcterms:created>
  <dcterms:modified xsi:type="dcterms:W3CDTF">2025-01-19T16:44:00Z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26036</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אורהאן ג'ארחי</vt:lpwstr>
  </property>
  <property fmtid="{D5CDD505-2E9C-101B-9397-08002B2CF9AE}" pid="10" name="LAWYER">
    <vt:lpwstr>יאיר גויכמן ;שאדי דבאח</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20220425</vt:lpwstr>
  </property>
  <property fmtid="{D5CDD505-2E9C-101B-9397-08002B2CF9AE}" pid="14" name="TYPE_N_DATE">
    <vt:lpwstr>39020220425</vt:lpwstr>
  </property>
  <property fmtid="{D5CDD505-2E9C-101B-9397-08002B2CF9AE}" pid="15" name="WORDNUMPAGES">
    <vt:lpwstr>6</vt:lpwstr>
  </property>
  <property fmtid="{D5CDD505-2E9C-101B-9397-08002B2CF9AE}" pid="16" name="TYPE_ABS_DATE">
    <vt:lpwstr>390020220425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27911655;26905927;26927619;25890687;25892549;26888657;25612982;27311262</vt:lpwstr>
  </property>
  <property fmtid="{D5CDD505-2E9C-101B-9397-08002B2CF9AE}" pid="36" name="LAWLISTTMP1">
    <vt:lpwstr>70301/144.b:6;144.a:3;029;144.c.1;244</vt:lpwstr>
  </property>
  <property fmtid="{D5CDD505-2E9C-101B-9397-08002B2CF9AE}" pid="37" name="LAWLISTTMP2">
    <vt:lpwstr>74918/032;039</vt:lpwstr>
  </property>
</Properties>
</file>