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528"/>
        <w:gridCol w:w="2835"/>
        <w:gridCol w:w="315"/>
      </w:tblGrid>
      <w:tr w:rsidR="000613B5" w:rsidRPr="00725381" w14:paraId="3481F4EF" w14:textId="77777777" w:rsidTr="00EA748F">
        <w:trPr>
          <w:gridAfter w:val="1"/>
          <w:wAfter w:w="315" w:type="dxa"/>
          <w:trHeight w:hRule="exact" w:val="418"/>
          <w:jc w:val="center"/>
        </w:trPr>
        <w:tc>
          <w:tcPr>
            <w:tcW w:w="8505" w:type="dxa"/>
            <w:gridSpan w:val="4"/>
          </w:tcPr>
          <w:p w14:paraId="5554E27F" w14:textId="77777777" w:rsidR="000613B5" w:rsidRPr="00725381" w:rsidRDefault="000613B5" w:rsidP="00903D6A">
            <w:pPr>
              <w:pStyle w:val="a3"/>
              <w:jc w:val="center"/>
              <w:rPr>
                <w:rFonts w:ascii="David" w:hAnsi="David"/>
                <w:color w:val="000080"/>
                <w:sz w:val="28"/>
                <w:szCs w:val="28"/>
                <w:rtl/>
              </w:rPr>
            </w:pPr>
            <w:bookmarkStart w:id="0" w:name="LastJudge"/>
            <w:r w:rsidRPr="00725381">
              <w:rPr>
                <w:rFonts w:ascii="David" w:hAnsi="David"/>
                <w:b/>
                <w:bCs/>
                <w:color w:val="000080"/>
                <w:sz w:val="28"/>
                <w:szCs w:val="28"/>
                <w:rtl/>
              </w:rPr>
              <w:t>בית המשפט המחוזי בבאר שבע</w:t>
            </w:r>
          </w:p>
        </w:tc>
      </w:tr>
      <w:tr w:rsidR="000613B5" w:rsidRPr="00725381" w14:paraId="480866FC" w14:textId="77777777" w:rsidTr="00EA748F">
        <w:trPr>
          <w:gridAfter w:val="1"/>
          <w:wAfter w:w="315" w:type="dxa"/>
          <w:trHeight w:val="337"/>
          <w:jc w:val="center"/>
        </w:trPr>
        <w:tc>
          <w:tcPr>
            <w:tcW w:w="5670" w:type="dxa"/>
            <w:gridSpan w:val="3"/>
          </w:tcPr>
          <w:p w14:paraId="789E43A5" w14:textId="77777777" w:rsidR="000613B5" w:rsidRPr="00725381" w:rsidRDefault="000613B5" w:rsidP="00903D6A">
            <w:pPr>
              <w:rPr>
                <w:rFonts w:ascii="David" w:hAnsi="David"/>
                <w:b/>
                <w:bCs/>
                <w:rtl/>
              </w:rPr>
            </w:pPr>
            <w:r w:rsidRPr="00725381">
              <w:rPr>
                <w:rFonts w:ascii="David" w:hAnsi="David"/>
                <w:b/>
                <w:bCs/>
                <w:rtl/>
              </w:rPr>
              <w:t>ת"פ 43597-08-21 מדינת ישראל נ' אבו גאנם(עציר)</w:t>
            </w:r>
          </w:p>
          <w:p w14:paraId="6A961470" w14:textId="77777777" w:rsidR="000613B5" w:rsidRPr="00725381" w:rsidRDefault="000613B5" w:rsidP="00903D6A">
            <w:pPr>
              <w:pStyle w:val="a3"/>
              <w:rPr>
                <w:rFonts w:ascii="David" w:hAnsi="David"/>
                <w:b/>
                <w:bCs/>
                <w:sz w:val="28"/>
                <w:szCs w:val="28"/>
                <w:rtl/>
              </w:rPr>
            </w:pPr>
          </w:p>
        </w:tc>
        <w:tc>
          <w:tcPr>
            <w:tcW w:w="2835" w:type="dxa"/>
          </w:tcPr>
          <w:p w14:paraId="1A9B0480" w14:textId="77777777" w:rsidR="000613B5" w:rsidRPr="00725381" w:rsidRDefault="000613B5" w:rsidP="00903D6A">
            <w:pPr>
              <w:pStyle w:val="a3"/>
              <w:jc w:val="right"/>
              <w:rPr>
                <w:rFonts w:cs="FrankRuehl"/>
                <w:sz w:val="28"/>
                <w:szCs w:val="28"/>
                <w:rtl/>
              </w:rPr>
            </w:pPr>
          </w:p>
        </w:tc>
      </w:tr>
      <w:tr w:rsidR="000613B5" w:rsidRPr="00725381" w14:paraId="56990E8F" w14:textId="77777777" w:rsidTr="00EA74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563AC24" w14:textId="77777777" w:rsidR="000613B5" w:rsidRPr="00725381" w:rsidRDefault="000613B5" w:rsidP="000613B5">
            <w:pPr>
              <w:jc w:val="both"/>
              <w:rPr>
                <w:rFonts w:ascii="David" w:hAnsi="David"/>
                <w:sz w:val="26"/>
                <w:szCs w:val="26"/>
              </w:rPr>
            </w:pPr>
            <w:r w:rsidRPr="00725381">
              <w:rPr>
                <w:rFonts w:hint="cs"/>
                <w:rtl/>
              </w:rPr>
              <w:t xml:space="preserve"> </w:t>
            </w:r>
            <w:r w:rsidRPr="0072538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BCF8558" w14:textId="77777777" w:rsidR="000613B5" w:rsidRPr="00725381" w:rsidRDefault="000613B5" w:rsidP="00903D6A">
            <w:pPr>
              <w:rPr>
                <w:rFonts w:ascii="David" w:hAnsi="David"/>
                <w:b/>
                <w:bCs/>
                <w:sz w:val="26"/>
                <w:szCs w:val="26"/>
                <w:rtl/>
              </w:rPr>
            </w:pPr>
            <w:r w:rsidRPr="00725381">
              <w:rPr>
                <w:rFonts w:ascii="David" w:hAnsi="David"/>
                <w:b/>
                <w:bCs/>
                <w:sz w:val="26"/>
                <w:szCs w:val="26"/>
                <w:rtl/>
              </w:rPr>
              <w:t>כבוד השופט  יואל עדן</w:t>
            </w:r>
          </w:p>
          <w:p w14:paraId="433B5783" w14:textId="77777777" w:rsidR="000613B5" w:rsidRPr="00725381" w:rsidRDefault="000613B5" w:rsidP="000613B5">
            <w:pPr>
              <w:jc w:val="both"/>
              <w:rPr>
                <w:rFonts w:ascii="David" w:hAnsi="David"/>
                <w:sz w:val="26"/>
                <w:szCs w:val="26"/>
              </w:rPr>
            </w:pPr>
          </w:p>
        </w:tc>
      </w:tr>
      <w:tr w:rsidR="000613B5" w:rsidRPr="00725381" w14:paraId="585D74DA" w14:textId="77777777" w:rsidTr="00EA74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D07936" w14:textId="77777777" w:rsidR="000613B5" w:rsidRPr="00725381" w:rsidRDefault="000613B5" w:rsidP="000613B5">
            <w:pPr>
              <w:jc w:val="both"/>
              <w:rPr>
                <w:rFonts w:ascii="David" w:hAnsi="David"/>
                <w:b/>
                <w:bCs/>
                <w:sz w:val="26"/>
                <w:szCs w:val="26"/>
              </w:rPr>
            </w:pPr>
            <w:bookmarkStart w:id="1" w:name="FirstAppellant"/>
            <w:bookmarkStart w:id="2" w:name="FirstLawyer"/>
            <w:r w:rsidRPr="00725381">
              <w:rPr>
                <w:rFonts w:ascii="David" w:hAnsi="David"/>
                <w:b/>
                <w:bCs/>
                <w:sz w:val="26"/>
                <w:szCs w:val="26"/>
                <w:rtl/>
              </w:rPr>
              <w:t>בעניין:</w:t>
            </w:r>
          </w:p>
        </w:tc>
        <w:tc>
          <w:tcPr>
            <w:tcW w:w="3219" w:type="dxa"/>
            <w:tcBorders>
              <w:top w:val="nil"/>
              <w:left w:val="nil"/>
              <w:bottom w:val="nil"/>
              <w:right w:val="nil"/>
            </w:tcBorders>
            <w:shd w:val="clear" w:color="auto" w:fill="auto"/>
          </w:tcPr>
          <w:p w14:paraId="00C6F0BA" w14:textId="77777777" w:rsidR="000613B5" w:rsidRPr="00725381" w:rsidRDefault="000613B5" w:rsidP="000613B5">
            <w:pPr>
              <w:suppressLineNumbers/>
            </w:pPr>
            <w:r w:rsidRPr="00725381">
              <w:rPr>
                <w:rFonts w:ascii="Arial" w:hAnsi="Arial" w:hint="cs"/>
                <w:b/>
                <w:bCs/>
                <w:sz w:val="26"/>
                <w:szCs w:val="26"/>
                <w:rtl/>
              </w:rPr>
              <w:t>ה</w:t>
            </w:r>
            <w:r w:rsidRPr="00725381">
              <w:rPr>
                <w:rFonts w:ascii="Arial" w:hAnsi="Arial"/>
                <w:b/>
                <w:bCs/>
                <w:sz w:val="26"/>
                <w:szCs w:val="26"/>
                <w:rtl/>
              </w:rPr>
              <w:t>מאשימה</w:t>
            </w:r>
          </w:p>
          <w:p w14:paraId="6B0DB675" w14:textId="77777777" w:rsidR="000613B5" w:rsidRPr="00725381" w:rsidRDefault="000613B5" w:rsidP="00903D6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81D8AC3" w14:textId="77777777" w:rsidR="000613B5" w:rsidRPr="00725381" w:rsidRDefault="000613B5" w:rsidP="000613B5">
            <w:pPr>
              <w:suppressLineNumbers/>
            </w:pPr>
            <w:r w:rsidRPr="00725381">
              <w:rPr>
                <w:rFonts w:ascii="Arial" w:hAnsi="Arial"/>
                <w:b/>
                <w:bCs/>
                <w:sz w:val="26"/>
                <w:szCs w:val="26"/>
                <w:rtl/>
              </w:rPr>
              <w:t>מדינת ישראל</w:t>
            </w:r>
          </w:p>
          <w:p w14:paraId="70611B33" w14:textId="77777777" w:rsidR="000613B5" w:rsidRPr="00725381" w:rsidRDefault="000613B5" w:rsidP="00903D6A">
            <w:pPr>
              <w:rPr>
                <w:rFonts w:ascii="David" w:hAnsi="David"/>
                <w:sz w:val="26"/>
                <w:szCs w:val="26"/>
              </w:rPr>
            </w:pPr>
            <w:r w:rsidRPr="00725381">
              <w:rPr>
                <w:rFonts w:ascii="David" w:hAnsi="David" w:hint="cs"/>
                <w:sz w:val="26"/>
                <w:szCs w:val="26"/>
                <w:rtl/>
              </w:rPr>
              <w:t xml:space="preserve">ע"י ב"כ עו"ד זוהר נאור </w:t>
            </w:r>
            <w:r w:rsidRPr="00725381">
              <w:rPr>
                <w:rFonts w:ascii="David" w:hAnsi="David"/>
                <w:sz w:val="26"/>
                <w:szCs w:val="26"/>
                <w:rtl/>
              </w:rPr>
              <w:t>–</w:t>
            </w:r>
            <w:r w:rsidRPr="00725381">
              <w:rPr>
                <w:rFonts w:ascii="David" w:hAnsi="David" w:hint="cs"/>
                <w:sz w:val="26"/>
                <w:szCs w:val="26"/>
                <w:rtl/>
              </w:rPr>
              <w:t xml:space="preserve"> פמ"ד </w:t>
            </w:r>
          </w:p>
        </w:tc>
      </w:tr>
      <w:bookmarkEnd w:id="1"/>
      <w:bookmarkEnd w:id="2"/>
      <w:tr w:rsidR="000613B5" w:rsidRPr="00725381" w14:paraId="3C370776" w14:textId="77777777" w:rsidTr="00EA74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58BCD2" w14:textId="77777777" w:rsidR="000613B5" w:rsidRPr="00725381" w:rsidRDefault="000613B5" w:rsidP="000613B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B506DCD" w14:textId="77777777" w:rsidR="000613B5" w:rsidRPr="00725381" w:rsidRDefault="000613B5" w:rsidP="000613B5">
            <w:pPr>
              <w:jc w:val="center"/>
              <w:rPr>
                <w:rFonts w:ascii="David" w:hAnsi="David"/>
                <w:b/>
                <w:bCs/>
                <w:sz w:val="26"/>
                <w:szCs w:val="26"/>
                <w:rtl/>
              </w:rPr>
            </w:pPr>
          </w:p>
          <w:p w14:paraId="47911D13" w14:textId="77777777" w:rsidR="000613B5" w:rsidRPr="00725381" w:rsidRDefault="000613B5" w:rsidP="000613B5">
            <w:pPr>
              <w:jc w:val="center"/>
              <w:rPr>
                <w:rFonts w:ascii="David" w:hAnsi="David"/>
                <w:b/>
                <w:bCs/>
                <w:sz w:val="26"/>
                <w:szCs w:val="26"/>
                <w:rtl/>
              </w:rPr>
            </w:pPr>
            <w:r w:rsidRPr="00725381">
              <w:rPr>
                <w:rFonts w:ascii="David" w:hAnsi="David"/>
                <w:b/>
                <w:bCs/>
                <w:sz w:val="26"/>
                <w:szCs w:val="26"/>
                <w:rtl/>
              </w:rPr>
              <w:t>נגד</w:t>
            </w:r>
          </w:p>
          <w:p w14:paraId="2515464F" w14:textId="77777777" w:rsidR="000613B5" w:rsidRPr="00725381" w:rsidRDefault="000613B5" w:rsidP="000613B5">
            <w:pPr>
              <w:jc w:val="both"/>
              <w:rPr>
                <w:rFonts w:ascii="David" w:hAnsi="David"/>
                <w:sz w:val="26"/>
                <w:szCs w:val="26"/>
              </w:rPr>
            </w:pPr>
          </w:p>
        </w:tc>
      </w:tr>
      <w:tr w:rsidR="000613B5" w:rsidRPr="00725381" w14:paraId="47941394" w14:textId="77777777" w:rsidTr="00EA74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260DA4" w14:textId="77777777" w:rsidR="000613B5" w:rsidRPr="00725381" w:rsidRDefault="000613B5" w:rsidP="00903D6A">
            <w:pPr>
              <w:rPr>
                <w:rFonts w:ascii="David" w:hAnsi="David"/>
                <w:sz w:val="26"/>
                <w:szCs w:val="26"/>
                <w:rtl/>
              </w:rPr>
            </w:pPr>
          </w:p>
        </w:tc>
        <w:tc>
          <w:tcPr>
            <w:tcW w:w="3219" w:type="dxa"/>
            <w:tcBorders>
              <w:top w:val="nil"/>
              <w:left w:val="nil"/>
              <w:bottom w:val="nil"/>
              <w:right w:val="nil"/>
            </w:tcBorders>
            <w:shd w:val="clear" w:color="auto" w:fill="auto"/>
          </w:tcPr>
          <w:p w14:paraId="1CE602E7" w14:textId="77777777" w:rsidR="000613B5" w:rsidRPr="00725381" w:rsidRDefault="000613B5" w:rsidP="00903D6A">
            <w:pPr>
              <w:rPr>
                <w:rFonts w:ascii="Arial" w:hAnsi="Arial"/>
                <w:b/>
                <w:bCs/>
                <w:sz w:val="26"/>
                <w:szCs w:val="26"/>
                <w:rtl/>
              </w:rPr>
            </w:pPr>
            <w:r w:rsidRPr="00725381">
              <w:rPr>
                <w:rFonts w:ascii="Arial" w:hAnsi="Arial"/>
                <w:b/>
                <w:bCs/>
                <w:sz w:val="26"/>
                <w:szCs w:val="26"/>
                <w:rtl/>
              </w:rPr>
              <w:t>הנאש</w:t>
            </w:r>
            <w:r w:rsidRPr="0072538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F0A25D8" w14:textId="77777777" w:rsidR="000613B5" w:rsidRPr="00725381" w:rsidRDefault="000613B5" w:rsidP="000613B5">
            <w:pPr>
              <w:suppressLineNumbers/>
            </w:pPr>
            <w:r w:rsidRPr="00725381">
              <w:rPr>
                <w:rFonts w:ascii="Arial" w:hAnsi="Arial"/>
                <w:b/>
                <w:bCs/>
                <w:sz w:val="26"/>
                <w:szCs w:val="26"/>
                <w:rtl/>
              </w:rPr>
              <w:t>אמיר אבו גאנם (עציר)</w:t>
            </w:r>
          </w:p>
          <w:p w14:paraId="035AA5B7" w14:textId="77777777" w:rsidR="000613B5" w:rsidRPr="00725381" w:rsidRDefault="000613B5" w:rsidP="00903D6A">
            <w:pPr>
              <w:rPr>
                <w:rFonts w:ascii="David" w:hAnsi="David"/>
                <w:sz w:val="26"/>
                <w:szCs w:val="26"/>
              </w:rPr>
            </w:pPr>
            <w:r w:rsidRPr="00725381">
              <w:rPr>
                <w:rFonts w:ascii="David" w:hAnsi="David" w:hint="cs"/>
                <w:sz w:val="26"/>
                <w:szCs w:val="26"/>
                <w:rtl/>
              </w:rPr>
              <w:t>ע"י ב"כ עו"ד סמיר אבו עבד</w:t>
            </w:r>
          </w:p>
        </w:tc>
      </w:tr>
    </w:tbl>
    <w:p w14:paraId="16BFF427" w14:textId="77777777" w:rsidR="00EA748F" w:rsidRDefault="00EA748F" w:rsidP="00725381">
      <w:pPr>
        <w:rPr>
          <w:sz w:val="26"/>
          <w:szCs w:val="26"/>
          <w:rtl/>
        </w:rPr>
      </w:pPr>
    </w:p>
    <w:p w14:paraId="5D063869" w14:textId="77777777" w:rsidR="00EA748F" w:rsidRPr="00EA748F" w:rsidRDefault="00EA748F" w:rsidP="00EA748F">
      <w:pPr>
        <w:spacing w:after="120" w:line="240" w:lineRule="exact"/>
        <w:ind w:left="283" w:hanging="283"/>
        <w:jc w:val="both"/>
        <w:rPr>
          <w:rFonts w:ascii="FrankRuehl" w:hAnsi="FrankRuehl" w:cs="FrankRuehl"/>
          <w:rtl/>
        </w:rPr>
      </w:pPr>
    </w:p>
    <w:p w14:paraId="52AEEF7B" w14:textId="77777777" w:rsidR="00E12BE8" w:rsidRPr="00E12BE8" w:rsidRDefault="00E12BE8" w:rsidP="00E12BE8">
      <w:pPr>
        <w:spacing w:before="120" w:after="120" w:line="240" w:lineRule="exact"/>
        <w:ind w:left="283" w:hanging="283"/>
        <w:jc w:val="both"/>
        <w:rPr>
          <w:rFonts w:ascii="FrankRuehl" w:hAnsi="FrankRuehl" w:cs="FrankRuehl"/>
          <w:rtl/>
        </w:rPr>
      </w:pPr>
    </w:p>
    <w:p w14:paraId="1C262BA2" w14:textId="77777777" w:rsidR="00F651C5" w:rsidRDefault="00F651C5" w:rsidP="00F651C5">
      <w:pPr>
        <w:rPr>
          <w:sz w:val="26"/>
          <w:szCs w:val="26"/>
          <w:rtl/>
        </w:rPr>
      </w:pPr>
      <w:bookmarkStart w:id="3" w:name="LawTable"/>
      <w:bookmarkEnd w:id="3"/>
    </w:p>
    <w:p w14:paraId="7F64B98B" w14:textId="77777777" w:rsidR="00F651C5" w:rsidRPr="00F651C5" w:rsidRDefault="00F651C5" w:rsidP="00F651C5">
      <w:pPr>
        <w:spacing w:before="120" w:after="120" w:line="240" w:lineRule="exact"/>
        <w:ind w:left="283" w:hanging="283"/>
        <w:jc w:val="both"/>
        <w:rPr>
          <w:rFonts w:ascii="FrankRuehl" w:hAnsi="FrankRuehl" w:cs="FrankRuehl"/>
          <w:rtl/>
        </w:rPr>
      </w:pPr>
    </w:p>
    <w:p w14:paraId="562F0594" w14:textId="77777777" w:rsidR="00F651C5" w:rsidRPr="00F651C5" w:rsidRDefault="00F651C5" w:rsidP="00F651C5">
      <w:pPr>
        <w:spacing w:before="120" w:after="120" w:line="240" w:lineRule="exact"/>
        <w:ind w:left="283" w:hanging="283"/>
        <w:jc w:val="both"/>
        <w:rPr>
          <w:rFonts w:ascii="FrankRuehl" w:hAnsi="FrankRuehl" w:cs="FrankRuehl"/>
          <w:rtl/>
        </w:rPr>
      </w:pPr>
    </w:p>
    <w:p w14:paraId="64F5D0CF" w14:textId="77777777" w:rsidR="00F651C5" w:rsidRPr="00F651C5" w:rsidRDefault="00F651C5" w:rsidP="00F651C5">
      <w:pPr>
        <w:spacing w:before="120" w:after="120" w:line="240" w:lineRule="exact"/>
        <w:ind w:left="283" w:hanging="283"/>
        <w:jc w:val="both"/>
        <w:rPr>
          <w:rFonts w:ascii="FrankRuehl" w:hAnsi="FrankRuehl" w:cs="FrankRuehl"/>
          <w:rtl/>
        </w:rPr>
      </w:pPr>
      <w:r w:rsidRPr="00F651C5">
        <w:rPr>
          <w:rFonts w:ascii="FrankRuehl" w:hAnsi="FrankRuehl" w:cs="FrankRuehl"/>
          <w:rtl/>
        </w:rPr>
        <w:t xml:space="preserve">חקיקה שאוזכרה: </w:t>
      </w:r>
    </w:p>
    <w:p w14:paraId="4558916E" w14:textId="77777777" w:rsidR="00F651C5" w:rsidRPr="00F651C5" w:rsidRDefault="00F651C5" w:rsidP="00F651C5">
      <w:pPr>
        <w:spacing w:before="120" w:after="120" w:line="240" w:lineRule="exact"/>
        <w:ind w:left="283" w:hanging="283"/>
        <w:jc w:val="both"/>
        <w:rPr>
          <w:rFonts w:ascii="FrankRuehl" w:hAnsi="FrankRuehl" w:cs="FrankRuehl"/>
          <w:rtl/>
        </w:rPr>
      </w:pPr>
      <w:hyperlink r:id="rId6" w:history="1">
        <w:r w:rsidRPr="00F651C5">
          <w:rPr>
            <w:rFonts w:ascii="FrankRuehl" w:hAnsi="FrankRuehl" w:cs="FrankRuehl"/>
            <w:color w:val="0000FF"/>
            <w:rtl/>
          </w:rPr>
          <w:t>חוק העונשין, תשל"ז-1977</w:t>
        </w:r>
      </w:hyperlink>
      <w:r w:rsidRPr="00F651C5">
        <w:rPr>
          <w:rFonts w:ascii="FrankRuehl" w:hAnsi="FrankRuehl" w:cs="FrankRuehl"/>
          <w:rtl/>
        </w:rPr>
        <w:t xml:space="preserve">: סע'  </w:t>
      </w:r>
      <w:hyperlink r:id="rId7" w:history="1">
        <w:r w:rsidRPr="00F651C5">
          <w:rPr>
            <w:rFonts w:ascii="FrankRuehl" w:hAnsi="FrankRuehl" w:cs="FrankRuehl"/>
            <w:color w:val="0000FF"/>
            <w:rtl/>
          </w:rPr>
          <w:t>144(א)</w:t>
        </w:r>
      </w:hyperlink>
      <w:r w:rsidRPr="00F651C5">
        <w:rPr>
          <w:rFonts w:ascii="FrankRuehl" w:hAnsi="FrankRuehl" w:cs="FrankRuehl"/>
          <w:rtl/>
        </w:rPr>
        <w:t xml:space="preserve">, </w:t>
      </w:r>
      <w:hyperlink r:id="rId8" w:history="1">
        <w:r w:rsidRPr="00F651C5">
          <w:rPr>
            <w:rFonts w:ascii="FrankRuehl" w:hAnsi="FrankRuehl" w:cs="FrankRuehl"/>
            <w:color w:val="0000FF"/>
            <w:rtl/>
          </w:rPr>
          <w:t>144(ב)</w:t>
        </w:r>
      </w:hyperlink>
      <w:r w:rsidRPr="00F651C5">
        <w:rPr>
          <w:rFonts w:ascii="FrankRuehl" w:hAnsi="FrankRuehl" w:cs="FrankRuehl"/>
          <w:rtl/>
        </w:rPr>
        <w:t xml:space="preserve">, </w:t>
      </w:r>
      <w:hyperlink r:id="rId9" w:history="1">
        <w:r w:rsidRPr="00F651C5">
          <w:rPr>
            <w:rFonts w:ascii="FrankRuehl" w:hAnsi="FrankRuehl" w:cs="FrankRuehl"/>
            <w:color w:val="0000FF"/>
            <w:rtl/>
          </w:rPr>
          <w:t>144(ב)(2)</w:t>
        </w:r>
      </w:hyperlink>
    </w:p>
    <w:p w14:paraId="71D008F1" w14:textId="77777777" w:rsidR="00F651C5" w:rsidRPr="00F651C5" w:rsidRDefault="00F651C5" w:rsidP="00F651C5">
      <w:pPr>
        <w:rPr>
          <w:sz w:val="26"/>
          <w:szCs w:val="26"/>
          <w:rtl/>
        </w:rPr>
      </w:pPr>
      <w:bookmarkStart w:id="4" w:name="LawTable_End"/>
      <w:bookmarkEnd w:id="4"/>
    </w:p>
    <w:p w14:paraId="54F3F98A" w14:textId="77777777" w:rsidR="000613B5" w:rsidRPr="00E12BE8" w:rsidRDefault="000613B5" w:rsidP="00E12BE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13B5" w14:paraId="53EC0F51" w14:textId="77777777" w:rsidTr="000613B5">
        <w:trPr>
          <w:trHeight w:val="355"/>
          <w:jc w:val="center"/>
        </w:trPr>
        <w:tc>
          <w:tcPr>
            <w:tcW w:w="8820" w:type="dxa"/>
            <w:tcBorders>
              <w:top w:val="nil"/>
              <w:left w:val="nil"/>
              <w:bottom w:val="nil"/>
              <w:right w:val="nil"/>
            </w:tcBorders>
            <w:shd w:val="clear" w:color="auto" w:fill="auto"/>
          </w:tcPr>
          <w:p w14:paraId="2EB903DE" w14:textId="77777777" w:rsidR="00725381" w:rsidRPr="00725381" w:rsidRDefault="00725381" w:rsidP="00725381">
            <w:pPr>
              <w:jc w:val="center"/>
              <w:rPr>
                <w:rFonts w:ascii="David" w:hAnsi="David"/>
                <w:b/>
                <w:bCs/>
                <w:sz w:val="32"/>
                <w:szCs w:val="32"/>
                <w:u w:val="single"/>
                <w:rtl/>
              </w:rPr>
            </w:pPr>
            <w:bookmarkStart w:id="5" w:name="PsakDin" w:colFirst="0" w:colLast="0"/>
            <w:bookmarkEnd w:id="0"/>
            <w:r w:rsidRPr="00725381">
              <w:rPr>
                <w:rFonts w:ascii="David" w:hAnsi="David"/>
                <w:b/>
                <w:bCs/>
                <w:sz w:val="32"/>
                <w:szCs w:val="32"/>
                <w:u w:val="single"/>
                <w:rtl/>
              </w:rPr>
              <w:t>גזר דין</w:t>
            </w:r>
          </w:p>
          <w:p w14:paraId="0AD6223C" w14:textId="77777777" w:rsidR="000613B5" w:rsidRPr="00725381" w:rsidRDefault="000613B5" w:rsidP="00725381">
            <w:pPr>
              <w:jc w:val="center"/>
              <w:rPr>
                <w:rFonts w:ascii="David" w:hAnsi="David"/>
                <w:bCs/>
                <w:sz w:val="32"/>
                <w:szCs w:val="32"/>
                <w:u w:val="single"/>
                <w:rtl/>
              </w:rPr>
            </w:pPr>
          </w:p>
        </w:tc>
      </w:tr>
      <w:bookmarkEnd w:id="5"/>
    </w:tbl>
    <w:p w14:paraId="2214871F" w14:textId="77777777" w:rsidR="000613B5" w:rsidRPr="000F2247" w:rsidRDefault="000613B5" w:rsidP="000613B5">
      <w:pPr>
        <w:rPr>
          <w:rFonts w:ascii="Arial" w:hAnsi="Arial"/>
          <w:b/>
          <w:bCs/>
          <w:sz w:val="26"/>
          <w:szCs w:val="26"/>
          <w:rtl/>
        </w:rPr>
      </w:pPr>
    </w:p>
    <w:p w14:paraId="08906AEF" w14:textId="77777777" w:rsidR="000613B5" w:rsidRPr="00EF598B" w:rsidRDefault="000613B5" w:rsidP="000613B5">
      <w:pPr>
        <w:spacing w:line="360" w:lineRule="auto"/>
        <w:jc w:val="both"/>
        <w:rPr>
          <w:b/>
          <w:bCs/>
          <w:u w:val="single"/>
          <w:rtl/>
          <w:lang w:eastAsia="he-IL"/>
        </w:rPr>
      </w:pPr>
      <w:r w:rsidRPr="00EF598B">
        <w:rPr>
          <w:b/>
          <w:bCs/>
          <w:u w:val="single"/>
          <w:rtl/>
          <w:lang w:eastAsia="he-IL"/>
        </w:rPr>
        <w:t>האישום והסדר הטיעון</w:t>
      </w:r>
    </w:p>
    <w:p w14:paraId="27630EEB" w14:textId="77777777" w:rsidR="000613B5" w:rsidRPr="00EF598B" w:rsidRDefault="000613B5" w:rsidP="000613B5">
      <w:pPr>
        <w:spacing w:line="360" w:lineRule="auto"/>
        <w:jc w:val="both"/>
        <w:rPr>
          <w:b/>
          <w:bCs/>
          <w:u w:val="single"/>
          <w:rtl/>
          <w:lang w:eastAsia="he-IL"/>
        </w:rPr>
      </w:pPr>
    </w:p>
    <w:p w14:paraId="1E401AC6" w14:textId="77777777" w:rsidR="000613B5" w:rsidRPr="00EF598B" w:rsidRDefault="000613B5" w:rsidP="000613B5">
      <w:pPr>
        <w:spacing w:line="360" w:lineRule="auto"/>
        <w:jc w:val="both"/>
        <w:rPr>
          <w:rFonts w:ascii="David" w:hAnsi="David"/>
          <w:rtl/>
        </w:rPr>
      </w:pPr>
      <w:r w:rsidRPr="00EF598B">
        <w:rPr>
          <w:rtl/>
          <w:lang w:eastAsia="he-IL"/>
        </w:rPr>
        <w:t>1.</w:t>
      </w:r>
      <w:r w:rsidRPr="00EF598B">
        <w:rPr>
          <w:rtl/>
          <w:lang w:eastAsia="he-IL"/>
        </w:rPr>
        <w:tab/>
      </w:r>
      <w:bookmarkStart w:id="6" w:name="ABSTRACT_START"/>
      <w:bookmarkEnd w:id="6"/>
      <w:r w:rsidRPr="00EF598B">
        <w:rPr>
          <w:rtl/>
          <w:lang w:eastAsia="he-IL"/>
        </w:rPr>
        <w:t>הנאשם הורשע על פי הודאתו בעובדות כתב האישום המתוקן (</w:t>
      </w:r>
      <w:r w:rsidRPr="00EF598B">
        <w:rPr>
          <w:rFonts w:ascii="Calibri" w:hAnsi="Calibri" w:hint="eastAsia"/>
          <w:rtl/>
          <w:lang w:eastAsia="he-IL"/>
        </w:rPr>
        <w:t>כא</w:t>
      </w:r>
      <w:r w:rsidRPr="00EF598B">
        <w:rPr>
          <w:rFonts w:ascii="Calibri" w:hAnsi="Calibri"/>
          <w:rtl/>
          <w:lang w:eastAsia="he-IL"/>
        </w:rPr>
        <w:t xml:space="preserve">/2) </w:t>
      </w:r>
      <w:r w:rsidRPr="00EF598B">
        <w:rPr>
          <w:rtl/>
          <w:lang w:eastAsia="he-IL"/>
        </w:rPr>
        <w:t xml:space="preserve">במסגרת הסדר טיעון, </w:t>
      </w:r>
      <w:r w:rsidRPr="00EF598B">
        <w:rPr>
          <w:rFonts w:ascii="David" w:hAnsi="David"/>
          <w:rtl/>
        </w:rPr>
        <w:t xml:space="preserve">בעבירות נשק (הובלה ונשיאת נשק) לפי </w:t>
      </w:r>
      <w:hyperlink r:id="rId10" w:history="1">
        <w:r w:rsidR="00EA748F" w:rsidRPr="00EA748F">
          <w:rPr>
            <w:rStyle w:val="Hyperlink"/>
            <w:rFonts w:ascii="David" w:hAnsi="David"/>
            <w:rtl/>
          </w:rPr>
          <w:t>סעיף 144(ב)</w:t>
        </w:r>
      </w:hyperlink>
      <w:r w:rsidRPr="00EF598B">
        <w:rPr>
          <w:rFonts w:ascii="David" w:hAnsi="David"/>
          <w:rtl/>
        </w:rPr>
        <w:t xml:space="preserve"> רישא וסיפא ל</w:t>
      </w:r>
      <w:hyperlink r:id="rId11" w:history="1">
        <w:r w:rsidR="00725381" w:rsidRPr="00725381">
          <w:rPr>
            <w:rFonts w:ascii="David" w:hAnsi="David"/>
            <w:color w:val="0000FF"/>
            <w:u w:val="single"/>
            <w:rtl/>
          </w:rPr>
          <w:t>חוק העונשין</w:t>
        </w:r>
      </w:hyperlink>
      <w:r w:rsidRPr="00EF598B">
        <w:rPr>
          <w:rFonts w:ascii="David" w:hAnsi="David"/>
          <w:rtl/>
        </w:rPr>
        <w:t>.</w:t>
      </w:r>
    </w:p>
    <w:p w14:paraId="1C4FE9C2" w14:textId="77777777" w:rsidR="000613B5" w:rsidRPr="00EF598B" w:rsidRDefault="000613B5" w:rsidP="000613B5">
      <w:pPr>
        <w:spacing w:line="360" w:lineRule="auto"/>
        <w:jc w:val="both"/>
        <w:rPr>
          <w:rFonts w:ascii="David" w:hAnsi="David"/>
          <w:rtl/>
        </w:rPr>
      </w:pPr>
    </w:p>
    <w:p w14:paraId="40C78A6C" w14:textId="77777777" w:rsidR="000613B5" w:rsidRPr="00EF598B" w:rsidRDefault="000613B5" w:rsidP="000613B5">
      <w:pPr>
        <w:spacing w:line="360" w:lineRule="auto"/>
        <w:jc w:val="both"/>
        <w:rPr>
          <w:rtl/>
          <w:lang w:eastAsia="he-IL"/>
        </w:rPr>
      </w:pPr>
      <w:bookmarkStart w:id="7" w:name="ABSTRACT_END"/>
      <w:bookmarkEnd w:id="7"/>
      <w:r w:rsidRPr="00EF598B">
        <w:rPr>
          <w:rtl/>
          <w:lang w:eastAsia="he-IL"/>
        </w:rPr>
        <w:t>על פי עובדות כתב האישום המתוקן, הנאשם הוא בעליו של רכב מסוג סקודה אוקטביה (</w:t>
      </w:r>
      <w:r w:rsidRPr="00EF598B">
        <w:rPr>
          <w:b/>
          <w:bCs/>
          <w:rtl/>
          <w:lang w:eastAsia="he-IL"/>
        </w:rPr>
        <w:t>"הרכב"</w:t>
      </w:r>
      <w:r w:rsidRPr="00EF598B">
        <w:rPr>
          <w:rtl/>
          <w:lang w:eastAsia="he-IL"/>
        </w:rPr>
        <w:t xml:space="preserve">). </w:t>
      </w:r>
    </w:p>
    <w:p w14:paraId="42162DFF" w14:textId="77777777" w:rsidR="000613B5" w:rsidRPr="00EF598B" w:rsidRDefault="000613B5" w:rsidP="000613B5">
      <w:pPr>
        <w:spacing w:line="360" w:lineRule="auto"/>
        <w:jc w:val="both"/>
        <w:rPr>
          <w:rtl/>
          <w:lang w:eastAsia="he-IL"/>
        </w:rPr>
      </w:pPr>
    </w:p>
    <w:p w14:paraId="67EF6487" w14:textId="77777777" w:rsidR="000613B5" w:rsidRPr="00EF598B" w:rsidRDefault="000613B5" w:rsidP="000613B5">
      <w:pPr>
        <w:spacing w:line="360" w:lineRule="auto"/>
        <w:jc w:val="both"/>
        <w:rPr>
          <w:rtl/>
          <w:lang w:eastAsia="he-IL"/>
        </w:rPr>
      </w:pPr>
      <w:r w:rsidRPr="00EF598B">
        <w:rPr>
          <w:rtl/>
          <w:lang w:eastAsia="he-IL"/>
        </w:rPr>
        <w:t xml:space="preserve">בתאריך 5.8.21 בשעה 19:00 או בסמוך לכך, נסע הנאשם יחד עם אחר אשר נהג ברכב, בכביש 6 לכיוון דרום. בסמוך לשמורת פורה נעצר הנאשם ע"י המשטרה בעודו נושא ומוביל אקדח חצי אוטומטי </w:t>
      </w:r>
      <w:r w:rsidRPr="00EF598B">
        <w:rPr>
          <w:lang w:eastAsia="he-IL"/>
        </w:rPr>
        <w:t>D.D.G</w:t>
      </w:r>
      <w:r w:rsidRPr="00EF598B">
        <w:rPr>
          <w:rtl/>
          <w:lang w:eastAsia="he-IL"/>
        </w:rPr>
        <w:t xml:space="preserve"> קליבר 9 מ"מ פאראבלום, שהוא כלי נשק יורה ובכוחו להמית ובתוכו מחסנית ריקה המתאימה לאקדח חצי אוטומטי </w:t>
      </w:r>
      <w:r w:rsidRPr="00EF598B">
        <w:rPr>
          <w:lang w:eastAsia="he-IL"/>
        </w:rPr>
        <w:t>D.D.G</w:t>
      </w:r>
      <w:r w:rsidRPr="00EF598B">
        <w:rPr>
          <w:rtl/>
          <w:lang w:eastAsia="he-IL"/>
        </w:rPr>
        <w:t xml:space="preserve">  (</w:t>
      </w:r>
      <w:r w:rsidRPr="00EF598B">
        <w:rPr>
          <w:b/>
          <w:bCs/>
          <w:rtl/>
          <w:lang w:eastAsia="he-IL"/>
        </w:rPr>
        <w:t>"האקדח והמחסנית"</w:t>
      </w:r>
      <w:r w:rsidRPr="00EF598B">
        <w:rPr>
          <w:rtl/>
          <w:lang w:eastAsia="he-IL"/>
        </w:rPr>
        <w:t xml:space="preserve">) מוסלקים בבד תקרת הרכב מעל מושב הנוסע. </w:t>
      </w:r>
    </w:p>
    <w:p w14:paraId="65F08787" w14:textId="77777777" w:rsidR="000613B5" w:rsidRPr="00EF598B" w:rsidRDefault="000613B5" w:rsidP="000613B5">
      <w:pPr>
        <w:spacing w:line="360" w:lineRule="auto"/>
        <w:jc w:val="both"/>
        <w:rPr>
          <w:rtl/>
          <w:lang w:eastAsia="he-IL"/>
        </w:rPr>
      </w:pPr>
    </w:p>
    <w:p w14:paraId="578C22E1" w14:textId="77777777" w:rsidR="000613B5" w:rsidRPr="00EF598B" w:rsidRDefault="000613B5" w:rsidP="000613B5">
      <w:pPr>
        <w:spacing w:line="360" w:lineRule="auto"/>
        <w:jc w:val="both"/>
        <w:rPr>
          <w:rtl/>
          <w:lang w:eastAsia="he-IL"/>
        </w:rPr>
      </w:pPr>
      <w:r w:rsidRPr="00EF598B">
        <w:rPr>
          <w:rtl/>
          <w:lang w:eastAsia="he-IL"/>
        </w:rPr>
        <w:t xml:space="preserve">במעשיו לעיל, נשא הנאשם והוביל נשק, בלא רשות על פי דין לנשיאתו או הובלתו. </w:t>
      </w:r>
    </w:p>
    <w:p w14:paraId="3622ED9A" w14:textId="77777777" w:rsidR="000613B5" w:rsidRPr="00EF598B" w:rsidRDefault="000613B5" w:rsidP="000613B5">
      <w:pPr>
        <w:spacing w:line="360" w:lineRule="auto"/>
        <w:jc w:val="both"/>
        <w:rPr>
          <w:rtl/>
          <w:lang w:eastAsia="he-IL"/>
        </w:rPr>
      </w:pPr>
    </w:p>
    <w:p w14:paraId="7501FAF1" w14:textId="77777777" w:rsidR="000613B5" w:rsidRPr="00EF598B" w:rsidRDefault="000613B5" w:rsidP="000613B5">
      <w:pPr>
        <w:spacing w:line="360" w:lineRule="auto"/>
        <w:jc w:val="both"/>
        <w:rPr>
          <w:rFonts w:ascii="David" w:hAnsi="David"/>
          <w:rtl/>
        </w:rPr>
      </w:pPr>
      <w:r w:rsidRPr="00EF598B">
        <w:rPr>
          <w:rtl/>
          <w:lang w:eastAsia="he-IL"/>
        </w:rPr>
        <w:t>2.</w:t>
      </w:r>
      <w:r w:rsidRPr="00EF598B">
        <w:rPr>
          <w:rtl/>
          <w:lang w:eastAsia="he-IL"/>
        </w:rPr>
        <w:tab/>
        <w:t xml:space="preserve">הצדדים הגיעו להסדר טיעון במסגרתו הודה </w:t>
      </w:r>
      <w:r w:rsidRPr="00EF598B">
        <w:rPr>
          <w:rFonts w:ascii="David" w:hAnsi="David"/>
          <w:rtl/>
        </w:rPr>
        <w:t xml:space="preserve">הנאשם בעובדות כתב האישום המתוקן, והורשע בעבירה המיוחסת לו. ביחס לעונש קיימת הסכמה </w:t>
      </w:r>
      <w:r>
        <w:rPr>
          <w:rFonts w:ascii="David" w:hAnsi="David" w:hint="cs"/>
          <w:rtl/>
        </w:rPr>
        <w:t xml:space="preserve">חלקית </w:t>
      </w:r>
      <w:r w:rsidRPr="00EF598B">
        <w:rPr>
          <w:rFonts w:ascii="David" w:hAnsi="David"/>
          <w:rtl/>
        </w:rPr>
        <w:t xml:space="preserve">לפיה המאשימה תבקש מבית המשפט לגזור על הנאשם 31 חודשי מאסר בפועל מיום מעצרו 5.8.21 והפעלת מאסר מותנה בן 12 חודשים בחופף לעונש המאסר, כך שיוטל עונש כולל של 31 חודשי מאסר, ובנוסף הטלת מאסר על תנאי וקנס משמעותי. מנגד, ההגנה תטען לעונש כראות עיניה. </w:t>
      </w:r>
    </w:p>
    <w:p w14:paraId="6804F31F" w14:textId="77777777" w:rsidR="000613B5" w:rsidRDefault="000613B5" w:rsidP="000613B5">
      <w:pPr>
        <w:spacing w:line="360" w:lineRule="auto"/>
        <w:jc w:val="both"/>
        <w:rPr>
          <w:b/>
          <w:bCs/>
          <w:u w:val="single"/>
          <w:rtl/>
          <w:lang w:eastAsia="he-IL"/>
        </w:rPr>
      </w:pPr>
    </w:p>
    <w:p w14:paraId="20EFEAF8" w14:textId="77777777" w:rsidR="000613B5" w:rsidRDefault="000613B5" w:rsidP="000613B5">
      <w:pPr>
        <w:spacing w:line="360" w:lineRule="auto"/>
        <w:jc w:val="both"/>
        <w:rPr>
          <w:b/>
          <w:bCs/>
          <w:u w:val="single"/>
          <w:rtl/>
          <w:lang w:eastAsia="he-IL"/>
        </w:rPr>
      </w:pPr>
    </w:p>
    <w:p w14:paraId="2F15E57D" w14:textId="77777777" w:rsidR="000613B5" w:rsidRPr="00EF598B" w:rsidRDefault="000613B5" w:rsidP="000613B5">
      <w:pPr>
        <w:spacing w:line="360" w:lineRule="auto"/>
        <w:jc w:val="both"/>
        <w:rPr>
          <w:b/>
          <w:bCs/>
          <w:u w:val="single"/>
          <w:rtl/>
          <w:lang w:eastAsia="he-IL"/>
        </w:rPr>
      </w:pPr>
    </w:p>
    <w:p w14:paraId="7611CB7E" w14:textId="77777777" w:rsidR="000613B5" w:rsidRPr="00EF598B" w:rsidRDefault="000613B5" w:rsidP="000613B5">
      <w:pPr>
        <w:spacing w:line="360" w:lineRule="auto"/>
        <w:jc w:val="both"/>
        <w:rPr>
          <w:b/>
          <w:bCs/>
          <w:u w:val="single"/>
          <w:rtl/>
          <w:lang w:eastAsia="he-IL"/>
        </w:rPr>
      </w:pPr>
      <w:r w:rsidRPr="00EF598B">
        <w:rPr>
          <w:b/>
          <w:bCs/>
          <w:u w:val="single"/>
          <w:rtl/>
          <w:lang w:eastAsia="he-IL"/>
        </w:rPr>
        <w:t>הראיות לעונש</w:t>
      </w:r>
    </w:p>
    <w:p w14:paraId="23B88DDF" w14:textId="77777777" w:rsidR="000613B5" w:rsidRPr="00EF598B" w:rsidRDefault="000613B5" w:rsidP="000613B5">
      <w:pPr>
        <w:spacing w:line="360" w:lineRule="auto"/>
        <w:jc w:val="both"/>
        <w:rPr>
          <w:b/>
          <w:bCs/>
          <w:u w:val="single"/>
          <w:rtl/>
          <w:lang w:eastAsia="he-IL"/>
        </w:rPr>
      </w:pPr>
    </w:p>
    <w:p w14:paraId="7A276978" w14:textId="77777777" w:rsidR="000613B5" w:rsidRPr="00EF598B" w:rsidRDefault="000613B5" w:rsidP="000613B5">
      <w:pPr>
        <w:spacing w:line="360" w:lineRule="auto"/>
        <w:jc w:val="both"/>
        <w:rPr>
          <w:rtl/>
          <w:lang w:eastAsia="he-IL"/>
        </w:rPr>
      </w:pPr>
      <w:r w:rsidRPr="00EF598B">
        <w:rPr>
          <w:rtl/>
          <w:lang w:eastAsia="he-IL"/>
        </w:rPr>
        <w:t>3.</w:t>
      </w:r>
      <w:r w:rsidRPr="00EF598B">
        <w:rPr>
          <w:rtl/>
          <w:lang w:eastAsia="he-IL"/>
        </w:rPr>
        <w:tab/>
        <w:t xml:space="preserve">מטעם המאשימה הוגשו במסגרת הראיות לעונש הרישום הפלילי של הנאשם (ת/1), וגזר הדין בו הוטל על הנאשם המאסר המותנה (ת/2). </w:t>
      </w:r>
    </w:p>
    <w:p w14:paraId="5506090B" w14:textId="77777777" w:rsidR="000613B5" w:rsidRPr="00EF598B" w:rsidRDefault="000613B5" w:rsidP="000613B5">
      <w:pPr>
        <w:spacing w:line="360" w:lineRule="auto"/>
        <w:jc w:val="both"/>
        <w:rPr>
          <w:rtl/>
          <w:lang w:eastAsia="he-IL"/>
        </w:rPr>
      </w:pPr>
    </w:p>
    <w:p w14:paraId="6395CCED" w14:textId="77777777" w:rsidR="000613B5" w:rsidRPr="00EF598B" w:rsidRDefault="000613B5" w:rsidP="000613B5">
      <w:pPr>
        <w:spacing w:line="360" w:lineRule="auto"/>
        <w:jc w:val="both"/>
        <w:rPr>
          <w:rtl/>
          <w:lang w:eastAsia="he-IL"/>
        </w:rPr>
      </w:pPr>
      <w:r w:rsidRPr="00EF598B">
        <w:rPr>
          <w:rtl/>
          <w:lang w:eastAsia="he-IL"/>
        </w:rPr>
        <w:t xml:space="preserve">על פי הרישום הפלילי, לחובת הנאשם עבר פלילי הכולל הרשעה אחת במספר עבירות מ – 2016 – 2017, עבירות של אי מניעת פשע, ועבירות נשק של סחר/עסקה למסירת החזקה בנשק לאחר, לפי </w:t>
      </w:r>
      <w:hyperlink r:id="rId12" w:history="1">
        <w:r w:rsidR="00EA748F" w:rsidRPr="00EA748F">
          <w:rPr>
            <w:rStyle w:val="Hyperlink"/>
            <w:rtl/>
            <w:lang w:eastAsia="he-IL"/>
          </w:rPr>
          <w:t>סעיף 144(ב)(2)</w:t>
        </w:r>
      </w:hyperlink>
      <w:r w:rsidRPr="00EF598B">
        <w:rPr>
          <w:rtl/>
          <w:lang w:eastAsia="he-IL"/>
        </w:rPr>
        <w:t xml:space="preserve"> ל</w:t>
      </w:r>
      <w:hyperlink r:id="rId13" w:history="1">
        <w:r w:rsidR="00725381" w:rsidRPr="00725381">
          <w:rPr>
            <w:color w:val="0000FF"/>
            <w:u w:val="single"/>
            <w:rtl/>
            <w:lang w:eastAsia="he-IL"/>
          </w:rPr>
          <w:t>חוק העונשין</w:t>
        </w:r>
      </w:hyperlink>
      <w:r w:rsidRPr="00EF598B">
        <w:rPr>
          <w:rtl/>
          <w:lang w:eastAsia="he-IL"/>
        </w:rPr>
        <w:t xml:space="preserve">, נשיאת/הובלת נשק שלא כדין לפי </w:t>
      </w:r>
      <w:hyperlink r:id="rId14" w:history="1">
        <w:r w:rsidR="00EA748F" w:rsidRPr="00EA748F">
          <w:rPr>
            <w:rStyle w:val="Hyperlink"/>
            <w:rtl/>
            <w:lang w:eastAsia="he-IL"/>
          </w:rPr>
          <w:t>סעיף 144(ב)</w:t>
        </w:r>
      </w:hyperlink>
      <w:r w:rsidRPr="00EF598B">
        <w:rPr>
          <w:rtl/>
          <w:lang w:eastAsia="he-IL"/>
        </w:rPr>
        <w:t xml:space="preserve"> לחוק העונשין, ורכישת/החזקת נשק שלא כדין לפי </w:t>
      </w:r>
      <w:hyperlink r:id="rId15" w:history="1">
        <w:r w:rsidR="00EA748F" w:rsidRPr="00EA748F">
          <w:rPr>
            <w:rStyle w:val="Hyperlink"/>
            <w:rtl/>
            <w:lang w:eastAsia="he-IL"/>
          </w:rPr>
          <w:t>סעיף 144(א)</w:t>
        </w:r>
      </w:hyperlink>
      <w:r w:rsidRPr="00EF598B">
        <w:rPr>
          <w:rtl/>
          <w:lang w:eastAsia="he-IL"/>
        </w:rPr>
        <w:t xml:space="preserve"> לחוק העונשין. בגין ההרשעה בעבירות אלו נדון הנאשם למאסר בפועל למשך 37 חודשים. </w:t>
      </w:r>
    </w:p>
    <w:p w14:paraId="04E38973" w14:textId="77777777" w:rsidR="000613B5" w:rsidRPr="00EF598B" w:rsidRDefault="000613B5" w:rsidP="000613B5">
      <w:pPr>
        <w:spacing w:line="360" w:lineRule="auto"/>
        <w:jc w:val="both"/>
        <w:rPr>
          <w:rtl/>
          <w:lang w:eastAsia="he-IL"/>
        </w:rPr>
      </w:pPr>
    </w:p>
    <w:p w14:paraId="281CC317" w14:textId="77777777" w:rsidR="000613B5" w:rsidRPr="00EF598B" w:rsidRDefault="000613B5" w:rsidP="000613B5">
      <w:pPr>
        <w:spacing w:line="360" w:lineRule="auto"/>
        <w:jc w:val="both"/>
        <w:rPr>
          <w:rtl/>
          <w:lang w:eastAsia="he-IL"/>
        </w:rPr>
      </w:pPr>
      <w:r w:rsidRPr="00EF598B">
        <w:rPr>
          <w:rtl/>
          <w:lang w:eastAsia="he-IL"/>
        </w:rPr>
        <w:t xml:space="preserve">בגזר הדין מיום 27.6.18 (ת/2), בו הנאשם כאן היה נאשם 2, לצד עונש המאסר בפועל של 37 חודשים הוטל מאסר מותנה של 12 חודשים שלא יעבור אחת העבירות בהן הורשע או כל עבירת נשק אחרת. רכיב המאסר המותנה תוקן בהחלטה מיום 12.7.18. </w:t>
      </w:r>
    </w:p>
    <w:p w14:paraId="727519AD" w14:textId="77777777" w:rsidR="000613B5" w:rsidRPr="00EF598B" w:rsidRDefault="000613B5" w:rsidP="000613B5">
      <w:pPr>
        <w:spacing w:line="360" w:lineRule="auto"/>
        <w:jc w:val="both"/>
        <w:rPr>
          <w:rtl/>
          <w:lang w:eastAsia="he-IL"/>
        </w:rPr>
      </w:pPr>
    </w:p>
    <w:p w14:paraId="1166F743" w14:textId="77777777" w:rsidR="000613B5" w:rsidRPr="00EF598B" w:rsidRDefault="000613B5" w:rsidP="000613B5">
      <w:pPr>
        <w:spacing w:line="360" w:lineRule="auto"/>
        <w:jc w:val="both"/>
        <w:rPr>
          <w:rtl/>
          <w:lang w:eastAsia="he-IL"/>
        </w:rPr>
      </w:pPr>
      <w:r w:rsidRPr="00EF598B">
        <w:rPr>
          <w:rtl/>
          <w:lang w:eastAsia="he-IL"/>
        </w:rPr>
        <w:t xml:space="preserve">מטעם ההגנה לא הוגשו ראיות לעונש, והנאשם ויתר על אפשרות קבלת תסקיר שירות מבחן. </w:t>
      </w:r>
    </w:p>
    <w:p w14:paraId="36289118" w14:textId="77777777" w:rsidR="000613B5" w:rsidRPr="00EF598B" w:rsidRDefault="000613B5" w:rsidP="000613B5">
      <w:pPr>
        <w:spacing w:line="360" w:lineRule="auto"/>
        <w:jc w:val="both"/>
        <w:rPr>
          <w:b/>
          <w:bCs/>
          <w:u w:val="single"/>
          <w:rtl/>
          <w:lang w:eastAsia="he-IL"/>
        </w:rPr>
      </w:pPr>
    </w:p>
    <w:p w14:paraId="4D5311B2" w14:textId="77777777" w:rsidR="000613B5" w:rsidRPr="00EF598B" w:rsidRDefault="000613B5" w:rsidP="000613B5">
      <w:pPr>
        <w:spacing w:line="360" w:lineRule="auto"/>
        <w:jc w:val="both"/>
        <w:rPr>
          <w:rFonts w:ascii="David" w:hAnsi="David"/>
          <w:rtl/>
        </w:rPr>
      </w:pPr>
      <w:r w:rsidRPr="00EF598B">
        <w:rPr>
          <w:rtl/>
          <w:lang w:eastAsia="he-IL"/>
        </w:rPr>
        <w:t>4.</w:t>
      </w:r>
      <w:r w:rsidRPr="00EF598B">
        <w:rPr>
          <w:rtl/>
          <w:lang w:eastAsia="he-IL"/>
        </w:rPr>
        <w:tab/>
      </w:r>
      <w:r w:rsidRPr="00EF598B">
        <w:rPr>
          <w:rFonts w:ascii="David" w:hAnsi="David"/>
          <w:b/>
          <w:bCs/>
          <w:rtl/>
        </w:rPr>
        <w:t>לטענת ב"כ המאשימה:</w:t>
      </w:r>
    </w:p>
    <w:p w14:paraId="06DABA8D" w14:textId="77777777" w:rsidR="000613B5" w:rsidRPr="00EF598B" w:rsidRDefault="000613B5" w:rsidP="000613B5">
      <w:pPr>
        <w:spacing w:line="360" w:lineRule="auto"/>
        <w:jc w:val="both"/>
        <w:rPr>
          <w:rFonts w:ascii="David" w:hAnsi="David"/>
          <w:rtl/>
        </w:rPr>
      </w:pPr>
    </w:p>
    <w:p w14:paraId="10336162" w14:textId="77777777" w:rsidR="000613B5" w:rsidRPr="00EF598B" w:rsidRDefault="000613B5" w:rsidP="000613B5">
      <w:pPr>
        <w:spacing w:line="360" w:lineRule="auto"/>
        <w:jc w:val="both"/>
        <w:rPr>
          <w:rFonts w:ascii="David" w:hAnsi="David"/>
          <w:rtl/>
        </w:rPr>
      </w:pPr>
      <w:r w:rsidRPr="00EF598B">
        <w:rPr>
          <w:rFonts w:ascii="David" w:hAnsi="David"/>
          <w:rtl/>
        </w:rPr>
        <w:t>התבקש לקבוע מתחם עונש הולם שינוע בין 24 ל – 48 חודשים, ולמקם את העונש לפיו הסכימה המאשימה להגביל את עצמה, עונש של 31 חודשי מאסר, בתוך המתחם, יחד עם הפעלת המאסר המותנה כך שהעונש הכולל יהיה 31 חודשי מאסר.</w:t>
      </w:r>
    </w:p>
    <w:p w14:paraId="1E2B9BE2" w14:textId="77777777" w:rsidR="000613B5" w:rsidRPr="00EF598B" w:rsidRDefault="000613B5" w:rsidP="000613B5">
      <w:pPr>
        <w:spacing w:line="360" w:lineRule="auto"/>
        <w:jc w:val="both"/>
        <w:rPr>
          <w:rFonts w:ascii="David" w:hAnsi="David"/>
          <w:rtl/>
        </w:rPr>
      </w:pPr>
    </w:p>
    <w:p w14:paraId="0A07F82F" w14:textId="77777777" w:rsidR="000613B5" w:rsidRPr="00EF598B" w:rsidRDefault="000613B5" w:rsidP="000613B5">
      <w:pPr>
        <w:spacing w:line="360" w:lineRule="auto"/>
        <w:jc w:val="both"/>
        <w:rPr>
          <w:rFonts w:ascii="David" w:hAnsi="David"/>
          <w:rtl/>
        </w:rPr>
      </w:pPr>
      <w:r w:rsidRPr="00EF598B">
        <w:rPr>
          <w:rFonts w:ascii="David" w:hAnsi="David"/>
          <w:rtl/>
        </w:rPr>
        <w:t xml:space="preserve">ביחס להפעלת המאסר המותנה בן 12 החודשים, התבקש להפעילו במלואו בחופף כך שהעונש שייגזר יהיה 31 חודשי מאסר בפועל החל מיום מעצרו. עוד התבקש להטיל מאסר מותנה וקנס משמעותיים ומרתיעים. </w:t>
      </w:r>
    </w:p>
    <w:p w14:paraId="6EC8D6B3" w14:textId="77777777" w:rsidR="000613B5" w:rsidRPr="00EF598B" w:rsidRDefault="000613B5" w:rsidP="000613B5">
      <w:pPr>
        <w:spacing w:line="360" w:lineRule="auto"/>
        <w:jc w:val="both"/>
        <w:rPr>
          <w:rFonts w:ascii="David" w:hAnsi="David"/>
          <w:rtl/>
        </w:rPr>
      </w:pPr>
    </w:p>
    <w:p w14:paraId="29E170A3" w14:textId="77777777" w:rsidR="000613B5" w:rsidRPr="00EF598B" w:rsidRDefault="000613B5" w:rsidP="000613B5">
      <w:pPr>
        <w:spacing w:line="360" w:lineRule="auto"/>
        <w:jc w:val="both"/>
        <w:rPr>
          <w:rFonts w:ascii="David" w:hAnsi="David"/>
          <w:rtl/>
        </w:rPr>
      </w:pPr>
      <w:r w:rsidRPr="00EF598B">
        <w:rPr>
          <w:rFonts w:ascii="David" w:hAnsi="David"/>
          <w:rtl/>
        </w:rPr>
        <w:t>נטען כי במעשיו פגע הנאשם בערך החברתי המוגן העומד בבסיס עבירות הנשק, שהינו הגנה על שלום הציבור וביטחונו ושמירה על גופו וחייו של אדם.</w:t>
      </w:r>
    </w:p>
    <w:p w14:paraId="48AAEE5D" w14:textId="77777777" w:rsidR="000613B5" w:rsidRPr="00EF598B" w:rsidRDefault="000613B5" w:rsidP="000613B5">
      <w:pPr>
        <w:spacing w:line="360" w:lineRule="auto"/>
        <w:jc w:val="both"/>
        <w:rPr>
          <w:rFonts w:ascii="David" w:hAnsi="David"/>
          <w:rtl/>
        </w:rPr>
      </w:pPr>
    </w:p>
    <w:p w14:paraId="608734C2" w14:textId="77777777" w:rsidR="000613B5" w:rsidRPr="00EF598B" w:rsidRDefault="000613B5" w:rsidP="000613B5">
      <w:pPr>
        <w:spacing w:line="360" w:lineRule="auto"/>
        <w:jc w:val="both"/>
        <w:rPr>
          <w:rFonts w:ascii="David" w:hAnsi="David"/>
          <w:rtl/>
        </w:rPr>
      </w:pPr>
      <w:r w:rsidRPr="00EF598B">
        <w:rPr>
          <w:rFonts w:ascii="David" w:hAnsi="David"/>
          <w:rtl/>
        </w:rPr>
        <w:t>מידת הפגיעה של הנאשם בערך המוגן בנסיבות תיק זה הינה ברף הבינוני.</w:t>
      </w:r>
    </w:p>
    <w:p w14:paraId="3DFFE18D" w14:textId="77777777" w:rsidR="000613B5" w:rsidRPr="00EF598B" w:rsidRDefault="000613B5" w:rsidP="000613B5">
      <w:pPr>
        <w:spacing w:line="360" w:lineRule="auto"/>
        <w:jc w:val="both"/>
        <w:rPr>
          <w:rFonts w:ascii="David" w:hAnsi="David"/>
          <w:rtl/>
        </w:rPr>
      </w:pPr>
    </w:p>
    <w:p w14:paraId="1C7CA75B" w14:textId="77777777" w:rsidR="000613B5" w:rsidRPr="00EF598B" w:rsidRDefault="000613B5" w:rsidP="000613B5">
      <w:pPr>
        <w:spacing w:line="360" w:lineRule="auto"/>
        <w:jc w:val="both"/>
        <w:rPr>
          <w:rFonts w:ascii="David" w:hAnsi="David"/>
          <w:rtl/>
        </w:rPr>
      </w:pPr>
      <w:r w:rsidRPr="00EF598B">
        <w:rPr>
          <w:rFonts w:ascii="David" w:hAnsi="David"/>
          <w:rtl/>
        </w:rPr>
        <w:t xml:space="preserve">צו השעה הינו למיגור עבירת הנשק על כל גווניה, קיימת מגמת החמרה אליה מצטרפת הנחיית פרקליט המדינה. </w:t>
      </w:r>
    </w:p>
    <w:p w14:paraId="752D0C52" w14:textId="77777777" w:rsidR="000613B5" w:rsidRPr="00EF598B" w:rsidRDefault="000613B5" w:rsidP="000613B5">
      <w:pPr>
        <w:spacing w:line="360" w:lineRule="auto"/>
        <w:jc w:val="both"/>
        <w:rPr>
          <w:rFonts w:ascii="David" w:hAnsi="David"/>
          <w:rtl/>
        </w:rPr>
      </w:pPr>
    </w:p>
    <w:p w14:paraId="5C3EA3D1" w14:textId="77777777" w:rsidR="000613B5" w:rsidRPr="00EF598B" w:rsidRDefault="000613B5" w:rsidP="000613B5">
      <w:pPr>
        <w:spacing w:line="360" w:lineRule="auto"/>
        <w:jc w:val="both"/>
        <w:rPr>
          <w:rFonts w:ascii="David" w:hAnsi="David"/>
          <w:rtl/>
        </w:rPr>
      </w:pPr>
      <w:r w:rsidRPr="00EF598B">
        <w:rPr>
          <w:rFonts w:ascii="David" w:hAnsi="David"/>
          <w:rtl/>
        </w:rPr>
        <w:t xml:space="preserve">השיקולים לקולא בגזירת עונשו של הנאשם הינם קבלת האחריות, וחיסכון בזמן שיפוטי, ושיקול לחומרה הינו עברו הפלילי לפיו הנאשם נדון בשנת 2018 ל – 37 חודשי מאסר בפועל בגין עבירות נשק וריצוי המאסר ומאסר מותנה בר הפעלה, לא הרתיעו אותו מלשוב ולבצע עבירות נשק ולשוב ולסכן את הציבור. </w:t>
      </w:r>
    </w:p>
    <w:p w14:paraId="6A1F76D8" w14:textId="77777777" w:rsidR="000613B5" w:rsidRPr="00EF598B" w:rsidRDefault="000613B5" w:rsidP="000613B5">
      <w:pPr>
        <w:spacing w:line="360" w:lineRule="auto"/>
        <w:jc w:val="both"/>
        <w:rPr>
          <w:rFonts w:ascii="David" w:hAnsi="David"/>
          <w:rtl/>
        </w:rPr>
      </w:pPr>
    </w:p>
    <w:p w14:paraId="541F2837" w14:textId="77777777" w:rsidR="000613B5" w:rsidRPr="00EF598B" w:rsidRDefault="000613B5" w:rsidP="000613B5">
      <w:pPr>
        <w:spacing w:line="360" w:lineRule="auto"/>
        <w:jc w:val="both"/>
        <w:rPr>
          <w:rFonts w:ascii="David" w:hAnsi="David"/>
          <w:rtl/>
        </w:rPr>
      </w:pPr>
      <w:r w:rsidRPr="00EF598B">
        <w:rPr>
          <w:rFonts w:ascii="David" w:hAnsi="David"/>
          <w:rtl/>
        </w:rPr>
        <w:t>5.</w:t>
      </w:r>
      <w:r w:rsidRPr="00EF598B">
        <w:rPr>
          <w:rFonts w:ascii="David" w:hAnsi="David"/>
          <w:rtl/>
        </w:rPr>
        <w:tab/>
      </w:r>
      <w:r w:rsidRPr="00EF598B">
        <w:rPr>
          <w:rFonts w:ascii="David" w:hAnsi="David"/>
          <w:b/>
          <w:bCs/>
          <w:rtl/>
        </w:rPr>
        <w:t>לטענת ב"כ הנאשם:</w:t>
      </w:r>
    </w:p>
    <w:p w14:paraId="4A56A776" w14:textId="77777777" w:rsidR="000613B5" w:rsidRPr="00EF598B" w:rsidRDefault="000613B5" w:rsidP="000613B5">
      <w:pPr>
        <w:spacing w:line="360" w:lineRule="auto"/>
        <w:jc w:val="both"/>
        <w:rPr>
          <w:rFonts w:ascii="David" w:hAnsi="David"/>
          <w:rtl/>
        </w:rPr>
      </w:pPr>
    </w:p>
    <w:p w14:paraId="79633FC4" w14:textId="77777777" w:rsidR="000613B5" w:rsidRPr="00EF598B" w:rsidRDefault="000613B5" w:rsidP="000613B5">
      <w:pPr>
        <w:spacing w:line="360" w:lineRule="auto"/>
        <w:jc w:val="both"/>
        <w:rPr>
          <w:rFonts w:ascii="David" w:hAnsi="David"/>
          <w:rtl/>
        </w:rPr>
      </w:pPr>
      <w:r w:rsidRPr="00EF598B">
        <w:rPr>
          <w:rFonts w:ascii="David" w:hAnsi="David"/>
          <w:rtl/>
        </w:rPr>
        <w:t xml:space="preserve">יש לאבחן את עניינו של הנאשם מעניין אחר אליו הפנו ב"כ המאשימה, הואיל ושם היה מדובר באקדח טעון, וכאן אין מדובר באקדח טעון, ואבחן פסיקה נוספת. </w:t>
      </w:r>
    </w:p>
    <w:p w14:paraId="6F92439A" w14:textId="77777777" w:rsidR="000613B5" w:rsidRPr="00EF598B" w:rsidRDefault="000613B5" w:rsidP="000613B5">
      <w:pPr>
        <w:spacing w:line="360" w:lineRule="auto"/>
        <w:jc w:val="both"/>
        <w:rPr>
          <w:rFonts w:ascii="David" w:hAnsi="David"/>
          <w:rtl/>
        </w:rPr>
      </w:pPr>
    </w:p>
    <w:p w14:paraId="59385F75" w14:textId="77777777" w:rsidR="000613B5" w:rsidRPr="00EF598B" w:rsidRDefault="000613B5" w:rsidP="000613B5">
      <w:pPr>
        <w:spacing w:line="360" w:lineRule="auto"/>
        <w:jc w:val="both"/>
        <w:rPr>
          <w:rFonts w:ascii="David" w:hAnsi="David"/>
          <w:rtl/>
        </w:rPr>
      </w:pPr>
      <w:r w:rsidRPr="00EF598B">
        <w:rPr>
          <w:rFonts w:ascii="David" w:hAnsi="David"/>
          <w:rtl/>
        </w:rPr>
        <w:t>ביחס לנסיבות ביצוע העבירה, בית המשפט צריך לתת משקל לסוג הנשק, לכך שמדובר באקדח, ולנסיבות של החזקת הנשק, היכן היה מוסלק בתוך הרכב, האם היה טעון או מחסנית שיש בה כדורים.</w:t>
      </w:r>
    </w:p>
    <w:p w14:paraId="62B2F6B9" w14:textId="77777777" w:rsidR="000613B5" w:rsidRPr="00EF598B" w:rsidRDefault="000613B5" w:rsidP="000613B5">
      <w:pPr>
        <w:spacing w:line="360" w:lineRule="auto"/>
        <w:jc w:val="both"/>
        <w:rPr>
          <w:rFonts w:ascii="David" w:hAnsi="David"/>
          <w:rtl/>
        </w:rPr>
      </w:pPr>
    </w:p>
    <w:p w14:paraId="06B014A4" w14:textId="77777777" w:rsidR="000613B5" w:rsidRPr="00EF598B" w:rsidRDefault="000613B5" w:rsidP="000613B5">
      <w:pPr>
        <w:spacing w:line="360" w:lineRule="auto"/>
        <w:jc w:val="both"/>
        <w:rPr>
          <w:rFonts w:ascii="David" w:hAnsi="David"/>
          <w:rtl/>
        </w:rPr>
      </w:pPr>
      <w:r w:rsidRPr="00EF598B">
        <w:rPr>
          <w:rFonts w:ascii="David" w:hAnsi="David"/>
          <w:rtl/>
        </w:rPr>
        <w:t xml:space="preserve">נטען כי קיים הסדר טיעון ואין צורך לקבוע מתחם, בהסדר מגבילה המאשימה עצמה ל – 31 חודשי מאסר. התבקש כי המאסר המותנה יהיה בחופף לכל עונש שיקבע ע"י בית המשפט, ולא במצטבר. </w:t>
      </w:r>
    </w:p>
    <w:p w14:paraId="2C148D9A" w14:textId="77777777" w:rsidR="000613B5" w:rsidRPr="00EF598B" w:rsidRDefault="000613B5" w:rsidP="000613B5">
      <w:pPr>
        <w:spacing w:line="360" w:lineRule="auto"/>
        <w:jc w:val="both"/>
        <w:rPr>
          <w:rFonts w:ascii="David" w:hAnsi="David"/>
          <w:rtl/>
        </w:rPr>
      </w:pPr>
    </w:p>
    <w:p w14:paraId="2B89255D" w14:textId="77777777" w:rsidR="000613B5" w:rsidRPr="00EF598B" w:rsidRDefault="000613B5" w:rsidP="000613B5">
      <w:pPr>
        <w:spacing w:line="360" w:lineRule="auto"/>
        <w:jc w:val="both"/>
        <w:rPr>
          <w:rFonts w:ascii="David" w:hAnsi="David"/>
          <w:rtl/>
        </w:rPr>
      </w:pPr>
      <w:r w:rsidRPr="00EF598B">
        <w:rPr>
          <w:rFonts w:ascii="David" w:hAnsi="David"/>
          <w:rtl/>
        </w:rPr>
        <w:t>נטען כי הנאשם חסך זמן שיפוטי, התיק היה קבוע להוכחות, והמאשימה לא היתה מגיעה להסדר עם הגבלה ל – 31 חודשים כולל התנאי אלמלא היתה סוגיה מסוימת.</w:t>
      </w:r>
    </w:p>
    <w:p w14:paraId="476B2126" w14:textId="77777777" w:rsidR="000613B5" w:rsidRPr="00EF598B" w:rsidRDefault="000613B5" w:rsidP="000613B5">
      <w:pPr>
        <w:spacing w:line="360" w:lineRule="auto"/>
        <w:jc w:val="both"/>
        <w:rPr>
          <w:rFonts w:ascii="David" w:hAnsi="David"/>
          <w:rtl/>
        </w:rPr>
      </w:pPr>
    </w:p>
    <w:p w14:paraId="73E389C4" w14:textId="77777777" w:rsidR="000613B5" w:rsidRPr="00EF598B" w:rsidRDefault="000613B5" w:rsidP="000613B5">
      <w:pPr>
        <w:spacing w:line="360" w:lineRule="auto"/>
        <w:jc w:val="both"/>
        <w:rPr>
          <w:rFonts w:ascii="David" w:hAnsi="David"/>
          <w:rtl/>
        </w:rPr>
      </w:pPr>
      <w:r w:rsidRPr="00EF598B">
        <w:rPr>
          <w:rFonts w:ascii="David" w:hAnsi="David"/>
          <w:rtl/>
        </w:rPr>
        <w:t xml:space="preserve">הנאשם צעיר, רווק, אין בעברו עבר פלילי מכביד, אמנם הוא הסתבך פעם ראשונה בעבירות נשק, וזו פעם שנייה שהוא מסתבך בעבירות כאלו. </w:t>
      </w:r>
    </w:p>
    <w:p w14:paraId="7B2911AC" w14:textId="77777777" w:rsidR="000613B5" w:rsidRPr="00EF598B" w:rsidRDefault="000613B5" w:rsidP="000613B5">
      <w:pPr>
        <w:spacing w:line="360" w:lineRule="auto"/>
        <w:jc w:val="both"/>
        <w:rPr>
          <w:rFonts w:ascii="David" w:hAnsi="David"/>
          <w:rtl/>
        </w:rPr>
      </w:pPr>
    </w:p>
    <w:p w14:paraId="7197DBDB" w14:textId="77777777" w:rsidR="000613B5" w:rsidRPr="00EF598B" w:rsidRDefault="000613B5" w:rsidP="000613B5">
      <w:pPr>
        <w:spacing w:line="360" w:lineRule="auto"/>
        <w:jc w:val="both"/>
        <w:rPr>
          <w:rFonts w:ascii="David" w:hAnsi="David"/>
          <w:rtl/>
        </w:rPr>
      </w:pPr>
      <w:r w:rsidRPr="00EF598B">
        <w:rPr>
          <w:rFonts w:ascii="David" w:hAnsi="David"/>
          <w:rtl/>
        </w:rPr>
        <w:t xml:space="preserve">בתיק זה היה מעורב נוסף, שבסופו של יום נחקר, נעצר, הוארך מעצרו מפעם לפעם, שוחרר ולא הוגש נגדו כתב אישום. אין מחלוקת שאותו אחר נהג ברכב, הסיבה היחידה שבגינה הוגש כתב אישום נגד הנאשם, בשל די.אן.אי שהיה על הנשק, ובשל היותו הבעלים של אותו רכב, אבל גם כנגד האחר היה אמור להיות מוגש כתב אישום מכוח שותפות לעבירה. התבקש כי בית המשפט ירחם על הנאשם. </w:t>
      </w:r>
    </w:p>
    <w:p w14:paraId="69DA61CF" w14:textId="77777777" w:rsidR="000613B5" w:rsidRPr="00EF598B" w:rsidRDefault="000613B5" w:rsidP="000613B5">
      <w:pPr>
        <w:spacing w:line="360" w:lineRule="auto"/>
        <w:jc w:val="both"/>
        <w:rPr>
          <w:rFonts w:ascii="David" w:hAnsi="David"/>
          <w:b/>
          <w:bCs/>
          <w:u w:val="single"/>
          <w:rtl/>
        </w:rPr>
      </w:pPr>
    </w:p>
    <w:p w14:paraId="79E728C6" w14:textId="77777777" w:rsidR="000613B5" w:rsidRPr="00EF598B" w:rsidRDefault="000613B5" w:rsidP="000613B5">
      <w:pPr>
        <w:spacing w:line="360" w:lineRule="auto"/>
        <w:jc w:val="both"/>
        <w:rPr>
          <w:rFonts w:ascii="David" w:hAnsi="David"/>
          <w:rtl/>
        </w:rPr>
      </w:pPr>
      <w:r w:rsidRPr="00EF598B">
        <w:rPr>
          <w:rFonts w:ascii="David" w:hAnsi="David"/>
          <w:rtl/>
        </w:rPr>
        <w:t xml:space="preserve">הנאשם אמר כי הוא מצטער על כל דבר שעשה, הוא רוצה להתחיל חיים חדשים, ומבקש  את רחמנות בית המשפט. </w:t>
      </w:r>
    </w:p>
    <w:p w14:paraId="34142752" w14:textId="77777777" w:rsidR="000613B5" w:rsidRDefault="000613B5" w:rsidP="000613B5">
      <w:pPr>
        <w:spacing w:line="360" w:lineRule="auto"/>
        <w:jc w:val="both"/>
        <w:rPr>
          <w:rFonts w:ascii="David" w:hAnsi="David"/>
          <w:rtl/>
        </w:rPr>
      </w:pPr>
    </w:p>
    <w:p w14:paraId="04354424" w14:textId="77777777" w:rsidR="000613B5" w:rsidRDefault="000613B5" w:rsidP="000613B5">
      <w:pPr>
        <w:spacing w:line="360" w:lineRule="auto"/>
        <w:jc w:val="both"/>
        <w:rPr>
          <w:rFonts w:ascii="David" w:hAnsi="David"/>
          <w:rtl/>
        </w:rPr>
      </w:pPr>
    </w:p>
    <w:p w14:paraId="0A83DA45" w14:textId="77777777" w:rsidR="000613B5" w:rsidRPr="00EF598B" w:rsidRDefault="000613B5" w:rsidP="000613B5">
      <w:pPr>
        <w:spacing w:line="360" w:lineRule="auto"/>
        <w:jc w:val="both"/>
        <w:rPr>
          <w:rFonts w:ascii="David" w:hAnsi="David"/>
          <w:rtl/>
        </w:rPr>
      </w:pPr>
    </w:p>
    <w:p w14:paraId="7F593D96" w14:textId="77777777" w:rsidR="000613B5" w:rsidRPr="00EF598B" w:rsidRDefault="000613B5" w:rsidP="000613B5">
      <w:pPr>
        <w:spacing w:line="360" w:lineRule="auto"/>
        <w:jc w:val="both"/>
        <w:rPr>
          <w:b/>
          <w:bCs/>
          <w:u w:val="single"/>
          <w:rtl/>
          <w:lang w:eastAsia="he-IL"/>
        </w:rPr>
      </w:pPr>
      <w:r w:rsidRPr="00EF598B">
        <w:rPr>
          <w:b/>
          <w:bCs/>
          <w:u w:val="single"/>
          <w:rtl/>
          <w:lang w:eastAsia="he-IL"/>
        </w:rPr>
        <w:t>הערכים המוגנים והענישה</w:t>
      </w:r>
    </w:p>
    <w:p w14:paraId="1D9CB05C" w14:textId="77777777" w:rsidR="000613B5" w:rsidRPr="00EF598B" w:rsidRDefault="000613B5" w:rsidP="000613B5">
      <w:pPr>
        <w:spacing w:line="360" w:lineRule="auto"/>
        <w:jc w:val="both"/>
        <w:rPr>
          <w:b/>
          <w:bCs/>
          <w:u w:val="single"/>
          <w:rtl/>
          <w:lang w:eastAsia="he-IL"/>
        </w:rPr>
      </w:pPr>
    </w:p>
    <w:p w14:paraId="1F267F7B" w14:textId="77777777" w:rsidR="000613B5" w:rsidRPr="00EF598B" w:rsidRDefault="000613B5" w:rsidP="000613B5">
      <w:pPr>
        <w:spacing w:line="360" w:lineRule="auto"/>
        <w:jc w:val="both"/>
        <w:rPr>
          <w:rtl/>
          <w:lang w:eastAsia="he-IL"/>
        </w:rPr>
      </w:pPr>
      <w:r w:rsidRPr="00EF598B">
        <w:rPr>
          <w:rtl/>
        </w:rPr>
        <w:t>6.</w:t>
      </w:r>
      <w:r w:rsidRPr="00EF598B">
        <w:rPr>
          <w:rFonts w:cs="Times New Roman"/>
          <w:rtl/>
        </w:rPr>
        <w:t xml:space="preserve"> </w:t>
      </w:r>
      <w:r w:rsidRPr="00EF598B">
        <w:rPr>
          <w:rFonts w:ascii="David" w:hAnsi="David"/>
          <w:rtl/>
        </w:rPr>
        <w:tab/>
      </w:r>
      <w:r w:rsidRPr="00EF598B">
        <w:rPr>
          <w:rtl/>
          <w:lang w:eastAsia="he-IL"/>
        </w:rPr>
        <w:t xml:space="preserve">בעבירות שביצע פגע הנאשם בערכים המוגנים של הגנה על שלום הציבור, ביטחון הציבור, שלטון החוק והגנה על שלמות הגוף. </w:t>
      </w:r>
    </w:p>
    <w:p w14:paraId="22F56528" w14:textId="77777777" w:rsidR="000613B5" w:rsidRPr="00EF598B" w:rsidRDefault="000613B5" w:rsidP="000613B5">
      <w:pPr>
        <w:spacing w:line="360" w:lineRule="auto"/>
        <w:jc w:val="both"/>
        <w:rPr>
          <w:rtl/>
        </w:rPr>
      </w:pPr>
    </w:p>
    <w:p w14:paraId="3B367058" w14:textId="77777777" w:rsidR="000613B5" w:rsidRPr="00EF598B" w:rsidRDefault="000613B5" w:rsidP="000613B5">
      <w:pPr>
        <w:spacing w:line="360" w:lineRule="auto"/>
        <w:jc w:val="both"/>
        <w:rPr>
          <w:rtl/>
          <w:lang w:eastAsia="he-IL"/>
        </w:rPr>
      </w:pPr>
      <w:r w:rsidRPr="00EF598B">
        <w:rPr>
          <w:rtl/>
          <w:lang w:eastAsia="he-IL"/>
        </w:rPr>
        <w:t xml:space="preserve">לעבירות בנשק נודעת חומרה רבה, וזאת בשל הסיכון הגבוה הטמון בהן והפגיעה החמורה בערכים המוגנים. </w:t>
      </w:r>
    </w:p>
    <w:p w14:paraId="3280BE61" w14:textId="77777777" w:rsidR="000613B5" w:rsidRPr="00EF598B" w:rsidRDefault="000613B5" w:rsidP="000613B5">
      <w:pPr>
        <w:spacing w:line="360" w:lineRule="auto"/>
        <w:jc w:val="both"/>
        <w:rPr>
          <w:rtl/>
          <w:lang w:eastAsia="he-IL"/>
        </w:rPr>
      </w:pPr>
    </w:p>
    <w:p w14:paraId="101463FC" w14:textId="77777777" w:rsidR="000613B5" w:rsidRPr="00EF598B" w:rsidRDefault="000613B5" w:rsidP="000613B5">
      <w:pPr>
        <w:spacing w:line="360" w:lineRule="auto"/>
        <w:jc w:val="both"/>
        <w:rPr>
          <w:rtl/>
          <w:lang w:eastAsia="he-IL"/>
        </w:rPr>
      </w:pPr>
      <w:r w:rsidRPr="00EF598B">
        <w:rPr>
          <w:rtl/>
          <w:lang w:eastAsia="he-IL"/>
        </w:rPr>
        <w:t>ב</w:t>
      </w:r>
      <w:hyperlink r:id="rId16" w:history="1">
        <w:r w:rsidR="00725381" w:rsidRPr="00725381">
          <w:rPr>
            <w:color w:val="0000FF"/>
            <w:u w:val="single"/>
            <w:rtl/>
            <w:lang w:eastAsia="he-IL"/>
          </w:rPr>
          <w:t>ע"פ 6383/21</w:t>
        </w:r>
      </w:hyperlink>
      <w:r w:rsidRPr="00EF598B">
        <w:rPr>
          <w:rtl/>
          <w:lang w:eastAsia="he-IL"/>
        </w:rPr>
        <w:t xml:space="preserve">, 6398/21, 6417/21 </w:t>
      </w:r>
      <w:r w:rsidRPr="00EF598B">
        <w:rPr>
          <w:b/>
          <w:bCs/>
          <w:rtl/>
          <w:lang w:eastAsia="he-IL"/>
        </w:rPr>
        <w:t xml:space="preserve">קריף ואח' נ' מ"י </w:t>
      </w:r>
      <w:r w:rsidRPr="00EF598B">
        <w:rPr>
          <w:rtl/>
          <w:lang w:eastAsia="he-IL"/>
        </w:rPr>
        <w:t>(13.2.2022), התייחסות לערכים המוגנים, לצורך להחמיר בעבירות נשק, ולהעניק משקל מרכזי לשיקול של הרתעת הרבים:</w:t>
      </w:r>
    </w:p>
    <w:p w14:paraId="794C7EBA" w14:textId="77777777" w:rsidR="000613B5" w:rsidRPr="00EF598B" w:rsidRDefault="000613B5" w:rsidP="000613B5">
      <w:pPr>
        <w:spacing w:line="360" w:lineRule="auto"/>
        <w:jc w:val="both"/>
        <w:rPr>
          <w:rtl/>
          <w:lang w:eastAsia="he-IL"/>
        </w:rPr>
      </w:pPr>
    </w:p>
    <w:p w14:paraId="06A6B104" w14:textId="77777777" w:rsidR="000613B5" w:rsidRPr="00EF598B" w:rsidRDefault="000613B5" w:rsidP="000613B5">
      <w:pPr>
        <w:spacing w:line="360" w:lineRule="auto"/>
        <w:jc w:val="both"/>
        <w:rPr>
          <w:b/>
          <w:bCs/>
          <w:rtl/>
          <w:lang w:eastAsia="he-IL"/>
        </w:rPr>
      </w:pPr>
      <w:r w:rsidRPr="00EF598B">
        <w:rPr>
          <w:b/>
          <w:bCs/>
          <w:rtl/>
          <w:lang w:eastAsia="he-I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 התופעות של עסקאות בנשק, הובלתו ונשיאתו, מאיימות לא רק על שלמות הגוף של הציבור, אלא גם על שלום הציבור ועל הסדר הציבורי ...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p>
    <w:p w14:paraId="43E19B47" w14:textId="77777777" w:rsidR="000613B5" w:rsidRPr="00EF598B" w:rsidRDefault="000613B5" w:rsidP="000613B5">
      <w:pPr>
        <w:spacing w:line="360" w:lineRule="auto"/>
        <w:jc w:val="both"/>
        <w:rPr>
          <w:rtl/>
          <w:lang w:eastAsia="he-IL"/>
        </w:rPr>
      </w:pPr>
    </w:p>
    <w:p w14:paraId="410ECECE" w14:textId="77777777" w:rsidR="000613B5" w:rsidRPr="00EF598B" w:rsidRDefault="000613B5" w:rsidP="000613B5">
      <w:pPr>
        <w:spacing w:line="360" w:lineRule="auto"/>
        <w:jc w:val="both"/>
        <w:rPr>
          <w:rFonts w:ascii="Calibri" w:hAnsi="Calibri"/>
          <w:b/>
          <w:bCs/>
          <w:rtl/>
        </w:rPr>
      </w:pPr>
      <w:r w:rsidRPr="00EF598B">
        <w:rPr>
          <w:rtl/>
          <w:lang w:eastAsia="he-IL"/>
        </w:rPr>
        <w:t xml:space="preserve">עוד ר' </w:t>
      </w:r>
      <w:hyperlink r:id="rId17" w:history="1">
        <w:r w:rsidR="00725381" w:rsidRPr="00725381">
          <w:rPr>
            <w:rFonts w:ascii="Calibri" w:hAnsi="Calibri" w:hint="eastAsia"/>
            <w:color w:val="0000FF"/>
            <w:u w:val="single"/>
            <w:rtl/>
          </w:rPr>
          <w:t>ע</w:t>
        </w:r>
        <w:r w:rsidR="00725381" w:rsidRPr="00725381">
          <w:rPr>
            <w:rFonts w:ascii="Calibri" w:hAnsi="Calibri"/>
            <w:color w:val="0000FF"/>
            <w:u w:val="single"/>
            <w:rtl/>
          </w:rPr>
          <w:t>"</w:t>
        </w:r>
        <w:r w:rsidR="00725381" w:rsidRPr="00725381">
          <w:rPr>
            <w:rFonts w:ascii="Calibri" w:hAnsi="Calibri" w:hint="eastAsia"/>
            <w:color w:val="0000FF"/>
            <w:u w:val="single"/>
            <w:rtl/>
          </w:rPr>
          <w:t>פ</w:t>
        </w:r>
        <w:r w:rsidR="00725381" w:rsidRPr="00725381">
          <w:rPr>
            <w:rFonts w:ascii="Calibri" w:hAnsi="Calibri"/>
            <w:color w:val="0000FF"/>
            <w:u w:val="single"/>
            <w:rtl/>
          </w:rPr>
          <w:t xml:space="preserve"> 7502/12</w:t>
        </w:r>
      </w:hyperlink>
      <w:r w:rsidRPr="00EF598B">
        <w:rPr>
          <w:rFonts w:ascii="Calibri" w:hAnsi="Calibri"/>
          <w:rtl/>
        </w:rPr>
        <w:t xml:space="preserve"> </w:t>
      </w:r>
      <w:r w:rsidRPr="00EF598B">
        <w:rPr>
          <w:rFonts w:ascii="Calibri" w:hAnsi="Calibri" w:hint="eastAsia"/>
          <w:b/>
          <w:bCs/>
          <w:rtl/>
        </w:rPr>
        <w:t>בסאם</w:t>
      </w:r>
      <w:r w:rsidRPr="00EF598B">
        <w:rPr>
          <w:rFonts w:ascii="Calibri" w:hAnsi="Calibri"/>
          <w:b/>
          <w:bCs/>
          <w:rtl/>
        </w:rPr>
        <w:t xml:space="preserve"> </w:t>
      </w:r>
      <w:r w:rsidRPr="00EF598B">
        <w:rPr>
          <w:rFonts w:ascii="Calibri" w:hAnsi="Calibri" w:hint="eastAsia"/>
          <w:b/>
          <w:bCs/>
          <w:rtl/>
        </w:rPr>
        <w:t>כוויס</w:t>
      </w:r>
      <w:r w:rsidRPr="00EF598B">
        <w:rPr>
          <w:rFonts w:ascii="Calibri" w:hAnsi="Calibri"/>
          <w:b/>
          <w:bCs/>
          <w:rtl/>
        </w:rPr>
        <w:t xml:space="preserve"> </w:t>
      </w:r>
      <w:r w:rsidRPr="00EF598B">
        <w:rPr>
          <w:rFonts w:ascii="Calibri" w:hAnsi="Calibri" w:hint="eastAsia"/>
          <w:b/>
          <w:bCs/>
          <w:rtl/>
        </w:rPr>
        <w:t>נגד</w:t>
      </w:r>
      <w:r w:rsidRPr="00EF598B">
        <w:rPr>
          <w:rFonts w:ascii="Calibri" w:hAnsi="Calibri"/>
          <w:b/>
          <w:bCs/>
          <w:rtl/>
        </w:rPr>
        <w:t xml:space="preserve"> </w:t>
      </w:r>
      <w:r w:rsidRPr="00EF598B">
        <w:rPr>
          <w:rFonts w:ascii="Calibri" w:hAnsi="Calibri" w:hint="eastAsia"/>
          <w:b/>
          <w:bCs/>
          <w:rtl/>
        </w:rPr>
        <w:t>מ</w:t>
      </w:r>
      <w:r w:rsidRPr="00EF598B">
        <w:rPr>
          <w:rFonts w:ascii="Calibri" w:hAnsi="Calibri"/>
          <w:b/>
          <w:bCs/>
          <w:rtl/>
        </w:rPr>
        <w:t>"</w:t>
      </w:r>
      <w:r w:rsidRPr="00EF598B">
        <w:rPr>
          <w:rFonts w:ascii="Calibri" w:hAnsi="Calibri" w:hint="eastAsia"/>
          <w:b/>
          <w:bCs/>
          <w:rtl/>
        </w:rPr>
        <w:t>י</w:t>
      </w:r>
      <w:r w:rsidRPr="00EF598B">
        <w:rPr>
          <w:rFonts w:ascii="Calibri" w:hAnsi="Calibri"/>
          <w:b/>
          <w:bCs/>
          <w:rtl/>
        </w:rPr>
        <w:t xml:space="preserve"> </w:t>
      </w:r>
      <w:r w:rsidRPr="00EF598B">
        <w:rPr>
          <w:rFonts w:ascii="Calibri" w:hAnsi="Calibri"/>
          <w:rtl/>
        </w:rPr>
        <w:t>(25.06.2013):</w:t>
      </w:r>
    </w:p>
    <w:p w14:paraId="702090C5" w14:textId="77777777" w:rsidR="000613B5" w:rsidRPr="00EF598B" w:rsidRDefault="000613B5" w:rsidP="000613B5">
      <w:pPr>
        <w:spacing w:after="200" w:line="276" w:lineRule="auto"/>
        <w:ind w:left="1410" w:right="851"/>
        <w:contextualSpacing/>
        <w:rPr>
          <w:rFonts w:ascii="Calibri" w:hAnsi="Calibri"/>
          <w:b/>
          <w:bCs/>
          <w:rtl/>
        </w:rPr>
      </w:pPr>
    </w:p>
    <w:p w14:paraId="2C5ED0E6" w14:textId="77777777" w:rsidR="000613B5" w:rsidRPr="00EF598B" w:rsidRDefault="000613B5" w:rsidP="000613B5">
      <w:pPr>
        <w:spacing w:line="360" w:lineRule="auto"/>
        <w:jc w:val="both"/>
        <w:rPr>
          <w:b/>
          <w:bCs/>
          <w:rtl/>
          <w:lang w:eastAsia="he-IL"/>
        </w:rPr>
      </w:pPr>
      <w:r w:rsidRPr="00EF598B">
        <w:rPr>
          <w:b/>
          <w:bCs/>
          <w:rtl/>
          <w:lang w:eastAsia="he-IL"/>
        </w:rPr>
        <w:t xml:space="preserve">"כפי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 </w:t>
      </w:r>
    </w:p>
    <w:p w14:paraId="4C80E0CB" w14:textId="77777777" w:rsidR="000613B5" w:rsidRPr="00EF598B" w:rsidRDefault="000613B5" w:rsidP="000613B5">
      <w:pPr>
        <w:spacing w:line="360" w:lineRule="auto"/>
        <w:jc w:val="both"/>
        <w:rPr>
          <w:b/>
          <w:bCs/>
          <w:rtl/>
          <w:lang w:eastAsia="he-IL"/>
        </w:rPr>
      </w:pPr>
    </w:p>
    <w:p w14:paraId="073CB267" w14:textId="77777777" w:rsidR="000613B5" w:rsidRPr="00EF598B" w:rsidRDefault="000613B5" w:rsidP="000613B5">
      <w:pPr>
        <w:spacing w:line="360" w:lineRule="auto"/>
        <w:jc w:val="both"/>
        <w:rPr>
          <w:rtl/>
          <w:lang w:eastAsia="he-IL"/>
        </w:rPr>
      </w:pPr>
      <w:r w:rsidRPr="00EF598B">
        <w:rPr>
          <w:rtl/>
          <w:lang w:eastAsia="he-IL"/>
        </w:rPr>
        <w:t>7.</w:t>
      </w:r>
      <w:r w:rsidRPr="00EF598B">
        <w:rPr>
          <w:rtl/>
          <w:lang w:eastAsia="he-IL"/>
        </w:rPr>
        <w:tab/>
        <w:t>קיימת הסכמה עונשית חלקית בין הצדדים, במסגרתה קבעו הם טווח ענישה מוסכם, כך שהמאשימה תטען לעונש מאסר של 31 חודשים, אשר כולל במסגרתו גם את הפעלת המאסר המותנה בן 12 החודשים, ומנגד ההגנה חופשית בטיעוניה.</w:t>
      </w:r>
    </w:p>
    <w:p w14:paraId="3E94C70D" w14:textId="77777777" w:rsidR="000613B5" w:rsidRPr="00EF598B" w:rsidRDefault="000613B5" w:rsidP="000613B5">
      <w:pPr>
        <w:spacing w:line="360" w:lineRule="auto"/>
        <w:jc w:val="both"/>
        <w:rPr>
          <w:rtl/>
          <w:lang w:eastAsia="he-IL"/>
        </w:rPr>
      </w:pPr>
    </w:p>
    <w:p w14:paraId="6CA508F3" w14:textId="77777777" w:rsidR="000613B5" w:rsidRPr="00EF598B" w:rsidRDefault="000613B5" w:rsidP="000613B5">
      <w:pPr>
        <w:spacing w:line="360" w:lineRule="auto"/>
        <w:jc w:val="both"/>
        <w:rPr>
          <w:rFonts w:ascii="David" w:hAnsi="David"/>
          <w:rtl/>
        </w:rPr>
      </w:pPr>
      <w:r w:rsidRPr="00EF598B">
        <w:rPr>
          <w:rtl/>
          <w:lang w:eastAsia="he-IL"/>
        </w:rPr>
        <w:t xml:space="preserve">זהו טווח ענישה שהוא תוצאת </w:t>
      </w:r>
      <w:r w:rsidRPr="00EF598B">
        <w:rPr>
          <w:b/>
          <w:bCs/>
          <w:rtl/>
          <w:lang w:eastAsia="he-IL"/>
        </w:rPr>
        <w:t>"מיצוי כוח המיקוח של כל אחד מהצדדים להליך, בשים לב לכלל נסיבות התיק..."</w:t>
      </w:r>
      <w:r w:rsidRPr="00EF598B">
        <w:rPr>
          <w:rtl/>
          <w:lang w:eastAsia="he-IL"/>
        </w:rPr>
        <w:t xml:space="preserve">. </w:t>
      </w:r>
      <w:r w:rsidRPr="00EF598B">
        <w:rPr>
          <w:rFonts w:ascii="David" w:hAnsi="David"/>
          <w:rtl/>
        </w:rPr>
        <w:t xml:space="preserve">מתחם העונש ההולם הינו בבחינת </w:t>
      </w:r>
      <w:r w:rsidRPr="00EF598B">
        <w:rPr>
          <w:rFonts w:ascii="David" w:hAnsi="David"/>
          <w:b/>
          <w:bCs/>
          <w:rtl/>
        </w:rPr>
        <w:t>"קביעה נורמטיבית של בית המשפט באשר לטווח הענישה הראוי..."</w:t>
      </w:r>
      <w:r w:rsidRPr="00EF598B">
        <w:rPr>
          <w:rFonts w:ascii="David" w:hAnsi="David"/>
          <w:rtl/>
        </w:rPr>
        <w:t xml:space="preserve"> (ע"פ </w:t>
      </w:r>
      <w:hyperlink r:id="rId18" w:history="1">
        <w:r w:rsidR="00E12BE8" w:rsidRPr="00E12BE8">
          <w:rPr>
            <w:rFonts w:ascii="David" w:hAnsi="David"/>
            <w:color w:val="0000FF"/>
            <w:u w:val="single"/>
            <w:rtl/>
          </w:rPr>
          <w:t xml:space="preserve">512/13 </w:t>
        </w:r>
      </w:hyperlink>
      <w:r w:rsidRPr="00EF598B">
        <w:rPr>
          <w:rFonts w:ascii="David" w:hAnsi="David"/>
          <w:rtl/>
        </w:rPr>
        <w:t xml:space="preserve"> </w:t>
      </w:r>
      <w:r w:rsidRPr="00EF598B">
        <w:rPr>
          <w:rFonts w:ascii="David" w:hAnsi="David"/>
          <w:b/>
          <w:bCs/>
          <w:rtl/>
        </w:rPr>
        <w:t xml:space="preserve">פלוני נ' מ"י </w:t>
      </w:r>
      <w:r w:rsidRPr="00EF598B">
        <w:rPr>
          <w:rFonts w:ascii="David" w:hAnsi="David"/>
          <w:rtl/>
        </w:rPr>
        <w:t>(4.12.2013)), אל מול טווח הענישה בהסדר אשר הוא תוצאת הסכמה בין הצדדים.</w:t>
      </w:r>
    </w:p>
    <w:p w14:paraId="12553A35" w14:textId="77777777" w:rsidR="000613B5" w:rsidRPr="00EF598B" w:rsidRDefault="000613B5" w:rsidP="000613B5">
      <w:pPr>
        <w:spacing w:line="360" w:lineRule="auto"/>
        <w:ind w:left="26"/>
        <w:jc w:val="both"/>
        <w:rPr>
          <w:rFonts w:ascii="David" w:hAnsi="David"/>
          <w:rtl/>
        </w:rPr>
      </w:pPr>
    </w:p>
    <w:p w14:paraId="6AA6B454" w14:textId="77777777" w:rsidR="000613B5" w:rsidRPr="00EF598B" w:rsidRDefault="000613B5" w:rsidP="000613B5">
      <w:pPr>
        <w:spacing w:line="360" w:lineRule="auto"/>
        <w:ind w:left="26"/>
        <w:jc w:val="both"/>
        <w:rPr>
          <w:rFonts w:ascii="David" w:hAnsi="David"/>
          <w:rtl/>
        </w:rPr>
      </w:pPr>
      <w:r w:rsidRPr="00EF598B">
        <w:rPr>
          <w:rFonts w:ascii="David" w:hAnsi="David"/>
          <w:rtl/>
        </w:rPr>
        <w:t xml:space="preserve">משאין ספק בקיומו של ההסדר, אין מקום לקביעת מתחם עונש הולם. ר' ע"פ </w:t>
      </w:r>
      <w:hyperlink r:id="rId19" w:history="1">
        <w:r w:rsidR="00E12BE8" w:rsidRPr="00E12BE8">
          <w:rPr>
            <w:rFonts w:ascii="David" w:hAnsi="David"/>
            <w:color w:val="0000FF"/>
            <w:u w:val="single"/>
            <w:rtl/>
          </w:rPr>
          <w:t xml:space="preserve">512/13 </w:t>
        </w:r>
      </w:hyperlink>
      <w:r w:rsidRPr="00EF598B">
        <w:rPr>
          <w:rFonts w:ascii="David" w:hAnsi="David"/>
          <w:rtl/>
        </w:rPr>
        <w:t xml:space="preserve"> </w:t>
      </w:r>
      <w:r w:rsidRPr="00EF598B">
        <w:rPr>
          <w:rFonts w:ascii="David" w:hAnsi="David"/>
          <w:b/>
          <w:bCs/>
          <w:rtl/>
        </w:rPr>
        <w:t xml:space="preserve">פלוני נ' מ"י </w:t>
      </w:r>
      <w:r w:rsidRPr="00EF598B">
        <w:rPr>
          <w:rFonts w:ascii="David" w:hAnsi="David"/>
          <w:rtl/>
        </w:rPr>
        <w:t xml:space="preserve">(4.12.2013). ר' גם </w:t>
      </w:r>
      <w:hyperlink r:id="rId20" w:history="1">
        <w:r w:rsidR="00725381" w:rsidRPr="00725381">
          <w:rPr>
            <w:rFonts w:ascii="David" w:hAnsi="David"/>
            <w:color w:val="0000FF"/>
            <w:u w:val="single"/>
            <w:rtl/>
          </w:rPr>
          <w:t>ע"פ 6943/16</w:t>
        </w:r>
      </w:hyperlink>
      <w:r w:rsidRPr="00EF598B">
        <w:rPr>
          <w:rFonts w:ascii="David" w:hAnsi="David"/>
          <w:rtl/>
        </w:rPr>
        <w:t xml:space="preserve"> </w:t>
      </w:r>
      <w:r w:rsidRPr="00EF598B">
        <w:rPr>
          <w:rFonts w:ascii="David" w:hAnsi="David"/>
          <w:b/>
          <w:bCs/>
          <w:rtl/>
        </w:rPr>
        <w:t xml:space="preserve">גלקין נ' מ"י </w:t>
      </w:r>
      <w:r w:rsidRPr="00EF598B">
        <w:rPr>
          <w:rFonts w:ascii="David" w:hAnsi="David"/>
          <w:rtl/>
        </w:rPr>
        <w:t xml:space="preserve">(28.1.2018) בו נפסק כי: </w:t>
      </w:r>
      <w:r w:rsidRPr="00EF598B">
        <w:rPr>
          <w:rFonts w:ascii="David" w:hAnsi="David"/>
          <w:b/>
          <w:bCs/>
          <w:rtl/>
        </w:rPr>
        <w:t>"... אין זה נכון או ראוי – ודאי במקרה כזה – להרחיב בקביעת המתחם. כאמור יש לאבחן בין רכיבי תיקון 113 לבין מידת ההתערבות של בית המשפט בהסדרי טיעון. בית משפט זה בהרכב מורחב קבע את הכללים הרלוונטיים בנדון ... זהו המוקד. זאת, במיוחד בתיק מסוג זה, אשר על פני הדברים טווח הענישה המצוי בהסדר הטיעון לא נופל מחוץ למתחם הענישה. הדיון הנדרש אינו נסוב סביב דחיית ההסדר, אלא סביב כימות העונש הסופי בתוך הטווח שנקבע. במקרים כאלה אינני סבור כי יש צורך להרחיב במלאכת קביעת מתחם הענישה".</w:t>
      </w:r>
      <w:r w:rsidRPr="00EF598B">
        <w:rPr>
          <w:rFonts w:ascii="David" w:hAnsi="David" w:cs="Times New Roman"/>
          <w:b/>
          <w:bCs/>
          <w:rtl/>
        </w:rPr>
        <w:t xml:space="preserve"> </w:t>
      </w:r>
      <w:r w:rsidRPr="00EF598B">
        <w:rPr>
          <w:rFonts w:ascii="David" w:hAnsi="David"/>
          <w:rtl/>
        </w:rPr>
        <w:t xml:space="preserve">עוד ר' גם </w:t>
      </w:r>
      <w:hyperlink r:id="rId21" w:history="1">
        <w:r w:rsidR="00725381" w:rsidRPr="00725381">
          <w:rPr>
            <w:rFonts w:ascii="David" w:hAnsi="David"/>
            <w:color w:val="0000FF"/>
            <w:u w:val="single"/>
            <w:rtl/>
          </w:rPr>
          <w:t>ע"פ 2454/18</w:t>
        </w:r>
      </w:hyperlink>
      <w:r w:rsidRPr="00EF598B">
        <w:rPr>
          <w:rFonts w:ascii="David" w:hAnsi="David"/>
          <w:rtl/>
        </w:rPr>
        <w:t xml:space="preserve"> </w:t>
      </w:r>
      <w:r w:rsidRPr="00EF598B">
        <w:rPr>
          <w:rFonts w:ascii="David" w:hAnsi="David"/>
          <w:b/>
          <w:bCs/>
          <w:rtl/>
        </w:rPr>
        <w:t>שיינברג נ' מ"י</w:t>
      </w:r>
      <w:r w:rsidRPr="00EF598B">
        <w:rPr>
          <w:rFonts w:ascii="David" w:hAnsi="David"/>
          <w:rtl/>
        </w:rPr>
        <w:t xml:space="preserve"> (6.12.2018), בו הובאה כאפשרית הדעה לפיה כאשר הצדדים הסכימו על טווח ענישה שנופל בבירור בתוך מתחם הענישה, אין צורך להרחיב בקביעת המתחם. </w:t>
      </w:r>
    </w:p>
    <w:p w14:paraId="1860F9BF" w14:textId="77777777" w:rsidR="000613B5" w:rsidRPr="00EF598B" w:rsidRDefault="000613B5" w:rsidP="000613B5">
      <w:pPr>
        <w:spacing w:line="360" w:lineRule="auto"/>
        <w:jc w:val="both"/>
        <w:rPr>
          <w:rFonts w:ascii="David" w:hAnsi="David"/>
          <w:rtl/>
        </w:rPr>
      </w:pPr>
    </w:p>
    <w:p w14:paraId="5B59D832" w14:textId="77777777" w:rsidR="000613B5" w:rsidRPr="00EF598B" w:rsidRDefault="000613B5" w:rsidP="000613B5">
      <w:pPr>
        <w:spacing w:line="360" w:lineRule="auto"/>
        <w:jc w:val="both"/>
        <w:rPr>
          <w:rFonts w:ascii="David" w:hAnsi="David"/>
          <w:rtl/>
        </w:rPr>
      </w:pPr>
      <w:r w:rsidRPr="00EF598B">
        <w:rPr>
          <w:rFonts w:ascii="David" w:hAnsi="David"/>
          <w:rtl/>
        </w:rPr>
        <w:t xml:space="preserve">לאור האמור, אינני מוצא מקום לקביעת מתחם עונש הולם, שכן אינני מוצא ספק בכיבוד ההסדר, וקביעת מתחם עונש הולם מקום שקיימת הסכמה על טווח ענישה שמורה למקרים חריגים, ואין זה המקרה. </w:t>
      </w:r>
    </w:p>
    <w:p w14:paraId="20C7DEC4" w14:textId="77777777" w:rsidR="000613B5" w:rsidRPr="00EF598B" w:rsidRDefault="000613B5" w:rsidP="000613B5">
      <w:pPr>
        <w:spacing w:line="360" w:lineRule="auto"/>
        <w:jc w:val="both"/>
        <w:rPr>
          <w:rFonts w:ascii="David" w:hAnsi="David"/>
          <w:rtl/>
        </w:rPr>
      </w:pPr>
    </w:p>
    <w:p w14:paraId="2EB9CE8F" w14:textId="77777777" w:rsidR="000613B5" w:rsidRPr="00EF598B" w:rsidRDefault="000613B5" w:rsidP="000613B5">
      <w:pPr>
        <w:spacing w:line="360" w:lineRule="auto"/>
        <w:jc w:val="both"/>
        <w:rPr>
          <w:rFonts w:ascii="David" w:hAnsi="David"/>
          <w:rtl/>
        </w:rPr>
      </w:pPr>
      <w:r w:rsidRPr="00EF598B">
        <w:rPr>
          <w:rFonts w:ascii="David" w:hAnsi="David"/>
          <w:rtl/>
        </w:rPr>
        <w:t>8.</w:t>
      </w:r>
      <w:r w:rsidRPr="00EF598B">
        <w:rPr>
          <w:rFonts w:ascii="David" w:hAnsi="David"/>
          <w:rtl/>
        </w:rPr>
        <w:tab/>
        <w:t xml:space="preserve">הענישה הינה אינדיבידואלית, ועקרון זה בא לידי ביטוי הן בבחינת נסיבות ביצוע העבירה, והן בבחינת נסיבותיו של הנאשם. </w:t>
      </w:r>
    </w:p>
    <w:p w14:paraId="2936171F" w14:textId="77777777" w:rsidR="000613B5" w:rsidRPr="00EF598B" w:rsidRDefault="000613B5" w:rsidP="000613B5">
      <w:pPr>
        <w:spacing w:line="360" w:lineRule="auto"/>
        <w:jc w:val="both"/>
        <w:rPr>
          <w:rFonts w:ascii="David" w:hAnsi="David"/>
          <w:rtl/>
        </w:rPr>
      </w:pPr>
    </w:p>
    <w:p w14:paraId="1B21CB91" w14:textId="77777777" w:rsidR="000613B5" w:rsidRPr="00EF598B" w:rsidRDefault="000613B5" w:rsidP="000613B5">
      <w:pPr>
        <w:spacing w:line="360" w:lineRule="auto"/>
        <w:ind w:left="26"/>
        <w:jc w:val="both"/>
        <w:rPr>
          <w:rFonts w:ascii="David" w:hAnsi="David"/>
          <w:b/>
          <w:bCs/>
          <w:rtl/>
        </w:rPr>
      </w:pPr>
      <w:r w:rsidRPr="00EF598B">
        <w:rPr>
          <w:rFonts w:ascii="David" w:hAnsi="David"/>
          <w:rtl/>
        </w:rPr>
        <w:t xml:space="preserve">בענישה בעבירות נשק יש להתייחס לסוג וכמות הנשק, לצד הנסיבות הנלוות. כך הוא כאשר נקבע מתחם עונש הולם, וכך גם כאשר אין מקום לקביעת מתחם. סוג הנשק והנסיבות הנלוות להחזקתו, מהווים נתון מרכזי בענישה. ר' לענין זה </w:t>
      </w:r>
      <w:hyperlink r:id="rId22" w:history="1">
        <w:r w:rsidR="00725381" w:rsidRPr="00725381">
          <w:rPr>
            <w:rFonts w:ascii="David" w:hAnsi="David"/>
            <w:color w:val="0000FF"/>
            <w:u w:val="single"/>
            <w:rtl/>
          </w:rPr>
          <w:t>ע"פ 1323/13</w:t>
        </w:r>
      </w:hyperlink>
      <w:r w:rsidRPr="00EF598B">
        <w:rPr>
          <w:rFonts w:ascii="David" w:hAnsi="David"/>
          <w:rtl/>
        </w:rPr>
        <w:t xml:space="preserve"> </w:t>
      </w:r>
      <w:r w:rsidRPr="00EF598B">
        <w:rPr>
          <w:rFonts w:ascii="David" w:hAnsi="David"/>
          <w:b/>
          <w:bCs/>
          <w:rtl/>
        </w:rPr>
        <w:t xml:space="preserve">רך חסן ואח' נ' מ"י </w:t>
      </w:r>
      <w:r w:rsidRPr="00EF598B">
        <w:rPr>
          <w:rFonts w:ascii="David" w:hAnsi="David"/>
          <w:rtl/>
        </w:rPr>
        <w:t>(5.6.2013)</w:t>
      </w:r>
      <w:r w:rsidRPr="00EF598B">
        <w:rPr>
          <w:rFonts w:ascii="David" w:hAnsi="David"/>
          <w:b/>
          <w:bCs/>
          <w:rtl/>
        </w:rPr>
        <w:t xml:space="preserve"> </w:t>
      </w:r>
      <w:r w:rsidRPr="00EF598B">
        <w:rPr>
          <w:rFonts w:ascii="David" w:hAnsi="David"/>
          <w:rtl/>
        </w:rPr>
        <w:t xml:space="preserve">שם נפסק כי: </w:t>
      </w:r>
      <w:r w:rsidRPr="00EF598B">
        <w:rPr>
          <w:rFonts w:ascii="David" w:hAnsi="David"/>
          <w:b/>
          <w:bCs/>
          <w:rtl/>
        </w:rPr>
        <w:t xml:space="preserve">"... סוג הנשק, כמו-גם ההיקף שבו נסחר, הוחזק, הובל וכיוצא באלה, הם נסיבות הקשורות בביצוע העבירה והם שקובעים את פוטנציאל הנזק הכרוך במעשה העבירה... למעשה, אין כל חידוש בקביעה כי קיים מדרג ענישה בעבירות המבוצעות בנשק, נקבע, בין השאר, על פי סוג, איכות וכמות הנשק שנעשה בו שימוש...". </w:t>
      </w:r>
    </w:p>
    <w:p w14:paraId="7A8B4234" w14:textId="77777777" w:rsidR="000613B5" w:rsidRPr="00EF598B" w:rsidRDefault="000613B5" w:rsidP="000613B5">
      <w:pPr>
        <w:spacing w:line="360" w:lineRule="auto"/>
        <w:ind w:left="26"/>
        <w:jc w:val="both"/>
        <w:rPr>
          <w:rFonts w:ascii="David" w:hAnsi="David"/>
          <w:b/>
          <w:bCs/>
          <w:rtl/>
        </w:rPr>
      </w:pPr>
    </w:p>
    <w:p w14:paraId="4B77BE80" w14:textId="77777777" w:rsidR="000613B5" w:rsidRPr="00EF598B" w:rsidRDefault="000613B5" w:rsidP="000613B5">
      <w:pPr>
        <w:spacing w:line="360" w:lineRule="auto"/>
        <w:ind w:left="26"/>
        <w:jc w:val="both"/>
        <w:rPr>
          <w:rFonts w:ascii="David" w:hAnsi="David"/>
          <w:rtl/>
        </w:rPr>
      </w:pPr>
      <w:r w:rsidRPr="00EF598B">
        <w:rPr>
          <w:rFonts w:ascii="David" w:hAnsi="David"/>
          <w:rtl/>
        </w:rPr>
        <w:t>9.</w:t>
      </w:r>
      <w:r w:rsidRPr="00EF598B">
        <w:rPr>
          <w:rFonts w:ascii="David" w:hAnsi="David"/>
          <w:rtl/>
        </w:rPr>
        <w:tab/>
        <w:t>להלן התייחסות לפסיקה בעבירות נשק דומות, ואולם, מובן כי יש לאבחן כל מקרה בהתאם לנסיבותיו אל מול נסיבות ביצוע העבירה בתיק זה. בחלק מהמקרים להלן הנסיבות חמורות פחות, ובחלקם חמורות יותר.</w:t>
      </w:r>
    </w:p>
    <w:p w14:paraId="4BD406D9" w14:textId="77777777" w:rsidR="000613B5" w:rsidRPr="00EF598B" w:rsidRDefault="000613B5" w:rsidP="000613B5">
      <w:pPr>
        <w:spacing w:line="360" w:lineRule="auto"/>
        <w:ind w:left="26"/>
        <w:jc w:val="both"/>
        <w:rPr>
          <w:rFonts w:ascii="David" w:hAnsi="David"/>
          <w:rtl/>
        </w:rPr>
      </w:pPr>
    </w:p>
    <w:p w14:paraId="20177E36" w14:textId="77777777" w:rsidR="000613B5" w:rsidRPr="00EF598B" w:rsidRDefault="000613B5" w:rsidP="000613B5">
      <w:pPr>
        <w:spacing w:line="360" w:lineRule="auto"/>
        <w:ind w:left="26"/>
        <w:jc w:val="both"/>
        <w:rPr>
          <w:rFonts w:ascii="David" w:hAnsi="David"/>
          <w:rtl/>
        </w:rPr>
      </w:pPr>
      <w:r w:rsidRPr="00EF598B">
        <w:rPr>
          <w:rtl/>
          <w:lang w:eastAsia="he-IL"/>
        </w:rPr>
        <w:t>ב</w:t>
      </w:r>
      <w:hyperlink r:id="rId23" w:history="1">
        <w:r w:rsidR="00725381" w:rsidRPr="00725381">
          <w:rPr>
            <w:color w:val="0000FF"/>
            <w:u w:val="single"/>
            <w:rtl/>
            <w:lang w:eastAsia="he-IL"/>
          </w:rPr>
          <w:t>ע"פ 6383/21</w:t>
        </w:r>
      </w:hyperlink>
      <w:r w:rsidRPr="00EF598B">
        <w:rPr>
          <w:rtl/>
          <w:lang w:eastAsia="he-IL"/>
        </w:rPr>
        <w:t xml:space="preserve">, 6398/21, 6417/21 </w:t>
      </w:r>
      <w:r w:rsidRPr="00EF598B">
        <w:rPr>
          <w:b/>
          <w:bCs/>
          <w:rtl/>
          <w:lang w:eastAsia="he-IL"/>
        </w:rPr>
        <w:t xml:space="preserve">קריף ואח' נ' מ"י </w:t>
      </w:r>
      <w:r w:rsidRPr="00EF598B">
        <w:rPr>
          <w:rtl/>
          <w:lang w:eastAsia="he-IL"/>
        </w:rPr>
        <w:t xml:space="preserve">(13.2.2022) (ערעור על גזר דין של מותב זה) -הורשעו המערער 1 והמערער 3 אשר עניינם הוא הרלבנטי לאור נסיבות ביצוע העבירות על ידם, בעבירות נשק (הובלה ונשיאת נשק) לפי </w:t>
      </w:r>
      <w:hyperlink r:id="rId24" w:history="1">
        <w:r w:rsidR="00EA748F" w:rsidRPr="00EA748F">
          <w:rPr>
            <w:rStyle w:val="Hyperlink"/>
            <w:rtl/>
            <w:lang w:eastAsia="he-IL"/>
          </w:rPr>
          <w:t>סעיף 144(ב)</w:t>
        </w:r>
      </w:hyperlink>
      <w:r w:rsidRPr="00EF598B">
        <w:rPr>
          <w:rtl/>
          <w:lang w:eastAsia="he-IL"/>
        </w:rPr>
        <w:t xml:space="preserve"> רישא ל</w:t>
      </w:r>
      <w:hyperlink r:id="rId25" w:history="1">
        <w:r w:rsidR="00725381" w:rsidRPr="00725381">
          <w:rPr>
            <w:color w:val="0000FF"/>
            <w:u w:val="single"/>
            <w:rtl/>
            <w:lang w:eastAsia="he-IL"/>
          </w:rPr>
          <w:t>חוק העונשין</w:t>
        </w:r>
      </w:hyperlink>
      <w:r w:rsidRPr="00EF598B">
        <w:rPr>
          <w:rtl/>
          <w:lang w:eastAsia="he-IL"/>
        </w:rPr>
        <w:t xml:space="preserve">, בכך שלאחר שהמערער 1 יצר קשר עם נאשם נוסף בפרשה וביקש שיסייע לו לקבל לידיו נשק, המערערים 1 ו- 3 קיבלו מהמערער 2 נשק מסוג אקדח הזנקה מוסב היורה ומסוגל להמית. מערער 3 </w:t>
      </w:r>
      <w:r w:rsidRPr="00EF598B">
        <w:rPr>
          <w:rFonts w:ascii="David" w:hAnsi="David"/>
          <w:rtl/>
        </w:rPr>
        <w:t>לקח את האקדח והטמינו במכנסיו, ומערערים 1 ו- 3 נסעו מהמקום ובמהלך הנסיעה נעצרו בידי כוחות משטרה שמצאו את הנשק על גופו של מערער 3. נקבע מתחם עונש הולם לכל אחד משני המערערים הללו של 18-36 חודשי מאסר, והוטל על כל אחד מהם עונש של 25 חודשים, גם לאור עברם הפלילי. הערעור נדחה.</w:t>
      </w:r>
    </w:p>
    <w:p w14:paraId="4051AD1E" w14:textId="77777777" w:rsidR="000613B5" w:rsidRPr="00EF598B" w:rsidRDefault="000613B5" w:rsidP="000613B5">
      <w:pPr>
        <w:spacing w:line="360" w:lineRule="auto"/>
        <w:ind w:left="26"/>
        <w:jc w:val="both"/>
        <w:rPr>
          <w:rFonts w:ascii="David" w:hAnsi="David"/>
          <w:rtl/>
        </w:rPr>
      </w:pPr>
    </w:p>
    <w:p w14:paraId="186B2707" w14:textId="77777777" w:rsidR="000613B5" w:rsidRPr="00EF598B" w:rsidRDefault="000613B5" w:rsidP="000613B5">
      <w:pPr>
        <w:spacing w:line="360" w:lineRule="auto"/>
        <w:jc w:val="both"/>
        <w:rPr>
          <w:rFonts w:ascii="David" w:hAnsi="David"/>
          <w:rtl/>
        </w:rPr>
      </w:pPr>
      <w:r w:rsidRPr="00EF598B">
        <w:rPr>
          <w:rFonts w:ascii="David" w:hAnsi="David"/>
          <w:rtl/>
        </w:rPr>
        <w:t>ב</w:t>
      </w:r>
      <w:hyperlink r:id="rId26" w:history="1">
        <w:r w:rsidR="00725381" w:rsidRPr="00725381">
          <w:rPr>
            <w:rFonts w:ascii="David" w:hAnsi="David"/>
            <w:color w:val="0000FF"/>
            <w:u w:val="single"/>
            <w:rtl/>
          </w:rPr>
          <w:t>ע"פ 3877/16</w:t>
        </w:r>
      </w:hyperlink>
      <w:r w:rsidRPr="00EF598B">
        <w:rPr>
          <w:rFonts w:ascii="David" w:hAnsi="David"/>
          <w:rtl/>
        </w:rPr>
        <w:t xml:space="preserve"> </w:t>
      </w:r>
      <w:r w:rsidRPr="00EF598B">
        <w:rPr>
          <w:rFonts w:ascii="David" w:hAnsi="David"/>
          <w:b/>
          <w:bCs/>
          <w:rtl/>
        </w:rPr>
        <w:t xml:space="preserve">ג'באלי נ' מ"י  </w:t>
      </w:r>
      <w:r w:rsidRPr="00EF598B">
        <w:rPr>
          <w:rFonts w:ascii="David" w:hAnsi="David"/>
          <w:rtl/>
        </w:rPr>
        <w:t>(17.11.2016</w:t>
      </w:r>
      <w:r w:rsidRPr="00EF598B">
        <w:rPr>
          <w:rtl/>
        </w:rPr>
        <w:t xml:space="preserve">) - </w:t>
      </w:r>
      <w:r w:rsidRPr="00EF598B">
        <w:rPr>
          <w:rFonts w:ascii="David" w:hAnsi="David"/>
          <w:rtl/>
        </w:rPr>
        <w:t xml:space="preserve">הורשע המערער בעבירה של נשיאת נשק בכך שנשא אקדח טעון במחסנית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עונש הולם בין 24 ל-48 חודשי מאסר בפועל וגזר על המערער 34 חדשי מאסר. הערעור נדחה תוך שבית המשפט העליון ציין כי </w:t>
      </w:r>
      <w:r w:rsidRPr="00EF598B">
        <w:rPr>
          <w:rFonts w:ascii="David" w:hAnsi="David"/>
          <w:b/>
          <w:bCs/>
          <w:rtl/>
        </w:rPr>
        <w:t>"אכן העונש שנגזר על המערער במקרה דנן אינו מן הקלים, אך אינו חורג באופן מהותי ממדיניות הענישה הנוהגת והראויה",</w:t>
      </w:r>
      <w:r w:rsidRPr="00EF598B">
        <w:rPr>
          <w:rFonts w:ascii="David" w:hAnsi="David"/>
          <w:rtl/>
        </w:rPr>
        <w:t xml:space="preserve"> וצויין עברו הפלילי המכביד של המערער והעובדה כי זמן קצר קודם לכן סיים לרצות מאסר. </w:t>
      </w:r>
    </w:p>
    <w:p w14:paraId="61C4E3D3" w14:textId="77777777" w:rsidR="000613B5" w:rsidRPr="00EF598B" w:rsidRDefault="000613B5" w:rsidP="000613B5">
      <w:pPr>
        <w:spacing w:line="360" w:lineRule="auto"/>
        <w:jc w:val="both"/>
        <w:rPr>
          <w:rtl/>
        </w:rPr>
      </w:pPr>
    </w:p>
    <w:p w14:paraId="5964FCE7" w14:textId="77777777" w:rsidR="000613B5" w:rsidRPr="00EF598B" w:rsidRDefault="000613B5" w:rsidP="000613B5">
      <w:pPr>
        <w:spacing w:line="360" w:lineRule="auto"/>
        <w:jc w:val="both"/>
        <w:rPr>
          <w:rFonts w:ascii="David" w:hAnsi="David"/>
          <w:rtl/>
        </w:rPr>
      </w:pPr>
      <w:r w:rsidRPr="00EF598B">
        <w:rPr>
          <w:rFonts w:ascii="David" w:hAnsi="David"/>
          <w:rtl/>
        </w:rPr>
        <w:t>ב</w:t>
      </w:r>
      <w:hyperlink r:id="rId27" w:history="1">
        <w:r w:rsidR="00725381" w:rsidRPr="00725381">
          <w:rPr>
            <w:rFonts w:ascii="David" w:hAnsi="David"/>
            <w:color w:val="0000FF"/>
            <w:u w:val="single"/>
            <w:rtl/>
          </w:rPr>
          <w:t>ע"פ 3156/11</w:t>
        </w:r>
      </w:hyperlink>
      <w:r w:rsidRPr="00EF598B">
        <w:rPr>
          <w:rFonts w:ascii="David" w:hAnsi="David"/>
          <w:rtl/>
        </w:rPr>
        <w:t xml:space="preserve"> </w:t>
      </w:r>
      <w:r w:rsidRPr="00EF598B">
        <w:rPr>
          <w:rFonts w:ascii="David" w:hAnsi="David"/>
          <w:b/>
          <w:bCs/>
          <w:rtl/>
        </w:rPr>
        <w:t>זראיעה נ' מ"י</w:t>
      </w:r>
      <w:r w:rsidRPr="00EF598B">
        <w:rPr>
          <w:rFonts w:ascii="David" w:hAnsi="David"/>
          <w:rtl/>
        </w:rPr>
        <w:t xml:space="preserve"> (21.2.2012) - הורשע המערער בעבירות של נשיאת והובלת נשק והסתייעות ברכב לביצוע פשע, ובגין אלו הוטל עליו מאסר למשך 24 חודשים. על פי כתב האישום המתוקן, המערער נסע ברכבו אחרי שהסליק בו אקדח, מחסנית טעונה בכדורי אקדח וקופסאות עם כדורי אקדח, והאקדח והתחמושת נתפסו בחיפוש שגרתי שביצעה המשטרה ברכב. המערער היה נעדר עבר פלילי למעט עבירה שלא מסוג זה. הערעור נדחה.</w:t>
      </w:r>
    </w:p>
    <w:p w14:paraId="12470F4D" w14:textId="77777777" w:rsidR="000613B5" w:rsidRPr="00EF598B" w:rsidRDefault="000613B5" w:rsidP="000613B5">
      <w:pPr>
        <w:spacing w:line="360" w:lineRule="auto"/>
        <w:jc w:val="both"/>
        <w:rPr>
          <w:rtl/>
        </w:rPr>
      </w:pPr>
    </w:p>
    <w:p w14:paraId="4B22A73B" w14:textId="77777777" w:rsidR="000613B5" w:rsidRPr="00EF598B" w:rsidRDefault="000613B5" w:rsidP="000613B5">
      <w:pPr>
        <w:spacing w:line="360" w:lineRule="auto"/>
        <w:jc w:val="both"/>
        <w:rPr>
          <w:rtl/>
        </w:rPr>
      </w:pPr>
      <w:r w:rsidRPr="00EF598B">
        <w:rPr>
          <w:rtl/>
        </w:rPr>
        <w:t>ב</w:t>
      </w:r>
      <w:hyperlink r:id="rId28" w:history="1">
        <w:r w:rsidR="00725381" w:rsidRPr="00725381">
          <w:rPr>
            <w:color w:val="0000FF"/>
            <w:u w:val="single"/>
            <w:rtl/>
          </w:rPr>
          <w:t>ע"פ 2398/14</w:t>
        </w:r>
      </w:hyperlink>
      <w:r w:rsidRPr="00EF598B">
        <w:rPr>
          <w:rtl/>
        </w:rPr>
        <w:t xml:space="preserve"> </w:t>
      </w:r>
      <w:r w:rsidRPr="00EF598B">
        <w:rPr>
          <w:b/>
          <w:bCs/>
          <w:rtl/>
        </w:rPr>
        <w:t>ענאן אלהזייל נגד מ"י</w:t>
      </w:r>
      <w:r w:rsidRPr="00EF598B">
        <w:rPr>
          <w:rtl/>
        </w:rPr>
        <w:t xml:space="preserve"> (8.7.2014) - המערער הורשע על פי הודאתו בכתב אישום מתוקן בעבירה של אחזקת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10-24 חודשי מאסר בפועל, והשית על המערער 13 חודשי מאסר בפועל לצד ענישה נלווית. הערעור נדחה.</w:t>
      </w:r>
    </w:p>
    <w:p w14:paraId="0B766D5C" w14:textId="77777777" w:rsidR="000613B5" w:rsidRPr="00EF598B" w:rsidRDefault="000613B5" w:rsidP="000613B5">
      <w:pPr>
        <w:spacing w:line="360" w:lineRule="auto"/>
        <w:jc w:val="both"/>
        <w:rPr>
          <w:rtl/>
        </w:rPr>
      </w:pPr>
    </w:p>
    <w:p w14:paraId="594E1D9D" w14:textId="77777777" w:rsidR="000613B5" w:rsidRPr="00EF598B" w:rsidRDefault="000613B5" w:rsidP="000613B5">
      <w:pPr>
        <w:spacing w:line="360" w:lineRule="auto"/>
        <w:ind w:left="26"/>
        <w:jc w:val="both"/>
        <w:rPr>
          <w:rFonts w:ascii="David" w:hAnsi="David"/>
          <w:rtl/>
        </w:rPr>
      </w:pPr>
      <w:r w:rsidRPr="00EF598B">
        <w:rPr>
          <w:rFonts w:ascii="David" w:hAnsi="David"/>
          <w:rtl/>
        </w:rPr>
        <w:t>ב</w:t>
      </w:r>
      <w:hyperlink r:id="rId29" w:history="1">
        <w:r w:rsidR="00725381" w:rsidRPr="00725381">
          <w:rPr>
            <w:rFonts w:ascii="David" w:hAnsi="David"/>
            <w:color w:val="0000FF"/>
            <w:u w:val="single"/>
            <w:rtl/>
          </w:rPr>
          <w:t>ע"פ 2892/13</w:t>
        </w:r>
      </w:hyperlink>
      <w:r w:rsidRPr="00EF598B">
        <w:rPr>
          <w:rFonts w:ascii="David" w:hAnsi="David"/>
          <w:rtl/>
        </w:rPr>
        <w:t xml:space="preserve"> </w:t>
      </w:r>
      <w:r w:rsidRPr="00EF598B">
        <w:rPr>
          <w:rFonts w:ascii="David" w:hAnsi="David"/>
          <w:b/>
          <w:bCs/>
          <w:rtl/>
        </w:rPr>
        <w:t xml:space="preserve">מוחמד עודתאללה נ' מ"י </w:t>
      </w:r>
      <w:r w:rsidRPr="00EF598B">
        <w:rPr>
          <w:rFonts w:ascii="David" w:hAnsi="David"/>
          <w:rtl/>
        </w:rPr>
        <w:t xml:space="preserve">(29.9.2013), הורשע המערער, לאחר שמיעת ראיות, בעבירות של נשיאה והובלה של נשק שלא כדין לפי </w:t>
      </w:r>
      <w:hyperlink r:id="rId30" w:history="1">
        <w:r w:rsidR="00EA748F" w:rsidRPr="00EA748F">
          <w:rPr>
            <w:rStyle w:val="Hyperlink"/>
            <w:rFonts w:ascii="David" w:hAnsi="David"/>
            <w:rtl/>
          </w:rPr>
          <w:t>סעיף 144(ב)</w:t>
        </w:r>
      </w:hyperlink>
      <w:r w:rsidRPr="00EF598B">
        <w:rPr>
          <w:rFonts w:ascii="David" w:hAnsi="David"/>
          <w:rtl/>
        </w:rPr>
        <w:t xml:space="preserve"> רישא ל</w:t>
      </w:r>
      <w:hyperlink r:id="rId31" w:history="1">
        <w:r w:rsidR="00725381" w:rsidRPr="00725381">
          <w:rPr>
            <w:rFonts w:ascii="David" w:hAnsi="David"/>
            <w:color w:val="0000FF"/>
            <w:u w:val="single"/>
            <w:rtl/>
          </w:rPr>
          <w:t>חוק העונשין</w:t>
        </w:r>
      </w:hyperlink>
      <w:r w:rsidRPr="00EF598B">
        <w:rPr>
          <w:rFonts w:ascii="David" w:hAnsi="David"/>
          <w:rtl/>
        </w:rPr>
        <w:t xml:space="preserve"> והסתייעות ברכב לביצוע פשע, בכך שהגיע לידיו אקדח, והוא נהג ברכב כשהוא מוביל את האקדח ובו מחסנית ריקה מכדורים מוסתר תחת השטיחון שמתחת לכיסא הנהג ברכב, בבית המשפט המחוזי נקבע מתחם עונש הולם הנע בין 12 ל- 36 חודשי מאסר בפועל, ונגזר על המערער, נעדר עבר פלילי, צעיר, מאסר למשך 21 חודשים, מאסר מותנה, וקנס בסך 7,000 ₪. הערעור נדחה. </w:t>
      </w:r>
    </w:p>
    <w:p w14:paraId="24D2FCE8" w14:textId="77777777" w:rsidR="000613B5" w:rsidRPr="00EF598B" w:rsidRDefault="000613B5" w:rsidP="000613B5">
      <w:pPr>
        <w:spacing w:line="360" w:lineRule="auto"/>
        <w:ind w:left="26"/>
        <w:jc w:val="both"/>
        <w:rPr>
          <w:rFonts w:ascii="David" w:hAnsi="David"/>
          <w:rtl/>
        </w:rPr>
      </w:pPr>
    </w:p>
    <w:p w14:paraId="4D3D2733" w14:textId="77777777" w:rsidR="000613B5" w:rsidRPr="00EF598B" w:rsidRDefault="000613B5" w:rsidP="000613B5">
      <w:pPr>
        <w:tabs>
          <w:tab w:val="left" w:pos="800"/>
        </w:tabs>
        <w:overflowPunct w:val="0"/>
        <w:autoSpaceDE w:val="0"/>
        <w:autoSpaceDN w:val="0"/>
        <w:adjustRightInd w:val="0"/>
        <w:spacing w:line="360" w:lineRule="auto"/>
        <w:jc w:val="both"/>
        <w:textAlignment w:val="baseline"/>
        <w:rPr>
          <w:rFonts w:ascii="Calibri" w:hAnsi="Calibri"/>
          <w:rtl/>
        </w:rPr>
      </w:pPr>
      <w:r w:rsidRPr="00EF598B">
        <w:rPr>
          <w:rFonts w:ascii="Calibri" w:hAnsi="Calibri" w:hint="eastAsia"/>
          <w:rtl/>
        </w:rPr>
        <w:t>ב</w:t>
      </w:r>
      <w:hyperlink r:id="rId32" w:history="1">
        <w:r w:rsidR="00725381" w:rsidRPr="00725381">
          <w:rPr>
            <w:rFonts w:ascii="Calibri" w:hAnsi="Calibri" w:hint="eastAsia"/>
            <w:color w:val="0000FF"/>
            <w:u w:val="single"/>
            <w:rtl/>
          </w:rPr>
          <w:t>ע</w:t>
        </w:r>
        <w:r w:rsidR="00725381" w:rsidRPr="00725381">
          <w:rPr>
            <w:rFonts w:ascii="Calibri" w:hAnsi="Calibri"/>
            <w:color w:val="0000FF"/>
            <w:u w:val="single"/>
            <w:rtl/>
          </w:rPr>
          <w:t>"</w:t>
        </w:r>
        <w:r w:rsidR="00725381" w:rsidRPr="00725381">
          <w:rPr>
            <w:rFonts w:ascii="Calibri" w:hAnsi="Calibri" w:hint="eastAsia"/>
            <w:color w:val="0000FF"/>
            <w:u w:val="single"/>
            <w:rtl/>
          </w:rPr>
          <w:t>פ</w:t>
        </w:r>
        <w:r w:rsidR="00725381" w:rsidRPr="00725381">
          <w:rPr>
            <w:rFonts w:ascii="Calibri" w:hAnsi="Calibri"/>
            <w:color w:val="0000FF"/>
            <w:u w:val="single"/>
            <w:rtl/>
          </w:rPr>
          <w:t xml:space="preserve"> 2564/19</w:t>
        </w:r>
      </w:hyperlink>
      <w:r w:rsidRPr="00EF598B">
        <w:rPr>
          <w:rFonts w:ascii="Calibri" w:hAnsi="Calibri"/>
          <w:rtl/>
        </w:rPr>
        <w:t xml:space="preserve">  </w:t>
      </w:r>
      <w:r w:rsidRPr="00EF598B">
        <w:rPr>
          <w:rFonts w:ascii="Calibri" w:hAnsi="Calibri" w:hint="eastAsia"/>
          <w:b/>
          <w:bCs/>
          <w:rtl/>
        </w:rPr>
        <w:t>איברהים</w:t>
      </w:r>
      <w:r w:rsidRPr="00EF598B">
        <w:rPr>
          <w:rFonts w:ascii="Calibri" w:hAnsi="Calibri"/>
          <w:b/>
          <w:bCs/>
          <w:rtl/>
        </w:rPr>
        <w:t xml:space="preserve"> </w:t>
      </w:r>
      <w:r w:rsidRPr="00EF598B">
        <w:rPr>
          <w:rFonts w:ascii="Calibri" w:hAnsi="Calibri" w:hint="eastAsia"/>
          <w:b/>
          <w:bCs/>
          <w:rtl/>
        </w:rPr>
        <w:t>אזברגה</w:t>
      </w:r>
      <w:r w:rsidRPr="00EF598B">
        <w:rPr>
          <w:rFonts w:ascii="Calibri" w:hAnsi="Calibri"/>
          <w:b/>
          <w:bCs/>
          <w:rtl/>
        </w:rPr>
        <w:t xml:space="preserve"> </w:t>
      </w:r>
      <w:r w:rsidRPr="00EF598B">
        <w:rPr>
          <w:rFonts w:ascii="Calibri" w:hAnsi="Calibri" w:hint="eastAsia"/>
          <w:b/>
          <w:bCs/>
          <w:rtl/>
        </w:rPr>
        <w:t>נ</w:t>
      </w:r>
      <w:r w:rsidRPr="00EF598B">
        <w:rPr>
          <w:rFonts w:ascii="Calibri" w:hAnsi="Calibri"/>
          <w:b/>
          <w:bCs/>
          <w:rtl/>
        </w:rPr>
        <w:t xml:space="preserve">' </w:t>
      </w:r>
      <w:r w:rsidRPr="00EF598B">
        <w:rPr>
          <w:rFonts w:ascii="Garamond" w:hAnsi="Garamond" w:hint="eastAsia"/>
          <w:b/>
          <w:bCs/>
          <w:spacing w:val="10"/>
          <w:rtl/>
        </w:rPr>
        <w:t>מ</w:t>
      </w:r>
      <w:r w:rsidRPr="00EF598B">
        <w:rPr>
          <w:rFonts w:ascii="Garamond" w:hAnsi="Garamond"/>
          <w:b/>
          <w:bCs/>
          <w:spacing w:val="10"/>
          <w:rtl/>
        </w:rPr>
        <w:t>"</w:t>
      </w:r>
      <w:r w:rsidRPr="00EF598B">
        <w:rPr>
          <w:rFonts w:ascii="Garamond" w:hAnsi="Garamond" w:hint="eastAsia"/>
          <w:b/>
          <w:bCs/>
          <w:spacing w:val="10"/>
          <w:rtl/>
        </w:rPr>
        <w:t>י</w:t>
      </w:r>
      <w:r w:rsidRPr="00EF598B">
        <w:rPr>
          <w:rFonts w:ascii="Garamond" w:hAnsi="Garamond"/>
          <w:spacing w:val="10"/>
          <w:rtl/>
        </w:rPr>
        <w:t xml:space="preserve"> </w:t>
      </w:r>
      <w:r w:rsidRPr="00EF598B">
        <w:rPr>
          <w:rFonts w:ascii="Calibri" w:hAnsi="Calibri"/>
          <w:b/>
          <w:bCs/>
          <w:rtl/>
        </w:rPr>
        <w:t>(</w:t>
      </w:r>
      <w:r w:rsidRPr="00EF598B">
        <w:rPr>
          <w:rFonts w:ascii="Calibri" w:hAnsi="Calibri" w:hint="eastAsia"/>
          <w:b/>
          <w:bCs/>
          <w:rtl/>
        </w:rPr>
        <w:t>‏</w:t>
      </w:r>
      <w:r w:rsidRPr="00EF598B">
        <w:rPr>
          <w:rFonts w:ascii="Calibri" w:hAnsi="Calibri"/>
          <w:rtl/>
        </w:rPr>
        <w:t xml:space="preserve">18.7.2019) - </w:t>
      </w:r>
      <w:r w:rsidRPr="00EF598B">
        <w:rPr>
          <w:rFonts w:ascii="Calibri" w:hAnsi="Calibri" w:hint="eastAsia"/>
          <w:rtl/>
        </w:rPr>
        <w:t>המערער</w:t>
      </w:r>
      <w:r w:rsidRPr="00EF598B">
        <w:rPr>
          <w:rFonts w:ascii="Calibri" w:hAnsi="Calibri"/>
          <w:rtl/>
        </w:rPr>
        <w:t xml:space="preserve"> </w:t>
      </w:r>
      <w:r w:rsidRPr="00EF598B">
        <w:rPr>
          <w:rFonts w:ascii="Calibri" w:hAnsi="Calibri" w:hint="eastAsia"/>
          <w:rtl/>
        </w:rPr>
        <w:t>הורשע</w:t>
      </w:r>
      <w:r w:rsidRPr="00EF598B">
        <w:rPr>
          <w:rFonts w:ascii="Calibri" w:hAnsi="Calibri"/>
          <w:rtl/>
        </w:rPr>
        <w:t xml:space="preserve"> </w:t>
      </w:r>
      <w:r w:rsidRPr="00EF598B">
        <w:rPr>
          <w:rFonts w:ascii="Calibri" w:hAnsi="Calibri" w:hint="eastAsia"/>
          <w:rtl/>
        </w:rPr>
        <w:t>על</w:t>
      </w:r>
      <w:r w:rsidRPr="00EF598B">
        <w:rPr>
          <w:rFonts w:ascii="Calibri" w:hAnsi="Calibri"/>
          <w:rtl/>
        </w:rPr>
        <w:t xml:space="preserve"> </w:t>
      </w:r>
      <w:r w:rsidRPr="00EF598B">
        <w:rPr>
          <w:rFonts w:ascii="Calibri" w:hAnsi="Calibri" w:hint="eastAsia"/>
          <w:rtl/>
        </w:rPr>
        <w:t>פי</w:t>
      </w:r>
      <w:r w:rsidRPr="00EF598B">
        <w:rPr>
          <w:rFonts w:ascii="Calibri" w:hAnsi="Calibri"/>
          <w:rtl/>
        </w:rPr>
        <w:t xml:space="preserve"> </w:t>
      </w:r>
      <w:r w:rsidRPr="00EF598B">
        <w:rPr>
          <w:rFonts w:ascii="Calibri" w:hAnsi="Calibri" w:hint="eastAsia"/>
          <w:rtl/>
        </w:rPr>
        <w:t>הודאתו</w:t>
      </w:r>
      <w:r w:rsidRPr="00EF598B">
        <w:rPr>
          <w:rFonts w:ascii="Calibri" w:hAnsi="Calibri"/>
          <w:rtl/>
        </w:rPr>
        <w:t xml:space="preserve"> </w:t>
      </w:r>
      <w:r w:rsidRPr="00EF598B">
        <w:rPr>
          <w:rFonts w:ascii="Calibri" w:hAnsi="Calibri" w:hint="eastAsia"/>
          <w:rtl/>
        </w:rPr>
        <w:t>בכתב</w:t>
      </w:r>
      <w:r w:rsidRPr="00EF598B">
        <w:rPr>
          <w:rFonts w:ascii="Calibri" w:hAnsi="Calibri"/>
          <w:rtl/>
        </w:rPr>
        <w:t xml:space="preserve"> </w:t>
      </w:r>
      <w:r w:rsidRPr="00EF598B">
        <w:rPr>
          <w:rFonts w:ascii="Calibri" w:hAnsi="Calibri" w:hint="eastAsia"/>
          <w:rtl/>
        </w:rPr>
        <w:t>אישום</w:t>
      </w:r>
      <w:r w:rsidRPr="00EF598B">
        <w:rPr>
          <w:rFonts w:ascii="Calibri" w:hAnsi="Calibri"/>
          <w:rtl/>
        </w:rPr>
        <w:t xml:space="preserve"> </w:t>
      </w:r>
      <w:r w:rsidRPr="00EF598B">
        <w:rPr>
          <w:rFonts w:ascii="Calibri" w:hAnsi="Calibri" w:hint="eastAsia"/>
          <w:rtl/>
        </w:rPr>
        <w:t>מתוקן</w:t>
      </w:r>
      <w:r w:rsidRPr="00EF598B">
        <w:rPr>
          <w:rFonts w:ascii="Calibri" w:hAnsi="Calibri"/>
          <w:rtl/>
        </w:rPr>
        <w:t xml:space="preserve"> </w:t>
      </w:r>
      <w:r w:rsidRPr="00EF598B">
        <w:rPr>
          <w:rFonts w:ascii="Calibri" w:hAnsi="Calibri" w:hint="eastAsia"/>
          <w:rtl/>
        </w:rPr>
        <w:t>בעבירה</w:t>
      </w:r>
      <w:r w:rsidRPr="00EF598B">
        <w:rPr>
          <w:rFonts w:ascii="Calibri" w:hAnsi="Calibri"/>
          <w:rtl/>
        </w:rPr>
        <w:t xml:space="preserve"> </w:t>
      </w:r>
      <w:r w:rsidRPr="00EF598B">
        <w:rPr>
          <w:rFonts w:ascii="Calibri" w:hAnsi="Calibri" w:hint="eastAsia"/>
          <w:rtl/>
        </w:rPr>
        <w:t>של</w:t>
      </w:r>
      <w:r w:rsidRPr="00EF598B">
        <w:rPr>
          <w:rFonts w:ascii="Calibri" w:hAnsi="Calibri"/>
          <w:rtl/>
        </w:rPr>
        <w:t xml:space="preserve"> </w:t>
      </w:r>
      <w:r w:rsidRPr="00EF598B">
        <w:rPr>
          <w:rFonts w:ascii="Calibri" w:hAnsi="Calibri" w:hint="eastAsia"/>
          <w:rtl/>
        </w:rPr>
        <w:t>נשיאת</w:t>
      </w:r>
      <w:r w:rsidRPr="00EF598B">
        <w:rPr>
          <w:rFonts w:ascii="Calibri" w:hAnsi="Calibri"/>
          <w:rtl/>
        </w:rPr>
        <w:t xml:space="preserve"> </w:t>
      </w:r>
      <w:r w:rsidRPr="00EF598B">
        <w:rPr>
          <w:rFonts w:ascii="Calibri" w:hAnsi="Calibri" w:hint="eastAsia"/>
          <w:rtl/>
        </w:rPr>
        <w:t>נשק</w:t>
      </w:r>
      <w:r w:rsidRPr="00EF598B">
        <w:rPr>
          <w:rFonts w:ascii="Calibri" w:hAnsi="Calibri"/>
          <w:rtl/>
        </w:rPr>
        <w:t xml:space="preserve"> </w:t>
      </w:r>
      <w:r w:rsidRPr="00EF598B">
        <w:rPr>
          <w:rFonts w:ascii="Calibri" w:hAnsi="Calibri" w:hint="eastAsia"/>
          <w:rtl/>
        </w:rPr>
        <w:t>לפי</w:t>
      </w:r>
      <w:r w:rsidRPr="00EF598B">
        <w:rPr>
          <w:rFonts w:ascii="Calibri" w:hAnsi="Calibri"/>
          <w:rtl/>
        </w:rPr>
        <w:t xml:space="preserve"> </w:t>
      </w:r>
      <w:hyperlink r:id="rId33" w:history="1">
        <w:r w:rsidR="00EA748F" w:rsidRPr="00EA748F">
          <w:rPr>
            <w:rStyle w:val="Hyperlink"/>
            <w:rFonts w:ascii="Calibri" w:hAnsi="Calibri" w:hint="eastAsia"/>
            <w:rtl/>
          </w:rPr>
          <w:t>סעיף</w:t>
        </w:r>
        <w:r w:rsidR="00EA748F" w:rsidRPr="00EA748F">
          <w:rPr>
            <w:rStyle w:val="Hyperlink"/>
            <w:rFonts w:ascii="Calibri" w:hAnsi="Calibri"/>
            <w:rtl/>
          </w:rPr>
          <w:t xml:space="preserve"> 144(</w:t>
        </w:r>
        <w:r w:rsidR="00EA748F" w:rsidRPr="00EA748F">
          <w:rPr>
            <w:rStyle w:val="Hyperlink"/>
            <w:rFonts w:ascii="Calibri" w:hAnsi="Calibri" w:hint="eastAsia"/>
            <w:rtl/>
          </w:rPr>
          <w:t>ב</w:t>
        </w:r>
        <w:r w:rsidR="00EA748F" w:rsidRPr="00EA748F">
          <w:rPr>
            <w:rStyle w:val="Hyperlink"/>
            <w:rFonts w:ascii="Calibri" w:hAnsi="Calibri"/>
            <w:rtl/>
          </w:rPr>
          <w:t>)</w:t>
        </w:r>
      </w:hyperlink>
      <w:r w:rsidRPr="00EF598B">
        <w:rPr>
          <w:rFonts w:ascii="Calibri" w:hAnsi="Calibri"/>
          <w:rtl/>
        </w:rPr>
        <w:t xml:space="preserve"> </w:t>
      </w:r>
      <w:r w:rsidRPr="00EF598B">
        <w:rPr>
          <w:rFonts w:ascii="Calibri" w:hAnsi="Calibri" w:hint="eastAsia"/>
          <w:rtl/>
        </w:rPr>
        <w:t>ל</w:t>
      </w:r>
      <w:hyperlink r:id="rId34" w:history="1">
        <w:r w:rsidR="00725381" w:rsidRPr="00725381">
          <w:rPr>
            <w:rFonts w:ascii="Calibri" w:hAnsi="Calibri" w:hint="eastAsia"/>
            <w:color w:val="0000FF"/>
            <w:u w:val="single"/>
            <w:rtl/>
          </w:rPr>
          <w:t>חוק</w:t>
        </w:r>
        <w:r w:rsidR="00725381" w:rsidRPr="00725381">
          <w:rPr>
            <w:rFonts w:ascii="Calibri" w:hAnsi="Calibri"/>
            <w:color w:val="0000FF"/>
            <w:u w:val="single"/>
            <w:rtl/>
          </w:rPr>
          <w:t xml:space="preserve"> </w:t>
        </w:r>
        <w:r w:rsidR="00725381" w:rsidRPr="00725381">
          <w:rPr>
            <w:rFonts w:ascii="Calibri" w:hAnsi="Calibri" w:hint="eastAsia"/>
            <w:color w:val="0000FF"/>
            <w:u w:val="single"/>
            <w:rtl/>
          </w:rPr>
          <w:t>העונשין</w:t>
        </w:r>
      </w:hyperlink>
      <w:r w:rsidRPr="00EF598B">
        <w:rPr>
          <w:rFonts w:ascii="Calibri" w:hAnsi="Calibri"/>
          <w:rtl/>
        </w:rPr>
        <w:t xml:space="preserve">. </w:t>
      </w:r>
      <w:r w:rsidRPr="00EF598B">
        <w:rPr>
          <w:rFonts w:ascii="Calibri" w:hAnsi="Calibri" w:hint="eastAsia"/>
          <w:rtl/>
        </w:rPr>
        <w:t>המערער</w:t>
      </w:r>
      <w:r w:rsidRPr="00EF598B">
        <w:rPr>
          <w:rFonts w:ascii="Calibri" w:hAnsi="Calibri"/>
          <w:rtl/>
        </w:rPr>
        <w:t xml:space="preserve"> (</w:t>
      </w:r>
      <w:r w:rsidRPr="00EF598B">
        <w:rPr>
          <w:rFonts w:ascii="Calibri" w:hAnsi="Calibri" w:hint="eastAsia"/>
          <w:rtl/>
        </w:rPr>
        <w:t>יליד</w:t>
      </w:r>
      <w:r w:rsidRPr="00EF598B">
        <w:rPr>
          <w:rFonts w:ascii="Calibri" w:hAnsi="Calibri"/>
          <w:rtl/>
        </w:rPr>
        <w:t xml:space="preserve"> 1984) </w:t>
      </w:r>
      <w:r w:rsidRPr="00EF598B">
        <w:rPr>
          <w:rFonts w:ascii="Calibri" w:hAnsi="Calibri" w:hint="eastAsia"/>
          <w:rtl/>
        </w:rPr>
        <w:t>קשר</w:t>
      </w:r>
      <w:r w:rsidRPr="00EF598B">
        <w:rPr>
          <w:rFonts w:ascii="Calibri" w:hAnsi="Calibri"/>
          <w:rtl/>
        </w:rPr>
        <w:t xml:space="preserve"> </w:t>
      </w:r>
      <w:r w:rsidRPr="00EF598B">
        <w:rPr>
          <w:rFonts w:ascii="Calibri" w:hAnsi="Calibri" w:hint="eastAsia"/>
          <w:rtl/>
        </w:rPr>
        <w:t>קשר</w:t>
      </w:r>
      <w:r w:rsidRPr="00EF598B">
        <w:rPr>
          <w:rFonts w:ascii="Calibri" w:hAnsi="Calibri"/>
          <w:rtl/>
        </w:rPr>
        <w:t xml:space="preserve"> </w:t>
      </w:r>
      <w:r w:rsidRPr="00EF598B">
        <w:rPr>
          <w:rFonts w:ascii="Calibri" w:hAnsi="Calibri" w:hint="eastAsia"/>
          <w:rtl/>
        </w:rPr>
        <w:t>עם</w:t>
      </w:r>
      <w:r w:rsidRPr="00EF598B">
        <w:rPr>
          <w:rFonts w:ascii="Calibri" w:hAnsi="Calibri"/>
          <w:rtl/>
        </w:rPr>
        <w:t xml:space="preserve"> </w:t>
      </w:r>
      <w:r w:rsidRPr="00EF598B">
        <w:rPr>
          <w:rFonts w:ascii="Calibri" w:hAnsi="Calibri" w:hint="eastAsia"/>
          <w:rtl/>
        </w:rPr>
        <w:t>אחרים</w:t>
      </w:r>
      <w:r w:rsidRPr="00EF598B">
        <w:rPr>
          <w:rFonts w:ascii="Calibri" w:hAnsi="Calibri"/>
          <w:rtl/>
        </w:rPr>
        <w:t xml:space="preserve"> </w:t>
      </w:r>
      <w:r w:rsidRPr="00EF598B">
        <w:rPr>
          <w:rFonts w:ascii="Calibri" w:hAnsi="Calibri" w:hint="eastAsia"/>
          <w:rtl/>
        </w:rPr>
        <w:t>וניהל</w:t>
      </w:r>
      <w:r w:rsidRPr="00EF598B">
        <w:rPr>
          <w:rFonts w:ascii="Calibri" w:hAnsi="Calibri"/>
          <w:rtl/>
        </w:rPr>
        <w:t xml:space="preserve"> </w:t>
      </w:r>
      <w:r w:rsidRPr="00EF598B">
        <w:rPr>
          <w:rFonts w:ascii="Calibri" w:hAnsi="Calibri" w:hint="eastAsia"/>
          <w:rtl/>
        </w:rPr>
        <w:t>עימם</w:t>
      </w:r>
      <w:r w:rsidRPr="00EF598B">
        <w:rPr>
          <w:rFonts w:ascii="Calibri" w:hAnsi="Calibri"/>
          <w:rtl/>
        </w:rPr>
        <w:t xml:space="preserve"> </w:t>
      </w:r>
      <w:r w:rsidRPr="00EF598B">
        <w:rPr>
          <w:rFonts w:ascii="Calibri" w:hAnsi="Calibri" w:hint="eastAsia"/>
          <w:rtl/>
        </w:rPr>
        <w:t>משא</w:t>
      </w:r>
      <w:r w:rsidRPr="00EF598B">
        <w:rPr>
          <w:rFonts w:ascii="Calibri" w:hAnsi="Calibri"/>
          <w:rtl/>
        </w:rPr>
        <w:t xml:space="preserve"> </w:t>
      </w:r>
      <w:r w:rsidRPr="00EF598B">
        <w:rPr>
          <w:rFonts w:ascii="Calibri" w:hAnsi="Calibri" w:hint="eastAsia"/>
          <w:rtl/>
        </w:rPr>
        <w:t>ומתן</w:t>
      </w:r>
      <w:r w:rsidRPr="00EF598B">
        <w:rPr>
          <w:rFonts w:ascii="Calibri" w:hAnsi="Calibri"/>
          <w:rtl/>
        </w:rPr>
        <w:t xml:space="preserve"> </w:t>
      </w:r>
      <w:r w:rsidRPr="00EF598B">
        <w:rPr>
          <w:rFonts w:ascii="Calibri" w:hAnsi="Calibri" w:hint="eastAsia"/>
          <w:rtl/>
        </w:rPr>
        <w:t>לרכישת</w:t>
      </w:r>
      <w:r w:rsidRPr="00EF598B">
        <w:rPr>
          <w:rFonts w:ascii="Calibri" w:hAnsi="Calibri"/>
          <w:rtl/>
        </w:rPr>
        <w:t xml:space="preserve"> </w:t>
      </w:r>
      <w:r w:rsidRPr="00EF598B">
        <w:rPr>
          <w:rFonts w:ascii="Calibri" w:hAnsi="Calibri" w:hint="eastAsia"/>
          <w:rtl/>
        </w:rPr>
        <w:t>אקדח</w:t>
      </w:r>
      <w:r w:rsidRPr="00EF598B">
        <w:rPr>
          <w:rFonts w:ascii="Calibri" w:hAnsi="Calibri"/>
          <w:rtl/>
        </w:rPr>
        <w:t xml:space="preserve"> </w:t>
      </w:r>
      <w:r w:rsidRPr="00EF598B">
        <w:rPr>
          <w:rFonts w:ascii="Calibri" w:hAnsi="Calibri" w:hint="eastAsia"/>
          <w:rtl/>
        </w:rPr>
        <w:t>שהיה</w:t>
      </w:r>
      <w:r w:rsidRPr="00EF598B">
        <w:rPr>
          <w:rFonts w:ascii="Calibri" w:hAnsi="Calibri"/>
          <w:rtl/>
        </w:rPr>
        <w:t xml:space="preserve"> </w:t>
      </w:r>
      <w:r w:rsidRPr="00EF598B">
        <w:rPr>
          <w:rFonts w:ascii="Calibri" w:hAnsi="Calibri" w:hint="eastAsia"/>
          <w:rtl/>
        </w:rPr>
        <w:t>מצוי</w:t>
      </w:r>
      <w:r w:rsidRPr="00EF598B">
        <w:rPr>
          <w:rFonts w:ascii="Calibri" w:hAnsi="Calibri"/>
          <w:rtl/>
        </w:rPr>
        <w:t xml:space="preserve"> </w:t>
      </w:r>
      <w:r w:rsidRPr="00EF598B">
        <w:rPr>
          <w:rFonts w:ascii="Calibri" w:hAnsi="Calibri" w:hint="eastAsia"/>
          <w:rtl/>
        </w:rPr>
        <w:t>ברשותם</w:t>
      </w:r>
      <w:r w:rsidRPr="00EF598B">
        <w:rPr>
          <w:rFonts w:ascii="Calibri" w:hAnsi="Calibri"/>
          <w:rtl/>
        </w:rPr>
        <w:t xml:space="preserve"> </w:t>
      </w:r>
      <w:r w:rsidRPr="00EF598B">
        <w:rPr>
          <w:rFonts w:ascii="Calibri" w:hAnsi="Calibri" w:hint="eastAsia"/>
          <w:rtl/>
        </w:rPr>
        <w:t>במטרה</w:t>
      </w:r>
      <w:r w:rsidRPr="00EF598B">
        <w:rPr>
          <w:rFonts w:ascii="Calibri" w:hAnsi="Calibri"/>
          <w:rtl/>
        </w:rPr>
        <w:t xml:space="preserve"> </w:t>
      </w:r>
      <w:r w:rsidRPr="00EF598B">
        <w:rPr>
          <w:rFonts w:ascii="Calibri" w:hAnsi="Calibri" w:hint="eastAsia"/>
          <w:rtl/>
        </w:rPr>
        <w:t>לסחור</w:t>
      </w:r>
      <w:r w:rsidRPr="00EF598B">
        <w:rPr>
          <w:rFonts w:ascii="Calibri" w:hAnsi="Calibri"/>
          <w:rtl/>
        </w:rPr>
        <w:t xml:space="preserve"> </w:t>
      </w:r>
      <w:r w:rsidRPr="00EF598B">
        <w:rPr>
          <w:rFonts w:ascii="Calibri" w:hAnsi="Calibri" w:hint="eastAsia"/>
          <w:rtl/>
        </w:rPr>
        <w:t>בו</w:t>
      </w:r>
      <w:r w:rsidRPr="00EF598B">
        <w:rPr>
          <w:rFonts w:ascii="Calibri" w:hAnsi="Calibri"/>
          <w:rtl/>
        </w:rPr>
        <w:t xml:space="preserve">.  </w:t>
      </w:r>
      <w:r w:rsidRPr="00EF598B">
        <w:rPr>
          <w:rFonts w:ascii="Calibri" w:hAnsi="Calibri" w:hint="eastAsia"/>
          <w:rtl/>
        </w:rPr>
        <w:t>לרשות</w:t>
      </w:r>
      <w:r w:rsidRPr="00EF598B">
        <w:rPr>
          <w:rFonts w:ascii="Calibri" w:hAnsi="Calibri"/>
          <w:rtl/>
        </w:rPr>
        <w:t xml:space="preserve"> </w:t>
      </w:r>
      <w:r w:rsidRPr="00EF598B">
        <w:rPr>
          <w:rFonts w:ascii="Calibri" w:hAnsi="Calibri" w:hint="eastAsia"/>
          <w:rtl/>
        </w:rPr>
        <w:t>המערער</w:t>
      </w:r>
      <w:r w:rsidRPr="00EF598B">
        <w:rPr>
          <w:rFonts w:ascii="Calibri" w:hAnsi="Calibri"/>
          <w:rtl/>
        </w:rPr>
        <w:t xml:space="preserve"> </w:t>
      </w:r>
      <w:r w:rsidRPr="00EF598B">
        <w:rPr>
          <w:rFonts w:ascii="Calibri" w:hAnsi="Calibri" w:hint="eastAsia"/>
          <w:rtl/>
        </w:rPr>
        <w:t>ושותפו</w:t>
      </w:r>
      <w:r w:rsidRPr="00EF598B">
        <w:rPr>
          <w:rFonts w:ascii="Calibri" w:hAnsi="Calibri"/>
          <w:rtl/>
        </w:rPr>
        <w:t xml:space="preserve"> </w:t>
      </w:r>
      <w:r w:rsidRPr="00EF598B">
        <w:rPr>
          <w:rFonts w:ascii="Calibri" w:hAnsi="Calibri" w:hint="eastAsia"/>
          <w:rtl/>
        </w:rPr>
        <w:t>לכתב</w:t>
      </w:r>
      <w:r w:rsidRPr="00EF598B">
        <w:rPr>
          <w:rFonts w:ascii="Calibri" w:hAnsi="Calibri"/>
          <w:rtl/>
        </w:rPr>
        <w:t xml:space="preserve"> </w:t>
      </w:r>
      <w:r w:rsidRPr="00EF598B">
        <w:rPr>
          <w:rFonts w:ascii="Calibri" w:hAnsi="Calibri" w:hint="eastAsia"/>
          <w:rtl/>
        </w:rPr>
        <w:t>האישום</w:t>
      </w:r>
      <w:r w:rsidRPr="00EF598B">
        <w:rPr>
          <w:rFonts w:ascii="Calibri" w:hAnsi="Calibri"/>
          <w:rtl/>
        </w:rPr>
        <w:t xml:space="preserve">, </w:t>
      </w:r>
      <w:r w:rsidRPr="00EF598B">
        <w:rPr>
          <w:rFonts w:ascii="Calibri" w:hAnsi="Calibri" w:hint="eastAsia"/>
          <w:rtl/>
        </w:rPr>
        <w:t>הועבר</w:t>
      </w:r>
      <w:r w:rsidRPr="00EF598B">
        <w:rPr>
          <w:rFonts w:ascii="Calibri" w:hAnsi="Calibri"/>
          <w:rtl/>
        </w:rPr>
        <w:t xml:space="preserve"> </w:t>
      </w:r>
      <w:r w:rsidRPr="00EF598B">
        <w:rPr>
          <w:rFonts w:ascii="Calibri" w:hAnsi="Calibri" w:hint="eastAsia"/>
          <w:rtl/>
        </w:rPr>
        <w:t>אקדח</w:t>
      </w:r>
      <w:r w:rsidRPr="00EF598B">
        <w:rPr>
          <w:rFonts w:ascii="Calibri" w:hAnsi="Calibri"/>
          <w:rtl/>
        </w:rPr>
        <w:t xml:space="preserve"> </w:t>
      </w:r>
      <w:r w:rsidRPr="00EF598B">
        <w:rPr>
          <w:rFonts w:ascii="Calibri" w:hAnsi="Calibri" w:hint="eastAsia"/>
          <w:rtl/>
        </w:rPr>
        <w:t>גנוב</w:t>
      </w:r>
      <w:r w:rsidRPr="00EF598B">
        <w:rPr>
          <w:rFonts w:ascii="Calibri" w:hAnsi="Calibri"/>
          <w:rtl/>
        </w:rPr>
        <w:t xml:space="preserve"> </w:t>
      </w:r>
      <w:r w:rsidRPr="00EF598B">
        <w:rPr>
          <w:rFonts w:ascii="Calibri" w:hAnsi="Calibri" w:hint="eastAsia"/>
          <w:rtl/>
        </w:rPr>
        <w:t>מתוצרת</w:t>
      </w:r>
      <w:r w:rsidRPr="00EF598B">
        <w:rPr>
          <w:rFonts w:ascii="Calibri" w:hAnsi="Calibri"/>
          <w:rtl/>
        </w:rPr>
        <w:t xml:space="preserve"> </w:t>
      </w:r>
      <w:r w:rsidRPr="00EF598B">
        <w:rPr>
          <w:rFonts w:ascii="Calibri" w:hAnsi="Calibri" w:hint="eastAsia"/>
          <w:rtl/>
        </w:rPr>
        <w:t>חברת</w:t>
      </w:r>
      <w:r w:rsidRPr="00EF598B">
        <w:rPr>
          <w:rFonts w:ascii="Calibri" w:hAnsi="Calibri"/>
          <w:rtl/>
        </w:rPr>
        <w:t xml:space="preserve"> "</w:t>
      </w:r>
      <w:r w:rsidRPr="00EF598B">
        <w:rPr>
          <w:rFonts w:ascii="Calibri" w:hAnsi="Calibri" w:hint="eastAsia"/>
          <w:rtl/>
        </w:rPr>
        <w:t>גלוק</w:t>
      </w:r>
      <w:r w:rsidRPr="00EF598B">
        <w:rPr>
          <w:rFonts w:ascii="Calibri" w:hAnsi="Calibri"/>
          <w:rtl/>
        </w:rPr>
        <w:t xml:space="preserve">", </w:t>
      </w:r>
      <w:r w:rsidRPr="00EF598B">
        <w:rPr>
          <w:rFonts w:ascii="Calibri" w:hAnsi="Calibri" w:hint="eastAsia"/>
          <w:rtl/>
        </w:rPr>
        <w:t>קליבר</w:t>
      </w:r>
      <w:r w:rsidRPr="00EF598B">
        <w:rPr>
          <w:rFonts w:ascii="Calibri" w:hAnsi="Calibri"/>
          <w:rtl/>
        </w:rPr>
        <w:t xml:space="preserve"> 9 </w:t>
      </w:r>
      <w:r w:rsidRPr="00EF598B">
        <w:rPr>
          <w:rFonts w:ascii="Calibri" w:hAnsi="Calibri" w:hint="eastAsia"/>
          <w:rtl/>
        </w:rPr>
        <w:t>מ</w:t>
      </w:r>
      <w:r w:rsidRPr="00EF598B">
        <w:rPr>
          <w:rFonts w:ascii="Calibri" w:hAnsi="Calibri"/>
          <w:rtl/>
        </w:rPr>
        <w:t>"</w:t>
      </w:r>
      <w:r w:rsidRPr="00EF598B">
        <w:rPr>
          <w:rFonts w:ascii="Calibri" w:hAnsi="Calibri" w:hint="eastAsia"/>
          <w:rtl/>
        </w:rPr>
        <w:t>מ</w:t>
      </w:r>
      <w:r w:rsidRPr="00EF598B">
        <w:rPr>
          <w:rFonts w:ascii="Calibri" w:hAnsi="Calibri"/>
          <w:rtl/>
        </w:rPr>
        <w:t xml:space="preserve">, </w:t>
      </w:r>
      <w:r w:rsidRPr="00EF598B">
        <w:rPr>
          <w:rFonts w:ascii="Calibri" w:hAnsi="Calibri" w:hint="eastAsia"/>
          <w:rtl/>
        </w:rPr>
        <w:t>יחד</w:t>
      </w:r>
      <w:r w:rsidRPr="00EF598B">
        <w:rPr>
          <w:rFonts w:ascii="Calibri" w:hAnsi="Calibri"/>
          <w:rtl/>
        </w:rPr>
        <w:t xml:space="preserve"> </w:t>
      </w:r>
      <w:r w:rsidRPr="00EF598B">
        <w:rPr>
          <w:rFonts w:ascii="Calibri" w:hAnsi="Calibri" w:hint="eastAsia"/>
          <w:rtl/>
        </w:rPr>
        <w:t>עם</w:t>
      </w:r>
      <w:r w:rsidRPr="00EF598B">
        <w:rPr>
          <w:rFonts w:ascii="Calibri" w:hAnsi="Calibri"/>
          <w:rtl/>
        </w:rPr>
        <w:t xml:space="preserve"> </w:t>
      </w:r>
      <w:r w:rsidRPr="00EF598B">
        <w:rPr>
          <w:rFonts w:ascii="Calibri" w:hAnsi="Calibri" w:hint="eastAsia"/>
          <w:rtl/>
        </w:rPr>
        <w:t>מחסנית</w:t>
      </w:r>
      <w:r w:rsidRPr="00EF598B">
        <w:rPr>
          <w:rFonts w:ascii="Calibri" w:hAnsi="Calibri"/>
          <w:rtl/>
        </w:rPr>
        <w:t xml:space="preserve"> </w:t>
      </w:r>
      <w:r w:rsidRPr="00EF598B">
        <w:rPr>
          <w:rFonts w:ascii="Calibri" w:hAnsi="Calibri" w:hint="eastAsia"/>
          <w:rtl/>
        </w:rPr>
        <w:t>תואמת</w:t>
      </w:r>
      <w:r w:rsidRPr="00EF598B">
        <w:rPr>
          <w:rFonts w:ascii="Calibri" w:hAnsi="Calibri"/>
          <w:rtl/>
        </w:rPr>
        <w:t xml:space="preserve">, </w:t>
      </w:r>
      <w:r w:rsidRPr="00EF598B">
        <w:rPr>
          <w:rFonts w:ascii="Calibri" w:hAnsi="Calibri" w:hint="eastAsia"/>
          <w:rtl/>
        </w:rPr>
        <w:t>תמורת</w:t>
      </w:r>
      <w:r w:rsidRPr="00EF598B">
        <w:rPr>
          <w:rFonts w:ascii="Calibri" w:hAnsi="Calibri"/>
          <w:rtl/>
        </w:rPr>
        <w:t xml:space="preserve"> 32,000 </w:t>
      </w:r>
      <w:r w:rsidRPr="00EF598B">
        <w:rPr>
          <w:rFonts w:ascii="Calibri" w:hAnsi="Calibri" w:hint="eastAsia"/>
          <w:rtl/>
        </w:rPr>
        <w:t>ש</w:t>
      </w:r>
      <w:r w:rsidRPr="00EF598B">
        <w:rPr>
          <w:rFonts w:ascii="Calibri" w:hAnsi="Calibri"/>
          <w:rtl/>
        </w:rPr>
        <w:t>"</w:t>
      </w:r>
      <w:r w:rsidRPr="00EF598B">
        <w:rPr>
          <w:rFonts w:ascii="Calibri" w:hAnsi="Calibri" w:hint="eastAsia"/>
          <w:rtl/>
        </w:rPr>
        <w:t>ח</w:t>
      </w:r>
      <w:r w:rsidRPr="00EF598B">
        <w:rPr>
          <w:rFonts w:ascii="Calibri" w:hAnsi="Calibri"/>
          <w:rtl/>
        </w:rPr>
        <w:t xml:space="preserve">. </w:t>
      </w:r>
      <w:r w:rsidRPr="00EF598B">
        <w:rPr>
          <w:rFonts w:ascii="Calibri" w:hAnsi="Calibri" w:hint="eastAsia"/>
          <w:rtl/>
        </w:rPr>
        <w:t>המערער</w:t>
      </w:r>
      <w:r w:rsidRPr="00EF598B">
        <w:rPr>
          <w:rFonts w:ascii="Calibri" w:hAnsi="Calibri"/>
          <w:rtl/>
        </w:rPr>
        <w:t xml:space="preserve"> </w:t>
      </w:r>
      <w:r w:rsidRPr="00EF598B">
        <w:rPr>
          <w:rFonts w:ascii="Calibri" w:hAnsi="Calibri" w:hint="eastAsia"/>
          <w:rtl/>
        </w:rPr>
        <w:t>ושותפו</w:t>
      </w:r>
      <w:r w:rsidRPr="00EF598B">
        <w:rPr>
          <w:rFonts w:ascii="Calibri" w:hAnsi="Calibri"/>
          <w:rtl/>
        </w:rPr>
        <w:t xml:space="preserve"> </w:t>
      </w:r>
      <w:r w:rsidRPr="00EF598B">
        <w:rPr>
          <w:rFonts w:ascii="Calibri" w:hAnsi="Calibri" w:hint="eastAsia"/>
          <w:rtl/>
        </w:rPr>
        <w:t>נכנסו</w:t>
      </w:r>
      <w:r w:rsidRPr="00EF598B">
        <w:rPr>
          <w:rFonts w:ascii="Calibri" w:hAnsi="Calibri"/>
          <w:rtl/>
        </w:rPr>
        <w:t xml:space="preserve"> </w:t>
      </w:r>
      <w:r w:rsidRPr="00EF598B">
        <w:rPr>
          <w:rFonts w:ascii="Calibri" w:hAnsi="Calibri" w:hint="eastAsia"/>
          <w:rtl/>
        </w:rPr>
        <w:t>לרכב</w:t>
      </w:r>
      <w:r w:rsidRPr="00EF598B">
        <w:rPr>
          <w:rFonts w:ascii="Calibri" w:hAnsi="Calibri"/>
          <w:rtl/>
        </w:rPr>
        <w:t xml:space="preserve"> </w:t>
      </w:r>
      <w:r w:rsidRPr="00EF598B">
        <w:rPr>
          <w:rFonts w:ascii="Calibri" w:hAnsi="Calibri" w:hint="eastAsia"/>
          <w:rtl/>
        </w:rPr>
        <w:t>כשהשותף</w:t>
      </w:r>
      <w:r w:rsidRPr="00EF598B">
        <w:rPr>
          <w:rFonts w:ascii="Calibri" w:hAnsi="Calibri"/>
          <w:rtl/>
        </w:rPr>
        <w:t xml:space="preserve"> </w:t>
      </w:r>
      <w:r w:rsidRPr="00EF598B">
        <w:rPr>
          <w:rFonts w:ascii="Calibri" w:hAnsi="Calibri" w:hint="eastAsia"/>
          <w:rtl/>
        </w:rPr>
        <w:t>נוהג</w:t>
      </w:r>
      <w:r w:rsidRPr="00EF598B">
        <w:rPr>
          <w:rFonts w:ascii="Calibri" w:hAnsi="Calibri"/>
          <w:rtl/>
        </w:rPr>
        <w:t xml:space="preserve"> </w:t>
      </w:r>
      <w:r w:rsidRPr="00EF598B">
        <w:rPr>
          <w:rFonts w:ascii="Calibri" w:hAnsi="Calibri" w:hint="eastAsia"/>
          <w:rtl/>
        </w:rPr>
        <w:t>בו</w:t>
      </w:r>
      <w:r w:rsidRPr="00EF598B">
        <w:rPr>
          <w:rFonts w:ascii="Calibri" w:hAnsi="Calibri"/>
          <w:rtl/>
        </w:rPr>
        <w:t xml:space="preserve">, </w:t>
      </w:r>
      <w:r w:rsidRPr="00EF598B">
        <w:rPr>
          <w:rFonts w:ascii="Calibri" w:hAnsi="Calibri" w:hint="eastAsia"/>
          <w:rtl/>
        </w:rPr>
        <w:t>הסתירו</w:t>
      </w:r>
      <w:r w:rsidRPr="00EF598B">
        <w:rPr>
          <w:rFonts w:ascii="Calibri" w:hAnsi="Calibri"/>
          <w:rtl/>
        </w:rPr>
        <w:t xml:space="preserve"> </w:t>
      </w:r>
      <w:r w:rsidRPr="00EF598B">
        <w:rPr>
          <w:rFonts w:ascii="Calibri" w:hAnsi="Calibri" w:hint="eastAsia"/>
          <w:rtl/>
        </w:rPr>
        <w:t>את</w:t>
      </w:r>
      <w:r w:rsidRPr="00EF598B">
        <w:rPr>
          <w:rFonts w:ascii="Calibri" w:hAnsi="Calibri"/>
          <w:rtl/>
        </w:rPr>
        <w:t xml:space="preserve"> </w:t>
      </w:r>
      <w:r w:rsidRPr="00EF598B">
        <w:rPr>
          <w:rFonts w:ascii="Calibri" w:hAnsi="Calibri" w:hint="eastAsia"/>
          <w:rtl/>
        </w:rPr>
        <w:t>האקדח</w:t>
      </w:r>
      <w:r w:rsidRPr="00EF598B">
        <w:rPr>
          <w:rFonts w:ascii="Calibri" w:hAnsi="Calibri"/>
          <w:rtl/>
        </w:rPr>
        <w:t xml:space="preserve"> </w:t>
      </w:r>
      <w:r w:rsidRPr="00EF598B">
        <w:rPr>
          <w:rFonts w:ascii="Calibri" w:hAnsi="Calibri" w:hint="eastAsia"/>
          <w:rtl/>
        </w:rPr>
        <w:t>מתחת</w:t>
      </w:r>
      <w:r w:rsidRPr="00EF598B">
        <w:rPr>
          <w:rFonts w:ascii="Calibri" w:hAnsi="Calibri"/>
          <w:rtl/>
        </w:rPr>
        <w:t xml:space="preserve"> </w:t>
      </w:r>
      <w:r w:rsidRPr="00EF598B">
        <w:rPr>
          <w:rFonts w:ascii="Calibri" w:hAnsi="Calibri" w:hint="eastAsia"/>
          <w:rtl/>
        </w:rPr>
        <w:t>למושב</w:t>
      </w:r>
      <w:r w:rsidRPr="00EF598B">
        <w:rPr>
          <w:rFonts w:ascii="Calibri" w:hAnsi="Calibri"/>
          <w:rtl/>
        </w:rPr>
        <w:t xml:space="preserve"> </w:t>
      </w:r>
      <w:r w:rsidRPr="00EF598B">
        <w:rPr>
          <w:rFonts w:ascii="Calibri" w:hAnsi="Calibri" w:hint="eastAsia"/>
          <w:rtl/>
        </w:rPr>
        <w:t>הנוסע</w:t>
      </w:r>
      <w:r w:rsidRPr="00EF598B">
        <w:rPr>
          <w:rFonts w:ascii="Calibri" w:hAnsi="Calibri"/>
          <w:rtl/>
        </w:rPr>
        <w:t xml:space="preserve"> </w:t>
      </w:r>
      <w:r w:rsidRPr="00EF598B">
        <w:rPr>
          <w:rFonts w:ascii="Calibri" w:hAnsi="Calibri" w:hint="eastAsia"/>
          <w:rtl/>
        </w:rPr>
        <w:t>שעליו</w:t>
      </w:r>
      <w:r w:rsidRPr="00EF598B">
        <w:rPr>
          <w:rFonts w:ascii="Calibri" w:hAnsi="Calibri"/>
          <w:rtl/>
        </w:rPr>
        <w:t xml:space="preserve"> </w:t>
      </w:r>
      <w:r w:rsidRPr="00EF598B">
        <w:rPr>
          <w:rFonts w:ascii="Calibri" w:hAnsi="Calibri" w:hint="eastAsia"/>
          <w:rtl/>
        </w:rPr>
        <w:t>ישב</w:t>
      </w:r>
      <w:r w:rsidRPr="00EF598B">
        <w:rPr>
          <w:rFonts w:ascii="Calibri" w:hAnsi="Calibri"/>
          <w:rtl/>
        </w:rPr>
        <w:t xml:space="preserve"> </w:t>
      </w:r>
      <w:r w:rsidRPr="00EF598B">
        <w:rPr>
          <w:rFonts w:ascii="Calibri" w:hAnsi="Calibri" w:hint="eastAsia"/>
          <w:rtl/>
        </w:rPr>
        <w:t>המערער</w:t>
      </w:r>
      <w:r w:rsidRPr="00EF598B">
        <w:rPr>
          <w:rFonts w:ascii="Calibri" w:hAnsi="Calibri"/>
          <w:rtl/>
        </w:rPr>
        <w:t xml:space="preserve">, </w:t>
      </w:r>
      <w:r w:rsidRPr="00EF598B">
        <w:rPr>
          <w:rFonts w:ascii="Calibri" w:hAnsi="Calibri" w:hint="eastAsia"/>
          <w:rtl/>
        </w:rPr>
        <w:t>ועשו</w:t>
      </w:r>
      <w:r w:rsidRPr="00EF598B">
        <w:rPr>
          <w:rFonts w:ascii="Calibri" w:hAnsi="Calibri"/>
          <w:rtl/>
        </w:rPr>
        <w:t xml:space="preserve"> </w:t>
      </w:r>
      <w:r w:rsidRPr="00EF598B">
        <w:rPr>
          <w:rFonts w:ascii="Calibri" w:hAnsi="Calibri" w:hint="eastAsia"/>
          <w:rtl/>
        </w:rPr>
        <w:t>את</w:t>
      </w:r>
      <w:r w:rsidRPr="00EF598B">
        <w:rPr>
          <w:rFonts w:ascii="Calibri" w:hAnsi="Calibri"/>
          <w:rtl/>
        </w:rPr>
        <w:t xml:space="preserve"> </w:t>
      </w:r>
      <w:r w:rsidRPr="00EF598B">
        <w:rPr>
          <w:rFonts w:ascii="Calibri" w:hAnsi="Calibri" w:hint="eastAsia"/>
          <w:rtl/>
        </w:rPr>
        <w:t>דרכם</w:t>
      </w:r>
      <w:r w:rsidRPr="00EF598B">
        <w:rPr>
          <w:rFonts w:ascii="Calibri" w:hAnsi="Calibri"/>
          <w:rtl/>
        </w:rPr>
        <w:t xml:space="preserve"> </w:t>
      </w:r>
      <w:r w:rsidRPr="00EF598B">
        <w:rPr>
          <w:rFonts w:ascii="Calibri" w:hAnsi="Calibri" w:hint="eastAsia"/>
          <w:rtl/>
        </w:rPr>
        <w:t>חזרה</w:t>
      </w:r>
      <w:r w:rsidRPr="00EF598B">
        <w:rPr>
          <w:rFonts w:ascii="Calibri" w:hAnsi="Calibri"/>
          <w:rtl/>
        </w:rPr>
        <w:t xml:space="preserve"> </w:t>
      </w:r>
      <w:r w:rsidRPr="00EF598B">
        <w:rPr>
          <w:rFonts w:ascii="Calibri" w:hAnsi="Calibri" w:hint="eastAsia"/>
          <w:rtl/>
        </w:rPr>
        <w:t>עד</w:t>
      </w:r>
      <w:r w:rsidRPr="00EF598B">
        <w:rPr>
          <w:rFonts w:ascii="Calibri" w:hAnsi="Calibri"/>
          <w:rtl/>
        </w:rPr>
        <w:t xml:space="preserve"> </w:t>
      </w:r>
      <w:r w:rsidRPr="00EF598B">
        <w:rPr>
          <w:rFonts w:ascii="Calibri" w:hAnsi="Calibri" w:hint="eastAsia"/>
          <w:rtl/>
        </w:rPr>
        <w:t>שנעצרו</w:t>
      </w:r>
      <w:r w:rsidRPr="00EF598B">
        <w:rPr>
          <w:rFonts w:ascii="Calibri" w:hAnsi="Calibri"/>
          <w:rtl/>
        </w:rPr>
        <w:t xml:space="preserve"> </w:t>
      </w:r>
      <w:r w:rsidRPr="00EF598B">
        <w:rPr>
          <w:rFonts w:ascii="Calibri" w:hAnsi="Calibri" w:hint="eastAsia"/>
          <w:rtl/>
        </w:rPr>
        <w:t>על</w:t>
      </w:r>
      <w:r w:rsidRPr="00EF598B">
        <w:rPr>
          <w:rFonts w:ascii="Calibri" w:hAnsi="Calibri"/>
          <w:rtl/>
        </w:rPr>
        <w:t xml:space="preserve"> </w:t>
      </w:r>
      <w:r w:rsidRPr="00EF598B">
        <w:rPr>
          <w:rFonts w:ascii="Calibri" w:hAnsi="Calibri" w:hint="eastAsia"/>
          <w:rtl/>
        </w:rPr>
        <w:t>ידי</w:t>
      </w:r>
      <w:r w:rsidRPr="00EF598B">
        <w:rPr>
          <w:rFonts w:ascii="Calibri" w:hAnsi="Calibri"/>
          <w:rtl/>
        </w:rPr>
        <w:t xml:space="preserve"> </w:t>
      </w:r>
      <w:r w:rsidRPr="00EF598B">
        <w:rPr>
          <w:rFonts w:ascii="Calibri" w:hAnsi="Calibri" w:hint="eastAsia"/>
          <w:rtl/>
        </w:rPr>
        <w:t>המשטרה</w:t>
      </w:r>
      <w:r w:rsidRPr="00EF598B">
        <w:rPr>
          <w:rFonts w:ascii="Calibri" w:hAnsi="Calibri"/>
          <w:rtl/>
        </w:rPr>
        <w:t xml:space="preserve"> </w:t>
      </w:r>
      <w:r w:rsidRPr="00EF598B">
        <w:rPr>
          <w:rFonts w:ascii="Calibri" w:hAnsi="Calibri" w:hint="eastAsia"/>
          <w:rtl/>
        </w:rPr>
        <w:t>בסמוך</w:t>
      </w:r>
      <w:r w:rsidRPr="00EF598B">
        <w:rPr>
          <w:rFonts w:ascii="Calibri" w:hAnsi="Calibri"/>
          <w:rtl/>
        </w:rPr>
        <w:t xml:space="preserve"> </w:t>
      </w:r>
      <w:r w:rsidRPr="00EF598B">
        <w:rPr>
          <w:rFonts w:ascii="Calibri" w:hAnsi="Calibri" w:hint="eastAsia"/>
          <w:rtl/>
        </w:rPr>
        <w:t>למחלף</w:t>
      </w:r>
      <w:r w:rsidRPr="00EF598B">
        <w:rPr>
          <w:rFonts w:ascii="Calibri" w:hAnsi="Calibri"/>
          <w:rtl/>
        </w:rPr>
        <w:t xml:space="preserve">. </w:t>
      </w:r>
      <w:r w:rsidRPr="00EF598B">
        <w:rPr>
          <w:rFonts w:ascii="Calibri" w:hAnsi="Calibri" w:hint="eastAsia"/>
          <w:rtl/>
        </w:rPr>
        <w:t>בית</w:t>
      </w:r>
      <w:r w:rsidRPr="00EF598B">
        <w:rPr>
          <w:rFonts w:ascii="Calibri" w:hAnsi="Calibri"/>
          <w:rtl/>
        </w:rPr>
        <w:t xml:space="preserve"> </w:t>
      </w:r>
      <w:r w:rsidRPr="00EF598B">
        <w:rPr>
          <w:rFonts w:ascii="Calibri" w:hAnsi="Calibri" w:hint="eastAsia"/>
          <w:rtl/>
        </w:rPr>
        <w:t>המשפט</w:t>
      </w:r>
      <w:r w:rsidRPr="00EF598B">
        <w:rPr>
          <w:rFonts w:ascii="Calibri" w:hAnsi="Calibri"/>
          <w:rtl/>
        </w:rPr>
        <w:t xml:space="preserve"> </w:t>
      </w:r>
      <w:r w:rsidRPr="00EF598B">
        <w:rPr>
          <w:rFonts w:ascii="Calibri" w:hAnsi="Calibri" w:hint="eastAsia"/>
          <w:rtl/>
        </w:rPr>
        <w:t>קבע</w:t>
      </w:r>
      <w:r w:rsidRPr="00EF598B">
        <w:rPr>
          <w:rFonts w:ascii="Calibri" w:hAnsi="Calibri"/>
          <w:rtl/>
        </w:rPr>
        <w:t xml:space="preserve"> </w:t>
      </w:r>
      <w:r w:rsidRPr="00EF598B">
        <w:rPr>
          <w:rFonts w:ascii="Calibri" w:hAnsi="Calibri" w:hint="eastAsia"/>
          <w:rtl/>
        </w:rPr>
        <w:t>מתחם</w:t>
      </w:r>
      <w:r w:rsidRPr="00EF598B">
        <w:rPr>
          <w:rFonts w:ascii="Calibri" w:hAnsi="Calibri"/>
          <w:rtl/>
        </w:rPr>
        <w:t xml:space="preserve"> </w:t>
      </w:r>
      <w:r w:rsidRPr="00EF598B">
        <w:rPr>
          <w:rFonts w:ascii="Calibri" w:hAnsi="Calibri" w:hint="eastAsia"/>
          <w:rtl/>
        </w:rPr>
        <w:t>עונש</w:t>
      </w:r>
      <w:r w:rsidRPr="00EF598B">
        <w:rPr>
          <w:rFonts w:ascii="Calibri" w:hAnsi="Calibri"/>
          <w:rtl/>
        </w:rPr>
        <w:t xml:space="preserve"> </w:t>
      </w:r>
      <w:r w:rsidRPr="00EF598B">
        <w:rPr>
          <w:rFonts w:ascii="Calibri" w:hAnsi="Calibri" w:hint="eastAsia"/>
          <w:rtl/>
        </w:rPr>
        <w:t>הולם</w:t>
      </w:r>
      <w:r w:rsidRPr="00EF598B">
        <w:rPr>
          <w:rFonts w:ascii="Calibri" w:hAnsi="Calibri"/>
          <w:rtl/>
        </w:rPr>
        <w:t xml:space="preserve"> </w:t>
      </w:r>
      <w:r w:rsidRPr="00EF598B">
        <w:rPr>
          <w:rFonts w:ascii="Calibri" w:hAnsi="Calibri" w:hint="eastAsia"/>
          <w:rtl/>
        </w:rPr>
        <w:t>הנע</w:t>
      </w:r>
      <w:r w:rsidRPr="00EF598B">
        <w:rPr>
          <w:rFonts w:ascii="Calibri" w:hAnsi="Calibri"/>
          <w:rtl/>
        </w:rPr>
        <w:t xml:space="preserve"> </w:t>
      </w:r>
      <w:r w:rsidRPr="00EF598B">
        <w:rPr>
          <w:rFonts w:ascii="Calibri" w:hAnsi="Calibri" w:hint="eastAsia"/>
          <w:rtl/>
        </w:rPr>
        <w:t>בין</w:t>
      </w:r>
      <w:r w:rsidRPr="00EF598B">
        <w:rPr>
          <w:rFonts w:ascii="Calibri" w:hAnsi="Calibri"/>
          <w:rtl/>
        </w:rPr>
        <w:t xml:space="preserve"> 12 </w:t>
      </w:r>
      <w:r w:rsidRPr="00EF598B">
        <w:rPr>
          <w:rFonts w:ascii="Calibri" w:hAnsi="Calibri" w:hint="eastAsia"/>
          <w:rtl/>
        </w:rPr>
        <w:t>ל</w:t>
      </w:r>
      <w:r w:rsidRPr="00EF598B">
        <w:rPr>
          <w:rFonts w:ascii="Calibri" w:hAnsi="Calibri"/>
          <w:rtl/>
        </w:rPr>
        <w:t xml:space="preserve">-40 </w:t>
      </w:r>
      <w:r w:rsidRPr="00EF598B">
        <w:rPr>
          <w:rFonts w:ascii="Calibri" w:hAnsi="Calibri" w:hint="eastAsia"/>
          <w:rtl/>
        </w:rPr>
        <w:t>חודשי</w:t>
      </w:r>
      <w:r w:rsidRPr="00EF598B">
        <w:rPr>
          <w:rFonts w:ascii="Calibri" w:hAnsi="Calibri"/>
          <w:rtl/>
        </w:rPr>
        <w:t xml:space="preserve"> </w:t>
      </w:r>
      <w:r w:rsidRPr="00EF598B">
        <w:rPr>
          <w:rFonts w:ascii="Calibri" w:hAnsi="Calibri" w:hint="eastAsia"/>
          <w:rtl/>
        </w:rPr>
        <w:t>מאסר</w:t>
      </w:r>
      <w:r w:rsidRPr="00EF598B">
        <w:rPr>
          <w:rFonts w:ascii="Calibri" w:hAnsi="Calibri"/>
          <w:rtl/>
        </w:rPr>
        <w:t xml:space="preserve"> </w:t>
      </w:r>
      <w:r w:rsidRPr="00EF598B">
        <w:rPr>
          <w:rFonts w:ascii="Calibri" w:hAnsi="Calibri" w:hint="eastAsia"/>
          <w:rtl/>
        </w:rPr>
        <w:t>בפועל</w:t>
      </w:r>
      <w:r w:rsidRPr="00EF598B">
        <w:rPr>
          <w:rFonts w:ascii="Calibri" w:hAnsi="Calibri"/>
          <w:rtl/>
        </w:rPr>
        <w:t xml:space="preserve"> </w:t>
      </w:r>
      <w:r w:rsidRPr="00EF598B">
        <w:rPr>
          <w:rFonts w:ascii="Calibri" w:hAnsi="Calibri" w:hint="eastAsia"/>
          <w:rtl/>
        </w:rPr>
        <w:t>והשית</w:t>
      </w:r>
      <w:r w:rsidRPr="00EF598B">
        <w:rPr>
          <w:rFonts w:ascii="Calibri" w:hAnsi="Calibri"/>
          <w:rtl/>
        </w:rPr>
        <w:t xml:space="preserve"> </w:t>
      </w:r>
      <w:r w:rsidRPr="00EF598B">
        <w:rPr>
          <w:rFonts w:ascii="Calibri" w:hAnsi="Calibri" w:hint="eastAsia"/>
          <w:rtl/>
        </w:rPr>
        <w:t>על</w:t>
      </w:r>
      <w:r w:rsidRPr="00EF598B">
        <w:rPr>
          <w:rFonts w:ascii="Calibri" w:hAnsi="Calibri"/>
          <w:rtl/>
        </w:rPr>
        <w:t xml:space="preserve"> </w:t>
      </w:r>
      <w:r w:rsidRPr="00EF598B">
        <w:rPr>
          <w:rFonts w:ascii="Calibri" w:hAnsi="Calibri" w:hint="eastAsia"/>
          <w:rtl/>
        </w:rPr>
        <w:t>המערער</w:t>
      </w:r>
      <w:r w:rsidRPr="00EF598B">
        <w:rPr>
          <w:rFonts w:ascii="Calibri" w:hAnsi="Calibri"/>
          <w:rtl/>
        </w:rPr>
        <w:t xml:space="preserve"> 16 </w:t>
      </w:r>
      <w:r w:rsidRPr="00EF598B">
        <w:rPr>
          <w:rFonts w:ascii="Calibri" w:hAnsi="Calibri" w:hint="eastAsia"/>
          <w:rtl/>
        </w:rPr>
        <w:t>חודשי</w:t>
      </w:r>
      <w:r w:rsidRPr="00EF598B">
        <w:rPr>
          <w:rFonts w:ascii="Calibri" w:hAnsi="Calibri"/>
          <w:rtl/>
        </w:rPr>
        <w:t xml:space="preserve"> </w:t>
      </w:r>
      <w:r w:rsidRPr="00EF598B">
        <w:rPr>
          <w:rFonts w:ascii="Calibri" w:hAnsi="Calibri" w:hint="eastAsia"/>
          <w:rtl/>
        </w:rPr>
        <w:t>מאסר</w:t>
      </w:r>
      <w:r w:rsidRPr="00EF598B">
        <w:rPr>
          <w:rFonts w:ascii="Calibri" w:hAnsi="Calibri"/>
          <w:rtl/>
        </w:rPr>
        <w:t xml:space="preserve"> </w:t>
      </w:r>
      <w:r w:rsidRPr="00EF598B">
        <w:rPr>
          <w:rFonts w:ascii="Calibri" w:hAnsi="Calibri" w:hint="eastAsia"/>
          <w:rtl/>
        </w:rPr>
        <w:t>בפועל</w:t>
      </w:r>
      <w:r w:rsidRPr="00EF598B">
        <w:rPr>
          <w:rFonts w:ascii="Calibri" w:hAnsi="Calibri"/>
          <w:rtl/>
        </w:rPr>
        <w:t xml:space="preserve"> </w:t>
      </w:r>
      <w:r w:rsidRPr="00EF598B">
        <w:rPr>
          <w:rFonts w:ascii="Calibri" w:hAnsi="Calibri" w:hint="eastAsia"/>
          <w:rtl/>
        </w:rPr>
        <w:t>לצד</w:t>
      </w:r>
      <w:r w:rsidRPr="00EF598B">
        <w:rPr>
          <w:rFonts w:ascii="Calibri" w:hAnsi="Calibri"/>
          <w:rtl/>
        </w:rPr>
        <w:t xml:space="preserve"> </w:t>
      </w:r>
      <w:r w:rsidRPr="00EF598B">
        <w:rPr>
          <w:rFonts w:ascii="Calibri" w:hAnsi="Calibri" w:hint="eastAsia"/>
          <w:rtl/>
        </w:rPr>
        <w:t>עונשים</w:t>
      </w:r>
      <w:r w:rsidRPr="00EF598B">
        <w:rPr>
          <w:rFonts w:ascii="Calibri" w:hAnsi="Calibri"/>
          <w:rtl/>
        </w:rPr>
        <w:t xml:space="preserve"> </w:t>
      </w:r>
      <w:r w:rsidRPr="00EF598B">
        <w:rPr>
          <w:rFonts w:ascii="Calibri" w:hAnsi="Calibri" w:hint="eastAsia"/>
          <w:rtl/>
        </w:rPr>
        <w:t>נלווים</w:t>
      </w:r>
      <w:r w:rsidRPr="00EF598B">
        <w:rPr>
          <w:rFonts w:ascii="Calibri" w:hAnsi="Calibri"/>
          <w:rtl/>
        </w:rPr>
        <w:t xml:space="preserve">. </w:t>
      </w:r>
      <w:r w:rsidRPr="00EF598B">
        <w:rPr>
          <w:rFonts w:ascii="Calibri" w:hAnsi="Calibri" w:hint="eastAsia"/>
          <w:rtl/>
        </w:rPr>
        <w:t>הערעור</w:t>
      </w:r>
      <w:r w:rsidRPr="00EF598B">
        <w:rPr>
          <w:rFonts w:ascii="Calibri" w:hAnsi="Calibri"/>
          <w:rtl/>
        </w:rPr>
        <w:t xml:space="preserve"> </w:t>
      </w:r>
      <w:r w:rsidRPr="00EF598B">
        <w:rPr>
          <w:rFonts w:ascii="Calibri" w:hAnsi="Calibri" w:hint="eastAsia"/>
          <w:rtl/>
        </w:rPr>
        <w:t>נדחה</w:t>
      </w:r>
      <w:r w:rsidRPr="00EF598B">
        <w:rPr>
          <w:rFonts w:ascii="Calibri" w:hAnsi="Calibri"/>
          <w:rtl/>
        </w:rPr>
        <w:t xml:space="preserve">. </w:t>
      </w:r>
    </w:p>
    <w:p w14:paraId="3E159DFA" w14:textId="77777777" w:rsidR="000613B5" w:rsidRPr="00EF598B" w:rsidRDefault="000613B5" w:rsidP="000613B5">
      <w:pPr>
        <w:spacing w:line="360" w:lineRule="auto"/>
        <w:ind w:left="26"/>
        <w:jc w:val="both"/>
        <w:rPr>
          <w:rFonts w:ascii="David" w:hAnsi="David"/>
          <w:rtl/>
        </w:rPr>
      </w:pPr>
    </w:p>
    <w:p w14:paraId="5E5A607A" w14:textId="77777777" w:rsidR="000613B5" w:rsidRPr="00EF598B" w:rsidRDefault="000613B5" w:rsidP="000613B5">
      <w:pPr>
        <w:spacing w:line="360" w:lineRule="auto"/>
        <w:ind w:left="26"/>
        <w:jc w:val="both"/>
        <w:rPr>
          <w:rtl/>
        </w:rPr>
      </w:pPr>
      <w:r w:rsidRPr="00EF598B">
        <w:rPr>
          <w:rFonts w:ascii="David" w:hAnsi="David"/>
          <w:rtl/>
        </w:rPr>
        <w:t>10.</w:t>
      </w:r>
      <w:r w:rsidRPr="00EF598B">
        <w:rPr>
          <w:rFonts w:ascii="David" w:hAnsi="David"/>
          <w:rtl/>
        </w:rPr>
        <w:tab/>
      </w:r>
      <w:r w:rsidRPr="00EF598B">
        <w:rPr>
          <w:rtl/>
        </w:rPr>
        <w:t xml:space="preserve">ניתן לראות כי הענישה הנוהגת, הן מתחמי הענישה הנקבעים, והן הענישה המוטלת, קשורים באופן ישיר לנסיבות ביצוע העבירות, סוג הנשק, קיומה או העדרה של תחמושת, וכלל נסיבות ההחזקה וההובלה של הנשק. </w:t>
      </w:r>
    </w:p>
    <w:p w14:paraId="4C340E4C" w14:textId="77777777" w:rsidR="000613B5" w:rsidRPr="00EF598B" w:rsidRDefault="000613B5" w:rsidP="000613B5">
      <w:pPr>
        <w:spacing w:line="360" w:lineRule="auto"/>
        <w:ind w:left="26"/>
        <w:jc w:val="both"/>
        <w:rPr>
          <w:rtl/>
        </w:rPr>
      </w:pPr>
    </w:p>
    <w:p w14:paraId="04155B9F" w14:textId="77777777" w:rsidR="000613B5" w:rsidRPr="00EF598B" w:rsidRDefault="000613B5" w:rsidP="000613B5">
      <w:pPr>
        <w:spacing w:line="360" w:lineRule="auto"/>
        <w:ind w:left="26"/>
        <w:jc w:val="both"/>
        <w:rPr>
          <w:rtl/>
        </w:rPr>
      </w:pPr>
      <w:r w:rsidRPr="00EF598B">
        <w:rPr>
          <w:rtl/>
        </w:rPr>
        <w:t xml:space="preserve">בעניינו של הנאשם מדובר בהובלת אקדח חצי אוטומטי ובתוכו מחסנית ריקה המתאימה לו, ואלו היו מוסלקים בבד תקרת הרכב. </w:t>
      </w:r>
    </w:p>
    <w:p w14:paraId="4268865A" w14:textId="77777777" w:rsidR="000613B5" w:rsidRPr="00EF598B" w:rsidRDefault="000613B5" w:rsidP="000613B5">
      <w:pPr>
        <w:spacing w:line="360" w:lineRule="auto"/>
        <w:ind w:left="26"/>
        <w:jc w:val="both"/>
        <w:rPr>
          <w:rtl/>
        </w:rPr>
      </w:pPr>
    </w:p>
    <w:p w14:paraId="3EF70F40" w14:textId="77777777" w:rsidR="000613B5" w:rsidRPr="00EF598B" w:rsidRDefault="000613B5" w:rsidP="000613B5">
      <w:pPr>
        <w:spacing w:line="360" w:lineRule="auto"/>
        <w:ind w:left="26"/>
        <w:jc w:val="both"/>
        <w:rPr>
          <w:rtl/>
        </w:rPr>
      </w:pPr>
      <w:r w:rsidRPr="00EF598B">
        <w:rPr>
          <w:rtl/>
        </w:rPr>
        <w:t xml:space="preserve">נסיבות אלו אינן כוללות החזקת תחמושת, אליה מתייחסת חלק מהפסיקה, ויש לערוך אבחנה בהתאם. מנגד, מדובר בנשק אשר הוסלק, והוא אקדח חצי אוטומטי. </w:t>
      </w:r>
    </w:p>
    <w:p w14:paraId="2710DAF3" w14:textId="77777777" w:rsidR="000613B5" w:rsidRPr="00EF598B" w:rsidRDefault="000613B5" w:rsidP="000613B5">
      <w:pPr>
        <w:spacing w:line="360" w:lineRule="auto"/>
        <w:ind w:left="26"/>
        <w:jc w:val="both"/>
        <w:rPr>
          <w:rtl/>
        </w:rPr>
      </w:pPr>
    </w:p>
    <w:p w14:paraId="4CAC67CE" w14:textId="77777777" w:rsidR="000613B5" w:rsidRPr="00EF598B" w:rsidRDefault="000613B5" w:rsidP="000613B5">
      <w:pPr>
        <w:spacing w:line="360" w:lineRule="auto"/>
        <w:ind w:left="26"/>
        <w:jc w:val="both"/>
        <w:rPr>
          <w:rtl/>
        </w:rPr>
      </w:pPr>
      <w:r w:rsidRPr="00EF598B">
        <w:rPr>
          <w:rtl/>
        </w:rPr>
        <w:t>11.</w:t>
      </w:r>
      <w:r w:rsidRPr="00EF598B">
        <w:rPr>
          <w:rtl/>
        </w:rPr>
        <w:tab/>
        <w:t xml:space="preserve">לנאשם עבר פלילי בעבירות נשק, חלקן אף חמורות יותר – סחר בנשק, נשיאה והובלת נשק והחזקת נשק. שם מדובר היה ברוס"ר שהיה מורכב ממכלול של רוס"ר מסוג </w:t>
      </w:r>
      <w:r w:rsidRPr="00EF598B">
        <w:t>M16</w:t>
      </w:r>
      <w:r w:rsidRPr="00EF598B">
        <w:rPr>
          <w:rtl/>
        </w:rPr>
        <w:t xml:space="preserve">, ומקנה מסוג גליל, ואירוע נוסף בו מדובר היה בארגזי תחמושת לאקדח, נשק דמוי רובה סער ומחסנית כדורי תחמושת לרובה זה, וככלל מעיון בעובדות המפורטות בגזר הדין במסגרתו הוטל מאסר בפועל ומאסר מותנה נחזית תמונת מי אשר </w:t>
      </w:r>
      <w:r>
        <w:rPr>
          <w:rFonts w:hint="cs"/>
          <w:rtl/>
        </w:rPr>
        <w:t xml:space="preserve">נכון לאותו מועד היה </w:t>
      </w:r>
      <w:r w:rsidRPr="00EF598B">
        <w:rPr>
          <w:rtl/>
        </w:rPr>
        <w:t xml:space="preserve">עוסק בסחר בנשק, מציע הצעות כאלו ואחרות לסחר בסוגים שונים של כלי נשק, ובכמויות גדולות של תחמושת, וככלל עולה כי מדובר במי שמצוי ועוסק בסחר, החזקה, הובלה של נשק ותחמושת באופן מקיף. </w:t>
      </w:r>
    </w:p>
    <w:p w14:paraId="0D172746" w14:textId="77777777" w:rsidR="000613B5" w:rsidRPr="00EF598B" w:rsidRDefault="000613B5" w:rsidP="000613B5">
      <w:pPr>
        <w:spacing w:line="360" w:lineRule="auto"/>
        <w:ind w:left="26"/>
        <w:jc w:val="both"/>
        <w:rPr>
          <w:rtl/>
        </w:rPr>
      </w:pPr>
    </w:p>
    <w:p w14:paraId="4C4A6F50" w14:textId="77777777" w:rsidR="000613B5" w:rsidRPr="00EF598B" w:rsidRDefault="000613B5" w:rsidP="000613B5">
      <w:pPr>
        <w:spacing w:line="360" w:lineRule="auto"/>
        <w:ind w:left="26"/>
        <w:jc w:val="both"/>
        <w:rPr>
          <w:rtl/>
        </w:rPr>
      </w:pPr>
      <w:r w:rsidRPr="00EF598B">
        <w:rPr>
          <w:rtl/>
        </w:rPr>
        <w:t>מאסר בפועל של 37 חודשים ומאסר מותנה של 12 חודשים אינם מרתיעים את הנאשם, והוא שב ומבצע עבירת נשק לאחר שחרורו.</w:t>
      </w:r>
    </w:p>
    <w:p w14:paraId="5E9D2375" w14:textId="77777777" w:rsidR="000613B5" w:rsidRPr="00EF598B" w:rsidRDefault="000613B5" w:rsidP="000613B5">
      <w:pPr>
        <w:spacing w:line="360" w:lineRule="auto"/>
        <w:ind w:left="26"/>
        <w:jc w:val="both"/>
        <w:rPr>
          <w:rtl/>
        </w:rPr>
      </w:pPr>
    </w:p>
    <w:p w14:paraId="4D661FB6" w14:textId="77777777" w:rsidR="000613B5" w:rsidRPr="00EF598B" w:rsidRDefault="000613B5" w:rsidP="000613B5">
      <w:pPr>
        <w:spacing w:line="360" w:lineRule="auto"/>
        <w:ind w:left="26"/>
        <w:jc w:val="both"/>
        <w:rPr>
          <w:rtl/>
        </w:rPr>
      </w:pPr>
      <w:r w:rsidRPr="00EF598B">
        <w:rPr>
          <w:rtl/>
        </w:rPr>
        <w:t xml:space="preserve">בתאריך 27.6.18 מוטל עליו מאסר של 37 חודשים מיום מעצרו 2.7.17, וביום 5.8.21 הוא מבצע שוב עבירת נשק חמורה. </w:t>
      </w:r>
    </w:p>
    <w:p w14:paraId="61DB6BA5" w14:textId="77777777" w:rsidR="000613B5" w:rsidRPr="00EF598B" w:rsidRDefault="000613B5" w:rsidP="000613B5">
      <w:pPr>
        <w:spacing w:line="360" w:lineRule="auto"/>
        <w:ind w:left="26"/>
        <w:jc w:val="both"/>
        <w:rPr>
          <w:rtl/>
        </w:rPr>
      </w:pPr>
    </w:p>
    <w:p w14:paraId="39BD93AD" w14:textId="77777777" w:rsidR="000613B5" w:rsidRPr="00EF598B" w:rsidRDefault="000613B5" w:rsidP="000613B5">
      <w:pPr>
        <w:spacing w:line="360" w:lineRule="auto"/>
        <w:ind w:left="26"/>
        <w:jc w:val="both"/>
        <w:rPr>
          <w:rtl/>
        </w:rPr>
      </w:pPr>
      <w:r w:rsidRPr="00EF598B">
        <w:rPr>
          <w:rtl/>
        </w:rPr>
        <w:t xml:space="preserve">לאור העובדות של האישומים בהם הורשע בהרשעתו הקודמת (ת/2), עולה תמונה של מי אשר נטוע בעולם הנשק ועוסק בו באופן נרחב, בסוגים שונים של נשק ותחמושת. </w:t>
      </w:r>
    </w:p>
    <w:p w14:paraId="38D71B8E" w14:textId="77777777" w:rsidR="000613B5" w:rsidRPr="00EF598B" w:rsidRDefault="000613B5" w:rsidP="000613B5">
      <w:pPr>
        <w:spacing w:line="360" w:lineRule="auto"/>
        <w:ind w:left="26"/>
        <w:jc w:val="both"/>
        <w:rPr>
          <w:rtl/>
        </w:rPr>
      </w:pPr>
    </w:p>
    <w:p w14:paraId="2F48E9E8" w14:textId="77777777" w:rsidR="000613B5" w:rsidRPr="00EF598B" w:rsidRDefault="000613B5" w:rsidP="000613B5">
      <w:pPr>
        <w:spacing w:line="360" w:lineRule="auto"/>
        <w:ind w:left="26"/>
        <w:jc w:val="both"/>
        <w:rPr>
          <w:rtl/>
          <w:lang w:eastAsia="he-IL"/>
        </w:rPr>
      </w:pPr>
      <w:r w:rsidRPr="00EF598B">
        <w:rPr>
          <w:rtl/>
          <w:lang w:eastAsia="he-IL"/>
        </w:rPr>
        <w:t xml:space="preserve">לעברו הפלילי החמור של הנאשם, ולעובדה שמדובר בעבר פלילי רלבנטי ביותר, בעבירות נשק אשר בחלקן אף חמורות יותר, יש לתת משקל משמעותי בענישה. ברגיל, בעבירות נשק יש לתת משקל בשיקולי הענישה להרתעת הרבים ולהרתעת היחיד, ובעניינו של הנאשם בנוסף להרתעת הרבים, הרי שהמשקל שיש לתת להרתעת היחיד צריך גם הוא להיות משמעותי ביותר. </w:t>
      </w:r>
    </w:p>
    <w:p w14:paraId="1B424286" w14:textId="77777777" w:rsidR="000613B5" w:rsidRPr="00EF598B" w:rsidRDefault="000613B5" w:rsidP="000613B5">
      <w:pPr>
        <w:spacing w:line="360" w:lineRule="auto"/>
        <w:ind w:left="26"/>
        <w:jc w:val="both"/>
        <w:rPr>
          <w:rtl/>
          <w:lang w:eastAsia="he-IL"/>
        </w:rPr>
      </w:pPr>
    </w:p>
    <w:p w14:paraId="57FECEF8" w14:textId="77777777" w:rsidR="000613B5" w:rsidRPr="00EF598B" w:rsidRDefault="000613B5" w:rsidP="000613B5">
      <w:pPr>
        <w:spacing w:line="360" w:lineRule="auto"/>
        <w:ind w:left="26"/>
        <w:jc w:val="both"/>
        <w:rPr>
          <w:rtl/>
          <w:lang w:eastAsia="he-IL"/>
        </w:rPr>
      </w:pPr>
      <w:r w:rsidRPr="00EF598B">
        <w:rPr>
          <w:rtl/>
          <w:lang w:eastAsia="he-IL"/>
        </w:rPr>
        <w:t xml:space="preserve">הנאשם מוכיח במעשיו כי מאסר ממושך שהוטל עליו לא הרתיעו, וכך גם לא מאסר מותנה ממושך בן 12 חודשים. </w:t>
      </w:r>
    </w:p>
    <w:p w14:paraId="6556D416" w14:textId="77777777" w:rsidR="000613B5" w:rsidRPr="00EF598B" w:rsidRDefault="000613B5" w:rsidP="000613B5">
      <w:pPr>
        <w:spacing w:line="360" w:lineRule="auto"/>
        <w:ind w:left="26"/>
        <w:jc w:val="both"/>
        <w:rPr>
          <w:rtl/>
          <w:lang w:eastAsia="he-IL"/>
        </w:rPr>
      </w:pPr>
    </w:p>
    <w:p w14:paraId="4F134195" w14:textId="77777777" w:rsidR="000613B5" w:rsidRPr="00EF598B" w:rsidRDefault="000613B5" w:rsidP="000613B5">
      <w:pPr>
        <w:spacing w:line="360" w:lineRule="auto"/>
        <w:ind w:left="26"/>
        <w:jc w:val="both"/>
        <w:rPr>
          <w:rtl/>
          <w:lang w:eastAsia="he-IL"/>
        </w:rPr>
      </w:pPr>
      <w:r w:rsidRPr="00EF598B">
        <w:rPr>
          <w:rtl/>
          <w:lang w:eastAsia="he-IL"/>
        </w:rPr>
        <w:t xml:space="preserve">לאור חומרת העבירה, נסיבות ביצועה, ועברו הפלילי המכביד והרלבנטי של הנאשם, הרי שענישה הכוללת 31 חודשי מאסר, גם ללא הפעלת מאסר מותנה, הינה העונש ההולם והראוי למי אשר בוחר שוב ושוב לבצע עבירות נשק חמורות. </w:t>
      </w:r>
    </w:p>
    <w:p w14:paraId="30C7D90E" w14:textId="77777777" w:rsidR="000613B5" w:rsidRPr="00EF598B" w:rsidRDefault="000613B5" w:rsidP="000613B5">
      <w:pPr>
        <w:spacing w:line="360" w:lineRule="auto"/>
        <w:ind w:left="26"/>
        <w:jc w:val="both"/>
        <w:rPr>
          <w:rtl/>
          <w:lang w:eastAsia="he-IL"/>
        </w:rPr>
      </w:pPr>
    </w:p>
    <w:p w14:paraId="7DDEC573" w14:textId="77777777" w:rsidR="000613B5" w:rsidRPr="00EF598B" w:rsidRDefault="000613B5" w:rsidP="000613B5">
      <w:pPr>
        <w:spacing w:line="360" w:lineRule="auto"/>
        <w:ind w:left="26"/>
        <w:jc w:val="both"/>
        <w:rPr>
          <w:rtl/>
          <w:lang w:eastAsia="he-IL"/>
        </w:rPr>
      </w:pPr>
      <w:r w:rsidRPr="00EF598B">
        <w:rPr>
          <w:rtl/>
          <w:lang w:eastAsia="he-IL"/>
        </w:rPr>
        <w:t>משמתווסף לכך מאסר מותנה משמעותי בן 12 חודשים, הרי שאין אלא לקבוע כי הרף העליון של טווח הענישה המוסכם הינו עונש אשר יש בו כדי הקלה עם הנאשם, ואלמלא</w:t>
      </w:r>
      <w:r>
        <w:rPr>
          <w:rFonts w:hint="cs"/>
          <w:rtl/>
          <w:lang w:eastAsia="he-IL"/>
        </w:rPr>
        <w:t xml:space="preserve"> הסכמה</w:t>
      </w:r>
      <w:r w:rsidRPr="00EF598B">
        <w:rPr>
          <w:rtl/>
          <w:lang w:eastAsia="he-IL"/>
        </w:rPr>
        <w:t xml:space="preserve"> זו הרי שיכול והענישה הראויה היתה גבוהה יותר.</w:t>
      </w:r>
    </w:p>
    <w:p w14:paraId="6649C509" w14:textId="77777777" w:rsidR="000613B5" w:rsidRPr="00EF598B" w:rsidRDefault="000613B5" w:rsidP="000613B5">
      <w:pPr>
        <w:spacing w:line="360" w:lineRule="auto"/>
        <w:ind w:left="26"/>
        <w:jc w:val="both"/>
        <w:rPr>
          <w:rtl/>
          <w:lang w:eastAsia="he-IL"/>
        </w:rPr>
      </w:pPr>
    </w:p>
    <w:p w14:paraId="3718D8A4" w14:textId="77777777" w:rsidR="000613B5" w:rsidRPr="00EF598B" w:rsidRDefault="000613B5" w:rsidP="000613B5">
      <w:pPr>
        <w:spacing w:line="360" w:lineRule="auto"/>
        <w:ind w:left="26"/>
        <w:jc w:val="both"/>
        <w:rPr>
          <w:rtl/>
          <w:lang w:eastAsia="he-IL"/>
        </w:rPr>
      </w:pPr>
      <w:r w:rsidRPr="00EF598B">
        <w:rPr>
          <w:rtl/>
          <w:lang w:eastAsia="he-IL"/>
        </w:rPr>
        <w:t xml:space="preserve">ענישה ברף העליון של טווח הענישה המוסכם מגלמת בתוכה הקלה  אל מול הענישה הראויה בנסיבות ביצוע העבירה ונסיבותיו של הנאשם. מי אשר שב ומסכן את הציבור, מבצע שוב ושוב עבירות נשק חמורות, מאסר בפועל אינו מרתיעו וכך גם לא מאסר מותנה, </w:t>
      </w:r>
      <w:r>
        <w:rPr>
          <w:rFonts w:hint="cs"/>
          <w:rtl/>
          <w:lang w:eastAsia="he-IL"/>
        </w:rPr>
        <w:t xml:space="preserve">מחויב </w:t>
      </w:r>
      <w:r w:rsidRPr="00EF598B">
        <w:rPr>
          <w:rtl/>
          <w:lang w:eastAsia="he-IL"/>
        </w:rPr>
        <w:t xml:space="preserve">כי הענישה בעניינו תהיה משמעותית ותכלול מאסר בפועל משמעותי. </w:t>
      </w:r>
    </w:p>
    <w:p w14:paraId="4F3BD468" w14:textId="77777777" w:rsidR="000613B5" w:rsidRPr="00EF598B" w:rsidRDefault="000613B5" w:rsidP="000613B5">
      <w:pPr>
        <w:spacing w:line="360" w:lineRule="auto"/>
        <w:ind w:left="26"/>
        <w:jc w:val="both"/>
        <w:rPr>
          <w:rtl/>
          <w:lang w:eastAsia="he-IL"/>
        </w:rPr>
      </w:pPr>
    </w:p>
    <w:p w14:paraId="455088E6" w14:textId="77777777" w:rsidR="000613B5" w:rsidRPr="00EF598B" w:rsidRDefault="000613B5" w:rsidP="000613B5">
      <w:pPr>
        <w:spacing w:line="360" w:lineRule="auto"/>
        <w:ind w:left="26"/>
        <w:jc w:val="both"/>
        <w:rPr>
          <w:rtl/>
          <w:lang w:eastAsia="he-IL"/>
        </w:rPr>
      </w:pPr>
      <w:r w:rsidRPr="00EF598B">
        <w:rPr>
          <w:rtl/>
          <w:lang w:eastAsia="he-IL"/>
        </w:rPr>
        <w:t xml:space="preserve">הצורך בהחמרה בעבירות הנשק מודגש שוב ושוב על ידי בתי המשפט, וענישה של 31 חודשי מאסר, אל מול מכלול הנתונים האמורים לעיל, והצורך בהחמרה, יש בה אף מידה של הקלה עם הנאשם. </w:t>
      </w:r>
    </w:p>
    <w:p w14:paraId="3DA0C7B5" w14:textId="77777777" w:rsidR="000613B5" w:rsidRPr="00EF598B" w:rsidRDefault="000613B5" w:rsidP="000613B5">
      <w:pPr>
        <w:spacing w:line="360" w:lineRule="auto"/>
        <w:ind w:left="26"/>
        <w:jc w:val="both"/>
        <w:rPr>
          <w:rtl/>
          <w:lang w:eastAsia="he-IL"/>
        </w:rPr>
      </w:pPr>
    </w:p>
    <w:p w14:paraId="5C1A30A9" w14:textId="77777777" w:rsidR="000613B5" w:rsidRPr="00EF598B" w:rsidRDefault="000613B5" w:rsidP="000613B5">
      <w:pPr>
        <w:spacing w:line="360" w:lineRule="auto"/>
        <w:ind w:left="26"/>
        <w:jc w:val="both"/>
        <w:rPr>
          <w:rtl/>
          <w:lang w:eastAsia="he-IL"/>
        </w:rPr>
      </w:pPr>
      <w:r w:rsidRPr="00EF598B">
        <w:rPr>
          <w:rtl/>
          <w:lang w:eastAsia="he-IL"/>
        </w:rPr>
        <w:t xml:space="preserve">אשר על כן, תוטל על הנאשם ענישה ברף העליון של טווח הענישה המוסכם, ולאור ההסדר יופעל המאסר המותנה כולו בחופף למאסר בפועל המוטל, כפי עתירת המאשימה. </w:t>
      </w:r>
    </w:p>
    <w:p w14:paraId="73C9AF4A" w14:textId="77777777" w:rsidR="000613B5" w:rsidRPr="00EF598B" w:rsidRDefault="000613B5" w:rsidP="000613B5">
      <w:pPr>
        <w:spacing w:line="360" w:lineRule="auto"/>
        <w:ind w:left="26"/>
        <w:jc w:val="both"/>
        <w:rPr>
          <w:rtl/>
          <w:lang w:eastAsia="he-IL"/>
        </w:rPr>
      </w:pPr>
    </w:p>
    <w:p w14:paraId="1B56994E" w14:textId="77777777" w:rsidR="000613B5" w:rsidRPr="00EF598B" w:rsidRDefault="000613B5" w:rsidP="000613B5">
      <w:pPr>
        <w:spacing w:line="360" w:lineRule="auto"/>
        <w:ind w:left="26"/>
        <w:jc w:val="both"/>
        <w:rPr>
          <w:rtl/>
          <w:lang w:eastAsia="he-IL"/>
        </w:rPr>
      </w:pPr>
      <w:r w:rsidRPr="00EF598B">
        <w:rPr>
          <w:rtl/>
          <w:lang w:eastAsia="he-IL"/>
        </w:rPr>
        <w:t xml:space="preserve">במסגרת ההסדר עתרו ב"כ המאשימה גם להטלת קנס משמעותי. בקביעת קנס יש להביא בשיקולים מצב כלכלי של נאשם. אין בפני נתונים של ממש ביחס למצבו הכלכלי של הנאשם. אולם לאור קבלת האחריות והמאסר המוטל, אני מוצא שלא להכביד עם הנאשם ברכיב הקנס, ואולם, הקנס לא יפחת מהקנס אשר הוטל על הנאשם בהרשעתו הקודמת, ואשר גם הוא לא הרתיע את הנאשם. </w:t>
      </w:r>
    </w:p>
    <w:p w14:paraId="6443FCB5" w14:textId="77777777" w:rsidR="000613B5" w:rsidRPr="00EF598B" w:rsidRDefault="000613B5" w:rsidP="000613B5">
      <w:pPr>
        <w:spacing w:line="360" w:lineRule="auto"/>
        <w:ind w:left="26"/>
        <w:jc w:val="both"/>
        <w:rPr>
          <w:rtl/>
          <w:lang w:eastAsia="he-IL"/>
        </w:rPr>
      </w:pPr>
    </w:p>
    <w:p w14:paraId="1F428E83" w14:textId="77777777" w:rsidR="000613B5" w:rsidRPr="00EF598B" w:rsidRDefault="000613B5" w:rsidP="000613B5">
      <w:pPr>
        <w:spacing w:line="360" w:lineRule="auto"/>
        <w:ind w:left="26"/>
        <w:jc w:val="both"/>
        <w:rPr>
          <w:rtl/>
          <w:lang w:eastAsia="he-IL"/>
        </w:rPr>
      </w:pPr>
      <w:r w:rsidRPr="00EF598B">
        <w:rPr>
          <w:rtl/>
          <w:lang w:eastAsia="he-IL"/>
        </w:rPr>
        <w:t>כמו כן, יוטל מאסר מותנה. מאסר מותנה של 12 חודשים לא הרתיע את הנאשם, ולפיכך אין אלא להטיל מאסר מותנה משמעותי יותר.</w:t>
      </w:r>
    </w:p>
    <w:p w14:paraId="5761FA80" w14:textId="77777777" w:rsidR="000613B5" w:rsidRPr="00EF598B" w:rsidRDefault="000613B5" w:rsidP="000613B5">
      <w:pPr>
        <w:spacing w:line="360" w:lineRule="auto"/>
        <w:ind w:left="26"/>
        <w:jc w:val="both"/>
        <w:rPr>
          <w:rtl/>
          <w:lang w:eastAsia="he-IL"/>
        </w:rPr>
      </w:pPr>
    </w:p>
    <w:p w14:paraId="64D3E234" w14:textId="77777777" w:rsidR="000613B5" w:rsidRPr="00EF598B" w:rsidRDefault="000613B5" w:rsidP="000613B5">
      <w:pPr>
        <w:spacing w:line="360" w:lineRule="auto"/>
        <w:jc w:val="both"/>
        <w:rPr>
          <w:b/>
          <w:bCs/>
          <w:rtl/>
          <w:lang w:eastAsia="he-IL"/>
        </w:rPr>
      </w:pPr>
      <w:r w:rsidRPr="00EF598B">
        <w:rPr>
          <w:rtl/>
          <w:lang w:eastAsia="he-IL"/>
        </w:rPr>
        <w:t>12.</w:t>
      </w:r>
      <w:r w:rsidRPr="00EF598B">
        <w:rPr>
          <w:rtl/>
          <w:lang w:eastAsia="he-IL"/>
        </w:rPr>
        <w:tab/>
      </w:r>
      <w:r w:rsidRPr="00EF598B">
        <w:rPr>
          <w:b/>
          <w:bCs/>
          <w:rtl/>
          <w:lang w:eastAsia="he-IL"/>
        </w:rPr>
        <w:t xml:space="preserve">אשר על כן אני גוזר על הנאשם את העונשים הבאים: </w:t>
      </w:r>
    </w:p>
    <w:p w14:paraId="2F99DFB3" w14:textId="77777777" w:rsidR="000613B5" w:rsidRPr="00EF598B" w:rsidRDefault="000613B5" w:rsidP="000613B5">
      <w:pPr>
        <w:spacing w:line="360" w:lineRule="auto"/>
        <w:jc w:val="both"/>
        <w:rPr>
          <w:rtl/>
          <w:lang w:eastAsia="he-IL"/>
        </w:rPr>
      </w:pPr>
      <w:r w:rsidRPr="00EF598B">
        <w:rPr>
          <w:rtl/>
          <w:lang w:eastAsia="he-IL"/>
        </w:rPr>
        <w:t xml:space="preserve"> </w:t>
      </w:r>
    </w:p>
    <w:p w14:paraId="3D27A4B4" w14:textId="77777777" w:rsidR="000613B5" w:rsidRPr="00EF598B" w:rsidRDefault="000613B5" w:rsidP="000613B5">
      <w:pPr>
        <w:spacing w:line="360" w:lineRule="auto"/>
        <w:jc w:val="both"/>
        <w:rPr>
          <w:rtl/>
          <w:lang w:eastAsia="he-IL"/>
        </w:rPr>
      </w:pPr>
      <w:r w:rsidRPr="00EF598B">
        <w:rPr>
          <w:b/>
          <w:bCs/>
          <w:u w:val="single"/>
          <w:rtl/>
          <w:lang w:eastAsia="he-IL"/>
        </w:rPr>
        <w:t>מאסר</w:t>
      </w:r>
      <w:r w:rsidRPr="00EF598B">
        <w:rPr>
          <w:rtl/>
          <w:lang w:eastAsia="he-IL"/>
        </w:rPr>
        <w:t xml:space="preserve"> - מאסר בפועל לתקופה של 31 חודשים. תקופת מאסרו תחושב מיום מעצרו 5.8.21. </w:t>
      </w:r>
    </w:p>
    <w:p w14:paraId="34E65C97" w14:textId="77777777" w:rsidR="000613B5" w:rsidRPr="00EF598B" w:rsidRDefault="000613B5" w:rsidP="000613B5">
      <w:pPr>
        <w:spacing w:line="360" w:lineRule="auto"/>
        <w:jc w:val="both"/>
        <w:rPr>
          <w:rtl/>
          <w:lang w:eastAsia="he-IL"/>
        </w:rPr>
      </w:pPr>
    </w:p>
    <w:p w14:paraId="047AE679" w14:textId="77777777" w:rsidR="000613B5" w:rsidRPr="00EF598B" w:rsidRDefault="000613B5" w:rsidP="000613B5">
      <w:pPr>
        <w:spacing w:line="360" w:lineRule="auto"/>
        <w:jc w:val="both"/>
        <w:rPr>
          <w:rtl/>
          <w:lang w:eastAsia="he-IL"/>
        </w:rPr>
      </w:pPr>
      <w:r w:rsidRPr="00EF598B">
        <w:rPr>
          <w:b/>
          <w:bCs/>
          <w:u w:val="single"/>
          <w:rtl/>
          <w:lang w:eastAsia="he-IL"/>
        </w:rPr>
        <w:t>הפעלת מאסר על תנאי</w:t>
      </w:r>
      <w:r w:rsidRPr="00EF598B">
        <w:rPr>
          <w:b/>
          <w:bCs/>
          <w:rtl/>
          <w:lang w:eastAsia="he-IL"/>
        </w:rPr>
        <w:t xml:space="preserve"> - </w:t>
      </w:r>
      <w:r w:rsidRPr="00EF598B">
        <w:rPr>
          <w:rtl/>
          <w:lang w:eastAsia="he-IL"/>
        </w:rPr>
        <w:t xml:space="preserve">מפעיל בזאת מאסר על תנאי שהוטל על הנאשם ביום 27.6.18 בת.פ.- 21720-03-17, </w:t>
      </w:r>
      <w:hyperlink r:id="rId35" w:history="1">
        <w:r w:rsidR="00725381" w:rsidRPr="00725381">
          <w:rPr>
            <w:color w:val="0000FF"/>
            <w:u w:val="single"/>
            <w:rtl/>
            <w:lang w:eastAsia="he-IL"/>
          </w:rPr>
          <w:t>ת.פ. 14561-07-17</w:t>
        </w:r>
      </w:hyperlink>
      <w:r w:rsidRPr="00EF598B">
        <w:rPr>
          <w:rtl/>
          <w:lang w:eastAsia="he-IL"/>
        </w:rPr>
        <w:t xml:space="preserve">, של ביהמ"ש המחוזי בבאר שבע, לתקופה של 12 חודשים, כך שירוצה בחופף למאסר בפועל דלעיל. </w:t>
      </w:r>
    </w:p>
    <w:p w14:paraId="79E86CB8" w14:textId="77777777" w:rsidR="000613B5" w:rsidRPr="00EF598B" w:rsidRDefault="000613B5" w:rsidP="000613B5">
      <w:pPr>
        <w:spacing w:line="360" w:lineRule="auto"/>
        <w:jc w:val="both"/>
        <w:rPr>
          <w:rtl/>
        </w:rPr>
      </w:pPr>
    </w:p>
    <w:p w14:paraId="649FDAF5" w14:textId="77777777" w:rsidR="000613B5" w:rsidRPr="00EF598B" w:rsidRDefault="000613B5" w:rsidP="000613B5">
      <w:pPr>
        <w:spacing w:line="360" w:lineRule="auto"/>
        <w:jc w:val="both"/>
        <w:rPr>
          <w:b/>
          <w:bCs/>
          <w:u w:val="single"/>
          <w:lang w:eastAsia="he-IL"/>
        </w:rPr>
      </w:pPr>
      <w:r w:rsidRPr="00EF598B">
        <w:rPr>
          <w:b/>
          <w:bCs/>
          <w:u w:val="single"/>
          <w:rtl/>
          <w:lang w:eastAsia="he-IL"/>
        </w:rPr>
        <w:t>סך הכל ירצה הנאשם מאסר בפועל למשך 31 חודשים שתחילתו ביום מעצרו.</w:t>
      </w:r>
    </w:p>
    <w:p w14:paraId="639FDC9E" w14:textId="77777777" w:rsidR="000613B5" w:rsidRPr="00EF598B" w:rsidRDefault="000613B5" w:rsidP="000613B5">
      <w:pPr>
        <w:spacing w:line="360" w:lineRule="auto"/>
        <w:jc w:val="both"/>
        <w:rPr>
          <w:rtl/>
          <w:lang w:eastAsia="he-IL"/>
        </w:rPr>
      </w:pPr>
    </w:p>
    <w:p w14:paraId="06DF7DA8" w14:textId="77777777" w:rsidR="000613B5" w:rsidRPr="00EF598B" w:rsidRDefault="000613B5" w:rsidP="000613B5">
      <w:pPr>
        <w:spacing w:line="360" w:lineRule="auto"/>
        <w:jc w:val="both"/>
        <w:rPr>
          <w:rtl/>
          <w:lang w:eastAsia="he-IL"/>
        </w:rPr>
      </w:pPr>
      <w:r w:rsidRPr="00EF598B">
        <w:rPr>
          <w:b/>
          <w:bCs/>
          <w:u w:val="single"/>
          <w:rtl/>
          <w:lang w:eastAsia="he-IL"/>
        </w:rPr>
        <w:t>מאסר על תנאי</w:t>
      </w:r>
      <w:r w:rsidRPr="00EF598B">
        <w:rPr>
          <w:rtl/>
          <w:lang w:eastAsia="he-IL"/>
        </w:rPr>
        <w:t xml:space="preserve"> - מאסר על תנאי לתקופה של 18 חודשים. הנאשם יישא בעונש זה אם בתקופה של שלוש שנים מיום שחרורו יעבור על כל עבירה לפיה הורשע, </w:t>
      </w:r>
      <w:r>
        <w:rPr>
          <w:rFonts w:hint="cs"/>
          <w:rtl/>
          <w:lang w:eastAsia="he-IL"/>
        </w:rPr>
        <w:t xml:space="preserve">או כל עבירת </w:t>
      </w:r>
      <w:r w:rsidRPr="00EF598B">
        <w:rPr>
          <w:rtl/>
          <w:lang w:eastAsia="he-IL"/>
        </w:rPr>
        <w:t xml:space="preserve">נשק אחרת.  </w:t>
      </w:r>
    </w:p>
    <w:p w14:paraId="46E44ADB" w14:textId="77777777" w:rsidR="000613B5" w:rsidRPr="00EF598B" w:rsidRDefault="000613B5" w:rsidP="000613B5">
      <w:pPr>
        <w:spacing w:line="360" w:lineRule="auto"/>
        <w:jc w:val="both"/>
        <w:rPr>
          <w:rtl/>
          <w:lang w:eastAsia="he-IL"/>
        </w:rPr>
      </w:pPr>
    </w:p>
    <w:p w14:paraId="3F188F92" w14:textId="77777777" w:rsidR="000613B5" w:rsidRPr="00EF598B" w:rsidRDefault="000613B5" w:rsidP="000613B5">
      <w:pPr>
        <w:spacing w:line="360" w:lineRule="auto"/>
        <w:jc w:val="both"/>
        <w:rPr>
          <w:rtl/>
          <w:lang w:eastAsia="he-IL"/>
        </w:rPr>
      </w:pPr>
      <w:r w:rsidRPr="00EF598B">
        <w:rPr>
          <w:b/>
          <w:bCs/>
          <w:u w:val="single"/>
          <w:rtl/>
          <w:lang w:eastAsia="he-IL"/>
        </w:rPr>
        <w:t>קנס</w:t>
      </w:r>
      <w:r w:rsidRPr="00EF598B">
        <w:rPr>
          <w:rtl/>
          <w:lang w:eastAsia="he-IL"/>
        </w:rPr>
        <w:t xml:space="preserve"> - קנס בסך 10,000 ש"ח או מאסר למשך 50 ימים תחתיו; הקנס ישולם ב – 10 תשלומים חודשיים שווים ורצופים, התשלום הראשון ישולם בתוך 90 יום מהיום. </w:t>
      </w:r>
    </w:p>
    <w:p w14:paraId="2C48AFFA" w14:textId="77777777" w:rsidR="000613B5" w:rsidRPr="00725381" w:rsidRDefault="00725381" w:rsidP="000613B5">
      <w:pPr>
        <w:spacing w:line="360" w:lineRule="auto"/>
        <w:jc w:val="both"/>
        <w:rPr>
          <w:b/>
          <w:bCs/>
          <w:color w:val="FFFFFF"/>
          <w:sz w:val="2"/>
          <w:szCs w:val="2"/>
          <w:rtl/>
          <w:lang w:eastAsia="he-IL"/>
        </w:rPr>
      </w:pPr>
      <w:r w:rsidRPr="00725381">
        <w:rPr>
          <w:b/>
          <w:bCs/>
          <w:color w:val="FFFFFF"/>
          <w:sz w:val="2"/>
          <w:szCs w:val="2"/>
          <w:rtl/>
          <w:lang w:eastAsia="he-IL"/>
        </w:rPr>
        <w:t>5129371</w:t>
      </w:r>
    </w:p>
    <w:p w14:paraId="7B93DEC9" w14:textId="77777777" w:rsidR="000613B5" w:rsidRPr="00EF598B" w:rsidRDefault="00725381" w:rsidP="000613B5">
      <w:pPr>
        <w:spacing w:line="360" w:lineRule="auto"/>
        <w:jc w:val="both"/>
        <w:rPr>
          <w:b/>
          <w:bCs/>
          <w:rtl/>
          <w:lang w:eastAsia="he-IL"/>
        </w:rPr>
      </w:pPr>
      <w:r w:rsidRPr="00725381">
        <w:rPr>
          <w:b/>
          <w:bCs/>
          <w:color w:val="FFFFFF"/>
          <w:sz w:val="2"/>
          <w:szCs w:val="2"/>
          <w:rtl/>
          <w:lang w:eastAsia="he-IL"/>
        </w:rPr>
        <w:t>54678313</w:t>
      </w:r>
      <w:r w:rsidR="000613B5" w:rsidRPr="00EF598B">
        <w:rPr>
          <w:b/>
          <w:bCs/>
          <w:rtl/>
          <w:lang w:eastAsia="he-IL"/>
        </w:rPr>
        <w:t xml:space="preserve">זכות ערעור בתוך 45 יום מהיום. </w:t>
      </w:r>
    </w:p>
    <w:p w14:paraId="72D6C478" w14:textId="77777777" w:rsidR="000613B5" w:rsidRPr="000F2247" w:rsidRDefault="000613B5" w:rsidP="000613B5">
      <w:pPr>
        <w:rPr>
          <w:rFonts w:ascii="Arial" w:hAnsi="Arial"/>
          <w:b/>
          <w:bCs/>
          <w:sz w:val="26"/>
          <w:szCs w:val="26"/>
          <w:rtl/>
        </w:rPr>
      </w:pPr>
    </w:p>
    <w:p w14:paraId="343C2EC0" w14:textId="77777777" w:rsidR="000613B5" w:rsidRPr="000F2247" w:rsidRDefault="000613B5" w:rsidP="000613B5">
      <w:pPr>
        <w:rPr>
          <w:rFonts w:ascii="Arial" w:hAnsi="Arial"/>
          <w:b/>
          <w:bCs/>
          <w:sz w:val="26"/>
          <w:szCs w:val="26"/>
          <w:rtl/>
        </w:rPr>
      </w:pPr>
    </w:p>
    <w:p w14:paraId="03DA38AC" w14:textId="77777777" w:rsidR="00725381" w:rsidRDefault="00725381" w:rsidP="00725381">
      <w:bookmarkStart w:id="8" w:name="Nitan"/>
      <w:r>
        <w:rPr>
          <w:rFonts w:ascii="Arial" w:hAnsi="Arial"/>
          <w:b/>
          <w:bCs/>
          <w:sz w:val="26"/>
          <w:szCs w:val="26"/>
          <w:rtl/>
        </w:rPr>
        <w:t xml:space="preserve">ניתן היום,  ט' אייר תשפ"ב, 10 מאי 2022, במעמד הצדדים. </w:t>
      </w:r>
      <w:bookmarkEnd w:id="8"/>
      <w:r w:rsidR="000613B5" w:rsidRPr="000F2247">
        <w:rPr>
          <w:rFonts w:ascii="Arial" w:hAnsi="Arial"/>
          <w:b/>
          <w:bCs/>
          <w:sz w:val="26"/>
          <w:szCs w:val="26"/>
          <w:rtl/>
        </w:rPr>
        <w:t xml:space="preserve">   </w:t>
      </w:r>
      <w:r w:rsidR="000613B5" w:rsidRPr="000F2247">
        <w:rPr>
          <w:rFonts w:ascii="Arial" w:hAnsi="Arial"/>
          <w:b/>
          <w:bCs/>
          <w:sz w:val="26"/>
          <w:szCs w:val="26"/>
          <w:rtl/>
        </w:rPr>
        <w:tab/>
      </w:r>
      <w:r w:rsidR="000613B5" w:rsidRPr="000F2247">
        <w:rPr>
          <w:rFonts w:ascii="Arial" w:hAnsi="Arial"/>
          <w:b/>
          <w:bCs/>
          <w:sz w:val="26"/>
          <w:szCs w:val="26"/>
          <w:rtl/>
        </w:rPr>
        <w:tab/>
      </w:r>
      <w:r w:rsidR="000613B5" w:rsidRPr="000F2247">
        <w:rPr>
          <w:rFonts w:ascii="Arial" w:hAnsi="Arial"/>
          <w:b/>
          <w:bCs/>
          <w:sz w:val="26"/>
          <w:szCs w:val="26"/>
          <w:rtl/>
        </w:rPr>
        <w:tab/>
      </w:r>
    </w:p>
    <w:p w14:paraId="65BCC572" w14:textId="77777777" w:rsidR="00725381" w:rsidRDefault="00725381" w:rsidP="00725381">
      <w:pPr>
        <w:rPr>
          <w:rtl/>
        </w:rPr>
      </w:pPr>
    </w:p>
    <w:p w14:paraId="15EF91A4" w14:textId="77777777" w:rsidR="00725381" w:rsidRDefault="00725381" w:rsidP="00725381">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2B2F149" w14:textId="77777777" w:rsidR="00EA748F" w:rsidRPr="00EA748F" w:rsidRDefault="00EA748F" w:rsidP="00EA748F">
      <w:pPr>
        <w:keepNext/>
        <w:rPr>
          <w:rFonts w:ascii="David" w:hAnsi="David"/>
          <w:color w:val="000000"/>
          <w:sz w:val="22"/>
          <w:szCs w:val="22"/>
          <w:rtl/>
        </w:rPr>
      </w:pPr>
    </w:p>
    <w:p w14:paraId="45DF338B" w14:textId="77777777" w:rsidR="00EA748F" w:rsidRPr="00EA748F" w:rsidRDefault="00EA748F" w:rsidP="00EA748F">
      <w:pPr>
        <w:keepNext/>
        <w:rPr>
          <w:rFonts w:ascii="David" w:hAnsi="David"/>
          <w:color w:val="000000"/>
          <w:sz w:val="22"/>
          <w:szCs w:val="22"/>
          <w:rtl/>
        </w:rPr>
      </w:pPr>
      <w:r w:rsidRPr="00EA748F">
        <w:rPr>
          <w:rFonts w:ascii="David" w:hAnsi="David"/>
          <w:color w:val="000000"/>
          <w:sz w:val="22"/>
          <w:szCs w:val="22"/>
          <w:rtl/>
        </w:rPr>
        <w:t>יואל עדן 54678313-/</w:t>
      </w:r>
    </w:p>
    <w:p w14:paraId="1EC933EA" w14:textId="77777777" w:rsidR="00725381" w:rsidRPr="00725381" w:rsidRDefault="00EA748F" w:rsidP="00EA748F">
      <w:pPr>
        <w:rPr>
          <w:color w:val="0000FF"/>
          <w:u w:val="single"/>
        </w:rPr>
      </w:pPr>
      <w:r w:rsidRPr="00EA748F">
        <w:rPr>
          <w:color w:val="000000"/>
          <w:u w:val="single"/>
          <w:rtl/>
        </w:rPr>
        <w:t>נוסח מסמך זה כפוף לשינויי ניסוח ועריכה</w:t>
      </w:r>
    </w:p>
    <w:sectPr w:rsidR="00725381" w:rsidRPr="00725381" w:rsidSect="00EA748F">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2DAB6" w14:textId="77777777" w:rsidR="00FB2F62" w:rsidRDefault="00FB2F62" w:rsidP="0076429F">
      <w:r>
        <w:separator/>
      </w:r>
    </w:p>
  </w:endnote>
  <w:endnote w:type="continuationSeparator" w:id="0">
    <w:p w14:paraId="3596D15A" w14:textId="77777777" w:rsidR="00FB2F62" w:rsidRDefault="00FB2F62" w:rsidP="0076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0945D" w14:textId="77777777" w:rsidR="00EA748F" w:rsidRDefault="00EA748F" w:rsidP="00EA74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089D83" w14:textId="77777777" w:rsidR="00903D6A" w:rsidRPr="00EA748F" w:rsidRDefault="00EA748F" w:rsidP="00EA748F">
    <w:pPr>
      <w:pStyle w:val="a5"/>
      <w:pBdr>
        <w:top w:val="single" w:sz="4" w:space="1" w:color="auto"/>
        <w:between w:val="single" w:sz="4" w:space="0" w:color="auto"/>
      </w:pBdr>
      <w:spacing w:after="60"/>
      <w:jc w:val="center"/>
      <w:rPr>
        <w:rFonts w:ascii="FrankRuehl" w:hAnsi="FrankRuehl" w:cs="FrankRuehl"/>
        <w:color w:val="000000"/>
      </w:rPr>
    </w:pPr>
    <w:r w:rsidRPr="00EA74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A9052" w14:textId="77777777" w:rsidR="00EA748F" w:rsidRDefault="00EA748F" w:rsidP="00EA74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0A3C">
      <w:rPr>
        <w:rFonts w:ascii="FrankRuehl" w:hAnsi="FrankRuehl" w:cs="FrankRuehl"/>
        <w:noProof/>
        <w:rtl/>
      </w:rPr>
      <w:t>1</w:t>
    </w:r>
    <w:r>
      <w:rPr>
        <w:rFonts w:ascii="FrankRuehl" w:hAnsi="FrankRuehl" w:cs="FrankRuehl"/>
        <w:rtl/>
      </w:rPr>
      <w:fldChar w:fldCharType="end"/>
    </w:r>
  </w:p>
  <w:p w14:paraId="500F6AB6" w14:textId="77777777" w:rsidR="00903D6A" w:rsidRPr="00EA748F" w:rsidRDefault="00EA748F" w:rsidP="00EA748F">
    <w:pPr>
      <w:pStyle w:val="a5"/>
      <w:pBdr>
        <w:top w:val="single" w:sz="4" w:space="1" w:color="auto"/>
        <w:between w:val="single" w:sz="4" w:space="0" w:color="auto"/>
      </w:pBdr>
      <w:spacing w:after="60"/>
      <w:jc w:val="center"/>
      <w:rPr>
        <w:rFonts w:ascii="FrankRuehl" w:hAnsi="FrankRuehl" w:cs="FrankRuehl"/>
        <w:color w:val="000000"/>
      </w:rPr>
    </w:pPr>
    <w:r w:rsidRPr="00EA748F">
      <w:rPr>
        <w:rFonts w:ascii="FrankRuehl" w:hAnsi="FrankRuehl" w:cs="FrankRuehl"/>
        <w:color w:val="000000"/>
      </w:rPr>
      <w:pict w14:anchorId="4A09F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00F79" w14:textId="77777777" w:rsidR="00FB2F62" w:rsidRDefault="00FB2F62" w:rsidP="0076429F">
      <w:r>
        <w:separator/>
      </w:r>
    </w:p>
  </w:footnote>
  <w:footnote w:type="continuationSeparator" w:id="0">
    <w:p w14:paraId="1EDE77E6" w14:textId="77777777" w:rsidR="00FB2F62" w:rsidRDefault="00FB2F62" w:rsidP="0076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B31FF" w14:textId="77777777" w:rsidR="00725381" w:rsidRPr="00EA748F" w:rsidRDefault="00EA748F" w:rsidP="00EA74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43597-08-21</w:t>
    </w:r>
    <w:r>
      <w:rPr>
        <w:rFonts w:ascii="David" w:hAnsi="David"/>
        <w:color w:val="000000"/>
        <w:sz w:val="22"/>
        <w:szCs w:val="22"/>
        <w:rtl/>
      </w:rPr>
      <w:tab/>
      <w:t xml:space="preserve"> מדינת ישראל נ' אמיר אבו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09296" w14:textId="77777777" w:rsidR="00725381" w:rsidRPr="00EA748F" w:rsidRDefault="00EA748F" w:rsidP="00EA74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43597-08-21</w:t>
    </w:r>
    <w:r>
      <w:rPr>
        <w:rFonts w:ascii="David" w:hAnsi="David"/>
        <w:color w:val="000000"/>
        <w:sz w:val="22"/>
        <w:szCs w:val="22"/>
        <w:rtl/>
      </w:rPr>
      <w:tab/>
      <w:t xml:space="preserve"> מדינת ישראל נ' אמיר אבו גאנם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13B5"/>
    <w:rsid w:val="000613B5"/>
    <w:rsid w:val="001B5A3B"/>
    <w:rsid w:val="00576DA9"/>
    <w:rsid w:val="00581EAC"/>
    <w:rsid w:val="00725381"/>
    <w:rsid w:val="0076429F"/>
    <w:rsid w:val="00892A31"/>
    <w:rsid w:val="00903D6A"/>
    <w:rsid w:val="00A50A3C"/>
    <w:rsid w:val="00B470BA"/>
    <w:rsid w:val="00C806DA"/>
    <w:rsid w:val="00E12BE8"/>
    <w:rsid w:val="00EA748F"/>
    <w:rsid w:val="00F651C5"/>
    <w:rsid w:val="00F9186D"/>
    <w:rsid w:val="00FB2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05F6F9"/>
  <w15:chartTrackingRefBased/>
  <w15:docId w15:val="{21036E16-7300-45EB-8AFF-081C8F8D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13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13B5"/>
    <w:pPr>
      <w:tabs>
        <w:tab w:val="center" w:pos="4153"/>
        <w:tab w:val="right" w:pos="8306"/>
      </w:tabs>
    </w:pPr>
  </w:style>
  <w:style w:type="character" w:customStyle="1" w:styleId="a4">
    <w:name w:val="כותרת עליונה תו"/>
    <w:link w:val="a3"/>
    <w:rsid w:val="000613B5"/>
    <w:rPr>
      <w:rFonts w:ascii="Times New Roman" w:eastAsia="Times New Roman" w:hAnsi="Times New Roman" w:cs="David"/>
      <w:sz w:val="24"/>
      <w:szCs w:val="24"/>
    </w:rPr>
  </w:style>
  <w:style w:type="paragraph" w:styleId="a5">
    <w:name w:val="footer"/>
    <w:basedOn w:val="a"/>
    <w:link w:val="a6"/>
    <w:rsid w:val="000613B5"/>
    <w:pPr>
      <w:tabs>
        <w:tab w:val="center" w:pos="4153"/>
        <w:tab w:val="right" w:pos="8306"/>
      </w:tabs>
    </w:pPr>
  </w:style>
  <w:style w:type="character" w:customStyle="1" w:styleId="a6">
    <w:name w:val="כותרת תחתונה תו"/>
    <w:link w:val="a5"/>
    <w:rsid w:val="000613B5"/>
    <w:rPr>
      <w:rFonts w:ascii="Times New Roman" w:eastAsia="Times New Roman" w:hAnsi="Times New Roman" w:cs="David"/>
      <w:sz w:val="24"/>
      <w:szCs w:val="24"/>
    </w:rPr>
  </w:style>
  <w:style w:type="table" w:styleId="a7">
    <w:name w:val="Table Grid"/>
    <w:basedOn w:val="a1"/>
    <w:rsid w:val="000613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13B5"/>
  </w:style>
  <w:style w:type="character" w:styleId="Hyperlink">
    <w:name w:val="Hyperlink"/>
    <w:rsid w:val="00725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69233" TargetMode="External"/><Relationship Id="rId26" Type="http://schemas.openxmlformats.org/officeDocument/2006/relationships/hyperlink" Target="http://www.nevo.co.il/case/21474168" TargetMode="External"/><Relationship Id="rId39" Type="http://schemas.openxmlformats.org/officeDocument/2006/relationships/footer" Target="footer1.xml"/><Relationship Id="rId21" Type="http://schemas.openxmlformats.org/officeDocument/2006/relationships/hyperlink" Target="http://www.nevo.co.il/case/23825973"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7925239" TargetMode="External"/><Relationship Id="rId20" Type="http://schemas.openxmlformats.org/officeDocument/2006/relationships/hyperlink" Target="http://www.nevo.co.il/case/21479019" TargetMode="External"/><Relationship Id="rId29" Type="http://schemas.openxmlformats.org/officeDocument/2006/relationships/hyperlink" Target="http://www.nevo.co.il/case/694929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561298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7925239"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569233"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587868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22813442" TargetMode="Externa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case/560150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b"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2846</Words>
  <Characters>14231</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17043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3997811</vt:i4>
      </vt:variant>
      <vt:variant>
        <vt:i4>87</vt:i4>
      </vt:variant>
      <vt:variant>
        <vt:i4>0</vt:i4>
      </vt:variant>
      <vt:variant>
        <vt:i4>5</vt:i4>
      </vt:variant>
      <vt:variant>
        <vt:lpwstr>http://www.nevo.co.il/case/22813442</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4063353</vt:i4>
      </vt:variant>
      <vt:variant>
        <vt:i4>78</vt:i4>
      </vt:variant>
      <vt:variant>
        <vt:i4>0</vt:i4>
      </vt:variant>
      <vt:variant>
        <vt:i4>5</vt:i4>
      </vt:variant>
      <vt:variant>
        <vt:lpwstr>http://www.nevo.co.il/case/25612982</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3145853</vt:i4>
      </vt:variant>
      <vt:variant>
        <vt:i4>69</vt:i4>
      </vt:variant>
      <vt:variant>
        <vt:i4>0</vt:i4>
      </vt:variant>
      <vt:variant>
        <vt:i4>5</vt:i4>
      </vt:variant>
      <vt:variant>
        <vt:lpwstr>http://www.nevo.co.il/case/6949290</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3997811</vt:i4>
      </vt:variant>
      <vt:variant>
        <vt:i4>51</vt:i4>
      </vt:variant>
      <vt:variant>
        <vt:i4>0</vt:i4>
      </vt:variant>
      <vt:variant>
        <vt:i4>5</vt:i4>
      </vt:variant>
      <vt:variant>
        <vt:lpwstr>http://www.nevo.co.il/case/27925239</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3670140</vt:i4>
      </vt:variant>
      <vt:variant>
        <vt:i4>45</vt:i4>
      </vt:variant>
      <vt:variant>
        <vt:i4>0</vt:i4>
      </vt:variant>
      <vt:variant>
        <vt:i4>5</vt:i4>
      </vt:variant>
      <vt:variant>
        <vt:lpwstr>http://www.nevo.co.il/case/23825973</vt:lpwstr>
      </vt:variant>
      <vt:variant>
        <vt:lpwstr/>
      </vt:variant>
      <vt:variant>
        <vt:i4>4063346</vt:i4>
      </vt:variant>
      <vt:variant>
        <vt:i4>42</vt:i4>
      </vt:variant>
      <vt:variant>
        <vt:i4>0</vt:i4>
      </vt:variant>
      <vt:variant>
        <vt:i4>5</vt:i4>
      </vt:variant>
      <vt:variant>
        <vt:lpwstr>http://www.nevo.co.il/case/21479019</vt:lpwstr>
      </vt:variant>
      <vt:variant>
        <vt:lpwstr/>
      </vt:variant>
      <vt:variant>
        <vt:i4>3276923</vt:i4>
      </vt:variant>
      <vt:variant>
        <vt:i4>39</vt:i4>
      </vt:variant>
      <vt:variant>
        <vt:i4>0</vt:i4>
      </vt:variant>
      <vt:variant>
        <vt:i4>5</vt:i4>
      </vt:variant>
      <vt:variant>
        <vt:lpwstr>http://www.nevo.co.il/case/5569233</vt:lpwstr>
      </vt:variant>
      <vt:variant>
        <vt:lpwstr/>
      </vt:variant>
      <vt:variant>
        <vt:i4>3276923</vt:i4>
      </vt:variant>
      <vt:variant>
        <vt:i4>36</vt:i4>
      </vt:variant>
      <vt:variant>
        <vt:i4>0</vt:i4>
      </vt:variant>
      <vt:variant>
        <vt:i4>5</vt:i4>
      </vt:variant>
      <vt:variant>
        <vt:lpwstr>http://www.nevo.co.il/case/5569233</vt:lpwstr>
      </vt:variant>
      <vt:variant>
        <vt:lpwstr/>
      </vt:variant>
      <vt:variant>
        <vt:i4>3342451</vt:i4>
      </vt:variant>
      <vt:variant>
        <vt:i4>33</vt:i4>
      </vt:variant>
      <vt:variant>
        <vt:i4>0</vt:i4>
      </vt:variant>
      <vt:variant>
        <vt:i4>5</vt:i4>
      </vt:variant>
      <vt:variant>
        <vt:lpwstr>http://www.nevo.co.il/case/5601503</vt:lpwstr>
      </vt:variant>
      <vt:variant>
        <vt:lpwstr/>
      </vt:variant>
      <vt:variant>
        <vt:i4>3997811</vt:i4>
      </vt:variant>
      <vt:variant>
        <vt:i4>30</vt:i4>
      </vt:variant>
      <vt:variant>
        <vt:i4>0</vt:i4>
      </vt:variant>
      <vt:variant>
        <vt:i4>5</vt:i4>
      </vt:variant>
      <vt:variant>
        <vt:lpwstr>http://www.nevo.co.il/case/27925239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6357042</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43597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אמיר אבו גאנם</vt:lpwstr>
  </property>
  <property fmtid="{D5CDD505-2E9C-101B-9397-08002B2CF9AE}" pid="10" name="LAWYER">
    <vt:lpwstr>זוהר נאור;סמיר אבו עבד</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20220510</vt:lpwstr>
  </property>
  <property fmtid="{D5CDD505-2E9C-101B-9397-08002B2CF9AE}" pid="14" name="TYPE_N_DATE">
    <vt:lpwstr>39020220510</vt:lpwstr>
  </property>
  <property fmtid="{D5CDD505-2E9C-101B-9397-08002B2CF9AE}" pid="15" name="WORDNUMPAGES">
    <vt:lpwstr>9</vt:lpwstr>
  </property>
  <property fmtid="{D5CDD505-2E9C-101B-9397-08002B2CF9AE}" pid="16" name="TYPE_ABS_DATE">
    <vt:lpwstr>390020220510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27925239:2;5601503;5569233:2;21479019;23825973;6473037;21474168;5878682;13093744;6949290;25612982;22813442</vt:lpwstr>
  </property>
  <property fmtid="{D5CDD505-2E9C-101B-9397-08002B2CF9AE}" pid="36" name="LAWLISTTMP1">
    <vt:lpwstr>70301/144.b:5;144.b.2;144.a</vt:lpwstr>
  </property>
</Properties>
</file>