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1"/>
        <w:gridCol w:w="3680"/>
      </w:tblGrid>
      <w:tr w:rsidR="0018013A" w:rsidRPr="00C94904" w14:paraId="1374D3B8" w14:textId="77777777" w:rsidTr="00727925">
        <w:trPr>
          <w:trHeight w:hRule="exact" w:val="709"/>
          <w:jc w:val="center"/>
        </w:trPr>
        <w:tc>
          <w:tcPr>
            <w:tcW w:w="8721" w:type="dxa"/>
            <w:gridSpan w:val="2"/>
          </w:tcPr>
          <w:p w14:paraId="41B49A4A" w14:textId="77777777" w:rsidR="0018013A" w:rsidRPr="00C94904" w:rsidRDefault="0018013A" w:rsidP="001E239C">
            <w:pPr>
              <w:pStyle w:val="a3"/>
              <w:jc w:val="center"/>
              <w:rPr>
                <w:rtl/>
              </w:rPr>
            </w:pPr>
            <w:r w:rsidRPr="00C94904">
              <w:rPr>
                <w:rFonts w:ascii="Tahoma" w:hAnsi="Tahoma" w:cs="Tahoma"/>
                <w:b/>
                <w:bCs/>
                <w:color w:val="000080"/>
                <w:rtl/>
              </w:rPr>
              <w:t>בית המשפט המחוזי בירושלים</w:t>
            </w:r>
          </w:p>
          <w:p w14:paraId="488FD5FC" w14:textId="77777777" w:rsidR="0018013A" w:rsidRPr="00C94904" w:rsidRDefault="0018013A" w:rsidP="001E239C">
            <w:pPr>
              <w:jc w:val="center"/>
            </w:pPr>
            <w:r w:rsidRPr="00C94904">
              <w:rPr>
                <w:rFonts w:ascii="Tahoma" w:hAnsi="Tahoma" w:cs="Tahoma"/>
                <w:b/>
                <w:bCs/>
                <w:color w:val="000080"/>
                <w:sz w:val="22"/>
                <w:szCs w:val="22"/>
                <w:rtl/>
              </w:rPr>
              <w:t>לפני כב' השופט רפי כרמל, סגן נשיא</w:t>
            </w:r>
          </w:p>
          <w:p w14:paraId="5110FADD" w14:textId="77777777" w:rsidR="0018013A" w:rsidRPr="00C94904" w:rsidRDefault="0018013A" w:rsidP="001E239C">
            <w:pPr>
              <w:pStyle w:val="a3"/>
              <w:jc w:val="center"/>
              <w:rPr>
                <w:rFonts w:ascii="Tahoma" w:hAnsi="Tahoma" w:cs="Tahoma"/>
                <w:color w:val="000080"/>
                <w:rtl/>
              </w:rPr>
            </w:pPr>
          </w:p>
        </w:tc>
      </w:tr>
      <w:tr w:rsidR="0018013A" w:rsidRPr="00C94904" w14:paraId="33E6482E" w14:textId="77777777" w:rsidTr="00727925">
        <w:trPr>
          <w:trHeight w:val="337"/>
          <w:jc w:val="center"/>
        </w:trPr>
        <w:tc>
          <w:tcPr>
            <w:tcW w:w="5041" w:type="dxa"/>
          </w:tcPr>
          <w:p w14:paraId="03EAEEBF" w14:textId="77777777" w:rsidR="0018013A" w:rsidRPr="00C94904" w:rsidRDefault="0018013A" w:rsidP="001E239C">
            <w:pPr>
              <w:rPr>
                <w:rFonts w:ascii="Tahoma" w:hAnsi="Tahoma" w:cs="Tahoma"/>
                <w:b/>
                <w:bCs/>
                <w:color w:val="000080"/>
                <w:sz w:val="22"/>
                <w:szCs w:val="22"/>
                <w:rtl/>
              </w:rPr>
            </w:pPr>
            <w:bookmarkStart w:id="0" w:name="LastJudge"/>
            <w:bookmarkEnd w:id="0"/>
          </w:p>
        </w:tc>
        <w:tc>
          <w:tcPr>
            <w:tcW w:w="3680" w:type="dxa"/>
          </w:tcPr>
          <w:p w14:paraId="66D5D200" w14:textId="77777777" w:rsidR="0018013A" w:rsidRPr="00C94904" w:rsidRDefault="0018013A" w:rsidP="001E239C">
            <w:pPr>
              <w:pStyle w:val="a3"/>
              <w:jc w:val="right"/>
              <w:rPr>
                <w:rFonts w:ascii="Tahoma" w:hAnsi="Tahoma" w:cs="Tahoma"/>
                <w:b/>
                <w:bCs/>
                <w:color w:val="000080"/>
                <w:sz w:val="22"/>
                <w:szCs w:val="22"/>
                <w:rtl/>
              </w:rPr>
            </w:pPr>
            <w:r w:rsidRPr="00C94904">
              <w:rPr>
                <w:rFonts w:ascii="Tahoma" w:hAnsi="Tahoma" w:cs="Tahoma"/>
                <w:b/>
                <w:bCs/>
                <w:color w:val="000080"/>
                <w:sz w:val="22"/>
                <w:szCs w:val="22"/>
                <w:rtl/>
              </w:rPr>
              <w:t>ת"פ</w:t>
            </w:r>
            <w:r w:rsidRPr="00C94904">
              <w:rPr>
                <w:rFonts w:ascii="Tahoma" w:hAnsi="Tahoma" w:cs="Tahoma" w:hint="cs"/>
                <w:b/>
                <w:bCs/>
                <w:color w:val="000080"/>
                <w:sz w:val="22"/>
                <w:szCs w:val="22"/>
                <w:rtl/>
              </w:rPr>
              <w:t xml:space="preserve"> </w:t>
            </w:r>
            <w:r w:rsidRPr="00C94904">
              <w:rPr>
                <w:rFonts w:ascii="Tahoma" w:hAnsi="Tahoma" w:cs="Tahoma"/>
                <w:b/>
                <w:bCs/>
                <w:color w:val="000080"/>
                <w:sz w:val="22"/>
                <w:szCs w:val="22"/>
                <w:rtl/>
              </w:rPr>
              <w:t>45083-08-21</w:t>
            </w:r>
          </w:p>
        </w:tc>
      </w:tr>
    </w:tbl>
    <w:p w14:paraId="246BE20E" w14:textId="77777777" w:rsidR="0018013A" w:rsidRPr="00C94904" w:rsidRDefault="0018013A" w:rsidP="0018013A">
      <w:pPr>
        <w:pStyle w:val="a3"/>
        <w:rPr>
          <w:rFonts w:ascii="Tahoma" w:hAnsi="Tahoma" w:cs="Tahoma"/>
          <w:b/>
          <w:bCs/>
          <w:color w:val="000080"/>
          <w:sz w:val="22"/>
          <w:szCs w:val="22"/>
          <w:rtl/>
        </w:rPr>
      </w:pPr>
      <w:r w:rsidRPr="00C94904">
        <w:rPr>
          <w:rFonts w:ascii="Tahoma" w:hAnsi="Tahoma" w:cs="Tahoma" w:hint="cs"/>
          <w:b/>
          <w:bCs/>
          <w:color w:val="000080"/>
          <w:sz w:val="22"/>
          <w:szCs w:val="22"/>
          <w:rtl/>
        </w:rPr>
        <w:t xml:space="preserve"> </w:t>
      </w:r>
    </w:p>
    <w:p w14:paraId="59CC08A7" w14:textId="77777777" w:rsidR="0018013A" w:rsidRPr="00C94904" w:rsidRDefault="0018013A" w:rsidP="0018013A">
      <w:pPr>
        <w:spacing w:line="360" w:lineRule="auto"/>
        <w:jc w:val="both"/>
        <w:rPr>
          <w:rFonts w:ascii="David" w:eastAsia="David" w:hAnsi="David"/>
          <w:rtl/>
        </w:rPr>
      </w:pPr>
    </w:p>
    <w:p w14:paraId="0374D925" w14:textId="77777777" w:rsidR="0018013A" w:rsidRPr="00C94904" w:rsidRDefault="0018013A" w:rsidP="0018013A">
      <w:pPr>
        <w:spacing w:line="360" w:lineRule="auto"/>
        <w:jc w:val="both"/>
        <w:rPr>
          <w:rFonts w:ascii="David" w:eastAsia="David" w:hAnsi="David"/>
          <w:rtl/>
        </w:rPr>
      </w:pPr>
    </w:p>
    <w:tbl>
      <w:tblPr>
        <w:bidiVisual/>
        <w:tblW w:w="8802" w:type="dxa"/>
        <w:tblInd w:w="-28" w:type="dxa"/>
        <w:tblLook w:val="01E0" w:firstRow="1" w:lastRow="1" w:firstColumn="1" w:lastColumn="1" w:noHBand="0" w:noVBand="0"/>
      </w:tblPr>
      <w:tblGrid>
        <w:gridCol w:w="2880"/>
        <w:gridCol w:w="5922"/>
      </w:tblGrid>
      <w:tr w:rsidR="0018013A" w:rsidRPr="00C94904" w14:paraId="301312C0" w14:textId="77777777" w:rsidTr="0018013A">
        <w:tc>
          <w:tcPr>
            <w:tcW w:w="2880" w:type="dxa"/>
            <w:shd w:val="clear" w:color="auto" w:fill="auto"/>
          </w:tcPr>
          <w:p w14:paraId="34BB1830" w14:textId="77777777" w:rsidR="0018013A" w:rsidRPr="00C94904" w:rsidRDefault="0018013A" w:rsidP="0018013A">
            <w:pPr>
              <w:spacing w:line="480" w:lineRule="auto"/>
              <w:ind w:left="26"/>
              <w:rPr>
                <w:rFonts w:ascii="David" w:eastAsia="David" w:hAnsi="David"/>
                <w:b/>
                <w:bCs/>
                <w:sz w:val="26"/>
                <w:szCs w:val="26"/>
              </w:rPr>
            </w:pPr>
            <w:bookmarkStart w:id="1" w:name="FirstAppellant"/>
            <w:r w:rsidRPr="00C94904">
              <w:rPr>
                <w:rFonts w:ascii="David" w:eastAsia="David" w:hAnsi="David" w:hint="cs"/>
                <w:b/>
                <w:bCs/>
                <w:sz w:val="26"/>
                <w:szCs w:val="26"/>
                <w:rtl/>
              </w:rPr>
              <w:t>ה</w:t>
            </w:r>
            <w:r w:rsidRPr="00C94904">
              <w:rPr>
                <w:rFonts w:ascii="David" w:eastAsia="David" w:hAnsi="David"/>
                <w:b/>
                <w:bCs/>
                <w:sz w:val="26"/>
                <w:szCs w:val="26"/>
                <w:rtl/>
              </w:rPr>
              <w:t>מאשימה</w:t>
            </w:r>
          </w:p>
        </w:tc>
        <w:tc>
          <w:tcPr>
            <w:tcW w:w="5922" w:type="dxa"/>
            <w:shd w:val="clear" w:color="auto" w:fill="auto"/>
          </w:tcPr>
          <w:p w14:paraId="089BC8AD" w14:textId="77777777" w:rsidR="0018013A" w:rsidRPr="00C94904" w:rsidRDefault="0018013A" w:rsidP="0018013A">
            <w:pPr>
              <w:spacing w:line="480" w:lineRule="auto"/>
              <w:rPr>
                <w:rFonts w:ascii="David" w:eastAsia="David" w:hAnsi="David"/>
                <w:b/>
                <w:bCs/>
                <w:sz w:val="26"/>
                <w:szCs w:val="26"/>
                <w:rtl/>
              </w:rPr>
            </w:pPr>
            <w:r w:rsidRPr="00C94904">
              <w:rPr>
                <w:rFonts w:ascii="David" w:eastAsia="David" w:hAnsi="David" w:hint="cs"/>
                <w:b/>
                <w:bCs/>
                <w:sz w:val="26"/>
                <w:szCs w:val="26"/>
                <w:rtl/>
              </w:rPr>
              <w:t xml:space="preserve"> </w:t>
            </w:r>
            <w:r w:rsidRPr="00C94904">
              <w:rPr>
                <w:rFonts w:ascii="David" w:eastAsia="David" w:hAnsi="David"/>
                <w:b/>
                <w:bCs/>
                <w:sz w:val="26"/>
                <w:szCs w:val="26"/>
                <w:rtl/>
              </w:rPr>
              <w:t>מדינת ישראל</w:t>
            </w:r>
          </w:p>
          <w:p w14:paraId="5B6E4327" w14:textId="77777777" w:rsidR="0018013A" w:rsidRPr="00C94904" w:rsidRDefault="0018013A" w:rsidP="0018013A">
            <w:pPr>
              <w:spacing w:line="480" w:lineRule="auto"/>
              <w:rPr>
                <w:rFonts w:ascii="David" w:eastAsia="David" w:hAnsi="David"/>
                <w:b/>
                <w:bCs/>
                <w:sz w:val="26"/>
                <w:szCs w:val="26"/>
                <w:rtl/>
              </w:rPr>
            </w:pPr>
          </w:p>
        </w:tc>
      </w:tr>
      <w:bookmarkEnd w:id="1"/>
      <w:tr w:rsidR="0018013A" w:rsidRPr="00C94904" w14:paraId="376BD54D" w14:textId="77777777" w:rsidTr="0018013A">
        <w:tc>
          <w:tcPr>
            <w:tcW w:w="8802" w:type="dxa"/>
            <w:gridSpan w:val="2"/>
            <w:shd w:val="clear" w:color="auto" w:fill="auto"/>
          </w:tcPr>
          <w:p w14:paraId="66C31296" w14:textId="77777777" w:rsidR="0018013A" w:rsidRPr="00C94904" w:rsidRDefault="0018013A" w:rsidP="0018013A">
            <w:pPr>
              <w:spacing w:line="480" w:lineRule="auto"/>
              <w:rPr>
                <w:rFonts w:ascii="David" w:eastAsia="David" w:hAnsi="David"/>
                <w:b/>
                <w:bCs/>
                <w:sz w:val="26"/>
                <w:szCs w:val="26"/>
                <w:rtl/>
              </w:rPr>
            </w:pPr>
          </w:p>
          <w:p w14:paraId="64ACDF3A" w14:textId="77777777" w:rsidR="0018013A" w:rsidRPr="00C94904" w:rsidRDefault="0018013A" w:rsidP="0018013A">
            <w:pPr>
              <w:spacing w:line="480" w:lineRule="auto"/>
              <w:jc w:val="center"/>
              <w:rPr>
                <w:rFonts w:ascii="David" w:eastAsia="David" w:hAnsi="David"/>
                <w:b/>
                <w:bCs/>
                <w:sz w:val="26"/>
                <w:szCs w:val="26"/>
                <w:rtl/>
              </w:rPr>
            </w:pPr>
            <w:r w:rsidRPr="00C94904">
              <w:rPr>
                <w:rFonts w:ascii="David" w:eastAsia="David" w:hAnsi="David" w:hint="cs"/>
                <w:b/>
                <w:bCs/>
                <w:sz w:val="26"/>
                <w:szCs w:val="26"/>
                <w:rtl/>
              </w:rPr>
              <w:t>נגד</w:t>
            </w:r>
          </w:p>
          <w:p w14:paraId="56FCB2FF" w14:textId="77777777" w:rsidR="0018013A" w:rsidRPr="00C94904" w:rsidRDefault="0018013A" w:rsidP="0018013A">
            <w:pPr>
              <w:spacing w:line="480" w:lineRule="auto"/>
              <w:rPr>
                <w:rFonts w:ascii="David" w:eastAsia="David" w:hAnsi="David"/>
                <w:b/>
                <w:bCs/>
                <w:sz w:val="26"/>
                <w:szCs w:val="26"/>
                <w:rtl/>
              </w:rPr>
            </w:pPr>
          </w:p>
        </w:tc>
      </w:tr>
      <w:tr w:rsidR="0018013A" w:rsidRPr="00C94904" w14:paraId="67E96C90" w14:textId="77777777" w:rsidTr="0018013A">
        <w:tc>
          <w:tcPr>
            <w:tcW w:w="2880" w:type="dxa"/>
            <w:shd w:val="clear" w:color="auto" w:fill="auto"/>
          </w:tcPr>
          <w:p w14:paraId="3EE2BDB2" w14:textId="77777777" w:rsidR="0018013A" w:rsidRPr="00C94904" w:rsidRDefault="0018013A" w:rsidP="0018013A">
            <w:pPr>
              <w:spacing w:line="480" w:lineRule="auto"/>
              <w:ind w:left="26"/>
              <w:rPr>
                <w:rFonts w:ascii="David" w:eastAsia="David" w:hAnsi="David"/>
                <w:b/>
                <w:bCs/>
                <w:sz w:val="26"/>
                <w:szCs w:val="26"/>
              </w:rPr>
            </w:pPr>
            <w:bookmarkStart w:id="2" w:name="FirstLawyer"/>
            <w:r w:rsidRPr="00C94904">
              <w:rPr>
                <w:rFonts w:ascii="David" w:eastAsia="David" w:hAnsi="David" w:hint="cs"/>
                <w:b/>
                <w:bCs/>
                <w:sz w:val="26"/>
                <w:szCs w:val="26"/>
                <w:rtl/>
              </w:rPr>
              <w:t>ה</w:t>
            </w:r>
            <w:r w:rsidRPr="00C94904">
              <w:rPr>
                <w:rFonts w:ascii="David" w:eastAsia="David" w:hAnsi="David"/>
                <w:b/>
                <w:bCs/>
                <w:sz w:val="26"/>
                <w:szCs w:val="26"/>
                <w:rtl/>
              </w:rPr>
              <w:t>נאשמים</w:t>
            </w:r>
          </w:p>
        </w:tc>
        <w:tc>
          <w:tcPr>
            <w:tcW w:w="5922" w:type="dxa"/>
            <w:shd w:val="clear" w:color="auto" w:fill="auto"/>
          </w:tcPr>
          <w:p w14:paraId="1B941D86" w14:textId="77777777" w:rsidR="0018013A" w:rsidRPr="00C94904" w:rsidRDefault="0018013A" w:rsidP="0018013A">
            <w:pPr>
              <w:spacing w:line="480" w:lineRule="auto"/>
              <w:rPr>
                <w:rFonts w:ascii="David" w:eastAsia="David" w:hAnsi="David"/>
                <w:b/>
                <w:bCs/>
                <w:sz w:val="26"/>
                <w:szCs w:val="26"/>
                <w:rtl/>
              </w:rPr>
            </w:pPr>
            <w:r w:rsidRPr="00C94904">
              <w:rPr>
                <w:rFonts w:ascii="David" w:eastAsia="David" w:hAnsi="David"/>
                <w:b/>
                <w:bCs/>
                <w:sz w:val="26"/>
                <w:szCs w:val="26"/>
              </w:rPr>
              <w:t>.1</w:t>
            </w:r>
            <w:r w:rsidRPr="00C94904">
              <w:rPr>
                <w:rFonts w:ascii="David" w:eastAsia="David" w:hAnsi="David" w:hint="cs"/>
                <w:b/>
                <w:bCs/>
                <w:sz w:val="26"/>
                <w:szCs w:val="26"/>
                <w:rtl/>
              </w:rPr>
              <w:t xml:space="preserve"> </w:t>
            </w:r>
            <w:r w:rsidRPr="00C94904">
              <w:rPr>
                <w:rFonts w:ascii="David" w:eastAsia="David" w:hAnsi="David"/>
                <w:b/>
                <w:bCs/>
                <w:sz w:val="26"/>
                <w:szCs w:val="26"/>
                <w:rtl/>
              </w:rPr>
              <w:t xml:space="preserve">טל מזרחי </w:t>
            </w:r>
          </w:p>
          <w:p w14:paraId="1C3D5893" w14:textId="77777777" w:rsidR="0018013A" w:rsidRPr="00C94904" w:rsidRDefault="0018013A" w:rsidP="0018013A">
            <w:pPr>
              <w:spacing w:line="480" w:lineRule="auto"/>
              <w:rPr>
                <w:rFonts w:ascii="David" w:eastAsia="David" w:hAnsi="David"/>
                <w:b/>
                <w:bCs/>
                <w:sz w:val="26"/>
                <w:szCs w:val="26"/>
                <w:rtl/>
              </w:rPr>
            </w:pPr>
            <w:r w:rsidRPr="00C94904">
              <w:rPr>
                <w:rFonts w:ascii="David" w:eastAsia="David" w:hAnsi="David" w:hint="cs"/>
                <w:b/>
                <w:bCs/>
                <w:sz w:val="26"/>
                <w:szCs w:val="26"/>
                <w:rtl/>
              </w:rPr>
              <w:t>ע"י ב"כ עו"ד עידן גמליאלי</w:t>
            </w:r>
          </w:p>
          <w:p w14:paraId="787BD066" w14:textId="77777777" w:rsidR="0018013A" w:rsidRPr="00C94904" w:rsidRDefault="0018013A" w:rsidP="0018013A">
            <w:pPr>
              <w:spacing w:line="480" w:lineRule="auto"/>
              <w:rPr>
                <w:rFonts w:ascii="David" w:eastAsia="David" w:hAnsi="David"/>
                <w:b/>
                <w:bCs/>
                <w:sz w:val="26"/>
                <w:szCs w:val="26"/>
                <w:rtl/>
              </w:rPr>
            </w:pPr>
          </w:p>
          <w:p w14:paraId="40F6C075" w14:textId="77777777" w:rsidR="0018013A" w:rsidRPr="00C94904" w:rsidRDefault="0018013A" w:rsidP="0018013A">
            <w:pPr>
              <w:spacing w:line="480" w:lineRule="auto"/>
              <w:rPr>
                <w:rFonts w:ascii="David" w:eastAsia="David" w:hAnsi="David"/>
                <w:b/>
                <w:bCs/>
                <w:sz w:val="26"/>
                <w:szCs w:val="26"/>
                <w:rtl/>
              </w:rPr>
            </w:pPr>
            <w:r w:rsidRPr="00C94904">
              <w:rPr>
                <w:rFonts w:ascii="David" w:eastAsia="David" w:hAnsi="David"/>
                <w:b/>
                <w:bCs/>
                <w:sz w:val="26"/>
                <w:szCs w:val="26"/>
              </w:rPr>
              <w:t>.2</w:t>
            </w:r>
            <w:r w:rsidRPr="00C94904">
              <w:rPr>
                <w:rFonts w:ascii="David" w:eastAsia="David" w:hAnsi="David" w:hint="cs"/>
                <w:b/>
                <w:bCs/>
                <w:sz w:val="26"/>
                <w:szCs w:val="26"/>
                <w:rtl/>
              </w:rPr>
              <w:t xml:space="preserve"> </w:t>
            </w:r>
            <w:r w:rsidRPr="00C94904">
              <w:rPr>
                <w:rFonts w:ascii="David" w:eastAsia="David" w:hAnsi="David"/>
                <w:b/>
                <w:bCs/>
                <w:sz w:val="26"/>
                <w:szCs w:val="26"/>
                <w:rtl/>
              </w:rPr>
              <w:t>עומרי וייל</w:t>
            </w:r>
          </w:p>
          <w:p w14:paraId="55421574" w14:textId="77777777" w:rsidR="0018013A" w:rsidRPr="00C94904" w:rsidRDefault="0018013A" w:rsidP="0018013A">
            <w:pPr>
              <w:spacing w:line="480" w:lineRule="auto"/>
              <w:rPr>
                <w:rFonts w:ascii="David" w:eastAsia="David" w:hAnsi="David"/>
                <w:b/>
                <w:bCs/>
                <w:sz w:val="26"/>
                <w:szCs w:val="26"/>
                <w:rtl/>
              </w:rPr>
            </w:pPr>
            <w:r w:rsidRPr="00C94904">
              <w:rPr>
                <w:rFonts w:ascii="David" w:eastAsia="David" w:hAnsi="David" w:hint="cs"/>
                <w:b/>
                <w:bCs/>
                <w:sz w:val="26"/>
                <w:szCs w:val="26"/>
                <w:rtl/>
              </w:rPr>
              <w:t>ע"י ב"כ דותן דניאלי</w:t>
            </w:r>
          </w:p>
          <w:p w14:paraId="633DF1E2" w14:textId="77777777" w:rsidR="0018013A" w:rsidRPr="00C94904" w:rsidRDefault="0018013A" w:rsidP="0018013A">
            <w:pPr>
              <w:spacing w:line="480" w:lineRule="auto"/>
              <w:rPr>
                <w:rFonts w:ascii="David" w:eastAsia="David" w:hAnsi="David"/>
                <w:b/>
                <w:bCs/>
                <w:sz w:val="26"/>
                <w:szCs w:val="26"/>
              </w:rPr>
            </w:pPr>
          </w:p>
          <w:p w14:paraId="5A7556C6" w14:textId="77777777" w:rsidR="0018013A" w:rsidRPr="00C94904" w:rsidRDefault="0018013A" w:rsidP="0018013A">
            <w:pPr>
              <w:spacing w:line="480" w:lineRule="auto"/>
              <w:rPr>
                <w:rFonts w:ascii="David" w:eastAsia="David" w:hAnsi="David"/>
                <w:b/>
                <w:bCs/>
                <w:sz w:val="26"/>
                <w:szCs w:val="26"/>
                <w:rtl/>
              </w:rPr>
            </w:pPr>
            <w:r w:rsidRPr="00C94904">
              <w:rPr>
                <w:rFonts w:ascii="David" w:eastAsia="David" w:hAnsi="David"/>
                <w:b/>
                <w:bCs/>
                <w:sz w:val="26"/>
                <w:szCs w:val="26"/>
              </w:rPr>
              <w:t>.3</w:t>
            </w:r>
            <w:r w:rsidRPr="00C94904">
              <w:rPr>
                <w:rFonts w:ascii="David" w:eastAsia="David" w:hAnsi="David" w:hint="cs"/>
                <w:b/>
                <w:bCs/>
                <w:sz w:val="26"/>
                <w:szCs w:val="26"/>
                <w:rtl/>
              </w:rPr>
              <w:t xml:space="preserve"> </w:t>
            </w:r>
            <w:r w:rsidRPr="00C94904">
              <w:rPr>
                <w:rFonts w:ascii="David" w:eastAsia="David" w:hAnsi="David"/>
                <w:b/>
                <w:bCs/>
                <w:sz w:val="26"/>
                <w:szCs w:val="26"/>
                <w:rtl/>
              </w:rPr>
              <w:t xml:space="preserve">יוסף חיים שמואל </w:t>
            </w:r>
            <w:r w:rsidRPr="00C94904">
              <w:rPr>
                <w:rFonts w:ascii="David" w:eastAsia="David" w:hAnsi="David" w:hint="cs"/>
                <w:b/>
                <w:bCs/>
                <w:sz w:val="26"/>
                <w:szCs w:val="26"/>
                <w:rtl/>
              </w:rPr>
              <w:t xml:space="preserve"> </w:t>
            </w:r>
          </w:p>
          <w:p w14:paraId="628EC471" w14:textId="77777777" w:rsidR="0018013A" w:rsidRPr="00C94904" w:rsidRDefault="0018013A" w:rsidP="0018013A">
            <w:pPr>
              <w:spacing w:line="480" w:lineRule="auto"/>
              <w:rPr>
                <w:rFonts w:ascii="David" w:eastAsia="David" w:hAnsi="David"/>
                <w:b/>
                <w:bCs/>
                <w:sz w:val="26"/>
                <w:szCs w:val="26"/>
                <w:rtl/>
              </w:rPr>
            </w:pPr>
            <w:r w:rsidRPr="00C94904">
              <w:rPr>
                <w:rFonts w:ascii="David" w:eastAsia="David" w:hAnsi="David" w:hint="cs"/>
                <w:b/>
                <w:bCs/>
                <w:sz w:val="26"/>
                <w:szCs w:val="26"/>
                <w:rtl/>
              </w:rPr>
              <w:t>ע"י ב"כ עו"ד אריאל הרמן</w:t>
            </w:r>
          </w:p>
          <w:p w14:paraId="1A130D14" w14:textId="77777777" w:rsidR="0018013A" w:rsidRPr="00C94904" w:rsidRDefault="0018013A" w:rsidP="0018013A">
            <w:pPr>
              <w:spacing w:line="480" w:lineRule="auto"/>
              <w:rPr>
                <w:rFonts w:ascii="David" w:eastAsia="David" w:hAnsi="David"/>
                <w:b/>
                <w:bCs/>
                <w:sz w:val="26"/>
                <w:szCs w:val="26"/>
                <w:rtl/>
              </w:rPr>
            </w:pPr>
          </w:p>
        </w:tc>
      </w:tr>
      <w:bookmarkEnd w:id="2"/>
    </w:tbl>
    <w:p w14:paraId="00F6C847" w14:textId="77777777" w:rsidR="00932935" w:rsidRPr="00932935" w:rsidRDefault="00932935" w:rsidP="00932935">
      <w:pPr>
        <w:spacing w:before="120" w:after="120" w:line="240" w:lineRule="exact"/>
        <w:ind w:left="283" w:hanging="283"/>
        <w:jc w:val="both"/>
        <w:rPr>
          <w:rFonts w:ascii="FrankRuehl" w:hAnsi="FrankRuehl" w:cs="FrankRuehl"/>
          <w:rtl/>
        </w:rPr>
      </w:pPr>
    </w:p>
    <w:p w14:paraId="166DF7DB" w14:textId="77777777" w:rsidR="00713948" w:rsidRDefault="00713948" w:rsidP="00713948">
      <w:pPr>
        <w:spacing w:after="120" w:line="240" w:lineRule="exact"/>
        <w:ind w:left="283" w:hanging="283"/>
        <w:jc w:val="both"/>
        <w:rPr>
          <w:rFonts w:ascii="Arial" w:hAnsi="Arial"/>
          <w:sz w:val="36"/>
          <w:szCs w:val="36"/>
          <w:rtl/>
        </w:rPr>
      </w:pPr>
      <w:bookmarkStart w:id="3" w:name="LawTable"/>
      <w:bookmarkEnd w:id="3"/>
    </w:p>
    <w:p w14:paraId="13CA388C" w14:textId="77777777" w:rsidR="00713948" w:rsidRPr="00713948" w:rsidRDefault="00713948" w:rsidP="00713948">
      <w:pPr>
        <w:spacing w:before="120" w:after="120" w:line="240" w:lineRule="exact"/>
        <w:ind w:left="283" w:hanging="283"/>
        <w:jc w:val="both"/>
        <w:rPr>
          <w:rFonts w:ascii="FrankRuehl" w:hAnsi="FrankRuehl" w:cs="FrankRuehl"/>
          <w:rtl/>
        </w:rPr>
      </w:pPr>
    </w:p>
    <w:p w14:paraId="4FE80360" w14:textId="77777777" w:rsidR="00713948" w:rsidRPr="00713948" w:rsidRDefault="00713948" w:rsidP="00713948">
      <w:pPr>
        <w:spacing w:before="120" w:after="120" w:line="240" w:lineRule="exact"/>
        <w:ind w:left="283" w:hanging="283"/>
        <w:jc w:val="both"/>
        <w:rPr>
          <w:rFonts w:ascii="FrankRuehl" w:hAnsi="FrankRuehl" w:cs="FrankRuehl"/>
          <w:rtl/>
        </w:rPr>
      </w:pPr>
    </w:p>
    <w:p w14:paraId="12D65807" w14:textId="77777777" w:rsidR="00713948" w:rsidRPr="00713948" w:rsidRDefault="00713948" w:rsidP="00713948">
      <w:pPr>
        <w:spacing w:before="120" w:after="120" w:line="240" w:lineRule="exact"/>
        <w:ind w:left="283" w:hanging="283"/>
        <w:jc w:val="both"/>
        <w:rPr>
          <w:rFonts w:ascii="FrankRuehl" w:hAnsi="FrankRuehl" w:cs="FrankRuehl"/>
          <w:rtl/>
        </w:rPr>
      </w:pPr>
      <w:r w:rsidRPr="00713948">
        <w:rPr>
          <w:rFonts w:ascii="FrankRuehl" w:hAnsi="FrankRuehl" w:cs="FrankRuehl"/>
          <w:rtl/>
        </w:rPr>
        <w:t xml:space="preserve">חקיקה שאוזכרה: </w:t>
      </w:r>
    </w:p>
    <w:p w14:paraId="43FBADC1" w14:textId="77777777" w:rsidR="00713948" w:rsidRPr="00713948" w:rsidRDefault="00713948" w:rsidP="00713948">
      <w:pPr>
        <w:spacing w:before="120" w:after="120" w:line="240" w:lineRule="exact"/>
        <w:ind w:left="283" w:hanging="283"/>
        <w:jc w:val="both"/>
        <w:rPr>
          <w:rFonts w:ascii="FrankRuehl" w:hAnsi="FrankRuehl" w:cs="FrankRuehl"/>
          <w:rtl/>
        </w:rPr>
      </w:pPr>
      <w:hyperlink r:id="rId6" w:history="1">
        <w:r w:rsidRPr="00713948">
          <w:rPr>
            <w:rFonts w:ascii="FrankRuehl" w:hAnsi="FrankRuehl" w:cs="FrankRuehl"/>
            <w:color w:val="0000FF"/>
            <w:rtl/>
          </w:rPr>
          <w:t>חוק העונשין, תשל"ז-1977</w:t>
        </w:r>
      </w:hyperlink>
      <w:r w:rsidRPr="00713948">
        <w:rPr>
          <w:rFonts w:ascii="FrankRuehl" w:hAnsi="FrankRuehl" w:cs="FrankRuehl"/>
          <w:rtl/>
        </w:rPr>
        <w:t xml:space="preserve">: סע'  </w:t>
      </w:r>
      <w:hyperlink r:id="rId7" w:history="1">
        <w:r w:rsidRPr="00713948">
          <w:rPr>
            <w:rFonts w:ascii="FrankRuehl" w:hAnsi="FrankRuehl" w:cs="FrankRuehl"/>
            <w:color w:val="0000FF"/>
            <w:rtl/>
          </w:rPr>
          <w:t>25</w:t>
        </w:r>
      </w:hyperlink>
      <w:r w:rsidRPr="00713948">
        <w:rPr>
          <w:rFonts w:ascii="FrankRuehl" w:hAnsi="FrankRuehl" w:cs="FrankRuehl"/>
          <w:rtl/>
        </w:rPr>
        <w:t xml:space="preserve">, </w:t>
      </w:r>
      <w:hyperlink r:id="rId8" w:history="1">
        <w:r w:rsidRPr="00713948">
          <w:rPr>
            <w:rFonts w:ascii="FrankRuehl" w:hAnsi="FrankRuehl" w:cs="FrankRuehl"/>
            <w:color w:val="0000FF"/>
            <w:rtl/>
          </w:rPr>
          <w:t>29</w:t>
        </w:r>
      </w:hyperlink>
      <w:r w:rsidRPr="00713948">
        <w:rPr>
          <w:rFonts w:ascii="FrankRuehl" w:hAnsi="FrankRuehl" w:cs="FrankRuehl"/>
          <w:rtl/>
        </w:rPr>
        <w:t xml:space="preserve">, </w:t>
      </w:r>
      <w:hyperlink r:id="rId9" w:history="1">
        <w:r w:rsidRPr="00713948">
          <w:rPr>
            <w:rFonts w:ascii="FrankRuehl" w:hAnsi="FrankRuehl" w:cs="FrankRuehl"/>
            <w:color w:val="0000FF"/>
            <w:rtl/>
          </w:rPr>
          <w:t>31</w:t>
        </w:r>
      </w:hyperlink>
      <w:r w:rsidRPr="00713948">
        <w:rPr>
          <w:rFonts w:ascii="FrankRuehl" w:hAnsi="FrankRuehl" w:cs="FrankRuehl"/>
          <w:rtl/>
        </w:rPr>
        <w:t xml:space="preserve">, </w:t>
      </w:r>
      <w:hyperlink r:id="rId10" w:history="1">
        <w:r w:rsidRPr="00713948">
          <w:rPr>
            <w:rFonts w:ascii="FrankRuehl" w:hAnsi="FrankRuehl" w:cs="FrankRuehl"/>
            <w:color w:val="0000FF"/>
            <w:rtl/>
          </w:rPr>
          <w:t>51</w:t>
        </w:r>
      </w:hyperlink>
      <w:r w:rsidRPr="00713948">
        <w:rPr>
          <w:rFonts w:ascii="FrankRuehl" w:hAnsi="FrankRuehl" w:cs="FrankRuehl"/>
          <w:rtl/>
        </w:rPr>
        <w:t xml:space="preserve">, </w:t>
      </w:r>
      <w:hyperlink r:id="rId11" w:history="1">
        <w:r w:rsidRPr="00713948">
          <w:rPr>
            <w:rFonts w:ascii="FrankRuehl" w:hAnsi="FrankRuehl" w:cs="FrankRuehl"/>
            <w:color w:val="0000FF"/>
            <w:rtl/>
          </w:rPr>
          <w:t>144</w:t>
        </w:r>
      </w:hyperlink>
      <w:r w:rsidRPr="00713948">
        <w:rPr>
          <w:rFonts w:ascii="FrankRuehl" w:hAnsi="FrankRuehl" w:cs="FrankRuehl"/>
          <w:rtl/>
        </w:rPr>
        <w:t xml:space="preserve">, </w:t>
      </w:r>
      <w:hyperlink r:id="rId12" w:history="1">
        <w:r w:rsidRPr="00713948">
          <w:rPr>
            <w:rFonts w:ascii="FrankRuehl" w:hAnsi="FrankRuehl" w:cs="FrankRuehl"/>
            <w:color w:val="0000FF"/>
            <w:rtl/>
          </w:rPr>
          <w:t>144(א)</w:t>
        </w:r>
      </w:hyperlink>
      <w:r w:rsidRPr="00713948">
        <w:rPr>
          <w:rFonts w:ascii="FrankRuehl" w:hAnsi="FrankRuehl" w:cs="FrankRuehl"/>
          <w:rtl/>
        </w:rPr>
        <w:t xml:space="preserve">, </w:t>
      </w:r>
      <w:hyperlink r:id="rId13" w:history="1">
        <w:r w:rsidRPr="00713948">
          <w:rPr>
            <w:rFonts w:ascii="FrankRuehl" w:hAnsi="FrankRuehl" w:cs="FrankRuehl"/>
            <w:color w:val="0000FF"/>
            <w:rtl/>
          </w:rPr>
          <w:t>415</w:t>
        </w:r>
      </w:hyperlink>
      <w:r w:rsidRPr="00713948">
        <w:rPr>
          <w:rFonts w:ascii="FrankRuehl" w:hAnsi="FrankRuehl" w:cs="FrankRuehl"/>
          <w:rtl/>
        </w:rPr>
        <w:t xml:space="preserve">, </w:t>
      </w:r>
      <w:hyperlink r:id="rId14" w:history="1">
        <w:r w:rsidRPr="00713948">
          <w:rPr>
            <w:rFonts w:ascii="FrankRuehl" w:hAnsi="FrankRuehl" w:cs="FrankRuehl"/>
            <w:color w:val="0000FF"/>
            <w:rtl/>
          </w:rPr>
          <w:t>418</w:t>
        </w:r>
      </w:hyperlink>
      <w:r w:rsidRPr="00713948">
        <w:rPr>
          <w:rFonts w:ascii="FrankRuehl" w:hAnsi="FrankRuehl" w:cs="FrankRuehl"/>
          <w:rtl/>
        </w:rPr>
        <w:t xml:space="preserve">, </w:t>
      </w:r>
      <w:hyperlink r:id="rId15" w:history="1">
        <w:r w:rsidRPr="00713948">
          <w:rPr>
            <w:rFonts w:ascii="FrankRuehl" w:hAnsi="FrankRuehl" w:cs="FrankRuehl"/>
            <w:color w:val="0000FF"/>
            <w:rtl/>
          </w:rPr>
          <w:t>420</w:t>
        </w:r>
      </w:hyperlink>
    </w:p>
    <w:p w14:paraId="29459B35" w14:textId="77777777" w:rsidR="00713948" w:rsidRPr="00713948" w:rsidRDefault="00713948" w:rsidP="00713948">
      <w:pPr>
        <w:spacing w:after="120" w:line="240" w:lineRule="exact"/>
        <w:ind w:left="283" w:hanging="283"/>
        <w:jc w:val="both"/>
        <w:rPr>
          <w:rFonts w:ascii="Arial" w:hAnsi="Arial"/>
          <w:sz w:val="36"/>
          <w:szCs w:val="36"/>
          <w:rtl/>
        </w:rPr>
      </w:pPr>
      <w:bookmarkStart w:id="4" w:name="LawTable_End"/>
      <w:bookmarkEnd w:id="4"/>
    </w:p>
    <w:p w14:paraId="6E600EC7" w14:textId="77777777" w:rsidR="00C94904" w:rsidRPr="00932935" w:rsidRDefault="00C94904" w:rsidP="00932935">
      <w:pPr>
        <w:spacing w:after="120" w:line="240" w:lineRule="exact"/>
        <w:ind w:left="283" w:hanging="283"/>
        <w:jc w:val="both"/>
        <w:rPr>
          <w:rFonts w:ascii="Arial" w:hAnsi="Arial"/>
          <w:sz w:val="36"/>
          <w:szCs w:val="36"/>
          <w:rtl/>
        </w:rPr>
      </w:pPr>
    </w:p>
    <w:p w14:paraId="7623CFEA" w14:textId="77777777" w:rsidR="00C94904" w:rsidRPr="00C94904" w:rsidRDefault="00C94904" w:rsidP="00C94904">
      <w:pPr>
        <w:spacing w:line="360" w:lineRule="auto"/>
        <w:jc w:val="center"/>
        <w:rPr>
          <w:rFonts w:ascii="Arial" w:hAnsi="Arial"/>
          <w:b/>
          <w:bCs/>
          <w:sz w:val="36"/>
          <w:szCs w:val="36"/>
          <w:u w:val="single"/>
          <w:rtl/>
        </w:rPr>
      </w:pPr>
      <w:bookmarkStart w:id="5" w:name="PsakDin"/>
      <w:r w:rsidRPr="00C94904">
        <w:rPr>
          <w:rFonts w:ascii="Arial" w:hAnsi="Arial"/>
          <w:b/>
          <w:bCs/>
          <w:sz w:val="36"/>
          <w:szCs w:val="36"/>
          <w:u w:val="single"/>
          <w:rtl/>
        </w:rPr>
        <w:t>גזר דין</w:t>
      </w:r>
    </w:p>
    <w:bookmarkEnd w:id="5"/>
    <w:p w14:paraId="56EC4C4D" w14:textId="77777777" w:rsidR="0018013A" w:rsidRDefault="0018013A" w:rsidP="0018013A">
      <w:pPr>
        <w:spacing w:line="360" w:lineRule="auto"/>
        <w:jc w:val="center"/>
        <w:rPr>
          <w:rFonts w:ascii="Arial" w:hAnsi="Arial"/>
          <w:b/>
          <w:bCs/>
          <w:sz w:val="36"/>
          <w:szCs w:val="36"/>
          <w:u w:val="single"/>
          <w:rtl/>
        </w:rPr>
      </w:pPr>
      <w:r>
        <w:rPr>
          <w:rFonts w:ascii="Arial" w:hAnsi="Arial" w:hint="cs"/>
          <w:b/>
          <w:bCs/>
          <w:sz w:val="36"/>
          <w:szCs w:val="36"/>
          <w:u w:val="single"/>
          <w:rtl/>
        </w:rPr>
        <w:lastRenderedPageBreak/>
        <w:t xml:space="preserve">בעניינם של </w:t>
      </w:r>
      <w:r w:rsidRPr="009F161D">
        <w:rPr>
          <w:rFonts w:ascii="Arial" w:hAnsi="Arial"/>
          <w:b/>
          <w:bCs/>
          <w:sz w:val="36"/>
          <w:szCs w:val="36"/>
          <w:u w:val="single"/>
          <w:rtl/>
        </w:rPr>
        <w:t xml:space="preserve">נאשמים 1 ו </w:t>
      </w:r>
      <w:r>
        <w:rPr>
          <w:rFonts w:ascii="Arial" w:hAnsi="Arial"/>
          <w:b/>
          <w:bCs/>
          <w:sz w:val="36"/>
          <w:szCs w:val="36"/>
          <w:u w:val="single"/>
          <w:rtl/>
        </w:rPr>
        <w:t>–</w:t>
      </w:r>
      <w:r w:rsidRPr="009F161D">
        <w:rPr>
          <w:rFonts w:ascii="Arial" w:hAnsi="Arial"/>
          <w:b/>
          <w:bCs/>
          <w:sz w:val="36"/>
          <w:szCs w:val="36"/>
          <w:u w:val="single"/>
          <w:rtl/>
        </w:rPr>
        <w:t xml:space="preserve"> 2</w:t>
      </w:r>
    </w:p>
    <w:p w14:paraId="42380F66" w14:textId="77777777" w:rsidR="0018013A" w:rsidRPr="009F161D" w:rsidRDefault="0018013A" w:rsidP="0018013A">
      <w:pPr>
        <w:spacing w:line="360" w:lineRule="auto"/>
        <w:jc w:val="center"/>
        <w:rPr>
          <w:rFonts w:ascii="Arial" w:hAnsi="Arial"/>
          <w:b/>
          <w:bCs/>
          <w:spacing w:val="22"/>
          <w:sz w:val="36"/>
          <w:szCs w:val="36"/>
          <w:u w:val="single"/>
          <w:rtl/>
        </w:rPr>
      </w:pPr>
      <w:bookmarkStart w:id="6" w:name="ABSTRACT_START"/>
      <w:bookmarkEnd w:id="6"/>
    </w:p>
    <w:p w14:paraId="7BB38555" w14:textId="77777777" w:rsidR="0018013A" w:rsidRPr="009F161D" w:rsidRDefault="0018013A" w:rsidP="0018013A">
      <w:pPr>
        <w:spacing w:line="360" w:lineRule="auto"/>
        <w:jc w:val="both"/>
        <w:rPr>
          <w:rFonts w:ascii="Arial" w:hAnsi="Arial"/>
          <w:spacing w:val="22"/>
          <w:rtl/>
        </w:rPr>
      </w:pPr>
      <w:r w:rsidRPr="009F161D">
        <w:rPr>
          <w:rFonts w:ascii="Arial" w:hAnsi="Arial"/>
          <w:spacing w:val="22"/>
          <w:rtl/>
        </w:rPr>
        <w:t>1.</w:t>
      </w:r>
      <w:r w:rsidRPr="009F161D">
        <w:rPr>
          <w:rFonts w:ascii="Arial" w:hAnsi="Arial"/>
          <w:spacing w:val="22"/>
          <w:rtl/>
        </w:rPr>
        <w:tab/>
        <w:t>הנאשמים הורשעו על פי הודאתם בכתב אישום מתוקנים, כלהלן:</w:t>
      </w:r>
    </w:p>
    <w:p w14:paraId="310F0072" w14:textId="77777777" w:rsidR="0018013A" w:rsidRPr="009F161D" w:rsidRDefault="0018013A" w:rsidP="0018013A">
      <w:pPr>
        <w:spacing w:line="360" w:lineRule="auto"/>
        <w:jc w:val="both"/>
        <w:rPr>
          <w:rFonts w:ascii="Arial" w:hAnsi="Arial"/>
          <w:spacing w:val="22"/>
          <w:rtl/>
        </w:rPr>
      </w:pPr>
    </w:p>
    <w:p w14:paraId="2790E4EA" w14:textId="77777777" w:rsidR="0018013A" w:rsidRPr="009F161D" w:rsidRDefault="0018013A" w:rsidP="0018013A">
      <w:pPr>
        <w:spacing w:line="360" w:lineRule="auto"/>
        <w:ind w:firstLine="720"/>
        <w:jc w:val="both"/>
        <w:rPr>
          <w:rFonts w:ascii="Arial" w:hAnsi="Arial"/>
          <w:spacing w:val="22"/>
          <w:rtl/>
        </w:rPr>
      </w:pPr>
      <w:r w:rsidRPr="009F161D">
        <w:rPr>
          <w:rFonts w:ascii="Arial" w:hAnsi="Arial"/>
          <w:b/>
          <w:bCs/>
          <w:spacing w:val="22"/>
          <w:rtl/>
        </w:rPr>
        <w:t>נאשם מס' 1</w:t>
      </w:r>
      <w:r w:rsidRPr="009F161D">
        <w:rPr>
          <w:rFonts w:ascii="Arial" w:hAnsi="Arial"/>
          <w:spacing w:val="22"/>
          <w:rtl/>
        </w:rPr>
        <w:t xml:space="preserve"> הורשע בגדר </w:t>
      </w:r>
      <w:r w:rsidRPr="00D008B9">
        <w:rPr>
          <w:rFonts w:ascii="Arial" w:hAnsi="Arial"/>
          <w:b/>
          <w:bCs/>
          <w:spacing w:val="22"/>
          <w:rtl/>
        </w:rPr>
        <w:t>האישום השני</w:t>
      </w:r>
      <w:r w:rsidRPr="009F161D">
        <w:rPr>
          <w:rFonts w:ascii="Arial" w:hAnsi="Arial"/>
          <w:spacing w:val="22"/>
          <w:rtl/>
        </w:rPr>
        <w:t xml:space="preserve"> בעבירת ניסיון רכישת נשק לפי </w:t>
      </w:r>
      <w:hyperlink r:id="rId16" w:history="1">
        <w:r w:rsidR="00727925" w:rsidRPr="00727925">
          <w:rPr>
            <w:rStyle w:val="Hyperlink"/>
            <w:rFonts w:ascii="Arial" w:hAnsi="Arial"/>
            <w:spacing w:val="22"/>
            <w:rtl/>
          </w:rPr>
          <w:t>סעיף 144(א)</w:t>
        </w:r>
      </w:hyperlink>
      <w:r w:rsidRPr="009F161D">
        <w:rPr>
          <w:rFonts w:ascii="Arial" w:hAnsi="Arial"/>
          <w:spacing w:val="22"/>
          <w:rtl/>
        </w:rPr>
        <w:t xml:space="preserve"> ל</w:t>
      </w:r>
      <w:hyperlink r:id="rId17" w:history="1">
        <w:r w:rsidR="00C94904" w:rsidRPr="00C94904">
          <w:rPr>
            <w:rFonts w:ascii="Arial" w:hAnsi="Arial"/>
            <w:color w:val="0000FF"/>
            <w:spacing w:val="22"/>
            <w:u w:val="single"/>
            <w:rtl/>
          </w:rPr>
          <w:t>חוק העונשין</w:t>
        </w:r>
      </w:hyperlink>
      <w:r w:rsidRPr="009F161D">
        <w:rPr>
          <w:rFonts w:ascii="Arial" w:hAnsi="Arial"/>
          <w:spacing w:val="22"/>
          <w:rtl/>
        </w:rPr>
        <w:t xml:space="preserve"> תשל"ז – 1977 (להלן: "</w:t>
      </w:r>
      <w:r w:rsidRPr="009F161D">
        <w:rPr>
          <w:rFonts w:ascii="Arial" w:hAnsi="Arial"/>
          <w:b/>
          <w:bCs/>
          <w:spacing w:val="22"/>
          <w:rtl/>
        </w:rPr>
        <w:t>החוק</w:t>
      </w:r>
      <w:r w:rsidRPr="009F161D">
        <w:rPr>
          <w:rFonts w:ascii="Arial" w:hAnsi="Arial"/>
          <w:spacing w:val="22"/>
          <w:rtl/>
        </w:rPr>
        <w:t xml:space="preserve">") בצירוף </w:t>
      </w:r>
      <w:hyperlink r:id="rId18" w:history="1">
        <w:r w:rsidR="00727925" w:rsidRPr="00727925">
          <w:rPr>
            <w:rStyle w:val="Hyperlink"/>
            <w:rFonts w:ascii="Arial" w:hAnsi="Arial"/>
            <w:spacing w:val="22"/>
            <w:rtl/>
          </w:rPr>
          <w:t>סעיף 29</w:t>
        </w:r>
      </w:hyperlink>
      <w:r w:rsidRPr="009F161D">
        <w:rPr>
          <w:rFonts w:ascii="Arial" w:hAnsi="Arial"/>
          <w:spacing w:val="22"/>
          <w:rtl/>
        </w:rPr>
        <w:t xml:space="preserve"> ו – </w:t>
      </w:r>
      <w:hyperlink r:id="rId19" w:history="1">
        <w:r w:rsidR="00727925" w:rsidRPr="00727925">
          <w:rPr>
            <w:rStyle w:val="Hyperlink"/>
            <w:rFonts w:ascii="Arial" w:hAnsi="Arial"/>
            <w:spacing w:val="22"/>
            <w:rtl/>
          </w:rPr>
          <w:t>25</w:t>
        </w:r>
      </w:hyperlink>
      <w:r w:rsidRPr="009F161D">
        <w:rPr>
          <w:rFonts w:ascii="Arial" w:hAnsi="Arial"/>
          <w:spacing w:val="22"/>
          <w:rtl/>
        </w:rPr>
        <w:t xml:space="preserve"> לחוק, בעבירת ניסיון קבלת דבר במרמה בנסיבות מחמירות לפי </w:t>
      </w:r>
      <w:hyperlink r:id="rId20" w:history="1">
        <w:r w:rsidR="00727925" w:rsidRPr="00727925">
          <w:rPr>
            <w:rStyle w:val="Hyperlink"/>
            <w:rFonts w:ascii="Arial" w:hAnsi="Arial"/>
            <w:spacing w:val="22"/>
            <w:rtl/>
          </w:rPr>
          <w:t>סעיפים 415</w:t>
        </w:r>
      </w:hyperlink>
      <w:r w:rsidRPr="009F161D">
        <w:rPr>
          <w:rFonts w:ascii="Arial" w:hAnsi="Arial"/>
          <w:spacing w:val="22"/>
          <w:rtl/>
        </w:rPr>
        <w:t xml:space="preserve"> סיפא </w:t>
      </w:r>
      <w:hyperlink r:id="rId21" w:history="1">
        <w:r w:rsidR="00727925" w:rsidRPr="00727925">
          <w:rPr>
            <w:rStyle w:val="Hyperlink"/>
            <w:rFonts w:ascii="Arial" w:hAnsi="Arial"/>
            <w:spacing w:val="22"/>
            <w:rtl/>
          </w:rPr>
          <w:t>וסעיפים 29</w:t>
        </w:r>
      </w:hyperlink>
      <w:r w:rsidRPr="009F161D">
        <w:rPr>
          <w:rFonts w:ascii="Arial" w:hAnsi="Arial"/>
          <w:spacing w:val="22"/>
          <w:rtl/>
        </w:rPr>
        <w:t xml:space="preserve"> ו – </w:t>
      </w:r>
      <w:hyperlink r:id="rId22" w:history="1">
        <w:r w:rsidR="00727925" w:rsidRPr="00727925">
          <w:rPr>
            <w:rStyle w:val="Hyperlink"/>
            <w:rFonts w:ascii="Arial" w:hAnsi="Arial"/>
            <w:spacing w:val="22"/>
            <w:rtl/>
          </w:rPr>
          <w:t>25</w:t>
        </w:r>
      </w:hyperlink>
      <w:r w:rsidRPr="009F161D">
        <w:rPr>
          <w:rFonts w:ascii="Arial" w:hAnsi="Arial"/>
          <w:spacing w:val="22"/>
          <w:rtl/>
        </w:rPr>
        <w:t xml:space="preserve"> לחוק ובעבירת שימוש במסמך מזויף לפי </w:t>
      </w:r>
      <w:hyperlink r:id="rId23" w:history="1">
        <w:r w:rsidR="00727925" w:rsidRPr="00727925">
          <w:rPr>
            <w:rStyle w:val="Hyperlink"/>
            <w:rFonts w:ascii="Arial" w:hAnsi="Arial"/>
            <w:spacing w:val="22"/>
            <w:rtl/>
          </w:rPr>
          <w:t>סעיפים 420</w:t>
        </w:r>
      </w:hyperlink>
      <w:r w:rsidRPr="009F161D">
        <w:rPr>
          <w:rFonts w:ascii="Arial" w:hAnsi="Arial"/>
          <w:spacing w:val="22"/>
          <w:rtl/>
        </w:rPr>
        <w:t xml:space="preserve">, </w:t>
      </w:r>
      <w:hyperlink r:id="rId24" w:history="1">
        <w:r w:rsidR="00727925" w:rsidRPr="00727925">
          <w:rPr>
            <w:rStyle w:val="Hyperlink"/>
            <w:rFonts w:ascii="Arial" w:hAnsi="Arial"/>
            <w:spacing w:val="22"/>
            <w:rtl/>
          </w:rPr>
          <w:t>418</w:t>
        </w:r>
      </w:hyperlink>
      <w:r w:rsidRPr="009F161D">
        <w:rPr>
          <w:rFonts w:ascii="Arial" w:hAnsi="Arial"/>
          <w:spacing w:val="22"/>
          <w:rtl/>
        </w:rPr>
        <w:t xml:space="preserve"> סיפא, </w:t>
      </w:r>
      <w:hyperlink r:id="rId25" w:history="1">
        <w:r w:rsidR="00727925" w:rsidRPr="00727925">
          <w:rPr>
            <w:rStyle w:val="Hyperlink"/>
            <w:rFonts w:ascii="Arial" w:hAnsi="Arial"/>
            <w:spacing w:val="22"/>
            <w:rtl/>
          </w:rPr>
          <w:t>וסעיף 29</w:t>
        </w:r>
      </w:hyperlink>
      <w:r w:rsidRPr="009F161D">
        <w:rPr>
          <w:rFonts w:ascii="Arial" w:hAnsi="Arial"/>
          <w:spacing w:val="22"/>
          <w:rtl/>
        </w:rPr>
        <w:t xml:space="preserve"> לחוק. בגדר </w:t>
      </w:r>
      <w:r w:rsidRPr="00D008B9">
        <w:rPr>
          <w:rFonts w:ascii="Arial" w:hAnsi="Arial"/>
          <w:b/>
          <w:bCs/>
          <w:spacing w:val="22"/>
          <w:rtl/>
        </w:rPr>
        <w:t>האישומים החמישי, השישי והשמיני</w:t>
      </w:r>
      <w:r w:rsidRPr="009F161D">
        <w:rPr>
          <w:rFonts w:ascii="Arial" w:hAnsi="Arial"/>
          <w:spacing w:val="22"/>
          <w:rtl/>
        </w:rPr>
        <w:t xml:space="preserve">, הורשע נאשם 1 בעבירת ניסיון רכישת נשק וניסיון לקבלת דבר במרמה שבאישום השני. בגדר </w:t>
      </w:r>
      <w:r w:rsidRPr="00D008B9">
        <w:rPr>
          <w:rFonts w:ascii="Arial" w:hAnsi="Arial"/>
          <w:b/>
          <w:bCs/>
          <w:spacing w:val="22"/>
          <w:rtl/>
        </w:rPr>
        <w:t>האישום התשיעי</w:t>
      </w:r>
      <w:r w:rsidRPr="009F161D">
        <w:rPr>
          <w:rFonts w:ascii="Arial" w:hAnsi="Arial"/>
          <w:spacing w:val="22"/>
          <w:rtl/>
        </w:rPr>
        <w:t xml:space="preserve">, הורשע נאשם 1 בעבירת סיוע לנשיאת נשק לפי </w:t>
      </w:r>
      <w:hyperlink r:id="rId26" w:history="1">
        <w:r w:rsidR="00727925" w:rsidRPr="00727925">
          <w:rPr>
            <w:rStyle w:val="Hyperlink"/>
            <w:rFonts w:ascii="Arial" w:hAnsi="Arial"/>
            <w:spacing w:val="22"/>
            <w:rtl/>
          </w:rPr>
          <w:t>סעיפים 144</w:t>
        </w:r>
      </w:hyperlink>
      <w:r w:rsidRPr="009F161D">
        <w:rPr>
          <w:rFonts w:ascii="Arial" w:hAnsi="Arial"/>
          <w:spacing w:val="22"/>
          <w:rtl/>
        </w:rPr>
        <w:t xml:space="preserve">, </w:t>
      </w:r>
      <w:hyperlink r:id="rId27" w:history="1">
        <w:r w:rsidR="00727925" w:rsidRPr="00727925">
          <w:rPr>
            <w:rStyle w:val="Hyperlink"/>
            <w:rFonts w:ascii="Arial" w:hAnsi="Arial"/>
            <w:spacing w:val="22"/>
            <w:rtl/>
          </w:rPr>
          <w:t xml:space="preserve">29 </w:t>
        </w:r>
      </w:hyperlink>
      <w:r w:rsidRPr="009F161D">
        <w:rPr>
          <w:rFonts w:ascii="Arial" w:hAnsi="Arial"/>
          <w:spacing w:val="22"/>
          <w:rtl/>
        </w:rPr>
        <w:t xml:space="preserve"> </w:t>
      </w:r>
      <w:r>
        <w:rPr>
          <w:rFonts w:ascii="Arial" w:hAnsi="Arial" w:hint="cs"/>
          <w:spacing w:val="22"/>
          <w:rtl/>
        </w:rPr>
        <w:t xml:space="preserve"> </w:t>
      </w:r>
      <w:r w:rsidRPr="009F161D">
        <w:rPr>
          <w:rFonts w:ascii="Arial" w:hAnsi="Arial"/>
          <w:spacing w:val="22"/>
          <w:rtl/>
        </w:rPr>
        <w:t xml:space="preserve">ו – </w:t>
      </w:r>
      <w:hyperlink r:id="rId28" w:history="1">
        <w:r w:rsidR="00727925" w:rsidRPr="00727925">
          <w:rPr>
            <w:rStyle w:val="Hyperlink"/>
            <w:rFonts w:ascii="Arial" w:hAnsi="Arial"/>
            <w:spacing w:val="22"/>
            <w:rtl/>
          </w:rPr>
          <w:t>51</w:t>
        </w:r>
      </w:hyperlink>
      <w:r w:rsidRPr="009F161D">
        <w:rPr>
          <w:rFonts w:ascii="Arial" w:hAnsi="Arial"/>
          <w:spacing w:val="22"/>
          <w:rtl/>
        </w:rPr>
        <w:t xml:space="preserve"> לחוק, בעבירת סיוע לרכישת נשק לפי </w:t>
      </w:r>
      <w:hyperlink r:id="rId29" w:history="1">
        <w:r w:rsidR="00727925" w:rsidRPr="00727925">
          <w:rPr>
            <w:rStyle w:val="Hyperlink"/>
            <w:rFonts w:ascii="Arial" w:hAnsi="Arial"/>
            <w:spacing w:val="22"/>
            <w:rtl/>
          </w:rPr>
          <w:t>סעיפים 144(א)</w:t>
        </w:r>
      </w:hyperlink>
      <w:r w:rsidRPr="009F161D">
        <w:rPr>
          <w:rFonts w:ascii="Arial" w:hAnsi="Arial"/>
          <w:spacing w:val="22"/>
          <w:rtl/>
        </w:rPr>
        <w:t xml:space="preserve">, </w:t>
      </w:r>
      <w:hyperlink r:id="rId30" w:history="1">
        <w:r w:rsidR="00727925" w:rsidRPr="00727925">
          <w:rPr>
            <w:rStyle w:val="Hyperlink"/>
            <w:rFonts w:ascii="Arial" w:hAnsi="Arial"/>
            <w:spacing w:val="22"/>
            <w:rtl/>
          </w:rPr>
          <w:t>29</w:t>
        </w:r>
      </w:hyperlink>
      <w:r w:rsidRPr="009F161D">
        <w:rPr>
          <w:rFonts w:ascii="Arial" w:hAnsi="Arial"/>
          <w:spacing w:val="22"/>
          <w:rtl/>
        </w:rPr>
        <w:t xml:space="preserve"> ו – </w:t>
      </w:r>
      <w:hyperlink r:id="rId31" w:history="1">
        <w:r w:rsidR="00727925" w:rsidRPr="00727925">
          <w:rPr>
            <w:rStyle w:val="Hyperlink"/>
            <w:rFonts w:ascii="Arial" w:hAnsi="Arial"/>
            <w:spacing w:val="22"/>
            <w:rtl/>
          </w:rPr>
          <w:t>31</w:t>
        </w:r>
      </w:hyperlink>
      <w:r w:rsidRPr="009F161D">
        <w:rPr>
          <w:rFonts w:ascii="Arial" w:hAnsi="Arial"/>
          <w:spacing w:val="22"/>
          <w:rtl/>
        </w:rPr>
        <w:t xml:space="preserve"> לחוק, בעבירת סיוע לשימוש במסמך מזויף לפי </w:t>
      </w:r>
      <w:hyperlink r:id="rId32" w:history="1">
        <w:r w:rsidR="00727925" w:rsidRPr="00727925">
          <w:rPr>
            <w:rStyle w:val="Hyperlink"/>
            <w:rFonts w:ascii="Arial" w:hAnsi="Arial"/>
            <w:spacing w:val="22"/>
            <w:rtl/>
          </w:rPr>
          <w:t>סעיפים 420</w:t>
        </w:r>
      </w:hyperlink>
      <w:r w:rsidRPr="009F161D">
        <w:rPr>
          <w:rFonts w:ascii="Arial" w:hAnsi="Arial"/>
          <w:spacing w:val="22"/>
          <w:rtl/>
        </w:rPr>
        <w:t xml:space="preserve">, </w:t>
      </w:r>
      <w:hyperlink r:id="rId33" w:history="1">
        <w:r w:rsidR="00727925" w:rsidRPr="00727925">
          <w:rPr>
            <w:rStyle w:val="Hyperlink"/>
            <w:rFonts w:ascii="Arial" w:hAnsi="Arial"/>
            <w:spacing w:val="22"/>
            <w:rtl/>
          </w:rPr>
          <w:t>418</w:t>
        </w:r>
      </w:hyperlink>
      <w:r w:rsidRPr="009F161D">
        <w:rPr>
          <w:rFonts w:ascii="Arial" w:hAnsi="Arial"/>
          <w:spacing w:val="22"/>
          <w:rtl/>
        </w:rPr>
        <w:t xml:space="preserve"> סיפא, </w:t>
      </w:r>
      <w:hyperlink r:id="rId34" w:history="1">
        <w:r w:rsidR="00727925" w:rsidRPr="00727925">
          <w:rPr>
            <w:rStyle w:val="Hyperlink"/>
            <w:rFonts w:ascii="Arial" w:hAnsi="Arial"/>
            <w:spacing w:val="22"/>
            <w:rtl/>
          </w:rPr>
          <w:t>29</w:t>
        </w:r>
      </w:hyperlink>
      <w:r w:rsidRPr="009F161D">
        <w:rPr>
          <w:rFonts w:ascii="Arial" w:hAnsi="Arial"/>
          <w:spacing w:val="22"/>
          <w:rtl/>
        </w:rPr>
        <w:t xml:space="preserve"> ו – </w:t>
      </w:r>
      <w:hyperlink r:id="rId35" w:history="1">
        <w:r w:rsidR="00727925" w:rsidRPr="00727925">
          <w:rPr>
            <w:rStyle w:val="Hyperlink"/>
            <w:rFonts w:ascii="Arial" w:hAnsi="Arial"/>
            <w:spacing w:val="22"/>
            <w:rtl/>
          </w:rPr>
          <w:t>31</w:t>
        </w:r>
      </w:hyperlink>
      <w:r w:rsidRPr="009F161D">
        <w:rPr>
          <w:rFonts w:ascii="Arial" w:hAnsi="Arial"/>
          <w:spacing w:val="22"/>
          <w:rtl/>
        </w:rPr>
        <w:t xml:space="preserve"> לחוק, ובעבירת סיוע לקבלת דבר במרמה בנסיבות מחמירות לפי </w:t>
      </w:r>
      <w:hyperlink r:id="rId36" w:history="1">
        <w:r w:rsidR="00727925" w:rsidRPr="00727925">
          <w:rPr>
            <w:rStyle w:val="Hyperlink"/>
            <w:rFonts w:ascii="Arial" w:hAnsi="Arial"/>
            <w:spacing w:val="22"/>
            <w:rtl/>
          </w:rPr>
          <w:t>סעיפים 415</w:t>
        </w:r>
      </w:hyperlink>
      <w:r w:rsidRPr="009F161D">
        <w:rPr>
          <w:rFonts w:ascii="Arial" w:hAnsi="Arial"/>
          <w:spacing w:val="22"/>
          <w:rtl/>
        </w:rPr>
        <w:t xml:space="preserve"> סיפא, </w:t>
      </w:r>
      <w:hyperlink r:id="rId37" w:history="1">
        <w:r w:rsidR="00727925" w:rsidRPr="00727925">
          <w:rPr>
            <w:rStyle w:val="Hyperlink"/>
            <w:rFonts w:ascii="Arial" w:hAnsi="Arial"/>
            <w:spacing w:val="22"/>
            <w:rtl/>
          </w:rPr>
          <w:t>29</w:t>
        </w:r>
      </w:hyperlink>
      <w:r w:rsidRPr="009F161D">
        <w:rPr>
          <w:rFonts w:ascii="Arial" w:hAnsi="Arial"/>
          <w:spacing w:val="22"/>
          <w:rtl/>
        </w:rPr>
        <w:t xml:space="preserve"> ו – </w:t>
      </w:r>
      <w:hyperlink r:id="rId38" w:history="1">
        <w:r w:rsidR="00727925" w:rsidRPr="00727925">
          <w:rPr>
            <w:rStyle w:val="Hyperlink"/>
            <w:rFonts w:ascii="Arial" w:hAnsi="Arial"/>
            <w:spacing w:val="22"/>
            <w:rtl/>
          </w:rPr>
          <w:t>31</w:t>
        </w:r>
      </w:hyperlink>
      <w:r w:rsidRPr="009F161D">
        <w:rPr>
          <w:rFonts w:ascii="Arial" w:hAnsi="Arial"/>
          <w:spacing w:val="22"/>
          <w:rtl/>
        </w:rPr>
        <w:t xml:space="preserve"> לחוק. בגדר </w:t>
      </w:r>
      <w:r w:rsidRPr="00D008B9">
        <w:rPr>
          <w:rFonts w:ascii="Arial" w:hAnsi="Arial"/>
          <w:b/>
          <w:bCs/>
          <w:spacing w:val="22"/>
          <w:rtl/>
        </w:rPr>
        <w:t>האישום העשירי</w:t>
      </w:r>
      <w:r w:rsidRPr="009F161D">
        <w:rPr>
          <w:rFonts w:ascii="Arial" w:hAnsi="Arial"/>
          <w:spacing w:val="22"/>
          <w:rtl/>
        </w:rPr>
        <w:t xml:space="preserve">, הורשע נאשם 1 בעבירת ניסיון רכישת נשק ובעבירת ניסיון לקבלת דבר במרמה שבאישום השני, וכן בעבירת זיוף בנסיבות מחמירות לפי </w:t>
      </w:r>
      <w:hyperlink r:id="rId39" w:history="1">
        <w:r w:rsidR="00727925" w:rsidRPr="00727925">
          <w:rPr>
            <w:rStyle w:val="Hyperlink"/>
            <w:rFonts w:ascii="Arial" w:hAnsi="Arial"/>
            <w:spacing w:val="22"/>
            <w:rtl/>
          </w:rPr>
          <w:t>סעיפים 418</w:t>
        </w:r>
      </w:hyperlink>
      <w:r w:rsidRPr="009F161D">
        <w:rPr>
          <w:rFonts w:ascii="Arial" w:hAnsi="Arial"/>
          <w:spacing w:val="22"/>
          <w:rtl/>
        </w:rPr>
        <w:t xml:space="preserve">, </w:t>
      </w:r>
      <w:hyperlink r:id="rId40" w:history="1">
        <w:r w:rsidR="00727925" w:rsidRPr="00727925">
          <w:rPr>
            <w:rStyle w:val="Hyperlink"/>
            <w:rFonts w:ascii="Arial" w:hAnsi="Arial"/>
            <w:spacing w:val="22"/>
            <w:rtl/>
          </w:rPr>
          <w:t>סעיפים 29</w:t>
        </w:r>
      </w:hyperlink>
      <w:r w:rsidRPr="009F161D">
        <w:rPr>
          <w:rFonts w:ascii="Arial" w:hAnsi="Arial"/>
          <w:spacing w:val="22"/>
          <w:rtl/>
        </w:rPr>
        <w:t xml:space="preserve"> ו – </w:t>
      </w:r>
      <w:hyperlink r:id="rId41" w:history="1">
        <w:r w:rsidR="00727925" w:rsidRPr="00727925">
          <w:rPr>
            <w:rStyle w:val="Hyperlink"/>
            <w:rFonts w:ascii="Arial" w:hAnsi="Arial"/>
            <w:spacing w:val="22"/>
            <w:rtl/>
          </w:rPr>
          <w:t>25</w:t>
        </w:r>
      </w:hyperlink>
      <w:r w:rsidRPr="009F161D">
        <w:rPr>
          <w:rFonts w:ascii="Arial" w:hAnsi="Arial"/>
          <w:spacing w:val="22"/>
          <w:rtl/>
        </w:rPr>
        <w:t xml:space="preserve"> לחוק. </w:t>
      </w:r>
    </w:p>
    <w:p w14:paraId="7CAAB421" w14:textId="77777777" w:rsidR="0018013A" w:rsidRPr="009F161D" w:rsidRDefault="0018013A" w:rsidP="0018013A">
      <w:pPr>
        <w:spacing w:line="360" w:lineRule="auto"/>
        <w:jc w:val="center"/>
        <w:rPr>
          <w:rFonts w:ascii="David" w:hAnsi="David"/>
          <w:spacing w:val="22"/>
          <w:rtl/>
        </w:rPr>
      </w:pPr>
      <w:bookmarkStart w:id="7" w:name="ABSTRACT_END"/>
      <w:bookmarkEnd w:id="7"/>
    </w:p>
    <w:p w14:paraId="3BCD4F00" w14:textId="77777777" w:rsidR="0018013A" w:rsidRPr="009F161D" w:rsidRDefault="0018013A" w:rsidP="0018013A">
      <w:pPr>
        <w:spacing w:line="360" w:lineRule="auto"/>
        <w:ind w:firstLine="720"/>
        <w:jc w:val="both"/>
        <w:rPr>
          <w:rFonts w:ascii="David" w:hAnsi="David"/>
          <w:spacing w:val="22"/>
          <w:rtl/>
        </w:rPr>
      </w:pPr>
      <w:r w:rsidRPr="009F161D">
        <w:rPr>
          <w:rFonts w:ascii="David" w:hAnsi="David"/>
          <w:b/>
          <w:bCs/>
          <w:spacing w:val="22"/>
          <w:rtl/>
        </w:rPr>
        <w:t>נאשם מס' 2</w:t>
      </w:r>
      <w:r w:rsidRPr="009F161D">
        <w:rPr>
          <w:rFonts w:ascii="David" w:hAnsi="David"/>
          <w:spacing w:val="22"/>
          <w:rtl/>
        </w:rPr>
        <w:t xml:space="preserve"> הורשע </w:t>
      </w:r>
      <w:r w:rsidRPr="00D008B9">
        <w:rPr>
          <w:rFonts w:ascii="David" w:hAnsi="David"/>
          <w:b/>
          <w:bCs/>
          <w:spacing w:val="22"/>
          <w:rtl/>
        </w:rPr>
        <w:t>באישום השני</w:t>
      </w:r>
      <w:r w:rsidRPr="009F161D">
        <w:rPr>
          <w:rFonts w:ascii="David" w:hAnsi="David"/>
          <w:spacing w:val="22"/>
          <w:rtl/>
        </w:rPr>
        <w:t xml:space="preserve"> בעבירת ניסיון רכישת נשק, לפי </w:t>
      </w:r>
      <w:hyperlink r:id="rId42" w:history="1">
        <w:r w:rsidR="00727925" w:rsidRPr="00727925">
          <w:rPr>
            <w:rStyle w:val="Hyperlink"/>
            <w:rFonts w:ascii="David" w:hAnsi="David"/>
            <w:spacing w:val="22"/>
            <w:rtl/>
          </w:rPr>
          <w:t>סעיפים 144(א)</w:t>
        </w:r>
      </w:hyperlink>
      <w:r w:rsidRPr="009F161D">
        <w:rPr>
          <w:rFonts w:ascii="David" w:hAnsi="David"/>
          <w:spacing w:val="22"/>
          <w:rtl/>
        </w:rPr>
        <w:t xml:space="preserve">, </w:t>
      </w:r>
      <w:hyperlink r:id="rId43" w:history="1">
        <w:r w:rsidR="00727925" w:rsidRPr="00727925">
          <w:rPr>
            <w:rStyle w:val="Hyperlink"/>
            <w:rFonts w:ascii="David" w:hAnsi="David"/>
            <w:spacing w:val="22"/>
            <w:rtl/>
          </w:rPr>
          <w:t>29</w:t>
        </w:r>
      </w:hyperlink>
      <w:r w:rsidRPr="009F161D">
        <w:rPr>
          <w:rFonts w:ascii="David" w:hAnsi="David"/>
          <w:spacing w:val="22"/>
          <w:rtl/>
        </w:rPr>
        <w:t xml:space="preserve"> ו – </w:t>
      </w:r>
      <w:hyperlink r:id="rId44" w:history="1">
        <w:r w:rsidR="00727925" w:rsidRPr="00727925">
          <w:rPr>
            <w:rStyle w:val="Hyperlink"/>
            <w:rFonts w:ascii="David" w:hAnsi="David"/>
            <w:spacing w:val="22"/>
            <w:rtl/>
          </w:rPr>
          <w:t>25</w:t>
        </w:r>
      </w:hyperlink>
      <w:r w:rsidRPr="009F161D">
        <w:rPr>
          <w:rFonts w:ascii="David" w:hAnsi="David"/>
          <w:spacing w:val="22"/>
          <w:rtl/>
        </w:rPr>
        <w:t xml:space="preserve"> לחוק, בעבירת ניסיון קבלת דבר במרמה לפי </w:t>
      </w:r>
      <w:hyperlink r:id="rId45" w:history="1">
        <w:r w:rsidR="00727925" w:rsidRPr="00727925">
          <w:rPr>
            <w:rStyle w:val="Hyperlink"/>
            <w:rFonts w:ascii="David" w:hAnsi="David"/>
            <w:spacing w:val="22"/>
            <w:rtl/>
          </w:rPr>
          <w:t>סעיפים 415</w:t>
        </w:r>
      </w:hyperlink>
      <w:r w:rsidRPr="009F161D">
        <w:rPr>
          <w:rFonts w:ascii="David" w:hAnsi="David"/>
          <w:spacing w:val="22"/>
          <w:rtl/>
        </w:rPr>
        <w:t xml:space="preserve">, </w:t>
      </w:r>
      <w:hyperlink r:id="rId46" w:history="1">
        <w:r w:rsidR="00727925" w:rsidRPr="00727925">
          <w:rPr>
            <w:rStyle w:val="Hyperlink"/>
            <w:rFonts w:ascii="David" w:hAnsi="David"/>
            <w:spacing w:val="22"/>
            <w:rtl/>
          </w:rPr>
          <w:t>29</w:t>
        </w:r>
      </w:hyperlink>
      <w:r w:rsidRPr="009F161D">
        <w:rPr>
          <w:rFonts w:ascii="David" w:hAnsi="David"/>
          <w:spacing w:val="22"/>
          <w:rtl/>
        </w:rPr>
        <w:t xml:space="preserve"> ו – </w:t>
      </w:r>
      <w:hyperlink r:id="rId47" w:history="1">
        <w:r w:rsidR="00727925" w:rsidRPr="00727925">
          <w:rPr>
            <w:rStyle w:val="Hyperlink"/>
            <w:rFonts w:ascii="David" w:hAnsi="David"/>
            <w:spacing w:val="22"/>
            <w:rtl/>
          </w:rPr>
          <w:t>25</w:t>
        </w:r>
      </w:hyperlink>
      <w:r w:rsidRPr="009F161D">
        <w:rPr>
          <w:rFonts w:ascii="David" w:hAnsi="David"/>
          <w:spacing w:val="22"/>
          <w:rtl/>
        </w:rPr>
        <w:t xml:space="preserve"> לחוק, ובעבירת שימוש במסמך מזויף לפי </w:t>
      </w:r>
      <w:hyperlink r:id="rId48" w:history="1">
        <w:r w:rsidR="00727925" w:rsidRPr="00727925">
          <w:rPr>
            <w:rStyle w:val="Hyperlink"/>
            <w:rFonts w:ascii="David" w:hAnsi="David"/>
            <w:spacing w:val="22"/>
            <w:rtl/>
          </w:rPr>
          <w:t>סעיפים 418</w:t>
        </w:r>
      </w:hyperlink>
      <w:r w:rsidRPr="009F161D">
        <w:rPr>
          <w:rFonts w:ascii="David" w:hAnsi="David"/>
          <w:spacing w:val="22"/>
          <w:rtl/>
        </w:rPr>
        <w:t xml:space="preserve"> סיפא </w:t>
      </w:r>
      <w:hyperlink r:id="rId49" w:history="1">
        <w:r w:rsidR="00727925" w:rsidRPr="00727925">
          <w:rPr>
            <w:rStyle w:val="Hyperlink"/>
            <w:rFonts w:ascii="David" w:hAnsi="David"/>
            <w:spacing w:val="22"/>
            <w:rtl/>
          </w:rPr>
          <w:t>וסעיף 25</w:t>
        </w:r>
      </w:hyperlink>
      <w:r w:rsidRPr="009F161D">
        <w:rPr>
          <w:rFonts w:ascii="David" w:hAnsi="David"/>
          <w:spacing w:val="22"/>
          <w:rtl/>
        </w:rPr>
        <w:t xml:space="preserve"> לחוק. בגדר </w:t>
      </w:r>
      <w:r w:rsidRPr="00D008B9">
        <w:rPr>
          <w:rFonts w:ascii="David" w:hAnsi="David"/>
          <w:b/>
          <w:bCs/>
          <w:spacing w:val="22"/>
          <w:rtl/>
        </w:rPr>
        <w:t>האישום החמישי,</w:t>
      </w:r>
      <w:r w:rsidRPr="009F161D">
        <w:rPr>
          <w:rFonts w:ascii="David" w:hAnsi="David"/>
          <w:spacing w:val="22"/>
          <w:rtl/>
        </w:rPr>
        <w:t xml:space="preserve"> הורשע נאשם 2  בעבירת ניסיון רכישת נשק ובניסיון קבלת דבר במרמה שבאישום השני. בגדר </w:t>
      </w:r>
      <w:r w:rsidRPr="00D008B9">
        <w:rPr>
          <w:rFonts w:ascii="David" w:hAnsi="David"/>
          <w:b/>
          <w:bCs/>
          <w:spacing w:val="22"/>
          <w:rtl/>
        </w:rPr>
        <w:t>האישום השביעי</w:t>
      </w:r>
      <w:r w:rsidRPr="009F161D">
        <w:rPr>
          <w:rFonts w:ascii="David" w:hAnsi="David"/>
          <w:spacing w:val="22"/>
          <w:rtl/>
        </w:rPr>
        <w:t xml:space="preserve">, הורשע נאשם 2 בעבירת ניסיון רכישת נשק ועבירת ניסיון קבלת דבר במרמה כבאישום השני והחמישי, וכן בעבירה של שימוש במסמך מזויף לפי </w:t>
      </w:r>
      <w:hyperlink r:id="rId50" w:history="1">
        <w:r w:rsidR="00727925" w:rsidRPr="00727925">
          <w:rPr>
            <w:rStyle w:val="Hyperlink"/>
            <w:rFonts w:ascii="David" w:hAnsi="David"/>
            <w:spacing w:val="22"/>
            <w:rtl/>
          </w:rPr>
          <w:t>סעיפים 420</w:t>
        </w:r>
      </w:hyperlink>
      <w:r w:rsidRPr="009F161D">
        <w:rPr>
          <w:rFonts w:ascii="David" w:hAnsi="David"/>
          <w:spacing w:val="22"/>
          <w:rtl/>
        </w:rPr>
        <w:t xml:space="preserve">, </w:t>
      </w:r>
      <w:hyperlink r:id="rId51" w:history="1">
        <w:r w:rsidR="00727925" w:rsidRPr="00727925">
          <w:rPr>
            <w:rStyle w:val="Hyperlink"/>
            <w:rFonts w:ascii="David" w:hAnsi="David"/>
            <w:spacing w:val="22"/>
            <w:rtl/>
          </w:rPr>
          <w:t>418</w:t>
        </w:r>
      </w:hyperlink>
      <w:r w:rsidRPr="009F161D">
        <w:rPr>
          <w:rFonts w:ascii="David" w:hAnsi="David"/>
          <w:spacing w:val="22"/>
          <w:rtl/>
        </w:rPr>
        <w:t xml:space="preserve"> סיפא </w:t>
      </w:r>
      <w:hyperlink r:id="rId52" w:history="1">
        <w:r w:rsidR="00727925" w:rsidRPr="00727925">
          <w:rPr>
            <w:rStyle w:val="Hyperlink"/>
            <w:rFonts w:ascii="David" w:hAnsi="David"/>
            <w:spacing w:val="22"/>
            <w:rtl/>
          </w:rPr>
          <w:t>וסעיף 29</w:t>
        </w:r>
      </w:hyperlink>
      <w:r w:rsidRPr="009F161D">
        <w:rPr>
          <w:rFonts w:ascii="David" w:hAnsi="David"/>
          <w:spacing w:val="22"/>
          <w:rtl/>
        </w:rPr>
        <w:t xml:space="preserve"> לחוק. בגדר</w:t>
      </w:r>
      <w:r w:rsidRPr="00D008B9">
        <w:rPr>
          <w:rFonts w:ascii="David" w:hAnsi="David"/>
          <w:b/>
          <w:bCs/>
          <w:spacing w:val="22"/>
          <w:rtl/>
        </w:rPr>
        <w:t xml:space="preserve"> האישום התשיעי</w:t>
      </w:r>
      <w:r w:rsidRPr="009F161D">
        <w:rPr>
          <w:rFonts w:ascii="David" w:hAnsi="David"/>
          <w:spacing w:val="22"/>
          <w:rtl/>
        </w:rPr>
        <w:t xml:space="preserve">, הורשע נאשם 2 בעבירת רכישת נשק לפי </w:t>
      </w:r>
      <w:hyperlink r:id="rId53" w:history="1">
        <w:r w:rsidR="00727925" w:rsidRPr="00727925">
          <w:rPr>
            <w:rStyle w:val="Hyperlink"/>
            <w:rFonts w:ascii="David" w:hAnsi="David"/>
            <w:spacing w:val="22"/>
            <w:rtl/>
          </w:rPr>
          <w:t>סעיף 144(א)</w:t>
        </w:r>
      </w:hyperlink>
      <w:r w:rsidRPr="009F161D">
        <w:rPr>
          <w:rFonts w:ascii="David" w:hAnsi="David"/>
          <w:spacing w:val="22"/>
          <w:rtl/>
        </w:rPr>
        <w:t xml:space="preserve"> </w:t>
      </w:r>
      <w:hyperlink r:id="rId54" w:history="1">
        <w:r w:rsidR="00727925" w:rsidRPr="00727925">
          <w:rPr>
            <w:rStyle w:val="Hyperlink"/>
            <w:rFonts w:ascii="David" w:hAnsi="David"/>
            <w:spacing w:val="22"/>
            <w:rtl/>
          </w:rPr>
          <w:t>וסעיף 29</w:t>
        </w:r>
      </w:hyperlink>
      <w:r w:rsidRPr="009F161D">
        <w:rPr>
          <w:rFonts w:ascii="David" w:hAnsi="David"/>
          <w:spacing w:val="22"/>
          <w:rtl/>
        </w:rPr>
        <w:t xml:space="preserve"> לחוק, בעבירת שימוש במסמך מזויף כבאישום השביעי ובעבירה של קבלת דבר במרמה לפי </w:t>
      </w:r>
      <w:hyperlink r:id="rId55" w:history="1">
        <w:r w:rsidR="00727925" w:rsidRPr="00727925">
          <w:rPr>
            <w:rStyle w:val="Hyperlink"/>
            <w:rFonts w:ascii="David" w:hAnsi="David"/>
            <w:spacing w:val="22"/>
            <w:rtl/>
          </w:rPr>
          <w:t>סעיף 415</w:t>
        </w:r>
      </w:hyperlink>
      <w:r w:rsidRPr="009F161D">
        <w:rPr>
          <w:rFonts w:ascii="David" w:hAnsi="David"/>
          <w:spacing w:val="22"/>
          <w:rtl/>
        </w:rPr>
        <w:t xml:space="preserve"> סיפא ו – </w:t>
      </w:r>
      <w:hyperlink r:id="rId56" w:history="1">
        <w:r w:rsidR="00727925" w:rsidRPr="00727925">
          <w:rPr>
            <w:rStyle w:val="Hyperlink"/>
            <w:rFonts w:ascii="David" w:hAnsi="David"/>
            <w:spacing w:val="22"/>
            <w:rtl/>
          </w:rPr>
          <w:t>29</w:t>
        </w:r>
      </w:hyperlink>
      <w:r w:rsidRPr="009F161D">
        <w:rPr>
          <w:rFonts w:ascii="David" w:hAnsi="David"/>
          <w:spacing w:val="22"/>
          <w:rtl/>
        </w:rPr>
        <w:t xml:space="preserve"> לחוק. </w:t>
      </w:r>
    </w:p>
    <w:p w14:paraId="4E5C73F6" w14:textId="77777777" w:rsidR="0018013A" w:rsidRPr="009F161D" w:rsidRDefault="0018013A" w:rsidP="0018013A">
      <w:pPr>
        <w:spacing w:line="360" w:lineRule="auto"/>
        <w:jc w:val="both"/>
        <w:rPr>
          <w:rFonts w:ascii="Arial" w:hAnsi="Arial"/>
          <w:spacing w:val="22"/>
          <w:rtl/>
        </w:rPr>
      </w:pPr>
    </w:p>
    <w:p w14:paraId="4BD990B7" w14:textId="77777777" w:rsidR="0018013A" w:rsidRPr="009F161D" w:rsidRDefault="0018013A" w:rsidP="0018013A">
      <w:pPr>
        <w:spacing w:line="360" w:lineRule="auto"/>
        <w:jc w:val="both"/>
        <w:rPr>
          <w:rFonts w:ascii="David" w:hAnsi="David"/>
          <w:spacing w:val="22"/>
          <w:rtl/>
        </w:rPr>
      </w:pPr>
      <w:r w:rsidRPr="009F161D">
        <w:rPr>
          <w:rFonts w:ascii="Arial" w:hAnsi="Arial"/>
          <w:spacing w:val="22"/>
          <w:rtl/>
        </w:rPr>
        <w:t>2.</w:t>
      </w:r>
      <w:r w:rsidRPr="009F161D">
        <w:rPr>
          <w:rFonts w:ascii="Arial" w:hAnsi="Arial"/>
          <w:spacing w:val="22"/>
          <w:rtl/>
        </w:rPr>
        <w:tab/>
        <w:t xml:space="preserve">הצדדים הסכימו על נוסחים מתוקנים לכתב האישום. כל נאשם הודה בנוסח המתוקן והמוסכם המתייחס אליו והורשע. בהסדרי הטיעון של נאשם 1 ונאשם 2 הוסכם כי המאשימה תעתור לעונש של עד </w:t>
      </w:r>
      <w:r w:rsidRPr="009F161D">
        <w:rPr>
          <w:rFonts w:ascii="David" w:hAnsi="David"/>
          <w:spacing w:val="22"/>
          <w:rtl/>
        </w:rPr>
        <w:t xml:space="preserve">45 חודשי מאסר לצד עונשים נלווים וכל אחד מהנאשמים 1  ו – 2 יהיה חופשי בטיעוניו. </w:t>
      </w:r>
    </w:p>
    <w:p w14:paraId="749188FB" w14:textId="77777777" w:rsidR="0018013A" w:rsidRPr="009F161D" w:rsidRDefault="0018013A" w:rsidP="0018013A">
      <w:pPr>
        <w:spacing w:line="360" w:lineRule="auto"/>
        <w:jc w:val="both"/>
        <w:rPr>
          <w:rFonts w:ascii="Arial" w:hAnsi="Arial"/>
          <w:b/>
          <w:bCs/>
          <w:spacing w:val="22"/>
          <w:rtl/>
        </w:rPr>
      </w:pPr>
      <w:r w:rsidRPr="009F161D">
        <w:rPr>
          <w:rFonts w:ascii="Arial" w:hAnsi="Arial"/>
          <w:b/>
          <w:bCs/>
          <w:spacing w:val="22"/>
          <w:rtl/>
        </w:rPr>
        <w:tab/>
      </w:r>
    </w:p>
    <w:p w14:paraId="0E40F07C" w14:textId="77777777" w:rsidR="0018013A" w:rsidRPr="009F161D" w:rsidRDefault="0018013A" w:rsidP="0018013A">
      <w:pPr>
        <w:spacing w:line="360" w:lineRule="auto"/>
        <w:ind w:firstLine="720"/>
        <w:jc w:val="both"/>
        <w:rPr>
          <w:rFonts w:ascii="Arial" w:hAnsi="Arial"/>
          <w:b/>
          <w:bCs/>
          <w:spacing w:val="22"/>
          <w:rtl/>
        </w:rPr>
      </w:pPr>
      <w:r w:rsidRPr="009F161D">
        <w:rPr>
          <w:rFonts w:ascii="Arial" w:hAnsi="Arial"/>
          <w:b/>
          <w:bCs/>
          <w:spacing w:val="22"/>
          <w:rtl/>
        </w:rPr>
        <w:lastRenderedPageBreak/>
        <w:t>עובדות כתב האישום המתוקן</w:t>
      </w:r>
    </w:p>
    <w:p w14:paraId="6C567CB7" w14:textId="77777777" w:rsidR="0018013A" w:rsidRPr="009F161D" w:rsidRDefault="0018013A" w:rsidP="0018013A">
      <w:pPr>
        <w:spacing w:line="360" w:lineRule="auto"/>
        <w:jc w:val="both"/>
        <w:rPr>
          <w:rFonts w:ascii="Arial" w:hAnsi="Arial"/>
          <w:spacing w:val="22"/>
          <w:rtl/>
        </w:rPr>
      </w:pPr>
      <w:r w:rsidRPr="009F161D">
        <w:rPr>
          <w:rFonts w:ascii="Arial" w:hAnsi="Arial"/>
          <w:spacing w:val="22"/>
          <w:rtl/>
        </w:rPr>
        <w:t>3.</w:t>
      </w:r>
      <w:r w:rsidRPr="009F161D">
        <w:rPr>
          <w:rFonts w:ascii="Arial" w:hAnsi="Arial"/>
          <w:spacing w:val="22"/>
          <w:rtl/>
        </w:rPr>
        <w:tab/>
        <w:t xml:space="preserve">על פי </w:t>
      </w:r>
      <w:r w:rsidRPr="009F161D">
        <w:rPr>
          <w:rFonts w:ascii="Arial" w:hAnsi="Arial"/>
          <w:b/>
          <w:bCs/>
          <w:spacing w:val="22"/>
          <w:rtl/>
        </w:rPr>
        <w:t>החלק הכללי</w:t>
      </w:r>
      <w:r w:rsidRPr="009F161D">
        <w:rPr>
          <w:rFonts w:ascii="Arial" w:hAnsi="Arial"/>
          <w:spacing w:val="22"/>
          <w:rtl/>
        </w:rPr>
        <w:t xml:space="preserve"> של כתב האישום המתוקן, בתקופת מגפת הקורונה והחל מחודש מרץ 2020, התיר האגף לכלי ירייה במשרד לביטחון פנים לבצע העברת בעלות בכלי ירייה (המתבצעת בימים שבשגרה באופן פרונטלי באגף בנוכחות המוכר והקונה) באמצעות מילוי שטר מכר והתייצבות בפני עו"ד שיאמת את זהות המוכר והקונה ואת המסמך הייעודי. לאחר מכן, על הקונה להגיש את המסמך הייעודי בצירוף אגרה ואישור הכשרה למוקד שירות של האגף, המחליט אם לאשר את ההעברה, ועד לאישור העברת הבעלות – חל איסור להעביר את כלי הירייה. הנאשמים מעולם לא החזיקו רישיון להחזקת כלי ירייה פרטי. במהלך התקופה הרלבנטית לכתב האישום, קשרו הנאשמים קשר לרכוש </w:t>
      </w:r>
      <w:r>
        <w:rPr>
          <w:rFonts w:ascii="Arial" w:hAnsi="Arial" w:hint="cs"/>
          <w:spacing w:val="22"/>
          <w:rtl/>
        </w:rPr>
        <w:t xml:space="preserve">כלי </w:t>
      </w:r>
      <w:r w:rsidRPr="009F161D">
        <w:rPr>
          <w:rFonts w:ascii="Arial" w:hAnsi="Arial"/>
          <w:spacing w:val="22"/>
          <w:rtl/>
        </w:rPr>
        <w:t>נשק ממוכרים פוטנציאלים, אותם איתרו במודעות מכירה שפורסמו באינטרנט, הציגו עצמם כקונה בזהות בדויה וכבעל רישיון לכלי ירייה, הציגו מצג שווא, לפיו, בשל מגפת הקורונה ניתן להעביר בעלות באישור חתום ע"י עו"ד לאחר שיאמת את זהות הצדדים, ואמרו בכזב כי יש להם מכר בשם יוסי גמזו</w:t>
      </w:r>
      <w:r>
        <w:rPr>
          <w:rFonts w:ascii="Arial" w:hAnsi="Arial" w:hint="cs"/>
          <w:spacing w:val="22"/>
          <w:rtl/>
        </w:rPr>
        <w:t>,</w:t>
      </w:r>
      <w:r w:rsidRPr="009F161D">
        <w:rPr>
          <w:rFonts w:ascii="Arial" w:hAnsi="Arial"/>
          <w:spacing w:val="22"/>
          <w:rtl/>
        </w:rPr>
        <w:t xml:space="preserve"> שהוא עו"ד </w:t>
      </w:r>
      <w:r>
        <w:rPr>
          <w:rFonts w:ascii="Arial" w:hAnsi="Arial" w:hint="cs"/>
          <w:spacing w:val="22"/>
          <w:rtl/>
        </w:rPr>
        <w:t>ש</w:t>
      </w:r>
      <w:r w:rsidRPr="009F161D">
        <w:rPr>
          <w:rFonts w:ascii="Arial" w:hAnsi="Arial"/>
          <w:spacing w:val="22"/>
          <w:rtl/>
        </w:rPr>
        <w:t>יבצע עבורם את הנדרש בלא צורך בהתייצבות הצדדים בפניו. ככל שהעסקה התקדמה, לקחו הנאשמים את פרטי המוכרים וערכו מסמך ובו פרטי המוכר, הקונה, רישיון הנשק המזויף וחתימתו המזויפת של עורך הדין גמזו. הנאשמים ביצעו זאת תוך שהם מציגים עצמם בפני המוכרים בזהויות בדיות ומשתמשים ב"טלפונים מבצעיים" שאינם מאפשרים את איתור הנאשמים. הנאשמים פעלו בשיטת מרמה זו בחודשים ינואר 2021 ועד אוגוסט 2021, כשנעצרו</w:t>
      </w:r>
      <w:r>
        <w:rPr>
          <w:rFonts w:ascii="Arial" w:hAnsi="Arial" w:hint="cs"/>
          <w:spacing w:val="22"/>
          <w:rtl/>
        </w:rPr>
        <w:t>.</w:t>
      </w:r>
      <w:r w:rsidRPr="009F161D">
        <w:rPr>
          <w:rFonts w:ascii="Arial" w:hAnsi="Arial"/>
          <w:spacing w:val="22"/>
          <w:rtl/>
        </w:rPr>
        <w:t xml:space="preserve"> בחלק מן המקרים הצליחו להשלים את העסקה ולקבל לידם את הנשק, לשאתם למקום ולשימוש שאינו ידוע, ובחלק מן המקרים כשל ניסיונם מסיבות שאינן תלויות בנאשמים. </w:t>
      </w:r>
    </w:p>
    <w:p w14:paraId="4CFB771C" w14:textId="77777777" w:rsidR="0018013A" w:rsidRPr="009F161D" w:rsidRDefault="0018013A" w:rsidP="0018013A">
      <w:pPr>
        <w:spacing w:line="360" w:lineRule="auto"/>
        <w:jc w:val="both"/>
        <w:rPr>
          <w:rFonts w:ascii="Arial" w:hAnsi="Arial"/>
          <w:spacing w:val="22"/>
          <w:rtl/>
        </w:rPr>
      </w:pPr>
    </w:p>
    <w:p w14:paraId="6615461C" w14:textId="77777777" w:rsidR="0018013A" w:rsidRPr="009F161D" w:rsidRDefault="0018013A" w:rsidP="0018013A">
      <w:pPr>
        <w:spacing w:line="360" w:lineRule="auto"/>
        <w:jc w:val="both"/>
        <w:rPr>
          <w:rFonts w:ascii="Arial" w:hAnsi="Arial"/>
          <w:spacing w:val="22"/>
          <w:rtl/>
        </w:rPr>
      </w:pPr>
      <w:r w:rsidRPr="009F161D">
        <w:rPr>
          <w:rFonts w:ascii="Arial" w:hAnsi="Arial"/>
          <w:spacing w:val="22"/>
          <w:rtl/>
        </w:rPr>
        <w:t>4.</w:t>
      </w:r>
      <w:r w:rsidRPr="009F161D">
        <w:rPr>
          <w:rFonts w:ascii="Arial" w:hAnsi="Arial"/>
          <w:spacing w:val="22"/>
          <w:rtl/>
        </w:rPr>
        <w:tab/>
        <w:t xml:space="preserve">לפי עובדות </w:t>
      </w:r>
      <w:r w:rsidRPr="009F161D">
        <w:rPr>
          <w:rFonts w:ascii="Arial" w:hAnsi="Arial"/>
          <w:b/>
          <w:bCs/>
          <w:spacing w:val="22"/>
          <w:rtl/>
        </w:rPr>
        <w:t>האישום השני,</w:t>
      </w:r>
      <w:r w:rsidRPr="009F161D">
        <w:rPr>
          <w:rFonts w:ascii="Arial" w:hAnsi="Arial"/>
          <w:spacing w:val="22"/>
          <w:rtl/>
        </w:rPr>
        <w:t xml:space="preserve"> ביום 11.3.21 הגיעו שלושת הנאשמים לרמת גן</w:t>
      </w:r>
      <w:r>
        <w:rPr>
          <w:rFonts w:ascii="Arial" w:hAnsi="Arial" w:hint="cs"/>
          <w:spacing w:val="22"/>
          <w:rtl/>
        </w:rPr>
        <w:t>,</w:t>
      </w:r>
      <w:r w:rsidRPr="009F161D">
        <w:rPr>
          <w:rFonts w:ascii="Arial" w:hAnsi="Arial"/>
          <w:spacing w:val="22"/>
          <w:rtl/>
        </w:rPr>
        <w:t xml:space="preserve"> לביתו של אדם שבבעלותו אקדח מסוג סמית אנד ווטסון 0.38 מ"מ</w:t>
      </w:r>
      <w:r>
        <w:rPr>
          <w:rFonts w:ascii="Arial" w:hAnsi="Arial" w:hint="cs"/>
          <w:spacing w:val="22"/>
          <w:rtl/>
        </w:rPr>
        <w:t>,</w:t>
      </w:r>
      <w:r w:rsidRPr="009F161D">
        <w:rPr>
          <w:rFonts w:ascii="Arial" w:hAnsi="Arial"/>
          <w:spacing w:val="22"/>
          <w:rtl/>
        </w:rPr>
        <w:t xml:space="preserve"> שפורסם למכירה, לאחר שנאשם 1 התקשר אליו תוך שימוש במצג שווא, הזדהה בכזב כ"אהרן לוי" ותיאם עמו. נאשם 2 נכנס לבית, הציג עצמו בכזב כאותו "אהרן לוי, האדם שנאשם 1 הזדהה בכזב בשיחת הטלפון שקדמה לפגישה, והביא עמו את המסמך המזויף. נאשם 2 ניסה לשכנע את המוכר שסירב להעברת הנשק בכך שמדובר בהעברה חוקית ולשם כך ביצע שיחה פיקטיבית עם עורך הדין "יוסי גמזו", כשלמעשה התקשר לנאשם 1. חרף מצג השווא והצגת המסמך המזויף, סירב המוכר למכור את האקדח. בגין מעשים אלה, הורשעו נאשמים 1 ו - 2 בניסיון רכישת נשק, ניסיון קבלת דבר במרמה בנסיבות מחמירות ובשימוש במסמך מזויף בנסיבות מחמירות. </w:t>
      </w:r>
    </w:p>
    <w:p w14:paraId="592F9150" w14:textId="77777777" w:rsidR="0018013A" w:rsidRPr="009F161D" w:rsidRDefault="0018013A" w:rsidP="0018013A">
      <w:pPr>
        <w:spacing w:line="360" w:lineRule="auto"/>
        <w:jc w:val="both"/>
        <w:rPr>
          <w:rFonts w:ascii="Arial" w:hAnsi="Arial"/>
          <w:spacing w:val="22"/>
          <w:rtl/>
        </w:rPr>
      </w:pPr>
    </w:p>
    <w:p w14:paraId="10E68E8B" w14:textId="77777777" w:rsidR="0018013A" w:rsidRPr="009F161D" w:rsidRDefault="0018013A" w:rsidP="0018013A">
      <w:pPr>
        <w:spacing w:line="360" w:lineRule="auto"/>
        <w:jc w:val="both"/>
        <w:rPr>
          <w:rFonts w:ascii="Arial" w:hAnsi="Arial"/>
          <w:spacing w:val="22"/>
          <w:rtl/>
        </w:rPr>
      </w:pPr>
      <w:r w:rsidRPr="009F161D">
        <w:rPr>
          <w:rFonts w:ascii="Arial" w:hAnsi="Arial"/>
          <w:spacing w:val="22"/>
          <w:rtl/>
        </w:rPr>
        <w:t>5.</w:t>
      </w:r>
      <w:r w:rsidRPr="009F161D">
        <w:rPr>
          <w:rFonts w:ascii="Arial" w:hAnsi="Arial"/>
          <w:spacing w:val="22"/>
          <w:rtl/>
        </w:rPr>
        <w:tab/>
        <w:t xml:space="preserve">לפי עובדות </w:t>
      </w:r>
      <w:r w:rsidRPr="009F161D">
        <w:rPr>
          <w:rFonts w:ascii="Arial" w:hAnsi="Arial"/>
          <w:b/>
          <w:bCs/>
          <w:spacing w:val="22"/>
          <w:rtl/>
        </w:rPr>
        <w:t>האישום החמישי</w:t>
      </w:r>
      <w:r w:rsidRPr="009F161D">
        <w:rPr>
          <w:rFonts w:ascii="Arial" w:hAnsi="Arial"/>
          <w:spacing w:val="22"/>
          <w:rtl/>
        </w:rPr>
        <w:t>, ביום 7.6.21, לאחר תיאום טלפוני של מי מהנאשמים עם מוכר אקדח מסוג גלוק 9 מ"מ, נסעו הנאשמים ברכב שהיה בשימושו של נאשם 3 לביתו של המוכר בנתיב העשרה. בדרכם, התגלתה תקלה ברכב שמנעה את המשך הנסיעה בו. נאשם 2 המשיך במונית, הגיע לבית המוכר ובאמצעות מצ</w:t>
      </w:r>
      <w:r>
        <w:rPr>
          <w:rFonts w:ascii="Arial" w:hAnsi="Arial" w:hint="cs"/>
          <w:spacing w:val="22"/>
          <w:rtl/>
        </w:rPr>
        <w:t>ג</w:t>
      </w:r>
      <w:r w:rsidRPr="009F161D">
        <w:rPr>
          <w:rFonts w:ascii="Arial" w:hAnsi="Arial"/>
          <w:spacing w:val="22"/>
          <w:rtl/>
        </w:rPr>
        <w:t xml:space="preserve"> השווא, המתואר בחלק הכללי, ניסה לשכנע את המוכר למכור לו את האקדח, ובין היתר, נתן למוכר לשוחח טלפונית עם הנחזה לעורך דינו. למרות זאת, המוכר הבהיר כי לא יעביר את האקדח ללא אישור המשרד לביטחון פנים. נאשם 2 חזר לשני הנאשמים האחרים שהמתינו לו ליד הרכב התקול. בגין מעשים אלה, הורשעו נאשמים 1 ו – 2 בניסיון רכישת נשק וניסיון לקבלת דבר במרמה בנסיבות מחמירות. </w:t>
      </w:r>
    </w:p>
    <w:p w14:paraId="77F73439" w14:textId="77777777" w:rsidR="0018013A" w:rsidRPr="009F161D" w:rsidRDefault="0018013A" w:rsidP="0018013A">
      <w:pPr>
        <w:spacing w:line="360" w:lineRule="auto"/>
        <w:jc w:val="both"/>
        <w:rPr>
          <w:rFonts w:ascii="Arial" w:hAnsi="Arial"/>
          <w:spacing w:val="22"/>
          <w:rtl/>
        </w:rPr>
      </w:pPr>
    </w:p>
    <w:p w14:paraId="619B64B8" w14:textId="77777777" w:rsidR="0018013A" w:rsidRPr="009F161D" w:rsidRDefault="0018013A" w:rsidP="0018013A">
      <w:pPr>
        <w:spacing w:line="360" w:lineRule="auto"/>
        <w:jc w:val="both"/>
        <w:rPr>
          <w:rFonts w:ascii="Arial" w:hAnsi="Arial"/>
          <w:spacing w:val="22"/>
          <w:rtl/>
        </w:rPr>
      </w:pPr>
      <w:r w:rsidRPr="009F161D">
        <w:rPr>
          <w:rFonts w:ascii="Arial" w:hAnsi="Arial"/>
          <w:spacing w:val="22"/>
          <w:rtl/>
        </w:rPr>
        <w:t>6.</w:t>
      </w:r>
      <w:r w:rsidRPr="009F161D">
        <w:rPr>
          <w:rFonts w:ascii="Arial" w:hAnsi="Arial"/>
          <w:spacing w:val="22"/>
          <w:rtl/>
        </w:rPr>
        <w:tab/>
        <w:t xml:space="preserve">לפי עובדות </w:t>
      </w:r>
      <w:r w:rsidRPr="009F161D">
        <w:rPr>
          <w:rFonts w:ascii="Arial" w:hAnsi="Arial"/>
          <w:b/>
          <w:bCs/>
          <w:spacing w:val="22"/>
          <w:rtl/>
        </w:rPr>
        <w:t>האישום השישי</w:t>
      </w:r>
      <w:r w:rsidRPr="009F161D">
        <w:rPr>
          <w:rFonts w:ascii="Arial" w:hAnsi="Arial"/>
          <w:spacing w:val="22"/>
          <w:rtl/>
        </w:rPr>
        <w:t>, ביום 10.6.21 התקשר נאשם 1 אל אדם שביקש למכור אקדח גלוק 9 מ"מ, הציג עצמו בכזב בשם אהרן והתעניין ברכישת האקדח. השניים שוחחו פעם נוספת</w:t>
      </w:r>
      <w:r>
        <w:rPr>
          <w:rFonts w:ascii="Arial" w:hAnsi="Arial" w:hint="cs"/>
          <w:spacing w:val="22"/>
          <w:rtl/>
        </w:rPr>
        <w:t>,</w:t>
      </w:r>
      <w:r w:rsidRPr="009F161D">
        <w:rPr>
          <w:rFonts w:ascii="Arial" w:hAnsi="Arial"/>
          <w:spacing w:val="22"/>
          <w:rtl/>
        </w:rPr>
        <w:t xml:space="preserve"> בהמשך אותו היום קישר נאשם 1 בין המוכר לבין מי שנחזה כעו"ד יוסי גמזו שהסביר לו על אפשרות העברת בעלות מידית בנשק בתקופת הקורונה. בעקבות מצג השווא קבעו נאשם 1 והמוכר להיפגש, אך בהמשך התחרט המוכר. בגין מעשים אלה הורשע נאשם 1 בניסיון רכישת נשק ובניסיון לקבלת דבר במרמה בנסיבות מחמירות.</w:t>
      </w:r>
    </w:p>
    <w:p w14:paraId="2173C3FB" w14:textId="77777777" w:rsidR="0018013A" w:rsidRPr="009F161D" w:rsidRDefault="0018013A" w:rsidP="0018013A">
      <w:pPr>
        <w:spacing w:line="360" w:lineRule="auto"/>
        <w:jc w:val="both"/>
        <w:rPr>
          <w:rFonts w:ascii="Arial" w:hAnsi="Arial"/>
          <w:spacing w:val="22"/>
          <w:rtl/>
        </w:rPr>
      </w:pPr>
    </w:p>
    <w:p w14:paraId="7132458E" w14:textId="77777777" w:rsidR="0018013A" w:rsidRPr="009F161D" w:rsidRDefault="0018013A" w:rsidP="0018013A">
      <w:pPr>
        <w:spacing w:line="360" w:lineRule="auto"/>
        <w:jc w:val="both"/>
        <w:rPr>
          <w:rFonts w:ascii="Arial" w:hAnsi="Arial"/>
          <w:strike/>
          <w:spacing w:val="22"/>
          <w:rtl/>
        </w:rPr>
      </w:pPr>
      <w:r w:rsidRPr="009F161D">
        <w:rPr>
          <w:rFonts w:ascii="Arial" w:hAnsi="Arial"/>
          <w:spacing w:val="22"/>
          <w:rtl/>
        </w:rPr>
        <w:t>7.</w:t>
      </w:r>
      <w:r w:rsidRPr="009F161D">
        <w:rPr>
          <w:rFonts w:ascii="Arial" w:hAnsi="Arial"/>
          <w:spacing w:val="22"/>
          <w:rtl/>
        </w:rPr>
        <w:tab/>
        <w:t xml:space="preserve">לפי עובדות </w:t>
      </w:r>
      <w:r w:rsidRPr="009F161D">
        <w:rPr>
          <w:rFonts w:ascii="Arial" w:hAnsi="Arial"/>
          <w:b/>
          <w:bCs/>
          <w:spacing w:val="22"/>
          <w:rtl/>
        </w:rPr>
        <w:t>האישום השביעי</w:t>
      </w:r>
      <w:r w:rsidRPr="009F161D">
        <w:rPr>
          <w:rFonts w:ascii="Arial" w:hAnsi="Arial"/>
          <w:spacing w:val="22"/>
          <w:rtl/>
        </w:rPr>
        <w:t xml:space="preserve">, נאשם 2 התקשר לאדם שביקש למכור אקדח מסוג שטייר 9 מ"מ, התעניין ברכישתו תוך הצגת מצג השווא כמפורט בחלק הכללי, ובין היתר, הציג עצמו בכזב כ"אהרן לוי" ואף העביר את השיחה למי שנחזה להיות עוה"ד גמזו שהסביר לו על אפשרות העברת בעלות מידית בנשק בתקופת הקורונה. ביום 23.6.21 הגיעו נאשמים 2 ו – 3 לירושלים, נאשם 2 נכנס לביתו של המוכר, הציג לו את המסמך המזויף, ועל יסוד זה הסכים טייב לחתום על המסמך, מכר את האקדח לנאשם 2 תמורת 1,300 ₪ ומסר לו אותו במקום. נאשם 3 קיבל את האקדח לידיו ולקח אותו למקום ולשימוש שאינם ידועים. בגין מעשים אלה, הורשע נאשם 2 בניסיון רכישת נשק, ניסיון קבלת דבר במרמה בנסיבות מחמירות ובשימוש במסך מזויף בנסיבות מחמירות. </w:t>
      </w:r>
    </w:p>
    <w:p w14:paraId="30A33C77" w14:textId="77777777" w:rsidR="0018013A" w:rsidRPr="009F161D" w:rsidRDefault="0018013A" w:rsidP="0018013A">
      <w:pPr>
        <w:spacing w:line="360" w:lineRule="auto"/>
        <w:jc w:val="both"/>
        <w:rPr>
          <w:rFonts w:ascii="Arial" w:hAnsi="Arial"/>
          <w:strike/>
          <w:spacing w:val="22"/>
          <w:rtl/>
        </w:rPr>
      </w:pPr>
    </w:p>
    <w:p w14:paraId="01538005" w14:textId="77777777" w:rsidR="0018013A" w:rsidRPr="009F161D" w:rsidRDefault="0018013A" w:rsidP="0018013A">
      <w:pPr>
        <w:spacing w:line="360" w:lineRule="auto"/>
        <w:jc w:val="both"/>
        <w:rPr>
          <w:rFonts w:ascii="Arial" w:hAnsi="Arial"/>
          <w:spacing w:val="22"/>
          <w:rtl/>
        </w:rPr>
      </w:pPr>
      <w:r w:rsidRPr="009F161D">
        <w:rPr>
          <w:rFonts w:ascii="Arial" w:hAnsi="Arial"/>
          <w:spacing w:val="22"/>
          <w:rtl/>
        </w:rPr>
        <w:t>8.</w:t>
      </w:r>
      <w:r w:rsidRPr="009F161D">
        <w:rPr>
          <w:rFonts w:ascii="Arial" w:hAnsi="Arial"/>
          <w:spacing w:val="22"/>
          <w:rtl/>
        </w:rPr>
        <w:tab/>
        <w:t xml:space="preserve">לפי </w:t>
      </w:r>
      <w:r w:rsidRPr="009F161D">
        <w:rPr>
          <w:rFonts w:ascii="Arial" w:hAnsi="Arial"/>
          <w:b/>
          <w:bCs/>
          <w:spacing w:val="22"/>
          <w:rtl/>
        </w:rPr>
        <w:t>האישום השמיני,</w:t>
      </w:r>
      <w:r w:rsidRPr="009F161D">
        <w:rPr>
          <w:rFonts w:ascii="Arial" w:hAnsi="Arial"/>
          <w:spacing w:val="22"/>
          <w:rtl/>
        </w:rPr>
        <w:t xml:space="preserve"> נאשם 1 התקשר אל אדם שביקש למכור אקדח מסוג </w:t>
      </w:r>
      <w:r w:rsidRPr="009F161D">
        <w:rPr>
          <w:rFonts w:ascii="Arial" w:hAnsi="Arial"/>
          <w:spacing w:val="22"/>
          <w:sz w:val="20"/>
          <w:szCs w:val="20"/>
        </w:rPr>
        <w:t>CZ</w:t>
      </w:r>
      <w:r w:rsidRPr="009F161D">
        <w:rPr>
          <w:rFonts w:ascii="Arial" w:hAnsi="Arial"/>
          <w:spacing w:val="22"/>
          <w:rtl/>
        </w:rPr>
        <w:t>, התעניין ברכישת האקדח תוך הצגת מצג השווא כמפורט בחלק הכללי, ובין היתר, הציג עצמו בכזב כ"אהרן לוי", הסביר למוכר על אפשרות העברת בעלות מידית בנשק בתקופת הקורונה ועל כך שיש עו"ד שיוכל לסדר הכל בטרם המפגש ביניהם. המוכר ביקש לבדוק את הפרוצדורה הנדרשת למול המשרד לביטחון פנים, אך לא עשה כן מסיבה שאינה קשורה בנאשם 1 והעסקה לא יצאה אל הפועל. בגין מעשים אלה הורשע נאשם 1 בניסיון לרכישת נשק ובניסיון לקבלת דבר במרמה בנסיבות מחמירות.</w:t>
      </w:r>
    </w:p>
    <w:p w14:paraId="7B62EAAC" w14:textId="77777777" w:rsidR="0018013A" w:rsidRPr="009F161D" w:rsidRDefault="0018013A" w:rsidP="0018013A">
      <w:pPr>
        <w:spacing w:line="360" w:lineRule="auto"/>
        <w:jc w:val="both"/>
        <w:rPr>
          <w:rFonts w:ascii="Arial" w:hAnsi="Arial"/>
          <w:spacing w:val="22"/>
          <w:rtl/>
        </w:rPr>
      </w:pPr>
    </w:p>
    <w:p w14:paraId="1CD1C4CB" w14:textId="77777777" w:rsidR="0018013A" w:rsidRPr="009F161D" w:rsidRDefault="0018013A" w:rsidP="0018013A">
      <w:pPr>
        <w:spacing w:line="360" w:lineRule="auto"/>
        <w:jc w:val="both"/>
        <w:rPr>
          <w:rFonts w:ascii="Arial" w:hAnsi="Arial"/>
          <w:strike/>
          <w:spacing w:val="22"/>
          <w:rtl/>
        </w:rPr>
      </w:pPr>
      <w:r w:rsidRPr="009F161D">
        <w:rPr>
          <w:rFonts w:ascii="Arial" w:hAnsi="Arial"/>
          <w:spacing w:val="22"/>
          <w:rtl/>
        </w:rPr>
        <w:t>9.</w:t>
      </w:r>
      <w:r w:rsidRPr="009F161D">
        <w:rPr>
          <w:rFonts w:ascii="Arial" w:hAnsi="Arial"/>
          <w:spacing w:val="22"/>
          <w:rtl/>
        </w:rPr>
        <w:tab/>
        <w:t xml:space="preserve">לפי </w:t>
      </w:r>
      <w:r w:rsidRPr="009F161D">
        <w:rPr>
          <w:rFonts w:ascii="Arial" w:hAnsi="Arial"/>
          <w:b/>
          <w:bCs/>
          <w:spacing w:val="22"/>
          <w:rtl/>
        </w:rPr>
        <w:t>האישום התשיעי</w:t>
      </w:r>
      <w:r w:rsidRPr="009F161D">
        <w:rPr>
          <w:rFonts w:ascii="Arial" w:hAnsi="Arial"/>
          <w:spacing w:val="22"/>
          <w:rtl/>
        </w:rPr>
        <w:t xml:space="preserve">, אחד הנאשמים התקשר לאדם שביקש למכור אקדח מסוג גלוק והציג עצמו בכזב כ"אהרן לוי" והתעניין ברכישת האקדח. בשיחה נוספת שהתקיימה, קישר נאשם 1 בין המוכר לנאשם 2 שהתחזה לעו"ד גמזו, שהסביר בכזב למוכר על אפשרות העברת הבעלות בתקופת הקורונה. ביום 3.6.21 הגיעו שלושת הנאשמים לביתו של המוכר בקרית שמונה באמצעות רכב המצוי בשימושו של נאשם 3. נאשם 2 נכנס לבית המוכר ויתר הנאשמים המתינו ברכב. נאשם 2 העביר למוכר עותק של המסמך המזויף. על יסוד מצג השווא והמסמך המזויף, חתם המוכר על המסמך, מכר את האקדח תמורת 1,000 ₪ ומסר אותו לנאשם 2. נאשמים 1 ו - 3 לקחו את האקדח למקום ולשימוש שאינם ידועים. בגין מעשים אלה הורשעו הנאשמים, כדלקמן: נאשם 1 הורשע בסיוע לנשיאת נשק, סיוע לרכישת נשק, סיוע לשימוש במסמך מזויף בנסיבות מחמירות ובסיוע לקבלת דבר במרמה בנסיבות מחמירות. נאשם 2 הורשע ברכישת נשק, שימוש במסמך מזויף בנסיבות מחמירות ובקבלת דבר במרמה בנסיבות מחמירות. </w:t>
      </w:r>
    </w:p>
    <w:p w14:paraId="36776BF3" w14:textId="77777777" w:rsidR="0018013A" w:rsidRPr="009F161D" w:rsidRDefault="0018013A" w:rsidP="0018013A">
      <w:pPr>
        <w:spacing w:line="360" w:lineRule="auto"/>
        <w:jc w:val="both"/>
        <w:rPr>
          <w:rFonts w:ascii="Arial" w:hAnsi="Arial"/>
          <w:spacing w:val="22"/>
          <w:rtl/>
        </w:rPr>
      </w:pPr>
      <w:r w:rsidRPr="009F161D">
        <w:rPr>
          <w:rFonts w:ascii="Arial" w:hAnsi="Arial"/>
          <w:spacing w:val="22"/>
          <w:rtl/>
        </w:rPr>
        <w:t xml:space="preserve"> </w:t>
      </w:r>
    </w:p>
    <w:p w14:paraId="1E7518B4" w14:textId="77777777" w:rsidR="0018013A" w:rsidRPr="009F161D" w:rsidRDefault="0018013A" w:rsidP="0018013A">
      <w:pPr>
        <w:spacing w:line="360" w:lineRule="auto"/>
        <w:jc w:val="both"/>
        <w:rPr>
          <w:rFonts w:ascii="Arial" w:hAnsi="Arial"/>
          <w:strike/>
          <w:spacing w:val="22"/>
          <w:rtl/>
        </w:rPr>
      </w:pPr>
      <w:r w:rsidRPr="009F161D">
        <w:rPr>
          <w:rFonts w:ascii="Arial" w:hAnsi="Arial"/>
          <w:spacing w:val="22"/>
          <w:rtl/>
        </w:rPr>
        <w:t>10.</w:t>
      </w:r>
      <w:r w:rsidRPr="009F161D">
        <w:rPr>
          <w:rFonts w:ascii="Arial" w:hAnsi="Arial"/>
          <w:spacing w:val="22"/>
          <w:rtl/>
        </w:rPr>
        <w:tab/>
        <w:t xml:space="preserve">לפי </w:t>
      </w:r>
      <w:r w:rsidRPr="009F161D">
        <w:rPr>
          <w:rFonts w:ascii="Arial" w:hAnsi="Arial"/>
          <w:b/>
          <w:bCs/>
          <w:spacing w:val="22"/>
          <w:rtl/>
        </w:rPr>
        <w:t>האישום העשירי</w:t>
      </w:r>
      <w:r w:rsidRPr="009F161D">
        <w:rPr>
          <w:rFonts w:ascii="Arial" w:hAnsi="Arial"/>
          <w:spacing w:val="22"/>
          <w:rtl/>
        </w:rPr>
        <w:t xml:space="preserve">, נאשם 3 התקשר לאדם שביקש למכור אקדח מסוג </w:t>
      </w:r>
      <w:r w:rsidRPr="009F161D">
        <w:rPr>
          <w:rFonts w:ascii="Arial" w:hAnsi="Arial"/>
          <w:spacing w:val="22"/>
          <w:sz w:val="20"/>
          <w:szCs w:val="20"/>
        </w:rPr>
        <w:t>CZ</w:t>
      </w:r>
      <w:r w:rsidRPr="009F161D">
        <w:rPr>
          <w:rFonts w:ascii="Arial" w:hAnsi="Arial"/>
          <w:spacing w:val="22"/>
          <w:rtl/>
        </w:rPr>
        <w:t xml:space="preserve"> 9 מ"מ והתעניין באקדח. הוא שוחח מספר פעמים עם המוכר ובמהלך השיחות הציג בפני המוכר מצג שווא כמתואר בחלק הכללי. השניים קבעו להיפגש וביום 3.5.21 הגיעו נאשמים 1 ו – 3 לנתניה ברכב המשמש את נאשם 3 למטרת קניית האקדח והכינו מבעוד מועד את המסמך המזויף ומילאו בו את פרטיו של מוכר. בעקבות חשד שעלה, עיכבה המשטרה את נאשמים 1  ו – 3 בסמוך לבית המוכר בעודם ברכבו של נאשם 3. בגין מעשים אלה הורשע נאשם 1 בניסיון רכישת נשק ובזיוף בנסיבות מחמירות.</w:t>
      </w:r>
      <w:r w:rsidRPr="009F161D">
        <w:rPr>
          <w:rFonts w:ascii="Arial" w:hAnsi="Arial"/>
          <w:strike/>
          <w:spacing w:val="22"/>
          <w:rtl/>
        </w:rPr>
        <w:t xml:space="preserve"> </w:t>
      </w:r>
    </w:p>
    <w:p w14:paraId="0D41798D" w14:textId="77777777" w:rsidR="0018013A" w:rsidRPr="009F161D" w:rsidRDefault="0018013A" w:rsidP="0018013A">
      <w:pPr>
        <w:spacing w:line="360" w:lineRule="auto"/>
        <w:jc w:val="both"/>
        <w:rPr>
          <w:rFonts w:ascii="Arial" w:hAnsi="Arial"/>
          <w:spacing w:val="22"/>
          <w:rtl/>
        </w:rPr>
      </w:pPr>
    </w:p>
    <w:p w14:paraId="23E0C6A1" w14:textId="77777777" w:rsidR="0018013A" w:rsidRPr="009F161D" w:rsidRDefault="0018013A" w:rsidP="0018013A">
      <w:pPr>
        <w:spacing w:line="360" w:lineRule="auto"/>
        <w:jc w:val="both"/>
        <w:rPr>
          <w:rFonts w:ascii="Arial" w:hAnsi="Arial"/>
          <w:spacing w:val="22"/>
          <w:rtl/>
        </w:rPr>
      </w:pPr>
    </w:p>
    <w:p w14:paraId="0130CF01" w14:textId="77777777" w:rsidR="0018013A" w:rsidRPr="009F161D" w:rsidRDefault="0018013A" w:rsidP="0018013A">
      <w:pPr>
        <w:spacing w:line="360" w:lineRule="auto"/>
        <w:ind w:firstLine="720"/>
        <w:jc w:val="both"/>
        <w:rPr>
          <w:rFonts w:ascii="Miriam" w:hAnsi="Miriam"/>
          <w:b/>
          <w:bCs/>
          <w:spacing w:val="22"/>
          <w:rtl/>
        </w:rPr>
      </w:pPr>
      <w:r w:rsidRPr="009F161D">
        <w:rPr>
          <w:rFonts w:ascii="Miriam" w:hAnsi="Miriam" w:hint="eastAsia"/>
          <w:b/>
          <w:bCs/>
          <w:spacing w:val="22"/>
          <w:rtl/>
        </w:rPr>
        <w:t>טענות</w:t>
      </w:r>
      <w:r w:rsidRPr="009F161D">
        <w:rPr>
          <w:rFonts w:ascii="Miriam" w:hAnsi="Miriam"/>
          <w:b/>
          <w:bCs/>
          <w:spacing w:val="22"/>
          <w:rtl/>
        </w:rPr>
        <w:t xml:space="preserve"> </w:t>
      </w:r>
      <w:r w:rsidRPr="009F161D">
        <w:rPr>
          <w:rFonts w:ascii="Miriam" w:hAnsi="Miriam" w:hint="eastAsia"/>
          <w:b/>
          <w:bCs/>
          <w:spacing w:val="22"/>
          <w:rtl/>
        </w:rPr>
        <w:t>הצדדים</w:t>
      </w:r>
      <w:r w:rsidRPr="009F161D">
        <w:rPr>
          <w:rFonts w:ascii="Miriam" w:hAnsi="Miriam"/>
          <w:b/>
          <w:bCs/>
          <w:spacing w:val="22"/>
          <w:rtl/>
        </w:rPr>
        <w:t xml:space="preserve"> </w:t>
      </w:r>
      <w:r w:rsidRPr="009F161D">
        <w:rPr>
          <w:rFonts w:ascii="Miriam" w:hAnsi="Miriam" w:hint="eastAsia"/>
          <w:b/>
          <w:bCs/>
          <w:spacing w:val="22"/>
          <w:rtl/>
        </w:rPr>
        <w:t>לעונש</w:t>
      </w:r>
      <w:r w:rsidRPr="009F161D">
        <w:rPr>
          <w:rFonts w:ascii="Miriam" w:hAnsi="Miriam"/>
          <w:b/>
          <w:bCs/>
          <w:spacing w:val="22"/>
          <w:rtl/>
        </w:rPr>
        <w:tab/>
      </w:r>
    </w:p>
    <w:p w14:paraId="48821BE6" w14:textId="77777777" w:rsidR="0018013A" w:rsidRPr="009F161D" w:rsidRDefault="0018013A" w:rsidP="0018013A">
      <w:pPr>
        <w:spacing w:line="360" w:lineRule="auto"/>
        <w:jc w:val="both"/>
        <w:rPr>
          <w:rFonts w:ascii="Miriam" w:hAnsi="Miriam"/>
          <w:b/>
          <w:bCs/>
          <w:spacing w:val="22"/>
          <w:rtl/>
        </w:rPr>
      </w:pPr>
    </w:p>
    <w:p w14:paraId="42752BC9" w14:textId="77777777" w:rsidR="0018013A" w:rsidRPr="009F161D" w:rsidRDefault="0018013A" w:rsidP="0018013A">
      <w:pPr>
        <w:spacing w:line="360" w:lineRule="auto"/>
        <w:ind w:firstLine="720"/>
        <w:jc w:val="both"/>
        <w:rPr>
          <w:rFonts w:ascii="Miriam" w:hAnsi="Miriam"/>
          <w:b/>
          <w:bCs/>
          <w:spacing w:val="22"/>
          <w:rtl/>
        </w:rPr>
      </w:pPr>
      <w:r w:rsidRPr="009F161D">
        <w:rPr>
          <w:rFonts w:ascii="Miriam" w:hAnsi="Miriam" w:hint="eastAsia"/>
          <w:b/>
          <w:bCs/>
          <w:spacing w:val="22"/>
          <w:rtl/>
        </w:rPr>
        <w:t>טענות</w:t>
      </w:r>
      <w:r w:rsidRPr="009F161D">
        <w:rPr>
          <w:rFonts w:ascii="Miriam" w:hAnsi="Miriam"/>
          <w:b/>
          <w:bCs/>
          <w:spacing w:val="22"/>
          <w:rtl/>
        </w:rPr>
        <w:t xml:space="preserve"> </w:t>
      </w:r>
      <w:r w:rsidRPr="009F161D">
        <w:rPr>
          <w:rFonts w:ascii="Miriam" w:hAnsi="Miriam" w:hint="eastAsia"/>
          <w:b/>
          <w:bCs/>
          <w:spacing w:val="22"/>
          <w:rtl/>
        </w:rPr>
        <w:t>המאשימה</w:t>
      </w:r>
      <w:r w:rsidRPr="009F161D">
        <w:rPr>
          <w:rFonts w:ascii="Miriam" w:hAnsi="Miriam"/>
          <w:b/>
          <w:bCs/>
          <w:spacing w:val="22"/>
          <w:rtl/>
        </w:rPr>
        <w:t xml:space="preserve">   </w:t>
      </w:r>
    </w:p>
    <w:p w14:paraId="241D8C2C" w14:textId="77777777" w:rsidR="0018013A" w:rsidRDefault="0018013A" w:rsidP="0018013A">
      <w:pPr>
        <w:spacing w:after="120" w:line="360" w:lineRule="auto"/>
        <w:jc w:val="both"/>
        <w:rPr>
          <w:rFonts w:ascii="David" w:hAnsi="David"/>
          <w:spacing w:val="22"/>
          <w:rtl/>
        </w:rPr>
      </w:pPr>
      <w:r w:rsidRPr="009F161D">
        <w:rPr>
          <w:rFonts w:ascii="Arial" w:hAnsi="Arial"/>
          <w:spacing w:val="22"/>
          <w:rtl/>
        </w:rPr>
        <w:t>11.</w:t>
      </w:r>
      <w:r w:rsidRPr="009F161D">
        <w:rPr>
          <w:rFonts w:ascii="Arial" w:hAnsi="Arial"/>
          <w:spacing w:val="22"/>
          <w:rtl/>
        </w:rPr>
        <w:tab/>
        <w:t xml:space="preserve"> הנאשמים הודו בשני כתבי אישום מתוקנים הכוללים ריבוי עבירות נשק, עבירות של מרמה</w:t>
      </w:r>
      <w:r w:rsidRPr="009F161D">
        <w:rPr>
          <w:rFonts w:ascii="David" w:hAnsi="David"/>
          <w:spacing w:val="22"/>
          <w:rtl/>
        </w:rPr>
        <w:t xml:space="preserve"> וזיוף. המאשימה </w:t>
      </w:r>
      <w:r>
        <w:rPr>
          <w:rFonts w:ascii="David" w:hAnsi="David" w:hint="cs"/>
          <w:spacing w:val="22"/>
          <w:rtl/>
        </w:rPr>
        <w:t>הפנתה</w:t>
      </w:r>
      <w:r w:rsidRPr="009F161D">
        <w:rPr>
          <w:rFonts w:ascii="David" w:hAnsi="David"/>
          <w:spacing w:val="22"/>
          <w:rtl/>
        </w:rPr>
        <w:t xml:space="preserve"> לחלק הכללי של כתבי האישום ולקשר שקשרו הנאשמים לפעול במרמה ובעורמה, תוך זיוף מסמכים ועל מנת להביא להצלחת המזימה - העברת כלי נשק לידיהם שלא כדין. הערכים המוגנים מוכרים וידועים. עבירות נשק טומנות בחובן פוטנציאל סיכון הרסני לפגיעה בשלום הציבור ובביטחונו</w:t>
      </w:r>
      <w:r>
        <w:rPr>
          <w:rFonts w:ascii="David" w:hAnsi="David" w:hint="cs"/>
          <w:spacing w:val="22"/>
          <w:rtl/>
        </w:rPr>
        <w:t xml:space="preserve">, </w:t>
      </w:r>
      <w:r w:rsidRPr="009F161D">
        <w:rPr>
          <w:rFonts w:ascii="David" w:hAnsi="David"/>
          <w:spacing w:val="22"/>
          <w:rtl/>
        </w:rPr>
        <w:t xml:space="preserve">בעיקר כאשר כלי נשק עוברים ידיים שלא כדין. אין כל פיקוח על כך ואין כל אפשרות לדעת מהו עתידם ולאן הם יתגלגלו. </w:t>
      </w:r>
      <w:r>
        <w:rPr>
          <w:rFonts w:ascii="David" w:hAnsi="David" w:hint="cs"/>
          <w:spacing w:val="22"/>
          <w:rtl/>
        </w:rPr>
        <w:t>"</w:t>
      </w:r>
      <w:r w:rsidRPr="009F161D">
        <w:rPr>
          <w:rFonts w:ascii="David" w:hAnsi="David"/>
          <w:spacing w:val="22"/>
          <w:rtl/>
        </w:rPr>
        <w:t>התגלגלות</w:t>
      </w:r>
      <w:r>
        <w:rPr>
          <w:rFonts w:ascii="David" w:hAnsi="David" w:hint="cs"/>
          <w:spacing w:val="22"/>
          <w:rtl/>
        </w:rPr>
        <w:t>"</w:t>
      </w:r>
      <w:r w:rsidRPr="009F161D">
        <w:rPr>
          <w:rFonts w:ascii="David" w:hAnsi="David"/>
          <w:spacing w:val="22"/>
          <w:rtl/>
        </w:rPr>
        <w:t xml:space="preserve"> כלי נשק יוצרת סיכון שמא יום אחד ייעשה בנשק שימוש לפגיעה בבני אדם, לשימוש בעבירות פליליות או בעבירות טרור. כמו כן, בחלק מהאירועים הנשקים לא נמצאו. </w:t>
      </w:r>
      <w:r>
        <w:rPr>
          <w:rFonts w:ascii="David" w:hAnsi="David" w:hint="cs"/>
          <w:spacing w:val="22"/>
          <w:rtl/>
        </w:rPr>
        <w:t xml:space="preserve">נטען כי </w:t>
      </w:r>
      <w:r w:rsidRPr="009F161D">
        <w:rPr>
          <w:rFonts w:ascii="David" w:hAnsi="David"/>
          <w:spacing w:val="22"/>
          <w:rtl/>
        </w:rPr>
        <w:t xml:space="preserve">בתקופה האחרונה </w:t>
      </w:r>
      <w:r>
        <w:rPr>
          <w:rFonts w:ascii="David" w:hAnsi="David" w:hint="cs"/>
          <w:spacing w:val="22"/>
          <w:rtl/>
        </w:rPr>
        <w:t>אנו</w:t>
      </w:r>
      <w:r w:rsidRPr="009F161D">
        <w:rPr>
          <w:rFonts w:ascii="David" w:hAnsi="David"/>
          <w:spacing w:val="22"/>
          <w:rtl/>
        </w:rPr>
        <w:t xml:space="preserve"> עדים לתוצאות הרות אסון כתוצאה משימוש בנשק לא חוקי. הנאשמים</w:t>
      </w:r>
      <w:r>
        <w:rPr>
          <w:rFonts w:ascii="David" w:hAnsi="David" w:hint="cs"/>
          <w:spacing w:val="22"/>
          <w:rtl/>
        </w:rPr>
        <w:t>,</w:t>
      </w:r>
      <w:r w:rsidRPr="009F161D">
        <w:rPr>
          <w:rFonts w:ascii="David" w:hAnsi="David"/>
          <w:spacing w:val="22"/>
          <w:rtl/>
        </w:rPr>
        <w:t xml:space="preserve"> במעשיהם</w:t>
      </w:r>
      <w:r>
        <w:rPr>
          <w:rFonts w:ascii="David" w:hAnsi="David" w:hint="cs"/>
          <w:spacing w:val="22"/>
          <w:rtl/>
        </w:rPr>
        <w:t>,</w:t>
      </w:r>
      <w:r w:rsidRPr="009F161D">
        <w:rPr>
          <w:rFonts w:ascii="David" w:hAnsi="David"/>
          <w:spacing w:val="22"/>
          <w:rtl/>
        </w:rPr>
        <w:t xml:space="preserve"> ביטלו את האפשרות לפקח על העברת נשק כדין</w:t>
      </w:r>
      <w:r>
        <w:rPr>
          <w:rFonts w:ascii="David" w:hAnsi="David" w:hint="cs"/>
          <w:spacing w:val="22"/>
          <w:rtl/>
        </w:rPr>
        <w:t>,</w:t>
      </w:r>
      <w:r w:rsidRPr="009F161D">
        <w:rPr>
          <w:rFonts w:ascii="David" w:hAnsi="David"/>
          <w:spacing w:val="22"/>
          <w:rtl/>
        </w:rPr>
        <w:t xml:space="preserve"> עשו שימוש באותו מסמך מזויף במרמה והיתלו במוכרי הנשק.</w:t>
      </w:r>
    </w:p>
    <w:p w14:paraId="1C9738C5" w14:textId="77777777" w:rsidR="0018013A" w:rsidRPr="009F161D" w:rsidRDefault="0018013A" w:rsidP="0018013A">
      <w:pPr>
        <w:spacing w:after="120" w:line="360" w:lineRule="auto"/>
        <w:jc w:val="both"/>
        <w:rPr>
          <w:rFonts w:ascii="David" w:hAnsi="David"/>
          <w:spacing w:val="22"/>
          <w:rtl/>
        </w:rPr>
      </w:pPr>
    </w:p>
    <w:p w14:paraId="7069ADAA" w14:textId="77777777" w:rsidR="0018013A" w:rsidRPr="009F161D" w:rsidRDefault="0018013A" w:rsidP="0018013A">
      <w:pPr>
        <w:spacing w:after="120" w:line="360" w:lineRule="auto"/>
        <w:jc w:val="both"/>
        <w:rPr>
          <w:rFonts w:ascii="David" w:hAnsi="David"/>
          <w:spacing w:val="22"/>
          <w:sz w:val="20"/>
          <w:szCs w:val="20"/>
          <w:highlight w:val="yellow"/>
          <w:rtl/>
        </w:rPr>
      </w:pPr>
      <w:r w:rsidRPr="009F161D">
        <w:rPr>
          <w:rFonts w:ascii="David" w:hAnsi="David"/>
          <w:spacing w:val="22"/>
          <w:rtl/>
        </w:rPr>
        <w:t>12.</w:t>
      </w:r>
      <w:r w:rsidRPr="009F161D">
        <w:rPr>
          <w:rFonts w:ascii="David" w:hAnsi="David"/>
          <w:spacing w:val="22"/>
          <w:rtl/>
        </w:rPr>
        <w:tab/>
      </w:r>
      <w:r>
        <w:rPr>
          <w:rFonts w:ascii="David" w:hAnsi="David" w:hint="cs"/>
          <w:spacing w:val="22"/>
          <w:rtl/>
        </w:rPr>
        <w:t xml:space="preserve">נטען עוד כי </w:t>
      </w:r>
      <w:r w:rsidRPr="009F161D">
        <w:rPr>
          <w:rFonts w:ascii="David" w:hAnsi="David"/>
          <w:spacing w:val="22"/>
          <w:rtl/>
        </w:rPr>
        <w:t>הפסיקה קובעת כי יש צורך בהרתעה ובענישה מחמירה בעבירות נשק. במקרה דנן, יש להחמיר את הענישה</w:t>
      </w:r>
      <w:r>
        <w:rPr>
          <w:rFonts w:ascii="David" w:hAnsi="David" w:hint="cs"/>
          <w:spacing w:val="22"/>
          <w:rtl/>
        </w:rPr>
        <w:t>,</w:t>
      </w:r>
      <w:r w:rsidRPr="009F161D">
        <w:rPr>
          <w:rFonts w:ascii="David" w:hAnsi="David"/>
          <w:spacing w:val="22"/>
          <w:rtl/>
        </w:rPr>
        <w:t xml:space="preserve"> משום שלצד עבירות הנשק </w:t>
      </w:r>
      <w:r>
        <w:rPr>
          <w:rFonts w:ascii="David" w:hAnsi="David" w:hint="cs"/>
          <w:spacing w:val="22"/>
          <w:rtl/>
        </w:rPr>
        <w:t>בוצעו</w:t>
      </w:r>
      <w:r w:rsidRPr="009F161D">
        <w:rPr>
          <w:rFonts w:ascii="David" w:hAnsi="David"/>
          <w:spacing w:val="22"/>
          <w:rtl/>
        </w:rPr>
        <w:t xml:space="preserve"> עבירות מרמה. לעמדת המאשימה, כל אחד מן האישומים דורש ענישה של מאסר ארוך וביחד עסקינן בשנות מאסר</w:t>
      </w:r>
      <w:r>
        <w:rPr>
          <w:rFonts w:ascii="David" w:hAnsi="David" w:hint="cs"/>
          <w:spacing w:val="22"/>
          <w:rtl/>
        </w:rPr>
        <w:t xml:space="preserve">, ובאה הפניה להחלטות שנטען כי יש בהן לתמוך בטיעוני המאשימה. </w:t>
      </w:r>
    </w:p>
    <w:p w14:paraId="21383345" w14:textId="77777777" w:rsidR="0018013A" w:rsidRPr="009F161D" w:rsidRDefault="0018013A" w:rsidP="0018013A">
      <w:pPr>
        <w:tabs>
          <w:tab w:val="left" w:pos="1985"/>
        </w:tabs>
        <w:spacing w:line="360" w:lineRule="auto"/>
        <w:jc w:val="both"/>
        <w:rPr>
          <w:rFonts w:ascii="David" w:hAnsi="David"/>
          <w:spacing w:val="22"/>
          <w:rtl/>
        </w:rPr>
      </w:pPr>
    </w:p>
    <w:p w14:paraId="04138FBF" w14:textId="77777777" w:rsidR="0018013A" w:rsidRDefault="0018013A" w:rsidP="0018013A">
      <w:pPr>
        <w:spacing w:after="120" w:line="360" w:lineRule="auto"/>
        <w:jc w:val="both"/>
        <w:rPr>
          <w:rFonts w:ascii="David" w:hAnsi="David"/>
          <w:spacing w:val="22"/>
          <w:rtl/>
        </w:rPr>
      </w:pPr>
      <w:r w:rsidRPr="009F161D">
        <w:rPr>
          <w:rFonts w:ascii="David" w:hAnsi="David"/>
          <w:spacing w:val="22"/>
          <w:rtl/>
        </w:rPr>
        <w:t>13.</w:t>
      </w:r>
      <w:r w:rsidRPr="009F161D">
        <w:rPr>
          <w:rFonts w:ascii="David" w:hAnsi="David"/>
          <w:spacing w:val="22"/>
          <w:rtl/>
        </w:rPr>
        <w:tab/>
        <w:t xml:space="preserve">ביחס </w:t>
      </w:r>
      <w:r w:rsidRPr="00ED1589">
        <w:rPr>
          <w:rFonts w:ascii="David" w:hAnsi="David"/>
          <w:b/>
          <w:bCs/>
          <w:spacing w:val="22"/>
          <w:rtl/>
        </w:rPr>
        <w:t xml:space="preserve">לנאשם </w:t>
      </w:r>
      <w:r w:rsidRPr="009F161D">
        <w:rPr>
          <w:rFonts w:ascii="David" w:hAnsi="David"/>
          <w:spacing w:val="22"/>
          <w:rtl/>
        </w:rPr>
        <w:t>1, עותרת המאשימה לעונש הולם שבין 40 ל - 70 חודשי מאסר לצד עונשים נלווים. הנאשם</w:t>
      </w:r>
      <w:r>
        <w:rPr>
          <w:rFonts w:ascii="David" w:hAnsi="David" w:hint="cs"/>
          <w:spacing w:val="22"/>
          <w:rtl/>
        </w:rPr>
        <w:t xml:space="preserve"> אמנם</w:t>
      </w:r>
      <w:r w:rsidRPr="009F161D">
        <w:rPr>
          <w:rFonts w:ascii="David" w:hAnsi="David"/>
          <w:spacing w:val="22"/>
          <w:rtl/>
        </w:rPr>
        <w:t xml:space="preserve"> הודה בכתב אישום מתוקן וחסך זמן שיפוטי. המאשימה טוענת כי משקלה של חוות הדעת הקרימינולוגית שהוגשה הנה נמוך עד אפסי. כמו כן, לא הוצגו כל מסמכים רפואיים ביחס למצבו הנפשי של הנאשם. בנוסף, לנאשם 1 עבר פלילי מגוון בעבירות רכוש ואלימות והוא ריצה מאסרים קודמים. לפיכך, מבקשת המאשימה למקמו בשלישו התחתון של המתחם, אך לא בתחתיתו ולהטיל על הנאשם 45 חודשי מאסר בפועל, לצד מאסר על תנאי מרתיע, קנס ופיצוי.</w:t>
      </w:r>
    </w:p>
    <w:p w14:paraId="7D7E5645" w14:textId="77777777" w:rsidR="0018013A" w:rsidRPr="009F161D" w:rsidRDefault="0018013A" w:rsidP="0018013A">
      <w:pPr>
        <w:spacing w:after="120" w:line="360" w:lineRule="auto"/>
        <w:jc w:val="both"/>
        <w:rPr>
          <w:rFonts w:ascii="David" w:hAnsi="David"/>
          <w:spacing w:val="22"/>
          <w:rtl/>
        </w:rPr>
      </w:pPr>
    </w:p>
    <w:p w14:paraId="72C084A2" w14:textId="77777777" w:rsidR="0018013A" w:rsidRPr="009F161D" w:rsidRDefault="0018013A" w:rsidP="0018013A">
      <w:pPr>
        <w:spacing w:after="120" w:line="360" w:lineRule="auto"/>
        <w:jc w:val="both"/>
        <w:rPr>
          <w:rFonts w:ascii="David" w:hAnsi="David"/>
          <w:spacing w:val="22"/>
          <w:rtl/>
        </w:rPr>
      </w:pPr>
      <w:r w:rsidRPr="009F161D">
        <w:rPr>
          <w:rFonts w:ascii="David" w:hAnsi="David"/>
          <w:spacing w:val="22"/>
          <w:rtl/>
        </w:rPr>
        <w:t>14.</w:t>
      </w:r>
      <w:r w:rsidRPr="009F161D">
        <w:rPr>
          <w:rFonts w:ascii="David" w:hAnsi="David"/>
          <w:spacing w:val="22"/>
          <w:rtl/>
        </w:rPr>
        <w:tab/>
        <w:t xml:space="preserve">בעניינו של </w:t>
      </w:r>
      <w:r w:rsidRPr="00ED1589">
        <w:rPr>
          <w:rFonts w:ascii="David" w:hAnsi="David"/>
          <w:b/>
          <w:bCs/>
          <w:spacing w:val="22"/>
          <w:rtl/>
        </w:rPr>
        <w:t>נאשם 2,</w:t>
      </w:r>
      <w:r w:rsidRPr="009F161D">
        <w:rPr>
          <w:rFonts w:ascii="David" w:hAnsi="David"/>
          <w:spacing w:val="22"/>
          <w:rtl/>
        </w:rPr>
        <w:t xml:space="preserve"> המאשימה גורסת כי גם כאן כל אחד מן האישומים לבדו </w:t>
      </w:r>
      <w:r>
        <w:rPr>
          <w:rFonts w:ascii="David" w:hAnsi="David" w:hint="cs"/>
          <w:spacing w:val="22"/>
          <w:rtl/>
        </w:rPr>
        <w:t>מקים</w:t>
      </w:r>
      <w:r w:rsidRPr="009F161D">
        <w:rPr>
          <w:rFonts w:ascii="David" w:hAnsi="David"/>
          <w:spacing w:val="22"/>
          <w:rtl/>
        </w:rPr>
        <w:t xml:space="preserve"> ענישה של מאסר ארוך וביחד שנות מאסר. אמנם, בעניינו, חלק מהעבירות הן מקלות יותר, אך ניתן להתרשם מהתעוזה של נאשם 2 ל</w:t>
      </w:r>
      <w:r>
        <w:rPr>
          <w:rFonts w:ascii="David" w:hAnsi="David" w:hint="cs"/>
          <w:spacing w:val="22"/>
          <w:rtl/>
        </w:rPr>
        <w:t>עומת</w:t>
      </w:r>
      <w:r w:rsidRPr="009F161D">
        <w:rPr>
          <w:rFonts w:ascii="David" w:hAnsi="David"/>
          <w:spacing w:val="22"/>
          <w:rtl/>
        </w:rPr>
        <w:t xml:space="preserve"> יתר הנאשמים. לפיכך, טוענת המאשימה שמתחם העונש ההולם יחד נע בין 44 ל - 70 חודשי מאסר לצד עונשים נלווים. הנאשם הודה בכתב אישום מתוקן וחסך בזמן שיפוטי. לנאשם שתי הרשעות קודמות שלא ממין העניין, אך הן מלמדות כי אין זו הסתבכותו הראשונה עם החוק. סנגורו הגיש חוות דעת לעניין ילדיו של הנאשם</w:t>
      </w:r>
      <w:r>
        <w:rPr>
          <w:rFonts w:ascii="David" w:hAnsi="David" w:hint="cs"/>
          <w:spacing w:val="22"/>
          <w:rtl/>
        </w:rPr>
        <w:t>, אך</w:t>
      </w:r>
      <w:r w:rsidRPr="009F161D">
        <w:rPr>
          <w:rFonts w:ascii="David" w:hAnsi="David"/>
          <w:spacing w:val="22"/>
          <w:rtl/>
        </w:rPr>
        <w:t xml:space="preserve"> המאשימה סבורה שמקריאת אותן חוות דעת עולה מצב של היעדר קשר בין הנאשם לילדיו ואין לתוכנן השפעה על העונש המתאים לו. המאשימה מבקשת למקמו בשלישו התחתון של מתחם העונש ההולם ולהטיל על הנאשם 45 חודשי מאסר בפועל, לצד מאסר על תנאי מרתיע, קנס ופיצוי. </w:t>
      </w:r>
    </w:p>
    <w:p w14:paraId="5EAD2686" w14:textId="77777777" w:rsidR="0018013A" w:rsidRPr="009F161D" w:rsidRDefault="0018013A" w:rsidP="0018013A">
      <w:pPr>
        <w:spacing w:line="360" w:lineRule="auto"/>
        <w:jc w:val="both"/>
        <w:rPr>
          <w:rFonts w:ascii="Miriam" w:hAnsi="Miriam"/>
          <w:b/>
          <w:bCs/>
          <w:spacing w:val="22"/>
          <w:highlight w:val="yellow"/>
          <w:rtl/>
        </w:rPr>
      </w:pPr>
    </w:p>
    <w:p w14:paraId="33ABBD45" w14:textId="77777777" w:rsidR="0018013A" w:rsidRPr="009F161D" w:rsidRDefault="0018013A" w:rsidP="0018013A">
      <w:pPr>
        <w:spacing w:line="360" w:lineRule="auto"/>
        <w:jc w:val="both"/>
        <w:rPr>
          <w:rFonts w:ascii="Calibri" w:hAnsi="Calibri"/>
          <w:spacing w:val="22"/>
          <w:rtl/>
        </w:rPr>
      </w:pPr>
      <w:r w:rsidRPr="009F161D">
        <w:rPr>
          <w:rFonts w:ascii="Miriam" w:hAnsi="Miriam"/>
          <w:spacing w:val="22"/>
          <w:rtl/>
        </w:rPr>
        <w:t>14.</w:t>
      </w:r>
      <w:r w:rsidRPr="009F161D">
        <w:rPr>
          <w:rFonts w:ascii="Miriam" w:hAnsi="Miriam"/>
          <w:spacing w:val="22"/>
          <w:rtl/>
        </w:rPr>
        <w:tab/>
      </w:r>
      <w:r w:rsidRPr="009F161D">
        <w:rPr>
          <w:rFonts w:ascii="Miriam" w:hAnsi="Miriam" w:hint="eastAsia"/>
          <w:spacing w:val="22"/>
          <w:rtl/>
        </w:rPr>
        <w:t>המאשימה</w:t>
      </w:r>
      <w:r w:rsidRPr="009F161D">
        <w:rPr>
          <w:rFonts w:ascii="Miriam" w:hAnsi="Miriam"/>
          <w:spacing w:val="22"/>
          <w:rtl/>
        </w:rPr>
        <w:t xml:space="preserve"> </w:t>
      </w:r>
      <w:r w:rsidRPr="009F161D">
        <w:rPr>
          <w:rFonts w:ascii="Miriam" w:hAnsi="Miriam" w:hint="eastAsia"/>
          <w:spacing w:val="22"/>
          <w:rtl/>
        </w:rPr>
        <w:t>הגישה</w:t>
      </w:r>
      <w:r w:rsidRPr="009F161D">
        <w:rPr>
          <w:rFonts w:ascii="Miriam" w:hAnsi="Miriam"/>
          <w:spacing w:val="22"/>
          <w:rtl/>
        </w:rPr>
        <w:t xml:space="preserve"> </w:t>
      </w:r>
      <w:r w:rsidRPr="009F161D">
        <w:rPr>
          <w:rFonts w:ascii="Miriam" w:hAnsi="Miriam" w:hint="eastAsia"/>
          <w:spacing w:val="22"/>
          <w:rtl/>
        </w:rPr>
        <w:t>ר</w:t>
      </w:r>
      <w:r w:rsidRPr="009F161D">
        <w:rPr>
          <w:rFonts w:ascii="Miriam" w:hAnsi="Miriam"/>
          <w:spacing w:val="22"/>
          <w:rtl/>
        </w:rPr>
        <w:t>.</w:t>
      </w:r>
      <w:r w:rsidRPr="009F161D">
        <w:rPr>
          <w:rFonts w:ascii="Miriam" w:hAnsi="Miriam" w:hint="eastAsia"/>
          <w:spacing w:val="22"/>
          <w:rtl/>
        </w:rPr>
        <w:t>פ</w:t>
      </w:r>
      <w:r w:rsidRPr="009F161D">
        <w:rPr>
          <w:rFonts w:ascii="Miriam" w:hAnsi="Miriam"/>
          <w:spacing w:val="22"/>
          <w:rtl/>
        </w:rPr>
        <w:t xml:space="preserve"> </w:t>
      </w:r>
      <w:r w:rsidRPr="009F161D">
        <w:rPr>
          <w:rFonts w:ascii="Miriam" w:hAnsi="Miriam" w:hint="eastAsia"/>
          <w:spacing w:val="22"/>
          <w:rtl/>
        </w:rPr>
        <w:t>של</w:t>
      </w:r>
      <w:r w:rsidRPr="009F161D">
        <w:rPr>
          <w:rFonts w:ascii="Miriam" w:hAnsi="Miriam"/>
          <w:spacing w:val="22"/>
          <w:rtl/>
        </w:rPr>
        <w:t xml:space="preserve"> </w:t>
      </w:r>
      <w:r w:rsidRPr="009F161D">
        <w:rPr>
          <w:rFonts w:ascii="Miriam" w:hAnsi="Miriam" w:hint="eastAsia"/>
          <w:spacing w:val="22"/>
          <w:rtl/>
        </w:rPr>
        <w:t>שני</w:t>
      </w:r>
      <w:r w:rsidRPr="009F161D">
        <w:rPr>
          <w:rFonts w:ascii="Miriam" w:hAnsi="Miriam"/>
          <w:spacing w:val="22"/>
          <w:rtl/>
        </w:rPr>
        <w:t xml:space="preserve"> </w:t>
      </w:r>
      <w:r w:rsidRPr="009F161D">
        <w:rPr>
          <w:rFonts w:ascii="Miriam" w:hAnsi="Miriam" w:hint="eastAsia"/>
          <w:spacing w:val="22"/>
          <w:rtl/>
        </w:rPr>
        <w:t>הנאשמים</w:t>
      </w:r>
      <w:r w:rsidRPr="009F161D">
        <w:rPr>
          <w:rFonts w:ascii="Arial" w:hAnsi="Arial"/>
          <w:spacing w:val="22"/>
          <w:rtl/>
        </w:rPr>
        <w:t>. ברישומו הפלילי של</w:t>
      </w:r>
      <w:r w:rsidRPr="009F161D">
        <w:rPr>
          <w:rFonts w:ascii="Miriam" w:hAnsi="Miriam"/>
          <w:spacing w:val="22"/>
          <w:rtl/>
        </w:rPr>
        <w:t xml:space="preserve"> </w:t>
      </w:r>
      <w:r w:rsidRPr="009F161D">
        <w:rPr>
          <w:rFonts w:ascii="David" w:hAnsi="David"/>
          <w:spacing w:val="22"/>
          <w:rtl/>
        </w:rPr>
        <w:t xml:space="preserve">נאשם 1 </w:t>
      </w:r>
      <w:r w:rsidRPr="009F161D">
        <w:rPr>
          <w:rFonts w:ascii="Arial" w:hAnsi="Arial"/>
          <w:spacing w:val="22"/>
          <w:rtl/>
        </w:rPr>
        <w:t>חמש הרשעות קודמות בגין ביצוע עבירות רכוש, אלימות ואלימות במשפחה בין השנים 2005-2020. ברישומו הפלילי של</w:t>
      </w:r>
      <w:r w:rsidRPr="009F161D">
        <w:rPr>
          <w:rFonts w:ascii="Miriam" w:hAnsi="Miriam"/>
          <w:spacing w:val="22"/>
          <w:rtl/>
        </w:rPr>
        <w:t xml:space="preserve"> </w:t>
      </w:r>
      <w:r w:rsidRPr="009F161D">
        <w:rPr>
          <w:rFonts w:ascii="David" w:hAnsi="David"/>
          <w:spacing w:val="22"/>
          <w:rtl/>
        </w:rPr>
        <w:t xml:space="preserve">נאשם 2 שתי הרשעות מהשנים 2008-2011 בגין עבירות בניה ואלימות. </w:t>
      </w:r>
    </w:p>
    <w:p w14:paraId="5E88CAB2" w14:textId="77777777" w:rsidR="0018013A" w:rsidRPr="009F161D" w:rsidRDefault="0018013A" w:rsidP="0018013A">
      <w:pPr>
        <w:spacing w:after="120" w:line="360" w:lineRule="auto"/>
        <w:jc w:val="both"/>
        <w:rPr>
          <w:rFonts w:ascii="David" w:hAnsi="David"/>
          <w:spacing w:val="22"/>
          <w:rtl/>
        </w:rPr>
      </w:pPr>
    </w:p>
    <w:p w14:paraId="40D4E535" w14:textId="77777777" w:rsidR="0018013A" w:rsidRPr="009F161D" w:rsidRDefault="0018013A" w:rsidP="0018013A">
      <w:pPr>
        <w:spacing w:line="360" w:lineRule="auto"/>
        <w:ind w:firstLine="720"/>
        <w:jc w:val="both"/>
        <w:rPr>
          <w:rFonts w:ascii="Arial" w:hAnsi="Arial"/>
          <w:b/>
          <w:bCs/>
          <w:spacing w:val="22"/>
          <w:rtl/>
        </w:rPr>
      </w:pPr>
      <w:r w:rsidRPr="009F161D">
        <w:rPr>
          <w:rFonts w:ascii="Arial" w:hAnsi="Arial"/>
          <w:b/>
          <w:bCs/>
          <w:spacing w:val="22"/>
          <w:rtl/>
        </w:rPr>
        <w:t>טענות ההגנה</w:t>
      </w:r>
    </w:p>
    <w:p w14:paraId="4269F43A" w14:textId="77777777" w:rsidR="0018013A" w:rsidRPr="009F161D" w:rsidRDefault="0018013A" w:rsidP="0018013A">
      <w:pPr>
        <w:spacing w:line="360" w:lineRule="auto"/>
        <w:ind w:firstLine="720"/>
        <w:jc w:val="both"/>
        <w:rPr>
          <w:rFonts w:ascii="Arial" w:hAnsi="Arial"/>
          <w:b/>
          <w:bCs/>
          <w:spacing w:val="22"/>
          <w:rtl/>
        </w:rPr>
      </w:pPr>
      <w:r w:rsidRPr="009F161D">
        <w:rPr>
          <w:rFonts w:ascii="Arial" w:hAnsi="Arial"/>
          <w:b/>
          <w:bCs/>
          <w:spacing w:val="22"/>
          <w:rtl/>
        </w:rPr>
        <w:t>נאשם 1</w:t>
      </w:r>
    </w:p>
    <w:p w14:paraId="75CB23F8" w14:textId="77777777" w:rsidR="0018013A" w:rsidRPr="009F161D" w:rsidRDefault="0018013A" w:rsidP="0018013A">
      <w:pPr>
        <w:spacing w:line="360" w:lineRule="auto"/>
        <w:jc w:val="both"/>
        <w:rPr>
          <w:rFonts w:ascii="David" w:hAnsi="David"/>
          <w:spacing w:val="22"/>
          <w:rtl/>
        </w:rPr>
      </w:pPr>
      <w:r w:rsidRPr="009F161D">
        <w:rPr>
          <w:rFonts w:ascii="Arial" w:hAnsi="Arial"/>
          <w:spacing w:val="22"/>
          <w:rtl/>
        </w:rPr>
        <w:t>15.</w:t>
      </w:r>
      <w:r w:rsidRPr="009F161D">
        <w:rPr>
          <w:rFonts w:ascii="Arial" w:hAnsi="Arial"/>
          <w:spacing w:val="22"/>
          <w:rtl/>
        </w:rPr>
        <w:tab/>
        <w:t xml:space="preserve">לגבי נאשם 1, נטען כי </w:t>
      </w:r>
      <w:r w:rsidRPr="009F161D">
        <w:rPr>
          <w:rFonts w:ascii="David" w:hAnsi="David"/>
          <w:spacing w:val="22"/>
          <w:rtl/>
        </w:rPr>
        <w:t>חוות הדעת הקרימינולוגית של ד"ר גילי תמיר הוגשה בהסכמת המאשימה, שלא ביקשה לחקור את ד"ר גילי תמיר</w:t>
      </w:r>
      <w:r>
        <w:rPr>
          <w:rFonts w:ascii="David" w:hAnsi="David" w:hint="cs"/>
          <w:spacing w:val="22"/>
          <w:rtl/>
        </w:rPr>
        <w:t>,</w:t>
      </w:r>
      <w:r w:rsidRPr="009F161D">
        <w:rPr>
          <w:rFonts w:ascii="David" w:hAnsi="David"/>
          <w:spacing w:val="22"/>
          <w:rtl/>
        </w:rPr>
        <w:t xml:space="preserve"> ולעמדת ההגנה יש לתת לה משקל מלא. בכל אחד מהאישומים בהם הורשע נאשם 1 מדובר בחמישה ניסיונות שלא צלחו ובאישום שיש בו סיוע, </w:t>
      </w:r>
      <w:r>
        <w:rPr>
          <w:rFonts w:ascii="David" w:hAnsi="David" w:hint="cs"/>
          <w:spacing w:val="22"/>
          <w:rtl/>
        </w:rPr>
        <w:t>הנאשם</w:t>
      </w:r>
      <w:r w:rsidRPr="009F161D">
        <w:rPr>
          <w:rFonts w:ascii="David" w:hAnsi="David"/>
          <w:spacing w:val="22"/>
          <w:rtl/>
        </w:rPr>
        <w:t xml:space="preserve"> לא ראה את הנשק ולא נגע בנשק, </w:t>
      </w:r>
      <w:r>
        <w:rPr>
          <w:rFonts w:ascii="David" w:hAnsi="David" w:hint="cs"/>
          <w:spacing w:val="22"/>
          <w:rtl/>
        </w:rPr>
        <w:t>מאחר ש</w:t>
      </w:r>
      <w:r w:rsidRPr="009F161D">
        <w:rPr>
          <w:rFonts w:ascii="David" w:hAnsi="David"/>
          <w:spacing w:val="22"/>
          <w:rtl/>
        </w:rPr>
        <w:t xml:space="preserve">הוא </w:t>
      </w:r>
      <w:r>
        <w:rPr>
          <w:rFonts w:ascii="David" w:hAnsi="David" w:hint="cs"/>
          <w:spacing w:val="22"/>
          <w:rtl/>
        </w:rPr>
        <w:t>נשאר ברכב ולא הוא זה ש</w:t>
      </w:r>
      <w:r w:rsidRPr="009F161D">
        <w:rPr>
          <w:rFonts w:ascii="David" w:hAnsi="David"/>
          <w:spacing w:val="22"/>
          <w:rtl/>
        </w:rPr>
        <w:t xml:space="preserve">ניגש לרכוש את הנשק. באישום 2 הוא קיים שיחה ראשונית. באישום 5 נאשם 2 ירד, ניסה לשכנע את </w:t>
      </w:r>
      <w:r>
        <w:rPr>
          <w:rFonts w:ascii="David" w:hAnsi="David" w:hint="cs"/>
          <w:spacing w:val="22"/>
          <w:rtl/>
        </w:rPr>
        <w:t>המוכר</w:t>
      </w:r>
      <w:r w:rsidRPr="009F161D">
        <w:rPr>
          <w:rFonts w:ascii="David" w:hAnsi="David"/>
          <w:spacing w:val="22"/>
          <w:rtl/>
        </w:rPr>
        <w:t xml:space="preserve"> למכור לו נשק והעסקה לא הושלמה. באישום 6 </w:t>
      </w:r>
      <w:r>
        <w:rPr>
          <w:rFonts w:ascii="David" w:hAnsi="David" w:hint="cs"/>
          <w:spacing w:val="22"/>
          <w:rtl/>
        </w:rPr>
        <w:t>נאשם 1</w:t>
      </w:r>
      <w:r w:rsidRPr="009F161D">
        <w:rPr>
          <w:rFonts w:ascii="David" w:hAnsi="David"/>
          <w:spacing w:val="22"/>
          <w:rtl/>
        </w:rPr>
        <w:t xml:space="preserve"> ביצע שיחת טלפון. באישום 8 </w:t>
      </w:r>
      <w:r>
        <w:rPr>
          <w:rFonts w:ascii="David" w:hAnsi="David" w:hint="cs"/>
          <w:spacing w:val="22"/>
          <w:rtl/>
        </w:rPr>
        <w:t xml:space="preserve">נאשם 1 </w:t>
      </w:r>
      <w:r w:rsidRPr="009F161D">
        <w:rPr>
          <w:rFonts w:ascii="David" w:hAnsi="David"/>
          <w:spacing w:val="22"/>
          <w:rtl/>
        </w:rPr>
        <w:t xml:space="preserve">קיים שיחת טלפון עם המוכר. אישום 9 עוסק </w:t>
      </w:r>
      <w:r>
        <w:rPr>
          <w:rFonts w:ascii="David" w:hAnsi="David" w:hint="cs"/>
          <w:spacing w:val="22"/>
          <w:rtl/>
        </w:rPr>
        <w:t>ב</w:t>
      </w:r>
      <w:r w:rsidRPr="009F161D">
        <w:rPr>
          <w:rFonts w:ascii="David" w:hAnsi="David"/>
          <w:spacing w:val="22"/>
          <w:rtl/>
        </w:rPr>
        <w:t xml:space="preserve">סיוע. לפיכך, </w:t>
      </w:r>
      <w:r>
        <w:rPr>
          <w:rFonts w:ascii="David" w:hAnsi="David" w:hint="cs"/>
          <w:spacing w:val="22"/>
          <w:rtl/>
        </w:rPr>
        <w:t xml:space="preserve">נטען כי </w:t>
      </w:r>
      <w:r w:rsidRPr="009F161D">
        <w:rPr>
          <w:rFonts w:ascii="David" w:hAnsi="David"/>
          <w:spacing w:val="22"/>
          <w:rtl/>
        </w:rPr>
        <w:t>לא נכון לומר שבגלל</w:t>
      </w:r>
      <w:r>
        <w:rPr>
          <w:rFonts w:ascii="David" w:hAnsi="David" w:hint="cs"/>
          <w:spacing w:val="22"/>
          <w:rtl/>
        </w:rPr>
        <w:t xml:space="preserve"> הנאשם</w:t>
      </w:r>
      <w:r w:rsidRPr="009F161D">
        <w:rPr>
          <w:rFonts w:ascii="David" w:hAnsi="David"/>
          <w:spacing w:val="22"/>
          <w:rtl/>
        </w:rPr>
        <w:t xml:space="preserve"> הנשקים הגיעו לגורמים זרים. כמו</w:t>
      </w:r>
      <w:r>
        <w:rPr>
          <w:rFonts w:ascii="David" w:hAnsi="David" w:hint="cs"/>
          <w:spacing w:val="22"/>
          <w:rtl/>
        </w:rPr>
        <w:t xml:space="preserve"> </w:t>
      </w:r>
      <w:r w:rsidRPr="009F161D">
        <w:rPr>
          <w:rFonts w:ascii="David" w:hAnsi="David"/>
          <w:spacing w:val="22"/>
          <w:rtl/>
        </w:rPr>
        <w:t>כן, טוען הסנגור כי יש לקבוע את מתחמי הענישה לא בהתייחס לעבירות נשק, אלא כעבירות מרמה, שכן אלו הן מעש</w:t>
      </w:r>
      <w:r>
        <w:rPr>
          <w:rFonts w:ascii="David" w:hAnsi="David" w:hint="cs"/>
          <w:spacing w:val="22"/>
          <w:rtl/>
        </w:rPr>
        <w:t>י</w:t>
      </w:r>
      <w:r w:rsidRPr="009F161D">
        <w:rPr>
          <w:rFonts w:ascii="David" w:hAnsi="David"/>
          <w:spacing w:val="22"/>
          <w:rtl/>
        </w:rPr>
        <w:t xml:space="preserve"> העבירה הקונקרטי ותוצאותיו. עוד נטען כי ברוב האישומים, המעשים קרובים יותר להכנה מאשר לניסיון. מדובר באישומים של שיחות טלפון ושל הימצאות הנאשם ב</w:t>
      </w:r>
      <w:r>
        <w:rPr>
          <w:rFonts w:ascii="David" w:hAnsi="David" w:hint="cs"/>
          <w:spacing w:val="22"/>
          <w:rtl/>
        </w:rPr>
        <w:t>רכב</w:t>
      </w:r>
      <w:r w:rsidRPr="009F161D">
        <w:rPr>
          <w:rFonts w:ascii="David" w:hAnsi="David"/>
          <w:spacing w:val="22"/>
          <w:rtl/>
        </w:rPr>
        <w:t xml:space="preserve">. </w:t>
      </w:r>
    </w:p>
    <w:p w14:paraId="0D2FC534" w14:textId="77777777" w:rsidR="0018013A" w:rsidRPr="009F161D" w:rsidRDefault="0018013A" w:rsidP="0018013A">
      <w:pPr>
        <w:spacing w:line="360" w:lineRule="auto"/>
        <w:jc w:val="both"/>
        <w:rPr>
          <w:rFonts w:ascii="David" w:hAnsi="David"/>
          <w:spacing w:val="22"/>
          <w:rtl/>
        </w:rPr>
      </w:pPr>
      <w:r w:rsidRPr="009F161D">
        <w:rPr>
          <w:rFonts w:ascii="David" w:hAnsi="David"/>
          <w:spacing w:val="22"/>
          <w:rtl/>
        </w:rPr>
        <w:t xml:space="preserve"> </w:t>
      </w:r>
    </w:p>
    <w:p w14:paraId="7CAD02C6" w14:textId="77777777" w:rsidR="0018013A" w:rsidRDefault="0018013A" w:rsidP="0018013A">
      <w:pPr>
        <w:spacing w:after="120" w:line="360" w:lineRule="auto"/>
        <w:jc w:val="both"/>
        <w:rPr>
          <w:rFonts w:ascii="David" w:hAnsi="David"/>
          <w:spacing w:val="22"/>
          <w:rtl/>
        </w:rPr>
      </w:pPr>
      <w:r w:rsidRPr="009F161D">
        <w:rPr>
          <w:rFonts w:ascii="David" w:hAnsi="David"/>
          <w:spacing w:val="22"/>
          <w:rtl/>
        </w:rPr>
        <w:t>16.</w:t>
      </w:r>
      <w:r w:rsidRPr="009F161D">
        <w:rPr>
          <w:rFonts w:ascii="David" w:hAnsi="David"/>
          <w:spacing w:val="22"/>
          <w:rtl/>
        </w:rPr>
        <w:tab/>
        <w:t xml:space="preserve">ההגנה סבורה שמתחם הענישה מתחיל ב- 15 חודשי מאסר ומבקש למקם את הנאשם 1 בשליש התחתון של מתחם הענישה הנטען. נטען כי הנאשם </w:t>
      </w:r>
      <w:r>
        <w:rPr>
          <w:rFonts w:ascii="David" w:hAnsi="David" w:hint="cs"/>
          <w:spacing w:val="22"/>
          <w:rtl/>
        </w:rPr>
        <w:t xml:space="preserve">סובל </w:t>
      </w:r>
      <w:r w:rsidRPr="009F161D">
        <w:rPr>
          <w:rFonts w:ascii="David" w:hAnsi="David"/>
          <w:spacing w:val="22"/>
          <w:rtl/>
        </w:rPr>
        <w:t xml:space="preserve">כיום מפוסט טראומה, הוא אדם מוחלש ו"שבר כלי", והסיבה לכך מפורטת בחווה"ד שהוגשה על ידי ד"ר גילי תמיר ונעוצה בדברים שהוא עשה עבור המדינה. כמו כן, הוגשו מסמכים רפואיים בעניינו. </w:t>
      </w:r>
      <w:r>
        <w:rPr>
          <w:rFonts w:ascii="David" w:hAnsi="David" w:hint="cs"/>
          <w:spacing w:val="22"/>
          <w:rtl/>
        </w:rPr>
        <w:t>הסנגור טוען</w:t>
      </w:r>
      <w:r w:rsidRPr="009F161D">
        <w:rPr>
          <w:rFonts w:ascii="David" w:hAnsi="David"/>
          <w:spacing w:val="22"/>
          <w:rtl/>
        </w:rPr>
        <w:t xml:space="preserve"> כי למדינה יש אחריות כלפי הנאשם, בנוגע למצב שהוא הגיע אליו. גם בהליך המעצר הנאשם עבר משברים אישיים לא פשוטים. לנאשם יש ילדה אחת בת שש וחצי כיום. אמ</w:t>
      </w:r>
      <w:r>
        <w:rPr>
          <w:rFonts w:ascii="David" w:hAnsi="David" w:hint="cs"/>
          <w:spacing w:val="22"/>
          <w:rtl/>
        </w:rPr>
        <w:t>ה</w:t>
      </w:r>
      <w:r w:rsidRPr="009F161D">
        <w:rPr>
          <w:rFonts w:ascii="David" w:hAnsi="David"/>
          <w:spacing w:val="22"/>
          <w:rtl/>
        </w:rPr>
        <w:t xml:space="preserve"> לא מתפקדת והילדה נלקחה למשפחת אומנה. מתנהל הליך נזקקות בבית משפט לנוער. לילדה אין קשר עם שני הוריה</w:t>
      </w:r>
      <w:r>
        <w:rPr>
          <w:rFonts w:ascii="David" w:hAnsi="David" w:hint="cs"/>
          <w:spacing w:val="22"/>
          <w:rtl/>
        </w:rPr>
        <w:t>, ובאה הפניה לפסיקה לעניין העונש הראוי</w:t>
      </w:r>
      <w:r w:rsidRPr="009F161D">
        <w:rPr>
          <w:rFonts w:ascii="David" w:hAnsi="David"/>
          <w:spacing w:val="22"/>
          <w:rtl/>
        </w:rPr>
        <w:t xml:space="preserve">. </w:t>
      </w:r>
    </w:p>
    <w:p w14:paraId="1450708D" w14:textId="77777777" w:rsidR="0018013A" w:rsidRPr="009F161D" w:rsidRDefault="0018013A" w:rsidP="0018013A">
      <w:pPr>
        <w:spacing w:after="120" w:line="360" w:lineRule="auto"/>
        <w:jc w:val="both"/>
        <w:rPr>
          <w:rFonts w:ascii="David" w:hAnsi="David"/>
          <w:spacing w:val="22"/>
          <w:rtl/>
        </w:rPr>
      </w:pPr>
    </w:p>
    <w:p w14:paraId="6CFA8632" w14:textId="77777777" w:rsidR="0018013A" w:rsidRPr="009F161D" w:rsidRDefault="0018013A" w:rsidP="0018013A">
      <w:pPr>
        <w:spacing w:line="360" w:lineRule="auto"/>
        <w:jc w:val="both"/>
        <w:rPr>
          <w:rFonts w:ascii="Arial" w:hAnsi="Arial"/>
          <w:spacing w:val="22"/>
          <w:rtl/>
        </w:rPr>
      </w:pPr>
      <w:r w:rsidRPr="009F161D">
        <w:rPr>
          <w:rFonts w:ascii="Arial" w:hAnsi="Arial"/>
          <w:spacing w:val="22"/>
          <w:rtl/>
        </w:rPr>
        <w:t>17.</w:t>
      </w:r>
      <w:r w:rsidRPr="009F161D">
        <w:rPr>
          <w:rFonts w:ascii="Arial" w:hAnsi="Arial"/>
          <w:spacing w:val="22"/>
          <w:rtl/>
        </w:rPr>
        <w:tab/>
        <w:t xml:space="preserve">מטעם נאשם 1 העידה אימו של נאשם 1, אסתר מזרחי, שביקשה </w:t>
      </w:r>
      <w:r>
        <w:rPr>
          <w:rFonts w:ascii="Arial" w:hAnsi="Arial" w:hint="cs"/>
          <w:spacing w:val="22"/>
          <w:rtl/>
        </w:rPr>
        <w:t>לה</w:t>
      </w:r>
      <w:r w:rsidRPr="009F161D">
        <w:rPr>
          <w:rFonts w:ascii="Arial" w:hAnsi="Arial"/>
          <w:spacing w:val="22"/>
          <w:rtl/>
        </w:rPr>
        <w:t>תחשב במצבו של בנה, בבתו הקטנה שלא ראתה אותו זמן רב</w:t>
      </w:r>
      <w:r>
        <w:rPr>
          <w:rFonts w:ascii="Arial" w:hAnsi="Arial" w:hint="cs"/>
          <w:spacing w:val="22"/>
          <w:rtl/>
        </w:rPr>
        <w:t xml:space="preserve">, </w:t>
      </w:r>
      <w:r w:rsidRPr="009F161D">
        <w:rPr>
          <w:rFonts w:ascii="Arial" w:hAnsi="Arial"/>
          <w:spacing w:val="22"/>
          <w:rtl/>
        </w:rPr>
        <w:t xml:space="preserve">אימה אינה מתפקדת ומצבה הבריאותי אינו טוב. </w:t>
      </w:r>
    </w:p>
    <w:p w14:paraId="61FB161C" w14:textId="77777777" w:rsidR="0018013A" w:rsidRPr="009F161D" w:rsidRDefault="0018013A" w:rsidP="0018013A">
      <w:pPr>
        <w:spacing w:line="360" w:lineRule="auto"/>
        <w:jc w:val="both"/>
        <w:rPr>
          <w:rFonts w:ascii="Arial" w:hAnsi="Arial"/>
          <w:spacing w:val="22"/>
          <w:rtl/>
        </w:rPr>
      </w:pPr>
    </w:p>
    <w:p w14:paraId="788C2A60" w14:textId="77777777" w:rsidR="0018013A" w:rsidRPr="009F161D" w:rsidRDefault="0018013A" w:rsidP="0018013A">
      <w:pPr>
        <w:spacing w:line="360" w:lineRule="auto"/>
        <w:jc w:val="both"/>
        <w:rPr>
          <w:rFonts w:ascii="David" w:hAnsi="David"/>
          <w:spacing w:val="22"/>
          <w:rtl/>
        </w:rPr>
      </w:pPr>
      <w:r w:rsidRPr="009F161D">
        <w:rPr>
          <w:rFonts w:ascii="Arial" w:hAnsi="Arial"/>
          <w:spacing w:val="22"/>
          <w:rtl/>
        </w:rPr>
        <w:t>18.</w:t>
      </w:r>
      <w:r w:rsidRPr="009F161D">
        <w:rPr>
          <w:rFonts w:ascii="Arial" w:hAnsi="Arial"/>
          <w:spacing w:val="22"/>
          <w:rtl/>
        </w:rPr>
        <w:tab/>
        <w:t xml:space="preserve">הנאשם פנה לבית המשפט, אמר כי הוא תרם למדינה ו"זרקו אותו לכלבים". הוא לא ראה את הנשק ולא אחז בו. חלקו התמצה </w:t>
      </w:r>
      <w:r>
        <w:rPr>
          <w:rFonts w:ascii="Arial" w:hAnsi="Arial" w:hint="cs"/>
          <w:spacing w:val="22"/>
          <w:rtl/>
        </w:rPr>
        <w:t>אך בשיחות טלפון</w:t>
      </w:r>
      <w:r w:rsidRPr="009F161D">
        <w:rPr>
          <w:rFonts w:ascii="Arial" w:hAnsi="Arial"/>
          <w:spacing w:val="22"/>
          <w:rtl/>
        </w:rPr>
        <w:t>. הוא איבד את בתו והיא יכולה בכל יום להימסר לאימוץ. ה</w:t>
      </w:r>
      <w:r>
        <w:rPr>
          <w:rFonts w:ascii="Arial" w:hAnsi="Arial" w:hint="cs"/>
          <w:spacing w:val="22"/>
          <w:rtl/>
        </w:rPr>
        <w:t>נאשם הציג</w:t>
      </w:r>
      <w:r w:rsidRPr="009F161D">
        <w:rPr>
          <w:rFonts w:ascii="Arial" w:hAnsi="Arial"/>
          <w:spacing w:val="22"/>
          <w:rtl/>
        </w:rPr>
        <w:t xml:space="preserve"> את </w:t>
      </w:r>
      <w:r w:rsidRPr="009F161D">
        <w:rPr>
          <w:rFonts w:ascii="David" w:hAnsi="David"/>
          <w:spacing w:val="22"/>
          <w:rtl/>
        </w:rPr>
        <w:t xml:space="preserve">אמת ידו השמאלית </w:t>
      </w:r>
      <w:r>
        <w:rPr>
          <w:rFonts w:ascii="David" w:hAnsi="David" w:hint="cs"/>
          <w:spacing w:val="22"/>
          <w:rtl/>
        </w:rPr>
        <w:t>ה</w:t>
      </w:r>
      <w:r w:rsidRPr="009F161D">
        <w:rPr>
          <w:rFonts w:ascii="David" w:hAnsi="David"/>
          <w:spacing w:val="22"/>
          <w:rtl/>
        </w:rPr>
        <w:t xml:space="preserve">רצופה בחתכים, ביקש המתת חסד ולתרום את אבריו. </w:t>
      </w:r>
    </w:p>
    <w:p w14:paraId="3442AEE5" w14:textId="77777777" w:rsidR="0018013A" w:rsidRPr="009F161D" w:rsidRDefault="0018013A" w:rsidP="0018013A">
      <w:pPr>
        <w:spacing w:line="360" w:lineRule="auto"/>
        <w:jc w:val="both"/>
        <w:rPr>
          <w:rFonts w:ascii="David" w:hAnsi="David"/>
          <w:spacing w:val="22"/>
          <w:rtl/>
        </w:rPr>
      </w:pPr>
    </w:p>
    <w:p w14:paraId="7D3C5124" w14:textId="77777777" w:rsidR="0018013A" w:rsidRPr="009F161D" w:rsidRDefault="0018013A" w:rsidP="0018013A">
      <w:pPr>
        <w:spacing w:line="360" w:lineRule="auto"/>
        <w:jc w:val="both"/>
        <w:rPr>
          <w:rFonts w:ascii="Arial" w:hAnsi="Arial"/>
          <w:spacing w:val="22"/>
          <w:rtl/>
        </w:rPr>
      </w:pPr>
      <w:r w:rsidRPr="009F161D">
        <w:rPr>
          <w:rFonts w:ascii="David" w:hAnsi="David"/>
          <w:spacing w:val="22"/>
          <w:rtl/>
        </w:rPr>
        <w:t>19.</w:t>
      </w:r>
      <w:r w:rsidRPr="009F161D">
        <w:rPr>
          <w:rFonts w:ascii="David" w:hAnsi="David"/>
          <w:spacing w:val="22"/>
          <w:rtl/>
        </w:rPr>
        <w:tab/>
        <w:t xml:space="preserve">מטעם הנאשם 1 </w:t>
      </w:r>
      <w:r w:rsidRPr="009F161D">
        <w:rPr>
          <w:rFonts w:ascii="Arial" w:hAnsi="Arial"/>
          <w:spacing w:val="22"/>
          <w:rtl/>
        </w:rPr>
        <w:t>הוגשה חוות דעת פסיכוסוציאלית שערכה ד"ר גילי תמיר בחודש מאי 2022, ממנה עולה כי הנאשם הינו כבן 36 שנים, פרוד ואב לילדה בת 6, עד למעצרו התקיים מקצבת נכות על רקע נפשי. בעל תפקוד נמוך מילדות ונעדר יכולת תעסוקתית. פורטו תפקידים שמילא בשירות המדינה ותרומתו בתחום זה. לאורך השנים מעורבות חוזרת בפלילים. הוא מוכר לאורך שנים למערכת בריאות הנפש ומטופל תרופתית, אובחן כסובל מפוסט טראומה, חרדה, דיכאון והפרעה טורדנית כפייתית</w:t>
      </w:r>
      <w:r>
        <w:rPr>
          <w:rFonts w:ascii="Arial" w:hAnsi="Arial" w:hint="cs"/>
          <w:spacing w:val="22"/>
          <w:rtl/>
        </w:rPr>
        <w:t>.</w:t>
      </w:r>
      <w:r w:rsidRPr="009F161D">
        <w:rPr>
          <w:rFonts w:ascii="Arial" w:hAnsi="Arial"/>
          <w:spacing w:val="22"/>
          <w:rtl/>
        </w:rPr>
        <w:t xml:space="preserve"> בעברו שלושה ניסיונות אובדניים, האחרון בהם בעת מעצרו בתיק דנן. מעולם לא זכה לטיפול משקם אינטנסיבי. הוערך כי ללא תכנית וטיפול שיקומית מתאימה, מעגל הרצידיביזם העברייני לצד התגברות מצוקתו הנפשי של הנאשם לא ייפסקו. הומלץ לבחון אפשרות לשילובו במחלקה יעודית למתמודדי נפש בשב"ס. </w:t>
      </w:r>
      <w:r w:rsidRPr="009F161D">
        <w:rPr>
          <w:rFonts w:ascii="David" w:hAnsi="David"/>
          <w:spacing w:val="22"/>
          <w:rtl/>
        </w:rPr>
        <w:t xml:space="preserve">הוגשו מסמכים רפואיים התומכים באמור בחוות הדעת לענין מצבו הנפשי של הנאשם והטיפול התרופתי. עוד הוגש </w:t>
      </w:r>
      <w:r w:rsidRPr="009F161D">
        <w:rPr>
          <w:rFonts w:ascii="Arial" w:hAnsi="Arial"/>
          <w:spacing w:val="22"/>
          <w:rtl/>
        </w:rPr>
        <w:t xml:space="preserve">פרוטוקול דיון מיום 8.5.22 בעתירת אסיר שהגיש הנאשם, ממנה עולה כי הנאשם מצוי במשבר נפשי קשה, מצבו הנפשי לא הוטב ואף התדרדר, הנאשם אמר כי אימו חולה במחלה קשה ואביו התעוור לאחרונה ומכספם הוא קונה את התרופות להן נזקק. בנוסף, הוגש פרוטוקול </w:t>
      </w:r>
      <w:r w:rsidRPr="009F161D">
        <w:rPr>
          <w:rFonts w:ascii="David" w:hAnsi="David"/>
          <w:spacing w:val="22"/>
          <w:rtl/>
        </w:rPr>
        <w:t>בית המשפט לנוער באילת בדיון מחודש פברואר 2022 בהליך הנזקקות של בתו.</w:t>
      </w:r>
    </w:p>
    <w:p w14:paraId="0E01DD00" w14:textId="77777777" w:rsidR="0018013A" w:rsidRPr="009F161D" w:rsidRDefault="0018013A" w:rsidP="0018013A">
      <w:pPr>
        <w:spacing w:line="360" w:lineRule="auto"/>
        <w:jc w:val="both"/>
        <w:rPr>
          <w:rFonts w:ascii="Arial" w:hAnsi="Arial"/>
          <w:spacing w:val="22"/>
          <w:rtl/>
        </w:rPr>
      </w:pPr>
    </w:p>
    <w:p w14:paraId="7887F37B" w14:textId="77777777" w:rsidR="0018013A" w:rsidRPr="009F161D" w:rsidRDefault="0018013A" w:rsidP="0018013A">
      <w:pPr>
        <w:spacing w:after="120" w:line="360" w:lineRule="auto"/>
        <w:jc w:val="both"/>
        <w:rPr>
          <w:rFonts w:ascii="David" w:hAnsi="David"/>
          <w:b/>
          <w:bCs/>
          <w:spacing w:val="22"/>
          <w:rtl/>
        </w:rPr>
      </w:pPr>
      <w:r w:rsidRPr="009F161D">
        <w:rPr>
          <w:rFonts w:ascii="David" w:hAnsi="David"/>
          <w:b/>
          <w:bCs/>
          <w:spacing w:val="22"/>
          <w:rtl/>
        </w:rPr>
        <w:tab/>
        <w:t>נאשם 2</w:t>
      </w:r>
    </w:p>
    <w:p w14:paraId="1294B584" w14:textId="77777777" w:rsidR="0018013A" w:rsidRPr="009F161D" w:rsidRDefault="0018013A" w:rsidP="0018013A">
      <w:pPr>
        <w:spacing w:after="120" w:line="360" w:lineRule="auto"/>
        <w:jc w:val="both"/>
        <w:rPr>
          <w:rFonts w:ascii="David" w:hAnsi="David"/>
          <w:spacing w:val="22"/>
          <w:rtl/>
        </w:rPr>
      </w:pPr>
      <w:r w:rsidRPr="009F161D">
        <w:rPr>
          <w:rFonts w:ascii="David" w:hAnsi="David"/>
          <w:spacing w:val="22"/>
          <w:rtl/>
        </w:rPr>
        <w:t>20.</w:t>
      </w:r>
      <w:r w:rsidRPr="009F161D">
        <w:rPr>
          <w:rFonts w:ascii="David" w:hAnsi="David"/>
          <w:spacing w:val="22"/>
          <w:rtl/>
        </w:rPr>
        <w:tab/>
      </w:r>
      <w:r>
        <w:rPr>
          <w:rFonts w:ascii="David" w:hAnsi="David" w:hint="cs"/>
          <w:spacing w:val="22"/>
          <w:rtl/>
        </w:rPr>
        <w:t>סנגורו טען</w:t>
      </w:r>
      <w:r w:rsidRPr="009F161D">
        <w:rPr>
          <w:rFonts w:ascii="David" w:hAnsi="David"/>
          <w:spacing w:val="22"/>
          <w:rtl/>
        </w:rPr>
        <w:t xml:space="preserve"> כי המאשימה הפנתה לפסיקה שעסקה בתיקים שרובם ככולם עוסקים בעבירות של נשיאה והובלת נשק, אנשים שירו ברובים וסחר</w:t>
      </w:r>
      <w:r>
        <w:rPr>
          <w:rFonts w:ascii="David" w:hAnsi="David" w:hint="cs"/>
          <w:spacing w:val="22"/>
          <w:rtl/>
        </w:rPr>
        <w:t>ו</w:t>
      </w:r>
      <w:r w:rsidRPr="009F161D">
        <w:rPr>
          <w:rFonts w:ascii="David" w:hAnsi="David"/>
          <w:spacing w:val="22"/>
          <w:rtl/>
        </w:rPr>
        <w:t xml:space="preserve"> בנשק, ובכולם מתחם הענישה התחיל מרף נמוך מהרף לו עתרה. נטען כי בעניינו של נאשם 2, האישום </w:t>
      </w:r>
      <w:r>
        <w:rPr>
          <w:rFonts w:ascii="David" w:hAnsi="David" w:hint="cs"/>
          <w:spacing w:val="22"/>
          <w:rtl/>
        </w:rPr>
        <w:t>ה</w:t>
      </w:r>
      <w:r w:rsidRPr="009F161D">
        <w:rPr>
          <w:rFonts w:ascii="David" w:hAnsi="David"/>
          <w:spacing w:val="22"/>
          <w:rtl/>
        </w:rPr>
        <w:t xml:space="preserve">חמור </w:t>
      </w:r>
      <w:r>
        <w:rPr>
          <w:rFonts w:ascii="David" w:hAnsi="David" w:hint="cs"/>
          <w:spacing w:val="22"/>
          <w:rtl/>
        </w:rPr>
        <w:t xml:space="preserve">ביותר </w:t>
      </w:r>
      <w:r w:rsidRPr="009F161D">
        <w:rPr>
          <w:rFonts w:ascii="David" w:hAnsi="David"/>
          <w:spacing w:val="22"/>
          <w:rtl/>
        </w:rPr>
        <w:t>הוא האישום התשיעי, בו קיבל הנאשם את האקדח לידיו. מדובר בעבירה של בית משפט שלום. הנאשמים 1 ו-3 לקחו את האקדח למקום ולשימוש שאינם ידועים למאשימה. נטען כי ההחזקה של נאשם 2 באקדח היא רגעית ולא כתוב בכתב באישום שהוא נשא נשק. מדובר בתיק שבמהותו הוא תיק מרמה. לפיכך, לעמדת הסנגור, מתחם העונש ההולם את  מעשיו של הנאשם 2 מתחיל מ-10 חודשים ועד הרף העליון של 28 חודשים.</w:t>
      </w:r>
    </w:p>
    <w:p w14:paraId="6E0437EE" w14:textId="77777777" w:rsidR="0018013A" w:rsidRPr="009F161D" w:rsidRDefault="0018013A" w:rsidP="0018013A">
      <w:pPr>
        <w:spacing w:after="120" w:line="360" w:lineRule="auto"/>
        <w:jc w:val="both"/>
        <w:rPr>
          <w:rFonts w:ascii="David" w:hAnsi="David"/>
          <w:spacing w:val="22"/>
          <w:rtl/>
        </w:rPr>
      </w:pPr>
      <w:r w:rsidRPr="009F161D">
        <w:rPr>
          <w:rFonts w:ascii="David" w:hAnsi="David"/>
          <w:spacing w:val="22"/>
          <w:rtl/>
        </w:rPr>
        <w:t>21.</w:t>
      </w:r>
      <w:r w:rsidRPr="009F161D">
        <w:rPr>
          <w:rFonts w:ascii="David" w:hAnsi="David"/>
          <w:spacing w:val="22"/>
          <w:rtl/>
        </w:rPr>
        <w:tab/>
        <w:t>באשר למיקומו של הנאשם 2 בתוך המתחם, נטען כי אין לו עבר פלילי רלוונטי, יש לו 13 ילדים, שניים מהם קטנים מאוד. הוא הודה בהזדמנות ראשונה וחסך זמן שיפוטי. מדובר בפעם הראשונה שהוא נמצא במעצר ממושך מאד. כתוצאה ממעצרו נגרם נזק למשפח</w:t>
      </w:r>
      <w:r>
        <w:rPr>
          <w:rFonts w:ascii="David" w:hAnsi="David" w:hint="cs"/>
          <w:spacing w:val="22"/>
          <w:rtl/>
        </w:rPr>
        <w:t>תו</w:t>
      </w:r>
      <w:r w:rsidRPr="009F161D">
        <w:rPr>
          <w:rFonts w:ascii="David" w:hAnsi="David"/>
          <w:spacing w:val="22"/>
          <w:rtl/>
        </w:rPr>
        <w:t xml:space="preserve"> שסובלת מקושי כלכלי אדיר. </w:t>
      </w:r>
      <w:r>
        <w:rPr>
          <w:rFonts w:ascii="David" w:hAnsi="David" w:hint="cs"/>
          <w:spacing w:val="22"/>
          <w:rtl/>
        </w:rPr>
        <w:t>הנאשם</w:t>
      </w:r>
      <w:r w:rsidRPr="009F161D">
        <w:rPr>
          <w:rFonts w:ascii="David" w:hAnsi="David"/>
          <w:spacing w:val="22"/>
          <w:rtl/>
        </w:rPr>
        <w:t xml:space="preserve"> סובל מנכויות</w:t>
      </w:r>
      <w:r>
        <w:rPr>
          <w:rFonts w:ascii="David" w:hAnsi="David" w:hint="cs"/>
          <w:spacing w:val="22"/>
          <w:rtl/>
        </w:rPr>
        <w:t>,</w:t>
      </w:r>
      <w:r w:rsidRPr="009F161D">
        <w:rPr>
          <w:rFonts w:ascii="David" w:hAnsi="David"/>
          <w:spacing w:val="22"/>
          <w:rtl/>
        </w:rPr>
        <w:t xml:space="preserve"> מצבו הפיזי אף לא מאפשר </w:t>
      </w:r>
      <w:r>
        <w:rPr>
          <w:rFonts w:ascii="David" w:hAnsi="David" w:hint="cs"/>
          <w:spacing w:val="22"/>
          <w:rtl/>
        </w:rPr>
        <w:t>לאזוק אותו</w:t>
      </w:r>
      <w:r w:rsidRPr="009F161D">
        <w:rPr>
          <w:rFonts w:ascii="David" w:hAnsi="David"/>
          <w:spacing w:val="22"/>
          <w:rtl/>
        </w:rPr>
        <w:t>. לפיכך, מבקש הסנגור לחרוג לקולה ממתחם הענישה משיקולים של צדק</w:t>
      </w:r>
      <w:r>
        <w:rPr>
          <w:rFonts w:ascii="David" w:hAnsi="David" w:hint="cs"/>
          <w:spacing w:val="22"/>
          <w:rtl/>
        </w:rPr>
        <w:t>,</w:t>
      </w:r>
      <w:r w:rsidRPr="009F161D">
        <w:rPr>
          <w:rFonts w:ascii="David" w:hAnsi="David"/>
          <w:spacing w:val="22"/>
          <w:rtl/>
        </w:rPr>
        <w:t xml:space="preserve"> לנהוג בו במידת הרחמים ולהסתפק בתקופת מעצרו. באשר למאסר המותנה, מבקש הסנגור כי הוא יהיה מידתי ויתייחס לעבירות בהן הורשע. כמו כן, </w:t>
      </w:r>
      <w:r>
        <w:rPr>
          <w:rFonts w:ascii="David" w:hAnsi="David" w:hint="cs"/>
          <w:spacing w:val="22"/>
          <w:rtl/>
        </w:rPr>
        <w:t>התבקש</w:t>
      </w:r>
      <w:r w:rsidRPr="009F161D">
        <w:rPr>
          <w:rFonts w:ascii="David" w:hAnsi="David"/>
          <w:spacing w:val="22"/>
          <w:rtl/>
        </w:rPr>
        <w:t xml:space="preserve"> לדחות את הקנס למועד שלאחר שחרורו של הנאשם 2, </w:t>
      </w:r>
      <w:r>
        <w:rPr>
          <w:rFonts w:ascii="David" w:hAnsi="David" w:hint="cs"/>
          <w:spacing w:val="22"/>
          <w:rtl/>
        </w:rPr>
        <w:t>מאחר שאין</w:t>
      </w:r>
      <w:r w:rsidRPr="009F161D">
        <w:rPr>
          <w:rFonts w:ascii="David" w:hAnsi="David"/>
          <w:spacing w:val="22"/>
          <w:rtl/>
        </w:rPr>
        <w:t xml:space="preserve"> לו אפשרות לשלם את הקנס </w:t>
      </w:r>
      <w:r>
        <w:rPr>
          <w:rFonts w:ascii="David" w:hAnsi="David" w:hint="cs"/>
          <w:spacing w:val="22"/>
          <w:rtl/>
        </w:rPr>
        <w:t>והדבר</w:t>
      </w:r>
      <w:r w:rsidRPr="009F161D">
        <w:rPr>
          <w:rFonts w:ascii="David" w:hAnsi="David"/>
          <w:spacing w:val="22"/>
          <w:rtl/>
        </w:rPr>
        <w:t xml:space="preserve"> יוביל להארכת המאסר, באופן המחטיא את מטרת הקנס</w:t>
      </w:r>
      <w:r>
        <w:rPr>
          <w:rFonts w:ascii="David" w:hAnsi="David" w:hint="cs"/>
          <w:spacing w:val="22"/>
          <w:rtl/>
        </w:rPr>
        <w:t xml:space="preserve"> ובאה הפנייה לפסיקה בתמיכה לטענות</w:t>
      </w:r>
      <w:r w:rsidRPr="009F161D">
        <w:rPr>
          <w:rFonts w:ascii="David" w:hAnsi="David"/>
          <w:spacing w:val="22"/>
          <w:rtl/>
        </w:rPr>
        <w:t xml:space="preserve">. </w:t>
      </w:r>
    </w:p>
    <w:p w14:paraId="32E2A165" w14:textId="77777777" w:rsidR="0018013A" w:rsidRPr="009F161D" w:rsidRDefault="0018013A" w:rsidP="0018013A">
      <w:pPr>
        <w:tabs>
          <w:tab w:val="left" w:pos="1985"/>
        </w:tabs>
        <w:spacing w:line="360" w:lineRule="auto"/>
        <w:jc w:val="both"/>
        <w:rPr>
          <w:rFonts w:ascii="David" w:hAnsi="David"/>
          <w:spacing w:val="22"/>
          <w:rtl/>
        </w:rPr>
      </w:pPr>
    </w:p>
    <w:p w14:paraId="3B5663F4" w14:textId="77777777" w:rsidR="0018013A" w:rsidRPr="009F161D" w:rsidRDefault="0018013A" w:rsidP="0018013A">
      <w:pPr>
        <w:spacing w:line="360" w:lineRule="auto"/>
        <w:jc w:val="both"/>
        <w:rPr>
          <w:rFonts w:ascii="Arial" w:hAnsi="Arial"/>
          <w:spacing w:val="22"/>
          <w:rtl/>
        </w:rPr>
      </w:pPr>
      <w:r w:rsidRPr="009F161D">
        <w:rPr>
          <w:rFonts w:ascii="Arial" w:hAnsi="Arial"/>
          <w:spacing w:val="22"/>
          <w:rtl/>
        </w:rPr>
        <w:t>22.</w:t>
      </w:r>
      <w:r w:rsidRPr="009F161D">
        <w:rPr>
          <w:rFonts w:ascii="Arial" w:hAnsi="Arial"/>
          <w:spacing w:val="22"/>
          <w:rtl/>
        </w:rPr>
        <w:tab/>
        <w:t xml:space="preserve">מטעם ההגנה העידה אשת הנאשם 2, ג'ניפר נקטז'י. העדה אמרה כי היא נשואה לנאשם 2 כחמש שנים, עלתה מאפריקה. העדה אמרה שמדי יום הנאשם 2 מצטער על מעשיו, היא נותרה לטפל בשני ילדיהם, היא לבד וקשה לה. עוד העידו מטעם הגנת נאשם 2, ירון שגב, שסיפר על העזרה שהגיש לו נאשם 2 באמצעות עמותת "תנו לאדם לחיות" כשהיה בהליך גירושין, ורפי אברהם, שסיפר כי הוא נעזר רבות בעמותה לשם טיפול בבני נוער היוצאים בשאלה ונאשם 2 סייע לו רבות בנושאים הקשורים למזון ולינה. </w:t>
      </w:r>
    </w:p>
    <w:p w14:paraId="7C454D52" w14:textId="77777777" w:rsidR="0018013A" w:rsidRPr="009F161D" w:rsidRDefault="0018013A" w:rsidP="0018013A">
      <w:pPr>
        <w:spacing w:line="360" w:lineRule="auto"/>
        <w:jc w:val="both"/>
        <w:rPr>
          <w:rFonts w:ascii="Arial" w:hAnsi="Arial"/>
          <w:spacing w:val="22"/>
          <w:rtl/>
        </w:rPr>
      </w:pPr>
    </w:p>
    <w:p w14:paraId="09B44026" w14:textId="77777777" w:rsidR="0018013A" w:rsidRPr="009F161D" w:rsidRDefault="0018013A" w:rsidP="0018013A">
      <w:pPr>
        <w:spacing w:line="360" w:lineRule="auto"/>
        <w:jc w:val="both"/>
        <w:rPr>
          <w:rFonts w:ascii="David" w:hAnsi="David"/>
          <w:spacing w:val="22"/>
          <w:rtl/>
        </w:rPr>
      </w:pPr>
      <w:r w:rsidRPr="009F161D">
        <w:rPr>
          <w:rFonts w:ascii="Arial" w:hAnsi="Arial"/>
          <w:spacing w:val="22"/>
          <w:rtl/>
        </w:rPr>
        <w:t>23.</w:t>
      </w:r>
      <w:r w:rsidRPr="009F161D">
        <w:rPr>
          <w:rFonts w:ascii="Arial" w:hAnsi="Arial"/>
          <w:spacing w:val="22"/>
          <w:rtl/>
        </w:rPr>
        <w:tab/>
        <w:t xml:space="preserve">נאשם 2 פנה לבית המשפט, אמר כי הוא בן 55, אב </w:t>
      </w:r>
      <w:r w:rsidRPr="009F161D">
        <w:rPr>
          <w:rFonts w:ascii="David" w:hAnsi="David"/>
          <w:spacing w:val="22"/>
          <w:rtl/>
        </w:rPr>
        <w:t>ל - 13 ילדים וסב לשתי נכדות. בנו הגדול סובל ממחלה והנאשם טיפל בו במשך שנתיים. הנאשם אמר כי המסמכים שהוגשו בעניין שני בניו לא מסבירים את הקושי, הסבל והצורך שלהם בו. בנו הגדול מאושפז כעת, אינו נמצא בקשר טוב עם אימו וזקוק לנאשם בכדי לשמור על קשר עם העולם. עוד אמר הנאשם כי הוא אב לתינוקת ולילדה בת שלוש מבת זוגו הנוכחית. הוא סובל בבית  המעצר ואינו מקבל טיפול רפואי</w:t>
      </w:r>
      <w:r>
        <w:rPr>
          <w:rFonts w:ascii="David" w:hAnsi="David" w:hint="cs"/>
          <w:spacing w:val="22"/>
          <w:rtl/>
        </w:rPr>
        <w:t>,</w:t>
      </w:r>
      <w:r w:rsidRPr="009F161D">
        <w:rPr>
          <w:rFonts w:ascii="David" w:hAnsi="David"/>
          <w:spacing w:val="22"/>
          <w:rtl/>
        </w:rPr>
        <w:t xml:space="preserve"> הוא נמצא במעצר כ - 11 חודשים</w:t>
      </w:r>
      <w:r>
        <w:rPr>
          <w:rFonts w:ascii="David" w:hAnsi="David" w:hint="cs"/>
          <w:spacing w:val="22"/>
          <w:rtl/>
        </w:rPr>
        <w:t>,</w:t>
      </w:r>
      <w:r w:rsidRPr="009F161D">
        <w:rPr>
          <w:rFonts w:ascii="David" w:hAnsi="David"/>
          <w:spacing w:val="22"/>
          <w:rtl/>
        </w:rPr>
        <w:t xml:space="preserve"> למד את הלקח ומבקש רחמים.</w:t>
      </w:r>
    </w:p>
    <w:p w14:paraId="630DA0EF" w14:textId="77777777" w:rsidR="0018013A" w:rsidRPr="009F161D" w:rsidRDefault="0018013A" w:rsidP="0018013A">
      <w:pPr>
        <w:spacing w:line="360" w:lineRule="auto"/>
        <w:ind w:firstLine="720"/>
        <w:jc w:val="both"/>
        <w:rPr>
          <w:rFonts w:ascii="Arial" w:hAnsi="Arial"/>
          <w:spacing w:val="22"/>
          <w:rtl/>
        </w:rPr>
      </w:pPr>
    </w:p>
    <w:p w14:paraId="1CE3D455" w14:textId="77777777" w:rsidR="0018013A" w:rsidRPr="009F161D" w:rsidRDefault="0018013A" w:rsidP="0018013A">
      <w:pPr>
        <w:spacing w:after="120" w:line="360" w:lineRule="auto"/>
        <w:jc w:val="both"/>
        <w:rPr>
          <w:rFonts w:ascii="David" w:hAnsi="David"/>
          <w:spacing w:val="22"/>
          <w:rtl/>
        </w:rPr>
      </w:pPr>
      <w:r w:rsidRPr="009F161D">
        <w:rPr>
          <w:rFonts w:ascii="David" w:hAnsi="David"/>
          <w:spacing w:val="22"/>
          <w:rtl/>
        </w:rPr>
        <w:t>24.</w:t>
      </w:r>
      <w:r w:rsidRPr="009F161D">
        <w:rPr>
          <w:rFonts w:ascii="David" w:hAnsi="David"/>
          <w:spacing w:val="22"/>
          <w:rtl/>
        </w:rPr>
        <w:tab/>
        <w:t xml:space="preserve">מטעם הגנת נאשם 2 הוגשו מסמכים רפואיים ותמונות הנאשם, אישור נכות מביטוח לאומי לאי כושר עבודה מלא. </w:t>
      </w:r>
      <w:r>
        <w:rPr>
          <w:rFonts w:ascii="David" w:hAnsi="David" w:hint="cs"/>
          <w:spacing w:val="22"/>
          <w:rtl/>
        </w:rPr>
        <w:t xml:space="preserve">כן </w:t>
      </w:r>
      <w:r w:rsidRPr="009F161D">
        <w:rPr>
          <w:rFonts w:ascii="David" w:hAnsi="David"/>
          <w:spacing w:val="22"/>
          <w:rtl/>
        </w:rPr>
        <w:t>הוגשו מסמכים רפואיים לגבי שניים מ-13 ילדיו של נאשם 2.</w:t>
      </w:r>
    </w:p>
    <w:p w14:paraId="6B557CBF" w14:textId="77777777" w:rsidR="0018013A" w:rsidRDefault="0018013A" w:rsidP="0018013A">
      <w:pPr>
        <w:spacing w:line="360" w:lineRule="auto"/>
        <w:jc w:val="both"/>
        <w:rPr>
          <w:rFonts w:ascii="Arial" w:hAnsi="Arial"/>
          <w:spacing w:val="22"/>
          <w:rtl/>
        </w:rPr>
      </w:pPr>
    </w:p>
    <w:p w14:paraId="499F8A3F" w14:textId="77777777" w:rsidR="0018013A" w:rsidRDefault="0018013A" w:rsidP="0018013A">
      <w:pPr>
        <w:spacing w:line="360" w:lineRule="auto"/>
        <w:jc w:val="both"/>
        <w:rPr>
          <w:rFonts w:ascii="Arial" w:hAnsi="Arial"/>
          <w:spacing w:val="22"/>
          <w:rtl/>
        </w:rPr>
      </w:pPr>
    </w:p>
    <w:p w14:paraId="08876B3B" w14:textId="77777777" w:rsidR="0018013A" w:rsidRPr="009F161D" w:rsidRDefault="0018013A" w:rsidP="0018013A">
      <w:pPr>
        <w:spacing w:line="360" w:lineRule="auto"/>
        <w:jc w:val="both"/>
        <w:rPr>
          <w:rFonts w:ascii="Arial" w:hAnsi="Arial"/>
          <w:spacing w:val="22"/>
          <w:rtl/>
        </w:rPr>
      </w:pPr>
    </w:p>
    <w:p w14:paraId="4E296FD4" w14:textId="77777777" w:rsidR="0018013A" w:rsidRPr="009F161D" w:rsidRDefault="0018013A" w:rsidP="0018013A">
      <w:pPr>
        <w:spacing w:line="360" w:lineRule="auto"/>
        <w:ind w:firstLine="720"/>
        <w:jc w:val="both"/>
        <w:rPr>
          <w:rFonts w:ascii="Miriam" w:hAnsi="Miriam"/>
          <w:b/>
          <w:bCs/>
          <w:spacing w:val="22"/>
          <w:rtl/>
        </w:rPr>
      </w:pPr>
      <w:r w:rsidRPr="009F161D">
        <w:rPr>
          <w:rFonts w:ascii="Miriam" w:hAnsi="Miriam" w:hint="eastAsia"/>
          <w:b/>
          <w:bCs/>
          <w:spacing w:val="22"/>
          <w:rtl/>
        </w:rPr>
        <w:t>דיון</w:t>
      </w:r>
    </w:p>
    <w:p w14:paraId="26B3F71A" w14:textId="77777777" w:rsidR="0018013A" w:rsidRPr="009F161D" w:rsidRDefault="0018013A" w:rsidP="0018013A">
      <w:pPr>
        <w:spacing w:after="120" w:line="360" w:lineRule="auto"/>
        <w:jc w:val="both"/>
        <w:rPr>
          <w:rFonts w:ascii="Arial" w:hAnsi="Arial"/>
          <w:spacing w:val="22"/>
          <w:rtl/>
        </w:rPr>
      </w:pPr>
      <w:r w:rsidRPr="009F161D">
        <w:rPr>
          <w:rFonts w:ascii="David" w:hAnsi="David"/>
          <w:spacing w:val="22"/>
          <w:rtl/>
        </w:rPr>
        <w:t>25.</w:t>
      </w:r>
      <w:r w:rsidRPr="009F161D">
        <w:rPr>
          <w:rFonts w:ascii="David" w:hAnsi="David"/>
          <w:spacing w:val="22"/>
          <w:rtl/>
        </w:rPr>
        <w:tab/>
        <w:t xml:space="preserve">הנאשמים ביצעו </w:t>
      </w:r>
      <w:r w:rsidRPr="009F161D">
        <w:rPr>
          <w:rFonts w:ascii="Arial" w:hAnsi="Arial"/>
          <w:spacing w:val="22"/>
          <w:rtl/>
        </w:rPr>
        <w:t>ריבוי עבירות נשק, מרמה</w:t>
      </w:r>
      <w:r w:rsidRPr="009F161D">
        <w:rPr>
          <w:rFonts w:ascii="David" w:hAnsi="David"/>
          <w:spacing w:val="22"/>
          <w:rtl/>
        </w:rPr>
        <w:t xml:space="preserve"> וזיוף. העבירות שביצעו הנאשמים פוגעות בערכים המוגנים של שמירה על חיי אדם ושלמות הגוף, שמירה על שלום הציבור ובטחונו, על הסדר הציבורי ועל שלטון החוק. הן בוצעו בתעוזה, בעורמה, בתחכום, לאחר תכנון ומחשבה מוקדמת ואינם בגדר מעידה חד פעמית. מדובר בשיטת מרמה, שכללה פנייה למוכרי נשק, יצירת מצג של קונה בזהות בדויה, אמירה בכזב כי ישנו עו"ד שיבצע את הנדרש להשלמת העסק</w:t>
      </w:r>
      <w:r>
        <w:rPr>
          <w:rFonts w:ascii="David" w:hAnsi="David" w:hint="cs"/>
          <w:spacing w:val="22"/>
          <w:rtl/>
        </w:rPr>
        <w:t>ה</w:t>
      </w:r>
      <w:r w:rsidRPr="009F161D">
        <w:rPr>
          <w:rFonts w:ascii="David" w:hAnsi="David"/>
          <w:spacing w:val="22"/>
          <w:rtl/>
        </w:rPr>
        <w:t xml:space="preserve"> תוך נקיבה בשם ספציפי ואף הפנית השיחה של הקונה אליו, שימוש ב"טלפונים מבצעים" שאינם מאפשרים איתור של המבצעים, ופעולה לאורך כשמונה חודשים במספר רב של הזדמנויות ובמקומות שונים בארץ. בחלק מהמקרים הנאשמים הצליחו להשלים את העסקה ולקבל לידם את הנשק, ובחלק מהמקרים נכשלה העסקה מסיבות שאינן תלויות בנאשמים, שביקשו מצדם להשלימה. העבירות בוצעו בצוותא, במהלכם בוצעו, כאמור, שיחות טלפון פיקטיביות לאותו עו"ד נטען והוצגו מסמכים מזויפים. כמו כן, אין לדעת לאן התגלגל הנשק שהשיגו הנאשמים באישום התשיעי. למרבה הצער, עבירות הנשק הפכו נפוצות במחוזותינו וכלי נשק חם הפכו זמינים וקלים להשגה. החומרה שבהחזקת הנשק בידיים בלתי מורשות נובעת, בין היתר, מכך שהוא עשוי לשמש לביצוע עבירה חמורה יותר, </w:t>
      </w:r>
      <w:r w:rsidR="00C94904" w:rsidRPr="00727925">
        <w:rPr>
          <w:rFonts w:ascii="David" w:hAnsi="David"/>
          <w:spacing w:val="22"/>
          <w:rtl/>
        </w:rPr>
        <w:t>ותדיר</w:t>
      </w:r>
      <w:r w:rsidRPr="009F161D">
        <w:rPr>
          <w:rFonts w:ascii="David" w:hAnsi="David"/>
          <w:spacing w:val="22"/>
          <w:rtl/>
        </w:rPr>
        <w:t xml:space="preserve"> נעשה שימוש בכלי נשק חם למטרות עברייניות וביטחוניות, לא אחת נפגעים בני אדם חפים מפשע ואף מתרחשות תאונות כתוצאה מהחזקה לא מורשית של נשק. בשל הצורך בהרתעת הרבים, ועל מנת למגר את התופעה ההולכת וגוברת של הצטיידות והחזקה ללא רישיון בכלי נשק ולצמצם את כמות הנשק הבלתי חוקי המוחזק בידי הציבור, ניכרת בשנים האחרונות החמרה בענישה בגין עבירות בנשק, והפסיקה קובעת כי רק במקרים חריגים ויוצאי דופן לא תכלול מאסר בפועל (ר': </w:t>
      </w:r>
      <w:hyperlink r:id="rId57" w:history="1">
        <w:r w:rsidR="00C94904" w:rsidRPr="00C94904">
          <w:rPr>
            <w:rFonts w:ascii="David" w:hAnsi="David"/>
            <w:color w:val="0000FF"/>
            <w:spacing w:val="22"/>
            <w:u w:val="single"/>
            <w:rtl/>
          </w:rPr>
          <w:t>רע"פ 5613/20</w:t>
        </w:r>
      </w:hyperlink>
      <w:r w:rsidRPr="009F161D">
        <w:rPr>
          <w:rFonts w:ascii="David" w:hAnsi="David"/>
          <w:spacing w:val="22"/>
          <w:rtl/>
        </w:rPr>
        <w:t xml:space="preserve"> </w:t>
      </w:r>
      <w:r w:rsidRPr="009F161D">
        <w:rPr>
          <w:rFonts w:ascii="David" w:hAnsi="David"/>
          <w:b/>
          <w:bCs/>
          <w:spacing w:val="22"/>
          <w:rtl/>
        </w:rPr>
        <w:t>אלהוזייל נ' מדינת ישראל</w:t>
      </w:r>
      <w:r w:rsidRPr="009F161D">
        <w:rPr>
          <w:rFonts w:ascii="David" w:hAnsi="David"/>
          <w:spacing w:val="22"/>
          <w:rtl/>
        </w:rPr>
        <w:t xml:space="preserve"> (2020)). לפיכך, </w:t>
      </w:r>
      <w:r w:rsidRPr="009F161D">
        <w:rPr>
          <w:rFonts w:ascii="Arial" w:hAnsi="Arial"/>
          <w:spacing w:val="22"/>
          <w:rtl/>
        </w:rPr>
        <w:t xml:space="preserve">מתחם הענישה הראוי בנסיבות דנן לעבירות שביצע הנאשם 1 הנו </w:t>
      </w:r>
      <w:r>
        <w:rPr>
          <w:rFonts w:ascii="Arial" w:hAnsi="Arial" w:hint="cs"/>
          <w:spacing w:val="22"/>
          <w:rtl/>
        </w:rPr>
        <w:t>30</w:t>
      </w:r>
      <w:r w:rsidRPr="009F161D">
        <w:rPr>
          <w:rFonts w:ascii="Arial" w:hAnsi="Arial"/>
          <w:spacing w:val="22"/>
          <w:rtl/>
        </w:rPr>
        <w:t xml:space="preserve"> עד </w:t>
      </w:r>
      <w:r>
        <w:rPr>
          <w:rFonts w:ascii="Arial" w:hAnsi="Arial" w:hint="cs"/>
          <w:spacing w:val="22"/>
          <w:rtl/>
        </w:rPr>
        <w:t>60</w:t>
      </w:r>
      <w:r w:rsidRPr="009F161D">
        <w:rPr>
          <w:rFonts w:ascii="Arial" w:hAnsi="Arial"/>
          <w:spacing w:val="22"/>
          <w:rtl/>
        </w:rPr>
        <w:t xml:space="preserve"> חודשי מאסר. מתחם הענישה הראוי בנסיבות דנן לעבירות שביצע הנאשם 2 הנו </w:t>
      </w:r>
      <w:r>
        <w:rPr>
          <w:rFonts w:ascii="Arial" w:hAnsi="Arial" w:hint="cs"/>
          <w:spacing w:val="22"/>
          <w:rtl/>
        </w:rPr>
        <w:t>32</w:t>
      </w:r>
      <w:r w:rsidRPr="009F161D">
        <w:rPr>
          <w:rFonts w:ascii="Arial" w:hAnsi="Arial"/>
          <w:spacing w:val="22"/>
          <w:rtl/>
        </w:rPr>
        <w:t xml:space="preserve"> עד </w:t>
      </w:r>
      <w:r>
        <w:rPr>
          <w:rFonts w:ascii="Arial" w:hAnsi="Arial" w:hint="cs"/>
          <w:spacing w:val="22"/>
          <w:rtl/>
        </w:rPr>
        <w:t>60</w:t>
      </w:r>
      <w:r w:rsidRPr="009F161D">
        <w:rPr>
          <w:rFonts w:ascii="Arial" w:hAnsi="Arial"/>
          <w:spacing w:val="22"/>
          <w:rtl/>
        </w:rPr>
        <w:t xml:space="preserve"> חודשי מאסר.</w:t>
      </w:r>
    </w:p>
    <w:p w14:paraId="611B672D" w14:textId="77777777" w:rsidR="0018013A" w:rsidRPr="009F161D" w:rsidRDefault="0018013A" w:rsidP="0018013A">
      <w:pPr>
        <w:spacing w:after="120" w:line="360" w:lineRule="auto"/>
        <w:jc w:val="both"/>
        <w:rPr>
          <w:rFonts w:ascii="Arial" w:hAnsi="Arial"/>
          <w:spacing w:val="22"/>
          <w:rtl/>
        </w:rPr>
      </w:pPr>
    </w:p>
    <w:p w14:paraId="7352152B" w14:textId="77777777" w:rsidR="0018013A" w:rsidRPr="009F161D" w:rsidRDefault="0018013A" w:rsidP="0018013A">
      <w:pPr>
        <w:spacing w:after="120" w:line="360" w:lineRule="auto"/>
        <w:ind w:firstLine="720"/>
        <w:jc w:val="both"/>
        <w:rPr>
          <w:rFonts w:ascii="David" w:hAnsi="David"/>
          <w:b/>
          <w:bCs/>
          <w:spacing w:val="22"/>
          <w:rtl/>
        </w:rPr>
      </w:pPr>
      <w:r w:rsidRPr="009F161D">
        <w:rPr>
          <w:rFonts w:ascii="David" w:hAnsi="David"/>
          <w:b/>
          <w:bCs/>
          <w:spacing w:val="22"/>
          <w:rtl/>
        </w:rPr>
        <w:t>נאשם 1</w:t>
      </w:r>
    </w:p>
    <w:p w14:paraId="2F02FB13" w14:textId="77777777" w:rsidR="0018013A" w:rsidRPr="009F161D" w:rsidRDefault="0018013A" w:rsidP="0018013A">
      <w:pPr>
        <w:spacing w:after="120" w:line="360" w:lineRule="auto"/>
        <w:jc w:val="both"/>
        <w:rPr>
          <w:rFonts w:ascii="David" w:hAnsi="David"/>
          <w:spacing w:val="22"/>
          <w:rtl/>
        </w:rPr>
      </w:pPr>
      <w:r w:rsidRPr="009F161D">
        <w:rPr>
          <w:rFonts w:ascii="David" w:hAnsi="David"/>
          <w:spacing w:val="22"/>
          <w:rtl/>
        </w:rPr>
        <w:t>26.</w:t>
      </w:r>
      <w:r w:rsidRPr="009F161D">
        <w:rPr>
          <w:rFonts w:ascii="David" w:hAnsi="David"/>
          <w:spacing w:val="22"/>
          <w:rtl/>
        </w:rPr>
        <w:tab/>
      </w:r>
      <w:r w:rsidRPr="009F161D">
        <w:rPr>
          <w:rFonts w:ascii="Arial" w:hAnsi="Arial"/>
          <w:spacing w:val="22"/>
          <w:rtl/>
        </w:rPr>
        <w:t>נאשם 1 הינו יליד 1986. הנאשם נטל אחריות, הודה בביצוע העבירות, תרם לייעול ההליך ולחיסכון בזמן שיפוטי והביע חרטה.</w:t>
      </w:r>
      <w:r w:rsidRPr="009F161D">
        <w:rPr>
          <w:rFonts w:ascii="David" w:hAnsi="David"/>
          <w:spacing w:val="22"/>
          <w:rtl/>
        </w:rPr>
        <w:t xml:space="preserve"> לקולה יובאו בחשבון מצבו הבריאותי והמשפחתי, וכן תרומתו למדינה שאינה במחלוקת. בעברו של הנאשם 1 הרשעות קודמות ממין הענין בגינן ריצה מאסרים קודמים, באופן המלמד על מעורבותו בפלילים והיעדר מורא מהחוק. </w:t>
      </w:r>
    </w:p>
    <w:p w14:paraId="2066C379" w14:textId="77777777" w:rsidR="0018013A" w:rsidRPr="009F161D" w:rsidRDefault="0018013A" w:rsidP="0018013A">
      <w:pPr>
        <w:spacing w:after="120" w:line="360" w:lineRule="auto"/>
        <w:jc w:val="both"/>
        <w:rPr>
          <w:rFonts w:ascii="David" w:hAnsi="David"/>
          <w:b/>
          <w:bCs/>
          <w:spacing w:val="22"/>
          <w:rtl/>
        </w:rPr>
      </w:pPr>
      <w:r w:rsidRPr="009F161D">
        <w:rPr>
          <w:rFonts w:ascii="David" w:hAnsi="David"/>
          <w:b/>
          <w:bCs/>
          <w:spacing w:val="22"/>
          <w:rtl/>
        </w:rPr>
        <w:tab/>
        <w:t>נאשם 2</w:t>
      </w:r>
    </w:p>
    <w:p w14:paraId="2165BBF2" w14:textId="77777777" w:rsidR="0018013A" w:rsidRPr="009F161D" w:rsidRDefault="0018013A" w:rsidP="0018013A">
      <w:pPr>
        <w:spacing w:after="120" w:line="360" w:lineRule="auto"/>
        <w:jc w:val="both"/>
        <w:rPr>
          <w:rFonts w:ascii="David" w:hAnsi="David"/>
          <w:spacing w:val="22"/>
          <w:rtl/>
        </w:rPr>
      </w:pPr>
      <w:r>
        <w:rPr>
          <w:rFonts w:ascii="David" w:hAnsi="David"/>
          <w:spacing w:val="22"/>
          <w:rtl/>
        </w:rPr>
        <w:t>27.</w:t>
      </w:r>
      <w:r>
        <w:rPr>
          <w:rFonts w:ascii="David" w:hAnsi="David"/>
          <w:spacing w:val="22"/>
          <w:rtl/>
        </w:rPr>
        <w:tab/>
      </w:r>
      <w:r w:rsidRPr="009F161D">
        <w:rPr>
          <w:rFonts w:ascii="David" w:hAnsi="David"/>
          <w:spacing w:val="22"/>
          <w:rtl/>
        </w:rPr>
        <w:t>נאשם 2 הינו יליד 1966.</w:t>
      </w:r>
      <w:r w:rsidRPr="009F161D">
        <w:rPr>
          <w:rFonts w:ascii="Arial" w:hAnsi="Arial"/>
          <w:spacing w:val="22"/>
          <w:rtl/>
        </w:rPr>
        <w:t xml:space="preserve"> הנאשם נטל אחריות, הודה בביצוע העבירות, תרם לייעול ההליך ולחיסכון בזמן שיפוטי והביע חרטה.</w:t>
      </w:r>
      <w:r w:rsidRPr="009F161D">
        <w:rPr>
          <w:rFonts w:ascii="David" w:hAnsi="David"/>
          <w:spacing w:val="22"/>
          <w:rtl/>
        </w:rPr>
        <w:t xml:space="preserve"> לקולה יובאו בחשבון מצבו הבריאותי והמשפחתי. עברו הפלילי אינו כולל עבירות ממין הענין, אך מלמד כי אין זו הסתבכותו הראשונה של נאשם 2 עם החוק ולא היה בהרשעותיו הקודמות כדי להרתיעו מלעבור על החוק שוב ושוב כפי שפעל בתיק דנן במשך תקופה ארוכה. </w:t>
      </w:r>
    </w:p>
    <w:p w14:paraId="56E7F539" w14:textId="77777777" w:rsidR="0018013A" w:rsidRPr="00C23E22" w:rsidRDefault="0018013A" w:rsidP="0018013A">
      <w:pPr>
        <w:spacing w:after="120" w:line="360" w:lineRule="auto"/>
        <w:ind w:firstLine="720"/>
        <w:jc w:val="both"/>
        <w:rPr>
          <w:rFonts w:ascii="David" w:hAnsi="David"/>
          <w:spacing w:val="22"/>
          <w:sz w:val="8"/>
          <w:szCs w:val="8"/>
          <w:rtl/>
        </w:rPr>
      </w:pPr>
    </w:p>
    <w:p w14:paraId="1BB78265" w14:textId="77777777" w:rsidR="0018013A" w:rsidRPr="009F161D" w:rsidRDefault="0018013A" w:rsidP="0018013A">
      <w:pPr>
        <w:spacing w:after="120" w:line="360" w:lineRule="auto"/>
        <w:ind w:firstLine="720"/>
        <w:jc w:val="both"/>
        <w:rPr>
          <w:rFonts w:ascii="David" w:hAnsi="David"/>
          <w:spacing w:val="22"/>
          <w:rtl/>
        </w:rPr>
      </w:pPr>
      <w:r w:rsidRPr="009F161D">
        <w:rPr>
          <w:rFonts w:ascii="David" w:hAnsi="David"/>
          <w:spacing w:val="22"/>
          <w:rtl/>
        </w:rPr>
        <w:t xml:space="preserve">בנסיבות אלה, נוכח חומרת המעשים </w:t>
      </w:r>
      <w:r>
        <w:rPr>
          <w:rFonts w:ascii="David" w:hAnsi="David" w:hint="cs"/>
          <w:spacing w:val="22"/>
          <w:rtl/>
        </w:rPr>
        <w:t>וטיבם,</w:t>
      </w:r>
      <w:r w:rsidRPr="009F161D">
        <w:rPr>
          <w:rFonts w:ascii="David" w:hAnsi="David"/>
          <w:spacing w:val="22"/>
          <w:rtl/>
        </w:rPr>
        <w:t xml:space="preserve"> אני גוזר על הנאשמים, כדלקמן:</w:t>
      </w:r>
    </w:p>
    <w:p w14:paraId="6A122BBD" w14:textId="77777777" w:rsidR="0018013A" w:rsidRPr="00C23E22" w:rsidRDefault="0018013A" w:rsidP="0018013A">
      <w:pPr>
        <w:spacing w:line="360" w:lineRule="auto"/>
        <w:jc w:val="both"/>
        <w:rPr>
          <w:rFonts w:ascii="Arial" w:hAnsi="Arial"/>
          <w:spacing w:val="22"/>
          <w:sz w:val="16"/>
          <w:szCs w:val="16"/>
          <w:rtl/>
        </w:rPr>
      </w:pPr>
    </w:p>
    <w:p w14:paraId="5624E3B3" w14:textId="77777777" w:rsidR="0018013A" w:rsidRDefault="0018013A" w:rsidP="0018013A">
      <w:pPr>
        <w:spacing w:line="360" w:lineRule="auto"/>
        <w:ind w:left="1440" w:hanging="615"/>
        <w:jc w:val="both"/>
        <w:rPr>
          <w:rFonts w:ascii="Arial" w:hAnsi="Arial"/>
          <w:spacing w:val="22"/>
          <w:rtl/>
        </w:rPr>
      </w:pPr>
      <w:r>
        <w:rPr>
          <w:rFonts w:ascii="Arial" w:hAnsi="Arial" w:hint="cs"/>
          <w:spacing w:val="22"/>
          <w:rtl/>
        </w:rPr>
        <w:t>1.</w:t>
      </w:r>
      <w:r>
        <w:rPr>
          <w:rFonts w:ascii="Arial" w:hAnsi="Arial" w:hint="cs"/>
          <w:spacing w:val="22"/>
          <w:rtl/>
        </w:rPr>
        <w:tab/>
        <w:t xml:space="preserve">על נאשם 1 מאסר בפועל לתקופה של 32  חודשי מאסר. תחילת מאסרו מיום מעצרו. </w:t>
      </w:r>
    </w:p>
    <w:p w14:paraId="60403566" w14:textId="77777777" w:rsidR="0018013A" w:rsidRPr="00C23E22" w:rsidRDefault="0018013A" w:rsidP="0018013A">
      <w:pPr>
        <w:spacing w:line="360" w:lineRule="auto"/>
        <w:jc w:val="both"/>
        <w:rPr>
          <w:rFonts w:ascii="Arial" w:hAnsi="Arial"/>
          <w:spacing w:val="22"/>
          <w:sz w:val="16"/>
          <w:szCs w:val="16"/>
          <w:rtl/>
        </w:rPr>
      </w:pPr>
    </w:p>
    <w:p w14:paraId="1A4D6F10" w14:textId="77777777" w:rsidR="0018013A" w:rsidRDefault="0018013A" w:rsidP="0018013A">
      <w:pPr>
        <w:spacing w:line="360" w:lineRule="auto"/>
        <w:ind w:left="1440" w:hanging="615"/>
        <w:jc w:val="both"/>
        <w:rPr>
          <w:rFonts w:ascii="Arial" w:hAnsi="Arial"/>
          <w:spacing w:val="22"/>
          <w:rtl/>
        </w:rPr>
      </w:pPr>
      <w:r>
        <w:rPr>
          <w:rFonts w:ascii="Arial" w:hAnsi="Arial" w:hint="cs"/>
          <w:spacing w:val="22"/>
          <w:rtl/>
        </w:rPr>
        <w:t>2.</w:t>
      </w:r>
      <w:r>
        <w:rPr>
          <w:rFonts w:ascii="Arial" w:hAnsi="Arial" w:hint="cs"/>
          <w:spacing w:val="22"/>
          <w:rtl/>
        </w:rPr>
        <w:tab/>
        <w:t xml:space="preserve">על נאשם 2 מאסר בפועל לתקופה של 34  חודשי מאסר. תחילת מאסרו מיום מעצרו. </w:t>
      </w:r>
    </w:p>
    <w:p w14:paraId="27AA6698" w14:textId="77777777" w:rsidR="0018013A" w:rsidRPr="00C23E22" w:rsidRDefault="0018013A" w:rsidP="0018013A">
      <w:pPr>
        <w:spacing w:line="360" w:lineRule="auto"/>
        <w:ind w:left="1440" w:hanging="615"/>
        <w:jc w:val="both"/>
        <w:rPr>
          <w:rFonts w:ascii="Arial" w:hAnsi="Arial"/>
          <w:spacing w:val="22"/>
          <w:sz w:val="16"/>
          <w:szCs w:val="16"/>
          <w:rtl/>
        </w:rPr>
      </w:pPr>
    </w:p>
    <w:p w14:paraId="4F2EAE62" w14:textId="77777777" w:rsidR="0018013A" w:rsidRDefault="0018013A" w:rsidP="0018013A">
      <w:pPr>
        <w:spacing w:line="360" w:lineRule="auto"/>
        <w:ind w:left="1440" w:hanging="615"/>
        <w:jc w:val="both"/>
        <w:rPr>
          <w:rFonts w:ascii="Arial" w:hAnsi="Arial"/>
          <w:spacing w:val="22"/>
          <w:rtl/>
        </w:rPr>
      </w:pPr>
      <w:r>
        <w:rPr>
          <w:rFonts w:ascii="Arial" w:hAnsi="Arial" w:hint="cs"/>
          <w:spacing w:val="22"/>
          <w:rtl/>
        </w:rPr>
        <w:t>3.</w:t>
      </w:r>
      <w:r>
        <w:rPr>
          <w:rFonts w:ascii="Arial" w:hAnsi="Arial" w:hint="cs"/>
          <w:spacing w:val="22"/>
          <w:rtl/>
        </w:rPr>
        <w:tab/>
        <w:t xml:space="preserve">על שני הנאשמים </w:t>
      </w:r>
      <w:r>
        <w:rPr>
          <w:rFonts w:ascii="Arial" w:hAnsi="Arial"/>
          <w:spacing w:val="22"/>
          <w:rtl/>
        </w:rPr>
        <w:t>–</w:t>
      </w:r>
      <w:r>
        <w:rPr>
          <w:rFonts w:ascii="Arial" w:hAnsi="Arial" w:hint="cs"/>
          <w:spacing w:val="22"/>
          <w:rtl/>
        </w:rPr>
        <w:t xml:space="preserve"> מאסר מותנה לתקופת 6 חודשים והתנאי הוא שהנאשמים לא יעברו עבירה מהעבירות בהן הורשעו בתיק זה בתוך 3 שנים מיום שחרורם ממאסר. </w:t>
      </w:r>
    </w:p>
    <w:p w14:paraId="4CE4C549" w14:textId="77777777" w:rsidR="0018013A" w:rsidRDefault="0018013A" w:rsidP="0018013A">
      <w:pPr>
        <w:spacing w:line="360" w:lineRule="auto"/>
        <w:ind w:left="1440" w:hanging="615"/>
        <w:jc w:val="both"/>
        <w:rPr>
          <w:rFonts w:ascii="Arial" w:hAnsi="Arial"/>
          <w:spacing w:val="22"/>
          <w:rtl/>
        </w:rPr>
      </w:pPr>
    </w:p>
    <w:p w14:paraId="7F7159A2" w14:textId="77777777" w:rsidR="0018013A" w:rsidRDefault="0018013A" w:rsidP="0018013A">
      <w:pPr>
        <w:spacing w:line="360" w:lineRule="auto"/>
        <w:ind w:left="1440" w:hanging="615"/>
        <w:jc w:val="both"/>
        <w:rPr>
          <w:rFonts w:ascii="Arial" w:hAnsi="Arial"/>
          <w:spacing w:val="22"/>
          <w:rtl/>
        </w:rPr>
      </w:pPr>
      <w:r>
        <w:rPr>
          <w:rFonts w:ascii="Arial" w:hAnsi="Arial" w:hint="cs"/>
          <w:spacing w:val="22"/>
          <w:rtl/>
        </w:rPr>
        <w:t>4.</w:t>
      </w:r>
      <w:r>
        <w:rPr>
          <w:rFonts w:ascii="Arial" w:hAnsi="Arial" w:hint="cs"/>
          <w:spacing w:val="22"/>
          <w:rtl/>
        </w:rPr>
        <w:tab/>
        <w:t xml:space="preserve">על כל אחד מהנאשמים קנס בסך 10,000 ₪ או 60 ימי מאסר תמורתו. הקנס ישולם עד 1/1/23. </w:t>
      </w:r>
    </w:p>
    <w:p w14:paraId="3A888D12" w14:textId="77777777" w:rsidR="0018013A" w:rsidRPr="00C23E22" w:rsidRDefault="0018013A" w:rsidP="0018013A">
      <w:pPr>
        <w:spacing w:line="360" w:lineRule="auto"/>
        <w:jc w:val="both"/>
        <w:rPr>
          <w:rFonts w:ascii="Arial" w:hAnsi="Arial"/>
          <w:spacing w:val="22"/>
          <w:sz w:val="14"/>
          <w:szCs w:val="14"/>
          <w:rtl/>
        </w:rPr>
      </w:pPr>
    </w:p>
    <w:p w14:paraId="2398B0B3" w14:textId="77777777" w:rsidR="0018013A" w:rsidRPr="009F161D" w:rsidRDefault="0018013A" w:rsidP="0018013A">
      <w:pPr>
        <w:spacing w:line="360" w:lineRule="auto"/>
        <w:jc w:val="both"/>
        <w:rPr>
          <w:rFonts w:ascii="Arial" w:hAnsi="Arial"/>
          <w:spacing w:val="22"/>
          <w:rtl/>
        </w:rPr>
      </w:pPr>
      <w:r>
        <w:rPr>
          <w:rFonts w:ascii="Arial" w:hAnsi="Arial"/>
          <w:spacing w:val="22"/>
        </w:rPr>
        <w:tab/>
      </w:r>
      <w:r>
        <w:rPr>
          <w:rFonts w:ascii="Arial" w:hAnsi="Arial" w:hint="cs"/>
          <w:spacing w:val="22"/>
          <w:rtl/>
        </w:rPr>
        <w:t xml:space="preserve">זכות ערעור לבית משפט העליון בתוך 45 יום מהיום. </w:t>
      </w:r>
    </w:p>
    <w:p w14:paraId="33BF8F9B" w14:textId="77777777" w:rsidR="0018013A" w:rsidRPr="00C23E22" w:rsidRDefault="0018013A" w:rsidP="0018013A">
      <w:pPr>
        <w:rPr>
          <w:rFonts w:ascii="Arial" w:hAnsi="Arial"/>
          <w:b/>
          <w:bCs/>
          <w:spacing w:val="22"/>
          <w:sz w:val="12"/>
          <w:szCs w:val="12"/>
          <w:rtl/>
        </w:rPr>
      </w:pPr>
    </w:p>
    <w:p w14:paraId="56F4F936" w14:textId="77777777" w:rsidR="0018013A" w:rsidRPr="00C23E22" w:rsidRDefault="0018013A" w:rsidP="0018013A">
      <w:pPr>
        <w:rPr>
          <w:rFonts w:ascii="Arial" w:hAnsi="Arial"/>
          <w:b/>
          <w:bCs/>
          <w:spacing w:val="22"/>
          <w:sz w:val="20"/>
          <w:szCs w:val="20"/>
          <w:rtl/>
        </w:rPr>
      </w:pPr>
    </w:p>
    <w:p w14:paraId="0F096689" w14:textId="77777777" w:rsidR="0018013A" w:rsidRDefault="00C94904" w:rsidP="0018013A">
      <w:pPr>
        <w:spacing w:line="360" w:lineRule="auto"/>
        <w:ind w:firstLine="720"/>
        <w:jc w:val="both"/>
        <w:rPr>
          <w:rFonts w:ascii="Arial" w:hAnsi="Arial"/>
          <w:b/>
          <w:bCs/>
          <w:sz w:val="26"/>
          <w:szCs w:val="26"/>
          <w:rtl/>
        </w:rPr>
      </w:pPr>
      <w:bookmarkStart w:id="8" w:name="Nitan"/>
      <w:r>
        <w:rPr>
          <w:rFonts w:ascii="Arial" w:hAnsi="Arial"/>
          <w:b/>
          <w:bCs/>
          <w:spacing w:val="22"/>
          <w:sz w:val="26"/>
          <w:szCs w:val="26"/>
          <w:rtl/>
        </w:rPr>
        <w:t xml:space="preserve">ניתן היום, ז' בתשרי, תשפ"ג, 20 אוקטובר 2022, במעמד ב"כ </w:t>
      </w:r>
      <w:bookmarkEnd w:id="8"/>
      <w:r w:rsidR="0018013A">
        <w:rPr>
          <w:rFonts w:ascii="Arial" w:hAnsi="Arial" w:hint="cs"/>
          <w:b/>
          <w:bCs/>
          <w:spacing w:val="22"/>
          <w:sz w:val="26"/>
          <w:szCs w:val="26"/>
          <w:rtl/>
        </w:rPr>
        <w:t xml:space="preserve">המאשימה, ב"כ הנאשמים והנאשמים בעצמם. </w:t>
      </w:r>
    </w:p>
    <w:p w14:paraId="76AF480B" w14:textId="77777777" w:rsidR="0018013A" w:rsidRDefault="0018013A" w:rsidP="0018013A">
      <w:pPr>
        <w:spacing w:line="360" w:lineRule="auto"/>
        <w:ind w:firstLine="720"/>
        <w:jc w:val="both"/>
        <w:rPr>
          <w:rFonts w:ascii="Arial" w:hAnsi="Arial"/>
          <w:b/>
          <w:bCs/>
          <w:sz w:val="26"/>
          <w:szCs w:val="26"/>
          <w:rtl/>
        </w:rPr>
      </w:pPr>
    </w:p>
    <w:p w14:paraId="3D6BC9A1" w14:textId="77777777" w:rsidR="0018013A" w:rsidRPr="00C94904" w:rsidRDefault="00C94904" w:rsidP="0018013A">
      <w:pPr>
        <w:rPr>
          <w:color w:val="FFFFFF"/>
          <w:sz w:val="2"/>
          <w:szCs w:val="2"/>
          <w:rtl/>
        </w:rPr>
      </w:pPr>
      <w:r w:rsidRPr="00C94904">
        <w:rPr>
          <w:color w:val="FFFFFF"/>
          <w:sz w:val="2"/>
          <w:szCs w:val="2"/>
          <w:rtl/>
        </w:rPr>
        <w:t>5129371</w:t>
      </w:r>
    </w:p>
    <w:tbl>
      <w:tblPr>
        <w:bidiVisual/>
        <w:tblW w:w="0" w:type="auto"/>
        <w:tblInd w:w="5444" w:type="dxa"/>
        <w:tblLook w:val="01E0" w:firstRow="1" w:lastRow="1" w:firstColumn="1" w:lastColumn="1" w:noHBand="0" w:noVBand="0"/>
      </w:tblPr>
      <w:tblGrid>
        <w:gridCol w:w="2775"/>
      </w:tblGrid>
      <w:tr w:rsidR="0018013A" w14:paraId="37009E54" w14:textId="77777777" w:rsidTr="0018013A">
        <w:tc>
          <w:tcPr>
            <w:tcW w:w="2775" w:type="dxa"/>
            <w:tcBorders>
              <w:top w:val="nil"/>
              <w:left w:val="nil"/>
              <w:bottom w:val="single" w:sz="4" w:space="0" w:color="auto"/>
              <w:right w:val="nil"/>
            </w:tcBorders>
            <w:shd w:val="clear" w:color="auto" w:fill="auto"/>
            <w:vAlign w:val="center"/>
          </w:tcPr>
          <w:p w14:paraId="6B22F43C" w14:textId="77777777" w:rsidR="0018013A" w:rsidRPr="00C94904" w:rsidRDefault="00C94904" w:rsidP="0018013A">
            <w:pPr>
              <w:jc w:val="center"/>
              <w:rPr>
                <w:rFonts w:ascii="Courier New" w:hAnsi="Courier New"/>
                <w:b/>
                <w:bCs/>
                <w:color w:val="FFFFFF"/>
                <w:sz w:val="2"/>
                <w:szCs w:val="2"/>
              </w:rPr>
            </w:pPr>
            <w:r w:rsidRPr="00C94904">
              <w:rPr>
                <w:rFonts w:ascii="Courier New" w:hAnsi="Courier New"/>
                <w:b/>
                <w:bCs/>
                <w:color w:val="FFFFFF"/>
                <w:sz w:val="2"/>
                <w:szCs w:val="2"/>
                <w:rtl/>
              </w:rPr>
              <w:t>54678313</w:t>
            </w:r>
          </w:p>
        </w:tc>
      </w:tr>
      <w:tr w:rsidR="0018013A" w14:paraId="3F7939F9" w14:textId="77777777" w:rsidTr="0018013A">
        <w:tc>
          <w:tcPr>
            <w:tcW w:w="2775" w:type="dxa"/>
            <w:tcBorders>
              <w:top w:val="single" w:sz="4" w:space="0" w:color="auto"/>
              <w:left w:val="nil"/>
              <w:bottom w:val="nil"/>
              <w:right w:val="nil"/>
            </w:tcBorders>
            <w:shd w:val="clear" w:color="auto" w:fill="auto"/>
            <w:vAlign w:val="center"/>
          </w:tcPr>
          <w:p w14:paraId="2DC6D229" w14:textId="77777777" w:rsidR="0018013A" w:rsidRPr="0018013A" w:rsidRDefault="0018013A" w:rsidP="0018013A">
            <w:pPr>
              <w:spacing w:line="360" w:lineRule="auto"/>
              <w:jc w:val="center"/>
              <w:rPr>
                <w:b/>
                <w:bCs/>
                <w:noProof/>
              </w:rPr>
            </w:pPr>
            <w:r w:rsidRPr="0018013A">
              <w:rPr>
                <w:b/>
                <w:bCs/>
                <w:rtl/>
              </w:rPr>
              <w:t>השופט רפי כרמל, סגן נשיא</w:t>
            </w:r>
          </w:p>
        </w:tc>
      </w:tr>
    </w:tbl>
    <w:p w14:paraId="28B1DF73" w14:textId="77777777" w:rsidR="0018013A" w:rsidRDefault="0018013A" w:rsidP="0018013A"/>
    <w:p w14:paraId="4AD5F806" w14:textId="77777777" w:rsidR="0018013A" w:rsidRPr="00727925" w:rsidRDefault="00727925" w:rsidP="0018013A">
      <w:pPr>
        <w:rPr>
          <w:color w:val="FFFFFF"/>
          <w:sz w:val="2"/>
          <w:szCs w:val="2"/>
        </w:rPr>
      </w:pPr>
      <w:r w:rsidRPr="00727925">
        <w:rPr>
          <w:color w:val="FFFFFF"/>
          <w:sz w:val="2"/>
          <w:szCs w:val="2"/>
          <w:rtl/>
        </w:rPr>
        <w:t>5129371</w:t>
      </w:r>
    </w:p>
    <w:p w14:paraId="0D98CF55" w14:textId="77777777" w:rsidR="00EE17EC" w:rsidRPr="00727925" w:rsidRDefault="00727925" w:rsidP="00C94904">
      <w:pPr>
        <w:keepNext/>
        <w:rPr>
          <w:rFonts w:ascii="David" w:hAnsi="David"/>
          <w:color w:val="FFFFFF"/>
          <w:sz w:val="2"/>
          <w:szCs w:val="2"/>
          <w:rtl/>
        </w:rPr>
      </w:pPr>
      <w:r w:rsidRPr="00727925">
        <w:rPr>
          <w:rFonts w:ascii="David" w:hAnsi="David"/>
          <w:color w:val="FFFFFF"/>
          <w:sz w:val="2"/>
          <w:szCs w:val="2"/>
          <w:rtl/>
        </w:rPr>
        <w:t>54678313</w:t>
      </w:r>
    </w:p>
    <w:p w14:paraId="3A56987E" w14:textId="77777777" w:rsidR="00C94904" w:rsidRDefault="00C94904" w:rsidP="00C94904">
      <w:pPr>
        <w:rPr>
          <w:rtl/>
        </w:rPr>
      </w:pPr>
    </w:p>
    <w:p w14:paraId="2724DE7C" w14:textId="77777777" w:rsidR="00C94904" w:rsidRDefault="00C94904" w:rsidP="00C94904">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4C78042D" w14:textId="77777777" w:rsidR="00727925" w:rsidRPr="00727925" w:rsidRDefault="00727925" w:rsidP="00727925">
      <w:pPr>
        <w:keepNext/>
        <w:rPr>
          <w:rFonts w:ascii="David" w:hAnsi="David"/>
          <w:color w:val="000000"/>
          <w:sz w:val="22"/>
          <w:szCs w:val="22"/>
          <w:rtl/>
        </w:rPr>
      </w:pPr>
    </w:p>
    <w:p w14:paraId="334516FA" w14:textId="77777777" w:rsidR="00727925" w:rsidRPr="00727925" w:rsidRDefault="00727925" w:rsidP="00727925">
      <w:pPr>
        <w:keepNext/>
        <w:rPr>
          <w:rFonts w:ascii="David" w:hAnsi="David"/>
          <w:color w:val="000000"/>
          <w:sz w:val="22"/>
          <w:szCs w:val="22"/>
          <w:rtl/>
        </w:rPr>
      </w:pPr>
      <w:r w:rsidRPr="00727925">
        <w:rPr>
          <w:rFonts w:ascii="David" w:hAnsi="David"/>
          <w:color w:val="000000"/>
          <w:sz w:val="22"/>
          <w:szCs w:val="22"/>
          <w:rtl/>
        </w:rPr>
        <w:t>רפי כרמל 54678313-/</w:t>
      </w:r>
    </w:p>
    <w:p w14:paraId="7C8F4C7C" w14:textId="77777777" w:rsidR="00C94904" w:rsidRPr="00C94904" w:rsidRDefault="00727925" w:rsidP="00727925">
      <w:pPr>
        <w:rPr>
          <w:color w:val="0000FF"/>
          <w:u w:val="single"/>
        </w:rPr>
      </w:pPr>
      <w:r w:rsidRPr="00727925">
        <w:rPr>
          <w:color w:val="000000"/>
          <w:u w:val="single"/>
          <w:rtl/>
        </w:rPr>
        <w:t>נוסח מסמך זה כפוף לשינויי ניסוח ועריכה</w:t>
      </w:r>
    </w:p>
    <w:sectPr w:rsidR="00C94904" w:rsidRPr="00C94904" w:rsidSect="00727925">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F19A3" w14:textId="77777777" w:rsidR="005C7DD3" w:rsidRDefault="005C7DD3" w:rsidP="00063751">
      <w:r>
        <w:separator/>
      </w:r>
    </w:p>
  </w:endnote>
  <w:endnote w:type="continuationSeparator" w:id="0">
    <w:p w14:paraId="36D98CBA" w14:textId="77777777" w:rsidR="005C7DD3" w:rsidRDefault="005C7DD3" w:rsidP="0006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FD778" w14:textId="77777777" w:rsidR="00727925" w:rsidRDefault="00727925" w:rsidP="007279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49F5AD" w14:textId="77777777" w:rsidR="001E239C" w:rsidRPr="00727925" w:rsidRDefault="00727925" w:rsidP="00727925">
    <w:pPr>
      <w:pStyle w:val="a5"/>
      <w:pBdr>
        <w:top w:val="single" w:sz="4" w:space="1" w:color="auto"/>
        <w:between w:val="single" w:sz="4" w:space="0" w:color="auto"/>
      </w:pBdr>
      <w:spacing w:after="60"/>
      <w:jc w:val="center"/>
      <w:rPr>
        <w:rFonts w:ascii="FrankRuehl" w:hAnsi="FrankRuehl" w:cs="FrankRuehl"/>
        <w:color w:val="000000"/>
      </w:rPr>
    </w:pPr>
    <w:r w:rsidRPr="0072792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63B5F" w14:textId="77777777" w:rsidR="00727925" w:rsidRDefault="00727925" w:rsidP="0072792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1DE7">
      <w:rPr>
        <w:rFonts w:ascii="FrankRuehl" w:hAnsi="FrankRuehl" w:cs="FrankRuehl"/>
        <w:noProof/>
        <w:rtl/>
      </w:rPr>
      <w:t>1</w:t>
    </w:r>
    <w:r>
      <w:rPr>
        <w:rFonts w:ascii="FrankRuehl" w:hAnsi="FrankRuehl" w:cs="FrankRuehl"/>
        <w:rtl/>
      </w:rPr>
      <w:fldChar w:fldCharType="end"/>
    </w:r>
  </w:p>
  <w:p w14:paraId="3FD093F6" w14:textId="77777777" w:rsidR="001E239C" w:rsidRPr="00727925" w:rsidRDefault="00727925" w:rsidP="00727925">
    <w:pPr>
      <w:pStyle w:val="a5"/>
      <w:pBdr>
        <w:top w:val="single" w:sz="4" w:space="1" w:color="auto"/>
        <w:between w:val="single" w:sz="4" w:space="0" w:color="auto"/>
      </w:pBdr>
      <w:spacing w:after="60"/>
      <w:jc w:val="center"/>
      <w:rPr>
        <w:rFonts w:ascii="FrankRuehl" w:hAnsi="FrankRuehl" w:cs="FrankRuehl"/>
        <w:color w:val="000000"/>
      </w:rPr>
    </w:pPr>
    <w:r w:rsidRPr="00727925">
      <w:rPr>
        <w:rFonts w:ascii="FrankRuehl" w:hAnsi="FrankRuehl" w:cs="FrankRuehl"/>
        <w:color w:val="000000"/>
      </w:rPr>
      <w:pict w14:anchorId="21BD3D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915CF" w14:textId="77777777" w:rsidR="005C7DD3" w:rsidRDefault="005C7DD3" w:rsidP="00063751">
      <w:r>
        <w:separator/>
      </w:r>
    </w:p>
  </w:footnote>
  <w:footnote w:type="continuationSeparator" w:id="0">
    <w:p w14:paraId="29A789DD" w14:textId="77777777" w:rsidR="005C7DD3" w:rsidRDefault="005C7DD3" w:rsidP="00063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BA9A5" w14:textId="77777777" w:rsidR="00C94904" w:rsidRPr="00727925" w:rsidRDefault="00727925" w:rsidP="007279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45083-08-21</w:t>
    </w:r>
    <w:r>
      <w:rPr>
        <w:rFonts w:ascii="David" w:hAnsi="David"/>
        <w:color w:val="000000"/>
        <w:sz w:val="22"/>
        <w:szCs w:val="22"/>
        <w:rtl/>
      </w:rPr>
      <w:tab/>
      <w:t xml:space="preserve"> מדינת ישראל נ' טל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9B6C3" w14:textId="77777777" w:rsidR="00C94904" w:rsidRPr="00727925" w:rsidRDefault="00727925" w:rsidP="0072792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45083-08-21</w:t>
    </w:r>
    <w:r>
      <w:rPr>
        <w:rFonts w:ascii="David" w:hAnsi="David"/>
        <w:color w:val="000000"/>
        <w:sz w:val="22"/>
        <w:szCs w:val="22"/>
        <w:rtl/>
      </w:rPr>
      <w:tab/>
      <w:t xml:space="preserve"> מדינת ישראל נ' טל מזרחי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013A"/>
    <w:rsid w:val="00063751"/>
    <w:rsid w:val="000C36C6"/>
    <w:rsid w:val="00121CBD"/>
    <w:rsid w:val="0018013A"/>
    <w:rsid w:val="001B5A3B"/>
    <w:rsid w:val="001E239C"/>
    <w:rsid w:val="002E746B"/>
    <w:rsid w:val="00535E32"/>
    <w:rsid w:val="005C7DD3"/>
    <w:rsid w:val="00713948"/>
    <w:rsid w:val="00727925"/>
    <w:rsid w:val="00932935"/>
    <w:rsid w:val="00A97BCD"/>
    <w:rsid w:val="00C94904"/>
    <w:rsid w:val="00E61DE7"/>
    <w:rsid w:val="00EE1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667815"/>
  <w15:chartTrackingRefBased/>
  <w15:docId w15:val="{C5B9F563-4C85-48E6-A8BF-B73B6C8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1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013A"/>
    <w:pPr>
      <w:tabs>
        <w:tab w:val="center" w:pos="4153"/>
        <w:tab w:val="right" w:pos="8306"/>
      </w:tabs>
    </w:pPr>
  </w:style>
  <w:style w:type="character" w:customStyle="1" w:styleId="a4">
    <w:name w:val="כותרת עליונה תו"/>
    <w:link w:val="a3"/>
    <w:rsid w:val="0018013A"/>
    <w:rPr>
      <w:rFonts w:ascii="Times New Roman" w:eastAsia="Times New Roman" w:hAnsi="Times New Roman" w:cs="David"/>
      <w:sz w:val="24"/>
      <w:szCs w:val="24"/>
    </w:rPr>
  </w:style>
  <w:style w:type="paragraph" w:styleId="a5">
    <w:name w:val="footer"/>
    <w:basedOn w:val="a"/>
    <w:link w:val="a6"/>
    <w:rsid w:val="0018013A"/>
    <w:pPr>
      <w:tabs>
        <w:tab w:val="center" w:pos="4153"/>
        <w:tab w:val="right" w:pos="8306"/>
      </w:tabs>
    </w:pPr>
  </w:style>
  <w:style w:type="character" w:customStyle="1" w:styleId="a6">
    <w:name w:val="כותרת תחתונה תו"/>
    <w:link w:val="a5"/>
    <w:rsid w:val="0018013A"/>
    <w:rPr>
      <w:rFonts w:ascii="Times New Roman" w:eastAsia="Times New Roman" w:hAnsi="Times New Roman" w:cs="David"/>
      <w:sz w:val="24"/>
      <w:szCs w:val="24"/>
    </w:rPr>
  </w:style>
  <w:style w:type="table" w:styleId="a7">
    <w:name w:val="Table Grid"/>
    <w:basedOn w:val="a1"/>
    <w:rsid w:val="001801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013A"/>
  </w:style>
  <w:style w:type="character" w:styleId="Hyperlink">
    <w:name w:val="Hyperlink"/>
    <w:rsid w:val="00C94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5" TargetMode="External"/><Relationship Id="rId18" Type="http://schemas.openxmlformats.org/officeDocument/2006/relationships/hyperlink" Target="http://www.nevo.co.il/law/70301/29" TargetMode="External"/><Relationship Id="rId26" Type="http://schemas.openxmlformats.org/officeDocument/2006/relationships/hyperlink" Target="http://www.nevo.co.il/law/70301/144" TargetMode="External"/><Relationship Id="rId39" Type="http://schemas.openxmlformats.org/officeDocument/2006/relationships/hyperlink" Target="http://www.nevo.co.il/law/70301/418"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29"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law/70301/25" TargetMode="External"/><Relationship Id="rId50" Type="http://schemas.openxmlformats.org/officeDocument/2006/relationships/hyperlink" Target="http://www.nevo.co.il/law/70301/420" TargetMode="External"/><Relationship Id="rId55" Type="http://schemas.openxmlformats.org/officeDocument/2006/relationships/hyperlink" Target="http://www.nevo.co.il/law/70301/415" TargetMode="External"/><Relationship Id="rId63" Type="http://schemas.openxmlformats.org/officeDocument/2006/relationships/fontTable" Target="fontTable.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18" TargetMode="External"/><Relationship Id="rId32" Type="http://schemas.openxmlformats.org/officeDocument/2006/relationships/hyperlink" Target="http://www.nevo.co.il/law/70301/420" TargetMode="External"/><Relationship Id="rId37" Type="http://schemas.openxmlformats.org/officeDocument/2006/relationships/hyperlink" Target="http://www.nevo.co.il/law/70301/29"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415"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www.nevo.co.il/law/70301/25" TargetMode="External"/><Relationship Id="rId14" Type="http://schemas.openxmlformats.org/officeDocument/2006/relationships/hyperlink" Target="http://www.nevo.co.il/law/70301/418"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29" TargetMode="External"/><Relationship Id="rId35" Type="http://schemas.openxmlformats.org/officeDocument/2006/relationships/hyperlink" Target="http://www.nevo.co.il/law/70301/31" TargetMode="External"/><Relationship Id="rId43" Type="http://schemas.openxmlformats.org/officeDocument/2006/relationships/hyperlink" Target="http://www.nevo.co.il/law/70301/29" TargetMode="External"/><Relationship Id="rId48" Type="http://schemas.openxmlformats.org/officeDocument/2006/relationships/hyperlink" Target="http://www.nevo.co.il/law/70301/418" TargetMode="External"/><Relationship Id="rId56" Type="http://schemas.openxmlformats.org/officeDocument/2006/relationships/hyperlink" Target="http://www.nevo.co.il/law/70301/29" TargetMode="External"/><Relationship Id="rId64"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yperlink" Target="http://www.nevo.co.il/law/70301/418"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418" TargetMode="External"/><Relationship Id="rId38" Type="http://schemas.openxmlformats.org/officeDocument/2006/relationships/hyperlink" Target="http://www.nevo.co.il/law/70301/31" TargetMode="External"/><Relationship Id="rId46" Type="http://schemas.openxmlformats.org/officeDocument/2006/relationships/hyperlink" Target="http://www.nevo.co.il/law/70301/29" TargetMode="External"/><Relationship Id="rId59" Type="http://schemas.openxmlformats.org/officeDocument/2006/relationships/header" Target="header1.xml"/><Relationship Id="rId20" Type="http://schemas.openxmlformats.org/officeDocument/2006/relationships/hyperlink" Target="http://www.nevo.co.il/law/70301/415" TargetMode="External"/><Relationship Id="rId41" Type="http://schemas.openxmlformats.org/officeDocument/2006/relationships/hyperlink" Target="http://www.nevo.co.il/law/70301/25" TargetMode="External"/><Relationship Id="rId54" Type="http://schemas.openxmlformats.org/officeDocument/2006/relationships/hyperlink" Target="http://www.nevo.co.il/law/70301/29"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20" TargetMode="External"/><Relationship Id="rId23" Type="http://schemas.openxmlformats.org/officeDocument/2006/relationships/hyperlink" Target="http://www.nevo.co.il/law/70301/420" TargetMode="External"/><Relationship Id="rId28" Type="http://schemas.openxmlformats.org/officeDocument/2006/relationships/hyperlink" Target="http://www.nevo.co.il/law/70301/51" TargetMode="External"/><Relationship Id="rId36" Type="http://schemas.openxmlformats.org/officeDocument/2006/relationships/hyperlink" Target="http://www.nevo.co.il/law/70301/415" TargetMode="External"/><Relationship Id="rId49" Type="http://schemas.openxmlformats.org/officeDocument/2006/relationships/hyperlink" Target="http://www.nevo.co.il/law/70301/25" TargetMode="External"/><Relationship Id="rId57" Type="http://schemas.openxmlformats.org/officeDocument/2006/relationships/hyperlink" Target="http://www.nevo.co.il/case/26913995" TargetMode="External"/><Relationship Id="rId10" Type="http://schemas.openxmlformats.org/officeDocument/2006/relationships/hyperlink" Target="http://www.nevo.co.il/law/70301/51" TargetMode="External"/><Relationship Id="rId31" Type="http://schemas.openxmlformats.org/officeDocument/2006/relationships/hyperlink" Target="http://www.nevo.co.il/law/70301/31" TargetMode="External"/><Relationship Id="rId44" Type="http://schemas.openxmlformats.org/officeDocument/2006/relationships/hyperlink" Target="http://www.nevo.co.il/law/70301/25" TargetMode="External"/><Relationship Id="rId52" Type="http://schemas.openxmlformats.org/officeDocument/2006/relationships/hyperlink" Target="http://www.nevo.co.il/law/70301/29" TargetMode="External"/><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3630</Words>
  <Characters>18153</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21740</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3211386</vt:i4>
      </vt:variant>
      <vt:variant>
        <vt:i4>153</vt:i4>
      </vt:variant>
      <vt:variant>
        <vt:i4>0</vt:i4>
      </vt:variant>
      <vt:variant>
        <vt:i4>5</vt:i4>
      </vt:variant>
      <vt:variant>
        <vt:lpwstr>http://www.nevo.co.il/case/26913995</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6553697</vt:i4>
      </vt:variant>
      <vt:variant>
        <vt:i4>147</vt:i4>
      </vt:variant>
      <vt:variant>
        <vt:i4>0</vt:i4>
      </vt:variant>
      <vt:variant>
        <vt:i4>5</vt:i4>
      </vt:variant>
      <vt:variant>
        <vt:lpwstr>http://www.nevo.co.il/law/70301/415</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6553697</vt:i4>
      </vt:variant>
      <vt:variant>
        <vt:i4>135</vt:i4>
      </vt:variant>
      <vt:variant>
        <vt:i4>0</vt:i4>
      </vt:variant>
      <vt:variant>
        <vt:i4>5</vt:i4>
      </vt:variant>
      <vt:variant>
        <vt:lpwstr>http://www.nevo.co.il/law/70301/418</vt:lpwstr>
      </vt:variant>
      <vt:variant>
        <vt:lpwstr/>
      </vt:variant>
      <vt:variant>
        <vt:i4>6750305</vt:i4>
      </vt:variant>
      <vt:variant>
        <vt:i4>132</vt:i4>
      </vt:variant>
      <vt:variant>
        <vt:i4>0</vt:i4>
      </vt:variant>
      <vt:variant>
        <vt:i4>5</vt:i4>
      </vt:variant>
      <vt:variant>
        <vt:lpwstr>http://www.nevo.co.il/law/70301/420</vt:lpwstr>
      </vt:variant>
      <vt:variant>
        <vt:lpwstr/>
      </vt:variant>
      <vt:variant>
        <vt:i4>6291559</vt:i4>
      </vt:variant>
      <vt:variant>
        <vt:i4>129</vt:i4>
      </vt:variant>
      <vt:variant>
        <vt:i4>0</vt:i4>
      </vt:variant>
      <vt:variant>
        <vt:i4>5</vt:i4>
      </vt:variant>
      <vt:variant>
        <vt:lpwstr>http://www.nevo.co.il/law/70301/25</vt:lpwstr>
      </vt:variant>
      <vt:variant>
        <vt:lpwstr/>
      </vt:variant>
      <vt:variant>
        <vt:i4>6553697</vt:i4>
      </vt:variant>
      <vt:variant>
        <vt:i4>126</vt:i4>
      </vt:variant>
      <vt:variant>
        <vt:i4>0</vt:i4>
      </vt:variant>
      <vt:variant>
        <vt:i4>5</vt:i4>
      </vt:variant>
      <vt:variant>
        <vt:lpwstr>http://www.nevo.co.il/law/70301/418</vt:lpwstr>
      </vt:variant>
      <vt:variant>
        <vt:lpwstr/>
      </vt:variant>
      <vt:variant>
        <vt:i4>6291559</vt:i4>
      </vt:variant>
      <vt:variant>
        <vt:i4>123</vt:i4>
      </vt:variant>
      <vt:variant>
        <vt:i4>0</vt:i4>
      </vt:variant>
      <vt:variant>
        <vt:i4>5</vt:i4>
      </vt:variant>
      <vt:variant>
        <vt:lpwstr>http://www.nevo.co.il/law/70301/25</vt:lpwstr>
      </vt:variant>
      <vt:variant>
        <vt:lpwstr/>
      </vt:variant>
      <vt:variant>
        <vt:i4>7077991</vt:i4>
      </vt:variant>
      <vt:variant>
        <vt:i4>120</vt:i4>
      </vt:variant>
      <vt:variant>
        <vt:i4>0</vt:i4>
      </vt:variant>
      <vt:variant>
        <vt:i4>5</vt:i4>
      </vt:variant>
      <vt:variant>
        <vt:lpwstr>http://www.nevo.co.il/law/70301/29</vt:lpwstr>
      </vt:variant>
      <vt:variant>
        <vt:lpwstr/>
      </vt:variant>
      <vt:variant>
        <vt:i4>6553697</vt:i4>
      </vt:variant>
      <vt:variant>
        <vt:i4>117</vt:i4>
      </vt:variant>
      <vt:variant>
        <vt:i4>0</vt:i4>
      </vt:variant>
      <vt:variant>
        <vt:i4>5</vt:i4>
      </vt:variant>
      <vt:variant>
        <vt:lpwstr>http://www.nevo.co.il/law/70301/415</vt:lpwstr>
      </vt:variant>
      <vt:variant>
        <vt:lpwstr/>
      </vt:variant>
      <vt:variant>
        <vt:i4>6291559</vt:i4>
      </vt:variant>
      <vt:variant>
        <vt:i4>114</vt:i4>
      </vt:variant>
      <vt:variant>
        <vt:i4>0</vt:i4>
      </vt:variant>
      <vt:variant>
        <vt:i4>5</vt:i4>
      </vt:variant>
      <vt:variant>
        <vt:lpwstr>http://www.nevo.co.il/law/70301/25</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6291559</vt:i4>
      </vt:variant>
      <vt:variant>
        <vt:i4>105</vt:i4>
      </vt:variant>
      <vt:variant>
        <vt:i4>0</vt:i4>
      </vt:variant>
      <vt:variant>
        <vt:i4>5</vt:i4>
      </vt:variant>
      <vt:variant>
        <vt:lpwstr>http://www.nevo.co.il/law/70301/25</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6553697</vt:i4>
      </vt:variant>
      <vt:variant>
        <vt:i4>99</vt:i4>
      </vt:variant>
      <vt:variant>
        <vt:i4>0</vt:i4>
      </vt:variant>
      <vt:variant>
        <vt:i4>5</vt:i4>
      </vt:variant>
      <vt:variant>
        <vt:lpwstr>http://www.nevo.co.il/law/70301/418</vt:lpwstr>
      </vt:variant>
      <vt:variant>
        <vt:lpwstr/>
      </vt:variant>
      <vt:variant>
        <vt:i4>6553702</vt:i4>
      </vt:variant>
      <vt:variant>
        <vt:i4>96</vt:i4>
      </vt:variant>
      <vt:variant>
        <vt:i4>0</vt:i4>
      </vt:variant>
      <vt:variant>
        <vt:i4>5</vt:i4>
      </vt:variant>
      <vt:variant>
        <vt:lpwstr>http://www.nevo.co.il/law/70301/31</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6553697</vt:i4>
      </vt:variant>
      <vt:variant>
        <vt:i4>90</vt:i4>
      </vt:variant>
      <vt:variant>
        <vt:i4>0</vt:i4>
      </vt:variant>
      <vt:variant>
        <vt:i4>5</vt:i4>
      </vt:variant>
      <vt:variant>
        <vt:lpwstr>http://www.nevo.co.il/law/70301/415</vt:lpwstr>
      </vt:variant>
      <vt:variant>
        <vt:lpwstr/>
      </vt:variant>
      <vt:variant>
        <vt:i4>6553702</vt:i4>
      </vt:variant>
      <vt:variant>
        <vt:i4>87</vt:i4>
      </vt:variant>
      <vt:variant>
        <vt:i4>0</vt:i4>
      </vt:variant>
      <vt:variant>
        <vt:i4>5</vt:i4>
      </vt:variant>
      <vt:variant>
        <vt:lpwstr>http://www.nevo.co.il/law/70301/31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6553697</vt:i4>
      </vt:variant>
      <vt:variant>
        <vt:i4>81</vt:i4>
      </vt:variant>
      <vt:variant>
        <vt:i4>0</vt:i4>
      </vt:variant>
      <vt:variant>
        <vt:i4>5</vt:i4>
      </vt:variant>
      <vt:variant>
        <vt:lpwstr>http://www.nevo.co.il/law/70301/418</vt:lpwstr>
      </vt:variant>
      <vt:variant>
        <vt:lpwstr/>
      </vt:variant>
      <vt:variant>
        <vt:i4>6750305</vt:i4>
      </vt:variant>
      <vt:variant>
        <vt:i4>78</vt:i4>
      </vt:variant>
      <vt:variant>
        <vt:i4>0</vt:i4>
      </vt:variant>
      <vt:variant>
        <vt:i4>5</vt:i4>
      </vt:variant>
      <vt:variant>
        <vt:lpwstr>http://www.nevo.co.il/law/70301/420</vt:lpwstr>
      </vt:variant>
      <vt:variant>
        <vt:lpwstr/>
      </vt:variant>
      <vt:variant>
        <vt:i4>6553702</vt:i4>
      </vt:variant>
      <vt:variant>
        <vt:i4>75</vt:i4>
      </vt:variant>
      <vt:variant>
        <vt:i4>0</vt:i4>
      </vt:variant>
      <vt:variant>
        <vt:i4>5</vt:i4>
      </vt:variant>
      <vt:variant>
        <vt:lpwstr>http://www.nevo.co.il/law/70301/31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6553696</vt:i4>
      </vt:variant>
      <vt:variant>
        <vt:i4>66</vt:i4>
      </vt:variant>
      <vt:variant>
        <vt:i4>0</vt:i4>
      </vt:variant>
      <vt:variant>
        <vt:i4>5</vt:i4>
      </vt:variant>
      <vt:variant>
        <vt:lpwstr>http://www.nevo.co.il/law/70301/51</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6553697</vt:i4>
      </vt:variant>
      <vt:variant>
        <vt:i4>54</vt:i4>
      </vt:variant>
      <vt:variant>
        <vt:i4>0</vt:i4>
      </vt:variant>
      <vt:variant>
        <vt:i4>5</vt:i4>
      </vt:variant>
      <vt:variant>
        <vt:lpwstr>http://www.nevo.co.il/law/70301/418</vt:lpwstr>
      </vt:variant>
      <vt:variant>
        <vt:lpwstr/>
      </vt:variant>
      <vt:variant>
        <vt:i4>6750305</vt:i4>
      </vt:variant>
      <vt:variant>
        <vt:i4>51</vt:i4>
      </vt:variant>
      <vt:variant>
        <vt:i4>0</vt:i4>
      </vt:variant>
      <vt:variant>
        <vt:i4>5</vt:i4>
      </vt:variant>
      <vt:variant>
        <vt:lpwstr>http://www.nevo.co.il/law/70301/420</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6553697</vt:i4>
      </vt:variant>
      <vt:variant>
        <vt:i4>42</vt:i4>
      </vt:variant>
      <vt:variant>
        <vt:i4>0</vt:i4>
      </vt:variant>
      <vt:variant>
        <vt:i4>5</vt:i4>
      </vt:variant>
      <vt:variant>
        <vt:lpwstr>http://www.nevo.co.il/law/70301/415</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6750305</vt:i4>
      </vt:variant>
      <vt:variant>
        <vt:i4>27</vt:i4>
      </vt:variant>
      <vt:variant>
        <vt:i4>0</vt:i4>
      </vt:variant>
      <vt:variant>
        <vt:i4>5</vt:i4>
      </vt:variant>
      <vt:variant>
        <vt:lpwstr>http://www.nevo.co.il/law/70301/420</vt:lpwstr>
      </vt:variant>
      <vt:variant>
        <vt:lpwstr/>
      </vt:variant>
      <vt:variant>
        <vt:i4>6553697</vt:i4>
      </vt:variant>
      <vt:variant>
        <vt:i4>24</vt:i4>
      </vt:variant>
      <vt:variant>
        <vt:i4>0</vt:i4>
      </vt:variant>
      <vt:variant>
        <vt:i4>5</vt:i4>
      </vt:variant>
      <vt:variant>
        <vt:lpwstr>http://www.nevo.co.il/law/70301/418</vt:lpwstr>
      </vt:variant>
      <vt:variant>
        <vt:lpwstr/>
      </vt:variant>
      <vt:variant>
        <vt:i4>6553697</vt:i4>
      </vt:variant>
      <vt:variant>
        <vt:i4>21</vt:i4>
      </vt:variant>
      <vt:variant>
        <vt:i4>0</vt:i4>
      </vt:variant>
      <vt:variant>
        <vt:i4>5</vt:i4>
      </vt:variant>
      <vt:variant>
        <vt:lpwstr>http://www.nevo.co.il/law/70301/415</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6553696</vt:i4>
      </vt:variant>
      <vt:variant>
        <vt:i4>12</vt:i4>
      </vt:variant>
      <vt:variant>
        <vt:i4>0</vt:i4>
      </vt:variant>
      <vt:variant>
        <vt:i4>5</vt:i4>
      </vt:variant>
      <vt:variant>
        <vt:lpwstr>http://www.nevo.co.il/law/70301/51</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45083</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טל מזרחי;עומרי וייל;יוסף חיים שמואל</vt:lpwstr>
  </property>
  <property fmtid="{D5CDD505-2E9C-101B-9397-08002B2CF9AE}" pid="10" name="LAWYER">
    <vt:lpwstr>עידן גמליאלי;דותן דניאלי;אריאל הרמן</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20221020</vt:lpwstr>
  </property>
  <property fmtid="{D5CDD505-2E9C-101B-9397-08002B2CF9AE}" pid="14" name="TYPE_N_DATE">
    <vt:lpwstr>39020221020</vt:lpwstr>
  </property>
  <property fmtid="{D5CDD505-2E9C-101B-9397-08002B2CF9AE}" pid="15" name="BOOKGROUPTMP1">
    <vt:lpwstr>4034</vt:lpwstr>
  </property>
  <property fmtid="{D5CDD505-2E9C-101B-9397-08002B2CF9AE}" pid="16" name="WORDNUMPAGES">
    <vt:lpwstr>12</vt:lpwstr>
  </property>
  <property fmtid="{D5CDD505-2E9C-101B-9397-08002B2CF9AE}" pid="17" name="TYPE_ABS_DATE">
    <vt:lpwstr>390020221020</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CASESLISTTMP1">
    <vt:lpwstr>26913995</vt:lpwstr>
  </property>
  <property fmtid="{D5CDD505-2E9C-101B-9397-08002B2CF9AE}" pid="37" name="LAWLISTTMP1">
    <vt:lpwstr>70301/144.a:4;029:13;025:6;415:4;420:3;418:5;144;051;031:3</vt:lpwstr>
  </property>
</Properties>
</file>