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968C7" w:rsidRPr="00D05C50" w14:paraId="5CAE9B65" w14:textId="77777777" w:rsidTr="00B51F33">
        <w:trPr>
          <w:trHeight w:hRule="exact" w:val="418"/>
          <w:jc w:val="center"/>
        </w:trPr>
        <w:tc>
          <w:tcPr>
            <w:tcW w:w="8721" w:type="dxa"/>
            <w:gridSpan w:val="2"/>
          </w:tcPr>
          <w:p w14:paraId="458D66D4" w14:textId="77777777" w:rsidR="004968C7" w:rsidRPr="00D05C50" w:rsidRDefault="004968C7" w:rsidP="00524B42">
            <w:pPr>
              <w:pStyle w:val="a3"/>
              <w:jc w:val="center"/>
              <w:rPr>
                <w:rFonts w:ascii="Tahoma" w:hAnsi="Tahoma" w:cs="Tahoma"/>
                <w:color w:val="000080"/>
                <w:rtl/>
              </w:rPr>
            </w:pPr>
            <w:bookmarkStart w:id="0" w:name="LastJudge"/>
            <w:r w:rsidRPr="00D05C50">
              <w:rPr>
                <w:rFonts w:ascii="Tahoma" w:hAnsi="Tahoma" w:cs="Tahoma"/>
                <w:b/>
                <w:bCs/>
                <w:color w:val="000080"/>
                <w:rtl/>
              </w:rPr>
              <w:t>בית המשפט המחוזי בירושלים</w:t>
            </w:r>
          </w:p>
        </w:tc>
      </w:tr>
      <w:tr w:rsidR="004968C7" w:rsidRPr="00D05C50" w14:paraId="1AF78598" w14:textId="77777777" w:rsidTr="00B51F33">
        <w:trPr>
          <w:trHeight w:val="337"/>
          <w:jc w:val="center"/>
        </w:trPr>
        <w:tc>
          <w:tcPr>
            <w:tcW w:w="5058" w:type="dxa"/>
          </w:tcPr>
          <w:p w14:paraId="318C5D5D" w14:textId="77777777" w:rsidR="004968C7" w:rsidRPr="00D05C50" w:rsidRDefault="004968C7" w:rsidP="00524B42">
            <w:pPr>
              <w:rPr>
                <w:rFonts w:ascii="David" w:hAnsi="David"/>
                <w:sz w:val="28"/>
                <w:szCs w:val="28"/>
                <w:rtl/>
              </w:rPr>
            </w:pPr>
            <w:r w:rsidRPr="00D05C50">
              <w:rPr>
                <w:rFonts w:ascii="David" w:hAnsi="David"/>
                <w:sz w:val="28"/>
                <w:szCs w:val="28"/>
                <w:rtl/>
              </w:rPr>
              <w:t>ת"פ 34694-09-21 מדינת ישראל נ' זהרה(עציר)</w:t>
            </w:r>
          </w:p>
          <w:p w14:paraId="70E6934C" w14:textId="77777777" w:rsidR="004968C7" w:rsidRPr="00D05C50" w:rsidRDefault="004968C7" w:rsidP="00524B42">
            <w:pPr>
              <w:pStyle w:val="a3"/>
              <w:rPr>
                <w:rFonts w:cs="FrankRuehl"/>
                <w:sz w:val="28"/>
                <w:szCs w:val="28"/>
                <w:rtl/>
              </w:rPr>
            </w:pPr>
          </w:p>
        </w:tc>
        <w:tc>
          <w:tcPr>
            <w:tcW w:w="3663" w:type="dxa"/>
          </w:tcPr>
          <w:p w14:paraId="58ADB4A2" w14:textId="77777777" w:rsidR="004968C7" w:rsidRPr="00D05C50" w:rsidRDefault="004968C7" w:rsidP="00524B42">
            <w:pPr>
              <w:pStyle w:val="a3"/>
              <w:jc w:val="right"/>
              <w:rPr>
                <w:rFonts w:cs="FrankRuehl"/>
                <w:sz w:val="28"/>
                <w:szCs w:val="28"/>
                <w:rtl/>
              </w:rPr>
            </w:pPr>
          </w:p>
        </w:tc>
      </w:tr>
    </w:tbl>
    <w:p w14:paraId="24CCCA6C" w14:textId="77777777" w:rsidR="004968C7" w:rsidRPr="00D05C50" w:rsidRDefault="004968C7" w:rsidP="004968C7">
      <w:pPr>
        <w:pStyle w:val="a3"/>
        <w:rPr>
          <w:rtl/>
        </w:rPr>
      </w:pPr>
      <w:r w:rsidRPr="00D05C50">
        <w:rPr>
          <w:rFonts w:hint="cs"/>
          <w:rtl/>
        </w:rPr>
        <w:t xml:space="preserve"> </w:t>
      </w:r>
    </w:p>
    <w:p w14:paraId="5F7E5F88" w14:textId="77777777" w:rsidR="004968C7" w:rsidRPr="00D05C50" w:rsidRDefault="004968C7" w:rsidP="004968C7">
      <w:pPr>
        <w:rPr>
          <w:rtl/>
        </w:rPr>
      </w:pPr>
    </w:p>
    <w:p w14:paraId="0E23DD7E" w14:textId="77777777" w:rsidR="004968C7" w:rsidRPr="00D05C50" w:rsidRDefault="004968C7" w:rsidP="004968C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968C7" w:rsidRPr="00D05C50" w14:paraId="708E5550" w14:textId="77777777" w:rsidTr="004968C7">
        <w:trPr>
          <w:trHeight w:val="295"/>
          <w:jc w:val="center"/>
        </w:trPr>
        <w:tc>
          <w:tcPr>
            <w:tcW w:w="923" w:type="dxa"/>
            <w:tcBorders>
              <w:top w:val="nil"/>
              <w:left w:val="nil"/>
              <w:bottom w:val="nil"/>
              <w:right w:val="nil"/>
            </w:tcBorders>
            <w:shd w:val="clear" w:color="auto" w:fill="auto"/>
          </w:tcPr>
          <w:p w14:paraId="10F4F2A2" w14:textId="77777777" w:rsidR="004968C7" w:rsidRPr="00D05C50" w:rsidRDefault="004968C7" w:rsidP="004968C7">
            <w:pPr>
              <w:jc w:val="both"/>
              <w:rPr>
                <w:rFonts w:ascii="David" w:hAnsi="David"/>
                <w:sz w:val="26"/>
                <w:szCs w:val="26"/>
              </w:rPr>
            </w:pPr>
            <w:r w:rsidRPr="00D05C5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00CEBBF" w14:textId="77777777" w:rsidR="004968C7" w:rsidRPr="00D05C50" w:rsidRDefault="004968C7" w:rsidP="00524B42">
            <w:pPr>
              <w:rPr>
                <w:rFonts w:ascii="David" w:hAnsi="David"/>
                <w:b/>
                <w:bCs/>
                <w:sz w:val="26"/>
                <w:szCs w:val="26"/>
                <w:rtl/>
              </w:rPr>
            </w:pPr>
            <w:r w:rsidRPr="00D05C50">
              <w:rPr>
                <w:rFonts w:ascii="David" w:hAnsi="David"/>
                <w:b/>
                <w:bCs/>
                <w:sz w:val="26"/>
                <w:szCs w:val="26"/>
                <w:rtl/>
              </w:rPr>
              <w:t>כבוד השופטת  חגית מאק-קלמנוביץ</w:t>
            </w:r>
          </w:p>
          <w:p w14:paraId="2ABCCF63" w14:textId="77777777" w:rsidR="004968C7" w:rsidRPr="00D05C50" w:rsidRDefault="004968C7" w:rsidP="00524B42">
            <w:pPr>
              <w:rPr>
                <w:rFonts w:ascii="David" w:hAnsi="David"/>
                <w:sz w:val="26"/>
                <w:szCs w:val="26"/>
                <w:rtl/>
              </w:rPr>
            </w:pPr>
          </w:p>
          <w:p w14:paraId="286CCA01" w14:textId="77777777" w:rsidR="004968C7" w:rsidRPr="00D05C50" w:rsidRDefault="004968C7" w:rsidP="004968C7">
            <w:pPr>
              <w:jc w:val="both"/>
              <w:rPr>
                <w:rFonts w:ascii="David" w:hAnsi="David"/>
                <w:sz w:val="26"/>
                <w:szCs w:val="26"/>
              </w:rPr>
            </w:pPr>
          </w:p>
        </w:tc>
      </w:tr>
      <w:tr w:rsidR="004968C7" w:rsidRPr="00D05C50" w14:paraId="29DC5371" w14:textId="77777777" w:rsidTr="004968C7">
        <w:trPr>
          <w:trHeight w:val="355"/>
          <w:jc w:val="center"/>
        </w:trPr>
        <w:tc>
          <w:tcPr>
            <w:tcW w:w="923" w:type="dxa"/>
            <w:tcBorders>
              <w:top w:val="nil"/>
              <w:left w:val="nil"/>
              <w:bottom w:val="nil"/>
              <w:right w:val="nil"/>
            </w:tcBorders>
            <w:shd w:val="clear" w:color="auto" w:fill="auto"/>
          </w:tcPr>
          <w:p w14:paraId="1F6BCCCF" w14:textId="77777777" w:rsidR="004968C7" w:rsidRPr="00D05C50" w:rsidRDefault="004968C7" w:rsidP="004968C7">
            <w:pPr>
              <w:jc w:val="both"/>
              <w:rPr>
                <w:rFonts w:ascii="David" w:hAnsi="David"/>
                <w:sz w:val="26"/>
                <w:szCs w:val="26"/>
              </w:rPr>
            </w:pPr>
            <w:bookmarkStart w:id="1" w:name="FirstAppellant"/>
            <w:r w:rsidRPr="00D05C50">
              <w:rPr>
                <w:rFonts w:ascii="David" w:hAnsi="David"/>
                <w:sz w:val="26"/>
                <w:szCs w:val="26"/>
                <w:rtl/>
              </w:rPr>
              <w:t>בעניין:</w:t>
            </w:r>
          </w:p>
        </w:tc>
        <w:tc>
          <w:tcPr>
            <w:tcW w:w="3219" w:type="dxa"/>
            <w:tcBorders>
              <w:top w:val="nil"/>
              <w:left w:val="nil"/>
              <w:bottom w:val="nil"/>
              <w:right w:val="nil"/>
            </w:tcBorders>
            <w:shd w:val="clear" w:color="auto" w:fill="auto"/>
          </w:tcPr>
          <w:p w14:paraId="059CE6A9" w14:textId="77777777" w:rsidR="004968C7" w:rsidRPr="00D05C50" w:rsidRDefault="004968C7" w:rsidP="004968C7">
            <w:pPr>
              <w:suppressLineNumbers/>
            </w:pPr>
            <w:r w:rsidRPr="00D05C50">
              <w:rPr>
                <w:rFonts w:ascii="Arial" w:hAnsi="Arial" w:hint="cs"/>
                <w:b/>
                <w:bCs/>
                <w:sz w:val="26"/>
                <w:szCs w:val="26"/>
                <w:rtl/>
              </w:rPr>
              <w:t>ה</w:t>
            </w:r>
            <w:r w:rsidRPr="00D05C50">
              <w:rPr>
                <w:rFonts w:ascii="Arial" w:hAnsi="Arial"/>
                <w:b/>
                <w:bCs/>
                <w:sz w:val="26"/>
                <w:szCs w:val="26"/>
                <w:rtl/>
              </w:rPr>
              <w:t>מאשימה</w:t>
            </w:r>
          </w:p>
          <w:p w14:paraId="6F49A37B" w14:textId="77777777" w:rsidR="004968C7" w:rsidRPr="00D05C50" w:rsidRDefault="004968C7" w:rsidP="00524B42">
            <w:pPr>
              <w:rPr>
                <w:rFonts w:ascii="David" w:hAnsi="David"/>
                <w:sz w:val="26"/>
                <w:szCs w:val="26"/>
              </w:rPr>
            </w:pPr>
          </w:p>
        </w:tc>
        <w:tc>
          <w:tcPr>
            <w:tcW w:w="4678" w:type="dxa"/>
            <w:tcBorders>
              <w:top w:val="nil"/>
              <w:left w:val="nil"/>
              <w:bottom w:val="nil"/>
              <w:right w:val="nil"/>
            </w:tcBorders>
            <w:shd w:val="clear" w:color="auto" w:fill="auto"/>
            <w:vAlign w:val="center"/>
          </w:tcPr>
          <w:p w14:paraId="77118776" w14:textId="77777777" w:rsidR="004968C7" w:rsidRPr="00D05C50" w:rsidRDefault="004968C7" w:rsidP="004968C7">
            <w:pPr>
              <w:suppressLineNumbers/>
            </w:pPr>
            <w:r w:rsidRPr="00D05C50">
              <w:rPr>
                <w:rFonts w:ascii="Arial" w:hAnsi="Arial"/>
                <w:b/>
                <w:bCs/>
                <w:sz w:val="26"/>
                <w:szCs w:val="26"/>
                <w:rtl/>
              </w:rPr>
              <w:t>מדינת ישראל</w:t>
            </w:r>
            <w:r w:rsidRPr="00D05C50">
              <w:rPr>
                <w:rFonts w:ascii="Arial" w:hAnsi="Arial"/>
                <w:b/>
                <w:bCs/>
                <w:sz w:val="26"/>
                <w:szCs w:val="26"/>
                <w:rtl/>
              </w:rPr>
              <w:br/>
            </w:r>
            <w:r w:rsidRPr="00D05C50">
              <w:rPr>
                <w:rFonts w:ascii="Arial" w:hAnsi="Arial" w:hint="cs"/>
                <w:b/>
                <w:bCs/>
                <w:sz w:val="26"/>
                <w:szCs w:val="26"/>
                <w:rtl/>
              </w:rPr>
              <w:t>ע"י פרקליטות מחוז ירושלים (פלילי)</w:t>
            </w:r>
          </w:p>
          <w:p w14:paraId="7686BBB7" w14:textId="77777777" w:rsidR="004968C7" w:rsidRPr="00D05C50" w:rsidRDefault="004968C7" w:rsidP="00524B42">
            <w:pPr>
              <w:rPr>
                <w:rFonts w:ascii="David" w:hAnsi="David"/>
                <w:sz w:val="26"/>
                <w:szCs w:val="26"/>
              </w:rPr>
            </w:pPr>
          </w:p>
        </w:tc>
      </w:tr>
      <w:bookmarkEnd w:id="1"/>
      <w:tr w:rsidR="004968C7" w:rsidRPr="00D05C50" w14:paraId="1C5371AE" w14:textId="77777777" w:rsidTr="004968C7">
        <w:trPr>
          <w:trHeight w:val="355"/>
          <w:jc w:val="center"/>
        </w:trPr>
        <w:tc>
          <w:tcPr>
            <w:tcW w:w="923" w:type="dxa"/>
            <w:tcBorders>
              <w:top w:val="nil"/>
              <w:left w:val="nil"/>
              <w:bottom w:val="nil"/>
              <w:right w:val="nil"/>
            </w:tcBorders>
            <w:shd w:val="clear" w:color="auto" w:fill="auto"/>
          </w:tcPr>
          <w:p w14:paraId="0479E88D" w14:textId="77777777" w:rsidR="004968C7" w:rsidRPr="00D05C50" w:rsidRDefault="004968C7" w:rsidP="004968C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3DB1C2C" w14:textId="77777777" w:rsidR="004968C7" w:rsidRPr="00D05C50" w:rsidRDefault="004968C7" w:rsidP="004968C7">
            <w:pPr>
              <w:jc w:val="center"/>
              <w:rPr>
                <w:rFonts w:ascii="David" w:hAnsi="David"/>
                <w:b/>
                <w:bCs/>
                <w:sz w:val="26"/>
                <w:szCs w:val="26"/>
                <w:rtl/>
              </w:rPr>
            </w:pPr>
          </w:p>
          <w:p w14:paraId="17D4B19B" w14:textId="77777777" w:rsidR="004968C7" w:rsidRPr="00D05C50" w:rsidRDefault="004968C7" w:rsidP="004968C7">
            <w:pPr>
              <w:jc w:val="center"/>
              <w:rPr>
                <w:rFonts w:ascii="David" w:hAnsi="David"/>
                <w:b/>
                <w:bCs/>
                <w:sz w:val="26"/>
                <w:szCs w:val="26"/>
                <w:rtl/>
              </w:rPr>
            </w:pPr>
            <w:r w:rsidRPr="00D05C50">
              <w:rPr>
                <w:rFonts w:ascii="David" w:hAnsi="David"/>
                <w:b/>
                <w:bCs/>
                <w:sz w:val="26"/>
                <w:szCs w:val="26"/>
                <w:rtl/>
              </w:rPr>
              <w:t>נגד</w:t>
            </w:r>
          </w:p>
          <w:p w14:paraId="55AE572E" w14:textId="77777777" w:rsidR="004968C7" w:rsidRPr="00D05C50" w:rsidRDefault="004968C7" w:rsidP="004968C7">
            <w:pPr>
              <w:jc w:val="both"/>
              <w:rPr>
                <w:rFonts w:ascii="David" w:hAnsi="David"/>
                <w:sz w:val="26"/>
                <w:szCs w:val="26"/>
              </w:rPr>
            </w:pPr>
          </w:p>
        </w:tc>
      </w:tr>
      <w:tr w:rsidR="004968C7" w:rsidRPr="00D05C50" w14:paraId="07BF906B" w14:textId="77777777" w:rsidTr="004968C7">
        <w:trPr>
          <w:trHeight w:val="355"/>
          <w:jc w:val="center"/>
        </w:trPr>
        <w:tc>
          <w:tcPr>
            <w:tcW w:w="923" w:type="dxa"/>
            <w:tcBorders>
              <w:top w:val="nil"/>
              <w:left w:val="nil"/>
              <w:bottom w:val="nil"/>
              <w:right w:val="nil"/>
            </w:tcBorders>
            <w:shd w:val="clear" w:color="auto" w:fill="auto"/>
          </w:tcPr>
          <w:p w14:paraId="483CDE40" w14:textId="77777777" w:rsidR="004968C7" w:rsidRPr="00D05C50" w:rsidRDefault="004968C7" w:rsidP="00524B42">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227265F" w14:textId="77777777" w:rsidR="004968C7" w:rsidRPr="00D05C50" w:rsidRDefault="004968C7" w:rsidP="00524B42">
            <w:pPr>
              <w:rPr>
                <w:rFonts w:ascii="Arial" w:hAnsi="Arial"/>
                <w:b/>
                <w:bCs/>
                <w:sz w:val="26"/>
                <w:szCs w:val="26"/>
                <w:rtl/>
              </w:rPr>
            </w:pPr>
            <w:r w:rsidRPr="00D05C5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2F804A6" w14:textId="77777777" w:rsidR="004968C7" w:rsidRPr="00D05C50" w:rsidRDefault="004968C7" w:rsidP="004968C7">
            <w:pPr>
              <w:suppressLineNumbers/>
            </w:pPr>
            <w:r w:rsidRPr="00D05C50">
              <w:rPr>
                <w:rFonts w:ascii="Arial" w:hAnsi="Arial"/>
                <w:b/>
                <w:bCs/>
                <w:sz w:val="26"/>
                <w:szCs w:val="26"/>
                <w:rtl/>
              </w:rPr>
              <w:t>נדים זהרה (עציר)</w:t>
            </w:r>
          </w:p>
          <w:p w14:paraId="4FD70AA1" w14:textId="77777777" w:rsidR="004968C7" w:rsidRPr="00D05C50" w:rsidRDefault="004968C7" w:rsidP="00524B42">
            <w:pPr>
              <w:rPr>
                <w:rFonts w:ascii="David" w:hAnsi="David"/>
                <w:b/>
                <w:bCs/>
                <w:sz w:val="26"/>
                <w:szCs w:val="26"/>
              </w:rPr>
            </w:pPr>
            <w:r w:rsidRPr="00D05C50">
              <w:rPr>
                <w:rFonts w:ascii="David" w:hAnsi="David" w:hint="cs"/>
                <w:b/>
                <w:bCs/>
                <w:sz w:val="26"/>
                <w:szCs w:val="26"/>
                <w:rtl/>
              </w:rPr>
              <w:t>ע"י ב"כ עו"ד עאטף פרחאת</w:t>
            </w:r>
          </w:p>
        </w:tc>
      </w:tr>
      <w:bookmarkEnd w:id="2"/>
    </w:tbl>
    <w:p w14:paraId="5B1408C0" w14:textId="77777777" w:rsidR="00A64B2A" w:rsidRPr="00A64B2A" w:rsidRDefault="00A64B2A" w:rsidP="00A64B2A">
      <w:pPr>
        <w:spacing w:before="120" w:after="120" w:line="240" w:lineRule="exact"/>
        <w:ind w:left="283" w:hanging="283"/>
        <w:jc w:val="both"/>
        <w:rPr>
          <w:rFonts w:ascii="FrankRuehl" w:hAnsi="FrankRuehl" w:cs="FrankRuehl"/>
          <w:rtl/>
        </w:rPr>
      </w:pPr>
    </w:p>
    <w:p w14:paraId="2AA08A37" w14:textId="77777777" w:rsidR="00DB190D" w:rsidRDefault="00DB190D" w:rsidP="00DB190D">
      <w:pPr>
        <w:rPr>
          <w:sz w:val="26"/>
          <w:szCs w:val="26"/>
          <w:rtl/>
        </w:rPr>
      </w:pPr>
      <w:bookmarkStart w:id="3" w:name="LawTable"/>
      <w:bookmarkEnd w:id="3"/>
    </w:p>
    <w:p w14:paraId="6BE31900" w14:textId="77777777" w:rsidR="00DB190D" w:rsidRPr="00DB190D" w:rsidRDefault="00DB190D" w:rsidP="00DB190D">
      <w:pPr>
        <w:spacing w:before="120" w:after="120" w:line="240" w:lineRule="exact"/>
        <w:ind w:left="283" w:hanging="283"/>
        <w:jc w:val="both"/>
        <w:rPr>
          <w:rFonts w:ascii="FrankRuehl" w:hAnsi="FrankRuehl" w:cs="FrankRuehl"/>
          <w:rtl/>
        </w:rPr>
      </w:pPr>
    </w:p>
    <w:p w14:paraId="0242F79C" w14:textId="77777777" w:rsidR="00DB190D" w:rsidRPr="00DB190D" w:rsidRDefault="00DB190D" w:rsidP="00DB190D">
      <w:pPr>
        <w:spacing w:before="120" w:after="120" w:line="240" w:lineRule="exact"/>
        <w:ind w:left="283" w:hanging="283"/>
        <w:jc w:val="both"/>
        <w:rPr>
          <w:rFonts w:ascii="FrankRuehl" w:hAnsi="FrankRuehl" w:cs="FrankRuehl"/>
          <w:rtl/>
        </w:rPr>
      </w:pPr>
    </w:p>
    <w:p w14:paraId="5E21D0A5" w14:textId="77777777" w:rsidR="00DB190D" w:rsidRPr="00DB190D" w:rsidRDefault="00DB190D" w:rsidP="00DB190D">
      <w:pPr>
        <w:spacing w:before="120" w:after="120" w:line="240" w:lineRule="exact"/>
        <w:ind w:left="283" w:hanging="283"/>
        <w:jc w:val="both"/>
        <w:rPr>
          <w:rFonts w:ascii="FrankRuehl" w:hAnsi="FrankRuehl" w:cs="FrankRuehl"/>
          <w:rtl/>
        </w:rPr>
      </w:pPr>
      <w:r w:rsidRPr="00DB190D">
        <w:rPr>
          <w:rFonts w:ascii="FrankRuehl" w:hAnsi="FrankRuehl" w:cs="FrankRuehl"/>
          <w:rtl/>
        </w:rPr>
        <w:t xml:space="preserve">חקיקה שאוזכרה: </w:t>
      </w:r>
    </w:p>
    <w:p w14:paraId="524E33E4" w14:textId="77777777" w:rsidR="00DB190D" w:rsidRPr="00DB190D" w:rsidRDefault="00DB190D" w:rsidP="00DB190D">
      <w:pPr>
        <w:spacing w:before="120" w:after="120" w:line="240" w:lineRule="exact"/>
        <w:ind w:left="283" w:hanging="283"/>
        <w:jc w:val="both"/>
        <w:rPr>
          <w:rFonts w:ascii="FrankRuehl" w:hAnsi="FrankRuehl" w:cs="FrankRuehl"/>
          <w:rtl/>
        </w:rPr>
      </w:pPr>
      <w:hyperlink r:id="rId7" w:history="1">
        <w:r w:rsidRPr="00DB190D">
          <w:rPr>
            <w:rFonts w:ascii="FrankRuehl" w:hAnsi="FrankRuehl" w:cs="FrankRuehl"/>
            <w:color w:val="0000FF"/>
            <w:rtl/>
          </w:rPr>
          <w:t>חוק העונשין, תשל"ז-1977</w:t>
        </w:r>
      </w:hyperlink>
      <w:r w:rsidRPr="00DB190D">
        <w:rPr>
          <w:rFonts w:ascii="FrankRuehl" w:hAnsi="FrankRuehl" w:cs="FrankRuehl"/>
          <w:rtl/>
        </w:rPr>
        <w:t xml:space="preserve">: סע'  </w:t>
      </w:r>
      <w:hyperlink r:id="rId8" w:history="1">
        <w:r w:rsidRPr="00DB190D">
          <w:rPr>
            <w:rFonts w:ascii="FrankRuehl" w:hAnsi="FrankRuehl" w:cs="FrankRuehl"/>
            <w:color w:val="0000FF"/>
            <w:rtl/>
          </w:rPr>
          <w:t>144(ב)</w:t>
        </w:r>
      </w:hyperlink>
    </w:p>
    <w:p w14:paraId="1D299C87" w14:textId="77777777" w:rsidR="00DB190D" w:rsidRPr="00DB190D" w:rsidRDefault="00DB190D" w:rsidP="00DB190D">
      <w:pPr>
        <w:rPr>
          <w:sz w:val="26"/>
          <w:szCs w:val="26"/>
          <w:rtl/>
        </w:rPr>
      </w:pPr>
      <w:bookmarkStart w:id="4" w:name="LawTable_End"/>
      <w:bookmarkEnd w:id="4"/>
    </w:p>
    <w:p w14:paraId="6066B3B1" w14:textId="77777777" w:rsidR="004968C7" w:rsidRPr="00A64B2A" w:rsidRDefault="004968C7" w:rsidP="00A64B2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68C7" w14:paraId="4CAE6C54" w14:textId="77777777" w:rsidTr="004968C7">
        <w:trPr>
          <w:trHeight w:val="355"/>
          <w:jc w:val="center"/>
        </w:trPr>
        <w:tc>
          <w:tcPr>
            <w:tcW w:w="8820" w:type="dxa"/>
            <w:tcBorders>
              <w:top w:val="nil"/>
              <w:left w:val="nil"/>
              <w:bottom w:val="nil"/>
              <w:right w:val="nil"/>
            </w:tcBorders>
            <w:shd w:val="clear" w:color="auto" w:fill="auto"/>
          </w:tcPr>
          <w:p w14:paraId="5F088688" w14:textId="77777777" w:rsidR="00D05C50" w:rsidRPr="00D05C50" w:rsidRDefault="00D05C50" w:rsidP="00D05C50">
            <w:pPr>
              <w:jc w:val="center"/>
              <w:rPr>
                <w:rFonts w:ascii="David" w:hAnsi="David"/>
                <w:b/>
                <w:bCs/>
                <w:sz w:val="32"/>
                <w:szCs w:val="32"/>
                <w:u w:val="single"/>
                <w:rtl/>
              </w:rPr>
            </w:pPr>
            <w:bookmarkStart w:id="5" w:name="PsakDin" w:colFirst="0" w:colLast="0"/>
            <w:bookmarkEnd w:id="0"/>
            <w:r w:rsidRPr="00D05C50">
              <w:rPr>
                <w:rFonts w:ascii="David" w:hAnsi="David"/>
                <w:b/>
                <w:bCs/>
                <w:sz w:val="32"/>
                <w:szCs w:val="32"/>
                <w:u w:val="single"/>
                <w:rtl/>
              </w:rPr>
              <w:t>גזר דין</w:t>
            </w:r>
          </w:p>
          <w:p w14:paraId="651E0B8F" w14:textId="77777777" w:rsidR="004968C7" w:rsidRPr="00D05C50" w:rsidRDefault="004968C7" w:rsidP="00D05C50">
            <w:pPr>
              <w:jc w:val="center"/>
              <w:rPr>
                <w:rFonts w:ascii="David" w:hAnsi="David"/>
                <w:bCs/>
                <w:sz w:val="32"/>
                <w:szCs w:val="32"/>
                <w:u w:val="single"/>
                <w:rtl/>
              </w:rPr>
            </w:pPr>
          </w:p>
        </w:tc>
      </w:tr>
      <w:bookmarkEnd w:id="5"/>
    </w:tbl>
    <w:p w14:paraId="5A7EA443" w14:textId="77777777" w:rsidR="004968C7" w:rsidRDefault="004968C7" w:rsidP="004968C7">
      <w:pPr>
        <w:spacing w:after="240" w:line="360" w:lineRule="auto"/>
        <w:jc w:val="both"/>
        <w:rPr>
          <w:rFonts w:ascii="Arial" w:hAnsi="Arial"/>
          <w:sz w:val="26"/>
          <w:szCs w:val="26"/>
          <w:rtl/>
        </w:rPr>
      </w:pPr>
    </w:p>
    <w:p w14:paraId="47707EB3" w14:textId="77777777" w:rsidR="004968C7" w:rsidRPr="00A732AF" w:rsidRDefault="004968C7" w:rsidP="004968C7">
      <w:pPr>
        <w:spacing w:after="240" w:line="360" w:lineRule="auto"/>
        <w:jc w:val="both"/>
        <w:rPr>
          <w:rFonts w:ascii="Arial" w:hAnsi="Arial"/>
          <w:b/>
          <w:bCs/>
          <w:sz w:val="26"/>
          <w:szCs w:val="26"/>
          <w:u w:val="single"/>
          <w:rtl/>
        </w:rPr>
      </w:pPr>
      <w:r w:rsidRPr="00A732AF">
        <w:rPr>
          <w:rFonts w:ascii="Arial" w:hAnsi="Arial" w:hint="cs"/>
          <w:b/>
          <w:bCs/>
          <w:sz w:val="26"/>
          <w:szCs w:val="26"/>
          <w:u w:val="single"/>
          <w:rtl/>
        </w:rPr>
        <w:t>האישום וטיעוני הצדדים</w:t>
      </w:r>
    </w:p>
    <w:p w14:paraId="41B96322" w14:textId="77777777" w:rsidR="004968C7" w:rsidRPr="00BF4BB0" w:rsidRDefault="004968C7" w:rsidP="004968C7">
      <w:pPr>
        <w:spacing w:after="240" w:line="360" w:lineRule="auto"/>
        <w:jc w:val="both"/>
        <w:rPr>
          <w:rFonts w:ascii="Arial" w:hAnsi="Arial"/>
          <w:sz w:val="26"/>
          <w:szCs w:val="26"/>
          <w:rtl/>
        </w:rPr>
      </w:pPr>
      <w:r>
        <w:rPr>
          <w:rFonts w:ascii="Arial" w:hAnsi="Arial" w:hint="cs"/>
          <w:sz w:val="26"/>
          <w:szCs w:val="26"/>
          <w:rtl/>
        </w:rPr>
        <w:t>1.</w:t>
      </w:r>
      <w:r>
        <w:rPr>
          <w:rFonts w:ascii="Arial" w:hAnsi="Arial" w:hint="cs"/>
          <w:sz w:val="26"/>
          <w:szCs w:val="26"/>
          <w:rtl/>
        </w:rPr>
        <w:tab/>
      </w:r>
      <w:bookmarkStart w:id="6" w:name="ABSTRACT_START"/>
      <w:bookmarkEnd w:id="6"/>
      <w:r w:rsidRPr="00BF4BB0">
        <w:rPr>
          <w:rFonts w:ascii="Arial" w:hAnsi="Arial" w:hint="cs"/>
          <w:sz w:val="26"/>
          <w:szCs w:val="26"/>
          <w:rtl/>
        </w:rPr>
        <w:t xml:space="preserve">הנאשם הודה והורשע </w:t>
      </w:r>
      <w:r>
        <w:rPr>
          <w:rFonts w:ascii="Arial" w:hAnsi="Arial" w:hint="cs"/>
          <w:sz w:val="26"/>
          <w:szCs w:val="26"/>
          <w:rtl/>
        </w:rPr>
        <w:t xml:space="preserve">בכתב אישום מתוקן במסגרת הסדר טיעון שלא כלל הסכמה בעניין העונש בעבירה של נשיאת נשק לפי </w:t>
      </w:r>
      <w:hyperlink r:id="rId9" w:history="1">
        <w:r w:rsidR="00B51F33" w:rsidRPr="00B51F33">
          <w:rPr>
            <w:rStyle w:val="Hyperlink"/>
            <w:rFonts w:ascii="Arial" w:hAnsi="Arial" w:hint="eastAsia"/>
            <w:sz w:val="26"/>
            <w:szCs w:val="26"/>
            <w:rtl/>
          </w:rPr>
          <w:t>סעיף</w:t>
        </w:r>
        <w:r w:rsidR="00B51F33" w:rsidRPr="00B51F33">
          <w:rPr>
            <w:rStyle w:val="Hyperlink"/>
            <w:rFonts w:ascii="Arial" w:hAnsi="Arial"/>
            <w:sz w:val="26"/>
            <w:szCs w:val="26"/>
            <w:rtl/>
          </w:rPr>
          <w:t xml:space="preserve"> 144(ב)</w:t>
        </w:r>
      </w:hyperlink>
      <w:r>
        <w:rPr>
          <w:rFonts w:ascii="Arial" w:hAnsi="Arial" w:hint="cs"/>
          <w:sz w:val="26"/>
          <w:szCs w:val="26"/>
          <w:rtl/>
        </w:rPr>
        <w:t xml:space="preserve"> ל</w:t>
      </w:r>
      <w:hyperlink r:id="rId10" w:history="1">
        <w:r w:rsidR="00D05C50" w:rsidRPr="00D05C50">
          <w:rPr>
            <w:rFonts w:ascii="Arial" w:hAnsi="Arial"/>
            <w:color w:val="0000FF"/>
            <w:sz w:val="26"/>
            <w:szCs w:val="26"/>
            <w:u w:val="single"/>
            <w:rtl/>
          </w:rPr>
          <w:t>חוק העונשין</w:t>
        </w:r>
      </w:hyperlink>
      <w:r>
        <w:rPr>
          <w:rFonts w:ascii="Arial" w:hAnsi="Arial" w:hint="cs"/>
          <w:sz w:val="26"/>
          <w:szCs w:val="26"/>
          <w:rtl/>
        </w:rPr>
        <w:t xml:space="preserve"> תשל"ז-1977. על פי כתב האישום המתוקן, ביום 22.8.21 החל משעות הערב הנאשם החזיק יחד עם חברו עבדאללה אבו עסב בתת מקלע מאולתר אשר יורה ובכוחו להמית. הנשק הוחזק ברכבו של עבדאללה, מוסתר בתוך קופסת נעליים שהוכנסה לשקית, לפני המושב הימני הקדמי ברכב. ביום 23.8.21 עובר לשעה 00:03 נסעו הנאשם ועבדאללה ברכבו של עבדאללה, כשהנאשם יושב במושב הנוסע הקדמי והנשק המוסתר כאמור לעיל בין רגליו. השניים נסעו מרמאללה לכיוון ירושלים, כשבכוונתם להוביל את הנשק לשטח מדינת ישראל דרך מחסום חיזמה. עם הגעתם למחסום השניים עוכבו ובחיפוש ברכב נתפס הנשק.  </w:t>
      </w:r>
    </w:p>
    <w:p w14:paraId="001CDB7C" w14:textId="77777777" w:rsidR="004968C7" w:rsidRPr="00846927" w:rsidRDefault="004968C7" w:rsidP="004968C7">
      <w:pPr>
        <w:spacing w:after="240" w:line="360" w:lineRule="auto"/>
        <w:jc w:val="both"/>
        <w:rPr>
          <w:rFonts w:ascii="Arial" w:hAnsi="Arial"/>
          <w:b/>
          <w:bCs/>
          <w:sz w:val="26"/>
          <w:szCs w:val="26"/>
          <w:rtl/>
        </w:rPr>
      </w:pPr>
      <w:bookmarkStart w:id="7" w:name="ABSTRACT_END"/>
      <w:bookmarkEnd w:id="7"/>
      <w:r w:rsidRPr="00A732AF">
        <w:rPr>
          <w:rFonts w:ascii="Arial" w:hAnsi="Arial" w:hint="cs"/>
          <w:sz w:val="26"/>
          <w:szCs w:val="26"/>
          <w:rtl/>
        </w:rPr>
        <w:lastRenderedPageBreak/>
        <w:t>2.</w:t>
      </w:r>
      <w:r w:rsidRPr="00A732AF">
        <w:rPr>
          <w:rFonts w:ascii="Arial" w:hAnsi="Arial" w:hint="cs"/>
          <w:sz w:val="26"/>
          <w:szCs w:val="26"/>
          <w:rtl/>
        </w:rPr>
        <w:tab/>
      </w:r>
      <w:r w:rsidRPr="00A732AF">
        <w:rPr>
          <w:rFonts w:ascii="Arial" w:hAnsi="Arial" w:hint="cs"/>
          <w:b/>
          <w:bCs/>
          <w:sz w:val="26"/>
          <w:szCs w:val="26"/>
          <w:rtl/>
        </w:rPr>
        <w:t>ב"כ המאשימה</w:t>
      </w:r>
      <w:r>
        <w:rPr>
          <w:rFonts w:ascii="Arial" w:hAnsi="Arial" w:hint="cs"/>
          <w:sz w:val="26"/>
          <w:szCs w:val="26"/>
          <w:rtl/>
        </w:rPr>
        <w:t xml:space="preserve"> טען כי מעשיו של הנאשם פוגעים בערכים מוגנים של בטחון האזרחים ושלמות גופם, והעיסוק בנשק בלתי חוקי גורם גם לפגיעה בעקרון שלטון החוק. הוא ציין כי הנשק נתפס בין רגליו של הנאשם, תוך ניסיון להכניסו אל תוך גבולות המדינה. התובע התייחס גם לטיבו של הנשק שנתפס. הוא טען כי השימוש בו עלו להביא לתוצאה קטלנית, וכי העובדה שמדובר בנשק מאולתר שהוא מדוייק פחות מנשק תקני עלולה להכביר את הסכנה הנשקפת ממנו. הוא הוסיף כי העובדה שמדובר בנשק מאולתר מקשה על האפשרות להתחקות אחריו ומאפשרת טשטוש עקבות, וציין כי מדובר בתת מקלע, שהוא נשק בעל פוטנציאל התקפי.</w:t>
      </w:r>
      <w:r w:rsidRPr="00846927">
        <w:rPr>
          <w:rFonts w:ascii="Arial" w:hAnsi="Arial"/>
          <w:b/>
          <w:bCs/>
          <w:sz w:val="26"/>
          <w:szCs w:val="26"/>
          <w:rtl/>
        </w:rPr>
        <w:t xml:space="preserve"> </w:t>
      </w:r>
    </w:p>
    <w:p w14:paraId="6E1CC623" w14:textId="77777777" w:rsidR="004968C7" w:rsidRPr="00A80E7A" w:rsidRDefault="004968C7" w:rsidP="004968C7">
      <w:pPr>
        <w:spacing w:after="240" w:line="360" w:lineRule="auto"/>
        <w:ind w:firstLine="720"/>
        <w:jc w:val="both"/>
        <w:rPr>
          <w:rFonts w:ascii="Arial" w:hAnsi="Arial"/>
          <w:sz w:val="26"/>
          <w:szCs w:val="26"/>
          <w:rtl/>
        </w:rPr>
      </w:pPr>
      <w:r w:rsidRPr="00A80E7A">
        <w:rPr>
          <w:rFonts w:ascii="Arial" w:hAnsi="Arial" w:hint="cs"/>
          <w:sz w:val="26"/>
          <w:szCs w:val="26"/>
          <w:rtl/>
        </w:rPr>
        <w:t xml:space="preserve">התובע עמד על מגמת ההחמרה בענישה על עבירות הנשק בשנים האחרונות, הבא לביטוי גם בהתערבות של בית המשפט העליון בפסקי דין של הערכאות הדיוניות, ובתיקון לחוק אשר אינו חל במקרה זה אך יש בו כדי לבטא את רוח המחוקק. הוא הפנה למספר פסקי דין וביקש לקבוע מתחם ענישה בין 30-60 חודשי מאסר בפועל וענישה נלווית. </w:t>
      </w:r>
    </w:p>
    <w:p w14:paraId="60EA1F5B" w14:textId="77777777" w:rsidR="004968C7" w:rsidRPr="00A80E7A" w:rsidRDefault="004968C7" w:rsidP="004968C7">
      <w:pPr>
        <w:spacing w:after="240" w:line="360" w:lineRule="auto"/>
        <w:jc w:val="both"/>
        <w:rPr>
          <w:rFonts w:ascii="Arial" w:hAnsi="Arial"/>
          <w:sz w:val="26"/>
          <w:szCs w:val="26"/>
          <w:rtl/>
        </w:rPr>
      </w:pPr>
      <w:r>
        <w:rPr>
          <w:rFonts w:ascii="Arial" w:hAnsi="Arial" w:hint="cs"/>
          <w:sz w:val="26"/>
          <w:szCs w:val="26"/>
          <w:rtl/>
        </w:rPr>
        <w:t>3.</w:t>
      </w:r>
      <w:r>
        <w:rPr>
          <w:rFonts w:ascii="Arial" w:hAnsi="Arial" w:hint="cs"/>
          <w:sz w:val="26"/>
          <w:szCs w:val="26"/>
          <w:rtl/>
        </w:rPr>
        <w:tab/>
      </w:r>
      <w:r w:rsidRPr="00A80E7A">
        <w:rPr>
          <w:rFonts w:ascii="Arial" w:hAnsi="Arial" w:hint="cs"/>
          <w:sz w:val="26"/>
          <w:szCs w:val="26"/>
          <w:rtl/>
        </w:rPr>
        <w:t xml:space="preserve">אשר לעונשו של הנאשם, ב"כ המאשימה ציין כי לחובתו הרשעה בעבירה של הפרת הוראה חוקית משנת 2020. לזכותו של הנאשם עומדת הודאתו במיוחס לו ולקיחת האחריות. הוא הפנה לתסקיר שירות המבחן, ממנו עולה מסוכנות גבוהה הנשקפת מהנאשם. כמו כן עמד על הצורך בהרתעת היחיד והרתעת הרבים. </w:t>
      </w:r>
    </w:p>
    <w:p w14:paraId="10C1CAD7" w14:textId="77777777" w:rsidR="004968C7" w:rsidRPr="00A80E7A" w:rsidRDefault="004968C7" w:rsidP="004968C7">
      <w:pPr>
        <w:spacing w:after="240" w:line="360" w:lineRule="auto"/>
        <w:jc w:val="both"/>
        <w:rPr>
          <w:rFonts w:ascii="Arial" w:hAnsi="Arial"/>
          <w:sz w:val="26"/>
          <w:szCs w:val="26"/>
          <w:rtl/>
        </w:rPr>
      </w:pPr>
      <w:r w:rsidRPr="00A80E7A">
        <w:rPr>
          <w:rFonts w:ascii="Arial" w:hAnsi="Arial" w:hint="cs"/>
          <w:sz w:val="26"/>
          <w:szCs w:val="26"/>
          <w:rtl/>
        </w:rPr>
        <w:t xml:space="preserve"> </w:t>
      </w:r>
      <w:r>
        <w:rPr>
          <w:rFonts w:ascii="Arial" w:hAnsi="Arial"/>
          <w:sz w:val="26"/>
          <w:szCs w:val="26"/>
          <w:rtl/>
        </w:rPr>
        <w:tab/>
      </w:r>
      <w:r w:rsidRPr="00A80E7A">
        <w:rPr>
          <w:rFonts w:ascii="Arial" w:hAnsi="Arial" w:hint="cs"/>
          <w:sz w:val="26"/>
          <w:szCs w:val="26"/>
          <w:rtl/>
        </w:rPr>
        <w:t>ב"כ המאשימה התייחס לגזר דינו של עבדאללה אבו עסב, שותפו של הנאשם, אשר נדון לשנת מאסר ב</w:t>
      </w:r>
      <w:hyperlink r:id="rId11" w:history="1">
        <w:r w:rsidR="00D05C50" w:rsidRPr="00D05C50">
          <w:rPr>
            <w:rFonts w:ascii="Arial" w:hAnsi="Arial"/>
            <w:color w:val="0000FF"/>
            <w:sz w:val="26"/>
            <w:szCs w:val="26"/>
            <w:u w:val="single"/>
            <w:rtl/>
          </w:rPr>
          <w:t>ת"פ 34737-09-21</w:t>
        </w:r>
      </w:hyperlink>
      <w:r w:rsidRPr="00A80E7A">
        <w:rPr>
          <w:rFonts w:ascii="Arial" w:hAnsi="Arial" w:hint="cs"/>
          <w:sz w:val="26"/>
          <w:szCs w:val="26"/>
          <w:rtl/>
        </w:rPr>
        <w:t xml:space="preserve">. הוא טען שלא ניתן ללמוד מגזר דין זה לענייננו, ראשית משום שגזר הדין אינו חלוט ונשקלת אפשרות לערער עליו. שנית משום שבית המשפט שגזר את דינו של אבו עסב סבר שיש מקום להבחין בין שני המעורבים וחלקו של אבו עסב קטן מחלקו של הנאשם שבפני. ושלישית משום שעל אבו עסב הוטלה גם ענישה כלכלית, כאשר רכבו חולט ונגרם לו נזק. </w:t>
      </w:r>
    </w:p>
    <w:p w14:paraId="758F5958" w14:textId="77777777" w:rsidR="004968C7" w:rsidRDefault="004968C7" w:rsidP="004968C7">
      <w:pPr>
        <w:spacing w:after="240" w:line="360" w:lineRule="auto"/>
        <w:ind w:firstLine="720"/>
        <w:jc w:val="both"/>
        <w:rPr>
          <w:rFonts w:ascii="Arial" w:hAnsi="Arial"/>
          <w:sz w:val="26"/>
          <w:szCs w:val="26"/>
          <w:rtl/>
        </w:rPr>
      </w:pPr>
      <w:r w:rsidRPr="00A80E7A">
        <w:rPr>
          <w:rFonts w:ascii="Arial" w:hAnsi="Arial" w:hint="cs"/>
          <w:sz w:val="26"/>
          <w:szCs w:val="26"/>
          <w:rtl/>
        </w:rPr>
        <w:t>התובע טען כי יש למקם את הנאשם שבפני באמצע מתחם הענישה, ולגזור עליו עונש בהתאם, כולל</w:t>
      </w:r>
      <w:r w:rsidRPr="00A80E7A">
        <w:rPr>
          <w:rFonts w:ascii="Arial" w:hAnsi="Arial"/>
          <w:sz w:val="26"/>
          <w:szCs w:val="26"/>
          <w:rtl/>
        </w:rPr>
        <w:t xml:space="preserve"> מאסר על תנאי וקנס. </w:t>
      </w:r>
    </w:p>
    <w:p w14:paraId="17636A80" w14:textId="77777777" w:rsidR="004968C7" w:rsidRDefault="004968C7" w:rsidP="004968C7">
      <w:pPr>
        <w:spacing w:after="240" w:line="360" w:lineRule="auto"/>
        <w:jc w:val="both"/>
        <w:rPr>
          <w:rFonts w:ascii="Arial" w:hAnsi="Arial"/>
          <w:sz w:val="26"/>
          <w:szCs w:val="26"/>
          <w:rtl/>
        </w:rPr>
      </w:pPr>
      <w:r>
        <w:rPr>
          <w:rFonts w:ascii="Arial" w:hAnsi="Arial" w:hint="cs"/>
          <w:sz w:val="26"/>
          <w:szCs w:val="26"/>
          <w:rtl/>
        </w:rPr>
        <w:t>4.</w:t>
      </w:r>
      <w:r>
        <w:rPr>
          <w:rFonts w:ascii="Arial" w:hAnsi="Arial" w:hint="cs"/>
          <w:sz w:val="26"/>
          <w:szCs w:val="26"/>
          <w:rtl/>
        </w:rPr>
        <w:tab/>
      </w:r>
      <w:r w:rsidRPr="00A732AF">
        <w:rPr>
          <w:rFonts w:ascii="Arial" w:hAnsi="Arial" w:hint="cs"/>
          <w:b/>
          <w:bCs/>
          <w:sz w:val="26"/>
          <w:szCs w:val="26"/>
          <w:rtl/>
        </w:rPr>
        <w:t xml:space="preserve">ב"כ הנאשם </w:t>
      </w:r>
      <w:r>
        <w:rPr>
          <w:rFonts w:ascii="Arial" w:hAnsi="Arial" w:hint="cs"/>
          <w:sz w:val="26"/>
          <w:szCs w:val="26"/>
          <w:rtl/>
        </w:rPr>
        <w:t xml:space="preserve">טען כי אין להטיל על הנאשם עונש חמור מזה שנגזר על שותפו, ולכל היותר יש להשוות ביניהם. הוא ציין כי בגזר דינו של אבו עסב נקבע כי אין משמעות לעובדה שהנשק נמצא בין רגליו של הנאשם שבפני. לעניין חילוט רכבו של השותף טען הסניגור כי שווי הרכב כ-16,000 ₪, סכום שאינו משמעותי ואינו צריך להתבטא בתוספת לתקופת המאסר, ולכל היותר ניתן להטיל גם על הנאשם שבפני ענישה כספית.  </w:t>
      </w:r>
    </w:p>
    <w:p w14:paraId="5BF968C5" w14:textId="77777777" w:rsidR="004968C7" w:rsidRDefault="004968C7" w:rsidP="004968C7">
      <w:pPr>
        <w:spacing w:after="240" w:line="360" w:lineRule="auto"/>
        <w:ind w:firstLine="720"/>
        <w:jc w:val="both"/>
        <w:rPr>
          <w:rFonts w:ascii="Arial" w:hAnsi="Arial"/>
          <w:b/>
          <w:bCs/>
          <w:sz w:val="26"/>
          <w:szCs w:val="26"/>
          <w:rtl/>
        </w:rPr>
      </w:pPr>
      <w:r>
        <w:rPr>
          <w:rFonts w:ascii="Arial" w:hAnsi="Arial" w:hint="cs"/>
          <w:sz w:val="26"/>
          <w:szCs w:val="26"/>
          <w:rtl/>
        </w:rPr>
        <w:lastRenderedPageBreak/>
        <w:t xml:space="preserve">לעניין מתחם הענישה טען הסניגור כי הנשק הוחזק על ידי הנאשם זמן קצר מאד, משעות הערב של יום </w:t>
      </w:r>
      <w:r w:rsidRPr="00A80E7A">
        <w:rPr>
          <w:rFonts w:ascii="Arial" w:hAnsi="Arial"/>
          <w:b/>
          <w:bCs/>
          <w:sz w:val="26"/>
          <w:szCs w:val="26"/>
          <w:rtl/>
        </w:rPr>
        <w:t>2.8.</w:t>
      </w:r>
      <w:r w:rsidRPr="00F26559">
        <w:rPr>
          <w:rFonts w:ascii="Arial" w:hAnsi="Arial"/>
          <w:sz w:val="26"/>
          <w:szCs w:val="26"/>
          <w:rtl/>
        </w:rPr>
        <w:t xml:space="preserve">21 עד </w:t>
      </w:r>
      <w:r w:rsidRPr="00F26559">
        <w:rPr>
          <w:rFonts w:ascii="Arial" w:hAnsi="Arial" w:hint="cs"/>
          <w:sz w:val="26"/>
          <w:szCs w:val="26"/>
          <w:rtl/>
        </w:rPr>
        <w:t>תפיסתו</w:t>
      </w:r>
      <w:r w:rsidRPr="00F26559">
        <w:rPr>
          <w:rFonts w:ascii="Arial" w:hAnsi="Arial"/>
          <w:sz w:val="26"/>
          <w:szCs w:val="26"/>
          <w:rtl/>
        </w:rPr>
        <w:t xml:space="preserve"> ביום 3.8.21 שעה 00:03. </w:t>
      </w:r>
      <w:r w:rsidRPr="00F26559">
        <w:rPr>
          <w:rFonts w:ascii="Arial" w:hAnsi="Arial" w:hint="cs"/>
          <w:sz w:val="26"/>
          <w:szCs w:val="26"/>
          <w:rtl/>
        </w:rPr>
        <w:t>הוא הוסיף כי בכתב</w:t>
      </w:r>
      <w:r>
        <w:rPr>
          <w:rFonts w:ascii="Arial" w:hAnsi="Arial" w:hint="cs"/>
          <w:sz w:val="26"/>
          <w:szCs w:val="26"/>
          <w:rtl/>
        </w:rPr>
        <w:t xml:space="preserve"> ה</w:t>
      </w:r>
      <w:r w:rsidRPr="00F26559">
        <w:rPr>
          <w:rFonts w:ascii="Arial" w:hAnsi="Arial" w:hint="cs"/>
          <w:sz w:val="26"/>
          <w:szCs w:val="26"/>
          <w:rtl/>
        </w:rPr>
        <w:t xml:space="preserve">אישום אין כל אינדיקציה לגבי </w:t>
      </w:r>
      <w:r w:rsidRPr="00F26559">
        <w:rPr>
          <w:rFonts w:ascii="Arial" w:hAnsi="Arial"/>
          <w:sz w:val="26"/>
          <w:szCs w:val="26"/>
          <w:rtl/>
        </w:rPr>
        <w:t>מטרת החזקת הנשק</w:t>
      </w:r>
      <w:r>
        <w:rPr>
          <w:rFonts w:ascii="Arial" w:hAnsi="Arial" w:hint="cs"/>
          <w:sz w:val="26"/>
          <w:szCs w:val="26"/>
          <w:rtl/>
        </w:rPr>
        <w:t xml:space="preserve">, </w:t>
      </w:r>
      <w:r w:rsidRPr="00F26559">
        <w:rPr>
          <w:rFonts w:ascii="Arial" w:hAnsi="Arial" w:hint="cs"/>
          <w:sz w:val="26"/>
          <w:szCs w:val="26"/>
          <w:rtl/>
        </w:rPr>
        <w:t>לא ניתן לייחס לנאשם מטרה כלשהי בנשיאת הנשק, ואין לקשור בין החזקתו לפני חודשים רבים לבין המתיחות השוררת כיום במדינה.</w:t>
      </w:r>
      <w:r>
        <w:rPr>
          <w:rFonts w:ascii="Arial" w:hAnsi="Arial" w:hint="cs"/>
          <w:b/>
          <w:bCs/>
          <w:sz w:val="26"/>
          <w:szCs w:val="26"/>
          <w:rtl/>
        </w:rPr>
        <w:t xml:space="preserve"> </w:t>
      </w:r>
    </w:p>
    <w:p w14:paraId="0A353738" w14:textId="77777777" w:rsidR="004968C7" w:rsidRPr="007D38D4" w:rsidRDefault="004968C7" w:rsidP="004968C7">
      <w:pPr>
        <w:spacing w:after="240" w:line="360" w:lineRule="auto"/>
        <w:ind w:firstLine="720"/>
        <w:jc w:val="both"/>
        <w:rPr>
          <w:rFonts w:ascii="Arial" w:hAnsi="Arial"/>
          <w:sz w:val="26"/>
          <w:szCs w:val="26"/>
          <w:rtl/>
        </w:rPr>
      </w:pPr>
      <w:r w:rsidRPr="007D38D4">
        <w:rPr>
          <w:rFonts w:ascii="Arial" w:hAnsi="Arial" w:hint="cs"/>
          <w:sz w:val="26"/>
          <w:szCs w:val="26"/>
          <w:rtl/>
        </w:rPr>
        <w:t>הסניגור התייחס גם לטיב הנשק, תת מקלע מאולתר, וביקש לדחות את הטענה שנשק שאינו תקני מסוכן יותר מנשק תקני. הוא ציין כי הנשק נתפס ללא מחסנית ותחמושת, כך שלא היתה אפשרות לשימוש מיידי</w:t>
      </w:r>
      <w:r>
        <w:rPr>
          <w:rFonts w:ascii="Arial" w:hAnsi="Arial" w:hint="cs"/>
          <w:sz w:val="26"/>
          <w:szCs w:val="26"/>
          <w:rtl/>
        </w:rPr>
        <w:t xml:space="preserve"> בו</w:t>
      </w:r>
      <w:r w:rsidRPr="007D38D4">
        <w:rPr>
          <w:rFonts w:ascii="Arial" w:hAnsi="Arial" w:hint="cs"/>
          <w:sz w:val="26"/>
          <w:szCs w:val="26"/>
          <w:rtl/>
        </w:rPr>
        <w:t xml:space="preserve">. הסניגור הדגיש כי הערך המוגן של שמירה על חיי אדם לא נפגע. הסניגור הפנה למספר פסקי דין, וכן לגזר דינו של השותף אבו עסב, בו נקבע מתחם בין 12-24 חודשי מאסר והנאשם נדון ל-12 חודשי מאסר בפועל. </w:t>
      </w:r>
    </w:p>
    <w:p w14:paraId="3694172B" w14:textId="77777777" w:rsidR="004968C7" w:rsidRPr="007D38D4" w:rsidRDefault="004968C7" w:rsidP="004968C7">
      <w:pPr>
        <w:spacing w:after="240" w:line="360" w:lineRule="auto"/>
        <w:jc w:val="both"/>
        <w:rPr>
          <w:rFonts w:ascii="Arial" w:hAnsi="Arial"/>
          <w:sz w:val="26"/>
          <w:szCs w:val="26"/>
          <w:rtl/>
        </w:rPr>
      </w:pPr>
      <w:r>
        <w:rPr>
          <w:rFonts w:ascii="Arial" w:hAnsi="Arial" w:hint="cs"/>
          <w:sz w:val="26"/>
          <w:szCs w:val="26"/>
          <w:rtl/>
        </w:rPr>
        <w:t>5.</w:t>
      </w:r>
      <w:r>
        <w:rPr>
          <w:rFonts w:ascii="Arial" w:hAnsi="Arial" w:hint="cs"/>
          <w:sz w:val="26"/>
          <w:szCs w:val="26"/>
          <w:rtl/>
        </w:rPr>
        <w:tab/>
      </w:r>
      <w:r w:rsidRPr="007D38D4">
        <w:rPr>
          <w:rFonts w:ascii="Arial" w:hAnsi="Arial" w:hint="cs"/>
          <w:sz w:val="26"/>
          <w:szCs w:val="26"/>
          <w:rtl/>
        </w:rPr>
        <w:t>אשר לנסיבות ש</w:t>
      </w:r>
      <w:r w:rsidRPr="007D38D4">
        <w:rPr>
          <w:rFonts w:ascii="Arial" w:hAnsi="Arial"/>
          <w:sz w:val="26"/>
          <w:szCs w:val="26"/>
          <w:rtl/>
        </w:rPr>
        <w:t>אינן קשורות לביצוע העבירה</w:t>
      </w:r>
      <w:r w:rsidRPr="007D38D4">
        <w:rPr>
          <w:rFonts w:ascii="Arial" w:hAnsi="Arial" w:hint="cs"/>
          <w:sz w:val="26"/>
          <w:szCs w:val="26"/>
          <w:rtl/>
        </w:rPr>
        <w:t xml:space="preserve">, הסניגור ציין כי הנאשם היה בן 21 בעת ביצוע העבירה. הוא הודה וחסך זמן. הנאשם סטודנט שנה רביעית בפקולטה לחשבונאות באוניברסיטת ביר זית, הוא נחקר חקירה ממושכת על ידי השב"כ, ושילם מחיר גבוה על מעשיו. הנאשם בן למשפחה של אקדמאים ובעלי מקצועות חופשיים. משפחתו של הנאשם גינתה את מעשיו וכעסה עליו, והדבר מבטיח שלא יחזור על מעשיו. </w:t>
      </w:r>
    </w:p>
    <w:p w14:paraId="6A498C75" w14:textId="77777777" w:rsidR="004968C7" w:rsidRPr="007D38D4" w:rsidRDefault="004968C7" w:rsidP="004968C7">
      <w:pPr>
        <w:spacing w:after="240" w:line="360" w:lineRule="auto"/>
        <w:ind w:firstLine="720"/>
        <w:jc w:val="both"/>
        <w:rPr>
          <w:rFonts w:ascii="Arial" w:hAnsi="Arial"/>
          <w:sz w:val="26"/>
          <w:szCs w:val="26"/>
          <w:rtl/>
        </w:rPr>
      </w:pPr>
      <w:r w:rsidRPr="007D38D4">
        <w:rPr>
          <w:rFonts w:ascii="Arial" w:hAnsi="Arial" w:hint="cs"/>
          <w:sz w:val="26"/>
          <w:szCs w:val="26"/>
          <w:rtl/>
        </w:rPr>
        <w:t>לעניין התסקיר ביקש הסניגור להבהיר כי הנאשם אינו חוזר בו מה</w:t>
      </w:r>
      <w:r>
        <w:rPr>
          <w:rFonts w:ascii="Arial" w:hAnsi="Arial" w:hint="cs"/>
          <w:sz w:val="26"/>
          <w:szCs w:val="26"/>
          <w:rtl/>
        </w:rPr>
        <w:t>ודעתו, וכי מה שפורש על ידי קצין</w:t>
      </w:r>
      <w:r w:rsidRPr="007D38D4">
        <w:rPr>
          <w:rFonts w:ascii="Arial" w:hAnsi="Arial" w:hint="cs"/>
          <w:sz w:val="26"/>
          <w:szCs w:val="26"/>
          <w:rtl/>
        </w:rPr>
        <w:t xml:space="preserve"> המבחן כקושי בקבלת אחריות נובע מכך שהנאשם נשאל על מטרת השימוש בנשק ושאלות שאינן קשורות ישירות לעבירה, ולגביהן לא שיתף פעולה. הוא הבהיר כי הנאשם אינו מכחיש את אחריותו לעבירה, אלא </w:t>
      </w:r>
      <w:r w:rsidRPr="007D38D4">
        <w:rPr>
          <w:rFonts w:ascii="Arial" w:hAnsi="Arial"/>
          <w:sz w:val="26"/>
          <w:szCs w:val="26"/>
          <w:rtl/>
        </w:rPr>
        <w:t xml:space="preserve">סירב לדבר עם שירות המבחן </w:t>
      </w:r>
      <w:r>
        <w:rPr>
          <w:rFonts w:ascii="Arial" w:hAnsi="Arial" w:hint="cs"/>
          <w:sz w:val="26"/>
          <w:szCs w:val="26"/>
          <w:rtl/>
        </w:rPr>
        <w:t xml:space="preserve">על </w:t>
      </w:r>
      <w:r w:rsidRPr="007D38D4">
        <w:rPr>
          <w:rFonts w:ascii="Arial" w:hAnsi="Arial" w:hint="cs"/>
          <w:sz w:val="26"/>
          <w:szCs w:val="26"/>
          <w:rtl/>
        </w:rPr>
        <w:t>תכניותיו לגבי הנשק.</w:t>
      </w:r>
    </w:p>
    <w:p w14:paraId="229E5B6B" w14:textId="77777777" w:rsidR="004968C7" w:rsidRDefault="004968C7" w:rsidP="004968C7">
      <w:pPr>
        <w:spacing w:after="240" w:line="360" w:lineRule="auto"/>
        <w:ind w:firstLine="720"/>
        <w:jc w:val="both"/>
        <w:rPr>
          <w:rFonts w:ascii="Arial" w:hAnsi="Arial"/>
          <w:sz w:val="26"/>
          <w:szCs w:val="26"/>
          <w:rtl/>
        </w:rPr>
      </w:pPr>
      <w:r w:rsidRPr="007D38D4">
        <w:rPr>
          <w:rFonts w:ascii="Arial" w:hAnsi="Arial" w:hint="cs"/>
          <w:sz w:val="26"/>
          <w:szCs w:val="26"/>
          <w:rtl/>
        </w:rPr>
        <w:t xml:space="preserve">לאור כל אלה ביקש ב"כ הנאשם לגזור על הנאשם לכל היותר את העונש שנגזר על חברו אבו עסב. </w:t>
      </w:r>
    </w:p>
    <w:p w14:paraId="3025D577" w14:textId="77777777" w:rsidR="004968C7" w:rsidRPr="00754D51" w:rsidRDefault="004968C7" w:rsidP="004968C7">
      <w:pPr>
        <w:spacing w:after="240" w:line="360" w:lineRule="auto"/>
        <w:jc w:val="both"/>
        <w:rPr>
          <w:rFonts w:ascii="Arial" w:hAnsi="Arial"/>
          <w:b/>
          <w:bCs/>
          <w:sz w:val="26"/>
          <w:szCs w:val="26"/>
          <w:u w:val="single"/>
          <w:rtl/>
        </w:rPr>
      </w:pPr>
      <w:r>
        <w:rPr>
          <w:rFonts w:ascii="Arial" w:hAnsi="Arial" w:hint="cs"/>
          <w:b/>
          <w:bCs/>
          <w:sz w:val="26"/>
          <w:szCs w:val="26"/>
          <w:u w:val="single"/>
          <w:rtl/>
        </w:rPr>
        <w:t>תסקיר שירות המבחן</w:t>
      </w:r>
    </w:p>
    <w:p w14:paraId="367AF58C" w14:textId="77777777" w:rsidR="004968C7" w:rsidRDefault="004968C7" w:rsidP="004968C7">
      <w:pPr>
        <w:spacing w:after="240" w:line="360" w:lineRule="auto"/>
        <w:jc w:val="both"/>
        <w:rPr>
          <w:rFonts w:ascii="Arial" w:hAnsi="Arial"/>
          <w:sz w:val="26"/>
          <w:szCs w:val="26"/>
          <w:rtl/>
        </w:rPr>
      </w:pPr>
      <w:r>
        <w:rPr>
          <w:rFonts w:ascii="Arial" w:hAnsi="Arial" w:hint="cs"/>
          <w:sz w:val="26"/>
          <w:szCs w:val="26"/>
          <w:rtl/>
        </w:rPr>
        <w:t>6.</w:t>
      </w:r>
      <w:r>
        <w:rPr>
          <w:rFonts w:ascii="Arial" w:hAnsi="Arial" w:hint="cs"/>
          <w:sz w:val="26"/>
          <w:szCs w:val="26"/>
          <w:rtl/>
        </w:rPr>
        <w:tab/>
      </w:r>
      <w:r w:rsidRPr="00B11BAB">
        <w:rPr>
          <w:rFonts w:ascii="Arial" w:hAnsi="Arial"/>
          <w:sz w:val="26"/>
          <w:szCs w:val="26"/>
          <w:rtl/>
        </w:rPr>
        <w:t>מתסקיר שירות המבחן שהוגש בעניינו של הנאשם עולה כי הוא גדל בשכונת עיסוויה להורים משכילים ומשפחה תומכת המקיימת אורח חיים נורמטיבי. עם זאת, בהתייחס לאירוע נשוא כתב האישום, הנאשם התקשה להכיר בא</w:t>
      </w:r>
      <w:r w:rsidRPr="00B11BAB">
        <w:rPr>
          <w:rFonts w:ascii="Arial" w:hAnsi="Arial" w:hint="cs"/>
          <w:sz w:val="26"/>
          <w:szCs w:val="26"/>
          <w:rtl/>
        </w:rPr>
        <w:t>ח</w:t>
      </w:r>
      <w:r w:rsidRPr="00B11BAB">
        <w:rPr>
          <w:rFonts w:ascii="Arial" w:hAnsi="Arial"/>
          <w:sz w:val="26"/>
          <w:szCs w:val="26"/>
          <w:rtl/>
        </w:rPr>
        <w:t>ריותו למעשים המיוחסים לו וביטא עמדה קורבנית ביחס לנסיבות שהביאו למעורבותו. הוא טען כי לא ידע על הימצאותו של הנשק ברכב בו נסע. בשל הקושי לשאת באחריות, נמנע שירות המבחן מהמלצה בעניינו של הנאשם.</w:t>
      </w:r>
    </w:p>
    <w:p w14:paraId="262AC1FF" w14:textId="77777777" w:rsidR="004968C7" w:rsidRDefault="004968C7" w:rsidP="004968C7">
      <w:pPr>
        <w:spacing w:after="240" w:line="360" w:lineRule="auto"/>
        <w:ind w:firstLine="720"/>
        <w:jc w:val="both"/>
        <w:rPr>
          <w:rFonts w:ascii="Arial" w:hAnsi="Arial"/>
          <w:sz w:val="26"/>
          <w:szCs w:val="26"/>
          <w:rtl/>
        </w:rPr>
      </w:pPr>
      <w:r>
        <w:rPr>
          <w:rFonts w:ascii="Arial" w:hAnsi="Arial" w:hint="cs"/>
          <w:sz w:val="26"/>
          <w:szCs w:val="26"/>
          <w:rtl/>
        </w:rPr>
        <w:t xml:space="preserve">הנאשם עצמו הבהיר כי הוא עומד מאחורי הודעתו בבית המשפט. לדבריו נוצרה אי הבנה כאשר קצין המבחן שאל אותו על מטרת החזקת הנשק, ולו לא היתה כל מטרה. אולם הוא הודה בעבירה שיוחסה לו. </w:t>
      </w:r>
    </w:p>
    <w:p w14:paraId="516107B6" w14:textId="77777777" w:rsidR="004968C7" w:rsidRDefault="004968C7" w:rsidP="004968C7">
      <w:pPr>
        <w:spacing w:after="240" w:line="360" w:lineRule="auto"/>
        <w:ind w:firstLine="720"/>
        <w:jc w:val="both"/>
        <w:rPr>
          <w:rFonts w:ascii="Arial" w:hAnsi="Arial"/>
          <w:sz w:val="26"/>
          <w:szCs w:val="26"/>
          <w:rtl/>
        </w:rPr>
      </w:pPr>
    </w:p>
    <w:p w14:paraId="1271B42D" w14:textId="77777777" w:rsidR="004968C7" w:rsidRPr="00B11BAB" w:rsidRDefault="004968C7" w:rsidP="004968C7">
      <w:pPr>
        <w:spacing w:after="240" w:line="360" w:lineRule="auto"/>
        <w:ind w:firstLine="720"/>
        <w:jc w:val="both"/>
        <w:rPr>
          <w:rFonts w:ascii="Arial" w:hAnsi="Arial"/>
          <w:sz w:val="26"/>
          <w:szCs w:val="26"/>
          <w:rtl/>
        </w:rPr>
      </w:pPr>
    </w:p>
    <w:p w14:paraId="2F19DAC5" w14:textId="77777777" w:rsidR="004968C7" w:rsidRPr="00754D51" w:rsidRDefault="004968C7" w:rsidP="004968C7">
      <w:pPr>
        <w:spacing w:after="240" w:line="360" w:lineRule="auto"/>
        <w:jc w:val="both"/>
        <w:rPr>
          <w:rFonts w:ascii="Arial" w:hAnsi="Arial"/>
          <w:b/>
          <w:bCs/>
          <w:sz w:val="26"/>
          <w:szCs w:val="26"/>
          <w:u w:val="single"/>
          <w:rtl/>
        </w:rPr>
      </w:pPr>
      <w:r w:rsidRPr="00754D51">
        <w:rPr>
          <w:rFonts w:ascii="Arial" w:hAnsi="Arial" w:hint="cs"/>
          <w:b/>
          <w:bCs/>
          <w:sz w:val="26"/>
          <w:szCs w:val="26"/>
          <w:u w:val="single"/>
          <w:rtl/>
        </w:rPr>
        <w:t xml:space="preserve">מתחם העונש ההולם </w:t>
      </w:r>
    </w:p>
    <w:p w14:paraId="0DEA88CB" w14:textId="77777777" w:rsidR="004968C7" w:rsidRDefault="004968C7" w:rsidP="004968C7">
      <w:pPr>
        <w:spacing w:after="240" w:line="360" w:lineRule="auto"/>
        <w:jc w:val="both"/>
        <w:rPr>
          <w:rFonts w:ascii="Arial" w:hAnsi="Arial"/>
          <w:sz w:val="26"/>
          <w:szCs w:val="26"/>
        </w:rPr>
      </w:pPr>
      <w:r>
        <w:rPr>
          <w:rFonts w:ascii="Arial" w:hAnsi="Arial" w:hint="cs"/>
          <w:sz w:val="26"/>
          <w:szCs w:val="26"/>
          <w:rtl/>
        </w:rPr>
        <w:t>7.</w:t>
      </w:r>
      <w:r>
        <w:rPr>
          <w:rFonts w:ascii="Arial" w:hAnsi="Arial" w:hint="cs"/>
          <w:sz w:val="26"/>
          <w:szCs w:val="26"/>
          <w:rtl/>
        </w:rPr>
        <w:tab/>
      </w:r>
      <w:r>
        <w:rPr>
          <w:rFonts w:ascii="Arial" w:hAnsi="Arial"/>
          <w:sz w:val="26"/>
          <w:szCs w:val="26"/>
          <w:rtl/>
        </w:rPr>
        <w:t xml:space="preserve">כלי נשק הוא חפץ מסוכן, שהשימוש העיקרי בו הוא לצורך המתת אדם, גרימת פגיעה גופנית חמורה לאדם או איום בפגיעה כזו. אין צורך להכביר מילים באשר לסכנה הנשקפת מהחזקה של כלי נשק הנעשית על ידי מי שאינם מורשים לכך, שלא למטרות ראויות כגון הגנה על בטחון המדינה או על שלום אזרחיה. </w:t>
      </w:r>
    </w:p>
    <w:p w14:paraId="798E8353" w14:textId="77777777" w:rsidR="004968C7" w:rsidRPr="00754D51" w:rsidRDefault="004968C7" w:rsidP="004968C7">
      <w:pPr>
        <w:spacing w:after="240" w:line="360" w:lineRule="auto"/>
        <w:ind w:firstLine="720"/>
        <w:jc w:val="both"/>
        <w:rPr>
          <w:rFonts w:ascii="Arial" w:hAnsi="Arial"/>
          <w:sz w:val="26"/>
          <w:szCs w:val="26"/>
          <w:rtl/>
        </w:rPr>
      </w:pPr>
      <w:r>
        <w:rPr>
          <w:rFonts w:ascii="Arial" w:hAnsi="Arial"/>
          <w:sz w:val="26"/>
          <w:szCs w:val="26"/>
          <w:rtl/>
        </w:rPr>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שהפכו כבר ל</w:t>
      </w:r>
      <w:r w:rsidRPr="00754D51">
        <w:rPr>
          <w:rFonts w:ascii="Arial" w:hAnsi="Arial"/>
          <w:sz w:val="26"/>
          <w:szCs w:val="26"/>
          <w:rtl/>
        </w:rPr>
        <w:t>"מכת מדינה". לעניין זה אפנה, לדוגמא, ל</w:t>
      </w:r>
      <w:hyperlink r:id="rId12" w:history="1">
        <w:r w:rsidR="00D05C50" w:rsidRPr="00D05C50">
          <w:rPr>
            <w:rFonts w:ascii="Arial" w:hAnsi="Arial"/>
            <w:color w:val="0000FF"/>
            <w:sz w:val="26"/>
            <w:szCs w:val="26"/>
            <w:u w:val="single"/>
            <w:rtl/>
          </w:rPr>
          <w:t>ע"פ 4406/19</w:t>
        </w:r>
      </w:hyperlink>
      <w:r w:rsidRPr="00754D51">
        <w:rPr>
          <w:rFonts w:ascii="Arial" w:hAnsi="Arial"/>
          <w:sz w:val="26"/>
          <w:szCs w:val="26"/>
          <w:rtl/>
        </w:rPr>
        <w:t xml:space="preserve"> </w:t>
      </w:r>
      <w:r w:rsidRPr="00754D51">
        <w:rPr>
          <w:rFonts w:ascii="Arial" w:hAnsi="Arial" w:hint="cs"/>
          <w:b/>
          <w:bCs/>
          <w:sz w:val="26"/>
          <w:szCs w:val="26"/>
          <w:rtl/>
        </w:rPr>
        <w:t>מדינת ישראל נ' יונס סובח</w:t>
      </w:r>
      <w:r w:rsidRPr="00754D51">
        <w:rPr>
          <w:rFonts w:ascii="Arial" w:hAnsi="Arial" w:hint="cs"/>
          <w:sz w:val="26"/>
          <w:szCs w:val="26"/>
          <w:rtl/>
        </w:rPr>
        <w:t xml:space="preserve"> (5.11.19) פסקה 17; </w:t>
      </w:r>
      <w:hyperlink r:id="rId13" w:history="1">
        <w:r w:rsidR="00D05C50" w:rsidRPr="00D05C50">
          <w:rPr>
            <w:rFonts w:ascii="Arial" w:hAnsi="Arial"/>
            <w:color w:val="0000FF"/>
            <w:sz w:val="26"/>
            <w:szCs w:val="26"/>
            <w:u w:val="single"/>
            <w:rtl/>
          </w:rPr>
          <w:t>ע"פ 2251/11</w:t>
        </w:r>
      </w:hyperlink>
      <w:r w:rsidRPr="00754D51">
        <w:rPr>
          <w:rFonts w:ascii="Arial" w:hAnsi="Arial"/>
          <w:sz w:val="26"/>
          <w:szCs w:val="26"/>
          <w:rtl/>
        </w:rPr>
        <w:t xml:space="preserve"> </w:t>
      </w:r>
      <w:r w:rsidRPr="00754D51">
        <w:rPr>
          <w:rFonts w:ascii="Arial" w:hAnsi="Arial" w:hint="cs"/>
          <w:b/>
          <w:bCs/>
          <w:sz w:val="26"/>
          <w:szCs w:val="26"/>
          <w:rtl/>
        </w:rPr>
        <w:t>ג'מאל נפעא נ' מדינת ישראל</w:t>
      </w:r>
      <w:r w:rsidRPr="00754D51">
        <w:rPr>
          <w:rFonts w:ascii="Arial" w:hAnsi="Arial" w:hint="cs"/>
          <w:sz w:val="26"/>
          <w:szCs w:val="26"/>
          <w:rtl/>
        </w:rPr>
        <w:t xml:space="preserve"> (4.12.11); </w:t>
      </w:r>
      <w:hyperlink r:id="rId14" w:history="1">
        <w:r w:rsidR="00D05C50" w:rsidRPr="00D05C50">
          <w:rPr>
            <w:rFonts w:ascii="Arial" w:hAnsi="Arial"/>
            <w:color w:val="0000FF"/>
            <w:sz w:val="26"/>
            <w:szCs w:val="26"/>
            <w:u w:val="single"/>
            <w:rtl/>
          </w:rPr>
          <w:t>ע"פ 6989/13</w:t>
        </w:r>
      </w:hyperlink>
      <w:r w:rsidRPr="00754D51">
        <w:rPr>
          <w:rFonts w:ascii="Arial" w:hAnsi="Arial"/>
          <w:sz w:val="26"/>
          <w:szCs w:val="26"/>
          <w:rtl/>
        </w:rPr>
        <w:t xml:space="preserve"> </w:t>
      </w:r>
      <w:r w:rsidRPr="00754D51">
        <w:rPr>
          <w:rFonts w:ascii="Arial" w:hAnsi="Arial" w:hint="cs"/>
          <w:b/>
          <w:bCs/>
          <w:sz w:val="26"/>
          <w:szCs w:val="26"/>
          <w:rtl/>
        </w:rPr>
        <w:t>חנא פרח נ' מדינת ישראל</w:t>
      </w:r>
      <w:r w:rsidRPr="00754D51">
        <w:rPr>
          <w:rFonts w:ascii="Arial" w:hAnsi="Arial" w:hint="cs"/>
          <w:sz w:val="26"/>
          <w:szCs w:val="26"/>
          <w:rtl/>
        </w:rPr>
        <w:t xml:space="preserve"> (25.2.14), </w:t>
      </w:r>
      <w:hyperlink r:id="rId15" w:history="1">
        <w:r w:rsidR="00D05C50" w:rsidRPr="00D05C50">
          <w:rPr>
            <w:rFonts w:ascii="Arial" w:hAnsi="Arial"/>
            <w:color w:val="0000FF"/>
            <w:sz w:val="26"/>
            <w:szCs w:val="26"/>
            <w:u w:val="single"/>
            <w:rtl/>
          </w:rPr>
          <w:t>ע"פ 4945/13</w:t>
        </w:r>
      </w:hyperlink>
      <w:r w:rsidRPr="00754D51">
        <w:rPr>
          <w:rFonts w:ascii="Arial" w:hAnsi="Arial"/>
          <w:sz w:val="26"/>
          <w:szCs w:val="26"/>
          <w:rtl/>
        </w:rPr>
        <w:t xml:space="preserve"> </w:t>
      </w:r>
      <w:r w:rsidRPr="00754D51">
        <w:rPr>
          <w:rFonts w:ascii="Arial" w:hAnsi="Arial" w:hint="cs"/>
          <w:b/>
          <w:bCs/>
          <w:sz w:val="26"/>
          <w:szCs w:val="26"/>
          <w:rtl/>
        </w:rPr>
        <w:t>מדינת ישראל נ' עבד אלכרים סלימאן</w:t>
      </w:r>
      <w:r w:rsidRPr="00754D51">
        <w:rPr>
          <w:rFonts w:ascii="Arial" w:hAnsi="Arial"/>
          <w:sz w:val="26"/>
          <w:szCs w:val="26"/>
        </w:rPr>
        <w:t xml:space="preserve"> </w:t>
      </w:r>
      <w:r w:rsidRPr="00754D51">
        <w:rPr>
          <w:rFonts w:ascii="Arial" w:hAnsi="Arial"/>
          <w:sz w:val="26"/>
          <w:szCs w:val="26"/>
          <w:rtl/>
        </w:rPr>
        <w:t xml:space="preserve">(19.1.14), ועוד. </w:t>
      </w:r>
    </w:p>
    <w:p w14:paraId="6B50EE1A" w14:textId="77777777" w:rsidR="004968C7" w:rsidRPr="00754D51" w:rsidRDefault="004968C7" w:rsidP="004968C7">
      <w:pPr>
        <w:spacing w:after="240" w:line="360" w:lineRule="auto"/>
        <w:jc w:val="both"/>
        <w:rPr>
          <w:rFonts w:ascii="Arial" w:hAnsi="Arial"/>
          <w:sz w:val="26"/>
          <w:szCs w:val="26"/>
        </w:rPr>
      </w:pPr>
      <w:r>
        <w:rPr>
          <w:rFonts w:ascii="Arial" w:hAnsi="Arial" w:hint="cs"/>
          <w:sz w:val="26"/>
          <w:szCs w:val="26"/>
          <w:rtl/>
        </w:rPr>
        <w:t>8.</w:t>
      </w:r>
      <w:r>
        <w:rPr>
          <w:rFonts w:ascii="Arial" w:hAnsi="Arial" w:hint="cs"/>
          <w:sz w:val="26"/>
          <w:szCs w:val="26"/>
          <w:rtl/>
        </w:rPr>
        <w:tab/>
      </w:r>
      <w:r w:rsidRPr="00754D51">
        <w:rPr>
          <w:rFonts w:ascii="Arial" w:hAnsi="Arial"/>
          <w:sz w:val="26"/>
          <w:szCs w:val="26"/>
          <w:rtl/>
        </w:rPr>
        <w:t>לאחרונה נפסק ב</w:t>
      </w:r>
      <w:hyperlink r:id="rId16" w:history="1">
        <w:r w:rsidR="00D05C50" w:rsidRPr="00D05C50">
          <w:rPr>
            <w:rFonts w:ascii="Arial" w:hAnsi="Arial"/>
            <w:color w:val="0000FF"/>
            <w:sz w:val="26"/>
            <w:szCs w:val="26"/>
            <w:u w:val="single"/>
            <w:rtl/>
          </w:rPr>
          <w:t>ע"פ 6068/21</w:t>
        </w:r>
      </w:hyperlink>
      <w:r w:rsidRPr="00754D51">
        <w:rPr>
          <w:rFonts w:ascii="Arial" w:hAnsi="Arial"/>
          <w:sz w:val="26"/>
          <w:szCs w:val="26"/>
          <w:rtl/>
        </w:rPr>
        <w:t xml:space="preserve"> </w:t>
      </w:r>
      <w:r w:rsidRPr="00754D51">
        <w:rPr>
          <w:rFonts w:ascii="Arial" w:hAnsi="Arial" w:hint="cs"/>
          <w:b/>
          <w:bCs/>
          <w:sz w:val="26"/>
          <w:szCs w:val="26"/>
          <w:rtl/>
        </w:rPr>
        <w:t>מדינת ישראל נ' אברהים פקיה</w:t>
      </w:r>
      <w:r w:rsidRPr="00754D51">
        <w:rPr>
          <w:rFonts w:ascii="Arial" w:hAnsi="Arial" w:hint="cs"/>
          <w:sz w:val="26"/>
          <w:szCs w:val="26"/>
          <w:rtl/>
        </w:rPr>
        <w:t xml:space="preserve"> (19.12.21):</w:t>
      </w:r>
    </w:p>
    <w:p w14:paraId="1ACB4B77" w14:textId="77777777" w:rsidR="004968C7" w:rsidRPr="004F2A55" w:rsidRDefault="004968C7" w:rsidP="004968C7">
      <w:pPr>
        <w:spacing w:after="240" w:line="360" w:lineRule="auto"/>
        <w:ind w:left="850" w:right="851"/>
        <w:jc w:val="both"/>
        <w:rPr>
          <w:rFonts w:ascii="Arial" w:hAnsi="Arial"/>
          <w:b/>
          <w:bCs/>
          <w:sz w:val="26"/>
          <w:szCs w:val="26"/>
          <w:rtl/>
        </w:rPr>
      </w:pPr>
      <w:r w:rsidRPr="00754D51">
        <w:rPr>
          <w:rFonts w:ascii="Arial" w:hAnsi="Arial"/>
          <w:sz w:val="26"/>
          <w:szCs w:val="26"/>
          <w:rtl/>
        </w:rPr>
        <w:t>"</w:t>
      </w:r>
      <w:r w:rsidRPr="00754D51">
        <w:rPr>
          <w:rFonts w:ascii="Arial" w:hAnsi="Arial"/>
          <w:b/>
          <w:bCs/>
          <w:sz w:val="26"/>
          <w:szCs w:val="26"/>
          <w:rtl/>
        </w:rPr>
        <w:t>יש להדגיש את החומרה היתירה שנודעה לביצוע עבירות נשק, על כל סוגיהן ומיניהן. במסגרת פסק הדין ב</w:t>
      </w:r>
      <w:hyperlink r:id="rId17" w:history="1">
        <w:r w:rsidR="00D05C50" w:rsidRPr="00D05C50">
          <w:rPr>
            <w:rFonts w:ascii="Arial" w:hAnsi="Arial"/>
            <w:b/>
            <w:bCs/>
            <w:color w:val="0000FF"/>
            <w:sz w:val="26"/>
            <w:szCs w:val="26"/>
            <w:u w:val="single"/>
            <w:rtl/>
          </w:rPr>
          <w:t>ע"פ 4595/13</w:t>
        </w:r>
      </w:hyperlink>
      <w:r w:rsidRPr="004F2A55">
        <w:rPr>
          <w:rFonts w:ascii="Arial" w:hAnsi="Arial"/>
          <w:b/>
          <w:bCs/>
          <w:sz w:val="26"/>
          <w:szCs w:val="26"/>
          <w:rtl/>
        </w:rPr>
        <w:t xml:space="preserve"> זובידאת נ' מדינת ישראל (6.7.2014)  בית המשפט קרא למחוקק לשקול את החמרת הענישה </w:t>
      </w:r>
      <w:r w:rsidRPr="00754D51">
        <w:rPr>
          <w:rFonts w:ascii="Arial" w:hAnsi="Arial"/>
          <w:b/>
          <w:bCs/>
          <w:sz w:val="26"/>
          <w:szCs w:val="26"/>
          <w:rtl/>
        </w:rPr>
        <w:t>בעבירות נשק. בהמשך לכך, בשנת 2018 תיקן המחוקק את סעיף 340א ל</w:t>
      </w:r>
      <w:hyperlink r:id="rId18" w:history="1">
        <w:r w:rsidR="00D05C50" w:rsidRPr="00D05C50">
          <w:rPr>
            <w:rFonts w:ascii="Arial" w:hAnsi="Arial"/>
            <w:b/>
            <w:bCs/>
            <w:color w:val="0000FF"/>
            <w:sz w:val="26"/>
            <w:szCs w:val="26"/>
            <w:u w:val="single"/>
            <w:rtl/>
          </w:rPr>
          <w:t>חוק העונשין</w:t>
        </w:r>
      </w:hyperlink>
      <w:r w:rsidRPr="00754D51">
        <w:rPr>
          <w:rFonts w:ascii="Arial" w:hAnsi="Arial"/>
          <w:b/>
          <w:bCs/>
          <w:sz w:val="26"/>
          <w:szCs w:val="26"/>
          <w:rtl/>
        </w:rPr>
        <w:t xml:space="preserve"> והחמיר את העונש הקבוע בצידה של עבירת ירי מנשק חם (ראו</w:t>
      </w:r>
      <w:r w:rsidRPr="004F2A55">
        <w:rPr>
          <w:rFonts w:ascii="Arial" w:hAnsi="Arial"/>
          <w:b/>
          <w:bCs/>
          <w:sz w:val="26"/>
          <w:szCs w:val="26"/>
          <w:rtl/>
        </w:rPr>
        <w:t>: הצעת חוק העונשין (תיקון מס' 132) (ירי מנשק חם), התשע"ח-2018, ה"ח 1223). זאת, כצעד נוסף למלחמה בתופעת השימוש בנשק ופוטנציאל הנזק הכרוך בכך.</w:t>
      </w:r>
    </w:p>
    <w:p w14:paraId="041ADCFD" w14:textId="77777777" w:rsidR="004968C7" w:rsidRPr="00754D51" w:rsidRDefault="004968C7" w:rsidP="004968C7">
      <w:pPr>
        <w:spacing w:after="240" w:line="360" w:lineRule="auto"/>
        <w:ind w:left="850" w:right="851"/>
        <w:jc w:val="both"/>
        <w:rPr>
          <w:rFonts w:ascii="Arial" w:hAnsi="Arial"/>
          <w:b/>
          <w:bCs/>
          <w:sz w:val="26"/>
          <w:szCs w:val="26"/>
          <w:rtl/>
        </w:rPr>
      </w:pPr>
      <w:r w:rsidRPr="004F2A55">
        <w:rPr>
          <w:rFonts w:ascii="Arial" w:hAnsi="Arial"/>
          <w:b/>
          <w:bCs/>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w:t>
      </w:r>
      <w:r w:rsidRPr="00754D51">
        <w:rPr>
          <w:rFonts w:ascii="Arial" w:hAnsi="Arial"/>
          <w:b/>
          <w:bCs/>
          <w:sz w:val="26"/>
          <w:szCs w:val="26"/>
          <w:rtl/>
        </w:rPr>
        <w:t xml:space="preserve">וקבע כי החמרת הענישה בגין עבירות אלו היא אינטרס ציבורי מהמעלה הראשונה ותנאי הכרחי להרתעת הציבור מפני ביצוען (ראו מיני רבים: </w:t>
      </w:r>
      <w:hyperlink r:id="rId19" w:history="1">
        <w:r w:rsidR="00D05C50" w:rsidRPr="00D05C50">
          <w:rPr>
            <w:rFonts w:ascii="Arial" w:hAnsi="Arial"/>
            <w:b/>
            <w:bCs/>
            <w:color w:val="0000FF"/>
            <w:sz w:val="26"/>
            <w:szCs w:val="26"/>
            <w:u w:val="single"/>
            <w:rtl/>
          </w:rPr>
          <w:t>ע"פ 4406/19</w:t>
        </w:r>
      </w:hyperlink>
      <w:r w:rsidRPr="00754D51">
        <w:rPr>
          <w:rFonts w:ascii="Arial" w:hAnsi="Arial"/>
          <w:b/>
          <w:bCs/>
          <w:sz w:val="26"/>
          <w:szCs w:val="26"/>
          <w:rtl/>
        </w:rPr>
        <w:t xml:space="preserve"> מדינת ישראל נ' סובח, פסקאות 16–17 לחוות דעתי (5.11.2019); </w:t>
      </w:r>
      <w:hyperlink r:id="rId20" w:history="1">
        <w:r w:rsidR="00D05C50" w:rsidRPr="00D05C50">
          <w:rPr>
            <w:rFonts w:ascii="Arial" w:hAnsi="Arial"/>
            <w:b/>
            <w:bCs/>
            <w:color w:val="0000FF"/>
            <w:sz w:val="26"/>
            <w:szCs w:val="26"/>
            <w:u w:val="single"/>
            <w:rtl/>
          </w:rPr>
          <w:t>רע"פ 7344/18</w:t>
        </w:r>
      </w:hyperlink>
      <w:r w:rsidRPr="00754D51">
        <w:rPr>
          <w:rFonts w:ascii="Arial" w:hAnsi="Arial"/>
          <w:b/>
          <w:bCs/>
          <w:sz w:val="26"/>
          <w:szCs w:val="26"/>
          <w:rtl/>
        </w:rPr>
        <w:t xml:space="preserve"> מג'יד נ' מדינת ישראל, פסקה 10 (21.10.2018)).</w:t>
      </w:r>
    </w:p>
    <w:p w14:paraId="159C97B3" w14:textId="77777777" w:rsidR="004968C7" w:rsidRPr="004F2A55" w:rsidRDefault="004968C7" w:rsidP="004968C7">
      <w:pPr>
        <w:spacing w:after="240" w:line="360" w:lineRule="auto"/>
        <w:ind w:left="850" w:right="851"/>
        <w:jc w:val="both"/>
        <w:rPr>
          <w:rFonts w:ascii="Arial" w:hAnsi="Arial"/>
          <w:b/>
          <w:bCs/>
          <w:sz w:val="26"/>
          <w:szCs w:val="26"/>
          <w:rtl/>
        </w:rPr>
      </w:pPr>
      <w:r w:rsidRPr="00754D51">
        <w:rPr>
          <w:rFonts w:ascii="Arial" w:hAnsi="Arial"/>
          <w:b/>
          <w:bCs/>
          <w:sz w:val="26"/>
          <w:szCs w:val="26"/>
          <w:rtl/>
        </w:rPr>
        <w:t xml:space="preserve">לגישה מחמירה זו מתווספת חומרה יתירה בענייננו בגין העובדה כי המשיב לא פעל להסגרת הנשק בו השתמש לידי המשטרה עד עצם היום הזה. כפי שציינתי בעבר, כלי נשק אשר אינם נמצאים בידי רשויות החוק עלולים לשמש לפעילות עבריינית המסכנת את שלום וביטחון הציבור, ואף לשרת גורמים עוינים לפעילות על רקע ביטחוני (וראו </w:t>
      </w:r>
      <w:hyperlink r:id="rId21" w:history="1">
        <w:r w:rsidR="00D05C50" w:rsidRPr="00D05C50">
          <w:rPr>
            <w:rFonts w:ascii="Arial" w:hAnsi="Arial"/>
            <w:b/>
            <w:bCs/>
            <w:color w:val="0000FF"/>
            <w:sz w:val="26"/>
            <w:szCs w:val="26"/>
            <w:u w:val="single"/>
            <w:rtl/>
          </w:rPr>
          <w:t>ע"פ 4530/19</w:t>
        </w:r>
      </w:hyperlink>
      <w:r w:rsidRPr="00754D51">
        <w:rPr>
          <w:rFonts w:ascii="Arial" w:hAnsi="Arial"/>
          <w:b/>
          <w:bCs/>
          <w:sz w:val="26"/>
          <w:szCs w:val="26"/>
          <w:rtl/>
        </w:rPr>
        <w:t xml:space="preserve"> ג'זאווי</w:t>
      </w:r>
      <w:r w:rsidRPr="004F2A55">
        <w:rPr>
          <w:rFonts w:ascii="Arial" w:hAnsi="Arial"/>
          <w:b/>
          <w:bCs/>
          <w:sz w:val="26"/>
          <w:szCs w:val="26"/>
          <w:rtl/>
        </w:rPr>
        <w:t xml:space="preserve"> נ' מדינת ישראל, פסקה 12 (11.8.2019))".</w:t>
      </w:r>
    </w:p>
    <w:p w14:paraId="337473F0" w14:textId="77777777" w:rsidR="004968C7" w:rsidRDefault="004968C7" w:rsidP="004968C7">
      <w:pPr>
        <w:spacing w:after="240" w:line="360" w:lineRule="auto"/>
        <w:jc w:val="both"/>
        <w:rPr>
          <w:rFonts w:ascii="Arial" w:hAnsi="Arial"/>
          <w:b/>
          <w:bCs/>
          <w:sz w:val="26"/>
          <w:szCs w:val="26"/>
          <w:rtl/>
        </w:rPr>
      </w:pPr>
      <w:r>
        <w:rPr>
          <w:rFonts w:ascii="Arial" w:hAnsi="Arial" w:hint="cs"/>
          <w:sz w:val="26"/>
          <w:szCs w:val="26"/>
          <w:rtl/>
        </w:rPr>
        <w:t>9.</w:t>
      </w:r>
      <w:r>
        <w:rPr>
          <w:rFonts w:ascii="Arial" w:hAnsi="Arial" w:hint="cs"/>
          <w:sz w:val="26"/>
          <w:szCs w:val="26"/>
          <w:rtl/>
        </w:rPr>
        <w:tab/>
        <w:t xml:space="preserve">לעניין הפסיקה הנוהגת, אני מפנה לפסקי דין שפורטו בגזר דינו של השותף עבדאללה אבו עסב. אוסיף עליהם: </w:t>
      </w:r>
    </w:p>
    <w:p w14:paraId="159083B9" w14:textId="77777777" w:rsidR="004968C7" w:rsidRDefault="00D05C50" w:rsidP="004968C7">
      <w:pPr>
        <w:numPr>
          <w:ilvl w:val="0"/>
          <w:numId w:val="1"/>
        </w:numPr>
        <w:spacing w:line="360" w:lineRule="auto"/>
        <w:jc w:val="both"/>
        <w:rPr>
          <w:rFonts w:ascii="Arial" w:hAnsi="Arial"/>
          <w:sz w:val="26"/>
          <w:szCs w:val="26"/>
        </w:rPr>
      </w:pPr>
      <w:hyperlink r:id="rId22" w:history="1">
        <w:r w:rsidRPr="00D05C50">
          <w:rPr>
            <w:rFonts w:ascii="Arial" w:hAnsi="Arial"/>
            <w:color w:val="0000FF"/>
            <w:sz w:val="26"/>
            <w:szCs w:val="26"/>
            <w:u w:val="single"/>
            <w:rtl/>
          </w:rPr>
          <w:t>ע"פ 135/17</w:t>
        </w:r>
      </w:hyperlink>
      <w:r w:rsidR="004968C7">
        <w:rPr>
          <w:rFonts w:ascii="Arial" w:hAnsi="Arial"/>
          <w:sz w:val="26"/>
          <w:szCs w:val="26"/>
          <w:rtl/>
        </w:rPr>
        <w:t xml:space="preserve"> </w:t>
      </w:r>
      <w:r w:rsidR="004968C7">
        <w:rPr>
          <w:rFonts w:ascii="Arial" w:hAnsi="Arial"/>
          <w:b/>
          <w:bCs/>
          <w:sz w:val="26"/>
          <w:szCs w:val="26"/>
          <w:rtl/>
        </w:rPr>
        <w:t>סמיר בסל נ' מדינת ישראל</w:t>
      </w:r>
      <w:r w:rsidR="004968C7">
        <w:rPr>
          <w:rFonts w:ascii="Arial" w:hAnsi="Arial"/>
          <w:sz w:val="26"/>
          <w:szCs w:val="26"/>
          <w:rtl/>
        </w:rPr>
        <w:t xml:space="preserve"> (8.3.17) – המערער הורשע בהחזקת ונשיאת נשק, תת מקלע מאולתר ומחסנית, אותם החזיק לבקשת קרוב משפחתו במקום מסתור ולאחר מכן העבירם לקרוב משפחה אחר. בבית המשפט המחוזי נדון המערער ל-12 חודשי מאסר בפועל, ובערעור הוחמר עונשו ל-18 חודשים. בין הנימוקים צויין כי נשק המתגלגל מיד ליד עלול להגיע לידי עבריינים, והמשיב הוציא את הישק מרשותו והעבירו לאחר מבלי לדעת למה ישמש. עוד צויין כי המשיב לא נטל אחריות למעשיו אלא הטילה על אחרים, וכי נגרר למעשים המסכנים את שלום הציבור ובטחונו. </w:t>
      </w:r>
    </w:p>
    <w:p w14:paraId="641A1943" w14:textId="77777777" w:rsidR="004968C7" w:rsidRPr="009558BB" w:rsidRDefault="00D05C50" w:rsidP="004968C7">
      <w:pPr>
        <w:pStyle w:val="a9"/>
        <w:numPr>
          <w:ilvl w:val="0"/>
          <w:numId w:val="1"/>
        </w:numPr>
        <w:spacing w:line="360" w:lineRule="auto"/>
        <w:ind w:left="714" w:hanging="357"/>
        <w:jc w:val="both"/>
        <w:rPr>
          <w:rFonts w:ascii="Arial" w:hAnsi="Arial"/>
          <w:b/>
          <w:bCs/>
          <w:sz w:val="26"/>
          <w:szCs w:val="26"/>
          <w:rtl/>
        </w:rPr>
      </w:pPr>
      <w:hyperlink r:id="rId23" w:history="1">
        <w:r w:rsidRPr="00D05C50">
          <w:rPr>
            <w:rFonts w:ascii="Arial" w:hAnsi="Arial"/>
            <w:color w:val="0000FF"/>
            <w:sz w:val="26"/>
            <w:szCs w:val="26"/>
            <w:u w:val="single"/>
            <w:rtl/>
          </w:rPr>
          <w:t>רע"פ 7344/18</w:t>
        </w:r>
      </w:hyperlink>
      <w:r w:rsidR="004968C7" w:rsidRPr="009558BB">
        <w:rPr>
          <w:rFonts w:ascii="Arial" w:hAnsi="Arial"/>
          <w:sz w:val="26"/>
          <w:szCs w:val="26"/>
          <w:rtl/>
        </w:rPr>
        <w:t xml:space="preserve"> </w:t>
      </w:r>
      <w:r w:rsidR="004968C7" w:rsidRPr="009558BB">
        <w:rPr>
          <w:rFonts w:ascii="Arial" w:hAnsi="Arial"/>
          <w:b/>
          <w:bCs/>
          <w:sz w:val="26"/>
          <w:szCs w:val="26"/>
          <w:rtl/>
        </w:rPr>
        <w:t>מוחמד מג'יד נ' מדינת ישראל</w:t>
      </w:r>
      <w:r w:rsidR="004968C7" w:rsidRPr="009558BB">
        <w:rPr>
          <w:rFonts w:ascii="Arial" w:hAnsi="Arial"/>
          <w:sz w:val="26"/>
          <w:szCs w:val="26"/>
          <w:rtl/>
        </w:rPr>
        <w:t xml:space="preserve"> (21.10.18) – המבקש החזיק בביתו חפץ דמוי רובה סער ומחסנית תואמת בתוך תיק. בבית משפט השלום נדון לעונש של 6 חודשי מאסר בעבודות שירות ועונשים נלווים, ובערעור לבית המשפט המחוזי הוחמר עונשו ל-8 חודשי מאסר בפועל. בקשת רשות ערעור נדחתה מאחר שלא מתקיימות נסיבות המצדיקות ערעור שני, ומאחר שפסק הדין מאוזן ונותן ביטוי לחומרה היתרה בעבירות הנשק, המחייבת בדרך כלל ענישה של מאסר מאחורי סורג ובריח.</w:t>
      </w:r>
    </w:p>
    <w:p w14:paraId="5847FD00" w14:textId="77777777" w:rsidR="004968C7" w:rsidRPr="009558BB" w:rsidRDefault="004968C7" w:rsidP="004968C7">
      <w:pPr>
        <w:pStyle w:val="a9"/>
        <w:rPr>
          <w:rFonts w:ascii="Arial" w:hAnsi="Arial"/>
          <w:b/>
          <w:bCs/>
          <w:sz w:val="26"/>
          <w:szCs w:val="26"/>
          <w:rtl/>
        </w:rPr>
      </w:pPr>
    </w:p>
    <w:p w14:paraId="5CC1C4C9" w14:textId="77777777" w:rsidR="004968C7" w:rsidRDefault="00D05C50" w:rsidP="004968C7">
      <w:pPr>
        <w:numPr>
          <w:ilvl w:val="0"/>
          <w:numId w:val="1"/>
        </w:numPr>
        <w:spacing w:line="360" w:lineRule="auto"/>
        <w:jc w:val="both"/>
        <w:rPr>
          <w:rFonts w:ascii="Arial" w:hAnsi="Arial"/>
          <w:sz w:val="26"/>
          <w:szCs w:val="26"/>
        </w:rPr>
      </w:pPr>
      <w:hyperlink r:id="rId24" w:history="1">
        <w:r w:rsidRPr="00D05C50">
          <w:rPr>
            <w:rFonts w:ascii="Arial" w:hAnsi="Arial"/>
            <w:color w:val="0000FF"/>
            <w:sz w:val="26"/>
            <w:szCs w:val="26"/>
            <w:u w:val="single"/>
            <w:rtl/>
          </w:rPr>
          <w:t>ע"פ 2398/14</w:t>
        </w:r>
      </w:hyperlink>
      <w:r w:rsidR="004968C7">
        <w:rPr>
          <w:rFonts w:ascii="Arial" w:hAnsi="Arial"/>
          <w:sz w:val="26"/>
          <w:szCs w:val="26"/>
          <w:rtl/>
        </w:rPr>
        <w:t xml:space="preserve"> </w:t>
      </w:r>
      <w:r w:rsidR="004968C7">
        <w:rPr>
          <w:rFonts w:ascii="Arial" w:hAnsi="Arial"/>
          <w:b/>
          <w:bCs/>
          <w:sz w:val="26"/>
          <w:szCs w:val="26"/>
          <w:rtl/>
        </w:rPr>
        <w:t xml:space="preserve">ענאן אלהזייל נ' מדינת ישראל </w:t>
      </w:r>
      <w:r w:rsidR="004968C7">
        <w:rPr>
          <w:rFonts w:ascii="Arial" w:hAnsi="Arial"/>
          <w:sz w:val="26"/>
          <w:szCs w:val="26"/>
          <w:rtl/>
        </w:rPr>
        <w:t xml:space="preserve">(8.7.14) – המערער הורשע בהחזקת נשק ותחמושת, כשהחזיק ברכבו בקופסה גלויה אקדח ובו מחסנית עם 8 כדורים וקופסת כדורים נוספת. בבית המשפט המחוזי נקבע מתחם של 10-24 חודשי מאסר והמערער נדון ל-13 חודשי מאסר בפועל ומאסר על תנאי. המערער בן 29, נשוי ואב לילדים, בעל הרשעות בעבירות אלימות. ערעורו נדחה תוך התייחסות גם למדיניות ההחמרה בעבירות נשק. </w:t>
      </w:r>
    </w:p>
    <w:p w14:paraId="10A7406B" w14:textId="77777777" w:rsidR="004968C7" w:rsidRDefault="00D05C50" w:rsidP="004968C7">
      <w:pPr>
        <w:numPr>
          <w:ilvl w:val="0"/>
          <w:numId w:val="1"/>
        </w:numPr>
        <w:spacing w:line="360" w:lineRule="auto"/>
        <w:jc w:val="both"/>
        <w:rPr>
          <w:rFonts w:ascii="Arial" w:hAnsi="Arial"/>
          <w:sz w:val="26"/>
          <w:szCs w:val="26"/>
        </w:rPr>
      </w:pPr>
      <w:hyperlink r:id="rId25" w:history="1">
        <w:r w:rsidRPr="00D05C50">
          <w:rPr>
            <w:rFonts w:ascii="Arial" w:hAnsi="Arial"/>
            <w:color w:val="0000FF"/>
            <w:sz w:val="26"/>
            <w:szCs w:val="26"/>
            <w:u w:val="single"/>
            <w:rtl/>
          </w:rPr>
          <w:t>ת"פ (מחוזי י-ם) 52515-03-20</w:t>
        </w:r>
      </w:hyperlink>
      <w:r w:rsidR="004968C7">
        <w:rPr>
          <w:rFonts w:ascii="Arial" w:hAnsi="Arial"/>
          <w:sz w:val="26"/>
          <w:szCs w:val="26"/>
          <w:rtl/>
        </w:rPr>
        <w:t xml:space="preserve"> </w:t>
      </w:r>
      <w:r w:rsidR="004968C7">
        <w:rPr>
          <w:rFonts w:ascii="Arial" w:hAnsi="Arial"/>
          <w:b/>
          <w:bCs/>
          <w:sz w:val="26"/>
          <w:szCs w:val="26"/>
          <w:rtl/>
        </w:rPr>
        <w:t>מדינת ישראל נ' מורשד סנדוקה</w:t>
      </w:r>
      <w:r w:rsidR="004968C7">
        <w:rPr>
          <w:rFonts w:ascii="Arial" w:hAnsi="Arial"/>
          <w:sz w:val="26"/>
          <w:szCs w:val="26"/>
          <w:rtl/>
        </w:rPr>
        <w:t xml:space="preserve"> 19.10.20) – נאשם 2 הורשע בעבירה של החזקת נשק, תת מקלע מאולתר ברכבו. נקבע מתחם של 7-20 חודשי מאסר, והנאשם, צעיר נורמטיבי, נדון ל – 7 חודשי מאסר ועונשים נלווים.</w:t>
      </w:r>
    </w:p>
    <w:p w14:paraId="7B5F03D6" w14:textId="77777777" w:rsidR="004968C7" w:rsidRDefault="00D05C50" w:rsidP="004968C7">
      <w:pPr>
        <w:numPr>
          <w:ilvl w:val="0"/>
          <w:numId w:val="1"/>
        </w:numPr>
        <w:spacing w:line="360" w:lineRule="auto"/>
        <w:jc w:val="both"/>
        <w:rPr>
          <w:rFonts w:ascii="Arial" w:hAnsi="Arial"/>
          <w:sz w:val="26"/>
          <w:szCs w:val="26"/>
        </w:rPr>
      </w:pPr>
      <w:hyperlink r:id="rId26" w:history="1">
        <w:r w:rsidRPr="00D05C50">
          <w:rPr>
            <w:rFonts w:ascii="Arial" w:hAnsi="Arial"/>
            <w:color w:val="0000FF"/>
            <w:sz w:val="26"/>
            <w:szCs w:val="26"/>
            <w:u w:val="single"/>
            <w:rtl/>
          </w:rPr>
          <w:t>ע"פ 6068/21</w:t>
        </w:r>
      </w:hyperlink>
      <w:r w:rsidR="004968C7" w:rsidRPr="00E8374B">
        <w:rPr>
          <w:rFonts w:ascii="Arial" w:hAnsi="Arial"/>
          <w:sz w:val="26"/>
          <w:szCs w:val="26"/>
          <w:rtl/>
        </w:rPr>
        <w:t xml:space="preserve"> </w:t>
      </w:r>
      <w:r w:rsidR="004968C7" w:rsidRPr="00E8374B">
        <w:rPr>
          <w:rFonts w:ascii="Arial" w:hAnsi="Arial" w:hint="cs"/>
          <w:b/>
          <w:bCs/>
          <w:sz w:val="26"/>
          <w:szCs w:val="26"/>
          <w:rtl/>
        </w:rPr>
        <w:t>מדינת ישראל נ' אברהים פקיה</w:t>
      </w:r>
      <w:r w:rsidR="004968C7" w:rsidRPr="00E8374B">
        <w:rPr>
          <w:rFonts w:ascii="Arial" w:hAnsi="Arial" w:hint="cs"/>
          <w:sz w:val="26"/>
          <w:szCs w:val="26"/>
          <w:rtl/>
        </w:rPr>
        <w:t xml:space="preserve"> (19.12.21)</w:t>
      </w:r>
      <w:r w:rsidR="004968C7">
        <w:rPr>
          <w:rFonts w:ascii="Arial" w:hAnsi="Arial" w:hint="cs"/>
          <w:sz w:val="26"/>
          <w:szCs w:val="26"/>
          <w:rtl/>
        </w:rPr>
        <w:t xml:space="preserve"> - </w:t>
      </w:r>
      <w:r w:rsidR="004968C7">
        <w:rPr>
          <w:rFonts w:ascii="David" w:hAnsi="David"/>
          <w:sz w:val="26"/>
          <w:szCs w:val="26"/>
          <w:rtl/>
        </w:rPr>
        <w:t>המשיב הורשע בנשיאת נשק וירי במקום מגורים, בסמוך לחתונה. לחובתו עבר פלילי מכביד. נקבע מתחם בין 14-36 חודשי מאסר. עונשו של המשיב הוחמר מ-14 חודשי מאסר בפועל ל-25 חודשים ועונשים נלווים.</w:t>
      </w:r>
    </w:p>
    <w:p w14:paraId="07232713" w14:textId="77777777" w:rsidR="004968C7" w:rsidRDefault="00D05C50" w:rsidP="004968C7">
      <w:pPr>
        <w:numPr>
          <w:ilvl w:val="0"/>
          <w:numId w:val="1"/>
        </w:numPr>
        <w:spacing w:line="360" w:lineRule="auto"/>
        <w:jc w:val="both"/>
        <w:rPr>
          <w:rFonts w:ascii="Arial" w:hAnsi="Arial"/>
          <w:sz w:val="26"/>
          <w:szCs w:val="26"/>
        </w:rPr>
      </w:pPr>
      <w:hyperlink r:id="rId27" w:history="1">
        <w:r w:rsidRPr="00D05C50">
          <w:rPr>
            <w:rFonts w:ascii="Arial" w:hAnsi="Arial"/>
            <w:color w:val="0000FF"/>
            <w:sz w:val="26"/>
            <w:szCs w:val="26"/>
            <w:u w:val="single"/>
            <w:rtl/>
          </w:rPr>
          <w:t>ע"פ 8320/21</w:t>
        </w:r>
      </w:hyperlink>
      <w:r w:rsidR="004968C7" w:rsidRPr="000F0DFB">
        <w:rPr>
          <w:rFonts w:ascii="Arial" w:hAnsi="Arial"/>
          <w:sz w:val="26"/>
          <w:szCs w:val="26"/>
          <w:rtl/>
        </w:rPr>
        <w:t xml:space="preserve"> </w:t>
      </w:r>
      <w:r w:rsidR="004968C7" w:rsidRPr="000F0DFB">
        <w:rPr>
          <w:rFonts w:ascii="Arial" w:hAnsi="Arial"/>
          <w:b/>
          <w:bCs/>
          <w:sz w:val="26"/>
          <w:szCs w:val="26"/>
          <w:rtl/>
        </w:rPr>
        <w:t>מדינת ישראל נ' מחמד בסילה</w:t>
      </w:r>
      <w:r w:rsidR="004968C7" w:rsidRPr="000F0DFB">
        <w:rPr>
          <w:rFonts w:ascii="Arial" w:hAnsi="Arial"/>
          <w:sz w:val="26"/>
          <w:szCs w:val="26"/>
          <w:rtl/>
        </w:rPr>
        <w:t xml:space="preserve"> (28.12.21) – המשיב הוביל והחזיק בביתו נשק דמוי רובה סער </w:t>
      </w:r>
      <w:r w:rsidR="004968C7" w:rsidRPr="000F0DFB">
        <w:rPr>
          <w:rFonts w:ascii="Arial" w:hAnsi="Arial"/>
          <w:sz w:val="26"/>
          <w:szCs w:val="26"/>
        </w:rPr>
        <w:t>M</w:t>
      </w:r>
      <w:r w:rsidR="004968C7" w:rsidRPr="000F0DFB">
        <w:rPr>
          <w:rFonts w:ascii="Arial" w:hAnsi="Arial" w:hint="cs"/>
          <w:sz w:val="26"/>
          <w:szCs w:val="26"/>
          <w:rtl/>
        </w:rPr>
        <w:t>-16 וחלקי נשק נוספים, החזיקם בביתו 3 שבועות, פירק וניקה את הנשק. על אף נסיבות מקלות, קיום אורח חיים נורמטיבי והעובדה שמדובר בנשק שהנאשם מצא ולא יזם את החזקתו, ללא עבירות נלוות לעבירות הנשק, בית המשפט קיבל ערעור על קולת העונש והעמיד את עונשו של הנאשם על 14 חודשי מאסר בפועל במקום 7 חודשים.</w:t>
      </w:r>
    </w:p>
    <w:p w14:paraId="6A9EC0F7" w14:textId="77777777" w:rsidR="004968C7" w:rsidRDefault="004968C7" w:rsidP="004968C7">
      <w:pPr>
        <w:spacing w:line="360" w:lineRule="auto"/>
        <w:ind w:left="720"/>
        <w:jc w:val="both"/>
        <w:rPr>
          <w:rFonts w:ascii="Arial" w:hAnsi="Arial"/>
          <w:sz w:val="26"/>
          <w:szCs w:val="26"/>
        </w:rPr>
      </w:pPr>
    </w:p>
    <w:p w14:paraId="675DC55B" w14:textId="77777777" w:rsidR="004968C7" w:rsidRDefault="004968C7" w:rsidP="004968C7">
      <w:pPr>
        <w:spacing w:after="240" w:line="360" w:lineRule="auto"/>
        <w:jc w:val="both"/>
        <w:rPr>
          <w:rFonts w:ascii="Arial" w:hAnsi="Arial"/>
          <w:sz w:val="26"/>
          <w:szCs w:val="26"/>
          <w:rtl/>
        </w:rPr>
      </w:pPr>
      <w:r>
        <w:rPr>
          <w:rFonts w:ascii="Arial" w:hAnsi="Arial" w:hint="cs"/>
          <w:sz w:val="26"/>
          <w:szCs w:val="26"/>
          <w:rtl/>
        </w:rPr>
        <w:t>10.</w:t>
      </w:r>
      <w:r>
        <w:rPr>
          <w:rFonts w:ascii="Arial" w:hAnsi="Arial" w:hint="cs"/>
          <w:sz w:val="26"/>
          <w:szCs w:val="26"/>
          <w:rtl/>
        </w:rPr>
        <w:tab/>
      </w:r>
      <w:r w:rsidRPr="00F33CD6">
        <w:rPr>
          <w:rFonts w:ascii="Arial" w:hAnsi="Arial" w:hint="cs"/>
          <w:sz w:val="26"/>
          <w:szCs w:val="26"/>
          <w:rtl/>
        </w:rPr>
        <w:t xml:space="preserve">בענייננו, </w:t>
      </w:r>
      <w:r>
        <w:rPr>
          <w:rFonts w:ascii="Arial" w:hAnsi="Arial" w:hint="cs"/>
          <w:sz w:val="26"/>
          <w:szCs w:val="26"/>
          <w:rtl/>
        </w:rPr>
        <w:t>מדובר בנשק מסוג תת מקלע</w:t>
      </w:r>
      <w:r w:rsidRPr="00F33CD6">
        <w:rPr>
          <w:rFonts w:ascii="Arial" w:hAnsi="Arial" w:hint="cs"/>
          <w:sz w:val="26"/>
          <w:szCs w:val="26"/>
          <w:rtl/>
        </w:rPr>
        <w:t xml:space="preserve">, נשק ארוך שיש בו סכנה רבה. הנשק הובא מהשטחים אל תוך מדינת ישראל, כך שאילו </w:t>
      </w:r>
      <w:r>
        <w:rPr>
          <w:rFonts w:ascii="Arial" w:hAnsi="Arial" w:hint="cs"/>
          <w:sz w:val="26"/>
          <w:szCs w:val="26"/>
          <w:rtl/>
        </w:rPr>
        <w:t>בוצעה</w:t>
      </w:r>
      <w:r w:rsidRPr="00F33CD6">
        <w:rPr>
          <w:rFonts w:ascii="Arial" w:hAnsi="Arial" w:hint="cs"/>
          <w:sz w:val="26"/>
          <w:szCs w:val="26"/>
          <w:rtl/>
        </w:rPr>
        <w:t xml:space="preserve"> העבירה עד תומה היה מתאפשר שימוש בו בשטח מדינת ישראל. הנאשם עצמו הוא שהסתיר את הנשק בין רגליו, אם כי הנסיעה היתה ברכב של חברו ולא ניתן לקבוע כי חלקו של אחד מהם חמור יותר משל האחר. מדובר בנשק שאינו תקני, ולפיכך, מחד גיסא הוא ככל הנראה פחות איכותי, ומאידך גיסא הוא מאפשר ירי מבלי להשאיר עקבות ברורים.  </w:t>
      </w:r>
    </w:p>
    <w:p w14:paraId="1369170B" w14:textId="77777777" w:rsidR="004968C7" w:rsidRDefault="004968C7" w:rsidP="004968C7">
      <w:pPr>
        <w:spacing w:after="240" w:line="360" w:lineRule="auto"/>
        <w:ind w:firstLine="709"/>
        <w:jc w:val="both"/>
        <w:rPr>
          <w:rFonts w:ascii="Arial" w:hAnsi="Arial"/>
          <w:b/>
          <w:bCs/>
          <w:sz w:val="26"/>
          <w:szCs w:val="26"/>
          <w:rtl/>
        </w:rPr>
      </w:pPr>
      <w:r>
        <w:rPr>
          <w:rFonts w:ascii="Arial" w:hAnsi="Arial" w:hint="cs"/>
          <w:sz w:val="26"/>
          <w:szCs w:val="26"/>
          <w:rtl/>
        </w:rPr>
        <w:t xml:space="preserve">לנוכח כל האמור אני מצטרפת לקביעת המתחם בעניינו של השותף, וקובעת גם בנסיבות התיק שבפני מתחם הנע בין שנה אחת לשתי שנות מאסר בפועל, בצירוף עונשים נלווים. </w:t>
      </w:r>
    </w:p>
    <w:p w14:paraId="41A5B273" w14:textId="77777777" w:rsidR="004968C7" w:rsidRPr="00754D51" w:rsidRDefault="004968C7" w:rsidP="004968C7">
      <w:pPr>
        <w:spacing w:after="240" w:line="360" w:lineRule="auto"/>
        <w:jc w:val="both"/>
        <w:rPr>
          <w:rFonts w:ascii="Arial" w:hAnsi="Arial"/>
          <w:b/>
          <w:bCs/>
          <w:sz w:val="26"/>
          <w:szCs w:val="26"/>
          <w:u w:val="single"/>
          <w:rtl/>
        </w:rPr>
      </w:pPr>
      <w:r w:rsidRPr="00754D51">
        <w:rPr>
          <w:rFonts w:ascii="Arial" w:hAnsi="Arial" w:hint="cs"/>
          <w:b/>
          <w:bCs/>
          <w:sz w:val="26"/>
          <w:szCs w:val="26"/>
          <w:u w:val="single"/>
          <w:rtl/>
        </w:rPr>
        <w:t xml:space="preserve">העונש הראוי לנאשם </w:t>
      </w:r>
    </w:p>
    <w:p w14:paraId="0CBBBB20" w14:textId="77777777" w:rsidR="004968C7" w:rsidRDefault="004968C7" w:rsidP="004968C7">
      <w:pPr>
        <w:spacing w:after="240" w:line="360" w:lineRule="auto"/>
        <w:jc w:val="both"/>
        <w:rPr>
          <w:rFonts w:ascii="Arial" w:hAnsi="Arial"/>
          <w:sz w:val="26"/>
          <w:szCs w:val="26"/>
          <w:rtl/>
        </w:rPr>
      </w:pPr>
      <w:r>
        <w:rPr>
          <w:rFonts w:ascii="Arial" w:hAnsi="Arial" w:hint="cs"/>
          <w:sz w:val="26"/>
          <w:szCs w:val="26"/>
          <w:rtl/>
        </w:rPr>
        <w:t>11.</w:t>
      </w:r>
      <w:r>
        <w:rPr>
          <w:rFonts w:ascii="Arial" w:hAnsi="Arial" w:hint="cs"/>
          <w:sz w:val="26"/>
          <w:szCs w:val="26"/>
          <w:rtl/>
        </w:rPr>
        <w:tab/>
      </w:r>
      <w:r w:rsidRPr="00534425">
        <w:rPr>
          <w:rFonts w:ascii="Arial" w:hAnsi="Arial" w:hint="cs"/>
          <w:sz w:val="26"/>
          <w:szCs w:val="26"/>
          <w:rtl/>
        </w:rPr>
        <w:t>הנאשם צעיר בראשית שנות העשרים לחייו,</w:t>
      </w:r>
      <w:r>
        <w:rPr>
          <w:rFonts w:ascii="Arial" w:hAnsi="Arial" w:hint="cs"/>
          <w:sz w:val="26"/>
          <w:szCs w:val="26"/>
          <w:rtl/>
        </w:rPr>
        <w:t xml:space="preserve"> סטודנט לחשבונאות, בן למשפחה משכילה ותומכת. הוא הודה במיוחס לו, הכיר באחריותו וחסך זמן. מאידך גיסא, לנאשם </w:t>
      </w:r>
      <w:r w:rsidRPr="00534425">
        <w:rPr>
          <w:rFonts w:ascii="Arial" w:hAnsi="Arial" w:hint="cs"/>
          <w:sz w:val="26"/>
          <w:szCs w:val="26"/>
          <w:rtl/>
        </w:rPr>
        <w:t xml:space="preserve"> </w:t>
      </w:r>
      <w:r w:rsidRPr="00FA3D31">
        <w:rPr>
          <w:rFonts w:ascii="Arial" w:hAnsi="Arial" w:hint="cs"/>
          <w:sz w:val="26"/>
          <w:szCs w:val="26"/>
          <w:rtl/>
        </w:rPr>
        <w:t>הרשעה קודמת בשתי עבירות של הפ</w:t>
      </w:r>
      <w:r>
        <w:rPr>
          <w:rFonts w:ascii="Arial" w:hAnsi="Arial" w:hint="cs"/>
          <w:sz w:val="26"/>
          <w:szCs w:val="26"/>
          <w:rtl/>
        </w:rPr>
        <w:t>רת הוראה חוקית שבוצעו בשנת 2020, כך שאין מדובר במעידה חד פעמית.</w:t>
      </w:r>
      <w:r w:rsidRPr="00FA3D31">
        <w:rPr>
          <w:rFonts w:ascii="Arial" w:hAnsi="Arial" w:hint="cs"/>
          <w:sz w:val="26"/>
          <w:szCs w:val="26"/>
          <w:rtl/>
        </w:rPr>
        <w:t xml:space="preserve"> שירות המבחן לא בא בהמלצה בעניינו</w:t>
      </w:r>
      <w:r>
        <w:rPr>
          <w:rFonts w:ascii="Arial" w:hAnsi="Arial" w:hint="cs"/>
          <w:sz w:val="26"/>
          <w:szCs w:val="26"/>
          <w:rtl/>
        </w:rPr>
        <w:t xml:space="preserve"> של הנאשם</w:t>
      </w:r>
      <w:r w:rsidRPr="00FA3D31">
        <w:rPr>
          <w:rFonts w:ascii="Arial" w:hAnsi="Arial" w:hint="cs"/>
          <w:sz w:val="26"/>
          <w:szCs w:val="26"/>
          <w:rtl/>
        </w:rPr>
        <w:t xml:space="preserve">, ועל פי התסקיר נטילת האחריות על ידו היתה חלקית. </w:t>
      </w:r>
      <w:r>
        <w:rPr>
          <w:rFonts w:ascii="Arial" w:hAnsi="Arial" w:hint="cs"/>
          <w:sz w:val="26"/>
          <w:szCs w:val="26"/>
          <w:rtl/>
        </w:rPr>
        <w:t xml:space="preserve">שמעתי את הסבריו של הנאשם ובא כוחו, אולם גם מהם עולה שהנאשם לא היה מעוניין לשתף את קצין המבחן בכל הנסיבות הרלוונטיות, ומכל מקום בסופו של דבר אין בפני המלצה שיקומית או חיובית של שירות המבחן. </w:t>
      </w:r>
    </w:p>
    <w:p w14:paraId="190669D5" w14:textId="77777777" w:rsidR="004968C7" w:rsidRPr="00FA3D31" w:rsidRDefault="004968C7" w:rsidP="004968C7">
      <w:pPr>
        <w:spacing w:after="240" w:line="360" w:lineRule="auto"/>
        <w:ind w:firstLine="720"/>
        <w:jc w:val="both"/>
        <w:rPr>
          <w:rFonts w:ascii="Arial" w:hAnsi="Arial"/>
          <w:sz w:val="26"/>
          <w:szCs w:val="26"/>
          <w:rtl/>
        </w:rPr>
      </w:pPr>
      <w:r>
        <w:rPr>
          <w:rFonts w:ascii="Arial" w:hAnsi="Arial" w:hint="cs"/>
          <w:sz w:val="26"/>
          <w:szCs w:val="26"/>
          <w:rtl/>
        </w:rPr>
        <w:t>לנוכח האמור</w:t>
      </w:r>
      <w:r w:rsidRPr="00FA3D31">
        <w:rPr>
          <w:rFonts w:ascii="Arial" w:hAnsi="Arial" w:hint="cs"/>
          <w:sz w:val="26"/>
          <w:szCs w:val="26"/>
          <w:rtl/>
        </w:rPr>
        <w:t xml:space="preserve"> עונשו של הנאשם צריך להיות בחלק התחתון של מתחם הענישה, אך לא בתחתיתו ממש. תוצאה זו מתיישבת גם עם גזר דינו של השותף ו</w:t>
      </w:r>
      <w:r>
        <w:rPr>
          <w:rFonts w:ascii="Arial" w:hAnsi="Arial" w:hint="cs"/>
          <w:sz w:val="26"/>
          <w:szCs w:val="26"/>
          <w:rtl/>
        </w:rPr>
        <w:t xml:space="preserve">עם </w:t>
      </w:r>
      <w:r w:rsidRPr="00FA3D31">
        <w:rPr>
          <w:rFonts w:ascii="Arial" w:hAnsi="Arial" w:hint="cs"/>
          <w:sz w:val="26"/>
          <w:szCs w:val="26"/>
          <w:rtl/>
        </w:rPr>
        <w:t xml:space="preserve">עקרון אחדות הענישה. </w:t>
      </w:r>
    </w:p>
    <w:p w14:paraId="2616D47E" w14:textId="77777777" w:rsidR="004968C7" w:rsidRDefault="004968C7" w:rsidP="004968C7">
      <w:pPr>
        <w:rPr>
          <w:rFonts w:ascii="Arial" w:hAnsi="Arial"/>
          <w:b/>
          <w:bCs/>
          <w:sz w:val="26"/>
          <w:szCs w:val="26"/>
          <w:rtl/>
        </w:rPr>
      </w:pPr>
    </w:p>
    <w:p w14:paraId="54E29D85" w14:textId="77777777" w:rsidR="004968C7" w:rsidRPr="00F51996" w:rsidRDefault="004968C7" w:rsidP="004968C7">
      <w:pPr>
        <w:spacing w:after="120" w:line="360" w:lineRule="auto"/>
        <w:jc w:val="both"/>
        <w:rPr>
          <w:rFonts w:ascii="Arial" w:hAnsi="Arial"/>
          <w:sz w:val="26"/>
          <w:szCs w:val="26"/>
          <w:rtl/>
        </w:rPr>
      </w:pPr>
      <w:r>
        <w:rPr>
          <w:rFonts w:ascii="Arial" w:hAnsi="Arial" w:hint="cs"/>
          <w:sz w:val="26"/>
          <w:szCs w:val="26"/>
          <w:rtl/>
        </w:rPr>
        <w:t>12.</w:t>
      </w:r>
      <w:r>
        <w:rPr>
          <w:rFonts w:ascii="Arial" w:hAnsi="Arial" w:hint="cs"/>
          <w:sz w:val="26"/>
          <w:szCs w:val="26"/>
          <w:rtl/>
        </w:rPr>
        <w:tab/>
      </w:r>
      <w:r w:rsidRPr="00F51996">
        <w:rPr>
          <w:rFonts w:ascii="Arial" w:hAnsi="Arial" w:hint="cs"/>
          <w:sz w:val="26"/>
          <w:szCs w:val="26"/>
          <w:rtl/>
        </w:rPr>
        <w:t>לאור כל האמור עונשו של הנאשם יהיה כמפורט להלן:</w:t>
      </w:r>
    </w:p>
    <w:p w14:paraId="14C1D68E" w14:textId="77777777" w:rsidR="004968C7" w:rsidRPr="00F51996" w:rsidRDefault="004968C7" w:rsidP="004968C7">
      <w:pPr>
        <w:pStyle w:val="a9"/>
        <w:numPr>
          <w:ilvl w:val="0"/>
          <w:numId w:val="2"/>
        </w:numPr>
        <w:spacing w:after="120" w:line="360" w:lineRule="auto"/>
        <w:jc w:val="both"/>
        <w:rPr>
          <w:rFonts w:ascii="Arial" w:hAnsi="Arial"/>
          <w:sz w:val="26"/>
          <w:szCs w:val="26"/>
          <w:rtl/>
        </w:rPr>
      </w:pPr>
      <w:r w:rsidRPr="00F51996">
        <w:rPr>
          <w:rFonts w:ascii="Arial" w:hAnsi="Arial" w:hint="cs"/>
          <w:sz w:val="26"/>
          <w:szCs w:val="26"/>
          <w:rtl/>
        </w:rPr>
        <w:t xml:space="preserve">מאסר בפועל לתקופה של 15 חודשים, שיימנו החל ממעצרו של הנאשם. </w:t>
      </w:r>
    </w:p>
    <w:p w14:paraId="6B50B3E4" w14:textId="77777777" w:rsidR="004968C7" w:rsidRPr="00F51996" w:rsidRDefault="004968C7" w:rsidP="004968C7">
      <w:pPr>
        <w:pStyle w:val="a9"/>
        <w:numPr>
          <w:ilvl w:val="0"/>
          <w:numId w:val="2"/>
        </w:numPr>
        <w:spacing w:after="120" w:line="360" w:lineRule="auto"/>
        <w:jc w:val="both"/>
        <w:rPr>
          <w:rFonts w:ascii="Arial" w:hAnsi="Arial"/>
          <w:sz w:val="26"/>
          <w:szCs w:val="26"/>
          <w:rtl/>
        </w:rPr>
      </w:pPr>
      <w:r w:rsidRPr="00F51996">
        <w:rPr>
          <w:rFonts w:ascii="Arial" w:hAnsi="Arial" w:hint="cs"/>
          <w:sz w:val="26"/>
          <w:szCs w:val="26"/>
          <w:rtl/>
        </w:rPr>
        <w:t xml:space="preserve">מאסר על תנאי ל-8 חודשים למשך 3 שנים על כל עבירת נשק. </w:t>
      </w:r>
    </w:p>
    <w:p w14:paraId="12121569" w14:textId="77777777" w:rsidR="004968C7" w:rsidRPr="00F51996" w:rsidRDefault="004968C7" w:rsidP="004968C7">
      <w:pPr>
        <w:pStyle w:val="a9"/>
        <w:numPr>
          <w:ilvl w:val="0"/>
          <w:numId w:val="2"/>
        </w:numPr>
        <w:spacing w:after="120" w:line="360" w:lineRule="auto"/>
        <w:jc w:val="both"/>
        <w:rPr>
          <w:rFonts w:ascii="Arial" w:hAnsi="Arial"/>
          <w:sz w:val="26"/>
          <w:szCs w:val="26"/>
          <w:rtl/>
        </w:rPr>
      </w:pPr>
      <w:r w:rsidRPr="00F51996">
        <w:rPr>
          <w:rFonts w:ascii="Arial" w:hAnsi="Arial" w:hint="cs"/>
          <w:sz w:val="26"/>
          <w:szCs w:val="26"/>
          <w:rtl/>
        </w:rPr>
        <w:t xml:space="preserve">קנס בסך 5,000 ₪ שישולם תוך 3 חודשים.  </w:t>
      </w:r>
    </w:p>
    <w:p w14:paraId="5ACC200E" w14:textId="77777777" w:rsidR="004968C7" w:rsidRPr="00D05C50" w:rsidRDefault="00D05C50" w:rsidP="004968C7">
      <w:pPr>
        <w:spacing w:after="120" w:line="360" w:lineRule="auto"/>
        <w:jc w:val="both"/>
        <w:rPr>
          <w:rFonts w:ascii="Arial" w:hAnsi="Arial"/>
          <w:color w:val="FFFFFF"/>
          <w:sz w:val="2"/>
          <w:szCs w:val="2"/>
          <w:rtl/>
        </w:rPr>
      </w:pPr>
      <w:r w:rsidRPr="00D05C50">
        <w:rPr>
          <w:rFonts w:ascii="Arial" w:hAnsi="Arial"/>
          <w:color w:val="FFFFFF"/>
          <w:sz w:val="2"/>
          <w:szCs w:val="2"/>
          <w:rtl/>
        </w:rPr>
        <w:t>5129371</w:t>
      </w:r>
    </w:p>
    <w:p w14:paraId="63F69ACA" w14:textId="77777777" w:rsidR="004968C7" w:rsidRDefault="00D05C50" w:rsidP="004968C7">
      <w:pPr>
        <w:rPr>
          <w:rFonts w:ascii="Arial" w:hAnsi="Arial"/>
          <w:b/>
          <w:bCs/>
          <w:sz w:val="26"/>
          <w:szCs w:val="26"/>
          <w:rtl/>
        </w:rPr>
      </w:pPr>
      <w:r w:rsidRPr="00D05C50">
        <w:rPr>
          <w:rFonts w:ascii="Arial" w:hAnsi="Arial"/>
          <w:b/>
          <w:bCs/>
          <w:color w:val="FFFFFF"/>
          <w:sz w:val="2"/>
          <w:szCs w:val="2"/>
          <w:rtl/>
        </w:rPr>
        <w:t>54678313</w:t>
      </w:r>
      <w:r w:rsidR="004968C7">
        <w:rPr>
          <w:rFonts w:ascii="Arial" w:hAnsi="Arial" w:hint="cs"/>
          <w:b/>
          <w:bCs/>
          <w:sz w:val="26"/>
          <w:szCs w:val="26"/>
          <w:rtl/>
        </w:rPr>
        <w:t xml:space="preserve">זכות ערעור לבית המשפט העליון תוך 45 יום. </w:t>
      </w:r>
    </w:p>
    <w:p w14:paraId="069D3232" w14:textId="77777777" w:rsidR="004968C7" w:rsidRPr="000F2247" w:rsidRDefault="004968C7" w:rsidP="004968C7">
      <w:pPr>
        <w:rPr>
          <w:rFonts w:ascii="Arial" w:hAnsi="Arial"/>
          <w:b/>
          <w:bCs/>
          <w:sz w:val="26"/>
          <w:szCs w:val="26"/>
          <w:rtl/>
        </w:rPr>
      </w:pPr>
    </w:p>
    <w:p w14:paraId="579B5079" w14:textId="77777777" w:rsidR="004968C7" w:rsidRPr="000F2247" w:rsidRDefault="00D05C50" w:rsidP="004968C7">
      <w:pPr>
        <w:rPr>
          <w:rFonts w:ascii="Arial" w:hAnsi="Arial"/>
          <w:b/>
          <w:bCs/>
          <w:sz w:val="26"/>
          <w:szCs w:val="26"/>
          <w:rtl/>
        </w:rPr>
      </w:pPr>
      <w:bookmarkStart w:id="8" w:name="Nitan"/>
      <w:r>
        <w:rPr>
          <w:rFonts w:ascii="Arial" w:hAnsi="Arial"/>
          <w:b/>
          <w:bCs/>
          <w:sz w:val="26"/>
          <w:szCs w:val="26"/>
          <w:rtl/>
        </w:rPr>
        <w:t xml:space="preserve">ניתן היום,  כ"ה ניסן תשפ"ב, 26 אפריל 2022, במעמד הצדדים. </w:t>
      </w:r>
      <w:bookmarkEnd w:id="8"/>
    </w:p>
    <w:p w14:paraId="7C6B2784" w14:textId="77777777" w:rsidR="004968C7" w:rsidRPr="000F2247" w:rsidRDefault="004968C7" w:rsidP="00D05C5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5D7F2EE" w14:textId="77777777" w:rsidR="004968C7" w:rsidRPr="000F2247" w:rsidRDefault="004968C7" w:rsidP="004968C7">
      <w:pPr>
        <w:jc w:val="center"/>
        <w:rPr>
          <w:rFonts w:ascii="Arial" w:hAnsi="Arial"/>
          <w:b/>
          <w:bCs/>
          <w:sz w:val="26"/>
          <w:szCs w:val="26"/>
          <w:rtl/>
        </w:rPr>
      </w:pPr>
    </w:p>
    <w:p w14:paraId="388F7798" w14:textId="77777777" w:rsidR="00953E37" w:rsidRPr="00D05C50" w:rsidRDefault="00953E37" w:rsidP="00D05C50">
      <w:pPr>
        <w:keepNext/>
        <w:rPr>
          <w:rFonts w:ascii="David" w:hAnsi="David"/>
          <w:color w:val="000000"/>
          <w:sz w:val="22"/>
          <w:szCs w:val="22"/>
          <w:rtl/>
        </w:rPr>
      </w:pPr>
    </w:p>
    <w:p w14:paraId="72EBC19B" w14:textId="77777777" w:rsidR="00D05C50" w:rsidRPr="00D05C50" w:rsidRDefault="00D05C50" w:rsidP="00D05C50">
      <w:pPr>
        <w:keepNext/>
        <w:rPr>
          <w:rFonts w:ascii="David" w:hAnsi="David"/>
          <w:color w:val="000000"/>
          <w:sz w:val="22"/>
          <w:szCs w:val="22"/>
          <w:rtl/>
        </w:rPr>
      </w:pPr>
      <w:r w:rsidRPr="00D05C50">
        <w:rPr>
          <w:rFonts w:ascii="David" w:hAnsi="David"/>
          <w:color w:val="000000"/>
          <w:sz w:val="22"/>
          <w:szCs w:val="22"/>
          <w:rtl/>
        </w:rPr>
        <w:t>חגית מאק קלמנוביץ 54678313</w:t>
      </w:r>
    </w:p>
    <w:p w14:paraId="596F4AC6" w14:textId="77777777" w:rsidR="00D05C50" w:rsidRDefault="00D05C50" w:rsidP="00D05C50">
      <w:r w:rsidRPr="00D05C50">
        <w:rPr>
          <w:color w:val="000000"/>
          <w:rtl/>
        </w:rPr>
        <w:t>נוסח מסמך זה כפוף לשינויי ניסוח ועריכה</w:t>
      </w:r>
    </w:p>
    <w:p w14:paraId="1D946453" w14:textId="77777777" w:rsidR="00D05C50" w:rsidRDefault="00D05C50" w:rsidP="00D05C50">
      <w:pPr>
        <w:rPr>
          <w:rtl/>
        </w:rPr>
      </w:pPr>
    </w:p>
    <w:p w14:paraId="60D98830" w14:textId="77777777" w:rsidR="00D05C50" w:rsidRDefault="00D05C50" w:rsidP="00D05C50">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44A7095" w14:textId="77777777" w:rsidR="00D05C50" w:rsidRPr="00D05C50" w:rsidRDefault="00D05C50" w:rsidP="00D05C50">
      <w:pPr>
        <w:jc w:val="center"/>
        <w:rPr>
          <w:color w:val="0000FF"/>
          <w:u w:val="single"/>
        </w:rPr>
      </w:pPr>
    </w:p>
    <w:sectPr w:rsidR="00D05C50" w:rsidRPr="00D05C50" w:rsidSect="00D05C5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9F4C5" w14:textId="77777777" w:rsidR="0052713C" w:rsidRDefault="0052713C" w:rsidP="00FA4248">
      <w:r>
        <w:separator/>
      </w:r>
    </w:p>
  </w:endnote>
  <w:endnote w:type="continuationSeparator" w:id="0">
    <w:p w14:paraId="1E4CAF23" w14:textId="77777777" w:rsidR="0052713C" w:rsidRDefault="0052713C" w:rsidP="00FA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DACC4" w14:textId="77777777" w:rsidR="00D05C50" w:rsidRDefault="00D05C50" w:rsidP="00D05C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499D11" w14:textId="77777777" w:rsidR="00524B42" w:rsidRPr="00D05C50" w:rsidRDefault="00D05C50" w:rsidP="00D05C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D7480" w14:textId="77777777" w:rsidR="00D05C50" w:rsidRDefault="00D05C50" w:rsidP="00D05C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6534">
      <w:rPr>
        <w:rFonts w:ascii="FrankRuehl" w:hAnsi="FrankRuehl" w:cs="FrankRuehl"/>
        <w:noProof/>
        <w:rtl/>
      </w:rPr>
      <w:t>1</w:t>
    </w:r>
    <w:r>
      <w:rPr>
        <w:rFonts w:ascii="FrankRuehl" w:hAnsi="FrankRuehl" w:cs="FrankRuehl"/>
        <w:rtl/>
      </w:rPr>
      <w:fldChar w:fldCharType="end"/>
    </w:r>
  </w:p>
  <w:p w14:paraId="6DBB1BED" w14:textId="77777777" w:rsidR="00524B42" w:rsidRPr="00D05C50" w:rsidRDefault="00D05C50" w:rsidP="00D05C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E85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6968F" w14:textId="77777777" w:rsidR="0052713C" w:rsidRDefault="0052713C" w:rsidP="00FA4248">
      <w:r>
        <w:separator/>
      </w:r>
    </w:p>
  </w:footnote>
  <w:footnote w:type="continuationSeparator" w:id="0">
    <w:p w14:paraId="6B3FB360" w14:textId="77777777" w:rsidR="0052713C" w:rsidRDefault="0052713C" w:rsidP="00FA4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D0259" w14:textId="77777777" w:rsidR="00D05C50" w:rsidRPr="00D05C50" w:rsidRDefault="00D05C50" w:rsidP="00D05C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34694-09-21</w:t>
    </w:r>
    <w:r>
      <w:rPr>
        <w:rFonts w:ascii="David" w:hAnsi="David"/>
        <w:color w:val="000000"/>
        <w:sz w:val="22"/>
        <w:szCs w:val="22"/>
        <w:rtl/>
      </w:rPr>
      <w:tab/>
      <w:t xml:space="preserve"> מדינת ישראל נ' נדים זהרה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4158E" w14:textId="77777777" w:rsidR="00D05C50" w:rsidRPr="00D05C50" w:rsidRDefault="00D05C50" w:rsidP="00D05C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34694-09-21</w:t>
    </w:r>
    <w:r>
      <w:rPr>
        <w:rFonts w:ascii="David" w:hAnsi="David"/>
        <w:color w:val="000000"/>
        <w:sz w:val="22"/>
        <w:szCs w:val="22"/>
        <w:rtl/>
      </w:rPr>
      <w:tab/>
      <w:t xml:space="preserve"> מדינת ישראל נ' נדים זהרה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9306B"/>
    <w:multiLevelType w:val="hybridMultilevel"/>
    <w:tmpl w:val="492EBDE0"/>
    <w:lvl w:ilvl="0" w:tplc="B5783A1A">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4D5571"/>
    <w:multiLevelType w:val="hybridMultilevel"/>
    <w:tmpl w:val="DFD6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29348">
    <w:abstractNumId w:val="0"/>
  </w:num>
  <w:num w:numId="2" w16cid:durableId="2064712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68C7"/>
    <w:rsid w:val="001B5A3B"/>
    <w:rsid w:val="00363934"/>
    <w:rsid w:val="004968C7"/>
    <w:rsid w:val="00524B42"/>
    <w:rsid w:val="0052713C"/>
    <w:rsid w:val="00953E37"/>
    <w:rsid w:val="00956534"/>
    <w:rsid w:val="009907BD"/>
    <w:rsid w:val="00A64B2A"/>
    <w:rsid w:val="00AC17BE"/>
    <w:rsid w:val="00B51F33"/>
    <w:rsid w:val="00BE51AB"/>
    <w:rsid w:val="00D05C50"/>
    <w:rsid w:val="00D4742F"/>
    <w:rsid w:val="00DB190D"/>
    <w:rsid w:val="00F91C53"/>
    <w:rsid w:val="00FA42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26F93E"/>
  <w15:chartTrackingRefBased/>
  <w15:docId w15:val="{927AE921-48B4-4386-B1CD-A211EAA7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68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68C7"/>
    <w:pPr>
      <w:tabs>
        <w:tab w:val="center" w:pos="4153"/>
        <w:tab w:val="right" w:pos="8306"/>
      </w:tabs>
    </w:pPr>
  </w:style>
  <w:style w:type="character" w:customStyle="1" w:styleId="a4">
    <w:name w:val="כותרת עליונה תו"/>
    <w:link w:val="a3"/>
    <w:rsid w:val="004968C7"/>
    <w:rPr>
      <w:rFonts w:ascii="Times New Roman" w:eastAsia="Times New Roman" w:hAnsi="Times New Roman" w:cs="David"/>
      <w:sz w:val="24"/>
      <w:szCs w:val="24"/>
    </w:rPr>
  </w:style>
  <w:style w:type="paragraph" w:styleId="a5">
    <w:name w:val="footer"/>
    <w:basedOn w:val="a"/>
    <w:link w:val="a6"/>
    <w:rsid w:val="004968C7"/>
    <w:pPr>
      <w:tabs>
        <w:tab w:val="center" w:pos="4153"/>
        <w:tab w:val="right" w:pos="8306"/>
      </w:tabs>
    </w:pPr>
  </w:style>
  <w:style w:type="character" w:customStyle="1" w:styleId="a6">
    <w:name w:val="כותרת תחתונה תו"/>
    <w:link w:val="a5"/>
    <w:rsid w:val="004968C7"/>
    <w:rPr>
      <w:rFonts w:ascii="Times New Roman" w:eastAsia="Times New Roman" w:hAnsi="Times New Roman" w:cs="David"/>
      <w:sz w:val="24"/>
      <w:szCs w:val="24"/>
    </w:rPr>
  </w:style>
  <w:style w:type="table" w:styleId="a7">
    <w:name w:val="Table Grid"/>
    <w:basedOn w:val="a1"/>
    <w:rsid w:val="004968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68C7"/>
  </w:style>
  <w:style w:type="character" w:styleId="Hyperlink">
    <w:name w:val="Hyperlink"/>
    <w:rsid w:val="004968C7"/>
    <w:rPr>
      <w:color w:val="0000FF"/>
      <w:u w:val="single"/>
    </w:rPr>
  </w:style>
  <w:style w:type="paragraph" w:styleId="a9">
    <w:name w:val="List Paragraph"/>
    <w:basedOn w:val="a"/>
    <w:qFormat/>
    <w:rsid w:val="0049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2132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915710" TargetMode="External"/><Relationship Id="rId3" Type="http://schemas.openxmlformats.org/officeDocument/2006/relationships/settings" Target="settings.xml"/><Relationship Id="rId21" Type="http://schemas.openxmlformats.org/officeDocument/2006/relationships/hyperlink" Target="http://www.nevo.co.il/case/25836997"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7697292" TargetMode="External"/><Relationship Id="rId25" Type="http://schemas.openxmlformats.org/officeDocument/2006/relationships/hyperlink" Target="http://www.nevo.co.il/case/2656849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915710" TargetMode="External"/><Relationship Id="rId20" Type="http://schemas.openxmlformats.org/officeDocument/2006/relationships/hyperlink" Target="http://www.nevo.co.il/case/2506392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020687" TargetMode="External"/><Relationship Id="rId24" Type="http://schemas.openxmlformats.org/officeDocument/2006/relationships/hyperlink" Target="http://www.nevo.co.il/case/1309374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25063920"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82486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8291683"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8152132"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2049</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12271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4128885</vt:i4>
      </vt:variant>
      <vt:variant>
        <vt:i4>57</vt:i4>
      </vt:variant>
      <vt:variant>
        <vt:i4>0</vt:i4>
      </vt:variant>
      <vt:variant>
        <vt:i4>5</vt:i4>
      </vt:variant>
      <vt:variant>
        <vt:lpwstr>http://www.nevo.co.il/case/27915710</vt:lpwstr>
      </vt:variant>
      <vt:variant>
        <vt:lpwstr/>
      </vt:variant>
      <vt:variant>
        <vt:i4>3539056</vt:i4>
      </vt:variant>
      <vt:variant>
        <vt:i4>54</vt:i4>
      </vt:variant>
      <vt:variant>
        <vt:i4>0</vt:i4>
      </vt:variant>
      <vt:variant>
        <vt:i4>5</vt:i4>
      </vt:variant>
      <vt:variant>
        <vt:lpwstr>http://www.nevo.co.il/case/26568495</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3342462</vt:i4>
      </vt:variant>
      <vt:variant>
        <vt:i4>48</vt:i4>
      </vt:variant>
      <vt:variant>
        <vt:i4>0</vt:i4>
      </vt:variant>
      <vt:variant>
        <vt:i4>5</vt:i4>
      </vt:variant>
      <vt:variant>
        <vt:lpwstr>http://www.nevo.co.il/case/25063920</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3473531</vt:i4>
      </vt:variant>
      <vt:variant>
        <vt:i4>42</vt:i4>
      </vt:variant>
      <vt:variant>
        <vt:i4>0</vt:i4>
      </vt:variant>
      <vt:variant>
        <vt:i4>5</vt:i4>
      </vt:variant>
      <vt:variant>
        <vt:lpwstr>http://www.nevo.co.il/case/25836997</vt:lpwstr>
      </vt:variant>
      <vt:variant>
        <vt:lpwstr/>
      </vt:variant>
      <vt:variant>
        <vt:i4>3342462</vt:i4>
      </vt:variant>
      <vt:variant>
        <vt:i4>39</vt:i4>
      </vt:variant>
      <vt:variant>
        <vt:i4>0</vt:i4>
      </vt:variant>
      <vt:variant>
        <vt:i4>5</vt:i4>
      </vt:variant>
      <vt:variant>
        <vt:lpwstr>http://www.nevo.co.il/case/25063920</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4063356</vt:i4>
      </vt:variant>
      <vt:variant>
        <vt:i4>30</vt:i4>
      </vt:variant>
      <vt:variant>
        <vt:i4>0</vt:i4>
      </vt:variant>
      <vt:variant>
        <vt:i4>5</vt:i4>
      </vt:variant>
      <vt:variant>
        <vt:lpwstr>http://www.nevo.co.il/case/7697292</vt:lpwstr>
      </vt:variant>
      <vt:variant>
        <vt:lpwstr/>
      </vt:variant>
      <vt:variant>
        <vt:i4>4128885</vt:i4>
      </vt:variant>
      <vt:variant>
        <vt:i4>27</vt:i4>
      </vt:variant>
      <vt:variant>
        <vt:i4>0</vt:i4>
      </vt:variant>
      <vt:variant>
        <vt:i4>5</vt:i4>
      </vt:variant>
      <vt:variant>
        <vt:lpwstr>http://www.nevo.co.il/case/27915710</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3407999</vt:i4>
      </vt:variant>
      <vt:variant>
        <vt:i4>21</vt:i4>
      </vt:variant>
      <vt:variant>
        <vt:i4>0</vt:i4>
      </vt:variant>
      <vt:variant>
        <vt:i4>5</vt:i4>
      </vt:variant>
      <vt:variant>
        <vt:lpwstr>http://www.nevo.co.il/case/8291683</vt:lpwstr>
      </vt:variant>
      <vt:variant>
        <vt:lpwstr/>
      </vt:variant>
      <vt:variant>
        <vt:i4>3342463</vt:i4>
      </vt:variant>
      <vt:variant>
        <vt:i4>18</vt:i4>
      </vt:variant>
      <vt:variant>
        <vt:i4>0</vt:i4>
      </vt:variant>
      <vt:variant>
        <vt:i4>5</vt:i4>
      </vt:variant>
      <vt:variant>
        <vt:lpwstr>http://www.nevo.co.il/case/5821327</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3801208</vt:i4>
      </vt:variant>
      <vt:variant>
        <vt:i4>12</vt:i4>
      </vt:variant>
      <vt:variant>
        <vt:i4>0</vt:i4>
      </vt:variant>
      <vt:variant>
        <vt:i4>5</vt:i4>
      </vt:variant>
      <vt:variant>
        <vt:lpwstr>http://www.nevo.co.il/case/28020687</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34694</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נדים זהרה</vt:lpwstr>
  </property>
  <property fmtid="{D5CDD505-2E9C-101B-9397-08002B2CF9AE}" pid="10" name="LAWYER">
    <vt:lpwstr>עאטף פרחאת</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20220426</vt:lpwstr>
  </property>
  <property fmtid="{D5CDD505-2E9C-101B-9397-08002B2CF9AE}" pid="14" name="TYPE_N_DATE">
    <vt:lpwstr>39020220426</vt:lpwstr>
  </property>
  <property fmtid="{D5CDD505-2E9C-101B-9397-08002B2CF9AE}" pid="15" name="WORDNUMPAGES">
    <vt:lpwstr>7</vt:lpwstr>
  </property>
  <property fmtid="{D5CDD505-2E9C-101B-9397-08002B2CF9AE}" pid="16" name="TYPE_ABS_DATE">
    <vt:lpwstr>390020220426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28020687;25824863:2;5821327;8291683;7791493;27915710:2;7697292;25063920:2;25836997;22006503;13093744;26568495;28152132</vt:lpwstr>
  </property>
  <property fmtid="{D5CDD505-2E9C-101B-9397-08002B2CF9AE}" pid="36" name="LAWLISTTMP1">
    <vt:lpwstr>70301/144.b</vt:lpwstr>
  </property>
</Properties>
</file>