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898"/>
        <w:gridCol w:w="3667"/>
        <w:gridCol w:w="99"/>
      </w:tblGrid>
      <w:tr w:rsidR="00AF0FB8" w:rsidRPr="00745B4D" w14:paraId="206BA17F" w14:textId="77777777" w:rsidTr="00053AE9">
        <w:trPr>
          <w:gridAfter w:val="1"/>
          <w:wAfter w:w="99" w:type="dxa"/>
          <w:trHeight w:hRule="exact" w:val="709"/>
          <w:jc w:val="center"/>
        </w:trPr>
        <w:tc>
          <w:tcPr>
            <w:tcW w:w="8721" w:type="dxa"/>
            <w:gridSpan w:val="4"/>
          </w:tcPr>
          <w:p w14:paraId="33587BC3" w14:textId="77777777" w:rsidR="00AF0FB8" w:rsidRPr="00745B4D" w:rsidRDefault="00AF0FB8" w:rsidP="00DB15E4">
            <w:pPr>
              <w:pStyle w:val="a3"/>
              <w:jc w:val="center"/>
              <w:rPr>
                <w:rFonts w:ascii="David" w:hAnsi="David"/>
                <w:color w:val="000080"/>
                <w:rtl/>
              </w:rPr>
            </w:pPr>
            <w:bookmarkStart w:id="0" w:name="LastJudge"/>
            <w:r w:rsidRPr="00745B4D">
              <w:rPr>
                <w:rFonts w:ascii="David" w:hAnsi="David"/>
                <w:b/>
                <w:bCs/>
                <w:color w:val="002060"/>
                <w:sz w:val="28"/>
                <w:szCs w:val="28"/>
                <w:rtl/>
              </w:rPr>
              <w:t>בית המשפט המחוזי בירושלים</w:t>
            </w:r>
          </w:p>
          <w:p w14:paraId="6490C1E7" w14:textId="77777777" w:rsidR="00AF0FB8" w:rsidRPr="00745B4D" w:rsidRDefault="00AF0FB8" w:rsidP="00DB15E4">
            <w:pPr>
              <w:jc w:val="center"/>
              <w:rPr>
                <w:b/>
                <w:bCs/>
                <w:sz w:val="28"/>
                <w:szCs w:val="28"/>
                <w:rtl/>
              </w:rPr>
            </w:pPr>
            <w:r w:rsidRPr="00745B4D">
              <w:rPr>
                <w:rFonts w:ascii="David" w:hAnsi="David"/>
                <w:b/>
                <w:bCs/>
                <w:color w:val="002060"/>
                <w:sz w:val="28"/>
                <w:szCs w:val="28"/>
                <w:rtl/>
              </w:rPr>
              <w:t>לפני כב' השופט אברהם רובין</w:t>
            </w:r>
          </w:p>
        </w:tc>
      </w:tr>
      <w:tr w:rsidR="00AF0FB8" w:rsidRPr="00745B4D" w14:paraId="6911F5DB" w14:textId="77777777" w:rsidTr="00053AE9">
        <w:trPr>
          <w:gridAfter w:val="1"/>
          <w:wAfter w:w="99" w:type="dxa"/>
          <w:trHeight w:val="337"/>
          <w:jc w:val="center"/>
        </w:trPr>
        <w:tc>
          <w:tcPr>
            <w:tcW w:w="5054" w:type="dxa"/>
            <w:gridSpan w:val="3"/>
          </w:tcPr>
          <w:p w14:paraId="5C1F5229" w14:textId="77777777" w:rsidR="00AF0FB8" w:rsidRPr="00745B4D" w:rsidRDefault="00AF0FB8" w:rsidP="00DB15E4">
            <w:pPr>
              <w:rPr>
                <w:rFonts w:cs="FrankRuehl"/>
                <w:sz w:val="28"/>
                <w:szCs w:val="28"/>
                <w:rtl/>
              </w:rPr>
            </w:pPr>
            <w:r w:rsidRPr="00745B4D">
              <w:rPr>
                <w:rFonts w:ascii="David" w:hAnsi="David"/>
                <w:b/>
                <w:bCs/>
                <w:rtl/>
              </w:rPr>
              <w:t>ת"פ 10552-11-21 מדינת ישראל נ' מהלוס</w:t>
            </w:r>
          </w:p>
        </w:tc>
        <w:tc>
          <w:tcPr>
            <w:tcW w:w="3667" w:type="dxa"/>
          </w:tcPr>
          <w:p w14:paraId="389FE49C" w14:textId="77777777" w:rsidR="00AF0FB8" w:rsidRPr="00745B4D" w:rsidRDefault="00AF0FB8" w:rsidP="00DB15E4">
            <w:pPr>
              <w:pStyle w:val="a3"/>
              <w:jc w:val="right"/>
              <w:rPr>
                <w:rFonts w:cs="FrankRuehl"/>
                <w:sz w:val="28"/>
                <w:szCs w:val="28"/>
                <w:rtl/>
              </w:rPr>
            </w:pPr>
          </w:p>
        </w:tc>
      </w:tr>
      <w:tr w:rsidR="00AF0FB8" w:rsidRPr="00745B4D" w14:paraId="5BC3C972" w14:textId="77777777" w:rsidTr="00053A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7111D3CF" w14:textId="77777777" w:rsidR="00AF0FB8" w:rsidRPr="00745B4D" w:rsidRDefault="00AF0FB8" w:rsidP="00AF0FB8">
            <w:pPr>
              <w:jc w:val="both"/>
              <w:rPr>
                <w:rFonts w:ascii="David" w:hAnsi="David"/>
                <w:sz w:val="28"/>
                <w:szCs w:val="28"/>
              </w:rPr>
            </w:pPr>
            <w:r w:rsidRPr="00745B4D">
              <w:rPr>
                <w:rFonts w:hint="cs"/>
                <w:rtl/>
              </w:rPr>
              <w:t xml:space="preserve"> </w:t>
            </w:r>
          </w:p>
        </w:tc>
        <w:tc>
          <w:tcPr>
            <w:tcW w:w="7875" w:type="dxa"/>
            <w:gridSpan w:val="4"/>
            <w:tcBorders>
              <w:top w:val="nil"/>
              <w:left w:val="nil"/>
              <w:bottom w:val="nil"/>
              <w:right w:val="nil"/>
            </w:tcBorders>
            <w:shd w:val="clear" w:color="auto" w:fill="auto"/>
          </w:tcPr>
          <w:p w14:paraId="53F792B3" w14:textId="77777777" w:rsidR="00AF0FB8" w:rsidRPr="00745B4D" w:rsidRDefault="00AF0FB8" w:rsidP="00AF0FB8">
            <w:pPr>
              <w:jc w:val="both"/>
              <w:rPr>
                <w:rFonts w:ascii="David" w:hAnsi="David"/>
                <w:sz w:val="28"/>
                <w:szCs w:val="28"/>
              </w:rPr>
            </w:pPr>
          </w:p>
        </w:tc>
      </w:tr>
      <w:tr w:rsidR="00AF0FB8" w:rsidRPr="00745B4D" w14:paraId="22501D65" w14:textId="77777777" w:rsidTr="00053A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01141440" w14:textId="77777777" w:rsidR="00AF0FB8" w:rsidRPr="00745B4D" w:rsidRDefault="00AF0FB8" w:rsidP="00AF0FB8">
            <w:pPr>
              <w:jc w:val="both"/>
              <w:rPr>
                <w:rFonts w:ascii="David" w:hAnsi="David"/>
                <w:b/>
                <w:bCs/>
                <w:sz w:val="28"/>
                <w:szCs w:val="28"/>
              </w:rPr>
            </w:pPr>
            <w:bookmarkStart w:id="1" w:name="FirstAppellant"/>
            <w:r w:rsidRPr="00745B4D">
              <w:rPr>
                <w:rFonts w:ascii="David" w:hAnsi="David"/>
                <w:b/>
                <w:bCs/>
                <w:sz w:val="28"/>
                <w:szCs w:val="28"/>
                <w:rtl/>
              </w:rPr>
              <w:t>בעניין:</w:t>
            </w:r>
          </w:p>
        </w:tc>
        <w:tc>
          <w:tcPr>
            <w:tcW w:w="3211" w:type="dxa"/>
            <w:tcBorders>
              <w:top w:val="nil"/>
              <w:left w:val="nil"/>
              <w:bottom w:val="nil"/>
              <w:right w:val="nil"/>
            </w:tcBorders>
            <w:shd w:val="clear" w:color="auto" w:fill="auto"/>
          </w:tcPr>
          <w:p w14:paraId="7A599C0F" w14:textId="77777777" w:rsidR="00AF0FB8" w:rsidRPr="00745B4D" w:rsidRDefault="00AF0FB8" w:rsidP="00AF0FB8">
            <w:pPr>
              <w:suppressLineNumbers/>
              <w:rPr>
                <w:sz w:val="28"/>
                <w:szCs w:val="28"/>
              </w:rPr>
            </w:pPr>
            <w:r w:rsidRPr="00745B4D">
              <w:rPr>
                <w:rFonts w:ascii="Arial" w:hAnsi="Arial" w:hint="cs"/>
                <w:b/>
                <w:bCs/>
                <w:sz w:val="28"/>
                <w:szCs w:val="28"/>
                <w:rtl/>
              </w:rPr>
              <w:t>ה</w:t>
            </w:r>
            <w:r w:rsidRPr="00745B4D">
              <w:rPr>
                <w:rFonts w:ascii="Arial" w:hAnsi="Arial"/>
                <w:b/>
                <w:bCs/>
                <w:sz w:val="28"/>
                <w:szCs w:val="28"/>
                <w:rtl/>
              </w:rPr>
              <w:t>מאשימה</w:t>
            </w:r>
          </w:p>
          <w:p w14:paraId="5AC4F039" w14:textId="77777777" w:rsidR="00AF0FB8" w:rsidRPr="00745B4D" w:rsidRDefault="00AF0FB8" w:rsidP="00DB15E4">
            <w:pPr>
              <w:rPr>
                <w:rFonts w:ascii="David" w:hAnsi="David"/>
                <w:sz w:val="28"/>
                <w:szCs w:val="28"/>
              </w:rPr>
            </w:pPr>
          </w:p>
        </w:tc>
        <w:tc>
          <w:tcPr>
            <w:tcW w:w="4664" w:type="dxa"/>
            <w:gridSpan w:val="3"/>
            <w:tcBorders>
              <w:top w:val="nil"/>
              <w:left w:val="nil"/>
              <w:bottom w:val="nil"/>
              <w:right w:val="nil"/>
            </w:tcBorders>
            <w:shd w:val="clear" w:color="auto" w:fill="auto"/>
            <w:vAlign w:val="center"/>
          </w:tcPr>
          <w:p w14:paraId="50409AFD" w14:textId="77777777" w:rsidR="00AF0FB8" w:rsidRPr="00745B4D" w:rsidRDefault="00AF0FB8" w:rsidP="00AF0FB8">
            <w:pPr>
              <w:suppressLineNumbers/>
              <w:rPr>
                <w:sz w:val="28"/>
                <w:szCs w:val="28"/>
              </w:rPr>
            </w:pPr>
            <w:r w:rsidRPr="00745B4D">
              <w:rPr>
                <w:rFonts w:ascii="Arial" w:hAnsi="Arial"/>
                <w:b/>
                <w:bCs/>
                <w:sz w:val="28"/>
                <w:szCs w:val="28"/>
                <w:rtl/>
              </w:rPr>
              <w:t>מדינת ישראל</w:t>
            </w:r>
            <w:r w:rsidRPr="00745B4D">
              <w:rPr>
                <w:rFonts w:ascii="Arial" w:hAnsi="Arial" w:hint="cs"/>
                <w:b/>
                <w:bCs/>
                <w:sz w:val="28"/>
                <w:szCs w:val="28"/>
                <w:rtl/>
              </w:rPr>
              <w:t xml:space="preserve"> </w:t>
            </w:r>
          </w:p>
          <w:p w14:paraId="5986C568" w14:textId="77777777" w:rsidR="00AF0FB8" w:rsidRPr="00745B4D" w:rsidRDefault="00AF0FB8" w:rsidP="00DB15E4">
            <w:pPr>
              <w:rPr>
                <w:rFonts w:ascii="David" w:hAnsi="David"/>
                <w:sz w:val="28"/>
                <w:szCs w:val="28"/>
              </w:rPr>
            </w:pPr>
          </w:p>
        </w:tc>
      </w:tr>
      <w:bookmarkEnd w:id="1"/>
      <w:tr w:rsidR="00AF0FB8" w:rsidRPr="00745B4D" w14:paraId="2F2BD34A" w14:textId="77777777" w:rsidTr="00053A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768473C5" w14:textId="77777777" w:rsidR="00AF0FB8" w:rsidRPr="00745B4D" w:rsidRDefault="00AF0FB8" w:rsidP="00AF0FB8">
            <w:pPr>
              <w:jc w:val="both"/>
              <w:rPr>
                <w:rFonts w:ascii="David" w:hAnsi="David"/>
                <w:sz w:val="28"/>
                <w:szCs w:val="28"/>
                <w:rtl/>
              </w:rPr>
            </w:pPr>
          </w:p>
        </w:tc>
        <w:tc>
          <w:tcPr>
            <w:tcW w:w="7875" w:type="dxa"/>
            <w:gridSpan w:val="4"/>
            <w:tcBorders>
              <w:top w:val="nil"/>
              <w:left w:val="nil"/>
              <w:bottom w:val="nil"/>
              <w:right w:val="nil"/>
            </w:tcBorders>
            <w:shd w:val="clear" w:color="auto" w:fill="auto"/>
          </w:tcPr>
          <w:p w14:paraId="525A42BA" w14:textId="77777777" w:rsidR="00AF0FB8" w:rsidRPr="00745B4D" w:rsidRDefault="00AF0FB8" w:rsidP="00AF0FB8">
            <w:pPr>
              <w:jc w:val="center"/>
              <w:rPr>
                <w:rFonts w:ascii="David" w:hAnsi="David"/>
                <w:b/>
                <w:bCs/>
                <w:sz w:val="28"/>
                <w:szCs w:val="28"/>
                <w:rtl/>
              </w:rPr>
            </w:pPr>
          </w:p>
          <w:p w14:paraId="6BBEC4A4" w14:textId="77777777" w:rsidR="00AF0FB8" w:rsidRPr="00745B4D" w:rsidRDefault="00AF0FB8" w:rsidP="00AF0FB8">
            <w:pPr>
              <w:jc w:val="center"/>
              <w:rPr>
                <w:rFonts w:ascii="David" w:hAnsi="David"/>
                <w:b/>
                <w:bCs/>
                <w:sz w:val="28"/>
                <w:szCs w:val="28"/>
                <w:rtl/>
              </w:rPr>
            </w:pPr>
            <w:r w:rsidRPr="00745B4D">
              <w:rPr>
                <w:rFonts w:ascii="David" w:hAnsi="David"/>
                <w:b/>
                <w:bCs/>
                <w:sz w:val="28"/>
                <w:szCs w:val="28"/>
                <w:rtl/>
              </w:rPr>
              <w:t>נגד</w:t>
            </w:r>
          </w:p>
          <w:p w14:paraId="108AB713" w14:textId="77777777" w:rsidR="00AF0FB8" w:rsidRPr="00745B4D" w:rsidRDefault="00AF0FB8" w:rsidP="00AF0FB8">
            <w:pPr>
              <w:jc w:val="center"/>
              <w:rPr>
                <w:rFonts w:ascii="David" w:hAnsi="David"/>
                <w:b/>
                <w:bCs/>
                <w:sz w:val="28"/>
                <w:szCs w:val="28"/>
                <w:rtl/>
              </w:rPr>
            </w:pPr>
          </w:p>
          <w:p w14:paraId="349E122B" w14:textId="77777777" w:rsidR="00AF0FB8" w:rsidRPr="00745B4D" w:rsidRDefault="00AF0FB8" w:rsidP="00AF0FB8">
            <w:pPr>
              <w:jc w:val="both"/>
              <w:rPr>
                <w:rFonts w:ascii="David" w:hAnsi="David"/>
                <w:sz w:val="28"/>
                <w:szCs w:val="28"/>
              </w:rPr>
            </w:pPr>
          </w:p>
        </w:tc>
      </w:tr>
      <w:tr w:rsidR="00AF0FB8" w:rsidRPr="00745B4D" w14:paraId="1251A6F7" w14:textId="77777777" w:rsidTr="00053A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F55854A" w14:textId="77777777" w:rsidR="00AF0FB8" w:rsidRPr="00745B4D" w:rsidRDefault="00AF0FB8" w:rsidP="00DB15E4">
            <w:pPr>
              <w:rPr>
                <w:rFonts w:ascii="David" w:hAnsi="David"/>
                <w:sz w:val="28"/>
                <w:szCs w:val="28"/>
                <w:rtl/>
              </w:rPr>
            </w:pPr>
          </w:p>
        </w:tc>
        <w:tc>
          <w:tcPr>
            <w:tcW w:w="3211" w:type="dxa"/>
            <w:tcBorders>
              <w:top w:val="nil"/>
              <w:left w:val="nil"/>
              <w:bottom w:val="nil"/>
              <w:right w:val="nil"/>
            </w:tcBorders>
            <w:shd w:val="clear" w:color="auto" w:fill="auto"/>
          </w:tcPr>
          <w:p w14:paraId="4EE745B1" w14:textId="77777777" w:rsidR="00AF0FB8" w:rsidRPr="00745B4D" w:rsidRDefault="00AF0FB8" w:rsidP="00DB15E4">
            <w:pPr>
              <w:rPr>
                <w:rFonts w:ascii="Arial" w:hAnsi="Arial"/>
                <w:b/>
                <w:bCs/>
                <w:sz w:val="28"/>
                <w:szCs w:val="28"/>
                <w:rtl/>
              </w:rPr>
            </w:pPr>
            <w:r w:rsidRPr="00745B4D">
              <w:rPr>
                <w:rFonts w:ascii="Arial" w:hAnsi="Arial"/>
                <w:b/>
                <w:bCs/>
                <w:sz w:val="28"/>
                <w:szCs w:val="28"/>
                <w:rtl/>
              </w:rPr>
              <w:t>הנאשמים</w:t>
            </w:r>
          </w:p>
        </w:tc>
        <w:tc>
          <w:tcPr>
            <w:tcW w:w="4664" w:type="dxa"/>
            <w:gridSpan w:val="3"/>
            <w:tcBorders>
              <w:top w:val="nil"/>
              <w:left w:val="nil"/>
              <w:bottom w:val="nil"/>
              <w:right w:val="nil"/>
            </w:tcBorders>
            <w:shd w:val="clear" w:color="auto" w:fill="auto"/>
            <w:vAlign w:val="center"/>
          </w:tcPr>
          <w:p w14:paraId="19698107" w14:textId="77777777" w:rsidR="00AF0FB8" w:rsidRPr="00745B4D" w:rsidRDefault="00AF0FB8" w:rsidP="00AF0FB8">
            <w:pPr>
              <w:suppressLineNumbers/>
              <w:rPr>
                <w:rFonts w:ascii="Arial" w:hAnsi="Arial"/>
                <w:b/>
                <w:bCs/>
                <w:sz w:val="28"/>
                <w:szCs w:val="28"/>
                <w:rtl/>
              </w:rPr>
            </w:pPr>
            <w:r w:rsidRPr="00745B4D">
              <w:rPr>
                <w:rFonts w:ascii="Arial" w:hAnsi="Arial"/>
                <w:b/>
                <w:bCs/>
                <w:sz w:val="28"/>
                <w:szCs w:val="28"/>
                <w:rtl/>
              </w:rPr>
              <w:t xml:space="preserve">1. סאלאח מהלוס </w:t>
            </w:r>
            <w:r w:rsidRPr="00745B4D">
              <w:rPr>
                <w:rFonts w:ascii="Arial" w:hAnsi="Arial" w:hint="cs"/>
                <w:b/>
                <w:bCs/>
                <w:sz w:val="28"/>
                <w:szCs w:val="28"/>
                <w:rtl/>
              </w:rPr>
              <w:t xml:space="preserve">ת.ז. </w:t>
            </w:r>
            <w:r w:rsidR="00745B4D">
              <w:rPr>
                <w:rFonts w:ascii="Arial" w:hAnsi="Arial"/>
                <w:b/>
                <w:bCs/>
                <w:sz w:val="28"/>
                <w:szCs w:val="28"/>
              </w:rPr>
              <w:t>xxxxxxxxx</w:t>
            </w:r>
          </w:p>
          <w:p w14:paraId="7F87A854" w14:textId="77777777" w:rsidR="00AF0FB8" w:rsidRPr="00745B4D" w:rsidRDefault="00AF0FB8" w:rsidP="00AF0FB8">
            <w:pPr>
              <w:suppressLineNumbers/>
              <w:rPr>
                <w:sz w:val="28"/>
                <w:szCs w:val="28"/>
              </w:rPr>
            </w:pPr>
            <w:r w:rsidRPr="00745B4D">
              <w:rPr>
                <w:rFonts w:ascii="Arial" w:hAnsi="Arial"/>
                <w:b/>
                <w:bCs/>
                <w:sz w:val="28"/>
                <w:szCs w:val="28"/>
                <w:rtl/>
              </w:rPr>
              <w:t>2. ווסים</w:t>
            </w:r>
            <w:r w:rsidRPr="00745B4D">
              <w:rPr>
                <w:rFonts w:ascii="Arial" w:hAnsi="Arial" w:hint="cs"/>
                <w:b/>
                <w:bCs/>
                <w:sz w:val="28"/>
                <w:szCs w:val="28"/>
                <w:rtl/>
              </w:rPr>
              <w:t xml:space="preserve"> </w:t>
            </w:r>
            <w:r w:rsidRPr="00745B4D">
              <w:rPr>
                <w:rFonts w:ascii="Arial" w:hAnsi="Arial"/>
                <w:b/>
                <w:bCs/>
                <w:sz w:val="28"/>
                <w:szCs w:val="28"/>
                <w:rtl/>
              </w:rPr>
              <w:t xml:space="preserve">מהלוס </w:t>
            </w:r>
            <w:r w:rsidRPr="00745B4D">
              <w:rPr>
                <w:rFonts w:ascii="Arial" w:hAnsi="Arial" w:hint="cs"/>
                <w:b/>
                <w:bCs/>
                <w:sz w:val="28"/>
                <w:szCs w:val="28"/>
                <w:rtl/>
              </w:rPr>
              <w:t xml:space="preserve">ת.ז.  </w:t>
            </w:r>
            <w:r w:rsidR="00745B4D">
              <w:rPr>
                <w:rFonts w:ascii="Arial" w:hAnsi="Arial"/>
                <w:b/>
                <w:bCs/>
                <w:sz w:val="28"/>
                <w:szCs w:val="28"/>
              </w:rPr>
              <w:t>xxxxxxxxx</w:t>
            </w:r>
          </w:p>
        </w:tc>
      </w:tr>
    </w:tbl>
    <w:p w14:paraId="617EFC5D" w14:textId="77777777" w:rsidR="00745B4D" w:rsidRPr="00745B4D" w:rsidRDefault="00745B4D" w:rsidP="00053AE9">
      <w:pPr>
        <w:spacing w:before="120" w:after="120" w:line="240" w:lineRule="exact"/>
        <w:jc w:val="both"/>
        <w:rPr>
          <w:rFonts w:ascii="FrankRuehl" w:hAnsi="FrankRuehl" w:cs="FrankRuehl" w:hint="cs"/>
          <w:rtl/>
        </w:rPr>
      </w:pPr>
    </w:p>
    <w:p w14:paraId="5FA4632F" w14:textId="77777777" w:rsidR="00745B4D" w:rsidRPr="00745B4D" w:rsidRDefault="00745B4D" w:rsidP="00745B4D">
      <w:pPr>
        <w:spacing w:before="120" w:after="120" w:line="240" w:lineRule="exact"/>
        <w:ind w:left="283" w:hanging="283"/>
        <w:jc w:val="both"/>
        <w:rPr>
          <w:rFonts w:ascii="FrankRuehl" w:hAnsi="FrankRuehl" w:cs="FrankRuehl"/>
          <w:rtl/>
        </w:rPr>
      </w:pPr>
    </w:p>
    <w:p w14:paraId="407DF564" w14:textId="77777777" w:rsidR="00053AE9" w:rsidRPr="00053AE9" w:rsidRDefault="00053AE9" w:rsidP="00053AE9">
      <w:pPr>
        <w:spacing w:before="120" w:after="120" w:line="240" w:lineRule="exact"/>
        <w:ind w:left="283" w:hanging="283"/>
        <w:jc w:val="both"/>
        <w:rPr>
          <w:rFonts w:ascii="FrankRuehl" w:hAnsi="FrankRuehl" w:cs="FrankRuehl"/>
          <w:rtl/>
        </w:rPr>
      </w:pPr>
    </w:p>
    <w:p w14:paraId="3B3BC5B6" w14:textId="77777777" w:rsidR="003008E5" w:rsidRPr="003008E5" w:rsidRDefault="003008E5" w:rsidP="00053AE9">
      <w:pPr>
        <w:rPr>
          <w:sz w:val="28"/>
          <w:szCs w:val="28"/>
          <w:rtl/>
        </w:rPr>
      </w:pPr>
    </w:p>
    <w:p w14:paraId="7F1C9C6C" w14:textId="77777777" w:rsidR="0029529D" w:rsidRPr="0029529D" w:rsidRDefault="0029529D" w:rsidP="003008E5">
      <w:pPr>
        <w:spacing w:after="120" w:line="240" w:lineRule="exact"/>
        <w:ind w:left="283" w:hanging="283"/>
        <w:jc w:val="both"/>
        <w:rPr>
          <w:sz w:val="28"/>
          <w:szCs w:val="28"/>
          <w:rtl/>
        </w:rPr>
      </w:pPr>
    </w:p>
    <w:p w14:paraId="07A9DC1D" w14:textId="77777777" w:rsidR="0029529D" w:rsidRPr="0029529D" w:rsidRDefault="0029529D" w:rsidP="0029529D">
      <w:pPr>
        <w:spacing w:after="120" w:line="240" w:lineRule="exact"/>
        <w:ind w:left="283" w:hanging="283"/>
        <w:jc w:val="both"/>
        <w:rPr>
          <w:rFonts w:ascii="FrankRuehl" w:hAnsi="FrankRuehl" w:cs="FrankRuehl"/>
        </w:rPr>
      </w:pPr>
      <w:bookmarkStart w:id="2" w:name="Links_Start"/>
      <w:bookmarkEnd w:id="2"/>
      <w:r w:rsidRPr="0029529D">
        <w:rPr>
          <w:rFonts w:ascii="FrankRuehl" w:hAnsi="FrankRuehl" w:cs="FrankRuehl"/>
          <w:rtl/>
        </w:rPr>
        <w:t>ספרות:</w:t>
      </w:r>
    </w:p>
    <w:p w14:paraId="1A6E0833" w14:textId="77777777" w:rsidR="0029529D" w:rsidRPr="0029529D" w:rsidRDefault="0029529D" w:rsidP="0029529D">
      <w:pPr>
        <w:spacing w:after="120" w:line="240" w:lineRule="exact"/>
        <w:ind w:left="283" w:hanging="283"/>
        <w:jc w:val="both"/>
        <w:rPr>
          <w:rStyle w:val="Hyperlink"/>
          <w:rFonts w:ascii="FrankRuehl" w:hAnsi="FrankRuehl" w:cs="FrankRuehl"/>
          <w:u w:val="none"/>
          <w:rtl/>
        </w:rPr>
      </w:pPr>
      <w:r w:rsidRPr="0029529D">
        <w:rPr>
          <w:rFonts w:ascii="FrankRuehl" w:hAnsi="FrankRuehl" w:cs="FrankRuehl"/>
          <w:color w:val="0000FF"/>
          <w:rtl/>
        </w:rPr>
        <w:fldChar w:fldCharType="begin"/>
      </w:r>
      <w:r w:rsidRPr="0029529D">
        <w:rPr>
          <w:rFonts w:ascii="FrankRuehl" w:hAnsi="FrankRuehl" w:cs="FrankRuehl"/>
          <w:color w:val="0000FF"/>
          <w:rtl/>
        </w:rPr>
        <w:instrText xml:space="preserve"> </w:instrText>
      </w:r>
      <w:r w:rsidRPr="0029529D">
        <w:rPr>
          <w:rFonts w:ascii="FrankRuehl" w:hAnsi="FrankRuehl" w:cs="FrankRuehl"/>
          <w:color w:val="0000FF"/>
        </w:rPr>
        <w:instrText xml:space="preserve">HYPERLINK </w:instrText>
      </w:r>
      <w:r w:rsidRPr="0029529D">
        <w:rPr>
          <w:rFonts w:ascii="FrankRuehl" w:hAnsi="FrankRuehl" w:cs="FrankRuehl"/>
          <w:color w:val="0000FF"/>
          <w:rtl/>
        </w:rPr>
        <w:instrText>"</w:instrText>
      </w:r>
      <w:r w:rsidRPr="0029529D">
        <w:rPr>
          <w:rFonts w:ascii="FrankRuehl" w:hAnsi="FrankRuehl" w:cs="FrankRuehl"/>
          <w:color w:val="0000FF"/>
        </w:rPr>
        <w:instrText>http://www.nevo.co.il/safrut/bookgroup/2344"</w:instrText>
      </w:r>
      <w:r w:rsidRPr="0029529D">
        <w:rPr>
          <w:rFonts w:ascii="FrankRuehl" w:hAnsi="FrankRuehl" w:cs="FrankRuehl"/>
          <w:color w:val="0000FF"/>
          <w:rtl/>
        </w:rPr>
        <w:instrText xml:space="preserve"> </w:instrText>
      </w:r>
      <w:r w:rsidRPr="0029529D">
        <w:rPr>
          <w:rFonts w:ascii="FrankRuehl" w:hAnsi="FrankRuehl" w:cs="FrankRuehl"/>
          <w:color w:val="0000FF"/>
          <w:rtl/>
        </w:rPr>
      </w:r>
      <w:r w:rsidRPr="0029529D">
        <w:rPr>
          <w:rFonts w:ascii="FrankRuehl" w:hAnsi="FrankRuehl" w:cs="FrankRuehl"/>
          <w:color w:val="0000FF"/>
          <w:rtl/>
        </w:rPr>
        <w:fldChar w:fldCharType="separate"/>
      </w:r>
      <w:r w:rsidRPr="0029529D">
        <w:rPr>
          <w:rStyle w:val="Hyperlink"/>
          <w:rFonts w:ascii="FrankRuehl" w:hAnsi="FrankRuehl" w:cs="FrankRuehl"/>
          <w:u w:val="none"/>
          <w:rtl/>
        </w:rPr>
        <w:t xml:space="preserve">יעקב קדמי  </w:t>
      </w:r>
      <w:r w:rsidRPr="0029529D">
        <w:rPr>
          <w:rStyle w:val="Hyperlink"/>
          <w:rFonts w:ascii="FrankRuehl" w:hAnsi="FrankRuehl" w:cs="FrankRuehl"/>
          <w:u w:val="none"/>
        </w:rPr>
        <w:t xml:space="preserve"> </w:t>
      </w:r>
      <w:r w:rsidRPr="0029529D">
        <w:rPr>
          <w:rStyle w:val="Hyperlink"/>
          <w:rFonts w:ascii="FrankRuehl" w:hAnsi="FrankRuehl" w:cs="FrankRuehl"/>
          <w:b/>
          <w:bCs/>
          <w:u w:val="none"/>
          <w:rtl/>
        </w:rPr>
        <w:t xml:space="preserve">על סדר הדין בפלילים - חלק ראשון - הליכים שלפני משפ </w:t>
      </w:r>
    </w:p>
    <w:p w14:paraId="0A3D40D5" w14:textId="77777777" w:rsidR="0029529D" w:rsidRDefault="0029529D" w:rsidP="0029529D">
      <w:pPr>
        <w:spacing w:after="120" w:line="240" w:lineRule="exact"/>
        <w:ind w:left="283" w:hanging="283"/>
        <w:jc w:val="both"/>
        <w:rPr>
          <w:color w:val="0000FF"/>
          <w:sz w:val="28"/>
          <w:szCs w:val="28"/>
        </w:rPr>
      </w:pPr>
      <w:r w:rsidRPr="0029529D">
        <w:rPr>
          <w:rFonts w:ascii="FrankRuehl" w:hAnsi="FrankRuehl" w:cs="FrankRuehl"/>
          <w:color w:val="0000FF"/>
          <w:rtl/>
        </w:rPr>
        <w:fldChar w:fldCharType="end"/>
      </w:r>
      <w:bookmarkStart w:id="3" w:name="Links_End"/>
      <w:bookmarkStart w:id="4" w:name="LawTable"/>
      <w:bookmarkEnd w:id="3"/>
      <w:bookmarkEnd w:id="4"/>
    </w:p>
    <w:p w14:paraId="6AECD69C" w14:textId="77777777" w:rsidR="0029529D" w:rsidRPr="0029529D" w:rsidRDefault="0029529D" w:rsidP="0029529D">
      <w:pPr>
        <w:spacing w:before="120" w:after="120" w:line="240" w:lineRule="exact"/>
        <w:ind w:left="283" w:hanging="283"/>
        <w:jc w:val="both"/>
        <w:rPr>
          <w:rFonts w:ascii="FrankRuehl" w:hAnsi="FrankRuehl" w:cs="FrankRuehl"/>
          <w:color w:val="0000FF"/>
        </w:rPr>
      </w:pPr>
    </w:p>
    <w:p w14:paraId="1AF21775" w14:textId="77777777" w:rsidR="0029529D" w:rsidRPr="0029529D" w:rsidRDefault="0029529D" w:rsidP="0029529D">
      <w:pPr>
        <w:spacing w:before="120" w:after="120" w:line="240" w:lineRule="exact"/>
        <w:ind w:left="283" w:hanging="283"/>
        <w:jc w:val="both"/>
        <w:rPr>
          <w:rFonts w:ascii="FrankRuehl" w:hAnsi="FrankRuehl" w:cs="FrankRuehl"/>
          <w:color w:val="0000FF"/>
          <w:rtl/>
        </w:rPr>
      </w:pPr>
    </w:p>
    <w:p w14:paraId="547AB5D9" w14:textId="77777777" w:rsidR="0029529D" w:rsidRPr="0029529D" w:rsidRDefault="0029529D" w:rsidP="0029529D">
      <w:pPr>
        <w:spacing w:before="120" w:after="120" w:line="240" w:lineRule="exact"/>
        <w:ind w:left="283" w:hanging="283"/>
        <w:jc w:val="both"/>
        <w:rPr>
          <w:rFonts w:ascii="FrankRuehl" w:hAnsi="FrankRuehl" w:cs="FrankRuehl"/>
          <w:color w:val="0000FF"/>
        </w:rPr>
      </w:pPr>
      <w:r w:rsidRPr="0029529D">
        <w:rPr>
          <w:rFonts w:ascii="FrankRuehl" w:hAnsi="FrankRuehl" w:cs="FrankRuehl"/>
          <w:color w:val="0000FF"/>
          <w:rtl/>
        </w:rPr>
        <w:t xml:space="preserve">חקיקה שאוזכרה: </w:t>
      </w:r>
    </w:p>
    <w:p w14:paraId="029F3794" w14:textId="77777777" w:rsidR="0029529D" w:rsidRPr="0029529D" w:rsidRDefault="0029529D" w:rsidP="0029529D">
      <w:pPr>
        <w:spacing w:before="120" w:after="120" w:line="240" w:lineRule="exact"/>
        <w:ind w:left="283" w:hanging="283"/>
        <w:jc w:val="both"/>
        <w:rPr>
          <w:rFonts w:ascii="FrankRuehl" w:hAnsi="FrankRuehl" w:cs="FrankRuehl"/>
        </w:rPr>
      </w:pPr>
      <w:hyperlink r:id="rId7" w:history="1">
        <w:r w:rsidRPr="0029529D">
          <w:rPr>
            <w:rFonts w:ascii="FrankRuehl" w:hAnsi="FrankRuehl" w:cs="FrankRuehl"/>
            <w:color w:val="0000FF"/>
            <w:rtl/>
          </w:rPr>
          <w:t>חוק העונשין, תשל"ז-1977</w:t>
        </w:r>
      </w:hyperlink>
      <w:r w:rsidRPr="0029529D">
        <w:rPr>
          <w:rFonts w:ascii="FrankRuehl" w:hAnsi="FrankRuehl" w:cs="FrankRuehl"/>
        </w:rPr>
        <w:t xml:space="preserve">: </w:t>
      </w:r>
      <w:r w:rsidRPr="0029529D">
        <w:rPr>
          <w:rFonts w:ascii="FrankRuehl" w:hAnsi="FrankRuehl" w:cs="FrankRuehl"/>
          <w:rtl/>
        </w:rPr>
        <w:t>סע</w:t>
      </w:r>
      <w:r w:rsidRPr="0029529D">
        <w:rPr>
          <w:rFonts w:ascii="FrankRuehl" w:hAnsi="FrankRuehl" w:cs="FrankRuehl"/>
        </w:rPr>
        <w:t xml:space="preserve">'  </w:t>
      </w:r>
      <w:hyperlink r:id="rId8" w:history="1">
        <w:r w:rsidRPr="0029529D">
          <w:rPr>
            <w:rFonts w:ascii="FrankRuehl" w:hAnsi="FrankRuehl" w:cs="FrankRuehl"/>
            <w:color w:val="0000FF"/>
          </w:rPr>
          <w:t>40</w:t>
        </w:r>
        <w:r w:rsidRPr="0029529D">
          <w:rPr>
            <w:rFonts w:ascii="FrankRuehl" w:hAnsi="FrankRuehl" w:cs="FrankRuehl"/>
            <w:color w:val="0000FF"/>
            <w:rtl/>
          </w:rPr>
          <w:t>ד(א)</w:t>
        </w:r>
      </w:hyperlink>
      <w:r w:rsidRPr="0029529D">
        <w:rPr>
          <w:rFonts w:ascii="FrankRuehl" w:hAnsi="FrankRuehl" w:cs="FrankRuehl"/>
        </w:rPr>
        <w:t xml:space="preserve">, </w:t>
      </w:r>
      <w:hyperlink r:id="rId9" w:history="1">
        <w:r w:rsidRPr="0029529D">
          <w:rPr>
            <w:rFonts w:ascii="FrankRuehl" w:hAnsi="FrankRuehl" w:cs="FrankRuehl"/>
            <w:color w:val="0000FF"/>
          </w:rPr>
          <w:t>144(</w:t>
        </w:r>
        <w:r w:rsidRPr="0029529D">
          <w:rPr>
            <w:rFonts w:ascii="FrankRuehl" w:hAnsi="FrankRuehl" w:cs="FrankRuehl"/>
            <w:color w:val="0000FF"/>
            <w:rtl/>
          </w:rPr>
          <w:t>ב</w:t>
        </w:r>
        <w:r w:rsidRPr="0029529D">
          <w:rPr>
            <w:rFonts w:ascii="FrankRuehl" w:hAnsi="FrankRuehl" w:cs="FrankRuehl"/>
            <w:color w:val="0000FF"/>
          </w:rPr>
          <w:t>)</w:t>
        </w:r>
      </w:hyperlink>
    </w:p>
    <w:p w14:paraId="3123D1E7" w14:textId="77777777" w:rsidR="0029529D" w:rsidRPr="0029529D" w:rsidRDefault="0029529D" w:rsidP="0029529D">
      <w:pPr>
        <w:spacing w:before="120" w:after="120" w:line="240" w:lineRule="exact"/>
        <w:ind w:left="283" w:hanging="283"/>
        <w:jc w:val="both"/>
        <w:rPr>
          <w:rFonts w:ascii="FrankRuehl" w:hAnsi="FrankRuehl" w:cs="FrankRuehl"/>
        </w:rPr>
      </w:pPr>
      <w:hyperlink r:id="rId10" w:history="1">
        <w:r w:rsidRPr="0029529D">
          <w:rPr>
            <w:rFonts w:ascii="FrankRuehl" w:hAnsi="FrankRuehl" w:cs="FrankRuehl"/>
            <w:color w:val="0000FF"/>
            <w:rtl/>
          </w:rPr>
          <w:t>פקודת המבחן [נוסח חדש], תשכ"ט-1969</w:t>
        </w:r>
      </w:hyperlink>
    </w:p>
    <w:p w14:paraId="46385A0B" w14:textId="77777777" w:rsidR="0029529D" w:rsidRPr="0029529D" w:rsidRDefault="0029529D" w:rsidP="0029529D">
      <w:pPr>
        <w:spacing w:before="120" w:after="120" w:line="240" w:lineRule="exact"/>
        <w:ind w:left="283" w:hanging="283"/>
        <w:jc w:val="both"/>
        <w:rPr>
          <w:rFonts w:ascii="FrankRuehl" w:hAnsi="FrankRuehl" w:cs="FrankRuehl"/>
        </w:rPr>
      </w:pPr>
      <w:hyperlink r:id="rId11" w:history="1">
        <w:r w:rsidRPr="0029529D">
          <w:rPr>
            <w:rFonts w:ascii="FrankRuehl" w:hAnsi="FrankRuehl" w:cs="FrankRuehl"/>
            <w:color w:val="0000FF"/>
            <w:rtl/>
          </w:rPr>
          <w:t>פקודת סדר הדין הפלילי (מעצר וחיפוש) [נוסח חדש], תשכ"ט-1969</w:t>
        </w:r>
      </w:hyperlink>
      <w:r w:rsidRPr="0029529D">
        <w:rPr>
          <w:rFonts w:ascii="FrankRuehl" w:hAnsi="FrankRuehl" w:cs="FrankRuehl"/>
        </w:rPr>
        <w:t xml:space="preserve">: </w:t>
      </w:r>
      <w:r w:rsidRPr="0029529D">
        <w:rPr>
          <w:rFonts w:ascii="FrankRuehl" w:hAnsi="FrankRuehl" w:cs="FrankRuehl"/>
          <w:rtl/>
        </w:rPr>
        <w:t>סע</w:t>
      </w:r>
      <w:r w:rsidRPr="0029529D">
        <w:rPr>
          <w:rFonts w:ascii="FrankRuehl" w:hAnsi="FrankRuehl" w:cs="FrankRuehl"/>
        </w:rPr>
        <w:t xml:space="preserve">'  </w:t>
      </w:r>
      <w:hyperlink r:id="rId12" w:history="1">
        <w:r w:rsidRPr="0029529D">
          <w:rPr>
            <w:rFonts w:ascii="FrankRuehl" w:hAnsi="FrankRuehl" w:cs="FrankRuehl"/>
            <w:color w:val="0000FF"/>
          </w:rPr>
          <w:t>32</w:t>
        </w:r>
      </w:hyperlink>
      <w:r w:rsidRPr="0029529D">
        <w:rPr>
          <w:rFonts w:ascii="FrankRuehl" w:hAnsi="FrankRuehl" w:cs="FrankRuehl"/>
        </w:rPr>
        <w:t xml:space="preserve">, </w:t>
      </w:r>
      <w:hyperlink r:id="rId13" w:history="1">
        <w:r w:rsidRPr="0029529D">
          <w:rPr>
            <w:rFonts w:ascii="FrankRuehl" w:hAnsi="FrankRuehl" w:cs="FrankRuehl"/>
            <w:color w:val="0000FF"/>
          </w:rPr>
          <w:t>39</w:t>
        </w:r>
      </w:hyperlink>
    </w:p>
    <w:p w14:paraId="7AE341A4" w14:textId="77777777" w:rsidR="0029529D" w:rsidRPr="0029529D" w:rsidRDefault="0029529D" w:rsidP="0029529D">
      <w:pPr>
        <w:spacing w:after="120" w:line="240" w:lineRule="exact"/>
        <w:ind w:left="283" w:hanging="283"/>
        <w:jc w:val="both"/>
        <w:rPr>
          <w:sz w:val="28"/>
          <w:szCs w:val="28"/>
        </w:rPr>
      </w:pPr>
      <w:bookmarkStart w:id="5" w:name="LawTable_End"/>
      <w:bookmarkEnd w:id="5"/>
    </w:p>
    <w:p w14:paraId="7B5A351F" w14:textId="77777777" w:rsidR="00AF0FB8" w:rsidRPr="0029529D" w:rsidRDefault="00AF0FB8" w:rsidP="0029529D">
      <w:pPr>
        <w:spacing w:after="120" w:line="240" w:lineRule="exact"/>
        <w:ind w:left="283" w:hanging="283"/>
        <w:jc w:val="both"/>
        <w:rPr>
          <w:color w:val="0000FF"/>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0FB8" w:rsidRPr="00370EFB" w14:paraId="7777E506" w14:textId="77777777" w:rsidTr="00AF0FB8">
        <w:trPr>
          <w:trHeight w:val="355"/>
          <w:jc w:val="center"/>
        </w:trPr>
        <w:tc>
          <w:tcPr>
            <w:tcW w:w="8820" w:type="dxa"/>
            <w:tcBorders>
              <w:top w:val="nil"/>
              <w:left w:val="nil"/>
              <w:bottom w:val="nil"/>
              <w:right w:val="nil"/>
            </w:tcBorders>
            <w:shd w:val="clear" w:color="auto" w:fill="auto"/>
          </w:tcPr>
          <w:p w14:paraId="4EB4F2E7" w14:textId="77777777" w:rsidR="00745B4D" w:rsidRPr="00745B4D" w:rsidRDefault="00745B4D" w:rsidP="00745B4D">
            <w:pPr>
              <w:jc w:val="center"/>
              <w:rPr>
                <w:rFonts w:ascii="David" w:hAnsi="David"/>
                <w:b/>
                <w:bCs/>
                <w:sz w:val="28"/>
                <w:szCs w:val="28"/>
                <w:u w:val="single"/>
                <w:rtl/>
              </w:rPr>
            </w:pPr>
            <w:bookmarkStart w:id="6" w:name="PsakDin" w:colFirst="0" w:colLast="0"/>
            <w:bookmarkEnd w:id="0"/>
            <w:r w:rsidRPr="00745B4D">
              <w:rPr>
                <w:rFonts w:ascii="David" w:hAnsi="David"/>
                <w:b/>
                <w:bCs/>
                <w:sz w:val="28"/>
                <w:szCs w:val="28"/>
                <w:u w:val="single"/>
                <w:rtl/>
              </w:rPr>
              <w:t>גזר דין בעניין נאשם 1</w:t>
            </w:r>
          </w:p>
          <w:p w14:paraId="0ED75F83" w14:textId="77777777" w:rsidR="00AF0FB8" w:rsidRPr="00745B4D" w:rsidRDefault="00AF0FB8" w:rsidP="00745B4D">
            <w:pPr>
              <w:jc w:val="center"/>
              <w:rPr>
                <w:rFonts w:ascii="David" w:hAnsi="David"/>
                <w:bCs/>
                <w:sz w:val="28"/>
                <w:szCs w:val="28"/>
                <w:u w:val="single"/>
                <w:rtl/>
              </w:rPr>
            </w:pPr>
          </w:p>
        </w:tc>
      </w:tr>
      <w:bookmarkEnd w:id="6"/>
    </w:tbl>
    <w:p w14:paraId="4D9A1F79" w14:textId="77777777" w:rsidR="00AF0FB8" w:rsidRPr="00370EFB" w:rsidRDefault="00AF0FB8" w:rsidP="00AF0FB8">
      <w:pPr>
        <w:spacing w:line="360" w:lineRule="auto"/>
        <w:jc w:val="both"/>
        <w:rPr>
          <w:rFonts w:ascii="Arial" w:hAnsi="Arial"/>
          <w:b/>
          <w:bCs/>
          <w:sz w:val="28"/>
          <w:szCs w:val="28"/>
          <w:rtl/>
        </w:rPr>
      </w:pPr>
    </w:p>
    <w:p w14:paraId="2CB64E62" w14:textId="77777777" w:rsidR="00AF0FB8" w:rsidRPr="00F91752" w:rsidRDefault="00AF0FB8" w:rsidP="00AF0FB8">
      <w:pPr>
        <w:pStyle w:val="a9"/>
        <w:numPr>
          <w:ilvl w:val="0"/>
          <w:numId w:val="1"/>
        </w:numPr>
        <w:spacing w:line="360" w:lineRule="auto"/>
        <w:jc w:val="both"/>
        <w:rPr>
          <w:rFonts w:ascii="Arial" w:hAnsi="Arial"/>
        </w:rPr>
      </w:pPr>
      <w:r w:rsidRPr="00F91752">
        <w:rPr>
          <w:rFonts w:ascii="Arial" w:hAnsi="Arial" w:hint="cs"/>
          <w:b/>
          <w:bCs/>
          <w:u w:val="single"/>
          <w:rtl/>
        </w:rPr>
        <w:t>העבירה בה הורשע הנאשם</w:t>
      </w:r>
    </w:p>
    <w:p w14:paraId="68E9CEE1" w14:textId="77777777" w:rsidR="00AF0FB8" w:rsidRPr="00F91752" w:rsidRDefault="00AF0FB8" w:rsidP="00AF0FB8">
      <w:pPr>
        <w:pStyle w:val="a9"/>
        <w:spacing w:line="360" w:lineRule="auto"/>
        <w:jc w:val="both"/>
        <w:rPr>
          <w:rFonts w:ascii="Arial" w:hAnsi="Arial"/>
          <w:rtl/>
        </w:rPr>
      </w:pPr>
      <w:bookmarkStart w:id="7" w:name="ABSTRACT_START"/>
      <w:bookmarkEnd w:id="7"/>
      <w:r w:rsidRPr="00F91752">
        <w:rPr>
          <w:rFonts w:ascii="Arial" w:hAnsi="Arial" w:hint="cs"/>
          <w:rtl/>
        </w:rPr>
        <w:t>נאשם 1 (להלן: "</w:t>
      </w:r>
      <w:r w:rsidRPr="00F91752">
        <w:rPr>
          <w:rFonts w:ascii="Arial" w:hAnsi="Arial" w:hint="cs"/>
          <w:b/>
          <w:bCs/>
          <w:rtl/>
        </w:rPr>
        <w:t>הנאשם</w:t>
      </w:r>
      <w:r w:rsidRPr="00F91752">
        <w:rPr>
          <w:rFonts w:ascii="Arial" w:hAnsi="Arial" w:hint="cs"/>
          <w:rtl/>
        </w:rPr>
        <w:t>"),</w:t>
      </w:r>
      <w:r>
        <w:rPr>
          <w:rFonts w:ascii="Arial" w:hAnsi="Arial" w:hint="cs"/>
          <w:rtl/>
        </w:rPr>
        <w:t xml:space="preserve"> </w:t>
      </w:r>
      <w:r w:rsidRPr="00F91752">
        <w:rPr>
          <w:rFonts w:ascii="Arial" w:hAnsi="Arial" w:hint="cs"/>
          <w:rtl/>
        </w:rPr>
        <w:t>הורשע על יסוד הודאתו בעובדות כתב אישום מתוקן</w:t>
      </w:r>
      <w:r>
        <w:rPr>
          <w:rFonts w:ascii="Arial" w:hAnsi="Arial" w:hint="cs"/>
          <w:rtl/>
        </w:rPr>
        <w:t>, במסגרת הסדר טיעון פתוח,</w:t>
      </w:r>
      <w:r w:rsidRPr="00F91752">
        <w:rPr>
          <w:rFonts w:ascii="Arial" w:hAnsi="Arial" w:hint="cs"/>
          <w:rtl/>
        </w:rPr>
        <w:t xml:space="preserve"> בביצוע עבירה של נשיאת נשק </w:t>
      </w:r>
      <w:r w:rsidRPr="00F91752">
        <w:rPr>
          <w:rFonts w:ascii="Arial" w:hAnsi="Arial"/>
          <w:rtl/>
        </w:rPr>
        <w:t>–</w:t>
      </w:r>
      <w:r w:rsidRPr="00F91752">
        <w:rPr>
          <w:rFonts w:ascii="Arial" w:hAnsi="Arial" w:hint="cs"/>
          <w:rtl/>
        </w:rPr>
        <w:t xml:space="preserve"> עבירה לפי </w:t>
      </w:r>
      <w:hyperlink r:id="rId14" w:history="1">
        <w:r w:rsidR="00053AE9" w:rsidRPr="00053AE9">
          <w:rPr>
            <w:rStyle w:val="Hyperlink"/>
            <w:rFonts w:ascii="Arial" w:hAnsi="Arial" w:hint="eastAsia"/>
            <w:rtl/>
          </w:rPr>
          <w:t>סעיף</w:t>
        </w:r>
        <w:r w:rsidR="00053AE9" w:rsidRPr="00053AE9">
          <w:rPr>
            <w:rStyle w:val="Hyperlink"/>
            <w:rFonts w:ascii="Arial" w:hAnsi="Arial"/>
            <w:rtl/>
          </w:rPr>
          <w:t xml:space="preserve"> 144(ב)</w:t>
        </w:r>
      </w:hyperlink>
      <w:r w:rsidRPr="00F91752">
        <w:rPr>
          <w:rFonts w:ascii="Arial" w:hAnsi="Arial" w:hint="cs"/>
          <w:rtl/>
        </w:rPr>
        <w:t xml:space="preserve"> רישא ל</w:t>
      </w:r>
      <w:hyperlink r:id="rId15" w:history="1">
        <w:r w:rsidR="00745B4D" w:rsidRPr="00745B4D">
          <w:rPr>
            <w:rFonts w:ascii="Arial" w:hAnsi="Arial"/>
            <w:color w:val="0000FF"/>
            <w:u w:val="single"/>
            <w:rtl/>
          </w:rPr>
          <w:t>חוק העונשין</w:t>
        </w:r>
      </w:hyperlink>
      <w:r w:rsidRPr="00F91752">
        <w:rPr>
          <w:rFonts w:ascii="Arial" w:hAnsi="Arial" w:hint="cs"/>
          <w:rtl/>
        </w:rPr>
        <w:t xml:space="preserve">, תשל"ז-1977. אחיו של הנאשם </w:t>
      </w:r>
      <w:r w:rsidRPr="00F91752">
        <w:rPr>
          <w:rFonts w:ascii="Arial" w:hAnsi="Arial"/>
          <w:rtl/>
        </w:rPr>
        <w:t>–</w:t>
      </w:r>
      <w:r w:rsidRPr="00F91752">
        <w:rPr>
          <w:rFonts w:ascii="Arial" w:hAnsi="Arial" w:hint="cs"/>
          <w:rtl/>
        </w:rPr>
        <w:t xml:space="preserve"> נאשם 2 </w:t>
      </w:r>
      <w:r w:rsidRPr="00F91752">
        <w:rPr>
          <w:rFonts w:ascii="Arial" w:hAnsi="Arial"/>
          <w:rtl/>
        </w:rPr>
        <w:t>–</w:t>
      </w:r>
      <w:r w:rsidRPr="00F91752">
        <w:rPr>
          <w:rFonts w:ascii="Arial" w:hAnsi="Arial" w:hint="cs"/>
          <w:rtl/>
        </w:rPr>
        <w:t xml:space="preserve"> הורשע על יסוד הודאתו בעובדות כתב האישום המתוקן</w:t>
      </w:r>
      <w:r>
        <w:rPr>
          <w:rFonts w:ascii="Arial" w:hAnsi="Arial" w:hint="cs"/>
          <w:rtl/>
        </w:rPr>
        <w:t xml:space="preserve">, במסגרת הסדר טיעון סגור, בביצוע </w:t>
      </w:r>
      <w:r w:rsidRPr="00F91752">
        <w:rPr>
          <w:rFonts w:ascii="Arial" w:hAnsi="Arial" w:hint="cs"/>
          <w:rtl/>
        </w:rPr>
        <w:t>עבירה של סיוע להחזקת נשק</w:t>
      </w:r>
      <w:r>
        <w:rPr>
          <w:rFonts w:ascii="Arial" w:hAnsi="Arial" w:hint="cs"/>
          <w:rtl/>
        </w:rPr>
        <w:t>,</w:t>
      </w:r>
      <w:r w:rsidRPr="00F91752">
        <w:rPr>
          <w:rFonts w:ascii="Arial" w:hAnsi="Arial" w:hint="cs"/>
          <w:rtl/>
        </w:rPr>
        <w:t xml:space="preserve"> </w:t>
      </w:r>
      <w:r w:rsidRPr="00F91752">
        <w:rPr>
          <w:rFonts w:ascii="Arial" w:hAnsi="Arial" w:hint="cs"/>
          <w:rtl/>
        </w:rPr>
        <w:lastRenderedPageBreak/>
        <w:t>ו</w:t>
      </w:r>
      <w:r>
        <w:rPr>
          <w:rFonts w:ascii="Arial" w:hAnsi="Arial" w:hint="cs"/>
          <w:rtl/>
        </w:rPr>
        <w:t>בהמשך לעתירתם המשותפת של שני</w:t>
      </w:r>
      <w:r w:rsidRPr="00F91752">
        <w:rPr>
          <w:rFonts w:ascii="Arial" w:hAnsi="Arial" w:hint="cs"/>
          <w:rtl/>
        </w:rPr>
        <w:t xml:space="preserve"> הצדדים נגזר עליו עונש של מאסר על תנאי, זאת בין היתר על רקע העובדה שהוא סובל מנכות בשיעור של 100%. </w:t>
      </w:r>
    </w:p>
    <w:p w14:paraId="6CB2804D" w14:textId="77777777" w:rsidR="00AF0FB8" w:rsidRPr="00F91752" w:rsidRDefault="00AF0FB8" w:rsidP="00AF0FB8">
      <w:pPr>
        <w:pStyle w:val="a9"/>
        <w:spacing w:line="360" w:lineRule="auto"/>
        <w:jc w:val="both"/>
        <w:rPr>
          <w:rFonts w:ascii="Arial" w:hAnsi="Arial"/>
          <w:rtl/>
        </w:rPr>
      </w:pPr>
      <w:bookmarkStart w:id="8" w:name="ABSTRACT_END"/>
      <w:bookmarkEnd w:id="8"/>
    </w:p>
    <w:p w14:paraId="16F0FFC3" w14:textId="77777777" w:rsidR="00AF0FB8" w:rsidRPr="00444CB0" w:rsidRDefault="00AF0FB8" w:rsidP="00AF0FB8">
      <w:pPr>
        <w:pStyle w:val="a9"/>
        <w:numPr>
          <w:ilvl w:val="0"/>
          <w:numId w:val="1"/>
        </w:numPr>
        <w:spacing w:line="360" w:lineRule="auto"/>
        <w:jc w:val="both"/>
        <w:rPr>
          <w:rFonts w:ascii="Arial" w:hAnsi="Arial"/>
          <w:rtl/>
        </w:rPr>
      </w:pPr>
      <w:r w:rsidRPr="00444CB0">
        <w:rPr>
          <w:rFonts w:ascii="Arial" w:hAnsi="Arial" w:hint="cs"/>
          <w:rtl/>
        </w:rPr>
        <w:t>על-פי כתב האישום המתוקן,</w:t>
      </w:r>
      <w:r>
        <w:rPr>
          <w:rFonts w:ascii="Arial" w:hAnsi="Arial" w:hint="cs"/>
          <w:rtl/>
        </w:rPr>
        <w:t xml:space="preserve"> ביום 26.10.21 בסמוך לשעה 17:45, </w:t>
      </w:r>
      <w:r w:rsidRPr="00444CB0">
        <w:rPr>
          <w:rFonts w:ascii="Arial" w:hAnsi="Arial" w:hint="cs"/>
          <w:rtl/>
        </w:rPr>
        <w:t>נסעו שני הנאשמים ברכב השייך לנאשם, זאת על כביש 417 בכיוון עזריה. במועד האמור הוביל הנאשם ברכ</w:t>
      </w:r>
      <w:r>
        <w:rPr>
          <w:rFonts w:ascii="Arial" w:hAnsi="Arial" w:hint="cs"/>
          <w:rtl/>
        </w:rPr>
        <w:t>בו נשק דמוי רובה סער מסוג אם-16</w:t>
      </w:r>
      <w:r w:rsidRPr="00444CB0">
        <w:rPr>
          <w:rFonts w:ascii="Arial" w:hAnsi="Arial" w:hint="cs"/>
          <w:rtl/>
        </w:rPr>
        <w:t xml:space="preserve"> אשר הוסב לירי ובכוחו להמית, שתי מחסניות תואמות שבחלקן מספר כדורים, חמש חבילות סגורות של כדורי אם-16 צה"ליים, וקופסא אחת פתוחה שבה היו 29 כדורי אם-16. את הנשק קיבל הנאשם מאחר סמוך להובלתו, זאת במטרה לירות באמצעות</w:t>
      </w:r>
      <w:r>
        <w:rPr>
          <w:rFonts w:ascii="Arial" w:hAnsi="Arial" w:hint="cs"/>
          <w:rtl/>
        </w:rPr>
        <w:t xml:space="preserve">ו </w:t>
      </w:r>
      <w:r w:rsidRPr="00444CB0">
        <w:rPr>
          <w:rFonts w:ascii="Arial" w:hAnsi="Arial" w:hint="cs"/>
          <w:rtl/>
        </w:rPr>
        <w:t xml:space="preserve">בחתונת אחיו שעתידה הייתה להתקיים באותו ערב. כאמור, בגין מעשים אלו הורשע הנאשם בעבירה של נשיאת נשק. </w:t>
      </w:r>
    </w:p>
    <w:p w14:paraId="3690A3FF" w14:textId="77777777" w:rsidR="00AF0FB8" w:rsidRPr="00F91752" w:rsidRDefault="00AF0FB8" w:rsidP="00AF0FB8">
      <w:pPr>
        <w:spacing w:line="360" w:lineRule="auto"/>
        <w:jc w:val="both"/>
        <w:rPr>
          <w:rFonts w:ascii="Arial" w:hAnsi="Arial"/>
        </w:rPr>
      </w:pPr>
    </w:p>
    <w:p w14:paraId="65F04467" w14:textId="77777777" w:rsidR="00AF0FB8" w:rsidRPr="00F91752" w:rsidRDefault="00AF0FB8" w:rsidP="00AF0FB8">
      <w:pPr>
        <w:pStyle w:val="a9"/>
        <w:numPr>
          <w:ilvl w:val="0"/>
          <w:numId w:val="2"/>
        </w:numPr>
        <w:spacing w:line="360" w:lineRule="auto"/>
        <w:jc w:val="both"/>
        <w:rPr>
          <w:rFonts w:ascii="Arial" w:hAnsi="Arial"/>
        </w:rPr>
      </w:pPr>
      <w:r w:rsidRPr="00F91752">
        <w:rPr>
          <w:rFonts w:ascii="Arial" w:hAnsi="Arial" w:hint="cs"/>
          <w:b/>
          <w:bCs/>
          <w:u w:val="single"/>
          <w:rtl/>
        </w:rPr>
        <w:t>תסקיר שירות המבחן</w:t>
      </w:r>
    </w:p>
    <w:p w14:paraId="4D7D0A4B" w14:textId="77777777" w:rsidR="00AF0FB8" w:rsidRDefault="00AF0FB8" w:rsidP="00AF0FB8">
      <w:pPr>
        <w:pStyle w:val="a9"/>
        <w:spacing w:line="360" w:lineRule="auto"/>
        <w:jc w:val="both"/>
        <w:rPr>
          <w:rFonts w:ascii="Arial" w:hAnsi="Arial"/>
          <w:rtl/>
        </w:rPr>
      </w:pPr>
      <w:r w:rsidRPr="00F91752">
        <w:rPr>
          <w:rFonts w:ascii="Arial" w:hAnsi="Arial" w:hint="cs"/>
          <w:rtl/>
        </w:rPr>
        <w:t>להלן יובאו עיקרי תסקיר שירות המבחן שנערך בעניינו של הנאשם.</w:t>
      </w:r>
    </w:p>
    <w:p w14:paraId="5100C825"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הנאשם יליד 5.5.1993, בן 28 בעת ביצוע העבירה, רווק, מתגורר בבית הוריו, הוא איננו עובד ומתקיים מקצבת נכות.  מגיל צעיר סבל הנאשם מבעיות רפואיות </w:t>
      </w:r>
      <w:r>
        <w:rPr>
          <w:rFonts w:ascii="Arial" w:hAnsi="Arial" w:hint="cs"/>
          <w:rtl/>
        </w:rPr>
        <w:t xml:space="preserve">קשות </w:t>
      </w:r>
      <w:r w:rsidRPr="00F91752">
        <w:rPr>
          <w:rFonts w:ascii="Arial" w:hAnsi="Arial" w:hint="cs"/>
          <w:rtl/>
        </w:rPr>
        <w:t xml:space="preserve">על רקע עודף משקל קיצוני. מבלי להיכנס לפרטים </w:t>
      </w:r>
      <w:r>
        <w:rPr>
          <w:rFonts w:ascii="Arial" w:hAnsi="Arial" w:hint="cs"/>
          <w:rtl/>
        </w:rPr>
        <w:t>נציין</w:t>
      </w:r>
      <w:r w:rsidRPr="00F91752">
        <w:rPr>
          <w:rFonts w:ascii="Arial" w:hAnsi="Arial" w:hint="cs"/>
          <w:rtl/>
        </w:rPr>
        <w:t xml:space="preserve">, כי </w:t>
      </w:r>
      <w:r>
        <w:rPr>
          <w:rFonts w:ascii="Arial" w:hAnsi="Arial" w:hint="cs"/>
          <w:rtl/>
        </w:rPr>
        <w:t xml:space="preserve">בצעירותו </w:t>
      </w:r>
      <w:r w:rsidRPr="00F91752">
        <w:rPr>
          <w:rFonts w:ascii="Arial" w:hAnsi="Arial" w:hint="cs"/>
          <w:rtl/>
        </w:rPr>
        <w:t xml:space="preserve">הנאשם טופל במשך מספר שנים בבית חולים ובעקבות כך הוא נעדר לחלוטין ממערכת החינוך במשך 3 שנים. במהלך הטיפולים עבר הנאשם ניתוחים רבים. </w:t>
      </w:r>
      <w:r>
        <w:rPr>
          <w:rFonts w:ascii="Arial" w:hAnsi="Arial" w:hint="cs"/>
          <w:rtl/>
        </w:rPr>
        <w:t xml:space="preserve">עקב מצבו הפיסי </w:t>
      </w:r>
      <w:r w:rsidRPr="00F91752">
        <w:rPr>
          <w:rFonts w:ascii="Arial" w:hAnsi="Arial" w:hint="cs"/>
          <w:rtl/>
        </w:rPr>
        <w:t xml:space="preserve">הנאשם סבל </w:t>
      </w:r>
      <w:r>
        <w:rPr>
          <w:rFonts w:ascii="Arial" w:hAnsi="Arial" w:hint="cs"/>
          <w:rtl/>
        </w:rPr>
        <w:t xml:space="preserve">וסובל </w:t>
      </w:r>
      <w:r w:rsidRPr="00F91752">
        <w:rPr>
          <w:rFonts w:ascii="Arial" w:hAnsi="Arial" w:hint="cs"/>
          <w:rtl/>
        </w:rPr>
        <w:t xml:space="preserve">גם מבעיות נפשיות </w:t>
      </w:r>
      <w:r>
        <w:rPr>
          <w:rFonts w:ascii="Arial" w:hAnsi="Arial" w:hint="cs"/>
          <w:rtl/>
        </w:rPr>
        <w:t xml:space="preserve">משמעותיות </w:t>
      </w:r>
      <w:r w:rsidRPr="00F91752">
        <w:rPr>
          <w:rFonts w:ascii="Arial" w:hAnsi="Arial" w:hint="cs"/>
          <w:rtl/>
        </w:rPr>
        <w:t xml:space="preserve">כמתואר בתסקיר. </w:t>
      </w:r>
      <w:r>
        <w:rPr>
          <w:rFonts w:ascii="Arial" w:hAnsi="Arial" w:hint="cs"/>
          <w:rtl/>
        </w:rPr>
        <w:t>לעת הזו נ</w:t>
      </w:r>
      <w:r w:rsidRPr="00F91752">
        <w:rPr>
          <w:rFonts w:ascii="Arial" w:hAnsi="Arial" w:hint="cs"/>
          <w:rtl/>
        </w:rPr>
        <w:t xml:space="preserve">מצא הנאשם תחת מעקב רפואי רציף בבתי חולים לאורך ימות השבוע, כולל פרוצדורה רפואית פולשנית לה הוא נזקק </w:t>
      </w:r>
      <w:r>
        <w:rPr>
          <w:rFonts w:ascii="Arial" w:hAnsi="Arial" w:hint="cs"/>
          <w:rtl/>
        </w:rPr>
        <w:t>אחת ל</w:t>
      </w:r>
      <w:r w:rsidRPr="00F91752">
        <w:rPr>
          <w:rFonts w:ascii="Arial" w:hAnsi="Arial" w:hint="cs"/>
          <w:rtl/>
        </w:rPr>
        <w:t xml:space="preserve">חודש. </w:t>
      </w:r>
      <w:r>
        <w:rPr>
          <w:rFonts w:ascii="Arial" w:hAnsi="Arial" w:hint="cs"/>
          <w:rtl/>
        </w:rPr>
        <w:t xml:space="preserve">מעבר לכך </w:t>
      </w:r>
      <w:r w:rsidRPr="00F91752">
        <w:rPr>
          <w:rFonts w:ascii="Arial" w:hAnsi="Arial" w:hint="cs"/>
          <w:rtl/>
        </w:rPr>
        <w:t>הנאשם גם מטופל באופן שוטף על-ידי בני משפחתו. מצבו הרפואי והנפשי של הנאשם השפיע עליו בכל מישורי חייו כאמור בתסקיר. שירות המבחן מציין גם תקופות בהם צרך הנאשם קנאביס רפואי בא</w:t>
      </w:r>
      <w:r>
        <w:rPr>
          <w:rFonts w:ascii="Arial" w:hAnsi="Arial" w:hint="cs"/>
          <w:rtl/>
        </w:rPr>
        <w:t>ישור, תרופות נגד כאבים ואלכוהול. חרף זאת,</w:t>
      </w:r>
      <w:r w:rsidRPr="00F91752">
        <w:rPr>
          <w:rFonts w:ascii="Arial" w:hAnsi="Arial" w:hint="cs"/>
          <w:rtl/>
        </w:rPr>
        <w:t xml:space="preserve"> כיום הנאשם לא מבטא נזקקות טיפולית בתחום ההתמכרות. </w:t>
      </w:r>
    </w:p>
    <w:p w14:paraId="260B18AC"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לנאשם אין הרשעות קודמות. </w:t>
      </w:r>
    </w:p>
    <w:p w14:paraId="12BE412C"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הנאשם מסר בשיחתו עם שירות המבחן</w:t>
      </w:r>
      <w:r>
        <w:rPr>
          <w:rFonts w:ascii="Arial" w:hAnsi="Arial" w:hint="cs"/>
          <w:rtl/>
        </w:rPr>
        <w:t>,</w:t>
      </w:r>
      <w:r w:rsidRPr="00F91752">
        <w:rPr>
          <w:rFonts w:ascii="Arial" w:hAnsi="Arial" w:hint="cs"/>
          <w:rtl/>
        </w:rPr>
        <w:t xml:space="preserve"> כי הוא </w:t>
      </w:r>
      <w:r>
        <w:rPr>
          <w:rFonts w:ascii="Arial" w:hAnsi="Arial" w:hint="cs"/>
          <w:rtl/>
        </w:rPr>
        <w:t>שכ</w:t>
      </w:r>
      <w:r w:rsidRPr="00F91752">
        <w:rPr>
          <w:rFonts w:ascii="Arial" w:hAnsi="Arial" w:hint="cs"/>
          <w:rtl/>
        </w:rPr>
        <w:t xml:space="preserve">ר את הנשק כדי לירות באמצעותו בחתונת אחיו, זאת </w:t>
      </w:r>
      <w:r>
        <w:rPr>
          <w:rFonts w:ascii="Arial" w:hAnsi="Arial" w:hint="cs"/>
          <w:rtl/>
        </w:rPr>
        <w:t>מתוך רצון שלו לפצות את משפחתו על העצב שהוא</w:t>
      </w:r>
      <w:r w:rsidRPr="00F91752">
        <w:rPr>
          <w:rFonts w:ascii="Arial" w:hAnsi="Arial" w:hint="cs"/>
          <w:rtl/>
        </w:rPr>
        <w:t xml:space="preserve"> גרם לה במהלך השנים. הנאשם ה</w:t>
      </w:r>
      <w:r>
        <w:rPr>
          <w:rFonts w:ascii="Arial" w:hAnsi="Arial" w:hint="cs"/>
          <w:rtl/>
        </w:rPr>
        <w:t>סביר</w:t>
      </w:r>
      <w:r w:rsidRPr="00F91752">
        <w:rPr>
          <w:rFonts w:ascii="Arial" w:hAnsi="Arial" w:hint="cs"/>
          <w:rtl/>
        </w:rPr>
        <w:t xml:space="preserve"> שהוא רצה להגביר את השמחה באירוע באמצעות ירי, דבר שמקובל בסביבתו התרבותית, וכי הוא לא נתן דעתו לסיכון הכרוך בכך. הנאשם ציין בפני שירות המבחן</w:t>
      </w:r>
      <w:r>
        <w:rPr>
          <w:rFonts w:ascii="Arial" w:hAnsi="Arial" w:hint="cs"/>
          <w:rtl/>
        </w:rPr>
        <w:t>,</w:t>
      </w:r>
      <w:r w:rsidRPr="00F91752">
        <w:rPr>
          <w:rFonts w:ascii="Arial" w:hAnsi="Arial" w:hint="cs"/>
          <w:rtl/>
        </w:rPr>
        <w:t xml:space="preserve"> כי בדיעבד הוא מבין שנהג בטיפשות וכי מעשהו היה עלול לגרום לנזק. </w:t>
      </w:r>
    </w:p>
    <w:p w14:paraId="27D701CA"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שירות המבחן התרשם שמדובר בנאשם אשר על רקע קשייו הנפשיים והרפואיים הממושכים, מתמודד עם בדידות, סדר יום דל, תחושת החמצה והיעדר מימוש. שירות המבחן גם התרשם מקושי של הנאשם לקיים שיחה שוטפת וקוהרנטית, דבר המעלה את האפשרות של הנמכה קוגניטיבית מסוימת. שירות המבחן התרשם כי על רקע קשייו של הנאשם הוא עשוי לפעול לעיתים בצורה אימפולסיבית ובחוסר שיקול דעת, כאשר ברקע יש </w:t>
      </w:r>
      <w:r w:rsidRPr="00F91752">
        <w:rPr>
          <w:rFonts w:ascii="Arial" w:hAnsi="Arial" w:hint="cs"/>
          <w:rtl/>
        </w:rPr>
        <w:lastRenderedPageBreak/>
        <w:t>להביא בחשבון גם שימוש בסמים ובחומרים משני תודעה. יחד עם זאת</w:t>
      </w:r>
      <w:r>
        <w:rPr>
          <w:rFonts w:ascii="Arial" w:hAnsi="Arial" w:hint="cs"/>
          <w:rtl/>
        </w:rPr>
        <w:t>,</w:t>
      </w:r>
      <w:r w:rsidRPr="00F91752">
        <w:rPr>
          <w:rFonts w:ascii="Arial" w:hAnsi="Arial" w:hint="cs"/>
          <w:rtl/>
        </w:rPr>
        <w:t xml:space="preserve"> שירות המבחן התרשם שחרטתו של הנאשם וקבלת האחריות על מעשיו כנות, וכי ההליך הפלילי מהווה עבור הנאשם גורם מרתיע ומציב גבול. לנוכח התרשמות שירות המבחן לפיה לא מדובר בנאשם המתאפיין בדפוסי התנהגות עבריינית, וכי בשל מצבו הרפואי והנפשי יתקשה הנאשם לשאת בעונש של מאסר בפועל או אפילו בעונש של עבודות שירות או של"צ, </w:t>
      </w:r>
      <w:r>
        <w:rPr>
          <w:rFonts w:ascii="Arial" w:hAnsi="Arial" w:hint="cs"/>
          <w:rtl/>
        </w:rPr>
        <w:t>ה</w:t>
      </w:r>
      <w:r w:rsidRPr="00F91752">
        <w:rPr>
          <w:rFonts w:ascii="Arial" w:hAnsi="Arial" w:hint="cs"/>
          <w:rtl/>
        </w:rPr>
        <w:t xml:space="preserve">מליץ שירות המבחן לגזור על הנאשם עונשים מותנים שיהיה בהם כדי להרתיע אותו. שירות המבחן הדגיש במפורש כי לטעמו עונש מאסר בפועל יהווה גורם רגרסיבי עבור הנאשם. </w:t>
      </w:r>
    </w:p>
    <w:p w14:paraId="7E6C5CD3" w14:textId="77777777" w:rsidR="00AF0FB8" w:rsidRPr="00F91752" w:rsidRDefault="00AF0FB8" w:rsidP="00AF0FB8">
      <w:pPr>
        <w:pStyle w:val="a9"/>
        <w:spacing w:line="360" w:lineRule="auto"/>
        <w:jc w:val="both"/>
        <w:rPr>
          <w:rFonts w:ascii="Arial" w:hAnsi="Arial"/>
          <w:rtl/>
        </w:rPr>
      </w:pPr>
    </w:p>
    <w:p w14:paraId="1E31FE92" w14:textId="77777777" w:rsidR="00AF0FB8" w:rsidRPr="00F91752" w:rsidRDefault="00AF0FB8" w:rsidP="00AF0FB8">
      <w:pPr>
        <w:pStyle w:val="a9"/>
        <w:numPr>
          <w:ilvl w:val="0"/>
          <w:numId w:val="2"/>
        </w:numPr>
        <w:spacing w:line="360" w:lineRule="auto"/>
        <w:jc w:val="both"/>
        <w:rPr>
          <w:rFonts w:ascii="Arial" w:hAnsi="Arial"/>
          <w:b/>
          <w:bCs/>
          <w:u w:val="single"/>
        </w:rPr>
      </w:pPr>
      <w:r w:rsidRPr="00F91752">
        <w:rPr>
          <w:rFonts w:ascii="Arial" w:hAnsi="Arial" w:hint="cs"/>
          <w:b/>
          <w:bCs/>
          <w:u w:val="single"/>
          <w:rtl/>
        </w:rPr>
        <w:t>טיעוני המאשימה לעונש</w:t>
      </w:r>
    </w:p>
    <w:p w14:paraId="7EFFDA83"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ב"כ המאשימה הדגיש בטיעוניו את החומרה הרבה שנודעת לעבירות הנשק. ב"כ המאשימה טען כי יש להביא בחשבון לחומרה את העובדה שהנשק אותו נשא </w:t>
      </w:r>
      <w:r>
        <w:rPr>
          <w:rFonts w:ascii="Arial" w:hAnsi="Arial" w:hint="cs"/>
          <w:rtl/>
        </w:rPr>
        <w:t>הנאשם</w:t>
      </w:r>
      <w:r w:rsidRPr="00F91752">
        <w:rPr>
          <w:rFonts w:ascii="Arial" w:hAnsi="Arial" w:hint="cs"/>
          <w:rtl/>
        </w:rPr>
        <w:t xml:space="preserve"> הוא נשק</w:t>
      </w:r>
      <w:r>
        <w:rPr>
          <w:rFonts w:ascii="Arial" w:hAnsi="Arial" w:hint="cs"/>
          <w:rtl/>
        </w:rPr>
        <w:t xml:space="preserve"> ארוך והתקפי </w:t>
      </w:r>
      <w:r w:rsidRPr="00F91752">
        <w:rPr>
          <w:rFonts w:ascii="Arial" w:hAnsi="Arial" w:hint="cs"/>
          <w:rtl/>
        </w:rPr>
        <w:t>דמוי רובה סער אם-16. ב"כ המאשימה טען כי העובדה שמדובר בנשק מוסב לא אמורה לשמש שיקול לקול</w:t>
      </w:r>
      <w:r>
        <w:rPr>
          <w:rFonts w:ascii="Arial" w:hAnsi="Arial" w:hint="cs"/>
          <w:rtl/>
        </w:rPr>
        <w:t>א</w:t>
      </w:r>
      <w:r w:rsidRPr="00F91752">
        <w:rPr>
          <w:rFonts w:ascii="Arial" w:hAnsi="Arial" w:hint="cs"/>
          <w:rtl/>
        </w:rPr>
        <w:t xml:space="preserve"> </w:t>
      </w:r>
      <w:r>
        <w:rPr>
          <w:rFonts w:ascii="Arial" w:hAnsi="Arial" w:hint="cs"/>
          <w:rtl/>
        </w:rPr>
        <w:t>כיוון</w:t>
      </w:r>
      <w:r w:rsidRPr="00F91752">
        <w:rPr>
          <w:rFonts w:ascii="Arial" w:hAnsi="Arial" w:hint="cs"/>
          <w:rtl/>
        </w:rPr>
        <w:t xml:space="preserve"> </w:t>
      </w:r>
      <w:r>
        <w:rPr>
          <w:rFonts w:ascii="Arial" w:hAnsi="Arial" w:hint="cs"/>
          <w:rtl/>
        </w:rPr>
        <w:t>ש</w:t>
      </w:r>
      <w:r w:rsidRPr="00F91752">
        <w:rPr>
          <w:rFonts w:ascii="Arial" w:hAnsi="Arial" w:hint="cs"/>
          <w:rtl/>
        </w:rPr>
        <w:t xml:space="preserve">אין חולק על כך שלאחר הסבת הנשק הוא יכול היה להמית אדם. ב"כ המאשימה הסכים כי במסגרת קביעת המתחם </w:t>
      </w:r>
      <w:r>
        <w:rPr>
          <w:rFonts w:ascii="Arial" w:hAnsi="Arial" w:hint="cs"/>
          <w:rtl/>
        </w:rPr>
        <w:t>ראוי</w:t>
      </w:r>
      <w:r w:rsidRPr="00F91752">
        <w:rPr>
          <w:rFonts w:ascii="Arial" w:hAnsi="Arial" w:hint="cs"/>
          <w:rtl/>
        </w:rPr>
        <w:t xml:space="preserve"> להביא בחשבון לקולא את העובדה שנשיאת הנשק הייתה למשך זמן קצר יחסית. ב"כ המאשימה טען שמדובר במעשה מתוכנן</w:t>
      </w:r>
      <w:r>
        <w:rPr>
          <w:rFonts w:ascii="Arial" w:hAnsi="Arial" w:hint="cs"/>
          <w:rtl/>
        </w:rPr>
        <w:t>,</w:t>
      </w:r>
      <w:r w:rsidRPr="00F91752">
        <w:rPr>
          <w:rFonts w:ascii="Arial" w:hAnsi="Arial" w:hint="cs"/>
          <w:rtl/>
        </w:rPr>
        <w:t xml:space="preserve"> זאת מבלי לגרוע מכך שכוונתו של הנאשם הייתה לירות בחתונה ולא לפגוע באדם כלשהו. </w:t>
      </w:r>
    </w:p>
    <w:p w14:paraId="386ECBA0"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במסגרת הנסיבות שאינן קשורות בביצוע העבירה טען ב"כ המאשימה</w:t>
      </w:r>
      <w:r>
        <w:rPr>
          <w:rFonts w:ascii="Arial" w:hAnsi="Arial" w:hint="cs"/>
          <w:rtl/>
        </w:rPr>
        <w:t>,</w:t>
      </w:r>
      <w:r w:rsidRPr="00F91752">
        <w:rPr>
          <w:rFonts w:ascii="Arial" w:hAnsi="Arial" w:hint="cs"/>
          <w:rtl/>
        </w:rPr>
        <w:t xml:space="preserve"> כי שירות בתי הסוהר ערוך להתמודד עם אסירים הסובלים ממצבים רפואיים ונפשיים מורכבים</w:t>
      </w:r>
      <w:r>
        <w:rPr>
          <w:rFonts w:ascii="Arial" w:hAnsi="Arial" w:hint="cs"/>
          <w:rtl/>
        </w:rPr>
        <w:t>,</w:t>
      </w:r>
      <w:r w:rsidRPr="00F91752">
        <w:rPr>
          <w:rFonts w:ascii="Arial" w:hAnsi="Arial" w:hint="cs"/>
          <w:rtl/>
        </w:rPr>
        <w:t xml:space="preserve"> ועל כן אין מקום להקל בעונשו של הנאשם בשל מצבו הבריאותי. לטענת ב"כ המאשימה מצבו הבריאותי של הנאשם מצדיק לכל היותר למקם את עונשו בתחתית המתחם. ב"כ המאשימה התייחס בטיעונו לעונש המאסר המותנה שנגזר על נאשם 2 </w:t>
      </w:r>
      <w:r w:rsidRPr="00F91752">
        <w:rPr>
          <w:rFonts w:ascii="Arial" w:hAnsi="Arial"/>
          <w:rtl/>
        </w:rPr>
        <w:t>–</w:t>
      </w:r>
      <w:r w:rsidRPr="00F91752">
        <w:rPr>
          <w:rFonts w:ascii="Arial" w:hAnsi="Arial" w:hint="cs"/>
          <w:rtl/>
        </w:rPr>
        <w:t xml:space="preserve"> אחיו של הנאשם. לטענת ב"כ המאשימה אין להשוות בין שני הנאשמים</w:t>
      </w:r>
      <w:r>
        <w:rPr>
          <w:rFonts w:ascii="Arial" w:hAnsi="Arial" w:hint="cs"/>
          <w:rtl/>
        </w:rPr>
        <w:t>,</w:t>
      </w:r>
      <w:r w:rsidRPr="00F91752">
        <w:rPr>
          <w:rFonts w:ascii="Arial" w:hAnsi="Arial" w:hint="cs"/>
          <w:rtl/>
        </w:rPr>
        <w:t xml:space="preserve"> שכן חטאו של נאשם 2 </w:t>
      </w:r>
      <w:r>
        <w:rPr>
          <w:rFonts w:ascii="Arial" w:hAnsi="Arial" w:hint="cs"/>
          <w:rtl/>
        </w:rPr>
        <w:t>התמצה</w:t>
      </w:r>
      <w:r w:rsidRPr="00F91752">
        <w:rPr>
          <w:rFonts w:ascii="Arial" w:hAnsi="Arial" w:hint="cs"/>
          <w:rtl/>
        </w:rPr>
        <w:t xml:space="preserve"> בכך ש</w:t>
      </w:r>
      <w:r>
        <w:rPr>
          <w:rFonts w:ascii="Arial" w:hAnsi="Arial" w:hint="cs"/>
          <w:rtl/>
        </w:rPr>
        <w:t xml:space="preserve">הוא </w:t>
      </w:r>
      <w:r w:rsidRPr="00F91752">
        <w:rPr>
          <w:rFonts w:ascii="Arial" w:hAnsi="Arial" w:hint="cs"/>
          <w:rtl/>
        </w:rPr>
        <w:t>ידע על הימצאות הנשק ברכב</w:t>
      </w:r>
      <w:r>
        <w:rPr>
          <w:rFonts w:ascii="Arial" w:hAnsi="Arial" w:hint="cs"/>
          <w:rtl/>
        </w:rPr>
        <w:t>,</w:t>
      </w:r>
      <w:r w:rsidRPr="00F91752">
        <w:rPr>
          <w:rFonts w:ascii="Arial" w:hAnsi="Arial" w:hint="cs"/>
          <w:rtl/>
        </w:rPr>
        <w:t xml:space="preserve"> ועל כן הוא גם הורשע בעבירה קלה יותר של סיוע </w:t>
      </w:r>
      <w:r>
        <w:rPr>
          <w:rFonts w:ascii="Arial" w:hAnsi="Arial" w:hint="cs"/>
          <w:rtl/>
        </w:rPr>
        <w:t>ל</w:t>
      </w:r>
      <w:r w:rsidRPr="00F91752">
        <w:rPr>
          <w:rFonts w:ascii="Arial" w:hAnsi="Arial" w:hint="cs"/>
          <w:rtl/>
        </w:rPr>
        <w:t>נשיאת נשק. ב"כ המאשימה ביקש כי במסגרת גזר</w:t>
      </w:r>
      <w:r>
        <w:rPr>
          <w:rFonts w:ascii="Arial" w:hAnsi="Arial" w:hint="cs"/>
          <w:rtl/>
        </w:rPr>
        <w:t xml:space="preserve"> </w:t>
      </w:r>
      <w:r w:rsidRPr="00F91752">
        <w:rPr>
          <w:rFonts w:ascii="Arial" w:hAnsi="Arial" w:hint="cs"/>
          <w:rtl/>
        </w:rPr>
        <w:t>הדין יורה בית המשפט על חילוט רכבו של הנאשם</w:t>
      </w:r>
      <w:r>
        <w:rPr>
          <w:rFonts w:ascii="Arial" w:hAnsi="Arial" w:hint="cs"/>
          <w:rtl/>
        </w:rPr>
        <w:t>, מסוג מיצובישי לאנסר,</w:t>
      </w:r>
      <w:r w:rsidRPr="00F91752">
        <w:rPr>
          <w:rFonts w:ascii="Arial" w:hAnsi="Arial" w:hint="cs"/>
          <w:rtl/>
        </w:rPr>
        <w:t xml:space="preserve"> אשר שימש לצורך ביצוע העבירה. בסיום הטיעונים לעונש הדגיש ב"כ המאשימה כי אין מחלוקת על כך שתיקון 140 ל</w:t>
      </w:r>
      <w:hyperlink r:id="rId16" w:history="1">
        <w:r w:rsidR="00745B4D" w:rsidRPr="00745B4D">
          <w:rPr>
            <w:rFonts w:ascii="Arial" w:hAnsi="Arial"/>
            <w:color w:val="0000FF"/>
            <w:u w:val="single"/>
            <w:rtl/>
          </w:rPr>
          <w:t>חוק העונשין</w:t>
        </w:r>
      </w:hyperlink>
      <w:r w:rsidRPr="00F91752">
        <w:rPr>
          <w:rFonts w:ascii="Arial" w:hAnsi="Arial" w:hint="cs"/>
          <w:rtl/>
        </w:rPr>
        <w:t xml:space="preserve">, אשר קבע עונשי מינימום לגבי עבירות נשק, אינו חל בעניינו של הנאשם. </w:t>
      </w:r>
    </w:p>
    <w:p w14:paraId="0D8692AB" w14:textId="77777777" w:rsidR="00AF0FB8" w:rsidRPr="00F91752" w:rsidRDefault="00AF0FB8" w:rsidP="00AF0FB8">
      <w:pPr>
        <w:pStyle w:val="a9"/>
        <w:spacing w:line="360" w:lineRule="auto"/>
        <w:jc w:val="both"/>
        <w:rPr>
          <w:rFonts w:ascii="Arial" w:hAnsi="Arial"/>
          <w:rtl/>
        </w:rPr>
      </w:pPr>
    </w:p>
    <w:p w14:paraId="7EB55FEB" w14:textId="77777777" w:rsidR="00AF0FB8" w:rsidRPr="00F91752" w:rsidRDefault="00AF0FB8" w:rsidP="00AF0FB8">
      <w:pPr>
        <w:pStyle w:val="a9"/>
        <w:numPr>
          <w:ilvl w:val="0"/>
          <w:numId w:val="2"/>
        </w:numPr>
        <w:spacing w:line="360" w:lineRule="auto"/>
        <w:jc w:val="both"/>
        <w:rPr>
          <w:rFonts w:ascii="Arial" w:hAnsi="Arial"/>
        </w:rPr>
      </w:pPr>
      <w:r w:rsidRPr="00F91752">
        <w:rPr>
          <w:rFonts w:ascii="Arial" w:hAnsi="Arial" w:hint="cs"/>
          <w:b/>
          <w:bCs/>
          <w:u w:val="single"/>
          <w:rtl/>
        </w:rPr>
        <w:t>ראיות וטענות הנאשם לעונש</w:t>
      </w:r>
    </w:p>
    <w:p w14:paraId="0F2DA440"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ב"כ הנאשם הגיש במסגרת הטיעונים לעונש מסמכים רפואיים אשר סומנו נע/1 ו-נע/2 וכן אישור מביטוח לאומי על כך שהנאשם מוכר כנכה בשיעור של </w:t>
      </w:r>
      <w:r>
        <w:rPr>
          <w:rFonts w:ascii="Arial" w:hAnsi="Arial" w:hint="cs"/>
          <w:rtl/>
        </w:rPr>
        <w:t>69% לצמיתות משנת 2012 (נע/3).</w:t>
      </w:r>
    </w:p>
    <w:p w14:paraId="6502D1B0"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ב"כ הנאשם טען כי השילוב של מצבו הרפואי והקשה של הנאשם יחד עם העובדה שהוא לא הת</w:t>
      </w:r>
      <w:r>
        <w:rPr>
          <w:rFonts w:ascii="Arial" w:hAnsi="Arial" w:hint="cs"/>
          <w:rtl/>
        </w:rPr>
        <w:t>כוון לפגוע באיש באמצעות הנשק, וע</w:t>
      </w:r>
      <w:r w:rsidRPr="00F91752">
        <w:rPr>
          <w:rFonts w:ascii="Arial" w:hAnsi="Arial" w:hint="cs"/>
          <w:rtl/>
        </w:rPr>
        <w:t>ם העובדה שעל נאשם 2 נגזר עונש קל, מצדיק לגזור גם על הנאשם עונש קל יחסית</w:t>
      </w:r>
      <w:r>
        <w:rPr>
          <w:rFonts w:ascii="Arial" w:hAnsi="Arial" w:hint="cs"/>
          <w:rtl/>
        </w:rPr>
        <w:t>,</w:t>
      </w:r>
      <w:r w:rsidRPr="00F91752">
        <w:rPr>
          <w:rFonts w:ascii="Arial" w:hAnsi="Arial" w:hint="cs"/>
          <w:rtl/>
        </w:rPr>
        <w:t xml:space="preserve"> כפי שהמליץ שירות המבחן. לגבי הנסיבות הקשורות בביצוע העבירה הדגיש ב"כ הנאשם כי למרות שמדובר בנשק מוסב דמוי אם-16, אין ראייה שמדובר בנשק שניתן </w:t>
      </w:r>
      <w:r>
        <w:rPr>
          <w:rFonts w:ascii="Arial" w:hAnsi="Arial" w:hint="cs"/>
          <w:rtl/>
        </w:rPr>
        <w:t xml:space="preserve">היה </w:t>
      </w:r>
      <w:r w:rsidRPr="00F91752">
        <w:rPr>
          <w:rFonts w:ascii="Arial" w:hAnsi="Arial" w:hint="cs"/>
          <w:rtl/>
        </w:rPr>
        <w:t>לבצע באמצעותו ירי אוטומטי. ב"כ הנאשם הדגיש כי הנאשם נשא את כלי הנשק לפרק זמן קצר</w:t>
      </w:r>
      <w:r>
        <w:rPr>
          <w:rFonts w:ascii="Arial" w:hAnsi="Arial" w:hint="cs"/>
          <w:rtl/>
        </w:rPr>
        <w:t>,</w:t>
      </w:r>
      <w:r w:rsidRPr="00F91752">
        <w:rPr>
          <w:rFonts w:ascii="Arial" w:hAnsi="Arial" w:hint="cs"/>
          <w:rtl/>
        </w:rPr>
        <w:t xml:space="preserve"> דבר המפחית את הסיכון </w:t>
      </w:r>
      <w:r>
        <w:rPr>
          <w:rFonts w:ascii="Arial" w:hAnsi="Arial" w:hint="cs"/>
          <w:rtl/>
        </w:rPr>
        <w:t xml:space="preserve">שהיה כרוך </w:t>
      </w:r>
      <w:r w:rsidRPr="00F91752">
        <w:rPr>
          <w:rFonts w:ascii="Arial" w:hAnsi="Arial" w:hint="cs"/>
          <w:rtl/>
        </w:rPr>
        <w:t>בנשיאת הנשק. לגבי הנסיבות שאינן קשורות בביצוע העבירה, הדגיש ב"כ הנאשם את מצבו הרפואי המורכב של הנאשם, את הקשיים שהם מנת חלקה של משפחת הנאשם</w:t>
      </w:r>
      <w:r>
        <w:rPr>
          <w:rFonts w:ascii="Arial" w:hAnsi="Arial" w:hint="cs"/>
          <w:rtl/>
        </w:rPr>
        <w:t xml:space="preserve">, אשר </w:t>
      </w:r>
      <w:r w:rsidRPr="00F91752">
        <w:rPr>
          <w:rFonts w:ascii="Arial" w:hAnsi="Arial" w:hint="cs"/>
          <w:rtl/>
        </w:rPr>
        <w:t xml:space="preserve">ארבעה מבניה סובלים מנכויות קשות. ב"כ הנאשם טען כי לעת בחינת הענישה הנוהגת בפסיקה יש להביא בחשבון את גזרי הדין שניתנו לפני תיקון </w:t>
      </w:r>
      <w:r>
        <w:rPr>
          <w:rFonts w:ascii="Arial" w:hAnsi="Arial" w:hint="cs"/>
          <w:rtl/>
        </w:rPr>
        <w:t xml:space="preserve"> </w:t>
      </w:r>
      <w:r w:rsidRPr="00F91752">
        <w:rPr>
          <w:rFonts w:ascii="Arial" w:hAnsi="Arial" w:hint="cs"/>
          <w:rtl/>
        </w:rPr>
        <w:t>140</w:t>
      </w:r>
      <w:r>
        <w:rPr>
          <w:rFonts w:ascii="Arial" w:hAnsi="Arial" w:hint="cs"/>
          <w:rtl/>
        </w:rPr>
        <w:t xml:space="preserve"> שאיננו חל בענייננו</w:t>
      </w:r>
      <w:r w:rsidRPr="00F91752">
        <w:rPr>
          <w:rFonts w:ascii="Arial" w:hAnsi="Arial" w:hint="cs"/>
          <w:rtl/>
        </w:rPr>
        <w:t xml:space="preserve">. ב"כ הנאשם הדגיש שעונש של מאסר בפועל יגרום לנאשם </w:t>
      </w:r>
      <w:r>
        <w:rPr>
          <w:rFonts w:ascii="Arial" w:hAnsi="Arial" w:hint="cs"/>
          <w:rtl/>
        </w:rPr>
        <w:t>נזק העולה משמעותית על ה</w:t>
      </w:r>
      <w:r w:rsidRPr="00F91752">
        <w:rPr>
          <w:rFonts w:ascii="Arial" w:hAnsi="Arial" w:hint="cs"/>
          <w:rtl/>
        </w:rPr>
        <w:t xml:space="preserve">נזק הרגיל שנגרם לאדם נעדר בעיות רפואיות אשר נשלח לרצות מאסר. </w:t>
      </w:r>
    </w:p>
    <w:p w14:paraId="38332DBF" w14:textId="77777777" w:rsidR="00AF0FB8" w:rsidRPr="00F91752" w:rsidRDefault="00AF0FB8" w:rsidP="00AF0FB8">
      <w:pPr>
        <w:pStyle w:val="a9"/>
        <w:spacing w:line="360" w:lineRule="auto"/>
        <w:jc w:val="both"/>
        <w:rPr>
          <w:rFonts w:ascii="Arial" w:hAnsi="Arial"/>
          <w:rtl/>
        </w:rPr>
      </w:pPr>
      <w:r>
        <w:rPr>
          <w:rFonts w:ascii="Arial" w:hAnsi="Arial" w:hint="cs"/>
          <w:rtl/>
        </w:rPr>
        <w:t xml:space="preserve">בנוגע לבקשת החילוט </w:t>
      </w:r>
      <w:r w:rsidRPr="00F91752">
        <w:rPr>
          <w:rFonts w:ascii="Arial" w:hAnsi="Arial" w:hint="cs"/>
          <w:rtl/>
        </w:rPr>
        <w:t>ציין ב"כ הנאשם</w:t>
      </w:r>
      <w:r>
        <w:rPr>
          <w:rFonts w:ascii="Arial" w:hAnsi="Arial" w:hint="cs"/>
          <w:rtl/>
        </w:rPr>
        <w:t>,</w:t>
      </w:r>
      <w:r w:rsidRPr="00F91752">
        <w:rPr>
          <w:rFonts w:ascii="Arial" w:hAnsi="Arial" w:hint="cs"/>
          <w:rtl/>
        </w:rPr>
        <w:t xml:space="preserve"> כי הרכב משמש לנאשם כרגליים</w:t>
      </w:r>
      <w:r>
        <w:rPr>
          <w:rFonts w:ascii="Arial" w:hAnsi="Arial" w:hint="cs"/>
          <w:rtl/>
        </w:rPr>
        <w:t>,</w:t>
      </w:r>
      <w:r w:rsidRPr="00F91752">
        <w:rPr>
          <w:rFonts w:ascii="Arial" w:hAnsi="Arial" w:hint="cs"/>
          <w:rtl/>
        </w:rPr>
        <w:t xml:space="preserve"> ועל כן </w:t>
      </w:r>
      <w:r>
        <w:rPr>
          <w:rFonts w:ascii="Arial" w:hAnsi="Arial" w:hint="cs"/>
          <w:rtl/>
        </w:rPr>
        <w:t xml:space="preserve">בנסיבות המיוחדות של המקרה שלפנינו </w:t>
      </w:r>
      <w:r w:rsidRPr="00F91752">
        <w:rPr>
          <w:rFonts w:ascii="Arial" w:hAnsi="Arial" w:hint="cs"/>
          <w:rtl/>
        </w:rPr>
        <w:t>אין מקום ל</w:t>
      </w:r>
      <w:r>
        <w:rPr>
          <w:rFonts w:ascii="Arial" w:hAnsi="Arial" w:hint="cs"/>
          <w:rtl/>
        </w:rPr>
        <w:t>הורות על חילוט הרכב.</w:t>
      </w:r>
      <w:r w:rsidRPr="00F91752">
        <w:rPr>
          <w:rFonts w:ascii="Arial" w:hAnsi="Arial" w:hint="cs"/>
          <w:rtl/>
        </w:rPr>
        <w:t xml:space="preserve"> </w:t>
      </w:r>
    </w:p>
    <w:p w14:paraId="1E6EC5F1" w14:textId="77777777" w:rsidR="00AF0FB8" w:rsidRDefault="00AF0FB8" w:rsidP="00AF0FB8">
      <w:pPr>
        <w:pStyle w:val="a9"/>
        <w:numPr>
          <w:ilvl w:val="0"/>
          <w:numId w:val="2"/>
        </w:numPr>
        <w:spacing w:line="360" w:lineRule="auto"/>
        <w:jc w:val="both"/>
        <w:rPr>
          <w:rFonts w:ascii="Arial" w:hAnsi="Arial"/>
          <w:rtl/>
        </w:rPr>
      </w:pPr>
      <w:r w:rsidRPr="00F91752">
        <w:rPr>
          <w:rFonts w:ascii="Arial" w:hAnsi="Arial" w:hint="cs"/>
          <w:rtl/>
        </w:rPr>
        <w:t xml:space="preserve">בסיום טיעוניו של ב"כ הנאשם </w:t>
      </w:r>
      <w:r>
        <w:rPr>
          <w:rFonts w:ascii="Arial" w:hAnsi="Arial" w:hint="cs"/>
          <w:rtl/>
        </w:rPr>
        <w:t xml:space="preserve">השמיע הנאשם עצמו דברים קצרים. </w:t>
      </w:r>
      <w:r w:rsidRPr="00F91752">
        <w:rPr>
          <w:rFonts w:ascii="Arial" w:hAnsi="Arial" w:hint="cs"/>
          <w:rtl/>
        </w:rPr>
        <w:t xml:space="preserve">הנאשם </w:t>
      </w:r>
      <w:r>
        <w:rPr>
          <w:rFonts w:ascii="Arial" w:hAnsi="Arial" w:hint="cs"/>
          <w:rtl/>
        </w:rPr>
        <w:t xml:space="preserve">מסר </w:t>
      </w:r>
      <w:r w:rsidRPr="00F91752">
        <w:rPr>
          <w:rFonts w:ascii="Arial" w:hAnsi="Arial" w:hint="cs"/>
          <w:rtl/>
        </w:rPr>
        <w:t>כי הוא מצטער על מה שעשה. לדברי הנאשם הבן אדם לפעמים עושה טעויות</w:t>
      </w:r>
      <w:r>
        <w:rPr>
          <w:rFonts w:ascii="Arial" w:hAnsi="Arial" w:hint="cs"/>
          <w:rtl/>
        </w:rPr>
        <w:t>, וכלשונו</w:t>
      </w:r>
      <w:r w:rsidRPr="00F91752">
        <w:rPr>
          <w:rFonts w:ascii="Arial" w:hAnsi="Arial" w:hint="cs"/>
          <w:rtl/>
        </w:rPr>
        <w:t>: "</w:t>
      </w:r>
      <w:r w:rsidRPr="00F91752">
        <w:rPr>
          <w:rFonts w:ascii="Arial" w:hAnsi="Arial" w:hint="cs"/>
          <w:b/>
          <w:bCs/>
          <w:rtl/>
        </w:rPr>
        <w:t>עשיתי טעות ואני מצטער עליה</w:t>
      </w:r>
      <w:r w:rsidRPr="00F91752">
        <w:rPr>
          <w:rFonts w:ascii="Arial" w:hAnsi="Arial" w:hint="cs"/>
          <w:rtl/>
        </w:rPr>
        <w:t>".</w:t>
      </w:r>
    </w:p>
    <w:p w14:paraId="1AAC61F4" w14:textId="77777777" w:rsidR="00AF0FB8" w:rsidRPr="00F91752" w:rsidRDefault="00AF0FB8" w:rsidP="00AF0FB8">
      <w:pPr>
        <w:pStyle w:val="a9"/>
        <w:spacing w:line="360" w:lineRule="auto"/>
        <w:jc w:val="both"/>
        <w:rPr>
          <w:rFonts w:ascii="Arial" w:hAnsi="Arial"/>
          <w:rtl/>
        </w:rPr>
      </w:pPr>
      <w:r w:rsidRPr="00F91752">
        <w:rPr>
          <w:rFonts w:ascii="Arial" w:hAnsi="Arial" w:hint="cs"/>
          <w:rtl/>
        </w:rPr>
        <w:t xml:space="preserve"> </w:t>
      </w:r>
    </w:p>
    <w:p w14:paraId="62369858" w14:textId="77777777" w:rsidR="00AF0FB8" w:rsidRDefault="00AF0FB8" w:rsidP="00AF0FB8">
      <w:pPr>
        <w:pStyle w:val="a9"/>
        <w:spacing w:line="360" w:lineRule="auto"/>
        <w:jc w:val="both"/>
        <w:rPr>
          <w:rFonts w:ascii="Arial" w:hAnsi="Arial"/>
          <w:b/>
          <w:bCs/>
          <w:u w:val="single"/>
          <w:rtl/>
        </w:rPr>
      </w:pPr>
      <w:r w:rsidRPr="00643952">
        <w:rPr>
          <w:rFonts w:ascii="Arial" w:hAnsi="Arial" w:hint="cs"/>
          <w:b/>
          <w:bCs/>
          <w:u w:val="single"/>
          <w:rtl/>
        </w:rPr>
        <w:t>דיון והכרעה</w:t>
      </w:r>
    </w:p>
    <w:p w14:paraId="637F457A" w14:textId="77777777" w:rsidR="00AF0FB8" w:rsidRDefault="00AF0FB8" w:rsidP="00AF0FB8">
      <w:pPr>
        <w:pStyle w:val="a9"/>
        <w:spacing w:line="360" w:lineRule="auto"/>
        <w:jc w:val="both"/>
        <w:rPr>
          <w:rFonts w:ascii="Arial" w:hAnsi="Arial"/>
          <w:b/>
          <w:bCs/>
          <w:u w:val="single"/>
          <w:rtl/>
        </w:rPr>
      </w:pPr>
    </w:p>
    <w:p w14:paraId="24994D89" w14:textId="77777777" w:rsidR="00AF0FB8" w:rsidRDefault="00AF0FB8" w:rsidP="00AF0FB8">
      <w:pPr>
        <w:pStyle w:val="a9"/>
        <w:numPr>
          <w:ilvl w:val="0"/>
          <w:numId w:val="2"/>
        </w:numPr>
        <w:spacing w:line="360" w:lineRule="auto"/>
        <w:jc w:val="both"/>
        <w:rPr>
          <w:rFonts w:ascii="Arial" w:hAnsi="Arial"/>
        </w:rPr>
      </w:pPr>
      <w:r w:rsidRPr="00643952">
        <w:rPr>
          <w:rFonts w:ascii="Arial" w:hAnsi="Arial" w:hint="cs"/>
          <w:rtl/>
        </w:rPr>
        <w:t xml:space="preserve">ההתלבטות </w:t>
      </w:r>
      <w:r>
        <w:rPr>
          <w:rFonts w:ascii="Arial" w:hAnsi="Arial" w:hint="cs"/>
          <w:rtl/>
        </w:rPr>
        <w:t xml:space="preserve">שמעורר מקרהו של הנאשם ברורה </w:t>
      </w:r>
      <w:r>
        <w:rPr>
          <w:rFonts w:ascii="Arial" w:hAnsi="Arial"/>
          <w:rtl/>
        </w:rPr>
        <w:t>–</w:t>
      </w:r>
      <w:r>
        <w:rPr>
          <w:rFonts w:ascii="Arial" w:hAnsi="Arial" w:hint="cs"/>
          <w:rtl/>
        </w:rPr>
        <w:t xml:space="preserve"> מצד אחד, הנאשם ביצע עבירת נשק שברגיל ובנסיבות העניין בפרט מצדיקה, גם לפני חקיקת תיקון 140 ל</w:t>
      </w:r>
      <w:hyperlink r:id="rId17" w:history="1">
        <w:r w:rsidR="00745B4D" w:rsidRPr="00745B4D">
          <w:rPr>
            <w:rFonts w:ascii="Arial" w:hAnsi="Arial"/>
            <w:color w:val="0000FF"/>
            <w:u w:val="single"/>
            <w:rtl/>
          </w:rPr>
          <w:t>חוק העונשין</w:t>
        </w:r>
      </w:hyperlink>
      <w:r>
        <w:rPr>
          <w:rFonts w:ascii="Arial" w:hAnsi="Arial" w:hint="cs"/>
          <w:rtl/>
        </w:rPr>
        <w:t>, הטלת עונש הכולל מרכיב של מאסר משמעותי לריצוי בפועל. ומצד שני, עסקינן בנאשם נעדר עבר פלילי, שגורלו האישי והמשפחתי לא שפר עליו, אשר סובל מבעיות רפואיות, פיסיות ונפשיות משמעותיות ביותר, אם כי לפי דברי שב"ס הוא כשיר לריצוי עונש מאסר במסגרת יחידת מר"ש. להלן נדון בקביעת מתחם העונש ההולם, לאחר מכן נדון בנסיבות שאינן קשורות בביצוע העבירה, ולבסוף נקבע את עונשו המתאים של הנאשם על רקע ההתלבטות האמורה.</w:t>
      </w:r>
    </w:p>
    <w:p w14:paraId="2840500C" w14:textId="77777777" w:rsidR="00AF0FB8" w:rsidRDefault="00AF0FB8" w:rsidP="00AF0FB8">
      <w:pPr>
        <w:pStyle w:val="a9"/>
        <w:spacing w:line="360" w:lineRule="auto"/>
        <w:jc w:val="both"/>
        <w:rPr>
          <w:rFonts w:ascii="Arial" w:hAnsi="Arial"/>
        </w:rPr>
      </w:pPr>
    </w:p>
    <w:p w14:paraId="464B9694"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הנאשם ביצע עבירת נשק, ובכך הוא פגע בערכים המוגנים של שלום הציבור ובטחונו. מידת הפגיעה בערך המוגן בינונית, זאת על רקע העובדה שמדובר בנשיאת נשק לפרק זמן קצר יחסית.</w:t>
      </w:r>
    </w:p>
    <w:p w14:paraId="5CDC8AC6" w14:textId="77777777" w:rsidR="00AF0FB8" w:rsidRPr="00FF546F" w:rsidRDefault="00AF0FB8" w:rsidP="00AF0FB8">
      <w:pPr>
        <w:pStyle w:val="a9"/>
        <w:rPr>
          <w:rFonts w:ascii="Arial" w:hAnsi="Arial"/>
          <w:rtl/>
        </w:rPr>
      </w:pPr>
    </w:p>
    <w:p w14:paraId="13C4B40F" w14:textId="77777777" w:rsidR="00AF0FB8" w:rsidRPr="00FF546F" w:rsidRDefault="00AF0FB8" w:rsidP="00AF0FB8">
      <w:pPr>
        <w:pStyle w:val="a9"/>
        <w:numPr>
          <w:ilvl w:val="0"/>
          <w:numId w:val="2"/>
        </w:numPr>
        <w:spacing w:line="360" w:lineRule="auto"/>
        <w:jc w:val="both"/>
        <w:rPr>
          <w:rFonts w:ascii="Arial" w:hAnsi="Arial"/>
          <w:rtl/>
        </w:rPr>
      </w:pPr>
      <w:r w:rsidRPr="00FF546F">
        <w:rPr>
          <w:rFonts w:ascii="Arial" w:hAnsi="Arial" w:hint="cs"/>
          <w:rtl/>
        </w:rPr>
        <w:t>על חומרתן של עבירות הנשק דובר בפסיקה רבות, הן לפני תיקון 140 ל</w:t>
      </w:r>
      <w:hyperlink r:id="rId18" w:history="1">
        <w:r w:rsidR="00745B4D" w:rsidRPr="00745B4D">
          <w:rPr>
            <w:rFonts w:ascii="Arial" w:hAnsi="Arial"/>
            <w:color w:val="0000FF"/>
            <w:u w:val="single"/>
            <w:rtl/>
          </w:rPr>
          <w:t>חוק העונשין</w:t>
        </w:r>
      </w:hyperlink>
      <w:r w:rsidRPr="00FF546F">
        <w:rPr>
          <w:rFonts w:ascii="Arial" w:hAnsi="Arial" w:hint="cs"/>
          <w:rtl/>
        </w:rPr>
        <w:t xml:space="preserve"> הן לאחריו (</w:t>
      </w:r>
      <w:hyperlink r:id="rId19" w:history="1">
        <w:r w:rsidR="00745B4D" w:rsidRPr="00745B4D">
          <w:rPr>
            <w:rFonts w:ascii="Arial" w:hAnsi="Arial"/>
            <w:color w:val="0000FF"/>
            <w:u w:val="single"/>
            <w:rtl/>
          </w:rPr>
          <w:t>ע"פ 4406/19</w:t>
        </w:r>
      </w:hyperlink>
      <w:r w:rsidRPr="00FF546F">
        <w:rPr>
          <w:rFonts w:ascii="Arial" w:hAnsi="Arial" w:hint="cs"/>
          <w:rtl/>
        </w:rPr>
        <w:t xml:space="preserve"> </w:t>
      </w:r>
      <w:r w:rsidRPr="00FF546F">
        <w:rPr>
          <w:rFonts w:ascii="Arial" w:hAnsi="Arial" w:hint="cs"/>
          <w:b/>
          <w:bCs/>
          <w:rtl/>
        </w:rPr>
        <w:t>מדינת ישראל נ' סובח</w:t>
      </w:r>
      <w:r w:rsidRPr="00FF546F">
        <w:rPr>
          <w:rFonts w:ascii="Arial" w:hAnsi="Arial" w:hint="cs"/>
          <w:rtl/>
        </w:rPr>
        <w:t xml:space="preserve"> (5.11.19); </w:t>
      </w:r>
      <w:hyperlink r:id="rId20" w:history="1">
        <w:r w:rsidR="00745B4D" w:rsidRPr="00745B4D">
          <w:rPr>
            <w:rFonts w:ascii="Arial" w:hAnsi="Arial"/>
            <w:color w:val="0000FF"/>
            <w:u w:val="single"/>
            <w:rtl/>
          </w:rPr>
          <w:t>ע"פ 5602/22</w:t>
        </w:r>
      </w:hyperlink>
      <w:r w:rsidRPr="00FF546F">
        <w:rPr>
          <w:rFonts w:ascii="Arial" w:hAnsi="Arial" w:hint="cs"/>
          <w:rtl/>
        </w:rPr>
        <w:t xml:space="preserve"> </w:t>
      </w:r>
      <w:r w:rsidRPr="00FF546F">
        <w:rPr>
          <w:rFonts w:ascii="Arial" w:hAnsi="Arial" w:hint="cs"/>
          <w:b/>
          <w:bCs/>
          <w:rtl/>
        </w:rPr>
        <w:t>מדינת ישראל נ' פלוני</w:t>
      </w:r>
      <w:r w:rsidRPr="00FF546F">
        <w:rPr>
          <w:rFonts w:ascii="Arial" w:hAnsi="Arial" w:hint="cs"/>
          <w:rtl/>
        </w:rPr>
        <w:t xml:space="preserve"> (14.9.22) להלן </w:t>
      </w:r>
      <w:r w:rsidRPr="00FF546F">
        <w:rPr>
          <w:rFonts w:ascii="Arial" w:hAnsi="Arial"/>
          <w:rtl/>
        </w:rPr>
        <w:t>–</w:t>
      </w:r>
      <w:r w:rsidRPr="00FF546F">
        <w:rPr>
          <w:rFonts w:ascii="Arial" w:hAnsi="Arial" w:hint="cs"/>
          <w:rtl/>
        </w:rPr>
        <w:t xml:space="preserve"> </w:t>
      </w:r>
      <w:r w:rsidRPr="00FF546F">
        <w:rPr>
          <w:rFonts w:ascii="Arial" w:hAnsi="Arial" w:hint="cs"/>
          <w:b/>
          <w:bCs/>
          <w:rtl/>
        </w:rPr>
        <w:t>"עניין פלוני"</w:t>
      </w:r>
      <w:r w:rsidRPr="00FF546F">
        <w:rPr>
          <w:rFonts w:ascii="Arial" w:hAnsi="Arial" w:hint="cs"/>
          <w:rtl/>
        </w:rPr>
        <w:t xml:space="preserve">). בעניין </w:t>
      </w:r>
      <w:r w:rsidRPr="00FF546F">
        <w:rPr>
          <w:rFonts w:ascii="Arial" w:hAnsi="Arial" w:hint="cs"/>
          <w:b/>
          <w:bCs/>
          <w:rtl/>
        </w:rPr>
        <w:t xml:space="preserve">פלוני </w:t>
      </w:r>
      <w:r w:rsidRPr="00FF546F">
        <w:rPr>
          <w:rFonts w:ascii="Arial" w:hAnsi="Arial" w:hint="cs"/>
          <w:rtl/>
        </w:rPr>
        <w:t>נקבע בפסקאות 16-15 לפסק הדין, כי:</w:t>
      </w:r>
    </w:p>
    <w:p w14:paraId="7C3C6D07" w14:textId="77777777" w:rsidR="00AF0FB8" w:rsidRDefault="00AF0FB8" w:rsidP="00AF0FB8">
      <w:pPr>
        <w:pStyle w:val="a9"/>
        <w:spacing w:line="360" w:lineRule="auto"/>
        <w:jc w:val="both"/>
        <w:rPr>
          <w:rFonts w:ascii="Arial" w:hAnsi="Arial"/>
          <w:rtl/>
        </w:rPr>
      </w:pPr>
    </w:p>
    <w:p w14:paraId="352F8D9F" w14:textId="77777777" w:rsidR="00AF0FB8" w:rsidRPr="00F156E9" w:rsidRDefault="00AF0FB8" w:rsidP="00AF0FB8">
      <w:pPr>
        <w:pStyle w:val="a9"/>
        <w:spacing w:line="360" w:lineRule="auto"/>
        <w:ind w:left="1417" w:right="851"/>
        <w:jc w:val="both"/>
        <w:rPr>
          <w:rFonts w:ascii="Arial" w:hAnsi="Arial"/>
          <w:b/>
          <w:bCs/>
          <w:rtl/>
        </w:rPr>
      </w:pPr>
      <w:r>
        <w:rPr>
          <w:rFonts w:ascii="Arial" w:hAnsi="Arial" w:hint="cs"/>
          <w:b/>
          <w:bCs/>
          <w:rtl/>
        </w:rPr>
        <w:t>"</w:t>
      </w:r>
      <w:r w:rsidRPr="00F156E9">
        <w:rPr>
          <w:rFonts w:ascii="Arial" w:hAnsi="Arial"/>
          <w:b/>
          <w:bCs/>
          <w:rtl/>
        </w:rPr>
        <w:t xml:space="preserve">הענישה המחמירה והבלתי מתפשרת </w:t>
      </w:r>
      <w:r>
        <w:rPr>
          <w:rFonts w:ascii="Arial" w:hAnsi="Arial" w:hint="cs"/>
          <w:rtl/>
        </w:rPr>
        <w:t xml:space="preserve">(בעבירות נשק </w:t>
      </w:r>
      <w:r>
        <w:rPr>
          <w:rFonts w:ascii="Arial" w:hAnsi="Arial"/>
          <w:rtl/>
        </w:rPr>
        <w:t>–</w:t>
      </w:r>
      <w:r>
        <w:rPr>
          <w:rFonts w:ascii="Arial" w:hAnsi="Arial" w:hint="cs"/>
          <w:rtl/>
        </w:rPr>
        <w:t xml:space="preserve"> א.ר.) </w:t>
      </w:r>
      <w:r>
        <w:rPr>
          <w:rFonts w:ascii="Arial" w:hAnsi="Arial" w:hint="cs"/>
          <w:b/>
          <w:bCs/>
          <w:rtl/>
        </w:rPr>
        <w:t>...</w:t>
      </w:r>
      <w:r w:rsidRPr="00F156E9">
        <w:rPr>
          <w:rFonts w:ascii="Arial" w:hAnsi="Arial"/>
          <w:b/>
          <w:bCs/>
          <w:rtl/>
        </w:rPr>
        <w:t xml:space="preserve">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Pr>
          <w:rFonts w:ascii="Arial" w:hAnsi="Arial" w:hint="cs"/>
          <w:b/>
          <w:bCs/>
          <w:rtl/>
        </w:rPr>
        <w:t>.....</w:t>
      </w:r>
    </w:p>
    <w:p w14:paraId="7C58CBC6" w14:textId="77777777" w:rsidR="00AF0FB8" w:rsidRDefault="00AF0FB8" w:rsidP="00AF0FB8">
      <w:pPr>
        <w:pStyle w:val="a9"/>
        <w:spacing w:line="360" w:lineRule="auto"/>
        <w:ind w:left="1417" w:right="851"/>
        <w:jc w:val="both"/>
        <w:rPr>
          <w:rFonts w:ascii="Arial" w:hAnsi="Arial"/>
          <w:b/>
          <w:bCs/>
          <w:rtl/>
        </w:rPr>
      </w:pPr>
      <w:r>
        <w:rPr>
          <w:rFonts w:ascii="Arial" w:hAnsi="Arial"/>
          <w:b/>
          <w:bCs/>
          <w:rtl/>
        </w:rPr>
        <w:t>16.</w:t>
      </w:r>
      <w:r>
        <w:rPr>
          <w:rFonts w:ascii="Arial" w:hAnsi="Arial" w:hint="cs"/>
          <w:b/>
          <w:bCs/>
          <w:rtl/>
        </w:rPr>
        <w:t xml:space="preserve"> </w:t>
      </w:r>
      <w:r w:rsidRPr="00F156E9">
        <w:rPr>
          <w:rFonts w:ascii="Arial" w:hAnsi="Arial"/>
          <w:b/>
          <w:bCs/>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Pr>
          <w:rFonts w:ascii="Arial" w:hAnsi="Arial" w:hint="cs"/>
          <w:b/>
          <w:bCs/>
          <w:rtl/>
        </w:rPr>
        <w:t>.....</w:t>
      </w:r>
      <w:r w:rsidRPr="00F156E9">
        <w:rPr>
          <w:rFonts w:ascii="Arial" w:hAnsi="Arial"/>
          <w:b/>
          <w:bCs/>
          <w:rtl/>
        </w:rPr>
        <w:t xml:space="preserve"> הווה אומר: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w:t>
      </w:r>
      <w:r>
        <w:rPr>
          <w:rFonts w:ascii="Arial" w:hAnsi="Arial" w:hint="cs"/>
          <w:b/>
          <w:bCs/>
          <w:rtl/>
        </w:rPr>
        <w:t>"</w:t>
      </w:r>
      <w:r w:rsidRPr="00F156E9">
        <w:rPr>
          <w:rFonts w:ascii="Arial" w:hAnsi="Arial"/>
          <w:rtl/>
        </w:rPr>
        <w:t>.</w:t>
      </w:r>
    </w:p>
    <w:p w14:paraId="758E61EA" w14:textId="77777777" w:rsidR="00AF0FB8" w:rsidRDefault="00AF0FB8" w:rsidP="00AF0FB8">
      <w:pPr>
        <w:pStyle w:val="a9"/>
        <w:spacing w:line="360" w:lineRule="auto"/>
        <w:ind w:left="1417" w:right="851"/>
        <w:jc w:val="both"/>
        <w:rPr>
          <w:rFonts w:ascii="Arial" w:hAnsi="Arial"/>
          <w:b/>
          <w:bCs/>
          <w:rtl/>
        </w:rPr>
      </w:pPr>
    </w:p>
    <w:p w14:paraId="724F38EE" w14:textId="77777777" w:rsidR="00AF0FB8" w:rsidRDefault="00AF0FB8" w:rsidP="00AF0FB8">
      <w:pPr>
        <w:pStyle w:val="a9"/>
        <w:spacing w:line="360" w:lineRule="auto"/>
        <w:jc w:val="both"/>
        <w:rPr>
          <w:rFonts w:ascii="Arial" w:hAnsi="Arial"/>
          <w:rtl/>
        </w:rPr>
      </w:pPr>
      <w:r>
        <w:rPr>
          <w:rFonts w:ascii="Arial" w:hAnsi="Arial" w:hint="cs"/>
          <w:rtl/>
        </w:rPr>
        <w:t xml:space="preserve">דברים אלו נכתבו בעניין </w:t>
      </w:r>
      <w:r w:rsidRPr="008573B6">
        <w:rPr>
          <w:rFonts w:ascii="Arial" w:hAnsi="Arial" w:hint="cs"/>
          <w:b/>
          <w:bCs/>
          <w:rtl/>
        </w:rPr>
        <w:t>פלוני</w:t>
      </w:r>
      <w:r>
        <w:rPr>
          <w:rFonts w:ascii="Arial" w:hAnsi="Arial" w:hint="cs"/>
          <w:rtl/>
        </w:rPr>
        <w:t xml:space="preserve"> לאחר חקיקתו של תיקון 140, ברם בית המשפט הדגיש כי תיקון 140 בעצם הביא לידי ביטוי את ה</w:t>
      </w:r>
      <w:r w:rsidRPr="008573B6">
        <w:rPr>
          <w:rFonts w:ascii="Arial" w:hAnsi="Arial" w:hint="cs"/>
          <w:b/>
          <w:bCs/>
          <w:rtl/>
        </w:rPr>
        <w:t>"</w:t>
      </w:r>
      <w:r w:rsidRPr="008573B6">
        <w:rPr>
          <w:rFonts w:ascii="Arial" w:hAnsi="Arial"/>
          <w:b/>
          <w:bCs/>
          <w:rtl/>
        </w:rPr>
        <w:t xml:space="preserve">מדיניות </w:t>
      </w:r>
      <w:r w:rsidRPr="008573B6">
        <w:rPr>
          <w:rFonts w:ascii="Arial" w:hAnsi="Arial" w:hint="cs"/>
          <w:rtl/>
        </w:rPr>
        <w:t>(ה)</w:t>
      </w:r>
      <w:r w:rsidRPr="008573B6">
        <w:rPr>
          <w:rFonts w:ascii="Arial" w:hAnsi="Arial"/>
          <w:b/>
          <w:bCs/>
          <w:rtl/>
        </w:rPr>
        <w:t>בלתי-מתפשרת</w:t>
      </w:r>
      <w:r w:rsidRPr="008573B6">
        <w:rPr>
          <w:rFonts w:ascii="Arial" w:hAnsi="Arial" w:hint="cs"/>
          <w:b/>
          <w:bCs/>
          <w:rtl/>
        </w:rPr>
        <w:t>"</w:t>
      </w:r>
      <w:r>
        <w:rPr>
          <w:rFonts w:ascii="Arial" w:hAnsi="Arial" w:hint="cs"/>
          <w:rtl/>
        </w:rPr>
        <w:t xml:space="preserve"> של בית המשפט העליון בפסיקה שקדמה לתיקון (עניין </w:t>
      </w:r>
      <w:r w:rsidRPr="008573B6">
        <w:rPr>
          <w:rFonts w:ascii="Arial" w:hAnsi="Arial" w:hint="cs"/>
          <w:b/>
          <w:bCs/>
          <w:rtl/>
        </w:rPr>
        <w:t>פלוני</w:t>
      </w:r>
      <w:r>
        <w:rPr>
          <w:rFonts w:ascii="Arial" w:hAnsi="Arial" w:hint="cs"/>
          <w:rtl/>
        </w:rPr>
        <w:t xml:space="preserve"> בפסקה 13 לפסק הדין). ואכן, המאשימה הפנתה בטיעוניה לפסקי דין במסגרתם נגזרו עונשי מאסר משמעותיים על מי שהורשעו בביצוע עבירות נשק. כך, ב</w:t>
      </w:r>
      <w:hyperlink r:id="rId21" w:history="1">
        <w:r w:rsidR="00745B4D" w:rsidRPr="00745B4D">
          <w:rPr>
            <w:rFonts w:ascii="Arial" w:hAnsi="Arial"/>
            <w:color w:val="0000FF"/>
            <w:u w:val="single"/>
            <w:rtl/>
          </w:rPr>
          <w:t>ע"פ 5522/20</w:t>
        </w:r>
      </w:hyperlink>
      <w:r>
        <w:rPr>
          <w:rFonts w:ascii="Arial" w:hAnsi="Arial" w:hint="cs"/>
          <w:rtl/>
        </w:rPr>
        <w:t xml:space="preserve"> </w:t>
      </w:r>
      <w:r w:rsidRPr="00F903F2">
        <w:rPr>
          <w:rFonts w:ascii="Arial" w:hAnsi="Arial" w:hint="cs"/>
          <w:b/>
          <w:bCs/>
          <w:rtl/>
        </w:rPr>
        <w:t>חלייחל נ' מדינת ישראל</w:t>
      </w:r>
      <w:r>
        <w:rPr>
          <w:rFonts w:ascii="Arial" w:hAnsi="Arial" w:hint="cs"/>
          <w:rtl/>
        </w:rPr>
        <w:t xml:space="preserve"> (24.2.21), שניתן לפני תיקון 140 לחוק, נגזר עונש של 36 חודשי מאסר בפועל על המערער שהורשע בביצוע עבירה של נשיאת נשק; וב</w:t>
      </w:r>
      <w:hyperlink r:id="rId22" w:history="1">
        <w:r w:rsidR="00745B4D" w:rsidRPr="00745B4D">
          <w:rPr>
            <w:rFonts w:ascii="Arial" w:hAnsi="Arial"/>
            <w:color w:val="0000FF"/>
            <w:u w:val="single"/>
            <w:rtl/>
          </w:rPr>
          <w:t>ע"פ 4077/22</w:t>
        </w:r>
      </w:hyperlink>
      <w:r>
        <w:rPr>
          <w:rFonts w:ascii="Arial" w:hAnsi="Arial" w:hint="cs"/>
          <w:rtl/>
        </w:rPr>
        <w:t xml:space="preserve"> </w:t>
      </w:r>
      <w:r w:rsidRPr="00697A1E">
        <w:rPr>
          <w:rFonts w:ascii="Arial" w:hAnsi="Arial" w:hint="cs"/>
          <w:b/>
          <w:bCs/>
          <w:rtl/>
        </w:rPr>
        <w:t>פלוני נ' מדינת ישראל</w:t>
      </w:r>
      <w:r>
        <w:rPr>
          <w:rFonts w:ascii="Arial" w:hAnsi="Arial" w:hint="cs"/>
          <w:rtl/>
        </w:rPr>
        <w:t xml:space="preserve"> (28.7.22), נגזר על אחד המערערים שהורשע בעבירות של סחר בנשק ונשיאת נשק עונש של 36 חודשי מאסר בפועל.</w:t>
      </w:r>
    </w:p>
    <w:p w14:paraId="6447E417" w14:textId="77777777" w:rsidR="00AF0FB8" w:rsidRDefault="00AF0FB8" w:rsidP="00AF0FB8">
      <w:pPr>
        <w:pStyle w:val="a9"/>
        <w:spacing w:line="360" w:lineRule="auto"/>
        <w:jc w:val="both"/>
        <w:rPr>
          <w:rFonts w:ascii="Arial" w:hAnsi="Arial"/>
          <w:rtl/>
        </w:rPr>
      </w:pPr>
      <w:r>
        <w:rPr>
          <w:rFonts w:ascii="Arial" w:hAnsi="Arial" w:hint="cs"/>
          <w:rtl/>
        </w:rPr>
        <w:t>ב"כ הנאשם הפנה לעומת זאת לפסק הדין ב</w:t>
      </w:r>
      <w:hyperlink r:id="rId23" w:history="1">
        <w:r w:rsidR="00745B4D" w:rsidRPr="00745B4D">
          <w:rPr>
            <w:rFonts w:ascii="Arial" w:hAnsi="Arial"/>
            <w:color w:val="0000FF"/>
            <w:u w:val="single"/>
            <w:rtl/>
          </w:rPr>
          <w:t>ע"פ 4945/13</w:t>
        </w:r>
      </w:hyperlink>
      <w:r>
        <w:rPr>
          <w:rFonts w:ascii="Arial" w:hAnsi="Arial" w:hint="cs"/>
          <w:rtl/>
        </w:rPr>
        <w:t xml:space="preserve"> </w:t>
      </w:r>
      <w:r w:rsidRPr="00697A1E">
        <w:rPr>
          <w:rFonts w:ascii="Arial" w:hAnsi="Arial" w:hint="cs"/>
          <w:b/>
          <w:bCs/>
          <w:rtl/>
        </w:rPr>
        <w:t>מדינת ישראל נ' סלימאן</w:t>
      </w:r>
      <w:r>
        <w:rPr>
          <w:rFonts w:ascii="Arial" w:hAnsi="Arial" w:hint="cs"/>
          <w:rtl/>
        </w:rPr>
        <w:t xml:space="preserve"> (19.1.14), במסגרתו נגזר עונש של 6 חודשי עבודות שירות על המשיב שהורשע בעבירות של רכישה והחזקת נשק, נשיאת נשק ועוד. עם זאת יצוין, כי באותו מקרה חרג בית המשפט ממתחם העונש ההולם על רקע נימוקי שיקום. כמו כן הפנה ב"כ הנאשם למספר גזרי דין שניתנו בבתי המשפט המחוזיים בגדרם הוטלו עונשים של 5 חודשי עבודות שירות עד 13 חודשי מאסר בפועל על מי שהורשעו בעבירות של החזקת נשק או נשיאת נשק (</w:t>
      </w:r>
      <w:hyperlink r:id="rId24" w:history="1">
        <w:r w:rsidR="00745B4D" w:rsidRPr="00745B4D">
          <w:rPr>
            <w:rFonts w:ascii="Arial" w:hAnsi="Arial"/>
            <w:color w:val="0000FF"/>
            <w:u w:val="single"/>
            <w:rtl/>
          </w:rPr>
          <w:t>ת"פ (מחוזי חיפה) 45597-05-15</w:t>
        </w:r>
      </w:hyperlink>
      <w:r>
        <w:rPr>
          <w:rFonts w:ascii="Arial" w:hAnsi="Arial" w:hint="cs"/>
          <w:rtl/>
        </w:rPr>
        <w:t xml:space="preserve"> </w:t>
      </w:r>
      <w:r w:rsidRPr="00340038">
        <w:rPr>
          <w:rFonts w:ascii="Arial" w:hAnsi="Arial" w:hint="cs"/>
          <w:b/>
          <w:bCs/>
          <w:rtl/>
        </w:rPr>
        <w:t>מדינת ישראל נ' עבדאללה</w:t>
      </w:r>
      <w:r>
        <w:rPr>
          <w:rFonts w:ascii="Arial" w:hAnsi="Arial" w:hint="cs"/>
          <w:rtl/>
        </w:rPr>
        <w:t xml:space="preserve"> (1.9.16) </w:t>
      </w:r>
      <w:r>
        <w:rPr>
          <w:rFonts w:ascii="Arial" w:hAnsi="Arial"/>
          <w:rtl/>
        </w:rPr>
        <w:t>–</w:t>
      </w:r>
      <w:r>
        <w:rPr>
          <w:rFonts w:ascii="Arial" w:hAnsi="Arial" w:hint="cs"/>
          <w:rtl/>
        </w:rPr>
        <w:t xml:space="preserve"> רכישת נשק, 5 חודשי עבודות שירות; </w:t>
      </w:r>
      <w:hyperlink r:id="rId25" w:history="1">
        <w:r w:rsidR="00745B4D" w:rsidRPr="00745B4D">
          <w:rPr>
            <w:rFonts w:ascii="Arial" w:hAnsi="Arial"/>
            <w:color w:val="0000FF"/>
            <w:u w:val="single"/>
            <w:rtl/>
          </w:rPr>
          <w:t>ת"פ (מחוזי י-ם) 51523-10-17</w:t>
        </w:r>
      </w:hyperlink>
      <w:r>
        <w:rPr>
          <w:rFonts w:ascii="Arial" w:hAnsi="Arial" w:hint="cs"/>
          <w:rtl/>
        </w:rPr>
        <w:t xml:space="preserve"> </w:t>
      </w:r>
      <w:r w:rsidRPr="00340038">
        <w:rPr>
          <w:rFonts w:ascii="Arial" w:hAnsi="Arial" w:hint="cs"/>
          <w:b/>
          <w:bCs/>
          <w:rtl/>
        </w:rPr>
        <w:t>מדינת ישראל נ' בזלמית</w:t>
      </w:r>
      <w:r>
        <w:rPr>
          <w:rFonts w:ascii="Arial" w:hAnsi="Arial" w:hint="cs"/>
          <w:rtl/>
        </w:rPr>
        <w:t xml:space="preserve"> (2.5.18) </w:t>
      </w:r>
      <w:r>
        <w:rPr>
          <w:rFonts w:ascii="Arial" w:hAnsi="Arial"/>
          <w:rtl/>
        </w:rPr>
        <w:t>–</w:t>
      </w:r>
      <w:r>
        <w:rPr>
          <w:rFonts w:ascii="Arial" w:hAnsi="Arial" w:hint="cs"/>
          <w:rtl/>
        </w:rPr>
        <w:t xml:space="preserve"> רכישת נשק והובלת נשק, 9 חודשי מאסר בפועל; </w:t>
      </w:r>
      <w:hyperlink r:id="rId26" w:history="1">
        <w:r w:rsidR="00745B4D" w:rsidRPr="00745B4D">
          <w:rPr>
            <w:rFonts w:ascii="Arial" w:hAnsi="Arial"/>
            <w:color w:val="0000FF"/>
            <w:u w:val="single"/>
            <w:rtl/>
          </w:rPr>
          <w:t>ת"פ (מחוזי י-ם) 35512-06-17</w:t>
        </w:r>
      </w:hyperlink>
      <w:r>
        <w:rPr>
          <w:rFonts w:ascii="Arial" w:hAnsi="Arial" w:hint="cs"/>
          <w:rtl/>
        </w:rPr>
        <w:t xml:space="preserve"> </w:t>
      </w:r>
      <w:r w:rsidRPr="00340038">
        <w:rPr>
          <w:rFonts w:ascii="Arial" w:hAnsi="Arial" w:hint="cs"/>
          <w:b/>
          <w:bCs/>
          <w:rtl/>
        </w:rPr>
        <w:t xml:space="preserve">מדינת ישראל נ' בכיראת </w:t>
      </w:r>
      <w:r>
        <w:rPr>
          <w:rFonts w:ascii="Arial" w:hAnsi="Arial" w:hint="cs"/>
          <w:rtl/>
        </w:rPr>
        <w:t xml:space="preserve">(7.3.19) </w:t>
      </w:r>
      <w:r>
        <w:rPr>
          <w:rFonts w:ascii="Arial" w:hAnsi="Arial"/>
          <w:rtl/>
        </w:rPr>
        <w:t>–</w:t>
      </w:r>
      <w:r>
        <w:rPr>
          <w:rFonts w:ascii="Arial" w:hAnsi="Arial" w:hint="cs"/>
          <w:rtl/>
        </w:rPr>
        <w:t xml:space="preserve"> 2 עבירות של החזקת נשק, 12 חודשי מאסר בפועל; ת"פ (מחוזי י-ם) </w:t>
      </w:r>
      <w:r w:rsidRPr="00A61B84">
        <w:rPr>
          <w:rFonts w:ascii="Arial" w:hAnsi="Arial" w:hint="cs"/>
          <w:b/>
          <w:bCs/>
          <w:rtl/>
        </w:rPr>
        <w:t xml:space="preserve">מדינת ישראל נ' דיסי </w:t>
      </w:r>
      <w:r>
        <w:rPr>
          <w:rFonts w:ascii="Arial" w:hAnsi="Arial" w:hint="cs"/>
          <w:rtl/>
        </w:rPr>
        <w:t xml:space="preserve">(2.12.18) </w:t>
      </w:r>
      <w:r>
        <w:rPr>
          <w:rFonts w:ascii="Arial" w:hAnsi="Arial"/>
          <w:rtl/>
        </w:rPr>
        <w:t>–</w:t>
      </w:r>
      <w:r>
        <w:rPr>
          <w:rFonts w:ascii="Arial" w:hAnsi="Arial" w:hint="cs"/>
          <w:rtl/>
        </w:rPr>
        <w:t xml:space="preserve"> 2 עבירות של רכישה והחזקת נשק, 13 חודשי מאסר בפועל).</w:t>
      </w:r>
    </w:p>
    <w:p w14:paraId="35063A45" w14:textId="77777777" w:rsidR="00AF0FB8" w:rsidRDefault="00AF0FB8" w:rsidP="00AF0FB8">
      <w:pPr>
        <w:pStyle w:val="a9"/>
        <w:spacing w:line="360" w:lineRule="auto"/>
        <w:jc w:val="both"/>
        <w:rPr>
          <w:rFonts w:ascii="Arial" w:hAnsi="Arial"/>
          <w:rtl/>
        </w:rPr>
      </w:pPr>
      <w:r w:rsidRPr="008573B6">
        <w:rPr>
          <w:rFonts w:ascii="Arial" w:hAnsi="Arial"/>
          <w:rtl/>
        </w:rPr>
        <w:t xml:space="preserve"> </w:t>
      </w:r>
    </w:p>
    <w:p w14:paraId="4AF642D5"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כפי שיוסבר להלן, הנסיבות הקשורות בביצוע העבירה במקרה הקונקרטי שלפניי מצדיקות לטעמי להעמיד את הגבול התחתון של מתחם העונש ההולם על רף מעט נמוך יחסית למקובל.</w:t>
      </w:r>
    </w:p>
    <w:p w14:paraId="646EB015" w14:textId="77777777" w:rsidR="00AF0FB8" w:rsidRDefault="00AF0FB8" w:rsidP="00AF0FB8">
      <w:pPr>
        <w:pStyle w:val="a9"/>
        <w:spacing w:line="360" w:lineRule="auto"/>
        <w:jc w:val="both"/>
        <w:rPr>
          <w:rFonts w:ascii="Arial" w:hAnsi="Arial"/>
          <w:rtl/>
        </w:rPr>
      </w:pPr>
      <w:r>
        <w:rPr>
          <w:rFonts w:ascii="Arial" w:hAnsi="Arial" w:hint="cs"/>
          <w:rtl/>
        </w:rPr>
        <w:t>מעשהו של הנאשם היה מעשה מתוכנן. הנאשם החליט שברצונו לירות בנשק ולשם כך הוא טרח ושכר מבעוד מועד נשק ארוך, ואף הצטייד בכמות תחמושת רבה. היוזמה לביצוע העבירה הייתה של הנאשם בלבד, והוא זה שנושא באחריות המלאה והבלעדית לביצועה. הנזק שעלול היה להיגרם כתוצאה מביצוע העבירה הוא נזק גוף חמור ואף קטלני חלילה. אכן, הנאשם לא התכוון לעשות שימוש בנשק כדי לפגוע באדם, ברם נשיאת נשק טומנת בחובה מעצם טיבה סכנה לירי גם אם לא מכוון, על אחת כמה וכמה כאשר בכוונת הנאשם לירות באמצעות הנשק באזור שבו נמצאים בני אדם רבים. הלכה למעשה במקרה של הנאשם שלפניי לא נגרם נזק כלשהו כתוצאה מביצוע העבירה, ועובדה זו תובא בחשבון לקולא לעת קביעת מתחם העונש ההולם. כאמור, הנאשם נשא את הנשק כדי לירות באמצעותו בחתונה. סיבה זו איננה יכולה בשום אופן להצדיק נשיאת נשק, והיא איננה יכולה להוות שיקול לקולא בעניינו של הנאשם, אלא לכל היותר היא יכולה להוות שיקול שלא להחמיר עם הנאשם כפי שראוי היה לעשות אילו הוא היה נושא את הנשק במטרה לאיים על אדם או לפגוע באמצעותו באדם. עם זאת, במסגרת הסיבות שהביאו את הנאשם לבצע את העבירה יש לתת משקל להערכת שירות המבחן לפיה לקשייו הניכרים של הנאשם בצירוף העדות שקיימת להנמכה קוגניטיבית אפשרית, תרמו את תרומתם להחלטת הנאשם לבצע את העבירה, זאת כחריג לאורח חייו הנורמטיבי עד לאירוע.</w:t>
      </w:r>
    </w:p>
    <w:p w14:paraId="0565F325" w14:textId="77777777" w:rsidR="00AF0FB8" w:rsidRDefault="00AF0FB8" w:rsidP="00AF0FB8">
      <w:pPr>
        <w:pStyle w:val="a9"/>
        <w:spacing w:line="360" w:lineRule="auto"/>
        <w:jc w:val="both"/>
        <w:rPr>
          <w:rFonts w:ascii="Arial" w:hAnsi="Arial"/>
          <w:rtl/>
        </w:rPr>
      </w:pPr>
      <w:r>
        <w:rPr>
          <w:rFonts w:ascii="Arial" w:hAnsi="Arial" w:hint="cs"/>
          <w:rtl/>
        </w:rPr>
        <w:t xml:space="preserve">כמו כן, לעת קביעת מתחם העונש ההולם יש להביא בחשבון גם את העונש הקל </w:t>
      </w:r>
      <w:r>
        <w:rPr>
          <w:rFonts w:ascii="Arial" w:hAnsi="Arial"/>
          <w:rtl/>
        </w:rPr>
        <w:t>–</w:t>
      </w:r>
      <w:r>
        <w:rPr>
          <w:rFonts w:ascii="Arial" w:hAnsi="Arial" w:hint="cs"/>
          <w:rtl/>
        </w:rPr>
        <w:t xml:space="preserve"> מאסר מותנה </w:t>
      </w:r>
      <w:r>
        <w:rPr>
          <w:rFonts w:ascii="Arial" w:hAnsi="Arial"/>
          <w:rtl/>
        </w:rPr>
        <w:t>–</w:t>
      </w:r>
      <w:r>
        <w:rPr>
          <w:rFonts w:ascii="Arial" w:hAnsi="Arial" w:hint="cs"/>
          <w:rtl/>
        </w:rPr>
        <w:t xml:space="preserve"> שנגזר על הנאשם 2, בהסכמת שני הצדדים, בגין הרשעתו בעבירה של סיוע לנשיאת נשק. אכן, נאשם 2 </w:t>
      </w:r>
      <w:r>
        <w:rPr>
          <w:rFonts w:ascii="Arial" w:hAnsi="Arial"/>
          <w:rtl/>
        </w:rPr>
        <w:t>–</w:t>
      </w:r>
      <w:r>
        <w:rPr>
          <w:rFonts w:ascii="Arial" w:hAnsi="Arial" w:hint="cs"/>
          <w:rtl/>
        </w:rPr>
        <w:t xml:space="preserve"> אחיו של הנאשם </w:t>
      </w:r>
      <w:r>
        <w:rPr>
          <w:rFonts w:ascii="Arial" w:hAnsi="Arial"/>
          <w:rtl/>
        </w:rPr>
        <w:t>–</w:t>
      </w:r>
      <w:r>
        <w:rPr>
          <w:rFonts w:ascii="Arial" w:hAnsi="Arial" w:hint="cs"/>
          <w:rtl/>
        </w:rPr>
        <w:t xml:space="preserve"> הורשע בעבירה קלה יותר מהעבירה בה הורשע הנאשם, ונכותו קשה יותר בדרגה של 100%, אולם עקרון אחידות הענישה מחייב שתהיה התאמה מסוימת בין עונשו הקל של נאשם 2 לעונשו של הנאשם שלפניי.</w:t>
      </w:r>
    </w:p>
    <w:p w14:paraId="332D79EE" w14:textId="77777777" w:rsidR="00AF0FB8" w:rsidRDefault="00AF0FB8" w:rsidP="00AF0FB8">
      <w:pPr>
        <w:pStyle w:val="a9"/>
        <w:spacing w:line="360" w:lineRule="auto"/>
        <w:jc w:val="both"/>
        <w:rPr>
          <w:rFonts w:ascii="Arial" w:hAnsi="Arial"/>
          <w:rtl/>
        </w:rPr>
      </w:pPr>
      <w:r>
        <w:rPr>
          <w:rFonts w:ascii="Arial" w:hAnsi="Arial" w:hint="cs"/>
          <w:rtl/>
        </w:rPr>
        <w:t>לנוכח כל האמור אני קובע כי בנסיבותיו של המקרה שלפניי יש להעמיד את מתחם העונש ההולם בעניינו של הנאשם על 24 עד 36 חודשי מאסר בפועל.</w:t>
      </w:r>
    </w:p>
    <w:p w14:paraId="72AB6EBB" w14:textId="77777777" w:rsidR="00AF0FB8" w:rsidRDefault="00AF0FB8" w:rsidP="00AF0FB8">
      <w:pPr>
        <w:pStyle w:val="a9"/>
        <w:spacing w:line="360" w:lineRule="auto"/>
        <w:jc w:val="both"/>
        <w:rPr>
          <w:rFonts w:ascii="Arial" w:hAnsi="Arial"/>
        </w:rPr>
      </w:pPr>
    </w:p>
    <w:p w14:paraId="35C402E1"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במסגרת הנסיבות שאינן קשורות בביצוע העבירה יש להביא בחשבון את הודאתו של הנאשם, אשר חסכה מזמנה של המאשימה ומזמנו של בית המשפט. הודאתו של הנאשם לוותה בחרטה מלאה וכנה.</w:t>
      </w:r>
    </w:p>
    <w:p w14:paraId="3BAF50D3" w14:textId="77777777" w:rsidR="00AF0FB8" w:rsidRDefault="00AF0FB8" w:rsidP="00AF0FB8">
      <w:pPr>
        <w:pStyle w:val="a9"/>
        <w:spacing w:line="360" w:lineRule="auto"/>
        <w:jc w:val="both"/>
        <w:rPr>
          <w:rFonts w:ascii="Arial" w:hAnsi="Arial"/>
          <w:rtl/>
        </w:rPr>
      </w:pPr>
      <w:r>
        <w:rPr>
          <w:rFonts w:ascii="Arial" w:hAnsi="Arial" w:hint="cs"/>
          <w:rtl/>
        </w:rPr>
        <w:t>כן יש להביא בחשבון כי הנאשם נעדר עבר פלילי, וכי עד לביצוע העבירה הנוכחית הוא ניהל חיים נורמטיביים. בהקשר זה נזכיר את הערכת שירות המבחן לפיה הנאשם נעדר דפוסי התנהגות עברייניים.</w:t>
      </w:r>
    </w:p>
    <w:p w14:paraId="4FBC7562" w14:textId="77777777" w:rsidR="00AF0FB8" w:rsidRDefault="00AF0FB8" w:rsidP="00AF0FB8">
      <w:pPr>
        <w:pStyle w:val="a9"/>
        <w:spacing w:line="360" w:lineRule="auto"/>
        <w:jc w:val="both"/>
        <w:rPr>
          <w:rFonts w:ascii="Arial" w:hAnsi="Arial"/>
          <w:rtl/>
        </w:rPr>
      </w:pPr>
      <w:r>
        <w:rPr>
          <w:rFonts w:ascii="Arial" w:hAnsi="Arial" w:hint="cs"/>
          <w:rtl/>
        </w:rPr>
        <w:t>הנאשם היה עצור ממש למשך 6 ימים לראשונה בחייו, ולאחר מכן הוא היה נתון במעצר בית מלא במשך כארבעה חודשים, ובמעצר בית עם אפשרות יציאה למספר שעות התאווררות בכל יום למשך כ-15 חודשים נוספים, שלאחריהם הומר מעצר הבית במעצר בית לילי, ואחר כך הוא בוטל לחלוטין.</w:t>
      </w:r>
    </w:p>
    <w:p w14:paraId="0BF01C6D" w14:textId="77777777" w:rsidR="00AF0FB8" w:rsidRDefault="00AF0FB8" w:rsidP="00AF0FB8">
      <w:pPr>
        <w:pStyle w:val="a9"/>
        <w:spacing w:line="360" w:lineRule="auto"/>
        <w:jc w:val="both"/>
        <w:rPr>
          <w:rFonts w:ascii="Arial" w:hAnsi="Arial"/>
          <w:rtl/>
        </w:rPr>
      </w:pPr>
      <w:r>
        <w:rPr>
          <w:rFonts w:ascii="Arial" w:hAnsi="Arial" w:hint="cs"/>
          <w:rtl/>
        </w:rPr>
        <w:t xml:space="preserve">משקל מיוחד יש לתת לנכותו המשמעותית של הנאשם ולמצבו הפיסי והנפשי. הנאשם מוכר כנכה בשיעור של 69% לצמיתות מאז שנת 2012 (נע/3). כעולה מהמסמכים הרפואיים שהוגשו (נע/1 </w:t>
      </w:r>
      <w:r>
        <w:rPr>
          <w:rFonts w:ascii="Arial" w:hAnsi="Arial"/>
          <w:rtl/>
        </w:rPr>
        <w:t>–</w:t>
      </w:r>
      <w:r>
        <w:rPr>
          <w:rFonts w:ascii="Arial" w:hAnsi="Arial" w:hint="cs"/>
          <w:rtl/>
        </w:rPr>
        <w:t xml:space="preserve"> נע/2), הנאשם סובל משלל בעיות רפואיות משמעותיות מאוד. מבלי להיכנס לפרטים שיש בהם כדי לפגוע יתר על המתחייב בפרטיותו של הנאשם, נפנה לאשר נאמר לגביו במסמך רפואי 2.8.22 שנערך בבית חולים שערי צדק: </w:t>
      </w:r>
      <w:r w:rsidRPr="00D71751">
        <w:rPr>
          <w:rFonts w:ascii="Arial" w:hAnsi="Arial" w:hint="cs"/>
          <w:b/>
          <w:bCs/>
          <w:rtl/>
        </w:rPr>
        <w:t xml:space="preserve">"רקע רפואי מורכב מאוד....כולל אישפוזים...כמו כן רקע כירורגי עשיר....מוזן כרונית על ידי </w:t>
      </w:r>
      <w:r w:rsidRPr="00D71751">
        <w:rPr>
          <w:rFonts w:ascii="David" w:hAnsi="David"/>
          <w:b/>
          <w:bCs/>
          <w:sz w:val="20"/>
          <w:szCs w:val="20"/>
        </w:rPr>
        <w:t>PEG</w:t>
      </w:r>
      <w:r w:rsidRPr="00D71751">
        <w:rPr>
          <w:rFonts w:ascii="Arial" w:hAnsi="Arial" w:hint="cs"/>
          <w:b/>
          <w:bCs/>
          <w:rtl/>
        </w:rPr>
        <w:t>. בילדותו ניתוחים אורטופדיים מרובים מאוד בגפיים תחתונות"</w:t>
      </w:r>
      <w:r>
        <w:rPr>
          <w:rFonts w:ascii="Arial" w:hAnsi="Arial" w:hint="cs"/>
          <w:rtl/>
        </w:rPr>
        <w:t xml:space="preserve"> (צורף להודעת הנאשם מיום 18.9.22). אין ספק שלנוכח מצבו הבריאותי והנפשי של הנאשם, משמעותו של עונש מאסר לגביו תהיה קשה בהרבה בהשוואה לעונש מאסר שנגזר על אדם בריא.</w:t>
      </w:r>
    </w:p>
    <w:p w14:paraId="157F43B0" w14:textId="77777777" w:rsidR="00AF0FB8" w:rsidRDefault="00AF0FB8" w:rsidP="00AF0FB8">
      <w:pPr>
        <w:pStyle w:val="a9"/>
        <w:spacing w:line="360" w:lineRule="auto"/>
        <w:jc w:val="both"/>
        <w:rPr>
          <w:rFonts w:ascii="Arial" w:hAnsi="Arial"/>
          <w:rtl/>
        </w:rPr>
      </w:pPr>
      <w:r>
        <w:rPr>
          <w:rFonts w:ascii="Arial" w:hAnsi="Arial" w:hint="cs"/>
          <w:rtl/>
        </w:rPr>
        <w:t>לנוכח כל האמור לעיל, ראוי למקם את עונשו של הנאשם בתחתית מתחם העונש ההולם.</w:t>
      </w:r>
    </w:p>
    <w:p w14:paraId="4E54725B" w14:textId="77777777" w:rsidR="00AF0FB8" w:rsidRDefault="00AF0FB8" w:rsidP="00AF0FB8">
      <w:pPr>
        <w:pStyle w:val="a9"/>
        <w:spacing w:line="360" w:lineRule="auto"/>
        <w:ind w:left="992"/>
        <w:jc w:val="both"/>
        <w:rPr>
          <w:rFonts w:ascii="Arial" w:hAnsi="Arial"/>
          <w:rtl/>
        </w:rPr>
      </w:pPr>
    </w:p>
    <w:p w14:paraId="18B3E879"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ב"כ הנאשם טען כי בנסיבות העניין, במיוחד מצבו הרפואי של הנאשם, ראוי לחרוג לקולא ממתחם העונש ההולם.</w:t>
      </w:r>
    </w:p>
    <w:p w14:paraId="48EA3483" w14:textId="77777777" w:rsidR="00AF0FB8" w:rsidRDefault="00AF0FB8" w:rsidP="00AF0FB8">
      <w:pPr>
        <w:pStyle w:val="a9"/>
        <w:spacing w:line="360" w:lineRule="auto"/>
        <w:jc w:val="both"/>
        <w:rPr>
          <w:rFonts w:ascii="Arial" w:hAnsi="Arial"/>
          <w:rtl/>
        </w:rPr>
      </w:pPr>
      <w:r>
        <w:rPr>
          <w:rFonts w:ascii="Arial" w:hAnsi="Arial" w:hint="cs"/>
          <w:rtl/>
        </w:rPr>
        <w:t xml:space="preserve">חריגה ממתחם העונש ההולם אפשרית מטעמי שיקום בהתאם להוראת </w:t>
      </w:r>
      <w:hyperlink r:id="rId27" w:history="1">
        <w:r w:rsidR="00053AE9" w:rsidRPr="00053AE9">
          <w:rPr>
            <w:rStyle w:val="Hyperlink"/>
            <w:rFonts w:ascii="Arial" w:hAnsi="Arial" w:hint="eastAsia"/>
            <w:rtl/>
          </w:rPr>
          <w:t>סעיף</w:t>
        </w:r>
        <w:r w:rsidR="00053AE9" w:rsidRPr="00053AE9">
          <w:rPr>
            <w:rStyle w:val="Hyperlink"/>
            <w:rFonts w:ascii="Arial" w:hAnsi="Arial"/>
            <w:rtl/>
          </w:rPr>
          <w:t xml:space="preserve"> 40ד(א)</w:t>
        </w:r>
      </w:hyperlink>
      <w:r>
        <w:rPr>
          <w:rFonts w:ascii="Arial" w:hAnsi="Arial" w:hint="cs"/>
          <w:rtl/>
        </w:rPr>
        <w:t xml:space="preserve"> ל</w:t>
      </w:r>
      <w:hyperlink r:id="rId28" w:history="1">
        <w:r w:rsidR="00745B4D" w:rsidRPr="00745B4D">
          <w:rPr>
            <w:rFonts w:ascii="Arial" w:hAnsi="Arial"/>
            <w:color w:val="0000FF"/>
            <w:u w:val="single"/>
            <w:rtl/>
          </w:rPr>
          <w:t>חוק העונשין</w:t>
        </w:r>
      </w:hyperlink>
      <w:r>
        <w:rPr>
          <w:rFonts w:ascii="Arial" w:hAnsi="Arial" w:hint="cs"/>
          <w:rtl/>
        </w:rPr>
        <w:t>, אשר קובע כך:</w:t>
      </w:r>
    </w:p>
    <w:p w14:paraId="5BED552A" w14:textId="77777777" w:rsidR="00AF0FB8" w:rsidRDefault="00AF0FB8" w:rsidP="00AF0FB8">
      <w:pPr>
        <w:pStyle w:val="a9"/>
        <w:spacing w:line="360" w:lineRule="auto"/>
        <w:jc w:val="both"/>
        <w:rPr>
          <w:rFonts w:ascii="Arial" w:hAnsi="Arial"/>
          <w:rtl/>
        </w:rPr>
      </w:pPr>
    </w:p>
    <w:p w14:paraId="3AE9025A" w14:textId="77777777" w:rsidR="00AF0FB8" w:rsidRDefault="00AF0FB8" w:rsidP="00AF0FB8">
      <w:pPr>
        <w:pStyle w:val="a9"/>
        <w:spacing w:line="360" w:lineRule="auto"/>
        <w:ind w:left="1417" w:right="851"/>
        <w:jc w:val="both"/>
        <w:rPr>
          <w:rFonts w:ascii="Arial" w:hAnsi="Arial"/>
          <w:b/>
          <w:bCs/>
          <w:rtl/>
        </w:rPr>
      </w:pPr>
      <w:r>
        <w:rPr>
          <w:rFonts w:ascii="Arial" w:hAnsi="Arial" w:hint="cs"/>
          <w:b/>
          <w:bCs/>
          <w:rtl/>
        </w:rPr>
        <w:t>"</w:t>
      </w:r>
      <w:r w:rsidRPr="0035774C">
        <w:rPr>
          <w:rFonts w:ascii="Arial" w:hAnsi="Arial"/>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9" w:history="1">
        <w:r w:rsidR="00745B4D" w:rsidRPr="00745B4D">
          <w:rPr>
            <w:rFonts w:ascii="Arial" w:hAnsi="Arial"/>
            <w:b/>
            <w:bCs/>
            <w:color w:val="0000FF"/>
            <w:u w:val="single"/>
            <w:rtl/>
          </w:rPr>
          <w:t>פקודת המבחן</w:t>
        </w:r>
      </w:hyperlink>
      <w:r>
        <w:rPr>
          <w:rFonts w:ascii="Arial" w:hAnsi="Arial"/>
          <w:b/>
          <w:bCs/>
          <w:rtl/>
        </w:rPr>
        <w:t xml:space="preserve"> [נוסח חדש], התשכ"ט-1969</w:t>
      </w:r>
      <w:r>
        <w:rPr>
          <w:rFonts w:ascii="Arial" w:hAnsi="Arial" w:hint="cs"/>
          <w:b/>
          <w:bCs/>
          <w:rtl/>
        </w:rPr>
        <w:t>".</w:t>
      </w:r>
    </w:p>
    <w:p w14:paraId="180C0539" w14:textId="77777777" w:rsidR="00AF0FB8" w:rsidRDefault="00AF0FB8" w:rsidP="00AF0FB8">
      <w:pPr>
        <w:pStyle w:val="a9"/>
        <w:spacing w:line="360" w:lineRule="auto"/>
        <w:ind w:left="1417" w:right="851"/>
        <w:jc w:val="both"/>
        <w:rPr>
          <w:rFonts w:ascii="Arial" w:hAnsi="Arial"/>
          <w:b/>
          <w:bCs/>
          <w:rtl/>
        </w:rPr>
      </w:pPr>
    </w:p>
    <w:p w14:paraId="20311CF9" w14:textId="77777777" w:rsidR="00AF0FB8" w:rsidRDefault="00AF0FB8" w:rsidP="00AF0FB8">
      <w:pPr>
        <w:pStyle w:val="a9"/>
        <w:spacing w:line="360" w:lineRule="auto"/>
        <w:jc w:val="both"/>
        <w:rPr>
          <w:rFonts w:ascii="Arial" w:hAnsi="Arial"/>
          <w:rtl/>
        </w:rPr>
      </w:pPr>
      <w:r w:rsidRPr="004A65AD">
        <w:rPr>
          <w:rFonts w:ascii="Arial" w:hAnsi="Arial" w:hint="cs"/>
          <w:rtl/>
        </w:rPr>
        <w:t>עם זאת, במקרים חריגים ונד</w:t>
      </w:r>
      <w:r>
        <w:rPr>
          <w:rFonts w:ascii="Arial" w:hAnsi="Arial" w:hint="cs"/>
          <w:rtl/>
        </w:rPr>
        <w:t>ירים רשאי בית המשפט לחרוג ממתחם העונש ההולם משיקולי צדק רחבים וכלליים יותר (</w:t>
      </w:r>
      <w:hyperlink r:id="rId30" w:history="1">
        <w:r w:rsidR="00745B4D" w:rsidRPr="00745B4D">
          <w:rPr>
            <w:rFonts w:ascii="Arial" w:hAnsi="Arial"/>
            <w:color w:val="0000FF"/>
            <w:u w:val="single"/>
            <w:rtl/>
          </w:rPr>
          <w:t>ע"פ 5703/22</w:t>
        </w:r>
      </w:hyperlink>
      <w:r>
        <w:rPr>
          <w:rFonts w:ascii="Arial" w:hAnsi="Arial" w:hint="cs"/>
          <w:rtl/>
        </w:rPr>
        <w:t xml:space="preserve"> </w:t>
      </w:r>
      <w:r w:rsidRPr="004A65AD">
        <w:rPr>
          <w:rFonts w:ascii="Arial" w:hAnsi="Arial" w:hint="cs"/>
          <w:b/>
          <w:bCs/>
          <w:rtl/>
        </w:rPr>
        <w:t>בן ציון נ' מדינת ישראל</w:t>
      </w:r>
      <w:r>
        <w:rPr>
          <w:rFonts w:ascii="Arial" w:hAnsi="Arial" w:hint="cs"/>
          <w:rtl/>
        </w:rPr>
        <w:t xml:space="preserve"> (9.11.22); ע"פ </w:t>
      </w:r>
      <w:hyperlink r:id="rId31" w:history="1">
        <w:r w:rsidR="003008E5" w:rsidRPr="003008E5">
          <w:rPr>
            <w:rFonts w:ascii="Arial" w:hAnsi="Arial"/>
            <w:color w:val="0000FF"/>
            <w:u w:val="single"/>
            <w:rtl/>
          </w:rPr>
          <w:t xml:space="preserve">4669/14 </w:t>
        </w:r>
      </w:hyperlink>
      <w:r>
        <w:rPr>
          <w:rFonts w:ascii="Arial" w:hAnsi="Arial" w:hint="cs"/>
          <w:rtl/>
        </w:rPr>
        <w:t xml:space="preserve"> </w:t>
      </w:r>
      <w:r w:rsidRPr="004A65AD">
        <w:rPr>
          <w:rFonts w:ascii="Arial" w:hAnsi="Arial" w:hint="cs"/>
          <w:b/>
          <w:bCs/>
          <w:rtl/>
        </w:rPr>
        <w:t>לופוליאנסקי נ' מדינת ישראל</w:t>
      </w:r>
      <w:r>
        <w:rPr>
          <w:rFonts w:ascii="Arial" w:hAnsi="Arial" w:hint="cs"/>
          <w:rtl/>
        </w:rPr>
        <w:t xml:space="preserve"> (29.12.15); </w:t>
      </w:r>
      <w:hyperlink r:id="rId32" w:history="1">
        <w:r w:rsidR="00745B4D" w:rsidRPr="00745B4D">
          <w:rPr>
            <w:rFonts w:ascii="Arial" w:hAnsi="Arial"/>
            <w:color w:val="0000FF"/>
            <w:u w:val="single"/>
            <w:rtl/>
          </w:rPr>
          <w:t>ע"פ 7349/14</w:t>
        </w:r>
      </w:hyperlink>
      <w:r>
        <w:rPr>
          <w:rFonts w:ascii="Arial" w:hAnsi="Arial" w:hint="cs"/>
          <w:rtl/>
        </w:rPr>
        <w:t xml:space="preserve"> </w:t>
      </w:r>
      <w:r w:rsidRPr="004A65AD">
        <w:rPr>
          <w:rFonts w:ascii="Arial" w:hAnsi="Arial" w:hint="cs"/>
          <w:b/>
          <w:bCs/>
          <w:rtl/>
        </w:rPr>
        <w:t>מדינת ישראל נ' פלונית</w:t>
      </w:r>
      <w:r>
        <w:rPr>
          <w:rFonts w:ascii="Arial" w:hAnsi="Arial" w:hint="cs"/>
          <w:rtl/>
        </w:rPr>
        <w:t xml:space="preserve"> (14.5.15)). במקרה דנא לא הונחה תשתית מספקת שתצדיק חריגה ממתחם העונש ההולם עד כדי אימוץ המלצת שירות המבחן, אך הוצגה תשתית שמצדיקה חריגה מסוימת מהמתחם. לא הוצגה על ידי הנאשם חוות דעת רפואית המסכמת את מצבו הרפואי של הנאשם וקובעת עמדה ברורה ומנומקת לגבי השפעתו הצפויה של עונש מאסר על מצבו הפיסי והנפשי של הנאשם. ברם, כן הוצגו מסמכים רפואיים שאין לפקפק באמור בהם, המלמדים על מצבו הרפואי הלא פשוט של הנאשם (נע/1, נע/2). לכך יש להוסיף כי בתסקיר שירות המבחן נכתב שהטלת עונש מאסר על הנאשם תהווה גורם רגרסיבי בנוגע אליו. המאשימה אכן הודיעה כי שירות בתי הסוהר הבהיר שהוא ערוך לקלוט את הנאשם ולטפל בו ככל שיידרש במסגרת יחידת מר"ש של שירות בתי הסוהר, ואכן ככלל מצב רפואי או נפשי מורכב איננו יכול להקנות חסינות מפני עונש מאסר, בהינתן שיש להעמיד את שירות בתי הסוהר בחזקתו לפיה הוא מסוגל לטפל כראוי באסירים הסובלים ממצב רפואי מורכב (</w:t>
      </w:r>
      <w:hyperlink r:id="rId33" w:history="1">
        <w:r w:rsidR="00745B4D" w:rsidRPr="00745B4D">
          <w:rPr>
            <w:rFonts w:ascii="Arial" w:hAnsi="Arial"/>
            <w:color w:val="0000FF"/>
            <w:u w:val="single"/>
            <w:rtl/>
          </w:rPr>
          <w:t>רע"פ 2914/21</w:t>
        </w:r>
      </w:hyperlink>
      <w:r>
        <w:rPr>
          <w:rFonts w:ascii="Arial" w:hAnsi="Arial" w:hint="cs"/>
          <w:rtl/>
        </w:rPr>
        <w:t xml:space="preserve"> </w:t>
      </w:r>
      <w:r w:rsidRPr="00D20BD0">
        <w:rPr>
          <w:rFonts w:ascii="Arial" w:hAnsi="Arial" w:hint="cs"/>
          <w:b/>
          <w:bCs/>
          <w:rtl/>
        </w:rPr>
        <w:t>כחלון נ'</w:t>
      </w:r>
      <w:r>
        <w:rPr>
          <w:rFonts w:ascii="Arial" w:hAnsi="Arial" w:hint="cs"/>
          <w:b/>
          <w:bCs/>
          <w:rtl/>
        </w:rPr>
        <w:t xml:space="preserve"> </w:t>
      </w:r>
      <w:r w:rsidRPr="00D20BD0">
        <w:rPr>
          <w:rFonts w:ascii="Arial" w:hAnsi="Arial" w:hint="cs"/>
          <w:b/>
          <w:bCs/>
          <w:rtl/>
        </w:rPr>
        <w:t>מדינת ישראל</w:t>
      </w:r>
      <w:r>
        <w:rPr>
          <w:rFonts w:ascii="Arial" w:hAnsi="Arial" w:hint="cs"/>
          <w:rtl/>
        </w:rPr>
        <w:t xml:space="preserve"> (14.6.21); </w:t>
      </w:r>
      <w:hyperlink r:id="rId34" w:history="1">
        <w:r w:rsidR="00745B4D" w:rsidRPr="00745B4D">
          <w:rPr>
            <w:rFonts w:ascii="Arial" w:hAnsi="Arial"/>
            <w:color w:val="0000FF"/>
            <w:u w:val="single"/>
            <w:rtl/>
          </w:rPr>
          <w:t>ע"פ 7757/21</w:t>
        </w:r>
      </w:hyperlink>
      <w:r>
        <w:rPr>
          <w:rFonts w:ascii="Arial" w:hAnsi="Arial" w:hint="cs"/>
          <w:rtl/>
        </w:rPr>
        <w:t xml:space="preserve"> </w:t>
      </w:r>
      <w:r w:rsidRPr="00D20BD0">
        <w:rPr>
          <w:rFonts w:ascii="Arial" w:hAnsi="Arial" w:hint="cs"/>
          <w:b/>
          <w:bCs/>
          <w:rtl/>
        </w:rPr>
        <w:t>מרזוקי נ' מדינת ישראל</w:t>
      </w:r>
      <w:r>
        <w:rPr>
          <w:rFonts w:ascii="Arial" w:hAnsi="Arial" w:hint="cs"/>
          <w:rtl/>
        </w:rPr>
        <w:t xml:space="preserve"> (24.5.22)). ואולם, אין באמור כדי לגרוע מההתרשמות העולה מהמסמכים הרפואיים שהוצגו לפיה בשל מצבו הבריאותי של הנאשם, פיסית ונפשית, ראוי לחרוג בעניינו ממתחם העונש ההולם.</w:t>
      </w:r>
    </w:p>
    <w:p w14:paraId="173137F4" w14:textId="77777777" w:rsidR="00AF0FB8" w:rsidRDefault="00AF0FB8" w:rsidP="00AF0FB8">
      <w:pPr>
        <w:pStyle w:val="a9"/>
        <w:spacing w:line="360" w:lineRule="auto"/>
        <w:jc w:val="both"/>
        <w:rPr>
          <w:rFonts w:ascii="Arial" w:hAnsi="Arial"/>
          <w:rtl/>
        </w:rPr>
      </w:pPr>
      <w:r>
        <w:rPr>
          <w:rFonts w:ascii="Arial" w:hAnsi="Arial" w:hint="cs"/>
          <w:rtl/>
        </w:rPr>
        <w:t xml:space="preserve"> </w:t>
      </w:r>
    </w:p>
    <w:p w14:paraId="563C47A8"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 xml:space="preserve">אשר לבקשת החילוט. </w:t>
      </w:r>
    </w:p>
    <w:p w14:paraId="6195E4D3" w14:textId="77777777" w:rsidR="00AF0FB8" w:rsidRDefault="00AF0FB8" w:rsidP="00AF0FB8">
      <w:pPr>
        <w:pStyle w:val="a9"/>
        <w:spacing w:line="360" w:lineRule="auto"/>
        <w:jc w:val="both"/>
        <w:rPr>
          <w:rFonts w:ascii="Arial" w:hAnsi="Arial"/>
          <w:rtl/>
        </w:rPr>
      </w:pPr>
      <w:r>
        <w:rPr>
          <w:rFonts w:ascii="Arial" w:hAnsi="Arial" w:hint="cs"/>
          <w:rtl/>
        </w:rPr>
        <w:t xml:space="preserve">חילוט רכבו של הנאשם התבקש מכוח הוראת </w:t>
      </w:r>
      <w:hyperlink r:id="rId35" w:history="1">
        <w:r w:rsidR="00053AE9" w:rsidRPr="00053AE9">
          <w:rPr>
            <w:rStyle w:val="Hyperlink"/>
            <w:rFonts w:ascii="Arial" w:hAnsi="Arial" w:hint="eastAsia"/>
            <w:rtl/>
          </w:rPr>
          <w:t>סעיף</w:t>
        </w:r>
        <w:r w:rsidR="00053AE9" w:rsidRPr="00053AE9">
          <w:rPr>
            <w:rStyle w:val="Hyperlink"/>
            <w:rFonts w:ascii="Arial" w:hAnsi="Arial"/>
            <w:rtl/>
          </w:rPr>
          <w:t xml:space="preserve"> 39</w:t>
        </w:r>
      </w:hyperlink>
      <w:r>
        <w:rPr>
          <w:rFonts w:ascii="Arial" w:hAnsi="Arial" w:hint="cs"/>
          <w:rtl/>
        </w:rPr>
        <w:t xml:space="preserve"> ל</w:t>
      </w:r>
      <w:hyperlink r:id="rId36" w:history="1">
        <w:r w:rsidR="00745B4D" w:rsidRPr="00745B4D">
          <w:rPr>
            <w:rFonts w:ascii="Arial" w:hAnsi="Arial"/>
            <w:color w:val="0000FF"/>
            <w:u w:val="single"/>
            <w:rtl/>
          </w:rPr>
          <w:t>פקודת סדר הדין הפלילי (מעצר וחיפוש)</w:t>
        </w:r>
      </w:hyperlink>
      <w:r w:rsidRPr="00510634">
        <w:rPr>
          <w:rFonts w:ascii="Arial" w:hAnsi="Arial"/>
          <w:rtl/>
        </w:rPr>
        <w:t xml:space="preserve"> [נוסח חדש], תשכ"ט-1969</w:t>
      </w:r>
      <w:r>
        <w:rPr>
          <w:rFonts w:ascii="Arial" w:hAnsi="Arial" w:hint="cs"/>
          <w:rtl/>
        </w:rPr>
        <w:t xml:space="preserve">, לאחר שהוא נתפס בידי משטרת ישראל מכוח </w:t>
      </w:r>
      <w:hyperlink r:id="rId37" w:history="1">
        <w:r w:rsidR="00053AE9" w:rsidRPr="00053AE9">
          <w:rPr>
            <w:rStyle w:val="Hyperlink"/>
            <w:rFonts w:ascii="Arial" w:hAnsi="Arial" w:hint="eastAsia"/>
            <w:rtl/>
          </w:rPr>
          <w:t>סעיף</w:t>
        </w:r>
        <w:r w:rsidR="00053AE9" w:rsidRPr="00053AE9">
          <w:rPr>
            <w:rStyle w:val="Hyperlink"/>
            <w:rFonts w:ascii="Arial" w:hAnsi="Arial"/>
            <w:rtl/>
          </w:rPr>
          <w:t xml:space="preserve"> 32</w:t>
        </w:r>
      </w:hyperlink>
      <w:r>
        <w:rPr>
          <w:rFonts w:ascii="Arial" w:hAnsi="Arial" w:hint="cs"/>
          <w:rtl/>
        </w:rPr>
        <w:t xml:space="preserve"> לפקודה על רקע העובדה שהוא שימש  את הנאשם לביצוע העבירה. חילוט חפץ אשר שימש לביצוע העבירה תלוי בין היתר בעוצמת הזיקה שבין החפץ לבין העבירה שבוצעה, בחומרת העבירה, ובאיזון הראוי בין החילוט לבין שאר מרכיבי הענישה (י. קדמי </w:t>
      </w:r>
      <w:hyperlink r:id="rId38" w:history="1">
        <w:r w:rsidR="003008E5" w:rsidRPr="003008E5">
          <w:rPr>
            <w:rFonts w:ascii="Arial" w:hAnsi="Arial"/>
            <w:b/>
            <w:bCs/>
            <w:color w:val="0000FF"/>
            <w:u w:val="single"/>
            <w:rtl/>
          </w:rPr>
          <w:t>סדר הדין בפלילים (</w:t>
        </w:r>
      </w:hyperlink>
      <w:r>
        <w:rPr>
          <w:rFonts w:ascii="Arial" w:hAnsi="Arial" w:hint="cs"/>
          <w:rtl/>
        </w:rPr>
        <w:t xml:space="preserve">2008) עמ' 736; </w:t>
      </w:r>
      <w:hyperlink r:id="rId39" w:history="1">
        <w:r w:rsidR="00745B4D" w:rsidRPr="00745B4D">
          <w:rPr>
            <w:rFonts w:ascii="Arial" w:hAnsi="Arial"/>
            <w:color w:val="0000FF"/>
            <w:u w:val="single"/>
            <w:rtl/>
          </w:rPr>
          <w:t>ע"פ 4148/92</w:t>
        </w:r>
      </w:hyperlink>
      <w:r>
        <w:rPr>
          <w:rFonts w:ascii="Arial" w:hAnsi="Arial" w:hint="cs"/>
          <w:rtl/>
        </w:rPr>
        <w:t xml:space="preserve"> </w:t>
      </w:r>
      <w:r w:rsidRPr="00171775">
        <w:rPr>
          <w:rFonts w:ascii="Arial" w:hAnsi="Arial" w:hint="cs"/>
          <w:b/>
          <w:bCs/>
          <w:rtl/>
        </w:rPr>
        <w:t>מועד נ' מדינת ישראל</w:t>
      </w:r>
      <w:r>
        <w:rPr>
          <w:rFonts w:ascii="Arial" w:hAnsi="Arial" w:hint="cs"/>
          <w:rtl/>
        </w:rPr>
        <w:t xml:space="preserve"> (22.9.94); </w:t>
      </w:r>
      <w:hyperlink r:id="rId40" w:history="1">
        <w:r w:rsidR="00745B4D" w:rsidRPr="00745B4D">
          <w:rPr>
            <w:rFonts w:ascii="Arial" w:hAnsi="Arial"/>
            <w:color w:val="0000FF"/>
            <w:u w:val="single"/>
            <w:rtl/>
          </w:rPr>
          <w:t>ע"פ 6234/03</w:t>
        </w:r>
      </w:hyperlink>
      <w:r>
        <w:rPr>
          <w:rFonts w:ascii="Arial" w:hAnsi="Arial" w:hint="cs"/>
          <w:rtl/>
        </w:rPr>
        <w:t xml:space="preserve"> </w:t>
      </w:r>
      <w:r w:rsidRPr="00171775">
        <w:rPr>
          <w:rFonts w:ascii="Arial" w:hAnsi="Arial" w:hint="cs"/>
          <w:b/>
          <w:bCs/>
          <w:rtl/>
        </w:rPr>
        <w:t>מדינת ישראל נ' זיתאוי</w:t>
      </w:r>
      <w:r>
        <w:rPr>
          <w:rFonts w:ascii="Arial" w:hAnsi="Arial" w:hint="cs"/>
          <w:rtl/>
        </w:rPr>
        <w:t xml:space="preserve"> (9.3.05)). במקרה דנא, זיקת הרכב לעבירה שבוצעה </w:t>
      </w:r>
      <w:r>
        <w:rPr>
          <w:rFonts w:ascii="Arial" w:hAnsi="Arial"/>
          <w:rtl/>
        </w:rPr>
        <w:t>–</w:t>
      </w:r>
      <w:r>
        <w:rPr>
          <w:rFonts w:ascii="Arial" w:hAnsi="Arial" w:hint="cs"/>
          <w:rtl/>
        </w:rPr>
        <w:t xml:space="preserve"> נשיאת הנשק הארוך בתוך הרכב </w:t>
      </w:r>
      <w:r>
        <w:rPr>
          <w:rFonts w:ascii="Arial" w:hAnsi="Arial"/>
          <w:rtl/>
        </w:rPr>
        <w:t>–</w:t>
      </w:r>
      <w:r>
        <w:rPr>
          <w:rFonts w:ascii="Arial" w:hAnsi="Arial" w:hint="cs"/>
          <w:rtl/>
        </w:rPr>
        <w:t xml:space="preserve"> מספיקה כדי שניתן יהיה להורות על חילוט, ברם עוצמתה של הזיקה בינונית. בנסיבות העניין חומרתה של העבירה שבוצעה תוך שימוש ברכב בינונית אף היא. לכך יש להוסיף את מצבו הרפואי של הנאשם אשר הרכב נדרש לו לצורך ניידות, ואת עונש המאסר המשמעותי שצפוי לרצות הנאשם. העולה מהמקובץ הוא, שלאור שיקולים אלו אין מקום להורות על חילוט הרכב.</w:t>
      </w:r>
    </w:p>
    <w:p w14:paraId="4E7868F7" w14:textId="77777777" w:rsidR="00AF0FB8" w:rsidRPr="00643952" w:rsidRDefault="00AF0FB8" w:rsidP="00AF0FB8">
      <w:pPr>
        <w:pStyle w:val="a9"/>
        <w:spacing w:line="360" w:lineRule="auto"/>
        <w:jc w:val="both"/>
        <w:rPr>
          <w:rFonts w:ascii="Arial" w:hAnsi="Arial"/>
          <w:rtl/>
        </w:rPr>
      </w:pPr>
    </w:p>
    <w:p w14:paraId="7C5F9E4C" w14:textId="77777777" w:rsidR="00AF0FB8" w:rsidRDefault="00AF0FB8" w:rsidP="00AF0FB8">
      <w:pPr>
        <w:pStyle w:val="a9"/>
        <w:numPr>
          <w:ilvl w:val="0"/>
          <w:numId w:val="2"/>
        </w:numPr>
        <w:spacing w:line="360" w:lineRule="auto"/>
        <w:jc w:val="both"/>
        <w:rPr>
          <w:rFonts w:ascii="Arial" w:hAnsi="Arial"/>
        </w:rPr>
      </w:pPr>
      <w:r>
        <w:rPr>
          <w:rFonts w:ascii="Arial" w:hAnsi="Arial" w:hint="cs"/>
          <w:rtl/>
        </w:rPr>
        <w:t>אשר על כן, אני גוזר על הנאשם את העונשים שלהלן:</w:t>
      </w:r>
    </w:p>
    <w:p w14:paraId="7B48D041" w14:textId="77777777" w:rsidR="00AF0FB8" w:rsidRDefault="00AF0FB8" w:rsidP="00AF0FB8">
      <w:pPr>
        <w:pStyle w:val="a9"/>
        <w:numPr>
          <w:ilvl w:val="0"/>
          <w:numId w:val="3"/>
        </w:numPr>
        <w:spacing w:line="360" w:lineRule="auto"/>
        <w:jc w:val="both"/>
        <w:rPr>
          <w:rFonts w:ascii="Arial" w:hAnsi="Arial"/>
        </w:rPr>
      </w:pPr>
      <w:r>
        <w:rPr>
          <w:rFonts w:ascii="Arial" w:hAnsi="Arial" w:hint="cs"/>
          <w:rtl/>
        </w:rPr>
        <w:t>12 חודשי מאסר בפועל בניכוי ימי מעצרו של הנאשם לפי רישומי שב"ס.</w:t>
      </w:r>
    </w:p>
    <w:p w14:paraId="336A3730" w14:textId="77777777" w:rsidR="00AF0FB8" w:rsidRPr="00E55B86" w:rsidRDefault="00AF0FB8" w:rsidP="00AF0FB8">
      <w:pPr>
        <w:pStyle w:val="a9"/>
        <w:numPr>
          <w:ilvl w:val="0"/>
          <w:numId w:val="3"/>
        </w:numPr>
        <w:spacing w:line="360" w:lineRule="auto"/>
        <w:jc w:val="both"/>
        <w:rPr>
          <w:rFonts w:ascii="Arial" w:hAnsi="Arial"/>
          <w:rtl/>
        </w:rPr>
      </w:pPr>
      <w:r>
        <w:rPr>
          <w:rFonts w:ascii="Arial" w:hAnsi="Arial" w:hint="cs"/>
          <w:rtl/>
        </w:rPr>
        <w:t>4 חודשי מאסר על תנאי אותם ירצה הנאשם בפועל אם בתוך 3 שנים מיום שחרורו מהכלא הוא יעבור עבירת נשק.</w:t>
      </w:r>
    </w:p>
    <w:p w14:paraId="0CD403BB" w14:textId="77777777" w:rsidR="00AF0FB8" w:rsidRDefault="00AF0FB8" w:rsidP="00AF0FB8">
      <w:pPr>
        <w:pStyle w:val="a9"/>
        <w:spacing w:line="360" w:lineRule="auto"/>
        <w:jc w:val="both"/>
        <w:rPr>
          <w:rFonts w:ascii="Arial" w:hAnsi="Arial"/>
          <w:rtl/>
        </w:rPr>
      </w:pPr>
    </w:p>
    <w:p w14:paraId="3C9FE7DD" w14:textId="77777777" w:rsidR="00AF0FB8" w:rsidRDefault="00AF0FB8" w:rsidP="00AF0FB8">
      <w:pPr>
        <w:pStyle w:val="a9"/>
        <w:spacing w:line="360" w:lineRule="auto"/>
        <w:jc w:val="both"/>
        <w:rPr>
          <w:rFonts w:ascii="Arial" w:hAnsi="Arial"/>
          <w:b/>
          <w:bCs/>
          <w:rtl/>
        </w:rPr>
      </w:pPr>
      <w:r w:rsidRPr="00BE31D0">
        <w:rPr>
          <w:rFonts w:ascii="Arial" w:hAnsi="Arial"/>
          <w:b/>
          <w:bCs/>
          <w:rtl/>
        </w:rPr>
        <w:t>הנאשם יתייצב לריצוי עונשו בימ"ר ניצן ביום</w:t>
      </w:r>
      <w:r>
        <w:rPr>
          <w:rFonts w:ascii="Arial" w:hAnsi="Arial" w:hint="cs"/>
          <w:b/>
          <w:bCs/>
          <w:rtl/>
        </w:rPr>
        <w:t xml:space="preserve"> 3.12.23</w:t>
      </w:r>
      <w:r w:rsidRPr="00BE31D0">
        <w:rPr>
          <w:rFonts w:ascii="Arial" w:hAnsi="Arial"/>
          <w:b/>
          <w:bCs/>
          <w:rtl/>
        </w:rPr>
        <w:t xml:space="preserve"> עד לשעה 10:00, כשברשותו תעודת זהות ועותק מגזר הדין. על הנאשם לתאם את הכניסה למאסר כולל האפשרות למיון מוקדם, עם ענף אבחון ומיון של שב"ס, טלפונים – 074-7831077, 074-7831078, ולהתעדכן באתר האינטרנט של שב"ס ברשימת הציוד הראשוני שניתן להביא בעת ההתייצבות.</w:t>
      </w:r>
      <w:r>
        <w:rPr>
          <w:rFonts w:ascii="Arial" w:hAnsi="Arial" w:hint="cs"/>
          <w:b/>
          <w:bCs/>
          <w:rtl/>
        </w:rPr>
        <w:t xml:space="preserve"> אם יוגש במועד הקבוע לכך בדין ערעור על גזר הדין אזי יידחה ביצוע העונש עד לתום הליכי הערעור.</w:t>
      </w:r>
    </w:p>
    <w:p w14:paraId="5D8ED556" w14:textId="77777777" w:rsidR="00AF0FB8" w:rsidRPr="00745B4D" w:rsidRDefault="00745B4D" w:rsidP="00AF0FB8">
      <w:pPr>
        <w:pStyle w:val="a9"/>
        <w:spacing w:line="360" w:lineRule="auto"/>
        <w:jc w:val="both"/>
        <w:rPr>
          <w:rFonts w:ascii="Arial" w:hAnsi="Arial"/>
          <w:b/>
          <w:bCs/>
          <w:color w:val="FFFFFF"/>
          <w:sz w:val="2"/>
          <w:szCs w:val="2"/>
          <w:rtl/>
        </w:rPr>
      </w:pPr>
      <w:r w:rsidRPr="00745B4D">
        <w:rPr>
          <w:rFonts w:ascii="Arial" w:hAnsi="Arial"/>
          <w:b/>
          <w:bCs/>
          <w:color w:val="FFFFFF"/>
          <w:sz w:val="2"/>
          <w:szCs w:val="2"/>
          <w:rtl/>
        </w:rPr>
        <w:t>5129371</w:t>
      </w:r>
    </w:p>
    <w:p w14:paraId="4B9B2C18" w14:textId="77777777" w:rsidR="00AF0FB8" w:rsidRPr="00A30F8A" w:rsidRDefault="00745B4D" w:rsidP="00AF0FB8">
      <w:pPr>
        <w:pStyle w:val="a9"/>
        <w:spacing w:line="360" w:lineRule="auto"/>
        <w:jc w:val="both"/>
        <w:rPr>
          <w:rFonts w:ascii="Arial" w:hAnsi="Arial"/>
          <w:b/>
          <w:bCs/>
          <w:rtl/>
        </w:rPr>
      </w:pPr>
      <w:r w:rsidRPr="00745B4D">
        <w:rPr>
          <w:rFonts w:ascii="Arial" w:hAnsi="Arial"/>
          <w:b/>
          <w:bCs/>
          <w:color w:val="FFFFFF"/>
          <w:sz w:val="2"/>
          <w:szCs w:val="2"/>
          <w:rtl/>
        </w:rPr>
        <w:t>54678313</w:t>
      </w:r>
      <w:r w:rsidR="00AF0FB8" w:rsidRPr="00A30F8A">
        <w:rPr>
          <w:rFonts w:ascii="Arial" w:hAnsi="Arial" w:hint="cs"/>
          <w:b/>
          <w:bCs/>
          <w:rtl/>
        </w:rPr>
        <w:t>הודע לנאשם על זכותו לערער לבית המשפט העליון בתוך 45 יום מהיום.</w:t>
      </w:r>
    </w:p>
    <w:p w14:paraId="1AF7651F" w14:textId="77777777" w:rsidR="00AF0FB8" w:rsidRPr="00E55B86" w:rsidRDefault="00AF0FB8" w:rsidP="00AF0FB8">
      <w:pPr>
        <w:pStyle w:val="a9"/>
        <w:spacing w:line="360" w:lineRule="auto"/>
        <w:jc w:val="both"/>
        <w:rPr>
          <w:rFonts w:ascii="Arial" w:hAnsi="Arial"/>
          <w:rtl/>
        </w:rPr>
      </w:pPr>
    </w:p>
    <w:p w14:paraId="1FEF05EB" w14:textId="77777777" w:rsidR="00AF0FB8" w:rsidRPr="00370EFB" w:rsidRDefault="00745B4D" w:rsidP="00AF0FB8">
      <w:pPr>
        <w:spacing w:line="360" w:lineRule="auto"/>
        <w:jc w:val="both"/>
        <w:rPr>
          <w:rFonts w:ascii="Arial" w:hAnsi="Arial"/>
          <w:b/>
          <w:bCs/>
          <w:sz w:val="28"/>
          <w:szCs w:val="28"/>
          <w:rtl/>
        </w:rPr>
      </w:pPr>
      <w:bookmarkStart w:id="9" w:name="Nitan"/>
      <w:r>
        <w:rPr>
          <w:rFonts w:ascii="Arial" w:hAnsi="Arial"/>
          <w:rtl/>
        </w:rPr>
        <w:t xml:space="preserve">ניתן היום,  כ"ו אב תשפ"ג, 13 אוגוסט 2023, בנוכחות הצדדים. </w:t>
      </w:r>
      <w:bookmarkEnd w:id="9"/>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b/>
          <w:bCs/>
          <w:sz w:val="28"/>
          <w:szCs w:val="28"/>
          <w:rtl/>
        </w:rPr>
        <w:tab/>
      </w:r>
      <w:r w:rsidR="00AF0FB8" w:rsidRPr="00370EFB">
        <w:rPr>
          <w:rFonts w:ascii="Arial" w:hAnsi="Arial" w:hint="cs"/>
          <w:b/>
          <w:bCs/>
          <w:sz w:val="28"/>
          <w:szCs w:val="28"/>
          <w:rtl/>
        </w:rPr>
        <w:t xml:space="preserve">         </w:t>
      </w:r>
    </w:p>
    <w:p w14:paraId="2FC2CFEE" w14:textId="77777777" w:rsidR="00AF0FB8" w:rsidRPr="002A781A" w:rsidRDefault="00AF0FB8" w:rsidP="00745B4D">
      <w:pPr>
        <w:jc w:val="center"/>
      </w:pPr>
      <w:r w:rsidRPr="00370EFB">
        <w:rPr>
          <w:rFonts w:ascii="Arial" w:hAnsi="Arial"/>
          <w:b/>
          <w:bCs/>
          <w:sz w:val="28"/>
          <w:szCs w:val="28"/>
          <w:rtl/>
        </w:rPr>
        <w:t xml:space="preserve">   </w:t>
      </w:r>
      <w:r w:rsidRPr="00370EFB">
        <w:rPr>
          <w:rFonts w:ascii="Arial" w:hAnsi="Arial"/>
          <w:b/>
          <w:bCs/>
          <w:sz w:val="28"/>
          <w:szCs w:val="28"/>
          <w:rtl/>
        </w:rPr>
        <w:tab/>
      </w:r>
      <w:r w:rsidRPr="00370EFB">
        <w:rPr>
          <w:rFonts w:ascii="Arial" w:hAnsi="Arial"/>
          <w:b/>
          <w:bCs/>
          <w:sz w:val="28"/>
          <w:szCs w:val="28"/>
          <w:rtl/>
        </w:rPr>
        <w:tab/>
      </w:r>
      <w:r w:rsidRPr="00370EFB">
        <w:rPr>
          <w:rFonts w:ascii="Arial" w:hAnsi="Arial"/>
          <w:b/>
          <w:bCs/>
          <w:sz w:val="28"/>
          <w:szCs w:val="28"/>
          <w:rtl/>
        </w:rPr>
        <w:tab/>
      </w:r>
      <w:r w:rsidRPr="00370EFB">
        <w:rPr>
          <w:rFonts w:ascii="Arial" w:hAnsi="Arial"/>
          <w:b/>
          <w:bCs/>
          <w:sz w:val="28"/>
          <w:szCs w:val="28"/>
          <w:rtl/>
        </w:rPr>
        <w:tab/>
      </w:r>
      <w:r w:rsidRPr="00370EFB">
        <w:rPr>
          <w:rFonts w:ascii="Arial" w:hAnsi="Arial"/>
          <w:b/>
          <w:bCs/>
          <w:sz w:val="28"/>
          <w:szCs w:val="28"/>
          <w:rtl/>
        </w:rPr>
        <w:tab/>
      </w:r>
    </w:p>
    <w:p w14:paraId="5FAFA2D8" w14:textId="77777777" w:rsidR="00AF0FB8" w:rsidRPr="00053AE9" w:rsidRDefault="00053AE9" w:rsidP="00AF0FB8">
      <w:pPr>
        <w:jc w:val="center"/>
        <w:rPr>
          <w:rFonts w:ascii="Arial" w:hAnsi="Arial"/>
          <w:b/>
          <w:bCs/>
          <w:color w:val="FFFFFF"/>
          <w:sz w:val="2"/>
          <w:szCs w:val="2"/>
          <w:rtl/>
        </w:rPr>
      </w:pPr>
      <w:r w:rsidRPr="00053AE9">
        <w:rPr>
          <w:rFonts w:ascii="Arial" w:hAnsi="Arial"/>
          <w:b/>
          <w:bCs/>
          <w:color w:val="FFFFFF"/>
          <w:sz w:val="2"/>
          <w:szCs w:val="2"/>
          <w:rtl/>
        </w:rPr>
        <w:t>5129371</w:t>
      </w:r>
    </w:p>
    <w:p w14:paraId="700719F3" w14:textId="77777777" w:rsidR="00745B4D" w:rsidRDefault="00053AE9" w:rsidP="00745B4D">
      <w:r w:rsidRPr="00053AE9">
        <w:rPr>
          <w:rFonts w:ascii="David" w:hAnsi="David"/>
          <w:color w:val="FFFFFF"/>
          <w:sz w:val="2"/>
          <w:szCs w:val="2"/>
          <w:rtl/>
        </w:rPr>
        <w:t>54678313</w:t>
      </w:r>
    </w:p>
    <w:p w14:paraId="5B7B652E" w14:textId="77777777" w:rsidR="00745B4D" w:rsidRDefault="00745B4D" w:rsidP="00745B4D">
      <w:pPr>
        <w:rPr>
          <w:rtl/>
        </w:rPr>
      </w:pPr>
    </w:p>
    <w:p w14:paraId="27E570C0" w14:textId="77777777" w:rsidR="00745B4D" w:rsidRDefault="00745B4D" w:rsidP="00745B4D">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82343D4" w14:textId="77777777" w:rsidR="00053AE9" w:rsidRPr="00053AE9" w:rsidRDefault="00053AE9" w:rsidP="00053AE9">
      <w:pPr>
        <w:keepNext/>
        <w:rPr>
          <w:rFonts w:ascii="David" w:hAnsi="David"/>
          <w:color w:val="000000"/>
          <w:sz w:val="22"/>
          <w:szCs w:val="22"/>
          <w:rtl/>
        </w:rPr>
      </w:pPr>
    </w:p>
    <w:p w14:paraId="6BEDD9D4" w14:textId="77777777" w:rsidR="00053AE9" w:rsidRPr="00053AE9" w:rsidRDefault="00053AE9" w:rsidP="00053AE9">
      <w:pPr>
        <w:keepNext/>
        <w:rPr>
          <w:rFonts w:ascii="David" w:hAnsi="David"/>
          <w:color w:val="000000"/>
          <w:sz w:val="22"/>
          <w:szCs w:val="22"/>
          <w:rtl/>
        </w:rPr>
      </w:pPr>
      <w:r w:rsidRPr="00053AE9">
        <w:rPr>
          <w:rFonts w:ascii="David" w:hAnsi="David"/>
          <w:color w:val="000000"/>
          <w:sz w:val="22"/>
          <w:szCs w:val="22"/>
          <w:rtl/>
        </w:rPr>
        <w:t>אברהם רובין 54678313-/</w:t>
      </w:r>
    </w:p>
    <w:p w14:paraId="1ECA949A" w14:textId="77777777" w:rsidR="00745B4D" w:rsidRPr="00745B4D" w:rsidRDefault="00053AE9" w:rsidP="00053AE9">
      <w:pPr>
        <w:rPr>
          <w:color w:val="0000FF"/>
          <w:u w:val="single"/>
        </w:rPr>
      </w:pPr>
      <w:r w:rsidRPr="00053AE9">
        <w:rPr>
          <w:color w:val="000000"/>
          <w:u w:val="single"/>
          <w:rtl/>
        </w:rPr>
        <w:t>נוסח מסמך זה כפוף לשינויי ניסוח ועריכה</w:t>
      </w:r>
    </w:p>
    <w:sectPr w:rsidR="00745B4D" w:rsidRPr="00745B4D" w:rsidSect="00053AE9">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695F7" w14:textId="77777777" w:rsidR="00930AE9" w:rsidRDefault="00930AE9" w:rsidP="00B223E4">
      <w:r>
        <w:separator/>
      </w:r>
    </w:p>
  </w:endnote>
  <w:endnote w:type="continuationSeparator" w:id="0">
    <w:p w14:paraId="780C2023" w14:textId="77777777" w:rsidR="00930AE9" w:rsidRDefault="00930AE9" w:rsidP="00B2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4C24" w14:textId="77777777" w:rsidR="00053AE9" w:rsidRDefault="00053AE9" w:rsidP="00053A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93DEBE" w14:textId="77777777" w:rsidR="00DB15E4" w:rsidRPr="00053AE9" w:rsidRDefault="00053AE9" w:rsidP="00053AE9">
    <w:pPr>
      <w:pStyle w:val="a5"/>
      <w:pBdr>
        <w:top w:val="single" w:sz="4" w:space="1" w:color="auto"/>
        <w:between w:val="single" w:sz="4" w:space="0" w:color="auto"/>
      </w:pBdr>
      <w:spacing w:after="60"/>
      <w:jc w:val="center"/>
      <w:rPr>
        <w:rFonts w:ascii="FrankRuehl" w:hAnsi="FrankRuehl" w:cs="FrankRuehl"/>
        <w:color w:val="000000"/>
      </w:rPr>
    </w:pPr>
    <w:r w:rsidRPr="00053A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06D0" w14:textId="77777777" w:rsidR="00053AE9" w:rsidRDefault="00053AE9" w:rsidP="00053A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3A20">
      <w:rPr>
        <w:rFonts w:ascii="FrankRuehl" w:hAnsi="FrankRuehl" w:cs="FrankRuehl"/>
        <w:noProof/>
        <w:rtl/>
      </w:rPr>
      <w:t>1</w:t>
    </w:r>
    <w:r>
      <w:rPr>
        <w:rFonts w:ascii="FrankRuehl" w:hAnsi="FrankRuehl" w:cs="FrankRuehl"/>
        <w:rtl/>
      </w:rPr>
      <w:fldChar w:fldCharType="end"/>
    </w:r>
  </w:p>
  <w:p w14:paraId="08FD1489" w14:textId="77777777" w:rsidR="00DB15E4" w:rsidRPr="00053AE9" w:rsidRDefault="00053AE9" w:rsidP="00053AE9">
    <w:pPr>
      <w:pStyle w:val="a5"/>
      <w:pBdr>
        <w:top w:val="single" w:sz="4" w:space="1" w:color="auto"/>
        <w:between w:val="single" w:sz="4" w:space="0" w:color="auto"/>
      </w:pBdr>
      <w:spacing w:after="60"/>
      <w:jc w:val="center"/>
      <w:rPr>
        <w:rFonts w:ascii="FrankRuehl" w:hAnsi="FrankRuehl" w:cs="FrankRuehl"/>
        <w:color w:val="000000"/>
      </w:rPr>
    </w:pPr>
    <w:r w:rsidRPr="00053AE9">
      <w:rPr>
        <w:rFonts w:ascii="FrankRuehl" w:hAnsi="FrankRuehl" w:cs="FrankRuehl"/>
        <w:color w:val="000000"/>
      </w:rPr>
      <w:pict w14:anchorId="365BA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9F50A" w14:textId="77777777" w:rsidR="00930AE9" w:rsidRDefault="00930AE9" w:rsidP="00B223E4">
      <w:r>
        <w:separator/>
      </w:r>
    </w:p>
  </w:footnote>
  <w:footnote w:type="continuationSeparator" w:id="0">
    <w:p w14:paraId="79A9A5D0" w14:textId="77777777" w:rsidR="00930AE9" w:rsidRDefault="00930AE9" w:rsidP="00B22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B0E" w14:textId="77777777" w:rsidR="00745B4D" w:rsidRPr="00053AE9" w:rsidRDefault="00053AE9" w:rsidP="00053A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10552-11-21</w:t>
    </w:r>
    <w:r>
      <w:rPr>
        <w:rFonts w:ascii="David" w:hAnsi="David"/>
        <w:color w:val="000000"/>
        <w:sz w:val="22"/>
        <w:szCs w:val="22"/>
        <w:rtl/>
      </w:rPr>
      <w:tab/>
      <w:t xml:space="preserve"> מדינת ישראל נ' סאלאח מהלוס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EC49" w14:textId="77777777" w:rsidR="00745B4D" w:rsidRPr="00053AE9" w:rsidRDefault="00053AE9" w:rsidP="00053A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10552-11-21</w:t>
    </w:r>
    <w:r>
      <w:rPr>
        <w:rFonts w:ascii="David" w:hAnsi="David"/>
        <w:color w:val="000000"/>
        <w:sz w:val="22"/>
        <w:szCs w:val="22"/>
        <w:rtl/>
      </w:rPr>
      <w:tab/>
      <w:t xml:space="preserve"> מדינת ישראל נ' סאלאח מהלוס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D19EE"/>
    <w:multiLevelType w:val="hybridMultilevel"/>
    <w:tmpl w:val="54A6B6E8"/>
    <w:lvl w:ilvl="0" w:tplc="C3A882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F674A1"/>
    <w:multiLevelType w:val="hybridMultilevel"/>
    <w:tmpl w:val="42C8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717FE"/>
    <w:multiLevelType w:val="hybridMultilevel"/>
    <w:tmpl w:val="BE3C9128"/>
    <w:lvl w:ilvl="0" w:tplc="1196E884">
      <w:start w:val="3"/>
      <w:numFmt w:val="decimal"/>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311854">
    <w:abstractNumId w:val="1"/>
  </w:num>
  <w:num w:numId="2" w16cid:durableId="934896090">
    <w:abstractNumId w:val="2"/>
  </w:num>
  <w:num w:numId="3" w16cid:durableId="7329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0FB8"/>
    <w:rsid w:val="00053AE9"/>
    <w:rsid w:val="0029529D"/>
    <w:rsid w:val="003008E5"/>
    <w:rsid w:val="00307C7F"/>
    <w:rsid w:val="006C4EF5"/>
    <w:rsid w:val="007175E9"/>
    <w:rsid w:val="00745B4D"/>
    <w:rsid w:val="008552A1"/>
    <w:rsid w:val="00930AE9"/>
    <w:rsid w:val="009A4E4C"/>
    <w:rsid w:val="00AF0FB8"/>
    <w:rsid w:val="00B03A20"/>
    <w:rsid w:val="00B223E4"/>
    <w:rsid w:val="00BA0AB9"/>
    <w:rsid w:val="00DB0210"/>
    <w:rsid w:val="00DB15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38EBCD"/>
  <w15:chartTrackingRefBased/>
  <w15:docId w15:val="{BD71E9BD-B8A2-47BE-A4A4-36000EBB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0F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0FB8"/>
    <w:pPr>
      <w:tabs>
        <w:tab w:val="center" w:pos="4153"/>
        <w:tab w:val="right" w:pos="8306"/>
      </w:tabs>
    </w:pPr>
  </w:style>
  <w:style w:type="character" w:customStyle="1" w:styleId="a4">
    <w:name w:val="כותרת עליונה תו"/>
    <w:link w:val="a3"/>
    <w:rsid w:val="00AF0FB8"/>
    <w:rPr>
      <w:rFonts w:ascii="Times New Roman" w:eastAsia="Times New Roman" w:hAnsi="Times New Roman" w:cs="David"/>
      <w:sz w:val="24"/>
      <w:szCs w:val="24"/>
    </w:rPr>
  </w:style>
  <w:style w:type="paragraph" w:styleId="a5">
    <w:name w:val="footer"/>
    <w:basedOn w:val="a"/>
    <w:link w:val="a6"/>
    <w:rsid w:val="00AF0FB8"/>
    <w:pPr>
      <w:tabs>
        <w:tab w:val="center" w:pos="4153"/>
        <w:tab w:val="right" w:pos="8306"/>
      </w:tabs>
    </w:pPr>
  </w:style>
  <w:style w:type="character" w:customStyle="1" w:styleId="a6">
    <w:name w:val="כותרת תחתונה תו"/>
    <w:link w:val="a5"/>
    <w:rsid w:val="00AF0FB8"/>
    <w:rPr>
      <w:rFonts w:ascii="Times New Roman" w:eastAsia="Times New Roman" w:hAnsi="Times New Roman" w:cs="David"/>
      <w:sz w:val="24"/>
      <w:szCs w:val="24"/>
    </w:rPr>
  </w:style>
  <w:style w:type="table" w:styleId="a7">
    <w:name w:val="Table Grid"/>
    <w:basedOn w:val="a1"/>
    <w:rsid w:val="00AF0F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0FB8"/>
  </w:style>
  <w:style w:type="paragraph" w:styleId="a9">
    <w:name w:val="List Paragraph"/>
    <w:basedOn w:val="a"/>
    <w:qFormat/>
    <w:rsid w:val="00AF0FB8"/>
    <w:pPr>
      <w:ind w:left="720"/>
      <w:contextualSpacing/>
    </w:pPr>
  </w:style>
  <w:style w:type="character" w:styleId="Hyperlink">
    <w:name w:val="Hyperlink"/>
    <w:rsid w:val="00745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3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739459" TargetMode="External"/><Relationship Id="rId39" Type="http://schemas.openxmlformats.org/officeDocument/2006/relationships/hyperlink" Target="http://www.nevo.co.il/case/17922225" TargetMode="External"/><Relationship Id="rId21" Type="http://schemas.openxmlformats.org/officeDocument/2006/relationships/hyperlink" Target="http://www.nevo.co.il/case/26905927" TargetMode="External"/><Relationship Id="rId34" Type="http://schemas.openxmlformats.org/officeDocument/2006/relationships/hyperlink" Target="http://www.nevo.co.il/case/2809239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 TargetMode="External"/><Relationship Id="rId24" Type="http://schemas.openxmlformats.org/officeDocument/2006/relationships/hyperlink" Target="http://www.nevo.co.il/case/20307783" TargetMode="External"/><Relationship Id="rId32" Type="http://schemas.openxmlformats.org/officeDocument/2006/relationships/hyperlink" Target="http://www.nevo.co.il/case/18131336" TargetMode="External"/><Relationship Id="rId37" Type="http://schemas.openxmlformats.org/officeDocument/2006/relationships/hyperlink" Target="http://www.nevo.co.il/law/74918/32" TargetMode="External"/><Relationship Id="rId40" Type="http://schemas.openxmlformats.org/officeDocument/2006/relationships/hyperlink" Target="http://www.nevo.co.il/case/6055128"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918" TargetMode="External"/><Relationship Id="rId10" Type="http://schemas.openxmlformats.org/officeDocument/2006/relationships/hyperlink" Target="http://www.nevo.co.il/law/71553"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17015235"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case/28899064" TargetMode="External"/><Relationship Id="rId35" Type="http://schemas.openxmlformats.org/officeDocument/2006/relationships/hyperlink" Target="http://www.nevo.co.il/law/74918/39" TargetMode="External"/><Relationship Id="rId43" Type="http://schemas.openxmlformats.org/officeDocument/2006/relationships/header" Target="header2.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74918/3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169485" TargetMode="External"/><Relationship Id="rId33" Type="http://schemas.openxmlformats.org/officeDocument/2006/relationships/hyperlink" Target="http://www.nevo.co.il/case/27582671" TargetMode="External"/><Relationship Id="rId38" Type="http://schemas.openxmlformats.org/officeDocument/2006/relationships/hyperlink" Target="http://www.nevo.co.il/safrut/bookgroup/2344" TargetMode="External"/><Relationship Id="rId46" Type="http://schemas.openxmlformats.org/officeDocument/2006/relationships/fontTable" Target="fontTable.xml"/><Relationship Id="rId20" Type="http://schemas.openxmlformats.org/officeDocument/2006/relationships/hyperlink" Target="http://www.nevo.co.il/case/2888308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3053</Words>
  <Characters>15267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18284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3801203</vt:i4>
      </vt:variant>
      <vt:variant>
        <vt:i4>102</vt:i4>
      </vt:variant>
      <vt:variant>
        <vt:i4>0</vt:i4>
      </vt:variant>
      <vt:variant>
        <vt:i4>5</vt:i4>
      </vt:variant>
      <vt:variant>
        <vt:lpwstr>http://www.nevo.co.il/case/6055128</vt:lpwstr>
      </vt:variant>
      <vt:variant>
        <vt:lpwstr/>
      </vt:variant>
      <vt:variant>
        <vt:i4>3670131</vt:i4>
      </vt:variant>
      <vt:variant>
        <vt:i4>99</vt:i4>
      </vt:variant>
      <vt:variant>
        <vt:i4>0</vt:i4>
      </vt:variant>
      <vt:variant>
        <vt:i4>5</vt:i4>
      </vt:variant>
      <vt:variant>
        <vt:lpwstr>http://www.nevo.co.il/case/17922225</vt:lpwstr>
      </vt:variant>
      <vt:variant>
        <vt:lpwstr/>
      </vt:variant>
      <vt:variant>
        <vt:i4>2097195</vt:i4>
      </vt:variant>
      <vt:variant>
        <vt:i4>96</vt:i4>
      </vt:variant>
      <vt:variant>
        <vt:i4>0</vt:i4>
      </vt:variant>
      <vt:variant>
        <vt:i4>5</vt:i4>
      </vt:variant>
      <vt:variant>
        <vt:lpwstr>http://www.nevo.co.il/safrut/bookgroup/2344</vt:lpwstr>
      </vt:variant>
      <vt:variant>
        <vt:lpwstr/>
      </vt:variant>
      <vt:variant>
        <vt:i4>6422629</vt:i4>
      </vt:variant>
      <vt:variant>
        <vt:i4>93</vt:i4>
      </vt:variant>
      <vt:variant>
        <vt:i4>0</vt:i4>
      </vt:variant>
      <vt:variant>
        <vt:i4>5</vt:i4>
      </vt:variant>
      <vt:variant>
        <vt:lpwstr>http://www.nevo.co.il/law/74918/32</vt:lpwstr>
      </vt:variant>
      <vt:variant>
        <vt:lpwstr/>
      </vt:variant>
      <vt:variant>
        <vt:i4>8323182</vt:i4>
      </vt:variant>
      <vt:variant>
        <vt:i4>90</vt:i4>
      </vt:variant>
      <vt:variant>
        <vt:i4>0</vt:i4>
      </vt:variant>
      <vt:variant>
        <vt:i4>5</vt:i4>
      </vt:variant>
      <vt:variant>
        <vt:lpwstr>http://www.nevo.co.il/law/74918</vt:lpwstr>
      </vt:variant>
      <vt:variant>
        <vt:lpwstr/>
      </vt:variant>
      <vt:variant>
        <vt:i4>6881381</vt:i4>
      </vt:variant>
      <vt:variant>
        <vt:i4>87</vt:i4>
      </vt:variant>
      <vt:variant>
        <vt:i4>0</vt:i4>
      </vt:variant>
      <vt:variant>
        <vt:i4>5</vt:i4>
      </vt:variant>
      <vt:variant>
        <vt:lpwstr>http://www.nevo.co.il/law/74918/39</vt:lpwstr>
      </vt:variant>
      <vt:variant>
        <vt:lpwstr/>
      </vt:variant>
      <vt:variant>
        <vt:i4>3735670</vt:i4>
      </vt:variant>
      <vt:variant>
        <vt:i4>84</vt:i4>
      </vt:variant>
      <vt:variant>
        <vt:i4>0</vt:i4>
      </vt:variant>
      <vt:variant>
        <vt:i4>5</vt:i4>
      </vt:variant>
      <vt:variant>
        <vt:lpwstr>http://www.nevo.co.il/case/28092391</vt:lpwstr>
      </vt:variant>
      <vt:variant>
        <vt:lpwstr/>
      </vt:variant>
      <vt:variant>
        <vt:i4>3276925</vt:i4>
      </vt:variant>
      <vt:variant>
        <vt:i4>81</vt:i4>
      </vt:variant>
      <vt:variant>
        <vt:i4>0</vt:i4>
      </vt:variant>
      <vt:variant>
        <vt:i4>5</vt:i4>
      </vt:variant>
      <vt:variant>
        <vt:lpwstr>http://www.nevo.co.il/case/27582671</vt:lpwstr>
      </vt:variant>
      <vt:variant>
        <vt:lpwstr/>
      </vt:variant>
      <vt:variant>
        <vt:i4>3276924</vt:i4>
      </vt:variant>
      <vt:variant>
        <vt:i4>78</vt:i4>
      </vt:variant>
      <vt:variant>
        <vt:i4>0</vt:i4>
      </vt:variant>
      <vt:variant>
        <vt:i4>5</vt:i4>
      </vt:variant>
      <vt:variant>
        <vt:lpwstr>http://www.nevo.co.il/case/18131336</vt:lpwstr>
      </vt:variant>
      <vt:variant>
        <vt:lpwstr/>
      </vt:variant>
      <vt:variant>
        <vt:i4>3604592</vt:i4>
      </vt:variant>
      <vt:variant>
        <vt:i4>75</vt:i4>
      </vt:variant>
      <vt:variant>
        <vt:i4>0</vt:i4>
      </vt:variant>
      <vt:variant>
        <vt:i4>5</vt:i4>
      </vt:variant>
      <vt:variant>
        <vt:lpwstr>http://www.nevo.co.il/case/17015235</vt:lpwstr>
      </vt:variant>
      <vt:variant>
        <vt:lpwstr/>
      </vt:variant>
      <vt:variant>
        <vt:i4>3473525</vt:i4>
      </vt:variant>
      <vt:variant>
        <vt:i4>72</vt:i4>
      </vt:variant>
      <vt:variant>
        <vt:i4>0</vt:i4>
      </vt:variant>
      <vt:variant>
        <vt:i4>5</vt:i4>
      </vt:variant>
      <vt:variant>
        <vt:lpwstr>http://www.nevo.co.il/case/28899064</vt:lpwstr>
      </vt:variant>
      <vt:variant>
        <vt:lpwstr/>
      </vt:variant>
      <vt:variant>
        <vt:i4>8257634</vt:i4>
      </vt:variant>
      <vt:variant>
        <vt:i4>69</vt:i4>
      </vt:variant>
      <vt:variant>
        <vt:i4>0</vt:i4>
      </vt:variant>
      <vt:variant>
        <vt:i4>5</vt:i4>
      </vt:variant>
      <vt:variant>
        <vt:lpwstr>http://www.nevo.co.il/law/71553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4915205</vt:i4>
      </vt:variant>
      <vt:variant>
        <vt:i4>63</vt:i4>
      </vt:variant>
      <vt:variant>
        <vt:i4>0</vt:i4>
      </vt:variant>
      <vt:variant>
        <vt:i4>5</vt:i4>
      </vt:variant>
      <vt:variant>
        <vt:lpwstr>http://www.nevo.co.il/law/70301/40d.a</vt:lpwstr>
      </vt:variant>
      <vt:variant>
        <vt:lpwstr/>
      </vt:variant>
      <vt:variant>
        <vt:i4>3735665</vt:i4>
      </vt:variant>
      <vt:variant>
        <vt:i4>60</vt:i4>
      </vt:variant>
      <vt:variant>
        <vt:i4>0</vt:i4>
      </vt:variant>
      <vt:variant>
        <vt:i4>5</vt:i4>
      </vt:variant>
      <vt:variant>
        <vt:lpwstr>http://www.nevo.co.il/case/22739459</vt:lpwstr>
      </vt:variant>
      <vt:variant>
        <vt:lpwstr/>
      </vt:variant>
      <vt:variant>
        <vt:i4>3276917</vt:i4>
      </vt:variant>
      <vt:variant>
        <vt:i4>57</vt:i4>
      </vt:variant>
      <vt:variant>
        <vt:i4>0</vt:i4>
      </vt:variant>
      <vt:variant>
        <vt:i4>5</vt:i4>
      </vt:variant>
      <vt:variant>
        <vt:lpwstr>http://www.nevo.co.il/case/23169485</vt:lpwstr>
      </vt:variant>
      <vt:variant>
        <vt:lpwstr/>
      </vt:variant>
      <vt:variant>
        <vt:i4>4063347</vt:i4>
      </vt:variant>
      <vt:variant>
        <vt:i4>54</vt:i4>
      </vt:variant>
      <vt:variant>
        <vt:i4>0</vt:i4>
      </vt:variant>
      <vt:variant>
        <vt:i4>5</vt:i4>
      </vt:variant>
      <vt:variant>
        <vt:lpwstr>http://www.nevo.co.il/case/20307783</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3211383</vt:i4>
      </vt:variant>
      <vt:variant>
        <vt:i4>48</vt:i4>
      </vt:variant>
      <vt:variant>
        <vt:i4>0</vt:i4>
      </vt:variant>
      <vt:variant>
        <vt:i4>5</vt:i4>
      </vt:variant>
      <vt:variant>
        <vt:lpwstr>http://www.nevo.co.il/case/28697227</vt:lpwstr>
      </vt:variant>
      <vt:variant>
        <vt:lpwstr/>
      </vt:variant>
      <vt:variant>
        <vt:i4>3932283</vt:i4>
      </vt:variant>
      <vt:variant>
        <vt:i4>45</vt:i4>
      </vt:variant>
      <vt:variant>
        <vt:i4>0</vt:i4>
      </vt:variant>
      <vt:variant>
        <vt:i4>5</vt:i4>
      </vt:variant>
      <vt:variant>
        <vt:lpwstr>http://www.nevo.co.il/case/26905927</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6881381</vt:i4>
      </vt:variant>
      <vt:variant>
        <vt:i4>21</vt:i4>
      </vt:variant>
      <vt:variant>
        <vt:i4>0</vt:i4>
      </vt:variant>
      <vt:variant>
        <vt:i4>5</vt:i4>
      </vt:variant>
      <vt:variant>
        <vt:lpwstr>http://www.nevo.co.il/law/74918/39</vt:lpwstr>
      </vt:variant>
      <vt:variant>
        <vt:lpwstr/>
      </vt:variant>
      <vt:variant>
        <vt:i4>6422629</vt:i4>
      </vt:variant>
      <vt:variant>
        <vt:i4>18</vt:i4>
      </vt:variant>
      <vt:variant>
        <vt:i4>0</vt:i4>
      </vt:variant>
      <vt:variant>
        <vt:i4>5</vt:i4>
      </vt:variant>
      <vt:variant>
        <vt:lpwstr>http://www.nevo.co.il/law/74918/32</vt:lpwstr>
      </vt:variant>
      <vt:variant>
        <vt:lpwstr/>
      </vt:variant>
      <vt:variant>
        <vt:i4>8323182</vt:i4>
      </vt:variant>
      <vt:variant>
        <vt:i4>15</vt:i4>
      </vt:variant>
      <vt:variant>
        <vt:i4>0</vt:i4>
      </vt:variant>
      <vt:variant>
        <vt:i4>5</vt:i4>
      </vt:variant>
      <vt:variant>
        <vt:lpwstr>http://www.nevo.co.il/law/74918</vt:lpwstr>
      </vt:variant>
      <vt:variant>
        <vt:lpwstr/>
      </vt:variant>
      <vt:variant>
        <vt:i4>8257634</vt:i4>
      </vt:variant>
      <vt:variant>
        <vt:i4>12</vt:i4>
      </vt:variant>
      <vt:variant>
        <vt:i4>0</vt:i4>
      </vt:variant>
      <vt:variant>
        <vt:i4>5</vt:i4>
      </vt:variant>
      <vt:variant>
        <vt:lpwstr>http://www.nevo.co.il/law/71553</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2097195</vt:i4>
      </vt:variant>
      <vt:variant>
        <vt:i4>0</vt:i4>
      </vt:variant>
      <vt:variant>
        <vt:i4>0</vt:i4>
      </vt:variant>
      <vt:variant>
        <vt:i4>5</vt:i4>
      </vt:variant>
      <vt:variant>
        <vt:lpwstr>http://www.nevo.co.il/safrut/bookgroup/2344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10552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סאלאח מהלוס;ווסים מהלוס</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20230813</vt:lpwstr>
  </property>
  <property fmtid="{D5CDD505-2E9C-101B-9397-08002B2CF9AE}" pid="13" name="TYPE_N_DATE">
    <vt:lpwstr>39020230813</vt:lpwstr>
  </property>
  <property fmtid="{D5CDD505-2E9C-101B-9397-08002B2CF9AE}" pid="14" name="WORDNUMPAGES">
    <vt:lpwstr>9</vt:lpwstr>
  </property>
  <property fmtid="{D5CDD505-2E9C-101B-9397-08002B2CF9AE}" pid="15" name="TYPE_ABS_DATE">
    <vt:lpwstr>390020230813</vt:lpwstr>
  </property>
  <property fmtid="{D5CDD505-2E9C-101B-9397-08002B2CF9AE}" pid="16" name="ISABSTRACT">
    <vt:lpwstr>Y</vt:lpwstr>
  </property>
  <property fmtid="{D5CDD505-2E9C-101B-9397-08002B2CF9AE}" pid="17" name="CASESLISTTMP1">
    <vt:lpwstr>25824863;28883087;26905927;28697227;7791493;20307783;23169485;22739459;28899064;17015235;18131336;27582671;28092391;17922225;6055128</vt:lpwstr>
  </property>
  <property fmtid="{D5CDD505-2E9C-101B-9397-08002B2CF9AE}" pid="18" name="BOOKGROUPTMP1">
    <vt:lpwstr>2344</vt:lpwstr>
  </property>
  <property fmtid="{D5CDD505-2E9C-101B-9397-08002B2CF9AE}" pid="19" name="LAWLISTTMP1">
    <vt:lpwstr>70301/144.b;040d.a</vt:lpwstr>
  </property>
  <property fmtid="{D5CDD505-2E9C-101B-9397-08002B2CF9AE}" pid="20" name="LAWLISTTMP2">
    <vt:lpwstr>71553</vt:lpwstr>
  </property>
  <property fmtid="{D5CDD505-2E9C-101B-9397-08002B2CF9AE}" pid="21" name="LAWLISTTMP3">
    <vt:lpwstr>74918/039;032</vt:lpwstr>
  </property>
</Properties>
</file>