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1472B" w:rsidRPr="000479B7" w14:paraId="5A9BAAA7" w14:textId="77777777" w:rsidTr="00AB4C91">
        <w:trPr>
          <w:gridAfter w:val="1"/>
          <w:wAfter w:w="99" w:type="dxa"/>
          <w:trHeight w:hRule="exact" w:val="418"/>
          <w:jc w:val="center"/>
        </w:trPr>
        <w:tc>
          <w:tcPr>
            <w:tcW w:w="8721" w:type="dxa"/>
            <w:gridSpan w:val="4"/>
          </w:tcPr>
          <w:p w14:paraId="785E742C" w14:textId="77777777" w:rsidR="00A1472B" w:rsidRPr="000479B7" w:rsidRDefault="00A1472B" w:rsidP="00846195">
            <w:pPr>
              <w:pStyle w:val="a3"/>
              <w:jc w:val="center"/>
              <w:rPr>
                <w:rFonts w:ascii="Tahoma" w:hAnsi="Tahoma" w:cs="Tahoma"/>
                <w:color w:val="000080"/>
                <w:rtl/>
              </w:rPr>
            </w:pPr>
            <w:bookmarkStart w:id="0" w:name="LastJudge"/>
            <w:r w:rsidRPr="000479B7">
              <w:rPr>
                <w:rFonts w:ascii="Tahoma" w:hAnsi="Tahoma" w:cs="Tahoma"/>
                <w:b/>
                <w:bCs/>
                <w:color w:val="000080"/>
                <w:rtl/>
              </w:rPr>
              <w:t>בית המשפט המחוזי מרכז-לוד</w:t>
            </w:r>
          </w:p>
        </w:tc>
      </w:tr>
      <w:tr w:rsidR="00A1472B" w:rsidRPr="000479B7" w14:paraId="5477B5D1" w14:textId="77777777" w:rsidTr="00AB4C91">
        <w:trPr>
          <w:gridAfter w:val="1"/>
          <w:wAfter w:w="99" w:type="dxa"/>
          <w:trHeight w:val="337"/>
          <w:jc w:val="center"/>
        </w:trPr>
        <w:tc>
          <w:tcPr>
            <w:tcW w:w="5054" w:type="dxa"/>
            <w:gridSpan w:val="3"/>
          </w:tcPr>
          <w:p w14:paraId="20EEAD73" w14:textId="77777777" w:rsidR="00A1472B" w:rsidRPr="000479B7" w:rsidRDefault="00A1472B" w:rsidP="00846195">
            <w:pPr>
              <w:rPr>
                <w:rFonts w:cs="FrankRuehl"/>
                <w:sz w:val="28"/>
                <w:szCs w:val="28"/>
                <w:rtl/>
              </w:rPr>
            </w:pPr>
            <w:r w:rsidRPr="000479B7">
              <w:rPr>
                <w:rFonts w:cs="FrankRuehl"/>
                <w:sz w:val="28"/>
                <w:szCs w:val="28"/>
                <w:rtl/>
              </w:rPr>
              <w:t>ת"פ</w:t>
            </w:r>
            <w:r w:rsidRPr="000479B7">
              <w:rPr>
                <w:rFonts w:cs="FrankRuehl" w:hint="cs"/>
                <w:sz w:val="28"/>
                <w:szCs w:val="28"/>
                <w:rtl/>
              </w:rPr>
              <w:t xml:space="preserve"> </w:t>
            </w:r>
            <w:r w:rsidRPr="000479B7">
              <w:rPr>
                <w:rFonts w:cs="FrankRuehl"/>
                <w:sz w:val="28"/>
                <w:szCs w:val="28"/>
                <w:rtl/>
              </w:rPr>
              <w:t>10650-11-21</w:t>
            </w:r>
            <w:r w:rsidRPr="000479B7">
              <w:rPr>
                <w:rFonts w:cs="FrankRuehl" w:hint="cs"/>
                <w:sz w:val="28"/>
                <w:szCs w:val="28"/>
                <w:rtl/>
              </w:rPr>
              <w:t xml:space="preserve"> </w:t>
            </w:r>
            <w:r w:rsidRPr="000479B7">
              <w:rPr>
                <w:rFonts w:cs="FrankRuehl"/>
                <w:sz w:val="28"/>
                <w:szCs w:val="28"/>
                <w:rtl/>
              </w:rPr>
              <w:t>מדינת ישראל נ' חאג יחיא ואח'</w:t>
            </w:r>
          </w:p>
          <w:p w14:paraId="7F80D403" w14:textId="77777777" w:rsidR="00A1472B" w:rsidRPr="000479B7" w:rsidRDefault="00A1472B" w:rsidP="00846195">
            <w:pPr>
              <w:pStyle w:val="a3"/>
              <w:rPr>
                <w:rFonts w:cs="FrankRuehl"/>
                <w:sz w:val="28"/>
                <w:szCs w:val="28"/>
                <w:rtl/>
              </w:rPr>
            </w:pPr>
          </w:p>
        </w:tc>
        <w:tc>
          <w:tcPr>
            <w:tcW w:w="3667" w:type="dxa"/>
          </w:tcPr>
          <w:p w14:paraId="0C5282FC" w14:textId="77777777" w:rsidR="00A1472B" w:rsidRPr="000479B7" w:rsidRDefault="00A1472B" w:rsidP="00846195">
            <w:pPr>
              <w:pStyle w:val="a3"/>
              <w:jc w:val="right"/>
              <w:rPr>
                <w:rFonts w:cs="FrankRuehl"/>
                <w:sz w:val="28"/>
                <w:szCs w:val="28"/>
                <w:rtl/>
              </w:rPr>
            </w:pPr>
          </w:p>
        </w:tc>
      </w:tr>
      <w:tr w:rsidR="00A1472B" w:rsidRPr="000479B7" w14:paraId="67CFF992" w14:textId="77777777" w:rsidTr="00AB4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F86FC94" w14:textId="77777777" w:rsidR="00A1472B" w:rsidRPr="000479B7" w:rsidRDefault="00A1472B" w:rsidP="00A1472B">
            <w:pPr>
              <w:jc w:val="both"/>
              <w:rPr>
                <w:rFonts w:ascii="David" w:hAnsi="David"/>
                <w:sz w:val="26"/>
                <w:szCs w:val="26"/>
              </w:rPr>
            </w:pPr>
            <w:r w:rsidRPr="000479B7">
              <w:rPr>
                <w:rFonts w:hint="cs"/>
                <w:rtl/>
              </w:rPr>
              <w:t xml:space="preserve"> </w:t>
            </w:r>
            <w:r w:rsidRPr="000479B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8947196" w14:textId="77777777" w:rsidR="00A1472B" w:rsidRPr="000479B7" w:rsidRDefault="00A1472B" w:rsidP="00846195">
            <w:pPr>
              <w:rPr>
                <w:rFonts w:ascii="David" w:hAnsi="David"/>
                <w:b/>
                <w:bCs/>
                <w:sz w:val="26"/>
                <w:szCs w:val="26"/>
                <w:rtl/>
              </w:rPr>
            </w:pPr>
            <w:r w:rsidRPr="000479B7">
              <w:rPr>
                <w:rFonts w:ascii="David" w:hAnsi="David"/>
                <w:b/>
                <w:bCs/>
                <w:sz w:val="26"/>
                <w:szCs w:val="26"/>
                <w:rtl/>
              </w:rPr>
              <w:t>כבוד השופטת  מרב גרינברג</w:t>
            </w:r>
          </w:p>
          <w:p w14:paraId="01D66DB3" w14:textId="77777777" w:rsidR="00A1472B" w:rsidRPr="000479B7" w:rsidRDefault="00A1472B" w:rsidP="00846195">
            <w:pPr>
              <w:rPr>
                <w:rFonts w:ascii="David" w:hAnsi="David"/>
                <w:sz w:val="26"/>
                <w:szCs w:val="26"/>
                <w:rtl/>
              </w:rPr>
            </w:pPr>
          </w:p>
          <w:p w14:paraId="1A3B1637" w14:textId="77777777" w:rsidR="00A1472B" w:rsidRPr="000479B7" w:rsidRDefault="00A1472B" w:rsidP="00A1472B">
            <w:pPr>
              <w:jc w:val="both"/>
              <w:rPr>
                <w:rFonts w:ascii="David" w:hAnsi="David"/>
                <w:sz w:val="26"/>
                <w:szCs w:val="26"/>
              </w:rPr>
            </w:pPr>
          </w:p>
        </w:tc>
      </w:tr>
      <w:tr w:rsidR="00A1472B" w:rsidRPr="000479B7" w14:paraId="36232D72" w14:textId="77777777" w:rsidTr="00AB4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A652B9" w14:textId="77777777" w:rsidR="00A1472B" w:rsidRPr="000479B7" w:rsidRDefault="00A1472B" w:rsidP="00A1472B">
            <w:pPr>
              <w:jc w:val="both"/>
              <w:rPr>
                <w:rFonts w:ascii="David" w:hAnsi="David"/>
                <w:sz w:val="26"/>
                <w:szCs w:val="26"/>
              </w:rPr>
            </w:pPr>
            <w:bookmarkStart w:id="1" w:name="FirstAppellant"/>
            <w:bookmarkStart w:id="2" w:name="FirstLawyer"/>
            <w:r w:rsidRPr="000479B7">
              <w:rPr>
                <w:rFonts w:ascii="David" w:hAnsi="David"/>
                <w:sz w:val="26"/>
                <w:szCs w:val="26"/>
                <w:rtl/>
              </w:rPr>
              <w:t>בעניין:</w:t>
            </w:r>
          </w:p>
        </w:tc>
        <w:tc>
          <w:tcPr>
            <w:tcW w:w="3219" w:type="dxa"/>
            <w:tcBorders>
              <w:top w:val="nil"/>
              <w:left w:val="nil"/>
              <w:bottom w:val="nil"/>
              <w:right w:val="nil"/>
            </w:tcBorders>
            <w:shd w:val="clear" w:color="auto" w:fill="auto"/>
          </w:tcPr>
          <w:p w14:paraId="77C04045" w14:textId="77777777" w:rsidR="00A1472B" w:rsidRPr="000479B7" w:rsidRDefault="00A1472B" w:rsidP="00A1472B">
            <w:pPr>
              <w:suppressLineNumbers/>
            </w:pPr>
            <w:r w:rsidRPr="000479B7">
              <w:rPr>
                <w:rFonts w:ascii="Arial" w:hAnsi="Arial" w:hint="cs"/>
                <w:b/>
                <w:bCs/>
                <w:sz w:val="26"/>
                <w:szCs w:val="26"/>
                <w:rtl/>
              </w:rPr>
              <w:t>ה</w:t>
            </w:r>
            <w:r w:rsidRPr="000479B7">
              <w:rPr>
                <w:rFonts w:ascii="Arial" w:hAnsi="Arial"/>
                <w:b/>
                <w:bCs/>
                <w:sz w:val="26"/>
                <w:szCs w:val="26"/>
                <w:rtl/>
              </w:rPr>
              <w:t>מאשימה</w:t>
            </w:r>
          </w:p>
          <w:p w14:paraId="256E98B2" w14:textId="77777777" w:rsidR="00A1472B" w:rsidRPr="000479B7" w:rsidRDefault="00A1472B" w:rsidP="0084619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EE4A16F" w14:textId="77777777" w:rsidR="00A1472B" w:rsidRPr="000479B7" w:rsidRDefault="00A1472B" w:rsidP="00A1472B">
            <w:pPr>
              <w:suppressLineNumbers/>
              <w:rPr>
                <w:rFonts w:ascii="Arial" w:hAnsi="Arial"/>
                <w:b/>
                <w:bCs/>
                <w:sz w:val="26"/>
                <w:szCs w:val="26"/>
                <w:rtl/>
              </w:rPr>
            </w:pPr>
            <w:r w:rsidRPr="000479B7">
              <w:rPr>
                <w:rFonts w:ascii="Arial" w:hAnsi="Arial" w:hint="cs"/>
                <w:b/>
                <w:bCs/>
                <w:sz w:val="26"/>
                <w:szCs w:val="26"/>
                <w:rtl/>
              </w:rPr>
              <w:t xml:space="preserve">             </w:t>
            </w:r>
            <w:r w:rsidRPr="000479B7">
              <w:rPr>
                <w:rFonts w:ascii="Arial" w:hAnsi="Arial"/>
                <w:b/>
                <w:bCs/>
                <w:sz w:val="26"/>
                <w:szCs w:val="26"/>
                <w:rtl/>
              </w:rPr>
              <w:t>מדינת ישראל</w:t>
            </w:r>
            <w:r w:rsidRPr="000479B7">
              <w:rPr>
                <w:rFonts w:ascii="Arial" w:hAnsi="Arial" w:hint="cs"/>
                <w:b/>
                <w:bCs/>
                <w:sz w:val="26"/>
                <w:szCs w:val="26"/>
                <w:rtl/>
              </w:rPr>
              <w:t xml:space="preserve"> </w:t>
            </w:r>
          </w:p>
          <w:p w14:paraId="4411DEB7" w14:textId="77777777" w:rsidR="00A1472B" w:rsidRPr="000479B7" w:rsidRDefault="00A1472B" w:rsidP="00A1472B">
            <w:pPr>
              <w:suppressLineNumbers/>
            </w:pPr>
            <w:r w:rsidRPr="000479B7">
              <w:rPr>
                <w:rFonts w:ascii="Arial" w:hAnsi="Arial" w:hint="cs"/>
                <w:b/>
                <w:bCs/>
                <w:sz w:val="26"/>
                <w:szCs w:val="26"/>
                <w:rtl/>
              </w:rPr>
              <w:t xml:space="preserve">             </w:t>
            </w:r>
            <w:r w:rsidRPr="000479B7">
              <w:rPr>
                <w:rFonts w:ascii="Arial" w:hAnsi="Arial"/>
                <w:b/>
                <w:bCs/>
                <w:sz w:val="26"/>
                <w:szCs w:val="26"/>
                <w:rtl/>
              </w:rPr>
              <w:t>ע"י ב"כ עוה"ד</w:t>
            </w:r>
            <w:r w:rsidRPr="000479B7">
              <w:rPr>
                <w:rFonts w:ascii="Arial" w:hAnsi="Arial" w:hint="cs"/>
                <w:b/>
                <w:bCs/>
                <w:sz w:val="26"/>
                <w:szCs w:val="26"/>
                <w:rtl/>
              </w:rPr>
              <w:t xml:space="preserve"> יעל תרם</w:t>
            </w:r>
          </w:p>
          <w:p w14:paraId="7C99DF94" w14:textId="77777777" w:rsidR="00A1472B" w:rsidRPr="000479B7" w:rsidRDefault="00A1472B" w:rsidP="00846195">
            <w:pPr>
              <w:rPr>
                <w:rFonts w:ascii="David" w:hAnsi="David"/>
                <w:sz w:val="26"/>
                <w:szCs w:val="26"/>
              </w:rPr>
            </w:pPr>
          </w:p>
        </w:tc>
      </w:tr>
      <w:bookmarkEnd w:id="1"/>
      <w:bookmarkEnd w:id="2"/>
      <w:tr w:rsidR="00A1472B" w:rsidRPr="000479B7" w14:paraId="263FD5A6" w14:textId="77777777" w:rsidTr="00AB4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9351D7" w14:textId="77777777" w:rsidR="00A1472B" w:rsidRPr="000479B7" w:rsidRDefault="00A1472B" w:rsidP="00A1472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4B7A6BB" w14:textId="77777777" w:rsidR="00A1472B" w:rsidRPr="000479B7" w:rsidRDefault="00A1472B" w:rsidP="00A1472B">
            <w:pPr>
              <w:jc w:val="center"/>
              <w:rPr>
                <w:rFonts w:ascii="David" w:hAnsi="David"/>
                <w:b/>
                <w:bCs/>
                <w:sz w:val="26"/>
                <w:szCs w:val="26"/>
                <w:rtl/>
              </w:rPr>
            </w:pPr>
          </w:p>
          <w:p w14:paraId="44843710" w14:textId="77777777" w:rsidR="00A1472B" w:rsidRPr="000479B7" w:rsidRDefault="00A1472B" w:rsidP="00A1472B">
            <w:pPr>
              <w:jc w:val="center"/>
              <w:rPr>
                <w:rFonts w:ascii="David" w:hAnsi="David"/>
                <w:b/>
                <w:bCs/>
                <w:sz w:val="26"/>
                <w:szCs w:val="26"/>
                <w:rtl/>
              </w:rPr>
            </w:pPr>
            <w:r w:rsidRPr="000479B7">
              <w:rPr>
                <w:rFonts w:ascii="David" w:hAnsi="David" w:hint="cs"/>
                <w:b/>
                <w:bCs/>
                <w:sz w:val="26"/>
                <w:szCs w:val="26"/>
                <w:rtl/>
              </w:rPr>
              <w:t xml:space="preserve">                           </w:t>
            </w:r>
            <w:r w:rsidRPr="000479B7">
              <w:rPr>
                <w:rFonts w:ascii="David" w:hAnsi="David"/>
                <w:b/>
                <w:bCs/>
                <w:sz w:val="26"/>
                <w:szCs w:val="26"/>
                <w:rtl/>
              </w:rPr>
              <w:t>נגד</w:t>
            </w:r>
          </w:p>
          <w:p w14:paraId="1F4146A4" w14:textId="77777777" w:rsidR="00A1472B" w:rsidRPr="000479B7" w:rsidRDefault="00A1472B" w:rsidP="00A1472B">
            <w:pPr>
              <w:jc w:val="both"/>
              <w:rPr>
                <w:rFonts w:ascii="David" w:hAnsi="David"/>
                <w:sz w:val="26"/>
                <w:szCs w:val="26"/>
              </w:rPr>
            </w:pPr>
          </w:p>
        </w:tc>
      </w:tr>
      <w:tr w:rsidR="00A1472B" w:rsidRPr="000479B7" w14:paraId="4697EC49" w14:textId="77777777" w:rsidTr="00AB4C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F4137F" w14:textId="77777777" w:rsidR="00A1472B" w:rsidRPr="000479B7" w:rsidRDefault="00A1472B" w:rsidP="00846195">
            <w:pPr>
              <w:rPr>
                <w:rFonts w:ascii="David" w:hAnsi="David"/>
                <w:sz w:val="26"/>
                <w:szCs w:val="26"/>
                <w:rtl/>
              </w:rPr>
            </w:pPr>
          </w:p>
        </w:tc>
        <w:tc>
          <w:tcPr>
            <w:tcW w:w="3219" w:type="dxa"/>
            <w:tcBorders>
              <w:top w:val="nil"/>
              <w:left w:val="nil"/>
              <w:bottom w:val="nil"/>
              <w:right w:val="nil"/>
            </w:tcBorders>
            <w:shd w:val="clear" w:color="auto" w:fill="auto"/>
          </w:tcPr>
          <w:p w14:paraId="239CF94E" w14:textId="77777777" w:rsidR="00A1472B" w:rsidRPr="000479B7" w:rsidRDefault="00A1472B" w:rsidP="00846195">
            <w:pPr>
              <w:rPr>
                <w:rFonts w:ascii="Arial" w:hAnsi="Arial"/>
                <w:b/>
                <w:bCs/>
                <w:sz w:val="26"/>
                <w:szCs w:val="26"/>
                <w:rtl/>
              </w:rPr>
            </w:pPr>
            <w:r w:rsidRPr="000479B7">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814FD13" w14:textId="77777777" w:rsidR="00A1472B" w:rsidRPr="000479B7" w:rsidRDefault="00A1472B" w:rsidP="00846195">
            <w:pPr>
              <w:rPr>
                <w:rFonts w:ascii="Arial" w:hAnsi="Arial"/>
                <w:b/>
                <w:bCs/>
                <w:sz w:val="26"/>
                <w:szCs w:val="26"/>
              </w:rPr>
            </w:pPr>
          </w:p>
          <w:p w14:paraId="383DB6A4" w14:textId="77777777" w:rsidR="00A1472B" w:rsidRPr="000479B7" w:rsidRDefault="00A1472B" w:rsidP="00A1472B">
            <w:pPr>
              <w:pStyle w:val="a9"/>
              <w:numPr>
                <w:ilvl w:val="0"/>
                <w:numId w:val="1"/>
              </w:numPr>
              <w:suppressLineNumbers/>
              <w:rPr>
                <w:rFonts w:ascii="Arial" w:hAnsi="Arial"/>
                <w:b/>
                <w:bCs/>
                <w:sz w:val="26"/>
                <w:szCs w:val="26"/>
                <w:rtl/>
              </w:rPr>
            </w:pPr>
            <w:r w:rsidRPr="000479B7">
              <w:rPr>
                <w:rFonts w:ascii="Arial" w:hAnsi="Arial"/>
                <w:b/>
                <w:bCs/>
                <w:sz w:val="26"/>
                <w:szCs w:val="26"/>
                <w:rtl/>
              </w:rPr>
              <w:t>סיראג חאג יחיא</w:t>
            </w:r>
            <w:r w:rsidRPr="000479B7">
              <w:rPr>
                <w:rFonts w:ascii="Arial" w:hAnsi="Arial" w:hint="cs"/>
                <w:b/>
                <w:bCs/>
                <w:sz w:val="26"/>
                <w:szCs w:val="26"/>
                <w:rtl/>
              </w:rPr>
              <w:t xml:space="preserve"> </w:t>
            </w:r>
          </w:p>
          <w:p w14:paraId="32948B45" w14:textId="77777777" w:rsidR="00A1472B" w:rsidRPr="000479B7" w:rsidRDefault="00A1472B" w:rsidP="00A1472B">
            <w:pPr>
              <w:pStyle w:val="a9"/>
              <w:suppressLineNumbers/>
              <w:rPr>
                <w:rFonts w:ascii="Arial" w:hAnsi="Arial"/>
                <w:b/>
                <w:bCs/>
                <w:sz w:val="26"/>
                <w:szCs w:val="26"/>
              </w:rPr>
            </w:pPr>
            <w:r w:rsidRPr="000479B7">
              <w:rPr>
                <w:rFonts w:ascii="Arial" w:hAnsi="Arial"/>
                <w:b/>
                <w:bCs/>
                <w:sz w:val="26"/>
                <w:szCs w:val="26"/>
                <w:rtl/>
              </w:rPr>
              <w:t>ע"י ב"כ עוה"ד</w:t>
            </w:r>
            <w:r w:rsidRPr="000479B7">
              <w:rPr>
                <w:rFonts w:ascii="Arial" w:hAnsi="Arial" w:hint="cs"/>
                <w:b/>
                <w:bCs/>
                <w:sz w:val="26"/>
                <w:szCs w:val="26"/>
                <w:rtl/>
              </w:rPr>
              <w:t xml:space="preserve"> אבנר שמש</w:t>
            </w:r>
          </w:p>
          <w:p w14:paraId="07AF99CE" w14:textId="77777777" w:rsidR="00A1472B" w:rsidRPr="000479B7" w:rsidRDefault="00A1472B" w:rsidP="00A1472B">
            <w:pPr>
              <w:pStyle w:val="a9"/>
              <w:numPr>
                <w:ilvl w:val="0"/>
                <w:numId w:val="1"/>
              </w:numPr>
              <w:suppressLineNumbers/>
              <w:rPr>
                <w:rFonts w:ascii="Arial" w:hAnsi="Arial"/>
                <w:b/>
                <w:bCs/>
                <w:sz w:val="26"/>
                <w:szCs w:val="26"/>
                <w:rtl/>
              </w:rPr>
            </w:pPr>
            <w:r w:rsidRPr="000479B7">
              <w:rPr>
                <w:rFonts w:ascii="Arial" w:hAnsi="Arial"/>
                <w:b/>
                <w:bCs/>
                <w:sz w:val="26"/>
                <w:szCs w:val="26"/>
                <w:rtl/>
              </w:rPr>
              <w:t>לואי אלנסאסרה</w:t>
            </w:r>
            <w:r w:rsidRPr="000479B7">
              <w:rPr>
                <w:rFonts w:ascii="Arial" w:hAnsi="Arial" w:hint="cs"/>
                <w:b/>
                <w:bCs/>
                <w:sz w:val="26"/>
                <w:szCs w:val="26"/>
                <w:rtl/>
              </w:rPr>
              <w:t xml:space="preserve"> </w:t>
            </w:r>
          </w:p>
          <w:p w14:paraId="76AC2F1A" w14:textId="77777777" w:rsidR="00A1472B" w:rsidRPr="000479B7" w:rsidRDefault="00A1472B" w:rsidP="00A1472B">
            <w:pPr>
              <w:pStyle w:val="a9"/>
              <w:suppressLineNumbers/>
              <w:rPr>
                <w:rFonts w:ascii="Arial" w:hAnsi="Arial"/>
                <w:b/>
                <w:bCs/>
                <w:sz w:val="26"/>
                <w:szCs w:val="26"/>
              </w:rPr>
            </w:pPr>
            <w:r w:rsidRPr="000479B7">
              <w:rPr>
                <w:rFonts w:ascii="Arial" w:hAnsi="Arial"/>
                <w:b/>
                <w:bCs/>
                <w:sz w:val="26"/>
                <w:szCs w:val="26"/>
                <w:rtl/>
              </w:rPr>
              <w:t>ע"י ב"כ עוה"ד</w:t>
            </w:r>
            <w:r w:rsidRPr="000479B7">
              <w:rPr>
                <w:rFonts w:ascii="Arial" w:hAnsi="Arial" w:hint="cs"/>
                <w:b/>
                <w:bCs/>
                <w:sz w:val="26"/>
                <w:szCs w:val="26"/>
                <w:rtl/>
              </w:rPr>
              <w:t xml:space="preserve"> שאדי נאטור</w:t>
            </w:r>
          </w:p>
        </w:tc>
      </w:tr>
    </w:tbl>
    <w:p w14:paraId="4D507F77" w14:textId="77777777" w:rsidR="000479B7" w:rsidRPr="000479B7" w:rsidRDefault="000479B7" w:rsidP="000479B7">
      <w:pPr>
        <w:spacing w:before="120" w:after="120" w:line="240" w:lineRule="exact"/>
        <w:ind w:left="283" w:hanging="283"/>
        <w:jc w:val="both"/>
        <w:rPr>
          <w:rFonts w:ascii="FrankRuehl" w:hAnsi="FrankRuehl" w:cs="FrankRuehl"/>
          <w:rtl/>
        </w:rPr>
      </w:pPr>
    </w:p>
    <w:p w14:paraId="2436D4FE" w14:textId="77777777" w:rsidR="000479B7" w:rsidRPr="000479B7" w:rsidRDefault="000479B7" w:rsidP="000479B7">
      <w:pPr>
        <w:rPr>
          <w:sz w:val="26"/>
          <w:szCs w:val="26"/>
          <w:rtl/>
        </w:rPr>
      </w:pPr>
    </w:p>
    <w:p w14:paraId="6695E92A" w14:textId="77777777" w:rsidR="00AB4C91" w:rsidRPr="00AB4C91" w:rsidRDefault="00AB4C91" w:rsidP="00AB4C91">
      <w:pPr>
        <w:spacing w:before="120" w:after="120" w:line="240" w:lineRule="exact"/>
        <w:ind w:left="283" w:hanging="283"/>
        <w:jc w:val="both"/>
        <w:rPr>
          <w:rFonts w:ascii="FrankRuehl" w:hAnsi="FrankRuehl" w:cs="FrankRuehl"/>
          <w:rtl/>
        </w:rPr>
      </w:pPr>
    </w:p>
    <w:p w14:paraId="201EE8BF" w14:textId="77777777" w:rsidR="004F1806" w:rsidRPr="004F1806" w:rsidRDefault="004F1806" w:rsidP="004F1806">
      <w:pPr>
        <w:spacing w:before="120" w:after="120" w:line="240" w:lineRule="exact"/>
        <w:ind w:left="283" w:hanging="283"/>
        <w:jc w:val="both"/>
        <w:rPr>
          <w:rFonts w:ascii="FrankRuehl" w:hAnsi="FrankRuehl" w:cs="FrankRuehl"/>
          <w:rtl/>
        </w:rPr>
      </w:pPr>
    </w:p>
    <w:p w14:paraId="5CD39DDC" w14:textId="77777777" w:rsidR="002D5A4C" w:rsidRDefault="002D5A4C" w:rsidP="002D5A4C">
      <w:pPr>
        <w:rPr>
          <w:sz w:val="26"/>
          <w:szCs w:val="26"/>
          <w:rtl/>
        </w:rPr>
      </w:pPr>
      <w:bookmarkStart w:id="3" w:name="LawTable"/>
      <w:bookmarkEnd w:id="3"/>
    </w:p>
    <w:p w14:paraId="3D5BDCC9" w14:textId="77777777" w:rsidR="002D5A4C" w:rsidRPr="002D5A4C" w:rsidRDefault="002D5A4C" w:rsidP="002D5A4C">
      <w:pPr>
        <w:spacing w:before="120" w:after="120" w:line="240" w:lineRule="exact"/>
        <w:ind w:left="283" w:hanging="283"/>
        <w:jc w:val="both"/>
        <w:rPr>
          <w:rFonts w:ascii="FrankRuehl" w:hAnsi="FrankRuehl" w:cs="FrankRuehl"/>
          <w:rtl/>
        </w:rPr>
      </w:pPr>
    </w:p>
    <w:p w14:paraId="0831D906" w14:textId="77777777" w:rsidR="002D5A4C" w:rsidRPr="002D5A4C" w:rsidRDefault="002D5A4C" w:rsidP="002D5A4C">
      <w:pPr>
        <w:spacing w:before="120" w:after="120" w:line="240" w:lineRule="exact"/>
        <w:ind w:left="283" w:hanging="283"/>
        <w:jc w:val="both"/>
        <w:rPr>
          <w:rFonts w:ascii="FrankRuehl" w:hAnsi="FrankRuehl" w:cs="FrankRuehl"/>
          <w:rtl/>
        </w:rPr>
      </w:pPr>
    </w:p>
    <w:p w14:paraId="7B5F7206" w14:textId="77777777" w:rsidR="002D5A4C" w:rsidRPr="002D5A4C" w:rsidRDefault="002D5A4C" w:rsidP="002D5A4C">
      <w:pPr>
        <w:spacing w:before="120" w:after="120" w:line="240" w:lineRule="exact"/>
        <w:ind w:left="283" w:hanging="283"/>
        <w:jc w:val="both"/>
        <w:rPr>
          <w:rFonts w:ascii="FrankRuehl" w:hAnsi="FrankRuehl" w:cs="FrankRuehl"/>
          <w:rtl/>
        </w:rPr>
      </w:pPr>
      <w:r w:rsidRPr="002D5A4C">
        <w:rPr>
          <w:rFonts w:ascii="FrankRuehl" w:hAnsi="FrankRuehl" w:cs="FrankRuehl"/>
          <w:rtl/>
        </w:rPr>
        <w:t xml:space="preserve">חקיקה שאוזכרה: </w:t>
      </w:r>
    </w:p>
    <w:p w14:paraId="17A64EE3" w14:textId="77777777" w:rsidR="002D5A4C" w:rsidRPr="002D5A4C" w:rsidRDefault="002D5A4C" w:rsidP="002D5A4C">
      <w:pPr>
        <w:spacing w:before="120" w:after="120" w:line="240" w:lineRule="exact"/>
        <w:ind w:left="283" w:hanging="283"/>
        <w:jc w:val="both"/>
        <w:rPr>
          <w:rFonts w:ascii="FrankRuehl" w:hAnsi="FrankRuehl" w:cs="FrankRuehl"/>
          <w:rtl/>
        </w:rPr>
      </w:pPr>
      <w:hyperlink r:id="rId7" w:history="1">
        <w:r w:rsidRPr="002D5A4C">
          <w:rPr>
            <w:rFonts w:ascii="FrankRuehl" w:hAnsi="FrankRuehl" w:cs="FrankRuehl"/>
            <w:color w:val="0000FF"/>
            <w:rtl/>
          </w:rPr>
          <w:t>חוק העונשין, תשל"ז-1977</w:t>
        </w:r>
      </w:hyperlink>
      <w:r w:rsidRPr="002D5A4C">
        <w:rPr>
          <w:rFonts w:ascii="FrankRuehl" w:hAnsi="FrankRuehl" w:cs="FrankRuehl"/>
          <w:rtl/>
        </w:rPr>
        <w:t xml:space="preserve">: סע'  </w:t>
      </w:r>
      <w:hyperlink r:id="rId8" w:history="1">
        <w:r w:rsidRPr="002D5A4C">
          <w:rPr>
            <w:rFonts w:ascii="FrankRuehl" w:hAnsi="FrankRuehl" w:cs="FrankRuehl"/>
            <w:color w:val="0000FF"/>
            <w:rtl/>
          </w:rPr>
          <w:t>29</w:t>
        </w:r>
      </w:hyperlink>
      <w:r w:rsidRPr="002D5A4C">
        <w:rPr>
          <w:rFonts w:ascii="FrankRuehl" w:hAnsi="FrankRuehl" w:cs="FrankRuehl"/>
          <w:rtl/>
        </w:rPr>
        <w:t xml:space="preserve">, </w:t>
      </w:r>
      <w:hyperlink r:id="rId9" w:history="1">
        <w:r w:rsidRPr="002D5A4C">
          <w:rPr>
            <w:rFonts w:ascii="FrankRuehl" w:hAnsi="FrankRuehl" w:cs="FrankRuehl"/>
            <w:color w:val="0000FF"/>
            <w:rtl/>
          </w:rPr>
          <w:t>144(ב)</w:t>
        </w:r>
      </w:hyperlink>
      <w:r w:rsidRPr="002D5A4C">
        <w:rPr>
          <w:rFonts w:ascii="FrankRuehl" w:hAnsi="FrankRuehl" w:cs="FrankRuehl"/>
          <w:rtl/>
        </w:rPr>
        <w:t xml:space="preserve">, </w:t>
      </w:r>
      <w:hyperlink r:id="rId10" w:history="1">
        <w:r w:rsidRPr="002D5A4C">
          <w:rPr>
            <w:rFonts w:ascii="FrankRuehl" w:hAnsi="FrankRuehl" w:cs="FrankRuehl"/>
            <w:color w:val="0000FF"/>
            <w:rtl/>
          </w:rPr>
          <w:t>260</w:t>
        </w:r>
      </w:hyperlink>
      <w:r w:rsidRPr="002D5A4C">
        <w:rPr>
          <w:rFonts w:ascii="FrankRuehl" w:hAnsi="FrankRuehl" w:cs="FrankRuehl"/>
          <w:rtl/>
        </w:rPr>
        <w:t xml:space="preserve">, </w:t>
      </w:r>
      <w:hyperlink r:id="rId11" w:history="1">
        <w:r w:rsidRPr="002D5A4C">
          <w:rPr>
            <w:rFonts w:ascii="FrankRuehl" w:hAnsi="FrankRuehl" w:cs="FrankRuehl"/>
            <w:color w:val="0000FF"/>
            <w:rtl/>
          </w:rPr>
          <w:t>287(א)</w:t>
        </w:r>
      </w:hyperlink>
    </w:p>
    <w:p w14:paraId="622D13EF" w14:textId="77777777" w:rsidR="002D5A4C" w:rsidRPr="002D5A4C" w:rsidRDefault="002D5A4C" w:rsidP="002D5A4C">
      <w:pPr>
        <w:spacing w:before="120" w:after="120" w:line="240" w:lineRule="exact"/>
        <w:ind w:left="283" w:hanging="283"/>
        <w:jc w:val="both"/>
        <w:rPr>
          <w:rFonts w:ascii="FrankRuehl" w:hAnsi="FrankRuehl" w:cs="FrankRuehl"/>
          <w:rtl/>
        </w:rPr>
      </w:pPr>
      <w:hyperlink r:id="rId12" w:history="1">
        <w:r w:rsidRPr="002D5A4C">
          <w:rPr>
            <w:rFonts w:ascii="FrankRuehl" w:hAnsi="FrankRuehl" w:cs="FrankRuehl"/>
            <w:color w:val="0000FF"/>
            <w:rtl/>
          </w:rPr>
          <w:t>פקודת התעבורה [נוסח חדש]</w:t>
        </w:r>
      </w:hyperlink>
      <w:r w:rsidRPr="002D5A4C">
        <w:rPr>
          <w:rFonts w:ascii="FrankRuehl" w:hAnsi="FrankRuehl" w:cs="FrankRuehl"/>
          <w:rtl/>
        </w:rPr>
        <w:t xml:space="preserve">: סע'  </w:t>
      </w:r>
      <w:hyperlink r:id="rId13" w:history="1">
        <w:r w:rsidRPr="002D5A4C">
          <w:rPr>
            <w:rFonts w:ascii="FrankRuehl" w:hAnsi="FrankRuehl" w:cs="FrankRuehl"/>
            <w:color w:val="0000FF"/>
            <w:rtl/>
          </w:rPr>
          <w:t>67</w:t>
        </w:r>
      </w:hyperlink>
    </w:p>
    <w:p w14:paraId="76629DE0" w14:textId="77777777" w:rsidR="002D5A4C" w:rsidRPr="002D5A4C" w:rsidRDefault="002D5A4C" w:rsidP="002D5A4C">
      <w:pPr>
        <w:rPr>
          <w:sz w:val="26"/>
          <w:szCs w:val="26"/>
          <w:rtl/>
        </w:rPr>
      </w:pPr>
      <w:bookmarkStart w:id="4" w:name="LawTable_End"/>
      <w:bookmarkEnd w:id="4"/>
    </w:p>
    <w:p w14:paraId="404F835A" w14:textId="77777777" w:rsidR="00AB4C91" w:rsidRPr="004F1806" w:rsidRDefault="00AB4C91" w:rsidP="004F1806">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472B" w14:paraId="10582B87" w14:textId="77777777" w:rsidTr="00A1472B">
        <w:trPr>
          <w:trHeight w:val="355"/>
          <w:jc w:val="center"/>
        </w:trPr>
        <w:tc>
          <w:tcPr>
            <w:tcW w:w="8820" w:type="dxa"/>
            <w:tcBorders>
              <w:top w:val="nil"/>
              <w:left w:val="nil"/>
              <w:bottom w:val="nil"/>
              <w:right w:val="nil"/>
            </w:tcBorders>
            <w:shd w:val="clear" w:color="auto" w:fill="auto"/>
          </w:tcPr>
          <w:p w14:paraId="456ED99A" w14:textId="77777777" w:rsidR="000479B7" w:rsidRPr="000479B7" w:rsidRDefault="000479B7" w:rsidP="000479B7">
            <w:pPr>
              <w:jc w:val="center"/>
              <w:rPr>
                <w:rFonts w:ascii="David" w:hAnsi="David"/>
                <w:b/>
                <w:bCs/>
                <w:sz w:val="32"/>
                <w:szCs w:val="32"/>
                <w:u w:val="single"/>
                <w:rtl/>
              </w:rPr>
            </w:pPr>
            <w:bookmarkStart w:id="5" w:name="PsakDin" w:colFirst="0" w:colLast="0"/>
            <w:bookmarkEnd w:id="0"/>
            <w:r w:rsidRPr="000479B7">
              <w:rPr>
                <w:rFonts w:ascii="David" w:hAnsi="David"/>
                <w:b/>
                <w:bCs/>
                <w:sz w:val="32"/>
                <w:szCs w:val="32"/>
                <w:u w:val="single"/>
                <w:rtl/>
              </w:rPr>
              <w:t>גזר דין</w:t>
            </w:r>
          </w:p>
          <w:p w14:paraId="489ED4D8" w14:textId="77777777" w:rsidR="00A1472B" w:rsidRPr="000479B7" w:rsidRDefault="00A1472B" w:rsidP="000479B7">
            <w:pPr>
              <w:jc w:val="center"/>
              <w:rPr>
                <w:rFonts w:ascii="David" w:hAnsi="David"/>
                <w:bCs/>
                <w:sz w:val="32"/>
                <w:szCs w:val="32"/>
                <w:u w:val="single"/>
                <w:rtl/>
              </w:rPr>
            </w:pPr>
          </w:p>
        </w:tc>
      </w:tr>
      <w:bookmarkEnd w:id="5"/>
    </w:tbl>
    <w:p w14:paraId="218A9158" w14:textId="77777777" w:rsidR="00A1472B" w:rsidRPr="000F2247" w:rsidRDefault="00A1472B" w:rsidP="00A1472B">
      <w:pPr>
        <w:rPr>
          <w:rFonts w:ascii="Arial" w:hAnsi="Arial"/>
          <w:b/>
          <w:bCs/>
          <w:sz w:val="26"/>
          <w:szCs w:val="26"/>
          <w:rtl/>
        </w:rPr>
      </w:pPr>
    </w:p>
    <w:p w14:paraId="5BF69264" w14:textId="77777777" w:rsidR="00A1472B" w:rsidRDefault="00A1472B" w:rsidP="00A1472B">
      <w:pPr>
        <w:spacing w:line="360" w:lineRule="auto"/>
        <w:ind w:left="720"/>
        <w:contextualSpacing/>
        <w:jc w:val="both"/>
        <w:rPr>
          <w:b/>
          <w:bCs/>
          <w:rtl/>
        </w:rPr>
      </w:pPr>
    </w:p>
    <w:p w14:paraId="1D5AF3BA" w14:textId="77777777" w:rsidR="00A1472B" w:rsidRPr="005A67F5" w:rsidRDefault="00A1472B" w:rsidP="00A1472B">
      <w:pPr>
        <w:spacing w:line="360" w:lineRule="auto"/>
        <w:ind w:left="720"/>
        <w:contextualSpacing/>
        <w:jc w:val="both"/>
        <w:rPr>
          <w:rFonts w:ascii="Miriam" w:hAnsi="Miriam" w:cs="Miriam"/>
        </w:rPr>
      </w:pPr>
      <w:r w:rsidRPr="005A67F5">
        <w:rPr>
          <w:rFonts w:ascii="Miriam" w:hAnsi="Miriam" w:cs="Miriam"/>
          <w:rtl/>
        </w:rPr>
        <w:t>כללי</w:t>
      </w:r>
    </w:p>
    <w:p w14:paraId="4544E18A" w14:textId="77777777" w:rsidR="00A1472B" w:rsidRPr="00B270B4" w:rsidRDefault="00A1472B" w:rsidP="00A1472B">
      <w:pPr>
        <w:numPr>
          <w:ilvl w:val="0"/>
          <w:numId w:val="2"/>
        </w:numPr>
        <w:spacing w:line="360" w:lineRule="auto"/>
        <w:contextualSpacing/>
        <w:jc w:val="both"/>
      </w:pPr>
      <w:bookmarkStart w:id="6" w:name="ABSTRACT_START"/>
      <w:bookmarkEnd w:id="6"/>
      <w:r w:rsidRPr="00B270B4">
        <w:rPr>
          <w:rFonts w:hint="cs"/>
          <w:rtl/>
        </w:rPr>
        <w:t xml:space="preserve">הנאשמים הורשעו, במסגרת הסדר טיעון, בעובדות כתב אישום מתוקן, נאשם 1 בעבירת נשיאה והובלת נשק ותחמושת בצוותא, </w:t>
      </w:r>
      <w:r w:rsidRPr="00B270B4">
        <w:rPr>
          <w:rFonts w:hint="cs"/>
          <w:b/>
          <w:bCs/>
          <w:rtl/>
        </w:rPr>
        <w:t xml:space="preserve">לפי </w:t>
      </w:r>
      <w:hyperlink r:id="rId14" w:history="1">
        <w:r w:rsidR="00AB4C91" w:rsidRPr="00AB4C91">
          <w:rPr>
            <w:rStyle w:val="Hyperlink"/>
            <w:rFonts w:hint="eastAsia"/>
            <w:b/>
            <w:bCs/>
            <w:rtl/>
          </w:rPr>
          <w:t>סעיף</w:t>
        </w:r>
        <w:r w:rsidR="00AB4C91" w:rsidRPr="00AB4C91">
          <w:rPr>
            <w:rStyle w:val="Hyperlink"/>
            <w:b/>
            <w:bCs/>
            <w:rtl/>
          </w:rPr>
          <w:t xml:space="preserve"> 144(ב)</w:t>
        </w:r>
      </w:hyperlink>
      <w:r w:rsidRPr="00B270B4">
        <w:rPr>
          <w:rFonts w:hint="cs"/>
          <w:b/>
          <w:bCs/>
          <w:rtl/>
        </w:rPr>
        <w:t xml:space="preserve"> רישא וסיפא </w:t>
      </w:r>
      <w:hyperlink r:id="rId15" w:history="1">
        <w:r w:rsidR="00AB4C91" w:rsidRPr="00AB4C91">
          <w:rPr>
            <w:rStyle w:val="Hyperlink"/>
            <w:rFonts w:hint="eastAsia"/>
            <w:b/>
            <w:bCs/>
            <w:rtl/>
          </w:rPr>
          <w:t>וסעיף</w:t>
        </w:r>
        <w:r w:rsidR="00AB4C91" w:rsidRPr="00AB4C91">
          <w:rPr>
            <w:rStyle w:val="Hyperlink"/>
            <w:b/>
            <w:bCs/>
            <w:rtl/>
          </w:rPr>
          <w:t xml:space="preserve"> 29</w:t>
        </w:r>
      </w:hyperlink>
      <w:r w:rsidRPr="00B270B4">
        <w:rPr>
          <w:rFonts w:hint="cs"/>
          <w:b/>
          <w:bCs/>
          <w:rtl/>
        </w:rPr>
        <w:t xml:space="preserve"> ל</w:t>
      </w:r>
      <w:hyperlink r:id="rId16" w:history="1">
        <w:r w:rsidR="000479B7" w:rsidRPr="000479B7">
          <w:rPr>
            <w:b/>
            <w:bCs/>
            <w:color w:val="0000FF"/>
            <w:u w:val="single"/>
            <w:rtl/>
          </w:rPr>
          <w:t>חוק העונשין</w:t>
        </w:r>
      </w:hyperlink>
      <w:r w:rsidRPr="00B270B4">
        <w:rPr>
          <w:rFonts w:hint="cs"/>
          <w:b/>
          <w:bCs/>
          <w:rtl/>
        </w:rPr>
        <w:t>, תשל"ז-1977</w:t>
      </w:r>
      <w:r w:rsidRPr="00B270B4">
        <w:rPr>
          <w:rFonts w:hint="cs"/>
          <w:rtl/>
        </w:rPr>
        <w:t xml:space="preserve"> (להלן: "החוק"); נאשם 2 בעבירות של </w:t>
      </w:r>
      <w:r w:rsidRPr="00B270B4">
        <w:rPr>
          <w:rFonts w:hint="cs"/>
          <w:b/>
          <w:bCs/>
          <w:rtl/>
        </w:rPr>
        <w:t>הפרת הוראה חוקית</w:t>
      </w:r>
      <w:r w:rsidRPr="00B270B4">
        <w:rPr>
          <w:rFonts w:hint="cs"/>
          <w:rtl/>
        </w:rPr>
        <w:t xml:space="preserve"> לפי </w:t>
      </w:r>
      <w:hyperlink r:id="rId17" w:history="1">
        <w:r w:rsidR="00AB4C91" w:rsidRPr="00AB4C91">
          <w:rPr>
            <w:rStyle w:val="Hyperlink"/>
            <w:rFonts w:hint="eastAsia"/>
            <w:rtl/>
          </w:rPr>
          <w:t>סעיף</w:t>
        </w:r>
        <w:r w:rsidR="00AB4C91" w:rsidRPr="00AB4C91">
          <w:rPr>
            <w:rStyle w:val="Hyperlink"/>
            <w:rtl/>
          </w:rPr>
          <w:t xml:space="preserve"> 287(א)</w:t>
        </w:r>
      </w:hyperlink>
      <w:r w:rsidRPr="00B270B4">
        <w:rPr>
          <w:rFonts w:hint="cs"/>
          <w:rtl/>
        </w:rPr>
        <w:t xml:space="preserve"> לחוק, </w:t>
      </w:r>
      <w:r w:rsidRPr="00B270B4">
        <w:rPr>
          <w:rFonts w:hint="cs"/>
          <w:b/>
          <w:bCs/>
          <w:rtl/>
        </w:rPr>
        <w:t>סיוע לאחר מעשה</w:t>
      </w:r>
      <w:r w:rsidRPr="00B270B4">
        <w:rPr>
          <w:rFonts w:hint="cs"/>
          <w:rtl/>
        </w:rPr>
        <w:t xml:space="preserve">- לפי </w:t>
      </w:r>
      <w:hyperlink r:id="rId18" w:history="1">
        <w:r w:rsidR="00AB4C91" w:rsidRPr="00AB4C91">
          <w:rPr>
            <w:rStyle w:val="Hyperlink"/>
            <w:rFonts w:hint="eastAsia"/>
            <w:rtl/>
          </w:rPr>
          <w:t>סעיף</w:t>
        </w:r>
        <w:r w:rsidR="00AB4C91" w:rsidRPr="00AB4C91">
          <w:rPr>
            <w:rStyle w:val="Hyperlink"/>
            <w:rtl/>
          </w:rPr>
          <w:t xml:space="preserve"> 260</w:t>
        </w:r>
      </w:hyperlink>
      <w:r w:rsidRPr="00B270B4">
        <w:rPr>
          <w:rFonts w:hint="cs"/>
          <w:rtl/>
        </w:rPr>
        <w:t xml:space="preserve"> לחוק </w:t>
      </w:r>
      <w:r w:rsidRPr="00B270B4">
        <w:rPr>
          <w:rFonts w:hint="cs"/>
          <w:b/>
          <w:bCs/>
          <w:rtl/>
        </w:rPr>
        <w:t>ונהיגה בזמן פסילה</w:t>
      </w:r>
      <w:r w:rsidRPr="00B270B4">
        <w:rPr>
          <w:rFonts w:hint="cs"/>
          <w:rtl/>
        </w:rPr>
        <w:t xml:space="preserve">, עבירה לפי </w:t>
      </w:r>
      <w:hyperlink r:id="rId19" w:history="1">
        <w:r w:rsidR="00AB4C91" w:rsidRPr="00AB4C91">
          <w:rPr>
            <w:rStyle w:val="Hyperlink"/>
            <w:rFonts w:hint="eastAsia"/>
            <w:rtl/>
          </w:rPr>
          <w:t>סעיף</w:t>
        </w:r>
        <w:r w:rsidR="00AB4C91" w:rsidRPr="00AB4C91">
          <w:rPr>
            <w:rStyle w:val="Hyperlink"/>
            <w:rtl/>
          </w:rPr>
          <w:t xml:space="preserve"> 67</w:t>
        </w:r>
      </w:hyperlink>
      <w:r w:rsidRPr="00B270B4">
        <w:rPr>
          <w:rFonts w:hint="cs"/>
          <w:rtl/>
        </w:rPr>
        <w:t xml:space="preserve"> ל</w:t>
      </w:r>
      <w:hyperlink r:id="rId20" w:history="1">
        <w:r w:rsidR="000479B7" w:rsidRPr="000479B7">
          <w:rPr>
            <w:color w:val="0000FF"/>
            <w:u w:val="single"/>
            <w:rtl/>
          </w:rPr>
          <w:t>פקודת התעבורה</w:t>
        </w:r>
      </w:hyperlink>
      <w:r w:rsidRPr="00B270B4">
        <w:rPr>
          <w:rFonts w:hint="cs"/>
          <w:rtl/>
        </w:rPr>
        <w:t xml:space="preserve">. </w:t>
      </w:r>
    </w:p>
    <w:p w14:paraId="7E8D4318" w14:textId="77777777" w:rsidR="00A1472B" w:rsidRPr="00B270B4" w:rsidRDefault="00A1472B" w:rsidP="00A1472B">
      <w:pPr>
        <w:spacing w:line="360" w:lineRule="auto"/>
        <w:ind w:left="720"/>
        <w:contextualSpacing/>
        <w:jc w:val="both"/>
        <w:rPr>
          <w:rtl/>
        </w:rPr>
      </w:pPr>
    </w:p>
    <w:p w14:paraId="0C53F95E" w14:textId="77777777" w:rsidR="00A1472B" w:rsidRDefault="00A1472B" w:rsidP="00A1472B">
      <w:pPr>
        <w:numPr>
          <w:ilvl w:val="0"/>
          <w:numId w:val="2"/>
        </w:numPr>
        <w:spacing w:line="360" w:lineRule="auto"/>
        <w:contextualSpacing/>
        <w:jc w:val="both"/>
      </w:pPr>
      <w:bookmarkStart w:id="7" w:name="ABSTRACT_END"/>
      <w:bookmarkEnd w:id="7"/>
      <w:r w:rsidRPr="00B270B4">
        <w:rPr>
          <w:rFonts w:hint="cs"/>
          <w:rtl/>
        </w:rPr>
        <w:t xml:space="preserve">כמפורט בעובדות כתב האישום המתוקן, ביום 17.10.21 עובר לשעה 1:00 נהג הנאשם 1 ברכב גנוב שבו הוביל שני רובי סער מסוג קלאצ'ניקוב טעונים במחסניות מלאות כדורים. </w:t>
      </w:r>
      <w:r>
        <w:rPr>
          <w:rFonts w:hint="cs"/>
          <w:rtl/>
        </w:rPr>
        <w:t xml:space="preserve">הנאשם כיסה את פניו בחם צוואר והסיע שניים אחרים, שזהותם אינה ידועה למאשימה מטייבה למגרש מכוניות, כשהם נושאים את הנשק והתחמושת. כשהגיעו למקום חפצם, ירדו השניים עם הנשק והתחמושת והנאשם נותר ברכב. בהמשך לאמור, במסגרת תכנית הקשר, ירה כל אחד מהם מספר רב של כדורים לעבר מגרש המכוניות וכתוצאה מהירי נגרם נזק לחמש מכוניות שהוצעו למכירה. בתום הירי, משאזלה התחמושת, חזרו השניים לרכב והשלושה נמלטו מהמקום לטייבה, כשנאשם 1 נוהג ברכב. בהמשך הגיעו למקום מפגש שסוכם עם נאשם 2 בטייבה, יצאו מהרכב ושני היורים פרקו את כלי הנשק מחוץ לרכב. נאשם 2 נכנס לרכב ונהג בו, על אף שהיה פסול לנהיגה ותוך שהוא מפר תנאי מעצר בית שבהם היה נתון במסגרת תיק תעבורה. בהמשך לכך, נטש נאשם 2 את הרכב בשדה פתוח בטייבה כשהרכב מונע, ולצדו בקבוק המכיל חומר דליק. </w:t>
      </w:r>
    </w:p>
    <w:p w14:paraId="0C923231" w14:textId="77777777" w:rsidR="00A1472B" w:rsidRDefault="00A1472B" w:rsidP="00A1472B">
      <w:pPr>
        <w:pStyle w:val="a9"/>
        <w:rPr>
          <w:rtl/>
        </w:rPr>
      </w:pPr>
    </w:p>
    <w:p w14:paraId="5F9C2743" w14:textId="77777777" w:rsidR="00A1472B" w:rsidRPr="00B270B4" w:rsidRDefault="00A1472B" w:rsidP="00A1472B">
      <w:pPr>
        <w:numPr>
          <w:ilvl w:val="0"/>
          <w:numId w:val="2"/>
        </w:numPr>
        <w:spacing w:line="360" w:lineRule="auto"/>
        <w:contextualSpacing/>
        <w:jc w:val="both"/>
        <w:rPr>
          <w:b/>
          <w:bCs/>
          <w:u w:val="single"/>
        </w:rPr>
      </w:pPr>
      <w:r w:rsidRPr="00B270B4">
        <w:rPr>
          <w:rFonts w:hint="cs"/>
          <w:rtl/>
        </w:rPr>
        <w:t xml:space="preserve">ביום </w:t>
      </w:r>
      <w:r>
        <w:rPr>
          <w:rFonts w:hint="cs"/>
          <w:rtl/>
        </w:rPr>
        <w:t>17.7.22</w:t>
      </w:r>
      <w:r w:rsidRPr="00B270B4">
        <w:rPr>
          <w:rFonts w:hint="cs"/>
          <w:rtl/>
        </w:rPr>
        <w:t xml:space="preserve"> הציגו הצדדים הסדר טיעון</w:t>
      </w:r>
      <w:r>
        <w:rPr>
          <w:rFonts w:hint="cs"/>
          <w:rtl/>
        </w:rPr>
        <w:t xml:space="preserve">, הנאשמים הורשעו בעובדות כתב אישום מתוקן. אשר לנאשם 1, הצהירה המאשימה שתעתור לעונש ראוי בן 40 חודשים, בעניין נאשם 2 לא הגיעו הצדדים להסכמות. בהתאם לבקשות ההגנה הופנה נאשם 1 לתסקיר ונאשם 2 לחוות דעת ממונה על עבודות השירות. </w:t>
      </w:r>
      <w:r w:rsidRPr="00B270B4">
        <w:rPr>
          <w:rFonts w:hint="cs"/>
          <w:rtl/>
        </w:rPr>
        <w:t xml:space="preserve"> </w:t>
      </w:r>
    </w:p>
    <w:p w14:paraId="049B2EA7" w14:textId="77777777" w:rsidR="00A1472B" w:rsidRDefault="00A1472B" w:rsidP="00A1472B">
      <w:pPr>
        <w:pStyle w:val="a9"/>
        <w:rPr>
          <w:b/>
          <w:bCs/>
          <w:u w:val="single"/>
          <w:rtl/>
        </w:rPr>
      </w:pPr>
    </w:p>
    <w:p w14:paraId="50597311" w14:textId="77777777" w:rsidR="00A1472B" w:rsidRPr="005A67F5" w:rsidRDefault="00A1472B" w:rsidP="00A1472B">
      <w:pPr>
        <w:spacing w:line="360" w:lineRule="auto"/>
        <w:ind w:left="720"/>
        <w:contextualSpacing/>
        <w:jc w:val="both"/>
        <w:rPr>
          <w:rFonts w:ascii="Miriam" w:hAnsi="Miriam" w:cs="Miriam"/>
          <w:rtl/>
        </w:rPr>
      </w:pPr>
      <w:r w:rsidRPr="005A67F5">
        <w:rPr>
          <w:rFonts w:ascii="Miriam" w:hAnsi="Miriam" w:cs="Miriam"/>
          <w:rtl/>
        </w:rPr>
        <w:t>תסקיר שירות המבחן (נאשם 1)</w:t>
      </w:r>
    </w:p>
    <w:p w14:paraId="12A02813" w14:textId="77777777" w:rsidR="00A1472B" w:rsidRDefault="00A1472B" w:rsidP="00A1472B">
      <w:pPr>
        <w:numPr>
          <w:ilvl w:val="0"/>
          <w:numId w:val="2"/>
        </w:numPr>
        <w:spacing w:line="360" w:lineRule="auto"/>
        <w:contextualSpacing/>
        <w:jc w:val="both"/>
      </w:pPr>
      <w:r>
        <w:rPr>
          <w:rFonts w:hint="cs"/>
          <w:rtl/>
        </w:rPr>
        <w:t xml:space="preserve">בעניינו של נאשם 1 התקבל תסקיר מפורט הסוקר בהרחבה את נסיבות חייו, הליכי טיפול קודמים ורמת מסוכנותו. </w:t>
      </w:r>
      <w:r w:rsidRPr="00B270B4">
        <w:rPr>
          <w:rFonts w:hint="cs"/>
          <w:rtl/>
        </w:rPr>
        <w:t xml:space="preserve">הנאשם, </w:t>
      </w:r>
      <w:r>
        <w:rPr>
          <w:rFonts w:hint="cs"/>
          <w:rtl/>
        </w:rPr>
        <w:t xml:space="preserve">בן 31, גרוש ונשוי בשנית ואב לפעוטה, עובד בהרכבת שיש. סיים 12 שנות לימוד, פתח עסק לשטיפת רכב שקרס, וכיום מצוי בהליכי פשיטת רגל. בשנת 2016 לאחר שהתגרש, חלה התדרדרות במצבו והוא חבר לחברה שולית. לחובתו שתי הרשעות בעבירות רכוש, נדון בעבר לצו מבחן וצו של"צ. באבחון המעצרים בתיק זה, התרשם שירות מבחן מאדם מתוחכם ומניפולטיבי המתקשה לנהל אורח חיים יציב ולקבל סמכות ומרות. הנאשם שוחרר ושמר על תנאיו המגבילים, ולהערכתם לא הפסיק את מעורבותו בחברה שולית. בנוסף התרשמו שסנקציות קודמות שהוטלו עליו, ונסיונות טיפוליים, לא היוו עבורו גורמי הרתעה לטווח ארוך. באבחון בתיק זה, נטל אחריות חלקית על מעשיו, לדבריו התקשה לסרב לבקשת שותפיו להסיע אותם והיה מודע לתכנית הירי. הנאשם הביע צער וחרטה על מעשיו ומכיר בקשייו להציב גבולות ברורים לסובבים אותו. </w:t>
      </w:r>
    </w:p>
    <w:p w14:paraId="252E0CAA" w14:textId="77777777" w:rsidR="00A1472B" w:rsidRDefault="00A1472B" w:rsidP="00A1472B">
      <w:pPr>
        <w:spacing w:line="360" w:lineRule="auto"/>
        <w:ind w:left="720"/>
        <w:contextualSpacing/>
        <w:jc w:val="both"/>
        <w:rPr>
          <w:rtl/>
        </w:rPr>
      </w:pPr>
    </w:p>
    <w:p w14:paraId="72A88C3A" w14:textId="77777777" w:rsidR="00A1472B" w:rsidRDefault="00A1472B" w:rsidP="00A1472B">
      <w:pPr>
        <w:spacing w:line="360" w:lineRule="auto"/>
        <w:ind w:left="720"/>
        <w:contextualSpacing/>
        <w:jc w:val="both"/>
      </w:pPr>
      <w:r>
        <w:rPr>
          <w:rFonts w:hint="cs"/>
          <w:rtl/>
        </w:rPr>
        <w:t xml:space="preserve">להערכת שירות המבחן, רמת הסיכון הנשקפת מהנאשם להישנות ביצוע עבירות אלימות חמורות, בינונית. עוד התרשמו שפועל באימפולסיביות, מתקשה להציב לעצמו גבולות פנימיים וחיצוניים ולווסת את דחפיו. בצד זאת, הדגישו את הודאתו, ההבנה שמגלה לסיכון </w:t>
      </w:r>
      <w:r>
        <w:rPr>
          <w:rFonts w:hint="cs"/>
          <w:rtl/>
        </w:rPr>
        <w:lastRenderedPageBreak/>
        <w:t xml:space="preserve">במצבו וחומרת מעשיו והעריכו כי יש צורך במעורבות טיפולית להפחתת הסיכון הנשקף ממנו. שירות המבחן נמנע מהמלצה טיפולית והמליץ לשלבו בהליכי טיפול במסגרת שב"ס. </w:t>
      </w:r>
    </w:p>
    <w:p w14:paraId="47188F4C" w14:textId="77777777" w:rsidR="00A1472B" w:rsidRPr="00B270B4" w:rsidRDefault="00A1472B" w:rsidP="00A1472B">
      <w:pPr>
        <w:spacing w:line="360" w:lineRule="auto"/>
        <w:ind w:left="720"/>
        <w:contextualSpacing/>
        <w:jc w:val="both"/>
        <w:rPr>
          <w:rtl/>
        </w:rPr>
      </w:pPr>
    </w:p>
    <w:p w14:paraId="143E24C3" w14:textId="77777777" w:rsidR="00A1472B" w:rsidRPr="005A67F5" w:rsidRDefault="00A1472B" w:rsidP="00A1472B">
      <w:pPr>
        <w:spacing w:line="360" w:lineRule="auto"/>
        <w:ind w:firstLine="720"/>
        <w:jc w:val="both"/>
        <w:rPr>
          <w:rFonts w:ascii="Miriam" w:hAnsi="Miriam" w:cs="Miriam"/>
          <w:rtl/>
        </w:rPr>
      </w:pPr>
      <w:r w:rsidRPr="005A67F5">
        <w:rPr>
          <w:rFonts w:ascii="Miriam" w:hAnsi="Miriam" w:cs="Miriam"/>
          <w:rtl/>
        </w:rPr>
        <w:t>תמצית הטיעונים לעונש</w:t>
      </w:r>
    </w:p>
    <w:p w14:paraId="2F1511A0" w14:textId="77777777" w:rsidR="00A1472B" w:rsidRDefault="00A1472B" w:rsidP="00A1472B">
      <w:pPr>
        <w:numPr>
          <w:ilvl w:val="0"/>
          <w:numId w:val="2"/>
        </w:numPr>
        <w:spacing w:line="360" w:lineRule="auto"/>
        <w:contextualSpacing/>
        <w:jc w:val="both"/>
      </w:pPr>
      <w:r w:rsidRPr="00B270B4">
        <w:rPr>
          <w:rFonts w:hint="cs"/>
          <w:rtl/>
        </w:rPr>
        <w:t xml:space="preserve">ב"כ המאשימה, עו"ד </w:t>
      </w:r>
      <w:r>
        <w:rPr>
          <w:rFonts w:hint="cs"/>
          <w:rtl/>
        </w:rPr>
        <w:t xml:space="preserve">שירי, </w:t>
      </w:r>
      <w:r w:rsidRPr="00B270B4">
        <w:rPr>
          <w:rFonts w:hint="cs"/>
          <w:rtl/>
        </w:rPr>
        <w:t>עמד</w:t>
      </w:r>
      <w:r>
        <w:rPr>
          <w:rFonts w:hint="cs"/>
          <w:rtl/>
        </w:rPr>
        <w:t>ה בטיעוניה</w:t>
      </w:r>
      <w:r w:rsidRPr="00B270B4">
        <w:rPr>
          <w:rFonts w:hint="cs"/>
          <w:rtl/>
        </w:rPr>
        <w:t xml:space="preserve"> על מגמת ההחמרה בעבירות נשק וחומ</w:t>
      </w:r>
      <w:r>
        <w:rPr>
          <w:rFonts w:hint="cs"/>
          <w:rtl/>
        </w:rPr>
        <w:t xml:space="preserve">רת מעשי הנאשם 1 שפגעו פגיעה משמעותית ברף הגבוה ביותר. המאשימה עתרה בעניין נאשם 1 למתחם ענישה שנע בין 36-66 חודשי מאסר. עוד סבורה שתסקירו שלילי, הנאשם נוטל אחריות חלקית והסיכון הנשקף ממנו להישנות ביצוע עבירות אינו מבוטל, ועל כן ביקשה לגזור עליו עונש מאסר בן 40 חודשים וענישה נלווית. אשר לנאשם 2, הדגישה המאשימה כי ביצע את המעשים תוך הפרת תנאים מגבילים וסייע לנאשם 1 ושותפיו להעלים את הרכב הגנוב, לפיכך עתרה המאשימה למתחם ענישה שנע בין 6-15 חודשי מאסר, ביקשה לגזור על הנאשם שנת מאסר לצד ענישה נלווית הכוללת פסילת רשיון לתקופה ממושכת, הפעלת תנאי בגין נהיגה בפסילה וקנס. </w:t>
      </w:r>
      <w:r w:rsidRPr="00B270B4">
        <w:rPr>
          <w:rFonts w:hint="cs"/>
          <w:rtl/>
        </w:rPr>
        <w:t xml:space="preserve"> </w:t>
      </w:r>
    </w:p>
    <w:p w14:paraId="5651F739" w14:textId="77777777" w:rsidR="00A1472B" w:rsidRDefault="00A1472B" w:rsidP="00A1472B">
      <w:pPr>
        <w:spacing w:line="360" w:lineRule="auto"/>
        <w:ind w:left="720"/>
        <w:contextualSpacing/>
        <w:jc w:val="both"/>
      </w:pPr>
    </w:p>
    <w:p w14:paraId="21862638" w14:textId="77777777" w:rsidR="00A1472B" w:rsidRDefault="00A1472B" w:rsidP="00A1472B">
      <w:pPr>
        <w:spacing w:line="360" w:lineRule="auto"/>
        <w:ind w:left="720"/>
        <w:contextualSpacing/>
        <w:jc w:val="both"/>
      </w:pPr>
      <w:r>
        <w:rPr>
          <w:rFonts w:hint="cs"/>
          <w:rtl/>
        </w:rPr>
        <w:t xml:space="preserve">המאשימה הגישה אסופת פסיקה לתמיכה בעתירתה. </w:t>
      </w:r>
    </w:p>
    <w:p w14:paraId="3274E406" w14:textId="77777777" w:rsidR="00A1472B" w:rsidRPr="00B270B4" w:rsidRDefault="00A1472B" w:rsidP="00A1472B">
      <w:pPr>
        <w:spacing w:line="360" w:lineRule="auto"/>
        <w:ind w:left="720"/>
        <w:contextualSpacing/>
        <w:jc w:val="both"/>
      </w:pPr>
    </w:p>
    <w:p w14:paraId="495C7E11" w14:textId="77777777" w:rsidR="00A1472B" w:rsidRDefault="00A1472B" w:rsidP="00A1472B">
      <w:pPr>
        <w:numPr>
          <w:ilvl w:val="0"/>
          <w:numId w:val="2"/>
        </w:numPr>
        <w:spacing w:line="360" w:lineRule="auto"/>
        <w:contextualSpacing/>
        <w:jc w:val="both"/>
      </w:pPr>
      <w:r w:rsidRPr="00B270B4">
        <w:rPr>
          <w:rFonts w:hint="cs"/>
          <w:rtl/>
        </w:rPr>
        <w:t>ב"כ הנאשם</w:t>
      </w:r>
      <w:r>
        <w:rPr>
          <w:rFonts w:hint="cs"/>
          <w:rtl/>
        </w:rPr>
        <w:t xml:space="preserve"> 1, עו"ד אבנר שמש, עמד על נסיבות הנאשם, ועל כך שהביע נכונות להשתלב בהליך טיפולי. עוד סבור שהמאשימה עתרה למתחם עונשי גבוה ולא התחשבה בכך שהנאשם לא הורשע בכך שביצע ירי אלא בהסעת היורים. נוכח נסיבותיו האישיות של הנאשם והפגיעה הצפויה של עונש מאסר בו ובמשפחתו, ביקש להסתפק במאסר בדרך של עבודות שירות. </w:t>
      </w:r>
    </w:p>
    <w:p w14:paraId="7C5D1B61" w14:textId="77777777" w:rsidR="00A1472B" w:rsidRDefault="00A1472B" w:rsidP="00A1472B">
      <w:pPr>
        <w:spacing w:line="360" w:lineRule="auto"/>
        <w:ind w:left="720"/>
        <w:contextualSpacing/>
        <w:jc w:val="both"/>
        <w:rPr>
          <w:rtl/>
        </w:rPr>
      </w:pPr>
    </w:p>
    <w:p w14:paraId="1AF043D7" w14:textId="77777777" w:rsidR="00A1472B" w:rsidRDefault="00A1472B" w:rsidP="00A1472B">
      <w:pPr>
        <w:numPr>
          <w:ilvl w:val="0"/>
          <w:numId w:val="2"/>
        </w:numPr>
        <w:spacing w:line="360" w:lineRule="auto"/>
        <w:contextualSpacing/>
        <w:jc w:val="both"/>
      </w:pPr>
      <w:r>
        <w:rPr>
          <w:rFonts w:hint="cs"/>
          <w:rtl/>
        </w:rPr>
        <w:t xml:space="preserve">ב"כ נאשם 2, עו"ד שאדי נאטור, הפנה לתיקון המשמעותי בכתב האישום, לכך שלנאשם אין כל מעורבות בתכנון הירי וביצועו אלא בסיוע לאחר המעשים. עוד נטען שהנאשם היה עצור בתיק כשלושה חודשים, שהה תקופה ממושכת בתנאי איזוק ובתנאים מגבילים. עוד סבור שעונש המאסר על תנאי שקיבל בעבירה של נהיגה בפסילה אינו חל, ולחילופין במידה שחל, ביקש להפעילו בחופף לתקופת מאסר קצרה בדרך של עבודות שירות. </w:t>
      </w:r>
    </w:p>
    <w:p w14:paraId="0E673C4A" w14:textId="77777777" w:rsidR="00A1472B" w:rsidRDefault="00A1472B" w:rsidP="00A1472B">
      <w:pPr>
        <w:pStyle w:val="a9"/>
        <w:rPr>
          <w:rtl/>
        </w:rPr>
      </w:pPr>
    </w:p>
    <w:p w14:paraId="2980AAAA" w14:textId="77777777" w:rsidR="00A1472B" w:rsidRPr="00B270B4" w:rsidRDefault="00A1472B" w:rsidP="00A1472B">
      <w:pPr>
        <w:ind w:left="720"/>
        <w:contextualSpacing/>
        <w:rPr>
          <w:rtl/>
        </w:rPr>
      </w:pPr>
    </w:p>
    <w:p w14:paraId="4820160C" w14:textId="77777777" w:rsidR="00A1472B" w:rsidRDefault="00A1472B" w:rsidP="00A1472B">
      <w:pPr>
        <w:numPr>
          <w:ilvl w:val="0"/>
          <w:numId w:val="2"/>
        </w:numPr>
        <w:spacing w:line="360" w:lineRule="auto"/>
        <w:contextualSpacing/>
        <w:jc w:val="both"/>
        <w:rPr>
          <w:b/>
          <w:bCs/>
          <w:u w:val="single"/>
        </w:rPr>
      </w:pPr>
      <w:r w:rsidRPr="00B270B4">
        <w:rPr>
          <w:rFonts w:hint="cs"/>
          <w:b/>
          <w:bCs/>
          <w:rtl/>
        </w:rPr>
        <w:t xml:space="preserve">הנאשם </w:t>
      </w:r>
      <w:r>
        <w:rPr>
          <w:rFonts w:hint="cs"/>
          <w:b/>
          <w:bCs/>
          <w:rtl/>
        </w:rPr>
        <w:t xml:space="preserve">1 </w:t>
      </w:r>
      <w:r w:rsidRPr="00B270B4">
        <w:rPr>
          <w:rFonts w:hint="cs"/>
          <w:b/>
          <w:bCs/>
          <w:rtl/>
        </w:rPr>
        <w:t>בדברו האחרון</w:t>
      </w:r>
      <w:r>
        <w:rPr>
          <w:rFonts w:hint="cs"/>
          <w:rtl/>
        </w:rPr>
        <w:t xml:space="preserve"> הביע צער על מעורבותו בעבירה ועל כך שלא שולב בהליך טיפולי. </w:t>
      </w:r>
      <w:r w:rsidRPr="00757F8C">
        <w:rPr>
          <w:rFonts w:hint="cs"/>
          <w:b/>
          <w:bCs/>
          <w:rtl/>
        </w:rPr>
        <w:t>נאשם 2</w:t>
      </w:r>
      <w:r>
        <w:rPr>
          <w:rFonts w:hint="cs"/>
          <w:rtl/>
        </w:rPr>
        <w:t xml:space="preserve"> אף הוא הודה שטעה וביקש להתחשב בו. </w:t>
      </w:r>
    </w:p>
    <w:p w14:paraId="11FA9F7B" w14:textId="77777777" w:rsidR="00A1472B" w:rsidRDefault="00A1472B" w:rsidP="00A1472B">
      <w:pPr>
        <w:spacing w:line="360" w:lineRule="auto"/>
        <w:contextualSpacing/>
        <w:jc w:val="both"/>
        <w:rPr>
          <w:b/>
          <w:bCs/>
          <w:u w:val="single"/>
          <w:rtl/>
        </w:rPr>
      </w:pPr>
    </w:p>
    <w:p w14:paraId="56C4F258" w14:textId="77777777" w:rsidR="00A1472B" w:rsidRPr="00B270B4" w:rsidRDefault="00A1472B" w:rsidP="00A1472B">
      <w:pPr>
        <w:ind w:left="720"/>
        <w:contextualSpacing/>
        <w:rPr>
          <w:b/>
          <w:bCs/>
          <w:u w:val="single"/>
          <w:rtl/>
        </w:rPr>
      </w:pPr>
    </w:p>
    <w:p w14:paraId="5C9210CE" w14:textId="77777777" w:rsidR="00A1472B" w:rsidRDefault="00A1472B" w:rsidP="00A1472B">
      <w:pPr>
        <w:spacing w:line="360" w:lineRule="auto"/>
        <w:ind w:left="720"/>
        <w:jc w:val="both"/>
        <w:rPr>
          <w:b/>
          <w:bCs/>
          <w:u w:val="single"/>
          <w:rtl/>
        </w:rPr>
      </w:pPr>
      <w:r>
        <w:rPr>
          <w:rFonts w:ascii="Miriam" w:hAnsi="Miriam" w:cs="Miriam" w:hint="cs"/>
          <w:u w:val="single"/>
          <w:rtl/>
        </w:rPr>
        <w:t xml:space="preserve">קביעת </w:t>
      </w:r>
      <w:r w:rsidRPr="005A67F5">
        <w:rPr>
          <w:rFonts w:ascii="Miriam" w:hAnsi="Miriam" w:cs="Miriam"/>
          <w:u w:val="single"/>
          <w:rtl/>
        </w:rPr>
        <w:t>מתחם העונש ההולם</w:t>
      </w:r>
    </w:p>
    <w:p w14:paraId="6A9B8BD2" w14:textId="77777777" w:rsidR="00A1472B" w:rsidRPr="0080201E" w:rsidRDefault="00A1472B" w:rsidP="00A1472B">
      <w:pPr>
        <w:numPr>
          <w:ilvl w:val="0"/>
          <w:numId w:val="2"/>
        </w:numPr>
        <w:spacing w:line="360" w:lineRule="auto"/>
        <w:contextualSpacing/>
        <w:jc w:val="both"/>
      </w:pPr>
      <w:r>
        <w:rPr>
          <w:color w:val="000000"/>
          <w:rtl/>
        </w:rPr>
        <w:t>עתירת המאשימה</w:t>
      </w:r>
      <w:r>
        <w:rPr>
          <w:rFonts w:hint="cs"/>
          <w:color w:val="000000"/>
          <w:rtl/>
        </w:rPr>
        <w:t xml:space="preserve"> לעונש ראוי, </w:t>
      </w:r>
      <w:r w:rsidRPr="00FB5B16">
        <w:rPr>
          <w:color w:val="000000"/>
          <w:rtl/>
        </w:rPr>
        <w:t xml:space="preserve">בהמשך להסכמת הצדדים, אינה פוטרת את בית המשפט מקביעת מתחם ענישה הולם. </w:t>
      </w:r>
    </w:p>
    <w:p w14:paraId="6C4FE116" w14:textId="77777777" w:rsidR="00A1472B" w:rsidRPr="00757F8C" w:rsidRDefault="00A1472B" w:rsidP="00A1472B">
      <w:pPr>
        <w:spacing w:line="360" w:lineRule="auto"/>
        <w:ind w:left="720"/>
        <w:contextualSpacing/>
        <w:jc w:val="both"/>
        <w:rPr>
          <w:rtl/>
        </w:rPr>
      </w:pPr>
    </w:p>
    <w:p w14:paraId="4F7AF51D" w14:textId="77777777" w:rsidR="00A1472B" w:rsidRDefault="00A1472B" w:rsidP="00A1472B">
      <w:pPr>
        <w:numPr>
          <w:ilvl w:val="0"/>
          <w:numId w:val="2"/>
        </w:numPr>
        <w:spacing w:after="120" w:line="360" w:lineRule="auto"/>
        <w:contextualSpacing/>
        <w:jc w:val="both"/>
      </w:pPr>
      <w:r w:rsidRPr="00E9606E">
        <w:rPr>
          <w:rFonts w:hint="cs"/>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w:t>
      </w:r>
      <w:r>
        <w:rPr>
          <w:rFonts w:hint="cs"/>
          <w:rtl/>
        </w:rPr>
        <w:t>ם</w:t>
      </w:r>
      <w:r w:rsidRPr="00E9606E">
        <w:rPr>
          <w:rFonts w:hint="cs"/>
          <w:rtl/>
        </w:rPr>
        <w:t xml:space="preserve"> לנזקי עבירות אלו, בדמות פגיעות בגוף או בנפש, ואף אובדן חיי אדם (</w:t>
      </w:r>
      <w:hyperlink r:id="rId21" w:history="1">
        <w:r w:rsidR="000479B7" w:rsidRPr="000479B7">
          <w:rPr>
            <w:color w:val="0000FF"/>
            <w:u w:val="single"/>
            <w:rtl/>
          </w:rPr>
          <w:t>ע"פ 4456/21</w:t>
        </w:r>
      </w:hyperlink>
      <w:r w:rsidRPr="00E9606E">
        <w:rPr>
          <w:rFonts w:hint="cs"/>
          <w:rtl/>
        </w:rPr>
        <w:t xml:space="preserve"> </w:t>
      </w:r>
      <w:r w:rsidRPr="00757F8C">
        <w:rPr>
          <w:rFonts w:hint="cs"/>
          <w:b/>
          <w:bCs/>
          <w:rtl/>
        </w:rPr>
        <w:t>מדינת ישראל נ' אבו עבסה</w:t>
      </w:r>
      <w:r w:rsidRPr="00E9606E">
        <w:rPr>
          <w:rFonts w:hint="cs"/>
          <w:rtl/>
        </w:rPr>
        <w:t xml:space="preserve"> (23.1.2022)). </w:t>
      </w:r>
      <w:r w:rsidRPr="00B270B4">
        <w:rPr>
          <w:rFonts w:hint="cs"/>
          <w:rtl/>
        </w:rPr>
        <w:t xml:space="preserve">צורך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A1472B">
        <w:rPr>
          <w:rFonts w:ascii="Calibri" w:eastAsia="Calibri" w:hAnsi="Calibri" w:hint="cs"/>
          <w:rtl/>
        </w:rPr>
        <w:t>"</w:t>
      </w:r>
      <w:r w:rsidRPr="00A1472B">
        <w:rPr>
          <w:rFonts w:ascii="Calibri" w:eastAsia="Calibri" w:hAnsi="Calibri" w:hint="cs"/>
          <w:b/>
          <w:bCs/>
          <w:rtl/>
        </w:rPr>
        <w:t>ההלכה כי בעת</w:t>
      </w:r>
      <w:r w:rsidRPr="00A1472B">
        <w:rPr>
          <w:rFonts w:ascii="Calibri" w:eastAsia="Calibri" w:hAnsi="Calibri"/>
          <w:b/>
          <w:bCs/>
          <w:rtl/>
        </w:rPr>
        <w:t xml:space="preserve"> </w:t>
      </w:r>
      <w:r w:rsidRPr="00A1472B">
        <w:rPr>
          <w:rFonts w:ascii="Calibri" w:eastAsia="Calibri" w:hAnsi="Calibri" w:hint="eastAsia"/>
          <w:b/>
          <w:bCs/>
          <w:rtl/>
        </w:rPr>
        <w:t>גזירת</w:t>
      </w:r>
      <w:r w:rsidRPr="00A1472B">
        <w:rPr>
          <w:rFonts w:ascii="Calibri" w:eastAsia="Calibri" w:hAnsi="Calibri"/>
          <w:b/>
          <w:bCs/>
          <w:rtl/>
        </w:rPr>
        <w:t xml:space="preserve"> </w:t>
      </w:r>
      <w:r w:rsidRPr="00A1472B">
        <w:rPr>
          <w:rFonts w:ascii="Calibri" w:eastAsia="Calibri" w:hAnsi="Calibri" w:hint="eastAsia"/>
          <w:b/>
          <w:bCs/>
          <w:rtl/>
        </w:rPr>
        <w:t>עונשו</w:t>
      </w:r>
      <w:r w:rsidRPr="00A1472B">
        <w:rPr>
          <w:rFonts w:ascii="Calibri" w:eastAsia="Calibri" w:hAnsi="Calibri"/>
          <w:b/>
          <w:bCs/>
          <w:rtl/>
        </w:rPr>
        <w:t xml:space="preserve"> </w:t>
      </w:r>
      <w:r w:rsidRPr="00A1472B">
        <w:rPr>
          <w:rFonts w:ascii="Calibri" w:eastAsia="Calibri" w:hAnsi="Calibri" w:hint="eastAsia"/>
          <w:b/>
          <w:bCs/>
          <w:rtl/>
        </w:rPr>
        <w:t>של</w:t>
      </w:r>
      <w:r w:rsidRPr="00A1472B">
        <w:rPr>
          <w:rFonts w:ascii="Calibri" w:eastAsia="Calibri" w:hAnsi="Calibri"/>
          <w:b/>
          <w:bCs/>
          <w:rtl/>
        </w:rPr>
        <w:t xml:space="preserve"> </w:t>
      </w:r>
      <w:r w:rsidRPr="00A1472B">
        <w:rPr>
          <w:rFonts w:ascii="Calibri" w:eastAsia="Calibri" w:hAnsi="Calibri" w:hint="eastAsia"/>
          <w:b/>
          <w:bCs/>
          <w:rtl/>
        </w:rPr>
        <w:t>מי</w:t>
      </w:r>
      <w:r w:rsidRPr="00A1472B">
        <w:rPr>
          <w:rFonts w:ascii="Calibri" w:eastAsia="Calibri" w:hAnsi="Calibri"/>
          <w:b/>
          <w:bCs/>
          <w:rtl/>
        </w:rPr>
        <w:t xml:space="preserve"> </w:t>
      </w:r>
      <w:r w:rsidRPr="00A1472B">
        <w:rPr>
          <w:rFonts w:ascii="Calibri" w:eastAsia="Calibri" w:hAnsi="Calibri" w:hint="cs"/>
          <w:b/>
          <w:bCs/>
          <w:rtl/>
        </w:rPr>
        <w:t>ש</w:t>
      </w:r>
      <w:r w:rsidRPr="00A1472B">
        <w:rPr>
          <w:rFonts w:ascii="Calibri" w:eastAsia="Calibri" w:hAnsi="Calibri" w:hint="eastAsia"/>
          <w:b/>
          <w:bCs/>
          <w:rtl/>
        </w:rPr>
        <w:t>הורשע</w:t>
      </w:r>
      <w:r w:rsidRPr="00A1472B">
        <w:rPr>
          <w:rFonts w:ascii="Calibri" w:eastAsia="Calibri" w:hAnsi="Calibri"/>
          <w:b/>
          <w:bCs/>
          <w:rtl/>
        </w:rPr>
        <w:t xml:space="preserve"> </w:t>
      </w:r>
      <w:r w:rsidRPr="00A1472B">
        <w:rPr>
          <w:rFonts w:ascii="Calibri" w:eastAsia="Calibri" w:hAnsi="Calibri" w:hint="eastAsia"/>
          <w:b/>
          <w:bCs/>
          <w:rtl/>
        </w:rPr>
        <w:t>בעבירות</w:t>
      </w:r>
      <w:r w:rsidRPr="00A1472B">
        <w:rPr>
          <w:rFonts w:ascii="Calibri" w:eastAsia="Calibri" w:hAnsi="Calibri"/>
          <w:b/>
          <w:bCs/>
          <w:rtl/>
        </w:rPr>
        <w:t xml:space="preserve"> </w:t>
      </w:r>
      <w:r w:rsidRPr="00A1472B">
        <w:rPr>
          <w:rFonts w:ascii="Calibri" w:eastAsia="Calibri" w:hAnsi="Calibri" w:hint="eastAsia"/>
          <w:b/>
          <w:bCs/>
          <w:rtl/>
        </w:rPr>
        <w:t>נשק</w:t>
      </w:r>
      <w:r w:rsidRPr="00A1472B">
        <w:rPr>
          <w:rFonts w:ascii="Calibri" w:eastAsia="Calibri" w:hAnsi="Calibri" w:hint="cs"/>
          <w:b/>
          <w:bCs/>
          <w:rtl/>
        </w:rPr>
        <w:t>, על בית המשפט לבכר את האינטרס הציבורי שבהרתעת הרבים</w:t>
      </w:r>
      <w:r w:rsidRPr="00A1472B">
        <w:rPr>
          <w:rFonts w:ascii="Calibri" w:eastAsia="Calibri" w:hAnsi="Calibri"/>
          <w:b/>
          <w:bCs/>
          <w:rtl/>
        </w:rPr>
        <w:t>,</w:t>
      </w:r>
      <w:r w:rsidRPr="00A1472B">
        <w:rPr>
          <w:rFonts w:ascii="Calibri" w:eastAsia="Calibri" w:hAnsi="Calibri" w:hint="cs"/>
          <w:b/>
          <w:bCs/>
          <w:rtl/>
        </w:rPr>
        <w:t xml:space="preserve"> על פני נסיבותיו האישיות של הנידון</w:t>
      </w:r>
      <w:r w:rsidRPr="00A1472B">
        <w:rPr>
          <w:rFonts w:ascii="Calibri" w:eastAsia="Calibri" w:hAnsi="Calibri" w:hint="cs"/>
          <w:rtl/>
        </w:rPr>
        <w:t>" (</w:t>
      </w:r>
      <w:hyperlink r:id="rId22" w:history="1">
        <w:r w:rsidR="000479B7" w:rsidRPr="000479B7">
          <w:rPr>
            <w:rFonts w:ascii="Calibri" w:eastAsia="Calibri" w:hAnsi="Calibri" w:hint="cs"/>
            <w:color w:val="0000FF"/>
            <w:u w:val="single"/>
            <w:rtl/>
          </w:rPr>
          <w:t>ע</w:t>
        </w:r>
        <w:r w:rsidR="000479B7" w:rsidRPr="000479B7">
          <w:rPr>
            <w:rFonts w:ascii="Calibri" w:eastAsia="Calibri" w:hAnsi="Calibri"/>
            <w:color w:val="0000FF"/>
            <w:u w:val="single"/>
            <w:rtl/>
          </w:rPr>
          <w:t>"</w:t>
        </w:r>
        <w:r w:rsidR="000479B7" w:rsidRPr="000479B7">
          <w:rPr>
            <w:rFonts w:ascii="Calibri" w:eastAsia="Calibri" w:hAnsi="Calibri" w:hint="cs"/>
            <w:color w:val="0000FF"/>
            <w:u w:val="single"/>
            <w:rtl/>
          </w:rPr>
          <w:t>פ</w:t>
        </w:r>
        <w:r w:rsidR="000479B7" w:rsidRPr="000479B7">
          <w:rPr>
            <w:rFonts w:ascii="Calibri" w:eastAsia="Calibri" w:hAnsi="Calibri"/>
            <w:color w:val="0000FF"/>
            <w:u w:val="single"/>
            <w:rtl/>
          </w:rPr>
          <w:t xml:space="preserve"> 587/22</w:t>
        </w:r>
      </w:hyperlink>
      <w:r w:rsidRPr="00A1472B">
        <w:rPr>
          <w:rFonts w:ascii="Calibri" w:eastAsia="Calibri" w:hAnsi="Calibri"/>
          <w:rtl/>
        </w:rPr>
        <w:t xml:space="preserve"> </w:t>
      </w:r>
      <w:r w:rsidRPr="00A1472B">
        <w:rPr>
          <w:rFonts w:ascii="Calibri" w:eastAsia="Calibri" w:hAnsi="Calibri"/>
          <w:b/>
          <w:bCs/>
          <w:rtl/>
        </w:rPr>
        <w:t>עדאב אבו נאעסה נ' מדינת ישראל</w:t>
      </w:r>
      <w:r w:rsidRPr="00A1472B">
        <w:rPr>
          <w:rFonts w:ascii="Calibri" w:eastAsia="Calibri" w:hAnsi="Calibri"/>
          <w:rtl/>
        </w:rPr>
        <w:t xml:space="preserve"> </w:t>
      </w:r>
      <w:r w:rsidRPr="00A1472B">
        <w:rPr>
          <w:rFonts w:ascii="Calibri" w:eastAsia="Calibri" w:hAnsi="Calibri" w:hint="cs"/>
          <w:rtl/>
        </w:rPr>
        <w:t xml:space="preserve">פסקה 13 </w:t>
      </w:r>
      <w:r w:rsidRPr="00A1472B">
        <w:rPr>
          <w:rFonts w:ascii="Calibri" w:eastAsia="Calibri" w:hAnsi="Calibri"/>
          <w:rtl/>
        </w:rPr>
        <w:t>(22.5.</w:t>
      </w:r>
      <w:r w:rsidRPr="00A1472B">
        <w:rPr>
          <w:rFonts w:ascii="Calibri" w:eastAsia="Calibri" w:hAnsi="Calibri" w:hint="cs"/>
          <w:rtl/>
        </w:rPr>
        <w:t>20</w:t>
      </w:r>
      <w:r w:rsidRPr="00A1472B">
        <w:rPr>
          <w:rFonts w:ascii="Calibri" w:eastAsia="Calibri" w:hAnsi="Calibri"/>
          <w:rtl/>
        </w:rPr>
        <w:t>22)</w:t>
      </w:r>
      <w:r w:rsidRPr="00A1472B">
        <w:rPr>
          <w:rFonts w:ascii="Calibri" w:eastAsia="Calibri" w:hAnsi="Calibri" w:hint="cs"/>
          <w:rtl/>
        </w:rPr>
        <w:t xml:space="preserve">) </w:t>
      </w:r>
      <w:r w:rsidRPr="00B270B4">
        <w:rPr>
          <w:rFonts w:hint="cs"/>
          <w:rtl/>
        </w:rPr>
        <w:t>(</w:t>
      </w:r>
      <w:hyperlink r:id="rId23" w:history="1">
        <w:r w:rsidR="000479B7" w:rsidRPr="000479B7">
          <w:rPr>
            <w:color w:val="0000FF"/>
            <w:u w:val="single"/>
            <w:rtl/>
          </w:rPr>
          <w:t>ע"פ 2482/22</w:t>
        </w:r>
      </w:hyperlink>
      <w:r w:rsidRPr="00B270B4">
        <w:rPr>
          <w:rFonts w:hint="cs"/>
          <w:rtl/>
        </w:rPr>
        <w:t xml:space="preserve"> </w:t>
      </w:r>
      <w:r w:rsidRPr="00B270B4">
        <w:rPr>
          <w:rFonts w:hint="cs"/>
          <w:b/>
          <w:bCs/>
          <w:rtl/>
        </w:rPr>
        <w:t>מדינת ישראל נ' אחמד קדורה</w:t>
      </w:r>
      <w:r w:rsidRPr="00B270B4">
        <w:rPr>
          <w:rFonts w:hint="cs"/>
          <w:rtl/>
        </w:rPr>
        <w:t xml:space="preserve">, פסקה 5-6 (14.4.2022); </w:t>
      </w:r>
      <w:hyperlink r:id="rId24" w:history="1">
        <w:r w:rsidR="000479B7" w:rsidRPr="000479B7">
          <w:rPr>
            <w:color w:val="0000FF"/>
            <w:u w:val="single"/>
            <w:rtl/>
          </w:rPr>
          <w:t>ע"פ 5813/21</w:t>
        </w:r>
      </w:hyperlink>
      <w:r w:rsidRPr="00B270B4">
        <w:rPr>
          <w:rFonts w:hint="cs"/>
          <w:rtl/>
        </w:rPr>
        <w:t xml:space="preserve"> </w:t>
      </w:r>
      <w:r w:rsidRPr="00B270B4">
        <w:rPr>
          <w:rFonts w:hint="cs"/>
          <w:b/>
          <w:bCs/>
          <w:rtl/>
        </w:rPr>
        <w:t>מוחמד ג'בארין נ' מדינת ישראל</w:t>
      </w:r>
      <w:r w:rsidRPr="00B270B4">
        <w:rPr>
          <w:rFonts w:hint="cs"/>
          <w:rtl/>
        </w:rPr>
        <w:t>, פסקה 14</w:t>
      </w:r>
      <w:r w:rsidRPr="00B270B4">
        <w:rPr>
          <w:rFonts w:hint="cs"/>
          <w:b/>
          <w:bCs/>
          <w:rtl/>
        </w:rPr>
        <w:t xml:space="preserve"> </w:t>
      </w:r>
      <w:r w:rsidRPr="00B270B4">
        <w:rPr>
          <w:rFonts w:hint="cs"/>
          <w:rtl/>
        </w:rPr>
        <w:t xml:space="preserve">(31.5.2022); </w:t>
      </w:r>
      <w:hyperlink r:id="rId25" w:history="1">
        <w:r w:rsidR="000479B7" w:rsidRPr="000479B7">
          <w:rPr>
            <w:color w:val="0000FF"/>
            <w:u w:val="single"/>
            <w:rtl/>
          </w:rPr>
          <w:t>ע"פ 6011/21</w:t>
        </w:r>
      </w:hyperlink>
      <w:r w:rsidRPr="00B270B4">
        <w:rPr>
          <w:rFonts w:hint="cs"/>
          <w:rtl/>
        </w:rPr>
        <w:t xml:space="preserve"> </w:t>
      </w:r>
      <w:r w:rsidRPr="00B270B4">
        <w:rPr>
          <w:rFonts w:hint="cs"/>
          <w:b/>
          <w:bCs/>
          <w:rtl/>
        </w:rPr>
        <w:t>חאלד דסוקי נ' מדנית ישראל</w:t>
      </w:r>
      <w:r w:rsidRPr="00B270B4">
        <w:rPr>
          <w:rFonts w:hint="cs"/>
          <w:rtl/>
        </w:rPr>
        <w:t xml:space="preserve">  (25.11.2021); </w:t>
      </w:r>
      <w:hyperlink r:id="rId26" w:history="1">
        <w:r w:rsidR="000479B7" w:rsidRPr="000479B7">
          <w:rPr>
            <w:color w:val="0000FF"/>
            <w:spacing w:val="10"/>
            <w:sz w:val="20"/>
            <w:u w:val="single"/>
            <w:shd w:val="clear" w:color="auto" w:fill="FFFFFF"/>
            <w:rtl/>
          </w:rPr>
          <w:t>ע"פ 8320/21</w:t>
        </w:r>
      </w:hyperlink>
      <w:r w:rsidRPr="00B270B4">
        <w:rPr>
          <w:rFonts w:hint="cs"/>
          <w:spacing w:val="10"/>
          <w:sz w:val="20"/>
          <w:shd w:val="clear" w:color="auto" w:fill="FFFFFF"/>
          <w:rtl/>
        </w:rPr>
        <w:t xml:space="preserve"> </w:t>
      </w:r>
      <w:r w:rsidRPr="00B270B4">
        <w:rPr>
          <w:rFonts w:hint="cs"/>
          <w:b/>
          <w:bCs/>
          <w:spacing w:val="10"/>
          <w:sz w:val="20"/>
          <w:shd w:val="clear" w:color="auto" w:fill="FFFFFF"/>
          <w:rtl/>
        </w:rPr>
        <w:t>מדינת ישראל נ' מחמד בסילה</w:t>
      </w:r>
      <w:r w:rsidRPr="00B270B4">
        <w:rPr>
          <w:rFonts w:hint="cs"/>
          <w:spacing w:val="10"/>
          <w:sz w:val="20"/>
          <w:shd w:val="clear" w:color="auto" w:fill="FFFFFF"/>
          <w:rtl/>
        </w:rPr>
        <w:t>, פסקה 10 (28.12.2021)</w:t>
      </w:r>
      <w:r w:rsidRPr="00B270B4">
        <w:rPr>
          <w:rFonts w:hint="cs"/>
          <w:rtl/>
        </w:rPr>
        <w:t xml:space="preserve">; </w:t>
      </w:r>
      <w:hyperlink r:id="rId27" w:history="1">
        <w:r w:rsidR="000479B7" w:rsidRPr="000479B7">
          <w:rPr>
            <w:color w:val="0000FF"/>
            <w:u w:val="single"/>
            <w:rtl/>
          </w:rPr>
          <w:t>ע"פ 2283/22</w:t>
        </w:r>
      </w:hyperlink>
      <w:r w:rsidRPr="00B270B4">
        <w:rPr>
          <w:rFonts w:hint="cs"/>
          <w:rtl/>
        </w:rPr>
        <w:t xml:space="preserve"> </w:t>
      </w:r>
      <w:r w:rsidRPr="00B270B4">
        <w:rPr>
          <w:rFonts w:hint="cs"/>
          <w:b/>
          <w:bCs/>
          <w:rtl/>
        </w:rPr>
        <w:t>אל נבארי נ' מדינת ישראל</w:t>
      </w:r>
      <w:r w:rsidRPr="00B270B4">
        <w:rPr>
          <w:rFonts w:hint="cs"/>
          <w:rtl/>
        </w:rPr>
        <w:t xml:space="preserve"> (31.7.2022); </w:t>
      </w:r>
      <w:hyperlink r:id="rId28" w:history="1">
        <w:r w:rsidR="000479B7" w:rsidRPr="000479B7">
          <w:rPr>
            <w:color w:val="0000FF"/>
            <w:u w:val="single"/>
            <w:rtl/>
          </w:rPr>
          <w:t>ע"פ 78/21</w:t>
        </w:r>
      </w:hyperlink>
      <w:r w:rsidRPr="00B270B4">
        <w:rPr>
          <w:rFonts w:hint="cs"/>
          <w:rtl/>
        </w:rPr>
        <w:t xml:space="preserve"> </w:t>
      </w:r>
      <w:r w:rsidRPr="00B270B4">
        <w:rPr>
          <w:rFonts w:hint="cs"/>
          <w:b/>
          <w:bCs/>
          <w:rtl/>
        </w:rPr>
        <w:t>פלוני נ' מדינת</w:t>
      </w:r>
      <w:r w:rsidRPr="00B270B4">
        <w:rPr>
          <w:rFonts w:hint="cs"/>
          <w:rtl/>
        </w:rPr>
        <w:t xml:space="preserve"> </w:t>
      </w:r>
      <w:r w:rsidRPr="00B270B4">
        <w:rPr>
          <w:rFonts w:hint="cs"/>
          <w:b/>
          <w:bCs/>
          <w:rtl/>
        </w:rPr>
        <w:t>ישראל</w:t>
      </w:r>
      <w:r w:rsidRPr="00B270B4">
        <w:rPr>
          <w:rFonts w:hint="cs"/>
          <w:rtl/>
        </w:rPr>
        <w:t xml:space="preserve"> (26.7.2022)). </w:t>
      </w:r>
    </w:p>
    <w:p w14:paraId="3B1A3792" w14:textId="77777777" w:rsidR="00A1472B" w:rsidRPr="00B270B4" w:rsidRDefault="00A1472B" w:rsidP="00A1472B">
      <w:pPr>
        <w:spacing w:after="120" w:line="360" w:lineRule="auto"/>
        <w:ind w:left="720"/>
        <w:contextualSpacing/>
        <w:jc w:val="both"/>
        <w:rPr>
          <w:rtl/>
        </w:rPr>
      </w:pPr>
    </w:p>
    <w:p w14:paraId="77D2B44D" w14:textId="77777777" w:rsidR="00A1472B" w:rsidRPr="00B270B4" w:rsidRDefault="00A1472B" w:rsidP="00A1472B">
      <w:pPr>
        <w:spacing w:after="160" w:line="360" w:lineRule="auto"/>
        <w:ind w:left="720"/>
        <w:contextualSpacing/>
        <w:jc w:val="both"/>
      </w:pPr>
      <w:r w:rsidRPr="00B270B4">
        <w:rPr>
          <w:rtl/>
        </w:rPr>
        <w:t xml:space="preserve">מגמה זו </w:t>
      </w:r>
      <w:r w:rsidRPr="00B270B4">
        <w:rPr>
          <w:rFonts w:hint="cs"/>
          <w:rtl/>
        </w:rPr>
        <w:t xml:space="preserve">באה </w:t>
      </w:r>
      <w:r w:rsidRPr="00B270B4">
        <w:rPr>
          <w:rtl/>
        </w:rPr>
        <w:t>לידי ביטוי גם בחקיקה במסגרת תיקון 140</w:t>
      </w:r>
      <w:r w:rsidRPr="00B270B4">
        <w:rPr>
          <w:rFonts w:hint="cs"/>
          <w:rtl/>
        </w:rPr>
        <w:t xml:space="preserve"> לחוק</w:t>
      </w:r>
      <w:r w:rsidRPr="00B270B4">
        <w:rPr>
          <w:rtl/>
        </w:rPr>
        <w:t>, בו נקבעו עונשי מינימום לעבירות נשק</w:t>
      </w:r>
      <w:r w:rsidRPr="00B270B4">
        <w:rPr>
          <w:rFonts w:hint="cs"/>
          <w:rtl/>
        </w:rPr>
        <w:t xml:space="preserve">, </w:t>
      </w:r>
      <w:r>
        <w:rPr>
          <w:rFonts w:hint="cs"/>
          <w:rtl/>
        </w:rPr>
        <w:t xml:space="preserve">באופן שככלל, העונש שיושת בגין עבירות אלו, לא יפחת מרבע העונש המרבי שנקבע לעבירה. </w:t>
      </w:r>
      <w:r>
        <w:rPr>
          <w:rtl/>
        </w:rPr>
        <w:t>אומנם הוראותיו של תיקון זה אינ</w:t>
      </w:r>
      <w:r>
        <w:rPr>
          <w:rFonts w:hint="cs"/>
          <w:rtl/>
        </w:rPr>
        <w:t>ן</w:t>
      </w:r>
      <w:r>
        <w:rPr>
          <w:rtl/>
        </w:rPr>
        <w:t xml:space="preserve"> חל</w:t>
      </w:r>
      <w:r>
        <w:rPr>
          <w:rFonts w:hint="cs"/>
          <w:rtl/>
        </w:rPr>
        <w:t>ות</w:t>
      </w:r>
      <w:r w:rsidRPr="00B270B4">
        <w:rPr>
          <w:rtl/>
        </w:rPr>
        <w:t xml:space="preserve"> בענייננו, אך </w:t>
      </w:r>
      <w:r w:rsidRPr="00B270B4">
        <w:rPr>
          <w:rFonts w:hint="cs"/>
          <w:rtl/>
        </w:rPr>
        <w:t xml:space="preserve">משקפות את כוונת המחוקק להחמרת רף הענישה בעבירות </w:t>
      </w:r>
      <w:r>
        <w:rPr>
          <w:rFonts w:hint="cs"/>
          <w:rtl/>
        </w:rPr>
        <w:t>אלו</w:t>
      </w:r>
      <w:r w:rsidRPr="00B270B4">
        <w:rPr>
          <w:rFonts w:hint="cs"/>
          <w:rtl/>
        </w:rPr>
        <w:t xml:space="preserve">. </w:t>
      </w:r>
    </w:p>
    <w:p w14:paraId="695BED20" w14:textId="77777777" w:rsidR="00A1472B" w:rsidRPr="00B270B4" w:rsidRDefault="00A1472B" w:rsidP="00A1472B">
      <w:pPr>
        <w:ind w:left="720"/>
        <w:contextualSpacing/>
        <w:rPr>
          <w:rtl/>
        </w:rPr>
      </w:pPr>
    </w:p>
    <w:p w14:paraId="06A4C7E9" w14:textId="77777777" w:rsidR="00A1472B" w:rsidRDefault="00A1472B" w:rsidP="00A1472B">
      <w:pPr>
        <w:numPr>
          <w:ilvl w:val="0"/>
          <w:numId w:val="2"/>
        </w:numPr>
        <w:spacing w:line="360" w:lineRule="auto"/>
        <w:contextualSpacing/>
        <w:jc w:val="both"/>
        <w:textAlignment w:val="baseline"/>
      </w:pPr>
      <w:r w:rsidRPr="00757F8C">
        <w:rPr>
          <w:rFonts w:hint="cs"/>
          <w:rtl/>
        </w:rPr>
        <w:t xml:space="preserve">נאשם 1  הורשע במעורבות בביצוע ירי לעבר </w:t>
      </w:r>
      <w:r>
        <w:rPr>
          <w:rFonts w:hint="cs"/>
          <w:rtl/>
        </w:rPr>
        <w:t>מגרש מכוניות</w:t>
      </w:r>
      <w:r w:rsidRPr="00757F8C">
        <w:rPr>
          <w:rFonts w:hint="cs"/>
          <w:rtl/>
        </w:rPr>
        <w:t xml:space="preserve">. חלקו התמצה בהסעת שני היורים, ברכב גנוב, לזירת הירי, כשהוא מוביל את הנשק והתחמושת ברכב, המתנה להם בעת שהם יורים לעבר מגרש מכוניות ופוגעים ברכבים שחנו במגרש, ומילוטם מהזירה. </w:t>
      </w:r>
      <w:r w:rsidRPr="00757F8C">
        <w:rPr>
          <w:color w:val="000000"/>
          <w:rtl/>
        </w:rPr>
        <w:t>במסגרת</w:t>
      </w:r>
      <w:r w:rsidR="000479B7">
        <w:rPr>
          <w:color w:val="000000"/>
          <w:rtl/>
        </w:rPr>
        <w:t xml:space="preserve"> </w:t>
      </w:r>
      <w:r w:rsidRPr="00757F8C">
        <w:rPr>
          <w:b/>
          <w:bCs/>
          <w:color w:val="000000"/>
          <w:rtl/>
        </w:rPr>
        <w:t>הנסיבות הקשורות בביצוע העבירה</w:t>
      </w:r>
      <w:r w:rsidRPr="00757F8C">
        <w:rPr>
          <w:rFonts w:hint="cs"/>
          <w:color w:val="000000"/>
          <w:rtl/>
        </w:rPr>
        <w:t xml:space="preserve"> </w:t>
      </w:r>
      <w:r w:rsidRPr="00757F8C">
        <w:rPr>
          <w:color w:val="000000"/>
          <w:rtl/>
        </w:rPr>
        <w:t>יש לתת את הדעת</w:t>
      </w:r>
      <w:r w:rsidRPr="00757F8C">
        <w:rPr>
          <w:rFonts w:hint="cs"/>
          <w:rtl/>
        </w:rPr>
        <w:t xml:space="preserve"> לכך שהנאשם היה שותף מרכזי בתכנית הירי, הסיע את היורים ברכב גנוב ולבש חם צוואר על פניו; הנאשם הוביל שני יורים, שנשאו </w:t>
      </w:r>
      <w:r w:rsidRPr="00757F8C">
        <w:rPr>
          <w:rFonts w:hint="cs"/>
          <w:b/>
          <w:bCs/>
          <w:rtl/>
        </w:rPr>
        <w:t>שני כלי נשק</w:t>
      </w:r>
      <w:r w:rsidRPr="00757F8C">
        <w:rPr>
          <w:rFonts w:hint="cs"/>
          <w:rtl/>
        </w:rPr>
        <w:t xml:space="preserve">, רובי סער מסוג קלצ'ניקוב, נשק התקפי, שפוטנציאל הסיכון הגלום בו הוא גבוה במיוחד; אופן התנהלותו של הנאשם, מעיד </w:t>
      </w:r>
      <w:r>
        <w:rPr>
          <w:rFonts w:hint="cs"/>
          <w:rtl/>
        </w:rPr>
        <w:t>על כך שמדובר במעשים מתוכננים-</w:t>
      </w:r>
      <w:r w:rsidRPr="00757F8C">
        <w:rPr>
          <w:rFonts w:hint="cs"/>
          <w:rtl/>
        </w:rPr>
        <w:t xml:space="preserve"> </w:t>
      </w:r>
      <w:r>
        <w:rPr>
          <w:rFonts w:hint="cs"/>
          <w:rtl/>
        </w:rPr>
        <w:t xml:space="preserve">הנאשם אף מאשר זאת בתסקירו- </w:t>
      </w:r>
      <w:r w:rsidRPr="00757F8C">
        <w:rPr>
          <w:rFonts w:hint="cs"/>
          <w:rtl/>
        </w:rPr>
        <w:t xml:space="preserve">שכללו חלוקת תפקידים, שימוש ברכב גנוב להתחמק מזיהוי, מילוט היורים מזירת הירי וקביעת מקום מפגש עם נאשם 2, לאחר ביצוע המעשים, כדי להעביר את הרכב הגנוב </w:t>
      </w:r>
      <w:r>
        <w:rPr>
          <w:rFonts w:hint="cs"/>
          <w:rtl/>
        </w:rPr>
        <w:t xml:space="preserve">לידיו, בניסיון להעלימו; הרקע לביצוע הירי לעבר בית העסק אינו ידוע, לטענת הנאשם אף לא היה מעורב בסכסוך שקדם לירי באופן ישיר אך ברור שבוצע למטרה עבריינית. </w:t>
      </w:r>
    </w:p>
    <w:p w14:paraId="7A95DC9B" w14:textId="77777777" w:rsidR="00A1472B" w:rsidRPr="00757F8C" w:rsidRDefault="00A1472B" w:rsidP="00A1472B">
      <w:pPr>
        <w:spacing w:line="360" w:lineRule="auto"/>
        <w:ind w:left="720"/>
        <w:contextualSpacing/>
        <w:jc w:val="both"/>
        <w:textAlignment w:val="baseline"/>
        <w:rPr>
          <w:rtl/>
        </w:rPr>
      </w:pPr>
    </w:p>
    <w:p w14:paraId="623D1187" w14:textId="77777777" w:rsidR="00A1472B" w:rsidRPr="00757F8C" w:rsidRDefault="00A1472B" w:rsidP="00A1472B">
      <w:pPr>
        <w:numPr>
          <w:ilvl w:val="0"/>
          <w:numId w:val="2"/>
        </w:numPr>
        <w:spacing w:after="120" w:line="360" w:lineRule="auto"/>
        <w:contextualSpacing/>
        <w:jc w:val="both"/>
        <w:textAlignment w:val="baseline"/>
        <w:rPr>
          <w:b/>
          <w:bCs/>
        </w:rPr>
      </w:pPr>
      <w:r>
        <w:rPr>
          <w:rFonts w:hint="cs"/>
          <w:rtl/>
        </w:rPr>
        <w:t>אכן, כתב האישום תוקן והנאשם לא הורשע בעבירת הירי</w:t>
      </w:r>
      <w:r w:rsidRPr="00951BE2">
        <w:rPr>
          <w:rFonts w:hint="cs"/>
          <w:rtl/>
        </w:rPr>
        <w:t xml:space="preserve">. יחד עם זאת, נסיבות הירי אופפות את ביצוע העבירה, ויש </w:t>
      </w:r>
      <w:r>
        <w:rPr>
          <w:rFonts w:hint="cs"/>
          <w:rtl/>
        </w:rPr>
        <w:t>להביאן כשיקול לחומרה</w:t>
      </w:r>
      <w:r w:rsidRPr="00951BE2">
        <w:rPr>
          <w:rFonts w:hint="cs"/>
          <w:rtl/>
        </w:rPr>
        <w:t xml:space="preserve"> לצורך קביעת המתחם (</w:t>
      </w:r>
      <w:hyperlink r:id="rId29" w:history="1">
        <w:r w:rsidR="000479B7" w:rsidRPr="000479B7">
          <w:rPr>
            <w:color w:val="0000FF"/>
            <w:spacing w:val="10"/>
            <w:u w:val="single"/>
            <w:rtl/>
          </w:rPr>
          <w:t>ע"פ 5522/20</w:t>
        </w:r>
      </w:hyperlink>
      <w:r w:rsidRPr="00951BE2">
        <w:rPr>
          <w:rtl/>
        </w:rPr>
        <w:t xml:space="preserve"> </w:t>
      </w:r>
      <w:r w:rsidRPr="00951BE2">
        <w:rPr>
          <w:rFonts w:hint="cs"/>
          <w:b/>
          <w:bCs/>
          <w:rtl/>
        </w:rPr>
        <w:t>חלייחל נ' מדינת ישראל</w:t>
      </w:r>
      <w:r w:rsidRPr="00951BE2">
        <w:rPr>
          <w:rFonts w:hint="cs"/>
          <w:rtl/>
        </w:rPr>
        <w:t xml:space="preserve">, </w:t>
      </w:r>
      <w:r>
        <w:rPr>
          <w:rFonts w:hint="cs"/>
          <w:rtl/>
        </w:rPr>
        <w:t xml:space="preserve"> 24.2.21, "עניין חלייחל"). כפי שנקבע בעניין חלייחל, גם בענייננו, התכנית העבריינית שלה היה שותף הנאשם לא הסתכמה אך בנשיאת נשק, אלא בירי של ממש, "</w:t>
      </w:r>
      <w:r w:rsidRPr="00951BE2">
        <w:rPr>
          <w:rFonts w:hint="cs"/>
          <w:b/>
          <w:bCs/>
          <w:rtl/>
        </w:rPr>
        <w:t>עבירות בנשק קשורות בטבורן לנזק שעלול כתוצאה מן השימוש בכלי-הנשק. ברי כי להבדיל ממקרה שבו נעשה שימוש בכלי-נשק, כאשר נורו יריות, פוטנציאל הנזק,</w:t>
      </w:r>
      <w:r>
        <w:rPr>
          <w:rFonts w:hint="cs"/>
          <w:b/>
          <w:bCs/>
          <w:rtl/>
        </w:rPr>
        <w:t xml:space="preserve"> </w:t>
      </w:r>
      <w:r w:rsidRPr="00951BE2">
        <w:rPr>
          <w:rFonts w:hint="cs"/>
          <w:b/>
          <w:bCs/>
          <w:rtl/>
        </w:rPr>
        <w:t>אף אם לא התממש-מתעצם; ועם התעצמותו-עולה מידת החומרה"</w:t>
      </w:r>
      <w:r>
        <w:rPr>
          <w:rFonts w:hint="cs"/>
          <w:rtl/>
        </w:rPr>
        <w:t xml:space="preserve"> (שם, פסקה 9). אשר לנזק שנגרם, אתן משקל לכך שהירי לעבר מגרש המכוניות היה בשעת לילה, הנזק נגרם לרכוש בלבד, והמקום היה ריק מאנשים. עם זאת פוטנציאל הנזק גבוה, מדובר באירוע שכלל ירי סימולטני ע"י שני יורים, ובמספר רב של יריות. </w:t>
      </w:r>
      <w:r w:rsidRPr="00757F8C">
        <w:rPr>
          <w:rFonts w:hint="cs"/>
          <w:b/>
          <w:bCs/>
          <w:rtl/>
        </w:rPr>
        <w:t xml:space="preserve">לפיכך אני קובעת כי מעשי הנאשם 1 פגעו פגיעה בינונית-גבוהה בערכים המוגנים. </w:t>
      </w:r>
    </w:p>
    <w:p w14:paraId="5BD6658C" w14:textId="77777777" w:rsidR="00A1472B" w:rsidRDefault="00A1472B" w:rsidP="00A1472B">
      <w:pPr>
        <w:pStyle w:val="a9"/>
        <w:rPr>
          <w:rtl/>
        </w:rPr>
      </w:pPr>
    </w:p>
    <w:p w14:paraId="4B028F37" w14:textId="77777777" w:rsidR="00A1472B" w:rsidRDefault="00A1472B" w:rsidP="00A1472B">
      <w:pPr>
        <w:numPr>
          <w:ilvl w:val="0"/>
          <w:numId w:val="2"/>
        </w:numPr>
        <w:spacing w:after="120" w:line="360" w:lineRule="auto"/>
        <w:contextualSpacing/>
        <w:jc w:val="both"/>
        <w:textAlignment w:val="baseline"/>
      </w:pPr>
      <w:r>
        <w:rPr>
          <w:rFonts w:hint="cs"/>
          <w:rtl/>
        </w:rPr>
        <w:t xml:space="preserve">נסיבות מעשיו של נאשם 2 שונות. הנאשם לא נטל חלק בביצוע הירי אך היה שותף לתכנית העבריינית, תפקידו היה לפגוש בנאשם וביורים לאחר ביצוע המעשים במקום מפגש בטייבה, לנהוג ברכב הגנוב ולהעבירו למקום אחר. אינני מקבלת את טענת ההגנה שהנאשם לא היה מודע לכך שברכב הובל נשק מאחר שבמעמד המפגש בינו לבין היורים, יצאו אלו מהרכב ופרקו את כלי הנשק מחוץ לרכב, בסמוך לנאשם. הנאשם 2 ביצע את חלקו בתכנית, כשהוא מפר תנאי מעצר בית שבהם היה נתון בתיק תעבורה, ונהג ברכב בעודו נתון בפסילה, נטשו בשדה פתוח, כשהוא מונע ולצדו בקבוק המכיל חומר דליק. במעשיו של הנאשם היה כדי להפר באופן ממשי את אמון בית המשפט, עם זאת, תיקון כתב האישום משמעותי, הנאשם לא הורשע בעבירות נשק, וחלקו באירוע היה משני. </w:t>
      </w:r>
    </w:p>
    <w:p w14:paraId="3C3D0546" w14:textId="77777777" w:rsidR="00A1472B" w:rsidRPr="00B270B4" w:rsidRDefault="00A1472B" w:rsidP="00A1472B">
      <w:pPr>
        <w:ind w:left="720"/>
        <w:contextualSpacing/>
        <w:rPr>
          <w:rtl/>
        </w:rPr>
      </w:pPr>
    </w:p>
    <w:p w14:paraId="0C003589" w14:textId="77777777" w:rsidR="00A1472B" w:rsidRPr="00B270B4" w:rsidRDefault="00A1472B" w:rsidP="00A1472B">
      <w:pPr>
        <w:ind w:left="720"/>
        <w:contextualSpacing/>
        <w:rPr>
          <w:rtl/>
        </w:rPr>
      </w:pPr>
    </w:p>
    <w:p w14:paraId="7F1279D8" w14:textId="77777777" w:rsidR="00A1472B" w:rsidRPr="003245B6" w:rsidRDefault="00A1472B" w:rsidP="00A1472B">
      <w:pPr>
        <w:spacing w:after="120" w:line="360" w:lineRule="auto"/>
        <w:ind w:left="84" w:firstLine="636"/>
        <w:contextualSpacing/>
        <w:jc w:val="both"/>
        <w:textAlignment w:val="baseline"/>
        <w:rPr>
          <w:rFonts w:ascii="Miriam" w:hAnsi="Miriam" w:cs="Miriam"/>
          <w:rtl/>
        </w:rPr>
      </w:pPr>
      <w:r w:rsidRPr="003245B6">
        <w:rPr>
          <w:rFonts w:ascii="Miriam" w:hAnsi="Miriam" w:cs="Miriam"/>
          <w:rtl/>
        </w:rPr>
        <w:t>מדיניות הענישה הנוהגת</w:t>
      </w:r>
    </w:p>
    <w:p w14:paraId="02D952B3" w14:textId="77777777" w:rsidR="00A1472B" w:rsidRDefault="00A1472B" w:rsidP="00A1472B">
      <w:pPr>
        <w:pStyle w:val="a9"/>
        <w:numPr>
          <w:ilvl w:val="0"/>
          <w:numId w:val="2"/>
        </w:numPr>
        <w:spacing w:line="360" w:lineRule="auto"/>
        <w:jc w:val="both"/>
      </w:pPr>
      <w:r w:rsidRPr="00315BEE">
        <w:rPr>
          <w:rFonts w:hint="cs"/>
          <w:rtl/>
        </w:rPr>
        <w:t>בפסיקה ענפה הושתו על נושאי נשק עונשי מאסר מאח</w:t>
      </w:r>
      <w:r>
        <w:rPr>
          <w:rFonts w:hint="cs"/>
          <w:rtl/>
        </w:rPr>
        <w:t>ורי סורג ובריח לתקופות ממושכות,</w:t>
      </w:r>
      <w:r w:rsidRPr="00315BEE">
        <w:rPr>
          <w:rFonts w:hint="cs"/>
          <w:rtl/>
        </w:rPr>
        <w:t xml:space="preserve"> </w:t>
      </w:r>
      <w:r>
        <w:rPr>
          <w:rFonts w:hint="cs"/>
          <w:rtl/>
        </w:rPr>
        <w:t>גם במקרים</w:t>
      </w:r>
      <w:r w:rsidRPr="00315BEE">
        <w:rPr>
          <w:rFonts w:hint="cs"/>
          <w:rtl/>
        </w:rPr>
        <w:t xml:space="preserve"> </w:t>
      </w:r>
      <w:r>
        <w:rPr>
          <w:rFonts w:hint="cs"/>
          <w:rtl/>
        </w:rPr>
        <w:t>שהנאשמים צעירים וזו להם הסתבכותם הראשונה עם החוק.</w:t>
      </w:r>
      <w:r w:rsidRPr="00315BEE">
        <w:rPr>
          <w:rFonts w:hint="cs"/>
          <w:rtl/>
        </w:rPr>
        <w:t xml:space="preserve"> </w:t>
      </w:r>
      <w:hyperlink r:id="rId30" w:history="1">
        <w:r w:rsidR="000479B7" w:rsidRPr="000479B7">
          <w:rPr>
            <w:color w:val="0000FF"/>
            <w:u w:val="single"/>
            <w:rtl/>
          </w:rPr>
          <w:t>ע"פ 5602/22</w:t>
        </w:r>
      </w:hyperlink>
      <w:r w:rsidRPr="00315BEE">
        <w:rPr>
          <w:rFonts w:hint="cs"/>
          <w:rtl/>
        </w:rPr>
        <w:t xml:space="preserve"> </w:t>
      </w:r>
      <w:r w:rsidRPr="002D75CA">
        <w:rPr>
          <w:rFonts w:hint="cs"/>
          <w:b/>
          <w:bCs/>
          <w:rtl/>
        </w:rPr>
        <w:t xml:space="preserve">מדינת ישראל נ' פלוני </w:t>
      </w:r>
      <w:r w:rsidRPr="00315BEE">
        <w:rPr>
          <w:rFonts w:hint="cs"/>
          <w:rtl/>
        </w:rPr>
        <w:t xml:space="preserve">(14.9.22) מסמן מגמת החמרה משמעותית בעבירות נשיאת נשק. במקרה זה, התקבל ערעור מדינה בעניינו של תושב האזור, שנשא אקדח טעון ברכב ונגזרו עליו 18 חודשי מאסר. בית המשפט (כב' השופט שטיין) </w:t>
      </w:r>
      <w:r w:rsidRPr="00315BEE">
        <w:rPr>
          <w:rtl/>
        </w:rPr>
        <w:t>קבע</w:t>
      </w:r>
      <w:r>
        <w:rPr>
          <w:rFonts w:hint="cs"/>
          <w:rtl/>
        </w:rPr>
        <w:t xml:space="preserve"> </w:t>
      </w:r>
      <w:r w:rsidRPr="00315BEE">
        <w:rPr>
          <w:rFonts w:hint="cs"/>
          <w:rtl/>
        </w:rPr>
        <w:t xml:space="preserve">מתחם ענישה </w:t>
      </w:r>
      <w:r w:rsidRPr="00315BEE">
        <w:rPr>
          <w:rtl/>
        </w:rPr>
        <w:t xml:space="preserve">ראוי שנע בין 30-42 חודשי מאסר. </w:t>
      </w:r>
      <w:r w:rsidRPr="00315BEE">
        <w:rPr>
          <w:rFonts w:hint="cs"/>
          <w:rtl/>
        </w:rPr>
        <w:t xml:space="preserve">עונשו של </w:t>
      </w:r>
      <w:r w:rsidRPr="00315BEE">
        <w:rPr>
          <w:rtl/>
        </w:rPr>
        <w:t>ה</w:t>
      </w:r>
      <w:r w:rsidRPr="00315BEE">
        <w:rPr>
          <w:rFonts w:hint="cs"/>
          <w:rtl/>
        </w:rPr>
        <w:t xml:space="preserve">משיב, ללא עבר, הוחמר, מבלי למצות את הדין, </w:t>
      </w:r>
      <w:r>
        <w:rPr>
          <w:rFonts w:hint="cs"/>
          <w:rtl/>
        </w:rPr>
        <w:t>למאסר בן 28 חודשים. בעניין חלייחל, המזכיר את התיק שלפנינו, נגזרו על הנאשם, בעל עבר פלילי בעבירת נשק, 36 חודשי מאסר</w:t>
      </w:r>
    </w:p>
    <w:p w14:paraId="664660FC" w14:textId="77777777" w:rsidR="00A1472B" w:rsidRDefault="00A1472B" w:rsidP="00A1472B">
      <w:pPr>
        <w:spacing w:line="360" w:lineRule="auto"/>
        <w:ind w:left="84"/>
        <w:contextualSpacing/>
        <w:jc w:val="both"/>
      </w:pPr>
    </w:p>
    <w:p w14:paraId="35039A16" w14:textId="77777777" w:rsidR="00A1472B" w:rsidRPr="00B270B4" w:rsidRDefault="00A1472B" w:rsidP="00A1472B">
      <w:pPr>
        <w:spacing w:after="160" w:line="360" w:lineRule="auto"/>
        <w:ind w:left="720"/>
        <w:contextualSpacing/>
        <w:jc w:val="both"/>
        <w:rPr>
          <w:rtl/>
        </w:rPr>
      </w:pPr>
      <w:r w:rsidRPr="00B270B4">
        <w:rPr>
          <w:rFonts w:hint="cs"/>
          <w:rtl/>
        </w:rPr>
        <w:t>ב</w:t>
      </w:r>
      <w:hyperlink r:id="rId31" w:history="1">
        <w:r w:rsidR="000479B7" w:rsidRPr="000479B7">
          <w:rPr>
            <w:color w:val="0000FF"/>
            <w:u w:val="single"/>
            <w:rtl/>
          </w:rPr>
          <w:t>ע"פ 309/22</w:t>
        </w:r>
      </w:hyperlink>
      <w:r w:rsidRPr="00B270B4">
        <w:rPr>
          <w:rtl/>
        </w:rPr>
        <w:t xml:space="preserve"> </w:t>
      </w:r>
      <w:r w:rsidRPr="00B270B4">
        <w:rPr>
          <w:b/>
          <w:bCs/>
          <w:rtl/>
        </w:rPr>
        <w:t>מדינת ישראל נ' ביאדסה</w:t>
      </w:r>
      <w:r w:rsidRPr="00B270B4">
        <w:rPr>
          <w:rtl/>
        </w:rPr>
        <w:t xml:space="preserve"> (</w:t>
      </w:r>
      <w:r w:rsidRPr="00B270B4">
        <w:rPr>
          <w:rFonts w:hint="cs"/>
          <w:rtl/>
        </w:rPr>
        <w:t>10.5.2022</w:t>
      </w:r>
      <w:r w:rsidRPr="00B270B4">
        <w:rPr>
          <w:rtl/>
        </w:rPr>
        <w:t>)</w:t>
      </w:r>
      <w:r w:rsidRPr="00B270B4">
        <w:rPr>
          <w:rFonts w:hint="cs"/>
          <w:rtl/>
        </w:rPr>
        <w:t xml:space="preserve">, הורשע נאשם נעדר עבר פלילי, בעבירות החזקת נשק, נשיאותו והובלתו </w:t>
      </w:r>
      <w:r w:rsidRPr="00B270B4">
        <w:rPr>
          <w:rtl/>
        </w:rPr>
        <w:t>–</w:t>
      </w:r>
      <w:r w:rsidRPr="00B270B4">
        <w:rPr>
          <w:rFonts w:hint="cs"/>
          <w:rtl/>
        </w:rPr>
        <w:t xml:space="preserve"> רובה </w:t>
      </w:r>
      <w:r w:rsidRPr="00B270B4">
        <w:rPr>
          <w:rtl/>
        </w:rPr>
        <w:t xml:space="preserve">מסוג קלצ'ניקוב, מחסנית תואמת </w:t>
      </w:r>
      <w:r w:rsidRPr="00B270B4">
        <w:rPr>
          <w:rFonts w:hint="cs"/>
          <w:rtl/>
        </w:rPr>
        <w:t>ומלאה</w:t>
      </w:r>
      <w:r w:rsidRPr="00B270B4">
        <w:rPr>
          <w:rtl/>
        </w:rPr>
        <w:t>, אקדח חצי אוטומטי</w:t>
      </w:r>
      <w:r w:rsidRPr="00B270B4">
        <w:rPr>
          <w:rFonts w:hint="cs"/>
          <w:rtl/>
        </w:rPr>
        <w:t xml:space="preserve"> </w:t>
      </w:r>
      <w:r w:rsidRPr="00B270B4">
        <w:rPr>
          <w:rtl/>
        </w:rPr>
        <w:t xml:space="preserve">טעון במחסנית תואמת עם </w:t>
      </w:r>
      <w:r w:rsidRPr="00B270B4">
        <w:rPr>
          <w:rFonts w:hint="cs"/>
          <w:rtl/>
        </w:rPr>
        <w:t xml:space="preserve">27 </w:t>
      </w:r>
      <w:r w:rsidRPr="00B270B4">
        <w:rPr>
          <w:rtl/>
        </w:rPr>
        <w:t xml:space="preserve">כדורים וכדור </w:t>
      </w:r>
      <w:r w:rsidRPr="00B270B4">
        <w:rPr>
          <w:rFonts w:hint="cs"/>
          <w:rtl/>
        </w:rPr>
        <w:t xml:space="preserve">נוסף </w:t>
      </w:r>
      <w:r w:rsidRPr="00B270B4">
        <w:rPr>
          <w:rtl/>
        </w:rPr>
        <w:t>בקנה ומחסנית נוספת</w:t>
      </w:r>
      <w:r w:rsidRPr="00B270B4">
        <w:rPr>
          <w:rFonts w:hint="cs"/>
          <w:rtl/>
        </w:rPr>
        <w:t xml:space="preserve">. הנאשם ביחד עם שותפו הקטין נסעו ברכב גנוב ומוסווה, כשהם לבושים בשכפ"צים, כובעי גרב ועטו כפפות, כשלצדם בקבוקי דלק ומכשיר קשר. </w:t>
      </w:r>
      <w:r w:rsidRPr="00B270B4">
        <w:rPr>
          <w:rtl/>
        </w:rPr>
        <w:t>בית המשפט המחוזי קבע מתחם ע</w:t>
      </w:r>
      <w:r w:rsidRPr="00B270B4">
        <w:rPr>
          <w:rFonts w:hint="cs"/>
          <w:rtl/>
        </w:rPr>
        <w:t xml:space="preserve">נישה הנע </w:t>
      </w:r>
      <w:r w:rsidRPr="00B270B4">
        <w:rPr>
          <w:rtl/>
        </w:rPr>
        <w:t xml:space="preserve">בין </w:t>
      </w:r>
      <w:r w:rsidRPr="00B270B4">
        <w:rPr>
          <w:rFonts w:hint="cs"/>
          <w:rtl/>
        </w:rPr>
        <w:t>54-19</w:t>
      </w:r>
      <w:r w:rsidRPr="00B270B4">
        <w:rPr>
          <w:rtl/>
        </w:rPr>
        <w:t xml:space="preserve"> חודשי מאסר</w:t>
      </w:r>
      <w:r w:rsidRPr="00B270B4">
        <w:rPr>
          <w:rFonts w:hint="cs"/>
          <w:rtl/>
        </w:rPr>
        <w:t xml:space="preserve"> וגזר על הנאשם עונש בתחתית המתחם לצד מאסר תנאי וקנס בסך 15,000 ₪. ערעור שהגישה המדינה התקבל, בית המשפט העליון נתן משקל של ממש לאפיונים החמורים של נשיאת הנשק, עונשו הוחמר והועמד על 30 חודשי מאסר;</w:t>
      </w:r>
    </w:p>
    <w:p w14:paraId="663B161B" w14:textId="77777777" w:rsidR="00A1472B" w:rsidRPr="00B270B4" w:rsidRDefault="00A1472B" w:rsidP="00A1472B">
      <w:pPr>
        <w:spacing w:after="160" w:line="360" w:lineRule="auto"/>
        <w:ind w:left="720"/>
        <w:contextualSpacing/>
        <w:jc w:val="both"/>
        <w:rPr>
          <w:rtl/>
        </w:rPr>
      </w:pPr>
    </w:p>
    <w:p w14:paraId="03CBFB07" w14:textId="77777777" w:rsidR="00A1472B" w:rsidRDefault="00A1472B" w:rsidP="00A1472B">
      <w:pPr>
        <w:spacing w:after="160" w:line="360" w:lineRule="auto"/>
        <w:ind w:left="720"/>
        <w:contextualSpacing/>
        <w:jc w:val="both"/>
        <w:rPr>
          <w:rtl/>
        </w:rPr>
      </w:pPr>
      <w:r w:rsidRPr="00B270B4">
        <w:rPr>
          <w:rFonts w:hint="cs"/>
          <w:rtl/>
        </w:rPr>
        <w:t>ב</w:t>
      </w:r>
      <w:hyperlink r:id="rId32" w:history="1">
        <w:r w:rsidR="000479B7" w:rsidRPr="000479B7">
          <w:rPr>
            <w:color w:val="0000FF"/>
            <w:u w:val="single"/>
            <w:rtl/>
          </w:rPr>
          <w:t>ע"פ 1658/22</w:t>
        </w:r>
      </w:hyperlink>
      <w:r w:rsidRPr="00B270B4">
        <w:rPr>
          <w:rFonts w:hint="cs"/>
          <w:rtl/>
        </w:rPr>
        <w:t xml:space="preserve"> </w:t>
      </w:r>
      <w:r w:rsidRPr="00B270B4">
        <w:rPr>
          <w:rFonts w:hint="cs"/>
          <w:b/>
          <w:bCs/>
          <w:rtl/>
        </w:rPr>
        <w:t>איהאב נח'אש נ' מדינת ישראל</w:t>
      </w:r>
      <w:r>
        <w:rPr>
          <w:rFonts w:hint="cs"/>
          <w:rtl/>
        </w:rPr>
        <w:t xml:space="preserve"> (19.6.2022) </w:t>
      </w:r>
      <w:r w:rsidRPr="00B270B4">
        <w:rPr>
          <w:rFonts w:hint="cs"/>
          <w:rtl/>
        </w:rPr>
        <w:t xml:space="preserve">נדון נאשם שהורשע בעבירת נשיאה והובלה של תת מקלע "עוזי" ומחסנית למאסר בן 26 חודשים. הנאשם, ללא עבר פלילי, רכש לטענתו את הנשק לשם הגנה עצמית ועבר הליך טיפולי; </w:t>
      </w:r>
    </w:p>
    <w:p w14:paraId="436A00A1" w14:textId="77777777" w:rsidR="00A1472B" w:rsidRDefault="00A1472B" w:rsidP="00A1472B">
      <w:pPr>
        <w:spacing w:after="160" w:line="360" w:lineRule="auto"/>
        <w:ind w:left="720"/>
        <w:contextualSpacing/>
        <w:jc w:val="both"/>
        <w:rPr>
          <w:rtl/>
        </w:rPr>
      </w:pPr>
    </w:p>
    <w:p w14:paraId="54A6E619" w14:textId="77777777" w:rsidR="00A1472B" w:rsidRDefault="00A1472B" w:rsidP="00A1472B">
      <w:pPr>
        <w:spacing w:after="160" w:line="360" w:lineRule="auto"/>
        <w:ind w:left="720"/>
        <w:contextualSpacing/>
        <w:jc w:val="both"/>
        <w:rPr>
          <w:rtl/>
        </w:rPr>
      </w:pPr>
      <w:r>
        <w:rPr>
          <w:rFonts w:hint="cs"/>
          <w:rtl/>
        </w:rPr>
        <w:t>ב</w:t>
      </w:r>
      <w:hyperlink r:id="rId33" w:history="1">
        <w:r w:rsidR="000479B7" w:rsidRPr="000479B7">
          <w:rPr>
            <w:color w:val="0000FF"/>
            <w:u w:val="single"/>
            <w:rtl/>
          </w:rPr>
          <w:t>ת"פ (מח-מרכז) 12401-05-22</w:t>
        </w:r>
      </w:hyperlink>
      <w:r>
        <w:rPr>
          <w:rFonts w:hint="cs"/>
          <w:rtl/>
        </w:rPr>
        <w:t xml:space="preserve"> </w:t>
      </w:r>
      <w:r w:rsidRPr="002D75CA">
        <w:rPr>
          <w:rFonts w:hint="cs"/>
          <w:b/>
          <w:bCs/>
          <w:rtl/>
        </w:rPr>
        <w:t>מדינת ישראל נ' גמל,</w:t>
      </w:r>
      <w:r>
        <w:rPr>
          <w:rFonts w:hint="cs"/>
          <w:rtl/>
        </w:rPr>
        <w:t xml:space="preserve"> הורשעו הנאשמים בכך שהצטיידו באקדחים, על רקע סכסוך עם קרוב משפחתם, במהלך האירועים שלפו את האקדחים ואף נסעו ברכב שממנו נורו יריות ע"י אחר לעבר המתלוננים ובני משפחתם. לנאשם 2, הרשעה קודמת מבית משפט לנוער בעבירה של נשיאת נשק, הנאשמים נדונו למאסר בן 34 חודשים;</w:t>
      </w:r>
    </w:p>
    <w:p w14:paraId="21D61D1C" w14:textId="77777777" w:rsidR="00A1472B" w:rsidRDefault="00A1472B" w:rsidP="00A1472B">
      <w:pPr>
        <w:spacing w:after="160" w:line="360" w:lineRule="auto"/>
        <w:ind w:left="720"/>
        <w:contextualSpacing/>
        <w:jc w:val="both"/>
        <w:rPr>
          <w:rtl/>
        </w:rPr>
      </w:pPr>
    </w:p>
    <w:p w14:paraId="2E276E59" w14:textId="77777777" w:rsidR="00A1472B" w:rsidRDefault="000479B7" w:rsidP="00A1472B">
      <w:pPr>
        <w:spacing w:after="160" w:line="360" w:lineRule="auto"/>
        <w:ind w:left="720"/>
        <w:contextualSpacing/>
        <w:jc w:val="both"/>
        <w:rPr>
          <w:rtl/>
        </w:rPr>
      </w:pPr>
      <w:hyperlink r:id="rId34" w:history="1">
        <w:r w:rsidRPr="000479B7">
          <w:rPr>
            <w:color w:val="0000FF"/>
            <w:u w:val="single"/>
            <w:rtl/>
          </w:rPr>
          <w:t>ת"פ (מח-מרכז) 10686-05-20</w:t>
        </w:r>
      </w:hyperlink>
      <w:r w:rsidR="00A1472B">
        <w:rPr>
          <w:rFonts w:hint="cs"/>
          <w:rtl/>
        </w:rPr>
        <w:t xml:space="preserve"> </w:t>
      </w:r>
      <w:r w:rsidR="00A1472B" w:rsidRPr="002D75CA">
        <w:rPr>
          <w:rFonts w:hint="cs"/>
          <w:b/>
          <w:bCs/>
          <w:rtl/>
        </w:rPr>
        <w:t>מדינת ישראל נ' עאזם</w:t>
      </w:r>
      <w:r w:rsidR="00A1472B">
        <w:rPr>
          <w:rFonts w:hint="cs"/>
          <w:rtl/>
        </w:rPr>
        <w:t>, הנאשם, ללא עבר פלילי, הורשע בנשיאת תיק שהכיל רובה קלצ'ניקוב, אקדח ותחמושת, נקבע בעניינו מתחם ענישה שנע בין 28-60 חודשי מאסר. הנאשם עבר הליך טיפולי ובעל סיכויי שיקום נדון לעונש החורג מעט ממתחם הענישה בן 22 חודשים (ערעור שהגיש הנאשם (</w:t>
      </w:r>
      <w:hyperlink r:id="rId35" w:history="1">
        <w:r w:rsidRPr="000479B7">
          <w:rPr>
            <w:color w:val="0000FF"/>
            <w:u w:val="single"/>
            <w:rtl/>
          </w:rPr>
          <w:t>ע"פ 9041/22</w:t>
        </w:r>
      </w:hyperlink>
      <w:r w:rsidR="00A1472B">
        <w:rPr>
          <w:rFonts w:hint="cs"/>
          <w:rtl/>
        </w:rPr>
        <w:t xml:space="preserve"> מיום 13.7.23), נמחק לאחר שנשמעו הערות בית המשפט). </w:t>
      </w:r>
    </w:p>
    <w:p w14:paraId="39C1287F" w14:textId="77777777" w:rsidR="00A1472B" w:rsidRDefault="00A1472B" w:rsidP="00A1472B">
      <w:pPr>
        <w:spacing w:after="160" w:line="360" w:lineRule="auto"/>
        <w:ind w:left="720"/>
        <w:contextualSpacing/>
        <w:jc w:val="both"/>
        <w:rPr>
          <w:rtl/>
        </w:rPr>
      </w:pPr>
    </w:p>
    <w:p w14:paraId="423B53A6" w14:textId="77777777" w:rsidR="00A1472B" w:rsidRDefault="00A1472B" w:rsidP="00A1472B">
      <w:pPr>
        <w:spacing w:after="160" w:line="360" w:lineRule="auto"/>
        <w:ind w:left="720"/>
        <w:contextualSpacing/>
        <w:jc w:val="both"/>
        <w:rPr>
          <w:rtl/>
        </w:rPr>
      </w:pPr>
      <w:r>
        <w:rPr>
          <w:rFonts w:hint="cs"/>
          <w:rtl/>
        </w:rPr>
        <w:t xml:space="preserve">עוד נקבע בפסיקה כי בבחינת נסיבות ביצוע העבירה בעבירות נשק, </w:t>
      </w:r>
      <w:r w:rsidRPr="00D05F8E">
        <w:rPr>
          <w:rFonts w:hint="cs"/>
          <w:rtl/>
        </w:rPr>
        <w:t>על בית המש</w:t>
      </w:r>
      <w:r>
        <w:rPr>
          <w:rFonts w:hint="cs"/>
          <w:rtl/>
        </w:rPr>
        <w:t>פט ליתן משקל לסוג הנשק שבו בוצעו</w:t>
      </w:r>
      <w:r w:rsidRPr="00D05F8E">
        <w:rPr>
          <w:rFonts w:hint="cs"/>
          <w:rtl/>
        </w:rPr>
        <w:t xml:space="preserve"> העביר</w:t>
      </w:r>
      <w:r>
        <w:rPr>
          <w:rFonts w:hint="cs"/>
          <w:rtl/>
        </w:rPr>
        <w:t>ות</w:t>
      </w:r>
      <w:r w:rsidRPr="00D05F8E">
        <w:rPr>
          <w:rFonts w:hint="cs"/>
          <w:rtl/>
        </w:rPr>
        <w:t xml:space="preserve">, כך </w:t>
      </w:r>
      <w:r w:rsidRPr="00D05F8E">
        <w:rPr>
          <w:rFonts w:hint="eastAsia"/>
          <w:rtl/>
        </w:rPr>
        <w:t>שהעונש</w:t>
      </w:r>
      <w:r w:rsidRPr="00D05F8E">
        <w:rPr>
          <w:rtl/>
        </w:rPr>
        <w:t xml:space="preserve"> </w:t>
      </w:r>
      <w:r w:rsidRPr="00D05F8E">
        <w:rPr>
          <w:rFonts w:hint="eastAsia"/>
          <w:rtl/>
        </w:rPr>
        <w:t>שיושת</w:t>
      </w:r>
      <w:r w:rsidRPr="00D05F8E">
        <w:rPr>
          <w:rtl/>
        </w:rPr>
        <w:t xml:space="preserve"> </w:t>
      </w:r>
      <w:r w:rsidRPr="00D05F8E">
        <w:rPr>
          <w:rFonts w:hint="eastAsia"/>
          <w:rtl/>
        </w:rPr>
        <w:t>על</w:t>
      </w:r>
      <w:r w:rsidRPr="00D05F8E">
        <w:rPr>
          <w:rtl/>
        </w:rPr>
        <w:t xml:space="preserve"> </w:t>
      </w:r>
      <w:r w:rsidRPr="00D05F8E">
        <w:rPr>
          <w:rFonts w:hint="eastAsia"/>
          <w:rtl/>
        </w:rPr>
        <w:t>הנאשם</w:t>
      </w:r>
      <w:r w:rsidRPr="00D05F8E">
        <w:rPr>
          <w:rtl/>
        </w:rPr>
        <w:t xml:space="preserve"> </w:t>
      </w:r>
      <w:r w:rsidRPr="00D05F8E">
        <w:rPr>
          <w:rFonts w:hint="eastAsia"/>
          <w:rtl/>
        </w:rPr>
        <w:t>יושפע</w:t>
      </w:r>
      <w:r w:rsidRPr="00D05F8E">
        <w:rPr>
          <w:rtl/>
        </w:rPr>
        <w:t xml:space="preserve"> </w:t>
      </w:r>
      <w:r w:rsidRPr="00D05F8E">
        <w:rPr>
          <w:rFonts w:hint="eastAsia"/>
          <w:rtl/>
        </w:rPr>
        <w:t>מפוטנציאל</w:t>
      </w:r>
      <w:r w:rsidRPr="00D05F8E">
        <w:rPr>
          <w:rtl/>
        </w:rPr>
        <w:t xml:space="preserve"> </w:t>
      </w:r>
      <w:r w:rsidRPr="00D05F8E">
        <w:rPr>
          <w:rFonts w:hint="eastAsia"/>
          <w:rtl/>
        </w:rPr>
        <w:t>הסיכון</w:t>
      </w:r>
      <w:r w:rsidRPr="00D05F8E">
        <w:rPr>
          <w:rtl/>
        </w:rPr>
        <w:t xml:space="preserve"> </w:t>
      </w:r>
      <w:r w:rsidRPr="00D05F8E">
        <w:rPr>
          <w:rFonts w:hint="eastAsia"/>
          <w:rtl/>
        </w:rPr>
        <w:t>הטמון</w:t>
      </w:r>
      <w:r w:rsidRPr="00D05F8E">
        <w:rPr>
          <w:rtl/>
        </w:rPr>
        <w:t xml:space="preserve"> </w:t>
      </w:r>
      <w:r w:rsidRPr="00D05F8E">
        <w:rPr>
          <w:rFonts w:hint="eastAsia"/>
          <w:rtl/>
        </w:rPr>
        <w:t>בנשק</w:t>
      </w:r>
      <w:r w:rsidRPr="00D05F8E">
        <w:rPr>
          <w:rtl/>
        </w:rPr>
        <w:t xml:space="preserve"> </w:t>
      </w:r>
      <w:r w:rsidRPr="00D05F8E">
        <w:rPr>
          <w:rFonts w:hint="eastAsia"/>
          <w:rtl/>
        </w:rPr>
        <w:t>המוחזק</w:t>
      </w:r>
      <w:r w:rsidRPr="00D05F8E">
        <w:rPr>
          <w:rtl/>
        </w:rPr>
        <w:t xml:space="preserve"> </w:t>
      </w:r>
      <w:r w:rsidRPr="00D05F8E">
        <w:rPr>
          <w:rFonts w:hint="eastAsia"/>
          <w:rtl/>
        </w:rPr>
        <w:t>על</w:t>
      </w:r>
      <w:r w:rsidRPr="00D05F8E">
        <w:rPr>
          <w:rtl/>
        </w:rPr>
        <w:t xml:space="preserve"> </w:t>
      </w:r>
      <w:r w:rsidRPr="00D05F8E">
        <w:rPr>
          <w:rFonts w:hint="eastAsia"/>
          <w:rtl/>
        </w:rPr>
        <w:t>ידו</w:t>
      </w:r>
      <w:r w:rsidRPr="00D05F8E">
        <w:rPr>
          <w:rtl/>
        </w:rPr>
        <w:t xml:space="preserve"> </w:t>
      </w:r>
      <w:r w:rsidRPr="00D05F8E">
        <w:rPr>
          <w:rFonts w:hint="eastAsia"/>
          <w:rtl/>
        </w:rPr>
        <w:t>שלא</w:t>
      </w:r>
      <w:r w:rsidRPr="00D05F8E">
        <w:rPr>
          <w:rtl/>
        </w:rPr>
        <w:t xml:space="preserve"> </w:t>
      </w:r>
      <w:r w:rsidRPr="00D05F8E">
        <w:rPr>
          <w:rFonts w:hint="eastAsia"/>
          <w:rtl/>
        </w:rPr>
        <w:t>כדין</w:t>
      </w:r>
      <w:r w:rsidRPr="00D05F8E">
        <w:rPr>
          <w:rtl/>
        </w:rPr>
        <w:t xml:space="preserve"> (</w:t>
      </w:r>
      <w:r w:rsidRPr="00D05F8E">
        <w:rPr>
          <w:rFonts w:hint="eastAsia"/>
          <w:rtl/>
        </w:rPr>
        <w:t>ראו</w:t>
      </w:r>
      <w:r w:rsidRPr="00D05F8E">
        <w:rPr>
          <w:rtl/>
        </w:rPr>
        <w:t xml:space="preserve">: </w:t>
      </w:r>
      <w:hyperlink r:id="rId36" w:history="1">
        <w:r w:rsidR="000479B7" w:rsidRPr="000479B7">
          <w:rPr>
            <w:color w:val="0000FF"/>
            <w:u w:val="single"/>
            <w:rtl/>
          </w:rPr>
          <w:t>ע"פ 5813/21</w:t>
        </w:r>
      </w:hyperlink>
      <w:r w:rsidRPr="005F3D39">
        <w:rPr>
          <w:rtl/>
        </w:rPr>
        <w:t xml:space="preserve"> </w:t>
      </w:r>
      <w:r w:rsidRPr="002D75CA">
        <w:rPr>
          <w:bCs/>
          <w:sz w:val="22"/>
          <w:rtl/>
        </w:rPr>
        <w:t>ג'בארין נ' מדינת ישראל</w:t>
      </w:r>
      <w:r w:rsidRPr="005F3D39">
        <w:rPr>
          <w:rFonts w:ascii="Century" w:hAnsi="Century" w:hint="cs"/>
          <w:sz w:val="22"/>
          <w:rtl/>
        </w:rPr>
        <w:t xml:space="preserve">, פסקה 15 </w:t>
      </w:r>
      <w:r w:rsidRPr="005F3D39">
        <w:rPr>
          <w:rtl/>
        </w:rPr>
        <w:t>(31.5.2022)</w:t>
      </w:r>
      <w:r>
        <w:rPr>
          <w:rFonts w:hint="cs"/>
          <w:rtl/>
        </w:rPr>
        <w:t xml:space="preserve">; </w:t>
      </w:r>
      <w:hyperlink r:id="rId37" w:history="1">
        <w:r w:rsidR="000479B7" w:rsidRPr="000479B7">
          <w:rPr>
            <w:color w:val="0000FF"/>
            <w:u w:val="single"/>
            <w:rtl/>
          </w:rPr>
          <w:t>ע"פ 1695/22</w:t>
        </w:r>
      </w:hyperlink>
      <w:r w:rsidRPr="00B270B4">
        <w:rPr>
          <w:rFonts w:hint="cs"/>
          <w:b/>
          <w:bCs/>
          <w:rtl/>
        </w:rPr>
        <w:t xml:space="preserve"> מדינת ישראל נ' מוחמד גנאים ואח' </w:t>
      </w:r>
      <w:r w:rsidRPr="00B270B4">
        <w:rPr>
          <w:rFonts w:hint="cs"/>
          <w:rtl/>
        </w:rPr>
        <w:t xml:space="preserve">(29.3.2022); </w:t>
      </w:r>
      <w:hyperlink r:id="rId38" w:history="1">
        <w:r w:rsidR="000479B7" w:rsidRPr="000479B7">
          <w:rPr>
            <w:color w:val="0000FF"/>
            <w:u w:val="single"/>
            <w:rtl/>
          </w:rPr>
          <w:t>ע"פ 1397/16</w:t>
        </w:r>
      </w:hyperlink>
      <w:r w:rsidRPr="00B270B4">
        <w:rPr>
          <w:rFonts w:hint="cs"/>
          <w:rtl/>
        </w:rPr>
        <w:t xml:space="preserve"> </w:t>
      </w:r>
      <w:r w:rsidRPr="00B270B4">
        <w:rPr>
          <w:rFonts w:hint="cs"/>
          <w:b/>
          <w:bCs/>
          <w:rtl/>
        </w:rPr>
        <w:t>מדינת ישראל נ' חמאיל</w:t>
      </w:r>
      <w:r w:rsidRPr="00B270B4">
        <w:rPr>
          <w:rFonts w:hint="cs"/>
          <w:rtl/>
        </w:rPr>
        <w:t xml:space="preserve"> (6.9.2016</w:t>
      </w:r>
      <w:r>
        <w:rPr>
          <w:rFonts w:hint="cs"/>
          <w:rtl/>
        </w:rPr>
        <w:t>).</w:t>
      </w:r>
      <w:r w:rsidRPr="00B270B4">
        <w:rPr>
          <w:rFonts w:hint="cs"/>
          <w:rtl/>
        </w:rPr>
        <w:t xml:space="preserve"> </w:t>
      </w:r>
    </w:p>
    <w:p w14:paraId="7904D407" w14:textId="77777777" w:rsidR="00A1472B" w:rsidRDefault="00A1472B" w:rsidP="00A1472B">
      <w:pPr>
        <w:spacing w:after="160" w:line="360" w:lineRule="auto"/>
        <w:ind w:left="720"/>
        <w:contextualSpacing/>
        <w:jc w:val="both"/>
        <w:rPr>
          <w:rtl/>
        </w:rPr>
      </w:pPr>
    </w:p>
    <w:p w14:paraId="494710BF" w14:textId="77777777" w:rsidR="00A1472B" w:rsidRPr="00B270B4" w:rsidRDefault="00A1472B" w:rsidP="00A1472B">
      <w:pPr>
        <w:spacing w:after="160" w:line="360" w:lineRule="auto"/>
        <w:ind w:left="720"/>
        <w:contextualSpacing/>
        <w:jc w:val="both"/>
        <w:rPr>
          <w:rtl/>
        </w:rPr>
      </w:pPr>
      <w:r>
        <w:rPr>
          <w:rFonts w:hint="cs"/>
          <w:rtl/>
        </w:rPr>
        <w:t>עיינתי בסקירת הפסיקה שהגישה ההגנה, בחלקה מדובר בפסיקה ישנה, ובחלקה האחר בנסיבות המעשים חמורות פחות מאלו שבפנינו (</w:t>
      </w:r>
      <w:hyperlink r:id="rId39" w:history="1">
        <w:r w:rsidR="000479B7" w:rsidRPr="000479B7">
          <w:rPr>
            <w:color w:val="0000FF"/>
            <w:u w:val="single"/>
            <w:rtl/>
          </w:rPr>
          <w:t>ע"פ 8320/21</w:t>
        </w:r>
      </w:hyperlink>
      <w:r>
        <w:rPr>
          <w:rFonts w:hint="cs"/>
          <w:rtl/>
        </w:rPr>
        <w:t xml:space="preserve"> </w:t>
      </w:r>
      <w:r w:rsidRPr="00821986">
        <w:rPr>
          <w:rFonts w:hint="cs"/>
          <w:b/>
          <w:bCs/>
          <w:rtl/>
        </w:rPr>
        <w:t>מדינת ישראל נ' בסילה</w:t>
      </w:r>
      <w:r>
        <w:rPr>
          <w:rFonts w:hint="cs"/>
          <w:rtl/>
        </w:rPr>
        <w:t xml:space="preserve">, </w:t>
      </w:r>
      <w:hyperlink r:id="rId40" w:history="1">
        <w:r w:rsidR="000479B7" w:rsidRPr="000479B7">
          <w:rPr>
            <w:color w:val="0000FF"/>
            <w:u w:val="single"/>
            <w:rtl/>
          </w:rPr>
          <w:t>ע"פ 6068/21</w:t>
        </w:r>
      </w:hyperlink>
      <w:r>
        <w:rPr>
          <w:rFonts w:hint="cs"/>
          <w:rtl/>
        </w:rPr>
        <w:t xml:space="preserve"> </w:t>
      </w:r>
      <w:r w:rsidRPr="00821986">
        <w:rPr>
          <w:rFonts w:hint="cs"/>
          <w:b/>
          <w:bCs/>
          <w:u w:val="single"/>
          <w:rtl/>
        </w:rPr>
        <w:t>מדינת ישראל נ' פקיה)</w:t>
      </w:r>
    </w:p>
    <w:p w14:paraId="465A4122" w14:textId="77777777" w:rsidR="00A1472B" w:rsidRPr="00E9606E" w:rsidRDefault="00A1472B" w:rsidP="00A1472B">
      <w:pPr>
        <w:spacing w:line="360" w:lineRule="auto"/>
        <w:ind w:left="720"/>
        <w:contextualSpacing/>
        <w:jc w:val="both"/>
        <w:rPr>
          <w:rtl/>
        </w:rPr>
      </w:pPr>
    </w:p>
    <w:p w14:paraId="0F8195B6" w14:textId="77777777" w:rsidR="00A1472B" w:rsidRDefault="00A1472B" w:rsidP="00A1472B">
      <w:pPr>
        <w:pStyle w:val="a9"/>
        <w:numPr>
          <w:ilvl w:val="0"/>
          <w:numId w:val="2"/>
        </w:numPr>
        <w:spacing w:line="360" w:lineRule="auto"/>
        <w:jc w:val="both"/>
        <w:rPr>
          <w:b/>
          <w:bCs/>
          <w:u w:val="single"/>
        </w:rPr>
      </w:pPr>
      <w:r w:rsidRPr="002D75CA">
        <w:rPr>
          <w:rFonts w:hint="cs"/>
          <w:rtl/>
        </w:rPr>
        <w:t xml:space="preserve">לאחר שבחנתי את נסיבות ביצוע העבירה, מידת הפגיעה בערכים המוגנים ומדיניות הענישה הנוהגת, ראיתי לקבוע לנאשם </w:t>
      </w:r>
      <w:r>
        <w:rPr>
          <w:rFonts w:hint="cs"/>
          <w:rtl/>
        </w:rPr>
        <w:t>1</w:t>
      </w:r>
      <w:r w:rsidRPr="002D75CA">
        <w:rPr>
          <w:rFonts w:hint="cs"/>
          <w:rtl/>
        </w:rPr>
        <w:t xml:space="preserve"> </w:t>
      </w:r>
      <w:r w:rsidRPr="002D75CA">
        <w:rPr>
          <w:rFonts w:hint="cs"/>
          <w:b/>
          <w:bCs/>
          <w:rtl/>
        </w:rPr>
        <w:t xml:space="preserve">מתחם ענישה הנע בין </w:t>
      </w:r>
      <w:r>
        <w:rPr>
          <w:rFonts w:hint="cs"/>
          <w:b/>
          <w:bCs/>
          <w:rtl/>
        </w:rPr>
        <w:t>30-60</w:t>
      </w:r>
      <w:r w:rsidRPr="002D75CA">
        <w:rPr>
          <w:rFonts w:hint="cs"/>
          <w:b/>
          <w:bCs/>
          <w:rtl/>
        </w:rPr>
        <w:t xml:space="preserve"> חודשי מאסר</w:t>
      </w:r>
      <w:r>
        <w:rPr>
          <w:rFonts w:hint="cs"/>
          <w:rtl/>
        </w:rPr>
        <w:t xml:space="preserve">, ולנאשם 2, בגין מכלול העבירות, </w:t>
      </w:r>
      <w:r w:rsidRPr="000E30A9">
        <w:rPr>
          <w:rFonts w:hint="cs"/>
          <w:b/>
          <w:bCs/>
          <w:rtl/>
        </w:rPr>
        <w:t>מתחם ענישה הנע בין 7-18 חודשי מאסר</w:t>
      </w:r>
      <w:r>
        <w:rPr>
          <w:rFonts w:hint="cs"/>
          <w:rtl/>
        </w:rPr>
        <w:t xml:space="preserve">. </w:t>
      </w:r>
      <w:r w:rsidRPr="002D75CA">
        <w:rPr>
          <w:rFonts w:hint="cs"/>
          <w:rtl/>
        </w:rPr>
        <w:t xml:space="preserve"> </w:t>
      </w:r>
    </w:p>
    <w:p w14:paraId="79593138" w14:textId="77777777" w:rsidR="00A1472B" w:rsidRPr="000E30A9" w:rsidRDefault="00A1472B" w:rsidP="00A1472B">
      <w:pPr>
        <w:pStyle w:val="a9"/>
        <w:spacing w:line="360" w:lineRule="auto"/>
        <w:jc w:val="both"/>
        <w:rPr>
          <w:b/>
          <w:bCs/>
          <w:u w:val="single"/>
          <w:rtl/>
        </w:rPr>
      </w:pPr>
    </w:p>
    <w:p w14:paraId="6DC223D5" w14:textId="77777777" w:rsidR="00A1472B" w:rsidRPr="003245B6" w:rsidRDefault="00A1472B" w:rsidP="00A1472B">
      <w:pPr>
        <w:pStyle w:val="a9"/>
        <w:spacing w:line="360" w:lineRule="auto"/>
        <w:jc w:val="both"/>
        <w:rPr>
          <w:rFonts w:ascii="Miriam" w:hAnsi="Miriam" w:cs="Miriam"/>
        </w:rPr>
      </w:pPr>
      <w:r w:rsidRPr="003245B6">
        <w:rPr>
          <w:rFonts w:ascii="Miriam" w:hAnsi="Miriam" w:cs="Miriam"/>
          <w:rtl/>
        </w:rPr>
        <w:t>גזירת העונש המתאים לנאשמים</w:t>
      </w:r>
    </w:p>
    <w:p w14:paraId="4BE59133" w14:textId="77777777" w:rsidR="00A1472B" w:rsidRDefault="00A1472B" w:rsidP="00A1472B">
      <w:pPr>
        <w:pStyle w:val="a9"/>
        <w:numPr>
          <w:ilvl w:val="0"/>
          <w:numId w:val="2"/>
        </w:numPr>
        <w:spacing w:line="360" w:lineRule="auto"/>
        <w:jc w:val="both"/>
      </w:pPr>
      <w:r>
        <w:rPr>
          <w:rFonts w:hint="cs"/>
          <w:rtl/>
        </w:rPr>
        <w:t>נאשם 1, יליד 1992, לחובתו שתי הרשעות בעבירות רכוש ונדון בין היתר לעבודות שירות ולצו מבחן. הנאשם נטל אחריות חלקית על ביצוע העבירות, הסביר את מעורבותו החוזרת בפלילים בקשייו להציב גבול לסובבים אותו ועל רקע קשרים בעיתיים ושוליים, רמת מסוכנתו הוערכה כבינונית. הנאשם הביע רצונו להשתלב בהליכים טיפוליים אך שירות המבחן נמנע מהמלצה טיפולית. הנאשם הביע חרטה על המיוחס לו וניכר שמודע להשלכות מעשיו על מצבו ועל משפחתו.</w:t>
      </w:r>
    </w:p>
    <w:p w14:paraId="41001DE1" w14:textId="77777777" w:rsidR="00A1472B" w:rsidRDefault="00A1472B" w:rsidP="00A1472B">
      <w:pPr>
        <w:pStyle w:val="a9"/>
        <w:spacing w:line="360" w:lineRule="auto"/>
        <w:jc w:val="both"/>
      </w:pPr>
    </w:p>
    <w:p w14:paraId="3C871E19" w14:textId="77777777" w:rsidR="00A1472B" w:rsidRDefault="00A1472B" w:rsidP="00A1472B">
      <w:pPr>
        <w:pStyle w:val="a9"/>
        <w:numPr>
          <w:ilvl w:val="0"/>
          <w:numId w:val="2"/>
        </w:numPr>
        <w:spacing w:line="360" w:lineRule="auto"/>
        <w:jc w:val="both"/>
      </w:pPr>
      <w:r>
        <w:rPr>
          <w:rFonts w:hint="cs"/>
          <w:rtl/>
        </w:rPr>
        <w:t xml:space="preserve">נאשם 2, יליד 1993, בעברו הרשעה קודמת בגינה נדון לעבודות שירות, כעולה מחוות דעת הממונה, תפקודו היה לקוי, העבודות הופסקו והוא ריצה את יתרת העונש במאסר ממש. לנאשם עבר תעבורתי הכולל הרשעות בעבירה של נהיגה בפסילה. הנאשם נדון במסגרת </w:t>
      </w:r>
      <w:hyperlink r:id="rId41" w:history="1">
        <w:r w:rsidR="000479B7" w:rsidRPr="000479B7">
          <w:rPr>
            <w:color w:val="0000FF"/>
            <w:u w:val="single"/>
            <w:rtl/>
          </w:rPr>
          <w:t>ת"ד 2092-07-17</w:t>
        </w:r>
      </w:hyperlink>
      <w:r>
        <w:rPr>
          <w:rFonts w:hint="cs"/>
          <w:rtl/>
        </w:rPr>
        <w:t xml:space="preserve"> (בימ"ש לתעבורה בפ"ת, גז"ד מיום 27.12.18) בגין גרימת תאונת דרכים שבה נחבל נוסע וכשהוא נתון תחת השפעת סמים, למאסר בן 45 ימים ומאסר על תנאי בגין נהיגה בפסילה בן 6 חודשים למשך 3 שנים שהוא בר הפעלה בענייננו. אמנם בהמשך הוארך התנאי (</w:t>
      </w:r>
      <w:hyperlink r:id="rId42" w:history="1">
        <w:r w:rsidR="000479B7" w:rsidRPr="000479B7">
          <w:rPr>
            <w:color w:val="0000FF"/>
            <w:u w:val="single"/>
            <w:rtl/>
          </w:rPr>
          <w:t>פ"ל 5824-09-21</w:t>
        </w:r>
      </w:hyperlink>
      <w:r>
        <w:rPr>
          <w:rFonts w:hint="cs"/>
          <w:rtl/>
        </w:rPr>
        <w:t xml:space="preserve"> מיום 30.1.22) אך אין בכך כדי לאיין את הפעלתו בתיק זה. טיב מעשיו של הנאשם בתיק זה בצירוף עברו התעבורתי מלמדים על קושי לתת בו אמון והעדר הרתעה מסנקציות שהוטלו עליו. </w:t>
      </w:r>
    </w:p>
    <w:p w14:paraId="269A8B5C" w14:textId="77777777" w:rsidR="00A1472B" w:rsidRDefault="00A1472B" w:rsidP="00A1472B">
      <w:pPr>
        <w:pStyle w:val="a9"/>
        <w:rPr>
          <w:rtl/>
        </w:rPr>
      </w:pPr>
    </w:p>
    <w:p w14:paraId="11E11FF1" w14:textId="77777777" w:rsidR="00A1472B" w:rsidRPr="00B270B4" w:rsidRDefault="00A1472B" w:rsidP="00A1472B">
      <w:pPr>
        <w:pStyle w:val="a9"/>
        <w:numPr>
          <w:ilvl w:val="0"/>
          <w:numId w:val="2"/>
        </w:numPr>
        <w:spacing w:line="360" w:lineRule="auto"/>
        <w:jc w:val="both"/>
        <w:rPr>
          <w:rtl/>
        </w:rPr>
      </w:pPr>
      <w:r>
        <w:rPr>
          <w:rFonts w:hint="cs"/>
          <w:rtl/>
        </w:rPr>
        <w:t xml:space="preserve">לאחר שבחנתי את כלל השיקולים, לרבות שיקולי הרתעת הרבים והיחיד, מצאתי לגזור על  הנאשמים עונש בחלק התחתון של המתחם אך לא בתחתיתו, לצד ענישה נלווית. נוכח חלוף הזמן ממועד הטלת תנאי הפסילה, אפעיל את רובו בחופף לעונשו. עוד אתחשב בכך שהנאשם 2 היה נתון במעצר בתיק זה כשלושה חודשים. </w:t>
      </w:r>
    </w:p>
    <w:p w14:paraId="04931A06" w14:textId="77777777" w:rsidR="00A1472B" w:rsidRPr="002D75CA" w:rsidRDefault="00A1472B" w:rsidP="00A1472B">
      <w:pPr>
        <w:ind w:left="720"/>
        <w:contextualSpacing/>
        <w:rPr>
          <w:rtl/>
        </w:rPr>
      </w:pPr>
    </w:p>
    <w:p w14:paraId="1A5A17DF" w14:textId="77777777" w:rsidR="00A1472B" w:rsidRPr="00821986" w:rsidRDefault="00A1472B" w:rsidP="00A1472B">
      <w:pPr>
        <w:spacing w:line="360" w:lineRule="auto"/>
        <w:ind w:left="720"/>
        <w:contextualSpacing/>
        <w:jc w:val="both"/>
        <w:rPr>
          <w:rFonts w:ascii="Miriam" w:hAnsi="Miriam" w:cs="Miriam"/>
          <w:rtl/>
        </w:rPr>
      </w:pPr>
      <w:r w:rsidRPr="00821986">
        <w:rPr>
          <w:rFonts w:ascii="Miriam" w:hAnsi="Miriam" w:cs="Miriam"/>
          <w:rtl/>
        </w:rPr>
        <w:t>סוף דבר</w:t>
      </w:r>
    </w:p>
    <w:p w14:paraId="0D5288A0" w14:textId="77777777" w:rsidR="00A1472B" w:rsidRPr="00B270B4" w:rsidRDefault="00A1472B" w:rsidP="00A1472B">
      <w:pPr>
        <w:numPr>
          <w:ilvl w:val="0"/>
          <w:numId w:val="2"/>
        </w:numPr>
        <w:spacing w:after="160" w:line="360" w:lineRule="auto"/>
        <w:contextualSpacing/>
        <w:jc w:val="both"/>
        <w:rPr>
          <w:rtl/>
        </w:rPr>
      </w:pPr>
      <w:r w:rsidRPr="00B270B4">
        <w:rPr>
          <w:rFonts w:hint="cs"/>
          <w:b/>
          <w:bCs/>
          <w:rtl/>
        </w:rPr>
        <w:t xml:space="preserve">אני גוזרת על הנאשם </w:t>
      </w:r>
      <w:r>
        <w:rPr>
          <w:rFonts w:hint="cs"/>
          <w:b/>
          <w:bCs/>
          <w:rtl/>
        </w:rPr>
        <w:t xml:space="preserve">1 </w:t>
      </w:r>
      <w:r w:rsidRPr="00B270B4">
        <w:rPr>
          <w:rFonts w:hint="cs"/>
          <w:b/>
          <w:bCs/>
          <w:rtl/>
        </w:rPr>
        <w:t>את העונשים הבאים:</w:t>
      </w:r>
    </w:p>
    <w:p w14:paraId="325027F6" w14:textId="77777777" w:rsidR="00A1472B" w:rsidRPr="00B270B4" w:rsidRDefault="00A1472B" w:rsidP="00A1472B">
      <w:pPr>
        <w:numPr>
          <w:ilvl w:val="0"/>
          <w:numId w:val="3"/>
        </w:numPr>
        <w:spacing w:after="160" w:line="360" w:lineRule="auto"/>
        <w:contextualSpacing/>
        <w:jc w:val="both"/>
      </w:pPr>
      <w:r>
        <w:rPr>
          <w:rFonts w:hint="cs"/>
          <w:rtl/>
        </w:rPr>
        <w:t>35</w:t>
      </w:r>
      <w:r w:rsidRPr="00B270B4">
        <w:rPr>
          <w:rFonts w:hint="cs"/>
          <w:rtl/>
        </w:rPr>
        <w:t xml:space="preserve"> חודשי מאסר בפועל, בניכוי ימי מעצרו </w:t>
      </w:r>
      <w:r>
        <w:rPr>
          <w:rFonts w:hint="cs"/>
          <w:rtl/>
        </w:rPr>
        <w:t>10.10.21-17.1.22.</w:t>
      </w:r>
    </w:p>
    <w:p w14:paraId="4819C6EF" w14:textId="77777777" w:rsidR="00A1472B" w:rsidRPr="00B270B4" w:rsidRDefault="00A1472B" w:rsidP="00A1472B">
      <w:pPr>
        <w:numPr>
          <w:ilvl w:val="0"/>
          <w:numId w:val="3"/>
        </w:numPr>
        <w:spacing w:after="160" w:line="360" w:lineRule="auto"/>
        <w:contextualSpacing/>
        <w:jc w:val="both"/>
      </w:pPr>
      <w:r w:rsidRPr="00B270B4">
        <w:rPr>
          <w:rFonts w:hint="cs"/>
          <w:rtl/>
        </w:rPr>
        <w:t xml:space="preserve">מאסר על תנאי בן 12 חודשים לבל יעבור הנאשם עבירת נשק תוך 3 שנים מיום שחרורו. </w:t>
      </w:r>
    </w:p>
    <w:p w14:paraId="1FF18C01" w14:textId="77777777" w:rsidR="00A1472B" w:rsidRDefault="00A1472B" w:rsidP="00A1472B">
      <w:pPr>
        <w:numPr>
          <w:ilvl w:val="0"/>
          <w:numId w:val="3"/>
        </w:numPr>
        <w:spacing w:after="160" w:line="360" w:lineRule="auto"/>
        <w:contextualSpacing/>
        <w:jc w:val="both"/>
      </w:pPr>
      <w:r w:rsidRPr="00B270B4">
        <w:rPr>
          <w:rFonts w:hint="cs"/>
          <w:rtl/>
        </w:rPr>
        <w:t xml:space="preserve">קנס בסך </w:t>
      </w:r>
      <w:r>
        <w:rPr>
          <w:rFonts w:hint="cs"/>
          <w:rtl/>
        </w:rPr>
        <w:t>6</w:t>
      </w:r>
      <w:r w:rsidRPr="00B270B4">
        <w:rPr>
          <w:rFonts w:hint="cs"/>
          <w:rtl/>
        </w:rPr>
        <w:t xml:space="preserve">000 ₪ או 60 ימי מאסר. הקנס ישולם בארבעה תשלומים החל מיום </w:t>
      </w:r>
      <w:r>
        <w:rPr>
          <w:rFonts w:hint="cs"/>
          <w:rtl/>
        </w:rPr>
        <w:t>1.10.23.</w:t>
      </w:r>
    </w:p>
    <w:p w14:paraId="1094B94A" w14:textId="77777777" w:rsidR="00A1472B" w:rsidRDefault="00A1472B" w:rsidP="00A1472B">
      <w:pPr>
        <w:numPr>
          <w:ilvl w:val="0"/>
          <w:numId w:val="3"/>
        </w:numPr>
        <w:spacing w:after="160" w:line="360" w:lineRule="auto"/>
        <w:contextualSpacing/>
        <w:jc w:val="both"/>
      </w:pPr>
      <w:r>
        <w:rPr>
          <w:rFonts w:hint="cs"/>
          <w:rtl/>
        </w:rPr>
        <w:t xml:space="preserve">הנאשם יתייצב לריצוי עונשו ביום 4.11.23 שעה 10:00 בבימ"ר "הדרים". להבטחת התייצבותו תעמודנה הערבויות וצו עיכוב יציאה מהארץ מתיק המעצר. הערבויות יושבו למפקיד עם תחילת ריצוי המאסר. </w:t>
      </w:r>
    </w:p>
    <w:p w14:paraId="349504D4" w14:textId="77777777" w:rsidR="00A1472B" w:rsidRDefault="00A1472B" w:rsidP="00A1472B">
      <w:pPr>
        <w:spacing w:after="160" w:line="360" w:lineRule="auto"/>
        <w:ind w:left="720"/>
        <w:contextualSpacing/>
        <w:jc w:val="both"/>
        <w:rPr>
          <w:rtl/>
        </w:rPr>
      </w:pPr>
    </w:p>
    <w:p w14:paraId="53E714A7" w14:textId="77777777" w:rsidR="00A1472B" w:rsidRPr="00821986" w:rsidRDefault="00A1472B" w:rsidP="00A1472B">
      <w:pPr>
        <w:spacing w:after="160" w:line="360" w:lineRule="auto"/>
        <w:ind w:left="720"/>
        <w:contextualSpacing/>
        <w:jc w:val="both"/>
        <w:rPr>
          <w:b/>
          <w:bCs/>
          <w:rtl/>
        </w:rPr>
      </w:pPr>
      <w:r w:rsidRPr="00821986">
        <w:rPr>
          <w:rFonts w:hint="cs"/>
          <w:b/>
          <w:bCs/>
          <w:rtl/>
        </w:rPr>
        <w:t>אני גוזרת על נאשם 2 את העונשים הבאים:</w:t>
      </w:r>
    </w:p>
    <w:p w14:paraId="63102A20" w14:textId="77777777" w:rsidR="00A1472B" w:rsidRDefault="00A1472B" w:rsidP="00A1472B">
      <w:pPr>
        <w:pStyle w:val="a9"/>
        <w:numPr>
          <w:ilvl w:val="0"/>
          <w:numId w:val="4"/>
        </w:numPr>
        <w:spacing w:after="160" w:line="360" w:lineRule="auto"/>
        <w:jc w:val="both"/>
        <w:rPr>
          <w:b/>
          <w:bCs/>
          <w:u w:val="single"/>
        </w:rPr>
      </w:pPr>
      <w:r>
        <w:rPr>
          <w:rFonts w:hint="cs"/>
          <w:rtl/>
        </w:rPr>
        <w:t xml:space="preserve">7 חודשי מאסר בדרך של עבודות שירות. הנאשם יבצע את העבודות בימים א'-ה' בטווח השעות שייקבע הממונה, החל מיום 8.10.23 בכפר נחמן. במועד זה יתייצב עד השעה 08:00 במשרדי הממונה ברמלה. </w:t>
      </w:r>
      <w:r w:rsidRPr="00821986">
        <w:rPr>
          <w:rFonts w:hint="cs"/>
          <w:b/>
          <w:bCs/>
          <w:u w:val="single"/>
          <w:rtl/>
        </w:rPr>
        <w:t xml:space="preserve">תשומת לב הממונה לשינוי מועד תחילת העבודות. </w:t>
      </w:r>
    </w:p>
    <w:p w14:paraId="7E2CF732" w14:textId="77777777" w:rsidR="00A1472B" w:rsidRDefault="00A1472B" w:rsidP="00A1472B">
      <w:pPr>
        <w:pStyle w:val="a9"/>
        <w:numPr>
          <w:ilvl w:val="0"/>
          <w:numId w:val="4"/>
        </w:numPr>
        <w:spacing w:after="160" w:line="360" w:lineRule="auto"/>
        <w:jc w:val="both"/>
        <w:rPr>
          <w:b/>
          <w:bCs/>
          <w:u w:val="single"/>
        </w:rPr>
      </w:pPr>
      <w:r>
        <w:rPr>
          <w:rFonts w:hint="cs"/>
          <w:rtl/>
        </w:rPr>
        <w:t>הנאשם מוזהר, כי ככל שלא ישתף פעולה כנדרש אם הממונה, ניתן יהיה להפסיק את העבודות ולהמירן במאסר ממש.</w:t>
      </w:r>
    </w:p>
    <w:p w14:paraId="1E1436BF" w14:textId="77777777" w:rsidR="00A1472B" w:rsidRPr="00821986" w:rsidRDefault="00A1472B" w:rsidP="00A1472B">
      <w:pPr>
        <w:pStyle w:val="a9"/>
        <w:numPr>
          <w:ilvl w:val="0"/>
          <w:numId w:val="4"/>
        </w:numPr>
        <w:spacing w:after="160" w:line="360" w:lineRule="auto"/>
        <w:jc w:val="both"/>
        <w:rPr>
          <w:b/>
          <w:bCs/>
        </w:rPr>
      </w:pPr>
      <w:r w:rsidRPr="00821986">
        <w:rPr>
          <w:rFonts w:hint="cs"/>
          <w:rtl/>
        </w:rPr>
        <w:t xml:space="preserve">מפעילה תנאי בן 6 חודשים </w:t>
      </w:r>
      <w:r>
        <w:rPr>
          <w:rFonts w:hint="cs"/>
          <w:rtl/>
        </w:rPr>
        <w:t>שהוטל על הנאשם ב</w:t>
      </w:r>
      <w:hyperlink r:id="rId43" w:history="1">
        <w:r w:rsidR="000479B7" w:rsidRPr="000479B7">
          <w:rPr>
            <w:color w:val="0000FF"/>
            <w:u w:val="single"/>
            <w:rtl/>
          </w:rPr>
          <w:t>ת"ד 2092-07-17</w:t>
        </w:r>
      </w:hyperlink>
      <w:r>
        <w:rPr>
          <w:rFonts w:hint="cs"/>
          <w:rtl/>
        </w:rPr>
        <w:t xml:space="preserve"> (בימ"ש לתעבורה בפ"ת, גז"ד מיום 27.12.18), בן 6 חודשים באופן חופף ומצטבר, </w:t>
      </w:r>
      <w:r w:rsidRPr="00821986">
        <w:rPr>
          <w:rFonts w:hint="cs"/>
          <w:b/>
          <w:bCs/>
          <w:rtl/>
        </w:rPr>
        <w:t>כך שהנאשם ירצה 8 חודשי מאסר בדרך של עבודות שירות.</w:t>
      </w:r>
    </w:p>
    <w:p w14:paraId="0885015A" w14:textId="77777777" w:rsidR="00A1472B" w:rsidRDefault="00A1472B" w:rsidP="00A1472B">
      <w:pPr>
        <w:pStyle w:val="a9"/>
        <w:numPr>
          <w:ilvl w:val="0"/>
          <w:numId w:val="4"/>
        </w:numPr>
        <w:spacing w:after="160" w:line="360" w:lineRule="auto"/>
        <w:jc w:val="both"/>
        <w:rPr>
          <w:b/>
          <w:bCs/>
          <w:u w:val="single"/>
        </w:rPr>
      </w:pPr>
      <w:r>
        <w:rPr>
          <w:rFonts w:hint="cs"/>
          <w:rtl/>
        </w:rPr>
        <w:t xml:space="preserve">מאסר על תנאי בן 6 </w:t>
      </w:r>
      <w:r w:rsidRPr="00821986">
        <w:rPr>
          <w:rFonts w:hint="cs"/>
          <w:rtl/>
        </w:rPr>
        <w:t>שלא יעבור אחת העבירות בהן הורשע במשך שנתיים מהיום.</w:t>
      </w:r>
    </w:p>
    <w:p w14:paraId="71918381" w14:textId="77777777" w:rsidR="00A1472B" w:rsidRDefault="00A1472B" w:rsidP="00A1472B">
      <w:pPr>
        <w:pStyle w:val="a9"/>
        <w:numPr>
          <w:ilvl w:val="0"/>
          <w:numId w:val="4"/>
        </w:numPr>
        <w:spacing w:after="160" w:line="360" w:lineRule="auto"/>
        <w:jc w:val="both"/>
        <w:rPr>
          <w:b/>
          <w:bCs/>
          <w:u w:val="single"/>
        </w:rPr>
      </w:pPr>
      <w:r>
        <w:rPr>
          <w:rFonts w:hint="cs"/>
          <w:rtl/>
        </w:rPr>
        <w:t xml:space="preserve">קנס בסך 1,500 ₪ או 21 ימי מאסר תמורתו שישולם עד ליום 1.11.23. </w:t>
      </w:r>
    </w:p>
    <w:p w14:paraId="766ED356" w14:textId="77777777" w:rsidR="00A1472B" w:rsidRPr="00821986" w:rsidRDefault="00A1472B" w:rsidP="00A1472B">
      <w:pPr>
        <w:pStyle w:val="a9"/>
        <w:numPr>
          <w:ilvl w:val="0"/>
          <w:numId w:val="4"/>
        </w:numPr>
        <w:spacing w:after="160" w:line="360" w:lineRule="auto"/>
        <w:jc w:val="both"/>
        <w:rPr>
          <w:b/>
          <w:bCs/>
          <w:u w:val="single"/>
        </w:rPr>
      </w:pPr>
      <w:r>
        <w:rPr>
          <w:rFonts w:hint="cs"/>
          <w:rtl/>
        </w:rPr>
        <w:t xml:space="preserve">פוסלת את הנאשם מלנהוג למשך 8 חודשים,  וזאת על תנאי שלא יבצע עבירה של נהיגה בפסילה במשך שנתיים מהיום. </w:t>
      </w:r>
    </w:p>
    <w:p w14:paraId="14AE849A" w14:textId="77777777" w:rsidR="00A1472B" w:rsidRDefault="00A1472B" w:rsidP="00A1472B">
      <w:pPr>
        <w:spacing w:line="360" w:lineRule="auto"/>
        <w:jc w:val="both"/>
        <w:rPr>
          <w:rtl/>
        </w:rPr>
      </w:pPr>
    </w:p>
    <w:p w14:paraId="0621D341" w14:textId="77777777" w:rsidR="00A1472B" w:rsidRPr="00C42807" w:rsidRDefault="00A1472B" w:rsidP="00A1472B">
      <w:pPr>
        <w:spacing w:line="360" w:lineRule="auto"/>
        <w:jc w:val="both"/>
        <w:rPr>
          <w:b/>
          <w:bCs/>
          <w:rtl/>
        </w:rPr>
      </w:pPr>
      <w:r w:rsidRPr="00C42807">
        <w:rPr>
          <w:rFonts w:hint="cs"/>
          <w:b/>
          <w:bCs/>
          <w:rtl/>
        </w:rPr>
        <w:t>גזה"ד יישלח לממונה ולשירות המבחן.</w:t>
      </w:r>
    </w:p>
    <w:p w14:paraId="5AB206C7" w14:textId="77777777" w:rsidR="00A1472B" w:rsidRDefault="00A1472B" w:rsidP="00A1472B">
      <w:pPr>
        <w:spacing w:line="360" w:lineRule="auto"/>
        <w:jc w:val="both"/>
        <w:rPr>
          <w:rtl/>
        </w:rPr>
      </w:pPr>
      <w:r w:rsidRPr="00C42807">
        <w:rPr>
          <w:rFonts w:hint="cs"/>
          <w:b/>
          <w:bCs/>
          <w:rtl/>
        </w:rPr>
        <w:t>צו כללי למוצגים</w:t>
      </w:r>
    </w:p>
    <w:p w14:paraId="7ABAF9E6" w14:textId="77777777" w:rsidR="00A1472B" w:rsidRPr="00821986" w:rsidRDefault="00A1472B" w:rsidP="00A1472B">
      <w:pPr>
        <w:spacing w:line="360" w:lineRule="auto"/>
        <w:jc w:val="both"/>
        <w:rPr>
          <w:rtl/>
        </w:rPr>
      </w:pPr>
    </w:p>
    <w:p w14:paraId="7211E530" w14:textId="77777777" w:rsidR="00A1472B" w:rsidRPr="00B270B4" w:rsidRDefault="00A1472B" w:rsidP="00A1472B">
      <w:pPr>
        <w:spacing w:line="360" w:lineRule="auto"/>
        <w:jc w:val="both"/>
        <w:rPr>
          <w:b/>
          <w:bCs/>
        </w:rPr>
      </w:pPr>
      <w:r w:rsidRPr="00B270B4">
        <w:rPr>
          <w:rFonts w:hint="cs"/>
          <w:b/>
          <w:bCs/>
          <w:rtl/>
        </w:rPr>
        <w:t xml:space="preserve">זכות ערעור לבית המשפט העליון תוך 45 יום. </w:t>
      </w:r>
    </w:p>
    <w:p w14:paraId="33924D5C" w14:textId="77777777" w:rsidR="00A1472B" w:rsidRPr="00A1472B" w:rsidRDefault="00A1472B" w:rsidP="00A1472B">
      <w:pPr>
        <w:tabs>
          <w:tab w:val="left" w:pos="800"/>
        </w:tabs>
        <w:overflowPunct w:val="0"/>
        <w:autoSpaceDE w:val="0"/>
        <w:autoSpaceDN w:val="0"/>
        <w:adjustRightInd w:val="0"/>
        <w:spacing w:line="360" w:lineRule="auto"/>
        <w:jc w:val="both"/>
        <w:textAlignment w:val="baseline"/>
        <w:rPr>
          <w:rFonts w:eastAsia="Calibri"/>
          <w:rtl/>
        </w:rPr>
      </w:pPr>
    </w:p>
    <w:p w14:paraId="0EAEA40F" w14:textId="77777777" w:rsidR="00A1472B" w:rsidRPr="00A1472B" w:rsidRDefault="00A1472B" w:rsidP="00A1472B">
      <w:pPr>
        <w:tabs>
          <w:tab w:val="left" w:pos="800"/>
        </w:tabs>
        <w:overflowPunct w:val="0"/>
        <w:autoSpaceDE w:val="0"/>
        <w:autoSpaceDN w:val="0"/>
        <w:adjustRightInd w:val="0"/>
        <w:spacing w:line="360" w:lineRule="auto"/>
        <w:jc w:val="both"/>
        <w:textAlignment w:val="baseline"/>
        <w:rPr>
          <w:rFonts w:eastAsia="Calibri"/>
          <w:rtl/>
        </w:rPr>
      </w:pPr>
    </w:p>
    <w:p w14:paraId="5CD87A8F" w14:textId="77777777" w:rsidR="00A1472B" w:rsidRPr="00A1472B" w:rsidRDefault="00A1472B" w:rsidP="00A1472B">
      <w:pPr>
        <w:tabs>
          <w:tab w:val="left" w:pos="800"/>
        </w:tabs>
        <w:overflowPunct w:val="0"/>
        <w:autoSpaceDE w:val="0"/>
        <w:autoSpaceDN w:val="0"/>
        <w:adjustRightInd w:val="0"/>
        <w:spacing w:line="360" w:lineRule="auto"/>
        <w:jc w:val="both"/>
        <w:textAlignment w:val="baseline"/>
        <w:rPr>
          <w:rFonts w:eastAsia="Calibri"/>
        </w:rPr>
      </w:pPr>
      <w:r w:rsidRPr="00A1472B">
        <w:rPr>
          <w:rFonts w:eastAsia="Calibri" w:hint="cs"/>
          <w:rtl/>
        </w:rPr>
        <w:t xml:space="preserve"> </w:t>
      </w:r>
    </w:p>
    <w:p w14:paraId="77E2B91B" w14:textId="77777777" w:rsidR="00A1472B" w:rsidRPr="00B270B4" w:rsidRDefault="00A1472B" w:rsidP="00A1472B"/>
    <w:p w14:paraId="4FE435FF" w14:textId="77777777" w:rsidR="00A1472B" w:rsidRPr="000479B7" w:rsidRDefault="000479B7" w:rsidP="00A1472B">
      <w:pPr>
        <w:rPr>
          <w:rFonts w:ascii="Arial" w:hAnsi="Arial"/>
          <w:b/>
          <w:bCs/>
          <w:color w:val="FFFFFF"/>
          <w:sz w:val="2"/>
          <w:szCs w:val="2"/>
          <w:rtl/>
        </w:rPr>
      </w:pPr>
      <w:r w:rsidRPr="000479B7">
        <w:rPr>
          <w:rFonts w:ascii="Arial" w:hAnsi="Arial"/>
          <w:b/>
          <w:bCs/>
          <w:color w:val="FFFFFF"/>
          <w:sz w:val="2"/>
          <w:szCs w:val="2"/>
          <w:rtl/>
        </w:rPr>
        <w:t>5129371</w:t>
      </w:r>
    </w:p>
    <w:p w14:paraId="00F854C7" w14:textId="77777777" w:rsidR="00A1472B" w:rsidRPr="000479B7" w:rsidRDefault="000479B7" w:rsidP="00A1472B">
      <w:pPr>
        <w:rPr>
          <w:rFonts w:ascii="Arial" w:hAnsi="Arial"/>
          <w:b/>
          <w:bCs/>
          <w:color w:val="FFFFFF"/>
          <w:sz w:val="2"/>
          <w:szCs w:val="2"/>
          <w:rtl/>
        </w:rPr>
      </w:pPr>
      <w:r w:rsidRPr="000479B7">
        <w:rPr>
          <w:rFonts w:ascii="Arial" w:hAnsi="Arial"/>
          <w:b/>
          <w:bCs/>
          <w:color w:val="FFFFFF"/>
          <w:sz w:val="2"/>
          <w:szCs w:val="2"/>
          <w:rtl/>
        </w:rPr>
        <w:t>54678313</w:t>
      </w:r>
    </w:p>
    <w:p w14:paraId="51D9014D" w14:textId="77777777" w:rsidR="00A1472B" w:rsidRPr="000F2247" w:rsidRDefault="00A1472B" w:rsidP="00A1472B">
      <w:pPr>
        <w:rPr>
          <w:rFonts w:ascii="Arial" w:hAnsi="Arial"/>
          <w:b/>
          <w:bCs/>
          <w:sz w:val="26"/>
          <w:szCs w:val="26"/>
          <w:rtl/>
        </w:rPr>
      </w:pPr>
    </w:p>
    <w:p w14:paraId="0D13CADB" w14:textId="77777777" w:rsidR="00A1472B" w:rsidRPr="000F2247" w:rsidRDefault="000479B7" w:rsidP="00A1472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אלול תשפ"ג, 11 ספטמבר 2023, במעמד הצדדים. </w:t>
      </w:r>
      <w:bookmarkEnd w:id="8"/>
      <w:r w:rsidR="00A1472B">
        <w:rPr>
          <w:rFonts w:ascii="Arial" w:hAnsi="Arial"/>
          <w:b/>
          <w:bCs/>
          <w:sz w:val="26"/>
          <w:szCs w:val="26"/>
          <w:rtl/>
        </w:rPr>
        <w:tab/>
      </w:r>
      <w:r w:rsidR="00A1472B">
        <w:rPr>
          <w:rFonts w:ascii="Arial" w:hAnsi="Arial"/>
          <w:b/>
          <w:bCs/>
          <w:sz w:val="26"/>
          <w:szCs w:val="26"/>
          <w:rtl/>
        </w:rPr>
        <w:tab/>
      </w:r>
      <w:r w:rsidR="00A1472B">
        <w:rPr>
          <w:rFonts w:ascii="Arial" w:hAnsi="Arial"/>
          <w:b/>
          <w:bCs/>
          <w:sz w:val="26"/>
          <w:szCs w:val="26"/>
          <w:rtl/>
        </w:rPr>
        <w:tab/>
      </w:r>
      <w:r w:rsidR="00A1472B">
        <w:rPr>
          <w:rFonts w:ascii="Arial" w:hAnsi="Arial"/>
          <w:b/>
          <w:bCs/>
          <w:sz w:val="26"/>
          <w:szCs w:val="26"/>
          <w:rtl/>
        </w:rPr>
        <w:tab/>
      </w:r>
      <w:r w:rsidR="00A1472B">
        <w:rPr>
          <w:rFonts w:ascii="Arial" w:hAnsi="Arial"/>
          <w:b/>
          <w:bCs/>
          <w:sz w:val="26"/>
          <w:szCs w:val="26"/>
          <w:rtl/>
        </w:rPr>
        <w:tab/>
      </w:r>
      <w:r w:rsidR="00A1472B">
        <w:rPr>
          <w:rFonts w:ascii="Arial" w:hAnsi="Arial"/>
          <w:b/>
          <w:bCs/>
          <w:sz w:val="26"/>
          <w:szCs w:val="26"/>
          <w:rtl/>
        </w:rPr>
        <w:tab/>
      </w:r>
      <w:r w:rsidR="00A1472B">
        <w:rPr>
          <w:rFonts w:ascii="Arial" w:hAnsi="Arial"/>
          <w:b/>
          <w:bCs/>
          <w:sz w:val="26"/>
          <w:szCs w:val="26"/>
          <w:rtl/>
        </w:rPr>
        <w:tab/>
      </w:r>
      <w:r w:rsidR="00A1472B">
        <w:rPr>
          <w:rFonts w:ascii="Arial" w:hAnsi="Arial" w:hint="cs"/>
          <w:b/>
          <w:bCs/>
          <w:sz w:val="26"/>
          <w:szCs w:val="26"/>
          <w:rtl/>
        </w:rPr>
        <w:t xml:space="preserve">         </w:t>
      </w:r>
    </w:p>
    <w:p w14:paraId="4B59F75E" w14:textId="77777777" w:rsidR="00A1472B" w:rsidRPr="000F2247" w:rsidRDefault="00A1472B" w:rsidP="000479B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73B9BF" w14:textId="77777777" w:rsidR="00A1472B" w:rsidRPr="00AB4C91" w:rsidRDefault="00AB4C91" w:rsidP="00A1472B">
      <w:pPr>
        <w:jc w:val="center"/>
        <w:rPr>
          <w:rFonts w:ascii="Arial" w:hAnsi="Arial"/>
          <w:b/>
          <w:bCs/>
          <w:color w:val="FFFFFF"/>
          <w:sz w:val="2"/>
          <w:szCs w:val="2"/>
          <w:rtl/>
        </w:rPr>
      </w:pPr>
      <w:r w:rsidRPr="00AB4C91">
        <w:rPr>
          <w:rFonts w:ascii="Arial" w:hAnsi="Arial"/>
          <w:b/>
          <w:bCs/>
          <w:color w:val="FFFFFF"/>
          <w:sz w:val="2"/>
          <w:szCs w:val="2"/>
          <w:rtl/>
        </w:rPr>
        <w:t>5129371</w:t>
      </w:r>
    </w:p>
    <w:p w14:paraId="53A9C41B" w14:textId="77777777" w:rsidR="009C677D" w:rsidRPr="00AB4C91" w:rsidRDefault="00AB4C91" w:rsidP="000479B7">
      <w:pPr>
        <w:keepNext/>
        <w:rPr>
          <w:rFonts w:ascii="David" w:hAnsi="David"/>
          <w:color w:val="FFFFFF"/>
          <w:sz w:val="2"/>
          <w:szCs w:val="2"/>
          <w:rtl/>
        </w:rPr>
      </w:pPr>
      <w:r w:rsidRPr="00AB4C91">
        <w:rPr>
          <w:rFonts w:ascii="David" w:hAnsi="David"/>
          <w:color w:val="FFFFFF"/>
          <w:sz w:val="2"/>
          <w:szCs w:val="2"/>
          <w:rtl/>
        </w:rPr>
        <w:t>54678313</w:t>
      </w:r>
    </w:p>
    <w:p w14:paraId="32D512FB" w14:textId="77777777" w:rsidR="000479B7" w:rsidRDefault="000479B7" w:rsidP="000479B7">
      <w:pPr>
        <w:rPr>
          <w:rtl/>
        </w:rPr>
      </w:pPr>
    </w:p>
    <w:p w14:paraId="3345F27D" w14:textId="77777777" w:rsidR="000479B7" w:rsidRDefault="000479B7" w:rsidP="000479B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1D746DF1" w14:textId="77777777" w:rsidR="00AB4C91" w:rsidRPr="00AB4C91" w:rsidRDefault="00AB4C91" w:rsidP="00AB4C91">
      <w:pPr>
        <w:keepNext/>
        <w:rPr>
          <w:rFonts w:ascii="David" w:hAnsi="David"/>
          <w:color w:val="000000"/>
          <w:sz w:val="22"/>
          <w:szCs w:val="22"/>
          <w:rtl/>
        </w:rPr>
      </w:pPr>
    </w:p>
    <w:p w14:paraId="16AA89CD" w14:textId="77777777" w:rsidR="00AB4C91" w:rsidRPr="00AB4C91" w:rsidRDefault="00AB4C91" w:rsidP="00AB4C91">
      <w:pPr>
        <w:keepNext/>
        <w:rPr>
          <w:rFonts w:ascii="David" w:hAnsi="David"/>
          <w:color w:val="000000"/>
          <w:sz w:val="22"/>
          <w:szCs w:val="22"/>
          <w:rtl/>
        </w:rPr>
      </w:pPr>
      <w:r w:rsidRPr="00AB4C91">
        <w:rPr>
          <w:rFonts w:ascii="David" w:hAnsi="David"/>
          <w:color w:val="000000"/>
          <w:sz w:val="22"/>
          <w:szCs w:val="22"/>
          <w:rtl/>
        </w:rPr>
        <w:t>מרב גרינברג 54678313-/</w:t>
      </w:r>
    </w:p>
    <w:p w14:paraId="27752962" w14:textId="77777777" w:rsidR="000479B7" w:rsidRPr="000479B7" w:rsidRDefault="00AB4C91" w:rsidP="00AB4C91">
      <w:pPr>
        <w:rPr>
          <w:color w:val="0000FF"/>
          <w:u w:val="single"/>
        </w:rPr>
      </w:pPr>
      <w:r w:rsidRPr="00AB4C91">
        <w:rPr>
          <w:color w:val="000000"/>
          <w:u w:val="single"/>
          <w:rtl/>
        </w:rPr>
        <w:t>נוסח מסמך זה כפוף לשינויי ניסוח ועריכה</w:t>
      </w:r>
    </w:p>
    <w:sectPr w:rsidR="000479B7" w:rsidRPr="000479B7" w:rsidSect="00AB4C9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97060" w14:textId="77777777" w:rsidR="001427F1" w:rsidRDefault="001427F1" w:rsidP="00EB4FD1">
      <w:r>
        <w:separator/>
      </w:r>
    </w:p>
  </w:endnote>
  <w:endnote w:type="continuationSeparator" w:id="0">
    <w:p w14:paraId="74DFEBAA" w14:textId="77777777" w:rsidR="001427F1" w:rsidRDefault="001427F1" w:rsidP="00EB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902D" w14:textId="77777777" w:rsidR="00AB4C91" w:rsidRDefault="00AB4C91" w:rsidP="00AB4C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FBEEC7" w14:textId="77777777" w:rsidR="00846195" w:rsidRPr="00AB4C91" w:rsidRDefault="00AB4C91" w:rsidP="00AB4C91">
    <w:pPr>
      <w:pStyle w:val="a5"/>
      <w:pBdr>
        <w:top w:val="single" w:sz="4" w:space="1" w:color="auto"/>
        <w:between w:val="single" w:sz="4" w:space="0" w:color="auto"/>
      </w:pBdr>
      <w:spacing w:after="60"/>
      <w:jc w:val="center"/>
      <w:rPr>
        <w:rFonts w:ascii="FrankRuehl" w:hAnsi="FrankRuehl" w:cs="FrankRuehl"/>
        <w:color w:val="000000"/>
      </w:rPr>
    </w:pPr>
    <w:r w:rsidRPr="00AB4C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B0F0" w14:textId="77777777" w:rsidR="00AB4C91" w:rsidRDefault="00AB4C91" w:rsidP="00AB4C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269B">
      <w:rPr>
        <w:rFonts w:ascii="FrankRuehl" w:hAnsi="FrankRuehl" w:cs="FrankRuehl"/>
        <w:noProof/>
        <w:rtl/>
      </w:rPr>
      <w:t>1</w:t>
    </w:r>
    <w:r>
      <w:rPr>
        <w:rFonts w:ascii="FrankRuehl" w:hAnsi="FrankRuehl" w:cs="FrankRuehl"/>
        <w:rtl/>
      </w:rPr>
      <w:fldChar w:fldCharType="end"/>
    </w:r>
  </w:p>
  <w:p w14:paraId="4049D662" w14:textId="77777777" w:rsidR="00846195" w:rsidRPr="00AB4C91" w:rsidRDefault="00AB4C91" w:rsidP="00AB4C91">
    <w:pPr>
      <w:pStyle w:val="a5"/>
      <w:pBdr>
        <w:top w:val="single" w:sz="4" w:space="1" w:color="auto"/>
        <w:between w:val="single" w:sz="4" w:space="0" w:color="auto"/>
      </w:pBdr>
      <w:spacing w:after="60"/>
      <w:jc w:val="center"/>
      <w:rPr>
        <w:rFonts w:ascii="FrankRuehl" w:hAnsi="FrankRuehl" w:cs="FrankRuehl"/>
        <w:color w:val="000000"/>
      </w:rPr>
    </w:pPr>
    <w:r w:rsidRPr="00AB4C91">
      <w:rPr>
        <w:rFonts w:ascii="FrankRuehl" w:hAnsi="FrankRuehl" w:cs="FrankRuehl"/>
        <w:color w:val="000000"/>
      </w:rPr>
      <w:pict w14:anchorId="7BDD2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09BB6" w14:textId="77777777" w:rsidR="001427F1" w:rsidRDefault="001427F1" w:rsidP="00EB4FD1">
      <w:r>
        <w:separator/>
      </w:r>
    </w:p>
  </w:footnote>
  <w:footnote w:type="continuationSeparator" w:id="0">
    <w:p w14:paraId="401E11D1" w14:textId="77777777" w:rsidR="001427F1" w:rsidRDefault="001427F1" w:rsidP="00EB4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0E9F6" w14:textId="77777777" w:rsidR="000479B7" w:rsidRPr="00AB4C91" w:rsidRDefault="00AB4C91" w:rsidP="00AB4C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10650-11-21</w:t>
    </w:r>
    <w:r>
      <w:rPr>
        <w:rFonts w:ascii="David" w:hAnsi="David"/>
        <w:color w:val="000000"/>
        <w:sz w:val="22"/>
        <w:szCs w:val="22"/>
        <w:rtl/>
      </w:rPr>
      <w:tab/>
      <w:t xml:space="preserve"> מדינת ישראל נ' סיראג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B2DD7" w14:textId="77777777" w:rsidR="000479B7" w:rsidRPr="00AB4C91" w:rsidRDefault="00AB4C91" w:rsidP="00AB4C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10650-11-21</w:t>
    </w:r>
    <w:r>
      <w:rPr>
        <w:rFonts w:ascii="David" w:hAnsi="David"/>
        <w:color w:val="000000"/>
        <w:sz w:val="22"/>
        <w:szCs w:val="22"/>
        <w:rtl/>
      </w:rPr>
      <w:tab/>
      <w:t xml:space="preserve"> מדינת ישראל נ' סיראג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443"/>
    <w:multiLevelType w:val="hybridMultilevel"/>
    <w:tmpl w:val="98B49A92"/>
    <w:lvl w:ilvl="0" w:tplc="EC10A8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A0D32"/>
    <w:multiLevelType w:val="hybridMultilevel"/>
    <w:tmpl w:val="98E4CE56"/>
    <w:lvl w:ilvl="0" w:tplc="BEDC84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C4C00"/>
    <w:multiLevelType w:val="hybridMultilevel"/>
    <w:tmpl w:val="282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356E9"/>
    <w:multiLevelType w:val="hybridMultilevel"/>
    <w:tmpl w:val="7B5841F0"/>
    <w:lvl w:ilvl="0" w:tplc="3E76A852">
      <w:start w:val="1"/>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047440">
    <w:abstractNumId w:val="2"/>
  </w:num>
  <w:num w:numId="2" w16cid:durableId="2075421090">
    <w:abstractNumId w:val="3"/>
  </w:num>
  <w:num w:numId="3" w16cid:durableId="988554820">
    <w:abstractNumId w:val="1"/>
  </w:num>
  <w:num w:numId="4" w16cid:durableId="126664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472B"/>
    <w:rsid w:val="000479B7"/>
    <w:rsid w:val="001427F1"/>
    <w:rsid w:val="00194682"/>
    <w:rsid w:val="002D5A4C"/>
    <w:rsid w:val="004F1806"/>
    <w:rsid w:val="00795663"/>
    <w:rsid w:val="00846195"/>
    <w:rsid w:val="00990377"/>
    <w:rsid w:val="009A4E4C"/>
    <w:rsid w:val="009C677D"/>
    <w:rsid w:val="00A1472B"/>
    <w:rsid w:val="00AB4C91"/>
    <w:rsid w:val="00D0269B"/>
    <w:rsid w:val="00E80F5C"/>
    <w:rsid w:val="00EB4FD1"/>
    <w:rsid w:val="00F96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0F3A66"/>
  <w15:chartTrackingRefBased/>
  <w15:docId w15:val="{BB674A4C-89C4-4C30-9216-B14D1EB4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47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472B"/>
    <w:pPr>
      <w:tabs>
        <w:tab w:val="center" w:pos="4153"/>
        <w:tab w:val="right" w:pos="8306"/>
      </w:tabs>
    </w:pPr>
  </w:style>
  <w:style w:type="character" w:customStyle="1" w:styleId="a4">
    <w:name w:val="כותרת עליונה תו"/>
    <w:link w:val="a3"/>
    <w:rsid w:val="00A1472B"/>
    <w:rPr>
      <w:rFonts w:ascii="Times New Roman" w:eastAsia="Times New Roman" w:hAnsi="Times New Roman" w:cs="David"/>
      <w:sz w:val="24"/>
      <w:szCs w:val="24"/>
    </w:rPr>
  </w:style>
  <w:style w:type="paragraph" w:styleId="a5">
    <w:name w:val="footer"/>
    <w:basedOn w:val="a"/>
    <w:link w:val="a6"/>
    <w:rsid w:val="00A1472B"/>
    <w:pPr>
      <w:tabs>
        <w:tab w:val="center" w:pos="4153"/>
        <w:tab w:val="right" w:pos="8306"/>
      </w:tabs>
    </w:pPr>
  </w:style>
  <w:style w:type="character" w:customStyle="1" w:styleId="a6">
    <w:name w:val="כותרת תחתונה תו"/>
    <w:link w:val="a5"/>
    <w:rsid w:val="00A1472B"/>
    <w:rPr>
      <w:rFonts w:ascii="Times New Roman" w:eastAsia="Times New Roman" w:hAnsi="Times New Roman" w:cs="David"/>
      <w:sz w:val="24"/>
      <w:szCs w:val="24"/>
    </w:rPr>
  </w:style>
  <w:style w:type="table" w:styleId="a7">
    <w:name w:val="Table Grid"/>
    <w:basedOn w:val="a1"/>
    <w:rsid w:val="00A147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472B"/>
  </w:style>
  <w:style w:type="paragraph" w:styleId="a9">
    <w:name w:val="List Paragraph"/>
    <w:basedOn w:val="a"/>
    <w:qFormat/>
    <w:rsid w:val="00A1472B"/>
    <w:pPr>
      <w:ind w:left="720"/>
      <w:contextualSpacing/>
    </w:pPr>
  </w:style>
  <w:style w:type="character" w:styleId="Hyperlink">
    <w:name w:val="Hyperlink"/>
    <w:rsid w:val="00047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7" TargetMode="External"/><Relationship Id="rId18" Type="http://schemas.openxmlformats.org/officeDocument/2006/relationships/hyperlink" Target="http://www.nevo.co.il/law/70301/260" TargetMode="External"/><Relationship Id="rId26" Type="http://schemas.openxmlformats.org/officeDocument/2006/relationships/hyperlink" Target="http://www.nevo.co.il/case/28152132" TargetMode="External"/><Relationship Id="rId39" Type="http://schemas.openxmlformats.org/officeDocument/2006/relationships/hyperlink" Target="http://www.nevo.co.il/case/28152132" TargetMode="External"/><Relationship Id="rId21" Type="http://schemas.openxmlformats.org/officeDocument/2006/relationships/hyperlink" Target="http://www.nevo.co.il/case/27734980" TargetMode="External"/><Relationship Id="rId34" Type="http://schemas.openxmlformats.org/officeDocument/2006/relationships/hyperlink" Target="http://www.nevo.co.il/case/26645989" TargetMode="External"/><Relationship Id="rId42" Type="http://schemas.openxmlformats.org/officeDocument/2006/relationships/hyperlink" Target="http://www.nevo.co.il/case/2792892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905927" TargetMode="External"/><Relationship Id="rId11" Type="http://schemas.openxmlformats.org/officeDocument/2006/relationships/hyperlink" Target="http://www.nevo.co.il/law/70301/287.a" TargetMode="External"/><Relationship Id="rId24" Type="http://schemas.openxmlformats.org/officeDocument/2006/relationships/hyperlink" Target="http://www.nevo.co.il/case/27894608" TargetMode="External"/><Relationship Id="rId32" Type="http://schemas.openxmlformats.org/officeDocument/2006/relationships/hyperlink" Target="http://www.nevo.co.il/case/28380863" TargetMode="External"/><Relationship Id="rId37" Type="http://schemas.openxmlformats.org/officeDocument/2006/relationships/hyperlink" Target="http://www.nevo.co.il/case/28384637" TargetMode="External"/><Relationship Id="rId40" Type="http://schemas.openxmlformats.org/officeDocument/2006/relationships/hyperlink" Target="http://www.nevo.co.il/case/2791571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7305799" TargetMode="External"/><Relationship Id="rId36" Type="http://schemas.openxmlformats.org/officeDocument/2006/relationships/hyperlink" Target="http://www.nevo.co.il/case/27894608" TargetMode="External"/><Relationship Id="rId49" Type="http://schemas.openxmlformats.org/officeDocument/2006/relationships/fontTable" Target="fontTable.xml"/><Relationship Id="rId10" Type="http://schemas.openxmlformats.org/officeDocument/2006/relationships/hyperlink" Target="http://www.nevo.co.il/law/70301/260" TargetMode="External"/><Relationship Id="rId19" Type="http://schemas.openxmlformats.org/officeDocument/2006/relationships/hyperlink" Target="http://www.nevo.co.il/law/5227/67" TargetMode="External"/><Relationship Id="rId31" Type="http://schemas.openxmlformats.org/officeDocument/2006/relationships/hyperlink" Target="http://www.nevo.co.il/case/2824327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268880" TargetMode="External"/><Relationship Id="rId27" Type="http://schemas.openxmlformats.org/officeDocument/2006/relationships/hyperlink" Target="http://www.nevo.co.il/case/28452933"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9261811" TargetMode="External"/><Relationship Id="rId43" Type="http://schemas.openxmlformats.org/officeDocument/2006/relationships/hyperlink" Target="http://www.nevo.co.il/case/22808511" TargetMode="External"/><Relationship Id="rId48"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7911638" TargetMode="External"/><Relationship Id="rId33" Type="http://schemas.openxmlformats.org/officeDocument/2006/relationships/hyperlink" Target="http://www.nevo.co.il/case/28582652" TargetMode="External"/><Relationship Id="rId38" Type="http://schemas.openxmlformats.org/officeDocument/2006/relationships/hyperlink" Target="http://www.nevo.co.il/case/21472788" TargetMode="External"/><Relationship Id="rId46" Type="http://schemas.openxmlformats.org/officeDocument/2006/relationships/header" Target="header2.xml"/><Relationship Id="rId20" Type="http://schemas.openxmlformats.org/officeDocument/2006/relationships/hyperlink" Target="http://www.nevo.co.il/law/5227" TargetMode="External"/><Relationship Id="rId41" Type="http://schemas.openxmlformats.org/officeDocument/2006/relationships/hyperlink" Target="http://www.nevo.co.il/case/2280851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2686</Words>
  <Characters>13431</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3342451</vt:i4>
      </vt:variant>
      <vt:variant>
        <vt:i4>108</vt:i4>
      </vt:variant>
      <vt:variant>
        <vt:i4>0</vt:i4>
      </vt:variant>
      <vt:variant>
        <vt:i4>5</vt:i4>
      </vt:variant>
      <vt:variant>
        <vt:lpwstr>http://www.nevo.co.il/case/22808511</vt:lpwstr>
      </vt:variant>
      <vt:variant>
        <vt:lpwstr/>
      </vt:variant>
      <vt:variant>
        <vt:i4>3211384</vt:i4>
      </vt:variant>
      <vt:variant>
        <vt:i4>105</vt:i4>
      </vt:variant>
      <vt:variant>
        <vt:i4>0</vt:i4>
      </vt:variant>
      <vt:variant>
        <vt:i4>5</vt:i4>
      </vt:variant>
      <vt:variant>
        <vt:lpwstr>http://www.nevo.co.il/case/27928923</vt:lpwstr>
      </vt:variant>
      <vt:variant>
        <vt:lpwstr/>
      </vt:variant>
      <vt:variant>
        <vt:i4>3342451</vt:i4>
      </vt:variant>
      <vt:variant>
        <vt:i4>102</vt:i4>
      </vt:variant>
      <vt:variant>
        <vt:i4>0</vt:i4>
      </vt:variant>
      <vt:variant>
        <vt:i4>5</vt:i4>
      </vt:variant>
      <vt:variant>
        <vt:lpwstr>http://www.nevo.co.il/case/22808511</vt:lpwstr>
      </vt:variant>
      <vt:variant>
        <vt:lpwstr/>
      </vt:variant>
      <vt:variant>
        <vt:i4>4128885</vt:i4>
      </vt:variant>
      <vt:variant>
        <vt:i4>99</vt:i4>
      </vt:variant>
      <vt:variant>
        <vt:i4>0</vt:i4>
      </vt:variant>
      <vt:variant>
        <vt:i4>5</vt:i4>
      </vt:variant>
      <vt:variant>
        <vt:lpwstr>http://www.nevo.co.il/case/27915710</vt:lpwstr>
      </vt:variant>
      <vt:variant>
        <vt:lpwstr/>
      </vt:variant>
      <vt:variant>
        <vt:i4>3276920</vt:i4>
      </vt:variant>
      <vt:variant>
        <vt:i4>96</vt:i4>
      </vt:variant>
      <vt:variant>
        <vt:i4>0</vt:i4>
      </vt:variant>
      <vt:variant>
        <vt:i4>5</vt:i4>
      </vt:variant>
      <vt:variant>
        <vt:lpwstr>http://www.nevo.co.il/case/28152132</vt:lpwstr>
      </vt:variant>
      <vt:variant>
        <vt:lpwstr/>
      </vt:variant>
      <vt:variant>
        <vt:i4>3932277</vt:i4>
      </vt:variant>
      <vt:variant>
        <vt:i4>93</vt:i4>
      </vt:variant>
      <vt:variant>
        <vt:i4>0</vt:i4>
      </vt:variant>
      <vt:variant>
        <vt:i4>5</vt:i4>
      </vt:variant>
      <vt:variant>
        <vt:lpwstr>http://www.nevo.co.il/case/21472788</vt:lpwstr>
      </vt:variant>
      <vt:variant>
        <vt:lpwstr/>
      </vt:variant>
      <vt:variant>
        <vt:i4>3539058</vt:i4>
      </vt:variant>
      <vt:variant>
        <vt:i4>90</vt:i4>
      </vt:variant>
      <vt:variant>
        <vt:i4>0</vt:i4>
      </vt:variant>
      <vt:variant>
        <vt:i4>5</vt:i4>
      </vt:variant>
      <vt:variant>
        <vt:lpwstr>http://www.nevo.co.il/case/28384637</vt:lpwstr>
      </vt:variant>
      <vt:variant>
        <vt:lpwstr/>
      </vt:variant>
      <vt:variant>
        <vt:i4>4063356</vt:i4>
      </vt:variant>
      <vt:variant>
        <vt:i4>87</vt:i4>
      </vt:variant>
      <vt:variant>
        <vt:i4>0</vt:i4>
      </vt:variant>
      <vt:variant>
        <vt:i4>5</vt:i4>
      </vt:variant>
      <vt:variant>
        <vt:lpwstr>http://www.nevo.co.il/case/27894608</vt:lpwstr>
      </vt:variant>
      <vt:variant>
        <vt:lpwstr/>
      </vt:variant>
      <vt:variant>
        <vt:i4>3145843</vt:i4>
      </vt:variant>
      <vt:variant>
        <vt:i4>84</vt:i4>
      </vt:variant>
      <vt:variant>
        <vt:i4>0</vt:i4>
      </vt:variant>
      <vt:variant>
        <vt:i4>5</vt:i4>
      </vt:variant>
      <vt:variant>
        <vt:lpwstr>http://www.nevo.co.il/case/29261811</vt:lpwstr>
      </vt:variant>
      <vt:variant>
        <vt:lpwstr/>
      </vt:variant>
      <vt:variant>
        <vt:i4>3735679</vt:i4>
      </vt:variant>
      <vt:variant>
        <vt:i4>81</vt:i4>
      </vt:variant>
      <vt:variant>
        <vt:i4>0</vt:i4>
      </vt:variant>
      <vt:variant>
        <vt:i4>5</vt:i4>
      </vt:variant>
      <vt:variant>
        <vt:lpwstr>http://www.nevo.co.il/case/26645989</vt:lpwstr>
      </vt:variant>
      <vt:variant>
        <vt:lpwstr/>
      </vt:variant>
      <vt:variant>
        <vt:i4>3145842</vt:i4>
      </vt:variant>
      <vt:variant>
        <vt:i4>78</vt:i4>
      </vt:variant>
      <vt:variant>
        <vt:i4>0</vt:i4>
      </vt:variant>
      <vt:variant>
        <vt:i4>5</vt:i4>
      </vt:variant>
      <vt:variant>
        <vt:lpwstr>http://www.nevo.co.il/case/28582652</vt:lpwstr>
      </vt:variant>
      <vt:variant>
        <vt:lpwstr/>
      </vt:variant>
      <vt:variant>
        <vt:i4>3604604</vt:i4>
      </vt:variant>
      <vt:variant>
        <vt:i4>75</vt:i4>
      </vt:variant>
      <vt:variant>
        <vt:i4>0</vt:i4>
      </vt:variant>
      <vt:variant>
        <vt:i4>5</vt:i4>
      </vt:variant>
      <vt:variant>
        <vt:lpwstr>http://www.nevo.co.il/case/28380863</vt:lpwstr>
      </vt:variant>
      <vt:variant>
        <vt:lpwstr/>
      </vt:variant>
      <vt:variant>
        <vt:i4>3407994</vt:i4>
      </vt:variant>
      <vt:variant>
        <vt:i4>72</vt:i4>
      </vt:variant>
      <vt:variant>
        <vt:i4>0</vt:i4>
      </vt:variant>
      <vt:variant>
        <vt:i4>5</vt:i4>
      </vt:variant>
      <vt:variant>
        <vt:lpwstr>http://www.nevo.co.il/case/28243273</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3932283</vt:i4>
      </vt:variant>
      <vt:variant>
        <vt:i4>66</vt:i4>
      </vt:variant>
      <vt:variant>
        <vt:i4>0</vt:i4>
      </vt:variant>
      <vt:variant>
        <vt:i4>5</vt:i4>
      </vt:variant>
      <vt:variant>
        <vt:lpwstr>http://www.nevo.co.il/case/26905927</vt:lpwstr>
      </vt:variant>
      <vt:variant>
        <vt:lpwstr/>
      </vt:variant>
      <vt:variant>
        <vt:i4>3997812</vt:i4>
      </vt:variant>
      <vt:variant>
        <vt:i4>63</vt:i4>
      </vt:variant>
      <vt:variant>
        <vt:i4>0</vt:i4>
      </vt:variant>
      <vt:variant>
        <vt:i4>5</vt:i4>
      </vt:variant>
      <vt:variant>
        <vt:lpwstr>http://www.nevo.co.il/case/27305799</vt:lpwstr>
      </vt:variant>
      <vt:variant>
        <vt:lpwstr/>
      </vt:variant>
      <vt:variant>
        <vt:i4>3604592</vt:i4>
      </vt:variant>
      <vt:variant>
        <vt:i4>60</vt:i4>
      </vt:variant>
      <vt:variant>
        <vt:i4>0</vt:i4>
      </vt:variant>
      <vt:variant>
        <vt:i4>5</vt:i4>
      </vt:variant>
      <vt:variant>
        <vt:lpwstr>http://www.nevo.co.il/case/28452933</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3735668</vt:i4>
      </vt:variant>
      <vt:variant>
        <vt:i4>54</vt:i4>
      </vt:variant>
      <vt:variant>
        <vt:i4>0</vt:i4>
      </vt:variant>
      <vt:variant>
        <vt:i4>5</vt:i4>
      </vt:variant>
      <vt:variant>
        <vt:lpwstr>http://www.nevo.co.il/case/27911638</vt:lpwstr>
      </vt:variant>
      <vt:variant>
        <vt:lpwstr/>
      </vt:variant>
      <vt:variant>
        <vt:i4>4063356</vt:i4>
      </vt:variant>
      <vt:variant>
        <vt:i4>51</vt:i4>
      </vt:variant>
      <vt:variant>
        <vt:i4>0</vt:i4>
      </vt:variant>
      <vt:variant>
        <vt:i4>5</vt:i4>
      </vt:variant>
      <vt:variant>
        <vt:lpwstr>http://www.nevo.co.il/case/27894608</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3145842</vt:i4>
      </vt:variant>
      <vt:variant>
        <vt:i4>45</vt:i4>
      </vt:variant>
      <vt:variant>
        <vt:i4>0</vt:i4>
      </vt:variant>
      <vt:variant>
        <vt:i4>5</vt:i4>
      </vt:variant>
      <vt:variant>
        <vt:lpwstr>http://www.nevo.co.il/case/28268880</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8323175</vt:i4>
      </vt:variant>
      <vt:variant>
        <vt:i4>39</vt:i4>
      </vt:variant>
      <vt:variant>
        <vt:i4>0</vt:i4>
      </vt:variant>
      <vt:variant>
        <vt:i4>5</vt:i4>
      </vt:variant>
      <vt:variant>
        <vt:lpwstr>http://www.nevo.co.il/law/5227</vt:lpwstr>
      </vt:variant>
      <vt:variant>
        <vt:lpwstr/>
      </vt:variant>
      <vt:variant>
        <vt:i4>4784200</vt:i4>
      </vt:variant>
      <vt:variant>
        <vt:i4>36</vt:i4>
      </vt:variant>
      <vt:variant>
        <vt:i4>0</vt:i4>
      </vt:variant>
      <vt:variant>
        <vt:i4>5</vt:i4>
      </vt:variant>
      <vt:variant>
        <vt:lpwstr>http://www.nevo.co.il/law/5227/67</vt:lpwstr>
      </vt:variant>
      <vt:variant>
        <vt:lpwstr/>
      </vt:variant>
      <vt:variant>
        <vt:i4>6488167</vt:i4>
      </vt:variant>
      <vt:variant>
        <vt:i4>33</vt:i4>
      </vt:variant>
      <vt:variant>
        <vt:i4>0</vt:i4>
      </vt:variant>
      <vt:variant>
        <vt:i4>5</vt:i4>
      </vt:variant>
      <vt:variant>
        <vt:lpwstr>http://www.nevo.co.il/law/70301/260</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4784200</vt:i4>
      </vt:variant>
      <vt:variant>
        <vt:i4>18</vt:i4>
      </vt:variant>
      <vt:variant>
        <vt:i4>0</vt:i4>
      </vt:variant>
      <vt:variant>
        <vt:i4>5</vt:i4>
      </vt:variant>
      <vt:variant>
        <vt:lpwstr>http://www.nevo.co.il/law/5227/67</vt:lpwstr>
      </vt:variant>
      <vt:variant>
        <vt:lpwstr/>
      </vt:variant>
      <vt:variant>
        <vt:i4>8323175</vt:i4>
      </vt:variant>
      <vt:variant>
        <vt:i4>15</vt:i4>
      </vt:variant>
      <vt:variant>
        <vt:i4>0</vt:i4>
      </vt:variant>
      <vt:variant>
        <vt:i4>5</vt:i4>
      </vt:variant>
      <vt:variant>
        <vt:lpwstr>http://www.nevo.co.il/law/5227</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6488167</vt:i4>
      </vt:variant>
      <vt:variant>
        <vt:i4>9</vt:i4>
      </vt:variant>
      <vt:variant>
        <vt:i4>0</vt:i4>
      </vt:variant>
      <vt:variant>
        <vt:i4>5</vt:i4>
      </vt:variant>
      <vt:variant>
        <vt:lpwstr>http://www.nevo.co.il/law/70301/260</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10650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סיראג חאג יחיא;לואי אלנסאסרה</vt:lpwstr>
  </property>
  <property fmtid="{D5CDD505-2E9C-101B-9397-08002B2CF9AE}" pid="10" name="LAWYER">
    <vt:lpwstr>יעל תרם;אבנר שמש;שאדי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20230911</vt:lpwstr>
  </property>
  <property fmtid="{D5CDD505-2E9C-101B-9397-08002B2CF9AE}" pid="14" name="TYPE_N_DATE">
    <vt:lpwstr>39020230911</vt:lpwstr>
  </property>
  <property fmtid="{D5CDD505-2E9C-101B-9397-08002B2CF9AE}" pid="15" name="WORDNUMPAGES">
    <vt:lpwstr>8</vt:lpwstr>
  </property>
  <property fmtid="{D5CDD505-2E9C-101B-9397-08002B2CF9AE}" pid="16" name="TYPE_ABS_DATE">
    <vt:lpwstr>390020230911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27734980;28268880;28513828;27894608:2;27911638;28152132:2;28452933;27305799;26905927;28883087;28243273;28380863;28582652;26645989;29261811;28384637;21472788;27915710;22808511:2;27928923</vt:lpwstr>
  </property>
  <property fmtid="{D5CDD505-2E9C-101B-9397-08002B2CF9AE}" pid="36" name="LAWLISTTMP1">
    <vt:lpwstr>70301/144.b;029;287.a;260</vt:lpwstr>
  </property>
  <property fmtid="{D5CDD505-2E9C-101B-9397-08002B2CF9AE}" pid="37" name="LAWLISTTMP2">
    <vt:lpwstr>5227/067</vt:lpwstr>
  </property>
</Properties>
</file>