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775015" w:rsidRPr="003531AE" w14:paraId="3A1E36D4" w14:textId="77777777" w:rsidTr="00930F6E">
        <w:trPr>
          <w:trHeight w:hRule="exact" w:val="418"/>
          <w:jc w:val="center"/>
        </w:trPr>
        <w:tc>
          <w:tcPr>
            <w:tcW w:w="8721" w:type="dxa"/>
            <w:gridSpan w:val="2"/>
          </w:tcPr>
          <w:p w14:paraId="1EC657AC" w14:textId="77777777" w:rsidR="00775015" w:rsidRPr="003531AE" w:rsidRDefault="00775015" w:rsidP="000F5F4F">
            <w:pPr>
              <w:pStyle w:val="a3"/>
              <w:jc w:val="center"/>
              <w:rPr>
                <w:rFonts w:ascii="Tahoma" w:hAnsi="Tahoma" w:cs="Tahoma"/>
                <w:color w:val="000080"/>
                <w:rtl/>
              </w:rPr>
            </w:pPr>
            <w:bookmarkStart w:id="0" w:name="LastJudge"/>
            <w:r w:rsidRPr="003531AE">
              <w:rPr>
                <w:rFonts w:ascii="Tahoma" w:hAnsi="Tahoma" w:cs="Tahoma"/>
                <w:b/>
                <w:bCs/>
                <w:color w:val="000080"/>
                <w:rtl/>
              </w:rPr>
              <w:t>בית המשפט המחוזי מרכז-לוד</w:t>
            </w:r>
          </w:p>
        </w:tc>
      </w:tr>
      <w:tr w:rsidR="00775015" w:rsidRPr="003531AE" w14:paraId="0B0EA853" w14:textId="77777777" w:rsidTr="00930F6E">
        <w:trPr>
          <w:trHeight w:val="337"/>
          <w:jc w:val="center"/>
        </w:trPr>
        <w:tc>
          <w:tcPr>
            <w:tcW w:w="5055" w:type="dxa"/>
          </w:tcPr>
          <w:p w14:paraId="342A3896" w14:textId="77777777" w:rsidR="00775015" w:rsidRPr="003531AE" w:rsidRDefault="00775015" w:rsidP="000F5F4F">
            <w:pPr>
              <w:rPr>
                <w:rFonts w:cs="FrankRuehl"/>
                <w:sz w:val="28"/>
                <w:szCs w:val="28"/>
                <w:rtl/>
              </w:rPr>
            </w:pPr>
            <w:r w:rsidRPr="003531AE">
              <w:rPr>
                <w:rFonts w:cs="FrankRuehl"/>
                <w:sz w:val="28"/>
                <w:szCs w:val="28"/>
                <w:rtl/>
              </w:rPr>
              <w:t>ת"פ</w:t>
            </w:r>
            <w:r w:rsidRPr="003531AE">
              <w:rPr>
                <w:rFonts w:cs="FrankRuehl" w:hint="cs"/>
                <w:sz w:val="28"/>
                <w:szCs w:val="28"/>
                <w:rtl/>
              </w:rPr>
              <w:t xml:space="preserve"> </w:t>
            </w:r>
            <w:r w:rsidRPr="003531AE">
              <w:rPr>
                <w:rFonts w:cs="FrankRuehl"/>
                <w:sz w:val="28"/>
                <w:szCs w:val="28"/>
                <w:rtl/>
              </w:rPr>
              <w:t>12615-11-21</w:t>
            </w:r>
            <w:r w:rsidRPr="003531AE">
              <w:rPr>
                <w:rFonts w:cs="FrankRuehl" w:hint="cs"/>
                <w:sz w:val="28"/>
                <w:szCs w:val="28"/>
                <w:rtl/>
              </w:rPr>
              <w:t xml:space="preserve"> </w:t>
            </w:r>
            <w:r w:rsidRPr="003531AE">
              <w:rPr>
                <w:rFonts w:cs="FrankRuehl"/>
                <w:sz w:val="28"/>
                <w:szCs w:val="28"/>
                <w:rtl/>
              </w:rPr>
              <w:t>מדינת ישראל נ' אוטמזגין</w:t>
            </w:r>
          </w:p>
          <w:p w14:paraId="52C9969A" w14:textId="77777777" w:rsidR="00775015" w:rsidRPr="003531AE" w:rsidRDefault="00775015" w:rsidP="000F5F4F">
            <w:pPr>
              <w:pStyle w:val="a3"/>
              <w:rPr>
                <w:rFonts w:cs="FrankRuehl"/>
                <w:sz w:val="28"/>
                <w:szCs w:val="28"/>
                <w:rtl/>
              </w:rPr>
            </w:pPr>
          </w:p>
        </w:tc>
        <w:tc>
          <w:tcPr>
            <w:tcW w:w="3666" w:type="dxa"/>
          </w:tcPr>
          <w:p w14:paraId="1AA3700F" w14:textId="77777777" w:rsidR="00775015" w:rsidRPr="003531AE" w:rsidRDefault="00775015" w:rsidP="000F5F4F">
            <w:pPr>
              <w:pStyle w:val="a3"/>
              <w:jc w:val="right"/>
              <w:rPr>
                <w:rFonts w:cs="FrankRuehl"/>
                <w:sz w:val="28"/>
                <w:szCs w:val="28"/>
                <w:rtl/>
              </w:rPr>
            </w:pPr>
          </w:p>
        </w:tc>
      </w:tr>
    </w:tbl>
    <w:p w14:paraId="4C5C2675" w14:textId="77777777" w:rsidR="00775015" w:rsidRPr="003531AE" w:rsidRDefault="00775015" w:rsidP="00775015">
      <w:pPr>
        <w:pStyle w:val="a3"/>
        <w:rPr>
          <w:rtl/>
        </w:rPr>
      </w:pPr>
      <w:r w:rsidRPr="003531AE">
        <w:rPr>
          <w:rFonts w:hint="cs"/>
          <w:rtl/>
        </w:rPr>
        <w:t xml:space="preserve"> </w:t>
      </w:r>
    </w:p>
    <w:p w14:paraId="063C3A16" w14:textId="77777777" w:rsidR="00775015" w:rsidRPr="003531AE" w:rsidRDefault="00775015" w:rsidP="00775015">
      <w:pPr>
        <w:rPr>
          <w:rtl/>
        </w:rPr>
      </w:pPr>
    </w:p>
    <w:p w14:paraId="4F8D20D4" w14:textId="77777777" w:rsidR="00775015" w:rsidRPr="003531AE" w:rsidRDefault="00775015" w:rsidP="00775015">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775015" w:rsidRPr="003531AE" w14:paraId="49C9A8B3" w14:textId="77777777" w:rsidTr="00775015">
        <w:trPr>
          <w:trHeight w:val="295"/>
          <w:jc w:val="center"/>
        </w:trPr>
        <w:tc>
          <w:tcPr>
            <w:tcW w:w="923" w:type="dxa"/>
            <w:tcBorders>
              <w:top w:val="nil"/>
              <w:left w:val="nil"/>
              <w:bottom w:val="nil"/>
              <w:right w:val="nil"/>
            </w:tcBorders>
            <w:shd w:val="clear" w:color="auto" w:fill="auto"/>
          </w:tcPr>
          <w:p w14:paraId="74313FC0" w14:textId="77777777" w:rsidR="00775015" w:rsidRPr="003531AE" w:rsidRDefault="00775015" w:rsidP="00775015">
            <w:pPr>
              <w:jc w:val="both"/>
              <w:rPr>
                <w:rFonts w:ascii="David" w:hAnsi="David"/>
                <w:sz w:val="26"/>
                <w:szCs w:val="26"/>
              </w:rPr>
            </w:pPr>
            <w:r w:rsidRPr="003531AE">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2067A7AE" w14:textId="77777777" w:rsidR="00775015" w:rsidRPr="003531AE" w:rsidRDefault="00775015" w:rsidP="000F5F4F">
            <w:pPr>
              <w:rPr>
                <w:rFonts w:ascii="David" w:hAnsi="David"/>
                <w:b/>
                <w:bCs/>
                <w:sz w:val="26"/>
                <w:szCs w:val="26"/>
                <w:rtl/>
              </w:rPr>
            </w:pPr>
            <w:r w:rsidRPr="003531AE">
              <w:rPr>
                <w:rFonts w:ascii="David" w:hAnsi="David"/>
                <w:b/>
                <w:bCs/>
                <w:sz w:val="26"/>
                <w:szCs w:val="26"/>
                <w:rtl/>
              </w:rPr>
              <w:t>כבוד השופטת  מרב גרינברג</w:t>
            </w:r>
          </w:p>
          <w:p w14:paraId="43988CA9" w14:textId="77777777" w:rsidR="00775015" w:rsidRPr="003531AE" w:rsidRDefault="00775015" w:rsidP="000F5F4F">
            <w:pPr>
              <w:rPr>
                <w:rFonts w:ascii="David" w:hAnsi="David"/>
                <w:sz w:val="26"/>
                <w:szCs w:val="26"/>
                <w:rtl/>
              </w:rPr>
            </w:pPr>
          </w:p>
          <w:p w14:paraId="4E59100D" w14:textId="77777777" w:rsidR="00775015" w:rsidRPr="003531AE" w:rsidRDefault="00775015" w:rsidP="00775015">
            <w:pPr>
              <w:jc w:val="both"/>
              <w:rPr>
                <w:rFonts w:ascii="David" w:hAnsi="David"/>
                <w:sz w:val="26"/>
                <w:szCs w:val="26"/>
              </w:rPr>
            </w:pPr>
          </w:p>
        </w:tc>
      </w:tr>
      <w:tr w:rsidR="00775015" w:rsidRPr="003531AE" w14:paraId="76B5E2C2" w14:textId="77777777" w:rsidTr="00775015">
        <w:trPr>
          <w:trHeight w:val="355"/>
          <w:jc w:val="center"/>
        </w:trPr>
        <w:tc>
          <w:tcPr>
            <w:tcW w:w="923" w:type="dxa"/>
            <w:tcBorders>
              <w:top w:val="nil"/>
              <w:left w:val="nil"/>
              <w:bottom w:val="nil"/>
              <w:right w:val="nil"/>
            </w:tcBorders>
            <w:shd w:val="clear" w:color="auto" w:fill="auto"/>
          </w:tcPr>
          <w:p w14:paraId="5859BD08" w14:textId="77777777" w:rsidR="00775015" w:rsidRPr="003531AE" w:rsidRDefault="00775015" w:rsidP="00775015">
            <w:pPr>
              <w:jc w:val="both"/>
              <w:rPr>
                <w:rFonts w:ascii="David" w:hAnsi="David"/>
                <w:sz w:val="26"/>
                <w:szCs w:val="26"/>
              </w:rPr>
            </w:pPr>
            <w:bookmarkStart w:id="1" w:name="FirstAppellant"/>
            <w:bookmarkStart w:id="2" w:name="FirstLawyer"/>
            <w:r w:rsidRPr="003531AE">
              <w:rPr>
                <w:rFonts w:ascii="David" w:hAnsi="David"/>
                <w:sz w:val="26"/>
                <w:szCs w:val="26"/>
                <w:rtl/>
              </w:rPr>
              <w:t>בעניין:</w:t>
            </w:r>
          </w:p>
        </w:tc>
        <w:tc>
          <w:tcPr>
            <w:tcW w:w="3219" w:type="dxa"/>
            <w:tcBorders>
              <w:top w:val="nil"/>
              <w:left w:val="nil"/>
              <w:bottom w:val="nil"/>
              <w:right w:val="nil"/>
            </w:tcBorders>
            <w:shd w:val="clear" w:color="auto" w:fill="auto"/>
          </w:tcPr>
          <w:p w14:paraId="05B5CC3A" w14:textId="77777777" w:rsidR="00775015" w:rsidRPr="003531AE" w:rsidRDefault="00775015" w:rsidP="00775015">
            <w:pPr>
              <w:suppressLineNumbers/>
            </w:pPr>
            <w:r w:rsidRPr="003531AE">
              <w:rPr>
                <w:rFonts w:ascii="Arial" w:hAnsi="Arial" w:hint="cs"/>
                <w:b/>
                <w:bCs/>
                <w:sz w:val="26"/>
                <w:szCs w:val="26"/>
                <w:rtl/>
              </w:rPr>
              <w:t>ה</w:t>
            </w:r>
            <w:r w:rsidRPr="003531AE">
              <w:rPr>
                <w:rFonts w:ascii="Arial" w:hAnsi="Arial"/>
                <w:b/>
                <w:bCs/>
                <w:sz w:val="26"/>
                <w:szCs w:val="26"/>
                <w:rtl/>
              </w:rPr>
              <w:t>מאשימה</w:t>
            </w:r>
          </w:p>
          <w:p w14:paraId="2A688B43" w14:textId="77777777" w:rsidR="00775015" w:rsidRPr="003531AE" w:rsidRDefault="00775015" w:rsidP="000F5F4F">
            <w:pPr>
              <w:rPr>
                <w:rFonts w:ascii="David" w:hAnsi="David"/>
                <w:sz w:val="26"/>
                <w:szCs w:val="26"/>
              </w:rPr>
            </w:pPr>
          </w:p>
        </w:tc>
        <w:tc>
          <w:tcPr>
            <w:tcW w:w="4678" w:type="dxa"/>
            <w:tcBorders>
              <w:top w:val="nil"/>
              <w:left w:val="nil"/>
              <w:bottom w:val="nil"/>
              <w:right w:val="nil"/>
            </w:tcBorders>
            <w:shd w:val="clear" w:color="auto" w:fill="auto"/>
            <w:vAlign w:val="center"/>
          </w:tcPr>
          <w:p w14:paraId="07B35A0B" w14:textId="77777777" w:rsidR="00775015" w:rsidRPr="003531AE" w:rsidRDefault="00775015" w:rsidP="00775015">
            <w:pPr>
              <w:suppressLineNumbers/>
              <w:rPr>
                <w:rFonts w:ascii="Arial" w:hAnsi="Arial"/>
                <w:b/>
                <w:bCs/>
                <w:sz w:val="26"/>
                <w:szCs w:val="26"/>
                <w:rtl/>
              </w:rPr>
            </w:pPr>
            <w:r w:rsidRPr="003531AE">
              <w:rPr>
                <w:rFonts w:ascii="Arial" w:hAnsi="Arial"/>
                <w:b/>
                <w:bCs/>
                <w:sz w:val="26"/>
                <w:szCs w:val="26"/>
                <w:rtl/>
              </w:rPr>
              <w:t>מדינת ישראל</w:t>
            </w:r>
            <w:r w:rsidRPr="003531AE">
              <w:rPr>
                <w:rFonts w:ascii="Arial" w:hAnsi="Arial" w:hint="cs"/>
                <w:b/>
                <w:bCs/>
                <w:sz w:val="26"/>
                <w:szCs w:val="26"/>
                <w:rtl/>
              </w:rPr>
              <w:t xml:space="preserve"> </w:t>
            </w:r>
          </w:p>
          <w:p w14:paraId="0691FD2A" w14:textId="77777777" w:rsidR="00775015" w:rsidRPr="003531AE" w:rsidRDefault="00775015" w:rsidP="00775015">
            <w:pPr>
              <w:suppressLineNumbers/>
            </w:pPr>
            <w:r w:rsidRPr="003531AE">
              <w:rPr>
                <w:rFonts w:ascii="Arial" w:hAnsi="Arial"/>
                <w:b/>
                <w:bCs/>
                <w:sz w:val="26"/>
                <w:szCs w:val="26"/>
                <w:rtl/>
              </w:rPr>
              <w:t>ע"י ב"כ עוה"ד</w:t>
            </w:r>
            <w:r w:rsidRPr="003531AE">
              <w:rPr>
                <w:rFonts w:ascii="Arial" w:hAnsi="Arial" w:hint="cs"/>
                <w:b/>
                <w:bCs/>
                <w:sz w:val="26"/>
                <w:szCs w:val="26"/>
                <w:rtl/>
              </w:rPr>
              <w:t xml:space="preserve"> ליטל שירי </w:t>
            </w:r>
          </w:p>
          <w:p w14:paraId="29A9EB55" w14:textId="77777777" w:rsidR="00775015" w:rsidRPr="003531AE" w:rsidRDefault="00775015" w:rsidP="000F5F4F">
            <w:pPr>
              <w:rPr>
                <w:rFonts w:ascii="David" w:hAnsi="David"/>
                <w:sz w:val="26"/>
                <w:szCs w:val="26"/>
              </w:rPr>
            </w:pPr>
          </w:p>
        </w:tc>
      </w:tr>
      <w:bookmarkEnd w:id="1"/>
      <w:bookmarkEnd w:id="2"/>
      <w:tr w:rsidR="00775015" w:rsidRPr="003531AE" w14:paraId="158FC139" w14:textId="77777777" w:rsidTr="00775015">
        <w:trPr>
          <w:trHeight w:val="355"/>
          <w:jc w:val="center"/>
        </w:trPr>
        <w:tc>
          <w:tcPr>
            <w:tcW w:w="923" w:type="dxa"/>
            <w:tcBorders>
              <w:top w:val="nil"/>
              <w:left w:val="nil"/>
              <w:bottom w:val="nil"/>
              <w:right w:val="nil"/>
            </w:tcBorders>
            <w:shd w:val="clear" w:color="auto" w:fill="auto"/>
          </w:tcPr>
          <w:p w14:paraId="3AC9263C" w14:textId="77777777" w:rsidR="00775015" w:rsidRPr="003531AE" w:rsidRDefault="00775015" w:rsidP="00775015">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51CCAC14" w14:textId="77777777" w:rsidR="00775015" w:rsidRPr="003531AE" w:rsidRDefault="00775015" w:rsidP="00775015">
            <w:pPr>
              <w:jc w:val="center"/>
              <w:rPr>
                <w:rFonts w:ascii="David" w:hAnsi="David"/>
                <w:b/>
                <w:bCs/>
                <w:sz w:val="26"/>
                <w:szCs w:val="26"/>
                <w:rtl/>
              </w:rPr>
            </w:pPr>
          </w:p>
          <w:p w14:paraId="33F264C4" w14:textId="77777777" w:rsidR="00775015" w:rsidRPr="003531AE" w:rsidRDefault="00775015" w:rsidP="00775015">
            <w:pPr>
              <w:jc w:val="center"/>
              <w:rPr>
                <w:rFonts w:ascii="David" w:hAnsi="David"/>
                <w:b/>
                <w:bCs/>
                <w:sz w:val="26"/>
                <w:szCs w:val="26"/>
                <w:rtl/>
              </w:rPr>
            </w:pPr>
            <w:r w:rsidRPr="003531AE">
              <w:rPr>
                <w:rFonts w:ascii="David" w:hAnsi="David"/>
                <w:b/>
                <w:bCs/>
                <w:sz w:val="26"/>
                <w:szCs w:val="26"/>
                <w:rtl/>
              </w:rPr>
              <w:t>נגד</w:t>
            </w:r>
          </w:p>
          <w:p w14:paraId="75108373" w14:textId="77777777" w:rsidR="00775015" w:rsidRPr="003531AE" w:rsidRDefault="00775015" w:rsidP="00775015">
            <w:pPr>
              <w:jc w:val="both"/>
              <w:rPr>
                <w:rFonts w:ascii="David" w:hAnsi="David"/>
                <w:sz w:val="26"/>
                <w:szCs w:val="26"/>
              </w:rPr>
            </w:pPr>
          </w:p>
        </w:tc>
      </w:tr>
      <w:tr w:rsidR="00775015" w:rsidRPr="003531AE" w14:paraId="1AA2594A" w14:textId="77777777" w:rsidTr="00775015">
        <w:trPr>
          <w:trHeight w:val="355"/>
          <w:jc w:val="center"/>
        </w:trPr>
        <w:tc>
          <w:tcPr>
            <w:tcW w:w="923" w:type="dxa"/>
            <w:tcBorders>
              <w:top w:val="nil"/>
              <w:left w:val="nil"/>
              <w:bottom w:val="nil"/>
              <w:right w:val="nil"/>
            </w:tcBorders>
            <w:shd w:val="clear" w:color="auto" w:fill="auto"/>
          </w:tcPr>
          <w:p w14:paraId="46F477A8" w14:textId="77777777" w:rsidR="00775015" w:rsidRPr="003531AE" w:rsidRDefault="00775015" w:rsidP="000F5F4F">
            <w:pPr>
              <w:rPr>
                <w:rFonts w:ascii="David" w:hAnsi="David"/>
                <w:sz w:val="26"/>
                <w:szCs w:val="26"/>
                <w:rtl/>
              </w:rPr>
            </w:pPr>
          </w:p>
        </w:tc>
        <w:tc>
          <w:tcPr>
            <w:tcW w:w="3219" w:type="dxa"/>
            <w:tcBorders>
              <w:top w:val="nil"/>
              <w:left w:val="nil"/>
              <w:bottom w:val="nil"/>
              <w:right w:val="nil"/>
            </w:tcBorders>
            <w:shd w:val="clear" w:color="auto" w:fill="auto"/>
          </w:tcPr>
          <w:p w14:paraId="2B9F3A9B" w14:textId="77777777" w:rsidR="00775015" w:rsidRPr="003531AE" w:rsidRDefault="00775015" w:rsidP="000F5F4F">
            <w:pPr>
              <w:rPr>
                <w:rFonts w:ascii="Arial" w:hAnsi="Arial"/>
                <w:b/>
                <w:bCs/>
                <w:sz w:val="26"/>
                <w:szCs w:val="26"/>
                <w:rtl/>
              </w:rPr>
            </w:pPr>
            <w:r w:rsidRPr="003531AE">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1698063B" w14:textId="77777777" w:rsidR="00775015" w:rsidRPr="003531AE" w:rsidRDefault="00775015" w:rsidP="00775015">
            <w:pPr>
              <w:suppressLineNumbers/>
              <w:rPr>
                <w:rFonts w:ascii="Arial" w:hAnsi="Arial"/>
                <w:b/>
                <w:bCs/>
                <w:sz w:val="26"/>
                <w:szCs w:val="26"/>
              </w:rPr>
            </w:pPr>
            <w:r w:rsidRPr="003531AE">
              <w:rPr>
                <w:rFonts w:ascii="Arial" w:hAnsi="Arial"/>
                <w:b/>
                <w:bCs/>
                <w:sz w:val="26"/>
                <w:szCs w:val="26"/>
                <w:rtl/>
              </w:rPr>
              <w:t>אושרי אוטמזגין</w:t>
            </w:r>
            <w:r w:rsidRPr="003531AE">
              <w:rPr>
                <w:rFonts w:ascii="Arial" w:hAnsi="Arial"/>
                <w:b/>
                <w:bCs/>
                <w:sz w:val="26"/>
                <w:szCs w:val="26"/>
                <w:rtl/>
              </w:rPr>
              <w:br/>
            </w:r>
            <w:r w:rsidRPr="003531AE">
              <w:rPr>
                <w:rFonts w:ascii="Arial" w:hAnsi="Arial" w:hint="cs"/>
                <w:b/>
                <w:bCs/>
                <w:sz w:val="26"/>
                <w:szCs w:val="26"/>
                <w:rtl/>
              </w:rPr>
              <w:t xml:space="preserve"> </w:t>
            </w:r>
            <w:r w:rsidRPr="003531AE">
              <w:rPr>
                <w:rFonts w:ascii="Arial" w:hAnsi="Arial"/>
                <w:b/>
                <w:bCs/>
                <w:sz w:val="26"/>
                <w:szCs w:val="26"/>
                <w:rtl/>
              </w:rPr>
              <w:t>ע"י ב"כ עוה"ד</w:t>
            </w:r>
            <w:r w:rsidRPr="003531AE">
              <w:rPr>
                <w:rFonts w:ascii="Arial" w:hAnsi="Arial" w:hint="cs"/>
                <w:b/>
                <w:bCs/>
                <w:sz w:val="26"/>
                <w:szCs w:val="26"/>
                <w:rtl/>
              </w:rPr>
              <w:t xml:space="preserve"> ניר יסלוביץ' </w:t>
            </w:r>
          </w:p>
          <w:p w14:paraId="6133C891" w14:textId="77777777" w:rsidR="00775015" w:rsidRPr="003531AE" w:rsidRDefault="00775015" w:rsidP="000F5F4F">
            <w:pPr>
              <w:rPr>
                <w:rFonts w:ascii="David" w:hAnsi="David"/>
                <w:sz w:val="26"/>
                <w:szCs w:val="26"/>
              </w:rPr>
            </w:pPr>
          </w:p>
        </w:tc>
      </w:tr>
    </w:tbl>
    <w:p w14:paraId="614833F6" w14:textId="77777777" w:rsidR="00930F6E" w:rsidRDefault="00930F6E" w:rsidP="003531AE">
      <w:pPr>
        <w:rPr>
          <w:sz w:val="26"/>
          <w:szCs w:val="26"/>
          <w:rtl/>
        </w:rPr>
      </w:pPr>
    </w:p>
    <w:p w14:paraId="29FE5A88" w14:textId="77777777" w:rsidR="00930F6E" w:rsidRPr="00930F6E" w:rsidRDefault="00930F6E" w:rsidP="00930F6E">
      <w:pPr>
        <w:spacing w:after="120" w:line="240" w:lineRule="exact"/>
        <w:ind w:left="283" w:hanging="283"/>
        <w:jc w:val="both"/>
        <w:rPr>
          <w:rFonts w:ascii="FrankRuehl" w:hAnsi="FrankRuehl" w:cs="FrankRuehl"/>
          <w:rtl/>
        </w:rPr>
      </w:pPr>
    </w:p>
    <w:p w14:paraId="1DE3D80B" w14:textId="77777777" w:rsidR="007076C9" w:rsidRPr="007076C9" w:rsidRDefault="007076C9" w:rsidP="007076C9">
      <w:pPr>
        <w:spacing w:before="120" w:after="120" w:line="240" w:lineRule="exact"/>
        <w:ind w:left="283" w:hanging="283"/>
        <w:jc w:val="both"/>
        <w:rPr>
          <w:rFonts w:ascii="FrankRuehl" w:hAnsi="FrankRuehl" w:cs="FrankRuehl"/>
          <w:rtl/>
        </w:rPr>
      </w:pPr>
    </w:p>
    <w:p w14:paraId="48E3E028" w14:textId="77777777" w:rsidR="00381084" w:rsidRDefault="00381084" w:rsidP="00381084">
      <w:pPr>
        <w:rPr>
          <w:sz w:val="26"/>
          <w:szCs w:val="26"/>
          <w:rtl/>
        </w:rPr>
      </w:pPr>
      <w:bookmarkStart w:id="3" w:name="LawTable"/>
      <w:bookmarkEnd w:id="3"/>
    </w:p>
    <w:p w14:paraId="691B4747" w14:textId="77777777" w:rsidR="00381084" w:rsidRPr="00381084" w:rsidRDefault="00381084" w:rsidP="00381084">
      <w:pPr>
        <w:spacing w:before="120" w:after="120" w:line="240" w:lineRule="exact"/>
        <w:ind w:left="283" w:hanging="283"/>
        <w:jc w:val="both"/>
        <w:rPr>
          <w:rFonts w:ascii="FrankRuehl" w:hAnsi="FrankRuehl" w:cs="FrankRuehl"/>
          <w:rtl/>
        </w:rPr>
      </w:pPr>
    </w:p>
    <w:p w14:paraId="568A6C72" w14:textId="77777777" w:rsidR="00381084" w:rsidRPr="00381084" w:rsidRDefault="00381084" w:rsidP="00381084">
      <w:pPr>
        <w:spacing w:before="120" w:after="120" w:line="240" w:lineRule="exact"/>
        <w:ind w:left="283" w:hanging="283"/>
        <w:jc w:val="both"/>
        <w:rPr>
          <w:rFonts w:ascii="FrankRuehl" w:hAnsi="FrankRuehl" w:cs="FrankRuehl"/>
          <w:rtl/>
        </w:rPr>
      </w:pPr>
    </w:p>
    <w:p w14:paraId="176F42B5" w14:textId="77777777" w:rsidR="00381084" w:rsidRPr="00381084" w:rsidRDefault="00381084" w:rsidP="00381084">
      <w:pPr>
        <w:spacing w:before="120" w:after="120" w:line="240" w:lineRule="exact"/>
        <w:ind w:left="283" w:hanging="283"/>
        <w:jc w:val="both"/>
        <w:rPr>
          <w:rFonts w:ascii="FrankRuehl" w:hAnsi="FrankRuehl" w:cs="FrankRuehl"/>
          <w:rtl/>
        </w:rPr>
      </w:pPr>
      <w:r w:rsidRPr="00381084">
        <w:rPr>
          <w:rFonts w:ascii="FrankRuehl" w:hAnsi="FrankRuehl" w:cs="FrankRuehl"/>
          <w:rtl/>
        </w:rPr>
        <w:t xml:space="preserve">חקיקה שאוזכרה: </w:t>
      </w:r>
    </w:p>
    <w:p w14:paraId="225EE5CF" w14:textId="77777777" w:rsidR="00381084" w:rsidRPr="00381084" w:rsidRDefault="00381084" w:rsidP="00381084">
      <w:pPr>
        <w:spacing w:before="120" w:after="120" w:line="240" w:lineRule="exact"/>
        <w:ind w:left="283" w:hanging="283"/>
        <w:jc w:val="both"/>
        <w:rPr>
          <w:rFonts w:ascii="FrankRuehl" w:hAnsi="FrankRuehl" w:cs="FrankRuehl"/>
          <w:rtl/>
        </w:rPr>
      </w:pPr>
      <w:hyperlink r:id="rId7" w:history="1">
        <w:r w:rsidRPr="00381084">
          <w:rPr>
            <w:rFonts w:ascii="FrankRuehl" w:hAnsi="FrankRuehl" w:cs="FrankRuehl"/>
            <w:color w:val="0000FF"/>
            <w:rtl/>
          </w:rPr>
          <w:t>חוק העונשין, תשל"ז-1977</w:t>
        </w:r>
      </w:hyperlink>
      <w:r w:rsidRPr="00381084">
        <w:rPr>
          <w:rFonts w:ascii="FrankRuehl" w:hAnsi="FrankRuehl" w:cs="FrankRuehl"/>
          <w:rtl/>
        </w:rPr>
        <w:t xml:space="preserve">: סע'  </w:t>
      </w:r>
      <w:hyperlink r:id="rId8" w:history="1">
        <w:r w:rsidRPr="00381084">
          <w:rPr>
            <w:rFonts w:ascii="FrankRuehl" w:hAnsi="FrankRuehl" w:cs="FrankRuehl"/>
            <w:color w:val="0000FF"/>
            <w:rtl/>
          </w:rPr>
          <w:t>144(א)</w:t>
        </w:r>
      </w:hyperlink>
    </w:p>
    <w:p w14:paraId="2DA2F7B0" w14:textId="77777777" w:rsidR="00381084" w:rsidRPr="00381084" w:rsidRDefault="00381084" w:rsidP="00381084">
      <w:pPr>
        <w:rPr>
          <w:sz w:val="26"/>
          <w:szCs w:val="26"/>
          <w:rtl/>
        </w:rPr>
      </w:pPr>
      <w:bookmarkStart w:id="4" w:name="LawTable_End"/>
      <w:bookmarkEnd w:id="4"/>
    </w:p>
    <w:p w14:paraId="6004EB55" w14:textId="77777777" w:rsidR="00775015" w:rsidRPr="007076C9" w:rsidRDefault="00775015" w:rsidP="007076C9">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75015" w14:paraId="09F701F1" w14:textId="77777777" w:rsidTr="00775015">
        <w:trPr>
          <w:trHeight w:val="355"/>
          <w:jc w:val="center"/>
        </w:trPr>
        <w:tc>
          <w:tcPr>
            <w:tcW w:w="8820" w:type="dxa"/>
            <w:tcBorders>
              <w:top w:val="nil"/>
              <w:left w:val="nil"/>
              <w:bottom w:val="nil"/>
              <w:right w:val="nil"/>
            </w:tcBorders>
            <w:shd w:val="clear" w:color="auto" w:fill="auto"/>
          </w:tcPr>
          <w:p w14:paraId="37C51843" w14:textId="77777777" w:rsidR="003531AE" w:rsidRPr="003531AE" w:rsidRDefault="003531AE" w:rsidP="003531AE">
            <w:pPr>
              <w:jc w:val="center"/>
              <w:rPr>
                <w:rFonts w:ascii="David" w:hAnsi="David"/>
                <w:b/>
                <w:bCs/>
                <w:sz w:val="32"/>
                <w:szCs w:val="32"/>
                <w:u w:val="single"/>
                <w:rtl/>
              </w:rPr>
            </w:pPr>
            <w:bookmarkStart w:id="5" w:name="PsakDin" w:colFirst="0" w:colLast="0"/>
            <w:bookmarkEnd w:id="0"/>
            <w:r w:rsidRPr="003531AE">
              <w:rPr>
                <w:rFonts w:ascii="David" w:hAnsi="David"/>
                <w:b/>
                <w:bCs/>
                <w:sz w:val="32"/>
                <w:szCs w:val="32"/>
                <w:u w:val="single"/>
                <w:rtl/>
              </w:rPr>
              <w:t>גזר דין</w:t>
            </w:r>
          </w:p>
          <w:p w14:paraId="1F4089E6" w14:textId="77777777" w:rsidR="00775015" w:rsidRPr="003531AE" w:rsidRDefault="00775015" w:rsidP="003531AE">
            <w:pPr>
              <w:jc w:val="center"/>
              <w:rPr>
                <w:rFonts w:ascii="David" w:hAnsi="David"/>
                <w:bCs/>
                <w:sz w:val="32"/>
                <w:szCs w:val="32"/>
                <w:u w:val="single"/>
                <w:rtl/>
              </w:rPr>
            </w:pPr>
          </w:p>
        </w:tc>
      </w:tr>
      <w:bookmarkEnd w:id="5"/>
    </w:tbl>
    <w:p w14:paraId="641235AB" w14:textId="77777777" w:rsidR="00775015" w:rsidRPr="000F2247" w:rsidRDefault="00775015" w:rsidP="00775015">
      <w:pPr>
        <w:rPr>
          <w:rFonts w:ascii="Arial" w:hAnsi="Arial"/>
          <w:b/>
          <w:bCs/>
          <w:sz w:val="26"/>
          <w:szCs w:val="26"/>
          <w:rtl/>
        </w:rPr>
      </w:pPr>
    </w:p>
    <w:p w14:paraId="29A1C706" w14:textId="77777777" w:rsidR="00775015" w:rsidRDefault="00775015" w:rsidP="00775015">
      <w:pPr>
        <w:pStyle w:val="aa"/>
        <w:numPr>
          <w:ilvl w:val="0"/>
          <w:numId w:val="1"/>
        </w:numPr>
        <w:spacing w:line="360" w:lineRule="auto"/>
        <w:jc w:val="both"/>
      </w:pPr>
      <w:bookmarkStart w:id="6" w:name="ABSTRACT_START"/>
      <w:bookmarkEnd w:id="6"/>
      <w:r>
        <w:rPr>
          <w:rFonts w:hint="cs"/>
          <w:rtl/>
        </w:rPr>
        <w:t xml:space="preserve">הנאשם הורשע, במסגרת הסדר טיעון, בעובדות כתב אישום מתוקן בעבירת </w:t>
      </w:r>
      <w:r>
        <w:rPr>
          <w:rFonts w:hint="cs"/>
          <w:b/>
          <w:bCs/>
          <w:rtl/>
        </w:rPr>
        <w:t xml:space="preserve">החזקת נשק שלא כדין לפי </w:t>
      </w:r>
      <w:hyperlink r:id="rId9" w:history="1">
        <w:r w:rsidR="00930F6E" w:rsidRPr="00930F6E">
          <w:rPr>
            <w:rStyle w:val="Hyperlink"/>
            <w:rFonts w:hint="eastAsia"/>
            <w:b/>
            <w:bCs/>
            <w:rtl/>
          </w:rPr>
          <w:t>סעיף</w:t>
        </w:r>
        <w:r w:rsidR="00930F6E" w:rsidRPr="00930F6E">
          <w:rPr>
            <w:rStyle w:val="Hyperlink"/>
            <w:b/>
            <w:bCs/>
            <w:rtl/>
          </w:rPr>
          <w:t xml:space="preserve"> 144(א)</w:t>
        </w:r>
      </w:hyperlink>
      <w:r>
        <w:rPr>
          <w:rFonts w:hint="cs"/>
          <w:b/>
          <w:bCs/>
          <w:rtl/>
        </w:rPr>
        <w:t xml:space="preserve"> רישא וסיפא ל</w:t>
      </w:r>
      <w:hyperlink r:id="rId10" w:history="1">
        <w:r w:rsidR="003531AE" w:rsidRPr="003531AE">
          <w:rPr>
            <w:b/>
            <w:bCs/>
            <w:color w:val="0000FF"/>
            <w:u w:val="single"/>
            <w:rtl/>
          </w:rPr>
          <w:t>חוק העונשין</w:t>
        </w:r>
      </w:hyperlink>
      <w:r>
        <w:rPr>
          <w:rFonts w:hint="cs"/>
          <w:b/>
          <w:bCs/>
          <w:rtl/>
        </w:rPr>
        <w:t>, תשל"ז-1977</w:t>
      </w:r>
      <w:r>
        <w:rPr>
          <w:rFonts w:hint="cs"/>
          <w:rtl/>
        </w:rPr>
        <w:t xml:space="preserve"> (להלן: "החוק").</w:t>
      </w:r>
    </w:p>
    <w:p w14:paraId="3E5D0C38" w14:textId="77777777" w:rsidR="00775015" w:rsidRDefault="00775015" w:rsidP="00775015">
      <w:pPr>
        <w:pStyle w:val="aa"/>
        <w:spacing w:line="360" w:lineRule="auto"/>
        <w:jc w:val="both"/>
      </w:pPr>
    </w:p>
    <w:p w14:paraId="12AA8E6C" w14:textId="77777777" w:rsidR="00775015" w:rsidRDefault="00775015" w:rsidP="00775015">
      <w:pPr>
        <w:pStyle w:val="aa"/>
        <w:numPr>
          <w:ilvl w:val="0"/>
          <w:numId w:val="1"/>
        </w:numPr>
        <w:spacing w:line="360" w:lineRule="auto"/>
        <w:jc w:val="both"/>
        <w:rPr>
          <w:rtl/>
        </w:rPr>
      </w:pPr>
      <w:r>
        <w:rPr>
          <w:rFonts w:hint="cs"/>
          <w:rtl/>
        </w:rPr>
        <w:t xml:space="preserve">כמפורט בעובדות כתב האישום המתוקן, ממועד שאינו ידוע ועד ליום 21.10.21, החזיק הנאשם ברכב שבבעלותו ובשימושו ב.מ.וו ל.ז. 16-835-56 (להלן: "הרכב") תת מקלע מאולתר, מחסנית, 35 קליעים תואמים  (להלן-"הנשק והתחמושת") ואפוד מגן. במועד זה נתפסו הנשק והתחמושת על ידי המשטרה.  </w:t>
      </w:r>
    </w:p>
    <w:p w14:paraId="3426830D" w14:textId="77777777" w:rsidR="00775015" w:rsidRDefault="00775015" w:rsidP="00775015">
      <w:pPr>
        <w:spacing w:line="360" w:lineRule="auto"/>
        <w:jc w:val="both"/>
        <w:rPr>
          <w:rtl/>
        </w:rPr>
      </w:pPr>
      <w:bookmarkStart w:id="7" w:name="ABSTRACT_END"/>
      <w:bookmarkEnd w:id="7"/>
    </w:p>
    <w:p w14:paraId="447E5DF1" w14:textId="77777777" w:rsidR="00775015" w:rsidRDefault="00775015" w:rsidP="00775015">
      <w:pPr>
        <w:pStyle w:val="aa"/>
        <w:numPr>
          <w:ilvl w:val="0"/>
          <w:numId w:val="1"/>
        </w:numPr>
        <w:spacing w:line="360" w:lineRule="auto"/>
        <w:jc w:val="both"/>
      </w:pPr>
      <w:r>
        <w:rPr>
          <w:rFonts w:hint="cs"/>
          <w:rtl/>
        </w:rPr>
        <w:t xml:space="preserve">ביום 24.10.22 הציגו הצדדים הסדר טיעון דיוני, לפיו הנאשם יודה ויורשע בעובדות כתב אישום מתוקן, יופנה לתסקיר שירות המבחן והצדדים יטענו באופן חופשי לעונש. </w:t>
      </w:r>
    </w:p>
    <w:p w14:paraId="3EE6C6AF" w14:textId="77777777" w:rsidR="00775015" w:rsidRDefault="00775015" w:rsidP="00775015">
      <w:pPr>
        <w:pStyle w:val="aa"/>
        <w:spacing w:line="360" w:lineRule="auto"/>
        <w:jc w:val="both"/>
        <w:rPr>
          <w:rtl/>
        </w:rPr>
      </w:pPr>
    </w:p>
    <w:p w14:paraId="36610323" w14:textId="77777777" w:rsidR="00775015" w:rsidRDefault="00775015" w:rsidP="00775015">
      <w:pPr>
        <w:spacing w:line="360" w:lineRule="auto"/>
        <w:ind w:firstLine="360"/>
        <w:jc w:val="both"/>
        <w:rPr>
          <w:b/>
          <w:bCs/>
          <w:u w:val="single"/>
          <w:rtl/>
        </w:rPr>
      </w:pPr>
      <w:r>
        <w:rPr>
          <w:rFonts w:hint="cs"/>
          <w:b/>
          <w:bCs/>
          <w:u w:val="single"/>
          <w:rtl/>
        </w:rPr>
        <w:t>תסקיר שירות המבחן</w:t>
      </w:r>
    </w:p>
    <w:p w14:paraId="42C22E35" w14:textId="77777777" w:rsidR="00775015" w:rsidRDefault="00775015" w:rsidP="00775015">
      <w:pPr>
        <w:pStyle w:val="aa"/>
        <w:numPr>
          <w:ilvl w:val="0"/>
          <w:numId w:val="1"/>
        </w:numPr>
        <w:spacing w:line="360" w:lineRule="auto"/>
        <w:jc w:val="both"/>
        <w:rPr>
          <w:rtl/>
        </w:rPr>
      </w:pPr>
      <w:r>
        <w:rPr>
          <w:rFonts w:hint="cs"/>
          <w:rtl/>
        </w:rPr>
        <w:t xml:space="preserve">הנאשם, בן 30, ללא הרשעות קודמות, נמצא בזוגיות ממושכת, עתיד להתחתן בחודש יולי 2023. סיים 11 שנות לימוד בבית ספר מקצועי, מדבריו עולה כי בהיותו נער היה מעורב בפלילים ונדון בבית משפט לנוער בעבירות סמים, הפרת הוראה חוקית ואלימות. נסיבות ילדותו היו מורכבות, אביו היה מכור לסמים וריצה מאסרים, על רקע זה הוריו התגרשו. בעקבות פגיעת ראש בילדותו סובל מכאבי ראש ומזה כשנתיים מטופל בקנאביס רפואי בהמלצת רופא נוירולוג. עבד מגיל 15 בעבודות שונות של מלצרות, ניקיון דירות ושליחויות. במקביל לעבודה, במשך 10 שנים ניהל אורח חיים ספורטיבי, עסק באימוני כדורגל ושיחק באופן מקצועי. בחודש פברואר 2023 סיים קורס מאמני כדורגל במכון וינגייט, וכיום מזה כארבעה חודשים עובד כמאמן כדורגל של ילדים. </w:t>
      </w:r>
    </w:p>
    <w:p w14:paraId="2E736E96" w14:textId="77777777" w:rsidR="00775015" w:rsidRDefault="00775015" w:rsidP="00775015">
      <w:pPr>
        <w:pStyle w:val="aa"/>
        <w:spacing w:line="360" w:lineRule="auto"/>
        <w:jc w:val="both"/>
        <w:rPr>
          <w:rtl/>
        </w:rPr>
      </w:pPr>
      <w:r>
        <w:rPr>
          <w:rFonts w:hint="cs"/>
          <w:b/>
          <w:bCs/>
          <w:rtl/>
        </w:rPr>
        <w:t>אשר לביצוע העבירות</w:t>
      </w:r>
      <w:r>
        <w:rPr>
          <w:rFonts w:hint="cs"/>
          <w:rtl/>
        </w:rPr>
        <w:t xml:space="preserve">, קיבל הנאשם אחריות על מעשיו, אך להתרשמות שירות המבחן התקשה לפרט אודות העבירה ונוטה במידה מסוימת לצמצם מהשלכות מעשיו. הנאשם קשר את ביצוע העבירה בהתייחסותו בעמימות לקשרים חברתיים שוליים אותם ניהל בעבר, לדבריו לאחר מעצרו פעל לניתוק הקשרים הבעייתיים, בין היתר באמצעות מעבר דירה, במטרה לבנות מסגרת חיים תקינה ולהימנע ממצבי סיכון.   </w:t>
      </w:r>
    </w:p>
    <w:p w14:paraId="1D664756" w14:textId="77777777" w:rsidR="00775015" w:rsidRDefault="00775015" w:rsidP="00775015">
      <w:pPr>
        <w:pStyle w:val="aa"/>
        <w:spacing w:line="360" w:lineRule="auto"/>
        <w:jc w:val="both"/>
        <w:rPr>
          <w:b/>
          <w:bCs/>
          <w:rtl/>
        </w:rPr>
      </w:pPr>
    </w:p>
    <w:p w14:paraId="77CB75B8" w14:textId="77777777" w:rsidR="00775015" w:rsidRDefault="00775015" w:rsidP="00775015">
      <w:pPr>
        <w:pStyle w:val="aa"/>
        <w:spacing w:line="360" w:lineRule="auto"/>
        <w:jc w:val="both"/>
        <w:rPr>
          <w:rtl/>
        </w:rPr>
      </w:pPr>
      <w:r>
        <w:rPr>
          <w:rFonts w:hint="cs"/>
          <w:b/>
          <w:bCs/>
          <w:rtl/>
        </w:rPr>
        <w:t>בהיבט הטיפולי</w:t>
      </w:r>
      <w:r>
        <w:rPr>
          <w:rFonts w:hint="cs"/>
          <w:rtl/>
        </w:rPr>
        <w:t xml:space="preserve">, שולב הנאשם בקבוצת עצורי בית בשירות המבחן לתקופה של כשנה. הנאשם גילה מחויבות רבה והגיע למפגשים בזמן ובאופן סדיר, היה למשתתף אהוב, משמעותי ופעל לקידום את השיח הקבוצתי. מהתרשמות מנחות הקבוצה עלה כי עבר הליך משמעותי, החל לבחון באופן ביקורתי את בחירותיו וגילה פתיחות לבחינת דפוסים מכשילים באישיותו. </w:t>
      </w:r>
    </w:p>
    <w:p w14:paraId="53701EFC" w14:textId="77777777" w:rsidR="00775015" w:rsidRDefault="00775015" w:rsidP="00775015">
      <w:pPr>
        <w:pStyle w:val="aa"/>
        <w:spacing w:line="360" w:lineRule="auto"/>
        <w:jc w:val="both"/>
        <w:rPr>
          <w:rtl/>
        </w:rPr>
      </w:pPr>
    </w:p>
    <w:p w14:paraId="0F618F3A" w14:textId="77777777" w:rsidR="00775015" w:rsidRDefault="00775015" w:rsidP="00775015">
      <w:pPr>
        <w:pStyle w:val="aa"/>
        <w:spacing w:line="360" w:lineRule="auto"/>
        <w:jc w:val="both"/>
        <w:rPr>
          <w:rtl/>
        </w:rPr>
      </w:pPr>
      <w:r>
        <w:rPr>
          <w:rFonts w:hint="cs"/>
          <w:rtl/>
        </w:rPr>
        <w:t xml:space="preserve">שירות המבחן התרשם כי הנאשם מכיר במחירים האישיים בהם נושא על רקע הסתבכותו הפלילית ברמה המשפחתית, התעסוקתית והכלכלית, תוך עיסוק בעונש הצפוי לו והשלכותיו על המשך חייו. כגורמי סיכון מנה שירות המבחן את קשיי הנאשם בהצבת גבולות פנימיים, התייחסותו המצומצמת לעבירה, חשיפתו לדפוסי עבריינות בסביבתו המשפחתית והחברתית ונטייתו לריצוי אחרים. בצד זאת, נרשמה התרשמות לטובה  משאיפותיו התקינות לניהול אורח חיים יציב ומתפקד, מההרתעה הנובעת מההליך המשפטי, הריחוק ממקום מגוריו ושילובו בקבוצת הטיפול, התורמים להפחתת הסיכון להישנות מעורבות עם החוק. עם זאת, הוערך כי רמת הסיכון הנשקפת להישנות עבירות דומות היא בינונית. הנאשם הביע נכונות לטיפול המשך. </w:t>
      </w:r>
    </w:p>
    <w:p w14:paraId="2CC06A34" w14:textId="77777777" w:rsidR="00775015" w:rsidRDefault="00775015" w:rsidP="00775015">
      <w:pPr>
        <w:pStyle w:val="aa"/>
        <w:spacing w:line="360" w:lineRule="auto"/>
        <w:jc w:val="both"/>
        <w:rPr>
          <w:rtl/>
        </w:rPr>
      </w:pPr>
      <w:r>
        <w:rPr>
          <w:rFonts w:hint="cs"/>
          <w:b/>
          <w:bCs/>
          <w:rtl/>
        </w:rPr>
        <w:t xml:space="preserve">לאור כל האמור בא שירות המבחן בהמלצה בעלת אפיק שיקומי, להעמידו בצו מבחן למשך 18 חודשים ומאסר בדרך של עבודות שירות.  </w:t>
      </w:r>
      <w:r>
        <w:rPr>
          <w:rFonts w:hint="cs"/>
          <w:rtl/>
        </w:rPr>
        <w:t xml:space="preserve"> </w:t>
      </w:r>
    </w:p>
    <w:p w14:paraId="6CB72754" w14:textId="77777777" w:rsidR="00775015" w:rsidRDefault="00775015" w:rsidP="00775015">
      <w:pPr>
        <w:pStyle w:val="aa"/>
        <w:spacing w:line="360" w:lineRule="auto"/>
        <w:jc w:val="both"/>
        <w:rPr>
          <w:rtl/>
        </w:rPr>
      </w:pPr>
    </w:p>
    <w:p w14:paraId="496CA492" w14:textId="77777777" w:rsidR="00775015" w:rsidRDefault="00775015" w:rsidP="00775015">
      <w:pPr>
        <w:spacing w:line="360" w:lineRule="auto"/>
        <w:ind w:firstLine="360"/>
        <w:jc w:val="both"/>
        <w:rPr>
          <w:b/>
          <w:bCs/>
          <w:u w:val="single"/>
          <w:rtl/>
        </w:rPr>
      </w:pPr>
      <w:r>
        <w:rPr>
          <w:rFonts w:hint="cs"/>
          <w:b/>
          <w:bCs/>
          <w:u w:val="single"/>
          <w:rtl/>
        </w:rPr>
        <w:lastRenderedPageBreak/>
        <w:t>תמצית הטיעונים לעונש</w:t>
      </w:r>
    </w:p>
    <w:p w14:paraId="67F253F9" w14:textId="77777777" w:rsidR="00775015" w:rsidRDefault="00775015" w:rsidP="00775015">
      <w:pPr>
        <w:pStyle w:val="aa"/>
        <w:numPr>
          <w:ilvl w:val="0"/>
          <w:numId w:val="1"/>
        </w:numPr>
        <w:spacing w:line="360" w:lineRule="auto"/>
        <w:jc w:val="both"/>
        <w:rPr>
          <w:rtl/>
        </w:rPr>
      </w:pPr>
      <w:r>
        <w:rPr>
          <w:rFonts w:hint="cs"/>
          <w:rtl/>
        </w:rPr>
        <w:t xml:space="preserve">ב"כ המאשימה, עו"ד הראל, עמד בטיעוניו על חומרת עבירות הנשק, הערכים המוגנים שנפגעו ופוטנציאל הנזק ממעשי הנאשם. לשיטתו, חומרת מעשיו היא ברף הגבוה, מסקנה זו נלמדת מנסיבות המקרה, החזקה מבצעית של נשק התקפי, תחמושת ואפוד מגן ברכב שנמצא בבעלותו ובשימושו של הנאשם. בנסיבות אלו עתר למתחם ענישה הנע בין 48-24 חודשי מאסר בפועל. המאשימה סבורה שאין מקום לקבל את המלצת שירות המבחן לחריגה לשיקום, הרקע לנסיבות ביצוע העבירות נותר עלום ומסוכנות הנאשם,  בינונית.  עם זאת, בהתחשב בעברו הנקי והודאתו, עתר למקמו בתחתית המתחם. </w:t>
      </w:r>
    </w:p>
    <w:p w14:paraId="568C569D" w14:textId="77777777" w:rsidR="00775015" w:rsidRDefault="00775015" w:rsidP="00775015">
      <w:pPr>
        <w:pStyle w:val="aa"/>
        <w:spacing w:line="360" w:lineRule="auto"/>
        <w:jc w:val="both"/>
      </w:pPr>
    </w:p>
    <w:p w14:paraId="60E3B919" w14:textId="77777777" w:rsidR="00775015" w:rsidRDefault="00775015" w:rsidP="00775015">
      <w:pPr>
        <w:pStyle w:val="aa"/>
        <w:numPr>
          <w:ilvl w:val="0"/>
          <w:numId w:val="1"/>
        </w:numPr>
        <w:spacing w:line="360" w:lineRule="auto"/>
        <w:jc w:val="both"/>
        <w:rPr>
          <w:rtl/>
        </w:rPr>
      </w:pPr>
      <w:r>
        <w:rPr>
          <w:rFonts w:hint="cs"/>
          <w:rtl/>
        </w:rPr>
        <w:t xml:space="preserve">ב"כ הנאשם, עו"ד יסלוביץ', עתר לאמץ את המלצת שירות המבחן במלואה. בטיעוניו הפנה לתיקון כתב האישום לקולה ולקשיים הראייתיים שהובילו לתיקון. לדבריו, אין אינדיקציה לטענה שהנאשם החזיק בנשק על רקע סכסוך עברייני ולצורך מטרה פלילית, ויש ליתן משקל לכך שהנשק לא היה טעון. עוד טען כי יש ליתן משקל לחלוף הזמן ממועד ביצוע העבירה, אוקטובר 2021. בנסיבות אלה עתר למתחם ענישה מתון יותר הנע בין 24-9 חודשים. לדבריו, מדובר במקרה שנופל בגדר המקרים "החריגים שבחריגים" המצדיקים הימנעות ממאסר ממש, נוכח מאמצי הנאשם להתנתק מקשריו השוליים, העתקת מקום מגוריו והליך טיפולי מוצלח שעובר. </w:t>
      </w:r>
    </w:p>
    <w:p w14:paraId="1B40DBC9" w14:textId="77777777" w:rsidR="00775015" w:rsidRDefault="00775015" w:rsidP="00775015">
      <w:pPr>
        <w:pStyle w:val="aa"/>
      </w:pPr>
    </w:p>
    <w:p w14:paraId="223C707C" w14:textId="77777777" w:rsidR="00775015" w:rsidRDefault="00775015" w:rsidP="00775015">
      <w:pPr>
        <w:pStyle w:val="aa"/>
        <w:spacing w:line="360" w:lineRule="auto"/>
        <w:jc w:val="both"/>
        <w:rPr>
          <w:b/>
          <w:bCs/>
          <w:u w:val="single"/>
          <w:rtl/>
        </w:rPr>
      </w:pPr>
      <w:r>
        <w:rPr>
          <w:rFonts w:hint="cs"/>
          <w:b/>
          <w:bCs/>
          <w:rtl/>
        </w:rPr>
        <w:t>הנאשם בדברו האחרון</w:t>
      </w:r>
      <w:r>
        <w:rPr>
          <w:rFonts w:hint="cs"/>
          <w:rtl/>
        </w:rPr>
        <w:t xml:space="preserve"> הצר על מעשיו, תיאר את השינוי המהותי שעבר באורחות חייו וסיפר שהוא אינו אותו אדם כפי שהיה במועד ביצוע העבירה, עובד כמאמן ראשי של קבוצות כדורגל בקיבוץ וצפוי להינשא בקרוב. </w:t>
      </w:r>
    </w:p>
    <w:p w14:paraId="03B3FCF3" w14:textId="77777777" w:rsidR="00775015" w:rsidRDefault="00775015" w:rsidP="00775015">
      <w:pPr>
        <w:pStyle w:val="aa"/>
        <w:spacing w:line="360" w:lineRule="auto"/>
        <w:jc w:val="both"/>
        <w:rPr>
          <w:b/>
          <w:bCs/>
          <w:u w:val="single"/>
          <w:rtl/>
        </w:rPr>
      </w:pPr>
    </w:p>
    <w:p w14:paraId="2AFB96B9" w14:textId="77777777" w:rsidR="00775015" w:rsidRDefault="00775015" w:rsidP="00775015">
      <w:pPr>
        <w:pStyle w:val="aa"/>
        <w:spacing w:line="360" w:lineRule="auto"/>
        <w:jc w:val="both"/>
        <w:rPr>
          <w:b/>
          <w:bCs/>
          <w:u w:val="single"/>
          <w:rtl/>
        </w:rPr>
      </w:pPr>
      <w:r>
        <w:rPr>
          <w:rFonts w:hint="cs"/>
          <w:b/>
          <w:bCs/>
          <w:u w:val="single"/>
          <w:rtl/>
        </w:rPr>
        <w:t>דיון והכרעה</w:t>
      </w:r>
    </w:p>
    <w:p w14:paraId="10D203A3" w14:textId="77777777" w:rsidR="00775015" w:rsidRDefault="00775015" w:rsidP="00775015">
      <w:pPr>
        <w:pStyle w:val="aa"/>
        <w:spacing w:line="360" w:lineRule="auto"/>
        <w:jc w:val="both"/>
        <w:rPr>
          <w:b/>
          <w:bCs/>
          <w:u w:val="single"/>
          <w:rtl/>
        </w:rPr>
      </w:pPr>
      <w:r>
        <w:rPr>
          <w:rFonts w:hint="cs"/>
          <w:b/>
          <w:bCs/>
          <w:u w:val="single"/>
          <w:rtl/>
        </w:rPr>
        <w:t>מתחם העונש ההולם</w:t>
      </w:r>
    </w:p>
    <w:p w14:paraId="63E2422E" w14:textId="77777777" w:rsidR="00775015" w:rsidRDefault="00775015" w:rsidP="00775015">
      <w:pPr>
        <w:pStyle w:val="aa"/>
        <w:numPr>
          <w:ilvl w:val="0"/>
          <w:numId w:val="1"/>
        </w:numPr>
        <w:spacing w:line="360" w:lineRule="auto"/>
        <w:jc w:val="both"/>
        <w:rPr>
          <w:rFonts w:ascii="Times New Roman" w:eastAsia="Times New Roman" w:hAnsi="Times New Roman"/>
          <w:rtl/>
        </w:rPr>
      </w:pPr>
      <w:r>
        <w:rPr>
          <w:rFonts w:ascii="Times New Roman" w:eastAsia="Times New Roman" w:hAnsi="Times New Roman" w:hint="cs"/>
          <w:rtl/>
        </w:rPr>
        <w:t xml:space="preserve">על ההליך שבפני חלים עקרונות הבניית שיקול הדעת השיפוטי בענישה בהתאם להוראות תיקון 113 לחוק. ע"פ הוראות אלו, העיקרון המנחה בענישה הינו עקרון ההלימה שפירושו קיומו של יחס הולם בין חומרת מעשה העבירה בנסיבותיו ובמידת אשמו של הנאשם ובין סוג ומידת העונש המוטל עליו. בדרכו של עקרון זה, על בית המשפט לקבוע מתחם עונש הולם למעשה העבירה, תוך שהוא מתחשב בערך החברתי המוגן שנפגע ומידת הפגיעה בו, במדיניות הענישה הנהוגה ובנסיבותיה הקונקרטיות של העבירה. בשלב הבא, לאחר שנקבע מתחם העונש, ובית המשפט לא מצא מקום לחרוג ממנו לקולא או לחומרא, נקבע העונש הראוי תוך התחשבות בנסיבות העושה. </w:t>
      </w:r>
    </w:p>
    <w:p w14:paraId="7A11C0DD" w14:textId="77777777" w:rsidR="00775015" w:rsidRDefault="00775015" w:rsidP="00775015">
      <w:pPr>
        <w:spacing w:line="360" w:lineRule="auto"/>
        <w:jc w:val="both"/>
      </w:pPr>
    </w:p>
    <w:p w14:paraId="1620DC8B" w14:textId="77777777" w:rsidR="00775015" w:rsidRDefault="00775015" w:rsidP="00775015">
      <w:pPr>
        <w:pStyle w:val="aa"/>
        <w:numPr>
          <w:ilvl w:val="0"/>
          <w:numId w:val="1"/>
        </w:numPr>
        <w:spacing w:after="120" w:line="360" w:lineRule="auto"/>
        <w:jc w:val="both"/>
        <w:rPr>
          <w:rtl/>
        </w:rPr>
      </w:pPr>
      <w:r>
        <w:rPr>
          <w:rFonts w:ascii="Times New Roman" w:eastAsia="Times New Roman" w:hAnsi="Times New Roman" w:hint="cs"/>
          <w:rtl/>
        </w:rPr>
        <w:t xml:space="preserve">מעשיו של הנאשם פגעו פגיעה ממשית </w:t>
      </w:r>
      <w:r>
        <w:rPr>
          <w:rFonts w:hint="cs"/>
          <w:rtl/>
        </w:rPr>
        <w:t xml:space="preserve">בערכים המוגנים של שמירה על חיי אדם ושלמות גופו. רבות </w:t>
      </w:r>
      <w:r>
        <w:rPr>
          <w:rFonts w:ascii="Times New Roman" w:eastAsia="Times New Roman" w:hAnsi="Times New Roman" w:hint="cs"/>
          <w:rtl/>
        </w:rPr>
        <w:t>נכתב על חומרת עבירות הנשק, קלות כחמורות, שהפכו זה מכבר ל"מכת מדינה" המהוות קרקע פורייה לביצוע עבירות אלימות נוספות. ב</w:t>
      </w:r>
      <w:r>
        <w:rPr>
          <w:rFonts w:hint="cs"/>
          <w:rtl/>
        </w:rPr>
        <w:t>פסיקה עקבית של בית המשפט העליון נקבע, כי על בתי המשפט להילחם מלחמת חורמה בתופעת עבריינות הנשק ולתרום תרומתם למיגורה, תוך מתן משקל בכורה לשיקולי הרתעה (</w:t>
      </w:r>
      <w:hyperlink r:id="rId11" w:history="1">
        <w:r w:rsidR="003531AE" w:rsidRPr="003531AE">
          <w:rPr>
            <w:color w:val="0000FF"/>
            <w:u w:val="single"/>
            <w:rtl/>
          </w:rPr>
          <w:t>ע"פ 4456/21</w:t>
        </w:r>
      </w:hyperlink>
      <w:r>
        <w:rPr>
          <w:rFonts w:hint="cs"/>
          <w:rtl/>
        </w:rPr>
        <w:t xml:space="preserve"> </w:t>
      </w:r>
      <w:r>
        <w:rPr>
          <w:rFonts w:hint="cs"/>
          <w:b/>
          <w:bCs/>
          <w:rtl/>
        </w:rPr>
        <w:t>מדינת ישראל נ' אבו עבסה</w:t>
      </w:r>
      <w:r>
        <w:rPr>
          <w:rFonts w:hint="cs"/>
          <w:rtl/>
        </w:rPr>
        <w:t xml:space="preserve">, פסקה 15 (23.1.2022); </w:t>
      </w:r>
      <w:hyperlink r:id="rId12" w:history="1">
        <w:r w:rsidR="003531AE" w:rsidRPr="003531AE">
          <w:rPr>
            <w:color w:val="0000FF"/>
            <w:u w:val="single"/>
            <w:rtl/>
          </w:rPr>
          <w:t>ע"פ 2165/23</w:t>
        </w:r>
      </w:hyperlink>
      <w:r>
        <w:rPr>
          <w:rFonts w:hint="cs"/>
          <w:rtl/>
        </w:rPr>
        <w:t xml:space="preserve"> </w:t>
      </w:r>
      <w:r>
        <w:rPr>
          <w:rFonts w:hint="cs"/>
          <w:b/>
          <w:bCs/>
          <w:rtl/>
        </w:rPr>
        <w:t xml:space="preserve">מדינת ישראל נ' בלאל, </w:t>
      </w:r>
      <w:r>
        <w:rPr>
          <w:rFonts w:hint="cs"/>
          <w:rtl/>
        </w:rPr>
        <w:t xml:space="preserve">פסקה 10 (4.5.2023); </w:t>
      </w:r>
      <w:hyperlink r:id="rId13" w:history="1">
        <w:r w:rsidR="003531AE" w:rsidRPr="003531AE">
          <w:rPr>
            <w:color w:val="0000FF"/>
            <w:u w:val="single"/>
            <w:rtl/>
          </w:rPr>
          <w:t>ע"פ 2482/22</w:t>
        </w:r>
      </w:hyperlink>
      <w:r>
        <w:rPr>
          <w:rFonts w:ascii="Times New Roman" w:eastAsia="Times New Roman" w:hAnsi="Times New Roman" w:hint="cs"/>
          <w:rtl/>
        </w:rPr>
        <w:t xml:space="preserve"> </w:t>
      </w:r>
      <w:r>
        <w:rPr>
          <w:rFonts w:ascii="Times New Roman" w:eastAsia="Times New Roman" w:hAnsi="Times New Roman" w:hint="cs"/>
          <w:b/>
          <w:bCs/>
          <w:rtl/>
        </w:rPr>
        <w:t>מדינת ישראל נ' קדורה</w:t>
      </w:r>
      <w:r>
        <w:rPr>
          <w:rFonts w:ascii="Times New Roman" w:eastAsia="Times New Roman" w:hAnsi="Times New Roman" w:hint="cs"/>
          <w:rtl/>
        </w:rPr>
        <w:t>, פסקה 6</w:t>
      </w:r>
      <w:r>
        <w:rPr>
          <w:rFonts w:ascii="Times New Roman" w:eastAsia="Times New Roman" w:hAnsi="Times New Roman" w:hint="cs"/>
          <w:b/>
          <w:bCs/>
          <w:rtl/>
        </w:rPr>
        <w:t xml:space="preserve"> </w:t>
      </w:r>
      <w:r>
        <w:rPr>
          <w:rFonts w:ascii="Times New Roman" w:eastAsia="Times New Roman" w:hAnsi="Times New Roman" w:hint="cs"/>
          <w:rtl/>
        </w:rPr>
        <w:t>(14.4.2022);</w:t>
      </w:r>
      <w:hyperlink r:id="rId14" w:history="1">
        <w:r w:rsidR="003531AE" w:rsidRPr="003531AE">
          <w:rPr>
            <w:color w:val="0000FF"/>
            <w:u w:val="single"/>
            <w:rtl/>
          </w:rPr>
          <w:t>ע"פ 5813/21</w:t>
        </w:r>
      </w:hyperlink>
      <w:r>
        <w:rPr>
          <w:rFonts w:hint="cs"/>
          <w:rtl/>
        </w:rPr>
        <w:t xml:space="preserve"> </w:t>
      </w:r>
      <w:r>
        <w:rPr>
          <w:rFonts w:hint="cs"/>
          <w:b/>
          <w:bCs/>
          <w:rtl/>
        </w:rPr>
        <w:t>מוחמד ג'בארין נ' מדינת ישראל</w:t>
      </w:r>
      <w:r>
        <w:rPr>
          <w:rFonts w:hint="cs"/>
          <w:rtl/>
        </w:rPr>
        <w:t>, פס' 14</w:t>
      </w:r>
      <w:r>
        <w:rPr>
          <w:rFonts w:hint="cs"/>
          <w:b/>
          <w:bCs/>
          <w:rtl/>
        </w:rPr>
        <w:t xml:space="preserve"> </w:t>
      </w:r>
      <w:r>
        <w:rPr>
          <w:rFonts w:hint="cs"/>
          <w:rtl/>
        </w:rPr>
        <w:t>(31.5.2022); ב</w:t>
      </w:r>
      <w:hyperlink r:id="rId15" w:history="1">
        <w:r w:rsidR="003531AE" w:rsidRPr="003531AE">
          <w:rPr>
            <w:color w:val="0000FF"/>
            <w:u w:val="single"/>
            <w:rtl/>
          </w:rPr>
          <w:t>ע"פ 6011/21</w:t>
        </w:r>
      </w:hyperlink>
      <w:r>
        <w:rPr>
          <w:rFonts w:hint="cs"/>
          <w:rtl/>
        </w:rPr>
        <w:t xml:space="preserve"> </w:t>
      </w:r>
      <w:r>
        <w:rPr>
          <w:rFonts w:hint="cs"/>
          <w:b/>
          <w:bCs/>
          <w:rtl/>
        </w:rPr>
        <w:t>חאלד דסוקי נ' מדנית ישראל</w:t>
      </w:r>
      <w:r>
        <w:rPr>
          <w:rFonts w:hint="cs"/>
          <w:rtl/>
        </w:rPr>
        <w:t xml:space="preserve">  (25.11.2021); </w:t>
      </w:r>
      <w:hyperlink r:id="rId16" w:history="1">
        <w:r w:rsidR="003531AE" w:rsidRPr="003531AE">
          <w:rPr>
            <w:color w:val="0000FF"/>
            <w:spacing w:val="10"/>
            <w:sz w:val="20"/>
            <w:u w:val="single"/>
            <w:shd w:val="clear" w:color="auto" w:fill="FFFFFF"/>
            <w:rtl/>
          </w:rPr>
          <w:t>ע"פ 8320/21</w:t>
        </w:r>
      </w:hyperlink>
      <w:r>
        <w:rPr>
          <w:rFonts w:hint="cs"/>
          <w:spacing w:val="10"/>
          <w:sz w:val="20"/>
          <w:shd w:val="clear" w:color="auto" w:fill="FFFFFF"/>
          <w:rtl/>
        </w:rPr>
        <w:t xml:space="preserve"> </w:t>
      </w:r>
      <w:r>
        <w:rPr>
          <w:rFonts w:hint="cs"/>
          <w:b/>
          <w:bCs/>
          <w:spacing w:val="10"/>
          <w:sz w:val="20"/>
          <w:shd w:val="clear" w:color="auto" w:fill="FFFFFF"/>
          <w:rtl/>
        </w:rPr>
        <w:t>מדינת ישראל נ' מחמד בסילה</w:t>
      </w:r>
      <w:r>
        <w:rPr>
          <w:rFonts w:hint="cs"/>
          <w:spacing w:val="10"/>
          <w:sz w:val="20"/>
          <w:shd w:val="clear" w:color="auto" w:fill="FFFFFF"/>
          <w:rtl/>
        </w:rPr>
        <w:t>, פס' 10 (28.12.2021)</w:t>
      </w:r>
      <w:r>
        <w:rPr>
          <w:rFonts w:hint="cs"/>
          <w:rtl/>
        </w:rPr>
        <w:t xml:space="preserve">; </w:t>
      </w:r>
      <w:hyperlink r:id="rId17" w:history="1">
        <w:r w:rsidR="003531AE" w:rsidRPr="003531AE">
          <w:rPr>
            <w:color w:val="0000FF"/>
            <w:u w:val="single"/>
            <w:rtl/>
          </w:rPr>
          <w:t>ע"פ 2283/22</w:t>
        </w:r>
      </w:hyperlink>
      <w:r>
        <w:rPr>
          <w:rFonts w:hint="cs"/>
          <w:rtl/>
        </w:rPr>
        <w:t xml:space="preserve"> </w:t>
      </w:r>
      <w:r>
        <w:rPr>
          <w:rFonts w:hint="cs"/>
          <w:b/>
          <w:bCs/>
          <w:rtl/>
        </w:rPr>
        <w:t>אל נבארי נ' מדינת ישראל</w:t>
      </w:r>
      <w:r>
        <w:rPr>
          <w:rFonts w:hint="cs"/>
          <w:rtl/>
        </w:rPr>
        <w:t xml:space="preserve"> (31.7.2022); </w:t>
      </w:r>
      <w:hyperlink r:id="rId18" w:history="1">
        <w:r w:rsidR="003531AE" w:rsidRPr="003531AE">
          <w:rPr>
            <w:color w:val="0000FF"/>
            <w:u w:val="single"/>
            <w:rtl/>
          </w:rPr>
          <w:t>ע"פ 78/21</w:t>
        </w:r>
      </w:hyperlink>
      <w:r>
        <w:rPr>
          <w:rFonts w:hint="cs"/>
          <w:rtl/>
        </w:rPr>
        <w:t xml:space="preserve"> </w:t>
      </w:r>
      <w:r>
        <w:rPr>
          <w:rFonts w:hint="cs"/>
          <w:b/>
          <w:bCs/>
          <w:rtl/>
        </w:rPr>
        <w:t>פלוני נ' מדינת</w:t>
      </w:r>
      <w:r>
        <w:rPr>
          <w:rFonts w:hint="cs"/>
          <w:rtl/>
        </w:rPr>
        <w:t xml:space="preserve"> </w:t>
      </w:r>
      <w:r>
        <w:rPr>
          <w:rFonts w:hint="cs"/>
          <w:b/>
          <w:bCs/>
          <w:rtl/>
        </w:rPr>
        <w:t>ישראל</w:t>
      </w:r>
      <w:r>
        <w:rPr>
          <w:rFonts w:hint="cs"/>
          <w:rtl/>
        </w:rPr>
        <w:t xml:space="preserve"> (26.7.2022); </w:t>
      </w:r>
      <w:hyperlink r:id="rId19" w:history="1">
        <w:r w:rsidR="003531AE" w:rsidRPr="003531AE">
          <w:rPr>
            <w:color w:val="0000FF"/>
            <w:u w:val="single"/>
            <w:rtl/>
          </w:rPr>
          <w:t>ע"פ 116/13</w:t>
        </w:r>
      </w:hyperlink>
      <w:r w:rsidR="003531AE">
        <w:rPr>
          <w:rFonts w:hint="cs"/>
          <w:rtl/>
        </w:rPr>
        <w:t xml:space="preserve"> </w:t>
      </w:r>
      <w:r>
        <w:rPr>
          <w:rFonts w:hint="cs"/>
          <w:b/>
          <w:bCs/>
          <w:rtl/>
        </w:rPr>
        <w:t>וקנין נ' מדינת ישראל</w:t>
      </w:r>
      <w:r>
        <w:rPr>
          <w:rFonts w:hint="cs"/>
          <w:rtl/>
        </w:rPr>
        <w:t>,</w:t>
      </w:r>
      <w:r w:rsidR="003531AE">
        <w:rPr>
          <w:rFonts w:hint="cs"/>
          <w:rtl/>
        </w:rPr>
        <w:t xml:space="preserve"> </w:t>
      </w:r>
      <w:r>
        <w:rPr>
          <w:rFonts w:hint="cs"/>
          <w:rtl/>
        </w:rPr>
        <w:t xml:space="preserve">פס' 7 (31.7.2013)). </w:t>
      </w:r>
    </w:p>
    <w:p w14:paraId="05B97686" w14:textId="77777777" w:rsidR="00775015" w:rsidRDefault="00775015" w:rsidP="00775015">
      <w:pPr>
        <w:pStyle w:val="aa"/>
        <w:spacing w:after="120" w:line="360" w:lineRule="auto"/>
        <w:jc w:val="both"/>
        <w:rPr>
          <w:rtl/>
        </w:rPr>
      </w:pPr>
    </w:p>
    <w:p w14:paraId="3704A4BC" w14:textId="77777777" w:rsidR="00775015" w:rsidRDefault="00775015" w:rsidP="00775015">
      <w:pPr>
        <w:pStyle w:val="aa"/>
        <w:numPr>
          <w:ilvl w:val="0"/>
          <w:numId w:val="1"/>
        </w:numPr>
        <w:spacing w:after="160" w:line="360" w:lineRule="auto"/>
        <w:jc w:val="both"/>
      </w:pPr>
      <w:r>
        <w:rPr>
          <w:rFonts w:hint="cs"/>
          <w:rtl/>
        </w:rPr>
        <w:t xml:space="preserve">מגמה זו מצאה את ביטויה גם בחקיקה, במסגרת תיקון 140 לחוק, בו נקבעו עונשי מינימום לעבירות נשק באשר הן, באופן שככלל, העונש שיושת בגין עבירות אלו, לא יפחת מרבע העונש המרבי שנקבע לעבירה. התיקון נכנס לתוקף לאחר מועד ביצוע העבירה אך רוחו שורה גם על המקרה שבפנינו.  </w:t>
      </w:r>
    </w:p>
    <w:p w14:paraId="483080A9" w14:textId="77777777" w:rsidR="00775015" w:rsidRDefault="00775015" w:rsidP="00775015">
      <w:pPr>
        <w:pStyle w:val="aa"/>
        <w:rPr>
          <w:rtl/>
        </w:rPr>
      </w:pPr>
    </w:p>
    <w:p w14:paraId="07C4AE5C" w14:textId="77777777" w:rsidR="00775015" w:rsidRPr="00775015" w:rsidRDefault="00775015" w:rsidP="00775015">
      <w:pPr>
        <w:pStyle w:val="aa"/>
        <w:numPr>
          <w:ilvl w:val="0"/>
          <w:numId w:val="1"/>
        </w:numPr>
        <w:spacing w:after="160" w:line="360" w:lineRule="auto"/>
        <w:ind w:left="714" w:hanging="357"/>
        <w:jc w:val="both"/>
        <w:textAlignment w:val="baseline"/>
        <w:rPr>
          <w:rFonts w:ascii="Calibri"/>
          <w:rtl/>
        </w:rPr>
      </w:pPr>
      <w:r>
        <w:rPr>
          <w:rFonts w:hint="cs"/>
          <w:rtl/>
        </w:rPr>
        <w:t xml:space="preserve">בענייננו, מדובר בעבירת החזקת נשק ברף מחמיר, הנושקת לעבירה של נשיאה/הובלת נשק. הנאשם החזיק ברכב שבבעלותו, בהחזקתו ובשימושו </w:t>
      </w:r>
      <w:r>
        <w:rPr>
          <w:rFonts w:hint="cs"/>
          <w:b/>
          <w:bCs/>
          <w:rtl/>
        </w:rPr>
        <w:t>נשק התקפי</w:t>
      </w:r>
      <w:r>
        <w:rPr>
          <w:rFonts w:hint="cs"/>
          <w:rtl/>
        </w:rPr>
        <w:t xml:space="preserve">, תת מקלע מאולתר, תחמושת תואמת, 35 קליעים, מחסנית ואפוד מגן. </w:t>
      </w:r>
      <w:r>
        <w:rPr>
          <w:rFonts w:ascii="Times New Roman" w:eastAsia="Times New Roman" w:hAnsi="Times New Roman" w:hint="cs"/>
          <w:rtl/>
        </w:rPr>
        <w:t xml:space="preserve">החזקת נשק ברכב מלמדת על פוטנציאל גבוה להובלתו לצורך שימוש בו. הנאשם לא הסביר מדוע בחר להחזיק נשק התקפי ברכבו, בצד תחמושת תואמת ואביזרים המאפשרים שימוש מיידי בו. הנזק שנגרם ממעשיו אמנם אינו חמור, אך עולה מתסקירו כי העבירה בוצעה כתוצאה מקשרים שוליים שניהל באותה תקופה עם גורמים עברייניים, משכך פוטנציאל הנזק והפגיעה בחיי אדם רב ביותר. עוד ייזקף לחומרה סוג הנשק, תת מקלע לצד תחמושת מתאימה ואפוד המלמד על תכנון לשימוש מיידי בו.  </w:t>
      </w:r>
    </w:p>
    <w:p w14:paraId="1F61C688" w14:textId="77777777" w:rsidR="00775015" w:rsidRPr="00775015" w:rsidRDefault="00775015" w:rsidP="00775015">
      <w:pPr>
        <w:pStyle w:val="aa"/>
        <w:rPr>
          <w:rFonts w:ascii="Calibri"/>
        </w:rPr>
      </w:pPr>
    </w:p>
    <w:p w14:paraId="050A1159" w14:textId="77777777" w:rsidR="00775015" w:rsidRDefault="00775015" w:rsidP="00775015">
      <w:pPr>
        <w:pStyle w:val="aa"/>
        <w:numPr>
          <w:ilvl w:val="0"/>
          <w:numId w:val="1"/>
        </w:numPr>
        <w:spacing w:after="120" w:line="360" w:lineRule="auto"/>
        <w:jc w:val="both"/>
        <w:textAlignment w:val="baseline"/>
        <w:rPr>
          <w:rFonts w:ascii="Times New Roman" w:eastAsia="Times New Roman" w:hAnsi="Times New Roman"/>
          <w:rtl/>
        </w:rPr>
      </w:pPr>
      <w:r>
        <w:rPr>
          <w:rFonts w:ascii="Times New Roman" w:eastAsia="Times New Roman" w:hAnsi="Times New Roman" w:hint="cs"/>
          <w:rtl/>
        </w:rPr>
        <w:t xml:space="preserve">בחינת מידת פגיעת מעשי הנאשם בערך המוגן מובילה למסקנה כי הפגיעה היא </w:t>
      </w:r>
      <w:r>
        <w:rPr>
          <w:rFonts w:ascii="Times New Roman" w:eastAsia="Times New Roman" w:hAnsi="Times New Roman" w:hint="cs"/>
          <w:b/>
          <w:bCs/>
          <w:rtl/>
        </w:rPr>
        <w:t>ברף הבינוני</w:t>
      </w:r>
      <w:r>
        <w:rPr>
          <w:rFonts w:ascii="Times New Roman" w:eastAsia="Times New Roman" w:hAnsi="Times New Roman" w:hint="cs"/>
          <w:rtl/>
        </w:rPr>
        <w:t xml:space="preserve">. בהקשר זה נתתי דעתי לנסיבות החזקתו העמומות, לכך שהנשק הוחזק ברכב, ככל הנראה עבור גורמים עברייניים, ללא אינדיקציה לשימוש קונקרטי בו.  </w:t>
      </w:r>
    </w:p>
    <w:p w14:paraId="6E4830D0" w14:textId="77777777" w:rsidR="00775015" w:rsidRDefault="00775015" w:rsidP="00775015">
      <w:pPr>
        <w:spacing w:after="120" w:line="360" w:lineRule="auto"/>
        <w:jc w:val="both"/>
        <w:textAlignment w:val="baseline"/>
        <w:rPr>
          <w:b/>
          <w:bCs/>
          <w:u w:val="single"/>
        </w:rPr>
      </w:pPr>
    </w:p>
    <w:p w14:paraId="62857F37" w14:textId="77777777" w:rsidR="00775015" w:rsidRDefault="00775015" w:rsidP="00775015">
      <w:pPr>
        <w:spacing w:after="120" w:line="360" w:lineRule="auto"/>
        <w:jc w:val="both"/>
        <w:textAlignment w:val="baseline"/>
        <w:rPr>
          <w:b/>
          <w:bCs/>
          <w:u w:val="single"/>
          <w:rtl/>
        </w:rPr>
      </w:pPr>
      <w:r>
        <w:rPr>
          <w:rFonts w:hint="cs"/>
          <w:b/>
          <w:bCs/>
          <w:u w:val="single"/>
          <w:rtl/>
        </w:rPr>
        <w:t>מדיניות הענישה הנוהגת</w:t>
      </w:r>
    </w:p>
    <w:p w14:paraId="366E514D" w14:textId="77777777" w:rsidR="00775015" w:rsidRDefault="00775015" w:rsidP="00775015">
      <w:pPr>
        <w:pStyle w:val="Ruller40"/>
        <w:numPr>
          <w:ilvl w:val="0"/>
          <w:numId w:val="1"/>
        </w:numPr>
        <w:spacing w:after="160"/>
        <w:rPr>
          <w:rFonts w:ascii="Times New Roman" w:hAnsi="Times New Roman"/>
          <w:rtl/>
        </w:rPr>
      </w:pPr>
      <w:r>
        <w:rPr>
          <w:rFonts w:ascii="Times New Roman" w:hAnsi="Times New Roman" w:cs="David"/>
          <w:spacing w:val="0"/>
          <w:sz w:val="24"/>
          <w:szCs w:val="24"/>
          <w:rtl/>
        </w:rPr>
        <w:t xml:space="preserve">על דרך הכלל, דינם של עברייני הנשק, לרבות נאשמים צעירים או נעדרי עבר פלילי, למאסר ממש לתקופה ממושכת, בית המשפט העליון קבע כי </w:t>
      </w:r>
      <w:r>
        <w:rPr>
          <w:rFonts w:ascii="Times New Roman" w:hAnsi="Times New Roman" w:cs="David"/>
          <w:b/>
          <w:bCs/>
          <w:spacing w:val="0"/>
          <w:sz w:val="24"/>
          <w:szCs w:val="24"/>
          <w:rtl/>
        </w:rPr>
        <w:t>"נוכח ריבוי מקרי הירי, יש לנקוט במדיניות ענישה מחמירה כלפי ביצוע עבירות החזקת נשק שלא כדין... הצורך במדיניות ענישה מחמירה נחוץ במיוחד כאשר השימוש בנשק גורר פגיעה בגוף ובנפש, וכאשר מבצעי העבירות אינם מוסרים את כלי הנשק לידי רשויות החוק – ובכך מוסיפים לפגוע בביטחון הציבור וקיים חשש תמידי לשימוש עברייני חוזר בנשק זה, כמו גם להגעתו של נשק זה לגורמים עוינים ובכללם גורמי טרור. נמצא אפוא כי בנסיבות דהיום, ראוי ונכון להחמיר את מדיניות הענישה הנוהגת, זאת בין היתר על מנת להרתיע עבריינים פוטנציאליים משימוש בו כאמצעי ליישוב סכסוכים"</w:t>
      </w:r>
      <w:r>
        <w:rPr>
          <w:rFonts w:ascii="Times New Roman" w:hAnsi="Times New Roman" w:cs="David"/>
          <w:spacing w:val="0"/>
          <w:sz w:val="24"/>
          <w:szCs w:val="24"/>
          <w:rtl/>
        </w:rPr>
        <w:t xml:space="preserve"> (</w:t>
      </w:r>
      <w:hyperlink r:id="rId20" w:history="1">
        <w:r w:rsidR="003531AE" w:rsidRPr="003531AE">
          <w:rPr>
            <w:rFonts w:ascii="Times New Roman" w:hAnsi="Times New Roman" w:cs="David"/>
            <w:color w:val="0000FF"/>
            <w:spacing w:val="0"/>
            <w:sz w:val="24"/>
            <w:szCs w:val="24"/>
            <w:u w:val="single"/>
            <w:rtl/>
          </w:rPr>
          <w:t>ע"פ 4406/19</w:t>
        </w:r>
      </w:hyperlink>
      <w:r>
        <w:rPr>
          <w:rFonts w:ascii="Times New Roman" w:hAnsi="Times New Roman" w:cs="David"/>
          <w:spacing w:val="0"/>
          <w:sz w:val="24"/>
          <w:szCs w:val="24"/>
          <w:rtl/>
        </w:rPr>
        <w:t xml:space="preserve"> </w:t>
      </w:r>
      <w:r>
        <w:rPr>
          <w:rFonts w:ascii="Times New Roman" w:hAnsi="Times New Roman" w:cs="David"/>
          <w:b/>
          <w:bCs/>
          <w:spacing w:val="0"/>
          <w:sz w:val="24"/>
          <w:szCs w:val="24"/>
          <w:rtl/>
        </w:rPr>
        <w:t>מדינת ישראל נ' סובח</w:t>
      </w:r>
      <w:r>
        <w:rPr>
          <w:rFonts w:ascii="Times New Roman" w:hAnsi="Times New Roman" w:cs="David"/>
          <w:spacing w:val="0"/>
          <w:sz w:val="24"/>
          <w:szCs w:val="24"/>
          <w:rtl/>
        </w:rPr>
        <w:t xml:space="preserve">, פסקה 17 (5.11.19)). </w:t>
      </w:r>
    </w:p>
    <w:p w14:paraId="4131B52A" w14:textId="77777777" w:rsidR="00775015" w:rsidRDefault="00775015" w:rsidP="00775015">
      <w:pPr>
        <w:pStyle w:val="aa"/>
        <w:spacing w:after="120" w:line="360" w:lineRule="auto"/>
        <w:jc w:val="both"/>
        <w:rPr>
          <w:rFonts w:ascii="Times New Roman" w:hAnsi="Times New Roman"/>
          <w:rtl/>
        </w:rPr>
      </w:pPr>
      <w:r>
        <w:rPr>
          <w:rFonts w:ascii="Times New Roman" w:hAnsi="Times New Roman" w:hint="cs"/>
          <w:rtl/>
        </w:rPr>
        <w:t>ב</w:t>
      </w:r>
      <w:hyperlink r:id="rId21" w:history="1">
        <w:r w:rsidR="003531AE" w:rsidRPr="003531AE">
          <w:rPr>
            <w:rFonts w:ascii="Times New Roman" w:hAnsi="Times New Roman"/>
            <w:color w:val="0000FF"/>
            <w:u w:val="single"/>
            <w:rtl/>
          </w:rPr>
          <w:t>ע"פ 1695/22</w:t>
        </w:r>
      </w:hyperlink>
      <w:r>
        <w:rPr>
          <w:rFonts w:ascii="Times New Roman" w:hAnsi="Times New Roman" w:hint="cs"/>
          <w:rtl/>
        </w:rPr>
        <w:t xml:space="preserve"> </w:t>
      </w:r>
      <w:r>
        <w:rPr>
          <w:rFonts w:ascii="Times New Roman" w:hAnsi="Times New Roman" w:hint="cs"/>
          <w:b/>
          <w:bCs/>
          <w:rtl/>
        </w:rPr>
        <w:t xml:space="preserve">מדינת ישראל נ' מוחמד גנאים ואח' </w:t>
      </w:r>
      <w:r>
        <w:rPr>
          <w:rFonts w:ascii="Times New Roman" w:hAnsi="Times New Roman" w:hint="cs"/>
          <w:rtl/>
        </w:rPr>
        <w:t xml:space="preserve">(29.3.2022) הוחמר עונשו של נאשם שהחזיק תת מקלע מאולתר בתצורה של רובה סער </w:t>
      </w:r>
      <w:r>
        <w:rPr>
          <w:rFonts w:ascii="Times New Roman" w:hAnsi="Times New Roman"/>
        </w:rPr>
        <w:t>M16</w:t>
      </w:r>
      <w:r>
        <w:rPr>
          <w:rFonts w:ascii="Times New Roman" w:hAnsi="Times New Roman" w:hint="cs"/>
          <w:rtl/>
        </w:rPr>
        <w:t>, לצד מחסנית מאולתרת תואמת. הנאשם צעיר ללא עבר פלילי, נדון ל- 19 חודשים. בית המשפט העליון קיבל את ערעור המדינה והעמיד את עונשו על 22 חודשי מאסר, בהתחשב, בין היתר, בסוג הנשק שהוגדר כ"</w:t>
      </w:r>
      <w:r>
        <w:rPr>
          <w:rFonts w:ascii="Times New Roman" w:hAnsi="Times New Roman" w:hint="cs"/>
          <w:b/>
          <w:bCs/>
          <w:rtl/>
        </w:rPr>
        <w:t>ארוך, אוטומטי ובעל פוטנציאל קטלני גבוה</w:t>
      </w:r>
      <w:r>
        <w:rPr>
          <w:rFonts w:ascii="Times New Roman" w:hAnsi="Times New Roman" w:hint="cs"/>
          <w:rtl/>
        </w:rPr>
        <w:t>";</w:t>
      </w:r>
    </w:p>
    <w:p w14:paraId="2AFFDCF5" w14:textId="77777777" w:rsidR="00775015" w:rsidRDefault="00775015" w:rsidP="00775015">
      <w:pPr>
        <w:pStyle w:val="aa"/>
        <w:spacing w:after="120" w:line="360" w:lineRule="auto"/>
        <w:jc w:val="both"/>
        <w:rPr>
          <w:rFonts w:ascii="Times New Roman" w:hAnsi="Times New Roman"/>
          <w:rtl/>
        </w:rPr>
      </w:pPr>
    </w:p>
    <w:p w14:paraId="34CC6E88" w14:textId="77777777" w:rsidR="00775015" w:rsidRDefault="00775015" w:rsidP="00775015">
      <w:pPr>
        <w:pStyle w:val="aa"/>
        <w:spacing w:after="120" w:line="360" w:lineRule="auto"/>
        <w:jc w:val="both"/>
        <w:rPr>
          <w:rFonts w:ascii="Times New Roman" w:eastAsia="Times New Roman" w:hAnsi="Times New Roman"/>
          <w:rtl/>
        </w:rPr>
      </w:pPr>
      <w:r>
        <w:rPr>
          <w:rFonts w:hint="cs"/>
          <w:rtl/>
        </w:rPr>
        <w:t xml:space="preserve">בע"פ </w:t>
      </w:r>
      <w:hyperlink r:id="rId22" w:history="1">
        <w:r w:rsidR="007076C9" w:rsidRPr="007076C9">
          <w:rPr>
            <w:color w:val="0000FF"/>
            <w:u w:val="single"/>
            <w:rtl/>
          </w:rPr>
          <w:t xml:space="preserve">166/22 </w:t>
        </w:r>
      </w:hyperlink>
      <w:r w:rsidR="007076C9">
        <w:rPr>
          <w:rFonts w:ascii="Times New Roman" w:eastAsia="Times New Roman" w:hAnsi="Times New Roman" w:hint="cs"/>
          <w:b/>
          <w:bCs/>
          <w:rtl/>
        </w:rPr>
        <w:t xml:space="preserve"> </w:t>
      </w:r>
      <w:r>
        <w:rPr>
          <w:rFonts w:ascii="Times New Roman" w:eastAsia="Times New Roman" w:hAnsi="Times New Roman" w:hint="cs"/>
          <w:b/>
          <w:bCs/>
          <w:rtl/>
        </w:rPr>
        <w:t xml:space="preserve">טאהא נ' מדינת ישראל </w:t>
      </w:r>
      <w:r>
        <w:rPr>
          <w:rFonts w:ascii="Times New Roman" w:eastAsia="Times New Roman" w:hAnsi="Times New Roman" w:hint="cs"/>
          <w:rtl/>
        </w:rPr>
        <w:t>(1.6.2022) הורשע נאשם צעיר, נעדר עבר פלילי, לאחר שהחזיק לבקשת אחר תת מקלע מאולתר ברכבו, הנשק נמצא בחיפוש שערך שוטר ברכב. נקבע מתחם שנע בין 20-40 חודשי מאסר, בהתחשב בגילו הצעיר ותסקירו החיובי נדון למאסר בן 22 חודשים. ערעורו נדחה;</w:t>
      </w:r>
    </w:p>
    <w:p w14:paraId="21B934D8" w14:textId="77777777" w:rsidR="00775015" w:rsidRDefault="00775015" w:rsidP="00775015">
      <w:pPr>
        <w:pStyle w:val="aa"/>
        <w:spacing w:after="120" w:line="360" w:lineRule="auto"/>
        <w:jc w:val="both"/>
        <w:rPr>
          <w:rFonts w:ascii="Times New Roman" w:eastAsia="Times New Roman" w:hAnsi="Times New Roman"/>
          <w:rtl/>
        </w:rPr>
      </w:pPr>
    </w:p>
    <w:p w14:paraId="592D095A" w14:textId="77777777" w:rsidR="00775015" w:rsidRDefault="00775015" w:rsidP="00775015">
      <w:pPr>
        <w:spacing w:after="160" w:line="360" w:lineRule="auto"/>
        <w:ind w:left="720"/>
        <w:contextualSpacing/>
        <w:jc w:val="both"/>
        <w:rPr>
          <w:rtl/>
        </w:rPr>
      </w:pPr>
      <w:r>
        <w:rPr>
          <w:rFonts w:hint="cs"/>
          <w:rtl/>
        </w:rPr>
        <w:t>ב</w:t>
      </w:r>
      <w:hyperlink r:id="rId23" w:history="1">
        <w:r w:rsidR="003531AE" w:rsidRPr="003531AE">
          <w:rPr>
            <w:color w:val="0000FF"/>
            <w:u w:val="single"/>
            <w:rtl/>
          </w:rPr>
          <w:t>ע"פ 309/22</w:t>
        </w:r>
      </w:hyperlink>
      <w:r>
        <w:rPr>
          <w:rtl/>
        </w:rPr>
        <w:t xml:space="preserve"> </w:t>
      </w:r>
      <w:r>
        <w:rPr>
          <w:rFonts w:hint="cs"/>
          <w:b/>
          <w:bCs/>
          <w:rtl/>
        </w:rPr>
        <w:t>מדינת ישראל נ' ביאדסה</w:t>
      </w:r>
      <w:r>
        <w:rPr>
          <w:rFonts w:hint="cs"/>
          <w:rtl/>
        </w:rPr>
        <w:t xml:space="preserve"> (10.5.2022) החמור מעט מהמקרה שלפנינו,  הורשע נאשם, נעדר עבר פלילי, בעבירות החזקת נשק, נשיאתו והובלתו – רובה מסוג קלצ'ניקוב, מחסנית תואמת ומלאה, אקדח חצי אוטומטי טעון במחסנית תואמת עם 27 כדורים וכדור נוסף בקנה, ומחסנית נוספת. בית המשפט המחוזי קבע מתחם עונשי הנע בין 19 ל-54 חודשי מאסר וגזר על הנאשם 19 מאסר חודשי מאסר בפועל. ערעור המדינה התקבל ועונשו הוחמר ל-30 חודשים;  </w:t>
      </w:r>
    </w:p>
    <w:p w14:paraId="2FCC9518" w14:textId="77777777" w:rsidR="00775015" w:rsidRDefault="00775015" w:rsidP="00775015">
      <w:pPr>
        <w:spacing w:after="160" w:line="360" w:lineRule="auto"/>
        <w:ind w:left="720"/>
        <w:contextualSpacing/>
        <w:jc w:val="both"/>
        <w:rPr>
          <w:rtl/>
        </w:rPr>
      </w:pPr>
    </w:p>
    <w:p w14:paraId="56807390" w14:textId="77777777" w:rsidR="00775015" w:rsidRDefault="00775015" w:rsidP="00775015">
      <w:pPr>
        <w:spacing w:line="360" w:lineRule="auto"/>
        <w:ind w:left="720"/>
        <w:contextualSpacing/>
        <w:jc w:val="both"/>
        <w:rPr>
          <w:rFonts w:ascii="David" w:eastAsia="David" w:hAnsi="David"/>
          <w:rtl/>
        </w:rPr>
      </w:pPr>
      <w:r>
        <w:rPr>
          <w:rFonts w:hint="cs"/>
          <w:rtl/>
        </w:rPr>
        <w:t>ב</w:t>
      </w:r>
      <w:hyperlink r:id="rId24" w:history="1">
        <w:r w:rsidR="003531AE" w:rsidRPr="003531AE">
          <w:rPr>
            <w:color w:val="0000FF"/>
            <w:u w:val="single"/>
            <w:rtl/>
          </w:rPr>
          <w:t>ע"פ 1658/22</w:t>
        </w:r>
      </w:hyperlink>
      <w:r>
        <w:rPr>
          <w:rFonts w:hint="cs"/>
          <w:rtl/>
        </w:rPr>
        <w:t xml:space="preserve"> </w:t>
      </w:r>
      <w:r>
        <w:rPr>
          <w:rFonts w:hint="cs"/>
          <w:b/>
          <w:bCs/>
          <w:rtl/>
        </w:rPr>
        <w:t>נח'אש נ' מדינת ישראל</w:t>
      </w:r>
      <w:r>
        <w:rPr>
          <w:rFonts w:hint="cs"/>
          <w:rtl/>
        </w:rPr>
        <w:t xml:space="preserve"> (19.6.22) הורשע נאשם בעבירת נשיאה החמורה מהמקרה שלפנינו, של נשק מסוג תת מקלע "עוזי" ומחסנית, ונדון למאסר בן 26 חודשים. הנאשם, ללא עבר פלילי, רכש לטענתו את הנשק לשם הגנה עצמית ועבר הליך טיפולי. ערעור נדחה;  </w:t>
      </w:r>
    </w:p>
    <w:p w14:paraId="18DE3DD9" w14:textId="77777777" w:rsidR="00775015" w:rsidRDefault="00775015" w:rsidP="00775015">
      <w:pPr>
        <w:spacing w:line="360" w:lineRule="auto"/>
        <w:ind w:left="720"/>
        <w:contextualSpacing/>
        <w:jc w:val="both"/>
        <w:rPr>
          <w:rtl/>
        </w:rPr>
      </w:pPr>
    </w:p>
    <w:p w14:paraId="20F75BD7" w14:textId="77777777" w:rsidR="00775015" w:rsidRDefault="00775015" w:rsidP="00775015">
      <w:pPr>
        <w:pStyle w:val="aa"/>
        <w:spacing w:after="120" w:line="360" w:lineRule="auto"/>
        <w:jc w:val="both"/>
        <w:rPr>
          <w:rFonts w:ascii="Times New Roman" w:eastAsia="Times New Roman" w:hAnsi="Times New Roman"/>
          <w:rtl/>
        </w:rPr>
      </w:pPr>
      <w:r>
        <w:rPr>
          <w:rFonts w:ascii="Times New Roman" w:eastAsia="Times New Roman" w:hAnsi="Times New Roman" w:hint="cs"/>
          <w:rtl/>
        </w:rPr>
        <w:t>ב</w:t>
      </w:r>
      <w:hyperlink r:id="rId25" w:history="1">
        <w:r w:rsidR="003531AE" w:rsidRPr="003531AE">
          <w:rPr>
            <w:rFonts w:ascii="Times New Roman" w:eastAsia="Times New Roman" w:hAnsi="Times New Roman"/>
            <w:color w:val="0000FF"/>
            <w:u w:val="single"/>
            <w:rtl/>
          </w:rPr>
          <w:t>ע"פ 1826/19</w:t>
        </w:r>
      </w:hyperlink>
      <w:r>
        <w:rPr>
          <w:rFonts w:ascii="Times New Roman" w:eastAsia="Times New Roman" w:hAnsi="Times New Roman" w:hint="cs"/>
          <w:rtl/>
        </w:rPr>
        <w:t xml:space="preserve"> </w:t>
      </w:r>
      <w:r>
        <w:rPr>
          <w:rFonts w:ascii="Times New Roman" w:eastAsia="Times New Roman" w:hAnsi="Times New Roman" w:hint="cs"/>
          <w:b/>
          <w:bCs/>
          <w:rtl/>
        </w:rPr>
        <w:t>אבו עסא נ' מדינת ישראל</w:t>
      </w:r>
      <w:r>
        <w:rPr>
          <w:rFonts w:ascii="Times New Roman" w:eastAsia="Times New Roman" w:hAnsi="Times New Roman" w:hint="cs"/>
          <w:rtl/>
        </w:rPr>
        <w:t xml:space="preserve"> (11.7.2019) נדחה ערעורו של נאשם, שהורשע בהחזקת נשק אוטומטי, בית המשפט קבע מתחם עונשי שנע בין 15-36 חודשי מאסר. על הנאשם, צעיר, ללא עבר בעל סיכויי שיקום, נגזרו 18 חודשי מאסר;</w:t>
      </w:r>
    </w:p>
    <w:p w14:paraId="4C8B0ED0" w14:textId="77777777" w:rsidR="00775015" w:rsidRDefault="00775015" w:rsidP="00775015">
      <w:pPr>
        <w:pStyle w:val="aa"/>
        <w:spacing w:after="160" w:line="360" w:lineRule="auto"/>
        <w:jc w:val="both"/>
        <w:rPr>
          <w:rFonts w:ascii="Times New Roman" w:hAnsi="Times New Roman"/>
        </w:rPr>
      </w:pPr>
    </w:p>
    <w:p w14:paraId="0DC414E3" w14:textId="77777777" w:rsidR="00775015" w:rsidRDefault="00775015" w:rsidP="00775015">
      <w:pPr>
        <w:pStyle w:val="aa"/>
        <w:spacing w:after="160" w:line="360" w:lineRule="auto"/>
        <w:jc w:val="both"/>
        <w:rPr>
          <w:rFonts w:ascii="Arial" w:hAnsi="Arial"/>
          <w:rtl/>
        </w:rPr>
      </w:pPr>
      <w:r>
        <w:rPr>
          <w:rFonts w:ascii="Arial" w:hAnsi="Arial" w:hint="cs"/>
          <w:rtl/>
        </w:rPr>
        <w:t>ב</w:t>
      </w:r>
      <w:hyperlink r:id="rId26" w:history="1">
        <w:r w:rsidR="003531AE" w:rsidRPr="003531AE">
          <w:rPr>
            <w:rFonts w:ascii="Arial" w:hAnsi="Arial"/>
            <w:color w:val="0000FF"/>
            <w:u w:val="single"/>
            <w:rtl/>
          </w:rPr>
          <w:t>ת"פ (מח'-מרכז) 22588-03-22</w:t>
        </w:r>
      </w:hyperlink>
      <w:r>
        <w:rPr>
          <w:rFonts w:ascii="Arial" w:hAnsi="Arial" w:hint="cs"/>
          <w:rtl/>
        </w:rPr>
        <w:t xml:space="preserve"> </w:t>
      </w:r>
      <w:r>
        <w:rPr>
          <w:rFonts w:ascii="Arial" w:hAnsi="Arial" w:hint="cs"/>
          <w:b/>
          <w:bCs/>
          <w:rtl/>
        </w:rPr>
        <w:t xml:space="preserve">מדינת ישראל נ' גבאלי </w:t>
      </w:r>
      <w:r>
        <w:rPr>
          <w:rFonts w:ascii="Arial" w:hAnsi="Arial" w:hint="cs"/>
          <w:rtl/>
        </w:rPr>
        <w:t xml:space="preserve">(גזר דיני מיום 30.4.2023) הורשע הנאשם בעבירת החזקת רובה סער קלאצ'ניקוב ומחסנית תואמת בשטח הסמוך למתחם </w:t>
      </w:r>
      <w:r>
        <w:rPr>
          <w:rFonts w:hint="cs"/>
          <w:rtl/>
        </w:rPr>
        <w:t xml:space="preserve">שבבעלות משפחתו. קבעתי מתחם ענישה הנע בין 30-15 חודשי מאסר. בהתחשב בגילו הצעיר, עברו הנקי ותסקירו החיובי נדון למאסר בן 15 חודשים. לא הוגש ערעור;   </w:t>
      </w:r>
    </w:p>
    <w:p w14:paraId="3661FB58" w14:textId="77777777" w:rsidR="00775015" w:rsidRDefault="00775015" w:rsidP="00775015">
      <w:pPr>
        <w:pStyle w:val="aa"/>
      </w:pPr>
    </w:p>
    <w:p w14:paraId="67F41F41" w14:textId="77777777" w:rsidR="00775015" w:rsidRDefault="00775015" w:rsidP="00775015">
      <w:pPr>
        <w:pStyle w:val="aa"/>
        <w:spacing w:after="160" w:line="360" w:lineRule="auto"/>
        <w:jc w:val="both"/>
        <w:rPr>
          <w:rtl/>
        </w:rPr>
      </w:pPr>
      <w:r w:rsidRPr="00732A4A">
        <w:rPr>
          <w:rFonts w:ascii="Arial" w:hAnsi="Arial" w:hint="cs"/>
          <w:rtl/>
        </w:rPr>
        <w:t>ב</w:t>
      </w:r>
      <w:hyperlink r:id="rId27" w:history="1">
        <w:r w:rsidR="003531AE" w:rsidRPr="003531AE">
          <w:rPr>
            <w:rFonts w:ascii="Arial" w:hAnsi="Arial"/>
            <w:color w:val="0000FF"/>
            <w:u w:val="single"/>
            <w:rtl/>
          </w:rPr>
          <w:t>ת"פ (מח' י-ם) 34694-09-21</w:t>
        </w:r>
      </w:hyperlink>
      <w:r>
        <w:rPr>
          <w:rFonts w:ascii="Arial" w:hAnsi="Arial"/>
          <w:rtl/>
        </w:rPr>
        <w:t xml:space="preserve"> </w:t>
      </w:r>
      <w:r>
        <w:rPr>
          <w:rFonts w:ascii="Arial" w:hAnsi="Arial" w:hint="cs"/>
          <w:b/>
          <w:bCs/>
          <w:rtl/>
        </w:rPr>
        <w:t>מדינת ישראל נ' זהרה</w:t>
      </w:r>
      <w:r>
        <w:rPr>
          <w:rFonts w:ascii="Arial" w:hAnsi="Arial" w:hint="cs"/>
          <w:rtl/>
        </w:rPr>
        <w:t xml:space="preserve"> (26.4.2022) הורשע נאשם בעבירות חמורות יותר מענייננו, נשיאת תת מקלע מאולתר, ברכבו של חברו, מוסתר בקופסת נעליים. השניים נסעו ברכב כשבכוונתם להוביל את הנשק לשטח מדינת ישראל. נקבע מתחם ענישה הנע בין 24-12 חודשי מאסר בפועל. </w:t>
      </w:r>
      <w:r>
        <w:rPr>
          <w:rFonts w:hint="cs"/>
          <w:rtl/>
        </w:rPr>
        <w:t xml:space="preserve">הנאשם, צעיר סטודנט לחשבונאות, בן למשפחה טובה, בעל עבר מינורי, בתסקירו נטל אחריות חלקית, נדון למאסר בן 15 חודשים. לא הוגש ערעור; </w:t>
      </w:r>
    </w:p>
    <w:p w14:paraId="1B5FFAF9" w14:textId="77777777" w:rsidR="00775015" w:rsidRDefault="00775015" w:rsidP="00775015">
      <w:pPr>
        <w:pStyle w:val="aa"/>
        <w:spacing w:after="160" w:line="360" w:lineRule="auto"/>
        <w:jc w:val="both"/>
        <w:rPr>
          <w:rtl/>
        </w:rPr>
      </w:pPr>
    </w:p>
    <w:p w14:paraId="4C2BEDAF" w14:textId="77777777" w:rsidR="00775015" w:rsidRDefault="00775015" w:rsidP="00775015">
      <w:pPr>
        <w:pStyle w:val="aa"/>
        <w:numPr>
          <w:ilvl w:val="0"/>
          <w:numId w:val="1"/>
        </w:numPr>
        <w:spacing w:after="120" w:line="360" w:lineRule="auto"/>
        <w:jc w:val="both"/>
        <w:rPr>
          <w:rtl/>
        </w:rPr>
      </w:pPr>
      <w:r>
        <w:rPr>
          <w:rFonts w:hint="cs"/>
          <w:rtl/>
        </w:rPr>
        <w:t>עיינתי באסופת הפסיקה שהגישה ההגנה, ברובה נדונו נאשמים שהורשעו בעבירה של החזקת נשק, לרב אקדח, במתחם ביתם (</w:t>
      </w:r>
      <w:hyperlink r:id="rId28" w:history="1">
        <w:r w:rsidR="003531AE" w:rsidRPr="003531AE">
          <w:rPr>
            <w:color w:val="0000FF"/>
            <w:u w:val="single"/>
            <w:rtl/>
          </w:rPr>
          <w:t>ת"פ (מח' מרכז) 42197-05-22</w:t>
        </w:r>
      </w:hyperlink>
      <w:r>
        <w:rPr>
          <w:rFonts w:hint="cs"/>
          <w:rtl/>
        </w:rPr>
        <w:t xml:space="preserve"> </w:t>
      </w:r>
      <w:r>
        <w:rPr>
          <w:rFonts w:hint="cs"/>
          <w:b/>
          <w:bCs/>
          <w:rtl/>
        </w:rPr>
        <w:t xml:space="preserve">מדינת ישראל נ' אטון </w:t>
      </w:r>
      <w:r>
        <w:rPr>
          <w:rFonts w:hint="cs"/>
          <w:rtl/>
        </w:rPr>
        <w:t xml:space="preserve">(גזר דיני מיום 15.9.2022);  </w:t>
      </w:r>
      <w:hyperlink r:id="rId29" w:history="1">
        <w:r w:rsidR="003531AE" w:rsidRPr="003531AE">
          <w:rPr>
            <w:color w:val="0000FF"/>
            <w:u w:val="single"/>
            <w:rtl/>
          </w:rPr>
          <w:t>עפ"ג 32402-12-22</w:t>
        </w:r>
      </w:hyperlink>
      <w:r>
        <w:rPr>
          <w:rFonts w:hint="cs"/>
          <w:rtl/>
        </w:rPr>
        <w:t xml:space="preserve"> </w:t>
      </w:r>
      <w:r>
        <w:rPr>
          <w:rFonts w:hint="cs"/>
          <w:b/>
          <w:bCs/>
          <w:rtl/>
        </w:rPr>
        <w:t xml:space="preserve">מדינת ישראל נ' ג'בארין </w:t>
      </w:r>
      <w:r>
        <w:rPr>
          <w:rFonts w:hint="cs"/>
          <w:rtl/>
        </w:rPr>
        <w:t xml:space="preserve">(9.3.23) </w:t>
      </w:r>
      <w:hyperlink r:id="rId30" w:history="1">
        <w:r w:rsidR="003531AE" w:rsidRPr="003531AE">
          <w:rPr>
            <w:color w:val="0000FF"/>
            <w:u w:val="single"/>
            <w:rtl/>
          </w:rPr>
          <w:t>ת"פ (מח' מרכז) 42106-01-22</w:t>
        </w:r>
      </w:hyperlink>
      <w:r>
        <w:rPr>
          <w:rFonts w:hint="cs"/>
          <w:rtl/>
        </w:rPr>
        <w:t xml:space="preserve"> </w:t>
      </w:r>
      <w:r>
        <w:rPr>
          <w:rFonts w:hint="cs"/>
          <w:b/>
          <w:bCs/>
          <w:rtl/>
        </w:rPr>
        <w:t xml:space="preserve">מדינת ישראל נ' וחידי </w:t>
      </w:r>
      <w:r>
        <w:rPr>
          <w:rFonts w:hint="cs"/>
          <w:rtl/>
        </w:rPr>
        <w:t xml:space="preserve">(גזר דיני מיום 13.2.2023)).  </w:t>
      </w:r>
    </w:p>
    <w:p w14:paraId="4C4A3A80" w14:textId="77777777" w:rsidR="00775015" w:rsidRDefault="00775015" w:rsidP="00775015">
      <w:pPr>
        <w:pStyle w:val="aa"/>
        <w:spacing w:after="120" w:line="360" w:lineRule="auto"/>
        <w:jc w:val="both"/>
        <w:rPr>
          <w:rtl/>
        </w:rPr>
      </w:pPr>
    </w:p>
    <w:p w14:paraId="56B317DE" w14:textId="77777777" w:rsidR="00775015" w:rsidRDefault="00775015" w:rsidP="00775015">
      <w:pPr>
        <w:pStyle w:val="aa"/>
        <w:numPr>
          <w:ilvl w:val="0"/>
          <w:numId w:val="1"/>
        </w:numPr>
        <w:spacing w:after="160" w:line="360" w:lineRule="auto"/>
        <w:jc w:val="both"/>
        <w:rPr>
          <w:rtl/>
        </w:rPr>
      </w:pPr>
      <w:r>
        <w:rPr>
          <w:rFonts w:hint="cs"/>
          <w:rtl/>
        </w:rPr>
        <w:t xml:space="preserve">לאחר שבחנתי את נסיבות ביצוע העבירה, מדיניות הענישה הנוהגת ומידת הפגיעה בערכים המוגנים, אני קובעת מתחם ענישה שנע </w:t>
      </w:r>
      <w:r>
        <w:rPr>
          <w:rFonts w:hint="cs"/>
          <w:b/>
          <w:bCs/>
          <w:rtl/>
        </w:rPr>
        <w:t>בין 20-40 חודשי מאסר</w:t>
      </w:r>
      <w:r>
        <w:rPr>
          <w:rFonts w:hint="cs"/>
          <w:rtl/>
        </w:rPr>
        <w:t xml:space="preserve"> </w:t>
      </w:r>
      <w:r>
        <w:rPr>
          <w:rFonts w:hint="cs"/>
          <w:b/>
          <w:bCs/>
          <w:rtl/>
        </w:rPr>
        <w:t>בפועל</w:t>
      </w:r>
      <w:r>
        <w:rPr>
          <w:rFonts w:hint="cs"/>
          <w:rtl/>
        </w:rPr>
        <w:t xml:space="preserve">. </w:t>
      </w:r>
    </w:p>
    <w:p w14:paraId="2FA7718C" w14:textId="77777777" w:rsidR="00775015" w:rsidRDefault="00775015" w:rsidP="00775015">
      <w:pPr>
        <w:spacing w:after="120" w:line="360" w:lineRule="auto"/>
        <w:ind w:left="360"/>
        <w:contextualSpacing/>
        <w:jc w:val="both"/>
      </w:pPr>
    </w:p>
    <w:p w14:paraId="45BBCFCA" w14:textId="77777777" w:rsidR="00775015" w:rsidRDefault="00775015" w:rsidP="00775015">
      <w:pPr>
        <w:spacing w:after="120" w:line="360" w:lineRule="auto"/>
        <w:ind w:left="360"/>
        <w:contextualSpacing/>
        <w:jc w:val="both"/>
        <w:rPr>
          <w:b/>
          <w:bCs/>
          <w:u w:val="single"/>
          <w:rtl/>
        </w:rPr>
      </w:pPr>
      <w:r>
        <w:rPr>
          <w:rFonts w:hint="cs"/>
          <w:b/>
          <w:bCs/>
          <w:u w:val="single"/>
          <w:rtl/>
        </w:rPr>
        <w:t>גזירת העונש המתאים לנאשם</w:t>
      </w:r>
    </w:p>
    <w:p w14:paraId="511F609B" w14:textId="77777777" w:rsidR="00775015" w:rsidRDefault="00775015" w:rsidP="00775015">
      <w:pPr>
        <w:pStyle w:val="aa"/>
        <w:numPr>
          <w:ilvl w:val="0"/>
          <w:numId w:val="1"/>
        </w:numPr>
        <w:spacing w:line="360" w:lineRule="auto"/>
        <w:jc w:val="both"/>
        <w:rPr>
          <w:rtl/>
        </w:rPr>
      </w:pPr>
      <w:r>
        <w:rPr>
          <w:rFonts w:hint="cs"/>
          <w:rtl/>
        </w:rPr>
        <w:t xml:space="preserve">ההגנה מבקשת לאמץ את המלצת שירות המבחן ולהסתפק בענישת מאסר בדרך של עבודות שירות, בחריגה לקולא ממתחם הענישה מטעמי שיקום. </w:t>
      </w:r>
      <w:r>
        <w:rPr>
          <w:rFonts w:hint="cs"/>
          <w:b/>
          <w:bCs/>
          <w:rtl/>
        </w:rPr>
        <w:t>לאחר שבחנתי את כלל השיקולים, חומרת מעשיו של הנאשם ומדיניות הפסיקה ומנגד את נסיבות הנאשם, הליך טיפולי משמעותי שעבר והפחתה מסוימת ברמת מסוכנותו, מצאתי שיש מקום לחריגה קלה ממתחם הענישה מטעמי שיקום אך אין מדובר במקרה חריג ויוצא דופן המאפשר להימנע מהטלת מאסר ממש.</w:t>
      </w:r>
      <w:r>
        <w:rPr>
          <w:rFonts w:hint="cs"/>
          <w:rtl/>
        </w:rPr>
        <w:t xml:space="preserve"> </w:t>
      </w:r>
    </w:p>
    <w:p w14:paraId="3BCA0D8D" w14:textId="77777777" w:rsidR="00775015" w:rsidRDefault="00775015" w:rsidP="00775015">
      <w:pPr>
        <w:pStyle w:val="aa"/>
        <w:spacing w:line="360" w:lineRule="auto"/>
        <w:jc w:val="both"/>
      </w:pPr>
    </w:p>
    <w:p w14:paraId="51769BA2" w14:textId="77777777" w:rsidR="00775015" w:rsidRDefault="00775015" w:rsidP="00775015">
      <w:pPr>
        <w:pStyle w:val="aa"/>
        <w:numPr>
          <w:ilvl w:val="0"/>
          <w:numId w:val="1"/>
        </w:numPr>
        <w:spacing w:line="360" w:lineRule="auto"/>
        <w:jc w:val="both"/>
      </w:pPr>
      <w:r>
        <w:rPr>
          <w:rFonts w:hint="cs"/>
          <w:rtl/>
        </w:rPr>
        <w:t xml:space="preserve">הנאשם, כיום בן 30, לחובתו בעברו הרחוק כקטין, רישום פלילי בעבירות סמים ואלימות. הנאשם גדל בנסיבות חיים מורכבות וקשות, ונראה שעשה מאמצים רבים לנהל אורח חיים תקין ולהימנע ממעורבות פלילית. עוד מתמודד מזה שנים ארוכות עם השלכות פגיעת ראש מילדותו, בגינה מטופל בקנאביס רפואי (הוצגו מסמכים רפואיים נ/1). מגיל 15 עובד באופן רציף, כיום עובד כמאמן כדורגל. </w:t>
      </w:r>
    </w:p>
    <w:p w14:paraId="4E3D85A5" w14:textId="77777777" w:rsidR="00775015" w:rsidRDefault="00775015" w:rsidP="00775015">
      <w:pPr>
        <w:pStyle w:val="aa"/>
        <w:spacing w:line="360" w:lineRule="auto"/>
        <w:jc w:val="both"/>
      </w:pPr>
    </w:p>
    <w:p w14:paraId="293CE515" w14:textId="77777777" w:rsidR="00775015" w:rsidRDefault="00775015" w:rsidP="00775015">
      <w:pPr>
        <w:pStyle w:val="aa"/>
        <w:numPr>
          <w:ilvl w:val="0"/>
          <w:numId w:val="1"/>
        </w:numPr>
        <w:spacing w:line="360" w:lineRule="auto"/>
        <w:jc w:val="both"/>
      </w:pPr>
      <w:r>
        <w:rPr>
          <w:rFonts w:hint="cs"/>
          <w:rtl/>
        </w:rPr>
        <w:t xml:space="preserve">הנאשם התקשה לשתף את גורמי הטיפול ברקע לביצוע העבירות אך כאמור נראה כי היה מעורב בחברה שולית וקשר קשרים עם גורמים עברייניים. הנאשם היה עצור תקופה של כשלושה חודשים, ניכר כי המעצר וההליך המשפטי גרמו לו לטלטלה, הנאשם עזב את מקום מגוריו והתרחק מהחברה שסבבה אותו. במסגרת צו פיקוח מעצרים השתתף בקבוצה לעצורי בית ומדיווח גורמי הטיפול עולה כי היה למשתתף דומיננטי ואהוד. עם זאת, וחרף השינוי החיובי שערך, שירות המבחן העריך את רמת מסוכנותו כבינונית. ללמדנו כי דרכו הטיפולית אך בראשיתה.     </w:t>
      </w:r>
    </w:p>
    <w:p w14:paraId="202D1DD0" w14:textId="77777777" w:rsidR="00775015" w:rsidRDefault="00775015" w:rsidP="00775015">
      <w:pPr>
        <w:pStyle w:val="aa"/>
        <w:numPr>
          <w:ilvl w:val="0"/>
          <w:numId w:val="1"/>
        </w:numPr>
        <w:spacing w:line="360" w:lineRule="auto"/>
        <w:jc w:val="both"/>
        <w:rPr>
          <w:rtl/>
        </w:rPr>
      </w:pPr>
      <w:r>
        <w:rPr>
          <w:rFonts w:hint="cs"/>
          <w:rtl/>
        </w:rPr>
        <w:t>נוכח מדיניות הענישה המחמירה בעבירות נשק ומתן משקל עודף לשיקולי הרתעה, התמעטו מאד המקרים שבהם ביכר בית המשפט את שיקום הנאשם על פני שיקולי ענישה, והסתפק בענישה בדרך של עבודות שירות. על פי רב מדובר במקרים חריגים ומיוחדים שמקרה זה אינו נופל בגדרם (</w:t>
      </w:r>
      <w:hyperlink r:id="rId31" w:history="1">
        <w:r w:rsidR="003531AE" w:rsidRPr="003531AE">
          <w:rPr>
            <w:color w:val="0000FF"/>
            <w:u w:val="single"/>
            <w:rtl/>
          </w:rPr>
          <w:t>ע"פ 6332/22</w:t>
        </w:r>
      </w:hyperlink>
      <w:r>
        <w:rPr>
          <w:rFonts w:hint="cs"/>
          <w:rtl/>
        </w:rPr>
        <w:t xml:space="preserve"> </w:t>
      </w:r>
      <w:r>
        <w:rPr>
          <w:rFonts w:hint="cs"/>
          <w:b/>
          <w:bCs/>
          <w:rtl/>
        </w:rPr>
        <w:t xml:space="preserve">פדידה נ' מדינת ישראל </w:t>
      </w:r>
      <w:r>
        <w:rPr>
          <w:rFonts w:hint="cs"/>
          <w:rtl/>
        </w:rPr>
        <w:t xml:space="preserve">(16.2.2023); </w:t>
      </w:r>
      <w:hyperlink r:id="rId32" w:history="1">
        <w:r w:rsidR="003531AE" w:rsidRPr="003531AE">
          <w:rPr>
            <w:color w:val="0000FF"/>
            <w:u w:val="single"/>
            <w:rtl/>
          </w:rPr>
          <w:t>ע"פ 5807/20</w:t>
        </w:r>
      </w:hyperlink>
      <w:r>
        <w:rPr>
          <w:rFonts w:hint="cs"/>
          <w:rtl/>
        </w:rPr>
        <w:t xml:space="preserve"> </w:t>
      </w:r>
      <w:r>
        <w:rPr>
          <w:rFonts w:hint="cs"/>
          <w:b/>
          <w:bCs/>
          <w:rtl/>
        </w:rPr>
        <w:t>שיבלי נ' מדינת ישראל</w:t>
      </w:r>
      <w:r>
        <w:rPr>
          <w:rFonts w:hint="cs"/>
          <w:rtl/>
        </w:rPr>
        <w:t xml:space="preserve"> (30.12.2020); </w:t>
      </w:r>
      <w:hyperlink r:id="rId33" w:history="1">
        <w:r w:rsidR="003531AE" w:rsidRPr="003531AE">
          <w:rPr>
            <w:color w:val="0000FF"/>
            <w:u w:val="single"/>
            <w:rtl/>
          </w:rPr>
          <w:t>ע"פ 4332/21</w:t>
        </w:r>
      </w:hyperlink>
      <w:r>
        <w:rPr>
          <w:rFonts w:hint="cs"/>
          <w:rtl/>
        </w:rPr>
        <w:t xml:space="preserve"> </w:t>
      </w:r>
      <w:r>
        <w:rPr>
          <w:rFonts w:hint="cs"/>
          <w:b/>
          <w:bCs/>
          <w:rtl/>
        </w:rPr>
        <w:t>עאסלה נ' מדינת ישראל</w:t>
      </w:r>
      <w:r>
        <w:rPr>
          <w:rFonts w:hint="cs"/>
          <w:rtl/>
        </w:rPr>
        <w:t xml:space="preserve"> (20.2.2022). סיכומם של דברים, לא שוכנעתי מקיומן של נסיבות מיוחדות המאפשרות להטיל על הנאשם ענישה חריגה של מאסר בדרך של עבודות שירות.</w:t>
      </w:r>
    </w:p>
    <w:p w14:paraId="7DDD7D77" w14:textId="77777777" w:rsidR="00775015" w:rsidRDefault="00775015" w:rsidP="00775015">
      <w:pPr>
        <w:pStyle w:val="aa"/>
        <w:spacing w:after="160" w:line="360" w:lineRule="auto"/>
        <w:jc w:val="both"/>
      </w:pPr>
    </w:p>
    <w:p w14:paraId="35233452" w14:textId="77777777" w:rsidR="00775015" w:rsidRDefault="00775015" w:rsidP="00775015">
      <w:pPr>
        <w:pStyle w:val="aa"/>
        <w:numPr>
          <w:ilvl w:val="0"/>
          <w:numId w:val="1"/>
        </w:numPr>
        <w:spacing w:after="160" w:line="360" w:lineRule="auto"/>
        <w:jc w:val="both"/>
      </w:pPr>
      <w:r>
        <w:rPr>
          <w:rFonts w:hint="cs"/>
          <w:rtl/>
        </w:rPr>
        <w:t xml:space="preserve">לפיכך לאחר ששקלתי את כלל השיקולים, מצאתי לסטות סטייה מסוימת ממתחם הענישה לקולא, כדי לדרבן את הנאשם ולעודדו להמשיך בדרכו החיובית.  </w:t>
      </w:r>
    </w:p>
    <w:p w14:paraId="229AEB75" w14:textId="77777777" w:rsidR="00775015" w:rsidRDefault="00775015" w:rsidP="00775015">
      <w:pPr>
        <w:spacing w:line="360" w:lineRule="auto"/>
        <w:jc w:val="both"/>
        <w:rPr>
          <w:rtl/>
        </w:rPr>
      </w:pPr>
      <w:r>
        <w:rPr>
          <w:rFonts w:hint="cs"/>
          <w:b/>
          <w:bCs/>
          <w:u w:val="single"/>
          <w:rtl/>
        </w:rPr>
        <w:t>סוף דבר</w:t>
      </w:r>
    </w:p>
    <w:p w14:paraId="2C47ADCA" w14:textId="77777777" w:rsidR="00775015" w:rsidRDefault="00775015" w:rsidP="00775015">
      <w:pPr>
        <w:pStyle w:val="aa"/>
        <w:numPr>
          <w:ilvl w:val="0"/>
          <w:numId w:val="1"/>
        </w:numPr>
        <w:spacing w:after="160" w:line="360" w:lineRule="auto"/>
        <w:jc w:val="both"/>
        <w:rPr>
          <w:b/>
          <w:bCs/>
          <w:rtl/>
        </w:rPr>
      </w:pPr>
      <w:r>
        <w:rPr>
          <w:rFonts w:hint="cs"/>
          <w:b/>
          <w:bCs/>
          <w:rtl/>
        </w:rPr>
        <w:t>אני גוזרת, אפוא, על הנאשם את העונשים הבאים:</w:t>
      </w:r>
    </w:p>
    <w:p w14:paraId="54E2E065" w14:textId="77777777" w:rsidR="00775015" w:rsidRDefault="00775015" w:rsidP="00775015">
      <w:pPr>
        <w:pStyle w:val="aa"/>
      </w:pPr>
    </w:p>
    <w:p w14:paraId="1EC75D82" w14:textId="77777777" w:rsidR="00775015" w:rsidRDefault="00775015" w:rsidP="00775015">
      <w:pPr>
        <w:pStyle w:val="aa"/>
        <w:numPr>
          <w:ilvl w:val="0"/>
          <w:numId w:val="2"/>
        </w:numPr>
        <w:spacing w:line="360" w:lineRule="auto"/>
        <w:jc w:val="both"/>
        <w:rPr>
          <w:rtl/>
        </w:rPr>
      </w:pPr>
      <w:r>
        <w:rPr>
          <w:rFonts w:hint="cs"/>
          <w:b/>
          <w:bCs/>
          <w:rtl/>
        </w:rPr>
        <w:t>16 חודשי מאסר</w:t>
      </w:r>
      <w:r>
        <w:rPr>
          <w:rFonts w:hint="cs"/>
          <w:rtl/>
        </w:rPr>
        <w:t xml:space="preserve"> בניכוי ימי מעצרו 20.10.21-20.1.22.  </w:t>
      </w:r>
    </w:p>
    <w:p w14:paraId="615AFD65" w14:textId="77777777" w:rsidR="00775015" w:rsidRDefault="00775015" w:rsidP="00775015">
      <w:pPr>
        <w:pStyle w:val="aa"/>
        <w:numPr>
          <w:ilvl w:val="0"/>
          <w:numId w:val="2"/>
        </w:numPr>
        <w:spacing w:after="160" w:line="360" w:lineRule="auto"/>
        <w:jc w:val="both"/>
      </w:pPr>
      <w:r>
        <w:rPr>
          <w:rFonts w:hint="cs"/>
          <w:rtl/>
        </w:rPr>
        <w:t xml:space="preserve">מאסר על תנאי בן 10 חודשים לבל יעבור הנאשם עבירת נשק תוך 3 שנים מיום שחרורו ממאסר. </w:t>
      </w:r>
    </w:p>
    <w:p w14:paraId="7AB7FC3B" w14:textId="77777777" w:rsidR="00775015" w:rsidRDefault="00775015" w:rsidP="00775015">
      <w:pPr>
        <w:pStyle w:val="aa"/>
        <w:numPr>
          <w:ilvl w:val="0"/>
          <w:numId w:val="2"/>
        </w:numPr>
        <w:spacing w:after="160" w:line="360" w:lineRule="auto"/>
        <w:jc w:val="both"/>
      </w:pPr>
      <w:r>
        <w:rPr>
          <w:rFonts w:hint="cs"/>
          <w:rtl/>
        </w:rPr>
        <w:t>קנס בסך 6,000 ₪ או 40 ימי מאסר. הקנס ישולם בארבעה תשלומים החל מיום 6.8.23.</w:t>
      </w:r>
    </w:p>
    <w:p w14:paraId="7F545CE4" w14:textId="77777777" w:rsidR="00775015" w:rsidRDefault="00775015" w:rsidP="00775015">
      <w:pPr>
        <w:pStyle w:val="aa"/>
        <w:numPr>
          <w:ilvl w:val="0"/>
          <w:numId w:val="2"/>
        </w:numPr>
        <w:spacing w:after="160" w:line="360" w:lineRule="auto"/>
        <w:jc w:val="both"/>
      </w:pPr>
      <w:r>
        <w:rPr>
          <w:rFonts w:hint="cs"/>
          <w:rtl/>
        </w:rPr>
        <w:t>הנאשם יתייצב לריצוי מאסרו ביום 3.9.23 עד השעה 10:00 בבימ"ר "הדרים". לצורך הבטחת התייצבותו תעמודנה הערבויות שהופקדו בהליך המעצר. לאחר תחילת ריצוי המאסר, יושבו למפקיד. צו עיכוב יציאה מהארץ יוותר על כנו</w:t>
      </w:r>
    </w:p>
    <w:p w14:paraId="627C8199" w14:textId="77777777" w:rsidR="00775015" w:rsidRDefault="00775015" w:rsidP="00775015">
      <w:pPr>
        <w:pStyle w:val="aa"/>
      </w:pPr>
    </w:p>
    <w:p w14:paraId="5D84C4A4" w14:textId="77777777" w:rsidR="00775015" w:rsidRDefault="00775015" w:rsidP="00775015">
      <w:pPr>
        <w:spacing w:line="360" w:lineRule="auto"/>
        <w:ind w:left="360"/>
        <w:jc w:val="both"/>
        <w:rPr>
          <w:b/>
          <w:bCs/>
          <w:rtl/>
        </w:rPr>
      </w:pPr>
    </w:p>
    <w:p w14:paraId="49789D4C" w14:textId="77777777" w:rsidR="00775015" w:rsidRDefault="00775015" w:rsidP="00775015">
      <w:pPr>
        <w:spacing w:line="360" w:lineRule="auto"/>
        <w:jc w:val="both"/>
        <w:rPr>
          <w:b/>
          <w:bCs/>
          <w:rtl/>
        </w:rPr>
      </w:pPr>
      <w:r>
        <w:rPr>
          <w:rFonts w:hint="cs"/>
          <w:b/>
          <w:bCs/>
          <w:rtl/>
        </w:rPr>
        <w:t xml:space="preserve">צו כללי למוצגים. נשק ותחמושת – להשמדה </w:t>
      </w:r>
    </w:p>
    <w:p w14:paraId="33373EA8" w14:textId="77777777" w:rsidR="00775015" w:rsidRDefault="00775015" w:rsidP="00775015">
      <w:pPr>
        <w:spacing w:line="360" w:lineRule="auto"/>
        <w:jc w:val="both"/>
        <w:rPr>
          <w:b/>
          <w:bCs/>
          <w:rtl/>
        </w:rPr>
      </w:pPr>
      <w:r>
        <w:rPr>
          <w:rFonts w:hint="cs"/>
          <w:b/>
          <w:bCs/>
          <w:rtl/>
        </w:rPr>
        <w:t>זכות ערעור לבית המשפט העליון תוך 45 יום.</w:t>
      </w:r>
    </w:p>
    <w:p w14:paraId="696B88E6" w14:textId="77777777" w:rsidR="00775015" w:rsidRDefault="00775015" w:rsidP="00775015">
      <w:pPr>
        <w:pStyle w:val="aa"/>
        <w:spacing w:line="360" w:lineRule="auto"/>
        <w:ind w:left="1080"/>
        <w:jc w:val="both"/>
      </w:pPr>
    </w:p>
    <w:p w14:paraId="5D6FBF89" w14:textId="77777777" w:rsidR="00775015" w:rsidRDefault="00775015" w:rsidP="00775015">
      <w:pPr>
        <w:pStyle w:val="Ruller40"/>
        <w:textAlignment w:val="baseline"/>
        <w:rPr>
          <w:rFonts w:ascii="Times New Roman" w:hAnsi="Times New Roman" w:cs="David"/>
          <w:spacing w:val="0"/>
          <w:sz w:val="24"/>
          <w:szCs w:val="24"/>
        </w:rPr>
      </w:pPr>
    </w:p>
    <w:p w14:paraId="2313DEC3" w14:textId="77777777" w:rsidR="00775015" w:rsidRPr="00F91654" w:rsidRDefault="00775015" w:rsidP="00775015">
      <w:pPr>
        <w:rPr>
          <w:rFonts w:ascii="Arial" w:hAnsi="Arial"/>
          <w:b/>
          <w:bCs/>
          <w:sz w:val="26"/>
          <w:szCs w:val="26"/>
          <w:rtl/>
        </w:rPr>
      </w:pPr>
    </w:p>
    <w:p w14:paraId="4C559935" w14:textId="77777777" w:rsidR="00775015" w:rsidRDefault="00775015" w:rsidP="00775015">
      <w:pPr>
        <w:rPr>
          <w:rFonts w:ascii="Arial" w:hAnsi="Arial"/>
          <w:b/>
          <w:bCs/>
          <w:sz w:val="26"/>
          <w:szCs w:val="26"/>
          <w:rtl/>
        </w:rPr>
      </w:pPr>
    </w:p>
    <w:p w14:paraId="0AE37334" w14:textId="77777777" w:rsidR="00775015" w:rsidRPr="003531AE" w:rsidRDefault="003531AE" w:rsidP="00775015">
      <w:pPr>
        <w:rPr>
          <w:rFonts w:ascii="Arial" w:hAnsi="Arial"/>
          <w:b/>
          <w:bCs/>
          <w:color w:val="FFFFFF"/>
          <w:sz w:val="2"/>
          <w:szCs w:val="2"/>
          <w:rtl/>
        </w:rPr>
      </w:pPr>
      <w:r w:rsidRPr="003531AE">
        <w:rPr>
          <w:rFonts w:ascii="Arial" w:hAnsi="Arial"/>
          <w:b/>
          <w:bCs/>
          <w:color w:val="FFFFFF"/>
          <w:sz w:val="2"/>
          <w:szCs w:val="2"/>
          <w:rtl/>
        </w:rPr>
        <w:t>5129371</w:t>
      </w:r>
    </w:p>
    <w:p w14:paraId="52C74969" w14:textId="77777777" w:rsidR="00775015" w:rsidRPr="003531AE" w:rsidRDefault="003531AE" w:rsidP="00775015">
      <w:pPr>
        <w:rPr>
          <w:rFonts w:ascii="Arial" w:hAnsi="Arial"/>
          <w:b/>
          <w:bCs/>
          <w:color w:val="FFFFFF"/>
          <w:sz w:val="2"/>
          <w:szCs w:val="2"/>
          <w:rtl/>
        </w:rPr>
      </w:pPr>
      <w:r w:rsidRPr="003531AE">
        <w:rPr>
          <w:rFonts w:ascii="Arial" w:hAnsi="Arial"/>
          <w:b/>
          <w:bCs/>
          <w:color w:val="FFFFFF"/>
          <w:sz w:val="2"/>
          <w:szCs w:val="2"/>
          <w:rtl/>
        </w:rPr>
        <w:t>54678313</w:t>
      </w:r>
    </w:p>
    <w:p w14:paraId="425831D6" w14:textId="77777777" w:rsidR="00775015" w:rsidRPr="000F2247" w:rsidRDefault="00775015" w:rsidP="00775015">
      <w:pPr>
        <w:rPr>
          <w:rFonts w:ascii="Arial" w:hAnsi="Arial"/>
          <w:b/>
          <w:bCs/>
          <w:sz w:val="26"/>
          <w:szCs w:val="26"/>
          <w:rtl/>
        </w:rPr>
      </w:pPr>
    </w:p>
    <w:p w14:paraId="4C7CBFC6" w14:textId="77777777" w:rsidR="00775015" w:rsidRPr="000F2247" w:rsidRDefault="003531AE" w:rsidP="00775015">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כ"ג סיוון תשפ"ג, 12 יוני 2023, במעמד הצדדים. </w:t>
      </w:r>
      <w:bookmarkEnd w:id="8"/>
      <w:r w:rsidR="00775015">
        <w:rPr>
          <w:rFonts w:ascii="Arial" w:hAnsi="Arial"/>
          <w:b/>
          <w:bCs/>
          <w:sz w:val="26"/>
          <w:szCs w:val="26"/>
          <w:rtl/>
        </w:rPr>
        <w:tab/>
      </w:r>
      <w:r w:rsidR="00775015">
        <w:rPr>
          <w:rFonts w:ascii="Arial" w:hAnsi="Arial"/>
          <w:b/>
          <w:bCs/>
          <w:sz w:val="26"/>
          <w:szCs w:val="26"/>
          <w:rtl/>
        </w:rPr>
        <w:tab/>
      </w:r>
      <w:r w:rsidR="00775015">
        <w:rPr>
          <w:rFonts w:ascii="Arial" w:hAnsi="Arial"/>
          <w:b/>
          <w:bCs/>
          <w:sz w:val="26"/>
          <w:szCs w:val="26"/>
          <w:rtl/>
        </w:rPr>
        <w:tab/>
      </w:r>
      <w:r w:rsidR="00775015">
        <w:rPr>
          <w:rFonts w:ascii="Arial" w:hAnsi="Arial"/>
          <w:b/>
          <w:bCs/>
          <w:sz w:val="26"/>
          <w:szCs w:val="26"/>
          <w:rtl/>
        </w:rPr>
        <w:tab/>
      </w:r>
      <w:r w:rsidR="00775015">
        <w:rPr>
          <w:rFonts w:ascii="Arial" w:hAnsi="Arial"/>
          <w:b/>
          <w:bCs/>
          <w:sz w:val="26"/>
          <w:szCs w:val="26"/>
          <w:rtl/>
        </w:rPr>
        <w:tab/>
      </w:r>
      <w:r w:rsidR="00775015">
        <w:rPr>
          <w:rFonts w:ascii="Arial" w:hAnsi="Arial"/>
          <w:b/>
          <w:bCs/>
          <w:sz w:val="26"/>
          <w:szCs w:val="26"/>
          <w:rtl/>
        </w:rPr>
        <w:tab/>
      </w:r>
      <w:r w:rsidR="00775015">
        <w:rPr>
          <w:rFonts w:ascii="Arial" w:hAnsi="Arial"/>
          <w:b/>
          <w:bCs/>
          <w:sz w:val="26"/>
          <w:szCs w:val="26"/>
          <w:rtl/>
        </w:rPr>
        <w:tab/>
      </w:r>
      <w:r w:rsidR="00775015">
        <w:rPr>
          <w:rFonts w:ascii="Arial" w:hAnsi="Arial" w:hint="cs"/>
          <w:b/>
          <w:bCs/>
          <w:sz w:val="26"/>
          <w:szCs w:val="26"/>
          <w:rtl/>
        </w:rPr>
        <w:t xml:space="preserve">         </w:t>
      </w:r>
    </w:p>
    <w:p w14:paraId="68D5F162" w14:textId="77777777" w:rsidR="00775015" w:rsidRPr="000F2247" w:rsidRDefault="00775015" w:rsidP="003531AE">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729A305D" w14:textId="77777777" w:rsidR="00775015" w:rsidRPr="00930F6E" w:rsidRDefault="00930F6E" w:rsidP="00775015">
      <w:pPr>
        <w:jc w:val="center"/>
        <w:rPr>
          <w:rFonts w:ascii="Arial" w:hAnsi="Arial"/>
          <w:b/>
          <w:bCs/>
          <w:color w:val="FFFFFF"/>
          <w:sz w:val="2"/>
          <w:szCs w:val="2"/>
          <w:rtl/>
        </w:rPr>
      </w:pPr>
      <w:r w:rsidRPr="00930F6E">
        <w:rPr>
          <w:rFonts w:ascii="Arial" w:hAnsi="Arial"/>
          <w:b/>
          <w:bCs/>
          <w:color w:val="FFFFFF"/>
          <w:sz w:val="2"/>
          <w:szCs w:val="2"/>
          <w:rtl/>
        </w:rPr>
        <w:t>5129371</w:t>
      </w:r>
    </w:p>
    <w:p w14:paraId="203E51FA" w14:textId="77777777" w:rsidR="003531AE" w:rsidRDefault="00930F6E" w:rsidP="003531AE">
      <w:r w:rsidRPr="00930F6E">
        <w:rPr>
          <w:rFonts w:ascii="David" w:hAnsi="David"/>
          <w:color w:val="FFFFFF"/>
          <w:sz w:val="2"/>
          <w:szCs w:val="2"/>
          <w:rtl/>
        </w:rPr>
        <w:t>54678313</w:t>
      </w:r>
    </w:p>
    <w:p w14:paraId="11DBB6C5" w14:textId="77777777" w:rsidR="003531AE" w:rsidRDefault="003531AE" w:rsidP="003531AE">
      <w:pPr>
        <w:rPr>
          <w:rtl/>
        </w:rPr>
      </w:pPr>
    </w:p>
    <w:p w14:paraId="34FF59F7" w14:textId="77777777" w:rsidR="003531AE" w:rsidRDefault="003531AE" w:rsidP="003531AE">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14:paraId="432B2DA0" w14:textId="77777777" w:rsidR="00930F6E" w:rsidRPr="00930F6E" w:rsidRDefault="00930F6E" w:rsidP="00930F6E">
      <w:pPr>
        <w:keepNext/>
        <w:rPr>
          <w:rFonts w:ascii="David" w:hAnsi="David"/>
          <w:color w:val="000000"/>
          <w:sz w:val="22"/>
          <w:szCs w:val="22"/>
          <w:rtl/>
        </w:rPr>
      </w:pPr>
    </w:p>
    <w:p w14:paraId="6A82253E" w14:textId="77777777" w:rsidR="00930F6E" w:rsidRPr="00930F6E" w:rsidRDefault="00930F6E" w:rsidP="00930F6E">
      <w:pPr>
        <w:keepNext/>
        <w:rPr>
          <w:rFonts w:ascii="David" w:hAnsi="David"/>
          <w:color w:val="000000"/>
          <w:sz w:val="22"/>
          <w:szCs w:val="22"/>
          <w:rtl/>
        </w:rPr>
      </w:pPr>
      <w:r w:rsidRPr="00930F6E">
        <w:rPr>
          <w:rFonts w:ascii="David" w:hAnsi="David"/>
          <w:color w:val="000000"/>
          <w:sz w:val="22"/>
          <w:szCs w:val="22"/>
          <w:rtl/>
        </w:rPr>
        <w:t>מרב גרינברג 54678313-/</w:t>
      </w:r>
    </w:p>
    <w:p w14:paraId="1DDBBEBA" w14:textId="77777777" w:rsidR="003531AE" w:rsidRPr="003531AE" w:rsidRDefault="00930F6E" w:rsidP="00930F6E">
      <w:pPr>
        <w:rPr>
          <w:color w:val="0000FF"/>
          <w:u w:val="single"/>
        </w:rPr>
      </w:pPr>
      <w:r w:rsidRPr="00930F6E">
        <w:rPr>
          <w:color w:val="000000"/>
          <w:u w:val="single"/>
          <w:rtl/>
        </w:rPr>
        <w:t>נוסח מסמך זה כפוף לשינויי ניסוח ועריכה</w:t>
      </w:r>
    </w:p>
    <w:sectPr w:rsidR="003531AE" w:rsidRPr="003531AE" w:rsidSect="00930F6E">
      <w:headerReference w:type="even" r:id="rId35"/>
      <w:headerReference w:type="default" r:id="rId36"/>
      <w:footerReference w:type="even" r:id="rId37"/>
      <w:footerReference w:type="default" r:id="rId3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AF8397" w14:textId="77777777" w:rsidR="005D5C0C" w:rsidRDefault="005D5C0C" w:rsidP="00661582">
      <w:r>
        <w:separator/>
      </w:r>
    </w:p>
  </w:endnote>
  <w:endnote w:type="continuationSeparator" w:id="0">
    <w:p w14:paraId="33CEC351" w14:textId="77777777" w:rsidR="005D5C0C" w:rsidRDefault="005D5C0C" w:rsidP="006615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F7AEBC" w14:textId="77777777" w:rsidR="00930F6E" w:rsidRDefault="00930F6E" w:rsidP="00930F6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EF75ED3" w14:textId="77777777" w:rsidR="000F5F4F" w:rsidRPr="00930F6E" w:rsidRDefault="00930F6E" w:rsidP="00930F6E">
    <w:pPr>
      <w:pStyle w:val="a5"/>
      <w:pBdr>
        <w:top w:val="single" w:sz="4" w:space="1" w:color="auto"/>
        <w:between w:val="single" w:sz="4" w:space="0" w:color="auto"/>
      </w:pBdr>
      <w:spacing w:after="60"/>
      <w:jc w:val="center"/>
      <w:rPr>
        <w:rFonts w:ascii="FrankRuehl" w:hAnsi="FrankRuehl" w:cs="FrankRuehl"/>
        <w:color w:val="000000"/>
      </w:rPr>
    </w:pPr>
    <w:r w:rsidRPr="00930F6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D4DE8D" w14:textId="77777777" w:rsidR="00930F6E" w:rsidRDefault="00930F6E" w:rsidP="00930F6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9318C">
      <w:rPr>
        <w:rFonts w:ascii="FrankRuehl" w:hAnsi="FrankRuehl" w:cs="FrankRuehl"/>
        <w:noProof/>
        <w:rtl/>
      </w:rPr>
      <w:t>1</w:t>
    </w:r>
    <w:r>
      <w:rPr>
        <w:rFonts w:ascii="FrankRuehl" w:hAnsi="FrankRuehl" w:cs="FrankRuehl"/>
        <w:rtl/>
      </w:rPr>
      <w:fldChar w:fldCharType="end"/>
    </w:r>
  </w:p>
  <w:p w14:paraId="006A81E5" w14:textId="77777777" w:rsidR="000F5F4F" w:rsidRPr="00930F6E" w:rsidRDefault="00930F6E" w:rsidP="00930F6E">
    <w:pPr>
      <w:pStyle w:val="a5"/>
      <w:pBdr>
        <w:top w:val="single" w:sz="4" w:space="1" w:color="auto"/>
        <w:between w:val="single" w:sz="4" w:space="0" w:color="auto"/>
      </w:pBdr>
      <w:spacing w:after="60"/>
      <w:jc w:val="center"/>
      <w:rPr>
        <w:rFonts w:ascii="FrankRuehl" w:hAnsi="FrankRuehl" w:cs="FrankRuehl"/>
        <w:color w:val="000000"/>
      </w:rPr>
    </w:pPr>
    <w:r w:rsidRPr="00930F6E">
      <w:rPr>
        <w:rFonts w:ascii="FrankRuehl" w:hAnsi="FrankRuehl" w:cs="FrankRuehl"/>
        <w:color w:val="000000"/>
      </w:rPr>
      <w:pict w14:anchorId="4A449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B9CF89" w14:textId="77777777" w:rsidR="005D5C0C" w:rsidRDefault="005D5C0C" w:rsidP="00661582">
      <w:r>
        <w:separator/>
      </w:r>
    </w:p>
  </w:footnote>
  <w:footnote w:type="continuationSeparator" w:id="0">
    <w:p w14:paraId="36A20E4F" w14:textId="77777777" w:rsidR="005D5C0C" w:rsidRDefault="005D5C0C" w:rsidP="006615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E17C8B" w14:textId="77777777" w:rsidR="003531AE" w:rsidRPr="00930F6E" w:rsidRDefault="00930F6E" w:rsidP="00930F6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12615-11-21</w:t>
    </w:r>
    <w:r>
      <w:rPr>
        <w:rFonts w:ascii="David" w:hAnsi="David"/>
        <w:color w:val="000000"/>
        <w:sz w:val="22"/>
        <w:szCs w:val="22"/>
        <w:rtl/>
      </w:rPr>
      <w:tab/>
      <w:t xml:space="preserve"> מדינת ישראל נ' אושרי אוטמזגין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7D506A" w14:textId="77777777" w:rsidR="003531AE" w:rsidRPr="00930F6E" w:rsidRDefault="00930F6E" w:rsidP="00930F6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12615-11-21</w:t>
    </w:r>
    <w:r>
      <w:rPr>
        <w:rFonts w:ascii="David" w:hAnsi="David"/>
        <w:color w:val="000000"/>
        <w:sz w:val="22"/>
        <w:szCs w:val="22"/>
        <w:rtl/>
      </w:rPr>
      <w:tab/>
      <w:t xml:space="preserve"> מדינת ישראל נ' אושרי אוטמזגין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CB35F1"/>
    <w:multiLevelType w:val="hybridMultilevel"/>
    <w:tmpl w:val="C700065E"/>
    <w:lvl w:ilvl="0" w:tplc="F69A0EBC">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7EC356E9"/>
    <w:multiLevelType w:val="hybridMultilevel"/>
    <w:tmpl w:val="F940C144"/>
    <w:lvl w:ilvl="0" w:tplc="F1AE4750">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9226818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35663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75015"/>
    <w:rsid w:val="000F5F4F"/>
    <w:rsid w:val="001B5A3B"/>
    <w:rsid w:val="003531AE"/>
    <w:rsid w:val="00373B67"/>
    <w:rsid w:val="00381084"/>
    <w:rsid w:val="004A667B"/>
    <w:rsid w:val="005A3086"/>
    <w:rsid w:val="005D5C0C"/>
    <w:rsid w:val="00661582"/>
    <w:rsid w:val="0069318C"/>
    <w:rsid w:val="007076C9"/>
    <w:rsid w:val="00775015"/>
    <w:rsid w:val="008F1BD5"/>
    <w:rsid w:val="00930F6E"/>
    <w:rsid w:val="0093521B"/>
    <w:rsid w:val="00DF54F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04695FF"/>
  <w15:chartTrackingRefBased/>
  <w15:docId w15:val="{E26C28AF-D32E-428C-80A8-D2B61A605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7501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75015"/>
    <w:pPr>
      <w:tabs>
        <w:tab w:val="center" w:pos="4153"/>
        <w:tab w:val="right" w:pos="8306"/>
      </w:tabs>
    </w:pPr>
  </w:style>
  <w:style w:type="character" w:customStyle="1" w:styleId="a4">
    <w:name w:val="כותרת עליונה תו"/>
    <w:link w:val="a3"/>
    <w:rsid w:val="00775015"/>
    <w:rPr>
      <w:rFonts w:ascii="Times New Roman" w:eastAsia="Times New Roman" w:hAnsi="Times New Roman" w:cs="David"/>
      <w:sz w:val="24"/>
      <w:szCs w:val="24"/>
    </w:rPr>
  </w:style>
  <w:style w:type="paragraph" w:styleId="a5">
    <w:name w:val="footer"/>
    <w:basedOn w:val="a"/>
    <w:link w:val="a6"/>
    <w:rsid w:val="00775015"/>
    <w:pPr>
      <w:tabs>
        <w:tab w:val="center" w:pos="4153"/>
        <w:tab w:val="right" w:pos="8306"/>
      </w:tabs>
    </w:pPr>
  </w:style>
  <w:style w:type="character" w:customStyle="1" w:styleId="a6">
    <w:name w:val="כותרת תחתונה תו"/>
    <w:link w:val="a5"/>
    <w:rsid w:val="00775015"/>
    <w:rPr>
      <w:rFonts w:ascii="Times New Roman" w:eastAsia="Times New Roman" w:hAnsi="Times New Roman" w:cs="David"/>
      <w:sz w:val="24"/>
      <w:szCs w:val="24"/>
    </w:rPr>
  </w:style>
  <w:style w:type="table" w:styleId="a7">
    <w:name w:val="Table Grid"/>
    <w:basedOn w:val="a1"/>
    <w:rsid w:val="0077501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75015"/>
  </w:style>
  <w:style w:type="character" w:customStyle="1" w:styleId="a9">
    <w:name w:val="פיסקת רשימה תו"/>
    <w:link w:val="aa"/>
    <w:locked/>
    <w:rsid w:val="00775015"/>
    <w:rPr>
      <w:rFonts w:ascii="David" w:eastAsia="David" w:hAnsi="David" w:cs="David"/>
      <w:sz w:val="24"/>
      <w:szCs w:val="24"/>
    </w:rPr>
  </w:style>
  <w:style w:type="paragraph" w:styleId="aa">
    <w:name w:val="List Paragraph"/>
    <w:basedOn w:val="a"/>
    <w:link w:val="a9"/>
    <w:qFormat/>
    <w:rsid w:val="00775015"/>
    <w:pPr>
      <w:ind w:left="720"/>
      <w:contextualSpacing/>
    </w:pPr>
    <w:rPr>
      <w:rFonts w:ascii="David" w:eastAsia="David" w:hAnsi="David"/>
    </w:rPr>
  </w:style>
  <w:style w:type="character" w:customStyle="1" w:styleId="Ruller4">
    <w:name w:val="Ruller4 תו"/>
    <w:link w:val="Ruller40"/>
    <w:locked/>
    <w:rsid w:val="00775015"/>
    <w:rPr>
      <w:rFonts w:ascii="Arial TUR" w:hAnsi="Arial TUR" w:cs="FrankRuehl"/>
      <w:spacing w:val="10"/>
      <w:szCs w:val="28"/>
    </w:rPr>
  </w:style>
  <w:style w:type="paragraph" w:customStyle="1" w:styleId="Ruller40">
    <w:name w:val="Ruller4"/>
    <w:basedOn w:val="a"/>
    <w:link w:val="Ruller4"/>
    <w:rsid w:val="00775015"/>
    <w:pPr>
      <w:tabs>
        <w:tab w:val="left" w:pos="800"/>
      </w:tabs>
      <w:overflowPunct w:val="0"/>
      <w:autoSpaceDE w:val="0"/>
      <w:autoSpaceDN w:val="0"/>
      <w:adjustRightInd w:val="0"/>
      <w:spacing w:line="360" w:lineRule="auto"/>
      <w:jc w:val="both"/>
    </w:pPr>
    <w:rPr>
      <w:rFonts w:ascii="Arial TUR" w:eastAsia="Calibri" w:hAnsi="Arial TUR" w:cs="FrankRuehl"/>
      <w:spacing w:val="10"/>
      <w:sz w:val="22"/>
      <w:szCs w:val="28"/>
    </w:rPr>
  </w:style>
  <w:style w:type="character" w:styleId="Hyperlink">
    <w:name w:val="Hyperlink"/>
    <w:rsid w:val="007750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8513828" TargetMode="External"/><Relationship Id="rId18" Type="http://schemas.openxmlformats.org/officeDocument/2006/relationships/hyperlink" Target="http://www.nevo.co.il/case/27305799" TargetMode="External"/><Relationship Id="rId26" Type="http://schemas.openxmlformats.org/officeDocument/2006/relationships/hyperlink" Target="http://www.nevo.co.il/case/28389666" TargetMode="External"/><Relationship Id="rId39" Type="http://schemas.openxmlformats.org/officeDocument/2006/relationships/fontTable" Target="fontTable.xml"/><Relationship Id="rId21" Type="http://schemas.openxmlformats.org/officeDocument/2006/relationships/hyperlink" Target="http://www.nevo.co.il/case/28384637"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70301" TargetMode="External"/><Relationship Id="rId12" Type="http://schemas.openxmlformats.org/officeDocument/2006/relationships/hyperlink" Target="http://www.nevo.co.il/case/29486731" TargetMode="External"/><Relationship Id="rId17" Type="http://schemas.openxmlformats.org/officeDocument/2006/relationships/hyperlink" Target="http://www.nevo.co.il/case/28452933" TargetMode="External"/><Relationship Id="rId25" Type="http://schemas.openxmlformats.org/officeDocument/2006/relationships/hyperlink" Target="http://www.nevo.co.il/case/25528737" TargetMode="External"/><Relationship Id="rId33" Type="http://schemas.openxmlformats.org/officeDocument/2006/relationships/hyperlink" Target="http://www.nevo.co.il/case/27721185"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case/28152132" TargetMode="External"/><Relationship Id="rId20" Type="http://schemas.openxmlformats.org/officeDocument/2006/relationships/hyperlink" Target="http://www.nevo.co.il/case/25824863" TargetMode="External"/><Relationship Id="rId29" Type="http://schemas.openxmlformats.org/officeDocument/2006/relationships/hyperlink" Target="http://www.nevo.co.il/case/2922099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27734980" TargetMode="External"/><Relationship Id="rId24" Type="http://schemas.openxmlformats.org/officeDocument/2006/relationships/hyperlink" Target="http://www.nevo.co.il/case/28380863" TargetMode="External"/><Relationship Id="rId32" Type="http://schemas.openxmlformats.org/officeDocument/2006/relationships/hyperlink" Target="http://www.nevo.co.il/case/26934681"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27911638" TargetMode="External"/><Relationship Id="rId23" Type="http://schemas.openxmlformats.org/officeDocument/2006/relationships/hyperlink" Target="http://www.nevo.co.il/case/28243273" TargetMode="External"/><Relationship Id="rId28" Type="http://schemas.openxmlformats.org/officeDocument/2006/relationships/hyperlink" Target="http://www.nevo.co.il/case/28621153" TargetMode="External"/><Relationship Id="rId36" Type="http://schemas.openxmlformats.org/officeDocument/2006/relationships/header" Target="header2.xml"/><Relationship Id="rId10" Type="http://schemas.openxmlformats.org/officeDocument/2006/relationships/hyperlink" Target="http://www.nevo.co.il/law/70301" TargetMode="External"/><Relationship Id="rId19" Type="http://schemas.openxmlformats.org/officeDocument/2006/relationships/hyperlink" Target="http://www.nevo.co.il/case/5568354" TargetMode="External"/><Relationship Id="rId31" Type="http://schemas.openxmlformats.org/officeDocument/2006/relationships/hyperlink" Target="http://www.nevo.co.il/case/28963593"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case/27894608" TargetMode="External"/><Relationship Id="rId22" Type="http://schemas.openxmlformats.org/officeDocument/2006/relationships/hyperlink" Target="http://www.nevo.co.il/case/%2028229995" TargetMode="External"/><Relationship Id="rId27" Type="http://schemas.openxmlformats.org/officeDocument/2006/relationships/hyperlink" Target="http://www.nevo.co.il/case/28020685" TargetMode="External"/><Relationship Id="rId30" Type="http://schemas.openxmlformats.org/officeDocument/2006/relationships/hyperlink" Target="http://www.nevo.co.il/case/28257427" TargetMode="External"/><Relationship Id="rId35" Type="http://schemas.openxmlformats.org/officeDocument/2006/relationships/header" Target="header1.xml"/><Relationship Id="rId8" Type="http://schemas.openxmlformats.org/officeDocument/2006/relationships/hyperlink" Target="http://www.nevo.co.il/law/70301/144.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2375</Words>
  <Characters>11880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14227</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3932272</vt:i4>
      </vt:variant>
      <vt:variant>
        <vt:i4>78</vt:i4>
      </vt:variant>
      <vt:variant>
        <vt:i4>0</vt:i4>
      </vt:variant>
      <vt:variant>
        <vt:i4>5</vt:i4>
      </vt:variant>
      <vt:variant>
        <vt:lpwstr>http://www.nevo.co.il/case/27721185</vt:lpwstr>
      </vt:variant>
      <vt:variant>
        <vt:lpwstr/>
      </vt:variant>
      <vt:variant>
        <vt:i4>3604599</vt:i4>
      </vt:variant>
      <vt:variant>
        <vt:i4>75</vt:i4>
      </vt:variant>
      <vt:variant>
        <vt:i4>0</vt:i4>
      </vt:variant>
      <vt:variant>
        <vt:i4>5</vt:i4>
      </vt:variant>
      <vt:variant>
        <vt:lpwstr>http://www.nevo.co.il/case/26934681</vt:lpwstr>
      </vt:variant>
      <vt:variant>
        <vt:lpwstr/>
      </vt:variant>
      <vt:variant>
        <vt:i4>3211391</vt:i4>
      </vt:variant>
      <vt:variant>
        <vt:i4>72</vt:i4>
      </vt:variant>
      <vt:variant>
        <vt:i4>0</vt:i4>
      </vt:variant>
      <vt:variant>
        <vt:i4>5</vt:i4>
      </vt:variant>
      <vt:variant>
        <vt:lpwstr>http://www.nevo.co.il/case/28963593</vt:lpwstr>
      </vt:variant>
      <vt:variant>
        <vt:lpwstr/>
      </vt:variant>
      <vt:variant>
        <vt:i4>3473533</vt:i4>
      </vt:variant>
      <vt:variant>
        <vt:i4>69</vt:i4>
      </vt:variant>
      <vt:variant>
        <vt:i4>0</vt:i4>
      </vt:variant>
      <vt:variant>
        <vt:i4>5</vt:i4>
      </vt:variant>
      <vt:variant>
        <vt:lpwstr>http://www.nevo.co.il/case/28257427</vt:lpwstr>
      </vt:variant>
      <vt:variant>
        <vt:lpwstr/>
      </vt:variant>
      <vt:variant>
        <vt:i4>3735670</vt:i4>
      </vt:variant>
      <vt:variant>
        <vt:i4>66</vt:i4>
      </vt:variant>
      <vt:variant>
        <vt:i4>0</vt:i4>
      </vt:variant>
      <vt:variant>
        <vt:i4>5</vt:i4>
      </vt:variant>
      <vt:variant>
        <vt:lpwstr>http://www.nevo.co.il/case/29220997</vt:lpwstr>
      </vt:variant>
      <vt:variant>
        <vt:lpwstr/>
      </vt:variant>
      <vt:variant>
        <vt:i4>3145855</vt:i4>
      </vt:variant>
      <vt:variant>
        <vt:i4>63</vt:i4>
      </vt:variant>
      <vt:variant>
        <vt:i4>0</vt:i4>
      </vt:variant>
      <vt:variant>
        <vt:i4>5</vt:i4>
      </vt:variant>
      <vt:variant>
        <vt:lpwstr>http://www.nevo.co.il/case/28621153</vt:lpwstr>
      </vt:variant>
      <vt:variant>
        <vt:lpwstr/>
      </vt:variant>
      <vt:variant>
        <vt:i4>3801208</vt:i4>
      </vt:variant>
      <vt:variant>
        <vt:i4>60</vt:i4>
      </vt:variant>
      <vt:variant>
        <vt:i4>0</vt:i4>
      </vt:variant>
      <vt:variant>
        <vt:i4>5</vt:i4>
      </vt:variant>
      <vt:variant>
        <vt:lpwstr>http://www.nevo.co.il/case/28020685</vt:lpwstr>
      </vt:variant>
      <vt:variant>
        <vt:lpwstr/>
      </vt:variant>
      <vt:variant>
        <vt:i4>4063346</vt:i4>
      </vt:variant>
      <vt:variant>
        <vt:i4>57</vt:i4>
      </vt:variant>
      <vt:variant>
        <vt:i4>0</vt:i4>
      </vt:variant>
      <vt:variant>
        <vt:i4>5</vt:i4>
      </vt:variant>
      <vt:variant>
        <vt:lpwstr>http://www.nevo.co.il/case/28389666</vt:lpwstr>
      </vt:variant>
      <vt:variant>
        <vt:lpwstr/>
      </vt:variant>
      <vt:variant>
        <vt:i4>3932276</vt:i4>
      </vt:variant>
      <vt:variant>
        <vt:i4>54</vt:i4>
      </vt:variant>
      <vt:variant>
        <vt:i4>0</vt:i4>
      </vt:variant>
      <vt:variant>
        <vt:i4>5</vt:i4>
      </vt:variant>
      <vt:variant>
        <vt:lpwstr>http://www.nevo.co.il/case/25528737</vt:lpwstr>
      </vt:variant>
      <vt:variant>
        <vt:lpwstr/>
      </vt:variant>
      <vt:variant>
        <vt:i4>3604604</vt:i4>
      </vt:variant>
      <vt:variant>
        <vt:i4>51</vt:i4>
      </vt:variant>
      <vt:variant>
        <vt:i4>0</vt:i4>
      </vt:variant>
      <vt:variant>
        <vt:i4>5</vt:i4>
      </vt:variant>
      <vt:variant>
        <vt:lpwstr>http://www.nevo.co.il/case/28380863</vt:lpwstr>
      </vt:variant>
      <vt:variant>
        <vt:lpwstr/>
      </vt:variant>
      <vt:variant>
        <vt:i4>3407994</vt:i4>
      </vt:variant>
      <vt:variant>
        <vt:i4>48</vt:i4>
      </vt:variant>
      <vt:variant>
        <vt:i4>0</vt:i4>
      </vt:variant>
      <vt:variant>
        <vt:i4>5</vt:i4>
      </vt:variant>
      <vt:variant>
        <vt:lpwstr>http://www.nevo.co.il/case/28243273</vt:lpwstr>
      </vt:variant>
      <vt:variant>
        <vt:lpwstr/>
      </vt:variant>
      <vt:variant>
        <vt:i4>1441860</vt:i4>
      </vt:variant>
      <vt:variant>
        <vt:i4>45</vt:i4>
      </vt:variant>
      <vt:variant>
        <vt:i4>0</vt:i4>
      </vt:variant>
      <vt:variant>
        <vt:i4>5</vt:i4>
      </vt:variant>
      <vt:variant>
        <vt:lpwstr>http://www.nevo.co.il/case/ 28229995</vt:lpwstr>
      </vt:variant>
      <vt:variant>
        <vt:lpwstr/>
      </vt:variant>
      <vt:variant>
        <vt:i4>3539058</vt:i4>
      </vt:variant>
      <vt:variant>
        <vt:i4>42</vt:i4>
      </vt:variant>
      <vt:variant>
        <vt:i4>0</vt:i4>
      </vt:variant>
      <vt:variant>
        <vt:i4>5</vt:i4>
      </vt:variant>
      <vt:variant>
        <vt:lpwstr>http://www.nevo.co.il/case/28384637</vt:lpwstr>
      </vt:variant>
      <vt:variant>
        <vt:lpwstr/>
      </vt:variant>
      <vt:variant>
        <vt:i4>3670139</vt:i4>
      </vt:variant>
      <vt:variant>
        <vt:i4>39</vt:i4>
      </vt:variant>
      <vt:variant>
        <vt:i4>0</vt:i4>
      </vt:variant>
      <vt:variant>
        <vt:i4>5</vt:i4>
      </vt:variant>
      <vt:variant>
        <vt:lpwstr>http://www.nevo.co.il/case/25824863</vt:lpwstr>
      </vt:variant>
      <vt:variant>
        <vt:lpwstr/>
      </vt:variant>
      <vt:variant>
        <vt:i4>3407996</vt:i4>
      </vt:variant>
      <vt:variant>
        <vt:i4>36</vt:i4>
      </vt:variant>
      <vt:variant>
        <vt:i4>0</vt:i4>
      </vt:variant>
      <vt:variant>
        <vt:i4>5</vt:i4>
      </vt:variant>
      <vt:variant>
        <vt:lpwstr>http://www.nevo.co.il/case/5568354</vt:lpwstr>
      </vt:variant>
      <vt:variant>
        <vt:lpwstr/>
      </vt:variant>
      <vt:variant>
        <vt:i4>3997812</vt:i4>
      </vt:variant>
      <vt:variant>
        <vt:i4>33</vt:i4>
      </vt:variant>
      <vt:variant>
        <vt:i4>0</vt:i4>
      </vt:variant>
      <vt:variant>
        <vt:i4>5</vt:i4>
      </vt:variant>
      <vt:variant>
        <vt:lpwstr>http://www.nevo.co.il/case/27305799</vt:lpwstr>
      </vt:variant>
      <vt:variant>
        <vt:lpwstr/>
      </vt:variant>
      <vt:variant>
        <vt:i4>3604592</vt:i4>
      </vt:variant>
      <vt:variant>
        <vt:i4>30</vt:i4>
      </vt:variant>
      <vt:variant>
        <vt:i4>0</vt:i4>
      </vt:variant>
      <vt:variant>
        <vt:i4>5</vt:i4>
      </vt:variant>
      <vt:variant>
        <vt:lpwstr>http://www.nevo.co.il/case/28452933</vt:lpwstr>
      </vt:variant>
      <vt:variant>
        <vt:lpwstr/>
      </vt:variant>
      <vt:variant>
        <vt:i4>3276920</vt:i4>
      </vt:variant>
      <vt:variant>
        <vt:i4>27</vt:i4>
      </vt:variant>
      <vt:variant>
        <vt:i4>0</vt:i4>
      </vt:variant>
      <vt:variant>
        <vt:i4>5</vt:i4>
      </vt:variant>
      <vt:variant>
        <vt:lpwstr>http://www.nevo.co.il/case/28152132</vt:lpwstr>
      </vt:variant>
      <vt:variant>
        <vt:lpwstr/>
      </vt:variant>
      <vt:variant>
        <vt:i4>3735668</vt:i4>
      </vt:variant>
      <vt:variant>
        <vt:i4>24</vt:i4>
      </vt:variant>
      <vt:variant>
        <vt:i4>0</vt:i4>
      </vt:variant>
      <vt:variant>
        <vt:i4>5</vt:i4>
      </vt:variant>
      <vt:variant>
        <vt:lpwstr>http://www.nevo.co.il/case/27911638</vt:lpwstr>
      </vt:variant>
      <vt:variant>
        <vt:lpwstr/>
      </vt:variant>
      <vt:variant>
        <vt:i4>4063356</vt:i4>
      </vt:variant>
      <vt:variant>
        <vt:i4>21</vt:i4>
      </vt:variant>
      <vt:variant>
        <vt:i4>0</vt:i4>
      </vt:variant>
      <vt:variant>
        <vt:i4>5</vt:i4>
      </vt:variant>
      <vt:variant>
        <vt:lpwstr>http://www.nevo.co.il/case/27894608</vt:lpwstr>
      </vt:variant>
      <vt:variant>
        <vt:lpwstr/>
      </vt:variant>
      <vt:variant>
        <vt:i4>3539061</vt:i4>
      </vt:variant>
      <vt:variant>
        <vt:i4>18</vt:i4>
      </vt:variant>
      <vt:variant>
        <vt:i4>0</vt:i4>
      </vt:variant>
      <vt:variant>
        <vt:i4>5</vt:i4>
      </vt:variant>
      <vt:variant>
        <vt:lpwstr>http://www.nevo.co.il/case/28513828</vt:lpwstr>
      </vt:variant>
      <vt:variant>
        <vt:lpwstr/>
      </vt:variant>
      <vt:variant>
        <vt:i4>3342450</vt:i4>
      </vt:variant>
      <vt:variant>
        <vt:i4>15</vt:i4>
      </vt:variant>
      <vt:variant>
        <vt:i4>0</vt:i4>
      </vt:variant>
      <vt:variant>
        <vt:i4>5</vt:i4>
      </vt:variant>
      <vt:variant>
        <vt:lpwstr>http://www.nevo.co.il/case/29486731</vt:lpwstr>
      </vt:variant>
      <vt:variant>
        <vt:lpwstr/>
      </vt:variant>
      <vt:variant>
        <vt:i4>3735673</vt:i4>
      </vt:variant>
      <vt:variant>
        <vt:i4>12</vt:i4>
      </vt:variant>
      <vt:variant>
        <vt:i4>0</vt:i4>
      </vt:variant>
      <vt:variant>
        <vt:i4>5</vt:i4>
      </vt:variant>
      <vt:variant>
        <vt:lpwstr>http://www.nevo.co.il/case/27734980</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2025-01-19T16:46:00Z</dcterms:created>
  <dcterms:modified xsi:type="dcterms:W3CDTF">2025-01-19T16:46:00Z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12615</vt:lpwstr>
  </property>
  <property fmtid="{D5CDD505-2E9C-101B-9397-08002B2CF9AE}" pid="6" name="NEWPARTB">
    <vt:lpwstr>11</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אושרי אוטמזגין</vt:lpwstr>
  </property>
  <property fmtid="{D5CDD505-2E9C-101B-9397-08002B2CF9AE}" pid="10" name="LAWYER">
    <vt:lpwstr>ליטל שירי;ניר יסלוביץ'</vt:lpwstr>
  </property>
  <property fmtid="{D5CDD505-2E9C-101B-9397-08002B2CF9AE}" pid="11" name="JUDGE">
    <vt:lpwstr>מרב גרינברג</vt:lpwstr>
  </property>
  <property fmtid="{D5CDD505-2E9C-101B-9397-08002B2CF9AE}" pid="12" name="CITY">
    <vt:lpwstr>מרכז</vt:lpwstr>
  </property>
  <property fmtid="{D5CDD505-2E9C-101B-9397-08002B2CF9AE}" pid="13" name="DATE">
    <vt:lpwstr>20230612</vt:lpwstr>
  </property>
  <property fmtid="{D5CDD505-2E9C-101B-9397-08002B2CF9AE}" pid="14" name="TYPE_N_DATE">
    <vt:lpwstr>39020230612</vt:lpwstr>
  </property>
  <property fmtid="{D5CDD505-2E9C-101B-9397-08002B2CF9AE}" pid="15" name="WORDNUMPAGES">
    <vt:lpwstr>8</vt:lpwstr>
  </property>
  <property fmtid="{D5CDD505-2E9C-101B-9397-08002B2CF9AE}" pid="16" name="TYPE_ABS_DATE">
    <vt:lpwstr>390020230612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27734980;29486731;28513828;27894608;27911638;28152132;28452933;27305799;5568354;25824863;28384637;28229995;28243273;28380863;25528737;28389666;28020685;28621153;29220997;28257427;28963593;26934681;27721185</vt:lpwstr>
  </property>
  <property fmtid="{D5CDD505-2E9C-101B-9397-08002B2CF9AE}" pid="36" name="LAWLISTTMP1">
    <vt:lpwstr>70301/144.a</vt:lpwstr>
  </property>
</Properties>
</file>