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B5602A" w:rsidRPr="00A255A2" w14:paraId="1F67A2CD" w14:textId="77777777" w:rsidTr="002F76DF">
        <w:trPr>
          <w:trHeight w:hRule="exact" w:val="418"/>
          <w:jc w:val="center"/>
        </w:trPr>
        <w:tc>
          <w:tcPr>
            <w:tcW w:w="8861" w:type="dxa"/>
            <w:gridSpan w:val="2"/>
          </w:tcPr>
          <w:p w14:paraId="12D20DC9" w14:textId="77777777" w:rsidR="00B5602A" w:rsidRPr="005D0099" w:rsidRDefault="00B5602A" w:rsidP="002F76DF">
            <w:pPr>
              <w:pStyle w:val="a3"/>
              <w:jc w:val="center"/>
              <w:rPr>
                <w:rFonts w:ascii="Tahoma" w:hAnsi="Tahoma" w:cs="Tahoma"/>
                <w:color w:val="000080"/>
                <w:rtl/>
              </w:rPr>
            </w:pPr>
            <w:r w:rsidRPr="005D0099">
              <w:rPr>
                <w:rFonts w:ascii="Tahoma" w:hAnsi="Tahoma" w:cs="Tahoma"/>
                <w:b/>
                <w:bCs/>
                <w:color w:val="000080"/>
                <w:rtl/>
              </w:rPr>
              <w:t>בית המשפט המחוזי בתל אביב -יפו</w:t>
            </w:r>
          </w:p>
        </w:tc>
      </w:tr>
      <w:tr w:rsidR="00B5602A" w:rsidRPr="005D0099" w14:paraId="47909C24" w14:textId="77777777" w:rsidTr="002F76DF">
        <w:trPr>
          <w:trHeight w:val="337"/>
          <w:jc w:val="center"/>
        </w:trPr>
        <w:tc>
          <w:tcPr>
            <w:tcW w:w="5131" w:type="dxa"/>
          </w:tcPr>
          <w:p w14:paraId="65DD5096" w14:textId="77777777" w:rsidR="00B5602A" w:rsidRPr="005D0099" w:rsidRDefault="00B5602A" w:rsidP="005D0099">
            <w:pPr>
              <w:spacing w:before="120" w:after="120" w:line="240" w:lineRule="exact"/>
              <w:rPr>
                <w:b/>
                <w:bCs/>
                <w:sz w:val="26"/>
                <w:szCs w:val="26"/>
                <w:rtl/>
              </w:rPr>
            </w:pPr>
            <w:r w:rsidRPr="005D0099">
              <w:rPr>
                <w:b/>
                <w:bCs/>
                <w:sz w:val="26"/>
                <w:szCs w:val="26"/>
                <w:rtl/>
              </w:rPr>
              <w:t>תפ"ח</w:t>
            </w:r>
            <w:r w:rsidRPr="005D0099">
              <w:rPr>
                <w:rFonts w:hint="cs"/>
                <w:b/>
                <w:bCs/>
                <w:sz w:val="26"/>
                <w:szCs w:val="26"/>
                <w:rtl/>
              </w:rPr>
              <w:t xml:space="preserve"> </w:t>
            </w:r>
            <w:r w:rsidRPr="005D0099">
              <w:rPr>
                <w:b/>
                <w:bCs/>
                <w:sz w:val="26"/>
                <w:szCs w:val="26"/>
                <w:rtl/>
              </w:rPr>
              <w:t>17865-11-21</w:t>
            </w:r>
            <w:r w:rsidRPr="005D0099">
              <w:rPr>
                <w:rFonts w:hint="cs"/>
                <w:b/>
                <w:bCs/>
                <w:sz w:val="26"/>
                <w:szCs w:val="26"/>
                <w:rtl/>
              </w:rPr>
              <w:t xml:space="preserve"> </w:t>
            </w:r>
            <w:r w:rsidRPr="005D0099">
              <w:rPr>
                <w:b/>
                <w:bCs/>
                <w:sz w:val="26"/>
                <w:szCs w:val="26"/>
                <w:rtl/>
              </w:rPr>
              <w:t>מדינת ישראל נ' אלעביד</w:t>
            </w:r>
            <w:r w:rsidRPr="005D0099">
              <w:rPr>
                <w:rFonts w:hint="cs"/>
                <w:b/>
                <w:bCs/>
                <w:sz w:val="26"/>
                <w:szCs w:val="26"/>
                <w:rtl/>
              </w:rPr>
              <w:t xml:space="preserve"> </w:t>
            </w:r>
            <w:r w:rsidRPr="005D0099">
              <w:rPr>
                <w:b/>
                <w:bCs/>
                <w:sz w:val="26"/>
                <w:szCs w:val="26"/>
                <w:rtl/>
              </w:rPr>
              <w:t>(עציר)</w:t>
            </w:r>
          </w:p>
        </w:tc>
        <w:tc>
          <w:tcPr>
            <w:tcW w:w="3730" w:type="dxa"/>
          </w:tcPr>
          <w:p w14:paraId="76697A95" w14:textId="77777777" w:rsidR="00B5602A" w:rsidRPr="005D0099" w:rsidRDefault="00B5602A" w:rsidP="005D0099">
            <w:pPr>
              <w:pStyle w:val="a3"/>
              <w:spacing w:before="120" w:after="120" w:line="240" w:lineRule="exact"/>
              <w:jc w:val="right"/>
              <w:rPr>
                <w:b/>
                <w:bCs/>
                <w:sz w:val="26"/>
                <w:szCs w:val="26"/>
                <w:rtl/>
              </w:rPr>
            </w:pPr>
            <w:r w:rsidRPr="005D0099">
              <w:rPr>
                <w:rFonts w:hint="cs"/>
                <w:b/>
                <w:bCs/>
                <w:sz w:val="26"/>
                <w:szCs w:val="26"/>
                <w:rtl/>
              </w:rPr>
              <w:t>6 אוקטובר 2024</w:t>
            </w:r>
          </w:p>
        </w:tc>
      </w:tr>
    </w:tbl>
    <w:p w14:paraId="11C2EE38" w14:textId="77777777" w:rsidR="00B5602A" w:rsidRPr="005D0099" w:rsidRDefault="00B5602A" w:rsidP="005D0099">
      <w:pPr>
        <w:spacing w:before="120" w:after="120" w:line="240" w:lineRule="exact"/>
        <w:rPr>
          <w:rFonts w:ascii="David" w:hAnsi="David"/>
          <w:b/>
          <w:bCs/>
          <w:sz w:val="26"/>
          <w:szCs w:val="26"/>
          <w:rtl/>
        </w:rPr>
      </w:pPr>
    </w:p>
    <w:tbl>
      <w:tblPr>
        <w:bidiVisual/>
        <w:tblW w:w="8637" w:type="dxa"/>
        <w:jc w:val="center"/>
        <w:tblLook w:val="01E0" w:firstRow="1" w:lastRow="1" w:firstColumn="1" w:lastColumn="1" w:noHBand="0" w:noVBand="0"/>
      </w:tblPr>
      <w:tblGrid>
        <w:gridCol w:w="893"/>
        <w:gridCol w:w="5503"/>
        <w:gridCol w:w="66"/>
        <w:gridCol w:w="2175"/>
      </w:tblGrid>
      <w:tr w:rsidR="00B5602A" w:rsidRPr="005D0099" w14:paraId="29EACE36" w14:textId="77777777" w:rsidTr="005D0099">
        <w:trPr>
          <w:trHeight w:val="292"/>
          <w:jc w:val="center"/>
        </w:trPr>
        <w:tc>
          <w:tcPr>
            <w:tcW w:w="893" w:type="dxa"/>
            <w:shd w:val="clear" w:color="auto" w:fill="auto"/>
          </w:tcPr>
          <w:p w14:paraId="7E398559" w14:textId="77777777" w:rsidR="00B5602A" w:rsidRPr="005D0099" w:rsidRDefault="00B5602A" w:rsidP="005D0099">
            <w:pPr>
              <w:spacing w:before="120" w:after="120" w:line="240" w:lineRule="exact"/>
              <w:jc w:val="both"/>
              <w:rPr>
                <w:rFonts w:ascii="David" w:hAnsi="David"/>
                <w:b/>
                <w:bCs/>
                <w:sz w:val="26"/>
                <w:szCs w:val="26"/>
              </w:rPr>
            </w:pPr>
            <w:r w:rsidRPr="005D0099">
              <w:rPr>
                <w:rFonts w:ascii="David" w:hAnsi="David"/>
                <w:b/>
                <w:bCs/>
                <w:sz w:val="26"/>
                <w:szCs w:val="26"/>
                <w:rtl/>
              </w:rPr>
              <w:t xml:space="preserve">בפני: </w:t>
            </w:r>
          </w:p>
        </w:tc>
        <w:tc>
          <w:tcPr>
            <w:tcW w:w="7744" w:type="dxa"/>
            <w:gridSpan w:val="3"/>
            <w:shd w:val="clear" w:color="auto" w:fill="auto"/>
          </w:tcPr>
          <w:p w14:paraId="7FBDB192" w14:textId="77777777" w:rsidR="00B5602A" w:rsidRPr="005D0099" w:rsidRDefault="00B5602A" w:rsidP="005D0099">
            <w:pPr>
              <w:spacing w:before="120" w:after="120" w:line="240" w:lineRule="exact"/>
              <w:rPr>
                <w:rFonts w:ascii="David" w:hAnsi="David"/>
                <w:b/>
                <w:bCs/>
                <w:sz w:val="26"/>
                <w:szCs w:val="26"/>
              </w:rPr>
            </w:pPr>
            <w:r w:rsidRPr="005D0099">
              <w:rPr>
                <w:rFonts w:ascii="David" w:hAnsi="David"/>
                <w:b/>
                <w:bCs/>
                <w:sz w:val="26"/>
                <w:szCs w:val="26"/>
                <w:rtl/>
              </w:rPr>
              <w:t>כב' השופט גלעד נויטל, נשיא, אב"ד</w:t>
            </w:r>
          </w:p>
          <w:p w14:paraId="2B523330" w14:textId="77777777" w:rsidR="00B5602A" w:rsidRPr="005D0099" w:rsidRDefault="00B5602A" w:rsidP="005D0099">
            <w:pPr>
              <w:spacing w:before="120" w:after="120" w:line="240" w:lineRule="exact"/>
              <w:rPr>
                <w:rFonts w:ascii="David" w:hAnsi="David"/>
                <w:b/>
                <w:bCs/>
                <w:sz w:val="26"/>
                <w:szCs w:val="26"/>
              </w:rPr>
            </w:pPr>
            <w:r w:rsidRPr="005D0099">
              <w:rPr>
                <w:rFonts w:ascii="David" w:hAnsi="David"/>
                <w:b/>
                <w:bCs/>
                <w:sz w:val="26"/>
                <w:szCs w:val="26"/>
                <w:rtl/>
              </w:rPr>
              <w:t>כב' השופטת טלי חיימוביץ</w:t>
            </w:r>
          </w:p>
          <w:p w14:paraId="0B8289BD" w14:textId="77777777" w:rsidR="00B5602A" w:rsidRPr="005D0099" w:rsidRDefault="00B5602A" w:rsidP="005D0099">
            <w:pPr>
              <w:spacing w:before="120" w:after="120" w:line="240" w:lineRule="exact"/>
              <w:rPr>
                <w:rFonts w:ascii="David" w:hAnsi="David"/>
                <w:b/>
                <w:bCs/>
                <w:sz w:val="26"/>
                <w:szCs w:val="26"/>
              </w:rPr>
            </w:pPr>
            <w:r w:rsidRPr="005D0099">
              <w:rPr>
                <w:rFonts w:ascii="David" w:hAnsi="David"/>
                <w:b/>
                <w:bCs/>
                <w:sz w:val="26"/>
                <w:szCs w:val="26"/>
                <w:rtl/>
              </w:rPr>
              <w:t>כב' השופטת לימור ביבי</w:t>
            </w:r>
          </w:p>
        </w:tc>
      </w:tr>
      <w:tr w:rsidR="00B5602A" w:rsidRPr="005D0099" w14:paraId="26154F72" w14:textId="77777777" w:rsidTr="00A255A2">
        <w:trPr>
          <w:trHeight w:val="694"/>
          <w:jc w:val="center"/>
        </w:trPr>
        <w:tc>
          <w:tcPr>
            <w:tcW w:w="821" w:type="dxa"/>
            <w:shd w:val="clear" w:color="auto" w:fill="auto"/>
          </w:tcPr>
          <w:p w14:paraId="2FF5AA16" w14:textId="77777777" w:rsidR="00B5602A" w:rsidRPr="005D0099" w:rsidRDefault="00B5602A" w:rsidP="005D0099">
            <w:pPr>
              <w:spacing w:before="120" w:after="120" w:line="240" w:lineRule="exact"/>
              <w:jc w:val="both"/>
              <w:rPr>
                <w:rFonts w:ascii="David" w:hAnsi="David"/>
                <w:b/>
                <w:bCs/>
                <w:sz w:val="26"/>
                <w:szCs w:val="26"/>
              </w:rPr>
            </w:pPr>
            <w:bookmarkStart w:id="0" w:name="FirstAppellant"/>
            <w:bookmarkStart w:id="1" w:name="FirstLawyer"/>
            <w:bookmarkStart w:id="2" w:name="LastJudge"/>
            <w:bookmarkEnd w:id="2"/>
            <w:r w:rsidRPr="005D0099">
              <w:rPr>
                <w:rFonts w:ascii="David" w:hAnsi="David"/>
                <w:b/>
                <w:bCs/>
                <w:sz w:val="26"/>
                <w:szCs w:val="26"/>
                <w:rtl/>
              </w:rPr>
              <w:t>בעניין:</w:t>
            </w:r>
          </w:p>
        </w:tc>
        <w:tc>
          <w:tcPr>
            <w:tcW w:w="5628" w:type="dxa"/>
            <w:gridSpan w:val="2"/>
            <w:shd w:val="clear" w:color="auto" w:fill="auto"/>
          </w:tcPr>
          <w:p w14:paraId="7E8AD7DE" w14:textId="77777777" w:rsidR="00B5602A" w:rsidRPr="005D0099" w:rsidRDefault="00B5602A" w:rsidP="005D0099">
            <w:pPr>
              <w:bidi w:val="0"/>
              <w:spacing w:before="120" w:after="120" w:line="240" w:lineRule="exact"/>
              <w:jc w:val="right"/>
              <w:rPr>
                <w:rFonts w:ascii="David" w:hAnsi="David"/>
                <w:b/>
                <w:bCs/>
                <w:sz w:val="26"/>
                <w:szCs w:val="26"/>
              </w:rPr>
            </w:pPr>
            <w:r w:rsidRPr="005D0099">
              <w:rPr>
                <w:rFonts w:ascii="David" w:hAnsi="David"/>
                <w:b/>
                <w:bCs/>
                <w:sz w:val="26"/>
                <w:szCs w:val="26"/>
                <w:rtl/>
              </w:rPr>
              <w:t>מדינת ישראל - פרקליטות מחוז ת"א (פלילי) -</w:t>
            </w:r>
          </w:p>
          <w:p w14:paraId="2F886399" w14:textId="77777777" w:rsidR="00B5602A" w:rsidRPr="005D0099" w:rsidRDefault="00B5602A" w:rsidP="005D0099">
            <w:pPr>
              <w:spacing w:before="120" w:after="120" w:line="240" w:lineRule="exact"/>
              <w:jc w:val="both"/>
              <w:rPr>
                <w:rFonts w:ascii="David" w:hAnsi="David"/>
                <w:b/>
                <w:bCs/>
                <w:sz w:val="26"/>
                <w:szCs w:val="26"/>
              </w:rPr>
            </w:pPr>
            <w:r w:rsidRPr="005D0099">
              <w:rPr>
                <w:rFonts w:ascii="David" w:hAnsi="David"/>
                <w:b/>
                <w:bCs/>
                <w:sz w:val="26"/>
                <w:szCs w:val="26"/>
                <w:rtl/>
              </w:rPr>
              <w:t xml:space="preserve">ע"י ב"כ עו"ד פנינה לוי </w:t>
            </w:r>
          </w:p>
        </w:tc>
        <w:tc>
          <w:tcPr>
            <w:tcW w:w="2188" w:type="dxa"/>
            <w:shd w:val="clear" w:color="auto" w:fill="auto"/>
          </w:tcPr>
          <w:p w14:paraId="1E61B97A" w14:textId="77777777" w:rsidR="00B5602A" w:rsidRPr="005D0099" w:rsidRDefault="00B5602A" w:rsidP="005D0099">
            <w:pPr>
              <w:spacing w:before="120" w:after="120" w:line="240" w:lineRule="exact"/>
              <w:jc w:val="right"/>
              <w:rPr>
                <w:rFonts w:ascii="David" w:hAnsi="David"/>
                <w:b/>
                <w:bCs/>
                <w:sz w:val="26"/>
                <w:szCs w:val="26"/>
              </w:rPr>
            </w:pPr>
            <w:r w:rsidRPr="005D0099">
              <w:rPr>
                <w:rFonts w:ascii="David" w:hAnsi="David"/>
                <w:b/>
                <w:bCs/>
                <w:sz w:val="26"/>
                <w:szCs w:val="26"/>
                <w:rtl/>
              </w:rPr>
              <w:t>המאשימה</w:t>
            </w:r>
          </w:p>
        </w:tc>
      </w:tr>
      <w:bookmarkEnd w:id="0"/>
      <w:bookmarkEnd w:id="1"/>
      <w:tr w:rsidR="005D0099" w:rsidRPr="005D0099" w14:paraId="7431A653" w14:textId="77777777" w:rsidTr="00350921">
        <w:trPr>
          <w:trHeight w:val="352"/>
          <w:jc w:val="center"/>
        </w:trPr>
        <w:tc>
          <w:tcPr>
            <w:tcW w:w="8637" w:type="dxa"/>
            <w:gridSpan w:val="4"/>
            <w:shd w:val="clear" w:color="auto" w:fill="auto"/>
          </w:tcPr>
          <w:p w14:paraId="1A957EE4" w14:textId="77777777" w:rsidR="005D0099" w:rsidRPr="005D0099" w:rsidRDefault="005D0099" w:rsidP="005D0099">
            <w:pPr>
              <w:spacing w:before="240" w:after="240" w:line="240" w:lineRule="exact"/>
              <w:jc w:val="center"/>
              <w:rPr>
                <w:rFonts w:ascii="David" w:hAnsi="David" w:hint="cs"/>
                <w:b/>
                <w:bCs/>
                <w:sz w:val="26"/>
                <w:szCs w:val="26"/>
              </w:rPr>
            </w:pPr>
            <w:r w:rsidRPr="005D0099">
              <w:rPr>
                <w:rFonts w:ascii="David" w:hAnsi="David"/>
                <w:b/>
                <w:bCs/>
                <w:sz w:val="26"/>
                <w:szCs w:val="26"/>
                <w:rtl/>
              </w:rPr>
              <w:t>נגד</w:t>
            </w:r>
          </w:p>
        </w:tc>
      </w:tr>
      <w:tr w:rsidR="00B5602A" w:rsidRPr="005D0099" w14:paraId="0513B7E5" w14:textId="77777777" w:rsidTr="005D0099">
        <w:trPr>
          <w:trHeight w:val="76"/>
          <w:jc w:val="center"/>
        </w:trPr>
        <w:tc>
          <w:tcPr>
            <w:tcW w:w="893" w:type="dxa"/>
            <w:shd w:val="clear" w:color="auto" w:fill="auto"/>
          </w:tcPr>
          <w:p w14:paraId="2FC6B284" w14:textId="77777777" w:rsidR="00B5602A" w:rsidRPr="005D0099" w:rsidRDefault="00B5602A" w:rsidP="005D0099">
            <w:pPr>
              <w:spacing w:before="120" w:after="120" w:line="240" w:lineRule="exact"/>
              <w:jc w:val="both"/>
              <w:rPr>
                <w:rFonts w:ascii="David" w:hAnsi="David"/>
                <w:b/>
                <w:bCs/>
                <w:sz w:val="26"/>
                <w:szCs w:val="26"/>
              </w:rPr>
            </w:pPr>
          </w:p>
        </w:tc>
        <w:tc>
          <w:tcPr>
            <w:tcW w:w="5561" w:type="dxa"/>
            <w:shd w:val="clear" w:color="auto" w:fill="auto"/>
          </w:tcPr>
          <w:p w14:paraId="74BB4F3C" w14:textId="77777777" w:rsidR="00B5602A" w:rsidRPr="005D0099" w:rsidRDefault="00B5602A" w:rsidP="005D0099">
            <w:pPr>
              <w:bidi w:val="0"/>
              <w:spacing w:before="120" w:after="120" w:line="240" w:lineRule="exact"/>
              <w:jc w:val="right"/>
              <w:rPr>
                <w:rFonts w:ascii="David" w:hAnsi="David"/>
                <w:b/>
                <w:bCs/>
                <w:sz w:val="26"/>
                <w:szCs w:val="26"/>
              </w:rPr>
            </w:pPr>
            <w:r w:rsidRPr="005D0099">
              <w:rPr>
                <w:rFonts w:ascii="David" w:hAnsi="David"/>
                <w:b/>
                <w:bCs/>
                <w:sz w:val="26"/>
                <w:szCs w:val="26"/>
                <w:rtl/>
              </w:rPr>
              <w:t>אחמד אלעביד -</w:t>
            </w:r>
          </w:p>
          <w:p w14:paraId="50DBB678" w14:textId="77777777" w:rsidR="00B5602A" w:rsidRPr="005D0099" w:rsidRDefault="00B5602A" w:rsidP="005D0099">
            <w:pPr>
              <w:bidi w:val="0"/>
              <w:spacing w:before="120" w:after="120" w:line="240" w:lineRule="exact"/>
              <w:jc w:val="right"/>
              <w:rPr>
                <w:rFonts w:ascii="David" w:hAnsi="David"/>
                <w:b/>
                <w:bCs/>
                <w:sz w:val="26"/>
                <w:szCs w:val="26"/>
              </w:rPr>
            </w:pPr>
            <w:r w:rsidRPr="005D0099">
              <w:rPr>
                <w:rFonts w:ascii="David" w:hAnsi="David"/>
                <w:b/>
                <w:bCs/>
                <w:sz w:val="26"/>
                <w:szCs w:val="26"/>
                <w:rtl/>
              </w:rPr>
              <w:t>ע"י ב"כ עו"ד אורי בן-נתן ושיר שם טוב</w:t>
            </w:r>
          </w:p>
        </w:tc>
        <w:tc>
          <w:tcPr>
            <w:tcW w:w="2183" w:type="dxa"/>
            <w:gridSpan w:val="2"/>
            <w:shd w:val="clear" w:color="auto" w:fill="auto"/>
          </w:tcPr>
          <w:p w14:paraId="17F3F53C" w14:textId="77777777" w:rsidR="00B5602A" w:rsidRPr="005D0099" w:rsidRDefault="00B5602A" w:rsidP="005D0099">
            <w:pPr>
              <w:spacing w:before="120" w:after="120" w:line="240" w:lineRule="exact"/>
              <w:jc w:val="right"/>
              <w:rPr>
                <w:rFonts w:ascii="David" w:hAnsi="David"/>
                <w:b/>
                <w:bCs/>
                <w:sz w:val="26"/>
                <w:szCs w:val="26"/>
                <w:rtl/>
              </w:rPr>
            </w:pPr>
            <w:r w:rsidRPr="005D0099">
              <w:rPr>
                <w:rFonts w:ascii="David" w:hAnsi="David"/>
                <w:b/>
                <w:bCs/>
                <w:sz w:val="26"/>
                <w:szCs w:val="26"/>
                <w:rtl/>
              </w:rPr>
              <w:t>הנאשם</w:t>
            </w:r>
          </w:p>
        </w:tc>
      </w:tr>
    </w:tbl>
    <w:p w14:paraId="60828F67" w14:textId="77777777" w:rsidR="00A255A2" w:rsidRPr="00A255A2" w:rsidRDefault="00A255A2"/>
    <w:p w14:paraId="0BC439A3" w14:textId="77777777" w:rsidR="005D0099" w:rsidRPr="005D0099" w:rsidRDefault="005D0099" w:rsidP="005D0099">
      <w:pPr>
        <w:spacing w:before="120" w:after="120" w:line="240" w:lineRule="exact"/>
        <w:ind w:left="283" w:hanging="283"/>
        <w:jc w:val="both"/>
        <w:rPr>
          <w:rFonts w:ascii="FrankRuehl" w:hAnsi="FrankRuehl" w:cs="FrankRuehl"/>
          <w:rtl/>
        </w:rPr>
      </w:pPr>
      <w:r w:rsidRPr="005D0099">
        <w:rPr>
          <w:rFonts w:ascii="FrankRuehl" w:hAnsi="FrankRuehl" w:cs="FrankRuehl"/>
          <w:rtl/>
        </w:rPr>
        <w:t xml:space="preserve">חקיקה שאוזכרה: </w:t>
      </w:r>
    </w:p>
    <w:p w14:paraId="01E3E62E" w14:textId="77777777" w:rsidR="005D0099" w:rsidRPr="005D0099" w:rsidRDefault="005D0099" w:rsidP="005D0099">
      <w:pPr>
        <w:spacing w:before="120" w:after="120" w:line="240" w:lineRule="exact"/>
        <w:ind w:left="283" w:hanging="283"/>
        <w:jc w:val="both"/>
        <w:rPr>
          <w:rFonts w:ascii="FrankRuehl" w:hAnsi="FrankRuehl" w:cs="FrankRuehl"/>
          <w:color w:val="0000FF"/>
          <w:rtl/>
        </w:rPr>
      </w:pPr>
      <w:hyperlink r:id="rId7" w:history="1">
        <w:r w:rsidRPr="005D0099">
          <w:rPr>
            <w:rStyle w:val="Hyperlink"/>
            <w:rFonts w:ascii="FrankRuehl" w:hAnsi="FrankRuehl" w:cs="FrankRuehl"/>
            <w:u w:val="none"/>
            <w:rtl/>
          </w:rPr>
          <w:t>חוק העונשין, תשל"ז-1977</w:t>
        </w:r>
      </w:hyperlink>
      <w:r w:rsidRPr="005D0099">
        <w:rPr>
          <w:rFonts w:ascii="FrankRuehl" w:hAnsi="FrankRuehl" w:cs="FrankRuehl"/>
          <w:color w:val="0000FF"/>
          <w:rtl/>
        </w:rPr>
        <w:t xml:space="preserve">: סע'  </w:t>
      </w:r>
      <w:hyperlink r:id="rId8" w:history="1">
        <w:r w:rsidRPr="005D0099">
          <w:rPr>
            <w:rStyle w:val="Hyperlink"/>
            <w:rFonts w:ascii="FrankRuehl" w:hAnsi="FrankRuehl" w:cs="FrankRuehl"/>
            <w:u w:val="none"/>
          </w:rPr>
          <w:t>40</w:t>
        </w:r>
        <w:r w:rsidRPr="005D0099">
          <w:rPr>
            <w:rStyle w:val="Hyperlink"/>
            <w:rFonts w:ascii="FrankRuehl" w:hAnsi="FrankRuehl" w:cs="FrankRuehl"/>
            <w:u w:val="none"/>
            <w:rtl/>
          </w:rPr>
          <w:t>ב</w:t>
        </w:r>
      </w:hyperlink>
      <w:r w:rsidRPr="005D0099">
        <w:rPr>
          <w:rFonts w:ascii="FrankRuehl" w:hAnsi="FrankRuehl" w:cs="FrankRuehl"/>
          <w:color w:val="0000FF"/>
          <w:rtl/>
        </w:rPr>
        <w:t xml:space="preserve">, </w:t>
      </w:r>
      <w:hyperlink r:id="rId9" w:history="1">
        <w:r w:rsidRPr="005D0099">
          <w:rPr>
            <w:rStyle w:val="Hyperlink"/>
            <w:rFonts w:ascii="FrankRuehl" w:hAnsi="FrankRuehl" w:cs="FrankRuehl"/>
            <w:u w:val="none"/>
          </w:rPr>
          <w:t>40</w:t>
        </w:r>
        <w:r w:rsidRPr="005D0099">
          <w:rPr>
            <w:rStyle w:val="Hyperlink"/>
            <w:rFonts w:ascii="FrankRuehl" w:hAnsi="FrankRuehl" w:cs="FrankRuehl"/>
            <w:u w:val="none"/>
            <w:rtl/>
          </w:rPr>
          <w:t>ג</w:t>
        </w:r>
      </w:hyperlink>
      <w:r w:rsidRPr="005D0099">
        <w:rPr>
          <w:rFonts w:ascii="FrankRuehl" w:hAnsi="FrankRuehl" w:cs="FrankRuehl"/>
          <w:color w:val="0000FF"/>
          <w:rtl/>
        </w:rPr>
        <w:t xml:space="preserve">, </w:t>
      </w:r>
      <w:hyperlink r:id="rId10" w:history="1">
        <w:r w:rsidRPr="005D0099">
          <w:rPr>
            <w:rStyle w:val="Hyperlink"/>
            <w:rFonts w:ascii="FrankRuehl" w:hAnsi="FrankRuehl" w:cs="FrankRuehl"/>
            <w:u w:val="none"/>
          </w:rPr>
          <w:t>40</w:t>
        </w:r>
        <w:r w:rsidRPr="005D0099">
          <w:rPr>
            <w:rStyle w:val="Hyperlink"/>
            <w:rFonts w:ascii="FrankRuehl" w:hAnsi="FrankRuehl" w:cs="FrankRuehl"/>
            <w:u w:val="none"/>
            <w:rtl/>
          </w:rPr>
          <w:t>ד</w:t>
        </w:r>
      </w:hyperlink>
      <w:r w:rsidRPr="005D0099">
        <w:rPr>
          <w:rFonts w:ascii="FrankRuehl" w:hAnsi="FrankRuehl" w:cs="FrankRuehl"/>
          <w:color w:val="0000FF"/>
          <w:rtl/>
        </w:rPr>
        <w:t xml:space="preserve">, </w:t>
      </w:r>
      <w:hyperlink r:id="rId11" w:history="1">
        <w:r w:rsidRPr="005D0099">
          <w:rPr>
            <w:rStyle w:val="Hyperlink"/>
            <w:rFonts w:ascii="FrankRuehl" w:hAnsi="FrankRuehl" w:cs="FrankRuehl"/>
            <w:u w:val="none"/>
          </w:rPr>
          <w:t>40</w:t>
        </w:r>
        <w:r w:rsidRPr="005D0099">
          <w:rPr>
            <w:rStyle w:val="Hyperlink"/>
            <w:rFonts w:ascii="FrankRuehl" w:hAnsi="FrankRuehl" w:cs="FrankRuehl"/>
            <w:u w:val="none"/>
            <w:rtl/>
          </w:rPr>
          <w:t>ה</w:t>
        </w:r>
      </w:hyperlink>
      <w:r w:rsidRPr="005D0099">
        <w:rPr>
          <w:rFonts w:ascii="FrankRuehl" w:hAnsi="FrankRuehl" w:cs="FrankRuehl"/>
          <w:color w:val="0000FF"/>
          <w:rtl/>
        </w:rPr>
        <w:t xml:space="preserve">, </w:t>
      </w:r>
      <w:hyperlink r:id="rId12" w:history="1">
        <w:r w:rsidRPr="005D0099">
          <w:rPr>
            <w:rStyle w:val="Hyperlink"/>
            <w:rFonts w:ascii="FrankRuehl" w:hAnsi="FrankRuehl" w:cs="FrankRuehl"/>
            <w:u w:val="none"/>
          </w:rPr>
          <w:t>40</w:t>
        </w:r>
        <w:r w:rsidRPr="005D0099">
          <w:rPr>
            <w:rStyle w:val="Hyperlink"/>
            <w:rFonts w:ascii="FrankRuehl" w:hAnsi="FrankRuehl" w:cs="FrankRuehl"/>
            <w:u w:val="none"/>
            <w:rtl/>
          </w:rPr>
          <w:t>ו</w:t>
        </w:r>
      </w:hyperlink>
      <w:r w:rsidRPr="005D0099">
        <w:rPr>
          <w:rFonts w:ascii="FrankRuehl" w:hAnsi="FrankRuehl" w:cs="FrankRuehl"/>
          <w:color w:val="0000FF"/>
          <w:rtl/>
        </w:rPr>
        <w:t xml:space="preserve">, </w:t>
      </w:r>
      <w:hyperlink r:id="rId13" w:history="1">
        <w:r w:rsidRPr="005D0099">
          <w:rPr>
            <w:rStyle w:val="Hyperlink"/>
            <w:rFonts w:ascii="FrankRuehl" w:hAnsi="FrankRuehl" w:cs="FrankRuehl"/>
            <w:u w:val="none"/>
          </w:rPr>
          <w:t>40</w:t>
        </w:r>
        <w:r w:rsidRPr="005D0099">
          <w:rPr>
            <w:rStyle w:val="Hyperlink"/>
            <w:rFonts w:ascii="FrankRuehl" w:hAnsi="FrankRuehl" w:cs="FrankRuehl"/>
            <w:u w:val="none"/>
            <w:rtl/>
          </w:rPr>
          <w:t>ז</w:t>
        </w:r>
      </w:hyperlink>
      <w:r w:rsidRPr="005D0099">
        <w:rPr>
          <w:rFonts w:ascii="FrankRuehl" w:hAnsi="FrankRuehl" w:cs="FrankRuehl"/>
          <w:color w:val="0000FF"/>
          <w:rtl/>
        </w:rPr>
        <w:t xml:space="preserve">, </w:t>
      </w:r>
      <w:hyperlink r:id="rId14"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 </w:t>
      </w:r>
      <w:hyperlink r:id="rId15"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(א), </w:t>
      </w:r>
      <w:hyperlink r:id="rId16"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(א)(1), </w:t>
      </w:r>
      <w:hyperlink r:id="rId17"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(א)(10), </w:t>
      </w:r>
      <w:hyperlink r:id="rId18"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(א)(2), </w:t>
      </w:r>
      <w:hyperlink r:id="rId19"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(א)(3), </w:t>
      </w:r>
      <w:hyperlink r:id="rId20" w:history="1">
        <w:r w:rsidRPr="005D0099">
          <w:rPr>
            <w:rStyle w:val="Hyperlink"/>
            <w:rFonts w:ascii="FrankRuehl" w:hAnsi="FrankRuehl" w:cs="FrankRuehl"/>
            <w:u w:val="none"/>
          </w:rPr>
          <w:t>40</w:t>
        </w:r>
        <w:r w:rsidRPr="005D0099">
          <w:rPr>
            <w:rStyle w:val="Hyperlink"/>
            <w:rFonts w:ascii="FrankRuehl" w:hAnsi="FrankRuehl" w:cs="FrankRuehl"/>
            <w:u w:val="none"/>
            <w:rtl/>
          </w:rPr>
          <w:t>ט</w:t>
        </w:r>
      </w:hyperlink>
      <w:r w:rsidRPr="005D0099">
        <w:rPr>
          <w:rFonts w:ascii="FrankRuehl" w:hAnsi="FrankRuehl" w:cs="FrankRuehl"/>
          <w:color w:val="0000FF"/>
          <w:rtl/>
        </w:rPr>
        <w:t xml:space="preserve">(א)(4), </w:t>
      </w:r>
      <w:hyperlink r:id="rId21" w:history="1">
        <w:r w:rsidRPr="005D0099">
          <w:rPr>
            <w:rStyle w:val="Hyperlink"/>
            <w:rFonts w:ascii="FrankRuehl" w:hAnsi="FrankRuehl" w:cs="FrankRuehl"/>
            <w:u w:val="none"/>
          </w:rPr>
          <w:t>144</w:t>
        </w:r>
      </w:hyperlink>
      <w:r w:rsidRPr="005D0099">
        <w:rPr>
          <w:rFonts w:ascii="FrankRuehl" w:hAnsi="FrankRuehl" w:cs="FrankRuehl"/>
          <w:color w:val="0000FF"/>
          <w:rtl/>
        </w:rPr>
        <w:t xml:space="preserve">(ב), </w:t>
      </w:r>
      <w:hyperlink r:id="rId22" w:history="1">
        <w:r w:rsidRPr="005D0099">
          <w:rPr>
            <w:rStyle w:val="Hyperlink"/>
            <w:rFonts w:ascii="FrankRuehl" w:hAnsi="FrankRuehl" w:cs="FrankRuehl"/>
            <w:u w:val="none"/>
          </w:rPr>
          <w:t>329</w:t>
        </w:r>
      </w:hyperlink>
      <w:r w:rsidRPr="005D0099">
        <w:rPr>
          <w:rFonts w:ascii="FrankRuehl" w:hAnsi="FrankRuehl" w:cs="FrankRuehl"/>
          <w:color w:val="0000FF"/>
          <w:rtl/>
        </w:rPr>
        <w:t xml:space="preserve">, </w:t>
      </w:r>
      <w:hyperlink r:id="rId23" w:history="1">
        <w:r w:rsidRPr="005D0099">
          <w:rPr>
            <w:rStyle w:val="Hyperlink"/>
            <w:rFonts w:ascii="FrankRuehl" w:hAnsi="FrankRuehl" w:cs="FrankRuehl"/>
            <w:u w:val="none"/>
          </w:rPr>
          <w:t>329</w:t>
        </w:r>
      </w:hyperlink>
      <w:r w:rsidRPr="005D0099">
        <w:rPr>
          <w:rFonts w:ascii="FrankRuehl" w:hAnsi="FrankRuehl" w:cs="FrankRuehl"/>
          <w:color w:val="0000FF"/>
          <w:rtl/>
        </w:rPr>
        <w:t xml:space="preserve">(א)(1), </w:t>
      </w:r>
      <w:hyperlink r:id="rId24" w:history="1">
        <w:r w:rsidRPr="005D0099">
          <w:rPr>
            <w:rStyle w:val="Hyperlink"/>
            <w:rFonts w:ascii="FrankRuehl" w:hAnsi="FrankRuehl" w:cs="FrankRuehl"/>
            <w:u w:val="none"/>
          </w:rPr>
          <w:t>340</w:t>
        </w:r>
        <w:r w:rsidRPr="005D0099">
          <w:rPr>
            <w:rStyle w:val="Hyperlink"/>
            <w:rFonts w:ascii="FrankRuehl" w:hAnsi="FrankRuehl" w:cs="FrankRuehl"/>
            <w:u w:val="none"/>
            <w:rtl/>
          </w:rPr>
          <w:t>א</w:t>
        </w:r>
      </w:hyperlink>
      <w:r w:rsidRPr="005D0099">
        <w:rPr>
          <w:rFonts w:ascii="FrankRuehl" w:hAnsi="FrankRuehl" w:cs="FrankRuehl"/>
          <w:color w:val="0000FF"/>
          <w:rtl/>
        </w:rPr>
        <w:t xml:space="preserve">(ב)(1), </w:t>
      </w:r>
      <w:hyperlink r:id="rId25" w:history="1">
        <w:r w:rsidRPr="005D0099">
          <w:rPr>
            <w:rStyle w:val="Hyperlink"/>
            <w:rFonts w:ascii="FrankRuehl" w:hAnsi="FrankRuehl" w:cs="FrankRuehl"/>
            <w:u w:val="none"/>
          </w:rPr>
          <w:t>40</w:t>
        </w:r>
        <w:r w:rsidRPr="005D0099">
          <w:rPr>
            <w:rStyle w:val="Hyperlink"/>
            <w:rFonts w:ascii="FrankRuehl" w:hAnsi="FrankRuehl" w:cs="FrankRuehl"/>
            <w:u w:val="none"/>
            <w:rtl/>
          </w:rPr>
          <w:t>יא</w:t>
        </w:r>
      </w:hyperlink>
      <w:r w:rsidRPr="005D0099">
        <w:rPr>
          <w:rFonts w:ascii="FrankRuehl" w:hAnsi="FrankRuehl" w:cs="FrankRuehl"/>
          <w:color w:val="0000FF"/>
          <w:rtl/>
        </w:rPr>
        <w:t xml:space="preserve">, </w:t>
      </w:r>
      <w:hyperlink r:id="rId26" w:history="1">
        <w:r w:rsidRPr="005D0099">
          <w:rPr>
            <w:rStyle w:val="Hyperlink"/>
            <w:rFonts w:ascii="FrankRuehl" w:hAnsi="FrankRuehl" w:cs="FrankRuehl"/>
            <w:u w:val="none"/>
          </w:rPr>
          <w:t>40</w:t>
        </w:r>
        <w:r w:rsidRPr="005D0099">
          <w:rPr>
            <w:rStyle w:val="Hyperlink"/>
            <w:rFonts w:ascii="FrankRuehl" w:hAnsi="FrankRuehl" w:cs="FrankRuehl"/>
            <w:u w:val="none"/>
            <w:rtl/>
          </w:rPr>
          <w:t>יא</w:t>
        </w:r>
      </w:hyperlink>
      <w:r w:rsidRPr="005D0099">
        <w:rPr>
          <w:rFonts w:ascii="FrankRuehl" w:hAnsi="FrankRuehl" w:cs="FrankRuehl"/>
          <w:color w:val="0000FF"/>
          <w:rtl/>
        </w:rPr>
        <w:t xml:space="preserve">(1), </w:t>
      </w:r>
      <w:hyperlink r:id="rId27" w:history="1">
        <w:r w:rsidRPr="005D0099">
          <w:rPr>
            <w:rStyle w:val="Hyperlink"/>
            <w:rFonts w:ascii="FrankRuehl" w:hAnsi="FrankRuehl" w:cs="FrankRuehl"/>
            <w:u w:val="none"/>
          </w:rPr>
          <w:t>40</w:t>
        </w:r>
        <w:r w:rsidRPr="005D0099">
          <w:rPr>
            <w:rStyle w:val="Hyperlink"/>
            <w:rFonts w:ascii="FrankRuehl" w:hAnsi="FrankRuehl" w:cs="FrankRuehl"/>
            <w:u w:val="none"/>
            <w:rtl/>
          </w:rPr>
          <w:t>יא</w:t>
        </w:r>
      </w:hyperlink>
      <w:r w:rsidRPr="005D0099">
        <w:rPr>
          <w:rFonts w:ascii="FrankRuehl" w:hAnsi="FrankRuehl" w:cs="FrankRuehl"/>
          <w:color w:val="0000FF"/>
          <w:rtl/>
        </w:rPr>
        <w:t xml:space="preserve">(11), </w:t>
      </w:r>
      <w:hyperlink r:id="rId28" w:history="1">
        <w:r w:rsidRPr="005D0099">
          <w:rPr>
            <w:rStyle w:val="Hyperlink"/>
            <w:rFonts w:ascii="FrankRuehl" w:hAnsi="FrankRuehl" w:cs="FrankRuehl"/>
            <w:u w:val="none"/>
          </w:rPr>
          <w:t>40</w:t>
        </w:r>
        <w:r w:rsidRPr="005D0099">
          <w:rPr>
            <w:rStyle w:val="Hyperlink"/>
            <w:rFonts w:ascii="FrankRuehl" w:hAnsi="FrankRuehl" w:cs="FrankRuehl"/>
            <w:u w:val="none"/>
            <w:rtl/>
          </w:rPr>
          <w:t>יא</w:t>
        </w:r>
      </w:hyperlink>
      <w:r w:rsidRPr="005D0099">
        <w:rPr>
          <w:rFonts w:ascii="FrankRuehl" w:hAnsi="FrankRuehl" w:cs="FrankRuehl"/>
          <w:color w:val="0000FF"/>
          <w:rtl/>
        </w:rPr>
        <w:t xml:space="preserve">(4), </w:t>
      </w:r>
      <w:hyperlink r:id="rId29" w:history="1">
        <w:r w:rsidRPr="005D0099">
          <w:rPr>
            <w:rStyle w:val="Hyperlink"/>
            <w:rFonts w:ascii="FrankRuehl" w:hAnsi="FrankRuehl" w:cs="FrankRuehl"/>
            <w:u w:val="none"/>
          </w:rPr>
          <w:t>40</w:t>
        </w:r>
        <w:r w:rsidRPr="005D0099">
          <w:rPr>
            <w:rStyle w:val="Hyperlink"/>
            <w:rFonts w:ascii="FrankRuehl" w:hAnsi="FrankRuehl" w:cs="FrankRuehl"/>
            <w:u w:val="none"/>
            <w:rtl/>
          </w:rPr>
          <w:t>יג</w:t>
        </w:r>
      </w:hyperlink>
      <w:r w:rsidRPr="005D0099">
        <w:rPr>
          <w:rFonts w:ascii="FrankRuehl" w:hAnsi="FrankRuehl" w:cs="FrankRuehl"/>
          <w:color w:val="0000FF"/>
          <w:rtl/>
        </w:rPr>
        <w:t>(א)</w:t>
      </w:r>
    </w:p>
    <w:p w14:paraId="1F021C86" w14:textId="77777777" w:rsidR="0047505D" w:rsidRDefault="0047505D" w:rsidP="005D0099">
      <w:pPr>
        <w:spacing w:line="360" w:lineRule="auto"/>
        <w:jc w:val="center"/>
        <w:rPr>
          <w:rFonts w:ascii="David" w:hAnsi="David" w:hint="cs"/>
          <w:sz w:val="36"/>
          <w:szCs w:val="36"/>
          <w:rtl/>
        </w:rPr>
      </w:pPr>
      <w:bookmarkStart w:id="3" w:name="LawTable_End"/>
      <w:bookmarkEnd w:id="3"/>
    </w:p>
    <w:p w14:paraId="2F0D01CC"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tl/>
        </w:rPr>
      </w:pPr>
      <w:bookmarkStart w:id="4" w:name="ABSTRACT_START"/>
      <w:bookmarkEnd w:id="4"/>
      <w:r w:rsidRPr="00BE540F">
        <w:rPr>
          <w:rFonts w:cs="FrankRuehl" w:hint="cs"/>
          <w:szCs w:val="26"/>
          <w:rtl/>
        </w:rPr>
        <w:t>מיני-רציו:</w:t>
      </w:r>
    </w:p>
    <w:p w14:paraId="210AB3AC"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E540F">
        <w:rPr>
          <w:rFonts w:cs="FrankRuehl" w:hint="cs"/>
          <w:szCs w:val="26"/>
          <w:rtl/>
        </w:rPr>
        <w:t xml:space="preserve">בית המשפט הטיל על </w:t>
      </w:r>
      <w:r w:rsidRPr="00BE540F">
        <w:rPr>
          <w:rFonts w:cs="FrankRuehl"/>
          <w:szCs w:val="26"/>
          <w:rtl/>
        </w:rPr>
        <w:t xml:space="preserve">הנאשם </w:t>
      </w:r>
      <w:r w:rsidRPr="00BE540F">
        <w:rPr>
          <w:rFonts w:cs="FrankRuehl" w:hint="cs"/>
          <w:szCs w:val="26"/>
          <w:rtl/>
        </w:rPr>
        <w:t>ש</w:t>
      </w:r>
      <w:r w:rsidRPr="00BE540F">
        <w:rPr>
          <w:rFonts w:cs="FrankRuehl"/>
          <w:szCs w:val="26"/>
          <w:rtl/>
        </w:rPr>
        <w:t xml:space="preserve">הורשע בעבירות חבלה חמורה בכוונה מחמירה, נשיאת נשק </w:t>
      </w:r>
      <w:r w:rsidRPr="00BE540F">
        <w:rPr>
          <w:rFonts w:cs="FrankRuehl" w:hint="cs"/>
          <w:szCs w:val="26"/>
          <w:rtl/>
        </w:rPr>
        <w:t>ו</w:t>
      </w:r>
      <w:r w:rsidRPr="00BE540F">
        <w:rPr>
          <w:rFonts w:cs="FrankRuehl"/>
          <w:szCs w:val="26"/>
          <w:rtl/>
        </w:rPr>
        <w:t>ירי עם נשק חם באזור מגורים</w:t>
      </w:r>
      <w:r w:rsidRPr="00BE540F">
        <w:rPr>
          <w:rFonts w:cs="FrankRuehl" w:hint="cs"/>
          <w:szCs w:val="26"/>
          <w:rtl/>
        </w:rPr>
        <w:t xml:space="preserve"> </w:t>
      </w:r>
      <w:r w:rsidRPr="00BE540F">
        <w:rPr>
          <w:rFonts w:cs="FrankRuehl"/>
          <w:szCs w:val="26"/>
          <w:rtl/>
        </w:rPr>
        <w:t>– 8 שנות מאסר בפועל, שני מאסרים על תנאי ופיצוי למתלונן בסך של 50,000 ₪.</w:t>
      </w:r>
    </w:p>
    <w:p w14:paraId="329B88AE"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E540F">
        <w:rPr>
          <w:rFonts w:cs="FrankRuehl" w:hint="cs"/>
          <w:szCs w:val="26"/>
          <w:rtl/>
        </w:rPr>
        <w:t xml:space="preserve">עונשין </w:t>
      </w:r>
      <w:r w:rsidRPr="00BE540F">
        <w:rPr>
          <w:rFonts w:cs="FrankRuehl"/>
          <w:szCs w:val="26"/>
          <w:rtl/>
        </w:rPr>
        <w:t>–</w:t>
      </w:r>
      <w:r w:rsidRPr="00BE540F">
        <w:rPr>
          <w:rFonts w:cs="FrankRuehl" w:hint="cs"/>
          <w:szCs w:val="26"/>
          <w:rtl/>
        </w:rPr>
        <w:t xml:space="preserve"> ענישה </w:t>
      </w:r>
      <w:r w:rsidRPr="00BE540F">
        <w:rPr>
          <w:rFonts w:cs="FrankRuehl"/>
          <w:szCs w:val="26"/>
          <w:rtl/>
        </w:rPr>
        <w:t>–</w:t>
      </w:r>
      <w:r w:rsidRPr="00BE540F">
        <w:rPr>
          <w:rFonts w:cs="FrankRuehl" w:hint="cs"/>
          <w:szCs w:val="26"/>
          <w:rtl/>
        </w:rPr>
        <w:t xml:space="preserve"> מדיניות ענישה:</w:t>
      </w:r>
      <w:r w:rsidRPr="00BE540F">
        <w:rPr>
          <w:rFonts w:cs="FrankRuehl"/>
          <w:szCs w:val="26"/>
          <w:rtl/>
        </w:rPr>
        <w:t xml:space="preserve"> חבלה בכוונה מחמירה</w:t>
      </w:r>
    </w:p>
    <w:p w14:paraId="13D741B9"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E540F">
        <w:rPr>
          <w:rFonts w:cs="FrankRuehl" w:hint="cs"/>
          <w:szCs w:val="26"/>
          <w:rtl/>
        </w:rPr>
        <w:t xml:space="preserve">עונשין </w:t>
      </w:r>
      <w:r w:rsidRPr="00BE540F">
        <w:rPr>
          <w:rFonts w:cs="FrankRuehl"/>
          <w:szCs w:val="26"/>
          <w:rtl/>
        </w:rPr>
        <w:t>–</w:t>
      </w:r>
      <w:r w:rsidRPr="00BE540F">
        <w:rPr>
          <w:rFonts w:cs="FrankRuehl" w:hint="cs"/>
          <w:szCs w:val="26"/>
          <w:rtl/>
        </w:rPr>
        <w:t xml:space="preserve"> ענישה </w:t>
      </w:r>
      <w:r w:rsidRPr="00BE540F">
        <w:rPr>
          <w:rFonts w:cs="FrankRuehl"/>
          <w:szCs w:val="26"/>
          <w:rtl/>
        </w:rPr>
        <w:t>–</w:t>
      </w:r>
      <w:r w:rsidRPr="00BE540F">
        <w:rPr>
          <w:rFonts w:cs="FrankRuehl" w:hint="cs"/>
          <w:szCs w:val="26"/>
          <w:rtl/>
        </w:rPr>
        <w:t xml:space="preserve"> מדיניות ענישה: עבירות נשק</w:t>
      </w:r>
    </w:p>
    <w:p w14:paraId="440106C3" w14:textId="77777777" w:rsidR="005D0099" w:rsidRPr="00BE540F" w:rsidRDefault="005D0099" w:rsidP="005D009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66D3549"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tl/>
        </w:rPr>
      </w:pPr>
      <w:r w:rsidRPr="00BE540F">
        <w:rPr>
          <w:rFonts w:cs="FrankRuehl"/>
          <w:szCs w:val="26"/>
          <w:rtl/>
        </w:rPr>
        <w:t xml:space="preserve">הנאשם הורשע ע"פ הודאתו, במסגרת הסדר טיעון, בעבירות חבלה חמורה בכוונה מחמירה, נשיאת נשק, ירי עם נשק חם באזור מגורים. </w:t>
      </w:r>
    </w:p>
    <w:p w14:paraId="56A2388A" w14:textId="77777777" w:rsidR="005D0099" w:rsidRDefault="005D0099" w:rsidP="005D009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5FEC43"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tl/>
        </w:rPr>
      </w:pPr>
      <w:r w:rsidRPr="00BE540F">
        <w:rPr>
          <w:rFonts w:cs="FrankRuehl"/>
          <w:szCs w:val="26"/>
          <w:rtl/>
        </w:rPr>
        <w:t>בית המשפט המחוזי גזר את הדין כדלהלן:</w:t>
      </w:r>
    </w:p>
    <w:p w14:paraId="02F78FEC" w14:textId="77777777" w:rsidR="005D0099" w:rsidRPr="00BE540F" w:rsidRDefault="005D0099" w:rsidP="005D0099">
      <w:pPr>
        <w:pBdr>
          <w:top w:val="single" w:sz="4" w:space="1" w:color="auto"/>
          <w:bottom w:val="single" w:sz="4" w:space="1" w:color="auto"/>
        </w:pBdr>
        <w:spacing w:after="120" w:line="320" w:lineRule="exact"/>
        <w:jc w:val="both"/>
        <w:rPr>
          <w:rFonts w:cs="FrankRuehl"/>
          <w:szCs w:val="26"/>
        </w:rPr>
      </w:pPr>
      <w:r w:rsidRPr="00BE540F">
        <w:rPr>
          <w:rFonts w:cs="FrankRuehl"/>
          <w:szCs w:val="26"/>
          <w:rtl/>
        </w:rPr>
        <w:t xml:space="preserve">הערכים החברתיים שנפגעו מביצוע עבירת החבלה חמורה בכוונה מחמירה הן שלמות הגוף, וההגנה על שלום הציבור וביטחונו. הערך החברתי שנפגע מביצוע עבירות הנשק היא </w:t>
      </w:r>
      <w:r w:rsidRPr="00BE540F">
        <w:rPr>
          <w:rFonts w:eastAsia="Calibri" w:cs="FrankRuehl"/>
          <w:szCs w:val="26"/>
          <w:rtl/>
        </w:rPr>
        <w:t>הגנה על בטחון הציבור ושלומו</w:t>
      </w:r>
      <w:r w:rsidRPr="00BE540F">
        <w:rPr>
          <w:rFonts w:cs="FrankRuehl"/>
          <w:szCs w:val="26"/>
          <w:rtl/>
        </w:rPr>
        <w:t>. מידת הפגיעה בערכים החברתיים היא קשה ומשמעותית.</w:t>
      </w:r>
      <w:r w:rsidRPr="00BE540F">
        <w:rPr>
          <w:rFonts w:cs="FrankRuehl" w:hint="cs"/>
          <w:szCs w:val="26"/>
          <w:rtl/>
        </w:rPr>
        <w:t xml:space="preserve"> </w:t>
      </w:r>
      <w:r w:rsidRPr="00BE540F">
        <w:rPr>
          <w:rFonts w:cs="FrankRuehl"/>
          <w:szCs w:val="26"/>
          <w:rtl/>
        </w:rPr>
        <w:t xml:space="preserve">לאור השיקולים </w:t>
      </w:r>
      <w:r w:rsidRPr="00BE540F">
        <w:rPr>
          <w:rFonts w:cs="FrankRuehl" w:hint="cs"/>
          <w:szCs w:val="26"/>
          <w:rtl/>
        </w:rPr>
        <w:t xml:space="preserve">השונים </w:t>
      </w:r>
      <w:r w:rsidRPr="00BE540F">
        <w:rPr>
          <w:rFonts w:cs="FrankRuehl"/>
          <w:szCs w:val="26"/>
          <w:rtl/>
        </w:rPr>
        <w:t xml:space="preserve">ובהתחשב במדיניות הענישה הנהוגה, מתחם העונש ההולם הינו בין 7-11 שנות מאסר בפועל. בהתחשב בכלל השיקולים והנסיבות הוטלו על הנאשם 8 שנות מאסר בפועל, שני מאסרים על תנאי ופיצוי למתלונן בסך של 50,000 ₪. </w:t>
      </w:r>
    </w:p>
    <w:p w14:paraId="6E591272" w14:textId="77777777" w:rsidR="005D0099" w:rsidRPr="005D0099" w:rsidRDefault="005D0099" w:rsidP="005D0099">
      <w:pPr>
        <w:spacing w:line="360" w:lineRule="auto"/>
        <w:jc w:val="center"/>
        <w:rPr>
          <w:rFonts w:ascii="David" w:hAnsi="David" w:hint="cs"/>
          <w:sz w:val="36"/>
          <w:szCs w:val="36"/>
          <w:rtl/>
        </w:rPr>
      </w:pPr>
      <w:bookmarkStart w:id="5" w:name="ABSTRACT_END"/>
      <w:bookmarkEnd w:id="5"/>
    </w:p>
    <w:p w14:paraId="6A2584B8" w14:textId="77777777" w:rsidR="0047505D" w:rsidRPr="00A255A2" w:rsidRDefault="0047505D" w:rsidP="00A255A2">
      <w:pPr>
        <w:spacing w:line="360" w:lineRule="auto"/>
        <w:jc w:val="center"/>
        <w:rPr>
          <w:rFonts w:ascii="David" w:hAnsi="David"/>
          <w:b/>
          <w:bCs/>
          <w:sz w:val="36"/>
          <w:szCs w:val="36"/>
          <w:u w:val="single"/>
          <w:rtl/>
        </w:rPr>
      </w:pPr>
      <w:bookmarkStart w:id="6" w:name="PsakDin"/>
      <w:r w:rsidRPr="00A255A2">
        <w:rPr>
          <w:rFonts w:ascii="David" w:hAnsi="David"/>
          <w:b/>
          <w:bCs/>
          <w:sz w:val="36"/>
          <w:szCs w:val="36"/>
          <w:u w:val="single"/>
          <w:rtl/>
        </w:rPr>
        <w:t>גזר דין</w:t>
      </w:r>
    </w:p>
    <w:bookmarkEnd w:id="6"/>
    <w:p w14:paraId="3C616794" w14:textId="77777777" w:rsidR="0047505D" w:rsidRPr="00B5602A" w:rsidRDefault="0047505D" w:rsidP="00B5602A">
      <w:pPr>
        <w:spacing w:line="360" w:lineRule="auto"/>
        <w:jc w:val="center"/>
        <w:rPr>
          <w:rFonts w:ascii="David" w:hAnsi="David"/>
          <w:u w:val="single"/>
          <w:rtl/>
        </w:rPr>
      </w:pPr>
    </w:p>
    <w:p w14:paraId="7FCF5F58" w14:textId="77777777" w:rsidR="00B5602A" w:rsidRPr="001B32CC" w:rsidRDefault="00B5602A" w:rsidP="00B5602A">
      <w:pPr>
        <w:spacing w:line="360" w:lineRule="auto"/>
        <w:jc w:val="both"/>
        <w:rPr>
          <w:rFonts w:ascii="David" w:hAnsi="David"/>
          <w:b/>
          <w:bCs/>
          <w:sz w:val="28"/>
          <w:szCs w:val="28"/>
          <w:u w:val="single"/>
          <w:rtl/>
        </w:rPr>
      </w:pPr>
      <w:r w:rsidRPr="001B32CC">
        <w:rPr>
          <w:rFonts w:ascii="David" w:hAnsi="David"/>
          <w:b/>
          <w:bCs/>
          <w:sz w:val="28"/>
          <w:szCs w:val="28"/>
          <w:u w:val="single"/>
          <w:rtl/>
        </w:rPr>
        <w:t>השופט גלעד נויטל, נשיא, אב"ד</w:t>
      </w:r>
      <w:r w:rsidRPr="001B32CC">
        <w:rPr>
          <w:rFonts w:ascii="David" w:hAnsi="David"/>
          <w:b/>
          <w:bCs/>
          <w:sz w:val="28"/>
          <w:szCs w:val="28"/>
          <w:rtl/>
        </w:rPr>
        <w:t>:</w:t>
      </w:r>
    </w:p>
    <w:p w14:paraId="5189B737" w14:textId="77777777" w:rsidR="00B5602A" w:rsidRPr="00F958C5" w:rsidRDefault="00B5602A" w:rsidP="00B5602A">
      <w:pPr>
        <w:spacing w:line="360" w:lineRule="auto"/>
        <w:jc w:val="both"/>
        <w:rPr>
          <w:rFonts w:ascii="David" w:hAnsi="David"/>
          <w:b/>
          <w:bCs/>
          <w:u w:val="single"/>
          <w:rtl/>
        </w:rPr>
      </w:pPr>
    </w:p>
    <w:p w14:paraId="2B46A9C0" w14:textId="77777777" w:rsidR="00B5602A" w:rsidRPr="000C0391" w:rsidRDefault="00B5602A" w:rsidP="00B5602A">
      <w:pPr>
        <w:spacing w:line="360" w:lineRule="auto"/>
        <w:jc w:val="both"/>
        <w:rPr>
          <w:rFonts w:ascii="David" w:hAnsi="David"/>
          <w:b/>
          <w:bCs/>
          <w:highlight w:val="yellow"/>
          <w:rtl/>
        </w:rPr>
      </w:pPr>
      <w:r w:rsidRPr="000C0391">
        <w:rPr>
          <w:rFonts w:ascii="David" w:hAnsi="David"/>
          <w:rtl/>
        </w:rPr>
        <w:t xml:space="preserve">הצדדים ערכו הסדר טיעון, בתום הליך גישור, במסגרתו תוקן כתב האישום, הנאשם הודה בעובדותיו והורשע ביום 9.1.23 בעבירות כדלקמן: עבירת </w:t>
      </w:r>
      <w:r w:rsidRPr="000C0391">
        <w:rPr>
          <w:rFonts w:ascii="David" w:hAnsi="David"/>
          <w:b/>
          <w:bCs/>
          <w:rtl/>
        </w:rPr>
        <w:t>חבלה חמורה בכוונה מחמירה</w:t>
      </w:r>
      <w:r w:rsidRPr="000C0391">
        <w:rPr>
          <w:rFonts w:ascii="David" w:hAnsi="David"/>
          <w:rtl/>
        </w:rPr>
        <w:t xml:space="preserve"> לפי </w:t>
      </w:r>
      <w:hyperlink r:id="rId30" w:history="1">
        <w:r w:rsidR="0047505D" w:rsidRPr="0047505D">
          <w:rPr>
            <w:rStyle w:val="Hyperlink"/>
            <w:rFonts w:ascii="David" w:hAnsi="David"/>
            <w:rtl/>
          </w:rPr>
          <w:t>סעיף 329(א)(1)</w:t>
        </w:r>
      </w:hyperlink>
      <w:r w:rsidRPr="000C0391">
        <w:rPr>
          <w:rFonts w:ascii="David" w:hAnsi="David"/>
          <w:rtl/>
        </w:rPr>
        <w:t xml:space="preserve"> ל</w:t>
      </w:r>
      <w:hyperlink r:id="rId31" w:history="1">
        <w:r w:rsidR="00A255A2" w:rsidRPr="00A255A2">
          <w:rPr>
            <w:rFonts w:ascii="David" w:hAnsi="David"/>
            <w:color w:val="0000FF"/>
            <w:u w:val="single"/>
            <w:rtl/>
          </w:rPr>
          <w:t>חוק העונשין</w:t>
        </w:r>
      </w:hyperlink>
      <w:r w:rsidRPr="000C0391">
        <w:rPr>
          <w:rFonts w:ascii="David" w:hAnsi="David"/>
          <w:rtl/>
        </w:rPr>
        <w:t>, התשל"ז-1977 (להלן: "</w:t>
      </w:r>
      <w:r w:rsidRPr="000C0391">
        <w:rPr>
          <w:rFonts w:ascii="David" w:hAnsi="David"/>
          <w:b/>
          <w:bCs/>
          <w:rtl/>
        </w:rPr>
        <w:t>החוק</w:t>
      </w:r>
      <w:r w:rsidRPr="000C0391">
        <w:rPr>
          <w:rFonts w:ascii="David" w:hAnsi="David"/>
          <w:rtl/>
        </w:rPr>
        <w:t xml:space="preserve">"); עבירה של </w:t>
      </w:r>
      <w:r w:rsidRPr="000C0391">
        <w:rPr>
          <w:rFonts w:ascii="David" w:hAnsi="David"/>
          <w:b/>
          <w:bCs/>
          <w:rtl/>
        </w:rPr>
        <w:t>נשיאת נשק</w:t>
      </w:r>
      <w:r w:rsidRPr="000C0391">
        <w:rPr>
          <w:rFonts w:ascii="David" w:hAnsi="David"/>
          <w:rtl/>
        </w:rPr>
        <w:t xml:space="preserve"> לפי </w:t>
      </w:r>
      <w:hyperlink r:id="rId32" w:history="1">
        <w:r w:rsidR="0047505D" w:rsidRPr="0047505D">
          <w:rPr>
            <w:rStyle w:val="Hyperlink"/>
            <w:rFonts w:ascii="David" w:hAnsi="David"/>
            <w:rtl/>
          </w:rPr>
          <w:t>סעיף 144(ב)</w:t>
        </w:r>
      </w:hyperlink>
      <w:r w:rsidRPr="000C0391">
        <w:rPr>
          <w:rFonts w:ascii="David" w:hAnsi="David"/>
          <w:rtl/>
        </w:rPr>
        <w:t xml:space="preserve"> רישא לחוק, ועבירה של </w:t>
      </w:r>
      <w:r w:rsidRPr="000C0391">
        <w:rPr>
          <w:rFonts w:ascii="David" w:hAnsi="David"/>
          <w:b/>
          <w:bCs/>
          <w:rtl/>
        </w:rPr>
        <w:t xml:space="preserve">ירי עם נשק חם באזור מגורים </w:t>
      </w:r>
      <w:r w:rsidRPr="000C0391">
        <w:rPr>
          <w:rFonts w:ascii="David" w:hAnsi="David"/>
          <w:rtl/>
        </w:rPr>
        <w:t xml:space="preserve">לפי </w:t>
      </w:r>
      <w:hyperlink r:id="rId33" w:history="1">
        <w:r w:rsidR="0047505D" w:rsidRPr="0047505D">
          <w:rPr>
            <w:rStyle w:val="Hyperlink"/>
            <w:rFonts w:ascii="David" w:hAnsi="David"/>
            <w:rtl/>
          </w:rPr>
          <w:t>סעיף 340א(ב)(1)</w:t>
        </w:r>
      </w:hyperlink>
      <w:r w:rsidRPr="000C0391">
        <w:rPr>
          <w:rFonts w:ascii="David" w:hAnsi="David"/>
          <w:rtl/>
        </w:rPr>
        <w:t xml:space="preserve"> לחוק. במסגרת הסדר הטיעון סוכם שאין הסדר לעניין העונש והצדדים ייטענו פתוח לעניין זה, והתביעה תוכל להגיש תעודות רפואיות במסגרת הטיעונים לעונש. בדיון ביום 9.1.23 הוסכם כי נוכח הודאת הנאשם בסע' 9 לכתב האישום המתוקן, אין צורך בהגשת תעודות רפואיות. בדיון ביום 21.7.24, סוכם כי כל צד יטען את עיקר הדברים בעניין מצבו הרפואי של נפגע העבירה, בית המשפט יאזכר זאת בגזר הדין, ואולם לא יכריע בעניין המצב הרפואי כאשר נפגע העבירה לא העיד ומסמכים רפואיים לא הוגשו. הוגש גיליון המרשם הפלילי של הנאשם (</w:t>
      </w:r>
      <w:r w:rsidRPr="000C0391">
        <w:rPr>
          <w:rFonts w:ascii="David" w:hAnsi="David"/>
          <w:b/>
          <w:bCs/>
          <w:rtl/>
        </w:rPr>
        <w:t>ת/1</w:t>
      </w:r>
      <w:r w:rsidRPr="000C0391">
        <w:rPr>
          <w:rFonts w:ascii="David" w:hAnsi="David"/>
          <w:rtl/>
        </w:rPr>
        <w:t xml:space="preserve">), הצדדים טענו לעונש והוגשה פסיקה. </w:t>
      </w:r>
      <w:r w:rsidRPr="000C0391">
        <w:rPr>
          <w:rFonts w:ascii="David" w:hAnsi="David"/>
          <w:b/>
          <w:bCs/>
          <w:rtl/>
        </w:rPr>
        <w:t>טיעון התביעה לעונש</w:t>
      </w:r>
      <w:r w:rsidRPr="000C0391">
        <w:rPr>
          <w:rFonts w:ascii="David" w:hAnsi="David"/>
          <w:rtl/>
        </w:rPr>
        <w:t xml:space="preserve"> (בתמצית): התביעה עתרה לקבוע מתחם עונש הולם שנע בין 10 ל- 14 שנות מאסר, ולמקם את עונשו של הנאשם בשליש הגבוה של המתחם.</w:t>
      </w:r>
      <w:r w:rsidRPr="000C0391">
        <w:rPr>
          <w:rFonts w:ascii="David" w:hAnsi="David"/>
          <w:b/>
          <w:bCs/>
          <w:rtl/>
        </w:rPr>
        <w:t xml:space="preserve"> טיעון ההגנה לעונש</w:t>
      </w:r>
      <w:r w:rsidRPr="000C0391">
        <w:rPr>
          <w:rFonts w:ascii="David" w:hAnsi="David"/>
          <w:rtl/>
        </w:rPr>
        <w:t xml:space="preserve"> (בתמצית): הסניגור עתר לקביעת מתחם עונש הולם שנע בין 3.5 ל- 7 שנות מאסר, ועתר לגזור את עונשו של הנאשם בתחתית המתחם או בסמוך לתחתית המתחם, ולהטיל על הנאשם 4 שנות מאסר בפועל.</w:t>
      </w:r>
    </w:p>
    <w:p w14:paraId="50EAEC63" w14:textId="77777777" w:rsidR="00B5602A" w:rsidRPr="000C0391" w:rsidRDefault="00B5602A" w:rsidP="00B5602A">
      <w:pPr>
        <w:spacing w:line="360" w:lineRule="auto"/>
        <w:jc w:val="both"/>
        <w:rPr>
          <w:rFonts w:ascii="David" w:hAnsi="David"/>
          <w:rtl/>
        </w:rPr>
      </w:pPr>
    </w:p>
    <w:p w14:paraId="5F7B704C" w14:textId="77777777" w:rsidR="00B5602A" w:rsidRPr="000C0391" w:rsidRDefault="00B5602A" w:rsidP="00B5602A">
      <w:pPr>
        <w:spacing w:line="360" w:lineRule="auto"/>
        <w:jc w:val="both"/>
        <w:rPr>
          <w:rFonts w:ascii="David" w:hAnsi="David"/>
          <w:rtl/>
        </w:rPr>
      </w:pPr>
      <w:r w:rsidRPr="000C0391">
        <w:rPr>
          <w:rFonts w:ascii="David" w:hAnsi="David"/>
          <w:b/>
          <w:bCs/>
          <w:u w:val="single"/>
          <w:rtl/>
        </w:rPr>
        <w:t>אלה מעשי הנאשם על-פי עובדות כתב האישום המתוקן, שבהן הודה הנאשם</w:t>
      </w:r>
      <w:r w:rsidRPr="000C0391">
        <w:rPr>
          <w:rFonts w:ascii="David" w:hAnsi="David"/>
          <w:b/>
          <w:bCs/>
          <w:rtl/>
        </w:rPr>
        <w:t>:</w:t>
      </w:r>
    </w:p>
    <w:p w14:paraId="1D9007C0" w14:textId="77777777" w:rsidR="00B5602A" w:rsidRPr="000C0391" w:rsidRDefault="00B5602A" w:rsidP="00B5602A">
      <w:pPr>
        <w:spacing w:line="360" w:lineRule="auto"/>
        <w:jc w:val="both"/>
        <w:rPr>
          <w:rFonts w:ascii="David" w:hAnsi="David"/>
          <w:rtl/>
        </w:rPr>
      </w:pPr>
      <w:r w:rsidRPr="000C0391">
        <w:rPr>
          <w:rFonts w:ascii="David" w:hAnsi="David"/>
          <w:rtl/>
        </w:rPr>
        <w:t xml:space="preserve">ביום 24.9.21 בשעה 23:50 או בסמוך לכך, יצאו הנאשם והאחר, מבית ברחוב בתל אביב-יפו, כשמי מהם נושא עמו אקדח, ועל דעתו של הנאשם או האחר, וכשהוא או האחר, רכובים על גבי (קורקינט), במטרה לאתר את איאד אבו בילאל (להלן: </w:t>
      </w:r>
      <w:r w:rsidRPr="000C0391">
        <w:rPr>
          <w:rFonts w:ascii="David" w:hAnsi="David"/>
          <w:b/>
          <w:bCs/>
          <w:rtl/>
        </w:rPr>
        <w:t>"המתלונן"</w:t>
      </w:r>
      <w:r w:rsidRPr="000C0391">
        <w:rPr>
          <w:rFonts w:ascii="David" w:hAnsi="David"/>
          <w:rtl/>
        </w:rPr>
        <w:t xml:space="preserve">), ובכוונה לגרום לו לחבלה חמורה, בצוותא חדא. אותה שעה נסע המתלונן ברכב מסוג מאזדה (להלן: </w:t>
      </w:r>
      <w:r w:rsidRPr="000C0391">
        <w:rPr>
          <w:rFonts w:ascii="David" w:hAnsi="David"/>
          <w:b/>
          <w:bCs/>
          <w:rtl/>
        </w:rPr>
        <w:t>"הרכב"</w:t>
      </w:r>
      <w:r w:rsidRPr="000C0391">
        <w:rPr>
          <w:rFonts w:ascii="David" w:hAnsi="David"/>
          <w:rtl/>
        </w:rPr>
        <w:t xml:space="preserve">), ברחבי העיר תל אביב-יפו, יחד עם ווסים אבו בלאל (להלן: </w:t>
      </w:r>
      <w:r w:rsidRPr="000C0391">
        <w:rPr>
          <w:rFonts w:ascii="David" w:hAnsi="David"/>
          <w:b/>
          <w:bCs/>
          <w:rtl/>
        </w:rPr>
        <w:t>"ווסים"</w:t>
      </w:r>
      <w:r w:rsidRPr="000C0391">
        <w:rPr>
          <w:rFonts w:ascii="David" w:hAnsi="David"/>
          <w:rtl/>
        </w:rPr>
        <w:t xml:space="preserve">) אשר נהג ברכב. במקביל, תרו הנאשם והאחר אחרי המתלונן באזור התחנה במרכזית בתל אביב. בשעה 00:26 או סמוך לכך, הגיעו הנאשם או האחר לרחוב השרון בתל אביב, ונכנסו לחניון חשוך בבניין מספר 7 (להלן: </w:t>
      </w:r>
      <w:r w:rsidRPr="000C0391">
        <w:rPr>
          <w:rFonts w:ascii="David" w:hAnsi="David"/>
          <w:b/>
          <w:bCs/>
          <w:rtl/>
        </w:rPr>
        <w:t>"החניון"</w:t>
      </w:r>
      <w:r w:rsidRPr="000C0391">
        <w:rPr>
          <w:rFonts w:ascii="David" w:hAnsi="David"/>
          <w:rtl/>
        </w:rPr>
        <w:t xml:space="preserve">). הנאשם והאחר יצאו ונכנסו לחניון עוד פעמים במשך הדקות הבאות. דקות אחדות עובר לשעה 00:39 או בסמוך לכך, שוחח מורד קליואת (להלן: </w:t>
      </w:r>
      <w:r w:rsidRPr="000C0391">
        <w:rPr>
          <w:rFonts w:ascii="David" w:hAnsi="David"/>
          <w:b/>
          <w:bCs/>
          <w:rtl/>
        </w:rPr>
        <w:t>"מורד"</w:t>
      </w:r>
      <w:r w:rsidRPr="000C0391">
        <w:rPr>
          <w:rFonts w:ascii="David" w:hAnsi="David"/>
          <w:rtl/>
        </w:rPr>
        <w:t>) עם ווסים והמתלונן, וביקש שיפגשו עמו ברחוב השרון. בשעה 00:39 או בסמוך לכך, הגיעו ווסים והמתלונן לרחוב השרון ועצרו את רכבם בסמוך למגרש כדורגל. מיד לאחר</w:t>
      </w:r>
      <w:r>
        <w:rPr>
          <w:rFonts w:ascii="David" w:hAnsi="David"/>
          <w:rtl/>
        </w:rPr>
        <w:t xml:space="preserve"> הגעתם, יצא המתלונן מהרכב ונעמד</w:t>
      </w:r>
      <w:r w:rsidRPr="000C0391">
        <w:rPr>
          <w:rFonts w:ascii="David" w:hAnsi="David"/>
          <w:rtl/>
        </w:rPr>
        <w:t xml:space="preserve"> בצדו הימני, בסמוך למושב הנוסע הקדמי. מיד לאחר מכן, יצאו הנאשם או האחר מהחניון לעבר המתלונן. תוך כדי נסיעה, שלפו הנאשם או האחר את האקדח שנשאו, ועל דעת הנאשם והאחר, ירו מספר יריות לעבר פלג גופו התחתון של המתלונן ופגעו בו, מקרוב, בכוונה לגרום לו לנכות או מום, או לגרום לו חבלה חמורה, בצוותא חדא. במהלך הירי, יצא ווסים מהרכב והסתתר מאחוריו, ומורד שנכח בסמוך התקרב לרכב. במקביל, הנוכחים במגרש הכדורגל, בהם ילדים, נסו על נפשם וחיפשו מקום מסתור מהירי. מיד לאחר מכן הכניסו ווסים ומורד את המתלונן לרכב והחלו בנסיעה. לאחר מספר שניות נעצרו על ידי ניידת משטרה שהעניקה להם סיוע. כתוצאה מהירי שביצעו הנאשם והאחר בצוותא חדא, נפצע המתלונן קשה ונגרמו לו מספר פצעי ירי וחבלות חמורות, בין היתר, קרע בשלפוחית השתן, באגן, בעכוז, ושברים מרוסקים מרובים בגפיים התחתונות שבהן נותרו שלושה קליעים. המתלונן הובהל לבית </w:t>
      </w:r>
      <w:r w:rsidRPr="000C0391">
        <w:rPr>
          <w:rFonts w:ascii="David" w:hAnsi="David"/>
          <w:rtl/>
        </w:rPr>
        <w:lastRenderedPageBreak/>
        <w:t xml:space="preserve">החולים, אושפז במחלקה לטיפול נמרץ ונותח. במעשיו המתוארים לעיל, גרם הנאשם בצוותא עם אחר לחבלה חמורה במתלונן בכוונה להטיל בו נכות או מום, בתוך כך, נשא הנאשם נשק ללא רשות על פי דין, </w:t>
      </w:r>
      <w:r>
        <w:rPr>
          <w:rFonts w:ascii="David" w:hAnsi="David" w:hint="cs"/>
          <w:rtl/>
        </w:rPr>
        <w:t>ו</w:t>
      </w:r>
      <w:r w:rsidRPr="000C0391">
        <w:rPr>
          <w:rFonts w:ascii="David" w:hAnsi="David"/>
          <w:rtl/>
        </w:rPr>
        <w:t>ירה בו באזור מגורים, בצוותא חדא.</w:t>
      </w:r>
    </w:p>
    <w:p w14:paraId="3986190E" w14:textId="77777777" w:rsidR="00B5602A" w:rsidRPr="000C0391" w:rsidRDefault="00B5602A" w:rsidP="00B5602A">
      <w:pPr>
        <w:spacing w:line="360" w:lineRule="auto"/>
        <w:jc w:val="both"/>
        <w:rPr>
          <w:rFonts w:ascii="David" w:hAnsi="David"/>
          <w:rtl/>
        </w:rPr>
      </w:pPr>
    </w:p>
    <w:p w14:paraId="687C12CA" w14:textId="77777777" w:rsidR="00B5602A" w:rsidRPr="000C0391" w:rsidRDefault="00B5602A" w:rsidP="00B5602A">
      <w:pPr>
        <w:pStyle w:val="aa"/>
        <w:shd w:val="clear" w:color="auto" w:fill="auto"/>
        <w:spacing w:line="360" w:lineRule="auto"/>
        <w:jc w:val="both"/>
        <w:rPr>
          <w:rFonts w:ascii="David" w:hAnsi="David" w:cs="David"/>
          <w:sz w:val="24"/>
          <w:szCs w:val="24"/>
          <w:rtl/>
          <w:lang w:eastAsia="en-US"/>
        </w:rPr>
      </w:pPr>
      <w:r w:rsidRPr="000C0391">
        <w:rPr>
          <w:rFonts w:ascii="David" w:hAnsi="David" w:cs="David"/>
          <w:sz w:val="24"/>
          <w:szCs w:val="24"/>
          <w:rtl/>
          <w:lang w:eastAsia="en-US"/>
        </w:rPr>
        <w:t>ראיות לעונש:</w:t>
      </w:r>
    </w:p>
    <w:p w14:paraId="7AE9AE04" w14:textId="77777777" w:rsidR="00B5602A" w:rsidRPr="000C0391" w:rsidRDefault="00B5602A" w:rsidP="00B5602A">
      <w:pPr>
        <w:pStyle w:val="aa"/>
        <w:shd w:val="clear" w:color="auto" w:fill="auto"/>
        <w:spacing w:line="360" w:lineRule="auto"/>
        <w:ind w:left="-2" w:firstLine="2"/>
        <w:jc w:val="both"/>
        <w:rPr>
          <w:rFonts w:ascii="David" w:hAnsi="David" w:cs="David"/>
          <w:b w:val="0"/>
          <w:bCs w:val="0"/>
          <w:sz w:val="24"/>
          <w:szCs w:val="24"/>
          <w:u w:val="none"/>
          <w:rtl/>
          <w:lang w:eastAsia="en-US"/>
        </w:rPr>
      </w:pPr>
      <w:r w:rsidRPr="000C0391">
        <w:rPr>
          <w:rFonts w:ascii="David" w:hAnsi="David" w:cs="David"/>
          <w:sz w:val="24"/>
          <w:szCs w:val="24"/>
          <w:u w:val="none"/>
          <w:rtl/>
          <w:lang w:eastAsia="en-US"/>
        </w:rPr>
        <w:t>ראיות התביעה לעונש:</w:t>
      </w:r>
      <w:r w:rsidRPr="000C0391">
        <w:rPr>
          <w:rFonts w:ascii="David" w:hAnsi="David" w:cs="David"/>
          <w:b w:val="0"/>
          <w:bCs w:val="0"/>
          <w:sz w:val="24"/>
          <w:szCs w:val="24"/>
          <w:u w:val="none"/>
          <w:rtl/>
          <w:lang w:eastAsia="en-US"/>
        </w:rPr>
        <w:t xml:space="preserve"> </w:t>
      </w:r>
      <w:r w:rsidRPr="000C0391">
        <w:rPr>
          <w:rFonts w:ascii="David" w:hAnsi="David" w:cs="David"/>
          <w:sz w:val="24"/>
          <w:szCs w:val="24"/>
          <w:u w:val="none"/>
          <w:rtl/>
          <w:lang w:eastAsia="en-US"/>
        </w:rPr>
        <w:t>גיליון מרשם פלילי של הנאשם (ת/1)</w:t>
      </w:r>
      <w:r w:rsidRPr="000C0391">
        <w:rPr>
          <w:rFonts w:ascii="David" w:hAnsi="David" w:cs="David"/>
          <w:b w:val="0"/>
          <w:bCs w:val="0"/>
          <w:sz w:val="24"/>
          <w:szCs w:val="24"/>
          <w:u w:val="none"/>
          <w:rtl/>
          <w:lang w:eastAsia="en-US"/>
        </w:rPr>
        <w:t xml:space="preserve">, שבו עברו הפלילי כדלקמן: </w:t>
      </w:r>
      <w:r w:rsidRPr="000C0391">
        <w:rPr>
          <w:rFonts w:ascii="David" w:hAnsi="David" w:cs="David"/>
          <w:sz w:val="24"/>
          <w:szCs w:val="24"/>
          <w:u w:val="none"/>
          <w:rtl/>
          <w:lang w:eastAsia="en-US"/>
        </w:rPr>
        <w:t>בשנת 2022</w:t>
      </w:r>
      <w:r w:rsidRPr="000C0391">
        <w:rPr>
          <w:rFonts w:ascii="David" w:hAnsi="David" w:cs="David"/>
          <w:b w:val="0"/>
          <w:bCs w:val="0"/>
          <w:sz w:val="24"/>
          <w:szCs w:val="24"/>
          <w:u w:val="none"/>
          <w:rtl/>
          <w:lang w:eastAsia="en-US"/>
        </w:rPr>
        <w:t xml:space="preserve"> – עבירה של החזקה / שימוש בסמים לצריכה עצמית, בגינה הוטלו על הנאשם הארכת / חידוש מאסר על תנאי למשך שנה והתחייבות להימנע מביצוע עבירה על סך 1,000 ₪ למשך שנתיים; </w:t>
      </w:r>
      <w:r w:rsidRPr="000C0391">
        <w:rPr>
          <w:rFonts w:ascii="David" w:hAnsi="David" w:cs="David"/>
          <w:sz w:val="24"/>
          <w:szCs w:val="24"/>
          <w:u w:val="none"/>
          <w:rtl/>
          <w:lang w:eastAsia="en-US"/>
        </w:rPr>
        <w:t>בשנת 2018</w:t>
      </w:r>
      <w:r w:rsidRPr="000C0391">
        <w:rPr>
          <w:rFonts w:ascii="David" w:hAnsi="David" w:cs="David"/>
          <w:b w:val="0"/>
          <w:bCs w:val="0"/>
          <w:sz w:val="24"/>
          <w:szCs w:val="24"/>
          <w:u w:val="none"/>
          <w:rtl/>
          <w:lang w:eastAsia="en-US"/>
        </w:rPr>
        <w:t xml:space="preserve"> – עבירה של יצוא, יבוא, מסחר, הספקה של סמים מסוכנים, בגינה הוטלו על הנאשם, בין היתר, 7 חודשי מאסר בפועל, בחופף ומצטבר למאסר / מעצר בתיק אחר; </w:t>
      </w:r>
      <w:r w:rsidRPr="000C0391">
        <w:rPr>
          <w:rFonts w:ascii="David" w:hAnsi="David" w:cs="David"/>
          <w:sz w:val="24"/>
          <w:szCs w:val="24"/>
          <w:u w:val="none"/>
          <w:rtl/>
          <w:lang w:eastAsia="en-US"/>
        </w:rPr>
        <w:t>בשנת</w:t>
      </w:r>
      <w:r w:rsidRPr="000C0391">
        <w:rPr>
          <w:rFonts w:ascii="David" w:hAnsi="David" w:cs="David"/>
          <w:b w:val="0"/>
          <w:bCs w:val="0"/>
          <w:sz w:val="24"/>
          <w:szCs w:val="24"/>
          <w:u w:val="none"/>
          <w:rtl/>
          <w:lang w:eastAsia="en-US"/>
        </w:rPr>
        <w:t xml:space="preserve"> </w:t>
      </w:r>
      <w:r w:rsidRPr="000C0391">
        <w:rPr>
          <w:rFonts w:ascii="David" w:hAnsi="David" w:cs="David"/>
          <w:sz w:val="24"/>
          <w:szCs w:val="24"/>
          <w:u w:val="none"/>
          <w:rtl/>
          <w:lang w:eastAsia="en-US"/>
        </w:rPr>
        <w:t xml:space="preserve">2017 </w:t>
      </w:r>
      <w:r w:rsidRPr="000C0391">
        <w:rPr>
          <w:rFonts w:ascii="David" w:hAnsi="David" w:cs="David"/>
          <w:b w:val="0"/>
          <w:bCs w:val="0"/>
          <w:sz w:val="24"/>
          <w:szCs w:val="24"/>
          <w:u w:val="none"/>
          <w:rtl/>
          <w:lang w:eastAsia="en-US"/>
        </w:rPr>
        <w:t xml:space="preserve">– עבירות של הסגת גבול פלילית, וגניבה – בגינן הוטל על הנאשם מאסר על תנאי בן 4 חודשים למשך שנתיים; </w:t>
      </w:r>
      <w:r w:rsidRPr="000C0391">
        <w:rPr>
          <w:rFonts w:ascii="David" w:hAnsi="David" w:cs="David"/>
          <w:sz w:val="24"/>
          <w:szCs w:val="24"/>
          <w:u w:val="none"/>
          <w:rtl/>
          <w:lang w:eastAsia="en-US"/>
        </w:rPr>
        <w:t>בשנת 2016</w:t>
      </w:r>
      <w:r w:rsidRPr="000C0391">
        <w:rPr>
          <w:rFonts w:ascii="David" w:hAnsi="David" w:cs="David"/>
          <w:b w:val="0"/>
          <w:bCs w:val="0"/>
          <w:sz w:val="24"/>
          <w:szCs w:val="24"/>
          <w:u w:val="none"/>
          <w:rtl/>
          <w:lang w:eastAsia="en-US"/>
        </w:rPr>
        <w:t xml:space="preserve"> – עבירה של תקיפה סתם, בגינה הוטלו על הנאשם, ביו היתר, 86 ימי מאסר בפועל.</w:t>
      </w:r>
    </w:p>
    <w:p w14:paraId="71C5B919" w14:textId="77777777" w:rsidR="00B5602A" w:rsidRPr="000C0391" w:rsidRDefault="00B5602A" w:rsidP="00B5602A">
      <w:pPr>
        <w:pStyle w:val="aa"/>
        <w:shd w:val="clear" w:color="auto" w:fill="auto"/>
        <w:spacing w:line="360" w:lineRule="auto"/>
        <w:jc w:val="both"/>
        <w:rPr>
          <w:rFonts w:ascii="David" w:hAnsi="David" w:cs="David"/>
          <w:b w:val="0"/>
          <w:bCs w:val="0"/>
          <w:sz w:val="24"/>
          <w:szCs w:val="24"/>
          <w:u w:val="none"/>
          <w:rtl/>
          <w:lang w:eastAsia="en-US"/>
        </w:rPr>
      </w:pPr>
    </w:p>
    <w:p w14:paraId="495AF8C8" w14:textId="77777777" w:rsidR="00B5602A" w:rsidRPr="000C0391" w:rsidRDefault="00B5602A" w:rsidP="00B5602A">
      <w:pPr>
        <w:pStyle w:val="aa"/>
        <w:shd w:val="clear" w:color="auto" w:fill="auto"/>
        <w:spacing w:line="360" w:lineRule="auto"/>
        <w:ind w:left="0" w:firstLine="0"/>
        <w:jc w:val="both"/>
        <w:rPr>
          <w:rFonts w:ascii="David" w:hAnsi="David" w:cs="David"/>
          <w:b w:val="0"/>
          <w:bCs w:val="0"/>
          <w:sz w:val="24"/>
          <w:szCs w:val="24"/>
          <w:u w:val="none"/>
          <w:rtl/>
          <w:lang w:eastAsia="en-US"/>
        </w:rPr>
      </w:pPr>
      <w:r w:rsidRPr="000C0391">
        <w:rPr>
          <w:rFonts w:ascii="David" w:hAnsi="David" w:cs="David"/>
          <w:sz w:val="24"/>
          <w:szCs w:val="24"/>
          <w:u w:val="none"/>
          <w:rtl/>
          <w:lang w:eastAsia="en-US"/>
        </w:rPr>
        <w:t>ראיות ההגנה לעונש:</w:t>
      </w:r>
      <w:r w:rsidRPr="000C0391">
        <w:rPr>
          <w:rFonts w:ascii="David" w:hAnsi="David" w:cs="David"/>
          <w:b w:val="0"/>
          <w:bCs w:val="0"/>
          <w:sz w:val="24"/>
          <w:szCs w:val="24"/>
          <w:u w:val="none"/>
          <w:rtl/>
          <w:lang w:eastAsia="en-US"/>
        </w:rPr>
        <w:t xml:space="preserve"> לא הוגשו ראיות לעונש מטעם ההגנה.</w:t>
      </w:r>
    </w:p>
    <w:p w14:paraId="4206DE82" w14:textId="77777777" w:rsidR="00B5602A" w:rsidRPr="000C0391" w:rsidRDefault="00B5602A" w:rsidP="00B5602A">
      <w:pPr>
        <w:pStyle w:val="aa"/>
        <w:shd w:val="clear" w:color="auto" w:fill="auto"/>
        <w:spacing w:line="360" w:lineRule="auto"/>
        <w:ind w:left="84" w:firstLine="0"/>
        <w:jc w:val="both"/>
        <w:rPr>
          <w:rFonts w:ascii="David" w:hAnsi="David" w:cs="David"/>
          <w:b w:val="0"/>
          <w:bCs w:val="0"/>
          <w:sz w:val="24"/>
          <w:szCs w:val="24"/>
          <w:u w:val="none"/>
          <w:rtl/>
          <w:lang w:eastAsia="en-US"/>
        </w:rPr>
      </w:pPr>
    </w:p>
    <w:p w14:paraId="1C92F081" w14:textId="77777777" w:rsidR="00B5602A" w:rsidRPr="000C0391" w:rsidRDefault="00B5602A" w:rsidP="00B5602A">
      <w:pPr>
        <w:pStyle w:val="aa"/>
        <w:shd w:val="clear" w:color="auto" w:fill="auto"/>
        <w:spacing w:line="360" w:lineRule="auto"/>
        <w:jc w:val="both"/>
        <w:rPr>
          <w:rFonts w:ascii="David" w:hAnsi="David" w:cs="David"/>
          <w:sz w:val="24"/>
          <w:szCs w:val="24"/>
          <w:rtl/>
          <w:lang w:eastAsia="en-US"/>
        </w:rPr>
      </w:pPr>
      <w:r w:rsidRPr="000C0391">
        <w:rPr>
          <w:rFonts w:ascii="David" w:hAnsi="David" w:cs="David"/>
          <w:sz w:val="24"/>
          <w:szCs w:val="24"/>
          <w:rtl/>
          <w:lang w:eastAsia="en-US"/>
        </w:rPr>
        <w:t>טיעוני הצדדים לעונש</w:t>
      </w:r>
      <w:r w:rsidRPr="000C0391">
        <w:rPr>
          <w:rFonts w:ascii="David" w:hAnsi="David" w:cs="David"/>
          <w:sz w:val="24"/>
          <w:szCs w:val="24"/>
          <w:u w:val="none"/>
          <w:rtl/>
          <w:lang w:eastAsia="en-US"/>
        </w:rPr>
        <w:t>:</w:t>
      </w:r>
    </w:p>
    <w:p w14:paraId="4C213F15" w14:textId="77777777" w:rsidR="00B5602A" w:rsidRPr="000C0391" w:rsidRDefault="00B5602A" w:rsidP="00B5602A">
      <w:pPr>
        <w:pStyle w:val="aa"/>
        <w:shd w:val="clear" w:color="auto" w:fill="auto"/>
        <w:spacing w:line="360" w:lineRule="auto"/>
        <w:ind w:left="0" w:firstLine="0"/>
        <w:jc w:val="both"/>
        <w:rPr>
          <w:rFonts w:ascii="David" w:hAnsi="David" w:cs="David"/>
          <w:b w:val="0"/>
          <w:bCs w:val="0"/>
          <w:sz w:val="24"/>
          <w:szCs w:val="24"/>
          <w:u w:val="none"/>
          <w:rtl/>
          <w:lang w:eastAsia="en-US"/>
        </w:rPr>
      </w:pPr>
      <w:r w:rsidRPr="000C0391">
        <w:rPr>
          <w:rFonts w:ascii="David" w:hAnsi="David" w:cs="David"/>
          <w:sz w:val="24"/>
          <w:szCs w:val="24"/>
          <w:u w:val="none"/>
          <w:rtl/>
          <w:lang w:eastAsia="en-US"/>
        </w:rPr>
        <w:t>טיעוני התביעה לעונש</w:t>
      </w:r>
      <w:r w:rsidRPr="000C0391">
        <w:rPr>
          <w:rFonts w:ascii="David" w:hAnsi="David" w:cs="David"/>
          <w:b w:val="0"/>
          <w:bCs w:val="0"/>
          <w:sz w:val="24"/>
          <w:szCs w:val="24"/>
          <w:u w:val="none"/>
          <w:rtl/>
          <w:lang w:eastAsia="en-US"/>
        </w:rPr>
        <w:t xml:space="preserve"> (עמ' 20-24 לפר'), בתמצית: התובעת הפנתה לכתב האישום המתוקן, לפיו הנאשם בצוותא עם אחר ארבו למתלונן לאחר שבמשך שעה ארוכה תרו אחריו ברחבי ת"א וירו במתלונן בצוותא חדא מספר יריות שפגעו במתלונן. לדברי התובעת, חומרה נוספת </w:t>
      </w:r>
      <w:r>
        <w:rPr>
          <w:rFonts w:ascii="David" w:hAnsi="David" w:cs="David" w:hint="cs"/>
          <w:b w:val="0"/>
          <w:bCs w:val="0"/>
          <w:sz w:val="24"/>
          <w:szCs w:val="24"/>
          <w:u w:val="none"/>
          <w:rtl/>
          <w:lang w:eastAsia="en-US"/>
        </w:rPr>
        <w:t>ש</w:t>
      </w:r>
      <w:r w:rsidRPr="000C0391">
        <w:rPr>
          <w:rFonts w:ascii="David" w:hAnsi="David" w:cs="David"/>
          <w:b w:val="0"/>
          <w:bCs w:val="0"/>
          <w:sz w:val="24"/>
          <w:szCs w:val="24"/>
          <w:u w:val="none"/>
          <w:rtl/>
          <w:lang w:eastAsia="en-US"/>
        </w:rPr>
        <w:t xml:space="preserve">עולה מעובדות כתב האישום </w:t>
      </w:r>
      <w:r>
        <w:rPr>
          <w:rFonts w:ascii="David" w:hAnsi="David" w:cs="David" w:hint="cs"/>
          <w:b w:val="0"/>
          <w:bCs w:val="0"/>
          <w:sz w:val="24"/>
          <w:szCs w:val="24"/>
          <w:u w:val="none"/>
          <w:rtl/>
          <w:lang w:eastAsia="en-US"/>
        </w:rPr>
        <w:t>היא שב</w:t>
      </w:r>
      <w:r w:rsidRPr="000C0391">
        <w:rPr>
          <w:rFonts w:ascii="David" w:hAnsi="David" w:cs="David"/>
          <w:b w:val="0"/>
          <w:bCs w:val="0"/>
          <w:sz w:val="24"/>
          <w:szCs w:val="24"/>
          <w:u w:val="none"/>
          <w:rtl/>
          <w:lang w:eastAsia="en-US"/>
        </w:rPr>
        <w:t>שעה שהיריות נורו לעבר המתלונן כשהוא עומד שמאחוריו מגרש כדורגל ובאותה שעה ילדים שהיו במגרש נסו על נפשם למשמע היריות, ולטענתה רק בנס לא הסתיים האירוע החמור עם קורבנות נוספים.</w:t>
      </w:r>
    </w:p>
    <w:p w14:paraId="327DE7A4" w14:textId="77777777" w:rsidR="00B5602A" w:rsidRPr="000C0391" w:rsidRDefault="00B5602A" w:rsidP="00B5602A">
      <w:pPr>
        <w:spacing w:line="360" w:lineRule="auto"/>
        <w:jc w:val="both"/>
        <w:rPr>
          <w:rFonts w:ascii="David" w:hAnsi="David"/>
          <w:rtl/>
        </w:rPr>
      </w:pPr>
      <w:r w:rsidRPr="000C0391">
        <w:rPr>
          <w:rFonts w:ascii="David" w:hAnsi="David"/>
          <w:rtl/>
        </w:rPr>
        <w:t>לטענת התובעת, הנאשם והאחר הכינו עצמם לאירוע מבעוד מועד, הצטיידו באקדח וחיפשו את המתלונן, מיקמו את עצמם בחניון חשוך שם ארבו לו, ולדבריה פצעי הירי המרובים שנמצאו על פלג גופו התחתון של המתלונן מצביעים על כך שהיו חדורי מטרה לפגוע פגיעה אנושה בכל מחיר. החומרה נובעת גם מהפזיזות של הנאשם והקלות הבלתי נסבלת של עבריינים שמנהלים את המלחמות שלהם מעל לראשיהם של ילדים וחפים מפשע, ולא יעלה על הדעת שאזרחים במדינה יחששו לשהות במקומות ציבוריים שמא יתרחש אירוע ירי אלים או מסכן חיים, ועל בית המשפט לצאת במסר תקיף וחד משמעי כלפי נאשמים שעומדים לדין בגין ירי בנשק חם באזור מגורים, ויש למצות את הדין עם הנאשם בהרחקתו ושלילת חירותו לתקופה ממושכת.</w:t>
      </w:r>
    </w:p>
    <w:p w14:paraId="232C3E58" w14:textId="77777777" w:rsidR="00B5602A" w:rsidRPr="000C0391" w:rsidRDefault="00B5602A" w:rsidP="00B5602A">
      <w:pPr>
        <w:spacing w:line="360" w:lineRule="auto"/>
        <w:jc w:val="both"/>
        <w:rPr>
          <w:rFonts w:ascii="David" w:hAnsi="David"/>
          <w:rtl/>
        </w:rPr>
      </w:pPr>
      <w:r w:rsidRPr="000C0391">
        <w:rPr>
          <w:rFonts w:ascii="David" w:hAnsi="David"/>
          <w:rtl/>
        </w:rPr>
        <w:t xml:space="preserve">בנוגע לנסיבות הקשורות בביצוע העבירות, לדברי התובעת כאמור מעשי הנאשם והאחר הינם פרי תכנון מוקדם ולא מדובר באירוע ספונטני. באשר לחלקו היחסי של הנאשם, טענה התובעת שהביצוע בצוותא כשלעצמו מהווה נסיבה מחמירה, כך על פי </w:t>
      </w:r>
      <w:hyperlink r:id="rId34" w:history="1">
        <w:r w:rsidR="00A255A2" w:rsidRPr="00A255A2">
          <w:rPr>
            <w:rFonts w:ascii="David" w:hAnsi="David"/>
            <w:color w:val="0000FF"/>
            <w:u w:val="single"/>
            <w:rtl/>
          </w:rPr>
          <w:t>חוק העונשין</w:t>
        </w:r>
      </w:hyperlink>
      <w:r w:rsidRPr="000C0391">
        <w:rPr>
          <w:rFonts w:ascii="David" w:hAnsi="David"/>
          <w:rtl/>
        </w:rPr>
        <w:t xml:space="preserve"> והפסיקה הנוהגת, זאת כאשר השותפות היא הרמה הגבוהה ביותר לביצוע באחריות מלאה והיא מטילה אחריות שווה על השותפים לביצוע העבירה באותה מידה גם בעונשם. באשר לנזק שנגרם, התייחסה התובעת למצבו הרפואי של המתלונן, שלדבריה נגרמו למתלונן פצעי ירי בפלג גופו התחתון, חבלות חמורות, בין היתר קרע בשלפוחית השתן, שברים באגן, בעכוז, שברים מרוסקים מרובים בגפיים התחתונים ובאגן נותרו שלושה קליעים. המתלונן הובהל לבית החולים, אושפז במחלקה לטיפול נמרץ ונותח.</w:t>
      </w:r>
    </w:p>
    <w:p w14:paraId="73607F8C" w14:textId="77777777" w:rsidR="00B5602A" w:rsidRPr="000C0391" w:rsidRDefault="00B5602A" w:rsidP="00B5602A">
      <w:pPr>
        <w:spacing w:line="360" w:lineRule="auto"/>
        <w:jc w:val="both"/>
        <w:rPr>
          <w:rFonts w:ascii="David" w:hAnsi="David"/>
          <w:rtl/>
        </w:rPr>
      </w:pPr>
      <w:r w:rsidRPr="000C0391">
        <w:rPr>
          <w:rFonts w:ascii="David" w:hAnsi="David"/>
          <w:rtl/>
        </w:rPr>
        <w:t>באשר לנסיבות שאינו קשורות בביצוע העבירות, לדברי התובעת הנאשם כבן 27, עצור מאוקטובר 2021, בעל עבר פלילי והפנתה לגיליון מרשם פלילי של הנאשם (</w:t>
      </w:r>
      <w:r w:rsidRPr="000C0391">
        <w:rPr>
          <w:rFonts w:ascii="David" w:hAnsi="David"/>
          <w:b/>
          <w:bCs/>
          <w:rtl/>
        </w:rPr>
        <w:t>ת/1</w:t>
      </w:r>
      <w:r w:rsidRPr="000C0391">
        <w:rPr>
          <w:rFonts w:ascii="David" w:hAnsi="David"/>
          <w:rtl/>
        </w:rPr>
        <w:t>), וציינה שעל אף גילו הצעיר, אין זה מאסרו הראשון.</w:t>
      </w:r>
    </w:p>
    <w:p w14:paraId="580A05EF" w14:textId="77777777" w:rsidR="00B5602A" w:rsidRPr="000C0391" w:rsidRDefault="00B5602A" w:rsidP="00B5602A">
      <w:pPr>
        <w:spacing w:line="360" w:lineRule="auto"/>
        <w:jc w:val="both"/>
        <w:rPr>
          <w:rFonts w:ascii="David" w:hAnsi="David"/>
          <w:rtl/>
        </w:rPr>
      </w:pPr>
      <w:r w:rsidRPr="000C0391">
        <w:rPr>
          <w:rFonts w:ascii="David" w:hAnsi="David"/>
          <w:rtl/>
        </w:rPr>
        <w:t xml:space="preserve">באשר למדיניות הענישה הנהוגה, התביעה סבורה שבשל הנסיבות החמורות במעשיו של הנאשם, מתחם העונש ההולם נע בין 10 ל- 14 שנות מאסר, כשלדבריה עמדה זו מתחייבת מהערך של קדושת חיי אדם, זכותו של אדם לשלמות הגוף וביטחון. התובעת עתרה לקבוע מתחם עונש כולל לכל העבירות, מכיוון שמדובר באירוע אחד. עוד ציינה התובעת כי העבירה החמורה היא עבירת החבלה חמורה בכוונה מחמירה, אך גם שתי העבירות הנוספות הן עבירות שנושאות לבדן מתחם של למעלה מ- 3 שנות מאסר. התובעת עתרה למקם את עונשו של הנאשם בשליש הגבוה של המתחם, לאור העובדה שמדובר באדם שהוא אינו מאוד צעיר על פי הפסיקה ובעל עבר פלילי. לטענת התובעת ירי מנשק חם שפוגע בקורבן ופוצע אותו בצורה שהיא משמעותית, מצריך ענישה בצד החמור יותר של העבירה לפי </w:t>
      </w:r>
      <w:hyperlink r:id="rId35" w:history="1">
        <w:r w:rsidR="0047505D" w:rsidRPr="0047505D">
          <w:rPr>
            <w:rStyle w:val="Hyperlink"/>
            <w:rFonts w:ascii="David" w:hAnsi="David"/>
            <w:rtl/>
          </w:rPr>
          <w:t>סע' 329</w:t>
        </w:r>
      </w:hyperlink>
      <w:r w:rsidRPr="000C0391">
        <w:rPr>
          <w:rFonts w:ascii="David" w:hAnsi="David"/>
          <w:rtl/>
        </w:rPr>
        <w:t xml:space="preserve"> שמנעד הענישה בעבירה זו הוא רחב.</w:t>
      </w:r>
    </w:p>
    <w:p w14:paraId="13928735" w14:textId="77777777" w:rsidR="00B5602A" w:rsidRPr="000C0391" w:rsidRDefault="00B5602A" w:rsidP="00B5602A">
      <w:pPr>
        <w:spacing w:line="360" w:lineRule="auto"/>
        <w:jc w:val="both"/>
        <w:rPr>
          <w:rFonts w:ascii="David" w:hAnsi="David"/>
          <w:rtl/>
        </w:rPr>
      </w:pPr>
      <w:r w:rsidRPr="000C0391">
        <w:rPr>
          <w:rFonts w:ascii="David" w:hAnsi="David"/>
          <w:rtl/>
        </w:rPr>
        <w:t>התובעת הגישה פסיקה לעניין מדיניות הענישה הנהוגה, ואבחנה אותה, ולדבריה בית המשפט העליון שב ועמד לא אחת על חומרתן של עבירות האלימות שמסכנות את הציבור ושנעשות תוך שימוש בנשק חם, והדגיש שיש צורך במדיניות ענישה חמורה שיהיה בה כדי להביא להרתעת הרבים במיגור התופעה מהחברה.</w:t>
      </w:r>
    </w:p>
    <w:p w14:paraId="7759A683" w14:textId="77777777" w:rsidR="00B5602A" w:rsidRPr="000C0391" w:rsidRDefault="00B5602A" w:rsidP="00B5602A">
      <w:pPr>
        <w:pStyle w:val="aa"/>
        <w:shd w:val="clear" w:color="auto" w:fill="auto"/>
        <w:spacing w:line="360" w:lineRule="auto"/>
        <w:ind w:left="0" w:firstLine="0"/>
        <w:jc w:val="both"/>
        <w:rPr>
          <w:rFonts w:ascii="David" w:hAnsi="David" w:cs="David"/>
          <w:b w:val="0"/>
          <w:bCs w:val="0"/>
          <w:sz w:val="24"/>
          <w:szCs w:val="24"/>
          <w:u w:val="none"/>
          <w:rtl/>
          <w:lang w:eastAsia="en-US"/>
        </w:rPr>
      </w:pPr>
    </w:p>
    <w:p w14:paraId="4555DA83" w14:textId="77777777" w:rsidR="00B5602A" w:rsidRPr="000C0391" w:rsidRDefault="00B5602A" w:rsidP="00B5602A">
      <w:pPr>
        <w:pStyle w:val="aa"/>
        <w:shd w:val="clear" w:color="auto" w:fill="auto"/>
        <w:spacing w:line="360" w:lineRule="auto"/>
        <w:ind w:left="0" w:firstLine="0"/>
        <w:jc w:val="both"/>
        <w:rPr>
          <w:rFonts w:ascii="David" w:hAnsi="David" w:cs="David"/>
          <w:b w:val="0"/>
          <w:bCs w:val="0"/>
          <w:sz w:val="24"/>
          <w:szCs w:val="24"/>
          <w:u w:val="none"/>
          <w:rtl/>
          <w:lang w:eastAsia="en-US"/>
        </w:rPr>
      </w:pPr>
      <w:r w:rsidRPr="000C0391">
        <w:rPr>
          <w:rFonts w:ascii="David" w:hAnsi="David" w:cs="David"/>
          <w:sz w:val="24"/>
          <w:szCs w:val="24"/>
          <w:u w:val="none"/>
          <w:rtl/>
          <w:lang w:eastAsia="en-US"/>
        </w:rPr>
        <w:t>טיעוני ההגנה לעונש</w:t>
      </w:r>
      <w:r w:rsidRPr="000C0391">
        <w:rPr>
          <w:rFonts w:ascii="David" w:hAnsi="David" w:cs="David"/>
          <w:b w:val="0"/>
          <w:bCs w:val="0"/>
          <w:sz w:val="24"/>
          <w:szCs w:val="24"/>
          <w:u w:val="none"/>
          <w:rtl/>
          <w:lang w:eastAsia="en-US"/>
        </w:rPr>
        <w:t xml:space="preserve"> (עמ' 24-28 לפר'), בתמצית: לדברי הסניגור, האירוע קרה בספטמבר 2021, טרם תיקון 145 ל</w:t>
      </w:r>
      <w:hyperlink r:id="rId36" w:history="1">
        <w:r w:rsidR="00A255A2" w:rsidRPr="00A255A2">
          <w:rPr>
            <w:rFonts w:ascii="David" w:hAnsi="David" w:cs="David"/>
            <w:b w:val="0"/>
            <w:bCs w:val="0"/>
            <w:color w:val="0000FF"/>
            <w:sz w:val="24"/>
            <w:szCs w:val="24"/>
            <w:rtl/>
            <w:lang w:eastAsia="en-US"/>
          </w:rPr>
          <w:t>חוק העונשין</w:t>
        </w:r>
      </w:hyperlink>
      <w:r w:rsidRPr="000C0391">
        <w:rPr>
          <w:rFonts w:ascii="David" w:hAnsi="David" w:cs="David"/>
          <w:b w:val="0"/>
          <w:bCs w:val="0"/>
          <w:sz w:val="24"/>
          <w:szCs w:val="24"/>
          <w:u w:val="none"/>
          <w:rtl/>
          <w:lang w:eastAsia="en-US"/>
        </w:rPr>
        <w:t xml:space="preserve"> שהוא תיקון בעבירות נשק מדצמבר 2021, כך שכל החמרה בעבירות הנשק לא יכולה לחול על הנאשם.</w:t>
      </w:r>
    </w:p>
    <w:p w14:paraId="09ACB53A" w14:textId="77777777" w:rsidR="00B5602A" w:rsidRPr="000C0391" w:rsidRDefault="00B5602A" w:rsidP="00B5602A">
      <w:pPr>
        <w:spacing w:line="360" w:lineRule="auto"/>
        <w:jc w:val="both"/>
        <w:rPr>
          <w:rFonts w:ascii="David" w:hAnsi="David"/>
          <w:rtl/>
        </w:rPr>
      </w:pPr>
      <w:r w:rsidRPr="000C0391">
        <w:rPr>
          <w:rFonts w:ascii="David" w:hAnsi="David"/>
          <w:rtl/>
        </w:rPr>
        <w:t>הסניגור הגיש פסיקה בעניין ביצוע של מערערים כקבוצה ואבחנה ביניהם על אף העובדה שהם מבצעים בצוותא, ולטענת הסניגור יש להניח לטובת הנאשם שהאחר הוא היורה, כיוון שבכתב האישום לא מצוין מי מהשניים ירה, וכפועל יוצא העונש שלו צריך להיות פחות מהמתחם הרגיל בתיק שמוסכם שהנאשם הוא היורה.</w:t>
      </w:r>
    </w:p>
    <w:p w14:paraId="41B1192F" w14:textId="77777777" w:rsidR="00B5602A" w:rsidRPr="000C0391" w:rsidRDefault="00B5602A" w:rsidP="00B5602A">
      <w:pPr>
        <w:spacing w:line="360" w:lineRule="auto"/>
        <w:jc w:val="both"/>
        <w:rPr>
          <w:rFonts w:ascii="David" w:hAnsi="David"/>
          <w:rtl/>
        </w:rPr>
      </w:pPr>
      <w:r w:rsidRPr="000C0391">
        <w:rPr>
          <w:rFonts w:ascii="David" w:hAnsi="David"/>
          <w:rtl/>
        </w:rPr>
        <w:t>לטענת הסניגור, בשיקולים לקולא בנסיבות ביצוע העבירות יש להתחשב בעובדה שזהות היורה בפועל לא ידועה, על אף החומרה בביצוע בצוותא. בנוסף, הירי כוון אך ורק לפלג הגוף התחתון. לטענתו, דווקא העובדה שהירי בוצע מקרוב זהו שיקול נוסף לקולא, כי הוא לא מסכן אנשים אחרים.</w:t>
      </w:r>
    </w:p>
    <w:p w14:paraId="421FF2DF" w14:textId="77777777" w:rsidR="00B5602A" w:rsidRPr="000C0391" w:rsidRDefault="00B5602A" w:rsidP="00B5602A">
      <w:pPr>
        <w:spacing w:line="360" w:lineRule="auto"/>
        <w:jc w:val="both"/>
        <w:rPr>
          <w:rFonts w:ascii="David" w:hAnsi="David"/>
          <w:rtl/>
        </w:rPr>
      </w:pPr>
      <w:r w:rsidRPr="000C0391">
        <w:rPr>
          <w:rFonts w:ascii="David" w:hAnsi="David"/>
          <w:rtl/>
        </w:rPr>
        <w:t>באשר למדיניות הענישה הנהוגה, הסניגור הגיש פסיקה, ואבחן אותה, וכן התייחס לפסיקה שהגישה התובעת.</w:t>
      </w:r>
    </w:p>
    <w:p w14:paraId="5EB523D6" w14:textId="77777777" w:rsidR="00B5602A" w:rsidRPr="000C0391" w:rsidRDefault="00B5602A" w:rsidP="00B5602A">
      <w:pPr>
        <w:spacing w:line="360" w:lineRule="auto"/>
        <w:jc w:val="both"/>
        <w:rPr>
          <w:rFonts w:ascii="David" w:hAnsi="David"/>
          <w:rtl/>
        </w:rPr>
      </w:pPr>
      <w:r w:rsidRPr="000C0391">
        <w:rPr>
          <w:rFonts w:ascii="David" w:hAnsi="David"/>
          <w:rtl/>
        </w:rPr>
        <w:t>באשר לנסיבות שאינן קשורות בביצוע העבירות, התייחס הסניגור לגיליון מרשם פלילי של הנאשם (</w:t>
      </w:r>
      <w:r w:rsidRPr="000C0391">
        <w:rPr>
          <w:rFonts w:ascii="David" w:hAnsi="David"/>
          <w:b/>
          <w:bCs/>
          <w:rtl/>
        </w:rPr>
        <w:t>ת/1</w:t>
      </w:r>
      <w:r w:rsidRPr="000C0391">
        <w:rPr>
          <w:rFonts w:ascii="David" w:hAnsi="David"/>
          <w:rtl/>
        </w:rPr>
        <w:t>), ולדבריו הנאשם לא ריצה מאסרים ארוכים, ואין לו לדבריו רקע עברייני כבד. הנאשם צעיר, בן 27, רווק, עבד בריצוף, בניית כבישים ועבודות שיש. מבחינת נטילת אחריות, הרי שמדובר בנאשם שהודה ולא ניהל את המשפט, וכן חלפו כמעט 3 שנים מאז ביצוע העבירות. כמו כן לדברי הסניגור הנאשם במעצר תקופה ארוכה ולא פשוטה שהחלה בקורונה, מאז אוקטובר 2021.</w:t>
      </w:r>
    </w:p>
    <w:p w14:paraId="662CA5E0" w14:textId="77777777" w:rsidR="00B5602A" w:rsidRPr="000C0391" w:rsidRDefault="00B5602A" w:rsidP="00B5602A">
      <w:pPr>
        <w:spacing w:line="360" w:lineRule="auto"/>
        <w:jc w:val="both"/>
        <w:rPr>
          <w:rFonts w:ascii="David" w:hAnsi="David"/>
          <w:rtl/>
        </w:rPr>
      </w:pPr>
      <w:r w:rsidRPr="000C0391">
        <w:rPr>
          <w:rFonts w:ascii="David" w:hAnsi="David"/>
          <w:rtl/>
        </w:rPr>
        <w:t>הסניגור עתר לקביעת מתחם עונש הולם שנע בין 3.5 ל- 7 שנות מאסר, ועתר לגזור את עונשו של הנאשם בתחתית המתחם או בסמוך לתחתית המתחם, ולהטיל על הנאשם 4 שנות מאסר בפועל.</w:t>
      </w:r>
    </w:p>
    <w:p w14:paraId="59E47A1C" w14:textId="77777777" w:rsidR="00B5602A" w:rsidRPr="000C0391" w:rsidRDefault="00B5602A" w:rsidP="00B5602A">
      <w:pPr>
        <w:spacing w:line="360" w:lineRule="auto"/>
        <w:jc w:val="both"/>
        <w:rPr>
          <w:rFonts w:ascii="David" w:hAnsi="David"/>
          <w:b/>
          <w:bCs/>
          <w:rtl/>
        </w:rPr>
      </w:pPr>
    </w:p>
    <w:p w14:paraId="2D2D680E" w14:textId="77777777" w:rsidR="00B5602A" w:rsidRPr="000C0391" w:rsidRDefault="00B5602A" w:rsidP="00B5602A">
      <w:pPr>
        <w:spacing w:line="360" w:lineRule="auto"/>
        <w:jc w:val="both"/>
        <w:rPr>
          <w:rFonts w:ascii="David" w:hAnsi="David"/>
          <w:b/>
          <w:bCs/>
          <w:u w:val="single"/>
          <w:rtl/>
        </w:rPr>
      </w:pPr>
      <w:r w:rsidRPr="000C0391">
        <w:rPr>
          <w:rFonts w:ascii="David" w:hAnsi="David"/>
          <w:b/>
          <w:bCs/>
          <w:rtl/>
        </w:rPr>
        <w:t xml:space="preserve">הנאשם בדבריו בבית המשפט </w:t>
      </w:r>
      <w:r w:rsidRPr="000C0391">
        <w:rPr>
          <w:rFonts w:ascii="David" w:hAnsi="David"/>
          <w:rtl/>
        </w:rPr>
        <w:t>(עמ' 28 לפר') אמר שהוא מבקש סליחה על מה שעשה.</w:t>
      </w:r>
    </w:p>
    <w:p w14:paraId="41FD996F" w14:textId="77777777" w:rsidR="00B5602A" w:rsidRPr="000C0391" w:rsidRDefault="00B5602A" w:rsidP="00B5602A">
      <w:pPr>
        <w:spacing w:line="360" w:lineRule="auto"/>
        <w:jc w:val="both"/>
        <w:rPr>
          <w:rFonts w:ascii="David" w:hAnsi="David"/>
          <w:b/>
          <w:bCs/>
          <w:u w:val="single"/>
          <w:rtl/>
        </w:rPr>
      </w:pPr>
    </w:p>
    <w:p w14:paraId="38F40194" w14:textId="77777777" w:rsidR="00B5602A" w:rsidRPr="000C0391" w:rsidRDefault="00B5602A" w:rsidP="00B5602A">
      <w:pPr>
        <w:spacing w:line="360" w:lineRule="auto"/>
        <w:jc w:val="both"/>
        <w:rPr>
          <w:rFonts w:ascii="David" w:hAnsi="David"/>
          <w:u w:val="single"/>
          <w:rtl/>
        </w:rPr>
      </w:pPr>
      <w:r w:rsidRPr="000C0391">
        <w:rPr>
          <w:rFonts w:ascii="David" w:hAnsi="David"/>
          <w:b/>
          <w:bCs/>
          <w:u w:val="single"/>
          <w:rtl/>
        </w:rPr>
        <w:t>דיון וגזירת העונש</w:t>
      </w:r>
      <w:r w:rsidRPr="000C0391">
        <w:rPr>
          <w:rFonts w:ascii="David" w:hAnsi="David"/>
          <w:u w:val="single"/>
          <w:rtl/>
        </w:rPr>
        <w:t>:</w:t>
      </w:r>
    </w:p>
    <w:p w14:paraId="03ED64D5" w14:textId="77777777" w:rsidR="00B5602A" w:rsidRPr="000C0391" w:rsidRDefault="00B5602A" w:rsidP="00B5602A">
      <w:pPr>
        <w:spacing w:line="360" w:lineRule="auto"/>
        <w:jc w:val="both"/>
        <w:rPr>
          <w:rFonts w:ascii="David" w:hAnsi="David"/>
          <w:color w:val="FF0000"/>
          <w:rtl/>
        </w:rPr>
      </w:pPr>
      <w:r w:rsidRPr="000C0391">
        <w:rPr>
          <w:rFonts w:ascii="David" w:hAnsi="David"/>
          <w:rtl/>
        </w:rPr>
        <w:t>הנאשם הודה בעובדות כתב האישום המתוקן, והורשע בעבירות של</w:t>
      </w:r>
      <w:r w:rsidRPr="000C0391">
        <w:rPr>
          <w:rFonts w:ascii="David" w:hAnsi="David"/>
          <w:b/>
          <w:bCs/>
          <w:rtl/>
        </w:rPr>
        <w:t xml:space="preserve"> חבלה חמורה בכוונה מחמירה</w:t>
      </w:r>
      <w:r w:rsidRPr="000C0391">
        <w:rPr>
          <w:rFonts w:ascii="David" w:hAnsi="David"/>
          <w:rtl/>
        </w:rPr>
        <w:t xml:space="preserve"> לפי </w:t>
      </w:r>
      <w:hyperlink r:id="rId37" w:history="1">
        <w:r w:rsidR="0047505D" w:rsidRPr="0047505D">
          <w:rPr>
            <w:rStyle w:val="Hyperlink"/>
            <w:rFonts w:ascii="David" w:hAnsi="David"/>
            <w:rtl/>
          </w:rPr>
          <w:t>סעיף 329(א)(1)</w:t>
        </w:r>
      </w:hyperlink>
      <w:r w:rsidRPr="000C0391">
        <w:rPr>
          <w:rFonts w:ascii="David" w:hAnsi="David"/>
          <w:rtl/>
        </w:rPr>
        <w:t xml:space="preserve"> ל</w:t>
      </w:r>
      <w:hyperlink r:id="rId38" w:history="1">
        <w:r w:rsidR="00A255A2" w:rsidRPr="00A255A2">
          <w:rPr>
            <w:rFonts w:ascii="David" w:hAnsi="David"/>
            <w:color w:val="0000FF"/>
            <w:u w:val="single"/>
            <w:rtl/>
          </w:rPr>
          <w:t>חוק העונשין</w:t>
        </w:r>
      </w:hyperlink>
      <w:r w:rsidRPr="000C0391">
        <w:rPr>
          <w:rFonts w:ascii="David" w:hAnsi="David"/>
          <w:rtl/>
        </w:rPr>
        <w:t xml:space="preserve"> תשל"ז–1977 (להלן: </w:t>
      </w:r>
      <w:r w:rsidRPr="000C0391">
        <w:rPr>
          <w:rFonts w:ascii="David" w:hAnsi="David"/>
          <w:b/>
          <w:bCs/>
          <w:rtl/>
        </w:rPr>
        <w:t>"החוק"</w:t>
      </w:r>
      <w:r w:rsidRPr="000C0391">
        <w:rPr>
          <w:rFonts w:ascii="David" w:hAnsi="David"/>
          <w:rtl/>
        </w:rPr>
        <w:t xml:space="preserve">), </w:t>
      </w:r>
      <w:r w:rsidRPr="000C0391">
        <w:rPr>
          <w:rFonts w:ascii="David" w:hAnsi="David"/>
          <w:b/>
          <w:bCs/>
          <w:rtl/>
        </w:rPr>
        <w:t>נשיאת נשק</w:t>
      </w:r>
      <w:r w:rsidRPr="000C0391">
        <w:rPr>
          <w:rFonts w:ascii="David" w:hAnsi="David"/>
          <w:rtl/>
        </w:rPr>
        <w:t xml:space="preserve"> לפי </w:t>
      </w:r>
      <w:hyperlink r:id="rId39" w:history="1">
        <w:r w:rsidR="0047505D" w:rsidRPr="0047505D">
          <w:rPr>
            <w:rStyle w:val="Hyperlink"/>
            <w:rFonts w:ascii="David" w:hAnsi="David"/>
            <w:rtl/>
          </w:rPr>
          <w:t>סעיף 144(ב)</w:t>
        </w:r>
      </w:hyperlink>
      <w:r w:rsidRPr="000C0391">
        <w:rPr>
          <w:rFonts w:ascii="David" w:hAnsi="David"/>
          <w:rtl/>
        </w:rPr>
        <w:t xml:space="preserve"> רישא לחוק, ו</w:t>
      </w:r>
      <w:r w:rsidRPr="000C0391">
        <w:rPr>
          <w:rFonts w:ascii="David" w:hAnsi="David"/>
          <w:b/>
          <w:bCs/>
          <w:rtl/>
        </w:rPr>
        <w:t>ירי עם נשק חם באזור מגורים</w:t>
      </w:r>
      <w:r w:rsidRPr="000C0391">
        <w:rPr>
          <w:rFonts w:ascii="David" w:hAnsi="David"/>
          <w:rtl/>
        </w:rPr>
        <w:t xml:space="preserve">, לפי </w:t>
      </w:r>
      <w:hyperlink r:id="rId40" w:history="1">
        <w:r w:rsidR="0047505D" w:rsidRPr="0047505D">
          <w:rPr>
            <w:rStyle w:val="Hyperlink"/>
            <w:rFonts w:ascii="David" w:hAnsi="David"/>
            <w:rtl/>
          </w:rPr>
          <w:t>סעיף 340א(ב)(1)</w:t>
        </w:r>
      </w:hyperlink>
      <w:r w:rsidRPr="000C0391">
        <w:rPr>
          <w:rFonts w:ascii="David" w:hAnsi="David"/>
          <w:rtl/>
        </w:rPr>
        <w:t xml:space="preserve"> לחוק. מדובר בעבירות הקשורות זו בזו, והן חלק מאותה "תכנית עבריינית". לפי מבחן הקשר ההדוק אשר נקבע בפסיקה, יש לראות בכלל העבירות שביצע הנאשם כ"אירוע אחד" (בהקשר זה ראו: </w:t>
      </w:r>
      <w:hyperlink r:id="rId41" w:history="1">
        <w:r w:rsidR="00A255A2" w:rsidRPr="00A255A2">
          <w:rPr>
            <w:rFonts w:ascii="David" w:hAnsi="David"/>
            <w:color w:val="0000FF"/>
            <w:u w:val="single"/>
            <w:rtl/>
          </w:rPr>
          <w:t>ע"פ 491</w:t>
        </w:r>
        <w:r w:rsidR="00A255A2" w:rsidRPr="00A255A2">
          <w:rPr>
            <w:rFonts w:ascii="David" w:hAnsi="David"/>
            <w:color w:val="0000FF"/>
            <w:u w:val="single"/>
            <w:rtl/>
          </w:rPr>
          <w:t>0</w:t>
        </w:r>
        <w:r w:rsidR="00A255A2" w:rsidRPr="00A255A2">
          <w:rPr>
            <w:rFonts w:ascii="David" w:hAnsi="David"/>
            <w:color w:val="0000FF"/>
            <w:u w:val="single"/>
            <w:rtl/>
          </w:rPr>
          <w:t>/13</w:t>
        </w:r>
      </w:hyperlink>
      <w:r w:rsidRPr="000C0391">
        <w:rPr>
          <w:rFonts w:ascii="David" w:hAnsi="David"/>
          <w:rtl/>
        </w:rPr>
        <w:t xml:space="preserve"> </w:t>
      </w:r>
      <w:r w:rsidRPr="000C0391">
        <w:rPr>
          <w:rFonts w:ascii="David" w:hAnsi="David"/>
          <w:b/>
          <w:bCs/>
          <w:rtl/>
        </w:rPr>
        <w:t>ג'אבר</w:t>
      </w:r>
      <w:r w:rsidRPr="000C0391">
        <w:rPr>
          <w:rFonts w:ascii="David" w:hAnsi="David"/>
          <w:rtl/>
        </w:rPr>
        <w:t xml:space="preserve">, </w:t>
      </w:r>
      <w:r w:rsidR="005D0099">
        <w:rPr>
          <w:rFonts w:ascii="David" w:hAnsi="David"/>
          <w:rtl/>
        </w:rPr>
        <w:t>[נבו]</w:t>
      </w:r>
      <w:r w:rsidR="005D0099">
        <w:rPr>
          <w:rFonts w:ascii="David" w:hAnsi="David" w:hint="cs"/>
          <w:rtl/>
        </w:rPr>
        <w:t xml:space="preserve"> </w:t>
      </w:r>
      <w:r w:rsidRPr="000C0391">
        <w:rPr>
          <w:rFonts w:ascii="David" w:hAnsi="David"/>
          <w:rtl/>
        </w:rPr>
        <w:t>מיום 29.10.14, וראו גם ב</w:t>
      </w:r>
      <w:hyperlink r:id="rId42" w:history="1">
        <w:r w:rsidR="00A255A2" w:rsidRPr="00A255A2">
          <w:rPr>
            <w:rFonts w:ascii="David" w:hAnsi="David"/>
            <w:color w:val="0000FF"/>
            <w:u w:val="single"/>
            <w:rtl/>
          </w:rPr>
          <w:t>ע"פ 2455/21</w:t>
        </w:r>
      </w:hyperlink>
      <w:r w:rsidRPr="000C0391">
        <w:rPr>
          <w:rFonts w:ascii="David" w:hAnsi="David"/>
          <w:rtl/>
        </w:rPr>
        <w:t xml:space="preserve"> </w:t>
      </w:r>
      <w:r w:rsidRPr="000C0391">
        <w:rPr>
          <w:rFonts w:ascii="David" w:hAnsi="David"/>
          <w:b/>
          <w:bCs/>
          <w:rtl/>
        </w:rPr>
        <w:t>ברמלי</w:t>
      </w:r>
      <w:r w:rsidRPr="000C0391">
        <w:rPr>
          <w:rFonts w:ascii="David" w:hAnsi="David"/>
          <w:rtl/>
        </w:rPr>
        <w:t xml:space="preserve">, </w:t>
      </w:r>
      <w:r w:rsidR="005D0099">
        <w:rPr>
          <w:rFonts w:ascii="David" w:hAnsi="David"/>
          <w:rtl/>
        </w:rPr>
        <w:t>[נבו]</w:t>
      </w:r>
      <w:r w:rsidR="005D0099">
        <w:rPr>
          <w:rFonts w:ascii="David" w:hAnsi="David" w:hint="cs"/>
          <w:rtl/>
        </w:rPr>
        <w:t xml:space="preserve"> </w:t>
      </w:r>
      <w:r w:rsidRPr="000C0391">
        <w:rPr>
          <w:rFonts w:ascii="David" w:hAnsi="David"/>
          <w:rtl/>
        </w:rPr>
        <w:t>מיום 6.7.23, בסע' 49 לפסה"ד). גם ב"כ הצדדים סברו כך. לפיכך, אציע אפוא לחברותיי לקבוע מתחם עונש הולם אחד לכל העבירות שבהן הודה והורשע הנאשם. מתחם הענישה ייקבע בהתאם לעקרון ההלימה, הערכים החברתיים שנפגעו מביצוע העבירות, מידת הפגיעה בהם, מדיניות הענישה הנהוגה והנסיבות הקשורות בביצוע העבירות [</w:t>
      </w:r>
      <w:hyperlink r:id="rId43" w:history="1">
        <w:r w:rsidR="0047505D" w:rsidRPr="0047505D">
          <w:rPr>
            <w:rStyle w:val="Hyperlink"/>
            <w:rFonts w:ascii="David" w:hAnsi="David"/>
            <w:b/>
            <w:bCs/>
            <w:rtl/>
          </w:rPr>
          <w:t>סע' 40ב</w:t>
        </w:r>
      </w:hyperlink>
      <w:r w:rsidRPr="000C0391">
        <w:rPr>
          <w:rFonts w:ascii="David" w:hAnsi="David"/>
          <w:b/>
          <w:bCs/>
          <w:rtl/>
        </w:rPr>
        <w:t xml:space="preserve">, </w:t>
      </w:r>
      <w:hyperlink r:id="rId44" w:history="1">
        <w:r w:rsidR="0047505D" w:rsidRPr="0047505D">
          <w:rPr>
            <w:rStyle w:val="Hyperlink"/>
            <w:rFonts w:ascii="David" w:hAnsi="David"/>
            <w:b/>
            <w:bCs/>
            <w:rtl/>
          </w:rPr>
          <w:t>40ג</w:t>
        </w:r>
      </w:hyperlink>
      <w:r w:rsidRPr="000C0391">
        <w:rPr>
          <w:rFonts w:ascii="David" w:hAnsi="David"/>
          <w:b/>
          <w:bCs/>
          <w:rtl/>
        </w:rPr>
        <w:t xml:space="preserve">, </w:t>
      </w:r>
      <w:hyperlink r:id="rId45" w:history="1">
        <w:r w:rsidR="0047505D" w:rsidRPr="0047505D">
          <w:rPr>
            <w:rStyle w:val="Hyperlink"/>
            <w:rFonts w:ascii="David" w:hAnsi="David"/>
            <w:b/>
            <w:bCs/>
            <w:rtl/>
          </w:rPr>
          <w:t>40ט</w:t>
        </w:r>
      </w:hyperlink>
      <w:r w:rsidRPr="000C0391">
        <w:rPr>
          <w:rFonts w:ascii="David" w:hAnsi="David"/>
          <w:b/>
          <w:bCs/>
          <w:rtl/>
        </w:rPr>
        <w:t xml:space="preserve">, </w:t>
      </w:r>
      <w:hyperlink r:id="rId46" w:history="1">
        <w:r w:rsidR="0047505D" w:rsidRPr="0047505D">
          <w:rPr>
            <w:rStyle w:val="Hyperlink"/>
            <w:rFonts w:ascii="David" w:hAnsi="David"/>
            <w:b/>
            <w:bCs/>
            <w:rtl/>
          </w:rPr>
          <w:t>40יג(א)</w:t>
        </w:r>
      </w:hyperlink>
      <w:r w:rsidRPr="000C0391">
        <w:rPr>
          <w:rFonts w:ascii="David" w:hAnsi="David"/>
          <w:rtl/>
        </w:rPr>
        <w:t xml:space="preserve"> לחוק].</w:t>
      </w:r>
    </w:p>
    <w:p w14:paraId="4541FF98" w14:textId="77777777" w:rsidR="00B5602A" w:rsidRPr="000C0391" w:rsidRDefault="00B5602A" w:rsidP="00B5602A">
      <w:pPr>
        <w:spacing w:line="360" w:lineRule="auto"/>
        <w:jc w:val="both"/>
        <w:rPr>
          <w:rFonts w:ascii="David" w:hAnsi="David"/>
          <w:b/>
          <w:bCs/>
          <w:u w:val="single"/>
          <w:rtl/>
        </w:rPr>
      </w:pPr>
    </w:p>
    <w:p w14:paraId="0FF73740" w14:textId="77777777" w:rsidR="00B5602A" w:rsidRPr="000C0391" w:rsidRDefault="00B5602A" w:rsidP="00B5602A">
      <w:pPr>
        <w:spacing w:line="360" w:lineRule="auto"/>
        <w:jc w:val="both"/>
        <w:rPr>
          <w:rFonts w:ascii="David" w:hAnsi="David"/>
          <w:b/>
          <w:bCs/>
          <w:u w:val="single"/>
          <w:rtl/>
        </w:rPr>
      </w:pPr>
      <w:r w:rsidRPr="000C0391">
        <w:rPr>
          <w:rFonts w:ascii="David" w:hAnsi="David"/>
          <w:b/>
          <w:bCs/>
          <w:u w:val="single"/>
          <w:rtl/>
        </w:rPr>
        <w:t>קביעת מתחם העונש ההולם:</w:t>
      </w:r>
    </w:p>
    <w:p w14:paraId="1A0F3B3D" w14:textId="77777777" w:rsidR="00B5602A" w:rsidRPr="000C0391" w:rsidRDefault="00B5602A" w:rsidP="00B5602A">
      <w:pPr>
        <w:spacing w:line="360" w:lineRule="auto"/>
        <w:jc w:val="both"/>
        <w:rPr>
          <w:rFonts w:ascii="David" w:hAnsi="David"/>
          <w:rtl/>
        </w:rPr>
      </w:pPr>
      <w:r w:rsidRPr="000C0391">
        <w:rPr>
          <w:rFonts w:ascii="David" w:hAnsi="David"/>
          <w:b/>
          <w:bCs/>
          <w:rtl/>
        </w:rPr>
        <w:t xml:space="preserve">הערכים החברתיים שנפגעו מביצוע עבירת החבלה חמורה בכוונה מחמירה: </w:t>
      </w:r>
      <w:r w:rsidRPr="000C0391">
        <w:rPr>
          <w:rFonts w:ascii="David" w:hAnsi="David"/>
          <w:rtl/>
        </w:rPr>
        <w:t>התכליות העומדות בבסיס הענישה על עבירה זו הן שלמות הגוף, וההגנה על שלום הציבור וביטחונו. נקבע כי שלמות הגוף היא זכות יסוד מקודשת שאין להתיר לאיש לפגוע בזכות זו. יפים בהקשר זה דבריו של בית המשפט העליון:</w:t>
      </w:r>
    </w:p>
    <w:p w14:paraId="55605459" w14:textId="77777777" w:rsidR="00B5602A" w:rsidRPr="000C0391" w:rsidRDefault="00B5602A" w:rsidP="00B5602A">
      <w:pPr>
        <w:pStyle w:val="Ruller40"/>
        <w:ind w:left="281" w:right="426"/>
        <w:rPr>
          <w:rFonts w:ascii="David" w:hAnsi="David" w:cs="David"/>
          <w:spacing w:val="0"/>
          <w:sz w:val="24"/>
          <w:szCs w:val="24"/>
          <w:rtl/>
        </w:rPr>
      </w:pPr>
      <w:r w:rsidRPr="000C0391">
        <w:rPr>
          <w:rFonts w:ascii="David" w:hAnsi="David" w:cs="David"/>
          <w:b/>
          <w:bCs/>
          <w:spacing w:val="0"/>
          <w:sz w:val="24"/>
          <w:szCs w:val="24"/>
          <w:rtl/>
        </w:rPr>
        <w:t xml:space="preserve">"...יש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זהו נגע רע שיש לבערו מן היסוד..." </w:t>
      </w:r>
      <w:r w:rsidRPr="000C0391">
        <w:rPr>
          <w:rFonts w:ascii="David" w:hAnsi="David" w:cs="David"/>
          <w:spacing w:val="0"/>
          <w:sz w:val="24"/>
          <w:szCs w:val="24"/>
          <w:rtl/>
        </w:rPr>
        <w:t>(</w:t>
      </w:r>
      <w:hyperlink r:id="rId47" w:history="1">
        <w:r w:rsidR="00A255A2" w:rsidRPr="00A255A2">
          <w:rPr>
            <w:rFonts w:ascii="David" w:hAnsi="David" w:cs="David"/>
            <w:color w:val="0000FF"/>
            <w:spacing w:val="0"/>
            <w:sz w:val="24"/>
            <w:szCs w:val="24"/>
            <w:u w:val="single"/>
            <w:rtl/>
          </w:rPr>
          <w:t>ע"פ 3863/09</w:t>
        </w:r>
      </w:hyperlink>
      <w:r w:rsidRPr="000C0391">
        <w:rPr>
          <w:rFonts w:ascii="David" w:hAnsi="David" w:cs="David"/>
          <w:spacing w:val="0"/>
          <w:sz w:val="24"/>
          <w:szCs w:val="24"/>
          <w:rtl/>
        </w:rPr>
        <w:t xml:space="preserve"> </w:t>
      </w:r>
      <w:r w:rsidRPr="000C0391">
        <w:rPr>
          <w:rFonts w:ascii="David" w:hAnsi="David" w:cs="David"/>
          <w:b/>
          <w:bCs/>
          <w:spacing w:val="0"/>
          <w:sz w:val="24"/>
          <w:szCs w:val="24"/>
          <w:rtl/>
        </w:rPr>
        <w:t>חסן</w:t>
      </w:r>
      <w:r w:rsidRPr="000C0391">
        <w:rPr>
          <w:rFonts w:ascii="David" w:hAnsi="David" w:cs="David"/>
          <w:spacing w:val="0"/>
          <w:sz w:val="24"/>
          <w:szCs w:val="24"/>
          <w:rtl/>
        </w:rPr>
        <w:t xml:space="preserve">, </w:t>
      </w:r>
      <w:r w:rsidR="005D0099">
        <w:rPr>
          <w:rFonts w:ascii="David" w:hAnsi="David" w:cs="David"/>
          <w:spacing w:val="0"/>
          <w:sz w:val="24"/>
          <w:szCs w:val="24"/>
          <w:rtl/>
        </w:rPr>
        <w:t>[נבו]</w:t>
      </w:r>
      <w:r w:rsidR="005D0099">
        <w:rPr>
          <w:rFonts w:ascii="David" w:hAnsi="David" w:cs="David" w:hint="cs"/>
          <w:spacing w:val="0"/>
          <w:sz w:val="24"/>
          <w:szCs w:val="24"/>
          <w:rtl/>
        </w:rPr>
        <w:t xml:space="preserve"> </w:t>
      </w:r>
      <w:r w:rsidRPr="000C0391">
        <w:rPr>
          <w:rFonts w:ascii="David" w:hAnsi="David" w:cs="David"/>
          <w:spacing w:val="0"/>
          <w:sz w:val="24"/>
          <w:szCs w:val="24"/>
          <w:rtl/>
        </w:rPr>
        <w:t xml:space="preserve">מיום 10.11.09, בסע' 21 לפסה"ד, וראו גם: </w:t>
      </w:r>
      <w:hyperlink r:id="rId48" w:history="1">
        <w:r w:rsidR="00A255A2" w:rsidRPr="00A255A2">
          <w:rPr>
            <w:rFonts w:ascii="David" w:hAnsi="David" w:cs="David"/>
            <w:color w:val="0000FF"/>
            <w:spacing w:val="0"/>
            <w:sz w:val="24"/>
            <w:szCs w:val="24"/>
            <w:u w:val="single"/>
            <w:rtl/>
          </w:rPr>
          <w:t>ע"פ 3498/19</w:t>
        </w:r>
      </w:hyperlink>
      <w:r w:rsidRPr="000C0391">
        <w:rPr>
          <w:rFonts w:ascii="David" w:hAnsi="David" w:cs="David"/>
          <w:spacing w:val="0"/>
          <w:sz w:val="24"/>
          <w:szCs w:val="24"/>
          <w:rtl/>
        </w:rPr>
        <w:t xml:space="preserve"> </w:t>
      </w:r>
      <w:r w:rsidRPr="000C0391">
        <w:rPr>
          <w:rFonts w:ascii="David" w:hAnsi="David" w:cs="David"/>
          <w:b/>
          <w:bCs/>
          <w:spacing w:val="0"/>
          <w:sz w:val="24"/>
          <w:szCs w:val="24"/>
          <w:rtl/>
        </w:rPr>
        <w:t>זרבאילוב</w:t>
      </w:r>
      <w:r w:rsidRPr="000C0391">
        <w:rPr>
          <w:rFonts w:ascii="David" w:hAnsi="David" w:cs="David"/>
          <w:spacing w:val="0"/>
          <w:sz w:val="24"/>
          <w:szCs w:val="24"/>
          <w:rtl/>
        </w:rPr>
        <w:t xml:space="preserve">, </w:t>
      </w:r>
      <w:r w:rsidR="005D0099">
        <w:rPr>
          <w:rFonts w:ascii="David" w:hAnsi="David" w:cs="David"/>
          <w:spacing w:val="0"/>
          <w:sz w:val="24"/>
          <w:szCs w:val="24"/>
          <w:rtl/>
        </w:rPr>
        <w:t>[נבו]</w:t>
      </w:r>
      <w:r w:rsidR="005D0099">
        <w:rPr>
          <w:rFonts w:ascii="David" w:hAnsi="David" w:cs="David" w:hint="cs"/>
          <w:spacing w:val="0"/>
          <w:sz w:val="24"/>
          <w:szCs w:val="24"/>
          <w:rtl/>
        </w:rPr>
        <w:t xml:space="preserve"> </w:t>
      </w:r>
      <w:r w:rsidRPr="000C0391">
        <w:rPr>
          <w:rFonts w:ascii="David" w:hAnsi="David" w:cs="David"/>
          <w:spacing w:val="0"/>
          <w:sz w:val="24"/>
          <w:szCs w:val="24"/>
          <w:rtl/>
        </w:rPr>
        <w:t>מיום 15.9.20, בסע' 18 לפסה"ד).</w:t>
      </w:r>
      <w:r w:rsidRPr="000C0391">
        <w:rPr>
          <w:rFonts w:ascii="David" w:hAnsi="David" w:cs="David"/>
          <w:b/>
          <w:bCs/>
          <w:spacing w:val="0"/>
          <w:sz w:val="24"/>
          <w:szCs w:val="24"/>
          <w:rtl/>
        </w:rPr>
        <w:t xml:space="preserve"> </w:t>
      </w:r>
    </w:p>
    <w:p w14:paraId="6B90B538" w14:textId="77777777" w:rsidR="00B5602A" w:rsidRPr="000C0391" w:rsidRDefault="00B5602A" w:rsidP="00B5602A">
      <w:pPr>
        <w:spacing w:line="360" w:lineRule="auto"/>
        <w:jc w:val="both"/>
        <w:rPr>
          <w:rFonts w:ascii="David" w:hAnsi="David"/>
          <w:b/>
          <w:bCs/>
          <w:rtl/>
        </w:rPr>
      </w:pPr>
    </w:p>
    <w:p w14:paraId="29850BD9" w14:textId="77777777" w:rsidR="00B5602A" w:rsidRPr="000C0391" w:rsidRDefault="00B5602A" w:rsidP="00B5602A">
      <w:pPr>
        <w:spacing w:line="360" w:lineRule="auto"/>
        <w:jc w:val="both"/>
        <w:rPr>
          <w:rFonts w:ascii="David" w:hAnsi="David"/>
          <w:rtl/>
        </w:rPr>
      </w:pPr>
      <w:r w:rsidRPr="000C0391">
        <w:rPr>
          <w:rFonts w:ascii="David" w:hAnsi="David"/>
          <w:b/>
          <w:bCs/>
          <w:rtl/>
        </w:rPr>
        <w:t>הערכים החברתיים שנפגעו מביצוע עבירות הנשיאת נשק</w:t>
      </w:r>
      <w:r w:rsidRPr="000C0391">
        <w:rPr>
          <w:rFonts w:ascii="David" w:hAnsi="David"/>
          <w:rtl/>
        </w:rPr>
        <w:t xml:space="preserve"> </w:t>
      </w:r>
      <w:r w:rsidRPr="000C0391">
        <w:rPr>
          <w:rFonts w:ascii="David" w:hAnsi="David"/>
          <w:b/>
          <w:bCs/>
          <w:rtl/>
        </w:rPr>
        <w:t xml:space="preserve">וירי עם נשק חם באזור מגורים שביצע הנאשם: </w:t>
      </w:r>
      <w:r w:rsidRPr="000C0391">
        <w:rPr>
          <w:rFonts w:ascii="David" w:hAnsi="David"/>
          <w:rtl/>
        </w:rPr>
        <w:t xml:space="preserve">התכלית העומדת בבסיס הענישה על ביצוע עבירות אלה היא </w:t>
      </w:r>
      <w:r w:rsidRPr="000C0391">
        <w:rPr>
          <w:rFonts w:ascii="David" w:eastAsia="Calibri" w:hAnsi="David"/>
          <w:rtl/>
        </w:rPr>
        <w:t>הגנה על בטחון הציבור ושלומו</w:t>
      </w:r>
      <w:r w:rsidRPr="000C0391">
        <w:rPr>
          <w:rFonts w:ascii="David" w:hAnsi="David"/>
          <w:rtl/>
        </w:rPr>
        <w:t>. כך למשל קבע בית המשפט העליון בהקשר זה:</w:t>
      </w:r>
    </w:p>
    <w:p w14:paraId="702449E3" w14:textId="77777777" w:rsidR="00B5602A" w:rsidRPr="000C0391" w:rsidRDefault="00B5602A" w:rsidP="00B5602A">
      <w:pPr>
        <w:pStyle w:val="a00"/>
        <w:shd w:val="clear" w:color="auto" w:fill="FFFFFF"/>
        <w:bidi/>
        <w:spacing w:before="0" w:beforeAutospacing="0" w:after="0" w:afterAutospacing="0" w:line="360" w:lineRule="auto"/>
        <w:ind w:left="281" w:right="426"/>
        <w:jc w:val="both"/>
        <w:rPr>
          <w:rFonts w:ascii="David" w:hAnsi="David" w:cs="David"/>
          <w:b/>
          <w:bCs/>
          <w:rtl/>
        </w:rPr>
      </w:pPr>
      <w:r w:rsidRPr="000C0391">
        <w:rPr>
          <w:rFonts w:ascii="David" w:hAnsi="David" w:cs="David"/>
          <w:b/>
          <w:bCs/>
          <w:rtl/>
        </w:rPr>
        <w:t xml:space="preserve">"בית משפט זה הדגיש, חזור ואמור, את חומרתן הרבה של העבירות בנשק, את הצורך במיגורן, ואת ההרתעה הנדרשת בענישה של מי שמבקשים להציב סכנה ממשית לשלום הציבור...בתוך כך, ניכרת בשנים האחרונות מגמת החמרה בענישה בעבירות בנשק, בדמות מאסר ממושך לריצוי בפועל" </w:t>
      </w:r>
      <w:r w:rsidRPr="000C0391">
        <w:rPr>
          <w:rFonts w:ascii="David" w:hAnsi="David" w:cs="David"/>
          <w:rtl/>
        </w:rPr>
        <w:t>(</w:t>
      </w:r>
      <w:hyperlink r:id="rId49" w:history="1">
        <w:r w:rsidR="00A255A2" w:rsidRPr="00A255A2">
          <w:rPr>
            <w:rFonts w:ascii="David" w:hAnsi="David" w:cs="David"/>
            <w:color w:val="0000FF"/>
            <w:u w:val="single"/>
            <w:rtl/>
          </w:rPr>
          <w:t>ע"פ 3793/20</w:t>
        </w:r>
      </w:hyperlink>
      <w:r w:rsidRPr="000C0391">
        <w:rPr>
          <w:rFonts w:ascii="David" w:hAnsi="David" w:cs="David"/>
          <w:rtl/>
        </w:rPr>
        <w:t xml:space="preserve"> </w:t>
      </w:r>
      <w:r w:rsidRPr="000C0391">
        <w:rPr>
          <w:rFonts w:ascii="David" w:hAnsi="David" w:cs="David"/>
          <w:b/>
          <w:bCs/>
          <w:rtl/>
        </w:rPr>
        <w:t>מורייחי</w:t>
      </w:r>
      <w:r w:rsidRPr="000C0391">
        <w:rPr>
          <w:rFonts w:ascii="David" w:hAnsi="David" w:cs="David"/>
          <w:rtl/>
        </w:rPr>
        <w:t xml:space="preserve">, </w:t>
      </w:r>
      <w:r w:rsidR="005D0099">
        <w:rPr>
          <w:rFonts w:ascii="David" w:hAnsi="David" w:cs="David"/>
          <w:rtl/>
        </w:rPr>
        <w:t>[נבו]</w:t>
      </w:r>
      <w:r w:rsidR="005D0099">
        <w:rPr>
          <w:rFonts w:ascii="David" w:hAnsi="David" w:cs="David" w:hint="cs"/>
          <w:rtl/>
        </w:rPr>
        <w:t xml:space="preserve"> </w:t>
      </w:r>
      <w:r w:rsidRPr="000C0391">
        <w:rPr>
          <w:rFonts w:ascii="David" w:hAnsi="David" w:cs="David"/>
          <w:rtl/>
        </w:rPr>
        <w:t>מיום 23.11.20, בסע' 6 לפסה"ד).</w:t>
      </w:r>
    </w:p>
    <w:p w14:paraId="3B33834D" w14:textId="77777777" w:rsidR="00B5602A" w:rsidRDefault="00B5602A" w:rsidP="00B5602A">
      <w:pPr>
        <w:spacing w:line="360" w:lineRule="auto"/>
        <w:jc w:val="both"/>
        <w:rPr>
          <w:rFonts w:ascii="David" w:hAnsi="David"/>
          <w:rtl/>
        </w:rPr>
      </w:pPr>
    </w:p>
    <w:p w14:paraId="4240E1F0" w14:textId="77777777" w:rsidR="00B5602A" w:rsidRDefault="00B5602A" w:rsidP="00B5602A">
      <w:pPr>
        <w:spacing w:line="360" w:lineRule="auto"/>
        <w:jc w:val="both"/>
        <w:rPr>
          <w:rFonts w:ascii="David" w:hAnsi="David"/>
          <w:rtl/>
        </w:rPr>
      </w:pPr>
    </w:p>
    <w:p w14:paraId="4E287A2C" w14:textId="77777777" w:rsidR="00B5602A" w:rsidRDefault="00B5602A" w:rsidP="00B5602A">
      <w:pPr>
        <w:spacing w:line="360" w:lineRule="auto"/>
        <w:jc w:val="both"/>
        <w:rPr>
          <w:rFonts w:ascii="David" w:hAnsi="David"/>
          <w:rtl/>
        </w:rPr>
      </w:pPr>
    </w:p>
    <w:p w14:paraId="01E3B67E" w14:textId="77777777" w:rsidR="00B5602A" w:rsidRPr="000C0391" w:rsidRDefault="00B5602A" w:rsidP="00B5602A">
      <w:pPr>
        <w:spacing w:line="360" w:lineRule="auto"/>
        <w:jc w:val="both"/>
        <w:rPr>
          <w:rFonts w:ascii="David" w:hAnsi="David"/>
          <w:rtl/>
        </w:rPr>
      </w:pPr>
      <w:r w:rsidRPr="000C0391">
        <w:rPr>
          <w:rFonts w:ascii="David" w:hAnsi="David"/>
          <w:rtl/>
        </w:rPr>
        <w:t>וכן:</w:t>
      </w:r>
    </w:p>
    <w:p w14:paraId="17DC9E59" w14:textId="77777777" w:rsidR="00B5602A" w:rsidRPr="000C0391" w:rsidRDefault="00B5602A" w:rsidP="00B5602A">
      <w:pPr>
        <w:spacing w:line="360" w:lineRule="auto"/>
        <w:ind w:left="281" w:right="426"/>
        <w:jc w:val="both"/>
        <w:rPr>
          <w:rFonts w:ascii="David" w:hAnsi="David"/>
          <w:b/>
          <w:bCs/>
          <w:rtl/>
        </w:rPr>
      </w:pPr>
      <w:r w:rsidRPr="000C0391">
        <w:rPr>
          <w:rFonts w:ascii="David" w:hAnsi="David"/>
          <w:b/>
          <w:bCs/>
          <w:rtl/>
        </w:rPr>
        <w:t xml:space="preserve">"עצם החזקת הנשק שלא כדין על ידי המערער מהווה איום על שלום הציבור ועל הסדר הציבורי. כפי שצוין בעבר, החזקת נשק מהווה תשתית, "גורם בלתו איין", למגוון רחב של עבירות – בהן גם עבירת החבלה בכוונה מחמירה אותה ביצע המערער בסופו של יום...פעמים רבות בעבר עמד בית משפט זה על החשיבות שבהטלת עונשים חמורים ומרתיעים בגין שימוש בנשק חם בכלל, ולצורך פתרון סכסוכים בפרט...הדברים יפים במיוחד בכל הנוגע לעבירות ירי בנשק חם בסביבת מגורים, מהן נשקפת חומרה יתרה..." </w:t>
      </w:r>
      <w:r w:rsidRPr="000C0391">
        <w:rPr>
          <w:rFonts w:ascii="David" w:hAnsi="David"/>
          <w:rtl/>
        </w:rPr>
        <w:t>(</w:t>
      </w:r>
      <w:hyperlink r:id="rId50" w:history="1">
        <w:r w:rsidR="00A255A2" w:rsidRPr="00A255A2">
          <w:rPr>
            <w:rFonts w:ascii="David" w:hAnsi="David"/>
            <w:color w:val="0000FF"/>
            <w:u w:val="single"/>
            <w:rtl/>
          </w:rPr>
          <w:t>ע"פ 7473/20</w:t>
        </w:r>
      </w:hyperlink>
      <w:r w:rsidRPr="000C0391">
        <w:rPr>
          <w:rFonts w:ascii="David" w:hAnsi="David"/>
          <w:rtl/>
        </w:rPr>
        <w:t xml:space="preserve"> </w:t>
      </w:r>
      <w:r w:rsidRPr="000C0391">
        <w:rPr>
          <w:rFonts w:ascii="David" w:hAnsi="David"/>
          <w:b/>
          <w:bCs/>
          <w:rtl/>
        </w:rPr>
        <w:t>מחאמיד</w:t>
      </w:r>
      <w:r w:rsidRPr="000C0391">
        <w:rPr>
          <w:rFonts w:ascii="David" w:hAnsi="David"/>
          <w:rtl/>
        </w:rPr>
        <w:t xml:space="preserve">, </w:t>
      </w:r>
      <w:r w:rsidR="005D0099">
        <w:rPr>
          <w:rFonts w:ascii="David" w:hAnsi="David"/>
          <w:rtl/>
        </w:rPr>
        <w:t>[נבו]</w:t>
      </w:r>
      <w:r w:rsidR="005D0099">
        <w:rPr>
          <w:rFonts w:ascii="David" w:hAnsi="David" w:hint="cs"/>
          <w:rtl/>
        </w:rPr>
        <w:t xml:space="preserve"> </w:t>
      </w:r>
      <w:r w:rsidRPr="000C0391">
        <w:rPr>
          <w:rFonts w:ascii="David" w:hAnsi="David"/>
          <w:rtl/>
        </w:rPr>
        <w:t xml:space="preserve">מיום </w:t>
      </w:r>
      <w:r w:rsidRPr="000C0391">
        <w:rPr>
          <w:rFonts w:ascii="David" w:hAnsi="David"/>
        </w:rPr>
        <w:t>29.6.21</w:t>
      </w:r>
      <w:r w:rsidRPr="000C0391">
        <w:rPr>
          <w:rFonts w:ascii="David" w:hAnsi="David"/>
          <w:rtl/>
        </w:rPr>
        <w:t>, בסע' 24 לפסה"ד)</w:t>
      </w:r>
    </w:p>
    <w:p w14:paraId="05B37403" w14:textId="77777777" w:rsidR="00B5602A" w:rsidRPr="000C0391" w:rsidRDefault="00B5602A" w:rsidP="00B5602A">
      <w:pPr>
        <w:spacing w:line="360" w:lineRule="auto"/>
        <w:jc w:val="both"/>
        <w:rPr>
          <w:rFonts w:ascii="David" w:hAnsi="David"/>
          <w:b/>
          <w:bCs/>
          <w:rtl/>
        </w:rPr>
      </w:pPr>
    </w:p>
    <w:p w14:paraId="507639A2" w14:textId="77777777" w:rsidR="00B5602A" w:rsidRPr="000C0391" w:rsidRDefault="00B5602A" w:rsidP="00B5602A">
      <w:pPr>
        <w:spacing w:line="360" w:lineRule="auto"/>
        <w:jc w:val="both"/>
        <w:rPr>
          <w:rFonts w:ascii="David" w:hAnsi="David"/>
          <w:rtl/>
        </w:rPr>
      </w:pPr>
      <w:r w:rsidRPr="000C0391">
        <w:rPr>
          <w:rFonts w:ascii="David" w:hAnsi="David"/>
          <w:b/>
          <w:bCs/>
          <w:rtl/>
        </w:rPr>
        <w:t xml:space="preserve">מידת הפגיעה בערכים החברתיים: </w:t>
      </w:r>
      <w:r w:rsidRPr="000C0391">
        <w:rPr>
          <w:rFonts w:ascii="David" w:hAnsi="David"/>
          <w:rtl/>
        </w:rPr>
        <w:t>כמפורט בכתב האישום המתוקן, יצאו הנאשם והאחר, כשמי מהם נושא עמו אקדח, ועל דעתו של הנאשם או האחר, במטרה לאתר את המתלונן ובכוונה לגרום לו לחבלה חמורה, בצוותא חדא. תוך כדי נסיעה, שלפו הנאשם או האחר את האקדח שנשאו, ועל דעת הנאשם והאחר, ירו מספר יריות לעבר פלג גופו התחתון של המתלונן ופגעו בו, מקרוב, בכוונה לגרום לו לנכות או מום, או לגרום לו חבלה חמורה, בצוותא חדא. הנוכחים במגרש הכדורגל, בהם ילדים, נסו על נפשם וחיפשו מקום מסתור מהירי. כתוצאה מהירי שביצעו הנאשם והאחר בצוותא חדא, נפצע המתלונן קשה ונגרמו לו מספר פצעי ירי וחבלות חמורות. מידת הפגיעה בערכים החברתיים היא אפוא קשה ומשמעותית.</w:t>
      </w:r>
    </w:p>
    <w:p w14:paraId="628DCB93" w14:textId="77777777" w:rsidR="00B5602A" w:rsidRPr="000C0391" w:rsidRDefault="00B5602A" w:rsidP="00B5602A">
      <w:pPr>
        <w:spacing w:line="360" w:lineRule="auto"/>
        <w:jc w:val="both"/>
        <w:rPr>
          <w:rFonts w:ascii="David" w:hAnsi="David"/>
          <w:b/>
          <w:bCs/>
          <w:rtl/>
        </w:rPr>
      </w:pPr>
    </w:p>
    <w:p w14:paraId="74C7AA6E" w14:textId="77777777" w:rsidR="00B5602A" w:rsidRPr="000C0391" w:rsidRDefault="00B5602A" w:rsidP="00B5602A">
      <w:pPr>
        <w:spacing w:line="360" w:lineRule="auto"/>
        <w:jc w:val="both"/>
        <w:rPr>
          <w:rFonts w:ascii="David" w:hAnsi="David"/>
          <w:u w:val="single"/>
          <w:rtl/>
        </w:rPr>
      </w:pPr>
      <w:r w:rsidRPr="000C0391">
        <w:rPr>
          <w:rFonts w:ascii="David" w:hAnsi="David"/>
          <w:b/>
          <w:bCs/>
          <w:u w:val="single"/>
          <w:rtl/>
        </w:rPr>
        <w:t>נסיבות הקשורות בביצוע העבירות</w:t>
      </w:r>
      <w:r w:rsidRPr="000C0391">
        <w:rPr>
          <w:rFonts w:ascii="David" w:hAnsi="David"/>
          <w:u w:val="single"/>
          <w:rtl/>
        </w:rPr>
        <w:t xml:space="preserve"> [</w:t>
      </w:r>
      <w:hyperlink r:id="rId51" w:history="1">
        <w:r w:rsidR="0047505D" w:rsidRPr="0047505D">
          <w:rPr>
            <w:rStyle w:val="Hyperlink"/>
            <w:rFonts w:ascii="David" w:hAnsi="David"/>
            <w:b/>
            <w:bCs/>
            <w:rtl/>
          </w:rPr>
          <w:t>סע' 40ט(א)</w:t>
        </w:r>
      </w:hyperlink>
      <w:r w:rsidRPr="000C0391">
        <w:rPr>
          <w:rFonts w:ascii="David" w:hAnsi="David"/>
          <w:u w:val="single"/>
          <w:rtl/>
        </w:rPr>
        <w:t xml:space="preserve"> לחוק</w:t>
      </w:r>
      <w:r w:rsidRPr="000C0391">
        <w:rPr>
          <w:rFonts w:ascii="David" w:hAnsi="David"/>
          <w:u w:val="single"/>
          <w:rtl/>
        </w:rPr>
        <w:softHyphen/>
        <w:t>]:</w:t>
      </w:r>
    </w:p>
    <w:p w14:paraId="2AE22A9C" w14:textId="77777777" w:rsidR="00B5602A" w:rsidRPr="000C0391" w:rsidRDefault="00B5602A" w:rsidP="00B5602A">
      <w:pPr>
        <w:spacing w:line="360" w:lineRule="auto"/>
        <w:jc w:val="both"/>
        <w:rPr>
          <w:rFonts w:ascii="David" w:hAnsi="David"/>
          <w:rtl/>
        </w:rPr>
      </w:pPr>
      <w:r w:rsidRPr="000C0391">
        <w:rPr>
          <w:rFonts w:ascii="David" w:hAnsi="David"/>
          <w:b/>
          <w:bCs/>
          <w:rtl/>
        </w:rPr>
        <w:t>התכנון שקדם לביצוע העבירות</w:t>
      </w:r>
      <w:r w:rsidRPr="000C0391">
        <w:rPr>
          <w:rFonts w:ascii="David" w:hAnsi="David"/>
          <w:rtl/>
        </w:rPr>
        <w:t xml:space="preserve"> [</w:t>
      </w:r>
      <w:hyperlink r:id="rId52" w:history="1">
        <w:r w:rsidR="0047505D" w:rsidRPr="0047505D">
          <w:rPr>
            <w:rStyle w:val="Hyperlink"/>
            <w:rFonts w:ascii="David" w:hAnsi="David"/>
            <w:b/>
            <w:bCs/>
            <w:rtl/>
          </w:rPr>
          <w:t>סע' 40ט(א)(1)</w:t>
        </w:r>
      </w:hyperlink>
      <w:r w:rsidRPr="000C0391">
        <w:rPr>
          <w:rFonts w:ascii="David" w:hAnsi="David"/>
          <w:rtl/>
        </w:rPr>
        <w:t xml:space="preserve"> לחוק] –</w:t>
      </w:r>
      <w:r w:rsidRPr="000C0391">
        <w:rPr>
          <w:rFonts w:ascii="David" w:hAnsi="David"/>
          <w:color w:val="FF0000"/>
          <w:rtl/>
        </w:rPr>
        <w:t xml:space="preserve"> </w:t>
      </w:r>
      <w:r w:rsidRPr="000C0391">
        <w:rPr>
          <w:rFonts w:ascii="David" w:hAnsi="David"/>
          <w:rtl/>
        </w:rPr>
        <w:t>כמפורט בכתב האישום המתוקן, יצאו הנאשם והאחר, מבית ברחוב בתל אביב-יפו, כשמי מהם נושא עמו אקדח, ועל דעתו של הנאשם או האחר, וכשהוא או האחר, רכובים על גבי (קורקינט), במטרה לאתר את המתלונן ובכוונה לגרום לו לחבלה חמורה, בצוותא חדא. הנאשם והאחר תרו אחרי המתלונן באזור התחנה במרכזית בתל אביב. בשעה 00:26 או סמוך לכך, הגיעו הנאשם או האחר לרחוב השרון בתל אביב, ונכנסו לחניון חשוך. הנאשם והאחר יצאו ונכנסו לחניון עוד פעמים במשך הדקות הבאות. דקות אחדות עובר לשעה 00:39, שוחח מורד עם ווסים והמתלונן, וביקש שיפגשו עמו ברחוב השרון, והם עצרו את רכבם בסמוך למגרש כדורגל. המתלונן יצא מהרכב ומיד לאחר מכן, יצאו הנאשם או האחר מהחניון לעבר המתלונן. תוך כדי נסיעה, שלפו הנאשם או האחר את האקדח שנשאו, ועל דעת הנאשם והאחר, ירו מספר יריות לעבר פלג גופו התחתון של המתלונן ופגעו בו, מקרוב. מן הדברים האמורים עולה תכנון מוקדם של הנאשם והאחר אשר קדם לביצוע העבירות.</w:t>
      </w:r>
    </w:p>
    <w:p w14:paraId="418964D5" w14:textId="77777777" w:rsidR="00B5602A" w:rsidRPr="000C0391" w:rsidRDefault="00B5602A" w:rsidP="00B5602A">
      <w:pPr>
        <w:spacing w:line="360" w:lineRule="auto"/>
        <w:jc w:val="both"/>
        <w:rPr>
          <w:rFonts w:ascii="David" w:hAnsi="David"/>
          <w:rtl/>
        </w:rPr>
      </w:pPr>
      <w:r w:rsidRPr="000C0391">
        <w:rPr>
          <w:rFonts w:ascii="David" w:hAnsi="David"/>
          <w:b/>
          <w:bCs/>
          <w:rtl/>
        </w:rPr>
        <w:t xml:space="preserve">חלקו היחסי של הנאשם בביצוע העבירות </w:t>
      </w:r>
      <w:r w:rsidRPr="000C0391">
        <w:rPr>
          <w:rFonts w:ascii="David" w:hAnsi="David"/>
          <w:rtl/>
        </w:rPr>
        <w:t>[</w:t>
      </w:r>
      <w:hyperlink r:id="rId53" w:history="1">
        <w:r w:rsidR="0047505D" w:rsidRPr="0047505D">
          <w:rPr>
            <w:rStyle w:val="Hyperlink"/>
            <w:rFonts w:ascii="David" w:hAnsi="David"/>
            <w:b/>
            <w:bCs/>
            <w:rtl/>
          </w:rPr>
          <w:t>סע' 40ט(א)(2)</w:t>
        </w:r>
      </w:hyperlink>
      <w:r w:rsidRPr="000C0391">
        <w:rPr>
          <w:rFonts w:ascii="David" w:hAnsi="David"/>
          <w:b/>
          <w:bCs/>
          <w:rtl/>
        </w:rPr>
        <w:t xml:space="preserve"> </w:t>
      </w:r>
      <w:r w:rsidRPr="000C0391">
        <w:rPr>
          <w:rFonts w:ascii="David" w:hAnsi="David"/>
          <w:rtl/>
        </w:rPr>
        <w:t>לחוק] –</w:t>
      </w:r>
      <w:r w:rsidRPr="000C0391">
        <w:rPr>
          <w:rFonts w:ascii="David" w:hAnsi="David"/>
          <w:b/>
          <w:bCs/>
          <w:rtl/>
        </w:rPr>
        <w:t xml:space="preserve"> </w:t>
      </w:r>
      <w:r w:rsidRPr="000C0391">
        <w:rPr>
          <w:rFonts w:ascii="David" w:hAnsi="David"/>
          <w:rtl/>
        </w:rPr>
        <w:t>כמפורט בכתב האישום המתוקן, הנאשם או האחר נשאו את האקדח וירו ממנו לעבר המתלונן; הנאשם והאחר ביצעו את העבירות בצוותא חדא.</w:t>
      </w:r>
    </w:p>
    <w:p w14:paraId="4EEE2821" w14:textId="77777777" w:rsidR="00B5602A" w:rsidRPr="000C0391" w:rsidRDefault="00B5602A" w:rsidP="00B5602A">
      <w:pPr>
        <w:spacing w:line="360" w:lineRule="auto"/>
        <w:jc w:val="both"/>
        <w:rPr>
          <w:rFonts w:ascii="David" w:hAnsi="David"/>
          <w:b/>
          <w:bCs/>
          <w:rtl/>
        </w:rPr>
      </w:pPr>
      <w:r w:rsidRPr="000C0391">
        <w:rPr>
          <w:rFonts w:ascii="David" w:hAnsi="David"/>
          <w:b/>
          <w:bCs/>
          <w:rtl/>
        </w:rPr>
        <w:t xml:space="preserve">הנזק שהיה צפוי להיגרם מביצוע העבירות </w:t>
      </w:r>
      <w:r w:rsidRPr="000C0391">
        <w:rPr>
          <w:rFonts w:ascii="David" w:hAnsi="David"/>
          <w:rtl/>
        </w:rPr>
        <w:t>[</w:t>
      </w:r>
      <w:hyperlink r:id="rId54" w:history="1">
        <w:r w:rsidR="0047505D" w:rsidRPr="0047505D">
          <w:rPr>
            <w:rStyle w:val="Hyperlink"/>
            <w:rFonts w:ascii="David" w:hAnsi="David"/>
            <w:b/>
            <w:bCs/>
            <w:rtl/>
          </w:rPr>
          <w:t>סע' 40ט(א)(3)</w:t>
        </w:r>
      </w:hyperlink>
      <w:r w:rsidRPr="000C0391">
        <w:rPr>
          <w:rFonts w:ascii="David" w:hAnsi="David"/>
          <w:b/>
          <w:bCs/>
          <w:rtl/>
        </w:rPr>
        <w:t xml:space="preserve"> </w:t>
      </w:r>
      <w:r w:rsidRPr="000C0391">
        <w:rPr>
          <w:rFonts w:ascii="David" w:hAnsi="David"/>
          <w:rtl/>
        </w:rPr>
        <w:t>לחוק] –</w:t>
      </w:r>
      <w:r w:rsidRPr="000C0391">
        <w:rPr>
          <w:rFonts w:ascii="David" w:hAnsi="David"/>
          <w:b/>
          <w:bCs/>
          <w:rtl/>
        </w:rPr>
        <w:t xml:space="preserve"> </w:t>
      </w:r>
      <w:r w:rsidRPr="000C0391">
        <w:rPr>
          <w:rFonts w:ascii="David" w:hAnsi="David"/>
          <w:rtl/>
        </w:rPr>
        <w:t>כמפורט בכתב האישום המתוקן, כתוצאה מהירי שביצעו הנאשם והאחר בצוותא חדא, נפצע המתלונן קשה ונגרמו לו מספר פצעי ירי וחבלות חמורות.</w:t>
      </w:r>
      <w:r w:rsidRPr="000C0391">
        <w:rPr>
          <w:rFonts w:ascii="David" w:hAnsi="David"/>
          <w:b/>
          <w:bCs/>
          <w:rtl/>
        </w:rPr>
        <w:t xml:space="preserve"> </w:t>
      </w:r>
      <w:r w:rsidRPr="000C0391">
        <w:rPr>
          <w:rFonts w:ascii="David" w:hAnsi="David"/>
          <w:rtl/>
        </w:rPr>
        <w:t>הנזק למתלונן יכול היה להיות גדול אף יותר. בנוסף, הנוכחים במגרש הכדורגל, בהם ילדים, נסו על נפשם וחיפשו מקום מסתור מהירי, ובמזל לא נפגעו עוברי אורח כתוצאה ממעשיהם של הנאשם והאחר.</w:t>
      </w:r>
    </w:p>
    <w:p w14:paraId="21865148" w14:textId="77777777" w:rsidR="00B5602A" w:rsidRPr="000C0391" w:rsidRDefault="00B5602A" w:rsidP="00B5602A">
      <w:pPr>
        <w:spacing w:line="360" w:lineRule="auto"/>
        <w:jc w:val="both"/>
        <w:rPr>
          <w:rFonts w:ascii="David" w:hAnsi="David"/>
          <w:rtl/>
        </w:rPr>
      </w:pPr>
      <w:r w:rsidRPr="000C0391">
        <w:rPr>
          <w:rFonts w:ascii="David" w:hAnsi="David"/>
          <w:b/>
          <w:bCs/>
          <w:rtl/>
        </w:rPr>
        <w:t>הנזקים שנגרם מביצוע העבירות</w:t>
      </w:r>
      <w:r w:rsidRPr="000C0391">
        <w:rPr>
          <w:rFonts w:ascii="David" w:hAnsi="David"/>
          <w:rtl/>
        </w:rPr>
        <w:t xml:space="preserve"> [</w:t>
      </w:r>
      <w:hyperlink r:id="rId55" w:history="1">
        <w:r w:rsidR="0047505D" w:rsidRPr="0047505D">
          <w:rPr>
            <w:rStyle w:val="Hyperlink"/>
            <w:rFonts w:ascii="David" w:hAnsi="David"/>
            <w:b/>
            <w:bCs/>
            <w:rtl/>
          </w:rPr>
          <w:t>סע' 40ט(א)(4)</w:t>
        </w:r>
      </w:hyperlink>
      <w:r w:rsidRPr="000C0391">
        <w:rPr>
          <w:rFonts w:ascii="David" w:hAnsi="David"/>
          <w:b/>
          <w:bCs/>
          <w:rtl/>
        </w:rPr>
        <w:t xml:space="preserve"> </w:t>
      </w:r>
      <w:r w:rsidRPr="000C0391">
        <w:rPr>
          <w:rFonts w:ascii="David" w:hAnsi="David"/>
          <w:rtl/>
        </w:rPr>
        <w:t xml:space="preserve">לחוק] – כתוצאה מהירי שביצעו הנאשם והאחר בצוותא חדא, נפצע המתלונן קשה ונגרמו לו מספר פצעי ירי וחבלות חמורות, בין היתר, קרע בשלפוחית השתן, באגן, בעכוז, ושברים מרוסקים מרובים בגפיים התחתונות שבהן נותרו שלושה קליעים. המתלונן הובהל לבית החולים, אושפז במחלקה לטיפול נמרץ ונותח. </w:t>
      </w:r>
    </w:p>
    <w:p w14:paraId="38E90216" w14:textId="77777777" w:rsidR="00B5602A" w:rsidRPr="000C0391" w:rsidRDefault="00B5602A" w:rsidP="00B5602A">
      <w:pPr>
        <w:spacing w:line="360" w:lineRule="auto"/>
        <w:jc w:val="both"/>
        <w:rPr>
          <w:rFonts w:ascii="David" w:hAnsi="David"/>
          <w:rtl/>
        </w:rPr>
      </w:pPr>
      <w:r w:rsidRPr="000C0391">
        <w:rPr>
          <w:rFonts w:ascii="David" w:hAnsi="David"/>
          <w:b/>
          <w:bCs/>
          <w:rtl/>
        </w:rPr>
        <w:t>האכזריות והאלימות של הנאשם בנפגע העבירה</w:t>
      </w:r>
      <w:r w:rsidRPr="000C0391">
        <w:rPr>
          <w:rFonts w:ascii="David" w:hAnsi="David"/>
          <w:rtl/>
        </w:rPr>
        <w:t xml:space="preserve"> [</w:t>
      </w:r>
      <w:hyperlink r:id="rId56" w:history="1">
        <w:r w:rsidR="0047505D" w:rsidRPr="0047505D">
          <w:rPr>
            <w:rStyle w:val="Hyperlink"/>
            <w:rFonts w:ascii="David" w:hAnsi="David"/>
            <w:b/>
            <w:bCs/>
            <w:rtl/>
          </w:rPr>
          <w:t>סע' 40ט(א)(10)</w:t>
        </w:r>
      </w:hyperlink>
      <w:r w:rsidRPr="000C0391">
        <w:rPr>
          <w:rFonts w:ascii="David" w:hAnsi="David"/>
          <w:b/>
          <w:bCs/>
          <w:rtl/>
        </w:rPr>
        <w:t xml:space="preserve"> </w:t>
      </w:r>
      <w:r w:rsidRPr="000C0391">
        <w:rPr>
          <w:rFonts w:ascii="David" w:hAnsi="David"/>
          <w:rtl/>
        </w:rPr>
        <w:t xml:space="preserve">לחוק] – כאמור, תוך כדי נסיעה, שלפו הנאשם או האחר את האקדח שנשאו, ועל דעת הנאשם והאחר, ירו מספר יריות לעבר פלג גופו התחתון של המתלונן ופגעו בו, מקרוב, בכוונה לגרום לו לנכות או מום, או לגרום לו חבלה חמורה, בצוותא חדא. המתלונן נפצע קשה ונגרמו לו מספר פצעי ירי וחבלות חמורות, ובין היתר נותרו בגפיו התחתונות שלושה קליעים. </w:t>
      </w:r>
    </w:p>
    <w:p w14:paraId="5E01D20B" w14:textId="77777777" w:rsidR="00B5602A" w:rsidRPr="000C0391" w:rsidRDefault="00B5602A" w:rsidP="00B5602A">
      <w:pPr>
        <w:spacing w:line="360" w:lineRule="auto"/>
        <w:jc w:val="both"/>
        <w:rPr>
          <w:rFonts w:ascii="David" w:hAnsi="David"/>
          <w:color w:val="FF0000"/>
          <w:highlight w:val="yellow"/>
          <w:rtl/>
        </w:rPr>
      </w:pPr>
    </w:p>
    <w:p w14:paraId="06E3D7DA" w14:textId="77777777" w:rsidR="00B5602A" w:rsidRPr="000C0391" w:rsidRDefault="00B5602A" w:rsidP="00B5602A">
      <w:pPr>
        <w:spacing w:line="360" w:lineRule="auto"/>
        <w:jc w:val="both"/>
        <w:rPr>
          <w:rFonts w:ascii="David" w:hAnsi="David"/>
          <w:rtl/>
        </w:rPr>
      </w:pPr>
      <w:r w:rsidRPr="000C0391">
        <w:rPr>
          <w:rFonts w:ascii="David" w:hAnsi="David"/>
          <w:b/>
          <w:bCs/>
          <w:u w:val="single"/>
          <w:rtl/>
        </w:rPr>
        <w:t>מדיניות הענישה הנהוגה – בהתייחס לעבירות</w:t>
      </w:r>
      <w:r w:rsidRPr="000C0391">
        <w:rPr>
          <w:rFonts w:ascii="David" w:hAnsi="David"/>
          <w:rtl/>
        </w:rPr>
        <w:t>:</w:t>
      </w:r>
    </w:p>
    <w:p w14:paraId="6DDC703A" w14:textId="77777777" w:rsidR="00B5602A" w:rsidRPr="000C0391" w:rsidRDefault="00B5602A" w:rsidP="00B5602A">
      <w:pPr>
        <w:spacing w:line="360" w:lineRule="auto"/>
        <w:jc w:val="both"/>
        <w:rPr>
          <w:rFonts w:ascii="David" w:hAnsi="David"/>
          <w:rtl/>
        </w:rPr>
      </w:pPr>
      <w:r w:rsidRPr="000C0391">
        <w:rPr>
          <w:rFonts w:ascii="David" w:hAnsi="David"/>
          <w:b/>
          <w:bCs/>
          <w:rtl/>
        </w:rPr>
        <w:t>להלן תפורט פסיקה שממנה ניתן להקיש למידת הענישה בתיק זה, תוך השוואה ואבחנה הן לנסיבות העבירות שביצע הנאשם והן לנסיבות של הנאשם עצמו</w:t>
      </w:r>
      <w:r w:rsidRPr="000C0391">
        <w:rPr>
          <w:rFonts w:ascii="David" w:hAnsi="David"/>
          <w:rtl/>
        </w:rPr>
        <w:t xml:space="preserve"> (מתוך כל פסק דין יובאו להלן כמה מהנסיבות העיקריות שבו, שמהן ניתן להשוות ולאבחן את מידת הענישה בתיק זה):</w:t>
      </w:r>
    </w:p>
    <w:p w14:paraId="3CCA5D74"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57" w:history="1">
        <w:r w:rsidRPr="00A255A2">
          <w:rPr>
            <w:rFonts w:ascii="David" w:hAnsi="David"/>
            <w:color w:val="0000FF"/>
            <w:u w:val="single"/>
            <w:rtl/>
          </w:rPr>
          <w:t>ע"פ 3332/22</w:t>
        </w:r>
      </w:hyperlink>
      <w:r w:rsidR="00B5602A" w:rsidRPr="000C0391">
        <w:rPr>
          <w:rFonts w:ascii="David" w:hAnsi="David"/>
          <w:rtl/>
        </w:rPr>
        <w:t xml:space="preserve"> </w:t>
      </w:r>
      <w:r w:rsidR="00B5602A" w:rsidRPr="000C0391">
        <w:rPr>
          <w:rFonts w:ascii="David" w:hAnsi="David"/>
          <w:b/>
          <w:bCs/>
          <w:rtl/>
        </w:rPr>
        <w:t>קוואסמי</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1.12.22) – נגזרו על המערער סברי, בין היתר, </w:t>
      </w:r>
      <w:r w:rsidR="00B5602A" w:rsidRPr="000C0391">
        <w:rPr>
          <w:rFonts w:ascii="David" w:hAnsi="David"/>
          <w:b/>
          <w:bCs/>
          <w:rtl/>
        </w:rPr>
        <w:t>5 וחצי שנות מאסר בפועל</w:t>
      </w:r>
      <w:r w:rsidR="00B5602A" w:rsidRPr="000C0391">
        <w:rPr>
          <w:rFonts w:ascii="David" w:hAnsi="David"/>
          <w:rtl/>
        </w:rPr>
        <w:t>. המערערים, שני אחים, הורשעו על פי הודאתם: המערער סאבר הורשע בעבירות של חבלה חמורה בנסיבות מחמירות בצוותא וניסיון לתקיפה סתם; והמערער סברי הורשע בעבירות של חבלה בכוונה מחמירה ונשיאת נשק ותחמושת. השניים אף הורשעו בנוסף בעבירה של פציעה בצוותא. על סאבר נגזרו, בין היתר, 22 חודשי מאסר בפועל. התגלע סכסוך בין משפחתם של המערערים לבין משפחתם של מתלונן 1 ומתלונן 2. ביום 3.8.2020 בשעות אחר-הצהריים, המערערים הגיעו לביתם של המתלוננים בוואדי ג'וז בירושלים, ברכב עם לוחיות זיהוי מטושטשות. בהגיעם למקום, יצאו השניים מן הרכב כשבידו של סאבר מוט ברזל ובידו של סברי אקדח טעון במחסנית. סאבר ניסה להכות את המתלונן 2 בראשו, אולם אחד הנוכחים במקום מנע זאת ממנו. בינתיים, סברי דרך את האקדח שבידו וירה מספר יריות באוויר, ובתגובה לכך החלו להימלט מהמקום חלק מהנוכחים, בהם המתלוננים. סברי רדף אחרי המתלונן 1 וירה לעברו שתי יריות, שפגעו בירכיו העליונות וגרמו לו ליפול ארצה בעודו מדמם. סברי נמלט מהמקום תוך שהוא יורה שוב מספר יריות. במהלך בריחתו נתקל במתלונן 2 והכה אותו ברגלו. מיד לאחר מכן, סאבר נכנס לרכב, נסע לכיוון סברי ומילטו מהמקום. כתוצאה ממעשי המערערים, המתלונן 1 פונה לבית החולים כשהוא מחוסר הכרה וסובל מפגיעה ורידית ועצבית ברגלו השמאלית. למתלונן 2 נגרמה המטומה קלה ונפיחות בשוק רגלו הימנית. בגזר הדין צויין כי יש לתת להסכם ה"סולחה" משקל לקולה, שאינו גבוה. כן צוינו הרשעותיהם הקודמות של המערערים, ובפרט אלו של סברי, אשר ריצה בגינן עונש של 43 חודשי מאסר בפועל ובמצטבר.</w:t>
      </w:r>
    </w:p>
    <w:p w14:paraId="3A6FF2B3"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58" w:history="1">
        <w:r w:rsidRPr="00A255A2">
          <w:rPr>
            <w:rFonts w:ascii="David" w:hAnsi="David"/>
            <w:color w:val="0000FF"/>
            <w:u w:val="single"/>
            <w:rtl/>
          </w:rPr>
          <w:t>ע"פ 687/22</w:t>
        </w:r>
      </w:hyperlink>
      <w:r w:rsidR="00B5602A" w:rsidRPr="000C0391">
        <w:rPr>
          <w:rFonts w:ascii="David" w:hAnsi="David"/>
          <w:rtl/>
        </w:rPr>
        <w:t xml:space="preserve"> </w:t>
      </w:r>
      <w:r w:rsidR="00B5602A" w:rsidRPr="000C0391">
        <w:rPr>
          <w:rFonts w:ascii="David" w:hAnsi="David"/>
          <w:b/>
          <w:bCs/>
          <w:rtl/>
        </w:rPr>
        <w:t>טלוי</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19.5.22) – בית המשפט המחוזי גזר על המערער, בין היתר, 12 שנות מאסר בפועל, ובית המשפט העליון החמיר את עונשו ל- </w:t>
      </w:r>
      <w:r w:rsidR="00B5602A" w:rsidRPr="000C0391">
        <w:rPr>
          <w:rFonts w:ascii="David" w:hAnsi="David"/>
          <w:b/>
          <w:bCs/>
          <w:rtl/>
        </w:rPr>
        <w:t xml:space="preserve">15 שנות מאסר בפועל, </w:t>
      </w:r>
      <w:r w:rsidR="00B5602A" w:rsidRPr="000C0391">
        <w:rPr>
          <w:rFonts w:ascii="David" w:hAnsi="David"/>
          <w:rtl/>
        </w:rPr>
        <w:t>תוך שהזכיר את הכלל כי ערכאת הערעור אינה ממצה את הדין. המשיב הורשע, על פי הודאתו, בעבירות של חבלה בכוונה מחמירה ועבירה של שינוי זהות של רכב. המערער, צעיר בן 25, יריב, ירה מאקדחו, מטווח קצר, בראשו של קורבן העבירה, בן 27, שענה לשם קובי. כתוצאה מהירי, לקובי נגרם נזק מוחי מאסיבי והוא מאושפז במוסד רפואי בהיותו מונשם וחסר הכרה. הרקע לאירוע זה הוא 1000 ש"ח שקטין בשם א', קרוב משפחתה של בת זוגו של קובי, חב לחברו של יריב, העונה לשם מיכאל. בשל חוב זה מיכאל רב עם א'; השניים החליפו מהלומות; ובעקבותיהן שלח מיכאל לא' הודעת טקסט מאיימת בזו הלשון: "חכה חכה, מחכה לך מתנה". א' סיפר לקובי על אודות הסכסוך ומסר לקובי את מספר הטלפון של מיכאל. קובי ומיכאל שוחחו בטלפון, אך שיחתם לא כיבתה את להבות הסכסוך. בערב של אותו יום הגיע יריב לקרבת בית חברו, מיכאל, כשהוא רכוב על קטנועו ונושא עמו אקדח טעון במחסנית מלאת כדורים, אותו קיבל לידיו במסגרת עבודתו כמאבטח. מיכאל עלה על מושב הנוסע בקטנוע כשבידו אלת עץ וגרזן. בחלוף כ-10 דקות פגשו השניים בצומת רחובות את קובי שנהג במכוניתו. יריב עצר את הקטנוע; קובי עצר את מכוניתו-שלו; מיכאל ויריב ירדו מהקטנוע, התקרבו אל מכוניתו של קובי ואחד מהם ניפץ באמצעות האלה את שמשת דלת הנהג. קובי התיז גז מדמיע ממיכל שהיה ברשותו לעברו של יריב. יריב כיוון את אקדחו, שהיה טעון ודרוך, לעבר ראשו של קובי וירה בראשו של קובי ירייה אחת מטווח קצר. ירייה זו, כאמור, הותירה את קובי במצב של צמח, מחוסר הכרה, נעדר יכולת לתקשר עם הסובבים אותו, ומרחף בין חיים למוות. בית המשפט המחוזי ציין כי ביחס לכל הנסיבות העמומות של האירוע יש להניח הנחות שמיטיבות עם המערער, ועל כן מן הדין לצאת מן ההנחה כי כוונת המערער לירות מאקדחו בראשו של קובי היתה ספונטאנית והתגבשה תוך כדי האירוע עצמו, לאחר שקובי התיז לעברו גז מדמיע. המערער ללא עבר פלילי. בית המשפט העליון ציין כי אין חולק כי העבירה שבה עסקינן בוצעה בנסיבות חמורות ביותר, ותוצאותיה היו הרסניות.</w:t>
      </w:r>
    </w:p>
    <w:p w14:paraId="73BE8268"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59" w:history="1">
        <w:r w:rsidRPr="00A255A2">
          <w:rPr>
            <w:rFonts w:ascii="David" w:hAnsi="David"/>
            <w:color w:val="0000FF"/>
            <w:u w:val="single"/>
            <w:rtl/>
          </w:rPr>
          <w:t>ע"פ 7473/20</w:t>
        </w:r>
      </w:hyperlink>
      <w:r w:rsidR="00B5602A" w:rsidRPr="000C0391">
        <w:rPr>
          <w:rFonts w:ascii="David" w:hAnsi="David"/>
          <w:rtl/>
        </w:rPr>
        <w:t xml:space="preserve"> </w:t>
      </w:r>
      <w:r w:rsidR="00B5602A" w:rsidRPr="000C0391">
        <w:rPr>
          <w:rFonts w:ascii="David" w:hAnsi="David"/>
          <w:b/>
          <w:bCs/>
          <w:rtl/>
        </w:rPr>
        <w:t>מחאמיד</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w:t>
      </w:r>
      <w:r w:rsidR="00B5602A" w:rsidRPr="000C0391">
        <w:rPr>
          <w:rFonts w:ascii="David" w:hAnsi="David"/>
        </w:rPr>
        <w:t>29.6.21</w:t>
      </w:r>
      <w:r w:rsidR="00B5602A" w:rsidRPr="000C0391">
        <w:rPr>
          <w:rFonts w:ascii="David" w:hAnsi="David"/>
          <w:rtl/>
        </w:rPr>
        <w:t xml:space="preserve">) – בית המשפט המחוזי גזר על המערער 6.5 שנות מאסר בפועל, ובית המשפט העליון החמיר את עונשו ל- </w:t>
      </w:r>
      <w:r w:rsidR="00B5602A" w:rsidRPr="000C0391">
        <w:rPr>
          <w:rFonts w:ascii="David" w:hAnsi="David"/>
          <w:b/>
          <w:bCs/>
          <w:rtl/>
        </w:rPr>
        <w:t>8 שנות מאסר בפועל</w:t>
      </w:r>
      <w:r w:rsidR="00B5602A" w:rsidRPr="000C0391">
        <w:rPr>
          <w:rFonts w:ascii="David" w:hAnsi="David"/>
          <w:rtl/>
        </w:rPr>
        <w:t>, ובשים לב לכלל לפיו אין ערכאת הערעור ממצה את הדין. המערער הורשע, לאחר שמיעת ראיות, בעבירות של חבלה בכוונה מחמירה, נשיאה והובלה של נשק שלא כדין וירי מנשק חם באזור מגורים באופן שיש בו כדי לסכן חיי אדם. בין המתלונן הקטין לאחיו של המערער (להלן: ע"מ) התגלע סכסוך בנוגע לסכום כסף בסך 100 ש"ח. על רקע הסכסוך, התפתח עימות פיזי בין ע"מ למתלונן, במהלכו נחבל המתלונן באצבעו ולע"מ נגרמה שריטה באף. בעקבות זאת, ביום 16.11.2018, התקשר ע"מ למתלונן וביקש להיפגש עמו, באמתלת שווא לפיה ברצונו ליישב את הסכסוך ביניהם. המתלונן הגיע למפגש יחד עם בן דודו, מ"ו. ע"מ הגיע אף הוא, מלווה במערער ושני חברים נוספים (להלן: החברים). המערער הגיע למקום כשהוא נושא אקדח וכדורים. ע"מ נשא גז פלפל. במהלך המפגש, אמר המערער למתלונן: "מה יש לך נגד אח שלי? אם אתה גבר לך איתו ראש בראש". המתלונן וע"מ התרחקו הצידה והחלו לדבר. במהלך השיחה התיז ע"מ גז פלפל על המתלונן, וזה החל לברוח, אך ע"מ הפיל אותו על הארץ והחל לבעוט בו ולהכותו באמצעות ידיו על פניו. מ"ו ניגש לעזור למתלונן. בשלב זה, בעוד המתלונן שרוע על הרצפה ומ"ו רוכן לידו, התקרב המערער אל המתלונן ואל מ"ו, וירה באקדח מספר יריות באוויר. אז, כיוון המערער את האקדח לעבר ראשו של מ"ו. המתלונן הבחין בכך, ואמר למ"ו: "תיזהר". בתגובה, כיוון המערער את האקדח לצווארו של המתלונן וירה בו ירייה אחת מטווח קצר, אשר פגעה בצווארו. לאחר מכן ירה המערער באוויר, ונמלט מן המקום יחד עם ע"מ והחברים, בעוד המתלונן מוטל על הרצפה שותת דם. בעקבות הירי, חדר כדור לצווארו של המתלונן ויצא מהחזה האחורי. המתלונן אושפז כשהוא מורדם ומונשם. כתוצאה מהירי נגרמו לו נזקים שונים, בהם פצעי ירי בצוואר, בריאה ובבית החזה, נזק לשורשי שתי חוליות, חולשה בידו והגבלת תנועה בכתף. המערער ללא עבר פלילי.</w:t>
      </w:r>
    </w:p>
    <w:p w14:paraId="6E9DD7A0"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60" w:history="1">
        <w:r w:rsidRPr="00A255A2">
          <w:rPr>
            <w:rFonts w:ascii="David" w:hAnsi="David"/>
            <w:color w:val="0000FF"/>
            <w:u w:val="single"/>
            <w:rtl/>
          </w:rPr>
          <w:t>ע"פ 9104/20</w:t>
        </w:r>
      </w:hyperlink>
      <w:r w:rsidR="00B5602A" w:rsidRPr="000C0391">
        <w:rPr>
          <w:rFonts w:ascii="David" w:hAnsi="David"/>
          <w:rtl/>
        </w:rPr>
        <w:t xml:space="preserve"> </w:t>
      </w:r>
      <w:r w:rsidR="00B5602A" w:rsidRPr="000C0391">
        <w:rPr>
          <w:rFonts w:ascii="David" w:hAnsi="David"/>
          <w:b/>
          <w:bCs/>
          <w:rtl/>
        </w:rPr>
        <w:t>טבצ'ניקוב</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w:t>
      </w:r>
      <w:r w:rsidR="00B5602A" w:rsidRPr="000C0391">
        <w:rPr>
          <w:rFonts w:ascii="David" w:hAnsi="David"/>
        </w:rPr>
        <w:t>4.3.21</w:t>
      </w:r>
      <w:r w:rsidR="00B5602A" w:rsidRPr="000C0391">
        <w:rPr>
          <w:rFonts w:ascii="David" w:hAnsi="David"/>
          <w:rtl/>
        </w:rPr>
        <w:t>) – בית המשפט המחוזי גזר על המשיב, בין היתר, 30 חודשי מאסר בפועל בגין הרשעתו, על פי הודאתו, בעבירות של חבלה בכוונה מחמירה, נשיאת נשק והחזקת סם מסוכן לצריכה עצמית. בית המשפט העליון החמיר את עונשו ל-</w:t>
      </w:r>
      <w:r w:rsidR="00B5602A" w:rsidRPr="000C0391">
        <w:rPr>
          <w:rFonts w:ascii="David" w:hAnsi="David"/>
          <w:b/>
          <w:bCs/>
          <w:rtl/>
        </w:rPr>
        <w:t>4 שנות מאסר בפועל</w:t>
      </w:r>
      <w:r w:rsidR="00B5602A" w:rsidRPr="000C0391">
        <w:rPr>
          <w:rFonts w:ascii="David" w:hAnsi="David"/>
          <w:rtl/>
        </w:rPr>
        <w:t>, והפעיל עונש מאסר מותנה בן 12 חודשים במצטבר, כך שסך הכל המשיב ירצה 5 שנות מאסר בפועל. המשיב הצטייד באקדח טעון בכדורים והגיע ברכבו לעסק שבו עבד המתלונן באותה עת, בליווי אדם נוסף אשר נהג ברכב. לאחר חילופי דברים בינו לבין המתלונן, שלף את אקדחו, דרך אותו, הצמידוֹ לחלק העליון של ירכו השמאלית של המתלונן, ירה ירייה אחת – ונמלט עם אקדחו מהמקום בנסיעה בליווי האדם הנוסף. בעקבות הירי, נזקק המתלונן לניתוח ברגלו, במהלכו הוחלט להותיר את הקליע בגופו, פן תגרור הוצאתו פגיעה בכלי הדם ובמערכת העצבים. המשיב נתפס ובמהלך חיפוש על גופו נמצא סם מסוכן מסוג קוקאין במשקל של 1.5 גרם. למשיב עבר פלילי בלתי מבוטל בעבירות אלימות, נשק וסמים והוא אף ריצה עונשי מאסר בפועל.</w:t>
      </w:r>
    </w:p>
    <w:p w14:paraId="3865FB1A" w14:textId="77777777" w:rsidR="00B5602A" w:rsidRPr="000C0391" w:rsidRDefault="00A255A2" w:rsidP="00B5602A">
      <w:pPr>
        <w:pStyle w:val="ListParagraph"/>
        <w:numPr>
          <w:ilvl w:val="0"/>
          <w:numId w:val="1"/>
        </w:numPr>
        <w:spacing w:line="360" w:lineRule="auto"/>
        <w:ind w:left="423" w:hanging="426"/>
        <w:jc w:val="both"/>
        <w:rPr>
          <w:rFonts w:ascii="David" w:hAnsi="David"/>
          <w:b/>
          <w:bCs/>
        </w:rPr>
      </w:pPr>
      <w:hyperlink r:id="rId61" w:history="1">
        <w:r w:rsidRPr="00A255A2">
          <w:rPr>
            <w:rFonts w:ascii="David" w:hAnsi="David"/>
            <w:color w:val="0000FF"/>
            <w:u w:val="single"/>
            <w:rtl/>
          </w:rPr>
          <w:t>ע"פ 4344/18</w:t>
        </w:r>
      </w:hyperlink>
      <w:r w:rsidR="00B5602A" w:rsidRPr="000C0391">
        <w:rPr>
          <w:rFonts w:ascii="David" w:hAnsi="David"/>
          <w:rtl/>
        </w:rPr>
        <w:t xml:space="preserve"> </w:t>
      </w:r>
      <w:r w:rsidR="00B5602A" w:rsidRPr="000C0391">
        <w:rPr>
          <w:rFonts w:ascii="David" w:hAnsi="David"/>
          <w:b/>
          <w:bCs/>
          <w:rtl/>
        </w:rPr>
        <w:t>גאבר</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16.8.19) – נגזרו על המערער, בין היתר, </w:t>
      </w:r>
      <w:r w:rsidR="00B5602A" w:rsidRPr="000C0391">
        <w:rPr>
          <w:rFonts w:ascii="David" w:hAnsi="David"/>
          <w:b/>
          <w:bCs/>
          <w:rtl/>
        </w:rPr>
        <w:t>5 שנות מאסר בפועל</w:t>
      </w:r>
      <w:r w:rsidR="00B5602A" w:rsidRPr="000C0391">
        <w:rPr>
          <w:rFonts w:ascii="David" w:hAnsi="David"/>
          <w:rtl/>
        </w:rPr>
        <w:t>.</w:t>
      </w:r>
      <w:r w:rsidR="00B5602A" w:rsidRPr="000C0391">
        <w:rPr>
          <w:rFonts w:ascii="David" w:hAnsi="David"/>
          <w:b/>
          <w:bCs/>
          <w:rtl/>
        </w:rPr>
        <w:t xml:space="preserve"> </w:t>
      </w:r>
      <w:r w:rsidR="00B5602A" w:rsidRPr="000C0391">
        <w:rPr>
          <w:rFonts w:ascii="David" w:hAnsi="David"/>
          <w:rtl/>
        </w:rPr>
        <w:t xml:space="preserve">המערער הורשע, על פי הודאתו, בגרימת חבלה בכוונה מחמירה ובנשיאת נשק ותחמושת שלא כדין. מדובר בריב משפחתי שבמהלכו המערער נטל לידיו כלי ירי, וירה ממנו ממרחק של מטרים ספורים לא פחות מ- 7 יריות לכיוון אביו של המתלונן. המתלונן, אחיינו של המערער, רץ לעברו כדי למנוע פגיעה באביו ונכנס לטווח הירי. כתוצאה מכך, נפגע המתלונן מקליע בשוק רגלו השמאלית ושבר את עצם השוק. המערער נטל אחריות למעשיו, הביע חרטה על ביצועם, פרס בפני בית משפט קמא את נסיבות חייו הלא פשוטות, וציין כי הריב שבין משפחתו לבין משפחת המתלונן הסתיים בסולחה. למערער הרשעות קודמות בעבירות סמים. </w:t>
      </w:r>
    </w:p>
    <w:p w14:paraId="3B5EF687" w14:textId="77777777" w:rsidR="00B5602A" w:rsidRPr="000C0391" w:rsidRDefault="00A255A2" w:rsidP="00B5602A">
      <w:pPr>
        <w:pStyle w:val="ListParagraph"/>
        <w:numPr>
          <w:ilvl w:val="0"/>
          <w:numId w:val="1"/>
        </w:numPr>
        <w:spacing w:line="360" w:lineRule="auto"/>
        <w:ind w:left="423" w:hanging="426"/>
        <w:jc w:val="both"/>
        <w:rPr>
          <w:rFonts w:ascii="David" w:hAnsi="David"/>
          <w:b/>
          <w:bCs/>
          <w:rtl/>
        </w:rPr>
      </w:pPr>
      <w:hyperlink r:id="rId62" w:history="1">
        <w:r w:rsidRPr="00A255A2">
          <w:rPr>
            <w:rFonts w:ascii="David" w:hAnsi="David"/>
            <w:color w:val="0000FF"/>
            <w:u w:val="single"/>
            <w:rtl/>
          </w:rPr>
          <w:t>ע"פ 5010/17</w:t>
        </w:r>
      </w:hyperlink>
      <w:r w:rsidR="00B5602A" w:rsidRPr="000C0391">
        <w:rPr>
          <w:rFonts w:ascii="David" w:hAnsi="David"/>
          <w:rtl/>
        </w:rPr>
        <w:t xml:space="preserve"> </w:t>
      </w:r>
      <w:r w:rsidR="00B5602A" w:rsidRPr="000C0391">
        <w:rPr>
          <w:rFonts w:ascii="David" w:hAnsi="David"/>
          <w:b/>
          <w:bCs/>
          <w:rtl/>
        </w:rPr>
        <w:t>שטרית</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20.6.19) – נגזרו על המערער, בין היתר, </w:t>
      </w:r>
      <w:r w:rsidR="00B5602A" w:rsidRPr="000C0391">
        <w:rPr>
          <w:rFonts w:ascii="David" w:hAnsi="David"/>
          <w:b/>
          <w:bCs/>
          <w:rtl/>
        </w:rPr>
        <w:t>תשע שנות מאסר בפועל.</w:t>
      </w:r>
      <w:r w:rsidR="00B5602A" w:rsidRPr="000C0391">
        <w:rPr>
          <w:rFonts w:ascii="David" w:hAnsi="David"/>
          <w:rtl/>
        </w:rPr>
        <w:t xml:space="preserve"> המערער הורשע, לאחר שמיעת ראיות, בעבירה של חבלה בכוונה מחמירה, ובעבירה של נשיאת נשק ללא רשות על פי דין. בין המערער לאדם בשם שימי מימרן שורר סכסוך. ביום 27.3.2016 שוחחו שימי והמערער בטלפון וקבעו להיפגש. שימי הגיע עם אחרים, בהם נתנאל אלנקווה, אוראל בורסקה ובר שלוש לביתו של המערער בשכונת בית הכרם בירושלים בעת שהמערער שהה מחוץ לביתו. סמוך לאחר מכן הגיע המערער ברכב עם אדם נוסף, שזהותו אינה ידועה למשיבה, לשכונת בית הכרם והוא נושא אקדח בקוטר 7.65 מ"מ. משראה המערער את שימי והאחרים ברחוב משה קול, יצא מהרכב עם האקדח וירה לעבר מרכז גופם כמה יריות ממרחק מטרים בודדים מתוך כוונה להסב להם חבלות גופניות חמורות. קליע חדר לאזור הגב התחתון של אוראל, עבר בתעלת עמוד השדרה בין שתי חוליות וחדר את הכליה והכבד. עקב כך נגרמו לאוראל שברים מרוסקים בעמוד השדרה, הקליע נותר בגופו, והוא הפך בעל נכות מהמותן ומטה. מייד לאחר הירי ברח המערער מהמקום, ניתק את מכשיר הטלפון הנייד שלו ונעדר מביתו למשך כמה ימים ביודעו כי המשטרה מחפשת אחריו. </w:t>
      </w:r>
    </w:p>
    <w:p w14:paraId="452469F7"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63" w:history="1">
        <w:r w:rsidRPr="00A255A2">
          <w:rPr>
            <w:rFonts w:ascii="David" w:hAnsi="David"/>
            <w:color w:val="0000FF"/>
            <w:u w:val="single"/>
            <w:rtl/>
          </w:rPr>
          <w:t>ע"פ 3599/16</w:t>
        </w:r>
      </w:hyperlink>
      <w:r w:rsidR="00B5602A" w:rsidRPr="000C0391">
        <w:rPr>
          <w:rFonts w:ascii="David" w:hAnsi="David"/>
          <w:rtl/>
        </w:rPr>
        <w:t xml:space="preserve"> </w:t>
      </w:r>
      <w:r w:rsidR="00B5602A" w:rsidRPr="000C0391">
        <w:rPr>
          <w:rFonts w:ascii="David" w:hAnsi="David"/>
          <w:b/>
          <w:bCs/>
          <w:rtl/>
        </w:rPr>
        <w:t>חטיב</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14.11.17) – נגזרו על </w:t>
      </w:r>
      <w:r w:rsidR="00B5602A" w:rsidRPr="000C0391">
        <w:rPr>
          <w:rFonts w:ascii="David" w:hAnsi="David"/>
          <w:b/>
          <w:bCs/>
          <w:rtl/>
        </w:rPr>
        <w:t>משיב 1</w:t>
      </w:r>
      <w:r w:rsidR="00B5602A" w:rsidRPr="000C0391">
        <w:rPr>
          <w:rFonts w:ascii="David" w:hAnsi="David"/>
          <w:rtl/>
        </w:rPr>
        <w:t xml:space="preserve">, בין היתר, </w:t>
      </w:r>
      <w:r w:rsidR="00B5602A" w:rsidRPr="000C0391">
        <w:rPr>
          <w:rFonts w:ascii="David" w:hAnsi="David"/>
          <w:b/>
          <w:bCs/>
          <w:rtl/>
        </w:rPr>
        <w:t>6 שנות מאסר בפועל</w:t>
      </w:r>
      <w:r w:rsidR="00B5602A" w:rsidRPr="000C0391">
        <w:rPr>
          <w:rFonts w:ascii="David" w:hAnsi="David"/>
          <w:rtl/>
        </w:rPr>
        <w:t xml:space="preserve">, וכן הופעל עונש מאסר על תנאי בן שנה באופן מצטבר. על </w:t>
      </w:r>
      <w:r w:rsidR="00B5602A" w:rsidRPr="000C0391">
        <w:rPr>
          <w:rFonts w:ascii="David" w:hAnsi="David"/>
          <w:b/>
          <w:bCs/>
          <w:rtl/>
        </w:rPr>
        <w:t>משיב 2</w:t>
      </w:r>
      <w:r w:rsidR="00B5602A" w:rsidRPr="000C0391">
        <w:rPr>
          <w:rFonts w:ascii="David" w:hAnsi="David"/>
          <w:rtl/>
        </w:rPr>
        <w:t xml:space="preserve"> נגזרו, בין היתר, </w:t>
      </w:r>
      <w:r w:rsidR="00B5602A" w:rsidRPr="000C0391">
        <w:rPr>
          <w:rFonts w:ascii="David" w:hAnsi="David"/>
          <w:b/>
          <w:bCs/>
          <w:rtl/>
        </w:rPr>
        <w:t>5 שנות מאסר</w:t>
      </w:r>
      <w:r w:rsidR="00B5602A" w:rsidRPr="000C0391">
        <w:rPr>
          <w:rFonts w:ascii="David" w:hAnsi="David"/>
          <w:rtl/>
        </w:rPr>
        <w:t xml:space="preserve"> </w:t>
      </w:r>
      <w:r w:rsidR="00B5602A" w:rsidRPr="000C0391">
        <w:rPr>
          <w:rFonts w:ascii="David" w:hAnsi="David"/>
          <w:b/>
          <w:bCs/>
          <w:rtl/>
        </w:rPr>
        <w:t>בפועל</w:t>
      </w:r>
      <w:r w:rsidR="00B5602A" w:rsidRPr="000C0391">
        <w:rPr>
          <w:rFonts w:ascii="David" w:hAnsi="David"/>
          <w:rtl/>
        </w:rPr>
        <w:t>, וכן הופעל עונש מאסר על תנאי בן שנה באופן מצטבר. המשיבים הורשעו, על פי הודאתם, בעבירות של חבלה בכוונה מחמירה, עבירות בנשק, ושיבוש הליכי משפט. למשיב 1 יוחסו גם עבירות תגרה ויריות באזור מגורים. ביום 8.6.2014 התפתח ויכוח בין המשיב 1 לבין אדם אחר (להלן: האחר), בישוב אעבלין, סביב "השימוש בכביש". בעקבות אותו ויכוח, פרצה תגרה בין המשיב 1 לבין האחר ותושבים נוספים שהתאספו במקום. בהמשך לאותה תגרה, ירה המשיב 1, בשעות לילה, "לא פחות מ-21 כדורים מרובה סער", אשר פגעו בקירות חיצוניים של כחמישה בתים וברכב אחד. לאחר זאת, נעשו ניסיונות לערוך "סולחה" בין הניצים, אך בשל יידוי אבנים לעבר רכבו של המשיב 1, החליט הלה להיפרע מצעירים שנחשדו על ידו ביידוי האבנים. המשיב 1 פנה אל המשיבים 2 ו-3 ותכנן עמם ועם אחרים, שזהותם אינה ידועה למאשימה, "לגרום לחבלה חמורה, למום או לנכות לצעירים באמצעות ירי בנשק חם". המשיבים הצטיידו "לפחות באקדח אחד" וביום 11.6.2014 בלילה, הורה המשיב 1 למשיבים 2 ו-3 לירות לעבר שני רכבים, בהם נסעו הצעירים ומשפחותיהם. המשיב 3 ואחרים תצפתו לעבר שני הרכבים, שעה שהמשיב 1 העביר הנחיות כיצד לבצע את הירי. כנטען בכתב האישום, המשיב 2 ואחרים עקבו אחר רכביהם של הצעירים, ובשלב מסוים החלו לירות מאקדח שהיה ברשותם לעבר אחד הרכבים, חמישה כדורים לפחות, וגרמו לפגיעה קשה לשלושה מנוסעיו, אשר פונו לבית החולים, תוך שנשקפה סכנה לחייהם. לאחר הירי, הורה המשיב 1 לחבריו לעשות פעולות שונות לשם שיבוש ההליכים, ובכלל זה מחיקת נתונים מהטלפון הנייד שלו, תאום גרסאות, הסתרת הנשק, וניקוי הרכב שממנו בוצע הירי.</w:t>
      </w:r>
    </w:p>
    <w:p w14:paraId="2102092A"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64" w:history="1">
        <w:r w:rsidRPr="00A255A2">
          <w:rPr>
            <w:rFonts w:ascii="David" w:hAnsi="David"/>
            <w:color w:val="0000FF"/>
            <w:u w:val="single"/>
            <w:rtl/>
          </w:rPr>
          <w:t>ע"פ 1186/15</w:t>
        </w:r>
      </w:hyperlink>
      <w:r w:rsidR="00B5602A" w:rsidRPr="000C0391">
        <w:rPr>
          <w:rFonts w:ascii="David" w:hAnsi="David"/>
          <w:rtl/>
        </w:rPr>
        <w:t xml:space="preserve"> </w:t>
      </w:r>
      <w:r w:rsidR="00B5602A" w:rsidRPr="000C0391">
        <w:rPr>
          <w:rFonts w:ascii="David" w:hAnsi="David"/>
          <w:b/>
          <w:bCs/>
          <w:rtl/>
        </w:rPr>
        <w:t>יונס</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23.11.16) – בית המשפט המחוזי גזר על המערער 11 שנות מאסר בפועל, ובית המשפט העליון הפחית את עונשו </w:t>
      </w:r>
      <w:r w:rsidR="00B5602A" w:rsidRPr="000C0391">
        <w:rPr>
          <w:rFonts w:ascii="David" w:hAnsi="David"/>
          <w:b/>
          <w:bCs/>
          <w:rtl/>
        </w:rPr>
        <w:t>לתשע שנים וארבעה חודשי מאסר בפועל</w:t>
      </w:r>
      <w:r w:rsidR="00B5602A" w:rsidRPr="000C0391">
        <w:rPr>
          <w:rFonts w:ascii="David" w:hAnsi="David"/>
          <w:rtl/>
        </w:rPr>
        <w:t>. המערער הורשע, לאחר הליך הוכחות, בעבירה של חבלה בכוונה מחמירה. הפרשה בתמצית עניינה כי בשל עדות עתידה של המתלונן בהליך פלילי נגד המערער, הגיע האחרון לבית המתלונן נושא נשק טעון ודרוך, בעודו עטוי כפפות על-ידיו. הוא דפק בדלת והתחזה כאחי המתלונן, ומשהתלונן פתח ירה לעברו לפחות 4 יריות כדי לפגוע בו בפלג גופו התחתון, ונגרמו לו חבלות קשות ברגליים וביד והוא אושפז ונותח. המערער עשה את מעשיו בהיותו במעצר בית מלא בצו בית המשפט. העונש שנגזר על המערער נמנה במצטבר למאסר של 30 חודש בעבירת שוד. בקבלו את הערעור, בית המשפט העליון ציין כי נוכח הגיוון בפסיקה, דומה שגזר הדין נוטה לחומרה ומצוי ברף גבוה, מה גם שהעונשים בשתי הפרשות נצברים זה לזה. כמו כן הובא בחשבון שהנאשם חזר בו מהערעור על הכרעת הדין, וכי הוא שילם את הפיצוי שהוטל עליו.</w:t>
      </w:r>
    </w:p>
    <w:p w14:paraId="66266154"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65" w:history="1">
        <w:r w:rsidRPr="00A255A2">
          <w:rPr>
            <w:rFonts w:ascii="David" w:hAnsi="David"/>
            <w:color w:val="0000FF"/>
            <w:u w:val="single"/>
            <w:rtl/>
          </w:rPr>
          <w:t>ע"פ 5015/15</w:t>
        </w:r>
      </w:hyperlink>
      <w:r w:rsidR="00B5602A" w:rsidRPr="000C0391">
        <w:rPr>
          <w:rFonts w:ascii="David" w:hAnsi="David"/>
          <w:rtl/>
        </w:rPr>
        <w:t xml:space="preserve"> </w:t>
      </w:r>
      <w:r w:rsidR="00B5602A" w:rsidRPr="000C0391">
        <w:rPr>
          <w:rFonts w:ascii="David" w:hAnsi="David"/>
          <w:b/>
          <w:bCs/>
          <w:rtl/>
        </w:rPr>
        <w:t>ריאן</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29.3.16) – בית המשפט המחוזי גזר על המערער 4 שנות מאסר בפועל, ובית המשפט העליון החמיר את עונשו ל- </w:t>
      </w:r>
      <w:r w:rsidR="00B5602A" w:rsidRPr="000C0391">
        <w:rPr>
          <w:rFonts w:ascii="David" w:hAnsi="David"/>
          <w:b/>
          <w:bCs/>
          <w:rtl/>
        </w:rPr>
        <w:t>5 וחצי שנות מאסר בפועל</w:t>
      </w:r>
      <w:r w:rsidR="00B5602A" w:rsidRPr="000C0391">
        <w:rPr>
          <w:rFonts w:ascii="David" w:hAnsi="David"/>
          <w:rtl/>
        </w:rPr>
        <w:t>, ובשים לב לכך שערכאת הערעור אינה נוהגת למצות את הדין. המשיב הורשע, לאחר שמיעת ראיות, בעבירות הבאות: חבלה בכוונה מחמירה (שתי עבירות), נשיאת נשק שלא כדין, והחזקת נשק שלא כדין. המתלונן עסק בעבודות ריצוף בבית. בשלב מסוים, המשיב הגיע לבית כשהוא נושא עמו תת מקלע מסוג קרל גוסטב שהיה טעון, התקרב אל המתלונן, וירה לעברו לפחות שלוש יריות ממרחק קרוב, תוך שהוא פוגע בידו הימנית של המתלונן. המתלונן רץ מספר מטרים בניסיון להימלט מהמשיב, אולם הלה רדף אחריו, תפס אותו, הפילו ארצה, והיכה בחוזקה בראשו באמצעות הנשק שאחז בידו. המתלונן הובהל לבית החולים, שם אובחן כסובל משבר בבסיס הגולגולת, פצע קרוע בקרקפת מימין, ושבר מרוסק בזרוע שמאל. עברו הפלילי של המשיב כולל הרשעה יחידה בגין ביצוע עבודות בנייה ללא היתר.</w:t>
      </w:r>
    </w:p>
    <w:p w14:paraId="6970C1E2" w14:textId="77777777" w:rsidR="00B5602A" w:rsidRPr="000C0391" w:rsidRDefault="00A255A2" w:rsidP="00B5602A">
      <w:pPr>
        <w:pStyle w:val="ListParagraph"/>
        <w:numPr>
          <w:ilvl w:val="0"/>
          <w:numId w:val="1"/>
        </w:numPr>
        <w:spacing w:line="360" w:lineRule="auto"/>
        <w:ind w:left="423" w:hanging="426"/>
        <w:jc w:val="both"/>
        <w:rPr>
          <w:rFonts w:ascii="David" w:hAnsi="David"/>
        </w:rPr>
      </w:pPr>
      <w:hyperlink r:id="rId66" w:history="1">
        <w:r w:rsidRPr="00A255A2">
          <w:rPr>
            <w:rFonts w:ascii="David" w:hAnsi="David"/>
            <w:color w:val="0000FF"/>
            <w:u w:val="single"/>
            <w:rtl/>
          </w:rPr>
          <w:t>ע"פ 843/15</w:t>
        </w:r>
      </w:hyperlink>
      <w:r w:rsidR="00B5602A" w:rsidRPr="000C0391">
        <w:rPr>
          <w:rFonts w:ascii="David" w:hAnsi="David"/>
          <w:rtl/>
        </w:rPr>
        <w:t xml:space="preserve"> </w:t>
      </w:r>
      <w:r w:rsidR="00B5602A" w:rsidRPr="000C0391">
        <w:rPr>
          <w:rFonts w:ascii="David" w:hAnsi="David"/>
          <w:b/>
          <w:bCs/>
          <w:rtl/>
        </w:rPr>
        <w:t>מזרחי</w:t>
      </w:r>
      <w:r w:rsidR="00B5602A" w:rsidRPr="000C0391">
        <w:rPr>
          <w:rFonts w:ascii="David" w:hAnsi="David"/>
          <w:rtl/>
        </w:rPr>
        <w:t xml:space="preserve"> </w:t>
      </w:r>
      <w:r w:rsidR="005D0099">
        <w:rPr>
          <w:rFonts w:ascii="David" w:hAnsi="David"/>
          <w:rtl/>
        </w:rPr>
        <w:t>[נבו]</w:t>
      </w:r>
      <w:r w:rsidR="005D0099">
        <w:rPr>
          <w:rFonts w:ascii="David" w:hAnsi="David" w:hint="cs"/>
          <w:rtl/>
        </w:rPr>
        <w:t xml:space="preserve"> </w:t>
      </w:r>
      <w:r w:rsidR="00B5602A" w:rsidRPr="000C0391">
        <w:rPr>
          <w:rFonts w:ascii="David" w:hAnsi="David"/>
          <w:rtl/>
        </w:rPr>
        <w:t xml:space="preserve">(מיום 30.11.15) – נגזרו על המערער, בין היתר, </w:t>
      </w:r>
      <w:r w:rsidR="00B5602A" w:rsidRPr="000C0391">
        <w:rPr>
          <w:rFonts w:ascii="David" w:hAnsi="David"/>
          <w:b/>
          <w:bCs/>
          <w:rtl/>
        </w:rPr>
        <w:t>עשר שנות מאסר בפועל</w:t>
      </w:r>
      <w:r w:rsidR="00B5602A" w:rsidRPr="000C0391">
        <w:rPr>
          <w:rFonts w:ascii="David" w:hAnsi="David"/>
          <w:rtl/>
        </w:rPr>
        <w:t>, וכן צבירה של שנה וחצי של מאסר מותנה מתיק קודם. בית המשפט העליון בערעור החליט לחפוף שנה, כדי לעודד את המערער לשיקום. המערער, בן 22, הורשע לאחר משפט הוכחות בעבירות חבלה בכוונה מחמירה ועבירות נשק. מדובר בסכסוך של פחות ממה בכך עם פקיד קבלה במלון (המתלונן), שלא נתן לו הנחה של 50 ₪. המערער עזב את המקום, חזר כשאקדח בידו תוך כיסוי ראשו בכובע מעיל, ירה במתלונן מטווח קצר ברגלו ובבטנו וגרם לו נכות צמיתה. למערער עבר פלילי והוא מגיל חמש עשרה החל בעבריינות ונדון על חבלה ותקיפה ל- 30 חודשי מאסר בפועל, וכן עמד פעמיים נוספות בפני בתי המשפט, ונדון באחת מהן למאסר.</w:t>
      </w:r>
    </w:p>
    <w:p w14:paraId="25CAEA4C" w14:textId="77777777" w:rsidR="00B5602A" w:rsidRPr="000C0391" w:rsidRDefault="00B5602A" w:rsidP="00B5602A">
      <w:pPr>
        <w:pStyle w:val="Ruller40"/>
        <w:rPr>
          <w:rFonts w:ascii="David" w:hAnsi="David" w:cs="David"/>
          <w:sz w:val="24"/>
          <w:szCs w:val="24"/>
          <w:rtl/>
        </w:rPr>
      </w:pPr>
    </w:p>
    <w:p w14:paraId="748B2E5D" w14:textId="77777777" w:rsidR="00B5602A" w:rsidRPr="000C0391" w:rsidRDefault="00B5602A" w:rsidP="00B5602A">
      <w:pPr>
        <w:pStyle w:val="ruller400"/>
        <w:bidi/>
        <w:spacing w:before="0" w:beforeAutospacing="0" w:after="0" w:afterAutospacing="0" w:line="360" w:lineRule="auto"/>
        <w:jc w:val="both"/>
        <w:rPr>
          <w:rFonts w:ascii="David" w:hAnsi="David" w:cs="David"/>
          <w:rtl/>
        </w:rPr>
      </w:pPr>
      <w:r w:rsidRPr="000C0391">
        <w:rPr>
          <w:rFonts w:ascii="David" w:hAnsi="David" w:cs="David"/>
          <w:b/>
          <w:bCs/>
          <w:u w:val="single"/>
          <w:rtl/>
        </w:rPr>
        <w:t>על כן</w:t>
      </w:r>
      <w:r w:rsidRPr="000C0391">
        <w:rPr>
          <w:rFonts w:ascii="David" w:hAnsi="David" w:cs="David"/>
          <w:u w:val="single"/>
          <w:rtl/>
        </w:rPr>
        <w:t>:</w:t>
      </w:r>
      <w:r w:rsidRPr="000C0391">
        <w:rPr>
          <w:rFonts w:ascii="David" w:hAnsi="David" w:cs="David"/>
          <w:rtl/>
        </w:rPr>
        <w:t xml:space="preserve"> לאור המידע, רכיבי מתחם העונש הה</w:t>
      </w:r>
      <w:r>
        <w:rPr>
          <w:rFonts w:ascii="David" w:hAnsi="David" w:cs="David"/>
          <w:rtl/>
        </w:rPr>
        <w:t>ולם והשיקולים דלעיל, העבירות בה</w:t>
      </w:r>
      <w:r>
        <w:rPr>
          <w:rFonts w:ascii="David" w:hAnsi="David" w:cs="David" w:hint="cs"/>
          <w:rtl/>
        </w:rPr>
        <w:t>ן</w:t>
      </w:r>
      <w:r w:rsidRPr="000C0391">
        <w:rPr>
          <w:rFonts w:ascii="David" w:hAnsi="David" w:cs="David"/>
          <w:rtl/>
        </w:rPr>
        <w:t xml:space="preserve"> הורשע הנאשם, מעשיו של הנאשם המתוארים בכתב האישום המתוקן בנסיבות הקונקרטיות של תיק זה, ובהתחשב במדיניות הענישה הנהוגה, מתחם העונש ההולם הינו אפוא </w:t>
      </w:r>
      <w:r w:rsidRPr="000C0391">
        <w:rPr>
          <w:rFonts w:ascii="David" w:hAnsi="David" w:cs="David"/>
          <w:b/>
          <w:bCs/>
          <w:rtl/>
        </w:rPr>
        <w:t>בין 7-11 שנות מאסר בפועל.</w:t>
      </w:r>
    </w:p>
    <w:p w14:paraId="1A7E8DF0" w14:textId="77777777" w:rsidR="00B5602A" w:rsidRPr="000C0391" w:rsidRDefault="00B5602A" w:rsidP="00B5602A">
      <w:pPr>
        <w:pStyle w:val="ruller400"/>
        <w:bidi/>
        <w:spacing w:before="0" w:beforeAutospacing="0" w:after="0" w:afterAutospacing="0" w:line="360" w:lineRule="auto"/>
        <w:jc w:val="both"/>
        <w:rPr>
          <w:rFonts w:ascii="David" w:hAnsi="David" w:cs="David"/>
          <w:b/>
          <w:bCs/>
          <w:u w:val="single"/>
          <w:rtl/>
        </w:rPr>
      </w:pPr>
    </w:p>
    <w:p w14:paraId="0417F640" w14:textId="77777777" w:rsidR="00B5602A" w:rsidRPr="000C0391" w:rsidRDefault="00B5602A" w:rsidP="00B5602A">
      <w:pPr>
        <w:pStyle w:val="ruller400"/>
        <w:bidi/>
        <w:spacing w:before="0" w:beforeAutospacing="0" w:after="0" w:afterAutospacing="0" w:line="360" w:lineRule="auto"/>
        <w:jc w:val="both"/>
        <w:rPr>
          <w:rFonts w:ascii="David" w:hAnsi="David" w:cs="David"/>
          <w:u w:val="single"/>
          <w:rtl/>
        </w:rPr>
      </w:pPr>
      <w:r w:rsidRPr="000C0391">
        <w:rPr>
          <w:rFonts w:ascii="David" w:hAnsi="David" w:cs="David"/>
          <w:b/>
          <w:bCs/>
          <w:u w:val="single"/>
          <w:rtl/>
        </w:rPr>
        <w:t>נסיבות שאינן קשורות בביצוע העבירות</w:t>
      </w:r>
      <w:r w:rsidRPr="000C0391">
        <w:rPr>
          <w:rFonts w:ascii="David" w:hAnsi="David" w:cs="David"/>
          <w:u w:val="single"/>
          <w:rtl/>
        </w:rPr>
        <w:t xml:space="preserve"> [</w:t>
      </w:r>
      <w:hyperlink r:id="rId67" w:history="1">
        <w:r w:rsidR="0047505D" w:rsidRPr="0047505D">
          <w:rPr>
            <w:rStyle w:val="Hyperlink"/>
            <w:rFonts w:ascii="David" w:hAnsi="David" w:cs="David"/>
            <w:b/>
            <w:bCs/>
            <w:rtl/>
          </w:rPr>
          <w:t>סע' 40יא</w:t>
        </w:r>
      </w:hyperlink>
      <w:r w:rsidRPr="000C0391">
        <w:rPr>
          <w:rFonts w:ascii="David" w:hAnsi="David" w:cs="David"/>
          <w:u w:val="single"/>
          <w:rtl/>
        </w:rPr>
        <w:t xml:space="preserve"> לחוק]:</w:t>
      </w:r>
    </w:p>
    <w:p w14:paraId="264EA25C" w14:textId="77777777" w:rsidR="00B5602A" w:rsidRPr="000C0391" w:rsidRDefault="00B5602A" w:rsidP="00B5602A">
      <w:pPr>
        <w:spacing w:line="360" w:lineRule="auto"/>
        <w:jc w:val="both"/>
        <w:rPr>
          <w:rFonts w:ascii="David" w:hAnsi="David"/>
          <w:color w:val="FF0000"/>
          <w:rtl/>
        </w:rPr>
      </w:pPr>
      <w:r w:rsidRPr="000C0391">
        <w:rPr>
          <w:rFonts w:ascii="David" w:hAnsi="David"/>
          <w:b/>
          <w:bCs/>
          <w:rtl/>
        </w:rPr>
        <w:t>הפגיעה של העונש בנאשם</w:t>
      </w:r>
      <w:r w:rsidRPr="000C0391">
        <w:rPr>
          <w:rFonts w:ascii="David" w:hAnsi="David"/>
          <w:rtl/>
        </w:rPr>
        <w:t xml:space="preserve"> [</w:t>
      </w:r>
      <w:hyperlink r:id="rId68" w:history="1">
        <w:r w:rsidR="0047505D" w:rsidRPr="0047505D">
          <w:rPr>
            <w:rStyle w:val="Hyperlink"/>
            <w:rFonts w:ascii="David" w:hAnsi="David"/>
            <w:b/>
            <w:bCs/>
            <w:rtl/>
          </w:rPr>
          <w:t>סע' 40יא(1)</w:t>
        </w:r>
      </w:hyperlink>
      <w:r w:rsidRPr="000C0391">
        <w:rPr>
          <w:rFonts w:ascii="David" w:hAnsi="David"/>
          <w:b/>
          <w:bCs/>
          <w:rtl/>
        </w:rPr>
        <w:t xml:space="preserve"> </w:t>
      </w:r>
      <w:r w:rsidRPr="000C0391">
        <w:rPr>
          <w:rFonts w:ascii="David" w:hAnsi="David"/>
          <w:rtl/>
        </w:rPr>
        <w:t>לחוק] – הנאשם הינו כבן 27, ומכאן שעצם הענישה בעניינו תהווה פגיעה בחירותו.</w:t>
      </w:r>
    </w:p>
    <w:p w14:paraId="31B7643C" w14:textId="77777777" w:rsidR="00B5602A" w:rsidRPr="000C0391" w:rsidRDefault="00B5602A" w:rsidP="00B5602A">
      <w:pPr>
        <w:spacing w:line="360" w:lineRule="auto"/>
        <w:jc w:val="both"/>
        <w:rPr>
          <w:rFonts w:ascii="David" w:hAnsi="David"/>
          <w:color w:val="FF0000"/>
          <w:rtl/>
        </w:rPr>
      </w:pPr>
      <w:r w:rsidRPr="000C0391">
        <w:rPr>
          <w:rFonts w:ascii="David" w:hAnsi="David"/>
          <w:b/>
          <w:bCs/>
          <w:rtl/>
        </w:rPr>
        <w:t>נטילת האחריות של הנאשם על מעשיו, וחזרתו למוטב או מאמציו לחזור למוטב</w:t>
      </w:r>
      <w:r w:rsidRPr="000C0391">
        <w:rPr>
          <w:rFonts w:ascii="David" w:hAnsi="David"/>
          <w:rtl/>
        </w:rPr>
        <w:t xml:space="preserve"> [</w:t>
      </w:r>
      <w:hyperlink r:id="rId69" w:history="1">
        <w:r w:rsidR="0047505D" w:rsidRPr="0047505D">
          <w:rPr>
            <w:rStyle w:val="Hyperlink"/>
            <w:rFonts w:ascii="David" w:hAnsi="David"/>
            <w:b/>
            <w:bCs/>
            <w:rtl/>
          </w:rPr>
          <w:t>סע' 40יא(4)</w:t>
        </w:r>
      </w:hyperlink>
      <w:r w:rsidRPr="000C0391">
        <w:rPr>
          <w:rFonts w:ascii="David" w:hAnsi="David"/>
          <w:rtl/>
        </w:rPr>
        <w:t xml:space="preserve"> לחוק] - הנאשם הודה במעשיו והורשע במסגרת הסדר טיעון ובכך חסך את העדת המתלונן ועדים נוספים, וכן חסך זמן שיפוטי יקר.</w:t>
      </w:r>
    </w:p>
    <w:p w14:paraId="638D3034" w14:textId="77777777" w:rsidR="00B5602A" w:rsidRPr="000C0391" w:rsidRDefault="00B5602A" w:rsidP="00B5602A">
      <w:pPr>
        <w:spacing w:line="360" w:lineRule="auto"/>
        <w:jc w:val="both"/>
        <w:rPr>
          <w:rFonts w:ascii="David" w:hAnsi="David"/>
          <w:rtl/>
        </w:rPr>
      </w:pPr>
      <w:r w:rsidRPr="000C0391">
        <w:rPr>
          <w:rFonts w:ascii="David" w:hAnsi="David"/>
          <w:b/>
          <w:bCs/>
          <w:rtl/>
        </w:rPr>
        <w:t xml:space="preserve">עברו הפלילי של הנאשם </w:t>
      </w:r>
      <w:r w:rsidRPr="000C0391">
        <w:rPr>
          <w:rFonts w:ascii="David" w:hAnsi="David"/>
          <w:rtl/>
        </w:rPr>
        <w:t>[</w:t>
      </w:r>
      <w:hyperlink r:id="rId70" w:history="1">
        <w:r w:rsidR="0047505D" w:rsidRPr="0047505D">
          <w:rPr>
            <w:rStyle w:val="Hyperlink"/>
            <w:rFonts w:ascii="David" w:hAnsi="David"/>
            <w:b/>
            <w:bCs/>
            <w:rtl/>
          </w:rPr>
          <w:t>סע' 40יא(11)</w:t>
        </w:r>
      </w:hyperlink>
      <w:r w:rsidRPr="000C0391">
        <w:rPr>
          <w:rFonts w:ascii="David" w:hAnsi="David"/>
          <w:b/>
          <w:bCs/>
          <w:rtl/>
        </w:rPr>
        <w:t xml:space="preserve"> </w:t>
      </w:r>
      <w:r w:rsidRPr="000C0391">
        <w:rPr>
          <w:rFonts w:ascii="David" w:hAnsi="David"/>
          <w:rtl/>
        </w:rPr>
        <w:t>לחוק]</w:t>
      </w:r>
      <w:r w:rsidRPr="000C0391">
        <w:rPr>
          <w:rFonts w:ascii="David" w:hAnsi="David"/>
          <w:b/>
          <w:bCs/>
          <w:rtl/>
        </w:rPr>
        <w:t xml:space="preserve"> </w:t>
      </w:r>
      <w:r w:rsidRPr="000C0391">
        <w:rPr>
          <w:rFonts w:ascii="David" w:hAnsi="David"/>
          <w:rtl/>
        </w:rPr>
        <w:t>– גיליון המרשם הפלילי של הנאשם (</w:t>
      </w:r>
      <w:r w:rsidRPr="000C0391">
        <w:rPr>
          <w:rFonts w:ascii="David" w:hAnsi="David"/>
          <w:b/>
          <w:bCs/>
          <w:rtl/>
        </w:rPr>
        <w:t>ת/1</w:t>
      </w:r>
      <w:r w:rsidRPr="000C0391">
        <w:rPr>
          <w:rFonts w:ascii="David" w:hAnsi="David"/>
          <w:rtl/>
        </w:rPr>
        <w:t xml:space="preserve">) פורט בהרחבה לעיל, ולא אחזור, ונשקול את האמור </w:t>
      </w:r>
      <w:r>
        <w:rPr>
          <w:rFonts w:ascii="David" w:hAnsi="David" w:hint="cs"/>
          <w:rtl/>
        </w:rPr>
        <w:t xml:space="preserve">בו </w:t>
      </w:r>
      <w:r>
        <w:rPr>
          <w:rFonts w:ascii="David" w:hAnsi="David"/>
          <w:rtl/>
        </w:rPr>
        <w:t>בשיקלול הענישה בגזר הדין</w:t>
      </w:r>
      <w:r>
        <w:rPr>
          <w:rFonts w:ascii="David" w:hAnsi="David" w:hint="cs"/>
          <w:rtl/>
        </w:rPr>
        <w:t xml:space="preserve"> </w:t>
      </w:r>
      <w:r>
        <w:rPr>
          <w:rFonts w:ascii="David" w:hAnsi="David"/>
          <w:rtl/>
        </w:rPr>
        <w:t>–</w:t>
      </w:r>
      <w:r>
        <w:rPr>
          <w:rFonts w:ascii="David" w:hAnsi="David" w:hint="cs"/>
          <w:rtl/>
        </w:rPr>
        <w:t xml:space="preserve"> עברו הפלילי הכולל יחסית אינו מכביד, לא רשומות לחובתו בעברו עבירות אלימות מסוג פשע ולא עבירות נשק, והוטלו עליו בעבר שני עונשי מאסר בפועל שאינם ארוכים. </w:t>
      </w:r>
    </w:p>
    <w:p w14:paraId="3A7F3600" w14:textId="77777777" w:rsidR="00B5602A" w:rsidRDefault="00B5602A" w:rsidP="00B5602A">
      <w:pPr>
        <w:spacing w:line="360" w:lineRule="auto"/>
        <w:jc w:val="both"/>
        <w:rPr>
          <w:rFonts w:ascii="David" w:hAnsi="David"/>
          <w:b/>
          <w:bCs/>
          <w:u w:val="single"/>
          <w:rtl/>
        </w:rPr>
      </w:pPr>
    </w:p>
    <w:p w14:paraId="3D47622F" w14:textId="77777777" w:rsidR="00B5602A" w:rsidRPr="000C0391" w:rsidRDefault="00B5602A" w:rsidP="00B5602A">
      <w:pPr>
        <w:spacing w:line="360" w:lineRule="auto"/>
        <w:jc w:val="both"/>
        <w:rPr>
          <w:rFonts w:ascii="David" w:hAnsi="David"/>
          <w:rtl/>
        </w:rPr>
      </w:pPr>
      <w:r w:rsidRPr="000C0391">
        <w:rPr>
          <w:rFonts w:ascii="David" w:hAnsi="David"/>
          <w:b/>
          <w:bCs/>
          <w:u w:val="single"/>
          <w:rtl/>
        </w:rPr>
        <w:t>הרתעה</w:t>
      </w:r>
      <w:r w:rsidRPr="000C0391">
        <w:rPr>
          <w:rFonts w:ascii="David" w:hAnsi="David"/>
          <w:u w:val="single"/>
          <w:rtl/>
        </w:rPr>
        <w:t>:</w:t>
      </w:r>
      <w:r w:rsidRPr="000C0391">
        <w:rPr>
          <w:rFonts w:ascii="David" w:hAnsi="David"/>
          <w:rtl/>
        </w:rPr>
        <w:t xml:space="preserve"> הענישה שתוטל על הנאשם מגלמת הן את הצורך בהרתעתו מפני ביצוע עבירה נוספת בעתיד [</w:t>
      </w:r>
      <w:hyperlink r:id="rId71" w:history="1">
        <w:r w:rsidR="0047505D" w:rsidRPr="0047505D">
          <w:rPr>
            <w:rStyle w:val="Hyperlink"/>
            <w:rFonts w:ascii="David" w:hAnsi="David"/>
            <w:b/>
            <w:bCs/>
            <w:rtl/>
          </w:rPr>
          <w:t>סע' 40ו</w:t>
        </w:r>
      </w:hyperlink>
      <w:r w:rsidRPr="000C0391">
        <w:rPr>
          <w:rFonts w:ascii="David" w:hAnsi="David"/>
          <w:rtl/>
        </w:rPr>
        <w:t xml:space="preserve"> לחוק] והן את הצורך בהרתעת הרבים מפני ביצוע עבירות מהסוג שביצע הנאשם [</w:t>
      </w:r>
      <w:hyperlink r:id="rId72" w:history="1">
        <w:r w:rsidR="0047505D" w:rsidRPr="0047505D">
          <w:rPr>
            <w:rStyle w:val="Hyperlink"/>
            <w:rFonts w:ascii="David" w:hAnsi="David"/>
            <w:b/>
            <w:bCs/>
            <w:rtl/>
          </w:rPr>
          <w:t>סע' 40ז</w:t>
        </w:r>
      </w:hyperlink>
      <w:r w:rsidRPr="000C0391">
        <w:rPr>
          <w:rFonts w:ascii="David" w:hAnsi="David"/>
          <w:b/>
          <w:bCs/>
          <w:rtl/>
        </w:rPr>
        <w:t xml:space="preserve"> </w:t>
      </w:r>
      <w:r w:rsidRPr="000C0391">
        <w:rPr>
          <w:rFonts w:ascii="David" w:hAnsi="David"/>
          <w:rtl/>
        </w:rPr>
        <w:t>לחוק]. יפים לעניין זה דבריו של בית המשפט העליון:</w:t>
      </w:r>
    </w:p>
    <w:p w14:paraId="768E8A26" w14:textId="77777777" w:rsidR="00B5602A" w:rsidRPr="000C0391" w:rsidRDefault="00B5602A" w:rsidP="00B5602A">
      <w:pPr>
        <w:pStyle w:val="Ruller4"/>
        <w:numPr>
          <w:ilvl w:val="0"/>
          <w:numId w:val="0"/>
        </w:numPr>
        <w:ind w:left="281" w:right="284"/>
        <w:rPr>
          <w:rFonts w:ascii="David" w:hAnsi="David" w:cs="David"/>
          <w:spacing w:val="0"/>
          <w:szCs w:val="24"/>
          <w:rtl/>
        </w:rPr>
      </w:pPr>
      <w:r w:rsidRPr="000C0391">
        <w:rPr>
          <w:rFonts w:ascii="David" w:hAnsi="David" w:cs="David"/>
          <w:b/>
          <w:bCs/>
          <w:spacing w:val="0"/>
          <w:szCs w:val="24"/>
          <w:rtl/>
        </w:rPr>
        <w:t>"בית משפט זה עמד לא אחת על הצורך במיגורן הנחרץ של עבירות הכוללות שימוש בנשק חם ליישוב סכסוכים...על עבירות אלה נקבע כי הן "מכת מדינה"...וכי יש לנקוט במדיניות ענישה מחמירה בעניינו של "מי שעושה שימוש בלתי חוקי בנשק התקפי"</w:t>
      </w:r>
      <w:r w:rsidRPr="000C0391">
        <w:rPr>
          <w:rFonts w:ascii="David" w:hAnsi="David" w:cs="David"/>
          <w:spacing w:val="0"/>
          <w:szCs w:val="24"/>
          <w:rtl/>
        </w:rPr>
        <w:t xml:space="preserve"> (</w:t>
      </w:r>
      <w:hyperlink r:id="rId73" w:history="1">
        <w:r w:rsidR="00A255A2" w:rsidRPr="00A255A2">
          <w:rPr>
            <w:rFonts w:ascii="David" w:hAnsi="David" w:cs="David"/>
            <w:color w:val="0000FF"/>
            <w:spacing w:val="0"/>
            <w:szCs w:val="24"/>
            <w:u w:val="single"/>
            <w:rtl/>
          </w:rPr>
          <w:t>ע"פ 3332/22</w:t>
        </w:r>
      </w:hyperlink>
      <w:r w:rsidRPr="000C0391">
        <w:rPr>
          <w:rFonts w:ascii="David" w:hAnsi="David" w:cs="David"/>
          <w:spacing w:val="0"/>
          <w:szCs w:val="24"/>
          <w:rtl/>
        </w:rPr>
        <w:t xml:space="preserve"> </w:t>
      </w:r>
      <w:r w:rsidRPr="000C0391">
        <w:rPr>
          <w:rFonts w:ascii="David" w:hAnsi="David" w:cs="David"/>
          <w:b/>
          <w:bCs/>
          <w:spacing w:val="0"/>
          <w:szCs w:val="24"/>
          <w:rtl/>
        </w:rPr>
        <w:t>קוואסמי</w:t>
      </w:r>
      <w:r w:rsidRPr="000C0391">
        <w:rPr>
          <w:rFonts w:ascii="David" w:hAnsi="David" w:cs="David"/>
          <w:spacing w:val="0"/>
          <w:szCs w:val="24"/>
          <w:rtl/>
        </w:rPr>
        <w:t xml:space="preserve">, </w:t>
      </w:r>
      <w:r w:rsidR="005D0099">
        <w:rPr>
          <w:rFonts w:ascii="David" w:hAnsi="David" w:cs="David"/>
          <w:spacing w:val="0"/>
          <w:szCs w:val="24"/>
          <w:rtl/>
        </w:rPr>
        <w:t>[נבו]</w:t>
      </w:r>
      <w:r w:rsidR="005D0099">
        <w:rPr>
          <w:rFonts w:ascii="David" w:hAnsi="David" w:cs="David" w:hint="cs"/>
          <w:spacing w:val="0"/>
          <w:szCs w:val="24"/>
          <w:rtl/>
        </w:rPr>
        <w:t xml:space="preserve"> </w:t>
      </w:r>
      <w:r w:rsidRPr="000C0391">
        <w:rPr>
          <w:rFonts w:ascii="David" w:hAnsi="David" w:cs="David"/>
          <w:spacing w:val="0"/>
          <w:szCs w:val="24"/>
          <w:rtl/>
        </w:rPr>
        <w:t>מיום 1.12.22, בסע' 16 לפסה"ד).</w:t>
      </w:r>
    </w:p>
    <w:p w14:paraId="5556D548" w14:textId="77777777" w:rsidR="00B5602A" w:rsidRPr="000C0391" w:rsidRDefault="00B5602A" w:rsidP="00B5602A">
      <w:pPr>
        <w:spacing w:line="360" w:lineRule="auto"/>
        <w:jc w:val="both"/>
        <w:rPr>
          <w:rFonts w:ascii="David" w:hAnsi="David"/>
          <w:rtl/>
        </w:rPr>
      </w:pPr>
    </w:p>
    <w:p w14:paraId="7F410032" w14:textId="77777777" w:rsidR="00B5602A" w:rsidRPr="000C0391" w:rsidRDefault="00B5602A" w:rsidP="00B5602A">
      <w:pPr>
        <w:spacing w:line="360" w:lineRule="auto"/>
        <w:jc w:val="both"/>
        <w:rPr>
          <w:rFonts w:ascii="David" w:hAnsi="David"/>
          <w:rtl/>
        </w:rPr>
      </w:pPr>
      <w:r w:rsidRPr="000C0391">
        <w:rPr>
          <w:rFonts w:ascii="David" w:hAnsi="David"/>
          <w:rtl/>
        </w:rPr>
        <w:t>וכן:</w:t>
      </w:r>
    </w:p>
    <w:p w14:paraId="7BB18495" w14:textId="77777777" w:rsidR="00B5602A" w:rsidRPr="000C0391" w:rsidRDefault="00B5602A" w:rsidP="00B5602A">
      <w:pPr>
        <w:spacing w:line="360" w:lineRule="auto"/>
        <w:jc w:val="both"/>
        <w:rPr>
          <w:rFonts w:ascii="David" w:hAnsi="David"/>
          <w:rtl/>
        </w:rPr>
      </w:pPr>
    </w:p>
    <w:p w14:paraId="6438433C" w14:textId="77777777" w:rsidR="00B5602A" w:rsidRPr="000C0391" w:rsidRDefault="00B5602A" w:rsidP="00B5602A">
      <w:pPr>
        <w:spacing w:line="360" w:lineRule="auto"/>
        <w:jc w:val="both"/>
        <w:rPr>
          <w:rFonts w:ascii="David" w:hAnsi="David"/>
          <w:rtl/>
        </w:rPr>
      </w:pPr>
      <w:r w:rsidRPr="000C0391">
        <w:rPr>
          <w:rFonts w:ascii="David" w:hAnsi="David"/>
          <w:b/>
          <w:bCs/>
          <w:rtl/>
        </w:rPr>
        <w:t xml:space="preserve">"השימוש הנפוץ בנשק חם ככלי ליישוב סכסוכים תוך נטילת החוק לידי מבצע העבירה; הסיכון הנשקף משימוש בנשק כלפי הציבור כולו, וקורבן העבירה בפרט; והמחירים החברתיים הרבים הנלווים למעשים אלו – בין היתר בשל הפגיעה בתחושת הביטחון הכרוכה בהם – מחייבים ענישה מוחשית ומרתיעה כלפי עבירות הכוללות שימוש בנשק חם כאמצעי ליישוב סכסוכים, במטרה לצמצם תופעה נפסדת זו" </w:t>
      </w:r>
      <w:r w:rsidRPr="000C0391">
        <w:rPr>
          <w:rFonts w:ascii="David" w:hAnsi="David"/>
          <w:rtl/>
        </w:rPr>
        <w:t>(</w:t>
      </w:r>
      <w:hyperlink r:id="rId74" w:history="1">
        <w:r w:rsidR="00A255A2" w:rsidRPr="00A255A2">
          <w:rPr>
            <w:rFonts w:ascii="David" w:hAnsi="David"/>
            <w:color w:val="0000FF"/>
            <w:u w:val="single"/>
            <w:rtl/>
          </w:rPr>
          <w:t>ע"פ 9104/20</w:t>
        </w:r>
      </w:hyperlink>
      <w:r w:rsidRPr="000C0391">
        <w:rPr>
          <w:rFonts w:ascii="David" w:hAnsi="David"/>
          <w:rtl/>
        </w:rPr>
        <w:t xml:space="preserve"> </w:t>
      </w:r>
      <w:r w:rsidRPr="000C0391">
        <w:rPr>
          <w:rFonts w:ascii="David" w:hAnsi="David"/>
          <w:b/>
          <w:bCs/>
          <w:rtl/>
        </w:rPr>
        <w:t>טבצ'ניקוב</w:t>
      </w:r>
      <w:r w:rsidRPr="000C0391">
        <w:rPr>
          <w:rFonts w:ascii="David" w:hAnsi="David"/>
          <w:rtl/>
        </w:rPr>
        <w:t xml:space="preserve">, </w:t>
      </w:r>
      <w:r w:rsidR="005D0099">
        <w:rPr>
          <w:rFonts w:ascii="David" w:hAnsi="David"/>
          <w:rtl/>
        </w:rPr>
        <w:t>[נבו]</w:t>
      </w:r>
      <w:r w:rsidR="005D0099">
        <w:rPr>
          <w:rFonts w:ascii="David" w:hAnsi="David" w:hint="cs"/>
          <w:rtl/>
        </w:rPr>
        <w:t xml:space="preserve"> </w:t>
      </w:r>
      <w:r w:rsidRPr="000C0391">
        <w:rPr>
          <w:rFonts w:ascii="David" w:hAnsi="David"/>
          <w:rtl/>
        </w:rPr>
        <w:t xml:space="preserve">מיום </w:t>
      </w:r>
      <w:r w:rsidRPr="000C0391">
        <w:rPr>
          <w:rFonts w:ascii="David" w:hAnsi="David"/>
        </w:rPr>
        <w:t>4.3.21</w:t>
      </w:r>
      <w:r w:rsidRPr="000C0391">
        <w:rPr>
          <w:rFonts w:ascii="David" w:hAnsi="David"/>
          <w:rtl/>
        </w:rPr>
        <w:t>, בסע' 14 לפסה"ד).</w:t>
      </w:r>
    </w:p>
    <w:p w14:paraId="5D783F6B" w14:textId="77777777" w:rsidR="00B5602A" w:rsidRPr="000C0391" w:rsidRDefault="00B5602A" w:rsidP="00B5602A">
      <w:pPr>
        <w:spacing w:line="360" w:lineRule="auto"/>
        <w:jc w:val="both"/>
        <w:rPr>
          <w:rFonts w:ascii="David" w:hAnsi="David"/>
          <w:b/>
          <w:bCs/>
          <w:u w:val="single"/>
          <w:rtl/>
        </w:rPr>
      </w:pPr>
    </w:p>
    <w:p w14:paraId="6925D7EA" w14:textId="77777777" w:rsidR="00B5602A" w:rsidRPr="000C0391" w:rsidRDefault="00B5602A" w:rsidP="00B5602A">
      <w:pPr>
        <w:spacing w:line="360" w:lineRule="auto"/>
        <w:jc w:val="both"/>
        <w:rPr>
          <w:rFonts w:ascii="David" w:hAnsi="David"/>
          <w:rtl/>
        </w:rPr>
      </w:pPr>
      <w:r w:rsidRPr="000C0391">
        <w:rPr>
          <w:rFonts w:ascii="David" w:hAnsi="David"/>
          <w:b/>
          <w:bCs/>
          <w:u w:val="single"/>
          <w:rtl/>
        </w:rPr>
        <w:t>אי חריגה ממתחם העונש ההולם</w:t>
      </w:r>
      <w:r w:rsidRPr="000C0391">
        <w:rPr>
          <w:rFonts w:ascii="David" w:hAnsi="David"/>
          <w:u w:val="single"/>
          <w:rtl/>
        </w:rPr>
        <w:t>:</w:t>
      </w:r>
      <w:r w:rsidRPr="000C0391">
        <w:rPr>
          <w:rFonts w:ascii="David" w:hAnsi="David"/>
          <w:rtl/>
        </w:rPr>
        <w:t xml:space="preserve"> בנסיבות תיק זה, לא מצאתי הצדקה לחרוג ממתחם העונש ההולם לחומרא [</w:t>
      </w:r>
      <w:hyperlink r:id="rId75" w:history="1">
        <w:r w:rsidR="0047505D" w:rsidRPr="0047505D">
          <w:rPr>
            <w:rStyle w:val="Hyperlink"/>
            <w:rFonts w:ascii="David" w:hAnsi="David"/>
            <w:rtl/>
          </w:rPr>
          <w:t>סע' 40ה</w:t>
        </w:r>
      </w:hyperlink>
      <w:r w:rsidRPr="000C0391">
        <w:rPr>
          <w:rFonts w:ascii="David" w:hAnsi="David"/>
          <w:rtl/>
        </w:rPr>
        <w:t xml:space="preserve"> לחוק] או לקולא [</w:t>
      </w:r>
      <w:hyperlink r:id="rId76" w:history="1">
        <w:r w:rsidR="0047505D" w:rsidRPr="0047505D">
          <w:rPr>
            <w:rStyle w:val="Hyperlink"/>
            <w:rFonts w:ascii="David" w:hAnsi="David"/>
            <w:rtl/>
          </w:rPr>
          <w:t>סע' 40ד</w:t>
        </w:r>
      </w:hyperlink>
      <w:r w:rsidRPr="000C0391">
        <w:rPr>
          <w:rFonts w:ascii="David" w:hAnsi="David"/>
          <w:rtl/>
        </w:rPr>
        <w:t xml:space="preserve"> לחוק].</w:t>
      </w:r>
    </w:p>
    <w:p w14:paraId="6BD9295C" w14:textId="77777777" w:rsidR="00B5602A" w:rsidRPr="000C0391" w:rsidRDefault="00B5602A" w:rsidP="00B5602A">
      <w:pPr>
        <w:spacing w:line="360" w:lineRule="auto"/>
        <w:jc w:val="both"/>
        <w:rPr>
          <w:rFonts w:ascii="David" w:hAnsi="David"/>
          <w:rtl/>
        </w:rPr>
      </w:pPr>
    </w:p>
    <w:p w14:paraId="0514AA35" w14:textId="77777777" w:rsidR="00B5602A" w:rsidRPr="000C0391" w:rsidRDefault="00B5602A" w:rsidP="00B5602A">
      <w:pPr>
        <w:spacing w:line="360" w:lineRule="auto"/>
        <w:jc w:val="both"/>
        <w:rPr>
          <w:rFonts w:ascii="David" w:hAnsi="David"/>
          <w:color w:val="FF0000"/>
          <w:rtl/>
        </w:rPr>
      </w:pPr>
      <w:r w:rsidRPr="000C0391">
        <w:rPr>
          <w:rFonts w:ascii="David" w:hAnsi="David"/>
          <w:b/>
          <w:bCs/>
          <w:u w:val="single"/>
          <w:rtl/>
        </w:rPr>
        <w:t>על כן</w:t>
      </w:r>
      <w:r w:rsidRPr="000C0391">
        <w:rPr>
          <w:rFonts w:ascii="David" w:hAnsi="David"/>
          <w:u w:val="single"/>
          <w:rtl/>
        </w:rPr>
        <w:t>:</w:t>
      </w:r>
      <w:r w:rsidRPr="000C0391">
        <w:rPr>
          <w:rFonts w:ascii="David" w:hAnsi="David"/>
          <w:rtl/>
        </w:rPr>
        <w:t xml:space="preserve"> לאור כל האמור והמפורט לעיל, לרבות – </w:t>
      </w:r>
      <w:r w:rsidRPr="000C0391">
        <w:rPr>
          <w:rFonts w:ascii="David" w:hAnsi="David"/>
          <w:b/>
          <w:bCs/>
          <w:rtl/>
        </w:rPr>
        <w:t>הטעמים לחומרא</w:t>
      </w:r>
      <w:r w:rsidRPr="000C0391">
        <w:rPr>
          <w:rFonts w:ascii="David" w:hAnsi="David"/>
          <w:rtl/>
        </w:rPr>
        <w:t>: העובדות שבכתב האישום המתוקן שבהן</w:t>
      </w:r>
      <w:r>
        <w:rPr>
          <w:rFonts w:ascii="David" w:hAnsi="David"/>
          <w:rtl/>
        </w:rPr>
        <w:t xml:space="preserve"> הודה הנאשם והעבירות שבהן הורשע</w:t>
      </w:r>
      <w:r w:rsidRPr="000C0391">
        <w:rPr>
          <w:rFonts w:ascii="David" w:hAnsi="David"/>
          <w:rtl/>
        </w:rPr>
        <w:t>;</w:t>
      </w:r>
      <w:r w:rsidRPr="000C0391">
        <w:rPr>
          <w:rFonts w:ascii="David" w:hAnsi="David"/>
          <w:color w:val="FF0000"/>
          <w:rtl/>
        </w:rPr>
        <w:t xml:space="preserve"> </w:t>
      </w:r>
      <w:r w:rsidRPr="000C0391">
        <w:rPr>
          <w:rFonts w:ascii="David" w:hAnsi="David"/>
          <w:rtl/>
        </w:rPr>
        <w:t>הערכים החברתיים שנפגעו מביצוע העבירות שביצע הנאשם והפגיעה הקשה בערכים אלה; הנסיבות הקשורות בביצוע העבירות כפי שפורטו לעיל</w:t>
      </w:r>
      <w:r>
        <w:rPr>
          <w:rFonts w:ascii="David" w:hAnsi="David" w:hint="cs"/>
          <w:rtl/>
        </w:rPr>
        <w:t xml:space="preserve"> לרבות פצעי הירי והחבלות החמורות שנגרמו למתלונן</w:t>
      </w:r>
      <w:r w:rsidRPr="000C0391">
        <w:rPr>
          <w:rFonts w:ascii="David" w:hAnsi="David"/>
          <w:rtl/>
        </w:rPr>
        <w:t xml:space="preserve">; </w:t>
      </w:r>
      <w:r>
        <w:rPr>
          <w:rFonts w:ascii="David" w:hAnsi="David" w:hint="cs"/>
          <w:rtl/>
        </w:rPr>
        <w:t xml:space="preserve">הנאשם הורשע בכמה עבירות; </w:t>
      </w:r>
      <w:r w:rsidRPr="000C0391">
        <w:rPr>
          <w:rFonts w:ascii="David" w:hAnsi="David"/>
          <w:rtl/>
        </w:rPr>
        <w:t xml:space="preserve">העובדה כי העבירות בוצעו באזור מגורים, </w:t>
      </w:r>
      <w:r>
        <w:rPr>
          <w:rFonts w:ascii="David" w:hAnsi="David" w:hint="cs"/>
          <w:rtl/>
        </w:rPr>
        <w:t>כש</w:t>
      </w:r>
      <w:r w:rsidRPr="000C0391">
        <w:rPr>
          <w:rFonts w:ascii="David" w:hAnsi="David"/>
          <w:rtl/>
        </w:rPr>
        <w:t>הנוכחים במגרש הכדורגל, בהם ילדים, נסו על נפשם וחיפשו מקום מסתור מהירי</w:t>
      </w:r>
      <w:r>
        <w:rPr>
          <w:rFonts w:ascii="David" w:hAnsi="David" w:hint="cs"/>
          <w:rtl/>
        </w:rPr>
        <w:t>;</w:t>
      </w:r>
      <w:r w:rsidRPr="000C0391">
        <w:rPr>
          <w:rFonts w:ascii="David" w:hAnsi="David"/>
          <w:rtl/>
        </w:rPr>
        <w:t xml:space="preserve"> החשיבות שבהרתעת הרבים מביצוע מעשים דומים לרבות הרתעת הנאשם מב</w:t>
      </w:r>
      <w:r>
        <w:rPr>
          <w:rFonts w:ascii="David" w:hAnsi="David"/>
          <w:rtl/>
        </w:rPr>
        <w:t>יצוע עבירות דומות בעתיד</w:t>
      </w:r>
      <w:r w:rsidRPr="000C0391">
        <w:rPr>
          <w:rFonts w:ascii="David" w:hAnsi="David"/>
          <w:rtl/>
        </w:rPr>
        <w:t xml:space="preserve">; ומנגד, </w:t>
      </w:r>
      <w:r w:rsidRPr="000C0391">
        <w:rPr>
          <w:rFonts w:ascii="David" w:hAnsi="David"/>
          <w:b/>
          <w:bCs/>
          <w:rtl/>
        </w:rPr>
        <w:t>הטעמים לקולא</w:t>
      </w:r>
      <w:r w:rsidRPr="000C0391">
        <w:rPr>
          <w:rFonts w:ascii="David" w:hAnsi="David"/>
          <w:rtl/>
        </w:rPr>
        <w:t xml:space="preserve">, ובהם: נטילת האחריות של הנאשם על מעשיו – שהודה בעובדות כתב האישום המתוקן במסגרת הסדר טיעון וחסך את </w:t>
      </w:r>
      <w:r>
        <w:rPr>
          <w:rFonts w:ascii="David" w:hAnsi="David" w:hint="cs"/>
          <w:rtl/>
        </w:rPr>
        <w:t xml:space="preserve">ניהול </w:t>
      </w:r>
      <w:r w:rsidRPr="000C0391">
        <w:rPr>
          <w:rFonts w:ascii="David" w:hAnsi="David"/>
          <w:rtl/>
        </w:rPr>
        <w:t>המשפט</w:t>
      </w:r>
      <w:r>
        <w:rPr>
          <w:rFonts w:ascii="David" w:hAnsi="David" w:hint="cs"/>
          <w:rtl/>
        </w:rPr>
        <w:t xml:space="preserve"> בשמיעת ראיות</w:t>
      </w:r>
      <w:r w:rsidRPr="000C0391">
        <w:rPr>
          <w:rFonts w:ascii="David" w:hAnsi="David"/>
          <w:rtl/>
        </w:rPr>
        <w:t xml:space="preserve">; </w:t>
      </w:r>
      <w:r>
        <w:rPr>
          <w:rFonts w:ascii="David" w:hAnsi="David" w:hint="cs"/>
          <w:rtl/>
        </w:rPr>
        <w:t xml:space="preserve">הנאשם או האחר ירו במתלונן; נסיבותיו האישיות של הנאשם; היות הנאשם נתון במעצר בבית מעצר מזה כמעט 3 שנים; עברו הפלילי של הנאשם יחסית אינו מכביד, כמפורט לעיל; </w:t>
      </w:r>
      <w:r w:rsidRPr="000C0391">
        <w:rPr>
          <w:rFonts w:ascii="David" w:hAnsi="David"/>
          <w:rtl/>
        </w:rPr>
        <w:t>השיקולים להם טענו ב"כ הצדדים בטיעוניהם לעונש; מדיניות הענישה במקרים דומים כפי שפורטו לעיל תוך השוואה והאבחנה לעבירות שבי</w:t>
      </w:r>
      <w:r>
        <w:rPr>
          <w:rFonts w:ascii="David" w:hAnsi="David"/>
          <w:rtl/>
        </w:rPr>
        <w:t>צע הנאשם בתיק זה בנסיבות ביצוען</w:t>
      </w:r>
      <w:r w:rsidRPr="000C0391">
        <w:rPr>
          <w:rFonts w:ascii="David" w:hAnsi="David"/>
          <w:rtl/>
        </w:rPr>
        <w:t xml:space="preserve">– לאור כל אלה </w:t>
      </w:r>
      <w:r w:rsidRPr="000C0391">
        <w:rPr>
          <w:rFonts w:ascii="David" w:hAnsi="David"/>
          <w:b/>
          <w:bCs/>
          <w:rtl/>
        </w:rPr>
        <w:t>אציע לחברותיי להטיל על הנאשם, אחמד אלעביד, את העונשים הבאים</w:t>
      </w:r>
      <w:r w:rsidRPr="000C0391">
        <w:rPr>
          <w:rFonts w:ascii="David" w:hAnsi="David"/>
          <w:rtl/>
        </w:rPr>
        <w:t>:</w:t>
      </w:r>
    </w:p>
    <w:p w14:paraId="04D2696E" w14:textId="77777777" w:rsidR="00B5602A" w:rsidRPr="000C0391" w:rsidRDefault="00B5602A" w:rsidP="00B5602A">
      <w:pPr>
        <w:pStyle w:val="ListParagraph"/>
        <w:numPr>
          <w:ilvl w:val="0"/>
          <w:numId w:val="3"/>
        </w:numPr>
        <w:spacing w:line="360" w:lineRule="auto"/>
        <w:ind w:left="595" w:hanging="425"/>
        <w:jc w:val="both"/>
        <w:rPr>
          <w:rFonts w:ascii="David" w:hAnsi="David"/>
          <w:b/>
          <w:bCs/>
          <w:rtl/>
        </w:rPr>
      </w:pPr>
      <w:r w:rsidRPr="000C0391">
        <w:rPr>
          <w:rFonts w:ascii="David" w:hAnsi="David"/>
          <w:b/>
          <w:bCs/>
          <w:rtl/>
        </w:rPr>
        <w:t>8 (שמונה) שנות מאסר בפועל, שיימנו מיום מעצרו – 23.10.21.</w:t>
      </w:r>
    </w:p>
    <w:p w14:paraId="172360F4" w14:textId="77777777" w:rsidR="00B5602A" w:rsidRPr="000C0391" w:rsidRDefault="00B5602A" w:rsidP="00B5602A">
      <w:pPr>
        <w:pStyle w:val="ListParagraph"/>
        <w:numPr>
          <w:ilvl w:val="0"/>
          <w:numId w:val="3"/>
        </w:numPr>
        <w:spacing w:line="360" w:lineRule="auto"/>
        <w:ind w:left="595" w:hanging="425"/>
        <w:jc w:val="both"/>
        <w:rPr>
          <w:rFonts w:ascii="David" w:hAnsi="David"/>
        </w:rPr>
      </w:pPr>
      <w:r w:rsidRPr="000C0391">
        <w:rPr>
          <w:rFonts w:ascii="David" w:hAnsi="David"/>
          <w:rtl/>
        </w:rPr>
        <w:t>12 חודשי מאסר על תנאי שבמשך 3 שנים מיום שחרורו ממאסרו לא יעבור הנאשם עבירה של אלימות פיזית נגד הגוף מסוג פשע או עבירת נשק מסוג פשע, והכל לרבות ניסיון.</w:t>
      </w:r>
    </w:p>
    <w:p w14:paraId="434B28C3" w14:textId="77777777" w:rsidR="00B5602A" w:rsidRPr="000C0391" w:rsidRDefault="00B5602A" w:rsidP="00B5602A">
      <w:pPr>
        <w:pStyle w:val="ListParagraph"/>
        <w:numPr>
          <w:ilvl w:val="0"/>
          <w:numId w:val="3"/>
        </w:numPr>
        <w:spacing w:line="360" w:lineRule="auto"/>
        <w:ind w:left="595" w:hanging="425"/>
        <w:jc w:val="both"/>
        <w:rPr>
          <w:rFonts w:ascii="David" w:hAnsi="David"/>
        </w:rPr>
      </w:pPr>
      <w:r w:rsidRPr="000C0391">
        <w:rPr>
          <w:rFonts w:ascii="David" w:hAnsi="David"/>
          <w:rtl/>
        </w:rPr>
        <w:t>6 חודשי מאסר על תנאי שבמשך 3 שנים מיום שחרורו ממאסרו לא יעבור הנאשם עבירה של אלימות פיזית נגד הגוף מסוג עוון או עבירת נשק מסוג עוון, והכל לרבות ניסיון.</w:t>
      </w:r>
    </w:p>
    <w:p w14:paraId="35679C8E" w14:textId="77777777" w:rsidR="00B5602A" w:rsidRPr="000C0391" w:rsidRDefault="00B5602A" w:rsidP="00B5602A">
      <w:pPr>
        <w:pStyle w:val="ListParagraph"/>
        <w:numPr>
          <w:ilvl w:val="0"/>
          <w:numId w:val="3"/>
        </w:numPr>
        <w:spacing w:line="360" w:lineRule="auto"/>
        <w:ind w:left="595" w:hanging="425"/>
        <w:jc w:val="both"/>
        <w:rPr>
          <w:rFonts w:ascii="David" w:hAnsi="David"/>
        </w:rPr>
      </w:pPr>
      <w:r w:rsidRPr="000C0391">
        <w:rPr>
          <w:rFonts w:ascii="David" w:hAnsi="David"/>
          <w:rtl/>
        </w:rPr>
        <w:t xml:space="preserve">הנאשם ישלם למתלונן פיצוי בסך של 50,000 ₪. </w:t>
      </w:r>
    </w:p>
    <w:p w14:paraId="62EDB3A6" w14:textId="77777777" w:rsidR="00B5602A" w:rsidRPr="001B32CC" w:rsidRDefault="00B5602A" w:rsidP="00B5602A">
      <w:pPr>
        <w:pStyle w:val="ListParagraph"/>
        <w:spacing w:line="360" w:lineRule="auto"/>
        <w:ind w:left="595"/>
        <w:jc w:val="both"/>
        <w:rPr>
          <w:rFonts w:ascii="David" w:hAnsi="David"/>
        </w:rPr>
      </w:pPr>
      <w:r w:rsidRPr="000C0391">
        <w:rPr>
          <w:rFonts w:ascii="David" w:hAnsi="David"/>
          <w:rtl/>
        </w:rPr>
        <w:t>הנאשם ישלם סכום זה על ידי הפקדתו בקופת בית המשפט עבור המתלונן ב – 20 תשלומים חודשיים, רצופים ושווים, כאשר התשלום הראשון ישולם לא יאוחר מיום 1.12.24, ושאר התשלומים יופקדו כאמור לא יאוחר מכל ראשון לחודש שלאחר מכן. לא יופקד כל תשלום מסכום הפיצוי האמור במלואו ובמועדו, הרי שמלוא סכום הפיצוי יעמוד לפירעון מיידי ויישא הפרשי הצמדה וריבית כחוק מהיום שבו אמור היה הנאשם לשלמו, ועד למועד תשלומו המלא בפועל</w:t>
      </w:r>
      <w:r w:rsidRPr="000C0391">
        <w:rPr>
          <w:rFonts w:ascii="David" w:hAnsi="David"/>
        </w:rPr>
        <w:t>.</w:t>
      </w:r>
    </w:p>
    <w:p w14:paraId="5411CCC2" w14:textId="77777777" w:rsidR="00B5602A" w:rsidRDefault="00B5602A" w:rsidP="00B5602A">
      <w:pPr>
        <w:spacing w:line="360" w:lineRule="auto"/>
        <w:jc w:val="both"/>
        <w:rPr>
          <w:rtl/>
        </w:rPr>
      </w:pPr>
    </w:p>
    <w:p w14:paraId="49E90611" w14:textId="77777777" w:rsidR="00B5602A" w:rsidRDefault="00B5602A" w:rsidP="00B5602A">
      <w:pPr>
        <w:spacing w:line="360" w:lineRule="auto"/>
        <w:jc w:val="both"/>
        <w:rPr>
          <w:rFonts w:ascii="David" w:hAnsi="David"/>
          <w:noProof/>
          <w:rtl/>
        </w:rPr>
      </w:pPr>
    </w:p>
    <w:tbl>
      <w:tblPr>
        <w:bidiVisual/>
        <w:tblW w:w="0" w:type="auto"/>
        <w:jc w:val="right"/>
        <w:tblLook w:val="01E0" w:firstRow="1" w:lastRow="1" w:firstColumn="1" w:lastColumn="1" w:noHBand="0" w:noVBand="0"/>
      </w:tblPr>
      <w:tblGrid>
        <w:gridCol w:w="2298"/>
      </w:tblGrid>
      <w:tr w:rsidR="00B5602A" w14:paraId="1A0B471A" w14:textId="77777777" w:rsidTr="00B5602A">
        <w:trPr>
          <w:trHeight w:val="384"/>
          <w:jc w:val="right"/>
        </w:trPr>
        <w:tc>
          <w:tcPr>
            <w:tcW w:w="2298" w:type="dxa"/>
            <w:tcBorders>
              <w:top w:val="single" w:sz="4" w:space="0" w:color="auto"/>
              <w:left w:val="nil"/>
              <w:bottom w:val="nil"/>
              <w:right w:val="nil"/>
            </w:tcBorders>
            <w:shd w:val="clear" w:color="auto" w:fill="auto"/>
            <w:vAlign w:val="bottom"/>
          </w:tcPr>
          <w:p w14:paraId="0B9AA0FB" w14:textId="77777777" w:rsidR="00B5602A" w:rsidRPr="00B5602A" w:rsidRDefault="00B5602A" w:rsidP="00B5602A">
            <w:pPr>
              <w:jc w:val="center"/>
              <w:rPr>
                <w:rFonts w:ascii="Calibri" w:hAnsi="Calibri"/>
                <w:b/>
                <w:bCs/>
              </w:rPr>
            </w:pPr>
            <w:r w:rsidRPr="00B5602A">
              <w:rPr>
                <w:rFonts w:ascii="Calibri" w:hAnsi="Calibri"/>
                <w:b/>
                <w:bCs/>
                <w:rtl/>
              </w:rPr>
              <w:t xml:space="preserve">השופט גלעד נויטל, </w:t>
            </w:r>
          </w:p>
          <w:p w14:paraId="461E78C0" w14:textId="77777777" w:rsidR="00B5602A" w:rsidRPr="00B5602A" w:rsidRDefault="00B5602A" w:rsidP="00B5602A">
            <w:pPr>
              <w:jc w:val="center"/>
              <w:rPr>
                <w:b/>
                <w:bCs/>
                <w:rtl/>
              </w:rPr>
            </w:pPr>
            <w:r w:rsidRPr="00B5602A">
              <w:rPr>
                <w:rFonts w:ascii="Calibri" w:hAnsi="Calibri"/>
                <w:b/>
                <w:bCs/>
                <w:rtl/>
              </w:rPr>
              <w:t>נשיא, אב"ד</w:t>
            </w:r>
          </w:p>
        </w:tc>
      </w:tr>
    </w:tbl>
    <w:p w14:paraId="3DB372C2" w14:textId="77777777" w:rsidR="00B5602A" w:rsidRDefault="00B5602A" w:rsidP="00B5602A">
      <w:pPr>
        <w:spacing w:line="360" w:lineRule="auto"/>
        <w:rPr>
          <w:b/>
          <w:bCs/>
          <w:noProof/>
          <w:sz w:val="28"/>
          <w:szCs w:val="28"/>
          <w:u w:val="single"/>
          <w:rtl/>
        </w:rPr>
      </w:pPr>
    </w:p>
    <w:p w14:paraId="28464CCD" w14:textId="77777777" w:rsidR="00B5602A" w:rsidRDefault="00B5602A" w:rsidP="00B5602A">
      <w:pPr>
        <w:spacing w:line="360" w:lineRule="auto"/>
        <w:rPr>
          <w:b/>
          <w:bCs/>
          <w:sz w:val="28"/>
          <w:szCs w:val="28"/>
          <w:u w:val="single"/>
          <w:rtl/>
        </w:rPr>
      </w:pPr>
    </w:p>
    <w:p w14:paraId="2BFD2386" w14:textId="77777777" w:rsidR="00B5602A" w:rsidRDefault="00B5602A" w:rsidP="00B5602A">
      <w:pPr>
        <w:spacing w:line="360" w:lineRule="auto"/>
        <w:rPr>
          <w:b/>
          <w:bCs/>
          <w:sz w:val="28"/>
          <w:szCs w:val="28"/>
          <w:u w:val="single"/>
          <w:rtl/>
        </w:rPr>
      </w:pPr>
      <w:r>
        <w:rPr>
          <w:b/>
          <w:bCs/>
          <w:sz w:val="28"/>
          <w:szCs w:val="28"/>
          <w:u w:val="single"/>
          <w:rtl/>
        </w:rPr>
        <w:t>השופטת טלי חיימוביץ:</w:t>
      </w:r>
    </w:p>
    <w:p w14:paraId="2948975C" w14:textId="77777777" w:rsidR="00B5602A" w:rsidRDefault="00B5602A" w:rsidP="00B5602A">
      <w:pPr>
        <w:spacing w:line="360" w:lineRule="auto"/>
        <w:rPr>
          <w:b/>
          <w:bCs/>
          <w:sz w:val="28"/>
          <w:szCs w:val="28"/>
          <w:u w:val="single"/>
          <w:rtl/>
        </w:rPr>
      </w:pPr>
    </w:p>
    <w:p w14:paraId="60E3696E" w14:textId="77777777" w:rsidR="00B5602A" w:rsidRDefault="00B5602A" w:rsidP="00B5602A">
      <w:pPr>
        <w:spacing w:line="360" w:lineRule="auto"/>
        <w:rPr>
          <w:rtl/>
        </w:rPr>
      </w:pPr>
      <w:r>
        <w:rPr>
          <w:rtl/>
        </w:rPr>
        <w:t>אני מסכימה.</w:t>
      </w:r>
    </w:p>
    <w:p w14:paraId="0F5085F8" w14:textId="77777777" w:rsidR="00B5602A" w:rsidRDefault="00B5602A" w:rsidP="00B5602A">
      <w:pPr>
        <w:spacing w:line="360" w:lineRule="auto"/>
        <w:rPr>
          <w:rtl/>
        </w:rPr>
      </w:pPr>
    </w:p>
    <w:p w14:paraId="1F3028E1" w14:textId="77777777" w:rsidR="00B5602A" w:rsidRPr="00B5602A" w:rsidRDefault="00B5602A" w:rsidP="00B5602A">
      <w:pPr>
        <w:spacing w:after="160" w:line="252" w:lineRule="auto"/>
        <w:rPr>
          <w:rFonts w:ascii="Calibri" w:hAnsi="Calibri" w:cs="Arial"/>
          <w:sz w:val="22"/>
          <w:szCs w:val="22"/>
          <w:rtl/>
        </w:rPr>
      </w:pPr>
    </w:p>
    <w:tbl>
      <w:tblPr>
        <w:bidiVisual/>
        <w:tblW w:w="0" w:type="auto"/>
        <w:jc w:val="right"/>
        <w:tblLook w:val="01E0" w:firstRow="1" w:lastRow="1" w:firstColumn="1" w:lastColumn="1" w:noHBand="0" w:noVBand="0"/>
      </w:tblPr>
      <w:tblGrid>
        <w:gridCol w:w="2315"/>
      </w:tblGrid>
      <w:tr w:rsidR="00B5602A" w14:paraId="411177D1" w14:textId="77777777" w:rsidTr="00B5602A">
        <w:trPr>
          <w:jc w:val="right"/>
        </w:trPr>
        <w:tc>
          <w:tcPr>
            <w:tcW w:w="2315" w:type="dxa"/>
            <w:tcBorders>
              <w:top w:val="nil"/>
              <w:left w:val="nil"/>
              <w:bottom w:val="single" w:sz="4" w:space="0" w:color="auto"/>
              <w:right w:val="nil"/>
            </w:tcBorders>
            <w:shd w:val="clear" w:color="auto" w:fill="auto"/>
            <w:vAlign w:val="center"/>
          </w:tcPr>
          <w:p w14:paraId="159CF28B" w14:textId="77777777" w:rsidR="00B5602A" w:rsidRPr="00B5602A" w:rsidRDefault="00B5602A" w:rsidP="002F76DF">
            <w:pPr>
              <w:rPr>
                <w:rFonts w:ascii="Courier New" w:hAnsi="Courier New"/>
                <w:b/>
                <w:bCs/>
                <w:sz w:val="20"/>
                <w:szCs w:val="20"/>
                <w:lang w:eastAsia="he-IL"/>
              </w:rPr>
            </w:pPr>
          </w:p>
        </w:tc>
      </w:tr>
      <w:tr w:rsidR="00B5602A" w14:paraId="4CE721D9" w14:textId="77777777" w:rsidTr="00B5602A">
        <w:trPr>
          <w:jc w:val="right"/>
        </w:trPr>
        <w:tc>
          <w:tcPr>
            <w:tcW w:w="2315" w:type="dxa"/>
            <w:tcBorders>
              <w:top w:val="single" w:sz="4" w:space="0" w:color="auto"/>
              <w:left w:val="nil"/>
              <w:bottom w:val="nil"/>
              <w:right w:val="nil"/>
            </w:tcBorders>
            <w:shd w:val="clear" w:color="auto" w:fill="auto"/>
          </w:tcPr>
          <w:p w14:paraId="562E650A" w14:textId="77777777" w:rsidR="00B5602A" w:rsidRPr="00B5602A" w:rsidRDefault="00B5602A" w:rsidP="002F76DF">
            <w:pPr>
              <w:rPr>
                <w:rFonts w:ascii="Courier New" w:hAnsi="Courier New"/>
                <w:b/>
                <w:bCs/>
                <w:rtl/>
                <w:lang w:eastAsia="he-IL"/>
              </w:rPr>
            </w:pPr>
            <w:r w:rsidRPr="00B5602A">
              <w:rPr>
                <w:rFonts w:ascii="Courier New" w:hAnsi="Courier New"/>
                <w:b/>
                <w:bCs/>
                <w:rtl/>
                <w:lang w:eastAsia="he-IL"/>
              </w:rPr>
              <w:t>טלי חיימוביץ, שופטת</w:t>
            </w:r>
          </w:p>
        </w:tc>
      </w:tr>
    </w:tbl>
    <w:p w14:paraId="5A0A6D47" w14:textId="77777777" w:rsidR="00B5602A" w:rsidRDefault="00B5602A" w:rsidP="00B5602A">
      <w:pPr>
        <w:spacing w:line="360" w:lineRule="auto"/>
        <w:rPr>
          <w:b/>
          <w:bCs/>
          <w:sz w:val="28"/>
          <w:szCs w:val="28"/>
          <w:u w:val="single"/>
          <w:rtl/>
        </w:rPr>
      </w:pPr>
    </w:p>
    <w:p w14:paraId="5D0F28C3" w14:textId="77777777" w:rsidR="00B5602A" w:rsidRDefault="00B5602A" w:rsidP="00B5602A">
      <w:pPr>
        <w:spacing w:line="360" w:lineRule="auto"/>
        <w:rPr>
          <w:b/>
          <w:bCs/>
          <w:sz w:val="28"/>
          <w:szCs w:val="28"/>
          <w:u w:val="single"/>
          <w:rtl/>
        </w:rPr>
      </w:pPr>
    </w:p>
    <w:p w14:paraId="299BB73A" w14:textId="77777777" w:rsidR="00B5602A" w:rsidRDefault="00B5602A" w:rsidP="00B5602A">
      <w:pPr>
        <w:spacing w:line="360" w:lineRule="auto"/>
        <w:rPr>
          <w:b/>
          <w:bCs/>
          <w:sz w:val="28"/>
          <w:szCs w:val="28"/>
          <w:u w:val="single"/>
          <w:rtl/>
        </w:rPr>
      </w:pPr>
      <w:r>
        <w:rPr>
          <w:b/>
          <w:bCs/>
          <w:sz w:val="28"/>
          <w:szCs w:val="28"/>
          <w:u w:val="single"/>
          <w:rtl/>
        </w:rPr>
        <w:t>השופטת לימור ביבי:</w:t>
      </w:r>
    </w:p>
    <w:p w14:paraId="55D1059C" w14:textId="77777777" w:rsidR="00B5602A" w:rsidRDefault="00B5602A" w:rsidP="00B5602A">
      <w:pPr>
        <w:spacing w:line="360" w:lineRule="auto"/>
        <w:rPr>
          <w:rtl/>
        </w:rPr>
      </w:pPr>
    </w:p>
    <w:p w14:paraId="4ED10DD5" w14:textId="77777777" w:rsidR="00B5602A" w:rsidRDefault="00B5602A" w:rsidP="00B5602A">
      <w:pPr>
        <w:spacing w:line="360" w:lineRule="auto"/>
        <w:rPr>
          <w:rtl/>
        </w:rPr>
      </w:pPr>
      <w:r>
        <w:rPr>
          <w:rtl/>
        </w:rPr>
        <w:t>אני מסכימה.</w:t>
      </w:r>
    </w:p>
    <w:p w14:paraId="450C8E41" w14:textId="77777777" w:rsidR="00B5602A" w:rsidRDefault="00B5602A" w:rsidP="00B5602A">
      <w:pPr>
        <w:spacing w:line="360" w:lineRule="auto"/>
        <w:rPr>
          <w:rtl/>
        </w:rPr>
      </w:pPr>
    </w:p>
    <w:p w14:paraId="0DBA2058" w14:textId="77777777" w:rsidR="00B5602A" w:rsidRDefault="00B5602A" w:rsidP="00B5602A">
      <w:pPr>
        <w:spacing w:line="360" w:lineRule="auto"/>
        <w:rPr>
          <w:rtl/>
        </w:rPr>
      </w:pPr>
    </w:p>
    <w:tbl>
      <w:tblPr>
        <w:bidiVisual/>
        <w:tblW w:w="0" w:type="auto"/>
        <w:jc w:val="right"/>
        <w:tblBorders>
          <w:insideH w:val="single" w:sz="4" w:space="0" w:color="auto"/>
        </w:tblBorders>
        <w:tblLayout w:type="fixed"/>
        <w:tblLook w:val="01E0" w:firstRow="1" w:lastRow="1" w:firstColumn="1" w:lastColumn="1" w:noHBand="0" w:noVBand="0"/>
      </w:tblPr>
      <w:tblGrid>
        <w:gridCol w:w="2512"/>
      </w:tblGrid>
      <w:tr w:rsidR="00B5602A" w14:paraId="5BFA7E16" w14:textId="77777777" w:rsidTr="00B5602A">
        <w:trPr>
          <w:trHeight w:val="473"/>
          <w:jc w:val="right"/>
        </w:trPr>
        <w:tc>
          <w:tcPr>
            <w:tcW w:w="2512" w:type="dxa"/>
            <w:tcBorders>
              <w:top w:val="single" w:sz="4" w:space="0" w:color="auto"/>
              <w:left w:val="nil"/>
              <w:bottom w:val="nil"/>
              <w:right w:val="nil"/>
            </w:tcBorders>
            <w:shd w:val="clear" w:color="auto" w:fill="auto"/>
          </w:tcPr>
          <w:p w14:paraId="38778372" w14:textId="77777777" w:rsidR="00B5602A" w:rsidRPr="00B5602A" w:rsidRDefault="00B5602A" w:rsidP="00B5602A">
            <w:pPr>
              <w:spacing w:after="160" w:line="252" w:lineRule="auto"/>
              <w:jc w:val="center"/>
              <w:rPr>
                <w:rFonts w:ascii="Courier New" w:hAnsi="Courier New"/>
                <w:b/>
                <w:bCs/>
                <w:rtl/>
              </w:rPr>
            </w:pPr>
            <w:r w:rsidRPr="00B5602A">
              <w:rPr>
                <w:rFonts w:ascii="Courier New" w:hAnsi="Courier New"/>
                <w:b/>
                <w:bCs/>
                <w:rtl/>
              </w:rPr>
              <w:t>לימור ביבי, שופטת</w:t>
            </w:r>
          </w:p>
        </w:tc>
      </w:tr>
    </w:tbl>
    <w:p w14:paraId="33C3EB62" w14:textId="77777777" w:rsidR="00B5602A" w:rsidRDefault="00B5602A" w:rsidP="00B5602A">
      <w:pPr>
        <w:spacing w:line="360" w:lineRule="auto"/>
        <w:rPr>
          <w:b/>
          <w:bCs/>
          <w:noProof/>
          <w:sz w:val="28"/>
          <w:szCs w:val="28"/>
          <w:u w:val="single"/>
          <w:rtl/>
        </w:rPr>
      </w:pPr>
    </w:p>
    <w:p w14:paraId="7E29DCD3" w14:textId="77777777" w:rsidR="00B5602A" w:rsidRDefault="00B5602A" w:rsidP="00B5602A">
      <w:pPr>
        <w:spacing w:line="360" w:lineRule="auto"/>
        <w:rPr>
          <w:b/>
          <w:bCs/>
          <w:sz w:val="28"/>
          <w:szCs w:val="28"/>
          <w:u w:val="single"/>
          <w:rtl/>
        </w:rPr>
      </w:pPr>
      <w:r>
        <w:rPr>
          <w:b/>
          <w:bCs/>
          <w:sz w:val="28"/>
          <w:szCs w:val="28"/>
          <w:u w:val="single"/>
          <w:rtl/>
        </w:rPr>
        <w:t>סוף דבר:</w:t>
      </w:r>
    </w:p>
    <w:p w14:paraId="27097CC5" w14:textId="77777777" w:rsidR="00B5602A" w:rsidRDefault="00B5602A" w:rsidP="00B5602A">
      <w:pPr>
        <w:spacing w:before="120" w:after="120" w:line="360" w:lineRule="auto"/>
        <w:jc w:val="both"/>
        <w:rPr>
          <w:rFonts w:ascii="Calibri" w:hAnsi="Calibri"/>
          <w:b/>
          <w:bCs/>
          <w:rtl/>
        </w:rPr>
      </w:pPr>
    </w:p>
    <w:p w14:paraId="32045D9F" w14:textId="77777777" w:rsidR="00B5602A" w:rsidRDefault="00B5602A" w:rsidP="00B5602A">
      <w:pPr>
        <w:spacing w:before="120" w:after="120" w:line="360" w:lineRule="auto"/>
        <w:jc w:val="both"/>
        <w:rPr>
          <w:rFonts w:ascii="Calibri" w:hAnsi="Calibri"/>
          <w:rtl/>
        </w:rPr>
      </w:pPr>
      <w:r>
        <w:rPr>
          <w:rFonts w:ascii="Calibri" w:hAnsi="Calibri"/>
          <w:b/>
          <w:bCs/>
          <w:rtl/>
        </w:rPr>
        <w:t>אנו מטילים אפוא, פה אחד, על הנאשם את העונשים כמפורט בחוות דעתו של האב"ד, השופט גלעד נויטל, נשיא.</w:t>
      </w:r>
    </w:p>
    <w:p w14:paraId="6C885E3F" w14:textId="77777777" w:rsidR="00B5602A" w:rsidRDefault="00B5602A" w:rsidP="00B5602A">
      <w:pPr>
        <w:spacing w:line="360" w:lineRule="auto"/>
        <w:jc w:val="both"/>
        <w:rPr>
          <w:rFonts w:ascii="David" w:hAnsi="David"/>
          <w:rtl/>
        </w:rPr>
      </w:pPr>
    </w:p>
    <w:p w14:paraId="46948DA6" w14:textId="77777777" w:rsidR="00B5602A" w:rsidRDefault="00B5602A" w:rsidP="00B5602A">
      <w:pPr>
        <w:spacing w:line="360" w:lineRule="auto"/>
        <w:jc w:val="both"/>
        <w:rPr>
          <w:rFonts w:ascii="David" w:hAnsi="David"/>
          <w:rtl/>
        </w:rPr>
      </w:pPr>
      <w:r>
        <w:rPr>
          <w:rFonts w:ascii="David" w:hAnsi="David"/>
          <w:rtl/>
        </w:rPr>
        <w:t>התביעה תעביר למזכירות בית המשפט תוך 7 ימים מהיום את פרטי</w:t>
      </w:r>
      <w:r>
        <w:rPr>
          <w:rFonts w:ascii="David" w:hAnsi="David" w:hint="cs"/>
          <w:rtl/>
        </w:rPr>
        <w:t>ו</w:t>
      </w:r>
      <w:r>
        <w:rPr>
          <w:rFonts w:ascii="David" w:hAnsi="David"/>
          <w:rtl/>
        </w:rPr>
        <w:t xml:space="preserve"> של </w:t>
      </w:r>
      <w:r>
        <w:rPr>
          <w:rFonts w:ascii="David" w:hAnsi="David" w:hint="cs"/>
          <w:rtl/>
        </w:rPr>
        <w:t>המתלונן</w:t>
      </w:r>
      <w:r>
        <w:rPr>
          <w:rFonts w:ascii="David" w:hAnsi="David"/>
          <w:rtl/>
        </w:rPr>
        <w:t>, לצורך העברת הפיצוי דלעיל אלי</w:t>
      </w:r>
      <w:r>
        <w:rPr>
          <w:rFonts w:ascii="David" w:hAnsi="David" w:hint="cs"/>
          <w:rtl/>
        </w:rPr>
        <w:t>ו</w:t>
      </w:r>
      <w:r>
        <w:rPr>
          <w:rFonts w:ascii="David" w:hAnsi="David"/>
          <w:rtl/>
        </w:rPr>
        <w:t>.</w:t>
      </w:r>
    </w:p>
    <w:p w14:paraId="4C0AEF66" w14:textId="77777777" w:rsidR="00B5602A" w:rsidRPr="006115F1" w:rsidRDefault="00B5602A" w:rsidP="00B5602A">
      <w:pPr>
        <w:spacing w:line="360" w:lineRule="auto"/>
        <w:jc w:val="both"/>
        <w:rPr>
          <w:rFonts w:ascii="David" w:hAnsi="David"/>
          <w:rtl/>
        </w:rPr>
      </w:pPr>
    </w:p>
    <w:p w14:paraId="5A8EEA94" w14:textId="77777777" w:rsidR="00B5602A" w:rsidRDefault="00B5602A" w:rsidP="00B5602A">
      <w:pPr>
        <w:spacing w:line="360" w:lineRule="auto"/>
        <w:jc w:val="both"/>
        <w:rPr>
          <w:rFonts w:ascii="David" w:hAnsi="David"/>
          <w:rtl/>
        </w:rPr>
      </w:pPr>
    </w:p>
    <w:p w14:paraId="37CA1764" w14:textId="77777777" w:rsidR="00B5602A" w:rsidRDefault="00B5602A" w:rsidP="00B5602A">
      <w:pPr>
        <w:spacing w:line="360" w:lineRule="auto"/>
        <w:jc w:val="both"/>
        <w:rPr>
          <w:rFonts w:ascii="David" w:hAnsi="David"/>
          <w:rtl/>
        </w:rPr>
      </w:pPr>
      <w:r>
        <w:rPr>
          <w:rFonts w:ascii="David" w:hAnsi="David"/>
          <w:rtl/>
        </w:rPr>
        <w:t>הוסברה לנאשם זכותו לערער על פסק הדין תוך 45 ימים מהיום.</w:t>
      </w:r>
    </w:p>
    <w:p w14:paraId="5EF0392F" w14:textId="77777777" w:rsidR="00B5602A" w:rsidRDefault="00B5602A" w:rsidP="00B5602A">
      <w:pPr>
        <w:spacing w:line="360" w:lineRule="auto"/>
        <w:jc w:val="both"/>
        <w:rPr>
          <w:rFonts w:ascii="Arial" w:hAnsi="Arial"/>
          <w:rtl/>
        </w:rPr>
      </w:pPr>
    </w:p>
    <w:p w14:paraId="40CEA275" w14:textId="77777777" w:rsidR="00B5602A" w:rsidRDefault="00B5602A" w:rsidP="00B5602A">
      <w:pPr>
        <w:spacing w:line="360" w:lineRule="auto"/>
        <w:jc w:val="both"/>
        <w:rPr>
          <w:rFonts w:ascii="Arial" w:hAnsi="Arial"/>
          <w:rtl/>
        </w:rPr>
      </w:pPr>
    </w:p>
    <w:p w14:paraId="523B28F0" w14:textId="77777777" w:rsidR="00B5602A" w:rsidRDefault="00A255A2" w:rsidP="00B5602A">
      <w:pPr>
        <w:spacing w:line="360" w:lineRule="auto"/>
        <w:jc w:val="both"/>
        <w:rPr>
          <w:rFonts w:ascii="Arial" w:hAnsi="Arial"/>
          <w:rtl/>
        </w:rPr>
      </w:pPr>
      <w:bookmarkStart w:id="7" w:name="Nitan"/>
      <w:r>
        <w:rPr>
          <w:rFonts w:ascii="Arial" w:hAnsi="Arial"/>
          <w:rtl/>
        </w:rPr>
        <w:t xml:space="preserve">ניתן היום, ד' תשרי תשפ"ה, 6 אוקטובר 2024, במעמד הצדדים.   </w:t>
      </w:r>
      <w:bookmarkEnd w:id="7"/>
    </w:p>
    <w:p w14:paraId="429E4F23" w14:textId="77777777" w:rsidR="00B5602A" w:rsidRDefault="00B5602A" w:rsidP="00B5602A">
      <w:pPr>
        <w:spacing w:line="360" w:lineRule="auto"/>
        <w:jc w:val="both"/>
        <w:rPr>
          <w:rFonts w:ascii="Arial" w:hAnsi="Arial"/>
          <w:rtl/>
        </w:rPr>
      </w:pPr>
    </w:p>
    <w:p w14:paraId="4E4EC449" w14:textId="77777777" w:rsidR="00B5602A" w:rsidRDefault="00B5602A" w:rsidP="00B5602A">
      <w:pPr>
        <w:spacing w:line="360" w:lineRule="auto"/>
        <w:jc w:val="both"/>
        <w:rPr>
          <w:rFonts w:ascii="Arial" w:hAnsi="Arial"/>
          <w:noProof/>
          <w:rtl/>
        </w:rPr>
      </w:pPr>
    </w:p>
    <w:p w14:paraId="3ECD04CE" w14:textId="77777777" w:rsidR="00B5602A" w:rsidRDefault="00B5602A" w:rsidP="00B5602A">
      <w:pPr>
        <w:spacing w:line="360" w:lineRule="auto"/>
        <w:jc w:val="both"/>
        <w:rPr>
          <w:rFonts w:ascii="Arial" w:hAnsi="Arial"/>
          <w:rtl/>
        </w:rPr>
      </w:pPr>
    </w:p>
    <w:p w14:paraId="5A3E15F8" w14:textId="77777777" w:rsidR="00B5602A" w:rsidRPr="00A255A2" w:rsidRDefault="00A255A2" w:rsidP="00B5602A">
      <w:pPr>
        <w:spacing w:line="360" w:lineRule="auto"/>
        <w:jc w:val="both"/>
        <w:rPr>
          <w:rFonts w:ascii="Arial" w:hAnsi="Arial"/>
          <w:color w:val="FFFFFF"/>
          <w:sz w:val="2"/>
          <w:szCs w:val="2"/>
          <w:rtl/>
        </w:rPr>
      </w:pPr>
      <w:r w:rsidRPr="00A255A2">
        <w:rPr>
          <w:rFonts w:ascii="Arial" w:hAnsi="Arial"/>
          <w:color w:val="FFFFFF"/>
          <w:sz w:val="2"/>
          <w:szCs w:val="2"/>
          <w:rtl/>
        </w:rPr>
        <w:t>5129371</w:t>
      </w:r>
    </w:p>
    <w:tbl>
      <w:tblPr>
        <w:bidiVisual/>
        <w:tblW w:w="0" w:type="auto"/>
        <w:jc w:val="center"/>
        <w:tblLayout w:type="fixed"/>
        <w:tblLook w:val="01E0" w:firstRow="1" w:lastRow="1" w:firstColumn="1" w:lastColumn="1" w:noHBand="0" w:noVBand="0"/>
      </w:tblPr>
      <w:tblGrid>
        <w:gridCol w:w="2537"/>
        <w:gridCol w:w="236"/>
        <w:gridCol w:w="2646"/>
        <w:gridCol w:w="236"/>
        <w:gridCol w:w="2512"/>
      </w:tblGrid>
      <w:tr w:rsidR="00B5602A" w14:paraId="64838656" w14:textId="77777777" w:rsidTr="00B5602A">
        <w:trPr>
          <w:trHeight w:val="473"/>
          <w:jc w:val="center"/>
        </w:trPr>
        <w:tc>
          <w:tcPr>
            <w:tcW w:w="2537" w:type="dxa"/>
            <w:tcBorders>
              <w:top w:val="single" w:sz="4" w:space="0" w:color="auto"/>
              <w:left w:val="nil"/>
              <w:bottom w:val="nil"/>
              <w:right w:val="nil"/>
            </w:tcBorders>
            <w:shd w:val="clear" w:color="auto" w:fill="auto"/>
          </w:tcPr>
          <w:p w14:paraId="1ADDC1B5" w14:textId="77777777" w:rsidR="00B5602A" w:rsidRPr="00B5602A" w:rsidRDefault="00B5602A" w:rsidP="00B5602A">
            <w:pPr>
              <w:spacing w:after="160" w:line="252" w:lineRule="auto"/>
              <w:jc w:val="center"/>
              <w:rPr>
                <w:rFonts w:ascii="Courier New" w:hAnsi="Courier New"/>
                <w:b/>
                <w:bCs/>
              </w:rPr>
            </w:pPr>
            <w:r w:rsidRPr="00B5602A">
              <w:rPr>
                <w:rFonts w:ascii="Courier New" w:hAnsi="Courier New"/>
                <w:b/>
                <w:bCs/>
                <w:rtl/>
              </w:rPr>
              <w:t>גלעד נויטל, שופט, אב"ד נשיא</w:t>
            </w:r>
          </w:p>
        </w:tc>
        <w:tc>
          <w:tcPr>
            <w:tcW w:w="236" w:type="dxa"/>
            <w:shd w:val="clear" w:color="auto" w:fill="auto"/>
          </w:tcPr>
          <w:p w14:paraId="485D04D6" w14:textId="77777777" w:rsidR="00B5602A" w:rsidRPr="00B5602A" w:rsidRDefault="00B5602A" w:rsidP="00B5602A">
            <w:pPr>
              <w:tabs>
                <w:tab w:val="left" w:pos="5426"/>
              </w:tabs>
              <w:spacing w:after="160" w:line="252" w:lineRule="auto"/>
              <w:rPr>
                <w:rFonts w:ascii="Calibri" w:hAnsi="Calibri"/>
                <w:rtl/>
              </w:rPr>
            </w:pPr>
          </w:p>
        </w:tc>
        <w:tc>
          <w:tcPr>
            <w:tcW w:w="2646" w:type="dxa"/>
            <w:tcBorders>
              <w:top w:val="single" w:sz="4" w:space="0" w:color="auto"/>
              <w:left w:val="nil"/>
              <w:bottom w:val="nil"/>
              <w:right w:val="nil"/>
            </w:tcBorders>
            <w:shd w:val="clear" w:color="auto" w:fill="auto"/>
          </w:tcPr>
          <w:p w14:paraId="338F558B" w14:textId="77777777" w:rsidR="00B5602A" w:rsidRPr="00B5602A" w:rsidRDefault="00B5602A" w:rsidP="00B5602A">
            <w:pPr>
              <w:spacing w:after="160" w:line="252" w:lineRule="auto"/>
              <w:jc w:val="center"/>
              <w:rPr>
                <w:rFonts w:ascii="Courier New" w:hAnsi="Courier New"/>
                <w:b/>
                <w:bCs/>
              </w:rPr>
            </w:pPr>
            <w:r w:rsidRPr="00B5602A">
              <w:rPr>
                <w:rFonts w:ascii="Courier New" w:hAnsi="Courier New"/>
                <w:b/>
                <w:bCs/>
                <w:rtl/>
              </w:rPr>
              <w:t>טלי חיימוביץ, שופטת</w:t>
            </w:r>
          </w:p>
        </w:tc>
        <w:tc>
          <w:tcPr>
            <w:tcW w:w="236" w:type="dxa"/>
            <w:shd w:val="clear" w:color="auto" w:fill="auto"/>
          </w:tcPr>
          <w:p w14:paraId="1CD17A22" w14:textId="77777777" w:rsidR="00B5602A" w:rsidRPr="00B5602A" w:rsidRDefault="00B5602A" w:rsidP="00B5602A">
            <w:pPr>
              <w:tabs>
                <w:tab w:val="left" w:pos="5426"/>
              </w:tabs>
              <w:spacing w:after="160" w:line="252" w:lineRule="auto"/>
              <w:rPr>
                <w:rFonts w:ascii="Calibri" w:hAnsi="Calibri"/>
              </w:rPr>
            </w:pPr>
          </w:p>
        </w:tc>
        <w:tc>
          <w:tcPr>
            <w:tcW w:w="2512" w:type="dxa"/>
            <w:tcBorders>
              <w:top w:val="single" w:sz="4" w:space="0" w:color="auto"/>
              <w:left w:val="nil"/>
              <w:bottom w:val="nil"/>
              <w:right w:val="nil"/>
            </w:tcBorders>
            <w:shd w:val="clear" w:color="auto" w:fill="auto"/>
          </w:tcPr>
          <w:p w14:paraId="2B472C84" w14:textId="77777777" w:rsidR="00B5602A" w:rsidRPr="00B5602A" w:rsidRDefault="00B5602A" w:rsidP="00B5602A">
            <w:pPr>
              <w:spacing w:after="160" w:line="252" w:lineRule="auto"/>
              <w:jc w:val="center"/>
              <w:rPr>
                <w:rFonts w:ascii="Courier New" w:hAnsi="Courier New"/>
                <w:b/>
                <w:bCs/>
              </w:rPr>
            </w:pPr>
            <w:r w:rsidRPr="00B5602A">
              <w:rPr>
                <w:rFonts w:ascii="Courier New" w:hAnsi="Courier New"/>
                <w:b/>
                <w:bCs/>
                <w:rtl/>
              </w:rPr>
              <w:t>לימור ביבי, שופטת</w:t>
            </w:r>
          </w:p>
        </w:tc>
      </w:tr>
    </w:tbl>
    <w:p w14:paraId="24C58EE6" w14:textId="77777777" w:rsidR="00B5602A" w:rsidRPr="0047505D" w:rsidRDefault="0047505D" w:rsidP="00B5602A">
      <w:pPr>
        <w:pStyle w:val="a3"/>
        <w:rPr>
          <w:color w:val="FFFFFF"/>
          <w:sz w:val="2"/>
          <w:szCs w:val="2"/>
          <w:rtl/>
        </w:rPr>
      </w:pPr>
      <w:r w:rsidRPr="0047505D">
        <w:rPr>
          <w:color w:val="FFFFFF"/>
          <w:sz w:val="2"/>
          <w:szCs w:val="2"/>
          <w:rtl/>
        </w:rPr>
        <w:t>5129371</w:t>
      </w:r>
    </w:p>
    <w:p w14:paraId="4A07D87C" w14:textId="77777777" w:rsidR="007D01C2" w:rsidRPr="0047505D" w:rsidRDefault="0047505D" w:rsidP="00A255A2">
      <w:pPr>
        <w:keepNext/>
        <w:rPr>
          <w:rFonts w:ascii="David" w:hAnsi="David"/>
          <w:color w:val="FFFFFF"/>
          <w:sz w:val="2"/>
          <w:szCs w:val="2"/>
          <w:rtl/>
        </w:rPr>
      </w:pPr>
      <w:r w:rsidRPr="0047505D">
        <w:rPr>
          <w:rFonts w:ascii="David" w:hAnsi="David"/>
          <w:color w:val="FFFFFF"/>
          <w:sz w:val="2"/>
          <w:szCs w:val="2"/>
          <w:rtl/>
        </w:rPr>
        <w:t>54678313</w:t>
      </w:r>
    </w:p>
    <w:p w14:paraId="2A08D91A" w14:textId="77777777" w:rsidR="00A255A2" w:rsidRDefault="00A255A2" w:rsidP="00A255A2">
      <w:pPr>
        <w:rPr>
          <w:rtl/>
        </w:rPr>
      </w:pPr>
    </w:p>
    <w:p w14:paraId="307D7BEF" w14:textId="77777777" w:rsidR="00A255A2" w:rsidRDefault="00A255A2" w:rsidP="00A255A2">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59085039" w14:textId="77777777" w:rsidR="0047505D" w:rsidRPr="0047505D" w:rsidRDefault="0047505D" w:rsidP="0047505D">
      <w:pPr>
        <w:keepNext/>
        <w:rPr>
          <w:rFonts w:ascii="David" w:hAnsi="David"/>
          <w:color w:val="000000"/>
          <w:sz w:val="22"/>
          <w:szCs w:val="22"/>
          <w:rtl/>
        </w:rPr>
      </w:pPr>
    </w:p>
    <w:p w14:paraId="2EFA70BA" w14:textId="77777777" w:rsidR="0047505D" w:rsidRPr="0047505D" w:rsidRDefault="0047505D" w:rsidP="0047505D">
      <w:pPr>
        <w:keepNext/>
        <w:rPr>
          <w:rFonts w:ascii="David" w:hAnsi="David"/>
          <w:color w:val="000000"/>
          <w:sz w:val="22"/>
          <w:szCs w:val="22"/>
          <w:rtl/>
        </w:rPr>
      </w:pPr>
      <w:r w:rsidRPr="0047505D">
        <w:rPr>
          <w:rFonts w:ascii="David" w:hAnsi="David"/>
          <w:color w:val="000000"/>
          <w:sz w:val="22"/>
          <w:szCs w:val="22"/>
          <w:rtl/>
        </w:rPr>
        <w:t>גלעד נויטל 54678313-/</w:t>
      </w:r>
    </w:p>
    <w:p w14:paraId="58C35720" w14:textId="77777777" w:rsidR="00A255A2" w:rsidRPr="00A255A2" w:rsidRDefault="0047505D" w:rsidP="0047505D">
      <w:pPr>
        <w:rPr>
          <w:color w:val="0000FF"/>
          <w:u w:val="single"/>
        </w:rPr>
      </w:pPr>
      <w:r w:rsidRPr="0047505D">
        <w:rPr>
          <w:color w:val="000000"/>
          <w:u w:val="single"/>
          <w:rtl/>
        </w:rPr>
        <w:t>נוסח מסמך זה כפוף לשינויי ניסוח ועריכה</w:t>
      </w:r>
    </w:p>
    <w:sectPr w:rsidR="00A255A2" w:rsidRPr="00A255A2" w:rsidSect="0047505D">
      <w:headerReference w:type="even" r:id="rId78"/>
      <w:headerReference w:type="default" r:id="rId79"/>
      <w:footerReference w:type="even" r:id="rId80"/>
      <w:footerReference w:type="default" r:id="rId81"/>
      <w:pgSz w:w="11907" w:h="16840" w:code="9"/>
      <w:pgMar w:top="1701" w:right="1474" w:bottom="1134" w:left="147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37DD0" w14:textId="77777777" w:rsidR="00350921" w:rsidRDefault="00350921" w:rsidP="00EB28FE">
      <w:r>
        <w:separator/>
      </w:r>
    </w:p>
  </w:endnote>
  <w:endnote w:type="continuationSeparator" w:id="0">
    <w:p w14:paraId="45D6A0CA" w14:textId="77777777" w:rsidR="00350921" w:rsidRDefault="00350921" w:rsidP="00EB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5BA0" w14:textId="77777777" w:rsidR="0047505D" w:rsidRDefault="0047505D" w:rsidP="004750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DCC85E" w14:textId="77777777" w:rsidR="002F76DF" w:rsidRPr="0047505D" w:rsidRDefault="0047505D" w:rsidP="0047505D">
    <w:pPr>
      <w:pStyle w:val="a5"/>
      <w:pBdr>
        <w:top w:val="single" w:sz="4" w:space="1" w:color="auto"/>
        <w:between w:val="single" w:sz="4" w:space="0" w:color="auto"/>
      </w:pBdr>
      <w:spacing w:after="60"/>
      <w:jc w:val="center"/>
      <w:rPr>
        <w:rFonts w:ascii="FrankRuehl" w:hAnsi="FrankRuehl" w:cs="FrankRuehl"/>
        <w:color w:val="000000"/>
      </w:rPr>
    </w:pPr>
    <w:r w:rsidRPr="004750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7449F" w14:textId="77777777" w:rsidR="0047505D" w:rsidRDefault="0047505D" w:rsidP="004750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6B32">
      <w:rPr>
        <w:rFonts w:ascii="FrankRuehl" w:hAnsi="FrankRuehl" w:cs="FrankRuehl"/>
        <w:noProof/>
        <w:rtl/>
      </w:rPr>
      <w:t>3</w:t>
    </w:r>
    <w:r>
      <w:rPr>
        <w:rFonts w:ascii="FrankRuehl" w:hAnsi="FrankRuehl" w:cs="FrankRuehl"/>
        <w:rtl/>
      </w:rPr>
      <w:fldChar w:fldCharType="end"/>
    </w:r>
  </w:p>
  <w:p w14:paraId="17906A73" w14:textId="77777777" w:rsidR="002F76DF" w:rsidRPr="0047505D" w:rsidRDefault="0047505D" w:rsidP="0047505D">
    <w:pPr>
      <w:pStyle w:val="a5"/>
      <w:pBdr>
        <w:top w:val="single" w:sz="4" w:space="1" w:color="auto"/>
        <w:between w:val="single" w:sz="4" w:space="0" w:color="auto"/>
      </w:pBdr>
      <w:spacing w:after="60"/>
      <w:jc w:val="center"/>
      <w:rPr>
        <w:rFonts w:ascii="FrankRuehl" w:hAnsi="FrankRuehl" w:cs="FrankRuehl"/>
        <w:color w:val="000000"/>
      </w:rPr>
    </w:pPr>
    <w:r w:rsidRPr="0047505D">
      <w:rPr>
        <w:rFonts w:ascii="FrankRuehl" w:hAnsi="FrankRuehl" w:cs="FrankRuehl"/>
        <w:color w:val="000000"/>
      </w:rPr>
      <w:pict w14:anchorId="05CB6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EE7FE" w14:textId="77777777" w:rsidR="00350921" w:rsidRDefault="00350921" w:rsidP="00EB28FE">
      <w:r>
        <w:separator/>
      </w:r>
    </w:p>
  </w:footnote>
  <w:footnote w:type="continuationSeparator" w:id="0">
    <w:p w14:paraId="1F995663" w14:textId="77777777" w:rsidR="00350921" w:rsidRDefault="00350921" w:rsidP="00EB2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F5C68" w14:textId="77777777" w:rsidR="00A255A2" w:rsidRPr="0047505D" w:rsidRDefault="0047505D" w:rsidP="004750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17865-11-21</w:t>
    </w:r>
    <w:r>
      <w:rPr>
        <w:rFonts w:ascii="David" w:hAnsi="David"/>
        <w:color w:val="000000"/>
        <w:sz w:val="22"/>
        <w:szCs w:val="22"/>
        <w:rtl/>
      </w:rPr>
      <w:tab/>
      <w:t xml:space="preserve"> מדינת ישראל  נ' אחמד אלעביד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83461" w14:textId="77777777" w:rsidR="00A255A2" w:rsidRPr="0047505D" w:rsidRDefault="0047505D" w:rsidP="0047505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17865-11-21</w:t>
    </w:r>
    <w:r>
      <w:rPr>
        <w:rFonts w:ascii="David" w:hAnsi="David"/>
        <w:color w:val="000000"/>
        <w:sz w:val="22"/>
        <w:szCs w:val="22"/>
        <w:rtl/>
      </w:rPr>
      <w:tab/>
      <w:t xml:space="preserve"> מדינת ישראל  נ' אחמד אלעביד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AE385058">
      <w:start w:val="1"/>
      <w:numFmt w:val="decimal"/>
      <w:pStyle w:val="Ruller4"/>
      <w:lvlText w:val="%1."/>
      <w:lvlJc w:val="left"/>
      <w:pPr>
        <w:tabs>
          <w:tab w:val="num" w:pos="907"/>
        </w:tabs>
        <w:ind w:left="0" w:firstLine="0"/>
      </w:pPr>
      <w:rPr>
        <w:rFonts w:hint="default"/>
      </w:rPr>
    </w:lvl>
    <w:lvl w:ilvl="1" w:tplc="9ABEF8D8">
      <w:start w:val="1"/>
      <w:numFmt w:val="lowerLetter"/>
      <w:lvlText w:val="%2."/>
      <w:lvlJc w:val="left"/>
      <w:pPr>
        <w:tabs>
          <w:tab w:val="num" w:pos="1440"/>
        </w:tabs>
        <w:ind w:left="1440" w:hanging="360"/>
      </w:pPr>
    </w:lvl>
    <w:lvl w:ilvl="2" w:tplc="24D20054" w:tentative="1">
      <w:start w:val="1"/>
      <w:numFmt w:val="lowerRoman"/>
      <w:lvlText w:val="%3."/>
      <w:lvlJc w:val="right"/>
      <w:pPr>
        <w:tabs>
          <w:tab w:val="num" w:pos="2160"/>
        </w:tabs>
        <w:ind w:left="2160" w:hanging="180"/>
      </w:pPr>
    </w:lvl>
    <w:lvl w:ilvl="3" w:tplc="DBF28200" w:tentative="1">
      <w:start w:val="1"/>
      <w:numFmt w:val="decimal"/>
      <w:lvlText w:val="%4."/>
      <w:lvlJc w:val="left"/>
      <w:pPr>
        <w:tabs>
          <w:tab w:val="num" w:pos="2880"/>
        </w:tabs>
        <w:ind w:left="2880" w:hanging="360"/>
      </w:pPr>
    </w:lvl>
    <w:lvl w:ilvl="4" w:tplc="C582C764" w:tentative="1">
      <w:start w:val="1"/>
      <w:numFmt w:val="lowerLetter"/>
      <w:lvlText w:val="%5."/>
      <w:lvlJc w:val="left"/>
      <w:pPr>
        <w:tabs>
          <w:tab w:val="num" w:pos="3600"/>
        </w:tabs>
        <w:ind w:left="3600" w:hanging="360"/>
      </w:pPr>
    </w:lvl>
    <w:lvl w:ilvl="5" w:tplc="E04A0244" w:tentative="1">
      <w:start w:val="1"/>
      <w:numFmt w:val="lowerRoman"/>
      <w:lvlText w:val="%6."/>
      <w:lvlJc w:val="right"/>
      <w:pPr>
        <w:tabs>
          <w:tab w:val="num" w:pos="4320"/>
        </w:tabs>
        <w:ind w:left="4320" w:hanging="180"/>
      </w:pPr>
    </w:lvl>
    <w:lvl w:ilvl="6" w:tplc="69A8B8D2" w:tentative="1">
      <w:start w:val="1"/>
      <w:numFmt w:val="decimal"/>
      <w:lvlText w:val="%7."/>
      <w:lvlJc w:val="left"/>
      <w:pPr>
        <w:tabs>
          <w:tab w:val="num" w:pos="5040"/>
        </w:tabs>
        <w:ind w:left="5040" w:hanging="360"/>
      </w:pPr>
    </w:lvl>
    <w:lvl w:ilvl="7" w:tplc="DBA27C22" w:tentative="1">
      <w:start w:val="1"/>
      <w:numFmt w:val="lowerLetter"/>
      <w:lvlText w:val="%8."/>
      <w:lvlJc w:val="left"/>
      <w:pPr>
        <w:tabs>
          <w:tab w:val="num" w:pos="5760"/>
        </w:tabs>
        <w:ind w:left="5760" w:hanging="360"/>
      </w:pPr>
    </w:lvl>
    <w:lvl w:ilvl="8" w:tplc="BF7C863E" w:tentative="1">
      <w:start w:val="1"/>
      <w:numFmt w:val="lowerRoman"/>
      <w:lvlText w:val="%9."/>
      <w:lvlJc w:val="right"/>
      <w:pPr>
        <w:tabs>
          <w:tab w:val="num" w:pos="6480"/>
        </w:tabs>
        <w:ind w:left="6480" w:hanging="180"/>
      </w:pPr>
    </w:lvl>
  </w:abstractNum>
  <w:abstractNum w:abstractNumId="1" w15:restartNumberingAfterBreak="0">
    <w:nsid w:val="0D3B31BD"/>
    <w:multiLevelType w:val="hybridMultilevel"/>
    <w:tmpl w:val="11309F1A"/>
    <w:lvl w:ilvl="0" w:tplc="32F43D1A">
      <w:numFmt w:val="bullet"/>
      <w:lvlText w:val=""/>
      <w:lvlJc w:val="left"/>
      <w:pPr>
        <w:ind w:left="720" w:hanging="360"/>
      </w:pPr>
      <w:rPr>
        <w:rFonts w:ascii="Symbol" w:eastAsia="Times New Roman" w:hAnsi="Symbol" w:cs="David" w:hint="default"/>
        <w:lang w:bidi="he-IL"/>
      </w:rPr>
    </w:lvl>
    <w:lvl w:ilvl="1" w:tplc="62C46374" w:tentative="1">
      <w:start w:val="1"/>
      <w:numFmt w:val="bullet"/>
      <w:lvlText w:val="o"/>
      <w:lvlJc w:val="left"/>
      <w:pPr>
        <w:ind w:left="1440" w:hanging="360"/>
      </w:pPr>
      <w:rPr>
        <w:rFonts w:ascii="Courier New" w:hAnsi="Courier New" w:cs="Courier New" w:hint="default"/>
      </w:rPr>
    </w:lvl>
    <w:lvl w:ilvl="2" w:tplc="DF02DFF0" w:tentative="1">
      <w:start w:val="1"/>
      <w:numFmt w:val="bullet"/>
      <w:lvlText w:val=""/>
      <w:lvlJc w:val="left"/>
      <w:pPr>
        <w:ind w:left="2160" w:hanging="360"/>
      </w:pPr>
      <w:rPr>
        <w:rFonts w:ascii="Wingdings" w:hAnsi="Wingdings" w:hint="default"/>
      </w:rPr>
    </w:lvl>
    <w:lvl w:ilvl="3" w:tplc="B0AC4A34" w:tentative="1">
      <w:start w:val="1"/>
      <w:numFmt w:val="bullet"/>
      <w:lvlText w:val=""/>
      <w:lvlJc w:val="left"/>
      <w:pPr>
        <w:ind w:left="2880" w:hanging="360"/>
      </w:pPr>
      <w:rPr>
        <w:rFonts w:ascii="Symbol" w:hAnsi="Symbol" w:hint="default"/>
      </w:rPr>
    </w:lvl>
    <w:lvl w:ilvl="4" w:tplc="410E0A7E" w:tentative="1">
      <w:start w:val="1"/>
      <w:numFmt w:val="bullet"/>
      <w:lvlText w:val="o"/>
      <w:lvlJc w:val="left"/>
      <w:pPr>
        <w:ind w:left="3600" w:hanging="360"/>
      </w:pPr>
      <w:rPr>
        <w:rFonts w:ascii="Courier New" w:hAnsi="Courier New" w:cs="Courier New" w:hint="default"/>
      </w:rPr>
    </w:lvl>
    <w:lvl w:ilvl="5" w:tplc="BF6E8FF4" w:tentative="1">
      <w:start w:val="1"/>
      <w:numFmt w:val="bullet"/>
      <w:lvlText w:val=""/>
      <w:lvlJc w:val="left"/>
      <w:pPr>
        <w:ind w:left="4320" w:hanging="360"/>
      </w:pPr>
      <w:rPr>
        <w:rFonts w:ascii="Wingdings" w:hAnsi="Wingdings" w:hint="default"/>
      </w:rPr>
    </w:lvl>
    <w:lvl w:ilvl="6" w:tplc="2FEE43F2" w:tentative="1">
      <w:start w:val="1"/>
      <w:numFmt w:val="bullet"/>
      <w:lvlText w:val=""/>
      <w:lvlJc w:val="left"/>
      <w:pPr>
        <w:ind w:left="5040" w:hanging="360"/>
      </w:pPr>
      <w:rPr>
        <w:rFonts w:ascii="Symbol" w:hAnsi="Symbol" w:hint="default"/>
      </w:rPr>
    </w:lvl>
    <w:lvl w:ilvl="7" w:tplc="FCEC9B4A" w:tentative="1">
      <w:start w:val="1"/>
      <w:numFmt w:val="bullet"/>
      <w:lvlText w:val="o"/>
      <w:lvlJc w:val="left"/>
      <w:pPr>
        <w:ind w:left="5760" w:hanging="360"/>
      </w:pPr>
      <w:rPr>
        <w:rFonts w:ascii="Courier New" w:hAnsi="Courier New" w:cs="Courier New" w:hint="default"/>
      </w:rPr>
    </w:lvl>
    <w:lvl w:ilvl="8" w:tplc="F1ACD6E0" w:tentative="1">
      <w:start w:val="1"/>
      <w:numFmt w:val="bullet"/>
      <w:lvlText w:val=""/>
      <w:lvlJc w:val="left"/>
      <w:pPr>
        <w:ind w:left="6480" w:hanging="360"/>
      </w:pPr>
      <w:rPr>
        <w:rFonts w:ascii="Wingdings" w:hAnsi="Wingdings" w:hint="default"/>
      </w:rPr>
    </w:lvl>
  </w:abstractNum>
  <w:abstractNum w:abstractNumId="2" w15:restartNumberingAfterBreak="0">
    <w:nsid w:val="487624EE"/>
    <w:multiLevelType w:val="hybridMultilevel"/>
    <w:tmpl w:val="8E000618"/>
    <w:lvl w:ilvl="0" w:tplc="7D549B7C">
      <w:start w:val="1"/>
      <w:numFmt w:val="decimal"/>
      <w:lvlText w:val="%1."/>
      <w:lvlJc w:val="left"/>
      <w:pPr>
        <w:ind w:left="720" w:hanging="360"/>
      </w:pPr>
      <w:rPr>
        <w:b w:val="0"/>
        <w:bCs w:val="0"/>
        <w:color w:val="auto"/>
        <w:lang w:val="en-US"/>
      </w:rPr>
    </w:lvl>
    <w:lvl w:ilvl="1" w:tplc="4EC688A8">
      <w:start w:val="1"/>
      <w:numFmt w:val="lowerLetter"/>
      <w:lvlText w:val="%2."/>
      <w:lvlJc w:val="left"/>
      <w:pPr>
        <w:ind w:left="1440" w:hanging="360"/>
      </w:pPr>
    </w:lvl>
    <w:lvl w:ilvl="2" w:tplc="3DCC0EE2">
      <w:start w:val="1"/>
      <w:numFmt w:val="lowerRoman"/>
      <w:lvlText w:val="%3."/>
      <w:lvlJc w:val="right"/>
      <w:pPr>
        <w:ind w:left="2160" w:hanging="180"/>
      </w:pPr>
    </w:lvl>
    <w:lvl w:ilvl="3" w:tplc="3E4EC8E8">
      <w:start w:val="1"/>
      <w:numFmt w:val="decimal"/>
      <w:lvlText w:val="%4."/>
      <w:lvlJc w:val="left"/>
      <w:pPr>
        <w:ind w:left="2880" w:hanging="360"/>
      </w:pPr>
    </w:lvl>
    <w:lvl w:ilvl="4" w:tplc="F2AE83EE">
      <w:start w:val="1"/>
      <w:numFmt w:val="lowerLetter"/>
      <w:lvlText w:val="%5."/>
      <w:lvlJc w:val="left"/>
      <w:pPr>
        <w:ind w:left="3600" w:hanging="360"/>
      </w:pPr>
    </w:lvl>
    <w:lvl w:ilvl="5" w:tplc="D8F02BAA">
      <w:start w:val="1"/>
      <w:numFmt w:val="lowerRoman"/>
      <w:lvlText w:val="%6."/>
      <w:lvlJc w:val="right"/>
      <w:pPr>
        <w:ind w:left="4320" w:hanging="180"/>
      </w:pPr>
    </w:lvl>
    <w:lvl w:ilvl="6" w:tplc="8B0822BA">
      <w:start w:val="1"/>
      <w:numFmt w:val="decimal"/>
      <w:lvlText w:val="%7."/>
      <w:lvlJc w:val="left"/>
      <w:pPr>
        <w:ind w:left="5040" w:hanging="360"/>
      </w:pPr>
    </w:lvl>
    <w:lvl w:ilvl="7" w:tplc="7D2C788C">
      <w:start w:val="1"/>
      <w:numFmt w:val="lowerLetter"/>
      <w:lvlText w:val="%8."/>
      <w:lvlJc w:val="left"/>
      <w:pPr>
        <w:ind w:left="5760" w:hanging="360"/>
      </w:pPr>
    </w:lvl>
    <w:lvl w:ilvl="8" w:tplc="0BBA5780">
      <w:start w:val="1"/>
      <w:numFmt w:val="lowerRoman"/>
      <w:lvlText w:val="%9."/>
      <w:lvlJc w:val="right"/>
      <w:pPr>
        <w:ind w:left="6480" w:hanging="180"/>
      </w:pPr>
    </w:lvl>
  </w:abstractNum>
  <w:num w:numId="1" w16cid:durableId="1428192865">
    <w:abstractNumId w:val="1"/>
  </w:num>
  <w:num w:numId="2" w16cid:durableId="286472718">
    <w:abstractNumId w:val="0"/>
  </w:num>
  <w:num w:numId="3" w16cid:durableId="1708408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602A"/>
    <w:rsid w:val="00026B32"/>
    <w:rsid w:val="002F76DF"/>
    <w:rsid w:val="00322869"/>
    <w:rsid w:val="00350921"/>
    <w:rsid w:val="0047505D"/>
    <w:rsid w:val="005D0099"/>
    <w:rsid w:val="007D01C2"/>
    <w:rsid w:val="00915B02"/>
    <w:rsid w:val="00A255A2"/>
    <w:rsid w:val="00B5602A"/>
    <w:rsid w:val="00BF5B6E"/>
    <w:rsid w:val="00EB28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6485D0"/>
  <w15:chartTrackingRefBased/>
  <w15:docId w15:val="{ACDE933C-A602-4E36-8B39-D894308F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60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602A"/>
    <w:pPr>
      <w:tabs>
        <w:tab w:val="center" w:pos="4153"/>
        <w:tab w:val="right" w:pos="8306"/>
      </w:tabs>
    </w:pPr>
  </w:style>
  <w:style w:type="character" w:customStyle="1" w:styleId="a4">
    <w:name w:val="כותרת עליונה תו"/>
    <w:link w:val="a3"/>
    <w:rsid w:val="00B5602A"/>
    <w:rPr>
      <w:rFonts w:ascii="Times New Roman" w:eastAsia="Times New Roman" w:hAnsi="Times New Roman" w:cs="David"/>
      <w:sz w:val="24"/>
      <w:szCs w:val="24"/>
    </w:rPr>
  </w:style>
  <w:style w:type="paragraph" w:styleId="a5">
    <w:name w:val="footer"/>
    <w:basedOn w:val="a"/>
    <w:link w:val="a6"/>
    <w:rsid w:val="00B5602A"/>
    <w:pPr>
      <w:tabs>
        <w:tab w:val="center" w:pos="4153"/>
        <w:tab w:val="right" w:pos="8306"/>
      </w:tabs>
    </w:pPr>
  </w:style>
  <w:style w:type="character" w:customStyle="1" w:styleId="a6">
    <w:name w:val="כותרת תחתונה תו"/>
    <w:link w:val="a5"/>
    <w:rsid w:val="00B5602A"/>
    <w:rPr>
      <w:rFonts w:ascii="Times New Roman" w:eastAsia="Times New Roman" w:hAnsi="Times New Roman" w:cs="David"/>
      <w:sz w:val="24"/>
      <w:szCs w:val="24"/>
    </w:rPr>
  </w:style>
  <w:style w:type="table" w:styleId="a7">
    <w:name w:val="Table Grid"/>
    <w:basedOn w:val="a1"/>
    <w:rsid w:val="00B560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602A"/>
  </w:style>
  <w:style w:type="paragraph" w:customStyle="1" w:styleId="ListParagraph">
    <w:name w:val="List Paragraph"/>
    <w:basedOn w:val="a"/>
    <w:qFormat/>
    <w:rsid w:val="00B5602A"/>
    <w:pPr>
      <w:ind w:left="720"/>
      <w:contextualSpacing/>
    </w:pPr>
  </w:style>
  <w:style w:type="character" w:customStyle="1" w:styleId="a9">
    <w:name w:val="תואר תו"/>
    <w:link w:val="aa"/>
    <w:locked/>
    <w:rsid w:val="00B5602A"/>
    <w:rPr>
      <w:b/>
      <w:bCs/>
      <w:szCs w:val="28"/>
      <w:u w:val="single"/>
      <w:shd w:val="pct20" w:color="auto" w:fill="FFFFFF"/>
      <w:lang w:eastAsia="he-IL"/>
    </w:rPr>
  </w:style>
  <w:style w:type="paragraph" w:customStyle="1" w:styleId="aa">
    <w:name w:val="תואר"/>
    <w:basedOn w:val="a"/>
    <w:link w:val="a9"/>
    <w:rsid w:val="00B5602A"/>
    <w:pPr>
      <w:shd w:val="pct20" w:color="auto" w:fill="FFFFFF"/>
      <w:spacing w:line="480" w:lineRule="auto"/>
      <w:ind w:left="1701" w:hanging="1701"/>
      <w:jc w:val="center"/>
    </w:pPr>
    <w:rPr>
      <w:rFonts w:ascii="Calibri" w:eastAsia="Calibri" w:hAnsi="Calibri" w:cs="Arial"/>
      <w:b/>
      <w:bCs/>
      <w:sz w:val="22"/>
      <w:szCs w:val="28"/>
      <w:u w:val="single"/>
      <w:lang w:eastAsia="he-IL"/>
    </w:rPr>
  </w:style>
  <w:style w:type="paragraph" w:customStyle="1" w:styleId="Ruller40">
    <w:name w:val="Ruller4"/>
    <w:basedOn w:val="a"/>
    <w:link w:val="Ruller41"/>
    <w:rsid w:val="00B5602A"/>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paragraph" w:customStyle="1" w:styleId="Ruller4">
    <w:name w:val="Ruller 4 ממוספר"/>
    <w:basedOn w:val="Ruller40"/>
    <w:next w:val="Ruller40"/>
    <w:link w:val="Ruller42"/>
    <w:rsid w:val="00B5602A"/>
    <w:pPr>
      <w:numPr>
        <w:numId w:val="2"/>
      </w:numPr>
    </w:pPr>
    <w:rPr>
      <w:rFonts w:ascii="Garamond" w:hAnsi="Garamond"/>
      <w:sz w:val="24"/>
    </w:rPr>
  </w:style>
  <w:style w:type="character" w:customStyle="1" w:styleId="Ruller41">
    <w:name w:val="Ruller4 תו"/>
    <w:link w:val="Ruller40"/>
    <w:locked/>
    <w:rsid w:val="00B5602A"/>
    <w:rPr>
      <w:rFonts w:ascii="Arial TUR" w:eastAsia="Times New Roman" w:hAnsi="Arial TUR" w:cs="FrankRuehl"/>
      <w:spacing w:val="10"/>
      <w:szCs w:val="28"/>
    </w:rPr>
  </w:style>
  <w:style w:type="paragraph" w:customStyle="1" w:styleId="ruller400">
    <w:name w:val="ruller40"/>
    <w:basedOn w:val="a"/>
    <w:rsid w:val="00B5602A"/>
    <w:pPr>
      <w:bidi w:val="0"/>
      <w:spacing w:before="100" w:beforeAutospacing="1" w:after="100" w:afterAutospacing="1"/>
    </w:pPr>
    <w:rPr>
      <w:rFonts w:cs="Times New Roman"/>
    </w:rPr>
  </w:style>
  <w:style w:type="paragraph" w:customStyle="1" w:styleId="a00">
    <w:name w:val="a0"/>
    <w:basedOn w:val="a"/>
    <w:rsid w:val="00B5602A"/>
    <w:pPr>
      <w:bidi w:val="0"/>
      <w:spacing w:before="100" w:beforeAutospacing="1" w:after="100" w:afterAutospacing="1"/>
    </w:pPr>
    <w:rPr>
      <w:rFonts w:cs="Times New Roman"/>
    </w:rPr>
  </w:style>
  <w:style w:type="character" w:customStyle="1" w:styleId="Ruller42">
    <w:name w:val="Ruller 4 ממוספר תו"/>
    <w:link w:val="Ruller4"/>
    <w:locked/>
    <w:rsid w:val="00B5602A"/>
    <w:rPr>
      <w:rFonts w:ascii="Garamond" w:eastAsia="Times New Roman" w:hAnsi="Garamond" w:cs="FrankRuehl"/>
      <w:spacing w:val="10"/>
      <w:sz w:val="24"/>
      <w:szCs w:val="28"/>
    </w:rPr>
  </w:style>
  <w:style w:type="character" w:styleId="Hyperlink">
    <w:name w:val="Hyperlink"/>
    <w:rsid w:val="00A25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1"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case/27535026" TargetMode="External"/><Relationship Id="rId47" Type="http://schemas.openxmlformats.org/officeDocument/2006/relationships/hyperlink" Target="http://www.nevo.co.il/case/5920165" TargetMode="External"/><Relationship Id="rId63" Type="http://schemas.openxmlformats.org/officeDocument/2006/relationships/hyperlink" Target="http://www.nevo.co.il/case/21477135" TargetMode="External"/><Relationship Id="rId68" Type="http://schemas.openxmlformats.org/officeDocument/2006/relationships/hyperlink" Target="http://www.nevo.co.il/law/70301/40ja.1" TargetMode="External"/><Relationship Id="rId16" Type="http://schemas.openxmlformats.org/officeDocument/2006/relationships/hyperlink" Target="http://www.nevo.co.il/law/70301/40i.a.1" TargetMode="External"/><Relationship Id="rId11" Type="http://schemas.openxmlformats.org/officeDocument/2006/relationships/hyperlink" Target="http://www.nevo.co.il/law/70301/40e"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329.a.1" TargetMode="External"/><Relationship Id="rId53" Type="http://schemas.openxmlformats.org/officeDocument/2006/relationships/hyperlink" Target="http://www.nevo.co.il/law/70301/40i.a.2" TargetMode="External"/><Relationship Id="rId58" Type="http://schemas.openxmlformats.org/officeDocument/2006/relationships/hyperlink" Target="http://www.nevo.co.il/case/28280815" TargetMode="External"/><Relationship Id="rId74" Type="http://schemas.openxmlformats.org/officeDocument/2006/relationships/hyperlink" Target="http://www.nevo.co.il/case/27272576"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4269594" TargetMode="External"/><Relationship Id="rId82" Type="http://schemas.openxmlformats.org/officeDocument/2006/relationships/fontTable" Target="fontTable.xml"/><Relationship Id="rId19" Type="http://schemas.openxmlformats.org/officeDocument/2006/relationships/hyperlink" Target="http://www.nevo.co.il/law/70301/40i.a.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329" TargetMode="External"/><Relationship Id="rId27" Type="http://schemas.openxmlformats.org/officeDocument/2006/relationships/hyperlink" Target="http://www.nevo.co.il/law/70301/40ja.11" TargetMode="External"/><Relationship Id="rId30" Type="http://schemas.openxmlformats.org/officeDocument/2006/relationships/hyperlink" Target="http://www.nevo.co.il/law/70301/329.a.1" TargetMode="External"/><Relationship Id="rId35" Type="http://schemas.openxmlformats.org/officeDocument/2006/relationships/hyperlink" Target="http://www.nevo.co.il/law/70301/329" TargetMode="External"/><Relationship Id="rId43" Type="http://schemas.openxmlformats.org/officeDocument/2006/relationships/hyperlink" Target="http://www.nevo.co.il/law/70301/40b" TargetMode="External"/><Relationship Id="rId48" Type="http://schemas.openxmlformats.org/officeDocument/2006/relationships/hyperlink" Target="http://www.nevo.co.il/case/25723369" TargetMode="External"/><Relationship Id="rId56" Type="http://schemas.openxmlformats.org/officeDocument/2006/relationships/hyperlink" Target="http://www.nevo.co.il/law/70301/40i.a.10" TargetMode="External"/><Relationship Id="rId64" Type="http://schemas.openxmlformats.org/officeDocument/2006/relationships/hyperlink" Target="http://www.nevo.co.il/case/20032343" TargetMode="External"/><Relationship Id="rId69" Type="http://schemas.openxmlformats.org/officeDocument/2006/relationships/hyperlink" Target="http://www.nevo.co.il/law/70301/40ja.4"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40i.a" TargetMode="External"/><Relationship Id="rId72" Type="http://schemas.openxmlformats.org/officeDocument/2006/relationships/hyperlink" Target="http://www.nevo.co.il/law/70301/40g"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40i.a.10"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law/70301/340a.b.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40jc.a" TargetMode="External"/><Relationship Id="rId59" Type="http://schemas.openxmlformats.org/officeDocument/2006/relationships/hyperlink" Target="http://www.nevo.co.il/case/27115374"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0301/40i.a.4" TargetMode="External"/><Relationship Id="rId41" Type="http://schemas.openxmlformats.org/officeDocument/2006/relationships/hyperlink" Target="http://www.nevo.co.il/case/13093721" TargetMode="External"/><Relationship Id="rId54" Type="http://schemas.openxmlformats.org/officeDocument/2006/relationships/hyperlink" Target="http://www.nevo.co.il/law/70301/40i.a.3" TargetMode="External"/><Relationship Id="rId62" Type="http://schemas.openxmlformats.org/officeDocument/2006/relationships/hyperlink" Target="http://www.nevo.co.il/case/22791135" TargetMode="External"/><Relationship Id="rId70" Type="http://schemas.openxmlformats.org/officeDocument/2006/relationships/hyperlink" Target="http://www.nevo.co.il/law/70301/40ja.11" TargetMode="External"/><Relationship Id="rId75" Type="http://schemas.openxmlformats.org/officeDocument/2006/relationships/hyperlink" Target="http://www.nevo.co.il/law/70301/40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 TargetMode="External"/><Relationship Id="rId23" Type="http://schemas.openxmlformats.org/officeDocument/2006/relationships/hyperlink" Target="http://www.nevo.co.il/law/70301/329.a.1" TargetMode="External"/><Relationship Id="rId28" Type="http://schemas.openxmlformats.org/officeDocument/2006/relationships/hyperlink" Target="http://www.nevo.co.il/law/70301/40ja.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747892" TargetMode="External"/><Relationship Id="rId57" Type="http://schemas.openxmlformats.org/officeDocument/2006/relationships/hyperlink" Target="http://www.nevo.co.il/case/28614520"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c" TargetMode="External"/><Relationship Id="rId52" Type="http://schemas.openxmlformats.org/officeDocument/2006/relationships/hyperlink" Target="http://www.nevo.co.il/law/70301/40i.a.1" TargetMode="External"/><Relationship Id="rId60" Type="http://schemas.openxmlformats.org/officeDocument/2006/relationships/hyperlink" Target="http://www.nevo.co.il/case/27272576" TargetMode="External"/><Relationship Id="rId65" Type="http://schemas.openxmlformats.org/officeDocument/2006/relationships/hyperlink" Target="http://www.nevo.co.il/case/20450586" TargetMode="External"/><Relationship Id="rId73" Type="http://schemas.openxmlformats.org/officeDocument/2006/relationships/hyperlink" Target="http://www.nevo.co.il/case/28614520"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40i.a.2"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7115374" TargetMode="External"/><Relationship Id="rId55" Type="http://schemas.openxmlformats.org/officeDocument/2006/relationships/hyperlink" Target="http://www.nevo.co.il/law/70301/40i.a.4" TargetMode="External"/><Relationship Id="rId76" Type="http://schemas.openxmlformats.org/officeDocument/2006/relationships/hyperlink" Target="http://www.nevo.co.il/law/70301/40d"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0f" TargetMode="External"/><Relationship Id="rId2" Type="http://schemas.openxmlformats.org/officeDocument/2006/relationships/styles" Target="styles.xml"/><Relationship Id="rId29" Type="http://schemas.openxmlformats.org/officeDocument/2006/relationships/hyperlink" Target="http://www.nevo.co.il/law/70301/40jc.a" TargetMode="External"/><Relationship Id="rId24" Type="http://schemas.openxmlformats.org/officeDocument/2006/relationships/hyperlink" Target="http://www.nevo.co.il/law/70301/340a.b.1" TargetMode="External"/><Relationship Id="rId40" Type="http://schemas.openxmlformats.org/officeDocument/2006/relationships/hyperlink" Target="http://www.nevo.co.il/law/70301/340a.b.1" TargetMode="External"/><Relationship Id="rId45" Type="http://schemas.openxmlformats.org/officeDocument/2006/relationships/hyperlink" Target="http://www.nevo.co.il/law/70301/40i" TargetMode="External"/><Relationship Id="rId66" Type="http://schemas.openxmlformats.org/officeDocument/2006/relationships/hyperlink" Target="http://www.nevo.co.il/case/207704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5847</Words>
  <Characters>29239</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35016</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6619233</vt:i4>
      </vt:variant>
      <vt:variant>
        <vt:i4>207</vt:i4>
      </vt:variant>
      <vt:variant>
        <vt:i4>0</vt:i4>
      </vt:variant>
      <vt:variant>
        <vt:i4>5</vt:i4>
      </vt:variant>
      <vt:variant>
        <vt:lpwstr>http://www.nevo.co.il/law/70301/40d</vt:lpwstr>
      </vt:variant>
      <vt:variant>
        <vt:lpwstr/>
      </vt:variant>
      <vt:variant>
        <vt:i4>6619233</vt:i4>
      </vt:variant>
      <vt:variant>
        <vt:i4>204</vt:i4>
      </vt:variant>
      <vt:variant>
        <vt:i4>0</vt:i4>
      </vt:variant>
      <vt:variant>
        <vt:i4>5</vt:i4>
      </vt:variant>
      <vt:variant>
        <vt:lpwstr>http://www.nevo.co.il/law/70301/40e</vt:lpwstr>
      </vt:variant>
      <vt:variant>
        <vt:lpwstr/>
      </vt:variant>
      <vt:variant>
        <vt:i4>3473521</vt:i4>
      </vt:variant>
      <vt:variant>
        <vt:i4>201</vt:i4>
      </vt:variant>
      <vt:variant>
        <vt:i4>0</vt:i4>
      </vt:variant>
      <vt:variant>
        <vt:i4>5</vt:i4>
      </vt:variant>
      <vt:variant>
        <vt:lpwstr>http://www.nevo.co.il/case/27272576</vt:lpwstr>
      </vt:variant>
      <vt:variant>
        <vt:lpwstr/>
      </vt:variant>
      <vt:variant>
        <vt:i4>3276920</vt:i4>
      </vt:variant>
      <vt:variant>
        <vt:i4>198</vt:i4>
      </vt:variant>
      <vt:variant>
        <vt:i4>0</vt:i4>
      </vt:variant>
      <vt:variant>
        <vt:i4>5</vt:i4>
      </vt:variant>
      <vt:variant>
        <vt:lpwstr>http://www.nevo.co.il/case/28614520</vt:lpwstr>
      </vt:variant>
      <vt:variant>
        <vt:lpwstr/>
      </vt:variant>
      <vt:variant>
        <vt:i4>6619233</vt:i4>
      </vt:variant>
      <vt:variant>
        <vt:i4>195</vt:i4>
      </vt:variant>
      <vt:variant>
        <vt:i4>0</vt:i4>
      </vt:variant>
      <vt:variant>
        <vt:i4>5</vt:i4>
      </vt:variant>
      <vt:variant>
        <vt:lpwstr>http://www.nevo.co.il/law/70301/40g</vt:lpwstr>
      </vt:variant>
      <vt:variant>
        <vt:lpwstr/>
      </vt:variant>
      <vt:variant>
        <vt:i4>6619233</vt:i4>
      </vt:variant>
      <vt:variant>
        <vt:i4>192</vt:i4>
      </vt:variant>
      <vt:variant>
        <vt:i4>0</vt:i4>
      </vt:variant>
      <vt:variant>
        <vt:i4>5</vt:i4>
      </vt:variant>
      <vt:variant>
        <vt:lpwstr>http://www.nevo.co.il/law/70301/40f</vt:lpwstr>
      </vt:variant>
      <vt:variant>
        <vt:lpwstr/>
      </vt:variant>
      <vt:variant>
        <vt:i4>3473445</vt:i4>
      </vt:variant>
      <vt:variant>
        <vt:i4>189</vt:i4>
      </vt:variant>
      <vt:variant>
        <vt:i4>0</vt:i4>
      </vt:variant>
      <vt:variant>
        <vt:i4>5</vt:i4>
      </vt:variant>
      <vt:variant>
        <vt:lpwstr>http://www.nevo.co.il/law/70301/40ja.11</vt:lpwstr>
      </vt:variant>
      <vt:variant>
        <vt:lpwstr/>
      </vt:variant>
      <vt:variant>
        <vt:i4>3145765</vt:i4>
      </vt:variant>
      <vt:variant>
        <vt:i4>186</vt:i4>
      </vt:variant>
      <vt:variant>
        <vt:i4>0</vt:i4>
      </vt:variant>
      <vt:variant>
        <vt:i4>5</vt:i4>
      </vt:variant>
      <vt:variant>
        <vt:lpwstr>http://www.nevo.co.il/law/70301/40ja.4</vt:lpwstr>
      </vt:variant>
      <vt:variant>
        <vt:lpwstr/>
      </vt:variant>
      <vt:variant>
        <vt:i4>3473445</vt:i4>
      </vt:variant>
      <vt:variant>
        <vt:i4>183</vt:i4>
      </vt:variant>
      <vt:variant>
        <vt:i4>0</vt:i4>
      </vt:variant>
      <vt:variant>
        <vt:i4>5</vt:i4>
      </vt:variant>
      <vt:variant>
        <vt:lpwstr>http://www.nevo.co.il/law/70301/40ja.1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3211383</vt:i4>
      </vt:variant>
      <vt:variant>
        <vt:i4>177</vt:i4>
      </vt:variant>
      <vt:variant>
        <vt:i4>0</vt:i4>
      </vt:variant>
      <vt:variant>
        <vt:i4>5</vt:i4>
      </vt:variant>
      <vt:variant>
        <vt:lpwstr>http://www.nevo.co.il/case/20770441</vt:lpwstr>
      </vt:variant>
      <vt:variant>
        <vt:lpwstr/>
      </vt:variant>
      <vt:variant>
        <vt:i4>4063348</vt:i4>
      </vt:variant>
      <vt:variant>
        <vt:i4>174</vt:i4>
      </vt:variant>
      <vt:variant>
        <vt:i4>0</vt:i4>
      </vt:variant>
      <vt:variant>
        <vt:i4>5</vt:i4>
      </vt:variant>
      <vt:variant>
        <vt:lpwstr>http://www.nevo.co.il/case/20450586</vt:lpwstr>
      </vt:variant>
      <vt:variant>
        <vt:lpwstr/>
      </vt:variant>
      <vt:variant>
        <vt:i4>3407988</vt:i4>
      </vt:variant>
      <vt:variant>
        <vt:i4>171</vt:i4>
      </vt:variant>
      <vt:variant>
        <vt:i4>0</vt:i4>
      </vt:variant>
      <vt:variant>
        <vt:i4>5</vt:i4>
      </vt:variant>
      <vt:variant>
        <vt:lpwstr>http://www.nevo.co.il/case/20032343</vt:lpwstr>
      </vt:variant>
      <vt:variant>
        <vt:lpwstr/>
      </vt:variant>
      <vt:variant>
        <vt:i4>3276915</vt:i4>
      </vt:variant>
      <vt:variant>
        <vt:i4>168</vt:i4>
      </vt:variant>
      <vt:variant>
        <vt:i4>0</vt:i4>
      </vt:variant>
      <vt:variant>
        <vt:i4>5</vt:i4>
      </vt:variant>
      <vt:variant>
        <vt:lpwstr>http://www.nevo.co.il/case/21477135</vt:lpwstr>
      </vt:variant>
      <vt:variant>
        <vt:lpwstr/>
      </vt:variant>
      <vt:variant>
        <vt:i4>3604606</vt:i4>
      </vt:variant>
      <vt:variant>
        <vt:i4>165</vt:i4>
      </vt:variant>
      <vt:variant>
        <vt:i4>0</vt:i4>
      </vt:variant>
      <vt:variant>
        <vt:i4>5</vt:i4>
      </vt:variant>
      <vt:variant>
        <vt:lpwstr>http://www.nevo.co.il/case/22791135</vt:lpwstr>
      </vt:variant>
      <vt:variant>
        <vt:lpwstr/>
      </vt:variant>
      <vt:variant>
        <vt:i4>3145843</vt:i4>
      </vt:variant>
      <vt:variant>
        <vt:i4>162</vt:i4>
      </vt:variant>
      <vt:variant>
        <vt:i4>0</vt:i4>
      </vt:variant>
      <vt:variant>
        <vt:i4>5</vt:i4>
      </vt:variant>
      <vt:variant>
        <vt:lpwstr>http://www.nevo.co.il/case/24269594</vt:lpwstr>
      </vt:variant>
      <vt:variant>
        <vt:lpwstr/>
      </vt:variant>
      <vt:variant>
        <vt:i4>3473521</vt:i4>
      </vt:variant>
      <vt:variant>
        <vt:i4>159</vt:i4>
      </vt:variant>
      <vt:variant>
        <vt:i4>0</vt:i4>
      </vt:variant>
      <vt:variant>
        <vt:i4>5</vt:i4>
      </vt:variant>
      <vt:variant>
        <vt:lpwstr>http://www.nevo.co.il/case/27272576</vt:lpwstr>
      </vt:variant>
      <vt:variant>
        <vt:lpwstr/>
      </vt:variant>
      <vt:variant>
        <vt:i4>3211377</vt:i4>
      </vt:variant>
      <vt:variant>
        <vt:i4>156</vt:i4>
      </vt:variant>
      <vt:variant>
        <vt:i4>0</vt:i4>
      </vt:variant>
      <vt:variant>
        <vt:i4>5</vt:i4>
      </vt:variant>
      <vt:variant>
        <vt:lpwstr>http://www.nevo.co.il/case/27115374</vt:lpwstr>
      </vt:variant>
      <vt:variant>
        <vt:lpwstr/>
      </vt:variant>
      <vt:variant>
        <vt:i4>3211388</vt:i4>
      </vt:variant>
      <vt:variant>
        <vt:i4>153</vt:i4>
      </vt:variant>
      <vt:variant>
        <vt:i4>0</vt:i4>
      </vt:variant>
      <vt:variant>
        <vt:i4>5</vt:i4>
      </vt:variant>
      <vt:variant>
        <vt:lpwstr>http://www.nevo.co.il/case/28280815</vt:lpwstr>
      </vt:variant>
      <vt:variant>
        <vt:lpwstr/>
      </vt:variant>
      <vt:variant>
        <vt:i4>3276920</vt:i4>
      </vt:variant>
      <vt:variant>
        <vt:i4>150</vt:i4>
      </vt:variant>
      <vt:variant>
        <vt:i4>0</vt:i4>
      </vt:variant>
      <vt:variant>
        <vt:i4>5</vt:i4>
      </vt:variant>
      <vt:variant>
        <vt:lpwstr>http://www.nevo.co.il/case/28614520</vt:lpwstr>
      </vt:variant>
      <vt:variant>
        <vt:lpwstr/>
      </vt:variant>
      <vt:variant>
        <vt:i4>5570648</vt:i4>
      </vt:variant>
      <vt:variant>
        <vt:i4>147</vt:i4>
      </vt:variant>
      <vt:variant>
        <vt:i4>0</vt:i4>
      </vt:variant>
      <vt:variant>
        <vt:i4>5</vt:i4>
      </vt:variant>
      <vt:variant>
        <vt:lpwstr>http://www.nevo.co.il/law/70301/40i.a.10</vt:lpwstr>
      </vt:variant>
      <vt:variant>
        <vt:lpwstr/>
      </vt:variant>
      <vt:variant>
        <vt:i4>6619241</vt:i4>
      </vt:variant>
      <vt:variant>
        <vt:i4>144</vt:i4>
      </vt:variant>
      <vt:variant>
        <vt:i4>0</vt:i4>
      </vt:variant>
      <vt:variant>
        <vt:i4>5</vt:i4>
      </vt:variant>
      <vt:variant>
        <vt:lpwstr>http://www.nevo.co.il/law/70301/40i.a.4</vt:lpwstr>
      </vt:variant>
      <vt:variant>
        <vt:lpwstr/>
      </vt:variant>
      <vt:variant>
        <vt:i4>6619241</vt:i4>
      </vt:variant>
      <vt:variant>
        <vt:i4>141</vt:i4>
      </vt:variant>
      <vt:variant>
        <vt:i4>0</vt:i4>
      </vt:variant>
      <vt:variant>
        <vt:i4>5</vt:i4>
      </vt:variant>
      <vt:variant>
        <vt:lpwstr>http://www.nevo.co.il/law/70301/40i.a.3</vt:lpwstr>
      </vt:variant>
      <vt:variant>
        <vt:lpwstr/>
      </vt:variant>
      <vt:variant>
        <vt:i4>6619241</vt:i4>
      </vt:variant>
      <vt:variant>
        <vt:i4>138</vt:i4>
      </vt:variant>
      <vt:variant>
        <vt:i4>0</vt:i4>
      </vt:variant>
      <vt:variant>
        <vt:i4>5</vt:i4>
      </vt:variant>
      <vt:variant>
        <vt:lpwstr>http://www.nevo.co.il/law/70301/40i.a.2</vt:lpwstr>
      </vt:variant>
      <vt:variant>
        <vt:lpwstr/>
      </vt:variant>
      <vt:variant>
        <vt:i4>6619241</vt:i4>
      </vt:variant>
      <vt:variant>
        <vt:i4>135</vt:i4>
      </vt:variant>
      <vt:variant>
        <vt:i4>0</vt:i4>
      </vt:variant>
      <vt:variant>
        <vt:i4>5</vt:i4>
      </vt:variant>
      <vt:variant>
        <vt:lpwstr>http://www.nevo.co.il/law/70301/40i.a.1</vt:lpwstr>
      </vt:variant>
      <vt:variant>
        <vt:lpwstr/>
      </vt:variant>
      <vt:variant>
        <vt:i4>4915208</vt:i4>
      </vt:variant>
      <vt:variant>
        <vt:i4>132</vt:i4>
      </vt:variant>
      <vt:variant>
        <vt:i4>0</vt:i4>
      </vt:variant>
      <vt:variant>
        <vt:i4>5</vt:i4>
      </vt:variant>
      <vt:variant>
        <vt:lpwstr>http://www.nevo.co.il/law/70301/40i.a</vt:lpwstr>
      </vt:variant>
      <vt:variant>
        <vt:lpwstr/>
      </vt:variant>
      <vt:variant>
        <vt:i4>3211377</vt:i4>
      </vt:variant>
      <vt:variant>
        <vt:i4>129</vt:i4>
      </vt:variant>
      <vt:variant>
        <vt:i4>0</vt:i4>
      </vt:variant>
      <vt:variant>
        <vt:i4>5</vt:i4>
      </vt:variant>
      <vt:variant>
        <vt:lpwstr>http://www.nevo.co.il/case/27115374</vt:lpwstr>
      </vt:variant>
      <vt:variant>
        <vt:lpwstr/>
      </vt:variant>
      <vt:variant>
        <vt:i4>3866750</vt:i4>
      </vt:variant>
      <vt:variant>
        <vt:i4>126</vt:i4>
      </vt:variant>
      <vt:variant>
        <vt:i4>0</vt:i4>
      </vt:variant>
      <vt:variant>
        <vt:i4>5</vt:i4>
      </vt:variant>
      <vt:variant>
        <vt:lpwstr>http://www.nevo.co.il/case/26747892</vt:lpwstr>
      </vt:variant>
      <vt:variant>
        <vt:lpwstr/>
      </vt:variant>
      <vt:variant>
        <vt:i4>3145840</vt:i4>
      </vt:variant>
      <vt:variant>
        <vt:i4>123</vt:i4>
      </vt:variant>
      <vt:variant>
        <vt:i4>0</vt:i4>
      </vt:variant>
      <vt:variant>
        <vt:i4>5</vt:i4>
      </vt:variant>
      <vt:variant>
        <vt:lpwstr>http://www.nevo.co.il/case/25723369</vt:lpwstr>
      </vt:variant>
      <vt:variant>
        <vt:lpwstr/>
      </vt:variant>
      <vt:variant>
        <vt:i4>3342459</vt:i4>
      </vt:variant>
      <vt:variant>
        <vt:i4>120</vt:i4>
      </vt:variant>
      <vt:variant>
        <vt:i4>0</vt:i4>
      </vt:variant>
      <vt:variant>
        <vt:i4>5</vt:i4>
      </vt:variant>
      <vt:variant>
        <vt:lpwstr>http://www.nevo.co.il/case/5920165</vt:lpwstr>
      </vt:variant>
      <vt:variant>
        <vt:lpwstr/>
      </vt:variant>
      <vt:variant>
        <vt:i4>6750245</vt:i4>
      </vt:variant>
      <vt:variant>
        <vt:i4>117</vt:i4>
      </vt:variant>
      <vt:variant>
        <vt:i4>0</vt:i4>
      </vt:variant>
      <vt:variant>
        <vt:i4>5</vt:i4>
      </vt:variant>
      <vt:variant>
        <vt:lpwstr>http://www.nevo.co.il/law/70301/40jc.a</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6619233</vt:i4>
      </vt:variant>
      <vt:variant>
        <vt:i4>111</vt:i4>
      </vt:variant>
      <vt:variant>
        <vt:i4>0</vt:i4>
      </vt:variant>
      <vt:variant>
        <vt:i4>5</vt:i4>
      </vt:variant>
      <vt:variant>
        <vt:lpwstr>http://www.nevo.co.il/law/70301/40c</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3145840</vt:i4>
      </vt:variant>
      <vt:variant>
        <vt:i4>105</vt:i4>
      </vt:variant>
      <vt:variant>
        <vt:i4>0</vt:i4>
      </vt:variant>
      <vt:variant>
        <vt:i4>5</vt:i4>
      </vt:variant>
      <vt:variant>
        <vt:lpwstr>http://www.nevo.co.il/case/27535026</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5439574</vt:i4>
      </vt:variant>
      <vt:variant>
        <vt:i4>99</vt:i4>
      </vt:variant>
      <vt:variant>
        <vt:i4>0</vt:i4>
      </vt:variant>
      <vt:variant>
        <vt:i4>5</vt:i4>
      </vt:variant>
      <vt:variant>
        <vt:lpwstr>http://www.nevo.co.il/law/70301/340a.b.1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7995492</vt:i4>
      </vt:variant>
      <vt:variant>
        <vt:i4>93</vt:i4>
      </vt:variant>
      <vt:variant>
        <vt:i4>0</vt:i4>
      </vt:variant>
      <vt:variant>
        <vt:i4>5</vt:i4>
      </vt:variant>
      <vt:variant>
        <vt:lpwstr>http://www.nevo.co.il/law/70301</vt:lpwstr>
      </vt:variant>
      <vt:variant>
        <vt:lpwstr/>
      </vt:variant>
      <vt:variant>
        <vt:i4>6750270</vt:i4>
      </vt:variant>
      <vt:variant>
        <vt:i4>90</vt:i4>
      </vt:variant>
      <vt:variant>
        <vt:i4>0</vt:i4>
      </vt:variant>
      <vt:variant>
        <vt:i4>5</vt:i4>
      </vt:variant>
      <vt:variant>
        <vt:lpwstr>http://www.nevo.co.il/law/70301/329.a.1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6750310</vt:i4>
      </vt:variant>
      <vt:variant>
        <vt:i4>84</vt:i4>
      </vt:variant>
      <vt:variant>
        <vt:i4>0</vt:i4>
      </vt:variant>
      <vt:variant>
        <vt:i4>5</vt:i4>
      </vt:variant>
      <vt:variant>
        <vt:lpwstr>http://www.nevo.co.il/law/70301/329</vt:lpwstr>
      </vt:variant>
      <vt:variant>
        <vt:lpwstr/>
      </vt:variant>
      <vt:variant>
        <vt:i4>7995492</vt:i4>
      </vt:variant>
      <vt:variant>
        <vt:i4>81</vt:i4>
      </vt:variant>
      <vt:variant>
        <vt:i4>0</vt:i4>
      </vt:variant>
      <vt:variant>
        <vt:i4>5</vt:i4>
      </vt:variant>
      <vt:variant>
        <vt:lpwstr>http://www.nevo.co.il/law/70301</vt:lpwstr>
      </vt:variant>
      <vt:variant>
        <vt:lpwstr/>
      </vt:variant>
      <vt:variant>
        <vt:i4>5439574</vt:i4>
      </vt:variant>
      <vt:variant>
        <vt:i4>78</vt:i4>
      </vt:variant>
      <vt:variant>
        <vt:i4>0</vt:i4>
      </vt:variant>
      <vt:variant>
        <vt:i4>5</vt:i4>
      </vt:variant>
      <vt:variant>
        <vt:lpwstr>http://www.nevo.co.il/law/70301/340a.b.1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6750270</vt:i4>
      </vt:variant>
      <vt:variant>
        <vt:i4>69</vt:i4>
      </vt:variant>
      <vt:variant>
        <vt:i4>0</vt:i4>
      </vt:variant>
      <vt:variant>
        <vt:i4>5</vt:i4>
      </vt:variant>
      <vt:variant>
        <vt:lpwstr>http://www.nevo.co.il/law/70301/329.a.1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3145765</vt:i4>
      </vt:variant>
      <vt:variant>
        <vt:i4>63</vt:i4>
      </vt:variant>
      <vt:variant>
        <vt:i4>0</vt:i4>
      </vt:variant>
      <vt:variant>
        <vt:i4>5</vt:i4>
      </vt:variant>
      <vt:variant>
        <vt:lpwstr>http://www.nevo.co.il/law/70301/40ja.4</vt:lpwstr>
      </vt:variant>
      <vt:variant>
        <vt:lpwstr/>
      </vt:variant>
      <vt:variant>
        <vt:i4>3473445</vt:i4>
      </vt:variant>
      <vt:variant>
        <vt:i4>60</vt:i4>
      </vt:variant>
      <vt:variant>
        <vt:i4>0</vt:i4>
      </vt:variant>
      <vt:variant>
        <vt:i4>5</vt:i4>
      </vt:variant>
      <vt:variant>
        <vt:lpwstr>http://www.nevo.co.il/law/70301/40ja.11</vt:lpwstr>
      </vt:variant>
      <vt:variant>
        <vt:lpwstr/>
      </vt:variant>
      <vt:variant>
        <vt:i4>3473445</vt:i4>
      </vt:variant>
      <vt:variant>
        <vt:i4>57</vt:i4>
      </vt:variant>
      <vt:variant>
        <vt:i4>0</vt:i4>
      </vt:variant>
      <vt:variant>
        <vt:i4>5</vt:i4>
      </vt:variant>
      <vt:variant>
        <vt:lpwstr>http://www.nevo.co.il/law/70301/40ja.1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6750270</vt:i4>
      </vt:variant>
      <vt:variant>
        <vt:i4>48</vt:i4>
      </vt:variant>
      <vt:variant>
        <vt:i4>0</vt:i4>
      </vt:variant>
      <vt:variant>
        <vt:i4>5</vt:i4>
      </vt:variant>
      <vt:variant>
        <vt:lpwstr>http://www.nevo.co.il/law/70301/329.a.1</vt:lpwstr>
      </vt:variant>
      <vt:variant>
        <vt:lpwstr/>
      </vt:variant>
      <vt:variant>
        <vt:i4>6750310</vt:i4>
      </vt:variant>
      <vt:variant>
        <vt:i4>45</vt:i4>
      </vt:variant>
      <vt:variant>
        <vt:i4>0</vt:i4>
      </vt:variant>
      <vt:variant>
        <vt:i4>5</vt:i4>
      </vt:variant>
      <vt:variant>
        <vt:lpwstr>http://www.nevo.co.il/law/70301/329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6619241</vt:i4>
      </vt:variant>
      <vt:variant>
        <vt:i4>39</vt:i4>
      </vt:variant>
      <vt:variant>
        <vt:i4>0</vt:i4>
      </vt:variant>
      <vt:variant>
        <vt:i4>5</vt:i4>
      </vt:variant>
      <vt:variant>
        <vt:lpwstr>http://www.nevo.co.il/law/70301/40i.a.4</vt:lpwstr>
      </vt:variant>
      <vt:variant>
        <vt:lpwstr/>
      </vt:variant>
      <vt:variant>
        <vt:i4>6619241</vt:i4>
      </vt:variant>
      <vt:variant>
        <vt:i4>36</vt:i4>
      </vt:variant>
      <vt:variant>
        <vt:i4>0</vt:i4>
      </vt:variant>
      <vt:variant>
        <vt:i4>5</vt:i4>
      </vt:variant>
      <vt:variant>
        <vt:lpwstr>http://www.nevo.co.il/law/70301/40i.a.3</vt:lpwstr>
      </vt:variant>
      <vt:variant>
        <vt:lpwstr/>
      </vt:variant>
      <vt:variant>
        <vt:i4>6619241</vt:i4>
      </vt:variant>
      <vt:variant>
        <vt:i4>33</vt:i4>
      </vt:variant>
      <vt:variant>
        <vt:i4>0</vt:i4>
      </vt:variant>
      <vt:variant>
        <vt:i4>5</vt:i4>
      </vt:variant>
      <vt:variant>
        <vt:lpwstr>http://www.nevo.co.il/law/70301/40i.a.2</vt:lpwstr>
      </vt:variant>
      <vt:variant>
        <vt:lpwstr/>
      </vt:variant>
      <vt:variant>
        <vt:i4>5570648</vt:i4>
      </vt:variant>
      <vt:variant>
        <vt:i4>30</vt:i4>
      </vt:variant>
      <vt:variant>
        <vt:i4>0</vt:i4>
      </vt:variant>
      <vt:variant>
        <vt:i4>5</vt:i4>
      </vt:variant>
      <vt:variant>
        <vt:lpwstr>http://www.nevo.co.il/law/70301/40i.a.10</vt:lpwstr>
      </vt:variant>
      <vt:variant>
        <vt:lpwstr/>
      </vt:variant>
      <vt:variant>
        <vt:i4>6619241</vt:i4>
      </vt:variant>
      <vt:variant>
        <vt:i4>27</vt:i4>
      </vt:variant>
      <vt:variant>
        <vt:i4>0</vt:i4>
      </vt:variant>
      <vt:variant>
        <vt:i4>5</vt:i4>
      </vt:variant>
      <vt:variant>
        <vt:lpwstr>http://www.nevo.co.il/law/70301/40i.a.1</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17865</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אחמד אלעביד</vt:lpwstr>
  </property>
  <property fmtid="{D5CDD505-2E9C-101B-9397-08002B2CF9AE}" pid="10" name="LAWYER">
    <vt:lpwstr>פנינה לוי;אורי בן נתן;שיר שם טוב</vt:lpwstr>
  </property>
  <property fmtid="{D5CDD505-2E9C-101B-9397-08002B2CF9AE}" pid="11" name="JUDGE">
    <vt:lpwstr>גלעד נויטל;טלי חיימוביץ;לימור ביבי</vt:lpwstr>
  </property>
  <property fmtid="{D5CDD505-2E9C-101B-9397-08002B2CF9AE}" pid="12" name="CITY">
    <vt:lpwstr>ת"א</vt:lpwstr>
  </property>
  <property fmtid="{D5CDD505-2E9C-101B-9397-08002B2CF9AE}" pid="13" name="DATE">
    <vt:lpwstr>20241006</vt:lpwstr>
  </property>
  <property fmtid="{D5CDD505-2E9C-101B-9397-08002B2CF9AE}" pid="14" name="TYPE_N_DATE">
    <vt:lpwstr>39020241006</vt:lpwstr>
  </property>
  <property fmtid="{D5CDD505-2E9C-101B-9397-08002B2CF9AE}" pid="15" name="ISABSTRACT">
    <vt:lpwstr>Y</vt:lpwstr>
  </property>
  <property fmtid="{D5CDD505-2E9C-101B-9397-08002B2CF9AE}" pid="16" name="WORDNUMPAGES">
    <vt:lpwstr>13</vt:lpwstr>
  </property>
  <property fmtid="{D5CDD505-2E9C-101B-9397-08002B2CF9AE}" pid="17" name="TYPE_ABS_DATE">
    <vt:lpwstr>390120241006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13093721;27535026;5920165;25723369;26747892;27115374:2;28614520:2;28280815;27272576:2;24269594;22791135;21477135;20032343;20450586;20770441</vt:lpwstr>
  </property>
  <property fmtid="{D5CDD505-2E9C-101B-9397-08002B2CF9AE}" pid="36" name="LAWLISTTMP1">
    <vt:lpwstr>70301/329.a.1:2;144.b:2;340a.b.1:2;329;040b;040c;040i;40jc.a;040i.a;040i.a.1;040i.a.2;040i.a.3;040i.a.4;040i.a.10;40ja;40ja.1;40ja.4;40ja.11;040f;040g;040e;040d</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19401;13800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חבלה בכוונה מחמירה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20241010</vt:lpwstr>
  </property>
</Properties>
</file>