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724E0C" w:rsidRPr="008024C2" w14:paraId="6ED4379A" w14:textId="77777777" w:rsidTr="00DB48F1">
        <w:trPr>
          <w:gridAfter w:val="1"/>
          <w:wAfter w:w="99" w:type="dxa"/>
          <w:trHeight w:hRule="exact" w:val="418"/>
          <w:jc w:val="center"/>
        </w:trPr>
        <w:tc>
          <w:tcPr>
            <w:tcW w:w="8721" w:type="dxa"/>
            <w:gridSpan w:val="4"/>
          </w:tcPr>
          <w:p w14:paraId="47825A6F" w14:textId="77777777" w:rsidR="00724E0C" w:rsidRPr="008024C2" w:rsidRDefault="00724E0C" w:rsidP="00780190">
            <w:pPr>
              <w:pStyle w:val="a3"/>
              <w:jc w:val="center"/>
              <w:rPr>
                <w:rFonts w:ascii="Tahoma" w:hAnsi="Tahoma" w:cs="Tahoma"/>
                <w:color w:val="000080"/>
                <w:rtl/>
              </w:rPr>
            </w:pPr>
            <w:bookmarkStart w:id="0" w:name="LastJudge"/>
            <w:r w:rsidRPr="008024C2">
              <w:rPr>
                <w:rFonts w:ascii="Tahoma" w:hAnsi="Tahoma" w:cs="Tahoma"/>
                <w:b/>
                <w:bCs/>
                <w:color w:val="000080"/>
                <w:rtl/>
              </w:rPr>
              <w:t>בית המשפט המחוזי בחיפה</w:t>
            </w:r>
          </w:p>
        </w:tc>
      </w:tr>
      <w:tr w:rsidR="00724E0C" w:rsidRPr="008024C2" w14:paraId="078AE57C" w14:textId="77777777" w:rsidTr="00DB48F1">
        <w:trPr>
          <w:gridAfter w:val="1"/>
          <w:wAfter w:w="99" w:type="dxa"/>
          <w:trHeight w:val="337"/>
          <w:jc w:val="center"/>
        </w:trPr>
        <w:tc>
          <w:tcPr>
            <w:tcW w:w="5057" w:type="dxa"/>
            <w:gridSpan w:val="3"/>
          </w:tcPr>
          <w:p w14:paraId="5E6602A2" w14:textId="77777777" w:rsidR="00724E0C" w:rsidRPr="008024C2" w:rsidRDefault="00724E0C" w:rsidP="00780190">
            <w:pPr>
              <w:rPr>
                <w:rFonts w:cs="FrankRuehl"/>
                <w:sz w:val="28"/>
                <w:szCs w:val="28"/>
                <w:rtl/>
              </w:rPr>
            </w:pPr>
            <w:r w:rsidRPr="008024C2">
              <w:rPr>
                <w:rFonts w:cs="FrankRuehl"/>
                <w:sz w:val="28"/>
                <w:szCs w:val="28"/>
                <w:rtl/>
              </w:rPr>
              <w:t>ת"פ</w:t>
            </w:r>
            <w:r w:rsidRPr="008024C2">
              <w:rPr>
                <w:rFonts w:cs="FrankRuehl" w:hint="cs"/>
                <w:sz w:val="28"/>
                <w:szCs w:val="28"/>
                <w:rtl/>
              </w:rPr>
              <w:t xml:space="preserve"> </w:t>
            </w:r>
            <w:r w:rsidRPr="008024C2">
              <w:rPr>
                <w:rFonts w:cs="FrankRuehl"/>
                <w:sz w:val="28"/>
                <w:szCs w:val="28"/>
                <w:rtl/>
              </w:rPr>
              <w:t>26567-11-21</w:t>
            </w:r>
            <w:r w:rsidRPr="008024C2">
              <w:rPr>
                <w:rFonts w:cs="FrankRuehl" w:hint="cs"/>
                <w:sz w:val="28"/>
                <w:szCs w:val="28"/>
                <w:rtl/>
              </w:rPr>
              <w:t xml:space="preserve"> </w:t>
            </w:r>
            <w:r w:rsidRPr="008024C2">
              <w:rPr>
                <w:rFonts w:cs="FrankRuehl"/>
                <w:sz w:val="28"/>
                <w:szCs w:val="28"/>
                <w:rtl/>
              </w:rPr>
              <w:t>מדינת ישראל נ' ח'יר(עציר)</w:t>
            </w:r>
          </w:p>
          <w:p w14:paraId="0A7FEC14" w14:textId="77777777" w:rsidR="00724E0C" w:rsidRPr="008024C2" w:rsidRDefault="00724E0C" w:rsidP="00780190">
            <w:pPr>
              <w:pStyle w:val="a3"/>
              <w:rPr>
                <w:rFonts w:cs="FrankRuehl"/>
                <w:sz w:val="28"/>
                <w:szCs w:val="28"/>
                <w:rtl/>
              </w:rPr>
            </w:pPr>
          </w:p>
        </w:tc>
        <w:tc>
          <w:tcPr>
            <w:tcW w:w="3664" w:type="dxa"/>
          </w:tcPr>
          <w:p w14:paraId="68906BF8" w14:textId="77777777" w:rsidR="00724E0C" w:rsidRPr="008024C2" w:rsidRDefault="00724E0C" w:rsidP="00780190">
            <w:pPr>
              <w:pStyle w:val="a3"/>
              <w:jc w:val="right"/>
              <w:rPr>
                <w:rFonts w:cs="FrankRuehl"/>
                <w:sz w:val="28"/>
                <w:szCs w:val="28"/>
                <w:rtl/>
              </w:rPr>
            </w:pPr>
          </w:p>
        </w:tc>
      </w:tr>
      <w:tr w:rsidR="00724E0C" w:rsidRPr="008024C2" w14:paraId="50E7BCD9" w14:textId="77777777" w:rsidTr="00DB48F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6927819" w14:textId="77777777" w:rsidR="00724E0C" w:rsidRPr="008024C2" w:rsidRDefault="00724E0C" w:rsidP="00724E0C">
            <w:pPr>
              <w:jc w:val="both"/>
              <w:rPr>
                <w:rFonts w:ascii="David" w:hAnsi="David"/>
                <w:sz w:val="26"/>
                <w:szCs w:val="26"/>
              </w:rPr>
            </w:pPr>
            <w:r w:rsidRPr="008024C2">
              <w:rPr>
                <w:rFonts w:hint="cs"/>
                <w:rtl/>
              </w:rPr>
              <w:t xml:space="preserve"> </w:t>
            </w:r>
            <w:r w:rsidRPr="008024C2">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6C163DCE" w14:textId="77777777" w:rsidR="00724E0C" w:rsidRPr="008024C2" w:rsidRDefault="00724E0C" w:rsidP="00780190">
            <w:pPr>
              <w:rPr>
                <w:rFonts w:ascii="David" w:hAnsi="David"/>
                <w:b/>
                <w:bCs/>
                <w:sz w:val="26"/>
                <w:szCs w:val="26"/>
                <w:rtl/>
              </w:rPr>
            </w:pPr>
            <w:r w:rsidRPr="008024C2">
              <w:rPr>
                <w:rFonts w:ascii="David" w:hAnsi="David"/>
                <w:b/>
                <w:bCs/>
                <w:sz w:val="26"/>
                <w:szCs w:val="26"/>
                <w:rtl/>
              </w:rPr>
              <w:t>כבוד השופט  סארי ג'יוסי</w:t>
            </w:r>
          </w:p>
          <w:p w14:paraId="2C4E093D" w14:textId="77777777" w:rsidR="00724E0C" w:rsidRPr="008024C2" w:rsidRDefault="00724E0C" w:rsidP="00780190">
            <w:pPr>
              <w:rPr>
                <w:rFonts w:ascii="David" w:hAnsi="David"/>
                <w:sz w:val="26"/>
                <w:szCs w:val="26"/>
                <w:rtl/>
              </w:rPr>
            </w:pPr>
          </w:p>
          <w:p w14:paraId="48C5374F" w14:textId="77777777" w:rsidR="00724E0C" w:rsidRPr="008024C2" w:rsidRDefault="00724E0C" w:rsidP="00724E0C">
            <w:pPr>
              <w:jc w:val="both"/>
              <w:rPr>
                <w:rFonts w:ascii="David" w:hAnsi="David"/>
                <w:sz w:val="26"/>
                <w:szCs w:val="26"/>
              </w:rPr>
            </w:pPr>
          </w:p>
        </w:tc>
      </w:tr>
      <w:tr w:rsidR="00724E0C" w:rsidRPr="008024C2" w14:paraId="1505DEF7" w14:textId="77777777" w:rsidTr="00DB48F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544A0EE" w14:textId="77777777" w:rsidR="00724E0C" w:rsidRPr="008024C2" w:rsidRDefault="00724E0C" w:rsidP="00724E0C">
            <w:pPr>
              <w:jc w:val="both"/>
              <w:rPr>
                <w:rFonts w:ascii="David" w:hAnsi="David"/>
                <w:sz w:val="26"/>
                <w:szCs w:val="26"/>
              </w:rPr>
            </w:pPr>
            <w:bookmarkStart w:id="1" w:name="FirstAppellant"/>
            <w:r w:rsidRPr="008024C2">
              <w:rPr>
                <w:rFonts w:ascii="David" w:hAnsi="David"/>
                <w:sz w:val="26"/>
                <w:szCs w:val="26"/>
                <w:rtl/>
              </w:rPr>
              <w:t>בעניין:</w:t>
            </w:r>
          </w:p>
        </w:tc>
        <w:tc>
          <w:tcPr>
            <w:tcW w:w="3219" w:type="dxa"/>
            <w:tcBorders>
              <w:top w:val="nil"/>
              <w:left w:val="nil"/>
              <w:bottom w:val="nil"/>
              <w:right w:val="nil"/>
            </w:tcBorders>
            <w:shd w:val="clear" w:color="auto" w:fill="auto"/>
          </w:tcPr>
          <w:p w14:paraId="14DEAAF9" w14:textId="77777777" w:rsidR="00724E0C" w:rsidRPr="008024C2" w:rsidRDefault="00724E0C" w:rsidP="00724E0C">
            <w:pPr>
              <w:suppressLineNumbers/>
            </w:pPr>
            <w:r w:rsidRPr="008024C2">
              <w:rPr>
                <w:rFonts w:ascii="Arial" w:hAnsi="Arial" w:hint="cs"/>
                <w:b/>
                <w:bCs/>
                <w:sz w:val="26"/>
                <w:szCs w:val="26"/>
                <w:rtl/>
              </w:rPr>
              <w:t>ה</w:t>
            </w:r>
            <w:r w:rsidRPr="008024C2">
              <w:rPr>
                <w:rFonts w:ascii="Arial" w:hAnsi="Arial"/>
                <w:b/>
                <w:bCs/>
                <w:sz w:val="26"/>
                <w:szCs w:val="26"/>
                <w:rtl/>
              </w:rPr>
              <w:t>מאשימה</w:t>
            </w:r>
          </w:p>
          <w:p w14:paraId="3D51C423" w14:textId="77777777" w:rsidR="00724E0C" w:rsidRPr="008024C2" w:rsidRDefault="00724E0C" w:rsidP="00780190">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04DE369B" w14:textId="77777777" w:rsidR="00724E0C" w:rsidRPr="008024C2" w:rsidRDefault="00724E0C" w:rsidP="00724E0C">
            <w:pPr>
              <w:suppressLineNumbers/>
              <w:rPr>
                <w:rFonts w:ascii="Arial" w:hAnsi="Arial"/>
                <w:b/>
                <w:bCs/>
                <w:sz w:val="26"/>
                <w:szCs w:val="26"/>
                <w:rtl/>
              </w:rPr>
            </w:pPr>
            <w:r w:rsidRPr="008024C2">
              <w:rPr>
                <w:rFonts w:ascii="Arial" w:hAnsi="Arial"/>
                <w:b/>
                <w:bCs/>
                <w:sz w:val="26"/>
                <w:szCs w:val="26"/>
                <w:rtl/>
              </w:rPr>
              <w:t>מדינת ישראל</w:t>
            </w:r>
            <w:r w:rsidRPr="008024C2">
              <w:rPr>
                <w:rFonts w:ascii="Arial" w:hAnsi="Arial" w:hint="cs"/>
                <w:b/>
                <w:bCs/>
                <w:sz w:val="26"/>
                <w:szCs w:val="26"/>
                <w:rtl/>
              </w:rPr>
              <w:t xml:space="preserve"> </w:t>
            </w:r>
          </w:p>
          <w:p w14:paraId="5BE17B26" w14:textId="77777777" w:rsidR="00724E0C" w:rsidRPr="008024C2" w:rsidRDefault="00724E0C" w:rsidP="00724E0C">
            <w:pPr>
              <w:suppressLineNumbers/>
            </w:pPr>
            <w:r w:rsidRPr="008024C2">
              <w:rPr>
                <w:rFonts w:ascii="Arial" w:hAnsi="Arial" w:hint="cs"/>
                <w:b/>
                <w:bCs/>
                <w:sz w:val="26"/>
                <w:szCs w:val="26"/>
                <w:rtl/>
              </w:rPr>
              <w:t>באמצעות</w:t>
            </w:r>
            <w:r w:rsidRPr="008024C2">
              <w:rPr>
                <w:rFonts w:ascii="Arial" w:hAnsi="Arial"/>
                <w:b/>
                <w:bCs/>
                <w:sz w:val="26"/>
                <w:szCs w:val="26"/>
                <w:rtl/>
              </w:rPr>
              <w:t xml:space="preserve"> </w:t>
            </w:r>
            <w:r w:rsidRPr="008024C2">
              <w:rPr>
                <w:rFonts w:ascii="Arial" w:hAnsi="Arial" w:hint="cs"/>
                <w:b/>
                <w:bCs/>
                <w:sz w:val="26"/>
                <w:szCs w:val="26"/>
                <w:rtl/>
              </w:rPr>
              <w:t>פרקליטות מחוז חיפה - פלילי</w:t>
            </w:r>
          </w:p>
          <w:p w14:paraId="743E4C66" w14:textId="77777777" w:rsidR="00724E0C" w:rsidRPr="008024C2" w:rsidRDefault="00724E0C" w:rsidP="00780190">
            <w:pPr>
              <w:rPr>
                <w:rFonts w:ascii="David" w:hAnsi="David"/>
                <w:sz w:val="26"/>
                <w:szCs w:val="26"/>
              </w:rPr>
            </w:pPr>
          </w:p>
        </w:tc>
      </w:tr>
      <w:bookmarkEnd w:id="1"/>
      <w:tr w:rsidR="00724E0C" w:rsidRPr="008024C2" w14:paraId="021C8E57" w14:textId="77777777" w:rsidTr="00DB48F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D477197" w14:textId="77777777" w:rsidR="00724E0C" w:rsidRPr="008024C2" w:rsidRDefault="00724E0C" w:rsidP="00724E0C">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8DD68BF" w14:textId="77777777" w:rsidR="00724E0C" w:rsidRPr="008024C2" w:rsidRDefault="00724E0C" w:rsidP="00724E0C">
            <w:pPr>
              <w:jc w:val="center"/>
              <w:rPr>
                <w:rFonts w:ascii="David" w:hAnsi="David"/>
                <w:b/>
                <w:bCs/>
                <w:sz w:val="26"/>
                <w:szCs w:val="26"/>
                <w:rtl/>
              </w:rPr>
            </w:pPr>
          </w:p>
          <w:p w14:paraId="41085EBF" w14:textId="77777777" w:rsidR="00724E0C" w:rsidRPr="008024C2" w:rsidRDefault="00724E0C" w:rsidP="00724E0C">
            <w:pPr>
              <w:jc w:val="center"/>
              <w:rPr>
                <w:rFonts w:ascii="David" w:hAnsi="David"/>
                <w:b/>
                <w:bCs/>
                <w:sz w:val="26"/>
                <w:szCs w:val="26"/>
                <w:rtl/>
              </w:rPr>
            </w:pPr>
            <w:r w:rsidRPr="008024C2">
              <w:rPr>
                <w:rFonts w:ascii="David" w:hAnsi="David"/>
                <w:b/>
                <w:bCs/>
                <w:sz w:val="26"/>
                <w:szCs w:val="26"/>
                <w:rtl/>
              </w:rPr>
              <w:t>נגד</w:t>
            </w:r>
          </w:p>
          <w:p w14:paraId="7927ACC9" w14:textId="77777777" w:rsidR="00724E0C" w:rsidRPr="008024C2" w:rsidRDefault="00724E0C" w:rsidP="00724E0C">
            <w:pPr>
              <w:jc w:val="both"/>
              <w:rPr>
                <w:rFonts w:ascii="David" w:hAnsi="David"/>
                <w:sz w:val="26"/>
                <w:szCs w:val="26"/>
              </w:rPr>
            </w:pPr>
          </w:p>
        </w:tc>
      </w:tr>
      <w:tr w:rsidR="00724E0C" w:rsidRPr="008024C2" w14:paraId="6DF064AB" w14:textId="77777777" w:rsidTr="00DB48F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C8D41B3" w14:textId="77777777" w:rsidR="00724E0C" w:rsidRPr="008024C2" w:rsidRDefault="00724E0C" w:rsidP="00780190">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721E3C4E" w14:textId="77777777" w:rsidR="00724E0C" w:rsidRPr="008024C2" w:rsidRDefault="00724E0C" w:rsidP="00780190">
            <w:pPr>
              <w:rPr>
                <w:rFonts w:ascii="Arial" w:hAnsi="Arial"/>
                <w:b/>
                <w:bCs/>
                <w:sz w:val="26"/>
                <w:szCs w:val="26"/>
                <w:rtl/>
              </w:rPr>
            </w:pPr>
            <w:r w:rsidRPr="008024C2">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0CFC69BC" w14:textId="77777777" w:rsidR="00724E0C" w:rsidRPr="008024C2" w:rsidRDefault="00724E0C" w:rsidP="00724E0C">
            <w:pPr>
              <w:suppressLineNumbers/>
              <w:rPr>
                <w:rFonts w:ascii="Arial" w:hAnsi="Arial"/>
                <w:b/>
                <w:bCs/>
                <w:sz w:val="26"/>
                <w:szCs w:val="26"/>
                <w:rtl/>
              </w:rPr>
            </w:pPr>
            <w:r w:rsidRPr="008024C2">
              <w:rPr>
                <w:rFonts w:ascii="Arial" w:hAnsi="Arial"/>
                <w:b/>
                <w:bCs/>
                <w:sz w:val="26"/>
                <w:szCs w:val="26"/>
                <w:rtl/>
              </w:rPr>
              <w:t>עדנאן ח'יר (עציר)</w:t>
            </w:r>
            <w:r w:rsidRPr="008024C2">
              <w:rPr>
                <w:rFonts w:ascii="Arial" w:hAnsi="Arial" w:hint="cs"/>
                <w:b/>
                <w:bCs/>
                <w:sz w:val="26"/>
                <w:szCs w:val="26"/>
                <w:rtl/>
              </w:rPr>
              <w:t xml:space="preserve"> </w:t>
            </w:r>
          </w:p>
          <w:p w14:paraId="4A710C44" w14:textId="77777777" w:rsidR="00724E0C" w:rsidRPr="008024C2" w:rsidRDefault="00724E0C" w:rsidP="00724E0C">
            <w:pPr>
              <w:suppressLineNumbers/>
              <w:rPr>
                <w:rFonts w:ascii="David" w:hAnsi="David"/>
                <w:sz w:val="26"/>
                <w:szCs w:val="26"/>
              </w:rPr>
            </w:pPr>
            <w:r w:rsidRPr="008024C2">
              <w:rPr>
                <w:rFonts w:ascii="Arial" w:hAnsi="Arial"/>
                <w:b/>
                <w:bCs/>
                <w:sz w:val="26"/>
                <w:szCs w:val="26"/>
                <w:rtl/>
              </w:rPr>
              <w:t>ע"י ב"כ עוה"</w:t>
            </w:r>
            <w:r w:rsidRPr="008024C2">
              <w:rPr>
                <w:rFonts w:ascii="Arial" w:hAnsi="Arial" w:hint="cs"/>
                <w:b/>
                <w:bCs/>
                <w:sz w:val="26"/>
                <w:szCs w:val="26"/>
                <w:rtl/>
              </w:rPr>
              <w:t>ד ע. טנוס</w:t>
            </w:r>
          </w:p>
        </w:tc>
      </w:tr>
      <w:bookmarkEnd w:id="2"/>
    </w:tbl>
    <w:p w14:paraId="3A52D767" w14:textId="77777777" w:rsidR="005D1C56" w:rsidRDefault="005D1C56" w:rsidP="008024C2">
      <w:pPr>
        <w:rPr>
          <w:sz w:val="26"/>
          <w:szCs w:val="26"/>
          <w:rtl/>
        </w:rPr>
      </w:pPr>
    </w:p>
    <w:p w14:paraId="171E57D2" w14:textId="77777777" w:rsidR="005D1C56" w:rsidRPr="005D1C56" w:rsidRDefault="005D1C56" w:rsidP="005D1C56">
      <w:pPr>
        <w:spacing w:after="120" w:line="240" w:lineRule="exact"/>
        <w:ind w:left="283" w:hanging="283"/>
        <w:jc w:val="both"/>
        <w:rPr>
          <w:rFonts w:ascii="FrankRuehl" w:hAnsi="FrankRuehl" w:cs="FrankRuehl"/>
          <w:rtl/>
        </w:rPr>
      </w:pPr>
    </w:p>
    <w:p w14:paraId="021BDF1F" w14:textId="77777777" w:rsidR="00D736D1" w:rsidRPr="00D736D1" w:rsidRDefault="00D736D1" w:rsidP="00D736D1">
      <w:pPr>
        <w:spacing w:before="120" w:after="120" w:line="240" w:lineRule="exact"/>
        <w:ind w:left="283" w:hanging="283"/>
        <w:jc w:val="both"/>
        <w:rPr>
          <w:rFonts w:ascii="FrankRuehl" w:hAnsi="FrankRuehl" w:cs="FrankRuehl"/>
          <w:rtl/>
        </w:rPr>
      </w:pPr>
    </w:p>
    <w:p w14:paraId="024B54D9" w14:textId="77777777" w:rsidR="000D2B2D" w:rsidRDefault="000D2B2D" w:rsidP="000D2B2D">
      <w:pPr>
        <w:rPr>
          <w:sz w:val="26"/>
          <w:szCs w:val="26"/>
          <w:rtl/>
        </w:rPr>
      </w:pPr>
      <w:bookmarkStart w:id="3" w:name="LawTable"/>
      <w:bookmarkEnd w:id="3"/>
    </w:p>
    <w:p w14:paraId="1F02BF3C" w14:textId="77777777" w:rsidR="000D2B2D" w:rsidRPr="000D2B2D" w:rsidRDefault="000D2B2D" w:rsidP="000D2B2D">
      <w:pPr>
        <w:spacing w:before="120" w:after="120" w:line="240" w:lineRule="exact"/>
        <w:ind w:left="283" w:hanging="283"/>
        <w:jc w:val="both"/>
        <w:rPr>
          <w:rFonts w:ascii="FrankRuehl" w:hAnsi="FrankRuehl" w:cs="FrankRuehl"/>
          <w:rtl/>
        </w:rPr>
      </w:pPr>
    </w:p>
    <w:p w14:paraId="476F2653" w14:textId="77777777" w:rsidR="000D2B2D" w:rsidRPr="000D2B2D" w:rsidRDefault="000D2B2D" w:rsidP="000D2B2D">
      <w:pPr>
        <w:spacing w:before="120" w:after="120" w:line="240" w:lineRule="exact"/>
        <w:ind w:left="283" w:hanging="283"/>
        <w:jc w:val="both"/>
        <w:rPr>
          <w:rFonts w:ascii="FrankRuehl" w:hAnsi="FrankRuehl" w:cs="FrankRuehl"/>
          <w:rtl/>
        </w:rPr>
      </w:pPr>
    </w:p>
    <w:p w14:paraId="0E1E25EE" w14:textId="77777777" w:rsidR="000D2B2D" w:rsidRPr="000D2B2D" w:rsidRDefault="000D2B2D" w:rsidP="000D2B2D">
      <w:pPr>
        <w:spacing w:before="120" w:after="120" w:line="240" w:lineRule="exact"/>
        <w:ind w:left="283" w:hanging="283"/>
        <w:jc w:val="both"/>
        <w:rPr>
          <w:rFonts w:ascii="FrankRuehl" w:hAnsi="FrankRuehl" w:cs="FrankRuehl"/>
          <w:rtl/>
        </w:rPr>
      </w:pPr>
      <w:r w:rsidRPr="000D2B2D">
        <w:rPr>
          <w:rFonts w:ascii="FrankRuehl" w:hAnsi="FrankRuehl" w:cs="FrankRuehl"/>
          <w:rtl/>
        </w:rPr>
        <w:t xml:space="preserve">חקיקה שאוזכרה: </w:t>
      </w:r>
    </w:p>
    <w:p w14:paraId="35A1E4E4" w14:textId="77777777" w:rsidR="000D2B2D" w:rsidRPr="000D2B2D" w:rsidRDefault="000D2B2D" w:rsidP="000D2B2D">
      <w:pPr>
        <w:spacing w:before="120" w:after="120" w:line="240" w:lineRule="exact"/>
        <w:ind w:left="283" w:hanging="283"/>
        <w:jc w:val="both"/>
        <w:rPr>
          <w:rFonts w:ascii="FrankRuehl" w:hAnsi="FrankRuehl" w:cs="FrankRuehl"/>
          <w:rtl/>
        </w:rPr>
      </w:pPr>
      <w:hyperlink r:id="rId7" w:history="1">
        <w:r w:rsidRPr="000D2B2D">
          <w:rPr>
            <w:rFonts w:ascii="FrankRuehl" w:hAnsi="FrankRuehl" w:cs="FrankRuehl"/>
            <w:color w:val="0000FF"/>
            <w:rtl/>
          </w:rPr>
          <w:t>חוק העונשין, תשל"ז-1977</w:t>
        </w:r>
      </w:hyperlink>
      <w:r w:rsidRPr="000D2B2D">
        <w:rPr>
          <w:rFonts w:ascii="FrankRuehl" w:hAnsi="FrankRuehl" w:cs="FrankRuehl"/>
          <w:rtl/>
        </w:rPr>
        <w:t xml:space="preserve">: סע'  </w:t>
      </w:r>
      <w:hyperlink r:id="rId8" w:history="1">
        <w:r w:rsidRPr="000D2B2D">
          <w:rPr>
            <w:rFonts w:ascii="FrankRuehl" w:hAnsi="FrankRuehl" w:cs="FrankRuehl"/>
            <w:color w:val="0000FF"/>
            <w:rtl/>
          </w:rPr>
          <w:t>25</w:t>
        </w:r>
      </w:hyperlink>
      <w:r w:rsidRPr="000D2B2D">
        <w:rPr>
          <w:rFonts w:ascii="FrankRuehl" w:hAnsi="FrankRuehl" w:cs="FrankRuehl"/>
          <w:rtl/>
        </w:rPr>
        <w:t xml:space="preserve">, </w:t>
      </w:r>
      <w:hyperlink r:id="rId9" w:history="1">
        <w:r w:rsidRPr="000D2B2D">
          <w:rPr>
            <w:rFonts w:ascii="FrankRuehl" w:hAnsi="FrankRuehl" w:cs="FrankRuehl"/>
            <w:color w:val="0000FF"/>
            <w:rtl/>
          </w:rPr>
          <w:t>29</w:t>
        </w:r>
      </w:hyperlink>
      <w:r w:rsidRPr="000D2B2D">
        <w:rPr>
          <w:rFonts w:ascii="FrankRuehl" w:hAnsi="FrankRuehl" w:cs="FrankRuehl"/>
          <w:rtl/>
        </w:rPr>
        <w:t xml:space="preserve">, </w:t>
      </w:r>
      <w:hyperlink r:id="rId10" w:history="1">
        <w:r w:rsidRPr="000D2B2D">
          <w:rPr>
            <w:rFonts w:ascii="FrankRuehl" w:hAnsi="FrankRuehl" w:cs="FrankRuehl"/>
            <w:color w:val="0000FF"/>
            <w:rtl/>
          </w:rPr>
          <w:t>31</w:t>
        </w:r>
      </w:hyperlink>
      <w:r w:rsidRPr="000D2B2D">
        <w:rPr>
          <w:rFonts w:ascii="FrankRuehl" w:hAnsi="FrankRuehl" w:cs="FrankRuehl"/>
          <w:rtl/>
        </w:rPr>
        <w:t xml:space="preserve">, </w:t>
      </w:r>
      <w:hyperlink r:id="rId11" w:history="1">
        <w:r w:rsidRPr="000D2B2D">
          <w:rPr>
            <w:rFonts w:ascii="FrankRuehl" w:hAnsi="FrankRuehl" w:cs="FrankRuehl"/>
            <w:color w:val="0000FF"/>
            <w:rtl/>
          </w:rPr>
          <w:t>144(א)</w:t>
        </w:r>
      </w:hyperlink>
      <w:r w:rsidRPr="000D2B2D">
        <w:rPr>
          <w:rFonts w:ascii="FrankRuehl" w:hAnsi="FrankRuehl" w:cs="FrankRuehl"/>
          <w:rtl/>
        </w:rPr>
        <w:t xml:space="preserve">, </w:t>
      </w:r>
      <w:hyperlink r:id="rId12" w:history="1">
        <w:r w:rsidRPr="000D2B2D">
          <w:rPr>
            <w:rFonts w:ascii="FrankRuehl" w:hAnsi="FrankRuehl" w:cs="FrankRuehl"/>
            <w:color w:val="0000FF"/>
            <w:rtl/>
          </w:rPr>
          <w:t>144(ב)</w:t>
        </w:r>
      </w:hyperlink>
      <w:r w:rsidRPr="000D2B2D">
        <w:rPr>
          <w:rFonts w:ascii="FrankRuehl" w:hAnsi="FrankRuehl" w:cs="FrankRuehl"/>
          <w:rtl/>
        </w:rPr>
        <w:t xml:space="preserve">, </w:t>
      </w:r>
      <w:hyperlink r:id="rId13" w:history="1">
        <w:r w:rsidRPr="000D2B2D">
          <w:rPr>
            <w:rFonts w:ascii="FrankRuehl" w:hAnsi="FrankRuehl" w:cs="FrankRuehl"/>
            <w:color w:val="0000FF"/>
            <w:rtl/>
          </w:rPr>
          <w:t>340.א.ב.2</w:t>
        </w:r>
      </w:hyperlink>
      <w:r w:rsidRPr="000D2B2D">
        <w:rPr>
          <w:rFonts w:ascii="FrankRuehl" w:hAnsi="FrankRuehl" w:cs="FrankRuehl"/>
          <w:rtl/>
        </w:rPr>
        <w:t xml:space="preserve">, </w:t>
      </w:r>
      <w:hyperlink r:id="rId14" w:history="1">
        <w:r w:rsidRPr="000D2B2D">
          <w:rPr>
            <w:rFonts w:ascii="FrankRuehl" w:hAnsi="FrankRuehl" w:cs="FrankRuehl"/>
            <w:color w:val="0000FF"/>
            <w:rtl/>
          </w:rPr>
          <w:t>340א.ב.1.</w:t>
        </w:r>
      </w:hyperlink>
    </w:p>
    <w:p w14:paraId="1ED6D8F8" w14:textId="77777777" w:rsidR="000D2B2D" w:rsidRPr="000D2B2D" w:rsidRDefault="000D2B2D" w:rsidP="000D2B2D">
      <w:pPr>
        <w:spacing w:before="120" w:after="120" w:line="240" w:lineRule="exact"/>
        <w:ind w:left="283" w:hanging="283"/>
        <w:jc w:val="both"/>
        <w:rPr>
          <w:rFonts w:ascii="FrankRuehl" w:hAnsi="FrankRuehl" w:cs="FrankRuehl"/>
          <w:rtl/>
        </w:rPr>
      </w:pPr>
      <w:hyperlink r:id="rId15" w:history="1">
        <w:r w:rsidRPr="000D2B2D">
          <w:rPr>
            <w:rFonts w:ascii="FrankRuehl" w:hAnsi="FrankRuehl" w:cs="FrankRuehl"/>
            <w:color w:val="0000FF"/>
            <w:rtl/>
          </w:rPr>
          <w:t>חוק צער בעלי חיים (הגנה על בעלי חיים), תשנ"ד-1994</w:t>
        </w:r>
      </w:hyperlink>
      <w:r w:rsidRPr="000D2B2D">
        <w:rPr>
          <w:rFonts w:ascii="FrankRuehl" w:hAnsi="FrankRuehl" w:cs="FrankRuehl"/>
          <w:rtl/>
        </w:rPr>
        <w:t xml:space="preserve">: סע'  </w:t>
      </w:r>
      <w:hyperlink r:id="rId16" w:history="1">
        <w:r w:rsidRPr="000D2B2D">
          <w:rPr>
            <w:rFonts w:ascii="FrankRuehl" w:hAnsi="FrankRuehl" w:cs="FrankRuehl"/>
            <w:color w:val="0000FF"/>
            <w:rtl/>
          </w:rPr>
          <w:t>2.א.</w:t>
        </w:r>
      </w:hyperlink>
      <w:r w:rsidRPr="000D2B2D">
        <w:rPr>
          <w:rFonts w:ascii="FrankRuehl" w:hAnsi="FrankRuehl" w:cs="FrankRuehl"/>
          <w:rtl/>
        </w:rPr>
        <w:t xml:space="preserve">, </w:t>
      </w:r>
      <w:hyperlink r:id="rId17" w:history="1">
        <w:r w:rsidRPr="000D2B2D">
          <w:rPr>
            <w:rFonts w:ascii="FrankRuehl" w:hAnsi="FrankRuehl" w:cs="FrankRuehl"/>
            <w:color w:val="0000FF"/>
            <w:rtl/>
          </w:rPr>
          <w:t>17.א.1</w:t>
        </w:r>
      </w:hyperlink>
    </w:p>
    <w:p w14:paraId="334E6947" w14:textId="77777777" w:rsidR="000D2B2D" w:rsidRPr="000D2B2D" w:rsidRDefault="000D2B2D" w:rsidP="000D2B2D">
      <w:pPr>
        <w:spacing w:before="120" w:after="120" w:line="240" w:lineRule="exact"/>
        <w:ind w:left="283" w:hanging="283"/>
        <w:jc w:val="both"/>
        <w:rPr>
          <w:rFonts w:ascii="FrankRuehl" w:hAnsi="FrankRuehl" w:cs="FrankRuehl"/>
          <w:rtl/>
        </w:rPr>
      </w:pPr>
      <w:hyperlink r:id="rId18" w:history="1">
        <w:r w:rsidRPr="000D2B2D">
          <w:rPr>
            <w:rFonts w:ascii="FrankRuehl" w:hAnsi="FrankRuehl" w:cs="FrankRuehl"/>
            <w:color w:val="0000FF"/>
            <w:rtl/>
          </w:rPr>
          <w:t>פקודת סדר הדין הפלילי (מעצר וחיפוש) [נוסח חדש], תשכ"ט-1969</w:t>
        </w:r>
      </w:hyperlink>
      <w:r w:rsidRPr="000D2B2D">
        <w:rPr>
          <w:rFonts w:ascii="FrankRuehl" w:hAnsi="FrankRuehl" w:cs="FrankRuehl"/>
          <w:rtl/>
        </w:rPr>
        <w:t xml:space="preserve">: סע'  </w:t>
      </w:r>
      <w:hyperlink r:id="rId19" w:history="1">
        <w:r w:rsidRPr="000D2B2D">
          <w:rPr>
            <w:rFonts w:ascii="FrankRuehl" w:hAnsi="FrankRuehl" w:cs="FrankRuehl"/>
            <w:color w:val="0000FF"/>
            <w:rtl/>
          </w:rPr>
          <w:t>32 (א)</w:t>
        </w:r>
      </w:hyperlink>
    </w:p>
    <w:p w14:paraId="622991B2" w14:textId="77777777" w:rsidR="000D2B2D" w:rsidRPr="000D2B2D" w:rsidRDefault="000D2B2D" w:rsidP="000D2B2D">
      <w:pPr>
        <w:rPr>
          <w:sz w:val="26"/>
          <w:szCs w:val="26"/>
          <w:rtl/>
        </w:rPr>
      </w:pPr>
      <w:bookmarkStart w:id="4" w:name="LawTable_End"/>
      <w:bookmarkEnd w:id="4"/>
    </w:p>
    <w:p w14:paraId="6FC74FC0" w14:textId="77777777" w:rsidR="00724E0C" w:rsidRPr="00D736D1" w:rsidRDefault="00724E0C" w:rsidP="00D736D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24E0C" w14:paraId="00060170" w14:textId="77777777" w:rsidTr="00724E0C">
        <w:trPr>
          <w:trHeight w:val="355"/>
          <w:jc w:val="center"/>
        </w:trPr>
        <w:tc>
          <w:tcPr>
            <w:tcW w:w="8820" w:type="dxa"/>
            <w:tcBorders>
              <w:top w:val="nil"/>
              <w:left w:val="nil"/>
              <w:bottom w:val="nil"/>
              <w:right w:val="nil"/>
            </w:tcBorders>
            <w:shd w:val="clear" w:color="auto" w:fill="auto"/>
          </w:tcPr>
          <w:p w14:paraId="4C4B5CC7" w14:textId="77777777" w:rsidR="008024C2" w:rsidRPr="008024C2" w:rsidRDefault="008024C2" w:rsidP="008024C2">
            <w:pPr>
              <w:jc w:val="center"/>
              <w:rPr>
                <w:rFonts w:ascii="David" w:hAnsi="David"/>
                <w:b/>
                <w:bCs/>
                <w:sz w:val="32"/>
                <w:szCs w:val="32"/>
                <w:u w:val="single"/>
                <w:rtl/>
              </w:rPr>
            </w:pPr>
            <w:bookmarkStart w:id="5" w:name="PsakDin" w:colFirst="0" w:colLast="0"/>
            <w:bookmarkEnd w:id="0"/>
            <w:r w:rsidRPr="008024C2">
              <w:rPr>
                <w:rFonts w:ascii="David" w:hAnsi="David"/>
                <w:b/>
                <w:bCs/>
                <w:sz w:val="32"/>
                <w:szCs w:val="32"/>
                <w:u w:val="single"/>
                <w:rtl/>
              </w:rPr>
              <w:t>גזר-דין</w:t>
            </w:r>
          </w:p>
          <w:p w14:paraId="02332B05" w14:textId="77777777" w:rsidR="00724E0C" w:rsidRPr="008024C2" w:rsidRDefault="00724E0C" w:rsidP="008024C2">
            <w:pPr>
              <w:jc w:val="center"/>
              <w:rPr>
                <w:rFonts w:ascii="David" w:hAnsi="David"/>
                <w:bCs/>
                <w:sz w:val="32"/>
                <w:szCs w:val="32"/>
                <w:u w:val="single"/>
                <w:rtl/>
              </w:rPr>
            </w:pPr>
          </w:p>
        </w:tc>
      </w:tr>
      <w:bookmarkEnd w:id="5"/>
    </w:tbl>
    <w:p w14:paraId="0171D606" w14:textId="77777777" w:rsidR="00724E0C" w:rsidRPr="000F2247" w:rsidRDefault="00724E0C" w:rsidP="00724E0C">
      <w:pPr>
        <w:rPr>
          <w:rFonts w:ascii="Arial" w:hAnsi="Arial"/>
          <w:b/>
          <w:bCs/>
          <w:sz w:val="26"/>
          <w:szCs w:val="26"/>
          <w:rtl/>
        </w:rPr>
      </w:pPr>
    </w:p>
    <w:p w14:paraId="072C4E5D" w14:textId="77777777" w:rsidR="00724E0C" w:rsidRDefault="00724E0C" w:rsidP="00724E0C">
      <w:pPr>
        <w:rPr>
          <w:rFonts w:ascii="David" w:hAnsi="David"/>
          <w:b/>
          <w:bCs/>
          <w:u w:val="single"/>
          <w:rtl/>
        </w:rPr>
      </w:pPr>
      <w:r>
        <w:rPr>
          <w:rFonts w:ascii="David" w:hAnsi="David"/>
          <w:b/>
          <w:bCs/>
          <w:u w:val="single"/>
          <w:rtl/>
        </w:rPr>
        <w:t>הנסיבות הצריכות לעניין</w:t>
      </w:r>
    </w:p>
    <w:p w14:paraId="49C6F268" w14:textId="77777777" w:rsidR="00724E0C" w:rsidRDefault="00724E0C" w:rsidP="00724E0C">
      <w:pPr>
        <w:rPr>
          <w:rFonts w:ascii="David" w:hAnsi="David"/>
          <w:b/>
          <w:bCs/>
          <w:u w:val="single"/>
          <w:rtl/>
        </w:rPr>
      </w:pPr>
    </w:p>
    <w:p w14:paraId="704E5858" w14:textId="77777777" w:rsidR="00724E0C" w:rsidRDefault="00724E0C" w:rsidP="00724E0C">
      <w:pPr>
        <w:rPr>
          <w:rFonts w:ascii="David" w:hAnsi="David"/>
          <w:b/>
          <w:bCs/>
          <w:u w:val="single"/>
          <w:rtl/>
        </w:rPr>
      </w:pPr>
    </w:p>
    <w:p w14:paraId="08A01CA3" w14:textId="77777777" w:rsidR="00724E0C" w:rsidRDefault="00724E0C" w:rsidP="00724E0C">
      <w:pPr>
        <w:pStyle w:val="a9"/>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הנאשם, יליד 12.04.1973 הורשע ביום 28.11.2022 על-סמך הודאתו בעובדות כתב-האישום המתוקן, במסגרת הסדר-טיעון אליו הגיעו הצדדים (להלן: "</w:t>
      </w:r>
      <w:r>
        <w:rPr>
          <w:rFonts w:ascii="David" w:hAnsi="David" w:cs="David"/>
          <w:b/>
          <w:bCs/>
          <w:sz w:val="24"/>
          <w:szCs w:val="24"/>
          <w:rtl/>
        </w:rPr>
        <w:t>הסדר-הטיעון</w:t>
      </w:r>
      <w:r>
        <w:rPr>
          <w:rFonts w:ascii="David" w:hAnsi="David" w:cs="David"/>
          <w:sz w:val="24"/>
          <w:szCs w:val="24"/>
          <w:rtl/>
        </w:rPr>
        <w:t>")</w:t>
      </w:r>
      <w:r>
        <w:rPr>
          <w:rFonts w:ascii="David" w:hAnsi="David" w:cs="David"/>
          <w:sz w:val="24"/>
          <w:szCs w:val="24"/>
        </w:rPr>
        <w:t xml:space="preserve"> </w:t>
      </w:r>
      <w:r>
        <w:rPr>
          <w:rFonts w:ascii="David" w:hAnsi="David" w:cs="David"/>
          <w:sz w:val="24"/>
          <w:szCs w:val="24"/>
          <w:rtl/>
        </w:rPr>
        <w:t xml:space="preserve">בעבירות של סיוע לעבירות בנשק (החזקה, נשיאה והובלה), לפי </w:t>
      </w:r>
      <w:hyperlink r:id="rId20" w:history="1">
        <w:r w:rsidR="00DB48F1" w:rsidRPr="00DB48F1">
          <w:rPr>
            <w:rStyle w:val="Hyperlink"/>
            <w:rFonts w:ascii="David" w:hAnsi="David" w:cs="David"/>
            <w:sz w:val="24"/>
            <w:szCs w:val="24"/>
            <w:rtl/>
          </w:rPr>
          <w:t>סעיף 144(א)</w:t>
        </w:r>
      </w:hyperlink>
      <w:r>
        <w:rPr>
          <w:rFonts w:ascii="David" w:hAnsi="David" w:cs="David"/>
          <w:sz w:val="24"/>
          <w:szCs w:val="24"/>
          <w:rtl/>
        </w:rPr>
        <w:t xml:space="preserve"> רישא וסיפא, </w:t>
      </w:r>
      <w:hyperlink r:id="rId21" w:history="1">
        <w:r w:rsidR="00DB48F1" w:rsidRPr="00DB48F1">
          <w:rPr>
            <w:rStyle w:val="Hyperlink"/>
            <w:rFonts w:ascii="David" w:hAnsi="David" w:cs="David"/>
            <w:sz w:val="24"/>
            <w:szCs w:val="24"/>
            <w:rtl/>
          </w:rPr>
          <w:t>סעיף 144(ב)</w:t>
        </w:r>
      </w:hyperlink>
      <w:r>
        <w:rPr>
          <w:rFonts w:ascii="David" w:hAnsi="David" w:cs="David"/>
          <w:sz w:val="24"/>
          <w:szCs w:val="24"/>
          <w:rtl/>
        </w:rPr>
        <w:t xml:space="preserve"> רישא וסיפא, ובצירוף </w:t>
      </w:r>
      <w:hyperlink r:id="rId22" w:history="1">
        <w:r w:rsidR="00DB48F1" w:rsidRPr="00DB48F1">
          <w:rPr>
            <w:rStyle w:val="Hyperlink"/>
            <w:rFonts w:ascii="David" w:hAnsi="David" w:cs="David"/>
            <w:sz w:val="24"/>
            <w:szCs w:val="24"/>
            <w:rtl/>
          </w:rPr>
          <w:t>סעיף 31</w:t>
        </w:r>
      </w:hyperlink>
      <w:r>
        <w:rPr>
          <w:rFonts w:ascii="David" w:hAnsi="David" w:cs="David"/>
          <w:sz w:val="24"/>
          <w:szCs w:val="24"/>
          <w:rtl/>
        </w:rPr>
        <w:t xml:space="preserve"> ל</w:t>
      </w:r>
      <w:hyperlink r:id="rId23" w:history="1">
        <w:r w:rsidR="008024C2" w:rsidRPr="008024C2">
          <w:rPr>
            <w:rFonts w:ascii="David" w:hAnsi="David" w:cs="David"/>
            <w:color w:val="0000FF"/>
            <w:sz w:val="24"/>
            <w:szCs w:val="24"/>
            <w:u w:val="single"/>
            <w:rtl/>
          </w:rPr>
          <w:t>חוק העונשין</w:t>
        </w:r>
      </w:hyperlink>
      <w:r>
        <w:rPr>
          <w:rFonts w:ascii="David" w:hAnsi="David" w:cs="David"/>
          <w:sz w:val="24"/>
          <w:szCs w:val="24"/>
          <w:rtl/>
        </w:rPr>
        <w:t>, התשל"ז – 1977 (להלן: "</w:t>
      </w:r>
      <w:r>
        <w:rPr>
          <w:rFonts w:ascii="David" w:hAnsi="David" w:cs="David"/>
          <w:b/>
          <w:bCs/>
          <w:sz w:val="24"/>
          <w:szCs w:val="24"/>
          <w:rtl/>
        </w:rPr>
        <w:t>חוק העונשין</w:t>
      </w:r>
      <w:r>
        <w:rPr>
          <w:rFonts w:ascii="David" w:hAnsi="David" w:cs="David"/>
          <w:sz w:val="24"/>
          <w:szCs w:val="24"/>
          <w:rtl/>
        </w:rPr>
        <w:t xml:space="preserve">"), יריות באזור מגורים, לפי סעיפים </w:t>
      </w:r>
      <w:hyperlink r:id="rId24" w:history="1">
        <w:r w:rsidR="005D1C56" w:rsidRPr="005D1C56">
          <w:rPr>
            <w:rStyle w:val="Hyperlink"/>
            <w:rFonts w:ascii="David" w:hAnsi="David" w:cs="David"/>
            <w:sz w:val="24"/>
            <w:szCs w:val="24"/>
            <w:rtl/>
          </w:rPr>
          <w:t>340א(ב)(1)+(2)+</w:t>
        </w:r>
      </w:hyperlink>
      <w:r>
        <w:rPr>
          <w:rFonts w:ascii="David" w:hAnsi="David" w:cs="David"/>
          <w:sz w:val="24"/>
          <w:szCs w:val="24"/>
          <w:rtl/>
        </w:rPr>
        <w:t xml:space="preserve">סעיף </w:t>
      </w:r>
      <w:hyperlink r:id="rId25" w:history="1">
        <w:r w:rsidR="005D1C56" w:rsidRPr="005D1C56">
          <w:rPr>
            <w:rStyle w:val="Hyperlink"/>
            <w:rFonts w:ascii="David" w:hAnsi="David" w:cs="David"/>
            <w:sz w:val="24"/>
            <w:szCs w:val="24"/>
            <w:rtl/>
          </w:rPr>
          <w:t>29</w:t>
        </w:r>
      </w:hyperlink>
      <w:r>
        <w:rPr>
          <w:rFonts w:ascii="David" w:hAnsi="David" w:cs="David"/>
          <w:sz w:val="24"/>
          <w:szCs w:val="24"/>
          <w:rtl/>
        </w:rPr>
        <w:t xml:space="preserve"> לחוק העונשין, וניסיון להתעללות, עבירה לפי סעיפים </w:t>
      </w:r>
      <w:hyperlink r:id="rId26" w:history="1">
        <w:r w:rsidR="005D1C56" w:rsidRPr="005D1C56">
          <w:rPr>
            <w:rStyle w:val="Hyperlink"/>
            <w:rFonts w:ascii="David" w:hAnsi="David" w:cs="David"/>
            <w:sz w:val="24"/>
            <w:szCs w:val="24"/>
            <w:rtl/>
          </w:rPr>
          <w:t>2(א)+17(א)(1)</w:t>
        </w:r>
      </w:hyperlink>
      <w:r>
        <w:rPr>
          <w:rFonts w:ascii="David" w:hAnsi="David" w:cs="David"/>
          <w:sz w:val="24"/>
          <w:szCs w:val="24"/>
          <w:rtl/>
        </w:rPr>
        <w:t xml:space="preserve"> ל</w:t>
      </w:r>
      <w:hyperlink r:id="rId27" w:history="1">
        <w:r w:rsidR="008024C2" w:rsidRPr="008024C2">
          <w:rPr>
            <w:rFonts w:ascii="David" w:hAnsi="David" w:cs="David"/>
            <w:color w:val="0000FF"/>
            <w:sz w:val="24"/>
            <w:szCs w:val="24"/>
            <w:u w:val="single"/>
            <w:rtl/>
          </w:rPr>
          <w:t>חוק צער בעלי חיים (הגנה על בעלי חיים)</w:t>
        </w:r>
      </w:hyperlink>
      <w:r>
        <w:rPr>
          <w:rFonts w:ascii="David" w:hAnsi="David" w:cs="David"/>
          <w:sz w:val="24"/>
          <w:szCs w:val="24"/>
          <w:rtl/>
        </w:rPr>
        <w:t xml:space="preserve">, התשנ"ד – 1994+ סעיף </w:t>
      </w:r>
      <w:hyperlink r:id="rId28" w:history="1">
        <w:r w:rsidR="005D1C56" w:rsidRPr="005D1C56">
          <w:rPr>
            <w:rStyle w:val="Hyperlink"/>
            <w:rFonts w:ascii="David" w:hAnsi="David" w:cs="David"/>
            <w:sz w:val="24"/>
            <w:szCs w:val="24"/>
            <w:rtl/>
          </w:rPr>
          <w:t>25</w:t>
        </w:r>
      </w:hyperlink>
      <w:r>
        <w:rPr>
          <w:rFonts w:ascii="David" w:hAnsi="David" w:cs="David"/>
          <w:sz w:val="24"/>
          <w:szCs w:val="24"/>
          <w:rtl/>
        </w:rPr>
        <w:t xml:space="preserve">+סעיף </w:t>
      </w:r>
      <w:hyperlink r:id="rId29" w:history="1">
        <w:r w:rsidR="005D1C56" w:rsidRPr="005D1C56">
          <w:rPr>
            <w:rStyle w:val="Hyperlink"/>
            <w:rFonts w:ascii="David" w:hAnsi="David" w:cs="David"/>
            <w:sz w:val="24"/>
            <w:szCs w:val="24"/>
            <w:rtl/>
          </w:rPr>
          <w:t>29</w:t>
        </w:r>
      </w:hyperlink>
      <w:r>
        <w:rPr>
          <w:rFonts w:ascii="David" w:hAnsi="David" w:cs="David"/>
          <w:sz w:val="24"/>
          <w:szCs w:val="24"/>
          <w:rtl/>
        </w:rPr>
        <w:t xml:space="preserve"> לחוק העונשין.</w:t>
      </w:r>
    </w:p>
    <w:p w14:paraId="017745A7" w14:textId="77777777" w:rsidR="00724E0C" w:rsidRDefault="00724E0C" w:rsidP="00724E0C">
      <w:pPr>
        <w:pStyle w:val="a9"/>
        <w:spacing w:line="360" w:lineRule="auto"/>
        <w:ind w:left="1080"/>
        <w:jc w:val="both"/>
        <w:rPr>
          <w:rFonts w:ascii="David" w:hAnsi="David" w:cs="David"/>
          <w:sz w:val="24"/>
          <w:szCs w:val="24"/>
        </w:rPr>
      </w:pPr>
    </w:p>
    <w:p w14:paraId="57B7C021" w14:textId="77777777" w:rsidR="00724E0C" w:rsidRDefault="00724E0C" w:rsidP="00724E0C">
      <w:pPr>
        <w:pStyle w:val="a9"/>
        <w:numPr>
          <w:ilvl w:val="0"/>
          <w:numId w:val="1"/>
        </w:numPr>
        <w:spacing w:line="360" w:lineRule="auto"/>
        <w:jc w:val="both"/>
        <w:rPr>
          <w:rFonts w:ascii="David" w:hAnsi="David" w:cs="David"/>
          <w:sz w:val="24"/>
          <w:szCs w:val="24"/>
          <w:rtl/>
        </w:rPr>
      </w:pPr>
      <w:bookmarkStart w:id="7" w:name="ABSTRACT_END"/>
      <w:bookmarkEnd w:id="7"/>
      <w:r>
        <w:rPr>
          <w:rFonts w:ascii="David" w:hAnsi="David" w:cs="David"/>
          <w:sz w:val="24"/>
          <w:szCs w:val="24"/>
          <w:rtl/>
        </w:rPr>
        <w:lastRenderedPageBreak/>
        <w:t>על-פי עובדות כתב-האישום המתוקן, בבעלות הנאשם, תושב בית ג'ן דיר עיזים וכבשים (להלן: "</w:t>
      </w:r>
      <w:r>
        <w:rPr>
          <w:rFonts w:ascii="David" w:hAnsi="David" w:cs="David"/>
          <w:b/>
          <w:bCs/>
          <w:sz w:val="24"/>
          <w:szCs w:val="24"/>
          <w:rtl/>
        </w:rPr>
        <w:t>הדיר</w:t>
      </w:r>
      <w:r>
        <w:rPr>
          <w:rFonts w:ascii="David" w:hAnsi="David" w:cs="David"/>
          <w:sz w:val="24"/>
          <w:szCs w:val="24"/>
          <w:rtl/>
        </w:rPr>
        <w:t>"). סלמאן, בנו של הנאשם, מתגורר בביתו של הנאשם ומסייע לו בטיפול בדיר.</w:t>
      </w:r>
    </w:p>
    <w:p w14:paraId="3F528F20" w14:textId="77777777" w:rsidR="00724E0C" w:rsidRDefault="00724E0C" w:rsidP="00724E0C">
      <w:pPr>
        <w:pStyle w:val="a9"/>
        <w:rPr>
          <w:rFonts w:ascii="David" w:hAnsi="David" w:cs="David"/>
          <w:sz w:val="24"/>
          <w:szCs w:val="24"/>
        </w:rPr>
      </w:pPr>
    </w:p>
    <w:p w14:paraId="5D499B76" w14:textId="77777777" w:rsidR="00724E0C" w:rsidRDefault="00724E0C" w:rsidP="00724E0C">
      <w:pPr>
        <w:pStyle w:val="a9"/>
        <w:spacing w:line="360" w:lineRule="auto"/>
        <w:ind w:left="1080"/>
        <w:jc w:val="both"/>
        <w:rPr>
          <w:rFonts w:ascii="David" w:hAnsi="David" w:cs="David"/>
          <w:sz w:val="24"/>
          <w:szCs w:val="24"/>
          <w:rtl/>
        </w:rPr>
      </w:pPr>
      <w:r>
        <w:rPr>
          <w:rFonts w:ascii="David" w:hAnsi="David" w:cs="David"/>
          <w:sz w:val="24"/>
          <w:szCs w:val="24"/>
          <w:rtl/>
        </w:rPr>
        <w:t>מספר פעמים עובר ליום 27.10.2021, מצא הנאשם בדיר, עיזים וכבשים מתות ופצועות, וסבר, כי כלבים משוטטים גרמו זאת. כתוצאה מכך נגרם לנאשם הפסד כספי המוערך בשווי עשרות אלפי ₪.</w:t>
      </w:r>
    </w:p>
    <w:p w14:paraId="6BDDD9BA" w14:textId="77777777" w:rsidR="00724E0C" w:rsidRDefault="00724E0C" w:rsidP="00724E0C">
      <w:pPr>
        <w:pStyle w:val="a9"/>
        <w:spacing w:line="360" w:lineRule="auto"/>
        <w:ind w:left="1080"/>
        <w:jc w:val="both"/>
        <w:rPr>
          <w:rFonts w:ascii="David" w:hAnsi="David" w:cs="David"/>
          <w:sz w:val="24"/>
          <w:szCs w:val="24"/>
          <w:rtl/>
        </w:rPr>
      </w:pPr>
    </w:p>
    <w:p w14:paraId="38F6A8EF" w14:textId="77777777" w:rsidR="00724E0C" w:rsidRDefault="00724E0C" w:rsidP="00724E0C">
      <w:pPr>
        <w:pStyle w:val="a9"/>
        <w:spacing w:line="360" w:lineRule="auto"/>
        <w:ind w:left="1080"/>
        <w:jc w:val="both"/>
        <w:rPr>
          <w:rFonts w:ascii="David" w:hAnsi="David" w:cs="David"/>
          <w:sz w:val="24"/>
          <w:szCs w:val="24"/>
          <w:rtl/>
        </w:rPr>
      </w:pPr>
      <w:r>
        <w:rPr>
          <w:rFonts w:ascii="David" w:hAnsi="David" w:cs="David"/>
          <w:sz w:val="24"/>
          <w:szCs w:val="24"/>
          <w:rtl/>
        </w:rPr>
        <w:t>בעקבות כך, פנה הנאשם למועצה המקומית בבקשה שיטפלו בכלבים המשוטטים, ללא הועיל. ביום 27.10.2021, סמוך לשעה 07:30, הגיעו הנאשם וסלמאן לדיר, והבחינו בעז מתה ובכלבים סמוך לדיר.</w:t>
      </w:r>
    </w:p>
    <w:p w14:paraId="69BBB61C" w14:textId="77777777" w:rsidR="00724E0C" w:rsidRDefault="00724E0C" w:rsidP="00724E0C">
      <w:pPr>
        <w:pStyle w:val="a9"/>
        <w:spacing w:line="360" w:lineRule="auto"/>
        <w:ind w:left="1080"/>
        <w:jc w:val="both"/>
        <w:rPr>
          <w:rFonts w:ascii="David" w:hAnsi="David" w:cs="David"/>
          <w:sz w:val="24"/>
          <w:szCs w:val="24"/>
          <w:rtl/>
        </w:rPr>
      </w:pPr>
    </w:p>
    <w:p w14:paraId="61462F7B" w14:textId="77777777" w:rsidR="00724E0C" w:rsidRDefault="00724E0C" w:rsidP="00724E0C">
      <w:pPr>
        <w:pStyle w:val="a9"/>
        <w:spacing w:line="360" w:lineRule="auto"/>
        <w:ind w:left="1080"/>
        <w:jc w:val="both"/>
        <w:rPr>
          <w:rFonts w:ascii="David" w:hAnsi="David" w:cs="David"/>
          <w:sz w:val="24"/>
          <w:szCs w:val="24"/>
          <w:rtl/>
        </w:rPr>
      </w:pPr>
      <w:r>
        <w:rPr>
          <w:rFonts w:ascii="David" w:hAnsi="David" w:cs="David"/>
          <w:sz w:val="24"/>
          <w:szCs w:val="24"/>
          <w:rtl/>
        </w:rPr>
        <w:t>נוכח האמור, קשר הנאשם קשר עם סלמאן לפגוע בכלבים תוך שימוש בנשק חם וירי לעבר הכלבים בכוונה לפגוע בהם ולהמיתם (להלן: "</w:t>
      </w:r>
      <w:r>
        <w:rPr>
          <w:rFonts w:ascii="David" w:hAnsi="David" w:cs="David"/>
          <w:b/>
          <w:bCs/>
          <w:sz w:val="24"/>
          <w:szCs w:val="24"/>
          <w:rtl/>
        </w:rPr>
        <w:t>הקשר</w:t>
      </w:r>
      <w:r>
        <w:rPr>
          <w:rFonts w:ascii="David" w:hAnsi="David" w:cs="David"/>
          <w:sz w:val="24"/>
          <w:szCs w:val="24"/>
          <w:rtl/>
        </w:rPr>
        <w:t>").</w:t>
      </w:r>
    </w:p>
    <w:p w14:paraId="5C985D52" w14:textId="77777777" w:rsidR="00724E0C" w:rsidRDefault="00724E0C" w:rsidP="00724E0C">
      <w:pPr>
        <w:pStyle w:val="a9"/>
        <w:spacing w:line="360" w:lineRule="auto"/>
        <w:ind w:left="1080"/>
        <w:jc w:val="both"/>
        <w:rPr>
          <w:rFonts w:ascii="David" w:hAnsi="David" w:cs="David"/>
          <w:sz w:val="24"/>
          <w:szCs w:val="24"/>
          <w:rtl/>
        </w:rPr>
      </w:pPr>
    </w:p>
    <w:p w14:paraId="5C40F23F" w14:textId="77777777" w:rsidR="00724E0C" w:rsidRDefault="00724E0C" w:rsidP="00724E0C">
      <w:pPr>
        <w:pStyle w:val="a9"/>
        <w:spacing w:line="360" w:lineRule="auto"/>
        <w:ind w:left="1080"/>
        <w:jc w:val="both"/>
        <w:rPr>
          <w:rFonts w:ascii="David" w:hAnsi="David" w:cs="David"/>
          <w:sz w:val="24"/>
          <w:szCs w:val="24"/>
          <w:rtl/>
        </w:rPr>
      </w:pPr>
      <w:r>
        <w:rPr>
          <w:rFonts w:ascii="David" w:hAnsi="David" w:cs="David"/>
          <w:sz w:val="24"/>
          <w:szCs w:val="24"/>
          <w:rtl/>
        </w:rPr>
        <w:t>בהמשך הקשר ולשם קידומו, נסע הנאשם יחד עם האחר, שזהותו אינו ידועה למאשימה (להלן: "</w:t>
      </w:r>
      <w:r>
        <w:rPr>
          <w:rFonts w:ascii="David" w:hAnsi="David" w:cs="David"/>
          <w:b/>
          <w:bCs/>
          <w:sz w:val="24"/>
          <w:szCs w:val="24"/>
          <w:rtl/>
        </w:rPr>
        <w:t>האחר</w:t>
      </w:r>
      <w:r>
        <w:rPr>
          <w:rFonts w:ascii="David" w:hAnsi="David" w:cs="David"/>
          <w:sz w:val="24"/>
          <w:szCs w:val="24"/>
          <w:rtl/>
        </w:rPr>
        <w:t xml:space="preserve">"), אחרי הכלבים ברחובות בית ג'ן, באמצעות רכב מסוג שברולט </w:t>
      </w:r>
      <w:r>
        <w:rPr>
          <w:rFonts w:ascii="David" w:hAnsi="David" w:cs="David"/>
          <w:sz w:val="24"/>
          <w:szCs w:val="24"/>
        </w:rPr>
        <w:t>Trailblazer</w:t>
      </w:r>
      <w:r>
        <w:rPr>
          <w:rFonts w:ascii="David" w:hAnsi="David" w:cs="David"/>
          <w:sz w:val="24"/>
          <w:szCs w:val="24"/>
          <w:rtl/>
        </w:rPr>
        <w:t xml:space="preserve"> מספר רישוי 8509761 (להלן: "</w:t>
      </w:r>
      <w:r>
        <w:rPr>
          <w:rFonts w:ascii="David" w:hAnsi="David" w:cs="David"/>
          <w:b/>
          <w:bCs/>
          <w:sz w:val="24"/>
          <w:szCs w:val="24"/>
          <w:rtl/>
        </w:rPr>
        <w:t>הרכב</w:t>
      </w:r>
      <w:r>
        <w:rPr>
          <w:rFonts w:ascii="David" w:hAnsi="David" w:cs="David"/>
          <w:sz w:val="24"/>
          <w:szCs w:val="24"/>
          <w:rtl/>
        </w:rPr>
        <w:t>"), כאשר הנאשם נוהג ברכב, והאחר יושב לידו, כשברשות האחר רובה שהינו נשק חם וכלי שסוגל לירות כדור או קליע שבכוחו להמית אדם (להלן: "</w:t>
      </w:r>
      <w:r>
        <w:rPr>
          <w:rFonts w:ascii="David" w:hAnsi="David" w:cs="David"/>
          <w:b/>
          <w:bCs/>
          <w:sz w:val="24"/>
          <w:szCs w:val="24"/>
          <w:rtl/>
        </w:rPr>
        <w:t>הנשק</w:t>
      </w:r>
      <w:r>
        <w:rPr>
          <w:rFonts w:ascii="David" w:hAnsi="David" w:cs="David"/>
          <w:sz w:val="24"/>
          <w:szCs w:val="24"/>
          <w:rtl/>
        </w:rPr>
        <w:t>"), מחסנית ותחמושת.</w:t>
      </w:r>
    </w:p>
    <w:p w14:paraId="429A4476" w14:textId="77777777" w:rsidR="00724E0C" w:rsidRDefault="00724E0C" w:rsidP="00724E0C">
      <w:pPr>
        <w:pStyle w:val="a9"/>
        <w:spacing w:line="360" w:lineRule="auto"/>
        <w:ind w:left="1080"/>
        <w:jc w:val="both"/>
        <w:rPr>
          <w:rFonts w:ascii="David" w:hAnsi="David" w:cs="David"/>
          <w:sz w:val="24"/>
          <w:szCs w:val="24"/>
          <w:rtl/>
        </w:rPr>
      </w:pPr>
    </w:p>
    <w:p w14:paraId="33413A16" w14:textId="77777777" w:rsidR="00724E0C" w:rsidRDefault="00724E0C" w:rsidP="00724E0C">
      <w:pPr>
        <w:pStyle w:val="a9"/>
        <w:spacing w:line="360" w:lineRule="auto"/>
        <w:ind w:left="1080"/>
        <w:jc w:val="both"/>
        <w:rPr>
          <w:rFonts w:ascii="David" w:hAnsi="David" w:cs="David"/>
          <w:sz w:val="24"/>
          <w:szCs w:val="24"/>
          <w:rtl/>
        </w:rPr>
      </w:pPr>
      <w:r>
        <w:rPr>
          <w:rFonts w:ascii="David" w:hAnsi="David" w:cs="David"/>
          <w:sz w:val="24"/>
          <w:szCs w:val="24"/>
          <w:rtl/>
        </w:rPr>
        <w:t>בהגיעם סמוך לכלבים, באזור מגורים בבית ג'ן, הוציא האחר את פלג גופו העליון מחלון הרכב כשהוא נושא את הנשק, המחסנית והתחמושת, וירה 10 קליעים לכיוון הכלבים, בניסיון לפגוע בהם, בעוד הנאשם ממשיך בנ</w:t>
      </w:r>
      <w:r>
        <w:rPr>
          <w:rFonts w:ascii="David" w:hAnsi="David" w:cs="David" w:hint="cs"/>
          <w:sz w:val="24"/>
          <w:szCs w:val="24"/>
          <w:rtl/>
        </w:rPr>
        <w:t>ס</w:t>
      </w:r>
      <w:r>
        <w:rPr>
          <w:rFonts w:ascii="David" w:hAnsi="David" w:cs="David"/>
          <w:sz w:val="24"/>
          <w:szCs w:val="24"/>
          <w:rtl/>
        </w:rPr>
        <w:t>יעה אחרי הכלבים ובכך מסייע לאחר בנשיאה של הנשק.</w:t>
      </w:r>
    </w:p>
    <w:p w14:paraId="685E21F3" w14:textId="77777777" w:rsidR="00724E0C" w:rsidRDefault="00724E0C" w:rsidP="00724E0C">
      <w:pPr>
        <w:pStyle w:val="a9"/>
        <w:spacing w:line="360" w:lineRule="auto"/>
        <w:ind w:left="1080"/>
        <w:jc w:val="both"/>
        <w:rPr>
          <w:rFonts w:ascii="David" w:hAnsi="David" w:cs="David"/>
          <w:sz w:val="24"/>
          <w:szCs w:val="24"/>
          <w:rtl/>
        </w:rPr>
      </w:pPr>
    </w:p>
    <w:p w14:paraId="7E495DCF" w14:textId="77777777" w:rsidR="00724E0C" w:rsidRDefault="00724E0C" w:rsidP="00724E0C">
      <w:pPr>
        <w:pStyle w:val="a9"/>
        <w:numPr>
          <w:ilvl w:val="0"/>
          <w:numId w:val="1"/>
        </w:numPr>
        <w:spacing w:line="360" w:lineRule="auto"/>
        <w:jc w:val="both"/>
        <w:rPr>
          <w:rFonts w:ascii="David" w:hAnsi="David" w:cs="David"/>
          <w:sz w:val="24"/>
          <w:szCs w:val="24"/>
          <w:rtl/>
        </w:rPr>
      </w:pPr>
      <w:r>
        <w:rPr>
          <w:rFonts w:ascii="David" w:hAnsi="David" w:cs="David"/>
          <w:sz w:val="24"/>
          <w:szCs w:val="24"/>
          <w:rtl/>
        </w:rPr>
        <w:t>במסגרת הסדר-הטיעון אליו הגיעו הצדדים, והוגש לבית משפט זה, עתרו הם לעונש מוסכם בן 18 חודשי מאסר בפועל. בד-בבד עם האמור, הסכימו הצדדים על טיעון חופשי לעניין יתר רכיבי הענישה, לרבות בעניין חילוט הרכב.</w:t>
      </w:r>
    </w:p>
    <w:p w14:paraId="5FA0DC09" w14:textId="77777777" w:rsidR="00724E0C" w:rsidRDefault="00724E0C" w:rsidP="00724E0C">
      <w:pPr>
        <w:spacing w:line="360" w:lineRule="auto"/>
        <w:ind w:left="360"/>
        <w:jc w:val="both"/>
        <w:rPr>
          <w:rFonts w:ascii="David" w:hAnsi="David"/>
        </w:rPr>
      </w:pPr>
    </w:p>
    <w:p w14:paraId="39263FA1" w14:textId="77777777" w:rsidR="00724E0C" w:rsidRDefault="00724E0C" w:rsidP="00724E0C">
      <w:pPr>
        <w:spacing w:line="360" w:lineRule="auto"/>
        <w:ind w:left="360"/>
        <w:jc w:val="both"/>
        <w:rPr>
          <w:rFonts w:ascii="David" w:hAnsi="David"/>
          <w:b/>
          <w:bCs/>
          <w:u w:val="single"/>
          <w:rtl/>
        </w:rPr>
      </w:pPr>
      <w:r>
        <w:rPr>
          <w:rFonts w:ascii="David" w:hAnsi="David"/>
          <w:b/>
          <w:bCs/>
          <w:u w:val="single"/>
          <w:rtl/>
        </w:rPr>
        <w:t xml:space="preserve">טיעוני הצדדים לרכיבי הענישה </w:t>
      </w:r>
    </w:p>
    <w:p w14:paraId="0B63CEB8" w14:textId="77777777" w:rsidR="00724E0C" w:rsidRDefault="00724E0C" w:rsidP="00724E0C">
      <w:pPr>
        <w:spacing w:line="360" w:lineRule="auto"/>
        <w:ind w:left="360"/>
        <w:jc w:val="both"/>
        <w:rPr>
          <w:rFonts w:ascii="David" w:hAnsi="David"/>
          <w:b/>
          <w:bCs/>
          <w:u w:val="single"/>
          <w:rtl/>
        </w:rPr>
      </w:pPr>
    </w:p>
    <w:p w14:paraId="0EFE2A69" w14:textId="77777777" w:rsidR="00724E0C" w:rsidRDefault="00724E0C" w:rsidP="00724E0C">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לטענת המאשימה, על אף שהנאשם נעדר הרשעות קודמות, יש ליתן את הדעת לכך שכלל הערכאות השיפוטיות, ובמיוחד בית המשפט העליון, הדגישו את הצורך בהחמרת הענישה בעבירות הנשק השונות. </w:t>
      </w:r>
    </w:p>
    <w:p w14:paraId="47ADAF26" w14:textId="77777777" w:rsidR="00724E0C" w:rsidRDefault="00724E0C" w:rsidP="00724E0C">
      <w:pPr>
        <w:pStyle w:val="a9"/>
        <w:spacing w:line="360" w:lineRule="auto"/>
        <w:ind w:left="1080"/>
        <w:jc w:val="both"/>
        <w:rPr>
          <w:rFonts w:ascii="David" w:hAnsi="David" w:cs="David"/>
          <w:sz w:val="24"/>
          <w:szCs w:val="24"/>
        </w:rPr>
      </w:pPr>
    </w:p>
    <w:p w14:paraId="6D2516B3" w14:textId="77777777" w:rsidR="00724E0C" w:rsidRDefault="00724E0C" w:rsidP="00724E0C">
      <w:pPr>
        <w:pStyle w:val="a9"/>
        <w:spacing w:line="360" w:lineRule="auto"/>
        <w:ind w:left="1080"/>
        <w:jc w:val="both"/>
        <w:rPr>
          <w:rFonts w:ascii="David" w:hAnsi="David" w:cs="David"/>
          <w:sz w:val="24"/>
          <w:szCs w:val="24"/>
          <w:rtl/>
        </w:rPr>
      </w:pPr>
      <w:r>
        <w:rPr>
          <w:rFonts w:ascii="David" w:hAnsi="David" w:cs="David"/>
          <w:sz w:val="24"/>
          <w:szCs w:val="24"/>
          <w:rtl/>
        </w:rPr>
        <w:t xml:space="preserve">נוכח האמור, כך נטען, יש להשית על הנאשם מאסר על תנאי ארוך ומרתיע, קנס משמעותי לקופת המדינה, כמו גם את חילוט הרכב. </w:t>
      </w:r>
    </w:p>
    <w:p w14:paraId="42E4BF52" w14:textId="77777777" w:rsidR="00724E0C" w:rsidRDefault="00724E0C" w:rsidP="00724E0C">
      <w:pPr>
        <w:pStyle w:val="a9"/>
        <w:spacing w:line="360" w:lineRule="auto"/>
        <w:ind w:left="1080"/>
        <w:jc w:val="both"/>
        <w:rPr>
          <w:rFonts w:ascii="David" w:hAnsi="David" w:cs="David"/>
          <w:sz w:val="24"/>
          <w:szCs w:val="24"/>
          <w:rtl/>
        </w:rPr>
      </w:pPr>
    </w:p>
    <w:p w14:paraId="5C8C9503" w14:textId="77777777" w:rsidR="00724E0C" w:rsidRDefault="00724E0C" w:rsidP="00724E0C">
      <w:pPr>
        <w:pStyle w:val="a9"/>
        <w:spacing w:line="360" w:lineRule="auto"/>
        <w:ind w:left="1080"/>
        <w:jc w:val="both"/>
        <w:rPr>
          <w:rFonts w:ascii="David" w:hAnsi="David" w:cs="David"/>
          <w:sz w:val="24"/>
          <w:szCs w:val="24"/>
          <w:rtl/>
        </w:rPr>
      </w:pPr>
      <w:r>
        <w:rPr>
          <w:rFonts w:ascii="David" w:hAnsi="David" w:cs="David"/>
          <w:sz w:val="24"/>
          <w:szCs w:val="24"/>
          <w:rtl/>
        </w:rPr>
        <w:t xml:space="preserve">לעניין חילוט הרכב, נטען, כי הנאשם הודה במסגרת חקירתו במשטרה, כי הוא הבעלים האמיתי של הרכב, הוא נוהג בו מנהג בעלים ואף שלל שאדם אחר משתמש באותו רכב. כמו-כן, כך נטען, הודה הנאשם בכתב-האישום המתוקן, כי היה זה הוא שנהג ברכב בעוד שאדם אחר ישב לידו וירה מתוכו אל עבר כלבים בהם חפץ הנאשם לפגוע. </w:t>
      </w:r>
    </w:p>
    <w:p w14:paraId="183D8755" w14:textId="77777777" w:rsidR="00724E0C" w:rsidRDefault="00724E0C" w:rsidP="00724E0C">
      <w:pPr>
        <w:pStyle w:val="a9"/>
        <w:spacing w:line="360" w:lineRule="auto"/>
        <w:ind w:left="1080"/>
        <w:jc w:val="both"/>
        <w:rPr>
          <w:rFonts w:ascii="David" w:hAnsi="David" w:cs="David"/>
          <w:sz w:val="24"/>
          <w:szCs w:val="24"/>
          <w:rtl/>
        </w:rPr>
      </w:pPr>
    </w:p>
    <w:p w14:paraId="0B7D894B" w14:textId="77777777" w:rsidR="00724E0C" w:rsidRDefault="00724E0C" w:rsidP="00724E0C">
      <w:pPr>
        <w:pStyle w:val="a9"/>
        <w:spacing w:line="360" w:lineRule="auto"/>
        <w:ind w:left="1080"/>
        <w:jc w:val="both"/>
        <w:rPr>
          <w:rFonts w:ascii="David" w:hAnsi="David" w:cs="David"/>
          <w:sz w:val="24"/>
          <w:szCs w:val="24"/>
          <w:rtl/>
        </w:rPr>
      </w:pPr>
      <w:r>
        <w:rPr>
          <w:rFonts w:ascii="David" w:hAnsi="David" w:cs="David"/>
          <w:sz w:val="24"/>
          <w:szCs w:val="24"/>
          <w:rtl/>
        </w:rPr>
        <w:t xml:space="preserve">לטענת המאשימה, תכליתו העונשית של רכיב החילוט אינה העשרת קופת המדינה, אלא מהווה רכיב נוסף לכלל הענישה, ונובעת מהקדשתו של הרכב על-ידי בעליו לביצוע העבירה, וקשורה באופן ישיר לשיקולי ההרתעה הקלאסיים של גמול והרתעה, הן של היחיד והן של הרבים. בשים-לב, כך אליבא דמאשימה, למגמת ההחמרה בעבירות נשק וכן לסיכון הפוטנציאלי הגלום בנשיאת נשק כאשר הנשק נויד באמצעות רכבו של הנאשם תוך זלזול מוחלט בסכנה הנשקפת לציבור שעה שהם יורים מתוך הרכב בשכונת מגורים, יש לבכר בענייננו של הנאשם  את שיקול הרתעת הרבים, אשר, כך לטענת המאשימה, מטה את הכף לחילוט הרכב. </w:t>
      </w:r>
    </w:p>
    <w:p w14:paraId="6A08CBAC" w14:textId="77777777" w:rsidR="00724E0C" w:rsidRDefault="00724E0C" w:rsidP="00724E0C">
      <w:pPr>
        <w:spacing w:line="360" w:lineRule="auto"/>
        <w:ind w:left="1080"/>
        <w:jc w:val="both"/>
        <w:rPr>
          <w:rFonts w:ascii="David" w:hAnsi="David"/>
          <w:rtl/>
        </w:rPr>
      </w:pPr>
      <w:r>
        <w:rPr>
          <w:rFonts w:ascii="David" w:hAnsi="David"/>
          <w:rtl/>
        </w:rPr>
        <w:t xml:space="preserve">המאשימה הפנתה ל-עפ"ג 71896-11-21 </w:t>
      </w:r>
      <w:r>
        <w:rPr>
          <w:rFonts w:ascii="David" w:hAnsi="David"/>
          <w:b/>
          <w:bCs/>
          <w:rtl/>
        </w:rPr>
        <w:t>סעיד אלנבארי נ' מדינת ישראל</w:t>
      </w:r>
      <w:r>
        <w:rPr>
          <w:rFonts w:ascii="David" w:hAnsi="David"/>
          <w:rtl/>
        </w:rPr>
        <w:t xml:space="preserve"> (13.07.2022), וציינה, כי חלק מן הקנס, ככל שיוטל, יועבר לקרן לצער בע"ח. </w:t>
      </w:r>
    </w:p>
    <w:p w14:paraId="6E7A85FC" w14:textId="77777777" w:rsidR="00724E0C" w:rsidRDefault="00724E0C" w:rsidP="00724E0C">
      <w:pPr>
        <w:spacing w:line="360" w:lineRule="auto"/>
        <w:jc w:val="both"/>
        <w:rPr>
          <w:rFonts w:ascii="David" w:hAnsi="David"/>
          <w:rtl/>
        </w:rPr>
      </w:pPr>
    </w:p>
    <w:p w14:paraId="6D730217" w14:textId="77777777" w:rsidR="00724E0C" w:rsidRDefault="00724E0C" w:rsidP="00724E0C">
      <w:pPr>
        <w:pStyle w:val="a9"/>
        <w:numPr>
          <w:ilvl w:val="0"/>
          <w:numId w:val="1"/>
        </w:numPr>
        <w:spacing w:line="360" w:lineRule="auto"/>
        <w:jc w:val="both"/>
        <w:rPr>
          <w:rFonts w:ascii="David" w:hAnsi="David" w:cs="David"/>
          <w:sz w:val="24"/>
          <w:szCs w:val="24"/>
          <w:rtl/>
        </w:rPr>
      </w:pPr>
      <w:r>
        <w:rPr>
          <w:rFonts w:ascii="David" w:hAnsi="David" w:cs="David"/>
          <w:sz w:val="24"/>
          <w:szCs w:val="24"/>
          <w:rtl/>
        </w:rPr>
        <w:t>מנגד,</w:t>
      </w:r>
      <w:r>
        <w:rPr>
          <w:rFonts w:ascii="David" w:hAnsi="David" w:cs="David"/>
          <w:b/>
          <w:bCs/>
          <w:sz w:val="24"/>
          <w:szCs w:val="24"/>
          <w:rtl/>
        </w:rPr>
        <w:t xml:space="preserve"> </w:t>
      </w:r>
      <w:r>
        <w:rPr>
          <w:rFonts w:ascii="David" w:hAnsi="David" w:cs="David"/>
          <w:sz w:val="24"/>
          <w:szCs w:val="24"/>
          <w:rtl/>
        </w:rPr>
        <w:t>טען</w:t>
      </w:r>
      <w:r>
        <w:rPr>
          <w:rFonts w:ascii="David" w:hAnsi="David" w:cs="David"/>
          <w:b/>
          <w:bCs/>
          <w:sz w:val="24"/>
          <w:szCs w:val="24"/>
          <w:rtl/>
        </w:rPr>
        <w:t xml:space="preserve"> </w:t>
      </w:r>
      <w:r>
        <w:rPr>
          <w:rFonts w:ascii="David" w:hAnsi="David" w:cs="David"/>
          <w:sz w:val="24"/>
          <w:szCs w:val="24"/>
          <w:rtl/>
        </w:rPr>
        <w:t xml:space="preserve">בא-כוחו של הנאשם, כי כתב-האישום המתוקן מצביע על כך שאין מדובר בעניינו של הנאשם, בעבירות נשק קונבנציונליות. הבעיה שסבל ממנה הנאשם, כך נטען, לא זכתה למענה מן הגורמים המתאימים, וכי התסכול של הנאשם ומצוקתו הכלכלית הביאו אותו ליטול את החוק לידיים, ועל כך הוא נענש. </w:t>
      </w:r>
    </w:p>
    <w:p w14:paraId="70241BC5" w14:textId="77777777" w:rsidR="00724E0C" w:rsidRDefault="00724E0C" w:rsidP="00724E0C">
      <w:pPr>
        <w:pStyle w:val="a9"/>
        <w:spacing w:line="360" w:lineRule="auto"/>
        <w:ind w:left="1080"/>
        <w:jc w:val="both"/>
        <w:rPr>
          <w:rFonts w:ascii="David" w:hAnsi="David" w:cs="David"/>
          <w:sz w:val="24"/>
          <w:szCs w:val="24"/>
        </w:rPr>
      </w:pPr>
    </w:p>
    <w:p w14:paraId="344A58AB" w14:textId="77777777" w:rsidR="00724E0C" w:rsidRDefault="00724E0C" w:rsidP="00724E0C">
      <w:pPr>
        <w:pStyle w:val="a9"/>
        <w:spacing w:line="360" w:lineRule="auto"/>
        <w:ind w:left="1080"/>
        <w:jc w:val="both"/>
        <w:rPr>
          <w:rFonts w:ascii="David" w:hAnsi="David" w:cs="David"/>
          <w:sz w:val="24"/>
          <w:szCs w:val="24"/>
          <w:rtl/>
        </w:rPr>
      </w:pPr>
      <w:r>
        <w:rPr>
          <w:rFonts w:ascii="David" w:hAnsi="David" w:cs="David"/>
          <w:sz w:val="24"/>
          <w:szCs w:val="24"/>
          <w:rtl/>
        </w:rPr>
        <w:t xml:space="preserve">הפגיעה הכלכלית בנאשם, כך אליבא דבא-כוחו, אינה מוצדקת, הואיל, ובין היתר, היא המקור לעבירות בהן הורשע הנאשם. </w:t>
      </w:r>
    </w:p>
    <w:p w14:paraId="23385497" w14:textId="77777777" w:rsidR="00724E0C" w:rsidRDefault="00724E0C" w:rsidP="00724E0C">
      <w:pPr>
        <w:pStyle w:val="a9"/>
        <w:spacing w:line="360" w:lineRule="auto"/>
        <w:ind w:left="1080"/>
        <w:jc w:val="both"/>
        <w:rPr>
          <w:rFonts w:ascii="David" w:hAnsi="David" w:cs="David"/>
          <w:sz w:val="24"/>
          <w:szCs w:val="24"/>
          <w:rtl/>
        </w:rPr>
      </w:pPr>
    </w:p>
    <w:p w14:paraId="4311EEBC" w14:textId="77777777" w:rsidR="00724E0C" w:rsidRDefault="00724E0C" w:rsidP="00724E0C">
      <w:pPr>
        <w:pStyle w:val="a9"/>
        <w:spacing w:line="360" w:lineRule="auto"/>
        <w:ind w:left="1080"/>
        <w:jc w:val="both"/>
        <w:rPr>
          <w:rFonts w:ascii="David" w:hAnsi="David" w:cs="David"/>
          <w:sz w:val="24"/>
          <w:szCs w:val="24"/>
          <w:rtl/>
        </w:rPr>
      </w:pPr>
      <w:r>
        <w:rPr>
          <w:rFonts w:ascii="David" w:hAnsi="David" w:cs="David"/>
          <w:sz w:val="24"/>
          <w:szCs w:val="24"/>
          <w:rtl/>
        </w:rPr>
        <w:t>נטען, כי רשויות המדינה לא עשו את המוטל עליהן, והביאו את הנאשם, נעדר עבר פלילי, לקחת את החוק לידיו, וזאת שעה שרשויות המדינה מכירות במחדלים אלו, וכעת מבקשות הן להעניש, גם מ</w:t>
      </w:r>
      <w:r>
        <w:rPr>
          <w:rFonts w:ascii="David" w:hAnsi="David" w:cs="David" w:hint="cs"/>
          <w:sz w:val="24"/>
          <w:szCs w:val="24"/>
          <w:rtl/>
        </w:rPr>
        <w:t>ה</w:t>
      </w:r>
      <w:r>
        <w:rPr>
          <w:rFonts w:ascii="David" w:hAnsi="David" w:cs="David"/>
          <w:sz w:val="24"/>
          <w:szCs w:val="24"/>
          <w:rtl/>
        </w:rPr>
        <w:t>בחינה הכלכלית, את הנאשם.</w:t>
      </w:r>
    </w:p>
    <w:p w14:paraId="22007FE2" w14:textId="77777777" w:rsidR="00724E0C" w:rsidRDefault="00724E0C" w:rsidP="00724E0C">
      <w:pPr>
        <w:pStyle w:val="a9"/>
        <w:spacing w:line="360" w:lineRule="auto"/>
        <w:ind w:left="1080"/>
        <w:jc w:val="both"/>
        <w:rPr>
          <w:rFonts w:ascii="David" w:hAnsi="David" w:cs="David"/>
          <w:sz w:val="24"/>
          <w:szCs w:val="24"/>
          <w:rtl/>
        </w:rPr>
      </w:pPr>
    </w:p>
    <w:p w14:paraId="0836D5ED" w14:textId="77777777" w:rsidR="00724E0C" w:rsidRDefault="00724E0C" w:rsidP="00724E0C">
      <w:pPr>
        <w:pStyle w:val="a9"/>
        <w:spacing w:line="360" w:lineRule="auto"/>
        <w:ind w:left="1080"/>
        <w:jc w:val="both"/>
        <w:rPr>
          <w:rFonts w:ascii="David" w:hAnsi="David" w:cs="David"/>
          <w:sz w:val="24"/>
          <w:szCs w:val="24"/>
          <w:rtl/>
        </w:rPr>
      </w:pPr>
      <w:r>
        <w:rPr>
          <w:rFonts w:ascii="David" w:hAnsi="David" w:cs="David"/>
          <w:sz w:val="24"/>
          <w:szCs w:val="24"/>
          <w:rtl/>
        </w:rPr>
        <w:t xml:space="preserve">עוד נטען, כי קבלת בקשת המאשימה, מובילה להיעדר הלימה בין העונש שהושת על בנו של הנאשם – 8 חודשי מאסר, כאשר בעברו היו הרשעות קודמות בעבירות החזקת נשק. </w:t>
      </w:r>
    </w:p>
    <w:p w14:paraId="3AB989E3" w14:textId="77777777" w:rsidR="00724E0C" w:rsidRDefault="00724E0C" w:rsidP="00724E0C">
      <w:pPr>
        <w:spacing w:line="360" w:lineRule="auto"/>
        <w:ind w:left="1080"/>
        <w:jc w:val="both"/>
        <w:rPr>
          <w:rFonts w:ascii="David" w:hAnsi="David"/>
          <w:rtl/>
        </w:rPr>
      </w:pPr>
      <w:r>
        <w:rPr>
          <w:rFonts w:ascii="David" w:hAnsi="David"/>
          <w:rtl/>
        </w:rPr>
        <w:t xml:space="preserve">נוכח האמור, עתר בא-כוחו של הנאשם להימנע מחילוט הרכב ומהשתת עונש של קנס, בין היתר, הואיל ושוויו של הרכב הוא כ- 18,000 ₪ ומשמש לעבודתו של הנאשם להעברת כבשים. </w:t>
      </w:r>
    </w:p>
    <w:p w14:paraId="7AEBAA6B" w14:textId="77777777" w:rsidR="00724E0C" w:rsidRDefault="00724E0C" w:rsidP="00724E0C">
      <w:pPr>
        <w:spacing w:line="360" w:lineRule="auto"/>
        <w:jc w:val="both"/>
        <w:rPr>
          <w:rFonts w:ascii="David" w:hAnsi="David"/>
          <w:b/>
          <w:bCs/>
          <w:u w:val="single"/>
          <w:rtl/>
        </w:rPr>
      </w:pPr>
    </w:p>
    <w:p w14:paraId="3DF5CCB9" w14:textId="77777777" w:rsidR="00724E0C" w:rsidRDefault="00724E0C" w:rsidP="00724E0C">
      <w:pPr>
        <w:spacing w:line="360" w:lineRule="auto"/>
        <w:jc w:val="both"/>
        <w:rPr>
          <w:rFonts w:ascii="David" w:hAnsi="David"/>
          <w:b/>
          <w:bCs/>
          <w:u w:val="single"/>
          <w:rtl/>
        </w:rPr>
      </w:pPr>
      <w:r>
        <w:rPr>
          <w:rFonts w:ascii="David" w:hAnsi="David"/>
          <w:b/>
          <w:bCs/>
          <w:u w:val="single"/>
          <w:rtl/>
        </w:rPr>
        <w:t>דיון והכרעה</w:t>
      </w:r>
    </w:p>
    <w:p w14:paraId="19BBA6CE" w14:textId="77777777" w:rsidR="00724E0C" w:rsidRDefault="00724E0C" w:rsidP="00724E0C">
      <w:pPr>
        <w:spacing w:line="360" w:lineRule="auto"/>
        <w:jc w:val="both"/>
        <w:rPr>
          <w:rFonts w:ascii="David" w:hAnsi="David"/>
          <w:b/>
          <w:bCs/>
          <w:u w:val="single"/>
          <w:rtl/>
        </w:rPr>
      </w:pPr>
    </w:p>
    <w:p w14:paraId="4EFAFF42" w14:textId="77777777" w:rsidR="00724E0C" w:rsidRDefault="00724E0C" w:rsidP="00724E0C">
      <w:pPr>
        <w:pStyle w:val="a9"/>
        <w:numPr>
          <w:ilvl w:val="0"/>
          <w:numId w:val="1"/>
        </w:numPr>
        <w:spacing w:line="360" w:lineRule="auto"/>
        <w:jc w:val="both"/>
        <w:rPr>
          <w:rFonts w:ascii="David" w:hAnsi="David" w:cs="David"/>
          <w:sz w:val="24"/>
          <w:szCs w:val="24"/>
          <w:rtl/>
        </w:rPr>
      </w:pPr>
      <w:r>
        <w:rPr>
          <w:rFonts w:ascii="David" w:hAnsi="David" w:cs="David"/>
          <w:sz w:val="24"/>
          <w:szCs w:val="24"/>
          <w:rtl/>
        </w:rPr>
        <w:t>פסיקה עקבית של בית המשפט העליון קובעת, כי יש לי</w:t>
      </w:r>
      <w:r>
        <w:rPr>
          <w:rFonts w:ascii="David" w:hAnsi="David" w:cs="David" w:hint="cs"/>
          <w:sz w:val="24"/>
          <w:szCs w:val="24"/>
          <w:rtl/>
        </w:rPr>
        <w:t>חס</w:t>
      </w:r>
      <w:r>
        <w:rPr>
          <w:rFonts w:ascii="David" w:hAnsi="David" w:cs="David"/>
          <w:sz w:val="24"/>
          <w:szCs w:val="24"/>
          <w:rtl/>
        </w:rPr>
        <w:t xml:space="preserve"> חומרה יתרה לעבירות הנשק, על סוגיהן השונים, נוכח הסכנה הגבוהה הנשקפת מהן, וזאת אף בשים-לב לגישת </w:t>
      </w:r>
      <w:r>
        <w:rPr>
          <w:rFonts w:ascii="David" w:hAnsi="David" w:cs="David"/>
          <w:spacing w:val="10"/>
          <w:sz w:val="24"/>
          <w:szCs w:val="24"/>
          <w:rtl/>
        </w:rPr>
        <w:t>המחוקק, אשר קבע לצידן של עבירות אלו ענישה מחמירה.</w:t>
      </w:r>
    </w:p>
    <w:p w14:paraId="0E1F5953" w14:textId="77777777" w:rsidR="00724E0C" w:rsidRDefault="00724E0C" w:rsidP="00724E0C">
      <w:pPr>
        <w:pStyle w:val="Ruller50"/>
        <w:spacing w:line="360" w:lineRule="auto"/>
        <w:ind w:left="1080" w:right="0"/>
        <w:rPr>
          <w:rFonts w:ascii="David" w:hAnsi="David" w:cs="David"/>
          <w:sz w:val="24"/>
          <w:szCs w:val="24"/>
          <w:rtl/>
        </w:rPr>
      </w:pPr>
    </w:p>
    <w:p w14:paraId="63B29087" w14:textId="77777777" w:rsidR="00724E0C" w:rsidRDefault="00724E0C" w:rsidP="00724E0C">
      <w:pPr>
        <w:pStyle w:val="Ruller50"/>
        <w:spacing w:line="360" w:lineRule="auto"/>
        <w:ind w:left="1080" w:right="0"/>
        <w:rPr>
          <w:rFonts w:ascii="David" w:hAnsi="David" w:cs="David"/>
          <w:sz w:val="24"/>
          <w:szCs w:val="24"/>
          <w:rtl/>
        </w:rPr>
      </w:pPr>
      <w:r>
        <w:rPr>
          <w:rFonts w:ascii="David" w:hAnsi="David" w:cs="David"/>
          <w:sz w:val="24"/>
          <w:szCs w:val="24"/>
          <w:rtl/>
        </w:rPr>
        <w:t>אפנה לדבריו של כב' השופט י. אלרון ב-</w:t>
      </w:r>
      <w:hyperlink r:id="rId30" w:history="1">
        <w:r w:rsidR="008024C2" w:rsidRPr="008024C2">
          <w:rPr>
            <w:rFonts w:ascii="David" w:hAnsi="David" w:cs="David"/>
            <w:color w:val="0000FF"/>
            <w:sz w:val="24"/>
            <w:szCs w:val="24"/>
            <w:u w:val="single"/>
            <w:rtl/>
          </w:rPr>
          <w:t>ע"פ 4406/19</w:t>
        </w:r>
      </w:hyperlink>
      <w:r>
        <w:rPr>
          <w:rFonts w:ascii="David" w:hAnsi="David" w:cs="David"/>
          <w:b/>
          <w:bCs/>
          <w:sz w:val="24"/>
          <w:szCs w:val="24"/>
          <w:rtl/>
        </w:rPr>
        <w:t xml:space="preserve"> </w:t>
      </w:r>
      <w:r>
        <w:rPr>
          <w:rFonts w:ascii="David" w:hAnsi="David" w:cs="David"/>
          <w:b/>
          <w:bCs/>
          <w:spacing w:val="0"/>
          <w:sz w:val="24"/>
          <w:szCs w:val="24"/>
          <w:rtl/>
        </w:rPr>
        <w:t xml:space="preserve">סובח נ' מדינת ישראל </w:t>
      </w:r>
      <w:r>
        <w:rPr>
          <w:rFonts w:ascii="David" w:hAnsi="David" w:cs="David"/>
          <w:sz w:val="24"/>
          <w:szCs w:val="24"/>
          <w:rtl/>
        </w:rPr>
        <w:t>(05.11.2019), בפסקה 16:</w:t>
      </w:r>
    </w:p>
    <w:p w14:paraId="545F80E7" w14:textId="77777777" w:rsidR="00724E0C" w:rsidRDefault="00724E0C" w:rsidP="00724E0C">
      <w:pPr>
        <w:pStyle w:val="Ruller50"/>
        <w:spacing w:line="360" w:lineRule="auto"/>
        <w:ind w:left="793" w:right="0"/>
        <w:rPr>
          <w:rFonts w:ascii="David" w:hAnsi="David" w:cs="David"/>
          <w:sz w:val="24"/>
          <w:szCs w:val="24"/>
        </w:rPr>
      </w:pPr>
    </w:p>
    <w:p w14:paraId="6EE11367" w14:textId="77777777" w:rsidR="00724E0C" w:rsidRDefault="00724E0C" w:rsidP="00724E0C">
      <w:pPr>
        <w:pStyle w:val="Ruller41"/>
        <w:tabs>
          <w:tab w:val="left" w:pos="800"/>
        </w:tabs>
        <w:adjustRightInd w:val="0"/>
        <w:spacing w:after="420"/>
        <w:ind w:left="2880"/>
        <w:textAlignment w:val="baseline"/>
        <w:rPr>
          <w:rFonts w:ascii="David" w:hAnsi="David" w:cs="David"/>
          <w:b/>
          <w:bCs/>
          <w:rtl/>
        </w:rPr>
      </w:pPr>
      <w:r>
        <w:rPr>
          <w:rFonts w:ascii="David" w:hAnsi="David" w:cs="David"/>
          <w:b/>
          <w:bCs/>
          <w:rtl/>
        </w:rPr>
        <w:t xml:space="preserve">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w:t>
      </w:r>
      <w:r>
        <w:rPr>
          <w:rFonts w:ascii="David" w:hAnsi="David" w:cs="David"/>
          <w:b/>
          <w:bCs/>
          <w:spacing w:val="0"/>
          <w:rtl/>
        </w:rPr>
        <w:t>התמודדות משטרת ישראל עם החזקת אמצעי לחימה לא חוקיים ואירועי ירי ביישובי החברה הערבית וביישובים מעורבים</w:t>
      </w:r>
      <w:r>
        <w:rPr>
          <w:rFonts w:ascii="David" w:hAnsi="David" w:cs="David"/>
          <w:b/>
          <w:bCs/>
          <w:rtl/>
        </w:rPr>
        <w:t xml:space="preserve"> 28 (2018)). </w:t>
      </w:r>
    </w:p>
    <w:p w14:paraId="4BB24F6D" w14:textId="77777777" w:rsidR="00724E0C" w:rsidRDefault="00724E0C" w:rsidP="00724E0C">
      <w:pPr>
        <w:pStyle w:val="Ruller40"/>
        <w:ind w:left="2880"/>
        <w:rPr>
          <w:rFonts w:ascii="David" w:hAnsi="David" w:cs="David"/>
          <w:b/>
          <w:bCs/>
          <w:sz w:val="24"/>
          <w:szCs w:val="24"/>
          <w:rtl/>
        </w:rPr>
      </w:pPr>
      <w:r>
        <w:rPr>
          <w:rFonts w:ascii="David" w:hAnsi="David" w:cs="David"/>
          <w:b/>
          <w:bCs/>
          <w:sz w:val="24"/>
          <w:szCs w:val="24"/>
          <w:rtl/>
        </w:rPr>
        <w:t>על רקע המציאות אותה אנו חווים למרבה הצער מדי יום, אנו עדים לקריאה ציבורית נרגשת להגברת האכיפה כלפי עבירות נשק – ולהחמרה במדיניות הענישה הנוהגת....</w:t>
      </w:r>
    </w:p>
    <w:p w14:paraId="129DEFED" w14:textId="77777777" w:rsidR="00724E0C" w:rsidRDefault="00724E0C" w:rsidP="00724E0C">
      <w:pPr>
        <w:pStyle w:val="Ruller40"/>
        <w:rPr>
          <w:rFonts w:ascii="David" w:hAnsi="David" w:cs="David"/>
          <w:b/>
          <w:bCs/>
          <w:sz w:val="24"/>
          <w:szCs w:val="24"/>
          <w:rtl/>
        </w:rPr>
      </w:pPr>
    </w:p>
    <w:p w14:paraId="500A1D14" w14:textId="77777777" w:rsidR="00724E0C" w:rsidRDefault="00724E0C" w:rsidP="00724E0C">
      <w:pPr>
        <w:pStyle w:val="Ruller40"/>
        <w:ind w:left="2880"/>
        <w:rPr>
          <w:rFonts w:ascii="David" w:hAnsi="David" w:cs="David"/>
          <w:b/>
          <w:bCs/>
          <w:sz w:val="24"/>
          <w:szCs w:val="24"/>
          <w:rtl/>
        </w:rPr>
      </w:pPr>
      <w:r>
        <w:rPr>
          <w:rFonts w:ascii="David" w:hAnsi="David" w:cs="David"/>
          <w:b/>
          <w:bCs/>
          <w:sz w:val="24"/>
          <w:szCs w:val="24"/>
          <w:rtl/>
        </w:rPr>
        <w:t xml:space="preserve">דברים אלו אף באו לידי ביטוי לאחרונה בדברי הנשיאה </w:t>
      </w:r>
      <w:r>
        <w:rPr>
          <w:rFonts w:ascii="David" w:hAnsi="David" w:cs="David"/>
          <w:b/>
          <w:bCs/>
          <w:spacing w:val="0"/>
          <w:sz w:val="24"/>
          <w:szCs w:val="24"/>
          <w:rtl/>
        </w:rPr>
        <w:t>א' חיות</w:t>
      </w:r>
      <w:r>
        <w:rPr>
          <w:rFonts w:ascii="David" w:hAnsi="David" w:cs="David"/>
          <w:b/>
          <w:bCs/>
          <w:sz w:val="24"/>
          <w:szCs w:val="24"/>
          <w:rtl/>
        </w:rPr>
        <w:t xml:space="preserve"> בטקס פתיחת שנת המשפט הנוכחית של לשכת עורכי הדין בנצרת:</w:t>
      </w:r>
    </w:p>
    <w:p w14:paraId="2F0A7B22" w14:textId="77777777" w:rsidR="00724E0C" w:rsidRDefault="00724E0C" w:rsidP="00724E0C">
      <w:pPr>
        <w:pStyle w:val="Ruller50"/>
        <w:spacing w:line="360" w:lineRule="auto"/>
        <w:rPr>
          <w:rFonts w:ascii="David" w:hAnsi="David" w:cs="David"/>
          <w:b/>
          <w:bCs/>
          <w:sz w:val="24"/>
          <w:szCs w:val="24"/>
          <w:rtl/>
        </w:rPr>
      </w:pPr>
    </w:p>
    <w:p w14:paraId="40228C49" w14:textId="77777777" w:rsidR="00724E0C" w:rsidRDefault="00724E0C" w:rsidP="00724E0C">
      <w:pPr>
        <w:pStyle w:val="Ruller50"/>
        <w:spacing w:line="360" w:lineRule="auto"/>
        <w:ind w:left="4320" w:right="0"/>
        <w:rPr>
          <w:rFonts w:ascii="David" w:hAnsi="David" w:cs="David"/>
          <w:b/>
          <w:bCs/>
          <w:sz w:val="24"/>
          <w:szCs w:val="24"/>
          <w:rtl/>
        </w:rPr>
      </w:pPr>
      <w:r>
        <w:rPr>
          <w:rFonts w:ascii="David" w:hAnsi="David" w:cs="David"/>
          <w:b/>
          <w:bCs/>
          <w:sz w:val="24"/>
          <w:szCs w:val="24"/>
          <w:rtl/>
        </w:rPr>
        <w:t>"מערכת בתי המשפט משקיעה מאמצים רבים בתחום זה, ובית המשפט העליון התווה וממשיך להתוות הלכות לאורך השנים באשר לרמת הענישה ההולמת את החומרה היתרה הגלומה בביצוע עבירות בנשק ובאשר לביטוי העונשי ההולם המתחייב מכך".</w:t>
      </w:r>
    </w:p>
    <w:p w14:paraId="086CAA8F" w14:textId="77777777" w:rsidR="00724E0C" w:rsidRDefault="00724E0C" w:rsidP="00724E0C">
      <w:pPr>
        <w:pStyle w:val="Ruller40"/>
        <w:rPr>
          <w:rFonts w:ascii="David" w:hAnsi="David" w:cs="David"/>
          <w:b/>
          <w:bCs/>
          <w:sz w:val="24"/>
          <w:szCs w:val="24"/>
          <w:rtl/>
        </w:rPr>
      </w:pPr>
    </w:p>
    <w:p w14:paraId="4BD7E1DA" w14:textId="77777777" w:rsidR="00724E0C" w:rsidRDefault="00724E0C" w:rsidP="00724E0C">
      <w:pPr>
        <w:pStyle w:val="Ruller40"/>
        <w:ind w:left="2880"/>
        <w:rPr>
          <w:rFonts w:ascii="David" w:hAnsi="David" w:cs="David"/>
          <w:b/>
          <w:bCs/>
          <w:sz w:val="24"/>
          <w:szCs w:val="24"/>
          <w:rtl/>
        </w:rPr>
      </w:pPr>
      <w:r>
        <w:rPr>
          <w:rFonts w:ascii="David" w:hAnsi="David" w:cs="David"/>
          <w:b/>
          <w:bCs/>
          <w:sz w:val="24"/>
          <w:szCs w:val="24"/>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340040FD" w14:textId="77777777" w:rsidR="00724E0C" w:rsidRDefault="00724E0C" w:rsidP="00724E0C">
      <w:pPr>
        <w:pStyle w:val="Ruller40"/>
        <w:rPr>
          <w:rFonts w:ascii="David" w:hAnsi="David" w:cs="David"/>
          <w:b/>
          <w:bCs/>
          <w:sz w:val="24"/>
          <w:szCs w:val="24"/>
          <w:rtl/>
        </w:rPr>
      </w:pPr>
    </w:p>
    <w:p w14:paraId="08C9E6C1" w14:textId="77777777" w:rsidR="00724E0C" w:rsidRDefault="00724E0C" w:rsidP="00724E0C">
      <w:pPr>
        <w:spacing w:line="360" w:lineRule="auto"/>
        <w:ind w:left="1440"/>
        <w:jc w:val="both"/>
        <w:rPr>
          <w:rFonts w:ascii="David" w:hAnsi="David"/>
          <w:rtl/>
        </w:rPr>
      </w:pPr>
      <w:r>
        <w:rPr>
          <w:rFonts w:ascii="David" w:hAnsi="David"/>
          <w:rtl/>
        </w:rPr>
        <w:t>בעניינו של הנאשם, הגיעו הצדדים להסדר-הטיעון המפורט לעיל, וזאת בשים-לב, לדברי המאשימה, לפיהם: "</w:t>
      </w:r>
      <w:r>
        <w:rPr>
          <w:rFonts w:ascii="David" w:hAnsi="David"/>
          <w:b/>
          <w:bCs/>
          <w:rtl/>
        </w:rPr>
        <w:t>השיקול המרכזי שהביא אותנו להסדר הוא הקושי הראייתי בשים לב לנסיבותיו האישיות של הנאשם. אנו סבורים כי מדובר בהסדר ראוי ונבקש מבית המשפט לקבל את ההסדר</w:t>
      </w:r>
      <w:r>
        <w:rPr>
          <w:rFonts w:ascii="David" w:hAnsi="David"/>
          <w:rtl/>
        </w:rPr>
        <w:t>" (ר' פרוטוקול הדיון מיום 28.11.2022).</w:t>
      </w:r>
    </w:p>
    <w:p w14:paraId="44A64079" w14:textId="77777777" w:rsidR="00724E0C" w:rsidRDefault="00724E0C" w:rsidP="00724E0C">
      <w:pPr>
        <w:spacing w:line="360" w:lineRule="auto"/>
        <w:ind w:left="1440"/>
        <w:jc w:val="both"/>
        <w:rPr>
          <w:rFonts w:ascii="David" w:hAnsi="David"/>
          <w:rtl/>
        </w:rPr>
      </w:pPr>
    </w:p>
    <w:p w14:paraId="39042AF0" w14:textId="77777777" w:rsidR="00724E0C" w:rsidRDefault="00724E0C" w:rsidP="00724E0C">
      <w:pPr>
        <w:spacing w:line="360" w:lineRule="auto"/>
        <w:ind w:left="1440"/>
        <w:jc w:val="both"/>
        <w:rPr>
          <w:rFonts w:ascii="David" w:hAnsi="David"/>
          <w:rtl/>
        </w:rPr>
      </w:pPr>
      <w:r>
        <w:rPr>
          <w:rFonts w:ascii="David" w:hAnsi="David"/>
          <w:rtl/>
        </w:rPr>
        <w:t>נוכח הלכות בית המשפט העליון בעניין קבלת הסדרי-טיעון, ובשים-לב לעובדה, כי הנאשם נעדר עבר פלילי, וכי מדובר בענישה, אשר מצויה במתחם הענישה הנוהג בעבירות כגון דא, מקבל אני הסדר-הטיעון, ומשית על הנאשם 18 חודשי מאסר בפועל, בניכוי</w:t>
      </w:r>
      <w:r>
        <w:rPr>
          <w:rFonts w:ascii="David" w:hAnsi="David" w:hint="cs"/>
          <w:rtl/>
        </w:rPr>
        <w:t xml:space="preserve"> ימי מעצרו</w:t>
      </w:r>
    </w:p>
    <w:p w14:paraId="6FF00FE0" w14:textId="77777777" w:rsidR="00724E0C" w:rsidRDefault="00724E0C" w:rsidP="00724E0C">
      <w:pPr>
        <w:spacing w:line="360" w:lineRule="auto"/>
        <w:ind w:left="1440"/>
        <w:jc w:val="both"/>
        <w:rPr>
          <w:rFonts w:ascii="David" w:hAnsi="David"/>
          <w:rtl/>
        </w:rPr>
      </w:pPr>
    </w:p>
    <w:p w14:paraId="679E0AA5" w14:textId="77777777" w:rsidR="00724E0C" w:rsidRDefault="00724E0C" w:rsidP="00724E0C">
      <w:pPr>
        <w:spacing w:line="360" w:lineRule="auto"/>
        <w:ind w:left="1440"/>
        <w:jc w:val="both"/>
        <w:rPr>
          <w:rFonts w:ascii="David" w:hAnsi="David"/>
          <w:rtl/>
        </w:rPr>
      </w:pPr>
      <w:r>
        <w:rPr>
          <w:rFonts w:ascii="David" w:hAnsi="David"/>
          <w:rtl/>
        </w:rPr>
        <w:t>יחד עם האמור, מוצא אני לנכון להדגיש, כי על אף האמור, ובשים-לב למגמת ההחמרה ההכרחית בענישה בעבירות נשק על סוגיהן השונים, מדובר בהסדר מקל ביותר עם הנאשם, אשר מצוי ברף הנמוך ביותר של מתחם הענישה הנוהג.</w:t>
      </w:r>
    </w:p>
    <w:p w14:paraId="350B48F7" w14:textId="77777777" w:rsidR="00724E0C" w:rsidRDefault="00724E0C" w:rsidP="00724E0C">
      <w:pPr>
        <w:spacing w:line="360" w:lineRule="auto"/>
        <w:ind w:left="1440"/>
        <w:jc w:val="both"/>
        <w:rPr>
          <w:rFonts w:ascii="David" w:hAnsi="David"/>
          <w:rtl/>
        </w:rPr>
      </w:pPr>
    </w:p>
    <w:p w14:paraId="0CFAEA39" w14:textId="77777777" w:rsidR="00724E0C" w:rsidRDefault="00724E0C" w:rsidP="00724E0C">
      <w:pPr>
        <w:pStyle w:val="a9"/>
        <w:numPr>
          <w:ilvl w:val="0"/>
          <w:numId w:val="1"/>
        </w:numPr>
        <w:spacing w:line="360" w:lineRule="auto"/>
        <w:jc w:val="both"/>
        <w:rPr>
          <w:rFonts w:ascii="David" w:hAnsi="David" w:cs="David"/>
          <w:sz w:val="24"/>
          <w:szCs w:val="24"/>
          <w:rtl/>
        </w:rPr>
      </w:pPr>
      <w:r>
        <w:rPr>
          <w:rFonts w:ascii="David" w:hAnsi="David" w:cs="David"/>
          <w:sz w:val="24"/>
          <w:szCs w:val="24"/>
          <w:rtl/>
        </w:rPr>
        <w:t>בנוסף לעונש המאסר, עתרה המאשימה להשתת קנס כספי על הנאשם, ולחילוט הרכב בה בוצעה העבירה מושא כתב-האישום המתוקן.</w:t>
      </w:r>
    </w:p>
    <w:p w14:paraId="10F852EB" w14:textId="77777777" w:rsidR="00724E0C" w:rsidRDefault="00724E0C" w:rsidP="00724E0C">
      <w:pPr>
        <w:spacing w:line="360" w:lineRule="auto"/>
        <w:ind w:left="1080"/>
        <w:jc w:val="both"/>
        <w:rPr>
          <w:rFonts w:ascii="David" w:hAnsi="David"/>
          <w:rtl/>
        </w:rPr>
      </w:pPr>
    </w:p>
    <w:p w14:paraId="2191BC6B" w14:textId="77777777" w:rsidR="00724E0C" w:rsidRDefault="00724E0C" w:rsidP="00724E0C">
      <w:pPr>
        <w:spacing w:line="360" w:lineRule="auto"/>
        <w:ind w:left="1080"/>
        <w:jc w:val="both"/>
        <w:rPr>
          <w:rFonts w:ascii="David" w:hAnsi="David"/>
          <w:rtl/>
        </w:rPr>
      </w:pPr>
      <w:r>
        <w:rPr>
          <w:rFonts w:ascii="David" w:hAnsi="David"/>
          <w:rtl/>
        </w:rPr>
        <w:t xml:space="preserve">סעיף </w:t>
      </w:r>
      <w:hyperlink r:id="rId31" w:history="1">
        <w:r w:rsidR="005D1C56" w:rsidRPr="005D1C56">
          <w:rPr>
            <w:rStyle w:val="Hyperlink"/>
            <w:rFonts w:ascii="David" w:hAnsi="David"/>
            <w:rtl/>
          </w:rPr>
          <w:t>32 (א)</w:t>
        </w:r>
      </w:hyperlink>
      <w:r>
        <w:rPr>
          <w:rFonts w:ascii="David" w:hAnsi="David"/>
          <w:rtl/>
        </w:rPr>
        <w:t xml:space="preserve"> ל</w:t>
      </w:r>
      <w:hyperlink r:id="rId32" w:history="1">
        <w:r w:rsidR="008024C2" w:rsidRPr="008024C2">
          <w:rPr>
            <w:rFonts w:ascii="David" w:hAnsi="David"/>
            <w:color w:val="0000FF"/>
            <w:u w:val="single"/>
            <w:rtl/>
          </w:rPr>
          <w:t>פקודת סדר הדין הפלילי (מעצר וחיפוש)</w:t>
        </w:r>
      </w:hyperlink>
      <w:r>
        <w:rPr>
          <w:rFonts w:ascii="David" w:hAnsi="David"/>
          <w:rtl/>
        </w:rPr>
        <w:t xml:space="preserve"> [נוסח חדש], תשכ"ט-1969 מורנו:</w:t>
      </w:r>
    </w:p>
    <w:p w14:paraId="6EF60D70" w14:textId="77777777" w:rsidR="00724E0C" w:rsidRDefault="00724E0C" w:rsidP="00724E0C">
      <w:pPr>
        <w:spacing w:line="360" w:lineRule="auto"/>
        <w:ind w:left="226" w:hanging="851"/>
        <w:jc w:val="both"/>
        <w:rPr>
          <w:rFonts w:ascii="David" w:hAnsi="David"/>
          <w:rtl/>
        </w:rPr>
      </w:pPr>
    </w:p>
    <w:p w14:paraId="706E8735" w14:textId="77777777" w:rsidR="00724E0C" w:rsidRDefault="00724E0C" w:rsidP="00724E0C">
      <w:pPr>
        <w:spacing w:line="360" w:lineRule="auto"/>
        <w:ind w:left="2880"/>
        <w:jc w:val="both"/>
        <w:rPr>
          <w:rFonts w:ascii="David" w:hAnsi="David"/>
          <w:rtl/>
        </w:rPr>
      </w:pPr>
      <w:r>
        <w:rPr>
          <w:rStyle w:val="default"/>
          <w:rFonts w:ascii="David" w:hAnsi="David"/>
          <w:rtl/>
        </w:rPr>
        <w:t>"</w:t>
      </w:r>
      <w:r>
        <w:rPr>
          <w:rStyle w:val="default"/>
          <w:rFonts w:ascii="David" w:hAnsi="David"/>
          <w:b/>
          <w:bCs/>
          <w:rtl/>
        </w:rPr>
        <w:t>רשאי שוטר לתפוס חפץ, אם יש לו יסוד סביר להניח כי באותו חפץ נעברה, או עומדים לעבור, עבירה, או שהוא עשוי לשמש ראיה בהליך משפטי בשל עבירה, או שניתן כשכר בעד ביצוע עבירה או כאמצעי לביצועה</w:t>
      </w:r>
      <w:r>
        <w:rPr>
          <w:rStyle w:val="default"/>
          <w:rFonts w:ascii="David" w:hAnsi="David"/>
          <w:rtl/>
        </w:rPr>
        <w:t>".</w:t>
      </w:r>
    </w:p>
    <w:p w14:paraId="5B45F077" w14:textId="77777777" w:rsidR="00724E0C" w:rsidRDefault="00724E0C" w:rsidP="00724E0C">
      <w:pPr>
        <w:spacing w:line="360" w:lineRule="auto"/>
        <w:ind w:left="720"/>
        <w:jc w:val="both"/>
        <w:rPr>
          <w:rFonts w:ascii="David" w:hAnsi="David"/>
          <w:rtl/>
        </w:rPr>
      </w:pPr>
    </w:p>
    <w:p w14:paraId="2526FAF2" w14:textId="77777777" w:rsidR="00724E0C" w:rsidRDefault="00724E0C" w:rsidP="00724E0C">
      <w:pPr>
        <w:spacing w:line="360" w:lineRule="auto"/>
        <w:ind w:firstLine="793"/>
        <w:jc w:val="both"/>
        <w:rPr>
          <w:rFonts w:ascii="David" w:hAnsi="David"/>
          <w:rtl/>
        </w:rPr>
      </w:pPr>
      <w:r>
        <w:rPr>
          <w:rFonts w:ascii="David" w:hAnsi="David"/>
          <w:rtl/>
        </w:rPr>
        <w:t xml:space="preserve">      ובהמשך, סעיף 39:</w:t>
      </w:r>
    </w:p>
    <w:p w14:paraId="6375D71A" w14:textId="77777777" w:rsidR="00724E0C" w:rsidRDefault="00724E0C" w:rsidP="00724E0C">
      <w:pPr>
        <w:spacing w:line="360" w:lineRule="auto"/>
        <w:ind w:left="84" w:firstLine="636"/>
        <w:jc w:val="both"/>
        <w:rPr>
          <w:rFonts w:ascii="David" w:hAnsi="David"/>
          <w:rtl/>
        </w:rPr>
      </w:pPr>
    </w:p>
    <w:p w14:paraId="3AC9DB55" w14:textId="77777777" w:rsidR="00724E0C" w:rsidRDefault="00724E0C" w:rsidP="00724E0C">
      <w:pPr>
        <w:spacing w:line="360" w:lineRule="auto"/>
        <w:ind w:left="2880"/>
        <w:jc w:val="both"/>
        <w:rPr>
          <w:rFonts w:ascii="David" w:hAnsi="David"/>
          <w:b/>
          <w:bCs/>
          <w:rtl/>
        </w:rPr>
      </w:pPr>
      <w:r>
        <w:rPr>
          <w:rStyle w:val="default"/>
          <w:rFonts w:ascii="David" w:hAnsi="David"/>
          <w:b/>
          <w:bCs/>
          <w:rtl/>
        </w:rPr>
        <w:t>"על אף האמור בכל דין, רשאי בית המשפט, בנוסף על כל עונש שיטיל, לצוות על חילוט החפץ שנתפס לפי סעיף 32, או שהגיע לידי המשטרה כאמור בסעיף 33, אם האדם שהורשע במעשה העבירה שנעשה בחפץ או לגביו הוא בעל החפץ; דין צו זה כדין עונש שהוטל על הנאשם".</w:t>
      </w:r>
    </w:p>
    <w:p w14:paraId="6CF03261" w14:textId="77777777" w:rsidR="00724E0C" w:rsidRDefault="00724E0C" w:rsidP="00724E0C">
      <w:pPr>
        <w:spacing w:line="360" w:lineRule="auto"/>
        <w:ind w:left="720"/>
        <w:jc w:val="both"/>
        <w:rPr>
          <w:rFonts w:ascii="David" w:hAnsi="David"/>
          <w:rtl/>
        </w:rPr>
      </w:pPr>
    </w:p>
    <w:p w14:paraId="55C99FA9" w14:textId="77777777" w:rsidR="00724E0C" w:rsidRDefault="00724E0C" w:rsidP="00724E0C">
      <w:pPr>
        <w:spacing w:line="360" w:lineRule="auto"/>
        <w:ind w:left="1076"/>
        <w:jc w:val="both"/>
        <w:rPr>
          <w:rFonts w:ascii="David" w:hAnsi="David"/>
          <w:rtl/>
        </w:rPr>
      </w:pPr>
      <w:r>
        <w:rPr>
          <w:rFonts w:ascii="David" w:hAnsi="David"/>
          <w:rtl/>
        </w:rPr>
        <w:t>בענייננו, כך נטען, הפגיעה הכלכלית בנאשם, כך אליבא דבא-כוחו, אינה מוצדקת, הואיל, ובין היתר, היא המקור לעבירות בהן הורשע הנאשם. נטען, כי רשויות המדינה לא עשו את המוטל עליהן, והביאו את הנאשם, נעדר עבר פלילי, לקחת את החוק לידיו, וזאת שעה שרשויות המדינה מכירות במחדלים אלו, וכעת מבקשות הן להעניש, גם מן בחינה הכלכלית, את הנאשם.</w:t>
      </w:r>
    </w:p>
    <w:p w14:paraId="32FEE9F1" w14:textId="77777777" w:rsidR="00724E0C" w:rsidRDefault="00724E0C" w:rsidP="00724E0C">
      <w:pPr>
        <w:spacing w:line="360" w:lineRule="auto"/>
        <w:ind w:left="1076"/>
        <w:jc w:val="both"/>
        <w:rPr>
          <w:rFonts w:ascii="David" w:hAnsi="David"/>
          <w:rtl/>
        </w:rPr>
      </w:pPr>
    </w:p>
    <w:p w14:paraId="78618A54" w14:textId="77777777" w:rsidR="00724E0C" w:rsidRDefault="00724E0C" w:rsidP="00724E0C">
      <w:pPr>
        <w:spacing w:line="360" w:lineRule="auto"/>
        <w:ind w:left="1080"/>
        <w:jc w:val="both"/>
        <w:rPr>
          <w:rFonts w:ascii="David" w:hAnsi="David"/>
          <w:rtl/>
        </w:rPr>
      </w:pPr>
      <w:r>
        <w:rPr>
          <w:rFonts w:ascii="David" w:hAnsi="David"/>
          <w:rtl/>
        </w:rPr>
        <w:t xml:space="preserve">נוכח האמור, עתר בא-כוחו של הנאשם להימנע מחילוט הרכב ומהשתת עונש של קנס, בין היתר, הואיל ושוויו של הרכב הוא כ- 18,000 ₪ ומשמש לעבודתו של הנאשם להעברת כבשים. </w:t>
      </w:r>
    </w:p>
    <w:p w14:paraId="5104B92B" w14:textId="77777777" w:rsidR="00724E0C" w:rsidRDefault="00724E0C" w:rsidP="00724E0C">
      <w:pPr>
        <w:spacing w:line="360" w:lineRule="auto"/>
        <w:ind w:left="720"/>
        <w:jc w:val="both"/>
        <w:rPr>
          <w:rFonts w:ascii="David" w:hAnsi="David"/>
          <w:rtl/>
        </w:rPr>
      </w:pPr>
    </w:p>
    <w:p w14:paraId="3D407BD1" w14:textId="77777777" w:rsidR="00724E0C" w:rsidRDefault="00724E0C" w:rsidP="00724E0C">
      <w:pPr>
        <w:spacing w:line="360" w:lineRule="auto"/>
        <w:ind w:left="1080"/>
        <w:jc w:val="both"/>
        <w:rPr>
          <w:rFonts w:ascii="David" w:hAnsi="David"/>
          <w:rtl/>
        </w:rPr>
      </w:pPr>
      <w:r>
        <w:rPr>
          <w:rFonts w:ascii="David" w:hAnsi="David"/>
          <w:rtl/>
        </w:rPr>
        <w:t>בענייננו, מחד-גיסא, מתקיימים התנאים המצטברים הנדרשים לחילוט הרכב: ברכב בוצעה העבירה, הנאשם – בעל הרכב הורשע בדין, והרשעתו מתייחסת לעבירה, אשר בוצעה ברכב.</w:t>
      </w:r>
    </w:p>
    <w:p w14:paraId="6DDAC88E" w14:textId="77777777" w:rsidR="00724E0C" w:rsidRDefault="00724E0C" w:rsidP="00724E0C">
      <w:pPr>
        <w:spacing w:line="360" w:lineRule="auto"/>
        <w:ind w:left="720"/>
        <w:jc w:val="both"/>
        <w:rPr>
          <w:rFonts w:ascii="David" w:hAnsi="David"/>
          <w:rtl/>
        </w:rPr>
      </w:pPr>
    </w:p>
    <w:p w14:paraId="7D4CE24C" w14:textId="77777777" w:rsidR="00724E0C" w:rsidRDefault="00724E0C" w:rsidP="00724E0C">
      <w:pPr>
        <w:spacing w:line="360" w:lineRule="auto"/>
        <w:ind w:left="1080"/>
        <w:jc w:val="both"/>
        <w:rPr>
          <w:rFonts w:ascii="David" w:hAnsi="David"/>
          <w:rtl/>
        </w:rPr>
      </w:pPr>
      <w:r>
        <w:rPr>
          <w:rFonts w:ascii="David" w:hAnsi="David"/>
          <w:rtl/>
        </w:rPr>
        <w:t xml:space="preserve">אפנה לדבריו של כב' השופט א. א. לוי ז"ל ב- </w:t>
      </w:r>
      <w:hyperlink r:id="rId33" w:history="1">
        <w:r w:rsidR="008024C2" w:rsidRPr="008024C2">
          <w:rPr>
            <w:rFonts w:ascii="David" w:hAnsi="David"/>
            <w:color w:val="0000FF"/>
            <w:u w:val="single"/>
            <w:rtl/>
          </w:rPr>
          <w:t>ע"פ 6234/03</w:t>
        </w:r>
      </w:hyperlink>
      <w:r>
        <w:rPr>
          <w:rFonts w:ascii="David" w:hAnsi="David"/>
          <w:rtl/>
        </w:rPr>
        <w:t xml:space="preserve"> </w:t>
      </w:r>
      <w:r>
        <w:rPr>
          <w:rFonts w:ascii="David" w:hAnsi="David"/>
          <w:b/>
          <w:bCs/>
          <w:rtl/>
        </w:rPr>
        <w:t>מדינת ישראל נ' מראד זיתאווי</w:t>
      </w:r>
      <w:r>
        <w:rPr>
          <w:rFonts w:ascii="David" w:hAnsi="David"/>
          <w:rtl/>
        </w:rPr>
        <w:t xml:space="preserve"> (09.03.2005) (להלן: "</w:t>
      </w:r>
      <w:r>
        <w:rPr>
          <w:rFonts w:ascii="David" w:hAnsi="David"/>
          <w:b/>
          <w:bCs/>
          <w:rtl/>
        </w:rPr>
        <w:t>עניין זיתאווי</w:t>
      </w:r>
      <w:r>
        <w:rPr>
          <w:rFonts w:ascii="David" w:hAnsi="David"/>
          <w:rtl/>
        </w:rPr>
        <w:t>"), פסקה 5:</w:t>
      </w:r>
    </w:p>
    <w:p w14:paraId="09928169" w14:textId="77777777" w:rsidR="00724E0C" w:rsidRDefault="00724E0C" w:rsidP="00724E0C">
      <w:pPr>
        <w:spacing w:line="360" w:lineRule="auto"/>
        <w:ind w:left="720"/>
        <w:jc w:val="both"/>
        <w:rPr>
          <w:rFonts w:ascii="David" w:hAnsi="David"/>
          <w:rtl/>
        </w:rPr>
      </w:pPr>
    </w:p>
    <w:p w14:paraId="547B601A" w14:textId="77777777" w:rsidR="00724E0C" w:rsidRDefault="00724E0C" w:rsidP="00724E0C">
      <w:pPr>
        <w:pStyle w:val="ruller42"/>
        <w:ind w:left="2919"/>
        <w:rPr>
          <w:rFonts w:ascii="David" w:hAnsi="David" w:cs="David"/>
          <w:sz w:val="24"/>
          <w:szCs w:val="24"/>
          <w:rtl/>
        </w:rPr>
      </w:pPr>
      <w:r>
        <w:rPr>
          <w:rFonts w:ascii="David" w:hAnsi="David" w:cs="David"/>
          <w:sz w:val="24"/>
          <w:szCs w:val="24"/>
          <w:rtl/>
        </w:rPr>
        <w:t>"</w:t>
      </w:r>
      <w:r>
        <w:rPr>
          <w:rFonts w:ascii="David" w:hAnsi="David" w:cs="David"/>
          <w:b/>
          <w:bCs/>
          <w:sz w:val="24"/>
          <w:szCs w:val="24"/>
          <w:rtl/>
        </w:rPr>
        <w:t>השילוב שבין הסעיפים מלמד כי הפעלתה של סמכות החילוט מותנית בקיומם של תנאים מצטברים אלה: בחפץ שנתפש בוצעה עבירה או עומדים לבצע עבירה; בעל החפץ הורשע בדינו והרשעתו מתייחסת למעשה שנעשה בחפץ או לגביו. (</w:t>
      </w:r>
      <w:hyperlink r:id="rId34" w:history="1">
        <w:r w:rsidR="008024C2" w:rsidRPr="008024C2">
          <w:rPr>
            <w:rFonts w:ascii="David" w:hAnsi="David" w:cs="David"/>
            <w:b/>
            <w:bCs/>
            <w:color w:val="0000FF"/>
            <w:sz w:val="24"/>
            <w:szCs w:val="24"/>
            <w:u w:val="single"/>
            <w:rtl/>
          </w:rPr>
          <w:t>ע"פ 623/78</w:t>
        </w:r>
      </w:hyperlink>
      <w:r w:rsidRPr="00337255">
        <w:rPr>
          <w:rFonts w:ascii="David" w:hAnsi="David" w:cs="David"/>
          <w:b/>
          <w:bCs/>
          <w:sz w:val="24"/>
          <w:szCs w:val="24"/>
          <w:rtl/>
        </w:rPr>
        <w:t xml:space="preserve"> סורני נ' מדינת ישראל, פ"ד לג</w:t>
      </w:r>
      <w:r>
        <w:rPr>
          <w:rFonts w:ascii="David" w:hAnsi="David" w:cs="David"/>
          <w:b/>
          <w:bCs/>
          <w:sz w:val="24"/>
          <w:szCs w:val="24"/>
          <w:rtl/>
        </w:rPr>
        <w:t xml:space="preserve">(3), 523; </w:t>
      </w:r>
      <w:hyperlink r:id="rId35" w:history="1">
        <w:r w:rsidR="008024C2" w:rsidRPr="008024C2">
          <w:rPr>
            <w:rFonts w:ascii="David" w:hAnsi="David" w:cs="David"/>
            <w:b/>
            <w:bCs/>
            <w:color w:val="0000FF"/>
            <w:sz w:val="24"/>
            <w:szCs w:val="24"/>
            <w:u w:val="single"/>
            <w:rtl/>
          </w:rPr>
          <w:t>ע"פ 4148/92</w:t>
        </w:r>
      </w:hyperlink>
      <w:r>
        <w:rPr>
          <w:rFonts w:ascii="David" w:hAnsi="David" w:cs="David"/>
          <w:b/>
          <w:bCs/>
          <w:sz w:val="24"/>
          <w:szCs w:val="24"/>
          <w:rtl/>
        </w:rPr>
        <w:t xml:space="preserve"> </w:t>
      </w:r>
      <w:r>
        <w:rPr>
          <w:rFonts w:ascii="David" w:hAnsi="David" w:cs="David"/>
          <w:b/>
          <w:bCs/>
          <w:spacing w:val="0"/>
          <w:sz w:val="24"/>
          <w:szCs w:val="24"/>
          <w:rtl/>
        </w:rPr>
        <w:t>חוסין מועד נ' מדינת ישראל</w:t>
      </w:r>
      <w:r>
        <w:rPr>
          <w:rFonts w:ascii="David" w:hAnsi="David" w:cs="David"/>
          <w:b/>
          <w:bCs/>
          <w:sz w:val="24"/>
          <w:szCs w:val="24"/>
          <w:rtl/>
        </w:rPr>
        <w:t xml:space="preserve">, לא פורסם). </w:t>
      </w:r>
      <w:r w:rsidRPr="00337255">
        <w:rPr>
          <w:rFonts w:ascii="David" w:hAnsi="David" w:cs="David"/>
          <w:b/>
          <w:bCs/>
          <w:sz w:val="24"/>
          <w:szCs w:val="24"/>
          <w:rtl/>
        </w:rPr>
        <w:t>סעיף 39(א)</w:t>
      </w:r>
      <w:r>
        <w:rPr>
          <w:rFonts w:ascii="David" w:hAnsi="David" w:cs="David"/>
          <w:b/>
          <w:bCs/>
          <w:sz w:val="24"/>
          <w:szCs w:val="24"/>
          <w:rtl/>
        </w:rPr>
        <w:t xml:space="preserve"> לפקודה אשר נועד לפגוע בזכות קניינו של העבריין קובע כי דינו של החילוט כדין עונש שהוטל על הנאשם, וככל הוראה עונשית יש להעניק לה פרשנות מצמצמת, הואיל והיא נועדה לפגוע במעורבים במעשה הפלילי עצמו, ולא באלה שאין להם זיקה אליו או שזיקתם רופפת (</w:t>
      </w:r>
      <w:hyperlink r:id="rId36" w:history="1">
        <w:r w:rsidR="008024C2" w:rsidRPr="008024C2">
          <w:rPr>
            <w:rFonts w:ascii="David" w:hAnsi="David" w:cs="David"/>
            <w:b/>
            <w:bCs/>
            <w:color w:val="0000FF"/>
            <w:sz w:val="24"/>
            <w:szCs w:val="24"/>
            <w:u w:val="single"/>
            <w:rtl/>
          </w:rPr>
          <w:t>ע"פ 1982/93</w:t>
        </w:r>
      </w:hyperlink>
      <w:r w:rsidRPr="00337255">
        <w:rPr>
          <w:rFonts w:ascii="David" w:hAnsi="David" w:cs="David"/>
          <w:b/>
          <w:bCs/>
          <w:sz w:val="24"/>
          <w:szCs w:val="24"/>
          <w:rtl/>
        </w:rPr>
        <w:t xml:space="preserve"> בנק לאומי לישראל בע"מ נ' מדינת ישראל, פ"ד מח</w:t>
      </w:r>
      <w:r>
        <w:rPr>
          <w:rFonts w:ascii="David" w:hAnsi="David" w:cs="David"/>
          <w:b/>
          <w:bCs/>
          <w:sz w:val="24"/>
          <w:szCs w:val="24"/>
          <w:rtl/>
        </w:rPr>
        <w:t>(3), 238)</w:t>
      </w:r>
      <w:r>
        <w:rPr>
          <w:rFonts w:ascii="David" w:hAnsi="David" w:cs="David"/>
          <w:sz w:val="24"/>
          <w:szCs w:val="24"/>
          <w:rtl/>
        </w:rPr>
        <w:t>".</w:t>
      </w:r>
    </w:p>
    <w:p w14:paraId="1C229FD0" w14:textId="77777777" w:rsidR="00724E0C" w:rsidRDefault="00724E0C" w:rsidP="00724E0C">
      <w:pPr>
        <w:spacing w:line="360" w:lineRule="auto"/>
        <w:jc w:val="both"/>
        <w:rPr>
          <w:rFonts w:ascii="David" w:hAnsi="David"/>
          <w:rtl/>
        </w:rPr>
      </w:pPr>
      <w:r>
        <w:rPr>
          <w:rFonts w:ascii="David" w:hAnsi="David"/>
          <w:rtl/>
        </w:rPr>
        <w:tab/>
      </w:r>
    </w:p>
    <w:p w14:paraId="7759A448" w14:textId="77777777" w:rsidR="00724E0C" w:rsidRDefault="00724E0C" w:rsidP="00724E0C">
      <w:pPr>
        <w:spacing w:line="360" w:lineRule="auto"/>
        <w:ind w:left="935"/>
        <w:jc w:val="both"/>
        <w:rPr>
          <w:rFonts w:ascii="David" w:hAnsi="David"/>
          <w:rtl/>
        </w:rPr>
      </w:pPr>
      <w:r>
        <w:rPr>
          <w:rFonts w:ascii="David" w:hAnsi="David" w:hint="cs"/>
          <w:rtl/>
        </w:rPr>
        <w:t>זאת ועוד</w:t>
      </w:r>
      <w:r>
        <w:rPr>
          <w:rFonts w:ascii="David" w:hAnsi="David"/>
          <w:rtl/>
        </w:rPr>
        <w:t>, פסיקת בית המשפט העליון קבעה, וזאת אף בשים-לב ללשון החוק, כי סמכות החילוט, אשר נתונה לבית המשפט היא סמכות שברשות, וכי יש להביא בחשבון את השלכותיה, ואת אופן השתלבותה בענישה הכוללת של הנאשם.</w:t>
      </w:r>
    </w:p>
    <w:p w14:paraId="4500676D" w14:textId="77777777" w:rsidR="00724E0C" w:rsidRDefault="00724E0C" w:rsidP="00724E0C">
      <w:pPr>
        <w:spacing w:line="360" w:lineRule="auto"/>
        <w:ind w:left="720"/>
        <w:jc w:val="both"/>
        <w:rPr>
          <w:rFonts w:ascii="David" w:hAnsi="David"/>
          <w:rtl/>
        </w:rPr>
      </w:pPr>
    </w:p>
    <w:p w14:paraId="3B8C9172" w14:textId="77777777" w:rsidR="00724E0C" w:rsidRDefault="00724E0C" w:rsidP="00724E0C">
      <w:pPr>
        <w:spacing w:line="360" w:lineRule="auto"/>
        <w:ind w:left="215" w:firstLine="720"/>
        <w:jc w:val="both"/>
        <w:rPr>
          <w:rFonts w:ascii="David" w:hAnsi="David"/>
          <w:rtl/>
        </w:rPr>
      </w:pPr>
      <w:r>
        <w:rPr>
          <w:rFonts w:ascii="David" w:hAnsi="David"/>
          <w:rtl/>
        </w:rPr>
        <w:t>אפנה לעניין זיתאווי, פסקה 6:</w:t>
      </w:r>
    </w:p>
    <w:p w14:paraId="1AB49BE2" w14:textId="77777777" w:rsidR="00724E0C" w:rsidRDefault="00724E0C" w:rsidP="00724E0C">
      <w:pPr>
        <w:spacing w:line="360" w:lineRule="auto"/>
        <w:ind w:firstLine="720"/>
        <w:jc w:val="both"/>
        <w:rPr>
          <w:rFonts w:ascii="David" w:hAnsi="David"/>
          <w:rtl/>
        </w:rPr>
      </w:pPr>
    </w:p>
    <w:p w14:paraId="1DCCDBEF" w14:textId="77777777" w:rsidR="00724E0C" w:rsidRDefault="00724E0C" w:rsidP="00724E0C">
      <w:pPr>
        <w:spacing w:line="360" w:lineRule="auto"/>
        <w:ind w:left="2880"/>
        <w:jc w:val="both"/>
        <w:rPr>
          <w:rFonts w:ascii="David" w:hAnsi="David"/>
        </w:rPr>
      </w:pPr>
      <w:r>
        <w:rPr>
          <w:rFonts w:ascii="David" w:hAnsi="David"/>
          <w:rtl/>
        </w:rPr>
        <w:t>"</w:t>
      </w:r>
      <w:r>
        <w:rPr>
          <w:rFonts w:ascii="David" w:hAnsi="David"/>
          <w:b/>
          <w:bCs/>
          <w:rtl/>
        </w:rPr>
        <w:t xml:space="preserve">אכן, המכונית שימשה בידי המערער כלי בלעדיו היה מתקשה להפיל את המתלוננת ברשתו ולבצע בה את העבירות בהן הורשע. </w:t>
      </w:r>
      <w:r w:rsidRPr="006B311A">
        <w:rPr>
          <w:rFonts w:ascii="David" w:hAnsi="David"/>
          <w:b/>
          <w:bCs/>
          <w:rtl/>
        </w:rPr>
        <w:t>אולם, אותה סמכות חילוט היא סמכות שברשות, ובטרם יעשה בה בית המשפט שימוש, הוא מצווה לתת את דעתו גם על השלכותיה, וכיצד היא משתלבת במערך רכיביו האחרים של העונש. אכן, בנסיבות אחרות ראוי גם ראוי היה להורות על חילוט המכונית, אולם משנגזר למערער עונש מאסר, אותו אני מציע להאריך, סבורני כי בית המשפט המחוזי היה רשאי לקבוע כי בחילוט גלומה הכבדה מעבר לנדרש, ועל כן נכון להימנע ממנה</w:t>
      </w:r>
      <w:r>
        <w:rPr>
          <w:rFonts w:ascii="David" w:hAnsi="David"/>
          <w:rtl/>
        </w:rPr>
        <w:t xml:space="preserve">". </w:t>
      </w:r>
    </w:p>
    <w:p w14:paraId="571E2774" w14:textId="77777777" w:rsidR="00724E0C" w:rsidRDefault="00724E0C" w:rsidP="00724E0C">
      <w:pPr>
        <w:spacing w:line="360" w:lineRule="auto"/>
        <w:jc w:val="both"/>
        <w:rPr>
          <w:rFonts w:ascii="David" w:hAnsi="David"/>
          <w:rtl/>
        </w:rPr>
      </w:pPr>
    </w:p>
    <w:p w14:paraId="3ADC7FDB" w14:textId="77777777" w:rsidR="00724E0C" w:rsidRDefault="00724E0C" w:rsidP="00724E0C">
      <w:pPr>
        <w:spacing w:line="360" w:lineRule="auto"/>
        <w:ind w:left="935"/>
        <w:jc w:val="both"/>
        <w:rPr>
          <w:rFonts w:ascii="David" w:hAnsi="David"/>
          <w:rtl/>
        </w:rPr>
      </w:pPr>
      <w:r>
        <w:rPr>
          <w:rFonts w:ascii="David" w:hAnsi="David"/>
          <w:rtl/>
        </w:rPr>
        <w:t>וכן לדבריו של כב' השופט י. אלרון ב-</w:t>
      </w:r>
      <w:hyperlink r:id="rId37" w:history="1">
        <w:r w:rsidR="008024C2" w:rsidRPr="008024C2">
          <w:rPr>
            <w:rFonts w:ascii="David" w:hAnsi="David"/>
            <w:color w:val="0000FF"/>
            <w:u w:val="single"/>
            <w:rtl/>
          </w:rPr>
          <w:t>ע"פ 9104-20</w:t>
        </w:r>
      </w:hyperlink>
      <w:r>
        <w:rPr>
          <w:rFonts w:ascii="David" w:hAnsi="David"/>
          <w:rtl/>
        </w:rPr>
        <w:t xml:space="preserve"> </w:t>
      </w:r>
      <w:r>
        <w:rPr>
          <w:rFonts w:ascii="David" w:hAnsi="David"/>
          <w:b/>
          <w:bCs/>
          <w:rtl/>
        </w:rPr>
        <w:t>מדינת ישראל נ' דוד טבצ'ניקוב</w:t>
      </w:r>
      <w:r>
        <w:rPr>
          <w:rFonts w:ascii="David" w:hAnsi="David"/>
          <w:rtl/>
        </w:rPr>
        <w:t xml:space="preserve"> (04.03.2021), פסקה 3:</w:t>
      </w:r>
    </w:p>
    <w:p w14:paraId="3821D1EC" w14:textId="77777777" w:rsidR="00724E0C" w:rsidRDefault="00724E0C" w:rsidP="00724E0C">
      <w:pPr>
        <w:pStyle w:val="Ruller41"/>
        <w:spacing w:before="240" w:after="240"/>
        <w:ind w:left="1440"/>
        <w:rPr>
          <w:rFonts w:ascii="David" w:hAnsi="David" w:cs="David"/>
          <w:b/>
          <w:bCs/>
          <w:rtl/>
        </w:rPr>
      </w:pPr>
    </w:p>
    <w:p w14:paraId="047F0AA7" w14:textId="77777777" w:rsidR="00724E0C" w:rsidRDefault="00724E0C" w:rsidP="00724E0C">
      <w:pPr>
        <w:pStyle w:val="Ruller41"/>
        <w:tabs>
          <w:tab w:val="left" w:pos="2919"/>
        </w:tabs>
        <w:spacing w:before="240" w:after="240"/>
        <w:ind w:left="2880"/>
        <w:rPr>
          <w:rFonts w:ascii="David" w:hAnsi="David" w:cs="David"/>
          <w:rtl/>
        </w:rPr>
      </w:pPr>
      <w:r>
        <w:rPr>
          <w:rFonts w:ascii="David" w:hAnsi="David" w:cs="David"/>
          <w:b/>
          <w:bCs/>
          <w:rtl/>
        </w:rPr>
        <w:t xml:space="preserve">"מנגד, איני סבור כי עלינו להתערב בהחלטת בית המשפט המחוזי שלא להורות על חילוט רכבו של המשיב. </w:t>
      </w:r>
      <w:r w:rsidRPr="001A0CB8">
        <w:rPr>
          <w:rFonts w:ascii="David" w:hAnsi="David" w:cs="David"/>
          <w:b/>
          <w:bCs/>
          <w:rtl/>
        </w:rPr>
        <w:t>זאת, בפרט בשים לב כי סמכותו של בית המשפט להורות על חילוט רכוש על פי סעיפים 32 ו-39 ל</w:t>
      </w:r>
      <w:hyperlink r:id="rId38" w:history="1">
        <w:r w:rsidR="008024C2" w:rsidRPr="008024C2">
          <w:rPr>
            <w:rFonts w:ascii="David" w:hAnsi="David" w:cs="David"/>
            <w:b/>
            <w:bCs/>
            <w:color w:val="0000FF"/>
            <w:u w:val="single"/>
            <w:rtl/>
          </w:rPr>
          <w:t>פקודת סדר הדין הפלילי (מעצר וחיפוש)</w:t>
        </w:r>
      </w:hyperlink>
      <w:r w:rsidRPr="001A0CB8">
        <w:rPr>
          <w:rFonts w:ascii="David" w:hAnsi="David" w:cs="David"/>
          <w:b/>
          <w:bCs/>
          <w:rtl/>
        </w:rPr>
        <w:t xml:space="preserve"> [נוסח חדש], התשכ"ט–1969, היא סמכות שבשיקול דעת, אשר הפעלתה תלויה בין היתר בהשלכות חילוט הרכוש ובהשתלבותו במערך הענישה הכולל שיושת על הנאשם</w:t>
      </w:r>
      <w:r>
        <w:rPr>
          <w:rFonts w:ascii="David" w:hAnsi="David" w:cs="David"/>
          <w:b/>
          <w:bCs/>
          <w:rtl/>
        </w:rPr>
        <w:t xml:space="preserve"> (</w:t>
      </w:r>
      <w:r w:rsidRPr="00337255">
        <w:rPr>
          <w:rFonts w:ascii="David" w:hAnsi="David" w:cs="David"/>
          <w:b/>
          <w:bCs/>
          <w:rtl/>
        </w:rPr>
        <w:t>רע"פ 4105/16</w:t>
      </w:r>
      <w:r>
        <w:rPr>
          <w:rFonts w:ascii="David" w:hAnsi="David" w:cs="David"/>
          <w:b/>
          <w:bCs/>
          <w:rtl/>
        </w:rPr>
        <w:t xml:space="preserve"> </w:t>
      </w:r>
      <w:r>
        <w:rPr>
          <w:rFonts w:ascii="David" w:hAnsi="David" w:cs="David"/>
          <w:b/>
          <w:bCs/>
          <w:spacing w:val="0"/>
          <w:rtl/>
        </w:rPr>
        <w:t>גאבר נ' מדינת ישראל</w:t>
      </w:r>
      <w:r>
        <w:rPr>
          <w:rFonts w:ascii="David" w:hAnsi="David" w:cs="David"/>
          <w:b/>
          <w:bCs/>
          <w:rtl/>
        </w:rPr>
        <w:t xml:space="preserve">, </w:t>
      </w:r>
      <w:r>
        <w:rPr>
          <w:rFonts w:ascii="David" w:hAnsi="David" w:cs="David"/>
          <w:b/>
          <w:bCs/>
          <w:spacing w:val="0"/>
          <w:rtl/>
        </w:rPr>
        <w:t xml:space="preserve">[פורסם בנבו] </w:t>
      </w:r>
      <w:r>
        <w:rPr>
          <w:rFonts w:ascii="David" w:hAnsi="David" w:cs="David"/>
          <w:b/>
          <w:bCs/>
          <w:rtl/>
        </w:rPr>
        <w:t xml:space="preserve">פסקה ט' (2.1.2007); </w:t>
      </w:r>
      <w:hyperlink r:id="rId39" w:history="1">
        <w:r w:rsidR="008024C2" w:rsidRPr="008024C2">
          <w:rPr>
            <w:rFonts w:ascii="David" w:hAnsi="David" w:cs="David"/>
            <w:b/>
            <w:bCs/>
            <w:color w:val="0000FF"/>
            <w:u w:val="single"/>
            <w:rtl/>
          </w:rPr>
          <w:t>ע"פ 6234/03</w:t>
        </w:r>
      </w:hyperlink>
      <w:r>
        <w:rPr>
          <w:rFonts w:ascii="David" w:hAnsi="David" w:cs="David"/>
          <w:b/>
          <w:bCs/>
          <w:rtl/>
        </w:rPr>
        <w:t xml:space="preserve"> </w:t>
      </w:r>
      <w:r>
        <w:rPr>
          <w:rFonts w:ascii="David" w:hAnsi="David" w:cs="David"/>
          <w:b/>
          <w:bCs/>
          <w:spacing w:val="0"/>
          <w:rtl/>
        </w:rPr>
        <w:t>מדינת ישראל נ' זיתאווי</w:t>
      </w:r>
      <w:r>
        <w:rPr>
          <w:rFonts w:ascii="David" w:hAnsi="David" w:cs="David"/>
          <w:b/>
          <w:bCs/>
          <w:rtl/>
        </w:rPr>
        <w:t xml:space="preserve">, פסקה 6 (9.3.2005))". </w:t>
      </w:r>
    </w:p>
    <w:p w14:paraId="18C859D3" w14:textId="77777777" w:rsidR="00724E0C" w:rsidRDefault="00724E0C" w:rsidP="00724E0C">
      <w:pPr>
        <w:spacing w:line="360" w:lineRule="auto"/>
        <w:jc w:val="both"/>
        <w:rPr>
          <w:rFonts w:ascii="David" w:hAnsi="David"/>
          <w:rtl/>
        </w:rPr>
      </w:pPr>
    </w:p>
    <w:p w14:paraId="592AAD1F" w14:textId="77777777" w:rsidR="00724E0C" w:rsidRDefault="00724E0C" w:rsidP="00724E0C">
      <w:pPr>
        <w:spacing w:line="360" w:lineRule="auto"/>
        <w:ind w:left="935"/>
        <w:jc w:val="both"/>
        <w:rPr>
          <w:rFonts w:ascii="David" w:hAnsi="David"/>
          <w:rtl/>
        </w:rPr>
      </w:pPr>
      <w:r>
        <w:rPr>
          <w:rFonts w:ascii="David" w:hAnsi="David"/>
          <w:rtl/>
        </w:rPr>
        <w:t xml:space="preserve">בנסיבות המקרה שבפנינו, עת תכלית ההרתעה, נדרשת בעבירות נשק, שעה שכאמור כבר לעיל, הרכב ממנו בוצע הירי ברחובות בית ג'ן שייך לנאשם, וברכב זה בוצעו העבירות מושא הכרעה זו, וכן </w:t>
      </w:r>
      <w:r>
        <w:rPr>
          <w:rFonts w:ascii="David" w:hAnsi="David"/>
          <w:b/>
          <w:bCs/>
          <w:rtl/>
        </w:rPr>
        <w:t xml:space="preserve">"בין היתר בהשלכות חילוט הרכוש ובהשתלבותו במערך הענישה הכולל שיושת על הנאשם", </w:t>
      </w:r>
      <w:r>
        <w:rPr>
          <w:rFonts w:ascii="David" w:hAnsi="David"/>
          <w:rtl/>
        </w:rPr>
        <w:t>כלשונו של כב' השופט אלרון</w:t>
      </w:r>
      <w:r>
        <w:rPr>
          <w:rFonts w:ascii="David" w:hAnsi="David"/>
          <w:b/>
          <w:bCs/>
          <w:rtl/>
        </w:rPr>
        <w:t xml:space="preserve">, </w:t>
      </w:r>
      <w:r>
        <w:rPr>
          <w:rFonts w:ascii="David" w:hAnsi="David"/>
          <w:rtl/>
        </w:rPr>
        <w:t>מצאתי, לקבל את בקשת המאשימה לחילוט הרכב, וכך אני מורה.</w:t>
      </w:r>
    </w:p>
    <w:p w14:paraId="55406450" w14:textId="77777777" w:rsidR="00724E0C" w:rsidRDefault="00724E0C" w:rsidP="00724E0C">
      <w:pPr>
        <w:spacing w:line="360" w:lineRule="auto"/>
        <w:ind w:left="935"/>
        <w:jc w:val="both"/>
        <w:rPr>
          <w:rFonts w:ascii="David" w:hAnsi="David"/>
          <w:rtl/>
        </w:rPr>
      </w:pPr>
    </w:p>
    <w:p w14:paraId="22553A0A" w14:textId="77777777" w:rsidR="00724E0C" w:rsidRDefault="00724E0C" w:rsidP="00724E0C">
      <w:pPr>
        <w:spacing w:line="360" w:lineRule="auto"/>
        <w:ind w:left="935"/>
        <w:jc w:val="both"/>
        <w:rPr>
          <w:rFonts w:ascii="David" w:hAnsi="David"/>
          <w:rtl/>
        </w:rPr>
      </w:pPr>
      <w:r>
        <w:rPr>
          <w:rFonts w:ascii="David" w:hAnsi="David" w:hint="cs"/>
          <w:rtl/>
        </w:rPr>
        <w:t xml:space="preserve">אין כל נפקות לעובדה, כי הנאשם ביקש סיוע מרשויות המדינה על-מנת לטפל בסוגית הכלבים המשוטטים, ופניותיו לא נענו. יודגש, כי אין </w:t>
      </w:r>
      <w:r>
        <w:rPr>
          <w:rFonts w:ascii="David" w:hAnsi="David"/>
          <w:rtl/>
        </w:rPr>
        <w:t>–</w:t>
      </w:r>
      <w:r>
        <w:rPr>
          <w:rFonts w:ascii="David" w:hAnsi="David" w:hint="cs"/>
          <w:rtl/>
        </w:rPr>
        <w:t xml:space="preserve"> ולא יכול להיות חולק, שאדם אינו יכול לקחת את החוק לידיו, מקל וחומר שלא בדרך של ירי ממכונית בתוך ישוב, ולטעון להגנתו, כי הואיל ורשויות המדינה לא סייעו לו בבקשותיו, "נאלץ" הוא להפר את הוראות החוק.</w:t>
      </w:r>
    </w:p>
    <w:p w14:paraId="3AA05777" w14:textId="77777777" w:rsidR="00724E0C" w:rsidRDefault="00724E0C" w:rsidP="00724E0C">
      <w:pPr>
        <w:spacing w:line="360" w:lineRule="auto"/>
        <w:ind w:left="935"/>
        <w:jc w:val="both"/>
        <w:rPr>
          <w:rFonts w:ascii="David" w:hAnsi="David"/>
          <w:rtl/>
        </w:rPr>
      </w:pPr>
    </w:p>
    <w:p w14:paraId="34485529" w14:textId="77777777" w:rsidR="00724E0C" w:rsidRDefault="00724E0C" w:rsidP="00724E0C">
      <w:pPr>
        <w:spacing w:line="360" w:lineRule="auto"/>
        <w:ind w:left="935"/>
        <w:jc w:val="both"/>
        <w:rPr>
          <w:rFonts w:ascii="David" w:hAnsi="David"/>
          <w:rtl/>
        </w:rPr>
      </w:pPr>
      <w:r>
        <w:rPr>
          <w:rFonts w:ascii="David" w:hAnsi="David" w:hint="cs"/>
          <w:rtl/>
        </w:rPr>
        <w:t>בנוסף אציין, כי טענות הנאשם בדבר השוני בין עונשו שלו לבין העונש שהוטל על בנו, נטענו בעלמא, ומבלי שהונחה כל תשתית ראייתית לטענות אלו.</w:t>
      </w:r>
    </w:p>
    <w:p w14:paraId="55F7D312" w14:textId="77777777" w:rsidR="00724E0C" w:rsidRDefault="00724E0C" w:rsidP="00724E0C">
      <w:pPr>
        <w:pStyle w:val="a9"/>
        <w:spacing w:line="360" w:lineRule="auto"/>
        <w:ind w:left="1080"/>
        <w:jc w:val="both"/>
        <w:rPr>
          <w:rFonts w:ascii="David" w:hAnsi="David" w:cs="David"/>
          <w:sz w:val="24"/>
          <w:szCs w:val="24"/>
          <w:rtl/>
        </w:rPr>
      </w:pPr>
    </w:p>
    <w:p w14:paraId="1F6936D4" w14:textId="77777777" w:rsidR="00724E0C" w:rsidRDefault="00724E0C" w:rsidP="00724E0C">
      <w:pPr>
        <w:spacing w:line="360" w:lineRule="auto"/>
        <w:ind w:left="368"/>
        <w:jc w:val="both"/>
        <w:rPr>
          <w:rFonts w:ascii="David" w:hAnsi="David"/>
          <w:rtl/>
        </w:rPr>
      </w:pPr>
      <w:r>
        <w:rPr>
          <w:rFonts w:ascii="David" w:hAnsi="David"/>
          <w:rtl/>
        </w:rPr>
        <w:t xml:space="preserve">8. </w:t>
      </w:r>
      <w:r>
        <w:rPr>
          <w:rFonts w:ascii="David" w:hAnsi="David"/>
          <w:rtl/>
        </w:rPr>
        <w:tab/>
        <w:t xml:space="preserve">   אשר על כן אני גוזר על הנאשם:</w:t>
      </w:r>
    </w:p>
    <w:p w14:paraId="22691BF7" w14:textId="77777777" w:rsidR="00724E0C" w:rsidRDefault="00724E0C" w:rsidP="00724E0C">
      <w:pPr>
        <w:spacing w:line="360" w:lineRule="auto"/>
        <w:ind w:left="368"/>
        <w:jc w:val="both"/>
        <w:rPr>
          <w:rFonts w:ascii="David" w:hAnsi="David"/>
          <w:rtl/>
        </w:rPr>
      </w:pPr>
    </w:p>
    <w:p w14:paraId="35628801" w14:textId="77777777" w:rsidR="00724E0C" w:rsidRDefault="00724E0C" w:rsidP="00724E0C">
      <w:pPr>
        <w:pStyle w:val="a9"/>
        <w:spacing w:after="0" w:line="360" w:lineRule="auto"/>
        <w:ind w:left="1440"/>
        <w:jc w:val="both"/>
        <w:rPr>
          <w:rFonts w:ascii="David" w:hAnsi="David" w:cs="David"/>
          <w:sz w:val="24"/>
          <w:szCs w:val="24"/>
        </w:rPr>
      </w:pPr>
      <w:r>
        <w:rPr>
          <w:rFonts w:ascii="David" w:hAnsi="David" w:cs="David"/>
          <w:sz w:val="24"/>
          <w:szCs w:val="24"/>
          <w:rtl/>
        </w:rPr>
        <w:t>א.</w:t>
      </w:r>
      <w:r>
        <w:rPr>
          <w:rFonts w:ascii="David" w:hAnsi="David" w:cs="David"/>
          <w:sz w:val="24"/>
          <w:szCs w:val="24"/>
          <w:rtl/>
        </w:rPr>
        <w:tab/>
        <w:t xml:space="preserve">מאסר למשך 18 חודשים, לריצוי בפועל, </w:t>
      </w:r>
      <w:r w:rsidRPr="00337255">
        <w:rPr>
          <w:rFonts w:ascii="David" w:hAnsi="David" w:cs="David"/>
          <w:sz w:val="24"/>
          <w:szCs w:val="24"/>
          <w:rtl/>
        </w:rPr>
        <w:t>בניכוי ימי מעצרו</w:t>
      </w:r>
      <w:r>
        <w:rPr>
          <w:rFonts w:ascii="David" w:hAnsi="David" w:cs="David" w:hint="cs"/>
          <w:sz w:val="24"/>
          <w:szCs w:val="24"/>
          <w:rtl/>
        </w:rPr>
        <w:t xml:space="preserve"> בתיק זה.</w:t>
      </w:r>
      <w:r>
        <w:rPr>
          <w:rFonts w:ascii="David" w:hAnsi="David" w:cs="David"/>
          <w:sz w:val="24"/>
          <w:szCs w:val="24"/>
          <w:rtl/>
        </w:rPr>
        <w:t xml:space="preserve"> </w:t>
      </w:r>
    </w:p>
    <w:p w14:paraId="20086DD3" w14:textId="77777777" w:rsidR="00724E0C" w:rsidRDefault="00724E0C" w:rsidP="00724E0C">
      <w:pPr>
        <w:pStyle w:val="a9"/>
        <w:spacing w:after="0" w:line="360" w:lineRule="auto"/>
        <w:jc w:val="both"/>
        <w:rPr>
          <w:rFonts w:ascii="David" w:hAnsi="David" w:cs="David"/>
          <w:sz w:val="24"/>
          <w:szCs w:val="24"/>
          <w:rtl/>
        </w:rPr>
      </w:pPr>
    </w:p>
    <w:p w14:paraId="7E69FADC" w14:textId="77777777" w:rsidR="00724E0C" w:rsidRDefault="00724E0C" w:rsidP="00724E0C">
      <w:pPr>
        <w:spacing w:line="360" w:lineRule="auto"/>
        <w:ind w:left="2160" w:hanging="720"/>
        <w:jc w:val="both"/>
        <w:rPr>
          <w:rFonts w:ascii="David" w:hAnsi="David"/>
          <w:rtl/>
        </w:rPr>
      </w:pPr>
      <w:r>
        <w:rPr>
          <w:rFonts w:ascii="David" w:hAnsi="David"/>
          <w:rtl/>
        </w:rPr>
        <w:t>ב.</w:t>
      </w:r>
      <w:r>
        <w:rPr>
          <w:rFonts w:ascii="David" w:hAnsi="David"/>
          <w:rtl/>
        </w:rPr>
        <w:tab/>
        <w:t>מאסר על תנאי לתקופה של 10 חודשים שיופעל במידה והנאשם יעבור תוך 3 שנים מיום שחרורו, עבירת נשק מכל סוג.</w:t>
      </w:r>
    </w:p>
    <w:p w14:paraId="42C9C780" w14:textId="77777777" w:rsidR="00724E0C" w:rsidRDefault="00724E0C" w:rsidP="00724E0C">
      <w:pPr>
        <w:spacing w:line="360" w:lineRule="auto"/>
        <w:ind w:left="2160" w:hanging="720"/>
        <w:jc w:val="both"/>
        <w:rPr>
          <w:rFonts w:ascii="David" w:hAnsi="David"/>
          <w:rtl/>
        </w:rPr>
      </w:pPr>
    </w:p>
    <w:p w14:paraId="51F763D3" w14:textId="77777777" w:rsidR="00724E0C" w:rsidRDefault="00724E0C" w:rsidP="00724E0C">
      <w:pPr>
        <w:spacing w:line="360" w:lineRule="auto"/>
        <w:ind w:left="1440"/>
        <w:jc w:val="both"/>
        <w:rPr>
          <w:rFonts w:ascii="David" w:hAnsi="David"/>
          <w:rtl/>
        </w:rPr>
      </w:pPr>
      <w:r>
        <w:rPr>
          <w:rFonts w:ascii="David" w:hAnsi="David"/>
          <w:rtl/>
        </w:rPr>
        <w:t>ג.</w:t>
      </w:r>
      <w:r>
        <w:rPr>
          <w:rFonts w:ascii="David" w:hAnsi="David"/>
          <w:rtl/>
        </w:rPr>
        <w:tab/>
        <w:t>לא מצאתי, בנסיבות העניין, להטיל על הנאשם קנס כספי.</w:t>
      </w:r>
    </w:p>
    <w:p w14:paraId="1ABD65D4" w14:textId="77777777" w:rsidR="00724E0C" w:rsidRDefault="00724E0C" w:rsidP="00724E0C">
      <w:pPr>
        <w:spacing w:line="360" w:lineRule="auto"/>
        <w:ind w:left="1440"/>
        <w:jc w:val="both"/>
        <w:rPr>
          <w:rFonts w:ascii="David" w:hAnsi="David"/>
          <w:rtl/>
        </w:rPr>
      </w:pPr>
    </w:p>
    <w:p w14:paraId="6EF83720" w14:textId="77777777" w:rsidR="00724E0C" w:rsidRDefault="00724E0C" w:rsidP="00724E0C">
      <w:pPr>
        <w:spacing w:line="360" w:lineRule="auto"/>
        <w:ind w:left="1440"/>
        <w:jc w:val="both"/>
        <w:rPr>
          <w:rFonts w:ascii="David" w:hAnsi="David"/>
          <w:rtl/>
        </w:rPr>
      </w:pPr>
      <w:r>
        <w:rPr>
          <w:rFonts w:ascii="David" w:hAnsi="David"/>
          <w:rtl/>
        </w:rPr>
        <w:t xml:space="preserve">ד. </w:t>
      </w:r>
      <w:r>
        <w:rPr>
          <w:rFonts w:ascii="David" w:hAnsi="David"/>
          <w:rtl/>
        </w:rPr>
        <w:tab/>
        <w:t xml:space="preserve">חילוט הרכב, מסוג שברולט </w:t>
      </w:r>
      <w:r>
        <w:rPr>
          <w:rFonts w:ascii="David" w:hAnsi="David"/>
        </w:rPr>
        <w:t>,Trailblazer</w:t>
      </w:r>
      <w:r>
        <w:rPr>
          <w:rFonts w:ascii="David" w:hAnsi="David"/>
          <w:rtl/>
        </w:rPr>
        <w:t xml:space="preserve"> מספר רישוי 8509761.</w:t>
      </w:r>
    </w:p>
    <w:p w14:paraId="4367C0E8" w14:textId="77777777" w:rsidR="00724E0C" w:rsidRDefault="00724E0C" w:rsidP="00724E0C">
      <w:pPr>
        <w:spacing w:line="360" w:lineRule="auto"/>
        <w:ind w:left="1440" w:hanging="720"/>
        <w:jc w:val="both"/>
        <w:rPr>
          <w:rFonts w:ascii="David" w:hAnsi="David"/>
          <w:rtl/>
        </w:rPr>
      </w:pPr>
    </w:p>
    <w:p w14:paraId="7E606EE7" w14:textId="77777777" w:rsidR="00724E0C" w:rsidRDefault="00724E0C" w:rsidP="00724E0C">
      <w:pPr>
        <w:spacing w:line="360" w:lineRule="auto"/>
        <w:jc w:val="both"/>
        <w:rPr>
          <w:rFonts w:ascii="David" w:hAnsi="David"/>
          <w:rtl/>
        </w:rPr>
      </w:pPr>
    </w:p>
    <w:p w14:paraId="548B7FF7" w14:textId="77777777" w:rsidR="00724E0C" w:rsidRPr="008024C2" w:rsidRDefault="008024C2" w:rsidP="00724E0C">
      <w:pPr>
        <w:rPr>
          <w:rFonts w:ascii="Arial" w:hAnsi="Arial"/>
          <w:b/>
          <w:bCs/>
          <w:color w:val="FFFFFF"/>
          <w:sz w:val="2"/>
          <w:szCs w:val="2"/>
          <w:rtl/>
        </w:rPr>
      </w:pPr>
      <w:r w:rsidRPr="008024C2">
        <w:rPr>
          <w:rFonts w:ascii="Arial" w:hAnsi="Arial"/>
          <w:b/>
          <w:bCs/>
          <w:color w:val="FFFFFF"/>
          <w:sz w:val="2"/>
          <w:szCs w:val="2"/>
          <w:rtl/>
        </w:rPr>
        <w:t>5129371</w:t>
      </w:r>
    </w:p>
    <w:p w14:paraId="06B8FDE0" w14:textId="77777777" w:rsidR="00724E0C" w:rsidRPr="008024C2" w:rsidRDefault="008024C2" w:rsidP="00724E0C">
      <w:pPr>
        <w:rPr>
          <w:rFonts w:ascii="Arial" w:hAnsi="Arial"/>
          <w:b/>
          <w:bCs/>
          <w:color w:val="FFFFFF"/>
          <w:sz w:val="2"/>
          <w:szCs w:val="2"/>
          <w:rtl/>
        </w:rPr>
      </w:pPr>
      <w:r w:rsidRPr="008024C2">
        <w:rPr>
          <w:rFonts w:ascii="Arial" w:hAnsi="Arial"/>
          <w:b/>
          <w:bCs/>
          <w:color w:val="FFFFFF"/>
          <w:sz w:val="2"/>
          <w:szCs w:val="2"/>
          <w:rtl/>
        </w:rPr>
        <w:t>54678313</w:t>
      </w:r>
    </w:p>
    <w:p w14:paraId="01F0375F" w14:textId="77777777" w:rsidR="00724E0C" w:rsidRPr="000F2247" w:rsidRDefault="008024C2" w:rsidP="00724E0C">
      <w:pPr>
        <w:spacing w:line="360" w:lineRule="auto"/>
        <w:jc w:val="both"/>
        <w:rPr>
          <w:rFonts w:ascii="Arial" w:hAnsi="Arial"/>
          <w:b/>
          <w:bCs/>
          <w:sz w:val="26"/>
          <w:szCs w:val="26"/>
        </w:rPr>
      </w:pPr>
      <w:bookmarkStart w:id="8" w:name="Nitan"/>
      <w:r>
        <w:rPr>
          <w:rFonts w:ascii="Arial" w:hAnsi="Arial"/>
          <w:b/>
          <w:bCs/>
          <w:sz w:val="26"/>
          <w:szCs w:val="26"/>
          <w:rtl/>
        </w:rPr>
        <w:t xml:space="preserve">ניתן היום,  י"ב כסלו תשפ"ג, 06 דצמבר 2022, בנוכחות הנאשם (היוועדות חזותית) וב"כ </w:t>
      </w:r>
      <w:bookmarkEnd w:id="8"/>
      <w:r w:rsidR="00724E0C">
        <w:rPr>
          <w:rFonts w:ascii="Arial" w:hAnsi="Arial" w:hint="cs"/>
          <w:b/>
          <w:bCs/>
          <w:sz w:val="26"/>
          <w:szCs w:val="26"/>
          <w:rtl/>
        </w:rPr>
        <w:t>הצדדים</w:t>
      </w:r>
      <w:r w:rsidR="00724E0C" w:rsidRPr="000F2247">
        <w:rPr>
          <w:rFonts w:ascii="Arial" w:hAnsi="Arial"/>
          <w:b/>
          <w:bCs/>
          <w:sz w:val="26"/>
          <w:szCs w:val="26"/>
          <w:rtl/>
        </w:rPr>
        <w:t>.</w:t>
      </w:r>
    </w:p>
    <w:p w14:paraId="7788E571" w14:textId="77777777" w:rsidR="00724E0C" w:rsidRPr="000F2247" w:rsidRDefault="00724E0C" w:rsidP="00724E0C">
      <w:pPr>
        <w:rPr>
          <w:rFonts w:ascii="Arial" w:hAnsi="Arial"/>
          <w:b/>
          <w:bCs/>
          <w:sz w:val="26"/>
          <w:szCs w:val="26"/>
          <w:rtl/>
        </w:rPr>
      </w:pPr>
    </w:p>
    <w:p w14:paraId="59D70727" w14:textId="77777777" w:rsidR="00724E0C" w:rsidRPr="000F2247" w:rsidRDefault="00724E0C" w:rsidP="008024C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93A51B0" w14:textId="77777777" w:rsidR="00724E0C" w:rsidRPr="000F2247" w:rsidRDefault="00724E0C" w:rsidP="00724E0C">
      <w:pPr>
        <w:jc w:val="center"/>
        <w:rPr>
          <w:rFonts w:ascii="Arial" w:hAnsi="Arial"/>
          <w:b/>
          <w:bCs/>
          <w:sz w:val="26"/>
          <w:szCs w:val="26"/>
          <w:rtl/>
        </w:rPr>
      </w:pPr>
    </w:p>
    <w:p w14:paraId="3D5CA3B4" w14:textId="77777777" w:rsidR="00E01224" w:rsidRPr="008024C2" w:rsidRDefault="00E01224" w:rsidP="008024C2">
      <w:pPr>
        <w:keepNext/>
        <w:rPr>
          <w:rFonts w:ascii="David" w:hAnsi="David"/>
          <w:color w:val="000000"/>
          <w:sz w:val="22"/>
          <w:szCs w:val="22"/>
          <w:rtl/>
        </w:rPr>
      </w:pPr>
    </w:p>
    <w:p w14:paraId="26011745" w14:textId="77777777" w:rsidR="008024C2" w:rsidRPr="008024C2" w:rsidRDefault="008024C2" w:rsidP="008024C2">
      <w:pPr>
        <w:keepNext/>
        <w:rPr>
          <w:rFonts w:ascii="David" w:hAnsi="David"/>
          <w:color w:val="000000"/>
          <w:sz w:val="22"/>
          <w:szCs w:val="22"/>
          <w:rtl/>
        </w:rPr>
      </w:pPr>
      <w:r w:rsidRPr="008024C2">
        <w:rPr>
          <w:rFonts w:ascii="David" w:hAnsi="David"/>
          <w:color w:val="000000"/>
          <w:sz w:val="22"/>
          <w:szCs w:val="22"/>
          <w:rtl/>
        </w:rPr>
        <w:t>סארי ג'יוסי 54678313</w:t>
      </w:r>
    </w:p>
    <w:p w14:paraId="12E6749B" w14:textId="77777777" w:rsidR="008024C2" w:rsidRDefault="008024C2" w:rsidP="008024C2">
      <w:r w:rsidRPr="008024C2">
        <w:rPr>
          <w:color w:val="000000"/>
          <w:rtl/>
        </w:rPr>
        <w:t>נוסח מסמך זה כפוף לשינויי ניסוח ועריכה</w:t>
      </w:r>
    </w:p>
    <w:p w14:paraId="2E141D2D" w14:textId="77777777" w:rsidR="008024C2" w:rsidRDefault="008024C2" w:rsidP="008024C2">
      <w:pPr>
        <w:rPr>
          <w:rtl/>
        </w:rPr>
      </w:pPr>
    </w:p>
    <w:p w14:paraId="54B00A08" w14:textId="77777777" w:rsidR="008024C2" w:rsidRDefault="008024C2" w:rsidP="008024C2">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007DC813" w14:textId="77777777" w:rsidR="008024C2" w:rsidRPr="008024C2" w:rsidRDefault="008024C2" w:rsidP="008024C2">
      <w:pPr>
        <w:jc w:val="center"/>
        <w:rPr>
          <w:color w:val="0000FF"/>
          <w:u w:val="single"/>
        </w:rPr>
      </w:pPr>
    </w:p>
    <w:sectPr w:rsidR="008024C2" w:rsidRPr="008024C2" w:rsidSect="008024C2">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98C9B" w14:textId="77777777" w:rsidR="00D57122" w:rsidRDefault="00D57122" w:rsidP="004F49C3">
      <w:r>
        <w:separator/>
      </w:r>
    </w:p>
  </w:endnote>
  <w:endnote w:type="continuationSeparator" w:id="0">
    <w:p w14:paraId="18C6269A" w14:textId="77777777" w:rsidR="00D57122" w:rsidRDefault="00D57122" w:rsidP="004F4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DFED8" w14:textId="77777777" w:rsidR="008024C2" w:rsidRDefault="008024C2" w:rsidP="008024C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A06582C" w14:textId="77777777" w:rsidR="00780190" w:rsidRPr="008024C2" w:rsidRDefault="008024C2" w:rsidP="008024C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E818E" w14:textId="77777777" w:rsidR="008024C2" w:rsidRDefault="008024C2" w:rsidP="008024C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06174">
      <w:rPr>
        <w:rFonts w:ascii="FrankRuehl" w:hAnsi="FrankRuehl" w:cs="FrankRuehl"/>
        <w:noProof/>
        <w:rtl/>
      </w:rPr>
      <w:t>1</w:t>
    </w:r>
    <w:r>
      <w:rPr>
        <w:rFonts w:ascii="FrankRuehl" w:hAnsi="FrankRuehl" w:cs="FrankRuehl"/>
        <w:rtl/>
      </w:rPr>
      <w:fldChar w:fldCharType="end"/>
    </w:r>
  </w:p>
  <w:p w14:paraId="4B5CF3EF" w14:textId="77777777" w:rsidR="00780190" w:rsidRPr="008024C2" w:rsidRDefault="008024C2" w:rsidP="008024C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7DE7F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FE92E3" w14:textId="77777777" w:rsidR="00D57122" w:rsidRDefault="00D57122" w:rsidP="004F49C3">
      <w:r>
        <w:separator/>
      </w:r>
    </w:p>
  </w:footnote>
  <w:footnote w:type="continuationSeparator" w:id="0">
    <w:p w14:paraId="79B8B84E" w14:textId="77777777" w:rsidR="00D57122" w:rsidRDefault="00D57122" w:rsidP="004F4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152B3" w14:textId="77777777" w:rsidR="008024C2" w:rsidRPr="008024C2" w:rsidRDefault="008024C2" w:rsidP="008024C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26567-11-21</w:t>
    </w:r>
    <w:r>
      <w:rPr>
        <w:rFonts w:ascii="David" w:hAnsi="David"/>
        <w:color w:val="000000"/>
        <w:sz w:val="22"/>
        <w:szCs w:val="22"/>
        <w:rtl/>
      </w:rPr>
      <w:tab/>
      <w:t xml:space="preserve"> מדינת ישראל נ' עדנאן ח'יר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DE0B9" w14:textId="77777777" w:rsidR="008024C2" w:rsidRPr="008024C2" w:rsidRDefault="008024C2" w:rsidP="008024C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26567-11-21</w:t>
    </w:r>
    <w:r>
      <w:rPr>
        <w:rFonts w:ascii="David" w:hAnsi="David"/>
        <w:color w:val="000000"/>
        <w:sz w:val="22"/>
        <w:szCs w:val="22"/>
        <w:rtl/>
      </w:rPr>
      <w:tab/>
      <w:t xml:space="preserve"> מדינת ישראל נ' עדנאן ח'יר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8B3C26"/>
    <w:multiLevelType w:val="hybridMultilevel"/>
    <w:tmpl w:val="9C4469E2"/>
    <w:lvl w:ilvl="0" w:tplc="DF1CEAAE">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606015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24E0C"/>
    <w:rsid w:val="00043D6E"/>
    <w:rsid w:val="000D2B2D"/>
    <w:rsid w:val="001B5A3B"/>
    <w:rsid w:val="004F49C3"/>
    <w:rsid w:val="005D1C56"/>
    <w:rsid w:val="00606174"/>
    <w:rsid w:val="00724E0C"/>
    <w:rsid w:val="00780190"/>
    <w:rsid w:val="008024C2"/>
    <w:rsid w:val="00957112"/>
    <w:rsid w:val="00C00E2A"/>
    <w:rsid w:val="00C57437"/>
    <w:rsid w:val="00D57122"/>
    <w:rsid w:val="00D736D1"/>
    <w:rsid w:val="00DB48F1"/>
    <w:rsid w:val="00E01224"/>
    <w:rsid w:val="00ED43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74F516"/>
  <w15:chartTrackingRefBased/>
  <w15:docId w15:val="{9E99969D-CA67-4ABA-B3E9-79620DB32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24E0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24E0C"/>
    <w:pPr>
      <w:tabs>
        <w:tab w:val="center" w:pos="4153"/>
        <w:tab w:val="right" w:pos="8306"/>
      </w:tabs>
    </w:pPr>
  </w:style>
  <w:style w:type="character" w:customStyle="1" w:styleId="a4">
    <w:name w:val="כותרת עליונה תו"/>
    <w:link w:val="a3"/>
    <w:rsid w:val="00724E0C"/>
    <w:rPr>
      <w:rFonts w:ascii="Times New Roman" w:eastAsia="Times New Roman" w:hAnsi="Times New Roman" w:cs="David"/>
      <w:sz w:val="24"/>
      <w:szCs w:val="24"/>
    </w:rPr>
  </w:style>
  <w:style w:type="paragraph" w:styleId="a5">
    <w:name w:val="footer"/>
    <w:basedOn w:val="a"/>
    <w:link w:val="a6"/>
    <w:rsid w:val="00724E0C"/>
    <w:pPr>
      <w:tabs>
        <w:tab w:val="center" w:pos="4153"/>
        <w:tab w:val="right" w:pos="8306"/>
      </w:tabs>
    </w:pPr>
  </w:style>
  <w:style w:type="character" w:customStyle="1" w:styleId="a6">
    <w:name w:val="כותרת תחתונה תו"/>
    <w:link w:val="a5"/>
    <w:rsid w:val="00724E0C"/>
    <w:rPr>
      <w:rFonts w:ascii="Times New Roman" w:eastAsia="Times New Roman" w:hAnsi="Times New Roman" w:cs="David"/>
      <w:sz w:val="24"/>
      <w:szCs w:val="24"/>
    </w:rPr>
  </w:style>
  <w:style w:type="table" w:styleId="a7">
    <w:name w:val="Table Grid"/>
    <w:basedOn w:val="a1"/>
    <w:rsid w:val="00724E0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24E0C"/>
  </w:style>
  <w:style w:type="character" w:styleId="Hyperlink">
    <w:name w:val="Hyperlink"/>
    <w:rsid w:val="00724E0C"/>
    <w:rPr>
      <w:color w:val="0000FF"/>
      <w:u w:val="single"/>
    </w:rPr>
  </w:style>
  <w:style w:type="paragraph" w:styleId="a9">
    <w:name w:val="List Paragraph"/>
    <w:basedOn w:val="a"/>
    <w:qFormat/>
    <w:rsid w:val="00724E0C"/>
    <w:pPr>
      <w:spacing w:after="160" w:line="256" w:lineRule="auto"/>
      <w:ind w:left="720"/>
      <w:contextualSpacing/>
    </w:pPr>
    <w:rPr>
      <w:rFonts w:ascii="Calibri" w:eastAsia="Calibri" w:hAnsi="Calibri" w:cs="Arial"/>
      <w:sz w:val="22"/>
      <w:szCs w:val="22"/>
    </w:rPr>
  </w:style>
  <w:style w:type="character" w:customStyle="1" w:styleId="Ruller5">
    <w:name w:val="Ruller5 תו"/>
    <w:link w:val="Ruller50"/>
    <w:locked/>
    <w:rsid w:val="00724E0C"/>
    <w:rPr>
      <w:rFonts w:ascii="Arial TUR" w:hAnsi="Arial TUR" w:cs="FrankRuehl"/>
      <w:spacing w:val="10"/>
      <w:szCs w:val="28"/>
    </w:rPr>
  </w:style>
  <w:style w:type="paragraph" w:customStyle="1" w:styleId="Ruller50">
    <w:name w:val="Ruller5"/>
    <w:basedOn w:val="a"/>
    <w:link w:val="Ruller5"/>
    <w:rsid w:val="00724E0C"/>
    <w:pPr>
      <w:overflowPunct w:val="0"/>
      <w:autoSpaceDE w:val="0"/>
      <w:autoSpaceDN w:val="0"/>
      <w:adjustRightInd w:val="0"/>
      <w:ind w:left="1642" w:right="1282"/>
      <w:jc w:val="both"/>
    </w:pPr>
    <w:rPr>
      <w:rFonts w:ascii="Arial TUR" w:eastAsia="Calibri" w:hAnsi="Arial TUR" w:cs="FrankRuehl"/>
      <w:spacing w:val="10"/>
      <w:sz w:val="22"/>
      <w:szCs w:val="28"/>
    </w:rPr>
  </w:style>
  <w:style w:type="character" w:customStyle="1" w:styleId="Ruller4">
    <w:name w:val="Ruller4 תו"/>
    <w:link w:val="Ruller40"/>
    <w:locked/>
    <w:rsid w:val="00724E0C"/>
    <w:rPr>
      <w:rFonts w:ascii="Arial TUR" w:hAnsi="Arial TUR" w:cs="FrankRuehl"/>
      <w:spacing w:val="10"/>
      <w:szCs w:val="28"/>
    </w:rPr>
  </w:style>
  <w:style w:type="paragraph" w:customStyle="1" w:styleId="Ruller40">
    <w:name w:val="Ruller4"/>
    <w:basedOn w:val="a"/>
    <w:link w:val="Ruller4"/>
    <w:rsid w:val="00724E0C"/>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paragraph" w:customStyle="1" w:styleId="Ruller41">
    <w:name w:val="Ruller 4 ממוספר"/>
    <w:basedOn w:val="a"/>
    <w:rsid w:val="00724E0C"/>
    <w:pPr>
      <w:overflowPunct w:val="0"/>
      <w:autoSpaceDE w:val="0"/>
      <w:autoSpaceDN w:val="0"/>
      <w:spacing w:line="360" w:lineRule="auto"/>
      <w:jc w:val="both"/>
    </w:pPr>
    <w:rPr>
      <w:rFonts w:ascii="Garamond" w:hAnsi="Garamond" w:cs="Times New Roman"/>
      <w:spacing w:val="10"/>
    </w:rPr>
  </w:style>
  <w:style w:type="paragraph" w:customStyle="1" w:styleId="ruller42">
    <w:name w:val="ruller4"/>
    <w:basedOn w:val="a"/>
    <w:rsid w:val="00724E0C"/>
    <w:pPr>
      <w:overflowPunct w:val="0"/>
      <w:autoSpaceDE w:val="0"/>
      <w:autoSpaceDN w:val="0"/>
      <w:spacing w:line="360" w:lineRule="auto"/>
      <w:jc w:val="both"/>
    </w:pPr>
    <w:rPr>
      <w:rFonts w:ascii="Arial TUR" w:hAnsi="Arial TUR" w:cs="Arial TUR"/>
      <w:spacing w:val="10"/>
      <w:sz w:val="22"/>
      <w:szCs w:val="22"/>
      <w:lang w:eastAsia="he-IL"/>
    </w:rPr>
  </w:style>
  <w:style w:type="character" w:customStyle="1" w:styleId="default">
    <w:name w:val="default"/>
    <w:rsid w:val="00724E0C"/>
    <w:rPr>
      <w:rFonts w:ascii="Times New Roman" w:hAnsi="Times New Roman" w:cs="Times New Roman" w:hint="default"/>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a.b.2" TargetMode="External"/><Relationship Id="rId18" Type="http://schemas.openxmlformats.org/officeDocument/2006/relationships/hyperlink" Target="http://www.nevo.co.il/law/74918" TargetMode="External"/><Relationship Id="rId26" Type="http://schemas.openxmlformats.org/officeDocument/2006/relationships/hyperlink" Target="http://www.nevo.co.il/law/4754/2.a.;17.a.1" TargetMode="External"/><Relationship Id="rId39" Type="http://schemas.openxmlformats.org/officeDocument/2006/relationships/hyperlink" Target="http://www.nevo.co.il/case/6055128" TargetMode="External"/><Relationship Id="rId21" Type="http://schemas.openxmlformats.org/officeDocument/2006/relationships/hyperlink" Target="http://www.nevo.co.il/law/70301/144.b" TargetMode="External"/><Relationship Id="rId34" Type="http://schemas.openxmlformats.org/officeDocument/2006/relationships/hyperlink" Target="http://www.nevo.co.il/case/17929014"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754/2.a." TargetMode="External"/><Relationship Id="rId29" Type="http://schemas.openxmlformats.org/officeDocument/2006/relationships/hyperlink" Target="http://www.nevo.co.il/law/70301/2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law/70301/340a.b.1.;340.a.b.2" TargetMode="External"/><Relationship Id="rId32" Type="http://schemas.openxmlformats.org/officeDocument/2006/relationships/hyperlink" Target="http://www.nevo.co.il/law/74918" TargetMode="External"/><Relationship Id="rId37" Type="http://schemas.openxmlformats.org/officeDocument/2006/relationships/hyperlink" Target="http://www.nevo.co.il/case/27272576"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754"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25" TargetMode="External"/><Relationship Id="rId36" Type="http://schemas.openxmlformats.org/officeDocument/2006/relationships/hyperlink" Target="http://www.nevo.co.il/case/17914099" TargetMode="External"/><Relationship Id="rId10" Type="http://schemas.openxmlformats.org/officeDocument/2006/relationships/hyperlink" Target="http://www.nevo.co.il/law/70301/31" TargetMode="External"/><Relationship Id="rId19" Type="http://schemas.openxmlformats.org/officeDocument/2006/relationships/hyperlink" Target="http://www.nevo.co.il/law/74918/32.a" TargetMode="External"/><Relationship Id="rId31" Type="http://schemas.openxmlformats.org/officeDocument/2006/relationships/hyperlink" Target="http://www.nevo.co.il/law/74918/32.a"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29" TargetMode="External"/><Relationship Id="rId14" Type="http://schemas.openxmlformats.org/officeDocument/2006/relationships/hyperlink" Target="http://www.nevo.co.il/law/70301/340a.b.1." TargetMode="External"/><Relationship Id="rId22" Type="http://schemas.openxmlformats.org/officeDocument/2006/relationships/hyperlink" Target="http://www.nevo.co.il/law/70301/31" TargetMode="External"/><Relationship Id="rId27" Type="http://schemas.openxmlformats.org/officeDocument/2006/relationships/hyperlink" Target="http://www.nevo.co.il/law/4754" TargetMode="External"/><Relationship Id="rId30" Type="http://schemas.openxmlformats.org/officeDocument/2006/relationships/hyperlink" Target="http://www.nevo.co.il/case/25824863" TargetMode="External"/><Relationship Id="rId35" Type="http://schemas.openxmlformats.org/officeDocument/2006/relationships/hyperlink" Target="http://www.nevo.co.il/case/17922225" TargetMode="External"/><Relationship Id="rId43" Type="http://schemas.openxmlformats.org/officeDocument/2006/relationships/footer" Target="footer1.xm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4754/17.a.1" TargetMode="External"/><Relationship Id="rId25" Type="http://schemas.openxmlformats.org/officeDocument/2006/relationships/hyperlink" Target="http://www.nevo.co.il/law/70301/29" TargetMode="External"/><Relationship Id="rId33" Type="http://schemas.openxmlformats.org/officeDocument/2006/relationships/hyperlink" Target="http://www.nevo.co.il/case/6055128" TargetMode="External"/><Relationship Id="rId38" Type="http://schemas.openxmlformats.org/officeDocument/2006/relationships/hyperlink" Target="http://www.nevo.co.il/law/74918" TargetMode="External"/><Relationship Id="rId46" Type="http://schemas.openxmlformats.org/officeDocument/2006/relationships/theme" Target="theme/theme1.xml"/><Relationship Id="rId20" Type="http://schemas.openxmlformats.org/officeDocument/2006/relationships/hyperlink" Target="http://www.nevo.co.il/law/70301/144.a"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2186</Words>
  <Characters>10933</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13093</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3801203</vt:i4>
      </vt:variant>
      <vt:variant>
        <vt:i4>96</vt:i4>
      </vt:variant>
      <vt:variant>
        <vt:i4>0</vt:i4>
      </vt:variant>
      <vt:variant>
        <vt:i4>5</vt:i4>
      </vt:variant>
      <vt:variant>
        <vt:lpwstr>http://www.nevo.co.il/case/6055128</vt:lpwstr>
      </vt:variant>
      <vt:variant>
        <vt:lpwstr/>
      </vt:variant>
      <vt:variant>
        <vt:i4>8323182</vt:i4>
      </vt:variant>
      <vt:variant>
        <vt:i4>93</vt:i4>
      </vt:variant>
      <vt:variant>
        <vt:i4>0</vt:i4>
      </vt:variant>
      <vt:variant>
        <vt:i4>5</vt:i4>
      </vt:variant>
      <vt:variant>
        <vt:lpwstr>http://www.nevo.co.il/law/74918</vt:lpwstr>
      </vt:variant>
      <vt:variant>
        <vt:lpwstr/>
      </vt:variant>
      <vt:variant>
        <vt:i4>3473521</vt:i4>
      </vt:variant>
      <vt:variant>
        <vt:i4>90</vt:i4>
      </vt:variant>
      <vt:variant>
        <vt:i4>0</vt:i4>
      </vt:variant>
      <vt:variant>
        <vt:i4>5</vt:i4>
      </vt:variant>
      <vt:variant>
        <vt:lpwstr>http://www.nevo.co.il/case/27272576</vt:lpwstr>
      </vt:variant>
      <vt:variant>
        <vt:lpwstr/>
      </vt:variant>
      <vt:variant>
        <vt:i4>3473522</vt:i4>
      </vt:variant>
      <vt:variant>
        <vt:i4>87</vt:i4>
      </vt:variant>
      <vt:variant>
        <vt:i4>0</vt:i4>
      </vt:variant>
      <vt:variant>
        <vt:i4>5</vt:i4>
      </vt:variant>
      <vt:variant>
        <vt:lpwstr>http://www.nevo.co.il/case/17914099</vt:lpwstr>
      </vt:variant>
      <vt:variant>
        <vt:lpwstr/>
      </vt:variant>
      <vt:variant>
        <vt:i4>3670131</vt:i4>
      </vt:variant>
      <vt:variant>
        <vt:i4>84</vt:i4>
      </vt:variant>
      <vt:variant>
        <vt:i4>0</vt:i4>
      </vt:variant>
      <vt:variant>
        <vt:i4>5</vt:i4>
      </vt:variant>
      <vt:variant>
        <vt:lpwstr>http://www.nevo.co.il/case/17922225</vt:lpwstr>
      </vt:variant>
      <vt:variant>
        <vt:lpwstr/>
      </vt:variant>
      <vt:variant>
        <vt:i4>3145841</vt:i4>
      </vt:variant>
      <vt:variant>
        <vt:i4>81</vt:i4>
      </vt:variant>
      <vt:variant>
        <vt:i4>0</vt:i4>
      </vt:variant>
      <vt:variant>
        <vt:i4>5</vt:i4>
      </vt:variant>
      <vt:variant>
        <vt:lpwstr>http://www.nevo.co.il/case/17929014</vt:lpwstr>
      </vt:variant>
      <vt:variant>
        <vt:lpwstr/>
      </vt:variant>
      <vt:variant>
        <vt:i4>3801203</vt:i4>
      </vt:variant>
      <vt:variant>
        <vt:i4>78</vt:i4>
      </vt:variant>
      <vt:variant>
        <vt:i4>0</vt:i4>
      </vt:variant>
      <vt:variant>
        <vt:i4>5</vt:i4>
      </vt:variant>
      <vt:variant>
        <vt:lpwstr>http://www.nevo.co.il/case/6055128</vt:lpwstr>
      </vt:variant>
      <vt:variant>
        <vt:lpwstr/>
      </vt:variant>
      <vt:variant>
        <vt:i4>8323182</vt:i4>
      </vt:variant>
      <vt:variant>
        <vt:i4>75</vt:i4>
      </vt:variant>
      <vt:variant>
        <vt:i4>0</vt:i4>
      </vt:variant>
      <vt:variant>
        <vt:i4>5</vt:i4>
      </vt:variant>
      <vt:variant>
        <vt:lpwstr>http://www.nevo.co.il/law/74918</vt:lpwstr>
      </vt:variant>
      <vt:variant>
        <vt:lpwstr/>
      </vt:variant>
      <vt:variant>
        <vt:i4>196683</vt:i4>
      </vt:variant>
      <vt:variant>
        <vt:i4>72</vt:i4>
      </vt:variant>
      <vt:variant>
        <vt:i4>0</vt:i4>
      </vt:variant>
      <vt:variant>
        <vt:i4>5</vt:i4>
      </vt:variant>
      <vt:variant>
        <vt:lpwstr>http://www.nevo.co.il/law/74918/32.a</vt:lpwstr>
      </vt:variant>
      <vt:variant>
        <vt:lpwstr/>
      </vt:variant>
      <vt:variant>
        <vt:i4>3670139</vt:i4>
      </vt:variant>
      <vt:variant>
        <vt:i4>69</vt:i4>
      </vt:variant>
      <vt:variant>
        <vt:i4>0</vt:i4>
      </vt:variant>
      <vt:variant>
        <vt:i4>5</vt:i4>
      </vt:variant>
      <vt:variant>
        <vt:lpwstr>http://www.nevo.co.il/case/25824863</vt:lpwstr>
      </vt:variant>
      <vt:variant>
        <vt:lpwstr/>
      </vt:variant>
      <vt:variant>
        <vt:i4>7077991</vt:i4>
      </vt:variant>
      <vt:variant>
        <vt:i4>66</vt:i4>
      </vt:variant>
      <vt:variant>
        <vt:i4>0</vt:i4>
      </vt:variant>
      <vt:variant>
        <vt:i4>5</vt:i4>
      </vt:variant>
      <vt:variant>
        <vt:lpwstr>http://www.nevo.co.il/law/70301/29</vt:lpwstr>
      </vt:variant>
      <vt:variant>
        <vt:lpwstr/>
      </vt:variant>
      <vt:variant>
        <vt:i4>6291559</vt:i4>
      </vt:variant>
      <vt:variant>
        <vt:i4>63</vt:i4>
      </vt:variant>
      <vt:variant>
        <vt:i4>0</vt:i4>
      </vt:variant>
      <vt:variant>
        <vt:i4>5</vt:i4>
      </vt:variant>
      <vt:variant>
        <vt:lpwstr>http://www.nevo.co.il/law/70301/25</vt:lpwstr>
      </vt:variant>
      <vt:variant>
        <vt:lpwstr/>
      </vt:variant>
      <vt:variant>
        <vt:i4>7929953</vt:i4>
      </vt:variant>
      <vt:variant>
        <vt:i4>60</vt:i4>
      </vt:variant>
      <vt:variant>
        <vt:i4>0</vt:i4>
      </vt:variant>
      <vt:variant>
        <vt:i4>5</vt:i4>
      </vt:variant>
      <vt:variant>
        <vt:lpwstr>http://www.nevo.co.il/law/4754</vt:lpwstr>
      </vt:variant>
      <vt:variant>
        <vt:lpwstr/>
      </vt:variant>
      <vt:variant>
        <vt:i4>7733375</vt:i4>
      </vt:variant>
      <vt:variant>
        <vt:i4>57</vt:i4>
      </vt:variant>
      <vt:variant>
        <vt:i4>0</vt:i4>
      </vt:variant>
      <vt:variant>
        <vt:i4>5</vt:i4>
      </vt:variant>
      <vt:variant>
        <vt:lpwstr>http://www.nevo.co.il/law/4754/2.a.;17.a.1</vt:lpwstr>
      </vt:variant>
      <vt:variant>
        <vt:lpwstr/>
      </vt:variant>
      <vt:variant>
        <vt:i4>7077991</vt:i4>
      </vt:variant>
      <vt:variant>
        <vt:i4>54</vt:i4>
      </vt:variant>
      <vt:variant>
        <vt:i4>0</vt:i4>
      </vt:variant>
      <vt:variant>
        <vt:i4>5</vt:i4>
      </vt:variant>
      <vt:variant>
        <vt:lpwstr>http://www.nevo.co.il/law/70301/29</vt:lpwstr>
      </vt:variant>
      <vt:variant>
        <vt:lpwstr/>
      </vt:variant>
      <vt:variant>
        <vt:i4>7471224</vt:i4>
      </vt:variant>
      <vt:variant>
        <vt:i4>51</vt:i4>
      </vt:variant>
      <vt:variant>
        <vt:i4>0</vt:i4>
      </vt:variant>
      <vt:variant>
        <vt:i4>5</vt:i4>
      </vt:variant>
      <vt:variant>
        <vt:lpwstr>http://www.nevo.co.il/law/70301/340a.b.1.;340.a.b.2</vt:lpwstr>
      </vt:variant>
      <vt:variant>
        <vt:lpwstr/>
      </vt:variant>
      <vt:variant>
        <vt:i4>7995492</vt:i4>
      </vt:variant>
      <vt:variant>
        <vt:i4>48</vt:i4>
      </vt:variant>
      <vt:variant>
        <vt:i4>0</vt:i4>
      </vt:variant>
      <vt:variant>
        <vt:i4>5</vt:i4>
      </vt:variant>
      <vt:variant>
        <vt:lpwstr>http://www.nevo.co.il/law/70301</vt:lpwstr>
      </vt:variant>
      <vt:variant>
        <vt:lpwstr/>
      </vt:variant>
      <vt:variant>
        <vt:i4>6553702</vt:i4>
      </vt:variant>
      <vt:variant>
        <vt:i4>45</vt:i4>
      </vt:variant>
      <vt:variant>
        <vt:i4>0</vt:i4>
      </vt:variant>
      <vt:variant>
        <vt:i4>5</vt:i4>
      </vt:variant>
      <vt:variant>
        <vt:lpwstr>http://www.nevo.co.il/law/70301/31</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196683</vt:i4>
      </vt:variant>
      <vt:variant>
        <vt:i4>36</vt:i4>
      </vt:variant>
      <vt:variant>
        <vt:i4>0</vt:i4>
      </vt:variant>
      <vt:variant>
        <vt:i4>5</vt:i4>
      </vt:variant>
      <vt:variant>
        <vt:lpwstr>http://www.nevo.co.il/law/74918/32.a</vt:lpwstr>
      </vt:variant>
      <vt:variant>
        <vt:lpwstr/>
      </vt:variant>
      <vt:variant>
        <vt:i4>8323182</vt:i4>
      </vt:variant>
      <vt:variant>
        <vt:i4>33</vt:i4>
      </vt:variant>
      <vt:variant>
        <vt:i4>0</vt:i4>
      </vt:variant>
      <vt:variant>
        <vt:i4>5</vt:i4>
      </vt:variant>
      <vt:variant>
        <vt:lpwstr>http://www.nevo.co.il/law/74918</vt:lpwstr>
      </vt:variant>
      <vt:variant>
        <vt:lpwstr/>
      </vt:variant>
      <vt:variant>
        <vt:i4>4718616</vt:i4>
      </vt:variant>
      <vt:variant>
        <vt:i4>30</vt:i4>
      </vt:variant>
      <vt:variant>
        <vt:i4>0</vt:i4>
      </vt:variant>
      <vt:variant>
        <vt:i4>5</vt:i4>
      </vt:variant>
      <vt:variant>
        <vt:lpwstr>http://www.nevo.co.il/law/4754/17.a.1</vt:lpwstr>
      </vt:variant>
      <vt:variant>
        <vt:lpwstr/>
      </vt:variant>
      <vt:variant>
        <vt:i4>2752608</vt:i4>
      </vt:variant>
      <vt:variant>
        <vt:i4>27</vt:i4>
      </vt:variant>
      <vt:variant>
        <vt:i4>0</vt:i4>
      </vt:variant>
      <vt:variant>
        <vt:i4>5</vt:i4>
      </vt:variant>
      <vt:variant>
        <vt:lpwstr>http://www.nevo.co.il/law/4754/2.a.</vt:lpwstr>
      </vt:variant>
      <vt:variant>
        <vt:lpwstr/>
      </vt:variant>
      <vt:variant>
        <vt:i4>7929953</vt:i4>
      </vt:variant>
      <vt:variant>
        <vt:i4>24</vt:i4>
      </vt:variant>
      <vt:variant>
        <vt:i4>0</vt:i4>
      </vt:variant>
      <vt:variant>
        <vt:i4>5</vt:i4>
      </vt:variant>
      <vt:variant>
        <vt:lpwstr>http://www.nevo.co.il/law/4754</vt:lpwstr>
      </vt:variant>
      <vt:variant>
        <vt:lpwstr/>
      </vt:variant>
      <vt:variant>
        <vt:i4>5439574</vt:i4>
      </vt:variant>
      <vt:variant>
        <vt:i4>21</vt:i4>
      </vt:variant>
      <vt:variant>
        <vt:i4>0</vt:i4>
      </vt:variant>
      <vt:variant>
        <vt:i4>5</vt:i4>
      </vt:variant>
      <vt:variant>
        <vt:lpwstr>http://www.nevo.co.il/law/70301/340a.b.1.</vt:lpwstr>
      </vt:variant>
      <vt:variant>
        <vt:lpwstr/>
      </vt:variant>
      <vt:variant>
        <vt:i4>5177429</vt:i4>
      </vt:variant>
      <vt:variant>
        <vt:i4>18</vt:i4>
      </vt:variant>
      <vt:variant>
        <vt:i4>0</vt:i4>
      </vt:variant>
      <vt:variant>
        <vt:i4>5</vt:i4>
      </vt:variant>
      <vt:variant>
        <vt:lpwstr>http://www.nevo.co.il/law/70301/340.a.b.2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6553702</vt:i4>
      </vt:variant>
      <vt:variant>
        <vt:i4>9</vt:i4>
      </vt:variant>
      <vt:variant>
        <vt:i4>0</vt:i4>
      </vt:variant>
      <vt:variant>
        <vt:i4>5</vt:i4>
      </vt:variant>
      <vt:variant>
        <vt:lpwstr>http://www.nevo.co.il/law/70301/31</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2025-01-19T16:46:00Z</dcterms:created>
  <dcterms:modified xsi:type="dcterms:W3CDTF">2025-01-19T16:46:00Z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26567</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ישראל;פרקליטות מחוז חיפה - פלילי</vt:lpwstr>
  </property>
  <property fmtid="{D5CDD505-2E9C-101B-9397-08002B2CF9AE}" pid="9" name="APPELLEE">
    <vt:lpwstr>עדנאן ח'יר</vt:lpwstr>
  </property>
  <property fmtid="{D5CDD505-2E9C-101B-9397-08002B2CF9AE}" pid="10" name="LAWYER">
    <vt:lpwstr>ע. טנוס</vt:lpwstr>
  </property>
  <property fmtid="{D5CDD505-2E9C-101B-9397-08002B2CF9AE}" pid="11" name="JUDGE">
    <vt:lpwstr>סארי ג'יוסי</vt:lpwstr>
  </property>
  <property fmtid="{D5CDD505-2E9C-101B-9397-08002B2CF9AE}" pid="12" name="CITY">
    <vt:lpwstr>חי'</vt:lpwstr>
  </property>
  <property fmtid="{D5CDD505-2E9C-101B-9397-08002B2CF9AE}" pid="13" name="DATE">
    <vt:lpwstr>20221206</vt:lpwstr>
  </property>
  <property fmtid="{D5CDD505-2E9C-101B-9397-08002B2CF9AE}" pid="14" name="TYPE_N_DATE">
    <vt:lpwstr>39020221206</vt:lpwstr>
  </property>
  <property fmtid="{D5CDD505-2E9C-101B-9397-08002B2CF9AE}" pid="15" name="WORDNUMPAGES">
    <vt:lpwstr>9</vt:lpwstr>
  </property>
  <property fmtid="{D5CDD505-2E9C-101B-9397-08002B2CF9AE}" pid="16" name="TYPE_ABS_DATE">
    <vt:lpwstr>390020221206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25824863;6055128:2;17929014;17922225;17914099;27272576</vt:lpwstr>
  </property>
  <property fmtid="{D5CDD505-2E9C-101B-9397-08002B2CF9AE}" pid="36" name="LAWLISTTMP1">
    <vt:lpwstr>70301/144.a;144.b;031;340a.b.1;340.a.b.2;029:2;025</vt:lpwstr>
  </property>
  <property fmtid="{D5CDD505-2E9C-101B-9397-08002B2CF9AE}" pid="37" name="LAWLISTTMP2">
    <vt:lpwstr>4754/002.a;017.a.1</vt:lpwstr>
  </property>
  <property fmtid="{D5CDD505-2E9C-101B-9397-08002B2CF9AE}" pid="38" name="LAWLISTTMP3">
    <vt:lpwstr>74918/032.a</vt:lpwstr>
  </property>
</Properties>
</file>