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CE0FC2" w:rsidRPr="00F55A64" w14:paraId="416FFF69" w14:textId="77777777" w:rsidTr="00271786">
        <w:trPr>
          <w:trHeight w:val="418"/>
          <w:jc w:val="center"/>
        </w:trPr>
        <w:tc>
          <w:tcPr>
            <w:tcW w:w="8504" w:type="dxa"/>
            <w:gridSpan w:val="3"/>
          </w:tcPr>
          <w:p w14:paraId="17C6D1EC" w14:textId="77777777" w:rsidR="00CE0FC2" w:rsidRPr="00F55A64" w:rsidRDefault="00CE0FC2" w:rsidP="00271786">
            <w:pPr>
              <w:pStyle w:val="a3"/>
              <w:jc w:val="center"/>
              <w:rPr>
                <w:rtl/>
              </w:rPr>
            </w:pPr>
            <w:r w:rsidRPr="00F55A64">
              <w:rPr>
                <w:rFonts w:ascii="Tahoma" w:hAnsi="Tahoma" w:cs="Tahoma"/>
                <w:b/>
                <w:bCs/>
                <w:color w:val="000080"/>
                <w:sz w:val="20"/>
                <w:szCs w:val="20"/>
                <w:rtl/>
              </w:rPr>
              <w:t>בית המשפט המחוזי בבאר שבע</w:t>
            </w:r>
          </w:p>
        </w:tc>
      </w:tr>
      <w:tr w:rsidR="00CE0FC2" w:rsidRPr="00F55A64" w14:paraId="757033EB" w14:textId="77777777" w:rsidTr="00271786">
        <w:trPr>
          <w:trHeight w:val="337"/>
          <w:jc w:val="center"/>
        </w:trPr>
        <w:tc>
          <w:tcPr>
            <w:tcW w:w="4676" w:type="dxa"/>
          </w:tcPr>
          <w:p w14:paraId="00A62D39" w14:textId="77777777" w:rsidR="00CE0FC2" w:rsidRPr="00F55A64" w:rsidRDefault="00CE0FC2" w:rsidP="00271786">
            <w:pPr>
              <w:spacing w:line="360" w:lineRule="auto"/>
              <w:jc w:val="both"/>
              <w:rPr>
                <w:b/>
                <w:bCs/>
                <w:rtl/>
              </w:rPr>
            </w:pPr>
            <w:r w:rsidRPr="00F55A64">
              <w:rPr>
                <w:rFonts w:hint="cs"/>
                <w:b/>
                <w:bCs/>
                <w:rtl/>
              </w:rPr>
              <w:t>לפני כבוד סגן הנשיאה, השופט אליהו ביתן</w:t>
            </w:r>
          </w:p>
        </w:tc>
        <w:tc>
          <w:tcPr>
            <w:tcW w:w="241" w:type="dxa"/>
          </w:tcPr>
          <w:p w14:paraId="0221A187" w14:textId="77777777" w:rsidR="00CE0FC2" w:rsidRPr="00F55A64" w:rsidRDefault="00CE0FC2" w:rsidP="00271786">
            <w:pPr>
              <w:pStyle w:val="a3"/>
              <w:jc w:val="right"/>
              <w:rPr>
                <w:b/>
                <w:bCs/>
                <w:rtl/>
              </w:rPr>
            </w:pPr>
          </w:p>
        </w:tc>
        <w:tc>
          <w:tcPr>
            <w:tcW w:w="3587" w:type="dxa"/>
          </w:tcPr>
          <w:p w14:paraId="5F3E65E6" w14:textId="77777777" w:rsidR="00CE0FC2" w:rsidRPr="00F55A64" w:rsidRDefault="00CE0FC2" w:rsidP="00271786">
            <w:pPr>
              <w:pStyle w:val="a3"/>
              <w:tabs>
                <w:tab w:val="clear" w:pos="4153"/>
              </w:tabs>
              <w:jc w:val="right"/>
              <w:rPr>
                <w:rtl/>
              </w:rPr>
            </w:pPr>
            <w:r w:rsidRPr="00F55A64">
              <w:rPr>
                <w:rFonts w:hint="cs"/>
                <w:b/>
                <w:bCs/>
                <w:rtl/>
              </w:rPr>
              <w:t>17 נובמבר 2022</w:t>
            </w:r>
          </w:p>
          <w:p w14:paraId="77D8142F" w14:textId="77777777" w:rsidR="00CE0FC2" w:rsidRPr="00F55A64" w:rsidRDefault="00CE0FC2" w:rsidP="00271786">
            <w:pPr>
              <w:pStyle w:val="a3"/>
              <w:tabs>
                <w:tab w:val="clear" w:pos="4153"/>
              </w:tabs>
              <w:rPr>
                <w:b/>
                <w:bCs/>
                <w:rtl/>
              </w:rPr>
            </w:pPr>
          </w:p>
          <w:p w14:paraId="378B48AF" w14:textId="77777777" w:rsidR="00CE0FC2" w:rsidRPr="00F55A64" w:rsidRDefault="00CE0FC2" w:rsidP="00271786">
            <w:pPr>
              <w:jc w:val="right"/>
              <w:rPr>
                <w:rtl/>
              </w:rPr>
            </w:pPr>
            <w:r w:rsidRPr="00F55A64">
              <w:rPr>
                <w:rFonts w:hint="cs"/>
                <w:b/>
                <w:bCs/>
                <w:rtl/>
              </w:rPr>
              <w:t>ת"פ 26985-11-21 מדינת ישראל נ' קצנטיני(עצור/אסיר בפיקוח) ואח'</w:t>
            </w:r>
          </w:p>
        </w:tc>
      </w:tr>
    </w:tbl>
    <w:p w14:paraId="6C84B01C" w14:textId="77777777" w:rsidR="00CE0FC2" w:rsidRPr="00F55A64" w:rsidRDefault="00CE0FC2" w:rsidP="00CE0FC2">
      <w:pPr>
        <w:pStyle w:val="a3"/>
        <w:jc w:val="center"/>
        <w:rPr>
          <w:rFonts w:ascii="Tahoma" w:hAnsi="Tahoma" w:cs="Tahoma"/>
          <w:b/>
          <w:bCs/>
          <w:color w:val="000080"/>
          <w:sz w:val="20"/>
          <w:szCs w:val="20"/>
          <w:rtl/>
        </w:rPr>
      </w:pPr>
      <w:bookmarkStart w:id="0" w:name="LastJudge"/>
      <w:bookmarkEnd w:id="0"/>
    </w:p>
    <w:p w14:paraId="3965182F" w14:textId="77777777" w:rsidR="00CE0FC2" w:rsidRPr="00F55A64" w:rsidRDefault="00CE0FC2" w:rsidP="00CE0FC2">
      <w:pPr>
        <w:pStyle w:val="a3"/>
        <w:rPr>
          <w:rtl/>
        </w:rPr>
      </w:pPr>
    </w:p>
    <w:p w14:paraId="765DA035" w14:textId="77777777" w:rsidR="00CE0FC2" w:rsidRPr="00F55A64" w:rsidRDefault="00CE0FC2" w:rsidP="00CE0FC2">
      <w:pPr>
        <w:spacing w:line="360" w:lineRule="auto"/>
        <w:rPr>
          <w:sz w:val="2"/>
          <w:szCs w:val="2"/>
          <w:rtl/>
        </w:rPr>
      </w:pPr>
    </w:p>
    <w:p w14:paraId="00D808FE" w14:textId="77777777" w:rsidR="00CE0FC2" w:rsidRPr="00F55A64" w:rsidRDefault="00CE0FC2" w:rsidP="00CE0FC2">
      <w:pPr>
        <w:spacing w:line="360" w:lineRule="auto"/>
        <w:rPr>
          <w:sz w:val="2"/>
          <w:szCs w:val="2"/>
          <w:rtl/>
        </w:rPr>
      </w:pPr>
    </w:p>
    <w:tbl>
      <w:tblPr>
        <w:bidiVisual/>
        <w:tblW w:w="8545" w:type="dxa"/>
        <w:tblInd w:w="229" w:type="dxa"/>
        <w:tblLook w:val="01E0" w:firstRow="1" w:lastRow="1" w:firstColumn="1" w:lastColumn="1" w:noHBand="0" w:noVBand="0"/>
      </w:tblPr>
      <w:tblGrid>
        <w:gridCol w:w="2263"/>
        <w:gridCol w:w="6226"/>
        <w:gridCol w:w="56"/>
      </w:tblGrid>
      <w:tr w:rsidR="00CE0FC2" w:rsidRPr="00F55A64" w14:paraId="2699A4D6" w14:textId="77777777" w:rsidTr="00CE0FC2">
        <w:trPr>
          <w:gridAfter w:val="1"/>
          <w:wAfter w:w="56" w:type="dxa"/>
        </w:trPr>
        <w:tc>
          <w:tcPr>
            <w:tcW w:w="8489" w:type="dxa"/>
            <w:gridSpan w:val="2"/>
            <w:shd w:val="clear" w:color="auto" w:fill="auto"/>
          </w:tcPr>
          <w:p w14:paraId="7ADDB5F0" w14:textId="77777777" w:rsidR="00CE0FC2" w:rsidRPr="00F55A64" w:rsidRDefault="00CE0FC2" w:rsidP="00CE0FC2">
            <w:pPr>
              <w:spacing w:line="360" w:lineRule="auto"/>
              <w:jc w:val="both"/>
              <w:rPr>
                <w:rFonts w:ascii="David" w:hAnsi="David"/>
                <w:b/>
                <w:bCs/>
                <w:rtl/>
              </w:rPr>
            </w:pPr>
            <w:r w:rsidRPr="00F55A64">
              <w:rPr>
                <w:rFonts w:ascii="David" w:hAnsi="David" w:hint="cs"/>
                <w:b/>
                <w:bCs/>
                <w:rtl/>
              </w:rPr>
              <w:t>בעניין:</w:t>
            </w:r>
          </w:p>
        </w:tc>
      </w:tr>
      <w:tr w:rsidR="00CE0FC2" w:rsidRPr="00F55A64" w14:paraId="5335E3F1" w14:textId="77777777" w:rsidTr="00CE0FC2">
        <w:tc>
          <w:tcPr>
            <w:tcW w:w="2263" w:type="dxa"/>
            <w:shd w:val="clear" w:color="auto" w:fill="auto"/>
          </w:tcPr>
          <w:p w14:paraId="6F55734A" w14:textId="77777777" w:rsidR="00CE0FC2" w:rsidRPr="00F55A64" w:rsidRDefault="00CE0FC2" w:rsidP="00CE0FC2">
            <w:pPr>
              <w:spacing w:line="360" w:lineRule="auto"/>
              <w:ind w:left="26"/>
              <w:rPr>
                <w:rFonts w:ascii="David" w:hAnsi="David"/>
                <w:b/>
                <w:bCs/>
                <w:rtl/>
              </w:rPr>
            </w:pPr>
            <w:bookmarkStart w:id="1" w:name="FirstAppellant"/>
            <w:r w:rsidRPr="00F55A64">
              <w:rPr>
                <w:rFonts w:ascii="David" w:hAnsi="David" w:hint="cs"/>
                <w:b/>
                <w:bCs/>
                <w:rtl/>
              </w:rPr>
              <w:t>המאשימה:</w:t>
            </w:r>
          </w:p>
        </w:tc>
        <w:tc>
          <w:tcPr>
            <w:tcW w:w="6282" w:type="dxa"/>
            <w:gridSpan w:val="2"/>
            <w:shd w:val="clear" w:color="auto" w:fill="auto"/>
          </w:tcPr>
          <w:p w14:paraId="3C34DE03" w14:textId="77777777" w:rsidR="00CE0FC2" w:rsidRPr="00F55A64" w:rsidRDefault="00CE0FC2" w:rsidP="00CE0FC2">
            <w:pPr>
              <w:spacing w:line="360" w:lineRule="auto"/>
              <w:rPr>
                <w:rFonts w:ascii="David" w:hAnsi="David"/>
                <w:b/>
                <w:bCs/>
                <w:rtl/>
              </w:rPr>
            </w:pPr>
            <w:r w:rsidRPr="00F55A64">
              <w:rPr>
                <w:rFonts w:ascii="David" w:hAnsi="David" w:hint="cs"/>
                <w:b/>
                <w:bCs/>
                <w:rtl/>
              </w:rPr>
              <w:t>מדינת ישראל</w:t>
            </w:r>
          </w:p>
        </w:tc>
      </w:tr>
      <w:bookmarkEnd w:id="1"/>
      <w:tr w:rsidR="00CE0FC2" w:rsidRPr="00F55A64" w14:paraId="3E19459C" w14:textId="77777777" w:rsidTr="00CE0FC2">
        <w:tc>
          <w:tcPr>
            <w:tcW w:w="8545" w:type="dxa"/>
            <w:gridSpan w:val="3"/>
            <w:shd w:val="clear" w:color="auto" w:fill="auto"/>
          </w:tcPr>
          <w:p w14:paraId="55767FFF" w14:textId="77777777" w:rsidR="00CE0FC2" w:rsidRPr="00F55A64" w:rsidRDefault="00CE0FC2" w:rsidP="00CE0FC2">
            <w:pPr>
              <w:spacing w:line="360" w:lineRule="auto"/>
              <w:jc w:val="center"/>
              <w:rPr>
                <w:rFonts w:ascii="David" w:hAnsi="David"/>
                <w:b/>
                <w:bCs/>
                <w:rtl/>
              </w:rPr>
            </w:pPr>
            <w:r w:rsidRPr="00F55A64">
              <w:rPr>
                <w:rFonts w:ascii="David" w:hAnsi="David" w:hint="cs"/>
                <w:b/>
                <w:bCs/>
                <w:sz w:val="28"/>
                <w:szCs w:val="28"/>
                <w:rtl/>
              </w:rPr>
              <w:t>נגד</w:t>
            </w:r>
          </w:p>
        </w:tc>
      </w:tr>
      <w:tr w:rsidR="00CE0FC2" w:rsidRPr="00F55A64" w14:paraId="4415744F" w14:textId="77777777" w:rsidTr="00CE0FC2">
        <w:tc>
          <w:tcPr>
            <w:tcW w:w="2263" w:type="dxa"/>
            <w:shd w:val="clear" w:color="auto" w:fill="auto"/>
          </w:tcPr>
          <w:p w14:paraId="6A9041B1" w14:textId="77777777" w:rsidR="00CE0FC2" w:rsidRPr="00F55A64" w:rsidRDefault="00CE0FC2" w:rsidP="00CE0FC2">
            <w:pPr>
              <w:spacing w:line="360" w:lineRule="auto"/>
              <w:ind w:left="26"/>
              <w:rPr>
                <w:rFonts w:ascii="David" w:hAnsi="David"/>
                <w:b/>
                <w:bCs/>
                <w:rtl/>
              </w:rPr>
            </w:pPr>
            <w:r w:rsidRPr="00F55A64">
              <w:rPr>
                <w:rFonts w:ascii="David" w:hAnsi="David" w:hint="cs"/>
                <w:b/>
                <w:bCs/>
                <w:rtl/>
              </w:rPr>
              <w:t>הנאשמים:</w:t>
            </w:r>
          </w:p>
        </w:tc>
        <w:tc>
          <w:tcPr>
            <w:tcW w:w="6282" w:type="dxa"/>
            <w:gridSpan w:val="2"/>
            <w:shd w:val="clear" w:color="auto" w:fill="auto"/>
          </w:tcPr>
          <w:p w14:paraId="3B352334" w14:textId="77777777" w:rsidR="00CE0FC2" w:rsidRPr="00F55A64" w:rsidRDefault="00CE0FC2" w:rsidP="00CE0FC2">
            <w:pPr>
              <w:spacing w:line="360" w:lineRule="auto"/>
              <w:rPr>
                <w:rFonts w:ascii="David" w:hAnsi="David"/>
                <w:b/>
                <w:bCs/>
              </w:rPr>
            </w:pPr>
            <w:r w:rsidRPr="00F55A64">
              <w:rPr>
                <w:rFonts w:ascii="David" w:hAnsi="David"/>
                <w:b/>
                <w:bCs/>
              </w:rPr>
              <w:t>.1</w:t>
            </w:r>
            <w:r w:rsidRPr="00F55A64">
              <w:rPr>
                <w:rFonts w:hint="cs"/>
                <w:b/>
                <w:bCs/>
                <w:rtl/>
              </w:rPr>
              <w:t xml:space="preserve"> </w:t>
            </w:r>
            <w:r w:rsidRPr="00F55A64">
              <w:rPr>
                <w:b/>
                <w:bCs/>
                <w:rtl/>
              </w:rPr>
              <w:t>מרדכי קצנטיני (עצור/אסיר בפיקוח)</w:t>
            </w:r>
          </w:p>
          <w:p w14:paraId="00945E0E" w14:textId="77777777" w:rsidR="00CE0FC2" w:rsidRPr="00F55A64" w:rsidRDefault="00CE0FC2" w:rsidP="00CE0FC2">
            <w:pPr>
              <w:spacing w:line="360" w:lineRule="auto"/>
              <w:rPr>
                <w:rFonts w:ascii="David" w:hAnsi="David"/>
                <w:b/>
                <w:bCs/>
                <w:rtl/>
              </w:rPr>
            </w:pPr>
            <w:r w:rsidRPr="00F55A64">
              <w:rPr>
                <w:rFonts w:ascii="David" w:hAnsi="David"/>
                <w:b/>
                <w:bCs/>
              </w:rPr>
              <w:t>.2</w:t>
            </w:r>
            <w:r w:rsidRPr="00F55A64">
              <w:rPr>
                <w:rFonts w:hint="cs"/>
                <w:b/>
                <w:bCs/>
                <w:rtl/>
              </w:rPr>
              <w:t xml:space="preserve"> </w:t>
            </w:r>
            <w:r w:rsidRPr="00F55A64">
              <w:rPr>
                <w:b/>
                <w:bCs/>
                <w:rtl/>
              </w:rPr>
              <w:t>אליאב קצנטיני (עציר)</w:t>
            </w:r>
          </w:p>
          <w:p w14:paraId="56E90298" w14:textId="77777777" w:rsidR="00CE0FC2" w:rsidRPr="00F55A64" w:rsidRDefault="00CE0FC2" w:rsidP="00CE0FC2">
            <w:pPr>
              <w:spacing w:line="360" w:lineRule="auto"/>
              <w:rPr>
                <w:rFonts w:ascii="David" w:hAnsi="David"/>
                <w:b/>
                <w:bCs/>
                <w:rtl/>
              </w:rPr>
            </w:pPr>
            <w:r w:rsidRPr="00F55A64">
              <w:rPr>
                <w:rFonts w:ascii="David" w:hAnsi="David"/>
                <w:b/>
                <w:bCs/>
              </w:rPr>
              <w:t>.3</w:t>
            </w:r>
            <w:r w:rsidRPr="00F55A64">
              <w:rPr>
                <w:rFonts w:hint="cs"/>
                <w:b/>
                <w:bCs/>
                <w:rtl/>
              </w:rPr>
              <w:t xml:space="preserve"> </w:t>
            </w:r>
            <w:r w:rsidRPr="00F55A64">
              <w:rPr>
                <w:b/>
                <w:bCs/>
                <w:rtl/>
              </w:rPr>
              <w:t>רן חמיאס (עציר)</w:t>
            </w:r>
          </w:p>
        </w:tc>
      </w:tr>
    </w:tbl>
    <w:p w14:paraId="061BE002" w14:textId="77777777" w:rsidR="00CE0FC2" w:rsidRPr="00F55A64" w:rsidRDefault="00CE0FC2" w:rsidP="00CE0FC2">
      <w:pPr>
        <w:spacing w:line="360" w:lineRule="auto"/>
        <w:rPr>
          <w:rFonts w:ascii="David" w:hAnsi="David"/>
          <w:sz w:val="2"/>
          <w:szCs w:val="2"/>
          <w:rtl/>
        </w:rPr>
      </w:pPr>
      <w:r w:rsidRPr="00F55A64">
        <w:rPr>
          <w:rFonts w:hint="cs"/>
          <w:sz w:val="2"/>
          <w:szCs w:val="2"/>
          <w:rtl/>
        </w:rPr>
        <w:t>&lt;#1#&gt;</w:t>
      </w:r>
    </w:p>
    <w:p w14:paraId="766D5004" w14:textId="77777777" w:rsidR="00CE0FC2" w:rsidRPr="00F55A64" w:rsidRDefault="00CE0FC2" w:rsidP="00CE0FC2">
      <w:pPr>
        <w:pStyle w:val="12"/>
        <w:spacing w:line="360" w:lineRule="auto"/>
        <w:rPr>
          <w:rFonts w:ascii="David" w:hAnsi="David"/>
          <w:u w:val="none"/>
          <w:rtl/>
        </w:rPr>
      </w:pPr>
      <w:r w:rsidRPr="00F55A64">
        <w:rPr>
          <w:rFonts w:ascii="David" w:hAnsi="David"/>
          <w:u w:val="none"/>
          <w:rtl/>
        </w:rPr>
        <w:t>נוכחים:</w:t>
      </w:r>
    </w:p>
    <w:p w14:paraId="5AA3987F" w14:textId="77777777" w:rsidR="00CE0FC2" w:rsidRPr="00F55A64" w:rsidRDefault="00CE0FC2" w:rsidP="00CE0FC2">
      <w:pPr>
        <w:spacing w:line="360" w:lineRule="auto"/>
        <w:jc w:val="both"/>
        <w:rPr>
          <w:rFonts w:ascii="David" w:hAnsi="David"/>
          <w:rtl/>
        </w:rPr>
      </w:pPr>
      <w:bookmarkStart w:id="2" w:name="FirstLawyer"/>
      <w:r w:rsidRPr="00F55A64">
        <w:rPr>
          <w:rFonts w:hint="cs"/>
          <w:rtl/>
        </w:rPr>
        <w:t>ב"כ</w:t>
      </w:r>
      <w:bookmarkEnd w:id="2"/>
      <w:r w:rsidRPr="00F55A64">
        <w:rPr>
          <w:rFonts w:hint="cs"/>
          <w:rtl/>
        </w:rPr>
        <w:t xml:space="preserve"> המאשימה עו"ד ירון סעדון </w:t>
      </w:r>
    </w:p>
    <w:p w14:paraId="511E2178" w14:textId="77777777" w:rsidR="00CE0FC2" w:rsidRPr="00F55A64" w:rsidRDefault="00CE0FC2" w:rsidP="00CE0FC2">
      <w:pPr>
        <w:spacing w:line="360" w:lineRule="auto"/>
        <w:jc w:val="both"/>
      </w:pPr>
      <w:r w:rsidRPr="00F55A64">
        <w:rPr>
          <w:rFonts w:hint="cs"/>
          <w:rtl/>
        </w:rPr>
        <w:t xml:space="preserve">הנאשמים 1 ו – 2, ובאת כוחם עו"ד עינב יתח </w:t>
      </w:r>
    </w:p>
    <w:p w14:paraId="0BF6D090" w14:textId="77777777" w:rsidR="00CE0FC2" w:rsidRPr="00F55A64" w:rsidRDefault="00CE0FC2" w:rsidP="00CE0FC2">
      <w:pPr>
        <w:spacing w:line="360" w:lineRule="auto"/>
        <w:jc w:val="both"/>
        <w:rPr>
          <w:rtl/>
        </w:rPr>
      </w:pPr>
      <w:r w:rsidRPr="00F55A64">
        <w:rPr>
          <w:rFonts w:hint="cs"/>
          <w:rtl/>
        </w:rPr>
        <w:t xml:space="preserve">הנאשם 3 ובא כוחו, עו"ד רפי ליטן </w:t>
      </w:r>
    </w:p>
    <w:p w14:paraId="16ABE13B" w14:textId="77777777" w:rsidR="00CE0FC2" w:rsidRPr="00F55A64" w:rsidRDefault="00CE0FC2" w:rsidP="00CE0FC2">
      <w:pPr>
        <w:spacing w:line="360" w:lineRule="auto"/>
        <w:jc w:val="both"/>
        <w:rPr>
          <w:sz w:val="6"/>
          <w:szCs w:val="6"/>
        </w:rPr>
      </w:pPr>
      <w:r w:rsidRPr="00F55A64">
        <w:rPr>
          <w:rFonts w:hint="cs"/>
          <w:sz w:val="6"/>
          <w:szCs w:val="6"/>
          <w:rtl/>
        </w:rPr>
        <w:t>&lt;#1#&gt;</w:t>
      </w:r>
    </w:p>
    <w:p w14:paraId="5AEC61C2" w14:textId="77777777" w:rsidR="00CE0FC2" w:rsidRPr="00F55A64" w:rsidRDefault="00CE0FC2" w:rsidP="00CE0FC2">
      <w:pPr>
        <w:spacing w:line="360" w:lineRule="auto"/>
        <w:jc w:val="both"/>
        <w:rPr>
          <w:sz w:val="2"/>
          <w:szCs w:val="2"/>
          <w:rtl/>
        </w:rPr>
      </w:pPr>
      <w:r w:rsidRPr="00F55A64">
        <w:rPr>
          <w:rFonts w:hint="cs"/>
          <w:sz w:val="2"/>
          <w:szCs w:val="2"/>
          <w:rtl/>
        </w:rPr>
        <w:t>4#&gt;</w:t>
      </w:r>
    </w:p>
    <w:p w14:paraId="396F3AB3" w14:textId="77777777" w:rsidR="0086229F" w:rsidRPr="0086229F" w:rsidRDefault="0086229F" w:rsidP="0086229F">
      <w:pPr>
        <w:spacing w:before="120" w:after="120" w:line="240" w:lineRule="exact"/>
        <w:ind w:left="283" w:hanging="283"/>
        <w:jc w:val="both"/>
        <w:rPr>
          <w:rFonts w:ascii="FrankRuehl" w:hAnsi="FrankRuehl" w:cs="FrankRuehl"/>
          <w:rtl/>
        </w:rPr>
      </w:pPr>
    </w:p>
    <w:p w14:paraId="7B2BBC17" w14:textId="77777777" w:rsidR="009B6813" w:rsidRDefault="009B6813" w:rsidP="009B6813">
      <w:pPr>
        <w:spacing w:line="360" w:lineRule="auto"/>
        <w:jc w:val="center"/>
        <w:rPr>
          <w:sz w:val="28"/>
          <w:szCs w:val="28"/>
          <w:rtl/>
        </w:rPr>
      </w:pPr>
      <w:bookmarkStart w:id="3" w:name="LawTable"/>
      <w:bookmarkEnd w:id="3"/>
    </w:p>
    <w:p w14:paraId="57DBC11B" w14:textId="77777777" w:rsidR="009B6813" w:rsidRPr="009B6813" w:rsidRDefault="009B6813" w:rsidP="009B6813">
      <w:pPr>
        <w:spacing w:before="120" w:after="120" w:line="240" w:lineRule="exact"/>
        <w:ind w:left="283" w:hanging="283"/>
        <w:jc w:val="both"/>
        <w:rPr>
          <w:rFonts w:ascii="FrankRuehl" w:hAnsi="FrankRuehl" w:cs="FrankRuehl"/>
          <w:rtl/>
        </w:rPr>
      </w:pPr>
    </w:p>
    <w:p w14:paraId="248C014D" w14:textId="77777777" w:rsidR="009B6813" w:rsidRPr="009B6813" w:rsidRDefault="009B6813" w:rsidP="009B6813">
      <w:pPr>
        <w:spacing w:before="120" w:after="120" w:line="240" w:lineRule="exact"/>
        <w:ind w:left="283" w:hanging="283"/>
        <w:jc w:val="both"/>
        <w:rPr>
          <w:rFonts w:ascii="FrankRuehl" w:hAnsi="FrankRuehl" w:cs="FrankRuehl"/>
          <w:rtl/>
        </w:rPr>
      </w:pPr>
    </w:p>
    <w:p w14:paraId="2A1AAE4E" w14:textId="77777777" w:rsidR="009B6813" w:rsidRPr="009B6813" w:rsidRDefault="009B6813" w:rsidP="009B6813">
      <w:pPr>
        <w:spacing w:before="120" w:after="120" w:line="240" w:lineRule="exact"/>
        <w:ind w:left="283" w:hanging="283"/>
        <w:jc w:val="both"/>
        <w:rPr>
          <w:rFonts w:ascii="FrankRuehl" w:hAnsi="FrankRuehl" w:cs="FrankRuehl"/>
          <w:rtl/>
        </w:rPr>
      </w:pPr>
      <w:r w:rsidRPr="009B6813">
        <w:rPr>
          <w:rFonts w:ascii="FrankRuehl" w:hAnsi="FrankRuehl" w:cs="FrankRuehl"/>
          <w:rtl/>
        </w:rPr>
        <w:t xml:space="preserve">חקיקה שאוזכרה: </w:t>
      </w:r>
    </w:p>
    <w:p w14:paraId="5C9DBD2D" w14:textId="77777777" w:rsidR="009B6813" w:rsidRPr="009B6813" w:rsidRDefault="009B6813" w:rsidP="009B6813">
      <w:pPr>
        <w:spacing w:before="120" w:after="120" w:line="240" w:lineRule="exact"/>
        <w:ind w:left="283" w:hanging="283"/>
        <w:jc w:val="both"/>
        <w:rPr>
          <w:rFonts w:ascii="FrankRuehl" w:hAnsi="FrankRuehl" w:cs="FrankRuehl"/>
          <w:rtl/>
        </w:rPr>
      </w:pPr>
      <w:hyperlink r:id="rId6" w:history="1">
        <w:r w:rsidRPr="009B6813">
          <w:rPr>
            <w:rFonts w:ascii="FrankRuehl" w:hAnsi="FrankRuehl" w:cs="FrankRuehl"/>
            <w:color w:val="0000FF"/>
            <w:rtl/>
          </w:rPr>
          <w:t>חוק העונשין, תשל"ז-1977</w:t>
        </w:r>
      </w:hyperlink>
      <w:r w:rsidRPr="009B6813">
        <w:rPr>
          <w:rFonts w:ascii="FrankRuehl" w:hAnsi="FrankRuehl" w:cs="FrankRuehl"/>
          <w:rtl/>
        </w:rPr>
        <w:t xml:space="preserve">: סע'  </w:t>
      </w:r>
      <w:hyperlink r:id="rId7" w:history="1">
        <w:r w:rsidRPr="009B6813">
          <w:rPr>
            <w:rFonts w:ascii="FrankRuehl" w:hAnsi="FrankRuehl" w:cs="FrankRuehl"/>
            <w:color w:val="0000FF"/>
            <w:rtl/>
          </w:rPr>
          <w:t>40י'</w:t>
        </w:r>
      </w:hyperlink>
      <w:r w:rsidRPr="009B6813">
        <w:rPr>
          <w:rFonts w:ascii="FrankRuehl" w:hAnsi="FrankRuehl" w:cs="FrankRuehl"/>
          <w:rtl/>
        </w:rPr>
        <w:t xml:space="preserve">, </w:t>
      </w:r>
      <w:hyperlink r:id="rId8" w:history="1">
        <w:r w:rsidRPr="009B6813">
          <w:rPr>
            <w:rFonts w:ascii="FrankRuehl" w:hAnsi="FrankRuehl" w:cs="FrankRuehl"/>
            <w:color w:val="0000FF"/>
            <w:rtl/>
          </w:rPr>
          <w:t>58</w:t>
        </w:r>
      </w:hyperlink>
      <w:r w:rsidRPr="009B6813">
        <w:rPr>
          <w:rFonts w:ascii="FrankRuehl" w:hAnsi="FrankRuehl" w:cs="FrankRuehl"/>
          <w:rtl/>
        </w:rPr>
        <w:t xml:space="preserve">, </w:t>
      </w:r>
      <w:hyperlink r:id="rId9" w:history="1">
        <w:r w:rsidRPr="009B6813">
          <w:rPr>
            <w:rFonts w:ascii="FrankRuehl" w:hAnsi="FrankRuehl" w:cs="FrankRuehl"/>
            <w:color w:val="0000FF"/>
            <w:rtl/>
          </w:rPr>
          <w:t>144(ב)</w:t>
        </w:r>
      </w:hyperlink>
      <w:r w:rsidRPr="009B6813">
        <w:rPr>
          <w:rFonts w:ascii="FrankRuehl" w:hAnsi="FrankRuehl" w:cs="FrankRuehl"/>
          <w:rtl/>
        </w:rPr>
        <w:t xml:space="preserve">, </w:t>
      </w:r>
      <w:hyperlink r:id="rId10" w:history="1">
        <w:r w:rsidRPr="009B6813">
          <w:rPr>
            <w:rFonts w:ascii="FrankRuehl" w:hAnsi="FrankRuehl" w:cs="FrankRuehl"/>
            <w:color w:val="0000FF"/>
            <w:rtl/>
          </w:rPr>
          <w:t>244</w:t>
        </w:r>
      </w:hyperlink>
      <w:r w:rsidRPr="009B6813">
        <w:rPr>
          <w:rFonts w:ascii="FrankRuehl" w:hAnsi="FrankRuehl" w:cs="FrankRuehl"/>
          <w:rtl/>
        </w:rPr>
        <w:t xml:space="preserve">, </w:t>
      </w:r>
      <w:hyperlink r:id="rId11" w:history="1">
        <w:r w:rsidRPr="009B6813">
          <w:rPr>
            <w:rFonts w:ascii="FrankRuehl" w:hAnsi="FrankRuehl" w:cs="FrankRuehl"/>
            <w:color w:val="0000FF"/>
            <w:rtl/>
          </w:rPr>
          <w:t>340א(ב)</w:t>
        </w:r>
      </w:hyperlink>
    </w:p>
    <w:p w14:paraId="2A6F5532" w14:textId="77777777" w:rsidR="009B6813" w:rsidRPr="009B6813" w:rsidRDefault="009B6813" w:rsidP="009B6813">
      <w:pPr>
        <w:spacing w:before="120" w:after="120" w:line="240" w:lineRule="exact"/>
        <w:ind w:left="283" w:hanging="283"/>
        <w:jc w:val="both"/>
        <w:rPr>
          <w:rFonts w:ascii="FrankRuehl" w:hAnsi="FrankRuehl" w:cs="FrankRuehl"/>
          <w:rtl/>
        </w:rPr>
      </w:pPr>
      <w:hyperlink r:id="rId12" w:history="1">
        <w:r w:rsidRPr="009B6813">
          <w:rPr>
            <w:rFonts w:ascii="FrankRuehl" w:hAnsi="FrankRuehl" w:cs="FrankRuehl"/>
            <w:color w:val="0000FF"/>
            <w:rtl/>
          </w:rPr>
          <w:t>פקודת הסמים המסוכנים [נוסח חדש], תשל"ג-1973</w:t>
        </w:r>
      </w:hyperlink>
      <w:r w:rsidRPr="009B6813">
        <w:rPr>
          <w:rFonts w:ascii="FrankRuehl" w:hAnsi="FrankRuehl" w:cs="FrankRuehl"/>
          <w:rtl/>
        </w:rPr>
        <w:t xml:space="preserve">: סע'  </w:t>
      </w:r>
      <w:hyperlink r:id="rId13" w:history="1">
        <w:r w:rsidRPr="009B6813">
          <w:rPr>
            <w:rFonts w:ascii="FrankRuehl" w:hAnsi="FrankRuehl" w:cs="FrankRuehl"/>
            <w:color w:val="0000FF"/>
            <w:rtl/>
          </w:rPr>
          <w:t>7(א)</w:t>
        </w:r>
      </w:hyperlink>
      <w:r w:rsidRPr="009B6813">
        <w:rPr>
          <w:rFonts w:ascii="FrankRuehl" w:hAnsi="FrankRuehl" w:cs="FrankRuehl"/>
          <w:rtl/>
        </w:rPr>
        <w:t xml:space="preserve">, </w:t>
      </w:r>
      <w:hyperlink r:id="rId14" w:history="1">
        <w:r w:rsidRPr="009B6813">
          <w:rPr>
            <w:rFonts w:ascii="FrankRuehl" w:hAnsi="FrankRuehl" w:cs="FrankRuehl"/>
            <w:color w:val="0000FF"/>
            <w:rtl/>
          </w:rPr>
          <w:t>(ג)</w:t>
        </w:r>
      </w:hyperlink>
    </w:p>
    <w:p w14:paraId="0C241D95" w14:textId="77777777" w:rsidR="009B6813" w:rsidRPr="009B6813" w:rsidRDefault="009B6813" w:rsidP="009B6813">
      <w:pPr>
        <w:spacing w:line="360" w:lineRule="auto"/>
        <w:jc w:val="center"/>
        <w:rPr>
          <w:sz w:val="28"/>
          <w:szCs w:val="28"/>
          <w:rtl/>
        </w:rPr>
      </w:pPr>
      <w:bookmarkStart w:id="4" w:name="LawTable_End"/>
      <w:bookmarkEnd w:id="4"/>
    </w:p>
    <w:p w14:paraId="608F9C5E" w14:textId="77777777" w:rsidR="00F55A64" w:rsidRPr="0086229F" w:rsidRDefault="00F55A64" w:rsidP="0086229F">
      <w:pPr>
        <w:spacing w:line="360" w:lineRule="auto"/>
        <w:jc w:val="center"/>
        <w:rPr>
          <w:sz w:val="28"/>
          <w:szCs w:val="28"/>
          <w:rtl/>
        </w:rPr>
      </w:pPr>
    </w:p>
    <w:p w14:paraId="006EA7AE" w14:textId="77777777" w:rsidR="00F55A64" w:rsidRPr="00F55A64" w:rsidRDefault="00F55A64" w:rsidP="00F55A64">
      <w:pPr>
        <w:spacing w:line="360" w:lineRule="auto"/>
        <w:jc w:val="center"/>
        <w:rPr>
          <w:b/>
          <w:bCs/>
          <w:sz w:val="28"/>
          <w:szCs w:val="28"/>
          <w:u w:val="single"/>
          <w:rtl/>
        </w:rPr>
      </w:pPr>
      <w:bookmarkStart w:id="5" w:name="PsakDin"/>
      <w:r w:rsidRPr="00F55A64">
        <w:rPr>
          <w:b/>
          <w:bCs/>
          <w:sz w:val="28"/>
          <w:szCs w:val="28"/>
          <w:u w:val="single"/>
          <w:rtl/>
        </w:rPr>
        <w:t>גזר דין</w:t>
      </w:r>
    </w:p>
    <w:bookmarkEnd w:id="5"/>
    <w:p w14:paraId="30237669" w14:textId="77777777" w:rsidR="00CE0FC2" w:rsidRPr="000C040A" w:rsidRDefault="00CE0FC2" w:rsidP="00CE0FC2">
      <w:pPr>
        <w:spacing w:line="360" w:lineRule="auto"/>
        <w:jc w:val="both"/>
        <w:rPr>
          <w:rtl/>
        </w:rPr>
      </w:pPr>
    </w:p>
    <w:p w14:paraId="5B825676" w14:textId="77777777" w:rsidR="00CE0FC2" w:rsidRPr="000C040A" w:rsidRDefault="00CE0FC2" w:rsidP="00CE0FC2">
      <w:pPr>
        <w:spacing w:line="360" w:lineRule="auto"/>
        <w:ind w:left="720" w:hanging="720"/>
        <w:jc w:val="both"/>
      </w:pPr>
      <w:r w:rsidRPr="000C040A">
        <w:rPr>
          <w:rFonts w:hint="cs"/>
          <w:rtl/>
        </w:rPr>
        <w:t>1.</w:t>
      </w:r>
      <w:r w:rsidRPr="000C040A">
        <w:rPr>
          <w:rFonts w:hint="cs"/>
          <w:rtl/>
        </w:rPr>
        <w:tab/>
      </w:r>
      <w:bookmarkStart w:id="6" w:name="ABSTRACT_START"/>
      <w:bookmarkEnd w:id="6"/>
      <w:r w:rsidRPr="000C040A">
        <w:rPr>
          <w:rFonts w:hint="cs"/>
          <w:rtl/>
        </w:rPr>
        <w:t>בטרם שמיעת הראיות, הגיעו הצדדים להסדר טיעון במסגרתו כתב האישום המקורי שהוגש נגד הנאשמים תוקן והם הודו בעובדות כתב האישום המתוקן, שאלה עיקריהן:</w:t>
      </w:r>
    </w:p>
    <w:p w14:paraId="323BDAAD" w14:textId="77777777" w:rsidR="00CE0FC2" w:rsidRPr="000C040A" w:rsidRDefault="00CE0FC2" w:rsidP="00CE0FC2">
      <w:pPr>
        <w:spacing w:line="360" w:lineRule="auto"/>
        <w:ind w:left="720" w:hanging="720"/>
        <w:jc w:val="both"/>
        <w:rPr>
          <w:rtl/>
        </w:rPr>
      </w:pPr>
      <w:r w:rsidRPr="000C040A">
        <w:rPr>
          <w:rFonts w:hint="cs"/>
          <w:rtl/>
        </w:rPr>
        <w:t xml:space="preserve"> </w:t>
      </w:r>
    </w:p>
    <w:p w14:paraId="3D40ECEC" w14:textId="77777777" w:rsidR="00CE0FC2" w:rsidRPr="000C040A" w:rsidRDefault="00CE0FC2" w:rsidP="00CE0FC2">
      <w:pPr>
        <w:spacing w:line="360" w:lineRule="auto"/>
        <w:ind w:left="720" w:hanging="720"/>
        <w:jc w:val="both"/>
        <w:rPr>
          <w:rtl/>
        </w:rPr>
      </w:pPr>
      <w:r w:rsidRPr="000C040A">
        <w:rPr>
          <w:rFonts w:hint="cs"/>
          <w:rtl/>
        </w:rPr>
        <w:tab/>
        <w:t xml:space="preserve">ביום 16.10.21 בסמוך לשעה 21:35, עת שהו הנאשמים, יחד עם אחרים, בביתם, הגיעו שני כלי רכב למקום ונעצרו בסמוך לבית, לאחר שנסעו מספר פעמים בשכונה, ומהרכבים יצאו מספר אנשים שזהותם אינה ידועה למאשימה. מיד לאחר מכן הנאשמים והאחרים יצאו מהבית, שהנאשמים 2 ו-3 אוחזים בידיהם כלי נשק, והתקרבו אל כלי הרכב. חלק מנוסעי </w:t>
      </w:r>
      <w:r w:rsidRPr="000C040A">
        <w:rPr>
          <w:rFonts w:hint="cs"/>
          <w:rtl/>
        </w:rPr>
        <w:lastRenderedPageBreak/>
        <w:t xml:space="preserve">כלי הרכב יצאו מהרכבים ופנו לעבר הנאשמים. הנאשם 3, שאחז בנשק נעמד סמוך לאחד הרכבים, והנאשם 1 שעמד גם הוא בסמוך ניגש לשוחח עם מי מנוסעי הרכב אשר חלקם יצאו מהרכבים. במקביל לכך הנאשם 3 הרים את נשקו וירה ירייה אחת לעבר אחד הרכבים, בעוד הנאשם 1 עומד בגבו אליו. מיד לאחר מכן כלי הרכב נסעו במהירות מהמקום. הנאשם 2, שעמד באותה העת באמצע הכביש, מאחורי הרכבים, ירה שלוש יריות. ולאחר מכן הנאשמים והאחרים שבו אל הבית. לאחר הירי שתואר, אחרים שזהותם אינה ידועה למאשימה הגיעו למקום האירוע, והנאשם 1 שוחח עמם והנחה אותם לחפש תרמילי ירי במקום. </w:t>
      </w:r>
    </w:p>
    <w:p w14:paraId="7ECDFDE9" w14:textId="77777777" w:rsidR="00CE0FC2" w:rsidRPr="000C040A" w:rsidRDefault="00CE0FC2" w:rsidP="00CE0FC2">
      <w:pPr>
        <w:spacing w:line="360" w:lineRule="auto"/>
        <w:ind w:left="720" w:hanging="720"/>
        <w:jc w:val="both"/>
        <w:rPr>
          <w:rtl/>
        </w:rPr>
      </w:pPr>
      <w:bookmarkStart w:id="7" w:name="ABSTRACT_END"/>
      <w:bookmarkEnd w:id="7"/>
    </w:p>
    <w:p w14:paraId="3F92CE3A" w14:textId="77777777" w:rsidR="00CE0FC2" w:rsidRPr="000C040A" w:rsidRDefault="00CE0FC2" w:rsidP="00CE0FC2">
      <w:pPr>
        <w:spacing w:line="360" w:lineRule="auto"/>
        <w:ind w:left="720" w:hanging="720"/>
        <w:jc w:val="both"/>
        <w:rPr>
          <w:rtl/>
        </w:rPr>
      </w:pPr>
      <w:r w:rsidRPr="000C040A">
        <w:rPr>
          <w:rFonts w:hint="cs"/>
          <w:rtl/>
        </w:rPr>
        <w:t>2.</w:t>
      </w:r>
      <w:r w:rsidRPr="000C040A">
        <w:rPr>
          <w:rFonts w:hint="cs"/>
          <w:rtl/>
        </w:rPr>
        <w:tab/>
        <w:t xml:space="preserve">על יסוד הודאת הנאשמים בעובדות, כאמור, הנאשם 1 הורשע בעבירה של שיבוש מהלכי משפט, לפי </w:t>
      </w:r>
      <w:hyperlink r:id="rId15" w:history="1">
        <w:r w:rsidR="00AB302C" w:rsidRPr="00AB302C">
          <w:rPr>
            <w:rStyle w:val="Hyperlink"/>
            <w:rFonts w:hint="eastAsia"/>
            <w:rtl/>
          </w:rPr>
          <w:t>סעיף</w:t>
        </w:r>
        <w:r w:rsidR="00AB302C" w:rsidRPr="00AB302C">
          <w:rPr>
            <w:rStyle w:val="Hyperlink"/>
            <w:rtl/>
          </w:rPr>
          <w:t xml:space="preserve"> 244</w:t>
        </w:r>
      </w:hyperlink>
      <w:r w:rsidRPr="000C040A">
        <w:rPr>
          <w:rFonts w:hint="cs"/>
          <w:rtl/>
        </w:rPr>
        <w:t xml:space="preserve"> ב</w:t>
      </w:r>
      <w:hyperlink r:id="rId16" w:history="1">
        <w:r w:rsidR="00F55A64" w:rsidRPr="00F55A64">
          <w:rPr>
            <w:color w:val="0000FF"/>
            <w:u w:val="single"/>
            <w:rtl/>
          </w:rPr>
          <w:t>חוק העונשין</w:t>
        </w:r>
      </w:hyperlink>
      <w:r w:rsidRPr="000C040A">
        <w:rPr>
          <w:rFonts w:hint="cs"/>
          <w:rtl/>
        </w:rPr>
        <w:t xml:space="preserve"> התשל"ז-1977 (להלן: "חוק העונשין). והנאשמים 2 ו-3 הורשעו בעבירה של נשיאת נשק, לפי </w:t>
      </w:r>
      <w:hyperlink r:id="rId17" w:history="1">
        <w:r w:rsidR="00AB302C" w:rsidRPr="00AB302C">
          <w:rPr>
            <w:rStyle w:val="Hyperlink"/>
            <w:rFonts w:hint="eastAsia"/>
            <w:rtl/>
          </w:rPr>
          <w:t>סעיף</w:t>
        </w:r>
        <w:r w:rsidR="00AB302C" w:rsidRPr="00AB302C">
          <w:rPr>
            <w:rStyle w:val="Hyperlink"/>
            <w:rtl/>
          </w:rPr>
          <w:t xml:space="preserve"> 144(ב)</w:t>
        </w:r>
      </w:hyperlink>
      <w:r w:rsidRPr="000C040A">
        <w:rPr>
          <w:rFonts w:hint="cs"/>
          <w:rtl/>
        </w:rPr>
        <w:t xml:space="preserve"> ל</w:t>
      </w:r>
      <w:hyperlink r:id="rId18" w:history="1">
        <w:r w:rsidR="00F55A64" w:rsidRPr="00F55A64">
          <w:rPr>
            <w:color w:val="0000FF"/>
            <w:u w:val="single"/>
            <w:rtl/>
          </w:rPr>
          <w:t>חוק העונשין</w:t>
        </w:r>
      </w:hyperlink>
      <w:r w:rsidRPr="000C040A">
        <w:rPr>
          <w:rFonts w:hint="cs"/>
          <w:rtl/>
        </w:rPr>
        <w:t xml:space="preserve">, ובעבירה של ירי מנשק חם, לפי </w:t>
      </w:r>
      <w:hyperlink r:id="rId19" w:history="1">
        <w:r w:rsidR="00AB302C" w:rsidRPr="00AB302C">
          <w:rPr>
            <w:rStyle w:val="Hyperlink"/>
            <w:rFonts w:hint="eastAsia"/>
            <w:rtl/>
          </w:rPr>
          <w:t>סעיף</w:t>
        </w:r>
        <w:r w:rsidR="00AB302C" w:rsidRPr="00AB302C">
          <w:rPr>
            <w:rStyle w:val="Hyperlink"/>
            <w:rtl/>
          </w:rPr>
          <w:t xml:space="preserve"> 340א(ב)</w:t>
        </w:r>
      </w:hyperlink>
      <w:r w:rsidRPr="000C040A">
        <w:rPr>
          <w:rFonts w:hint="cs"/>
          <w:rtl/>
        </w:rPr>
        <w:t xml:space="preserve"> בחוק העונשין. </w:t>
      </w:r>
    </w:p>
    <w:p w14:paraId="7DFE6733" w14:textId="77777777" w:rsidR="00CE0FC2" w:rsidRPr="000C040A" w:rsidRDefault="00CE0FC2" w:rsidP="00CE0FC2">
      <w:pPr>
        <w:spacing w:line="360" w:lineRule="auto"/>
        <w:ind w:left="720" w:hanging="720"/>
        <w:jc w:val="both"/>
        <w:rPr>
          <w:rtl/>
        </w:rPr>
      </w:pPr>
    </w:p>
    <w:p w14:paraId="23CA1174" w14:textId="77777777" w:rsidR="00CE0FC2" w:rsidRPr="000C040A" w:rsidRDefault="00CE0FC2" w:rsidP="00CE0FC2">
      <w:pPr>
        <w:spacing w:line="360" w:lineRule="auto"/>
        <w:ind w:left="720" w:hanging="720"/>
        <w:jc w:val="both"/>
        <w:rPr>
          <w:rtl/>
        </w:rPr>
      </w:pPr>
      <w:r w:rsidRPr="000C040A">
        <w:rPr>
          <w:rFonts w:hint="cs"/>
          <w:rtl/>
        </w:rPr>
        <w:t>3.</w:t>
      </w:r>
      <w:r w:rsidRPr="000C040A">
        <w:rPr>
          <w:rFonts w:hint="cs"/>
          <w:rtl/>
        </w:rPr>
        <w:tab/>
        <w:t xml:space="preserve">הנאשם 3 ביקש לצרף לתיק כאן את </w:t>
      </w:r>
      <w:hyperlink r:id="rId20" w:history="1">
        <w:r w:rsidR="00F55A64" w:rsidRPr="00F55A64">
          <w:rPr>
            <w:color w:val="0000FF"/>
            <w:u w:val="single"/>
            <w:rtl/>
          </w:rPr>
          <w:t>ת.פ. 38551-02-20</w:t>
        </w:r>
      </w:hyperlink>
      <w:r w:rsidRPr="000C040A">
        <w:rPr>
          <w:rFonts w:hint="cs"/>
          <w:rtl/>
        </w:rPr>
        <w:t xml:space="preserve">, והדבר ניתן לו. על פי כתב האישום המתוקן בתיק שצורף, ביום 10.09.19 החזיק הנאשם ברכב סם מסוכן מסוג קנבוס במשקל כולל של 150 גרם נטו. </w:t>
      </w:r>
    </w:p>
    <w:p w14:paraId="1A0C67C9" w14:textId="77777777" w:rsidR="00CE0FC2" w:rsidRPr="000C040A" w:rsidRDefault="00CE0FC2" w:rsidP="00CE0FC2">
      <w:pPr>
        <w:spacing w:line="360" w:lineRule="auto"/>
        <w:ind w:left="720" w:hanging="720"/>
        <w:jc w:val="both"/>
        <w:rPr>
          <w:rtl/>
        </w:rPr>
      </w:pPr>
      <w:r w:rsidRPr="000C040A">
        <w:rPr>
          <w:rFonts w:hint="cs"/>
          <w:rtl/>
        </w:rPr>
        <w:tab/>
        <w:t xml:space="preserve">ועל יסוד הודאתו כאמור, הוא הורשע גם בעבירה של החזקת סמים שלא לצריכה עצמית, לפי </w:t>
      </w:r>
      <w:hyperlink r:id="rId21" w:history="1">
        <w:r w:rsidR="00AB302C" w:rsidRPr="00AB302C">
          <w:rPr>
            <w:rStyle w:val="Hyperlink"/>
            <w:rFonts w:hint="eastAsia"/>
            <w:rtl/>
          </w:rPr>
          <w:t>סעיף</w:t>
        </w:r>
        <w:r w:rsidR="00AB302C" w:rsidRPr="00AB302C">
          <w:rPr>
            <w:rStyle w:val="Hyperlink"/>
            <w:rtl/>
          </w:rPr>
          <w:t xml:space="preserve"> 7(א)</w:t>
        </w:r>
      </w:hyperlink>
      <w:r w:rsidRPr="000C040A">
        <w:rPr>
          <w:rFonts w:hint="cs"/>
          <w:rtl/>
        </w:rPr>
        <w:t xml:space="preserve"> ו-</w:t>
      </w:r>
      <w:hyperlink r:id="rId22" w:history="1">
        <w:r w:rsidR="00AB302C" w:rsidRPr="00AB302C">
          <w:rPr>
            <w:rStyle w:val="Hyperlink"/>
            <w:rtl/>
          </w:rPr>
          <w:t>(ג)</w:t>
        </w:r>
      </w:hyperlink>
      <w:r w:rsidRPr="000C040A">
        <w:rPr>
          <w:rFonts w:hint="cs"/>
          <w:rtl/>
        </w:rPr>
        <w:t xml:space="preserve"> רישא ב</w:t>
      </w:r>
      <w:hyperlink r:id="rId23" w:history="1">
        <w:r w:rsidR="00F55A64" w:rsidRPr="00F55A64">
          <w:rPr>
            <w:color w:val="0000FF"/>
            <w:u w:val="single"/>
            <w:rtl/>
          </w:rPr>
          <w:t>פקודת הסמים המסוכנים</w:t>
        </w:r>
      </w:hyperlink>
      <w:r w:rsidRPr="000C040A">
        <w:rPr>
          <w:rFonts w:hint="cs"/>
          <w:rtl/>
        </w:rPr>
        <w:t xml:space="preserve"> [נוסח חדש, תשל"ג-1973].</w:t>
      </w:r>
    </w:p>
    <w:p w14:paraId="68F638EC" w14:textId="77777777" w:rsidR="00CE0FC2" w:rsidRPr="000C040A" w:rsidRDefault="00CE0FC2" w:rsidP="00CE0FC2">
      <w:pPr>
        <w:spacing w:line="360" w:lineRule="auto"/>
        <w:ind w:left="720" w:hanging="720"/>
        <w:jc w:val="both"/>
        <w:rPr>
          <w:rtl/>
        </w:rPr>
      </w:pPr>
    </w:p>
    <w:p w14:paraId="48F2AAB2" w14:textId="77777777" w:rsidR="00CE0FC2" w:rsidRPr="000C040A" w:rsidRDefault="00CE0FC2" w:rsidP="00CE0FC2">
      <w:pPr>
        <w:spacing w:line="360" w:lineRule="auto"/>
        <w:ind w:left="720" w:hanging="720"/>
        <w:jc w:val="both"/>
        <w:rPr>
          <w:rtl/>
        </w:rPr>
      </w:pPr>
      <w:r w:rsidRPr="000C040A">
        <w:rPr>
          <w:rFonts w:hint="cs"/>
          <w:rtl/>
        </w:rPr>
        <w:t>4.</w:t>
      </w:r>
      <w:r w:rsidRPr="000C040A">
        <w:rPr>
          <w:rFonts w:hint="cs"/>
          <w:rtl/>
        </w:rPr>
        <w:tab/>
        <w:t xml:space="preserve">במסגרת הסדר הטיעון, המליצו הצדדים לבית המשפט להטיל על הנאשמים את העונשים הבאים- </w:t>
      </w:r>
    </w:p>
    <w:p w14:paraId="208B5D43" w14:textId="77777777" w:rsidR="00CE0FC2" w:rsidRPr="000C040A" w:rsidRDefault="00CE0FC2" w:rsidP="00CE0FC2">
      <w:pPr>
        <w:spacing w:line="360" w:lineRule="auto"/>
        <w:ind w:left="720" w:hanging="720"/>
        <w:jc w:val="both"/>
        <w:rPr>
          <w:rtl/>
        </w:rPr>
      </w:pPr>
      <w:r w:rsidRPr="000C040A">
        <w:rPr>
          <w:rFonts w:hint="cs"/>
          <w:rtl/>
        </w:rPr>
        <w:tab/>
      </w:r>
    </w:p>
    <w:p w14:paraId="1D858AB7" w14:textId="77777777" w:rsidR="00CE0FC2" w:rsidRPr="000C040A" w:rsidRDefault="00CE0FC2" w:rsidP="00CE0FC2">
      <w:pPr>
        <w:spacing w:line="360" w:lineRule="auto"/>
        <w:ind w:left="720"/>
        <w:jc w:val="both"/>
        <w:rPr>
          <w:rtl/>
        </w:rPr>
      </w:pPr>
      <w:r w:rsidRPr="000C040A">
        <w:rPr>
          <w:rFonts w:hint="cs"/>
          <w:rtl/>
        </w:rPr>
        <w:t>על הנאשם 1- מאסר באורך תקופת מעצרו בתיק זה, מאסר על תנאי וקנס כספי.</w:t>
      </w:r>
    </w:p>
    <w:p w14:paraId="27274AE0" w14:textId="77777777" w:rsidR="00CE0FC2" w:rsidRPr="000C040A" w:rsidRDefault="00CE0FC2" w:rsidP="00CE0FC2">
      <w:pPr>
        <w:spacing w:line="360" w:lineRule="auto"/>
        <w:ind w:left="720"/>
        <w:jc w:val="both"/>
      </w:pPr>
    </w:p>
    <w:p w14:paraId="2970364A" w14:textId="77777777" w:rsidR="00CE0FC2" w:rsidRPr="000C040A" w:rsidRDefault="00CE0FC2" w:rsidP="00CE0FC2">
      <w:pPr>
        <w:spacing w:line="360" w:lineRule="auto"/>
        <w:ind w:left="720"/>
        <w:jc w:val="both"/>
        <w:rPr>
          <w:rtl/>
        </w:rPr>
      </w:pPr>
      <w:r w:rsidRPr="000C040A">
        <w:rPr>
          <w:rFonts w:hint="cs"/>
          <w:rtl/>
        </w:rPr>
        <w:t xml:space="preserve">על הנאשם 2- 25 חודשי מאסר בפועל בניכוי ימי מעצרו. בנוסף יופעל מאסר על תנאי של 12 חודשים התלוי ועומד נגדו באופן ש-  5 חודשים ממנו ירוצו במצטבר והשאר בחופף. כך שבסה"כ יוטלו על הנאשם 30 חודשי מאסר בפועל בניכוי ימי מעצרו. וכן יוטלו מאסר על תנאי וקנס כספי. </w:t>
      </w:r>
    </w:p>
    <w:p w14:paraId="50DF703A" w14:textId="77777777" w:rsidR="00CE0FC2" w:rsidRPr="000C040A" w:rsidRDefault="00CE0FC2" w:rsidP="00CE0FC2">
      <w:pPr>
        <w:spacing w:line="360" w:lineRule="auto"/>
        <w:ind w:left="720"/>
        <w:jc w:val="both"/>
        <w:rPr>
          <w:rtl/>
        </w:rPr>
      </w:pPr>
    </w:p>
    <w:p w14:paraId="26E13584" w14:textId="77777777" w:rsidR="00CE0FC2" w:rsidRPr="000C040A" w:rsidRDefault="00CE0FC2" w:rsidP="00CE0FC2">
      <w:pPr>
        <w:spacing w:line="360" w:lineRule="auto"/>
        <w:ind w:left="720"/>
        <w:jc w:val="both"/>
        <w:rPr>
          <w:rtl/>
        </w:rPr>
      </w:pPr>
      <w:r w:rsidRPr="000C040A">
        <w:rPr>
          <w:rFonts w:hint="cs"/>
          <w:rtl/>
        </w:rPr>
        <w:t xml:space="preserve">על הנאשם 3- 27 חודשי מאסר בפועל בניכוי ימי מעצרו מיום 24.10.2021 ועד 25.01.2022, בגין תיק זה. ו-  6 חודשי מאסר בפועל בגין </w:t>
      </w:r>
      <w:hyperlink r:id="rId24" w:history="1">
        <w:r w:rsidR="00F55A64" w:rsidRPr="00F55A64">
          <w:rPr>
            <w:color w:val="0000FF"/>
            <w:u w:val="single"/>
            <w:rtl/>
          </w:rPr>
          <w:t>ת.פ. 38551-02-20</w:t>
        </w:r>
      </w:hyperlink>
      <w:r w:rsidRPr="000C040A">
        <w:rPr>
          <w:rFonts w:hint="cs"/>
          <w:rtl/>
        </w:rPr>
        <w:t xml:space="preserve">, באופן שחודשיים מהם יצטברו לתקופת המאסר בתיק כאן והשאר יהיו בחופף. ובסה"כ יוטלו על הנאשם 29 חודשי מאסר בפועל, בניכוי ימי המעצר כמפורט. עוד הוסכם שתקופת המאסר שתוטל כאמור תרוצה בנוסף לתקופת המאסר אותה הוא נושא כעת בתיק אחר. וכן יוטלו מאסר על תנאי, </w:t>
      </w:r>
      <w:r w:rsidRPr="000C040A">
        <w:rPr>
          <w:rFonts w:hint="cs"/>
          <w:rtl/>
        </w:rPr>
        <w:lastRenderedPageBreak/>
        <w:t xml:space="preserve">פסילת רישיון נהיגה על תנאי, קנס בסך 20,000 ₪, וחילוט ע"ס 1,020 ₪ שנתפסו ברשות הנאשם. </w:t>
      </w:r>
    </w:p>
    <w:p w14:paraId="28CED7A1" w14:textId="77777777" w:rsidR="00CE0FC2" w:rsidRPr="000C040A" w:rsidRDefault="00CE0FC2" w:rsidP="00CE0FC2">
      <w:pPr>
        <w:spacing w:line="360" w:lineRule="auto"/>
        <w:ind w:left="720"/>
        <w:jc w:val="both"/>
        <w:rPr>
          <w:rtl/>
        </w:rPr>
      </w:pPr>
    </w:p>
    <w:p w14:paraId="22330AB1" w14:textId="77777777" w:rsidR="00CE0FC2" w:rsidRPr="000C040A" w:rsidRDefault="00CE0FC2" w:rsidP="00CE0FC2">
      <w:pPr>
        <w:spacing w:line="360" w:lineRule="auto"/>
        <w:jc w:val="both"/>
        <w:rPr>
          <w:rtl/>
        </w:rPr>
      </w:pPr>
      <w:r w:rsidRPr="000C040A">
        <w:rPr>
          <w:rFonts w:hint="cs"/>
          <w:rtl/>
        </w:rPr>
        <w:t>5.</w:t>
      </w:r>
      <w:r w:rsidRPr="000C040A">
        <w:rPr>
          <w:rFonts w:hint="cs"/>
          <w:rtl/>
        </w:rPr>
        <w:tab/>
        <w:t xml:space="preserve">בשל גילו של הנאשם 3, יש לקבל עליו תסקיר של שירות המבחן. </w:t>
      </w:r>
    </w:p>
    <w:p w14:paraId="1B2DDB8E" w14:textId="77777777" w:rsidR="00CE0FC2" w:rsidRPr="000C040A" w:rsidRDefault="00CE0FC2" w:rsidP="00CE0FC2">
      <w:pPr>
        <w:spacing w:line="360" w:lineRule="auto"/>
        <w:ind w:left="720" w:hanging="720"/>
        <w:jc w:val="both"/>
        <w:rPr>
          <w:rtl/>
        </w:rPr>
      </w:pPr>
      <w:r w:rsidRPr="000C040A">
        <w:rPr>
          <w:rFonts w:hint="cs"/>
          <w:rtl/>
        </w:rPr>
        <w:tab/>
        <w:t xml:space="preserve">בתסקיר שירות המבחן צוין שהנאשם בן 22, רווק. בעל עבר פלילי בעבירת סמים. לא גויס לצבא בשל ניתוח שעבר. בשנתיים האחרונות לא עבד באופן רציף בשל מעורבות בפלילים. משפחתו נורמטיבית. במסגרת ההליך הקודם הוצע לו להשתלב בטיפול והוא הסכים לכך, אך לא שולב בשל רשימת המתנה ארוכה, ובהמשך נעצר בתיק זה. ביחס לעבירות הודה באופן חלקי. התקשה לתאר את האירוע. הודה שהחזיק נשק חם אך סירב להסביר מהיכן השיג אותו. שלל דפוסים אלימים. וציין כי הסתגל למעצר. שירות המבחן סקר את גורמי הסיכוי והסיכון של הנאשם, התרשם כי רמת המסוכנות שלו גבוהה והמליץ על ענישה מוחשית. </w:t>
      </w:r>
    </w:p>
    <w:p w14:paraId="494C935A" w14:textId="77777777" w:rsidR="00CE0FC2" w:rsidRPr="000C040A" w:rsidRDefault="00CE0FC2" w:rsidP="00CE0FC2">
      <w:pPr>
        <w:spacing w:line="360" w:lineRule="auto"/>
        <w:ind w:left="720" w:hanging="720"/>
        <w:jc w:val="both"/>
        <w:rPr>
          <w:rtl/>
        </w:rPr>
      </w:pPr>
    </w:p>
    <w:p w14:paraId="19BDC973" w14:textId="77777777" w:rsidR="00CE0FC2" w:rsidRPr="000C040A" w:rsidRDefault="00CE0FC2" w:rsidP="00CE0FC2">
      <w:pPr>
        <w:spacing w:line="360" w:lineRule="auto"/>
        <w:ind w:left="720" w:hanging="720"/>
        <w:jc w:val="both"/>
        <w:rPr>
          <w:rtl/>
        </w:rPr>
      </w:pPr>
      <w:r w:rsidRPr="000C040A">
        <w:rPr>
          <w:rFonts w:hint="cs"/>
          <w:rtl/>
        </w:rPr>
        <w:t>6.</w:t>
      </w:r>
      <w:r w:rsidRPr="000C040A">
        <w:rPr>
          <w:rFonts w:hint="cs"/>
          <w:rtl/>
        </w:rPr>
        <w:tab/>
        <w:t xml:space="preserve">התביעה טענה, כי הרקע להסדר הטיעון הוא קושי ראייתי שהביא לכך שהעונש המוצע מקל עם הנאשמים באופן משמעותי. הסבירה כי ישנם סרטונים המתעדים את האירוע, בהם ניתן לראות שהנאשמים 2 ו-3 אוחזים באקדח; וניתן לראות רשף שיוצא מכל אחד מהאקדחים; וכיוון הירי הכללי הוא לעבר הרכב, תחילה שהרכב עומד ולאחר מכן שהרכב נוסע. עם זאת, הרכב בו הוסע מי שנפגע מירי נבדק על ידי המשטרה והוחזר לבעליו, ובדו"ח המז"פ יש ממצא של הימצאות שרידי ירי בתוך הרכב, בדלת הנוסע, אך אין ממצא של פגיעת כדורים מבחוץ. והנפגע עצמו לא שיתף פעולה. ולכן אין נתונים מדויקים. עמדה על חלקם של הנאשמים באירוע. על כך שחלקו של הנאשם 1 קטן משמעותית מחלקם של האחרים ומנגד עברו הפלילי משמעותי יותר. ציינה שמדובר באירוע ספונטני. והנאשמים הודו במיוחס להם. ביחס לקנס עתרה להטיל על הנאשמים 1 ו-2 קנס בסך 20,000 ₪ כפי שהוסכם בעניינו של הנאשם 3. וביקשה שיוטל עליהם עונש מאסר על תנאי ארוך ומשמעותי. </w:t>
      </w:r>
    </w:p>
    <w:p w14:paraId="20E60DE1" w14:textId="77777777" w:rsidR="00CE0FC2" w:rsidRPr="000C040A" w:rsidRDefault="00CE0FC2" w:rsidP="00CE0FC2">
      <w:pPr>
        <w:spacing w:line="360" w:lineRule="auto"/>
        <w:ind w:left="720"/>
        <w:jc w:val="both"/>
        <w:rPr>
          <w:rtl/>
        </w:rPr>
      </w:pPr>
    </w:p>
    <w:p w14:paraId="34AF470F" w14:textId="77777777" w:rsidR="00CE0FC2" w:rsidRPr="000C040A" w:rsidRDefault="00CE0FC2" w:rsidP="00CE0FC2">
      <w:pPr>
        <w:spacing w:line="360" w:lineRule="auto"/>
        <w:ind w:left="720" w:hanging="720"/>
        <w:jc w:val="both"/>
        <w:rPr>
          <w:rtl/>
        </w:rPr>
      </w:pPr>
      <w:r w:rsidRPr="000C040A">
        <w:rPr>
          <w:rFonts w:hint="cs"/>
          <w:rtl/>
        </w:rPr>
        <w:t>7.</w:t>
      </w:r>
      <w:r w:rsidRPr="000C040A">
        <w:rPr>
          <w:rFonts w:hint="cs"/>
          <w:rtl/>
        </w:rPr>
        <w:tab/>
        <w:t xml:space="preserve">ב"כ הנאשמים 1 ו-2 הצטרפה לדברי ב"כ התביעה. ציינה כי תחילת האירוע היא שהנאשמים ישבו בביתם, בשעת לילה, שלפתע אחרים הגיעו למקום ברכבים, יצאו מהם שעל ראשם קפוצ'ונים והתקדמו לכיוון הבית. באותה העת היו בבית גם אחרים, וביניהם נשים וילדים. ואז הנאשמים יצאו מהבית, שהנאשמים 2 ו-3 אוחזים באקדחים. חזרה על כך שלא נמצאו חורי כניסת ירי מחוץ לרכב, אלא שלפי דו"ח המז"פ נמצאה כניסת ירי מהחלק הפנימי של הרכב, ובשל העובדה שהרכב שוחרר לא היה ניתן לבחון את טענות המאשימה וההגנה בעניין זה. וטענה כי אמנם אין חולק שהנאשמים 2 ו-3 ירו באקדחים, אך לא ניתן לקבוע מה גרם לפציעת הנפגע. ביחס לנאשם 1 טענה כי חלקו באירוע שולי. ולא מיוחסת לו אחזקת נשק או ירי, אלא שיבוש לאחר מעשה. הוסיפה שהוא בעל מסעדת פועלים, שעובד קשה למחייתו. הרשעתו האחרונה היא משנת 2014 בגין עבירה שבוצעה בשנת 2013, ובמשך 8 השנים שחלפו הוא לא היה מעורב בפלילים. ביחס לנאשם 2 טענה שמדובר בבחור צעיר, נשוי ואב לתינוק. מסייע לאביו במסעדה. ובשנים האחרונות הוא משתדל לקיים אורח חיים נורמטיבי. ועתרה לאמץ את הסדר הטיעון בעניינם של הנאשמים ולהטיל עליהם קנס מידתי. </w:t>
      </w:r>
    </w:p>
    <w:p w14:paraId="4345C784" w14:textId="77777777" w:rsidR="00CE0FC2" w:rsidRPr="000C040A" w:rsidRDefault="00CE0FC2" w:rsidP="00CE0FC2">
      <w:pPr>
        <w:spacing w:line="360" w:lineRule="auto"/>
        <w:ind w:left="720" w:hanging="720"/>
        <w:jc w:val="both"/>
        <w:rPr>
          <w:rtl/>
        </w:rPr>
      </w:pPr>
      <w:r w:rsidRPr="000C040A">
        <w:rPr>
          <w:rFonts w:hint="cs"/>
          <w:rtl/>
        </w:rPr>
        <w:tab/>
      </w:r>
    </w:p>
    <w:p w14:paraId="6703EE37" w14:textId="77777777" w:rsidR="00CE0FC2" w:rsidRPr="000C040A" w:rsidRDefault="00CE0FC2" w:rsidP="00CE0FC2">
      <w:pPr>
        <w:spacing w:line="360" w:lineRule="auto"/>
        <w:ind w:left="720" w:hanging="720"/>
        <w:jc w:val="both"/>
        <w:rPr>
          <w:rtl/>
        </w:rPr>
      </w:pPr>
      <w:r w:rsidRPr="000C040A">
        <w:rPr>
          <w:rFonts w:hint="cs"/>
          <w:rtl/>
        </w:rPr>
        <w:t>8.</w:t>
      </w:r>
      <w:r w:rsidRPr="000C040A">
        <w:rPr>
          <w:rFonts w:hint="cs"/>
          <w:rtl/>
        </w:rPr>
        <w:tab/>
        <w:t xml:space="preserve">ב"כ הנאשם 3 הצטרף לדברי ב"כ הנאשמים 1 ו-2. טען כי חזקה על המאשימה ששקללה את כלל השיקולים. ציין שבסופו של יום העונש המוטל על הנאשם הוא 3 שנות מאסר. טען כי האחרים הגיעו במטרה לפגוע בנאשמים. הוסיף שהנאשם צעיר. בוגר 12 שנות לימוד. וזהו מאסרו הראשון כאשר את המאסר הקודם שהוטל עליו ריצה בעבודות שירות. </w:t>
      </w:r>
    </w:p>
    <w:p w14:paraId="1CD696F7" w14:textId="77777777" w:rsidR="00CE0FC2" w:rsidRPr="000C040A" w:rsidRDefault="00CE0FC2" w:rsidP="00CE0FC2">
      <w:pPr>
        <w:spacing w:line="360" w:lineRule="auto"/>
        <w:ind w:left="720" w:hanging="720"/>
        <w:jc w:val="both"/>
        <w:rPr>
          <w:rtl/>
        </w:rPr>
      </w:pPr>
    </w:p>
    <w:p w14:paraId="6F6A332E" w14:textId="77777777" w:rsidR="00CE0FC2" w:rsidRPr="000C040A" w:rsidRDefault="00CE0FC2" w:rsidP="00CE0FC2">
      <w:pPr>
        <w:spacing w:line="360" w:lineRule="auto"/>
        <w:ind w:left="720" w:hanging="720"/>
        <w:jc w:val="both"/>
        <w:rPr>
          <w:b/>
          <w:bCs/>
          <w:u w:val="single"/>
          <w:rtl/>
        </w:rPr>
      </w:pPr>
      <w:r w:rsidRPr="000C040A">
        <w:rPr>
          <w:rFonts w:hint="cs"/>
          <w:b/>
          <w:bCs/>
          <w:u w:val="single"/>
          <w:rtl/>
        </w:rPr>
        <w:t>דיון והכרעה</w:t>
      </w:r>
    </w:p>
    <w:p w14:paraId="583A676B" w14:textId="77777777" w:rsidR="00CE0FC2" w:rsidRPr="000C040A" w:rsidRDefault="00CE0FC2" w:rsidP="00CE0FC2">
      <w:pPr>
        <w:spacing w:line="360" w:lineRule="auto"/>
        <w:ind w:left="720" w:hanging="720"/>
        <w:jc w:val="both"/>
        <w:rPr>
          <w:rtl/>
        </w:rPr>
      </w:pPr>
    </w:p>
    <w:p w14:paraId="539E4983" w14:textId="77777777" w:rsidR="00CE0FC2" w:rsidRPr="000C040A" w:rsidRDefault="00CE0FC2" w:rsidP="00CE0FC2">
      <w:pPr>
        <w:spacing w:line="360" w:lineRule="auto"/>
        <w:ind w:left="720" w:hanging="720"/>
        <w:jc w:val="both"/>
        <w:rPr>
          <w:rtl/>
        </w:rPr>
      </w:pPr>
      <w:r w:rsidRPr="000C040A">
        <w:rPr>
          <w:rFonts w:hint="cs"/>
          <w:rtl/>
        </w:rPr>
        <w:t>9.</w:t>
      </w:r>
      <w:r w:rsidRPr="000C040A">
        <w:rPr>
          <w:rFonts w:hint="cs"/>
          <w:rtl/>
        </w:rPr>
        <w:tab/>
        <w:t xml:space="preserve">כתב האישום מתאר סצנה עבריינית בוטה, שנראה כאילו נלקחה מתוך סרט מאפיה. </w:t>
      </w:r>
    </w:p>
    <w:p w14:paraId="7A771807" w14:textId="77777777" w:rsidR="00CE0FC2" w:rsidRPr="000C040A" w:rsidRDefault="00CE0FC2" w:rsidP="00CE0FC2">
      <w:pPr>
        <w:spacing w:line="360" w:lineRule="auto"/>
        <w:ind w:left="720" w:hanging="720"/>
        <w:jc w:val="both"/>
        <w:rPr>
          <w:rtl/>
        </w:rPr>
      </w:pPr>
    </w:p>
    <w:p w14:paraId="45E1C4E5" w14:textId="77777777" w:rsidR="00CE0FC2" w:rsidRPr="000C040A" w:rsidRDefault="00CE0FC2" w:rsidP="00CE0FC2">
      <w:pPr>
        <w:spacing w:line="360" w:lineRule="auto"/>
        <w:ind w:left="720" w:hanging="720"/>
        <w:jc w:val="both"/>
        <w:rPr>
          <w:rtl/>
        </w:rPr>
      </w:pPr>
      <w:r w:rsidRPr="000C040A">
        <w:rPr>
          <w:rFonts w:hint="cs"/>
          <w:rtl/>
        </w:rPr>
        <w:tab/>
        <w:t xml:space="preserve">הנאשמים יושבים עם אחרים בבית. שני כלי רכב מגיעים לאזור ואנשים יוצאים מהם. ואז, הנאשמים יוצאים מהבית כששניים מהם אוחזים נשק בידיהם, מגיעים לכלי הרכב ולאנשים. הנאשם 1 פונה לשוחח עם אחד מיושבי הרכב, והנאשם 3 שעומד בסמוך, יורה לעבר אחד הרכבים. כלי הרכב עוזבים את המקום במהירות ותוך כדי מנוסתם הנאשם 2 עומד באמצע הכביש מאחוריהם ויורה שלוש יריות. ואחר כך הנאשמים והאחרים שהיו איתם חוזרים לבית. ובהמשך, הנאשם 1 מנחה אחרים שהגיעו למקום לחפש תרמילי ירי בזירה. </w:t>
      </w:r>
    </w:p>
    <w:p w14:paraId="014B64E1" w14:textId="77777777" w:rsidR="00CE0FC2" w:rsidRPr="000C040A" w:rsidRDefault="00CE0FC2" w:rsidP="00CE0FC2">
      <w:pPr>
        <w:spacing w:line="360" w:lineRule="auto"/>
        <w:ind w:left="720" w:hanging="720"/>
        <w:jc w:val="both"/>
        <w:rPr>
          <w:rtl/>
        </w:rPr>
      </w:pPr>
    </w:p>
    <w:p w14:paraId="4469BD7E" w14:textId="77777777" w:rsidR="00CE0FC2" w:rsidRPr="000C040A" w:rsidRDefault="00CE0FC2" w:rsidP="00CE0FC2">
      <w:pPr>
        <w:spacing w:line="360" w:lineRule="auto"/>
        <w:ind w:left="720" w:hanging="720"/>
        <w:jc w:val="both"/>
        <w:rPr>
          <w:rtl/>
        </w:rPr>
      </w:pPr>
      <w:r w:rsidRPr="000C040A">
        <w:rPr>
          <w:rFonts w:hint="cs"/>
          <w:rtl/>
        </w:rPr>
        <w:t>10.</w:t>
      </w:r>
      <w:r w:rsidRPr="000C040A">
        <w:rPr>
          <w:rFonts w:hint="cs"/>
          <w:rtl/>
        </w:rPr>
        <w:tab/>
        <w:t>אין צורך בדמיון מיוחד כדי להבין שמדובר באינטראקציה עבריינית מובהקת, בין קבוצות עבריינים יריבות.</w:t>
      </w:r>
    </w:p>
    <w:p w14:paraId="279755A1" w14:textId="77777777" w:rsidR="00CE0FC2" w:rsidRPr="000C040A" w:rsidRDefault="00CE0FC2" w:rsidP="00CE0FC2">
      <w:pPr>
        <w:spacing w:line="360" w:lineRule="auto"/>
        <w:ind w:left="720" w:hanging="720"/>
        <w:jc w:val="both"/>
        <w:rPr>
          <w:rtl/>
        </w:rPr>
      </w:pPr>
    </w:p>
    <w:p w14:paraId="73BCD209" w14:textId="77777777" w:rsidR="00CE0FC2" w:rsidRPr="000C040A" w:rsidRDefault="00CE0FC2" w:rsidP="00CE0FC2">
      <w:pPr>
        <w:spacing w:line="360" w:lineRule="auto"/>
        <w:ind w:left="720" w:hanging="720"/>
        <w:jc w:val="both"/>
        <w:rPr>
          <w:rtl/>
        </w:rPr>
      </w:pPr>
      <w:r w:rsidRPr="000C040A">
        <w:rPr>
          <w:rFonts w:hint="cs"/>
          <w:rtl/>
        </w:rPr>
        <w:t>11.</w:t>
      </w:r>
      <w:r w:rsidRPr="000C040A">
        <w:rPr>
          <w:rFonts w:hint="cs"/>
          <w:rtl/>
        </w:rPr>
        <w:tab/>
        <w:t>הסכנה הגלומה בעצם הימצאותו של נשק חם בידי גורמים עבריינים, רבה וחמורה. תופעה זו משפיעה על רמת האלימות העבריינית ומסכנת את שלום הציבור במובן הבסיסי והישיר ביותר של הביטוי, בצורה המורגשת היטב בחיי היומיום של האזרחים.</w:t>
      </w:r>
    </w:p>
    <w:p w14:paraId="2DD2873A" w14:textId="77777777" w:rsidR="00CE0FC2" w:rsidRPr="000C040A" w:rsidRDefault="00CE0FC2" w:rsidP="00CE0FC2">
      <w:pPr>
        <w:spacing w:line="360" w:lineRule="auto"/>
        <w:ind w:left="720" w:hanging="720"/>
        <w:jc w:val="both"/>
        <w:rPr>
          <w:rtl/>
        </w:rPr>
      </w:pPr>
      <w:r w:rsidRPr="000C040A">
        <w:rPr>
          <w:rFonts w:hint="cs"/>
          <w:rtl/>
        </w:rPr>
        <w:t xml:space="preserve"> </w:t>
      </w:r>
    </w:p>
    <w:p w14:paraId="009A7B8A" w14:textId="77777777" w:rsidR="00CE0FC2" w:rsidRPr="000C040A" w:rsidRDefault="00CE0FC2" w:rsidP="00CE0FC2">
      <w:pPr>
        <w:spacing w:line="360" w:lineRule="auto"/>
        <w:ind w:left="720"/>
        <w:jc w:val="both"/>
        <w:rPr>
          <w:rtl/>
        </w:rPr>
      </w:pPr>
      <w:r w:rsidRPr="000C040A">
        <w:rPr>
          <w:rFonts w:hint="cs"/>
          <w:rtl/>
        </w:rPr>
        <w:t xml:space="preserve">ירי מנשק בטבורה של עיר, בלב שכונת מגורים, בשעת ערב, כמו במקרה זה, מעמיד בסכנה לא רק את מי שהירי כוון לעברו אלא גם אזרחים שאינם קשורים לאירוע – וכבר קרה לא אחת בסיטואציות דומות, כולל מהימים האחרונים, שעובר אורח תמים ואפילו מי שישב ספון בביתו, נפגעו ואף נהרגו מירי שכזה; וזורע פחד וחרדה בציבור, המוצא את עצמו חשוף לסכנה שאינו יכול להתגונן מפניה. </w:t>
      </w:r>
    </w:p>
    <w:p w14:paraId="41820AD7" w14:textId="77777777" w:rsidR="00CE0FC2" w:rsidRPr="000C040A" w:rsidRDefault="00CE0FC2" w:rsidP="00CE0FC2">
      <w:pPr>
        <w:spacing w:line="360" w:lineRule="auto"/>
        <w:ind w:left="720"/>
        <w:jc w:val="both"/>
        <w:rPr>
          <w:rtl/>
        </w:rPr>
      </w:pPr>
    </w:p>
    <w:p w14:paraId="34E6AC4E" w14:textId="77777777" w:rsidR="00CE0FC2" w:rsidRPr="000C040A" w:rsidRDefault="00CE0FC2" w:rsidP="00CE0FC2">
      <w:pPr>
        <w:spacing w:line="360" w:lineRule="auto"/>
        <w:ind w:left="720" w:hanging="720"/>
        <w:jc w:val="both"/>
        <w:rPr>
          <w:rtl/>
        </w:rPr>
      </w:pPr>
      <w:r w:rsidRPr="000C040A">
        <w:rPr>
          <w:rFonts w:hint="cs"/>
          <w:rtl/>
        </w:rPr>
        <w:t>12.</w:t>
      </w:r>
      <w:r w:rsidRPr="000C040A">
        <w:rPr>
          <w:rFonts w:hint="cs"/>
          <w:rtl/>
        </w:rPr>
        <w:tab/>
        <w:t xml:space="preserve">מעשי הנאשמים 2 ו- 3 פגעו אפוא במידה גבוהה בערכים החברתיים של שלום הציבור ובטחונו, שמירת החיים והגוף, ושמירת הסדר הציבורי. ומעשה הנאשם 1 פגע בעיקר בערך החברתי של קיום הליכי חקירה ומשפט ממצים. </w:t>
      </w:r>
    </w:p>
    <w:p w14:paraId="106CF53F" w14:textId="77777777" w:rsidR="00CE0FC2" w:rsidRPr="000C040A" w:rsidRDefault="00CE0FC2" w:rsidP="00CE0FC2">
      <w:pPr>
        <w:spacing w:line="360" w:lineRule="auto"/>
        <w:ind w:left="720"/>
        <w:jc w:val="both"/>
        <w:rPr>
          <w:rtl/>
        </w:rPr>
      </w:pPr>
    </w:p>
    <w:p w14:paraId="3F091B3F" w14:textId="77777777" w:rsidR="00CE0FC2" w:rsidRDefault="00CE0FC2" w:rsidP="00CE0FC2">
      <w:pPr>
        <w:spacing w:line="360" w:lineRule="auto"/>
        <w:ind w:left="720" w:hanging="720"/>
        <w:jc w:val="both"/>
        <w:rPr>
          <w:rtl/>
        </w:rPr>
      </w:pPr>
      <w:r w:rsidRPr="000C040A">
        <w:rPr>
          <w:rFonts w:hint="cs"/>
          <w:rtl/>
        </w:rPr>
        <w:t>13.</w:t>
      </w:r>
      <w:r w:rsidRPr="000C040A">
        <w:rPr>
          <w:rFonts w:hint="cs"/>
          <w:rtl/>
        </w:rPr>
        <w:tab/>
        <w:t xml:space="preserve">בשנים האחרונות, תופעת האלימות העבריינית, במיוחד תוך שימוש בכלי נשק, הגיעה לממדים מדאיגים, והיא נמצאת על סדר היום הציבורי כאחת מהבעיות החברתיות המרכזיות, שיש לטפל בה בקדימות עליונה. ועיני הציבור נשואות לגורמי האכיפה בציפיה לפעולה שתרסן את התופעה.  </w:t>
      </w:r>
    </w:p>
    <w:p w14:paraId="5B6723EA" w14:textId="77777777" w:rsidR="00CE0FC2" w:rsidRPr="000C040A" w:rsidRDefault="00CE0FC2" w:rsidP="00CE0FC2">
      <w:pPr>
        <w:spacing w:line="360" w:lineRule="auto"/>
        <w:ind w:left="720" w:hanging="720"/>
        <w:jc w:val="both"/>
        <w:rPr>
          <w:rtl/>
        </w:rPr>
      </w:pPr>
    </w:p>
    <w:p w14:paraId="1ED9B4A8" w14:textId="77777777" w:rsidR="00CE0FC2" w:rsidRPr="000C040A" w:rsidRDefault="00CE0FC2" w:rsidP="00CE0FC2">
      <w:pPr>
        <w:spacing w:line="360" w:lineRule="auto"/>
        <w:ind w:left="720" w:hanging="720"/>
        <w:jc w:val="both"/>
        <w:rPr>
          <w:rtl/>
        </w:rPr>
      </w:pPr>
      <w:r w:rsidRPr="000C040A">
        <w:rPr>
          <w:rFonts w:hint="cs"/>
          <w:rtl/>
        </w:rPr>
        <w:t>14.</w:t>
      </w:r>
      <w:r w:rsidRPr="000C040A">
        <w:rPr>
          <w:rFonts w:hint="cs"/>
          <w:rtl/>
        </w:rPr>
        <w:tab/>
        <w:t xml:space="preserve">העונש הקבוע לעבירת נשיאת נשק הוא 10 שנות מאסר. והעונש הקבוע לעבירת ירי מנשק חם באזור מגורים שיש בו כדי לסכן חיי אדם הוא 5 שנות מאסר. </w:t>
      </w:r>
    </w:p>
    <w:p w14:paraId="20F4530C" w14:textId="77777777" w:rsidR="00CE0FC2" w:rsidRPr="000C040A" w:rsidRDefault="00CE0FC2" w:rsidP="00CE0FC2">
      <w:pPr>
        <w:spacing w:line="360" w:lineRule="auto"/>
        <w:ind w:left="720" w:hanging="720"/>
        <w:jc w:val="both"/>
        <w:rPr>
          <w:rtl/>
        </w:rPr>
      </w:pPr>
    </w:p>
    <w:p w14:paraId="5822A7CF" w14:textId="77777777" w:rsidR="00CE0FC2" w:rsidRPr="000C040A" w:rsidRDefault="00CE0FC2" w:rsidP="00CE0FC2">
      <w:pPr>
        <w:spacing w:line="360" w:lineRule="auto"/>
        <w:ind w:left="720" w:hanging="720"/>
        <w:jc w:val="both"/>
        <w:rPr>
          <w:rtl/>
        </w:rPr>
      </w:pPr>
      <w:r w:rsidRPr="000C040A">
        <w:rPr>
          <w:rFonts w:hint="cs"/>
          <w:rtl/>
        </w:rPr>
        <w:t>15.</w:t>
      </w:r>
      <w:r w:rsidRPr="000C040A">
        <w:rPr>
          <w:rFonts w:hint="cs"/>
          <w:rtl/>
        </w:rPr>
        <w:tab/>
        <w:t>מדיניות הענישה הנוהגת בעבירות נשק הינה מימים ימימה של רצינות וחומרה, המתמקדת בשיקולי הגמול וההרתעה. בשנים האחרונות, נוכח ריבוי העבירות בתחום זה והשפעתן הרחבה והקשה, מגמה זו התחזקה ביתר שאת ומדיניות הענישה הינה של חומרה מובהקת.</w:t>
      </w:r>
    </w:p>
    <w:p w14:paraId="448C8FBC" w14:textId="77777777" w:rsidR="00CE0FC2" w:rsidRPr="000C040A" w:rsidRDefault="00CE0FC2" w:rsidP="00CE0FC2">
      <w:pPr>
        <w:spacing w:line="360" w:lineRule="auto"/>
        <w:ind w:left="1440"/>
        <w:jc w:val="both"/>
        <w:rPr>
          <w:rtl/>
        </w:rPr>
      </w:pPr>
      <w:r w:rsidRPr="000C040A">
        <w:rPr>
          <w:rFonts w:hint="cs"/>
          <w:rtl/>
        </w:rPr>
        <w:t xml:space="preserve">"...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w:t>
      </w:r>
      <w:r w:rsidRPr="000C040A">
        <w:rPr>
          <w:rFonts w:hint="cs"/>
          <w:b/>
          <w:rtl/>
        </w:rPr>
        <w:t>התמודדות משטרת ישראל עם החזקת אמצעי לחימה לא חוקיים ואירועי ירי ביישובי החברה הערבית וביישובים מעורבים</w:t>
      </w:r>
      <w:r w:rsidRPr="000C040A">
        <w:rPr>
          <w:rFonts w:hint="cs"/>
          <w:rtl/>
        </w:rPr>
        <w:t xml:space="preserve"> 28 (2018)). על רקע המציאות אותה אנו חווים למרבה הצער מדי יום, אנו עדים לקריאה ציבורית נרגשת להגברת האכיפה כלפי עבירות נשק – ולהחמרה במדיניות הענישה הנוהגת." (</w:t>
      </w:r>
      <w:hyperlink r:id="rId25" w:history="1">
        <w:r w:rsidR="00F55A64" w:rsidRPr="00F55A64">
          <w:rPr>
            <w:color w:val="0000FF"/>
            <w:u w:val="single"/>
            <w:rtl/>
          </w:rPr>
          <w:t>ע"פ 4406/19</w:t>
        </w:r>
      </w:hyperlink>
      <w:r w:rsidRPr="000C040A">
        <w:rPr>
          <w:rtl/>
        </w:rPr>
        <w:t xml:space="preserve"> </w:t>
      </w:r>
      <w:r w:rsidRPr="000C040A">
        <w:rPr>
          <w:rFonts w:hint="cs"/>
          <w:b/>
          <w:rtl/>
        </w:rPr>
        <w:t>מדינת ישראל נ' סובח</w:t>
      </w:r>
      <w:r w:rsidRPr="000C040A">
        <w:rPr>
          <w:rFonts w:hint="cs"/>
          <w:rtl/>
        </w:rPr>
        <w:t xml:space="preserve"> (05.11.2019))</w:t>
      </w:r>
    </w:p>
    <w:p w14:paraId="5F72E979" w14:textId="77777777" w:rsidR="00CE0FC2" w:rsidRPr="000C040A" w:rsidRDefault="00CE0FC2" w:rsidP="00CE0FC2">
      <w:pPr>
        <w:spacing w:line="360" w:lineRule="auto"/>
        <w:ind w:left="720" w:hanging="720"/>
        <w:jc w:val="both"/>
        <w:rPr>
          <w:rtl/>
        </w:rPr>
      </w:pPr>
    </w:p>
    <w:p w14:paraId="5673C06A" w14:textId="77777777" w:rsidR="00CE0FC2" w:rsidRPr="000C040A" w:rsidRDefault="00CE0FC2" w:rsidP="00CE0FC2">
      <w:pPr>
        <w:spacing w:line="360" w:lineRule="auto"/>
        <w:ind w:left="720" w:hanging="720"/>
        <w:jc w:val="both"/>
        <w:rPr>
          <w:rtl/>
        </w:rPr>
      </w:pPr>
      <w:r w:rsidRPr="000C040A">
        <w:rPr>
          <w:rFonts w:hint="cs"/>
          <w:rtl/>
        </w:rPr>
        <w:t>16.</w:t>
      </w:r>
      <w:r w:rsidRPr="000C040A">
        <w:rPr>
          <w:rFonts w:hint="cs"/>
          <w:rtl/>
        </w:rPr>
        <w:tab/>
        <w:t xml:space="preserve">הלכה למעשה, בעבירות נשק הדומות בנסיבותיהן העיקריות לענייננו, בתי המשפט מטילים עונשי מאסר לתקופות משמעותיות.  </w:t>
      </w:r>
    </w:p>
    <w:p w14:paraId="31A98D35" w14:textId="77777777" w:rsidR="00CE0FC2" w:rsidRPr="000C040A" w:rsidRDefault="00CE0FC2" w:rsidP="00CE0FC2">
      <w:pPr>
        <w:spacing w:line="360" w:lineRule="auto"/>
        <w:ind w:left="720"/>
        <w:jc w:val="both"/>
        <w:rPr>
          <w:rtl/>
        </w:rPr>
      </w:pPr>
      <w:r w:rsidRPr="000C040A">
        <w:rPr>
          <w:rFonts w:hint="cs"/>
          <w:rtl/>
        </w:rPr>
        <w:t>ב</w:t>
      </w:r>
      <w:hyperlink r:id="rId26" w:history="1">
        <w:r w:rsidR="00F55A64" w:rsidRPr="00F55A64">
          <w:rPr>
            <w:color w:val="0000FF"/>
            <w:u w:val="single"/>
            <w:rtl/>
          </w:rPr>
          <w:t>ע"פ 6496-21</w:t>
        </w:r>
      </w:hyperlink>
      <w:r w:rsidRPr="000C040A">
        <w:rPr>
          <w:rFonts w:hint="cs"/>
          <w:rtl/>
        </w:rPr>
        <w:t xml:space="preserve"> </w:t>
      </w:r>
      <w:r w:rsidRPr="000C040A">
        <w:rPr>
          <w:rFonts w:hint="cs"/>
          <w:b/>
          <w:bCs/>
          <w:rtl/>
        </w:rPr>
        <w:t>באסל ריאן</w:t>
      </w:r>
      <w:r w:rsidRPr="000C040A">
        <w:rPr>
          <w:rFonts w:hint="cs"/>
          <w:rtl/>
        </w:rPr>
        <w:t xml:space="preserve"> נ' </w:t>
      </w:r>
      <w:r w:rsidRPr="000C040A">
        <w:rPr>
          <w:rFonts w:hint="cs"/>
          <w:b/>
          <w:bCs/>
          <w:rtl/>
        </w:rPr>
        <w:t>מדינת ישראל</w:t>
      </w:r>
      <w:r w:rsidRPr="000C040A">
        <w:rPr>
          <w:rFonts w:hint="cs"/>
          <w:rtl/>
        </w:rPr>
        <w:t xml:space="preserve"> (20/12/21) בית המשפט העליון דחה את ערעור המערערים על חומרת עונשם -  </w:t>
      </w:r>
      <w:r w:rsidRPr="000C040A">
        <w:rPr>
          <w:rFonts w:hint="cs"/>
          <w:b/>
          <w:bCs/>
          <w:rtl/>
        </w:rPr>
        <w:t>4 שנות מאסר בפועל</w:t>
      </w:r>
      <w:r w:rsidRPr="000C040A">
        <w:rPr>
          <w:rFonts w:hint="cs"/>
          <w:rtl/>
        </w:rPr>
        <w:t>, ואמר בין היתר את הדברים הבאים:</w:t>
      </w:r>
      <w:r w:rsidRPr="000C040A">
        <w:rPr>
          <w:rFonts w:hint="cs"/>
        </w:rPr>
        <w:t xml:space="preserve"> </w:t>
      </w:r>
    </w:p>
    <w:p w14:paraId="509AF6E8" w14:textId="77777777" w:rsidR="00CE0FC2" w:rsidRPr="000C040A" w:rsidRDefault="00CE0FC2" w:rsidP="00CE0FC2">
      <w:pPr>
        <w:spacing w:line="360" w:lineRule="auto"/>
        <w:ind w:left="1440"/>
        <w:jc w:val="both"/>
      </w:pPr>
      <w:r w:rsidRPr="000C040A">
        <w:rPr>
          <w:rFonts w:hint="cs"/>
          <w:rtl/>
        </w:rPr>
        <w:t xml:space="preserve">"במעשיהם של המערערים טמונה חומרה של ממש. כפי שציינו אך לאחרונה, אירועי ירי דומים הפכו ל- " 'מגיפה', המפילה חללים מדי יום ביומו" וכי תופעה זו יש לשרש מנוף חייה של חברה מתוקנת (עניין </w:t>
      </w:r>
      <w:r w:rsidRPr="000C040A">
        <w:rPr>
          <w:rFonts w:hint="cs"/>
          <w:b/>
          <w:rtl/>
        </w:rPr>
        <w:t>אבו סאלח</w:t>
      </w:r>
      <w:r w:rsidRPr="000C040A">
        <w:rPr>
          <w:rFonts w:hint="cs"/>
          <w:rtl/>
        </w:rPr>
        <w:t>,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w:t>
      </w:r>
      <w:r w:rsidRPr="000C040A">
        <w:rPr>
          <w:rFonts w:hint="cs"/>
          <w:b/>
          <w:rtl/>
        </w:rPr>
        <w:t>חברה ככלל</w:t>
      </w:r>
      <w:r w:rsidRPr="000C040A">
        <w:rPr>
          <w:rFonts w:hint="cs"/>
          <w:rtl/>
        </w:rPr>
        <w:t>. להמחשת הסיכון נפנה לירי שפגע ברכבם של בני הזוג.. שאינם מעורבים בסכסוך בין הנצים ונקלעו לקו האש שלא בטובתם. לפיכך, כמדיניות שיפוטית, יושתו על המעורבים בעבירות מסוג זה עונשי מאסר משמעותיים, מתוך רצון להוקיע תופעה זו ולשדר מסר מרתיע ככל הניתן (</w:t>
      </w:r>
      <w:hyperlink r:id="rId27" w:history="1">
        <w:r w:rsidR="00F55A64" w:rsidRPr="00F55A64">
          <w:rPr>
            <w:color w:val="0000FF"/>
            <w:u w:val="single"/>
            <w:rtl/>
          </w:rPr>
          <w:t>ע"פ 5330/20</w:t>
        </w:r>
      </w:hyperlink>
      <w:r w:rsidRPr="000C040A">
        <w:rPr>
          <w:rtl/>
        </w:rPr>
        <w:t xml:space="preserve"> </w:t>
      </w:r>
      <w:r w:rsidRPr="000C040A">
        <w:rPr>
          <w:rFonts w:hint="cs"/>
          <w:b/>
          <w:rtl/>
        </w:rPr>
        <w:t>ענבתאוי נ' מדינת ישראל</w:t>
      </w:r>
      <w:r w:rsidRPr="000C040A">
        <w:rPr>
          <w:rFonts w:hint="cs"/>
          <w:rtl/>
        </w:rPr>
        <w:t xml:space="preserve"> [פורסם בנבו] (22.11.2020) )...".</w:t>
      </w:r>
    </w:p>
    <w:p w14:paraId="63FEF526" w14:textId="77777777" w:rsidR="00CE0FC2" w:rsidRPr="000C040A" w:rsidRDefault="00CE0FC2" w:rsidP="00CE0FC2">
      <w:pPr>
        <w:spacing w:line="360" w:lineRule="auto"/>
        <w:ind w:left="720"/>
        <w:jc w:val="both"/>
        <w:rPr>
          <w:rtl/>
        </w:rPr>
      </w:pPr>
    </w:p>
    <w:p w14:paraId="470FAEF6" w14:textId="77777777" w:rsidR="00CE0FC2" w:rsidRPr="000C040A" w:rsidRDefault="00CE0FC2" w:rsidP="00CE0FC2">
      <w:pPr>
        <w:spacing w:line="360" w:lineRule="auto"/>
        <w:ind w:left="720"/>
        <w:jc w:val="both"/>
        <w:rPr>
          <w:rtl/>
        </w:rPr>
      </w:pPr>
      <w:r w:rsidRPr="000C040A">
        <w:rPr>
          <w:rFonts w:hint="cs"/>
          <w:rtl/>
        </w:rPr>
        <w:t>ב</w:t>
      </w:r>
      <w:hyperlink r:id="rId28" w:history="1">
        <w:r w:rsidR="00F55A64" w:rsidRPr="00F55A64">
          <w:rPr>
            <w:color w:val="0000FF"/>
            <w:u w:val="single"/>
            <w:rtl/>
          </w:rPr>
          <w:t>ע"פ 1427-21</w:t>
        </w:r>
      </w:hyperlink>
      <w:r w:rsidRPr="000C040A">
        <w:rPr>
          <w:rFonts w:hint="cs"/>
          <w:rtl/>
        </w:rPr>
        <w:t xml:space="preserve"> </w:t>
      </w:r>
      <w:r w:rsidRPr="000C040A">
        <w:rPr>
          <w:rFonts w:hint="cs"/>
          <w:b/>
          <w:bCs/>
          <w:rtl/>
        </w:rPr>
        <w:t>טארק שוויקי</w:t>
      </w:r>
      <w:r w:rsidRPr="000C040A">
        <w:rPr>
          <w:rFonts w:hint="cs"/>
          <w:rtl/>
        </w:rPr>
        <w:t xml:space="preserve"> נ' </w:t>
      </w:r>
      <w:r w:rsidRPr="000C040A">
        <w:rPr>
          <w:rFonts w:hint="cs"/>
          <w:b/>
          <w:bCs/>
          <w:rtl/>
        </w:rPr>
        <w:t>מדינת ישראל</w:t>
      </w:r>
      <w:r w:rsidRPr="000C040A">
        <w:rPr>
          <w:rFonts w:hint="cs"/>
          <w:rtl/>
        </w:rPr>
        <w:t xml:space="preserve"> (26/05/21) על רקע סכסוך בין משפחות החלה התקהלות במהלכה יודו אבנים, בוצע ירי באוויר ונזרקו חפצים. המערער הגיע למקום שהוא נושא רובה דמוי </w:t>
      </w:r>
      <w:r w:rsidRPr="000C040A">
        <w:t>M-16</w:t>
      </w:r>
      <w:r w:rsidRPr="000C040A">
        <w:rPr>
          <w:rFonts w:hint="cs"/>
          <w:rtl/>
        </w:rPr>
        <w:t>, נעמד סמוך להתקהלות וירה באוויר לפחות 17 כדורים. בית המשפט המחוזי דן את המערער ל-</w:t>
      </w:r>
      <w:r w:rsidRPr="000C040A">
        <w:rPr>
          <w:rFonts w:hint="cs"/>
          <w:b/>
          <w:bCs/>
          <w:rtl/>
        </w:rPr>
        <w:t>37 חודשי מאסר בפועל</w:t>
      </w:r>
      <w:r w:rsidRPr="000C040A">
        <w:rPr>
          <w:rFonts w:hint="cs"/>
          <w:rtl/>
        </w:rPr>
        <w:t xml:space="preserve"> ועונשים נלווים. ובית המשפט העליון דחה את ערעורו על חומרת העונש. </w:t>
      </w:r>
    </w:p>
    <w:p w14:paraId="3FB7EC62" w14:textId="77777777" w:rsidR="00CE0FC2" w:rsidRPr="000C040A" w:rsidRDefault="00CE0FC2" w:rsidP="00CE0FC2">
      <w:pPr>
        <w:spacing w:line="360" w:lineRule="auto"/>
        <w:ind w:left="720"/>
        <w:jc w:val="both"/>
        <w:rPr>
          <w:rtl/>
        </w:rPr>
      </w:pPr>
    </w:p>
    <w:p w14:paraId="0DF43D5A" w14:textId="77777777" w:rsidR="00CE0FC2" w:rsidRPr="000C040A" w:rsidRDefault="00CE0FC2" w:rsidP="00CE0FC2">
      <w:pPr>
        <w:spacing w:line="360" w:lineRule="auto"/>
        <w:ind w:left="720"/>
        <w:jc w:val="both"/>
        <w:rPr>
          <w:rtl/>
        </w:rPr>
      </w:pPr>
      <w:r w:rsidRPr="000C040A">
        <w:rPr>
          <w:rFonts w:hint="cs"/>
          <w:rtl/>
        </w:rPr>
        <w:t>ב</w:t>
      </w:r>
      <w:hyperlink r:id="rId29" w:history="1">
        <w:r w:rsidR="00F55A64" w:rsidRPr="00F55A64">
          <w:rPr>
            <w:color w:val="0000FF"/>
            <w:u w:val="single"/>
            <w:rtl/>
          </w:rPr>
          <w:t>ע"פ 1059-21</w:t>
        </w:r>
      </w:hyperlink>
      <w:r w:rsidR="00F55A64">
        <w:rPr>
          <w:rFonts w:hint="cs"/>
          <w:rtl/>
        </w:rPr>
        <w:t xml:space="preserve"> </w:t>
      </w:r>
      <w:r w:rsidRPr="000C040A">
        <w:rPr>
          <w:rFonts w:hint="cs"/>
          <w:b/>
          <w:bCs/>
          <w:rtl/>
        </w:rPr>
        <w:t xml:space="preserve">פלוני </w:t>
      </w:r>
      <w:r w:rsidRPr="000C040A">
        <w:rPr>
          <w:rFonts w:hint="cs"/>
          <w:rtl/>
        </w:rPr>
        <w:t>נ'</w:t>
      </w:r>
      <w:r w:rsidR="00F55A64">
        <w:t xml:space="preserve"> </w:t>
      </w:r>
      <w:r w:rsidRPr="000C040A">
        <w:rPr>
          <w:rFonts w:hint="cs"/>
          <w:b/>
          <w:bCs/>
          <w:rtl/>
        </w:rPr>
        <w:t xml:space="preserve">מדינת ישראל </w:t>
      </w:r>
      <w:r w:rsidRPr="000C040A">
        <w:rPr>
          <w:rFonts w:hint="cs"/>
          <w:rtl/>
        </w:rPr>
        <w:t xml:space="preserve">(29/04/21) נקבע מתחם עונש הולם של 3 - 5 שנות מאסר והוטלו על המערער </w:t>
      </w:r>
      <w:r w:rsidRPr="000C040A">
        <w:rPr>
          <w:rFonts w:hint="cs"/>
          <w:b/>
          <w:bCs/>
          <w:rtl/>
        </w:rPr>
        <w:t>42 חודשי מאסר בפועל</w:t>
      </w:r>
      <w:r w:rsidRPr="000C040A">
        <w:rPr>
          <w:rFonts w:hint="cs"/>
          <w:rtl/>
        </w:rPr>
        <w:t>, בעיקר על החזקת אקדח גנוב וירי ממנו באזור מגורים על רקע ויכוח שפרץ בין המערער לקטין.</w:t>
      </w:r>
    </w:p>
    <w:p w14:paraId="6DE25FB0" w14:textId="77777777" w:rsidR="00CE0FC2" w:rsidRPr="000C040A" w:rsidRDefault="00CE0FC2" w:rsidP="00CE0FC2">
      <w:pPr>
        <w:spacing w:line="360" w:lineRule="auto"/>
        <w:ind w:firstLine="720"/>
        <w:jc w:val="both"/>
        <w:rPr>
          <w:rtl/>
        </w:rPr>
      </w:pPr>
    </w:p>
    <w:p w14:paraId="207DD368" w14:textId="77777777" w:rsidR="00CE0FC2" w:rsidRPr="000C040A" w:rsidRDefault="00CE0FC2" w:rsidP="00CE0FC2">
      <w:pPr>
        <w:spacing w:line="360" w:lineRule="auto"/>
        <w:ind w:firstLine="720"/>
        <w:jc w:val="both"/>
        <w:rPr>
          <w:rtl/>
        </w:rPr>
      </w:pPr>
      <w:r w:rsidRPr="000C040A">
        <w:rPr>
          <w:rFonts w:hint="cs"/>
          <w:rtl/>
        </w:rPr>
        <w:t xml:space="preserve">בית המשפט העליון דחה את הערעור על חומרת העונש, תוך אמירת הדברים הבאים - </w:t>
      </w:r>
    </w:p>
    <w:p w14:paraId="162408FC" w14:textId="77777777" w:rsidR="00CE0FC2" w:rsidRPr="000C040A" w:rsidRDefault="00CE0FC2" w:rsidP="00CE0FC2">
      <w:pPr>
        <w:spacing w:line="360" w:lineRule="auto"/>
        <w:ind w:left="1440"/>
        <w:jc w:val="both"/>
        <w:rPr>
          <w:rtl/>
          <w:lang w:eastAsia="he-IL"/>
        </w:rPr>
      </w:pPr>
      <w:r w:rsidRPr="000C040A">
        <w:rPr>
          <w:rFonts w:hint="cs"/>
          <w:rtl/>
          <w:lang w:eastAsia="he-IL"/>
        </w:rPr>
        <w:t>"אין צורך להכביר במילים ביחס לחומרה היתרה הנודעת לביצוע עבירות בנשק לסוגיהן, אשר הפכו זה מכבר למכת מדינה (ראו למשל:</w:t>
      </w:r>
      <w:r w:rsidR="00F55A64">
        <w:rPr>
          <w:rFonts w:hint="cs"/>
          <w:rtl/>
          <w:lang w:eastAsia="he-IL"/>
        </w:rPr>
        <w:t xml:space="preserve"> </w:t>
      </w:r>
      <w:hyperlink r:id="rId30" w:history="1">
        <w:r w:rsidR="00F55A64" w:rsidRPr="00F55A64">
          <w:rPr>
            <w:color w:val="0000FF"/>
            <w:u w:val="single"/>
            <w:rtl/>
            <w:lang w:eastAsia="he-IL"/>
          </w:rPr>
          <w:t>ע"פ 5807/20</w:t>
        </w:r>
      </w:hyperlink>
      <w:r w:rsidR="00F55A64">
        <w:rPr>
          <w:rFonts w:hint="cs"/>
          <w:rtl/>
          <w:lang w:eastAsia="he-IL"/>
        </w:rPr>
        <w:t xml:space="preserve">  </w:t>
      </w:r>
      <w:r w:rsidRPr="000C040A">
        <w:rPr>
          <w:rFonts w:hint="cs"/>
          <w:rtl/>
          <w:lang w:eastAsia="he-IL"/>
        </w:rPr>
        <w:t>שיבלי נ' מדינת ישראל,</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פסקה 8 (30.12.2020) (להלן: ענין</w:t>
      </w:r>
      <w:r w:rsidR="00F55A64">
        <w:rPr>
          <w:rFonts w:hint="cs"/>
          <w:rtl/>
          <w:lang w:eastAsia="he-IL"/>
        </w:rPr>
        <w:t xml:space="preserve"> </w:t>
      </w:r>
      <w:r w:rsidRPr="000C040A">
        <w:rPr>
          <w:rFonts w:hint="cs"/>
          <w:rtl/>
          <w:lang w:eastAsia="he-IL"/>
        </w:rPr>
        <w:t>שיבלי)). בפסיקה ענפה חזר ועמד בית משפט זה על הסכנה הממשית הגלומה בעבירות אלה לשלום הציבור ולביטחונו ולסדר הציבורי. לאחרונה ממש עמדתי על כך וציינתי בין היתר כי – "בית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כולה...כן עמדה</w:t>
      </w:r>
      <w:r w:rsidR="00F55A64">
        <w:rPr>
          <w:rFonts w:hint="cs"/>
          <w:rtl/>
          <w:lang w:eastAsia="he-IL"/>
        </w:rPr>
        <w:t xml:space="preserve"> </w:t>
      </w:r>
      <w:r w:rsidRPr="000C040A">
        <w:rPr>
          <w:rFonts w:hint="cs"/>
          <w:rtl/>
          <w:lang w:eastAsia="he-IL"/>
        </w:rPr>
        <w:t>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 וכפי שנזדמן לי להעיר לאחרונה, התופעה של החזקת נשק שלא כדין, וכל שכן</w:t>
      </w:r>
      <w:r w:rsidR="00F55A64">
        <w:rPr>
          <w:rFonts w:hint="cs"/>
          <w:rtl/>
          <w:lang w:eastAsia="he-IL"/>
        </w:rPr>
        <w:t xml:space="preserve"> </w:t>
      </w:r>
      <w:r w:rsidRPr="000C040A">
        <w:rPr>
          <w:rFonts w:hint="cs"/>
          <w:rtl/>
          <w:lang w:eastAsia="he-IL"/>
        </w:rPr>
        <w:t>השימוש בו, מהווים</w:t>
      </w:r>
      <w:r w:rsidR="00F55A64">
        <w:rPr>
          <w:rFonts w:hint="cs"/>
          <w:rtl/>
          <w:lang w:eastAsia="he-IL"/>
        </w:rPr>
        <w:t xml:space="preserve"> </w:t>
      </w:r>
      <w:r w:rsidRPr="000C040A">
        <w:rPr>
          <w:rFonts w:hint="cs"/>
          <w:rtl/>
          <w:lang w:eastAsia="he-IL"/>
        </w:rPr>
        <w:t xml:space="preserve"> איום על שלום הציבור ותשתית למגוון רחב של עבירות, ומחייבת</w:t>
      </w:r>
      <w:r w:rsidR="00F55A64">
        <w:rPr>
          <w:rFonts w:hint="cs"/>
          <w:rtl/>
          <w:lang w:eastAsia="he-IL"/>
        </w:rPr>
        <w:t xml:space="preserve"> </w:t>
      </w:r>
      <w:r w:rsidRPr="000C040A">
        <w:rPr>
          <w:rFonts w:hint="cs"/>
          <w:rtl/>
          <w:lang w:eastAsia="he-IL"/>
        </w:rPr>
        <w:t>הירתמות גם של בתי המשפט על ידי ענישה מחמירה ומרתיעה...</w:t>
      </w:r>
      <w:r w:rsidR="00F55A64">
        <w:rPr>
          <w:rFonts w:hint="cs"/>
          <w:rtl/>
          <w:lang w:eastAsia="he-IL"/>
        </w:rPr>
        <w:t xml:space="preserve"> </w:t>
      </w:r>
      <w:r w:rsidRPr="000C040A">
        <w:rPr>
          <w:rFonts w:hint="cs"/>
          <w:rtl/>
          <w:lang w:eastAsia="he-IL"/>
        </w:rPr>
        <w:t>נוכח האמור, אכן ניכרת בפסיקה מגמה עקבית של החמרה בענישה כלפי מבצעי עבירות בנשק -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נמצא אפוא כי בנסיבות דהיום, ראוי ונכון להחמיר את מדיניות הענישה הנוהגת, זאת בין היתר על מנת להרתיע עבריינים פוטנציאליים משימוש בו כאמצעי ליישוב סכסוכים" (השופט</w:t>
      </w:r>
      <w:r w:rsidR="00F55A64">
        <w:rPr>
          <w:rFonts w:hint="cs"/>
          <w:rtl/>
          <w:lang w:eastAsia="he-IL"/>
        </w:rPr>
        <w:t xml:space="preserve"> </w:t>
      </w:r>
      <w:r w:rsidRPr="000C040A">
        <w:rPr>
          <w:rFonts w:hint="cs"/>
          <w:rtl/>
          <w:lang w:eastAsia="he-IL"/>
        </w:rPr>
        <w:t>אלרון</w:t>
      </w:r>
      <w:r w:rsidR="00F55A64">
        <w:rPr>
          <w:rFonts w:hint="cs"/>
          <w:rtl/>
          <w:lang w:eastAsia="he-IL"/>
        </w:rPr>
        <w:t xml:space="preserve"> </w:t>
      </w:r>
      <w:r w:rsidRPr="000C040A">
        <w:rPr>
          <w:rFonts w:hint="cs"/>
          <w:rtl/>
          <w:lang w:eastAsia="he-IL"/>
        </w:rPr>
        <w:t>בענין</w:t>
      </w:r>
      <w:r w:rsidR="00F55A64">
        <w:rPr>
          <w:rFonts w:hint="cs"/>
          <w:rtl/>
          <w:lang w:eastAsia="he-IL"/>
        </w:rPr>
        <w:t xml:space="preserve"> </w:t>
      </w:r>
      <w:r w:rsidRPr="000C040A">
        <w:rPr>
          <w:rFonts w:hint="cs"/>
          <w:rtl/>
          <w:lang w:eastAsia="he-IL"/>
        </w:rPr>
        <w:t>סובח, בפסקאות 17-16)."</w:t>
      </w:r>
    </w:p>
    <w:p w14:paraId="7F797AF8" w14:textId="77777777" w:rsidR="00CE0FC2" w:rsidRPr="000C040A" w:rsidRDefault="00CE0FC2" w:rsidP="00CE0FC2">
      <w:pPr>
        <w:spacing w:line="360" w:lineRule="auto"/>
        <w:jc w:val="both"/>
        <w:rPr>
          <w:rtl/>
          <w:lang w:eastAsia="he-IL"/>
        </w:rPr>
      </w:pPr>
    </w:p>
    <w:p w14:paraId="726F6A9C" w14:textId="77777777" w:rsidR="00CE0FC2" w:rsidRPr="000C040A" w:rsidRDefault="00CE0FC2" w:rsidP="00CE0FC2">
      <w:pPr>
        <w:spacing w:line="360" w:lineRule="auto"/>
        <w:ind w:left="720"/>
        <w:jc w:val="both"/>
        <w:rPr>
          <w:rtl/>
        </w:rPr>
      </w:pPr>
      <w:r w:rsidRPr="000C040A">
        <w:rPr>
          <w:rFonts w:hint="cs"/>
          <w:rtl/>
        </w:rPr>
        <w:t>ב</w:t>
      </w:r>
      <w:hyperlink r:id="rId31" w:history="1">
        <w:r w:rsidR="00F55A64" w:rsidRPr="00F55A64">
          <w:rPr>
            <w:color w:val="0000FF"/>
            <w:u w:val="single"/>
            <w:rtl/>
          </w:rPr>
          <w:t>ע"פ 5522-20</w:t>
        </w:r>
      </w:hyperlink>
      <w:r w:rsidR="00F55A64">
        <w:rPr>
          <w:rFonts w:hint="cs"/>
          <w:rtl/>
        </w:rPr>
        <w:t xml:space="preserve"> </w:t>
      </w:r>
      <w:r w:rsidRPr="000C040A">
        <w:rPr>
          <w:rFonts w:hint="cs"/>
          <w:b/>
          <w:bCs/>
          <w:rtl/>
        </w:rPr>
        <w:t>נזאר חלייחל</w:t>
      </w:r>
      <w:r w:rsidR="00F55A64">
        <w:rPr>
          <w:rFonts w:hint="cs"/>
          <w:rtl/>
        </w:rPr>
        <w:t xml:space="preserve"> </w:t>
      </w:r>
      <w:r w:rsidRPr="000C040A">
        <w:rPr>
          <w:rFonts w:hint="cs"/>
          <w:rtl/>
        </w:rPr>
        <w:t>נ'</w:t>
      </w:r>
      <w:r w:rsidR="00F55A64">
        <w:t xml:space="preserve"> </w:t>
      </w:r>
      <w:r w:rsidRPr="000C040A">
        <w:rPr>
          <w:rFonts w:hint="cs"/>
          <w:b/>
          <w:bCs/>
          <w:rtl/>
        </w:rPr>
        <w:t xml:space="preserve">מדינת ישראל </w:t>
      </w:r>
      <w:r w:rsidRPr="000C040A">
        <w:rPr>
          <w:rFonts w:hint="cs"/>
          <w:rtl/>
        </w:rPr>
        <w:t xml:space="preserve">(24/02/21) המערער נדון על נשיאת נשק וירי ממנו בשעת לילה באזור כפרי, ל- </w:t>
      </w:r>
      <w:r w:rsidRPr="000C040A">
        <w:rPr>
          <w:rFonts w:hint="cs"/>
          <w:b/>
          <w:bCs/>
          <w:rtl/>
        </w:rPr>
        <w:t>41 חודשי מאסר בפועל</w:t>
      </w:r>
      <w:r w:rsidRPr="000C040A">
        <w:rPr>
          <w:rFonts w:hint="cs"/>
          <w:rtl/>
        </w:rPr>
        <w:t xml:space="preserve">, כולל הפעלת מאסר על תנאי של 5 חודשים. </w:t>
      </w:r>
    </w:p>
    <w:p w14:paraId="3759DFE1" w14:textId="77777777" w:rsidR="00CE0FC2" w:rsidRPr="000C040A" w:rsidRDefault="00CE0FC2" w:rsidP="00CE0FC2">
      <w:pPr>
        <w:spacing w:line="360" w:lineRule="auto"/>
        <w:ind w:left="720"/>
        <w:jc w:val="both"/>
        <w:rPr>
          <w:rtl/>
        </w:rPr>
      </w:pPr>
      <w:r w:rsidRPr="000C040A">
        <w:rPr>
          <w:rFonts w:hint="cs"/>
          <w:rtl/>
        </w:rPr>
        <w:t xml:space="preserve">בית המשפט העליון דחה את הערעור על חומרת העונש, תוך קביעת הדברים הבאים – </w:t>
      </w:r>
    </w:p>
    <w:p w14:paraId="0DEE824C" w14:textId="77777777" w:rsidR="00CE0FC2" w:rsidRPr="000C040A" w:rsidRDefault="00CE0FC2" w:rsidP="00CE0FC2">
      <w:pPr>
        <w:spacing w:line="360" w:lineRule="auto"/>
        <w:ind w:left="1440"/>
        <w:jc w:val="both"/>
        <w:rPr>
          <w:rtl/>
          <w:lang w:eastAsia="he-IL"/>
        </w:rPr>
      </w:pPr>
      <w:r w:rsidRPr="000C040A">
        <w:rPr>
          <w:rFonts w:hint="cs"/>
          <w:rtl/>
          <w:lang w:eastAsia="he-IL"/>
        </w:rPr>
        <w:t>"</w:t>
      </w:r>
      <w:r w:rsidRPr="00F55A64">
        <w:rPr>
          <w:rFonts w:hint="cs"/>
          <w:color w:val="000000"/>
          <w:spacing w:val="10"/>
          <w:rtl/>
          <w:lang w:eastAsia="he-IL"/>
        </w:rPr>
        <w:t>סעיף 144(ב)</w:t>
      </w:r>
      <w:r w:rsidR="00F55A64">
        <w:rPr>
          <w:rFonts w:hint="cs"/>
          <w:rtl/>
          <w:lang w:eastAsia="he-IL"/>
        </w:rPr>
        <w:t xml:space="preserve"> </w:t>
      </w:r>
      <w:r w:rsidRPr="000C040A">
        <w:rPr>
          <w:rFonts w:hint="cs"/>
          <w:rtl/>
          <w:lang w:eastAsia="he-IL"/>
        </w:rPr>
        <w:t>ל</w:t>
      </w:r>
      <w:hyperlink r:id="rId32" w:history="1">
        <w:r w:rsidR="00F55A64" w:rsidRPr="00F55A64">
          <w:rPr>
            <w:color w:val="0000FF"/>
            <w:spacing w:val="10"/>
            <w:u w:val="single"/>
            <w:rtl/>
            <w:lang w:eastAsia="he-IL"/>
          </w:rPr>
          <w:t>חוק העונשין</w:t>
        </w:r>
      </w:hyperlink>
      <w:r w:rsidR="00F55A64">
        <w:rPr>
          <w:rFonts w:hint="cs"/>
          <w:rtl/>
          <w:lang w:eastAsia="he-IL"/>
        </w:rPr>
        <w:t xml:space="preserve"> </w:t>
      </w:r>
      <w:r w:rsidRPr="000C040A">
        <w:rPr>
          <w:rFonts w:hint="cs"/>
          <w:rtl/>
          <w:lang w:eastAsia="he-IL"/>
        </w:rPr>
        <w:t>אוסר על נשיאה או הובלה של כלי-נשק,</w:t>
      </w:r>
      <w:r w:rsidR="00F55A64">
        <w:rPr>
          <w:rFonts w:hint="cs"/>
          <w:rtl/>
          <w:lang w:eastAsia="he-IL"/>
        </w:rPr>
        <w:t xml:space="preserve"> </w:t>
      </w:r>
      <w:r w:rsidRPr="000C040A">
        <w:rPr>
          <w:rFonts w:hint="cs"/>
          <w:rtl/>
          <w:lang w:eastAsia="he-IL"/>
        </w:rPr>
        <w:t>"בלא רשות על פי דין". האיסור נועד להגן על ערך חיי האדם, שלמות גופו ונפשו, כמו גם לקדם את השמירה על הסדר הציבורי ואורח חיים תקין, שלו ובטוח (</w:t>
      </w:r>
      <w:hyperlink r:id="rId33" w:history="1">
        <w:r w:rsidR="00F55A64" w:rsidRPr="00F55A64">
          <w:rPr>
            <w:color w:val="0000FF"/>
            <w:spacing w:val="10"/>
            <w:u w:val="single"/>
            <w:rtl/>
            <w:lang w:eastAsia="he-IL"/>
          </w:rPr>
          <w:t>ע"פ 147/21</w:t>
        </w:r>
      </w:hyperlink>
      <w:r w:rsidR="00F55A64">
        <w:rPr>
          <w:rFonts w:hint="cs"/>
          <w:rtl/>
          <w:lang w:eastAsia="he-IL"/>
        </w:rPr>
        <w:t xml:space="preserve"> </w:t>
      </w:r>
      <w:r w:rsidRPr="000C040A">
        <w:rPr>
          <w:rFonts w:hint="cs"/>
          <w:rtl/>
          <w:lang w:eastAsia="he-IL"/>
        </w:rPr>
        <w:t>מדינת ישראל נ' ביטון,</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פסקה 7 (14.02.2021) (להלן:</w:t>
      </w:r>
      <w:r w:rsidR="00F55A64">
        <w:rPr>
          <w:rFonts w:hint="cs"/>
          <w:rtl/>
          <w:lang w:eastAsia="he-IL"/>
        </w:rPr>
        <w:t xml:space="preserve"> </w:t>
      </w:r>
      <w:r w:rsidRPr="000C040A">
        <w:rPr>
          <w:rFonts w:hint="cs"/>
          <w:rtl/>
          <w:lang w:eastAsia="he-IL"/>
        </w:rPr>
        <w:t>עניין</w:t>
      </w:r>
      <w:r w:rsidR="00F55A64">
        <w:rPr>
          <w:rFonts w:hint="cs"/>
          <w:rtl/>
          <w:lang w:eastAsia="he-IL"/>
        </w:rPr>
        <w:t xml:space="preserve"> </w:t>
      </w:r>
      <w:r w:rsidRPr="000C040A">
        <w:rPr>
          <w:rFonts w:hint="cs"/>
          <w:rtl/>
          <w:lang w:eastAsia="he-IL"/>
        </w:rPr>
        <w:t>ביטון);</w:t>
      </w:r>
      <w:r w:rsidR="00F55A64">
        <w:rPr>
          <w:rFonts w:hint="cs"/>
          <w:rtl/>
          <w:lang w:eastAsia="he-IL"/>
        </w:rPr>
        <w:t xml:space="preserve"> </w:t>
      </w:r>
      <w:hyperlink r:id="rId34" w:history="1">
        <w:r w:rsidR="00F55A64" w:rsidRPr="00F55A64">
          <w:rPr>
            <w:color w:val="0000FF"/>
            <w:spacing w:val="10"/>
            <w:u w:val="single"/>
            <w:rtl/>
            <w:lang w:eastAsia="he-IL"/>
          </w:rPr>
          <w:t>ע"פ 8017/20</w:t>
        </w:r>
      </w:hyperlink>
      <w:r w:rsidR="00F55A64">
        <w:rPr>
          <w:rFonts w:hint="cs"/>
          <w:rtl/>
          <w:lang w:eastAsia="he-IL"/>
        </w:rPr>
        <w:t xml:space="preserve"> </w:t>
      </w:r>
      <w:r w:rsidRPr="000C040A">
        <w:rPr>
          <w:rFonts w:hint="cs"/>
          <w:rtl/>
          <w:lang w:eastAsia="he-IL"/>
        </w:rPr>
        <w:t>מדינת ישראל נ' גריפאת,</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פסקה 6 (22.12.2020) (להלן: עניין</w:t>
      </w:r>
      <w:r w:rsidR="00F55A64">
        <w:rPr>
          <w:rFonts w:hint="cs"/>
          <w:rtl/>
          <w:lang w:eastAsia="he-IL"/>
        </w:rPr>
        <w:t xml:space="preserve"> </w:t>
      </w:r>
      <w:r w:rsidRPr="000C040A">
        <w:rPr>
          <w:rFonts w:hint="cs"/>
          <w:rtl/>
          <w:lang w:eastAsia="he-IL"/>
        </w:rPr>
        <w:t>גריפאת)). עבירה זו, כמו יתר עבירות הנשק, נועדה למנוע התנהגות מסוכנת, ולמזער את הפוטנציאל לגרימת נזקים חמורים. אכן, נשיאה והובלה של כלי-נשק, הריהי לעיתים רק הסנונית הראשונה, בואכה מעשים חמורים יותר – חבלה חמורה, שוד מזוין, רצח, וכיוצא באלה (</w:t>
      </w:r>
      <w:hyperlink r:id="rId35" w:history="1">
        <w:r w:rsidR="00F55A64" w:rsidRPr="00F55A64">
          <w:rPr>
            <w:color w:val="0000FF"/>
            <w:spacing w:val="10"/>
            <w:u w:val="single"/>
            <w:rtl/>
            <w:lang w:eastAsia="he-IL"/>
          </w:rPr>
          <w:t>ע"פ 4406/19</w:t>
        </w:r>
      </w:hyperlink>
      <w:r w:rsidR="00F55A64">
        <w:rPr>
          <w:rFonts w:hint="cs"/>
          <w:rtl/>
          <w:lang w:eastAsia="he-IL"/>
        </w:rPr>
        <w:t xml:space="preserve"> </w:t>
      </w:r>
      <w:r w:rsidRPr="000C040A">
        <w:rPr>
          <w:rFonts w:hint="cs"/>
          <w:rtl/>
          <w:lang w:eastAsia="he-IL"/>
        </w:rPr>
        <w:t>מדינת ישראל נ' סובח,</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 דינו של השופט</w:t>
      </w:r>
      <w:r w:rsidR="00F55A64">
        <w:rPr>
          <w:rFonts w:hint="cs"/>
          <w:rtl/>
          <w:lang w:eastAsia="he-IL"/>
        </w:rPr>
        <w:t xml:space="preserve"> </w:t>
      </w:r>
      <w:r w:rsidRPr="000C040A">
        <w:rPr>
          <w:rFonts w:hint="cs"/>
          <w:rtl/>
          <w:lang w:eastAsia="he-IL"/>
        </w:rPr>
        <w:t>מ' מזוז</w:t>
      </w:r>
      <w:r w:rsidR="00F55A64">
        <w:rPr>
          <w:rFonts w:hint="cs"/>
          <w:rtl/>
          <w:lang w:eastAsia="he-IL"/>
        </w:rPr>
        <w:t xml:space="preserve"> </w:t>
      </w:r>
      <w:r w:rsidRPr="000C040A">
        <w:rPr>
          <w:rFonts w:hint="cs"/>
          <w:rtl/>
          <w:lang w:eastAsia="he-IL"/>
        </w:rPr>
        <w:t>(5.11.2019);</w:t>
      </w:r>
      <w:r w:rsidR="00F55A64">
        <w:rPr>
          <w:rFonts w:hint="cs"/>
          <w:rtl/>
          <w:lang w:eastAsia="he-IL"/>
        </w:rPr>
        <w:t xml:space="preserve"> </w:t>
      </w:r>
      <w:hyperlink r:id="rId36" w:history="1">
        <w:r w:rsidR="00F55A64" w:rsidRPr="00F55A64">
          <w:rPr>
            <w:color w:val="0000FF"/>
            <w:spacing w:val="10"/>
            <w:u w:val="single"/>
            <w:rtl/>
            <w:lang w:eastAsia="he-IL"/>
          </w:rPr>
          <w:t>ע"פ 116/13</w:t>
        </w:r>
      </w:hyperlink>
      <w:r w:rsidR="00F55A64">
        <w:rPr>
          <w:rFonts w:hint="cs"/>
          <w:rtl/>
          <w:lang w:eastAsia="he-IL"/>
        </w:rPr>
        <w:t xml:space="preserve"> </w:t>
      </w:r>
      <w:r w:rsidRPr="000C040A">
        <w:rPr>
          <w:rFonts w:hint="cs"/>
          <w:rtl/>
          <w:lang w:eastAsia="he-IL"/>
        </w:rPr>
        <w:t>וקנין נ' מדינת ישראל,</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פסקה 7 (31.7.2013)).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37" w:history="1">
        <w:r w:rsidR="00F55A64" w:rsidRPr="00F55A64">
          <w:rPr>
            <w:color w:val="0000FF"/>
            <w:spacing w:val="10"/>
            <w:u w:val="single"/>
            <w:rtl/>
            <w:lang w:eastAsia="he-IL"/>
          </w:rPr>
          <w:t>ע"פ 5807/20</w:t>
        </w:r>
      </w:hyperlink>
      <w:r w:rsidR="00F55A64">
        <w:rPr>
          <w:rFonts w:hint="cs"/>
          <w:rtl/>
          <w:lang w:eastAsia="he-IL"/>
        </w:rPr>
        <w:t xml:space="preserve"> </w:t>
      </w:r>
      <w:r w:rsidRPr="000C040A">
        <w:rPr>
          <w:rFonts w:hint="cs"/>
          <w:rtl/>
          <w:lang w:eastAsia="he-IL"/>
        </w:rPr>
        <w:t>שיבלי נ' מדינת ישראל,</w:t>
      </w:r>
      <w:r w:rsidR="00F55A64">
        <w:rPr>
          <w:rFonts w:hint="cs"/>
          <w:rtl/>
          <w:lang w:eastAsia="he-IL"/>
        </w:rPr>
        <w:t xml:space="preserve"> </w:t>
      </w:r>
      <w:r w:rsidRPr="000C040A">
        <w:rPr>
          <w:rFonts w:hint="cs"/>
          <w:rtl/>
          <w:lang w:eastAsia="he-IL"/>
        </w:rPr>
        <w:t>[פורסם בנבו]</w:t>
      </w:r>
      <w:r w:rsidR="00F55A64">
        <w:rPr>
          <w:rFonts w:hint="cs"/>
          <w:rtl/>
          <w:lang w:eastAsia="he-IL"/>
        </w:rPr>
        <w:t xml:space="preserve"> </w:t>
      </w:r>
      <w:r w:rsidRPr="000C040A">
        <w:rPr>
          <w:rFonts w:hint="cs"/>
          <w:rtl/>
          <w:lang w:eastAsia="he-IL"/>
        </w:rPr>
        <w:t>פסקה 8 (30.12.2020) (להלן: עניין</w:t>
      </w:r>
      <w:r w:rsidR="00F55A64">
        <w:rPr>
          <w:rFonts w:hint="cs"/>
          <w:rtl/>
          <w:lang w:eastAsia="he-IL"/>
        </w:rPr>
        <w:t xml:space="preserve"> </w:t>
      </w:r>
      <w:r w:rsidRPr="000C040A">
        <w:rPr>
          <w:rFonts w:hint="cs"/>
          <w:rtl/>
          <w:lang w:eastAsia="he-IL"/>
        </w:rPr>
        <w:t>שיבלי); עניין</w:t>
      </w:r>
      <w:r w:rsidR="00F55A64">
        <w:rPr>
          <w:rFonts w:hint="cs"/>
          <w:rtl/>
          <w:lang w:eastAsia="he-IL"/>
        </w:rPr>
        <w:t xml:space="preserve"> </w:t>
      </w:r>
      <w:r w:rsidRPr="000C040A">
        <w:rPr>
          <w:rFonts w:hint="cs"/>
          <w:rtl/>
          <w:lang w:eastAsia="he-IL"/>
        </w:rPr>
        <w:t>ביטון, פסקה 7; עניין</w:t>
      </w:r>
      <w:r w:rsidR="00F55A64">
        <w:rPr>
          <w:rFonts w:hint="cs"/>
          <w:rtl/>
          <w:lang w:eastAsia="he-IL"/>
        </w:rPr>
        <w:t xml:space="preserve"> </w:t>
      </w:r>
      <w:r w:rsidRPr="000C040A">
        <w:rPr>
          <w:rFonts w:hint="cs"/>
          <w:rtl/>
          <w:lang w:eastAsia="he-IL"/>
        </w:rPr>
        <w:t>גריפאת, פסקה 6); לעיתים</w:t>
      </w:r>
      <w:r w:rsidR="00F55A64">
        <w:rPr>
          <w:rFonts w:hint="cs"/>
          <w:rtl/>
          <w:lang w:eastAsia="he-IL"/>
        </w:rPr>
        <w:t xml:space="preserve"> </w:t>
      </w:r>
      <w:r w:rsidRPr="000C040A">
        <w:rPr>
          <w:rFonts w:hint="cs"/>
          <w:rtl/>
          <w:lang w:eastAsia="he-IL"/>
        </w:rPr>
        <w:t>"השעה צריכה לכך"</w:t>
      </w:r>
      <w:r w:rsidR="00F55A64">
        <w:rPr>
          <w:rFonts w:hint="cs"/>
          <w:rtl/>
          <w:lang w:eastAsia="he-IL"/>
        </w:rPr>
        <w:t xml:space="preserve"> </w:t>
      </w:r>
      <w:r w:rsidRPr="000C040A">
        <w:rPr>
          <w:rFonts w:hint="cs"/>
          <w:rtl/>
          <w:lang w:eastAsia="he-IL"/>
        </w:rPr>
        <w:t>(בבלי, סנהדרין מו, ע"א)."</w:t>
      </w:r>
    </w:p>
    <w:p w14:paraId="120962FF" w14:textId="77777777" w:rsidR="00CE0FC2" w:rsidRPr="000C040A" w:rsidRDefault="00CE0FC2" w:rsidP="00CE0FC2">
      <w:pPr>
        <w:spacing w:line="360" w:lineRule="auto"/>
        <w:jc w:val="both"/>
        <w:rPr>
          <w:rtl/>
        </w:rPr>
      </w:pPr>
    </w:p>
    <w:p w14:paraId="0D278BC2" w14:textId="77777777" w:rsidR="00CE0FC2" w:rsidRPr="000C040A" w:rsidRDefault="00CE0FC2" w:rsidP="00CE0FC2">
      <w:pPr>
        <w:spacing w:line="360" w:lineRule="auto"/>
        <w:ind w:left="720"/>
        <w:jc w:val="both"/>
        <w:rPr>
          <w:rtl/>
        </w:rPr>
      </w:pPr>
      <w:r w:rsidRPr="000C040A">
        <w:rPr>
          <w:rFonts w:hint="cs"/>
          <w:rtl/>
        </w:rPr>
        <w:t>ב</w:t>
      </w:r>
      <w:hyperlink r:id="rId38" w:history="1">
        <w:r w:rsidR="00F55A64" w:rsidRPr="00F55A64">
          <w:rPr>
            <w:color w:val="0000FF"/>
            <w:u w:val="single"/>
            <w:rtl/>
          </w:rPr>
          <w:t>ע"פ 1509-20</w:t>
        </w:r>
      </w:hyperlink>
      <w:r w:rsidR="00F55A64">
        <w:rPr>
          <w:rFonts w:hint="cs"/>
          <w:rtl/>
        </w:rPr>
        <w:t xml:space="preserve"> </w:t>
      </w:r>
      <w:r w:rsidRPr="000C040A">
        <w:rPr>
          <w:rFonts w:hint="cs"/>
          <w:b/>
          <w:bCs/>
          <w:rtl/>
        </w:rPr>
        <w:t>מדינת ישראל</w:t>
      </w:r>
      <w:r w:rsidRPr="000C040A">
        <w:rPr>
          <w:rFonts w:hint="cs"/>
          <w:rtl/>
        </w:rPr>
        <w:t xml:space="preserve"> נ' </w:t>
      </w:r>
      <w:r w:rsidRPr="000C040A">
        <w:rPr>
          <w:rFonts w:hint="cs"/>
          <w:b/>
          <w:bCs/>
          <w:rtl/>
        </w:rPr>
        <w:t xml:space="preserve">ראפאת נבארי </w:t>
      </w:r>
      <w:r w:rsidRPr="000C040A">
        <w:rPr>
          <w:rFonts w:hint="cs"/>
          <w:rtl/>
        </w:rPr>
        <w:t xml:space="preserve">(02/07/20) בית המשפט העליון החמיר בעונשו של המשיב, אשר הורשע בנשיאה והובלה של נשק ובירי מנשק חם באזור מגורים, והטיל עליו </w:t>
      </w:r>
      <w:r w:rsidRPr="000C040A">
        <w:rPr>
          <w:rFonts w:hint="cs"/>
          <w:b/>
          <w:bCs/>
          <w:rtl/>
        </w:rPr>
        <w:t>36 חודשי מאסר בפועל</w:t>
      </w:r>
      <w:r w:rsidRPr="000C040A">
        <w:rPr>
          <w:rFonts w:hint="cs"/>
          <w:rtl/>
        </w:rPr>
        <w:t xml:space="preserve">, תחת עונש מאסר של 27 חודשים שנקבע לו בבית המשפט המחוזי, תוך ציון ההלכה שערכאת הערעור איננה ממצה את הדין. </w:t>
      </w:r>
    </w:p>
    <w:p w14:paraId="41295104" w14:textId="77777777" w:rsidR="00CE0FC2" w:rsidRPr="000C040A" w:rsidRDefault="00CE0FC2" w:rsidP="00CE0FC2">
      <w:pPr>
        <w:spacing w:line="360" w:lineRule="auto"/>
        <w:ind w:left="720"/>
        <w:jc w:val="both"/>
        <w:rPr>
          <w:rtl/>
        </w:rPr>
      </w:pPr>
    </w:p>
    <w:p w14:paraId="6915E17D" w14:textId="77777777" w:rsidR="00CE0FC2" w:rsidRPr="000C040A" w:rsidRDefault="00CE0FC2" w:rsidP="00CE0FC2">
      <w:pPr>
        <w:spacing w:line="360" w:lineRule="auto"/>
        <w:ind w:left="720" w:hanging="720"/>
        <w:jc w:val="both"/>
        <w:rPr>
          <w:rtl/>
        </w:rPr>
      </w:pPr>
      <w:r w:rsidRPr="000C040A">
        <w:rPr>
          <w:rFonts w:hint="cs"/>
          <w:rtl/>
        </w:rPr>
        <w:t>17.</w:t>
      </w:r>
      <w:r w:rsidRPr="000C040A">
        <w:rPr>
          <w:rFonts w:hint="cs"/>
          <w:rtl/>
        </w:rPr>
        <w:tab/>
        <w:t xml:space="preserve">הגם שהאירוע עצמו לא תוכנן מראש על ידי הנאשמים, הרי שהחזקת כלי הנשק על ידי הנאשמים 2 ו-3 כרוכה מטבעה בצעדים מקדימים יזומים, וכך גם יציאת הנאשמים מביתם לרחוב, במגמת עימות, כשהנאשמים 2 ו- 3 אוחזים בידיהם כלי נשק, היתה יזומה. ובהמשך, הירי של הנאשם 3 ואחר כך הירי של הנאשם 2 לעבר כלי הרכב שכבר ניתקו מגע, היו יזומים. </w:t>
      </w:r>
    </w:p>
    <w:p w14:paraId="07786CDA" w14:textId="77777777" w:rsidR="00CE0FC2" w:rsidRPr="000C040A" w:rsidRDefault="00CE0FC2" w:rsidP="00CE0FC2">
      <w:pPr>
        <w:spacing w:line="360" w:lineRule="auto"/>
        <w:ind w:left="720" w:hanging="720"/>
        <w:jc w:val="both"/>
        <w:rPr>
          <w:rtl/>
        </w:rPr>
      </w:pPr>
      <w:r w:rsidRPr="000C040A">
        <w:rPr>
          <w:rFonts w:hint="cs"/>
          <w:rtl/>
        </w:rPr>
        <w:tab/>
      </w:r>
    </w:p>
    <w:p w14:paraId="31F4A503" w14:textId="77777777" w:rsidR="00CE0FC2" w:rsidRPr="000C040A" w:rsidRDefault="00CE0FC2" w:rsidP="00CE0FC2">
      <w:pPr>
        <w:spacing w:line="360" w:lineRule="auto"/>
        <w:ind w:left="720"/>
        <w:jc w:val="both"/>
        <w:rPr>
          <w:rtl/>
        </w:rPr>
      </w:pPr>
      <w:r w:rsidRPr="000C040A">
        <w:rPr>
          <w:rFonts w:hint="cs"/>
          <w:rtl/>
        </w:rPr>
        <w:t xml:space="preserve">חלקו של הנאשם 1 באירוע שונה וקטן משמעותית מחלקם של הנאשמים 2 ו- 3. </w:t>
      </w:r>
    </w:p>
    <w:p w14:paraId="116B3850" w14:textId="77777777" w:rsidR="00CE0FC2" w:rsidRPr="000C040A" w:rsidRDefault="00CE0FC2" w:rsidP="00CE0FC2">
      <w:pPr>
        <w:spacing w:line="360" w:lineRule="auto"/>
        <w:ind w:left="720" w:hanging="720"/>
        <w:jc w:val="both"/>
        <w:rPr>
          <w:rtl/>
        </w:rPr>
      </w:pPr>
      <w:r w:rsidRPr="000C040A">
        <w:rPr>
          <w:rFonts w:hint="cs"/>
          <w:rtl/>
        </w:rPr>
        <w:tab/>
        <w:t>חלקם היחסי של הנאשמים 2 ו- 3 באירוע דומה בעיקרו. שניהם יצאו יחד כשבידיהם נשק ושניהם עשו שימוש בנשק. אלא שהנאשם 2 ירה 3 יריות כשהרכבים כבר היו בנסיעה ואילו הנאשם 3 ירה יריה אחת, מקרוב, לעבר אחד הרכבים.</w:t>
      </w:r>
    </w:p>
    <w:p w14:paraId="595C0ED5" w14:textId="77777777" w:rsidR="00CE0FC2" w:rsidRPr="000C040A" w:rsidRDefault="00CE0FC2" w:rsidP="00CE0FC2">
      <w:pPr>
        <w:spacing w:line="360" w:lineRule="auto"/>
        <w:ind w:left="720" w:hanging="720"/>
        <w:jc w:val="both"/>
        <w:rPr>
          <w:rtl/>
        </w:rPr>
      </w:pPr>
      <w:r w:rsidRPr="000C040A">
        <w:rPr>
          <w:rFonts w:hint="cs"/>
          <w:rtl/>
        </w:rPr>
        <w:t xml:space="preserve">  </w:t>
      </w:r>
    </w:p>
    <w:p w14:paraId="3BB1DCF1" w14:textId="77777777" w:rsidR="00CE0FC2" w:rsidRPr="000C040A" w:rsidRDefault="00CE0FC2" w:rsidP="00CE0FC2">
      <w:pPr>
        <w:spacing w:line="360" w:lineRule="auto"/>
        <w:ind w:left="720"/>
        <w:jc w:val="both"/>
        <w:rPr>
          <w:rtl/>
        </w:rPr>
      </w:pPr>
      <w:r w:rsidRPr="000C040A">
        <w:rPr>
          <w:rFonts w:hint="cs"/>
          <w:rtl/>
        </w:rPr>
        <w:t>פציעות הירי שנגרמו לאחד מיושבי הרכב לא יוחסו לנאשמים, אולם עדיין יש משמעות מסוימת לכך שבאירוע עצמו אדם נפגע מירי.</w:t>
      </w:r>
      <w:r w:rsidRPr="000C040A">
        <w:rPr>
          <w:rFonts w:hint="cs"/>
          <w:rtl/>
        </w:rPr>
        <w:tab/>
      </w:r>
    </w:p>
    <w:p w14:paraId="3175E20B" w14:textId="77777777" w:rsidR="00CE0FC2" w:rsidRPr="000C040A" w:rsidRDefault="00CE0FC2" w:rsidP="00CE0FC2">
      <w:pPr>
        <w:spacing w:line="360" w:lineRule="auto"/>
        <w:ind w:left="720" w:hanging="720"/>
        <w:jc w:val="both"/>
        <w:rPr>
          <w:rtl/>
        </w:rPr>
      </w:pPr>
      <w:r w:rsidRPr="000C040A">
        <w:rPr>
          <w:rFonts w:hint="cs"/>
          <w:rtl/>
        </w:rPr>
        <w:tab/>
      </w:r>
    </w:p>
    <w:p w14:paraId="126D8755" w14:textId="77777777" w:rsidR="00CE0FC2" w:rsidRPr="000C040A" w:rsidRDefault="00CE0FC2" w:rsidP="00CE0FC2">
      <w:pPr>
        <w:spacing w:line="360" w:lineRule="auto"/>
        <w:ind w:left="720"/>
        <w:jc w:val="both"/>
        <w:rPr>
          <w:rtl/>
        </w:rPr>
      </w:pPr>
      <w:r w:rsidRPr="000C040A">
        <w:rPr>
          <w:rFonts w:hint="cs"/>
          <w:rtl/>
        </w:rPr>
        <w:t xml:space="preserve">ירי בלב שכונת מגורים גורם מטבע הדברים לפגיעה רגשית ולחשש אצל תושבי השכונה ובכלל. </w:t>
      </w:r>
    </w:p>
    <w:p w14:paraId="0EED785C" w14:textId="77777777" w:rsidR="00CE0FC2" w:rsidRPr="000C040A" w:rsidRDefault="00CE0FC2" w:rsidP="00CE0FC2">
      <w:pPr>
        <w:spacing w:line="360" w:lineRule="auto"/>
        <w:ind w:left="720"/>
        <w:jc w:val="both"/>
        <w:rPr>
          <w:rtl/>
        </w:rPr>
      </w:pPr>
    </w:p>
    <w:p w14:paraId="472F28E7" w14:textId="77777777" w:rsidR="00CE0FC2" w:rsidRPr="000C040A" w:rsidRDefault="00CE0FC2" w:rsidP="00CE0FC2">
      <w:pPr>
        <w:spacing w:line="360" w:lineRule="auto"/>
        <w:ind w:left="720"/>
        <w:jc w:val="both"/>
        <w:rPr>
          <w:rtl/>
        </w:rPr>
      </w:pPr>
      <w:r w:rsidRPr="000C040A">
        <w:rPr>
          <w:rFonts w:hint="cs"/>
          <w:rtl/>
        </w:rPr>
        <w:t xml:space="preserve">ברור שבנסיבות, הירי של הנאשמים 2 ו- 3 יכל לגרום לפגיעה משמעותית הן למעורבים באירוע והן לאחרים שהיו בסביבה. </w:t>
      </w:r>
    </w:p>
    <w:p w14:paraId="77410AB2" w14:textId="77777777" w:rsidR="00CE0FC2" w:rsidRPr="000C040A" w:rsidRDefault="00CE0FC2" w:rsidP="00CE0FC2">
      <w:pPr>
        <w:spacing w:line="360" w:lineRule="auto"/>
        <w:ind w:left="720"/>
        <w:jc w:val="both"/>
        <w:rPr>
          <w:rtl/>
        </w:rPr>
      </w:pPr>
    </w:p>
    <w:p w14:paraId="15443445" w14:textId="77777777" w:rsidR="00CE0FC2" w:rsidRPr="000C040A" w:rsidRDefault="00CE0FC2" w:rsidP="00CE0FC2">
      <w:pPr>
        <w:spacing w:line="360" w:lineRule="auto"/>
        <w:jc w:val="both"/>
        <w:rPr>
          <w:rtl/>
        </w:rPr>
      </w:pPr>
      <w:r w:rsidRPr="000C040A">
        <w:rPr>
          <w:rFonts w:hint="cs"/>
          <w:rtl/>
        </w:rPr>
        <w:t>18.</w:t>
      </w:r>
      <w:r w:rsidRPr="000C040A">
        <w:rPr>
          <w:rFonts w:hint="cs"/>
          <w:rtl/>
        </w:rPr>
        <w:tab/>
        <w:t xml:space="preserve">ברגיל, אדם שחושש מהגעת אחרים לסביבה בה הוא נמצא, נשאר בביתו ומזעיק משטרה. </w:t>
      </w:r>
    </w:p>
    <w:p w14:paraId="7495FA3A" w14:textId="77777777" w:rsidR="00CE0FC2" w:rsidRPr="000C040A" w:rsidRDefault="00CE0FC2" w:rsidP="00CE0FC2">
      <w:pPr>
        <w:spacing w:line="360" w:lineRule="auto"/>
        <w:ind w:left="720"/>
        <w:jc w:val="both"/>
        <w:rPr>
          <w:rtl/>
        </w:rPr>
      </w:pPr>
      <w:r w:rsidRPr="000C040A">
        <w:rPr>
          <w:rFonts w:hint="cs"/>
          <w:rtl/>
        </w:rPr>
        <w:t xml:space="preserve">אולם כאן, שורש הענין נעוץ בהתנהלות עבריינית של הנאשמים, במסגרתה הוחזקו כלי הנשק ללא היתר והנאשמים הגיבו כפי שהגיבו. למי שמתנהל לפי קודים עברייניים, הפנייה למשטרה לעזרה איננה אופציה. בהמשך לכך, הנאשם 1, אביו של הנאשם 2, דאג לסילוק ראיות מפלילות מהזירה, וכמובן שכלי הנשק מהם נורו היריות לא הוסגרו למשטרה. </w:t>
      </w:r>
    </w:p>
    <w:p w14:paraId="38AD87FE" w14:textId="77777777" w:rsidR="00CE0FC2" w:rsidRPr="000C040A" w:rsidRDefault="00CE0FC2" w:rsidP="00CE0FC2">
      <w:pPr>
        <w:spacing w:line="360" w:lineRule="auto"/>
        <w:ind w:left="720"/>
        <w:jc w:val="both"/>
        <w:rPr>
          <w:rtl/>
        </w:rPr>
      </w:pPr>
    </w:p>
    <w:p w14:paraId="7446FE1A" w14:textId="77777777" w:rsidR="00CE0FC2" w:rsidRPr="000C040A" w:rsidRDefault="00CE0FC2" w:rsidP="00CE0FC2">
      <w:pPr>
        <w:spacing w:line="360" w:lineRule="auto"/>
        <w:ind w:left="720" w:hanging="720"/>
        <w:jc w:val="both"/>
        <w:rPr>
          <w:rtl/>
        </w:rPr>
      </w:pPr>
      <w:r w:rsidRPr="000C040A">
        <w:rPr>
          <w:rFonts w:hint="cs"/>
          <w:rtl/>
        </w:rPr>
        <w:t>19.</w:t>
      </w:r>
      <w:r w:rsidRPr="000C040A">
        <w:rPr>
          <w:rFonts w:hint="cs"/>
          <w:rtl/>
        </w:rPr>
        <w:tab/>
        <w:t xml:space="preserve">ב"כ הנאשמים 1 ו- 2 טענה בין היתר, שמדובר ב"הגנה עצמית" ושאף אחד מהנאשמים לא ביקש לפגוע באותם אחרים. טענה זו הוצגה על ידי הסנגורית במסגרת טיעוני הנאשמים לעונש, מבלי שהוצגה לכך כל ראיה ואף מבלי שהנאשמים עצמם יעידו על כך. </w:t>
      </w:r>
      <w:hyperlink r:id="rId39" w:history="1">
        <w:r w:rsidR="00AB302C" w:rsidRPr="00AB302C">
          <w:rPr>
            <w:rStyle w:val="Hyperlink"/>
            <w:rFonts w:hint="eastAsia"/>
            <w:rtl/>
          </w:rPr>
          <w:t>סעיף</w:t>
        </w:r>
        <w:r w:rsidR="00AB302C" w:rsidRPr="00AB302C">
          <w:rPr>
            <w:rStyle w:val="Hyperlink"/>
            <w:rtl/>
          </w:rPr>
          <w:t xml:space="preserve"> 40י'</w:t>
        </w:r>
      </w:hyperlink>
      <w:r w:rsidRPr="000C040A">
        <w:rPr>
          <w:rFonts w:hint="cs"/>
          <w:rtl/>
        </w:rPr>
        <w:t xml:space="preserve"> ב</w:t>
      </w:r>
      <w:hyperlink r:id="rId40" w:history="1">
        <w:r w:rsidR="00F55A64" w:rsidRPr="00F55A64">
          <w:rPr>
            <w:color w:val="0000FF"/>
            <w:u w:val="single"/>
            <w:rtl/>
          </w:rPr>
          <w:t>חוק העונשין</w:t>
        </w:r>
      </w:hyperlink>
      <w:r w:rsidRPr="000C040A">
        <w:rPr>
          <w:rFonts w:hint="cs"/>
          <w:rtl/>
        </w:rPr>
        <w:t xml:space="preserve"> קובע את דרך ומידת הוכחת נסיבה מקילה הקשורה בביצוע העבירה. טענה בעלמא מפי סנגור איננה מספקת לקביעת התקיימותה של נסיבה מקילה הקשורה בביצוע העבירה. </w:t>
      </w:r>
    </w:p>
    <w:p w14:paraId="628F1BB0" w14:textId="77777777" w:rsidR="00CE0FC2" w:rsidRPr="000C040A" w:rsidRDefault="00CE0FC2" w:rsidP="00CE0FC2">
      <w:pPr>
        <w:spacing w:line="360" w:lineRule="auto"/>
        <w:ind w:left="720" w:hanging="720"/>
        <w:jc w:val="both"/>
        <w:rPr>
          <w:rtl/>
        </w:rPr>
      </w:pPr>
    </w:p>
    <w:p w14:paraId="27260CAD" w14:textId="77777777" w:rsidR="00CE0FC2" w:rsidRPr="000C040A" w:rsidRDefault="00CE0FC2" w:rsidP="00CE0FC2">
      <w:pPr>
        <w:spacing w:line="360" w:lineRule="auto"/>
        <w:ind w:left="720"/>
        <w:jc w:val="both"/>
        <w:rPr>
          <w:rtl/>
        </w:rPr>
      </w:pPr>
      <w:r w:rsidRPr="000C040A">
        <w:rPr>
          <w:rFonts w:hint="cs"/>
          <w:rtl/>
        </w:rPr>
        <w:t xml:space="preserve">בנוסף לכך, הניסיון השיפוטי מלמד, שבאירועים על רקע יריבויות עברייניות, בהן בדרך כלל המעורבים אינם משתפים פעולה עם החקירה - הנפגעים אינם מגישים תלונה ואינם מוסרים את מה שידוע להם, והחשודים שומרים על זכות השתיקה - התמונה המוצגת בבית המשפט חלקית ביותר ומתייחסת רק לקצה הקרחון הנגלה מעל פני השטח. חשבונות בין עבריינים קשורים לא אחת לאירועים קודמים ולמעשים נוספים של הצדדים המעורבים, היכולים להאיר את האירוע המסוים המתברר בבית המשפט באור אחר ממה שנראה. ובמצב דברים זה קשה לדעת מה עומד מאחורי אירוע מסוים ומי האחראי המהותי להתרחשותו ואין להסיק מסקנות מהחלונית (פריים) הקצרה המוצגת בבית המשפט ביחס לאירוע. </w:t>
      </w:r>
    </w:p>
    <w:p w14:paraId="79C1053D" w14:textId="77777777" w:rsidR="00CE0FC2" w:rsidRPr="000C040A" w:rsidRDefault="00CE0FC2" w:rsidP="00CE0FC2">
      <w:pPr>
        <w:spacing w:line="360" w:lineRule="auto"/>
        <w:ind w:left="720"/>
        <w:jc w:val="both"/>
      </w:pPr>
    </w:p>
    <w:p w14:paraId="7CF2DE6E" w14:textId="77777777" w:rsidR="00CE0FC2" w:rsidRPr="000C040A" w:rsidRDefault="00CE0FC2" w:rsidP="00CE0FC2">
      <w:pPr>
        <w:spacing w:line="360" w:lineRule="auto"/>
        <w:ind w:left="720" w:hanging="720"/>
        <w:jc w:val="both"/>
        <w:rPr>
          <w:rtl/>
        </w:rPr>
      </w:pPr>
      <w:r w:rsidRPr="000C040A">
        <w:rPr>
          <w:rFonts w:hint="cs"/>
          <w:rtl/>
        </w:rPr>
        <w:t>20.</w:t>
      </w:r>
      <w:r w:rsidRPr="000C040A">
        <w:rPr>
          <w:rFonts w:hint="cs"/>
          <w:rtl/>
        </w:rPr>
        <w:tab/>
        <w:t>בהתחשב בחומרת מעשי העבירות של הנאשמים 2 ו-3 בנסיבותיהם, בערכים המוגנים שנפגעו, במידת הפגיעה בהם, במדיניות הענישה הנוהגת, ובנסיבות הקשורות בביצוע העבירות, מתחם העונש ההולם למעשי הנאשמים 2 ו- 3 נע בין 4 ל- 6 שנות מאסר בפועל.</w:t>
      </w:r>
    </w:p>
    <w:p w14:paraId="0C4C2A1C" w14:textId="77777777" w:rsidR="00CE0FC2" w:rsidRPr="000C040A" w:rsidRDefault="00CE0FC2" w:rsidP="00CE0FC2">
      <w:pPr>
        <w:spacing w:line="360" w:lineRule="auto"/>
        <w:jc w:val="both"/>
        <w:rPr>
          <w:rtl/>
        </w:rPr>
      </w:pPr>
    </w:p>
    <w:p w14:paraId="60F8294B" w14:textId="77777777" w:rsidR="00CE0FC2" w:rsidRPr="000C040A" w:rsidRDefault="00CE0FC2" w:rsidP="00CE0FC2">
      <w:pPr>
        <w:spacing w:line="360" w:lineRule="auto"/>
        <w:ind w:left="720" w:hanging="720"/>
        <w:jc w:val="both"/>
        <w:rPr>
          <w:rtl/>
        </w:rPr>
      </w:pPr>
      <w:r w:rsidRPr="000C040A">
        <w:rPr>
          <w:rFonts w:hint="cs"/>
          <w:rtl/>
        </w:rPr>
        <w:t>21.</w:t>
      </w:r>
      <w:r w:rsidRPr="000C040A">
        <w:rPr>
          <w:rFonts w:hint="cs"/>
          <w:rtl/>
        </w:rPr>
        <w:tab/>
        <w:t xml:space="preserve">לנאשם 1, עבר פלילי במגוון עבירות והוא נשא עונשי מאסר. הרשעתו האחרונה היא מלפני כ-8 שנים. </w:t>
      </w:r>
    </w:p>
    <w:p w14:paraId="2B551A22" w14:textId="77777777" w:rsidR="00CE0FC2" w:rsidRPr="000C040A" w:rsidRDefault="00CE0FC2" w:rsidP="00CE0FC2">
      <w:pPr>
        <w:spacing w:line="360" w:lineRule="auto"/>
        <w:ind w:left="720"/>
        <w:jc w:val="both"/>
        <w:rPr>
          <w:rtl/>
        </w:rPr>
      </w:pPr>
      <w:r w:rsidRPr="000C040A">
        <w:rPr>
          <w:rFonts w:hint="cs"/>
          <w:rtl/>
        </w:rPr>
        <w:t xml:space="preserve">לנאשם 2, שתי הרשעות קודמות. האחת, בעבירה של מתן אמצעים לביצוע פשע, נוגעת למעורבות הנאשם בהעברת מטען חבלה משמעותי. והשניה, בעבירה של סחיטה בכח והחזקת סכין שלא כדין, נוגעת לסדרת מעשי סחיטה בכח חמורים של הנאשם כלפי מי ששימש סוכן משטרתי, בעת פעולתו הסמויה של הסוכן. </w:t>
      </w:r>
    </w:p>
    <w:p w14:paraId="7AD855CD" w14:textId="77777777" w:rsidR="00CE0FC2" w:rsidRPr="000C040A" w:rsidRDefault="00CE0FC2" w:rsidP="00CE0FC2">
      <w:pPr>
        <w:spacing w:line="360" w:lineRule="auto"/>
        <w:ind w:left="720"/>
        <w:jc w:val="both"/>
        <w:rPr>
          <w:rtl/>
        </w:rPr>
      </w:pPr>
      <w:r w:rsidRPr="000C040A">
        <w:rPr>
          <w:rFonts w:hint="cs"/>
          <w:rtl/>
        </w:rPr>
        <w:t>ביום 02.01.2019  הנאשם נדון ב</w:t>
      </w:r>
      <w:hyperlink r:id="rId41" w:history="1">
        <w:r w:rsidR="00F55A64" w:rsidRPr="00F55A64">
          <w:rPr>
            <w:color w:val="0000FF"/>
            <w:u w:val="single"/>
            <w:rtl/>
          </w:rPr>
          <w:t>ת.פ. 51512-02-18</w:t>
        </w:r>
      </w:hyperlink>
      <w:r w:rsidRPr="000C040A">
        <w:rPr>
          <w:rFonts w:hint="cs"/>
          <w:rtl/>
        </w:rPr>
        <w:t xml:space="preserve"> של בית משפט המחוזי בבאר שבע, (הסחיטה בכח) בין היתר, ל- 24 חודשי מאסר בפועל, ולשנת מאסר על תנאי למשך שלוש שנים מיום שחרורו מהמאסר, שלא יעבור העבירה בה הורשע או עבירת אלימות כנגד גוף אדם מסוג פשע. אין חולק שהעבירה בה הורשע בתיק זה, מפעילה את המאסר על תנאי האמור. </w:t>
      </w:r>
    </w:p>
    <w:p w14:paraId="5860964D" w14:textId="77777777" w:rsidR="00CE0FC2" w:rsidRPr="000C040A" w:rsidRDefault="00CE0FC2" w:rsidP="00CE0FC2">
      <w:pPr>
        <w:spacing w:line="360" w:lineRule="auto"/>
        <w:ind w:left="720"/>
        <w:jc w:val="both"/>
        <w:rPr>
          <w:rtl/>
        </w:rPr>
      </w:pPr>
      <w:r w:rsidRPr="000C040A">
        <w:rPr>
          <w:rFonts w:hint="cs"/>
          <w:rtl/>
        </w:rPr>
        <w:t xml:space="preserve">לנאשם 3, הרשעה אחת קודמת, המתייחסת לשני תיקים שונים, בעבירות של סחר בסמים והחזקת סמים שלא לצריכה עצמית. עליה נדון ל-7 חודשי מאסר בפועל. </w:t>
      </w:r>
    </w:p>
    <w:p w14:paraId="0C72F97E" w14:textId="77777777" w:rsidR="00CE0FC2" w:rsidRPr="000C040A" w:rsidRDefault="00CE0FC2" w:rsidP="00CE0FC2">
      <w:pPr>
        <w:spacing w:line="360" w:lineRule="auto"/>
        <w:ind w:left="720" w:hanging="720"/>
        <w:jc w:val="both"/>
        <w:rPr>
          <w:rtl/>
        </w:rPr>
      </w:pPr>
    </w:p>
    <w:p w14:paraId="31DA115E" w14:textId="77777777" w:rsidR="00CE0FC2" w:rsidRDefault="00CE0FC2" w:rsidP="00CE0FC2">
      <w:pPr>
        <w:spacing w:line="360" w:lineRule="auto"/>
        <w:ind w:left="720" w:hanging="720"/>
        <w:jc w:val="both"/>
        <w:rPr>
          <w:rtl/>
          <w:lang w:eastAsia="he-IL"/>
        </w:rPr>
      </w:pPr>
      <w:r w:rsidRPr="000C040A">
        <w:rPr>
          <w:rFonts w:hint="cs"/>
          <w:rtl/>
          <w:lang w:eastAsia="he-IL"/>
        </w:rPr>
        <w:t>22.</w:t>
      </w:r>
      <w:r w:rsidRPr="000C040A">
        <w:rPr>
          <w:rFonts w:hint="cs"/>
          <w:rtl/>
          <w:lang w:eastAsia="he-IL"/>
        </w:rPr>
        <w:tab/>
        <w:t xml:space="preserve">בהינתן מתחם העונש ההולם למעשי הנאשמים 2 ו-3, ונתוניהם של הנאשמים, הרי שלולא הסדר הטיעון עונש המאסר הראוי להם היה נע סביב 5 שנות מאסר, לצד הפעלת המאסר על תנאי לנאשם 2. </w:t>
      </w:r>
    </w:p>
    <w:p w14:paraId="15D91EA4" w14:textId="77777777" w:rsidR="00CE0FC2" w:rsidRPr="000C040A" w:rsidRDefault="00CE0FC2" w:rsidP="00CE0FC2">
      <w:pPr>
        <w:spacing w:line="360" w:lineRule="auto"/>
        <w:ind w:left="720" w:hanging="720"/>
        <w:jc w:val="both"/>
        <w:rPr>
          <w:rtl/>
          <w:lang w:eastAsia="he-IL"/>
        </w:rPr>
      </w:pPr>
    </w:p>
    <w:p w14:paraId="457924BD" w14:textId="77777777" w:rsidR="00CE0FC2" w:rsidRPr="000C040A" w:rsidRDefault="00CE0FC2" w:rsidP="00CE0FC2">
      <w:pPr>
        <w:spacing w:line="360" w:lineRule="auto"/>
        <w:ind w:left="720" w:hanging="720"/>
        <w:jc w:val="both"/>
        <w:rPr>
          <w:rtl/>
          <w:lang w:eastAsia="he-IL"/>
        </w:rPr>
      </w:pPr>
      <w:r w:rsidRPr="000C040A">
        <w:rPr>
          <w:rFonts w:hint="cs"/>
          <w:rtl/>
          <w:lang w:eastAsia="he-IL"/>
        </w:rPr>
        <w:t>23.</w:t>
      </w:r>
      <w:r w:rsidRPr="000C040A">
        <w:rPr>
          <w:rFonts w:hint="cs"/>
          <w:rtl/>
          <w:lang w:eastAsia="he-IL"/>
        </w:rPr>
        <w:tab/>
        <w:t xml:space="preserve">הנימוקים שהוצגו על ידי הצדדים בטיעוניהם לעונש, אינם מצדיקים הקלה כה משמעותית בעונשיהם של הנאשמים 2 ו- 3. </w:t>
      </w:r>
    </w:p>
    <w:p w14:paraId="5383321D" w14:textId="77777777" w:rsidR="00CE0FC2" w:rsidRPr="000C040A" w:rsidRDefault="00CE0FC2" w:rsidP="00CE0FC2">
      <w:pPr>
        <w:spacing w:line="360" w:lineRule="auto"/>
        <w:jc w:val="both"/>
        <w:rPr>
          <w:rtl/>
          <w:lang w:eastAsia="he-IL"/>
        </w:rPr>
      </w:pPr>
    </w:p>
    <w:p w14:paraId="6B265900" w14:textId="77777777" w:rsidR="00CE0FC2" w:rsidRPr="000C040A" w:rsidRDefault="00CE0FC2" w:rsidP="00CE0FC2">
      <w:pPr>
        <w:spacing w:line="360" w:lineRule="auto"/>
        <w:ind w:left="720" w:hanging="720"/>
        <w:jc w:val="both"/>
        <w:rPr>
          <w:rtl/>
          <w:lang w:eastAsia="he-IL"/>
        </w:rPr>
      </w:pPr>
      <w:r w:rsidRPr="000C040A">
        <w:rPr>
          <w:rFonts w:hint="cs"/>
          <w:rtl/>
          <w:lang w:eastAsia="he-IL"/>
        </w:rPr>
        <w:t>24.</w:t>
      </w:r>
      <w:r w:rsidRPr="000C040A">
        <w:rPr>
          <w:rFonts w:hint="cs"/>
          <w:rtl/>
          <w:lang w:eastAsia="he-IL"/>
        </w:rPr>
        <w:tab/>
        <w:t>עקרונית, קושי ראייתי הוא שיקול רלוונטי משמעותי בבחינת סבירות הסדר טיעון. אולם, מטבע הדברים, קושי ראייתי יכול להתבטא באופנים שונים, המשפיעים על המשקל שיש לתת לו בהסדר הטיעון. על מנת לעמוד על סבירות ההסדר במקרה קונקרטי שההקלה העונשית הגלומה בו מוסברת בקושי ראייתי, יש לבחון את טיב הקושי הראייתי והשפעתו על ניהול המשפט והערכת תוצאתו, אל מול מידת ההקלה הגלומה בעונש המוצע בהסדר, בהשוואה לעונש ההולם את חומרת מעשה העבירה בנסיבותיו ומידת אשמו של הנאשם.</w:t>
      </w:r>
    </w:p>
    <w:p w14:paraId="3931465E" w14:textId="77777777" w:rsidR="00CE0FC2" w:rsidRPr="000C040A" w:rsidRDefault="00CE0FC2" w:rsidP="00CE0FC2">
      <w:pPr>
        <w:spacing w:line="360" w:lineRule="auto"/>
        <w:ind w:left="720" w:hanging="720"/>
        <w:jc w:val="both"/>
        <w:rPr>
          <w:rtl/>
          <w:lang w:eastAsia="he-IL"/>
        </w:rPr>
      </w:pPr>
    </w:p>
    <w:p w14:paraId="3265573F" w14:textId="77777777" w:rsidR="00CE0FC2" w:rsidRPr="000C040A" w:rsidRDefault="00CE0FC2" w:rsidP="00CE0FC2">
      <w:pPr>
        <w:spacing w:line="360" w:lineRule="auto"/>
        <w:ind w:left="720" w:hanging="720"/>
        <w:jc w:val="both"/>
        <w:rPr>
          <w:rtl/>
          <w:lang w:eastAsia="he-IL"/>
        </w:rPr>
      </w:pPr>
      <w:r w:rsidRPr="000C040A">
        <w:rPr>
          <w:rFonts w:hint="cs"/>
          <w:rtl/>
          <w:lang w:eastAsia="he-IL"/>
        </w:rPr>
        <w:t>25.</w:t>
      </w:r>
      <w:r w:rsidRPr="000C040A">
        <w:rPr>
          <w:rFonts w:hint="cs"/>
          <w:rtl/>
          <w:lang w:eastAsia="he-IL"/>
        </w:rPr>
        <w:tab/>
        <w:t xml:space="preserve">כאן, כעולה מטיעוני הצדדים, האירוע נקלט במצלמות אבטחה וניתן לראות בסרטונים את אחזקת כלי הנשק על ידי הנאשמים 2 ו- 3 ואת רשפי הירי היוצאים מכלי הנשק בעת הירי לעבר כלי הרכב. כך שבידי התביעה היו ראיות חזקות להוכחת נשיאת הנשק והירי בו. על כך גם ההגנה איננה חולקת. </w:t>
      </w:r>
    </w:p>
    <w:p w14:paraId="74D0D038" w14:textId="77777777" w:rsidR="00CE0FC2" w:rsidRPr="000C040A" w:rsidRDefault="00CE0FC2" w:rsidP="00CE0FC2">
      <w:pPr>
        <w:spacing w:line="360" w:lineRule="auto"/>
        <w:ind w:left="720"/>
        <w:jc w:val="both"/>
        <w:rPr>
          <w:rtl/>
          <w:lang w:eastAsia="he-IL"/>
        </w:rPr>
      </w:pPr>
    </w:p>
    <w:p w14:paraId="09D0E75D"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הקושי הראייתי מתייחס לאחריות הנאשמים לפגיעות הירי שנגרמו לאחד מיושבי כלי הרכב, שלאחר האירוע הגיע פצוע לבית חולים – שעל רקען כתב האישום המקורי ייחס לנאשמים 2 ו- 3 גם עבירות של חבלה בכוונה מחמירה.  בהקשר זה, ההגנה טענה שהעובדה שהרכב בו היה הפצוע נבדק על ידי המשטרה ביום האירוע ובבדיקה לא נמצאו סימני חדירת קליעים מהחלק החיצוני של הרכב אלא רק מהחלק הפנימי שלו, מעלה את האפשרות שהירי שגרם לפציעות הנוסע היה מתוך הרכב (למרות שזו לא האפשרות היחידה להסברת הנתון). אולם המשטרה החזירה את הרכב מיד לאחר בדיקתו וכך נמנעה מההגנה האפשרות לבדוק את הרכב כדי לאשש את טענתה. והתביעה קיבלה את הטענה ותיקנה את כתב האישום כך שמחקה ממנו את העובדות המייחסות לנאשמים, בצוותא, את פציעת אותו אדם, ואת הוראות החיקוק הנגזרות מכך. </w:t>
      </w:r>
    </w:p>
    <w:p w14:paraId="2E48875E"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במצב דברים זה, לאחר שכתב האישום תוקן כאמור, אין מקום לשוב ולהתחשב בקושי הראייתי שבעטיו כתב האישום שונה ונמחקו ממנו עבירות חמורות, גם בהקשר לעונש לגבי העבירות שלגביהן לא היה קושי ראייתי. </w:t>
      </w:r>
    </w:p>
    <w:p w14:paraId="2F7DFDE9" w14:textId="77777777" w:rsidR="00CE0FC2" w:rsidRPr="000C040A" w:rsidRDefault="00CE0FC2" w:rsidP="00CE0FC2">
      <w:pPr>
        <w:spacing w:line="360" w:lineRule="auto"/>
        <w:ind w:left="720"/>
        <w:jc w:val="both"/>
        <w:rPr>
          <w:rtl/>
          <w:lang w:eastAsia="he-IL"/>
        </w:rPr>
      </w:pPr>
    </w:p>
    <w:p w14:paraId="0F82A88B" w14:textId="77777777" w:rsidR="00CE0FC2" w:rsidRPr="000C040A" w:rsidRDefault="00CE0FC2" w:rsidP="00CE0FC2">
      <w:pPr>
        <w:spacing w:line="360" w:lineRule="auto"/>
        <w:ind w:left="720" w:hanging="720"/>
        <w:jc w:val="both"/>
        <w:rPr>
          <w:rtl/>
          <w:lang w:eastAsia="he-IL"/>
        </w:rPr>
      </w:pPr>
      <w:r w:rsidRPr="000C040A">
        <w:rPr>
          <w:rFonts w:hint="cs"/>
          <w:rtl/>
          <w:lang w:eastAsia="he-IL"/>
        </w:rPr>
        <w:t>26.</w:t>
      </w:r>
      <w:r w:rsidRPr="000C040A">
        <w:rPr>
          <w:rFonts w:hint="cs"/>
          <w:rtl/>
          <w:lang w:eastAsia="he-IL"/>
        </w:rPr>
        <w:tab/>
        <w:t xml:space="preserve">הסדרי הטיעון מגשימים תכליות חשובות ורצויות. יתרונותיהם לנאשם, לתביעה, לבית המשפט, ולאינטרס הציבורי בכללו, רבים ומובהקים. הלכה למעשה, הרוב הגדול של התיקים הפליליים המוגשים לבתי המשפט מסתיימים בהסדרי טיעון מסוג זה או אחר.  בתי המשפט מתייחסים להסדרי הטיעון בחיוב וברוב רובם המכריע של המקרים ההמלצה העונשית הכלולה בהם מתקבלת על ידי בית המשפט. (ראה </w:t>
      </w:r>
      <w:hyperlink r:id="rId42" w:history="1">
        <w:r w:rsidR="00F55A64" w:rsidRPr="00F55A64">
          <w:rPr>
            <w:color w:val="0000FF"/>
            <w:u w:val="single"/>
            <w:rtl/>
            <w:lang w:eastAsia="he-IL"/>
          </w:rPr>
          <w:t>ע"פ 2021/17</w:t>
        </w:r>
      </w:hyperlink>
      <w:r w:rsidRPr="000C040A">
        <w:rPr>
          <w:rFonts w:hint="cs"/>
          <w:rtl/>
          <w:lang w:eastAsia="he-IL"/>
        </w:rPr>
        <w:t xml:space="preserve"> יונה יחיאל מצגר נ' מדינת ישראל (פורסם בנבו, 30.4.17) והפסיקה הרבה המובאת שם).</w:t>
      </w:r>
    </w:p>
    <w:p w14:paraId="22888842" w14:textId="77777777" w:rsidR="00CE0FC2" w:rsidRPr="000C040A" w:rsidRDefault="00CE0FC2" w:rsidP="00CE0FC2">
      <w:pPr>
        <w:spacing w:line="360" w:lineRule="auto"/>
        <w:ind w:left="720"/>
        <w:jc w:val="both"/>
        <w:rPr>
          <w:rtl/>
          <w:lang w:eastAsia="he-IL"/>
        </w:rPr>
      </w:pPr>
    </w:p>
    <w:p w14:paraId="6AE00272" w14:textId="77777777" w:rsidR="00CE0FC2" w:rsidRPr="000C040A" w:rsidRDefault="00CE0FC2" w:rsidP="00CE0FC2">
      <w:pPr>
        <w:spacing w:line="360" w:lineRule="auto"/>
        <w:ind w:left="720"/>
        <w:jc w:val="both"/>
        <w:rPr>
          <w:rtl/>
          <w:lang w:eastAsia="he-IL"/>
        </w:rPr>
      </w:pPr>
      <w:r w:rsidRPr="000C040A">
        <w:rPr>
          <w:rFonts w:hint="cs"/>
          <w:rtl/>
          <w:lang w:eastAsia="he-IL"/>
        </w:rPr>
        <w:t>למרות מעמדו המיוחד של הסדר הטיעון בשיטתנו המשפטית, כאמור, אישורו על ידי בית המשפט איננו פעולה אוטומטית, המתמצת במתן גושפנקה פורמאלית בלבד להסכמות הצדדים, אלא הוא אקט הכרוך בבחינה מהותית, עניינית, של ההסדר ובהפעלת שיקול דעת.</w:t>
      </w:r>
    </w:p>
    <w:p w14:paraId="2ECAD1A4"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בבוא בית המשפט לאשר עונש המוצע על ידי הצדדים במסגרת הסדר טיעון, עליו לוודא שמתקיים איזון ראוי בין ההקלה בעונש לה זוכה הנאשם לבין התועלת שיש בעונש המוצע לאינטרס הציבור (ראה </w:t>
      </w:r>
      <w:hyperlink r:id="rId43" w:history="1">
        <w:r w:rsidR="00F55A64" w:rsidRPr="00F55A64">
          <w:rPr>
            <w:color w:val="0000FF"/>
            <w:u w:val="single"/>
            <w:rtl/>
            <w:lang w:eastAsia="he-IL"/>
          </w:rPr>
          <w:t>ע"פ 1958/98</w:t>
        </w:r>
      </w:hyperlink>
      <w:r w:rsidRPr="000C040A">
        <w:rPr>
          <w:rFonts w:hint="cs"/>
          <w:rtl/>
          <w:lang w:eastAsia="he-IL"/>
        </w:rPr>
        <w:t xml:space="preserve"> פלוני נ' מדינת ישראל (פורסם בנבו, 25.12.02) וע"פ 512/13 פלוני נ' מדינת ישראל (פורסם בנבו, 4.12.13)).</w:t>
      </w:r>
    </w:p>
    <w:p w14:paraId="35D94EBB" w14:textId="77777777" w:rsidR="00CE0FC2" w:rsidRPr="000C040A" w:rsidRDefault="00CE0FC2" w:rsidP="00CE0FC2">
      <w:pPr>
        <w:spacing w:line="360" w:lineRule="auto"/>
        <w:ind w:left="720"/>
        <w:jc w:val="both"/>
        <w:rPr>
          <w:rtl/>
          <w:lang w:eastAsia="he-IL"/>
        </w:rPr>
      </w:pPr>
      <w:r w:rsidRPr="000C040A">
        <w:rPr>
          <w:rFonts w:hint="cs"/>
          <w:rtl/>
          <w:lang w:eastAsia="he-IL"/>
        </w:rPr>
        <w:t>במסגרת מבחן האיזון האמור, על בית המשפט לבחון את העונש המוצע בהסדר הטיעון אל מול העונש שהיה נגזר על הנאשם לולא הסדר הטיעון, ואת הסיבות שהביאו את התביעה להסכים להסדר המקל והמשקל שניתן להן.</w:t>
      </w:r>
    </w:p>
    <w:p w14:paraId="6CAE20B7" w14:textId="77777777" w:rsidR="00CE0FC2" w:rsidRPr="000C040A" w:rsidRDefault="00CE0FC2" w:rsidP="00CE0FC2">
      <w:pPr>
        <w:spacing w:line="360" w:lineRule="auto"/>
        <w:ind w:left="720"/>
        <w:jc w:val="both"/>
        <w:rPr>
          <w:rtl/>
          <w:lang w:eastAsia="he-IL"/>
        </w:rPr>
      </w:pPr>
    </w:p>
    <w:p w14:paraId="6F2A02F1"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במציאות המשפטית הקיימת, בה בחלק בלתי מבוטל מהתיקים הצדדים מציגים הסדרי טיעון הכוללים המלצה משותפת לעונש, וההלכה הנוהגת מותירה מרחב תמרון צר למדי לדחיית המלצה עונשית במסגרת הסדרי טיעון - השפעת הפרקליטות על הענישה הקונקרטית ועל רמת הענישה הכללית, מכרעת. בתיקים שבהם מוצג הסדר טיעון עם המלצה משותפת לעונש, ניתן לומר בהכללה, שהלכה למעשה עמדת הפרקליטות מכתיבה את העונש. לצד זה, הביקורת השיפוטית האפקטיבית על החלטות הפרקליטות בנוגע להסדרי טיעון, הן בערכאה הדיונית והן בערכאת הערעור, מוגבלת מאוד. שכן, בהתאם להלכה בדבר כיבוד הסדרי טיעון, רק במקרים חריגים מאוד בית המשפט הדיוני ידחה הסדר טיעון. והאופן בו ההלכה מיושמת מביא לכך שהאפשרות של בית המשפט להתערב בהסדר טיעון צרה מאוד והיא מצומצמת אף מהאפשרות של בית משפט לעניינים מינהליים להתערב בהחלטה מינהלית, למרות שבשונה מהתחום המנהלי, בו ההחלטה המהותית היא של הגורם המינהלי, גזר הדין הוא של בית המשפט; ובמקרים המעטים שבהם בית המשפט דוחה הסדר טיעון – מהלך הכרוך מטבעו באי קבלת עמדת הפרקליטות ובמידה כזו או אחרת של ביקורת עליה – יש לפרקליטות יכולת לגרום לביטול התוצאה, בכך שתסכים לערעור המוגש על ידי הנאשם. במצב כזה, מחד אין בהליך הערעור מי ש"יגן" על החלטת הערכאה הדיונית לדחות את הסדר הטיעון, ומאידך, מתוך כך שהערעור לא נבחן לגופו, גם התנהלות הפרקליטות ושיקול דעתה במסגרת ההגעה להסדר הטיעון אינם נבדקים. ובפועל, עמדת הפרקליטות מיושמת. </w:t>
      </w:r>
    </w:p>
    <w:p w14:paraId="39BFB822"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במצב דברים זה, הפרקליטות נדרשת לאחריות ולשיקול דעת מוקפדים במיוחד. ויש מקום להרהר בשינוי, שיתן מקום משמעותי יותר לעמדת בית המשפט בקביעת העונש ההולם בהינתן הסדר טיעון עם המלצה עונשית. </w:t>
      </w:r>
    </w:p>
    <w:p w14:paraId="0B07CF70" w14:textId="77777777" w:rsidR="00CE0FC2" w:rsidRPr="000C040A" w:rsidRDefault="00CE0FC2" w:rsidP="00CE0FC2">
      <w:pPr>
        <w:spacing w:line="360" w:lineRule="auto"/>
        <w:ind w:left="720" w:hanging="720"/>
        <w:jc w:val="both"/>
        <w:rPr>
          <w:rtl/>
          <w:lang w:eastAsia="he-IL"/>
        </w:rPr>
      </w:pPr>
    </w:p>
    <w:p w14:paraId="45ADC26B" w14:textId="77777777" w:rsidR="00CE0FC2" w:rsidRPr="000C040A" w:rsidRDefault="00CE0FC2" w:rsidP="00CE0FC2">
      <w:pPr>
        <w:spacing w:line="360" w:lineRule="auto"/>
        <w:ind w:left="720" w:hanging="720"/>
        <w:jc w:val="both"/>
        <w:rPr>
          <w:rtl/>
        </w:rPr>
      </w:pPr>
      <w:r w:rsidRPr="000C040A">
        <w:rPr>
          <w:rFonts w:hint="cs"/>
          <w:rtl/>
          <w:lang w:eastAsia="he-IL"/>
        </w:rPr>
        <w:t>27.</w:t>
      </w:r>
      <w:r w:rsidRPr="000C040A">
        <w:rPr>
          <w:rFonts w:hint="cs"/>
          <w:rtl/>
          <w:lang w:eastAsia="he-IL"/>
        </w:rPr>
        <w:tab/>
        <w:t>במקרה זה,</w:t>
      </w:r>
      <w:r w:rsidRPr="000C040A">
        <w:rPr>
          <w:rFonts w:hint="cs"/>
        </w:rPr>
        <w:t xml:space="preserve"> </w:t>
      </w:r>
      <w:r w:rsidRPr="000C040A">
        <w:rPr>
          <w:rFonts w:hint="cs"/>
          <w:rtl/>
        </w:rPr>
        <w:t xml:space="preserve">נוכח חלקו של הנאשם 1 באירוע, העבירה בה הורשע, גילו ונסיבותיו, והודאתו במיוחס לו, העונש המוצע בהסדר הטיעון סביר ויש לקבל את המלצת הצדדים ביחס אליו. </w:t>
      </w:r>
    </w:p>
    <w:p w14:paraId="36086EB2" w14:textId="77777777" w:rsidR="00CE0FC2" w:rsidRPr="000C040A" w:rsidRDefault="00CE0FC2" w:rsidP="00CE0FC2">
      <w:pPr>
        <w:spacing w:line="360" w:lineRule="auto"/>
        <w:ind w:left="720"/>
        <w:jc w:val="both"/>
        <w:rPr>
          <w:rtl/>
          <w:lang w:eastAsia="he-IL"/>
        </w:rPr>
      </w:pPr>
    </w:p>
    <w:p w14:paraId="7C8B64BF"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עונשי המאסר המוצעים בהסדר הטיעון לנאשמים 2 ו- 3, קלים מאוד בהשוואה לעונשים הראויים להם והם אינם עומדים ביחס סביר לחומרת מעשי העבירות שלהם בנסיבותיהם ולמידת אשמם. ההטבה הגלומה בעונשים המוצעים לנאשמים אלה איננה סבירה והיתרון שהם מפיקים מהסדר הטיעון עולה לאין שיעור על היתרון הנובע ממנו לאינטרס הציבורי. </w:t>
      </w:r>
    </w:p>
    <w:p w14:paraId="0AA4FB89" w14:textId="77777777" w:rsidR="00CE0FC2" w:rsidRPr="000C040A" w:rsidRDefault="00CE0FC2" w:rsidP="00CE0FC2">
      <w:pPr>
        <w:spacing w:line="360" w:lineRule="auto"/>
        <w:ind w:left="720"/>
        <w:jc w:val="both"/>
        <w:rPr>
          <w:rtl/>
          <w:lang w:eastAsia="he-IL"/>
        </w:rPr>
      </w:pPr>
      <w:r w:rsidRPr="000C040A">
        <w:rPr>
          <w:rFonts w:hint="cs"/>
          <w:rtl/>
          <w:lang w:eastAsia="he-IL"/>
        </w:rPr>
        <w:t xml:space="preserve">המסר שעונשים קלים שכאלה עלולים להעביר לציבור, במיוחד בתקופה בה אנו נמצאים, פוגע במאבק בתופעת עבירות האלימות והנשק ויש בו כדי לפגוע באמון הציבור במערכת אכיפת החוק. ועל כן אינני מקבל את המלצת הצדדים לגבי עונשי המאסר של הנאשמים 2 ו- 3. </w:t>
      </w:r>
    </w:p>
    <w:p w14:paraId="76526BE4" w14:textId="77777777" w:rsidR="00CE0FC2" w:rsidRPr="000C040A" w:rsidRDefault="00CE0FC2" w:rsidP="00CE0FC2">
      <w:pPr>
        <w:spacing w:line="360" w:lineRule="auto"/>
        <w:ind w:left="720"/>
        <w:jc w:val="both"/>
        <w:rPr>
          <w:rtl/>
          <w:lang w:eastAsia="he-IL"/>
        </w:rPr>
      </w:pPr>
    </w:p>
    <w:p w14:paraId="530201B6" w14:textId="77777777" w:rsidR="00CE0FC2" w:rsidRPr="000C040A" w:rsidRDefault="00CE0FC2" w:rsidP="00CE0FC2">
      <w:pPr>
        <w:spacing w:line="360" w:lineRule="auto"/>
        <w:ind w:left="720" w:hanging="720"/>
        <w:jc w:val="both"/>
        <w:rPr>
          <w:rtl/>
          <w:lang w:eastAsia="he-IL"/>
        </w:rPr>
      </w:pPr>
      <w:r w:rsidRPr="000C040A">
        <w:rPr>
          <w:rFonts w:hint="cs"/>
          <w:rtl/>
          <w:lang w:eastAsia="he-IL"/>
        </w:rPr>
        <w:t>28.</w:t>
      </w:r>
      <w:r w:rsidRPr="000C040A">
        <w:rPr>
          <w:rFonts w:hint="cs"/>
          <w:rtl/>
          <w:lang w:eastAsia="he-IL"/>
        </w:rPr>
        <w:tab/>
        <w:t xml:space="preserve">במסגרת הסדר הטיעון הוסכם על הקלה נוספת בעונשו של הנאשם 2, הבאה לביטוי בכך ש- 7 מתוך 12 חודשי מאסר על תנאי בר הפעלה התלוי ועומד נגדו, יהיו בחופף לתקופת המאסר שתוטל עליו. כך שבפועל יהיה עליו לשאת רק 5 חודשי מאסר נוספים. בהקשר זה יוזכר, </w:t>
      </w:r>
      <w:hyperlink r:id="rId44" w:history="1">
        <w:r w:rsidR="00AB302C" w:rsidRPr="00AB302C">
          <w:rPr>
            <w:rStyle w:val="Hyperlink"/>
            <w:rFonts w:hint="eastAsia"/>
            <w:rtl/>
            <w:lang w:eastAsia="he-IL"/>
          </w:rPr>
          <w:t>שסעיף</w:t>
        </w:r>
        <w:r w:rsidR="00AB302C" w:rsidRPr="00AB302C">
          <w:rPr>
            <w:rStyle w:val="Hyperlink"/>
            <w:rtl/>
            <w:lang w:eastAsia="he-IL"/>
          </w:rPr>
          <w:t xml:space="preserve"> 58</w:t>
        </w:r>
      </w:hyperlink>
      <w:r w:rsidRPr="000C040A">
        <w:rPr>
          <w:rFonts w:hint="cs"/>
          <w:rtl/>
          <w:lang w:eastAsia="he-IL"/>
        </w:rPr>
        <w:t xml:space="preserve"> ב</w:t>
      </w:r>
      <w:hyperlink r:id="rId45" w:history="1">
        <w:r w:rsidR="00F55A64" w:rsidRPr="00F55A64">
          <w:rPr>
            <w:color w:val="0000FF"/>
            <w:u w:val="single"/>
            <w:rtl/>
            <w:lang w:eastAsia="he-IL"/>
          </w:rPr>
          <w:t>חוק העונשין</w:t>
        </w:r>
      </w:hyperlink>
      <w:r w:rsidRPr="000C040A">
        <w:rPr>
          <w:rFonts w:hint="cs"/>
          <w:rtl/>
          <w:lang w:eastAsia="he-IL"/>
        </w:rPr>
        <w:t xml:space="preserve"> קובע, כי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שיירשמו, ששתי התקופות כולן או מקצתן יהיו חופפות". </w:t>
      </w:r>
    </w:p>
    <w:p w14:paraId="0F0894F0" w14:textId="77777777" w:rsidR="00CE0FC2" w:rsidRPr="000C040A" w:rsidRDefault="00CE0FC2" w:rsidP="00CE0FC2">
      <w:pPr>
        <w:spacing w:line="360" w:lineRule="auto"/>
        <w:ind w:left="720"/>
        <w:jc w:val="both"/>
        <w:rPr>
          <w:rtl/>
          <w:lang w:eastAsia="he-IL"/>
        </w:rPr>
      </w:pPr>
    </w:p>
    <w:p w14:paraId="57466B4A" w14:textId="77777777" w:rsidR="00CE0FC2" w:rsidRPr="000C040A" w:rsidRDefault="00CE0FC2" w:rsidP="00CE0FC2">
      <w:pPr>
        <w:spacing w:line="360" w:lineRule="auto"/>
        <w:ind w:left="720"/>
        <w:jc w:val="both"/>
        <w:rPr>
          <w:rtl/>
          <w:lang w:eastAsia="he-IL"/>
        </w:rPr>
      </w:pPr>
      <w:r w:rsidRPr="000C040A">
        <w:rPr>
          <w:rFonts w:hint="cs"/>
          <w:rtl/>
          <w:lang w:eastAsia="he-IL"/>
        </w:rPr>
        <w:t>בפועל לא שמעתי מפי התביעה או ההגנה טעם משכנע להצדקת חפיפת חלק גדול מתקופת המאסר המותנה שיש להפעיל.</w:t>
      </w:r>
    </w:p>
    <w:p w14:paraId="438EE740" w14:textId="77777777" w:rsidR="00CE0FC2" w:rsidRPr="000C040A" w:rsidRDefault="00CE0FC2" w:rsidP="00CE0FC2">
      <w:pPr>
        <w:spacing w:line="360" w:lineRule="auto"/>
        <w:ind w:left="720"/>
        <w:jc w:val="both"/>
        <w:rPr>
          <w:rtl/>
          <w:lang w:eastAsia="he-IL"/>
        </w:rPr>
      </w:pPr>
    </w:p>
    <w:p w14:paraId="5C4A5545" w14:textId="77777777" w:rsidR="00CE0FC2" w:rsidRPr="000C040A" w:rsidRDefault="00CE0FC2" w:rsidP="00CE0FC2">
      <w:pPr>
        <w:spacing w:line="360" w:lineRule="auto"/>
        <w:ind w:left="720" w:hanging="720"/>
        <w:jc w:val="both"/>
        <w:rPr>
          <w:rtl/>
          <w:lang w:eastAsia="he-IL"/>
        </w:rPr>
      </w:pPr>
      <w:r w:rsidRPr="000C040A">
        <w:rPr>
          <w:rFonts w:hint="cs"/>
          <w:rtl/>
          <w:lang w:eastAsia="he-IL"/>
        </w:rPr>
        <w:t>29.</w:t>
      </w:r>
      <w:r w:rsidRPr="000C040A">
        <w:rPr>
          <w:rFonts w:hint="cs"/>
          <w:rtl/>
          <w:lang w:eastAsia="he-IL"/>
        </w:rPr>
        <w:tab/>
        <w:t xml:space="preserve">בהתחשב בכך שהנאשמים 2 ו-3 הורשעו על יסוד הודאתם, שניתנה במסגרת הסדר טיעון הכולל הסכמה להמלצה משותפת לעונש מתוך ציפיה שבית המשפט יכבד את ההסדר. ועל רקע ההלכה לפיה כשבית המשפט דוחה הסדר טיעון, עליו לקבוע איזון חדש, המשקלל בצורה נכונה את כל שיקולי הענישה כאילו נערך על ידו הסדר טיעון הולם (ראה </w:t>
      </w:r>
      <w:hyperlink r:id="rId46" w:history="1">
        <w:r w:rsidR="00F55A64" w:rsidRPr="00F55A64">
          <w:rPr>
            <w:color w:val="0000FF"/>
            <w:u w:val="single"/>
            <w:rtl/>
            <w:lang w:eastAsia="he-IL"/>
          </w:rPr>
          <w:t>ע"פ 1958/98</w:t>
        </w:r>
      </w:hyperlink>
      <w:r w:rsidRPr="000C040A">
        <w:rPr>
          <w:rFonts w:hint="cs"/>
          <w:rtl/>
          <w:lang w:eastAsia="he-IL"/>
        </w:rPr>
        <w:t xml:space="preserve"> </w:t>
      </w:r>
      <w:r w:rsidRPr="000C040A">
        <w:rPr>
          <w:rFonts w:hint="cs"/>
          <w:b/>
          <w:bCs/>
          <w:rtl/>
          <w:lang w:eastAsia="he-IL"/>
        </w:rPr>
        <w:t xml:space="preserve">פלוני </w:t>
      </w:r>
      <w:r w:rsidRPr="000C040A">
        <w:rPr>
          <w:rFonts w:hint="cs"/>
          <w:rtl/>
          <w:lang w:eastAsia="he-IL"/>
        </w:rPr>
        <w:t>נ'</w:t>
      </w:r>
      <w:r w:rsidRPr="000C040A">
        <w:rPr>
          <w:rFonts w:hint="cs"/>
          <w:b/>
          <w:bCs/>
          <w:rtl/>
          <w:lang w:eastAsia="he-IL"/>
        </w:rPr>
        <w:t xml:space="preserve"> מדינת ישראל</w:t>
      </w:r>
      <w:r w:rsidRPr="000C040A">
        <w:rPr>
          <w:rFonts w:hint="cs"/>
          <w:rtl/>
          <w:lang w:eastAsia="he-IL"/>
        </w:rPr>
        <w:t>, פ"ד נ"ז(1) 577, 612-613). העונש שייקבע להם יהיה בכל זאת קל מזה שהיה מוטל עליהם לולא הסדר הטיעון.</w:t>
      </w:r>
    </w:p>
    <w:p w14:paraId="2AB61BCC" w14:textId="77777777" w:rsidR="00CE0FC2" w:rsidRPr="000C040A" w:rsidRDefault="00CE0FC2" w:rsidP="00CE0FC2">
      <w:pPr>
        <w:spacing w:line="360" w:lineRule="auto"/>
        <w:ind w:left="720" w:hanging="720"/>
        <w:jc w:val="both"/>
        <w:rPr>
          <w:rtl/>
          <w:lang w:eastAsia="he-IL"/>
        </w:rPr>
      </w:pPr>
    </w:p>
    <w:p w14:paraId="275531E2" w14:textId="77777777" w:rsidR="00CE0FC2" w:rsidRPr="000C040A" w:rsidRDefault="00CE0FC2" w:rsidP="00CE0FC2">
      <w:pPr>
        <w:spacing w:line="360" w:lineRule="auto"/>
        <w:ind w:left="720" w:hanging="720"/>
        <w:jc w:val="both"/>
        <w:rPr>
          <w:b/>
          <w:bCs/>
          <w:u w:val="single"/>
          <w:rtl/>
          <w:lang w:eastAsia="he-IL"/>
        </w:rPr>
      </w:pPr>
      <w:r w:rsidRPr="000C040A">
        <w:rPr>
          <w:rFonts w:hint="cs"/>
          <w:rtl/>
          <w:lang w:eastAsia="he-IL"/>
        </w:rPr>
        <w:t>30.</w:t>
      </w:r>
      <w:r w:rsidRPr="000C040A">
        <w:rPr>
          <w:rFonts w:hint="cs"/>
          <w:rtl/>
          <w:lang w:eastAsia="he-IL"/>
        </w:rPr>
        <w:tab/>
        <w:t>סוף דבר, אני דן את הנאשמים לעונשים הבאים:</w:t>
      </w:r>
    </w:p>
    <w:p w14:paraId="0A677D9A" w14:textId="77777777" w:rsidR="00CE0FC2" w:rsidRPr="000C040A" w:rsidRDefault="00CE0FC2" w:rsidP="00CE0FC2">
      <w:pPr>
        <w:spacing w:line="360" w:lineRule="auto"/>
        <w:ind w:left="720" w:hanging="720"/>
        <w:jc w:val="both"/>
        <w:rPr>
          <w:b/>
          <w:bCs/>
          <w:u w:val="single"/>
          <w:rtl/>
          <w:lang w:eastAsia="he-IL"/>
        </w:rPr>
      </w:pPr>
    </w:p>
    <w:p w14:paraId="3F4A2FE6" w14:textId="77777777" w:rsidR="00CE0FC2" w:rsidRPr="000C040A" w:rsidRDefault="00CE0FC2" w:rsidP="00CE0FC2">
      <w:pPr>
        <w:spacing w:line="360" w:lineRule="auto"/>
        <w:ind w:left="720" w:hanging="720"/>
        <w:jc w:val="both"/>
        <w:rPr>
          <w:b/>
          <w:bCs/>
          <w:u w:val="single"/>
          <w:rtl/>
          <w:lang w:eastAsia="he-IL"/>
        </w:rPr>
      </w:pPr>
      <w:r w:rsidRPr="000C040A">
        <w:rPr>
          <w:rFonts w:hint="cs"/>
          <w:b/>
          <w:bCs/>
          <w:rtl/>
          <w:lang w:eastAsia="he-IL"/>
        </w:rPr>
        <w:tab/>
      </w:r>
      <w:r w:rsidRPr="000C040A">
        <w:rPr>
          <w:rFonts w:hint="cs"/>
          <w:b/>
          <w:bCs/>
          <w:u w:val="single"/>
          <w:rtl/>
          <w:lang w:eastAsia="he-IL"/>
        </w:rPr>
        <w:t>הנאשם 1</w:t>
      </w:r>
    </w:p>
    <w:p w14:paraId="1C1C51D0" w14:textId="77777777" w:rsidR="00CE0FC2" w:rsidRPr="000C040A" w:rsidRDefault="00CE0FC2" w:rsidP="00CE0FC2">
      <w:pPr>
        <w:spacing w:line="360" w:lineRule="auto"/>
        <w:ind w:left="720"/>
        <w:jc w:val="both"/>
        <w:rPr>
          <w:rtl/>
          <w:lang w:eastAsia="he-IL"/>
        </w:rPr>
      </w:pPr>
      <w:r w:rsidRPr="000C040A">
        <w:rPr>
          <w:rFonts w:hint="cs"/>
          <w:rtl/>
          <w:lang w:eastAsia="he-IL"/>
        </w:rPr>
        <w:t>1.</w:t>
      </w:r>
      <w:r w:rsidRPr="000C040A">
        <w:rPr>
          <w:rFonts w:hint="cs"/>
          <w:rtl/>
          <w:lang w:eastAsia="he-IL"/>
        </w:rPr>
        <w:tab/>
        <w:t xml:space="preserve">מאסר בפועל, כאורך ימי מעצרו בתיק זה. מיום 24.10.21 ועד ליום 27.01.22. </w:t>
      </w:r>
    </w:p>
    <w:p w14:paraId="057B6871" w14:textId="77777777" w:rsidR="00CE0FC2" w:rsidRPr="000C040A" w:rsidRDefault="00CE0FC2" w:rsidP="00CE0FC2">
      <w:pPr>
        <w:spacing w:line="360" w:lineRule="auto"/>
        <w:ind w:left="1440" w:hanging="720"/>
        <w:jc w:val="both"/>
        <w:rPr>
          <w:rtl/>
          <w:lang w:eastAsia="he-IL"/>
        </w:rPr>
      </w:pPr>
      <w:r w:rsidRPr="000C040A">
        <w:rPr>
          <w:rFonts w:hint="cs"/>
          <w:rtl/>
          <w:lang w:eastAsia="he-IL"/>
        </w:rPr>
        <w:t>2.</w:t>
      </w:r>
      <w:r w:rsidRPr="000C040A">
        <w:rPr>
          <w:rFonts w:hint="cs"/>
          <w:rtl/>
          <w:lang w:eastAsia="he-IL"/>
        </w:rPr>
        <w:tab/>
        <w:t xml:space="preserve">6 חודשי מאסר על תנאי למשך 3 שנים מהיום, שלא יעבור עבירה של שיבוש מהלכי משפט.  </w:t>
      </w:r>
    </w:p>
    <w:p w14:paraId="6A625C4A" w14:textId="77777777" w:rsidR="00CE0FC2" w:rsidRPr="000C040A" w:rsidRDefault="00CE0FC2" w:rsidP="00CE0FC2">
      <w:pPr>
        <w:spacing w:line="360" w:lineRule="auto"/>
        <w:ind w:left="720"/>
        <w:jc w:val="both"/>
        <w:rPr>
          <w:rtl/>
          <w:lang w:eastAsia="he-IL"/>
        </w:rPr>
      </w:pPr>
      <w:r w:rsidRPr="000C040A">
        <w:rPr>
          <w:rFonts w:hint="cs"/>
          <w:rtl/>
          <w:lang w:eastAsia="he-IL"/>
        </w:rPr>
        <w:t>3.</w:t>
      </w:r>
      <w:r w:rsidRPr="000C040A">
        <w:rPr>
          <w:rFonts w:hint="cs"/>
          <w:rtl/>
          <w:lang w:eastAsia="he-IL"/>
        </w:rPr>
        <w:tab/>
        <w:t xml:space="preserve">קנס בסך  5,000 ₪ או 15 ימי מאסר תחתיו. </w:t>
      </w:r>
    </w:p>
    <w:p w14:paraId="5A7B6749" w14:textId="77777777" w:rsidR="00CE0FC2" w:rsidRPr="000C040A" w:rsidRDefault="00CE0FC2" w:rsidP="00CE0FC2">
      <w:pPr>
        <w:spacing w:line="360" w:lineRule="auto"/>
        <w:ind w:left="720" w:hanging="720"/>
        <w:jc w:val="both"/>
        <w:rPr>
          <w:b/>
          <w:bCs/>
          <w:rtl/>
          <w:lang w:eastAsia="he-IL"/>
        </w:rPr>
      </w:pPr>
    </w:p>
    <w:p w14:paraId="4B3644A5" w14:textId="77777777" w:rsidR="00CE0FC2" w:rsidRPr="000C040A" w:rsidRDefault="00CE0FC2" w:rsidP="00CE0FC2">
      <w:pPr>
        <w:spacing w:line="360" w:lineRule="auto"/>
        <w:ind w:left="720" w:hanging="720"/>
        <w:jc w:val="both"/>
        <w:rPr>
          <w:b/>
          <w:bCs/>
          <w:u w:val="single"/>
          <w:rtl/>
          <w:lang w:eastAsia="he-IL"/>
        </w:rPr>
      </w:pPr>
      <w:r w:rsidRPr="000C040A">
        <w:rPr>
          <w:rFonts w:hint="cs"/>
          <w:b/>
          <w:bCs/>
          <w:rtl/>
          <w:lang w:eastAsia="he-IL"/>
        </w:rPr>
        <w:tab/>
      </w:r>
    </w:p>
    <w:p w14:paraId="7BF441B5" w14:textId="77777777" w:rsidR="00CE0FC2" w:rsidRPr="000C040A" w:rsidRDefault="00CE0FC2" w:rsidP="00CE0FC2">
      <w:pPr>
        <w:spacing w:line="360" w:lineRule="auto"/>
        <w:ind w:left="720"/>
        <w:jc w:val="both"/>
        <w:rPr>
          <w:b/>
          <w:bCs/>
          <w:u w:val="single"/>
          <w:rtl/>
          <w:lang w:eastAsia="he-IL"/>
        </w:rPr>
      </w:pPr>
      <w:r w:rsidRPr="000C040A">
        <w:rPr>
          <w:rFonts w:hint="cs"/>
          <w:b/>
          <w:bCs/>
          <w:u w:val="single"/>
          <w:rtl/>
          <w:lang w:eastAsia="he-IL"/>
        </w:rPr>
        <w:t>הנאשם 2</w:t>
      </w:r>
    </w:p>
    <w:p w14:paraId="6489BFCD" w14:textId="77777777" w:rsidR="00CE0FC2" w:rsidRPr="000C040A" w:rsidRDefault="00CE0FC2" w:rsidP="00CE0FC2">
      <w:pPr>
        <w:spacing w:line="360" w:lineRule="auto"/>
        <w:ind w:left="1440" w:hanging="720"/>
        <w:jc w:val="both"/>
        <w:rPr>
          <w:rtl/>
          <w:lang w:eastAsia="he-IL"/>
        </w:rPr>
      </w:pPr>
      <w:r w:rsidRPr="000C040A">
        <w:rPr>
          <w:rFonts w:hint="cs"/>
          <w:rtl/>
          <w:lang w:eastAsia="he-IL"/>
        </w:rPr>
        <w:t>1.</w:t>
      </w:r>
      <w:r w:rsidRPr="000C040A">
        <w:rPr>
          <w:rFonts w:hint="cs"/>
          <w:rtl/>
          <w:lang w:eastAsia="he-IL"/>
        </w:rPr>
        <w:tab/>
        <w:t>36 חודשי מאסר בפועל, בניכוי ימי מעצרו.</w:t>
      </w:r>
    </w:p>
    <w:p w14:paraId="13900FD7" w14:textId="77777777" w:rsidR="00CE0FC2" w:rsidRPr="000C040A" w:rsidRDefault="00CE0FC2" w:rsidP="00CE0FC2">
      <w:pPr>
        <w:spacing w:line="360" w:lineRule="auto"/>
        <w:ind w:left="1440" w:hanging="720"/>
        <w:jc w:val="both"/>
        <w:rPr>
          <w:rtl/>
          <w:lang w:eastAsia="he-IL"/>
        </w:rPr>
      </w:pPr>
      <w:r w:rsidRPr="000C040A">
        <w:rPr>
          <w:rFonts w:hint="cs"/>
          <w:rtl/>
          <w:lang w:eastAsia="he-IL"/>
        </w:rPr>
        <w:t>2.</w:t>
      </w:r>
      <w:r w:rsidRPr="000C040A">
        <w:rPr>
          <w:rFonts w:hint="cs"/>
          <w:rtl/>
          <w:lang w:eastAsia="he-IL"/>
        </w:rPr>
        <w:tab/>
        <w:t>הפעלת המאסר על תנאי בן 12 החודשים מ</w:t>
      </w:r>
      <w:hyperlink r:id="rId47" w:history="1">
        <w:r w:rsidR="00F55A64" w:rsidRPr="00F55A64">
          <w:rPr>
            <w:color w:val="0000FF"/>
            <w:u w:val="single"/>
            <w:rtl/>
            <w:lang w:eastAsia="he-IL"/>
          </w:rPr>
          <w:t>ת.פ. 51512-02-18</w:t>
        </w:r>
      </w:hyperlink>
      <w:r w:rsidRPr="000C040A">
        <w:rPr>
          <w:rFonts w:hint="cs"/>
          <w:rtl/>
          <w:lang w:eastAsia="he-IL"/>
        </w:rPr>
        <w:t xml:space="preserve"> של בית משפט המחוזי באר-שבע. הנאשם ישא 5 חודשים ממנו במצטבר לתקופת המאסר בתיק זה והיתרה בחופף. ובסה"כ, 41 חודשי מאסר בפועל בניכוי ימי מעצרו.</w:t>
      </w:r>
    </w:p>
    <w:p w14:paraId="18BC61F5" w14:textId="77777777" w:rsidR="00CE0FC2" w:rsidRPr="000C040A" w:rsidRDefault="00CE0FC2" w:rsidP="00CE0FC2">
      <w:pPr>
        <w:spacing w:line="360" w:lineRule="auto"/>
        <w:ind w:left="1440" w:hanging="720"/>
        <w:jc w:val="both"/>
        <w:rPr>
          <w:rtl/>
          <w:lang w:eastAsia="he-IL"/>
        </w:rPr>
      </w:pPr>
      <w:r w:rsidRPr="000C040A">
        <w:rPr>
          <w:rFonts w:hint="cs"/>
          <w:rtl/>
          <w:lang w:eastAsia="he-IL"/>
        </w:rPr>
        <w:t>3.</w:t>
      </w:r>
      <w:r w:rsidRPr="000C040A">
        <w:rPr>
          <w:rFonts w:hint="cs"/>
          <w:rtl/>
          <w:lang w:eastAsia="he-IL"/>
        </w:rPr>
        <w:tab/>
        <w:t xml:space="preserve">12 חודשי מאסר על תנאי למשך 3 שנים מיום שחרורו מהמאסר, שלא יעבור עבירת אלימות או עבירת נשק, המסווגות כפשע. </w:t>
      </w:r>
    </w:p>
    <w:p w14:paraId="0E06A5FC" w14:textId="77777777" w:rsidR="00CE0FC2" w:rsidRPr="000C040A" w:rsidRDefault="00CE0FC2" w:rsidP="00CE0FC2">
      <w:pPr>
        <w:spacing w:line="360" w:lineRule="auto"/>
        <w:ind w:left="1440" w:hanging="720"/>
        <w:jc w:val="both"/>
        <w:rPr>
          <w:b/>
          <w:bCs/>
          <w:rtl/>
          <w:lang w:eastAsia="he-IL"/>
        </w:rPr>
      </w:pPr>
      <w:r w:rsidRPr="000C040A">
        <w:rPr>
          <w:rFonts w:hint="cs"/>
          <w:rtl/>
          <w:lang w:eastAsia="he-IL"/>
        </w:rPr>
        <w:t>4.</w:t>
      </w:r>
      <w:r w:rsidRPr="000C040A">
        <w:rPr>
          <w:rFonts w:hint="cs"/>
          <w:rtl/>
          <w:lang w:eastAsia="he-IL"/>
        </w:rPr>
        <w:tab/>
        <w:t xml:space="preserve">קנס בסך 10,000 ₪ או 60 ימי מאסר תחתיו. </w:t>
      </w:r>
    </w:p>
    <w:p w14:paraId="301A6DF1" w14:textId="77777777" w:rsidR="00CE0FC2" w:rsidRDefault="00CE0FC2" w:rsidP="00CE0FC2">
      <w:pPr>
        <w:spacing w:line="360" w:lineRule="auto"/>
        <w:ind w:left="720"/>
        <w:jc w:val="both"/>
        <w:rPr>
          <w:b/>
          <w:bCs/>
          <w:rtl/>
          <w:lang w:eastAsia="he-IL"/>
        </w:rPr>
      </w:pPr>
    </w:p>
    <w:p w14:paraId="00F895A4" w14:textId="77777777" w:rsidR="00CE0FC2" w:rsidRPr="000C040A" w:rsidRDefault="00CE0FC2" w:rsidP="00CE0FC2">
      <w:pPr>
        <w:spacing w:line="360" w:lineRule="auto"/>
        <w:ind w:left="720"/>
        <w:jc w:val="both"/>
        <w:rPr>
          <w:b/>
          <w:bCs/>
          <w:u w:val="single"/>
          <w:rtl/>
          <w:lang w:eastAsia="he-IL"/>
        </w:rPr>
      </w:pPr>
      <w:r w:rsidRPr="000C040A">
        <w:rPr>
          <w:rFonts w:hint="cs"/>
          <w:b/>
          <w:bCs/>
          <w:u w:val="single"/>
          <w:rtl/>
          <w:lang w:eastAsia="he-IL"/>
        </w:rPr>
        <w:t>הנאשם 3</w:t>
      </w:r>
    </w:p>
    <w:p w14:paraId="5B9154F2" w14:textId="77777777" w:rsidR="00CE0FC2" w:rsidRPr="000C040A" w:rsidRDefault="00CE0FC2" w:rsidP="00CE0FC2">
      <w:pPr>
        <w:spacing w:line="360" w:lineRule="auto"/>
        <w:ind w:left="1440" w:hanging="720"/>
        <w:jc w:val="both"/>
        <w:rPr>
          <w:rtl/>
          <w:lang w:eastAsia="he-IL"/>
        </w:rPr>
      </w:pPr>
      <w:r w:rsidRPr="000C040A">
        <w:rPr>
          <w:rFonts w:hint="cs"/>
          <w:rtl/>
          <w:lang w:eastAsia="he-IL"/>
        </w:rPr>
        <w:t>1.</w:t>
      </w:r>
      <w:r w:rsidRPr="000C040A">
        <w:rPr>
          <w:rFonts w:hint="cs"/>
          <w:rtl/>
          <w:lang w:eastAsia="he-IL"/>
        </w:rPr>
        <w:tab/>
        <w:t>38 חודשי מאסר בפועל, בניכוי ימי מעצרו.</w:t>
      </w:r>
    </w:p>
    <w:p w14:paraId="7174B3BC" w14:textId="77777777" w:rsidR="00CE0FC2" w:rsidRPr="000C040A" w:rsidRDefault="00CE0FC2" w:rsidP="00CE0FC2">
      <w:pPr>
        <w:spacing w:line="360" w:lineRule="auto"/>
        <w:ind w:left="1440" w:hanging="720"/>
        <w:jc w:val="both"/>
        <w:rPr>
          <w:rtl/>
          <w:lang w:eastAsia="he-IL"/>
        </w:rPr>
      </w:pPr>
      <w:r w:rsidRPr="000C040A">
        <w:rPr>
          <w:rFonts w:hint="cs"/>
          <w:rtl/>
          <w:lang w:eastAsia="he-IL"/>
        </w:rPr>
        <w:t>2.</w:t>
      </w:r>
      <w:r w:rsidRPr="000C040A">
        <w:rPr>
          <w:rFonts w:hint="cs"/>
          <w:rtl/>
          <w:lang w:eastAsia="he-IL"/>
        </w:rPr>
        <w:tab/>
        <w:t>6 חודשי מאסר בפועל בגין הרשעתו ב</w:t>
      </w:r>
      <w:hyperlink r:id="rId48" w:history="1">
        <w:r w:rsidR="00F55A64" w:rsidRPr="00F55A64">
          <w:rPr>
            <w:color w:val="0000FF"/>
            <w:u w:val="single"/>
            <w:rtl/>
            <w:lang w:eastAsia="he-IL"/>
          </w:rPr>
          <w:t>ת.פ. 38551-02-20</w:t>
        </w:r>
      </w:hyperlink>
      <w:r w:rsidRPr="000C040A">
        <w:rPr>
          <w:rFonts w:hint="cs"/>
          <w:rtl/>
          <w:lang w:eastAsia="he-IL"/>
        </w:rPr>
        <w:t xml:space="preserve"> של בית משפט שלום כפר סבא. חודשיים מתקופת המאסר יצטברו לתקופת המאסר בתיק זה והיתרה בחופף.</w:t>
      </w:r>
    </w:p>
    <w:p w14:paraId="25202737" w14:textId="77777777" w:rsidR="00CE0FC2" w:rsidRPr="000C040A" w:rsidRDefault="00CE0FC2" w:rsidP="00CE0FC2">
      <w:pPr>
        <w:spacing w:line="360" w:lineRule="auto"/>
        <w:ind w:left="1440" w:hanging="720"/>
        <w:jc w:val="both"/>
        <w:rPr>
          <w:rtl/>
          <w:lang w:eastAsia="he-IL"/>
        </w:rPr>
      </w:pPr>
      <w:r w:rsidRPr="000C040A">
        <w:rPr>
          <w:rFonts w:hint="cs"/>
          <w:rtl/>
          <w:lang w:eastAsia="he-IL"/>
        </w:rPr>
        <w:tab/>
        <w:t xml:space="preserve">ובסה"כ, 40 חודשי מאסר בפועל בניכוי ימי מעצרו. </w:t>
      </w:r>
    </w:p>
    <w:p w14:paraId="5D8D1C74" w14:textId="77777777" w:rsidR="00CE0FC2" w:rsidRPr="000C040A" w:rsidRDefault="00CE0FC2" w:rsidP="00CE0FC2">
      <w:pPr>
        <w:spacing w:line="360" w:lineRule="auto"/>
        <w:ind w:left="1440"/>
        <w:jc w:val="both"/>
        <w:rPr>
          <w:rtl/>
          <w:lang w:eastAsia="he-IL"/>
        </w:rPr>
      </w:pPr>
      <w:r w:rsidRPr="000C040A">
        <w:rPr>
          <w:rFonts w:hint="cs"/>
          <w:rtl/>
          <w:lang w:eastAsia="he-IL"/>
        </w:rPr>
        <w:t>הנאשם ישא את תקופות המאסר במצטבר לכל עונש מאסר אותו נשא בתקופת מעצרו בתיק זה.</w:t>
      </w:r>
    </w:p>
    <w:p w14:paraId="0989862E" w14:textId="77777777" w:rsidR="00CE0FC2" w:rsidRPr="000C040A" w:rsidRDefault="00CE0FC2" w:rsidP="00CE0FC2">
      <w:pPr>
        <w:spacing w:line="360" w:lineRule="auto"/>
        <w:ind w:left="1440" w:hanging="720"/>
        <w:jc w:val="both"/>
        <w:rPr>
          <w:rtl/>
          <w:lang w:eastAsia="he-IL"/>
        </w:rPr>
      </w:pPr>
      <w:r w:rsidRPr="000C040A">
        <w:rPr>
          <w:rFonts w:hint="cs"/>
          <w:rtl/>
          <w:lang w:eastAsia="he-IL"/>
        </w:rPr>
        <w:t>3.</w:t>
      </w:r>
      <w:r w:rsidRPr="000C040A">
        <w:rPr>
          <w:rFonts w:hint="cs"/>
          <w:rtl/>
          <w:lang w:eastAsia="he-IL"/>
        </w:rPr>
        <w:tab/>
        <w:t xml:space="preserve">12 חודשי מאסר על תנאי למשך 3 שנים מיום שחרורו מהמאסר, שלא יעבור עבירת אלימות או עבירת נשק, המסווגות כפשע.  </w:t>
      </w:r>
    </w:p>
    <w:p w14:paraId="7BED45BC" w14:textId="77777777" w:rsidR="00CE0FC2" w:rsidRPr="000C040A" w:rsidRDefault="00CE0FC2" w:rsidP="00CE0FC2">
      <w:pPr>
        <w:spacing w:line="360" w:lineRule="auto"/>
        <w:ind w:left="1440" w:hanging="720"/>
        <w:jc w:val="both"/>
        <w:rPr>
          <w:b/>
          <w:bCs/>
          <w:rtl/>
          <w:lang w:eastAsia="he-IL"/>
        </w:rPr>
      </w:pPr>
      <w:r w:rsidRPr="000C040A">
        <w:rPr>
          <w:rFonts w:hint="cs"/>
          <w:rtl/>
          <w:lang w:eastAsia="he-IL"/>
        </w:rPr>
        <w:t>4.</w:t>
      </w:r>
      <w:r w:rsidRPr="000C040A">
        <w:rPr>
          <w:rFonts w:hint="cs"/>
          <w:rtl/>
          <w:lang w:eastAsia="he-IL"/>
        </w:rPr>
        <w:tab/>
        <w:t xml:space="preserve">קנס בסך 10,000 ₪ או 60 ימי מאסר תחתיו. </w:t>
      </w:r>
    </w:p>
    <w:p w14:paraId="589931E2" w14:textId="77777777" w:rsidR="00CE0FC2" w:rsidRPr="000C040A" w:rsidRDefault="00CE0FC2" w:rsidP="00CE0FC2">
      <w:pPr>
        <w:spacing w:line="360" w:lineRule="auto"/>
        <w:ind w:left="720"/>
        <w:jc w:val="both"/>
        <w:rPr>
          <w:rtl/>
          <w:lang w:eastAsia="he-IL"/>
        </w:rPr>
      </w:pPr>
      <w:r w:rsidRPr="000C040A">
        <w:rPr>
          <w:rFonts w:hint="cs"/>
          <w:rtl/>
          <w:lang w:eastAsia="he-IL"/>
        </w:rPr>
        <w:t>5.</w:t>
      </w:r>
      <w:r w:rsidRPr="000C040A">
        <w:rPr>
          <w:rFonts w:hint="cs"/>
          <w:rtl/>
          <w:lang w:eastAsia="he-IL"/>
        </w:rPr>
        <w:tab/>
        <w:t xml:space="preserve">הסך של 1,020 ₪ שנתפס ברשות הנאשם, יחולט לטובת אוצר המדינה. </w:t>
      </w:r>
    </w:p>
    <w:p w14:paraId="081B9D39" w14:textId="77777777" w:rsidR="00CE0FC2" w:rsidRPr="000C040A" w:rsidRDefault="00CE0FC2" w:rsidP="00CE0FC2">
      <w:pPr>
        <w:spacing w:line="360" w:lineRule="auto"/>
        <w:ind w:left="1440" w:hanging="720"/>
        <w:jc w:val="both"/>
        <w:rPr>
          <w:rtl/>
          <w:lang w:eastAsia="he-IL"/>
        </w:rPr>
      </w:pPr>
      <w:r w:rsidRPr="000C040A">
        <w:rPr>
          <w:rFonts w:hint="cs"/>
          <w:rtl/>
          <w:lang w:eastAsia="he-IL"/>
        </w:rPr>
        <w:t>6.</w:t>
      </w:r>
      <w:r w:rsidRPr="000C040A">
        <w:rPr>
          <w:rFonts w:hint="cs"/>
          <w:rtl/>
          <w:lang w:eastAsia="he-IL"/>
        </w:rPr>
        <w:tab/>
        <w:t xml:space="preserve">6 חודשי פסילה על תנאי מלקבל או להחזיק רישיון נהיגה, למשך שנתיים מיום שחרורו מהמאסר. </w:t>
      </w:r>
    </w:p>
    <w:p w14:paraId="266B3953" w14:textId="77777777" w:rsidR="00CE0FC2" w:rsidRPr="000C040A" w:rsidRDefault="00CE0FC2" w:rsidP="00CE0FC2">
      <w:pPr>
        <w:spacing w:line="360" w:lineRule="auto"/>
        <w:ind w:left="720"/>
        <w:jc w:val="both"/>
        <w:rPr>
          <w:b/>
          <w:bCs/>
          <w:rtl/>
          <w:lang w:eastAsia="he-IL"/>
        </w:rPr>
      </w:pPr>
    </w:p>
    <w:p w14:paraId="7A82DFAB" w14:textId="77777777" w:rsidR="00CE0FC2" w:rsidRPr="000C040A" w:rsidRDefault="00CE0FC2" w:rsidP="00CE0FC2">
      <w:pPr>
        <w:spacing w:line="360" w:lineRule="auto"/>
        <w:ind w:left="720"/>
        <w:jc w:val="both"/>
        <w:rPr>
          <w:b/>
          <w:bCs/>
          <w:rtl/>
          <w:lang w:eastAsia="he-IL"/>
        </w:rPr>
      </w:pPr>
    </w:p>
    <w:p w14:paraId="09CB9E02" w14:textId="77777777" w:rsidR="00CE0FC2" w:rsidRPr="000C040A" w:rsidRDefault="00CE0FC2" w:rsidP="00CE0FC2">
      <w:pPr>
        <w:spacing w:line="360" w:lineRule="auto"/>
        <w:ind w:left="720"/>
        <w:jc w:val="both"/>
        <w:rPr>
          <w:b/>
          <w:bCs/>
          <w:rtl/>
          <w:lang w:eastAsia="he-IL"/>
        </w:rPr>
      </w:pPr>
      <w:r w:rsidRPr="000C040A">
        <w:rPr>
          <w:rFonts w:hint="cs"/>
          <w:b/>
          <w:bCs/>
          <w:rtl/>
          <w:lang w:eastAsia="he-IL"/>
        </w:rPr>
        <w:t>זכות ערעור תוך 45 יום.</w:t>
      </w:r>
    </w:p>
    <w:p w14:paraId="63796201" w14:textId="77777777" w:rsidR="00CE0FC2" w:rsidRPr="000C040A" w:rsidRDefault="00CE0FC2" w:rsidP="00CE0FC2">
      <w:pPr>
        <w:spacing w:line="360" w:lineRule="auto"/>
        <w:ind w:left="720"/>
        <w:jc w:val="both"/>
        <w:rPr>
          <w:b/>
          <w:bCs/>
          <w:rtl/>
          <w:lang w:eastAsia="he-IL"/>
        </w:rPr>
      </w:pPr>
    </w:p>
    <w:p w14:paraId="42B1B1CE" w14:textId="77777777" w:rsidR="00CE0FC2" w:rsidRPr="000C040A" w:rsidRDefault="00CE0FC2" w:rsidP="00CE0FC2">
      <w:pPr>
        <w:spacing w:line="360" w:lineRule="auto"/>
        <w:jc w:val="both"/>
        <w:rPr>
          <w:rFonts w:eastAsia="David"/>
          <w:rtl/>
        </w:rPr>
      </w:pPr>
    </w:p>
    <w:p w14:paraId="35FF05D3" w14:textId="77777777" w:rsidR="00CE0FC2" w:rsidRPr="000C040A" w:rsidRDefault="00CE0FC2" w:rsidP="00CE0FC2">
      <w:pPr>
        <w:spacing w:line="360" w:lineRule="auto"/>
        <w:jc w:val="both"/>
        <w:rPr>
          <w:sz w:val="6"/>
          <w:szCs w:val="6"/>
          <w:rtl/>
        </w:rPr>
      </w:pPr>
      <w:r w:rsidRPr="000C040A">
        <w:rPr>
          <w:rFonts w:hint="cs"/>
          <w:sz w:val="6"/>
          <w:szCs w:val="6"/>
          <w:rtl/>
        </w:rPr>
        <w:t>&lt;#6#&gt;</w:t>
      </w:r>
    </w:p>
    <w:p w14:paraId="138F4F44" w14:textId="77777777" w:rsidR="00CE0FC2" w:rsidRPr="000C040A" w:rsidRDefault="00CE0FC2" w:rsidP="00CE0FC2">
      <w:pPr>
        <w:jc w:val="right"/>
      </w:pPr>
    </w:p>
    <w:p w14:paraId="7BE08E7C" w14:textId="77777777" w:rsidR="00CE0FC2" w:rsidRPr="000C040A" w:rsidRDefault="00F55A64" w:rsidP="00CE0FC2">
      <w:pPr>
        <w:jc w:val="center"/>
        <w:rPr>
          <w:rtl/>
        </w:rPr>
      </w:pPr>
      <w:bookmarkStart w:id="8" w:name="Nitan"/>
      <w:r>
        <w:rPr>
          <w:b/>
          <w:bCs/>
          <w:rtl/>
        </w:rPr>
        <w:t xml:space="preserve">ניתנה והודעה היום כ"ג חשוון תשפ"ג, 17/11/2022 במעמד הנוכחים. </w:t>
      </w:r>
      <w:bookmarkEnd w:id="8"/>
    </w:p>
    <w:p w14:paraId="70C72062" w14:textId="77777777" w:rsidR="00CE0FC2" w:rsidRPr="00F55A64" w:rsidRDefault="00F55A64" w:rsidP="00CE0FC2">
      <w:pPr>
        <w:jc w:val="both"/>
        <w:rPr>
          <w:color w:val="FFFFFF"/>
          <w:sz w:val="2"/>
          <w:szCs w:val="2"/>
          <w:rtl/>
        </w:rPr>
      </w:pPr>
      <w:r w:rsidRPr="00F55A64">
        <w:rPr>
          <w:color w:val="FFFFFF"/>
          <w:sz w:val="2"/>
          <w:szCs w:val="2"/>
          <w:rtl/>
        </w:rPr>
        <w:t>5129371</w:t>
      </w:r>
    </w:p>
    <w:tbl>
      <w:tblPr>
        <w:bidiVisual/>
        <w:tblW w:w="3255" w:type="dxa"/>
        <w:tblInd w:w="5251" w:type="dxa"/>
        <w:tblBorders>
          <w:insideH w:val="single" w:sz="4" w:space="0" w:color="auto"/>
          <w:insideV w:val="single" w:sz="4" w:space="0" w:color="auto"/>
        </w:tblBorders>
        <w:tblLook w:val="01E0" w:firstRow="1" w:lastRow="1" w:firstColumn="1" w:lastColumn="1" w:noHBand="0" w:noVBand="0"/>
      </w:tblPr>
      <w:tblGrid>
        <w:gridCol w:w="3255"/>
      </w:tblGrid>
      <w:tr w:rsidR="00CE0FC2" w:rsidRPr="000C040A" w14:paraId="47F15A1A" w14:textId="77777777" w:rsidTr="00CE0FC2">
        <w:trPr>
          <w:trHeight w:val="316"/>
        </w:trPr>
        <w:tc>
          <w:tcPr>
            <w:tcW w:w="3255" w:type="dxa"/>
            <w:tcBorders>
              <w:top w:val="nil"/>
              <w:left w:val="nil"/>
              <w:bottom w:val="single" w:sz="4" w:space="0" w:color="auto"/>
              <w:right w:val="nil"/>
            </w:tcBorders>
            <w:shd w:val="clear" w:color="auto" w:fill="auto"/>
          </w:tcPr>
          <w:p w14:paraId="22323AD3" w14:textId="77777777" w:rsidR="00CE0FC2" w:rsidRPr="00F55A64" w:rsidRDefault="00F55A64" w:rsidP="00CE0FC2">
            <w:pPr>
              <w:jc w:val="center"/>
              <w:rPr>
                <w:color w:val="FFFFFF"/>
                <w:sz w:val="2"/>
                <w:szCs w:val="2"/>
                <w:rtl/>
              </w:rPr>
            </w:pPr>
            <w:r w:rsidRPr="00F55A64">
              <w:rPr>
                <w:color w:val="FFFFFF"/>
                <w:sz w:val="2"/>
                <w:szCs w:val="2"/>
                <w:rtl/>
              </w:rPr>
              <w:t>54678313</w:t>
            </w:r>
          </w:p>
          <w:p w14:paraId="7C0787CA" w14:textId="77777777" w:rsidR="00CE0FC2" w:rsidRPr="000C040A" w:rsidRDefault="00CE0FC2" w:rsidP="00CE0FC2">
            <w:pPr>
              <w:jc w:val="center"/>
            </w:pPr>
          </w:p>
        </w:tc>
      </w:tr>
      <w:tr w:rsidR="00CE0FC2" w:rsidRPr="000C040A" w14:paraId="37E39C10" w14:textId="77777777" w:rsidTr="00CE0FC2">
        <w:trPr>
          <w:trHeight w:val="361"/>
        </w:trPr>
        <w:tc>
          <w:tcPr>
            <w:tcW w:w="3255" w:type="dxa"/>
            <w:tcBorders>
              <w:top w:val="single" w:sz="4" w:space="0" w:color="auto"/>
              <w:left w:val="nil"/>
              <w:bottom w:val="nil"/>
              <w:right w:val="nil"/>
            </w:tcBorders>
            <w:shd w:val="clear" w:color="auto" w:fill="auto"/>
          </w:tcPr>
          <w:p w14:paraId="111A6BE5" w14:textId="77777777" w:rsidR="00CE0FC2" w:rsidRPr="00CE0FC2" w:rsidRDefault="00CE0FC2" w:rsidP="00CE0FC2">
            <w:pPr>
              <w:jc w:val="center"/>
              <w:rPr>
                <w:b/>
                <w:bCs/>
                <w:rtl/>
              </w:rPr>
            </w:pPr>
            <w:r w:rsidRPr="00CE0FC2">
              <w:rPr>
                <w:rFonts w:hint="cs"/>
                <w:b/>
                <w:bCs/>
                <w:rtl/>
              </w:rPr>
              <w:t>אליהו ביתן, שופט</w:t>
            </w:r>
          </w:p>
          <w:p w14:paraId="3DA9D881" w14:textId="77777777" w:rsidR="00CE0FC2" w:rsidRPr="00CE0FC2" w:rsidRDefault="00CE0FC2" w:rsidP="00CE0FC2">
            <w:pPr>
              <w:jc w:val="center"/>
              <w:rPr>
                <w:b/>
                <w:bCs/>
                <w:rtl/>
              </w:rPr>
            </w:pPr>
            <w:r w:rsidRPr="00CE0FC2">
              <w:rPr>
                <w:rFonts w:hint="cs"/>
                <w:b/>
                <w:bCs/>
                <w:rtl/>
              </w:rPr>
              <w:t>סגן הנשיאה</w:t>
            </w:r>
          </w:p>
        </w:tc>
      </w:tr>
    </w:tbl>
    <w:p w14:paraId="31E6EB6E" w14:textId="77777777" w:rsidR="00CE0FC2" w:rsidRPr="00AB302C" w:rsidRDefault="00AB302C" w:rsidP="00CE0FC2">
      <w:pPr>
        <w:jc w:val="both"/>
        <w:rPr>
          <w:rFonts w:ascii="David" w:hAnsi="David"/>
          <w:color w:val="FFFFFF"/>
          <w:sz w:val="2"/>
          <w:szCs w:val="2"/>
          <w:rtl/>
        </w:rPr>
      </w:pPr>
      <w:r w:rsidRPr="00AB302C">
        <w:rPr>
          <w:color w:val="FFFFFF"/>
          <w:sz w:val="2"/>
          <w:szCs w:val="2"/>
          <w:rtl/>
        </w:rPr>
        <w:t>5129371</w:t>
      </w:r>
      <w:r w:rsidR="00CE0FC2" w:rsidRPr="00AB302C">
        <w:rPr>
          <w:color w:val="FFFFFF"/>
          <w:sz w:val="2"/>
          <w:szCs w:val="2"/>
          <w:rtl/>
        </w:rPr>
        <w:t xml:space="preserve">    </w:t>
      </w:r>
    </w:p>
    <w:p w14:paraId="02E297BB" w14:textId="77777777" w:rsidR="00106449" w:rsidRPr="00AB302C" w:rsidRDefault="00AB302C" w:rsidP="00F55A64">
      <w:pPr>
        <w:keepNext/>
        <w:rPr>
          <w:rFonts w:ascii="David" w:hAnsi="David"/>
          <w:color w:val="FFFFFF"/>
          <w:sz w:val="2"/>
          <w:szCs w:val="2"/>
          <w:rtl/>
        </w:rPr>
      </w:pPr>
      <w:r w:rsidRPr="00AB302C">
        <w:rPr>
          <w:rFonts w:ascii="David" w:hAnsi="David"/>
          <w:color w:val="FFFFFF"/>
          <w:sz w:val="2"/>
          <w:szCs w:val="2"/>
          <w:rtl/>
        </w:rPr>
        <w:t>54678313</w:t>
      </w:r>
    </w:p>
    <w:p w14:paraId="49E3A053" w14:textId="77777777" w:rsidR="00F55A64" w:rsidRPr="00F55A64" w:rsidRDefault="00F55A64" w:rsidP="00F55A64">
      <w:pPr>
        <w:keepNext/>
        <w:rPr>
          <w:rFonts w:ascii="David" w:hAnsi="David"/>
          <w:color w:val="000000"/>
          <w:sz w:val="22"/>
          <w:szCs w:val="22"/>
          <w:rtl/>
        </w:rPr>
      </w:pPr>
      <w:r w:rsidRPr="00F55A64">
        <w:rPr>
          <w:rFonts w:ascii="David" w:hAnsi="David"/>
          <w:color w:val="000000"/>
          <w:sz w:val="22"/>
          <w:szCs w:val="22"/>
          <w:rtl/>
        </w:rPr>
        <w:t>אליהו ביתן 54678313</w:t>
      </w:r>
    </w:p>
    <w:p w14:paraId="3C8A5D42" w14:textId="77777777" w:rsidR="00F55A64" w:rsidRDefault="00F55A64" w:rsidP="00F55A64">
      <w:r w:rsidRPr="00F55A64">
        <w:rPr>
          <w:color w:val="000000"/>
          <w:rtl/>
        </w:rPr>
        <w:t>נוסח מסמך זה כפוף לשינויי ניסוח ועריכה</w:t>
      </w:r>
    </w:p>
    <w:p w14:paraId="232873F0" w14:textId="77777777" w:rsidR="00F55A64" w:rsidRDefault="00F55A64" w:rsidP="00F55A64">
      <w:pPr>
        <w:rPr>
          <w:rtl/>
        </w:rPr>
      </w:pPr>
    </w:p>
    <w:p w14:paraId="61F47230" w14:textId="77777777" w:rsidR="00F55A64" w:rsidRDefault="00F55A64" w:rsidP="00F55A64">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79CD7785" w14:textId="77777777" w:rsidR="00AB302C" w:rsidRPr="00AB302C" w:rsidRDefault="00AB302C" w:rsidP="00AB302C">
      <w:pPr>
        <w:keepNext/>
        <w:rPr>
          <w:rFonts w:ascii="David" w:hAnsi="David"/>
          <w:color w:val="000000"/>
          <w:sz w:val="22"/>
          <w:szCs w:val="22"/>
          <w:rtl/>
        </w:rPr>
      </w:pPr>
    </w:p>
    <w:sectPr w:rsidR="00AB302C" w:rsidRPr="00AB302C" w:rsidSect="00AB302C">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B84BE" w14:textId="77777777" w:rsidR="0099763F" w:rsidRDefault="0099763F" w:rsidP="00601E10">
      <w:r>
        <w:separator/>
      </w:r>
    </w:p>
  </w:endnote>
  <w:endnote w:type="continuationSeparator" w:id="0">
    <w:p w14:paraId="0695DE89" w14:textId="77777777" w:rsidR="0099763F" w:rsidRDefault="0099763F" w:rsidP="0060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54DA" w14:textId="77777777" w:rsidR="00AB302C" w:rsidRDefault="00AB302C" w:rsidP="00AB30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F4EE49" w14:textId="77777777" w:rsidR="00271786" w:rsidRPr="00AB302C" w:rsidRDefault="00AB302C" w:rsidP="00AB302C">
    <w:pPr>
      <w:pStyle w:val="a5"/>
      <w:pBdr>
        <w:top w:val="single" w:sz="4" w:space="1" w:color="auto"/>
        <w:between w:val="single" w:sz="4" w:space="0" w:color="auto"/>
      </w:pBdr>
      <w:spacing w:after="60"/>
      <w:jc w:val="center"/>
      <w:rPr>
        <w:rFonts w:ascii="FrankRuehl" w:hAnsi="FrankRuehl" w:cs="FrankRuehl"/>
        <w:color w:val="000000"/>
      </w:rPr>
    </w:pPr>
    <w:r w:rsidRPr="00AB302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99EF9" w14:textId="77777777" w:rsidR="00AB302C" w:rsidRDefault="00AB302C" w:rsidP="00AB302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6CB2">
      <w:rPr>
        <w:rFonts w:ascii="FrankRuehl" w:hAnsi="FrankRuehl" w:cs="FrankRuehl"/>
        <w:noProof/>
        <w:rtl/>
      </w:rPr>
      <w:t>1</w:t>
    </w:r>
    <w:r>
      <w:rPr>
        <w:rFonts w:ascii="FrankRuehl" w:hAnsi="FrankRuehl" w:cs="FrankRuehl"/>
        <w:rtl/>
      </w:rPr>
      <w:fldChar w:fldCharType="end"/>
    </w:r>
  </w:p>
  <w:p w14:paraId="2C049864" w14:textId="77777777" w:rsidR="00271786" w:rsidRPr="00AB302C" w:rsidRDefault="00AB302C" w:rsidP="00AB302C">
    <w:pPr>
      <w:pStyle w:val="a5"/>
      <w:pBdr>
        <w:top w:val="single" w:sz="4" w:space="1" w:color="auto"/>
        <w:between w:val="single" w:sz="4" w:space="0" w:color="auto"/>
      </w:pBdr>
      <w:spacing w:after="60"/>
      <w:jc w:val="center"/>
      <w:rPr>
        <w:rFonts w:ascii="FrankRuehl" w:hAnsi="FrankRuehl" w:cs="FrankRuehl"/>
        <w:color w:val="000000"/>
      </w:rPr>
    </w:pPr>
    <w:r w:rsidRPr="00AB302C">
      <w:rPr>
        <w:rFonts w:ascii="FrankRuehl" w:hAnsi="FrankRuehl" w:cs="FrankRuehl"/>
        <w:color w:val="000000"/>
      </w:rPr>
      <w:pict w14:anchorId="25D54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47556" w14:textId="77777777" w:rsidR="0099763F" w:rsidRDefault="0099763F" w:rsidP="00601E10">
      <w:r>
        <w:separator/>
      </w:r>
    </w:p>
  </w:footnote>
  <w:footnote w:type="continuationSeparator" w:id="0">
    <w:p w14:paraId="7679DBE1" w14:textId="77777777" w:rsidR="0099763F" w:rsidRDefault="0099763F" w:rsidP="00601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26730" w14:textId="77777777" w:rsidR="00F55A64" w:rsidRPr="00AB302C" w:rsidRDefault="00AB302C" w:rsidP="00AB3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26985-11-21</w:t>
    </w:r>
    <w:r>
      <w:rPr>
        <w:rFonts w:ascii="David" w:hAnsi="David"/>
        <w:color w:val="000000"/>
        <w:sz w:val="22"/>
        <w:szCs w:val="22"/>
        <w:rtl/>
      </w:rPr>
      <w:tab/>
      <w:t xml:space="preserve"> מדינת ישראל נ' מרדכי קצנטיני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F5DDE" w14:textId="77777777" w:rsidR="00F55A64" w:rsidRPr="00AB302C" w:rsidRDefault="00AB302C" w:rsidP="00AB302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26985-11-21</w:t>
    </w:r>
    <w:r>
      <w:rPr>
        <w:rFonts w:ascii="David" w:hAnsi="David"/>
        <w:color w:val="000000"/>
        <w:sz w:val="22"/>
        <w:szCs w:val="22"/>
        <w:rtl/>
      </w:rPr>
      <w:tab/>
      <w:t xml:space="preserve"> מדינת ישראל נ' מרדכי קצנטיני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0FC2"/>
    <w:rsid w:val="00106449"/>
    <w:rsid w:val="001B5A3B"/>
    <w:rsid w:val="00271786"/>
    <w:rsid w:val="00601E10"/>
    <w:rsid w:val="006E59FB"/>
    <w:rsid w:val="0086229F"/>
    <w:rsid w:val="0099763F"/>
    <w:rsid w:val="009B6813"/>
    <w:rsid w:val="00AB302C"/>
    <w:rsid w:val="00AC17BA"/>
    <w:rsid w:val="00B16CB2"/>
    <w:rsid w:val="00B17F0D"/>
    <w:rsid w:val="00CE0FC2"/>
    <w:rsid w:val="00E224A0"/>
    <w:rsid w:val="00EF681C"/>
    <w:rsid w:val="00F55A64"/>
    <w:rsid w:val="00FF28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599542"/>
  <w15:chartTrackingRefBased/>
  <w15:docId w15:val="{71B19FCF-1615-4548-AB0D-4E8E6210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0F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0FC2"/>
    <w:pPr>
      <w:tabs>
        <w:tab w:val="center" w:pos="4153"/>
        <w:tab w:val="right" w:pos="8306"/>
      </w:tabs>
    </w:pPr>
  </w:style>
  <w:style w:type="character" w:customStyle="1" w:styleId="a4">
    <w:name w:val="כותרת עליונה תו"/>
    <w:link w:val="a3"/>
    <w:rsid w:val="00CE0FC2"/>
    <w:rPr>
      <w:rFonts w:ascii="Times New Roman" w:eastAsia="Times New Roman" w:hAnsi="Times New Roman" w:cs="David"/>
      <w:sz w:val="24"/>
      <w:szCs w:val="24"/>
    </w:rPr>
  </w:style>
  <w:style w:type="paragraph" w:styleId="a5">
    <w:name w:val="footer"/>
    <w:basedOn w:val="a"/>
    <w:link w:val="a6"/>
    <w:rsid w:val="00CE0FC2"/>
    <w:pPr>
      <w:tabs>
        <w:tab w:val="center" w:pos="4153"/>
        <w:tab w:val="right" w:pos="8306"/>
      </w:tabs>
    </w:pPr>
  </w:style>
  <w:style w:type="character" w:customStyle="1" w:styleId="a6">
    <w:name w:val="כותרת תחתונה תו"/>
    <w:link w:val="a5"/>
    <w:rsid w:val="00CE0FC2"/>
    <w:rPr>
      <w:rFonts w:ascii="Times New Roman" w:eastAsia="Times New Roman" w:hAnsi="Times New Roman" w:cs="David"/>
      <w:sz w:val="24"/>
      <w:szCs w:val="24"/>
    </w:rPr>
  </w:style>
  <w:style w:type="table" w:styleId="a7">
    <w:name w:val="Table Grid"/>
    <w:basedOn w:val="a1"/>
    <w:rsid w:val="00CE0F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0FC2"/>
  </w:style>
  <w:style w:type="paragraph" w:customStyle="1" w:styleId="12">
    <w:name w:val="רגיל + ‏12 נק'"/>
    <w:aliases w:val="מיושר לשני הצדדים,מרווח בין שורות:  שורה וחצי"/>
    <w:basedOn w:val="a"/>
    <w:rsid w:val="00CE0FC2"/>
    <w:rPr>
      <w:b/>
      <w:bCs/>
      <w:u w:val="single"/>
    </w:rPr>
  </w:style>
  <w:style w:type="character" w:styleId="Hyperlink">
    <w:name w:val="Hyperlink"/>
    <w:rsid w:val="00CE0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933514" TargetMode="External"/><Relationship Id="rId39" Type="http://schemas.openxmlformats.org/officeDocument/2006/relationships/hyperlink" Target="http://www.nevo.co.il/law/70301/40j"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7171364" TargetMode="External"/><Relationship Id="rId42" Type="http://schemas.openxmlformats.org/officeDocument/2006/relationships/hyperlink" Target="http://www.nevo.co.il/case/22294063" TargetMode="External"/><Relationship Id="rId47" Type="http://schemas.openxmlformats.org/officeDocument/2006/relationships/hyperlink" Target="http://www.nevo.co.il/case/2366198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40j"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7404359" TargetMode="External"/><Relationship Id="rId11" Type="http://schemas.openxmlformats.org/officeDocument/2006/relationships/hyperlink" Target="http://www.nevo.co.il/law/70301/340a.b" TargetMode="External"/><Relationship Id="rId24" Type="http://schemas.openxmlformats.org/officeDocument/2006/relationships/hyperlink" Target="http://www.nevo.co.il/case/26461117"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693468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244" TargetMode="External"/><Relationship Id="rId19" Type="http://schemas.openxmlformats.org/officeDocument/2006/relationships/hyperlink" Target="http://www.nevo.co.il/law/70301/340a.b" TargetMode="External"/><Relationship Id="rId31" Type="http://schemas.openxmlformats.org/officeDocument/2006/relationships/hyperlink" Target="http://www.nevo.co.il/case/26905927" TargetMode="External"/><Relationship Id="rId44" Type="http://schemas.openxmlformats.org/officeDocument/2006/relationships/hyperlink" Target="http://www.nevo.co.il/law/70301/58"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case/26934681"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161892" TargetMode="External"/><Relationship Id="rId48" Type="http://schemas.openxmlformats.org/officeDocument/2006/relationships/hyperlink" Target="http://www.nevo.co.il/case/26461117" TargetMode="External"/><Relationship Id="rId8" Type="http://schemas.openxmlformats.org/officeDocument/2006/relationships/hyperlink" Target="http://www.nevo.co.il/law/70301/58"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case/27309272" TargetMode="External"/><Relationship Id="rId38" Type="http://schemas.openxmlformats.org/officeDocument/2006/relationships/hyperlink" Target="http://www.nevo.co.il/case/26492590" TargetMode="External"/><Relationship Id="rId46" Type="http://schemas.openxmlformats.org/officeDocument/2006/relationships/hyperlink" Target="http://www.nevo.co.il/case/161892" TargetMode="External"/><Relationship Id="rId20" Type="http://schemas.openxmlformats.org/officeDocument/2006/relationships/hyperlink" Target="http://www.nevo.co.il/case/26461117" TargetMode="External"/><Relationship Id="rId41" Type="http://schemas.openxmlformats.org/officeDocument/2006/relationships/hyperlink" Target="http://www.nevo.co.il/case/23661989"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44"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7436592" TargetMode="External"/><Relationship Id="rId36" Type="http://schemas.openxmlformats.org/officeDocument/2006/relationships/hyperlink" Target="http://www.nevo.co.il/case/5568354"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4509</Words>
  <Characters>22550</Characters>
  <Application>Microsoft Office Word</Application>
  <DocSecurity>0</DocSecurity>
  <Lines>187</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27005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3539061</vt:i4>
      </vt:variant>
      <vt:variant>
        <vt:i4>126</vt:i4>
      </vt:variant>
      <vt:variant>
        <vt:i4>0</vt:i4>
      </vt:variant>
      <vt:variant>
        <vt:i4>5</vt:i4>
      </vt:variant>
      <vt:variant>
        <vt:lpwstr>http://www.nevo.co.il/case/26461117</vt:lpwstr>
      </vt:variant>
      <vt:variant>
        <vt:lpwstr/>
      </vt:variant>
      <vt:variant>
        <vt:i4>3997816</vt:i4>
      </vt:variant>
      <vt:variant>
        <vt:i4>123</vt:i4>
      </vt:variant>
      <vt:variant>
        <vt:i4>0</vt:i4>
      </vt:variant>
      <vt:variant>
        <vt:i4>5</vt:i4>
      </vt:variant>
      <vt:variant>
        <vt:lpwstr>http://www.nevo.co.il/case/23661989</vt:lpwstr>
      </vt:variant>
      <vt:variant>
        <vt:lpwstr/>
      </vt:variant>
      <vt:variant>
        <vt:i4>589898</vt:i4>
      </vt:variant>
      <vt:variant>
        <vt:i4>120</vt:i4>
      </vt:variant>
      <vt:variant>
        <vt:i4>0</vt:i4>
      </vt:variant>
      <vt:variant>
        <vt:i4>5</vt:i4>
      </vt:variant>
      <vt:variant>
        <vt:lpwstr>http://www.nevo.co.il/case/161892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7143520</vt:i4>
      </vt:variant>
      <vt:variant>
        <vt:i4>114</vt:i4>
      </vt:variant>
      <vt:variant>
        <vt:i4>0</vt:i4>
      </vt:variant>
      <vt:variant>
        <vt:i4>5</vt:i4>
      </vt:variant>
      <vt:variant>
        <vt:lpwstr>http://www.nevo.co.il/law/70301/58</vt:lpwstr>
      </vt:variant>
      <vt:variant>
        <vt:lpwstr/>
      </vt:variant>
      <vt:variant>
        <vt:i4>589898</vt:i4>
      </vt:variant>
      <vt:variant>
        <vt:i4>111</vt:i4>
      </vt:variant>
      <vt:variant>
        <vt:i4>0</vt:i4>
      </vt:variant>
      <vt:variant>
        <vt:i4>5</vt:i4>
      </vt:variant>
      <vt:variant>
        <vt:lpwstr>http://www.nevo.co.il/case/161892</vt:lpwstr>
      </vt:variant>
      <vt:variant>
        <vt:lpwstr/>
      </vt:variant>
      <vt:variant>
        <vt:i4>3276927</vt:i4>
      </vt:variant>
      <vt:variant>
        <vt:i4>108</vt:i4>
      </vt:variant>
      <vt:variant>
        <vt:i4>0</vt:i4>
      </vt:variant>
      <vt:variant>
        <vt:i4>5</vt:i4>
      </vt:variant>
      <vt:variant>
        <vt:lpwstr>http://www.nevo.co.il/case/22294063</vt:lpwstr>
      </vt:variant>
      <vt:variant>
        <vt:lpwstr/>
      </vt:variant>
      <vt:variant>
        <vt:i4>3997816</vt:i4>
      </vt:variant>
      <vt:variant>
        <vt:i4>105</vt:i4>
      </vt:variant>
      <vt:variant>
        <vt:i4>0</vt:i4>
      </vt:variant>
      <vt:variant>
        <vt:i4>5</vt:i4>
      </vt:variant>
      <vt:variant>
        <vt:lpwstr>http://www.nevo.co.il/case/23661989</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http://www.nevo.co.il/law/70301/40j</vt:lpwstr>
      </vt:variant>
      <vt:variant>
        <vt:lpwstr/>
      </vt:variant>
      <vt:variant>
        <vt:i4>3997822</vt:i4>
      </vt:variant>
      <vt:variant>
        <vt:i4>96</vt:i4>
      </vt:variant>
      <vt:variant>
        <vt:i4>0</vt:i4>
      </vt:variant>
      <vt:variant>
        <vt:i4>5</vt:i4>
      </vt:variant>
      <vt:variant>
        <vt:lpwstr>http://www.nevo.co.il/case/26492590</vt:lpwstr>
      </vt:variant>
      <vt:variant>
        <vt:lpwstr/>
      </vt:variant>
      <vt:variant>
        <vt:i4>3604599</vt:i4>
      </vt:variant>
      <vt:variant>
        <vt:i4>93</vt:i4>
      </vt:variant>
      <vt:variant>
        <vt:i4>0</vt:i4>
      </vt:variant>
      <vt:variant>
        <vt:i4>5</vt:i4>
      </vt:variant>
      <vt:variant>
        <vt:lpwstr>http://www.nevo.co.il/case/26934681</vt:lpwstr>
      </vt:variant>
      <vt:variant>
        <vt:lpwstr/>
      </vt:variant>
      <vt:variant>
        <vt:i4>3407996</vt:i4>
      </vt:variant>
      <vt:variant>
        <vt:i4>90</vt:i4>
      </vt:variant>
      <vt:variant>
        <vt:i4>0</vt:i4>
      </vt:variant>
      <vt:variant>
        <vt:i4>5</vt:i4>
      </vt:variant>
      <vt:variant>
        <vt:lpwstr>http://www.nevo.co.il/case/5568354</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3407991</vt:i4>
      </vt:variant>
      <vt:variant>
        <vt:i4>84</vt:i4>
      </vt:variant>
      <vt:variant>
        <vt:i4>0</vt:i4>
      </vt:variant>
      <vt:variant>
        <vt:i4>5</vt:i4>
      </vt:variant>
      <vt:variant>
        <vt:lpwstr>http://www.nevo.co.il/case/27171364</vt:lpwstr>
      </vt:variant>
      <vt:variant>
        <vt:lpwstr/>
      </vt:variant>
      <vt:variant>
        <vt:i4>4128881</vt:i4>
      </vt:variant>
      <vt:variant>
        <vt:i4>81</vt:i4>
      </vt:variant>
      <vt:variant>
        <vt:i4>0</vt:i4>
      </vt:variant>
      <vt:variant>
        <vt:i4>5</vt:i4>
      </vt:variant>
      <vt:variant>
        <vt:lpwstr>http://www.nevo.co.il/case/27309272</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3932283</vt:i4>
      </vt:variant>
      <vt:variant>
        <vt:i4>75</vt:i4>
      </vt:variant>
      <vt:variant>
        <vt:i4>0</vt:i4>
      </vt:variant>
      <vt:variant>
        <vt:i4>5</vt:i4>
      </vt:variant>
      <vt:variant>
        <vt:lpwstr>http://www.nevo.co.il/case/26905927</vt:lpwstr>
      </vt:variant>
      <vt:variant>
        <vt:lpwstr/>
      </vt:variant>
      <vt:variant>
        <vt:i4>3604599</vt:i4>
      </vt:variant>
      <vt:variant>
        <vt:i4>72</vt:i4>
      </vt:variant>
      <vt:variant>
        <vt:i4>0</vt:i4>
      </vt:variant>
      <vt:variant>
        <vt:i4>5</vt:i4>
      </vt:variant>
      <vt:variant>
        <vt:lpwstr>http://www.nevo.co.il/case/26934681</vt:lpwstr>
      </vt:variant>
      <vt:variant>
        <vt:lpwstr/>
      </vt:variant>
      <vt:variant>
        <vt:i4>3604592</vt:i4>
      </vt:variant>
      <vt:variant>
        <vt:i4>69</vt:i4>
      </vt:variant>
      <vt:variant>
        <vt:i4>0</vt:i4>
      </vt:variant>
      <vt:variant>
        <vt:i4>5</vt:i4>
      </vt:variant>
      <vt:variant>
        <vt:lpwstr>http://www.nevo.co.il/case/27404359</vt:lpwstr>
      </vt:variant>
      <vt:variant>
        <vt:lpwstr/>
      </vt:variant>
      <vt:variant>
        <vt:i4>3735669</vt:i4>
      </vt:variant>
      <vt:variant>
        <vt:i4>66</vt:i4>
      </vt:variant>
      <vt:variant>
        <vt:i4>0</vt:i4>
      </vt:variant>
      <vt:variant>
        <vt:i4>5</vt:i4>
      </vt:variant>
      <vt:variant>
        <vt:lpwstr>http://www.nevo.co.il/case/27436592</vt:lpwstr>
      </vt:variant>
      <vt:variant>
        <vt:lpwstr/>
      </vt:variant>
      <vt:variant>
        <vt:i4>3604604</vt:i4>
      </vt:variant>
      <vt:variant>
        <vt:i4>63</vt:i4>
      </vt:variant>
      <vt:variant>
        <vt:i4>0</vt:i4>
      </vt:variant>
      <vt:variant>
        <vt:i4>5</vt:i4>
      </vt:variant>
      <vt:variant>
        <vt:lpwstr>http://www.nevo.co.il/case/26888657</vt:lpwstr>
      </vt:variant>
      <vt:variant>
        <vt:lpwstr/>
      </vt:variant>
      <vt:variant>
        <vt:i4>3735669</vt:i4>
      </vt:variant>
      <vt:variant>
        <vt:i4>60</vt:i4>
      </vt:variant>
      <vt:variant>
        <vt:i4>0</vt:i4>
      </vt:variant>
      <vt:variant>
        <vt:i4>5</vt:i4>
      </vt:variant>
      <vt:variant>
        <vt:lpwstr>http://www.nevo.co.il/case/27933514</vt:lpwstr>
      </vt:variant>
      <vt:variant>
        <vt:lpwstr/>
      </vt:variant>
      <vt:variant>
        <vt:i4>3670139</vt:i4>
      </vt:variant>
      <vt:variant>
        <vt:i4>57</vt:i4>
      </vt:variant>
      <vt:variant>
        <vt:i4>0</vt:i4>
      </vt:variant>
      <vt:variant>
        <vt:i4>5</vt:i4>
      </vt:variant>
      <vt:variant>
        <vt:lpwstr>http://www.nevo.co.il/case/25824863</vt:lpwstr>
      </vt:variant>
      <vt:variant>
        <vt:lpwstr/>
      </vt:variant>
      <vt:variant>
        <vt:i4>3539061</vt:i4>
      </vt:variant>
      <vt:variant>
        <vt:i4>54</vt:i4>
      </vt:variant>
      <vt:variant>
        <vt:i4>0</vt:i4>
      </vt:variant>
      <vt:variant>
        <vt:i4>5</vt:i4>
      </vt:variant>
      <vt:variant>
        <vt:lpwstr>http://www.nevo.co.il/case/26461117</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3539061</vt:i4>
      </vt:variant>
      <vt:variant>
        <vt:i4>42</vt:i4>
      </vt:variant>
      <vt:variant>
        <vt:i4>0</vt:i4>
      </vt:variant>
      <vt:variant>
        <vt:i4>5</vt:i4>
      </vt:variant>
      <vt:variant>
        <vt:lpwstr>http://www.nevo.co.il/case/26461117</vt:lpwstr>
      </vt:variant>
      <vt:variant>
        <vt:lpwstr/>
      </vt:variant>
      <vt:variant>
        <vt:i4>6422648</vt:i4>
      </vt:variant>
      <vt:variant>
        <vt:i4>39</vt:i4>
      </vt:variant>
      <vt:variant>
        <vt:i4>0</vt:i4>
      </vt:variant>
      <vt:variant>
        <vt:i4>5</vt:i4>
      </vt:variant>
      <vt:variant>
        <vt:lpwstr>http://www.nevo.co.il/law/70301/340a.b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6422648</vt:i4>
      </vt:variant>
      <vt:variant>
        <vt:i4>15</vt:i4>
      </vt:variant>
      <vt:variant>
        <vt:i4>0</vt:i4>
      </vt:variant>
      <vt:variant>
        <vt:i4>5</vt:i4>
      </vt:variant>
      <vt:variant>
        <vt:lpwstr>http://www.nevo.co.il/law/70301/340a.b</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6619233</vt:i4>
      </vt:variant>
      <vt:variant>
        <vt:i4>3</vt:i4>
      </vt:variant>
      <vt:variant>
        <vt:i4>0</vt:i4>
      </vt:variant>
      <vt:variant>
        <vt:i4>5</vt:i4>
      </vt:variant>
      <vt:variant>
        <vt:lpwstr>http://www.nevo.co.il/law/70301/40j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26985</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מרדכי קצנטיני ;אליאב קצנטיני;רן חמיאס</vt:lpwstr>
  </property>
  <property fmtid="{D5CDD505-2E9C-101B-9397-08002B2CF9AE}" pid="10" name="LAWYER">
    <vt:lpwstr>ירון סעדון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20221117</vt:lpwstr>
  </property>
  <property fmtid="{D5CDD505-2E9C-101B-9397-08002B2CF9AE}" pid="14" name="TYPE_N_DATE">
    <vt:lpwstr>39020221117</vt:lpwstr>
  </property>
  <property fmtid="{D5CDD505-2E9C-101B-9397-08002B2CF9AE}" pid="15" name="WORDNUMPAGES">
    <vt:lpwstr>14</vt:lpwstr>
  </property>
  <property fmtid="{D5CDD505-2E9C-101B-9397-08002B2CF9AE}" pid="16" name="TYPE_ABS_DATE">
    <vt:lpwstr>390020221117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26461117:3;27933514;26888657;27436592;27404359;26934681:2;26905927;27309272;27171364;25824863;5568354;26492590;23661989:2;22294063;161892:2</vt:lpwstr>
  </property>
  <property fmtid="{D5CDD505-2E9C-101B-9397-08002B2CF9AE}" pid="36" name="LAWLISTTMP1">
    <vt:lpwstr>70301/244;144.b;340a.b;040j;058</vt:lpwstr>
  </property>
  <property fmtid="{D5CDD505-2E9C-101B-9397-08002B2CF9AE}" pid="37" name="LAWLISTTMP2">
    <vt:lpwstr>4216/007.a;007.c</vt:lpwstr>
  </property>
</Properties>
</file>