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649F5" w:rsidRPr="00A678ED" w14:paraId="12190289" w14:textId="77777777" w:rsidTr="00E23180">
        <w:trPr>
          <w:trHeight w:hRule="exact" w:val="418"/>
          <w:jc w:val="center"/>
        </w:trPr>
        <w:tc>
          <w:tcPr>
            <w:tcW w:w="8721" w:type="dxa"/>
            <w:gridSpan w:val="2"/>
          </w:tcPr>
          <w:p w14:paraId="6F89BCB3" w14:textId="77777777" w:rsidR="003649F5" w:rsidRPr="00A678ED" w:rsidRDefault="003649F5" w:rsidP="003964CC">
            <w:pPr>
              <w:pStyle w:val="a3"/>
              <w:jc w:val="center"/>
              <w:rPr>
                <w:rFonts w:ascii="Tahoma" w:hAnsi="Tahoma" w:cs="Tahoma"/>
                <w:color w:val="000080"/>
                <w:rtl/>
              </w:rPr>
            </w:pPr>
            <w:bookmarkStart w:id="0" w:name="LastJudge"/>
            <w:r w:rsidRPr="00A678ED">
              <w:rPr>
                <w:rFonts w:ascii="Tahoma" w:hAnsi="Tahoma" w:cs="Tahoma"/>
                <w:b/>
                <w:bCs/>
                <w:color w:val="000080"/>
                <w:rtl/>
              </w:rPr>
              <w:t>בית המשפט המחוזי בבאר שבע</w:t>
            </w:r>
          </w:p>
        </w:tc>
      </w:tr>
      <w:tr w:rsidR="003649F5" w:rsidRPr="00A678ED" w14:paraId="734289D9" w14:textId="77777777" w:rsidTr="00E23180">
        <w:trPr>
          <w:trHeight w:val="337"/>
          <w:jc w:val="center"/>
        </w:trPr>
        <w:tc>
          <w:tcPr>
            <w:tcW w:w="5054" w:type="dxa"/>
          </w:tcPr>
          <w:p w14:paraId="6482FDA3" w14:textId="77777777" w:rsidR="003649F5" w:rsidRPr="00A678ED" w:rsidRDefault="003649F5" w:rsidP="003964CC">
            <w:pPr>
              <w:rPr>
                <w:rFonts w:cs="FrankRuehl"/>
                <w:sz w:val="28"/>
                <w:szCs w:val="28"/>
                <w:rtl/>
              </w:rPr>
            </w:pPr>
            <w:r w:rsidRPr="00A678ED">
              <w:rPr>
                <w:rFonts w:cs="FrankRuehl"/>
                <w:sz w:val="28"/>
                <w:szCs w:val="28"/>
                <w:rtl/>
              </w:rPr>
              <w:t>ת"פ</w:t>
            </w:r>
            <w:r w:rsidRPr="00A678ED">
              <w:rPr>
                <w:rFonts w:cs="FrankRuehl" w:hint="cs"/>
                <w:sz w:val="28"/>
                <w:szCs w:val="28"/>
                <w:rtl/>
              </w:rPr>
              <w:t xml:space="preserve"> </w:t>
            </w:r>
            <w:r w:rsidRPr="00A678ED">
              <w:rPr>
                <w:rFonts w:cs="FrankRuehl"/>
                <w:sz w:val="28"/>
                <w:szCs w:val="28"/>
                <w:rtl/>
              </w:rPr>
              <w:t>49021-11-21</w:t>
            </w:r>
            <w:r w:rsidRPr="00A678ED">
              <w:rPr>
                <w:rFonts w:cs="FrankRuehl" w:hint="cs"/>
                <w:sz w:val="28"/>
                <w:szCs w:val="28"/>
                <w:rtl/>
              </w:rPr>
              <w:t xml:space="preserve"> </w:t>
            </w:r>
            <w:r w:rsidRPr="00A678ED">
              <w:rPr>
                <w:rFonts w:cs="FrankRuehl"/>
                <w:sz w:val="28"/>
                <w:szCs w:val="28"/>
                <w:rtl/>
              </w:rPr>
              <w:t>מדינת ישראל נ' אבו עאיש ואח'</w:t>
            </w:r>
          </w:p>
          <w:p w14:paraId="10493514" w14:textId="77777777" w:rsidR="003649F5" w:rsidRPr="00A678ED" w:rsidRDefault="003649F5" w:rsidP="003964CC">
            <w:pPr>
              <w:pStyle w:val="a3"/>
              <w:rPr>
                <w:rFonts w:cs="FrankRuehl"/>
                <w:sz w:val="28"/>
                <w:szCs w:val="28"/>
                <w:rtl/>
              </w:rPr>
            </w:pPr>
          </w:p>
          <w:p w14:paraId="6385F217" w14:textId="77777777" w:rsidR="003649F5" w:rsidRPr="00A678ED" w:rsidRDefault="003649F5" w:rsidP="003964CC">
            <w:pPr>
              <w:rPr>
                <w:rFonts w:cs="FrankRuehl"/>
                <w:sz w:val="28"/>
                <w:szCs w:val="28"/>
                <w:rtl/>
              </w:rPr>
            </w:pPr>
            <w:r w:rsidRPr="00A678ED">
              <w:rPr>
                <w:rFonts w:cs="FrankRuehl"/>
                <w:sz w:val="28"/>
                <w:szCs w:val="28"/>
                <w:rtl/>
              </w:rPr>
              <w:t>ת"פ</w:t>
            </w:r>
            <w:r w:rsidRPr="00A678ED">
              <w:rPr>
                <w:rFonts w:cs="FrankRuehl" w:hint="cs"/>
                <w:sz w:val="28"/>
                <w:szCs w:val="28"/>
                <w:rtl/>
              </w:rPr>
              <w:t xml:space="preserve"> </w:t>
            </w:r>
            <w:r w:rsidRPr="00A678ED">
              <w:rPr>
                <w:rFonts w:cs="FrankRuehl"/>
                <w:sz w:val="28"/>
                <w:szCs w:val="28"/>
                <w:rtl/>
              </w:rPr>
              <w:t>52754-11-21</w:t>
            </w:r>
            <w:r w:rsidRPr="00A678ED">
              <w:rPr>
                <w:rFonts w:cs="FrankRuehl" w:hint="cs"/>
                <w:sz w:val="28"/>
                <w:szCs w:val="28"/>
                <w:rtl/>
              </w:rPr>
              <w:t xml:space="preserve"> </w:t>
            </w:r>
            <w:r w:rsidRPr="00A678ED">
              <w:rPr>
                <w:rFonts w:cs="FrankRuehl"/>
                <w:sz w:val="28"/>
                <w:szCs w:val="28"/>
                <w:rtl/>
              </w:rPr>
              <w:t>מדינת ישראל נ' אבו עאיש ואח'</w:t>
            </w:r>
          </w:p>
          <w:p w14:paraId="24A5548B" w14:textId="77777777" w:rsidR="003649F5" w:rsidRPr="00A678ED" w:rsidRDefault="003649F5" w:rsidP="003964CC">
            <w:pPr>
              <w:pStyle w:val="a3"/>
              <w:rPr>
                <w:rFonts w:cs="FrankRuehl"/>
                <w:sz w:val="28"/>
                <w:szCs w:val="28"/>
                <w:rtl/>
              </w:rPr>
            </w:pPr>
          </w:p>
        </w:tc>
        <w:tc>
          <w:tcPr>
            <w:tcW w:w="3667" w:type="dxa"/>
          </w:tcPr>
          <w:p w14:paraId="75A91975" w14:textId="77777777" w:rsidR="003649F5" w:rsidRPr="00A678ED" w:rsidRDefault="003649F5" w:rsidP="003964CC">
            <w:pPr>
              <w:pStyle w:val="a3"/>
              <w:jc w:val="right"/>
              <w:rPr>
                <w:rFonts w:cs="FrankRuehl"/>
                <w:sz w:val="28"/>
                <w:szCs w:val="28"/>
                <w:rtl/>
              </w:rPr>
            </w:pPr>
          </w:p>
        </w:tc>
      </w:tr>
    </w:tbl>
    <w:p w14:paraId="5AAF3CD8" w14:textId="77777777" w:rsidR="003649F5" w:rsidRPr="00A678ED" w:rsidRDefault="003649F5" w:rsidP="00E23180">
      <w:pPr>
        <w:pStyle w:val="a3"/>
      </w:pPr>
      <w:r w:rsidRPr="00A678E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649F5" w:rsidRPr="00A678ED" w14:paraId="6772F32C" w14:textId="77777777" w:rsidTr="003649F5">
        <w:trPr>
          <w:trHeight w:val="295"/>
          <w:jc w:val="center"/>
        </w:trPr>
        <w:tc>
          <w:tcPr>
            <w:tcW w:w="923" w:type="dxa"/>
            <w:tcBorders>
              <w:top w:val="nil"/>
              <w:left w:val="nil"/>
              <w:bottom w:val="nil"/>
              <w:right w:val="nil"/>
            </w:tcBorders>
            <w:shd w:val="clear" w:color="auto" w:fill="auto"/>
          </w:tcPr>
          <w:p w14:paraId="0FBE23C8" w14:textId="77777777" w:rsidR="003649F5" w:rsidRPr="00A678ED" w:rsidRDefault="003649F5" w:rsidP="003649F5">
            <w:pPr>
              <w:jc w:val="both"/>
              <w:rPr>
                <w:rFonts w:ascii="David" w:hAnsi="David"/>
                <w:sz w:val="26"/>
                <w:szCs w:val="26"/>
              </w:rPr>
            </w:pPr>
            <w:r w:rsidRPr="00A678ED">
              <w:rPr>
                <w:rFonts w:ascii="David" w:hAnsi="David" w:hint="cs"/>
                <w:sz w:val="26"/>
                <w:szCs w:val="26"/>
                <w:rtl/>
              </w:rPr>
              <w:t>ל</w:t>
            </w:r>
            <w:r w:rsidRPr="00A678E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C6F660F" w14:textId="77777777" w:rsidR="003649F5" w:rsidRPr="00A678ED" w:rsidRDefault="003649F5" w:rsidP="003964CC">
            <w:pPr>
              <w:rPr>
                <w:rFonts w:ascii="David" w:hAnsi="David"/>
                <w:b/>
                <w:bCs/>
                <w:sz w:val="26"/>
                <w:szCs w:val="26"/>
                <w:rtl/>
              </w:rPr>
            </w:pPr>
            <w:r w:rsidRPr="00A678ED">
              <w:rPr>
                <w:rFonts w:ascii="David" w:hAnsi="David"/>
                <w:b/>
                <w:bCs/>
                <w:sz w:val="26"/>
                <w:szCs w:val="26"/>
                <w:rtl/>
              </w:rPr>
              <w:t>כבוד השופט  אלון גביזון</w:t>
            </w:r>
          </w:p>
          <w:p w14:paraId="28AAFBFB" w14:textId="77777777" w:rsidR="003649F5" w:rsidRPr="00A678ED" w:rsidRDefault="003649F5" w:rsidP="003964CC">
            <w:pPr>
              <w:rPr>
                <w:rFonts w:ascii="David" w:hAnsi="David"/>
                <w:sz w:val="26"/>
                <w:szCs w:val="26"/>
                <w:rtl/>
              </w:rPr>
            </w:pPr>
          </w:p>
          <w:p w14:paraId="42919E4E" w14:textId="77777777" w:rsidR="003649F5" w:rsidRPr="00A678ED" w:rsidRDefault="003649F5" w:rsidP="003649F5">
            <w:pPr>
              <w:jc w:val="both"/>
              <w:rPr>
                <w:rFonts w:ascii="David" w:hAnsi="David"/>
                <w:sz w:val="26"/>
                <w:szCs w:val="26"/>
              </w:rPr>
            </w:pPr>
          </w:p>
        </w:tc>
      </w:tr>
      <w:tr w:rsidR="003649F5" w:rsidRPr="00A678ED" w14:paraId="546EC905" w14:textId="77777777" w:rsidTr="003649F5">
        <w:trPr>
          <w:trHeight w:val="355"/>
          <w:jc w:val="center"/>
        </w:trPr>
        <w:tc>
          <w:tcPr>
            <w:tcW w:w="923" w:type="dxa"/>
            <w:tcBorders>
              <w:top w:val="nil"/>
              <w:left w:val="nil"/>
              <w:bottom w:val="nil"/>
              <w:right w:val="nil"/>
            </w:tcBorders>
            <w:shd w:val="clear" w:color="auto" w:fill="auto"/>
          </w:tcPr>
          <w:p w14:paraId="3FE7BAD9" w14:textId="77777777" w:rsidR="003649F5" w:rsidRPr="00A678ED" w:rsidRDefault="003649F5" w:rsidP="003649F5">
            <w:pPr>
              <w:jc w:val="both"/>
              <w:rPr>
                <w:rFonts w:ascii="David" w:hAnsi="David"/>
                <w:sz w:val="26"/>
                <w:szCs w:val="26"/>
              </w:rPr>
            </w:pPr>
            <w:bookmarkStart w:id="1" w:name="FirstAppellant"/>
            <w:bookmarkStart w:id="2" w:name="FirstLawyer"/>
            <w:r w:rsidRPr="00A678ED">
              <w:rPr>
                <w:rFonts w:ascii="David" w:hAnsi="David"/>
                <w:sz w:val="26"/>
                <w:szCs w:val="26"/>
                <w:rtl/>
              </w:rPr>
              <w:t>בעניין:</w:t>
            </w:r>
          </w:p>
        </w:tc>
        <w:tc>
          <w:tcPr>
            <w:tcW w:w="3219" w:type="dxa"/>
            <w:tcBorders>
              <w:top w:val="nil"/>
              <w:left w:val="nil"/>
              <w:bottom w:val="nil"/>
              <w:right w:val="nil"/>
            </w:tcBorders>
            <w:shd w:val="clear" w:color="auto" w:fill="auto"/>
          </w:tcPr>
          <w:p w14:paraId="37F7E4D5" w14:textId="77777777" w:rsidR="003649F5" w:rsidRPr="00A678ED" w:rsidRDefault="003649F5" w:rsidP="003649F5">
            <w:pPr>
              <w:suppressLineNumbers/>
            </w:pPr>
            <w:r w:rsidRPr="00A678ED">
              <w:rPr>
                <w:rFonts w:ascii="Arial" w:hAnsi="Arial" w:hint="cs"/>
                <w:b/>
                <w:bCs/>
                <w:sz w:val="26"/>
                <w:szCs w:val="26"/>
                <w:rtl/>
              </w:rPr>
              <w:t>ה</w:t>
            </w:r>
            <w:r w:rsidRPr="00A678ED">
              <w:rPr>
                <w:rFonts w:ascii="Arial" w:hAnsi="Arial"/>
                <w:b/>
                <w:bCs/>
                <w:sz w:val="26"/>
                <w:szCs w:val="26"/>
                <w:rtl/>
              </w:rPr>
              <w:t>מאשימה</w:t>
            </w:r>
          </w:p>
          <w:p w14:paraId="3C129C97" w14:textId="77777777" w:rsidR="003649F5" w:rsidRPr="00A678ED" w:rsidRDefault="003649F5" w:rsidP="003964CC">
            <w:pPr>
              <w:rPr>
                <w:rFonts w:ascii="David" w:hAnsi="David"/>
                <w:sz w:val="26"/>
                <w:szCs w:val="26"/>
              </w:rPr>
            </w:pPr>
          </w:p>
        </w:tc>
        <w:tc>
          <w:tcPr>
            <w:tcW w:w="4678" w:type="dxa"/>
            <w:tcBorders>
              <w:top w:val="nil"/>
              <w:left w:val="nil"/>
              <w:bottom w:val="nil"/>
              <w:right w:val="nil"/>
            </w:tcBorders>
            <w:shd w:val="clear" w:color="auto" w:fill="auto"/>
            <w:vAlign w:val="center"/>
          </w:tcPr>
          <w:p w14:paraId="310E2532" w14:textId="77777777" w:rsidR="003649F5" w:rsidRPr="00A678ED" w:rsidRDefault="003649F5" w:rsidP="003649F5">
            <w:pPr>
              <w:suppressLineNumbers/>
              <w:rPr>
                <w:rFonts w:ascii="Arial" w:hAnsi="Arial"/>
                <w:b/>
                <w:bCs/>
                <w:sz w:val="26"/>
                <w:szCs w:val="26"/>
                <w:rtl/>
              </w:rPr>
            </w:pPr>
            <w:r w:rsidRPr="00A678ED">
              <w:rPr>
                <w:rFonts w:ascii="Arial" w:hAnsi="Arial"/>
                <w:b/>
                <w:bCs/>
                <w:sz w:val="26"/>
                <w:szCs w:val="26"/>
                <w:rtl/>
              </w:rPr>
              <w:t>מדינת ישראל</w:t>
            </w:r>
            <w:r w:rsidRPr="00A678ED">
              <w:rPr>
                <w:rFonts w:ascii="Arial" w:hAnsi="Arial" w:hint="cs"/>
                <w:b/>
                <w:bCs/>
                <w:sz w:val="26"/>
                <w:szCs w:val="26"/>
                <w:rtl/>
              </w:rPr>
              <w:t xml:space="preserve"> </w:t>
            </w:r>
          </w:p>
          <w:p w14:paraId="06B5CEED" w14:textId="77777777" w:rsidR="003649F5" w:rsidRPr="00A678ED" w:rsidRDefault="003649F5" w:rsidP="003649F5">
            <w:pPr>
              <w:suppressLineNumbers/>
              <w:rPr>
                <w:b/>
                <w:bCs/>
              </w:rPr>
            </w:pPr>
            <w:r w:rsidRPr="00A678ED">
              <w:rPr>
                <w:rFonts w:hint="cs"/>
                <w:b/>
                <w:bCs/>
                <w:rtl/>
              </w:rPr>
              <w:t>ע"י ב"כ עו"ד חופית קנטרוביץ</w:t>
            </w:r>
          </w:p>
          <w:p w14:paraId="07D012D2" w14:textId="77777777" w:rsidR="003649F5" w:rsidRPr="00A678ED" w:rsidRDefault="003649F5" w:rsidP="003964CC">
            <w:pPr>
              <w:rPr>
                <w:rFonts w:ascii="David" w:hAnsi="David"/>
                <w:sz w:val="26"/>
                <w:szCs w:val="26"/>
              </w:rPr>
            </w:pPr>
          </w:p>
        </w:tc>
      </w:tr>
      <w:bookmarkEnd w:id="1"/>
      <w:bookmarkEnd w:id="2"/>
      <w:tr w:rsidR="003649F5" w:rsidRPr="00A678ED" w14:paraId="53376D6A" w14:textId="77777777" w:rsidTr="003649F5">
        <w:trPr>
          <w:trHeight w:val="355"/>
          <w:jc w:val="center"/>
        </w:trPr>
        <w:tc>
          <w:tcPr>
            <w:tcW w:w="923" w:type="dxa"/>
            <w:tcBorders>
              <w:top w:val="nil"/>
              <w:left w:val="nil"/>
              <w:bottom w:val="nil"/>
              <w:right w:val="nil"/>
            </w:tcBorders>
            <w:shd w:val="clear" w:color="auto" w:fill="auto"/>
          </w:tcPr>
          <w:p w14:paraId="3922B0A4" w14:textId="77777777" w:rsidR="003649F5" w:rsidRPr="00A678ED" w:rsidRDefault="003649F5" w:rsidP="003649F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2DF45AB" w14:textId="77777777" w:rsidR="003649F5" w:rsidRPr="00A678ED" w:rsidRDefault="003649F5" w:rsidP="003649F5">
            <w:pPr>
              <w:jc w:val="center"/>
              <w:rPr>
                <w:rFonts w:ascii="David" w:hAnsi="David"/>
                <w:b/>
                <w:bCs/>
                <w:sz w:val="26"/>
                <w:szCs w:val="26"/>
                <w:rtl/>
              </w:rPr>
            </w:pPr>
          </w:p>
          <w:p w14:paraId="4A806C8A" w14:textId="77777777" w:rsidR="003649F5" w:rsidRPr="00A678ED" w:rsidRDefault="003649F5" w:rsidP="003649F5">
            <w:pPr>
              <w:jc w:val="center"/>
              <w:rPr>
                <w:rFonts w:ascii="David" w:hAnsi="David"/>
                <w:b/>
                <w:bCs/>
                <w:sz w:val="26"/>
                <w:szCs w:val="26"/>
                <w:rtl/>
              </w:rPr>
            </w:pPr>
            <w:r w:rsidRPr="00A678ED">
              <w:rPr>
                <w:rFonts w:ascii="David" w:hAnsi="David"/>
                <w:b/>
                <w:bCs/>
                <w:sz w:val="26"/>
                <w:szCs w:val="26"/>
                <w:rtl/>
              </w:rPr>
              <w:t>נגד</w:t>
            </w:r>
          </w:p>
          <w:p w14:paraId="3BD0C58C" w14:textId="77777777" w:rsidR="003649F5" w:rsidRPr="00A678ED" w:rsidRDefault="003649F5" w:rsidP="003649F5">
            <w:pPr>
              <w:jc w:val="both"/>
              <w:rPr>
                <w:rFonts w:ascii="David" w:hAnsi="David"/>
                <w:sz w:val="26"/>
                <w:szCs w:val="26"/>
              </w:rPr>
            </w:pPr>
          </w:p>
        </w:tc>
      </w:tr>
      <w:tr w:rsidR="003649F5" w:rsidRPr="00A678ED" w14:paraId="1F990335" w14:textId="77777777" w:rsidTr="003649F5">
        <w:trPr>
          <w:trHeight w:val="355"/>
          <w:jc w:val="center"/>
        </w:trPr>
        <w:tc>
          <w:tcPr>
            <w:tcW w:w="923" w:type="dxa"/>
            <w:tcBorders>
              <w:top w:val="nil"/>
              <w:left w:val="nil"/>
              <w:bottom w:val="nil"/>
              <w:right w:val="nil"/>
            </w:tcBorders>
            <w:shd w:val="clear" w:color="auto" w:fill="auto"/>
          </w:tcPr>
          <w:p w14:paraId="106D6862" w14:textId="77777777" w:rsidR="003649F5" w:rsidRPr="00A678ED" w:rsidRDefault="003649F5" w:rsidP="003964CC">
            <w:pPr>
              <w:rPr>
                <w:rFonts w:ascii="David" w:hAnsi="David"/>
                <w:sz w:val="26"/>
                <w:szCs w:val="26"/>
                <w:rtl/>
              </w:rPr>
            </w:pPr>
          </w:p>
        </w:tc>
        <w:tc>
          <w:tcPr>
            <w:tcW w:w="3219" w:type="dxa"/>
            <w:tcBorders>
              <w:top w:val="nil"/>
              <w:left w:val="nil"/>
              <w:bottom w:val="nil"/>
              <w:right w:val="nil"/>
            </w:tcBorders>
            <w:shd w:val="clear" w:color="auto" w:fill="auto"/>
          </w:tcPr>
          <w:p w14:paraId="504A2828" w14:textId="77777777" w:rsidR="003649F5" w:rsidRPr="00A678ED" w:rsidRDefault="003649F5" w:rsidP="003964CC">
            <w:pPr>
              <w:rPr>
                <w:rFonts w:ascii="Arial" w:hAnsi="Arial"/>
                <w:b/>
                <w:bCs/>
                <w:sz w:val="26"/>
                <w:szCs w:val="26"/>
                <w:rtl/>
              </w:rPr>
            </w:pPr>
            <w:r w:rsidRPr="00A678ED">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47F354FB" w14:textId="77777777" w:rsidR="003649F5" w:rsidRPr="00A678ED" w:rsidRDefault="003649F5" w:rsidP="003964CC">
            <w:pPr>
              <w:rPr>
                <w:b/>
                <w:bCs/>
                <w:sz w:val="26"/>
                <w:szCs w:val="26"/>
              </w:rPr>
            </w:pPr>
            <w:r w:rsidRPr="00A678ED">
              <w:rPr>
                <w:b/>
                <w:bCs/>
                <w:sz w:val="26"/>
                <w:szCs w:val="26"/>
              </w:rPr>
              <w:t>.1</w:t>
            </w:r>
            <w:r w:rsidRPr="00A678ED">
              <w:rPr>
                <w:rtl/>
              </w:rPr>
              <w:t xml:space="preserve"> </w:t>
            </w:r>
            <w:r w:rsidRPr="00A678ED">
              <w:rPr>
                <w:rFonts w:hint="cs"/>
                <w:b/>
                <w:bCs/>
                <w:sz w:val="26"/>
                <w:szCs w:val="26"/>
                <w:rtl/>
              </w:rPr>
              <w:t>זיאד אבו עאיש</w:t>
            </w:r>
            <w:r w:rsidRPr="00A678ED">
              <w:rPr>
                <w:rFonts w:hint="cs"/>
                <w:rtl/>
              </w:rPr>
              <w:t xml:space="preserve"> </w:t>
            </w:r>
            <w:r w:rsidRPr="00A678ED">
              <w:rPr>
                <w:rFonts w:hint="cs"/>
                <w:b/>
                <w:bCs/>
                <w:sz w:val="26"/>
                <w:szCs w:val="26"/>
                <w:rtl/>
              </w:rPr>
              <w:t xml:space="preserve">ת"ז  </w:t>
            </w:r>
            <w:r w:rsidR="00A678ED">
              <w:rPr>
                <w:b/>
                <w:bCs/>
                <w:sz w:val="26"/>
                <w:szCs w:val="26"/>
              </w:rPr>
              <w:t>xxxxxxxxxx</w:t>
            </w:r>
            <w:r w:rsidRPr="00A678ED">
              <w:rPr>
                <w:rFonts w:hint="cs"/>
                <w:b/>
                <w:bCs/>
                <w:sz w:val="26"/>
                <w:szCs w:val="26"/>
                <w:rtl/>
              </w:rPr>
              <w:t xml:space="preserve">- לא בעניינו </w:t>
            </w:r>
          </w:p>
          <w:p w14:paraId="5D1001D7" w14:textId="77777777" w:rsidR="003649F5" w:rsidRPr="00A678ED" w:rsidRDefault="003649F5" w:rsidP="003964CC">
            <w:pPr>
              <w:rPr>
                <w:b/>
                <w:bCs/>
                <w:sz w:val="26"/>
                <w:szCs w:val="26"/>
                <w:rtl/>
              </w:rPr>
            </w:pPr>
            <w:r w:rsidRPr="00A678ED">
              <w:rPr>
                <w:b/>
                <w:bCs/>
                <w:sz w:val="26"/>
                <w:szCs w:val="26"/>
              </w:rPr>
              <w:t>.2</w:t>
            </w:r>
            <w:r w:rsidRPr="00A678ED">
              <w:rPr>
                <w:rtl/>
              </w:rPr>
              <w:t xml:space="preserve"> </w:t>
            </w:r>
            <w:r w:rsidRPr="00A678ED">
              <w:rPr>
                <w:rFonts w:hint="cs"/>
                <w:b/>
                <w:bCs/>
                <w:sz w:val="26"/>
                <w:szCs w:val="26"/>
                <w:rtl/>
              </w:rPr>
              <w:t>יוסף בדר</w:t>
            </w:r>
            <w:r w:rsidRPr="00A678ED">
              <w:rPr>
                <w:rFonts w:hint="cs"/>
                <w:rtl/>
              </w:rPr>
              <w:t xml:space="preserve"> </w:t>
            </w:r>
            <w:r w:rsidRPr="00A678ED">
              <w:rPr>
                <w:rFonts w:hint="cs"/>
                <w:b/>
                <w:bCs/>
                <w:sz w:val="26"/>
                <w:szCs w:val="26"/>
                <w:rtl/>
              </w:rPr>
              <w:t xml:space="preserve">ת"ז  </w:t>
            </w:r>
            <w:r w:rsidR="00A678ED">
              <w:rPr>
                <w:b/>
                <w:bCs/>
                <w:sz w:val="26"/>
                <w:szCs w:val="26"/>
              </w:rPr>
              <w:t>xxxxxxxxxx</w:t>
            </w:r>
            <w:r w:rsidRPr="00A678ED">
              <w:rPr>
                <w:rFonts w:hint="cs"/>
                <w:b/>
                <w:bCs/>
                <w:sz w:val="26"/>
                <w:szCs w:val="26"/>
                <w:rtl/>
              </w:rPr>
              <w:t xml:space="preserve">- לא בעניינו </w:t>
            </w:r>
          </w:p>
          <w:p w14:paraId="4A237B15" w14:textId="77777777" w:rsidR="003649F5" w:rsidRPr="00A678ED" w:rsidRDefault="003649F5" w:rsidP="003964CC">
            <w:pPr>
              <w:rPr>
                <w:b/>
                <w:bCs/>
                <w:sz w:val="26"/>
                <w:szCs w:val="26"/>
                <w:rtl/>
              </w:rPr>
            </w:pPr>
            <w:r w:rsidRPr="00A678ED">
              <w:rPr>
                <w:b/>
                <w:bCs/>
                <w:sz w:val="26"/>
                <w:szCs w:val="26"/>
              </w:rPr>
              <w:t>.3</w:t>
            </w:r>
            <w:r w:rsidRPr="00A678ED">
              <w:rPr>
                <w:rtl/>
              </w:rPr>
              <w:t xml:space="preserve"> </w:t>
            </w:r>
            <w:r w:rsidRPr="00A678ED">
              <w:rPr>
                <w:rFonts w:hint="cs"/>
                <w:b/>
                <w:bCs/>
                <w:sz w:val="26"/>
                <w:szCs w:val="26"/>
                <w:rtl/>
              </w:rPr>
              <w:t>זכריה אלצאנע</w:t>
            </w:r>
            <w:r w:rsidRPr="00A678ED">
              <w:rPr>
                <w:rFonts w:hint="cs"/>
                <w:rtl/>
              </w:rPr>
              <w:t xml:space="preserve"> </w:t>
            </w:r>
            <w:r w:rsidRPr="00A678ED">
              <w:rPr>
                <w:rFonts w:hint="cs"/>
                <w:b/>
                <w:bCs/>
                <w:sz w:val="26"/>
                <w:szCs w:val="26"/>
                <w:rtl/>
              </w:rPr>
              <w:t xml:space="preserve">ת"ז  </w:t>
            </w:r>
            <w:r w:rsidR="00A678ED">
              <w:rPr>
                <w:b/>
                <w:bCs/>
                <w:sz w:val="26"/>
                <w:szCs w:val="26"/>
              </w:rPr>
              <w:t>xxxxxxxxxx</w:t>
            </w:r>
            <w:r w:rsidRPr="00A678ED">
              <w:rPr>
                <w:rFonts w:hint="cs"/>
                <w:b/>
                <w:bCs/>
                <w:sz w:val="26"/>
                <w:szCs w:val="26"/>
                <w:rtl/>
              </w:rPr>
              <w:t>- לא בעניינו</w:t>
            </w:r>
          </w:p>
          <w:p w14:paraId="4E35B6A2" w14:textId="77777777" w:rsidR="003649F5" w:rsidRPr="00A678ED" w:rsidRDefault="003649F5" w:rsidP="003964CC">
            <w:pPr>
              <w:rPr>
                <w:b/>
                <w:bCs/>
                <w:sz w:val="26"/>
                <w:szCs w:val="26"/>
                <w:rtl/>
              </w:rPr>
            </w:pPr>
            <w:r w:rsidRPr="00A678ED">
              <w:rPr>
                <w:b/>
                <w:bCs/>
                <w:sz w:val="26"/>
                <w:szCs w:val="26"/>
              </w:rPr>
              <w:t>.4</w:t>
            </w:r>
            <w:r w:rsidRPr="00A678ED">
              <w:rPr>
                <w:rtl/>
              </w:rPr>
              <w:t xml:space="preserve"> </w:t>
            </w:r>
            <w:r w:rsidRPr="00A678ED">
              <w:rPr>
                <w:rFonts w:hint="cs"/>
                <w:b/>
                <w:bCs/>
                <w:sz w:val="26"/>
                <w:szCs w:val="26"/>
                <w:rtl/>
              </w:rPr>
              <w:t>עאסם אלאסד</w:t>
            </w:r>
            <w:r w:rsidRPr="00A678ED">
              <w:rPr>
                <w:rFonts w:hint="cs"/>
                <w:rtl/>
              </w:rPr>
              <w:t xml:space="preserve"> </w:t>
            </w:r>
            <w:r w:rsidRPr="00A678ED">
              <w:rPr>
                <w:rFonts w:hint="cs"/>
                <w:b/>
                <w:bCs/>
                <w:sz w:val="26"/>
                <w:szCs w:val="26"/>
                <w:rtl/>
              </w:rPr>
              <w:t xml:space="preserve">ת"ז  </w:t>
            </w:r>
            <w:r w:rsidR="00A678ED">
              <w:rPr>
                <w:b/>
                <w:bCs/>
                <w:sz w:val="26"/>
                <w:szCs w:val="26"/>
              </w:rPr>
              <w:t>xxxxxxxxxx</w:t>
            </w:r>
            <w:r w:rsidRPr="00A678ED">
              <w:rPr>
                <w:rFonts w:hint="cs"/>
                <w:b/>
                <w:bCs/>
                <w:sz w:val="26"/>
                <w:szCs w:val="26"/>
                <w:rtl/>
              </w:rPr>
              <w:t xml:space="preserve">- לא בעניינו </w:t>
            </w:r>
          </w:p>
          <w:p w14:paraId="7DAC552A" w14:textId="77777777" w:rsidR="003649F5" w:rsidRPr="00A678ED" w:rsidRDefault="003649F5" w:rsidP="003964CC">
            <w:pPr>
              <w:rPr>
                <w:b/>
                <w:bCs/>
                <w:sz w:val="26"/>
                <w:szCs w:val="26"/>
                <w:rtl/>
              </w:rPr>
            </w:pPr>
            <w:r w:rsidRPr="00A678ED">
              <w:rPr>
                <w:b/>
                <w:bCs/>
                <w:sz w:val="26"/>
                <w:szCs w:val="26"/>
              </w:rPr>
              <w:t>.5</w:t>
            </w:r>
            <w:r w:rsidRPr="00A678ED">
              <w:rPr>
                <w:rtl/>
              </w:rPr>
              <w:t xml:space="preserve"> </w:t>
            </w:r>
            <w:r w:rsidRPr="00A678ED">
              <w:rPr>
                <w:rFonts w:hint="cs"/>
                <w:b/>
                <w:bCs/>
                <w:sz w:val="26"/>
                <w:szCs w:val="26"/>
                <w:rtl/>
              </w:rPr>
              <w:t xml:space="preserve">באקר עביד ת"ז  </w:t>
            </w:r>
            <w:r w:rsidR="00A678ED">
              <w:rPr>
                <w:b/>
                <w:bCs/>
                <w:sz w:val="26"/>
                <w:szCs w:val="26"/>
              </w:rPr>
              <w:t>xxxxxxxxxx</w:t>
            </w:r>
            <w:r w:rsidRPr="00A678ED">
              <w:rPr>
                <w:rFonts w:hint="cs"/>
                <w:b/>
                <w:bCs/>
                <w:sz w:val="26"/>
                <w:szCs w:val="26"/>
                <w:rtl/>
              </w:rPr>
              <w:t xml:space="preserve">- לא בעניינו </w:t>
            </w:r>
          </w:p>
          <w:p w14:paraId="574C372C" w14:textId="77777777" w:rsidR="003649F5" w:rsidRPr="00A678ED" w:rsidRDefault="003649F5" w:rsidP="003964CC">
            <w:pPr>
              <w:rPr>
                <w:b/>
                <w:bCs/>
                <w:sz w:val="26"/>
                <w:szCs w:val="26"/>
              </w:rPr>
            </w:pPr>
          </w:p>
          <w:p w14:paraId="21ED8A33" w14:textId="77777777" w:rsidR="003649F5" w:rsidRPr="00A678ED" w:rsidRDefault="003649F5" w:rsidP="003964CC">
            <w:pPr>
              <w:rPr>
                <w:b/>
                <w:bCs/>
                <w:sz w:val="26"/>
                <w:szCs w:val="26"/>
                <w:rtl/>
              </w:rPr>
            </w:pPr>
            <w:r w:rsidRPr="00A678ED">
              <w:rPr>
                <w:b/>
                <w:bCs/>
                <w:sz w:val="26"/>
                <w:szCs w:val="26"/>
              </w:rPr>
              <w:t>.6</w:t>
            </w:r>
            <w:r w:rsidRPr="00A678ED">
              <w:rPr>
                <w:rtl/>
              </w:rPr>
              <w:t xml:space="preserve"> </w:t>
            </w:r>
            <w:r w:rsidRPr="00A678ED">
              <w:rPr>
                <w:rFonts w:hint="cs"/>
                <w:b/>
                <w:bCs/>
                <w:sz w:val="26"/>
                <w:szCs w:val="26"/>
                <w:rtl/>
              </w:rPr>
              <w:t>נג'ואן אבו מחארב</w:t>
            </w:r>
            <w:r w:rsidRPr="00A678ED">
              <w:rPr>
                <w:rFonts w:hint="cs"/>
                <w:rtl/>
              </w:rPr>
              <w:t xml:space="preserve"> </w:t>
            </w:r>
            <w:r w:rsidRPr="00A678ED">
              <w:rPr>
                <w:rFonts w:hint="cs"/>
                <w:b/>
                <w:bCs/>
                <w:sz w:val="26"/>
                <w:szCs w:val="26"/>
                <w:rtl/>
              </w:rPr>
              <w:t xml:space="preserve">ת"ז  </w:t>
            </w:r>
            <w:r w:rsidR="00A678ED">
              <w:rPr>
                <w:b/>
                <w:bCs/>
                <w:sz w:val="26"/>
                <w:szCs w:val="26"/>
              </w:rPr>
              <w:t>xxxxxxxxxx</w:t>
            </w:r>
            <w:r w:rsidRPr="00A678ED">
              <w:rPr>
                <w:rFonts w:hint="cs"/>
                <w:b/>
                <w:bCs/>
                <w:sz w:val="26"/>
                <w:szCs w:val="26"/>
                <w:rtl/>
              </w:rPr>
              <w:t xml:space="preserve">- בעצמו </w:t>
            </w:r>
          </w:p>
          <w:p w14:paraId="30DB79A1" w14:textId="77777777" w:rsidR="003649F5" w:rsidRPr="00A678ED" w:rsidRDefault="003649F5" w:rsidP="003964CC">
            <w:pPr>
              <w:rPr>
                <w:b/>
                <w:bCs/>
                <w:sz w:val="26"/>
                <w:szCs w:val="26"/>
                <w:rtl/>
              </w:rPr>
            </w:pPr>
            <w:r w:rsidRPr="00A678ED">
              <w:rPr>
                <w:rFonts w:hint="cs"/>
                <w:b/>
                <w:bCs/>
                <w:sz w:val="26"/>
                <w:szCs w:val="26"/>
                <w:rtl/>
              </w:rPr>
              <w:t xml:space="preserve">    ע"י ב"כ עו"ד נאסר מוסטפא </w:t>
            </w:r>
          </w:p>
          <w:p w14:paraId="6ED5EAAE" w14:textId="77777777" w:rsidR="003649F5" w:rsidRPr="00A678ED" w:rsidRDefault="003649F5" w:rsidP="003649F5">
            <w:pPr>
              <w:suppressLineNumbers/>
            </w:pPr>
          </w:p>
        </w:tc>
      </w:tr>
    </w:tbl>
    <w:p w14:paraId="4C1CD49B" w14:textId="77777777" w:rsidR="003649F5" w:rsidRPr="00A678ED" w:rsidRDefault="003649F5" w:rsidP="003649F5">
      <w:pPr>
        <w:rPr>
          <w:sz w:val="26"/>
          <w:szCs w:val="26"/>
        </w:rPr>
      </w:pPr>
    </w:p>
    <w:p w14:paraId="09151BAC" w14:textId="77777777" w:rsidR="00E23180" w:rsidRPr="00A678ED" w:rsidRDefault="00E23180" w:rsidP="00A678ED">
      <w:pPr>
        <w:spacing w:before="120" w:after="120" w:line="240" w:lineRule="exact"/>
        <w:ind w:left="283" w:hanging="283"/>
        <w:jc w:val="both"/>
        <w:rPr>
          <w:rFonts w:ascii="FrankRuehl" w:hAnsi="FrankRuehl" w:cs="FrankRuehl"/>
          <w:rtl/>
        </w:rPr>
      </w:pPr>
    </w:p>
    <w:p w14:paraId="09D35567" w14:textId="77777777" w:rsidR="00E23180" w:rsidRPr="00E23180" w:rsidRDefault="00E23180" w:rsidP="00E23180">
      <w:pPr>
        <w:spacing w:before="120" w:after="120" w:line="240" w:lineRule="exact"/>
        <w:ind w:left="283" w:hanging="283"/>
        <w:jc w:val="both"/>
        <w:rPr>
          <w:rFonts w:ascii="FrankRuehl" w:hAnsi="FrankRuehl" w:cs="FrankRuehl"/>
          <w:rtl/>
        </w:rPr>
      </w:pPr>
      <w:bookmarkStart w:id="3" w:name="LawTable"/>
      <w:bookmarkEnd w:id="3"/>
    </w:p>
    <w:p w14:paraId="0B800193" w14:textId="77777777" w:rsidR="00E23180" w:rsidRPr="00E23180" w:rsidRDefault="00E23180" w:rsidP="00E23180">
      <w:pPr>
        <w:spacing w:before="120" w:after="120" w:line="240" w:lineRule="exact"/>
        <w:ind w:left="283" w:hanging="283"/>
        <w:jc w:val="both"/>
        <w:rPr>
          <w:rFonts w:ascii="FrankRuehl" w:hAnsi="FrankRuehl" w:cs="FrankRuehl"/>
          <w:rtl/>
        </w:rPr>
      </w:pPr>
      <w:r w:rsidRPr="00E23180">
        <w:rPr>
          <w:rFonts w:ascii="FrankRuehl" w:hAnsi="FrankRuehl" w:cs="FrankRuehl"/>
          <w:rtl/>
        </w:rPr>
        <w:t xml:space="preserve">חקיקה שאוזכרה: </w:t>
      </w:r>
    </w:p>
    <w:p w14:paraId="48C91DDF" w14:textId="77777777" w:rsidR="00E23180" w:rsidRPr="00E23180" w:rsidRDefault="00E23180" w:rsidP="00E23180">
      <w:pPr>
        <w:spacing w:before="120" w:after="120" w:line="240" w:lineRule="exact"/>
        <w:ind w:left="283" w:hanging="283"/>
        <w:jc w:val="both"/>
        <w:rPr>
          <w:rFonts w:ascii="FrankRuehl" w:hAnsi="FrankRuehl" w:cs="FrankRuehl"/>
          <w:color w:val="0000FF"/>
          <w:rtl/>
        </w:rPr>
      </w:pPr>
      <w:hyperlink r:id="rId7" w:history="1">
        <w:r w:rsidRPr="00E23180">
          <w:rPr>
            <w:rStyle w:val="Hyperlink"/>
            <w:rFonts w:ascii="FrankRuehl" w:hAnsi="FrankRuehl" w:cs="FrankRuehl"/>
            <w:u w:val="none"/>
            <w:rtl/>
          </w:rPr>
          <w:t>חוק העונשין, תשל"ז-1977</w:t>
        </w:r>
      </w:hyperlink>
      <w:r w:rsidRPr="00E23180">
        <w:rPr>
          <w:rFonts w:ascii="FrankRuehl" w:hAnsi="FrankRuehl" w:cs="FrankRuehl"/>
          <w:color w:val="0000FF"/>
          <w:rtl/>
        </w:rPr>
        <w:t xml:space="preserve">: סע'  </w:t>
      </w:r>
      <w:hyperlink r:id="rId8" w:history="1">
        <w:r w:rsidRPr="00E23180">
          <w:rPr>
            <w:rStyle w:val="Hyperlink"/>
            <w:rFonts w:ascii="FrankRuehl" w:hAnsi="FrankRuehl" w:cs="FrankRuehl"/>
            <w:u w:val="none"/>
          </w:rPr>
          <w:t>29</w:t>
        </w:r>
      </w:hyperlink>
      <w:r w:rsidRPr="00E23180">
        <w:rPr>
          <w:rFonts w:ascii="FrankRuehl" w:hAnsi="FrankRuehl" w:cs="FrankRuehl"/>
          <w:color w:val="0000FF"/>
          <w:rtl/>
        </w:rPr>
        <w:t xml:space="preserve">, </w:t>
      </w:r>
      <w:hyperlink r:id="rId9" w:history="1">
        <w:r w:rsidRPr="00E23180">
          <w:rPr>
            <w:rStyle w:val="Hyperlink"/>
            <w:rFonts w:ascii="FrankRuehl" w:hAnsi="FrankRuehl" w:cs="FrankRuehl"/>
            <w:u w:val="none"/>
          </w:rPr>
          <w:t>31</w:t>
        </w:r>
      </w:hyperlink>
      <w:r w:rsidRPr="00E23180">
        <w:rPr>
          <w:rFonts w:ascii="FrankRuehl" w:hAnsi="FrankRuehl" w:cs="FrankRuehl"/>
          <w:color w:val="0000FF"/>
          <w:rtl/>
        </w:rPr>
        <w:t xml:space="preserve">, </w:t>
      </w:r>
      <w:hyperlink r:id="rId10" w:history="1">
        <w:r w:rsidRPr="00E23180">
          <w:rPr>
            <w:rStyle w:val="Hyperlink"/>
            <w:rFonts w:ascii="FrankRuehl" w:hAnsi="FrankRuehl" w:cs="FrankRuehl"/>
            <w:u w:val="none"/>
          </w:rPr>
          <w:t>40</w:t>
        </w:r>
      </w:hyperlink>
      <w:r w:rsidRPr="00E23180">
        <w:rPr>
          <w:rFonts w:ascii="FrankRuehl" w:hAnsi="FrankRuehl" w:cs="FrankRuehl"/>
          <w:color w:val="0000FF"/>
          <w:rtl/>
        </w:rPr>
        <w:t xml:space="preserve">(ב), </w:t>
      </w:r>
      <w:hyperlink r:id="rId11" w:history="1">
        <w:r w:rsidRPr="00E23180">
          <w:rPr>
            <w:rStyle w:val="Hyperlink"/>
            <w:rFonts w:ascii="FrankRuehl" w:hAnsi="FrankRuehl" w:cs="FrankRuehl"/>
            <w:u w:val="none"/>
          </w:rPr>
          <w:t>144</w:t>
        </w:r>
        <w:r w:rsidRPr="00E23180">
          <w:rPr>
            <w:rStyle w:val="Hyperlink"/>
            <w:rFonts w:ascii="FrankRuehl" w:hAnsi="FrankRuehl" w:cs="FrankRuehl"/>
            <w:u w:val="none"/>
            <w:rtl/>
          </w:rPr>
          <w:t>ו</w:t>
        </w:r>
      </w:hyperlink>
      <w:r w:rsidRPr="00E23180">
        <w:rPr>
          <w:rFonts w:ascii="FrankRuehl" w:hAnsi="FrankRuehl" w:cs="FrankRuehl"/>
          <w:color w:val="0000FF"/>
          <w:rtl/>
        </w:rPr>
        <w:t xml:space="preserve">, </w:t>
      </w:r>
      <w:hyperlink r:id="rId12" w:history="1">
        <w:r w:rsidRPr="00E23180">
          <w:rPr>
            <w:rStyle w:val="Hyperlink"/>
            <w:rFonts w:ascii="FrankRuehl" w:hAnsi="FrankRuehl" w:cs="FrankRuehl"/>
            <w:u w:val="none"/>
          </w:rPr>
          <w:t>152</w:t>
        </w:r>
      </w:hyperlink>
      <w:r w:rsidRPr="00E23180">
        <w:rPr>
          <w:rFonts w:ascii="FrankRuehl" w:hAnsi="FrankRuehl" w:cs="FrankRuehl"/>
          <w:color w:val="0000FF"/>
          <w:rtl/>
        </w:rPr>
        <w:t xml:space="preserve">, </w:t>
      </w:r>
      <w:hyperlink r:id="rId13" w:history="1">
        <w:r w:rsidRPr="00E23180">
          <w:rPr>
            <w:rStyle w:val="Hyperlink"/>
            <w:rFonts w:ascii="FrankRuehl" w:hAnsi="FrankRuehl" w:cs="FrankRuehl"/>
            <w:u w:val="none"/>
          </w:rPr>
          <w:t>275</w:t>
        </w:r>
      </w:hyperlink>
      <w:r w:rsidRPr="00E23180">
        <w:rPr>
          <w:rFonts w:ascii="FrankRuehl" w:hAnsi="FrankRuehl" w:cs="FrankRuehl"/>
          <w:color w:val="0000FF"/>
          <w:rtl/>
        </w:rPr>
        <w:t xml:space="preserve">, </w:t>
      </w:r>
      <w:hyperlink r:id="rId14" w:history="1">
        <w:r w:rsidRPr="00E23180">
          <w:rPr>
            <w:rStyle w:val="Hyperlink"/>
            <w:rFonts w:ascii="FrankRuehl" w:hAnsi="FrankRuehl" w:cs="FrankRuehl"/>
            <w:u w:val="none"/>
          </w:rPr>
          <w:t>275</w:t>
        </w:r>
        <w:r w:rsidRPr="00E23180">
          <w:rPr>
            <w:rStyle w:val="Hyperlink"/>
            <w:rFonts w:ascii="FrankRuehl" w:hAnsi="FrankRuehl" w:cs="FrankRuehl"/>
            <w:u w:val="none"/>
            <w:rtl/>
          </w:rPr>
          <w:t>א</w:t>
        </w:r>
      </w:hyperlink>
      <w:r w:rsidRPr="00E23180">
        <w:rPr>
          <w:rFonts w:ascii="FrankRuehl" w:hAnsi="FrankRuehl" w:cs="FrankRuehl"/>
          <w:color w:val="0000FF"/>
          <w:rtl/>
        </w:rPr>
        <w:t xml:space="preserve">, </w:t>
      </w:r>
      <w:hyperlink r:id="rId15" w:history="1">
        <w:r w:rsidRPr="00E23180">
          <w:rPr>
            <w:rStyle w:val="Hyperlink"/>
            <w:rFonts w:ascii="FrankRuehl" w:hAnsi="FrankRuehl" w:cs="FrankRuehl"/>
            <w:u w:val="none"/>
          </w:rPr>
          <w:t>332</w:t>
        </w:r>
        <w:r w:rsidRPr="00E23180">
          <w:rPr>
            <w:rStyle w:val="Hyperlink"/>
            <w:rFonts w:ascii="FrankRuehl" w:hAnsi="FrankRuehl" w:cs="FrankRuehl"/>
            <w:u w:val="none"/>
            <w:rtl/>
          </w:rPr>
          <w:t>א</w:t>
        </w:r>
      </w:hyperlink>
      <w:r w:rsidRPr="00E23180">
        <w:rPr>
          <w:rFonts w:ascii="FrankRuehl" w:hAnsi="FrankRuehl" w:cs="FrankRuehl"/>
          <w:color w:val="0000FF"/>
          <w:rtl/>
        </w:rPr>
        <w:t xml:space="preserve">(א), </w:t>
      </w:r>
      <w:hyperlink r:id="rId16" w:history="1">
        <w:r w:rsidRPr="00E23180">
          <w:rPr>
            <w:rStyle w:val="Hyperlink"/>
            <w:rFonts w:ascii="FrankRuehl" w:hAnsi="FrankRuehl" w:cs="FrankRuehl"/>
            <w:u w:val="none"/>
          </w:rPr>
          <w:t xml:space="preserve">338 </w:t>
        </w:r>
      </w:hyperlink>
      <w:r w:rsidRPr="00E23180">
        <w:rPr>
          <w:rFonts w:ascii="FrankRuehl" w:hAnsi="FrankRuehl" w:cs="FrankRuehl"/>
          <w:color w:val="0000FF"/>
          <w:rtl/>
        </w:rPr>
        <w:t xml:space="preserve">(א) (3), </w:t>
      </w:r>
      <w:hyperlink r:id="rId17" w:history="1">
        <w:r w:rsidRPr="00E23180">
          <w:rPr>
            <w:rStyle w:val="Hyperlink"/>
            <w:rFonts w:ascii="FrankRuehl" w:hAnsi="FrankRuehl" w:cs="FrankRuehl"/>
            <w:u w:val="none"/>
          </w:rPr>
          <w:t>402</w:t>
        </w:r>
      </w:hyperlink>
      <w:r w:rsidRPr="00E23180">
        <w:rPr>
          <w:rFonts w:ascii="FrankRuehl" w:hAnsi="FrankRuehl" w:cs="FrankRuehl"/>
          <w:color w:val="0000FF"/>
          <w:rtl/>
        </w:rPr>
        <w:t xml:space="preserve">(ב), </w:t>
      </w:r>
      <w:hyperlink r:id="rId18" w:history="1">
        <w:r w:rsidRPr="00E23180">
          <w:rPr>
            <w:rStyle w:val="Hyperlink"/>
            <w:rFonts w:ascii="FrankRuehl" w:hAnsi="FrankRuehl" w:cs="FrankRuehl"/>
            <w:u w:val="none"/>
          </w:rPr>
          <w:t>413</w:t>
        </w:r>
        <w:r w:rsidRPr="00E23180">
          <w:rPr>
            <w:rStyle w:val="Hyperlink"/>
            <w:rFonts w:ascii="FrankRuehl" w:hAnsi="FrankRuehl" w:cs="FrankRuehl"/>
            <w:u w:val="none"/>
            <w:rtl/>
          </w:rPr>
          <w:t>ה</w:t>
        </w:r>
      </w:hyperlink>
    </w:p>
    <w:p w14:paraId="668BDA10" w14:textId="77777777" w:rsidR="00E23180" w:rsidRDefault="00E23180" w:rsidP="00E23180">
      <w:pPr>
        <w:jc w:val="center"/>
        <w:rPr>
          <w:rFonts w:ascii="David" w:hAnsi="David" w:hint="cs"/>
          <w:sz w:val="32"/>
          <w:szCs w:val="32"/>
          <w:rtl/>
        </w:rPr>
      </w:pPr>
      <w:bookmarkStart w:id="4" w:name="LawTable_End"/>
      <w:bookmarkEnd w:id="4"/>
    </w:p>
    <w:p w14:paraId="1E3980CA" w14:textId="77777777" w:rsidR="00E23180" w:rsidRDefault="00E23180" w:rsidP="00E23180">
      <w:pPr>
        <w:jc w:val="center"/>
        <w:rPr>
          <w:rFonts w:ascii="David" w:hAnsi="David" w:hint="cs"/>
          <w:sz w:val="32"/>
          <w:szCs w:val="32"/>
          <w:rtl/>
        </w:rPr>
      </w:pPr>
    </w:p>
    <w:p w14:paraId="1F0E8B38" w14:textId="77777777" w:rsidR="00E23180" w:rsidRDefault="00E23180" w:rsidP="00E23180">
      <w:pPr>
        <w:jc w:val="center"/>
        <w:rPr>
          <w:rFonts w:ascii="David" w:hAnsi="David" w:hint="cs"/>
          <w:sz w:val="32"/>
          <w:szCs w:val="32"/>
          <w:rtl/>
        </w:rPr>
      </w:pPr>
    </w:p>
    <w:p w14:paraId="0BFFA1EA" w14:textId="77777777" w:rsidR="00E23180" w:rsidRDefault="00E23180" w:rsidP="00E23180">
      <w:pPr>
        <w:jc w:val="center"/>
        <w:rPr>
          <w:rFonts w:ascii="David" w:hAnsi="David" w:hint="cs"/>
          <w:sz w:val="32"/>
          <w:szCs w:val="32"/>
          <w:rtl/>
        </w:rPr>
      </w:pPr>
    </w:p>
    <w:p w14:paraId="68F334D2" w14:textId="77777777" w:rsidR="00E23180" w:rsidRDefault="00E23180" w:rsidP="00E23180">
      <w:pPr>
        <w:jc w:val="center"/>
        <w:rPr>
          <w:rFonts w:ascii="David" w:hAnsi="David" w:hint="cs"/>
          <w:sz w:val="32"/>
          <w:szCs w:val="32"/>
          <w:rtl/>
        </w:rPr>
      </w:pPr>
    </w:p>
    <w:p w14:paraId="553E3993" w14:textId="77777777" w:rsidR="00E23180" w:rsidRDefault="00E23180" w:rsidP="00E23180">
      <w:pPr>
        <w:jc w:val="center"/>
        <w:rPr>
          <w:rFonts w:ascii="David" w:hAnsi="David" w:hint="cs"/>
          <w:sz w:val="32"/>
          <w:szCs w:val="32"/>
          <w:rtl/>
        </w:rPr>
      </w:pPr>
    </w:p>
    <w:p w14:paraId="4F339BB6" w14:textId="77777777" w:rsidR="00E23180" w:rsidRDefault="00E23180" w:rsidP="00E23180">
      <w:pPr>
        <w:jc w:val="center"/>
        <w:rPr>
          <w:rFonts w:ascii="David" w:hAnsi="David" w:hint="cs"/>
          <w:sz w:val="32"/>
          <w:szCs w:val="32"/>
          <w:rtl/>
        </w:rPr>
      </w:pPr>
    </w:p>
    <w:p w14:paraId="09E970C2" w14:textId="77777777" w:rsidR="00E23180" w:rsidRDefault="00E23180" w:rsidP="00E23180">
      <w:pPr>
        <w:jc w:val="center"/>
        <w:rPr>
          <w:rFonts w:ascii="David" w:hAnsi="David" w:hint="cs"/>
          <w:sz w:val="32"/>
          <w:szCs w:val="32"/>
          <w:rtl/>
        </w:rPr>
      </w:pPr>
    </w:p>
    <w:p w14:paraId="5B977B92" w14:textId="77777777" w:rsidR="00E23180" w:rsidRPr="00E23180" w:rsidRDefault="00E23180" w:rsidP="00E23180">
      <w:pPr>
        <w:jc w:val="center"/>
        <w:rPr>
          <w:rFonts w:ascii="David" w:hAnsi="David" w:hint="cs"/>
          <w:sz w:val="32"/>
          <w:szCs w:val="32"/>
          <w:rtl/>
        </w:rPr>
      </w:pPr>
    </w:p>
    <w:p w14:paraId="5D6C799D" w14:textId="77777777" w:rsidR="00E23180" w:rsidRPr="00A678ED" w:rsidRDefault="00E23180" w:rsidP="00A678ED">
      <w:pPr>
        <w:jc w:val="center"/>
        <w:rPr>
          <w:rFonts w:ascii="David" w:hAnsi="David"/>
          <w:b/>
          <w:bCs/>
          <w:sz w:val="32"/>
          <w:szCs w:val="32"/>
          <w:u w:val="single"/>
          <w:rtl/>
        </w:rPr>
      </w:pPr>
      <w:bookmarkStart w:id="5" w:name="PsakDin"/>
      <w:r w:rsidRPr="00A678ED">
        <w:rPr>
          <w:rFonts w:ascii="David" w:hAnsi="David"/>
          <w:b/>
          <w:bCs/>
          <w:sz w:val="32"/>
          <w:szCs w:val="32"/>
          <w:u w:val="single"/>
          <w:rtl/>
        </w:rPr>
        <w:lastRenderedPageBreak/>
        <w:t>גזר דין</w:t>
      </w:r>
    </w:p>
    <w:bookmarkEnd w:id="5"/>
    <w:p w14:paraId="25825341" w14:textId="77777777" w:rsidR="00E23180" w:rsidRPr="003649F5" w:rsidRDefault="00E23180" w:rsidP="003649F5">
      <w:pPr>
        <w:jc w:val="center"/>
        <w:rPr>
          <w:rFonts w:ascii="David" w:hAnsi="David"/>
          <w:b/>
          <w:bCs/>
          <w:sz w:val="32"/>
          <w:szCs w:val="32"/>
          <w:rtl/>
        </w:rPr>
      </w:pPr>
      <w:r w:rsidRPr="003649F5">
        <w:rPr>
          <w:rFonts w:ascii="David" w:hAnsi="David" w:hint="cs"/>
          <w:b/>
          <w:bCs/>
          <w:sz w:val="32"/>
          <w:szCs w:val="32"/>
          <w:rtl/>
        </w:rPr>
        <w:t>(ביחס לנאשם 6)</w:t>
      </w:r>
    </w:p>
    <w:bookmarkEnd w:id="0"/>
    <w:p w14:paraId="13C0A894" w14:textId="77777777" w:rsidR="003649F5" w:rsidRPr="006B1203" w:rsidRDefault="003649F5" w:rsidP="003649F5">
      <w:pPr>
        <w:rPr>
          <w:rFonts w:ascii="Arial" w:hAnsi="Arial"/>
          <w:b/>
          <w:bCs/>
          <w:sz w:val="26"/>
          <w:szCs w:val="26"/>
          <w:rtl/>
        </w:rPr>
      </w:pPr>
    </w:p>
    <w:p w14:paraId="610FDF93" w14:textId="77777777" w:rsidR="003649F5" w:rsidRDefault="003649F5" w:rsidP="003649F5">
      <w:pPr>
        <w:jc w:val="both"/>
        <w:rPr>
          <w:rFonts w:ascii="David" w:hAnsi="David"/>
          <w:rtl/>
        </w:rPr>
      </w:pPr>
    </w:p>
    <w:p w14:paraId="3900F1E1" w14:textId="77777777" w:rsidR="003649F5" w:rsidRDefault="003649F5" w:rsidP="003649F5">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ע"פ הודאתו בעובדות כתב האישום המתוקן והמאוחד, במעשה פזיזות באש - עבירה לפי סעיף </w:t>
      </w:r>
      <w:hyperlink r:id="rId19" w:history="1">
        <w:r w:rsidR="00E23180" w:rsidRPr="00E23180">
          <w:rPr>
            <w:rStyle w:val="Hyperlink"/>
            <w:rFonts w:ascii="David" w:hAnsi="David"/>
            <w:color w:val="0000FF"/>
            <w:rtl/>
          </w:rPr>
          <w:t>338 (א) (3)</w:t>
        </w:r>
      </w:hyperlink>
      <w:r>
        <w:rPr>
          <w:rFonts w:ascii="David" w:hAnsi="David"/>
          <w:rtl/>
        </w:rPr>
        <w:t xml:space="preserve"> ל</w:t>
      </w:r>
      <w:hyperlink r:id="rId20" w:history="1">
        <w:r w:rsidR="00A678ED" w:rsidRPr="00A678ED">
          <w:rPr>
            <w:rFonts w:ascii="David" w:hAnsi="David"/>
            <w:color w:val="0000FF"/>
            <w:u w:val="single"/>
            <w:rtl/>
          </w:rPr>
          <w:t>חוק העונשין</w:t>
        </w:r>
      </w:hyperlink>
      <w:r>
        <w:rPr>
          <w:rFonts w:ascii="David" w:hAnsi="David"/>
          <w:rtl/>
        </w:rPr>
        <w:t xml:space="preserve"> התשל"ז-1977 (להלן: </w:t>
      </w:r>
      <w:r>
        <w:rPr>
          <w:rFonts w:ascii="David" w:hAnsi="David"/>
          <w:b/>
          <w:bCs/>
          <w:rtl/>
        </w:rPr>
        <w:t>"חוק העונשין"</w:t>
      </w:r>
      <w:r>
        <w:rPr>
          <w:rFonts w:ascii="David" w:hAnsi="David"/>
          <w:rtl/>
        </w:rPr>
        <w:t>).</w:t>
      </w:r>
    </w:p>
    <w:p w14:paraId="744C18A8" w14:textId="77777777" w:rsidR="003649F5" w:rsidRDefault="003649F5" w:rsidP="003649F5">
      <w:pPr>
        <w:spacing w:line="360" w:lineRule="auto"/>
        <w:ind w:left="720" w:hanging="720"/>
        <w:jc w:val="both"/>
        <w:rPr>
          <w:rFonts w:ascii="David" w:hAnsi="David"/>
          <w:rtl/>
        </w:rPr>
      </w:pPr>
    </w:p>
    <w:p w14:paraId="265ACFA8" w14:textId="77777777" w:rsidR="003649F5" w:rsidRDefault="003649F5" w:rsidP="003649F5">
      <w:pPr>
        <w:spacing w:line="360" w:lineRule="auto"/>
        <w:ind w:left="720" w:hanging="720"/>
        <w:jc w:val="both"/>
        <w:rPr>
          <w:rFonts w:ascii="David" w:hAnsi="David"/>
          <w:rtl/>
        </w:rPr>
      </w:pPr>
      <w:r>
        <w:rPr>
          <w:rFonts w:ascii="David" w:hAnsi="David"/>
          <w:rtl/>
        </w:rPr>
        <w:t>2.</w:t>
      </w:r>
      <w:r>
        <w:rPr>
          <w:rFonts w:ascii="David" w:hAnsi="David"/>
          <w:rtl/>
        </w:rPr>
        <w:tab/>
        <w:t>יצויין כי כתב האישום הוגש נגד שישה נאשמים, וגזר דין זה מתייחס לנאשם 6 בלבד, שכן נאשמים 1-5 כפרו במיוחס להם ועניינם עודנו מתברר</w:t>
      </w:r>
      <w:bookmarkStart w:id="7" w:name="ABSTRACT_END"/>
      <w:bookmarkEnd w:id="7"/>
      <w:r>
        <w:rPr>
          <w:rFonts w:ascii="David" w:hAnsi="David"/>
          <w:rtl/>
        </w:rPr>
        <w:t>.</w:t>
      </w:r>
    </w:p>
    <w:p w14:paraId="04DD25CB" w14:textId="77777777" w:rsidR="003649F5" w:rsidRDefault="003649F5" w:rsidP="003649F5">
      <w:pPr>
        <w:spacing w:line="360" w:lineRule="auto"/>
        <w:ind w:left="720" w:hanging="720"/>
        <w:jc w:val="both"/>
        <w:rPr>
          <w:rFonts w:ascii="David" w:hAnsi="David"/>
          <w:b/>
          <w:bCs/>
          <w:rtl/>
        </w:rPr>
      </w:pPr>
    </w:p>
    <w:p w14:paraId="32FF9458" w14:textId="77777777" w:rsidR="003649F5" w:rsidRDefault="003649F5" w:rsidP="003649F5">
      <w:pPr>
        <w:spacing w:line="360" w:lineRule="auto"/>
        <w:ind w:left="720" w:hanging="720"/>
        <w:jc w:val="both"/>
        <w:rPr>
          <w:rFonts w:ascii="David" w:hAnsi="David"/>
          <w:b/>
          <w:bCs/>
          <w:rtl/>
        </w:rPr>
      </w:pPr>
      <w:r>
        <w:rPr>
          <w:rFonts w:ascii="David" w:hAnsi="David"/>
          <w:b/>
          <w:bCs/>
          <w:rtl/>
        </w:rPr>
        <w:t>כתב האישום והסדר הטיעון:</w:t>
      </w:r>
    </w:p>
    <w:p w14:paraId="11EAC545" w14:textId="77777777" w:rsidR="003649F5" w:rsidRDefault="003649F5" w:rsidP="003649F5">
      <w:pPr>
        <w:spacing w:line="360" w:lineRule="auto"/>
        <w:ind w:left="720" w:hanging="720"/>
        <w:jc w:val="both"/>
        <w:rPr>
          <w:rFonts w:ascii="David" w:hAnsi="David"/>
          <w:rtl/>
        </w:rPr>
      </w:pPr>
      <w:r>
        <w:rPr>
          <w:rFonts w:ascii="David" w:hAnsi="David"/>
          <w:rtl/>
        </w:rPr>
        <w:t>3.</w:t>
      </w:r>
      <w:r>
        <w:rPr>
          <w:rFonts w:ascii="David" w:hAnsi="David"/>
          <w:rtl/>
        </w:rPr>
        <w:tab/>
      </w:r>
      <w:r>
        <w:rPr>
          <w:rFonts w:ascii="David" w:hAnsi="David"/>
          <w:b/>
          <w:bCs/>
          <w:rtl/>
        </w:rPr>
        <w:t>על פי עובדות החלק הכללי של כתב האישום</w:t>
      </w:r>
      <w:r>
        <w:rPr>
          <w:rFonts w:ascii="David" w:hAnsi="David"/>
          <w:rtl/>
        </w:rPr>
        <w:t>, בהן הודה הנאשם, החל מיום 13.4.21, במהלך חודש הרמדאן 2021, התרחשו בארץ בייחוד בירושלים, התפרעויות ותקיפות שכללו אלימות, זריקות אבנים וחפצים לעבר אנשים וכלי רכב בעלי חזות או סממנים יהודיים, מתוך מניע גזעני, וכן התפרעויות ותקיפות על רקע לאומני נגד כוחות המשטרה והביטחון. ביום 10.5.21 חל יום ירושלים תשפ"א. החל מיום זה החמירו ההתפרעויות בירושלים, וגלשו אף לעבר ערים נוספות בעבר רחבי הארץ.</w:t>
      </w:r>
    </w:p>
    <w:p w14:paraId="769E9E9C" w14:textId="77777777" w:rsidR="003649F5" w:rsidRDefault="003649F5" w:rsidP="003649F5">
      <w:pPr>
        <w:spacing w:line="360" w:lineRule="auto"/>
        <w:ind w:left="720"/>
        <w:jc w:val="both"/>
        <w:rPr>
          <w:rFonts w:ascii="David" w:hAnsi="David"/>
          <w:rtl/>
        </w:rPr>
      </w:pPr>
      <w:r>
        <w:rPr>
          <w:rFonts w:ascii="David" w:hAnsi="David"/>
          <w:rtl/>
        </w:rPr>
        <w:t xml:space="preserve">החל מתאריך 10.5.21, לאחר ירי רקטות מסיבי לעבר אזור ירושלים ועוטף עזה, החל מבצע צבאי של צה"ל בעזה המכונה "שומר חומות". בד בבד, החלו הפרות סדר ואלימות ברחבי הארץ ובין היתר, חסימות של צירי תחבורה, יידוי אבנים וחפצים לעבר אנשים ולכלי רכב בעלי חזות או סממנים יהודיים, ולעבר כוחות המשטרה והביטחון, והבערת צמיגים, במוקדים רבים ברחבי המדינה, והכל על רקע לאומני. </w:t>
      </w:r>
    </w:p>
    <w:p w14:paraId="3E37CFDE" w14:textId="77777777" w:rsidR="003649F5" w:rsidRDefault="003649F5" w:rsidP="003649F5">
      <w:pPr>
        <w:spacing w:line="360" w:lineRule="auto"/>
        <w:ind w:left="720"/>
        <w:jc w:val="both"/>
        <w:rPr>
          <w:rFonts w:ascii="David" w:hAnsi="David"/>
          <w:rtl/>
        </w:rPr>
      </w:pPr>
      <w:r>
        <w:rPr>
          <w:rFonts w:ascii="David" w:hAnsi="David"/>
          <w:rtl/>
        </w:rPr>
        <w:t xml:space="preserve">בלילה שבין 10.5.21 – 11.5.21 התרחשו הפרות סדר, חסימות צירי תחבורה ויידוי אבנים לעבר כלי רכב בצומת לקיה בכביש 31, וכן בכביש 6, כביש מרכזי בו נוסעים אנשים במהירות רבה, בסמוך ליישוב לקיה. </w:t>
      </w:r>
    </w:p>
    <w:p w14:paraId="7E2E4199" w14:textId="77777777" w:rsidR="003649F5" w:rsidRDefault="003649F5" w:rsidP="003649F5">
      <w:pPr>
        <w:spacing w:line="360" w:lineRule="auto"/>
        <w:ind w:left="720"/>
        <w:jc w:val="both"/>
        <w:rPr>
          <w:rFonts w:ascii="David" w:hAnsi="David"/>
          <w:rtl/>
        </w:rPr>
      </w:pPr>
      <w:r>
        <w:rPr>
          <w:rFonts w:ascii="David" w:hAnsi="David"/>
          <w:rtl/>
        </w:rPr>
        <w:t xml:space="preserve">סרטונים של הפרות הסדר ברחבי הארץ פורסמו ברשתות חברתיות ועודדו מתקהלים רבים להגיע ולהשתתף בהן. </w:t>
      </w:r>
    </w:p>
    <w:p w14:paraId="4F979580" w14:textId="77777777" w:rsidR="003649F5" w:rsidRDefault="003649F5" w:rsidP="003649F5">
      <w:pPr>
        <w:spacing w:line="360" w:lineRule="auto"/>
        <w:ind w:left="720"/>
        <w:jc w:val="both"/>
        <w:rPr>
          <w:rFonts w:ascii="David" w:hAnsi="David"/>
          <w:rtl/>
        </w:rPr>
      </w:pPr>
      <w:r>
        <w:rPr>
          <w:rFonts w:ascii="David" w:hAnsi="David"/>
          <w:b/>
          <w:bCs/>
          <w:rtl/>
        </w:rPr>
        <w:t>על פי סעיפים 1, 4 ו- 27 לעובדות כתב האישום</w:t>
      </w:r>
      <w:r>
        <w:rPr>
          <w:rFonts w:ascii="David" w:hAnsi="David"/>
          <w:rtl/>
        </w:rPr>
        <w:t xml:space="preserve">, בהם הודה הנאשם, בלילה שתואר בחלק הכללי לעיל, הגיעו הנאשמים כולם וכן אחרים שזהותם ידועה, לאזור המהומות והפרות הסדר שבכניסה ליישוב לקיה, וכן לכביש 6 בחלק הסמוך ליישוב לקיה (להלן: </w:t>
      </w:r>
      <w:r>
        <w:rPr>
          <w:rFonts w:ascii="David" w:hAnsi="David"/>
          <w:b/>
          <w:bCs/>
          <w:rtl/>
        </w:rPr>
        <w:t>"הכביש"</w:t>
      </w:r>
      <w:r>
        <w:rPr>
          <w:rFonts w:ascii="David" w:hAnsi="David"/>
          <w:rtl/>
        </w:rPr>
        <w:t xml:space="preserve">). </w:t>
      </w:r>
    </w:p>
    <w:p w14:paraId="054F205A" w14:textId="77777777" w:rsidR="003649F5" w:rsidRDefault="003649F5" w:rsidP="003649F5">
      <w:pPr>
        <w:spacing w:line="360" w:lineRule="auto"/>
        <w:ind w:left="720"/>
        <w:jc w:val="both"/>
        <w:rPr>
          <w:rFonts w:ascii="David" w:hAnsi="David"/>
          <w:rtl/>
        </w:rPr>
      </w:pPr>
      <w:r>
        <w:rPr>
          <w:rFonts w:ascii="David" w:hAnsi="David"/>
          <w:rtl/>
        </w:rPr>
        <w:t xml:space="preserve">במסגרת זאת, הנאשמים כולם חברו יחד עם אחרים רבים ובצוותא חדא, חסמו את הכביש באמצעות צמיגים שהונחו על הכביש ובהמשך הובערו (להלן: </w:t>
      </w:r>
      <w:r>
        <w:rPr>
          <w:rFonts w:ascii="David" w:hAnsi="David"/>
          <w:b/>
          <w:bCs/>
          <w:rtl/>
        </w:rPr>
        <w:t>"מקום החסימה"</w:t>
      </w:r>
      <w:r>
        <w:rPr>
          <w:rFonts w:ascii="David" w:hAnsi="David"/>
          <w:rtl/>
        </w:rPr>
        <w:t xml:space="preserve">). כתוצאה מחסימת הכביש, מספר משאיות שנסעו על הכביש נאלצו  לעצור ועמדו על הכביש. </w:t>
      </w:r>
    </w:p>
    <w:p w14:paraId="4798CFCC" w14:textId="77777777" w:rsidR="003649F5" w:rsidRDefault="003649F5" w:rsidP="003649F5">
      <w:pPr>
        <w:spacing w:line="360" w:lineRule="auto"/>
        <w:ind w:left="720"/>
        <w:jc w:val="both"/>
        <w:rPr>
          <w:rFonts w:ascii="David" w:hAnsi="David"/>
          <w:rtl/>
        </w:rPr>
      </w:pPr>
    </w:p>
    <w:p w14:paraId="4C689A4D" w14:textId="77777777" w:rsidR="003649F5" w:rsidRDefault="003649F5" w:rsidP="003649F5">
      <w:pPr>
        <w:spacing w:line="360" w:lineRule="auto"/>
        <w:ind w:left="720" w:hanging="720"/>
        <w:jc w:val="both"/>
        <w:rPr>
          <w:rFonts w:ascii="David" w:hAnsi="David"/>
          <w:rtl/>
        </w:rPr>
      </w:pPr>
      <w:r>
        <w:rPr>
          <w:rFonts w:ascii="David" w:hAnsi="David"/>
          <w:rtl/>
        </w:rPr>
        <w:t>4.</w:t>
      </w:r>
      <w:r>
        <w:rPr>
          <w:rFonts w:ascii="David" w:hAnsi="David"/>
          <w:rtl/>
        </w:rPr>
        <w:tab/>
        <w:t xml:space="preserve">הנאשם 6 הודה והורשע לאחר שהותר לו לבקשתו לחזור בו מכפירתו, ולבקשת בא כוחו התבקש שירות המבחן להגיש תסקיר לעונש בעניינו. </w:t>
      </w:r>
    </w:p>
    <w:p w14:paraId="63F469F7" w14:textId="77777777" w:rsidR="003649F5" w:rsidRDefault="003649F5" w:rsidP="003649F5">
      <w:pPr>
        <w:spacing w:line="360" w:lineRule="auto"/>
        <w:ind w:left="720" w:hanging="720"/>
        <w:jc w:val="both"/>
        <w:rPr>
          <w:rFonts w:ascii="David" w:hAnsi="David"/>
          <w:b/>
          <w:bCs/>
          <w:rtl/>
        </w:rPr>
      </w:pPr>
    </w:p>
    <w:p w14:paraId="32921B72" w14:textId="77777777" w:rsidR="003649F5" w:rsidRDefault="003649F5" w:rsidP="003649F5">
      <w:pPr>
        <w:spacing w:line="360" w:lineRule="auto"/>
        <w:ind w:left="720" w:hanging="720"/>
        <w:jc w:val="both"/>
        <w:rPr>
          <w:rFonts w:ascii="David" w:hAnsi="David"/>
          <w:b/>
          <w:bCs/>
          <w:rtl/>
        </w:rPr>
      </w:pPr>
      <w:r>
        <w:rPr>
          <w:rFonts w:ascii="David" w:hAnsi="David"/>
          <w:b/>
          <w:bCs/>
          <w:rtl/>
        </w:rPr>
        <w:t>תסקיר שירות מבחן:</w:t>
      </w:r>
    </w:p>
    <w:p w14:paraId="2A33C1C7" w14:textId="77777777" w:rsidR="003649F5" w:rsidRDefault="003649F5" w:rsidP="003649F5">
      <w:pPr>
        <w:spacing w:line="360" w:lineRule="auto"/>
        <w:ind w:left="720" w:hanging="720"/>
        <w:jc w:val="both"/>
        <w:rPr>
          <w:rFonts w:ascii="David" w:hAnsi="David"/>
          <w:b/>
          <w:bCs/>
          <w:rtl/>
        </w:rPr>
      </w:pPr>
    </w:p>
    <w:p w14:paraId="1E9DAF36" w14:textId="77777777" w:rsidR="003649F5" w:rsidRDefault="003649F5" w:rsidP="003649F5">
      <w:pPr>
        <w:spacing w:line="360" w:lineRule="auto"/>
        <w:ind w:left="720" w:hanging="720"/>
        <w:jc w:val="both"/>
        <w:rPr>
          <w:rFonts w:ascii="David" w:hAnsi="David"/>
          <w:rtl/>
        </w:rPr>
      </w:pPr>
      <w:r>
        <w:rPr>
          <w:rFonts w:ascii="David" w:hAnsi="David"/>
          <w:rtl/>
        </w:rPr>
        <w:t>5.</w:t>
      </w:r>
      <w:r>
        <w:rPr>
          <w:rFonts w:ascii="David" w:hAnsi="David"/>
          <w:rtl/>
        </w:rPr>
        <w:tab/>
      </w:r>
      <w:r>
        <w:rPr>
          <w:rFonts w:ascii="David" w:hAnsi="David"/>
          <w:b/>
          <w:bCs/>
          <w:rtl/>
        </w:rPr>
        <w:t xml:space="preserve">בתסקיר שירות המבחן מיום 12.05.24 </w:t>
      </w:r>
      <w:r>
        <w:rPr>
          <w:rFonts w:ascii="David" w:hAnsi="David"/>
          <w:rtl/>
        </w:rPr>
        <w:t xml:space="preserve">פורט הרקע האישי והמשפחתי של הנאשם. </w:t>
      </w:r>
    </w:p>
    <w:p w14:paraId="22575BC6" w14:textId="77777777" w:rsidR="003649F5" w:rsidRDefault="003649F5" w:rsidP="003649F5">
      <w:pPr>
        <w:spacing w:line="360" w:lineRule="auto"/>
        <w:ind w:left="720" w:hanging="720"/>
        <w:jc w:val="both"/>
        <w:rPr>
          <w:rFonts w:ascii="David" w:hAnsi="David"/>
          <w:rtl/>
        </w:rPr>
      </w:pPr>
      <w:r>
        <w:rPr>
          <w:rFonts w:ascii="David" w:hAnsi="David"/>
          <w:rtl/>
        </w:rPr>
        <w:tab/>
        <w:t>הנאשם יליד 1998, כבן 26 שנים, רווק ומתגורר עם משפחתו בלקייה. משפחת מוצאו מונה זוג הורים ושבעה ילדים בגילאים 12-29 שנים. הוריו בשנות ה- 50 לחייהם, אינם עובדים ומתקיימים מקצבאות ביטוח לאומי. הנאשם תיאר כי מקיים עמם קשרים טובים וקרובים וכי הנו המפרנס העיקרי במשפחתו.</w:t>
      </w:r>
    </w:p>
    <w:p w14:paraId="0C687467" w14:textId="77777777" w:rsidR="003649F5" w:rsidRDefault="003649F5" w:rsidP="003649F5">
      <w:pPr>
        <w:spacing w:line="360" w:lineRule="auto"/>
        <w:ind w:left="720" w:hanging="720"/>
        <w:jc w:val="both"/>
        <w:rPr>
          <w:rFonts w:ascii="David" w:hAnsi="David"/>
          <w:rtl/>
        </w:rPr>
      </w:pPr>
      <w:r>
        <w:rPr>
          <w:rFonts w:ascii="David" w:hAnsi="David"/>
          <w:rtl/>
        </w:rPr>
        <w:tab/>
        <w:t>מתיאור חייו עלה כי סיים 12 שנות לימוד ובעל תעודת בגרות. לדבריו, היה תלמיד טוב, הגיע כנדרש לבית הספר ולא היה מעורב בבעיות אלימות. בנוסף, מסר כי למד במשך שנה וחצי לימודי סיעוד בירדן אך לאור מצבו הבריאותי של אביו, עת נפצע בתאונה, הוא הפסיק לימודיו ושב הביתה.</w:t>
      </w:r>
    </w:p>
    <w:p w14:paraId="1E46531C" w14:textId="77777777" w:rsidR="003649F5" w:rsidRDefault="003649F5" w:rsidP="003649F5">
      <w:pPr>
        <w:spacing w:line="360" w:lineRule="auto"/>
        <w:ind w:left="720" w:hanging="720"/>
        <w:jc w:val="both"/>
        <w:rPr>
          <w:rFonts w:ascii="David" w:hAnsi="David"/>
          <w:rtl/>
        </w:rPr>
      </w:pPr>
      <w:r>
        <w:rPr>
          <w:rFonts w:ascii="David" w:hAnsi="David"/>
          <w:rtl/>
        </w:rPr>
        <w:tab/>
        <w:t xml:space="preserve">ביחס לתפקודו התעסוקתי, מסר כי משפחתו התמודדה עם קשיים כלכליים ועקב כך השתלב בתעסוקה בהיותו כבן 17, עת עבד בלילות ובזמני חופשות מבית הספר. בהמשך חייו הבוגרים מסר כי עבד כנהג בהסעת עובדים למעבר ולאחר מכן עבד כנהג הסעות ילדים במשך כחצי שנה. בשל שלילת רישיונו, הפסיק את עבודתו זו, ומזה כחודשיים אינו עובד. </w:t>
      </w:r>
    </w:p>
    <w:p w14:paraId="0AEF1BC9" w14:textId="77777777" w:rsidR="003649F5" w:rsidRDefault="003649F5" w:rsidP="003649F5">
      <w:pPr>
        <w:spacing w:line="360" w:lineRule="auto"/>
        <w:ind w:left="720" w:hanging="720"/>
        <w:jc w:val="both"/>
        <w:rPr>
          <w:rFonts w:ascii="David" w:hAnsi="David"/>
          <w:rtl/>
        </w:rPr>
      </w:pPr>
      <w:r>
        <w:rPr>
          <w:rFonts w:ascii="David" w:hAnsi="David"/>
          <w:rtl/>
        </w:rPr>
        <w:tab/>
        <w:t xml:space="preserve">בהתייחסותו לעבירה ועל פי האמור בתסקיר, הנאשם 6 לא הודה בביצועה ולא לקח אחריות בגינה. לדבריו, הוא הגיע לכניסה ליישוב לקיה, בשל התכנסות האנשים אותם ראה שם, ועת הבין כי מדובר בהפגנות, התרחק מהמקום ולא לקח בהן חלק. עוד מסר כי יש לו היכרות שטחית בלבד עם הנאשמים הנוספים המצוינים בכתב האישום וזאת בשל מגוריהם ביישוב לקיה. הנאשם מסר כי לא שהה עמם כלל ביום העבירה וכי שמו הוזכר על ידי שני אנשים אחרים שמסרו את שמו במטרה להרע לו. הנאשם שלל השתייכותו לארגון פוליטי או אידיאולוגי, ומסר כי גדל בבית בו אביו ניסה למנוע מהם את התערותם או השתייכותם לארגונים שונים, ואף לימד אותם לחיות בדו קיום. מסר כי היה באזור ההפגנה אך לא ביצע עבירה. </w:t>
      </w:r>
    </w:p>
    <w:p w14:paraId="1209B3DB" w14:textId="77777777" w:rsidR="003649F5" w:rsidRDefault="003649F5" w:rsidP="003649F5">
      <w:pPr>
        <w:spacing w:line="360" w:lineRule="auto"/>
        <w:ind w:left="720" w:hanging="720"/>
        <w:jc w:val="both"/>
        <w:rPr>
          <w:rFonts w:ascii="David" w:hAnsi="David"/>
          <w:rtl/>
        </w:rPr>
      </w:pPr>
      <w:r>
        <w:rPr>
          <w:rFonts w:ascii="David" w:hAnsi="David"/>
          <w:rtl/>
        </w:rPr>
        <w:tab/>
        <w:t xml:space="preserve">שירות המבחן התרשם כי הנאשם 6 , בעל יכולות מילוליות וקוגניטיביות תקינות, אשר לא ביטא עצמו בכנות ובפתיחות. השירות התרשם מבחור אשר גדל כדבריו, בבית נורמטיבי, עם דמויות הוריות חמות, אוהבות ומכוונות. ניכר כי חוויות ילדות אלו הן אשר סייעו לו ביציבות ובמסגרות החינוכיות ואף היוו עבורו בסיס יציב להמשך רכישת השכלה בירדן. עוד התרשם שירות המבחן מבחור אשר בשל בעיות בריאותיות של הוריו, לקח על עצמו את נטל פרנסת המשפחה ומהווה כיום המפרנס העיקרי והיחידי במשפחתו.  עם זאת, מדובר בבחור אשר אינו מבטא יציבות תעסוקתית במהלך חייו, עת לא השתלב מעולם במסגרת יציבה ורשמית. שירות המבחן התרשם כי הנאשם מתקשה לבחון את עצמו, את דפוסיו, ואת קשריו השוליים וניסה להציג את חלקיו התפקודיים התקינים בלבד. </w:t>
      </w:r>
    </w:p>
    <w:p w14:paraId="19459720" w14:textId="77777777" w:rsidR="003649F5" w:rsidRDefault="003649F5" w:rsidP="003649F5">
      <w:pPr>
        <w:spacing w:line="360" w:lineRule="auto"/>
        <w:ind w:left="720" w:hanging="720"/>
        <w:jc w:val="both"/>
        <w:rPr>
          <w:rFonts w:ascii="David" w:hAnsi="David"/>
          <w:rtl/>
        </w:rPr>
      </w:pPr>
      <w:r>
        <w:rPr>
          <w:rFonts w:ascii="David" w:hAnsi="David"/>
          <w:rtl/>
        </w:rPr>
        <w:tab/>
        <w:t>על רקע המתואר לעיל, קשייו לבחון את עצמו ואת דפוסיו, שירות המבחן לא בא בהמלצה טיפולית שיקומית בעניינו של הנאשם.</w:t>
      </w:r>
    </w:p>
    <w:p w14:paraId="1DC373CE" w14:textId="77777777" w:rsidR="003649F5" w:rsidRDefault="003649F5" w:rsidP="003649F5">
      <w:pPr>
        <w:spacing w:line="360" w:lineRule="auto"/>
        <w:ind w:left="720" w:hanging="720"/>
        <w:jc w:val="both"/>
        <w:rPr>
          <w:rFonts w:ascii="David" w:hAnsi="David"/>
          <w:rtl/>
        </w:rPr>
      </w:pPr>
    </w:p>
    <w:p w14:paraId="6E3E5CC2" w14:textId="77777777" w:rsidR="003649F5" w:rsidRDefault="003649F5" w:rsidP="003649F5">
      <w:pPr>
        <w:spacing w:line="360" w:lineRule="auto"/>
        <w:ind w:left="720" w:hanging="720"/>
        <w:jc w:val="both"/>
        <w:rPr>
          <w:rFonts w:ascii="David" w:hAnsi="David"/>
          <w:rtl/>
        </w:rPr>
      </w:pPr>
      <w:r>
        <w:rPr>
          <w:rFonts w:ascii="David" w:hAnsi="David"/>
          <w:rtl/>
        </w:rPr>
        <w:t>6.</w:t>
      </w:r>
      <w:r>
        <w:rPr>
          <w:rFonts w:ascii="David" w:hAnsi="David"/>
          <w:rtl/>
        </w:rPr>
        <w:tab/>
        <w:t xml:space="preserve">בדיון שהתקיים ביום 19.05.24, ובשים לב לאמור בתסקיר, ביקש ב"כ המאשימה לוודא כי הנאשם עומד על הודאתו. ב"כ הנאשם טען כי הנאשם עומד על הודאתו, ולשאלת בית המשפט הבהיר הנאשם כי הוא מודה בעובדות החלק הכללי של כתב האישום וכן בסעיפים 1, 4 ו- 27 לכתב האישום. </w:t>
      </w:r>
    </w:p>
    <w:p w14:paraId="69795DC8" w14:textId="77777777" w:rsidR="003649F5" w:rsidRDefault="003649F5" w:rsidP="003649F5">
      <w:pPr>
        <w:spacing w:line="360" w:lineRule="auto"/>
        <w:ind w:left="720" w:hanging="720"/>
        <w:jc w:val="both"/>
        <w:rPr>
          <w:rFonts w:ascii="David" w:hAnsi="David"/>
          <w:rtl/>
        </w:rPr>
      </w:pPr>
    </w:p>
    <w:p w14:paraId="700FC3A7" w14:textId="77777777" w:rsidR="003649F5" w:rsidRDefault="003649F5" w:rsidP="003649F5">
      <w:pPr>
        <w:spacing w:line="360" w:lineRule="auto"/>
        <w:ind w:left="720" w:hanging="720"/>
        <w:jc w:val="both"/>
        <w:rPr>
          <w:rFonts w:ascii="David" w:hAnsi="David"/>
          <w:rtl/>
        </w:rPr>
      </w:pPr>
      <w:r>
        <w:rPr>
          <w:rFonts w:ascii="David" w:hAnsi="David"/>
          <w:rtl/>
        </w:rPr>
        <w:tab/>
        <w:t xml:space="preserve">לבקשת ב"כ הנאשם התבקש שירות המבחן להגיש תסקיר משלים בעניינו של הנאשם. </w:t>
      </w:r>
    </w:p>
    <w:p w14:paraId="27D1E37E" w14:textId="77777777" w:rsidR="003649F5" w:rsidRDefault="003649F5" w:rsidP="003649F5">
      <w:pPr>
        <w:spacing w:line="360" w:lineRule="auto"/>
        <w:ind w:left="720" w:hanging="720"/>
        <w:jc w:val="both"/>
        <w:rPr>
          <w:rFonts w:ascii="David" w:hAnsi="David"/>
          <w:rtl/>
        </w:rPr>
      </w:pPr>
    </w:p>
    <w:p w14:paraId="3A111C22" w14:textId="77777777" w:rsidR="003649F5" w:rsidRDefault="003649F5" w:rsidP="003649F5">
      <w:pPr>
        <w:spacing w:line="360" w:lineRule="auto"/>
        <w:ind w:left="720" w:hanging="720"/>
        <w:jc w:val="both"/>
        <w:rPr>
          <w:rFonts w:ascii="David" w:hAnsi="David"/>
          <w:rtl/>
        </w:rPr>
      </w:pPr>
    </w:p>
    <w:p w14:paraId="3D712981" w14:textId="77777777" w:rsidR="003649F5" w:rsidRDefault="003649F5" w:rsidP="003649F5">
      <w:pPr>
        <w:spacing w:line="360" w:lineRule="auto"/>
        <w:ind w:left="720" w:hanging="720"/>
        <w:jc w:val="both"/>
        <w:rPr>
          <w:rFonts w:ascii="David" w:hAnsi="David"/>
          <w:rtl/>
        </w:rPr>
      </w:pPr>
    </w:p>
    <w:p w14:paraId="39521BF2" w14:textId="77777777" w:rsidR="003649F5" w:rsidRDefault="003649F5" w:rsidP="003649F5">
      <w:pPr>
        <w:spacing w:line="360" w:lineRule="auto"/>
        <w:ind w:left="720" w:hanging="720"/>
        <w:jc w:val="both"/>
        <w:rPr>
          <w:rFonts w:ascii="David" w:hAnsi="David"/>
          <w:rtl/>
        </w:rPr>
      </w:pPr>
    </w:p>
    <w:p w14:paraId="1E06E3D7" w14:textId="77777777" w:rsidR="003649F5" w:rsidRDefault="003649F5" w:rsidP="003649F5">
      <w:pPr>
        <w:spacing w:line="360" w:lineRule="auto"/>
        <w:ind w:left="720" w:hanging="720"/>
        <w:jc w:val="both"/>
        <w:rPr>
          <w:rFonts w:ascii="David" w:hAnsi="David"/>
          <w:rtl/>
        </w:rPr>
      </w:pPr>
    </w:p>
    <w:p w14:paraId="095F692E" w14:textId="77777777" w:rsidR="003649F5" w:rsidRDefault="003649F5" w:rsidP="003649F5">
      <w:pPr>
        <w:spacing w:line="360" w:lineRule="auto"/>
        <w:ind w:left="720" w:hanging="720"/>
        <w:jc w:val="both"/>
        <w:rPr>
          <w:rFonts w:ascii="David" w:hAnsi="David"/>
          <w:rtl/>
        </w:rPr>
      </w:pPr>
      <w:r>
        <w:rPr>
          <w:rFonts w:ascii="David" w:hAnsi="David"/>
          <w:rtl/>
        </w:rPr>
        <w:t>7.</w:t>
      </w:r>
      <w:r>
        <w:rPr>
          <w:rFonts w:ascii="David" w:hAnsi="David"/>
          <w:rtl/>
        </w:rPr>
        <w:tab/>
      </w:r>
      <w:r>
        <w:rPr>
          <w:rFonts w:ascii="David" w:hAnsi="David"/>
          <w:b/>
          <w:bCs/>
          <w:rtl/>
        </w:rPr>
        <w:t xml:space="preserve">בתסקיר שירות המבחן מיום 10.06.24 </w:t>
      </w:r>
      <w:r>
        <w:rPr>
          <w:rFonts w:ascii="David" w:hAnsi="David"/>
          <w:rtl/>
        </w:rPr>
        <w:t xml:space="preserve">תוארה פגישה נוספת שקיים השירות עם הנאשם, במהלכה מסר כי לא שוחח עמם בכנות בתחילתו של הליך האבחון והביע צערו על כך. בהתייחסו לעבירה הנוכחית, הוא הודה באופן חלקי בביצועה ולקח אחריות חלקית בגינה. לדבריו, הוא נכח בהפגנות ואף הביא צמיגים למקום אך לא הבעירם כלל, מיד לאחר שהניח הצמיגים בכביש, התעשת וחזר בו ממעשיו והתרחק מהמקום. הנאשם ביטא חרטה וצער על מעשיו וכן על התנהגותו מול שירות המבחן כפי שהתבטאה בתחילתו של הליך האבחון. </w:t>
      </w:r>
    </w:p>
    <w:p w14:paraId="2C52B46C" w14:textId="77777777" w:rsidR="003649F5" w:rsidRDefault="003649F5" w:rsidP="003649F5">
      <w:pPr>
        <w:spacing w:line="360" w:lineRule="auto"/>
        <w:ind w:left="720" w:hanging="720"/>
        <w:jc w:val="both"/>
        <w:rPr>
          <w:rFonts w:ascii="David" w:hAnsi="David"/>
          <w:rtl/>
        </w:rPr>
      </w:pPr>
      <w:r>
        <w:rPr>
          <w:rFonts w:ascii="David" w:hAnsi="David"/>
          <w:rtl/>
        </w:rPr>
        <w:tab/>
        <w:t xml:space="preserve">שירות המבחן ניסה לבחון שוב עם הנאשם את קשריו ואת דפוסיו, אך האחרון שלל את התערותו עם אוכלוסייה שולית וכן את השתייכותו לארגון פוליטי או אידיאולוגי. הנאשם ציין כי סבר שמדובר בהפגנות כנגד מדינת ישראל בכללותה ולא כנגד יהודים. באשר לדפוסיו, מסר כי היה צעיר בזמן ביצוע העבירה ופעל מתוך "טיפשות".  עם זאת, ציין כי החכים מאז, שינה את דרכיו ואת דפוסיו וכי כיום הוא בוגר יותר ומבין את השלכות מעשיו. </w:t>
      </w:r>
    </w:p>
    <w:p w14:paraId="7BE05B3D" w14:textId="77777777" w:rsidR="003649F5" w:rsidRDefault="003649F5" w:rsidP="003649F5">
      <w:pPr>
        <w:spacing w:line="360" w:lineRule="auto"/>
        <w:ind w:left="720" w:hanging="720"/>
        <w:jc w:val="both"/>
        <w:rPr>
          <w:rFonts w:ascii="David" w:hAnsi="David"/>
          <w:rtl/>
        </w:rPr>
      </w:pPr>
      <w:r>
        <w:rPr>
          <w:rFonts w:ascii="David" w:hAnsi="David"/>
          <w:rtl/>
        </w:rPr>
        <w:tab/>
        <w:t xml:space="preserve">שירות המבחן ניסה לבחון עם הנאשם את השתלבותו בקבוצה טיפולית, אך הנאשם שלל זאת מאחר ולדבריו עבר תהליך עצמי, החכים והשכיל באשר לשינוי דפוסי התנהלותו. </w:t>
      </w:r>
    </w:p>
    <w:p w14:paraId="6919225A" w14:textId="77777777" w:rsidR="003649F5" w:rsidRDefault="003649F5" w:rsidP="003649F5">
      <w:pPr>
        <w:spacing w:line="360" w:lineRule="auto"/>
        <w:ind w:left="720" w:hanging="720"/>
        <w:jc w:val="both"/>
        <w:rPr>
          <w:rFonts w:ascii="David" w:hAnsi="David"/>
          <w:rtl/>
        </w:rPr>
      </w:pPr>
      <w:r>
        <w:rPr>
          <w:rFonts w:ascii="David" w:hAnsi="David"/>
          <w:rtl/>
        </w:rPr>
        <w:tab/>
        <w:t xml:space="preserve">שירות המבחן ציין כי התרשמותו מנאשם בעל יכולות מילוליות וקוגניטיביות תקינות, אשר להערכתו לא ביטא עצמו בכנות ובפתיחות באשר לעבירה גם בפגישה הנוספת. עוד הוסיף השירות כי התרשם שהנאשם מתקשה לבחון את עצמו, את דפוסיו ואת קשריו השוליים ושלל כל נזקקות טיפולית וכן את השתלבותו בהליך טיפולי קבוצתי. </w:t>
      </w:r>
    </w:p>
    <w:p w14:paraId="0447C5D1" w14:textId="77777777" w:rsidR="003649F5" w:rsidRDefault="003649F5" w:rsidP="003649F5">
      <w:pPr>
        <w:spacing w:line="360" w:lineRule="auto"/>
        <w:ind w:left="720" w:hanging="720"/>
        <w:jc w:val="both"/>
        <w:rPr>
          <w:rFonts w:ascii="David" w:hAnsi="David"/>
          <w:rtl/>
        </w:rPr>
      </w:pPr>
      <w:r>
        <w:rPr>
          <w:rFonts w:ascii="David" w:hAnsi="David"/>
          <w:rtl/>
        </w:rPr>
        <w:tab/>
        <w:t xml:space="preserve">לאור האמור, ועל רקע המתואר, השירות לא בא בהמלצה טיפולית שיקומית בעניינו של הנאשם, והמליץ על הטלת ענישה מוחשית בדמות ריצוי עבודות שירות, אשר תבהיר לנאשם את חומרת מעשיו. </w:t>
      </w:r>
    </w:p>
    <w:p w14:paraId="507CA4B6" w14:textId="77777777" w:rsidR="003649F5" w:rsidRDefault="003649F5" w:rsidP="003649F5">
      <w:pPr>
        <w:spacing w:line="360" w:lineRule="auto"/>
        <w:ind w:left="720" w:hanging="720"/>
        <w:jc w:val="both"/>
        <w:rPr>
          <w:rFonts w:ascii="David" w:hAnsi="David"/>
          <w:rtl/>
        </w:rPr>
      </w:pPr>
    </w:p>
    <w:p w14:paraId="58C7C663" w14:textId="77777777" w:rsidR="003649F5" w:rsidRDefault="003649F5" w:rsidP="003649F5">
      <w:pPr>
        <w:spacing w:line="360" w:lineRule="auto"/>
        <w:ind w:left="720" w:hanging="720"/>
        <w:jc w:val="both"/>
        <w:rPr>
          <w:rFonts w:ascii="David" w:hAnsi="David"/>
          <w:b/>
          <w:bCs/>
          <w:rtl/>
        </w:rPr>
      </w:pPr>
      <w:r>
        <w:rPr>
          <w:rFonts w:ascii="David" w:hAnsi="David"/>
          <w:b/>
          <w:bCs/>
          <w:rtl/>
        </w:rPr>
        <w:t>טענות ב"כ הצדדים:</w:t>
      </w:r>
    </w:p>
    <w:p w14:paraId="0312AFDE" w14:textId="77777777" w:rsidR="003649F5" w:rsidRDefault="003649F5" w:rsidP="003649F5">
      <w:pPr>
        <w:spacing w:line="360" w:lineRule="auto"/>
        <w:ind w:left="720" w:hanging="720"/>
        <w:jc w:val="both"/>
        <w:rPr>
          <w:rFonts w:ascii="David" w:hAnsi="David"/>
          <w:b/>
          <w:bCs/>
          <w:rtl/>
        </w:rPr>
      </w:pPr>
    </w:p>
    <w:p w14:paraId="7EF17A56" w14:textId="77777777" w:rsidR="003649F5" w:rsidRDefault="003649F5" w:rsidP="003649F5">
      <w:pPr>
        <w:spacing w:line="360" w:lineRule="auto"/>
        <w:ind w:left="720" w:hanging="720"/>
        <w:rPr>
          <w:rFonts w:ascii="David" w:hAnsi="David"/>
          <w:rtl/>
        </w:rPr>
      </w:pPr>
      <w:r>
        <w:rPr>
          <w:rFonts w:ascii="David" w:hAnsi="David"/>
          <w:rtl/>
        </w:rPr>
        <w:t>8.</w:t>
      </w:r>
      <w:r>
        <w:rPr>
          <w:rFonts w:ascii="David" w:hAnsi="David"/>
          <w:rtl/>
        </w:rPr>
        <w:tab/>
        <w:t xml:space="preserve">הצדדים לא הגישו ראיות לעונש. </w:t>
      </w:r>
    </w:p>
    <w:p w14:paraId="10EF3945" w14:textId="77777777" w:rsidR="003649F5" w:rsidRDefault="003649F5" w:rsidP="003649F5">
      <w:pPr>
        <w:spacing w:line="360" w:lineRule="auto"/>
        <w:ind w:left="720" w:hanging="720"/>
        <w:rPr>
          <w:rFonts w:ascii="David" w:hAnsi="David"/>
          <w:rtl/>
        </w:rPr>
      </w:pPr>
    </w:p>
    <w:p w14:paraId="4474D891" w14:textId="77777777" w:rsidR="003649F5" w:rsidRDefault="003649F5" w:rsidP="003649F5">
      <w:pPr>
        <w:spacing w:line="360" w:lineRule="auto"/>
        <w:ind w:left="720" w:hanging="720"/>
        <w:jc w:val="both"/>
        <w:rPr>
          <w:rFonts w:ascii="David" w:hAnsi="David"/>
          <w:rtl/>
        </w:rPr>
      </w:pPr>
      <w:r>
        <w:rPr>
          <w:rFonts w:ascii="David" w:hAnsi="David"/>
          <w:rtl/>
        </w:rPr>
        <w:t>9.</w:t>
      </w:r>
      <w:r>
        <w:rPr>
          <w:rFonts w:ascii="David" w:hAnsi="David"/>
          <w:rtl/>
        </w:rPr>
        <w:tab/>
      </w:r>
      <w:r>
        <w:rPr>
          <w:rFonts w:ascii="David" w:hAnsi="David"/>
          <w:b/>
          <w:bCs/>
          <w:rtl/>
        </w:rPr>
        <w:t>ב"כ המאשימה</w:t>
      </w:r>
      <w:r>
        <w:rPr>
          <w:rFonts w:ascii="David" w:hAnsi="David"/>
          <w:rtl/>
        </w:rPr>
        <w:t xml:space="preserve"> הגישה טיעוניה לעונש בכתב והשלימה טיעוניה בעל פה.</w:t>
      </w:r>
    </w:p>
    <w:p w14:paraId="51A51DF9" w14:textId="77777777" w:rsidR="003649F5" w:rsidRDefault="003649F5" w:rsidP="003649F5">
      <w:pPr>
        <w:spacing w:line="360" w:lineRule="auto"/>
        <w:ind w:left="720" w:hanging="720"/>
        <w:jc w:val="both"/>
        <w:rPr>
          <w:rFonts w:ascii="David" w:hAnsi="David"/>
          <w:rtl/>
        </w:rPr>
      </w:pPr>
      <w:r>
        <w:rPr>
          <w:rFonts w:ascii="David" w:hAnsi="David"/>
          <w:rtl/>
        </w:rPr>
        <w:tab/>
        <w:t>לדבריה, מתחם העונש ההולם בנסיבות ביצוע העבירה נע בין 18 ל- 36 חודשי מאסר בפועל, וזאת לצד עונשי מאסר על תנאי מרתיעים, פיצוי לנפגעי העבירה וקנס כספי משמעותי. לטענת המאשימה יש למקם עונשו של הנאשם באמצע מתחם העונש ההולם.</w:t>
      </w:r>
    </w:p>
    <w:p w14:paraId="467BB77E" w14:textId="77777777" w:rsidR="003649F5" w:rsidRDefault="003649F5" w:rsidP="003649F5">
      <w:pPr>
        <w:spacing w:line="360" w:lineRule="auto"/>
        <w:ind w:left="720" w:hanging="720"/>
        <w:jc w:val="both"/>
        <w:rPr>
          <w:rFonts w:ascii="David" w:hAnsi="David"/>
          <w:rtl/>
        </w:rPr>
      </w:pPr>
      <w:r>
        <w:rPr>
          <w:rFonts w:ascii="David" w:hAnsi="David"/>
          <w:rtl/>
        </w:rPr>
        <w:tab/>
        <w:t>ב"כ המאשימה טענה כי הנאשם פגע בערכים המוגנים של הסדר הציבורי, שלטון החוק, ב</w:t>
      </w:r>
      <w:r>
        <w:rPr>
          <w:rFonts w:ascii="David" w:hAnsi="David" w:hint="cs"/>
          <w:rtl/>
        </w:rPr>
        <w:t>י</w:t>
      </w:r>
      <w:r>
        <w:rPr>
          <w:rFonts w:ascii="David" w:hAnsi="David"/>
          <w:rtl/>
        </w:rPr>
        <w:t xml:space="preserve">טחון הציבור והיחידים, שלמות הגוף והרכוש. במעשה העבירה פגע הנאשם בתחושת הביטחון האישי והציבורי, בסולידריות החברתית ובחוסן הלאומי. לדבריה מידת הפגיעה בערכים המוגנים גבוהה מאוד. </w:t>
      </w:r>
    </w:p>
    <w:p w14:paraId="133B350B" w14:textId="77777777" w:rsidR="003649F5" w:rsidRDefault="003649F5" w:rsidP="003649F5">
      <w:pPr>
        <w:spacing w:line="360" w:lineRule="auto"/>
        <w:ind w:left="720" w:hanging="720"/>
        <w:jc w:val="both"/>
        <w:rPr>
          <w:rFonts w:ascii="David" w:hAnsi="David"/>
          <w:rtl/>
        </w:rPr>
      </w:pPr>
      <w:r>
        <w:rPr>
          <w:rFonts w:ascii="David" w:hAnsi="David"/>
          <w:rtl/>
        </w:rPr>
        <w:tab/>
        <w:t xml:space="preserve">נטען כי יש לתן משקל משמעותי לנסיבות ולתקופה בהן ביצע הנאשם את העבירה. במהלך מבצע "שומר חומות" בו אזרחי מדינת ישראל ותושביה ספגו ירי בלתי פוסק וכוחות הביטחון נאבקו באויבנו מבחוץ, בעת הזאת, נפתחה חזית נוספת - בתוככי מדינת ישראל - חזית על ידי אזרחים ישראלים שווי זכויות, אשר פתחו בהפרות סדר ואלימות ברחבי הארץ. נטען כי הנאשם ביצע את העבירה בה הורשע כחלק ממהומות אלו. </w:t>
      </w:r>
    </w:p>
    <w:p w14:paraId="616E996C" w14:textId="77777777" w:rsidR="003649F5" w:rsidRDefault="003649F5" w:rsidP="003649F5">
      <w:pPr>
        <w:spacing w:line="360" w:lineRule="auto"/>
        <w:ind w:left="720" w:hanging="720"/>
        <w:jc w:val="both"/>
        <w:rPr>
          <w:rFonts w:ascii="David" w:hAnsi="David"/>
          <w:rtl/>
        </w:rPr>
      </w:pPr>
      <w:r>
        <w:rPr>
          <w:rFonts w:ascii="David" w:hAnsi="David"/>
          <w:rtl/>
        </w:rPr>
        <w:tab/>
        <w:t xml:space="preserve">עוד נטען כי הנזק הפוטנציאלי שעלול היה להיגרם כתוצאה מחסימת כבישים על ידי צמיגים, שבהמשך גם הובערו על ידי ההמון המתפרע,  גדול מאוד, ויכול היה להיות קטלני. לשיטת המאשימה אין לזקוף לטובת הנאשם את העובדה שאך בדרך נס הפוטנציאל לא התממש. על פי עובדות כתב האישום בהן הורשע הנאשם, הצמיגים אותם הניח על הכביש הובערו בהמשך, וכתוצאה מחסימת הכביש משאיות נאלצו לעצור ולעמוד על הכביש. </w:t>
      </w:r>
    </w:p>
    <w:p w14:paraId="6B00A770" w14:textId="77777777" w:rsidR="003649F5" w:rsidRDefault="003649F5" w:rsidP="003649F5">
      <w:pPr>
        <w:spacing w:line="360" w:lineRule="auto"/>
        <w:ind w:left="720" w:hanging="720"/>
        <w:jc w:val="both"/>
        <w:rPr>
          <w:rFonts w:ascii="David" w:hAnsi="David"/>
          <w:rtl/>
        </w:rPr>
      </w:pPr>
      <w:r>
        <w:rPr>
          <w:rFonts w:ascii="David" w:hAnsi="David"/>
          <w:rtl/>
        </w:rPr>
        <w:tab/>
        <w:t xml:space="preserve">נטען כי המעשים בהם הורשע הנאשם כוללים היבטים משמעותיים של תכנון. יש לדחות טענתו של הנאשם כי הוא "רק" חסם את הכביש באמצעות הצמיגים שהונחו על הכביש ובהמשך הובערו, שכן אחריותו אינה נקבעת אך על פי תרומתו הישירה לאירוע, אלא מתוך ראיה רחבה יותר של מטרתו המשותפת של ההמון שהוא היה חלק ממנו. </w:t>
      </w:r>
    </w:p>
    <w:p w14:paraId="13246069" w14:textId="77777777" w:rsidR="003649F5" w:rsidRDefault="003649F5" w:rsidP="003649F5">
      <w:pPr>
        <w:spacing w:line="360" w:lineRule="auto"/>
        <w:ind w:left="720" w:hanging="720"/>
        <w:jc w:val="both"/>
        <w:rPr>
          <w:rFonts w:ascii="David" w:hAnsi="David"/>
          <w:rtl/>
        </w:rPr>
      </w:pPr>
      <w:r>
        <w:rPr>
          <w:rFonts w:ascii="David" w:hAnsi="David"/>
          <w:rtl/>
        </w:rPr>
        <w:tab/>
        <w:t xml:space="preserve">הנאשם שלט במעשיו ויכול היה להימנע ממעשיו בתקופה קשה בה המדינה התמודדה עם ירי טילים לעברה. יתרה מכך, כמפורט בכתב האישום בו הורשע הנאשם, מעשיו בוצעו מתוך מניע לאומני ויש בכך חומרה יתרה. הנאשם, יחד עם אחרים, נטל חלק בלתי נפרד במתקפה פרועה, המונית, אלימה וחסרת רסן, שכוונה  נגד ציר מרכזי בדרך בה נוסעים אזרחים תמימים, אשר כל "חטאם" היותם יהודים שהיו במקום "הלא נכון" ובזמן "הלא נכון". </w:t>
      </w:r>
    </w:p>
    <w:p w14:paraId="75936532" w14:textId="77777777" w:rsidR="003649F5" w:rsidRDefault="003649F5" w:rsidP="003649F5">
      <w:pPr>
        <w:spacing w:line="360" w:lineRule="auto"/>
        <w:ind w:left="720" w:hanging="720"/>
        <w:jc w:val="both"/>
        <w:rPr>
          <w:rFonts w:ascii="David" w:hAnsi="David"/>
          <w:rtl/>
        </w:rPr>
      </w:pPr>
      <w:r>
        <w:rPr>
          <w:rFonts w:ascii="David" w:hAnsi="David"/>
          <w:rtl/>
        </w:rPr>
        <w:tab/>
        <w:t xml:space="preserve">ב"כ המאשימה הפנתה לכך כי שירות המבחן לא בא בהמלצה שיקומית בעניינו של הנאשם הגם התסקיר המשלים וטענה כי לא קיימות נסיבות של ממש לקולא בעניינו. הנאשם הודה בפני בית המשפט ונטל אחריות לכאורה למעשיו, אך בפני שירות המבחן פיו ולבו לא היו שווים, וניכר כי לא הבין את חומרת מעשיו, צמצם את חלקו ולא לקח אחריות של ממש למעשיו. </w:t>
      </w:r>
    </w:p>
    <w:p w14:paraId="329E3330" w14:textId="77777777" w:rsidR="003649F5" w:rsidRDefault="003649F5" w:rsidP="003649F5">
      <w:pPr>
        <w:spacing w:line="360" w:lineRule="auto"/>
        <w:ind w:left="720" w:hanging="720"/>
        <w:jc w:val="both"/>
        <w:rPr>
          <w:rFonts w:ascii="David" w:hAnsi="David"/>
          <w:rtl/>
        </w:rPr>
      </w:pPr>
      <w:r>
        <w:rPr>
          <w:rFonts w:ascii="David" w:hAnsi="David"/>
          <w:rtl/>
        </w:rPr>
        <w:tab/>
        <w:t xml:space="preserve">ב"כ המאשימה הפנתה לפסיקה וטענה כי ישנה חשיבות רבה בהעברת מסר מרתיע, על מנת שידע כל מי שייקח חלק דומה בעתיד ובייחוד בזמן לחימה צבאית ויהפוך מאזרח לאויב מבית - כי הוא צפוי לעונש קשה. </w:t>
      </w:r>
    </w:p>
    <w:p w14:paraId="7A1E945F" w14:textId="77777777" w:rsidR="003649F5" w:rsidRDefault="003649F5" w:rsidP="003649F5">
      <w:pPr>
        <w:spacing w:line="360" w:lineRule="auto"/>
        <w:ind w:left="720" w:hanging="720"/>
        <w:jc w:val="both"/>
        <w:rPr>
          <w:rFonts w:ascii="David" w:hAnsi="David"/>
          <w:rtl/>
        </w:rPr>
      </w:pPr>
    </w:p>
    <w:p w14:paraId="022EFBD9" w14:textId="77777777" w:rsidR="003649F5" w:rsidRDefault="003649F5" w:rsidP="003649F5">
      <w:pPr>
        <w:spacing w:line="360" w:lineRule="auto"/>
        <w:ind w:left="720" w:hanging="720"/>
        <w:jc w:val="both"/>
        <w:rPr>
          <w:rFonts w:ascii="David" w:hAnsi="David"/>
          <w:rtl/>
        </w:rPr>
      </w:pPr>
    </w:p>
    <w:p w14:paraId="5F8066B5" w14:textId="77777777" w:rsidR="003649F5" w:rsidRDefault="003649F5" w:rsidP="003649F5">
      <w:pPr>
        <w:spacing w:line="360" w:lineRule="auto"/>
        <w:ind w:left="720" w:hanging="720"/>
        <w:jc w:val="both"/>
        <w:rPr>
          <w:rFonts w:ascii="David" w:hAnsi="David"/>
          <w:rtl/>
        </w:rPr>
      </w:pPr>
    </w:p>
    <w:p w14:paraId="5BF11468" w14:textId="77777777" w:rsidR="003649F5" w:rsidRDefault="003649F5" w:rsidP="003649F5">
      <w:pPr>
        <w:spacing w:line="360" w:lineRule="auto"/>
        <w:ind w:left="720" w:hanging="720"/>
        <w:jc w:val="both"/>
        <w:rPr>
          <w:rFonts w:ascii="David" w:hAnsi="David"/>
          <w:rtl/>
        </w:rPr>
      </w:pPr>
    </w:p>
    <w:p w14:paraId="4AA8C4C7" w14:textId="77777777" w:rsidR="003649F5" w:rsidRDefault="003649F5" w:rsidP="003649F5">
      <w:pPr>
        <w:spacing w:line="360" w:lineRule="auto"/>
        <w:ind w:left="720" w:hanging="720"/>
        <w:jc w:val="both"/>
        <w:rPr>
          <w:rFonts w:ascii="David" w:hAnsi="David"/>
          <w:rtl/>
        </w:rPr>
      </w:pPr>
    </w:p>
    <w:p w14:paraId="4791EED1" w14:textId="77777777" w:rsidR="003649F5" w:rsidRDefault="003649F5" w:rsidP="003649F5">
      <w:pPr>
        <w:spacing w:line="360" w:lineRule="auto"/>
        <w:jc w:val="both"/>
        <w:rPr>
          <w:rFonts w:ascii="David" w:hAnsi="David"/>
          <w:rtl/>
        </w:rPr>
      </w:pPr>
      <w:r>
        <w:rPr>
          <w:rFonts w:ascii="David" w:hAnsi="David"/>
          <w:rtl/>
        </w:rPr>
        <w:t>10.</w:t>
      </w:r>
      <w:r>
        <w:rPr>
          <w:rFonts w:ascii="David" w:hAnsi="David"/>
          <w:rtl/>
        </w:rPr>
        <w:tab/>
      </w:r>
      <w:r>
        <w:rPr>
          <w:rFonts w:ascii="David" w:hAnsi="David"/>
          <w:b/>
          <w:bCs/>
          <w:rtl/>
        </w:rPr>
        <w:t xml:space="preserve">ב"כ הנאשם </w:t>
      </w:r>
      <w:r>
        <w:rPr>
          <w:rFonts w:ascii="David" w:hAnsi="David"/>
          <w:rtl/>
        </w:rPr>
        <w:t xml:space="preserve">טען טיעוניו לעונש בעל פה והשלימם בכתב.   </w:t>
      </w:r>
    </w:p>
    <w:p w14:paraId="4483B0AD" w14:textId="77777777" w:rsidR="003649F5" w:rsidRDefault="003649F5" w:rsidP="003649F5">
      <w:pPr>
        <w:spacing w:line="360" w:lineRule="auto"/>
        <w:ind w:left="720"/>
        <w:jc w:val="both"/>
        <w:rPr>
          <w:rFonts w:ascii="David" w:hAnsi="David"/>
          <w:rtl/>
        </w:rPr>
      </w:pPr>
      <w:r>
        <w:rPr>
          <w:rFonts w:ascii="David" w:hAnsi="David"/>
          <w:rtl/>
        </w:rPr>
        <w:t>לדבריו מתחם העונש ההולם בעניינו של הנאשם נע בין מאסר על תנאי לבין מספר חודשי מאסר בפועל שיכול וירוצו בעבודות שירות, וכי יש למקם את הנאשם בתחתית המתחם.</w:t>
      </w:r>
    </w:p>
    <w:p w14:paraId="0B1DB425" w14:textId="77777777" w:rsidR="003649F5" w:rsidRDefault="003649F5" w:rsidP="003649F5">
      <w:pPr>
        <w:spacing w:line="360" w:lineRule="auto"/>
        <w:ind w:left="720"/>
        <w:jc w:val="both"/>
        <w:rPr>
          <w:rFonts w:ascii="David" w:hAnsi="David"/>
          <w:rtl/>
        </w:rPr>
      </w:pPr>
      <w:r>
        <w:rPr>
          <w:rFonts w:ascii="David" w:hAnsi="David"/>
          <w:rtl/>
        </w:rPr>
        <w:t>נטען כי הנאשם הורשע בעבירה שבסמכות בית משפט שלום, לצידה עונש מרבי של שלוש שנות מאסר, ומתחם העונש לו עתרה המאשימה מחמיר ואינו הולם את נסיבות האירוע שבעניינו.</w:t>
      </w:r>
    </w:p>
    <w:p w14:paraId="0D949403" w14:textId="77777777" w:rsidR="003649F5" w:rsidRDefault="003649F5" w:rsidP="003649F5">
      <w:pPr>
        <w:spacing w:line="360" w:lineRule="auto"/>
        <w:ind w:left="720"/>
        <w:jc w:val="both"/>
        <w:rPr>
          <w:rFonts w:ascii="David" w:hAnsi="David"/>
          <w:rtl/>
        </w:rPr>
      </w:pPr>
      <w:r>
        <w:rPr>
          <w:rFonts w:ascii="David" w:hAnsi="David"/>
          <w:rtl/>
        </w:rPr>
        <w:t xml:space="preserve">הסניגור התייחס לפסיקה אליה הפנתה המאשימה וטען כי היא מתייחסת לעבירות חמורות בהרבה יותר מהעבירה בה הורשע הנאשם, ומשכך אין ללמוד ממנה. </w:t>
      </w:r>
    </w:p>
    <w:p w14:paraId="17FEDCC8" w14:textId="77777777" w:rsidR="003649F5" w:rsidRDefault="003649F5" w:rsidP="003649F5">
      <w:pPr>
        <w:spacing w:line="360" w:lineRule="auto"/>
        <w:ind w:left="720"/>
        <w:jc w:val="both"/>
        <w:rPr>
          <w:rFonts w:ascii="David" w:hAnsi="David"/>
          <w:rtl/>
        </w:rPr>
      </w:pPr>
      <w:r>
        <w:rPr>
          <w:rFonts w:ascii="David" w:hAnsi="David"/>
          <w:rtl/>
        </w:rPr>
        <w:t>ב"כ הנאשם אזכר פסקי דין אשר לטענתו מלמדים על ענישה מקלה בהרבה מזו לה טענה המאשימה. בהשלמת טיעוניו בכתב הפנה לגזר דין נוסף [</w:t>
      </w:r>
      <w:hyperlink r:id="rId21" w:history="1">
        <w:r w:rsidR="00A678ED" w:rsidRPr="00A678ED">
          <w:rPr>
            <w:rFonts w:ascii="David" w:hAnsi="David"/>
            <w:color w:val="0000FF"/>
            <w:u w:val="single"/>
            <w:rtl/>
          </w:rPr>
          <w:t>ת"פ (שלום ב"ש) 41504-05-21</w:t>
        </w:r>
      </w:hyperlink>
      <w:r>
        <w:rPr>
          <w:rFonts w:ascii="David" w:hAnsi="David"/>
          <w:rtl/>
        </w:rPr>
        <w:t xml:space="preserve">] אשר לדבריו מלמד על התייחסות מפלה לרעה מצד המאשימה עת מדובר בנאשמים ערבים לעומת נאשמים יהודים. </w:t>
      </w:r>
    </w:p>
    <w:p w14:paraId="2768A625" w14:textId="77777777" w:rsidR="003649F5" w:rsidRDefault="003649F5" w:rsidP="003649F5">
      <w:pPr>
        <w:spacing w:line="360" w:lineRule="auto"/>
        <w:ind w:left="720"/>
        <w:jc w:val="both"/>
        <w:rPr>
          <w:rFonts w:ascii="David" w:hAnsi="David"/>
          <w:rtl/>
        </w:rPr>
      </w:pPr>
      <w:r>
        <w:rPr>
          <w:rFonts w:ascii="David" w:hAnsi="David"/>
          <w:rtl/>
        </w:rPr>
        <w:t xml:space="preserve">לדברי הסניגור, הנאשם ביצע את העבירה טרם המהומות, לא הצית את הצמיגים ולא היה חלק ממה שהתרחש לאחר מכן. ב"כ הנאשם הוסיף וטען כי המאשימה בטיעוניה מבקשת לייחס לנאשם מעשים שכלל לא הורשע בהם, ובסופו של יום הנאשם הורשע בעבירה שהיסוד הנפשי בגינה הוא רשלנות ולא כוונה. </w:t>
      </w:r>
    </w:p>
    <w:p w14:paraId="74BAA9D6" w14:textId="77777777" w:rsidR="003649F5" w:rsidRDefault="003649F5" w:rsidP="003649F5">
      <w:pPr>
        <w:spacing w:line="360" w:lineRule="auto"/>
        <w:ind w:left="720"/>
        <w:jc w:val="both"/>
        <w:rPr>
          <w:rFonts w:ascii="David" w:hAnsi="David"/>
          <w:rtl/>
        </w:rPr>
      </w:pPr>
      <w:r>
        <w:rPr>
          <w:rFonts w:ascii="David" w:hAnsi="David"/>
          <w:rtl/>
        </w:rPr>
        <w:t xml:space="preserve">ב"כ הנאשם ביקש להתחשב בכך שהנאשם בחור צעיר, נעדר עבר פלילי ובניגוד לאמור בתסקיר שירות המבחן לקח אחריות על מעשיו, הודה בהזדמנות הראשונה ולא נגרר לניהול התיק כיתר הנאשמים. הנאשם התארס לא מזמן ואמור להתחתן בקרוב, מנהל אורח חיים נורמטיבי ועובד בעבודה קבועה. </w:t>
      </w:r>
    </w:p>
    <w:p w14:paraId="38127320" w14:textId="77777777" w:rsidR="003649F5" w:rsidRDefault="003649F5" w:rsidP="003649F5">
      <w:pPr>
        <w:spacing w:line="360" w:lineRule="auto"/>
        <w:ind w:left="720"/>
        <w:jc w:val="both"/>
        <w:rPr>
          <w:rFonts w:ascii="David" w:hAnsi="David"/>
          <w:rtl/>
        </w:rPr>
      </w:pPr>
    </w:p>
    <w:p w14:paraId="36D75A2F" w14:textId="77777777" w:rsidR="003649F5" w:rsidRDefault="003649F5" w:rsidP="003649F5">
      <w:pPr>
        <w:spacing w:line="360" w:lineRule="auto"/>
        <w:ind w:left="720" w:hanging="720"/>
        <w:jc w:val="both"/>
        <w:rPr>
          <w:rFonts w:ascii="David" w:hAnsi="David"/>
          <w:rtl/>
        </w:rPr>
      </w:pPr>
      <w:r>
        <w:rPr>
          <w:rFonts w:ascii="David" w:hAnsi="David"/>
          <w:rtl/>
        </w:rPr>
        <w:t>11.</w:t>
      </w:r>
      <w:r>
        <w:rPr>
          <w:rFonts w:ascii="David" w:hAnsi="David"/>
          <w:rtl/>
        </w:rPr>
        <w:tab/>
        <w:t xml:space="preserve">הנאשם הביע חרטה על מעשיו ואמר כי עשה טעות לפני שלוש שנים כאשר היה צעיר. לדבריו </w:t>
      </w:r>
      <w:r>
        <w:rPr>
          <w:rFonts w:ascii="David" w:hAnsi="David"/>
          <w:b/>
          <w:bCs/>
          <w:rtl/>
        </w:rPr>
        <w:t>"המדינה שלנו טובה. ואנו חיים במדינה"</w:t>
      </w:r>
      <w:r>
        <w:rPr>
          <w:rFonts w:ascii="David" w:hAnsi="David"/>
          <w:rtl/>
        </w:rPr>
        <w:t xml:space="preserve"> והוסיף כי </w:t>
      </w:r>
      <w:r>
        <w:rPr>
          <w:rFonts w:ascii="David" w:hAnsi="David"/>
          <w:b/>
          <w:bCs/>
          <w:rtl/>
        </w:rPr>
        <w:t xml:space="preserve">"... יש יהודים טובים ויש ערבים טובים  ולמה אנו עושים דבר כזה... ואני אומר לך שאני מצטער וזה מה שהיה..." </w:t>
      </w:r>
      <w:r>
        <w:rPr>
          <w:rFonts w:ascii="David" w:hAnsi="David"/>
          <w:rtl/>
        </w:rPr>
        <w:t xml:space="preserve">(עמוד 80 לפרוטוקול מיום 02.07.24).  </w:t>
      </w:r>
    </w:p>
    <w:p w14:paraId="7EAB8274" w14:textId="77777777" w:rsidR="003649F5" w:rsidRDefault="003649F5" w:rsidP="003649F5">
      <w:pPr>
        <w:spacing w:line="360" w:lineRule="auto"/>
        <w:ind w:left="720" w:hanging="720"/>
        <w:jc w:val="both"/>
        <w:rPr>
          <w:rFonts w:ascii="David" w:hAnsi="David"/>
          <w:rtl/>
        </w:rPr>
      </w:pPr>
    </w:p>
    <w:p w14:paraId="14B8A3FD" w14:textId="77777777" w:rsidR="003649F5" w:rsidRDefault="003649F5" w:rsidP="003649F5">
      <w:pPr>
        <w:spacing w:line="360" w:lineRule="auto"/>
        <w:ind w:left="720" w:hanging="720"/>
        <w:jc w:val="both"/>
        <w:rPr>
          <w:rFonts w:ascii="David" w:hAnsi="David"/>
          <w:b/>
          <w:bCs/>
          <w:rtl/>
        </w:rPr>
      </w:pPr>
      <w:r>
        <w:rPr>
          <w:rFonts w:ascii="David" w:hAnsi="David"/>
          <w:b/>
          <w:bCs/>
          <w:rtl/>
        </w:rPr>
        <w:t>דיון והכרעה:</w:t>
      </w:r>
    </w:p>
    <w:p w14:paraId="0A77E087" w14:textId="77777777" w:rsidR="003649F5" w:rsidRDefault="003649F5" w:rsidP="003649F5">
      <w:pPr>
        <w:spacing w:line="360" w:lineRule="auto"/>
        <w:ind w:left="720" w:hanging="720"/>
        <w:jc w:val="both"/>
        <w:rPr>
          <w:rFonts w:ascii="David" w:hAnsi="David"/>
          <w:b/>
          <w:bCs/>
          <w:rtl/>
        </w:rPr>
      </w:pPr>
    </w:p>
    <w:p w14:paraId="33ED56B0" w14:textId="77777777" w:rsidR="003649F5" w:rsidRDefault="003649F5" w:rsidP="003649F5">
      <w:pPr>
        <w:spacing w:line="360" w:lineRule="auto"/>
        <w:ind w:left="720" w:hanging="720"/>
        <w:jc w:val="both"/>
        <w:rPr>
          <w:rFonts w:ascii="David" w:hAnsi="David"/>
          <w:rtl/>
        </w:rPr>
      </w:pPr>
      <w:r>
        <w:rPr>
          <w:rFonts w:ascii="David" w:hAnsi="David"/>
          <w:rtl/>
        </w:rPr>
        <w:t>12.</w:t>
      </w:r>
      <w:r>
        <w:rPr>
          <w:rFonts w:ascii="David" w:hAnsi="David"/>
          <w:rtl/>
        </w:rPr>
        <w:tab/>
        <w:t xml:space="preserve">הנאשם הורשע בעבירה של מעשה פזיזות באש. </w:t>
      </w:r>
    </w:p>
    <w:p w14:paraId="332367E5" w14:textId="77777777" w:rsidR="003649F5" w:rsidRDefault="003649F5" w:rsidP="003649F5">
      <w:pPr>
        <w:spacing w:line="360" w:lineRule="auto"/>
        <w:ind w:left="720" w:hanging="720"/>
        <w:jc w:val="both"/>
        <w:rPr>
          <w:rFonts w:ascii="David" w:hAnsi="David"/>
          <w:rtl/>
        </w:rPr>
      </w:pPr>
      <w:r>
        <w:rPr>
          <w:rFonts w:ascii="David" w:hAnsi="David"/>
          <w:rtl/>
        </w:rPr>
        <w:tab/>
        <w:t xml:space="preserve">בהתאם </w:t>
      </w:r>
      <w:hyperlink r:id="rId22" w:history="1">
        <w:r w:rsidR="00E23180" w:rsidRPr="00E23180">
          <w:rPr>
            <w:rStyle w:val="Hyperlink"/>
            <w:rFonts w:ascii="David" w:hAnsi="David"/>
            <w:color w:val="0000FF"/>
            <w:rtl/>
          </w:rPr>
          <w:t>לסעיף 40(ב)</w:t>
        </w:r>
      </w:hyperlink>
      <w:r>
        <w:rPr>
          <w:rFonts w:ascii="David" w:hAnsi="David"/>
          <w:rtl/>
        </w:rPr>
        <w:t xml:space="preserve"> ל</w:t>
      </w:r>
      <w:hyperlink r:id="rId23" w:history="1">
        <w:r w:rsidR="00A678ED" w:rsidRPr="00A678ED">
          <w:rPr>
            <w:rFonts w:ascii="David" w:hAnsi="David"/>
            <w:color w:val="0000FF"/>
            <w:u w:val="single"/>
            <w:rtl/>
          </w:rPr>
          <w:t>חוק העונשין</w:t>
        </w:r>
      </w:hyperlink>
      <w:r>
        <w:rPr>
          <w:rFonts w:ascii="David" w:hAnsi="David"/>
          <w:rtl/>
        </w:rPr>
        <w:t xml:space="preserve">, עקרון ההלימה הוא העיקרון המנחה בענישה ויש לבחון קיומו של יחס הולם בין חומרת מעשה העבירה, בנסיבותיה ובמידת אשמתו של הנאשם, ובין העונש המוטל עליו. העונש צריך לעמוד בהלימה למעשה ולעושה. </w:t>
      </w:r>
    </w:p>
    <w:p w14:paraId="70557A61" w14:textId="77777777" w:rsidR="003649F5" w:rsidRDefault="003649F5" w:rsidP="003649F5">
      <w:pPr>
        <w:spacing w:line="360" w:lineRule="auto"/>
        <w:ind w:left="720" w:hanging="720"/>
        <w:jc w:val="both"/>
        <w:rPr>
          <w:rFonts w:ascii="David" w:hAnsi="David"/>
          <w:rtl/>
        </w:rPr>
      </w:pPr>
    </w:p>
    <w:p w14:paraId="1A44D24D" w14:textId="77777777" w:rsidR="003649F5" w:rsidRDefault="003649F5" w:rsidP="003649F5">
      <w:pPr>
        <w:spacing w:line="360" w:lineRule="auto"/>
        <w:ind w:left="720" w:hanging="720"/>
        <w:jc w:val="both"/>
        <w:rPr>
          <w:rFonts w:ascii="David" w:hAnsi="David"/>
          <w:b/>
          <w:bCs/>
          <w:rtl/>
        </w:rPr>
      </w:pPr>
      <w:r>
        <w:rPr>
          <w:rFonts w:ascii="David" w:hAnsi="David"/>
          <w:b/>
          <w:bCs/>
          <w:rtl/>
        </w:rPr>
        <w:t>הערכים החברתיים שנפגעו ומידת הפגיעה בהם:</w:t>
      </w:r>
    </w:p>
    <w:p w14:paraId="5D449F93" w14:textId="77777777" w:rsidR="003649F5" w:rsidRDefault="003649F5" w:rsidP="003649F5">
      <w:pPr>
        <w:spacing w:line="360" w:lineRule="auto"/>
        <w:ind w:left="720" w:hanging="720"/>
        <w:jc w:val="both"/>
        <w:rPr>
          <w:rFonts w:ascii="David" w:hAnsi="David"/>
          <w:b/>
          <w:bCs/>
          <w:rtl/>
        </w:rPr>
      </w:pPr>
    </w:p>
    <w:p w14:paraId="2CAAAECF" w14:textId="77777777" w:rsidR="003649F5" w:rsidRDefault="003649F5" w:rsidP="003649F5">
      <w:pPr>
        <w:spacing w:line="360" w:lineRule="auto"/>
        <w:ind w:left="720" w:hanging="720"/>
        <w:jc w:val="both"/>
        <w:rPr>
          <w:rFonts w:ascii="David" w:hAnsi="David"/>
          <w:rtl/>
        </w:rPr>
      </w:pPr>
      <w:r>
        <w:rPr>
          <w:rFonts w:ascii="David" w:hAnsi="David"/>
          <w:rtl/>
        </w:rPr>
        <w:t>13.</w:t>
      </w:r>
      <w:r>
        <w:rPr>
          <w:rFonts w:ascii="David" w:hAnsi="David"/>
          <w:rtl/>
        </w:rPr>
        <w:tab/>
        <w:t xml:space="preserve">במעשה העבירה ובנסיבותיה פגע הנאשם ברף הבינוני-גבוה בערכים החברתיים המוגנים הכוללים בתוכם שמירה על הביטחון האישי והסדר הציבורי, שלומם וביטחונם של משתמשי הדרך והנהגים, שלטון החוק וההגנה על הקניין. </w:t>
      </w:r>
    </w:p>
    <w:p w14:paraId="2B00FDF6" w14:textId="77777777" w:rsidR="003649F5" w:rsidRDefault="003649F5" w:rsidP="003649F5">
      <w:pPr>
        <w:spacing w:line="360" w:lineRule="auto"/>
        <w:jc w:val="both"/>
        <w:rPr>
          <w:rFonts w:ascii="David" w:hAnsi="David"/>
          <w:b/>
          <w:bCs/>
          <w:rtl/>
        </w:rPr>
      </w:pPr>
    </w:p>
    <w:p w14:paraId="601B9A23" w14:textId="77777777" w:rsidR="003649F5" w:rsidRDefault="003649F5" w:rsidP="003649F5">
      <w:pPr>
        <w:spacing w:line="360" w:lineRule="auto"/>
        <w:jc w:val="both"/>
        <w:rPr>
          <w:rFonts w:ascii="David" w:hAnsi="David"/>
          <w:b/>
          <w:bCs/>
          <w:rtl/>
        </w:rPr>
      </w:pPr>
      <w:r>
        <w:rPr>
          <w:rFonts w:ascii="David" w:hAnsi="David"/>
          <w:b/>
          <w:bCs/>
          <w:rtl/>
        </w:rPr>
        <w:t>מדיניות הענישה הנוהגת:</w:t>
      </w:r>
    </w:p>
    <w:p w14:paraId="1DF50D67" w14:textId="77777777" w:rsidR="003649F5" w:rsidRDefault="003649F5" w:rsidP="003649F5">
      <w:pPr>
        <w:spacing w:line="360" w:lineRule="auto"/>
        <w:jc w:val="both"/>
        <w:rPr>
          <w:rFonts w:ascii="David" w:hAnsi="David"/>
          <w:b/>
          <w:bCs/>
          <w:rtl/>
        </w:rPr>
      </w:pPr>
    </w:p>
    <w:p w14:paraId="5D0FF658" w14:textId="77777777" w:rsidR="003649F5" w:rsidRDefault="003649F5" w:rsidP="003649F5">
      <w:pPr>
        <w:spacing w:line="360" w:lineRule="auto"/>
        <w:ind w:left="720" w:hanging="720"/>
        <w:jc w:val="both"/>
        <w:rPr>
          <w:rFonts w:ascii="David" w:hAnsi="David"/>
          <w:highlight w:val="yellow"/>
          <w:rtl/>
        </w:rPr>
      </w:pPr>
      <w:r>
        <w:rPr>
          <w:rFonts w:ascii="David" w:hAnsi="David"/>
          <w:rtl/>
        </w:rPr>
        <w:t>14.</w:t>
      </w:r>
      <w:r>
        <w:rPr>
          <w:rFonts w:ascii="David" w:hAnsi="David"/>
          <w:rtl/>
        </w:rPr>
        <w:tab/>
        <w:t xml:space="preserve">בית המשפט העליון הבהיר כי עבירה שבוצעה על רקע הפרות סדר והמון משולהב בתקופת מבצע "שומר חומות" מחייבת ענישה מחמירה ומרתיעה. </w:t>
      </w:r>
    </w:p>
    <w:p w14:paraId="486A6436" w14:textId="77777777" w:rsidR="003649F5" w:rsidRDefault="003649F5" w:rsidP="003649F5">
      <w:pPr>
        <w:spacing w:line="360" w:lineRule="auto"/>
        <w:ind w:left="720"/>
        <w:jc w:val="both"/>
        <w:rPr>
          <w:rFonts w:ascii="David" w:hAnsi="David"/>
          <w:rtl/>
        </w:rPr>
      </w:pPr>
    </w:p>
    <w:p w14:paraId="34934814" w14:textId="77777777" w:rsidR="003649F5" w:rsidRDefault="003649F5" w:rsidP="003649F5">
      <w:pPr>
        <w:spacing w:line="360" w:lineRule="auto"/>
        <w:ind w:left="720"/>
        <w:jc w:val="both"/>
        <w:rPr>
          <w:rFonts w:ascii="David" w:hAnsi="David"/>
          <w:rtl/>
        </w:rPr>
      </w:pPr>
      <w:r>
        <w:rPr>
          <w:rFonts w:ascii="David" w:hAnsi="David"/>
          <w:rtl/>
        </w:rPr>
        <w:t>לעניין זה ראה דברי כב' השופט ע' פוגלמן</w:t>
      </w:r>
      <w:r>
        <w:rPr>
          <w:rFonts w:ascii="David" w:hAnsi="David"/>
          <w:b/>
          <w:bCs/>
          <w:rtl/>
        </w:rPr>
        <w:t xml:space="preserve"> ב</w:t>
      </w:r>
      <w:hyperlink r:id="rId24" w:history="1">
        <w:r w:rsidR="00A678ED" w:rsidRPr="00A678ED">
          <w:rPr>
            <w:rFonts w:ascii="David" w:hAnsi="David"/>
            <w:b/>
            <w:bCs/>
            <w:color w:val="0000FF"/>
            <w:u w:val="single"/>
            <w:rtl/>
          </w:rPr>
          <w:t>ע"פ 3982/22</w:t>
        </w:r>
      </w:hyperlink>
      <w:r>
        <w:rPr>
          <w:rFonts w:ascii="David" w:hAnsi="David"/>
          <w:b/>
          <w:bCs/>
          <w:rtl/>
        </w:rPr>
        <w:t xml:space="preserve"> מדינת ישראל נ' מוחמד חג'וג' </w:t>
      </w:r>
      <w:r>
        <w:rPr>
          <w:rFonts w:ascii="David" w:hAnsi="David"/>
          <w:rtl/>
        </w:rPr>
        <w:t>(27.10.2022):</w:t>
      </w:r>
    </w:p>
    <w:p w14:paraId="114106A7" w14:textId="77777777" w:rsidR="003649F5" w:rsidRDefault="003649F5" w:rsidP="003649F5">
      <w:pPr>
        <w:spacing w:line="360" w:lineRule="auto"/>
        <w:ind w:left="720"/>
        <w:jc w:val="both"/>
        <w:rPr>
          <w:rFonts w:ascii="David" w:hAnsi="David"/>
          <w:rtl/>
        </w:rPr>
      </w:pPr>
    </w:p>
    <w:p w14:paraId="06A8F0EA" w14:textId="77777777" w:rsidR="003649F5" w:rsidRDefault="003649F5" w:rsidP="003649F5">
      <w:pPr>
        <w:spacing w:line="360" w:lineRule="auto"/>
        <w:ind w:left="1502" w:right="1560"/>
        <w:jc w:val="both"/>
        <w:rPr>
          <w:rFonts w:ascii="David" w:hAnsi="David"/>
          <w:b/>
          <w:bCs/>
          <w:rtl/>
        </w:rPr>
      </w:pPr>
      <w:r>
        <w:rPr>
          <w:rFonts w:ascii="David" w:hAnsi="David"/>
          <w:b/>
          <w:bCs/>
          <w:rtl/>
        </w:rPr>
        <w:t>"בית משפט זה עמד לא אחת על החומרה הגלומה בעבירות התפרעויות המונים, ועל הצורך לנקוט במדיניות ענישה אשר תרתיע ותרסן התפרעויות שעלולות לסחוף המון רב לצאת מגדר שליטה, ולסכן חיי אדם..."</w:t>
      </w:r>
      <w:r>
        <w:rPr>
          <w:rFonts w:ascii="David" w:hAnsi="David"/>
          <w:rtl/>
        </w:rPr>
        <w:t xml:space="preserve"> ובהמשך פסק הדין: "...</w:t>
      </w:r>
      <w:r>
        <w:rPr>
          <w:rFonts w:ascii="David" w:hAnsi="David"/>
          <w:b/>
          <w:bCs/>
          <w:rtl/>
        </w:rPr>
        <w:t>יש מקום ליתן משקל לכך שהעבירות האמורות בוצעו במהלכו של מבצע "שומר החומות", עת שהאוכלוסיה האזרחית במדינת ישראל הייתה נתונה למתקפת רקטות, במקביל לגל של הפרות סדר והתפרעויות אלימות, שבמסגרתו הותקפו כוחות הביטחון, וכן אזרחים..."</w:t>
      </w:r>
      <w:r>
        <w:rPr>
          <w:rFonts w:ascii="David" w:hAnsi="David" w:hint="cs"/>
          <w:b/>
          <w:bCs/>
          <w:rtl/>
        </w:rPr>
        <w:t>.</w:t>
      </w:r>
    </w:p>
    <w:p w14:paraId="1A2EF5FC" w14:textId="77777777" w:rsidR="003649F5" w:rsidRDefault="003649F5" w:rsidP="003649F5">
      <w:pPr>
        <w:spacing w:line="360" w:lineRule="auto"/>
        <w:ind w:left="1502" w:right="1560"/>
        <w:jc w:val="both"/>
        <w:rPr>
          <w:rFonts w:ascii="David" w:hAnsi="David"/>
          <w:b/>
          <w:bCs/>
          <w:rtl/>
        </w:rPr>
      </w:pPr>
    </w:p>
    <w:p w14:paraId="169F8823" w14:textId="77777777" w:rsidR="003649F5" w:rsidRDefault="003649F5" w:rsidP="003649F5">
      <w:pPr>
        <w:spacing w:line="360" w:lineRule="auto"/>
        <w:ind w:left="720"/>
        <w:jc w:val="both"/>
        <w:rPr>
          <w:rFonts w:ascii="David" w:hAnsi="David"/>
          <w:rtl/>
        </w:rPr>
      </w:pPr>
      <w:r>
        <w:rPr>
          <w:rFonts w:ascii="David" w:hAnsi="David"/>
          <w:rtl/>
        </w:rPr>
        <w:t xml:space="preserve">וראה גם דברי כב' השופט י' אלרון </w:t>
      </w:r>
      <w:r>
        <w:rPr>
          <w:rFonts w:ascii="David" w:hAnsi="David"/>
          <w:b/>
          <w:bCs/>
          <w:rtl/>
        </w:rPr>
        <w:t>ב</w:t>
      </w:r>
      <w:hyperlink r:id="rId25" w:history="1">
        <w:r w:rsidR="00A678ED" w:rsidRPr="00A678ED">
          <w:rPr>
            <w:rFonts w:ascii="David" w:hAnsi="David"/>
            <w:b/>
            <w:bCs/>
            <w:color w:val="0000FF"/>
            <w:u w:val="single"/>
            <w:rtl/>
          </w:rPr>
          <w:t>ע"פ 4585/22</w:t>
        </w:r>
      </w:hyperlink>
      <w:r>
        <w:rPr>
          <w:rFonts w:ascii="David" w:hAnsi="David"/>
          <w:b/>
          <w:bCs/>
          <w:rtl/>
        </w:rPr>
        <w:t xml:space="preserve"> מדינת ישראל נ' ספואן אבואל ערדאת</w:t>
      </w:r>
      <w:r>
        <w:rPr>
          <w:rFonts w:ascii="David" w:hAnsi="David"/>
          <w:rtl/>
        </w:rPr>
        <w:t xml:space="preserve"> (25.7.2022): </w:t>
      </w:r>
    </w:p>
    <w:p w14:paraId="0136540D" w14:textId="77777777" w:rsidR="003649F5" w:rsidRDefault="003649F5" w:rsidP="003649F5">
      <w:pPr>
        <w:spacing w:line="360" w:lineRule="auto"/>
        <w:ind w:left="720"/>
        <w:jc w:val="both"/>
        <w:rPr>
          <w:rFonts w:ascii="David" w:hAnsi="David"/>
          <w:rtl/>
        </w:rPr>
      </w:pPr>
    </w:p>
    <w:p w14:paraId="1C432614" w14:textId="77777777" w:rsidR="003649F5" w:rsidRDefault="003649F5" w:rsidP="003649F5">
      <w:pPr>
        <w:spacing w:line="360" w:lineRule="auto"/>
        <w:ind w:left="1643" w:right="1560"/>
        <w:jc w:val="both"/>
        <w:rPr>
          <w:rFonts w:ascii="David" w:hAnsi="David"/>
          <w:b/>
          <w:bCs/>
          <w:rtl/>
        </w:rPr>
      </w:pPr>
      <w:r>
        <w:rPr>
          <w:rFonts w:ascii="David" w:hAnsi="David"/>
          <w:b/>
          <w:bCs/>
          <w:rtl/>
        </w:rPr>
        <w:t>"חומרה רבה נודעת לעבירות התפרעויות המונים, אשר מסכנות באופן ישיר וממשי חיי אדם, בריאותו וגופו, ואף עלולות להביא לפגיעות ברכוש וקניין. אי לזאת, בית משפט זה עמד לא אחת על הצורך לנקוט במדיניות ענישה מרתיעה אשר תרסן ותמנע השתתפות בהתפרעויות אלימות הסוחפות את ההמון ומסבות נזק רב..."</w:t>
      </w:r>
      <w:r>
        <w:rPr>
          <w:rFonts w:ascii="David" w:hAnsi="David"/>
          <w:rtl/>
        </w:rPr>
        <w:t xml:space="preserve"> ובהמשך: </w:t>
      </w:r>
      <w:r>
        <w:rPr>
          <w:rFonts w:ascii="David" w:hAnsi="David"/>
          <w:b/>
          <w:bCs/>
          <w:rtl/>
        </w:rPr>
        <w:t>"מסכת האירועים המתוארת בכתב האישום המתוקן מצדיקה אפוא ענישה מרתיעה. בעיצומם של ימי מבצע "שומר החומות", שעה שהארץ בערה מבפנים ומחוץ, הן מתקיפות רקטות, והן מהפרות סדר והתפרעויות אלימות ברחבי הארץ, המשיבים ביצעו עבירות חמורות עם המון משולהב..."</w:t>
      </w:r>
      <w:r>
        <w:rPr>
          <w:rFonts w:ascii="David" w:hAnsi="David" w:hint="cs"/>
          <w:b/>
          <w:bCs/>
          <w:rtl/>
        </w:rPr>
        <w:t>.</w:t>
      </w:r>
    </w:p>
    <w:p w14:paraId="57189F50" w14:textId="77777777" w:rsidR="003649F5" w:rsidRDefault="003649F5" w:rsidP="003649F5">
      <w:pPr>
        <w:spacing w:line="360" w:lineRule="auto"/>
        <w:ind w:left="1643" w:right="1560"/>
        <w:jc w:val="both"/>
        <w:rPr>
          <w:rFonts w:ascii="David" w:hAnsi="David"/>
          <w:b/>
          <w:bCs/>
          <w:rtl/>
        </w:rPr>
      </w:pPr>
    </w:p>
    <w:p w14:paraId="66A4A16E" w14:textId="77777777" w:rsidR="003649F5" w:rsidRDefault="003649F5" w:rsidP="003649F5">
      <w:pPr>
        <w:spacing w:line="360" w:lineRule="auto"/>
        <w:ind w:left="720" w:hanging="720"/>
        <w:jc w:val="both"/>
        <w:rPr>
          <w:rFonts w:ascii="David" w:hAnsi="David"/>
          <w:rtl/>
        </w:rPr>
      </w:pPr>
      <w:r>
        <w:rPr>
          <w:rFonts w:ascii="David" w:hAnsi="David"/>
          <w:rtl/>
        </w:rPr>
        <w:t>15.</w:t>
      </w:r>
      <w:r>
        <w:rPr>
          <w:rFonts w:ascii="David" w:hAnsi="David"/>
          <w:rtl/>
        </w:rPr>
        <w:tab/>
        <w:t xml:space="preserve">בזיקה לאמור לעיל, אדרש למדגם של הפסיקה הנוהגת בעבירה בה הורשע הנאשם, תוך שאציין כי בעבירה של מעשה פזיזות באש ניתן למצוא מנעד של עונשים אשר מושפעים מנסיבותיו של המקרה הקונקרטי, ומפרמטרים שונים ובכללם, הרקע לביצוע העבירה, הזמן (יום/לילה, שגרה/מלחמה) והמקום (דרך ראשית/צדדית, מקום ציבורי/פרטי) שבו בוצעה העבירה, היוזמה לביצוע העבירה והתכנון שקדם לה, ביצוע העבירה ביחד עם אחרים, הנזק שנגרם בפועל ופוטנציאל הנזק, וקיומן של עבירות נוספות.  </w:t>
      </w:r>
    </w:p>
    <w:p w14:paraId="54D1E78E" w14:textId="77777777" w:rsidR="003649F5" w:rsidRDefault="003649F5" w:rsidP="003649F5">
      <w:pPr>
        <w:spacing w:line="360" w:lineRule="auto"/>
        <w:ind w:left="720" w:hanging="720"/>
        <w:jc w:val="both"/>
        <w:rPr>
          <w:rFonts w:ascii="David" w:hAnsi="David"/>
          <w:rtl/>
        </w:rPr>
      </w:pPr>
    </w:p>
    <w:p w14:paraId="13AD1053" w14:textId="77777777" w:rsidR="003649F5" w:rsidRDefault="003649F5" w:rsidP="003649F5">
      <w:pPr>
        <w:spacing w:line="360" w:lineRule="auto"/>
        <w:ind w:left="720"/>
        <w:jc w:val="both"/>
        <w:rPr>
          <w:rFonts w:ascii="David" w:hAnsi="David"/>
          <w:rtl/>
        </w:rPr>
      </w:pPr>
      <w:r>
        <w:rPr>
          <w:rFonts w:ascii="David" w:hAnsi="David"/>
          <w:rtl/>
        </w:rPr>
        <w:t>בענייננו, ובהתאם לפרמטרים לעיל, יש לבצע את ההבחנה הנדרשת לקולא ולחומרא:</w:t>
      </w:r>
    </w:p>
    <w:p w14:paraId="7157FC8B" w14:textId="77777777" w:rsidR="003649F5" w:rsidRDefault="003649F5" w:rsidP="003649F5">
      <w:pPr>
        <w:spacing w:line="360" w:lineRule="auto"/>
        <w:ind w:left="720"/>
        <w:jc w:val="both"/>
        <w:rPr>
          <w:rFonts w:ascii="David" w:hAnsi="David"/>
          <w:rtl/>
        </w:rPr>
      </w:pPr>
    </w:p>
    <w:p w14:paraId="578049C5" w14:textId="77777777" w:rsidR="003649F5" w:rsidRDefault="003649F5" w:rsidP="003649F5">
      <w:pPr>
        <w:spacing w:line="360" w:lineRule="auto"/>
        <w:ind w:left="1440" w:hanging="720"/>
        <w:jc w:val="both"/>
        <w:rPr>
          <w:rFonts w:ascii="David" w:hAnsi="David"/>
          <w:rtl/>
        </w:rPr>
      </w:pPr>
      <w:r>
        <w:rPr>
          <w:rFonts w:ascii="David" w:hAnsi="David"/>
          <w:rtl/>
        </w:rPr>
        <w:t xml:space="preserve">א. </w:t>
      </w:r>
      <w:r>
        <w:rPr>
          <w:rFonts w:ascii="David" w:hAnsi="David"/>
          <w:rtl/>
        </w:rPr>
        <w:tab/>
      </w:r>
      <w:r>
        <w:rPr>
          <w:rFonts w:ascii="David" w:hAnsi="David"/>
          <w:b/>
          <w:bCs/>
          <w:rtl/>
        </w:rPr>
        <w:t>ב</w:t>
      </w:r>
      <w:hyperlink r:id="rId26" w:history="1">
        <w:r w:rsidR="00A678ED" w:rsidRPr="00A678ED">
          <w:rPr>
            <w:rFonts w:ascii="David" w:hAnsi="David"/>
            <w:b/>
            <w:bCs/>
            <w:color w:val="0000FF"/>
            <w:u w:val="single"/>
            <w:rtl/>
          </w:rPr>
          <w:t>ע"פ 6499/23</w:t>
        </w:r>
      </w:hyperlink>
      <w:r>
        <w:rPr>
          <w:rFonts w:ascii="David" w:hAnsi="David"/>
          <w:b/>
          <w:bCs/>
          <w:rtl/>
        </w:rPr>
        <w:t xml:space="preserve">, </w:t>
      </w:r>
      <w:hyperlink r:id="rId27" w:history="1">
        <w:r w:rsidR="00A678ED" w:rsidRPr="00A678ED">
          <w:rPr>
            <w:rFonts w:ascii="David" w:hAnsi="David"/>
            <w:b/>
            <w:bCs/>
            <w:color w:val="0000FF"/>
            <w:u w:val="single"/>
            <w:rtl/>
          </w:rPr>
          <w:t>ע"פ 6588/23</w:t>
        </w:r>
      </w:hyperlink>
      <w:r>
        <w:rPr>
          <w:rFonts w:ascii="David" w:hAnsi="David"/>
          <w:b/>
          <w:bCs/>
          <w:rtl/>
        </w:rPr>
        <w:t xml:space="preserve"> ואל מסלחא ואח' נ' מדינת ישראל</w:t>
      </w:r>
      <w:r>
        <w:rPr>
          <w:rFonts w:ascii="David" w:hAnsi="David"/>
          <w:rtl/>
        </w:rPr>
        <w:t xml:space="preserve"> (4.7.2024) התקבל ערעורם של הנאשמים על חומרת עונשם. הנאשמים הורשעו על יסוד הודאתם בעבירות של התפרעות לפי </w:t>
      </w:r>
      <w:hyperlink r:id="rId28" w:history="1">
        <w:r w:rsidR="00E23180" w:rsidRPr="00E23180">
          <w:rPr>
            <w:rStyle w:val="Hyperlink"/>
            <w:rFonts w:ascii="David" w:hAnsi="David"/>
            <w:color w:val="0000FF"/>
            <w:rtl/>
          </w:rPr>
          <w:t>סעיף 152</w:t>
        </w:r>
      </w:hyperlink>
      <w:r>
        <w:rPr>
          <w:rFonts w:ascii="David" w:hAnsi="David"/>
          <w:rtl/>
        </w:rPr>
        <w:t xml:space="preserve"> ל</w:t>
      </w:r>
      <w:hyperlink r:id="rId29" w:history="1">
        <w:r w:rsidR="00A678ED" w:rsidRPr="00A678ED">
          <w:rPr>
            <w:rFonts w:ascii="David" w:hAnsi="David"/>
            <w:color w:val="0000FF"/>
            <w:u w:val="single"/>
            <w:rtl/>
          </w:rPr>
          <w:t>חוק העונשין</w:t>
        </w:r>
      </w:hyperlink>
      <w:r>
        <w:rPr>
          <w:rFonts w:ascii="David" w:hAnsi="David"/>
          <w:rtl/>
        </w:rPr>
        <w:t xml:space="preserve">, הפרעה לשוטר לפי </w:t>
      </w:r>
      <w:hyperlink r:id="rId30" w:history="1">
        <w:r w:rsidR="00E23180" w:rsidRPr="00E23180">
          <w:rPr>
            <w:rStyle w:val="Hyperlink"/>
            <w:rFonts w:ascii="David" w:hAnsi="David"/>
            <w:color w:val="0000FF"/>
            <w:rtl/>
          </w:rPr>
          <w:t>סעיף 275א</w:t>
        </w:r>
      </w:hyperlink>
      <w:r>
        <w:rPr>
          <w:rFonts w:ascii="David" w:hAnsi="David"/>
          <w:rtl/>
        </w:rPr>
        <w:t xml:space="preserve"> לחוק, ומעשה פזיזות ורשלנות לפי </w:t>
      </w:r>
      <w:hyperlink r:id="rId31" w:history="1">
        <w:r w:rsidR="00E23180" w:rsidRPr="00E23180">
          <w:rPr>
            <w:rStyle w:val="Hyperlink"/>
            <w:rFonts w:ascii="David" w:hAnsi="David"/>
            <w:color w:val="0000FF"/>
            <w:rtl/>
          </w:rPr>
          <w:t>סעיף 338(א)(3)</w:t>
        </w:r>
      </w:hyperlink>
      <w:r>
        <w:rPr>
          <w:rFonts w:ascii="David" w:hAnsi="David"/>
          <w:rtl/>
        </w:rPr>
        <w:t xml:space="preserve"> לחוק. בתגובה לנטיעת עצים שבוצעו במקומות שונים בנגב על ידי הקרן הקיימת לישראל השתתפו הנאשמים בהפרות סדר שכללו התפרעות, יידוי אבנים והבערת צמיגים. ב</w:t>
      </w:r>
      <w:hyperlink r:id="rId32" w:history="1">
        <w:r w:rsidR="00A678ED" w:rsidRPr="00A678ED">
          <w:rPr>
            <w:rFonts w:ascii="David" w:hAnsi="David"/>
            <w:color w:val="0000FF"/>
            <w:u w:val="single"/>
            <w:rtl/>
          </w:rPr>
          <w:t>ת"פ (ב"ש) 33270-05-22</w:t>
        </w:r>
      </w:hyperlink>
      <w:r>
        <w:rPr>
          <w:rFonts w:ascii="David" w:hAnsi="David"/>
          <w:rtl/>
        </w:rPr>
        <w:t xml:space="preserve"> </w:t>
      </w:r>
      <w:r>
        <w:rPr>
          <w:rFonts w:ascii="David" w:hAnsi="David"/>
          <w:u w:val="single"/>
          <w:rtl/>
        </w:rPr>
        <w:t xml:space="preserve">נקבע מתחם עונש הולם הנע בין 15 לבין 33 חודשי מאסר בפועל </w:t>
      </w:r>
      <w:r>
        <w:rPr>
          <w:rFonts w:ascii="David" w:hAnsi="David"/>
          <w:rtl/>
        </w:rPr>
        <w:t xml:space="preserve"> והוטלו על הנאשמים 17 ו-19 חודשי מאסר בפועל לצד עונשים נלווים. בית המשפט העליון הקל בעונשם של הנאשמים בשל גילם הצעיר, העדר עבר פלילי ואפשרות לתהליך שיקום. על הנאשמים הוטלו 12 חודשי מאסר בפועל לצד עונשים נלווים הכוללים מאסרים מותנים וקנס בסך 5,000 ₪. </w:t>
      </w:r>
    </w:p>
    <w:p w14:paraId="6F9AEC58" w14:textId="77777777" w:rsidR="003649F5" w:rsidRDefault="003649F5" w:rsidP="003649F5">
      <w:pPr>
        <w:spacing w:line="360" w:lineRule="auto"/>
        <w:ind w:left="1440" w:hanging="720"/>
        <w:jc w:val="both"/>
        <w:rPr>
          <w:rFonts w:ascii="David" w:hAnsi="David"/>
        </w:rPr>
      </w:pPr>
    </w:p>
    <w:p w14:paraId="2569EDBF" w14:textId="77777777" w:rsidR="003649F5" w:rsidRDefault="003649F5" w:rsidP="003649F5">
      <w:pPr>
        <w:spacing w:line="360" w:lineRule="auto"/>
        <w:ind w:left="1440" w:hanging="720"/>
        <w:jc w:val="both"/>
        <w:rPr>
          <w:rFonts w:ascii="David" w:hAnsi="David"/>
          <w:rtl/>
        </w:rPr>
      </w:pPr>
      <w:r>
        <w:rPr>
          <w:rFonts w:ascii="David" w:hAnsi="David"/>
          <w:rtl/>
        </w:rPr>
        <w:t>ב.</w:t>
      </w:r>
      <w:r>
        <w:rPr>
          <w:rFonts w:ascii="David" w:hAnsi="David"/>
          <w:rtl/>
        </w:rPr>
        <w:tab/>
      </w:r>
      <w:r>
        <w:rPr>
          <w:rFonts w:ascii="David" w:hAnsi="David"/>
          <w:b/>
          <w:bCs/>
          <w:rtl/>
        </w:rPr>
        <w:t>ב</w:t>
      </w:r>
      <w:hyperlink r:id="rId33" w:history="1">
        <w:r w:rsidR="00A678ED" w:rsidRPr="00A678ED">
          <w:rPr>
            <w:rFonts w:ascii="David" w:hAnsi="David"/>
            <w:b/>
            <w:bCs/>
            <w:color w:val="0000FF"/>
            <w:u w:val="single"/>
            <w:rtl/>
          </w:rPr>
          <w:t>ע"פ 6106/23</w:t>
        </w:r>
      </w:hyperlink>
      <w:r>
        <w:rPr>
          <w:rFonts w:ascii="David" w:hAnsi="David"/>
          <w:b/>
          <w:bCs/>
          <w:rtl/>
        </w:rPr>
        <w:t xml:space="preserve"> שחדה עמרני נ' מדינת ישראל </w:t>
      </w:r>
      <w:r>
        <w:rPr>
          <w:rFonts w:ascii="David" w:hAnsi="David"/>
          <w:rtl/>
        </w:rPr>
        <w:t xml:space="preserve">(15.5.2024), נדחה ערעורו של נאשם על חומרת עונשו. הנאשם הורשע לאחר שמיעת ראיות בעבירות של התפרעות לפי </w:t>
      </w:r>
      <w:hyperlink r:id="rId34" w:history="1">
        <w:r w:rsidR="00E23180" w:rsidRPr="00E23180">
          <w:rPr>
            <w:rStyle w:val="Hyperlink"/>
            <w:rFonts w:ascii="David" w:hAnsi="David"/>
            <w:color w:val="0000FF"/>
            <w:rtl/>
          </w:rPr>
          <w:t>סעיף 152</w:t>
        </w:r>
      </w:hyperlink>
      <w:r>
        <w:rPr>
          <w:rFonts w:ascii="David" w:hAnsi="David"/>
          <w:rtl/>
        </w:rPr>
        <w:t xml:space="preserve"> ל</w:t>
      </w:r>
      <w:hyperlink r:id="rId35" w:history="1">
        <w:r w:rsidR="00A678ED" w:rsidRPr="00A678ED">
          <w:rPr>
            <w:rFonts w:ascii="David" w:hAnsi="David"/>
            <w:color w:val="0000FF"/>
            <w:u w:val="single"/>
            <w:rtl/>
          </w:rPr>
          <w:t>חוק העונשין</w:t>
        </w:r>
      </w:hyperlink>
      <w:r>
        <w:rPr>
          <w:rFonts w:ascii="David" w:hAnsi="David"/>
          <w:rtl/>
        </w:rPr>
        <w:t xml:space="preserve">, מעשי פזיזות ורשלנות לפי </w:t>
      </w:r>
      <w:hyperlink r:id="rId36" w:history="1">
        <w:r w:rsidR="00E23180" w:rsidRPr="00E23180">
          <w:rPr>
            <w:rStyle w:val="Hyperlink"/>
            <w:rFonts w:ascii="David" w:hAnsi="David"/>
            <w:color w:val="0000FF"/>
            <w:rtl/>
          </w:rPr>
          <w:t>סעיף 338(א)(3)</w:t>
        </w:r>
      </w:hyperlink>
      <w:r>
        <w:rPr>
          <w:rFonts w:ascii="David" w:hAnsi="David"/>
          <w:rtl/>
        </w:rPr>
        <w:t xml:space="preserve"> לחוק, יידוי של אבן או חפץ לעבר כלי תחבורה לפי </w:t>
      </w:r>
      <w:hyperlink r:id="rId37" w:history="1">
        <w:r w:rsidR="00E23180" w:rsidRPr="00E23180">
          <w:rPr>
            <w:rStyle w:val="Hyperlink"/>
            <w:rFonts w:ascii="David" w:hAnsi="David"/>
            <w:color w:val="0000FF"/>
            <w:rtl/>
          </w:rPr>
          <w:t>סעיף 332א(א)</w:t>
        </w:r>
      </w:hyperlink>
      <w:r>
        <w:rPr>
          <w:rFonts w:ascii="David" w:hAnsi="David"/>
          <w:rtl/>
        </w:rPr>
        <w:t xml:space="preserve"> לחוק, הפרעה לשוטר במילוי תפקידו לפי </w:t>
      </w:r>
      <w:hyperlink r:id="rId38" w:history="1">
        <w:r w:rsidR="00E23180" w:rsidRPr="00E23180">
          <w:rPr>
            <w:rStyle w:val="Hyperlink"/>
            <w:rFonts w:ascii="David" w:hAnsi="David"/>
            <w:color w:val="0000FF"/>
            <w:rtl/>
          </w:rPr>
          <w:t>סעיף 275</w:t>
        </w:r>
      </w:hyperlink>
      <w:r>
        <w:rPr>
          <w:rFonts w:ascii="David" w:hAnsi="David"/>
          <w:rtl/>
        </w:rPr>
        <w:t xml:space="preserve"> לחוק וחבלה במזיד לפי </w:t>
      </w:r>
      <w:hyperlink r:id="rId39" w:history="1">
        <w:r w:rsidR="00E23180" w:rsidRPr="00E23180">
          <w:rPr>
            <w:rStyle w:val="Hyperlink"/>
            <w:rFonts w:ascii="David" w:hAnsi="David"/>
            <w:color w:val="0000FF"/>
            <w:rtl/>
          </w:rPr>
          <w:t>סעיף 413ה</w:t>
        </w:r>
      </w:hyperlink>
      <w:r>
        <w:rPr>
          <w:rFonts w:ascii="David" w:hAnsi="David"/>
          <w:rtl/>
        </w:rPr>
        <w:t xml:space="preserve"> לחוק. במהלך מבצע "שומר חומות" יידה הנאשם אבנים לעבר ניידת משטרה עת היה רעול פנים. לאחר מכן ניסה להימלט מהמקום והתנהל אחריו מרדף במהלכו יידה אבן נוספת לעבר הניידת. כתוצאה ממעשיו של הנאשם נגרמו לניידת נזקי פח. ב</w:t>
      </w:r>
      <w:hyperlink r:id="rId40" w:history="1">
        <w:r w:rsidR="00A678ED" w:rsidRPr="00A678ED">
          <w:rPr>
            <w:rFonts w:ascii="David" w:hAnsi="David"/>
            <w:color w:val="0000FF"/>
            <w:u w:val="single"/>
            <w:rtl/>
          </w:rPr>
          <w:t>ת"פ (ב"ש) 30623-05-21</w:t>
        </w:r>
      </w:hyperlink>
      <w:r>
        <w:rPr>
          <w:rFonts w:ascii="David" w:hAnsi="David"/>
          <w:rtl/>
        </w:rPr>
        <w:t xml:space="preserve"> </w:t>
      </w:r>
      <w:r>
        <w:rPr>
          <w:rFonts w:ascii="David" w:hAnsi="David"/>
          <w:u w:val="single"/>
          <w:rtl/>
        </w:rPr>
        <w:t>נקבע מתחם ענישה הולם הנע בין 27 חודשי מאסר בפועל לבין 50 חודשי מאסר בפועל.</w:t>
      </w:r>
      <w:r>
        <w:rPr>
          <w:rFonts w:ascii="David" w:hAnsi="David"/>
          <w:rtl/>
        </w:rPr>
        <w:t xml:space="preserve"> על הנאשם, צעיר נעדר עבר פלילי, הוטלו 38 חודשי מאסר בפועל, מאסרים מותנים וקנס בסך 8,500 ₪.  </w:t>
      </w:r>
    </w:p>
    <w:p w14:paraId="6BD282F0" w14:textId="77777777" w:rsidR="003649F5" w:rsidRDefault="003649F5" w:rsidP="003649F5">
      <w:pPr>
        <w:spacing w:line="360" w:lineRule="auto"/>
        <w:ind w:left="1440" w:hanging="720"/>
        <w:jc w:val="both"/>
        <w:rPr>
          <w:rFonts w:ascii="David" w:hAnsi="David"/>
          <w:rtl/>
        </w:rPr>
      </w:pPr>
    </w:p>
    <w:p w14:paraId="05F62721" w14:textId="77777777" w:rsidR="003649F5" w:rsidRDefault="003649F5" w:rsidP="003649F5">
      <w:pPr>
        <w:spacing w:line="360" w:lineRule="auto"/>
        <w:ind w:left="1440" w:hanging="720"/>
        <w:jc w:val="both"/>
        <w:rPr>
          <w:rFonts w:ascii="David" w:hAnsi="David"/>
          <w:rtl/>
        </w:rPr>
      </w:pPr>
      <w:r>
        <w:rPr>
          <w:rFonts w:ascii="David" w:hAnsi="David"/>
          <w:rtl/>
        </w:rPr>
        <w:t xml:space="preserve">ג. </w:t>
      </w:r>
      <w:r>
        <w:rPr>
          <w:rFonts w:ascii="David" w:hAnsi="David"/>
          <w:rtl/>
        </w:rPr>
        <w:tab/>
      </w:r>
      <w:r>
        <w:rPr>
          <w:rFonts w:ascii="David" w:hAnsi="David"/>
          <w:b/>
          <w:bCs/>
          <w:rtl/>
        </w:rPr>
        <w:t>ב</w:t>
      </w:r>
      <w:hyperlink r:id="rId41" w:history="1">
        <w:r w:rsidR="00A678ED" w:rsidRPr="00A678ED">
          <w:rPr>
            <w:rFonts w:ascii="David" w:hAnsi="David"/>
            <w:b/>
            <w:bCs/>
            <w:color w:val="0000FF"/>
            <w:u w:val="single"/>
            <w:rtl/>
          </w:rPr>
          <w:t>ע"פ 4585/22</w:t>
        </w:r>
      </w:hyperlink>
      <w:r>
        <w:rPr>
          <w:rFonts w:ascii="David" w:hAnsi="David"/>
          <w:b/>
          <w:bCs/>
          <w:rtl/>
        </w:rPr>
        <w:t>, 4679/22 ו</w:t>
      </w:r>
      <w:hyperlink r:id="rId42" w:history="1">
        <w:r w:rsidR="00A678ED" w:rsidRPr="00A678ED">
          <w:rPr>
            <w:rFonts w:ascii="David" w:hAnsi="David"/>
            <w:b/>
            <w:bCs/>
            <w:color w:val="0000FF"/>
            <w:u w:val="single"/>
            <w:rtl/>
          </w:rPr>
          <w:t>ע"פ 4704/22</w:t>
        </w:r>
      </w:hyperlink>
      <w:r>
        <w:rPr>
          <w:rFonts w:ascii="David" w:hAnsi="David"/>
          <w:b/>
          <w:bCs/>
          <w:rtl/>
        </w:rPr>
        <w:t xml:space="preserve">, מדינת ישראל נ' ספואן ערדאת ואח' </w:t>
      </w:r>
      <w:r>
        <w:rPr>
          <w:rFonts w:ascii="David" w:hAnsi="David"/>
          <w:rtl/>
        </w:rPr>
        <w:t xml:space="preserve">(25.7.2022), נדחה ערעורם של הנאשמים על חומרת עונשם והתקבל ערעור המדינה על קולת העונש. הנאשמים הורשעו על יסוד הודאתם בעבירה של התפרעות לפי סעיפים </w:t>
      </w:r>
      <w:hyperlink r:id="rId43" w:history="1">
        <w:r w:rsidR="00E23180" w:rsidRPr="00E23180">
          <w:rPr>
            <w:rStyle w:val="Hyperlink"/>
            <w:rFonts w:ascii="David" w:hAnsi="David"/>
            <w:color w:val="0000FF"/>
            <w:rtl/>
          </w:rPr>
          <w:t>152 ו-29</w:t>
        </w:r>
      </w:hyperlink>
      <w:r>
        <w:rPr>
          <w:rFonts w:ascii="David" w:hAnsi="David"/>
          <w:rtl/>
        </w:rPr>
        <w:t xml:space="preserve"> ל</w:t>
      </w:r>
      <w:hyperlink r:id="rId44" w:history="1">
        <w:r w:rsidR="00A678ED" w:rsidRPr="00A678ED">
          <w:rPr>
            <w:rFonts w:ascii="David" w:hAnsi="David"/>
            <w:color w:val="0000FF"/>
            <w:u w:val="single"/>
            <w:rtl/>
          </w:rPr>
          <w:t>חוק העונשין</w:t>
        </w:r>
      </w:hyperlink>
      <w:r>
        <w:rPr>
          <w:rFonts w:ascii="David" w:hAnsi="David"/>
          <w:rtl/>
        </w:rPr>
        <w:t xml:space="preserve"> – באישום הראשון, בסיוע לשוד בנסיבות מחמירות לפי </w:t>
      </w:r>
      <w:hyperlink r:id="rId45" w:history="1">
        <w:r w:rsidR="00E23180" w:rsidRPr="00E23180">
          <w:rPr>
            <w:rStyle w:val="Hyperlink"/>
            <w:rFonts w:ascii="David" w:hAnsi="David"/>
            <w:color w:val="0000FF"/>
            <w:rtl/>
          </w:rPr>
          <w:t>סעיפים 402(ב)</w:t>
        </w:r>
      </w:hyperlink>
      <w:r>
        <w:rPr>
          <w:rFonts w:ascii="David" w:hAnsi="David"/>
          <w:rtl/>
        </w:rPr>
        <w:t xml:space="preserve"> ו-</w:t>
      </w:r>
      <w:hyperlink r:id="rId46" w:history="1">
        <w:r w:rsidR="00E23180" w:rsidRPr="00E23180">
          <w:rPr>
            <w:rStyle w:val="Hyperlink"/>
            <w:rFonts w:ascii="David" w:hAnsi="David"/>
            <w:color w:val="0000FF"/>
            <w:rtl/>
          </w:rPr>
          <w:t>31</w:t>
        </w:r>
      </w:hyperlink>
      <w:r>
        <w:rPr>
          <w:rFonts w:ascii="David" w:hAnsi="David"/>
          <w:rtl/>
        </w:rPr>
        <w:t xml:space="preserve"> לחוק ובעבירת פזיזות באש בחומר לקיח לפי סעיפים </w:t>
      </w:r>
      <w:hyperlink r:id="rId47" w:history="1">
        <w:r w:rsidR="00E23180" w:rsidRPr="00E23180">
          <w:rPr>
            <w:rStyle w:val="Hyperlink"/>
            <w:rFonts w:ascii="David" w:hAnsi="David"/>
            <w:color w:val="0000FF"/>
            <w:rtl/>
          </w:rPr>
          <w:t>338(א)(3)</w:t>
        </w:r>
      </w:hyperlink>
      <w:r>
        <w:rPr>
          <w:rFonts w:ascii="David" w:hAnsi="David"/>
          <w:rtl/>
        </w:rPr>
        <w:t xml:space="preserve"> ו-</w:t>
      </w:r>
      <w:hyperlink r:id="rId48" w:history="1">
        <w:r w:rsidR="00E23180" w:rsidRPr="00E23180">
          <w:rPr>
            <w:rStyle w:val="Hyperlink"/>
            <w:rFonts w:ascii="David" w:hAnsi="David"/>
            <w:color w:val="0000FF"/>
            <w:rtl/>
          </w:rPr>
          <w:t>29</w:t>
        </w:r>
      </w:hyperlink>
      <w:r>
        <w:rPr>
          <w:rFonts w:ascii="David" w:hAnsi="David"/>
          <w:rtl/>
        </w:rPr>
        <w:t xml:space="preserve"> לחוק – באישום השני. במהלך מבצע "שומר חומות" לקחו הנאשמים חלק בהפרות סדר בעיר חיפה, במהלכן כיוונו בלוק זיקוקים דולק לעבר רכב שחלף בכביש, קראו קריאות גזעניות, תקפו אזרח אותו זיהו כיהודי, ושדדו את הקטנוע עליו נהג. </w:t>
      </w:r>
    </w:p>
    <w:p w14:paraId="4F47CCDE" w14:textId="77777777" w:rsidR="003649F5" w:rsidRDefault="003649F5" w:rsidP="003649F5">
      <w:pPr>
        <w:spacing w:line="360" w:lineRule="auto"/>
        <w:ind w:left="1440"/>
        <w:jc w:val="both"/>
        <w:rPr>
          <w:rFonts w:ascii="David" w:hAnsi="David"/>
          <w:rtl/>
        </w:rPr>
      </w:pPr>
      <w:r>
        <w:rPr>
          <w:rFonts w:ascii="David" w:hAnsi="David"/>
          <w:rtl/>
        </w:rPr>
        <w:t>ב</w:t>
      </w:r>
      <w:hyperlink r:id="rId49" w:history="1">
        <w:r w:rsidR="00A678ED" w:rsidRPr="00A678ED">
          <w:rPr>
            <w:rFonts w:ascii="David" w:hAnsi="David"/>
            <w:color w:val="0000FF"/>
            <w:u w:val="single"/>
            <w:rtl/>
          </w:rPr>
          <w:t>ת"פ (חי') 35822-08-21</w:t>
        </w:r>
      </w:hyperlink>
      <w:r>
        <w:rPr>
          <w:rFonts w:ascii="David" w:hAnsi="David"/>
          <w:rtl/>
        </w:rPr>
        <w:t xml:space="preserve">, נקבע </w:t>
      </w:r>
      <w:r>
        <w:rPr>
          <w:rFonts w:ascii="David" w:hAnsi="David"/>
          <w:u w:val="single"/>
          <w:rtl/>
        </w:rPr>
        <w:t>מתחם עונש הולם לעבירה באישום הראשון הנע בין מאסר על תנאי ל-12 חודשי מאסר בפועל ולעבירות באישום השני בין 9 לבין 30 חודשי מאסר בפועל</w:t>
      </w:r>
      <w:r>
        <w:rPr>
          <w:rFonts w:ascii="David" w:hAnsi="David"/>
          <w:rtl/>
        </w:rPr>
        <w:t xml:space="preserve">. בגין האישום הראשון נגזר על הנאשמים 1 ו-2, 8 חודשי מאסר בפועל, ובגין האישום השני נגזר על הנאשמים 1 ו-2, 20 חודשי מאסר בפועל. </w:t>
      </w:r>
    </w:p>
    <w:p w14:paraId="108B3D1D" w14:textId="77777777" w:rsidR="003649F5" w:rsidRDefault="003649F5" w:rsidP="003649F5">
      <w:pPr>
        <w:spacing w:line="360" w:lineRule="auto"/>
        <w:ind w:left="1440" w:hanging="720"/>
        <w:jc w:val="both"/>
        <w:rPr>
          <w:rFonts w:ascii="David" w:hAnsi="David"/>
          <w:rtl/>
        </w:rPr>
      </w:pPr>
      <w:r>
        <w:rPr>
          <w:rFonts w:ascii="David" w:hAnsi="David"/>
          <w:rtl/>
        </w:rPr>
        <w:t xml:space="preserve"> </w:t>
      </w:r>
      <w:r>
        <w:rPr>
          <w:rFonts w:ascii="David" w:hAnsi="David"/>
          <w:rtl/>
        </w:rPr>
        <w:tab/>
        <w:t xml:space="preserve">בית המשפט העליון מצא להחמיר בעונשם של הנאשמים 1 ו-2, בעלי עבר פלילי, והטיל על כל אחד מהנאשמים 32 חודשי מאסר בפועל. </w:t>
      </w:r>
    </w:p>
    <w:p w14:paraId="48B43A8E" w14:textId="77777777" w:rsidR="003649F5" w:rsidRDefault="003649F5" w:rsidP="003649F5">
      <w:pPr>
        <w:spacing w:line="360" w:lineRule="auto"/>
        <w:ind w:left="1440" w:hanging="720"/>
        <w:jc w:val="both"/>
        <w:rPr>
          <w:rFonts w:ascii="David" w:hAnsi="David"/>
          <w:rtl/>
        </w:rPr>
      </w:pPr>
    </w:p>
    <w:p w14:paraId="45373C31" w14:textId="77777777" w:rsidR="003649F5" w:rsidRDefault="003649F5" w:rsidP="003649F5">
      <w:pPr>
        <w:spacing w:line="360" w:lineRule="auto"/>
        <w:ind w:left="1440" w:hanging="720"/>
        <w:jc w:val="both"/>
        <w:rPr>
          <w:rFonts w:ascii="David" w:hAnsi="David"/>
          <w:rtl/>
        </w:rPr>
      </w:pPr>
      <w:r>
        <w:rPr>
          <w:rFonts w:ascii="David" w:hAnsi="David"/>
          <w:rtl/>
        </w:rPr>
        <w:t>ד.</w:t>
      </w:r>
      <w:r>
        <w:rPr>
          <w:rFonts w:ascii="David" w:hAnsi="David"/>
          <w:rtl/>
        </w:rPr>
        <w:tab/>
        <w:t>ב</w:t>
      </w:r>
      <w:hyperlink r:id="rId50" w:history="1">
        <w:r w:rsidR="00A678ED" w:rsidRPr="00A678ED">
          <w:rPr>
            <w:rFonts w:ascii="David" w:hAnsi="David"/>
            <w:b/>
            <w:bCs/>
            <w:color w:val="0000FF"/>
            <w:u w:val="single"/>
            <w:rtl/>
          </w:rPr>
          <w:t>ת"פ (שלום ב"ש) 48129-01-22</w:t>
        </w:r>
      </w:hyperlink>
      <w:r>
        <w:rPr>
          <w:rFonts w:ascii="David" w:hAnsi="David"/>
          <w:b/>
          <w:bCs/>
          <w:rtl/>
        </w:rPr>
        <w:t xml:space="preserve"> מדינת ישראל נ' אלהואשלה (עציר) </w:t>
      </w:r>
      <w:r>
        <w:rPr>
          <w:rFonts w:ascii="David" w:hAnsi="David"/>
          <w:rtl/>
        </w:rPr>
        <w:t xml:space="preserve">(16.6.2022), הורשע נאשם על יסוד הודאתו בעבירה של מעשה פזיזות ורשלנות לפי </w:t>
      </w:r>
      <w:hyperlink r:id="rId51" w:history="1">
        <w:r w:rsidR="00E23180" w:rsidRPr="00E23180">
          <w:rPr>
            <w:rStyle w:val="Hyperlink"/>
            <w:rFonts w:ascii="David" w:hAnsi="David"/>
            <w:color w:val="0000FF"/>
            <w:rtl/>
          </w:rPr>
          <w:t>סעיף 338(א)(3).</w:t>
        </w:r>
      </w:hyperlink>
      <w:r>
        <w:rPr>
          <w:rFonts w:ascii="David" w:hAnsi="David"/>
          <w:rtl/>
        </w:rPr>
        <w:t xml:space="preserve"> על רקע פעילות משטרתית באזור ותחושת הנאשם כי המשטרה והמדינה פועלות להצר אפשרות שלו ושל משפחות נוספות לבנות בתים, הניח הנאשם צמיגים על נתיב הנסיעה בכביש 25 לכיוון מזרח, הצית את הצמיגים ונמלט מהמקום. </w:t>
      </w:r>
      <w:r>
        <w:rPr>
          <w:rFonts w:ascii="David" w:hAnsi="David"/>
          <w:u w:val="single"/>
          <w:rtl/>
        </w:rPr>
        <w:t>נקבע מתחם ענישה הולם הנע בין 6 חודשי מאסר שיכול וירוצו בעבודות שירות ועד 15 חודשי מאסר וענישה נלווית</w:t>
      </w:r>
      <w:r>
        <w:rPr>
          <w:rFonts w:ascii="David" w:hAnsi="David"/>
          <w:rtl/>
        </w:rPr>
        <w:t xml:space="preserve">. על הנאשם, צעיר (בן 18 במועד ביצוע העבירה) בעל עבר פלילי מבימ"ש לנוער, הוטלו 7 חודשי מאסר בפועל ומאסר מותנה. </w:t>
      </w:r>
    </w:p>
    <w:p w14:paraId="730CFF23" w14:textId="77777777" w:rsidR="003649F5" w:rsidRDefault="003649F5" w:rsidP="003649F5">
      <w:pPr>
        <w:spacing w:line="360" w:lineRule="auto"/>
        <w:ind w:left="1440" w:hanging="720"/>
        <w:jc w:val="both"/>
        <w:rPr>
          <w:rFonts w:ascii="David" w:hAnsi="David"/>
          <w:rtl/>
        </w:rPr>
      </w:pPr>
    </w:p>
    <w:p w14:paraId="54A4CBAA" w14:textId="77777777" w:rsidR="003649F5" w:rsidRDefault="003649F5" w:rsidP="003649F5">
      <w:pPr>
        <w:spacing w:line="360" w:lineRule="auto"/>
        <w:ind w:left="1440" w:hanging="720"/>
        <w:jc w:val="both"/>
        <w:rPr>
          <w:rFonts w:ascii="David" w:hAnsi="David"/>
          <w:rtl/>
        </w:rPr>
      </w:pPr>
    </w:p>
    <w:p w14:paraId="51260C9A" w14:textId="77777777" w:rsidR="003649F5" w:rsidRDefault="003649F5" w:rsidP="003649F5">
      <w:pPr>
        <w:spacing w:line="360" w:lineRule="auto"/>
        <w:ind w:left="1440" w:hanging="720"/>
        <w:jc w:val="both"/>
        <w:rPr>
          <w:rFonts w:ascii="David" w:hAnsi="David"/>
          <w:rtl/>
        </w:rPr>
      </w:pPr>
    </w:p>
    <w:p w14:paraId="3BBE539A" w14:textId="77777777" w:rsidR="003649F5" w:rsidRDefault="003649F5" w:rsidP="003649F5">
      <w:pPr>
        <w:spacing w:line="360" w:lineRule="auto"/>
        <w:ind w:left="1440" w:hanging="720"/>
        <w:jc w:val="both"/>
        <w:rPr>
          <w:rFonts w:ascii="David" w:hAnsi="David"/>
          <w:rtl/>
        </w:rPr>
      </w:pPr>
    </w:p>
    <w:p w14:paraId="0F9A04C1" w14:textId="77777777" w:rsidR="003649F5" w:rsidRDefault="003649F5" w:rsidP="003649F5">
      <w:pPr>
        <w:spacing w:line="360" w:lineRule="auto"/>
        <w:ind w:left="720" w:hanging="720"/>
        <w:jc w:val="both"/>
        <w:rPr>
          <w:rFonts w:ascii="David" w:hAnsi="David"/>
          <w:rtl/>
        </w:rPr>
      </w:pPr>
      <w:r>
        <w:rPr>
          <w:rFonts w:ascii="David" w:hAnsi="David"/>
          <w:rtl/>
        </w:rPr>
        <w:t>16.</w:t>
      </w:r>
      <w:r>
        <w:rPr>
          <w:rFonts w:ascii="David" w:hAnsi="David"/>
          <w:rtl/>
        </w:rPr>
        <w:tab/>
        <w:t>עיינתי בגזר הדין שב</w:t>
      </w:r>
      <w:hyperlink r:id="rId52" w:history="1">
        <w:r w:rsidR="00A678ED" w:rsidRPr="00A678ED">
          <w:rPr>
            <w:rFonts w:ascii="David" w:hAnsi="David"/>
            <w:color w:val="0000FF"/>
            <w:u w:val="single"/>
            <w:rtl/>
          </w:rPr>
          <w:t>ת"פ (שלום ב"ש) 41504-05-21</w:t>
        </w:r>
      </w:hyperlink>
      <w:r>
        <w:rPr>
          <w:rFonts w:ascii="David" w:hAnsi="David"/>
          <w:rtl/>
        </w:rPr>
        <w:t xml:space="preserve"> אליו הפנה הסניגור ואשר לטענתו מלמד על גישה מפלה של המאשימה על רקע לאום, אך מצאתי כי אין בו כדי לסייע  שכן מדובר בעבירות שונות מהעבירה בה הורשע הנאשם בענייננו. יתרה מכך, גם אם טעתה המאשימה בעתירתה לעונש בגזר הדין אליו הפנה הסניגור, הרי ש"טעות" זו אינה מחייבת אותי. </w:t>
      </w:r>
    </w:p>
    <w:p w14:paraId="22B5105F" w14:textId="77777777" w:rsidR="003649F5" w:rsidRDefault="003649F5" w:rsidP="003649F5">
      <w:pPr>
        <w:spacing w:line="360" w:lineRule="auto"/>
        <w:ind w:left="720" w:hanging="720"/>
        <w:jc w:val="both"/>
        <w:rPr>
          <w:rFonts w:ascii="David" w:hAnsi="David"/>
          <w:rtl/>
        </w:rPr>
      </w:pPr>
    </w:p>
    <w:p w14:paraId="1741BF17" w14:textId="77777777" w:rsidR="003649F5" w:rsidRDefault="003649F5" w:rsidP="003649F5">
      <w:pPr>
        <w:spacing w:line="360" w:lineRule="auto"/>
        <w:ind w:left="720" w:hanging="720"/>
        <w:jc w:val="both"/>
        <w:rPr>
          <w:rFonts w:ascii="David" w:hAnsi="David"/>
          <w:b/>
          <w:bCs/>
          <w:rtl/>
        </w:rPr>
      </w:pPr>
      <w:r>
        <w:rPr>
          <w:rFonts w:ascii="David" w:hAnsi="David"/>
          <w:b/>
          <w:bCs/>
          <w:rtl/>
        </w:rPr>
        <w:t>נסיבות ביצוע העבירה:</w:t>
      </w:r>
    </w:p>
    <w:p w14:paraId="504CA022" w14:textId="77777777" w:rsidR="003649F5" w:rsidRDefault="003649F5" w:rsidP="003649F5">
      <w:pPr>
        <w:spacing w:line="360" w:lineRule="auto"/>
        <w:ind w:left="720" w:hanging="720"/>
        <w:jc w:val="both"/>
        <w:rPr>
          <w:rFonts w:ascii="David" w:hAnsi="David"/>
          <w:b/>
          <w:bCs/>
          <w:rtl/>
        </w:rPr>
      </w:pPr>
    </w:p>
    <w:p w14:paraId="26A81CD5" w14:textId="77777777" w:rsidR="003649F5" w:rsidRDefault="003649F5" w:rsidP="003649F5">
      <w:pPr>
        <w:spacing w:line="360" w:lineRule="auto"/>
        <w:ind w:left="720" w:hanging="720"/>
        <w:jc w:val="both"/>
        <w:rPr>
          <w:rFonts w:ascii="David" w:hAnsi="David"/>
          <w:rtl/>
        </w:rPr>
      </w:pPr>
      <w:r>
        <w:rPr>
          <w:rFonts w:ascii="David" w:hAnsi="David"/>
          <w:rtl/>
        </w:rPr>
        <w:t>17.</w:t>
      </w:r>
      <w:r>
        <w:rPr>
          <w:rFonts w:ascii="David" w:hAnsi="David"/>
          <w:rtl/>
        </w:rPr>
        <w:tab/>
        <w:t>חומרת נסיבות מעשה העבירה בה הורשע הנאשם נלמדת בראש ובראשונה מהעיתוי בו בוצעה - במהלך מבצע "שומר חומות".</w:t>
      </w:r>
    </w:p>
    <w:p w14:paraId="1A66E11C" w14:textId="77777777" w:rsidR="003649F5" w:rsidRDefault="003649F5" w:rsidP="003649F5">
      <w:pPr>
        <w:spacing w:line="360" w:lineRule="auto"/>
        <w:ind w:left="720" w:hanging="720"/>
        <w:jc w:val="both"/>
        <w:rPr>
          <w:rFonts w:ascii="David" w:hAnsi="David"/>
          <w:rtl/>
        </w:rPr>
      </w:pPr>
    </w:p>
    <w:p w14:paraId="77D6BED1" w14:textId="77777777" w:rsidR="003649F5" w:rsidRDefault="003649F5" w:rsidP="003649F5">
      <w:pPr>
        <w:spacing w:line="360" w:lineRule="auto"/>
        <w:ind w:left="720" w:hanging="720"/>
        <w:jc w:val="both"/>
        <w:rPr>
          <w:rFonts w:ascii="David" w:hAnsi="David"/>
          <w:rtl/>
        </w:rPr>
      </w:pPr>
      <w:r>
        <w:rPr>
          <w:rFonts w:ascii="David" w:hAnsi="David"/>
          <w:rtl/>
        </w:rPr>
        <w:tab/>
        <w:t xml:space="preserve">ראה לעניין זה דברי ביהמ"ש העליון </w:t>
      </w:r>
      <w:r>
        <w:rPr>
          <w:rFonts w:ascii="David" w:hAnsi="David"/>
          <w:b/>
          <w:bCs/>
          <w:rtl/>
        </w:rPr>
        <w:t>ב</w:t>
      </w:r>
      <w:hyperlink r:id="rId53" w:history="1">
        <w:r w:rsidR="00A678ED" w:rsidRPr="00A678ED">
          <w:rPr>
            <w:rFonts w:ascii="David" w:hAnsi="David"/>
            <w:b/>
            <w:bCs/>
            <w:color w:val="0000FF"/>
            <w:u w:val="single"/>
            <w:rtl/>
          </w:rPr>
          <w:t>ע"פ 901/22</w:t>
        </w:r>
      </w:hyperlink>
      <w:r>
        <w:rPr>
          <w:rFonts w:ascii="David" w:hAnsi="David"/>
          <w:b/>
          <w:bCs/>
          <w:rtl/>
        </w:rPr>
        <w:t xml:space="preserve"> מדינת ישראל נ' מוחמד אסווד (24.2.2022)</w:t>
      </w:r>
      <w:r>
        <w:rPr>
          <w:rFonts w:ascii="David" w:hAnsi="David"/>
          <w:rtl/>
        </w:rPr>
        <w:t xml:space="preserve"> (להלן: </w:t>
      </w:r>
      <w:r>
        <w:rPr>
          <w:rFonts w:ascii="David" w:hAnsi="David"/>
          <w:b/>
          <w:bCs/>
          <w:rtl/>
        </w:rPr>
        <w:t>"פסק דין אסווד")</w:t>
      </w:r>
      <w:r>
        <w:rPr>
          <w:rFonts w:ascii="David" w:hAnsi="David"/>
          <w:rtl/>
        </w:rPr>
        <w:t>:</w:t>
      </w:r>
    </w:p>
    <w:p w14:paraId="04635B5B" w14:textId="77777777" w:rsidR="003649F5" w:rsidRDefault="003649F5" w:rsidP="003649F5">
      <w:pPr>
        <w:spacing w:line="360" w:lineRule="auto"/>
        <w:ind w:left="720" w:hanging="720"/>
        <w:jc w:val="both"/>
        <w:rPr>
          <w:rFonts w:ascii="David" w:hAnsi="David"/>
          <w:b/>
          <w:bCs/>
          <w:rtl/>
        </w:rPr>
      </w:pPr>
    </w:p>
    <w:p w14:paraId="72B4563F" w14:textId="77777777" w:rsidR="003649F5" w:rsidRDefault="003649F5" w:rsidP="003649F5">
      <w:pPr>
        <w:spacing w:line="360" w:lineRule="auto"/>
        <w:ind w:left="1502" w:right="1560" w:hanging="720"/>
        <w:jc w:val="both"/>
        <w:rPr>
          <w:rFonts w:ascii="David" w:hAnsi="David"/>
          <w:b/>
          <w:bCs/>
          <w:rtl/>
        </w:rPr>
      </w:pPr>
      <w:r>
        <w:rPr>
          <w:rFonts w:ascii="David" w:hAnsi="David"/>
          <w:b/>
          <w:bCs/>
          <w:rtl/>
        </w:rPr>
        <w:tab/>
        <w:t>"יש מקום ליתן משקל מתאים גם לפרק הזמן שבו נעברו העבירות, במהלכו היתה האוכלוסייה האזרחית נתונה למתקפה של אלפי רקטות, כפי שמתואר בכתב האישום המתוקן, ובמקביל התעורר גל של הפרות סדר והתפרעויות אלימות...".</w:t>
      </w:r>
    </w:p>
    <w:p w14:paraId="0B5DA4D4" w14:textId="77777777" w:rsidR="003649F5" w:rsidRDefault="003649F5" w:rsidP="003649F5">
      <w:pPr>
        <w:spacing w:line="360" w:lineRule="auto"/>
        <w:ind w:left="1502" w:right="1560" w:hanging="720"/>
        <w:jc w:val="both"/>
        <w:rPr>
          <w:rFonts w:ascii="David" w:hAnsi="David"/>
          <w:b/>
          <w:bCs/>
          <w:rtl/>
        </w:rPr>
      </w:pPr>
    </w:p>
    <w:p w14:paraId="228908E6" w14:textId="77777777" w:rsidR="003649F5" w:rsidRDefault="003649F5" w:rsidP="003649F5">
      <w:pPr>
        <w:spacing w:line="360" w:lineRule="auto"/>
        <w:ind w:left="793" w:hanging="11"/>
        <w:jc w:val="both"/>
        <w:rPr>
          <w:rFonts w:ascii="David" w:hAnsi="David"/>
          <w:rtl/>
        </w:rPr>
      </w:pPr>
      <w:r>
        <w:rPr>
          <w:rFonts w:ascii="David" w:hAnsi="David"/>
          <w:rtl/>
        </w:rPr>
        <w:t xml:space="preserve">בהקשר לאמור אוסיף כי דווקא בעתות מלחמה וחירום עת המדינה נלחמת באויביה מחוץ, מצופה מאזרחיה ומתושביה שלא להפנות לה עורף, ובוודאי שלא לנקוט  במעשים פליליים ומסכנים ובאופן שמפצל את כוחותיה וחלילה מחלישה. </w:t>
      </w:r>
    </w:p>
    <w:p w14:paraId="7E2715A6" w14:textId="77777777" w:rsidR="003649F5" w:rsidRDefault="003649F5" w:rsidP="003649F5">
      <w:pPr>
        <w:spacing w:line="360" w:lineRule="auto"/>
        <w:ind w:left="793" w:hanging="11"/>
        <w:jc w:val="both"/>
        <w:rPr>
          <w:rFonts w:ascii="David" w:hAnsi="David"/>
          <w:rtl/>
        </w:rPr>
      </w:pPr>
    </w:p>
    <w:p w14:paraId="3C76870D" w14:textId="77777777" w:rsidR="003649F5" w:rsidRDefault="003649F5" w:rsidP="003649F5">
      <w:pPr>
        <w:spacing w:line="360" w:lineRule="auto"/>
        <w:ind w:left="720" w:hanging="720"/>
        <w:jc w:val="both"/>
        <w:rPr>
          <w:rFonts w:ascii="David" w:hAnsi="David"/>
          <w:rtl/>
        </w:rPr>
      </w:pPr>
      <w:r>
        <w:rPr>
          <w:rFonts w:ascii="David" w:hAnsi="David"/>
          <w:rtl/>
        </w:rPr>
        <w:t>18.</w:t>
      </w:r>
      <w:r>
        <w:rPr>
          <w:rFonts w:ascii="David" w:hAnsi="David"/>
          <w:rtl/>
        </w:rPr>
        <w:tab/>
        <w:t xml:space="preserve">זאת ועוד, הנאשם לקח חלק במהומות ובהפרות הסדר אשר התרחשו בלילה שבין 10.05.21-11.05.21 והעבירה בה הורשע בוצעה כחלק אינטגרלי מאירועי אותו לילה. </w:t>
      </w:r>
    </w:p>
    <w:p w14:paraId="2A27E068" w14:textId="77777777" w:rsidR="003649F5" w:rsidRDefault="003649F5" w:rsidP="003649F5">
      <w:pPr>
        <w:spacing w:line="360" w:lineRule="auto"/>
        <w:ind w:left="720" w:hanging="720"/>
        <w:jc w:val="both"/>
        <w:rPr>
          <w:rFonts w:ascii="David" w:hAnsi="David"/>
          <w:rtl/>
        </w:rPr>
      </w:pPr>
      <w:r>
        <w:rPr>
          <w:rFonts w:ascii="David" w:hAnsi="David"/>
          <w:rtl/>
        </w:rPr>
        <w:tab/>
        <w:t xml:space="preserve">אכן צודק ב"כ הנאשם כי כתב האישום מייחס מעשים ועבירות חמורים הרבה יותר לנאשמים האחרים בתיק, אך ניסיונו לנתק את נסיבות ביצוע העבירה בה הורשע הנאשם  מהמהומות שהתרחשו באותו לילה חוטא לאמת. יודגש כי הנאשם לא ביצע את העבירה בה הורשע "בחלל ריק", אלא לאחר שהגיע יחד עם אחרים לאזור המהומות והפרות הסדר, חבר לרבים אחרים ובצוותא חדא, חסמו את הכביש באמצעות צמיגים שהונחו על הכביש ובהמשך הובערו. הנאשם לא רק שולהב על ידי אותו המון פורע, אלא עשה מעשה אקטיבי ופסול תוך שהוא הזדהה עם אותם פורעים והפך לחלק מהם. </w:t>
      </w:r>
    </w:p>
    <w:p w14:paraId="56D8B1B9" w14:textId="77777777" w:rsidR="003649F5" w:rsidRDefault="003649F5" w:rsidP="003649F5">
      <w:pPr>
        <w:spacing w:line="360" w:lineRule="auto"/>
        <w:ind w:left="720" w:hanging="720"/>
        <w:jc w:val="both"/>
        <w:rPr>
          <w:rFonts w:ascii="David" w:hAnsi="David"/>
          <w:rtl/>
        </w:rPr>
      </w:pPr>
    </w:p>
    <w:p w14:paraId="5226EC09" w14:textId="77777777" w:rsidR="003649F5" w:rsidRDefault="003649F5" w:rsidP="003649F5">
      <w:pPr>
        <w:spacing w:line="360" w:lineRule="auto"/>
        <w:ind w:left="720" w:hanging="720"/>
        <w:jc w:val="both"/>
        <w:rPr>
          <w:rFonts w:ascii="David" w:hAnsi="David"/>
          <w:rtl/>
        </w:rPr>
      </w:pPr>
    </w:p>
    <w:p w14:paraId="3A39E957" w14:textId="77777777" w:rsidR="003649F5" w:rsidRDefault="003649F5" w:rsidP="003649F5">
      <w:pPr>
        <w:spacing w:line="360" w:lineRule="auto"/>
        <w:ind w:left="720" w:hanging="720"/>
        <w:jc w:val="both"/>
        <w:rPr>
          <w:rFonts w:ascii="David" w:hAnsi="David"/>
          <w:rtl/>
        </w:rPr>
      </w:pPr>
      <w:r>
        <w:rPr>
          <w:rFonts w:ascii="David" w:hAnsi="David"/>
          <w:rtl/>
        </w:rPr>
        <w:tab/>
        <w:t xml:space="preserve">ולעניין זה ראה דברי בית המשפט </w:t>
      </w:r>
      <w:r>
        <w:rPr>
          <w:rFonts w:ascii="David" w:hAnsi="David"/>
          <w:b/>
          <w:bCs/>
          <w:rtl/>
        </w:rPr>
        <w:t>בפסק דין אסווד</w:t>
      </w:r>
      <w:r>
        <w:rPr>
          <w:rFonts w:ascii="David" w:hAnsi="David"/>
          <w:rtl/>
        </w:rPr>
        <w:t xml:space="preserve"> לעיל:</w:t>
      </w:r>
    </w:p>
    <w:p w14:paraId="5AB980CD" w14:textId="77777777" w:rsidR="003649F5" w:rsidRDefault="003649F5" w:rsidP="003649F5">
      <w:pPr>
        <w:spacing w:line="360" w:lineRule="auto"/>
        <w:ind w:left="1502" w:right="1560"/>
        <w:jc w:val="both"/>
        <w:rPr>
          <w:rFonts w:ascii="David" w:hAnsi="David"/>
          <w:b/>
          <w:bCs/>
          <w:rtl/>
        </w:rPr>
      </w:pPr>
    </w:p>
    <w:p w14:paraId="198F1C48" w14:textId="77777777" w:rsidR="003649F5" w:rsidRDefault="003649F5" w:rsidP="003649F5">
      <w:pPr>
        <w:spacing w:line="360" w:lineRule="auto"/>
        <w:ind w:left="1502" w:right="1985"/>
        <w:jc w:val="both"/>
        <w:rPr>
          <w:rFonts w:ascii="David" w:hAnsi="David"/>
          <w:b/>
          <w:bCs/>
          <w:rtl/>
        </w:rPr>
      </w:pPr>
      <w:r>
        <w:rPr>
          <w:rFonts w:ascii="David" w:hAnsi="David"/>
          <w:b/>
          <w:bCs/>
          <w:rtl/>
        </w:rPr>
        <w:t>"במצבים אלה, אחריותו של המשיב אינה נקבעת אך על פי תרומתו הישירה לאירוע, אלא מתוך ראיה רחבה יותר של מטרתו המשותפת של ההמון שהוא היה חלק ממנו...".</w:t>
      </w:r>
    </w:p>
    <w:p w14:paraId="223CA789" w14:textId="77777777" w:rsidR="003649F5" w:rsidRDefault="003649F5" w:rsidP="003649F5">
      <w:pPr>
        <w:spacing w:line="360" w:lineRule="auto"/>
        <w:ind w:left="720" w:right="1985" w:hanging="720"/>
        <w:jc w:val="both"/>
        <w:rPr>
          <w:rFonts w:ascii="David" w:hAnsi="David"/>
          <w:b/>
          <w:bCs/>
          <w:rtl/>
        </w:rPr>
      </w:pPr>
    </w:p>
    <w:p w14:paraId="0BF40126" w14:textId="77777777" w:rsidR="003649F5" w:rsidRDefault="003649F5" w:rsidP="003649F5">
      <w:pPr>
        <w:spacing w:line="360" w:lineRule="auto"/>
        <w:ind w:left="720" w:hanging="720"/>
        <w:jc w:val="both"/>
        <w:rPr>
          <w:rFonts w:ascii="David" w:hAnsi="David"/>
          <w:rtl/>
        </w:rPr>
      </w:pPr>
      <w:r>
        <w:rPr>
          <w:rFonts w:ascii="David" w:hAnsi="David"/>
          <w:rtl/>
        </w:rPr>
        <w:t>19.</w:t>
      </w:r>
      <w:r>
        <w:rPr>
          <w:rFonts w:ascii="David" w:hAnsi="David"/>
          <w:b/>
          <w:bCs/>
          <w:rtl/>
        </w:rPr>
        <w:tab/>
      </w:r>
      <w:r>
        <w:rPr>
          <w:rFonts w:ascii="David" w:hAnsi="David"/>
          <w:rtl/>
        </w:rPr>
        <w:t xml:space="preserve">אמנם הנאשם בענייננו לא הורשע בביצוע של עבירה על רקע גזעני (כדוגמת </w:t>
      </w:r>
      <w:hyperlink r:id="rId54" w:history="1">
        <w:r w:rsidR="00E23180" w:rsidRPr="00E23180">
          <w:rPr>
            <w:rStyle w:val="Hyperlink"/>
            <w:rFonts w:ascii="David" w:hAnsi="David"/>
            <w:color w:val="0000FF"/>
            <w:rtl/>
          </w:rPr>
          <w:t>סעיף 144ו</w:t>
        </w:r>
      </w:hyperlink>
      <w:r>
        <w:rPr>
          <w:rFonts w:ascii="David" w:hAnsi="David"/>
          <w:rtl/>
        </w:rPr>
        <w:t xml:space="preserve"> ל</w:t>
      </w:r>
      <w:hyperlink r:id="rId55" w:history="1">
        <w:r w:rsidR="00A678ED" w:rsidRPr="00A678ED">
          <w:rPr>
            <w:rFonts w:ascii="David" w:hAnsi="David"/>
            <w:color w:val="0000FF"/>
            <w:u w:val="single"/>
            <w:rtl/>
          </w:rPr>
          <w:t>חוק העונשין</w:t>
        </w:r>
      </w:hyperlink>
      <w:r>
        <w:rPr>
          <w:rFonts w:ascii="David" w:hAnsi="David"/>
          <w:rtl/>
        </w:rPr>
        <w:t xml:space="preserve">), אך ברי כי הפרות הסדר שהתרחשו באותה עת כמתואר בחלק הכללי לכתב האישום, ובכלל זה המהומות אליהן הצטרף הנאשם, היו בעלי סממנים לאומניים ואנטי יהודיים. </w:t>
      </w:r>
    </w:p>
    <w:p w14:paraId="2ADCC222" w14:textId="77777777" w:rsidR="003649F5" w:rsidRDefault="003649F5" w:rsidP="003649F5">
      <w:pPr>
        <w:spacing w:line="360" w:lineRule="auto"/>
        <w:ind w:left="720" w:hanging="720"/>
        <w:jc w:val="both"/>
        <w:rPr>
          <w:rFonts w:ascii="David" w:hAnsi="David"/>
          <w:rtl/>
        </w:rPr>
      </w:pPr>
    </w:p>
    <w:p w14:paraId="72105616" w14:textId="77777777" w:rsidR="003649F5" w:rsidRDefault="003649F5" w:rsidP="003649F5">
      <w:pPr>
        <w:spacing w:line="360" w:lineRule="auto"/>
        <w:ind w:left="720" w:hanging="720"/>
        <w:jc w:val="both"/>
        <w:rPr>
          <w:rFonts w:ascii="David" w:hAnsi="David"/>
          <w:rtl/>
        </w:rPr>
      </w:pPr>
      <w:r>
        <w:rPr>
          <w:rFonts w:ascii="David" w:hAnsi="David"/>
          <w:rtl/>
        </w:rPr>
        <w:t xml:space="preserve">20. </w:t>
      </w:r>
      <w:r>
        <w:rPr>
          <w:rFonts w:ascii="David" w:hAnsi="David"/>
          <w:rtl/>
        </w:rPr>
        <w:tab/>
        <w:t>חומרת נסיבות ביצוע העבירה בענייננו נלמדת גם משעת ביצועה (לילה) וממקום ביצועה (כביש 6) ובאופן שהעצימו את פוטנציאל הסכנה לפגיעה במשתמשי הדרך. כמפורט בכתב האישום, כתוצאה מחסימת הכביש מספר משאיות שנסעו על הכביש נאלצו לעצור ורק במזל לא נגרם נזק לגוף ולרכוש.  ברי כי האירוע יכול היה להסתיים בצורה קטלנית.</w:t>
      </w:r>
    </w:p>
    <w:p w14:paraId="77C36B9F" w14:textId="77777777" w:rsidR="003649F5" w:rsidRDefault="003649F5" w:rsidP="003649F5">
      <w:pPr>
        <w:spacing w:line="360" w:lineRule="auto"/>
        <w:ind w:left="720" w:hanging="720"/>
        <w:jc w:val="both"/>
        <w:rPr>
          <w:rFonts w:ascii="David" w:hAnsi="David"/>
          <w:rtl/>
        </w:rPr>
      </w:pPr>
      <w:r>
        <w:rPr>
          <w:rFonts w:ascii="David" w:hAnsi="David"/>
          <w:rtl/>
        </w:rPr>
        <w:tab/>
        <w:t xml:space="preserve">בהקשר לאמור,  ניתן לשער אודות תחושת האימה והפחד שאחזה במשתמשי הדרך שנקלעו למקום, ודומה כי גם בחלוף השנים תושבי הערים המעורבות בכלל, ותושבי הנגב בפרט, נושאים בלבם את צלקות פרעות " שומר חומות". </w:t>
      </w:r>
    </w:p>
    <w:p w14:paraId="1F04A6AE" w14:textId="77777777" w:rsidR="003649F5" w:rsidRDefault="003649F5" w:rsidP="003649F5">
      <w:pPr>
        <w:spacing w:line="360" w:lineRule="auto"/>
        <w:ind w:left="720" w:hanging="720"/>
        <w:jc w:val="both"/>
        <w:rPr>
          <w:rFonts w:ascii="David" w:hAnsi="David"/>
          <w:rtl/>
        </w:rPr>
      </w:pPr>
    </w:p>
    <w:p w14:paraId="107B14B1" w14:textId="77777777" w:rsidR="003649F5" w:rsidRDefault="003649F5" w:rsidP="003649F5">
      <w:pPr>
        <w:spacing w:line="360" w:lineRule="auto"/>
        <w:ind w:left="720" w:hanging="720"/>
        <w:jc w:val="both"/>
        <w:rPr>
          <w:rFonts w:ascii="David" w:hAnsi="David"/>
          <w:b/>
          <w:bCs/>
          <w:rtl/>
        </w:rPr>
      </w:pPr>
      <w:r>
        <w:rPr>
          <w:rFonts w:ascii="David" w:hAnsi="David"/>
          <w:rtl/>
        </w:rPr>
        <w:t>21.</w:t>
      </w:r>
      <w:r>
        <w:rPr>
          <w:rFonts w:ascii="David" w:hAnsi="David"/>
          <w:rtl/>
        </w:rPr>
        <w:tab/>
      </w:r>
      <w:r>
        <w:rPr>
          <w:rFonts w:ascii="David" w:hAnsi="David"/>
          <w:b/>
          <w:bCs/>
          <w:rtl/>
        </w:rPr>
        <w:t xml:space="preserve">מכל המקובץ לעיל, ולאחר שעיינתי בפסיקה אליה הפנו ב"כ הצדדים, הנני קובע כי מתחם העונש ההולם בגין העבירה בה הורשע הנאשם 6 ובנסיבותיה, נע בין 12 ל- 24 חודשי מאסר בפועל לצד מאסר מותנה וקנס. </w:t>
      </w:r>
    </w:p>
    <w:p w14:paraId="5CD5759C" w14:textId="77777777" w:rsidR="003649F5" w:rsidRDefault="003649F5" w:rsidP="003649F5">
      <w:pPr>
        <w:spacing w:line="360" w:lineRule="auto"/>
        <w:ind w:left="720" w:hanging="720"/>
        <w:jc w:val="both"/>
        <w:rPr>
          <w:rFonts w:ascii="David" w:hAnsi="David"/>
          <w:b/>
          <w:bCs/>
          <w:rtl/>
        </w:rPr>
      </w:pPr>
    </w:p>
    <w:p w14:paraId="040DBB11" w14:textId="77777777" w:rsidR="003649F5" w:rsidRDefault="003649F5" w:rsidP="003649F5">
      <w:pPr>
        <w:spacing w:line="360" w:lineRule="auto"/>
        <w:ind w:left="720" w:hanging="720"/>
        <w:jc w:val="both"/>
        <w:rPr>
          <w:rFonts w:ascii="David" w:hAnsi="David"/>
          <w:rtl/>
        </w:rPr>
      </w:pPr>
      <w:r>
        <w:rPr>
          <w:rFonts w:ascii="David" w:hAnsi="David"/>
          <w:rtl/>
        </w:rPr>
        <w:tab/>
        <w:t>לעניין מתחם הקנס ההולם, ההגנה לא הציגה ראיות אודות מצבו הכלכלי של הנאשם, אך מתסקירי שירות המבחן ומהמתואר שם עולה כי הנאשם תומך כלכלית במשפחתו. הנאשם צעיר ועתיד להינשא וניתן להסיק כי הפרוטה אינה מצויה בכיסו. על כן, מצאתי לקבוע כי מתחם הקנס ההולם בענייננו נע בין 3,000 ל- 6,000 ₪.</w:t>
      </w:r>
    </w:p>
    <w:p w14:paraId="1DCE230A" w14:textId="77777777" w:rsidR="003649F5" w:rsidRDefault="003649F5" w:rsidP="003649F5">
      <w:pPr>
        <w:spacing w:line="360" w:lineRule="auto"/>
        <w:ind w:left="720" w:hanging="720"/>
        <w:jc w:val="both"/>
        <w:rPr>
          <w:rFonts w:ascii="David" w:hAnsi="David"/>
          <w:rtl/>
        </w:rPr>
      </w:pPr>
    </w:p>
    <w:p w14:paraId="08230264" w14:textId="77777777" w:rsidR="003649F5" w:rsidRDefault="003649F5" w:rsidP="003649F5">
      <w:pPr>
        <w:spacing w:line="360" w:lineRule="auto"/>
        <w:ind w:left="720" w:hanging="720"/>
        <w:jc w:val="both"/>
        <w:rPr>
          <w:rFonts w:ascii="David" w:hAnsi="David"/>
          <w:rtl/>
        </w:rPr>
      </w:pPr>
    </w:p>
    <w:p w14:paraId="421F5BF1" w14:textId="77777777" w:rsidR="003649F5" w:rsidRDefault="003649F5" w:rsidP="003649F5">
      <w:pPr>
        <w:spacing w:line="360" w:lineRule="auto"/>
        <w:ind w:left="720" w:hanging="720"/>
        <w:jc w:val="both"/>
        <w:rPr>
          <w:rFonts w:ascii="David" w:hAnsi="David"/>
          <w:rtl/>
        </w:rPr>
      </w:pPr>
    </w:p>
    <w:p w14:paraId="48170D6F" w14:textId="77777777" w:rsidR="003649F5" w:rsidRDefault="003649F5" w:rsidP="003649F5">
      <w:pPr>
        <w:spacing w:line="360" w:lineRule="auto"/>
        <w:ind w:left="720" w:hanging="720"/>
        <w:jc w:val="both"/>
        <w:rPr>
          <w:rFonts w:ascii="David" w:hAnsi="David"/>
          <w:rtl/>
        </w:rPr>
      </w:pPr>
    </w:p>
    <w:p w14:paraId="376B2FD8" w14:textId="77777777" w:rsidR="003649F5" w:rsidRDefault="003649F5" w:rsidP="003649F5">
      <w:pPr>
        <w:spacing w:line="360" w:lineRule="auto"/>
        <w:ind w:left="720" w:hanging="720"/>
        <w:jc w:val="both"/>
        <w:rPr>
          <w:rFonts w:ascii="David" w:hAnsi="David"/>
          <w:b/>
          <w:bCs/>
          <w:rtl/>
        </w:rPr>
      </w:pPr>
      <w:r>
        <w:rPr>
          <w:rFonts w:ascii="David" w:hAnsi="David"/>
          <w:b/>
          <w:bCs/>
          <w:rtl/>
        </w:rPr>
        <w:t>נסיבות שאינן קשורות בביצוע העבירה:</w:t>
      </w:r>
    </w:p>
    <w:p w14:paraId="2617471D" w14:textId="77777777" w:rsidR="003649F5" w:rsidRDefault="003649F5" w:rsidP="003649F5">
      <w:pPr>
        <w:spacing w:line="360" w:lineRule="auto"/>
        <w:ind w:left="720" w:hanging="720"/>
        <w:jc w:val="both"/>
        <w:rPr>
          <w:rFonts w:ascii="David" w:hAnsi="David"/>
          <w:b/>
          <w:bCs/>
          <w:rtl/>
        </w:rPr>
      </w:pPr>
    </w:p>
    <w:p w14:paraId="660FEE9C" w14:textId="77777777" w:rsidR="003649F5" w:rsidRDefault="003649F5" w:rsidP="003649F5">
      <w:pPr>
        <w:spacing w:line="360" w:lineRule="auto"/>
        <w:ind w:left="720" w:hanging="720"/>
        <w:jc w:val="both"/>
        <w:rPr>
          <w:rFonts w:ascii="David" w:hAnsi="David"/>
          <w:rtl/>
        </w:rPr>
      </w:pPr>
      <w:r>
        <w:rPr>
          <w:rFonts w:ascii="David" w:hAnsi="David"/>
          <w:rtl/>
        </w:rPr>
        <w:t>22.</w:t>
      </w:r>
      <w:r>
        <w:rPr>
          <w:rFonts w:ascii="David" w:hAnsi="David"/>
          <w:rtl/>
        </w:rPr>
        <w:tab/>
        <w:t>הענישה הנה אינדיבידואלית, ולקולת העונש נתתי דעתי לגילו הצעיר של הנאשם (יליד 1998), להודאתו, לחסכון בזמן השיפוטי ולדברי החרטה שהשמיע בבית המשפט.</w:t>
      </w:r>
    </w:p>
    <w:p w14:paraId="0C41D707" w14:textId="77777777" w:rsidR="003649F5" w:rsidRDefault="003649F5" w:rsidP="003649F5">
      <w:pPr>
        <w:spacing w:line="360" w:lineRule="auto"/>
        <w:ind w:left="720"/>
        <w:jc w:val="both"/>
        <w:rPr>
          <w:rFonts w:ascii="David" w:hAnsi="David"/>
          <w:rtl/>
        </w:rPr>
      </w:pPr>
      <w:r>
        <w:rPr>
          <w:rFonts w:ascii="David" w:hAnsi="David"/>
          <w:rtl/>
        </w:rPr>
        <w:t xml:space="preserve">הנאשם נעדר עבר פלילי, זוהי לו ההסתבכות הראשונה בפלילים, ומאז ביצוע העבירה שבענייננו ובחלוף השנים, לא הסתבך שוב בפלילים. מתסקירי שירות המבחן עולה כי הנאשם תומך כלכלית במשפחתו, ולדברי בא כוחו עתיד להינשא בימים הקרובים. </w:t>
      </w:r>
    </w:p>
    <w:p w14:paraId="54E2E0CA" w14:textId="77777777" w:rsidR="003649F5" w:rsidRDefault="003649F5" w:rsidP="003649F5">
      <w:pPr>
        <w:spacing w:line="360" w:lineRule="auto"/>
        <w:ind w:left="720"/>
        <w:jc w:val="both"/>
        <w:rPr>
          <w:rFonts w:ascii="David" w:hAnsi="David"/>
          <w:rtl/>
        </w:rPr>
      </w:pPr>
    </w:p>
    <w:p w14:paraId="1ED67688" w14:textId="77777777" w:rsidR="003649F5" w:rsidRDefault="003649F5" w:rsidP="003649F5">
      <w:pPr>
        <w:spacing w:line="360" w:lineRule="auto"/>
        <w:ind w:left="720" w:hanging="720"/>
        <w:jc w:val="both"/>
        <w:rPr>
          <w:rFonts w:ascii="David" w:hAnsi="David"/>
          <w:rtl/>
        </w:rPr>
      </w:pPr>
      <w:r>
        <w:rPr>
          <w:rFonts w:ascii="David" w:hAnsi="David"/>
          <w:rtl/>
        </w:rPr>
        <w:t>23.</w:t>
      </w:r>
      <w:r>
        <w:rPr>
          <w:rFonts w:ascii="David" w:hAnsi="David"/>
          <w:rtl/>
        </w:rPr>
        <w:tab/>
        <w:t>מנגד, ולחומרת העונש נתתי דעתי לאמור בתסקיר שירות המבחן מיום 10.06.24 לפיו הנאשם התקשה לבחון את עצמו, את דפוסיו ואת קשריו השוליים ושלל כל נזקקות טיפולית וכן שלל השתלבותו בהליך טיפולי קבוצתי.</w:t>
      </w:r>
    </w:p>
    <w:p w14:paraId="248E0E62" w14:textId="77777777" w:rsidR="003649F5" w:rsidRDefault="003649F5" w:rsidP="003649F5">
      <w:pPr>
        <w:spacing w:line="360" w:lineRule="auto"/>
        <w:ind w:left="720"/>
        <w:jc w:val="both"/>
        <w:rPr>
          <w:rFonts w:ascii="David" w:hAnsi="David"/>
          <w:rtl/>
        </w:rPr>
      </w:pPr>
      <w:r>
        <w:rPr>
          <w:rFonts w:ascii="David" w:hAnsi="David"/>
          <w:rtl/>
        </w:rPr>
        <w:t xml:space="preserve">דברי הנאשם בשירות המבחן כי בעת ביצוע העבירה פעל מתוך "טיפשות" ומפאת גילו הצעיר אך בחלוף השנים עבר תהליך עצמי, החכים והשכיל באשר לשינוי דפוסי התנהלותו, אין בהם די כדי למנוע הישנות התנהגות דומה בעתיד . ניכר כי הנאשם מקל בגורמים אשר הביאו אותו להתנהגותו הפסולה והפלילית, ובהעדר הליך טיפולי של גורמי מקצוע דומה כי גורמי הסיכון נותרו בעינם. </w:t>
      </w:r>
    </w:p>
    <w:p w14:paraId="78CA8A4F" w14:textId="77777777" w:rsidR="003649F5" w:rsidRDefault="003649F5" w:rsidP="003649F5">
      <w:pPr>
        <w:spacing w:line="360" w:lineRule="auto"/>
        <w:ind w:left="720"/>
        <w:jc w:val="both"/>
        <w:rPr>
          <w:rFonts w:ascii="David" w:hAnsi="David"/>
          <w:rtl/>
        </w:rPr>
      </w:pPr>
    </w:p>
    <w:p w14:paraId="0D28E832" w14:textId="77777777" w:rsidR="003649F5" w:rsidRDefault="003649F5" w:rsidP="003649F5">
      <w:pPr>
        <w:spacing w:line="360" w:lineRule="auto"/>
        <w:ind w:left="720" w:hanging="720"/>
        <w:jc w:val="both"/>
        <w:rPr>
          <w:rFonts w:ascii="David" w:hAnsi="David"/>
          <w:rtl/>
        </w:rPr>
      </w:pPr>
      <w:r>
        <w:rPr>
          <w:rFonts w:ascii="David" w:hAnsi="David"/>
          <w:rtl/>
        </w:rPr>
        <w:t>24.</w:t>
      </w:r>
      <w:r>
        <w:rPr>
          <w:rFonts w:ascii="David" w:hAnsi="David"/>
          <w:rtl/>
        </w:rPr>
        <w:tab/>
        <w:t xml:space="preserve">בגדר שיקולי ענישה בתוך המתחם, מצאתי לתן משקל משמעותי לשיקולי הרתעת הרבים, וזאת כדי להעביר מסר תקיף לציבור בכלל ולתושבי הדרום בפרט אשר יהא בו כדי להרתיע אחרים ליטול חלק באירועים דומים בעתיד. </w:t>
      </w:r>
    </w:p>
    <w:p w14:paraId="7560846D" w14:textId="77777777" w:rsidR="003649F5" w:rsidRDefault="003649F5" w:rsidP="003649F5">
      <w:pPr>
        <w:spacing w:line="360" w:lineRule="auto"/>
        <w:ind w:left="720" w:hanging="720"/>
        <w:jc w:val="both"/>
        <w:rPr>
          <w:rFonts w:ascii="David" w:hAnsi="David"/>
          <w:rtl/>
        </w:rPr>
      </w:pPr>
      <w:r>
        <w:rPr>
          <w:rFonts w:ascii="David" w:hAnsi="David"/>
          <w:rtl/>
        </w:rPr>
        <w:tab/>
        <w:t xml:space="preserve">כידוע מדינת ישראל מאותגרת ביטחונית, ולצערנו מוצאת עצמה מידי תקופה במצב מלחמה או לחימה עם אויבים מבחוץ. על בית המשפט להעביר מסר של אפס סובלנות כלפי אלו אשר יבקשו מבית לנצל ימי קרב כדי להקשות על כוחות הביטחון או לפגוע במרקם היחסים העדין שבין תושביה. </w:t>
      </w:r>
    </w:p>
    <w:p w14:paraId="12C547A1" w14:textId="77777777" w:rsidR="003649F5" w:rsidRDefault="003649F5" w:rsidP="003649F5">
      <w:pPr>
        <w:spacing w:line="360" w:lineRule="auto"/>
        <w:ind w:left="720" w:hanging="720"/>
        <w:jc w:val="both"/>
        <w:rPr>
          <w:rFonts w:ascii="David" w:hAnsi="David"/>
          <w:rtl/>
        </w:rPr>
      </w:pPr>
    </w:p>
    <w:p w14:paraId="3559B30C" w14:textId="77777777" w:rsidR="003649F5" w:rsidRDefault="003649F5" w:rsidP="003649F5">
      <w:pPr>
        <w:spacing w:line="360" w:lineRule="auto"/>
        <w:ind w:left="720" w:hanging="720"/>
        <w:jc w:val="both"/>
        <w:rPr>
          <w:rFonts w:ascii="David" w:hAnsi="David"/>
          <w:rtl/>
        </w:rPr>
      </w:pPr>
      <w:r>
        <w:rPr>
          <w:rFonts w:ascii="David" w:hAnsi="David"/>
          <w:rtl/>
        </w:rPr>
        <w:t>25.</w:t>
      </w:r>
      <w:r>
        <w:rPr>
          <w:rFonts w:ascii="David" w:hAnsi="David"/>
          <w:rtl/>
        </w:rPr>
        <w:tab/>
        <w:t>אינני מקבל את המלצת שירות המבחן להטיל על הנאשם ענישה מוחשית בדמות עבודות שירות, שכן המלצה זו אינה עולה בקנה אחד עם עקרון ההלימה, כמו גם עם שיקולי ההרתעה והגמול. נזכור בהקשר זה כי הנאשם ביצע את העבירה בה הורשע במסגרת הפרות סדר והתפרעויות אשר התרחשו במבצע "שומר חומות" בעוד מדינת ישראל מצויה בלחימה עם ארגון טרור בעזה.</w:t>
      </w:r>
    </w:p>
    <w:p w14:paraId="4D3698BE" w14:textId="77777777" w:rsidR="003649F5" w:rsidRDefault="003649F5" w:rsidP="003649F5">
      <w:pPr>
        <w:spacing w:line="360" w:lineRule="auto"/>
        <w:ind w:left="720"/>
        <w:jc w:val="both"/>
        <w:rPr>
          <w:rFonts w:ascii="David" w:hAnsi="David"/>
          <w:rtl/>
        </w:rPr>
      </w:pPr>
      <w:r>
        <w:rPr>
          <w:rFonts w:ascii="David" w:hAnsi="David"/>
          <w:rtl/>
        </w:rPr>
        <w:t>זאת ועוד, שירות המבחן לא בא בהמלצה טיפולית בעניינו של הנאשם וזאת בהמשך לדבריו כי אינו נדרש לכך. בהעדר הליך טיפולי ונוכח החומרה היתרה של העבירה בנסיבותיה, לא מצאתי לחרוג לקולא ממתחם העונש ההולם.</w:t>
      </w:r>
    </w:p>
    <w:p w14:paraId="428E9281" w14:textId="77777777" w:rsidR="003649F5" w:rsidRDefault="003649F5" w:rsidP="003649F5">
      <w:pPr>
        <w:spacing w:line="360" w:lineRule="auto"/>
        <w:jc w:val="both"/>
        <w:rPr>
          <w:rFonts w:ascii="David" w:hAnsi="David"/>
          <w:rtl/>
        </w:rPr>
      </w:pPr>
      <w:r>
        <w:rPr>
          <w:rFonts w:ascii="David" w:hAnsi="David"/>
          <w:rtl/>
        </w:rPr>
        <w:t>26.</w:t>
      </w:r>
      <w:r>
        <w:rPr>
          <w:rFonts w:ascii="David" w:hAnsi="David"/>
          <w:rtl/>
        </w:rPr>
        <w:tab/>
        <w:t>לאור האמור לעיל, אני גוזר על הנאשם העונשים הבאים:</w:t>
      </w:r>
    </w:p>
    <w:p w14:paraId="729744C3" w14:textId="77777777" w:rsidR="003649F5" w:rsidRDefault="003649F5" w:rsidP="003649F5">
      <w:pPr>
        <w:spacing w:line="360" w:lineRule="auto"/>
        <w:jc w:val="both"/>
        <w:rPr>
          <w:rFonts w:ascii="David" w:hAnsi="David"/>
          <w:rtl/>
        </w:rPr>
      </w:pPr>
    </w:p>
    <w:p w14:paraId="3035EE3E" w14:textId="77777777" w:rsidR="003649F5" w:rsidRDefault="003649F5" w:rsidP="003649F5">
      <w:pPr>
        <w:spacing w:line="360" w:lineRule="auto"/>
        <w:jc w:val="both"/>
        <w:rPr>
          <w:rFonts w:ascii="David" w:hAnsi="David"/>
          <w:rtl/>
        </w:rPr>
      </w:pPr>
      <w:r>
        <w:rPr>
          <w:rFonts w:ascii="David" w:hAnsi="David"/>
          <w:rtl/>
        </w:rPr>
        <w:tab/>
        <w:t>א.</w:t>
      </w:r>
      <w:r>
        <w:rPr>
          <w:rFonts w:ascii="David" w:hAnsi="David"/>
          <w:rtl/>
        </w:rPr>
        <w:tab/>
        <w:t>14 חודשי מאסר בפועל</w:t>
      </w:r>
      <w:r>
        <w:rPr>
          <w:rFonts w:ascii="David" w:hAnsi="David" w:hint="cs"/>
          <w:rtl/>
        </w:rPr>
        <w:t>.</w:t>
      </w:r>
    </w:p>
    <w:p w14:paraId="20018EAD" w14:textId="77777777" w:rsidR="003649F5" w:rsidRDefault="003649F5" w:rsidP="003649F5">
      <w:pPr>
        <w:spacing w:line="360" w:lineRule="auto"/>
        <w:jc w:val="both"/>
        <w:rPr>
          <w:rFonts w:ascii="David" w:hAnsi="David"/>
          <w:rtl/>
        </w:rPr>
      </w:pPr>
    </w:p>
    <w:p w14:paraId="76CB47A1" w14:textId="77777777" w:rsidR="003649F5" w:rsidRDefault="003649F5" w:rsidP="003649F5">
      <w:pPr>
        <w:spacing w:line="360" w:lineRule="auto"/>
        <w:ind w:left="1440" w:hanging="720"/>
        <w:jc w:val="both"/>
        <w:rPr>
          <w:rFonts w:ascii="David" w:hAnsi="David"/>
          <w:rtl/>
        </w:rPr>
      </w:pPr>
      <w:r>
        <w:rPr>
          <w:rFonts w:ascii="David" w:hAnsi="David"/>
          <w:rtl/>
        </w:rPr>
        <w:t>ב.</w:t>
      </w:r>
      <w:r>
        <w:rPr>
          <w:rFonts w:ascii="David" w:hAnsi="David"/>
          <w:rtl/>
        </w:rPr>
        <w:tab/>
        <w:t xml:space="preserve">8 חודשי מאסר על תנאי שלא יעבור משך שלוש שנים מיום שחרורו ממאסרו עבירה בה הורשע. </w:t>
      </w:r>
    </w:p>
    <w:p w14:paraId="6F87E1F3" w14:textId="77777777" w:rsidR="003649F5" w:rsidRDefault="003649F5" w:rsidP="003649F5">
      <w:pPr>
        <w:spacing w:line="360" w:lineRule="auto"/>
        <w:ind w:left="1440" w:hanging="720"/>
        <w:jc w:val="both"/>
        <w:rPr>
          <w:rFonts w:ascii="David" w:hAnsi="David"/>
          <w:rtl/>
        </w:rPr>
      </w:pPr>
    </w:p>
    <w:p w14:paraId="4AF407DC" w14:textId="77777777" w:rsidR="003649F5" w:rsidRDefault="003649F5" w:rsidP="003649F5">
      <w:pPr>
        <w:spacing w:line="360" w:lineRule="auto"/>
        <w:ind w:left="1440" w:hanging="720"/>
        <w:jc w:val="both"/>
        <w:rPr>
          <w:rFonts w:ascii="David" w:hAnsi="David"/>
          <w:rtl/>
        </w:rPr>
      </w:pPr>
      <w:r>
        <w:rPr>
          <w:rFonts w:ascii="David" w:hAnsi="David"/>
          <w:rtl/>
        </w:rPr>
        <w:t>ג.</w:t>
      </w:r>
      <w:r>
        <w:rPr>
          <w:rFonts w:ascii="David" w:hAnsi="David"/>
          <w:rtl/>
        </w:rPr>
        <w:tab/>
        <w:t xml:space="preserve">קנס בסך 4,000 ₪ או 30 ימי מאסר תמורתו. הקנס ישולם לא יאוחר מיום 01.12.24. </w:t>
      </w:r>
    </w:p>
    <w:p w14:paraId="0EDE6202" w14:textId="77777777" w:rsidR="003649F5" w:rsidRDefault="003649F5" w:rsidP="003649F5">
      <w:pPr>
        <w:spacing w:line="360" w:lineRule="auto"/>
        <w:ind w:left="1440" w:hanging="720"/>
        <w:jc w:val="both"/>
        <w:rPr>
          <w:rFonts w:ascii="David" w:hAnsi="David"/>
          <w:rtl/>
        </w:rPr>
      </w:pPr>
    </w:p>
    <w:p w14:paraId="0462AD76" w14:textId="77777777" w:rsidR="003649F5" w:rsidRDefault="003649F5" w:rsidP="003649F5">
      <w:pPr>
        <w:spacing w:line="360" w:lineRule="auto"/>
      </w:pPr>
      <w:r>
        <w:rPr>
          <w:rtl/>
        </w:rPr>
        <w:t xml:space="preserve">לידיעת הנאשם, ניתן יהיה לשלם את </w:t>
      </w:r>
      <w:r>
        <w:rPr>
          <w:rFonts w:hint="cs"/>
          <w:rtl/>
        </w:rPr>
        <w:t>הקנס</w:t>
      </w:r>
      <w:r>
        <w:rPr>
          <w:rtl/>
        </w:rPr>
        <w:t xml:space="preserve"> לחשבון המרכז לגביית קנסות, אגרות והוצאות ברשות האכיפה והגבייה באחת מהדרכים הבאות:</w:t>
      </w:r>
    </w:p>
    <w:p w14:paraId="58A54D53" w14:textId="77777777" w:rsidR="003649F5" w:rsidRDefault="003649F5" w:rsidP="003649F5"/>
    <w:p w14:paraId="5894519A" w14:textId="77777777" w:rsidR="003649F5" w:rsidRDefault="003649F5" w:rsidP="003649F5">
      <w:pPr>
        <w:pStyle w:val="a9"/>
        <w:numPr>
          <w:ilvl w:val="0"/>
          <w:numId w:val="1"/>
        </w:numPr>
        <w:rPr>
          <w:rFonts w:ascii="David" w:hAnsi="David"/>
          <w:b/>
          <w:bCs/>
          <w:rtl/>
        </w:rPr>
      </w:pPr>
      <w:r>
        <w:rPr>
          <w:rFonts w:ascii="David" w:hAnsi="David"/>
          <w:b/>
          <w:bCs/>
          <w:rtl/>
        </w:rPr>
        <w:t>בכרטיס אשראי</w:t>
      </w:r>
      <w:r>
        <w:rPr>
          <w:rFonts w:ascii="David" w:hAnsi="David"/>
          <w:rtl/>
        </w:rPr>
        <w:t xml:space="preserve"> – באתר המקוון של רשות האכיפה והגבייה, </w:t>
      </w:r>
      <w:hyperlink r:id="rId56" w:history="1">
        <w:r>
          <w:rPr>
            <w:rStyle w:val="Hyperlink"/>
            <w:rFonts w:ascii="David" w:hAnsi="David"/>
          </w:rPr>
          <w:t>www.eca.gov.il</w:t>
        </w:r>
      </w:hyperlink>
      <w:r>
        <w:rPr>
          <w:rFonts w:ascii="David" w:hAnsi="David"/>
        </w:rPr>
        <w:t xml:space="preserve"> </w:t>
      </w:r>
      <w:r w:rsidR="00A678ED">
        <w:rPr>
          <w:rFonts w:ascii="David" w:hAnsi="David"/>
          <w:rtl/>
        </w:rPr>
        <w:t xml:space="preserve"> </w:t>
      </w:r>
    </w:p>
    <w:p w14:paraId="4D0B62BA" w14:textId="77777777" w:rsidR="003649F5" w:rsidRDefault="003649F5" w:rsidP="003649F5">
      <w:pPr>
        <w:pStyle w:val="a9"/>
        <w:numPr>
          <w:ilvl w:val="0"/>
          <w:numId w:val="1"/>
        </w:numPr>
        <w:rPr>
          <w:rFonts w:ascii="David" w:hAnsi="David"/>
          <w:b/>
          <w:bCs/>
        </w:rPr>
      </w:pPr>
      <w:r>
        <w:rPr>
          <w:rFonts w:ascii="David" w:hAnsi="David"/>
          <w:b/>
          <w:bCs/>
          <w:rtl/>
        </w:rPr>
        <w:t>מוקד שירות טלפוני בשרות עצמי (מרכז גבייה)</w:t>
      </w:r>
      <w:r w:rsidR="00A678ED">
        <w:rPr>
          <w:rFonts w:ascii="David" w:hAnsi="David"/>
          <w:b/>
          <w:bCs/>
          <w:rtl/>
        </w:rPr>
        <w:t xml:space="preserve"> </w:t>
      </w:r>
      <w:r>
        <w:rPr>
          <w:rFonts w:ascii="David" w:hAnsi="David"/>
          <w:b/>
          <w:bCs/>
          <w:rtl/>
        </w:rPr>
        <w:t xml:space="preserve"> – בטלפון 35592* או בטלפון 073-2055000</w:t>
      </w:r>
    </w:p>
    <w:p w14:paraId="48D754FC" w14:textId="77777777" w:rsidR="003649F5" w:rsidRDefault="003649F5" w:rsidP="003649F5">
      <w:pPr>
        <w:pStyle w:val="a9"/>
        <w:numPr>
          <w:ilvl w:val="0"/>
          <w:numId w:val="1"/>
        </w:numPr>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07E4121B" w14:textId="77777777" w:rsidR="003649F5" w:rsidRPr="00A678ED" w:rsidRDefault="00A678ED" w:rsidP="003649F5">
      <w:pPr>
        <w:rPr>
          <w:color w:val="FFFFFF"/>
          <w:sz w:val="2"/>
          <w:szCs w:val="2"/>
        </w:rPr>
      </w:pPr>
      <w:r w:rsidRPr="00A678ED">
        <w:rPr>
          <w:color w:val="FFFFFF"/>
          <w:sz w:val="2"/>
          <w:szCs w:val="2"/>
          <w:rtl/>
        </w:rPr>
        <w:t>5129371</w:t>
      </w:r>
    </w:p>
    <w:p w14:paraId="53973F05" w14:textId="77777777" w:rsidR="003649F5" w:rsidRPr="000F2247" w:rsidRDefault="00A678ED" w:rsidP="003649F5">
      <w:pPr>
        <w:spacing w:line="360" w:lineRule="auto"/>
        <w:jc w:val="both"/>
        <w:rPr>
          <w:rFonts w:ascii="Arial" w:hAnsi="Arial"/>
          <w:b/>
          <w:bCs/>
          <w:sz w:val="26"/>
          <w:szCs w:val="26"/>
          <w:rtl/>
        </w:rPr>
      </w:pPr>
      <w:r w:rsidRPr="00A678ED">
        <w:rPr>
          <w:rFonts w:ascii="David" w:hAnsi="David"/>
          <w:b/>
          <w:bCs/>
          <w:color w:val="FFFFFF"/>
          <w:sz w:val="2"/>
          <w:szCs w:val="2"/>
          <w:rtl/>
        </w:rPr>
        <w:t>54678313</w:t>
      </w:r>
      <w:r w:rsidR="003649F5">
        <w:rPr>
          <w:rFonts w:ascii="David" w:hAnsi="David"/>
          <w:b/>
          <w:bCs/>
          <w:rtl/>
        </w:rPr>
        <w:t xml:space="preserve">זכות ערעור תוך 45 ימים לבית המשפט העליון. </w:t>
      </w:r>
    </w:p>
    <w:p w14:paraId="6C5978E8" w14:textId="77777777" w:rsidR="003649F5" w:rsidRPr="000F2247" w:rsidRDefault="003649F5" w:rsidP="003649F5">
      <w:pPr>
        <w:rPr>
          <w:rFonts w:ascii="Arial" w:hAnsi="Arial"/>
          <w:b/>
          <w:bCs/>
          <w:sz w:val="26"/>
          <w:szCs w:val="26"/>
          <w:rtl/>
        </w:rPr>
      </w:pPr>
    </w:p>
    <w:p w14:paraId="3F80512B" w14:textId="77777777" w:rsidR="003649F5" w:rsidRPr="000F2247" w:rsidRDefault="00A678ED" w:rsidP="003649F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ה' אלול תשפ"ד, 08 ספטמבר 2024, בהעדר הצדדים. </w:t>
      </w:r>
      <w:bookmarkEnd w:id="8"/>
      <w:r w:rsidR="003649F5">
        <w:rPr>
          <w:rFonts w:ascii="Arial" w:hAnsi="Arial"/>
          <w:b/>
          <w:bCs/>
          <w:sz w:val="26"/>
          <w:szCs w:val="26"/>
          <w:rtl/>
        </w:rPr>
        <w:tab/>
      </w:r>
      <w:r w:rsidR="003649F5">
        <w:rPr>
          <w:rFonts w:ascii="Arial" w:hAnsi="Arial"/>
          <w:b/>
          <w:bCs/>
          <w:sz w:val="26"/>
          <w:szCs w:val="26"/>
          <w:rtl/>
        </w:rPr>
        <w:tab/>
      </w:r>
      <w:r w:rsidR="003649F5">
        <w:rPr>
          <w:rFonts w:ascii="Arial" w:hAnsi="Arial"/>
          <w:b/>
          <w:bCs/>
          <w:sz w:val="26"/>
          <w:szCs w:val="26"/>
          <w:rtl/>
        </w:rPr>
        <w:tab/>
      </w:r>
      <w:r w:rsidR="003649F5">
        <w:rPr>
          <w:rFonts w:ascii="Arial" w:hAnsi="Arial"/>
          <w:b/>
          <w:bCs/>
          <w:sz w:val="26"/>
          <w:szCs w:val="26"/>
          <w:rtl/>
        </w:rPr>
        <w:tab/>
      </w:r>
      <w:r w:rsidR="003649F5">
        <w:rPr>
          <w:rFonts w:ascii="Arial" w:hAnsi="Arial"/>
          <w:b/>
          <w:bCs/>
          <w:sz w:val="26"/>
          <w:szCs w:val="26"/>
          <w:rtl/>
        </w:rPr>
        <w:tab/>
      </w:r>
      <w:r w:rsidR="003649F5">
        <w:rPr>
          <w:rFonts w:ascii="Arial" w:hAnsi="Arial"/>
          <w:b/>
          <w:bCs/>
          <w:sz w:val="26"/>
          <w:szCs w:val="26"/>
          <w:rtl/>
        </w:rPr>
        <w:tab/>
      </w:r>
      <w:r w:rsidR="003649F5">
        <w:rPr>
          <w:rFonts w:ascii="Arial" w:hAnsi="Arial"/>
          <w:b/>
          <w:bCs/>
          <w:sz w:val="26"/>
          <w:szCs w:val="26"/>
          <w:rtl/>
        </w:rPr>
        <w:tab/>
      </w:r>
      <w:r w:rsidR="003649F5">
        <w:rPr>
          <w:rFonts w:ascii="Arial" w:hAnsi="Arial" w:hint="cs"/>
          <w:b/>
          <w:bCs/>
          <w:sz w:val="26"/>
          <w:szCs w:val="26"/>
          <w:rtl/>
        </w:rPr>
        <w:t xml:space="preserve">         </w:t>
      </w:r>
    </w:p>
    <w:p w14:paraId="38B6C63F" w14:textId="77777777" w:rsidR="00A678ED" w:rsidRDefault="00A678ED" w:rsidP="00A678ED">
      <w:pPr>
        <w:rPr>
          <w:rtl/>
        </w:rPr>
      </w:pPr>
    </w:p>
    <w:p w14:paraId="56E040BE" w14:textId="77777777" w:rsidR="00A678ED" w:rsidRDefault="00A678ED" w:rsidP="00A678ED">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74209B67" w14:textId="77777777" w:rsidR="00E23180" w:rsidRPr="00E23180" w:rsidRDefault="00E23180" w:rsidP="00E23180">
      <w:pPr>
        <w:keepNext/>
        <w:rPr>
          <w:rFonts w:ascii="David" w:hAnsi="David"/>
          <w:color w:val="000000"/>
          <w:sz w:val="22"/>
          <w:szCs w:val="22"/>
          <w:rtl/>
        </w:rPr>
      </w:pPr>
    </w:p>
    <w:p w14:paraId="21F6AB37" w14:textId="77777777" w:rsidR="00E23180" w:rsidRPr="00E23180" w:rsidRDefault="00E23180" w:rsidP="00E23180">
      <w:pPr>
        <w:keepNext/>
        <w:rPr>
          <w:rFonts w:ascii="David" w:hAnsi="David"/>
          <w:color w:val="000000"/>
          <w:sz w:val="22"/>
          <w:szCs w:val="22"/>
          <w:rtl/>
        </w:rPr>
      </w:pPr>
      <w:r w:rsidRPr="00E23180">
        <w:rPr>
          <w:rFonts w:ascii="David" w:hAnsi="David"/>
          <w:color w:val="000000"/>
          <w:sz w:val="22"/>
          <w:szCs w:val="22"/>
          <w:rtl/>
        </w:rPr>
        <w:t>אלון גביזון 54678313-/</w:t>
      </w:r>
    </w:p>
    <w:p w14:paraId="0F132CEF" w14:textId="77777777" w:rsidR="00A678ED" w:rsidRPr="00A678ED" w:rsidRDefault="00E23180" w:rsidP="00E23180">
      <w:pPr>
        <w:rPr>
          <w:color w:val="0000FF"/>
          <w:u w:val="single"/>
        </w:rPr>
      </w:pPr>
      <w:r w:rsidRPr="00E23180">
        <w:rPr>
          <w:color w:val="000000"/>
          <w:u w:val="single"/>
          <w:rtl/>
        </w:rPr>
        <w:t>נוסח מסמך זה כפוף לשינויי ניסוח ועריכה</w:t>
      </w:r>
    </w:p>
    <w:sectPr w:rsidR="00A678ED" w:rsidRPr="00A678ED" w:rsidSect="00E23180">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A8855" w14:textId="77777777" w:rsidR="005B1D64" w:rsidRDefault="005B1D64" w:rsidP="00B11F6B">
      <w:r>
        <w:separator/>
      </w:r>
    </w:p>
  </w:endnote>
  <w:endnote w:type="continuationSeparator" w:id="0">
    <w:p w14:paraId="5ED05BA8" w14:textId="77777777" w:rsidR="005B1D64" w:rsidRDefault="005B1D64" w:rsidP="00B1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72BB9" w14:textId="77777777" w:rsidR="00E23180" w:rsidRDefault="00E23180" w:rsidP="00E231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B51AF8" w14:textId="77777777" w:rsidR="003964CC" w:rsidRPr="00E23180" w:rsidRDefault="00E23180" w:rsidP="00E23180">
    <w:pPr>
      <w:pStyle w:val="a5"/>
      <w:pBdr>
        <w:top w:val="single" w:sz="4" w:space="1" w:color="auto"/>
        <w:between w:val="single" w:sz="4" w:space="0" w:color="auto"/>
      </w:pBdr>
      <w:spacing w:after="60"/>
      <w:jc w:val="center"/>
      <w:rPr>
        <w:rFonts w:ascii="FrankRuehl" w:hAnsi="FrankRuehl" w:cs="FrankRuehl"/>
        <w:color w:val="000000"/>
      </w:rPr>
    </w:pPr>
    <w:r w:rsidRPr="00E231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84DFA" w14:textId="77777777" w:rsidR="00E23180" w:rsidRDefault="00E23180" w:rsidP="00E231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168A">
      <w:rPr>
        <w:rFonts w:ascii="FrankRuehl" w:hAnsi="FrankRuehl" w:cs="FrankRuehl"/>
        <w:noProof/>
        <w:rtl/>
      </w:rPr>
      <w:t>1</w:t>
    </w:r>
    <w:r>
      <w:rPr>
        <w:rFonts w:ascii="FrankRuehl" w:hAnsi="FrankRuehl" w:cs="FrankRuehl"/>
        <w:rtl/>
      </w:rPr>
      <w:fldChar w:fldCharType="end"/>
    </w:r>
  </w:p>
  <w:p w14:paraId="4CE41775" w14:textId="77777777" w:rsidR="003964CC" w:rsidRPr="00E23180" w:rsidRDefault="00E23180" w:rsidP="00E23180">
    <w:pPr>
      <w:pStyle w:val="a5"/>
      <w:pBdr>
        <w:top w:val="single" w:sz="4" w:space="1" w:color="auto"/>
        <w:between w:val="single" w:sz="4" w:space="0" w:color="auto"/>
      </w:pBdr>
      <w:spacing w:after="60"/>
      <w:jc w:val="center"/>
      <w:rPr>
        <w:rFonts w:ascii="FrankRuehl" w:hAnsi="FrankRuehl" w:cs="FrankRuehl"/>
        <w:color w:val="000000"/>
      </w:rPr>
    </w:pPr>
    <w:r w:rsidRPr="00E23180">
      <w:rPr>
        <w:rFonts w:ascii="FrankRuehl" w:hAnsi="FrankRuehl" w:cs="FrankRuehl"/>
        <w:color w:val="000000"/>
      </w:rPr>
      <w:pict w14:anchorId="30BFC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3082F" w14:textId="77777777" w:rsidR="005B1D64" w:rsidRDefault="005B1D64" w:rsidP="00B11F6B">
      <w:r>
        <w:separator/>
      </w:r>
    </w:p>
  </w:footnote>
  <w:footnote w:type="continuationSeparator" w:id="0">
    <w:p w14:paraId="32666162" w14:textId="77777777" w:rsidR="005B1D64" w:rsidRDefault="005B1D64" w:rsidP="00B11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EE824" w14:textId="77777777" w:rsidR="00A678ED" w:rsidRPr="00E23180" w:rsidRDefault="00E23180" w:rsidP="00E2318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49021-11-21</w:t>
    </w:r>
    <w:r>
      <w:rPr>
        <w:rFonts w:ascii="David" w:hAnsi="David"/>
        <w:color w:val="000000"/>
        <w:sz w:val="22"/>
        <w:szCs w:val="22"/>
        <w:rtl/>
      </w:rPr>
      <w:tab/>
      <w:t xml:space="preserve"> מדינת ישראל נ' זיאד אבו עאיש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794E7" w14:textId="77777777" w:rsidR="00A678ED" w:rsidRPr="00E23180" w:rsidRDefault="00E23180" w:rsidP="00E2318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49021-11-21</w:t>
    </w:r>
    <w:r>
      <w:rPr>
        <w:rFonts w:ascii="David" w:hAnsi="David"/>
        <w:color w:val="000000"/>
        <w:sz w:val="22"/>
        <w:szCs w:val="22"/>
        <w:rtl/>
      </w:rPr>
      <w:tab/>
      <w:t xml:space="preserve"> מדינת ישראל נ' זיאד אבו עאיש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num w:numId="1" w16cid:durableId="45707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49F5"/>
    <w:rsid w:val="0018641C"/>
    <w:rsid w:val="003649F5"/>
    <w:rsid w:val="003964CC"/>
    <w:rsid w:val="005B1D64"/>
    <w:rsid w:val="00676B76"/>
    <w:rsid w:val="008A168A"/>
    <w:rsid w:val="00A678ED"/>
    <w:rsid w:val="00B11F6B"/>
    <w:rsid w:val="00BE7A6E"/>
    <w:rsid w:val="00E231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072726"/>
  <w15:chartTrackingRefBased/>
  <w15:docId w15:val="{CC37A22A-F894-403C-88B5-E186FF06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49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649F5"/>
    <w:pPr>
      <w:tabs>
        <w:tab w:val="center" w:pos="4153"/>
        <w:tab w:val="right" w:pos="8306"/>
      </w:tabs>
    </w:pPr>
  </w:style>
  <w:style w:type="character" w:customStyle="1" w:styleId="a4">
    <w:name w:val="כותרת עליונה תו"/>
    <w:link w:val="a3"/>
    <w:rsid w:val="003649F5"/>
    <w:rPr>
      <w:rFonts w:ascii="Times New Roman" w:eastAsia="Times New Roman" w:hAnsi="Times New Roman" w:cs="David"/>
      <w:sz w:val="24"/>
      <w:szCs w:val="24"/>
    </w:rPr>
  </w:style>
  <w:style w:type="paragraph" w:styleId="a5">
    <w:name w:val="footer"/>
    <w:basedOn w:val="a"/>
    <w:link w:val="a6"/>
    <w:rsid w:val="003649F5"/>
    <w:pPr>
      <w:tabs>
        <w:tab w:val="center" w:pos="4153"/>
        <w:tab w:val="right" w:pos="8306"/>
      </w:tabs>
    </w:pPr>
  </w:style>
  <w:style w:type="character" w:customStyle="1" w:styleId="a6">
    <w:name w:val="כותרת תחתונה תו"/>
    <w:link w:val="a5"/>
    <w:rsid w:val="003649F5"/>
    <w:rPr>
      <w:rFonts w:ascii="Times New Roman" w:eastAsia="Times New Roman" w:hAnsi="Times New Roman" w:cs="David"/>
      <w:sz w:val="24"/>
      <w:szCs w:val="24"/>
    </w:rPr>
  </w:style>
  <w:style w:type="table" w:styleId="a7">
    <w:name w:val="Table Grid"/>
    <w:basedOn w:val="a1"/>
    <w:rsid w:val="003649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649F5"/>
  </w:style>
  <w:style w:type="character" w:styleId="Hyperlink">
    <w:name w:val="Hyperlink"/>
    <w:rsid w:val="003649F5"/>
    <w:rPr>
      <w:color w:val="0563C1"/>
      <w:u w:val="single"/>
    </w:rPr>
  </w:style>
  <w:style w:type="paragraph" w:styleId="a9">
    <w:name w:val="List Paragraph"/>
    <w:basedOn w:val="a"/>
    <w:link w:val="aa"/>
    <w:qFormat/>
    <w:rsid w:val="003649F5"/>
    <w:pPr>
      <w:ind w:left="720"/>
      <w:contextualSpacing/>
    </w:pPr>
  </w:style>
  <w:style w:type="character" w:customStyle="1" w:styleId="aa">
    <w:name w:val="פיסקת רשימה תו"/>
    <w:link w:val="a9"/>
    <w:locked/>
    <w:rsid w:val="003649F5"/>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413e" TargetMode="External"/><Relationship Id="rId26" Type="http://schemas.openxmlformats.org/officeDocument/2006/relationships/hyperlink" Target="http://www.nevo.co.il/case/29991992" TargetMode="External"/><Relationship Id="rId39" Type="http://schemas.openxmlformats.org/officeDocument/2006/relationships/hyperlink" Target="http://www.nevo.co.il/law/70301/413e" TargetMode="External"/><Relationship Id="rId21" Type="http://schemas.openxmlformats.org/officeDocument/2006/relationships/hyperlink" Target="http://www.nevo.co.il/case/27636723" TargetMode="External"/><Relationship Id="rId34" Type="http://schemas.openxmlformats.org/officeDocument/2006/relationships/hyperlink" Target="http://www.nevo.co.il/law/70301/152" TargetMode="External"/><Relationship Id="rId42" Type="http://schemas.openxmlformats.org/officeDocument/2006/relationships/hyperlink" Target="http://www.nevo.co.il/case/28763649" TargetMode="External"/><Relationship Id="rId47" Type="http://schemas.openxmlformats.org/officeDocument/2006/relationships/hyperlink" Target="http://www.nevo.co.il/law/70301/338.a.3" TargetMode="External"/><Relationship Id="rId50" Type="http://schemas.openxmlformats.org/officeDocument/2006/relationships/hyperlink" Target="http://www.nevo.co.il/case/28263545" TargetMode="External"/><Relationship Id="rId55" Type="http://schemas.openxmlformats.org/officeDocument/2006/relationships/hyperlink" Target="http://www.nevo.co.il/law/70301"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8.a.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f" TargetMode="External"/><Relationship Id="rId24" Type="http://schemas.openxmlformats.org/officeDocument/2006/relationships/hyperlink" Target="http://www.nevo.co.il/case/28681545" TargetMode="External"/><Relationship Id="rId32" Type="http://schemas.openxmlformats.org/officeDocument/2006/relationships/hyperlink" Target="http://www.nevo.co.il/case/28608657" TargetMode="External"/><Relationship Id="rId37" Type="http://schemas.openxmlformats.org/officeDocument/2006/relationships/hyperlink" Target="http://www.nevo.co.il/law/70301/332a.a" TargetMode="External"/><Relationship Id="rId40" Type="http://schemas.openxmlformats.org/officeDocument/2006/relationships/hyperlink" Target="http://www.nevo.co.il/case/27623350" TargetMode="External"/><Relationship Id="rId45" Type="http://schemas.openxmlformats.org/officeDocument/2006/relationships/hyperlink" Target="http://www.nevo.co.il/law/70301/402.b" TargetMode="External"/><Relationship Id="rId53" Type="http://schemas.openxmlformats.org/officeDocument/2006/relationships/hyperlink" Target="http://www.nevo.co.il/case/28296934"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338.a.3" TargetMode="External"/><Relationship Id="rId14" Type="http://schemas.openxmlformats.org/officeDocument/2006/relationships/hyperlink" Target="http://www.nevo.co.il/law/70301/275a"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30006063" TargetMode="External"/><Relationship Id="rId30" Type="http://schemas.openxmlformats.org/officeDocument/2006/relationships/hyperlink" Target="http://www.nevo.co.il/law/70301/275a"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52;29" TargetMode="External"/><Relationship Id="rId48" Type="http://schemas.openxmlformats.org/officeDocument/2006/relationships/hyperlink" Target="http://www.nevo.co.il/law/70301/29" TargetMode="External"/><Relationship Id="rId56" Type="http://schemas.openxmlformats.org/officeDocument/2006/relationships/hyperlink" Target="http://www.eca.gov.il"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338.a.3" TargetMode="External"/><Relationship Id="rId3" Type="http://schemas.openxmlformats.org/officeDocument/2006/relationships/settings" Target="settings.xml"/><Relationship Id="rId12" Type="http://schemas.openxmlformats.org/officeDocument/2006/relationships/hyperlink" Target="http://www.nevo.co.il/law/70301/152" TargetMode="External"/><Relationship Id="rId17" Type="http://schemas.openxmlformats.org/officeDocument/2006/relationships/hyperlink" Target="http://www.nevo.co.il/law/70301/402.b" TargetMode="External"/><Relationship Id="rId25" Type="http://schemas.openxmlformats.org/officeDocument/2006/relationships/hyperlink" Target="http://www.nevo.co.il/case/28752891" TargetMode="External"/><Relationship Id="rId33" Type="http://schemas.openxmlformats.org/officeDocument/2006/relationships/hyperlink" Target="http://www.nevo.co.il/case/29922728" TargetMode="External"/><Relationship Id="rId38" Type="http://schemas.openxmlformats.org/officeDocument/2006/relationships/hyperlink" Target="http://www.nevo.co.il/law/70301/275" TargetMode="External"/><Relationship Id="rId46" Type="http://schemas.openxmlformats.org/officeDocument/2006/relationships/hyperlink" Target="http://www.nevo.co.il/law/70301/31" TargetMode="External"/><Relationship Id="rId59"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8752891" TargetMode="External"/><Relationship Id="rId54" Type="http://schemas.openxmlformats.org/officeDocument/2006/relationships/hyperlink" Target="http://www.nevo.co.il/law/70301/144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2a.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52" TargetMode="External"/><Relationship Id="rId36" Type="http://schemas.openxmlformats.org/officeDocument/2006/relationships/hyperlink" Target="http://www.nevo.co.il/law/70301/338.a.3" TargetMode="External"/><Relationship Id="rId49" Type="http://schemas.openxmlformats.org/officeDocument/2006/relationships/hyperlink" Target="http://www.nevo.co.il/case/27866933"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338.a.3"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7636723"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4105</Words>
  <Characters>20525</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24581</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7864368</vt:i4>
      </vt:variant>
      <vt:variant>
        <vt:i4>147</vt:i4>
      </vt:variant>
      <vt:variant>
        <vt:i4>0</vt:i4>
      </vt:variant>
      <vt:variant>
        <vt:i4>5</vt:i4>
      </vt:variant>
      <vt:variant>
        <vt:lpwstr>http://www.eca.gov.il/</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458832</vt:i4>
      </vt:variant>
      <vt:variant>
        <vt:i4>141</vt:i4>
      </vt:variant>
      <vt:variant>
        <vt:i4>0</vt:i4>
      </vt:variant>
      <vt:variant>
        <vt:i4>5</vt:i4>
      </vt:variant>
      <vt:variant>
        <vt:lpwstr>http://www.nevo.co.il/law/70301/144f</vt:lpwstr>
      </vt:variant>
      <vt:variant>
        <vt:lpwstr/>
      </vt:variant>
      <vt:variant>
        <vt:i4>3473532</vt:i4>
      </vt:variant>
      <vt:variant>
        <vt:i4>138</vt:i4>
      </vt:variant>
      <vt:variant>
        <vt:i4>0</vt:i4>
      </vt:variant>
      <vt:variant>
        <vt:i4>5</vt:i4>
      </vt:variant>
      <vt:variant>
        <vt:lpwstr>http://www.nevo.co.il/case/28296934</vt:lpwstr>
      </vt:variant>
      <vt:variant>
        <vt:lpwstr/>
      </vt:variant>
      <vt:variant>
        <vt:i4>3145847</vt:i4>
      </vt:variant>
      <vt:variant>
        <vt:i4>135</vt:i4>
      </vt:variant>
      <vt:variant>
        <vt:i4>0</vt:i4>
      </vt:variant>
      <vt:variant>
        <vt:i4>5</vt:i4>
      </vt:variant>
      <vt:variant>
        <vt:lpwstr>http://www.nevo.co.il/case/27636723</vt:lpwstr>
      </vt:variant>
      <vt:variant>
        <vt:lpwstr/>
      </vt:variant>
      <vt:variant>
        <vt:i4>6684735</vt:i4>
      </vt:variant>
      <vt:variant>
        <vt:i4>132</vt:i4>
      </vt:variant>
      <vt:variant>
        <vt:i4>0</vt:i4>
      </vt:variant>
      <vt:variant>
        <vt:i4>5</vt:i4>
      </vt:variant>
      <vt:variant>
        <vt:lpwstr>http://www.nevo.co.il/law/70301/338.a.3</vt:lpwstr>
      </vt:variant>
      <vt:variant>
        <vt:lpwstr/>
      </vt:variant>
      <vt:variant>
        <vt:i4>3604607</vt:i4>
      </vt:variant>
      <vt:variant>
        <vt:i4>129</vt:i4>
      </vt:variant>
      <vt:variant>
        <vt:i4>0</vt:i4>
      </vt:variant>
      <vt:variant>
        <vt:i4>5</vt:i4>
      </vt:variant>
      <vt:variant>
        <vt:lpwstr>http://www.nevo.co.il/case/28263545</vt:lpwstr>
      </vt:variant>
      <vt:variant>
        <vt:lpwstr/>
      </vt:variant>
      <vt:variant>
        <vt:i4>4128892</vt:i4>
      </vt:variant>
      <vt:variant>
        <vt:i4>126</vt:i4>
      </vt:variant>
      <vt:variant>
        <vt:i4>0</vt:i4>
      </vt:variant>
      <vt:variant>
        <vt:i4>5</vt:i4>
      </vt:variant>
      <vt:variant>
        <vt:lpwstr>http://www.nevo.co.il/case/27866933</vt:lpwstr>
      </vt:variant>
      <vt:variant>
        <vt:lpwstr/>
      </vt:variant>
      <vt:variant>
        <vt:i4>7077991</vt:i4>
      </vt:variant>
      <vt:variant>
        <vt:i4>123</vt:i4>
      </vt:variant>
      <vt:variant>
        <vt:i4>0</vt:i4>
      </vt:variant>
      <vt:variant>
        <vt:i4>5</vt:i4>
      </vt:variant>
      <vt:variant>
        <vt:lpwstr>http://www.nevo.co.il/law/70301/29</vt:lpwstr>
      </vt:variant>
      <vt:variant>
        <vt:lpwstr/>
      </vt:variant>
      <vt:variant>
        <vt:i4>6684735</vt:i4>
      </vt:variant>
      <vt:variant>
        <vt:i4>120</vt:i4>
      </vt:variant>
      <vt:variant>
        <vt:i4>0</vt:i4>
      </vt:variant>
      <vt:variant>
        <vt:i4>5</vt:i4>
      </vt:variant>
      <vt:variant>
        <vt:lpwstr>http://www.nevo.co.il/law/70301/338.a.3</vt:lpwstr>
      </vt:variant>
      <vt:variant>
        <vt:lpwstr/>
      </vt:variant>
      <vt:variant>
        <vt:i4>6553702</vt:i4>
      </vt:variant>
      <vt:variant>
        <vt:i4>117</vt:i4>
      </vt:variant>
      <vt:variant>
        <vt:i4>0</vt:i4>
      </vt:variant>
      <vt:variant>
        <vt:i4>5</vt:i4>
      </vt:variant>
      <vt:variant>
        <vt:lpwstr>http://www.nevo.co.il/law/70301/31</vt:lpwstr>
      </vt:variant>
      <vt:variant>
        <vt:lpwstr/>
      </vt:variant>
      <vt:variant>
        <vt:i4>4915283</vt:i4>
      </vt:variant>
      <vt:variant>
        <vt:i4>114</vt:i4>
      </vt:variant>
      <vt:variant>
        <vt:i4>0</vt:i4>
      </vt:variant>
      <vt:variant>
        <vt:i4>5</vt:i4>
      </vt:variant>
      <vt:variant>
        <vt:lpwstr>http://www.nevo.co.il/law/70301/402.b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6422628</vt:i4>
      </vt:variant>
      <vt:variant>
        <vt:i4>108</vt:i4>
      </vt:variant>
      <vt:variant>
        <vt:i4>0</vt:i4>
      </vt:variant>
      <vt:variant>
        <vt:i4>5</vt:i4>
      </vt:variant>
      <vt:variant>
        <vt:lpwstr>http://www.nevo.co.il/law/70301/152;29</vt:lpwstr>
      </vt:variant>
      <vt:variant>
        <vt:lpwstr/>
      </vt:variant>
      <vt:variant>
        <vt:i4>3276924</vt:i4>
      </vt:variant>
      <vt:variant>
        <vt:i4>105</vt:i4>
      </vt:variant>
      <vt:variant>
        <vt:i4>0</vt:i4>
      </vt:variant>
      <vt:variant>
        <vt:i4>5</vt:i4>
      </vt:variant>
      <vt:variant>
        <vt:lpwstr>http://www.nevo.co.il/case/28763649</vt:lpwstr>
      </vt:variant>
      <vt:variant>
        <vt:lpwstr/>
      </vt:variant>
      <vt:variant>
        <vt:i4>4063345</vt:i4>
      </vt:variant>
      <vt:variant>
        <vt:i4>102</vt:i4>
      </vt:variant>
      <vt:variant>
        <vt:i4>0</vt:i4>
      </vt:variant>
      <vt:variant>
        <vt:i4>5</vt:i4>
      </vt:variant>
      <vt:variant>
        <vt:lpwstr>http://www.nevo.co.il/case/28752891</vt:lpwstr>
      </vt:variant>
      <vt:variant>
        <vt:lpwstr/>
      </vt:variant>
      <vt:variant>
        <vt:i4>3276914</vt:i4>
      </vt:variant>
      <vt:variant>
        <vt:i4>99</vt:i4>
      </vt:variant>
      <vt:variant>
        <vt:i4>0</vt:i4>
      </vt:variant>
      <vt:variant>
        <vt:i4>5</vt:i4>
      </vt:variant>
      <vt:variant>
        <vt:lpwstr>http://www.nevo.co.il/case/27623350</vt:lpwstr>
      </vt:variant>
      <vt:variant>
        <vt:lpwstr/>
      </vt:variant>
      <vt:variant>
        <vt:i4>65618</vt:i4>
      </vt:variant>
      <vt:variant>
        <vt:i4>96</vt:i4>
      </vt:variant>
      <vt:variant>
        <vt:i4>0</vt:i4>
      </vt:variant>
      <vt:variant>
        <vt:i4>5</vt:i4>
      </vt:variant>
      <vt:variant>
        <vt:lpwstr>http://www.nevo.co.il/law/70301/413e</vt:lpwstr>
      </vt:variant>
      <vt:variant>
        <vt:lpwstr/>
      </vt:variant>
      <vt:variant>
        <vt:i4>6422631</vt:i4>
      </vt:variant>
      <vt:variant>
        <vt:i4>93</vt:i4>
      </vt:variant>
      <vt:variant>
        <vt:i4>0</vt:i4>
      </vt:variant>
      <vt:variant>
        <vt:i4>5</vt:i4>
      </vt:variant>
      <vt:variant>
        <vt:lpwstr>http://www.nevo.co.il/law/70301/275</vt:lpwstr>
      </vt:variant>
      <vt:variant>
        <vt:lpwstr/>
      </vt:variant>
      <vt:variant>
        <vt:i4>6684794</vt:i4>
      </vt:variant>
      <vt:variant>
        <vt:i4>90</vt:i4>
      </vt:variant>
      <vt:variant>
        <vt:i4>0</vt:i4>
      </vt:variant>
      <vt:variant>
        <vt:i4>5</vt:i4>
      </vt:variant>
      <vt:variant>
        <vt:lpwstr>http://www.nevo.co.il/law/70301/332a.a</vt:lpwstr>
      </vt:variant>
      <vt:variant>
        <vt:lpwstr/>
      </vt:variant>
      <vt:variant>
        <vt:i4>6684735</vt:i4>
      </vt:variant>
      <vt:variant>
        <vt:i4>87</vt:i4>
      </vt:variant>
      <vt:variant>
        <vt:i4>0</vt:i4>
      </vt:variant>
      <vt:variant>
        <vt:i4>5</vt:i4>
      </vt:variant>
      <vt:variant>
        <vt:lpwstr>http://www.nevo.co.il/law/70301/338.a.3</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6291556</vt:i4>
      </vt:variant>
      <vt:variant>
        <vt:i4>81</vt:i4>
      </vt:variant>
      <vt:variant>
        <vt:i4>0</vt:i4>
      </vt:variant>
      <vt:variant>
        <vt:i4>5</vt:i4>
      </vt:variant>
      <vt:variant>
        <vt:lpwstr>http://www.nevo.co.il/law/70301/152</vt:lpwstr>
      </vt:variant>
      <vt:variant>
        <vt:lpwstr/>
      </vt:variant>
      <vt:variant>
        <vt:i4>3866744</vt:i4>
      </vt:variant>
      <vt:variant>
        <vt:i4>78</vt:i4>
      </vt:variant>
      <vt:variant>
        <vt:i4>0</vt:i4>
      </vt:variant>
      <vt:variant>
        <vt:i4>5</vt:i4>
      </vt:variant>
      <vt:variant>
        <vt:lpwstr>http://www.nevo.co.il/case/29922728</vt:lpwstr>
      </vt:variant>
      <vt:variant>
        <vt:lpwstr/>
      </vt:variant>
      <vt:variant>
        <vt:i4>3735674</vt:i4>
      </vt:variant>
      <vt:variant>
        <vt:i4>75</vt:i4>
      </vt:variant>
      <vt:variant>
        <vt:i4>0</vt:i4>
      </vt:variant>
      <vt:variant>
        <vt:i4>5</vt:i4>
      </vt:variant>
      <vt:variant>
        <vt:lpwstr>http://www.nevo.co.il/case/28608657</vt:lpwstr>
      </vt:variant>
      <vt:variant>
        <vt:lpwstr/>
      </vt:variant>
      <vt:variant>
        <vt:i4>6684735</vt:i4>
      </vt:variant>
      <vt:variant>
        <vt:i4>72</vt:i4>
      </vt:variant>
      <vt:variant>
        <vt:i4>0</vt:i4>
      </vt:variant>
      <vt:variant>
        <vt:i4>5</vt:i4>
      </vt:variant>
      <vt:variant>
        <vt:lpwstr>http://www.nevo.co.il/law/70301/338.a.3</vt:lpwstr>
      </vt:variant>
      <vt:variant>
        <vt:lpwstr/>
      </vt:variant>
      <vt:variant>
        <vt:i4>196690</vt:i4>
      </vt:variant>
      <vt:variant>
        <vt:i4>69</vt:i4>
      </vt:variant>
      <vt:variant>
        <vt:i4>0</vt:i4>
      </vt:variant>
      <vt:variant>
        <vt:i4>5</vt:i4>
      </vt:variant>
      <vt:variant>
        <vt:lpwstr>http://www.nevo.co.il/law/70301/275a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6291556</vt:i4>
      </vt:variant>
      <vt:variant>
        <vt:i4>63</vt:i4>
      </vt:variant>
      <vt:variant>
        <vt:i4>0</vt:i4>
      </vt:variant>
      <vt:variant>
        <vt:i4>5</vt:i4>
      </vt:variant>
      <vt:variant>
        <vt:lpwstr>http://www.nevo.co.il/law/70301/152</vt:lpwstr>
      </vt:variant>
      <vt:variant>
        <vt:lpwstr/>
      </vt:variant>
      <vt:variant>
        <vt:i4>3342452</vt:i4>
      </vt:variant>
      <vt:variant>
        <vt:i4>60</vt:i4>
      </vt:variant>
      <vt:variant>
        <vt:i4>0</vt:i4>
      </vt:variant>
      <vt:variant>
        <vt:i4>5</vt:i4>
      </vt:variant>
      <vt:variant>
        <vt:lpwstr>http://www.nevo.co.il/case/30006063</vt:lpwstr>
      </vt:variant>
      <vt:variant>
        <vt:lpwstr/>
      </vt:variant>
      <vt:variant>
        <vt:i4>3342461</vt:i4>
      </vt:variant>
      <vt:variant>
        <vt:i4>57</vt:i4>
      </vt:variant>
      <vt:variant>
        <vt:i4>0</vt:i4>
      </vt:variant>
      <vt:variant>
        <vt:i4>5</vt:i4>
      </vt:variant>
      <vt:variant>
        <vt:lpwstr>http://www.nevo.co.il/case/29991992</vt:lpwstr>
      </vt:variant>
      <vt:variant>
        <vt:lpwstr/>
      </vt:variant>
      <vt:variant>
        <vt:i4>4063345</vt:i4>
      </vt:variant>
      <vt:variant>
        <vt:i4>54</vt:i4>
      </vt:variant>
      <vt:variant>
        <vt:i4>0</vt:i4>
      </vt:variant>
      <vt:variant>
        <vt:i4>5</vt:i4>
      </vt:variant>
      <vt:variant>
        <vt:lpwstr>http://www.nevo.co.il/case/28752891</vt:lpwstr>
      </vt:variant>
      <vt:variant>
        <vt:lpwstr/>
      </vt:variant>
      <vt:variant>
        <vt:i4>3211377</vt:i4>
      </vt:variant>
      <vt:variant>
        <vt:i4>51</vt:i4>
      </vt:variant>
      <vt:variant>
        <vt:i4>0</vt:i4>
      </vt:variant>
      <vt:variant>
        <vt:i4>5</vt:i4>
      </vt:variant>
      <vt:variant>
        <vt:lpwstr>http://www.nevo.co.il/case/28681545</vt:lpwstr>
      </vt:variant>
      <vt:variant>
        <vt:lpwstr/>
      </vt:variant>
      <vt:variant>
        <vt:i4>7995492</vt:i4>
      </vt:variant>
      <vt:variant>
        <vt:i4>48</vt:i4>
      </vt:variant>
      <vt:variant>
        <vt:i4>0</vt:i4>
      </vt:variant>
      <vt:variant>
        <vt:i4>5</vt:i4>
      </vt:variant>
      <vt:variant>
        <vt:lpwstr>http://www.nevo.co.il/law/70301</vt:lpwstr>
      </vt:variant>
      <vt:variant>
        <vt:lpwstr/>
      </vt:variant>
      <vt:variant>
        <vt:i4>458831</vt:i4>
      </vt:variant>
      <vt:variant>
        <vt:i4>45</vt:i4>
      </vt:variant>
      <vt:variant>
        <vt:i4>0</vt:i4>
      </vt:variant>
      <vt:variant>
        <vt:i4>5</vt:i4>
      </vt:variant>
      <vt:variant>
        <vt:lpwstr>http://www.nevo.co.il/law/70301/40.b</vt:lpwstr>
      </vt:variant>
      <vt:variant>
        <vt:lpwstr/>
      </vt:variant>
      <vt:variant>
        <vt:i4>3145847</vt:i4>
      </vt:variant>
      <vt:variant>
        <vt:i4>42</vt:i4>
      </vt:variant>
      <vt:variant>
        <vt:i4>0</vt:i4>
      </vt:variant>
      <vt:variant>
        <vt:i4>5</vt:i4>
      </vt:variant>
      <vt:variant>
        <vt:lpwstr>http://www.nevo.co.il/case/27636723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6684735</vt:i4>
      </vt:variant>
      <vt:variant>
        <vt:i4>36</vt:i4>
      </vt:variant>
      <vt:variant>
        <vt:i4>0</vt:i4>
      </vt:variant>
      <vt:variant>
        <vt:i4>5</vt:i4>
      </vt:variant>
      <vt:variant>
        <vt:lpwstr>http://www.nevo.co.il/law/70301/338.a.3</vt:lpwstr>
      </vt:variant>
      <vt:variant>
        <vt:lpwstr/>
      </vt:variant>
      <vt:variant>
        <vt:i4>65618</vt:i4>
      </vt:variant>
      <vt:variant>
        <vt:i4>33</vt:i4>
      </vt:variant>
      <vt:variant>
        <vt:i4>0</vt:i4>
      </vt:variant>
      <vt:variant>
        <vt:i4>5</vt:i4>
      </vt:variant>
      <vt:variant>
        <vt:lpwstr>http://www.nevo.co.il/law/70301/413e</vt:lpwstr>
      </vt:variant>
      <vt:variant>
        <vt:lpwstr/>
      </vt:variant>
      <vt:variant>
        <vt:i4>4915283</vt:i4>
      </vt:variant>
      <vt:variant>
        <vt:i4>30</vt:i4>
      </vt:variant>
      <vt:variant>
        <vt:i4>0</vt:i4>
      </vt:variant>
      <vt:variant>
        <vt:i4>5</vt:i4>
      </vt:variant>
      <vt:variant>
        <vt:lpwstr>http://www.nevo.co.il/law/70301/402.b</vt:lpwstr>
      </vt:variant>
      <vt:variant>
        <vt:lpwstr/>
      </vt:variant>
      <vt:variant>
        <vt:i4>6684735</vt:i4>
      </vt:variant>
      <vt:variant>
        <vt:i4>27</vt:i4>
      </vt:variant>
      <vt:variant>
        <vt:i4>0</vt:i4>
      </vt:variant>
      <vt:variant>
        <vt:i4>5</vt:i4>
      </vt:variant>
      <vt:variant>
        <vt:lpwstr>http://www.nevo.co.il/law/70301/338.a.3</vt:lpwstr>
      </vt:variant>
      <vt:variant>
        <vt:lpwstr/>
      </vt:variant>
      <vt:variant>
        <vt:i4>6684794</vt:i4>
      </vt:variant>
      <vt:variant>
        <vt:i4>24</vt:i4>
      </vt:variant>
      <vt:variant>
        <vt:i4>0</vt:i4>
      </vt:variant>
      <vt:variant>
        <vt:i4>5</vt:i4>
      </vt:variant>
      <vt:variant>
        <vt:lpwstr>http://www.nevo.co.il/law/70301/332a.a</vt:lpwstr>
      </vt:variant>
      <vt:variant>
        <vt:lpwstr/>
      </vt:variant>
      <vt:variant>
        <vt:i4>196690</vt:i4>
      </vt:variant>
      <vt:variant>
        <vt:i4>21</vt:i4>
      </vt:variant>
      <vt:variant>
        <vt:i4>0</vt:i4>
      </vt:variant>
      <vt:variant>
        <vt:i4>5</vt:i4>
      </vt:variant>
      <vt:variant>
        <vt:lpwstr>http://www.nevo.co.il/law/70301/275a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6291556</vt:i4>
      </vt:variant>
      <vt:variant>
        <vt:i4>15</vt:i4>
      </vt:variant>
      <vt:variant>
        <vt:i4>0</vt:i4>
      </vt:variant>
      <vt:variant>
        <vt:i4>5</vt:i4>
      </vt:variant>
      <vt:variant>
        <vt:lpwstr>http://www.nevo.co.il/law/70301/152</vt:lpwstr>
      </vt:variant>
      <vt:variant>
        <vt:lpwstr/>
      </vt:variant>
      <vt:variant>
        <vt:i4>458832</vt:i4>
      </vt:variant>
      <vt:variant>
        <vt:i4>12</vt:i4>
      </vt:variant>
      <vt:variant>
        <vt:i4>0</vt:i4>
      </vt:variant>
      <vt:variant>
        <vt:i4>5</vt:i4>
      </vt:variant>
      <vt:variant>
        <vt:lpwstr>http://www.nevo.co.il/law/70301/144f</vt:lpwstr>
      </vt:variant>
      <vt:variant>
        <vt:lpwstr/>
      </vt:variant>
      <vt:variant>
        <vt:i4>458831</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49021;52754</vt:lpwstr>
  </property>
  <property fmtid="{D5CDD505-2E9C-101B-9397-08002B2CF9AE}" pid="6" name="NEWPARTB">
    <vt:lpwstr>11;11</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זיאד אבו עאיש;יוסף בדר;זכריה אלצאנע;עאסם אלאסד;באקר עביד;נג'ואן אבו מחארב </vt:lpwstr>
  </property>
  <property fmtid="{D5CDD505-2E9C-101B-9397-08002B2CF9AE}" pid="10" name="LAWYER">
    <vt:lpwstr>חופית קנטרוביץ;נאסר מוסטפא</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20240908</vt:lpwstr>
  </property>
  <property fmtid="{D5CDD505-2E9C-101B-9397-08002B2CF9AE}" pid="14" name="TYPE_N_DATE">
    <vt:lpwstr>39020240908</vt:lpwstr>
  </property>
  <property fmtid="{D5CDD505-2E9C-101B-9397-08002B2CF9AE}" pid="15" name="CASESLISTTMP1">
    <vt:lpwstr>27636723:2;28681545;28752891:2;29991992;30006063;28608657;29922728;27623350;28763649;27866933;28263545;28296934</vt:lpwstr>
  </property>
  <property fmtid="{D5CDD505-2E9C-101B-9397-08002B2CF9AE}" pid="16" name="WORDNUMPAGES">
    <vt:lpwstr>13</vt:lpwstr>
  </property>
  <property fmtid="{D5CDD505-2E9C-101B-9397-08002B2CF9AE}" pid="17" name="TYPE_ABS_DATE">
    <vt:lpwstr>390020240908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70301/338.a.3:5;040.b;152:3;275a;332a.a;275;413e;029:2;402.b;031;144f</vt:lpwstr>
  </property>
</Properties>
</file>