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D65C27" w:rsidRPr="00CF2A22" w14:paraId="4A3C3886" w14:textId="77777777" w:rsidTr="00A54E22">
        <w:trPr>
          <w:gridAfter w:val="1"/>
          <w:wAfter w:w="99" w:type="dxa"/>
          <w:trHeight w:hRule="exact" w:val="418"/>
          <w:jc w:val="center"/>
        </w:trPr>
        <w:tc>
          <w:tcPr>
            <w:tcW w:w="8721" w:type="dxa"/>
            <w:gridSpan w:val="4"/>
          </w:tcPr>
          <w:p w14:paraId="0CFFBE82" w14:textId="77777777" w:rsidR="00D65C27" w:rsidRPr="00CF2A22" w:rsidRDefault="00D65C27" w:rsidP="00B85757">
            <w:pPr>
              <w:pStyle w:val="a3"/>
              <w:jc w:val="center"/>
              <w:rPr>
                <w:rFonts w:ascii="Tahoma" w:hAnsi="Tahoma" w:cs="Tahoma"/>
                <w:color w:val="000080"/>
                <w:rtl/>
              </w:rPr>
            </w:pPr>
            <w:bookmarkStart w:id="0" w:name="LastJudge"/>
            <w:r w:rsidRPr="00CF2A22">
              <w:rPr>
                <w:rFonts w:ascii="Tahoma" w:hAnsi="Tahoma" w:cs="Tahoma"/>
                <w:b/>
                <w:bCs/>
                <w:color w:val="000080"/>
                <w:rtl/>
              </w:rPr>
              <w:t>בית המשפט המחוזי בירושלים</w:t>
            </w:r>
          </w:p>
        </w:tc>
      </w:tr>
      <w:tr w:rsidR="00D65C27" w:rsidRPr="00CF2A22" w14:paraId="173AC07A" w14:textId="77777777" w:rsidTr="00A54E22">
        <w:trPr>
          <w:gridAfter w:val="1"/>
          <w:wAfter w:w="99" w:type="dxa"/>
          <w:trHeight w:val="337"/>
          <w:jc w:val="center"/>
        </w:trPr>
        <w:tc>
          <w:tcPr>
            <w:tcW w:w="5058" w:type="dxa"/>
            <w:gridSpan w:val="3"/>
          </w:tcPr>
          <w:p w14:paraId="03514879" w14:textId="77777777" w:rsidR="00D65C27" w:rsidRPr="00CF2A22" w:rsidRDefault="00D65C27" w:rsidP="00B85757">
            <w:pPr>
              <w:rPr>
                <w:rFonts w:cs="FrankRuehl"/>
                <w:sz w:val="28"/>
                <w:szCs w:val="28"/>
                <w:rtl/>
              </w:rPr>
            </w:pPr>
            <w:r w:rsidRPr="00CF2A22">
              <w:rPr>
                <w:rFonts w:cs="FrankRuehl"/>
                <w:sz w:val="28"/>
                <w:szCs w:val="28"/>
                <w:rtl/>
              </w:rPr>
              <w:t>ת"פ</w:t>
            </w:r>
            <w:r w:rsidRPr="00CF2A22">
              <w:rPr>
                <w:rFonts w:cs="FrankRuehl" w:hint="cs"/>
                <w:sz w:val="28"/>
                <w:szCs w:val="28"/>
                <w:rtl/>
              </w:rPr>
              <w:t xml:space="preserve"> </w:t>
            </w:r>
            <w:r w:rsidRPr="00CF2A22">
              <w:rPr>
                <w:rFonts w:cs="FrankRuehl"/>
                <w:sz w:val="28"/>
                <w:szCs w:val="28"/>
                <w:rtl/>
              </w:rPr>
              <w:t>68096-11-21</w:t>
            </w:r>
            <w:r w:rsidRPr="00CF2A22">
              <w:rPr>
                <w:rFonts w:cs="FrankRuehl" w:hint="cs"/>
                <w:sz w:val="28"/>
                <w:szCs w:val="28"/>
                <w:rtl/>
              </w:rPr>
              <w:t xml:space="preserve"> </w:t>
            </w:r>
            <w:r w:rsidRPr="00CF2A22">
              <w:rPr>
                <w:rFonts w:cs="FrankRuehl"/>
                <w:sz w:val="28"/>
                <w:szCs w:val="28"/>
                <w:rtl/>
              </w:rPr>
              <w:t>מדינת ישראל נ' סלהב(עציר)</w:t>
            </w:r>
          </w:p>
          <w:p w14:paraId="6055EAA0" w14:textId="77777777" w:rsidR="00D65C27" w:rsidRPr="00CF2A22" w:rsidRDefault="00D65C27" w:rsidP="00B85757">
            <w:pPr>
              <w:pStyle w:val="a3"/>
              <w:rPr>
                <w:rFonts w:cs="FrankRuehl"/>
                <w:sz w:val="28"/>
                <w:szCs w:val="28"/>
                <w:rtl/>
              </w:rPr>
            </w:pPr>
          </w:p>
        </w:tc>
        <w:tc>
          <w:tcPr>
            <w:tcW w:w="3663" w:type="dxa"/>
          </w:tcPr>
          <w:p w14:paraId="5B16DD75" w14:textId="77777777" w:rsidR="00D65C27" w:rsidRPr="00CF2A22" w:rsidRDefault="00D65C27" w:rsidP="00B85757">
            <w:pPr>
              <w:pStyle w:val="a3"/>
              <w:jc w:val="right"/>
              <w:rPr>
                <w:rFonts w:cs="FrankRuehl"/>
                <w:sz w:val="28"/>
                <w:szCs w:val="28"/>
                <w:rtl/>
              </w:rPr>
            </w:pPr>
          </w:p>
        </w:tc>
      </w:tr>
      <w:tr w:rsidR="00D65C27" w:rsidRPr="00CF2A22" w14:paraId="02FCA8D6" w14:textId="77777777" w:rsidTr="00A54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F6BC2C" w14:textId="77777777" w:rsidR="00D65C27" w:rsidRPr="00CF2A22" w:rsidRDefault="00D65C27" w:rsidP="00D65C27">
            <w:pPr>
              <w:jc w:val="both"/>
              <w:rPr>
                <w:rFonts w:ascii="David" w:hAnsi="David"/>
                <w:sz w:val="26"/>
                <w:szCs w:val="26"/>
              </w:rPr>
            </w:pPr>
            <w:r w:rsidRPr="00CF2A22">
              <w:rPr>
                <w:rFonts w:hint="cs"/>
                <w:rtl/>
              </w:rPr>
              <w:t xml:space="preserve"> </w:t>
            </w:r>
            <w:r w:rsidRPr="00CF2A2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B9DB222" w14:textId="77777777" w:rsidR="00D65C27" w:rsidRPr="00CF2A22" w:rsidRDefault="00D65C27" w:rsidP="00B85757">
            <w:pPr>
              <w:rPr>
                <w:rFonts w:ascii="David" w:hAnsi="David"/>
                <w:b/>
                <w:bCs/>
                <w:sz w:val="26"/>
                <w:szCs w:val="26"/>
                <w:rtl/>
              </w:rPr>
            </w:pPr>
            <w:r w:rsidRPr="00CF2A22">
              <w:rPr>
                <w:rFonts w:ascii="David" w:hAnsi="David"/>
                <w:b/>
                <w:bCs/>
                <w:sz w:val="26"/>
                <w:szCs w:val="26"/>
                <w:rtl/>
              </w:rPr>
              <w:t>כבוד השופטת  דנה כהן-לקח</w:t>
            </w:r>
          </w:p>
          <w:p w14:paraId="1BC7AD80" w14:textId="77777777" w:rsidR="00D65C27" w:rsidRPr="00CF2A22" w:rsidRDefault="00D65C27" w:rsidP="00B85757">
            <w:pPr>
              <w:rPr>
                <w:rFonts w:ascii="David" w:hAnsi="David"/>
                <w:sz w:val="26"/>
                <w:szCs w:val="26"/>
                <w:rtl/>
              </w:rPr>
            </w:pPr>
          </w:p>
          <w:p w14:paraId="5657D7BF" w14:textId="77777777" w:rsidR="00D65C27" w:rsidRPr="00CF2A22" w:rsidRDefault="00D65C27" w:rsidP="00D65C27">
            <w:pPr>
              <w:jc w:val="both"/>
              <w:rPr>
                <w:rFonts w:ascii="David" w:hAnsi="David"/>
                <w:sz w:val="26"/>
                <w:szCs w:val="26"/>
              </w:rPr>
            </w:pPr>
          </w:p>
        </w:tc>
      </w:tr>
      <w:tr w:rsidR="00D65C27" w:rsidRPr="00CF2A22" w14:paraId="061F444D" w14:textId="77777777" w:rsidTr="00A54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E5C32E" w14:textId="77777777" w:rsidR="00D65C27" w:rsidRPr="00CF2A22" w:rsidRDefault="00D65C27" w:rsidP="00D65C27">
            <w:pPr>
              <w:jc w:val="both"/>
              <w:rPr>
                <w:rFonts w:ascii="David" w:hAnsi="David"/>
                <w:sz w:val="26"/>
                <w:szCs w:val="26"/>
              </w:rPr>
            </w:pPr>
            <w:bookmarkStart w:id="1" w:name="FirstAppellant"/>
            <w:bookmarkStart w:id="2" w:name="FirstLawyer"/>
            <w:r w:rsidRPr="00CF2A22">
              <w:rPr>
                <w:rFonts w:ascii="David" w:hAnsi="David"/>
                <w:sz w:val="26"/>
                <w:szCs w:val="26"/>
                <w:rtl/>
              </w:rPr>
              <w:t>בעניין:</w:t>
            </w:r>
          </w:p>
        </w:tc>
        <w:tc>
          <w:tcPr>
            <w:tcW w:w="3219" w:type="dxa"/>
            <w:tcBorders>
              <w:top w:val="nil"/>
              <w:left w:val="nil"/>
              <w:bottom w:val="nil"/>
              <w:right w:val="nil"/>
            </w:tcBorders>
            <w:shd w:val="clear" w:color="auto" w:fill="auto"/>
          </w:tcPr>
          <w:p w14:paraId="567D8059" w14:textId="77777777" w:rsidR="00D65C27" w:rsidRPr="00CF2A22" w:rsidRDefault="00D65C27" w:rsidP="00D65C27">
            <w:pPr>
              <w:suppressLineNumbers/>
            </w:pPr>
            <w:r w:rsidRPr="00CF2A22">
              <w:rPr>
                <w:rFonts w:ascii="Arial" w:hAnsi="Arial" w:hint="cs"/>
                <w:b/>
                <w:bCs/>
                <w:sz w:val="26"/>
                <w:szCs w:val="26"/>
                <w:rtl/>
              </w:rPr>
              <w:t>ה</w:t>
            </w:r>
            <w:r w:rsidRPr="00CF2A22">
              <w:rPr>
                <w:rFonts w:ascii="Arial" w:hAnsi="Arial"/>
                <w:b/>
                <w:bCs/>
                <w:sz w:val="26"/>
                <w:szCs w:val="26"/>
                <w:rtl/>
              </w:rPr>
              <w:t>מאשימה</w:t>
            </w:r>
          </w:p>
          <w:p w14:paraId="27B1AF80" w14:textId="77777777" w:rsidR="00D65C27" w:rsidRPr="00CF2A22" w:rsidRDefault="00D65C27" w:rsidP="00B8575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A67AD1" w14:textId="77777777" w:rsidR="00D65C27" w:rsidRPr="00CF2A22" w:rsidRDefault="00D65C27" w:rsidP="00D65C27">
            <w:pPr>
              <w:suppressLineNumbers/>
              <w:rPr>
                <w:rFonts w:ascii="Arial" w:hAnsi="Arial"/>
                <w:b/>
                <w:bCs/>
                <w:sz w:val="26"/>
                <w:szCs w:val="26"/>
                <w:rtl/>
              </w:rPr>
            </w:pPr>
            <w:r w:rsidRPr="00CF2A22">
              <w:rPr>
                <w:rFonts w:ascii="Arial" w:hAnsi="Arial"/>
                <w:b/>
                <w:bCs/>
                <w:sz w:val="26"/>
                <w:szCs w:val="26"/>
                <w:rtl/>
              </w:rPr>
              <w:t>מדינת ישראל</w:t>
            </w:r>
            <w:r w:rsidRPr="00CF2A22">
              <w:rPr>
                <w:rFonts w:ascii="Arial" w:hAnsi="Arial" w:hint="cs"/>
                <w:b/>
                <w:bCs/>
                <w:sz w:val="26"/>
                <w:szCs w:val="26"/>
                <w:rtl/>
              </w:rPr>
              <w:t xml:space="preserve"> </w:t>
            </w:r>
          </w:p>
          <w:p w14:paraId="1BC2A268" w14:textId="77777777" w:rsidR="00D65C27" w:rsidRPr="00CF2A22" w:rsidRDefault="00D65C27" w:rsidP="00D65C27">
            <w:pPr>
              <w:suppressLineNumbers/>
            </w:pPr>
            <w:r w:rsidRPr="00CF2A22">
              <w:rPr>
                <w:rFonts w:ascii="Arial" w:hAnsi="Arial"/>
                <w:b/>
                <w:bCs/>
                <w:sz w:val="26"/>
                <w:szCs w:val="26"/>
                <w:rtl/>
              </w:rPr>
              <w:t xml:space="preserve">ע"י ב"כ </w:t>
            </w:r>
            <w:r w:rsidRPr="00CF2A22">
              <w:rPr>
                <w:rFonts w:ascii="Arial" w:hAnsi="Arial" w:hint="cs"/>
                <w:b/>
                <w:bCs/>
                <w:sz w:val="26"/>
                <w:szCs w:val="26"/>
                <w:rtl/>
              </w:rPr>
              <w:t>עו"ד דולי מזעל (פמ"י)</w:t>
            </w:r>
          </w:p>
          <w:p w14:paraId="14DD3AA3" w14:textId="77777777" w:rsidR="00D65C27" w:rsidRPr="00CF2A22" w:rsidRDefault="00D65C27" w:rsidP="00B85757">
            <w:pPr>
              <w:rPr>
                <w:rFonts w:ascii="David" w:hAnsi="David"/>
                <w:sz w:val="26"/>
                <w:szCs w:val="26"/>
              </w:rPr>
            </w:pPr>
          </w:p>
        </w:tc>
      </w:tr>
      <w:bookmarkEnd w:id="1"/>
      <w:bookmarkEnd w:id="2"/>
      <w:tr w:rsidR="00D65C27" w:rsidRPr="00CF2A22" w14:paraId="4CA54A08" w14:textId="77777777" w:rsidTr="00A54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8C0394" w14:textId="77777777" w:rsidR="00D65C27" w:rsidRPr="00CF2A22" w:rsidRDefault="00D65C27" w:rsidP="00D65C2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E723B27" w14:textId="77777777" w:rsidR="00D65C27" w:rsidRPr="00CF2A22" w:rsidRDefault="00D65C27" w:rsidP="00D65C27">
            <w:pPr>
              <w:jc w:val="center"/>
              <w:rPr>
                <w:rFonts w:ascii="David" w:hAnsi="David"/>
                <w:b/>
                <w:bCs/>
                <w:sz w:val="26"/>
                <w:szCs w:val="26"/>
                <w:rtl/>
              </w:rPr>
            </w:pPr>
          </w:p>
          <w:p w14:paraId="6F5420B4" w14:textId="77777777" w:rsidR="00D65C27" w:rsidRPr="00CF2A22" w:rsidRDefault="00D65C27" w:rsidP="00D65C27">
            <w:pPr>
              <w:jc w:val="center"/>
              <w:rPr>
                <w:rFonts w:ascii="David" w:hAnsi="David"/>
                <w:b/>
                <w:bCs/>
                <w:sz w:val="26"/>
                <w:szCs w:val="26"/>
                <w:rtl/>
              </w:rPr>
            </w:pPr>
            <w:r w:rsidRPr="00CF2A22">
              <w:rPr>
                <w:rFonts w:ascii="David" w:hAnsi="David"/>
                <w:b/>
                <w:bCs/>
                <w:sz w:val="26"/>
                <w:szCs w:val="26"/>
                <w:rtl/>
              </w:rPr>
              <w:t>נגד</w:t>
            </w:r>
          </w:p>
          <w:p w14:paraId="09779BEB" w14:textId="77777777" w:rsidR="00D65C27" w:rsidRPr="00CF2A22" w:rsidRDefault="00D65C27" w:rsidP="00D65C27">
            <w:pPr>
              <w:jc w:val="both"/>
              <w:rPr>
                <w:rFonts w:ascii="David" w:hAnsi="David"/>
                <w:sz w:val="26"/>
                <w:szCs w:val="26"/>
              </w:rPr>
            </w:pPr>
          </w:p>
        </w:tc>
      </w:tr>
      <w:tr w:rsidR="00D65C27" w:rsidRPr="00CF2A22" w14:paraId="2BC7D9E5" w14:textId="77777777" w:rsidTr="00A54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15EF91" w14:textId="77777777" w:rsidR="00D65C27" w:rsidRPr="00CF2A22" w:rsidRDefault="00D65C27" w:rsidP="00B85757">
            <w:pPr>
              <w:rPr>
                <w:rFonts w:ascii="David" w:hAnsi="David"/>
                <w:sz w:val="26"/>
                <w:szCs w:val="26"/>
                <w:rtl/>
              </w:rPr>
            </w:pPr>
          </w:p>
        </w:tc>
        <w:tc>
          <w:tcPr>
            <w:tcW w:w="3219" w:type="dxa"/>
            <w:tcBorders>
              <w:top w:val="nil"/>
              <w:left w:val="nil"/>
              <w:bottom w:val="nil"/>
              <w:right w:val="nil"/>
            </w:tcBorders>
            <w:shd w:val="clear" w:color="auto" w:fill="auto"/>
          </w:tcPr>
          <w:p w14:paraId="709485A2" w14:textId="77777777" w:rsidR="00D65C27" w:rsidRPr="00CF2A22" w:rsidRDefault="00D65C27" w:rsidP="00B85757">
            <w:pPr>
              <w:rPr>
                <w:rFonts w:ascii="Arial" w:hAnsi="Arial"/>
                <w:b/>
                <w:bCs/>
                <w:sz w:val="26"/>
                <w:szCs w:val="26"/>
                <w:rtl/>
              </w:rPr>
            </w:pPr>
            <w:r w:rsidRPr="00CF2A2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CD790B7" w14:textId="77777777" w:rsidR="00D65C27" w:rsidRPr="00CF2A22" w:rsidRDefault="00D65C27" w:rsidP="00D65C27">
            <w:pPr>
              <w:suppressLineNumbers/>
              <w:rPr>
                <w:rFonts w:ascii="Arial" w:hAnsi="Arial"/>
                <w:b/>
                <w:bCs/>
                <w:sz w:val="26"/>
                <w:szCs w:val="26"/>
                <w:rtl/>
              </w:rPr>
            </w:pPr>
            <w:r w:rsidRPr="00CF2A22">
              <w:rPr>
                <w:rFonts w:ascii="Arial" w:hAnsi="Arial"/>
                <w:b/>
                <w:bCs/>
                <w:sz w:val="26"/>
                <w:szCs w:val="26"/>
                <w:rtl/>
              </w:rPr>
              <w:t>מחמד סלהב (עציר)</w:t>
            </w:r>
            <w:r w:rsidRPr="00CF2A22">
              <w:rPr>
                <w:rFonts w:ascii="Arial" w:hAnsi="Arial" w:hint="cs"/>
                <w:b/>
                <w:bCs/>
                <w:sz w:val="26"/>
                <w:szCs w:val="26"/>
                <w:rtl/>
              </w:rPr>
              <w:t xml:space="preserve"> </w:t>
            </w:r>
          </w:p>
          <w:p w14:paraId="44D76F82" w14:textId="77777777" w:rsidR="00D65C27" w:rsidRPr="00CF2A22" w:rsidRDefault="00D65C27" w:rsidP="00D65C27">
            <w:pPr>
              <w:suppressLineNumbers/>
            </w:pPr>
            <w:r w:rsidRPr="00CF2A22">
              <w:rPr>
                <w:rFonts w:ascii="Arial" w:hAnsi="Arial"/>
                <w:b/>
                <w:bCs/>
                <w:sz w:val="26"/>
                <w:szCs w:val="26"/>
                <w:rtl/>
              </w:rPr>
              <w:t>ע"י ב"כ עו"ד</w:t>
            </w:r>
            <w:r w:rsidRPr="00CF2A22">
              <w:rPr>
                <w:rFonts w:ascii="Arial" w:hAnsi="Arial" w:hint="cs"/>
                <w:b/>
                <w:bCs/>
                <w:sz w:val="26"/>
                <w:szCs w:val="26"/>
                <w:rtl/>
              </w:rPr>
              <w:t xml:space="preserve"> מוחמד מחמוד</w:t>
            </w:r>
          </w:p>
          <w:p w14:paraId="17DD9C74" w14:textId="77777777" w:rsidR="00D65C27" w:rsidRPr="00CF2A22" w:rsidRDefault="00D65C27" w:rsidP="00B85757">
            <w:pPr>
              <w:rPr>
                <w:rFonts w:ascii="David" w:hAnsi="David"/>
                <w:sz w:val="26"/>
                <w:szCs w:val="26"/>
              </w:rPr>
            </w:pPr>
          </w:p>
        </w:tc>
      </w:tr>
    </w:tbl>
    <w:p w14:paraId="2CFEF22C" w14:textId="77777777" w:rsidR="00A54E22" w:rsidRDefault="00A54E22" w:rsidP="00CF2A22">
      <w:pPr>
        <w:rPr>
          <w:sz w:val="26"/>
          <w:szCs w:val="26"/>
          <w:rtl/>
        </w:rPr>
      </w:pPr>
    </w:p>
    <w:p w14:paraId="4B9D3C81" w14:textId="77777777" w:rsidR="00A54E22" w:rsidRPr="00A54E22" w:rsidRDefault="00A54E22" w:rsidP="00A54E22">
      <w:pPr>
        <w:spacing w:after="120" w:line="240" w:lineRule="exact"/>
        <w:ind w:left="283" w:hanging="283"/>
        <w:jc w:val="both"/>
        <w:rPr>
          <w:rFonts w:ascii="FrankRuehl" w:hAnsi="FrankRuehl" w:cs="FrankRuehl"/>
          <w:rtl/>
        </w:rPr>
      </w:pPr>
    </w:p>
    <w:p w14:paraId="6A26F561" w14:textId="77777777" w:rsidR="00B255B9" w:rsidRPr="00B255B9" w:rsidRDefault="00B255B9" w:rsidP="00B255B9">
      <w:pPr>
        <w:spacing w:before="120" w:after="120" w:line="240" w:lineRule="exact"/>
        <w:ind w:left="283" w:hanging="283"/>
        <w:jc w:val="both"/>
        <w:rPr>
          <w:rFonts w:ascii="FrankRuehl" w:hAnsi="FrankRuehl" w:cs="FrankRuehl"/>
          <w:rtl/>
        </w:rPr>
      </w:pPr>
    </w:p>
    <w:p w14:paraId="73A0863E" w14:textId="77777777" w:rsidR="009F13B1" w:rsidRDefault="009F13B1" w:rsidP="009F13B1">
      <w:pPr>
        <w:rPr>
          <w:sz w:val="26"/>
          <w:szCs w:val="26"/>
          <w:rtl/>
        </w:rPr>
      </w:pPr>
      <w:bookmarkStart w:id="3" w:name="LawTable"/>
      <w:bookmarkEnd w:id="3"/>
    </w:p>
    <w:p w14:paraId="704AE9F6" w14:textId="77777777" w:rsidR="009F13B1" w:rsidRPr="009F13B1" w:rsidRDefault="009F13B1" w:rsidP="009F13B1">
      <w:pPr>
        <w:spacing w:before="120" w:after="120" w:line="240" w:lineRule="exact"/>
        <w:ind w:left="283" w:hanging="283"/>
        <w:jc w:val="both"/>
        <w:rPr>
          <w:rFonts w:ascii="FrankRuehl" w:hAnsi="FrankRuehl" w:cs="FrankRuehl"/>
          <w:rtl/>
        </w:rPr>
      </w:pPr>
    </w:p>
    <w:p w14:paraId="04FE82E0" w14:textId="77777777" w:rsidR="009F13B1" w:rsidRPr="009F13B1" w:rsidRDefault="009F13B1" w:rsidP="009F13B1">
      <w:pPr>
        <w:spacing w:before="120" w:after="120" w:line="240" w:lineRule="exact"/>
        <w:ind w:left="283" w:hanging="283"/>
        <w:jc w:val="both"/>
        <w:rPr>
          <w:rFonts w:ascii="FrankRuehl" w:hAnsi="FrankRuehl" w:cs="FrankRuehl"/>
          <w:rtl/>
        </w:rPr>
      </w:pPr>
    </w:p>
    <w:p w14:paraId="32EF6C45" w14:textId="77777777" w:rsidR="009F13B1" w:rsidRPr="009F13B1" w:rsidRDefault="009F13B1" w:rsidP="009F13B1">
      <w:pPr>
        <w:spacing w:before="120" w:after="120" w:line="240" w:lineRule="exact"/>
        <w:ind w:left="283" w:hanging="283"/>
        <w:jc w:val="both"/>
        <w:rPr>
          <w:rFonts w:ascii="FrankRuehl" w:hAnsi="FrankRuehl" w:cs="FrankRuehl"/>
          <w:rtl/>
        </w:rPr>
      </w:pPr>
      <w:r w:rsidRPr="009F13B1">
        <w:rPr>
          <w:rFonts w:ascii="FrankRuehl" w:hAnsi="FrankRuehl" w:cs="FrankRuehl"/>
          <w:rtl/>
        </w:rPr>
        <w:t xml:space="preserve">חקיקה שאוזכרה: </w:t>
      </w:r>
    </w:p>
    <w:p w14:paraId="261962F1" w14:textId="77777777" w:rsidR="009F13B1" w:rsidRPr="009F13B1" w:rsidRDefault="009F13B1" w:rsidP="009F13B1">
      <w:pPr>
        <w:spacing w:before="120" w:after="120" w:line="240" w:lineRule="exact"/>
        <w:ind w:left="283" w:hanging="283"/>
        <w:jc w:val="both"/>
        <w:rPr>
          <w:rFonts w:ascii="FrankRuehl" w:hAnsi="FrankRuehl" w:cs="FrankRuehl"/>
          <w:rtl/>
        </w:rPr>
      </w:pPr>
      <w:hyperlink r:id="rId6" w:history="1">
        <w:r w:rsidRPr="009F13B1">
          <w:rPr>
            <w:rFonts w:ascii="FrankRuehl" w:hAnsi="FrankRuehl" w:cs="FrankRuehl"/>
            <w:color w:val="0000FF"/>
            <w:rtl/>
          </w:rPr>
          <w:t>חוק העונשין, תשל"ז-1977</w:t>
        </w:r>
      </w:hyperlink>
      <w:r w:rsidRPr="009F13B1">
        <w:rPr>
          <w:rFonts w:ascii="FrankRuehl" w:hAnsi="FrankRuehl" w:cs="FrankRuehl"/>
          <w:rtl/>
        </w:rPr>
        <w:t xml:space="preserve">: סע'  </w:t>
      </w:r>
      <w:hyperlink r:id="rId7" w:history="1">
        <w:r w:rsidRPr="009F13B1">
          <w:rPr>
            <w:rFonts w:ascii="FrankRuehl" w:hAnsi="FrankRuehl" w:cs="FrankRuehl"/>
            <w:color w:val="0000FF"/>
            <w:rtl/>
          </w:rPr>
          <w:t>25</w:t>
        </w:r>
      </w:hyperlink>
      <w:r w:rsidRPr="009F13B1">
        <w:rPr>
          <w:rFonts w:ascii="FrankRuehl" w:hAnsi="FrankRuehl" w:cs="FrankRuehl"/>
          <w:rtl/>
        </w:rPr>
        <w:t xml:space="preserve">, </w:t>
      </w:r>
      <w:hyperlink r:id="rId8" w:history="1">
        <w:r w:rsidRPr="009F13B1">
          <w:rPr>
            <w:rFonts w:ascii="FrankRuehl" w:hAnsi="FrankRuehl" w:cs="FrankRuehl"/>
            <w:color w:val="0000FF"/>
            <w:rtl/>
          </w:rPr>
          <w:t>34ד</w:t>
        </w:r>
      </w:hyperlink>
      <w:r w:rsidRPr="009F13B1">
        <w:rPr>
          <w:rFonts w:ascii="FrankRuehl" w:hAnsi="FrankRuehl" w:cs="FrankRuehl"/>
          <w:rtl/>
        </w:rPr>
        <w:t xml:space="preserve">, </w:t>
      </w:r>
      <w:hyperlink r:id="rId9" w:history="1">
        <w:r w:rsidRPr="009F13B1">
          <w:rPr>
            <w:rFonts w:ascii="FrankRuehl" w:hAnsi="FrankRuehl" w:cs="FrankRuehl"/>
            <w:color w:val="0000FF"/>
            <w:rtl/>
          </w:rPr>
          <w:t>40ג(א)</w:t>
        </w:r>
      </w:hyperlink>
      <w:r w:rsidRPr="009F13B1">
        <w:rPr>
          <w:rFonts w:ascii="FrankRuehl" w:hAnsi="FrankRuehl" w:cs="FrankRuehl"/>
          <w:rtl/>
        </w:rPr>
        <w:t xml:space="preserve">, </w:t>
      </w:r>
      <w:hyperlink r:id="rId10" w:history="1">
        <w:r w:rsidRPr="009F13B1">
          <w:rPr>
            <w:rFonts w:ascii="FrankRuehl" w:hAnsi="FrankRuehl" w:cs="FrankRuehl"/>
            <w:color w:val="0000FF"/>
            <w:rtl/>
          </w:rPr>
          <w:t>40ו</w:t>
        </w:r>
      </w:hyperlink>
      <w:r w:rsidRPr="009F13B1">
        <w:rPr>
          <w:rFonts w:ascii="FrankRuehl" w:hAnsi="FrankRuehl" w:cs="FrankRuehl"/>
          <w:rtl/>
        </w:rPr>
        <w:t xml:space="preserve">, </w:t>
      </w:r>
      <w:hyperlink r:id="rId11" w:history="1">
        <w:r w:rsidRPr="009F13B1">
          <w:rPr>
            <w:rFonts w:ascii="FrankRuehl" w:hAnsi="FrankRuehl" w:cs="FrankRuehl"/>
            <w:color w:val="0000FF"/>
            <w:rtl/>
          </w:rPr>
          <w:t>40ז</w:t>
        </w:r>
      </w:hyperlink>
      <w:r w:rsidRPr="009F13B1">
        <w:rPr>
          <w:rFonts w:ascii="FrankRuehl" w:hAnsi="FrankRuehl" w:cs="FrankRuehl"/>
          <w:rtl/>
        </w:rPr>
        <w:t xml:space="preserve">, </w:t>
      </w:r>
      <w:hyperlink r:id="rId12" w:history="1">
        <w:r w:rsidRPr="009F13B1">
          <w:rPr>
            <w:rFonts w:ascii="FrankRuehl" w:hAnsi="FrankRuehl" w:cs="FrankRuehl"/>
            <w:color w:val="0000FF"/>
            <w:rtl/>
          </w:rPr>
          <w:t>144(ב)</w:t>
        </w:r>
      </w:hyperlink>
      <w:r w:rsidRPr="009F13B1">
        <w:rPr>
          <w:rFonts w:ascii="FrankRuehl" w:hAnsi="FrankRuehl" w:cs="FrankRuehl"/>
          <w:rtl/>
        </w:rPr>
        <w:t xml:space="preserve">, </w:t>
      </w:r>
      <w:hyperlink r:id="rId13" w:history="1">
        <w:r w:rsidRPr="009F13B1">
          <w:rPr>
            <w:rFonts w:ascii="FrankRuehl" w:hAnsi="FrankRuehl" w:cs="FrankRuehl"/>
            <w:color w:val="0000FF"/>
            <w:rtl/>
          </w:rPr>
          <w:t>144(ב2)</w:t>
        </w:r>
      </w:hyperlink>
      <w:r w:rsidRPr="009F13B1">
        <w:rPr>
          <w:rFonts w:ascii="FrankRuehl" w:hAnsi="FrankRuehl" w:cs="FrankRuehl"/>
          <w:rtl/>
        </w:rPr>
        <w:t xml:space="preserve">, </w:t>
      </w:r>
      <w:hyperlink r:id="rId14" w:history="1">
        <w:r w:rsidRPr="009F13B1">
          <w:rPr>
            <w:rFonts w:ascii="FrankRuehl" w:hAnsi="FrankRuehl" w:cs="FrankRuehl"/>
            <w:color w:val="0000FF"/>
            <w:rtl/>
          </w:rPr>
          <w:t>40יא</w:t>
        </w:r>
      </w:hyperlink>
      <w:r w:rsidRPr="009F13B1">
        <w:rPr>
          <w:rFonts w:ascii="FrankRuehl" w:hAnsi="FrankRuehl" w:cs="FrankRuehl"/>
          <w:rtl/>
        </w:rPr>
        <w:t xml:space="preserve">, </w:t>
      </w:r>
      <w:hyperlink r:id="rId15" w:history="1">
        <w:r w:rsidRPr="009F13B1">
          <w:rPr>
            <w:rFonts w:ascii="FrankRuehl" w:hAnsi="FrankRuehl" w:cs="FrankRuehl"/>
            <w:color w:val="0000FF"/>
            <w:rtl/>
          </w:rPr>
          <w:t>40יג(א)</w:t>
        </w:r>
      </w:hyperlink>
    </w:p>
    <w:p w14:paraId="36F58328" w14:textId="77777777" w:rsidR="009F13B1" w:rsidRPr="009F13B1" w:rsidRDefault="009F13B1" w:rsidP="009F13B1">
      <w:pPr>
        <w:spacing w:before="120" w:after="120" w:line="240" w:lineRule="exact"/>
        <w:ind w:left="283" w:hanging="283"/>
        <w:jc w:val="both"/>
        <w:rPr>
          <w:rFonts w:ascii="FrankRuehl" w:hAnsi="FrankRuehl" w:cs="FrankRuehl"/>
          <w:rtl/>
        </w:rPr>
      </w:pPr>
      <w:hyperlink r:id="rId16" w:history="1">
        <w:r w:rsidRPr="009F13B1">
          <w:rPr>
            <w:rFonts w:ascii="FrankRuehl" w:hAnsi="FrankRuehl" w:cs="FrankRuehl"/>
            <w:color w:val="0000FF"/>
            <w:rtl/>
          </w:rPr>
          <w:t>חוק סדר הדין הפלילי [נוסח משולב], תשמ"ב-1982</w:t>
        </w:r>
      </w:hyperlink>
      <w:r w:rsidRPr="009F13B1">
        <w:rPr>
          <w:rFonts w:ascii="FrankRuehl" w:hAnsi="FrankRuehl" w:cs="FrankRuehl"/>
          <w:rtl/>
        </w:rPr>
        <w:t xml:space="preserve">: סע'  </w:t>
      </w:r>
      <w:hyperlink r:id="rId17" w:history="1">
        <w:r w:rsidRPr="009F13B1">
          <w:rPr>
            <w:rFonts w:ascii="FrankRuehl" w:hAnsi="FrankRuehl" w:cs="FrankRuehl"/>
            <w:color w:val="0000FF"/>
            <w:rtl/>
          </w:rPr>
          <w:t>186</w:t>
        </w:r>
      </w:hyperlink>
    </w:p>
    <w:p w14:paraId="03B55393" w14:textId="77777777" w:rsidR="009F13B1" w:rsidRPr="009F13B1" w:rsidRDefault="009F13B1" w:rsidP="009F13B1">
      <w:pPr>
        <w:rPr>
          <w:sz w:val="26"/>
          <w:szCs w:val="26"/>
          <w:rtl/>
        </w:rPr>
      </w:pPr>
      <w:bookmarkStart w:id="4" w:name="LawTable_End"/>
      <w:bookmarkEnd w:id="4"/>
    </w:p>
    <w:p w14:paraId="5E53F129" w14:textId="77777777" w:rsidR="00D65C27" w:rsidRPr="00B255B9" w:rsidRDefault="00D65C27" w:rsidP="00B255B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5C27" w14:paraId="0F8B565D" w14:textId="77777777" w:rsidTr="00D65C27">
        <w:trPr>
          <w:trHeight w:val="355"/>
          <w:jc w:val="center"/>
        </w:trPr>
        <w:tc>
          <w:tcPr>
            <w:tcW w:w="8820" w:type="dxa"/>
            <w:tcBorders>
              <w:top w:val="nil"/>
              <w:left w:val="nil"/>
              <w:bottom w:val="nil"/>
              <w:right w:val="nil"/>
            </w:tcBorders>
            <w:shd w:val="clear" w:color="auto" w:fill="auto"/>
          </w:tcPr>
          <w:p w14:paraId="5557AC07" w14:textId="77777777" w:rsidR="00CF2A22" w:rsidRPr="00CF2A22" w:rsidRDefault="00CF2A22" w:rsidP="00CF2A22">
            <w:pPr>
              <w:jc w:val="center"/>
              <w:rPr>
                <w:rFonts w:ascii="David" w:hAnsi="David"/>
                <w:b/>
                <w:bCs/>
                <w:sz w:val="32"/>
                <w:szCs w:val="32"/>
                <w:u w:val="single"/>
                <w:rtl/>
              </w:rPr>
            </w:pPr>
            <w:bookmarkStart w:id="5" w:name="PsakDin" w:colFirst="0" w:colLast="0"/>
            <w:bookmarkEnd w:id="0"/>
            <w:r w:rsidRPr="00CF2A22">
              <w:rPr>
                <w:rFonts w:ascii="David" w:hAnsi="David"/>
                <w:b/>
                <w:bCs/>
                <w:sz w:val="32"/>
                <w:szCs w:val="32"/>
                <w:u w:val="single"/>
                <w:rtl/>
              </w:rPr>
              <w:t>גזר דין</w:t>
            </w:r>
          </w:p>
          <w:p w14:paraId="1F6F653B" w14:textId="77777777" w:rsidR="00D65C27" w:rsidRPr="00CF2A22" w:rsidRDefault="00D65C27" w:rsidP="00CF2A22">
            <w:pPr>
              <w:jc w:val="center"/>
              <w:rPr>
                <w:rFonts w:ascii="David" w:hAnsi="David"/>
                <w:bCs/>
                <w:sz w:val="32"/>
                <w:szCs w:val="32"/>
                <w:u w:val="single"/>
                <w:rtl/>
              </w:rPr>
            </w:pPr>
          </w:p>
        </w:tc>
      </w:tr>
      <w:bookmarkEnd w:id="5"/>
    </w:tbl>
    <w:p w14:paraId="6F7CDDA9" w14:textId="77777777" w:rsidR="00D65C27" w:rsidRPr="000F2247" w:rsidRDefault="00D65C27" w:rsidP="00D65C27">
      <w:pPr>
        <w:rPr>
          <w:rFonts w:ascii="Arial" w:hAnsi="Arial"/>
          <w:b/>
          <w:bCs/>
          <w:sz w:val="26"/>
          <w:szCs w:val="26"/>
          <w:rtl/>
        </w:rPr>
      </w:pPr>
    </w:p>
    <w:p w14:paraId="24509F3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Pr>
      </w:pPr>
      <w:r w:rsidRPr="00807FA9">
        <w:rPr>
          <w:rFonts w:ascii="Arial TUR" w:hAnsi="Arial TUR" w:cs="FrankRuehl"/>
          <w:b/>
          <w:bCs/>
          <w:spacing w:val="10"/>
          <w:sz w:val="22"/>
          <w:szCs w:val="28"/>
          <w:u w:val="single"/>
          <w:rtl/>
        </w:rPr>
        <w:t>רקע</w:t>
      </w:r>
      <w:bookmarkStart w:id="6" w:name="ABSTRACT_START"/>
      <w:bookmarkEnd w:id="6"/>
    </w:p>
    <w:p w14:paraId="43F906E1"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1.</w:t>
      </w:r>
      <w:r w:rsidRPr="00807FA9">
        <w:rPr>
          <w:rFonts w:ascii="Arial TUR" w:hAnsi="Arial TUR" w:cs="FrankRuehl"/>
          <w:spacing w:val="10"/>
          <w:sz w:val="22"/>
          <w:szCs w:val="28"/>
          <w:rtl/>
        </w:rPr>
        <w:tab/>
        <w:t xml:space="preserve">הנאשם הורשע לפי הודאתו במסגרת הסדר טיעון, בעבירה של נשיאה והובלה של נשק ותחמושת לפי </w:t>
      </w:r>
      <w:hyperlink r:id="rId18" w:history="1">
        <w:r w:rsidR="00A54E22" w:rsidRPr="00A54E22">
          <w:rPr>
            <w:rStyle w:val="Hyperlink"/>
            <w:rFonts w:ascii="Arial TUR" w:hAnsi="Arial TUR" w:cs="FrankRuehl"/>
            <w:spacing w:val="10"/>
            <w:sz w:val="22"/>
            <w:szCs w:val="28"/>
            <w:rtl/>
          </w:rPr>
          <w:t>סעיף 144(ב)</w:t>
        </w:r>
      </w:hyperlink>
      <w:r w:rsidRPr="00807FA9">
        <w:rPr>
          <w:rFonts w:ascii="Arial TUR" w:hAnsi="Arial TUR" w:cs="FrankRuehl"/>
          <w:spacing w:val="10"/>
          <w:sz w:val="22"/>
          <w:szCs w:val="28"/>
          <w:rtl/>
        </w:rPr>
        <w:t xml:space="preserve"> רישא וסיפא ל</w:t>
      </w:r>
      <w:hyperlink r:id="rId19"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התשל"ז-1977 (להלן: </w:t>
      </w:r>
      <w:r w:rsidRPr="00807FA9">
        <w:rPr>
          <w:rFonts w:ascii="Century" w:hAnsi="Century" w:cs="Miriam"/>
          <w:b/>
          <w:sz w:val="22"/>
          <w:rtl/>
        </w:rPr>
        <w:t>חוק העונשין</w:t>
      </w:r>
      <w:r w:rsidRPr="00807FA9">
        <w:rPr>
          <w:rFonts w:ascii="Arial TUR" w:hAnsi="Arial TUR" w:cs="FrankRuehl"/>
          <w:spacing w:val="10"/>
          <w:sz w:val="22"/>
          <w:szCs w:val="28"/>
          <w:rtl/>
        </w:rPr>
        <w:t xml:space="preserve"> או: </w:t>
      </w:r>
      <w:r w:rsidRPr="00807FA9">
        <w:rPr>
          <w:rFonts w:ascii="Century" w:hAnsi="Century" w:cs="Miriam"/>
          <w:b/>
          <w:sz w:val="22"/>
          <w:rtl/>
        </w:rPr>
        <w:t>החוק</w:t>
      </w:r>
      <w:r w:rsidRPr="00807FA9">
        <w:rPr>
          <w:rFonts w:ascii="Arial TUR" w:hAnsi="Arial TUR" w:cs="FrankRuehl"/>
          <w:spacing w:val="10"/>
          <w:sz w:val="22"/>
          <w:szCs w:val="28"/>
          <w:rtl/>
        </w:rPr>
        <w:t xml:space="preserve">), וכן בעבירה של ניסיון לסחר בנשק לפי </w:t>
      </w:r>
      <w:hyperlink r:id="rId20" w:history="1">
        <w:r w:rsidR="00A54E22" w:rsidRPr="00A54E22">
          <w:rPr>
            <w:rStyle w:val="Hyperlink"/>
            <w:rFonts w:ascii="Arial TUR" w:hAnsi="Arial TUR" w:cs="FrankRuehl"/>
            <w:spacing w:val="10"/>
            <w:sz w:val="22"/>
            <w:szCs w:val="28"/>
            <w:rtl/>
          </w:rPr>
          <w:t>סעיף 144(ב2)</w:t>
        </w:r>
      </w:hyperlink>
      <w:r w:rsidRPr="00807FA9">
        <w:rPr>
          <w:rFonts w:ascii="Arial TUR" w:hAnsi="Arial TUR" w:cs="FrankRuehl"/>
          <w:spacing w:val="10"/>
          <w:sz w:val="22"/>
          <w:szCs w:val="28"/>
          <w:rtl/>
        </w:rPr>
        <w:t xml:space="preserve"> בצירוף </w:t>
      </w:r>
      <w:hyperlink r:id="rId21" w:history="1">
        <w:r w:rsidR="00A54E22" w:rsidRPr="00A54E22">
          <w:rPr>
            <w:rStyle w:val="Hyperlink"/>
            <w:rFonts w:ascii="Arial TUR" w:hAnsi="Arial TUR" w:cs="FrankRuehl"/>
            <w:spacing w:val="10"/>
            <w:sz w:val="22"/>
            <w:szCs w:val="28"/>
            <w:rtl/>
          </w:rPr>
          <w:t>סעיף 25</w:t>
        </w:r>
      </w:hyperlink>
      <w:r w:rsidRPr="00807FA9">
        <w:rPr>
          <w:rFonts w:ascii="Arial TUR" w:hAnsi="Arial TUR" w:cs="FrankRuehl"/>
          <w:spacing w:val="10"/>
          <w:sz w:val="22"/>
          <w:szCs w:val="28"/>
          <w:rtl/>
        </w:rPr>
        <w:t xml:space="preserve"> לחוק העונשין.</w:t>
      </w:r>
    </w:p>
    <w:p w14:paraId="4389AFEB"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142E9D7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2.</w:t>
      </w:r>
      <w:r w:rsidRPr="00807FA9">
        <w:rPr>
          <w:rFonts w:ascii="Arial TUR" w:hAnsi="Arial TUR" w:cs="FrankRuehl"/>
          <w:spacing w:val="10"/>
          <w:sz w:val="22"/>
          <w:szCs w:val="28"/>
          <w:rtl/>
        </w:rPr>
        <w:tab/>
        <w:t xml:space="preserve">בהתאם לעובדות כתב האישום המתוקן בהן הודה הנאשם, במהלך יוני 2021 הנאשם יצר קשר עם אחר (להלן: </w:t>
      </w:r>
      <w:r w:rsidRPr="00807FA9">
        <w:rPr>
          <w:rFonts w:ascii="Century" w:hAnsi="Century" w:cs="Miriam"/>
          <w:b/>
          <w:sz w:val="22"/>
          <w:rtl/>
        </w:rPr>
        <w:t>עמודי</w:t>
      </w:r>
      <w:r w:rsidRPr="00807FA9">
        <w:rPr>
          <w:rFonts w:ascii="Arial TUR" w:hAnsi="Arial TUR" w:cs="FrankRuehl"/>
          <w:spacing w:val="10"/>
          <w:sz w:val="22"/>
          <w:szCs w:val="28"/>
          <w:rtl/>
        </w:rPr>
        <w:t xml:space="preserve">) וביקש ממנו להשיג עבורו נשק מסוג קרלו. בחלוף מספר ימים, עמודי הודיע לנאשם כי הוא יכול להשיג עבורו קרלו במחיר של </w:t>
      </w:r>
      <w:r w:rsidRPr="00807FA9">
        <w:rPr>
          <w:rFonts w:ascii="Arial TUR" w:hAnsi="Arial TUR" w:cs="FrankRuehl"/>
          <w:spacing w:val="10"/>
          <w:sz w:val="22"/>
          <w:szCs w:val="28"/>
          <w:rtl/>
        </w:rPr>
        <w:lastRenderedPageBreak/>
        <w:t xml:space="preserve">4,400 ₪. לצורך מימון הרכישה, הנאשם פנה לבן דודו (להלן: </w:t>
      </w:r>
      <w:r w:rsidRPr="00807FA9">
        <w:rPr>
          <w:rFonts w:ascii="Century" w:hAnsi="Century" w:cs="Miriam"/>
          <w:b/>
          <w:sz w:val="22"/>
          <w:rtl/>
        </w:rPr>
        <w:t>מוצטפא</w:t>
      </w:r>
      <w:r w:rsidRPr="00807FA9">
        <w:rPr>
          <w:rFonts w:ascii="Arial TUR" w:hAnsi="Arial TUR" w:cs="FrankRuehl"/>
          <w:spacing w:val="10"/>
          <w:sz w:val="22"/>
          <w:szCs w:val="28"/>
          <w:rtl/>
        </w:rPr>
        <w:t xml:space="preserve">) שהסכים לתת לנאשם את התמורה לצורך רכישת הקרלו. הנאשם ומוצטפא סיכמו ביניהם כי לאחר שירכשו את הקרלו, הם ימכרו אותו יחדיו ויתחלקו שווה בשווה בכסף שירוויחו ממכירתו. </w:t>
      </w:r>
    </w:p>
    <w:p w14:paraId="5B5BC8ED"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B381F1C"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 xml:space="preserve">מאוחר יותר במהלך יוני 2021, הנאשם פגש בעזריה את עמודי ואדם נוסף שזהותו לא ידועה למאשימה (להלן: </w:t>
      </w:r>
      <w:r w:rsidRPr="00807FA9">
        <w:rPr>
          <w:rFonts w:ascii="Century" w:hAnsi="Century" w:cs="Miriam"/>
          <w:b/>
          <w:sz w:val="22"/>
          <w:rtl/>
        </w:rPr>
        <w:t>המוכר</w:t>
      </w:r>
      <w:r w:rsidRPr="00807FA9">
        <w:rPr>
          <w:rFonts w:ascii="Arial TUR" w:hAnsi="Arial TUR" w:cs="FrankRuehl"/>
          <w:spacing w:val="10"/>
          <w:sz w:val="22"/>
          <w:szCs w:val="28"/>
          <w:rtl/>
        </w:rPr>
        <w:t xml:space="preserve">). המוכר העביר לעמודי שקית לבנה שבתוכה הקרלו וכן מחסנית עם 8 כדורים (להלן: </w:t>
      </w:r>
      <w:r w:rsidRPr="00807FA9">
        <w:rPr>
          <w:rFonts w:ascii="Century" w:hAnsi="Century" w:cs="Miriam"/>
          <w:b/>
          <w:sz w:val="22"/>
          <w:rtl/>
        </w:rPr>
        <w:t>האמל"ח</w:t>
      </w:r>
      <w:r w:rsidRPr="00807FA9">
        <w:rPr>
          <w:rFonts w:ascii="Arial TUR" w:hAnsi="Arial TUR" w:cs="FrankRuehl"/>
          <w:spacing w:val="10"/>
          <w:sz w:val="22"/>
          <w:szCs w:val="28"/>
          <w:rtl/>
        </w:rPr>
        <w:t xml:space="preserve">). עמודי העביר את האמל"ח לנאשם, והנאשם העביר את התמורה הכספית לעמודי שהעבירהּ למוכר. הנאשם נסע לבית לחם כשהוא מוביל ונושא את האמל"ח, והחביא אותם בבית אביו בבית לחם. </w:t>
      </w:r>
    </w:p>
    <w:p w14:paraId="630E6E67"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BAE61B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במועד לא ידוע ביוני-יולי 2021, הנאשם פנה לעמודי וביקש ממנו שימכור עבורו את הקרלו תמורת 8,000 ₪. בסמוך לכך, הנאשם נפגש עם עמודי בשועפט ומסר לו את הקרלו לצורך מכירתו. כעבור מספר ימים עמודי פנה לנאשם, מסר לו שלא הצליח למצוא עבורו קונה במחיר של 8,000 ₪, והחזיר לידיו את הקרלו.</w:t>
      </w:r>
    </w:p>
    <w:p w14:paraId="2BE7DD2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91C3765"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ביום 22.11.2021, במהלך חקירתו, הנאשם הסגיר לכוחות הביטחון את הקרלו ואת המחסנית כשהיא ריקה.</w:t>
      </w:r>
    </w:p>
    <w:p w14:paraId="4A86252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74C7F52"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3.</w:t>
      </w:r>
      <w:r w:rsidRPr="00807FA9">
        <w:rPr>
          <w:rFonts w:ascii="Arial TUR" w:hAnsi="Arial TUR" w:cs="FrankRuehl"/>
          <w:spacing w:val="10"/>
          <w:sz w:val="22"/>
          <w:szCs w:val="28"/>
          <w:rtl/>
        </w:rPr>
        <w:tab/>
        <w:t>הצדדים לא באו להסכמה לעניין העונש, וכל צד נותר חופשי בטיעוניו. הסנגור לא עתר להגשת תסקיר בעניין מרשו.</w:t>
      </w:r>
    </w:p>
    <w:p w14:paraId="6CBD3611"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1D01CBE"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b/>
          <w:bCs/>
          <w:spacing w:val="10"/>
          <w:sz w:val="22"/>
          <w:szCs w:val="28"/>
          <w:u w:val="single"/>
          <w:rtl/>
        </w:rPr>
        <w:t>טיעוני הצדדים לעונש</w:t>
      </w:r>
    </w:p>
    <w:p w14:paraId="17EB7486"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4.</w:t>
      </w:r>
      <w:r w:rsidRPr="00807FA9">
        <w:rPr>
          <w:rFonts w:ascii="Arial TUR" w:hAnsi="Arial TUR" w:cs="FrankRuehl"/>
          <w:spacing w:val="10"/>
          <w:sz w:val="22"/>
          <w:szCs w:val="28"/>
          <w:rtl/>
        </w:rPr>
        <w:tab/>
        <w:t>שני הצדדים טענו למתחם עונש הולם אחד בגין שתי העבירות בהן הורשע הנאשם.</w:t>
      </w:r>
    </w:p>
    <w:p w14:paraId="3EE207CE"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0523C7C"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המאשימה טענה למתחם עונש הולם שנע מ-65 עד 90 חודשי מאסר בפועל. לשיטת המאשימה, נוכח קיומו של עבר פלילי רלוונטי יש לגזור את עונשו של הנאשם במרכז המתחם הנטען, ולהשית עליו 75 חודשי מאסר בפועל, מאסר על תנאי וקנס כספי.</w:t>
      </w:r>
    </w:p>
    <w:p w14:paraId="6DE721EF"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70DB334"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lastRenderedPageBreak/>
        <w:tab/>
        <w:t>מנגד, הסנגור טען למתחם עונש הולם שנע מ-16 עד 30 חודשי מאסר בפועל. הסנגור הדגיש בטיעוניו את חשיבות העובדה שמרשו הסגיר את הנשק לידי כוחות הביטחון בחקירתו, וטען כי יש להשית על מרשו עונש שאינו עולה על 20 חודשי מאסר בפועל.</w:t>
      </w:r>
    </w:p>
    <w:p w14:paraId="43A0B0FA"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6B22D8E"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הנאשם בדבריו לפניי טען כי נאמר לו בחקירת השב"כ והמשטרה כי אם ימסור את הנשק לכוחות הביטחון, יתחשבו בכך. הנאשם הוסיף וטען כי בתיק קודם היה "ילד קטן" וכי ביצע עבירות שכן "לא הבנתי", ואילו כעת הוא התבגר ומעוניין להשתחרר מהכלא ולחזור לחיים תקינים.</w:t>
      </w:r>
    </w:p>
    <w:p w14:paraId="7C8A660B"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4799C72"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לאחר שמיעת הטיעונים לעונש במעמד הצדדים, ניתן בבית המשפט הצבאי ביהודה גזר דינו של מוצטפא, בן דודו של הנאשם המוזכר בכתב האישום המתוקן. הצדדים הגישו תגובות בכתב ביחס לכך, ואדון בהן בהמשך הדברים.</w:t>
      </w:r>
    </w:p>
    <w:p w14:paraId="2873A35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74E5051"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b/>
          <w:bCs/>
          <w:spacing w:val="10"/>
          <w:sz w:val="22"/>
          <w:szCs w:val="28"/>
          <w:u w:val="single"/>
          <w:rtl/>
        </w:rPr>
        <w:t>ריבוי עבירות</w:t>
      </w:r>
    </w:p>
    <w:p w14:paraId="126C1C1B"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5.</w:t>
      </w:r>
      <w:r w:rsidRPr="00807FA9">
        <w:rPr>
          <w:rFonts w:ascii="Arial TUR" w:hAnsi="Arial TUR" w:cs="FrankRuehl"/>
          <w:spacing w:val="10"/>
          <w:sz w:val="22"/>
          <w:szCs w:val="28"/>
          <w:rtl/>
        </w:rPr>
        <w:tab/>
        <w:t xml:space="preserve">בדומה לב"כ הצדדים, אף אני סבורה כי בנסיבות המקרה דנן יש לראות בשתי העבירות בהן הורשע הנאשם כאירוע אחד לצורך קביעתו של מתחם עונש הולם לפי </w:t>
      </w:r>
      <w:hyperlink r:id="rId22" w:history="1">
        <w:r w:rsidR="00A54E22" w:rsidRPr="00A54E22">
          <w:rPr>
            <w:rStyle w:val="Hyperlink"/>
            <w:rFonts w:ascii="Arial TUR" w:hAnsi="Arial TUR" w:cs="FrankRuehl"/>
            <w:spacing w:val="10"/>
            <w:sz w:val="22"/>
            <w:szCs w:val="28"/>
            <w:rtl/>
          </w:rPr>
          <w:t>סעיף 40יג(א)</w:t>
        </w:r>
      </w:hyperlink>
      <w:r w:rsidRPr="00807FA9">
        <w:rPr>
          <w:rFonts w:ascii="Arial TUR" w:hAnsi="Arial TUR" w:cs="FrankRuehl"/>
          <w:spacing w:val="10"/>
          <w:sz w:val="22"/>
          <w:szCs w:val="28"/>
          <w:rtl/>
        </w:rPr>
        <w:t xml:space="preserve"> ל</w:t>
      </w:r>
      <w:hyperlink r:id="rId23"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זאת מאחר שמדובר ברצף של מעשים עברייניים שבוצעו ביחס לאותו נשק כחלק מתכנית עבריינית אחת המקיימת זיקה עניינית הדוקה. </w:t>
      </w:r>
    </w:p>
    <w:p w14:paraId="587EE1D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6AAF17D" w14:textId="77777777" w:rsidR="00D65C27" w:rsidRPr="00807FA9" w:rsidRDefault="00D65C27" w:rsidP="00D65C27">
      <w:pPr>
        <w:overflowPunct w:val="0"/>
        <w:autoSpaceDE w:val="0"/>
        <w:autoSpaceDN w:val="0"/>
        <w:adjustRightInd w:val="0"/>
        <w:spacing w:line="360" w:lineRule="auto"/>
        <w:jc w:val="both"/>
        <w:rPr>
          <w:rFonts w:ascii="Arial TUR" w:hAnsi="Arial TUR" w:cs="FrankRuehl"/>
          <w:spacing w:val="10"/>
          <w:sz w:val="20"/>
          <w:szCs w:val="28"/>
          <w:rtl/>
        </w:rPr>
      </w:pPr>
      <w:r w:rsidRPr="00807FA9">
        <w:rPr>
          <w:rFonts w:ascii="Century" w:hAnsi="Century" w:cs="FrankRuehl"/>
          <w:spacing w:val="10"/>
          <w:sz w:val="20"/>
          <w:szCs w:val="28"/>
          <w:rtl/>
        </w:rPr>
        <w:tab/>
        <w:t>בד בבד, אציין כי במסגרת קביעתו של מתחם העונש ההולם לאירוע בכללותו, יהיה מקום</w:t>
      </w:r>
      <w:r w:rsidRPr="00807FA9">
        <w:rPr>
          <w:rFonts w:ascii="Arial TUR" w:hAnsi="Arial TUR" w:cs="FrankRuehl"/>
          <w:spacing w:val="10"/>
          <w:sz w:val="20"/>
          <w:szCs w:val="28"/>
          <w:rtl/>
        </w:rPr>
        <w:t xml:space="preserve"> ליתן משקל לעובדה שהאירוע התרחש בשלבים, כאשר הנשיאה וההובלה של הנשק והתחמושת מזה, וניסיון הסחר בנשק מזה, מהווים כל אחד "מעשה" נפרד כמובנו של מונח זה </w:t>
      </w:r>
      <w:hyperlink r:id="rId24" w:history="1">
        <w:r w:rsidR="00A54E22" w:rsidRPr="00A54E22">
          <w:rPr>
            <w:rStyle w:val="Hyperlink"/>
            <w:rFonts w:ascii="Arial TUR" w:hAnsi="Arial TUR" w:cs="FrankRuehl"/>
            <w:spacing w:val="10"/>
            <w:sz w:val="20"/>
            <w:szCs w:val="28"/>
            <w:rtl/>
          </w:rPr>
          <w:t>בסעיף 186</w:t>
        </w:r>
      </w:hyperlink>
      <w:r w:rsidRPr="00807FA9">
        <w:rPr>
          <w:rFonts w:ascii="Arial TUR" w:hAnsi="Arial TUR" w:cs="FrankRuehl"/>
          <w:spacing w:val="10"/>
          <w:sz w:val="20"/>
          <w:szCs w:val="28"/>
          <w:rtl/>
        </w:rPr>
        <w:t xml:space="preserve"> ל</w:t>
      </w:r>
      <w:hyperlink r:id="rId25" w:history="1">
        <w:r w:rsidR="00CF2A22" w:rsidRPr="00CF2A22">
          <w:rPr>
            <w:rFonts w:ascii="Arial TUR" w:hAnsi="Arial TUR" w:cs="FrankRuehl"/>
            <w:color w:val="0000FF"/>
            <w:spacing w:val="10"/>
            <w:sz w:val="20"/>
            <w:szCs w:val="28"/>
            <w:u w:val="single"/>
            <w:rtl/>
          </w:rPr>
          <w:t>חוק סדר הדין הפלילי</w:t>
        </w:r>
      </w:hyperlink>
      <w:r w:rsidRPr="00807FA9">
        <w:rPr>
          <w:rFonts w:ascii="Arial TUR" w:hAnsi="Arial TUR" w:cs="FrankRuehl"/>
          <w:spacing w:val="10"/>
          <w:sz w:val="20"/>
          <w:szCs w:val="28"/>
          <w:rtl/>
        </w:rPr>
        <w:t xml:space="preserve"> [נוסח משולב], התשמ"ב-1982. ברי כי טיב ומספר ה"מעשים" בגינם הורשע הנאשם, ישוו מידה של חומרה שתשפיע על קביעת מתחם העונש ההולם הכולל בעטים.</w:t>
      </w:r>
    </w:p>
    <w:p w14:paraId="36FF0FF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214627A"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b/>
          <w:bCs/>
          <w:spacing w:val="10"/>
          <w:sz w:val="20"/>
          <w:szCs w:val="28"/>
          <w:rtl/>
        </w:rPr>
      </w:pPr>
      <w:r w:rsidRPr="00807FA9">
        <w:rPr>
          <w:rFonts w:ascii="Arial TUR" w:hAnsi="Arial TUR" w:cs="FrankRuehl"/>
          <w:b/>
          <w:bCs/>
          <w:spacing w:val="10"/>
          <w:sz w:val="20"/>
          <w:szCs w:val="28"/>
          <w:u w:val="single"/>
          <w:rtl/>
        </w:rPr>
        <w:t>מתחם העונש ההולם</w:t>
      </w:r>
    </w:p>
    <w:p w14:paraId="1312C3CE"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 xml:space="preserve">6. </w:t>
      </w:r>
      <w:r w:rsidRPr="00807FA9">
        <w:rPr>
          <w:rFonts w:ascii="Century" w:hAnsi="Century" w:cs="FrankRuehl"/>
          <w:spacing w:val="10"/>
          <w:sz w:val="20"/>
          <w:szCs w:val="28"/>
          <w:rtl/>
        </w:rPr>
        <w:tab/>
        <w:t xml:space="preserve">בהתאם </w:t>
      </w:r>
      <w:hyperlink r:id="rId26" w:history="1">
        <w:r w:rsidR="00A54E22" w:rsidRPr="00A54E22">
          <w:rPr>
            <w:rStyle w:val="Hyperlink"/>
            <w:rFonts w:ascii="Century" w:hAnsi="Century" w:cs="FrankRuehl" w:hint="eastAsia"/>
            <w:spacing w:val="10"/>
            <w:sz w:val="20"/>
            <w:szCs w:val="28"/>
            <w:rtl/>
          </w:rPr>
          <w:t>לסעיף</w:t>
        </w:r>
        <w:r w:rsidR="00A54E22" w:rsidRPr="00A54E22">
          <w:rPr>
            <w:rStyle w:val="Hyperlink"/>
            <w:rFonts w:ascii="Century" w:hAnsi="Century" w:cs="FrankRuehl"/>
            <w:spacing w:val="10"/>
            <w:sz w:val="20"/>
            <w:szCs w:val="28"/>
            <w:rtl/>
          </w:rPr>
          <w:t xml:space="preserve"> 40</w:t>
        </w:r>
        <w:r w:rsidR="00A54E22" w:rsidRPr="00A54E22">
          <w:rPr>
            <w:rStyle w:val="Hyperlink"/>
            <w:rFonts w:ascii="Century" w:hAnsi="Century" w:cs="FrankRuehl" w:hint="eastAsia"/>
            <w:spacing w:val="10"/>
            <w:sz w:val="20"/>
            <w:szCs w:val="28"/>
            <w:rtl/>
          </w:rPr>
          <w:t>ג</w:t>
        </w:r>
        <w:r w:rsidR="00A54E22" w:rsidRPr="00A54E22">
          <w:rPr>
            <w:rStyle w:val="Hyperlink"/>
            <w:rFonts w:ascii="Century" w:hAnsi="Century" w:cs="FrankRuehl"/>
            <w:spacing w:val="10"/>
            <w:sz w:val="20"/>
            <w:szCs w:val="28"/>
            <w:rtl/>
          </w:rPr>
          <w:t>(</w:t>
        </w:r>
        <w:r w:rsidR="00A54E22" w:rsidRPr="00A54E22">
          <w:rPr>
            <w:rStyle w:val="Hyperlink"/>
            <w:rFonts w:ascii="Century" w:hAnsi="Century" w:cs="FrankRuehl" w:hint="eastAsia"/>
            <w:spacing w:val="10"/>
            <w:sz w:val="20"/>
            <w:szCs w:val="28"/>
            <w:rtl/>
          </w:rPr>
          <w:t>א</w:t>
        </w:r>
        <w:r w:rsidR="00A54E22" w:rsidRPr="00A54E22">
          <w:rPr>
            <w:rStyle w:val="Hyperlink"/>
            <w:rFonts w:ascii="Century" w:hAnsi="Century" w:cs="FrankRuehl"/>
            <w:spacing w:val="10"/>
            <w:sz w:val="20"/>
            <w:szCs w:val="28"/>
            <w:rtl/>
          </w:rPr>
          <w:t>)</w:t>
        </w:r>
      </w:hyperlink>
      <w:r w:rsidRPr="00807FA9">
        <w:rPr>
          <w:rFonts w:ascii="Century" w:hAnsi="Century" w:cs="FrankRuehl"/>
          <w:spacing w:val="10"/>
          <w:sz w:val="20"/>
          <w:szCs w:val="28"/>
          <w:rtl/>
        </w:rPr>
        <w:t xml:space="preserve"> ל</w:t>
      </w:r>
      <w:hyperlink r:id="rId27" w:history="1">
        <w:r w:rsidR="00CF2A22" w:rsidRPr="00CF2A22">
          <w:rPr>
            <w:rFonts w:ascii="Century" w:hAnsi="Century" w:cs="FrankRuehl" w:hint="eastAsia"/>
            <w:color w:val="0000FF"/>
            <w:spacing w:val="10"/>
            <w:sz w:val="20"/>
            <w:szCs w:val="28"/>
            <w:u w:val="single"/>
            <w:rtl/>
          </w:rPr>
          <w:t>חוק</w:t>
        </w:r>
        <w:r w:rsidR="00CF2A22" w:rsidRPr="00CF2A22">
          <w:rPr>
            <w:rFonts w:ascii="Century" w:hAnsi="Century" w:cs="FrankRuehl"/>
            <w:color w:val="0000FF"/>
            <w:spacing w:val="10"/>
            <w:sz w:val="20"/>
            <w:szCs w:val="28"/>
            <w:u w:val="single"/>
            <w:rtl/>
          </w:rPr>
          <w:t xml:space="preserve"> </w:t>
        </w:r>
        <w:r w:rsidR="00CF2A22" w:rsidRPr="00CF2A22">
          <w:rPr>
            <w:rFonts w:ascii="Century" w:hAnsi="Century" w:cs="FrankRuehl" w:hint="eastAsia"/>
            <w:color w:val="0000FF"/>
            <w:spacing w:val="10"/>
            <w:sz w:val="20"/>
            <w:szCs w:val="28"/>
            <w:u w:val="single"/>
            <w:rtl/>
          </w:rPr>
          <w:t>העונשין</w:t>
        </w:r>
      </w:hyperlink>
      <w:r w:rsidRPr="00807FA9">
        <w:rPr>
          <w:rFonts w:ascii="Century" w:hAnsi="Century" w:cs="FrankRuehl"/>
          <w:spacing w:val="10"/>
          <w:sz w:val="20"/>
          <w:szCs w:val="28"/>
          <w:rtl/>
        </w:rPr>
        <w:t>, יש לקבוע את מתחם הענישה ההולמת בהתאם לעקרון ההלימה, תוך התחשבות בערך החברתי שנפגע, במידת הפגיעה בו, בנסיבות הקשורות בביצוע העבירות ובמדיניות הענישה הנהוגה.</w:t>
      </w:r>
    </w:p>
    <w:p w14:paraId="51EE7573"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441C9EC9"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7.</w:t>
      </w:r>
      <w:r w:rsidRPr="00807FA9">
        <w:rPr>
          <w:rFonts w:ascii="Century" w:hAnsi="Century" w:cs="FrankRuehl"/>
          <w:spacing w:val="10"/>
          <w:sz w:val="20"/>
          <w:szCs w:val="28"/>
          <w:rtl/>
        </w:rPr>
        <w:tab/>
      </w:r>
      <w:r w:rsidRPr="00807FA9">
        <w:rPr>
          <w:rFonts w:ascii="Century" w:hAnsi="Century" w:cs="FrankRuehl"/>
          <w:b/>
          <w:bCs/>
          <w:spacing w:val="10"/>
          <w:sz w:val="20"/>
          <w:szCs w:val="28"/>
          <w:rtl/>
        </w:rPr>
        <w:t>הערכים החברתיים</w:t>
      </w:r>
      <w:r w:rsidRPr="00807FA9">
        <w:rPr>
          <w:rFonts w:ascii="Century" w:hAnsi="Century" w:cs="FrankRuehl"/>
          <w:spacing w:val="10"/>
          <w:sz w:val="20"/>
          <w:szCs w:val="28"/>
          <w:rtl/>
        </w:rPr>
        <w:t xml:space="preserve"> המוגנים במסגרת עבירות בנשק – ובכלל זה בעבירה של נשיאה והובלה של נשק ותחמושת, ובעבירה של ניסיון לסחר בנשק – הם הגנה על שלום הציבור וביטחונו. עבירות אלה נועדו לשמור על שלמות גופו ורכושו של אדם מפני תוצאות הרסניות שעלולות להיגרם בגין שימוש בנשק על-ידי מי שאינו מיומן בכך, או על-ידי גורמים עברייניים או גורמי טרור שהנשק עלול לעבור מיד ליד ולהגיע אליהם.</w:t>
      </w:r>
    </w:p>
    <w:p w14:paraId="19044EFA"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55568B03"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8.</w:t>
      </w:r>
      <w:r w:rsidRPr="00807FA9">
        <w:rPr>
          <w:rFonts w:ascii="Century" w:hAnsi="Century" w:cs="FrankRuehl"/>
          <w:spacing w:val="10"/>
          <w:sz w:val="20"/>
          <w:szCs w:val="28"/>
          <w:rtl/>
        </w:rPr>
        <w:tab/>
        <w:t xml:space="preserve">בכל הנוגע </w:t>
      </w:r>
      <w:r w:rsidRPr="00807FA9">
        <w:rPr>
          <w:rFonts w:ascii="Century" w:hAnsi="Century" w:cs="FrankRuehl"/>
          <w:b/>
          <w:bCs/>
          <w:spacing w:val="10"/>
          <w:sz w:val="20"/>
          <w:szCs w:val="28"/>
          <w:rtl/>
        </w:rPr>
        <w:t>לנסיבות ביצוע העבירות</w:t>
      </w:r>
      <w:r w:rsidRPr="00807FA9">
        <w:rPr>
          <w:rFonts w:ascii="Century" w:hAnsi="Century" w:cs="FrankRuehl"/>
          <w:spacing w:val="10"/>
          <w:sz w:val="20"/>
          <w:szCs w:val="28"/>
          <w:rtl/>
        </w:rPr>
        <w:t xml:space="preserve"> – הללו פורטו בהרחבה בפס' 2 לדבריי לעיל. </w:t>
      </w:r>
      <w:r w:rsidRPr="00807FA9">
        <w:rPr>
          <w:rFonts w:ascii="Century" w:hAnsi="Century" w:cs="FrankRuehl"/>
          <w:b/>
          <w:bCs/>
          <w:spacing w:val="10"/>
          <w:sz w:val="20"/>
          <w:szCs w:val="28"/>
          <w:rtl/>
        </w:rPr>
        <w:t>לחומרא</w:t>
      </w:r>
      <w:r w:rsidRPr="00807FA9">
        <w:rPr>
          <w:rFonts w:ascii="Century" w:hAnsi="Century" w:cs="FrankRuehl"/>
          <w:spacing w:val="10"/>
          <w:sz w:val="20"/>
          <w:szCs w:val="28"/>
          <w:rtl/>
        </w:rPr>
        <w:t xml:space="preserve">, </w:t>
      </w:r>
      <w:r w:rsidRPr="00807FA9">
        <w:rPr>
          <w:rFonts w:ascii="FrankRuehl" w:hAnsi="FrankRuehl" w:cs="FrankRuehl"/>
          <w:spacing w:val="10"/>
          <w:sz w:val="28"/>
          <w:szCs w:val="28"/>
          <w:rtl/>
        </w:rPr>
        <w:t>ניתן להצביע על הנסיבות הבאות: (</w:t>
      </w:r>
      <w:r w:rsidRPr="00807FA9">
        <w:rPr>
          <w:rFonts w:ascii="FrankRuehl" w:hAnsi="FrankRuehl" w:cs="FrankRuehl"/>
          <w:spacing w:val="10"/>
          <w:sz w:val="28"/>
          <w:szCs w:val="28"/>
          <w:u w:val="single"/>
          <w:rtl/>
        </w:rPr>
        <w:t>א</w:t>
      </w:r>
      <w:r w:rsidRPr="00807FA9">
        <w:rPr>
          <w:rFonts w:ascii="FrankRuehl" w:hAnsi="FrankRuehl" w:cs="FrankRuehl"/>
          <w:spacing w:val="10"/>
          <w:sz w:val="28"/>
          <w:szCs w:val="28"/>
          <w:rtl/>
        </w:rPr>
        <w:t>)</w:t>
      </w:r>
      <w:r w:rsidRPr="00807FA9">
        <w:rPr>
          <w:rFonts w:ascii="Century" w:hAnsi="Century" w:cs="FrankRuehl"/>
          <w:spacing w:val="10"/>
          <w:sz w:val="20"/>
          <w:szCs w:val="28"/>
          <w:rtl/>
        </w:rPr>
        <w:t xml:space="preserve"> הנאשם היווה דמות פעילה ודומיננטית בפרשה בכללותה: הנאשם היה מי שיזם את הפנייה הן לעמודי והן למוצטפא לגבי רכישת הנשק ולגבי הניסיון לסחור בו. הנאשם היה מי שהעביר את התמורה הכספית לידיו של עמודי שהעבירהּ למוכר, וכן היה מי שקיבל לידיו את האמל"ח מידי עמודי, והעבירו לבית לחם כדי להחביאו שם בבית אביו. מאוחר יותר הנאשם היה מי שביקש מעמודי לנסות למכור את הנשק במחיר אותו קבע (8,000 ₪), והוא זה שמסר לעמודי את הנשק לצורך כך. כעבור מספר ימים, היה זה הנאשם שקיבל לידיו את הנשק מידי עמודי, לאחר שהאחרון לא הצליח למוכרו במחיר בו נקב הנאשם. המסקנה המתבקשת מכל אלה היא כי חלקו היחסי של הנאשם בביצוע העבירות הוא ניכר. (</w:t>
      </w:r>
      <w:r w:rsidRPr="00807FA9">
        <w:rPr>
          <w:rFonts w:ascii="Century" w:hAnsi="Century" w:cs="FrankRuehl"/>
          <w:spacing w:val="10"/>
          <w:sz w:val="20"/>
          <w:szCs w:val="28"/>
          <w:u w:val="single"/>
          <w:rtl/>
        </w:rPr>
        <w:t>ב</w:t>
      </w:r>
      <w:r w:rsidRPr="00807FA9">
        <w:rPr>
          <w:rFonts w:ascii="Century" w:hAnsi="Century" w:cs="FrankRuehl"/>
          <w:spacing w:val="10"/>
          <w:sz w:val="20"/>
          <w:szCs w:val="28"/>
          <w:rtl/>
        </w:rPr>
        <w:t>) הנשק נושא העבירות הוא קרלו, וכן מחסנית עם שמונה כדורים. אין צורך להכביר מילים אודות הסיכון הרב שטמון בנשיאה והובלה וכן בניסיון לסחר בתת-מקלע אליו מצורפת מחסנית ובה כדורים שיכולים לאפשר שימוש פעיל בנשק. (</w:t>
      </w:r>
      <w:r w:rsidRPr="00807FA9">
        <w:rPr>
          <w:rFonts w:ascii="Century" w:hAnsi="Century" w:cs="FrankRuehl"/>
          <w:spacing w:val="10"/>
          <w:sz w:val="20"/>
          <w:szCs w:val="28"/>
          <w:u w:val="single"/>
          <w:rtl/>
        </w:rPr>
        <w:t>ג</w:t>
      </w:r>
      <w:r w:rsidRPr="00807FA9">
        <w:rPr>
          <w:rFonts w:ascii="Century" w:hAnsi="Century" w:cs="FrankRuehl"/>
          <w:spacing w:val="10"/>
          <w:sz w:val="20"/>
          <w:szCs w:val="28"/>
          <w:rtl/>
        </w:rPr>
        <w:t>) מעובדות כתב האישום המתוקן בהן הודה הנאשם עולה כי הסיבה שהובילה את הנאשם לביצוע העבירות היא בצע כסף, קרי- רכישה של האמל"ח במחיר מסוים (4,400 ₪), וניסיון למוכרו לאחרים במחיר גבוה יותר (8,000 ₪). (</w:t>
      </w:r>
      <w:r w:rsidRPr="00807FA9">
        <w:rPr>
          <w:rFonts w:ascii="Century" w:hAnsi="Century" w:cs="FrankRuehl"/>
          <w:spacing w:val="10"/>
          <w:sz w:val="20"/>
          <w:szCs w:val="28"/>
          <w:u w:val="single"/>
          <w:rtl/>
        </w:rPr>
        <w:t>ד</w:t>
      </w:r>
      <w:r w:rsidRPr="00807FA9">
        <w:rPr>
          <w:rFonts w:ascii="Century" w:hAnsi="Century" w:cs="FrankRuehl"/>
          <w:spacing w:val="10"/>
          <w:sz w:val="20"/>
          <w:szCs w:val="28"/>
          <w:rtl/>
        </w:rPr>
        <w:t>) אין מדובר בביצוע רגעי של עבירות לא מתוכננות. הפרשה בכללותה התפרשה על פני כחודשיים (מיוני עד יולי 2021). לנאשם הייתה אפשרות לסגת ממעשיו במהלך פרק הזמן האמור, והוא בחר שלא לעשות כן עד למעצרו בנובמבר 2021.</w:t>
      </w:r>
    </w:p>
    <w:p w14:paraId="741FC2C9"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01808AEA"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ab/>
      </w:r>
      <w:r w:rsidRPr="00807FA9">
        <w:rPr>
          <w:rFonts w:ascii="Century" w:hAnsi="Century" w:cs="FrankRuehl"/>
          <w:b/>
          <w:bCs/>
          <w:spacing w:val="10"/>
          <w:sz w:val="20"/>
          <w:szCs w:val="28"/>
          <w:rtl/>
        </w:rPr>
        <w:t>לקולא</w:t>
      </w:r>
      <w:r w:rsidRPr="00807FA9">
        <w:rPr>
          <w:rFonts w:ascii="Century" w:hAnsi="Century" w:cs="FrankRuehl"/>
          <w:spacing w:val="10"/>
          <w:sz w:val="20"/>
          <w:szCs w:val="28"/>
          <w:rtl/>
        </w:rPr>
        <w:t>, יש להתחשב בנסיבות הבאות: (</w:t>
      </w:r>
      <w:r w:rsidRPr="00807FA9">
        <w:rPr>
          <w:rFonts w:ascii="Century" w:hAnsi="Century" w:cs="FrankRuehl"/>
          <w:spacing w:val="10"/>
          <w:sz w:val="20"/>
          <w:szCs w:val="28"/>
          <w:u w:val="single"/>
          <w:rtl/>
        </w:rPr>
        <w:t>א</w:t>
      </w:r>
      <w:r w:rsidRPr="00807FA9">
        <w:rPr>
          <w:rFonts w:ascii="Century" w:hAnsi="Century" w:cs="FrankRuehl"/>
          <w:spacing w:val="10"/>
          <w:sz w:val="20"/>
          <w:szCs w:val="28"/>
          <w:rtl/>
        </w:rPr>
        <w:t>) שתי העבירות בהן הורשע הנאשם בוצעו ביחס לאותו כלי נשק (קרלו ומחסנית עם שמונה כדורים). (</w:t>
      </w:r>
      <w:r w:rsidRPr="00807FA9">
        <w:rPr>
          <w:rFonts w:ascii="Century" w:hAnsi="Century" w:cs="FrankRuehl"/>
          <w:spacing w:val="10"/>
          <w:sz w:val="20"/>
          <w:szCs w:val="28"/>
          <w:u w:val="single"/>
          <w:rtl/>
        </w:rPr>
        <w:t>ב</w:t>
      </w:r>
      <w:r w:rsidRPr="00807FA9">
        <w:rPr>
          <w:rFonts w:ascii="Century" w:hAnsi="Century" w:cs="FrankRuehl"/>
          <w:spacing w:val="10"/>
          <w:sz w:val="20"/>
          <w:szCs w:val="28"/>
          <w:rtl/>
        </w:rPr>
        <w:t>) מדובר בנשק מאולתר. (</w:t>
      </w:r>
      <w:r w:rsidRPr="00807FA9">
        <w:rPr>
          <w:rFonts w:ascii="Century" w:hAnsi="Century" w:cs="FrankRuehl"/>
          <w:spacing w:val="10"/>
          <w:sz w:val="20"/>
          <w:szCs w:val="28"/>
          <w:u w:val="single"/>
          <w:rtl/>
        </w:rPr>
        <w:t>ג</w:t>
      </w:r>
      <w:r w:rsidRPr="00807FA9">
        <w:rPr>
          <w:rFonts w:ascii="Century" w:hAnsi="Century" w:cs="FrankRuehl"/>
          <w:spacing w:val="10"/>
          <w:sz w:val="20"/>
          <w:szCs w:val="28"/>
          <w:rtl/>
        </w:rPr>
        <w:t>) הנשק הוחבא בבית אביו של הנאשם. אין לפניי טענה לנזק אקטואלי שנגרם באמצעות הנשק הנדון (במילים אחרות: אין לפניי טענה כי נעשה בנשק שימוש בפועל לצרכים עברייניים או חבלניים). (</w:t>
      </w:r>
      <w:r w:rsidRPr="00807FA9">
        <w:rPr>
          <w:rFonts w:ascii="Century" w:hAnsi="Century" w:cs="FrankRuehl"/>
          <w:spacing w:val="10"/>
          <w:sz w:val="20"/>
          <w:szCs w:val="28"/>
          <w:u w:val="single"/>
          <w:rtl/>
        </w:rPr>
        <w:t>ד</w:t>
      </w:r>
      <w:r w:rsidRPr="00807FA9">
        <w:rPr>
          <w:rFonts w:ascii="Century" w:hAnsi="Century" w:cs="FrankRuehl"/>
          <w:spacing w:val="10"/>
          <w:sz w:val="20"/>
          <w:szCs w:val="28"/>
          <w:rtl/>
        </w:rPr>
        <w:t>) בעובדות כתב האישום המתוקן בהן הודה הנאשם צוין במפורש כי לאחר שהנאשם נעצר ונחקר, הוא הסגיר את הקרלו ואת המחסנית לידי כוחות הביטחון. מאחר שהצדדים ציינו במפורש נסיבה זו בעובדות כתב האישום המתוקן, ומאחר שהסגרת הנשק בדיעבד תרמה לצמצום הנזק הפוטנציאלי הכרוך בעבירות בהן הורשע הנאשם – אני סבורה כי יש להתחשב בנסיבה של הסגרת הנשק במסגרת קביעתו של מתחם העונש ההולם. דומה כי זו הייתה גם עמדת המאשימה, שכן היא הזכירה בטיעוניה לעונש את הסגרת הנשק במסגרת השיקולים לקביעת המתחם (ראו: פרוטוקול מיום 21.11.2022, עמ' 9, ש' 7). ודוק, הנסיבה הנוגעת להסגרת הנשק לידי כוחות הביטחון היא נסיבה מהותית לקולא. כבר נפסק כי: "כלי נשק אשר אינם נמצאים בידי רשויות החוק עלולים לשמש לפעילות עבריינית המסכנת את שלום וביטחון הציבור, ואף לשרת גורמים עוינים לפעילות על רקע ביטחוני" (דברי כב' השופט אלרון ב</w:t>
      </w:r>
      <w:hyperlink r:id="rId28" w:history="1">
        <w:r w:rsidR="00CF2A22" w:rsidRPr="00CF2A22">
          <w:rPr>
            <w:rFonts w:ascii="Century" w:hAnsi="Century" w:cs="FrankRuehl" w:hint="eastAsia"/>
            <w:color w:val="0000FF"/>
            <w:spacing w:val="10"/>
            <w:sz w:val="20"/>
            <w:szCs w:val="28"/>
            <w:u w:val="single"/>
            <w:rtl/>
          </w:rPr>
          <w:t>ע</w:t>
        </w:r>
        <w:r w:rsidR="00CF2A22" w:rsidRPr="00CF2A22">
          <w:rPr>
            <w:rFonts w:ascii="Century" w:hAnsi="Century" w:cs="FrankRuehl"/>
            <w:color w:val="0000FF"/>
            <w:spacing w:val="10"/>
            <w:sz w:val="20"/>
            <w:szCs w:val="28"/>
            <w:u w:val="single"/>
            <w:rtl/>
          </w:rPr>
          <w:t>"</w:t>
        </w:r>
        <w:r w:rsidR="00CF2A22" w:rsidRPr="00CF2A22">
          <w:rPr>
            <w:rFonts w:ascii="Century" w:hAnsi="Century" w:cs="FrankRuehl" w:hint="eastAsia"/>
            <w:color w:val="0000FF"/>
            <w:spacing w:val="10"/>
            <w:sz w:val="20"/>
            <w:szCs w:val="28"/>
            <w:u w:val="single"/>
            <w:rtl/>
          </w:rPr>
          <w:t>פ</w:t>
        </w:r>
        <w:r w:rsidR="00CF2A22" w:rsidRPr="00CF2A22">
          <w:rPr>
            <w:rFonts w:ascii="Century" w:hAnsi="Century" w:cs="FrankRuehl"/>
            <w:color w:val="0000FF"/>
            <w:spacing w:val="10"/>
            <w:sz w:val="20"/>
            <w:szCs w:val="28"/>
            <w:u w:val="single"/>
            <w:rtl/>
          </w:rPr>
          <w:t xml:space="preserve"> 6068/21</w:t>
        </w:r>
      </w:hyperlink>
      <w:r w:rsidRPr="00807FA9">
        <w:rPr>
          <w:rFonts w:ascii="Century" w:hAnsi="Century" w:cs="FrankRuehl"/>
          <w:spacing w:val="10"/>
          <w:sz w:val="20"/>
          <w:szCs w:val="28"/>
          <w:rtl/>
        </w:rPr>
        <w:t xml:space="preserve"> </w:t>
      </w:r>
      <w:r w:rsidRPr="00807FA9">
        <w:rPr>
          <w:rFonts w:ascii="Century" w:hAnsi="Century" w:cs="Miriam"/>
          <w:b/>
          <w:sz w:val="22"/>
          <w:rtl/>
        </w:rPr>
        <w:t>מדינת ישראל נ' פקיה</w:t>
      </w:r>
      <w:r w:rsidRPr="00807FA9">
        <w:rPr>
          <w:rFonts w:ascii="Century" w:hAnsi="Century" w:cs="FrankRuehl"/>
          <w:spacing w:val="10"/>
          <w:sz w:val="20"/>
          <w:szCs w:val="28"/>
          <w:rtl/>
        </w:rPr>
        <w:t xml:space="preserve"> (19.12.2021), פס' 14). במקרה דנן, הסגרת הנשק לכוחות הביטחון תרמה לאיון הסיכון האמור לעתיד לבוא. לצד זאת, אציין כי הנאשם מסר לכוחות הביטחון את המחסנית כאשר היא ריקה מכדורים. </w:t>
      </w:r>
    </w:p>
    <w:p w14:paraId="3B5DEA15"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CE9EE84"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9.</w:t>
      </w:r>
      <w:r w:rsidRPr="00807FA9">
        <w:rPr>
          <w:rFonts w:ascii="Arial TUR" w:hAnsi="Arial TUR" w:cs="FrankRuehl"/>
          <w:spacing w:val="10"/>
          <w:sz w:val="22"/>
          <w:szCs w:val="28"/>
          <w:rtl/>
        </w:rPr>
        <w:tab/>
      </w:r>
      <w:r w:rsidRPr="00807FA9">
        <w:rPr>
          <w:rFonts w:ascii="Arial TUR" w:hAnsi="Arial TUR" w:cs="FrankRuehl"/>
          <w:b/>
          <w:bCs/>
          <w:spacing w:val="10"/>
          <w:sz w:val="22"/>
          <w:szCs w:val="28"/>
          <w:rtl/>
        </w:rPr>
        <w:t>אשר לענישה הנוהגת</w:t>
      </w:r>
      <w:r w:rsidRPr="00807FA9">
        <w:rPr>
          <w:rFonts w:ascii="Arial TUR" w:hAnsi="Arial TUR" w:cs="FrankRuehl"/>
          <w:spacing w:val="10"/>
          <w:sz w:val="22"/>
          <w:szCs w:val="28"/>
          <w:rtl/>
        </w:rPr>
        <w:t xml:space="preserve"> – העונש המרבי הקבוע בחוק בגין עבירה של ניסיון לסחר בנשק, הוא מאסר 15 שנים (ראו: </w:t>
      </w:r>
      <w:hyperlink r:id="rId29" w:history="1">
        <w:r w:rsidR="00A54E22" w:rsidRPr="00A54E22">
          <w:rPr>
            <w:rStyle w:val="Hyperlink"/>
            <w:rFonts w:ascii="Arial TUR" w:hAnsi="Arial TUR" w:cs="FrankRuehl"/>
            <w:spacing w:val="10"/>
            <w:sz w:val="22"/>
            <w:szCs w:val="28"/>
            <w:rtl/>
          </w:rPr>
          <w:t>סעיף 34ד</w:t>
        </w:r>
      </w:hyperlink>
      <w:r w:rsidRPr="00807FA9">
        <w:rPr>
          <w:rFonts w:ascii="Arial TUR" w:hAnsi="Arial TUR" w:cs="FrankRuehl"/>
          <w:spacing w:val="10"/>
          <w:sz w:val="22"/>
          <w:szCs w:val="28"/>
          <w:rtl/>
        </w:rPr>
        <w:t xml:space="preserve"> בשילוב עם סעיף </w:t>
      </w:r>
      <w:hyperlink r:id="rId30" w:history="1">
        <w:r w:rsidR="00A54E22" w:rsidRPr="00A54E22">
          <w:rPr>
            <w:rStyle w:val="Hyperlink"/>
            <w:rFonts w:ascii="Arial TUR" w:hAnsi="Arial TUR" w:cs="FrankRuehl"/>
            <w:spacing w:val="10"/>
            <w:sz w:val="22"/>
            <w:szCs w:val="28"/>
            <w:rtl/>
          </w:rPr>
          <w:t>25</w:t>
        </w:r>
      </w:hyperlink>
      <w:r w:rsidRPr="00807FA9">
        <w:rPr>
          <w:rFonts w:ascii="Arial TUR" w:hAnsi="Arial TUR" w:cs="FrankRuehl"/>
          <w:spacing w:val="10"/>
          <w:sz w:val="22"/>
          <w:szCs w:val="28"/>
          <w:rtl/>
        </w:rPr>
        <w:t xml:space="preserve"> וסעיף </w:t>
      </w:r>
      <w:hyperlink r:id="rId31" w:history="1">
        <w:r w:rsidR="00A54E22" w:rsidRPr="00A54E22">
          <w:rPr>
            <w:rStyle w:val="Hyperlink"/>
            <w:rFonts w:ascii="Arial TUR" w:hAnsi="Arial TUR" w:cs="FrankRuehl"/>
            <w:spacing w:val="10"/>
            <w:sz w:val="22"/>
            <w:szCs w:val="28"/>
            <w:rtl/>
          </w:rPr>
          <w:t>144(ב2)</w:t>
        </w:r>
      </w:hyperlink>
      <w:r w:rsidRPr="00807FA9">
        <w:rPr>
          <w:rFonts w:ascii="Arial TUR" w:hAnsi="Arial TUR" w:cs="FrankRuehl"/>
          <w:spacing w:val="10"/>
          <w:sz w:val="22"/>
          <w:szCs w:val="28"/>
          <w:rtl/>
        </w:rPr>
        <w:t xml:space="preserve"> ל</w:t>
      </w:r>
      <w:hyperlink r:id="rId32"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העונש המרבי הקבוע בחוק בגין עבירה של נשיאה והובלה של נשק (תת המקלע), הוא מאסר 10 שנים (ראו: </w:t>
      </w:r>
      <w:hyperlink r:id="rId33" w:history="1">
        <w:r w:rsidR="00A54E22" w:rsidRPr="00A54E22">
          <w:rPr>
            <w:rStyle w:val="Hyperlink"/>
            <w:rFonts w:ascii="Arial TUR" w:hAnsi="Arial TUR" w:cs="FrankRuehl"/>
            <w:spacing w:val="10"/>
            <w:sz w:val="22"/>
            <w:szCs w:val="28"/>
            <w:rtl/>
          </w:rPr>
          <w:t>סעיף 144(ב)</w:t>
        </w:r>
      </w:hyperlink>
      <w:r w:rsidRPr="00807FA9">
        <w:rPr>
          <w:rFonts w:ascii="Arial TUR" w:hAnsi="Arial TUR" w:cs="FrankRuehl"/>
          <w:spacing w:val="10"/>
          <w:sz w:val="22"/>
          <w:szCs w:val="28"/>
          <w:rtl/>
        </w:rPr>
        <w:t xml:space="preserve"> רישא ל</w:t>
      </w:r>
      <w:hyperlink r:id="rId34"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העונש המרבי הקבוע בחוק בגין עבירה של נשיאה והובלה של תחמושת (מחסנית עם כדורים), הוא מאסר 3 שנים (ראו: </w:t>
      </w:r>
      <w:hyperlink r:id="rId35" w:history="1">
        <w:r w:rsidR="00A54E22" w:rsidRPr="00A54E22">
          <w:rPr>
            <w:rStyle w:val="Hyperlink"/>
            <w:rFonts w:ascii="Arial TUR" w:hAnsi="Arial TUR" w:cs="FrankRuehl"/>
            <w:spacing w:val="10"/>
            <w:sz w:val="22"/>
            <w:szCs w:val="28"/>
            <w:rtl/>
          </w:rPr>
          <w:t>סעיף 144(ב)</w:t>
        </w:r>
      </w:hyperlink>
      <w:r w:rsidRPr="00807FA9">
        <w:rPr>
          <w:rFonts w:ascii="Arial TUR" w:hAnsi="Arial TUR" w:cs="FrankRuehl"/>
          <w:spacing w:val="10"/>
          <w:sz w:val="22"/>
          <w:szCs w:val="28"/>
          <w:rtl/>
        </w:rPr>
        <w:t xml:space="preserve"> סיפא ל</w:t>
      </w:r>
      <w:hyperlink r:id="rId36"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יוער כי המאשימה אישרה בטיעוניה לפניי כי תיקון מס' 140 ל</w:t>
      </w:r>
      <w:hyperlink r:id="rId37"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שקבע עונשי מינימום בגין עבירות נשק, אינו חל במקרה דנן. עם זאת, נטען בצדק כי התיקון האמור מבטא את מגמת ההחמרה בענישה שהחלה עוד בטרם כניסת התיקון לתוקף (ראו בעניין זה לאחרונה: </w:t>
      </w:r>
      <w:hyperlink r:id="rId38" w:history="1">
        <w:r w:rsidR="00CF2A22" w:rsidRPr="00CF2A22">
          <w:rPr>
            <w:rFonts w:ascii="Arial TUR" w:hAnsi="Arial TUR" w:cs="FrankRuehl"/>
            <w:color w:val="0000FF"/>
            <w:spacing w:val="10"/>
            <w:sz w:val="22"/>
            <w:szCs w:val="28"/>
            <w:u w:val="single"/>
            <w:rtl/>
          </w:rPr>
          <w:t>ע"פ 4103/22</w:t>
        </w:r>
      </w:hyperlink>
      <w:r w:rsidRPr="00807FA9">
        <w:rPr>
          <w:rFonts w:ascii="Arial TUR" w:hAnsi="Arial TUR" w:cs="FrankRuehl"/>
          <w:spacing w:val="10"/>
          <w:sz w:val="22"/>
          <w:szCs w:val="28"/>
          <w:rtl/>
        </w:rPr>
        <w:t xml:space="preserve"> </w:t>
      </w:r>
      <w:r w:rsidRPr="00807FA9">
        <w:rPr>
          <w:rFonts w:ascii="Century" w:hAnsi="Century" w:cs="Miriam"/>
          <w:b/>
          <w:sz w:val="22"/>
          <w:rtl/>
        </w:rPr>
        <w:t>מדינת ישראל נ' אמון</w:t>
      </w:r>
      <w:r w:rsidRPr="00807FA9">
        <w:rPr>
          <w:rFonts w:ascii="Arial TUR" w:hAnsi="Arial TUR" w:cs="FrankRuehl"/>
          <w:spacing w:val="10"/>
          <w:sz w:val="22"/>
          <w:szCs w:val="28"/>
          <w:rtl/>
        </w:rPr>
        <w:t xml:space="preserve"> (6.11.2022), סוף פס' 9).</w:t>
      </w:r>
    </w:p>
    <w:p w14:paraId="556FF673"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34E71F8" w14:textId="77777777" w:rsidR="00D65C27" w:rsidRPr="00807FA9" w:rsidRDefault="00D65C27" w:rsidP="00D65C27">
      <w:pPr>
        <w:overflowPunct w:val="0"/>
        <w:autoSpaceDE w:val="0"/>
        <w:autoSpaceDN w:val="0"/>
        <w:adjustRightInd w:val="0"/>
        <w:spacing w:line="360" w:lineRule="auto"/>
        <w:ind w:firstLine="720"/>
        <w:jc w:val="both"/>
        <w:rPr>
          <w:rFonts w:ascii="Century" w:hAnsi="Century" w:cs="FrankRuehl"/>
          <w:spacing w:val="10"/>
          <w:sz w:val="20"/>
          <w:szCs w:val="28"/>
          <w:rtl/>
        </w:rPr>
      </w:pPr>
      <w:r w:rsidRPr="00807FA9">
        <w:rPr>
          <w:rFonts w:ascii="Century" w:hAnsi="Century" w:cs="FrankRuehl"/>
          <w:spacing w:val="10"/>
          <w:sz w:val="20"/>
          <w:szCs w:val="28"/>
          <w:rtl/>
        </w:rPr>
        <w:t>בית המשפט העליון חזר פעם אחר פעם על החומרה הגלומה בעבירות נשק, ועל פוטנציאל הפגיעה בנפש וברכוש שעלולה להיגרם כתוצאה מהן. בהלכה הפסוקה נקבע כי על דרך הכלל, יש להחמיר בענישתם של נאשמים שהורשעו בעבירות נשק, לרבות בעבירות של ניסיון לסחר בנשק וכן נשיאה והובלה של נשק ותחמושת. נפסק כי הגם שהענישה היא לעולם אינדיבידואלית, הרי בעבירות נשק ראוי שבית המשפט ייתן משקל משמעותי יותר לאינטרס הציבורי ולצורך להרתיע עבריינים מלבצע עבירות דומות, ביחס לנסיבות האישיות של העבריין. בהתאם לכך, מדיניות הענישה הנוהגת מבוססת על הטלת עונשי מאסר לריצוי בפועל. משך המאסר בפועל נגזר, בין היתר, מנסיבות המעשה ובהן: טיב העבירה, סוג הנשק, כמות הנשק, מידת המעורבות של הנאשם בפרשה בכללותה, ועוד.</w:t>
      </w:r>
    </w:p>
    <w:p w14:paraId="337708EB"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89DE055"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Pr>
      </w:pPr>
      <w:r w:rsidRPr="00807FA9">
        <w:rPr>
          <w:rFonts w:ascii="Miriam" w:hAnsi="Miriam" w:cs="Miriam"/>
          <w:spacing w:val="10"/>
          <w:rtl/>
        </w:rPr>
        <w:tab/>
        <w:t>בכל הנוגע לעבירה של סחר בנשק (לרבות ניסיון לכך)</w:t>
      </w:r>
      <w:r w:rsidRPr="00807FA9">
        <w:rPr>
          <w:rFonts w:ascii="Century" w:hAnsi="Century" w:cs="FrankRuehl"/>
          <w:spacing w:val="10"/>
          <w:sz w:val="22"/>
          <w:szCs w:val="28"/>
          <w:rtl/>
        </w:rPr>
        <w:t xml:space="preserve"> – בשנת 2018 ניתן בבית המשפט העליון פסק דין שדן בהרחבה בענישה בגין העבירה האמורה (ראו: </w:t>
      </w:r>
      <w:hyperlink r:id="rId39" w:history="1">
        <w:r w:rsidR="00CF2A22" w:rsidRPr="00CF2A22">
          <w:rPr>
            <w:rFonts w:ascii="Century" w:hAnsi="Century" w:cs="FrankRuehl" w:hint="eastAsia"/>
            <w:color w:val="0000FF"/>
            <w:spacing w:val="10"/>
            <w:sz w:val="22"/>
            <w:szCs w:val="28"/>
            <w:u w:val="single"/>
            <w:rtl/>
          </w:rPr>
          <w:t>ע</w:t>
        </w:r>
        <w:r w:rsidR="00CF2A22" w:rsidRPr="00CF2A22">
          <w:rPr>
            <w:rFonts w:ascii="Century" w:hAnsi="Century" w:cs="FrankRuehl"/>
            <w:color w:val="0000FF"/>
            <w:spacing w:val="10"/>
            <w:sz w:val="22"/>
            <w:szCs w:val="28"/>
            <w:u w:val="single"/>
            <w:rtl/>
          </w:rPr>
          <w:t>"</w:t>
        </w:r>
        <w:r w:rsidR="00CF2A22" w:rsidRPr="00CF2A22">
          <w:rPr>
            <w:rFonts w:ascii="Century" w:hAnsi="Century" w:cs="FrankRuehl" w:hint="eastAsia"/>
            <w:color w:val="0000FF"/>
            <w:spacing w:val="10"/>
            <w:sz w:val="22"/>
            <w:szCs w:val="28"/>
            <w:u w:val="single"/>
            <w:rtl/>
          </w:rPr>
          <w:t>פ</w:t>
        </w:r>
        <w:r w:rsidR="00CF2A22" w:rsidRPr="00CF2A22">
          <w:rPr>
            <w:rFonts w:ascii="Century" w:hAnsi="Century" w:cs="FrankRuehl"/>
            <w:color w:val="0000FF"/>
            <w:spacing w:val="10"/>
            <w:sz w:val="22"/>
            <w:szCs w:val="28"/>
            <w:u w:val="single"/>
            <w:rtl/>
          </w:rPr>
          <w:t xml:space="preserve"> 8045/17</w:t>
        </w:r>
      </w:hyperlink>
      <w:r w:rsidRPr="00807FA9">
        <w:rPr>
          <w:rFonts w:ascii="Century" w:hAnsi="Century" w:cs="FrankRuehl"/>
          <w:spacing w:val="10"/>
          <w:sz w:val="22"/>
          <w:szCs w:val="28"/>
          <w:rtl/>
        </w:rPr>
        <w:t xml:space="preserve"> </w:t>
      </w:r>
      <w:r w:rsidRPr="00807FA9">
        <w:rPr>
          <w:rFonts w:ascii="Century" w:hAnsi="Century" w:cs="Miriam"/>
          <w:spacing w:val="10"/>
          <w:rtl/>
        </w:rPr>
        <w:t>בראנסי נ' מדינת ישראל</w:t>
      </w:r>
      <w:r w:rsidRPr="00807FA9">
        <w:rPr>
          <w:rFonts w:ascii="Century" w:hAnsi="Century" w:cs="FrankRuehl"/>
          <w:spacing w:val="10"/>
          <w:sz w:val="22"/>
          <w:szCs w:val="28"/>
          <w:rtl/>
        </w:rPr>
        <w:t xml:space="preserve"> (16.8.2018)). ב</w:t>
      </w:r>
      <w:hyperlink r:id="rId40" w:history="1">
        <w:r w:rsidR="00CF2A22" w:rsidRPr="00CF2A22">
          <w:rPr>
            <w:rFonts w:ascii="Century" w:hAnsi="Century" w:cs="FrankRuehl" w:hint="eastAsia"/>
            <w:color w:val="0000FF"/>
            <w:spacing w:val="10"/>
            <w:sz w:val="22"/>
            <w:szCs w:val="28"/>
            <w:u w:val="single"/>
            <w:rtl/>
          </w:rPr>
          <w:t>ע</w:t>
        </w:r>
        <w:r w:rsidR="00CF2A22" w:rsidRPr="00CF2A22">
          <w:rPr>
            <w:rFonts w:ascii="Century" w:hAnsi="Century" w:cs="FrankRuehl"/>
            <w:color w:val="0000FF"/>
            <w:spacing w:val="10"/>
            <w:sz w:val="22"/>
            <w:szCs w:val="28"/>
            <w:u w:val="single"/>
            <w:rtl/>
          </w:rPr>
          <w:t>"</w:t>
        </w:r>
        <w:r w:rsidR="00CF2A22" w:rsidRPr="00CF2A22">
          <w:rPr>
            <w:rFonts w:ascii="Century" w:hAnsi="Century" w:cs="FrankRuehl" w:hint="eastAsia"/>
            <w:color w:val="0000FF"/>
            <w:spacing w:val="10"/>
            <w:sz w:val="22"/>
            <w:szCs w:val="28"/>
            <w:u w:val="single"/>
            <w:rtl/>
          </w:rPr>
          <w:t>פ</w:t>
        </w:r>
        <w:r w:rsidR="00CF2A22" w:rsidRPr="00CF2A22">
          <w:rPr>
            <w:rFonts w:ascii="Century" w:hAnsi="Century" w:cs="FrankRuehl"/>
            <w:color w:val="0000FF"/>
            <w:spacing w:val="10"/>
            <w:sz w:val="22"/>
            <w:szCs w:val="28"/>
            <w:u w:val="single"/>
            <w:rtl/>
          </w:rPr>
          <w:t xml:space="preserve"> 8045/17</w:t>
        </w:r>
      </w:hyperlink>
      <w:r w:rsidRPr="00807FA9">
        <w:rPr>
          <w:rFonts w:ascii="Century" w:hAnsi="Century" w:cs="FrankRuehl"/>
          <w:spacing w:val="10"/>
          <w:sz w:val="22"/>
          <w:szCs w:val="28"/>
          <w:rtl/>
        </w:rPr>
        <w:t xml:space="preserve"> </w:t>
      </w:r>
      <w:r w:rsidRPr="00807FA9">
        <w:rPr>
          <w:rFonts w:ascii="Century" w:hAnsi="Century" w:cs="Miriam"/>
          <w:spacing w:val="10"/>
          <w:rtl/>
        </w:rPr>
        <w:t>בראנסי</w:t>
      </w:r>
      <w:r w:rsidRPr="00807FA9">
        <w:rPr>
          <w:rFonts w:ascii="Century" w:hAnsi="Century" w:cs="FrankRuehl"/>
          <w:spacing w:val="10"/>
          <w:sz w:val="22"/>
          <w:szCs w:val="28"/>
          <w:rtl/>
        </w:rPr>
        <w:t xml:space="preserve"> הנ"ל אושר מתחם עונש הולם שנע מ- 24 עד 48 חודשי מאסר בפועל בגין </w:t>
      </w:r>
      <w:r w:rsidRPr="00807FA9">
        <w:rPr>
          <w:rFonts w:ascii="Century" w:hAnsi="Century" w:cs="FrankRuehl"/>
          <w:spacing w:val="10"/>
          <w:sz w:val="22"/>
          <w:szCs w:val="28"/>
          <w:u w:val="single"/>
          <w:rtl/>
        </w:rPr>
        <w:t>מכירה</w:t>
      </w:r>
      <w:r w:rsidRPr="00807FA9">
        <w:rPr>
          <w:rFonts w:ascii="Century" w:hAnsi="Century" w:cs="FrankRuehl"/>
          <w:spacing w:val="10"/>
          <w:sz w:val="22"/>
          <w:szCs w:val="28"/>
          <w:rtl/>
        </w:rPr>
        <w:t xml:space="preserve"> של </w:t>
      </w:r>
      <w:r w:rsidRPr="00807FA9">
        <w:rPr>
          <w:rFonts w:ascii="Century" w:hAnsi="Century" w:cs="FrankRuehl"/>
          <w:spacing w:val="10"/>
          <w:sz w:val="22"/>
          <w:szCs w:val="28"/>
          <w:u w:val="single"/>
          <w:rtl/>
        </w:rPr>
        <w:t>אקדח</w:t>
      </w:r>
      <w:r w:rsidRPr="00807FA9">
        <w:rPr>
          <w:rFonts w:ascii="Century" w:hAnsi="Century" w:cs="FrankRuehl"/>
          <w:spacing w:val="10"/>
          <w:sz w:val="22"/>
          <w:szCs w:val="28"/>
          <w:rtl/>
        </w:rPr>
        <w:t xml:space="preserve"> ביחד עם קשירת קשר לביצוע פשע (שם, פס' 54-56). במקרה שלפניי,</w:t>
      </w:r>
      <w:r w:rsidRPr="00807FA9">
        <w:rPr>
          <w:rFonts w:ascii="Arial TUR" w:hAnsi="Arial TUR" w:cs="FrankRuehl"/>
          <w:spacing w:val="10"/>
          <w:sz w:val="22"/>
          <w:szCs w:val="28"/>
          <w:rtl/>
        </w:rPr>
        <w:t xml:space="preserve"> מדובר </w:t>
      </w:r>
      <w:r w:rsidRPr="00807FA9">
        <w:rPr>
          <w:rFonts w:ascii="Arial TUR" w:hAnsi="Arial TUR" w:cs="FrankRuehl"/>
          <w:spacing w:val="10"/>
          <w:sz w:val="22"/>
          <w:szCs w:val="28"/>
          <w:u w:val="single"/>
          <w:rtl/>
        </w:rPr>
        <w:t>בניסיון</w:t>
      </w:r>
      <w:r w:rsidRPr="00807FA9">
        <w:rPr>
          <w:rFonts w:ascii="Arial TUR" w:hAnsi="Arial TUR" w:cs="FrankRuehl"/>
          <w:spacing w:val="10"/>
          <w:sz w:val="22"/>
          <w:szCs w:val="28"/>
          <w:rtl/>
        </w:rPr>
        <w:t xml:space="preserve"> למכור </w:t>
      </w:r>
      <w:r w:rsidRPr="00807FA9">
        <w:rPr>
          <w:rFonts w:ascii="Arial TUR" w:hAnsi="Arial TUR" w:cs="FrankRuehl"/>
          <w:spacing w:val="10"/>
          <w:sz w:val="22"/>
          <w:szCs w:val="28"/>
          <w:u w:val="single"/>
          <w:rtl/>
        </w:rPr>
        <w:t>תת מקלע</w:t>
      </w:r>
      <w:r w:rsidRPr="00807FA9">
        <w:rPr>
          <w:rFonts w:ascii="Arial TUR" w:hAnsi="Arial TUR" w:cs="FrankRuehl"/>
          <w:spacing w:val="10"/>
          <w:sz w:val="22"/>
          <w:szCs w:val="28"/>
          <w:rtl/>
        </w:rPr>
        <w:t xml:space="preserve"> מסוג קרלו - נשק שהוא בעל פוטנציאל סיכון גבוה יותר ביחס לאקדח (לכך שיש מקום להחמיר עם עבירת סחר או ניסיון סחר בנשק אוטומטי שפוטנציאל הנזק שלו עולה על זה של אקדח, ראו: </w:t>
      </w:r>
      <w:hyperlink r:id="rId41" w:history="1">
        <w:r w:rsidR="00CF2A22" w:rsidRPr="00CF2A22">
          <w:rPr>
            <w:rFonts w:ascii="Arial TUR" w:hAnsi="Arial TUR" w:cs="FrankRuehl"/>
            <w:color w:val="0000FF"/>
            <w:spacing w:val="10"/>
            <w:sz w:val="22"/>
            <w:szCs w:val="28"/>
            <w:u w:val="single"/>
            <w:rtl/>
          </w:rPr>
          <w:t>ע"פ 1397/16</w:t>
        </w:r>
      </w:hyperlink>
      <w:r w:rsidRPr="00807FA9">
        <w:rPr>
          <w:rFonts w:ascii="Arial TUR" w:hAnsi="Arial TUR" w:cs="FrankRuehl"/>
          <w:spacing w:val="10"/>
          <w:sz w:val="22"/>
          <w:szCs w:val="28"/>
          <w:rtl/>
        </w:rPr>
        <w:t xml:space="preserve"> </w:t>
      </w:r>
      <w:r w:rsidRPr="00807FA9">
        <w:rPr>
          <w:rFonts w:ascii="Century" w:hAnsi="Century" w:cs="Miriam"/>
          <w:b/>
          <w:sz w:val="22"/>
          <w:rtl/>
        </w:rPr>
        <w:t>מדינת ישראל נ' חמאיל</w:t>
      </w:r>
      <w:r w:rsidRPr="00807FA9">
        <w:rPr>
          <w:rFonts w:ascii="Arial TUR" w:hAnsi="Arial TUR" w:cs="FrankRuehl"/>
          <w:spacing w:val="10"/>
          <w:sz w:val="22"/>
          <w:szCs w:val="28"/>
          <w:rtl/>
        </w:rPr>
        <w:t xml:space="preserve"> (6.9.2016), פס' 13). אוסיף כי בניגוד למערער ב</w:t>
      </w:r>
      <w:hyperlink r:id="rId42" w:history="1">
        <w:r w:rsidR="00CF2A22" w:rsidRPr="00CF2A22">
          <w:rPr>
            <w:rFonts w:ascii="Arial TUR" w:hAnsi="Arial TUR" w:cs="FrankRuehl"/>
            <w:color w:val="0000FF"/>
            <w:spacing w:val="10"/>
            <w:sz w:val="22"/>
            <w:szCs w:val="28"/>
            <w:u w:val="single"/>
            <w:rtl/>
          </w:rPr>
          <w:t>ע"פ 8045/17</w:t>
        </w:r>
      </w:hyperlink>
      <w:r w:rsidRPr="00807FA9">
        <w:rPr>
          <w:rFonts w:ascii="Arial TUR" w:hAnsi="Arial TUR" w:cs="FrankRuehl"/>
          <w:spacing w:val="10"/>
          <w:sz w:val="22"/>
          <w:szCs w:val="28"/>
          <w:rtl/>
        </w:rPr>
        <w:t xml:space="preserve"> </w:t>
      </w:r>
      <w:r w:rsidRPr="00807FA9">
        <w:rPr>
          <w:rFonts w:ascii="Century" w:hAnsi="Century" w:cs="Miriam"/>
          <w:b/>
          <w:sz w:val="22"/>
          <w:rtl/>
        </w:rPr>
        <w:t>בראנסי</w:t>
      </w:r>
      <w:r w:rsidRPr="00807FA9">
        <w:rPr>
          <w:rFonts w:ascii="Arial TUR" w:hAnsi="Arial TUR" w:cs="FrankRuehl"/>
          <w:spacing w:val="10"/>
          <w:sz w:val="22"/>
          <w:szCs w:val="28"/>
          <w:rtl/>
        </w:rPr>
        <w:t xml:space="preserve"> הנ"ל, הנאשם שלפניי אמנם לא הורשע בעבירה של קשירת קשר לביצוע פשע, אולם הוא הורשע בעבירה של נשיאה והובלה של נשק ותחמושת, אליה אתייחס מיד. עוד אדגיש כי במקרה דנן העבירה של ניסיון סחר בנשק לא השתכללה לכדי עבירה מושלמת, וזאת לא בעטים של חרטה או העדר נכונות לכך מצד הנאשם, אלא אך מאחר שלא נמצא קונה לנשק במחיר אותו דרש הנאשם.</w:t>
      </w:r>
    </w:p>
    <w:p w14:paraId="5BB40939"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r>
    </w:p>
    <w:p w14:paraId="24D2C2B9" w14:textId="77777777" w:rsidR="00D65C27" w:rsidRPr="00807FA9" w:rsidRDefault="00D65C27" w:rsidP="00D65C27">
      <w:pPr>
        <w:tabs>
          <w:tab w:val="left" w:pos="800"/>
        </w:tabs>
        <w:overflowPunct w:val="0"/>
        <w:autoSpaceDE w:val="0"/>
        <w:autoSpaceDN w:val="0"/>
        <w:adjustRightInd w:val="0"/>
        <w:spacing w:line="360" w:lineRule="auto"/>
        <w:jc w:val="both"/>
        <w:rPr>
          <w:rFonts w:ascii="Garamond" w:hAnsi="Garamond" w:cs="FrankRuehl"/>
          <w:spacing w:val="10"/>
          <w:szCs w:val="28"/>
          <w:rtl/>
        </w:rPr>
      </w:pPr>
      <w:r w:rsidRPr="00807FA9">
        <w:rPr>
          <w:rFonts w:ascii="Garamond" w:hAnsi="Garamond" w:cs="FrankRuehl"/>
          <w:spacing w:val="10"/>
          <w:szCs w:val="28"/>
          <w:rtl/>
        </w:rPr>
        <w:tab/>
      </w:r>
      <w:r w:rsidRPr="00807FA9">
        <w:rPr>
          <w:rFonts w:ascii="Century" w:hAnsi="Century" w:cs="Miriam"/>
          <w:b/>
          <w:sz w:val="22"/>
          <w:rtl/>
        </w:rPr>
        <w:t>אשר לעבירה של נשיאה והובלה של נשק ותחמושת</w:t>
      </w:r>
      <w:r w:rsidRPr="00807FA9">
        <w:rPr>
          <w:rFonts w:ascii="Garamond" w:hAnsi="Garamond" w:cs="FrankRuehl"/>
          <w:spacing w:val="10"/>
          <w:szCs w:val="28"/>
          <w:rtl/>
        </w:rPr>
        <w:t xml:space="preserve"> – לאחרונה דן בית המשפט העליון בעניינו של מערער שהורשע בעבירות של נשיאת נשק שלא כדין, הפרעה לשוטר במילוי תפקידו ושהייה בישראל בניגוד לחוק. וכך נפסק מפי כב' השופט שטיין, בהסכמת כב' השופטים אלרון ורונן:</w:t>
      </w:r>
    </w:p>
    <w:p w14:paraId="44850614"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E47030F" w14:textId="77777777" w:rsidR="00D65C27" w:rsidRPr="00807FA9" w:rsidRDefault="00D65C27" w:rsidP="00D65C27">
      <w:pPr>
        <w:overflowPunct w:val="0"/>
        <w:autoSpaceDE w:val="0"/>
        <w:autoSpaceDN w:val="0"/>
        <w:adjustRightInd w:val="0"/>
        <w:ind w:left="1644" w:right="1276"/>
        <w:jc w:val="both"/>
        <w:rPr>
          <w:rFonts w:ascii="Century" w:hAnsi="Century" w:cs="FrankRuehl"/>
          <w:spacing w:val="10"/>
          <w:sz w:val="22"/>
          <w:szCs w:val="28"/>
          <w:rtl/>
        </w:rPr>
      </w:pPr>
      <w:r w:rsidRPr="00807FA9">
        <w:rPr>
          <w:rFonts w:ascii="Arial TUR" w:hAnsi="Arial TUR" w:cs="FrankRuehl"/>
          <w:spacing w:val="10"/>
          <w:sz w:val="22"/>
          <w:szCs w:val="28"/>
          <w:rtl/>
        </w:rPr>
        <w:t xml:space="preserve">"כעולה מפסיקתו של בית משפט זה, מתחם הענישה הרגיל שראוי לקבוע לנאשם בגיר בגין נשיאה בלתי חוקית של נשק חם במרחב הציבורי </w:t>
      </w:r>
      <w:r w:rsidRPr="00807FA9">
        <w:rPr>
          <w:rFonts w:ascii="Arial TUR" w:hAnsi="Arial TUR" w:cs="FrankRuehl"/>
          <w:b/>
          <w:bCs/>
          <w:spacing w:val="10"/>
          <w:sz w:val="22"/>
          <w:szCs w:val="28"/>
          <w:rtl/>
        </w:rPr>
        <w:t>נע בין 30 ל-42 חודשי מאסר בין סורג ובריח</w:t>
      </w:r>
      <w:r w:rsidRPr="00807FA9">
        <w:rPr>
          <w:rFonts w:ascii="Arial TUR" w:hAnsi="Arial TUR" w:cs="FrankRuehl"/>
          <w:spacing w:val="10"/>
          <w:sz w:val="22"/>
          <w:szCs w:val="28"/>
          <w:rtl/>
        </w:rPr>
        <w:t xml:space="preserve"> (לצד עונשים נלווים בדמותם של מאסר-על-תנאי וקנס)... הווה אומר: </w:t>
      </w:r>
      <w:r w:rsidRPr="00807FA9">
        <w:rPr>
          <w:rFonts w:ascii="Arial TUR" w:hAnsi="Arial TUR" w:cs="FrankRuehl"/>
          <w:b/>
          <w:bCs/>
          <w:spacing w:val="10"/>
          <w:sz w:val="22"/>
          <w:szCs w:val="28"/>
          <w:rtl/>
        </w:rPr>
        <w:t>באין נסיבות מיוחדות לחומרא או לקולא</w:t>
      </w:r>
      <w:r w:rsidRPr="00807FA9">
        <w:rPr>
          <w:rFonts w:ascii="Arial TUR" w:hAnsi="Arial TUR" w:cs="FrankRuehl"/>
          <w:spacing w:val="10"/>
          <w:sz w:val="22"/>
          <w:szCs w:val="28"/>
          <w:rtl/>
        </w:rPr>
        <w:t xml:space="preserve">, יהא זה בהחלט סביר אם בית משפט יטיל על נאשם כאמור עונש של 36 חודשי מאסר לריצוי בפועל. </w:t>
      </w:r>
      <w:r w:rsidRPr="00807FA9">
        <w:rPr>
          <w:rFonts w:ascii="Century" w:hAnsi="Century" w:cs="FrankRuehl"/>
          <w:spacing w:val="10"/>
          <w:sz w:val="22"/>
          <w:szCs w:val="28"/>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454D2F77" w14:textId="77777777" w:rsidR="00D65C27" w:rsidRPr="00807FA9" w:rsidRDefault="00D65C27" w:rsidP="00D65C27">
      <w:pPr>
        <w:overflowPunct w:val="0"/>
        <w:autoSpaceDE w:val="0"/>
        <w:autoSpaceDN w:val="0"/>
        <w:adjustRightInd w:val="0"/>
        <w:ind w:left="1644" w:right="1276"/>
        <w:jc w:val="both"/>
        <w:rPr>
          <w:rFonts w:ascii="Century" w:hAnsi="Century" w:cs="FrankRuehl"/>
          <w:spacing w:val="10"/>
          <w:sz w:val="22"/>
          <w:szCs w:val="28"/>
          <w:rtl/>
        </w:rPr>
      </w:pPr>
    </w:p>
    <w:p w14:paraId="3D22B9FA" w14:textId="77777777" w:rsidR="00D65C27" w:rsidRPr="00807FA9" w:rsidRDefault="00D65C27" w:rsidP="00D65C27">
      <w:pPr>
        <w:overflowPunct w:val="0"/>
        <w:autoSpaceDE w:val="0"/>
        <w:autoSpaceDN w:val="0"/>
        <w:adjustRightInd w:val="0"/>
        <w:ind w:left="1644" w:right="1276"/>
        <w:jc w:val="both"/>
        <w:rPr>
          <w:rFonts w:ascii="Century" w:hAnsi="Century" w:cs="FrankRuehl"/>
          <w:spacing w:val="10"/>
          <w:sz w:val="22"/>
          <w:szCs w:val="28"/>
          <w:rtl/>
        </w:rPr>
      </w:pPr>
      <w:r w:rsidRPr="00807FA9">
        <w:rPr>
          <w:rFonts w:ascii="Century" w:hAnsi="Century" w:cs="FrankRuehl"/>
          <w:spacing w:val="10"/>
          <w:sz w:val="22"/>
          <w:szCs w:val="28"/>
          <w:rtl/>
        </w:rPr>
        <w:t>(</w:t>
      </w:r>
      <w:hyperlink r:id="rId43" w:history="1">
        <w:r w:rsidR="00CF2A22" w:rsidRPr="00CF2A22">
          <w:rPr>
            <w:rFonts w:ascii="Arial TUR" w:hAnsi="Arial TUR" w:cs="FrankRuehl"/>
            <w:color w:val="0000FF"/>
            <w:spacing w:val="10"/>
            <w:sz w:val="22"/>
            <w:szCs w:val="28"/>
            <w:u w:val="single"/>
            <w:rtl/>
          </w:rPr>
          <w:t>ע"פ 5602/22</w:t>
        </w:r>
      </w:hyperlink>
      <w:r w:rsidRPr="00807FA9">
        <w:rPr>
          <w:rFonts w:ascii="Arial TUR" w:hAnsi="Arial TUR" w:cs="FrankRuehl"/>
          <w:spacing w:val="10"/>
          <w:sz w:val="22"/>
          <w:szCs w:val="28"/>
          <w:rtl/>
        </w:rPr>
        <w:t xml:space="preserve"> </w:t>
      </w:r>
      <w:r w:rsidRPr="00807FA9">
        <w:rPr>
          <w:rFonts w:ascii="Century" w:hAnsi="Century" w:cs="Miriam"/>
          <w:b/>
          <w:sz w:val="22"/>
          <w:rtl/>
        </w:rPr>
        <w:t>מדינת ישראל נ' פלוני</w:t>
      </w:r>
      <w:r w:rsidRPr="00807FA9">
        <w:rPr>
          <w:rFonts w:ascii="Arial TUR" w:hAnsi="Arial TUR" w:cs="FrankRuehl"/>
          <w:spacing w:val="10"/>
          <w:sz w:val="22"/>
          <w:szCs w:val="28"/>
          <w:rtl/>
        </w:rPr>
        <w:t xml:space="preserve"> (14.9.2022), פס' 16; ההדגשות במקור הושמטו. ההדגשות באמצעות אות מודגשת הוספו-ד.כ.ל).</w:t>
      </w:r>
      <w:r w:rsidRPr="00807FA9">
        <w:rPr>
          <w:rFonts w:ascii="Century" w:hAnsi="Century" w:cs="FrankRuehl"/>
          <w:spacing w:val="10"/>
          <w:sz w:val="22"/>
          <w:szCs w:val="28"/>
          <w:rtl/>
        </w:rPr>
        <w:t xml:space="preserve"> </w:t>
      </w:r>
    </w:p>
    <w:p w14:paraId="78458C2D"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F1F8AD1"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807FA9">
        <w:rPr>
          <w:rFonts w:ascii="Century" w:hAnsi="Century" w:cs="FrankRuehl"/>
          <w:spacing w:val="10"/>
          <w:sz w:val="22"/>
          <w:szCs w:val="28"/>
          <w:rtl/>
        </w:rPr>
        <w:tab/>
        <w:t>הנה כי כן, ב</w:t>
      </w:r>
      <w:hyperlink r:id="rId44" w:history="1">
        <w:r w:rsidR="00CF2A22" w:rsidRPr="00CF2A22">
          <w:rPr>
            <w:rFonts w:ascii="Century" w:hAnsi="Century" w:cs="FrankRuehl" w:hint="eastAsia"/>
            <w:color w:val="0000FF"/>
            <w:spacing w:val="10"/>
            <w:sz w:val="22"/>
            <w:szCs w:val="28"/>
            <w:u w:val="single"/>
            <w:rtl/>
          </w:rPr>
          <w:t>ע</w:t>
        </w:r>
        <w:r w:rsidR="00CF2A22" w:rsidRPr="00CF2A22">
          <w:rPr>
            <w:rFonts w:ascii="Century" w:hAnsi="Century" w:cs="FrankRuehl"/>
            <w:color w:val="0000FF"/>
            <w:spacing w:val="10"/>
            <w:sz w:val="22"/>
            <w:szCs w:val="28"/>
            <w:u w:val="single"/>
            <w:rtl/>
          </w:rPr>
          <w:t>"</w:t>
        </w:r>
        <w:r w:rsidR="00CF2A22" w:rsidRPr="00CF2A22">
          <w:rPr>
            <w:rFonts w:ascii="Century" w:hAnsi="Century" w:cs="FrankRuehl" w:hint="eastAsia"/>
            <w:color w:val="0000FF"/>
            <w:spacing w:val="10"/>
            <w:sz w:val="22"/>
            <w:szCs w:val="28"/>
            <w:u w:val="single"/>
            <w:rtl/>
          </w:rPr>
          <w:t>פ</w:t>
        </w:r>
        <w:r w:rsidR="00CF2A22" w:rsidRPr="00CF2A22">
          <w:rPr>
            <w:rFonts w:ascii="Century" w:hAnsi="Century" w:cs="FrankRuehl"/>
            <w:color w:val="0000FF"/>
            <w:spacing w:val="10"/>
            <w:sz w:val="22"/>
            <w:szCs w:val="28"/>
            <w:u w:val="single"/>
            <w:rtl/>
          </w:rPr>
          <w:t xml:space="preserve"> 5602/22</w:t>
        </w:r>
      </w:hyperlink>
      <w:r w:rsidRPr="00807FA9">
        <w:rPr>
          <w:rFonts w:ascii="Century" w:hAnsi="Century" w:cs="FrankRuehl"/>
          <w:spacing w:val="10"/>
          <w:sz w:val="22"/>
          <w:szCs w:val="28"/>
          <w:rtl/>
        </w:rPr>
        <w:t xml:space="preserve"> הנ"ל נפסק כי בגין </w:t>
      </w:r>
      <w:r w:rsidRPr="00807FA9">
        <w:rPr>
          <w:rFonts w:ascii="Garamond" w:hAnsi="Garamond" w:cs="FrankRuehl"/>
          <w:spacing w:val="10"/>
          <w:szCs w:val="28"/>
          <w:rtl/>
        </w:rPr>
        <w:t xml:space="preserve">נשיאה בלתי חוקית של נשק חם במרחב הציבורי, המתחם במקרה הרגיל אמור לנוע בין 30 ל-42 חודשי מאסר בפועל בהעדר נסיבות מיוחדות לקולא או לחומרא. </w:t>
      </w:r>
      <w:r w:rsidRPr="00807FA9">
        <w:rPr>
          <w:rFonts w:ascii="Century" w:hAnsi="Century" w:cs="FrankRuehl"/>
          <w:spacing w:val="10"/>
          <w:sz w:val="22"/>
          <w:szCs w:val="28"/>
          <w:rtl/>
        </w:rPr>
        <w:t xml:space="preserve">במקרה דנן, ישנה נסיבה מהותית לקולא והיא העובדה עליה עמדתי לעיל ולפיה לאחר מעשה, הנאשם הסגיר את הנשק לידי כוחות הביטחון במהלך חקירתו (ראו: סוף פס' 8 לדבריי לעיל). כאמור, יש לעודד מעשים מסוג זה המפחיתים מעוצמת הנזק הפוטנציאלי הטמון בעבירות הנשק (הגם שכמובן אין בהסגרת הנשק בדיעבד, כדי לאיין את הצורך להרתיע מפני ביצוע עבירות נשק מלכתחילה). </w:t>
      </w:r>
    </w:p>
    <w:p w14:paraId="181D4021"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3532016A"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807FA9">
        <w:rPr>
          <w:rFonts w:ascii="Century" w:hAnsi="Century" w:cs="FrankRuehl"/>
          <w:spacing w:val="10"/>
          <w:sz w:val="22"/>
          <w:szCs w:val="28"/>
          <w:rtl/>
        </w:rPr>
        <w:tab/>
        <w:t xml:space="preserve">בד בבד, יש לזכור כי במקרה דנן הנאשם הורשע לא רק בעבירה של נשיאה והובלה של נשק ותחמושת, אלא גם בעבירה של ניסיון לסחר בנשק – עבירה שלא נדונה </w:t>
      </w:r>
      <w:r w:rsidRPr="00807FA9">
        <w:rPr>
          <w:rFonts w:ascii="Garamond" w:hAnsi="Garamond" w:cs="FrankRuehl"/>
          <w:spacing w:val="10"/>
          <w:szCs w:val="28"/>
          <w:rtl/>
        </w:rPr>
        <w:t>ב</w:t>
      </w:r>
      <w:hyperlink r:id="rId45" w:history="1">
        <w:r w:rsidR="00CF2A22" w:rsidRPr="00CF2A22">
          <w:rPr>
            <w:rFonts w:ascii="Garamond" w:hAnsi="Garamond" w:cs="FrankRuehl" w:hint="eastAsia"/>
            <w:color w:val="0000FF"/>
            <w:spacing w:val="10"/>
            <w:szCs w:val="28"/>
            <w:u w:val="single"/>
            <w:rtl/>
          </w:rPr>
          <w:t>ע</w:t>
        </w:r>
        <w:r w:rsidR="00CF2A22" w:rsidRPr="00CF2A22">
          <w:rPr>
            <w:rFonts w:ascii="Garamond" w:hAnsi="Garamond" w:cs="FrankRuehl"/>
            <w:color w:val="0000FF"/>
            <w:spacing w:val="10"/>
            <w:szCs w:val="28"/>
            <w:u w:val="single"/>
            <w:rtl/>
          </w:rPr>
          <w:t>"</w:t>
        </w:r>
        <w:r w:rsidR="00CF2A22" w:rsidRPr="00CF2A22">
          <w:rPr>
            <w:rFonts w:ascii="Garamond" w:hAnsi="Garamond" w:cs="FrankRuehl" w:hint="eastAsia"/>
            <w:color w:val="0000FF"/>
            <w:spacing w:val="10"/>
            <w:szCs w:val="28"/>
            <w:u w:val="single"/>
            <w:rtl/>
          </w:rPr>
          <w:t>פ</w:t>
        </w:r>
        <w:r w:rsidR="00CF2A22" w:rsidRPr="00CF2A22">
          <w:rPr>
            <w:rFonts w:ascii="Garamond" w:hAnsi="Garamond" w:cs="FrankRuehl"/>
            <w:color w:val="0000FF"/>
            <w:spacing w:val="10"/>
            <w:szCs w:val="28"/>
            <w:u w:val="single"/>
            <w:rtl/>
          </w:rPr>
          <w:t xml:space="preserve"> 5602/22</w:t>
        </w:r>
      </w:hyperlink>
      <w:r w:rsidRPr="00807FA9">
        <w:rPr>
          <w:rFonts w:ascii="Century" w:hAnsi="Century" w:cs="FrankRuehl"/>
          <w:spacing w:val="10"/>
          <w:sz w:val="22"/>
          <w:szCs w:val="28"/>
          <w:rtl/>
        </w:rPr>
        <w:t xml:space="preserve"> הנ"ל. ברי כי ביצוע העבירה האחרונה צריך להקרין על קביעתו של מתחם העונש ההולם בגין האירוע בכללותו. </w:t>
      </w:r>
    </w:p>
    <w:p w14:paraId="5A6D07AA"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23CBDB87" w14:textId="77777777" w:rsidR="00D65C27" w:rsidRPr="00807FA9" w:rsidRDefault="00D65C27" w:rsidP="00D65C27">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807FA9">
        <w:rPr>
          <w:rFonts w:ascii="Century" w:hAnsi="Century" w:cs="FrankRuehl"/>
          <w:spacing w:val="10"/>
          <w:sz w:val="22"/>
          <w:szCs w:val="28"/>
          <w:rtl/>
        </w:rPr>
        <w:tab/>
        <w:t>אילו במקרה דנן ההרשעה בעבירה של נשיאה והובלה של נשק ותחמושת הייתה עומדת לבדה, היה לדעתי מקום להקל במתחם שנקבע בגין העבירה האמורה ב</w:t>
      </w:r>
      <w:hyperlink r:id="rId46" w:history="1">
        <w:r w:rsidR="00CF2A22" w:rsidRPr="00CF2A22">
          <w:rPr>
            <w:rFonts w:ascii="Century" w:hAnsi="Century" w:cs="FrankRuehl" w:hint="eastAsia"/>
            <w:color w:val="0000FF"/>
            <w:spacing w:val="10"/>
            <w:sz w:val="22"/>
            <w:szCs w:val="28"/>
            <w:u w:val="single"/>
            <w:rtl/>
          </w:rPr>
          <w:t>ע</w:t>
        </w:r>
        <w:r w:rsidR="00CF2A22" w:rsidRPr="00CF2A22">
          <w:rPr>
            <w:rFonts w:ascii="Century" w:hAnsi="Century" w:cs="FrankRuehl"/>
            <w:color w:val="0000FF"/>
            <w:spacing w:val="10"/>
            <w:sz w:val="22"/>
            <w:szCs w:val="28"/>
            <w:u w:val="single"/>
            <w:rtl/>
          </w:rPr>
          <w:t>"</w:t>
        </w:r>
        <w:r w:rsidR="00CF2A22" w:rsidRPr="00CF2A22">
          <w:rPr>
            <w:rFonts w:ascii="Century" w:hAnsi="Century" w:cs="FrankRuehl" w:hint="eastAsia"/>
            <w:color w:val="0000FF"/>
            <w:spacing w:val="10"/>
            <w:sz w:val="22"/>
            <w:szCs w:val="28"/>
            <w:u w:val="single"/>
            <w:rtl/>
          </w:rPr>
          <w:t>פ</w:t>
        </w:r>
        <w:r w:rsidR="00CF2A22" w:rsidRPr="00CF2A22">
          <w:rPr>
            <w:rFonts w:ascii="Century" w:hAnsi="Century" w:cs="FrankRuehl"/>
            <w:color w:val="0000FF"/>
            <w:spacing w:val="10"/>
            <w:sz w:val="22"/>
            <w:szCs w:val="28"/>
            <w:u w:val="single"/>
            <w:rtl/>
          </w:rPr>
          <w:t xml:space="preserve"> 5602/22</w:t>
        </w:r>
      </w:hyperlink>
      <w:r w:rsidRPr="00807FA9">
        <w:rPr>
          <w:rFonts w:ascii="Century" w:hAnsi="Century" w:cs="FrankRuehl"/>
          <w:spacing w:val="10"/>
          <w:sz w:val="22"/>
          <w:szCs w:val="28"/>
          <w:rtl/>
        </w:rPr>
        <w:t xml:space="preserve"> הנ"ל, וזאת בזכוּת הסגרת הנשק בדיעבד לכוחות הביטחון כנסיבה מהותית לקולא בעניין שלפניי. עם זאת, מאחר שבמקרה דנן העבירה של נשיאה והובלה של נשק ותחמושת אינה עומדת לבדה, שכן הנאשם הורשע בעבירה נוספת של ניסיון לסחר בנשק בנסיבות בהן לא מדובר בעבירות נבלעות, הרי המתחם במקרה דנן אינו יכול להיות נמוך מזה שנקבע ב</w:t>
      </w:r>
      <w:hyperlink r:id="rId47" w:history="1">
        <w:r w:rsidR="00CF2A22" w:rsidRPr="00CF2A22">
          <w:rPr>
            <w:rFonts w:ascii="Century" w:hAnsi="Century" w:cs="FrankRuehl" w:hint="eastAsia"/>
            <w:color w:val="0000FF"/>
            <w:spacing w:val="10"/>
            <w:sz w:val="22"/>
            <w:szCs w:val="28"/>
            <w:u w:val="single"/>
            <w:rtl/>
          </w:rPr>
          <w:t>ע</w:t>
        </w:r>
        <w:r w:rsidR="00CF2A22" w:rsidRPr="00CF2A22">
          <w:rPr>
            <w:rFonts w:ascii="Century" w:hAnsi="Century" w:cs="FrankRuehl"/>
            <w:color w:val="0000FF"/>
            <w:spacing w:val="10"/>
            <w:sz w:val="22"/>
            <w:szCs w:val="28"/>
            <w:u w:val="single"/>
            <w:rtl/>
          </w:rPr>
          <w:t>"</w:t>
        </w:r>
        <w:r w:rsidR="00CF2A22" w:rsidRPr="00CF2A22">
          <w:rPr>
            <w:rFonts w:ascii="Century" w:hAnsi="Century" w:cs="FrankRuehl" w:hint="eastAsia"/>
            <w:color w:val="0000FF"/>
            <w:spacing w:val="10"/>
            <w:sz w:val="22"/>
            <w:szCs w:val="28"/>
            <w:u w:val="single"/>
            <w:rtl/>
          </w:rPr>
          <w:t>פ</w:t>
        </w:r>
        <w:r w:rsidR="00CF2A22" w:rsidRPr="00CF2A22">
          <w:rPr>
            <w:rFonts w:ascii="Century" w:hAnsi="Century" w:cs="FrankRuehl"/>
            <w:color w:val="0000FF"/>
            <w:spacing w:val="10"/>
            <w:sz w:val="22"/>
            <w:szCs w:val="28"/>
            <w:u w:val="single"/>
            <w:rtl/>
          </w:rPr>
          <w:t xml:space="preserve"> 5602/22</w:t>
        </w:r>
      </w:hyperlink>
      <w:r w:rsidRPr="00807FA9">
        <w:rPr>
          <w:rFonts w:ascii="Century" w:hAnsi="Century" w:cs="FrankRuehl"/>
          <w:spacing w:val="10"/>
          <w:sz w:val="22"/>
          <w:szCs w:val="28"/>
          <w:rtl/>
        </w:rPr>
        <w:t xml:space="preserve"> הנ"ל. הכל, כשאני לוקחת בחשבון את הנסיבה המקלה של הסגרת הנשק לאחר מעשה.</w:t>
      </w:r>
    </w:p>
    <w:p w14:paraId="5EB18A8E"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C1D527C"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10.</w:t>
      </w:r>
      <w:r w:rsidRPr="00807FA9">
        <w:rPr>
          <w:rFonts w:ascii="Century" w:hAnsi="Century" w:cs="FrankRuehl"/>
          <w:spacing w:val="10"/>
          <w:sz w:val="20"/>
          <w:szCs w:val="28"/>
          <w:rtl/>
        </w:rPr>
        <w:tab/>
        <w:t>בהתחשב בערכים שנפגעו ובעוצמת הפגיעה בערכים אלה; בנסיבות ביצוע העבירות; במדיניות הענישה הנוהגת כמפורט לעיל; ובעקרון ההלימה המהווה עקרון מנחה בענישה; אני סבורה כי</w:t>
      </w:r>
      <w:r w:rsidRPr="00807FA9">
        <w:rPr>
          <w:rFonts w:ascii="Century" w:hAnsi="Century" w:cs="FrankRuehl" w:hint="cs"/>
          <w:spacing w:val="10"/>
          <w:sz w:val="20"/>
          <w:szCs w:val="28"/>
        </w:rPr>
        <w:t xml:space="preserve"> </w:t>
      </w:r>
      <w:r w:rsidRPr="00807FA9">
        <w:rPr>
          <w:rFonts w:ascii="Century" w:hAnsi="Century" w:cs="FrankRuehl"/>
          <w:b/>
          <w:bCs/>
          <w:spacing w:val="10"/>
          <w:sz w:val="20"/>
          <w:szCs w:val="28"/>
          <w:rtl/>
        </w:rPr>
        <w:t>מתחם העונש ההולם</w:t>
      </w:r>
      <w:r w:rsidRPr="00807FA9">
        <w:rPr>
          <w:rFonts w:ascii="Century" w:hAnsi="Century" w:cs="FrankRuehl" w:hint="cs"/>
          <w:spacing w:val="10"/>
          <w:sz w:val="20"/>
          <w:szCs w:val="28"/>
        </w:rPr>
        <w:t xml:space="preserve"> </w:t>
      </w:r>
      <w:r w:rsidRPr="00807FA9">
        <w:rPr>
          <w:rFonts w:ascii="Century" w:hAnsi="Century" w:cs="FrankRuehl"/>
          <w:spacing w:val="10"/>
          <w:sz w:val="20"/>
          <w:szCs w:val="28"/>
          <w:rtl/>
        </w:rPr>
        <w:t xml:space="preserve">בגין שתי העבירות בהן הורשע הנאשם (נשיאה והובלה של נשק ותחמושת וכן ניסיון לסחר בנשק, וזאת בנוגע לנשק בודד מסוג קרלו בצירוף מחסנית עם 8 כדורים, כאשר הקרלו וכן המחסנית ללא הכדורים הוסגרו בדיעבד לכוחות הביטחון לאחר שהנאשם נעצר ונחקר) – </w:t>
      </w:r>
      <w:r w:rsidRPr="00807FA9">
        <w:rPr>
          <w:rFonts w:ascii="Century" w:hAnsi="Century" w:cs="FrankRuehl"/>
          <w:b/>
          <w:bCs/>
          <w:spacing w:val="10"/>
          <w:sz w:val="20"/>
          <w:szCs w:val="28"/>
          <w:rtl/>
        </w:rPr>
        <w:t>נע מ-30 עד 50 חודשי מאסר בפועל</w:t>
      </w:r>
      <w:r w:rsidRPr="00807FA9">
        <w:rPr>
          <w:rFonts w:ascii="Century" w:hAnsi="Century" w:cs="FrankRuehl"/>
          <w:spacing w:val="10"/>
          <w:sz w:val="20"/>
          <w:szCs w:val="28"/>
          <w:rtl/>
        </w:rPr>
        <w:t xml:space="preserve">. </w:t>
      </w:r>
    </w:p>
    <w:p w14:paraId="6BF24446"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48321A7B"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11.</w:t>
      </w:r>
      <w:r w:rsidRPr="00807FA9">
        <w:rPr>
          <w:rFonts w:ascii="Century" w:hAnsi="Century" w:cs="FrankRuehl"/>
          <w:spacing w:val="10"/>
          <w:sz w:val="20"/>
          <w:szCs w:val="28"/>
          <w:rtl/>
        </w:rPr>
        <w:tab/>
        <w:t xml:space="preserve">בנסיבות העניין, אני בדעה כי מתחם העונש ההולם כולל גם רכיב של קנס כספי. זאת, בשים לב לכך שהעבירות בוצעו ממניע כלכלי. ודוק, בקביעת שיעור הקנס נתתי דעתי לכך שהנאשם לא הצליח למכור את תת-המקלע ובדיעבד הסגיר אותו לידי כוחות הביטחון, באופן שלא הוּפק רווח כספי בפועל. דא עקא, בהתאם להלכה הפסוקה, גובה הקנס הכספי אינו מוגבל בהכרח לגובה הרווח הכלכלי שהנאשם הפיק מביצוע העבירות. שיעור הקנס כפוף לעקרון ההלימה ועליו לבטא את חומרת העבירות, נסיבות ביצוען, ומידת פגיעתן בערכים המוגנים (ראו: </w:t>
      </w:r>
      <w:hyperlink r:id="rId48" w:history="1">
        <w:r w:rsidR="00CF2A22" w:rsidRPr="00CF2A22">
          <w:rPr>
            <w:rFonts w:ascii="Century" w:hAnsi="Century" w:cs="FrankRuehl" w:hint="eastAsia"/>
            <w:color w:val="0000FF"/>
            <w:spacing w:val="10"/>
            <w:sz w:val="20"/>
            <w:szCs w:val="28"/>
            <w:u w:val="single"/>
            <w:rtl/>
          </w:rPr>
          <w:t>ע</w:t>
        </w:r>
        <w:r w:rsidR="00CF2A22" w:rsidRPr="00CF2A22">
          <w:rPr>
            <w:rFonts w:ascii="Century" w:hAnsi="Century" w:cs="FrankRuehl"/>
            <w:color w:val="0000FF"/>
            <w:spacing w:val="10"/>
            <w:sz w:val="20"/>
            <w:szCs w:val="28"/>
            <w:u w:val="single"/>
            <w:rtl/>
          </w:rPr>
          <w:t>"</w:t>
        </w:r>
        <w:r w:rsidR="00CF2A22" w:rsidRPr="00CF2A22">
          <w:rPr>
            <w:rFonts w:ascii="Century" w:hAnsi="Century" w:cs="FrankRuehl" w:hint="eastAsia"/>
            <w:color w:val="0000FF"/>
            <w:spacing w:val="10"/>
            <w:sz w:val="20"/>
            <w:szCs w:val="28"/>
            <w:u w:val="single"/>
            <w:rtl/>
          </w:rPr>
          <w:t>פ</w:t>
        </w:r>
        <w:r w:rsidR="00CF2A22" w:rsidRPr="00CF2A22">
          <w:rPr>
            <w:rFonts w:ascii="Century" w:hAnsi="Century" w:cs="FrankRuehl"/>
            <w:color w:val="0000FF"/>
            <w:spacing w:val="10"/>
            <w:sz w:val="20"/>
            <w:szCs w:val="28"/>
            <w:u w:val="single"/>
            <w:rtl/>
          </w:rPr>
          <w:t xml:space="preserve"> 8045/17</w:t>
        </w:r>
      </w:hyperlink>
      <w:r w:rsidRPr="00807FA9">
        <w:rPr>
          <w:rFonts w:ascii="Century" w:hAnsi="Century" w:cs="FrankRuehl"/>
          <w:spacing w:val="10"/>
          <w:sz w:val="20"/>
          <w:szCs w:val="28"/>
          <w:rtl/>
        </w:rPr>
        <w:t xml:space="preserve"> </w:t>
      </w:r>
      <w:r w:rsidRPr="00807FA9">
        <w:rPr>
          <w:rFonts w:ascii="Century" w:hAnsi="Century" w:cs="Miriam"/>
          <w:spacing w:val="10"/>
          <w:rtl/>
        </w:rPr>
        <w:t>בראנסי</w:t>
      </w:r>
      <w:r w:rsidRPr="00807FA9">
        <w:rPr>
          <w:rFonts w:ascii="Century" w:hAnsi="Century" w:cs="FrankRuehl"/>
          <w:spacing w:val="10"/>
          <w:sz w:val="20"/>
          <w:szCs w:val="28"/>
          <w:rtl/>
        </w:rPr>
        <w:t xml:space="preserve"> הנ"ל, פס' 22). בהתחשב בכל אלה, אני קובעת כי </w:t>
      </w:r>
      <w:r w:rsidRPr="00807FA9">
        <w:rPr>
          <w:rFonts w:ascii="Century" w:hAnsi="Century" w:cs="FrankRuehl"/>
          <w:b/>
          <w:bCs/>
          <w:spacing w:val="10"/>
          <w:sz w:val="20"/>
          <w:szCs w:val="28"/>
          <w:rtl/>
        </w:rPr>
        <w:t>מתחם הקנס ההולם</w:t>
      </w:r>
      <w:r w:rsidRPr="00807FA9">
        <w:rPr>
          <w:rFonts w:ascii="Century" w:hAnsi="Century" w:cs="FrankRuehl"/>
          <w:spacing w:val="10"/>
          <w:sz w:val="20"/>
          <w:szCs w:val="28"/>
          <w:rtl/>
        </w:rPr>
        <w:t xml:space="preserve"> בגין העבירות בהן הורשע הנאשם, בנסיבות בהן הנשק שהוּבל ושנעשה ניסיון לסחור בו הוסגר בדיעבד לידי כוחות הביטחון, מתחיל מסכום של 4,000 ₪ ומעלה. יודגש כי אלמלא הסגרת הנשק, מתחם הקנס היה מתחיל בסכום גבוה הרבה יותר.</w:t>
      </w:r>
    </w:p>
    <w:p w14:paraId="452EADA3"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2AC80E99" w14:textId="77777777" w:rsidR="00D65C27" w:rsidRPr="00807FA9" w:rsidRDefault="00D65C27" w:rsidP="00D65C27">
      <w:pPr>
        <w:overflowPunct w:val="0"/>
        <w:autoSpaceDE w:val="0"/>
        <w:autoSpaceDN w:val="0"/>
        <w:adjustRightInd w:val="0"/>
        <w:spacing w:line="360" w:lineRule="auto"/>
        <w:jc w:val="both"/>
        <w:rPr>
          <w:rFonts w:ascii="Century" w:hAnsi="Century" w:cs="FrankRuehl"/>
          <w:b/>
          <w:bCs/>
          <w:spacing w:val="10"/>
          <w:sz w:val="20"/>
          <w:szCs w:val="28"/>
          <w:u w:val="single"/>
          <w:rtl/>
        </w:rPr>
      </w:pPr>
      <w:r w:rsidRPr="00807FA9">
        <w:rPr>
          <w:rFonts w:ascii="Century" w:hAnsi="Century" w:cs="FrankRuehl"/>
          <w:b/>
          <w:bCs/>
          <w:spacing w:val="10"/>
          <w:sz w:val="20"/>
          <w:szCs w:val="28"/>
          <w:u w:val="single"/>
          <w:rtl/>
        </w:rPr>
        <w:t>גזירת העונש המתאים בגדרי המתחם שנקבע</w:t>
      </w:r>
    </w:p>
    <w:p w14:paraId="57E4C8E4"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12.</w:t>
      </w:r>
      <w:r w:rsidRPr="00807FA9">
        <w:rPr>
          <w:rFonts w:ascii="Century" w:hAnsi="Century" w:cs="FrankRuehl"/>
          <w:spacing w:val="10"/>
          <w:sz w:val="20"/>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העבירות כאמור </w:t>
      </w:r>
      <w:hyperlink r:id="rId49" w:history="1">
        <w:r w:rsidR="00A54E22" w:rsidRPr="00A54E22">
          <w:rPr>
            <w:rStyle w:val="Hyperlink"/>
            <w:rFonts w:ascii="Century" w:hAnsi="Century" w:cs="FrankRuehl" w:hint="eastAsia"/>
            <w:spacing w:val="10"/>
            <w:sz w:val="20"/>
            <w:szCs w:val="28"/>
            <w:rtl/>
          </w:rPr>
          <w:t>בסעיף</w:t>
        </w:r>
        <w:r w:rsidR="00A54E22" w:rsidRPr="00A54E22">
          <w:rPr>
            <w:rStyle w:val="Hyperlink"/>
            <w:rFonts w:ascii="Century" w:hAnsi="Century" w:cs="FrankRuehl"/>
            <w:spacing w:val="10"/>
            <w:sz w:val="20"/>
            <w:szCs w:val="28"/>
            <w:rtl/>
          </w:rPr>
          <w:t xml:space="preserve"> 40</w:t>
        </w:r>
        <w:r w:rsidR="00A54E22" w:rsidRPr="00A54E22">
          <w:rPr>
            <w:rStyle w:val="Hyperlink"/>
            <w:rFonts w:ascii="Century" w:hAnsi="Century" w:cs="FrankRuehl" w:hint="eastAsia"/>
            <w:spacing w:val="10"/>
            <w:sz w:val="20"/>
            <w:szCs w:val="28"/>
            <w:rtl/>
          </w:rPr>
          <w:t>יא</w:t>
        </w:r>
      </w:hyperlink>
      <w:r w:rsidRPr="00807FA9">
        <w:rPr>
          <w:rFonts w:ascii="Century" w:hAnsi="Century" w:cs="FrankRuehl"/>
          <w:spacing w:val="10"/>
          <w:sz w:val="20"/>
          <w:szCs w:val="28"/>
          <w:rtl/>
        </w:rPr>
        <w:t xml:space="preserve"> ל</w:t>
      </w:r>
      <w:hyperlink r:id="rId50" w:history="1">
        <w:r w:rsidR="00CF2A22" w:rsidRPr="00CF2A22">
          <w:rPr>
            <w:rFonts w:ascii="Century" w:hAnsi="Century" w:cs="FrankRuehl" w:hint="eastAsia"/>
            <w:color w:val="0000FF"/>
            <w:spacing w:val="10"/>
            <w:sz w:val="20"/>
            <w:szCs w:val="28"/>
            <w:u w:val="single"/>
            <w:rtl/>
          </w:rPr>
          <w:t>חוק</w:t>
        </w:r>
        <w:r w:rsidR="00CF2A22" w:rsidRPr="00CF2A22">
          <w:rPr>
            <w:rFonts w:ascii="Century" w:hAnsi="Century" w:cs="FrankRuehl"/>
            <w:color w:val="0000FF"/>
            <w:spacing w:val="10"/>
            <w:sz w:val="20"/>
            <w:szCs w:val="28"/>
            <w:u w:val="single"/>
            <w:rtl/>
          </w:rPr>
          <w:t xml:space="preserve"> </w:t>
        </w:r>
        <w:r w:rsidR="00CF2A22" w:rsidRPr="00CF2A22">
          <w:rPr>
            <w:rFonts w:ascii="Century" w:hAnsi="Century" w:cs="FrankRuehl" w:hint="eastAsia"/>
            <w:color w:val="0000FF"/>
            <w:spacing w:val="10"/>
            <w:sz w:val="20"/>
            <w:szCs w:val="28"/>
            <w:u w:val="single"/>
            <w:rtl/>
          </w:rPr>
          <w:t>העונשין</w:t>
        </w:r>
      </w:hyperlink>
      <w:r w:rsidRPr="00807FA9">
        <w:rPr>
          <w:rFonts w:ascii="Century" w:hAnsi="Century" w:cs="FrankRuehl"/>
          <w:spacing w:val="10"/>
          <w:sz w:val="20"/>
          <w:szCs w:val="28"/>
          <w:rtl/>
        </w:rPr>
        <w:t>:</w:t>
      </w:r>
    </w:p>
    <w:p w14:paraId="7EFBAD57"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1835CCA2" w14:textId="77777777" w:rsidR="00D65C27" w:rsidRPr="00807FA9" w:rsidRDefault="00D65C27" w:rsidP="00D65C27">
      <w:pPr>
        <w:tabs>
          <w:tab w:val="left" w:pos="800"/>
        </w:tabs>
        <w:overflowPunct w:val="0"/>
        <w:autoSpaceDE w:val="0"/>
        <w:autoSpaceDN w:val="0"/>
        <w:adjustRightInd w:val="0"/>
        <w:spacing w:line="360" w:lineRule="auto"/>
        <w:ind w:firstLine="720"/>
        <w:jc w:val="both"/>
        <w:rPr>
          <w:rFonts w:ascii="Arial TUR" w:hAnsi="Arial TUR" w:cs="FrankRuehl"/>
          <w:spacing w:val="10"/>
          <w:sz w:val="22"/>
          <w:szCs w:val="28"/>
          <w:rtl/>
        </w:rPr>
      </w:pPr>
      <w:r w:rsidRPr="00807FA9">
        <w:rPr>
          <w:rFonts w:ascii="Century" w:hAnsi="Century" w:cs="FrankRuehl"/>
          <w:b/>
          <w:bCs/>
          <w:spacing w:val="10"/>
          <w:sz w:val="22"/>
          <w:szCs w:val="28"/>
          <w:rtl/>
        </w:rPr>
        <w:t>לטובת הנאשם</w:t>
      </w:r>
      <w:r w:rsidRPr="00807FA9">
        <w:rPr>
          <w:rFonts w:ascii="Century" w:hAnsi="Century" w:cs="FrankRuehl"/>
          <w:spacing w:val="10"/>
          <w:sz w:val="22"/>
          <w:szCs w:val="28"/>
          <w:rtl/>
        </w:rPr>
        <w:t>, שקלתי</w:t>
      </w:r>
      <w:r w:rsidRPr="00807FA9">
        <w:rPr>
          <w:rFonts w:ascii="Arial TUR" w:hAnsi="Arial TUR" w:cs="FrankRuehl"/>
          <w:spacing w:val="10"/>
          <w:sz w:val="22"/>
          <w:szCs w:val="28"/>
          <w:rtl/>
        </w:rPr>
        <w:t xml:space="preserve"> את ההודאה ונטילת האחריות לפניי; את גילו הצעיר יחסית של הנאשם (בן 22); וכן את שיתוף הפעולה של הנאשם עם רשויות אכיפת החוק לאחר מעשה. עוד לקחתי בחשבון את טענת הסנגור לפיה הנאשם מפרנס את אמו וכן עבר ניתוח בכלא (לא הוצג תיעוד בעניין האחרון. כפי שצוין בפתח הדברים, הסנגור לא ראה לעתור להגשת תסקיר). בנוסף, התחשבתי בכך שהנאשם עצור החל מיום 26.10.2021, וכידוע תנאי מעצר קשים מתנאי מאסר.</w:t>
      </w:r>
    </w:p>
    <w:p w14:paraId="62F8173A"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29FE4A2" w14:textId="77777777" w:rsidR="00D65C27" w:rsidRPr="00807FA9" w:rsidRDefault="00D65C27" w:rsidP="00D65C27">
      <w:pPr>
        <w:overflowPunct w:val="0"/>
        <w:autoSpaceDE w:val="0"/>
        <w:autoSpaceDN w:val="0"/>
        <w:adjustRightInd w:val="0"/>
        <w:spacing w:line="360" w:lineRule="auto"/>
        <w:ind w:firstLine="720"/>
        <w:jc w:val="both"/>
        <w:rPr>
          <w:rFonts w:ascii="Century" w:hAnsi="Century" w:cs="FrankRuehl"/>
          <w:spacing w:val="10"/>
          <w:sz w:val="20"/>
          <w:szCs w:val="28"/>
          <w:rtl/>
        </w:rPr>
      </w:pPr>
      <w:r w:rsidRPr="00807FA9">
        <w:rPr>
          <w:rFonts w:ascii="Century" w:hAnsi="Century" w:cs="FrankRuehl"/>
          <w:b/>
          <w:bCs/>
          <w:spacing w:val="10"/>
          <w:sz w:val="20"/>
          <w:szCs w:val="28"/>
          <w:rtl/>
        </w:rPr>
        <w:t>לחובת הנאשם</w:t>
      </w:r>
      <w:r w:rsidRPr="00807FA9">
        <w:rPr>
          <w:rFonts w:ascii="Century" w:hAnsi="Century" w:cs="FrankRuehl"/>
          <w:spacing w:val="10"/>
          <w:sz w:val="20"/>
          <w:szCs w:val="28"/>
          <w:rtl/>
        </w:rPr>
        <w:t xml:space="preserve">, שקלתי את הצורך בהרתעת היחיד ובהרתעת הרבים מפני הישנות עבירות נשק שמסוכנותן רבה (ראו גם: </w:t>
      </w:r>
      <w:hyperlink r:id="rId51" w:history="1">
        <w:r w:rsidR="00A54E22" w:rsidRPr="00A54E22">
          <w:rPr>
            <w:rStyle w:val="Hyperlink"/>
            <w:rFonts w:ascii="Century" w:hAnsi="Century" w:cs="FrankRuehl" w:hint="eastAsia"/>
            <w:spacing w:val="10"/>
            <w:sz w:val="20"/>
            <w:szCs w:val="28"/>
            <w:rtl/>
          </w:rPr>
          <w:t>סעיפים</w:t>
        </w:r>
        <w:r w:rsidR="00A54E22" w:rsidRPr="00A54E22">
          <w:rPr>
            <w:rStyle w:val="Hyperlink"/>
            <w:rFonts w:ascii="Century" w:hAnsi="Century" w:cs="FrankRuehl"/>
            <w:spacing w:val="10"/>
            <w:sz w:val="20"/>
            <w:szCs w:val="28"/>
            <w:rtl/>
          </w:rPr>
          <w:t xml:space="preserve"> 40</w:t>
        </w:r>
        <w:r w:rsidR="00A54E22" w:rsidRPr="00A54E22">
          <w:rPr>
            <w:rStyle w:val="Hyperlink"/>
            <w:rFonts w:ascii="Century" w:hAnsi="Century" w:cs="FrankRuehl" w:hint="eastAsia"/>
            <w:spacing w:val="10"/>
            <w:sz w:val="20"/>
            <w:szCs w:val="28"/>
            <w:rtl/>
          </w:rPr>
          <w:t>ו</w:t>
        </w:r>
      </w:hyperlink>
      <w:r w:rsidRPr="00807FA9">
        <w:rPr>
          <w:rFonts w:ascii="Century" w:hAnsi="Century" w:cs="FrankRuehl"/>
          <w:spacing w:val="10"/>
          <w:sz w:val="20"/>
          <w:szCs w:val="28"/>
          <w:rtl/>
        </w:rPr>
        <w:t xml:space="preserve"> ו- </w:t>
      </w:r>
      <w:hyperlink r:id="rId52" w:history="1">
        <w:r w:rsidR="00A54E22" w:rsidRPr="00A54E22">
          <w:rPr>
            <w:rStyle w:val="Hyperlink"/>
            <w:rFonts w:ascii="Century" w:hAnsi="Century" w:cs="FrankRuehl"/>
            <w:spacing w:val="10"/>
            <w:sz w:val="20"/>
            <w:szCs w:val="28"/>
            <w:rtl/>
          </w:rPr>
          <w:t>40</w:t>
        </w:r>
        <w:r w:rsidR="00A54E22" w:rsidRPr="00A54E22">
          <w:rPr>
            <w:rStyle w:val="Hyperlink"/>
            <w:rFonts w:ascii="Century" w:hAnsi="Century" w:cs="FrankRuehl" w:hint="eastAsia"/>
            <w:spacing w:val="10"/>
            <w:sz w:val="20"/>
            <w:szCs w:val="28"/>
            <w:rtl/>
          </w:rPr>
          <w:t>ז</w:t>
        </w:r>
      </w:hyperlink>
      <w:r w:rsidRPr="00807FA9">
        <w:rPr>
          <w:rFonts w:ascii="Century" w:hAnsi="Century" w:cs="FrankRuehl"/>
          <w:spacing w:val="10"/>
          <w:sz w:val="20"/>
          <w:szCs w:val="28"/>
          <w:rtl/>
        </w:rPr>
        <w:t xml:space="preserve"> ל</w:t>
      </w:r>
      <w:hyperlink r:id="rId53" w:history="1">
        <w:r w:rsidR="00CF2A22" w:rsidRPr="00CF2A22">
          <w:rPr>
            <w:rFonts w:ascii="Century" w:hAnsi="Century" w:cs="FrankRuehl" w:hint="eastAsia"/>
            <w:color w:val="0000FF"/>
            <w:spacing w:val="10"/>
            <w:sz w:val="20"/>
            <w:szCs w:val="28"/>
            <w:u w:val="single"/>
            <w:rtl/>
          </w:rPr>
          <w:t>חוק</w:t>
        </w:r>
        <w:r w:rsidR="00CF2A22" w:rsidRPr="00CF2A22">
          <w:rPr>
            <w:rFonts w:ascii="Century" w:hAnsi="Century" w:cs="FrankRuehl"/>
            <w:color w:val="0000FF"/>
            <w:spacing w:val="10"/>
            <w:sz w:val="20"/>
            <w:szCs w:val="28"/>
            <w:u w:val="single"/>
            <w:rtl/>
          </w:rPr>
          <w:t xml:space="preserve"> </w:t>
        </w:r>
        <w:r w:rsidR="00CF2A22" w:rsidRPr="00CF2A22">
          <w:rPr>
            <w:rFonts w:ascii="Century" w:hAnsi="Century" w:cs="FrankRuehl" w:hint="eastAsia"/>
            <w:color w:val="0000FF"/>
            <w:spacing w:val="10"/>
            <w:sz w:val="20"/>
            <w:szCs w:val="28"/>
            <w:u w:val="single"/>
            <w:rtl/>
          </w:rPr>
          <w:t>העונשין</w:t>
        </w:r>
      </w:hyperlink>
      <w:r w:rsidRPr="00807FA9">
        <w:rPr>
          <w:rFonts w:ascii="Century" w:hAnsi="Century" w:cs="FrankRuehl"/>
          <w:spacing w:val="10"/>
          <w:sz w:val="20"/>
          <w:szCs w:val="28"/>
          <w:rtl/>
        </w:rPr>
        <w:t xml:space="preserve">). כמו כן, שקלתי את עברו הפלילי של הנאשם הכולל שתי הרשעות קודמות מבית משפט צבאי יהודה: </w:t>
      </w:r>
      <w:r w:rsidRPr="00807FA9">
        <w:rPr>
          <w:rFonts w:ascii="Century" w:hAnsi="Century" w:cs="Miriam"/>
          <w:b/>
          <w:sz w:val="22"/>
          <w:rtl/>
        </w:rPr>
        <w:t>האחת</w:t>
      </w:r>
      <w:r w:rsidRPr="00807FA9">
        <w:rPr>
          <w:rFonts w:ascii="Century" w:hAnsi="Century" w:cs="FrankRuehl"/>
          <w:spacing w:val="10"/>
          <w:sz w:val="20"/>
          <w:szCs w:val="28"/>
          <w:rtl/>
        </w:rPr>
        <w:t xml:space="preserve">, הרשעה משנת 2021 בגין עבירות של הפרת הכרזת סגירת שטח וזיוף מסמך רשמי, בעטין נגזרו על הנאשם 5 ימי מאסר בפועל ועונשים נלווים נוספים. </w:t>
      </w:r>
      <w:r w:rsidRPr="00807FA9">
        <w:rPr>
          <w:rFonts w:ascii="Century" w:hAnsi="Century" w:cs="Miriam"/>
          <w:b/>
          <w:sz w:val="22"/>
          <w:rtl/>
        </w:rPr>
        <w:t>השנייה</w:t>
      </w:r>
      <w:r w:rsidRPr="00807FA9">
        <w:rPr>
          <w:rFonts w:ascii="Century" w:hAnsi="Century" w:cs="FrankRuehl"/>
          <w:spacing w:val="10"/>
          <w:sz w:val="20"/>
          <w:szCs w:val="28"/>
          <w:rtl/>
        </w:rPr>
        <w:t xml:space="preserve">, שהיא העיקר – הרשעה משנת 2019 בגין עבירות שהנאשם ביצע בעת שהיה קטין, שעניינן זריקת חפץ מבעיר, קשירת קשר לירי, סחר בציוד מלחמתי, ייצור נשק וניסיון להנחת פצצה. בגין ההרשעה בעבירות אלה, נגזר על הנאשם ביום 26.11.2019 עונש מוסכם של 24 חודשי מאסר בפועל ויום במסגרת הסדר טיעון "סגור" לעונש (יוער כי על הנאשם נגזר גם עונש מאסר מותנה, אולם הוא אינו ניתן להפעלה בתיק הנוכחי שכן הוא הוטל על-ידי בית משפט צבאי). וכך נקבע בגזר דינו הקודם של הנאשם בבית המשפט הצבאי יהודה: </w:t>
      </w:r>
    </w:p>
    <w:p w14:paraId="2B130F84" w14:textId="77777777" w:rsidR="00D65C27" w:rsidRPr="00807FA9" w:rsidRDefault="00D65C27" w:rsidP="00D65C27">
      <w:pPr>
        <w:overflowPunct w:val="0"/>
        <w:autoSpaceDE w:val="0"/>
        <w:autoSpaceDN w:val="0"/>
        <w:adjustRightInd w:val="0"/>
        <w:spacing w:line="360" w:lineRule="auto"/>
        <w:ind w:firstLine="720"/>
        <w:jc w:val="both"/>
        <w:rPr>
          <w:rFonts w:ascii="Century" w:hAnsi="Century" w:cs="FrankRuehl"/>
          <w:spacing w:val="10"/>
          <w:sz w:val="20"/>
          <w:szCs w:val="28"/>
          <w:rtl/>
        </w:rPr>
      </w:pPr>
    </w:p>
    <w:p w14:paraId="15470DAD" w14:textId="77777777" w:rsidR="00D65C27" w:rsidRPr="00807FA9" w:rsidRDefault="00D65C27" w:rsidP="00D65C27">
      <w:pPr>
        <w:overflowPunct w:val="0"/>
        <w:autoSpaceDE w:val="0"/>
        <w:autoSpaceDN w:val="0"/>
        <w:adjustRightInd w:val="0"/>
        <w:ind w:left="1644" w:right="1276"/>
        <w:jc w:val="both"/>
        <w:rPr>
          <w:rFonts w:ascii="Arial TUR" w:hAnsi="Arial TUR" w:cs="FrankRuehl"/>
          <w:spacing w:val="10"/>
          <w:sz w:val="22"/>
          <w:szCs w:val="28"/>
          <w:rtl/>
        </w:rPr>
      </w:pPr>
      <w:r w:rsidRPr="00807FA9">
        <w:rPr>
          <w:rFonts w:ascii="Arial TUR" w:hAnsi="Arial TUR" w:cs="FrankRuehl"/>
          <w:spacing w:val="10"/>
          <w:sz w:val="22"/>
          <w:szCs w:val="28"/>
          <w:rtl/>
        </w:rPr>
        <w:t xml:space="preserve">"מצאתי כי ההסדר מקל במידה רבה עם הנאשם. הנאשם פעל במשך מספר חודשים באופן אינטנסיבי וביצע עבירות רבות שכללו קשירת קשר לפיגוע ירי, וניסיון להנחת מטעני חבלה, כמו גם זריקת בקבוקי תבערה וסחר בנשק מסוג קרלו. ברגיל העונש הראוי למעשים אלו הוא אף כפול מהעונש המוצע. אם בסופו של יום החלטתי לכבד את ההסדר הרי זה רק בשל גילו הצעיר ומובהר לנאשם כי אם יחזור שוב לבצע עבירות לא יזכה לכל התחשבות דומה". </w:t>
      </w:r>
    </w:p>
    <w:p w14:paraId="61E46DB4" w14:textId="77777777" w:rsidR="00D65C27" w:rsidRPr="00807FA9" w:rsidRDefault="00D65C27" w:rsidP="00D65C27">
      <w:pPr>
        <w:overflowPunct w:val="0"/>
        <w:autoSpaceDE w:val="0"/>
        <w:autoSpaceDN w:val="0"/>
        <w:adjustRightInd w:val="0"/>
        <w:ind w:left="1644" w:right="1276"/>
        <w:jc w:val="both"/>
        <w:rPr>
          <w:rFonts w:ascii="Arial TUR" w:hAnsi="Arial TUR" w:cs="FrankRuehl"/>
          <w:spacing w:val="10"/>
          <w:sz w:val="22"/>
          <w:szCs w:val="28"/>
          <w:rtl/>
        </w:rPr>
      </w:pPr>
      <w:r w:rsidRPr="00807FA9">
        <w:rPr>
          <w:rFonts w:ascii="Arial TUR" w:hAnsi="Arial TUR" w:cs="FrankRuehl"/>
          <w:spacing w:val="10"/>
          <w:sz w:val="22"/>
          <w:szCs w:val="28"/>
          <w:rtl/>
        </w:rPr>
        <w:t xml:space="preserve">(בימ"ש צבאי יהודה 1551/19 </w:t>
      </w:r>
      <w:r w:rsidRPr="00807FA9">
        <w:rPr>
          <w:rFonts w:ascii="Century" w:hAnsi="Century" w:cs="Miriam"/>
          <w:b/>
          <w:sz w:val="22"/>
          <w:rtl/>
        </w:rPr>
        <w:t>התביעה הצבאית נ' סלהב</w:t>
      </w:r>
      <w:r w:rsidRPr="00807FA9">
        <w:rPr>
          <w:rFonts w:ascii="Arial TUR" w:hAnsi="Arial TUR" w:cs="FrankRuehl"/>
          <w:spacing w:val="10"/>
          <w:sz w:val="22"/>
          <w:szCs w:val="28"/>
          <w:rtl/>
        </w:rPr>
        <w:t xml:space="preserve"> (26.11.2019)).</w:t>
      </w:r>
    </w:p>
    <w:p w14:paraId="135173A7" w14:textId="77777777" w:rsidR="00D65C27" w:rsidRPr="00807FA9" w:rsidRDefault="00D65C27" w:rsidP="00D65C27">
      <w:pPr>
        <w:overflowPunct w:val="0"/>
        <w:autoSpaceDE w:val="0"/>
        <w:autoSpaceDN w:val="0"/>
        <w:adjustRightInd w:val="0"/>
        <w:spacing w:line="360" w:lineRule="auto"/>
        <w:ind w:firstLine="720"/>
        <w:jc w:val="both"/>
        <w:rPr>
          <w:rFonts w:ascii="Century" w:hAnsi="Century" w:cs="FrankRuehl"/>
          <w:spacing w:val="10"/>
          <w:sz w:val="20"/>
          <w:szCs w:val="28"/>
          <w:rtl/>
        </w:rPr>
      </w:pPr>
    </w:p>
    <w:p w14:paraId="36CE784E" w14:textId="77777777" w:rsidR="00D65C27" w:rsidRPr="00807FA9" w:rsidRDefault="00D65C27" w:rsidP="00D65C27">
      <w:pPr>
        <w:overflowPunct w:val="0"/>
        <w:autoSpaceDE w:val="0"/>
        <w:autoSpaceDN w:val="0"/>
        <w:adjustRightInd w:val="0"/>
        <w:spacing w:line="360" w:lineRule="auto"/>
        <w:ind w:firstLine="720"/>
        <w:jc w:val="both"/>
        <w:rPr>
          <w:rFonts w:ascii="Century" w:hAnsi="Century" w:cs="FrankRuehl"/>
          <w:spacing w:val="10"/>
          <w:sz w:val="20"/>
          <w:szCs w:val="28"/>
          <w:rtl/>
        </w:rPr>
      </w:pPr>
      <w:r w:rsidRPr="00807FA9">
        <w:rPr>
          <w:rFonts w:ascii="Century" w:hAnsi="Century" w:cs="FrankRuehl"/>
          <w:spacing w:val="10"/>
          <w:sz w:val="20"/>
          <w:szCs w:val="28"/>
          <w:rtl/>
        </w:rPr>
        <w:t>והנה, למרות העונש המקל שנגזר על הנאשם בעבר בגין עבירות חמורות שביצע כקטין, ואשר כללו בין היתר סחר בנשק מסוג קרלו, הנאשם חזר לסורו זמן לא רב לאחר שהשתחרר מהכלא, ושב וביצע את העבירות בהן הורשע לפניי, לרבות ביצוע עבירה של ניסיון לסחר בנשק מסוג קרלו. יש בכך כדי ללמד על מסוכנות ממשית, ועל כך שהנאשם לא הורתע מההליך הפלילי הקודם שהתנהל בעניינו. נתונים אלה מצדיקים החמרה בעונש.</w:t>
      </w:r>
    </w:p>
    <w:p w14:paraId="29EA0960"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27674D4"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13.</w:t>
      </w:r>
      <w:r w:rsidRPr="00807FA9">
        <w:rPr>
          <w:rFonts w:ascii="Arial TUR" w:hAnsi="Arial TUR" w:cs="FrankRuehl"/>
          <w:spacing w:val="10"/>
          <w:sz w:val="22"/>
          <w:szCs w:val="28"/>
          <w:rtl/>
        </w:rPr>
        <w:tab/>
        <w:t>באיזון בין השיקולים, ראיתי להעמיד את עונש המאסר בפועל שייגזר על הנאשם שלפניי קרוב למחצית המתחם שנקבע. יוער כי אלמלא ההודאה ושיתוף הפעולה עם רשויות אכיפת החוק, עונשו של הנאשם צפוי היה להיות חמור יותר בשים לב לעברו הפלילי "הטרי" יחסית של הנאשם בעבירות ממין העניין והמסוכנות הנובעת מכך. אשר לשיעור הקנס הכספי - נוכח הסגרת הנשק בדיעבד, ראיתי להסתפק בקנס המצוי בתחתית מתחם הקנס שנקבע.</w:t>
      </w:r>
    </w:p>
    <w:p w14:paraId="656CB165"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5DE5B5E"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14.</w:t>
      </w:r>
      <w:r w:rsidRPr="00807FA9">
        <w:rPr>
          <w:rFonts w:ascii="Arial TUR" w:hAnsi="Arial TUR" w:cs="FrankRuehl"/>
          <w:spacing w:val="10"/>
          <w:sz w:val="22"/>
          <w:szCs w:val="28"/>
          <w:rtl/>
        </w:rPr>
        <w:tab/>
        <w:t xml:space="preserve">בטרם סיום, ובהתייחס לעקרון אחידות הענישה, אציין כי עמודי שמוזכר בכתב האישום המתוקן, לא הועמד לדין עקב פטירתו. אשר למוצטפא בן דודו של הנאשם אשר מוזכר אף הוא בכתב האישום המתוקן – הלה הועמד לדין בבית משפט צבאי יהודה. ביום 11.1.2023 נערך הסדר טיעון סגור לעונש בין התביעה הצבאית ובין מוצטפא. במסגרת הסדר הטיעון, מוצטפא הורשע לפי הודאתו בגין חלקו בפרשה הנדונה לפניי, בעבירה של סחר בנשק בצוותא. כמו כן, כתב האישום המתוקן בעניינו של מוצטפא כלל אישום נוסף, במסגרתו מוצטפא הורשע לפי הודאתו בזריקת אבנים לעבר כוחות הביטחון ממרחק של כ-15 מטרים במסגרת הפרת סדר. בגין כל אלה, הוּסכם בעניינו של מוצטפא על עונש סגור של 24 חודשי מאסר בפועל ויום, מאסר מותנה, קנס בסך 2,000 ₪ והתחייבות כספית. בית המשפט הצבאי ביהודה ראה לכבד את ההסדר תוך שציין כי הוא עושה כן "על אף ש[ההסדר] מקל במידת מה" עם מוצטפא. מנימוקי גזר הדין בעניינו של מוצטפא עולה כי העונש המוסכם נבע לא רק מכך שהנשק הוסגר לכוחות הביטחון, אלא גם מכך שעברו הפלילי של מוצטפא היה נקי; מוצטפא ויתר על "טענות ראייתיות משמעותיות" כאשר הודה במעשים; וכן מוצטפא "לא החזיק בפועל בנשק ולא יזם את המעשים". </w:t>
      </w:r>
    </w:p>
    <w:p w14:paraId="0E63D94D"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79422A2"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הסנגור טען בתגובתו מיום 16.1.2023 כי יש בגזר דינו של מוצטפא "השלכה ברורה" על עניינו של הנאשם שלפניי, בשים לב לכך שעל מוצטפא נגזרו 24 חודשי מאסר בפועל ויום בגין חלקו בפרשה הנוכחית, ובגין אישום נוסף של יידוי אבנים שאינו מיוחס לנאשם שלפניי. מנגד, המדינה בתגובתה מיום 26.1.2023 טענה כי אין בגזר דינו של מוצטפא כדי לשנות לעניין עונשו של הנאשם שלפניי, בין היתר מאחר שתיקון 113 ל</w:t>
      </w:r>
      <w:hyperlink r:id="rId54" w:history="1">
        <w:r w:rsidR="00CF2A22" w:rsidRPr="00CF2A22">
          <w:rPr>
            <w:rFonts w:ascii="Arial TUR" w:hAnsi="Arial TUR" w:cs="FrankRuehl"/>
            <w:color w:val="0000FF"/>
            <w:spacing w:val="10"/>
            <w:sz w:val="22"/>
            <w:szCs w:val="28"/>
            <w:u w:val="single"/>
            <w:rtl/>
          </w:rPr>
          <w:t>חוק העונשין</w:t>
        </w:r>
      </w:hyperlink>
      <w:r w:rsidRPr="00807FA9">
        <w:rPr>
          <w:rFonts w:ascii="Arial TUR" w:hAnsi="Arial TUR" w:cs="FrankRuehl"/>
          <w:spacing w:val="10"/>
          <w:sz w:val="22"/>
          <w:szCs w:val="28"/>
          <w:rtl/>
        </w:rPr>
        <w:t xml:space="preserve">, וכן תיקון 140 לחוק העונשין (שאינו חל ישירות במקרה דנן אולם מבטא מגמה של החמרה בענישה בעבירות נשק שהחלה עוד לפני כניסת התיקון לתוקף) – אינם מחייבים את מערכת השיפוט הצבאית. המאשימה הוסיפה ועמדה בתגובתה על הבדלים בין מוצטפא ובין הנאשם שלפניי המצדיקים לשיטתה החמרה עם האחרון ביחס לראשון. </w:t>
      </w:r>
    </w:p>
    <w:p w14:paraId="79017B83"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8EC488D"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BA81BB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ab/>
        <w:t>בהתייחס לטענות אלה, אזכיר כי "עקרון אחידות הענישה מהווה שיקול אחד מני רבים בגזירת העונש, כאשר זו נעשית תוך שקלול מספר רב של נסיבות ונתונים המשתנים ממקרה למקרה ואין מדובר במדע מדויק" (</w:t>
      </w:r>
      <w:hyperlink r:id="rId55" w:history="1">
        <w:r w:rsidR="00CF2A22" w:rsidRPr="00CF2A22">
          <w:rPr>
            <w:rFonts w:ascii="Arial TUR" w:hAnsi="Arial TUR" w:cs="FrankRuehl"/>
            <w:color w:val="0000FF"/>
            <w:spacing w:val="10"/>
            <w:sz w:val="22"/>
            <w:szCs w:val="28"/>
            <w:u w:val="single"/>
            <w:rtl/>
          </w:rPr>
          <w:t>ע"פ 5643/14</w:t>
        </w:r>
      </w:hyperlink>
      <w:r w:rsidRPr="00807FA9">
        <w:rPr>
          <w:rFonts w:ascii="Arial TUR" w:hAnsi="Arial TUR" w:cs="FrankRuehl"/>
          <w:spacing w:val="10"/>
          <w:sz w:val="22"/>
          <w:szCs w:val="28"/>
          <w:rtl/>
        </w:rPr>
        <w:t xml:space="preserve"> </w:t>
      </w:r>
      <w:r w:rsidRPr="00807FA9">
        <w:rPr>
          <w:rFonts w:ascii="Century" w:hAnsi="Century" w:cs="Miriam"/>
          <w:b/>
          <w:sz w:val="22"/>
          <w:rtl/>
        </w:rPr>
        <w:t>עיסא נ' מדינת ישראל</w:t>
      </w:r>
      <w:r w:rsidRPr="00807FA9">
        <w:rPr>
          <w:rFonts w:ascii="Arial TUR" w:hAnsi="Arial TUR" w:cs="FrankRuehl"/>
          <w:spacing w:val="10"/>
          <w:sz w:val="22"/>
          <w:szCs w:val="28"/>
          <w:rtl/>
        </w:rPr>
        <w:t xml:space="preserve"> (23.6.2015), פס' 14). במקרה דנן, נראה כי אין מקום לגזור גזירה שווה בין מוצטפא לנאשם במישור העונשי: </w:t>
      </w:r>
      <w:r w:rsidRPr="00807FA9">
        <w:rPr>
          <w:rFonts w:ascii="Century" w:hAnsi="Century" w:cs="Miriam"/>
          <w:b/>
          <w:sz w:val="22"/>
          <w:rtl/>
        </w:rPr>
        <w:t>ראשית</w:t>
      </w:r>
      <w:r w:rsidRPr="00807FA9">
        <w:rPr>
          <w:rFonts w:ascii="Arial TUR" w:hAnsi="Arial TUR" w:cs="FrankRuehl"/>
          <w:spacing w:val="10"/>
          <w:sz w:val="22"/>
          <w:szCs w:val="28"/>
          <w:rtl/>
        </w:rPr>
        <w:t xml:space="preserve">, העונש שנגזר על מוצטפא היה פרי הסדר טיעון סגור לעונש עם התביעה הצבאית לפני בית משפט צבאי, המהווה מערכת שיפוט נפרדת. מנגד, בעניינו של הנאשם שלפניי הוסכם כי הצדדים יטענו לעונש באורח חופשי. </w:t>
      </w:r>
      <w:r w:rsidRPr="00807FA9">
        <w:rPr>
          <w:rFonts w:ascii="Century" w:hAnsi="Century" w:cs="Miriam"/>
          <w:b/>
          <w:sz w:val="22"/>
          <w:rtl/>
        </w:rPr>
        <w:t>שנית</w:t>
      </w:r>
      <w:r w:rsidRPr="00807FA9">
        <w:rPr>
          <w:rFonts w:ascii="Arial TUR" w:hAnsi="Arial TUR" w:cs="FrankRuehl"/>
          <w:spacing w:val="10"/>
          <w:sz w:val="22"/>
          <w:szCs w:val="28"/>
          <w:rtl/>
        </w:rPr>
        <w:t xml:space="preserve">, חלקו של מוצטפא בפרשה הנדונה לפניי היה נמוך משמעותית ביחס לחלקו של הנאשם שכן בניגוד לנאשם, מוצטפא לא יזם את עבירות הנשק, לא נשא את הנשק ולא קבע את הסכום המבוקש למכירתו. מדובר בשוני רלוונטי בין השניים. </w:t>
      </w:r>
      <w:r w:rsidRPr="00807FA9">
        <w:rPr>
          <w:rFonts w:ascii="Century" w:hAnsi="Century" w:cs="Miriam"/>
          <w:b/>
          <w:sz w:val="22"/>
          <w:rtl/>
        </w:rPr>
        <w:t>לבסוף</w:t>
      </w:r>
      <w:r w:rsidRPr="00807FA9">
        <w:rPr>
          <w:rFonts w:ascii="Arial TUR" w:hAnsi="Arial TUR" w:cs="FrankRuehl"/>
          <w:spacing w:val="10"/>
          <w:sz w:val="22"/>
          <w:szCs w:val="28"/>
          <w:rtl/>
        </w:rPr>
        <w:t>, מוצטפא נעדר עבר פלילי, בעוד הנאשם בעל עבר פלילי רלוונטי ששב לבצע את העבירות בהן הורשע בהליך הנוכחי, זמן קצר לאחר שחרורו ממאסר קודם בגין עבירות דומות. כל אלה אינם מאפשרים שוויון במישור העונשי בין מוצטפא לנאשם, ואף תומכים במסקנה לפיה על עונשו של הנאשם להיות חמור יותר מזה שנגזר על מוצטפא, אפילו בהינתן האישום הנוסף בו הורשע מוצטפא בגין יידוי אבנים.</w:t>
      </w:r>
    </w:p>
    <w:p w14:paraId="6B3C3B2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0B65B2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b/>
          <w:bCs/>
          <w:spacing w:val="10"/>
          <w:sz w:val="22"/>
          <w:szCs w:val="28"/>
          <w:u w:val="single"/>
          <w:rtl/>
        </w:rPr>
        <w:t>סוף דבר</w:t>
      </w:r>
    </w:p>
    <w:p w14:paraId="6ED3B71D"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15.</w:t>
      </w:r>
      <w:r w:rsidRPr="00807FA9">
        <w:rPr>
          <w:rFonts w:ascii="Arial TUR" w:hAnsi="Arial TUR" w:cs="FrankRuehl"/>
          <w:spacing w:val="10"/>
          <w:sz w:val="22"/>
          <w:szCs w:val="28"/>
          <w:rtl/>
        </w:rPr>
        <w:tab/>
        <w:t>נוכח מכלול הטעמים האמורים, אני גוזרת על הנאשם כדלקמן:</w:t>
      </w:r>
    </w:p>
    <w:p w14:paraId="4B24CC78"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DC5036A"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807FA9">
        <w:rPr>
          <w:rFonts w:ascii="Arial TUR" w:hAnsi="Arial TUR" w:cs="FrankRuehl"/>
          <w:spacing w:val="10"/>
          <w:sz w:val="22"/>
          <w:szCs w:val="28"/>
          <w:rtl/>
        </w:rPr>
        <w:t>א.</w:t>
      </w:r>
      <w:r w:rsidRPr="00807FA9">
        <w:rPr>
          <w:rFonts w:ascii="Arial TUR" w:hAnsi="Arial TUR" w:cs="FrankRuehl"/>
          <w:spacing w:val="10"/>
          <w:sz w:val="22"/>
          <w:szCs w:val="28"/>
          <w:rtl/>
        </w:rPr>
        <w:tab/>
        <w:t>38 חודשי מאסר בפועל, החל מיום מעצרו.</w:t>
      </w:r>
    </w:p>
    <w:p w14:paraId="6A20E1F5" w14:textId="77777777" w:rsidR="00D65C27" w:rsidRPr="00807FA9" w:rsidRDefault="00D65C27" w:rsidP="00D65C27">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A8955CA"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ב.</w:t>
      </w:r>
      <w:r w:rsidRPr="00807FA9">
        <w:rPr>
          <w:rFonts w:ascii="Century" w:hAnsi="Century" w:cs="FrankRuehl"/>
          <w:spacing w:val="10"/>
          <w:sz w:val="20"/>
          <w:szCs w:val="28"/>
          <w:rtl/>
        </w:rPr>
        <w:tab/>
        <w:t xml:space="preserve">מאסר על תנאי של 12 חודשים למשך 3 שנים מיום השחרור ממאסר, לא לעבור עבירה בנשק מסוג פשע. </w:t>
      </w:r>
    </w:p>
    <w:p w14:paraId="51ACDB6E"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6F6AFBE0"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ג.</w:t>
      </w:r>
      <w:r w:rsidRPr="00807FA9">
        <w:rPr>
          <w:rFonts w:ascii="Century" w:hAnsi="Century" w:cs="FrankRuehl"/>
          <w:spacing w:val="10"/>
          <w:sz w:val="20"/>
          <w:szCs w:val="28"/>
          <w:rtl/>
        </w:rPr>
        <w:tab/>
        <w:t>מאסר על תנאי של 6 חודשים למשך 3 שנים מיום השחרור ממאסר, לא לעבור עבירה בנשק מסוג עוון.</w:t>
      </w:r>
    </w:p>
    <w:p w14:paraId="764DB64F"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1E57F14F"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r w:rsidRPr="00807FA9">
        <w:rPr>
          <w:rFonts w:ascii="Century" w:hAnsi="Century" w:cs="FrankRuehl"/>
          <w:spacing w:val="10"/>
          <w:sz w:val="20"/>
          <w:szCs w:val="28"/>
          <w:rtl/>
        </w:rPr>
        <w:t xml:space="preserve">ד. </w:t>
      </w:r>
      <w:r w:rsidRPr="00807FA9">
        <w:rPr>
          <w:rFonts w:ascii="Century" w:hAnsi="Century" w:cs="FrankRuehl"/>
          <w:spacing w:val="10"/>
          <w:sz w:val="20"/>
          <w:szCs w:val="28"/>
          <w:rtl/>
        </w:rPr>
        <w:tab/>
        <w:t xml:space="preserve">קנס בסך 4,000 ₪ או חודשיים מאסר תמורתו. הקנס ישולם עד יום 6.8.2023. </w:t>
      </w:r>
    </w:p>
    <w:p w14:paraId="2ED119E0" w14:textId="77777777" w:rsidR="00D65C27" w:rsidRPr="00807FA9" w:rsidRDefault="00D65C27" w:rsidP="00D65C27">
      <w:pPr>
        <w:overflowPunct w:val="0"/>
        <w:autoSpaceDE w:val="0"/>
        <w:autoSpaceDN w:val="0"/>
        <w:adjustRightInd w:val="0"/>
        <w:spacing w:line="360" w:lineRule="auto"/>
        <w:jc w:val="both"/>
        <w:rPr>
          <w:rFonts w:ascii="Century" w:hAnsi="Century" w:cs="FrankRuehl"/>
          <w:spacing w:val="10"/>
          <w:sz w:val="20"/>
          <w:szCs w:val="28"/>
          <w:rtl/>
        </w:rPr>
      </w:pPr>
    </w:p>
    <w:p w14:paraId="26DA665E" w14:textId="77777777" w:rsidR="00D65C27" w:rsidRPr="00807FA9" w:rsidRDefault="00CF2A22" w:rsidP="00D65C27">
      <w:pPr>
        <w:overflowPunct w:val="0"/>
        <w:autoSpaceDE w:val="0"/>
        <w:autoSpaceDN w:val="0"/>
        <w:adjustRightInd w:val="0"/>
        <w:spacing w:line="360" w:lineRule="auto"/>
        <w:jc w:val="both"/>
        <w:rPr>
          <w:rFonts w:ascii="Century" w:hAnsi="Century" w:cs="FrankRuehl"/>
          <w:b/>
          <w:bCs/>
          <w:spacing w:val="10"/>
          <w:sz w:val="20"/>
          <w:szCs w:val="28"/>
          <w:rtl/>
        </w:rPr>
      </w:pPr>
      <w:r w:rsidRPr="00CF2A22">
        <w:rPr>
          <w:rFonts w:ascii="Century" w:hAnsi="Century" w:cs="FrankRuehl"/>
          <w:b/>
          <w:bCs/>
          <w:color w:val="FFFFFF"/>
          <w:spacing w:val="10"/>
          <w:sz w:val="2"/>
          <w:szCs w:val="2"/>
          <w:rtl/>
        </w:rPr>
        <w:t>5129371</w:t>
      </w:r>
      <w:r w:rsidR="00D65C27" w:rsidRPr="00807FA9">
        <w:rPr>
          <w:rFonts w:ascii="Century" w:hAnsi="Century" w:cs="FrankRuehl"/>
          <w:b/>
          <w:bCs/>
          <w:spacing w:val="10"/>
          <w:sz w:val="20"/>
          <w:szCs w:val="28"/>
          <w:rtl/>
        </w:rPr>
        <w:tab/>
        <w:t>זכות ערעור לבית המשפט העליון תוך 45 ימים מהיום.</w:t>
      </w:r>
    </w:p>
    <w:p w14:paraId="2395DC46" w14:textId="77777777" w:rsidR="00D65C27" w:rsidRPr="00CF2A22" w:rsidRDefault="00CF2A22" w:rsidP="00D65C27">
      <w:pPr>
        <w:rPr>
          <w:rFonts w:ascii="Arial" w:hAnsi="Arial"/>
          <w:b/>
          <w:bCs/>
          <w:color w:val="FFFFFF"/>
          <w:sz w:val="2"/>
          <w:szCs w:val="2"/>
          <w:rtl/>
        </w:rPr>
      </w:pPr>
      <w:r w:rsidRPr="00CF2A22">
        <w:rPr>
          <w:rFonts w:ascii="Arial" w:hAnsi="Arial"/>
          <w:b/>
          <w:bCs/>
          <w:color w:val="FFFFFF"/>
          <w:sz w:val="2"/>
          <w:szCs w:val="2"/>
          <w:rtl/>
        </w:rPr>
        <w:t>54678313</w:t>
      </w:r>
    </w:p>
    <w:p w14:paraId="47301EC7" w14:textId="77777777" w:rsidR="00D65C27" w:rsidRPr="000F2247" w:rsidRDefault="00D65C27" w:rsidP="00D65C27">
      <w:pPr>
        <w:rPr>
          <w:rFonts w:ascii="Arial" w:hAnsi="Arial"/>
          <w:b/>
          <w:bCs/>
          <w:sz w:val="26"/>
          <w:szCs w:val="26"/>
          <w:rtl/>
        </w:rPr>
      </w:pPr>
    </w:p>
    <w:p w14:paraId="1C199EB9" w14:textId="77777777" w:rsidR="00D65C27" w:rsidRPr="000F2247" w:rsidRDefault="00CF2A22" w:rsidP="00D65C27">
      <w:pPr>
        <w:spacing w:line="360" w:lineRule="auto"/>
        <w:jc w:val="both"/>
        <w:rPr>
          <w:rFonts w:ascii="Arial" w:hAnsi="Arial"/>
          <w:b/>
          <w:bCs/>
          <w:sz w:val="26"/>
          <w:szCs w:val="26"/>
          <w:rtl/>
        </w:rPr>
      </w:pPr>
      <w:bookmarkStart w:id="8" w:name="Nitan"/>
      <w:r>
        <w:rPr>
          <w:rFonts w:ascii="Century" w:hAnsi="Century" w:cs="FrankRuehl" w:hint="eastAsia"/>
          <w:b/>
          <w:bCs/>
          <w:spacing w:val="10"/>
          <w:sz w:val="20"/>
          <w:szCs w:val="28"/>
          <w:rtl/>
        </w:rPr>
        <w:t>ניתן</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היום</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א</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אדר</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תשפ</w:t>
      </w:r>
      <w:r>
        <w:rPr>
          <w:rFonts w:ascii="Century" w:hAnsi="Century" w:cs="FrankRuehl"/>
          <w:b/>
          <w:bCs/>
          <w:spacing w:val="10"/>
          <w:sz w:val="20"/>
          <w:szCs w:val="28"/>
          <w:rtl/>
        </w:rPr>
        <w:t>"</w:t>
      </w:r>
      <w:r>
        <w:rPr>
          <w:rFonts w:ascii="Century" w:hAnsi="Century" w:cs="FrankRuehl" w:hint="eastAsia"/>
          <w:b/>
          <w:bCs/>
          <w:spacing w:val="10"/>
          <w:sz w:val="20"/>
          <w:szCs w:val="28"/>
          <w:rtl/>
        </w:rPr>
        <w:t>ג</w:t>
      </w:r>
      <w:r>
        <w:rPr>
          <w:rFonts w:ascii="Century" w:hAnsi="Century" w:cs="FrankRuehl"/>
          <w:b/>
          <w:bCs/>
          <w:spacing w:val="10"/>
          <w:sz w:val="20"/>
          <w:szCs w:val="28"/>
          <w:rtl/>
        </w:rPr>
        <w:t xml:space="preserve">, 22 </w:t>
      </w:r>
      <w:r>
        <w:rPr>
          <w:rFonts w:ascii="Century" w:hAnsi="Century" w:cs="FrankRuehl" w:hint="eastAsia"/>
          <w:b/>
          <w:bCs/>
          <w:spacing w:val="10"/>
          <w:sz w:val="20"/>
          <w:szCs w:val="28"/>
          <w:rtl/>
        </w:rPr>
        <w:t>פברואר</w:t>
      </w:r>
      <w:r>
        <w:rPr>
          <w:rFonts w:ascii="Century" w:hAnsi="Century" w:cs="FrankRuehl"/>
          <w:b/>
          <w:bCs/>
          <w:spacing w:val="10"/>
          <w:sz w:val="20"/>
          <w:szCs w:val="28"/>
          <w:rtl/>
        </w:rPr>
        <w:t xml:space="preserve"> 2023, </w:t>
      </w:r>
      <w:r>
        <w:rPr>
          <w:rFonts w:ascii="Century" w:hAnsi="Century" w:cs="FrankRuehl" w:hint="eastAsia"/>
          <w:b/>
          <w:bCs/>
          <w:spacing w:val="10"/>
          <w:sz w:val="20"/>
          <w:szCs w:val="28"/>
          <w:rtl/>
        </w:rPr>
        <w:t>בנוכחות</w:t>
      </w:r>
      <w:r>
        <w:rPr>
          <w:rFonts w:ascii="Century" w:hAnsi="Century" w:cs="FrankRuehl"/>
          <w:b/>
          <w:bCs/>
          <w:spacing w:val="10"/>
          <w:sz w:val="20"/>
          <w:szCs w:val="28"/>
          <w:rtl/>
        </w:rPr>
        <w:t xml:space="preserve"> </w:t>
      </w:r>
      <w:r>
        <w:rPr>
          <w:rFonts w:ascii="Century" w:hAnsi="Century" w:cs="FrankRuehl" w:hint="eastAsia"/>
          <w:b/>
          <w:bCs/>
          <w:spacing w:val="10"/>
          <w:sz w:val="20"/>
          <w:szCs w:val="28"/>
          <w:rtl/>
        </w:rPr>
        <w:t>הצדדים</w:t>
      </w:r>
      <w:r>
        <w:rPr>
          <w:rFonts w:ascii="Century" w:hAnsi="Century" w:cs="FrankRuehl"/>
          <w:b/>
          <w:bCs/>
          <w:spacing w:val="10"/>
          <w:sz w:val="20"/>
          <w:szCs w:val="28"/>
          <w:rtl/>
        </w:rPr>
        <w:t xml:space="preserve">. </w:t>
      </w:r>
      <w:bookmarkEnd w:id="8"/>
      <w:r w:rsidR="00D65C27">
        <w:rPr>
          <w:rFonts w:ascii="Arial" w:hAnsi="Arial"/>
          <w:b/>
          <w:bCs/>
          <w:sz w:val="26"/>
          <w:szCs w:val="26"/>
          <w:rtl/>
        </w:rPr>
        <w:tab/>
      </w:r>
      <w:r w:rsidR="00D65C27">
        <w:rPr>
          <w:rFonts w:ascii="Arial" w:hAnsi="Arial"/>
          <w:b/>
          <w:bCs/>
          <w:sz w:val="26"/>
          <w:szCs w:val="26"/>
          <w:rtl/>
        </w:rPr>
        <w:tab/>
      </w:r>
      <w:r w:rsidR="00D65C27">
        <w:rPr>
          <w:rFonts w:ascii="Arial" w:hAnsi="Arial"/>
          <w:b/>
          <w:bCs/>
          <w:sz w:val="26"/>
          <w:szCs w:val="26"/>
          <w:rtl/>
        </w:rPr>
        <w:tab/>
      </w:r>
      <w:r w:rsidR="00D65C27">
        <w:rPr>
          <w:rFonts w:ascii="Arial" w:hAnsi="Arial"/>
          <w:b/>
          <w:bCs/>
          <w:sz w:val="26"/>
          <w:szCs w:val="26"/>
          <w:rtl/>
        </w:rPr>
        <w:tab/>
      </w:r>
      <w:r w:rsidR="00D65C27">
        <w:rPr>
          <w:rFonts w:ascii="Arial" w:hAnsi="Arial"/>
          <w:b/>
          <w:bCs/>
          <w:sz w:val="26"/>
          <w:szCs w:val="26"/>
          <w:rtl/>
        </w:rPr>
        <w:tab/>
      </w:r>
      <w:r w:rsidR="00D65C27">
        <w:rPr>
          <w:rFonts w:ascii="Arial" w:hAnsi="Arial"/>
          <w:b/>
          <w:bCs/>
          <w:sz w:val="26"/>
          <w:szCs w:val="26"/>
          <w:rtl/>
        </w:rPr>
        <w:tab/>
      </w:r>
      <w:r w:rsidR="00D65C27">
        <w:rPr>
          <w:rFonts w:ascii="Arial" w:hAnsi="Arial"/>
          <w:b/>
          <w:bCs/>
          <w:sz w:val="26"/>
          <w:szCs w:val="26"/>
          <w:rtl/>
        </w:rPr>
        <w:tab/>
      </w:r>
      <w:r w:rsidR="00D65C27">
        <w:rPr>
          <w:rFonts w:ascii="Arial" w:hAnsi="Arial" w:hint="cs"/>
          <w:b/>
          <w:bCs/>
          <w:sz w:val="26"/>
          <w:szCs w:val="26"/>
          <w:rtl/>
        </w:rPr>
        <w:t xml:space="preserve">         </w:t>
      </w:r>
    </w:p>
    <w:p w14:paraId="1DEADE4D" w14:textId="77777777" w:rsidR="00D65C27" w:rsidRPr="000F2247" w:rsidRDefault="00D65C27" w:rsidP="00CF2A2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65EE133" w14:textId="77777777" w:rsidR="00D65C27" w:rsidRPr="00A54E22" w:rsidRDefault="00A54E22" w:rsidP="00D65C27">
      <w:pPr>
        <w:jc w:val="center"/>
        <w:rPr>
          <w:rFonts w:ascii="Arial" w:hAnsi="Arial"/>
          <w:b/>
          <w:bCs/>
          <w:color w:val="FFFFFF"/>
          <w:sz w:val="2"/>
          <w:szCs w:val="2"/>
          <w:rtl/>
        </w:rPr>
      </w:pPr>
      <w:r w:rsidRPr="00A54E22">
        <w:rPr>
          <w:rFonts w:ascii="Arial" w:hAnsi="Arial"/>
          <w:b/>
          <w:bCs/>
          <w:color w:val="FFFFFF"/>
          <w:sz w:val="2"/>
          <w:szCs w:val="2"/>
          <w:rtl/>
        </w:rPr>
        <w:t>5129371</w:t>
      </w:r>
    </w:p>
    <w:p w14:paraId="10F24855" w14:textId="77777777" w:rsidR="009B454E" w:rsidRPr="00A54E22" w:rsidRDefault="00A54E22" w:rsidP="00CF2A22">
      <w:pPr>
        <w:keepNext/>
        <w:rPr>
          <w:rFonts w:ascii="David" w:hAnsi="David"/>
          <w:color w:val="FFFFFF"/>
          <w:sz w:val="2"/>
          <w:szCs w:val="2"/>
          <w:rtl/>
        </w:rPr>
      </w:pPr>
      <w:r w:rsidRPr="00A54E22">
        <w:rPr>
          <w:rFonts w:ascii="David" w:hAnsi="David"/>
          <w:color w:val="FFFFFF"/>
          <w:sz w:val="2"/>
          <w:szCs w:val="2"/>
          <w:rtl/>
        </w:rPr>
        <w:t>54678313</w:t>
      </w:r>
    </w:p>
    <w:p w14:paraId="39CDA073" w14:textId="77777777" w:rsidR="00CF2A22" w:rsidRDefault="00CF2A22" w:rsidP="00CF2A22">
      <w:pPr>
        <w:rPr>
          <w:rtl/>
        </w:rPr>
      </w:pPr>
    </w:p>
    <w:p w14:paraId="20911EC4" w14:textId="77777777" w:rsidR="00CF2A22" w:rsidRDefault="00CF2A22" w:rsidP="00CF2A2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A560783" w14:textId="77777777" w:rsidR="00A54E22" w:rsidRPr="00A54E22" w:rsidRDefault="00A54E22" w:rsidP="00A54E22">
      <w:pPr>
        <w:keepNext/>
        <w:rPr>
          <w:rFonts w:ascii="David" w:hAnsi="David"/>
          <w:color w:val="000000"/>
          <w:sz w:val="22"/>
          <w:szCs w:val="22"/>
          <w:rtl/>
        </w:rPr>
      </w:pPr>
    </w:p>
    <w:p w14:paraId="516B2347" w14:textId="77777777" w:rsidR="00A54E22" w:rsidRPr="00A54E22" w:rsidRDefault="00A54E22" w:rsidP="00A54E22">
      <w:pPr>
        <w:keepNext/>
        <w:rPr>
          <w:rFonts w:ascii="David" w:hAnsi="David"/>
          <w:color w:val="000000"/>
          <w:sz w:val="22"/>
          <w:szCs w:val="22"/>
          <w:rtl/>
        </w:rPr>
      </w:pPr>
      <w:r w:rsidRPr="00A54E22">
        <w:rPr>
          <w:rFonts w:ascii="David" w:hAnsi="David"/>
          <w:color w:val="000000"/>
          <w:sz w:val="22"/>
          <w:szCs w:val="22"/>
          <w:rtl/>
        </w:rPr>
        <w:t>דנה כהן לקח 54678313-/</w:t>
      </w:r>
    </w:p>
    <w:p w14:paraId="163529D8" w14:textId="77777777" w:rsidR="00CF2A22" w:rsidRPr="00CF2A22" w:rsidRDefault="00A54E22" w:rsidP="00A54E22">
      <w:pPr>
        <w:rPr>
          <w:color w:val="0000FF"/>
          <w:u w:val="single"/>
        </w:rPr>
      </w:pPr>
      <w:r w:rsidRPr="00A54E22">
        <w:rPr>
          <w:color w:val="000000"/>
          <w:u w:val="single"/>
          <w:rtl/>
        </w:rPr>
        <w:t>נוסח מסמך זה כפוף לשינויי ניסוח ועריכה</w:t>
      </w:r>
    </w:p>
    <w:sectPr w:rsidR="00CF2A22" w:rsidRPr="00CF2A22" w:rsidSect="00A54E22">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995B2" w14:textId="77777777" w:rsidR="004873BE" w:rsidRDefault="004873BE" w:rsidP="008C0332">
      <w:r>
        <w:separator/>
      </w:r>
    </w:p>
  </w:endnote>
  <w:endnote w:type="continuationSeparator" w:id="0">
    <w:p w14:paraId="03469BA0" w14:textId="77777777" w:rsidR="004873BE" w:rsidRDefault="004873BE" w:rsidP="008C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C383C" w14:textId="77777777" w:rsidR="00A54E22" w:rsidRDefault="00A54E22" w:rsidP="00A54E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36369A" w14:textId="77777777" w:rsidR="00B85757" w:rsidRPr="00A54E22" w:rsidRDefault="00A54E22" w:rsidP="00A54E22">
    <w:pPr>
      <w:pStyle w:val="a5"/>
      <w:pBdr>
        <w:top w:val="single" w:sz="4" w:space="1" w:color="auto"/>
        <w:between w:val="single" w:sz="4" w:space="0" w:color="auto"/>
      </w:pBdr>
      <w:spacing w:after="60"/>
      <w:jc w:val="center"/>
      <w:rPr>
        <w:rFonts w:ascii="FrankRuehl" w:hAnsi="FrankRuehl" w:cs="FrankRuehl"/>
        <w:color w:val="000000"/>
      </w:rPr>
    </w:pPr>
    <w:r w:rsidRPr="00A54E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CC2C2" w14:textId="77777777" w:rsidR="00A54E22" w:rsidRDefault="00A54E22" w:rsidP="00A54E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6260">
      <w:rPr>
        <w:rFonts w:ascii="FrankRuehl" w:hAnsi="FrankRuehl" w:cs="FrankRuehl"/>
        <w:noProof/>
        <w:rtl/>
      </w:rPr>
      <w:t>1</w:t>
    </w:r>
    <w:r>
      <w:rPr>
        <w:rFonts w:ascii="FrankRuehl" w:hAnsi="FrankRuehl" w:cs="FrankRuehl"/>
        <w:rtl/>
      </w:rPr>
      <w:fldChar w:fldCharType="end"/>
    </w:r>
  </w:p>
  <w:p w14:paraId="67888482" w14:textId="77777777" w:rsidR="00B85757" w:rsidRPr="00A54E22" w:rsidRDefault="00A54E22" w:rsidP="00A54E22">
    <w:pPr>
      <w:pStyle w:val="a5"/>
      <w:pBdr>
        <w:top w:val="single" w:sz="4" w:space="1" w:color="auto"/>
        <w:between w:val="single" w:sz="4" w:space="0" w:color="auto"/>
      </w:pBdr>
      <w:spacing w:after="60"/>
      <w:jc w:val="center"/>
      <w:rPr>
        <w:rFonts w:ascii="FrankRuehl" w:hAnsi="FrankRuehl" w:cs="FrankRuehl"/>
        <w:color w:val="000000"/>
      </w:rPr>
    </w:pPr>
    <w:r w:rsidRPr="00A54E22">
      <w:rPr>
        <w:rFonts w:ascii="FrankRuehl" w:hAnsi="FrankRuehl" w:cs="FrankRuehl"/>
        <w:color w:val="000000"/>
      </w:rPr>
      <w:pict w14:anchorId="3DABC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8E9D0" w14:textId="77777777" w:rsidR="004873BE" w:rsidRDefault="004873BE" w:rsidP="008C0332">
      <w:r>
        <w:separator/>
      </w:r>
    </w:p>
  </w:footnote>
  <w:footnote w:type="continuationSeparator" w:id="0">
    <w:p w14:paraId="04B84FD3" w14:textId="77777777" w:rsidR="004873BE" w:rsidRDefault="004873BE" w:rsidP="008C0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FD94E" w14:textId="77777777" w:rsidR="00CF2A22" w:rsidRPr="00A54E22" w:rsidRDefault="00A54E22" w:rsidP="00A54E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68096-11-21</w:t>
    </w:r>
    <w:r>
      <w:rPr>
        <w:rFonts w:ascii="David" w:hAnsi="David"/>
        <w:color w:val="000000"/>
        <w:sz w:val="22"/>
        <w:szCs w:val="22"/>
        <w:rtl/>
      </w:rPr>
      <w:tab/>
      <w:t xml:space="preserve"> מדינת ישראל נ' מחמד סלהב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1D907" w14:textId="77777777" w:rsidR="00CF2A22" w:rsidRPr="00A54E22" w:rsidRDefault="00A54E22" w:rsidP="00A54E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68096-11-21</w:t>
    </w:r>
    <w:r>
      <w:rPr>
        <w:rFonts w:ascii="David" w:hAnsi="David"/>
        <w:color w:val="000000"/>
        <w:sz w:val="22"/>
        <w:szCs w:val="22"/>
        <w:rtl/>
      </w:rPr>
      <w:tab/>
      <w:t xml:space="preserve"> מדינת ישראל נ' מחמד סלהב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5C27"/>
    <w:rsid w:val="001145C3"/>
    <w:rsid w:val="001B5A3B"/>
    <w:rsid w:val="004873BE"/>
    <w:rsid w:val="005E36B6"/>
    <w:rsid w:val="00606260"/>
    <w:rsid w:val="008C0332"/>
    <w:rsid w:val="009A00BB"/>
    <w:rsid w:val="009B454E"/>
    <w:rsid w:val="009F13B1"/>
    <w:rsid w:val="00A54E22"/>
    <w:rsid w:val="00B255B9"/>
    <w:rsid w:val="00B85757"/>
    <w:rsid w:val="00CF2A22"/>
    <w:rsid w:val="00D65C27"/>
    <w:rsid w:val="00FB1486"/>
    <w:rsid w:val="00FB7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F7D49"/>
  <w15:chartTrackingRefBased/>
  <w15:docId w15:val="{DB17A48C-F3A0-4D11-BD3D-A1E6754C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5C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5C27"/>
    <w:pPr>
      <w:tabs>
        <w:tab w:val="center" w:pos="4153"/>
        <w:tab w:val="right" w:pos="8306"/>
      </w:tabs>
    </w:pPr>
  </w:style>
  <w:style w:type="character" w:customStyle="1" w:styleId="a4">
    <w:name w:val="כותרת עליונה תו"/>
    <w:link w:val="a3"/>
    <w:rsid w:val="00D65C27"/>
    <w:rPr>
      <w:rFonts w:ascii="Times New Roman" w:eastAsia="Times New Roman" w:hAnsi="Times New Roman" w:cs="David"/>
      <w:sz w:val="24"/>
      <w:szCs w:val="24"/>
    </w:rPr>
  </w:style>
  <w:style w:type="paragraph" w:styleId="a5">
    <w:name w:val="footer"/>
    <w:basedOn w:val="a"/>
    <w:link w:val="a6"/>
    <w:rsid w:val="00D65C27"/>
    <w:pPr>
      <w:tabs>
        <w:tab w:val="center" w:pos="4153"/>
        <w:tab w:val="right" w:pos="8306"/>
      </w:tabs>
    </w:pPr>
  </w:style>
  <w:style w:type="character" w:customStyle="1" w:styleId="a6">
    <w:name w:val="כותרת תחתונה תו"/>
    <w:link w:val="a5"/>
    <w:rsid w:val="00D65C27"/>
    <w:rPr>
      <w:rFonts w:ascii="Times New Roman" w:eastAsia="Times New Roman" w:hAnsi="Times New Roman" w:cs="David"/>
      <w:sz w:val="24"/>
      <w:szCs w:val="24"/>
    </w:rPr>
  </w:style>
  <w:style w:type="table" w:styleId="a7">
    <w:name w:val="Table Grid"/>
    <w:basedOn w:val="a1"/>
    <w:rsid w:val="00D65C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5C27"/>
  </w:style>
  <w:style w:type="character" w:styleId="Hyperlink">
    <w:name w:val="Hyperlink"/>
    <w:rsid w:val="00CF2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c.a" TargetMode="External"/><Relationship Id="rId39" Type="http://schemas.openxmlformats.org/officeDocument/2006/relationships/hyperlink" Target="http://www.nevo.co.il/case/23750625" TargetMode="External"/><Relationship Id="rId21" Type="http://schemas.openxmlformats.org/officeDocument/2006/relationships/hyperlink" Target="http://www.nevo.co.il/law/70301/25"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3750625" TargetMode="External"/><Relationship Id="rId47" Type="http://schemas.openxmlformats.org/officeDocument/2006/relationships/hyperlink" Target="http://www.nevo.co.il/case/28883087"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7954235"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9" Type="http://schemas.openxmlformats.org/officeDocument/2006/relationships/hyperlink" Target="http://www.nevo.co.il/law/70301/34d" TargetMode="External"/><Relationship Id="rId11" Type="http://schemas.openxmlformats.org/officeDocument/2006/relationships/hyperlink" Target="http://www.nevo.co.il/law/70301/40g" TargetMode="External"/><Relationship Id="rId24" Type="http://schemas.openxmlformats.org/officeDocument/2006/relationships/hyperlink" Target="http://www.nevo.co.il/law/74903/18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3750625" TargetMode="External"/><Relationship Id="rId45" Type="http://schemas.openxmlformats.org/officeDocument/2006/relationships/hyperlink" Target="http://www.nevo.co.il/case/28883087" TargetMode="External"/><Relationship Id="rId53" Type="http://schemas.openxmlformats.org/officeDocument/2006/relationships/hyperlink" Target="http://www.nevo.co.il/law/70301"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28883087" TargetMode="External"/><Relationship Id="rId48" Type="http://schemas.openxmlformats.org/officeDocument/2006/relationships/hyperlink" Target="http://www.nevo.co.il/case/23750625"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34d" TargetMode="External"/><Relationship Id="rId51" Type="http://schemas.openxmlformats.org/officeDocument/2006/relationships/hyperlink" Target="http://www.nevo.co.il/law/70301/40f"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4903/186" TargetMode="External"/><Relationship Id="rId25" Type="http://schemas.openxmlformats.org/officeDocument/2006/relationships/hyperlink" Target="http://www.nevo.co.il/law/74903"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28697218" TargetMode="External"/><Relationship Id="rId46" Type="http://schemas.openxmlformats.org/officeDocument/2006/relationships/hyperlink" Target="http://www.nevo.co.il/case/28883087" TargetMode="External"/><Relationship Id="rId59" Type="http://schemas.openxmlformats.org/officeDocument/2006/relationships/footer" Target="footer1.xml"/><Relationship Id="rId20" Type="http://schemas.openxmlformats.org/officeDocument/2006/relationships/hyperlink" Target="http://www.nevo.co.il/law/70301/144.b2" TargetMode="External"/><Relationship Id="rId41" Type="http://schemas.openxmlformats.org/officeDocument/2006/relationships/hyperlink" Target="http://www.nevo.co.il/case/21472788"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915710"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ja" TargetMode="External"/><Relationship Id="rId57" Type="http://schemas.openxmlformats.org/officeDocument/2006/relationships/header" Target="header1.xml"/><Relationship Id="rId10" Type="http://schemas.openxmlformats.org/officeDocument/2006/relationships/hyperlink" Target="http://www.nevo.co.il/law/70301/40f"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law/70301/40g"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3546</Words>
  <Characters>17735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21239</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4128884</vt:i4>
      </vt:variant>
      <vt:variant>
        <vt:i4>147</vt:i4>
      </vt:variant>
      <vt:variant>
        <vt:i4>0</vt:i4>
      </vt:variant>
      <vt:variant>
        <vt:i4>5</vt:i4>
      </vt:variant>
      <vt:variant>
        <vt:lpwstr>http://www.nevo.co.il/case/17954235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http://www.nevo.co.il/law/70301/40g</vt:lpwstr>
      </vt:variant>
      <vt:variant>
        <vt:lpwstr/>
      </vt:variant>
      <vt:variant>
        <vt:i4>6619233</vt:i4>
      </vt:variant>
      <vt:variant>
        <vt:i4>135</vt:i4>
      </vt:variant>
      <vt:variant>
        <vt:i4>0</vt:i4>
      </vt:variant>
      <vt:variant>
        <vt:i4>5</vt:i4>
      </vt:variant>
      <vt:variant>
        <vt:lpwstr>http://www.nevo.co.il/law/70301/40f</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3604596</vt:i4>
      </vt:variant>
      <vt:variant>
        <vt:i4>126</vt:i4>
      </vt:variant>
      <vt:variant>
        <vt:i4>0</vt:i4>
      </vt:variant>
      <vt:variant>
        <vt:i4>5</vt:i4>
      </vt:variant>
      <vt:variant>
        <vt:lpwstr>http://www.nevo.co.il/case/23750625</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3211380</vt:i4>
      </vt:variant>
      <vt:variant>
        <vt:i4>120</vt:i4>
      </vt:variant>
      <vt:variant>
        <vt:i4>0</vt:i4>
      </vt:variant>
      <vt:variant>
        <vt:i4>5</vt:i4>
      </vt:variant>
      <vt:variant>
        <vt:lpwstr>http://www.nevo.co.il/case/28883087</vt:lpwstr>
      </vt:variant>
      <vt:variant>
        <vt:lpwstr/>
      </vt:variant>
      <vt:variant>
        <vt:i4>3211380</vt:i4>
      </vt:variant>
      <vt:variant>
        <vt:i4>117</vt:i4>
      </vt:variant>
      <vt:variant>
        <vt:i4>0</vt:i4>
      </vt:variant>
      <vt:variant>
        <vt:i4>5</vt:i4>
      </vt:variant>
      <vt:variant>
        <vt:lpwstr>http://www.nevo.co.il/case/28883087</vt:lpwstr>
      </vt:variant>
      <vt:variant>
        <vt:lpwstr/>
      </vt:variant>
      <vt:variant>
        <vt:i4>3211380</vt:i4>
      </vt:variant>
      <vt:variant>
        <vt:i4>114</vt:i4>
      </vt:variant>
      <vt:variant>
        <vt:i4>0</vt:i4>
      </vt:variant>
      <vt:variant>
        <vt:i4>5</vt:i4>
      </vt:variant>
      <vt:variant>
        <vt:lpwstr>http://www.nevo.co.il/case/28883087</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3604596</vt:i4>
      </vt:variant>
      <vt:variant>
        <vt:i4>108</vt:i4>
      </vt:variant>
      <vt:variant>
        <vt:i4>0</vt:i4>
      </vt:variant>
      <vt:variant>
        <vt:i4>5</vt:i4>
      </vt:variant>
      <vt:variant>
        <vt:lpwstr>http://www.nevo.co.il/case/23750625</vt:lpwstr>
      </vt:variant>
      <vt:variant>
        <vt:lpwstr/>
      </vt:variant>
      <vt:variant>
        <vt:i4>3932277</vt:i4>
      </vt:variant>
      <vt:variant>
        <vt:i4>105</vt:i4>
      </vt:variant>
      <vt:variant>
        <vt:i4>0</vt:i4>
      </vt:variant>
      <vt:variant>
        <vt:i4>5</vt:i4>
      </vt:variant>
      <vt:variant>
        <vt:lpwstr>http://www.nevo.co.il/case/21472788</vt:lpwstr>
      </vt:variant>
      <vt:variant>
        <vt:lpwstr/>
      </vt:variant>
      <vt:variant>
        <vt:i4>3604596</vt:i4>
      </vt:variant>
      <vt:variant>
        <vt:i4>102</vt:i4>
      </vt:variant>
      <vt:variant>
        <vt:i4>0</vt:i4>
      </vt:variant>
      <vt:variant>
        <vt:i4>5</vt:i4>
      </vt:variant>
      <vt:variant>
        <vt:lpwstr>http://www.nevo.co.il/case/23750625</vt:lpwstr>
      </vt:variant>
      <vt:variant>
        <vt:lpwstr/>
      </vt:variant>
      <vt:variant>
        <vt:i4>3604596</vt:i4>
      </vt:variant>
      <vt:variant>
        <vt:i4>99</vt:i4>
      </vt:variant>
      <vt:variant>
        <vt:i4>0</vt:i4>
      </vt:variant>
      <vt:variant>
        <vt:i4>5</vt:i4>
      </vt:variant>
      <vt:variant>
        <vt:lpwstr>http://www.nevo.co.il/case/23750625</vt:lpwstr>
      </vt:variant>
      <vt:variant>
        <vt:lpwstr/>
      </vt:variant>
      <vt:variant>
        <vt:i4>3276919</vt:i4>
      </vt:variant>
      <vt:variant>
        <vt:i4>96</vt:i4>
      </vt:variant>
      <vt:variant>
        <vt:i4>0</vt:i4>
      </vt:variant>
      <vt:variant>
        <vt:i4>5</vt:i4>
      </vt:variant>
      <vt:variant>
        <vt:lpwstr>http://www.nevo.co.il/case/28697218</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7995492</vt:i4>
      </vt:variant>
      <vt:variant>
        <vt:i4>78</vt:i4>
      </vt:variant>
      <vt:variant>
        <vt:i4>0</vt:i4>
      </vt:variant>
      <vt:variant>
        <vt:i4>5</vt:i4>
      </vt:variant>
      <vt:variant>
        <vt:lpwstr>http://www.nevo.co.il/law/70301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6357094</vt:i4>
      </vt:variant>
      <vt:variant>
        <vt:i4>69</vt:i4>
      </vt:variant>
      <vt:variant>
        <vt:i4>0</vt:i4>
      </vt:variant>
      <vt:variant>
        <vt:i4>5</vt:i4>
      </vt:variant>
      <vt:variant>
        <vt:lpwstr>http://www.nevo.co.il/law/70301/34d</vt:lpwstr>
      </vt:variant>
      <vt:variant>
        <vt:lpwstr/>
      </vt:variant>
      <vt:variant>
        <vt:i4>4128885</vt:i4>
      </vt:variant>
      <vt:variant>
        <vt:i4>66</vt:i4>
      </vt:variant>
      <vt:variant>
        <vt:i4>0</vt:i4>
      </vt:variant>
      <vt:variant>
        <vt:i4>5</vt:i4>
      </vt:variant>
      <vt:variant>
        <vt:lpwstr>http://www.nevo.co.il/case/27915710</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8257646</vt:i4>
      </vt:variant>
      <vt:variant>
        <vt:i4>57</vt:i4>
      </vt:variant>
      <vt:variant>
        <vt:i4>0</vt:i4>
      </vt:variant>
      <vt:variant>
        <vt:i4>5</vt:i4>
      </vt:variant>
      <vt:variant>
        <vt:lpwstr>http://www.nevo.co.il/law/74903</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6881388</vt:i4>
      </vt:variant>
      <vt:variant>
        <vt:i4>33</vt:i4>
      </vt:variant>
      <vt:variant>
        <vt:i4>0</vt:i4>
      </vt:variant>
      <vt:variant>
        <vt:i4>5</vt:i4>
      </vt:variant>
      <vt:variant>
        <vt:lpwstr>http://www.nevo.co.il/law/74903/186</vt:lpwstr>
      </vt:variant>
      <vt:variant>
        <vt:lpwstr/>
      </vt:variant>
      <vt:variant>
        <vt:i4>8257646</vt:i4>
      </vt:variant>
      <vt:variant>
        <vt:i4>30</vt:i4>
      </vt:variant>
      <vt:variant>
        <vt:i4>0</vt:i4>
      </vt:variant>
      <vt:variant>
        <vt:i4>5</vt:i4>
      </vt:variant>
      <vt:variant>
        <vt:lpwstr>http://www.nevo.co.il/law/74903</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6357094</vt:i4>
      </vt:variant>
      <vt:variant>
        <vt:i4>6</vt:i4>
      </vt:variant>
      <vt:variant>
        <vt:i4>0</vt:i4>
      </vt:variant>
      <vt:variant>
        <vt:i4>5</vt:i4>
      </vt:variant>
      <vt:variant>
        <vt:lpwstr>http://www.nevo.co.il/law/70301/34d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68096</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מחמד סלהב</vt:lpwstr>
  </property>
  <property fmtid="{D5CDD505-2E9C-101B-9397-08002B2CF9AE}" pid="10" name="LAWYER">
    <vt:lpwstr>דולי מזעל;מוחמד מחמוד</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20230222</vt:lpwstr>
  </property>
  <property fmtid="{D5CDD505-2E9C-101B-9397-08002B2CF9AE}" pid="14" name="TYPE_N_DATE">
    <vt:lpwstr>39020230222</vt:lpwstr>
  </property>
  <property fmtid="{D5CDD505-2E9C-101B-9397-08002B2CF9AE}" pid="15" name="WORDNUMPAGES">
    <vt:lpwstr>12</vt:lpwstr>
  </property>
  <property fmtid="{D5CDD505-2E9C-101B-9397-08002B2CF9AE}" pid="16" name="TYPE_ABS_DATE">
    <vt:lpwstr>390020230222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27915710;28697218;23750625:4;21472788;28883087:5;17954235</vt:lpwstr>
  </property>
  <property fmtid="{D5CDD505-2E9C-101B-9397-08002B2CF9AE}" pid="36" name="LAWLISTTMP1">
    <vt:lpwstr>70301/144.b:3;144.b2:2;025:2;40jc.a;040c.a;034d;40ja;040f;040g</vt:lpwstr>
  </property>
  <property fmtid="{D5CDD505-2E9C-101B-9397-08002B2CF9AE}" pid="37" name="LAWLISTTMP2">
    <vt:lpwstr>74903/186</vt:lpwstr>
  </property>
</Properties>
</file>