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100"/>
        <w:gridCol w:w="2405"/>
      </w:tblGrid>
      <w:tr w:rsidR="000D0AE3" w:rsidRPr="001518AF" w14:paraId="4759983E" w14:textId="77777777" w:rsidTr="00125152">
        <w:trPr>
          <w:trHeight w:hRule="exact" w:val="418"/>
          <w:jc w:val="center"/>
        </w:trPr>
        <w:tc>
          <w:tcPr>
            <w:tcW w:w="8505" w:type="dxa"/>
            <w:gridSpan w:val="2"/>
          </w:tcPr>
          <w:p w14:paraId="366B243A" w14:textId="77777777" w:rsidR="000D0AE3" w:rsidRPr="001518AF" w:rsidRDefault="000D0AE3" w:rsidP="00125152">
            <w:pPr>
              <w:pStyle w:val="a3"/>
              <w:jc w:val="center"/>
              <w:rPr>
                <w:rFonts w:ascii="Tahoma" w:hAnsi="Tahoma" w:cs="Tahoma"/>
                <w:color w:val="000080"/>
                <w:rtl/>
              </w:rPr>
            </w:pPr>
            <w:bookmarkStart w:id="0" w:name="LastJudge"/>
            <w:r w:rsidRPr="001518AF">
              <w:rPr>
                <w:rFonts w:ascii="Tahoma" w:hAnsi="Tahoma" w:cs="Tahoma"/>
                <w:b/>
                <w:bCs/>
                <w:color w:val="000080"/>
                <w:rtl/>
              </w:rPr>
              <w:t>בית המשפט המחוזי בחיפה</w:t>
            </w:r>
          </w:p>
        </w:tc>
      </w:tr>
      <w:tr w:rsidR="000D0AE3" w:rsidRPr="001518AF" w14:paraId="4B23EA14" w14:textId="77777777" w:rsidTr="00125152">
        <w:trPr>
          <w:trHeight w:val="337"/>
          <w:jc w:val="center"/>
        </w:trPr>
        <w:tc>
          <w:tcPr>
            <w:tcW w:w="6100" w:type="dxa"/>
          </w:tcPr>
          <w:p w14:paraId="53324DD3" w14:textId="77777777" w:rsidR="000D0AE3" w:rsidRPr="001518AF" w:rsidRDefault="000D0AE3" w:rsidP="00125152">
            <w:pPr>
              <w:rPr>
                <w:rFonts w:ascii="David" w:hAnsi="David"/>
                <w:sz w:val="26"/>
                <w:szCs w:val="26"/>
                <w:rtl/>
              </w:rPr>
            </w:pPr>
            <w:r w:rsidRPr="001518AF">
              <w:rPr>
                <w:rFonts w:ascii="David" w:hAnsi="David"/>
                <w:sz w:val="26"/>
                <w:szCs w:val="26"/>
                <w:rtl/>
              </w:rPr>
              <w:t xml:space="preserve">ת"פ 68529-11-21 </w:t>
            </w:r>
            <w:r w:rsidRPr="001518AF">
              <w:rPr>
                <w:rFonts w:ascii="David" w:hAnsi="David"/>
                <w:b/>
                <w:bCs/>
                <w:sz w:val="26"/>
                <w:szCs w:val="26"/>
                <w:rtl/>
              </w:rPr>
              <w:t>מדינת ישראל נ' עאסלה</w:t>
            </w:r>
            <w:r w:rsidRPr="001518AF">
              <w:rPr>
                <w:rFonts w:ascii="David" w:hAnsi="David" w:hint="cs"/>
                <w:b/>
                <w:bCs/>
                <w:sz w:val="26"/>
                <w:szCs w:val="26"/>
                <w:rtl/>
              </w:rPr>
              <w:t xml:space="preserve"> </w:t>
            </w:r>
            <w:r w:rsidRPr="001518AF">
              <w:rPr>
                <w:rFonts w:ascii="David" w:hAnsi="David"/>
                <w:b/>
                <w:bCs/>
                <w:sz w:val="26"/>
                <w:szCs w:val="26"/>
                <w:rtl/>
              </w:rPr>
              <w:t>(עציר) ואח'</w:t>
            </w:r>
          </w:p>
          <w:p w14:paraId="4BE0868C" w14:textId="77777777" w:rsidR="000D0AE3" w:rsidRPr="001518AF" w:rsidRDefault="000D0AE3" w:rsidP="00125152">
            <w:pPr>
              <w:pStyle w:val="a3"/>
              <w:rPr>
                <w:rFonts w:ascii="David" w:hAnsi="David"/>
                <w:sz w:val="28"/>
                <w:szCs w:val="28"/>
                <w:rtl/>
              </w:rPr>
            </w:pPr>
          </w:p>
        </w:tc>
        <w:tc>
          <w:tcPr>
            <w:tcW w:w="2405" w:type="dxa"/>
          </w:tcPr>
          <w:p w14:paraId="7F967C1A" w14:textId="77777777" w:rsidR="000D0AE3" w:rsidRPr="001518AF" w:rsidRDefault="000D0AE3" w:rsidP="00125152">
            <w:pPr>
              <w:pStyle w:val="a3"/>
              <w:jc w:val="right"/>
              <w:rPr>
                <w:rFonts w:cs="FrankRuehl"/>
                <w:sz w:val="28"/>
                <w:szCs w:val="28"/>
                <w:rtl/>
              </w:rPr>
            </w:pPr>
          </w:p>
        </w:tc>
      </w:tr>
    </w:tbl>
    <w:p w14:paraId="3BD7EC30" w14:textId="77777777" w:rsidR="000D0AE3" w:rsidRPr="001518AF" w:rsidRDefault="000D0AE3" w:rsidP="000D0AE3">
      <w:pPr>
        <w:pStyle w:val="a3"/>
        <w:rPr>
          <w:rtl/>
        </w:rPr>
      </w:pPr>
      <w:r w:rsidRPr="001518AF">
        <w:rPr>
          <w:rFonts w:hint="cs"/>
          <w:rtl/>
        </w:rPr>
        <w:t xml:space="preserve"> </w:t>
      </w:r>
    </w:p>
    <w:p w14:paraId="658CCEFE" w14:textId="77777777" w:rsidR="000D0AE3" w:rsidRPr="001518AF" w:rsidRDefault="000D0AE3" w:rsidP="000D0AE3">
      <w:pPr>
        <w:rPr>
          <w:sz w:val="26"/>
          <w:szCs w:val="26"/>
          <w:rtl/>
        </w:rPr>
      </w:pPr>
    </w:p>
    <w:p w14:paraId="65EDD324" w14:textId="77777777" w:rsidR="000D0AE3" w:rsidRPr="001518AF" w:rsidRDefault="000D0AE3" w:rsidP="000D0AE3">
      <w:pPr>
        <w:rPr>
          <w:sz w:val="26"/>
          <w:szCs w:val="26"/>
          <w:rtl/>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1"/>
        <w:gridCol w:w="1675"/>
        <w:gridCol w:w="5959"/>
      </w:tblGrid>
      <w:tr w:rsidR="000D0AE3" w:rsidRPr="001518AF" w14:paraId="0B8737BF" w14:textId="77777777" w:rsidTr="000D0AE3">
        <w:trPr>
          <w:trHeight w:val="295"/>
          <w:jc w:val="center"/>
        </w:trPr>
        <w:tc>
          <w:tcPr>
            <w:tcW w:w="8505" w:type="dxa"/>
            <w:gridSpan w:val="3"/>
            <w:tcBorders>
              <w:top w:val="nil"/>
              <w:left w:val="nil"/>
              <w:bottom w:val="nil"/>
              <w:right w:val="nil"/>
            </w:tcBorders>
            <w:shd w:val="clear" w:color="auto" w:fill="auto"/>
          </w:tcPr>
          <w:p w14:paraId="6FCA095B" w14:textId="77777777" w:rsidR="000D0AE3" w:rsidRPr="001518AF" w:rsidRDefault="000D0AE3" w:rsidP="000D0AE3">
            <w:pPr>
              <w:jc w:val="both"/>
              <w:rPr>
                <w:rFonts w:ascii="David" w:hAnsi="David"/>
                <w:b/>
                <w:bCs/>
                <w:sz w:val="26"/>
                <w:szCs w:val="26"/>
                <w:rtl/>
              </w:rPr>
            </w:pPr>
            <w:r w:rsidRPr="001518AF">
              <w:rPr>
                <w:rFonts w:ascii="David" w:hAnsi="David"/>
                <w:b/>
                <w:bCs/>
                <w:sz w:val="26"/>
                <w:szCs w:val="26"/>
                <w:rtl/>
              </w:rPr>
              <w:t>בפני כבוד השופט  דניאל פיש</w:t>
            </w:r>
          </w:p>
          <w:p w14:paraId="34D5DCDF" w14:textId="77777777" w:rsidR="000D0AE3" w:rsidRPr="001518AF" w:rsidRDefault="000D0AE3" w:rsidP="000D0AE3">
            <w:pPr>
              <w:jc w:val="both"/>
              <w:rPr>
                <w:rFonts w:ascii="David" w:hAnsi="David"/>
                <w:sz w:val="26"/>
                <w:szCs w:val="26"/>
              </w:rPr>
            </w:pPr>
          </w:p>
        </w:tc>
      </w:tr>
      <w:tr w:rsidR="000D0AE3" w:rsidRPr="001518AF" w14:paraId="786EFBBE" w14:textId="77777777" w:rsidTr="000D0AE3">
        <w:trPr>
          <w:trHeight w:val="355"/>
          <w:jc w:val="center"/>
        </w:trPr>
        <w:tc>
          <w:tcPr>
            <w:tcW w:w="871" w:type="dxa"/>
            <w:tcBorders>
              <w:top w:val="nil"/>
              <w:left w:val="nil"/>
              <w:bottom w:val="nil"/>
              <w:right w:val="nil"/>
            </w:tcBorders>
            <w:shd w:val="clear" w:color="auto" w:fill="auto"/>
          </w:tcPr>
          <w:p w14:paraId="5D7260F8" w14:textId="77777777" w:rsidR="000D0AE3" w:rsidRPr="001518AF" w:rsidRDefault="000D0AE3" w:rsidP="000D0AE3">
            <w:pPr>
              <w:jc w:val="both"/>
              <w:rPr>
                <w:rFonts w:ascii="David" w:hAnsi="David"/>
                <w:sz w:val="26"/>
                <w:szCs w:val="26"/>
              </w:rPr>
            </w:pPr>
            <w:bookmarkStart w:id="1" w:name="FirstAppellant"/>
            <w:r w:rsidRPr="001518AF">
              <w:rPr>
                <w:rFonts w:ascii="David" w:hAnsi="David"/>
                <w:sz w:val="26"/>
                <w:szCs w:val="26"/>
                <w:rtl/>
              </w:rPr>
              <w:t>בעניין:</w:t>
            </w:r>
          </w:p>
        </w:tc>
        <w:tc>
          <w:tcPr>
            <w:tcW w:w="1675" w:type="dxa"/>
            <w:tcBorders>
              <w:top w:val="nil"/>
              <w:left w:val="nil"/>
              <w:bottom w:val="nil"/>
              <w:right w:val="nil"/>
            </w:tcBorders>
            <w:shd w:val="clear" w:color="auto" w:fill="auto"/>
          </w:tcPr>
          <w:p w14:paraId="07FEE7FC" w14:textId="77777777" w:rsidR="000D0AE3" w:rsidRPr="001518AF" w:rsidRDefault="000D0AE3" w:rsidP="000D0AE3">
            <w:pPr>
              <w:suppressLineNumbers/>
            </w:pPr>
            <w:r w:rsidRPr="001518AF">
              <w:rPr>
                <w:rFonts w:ascii="Arial" w:hAnsi="Arial" w:hint="cs"/>
                <w:b/>
                <w:bCs/>
                <w:sz w:val="26"/>
                <w:szCs w:val="26"/>
                <w:rtl/>
              </w:rPr>
              <w:t>ה</w:t>
            </w:r>
            <w:r w:rsidRPr="001518AF">
              <w:rPr>
                <w:rFonts w:ascii="Arial" w:hAnsi="Arial"/>
                <w:b/>
                <w:bCs/>
                <w:sz w:val="26"/>
                <w:szCs w:val="26"/>
                <w:rtl/>
              </w:rPr>
              <w:t>מאשימה</w:t>
            </w:r>
          </w:p>
          <w:p w14:paraId="59165283" w14:textId="77777777" w:rsidR="000D0AE3" w:rsidRPr="001518AF" w:rsidRDefault="000D0AE3" w:rsidP="00125152">
            <w:pPr>
              <w:rPr>
                <w:rFonts w:ascii="David" w:hAnsi="David"/>
                <w:sz w:val="26"/>
                <w:szCs w:val="26"/>
              </w:rPr>
            </w:pPr>
          </w:p>
        </w:tc>
        <w:tc>
          <w:tcPr>
            <w:tcW w:w="5959" w:type="dxa"/>
            <w:tcBorders>
              <w:top w:val="nil"/>
              <w:left w:val="nil"/>
              <w:bottom w:val="nil"/>
              <w:right w:val="nil"/>
            </w:tcBorders>
            <w:shd w:val="clear" w:color="auto" w:fill="auto"/>
            <w:vAlign w:val="center"/>
          </w:tcPr>
          <w:p w14:paraId="48684C9F" w14:textId="77777777" w:rsidR="000D0AE3" w:rsidRPr="001518AF" w:rsidRDefault="000D0AE3" w:rsidP="000D0AE3">
            <w:pPr>
              <w:suppressLineNumbers/>
            </w:pPr>
            <w:r w:rsidRPr="001518AF">
              <w:rPr>
                <w:rFonts w:ascii="Arial" w:hAnsi="Arial"/>
                <w:b/>
                <w:bCs/>
                <w:sz w:val="26"/>
                <w:szCs w:val="26"/>
                <w:rtl/>
              </w:rPr>
              <w:t>מדינת ישראל</w:t>
            </w:r>
          </w:p>
          <w:p w14:paraId="64505237" w14:textId="77777777" w:rsidR="000D0AE3" w:rsidRPr="001518AF" w:rsidRDefault="000D0AE3" w:rsidP="00125152">
            <w:pPr>
              <w:rPr>
                <w:rFonts w:ascii="David" w:hAnsi="David"/>
                <w:sz w:val="26"/>
                <w:szCs w:val="26"/>
              </w:rPr>
            </w:pPr>
          </w:p>
        </w:tc>
      </w:tr>
      <w:bookmarkEnd w:id="1"/>
      <w:tr w:rsidR="000D0AE3" w:rsidRPr="001518AF" w14:paraId="72CBAA0B" w14:textId="77777777" w:rsidTr="000D0AE3">
        <w:trPr>
          <w:trHeight w:val="355"/>
          <w:jc w:val="center"/>
        </w:trPr>
        <w:tc>
          <w:tcPr>
            <w:tcW w:w="871" w:type="dxa"/>
            <w:tcBorders>
              <w:top w:val="nil"/>
              <w:left w:val="nil"/>
              <w:bottom w:val="nil"/>
              <w:right w:val="nil"/>
            </w:tcBorders>
            <w:shd w:val="clear" w:color="auto" w:fill="auto"/>
          </w:tcPr>
          <w:p w14:paraId="54BC9A37" w14:textId="77777777" w:rsidR="000D0AE3" w:rsidRPr="001518AF" w:rsidRDefault="000D0AE3" w:rsidP="000D0AE3">
            <w:pPr>
              <w:jc w:val="both"/>
              <w:rPr>
                <w:rFonts w:ascii="David" w:hAnsi="David"/>
                <w:sz w:val="26"/>
                <w:szCs w:val="26"/>
                <w:rtl/>
              </w:rPr>
            </w:pPr>
          </w:p>
        </w:tc>
        <w:tc>
          <w:tcPr>
            <w:tcW w:w="7634" w:type="dxa"/>
            <w:gridSpan w:val="2"/>
            <w:tcBorders>
              <w:top w:val="nil"/>
              <w:left w:val="nil"/>
              <w:bottom w:val="nil"/>
              <w:right w:val="nil"/>
            </w:tcBorders>
            <w:shd w:val="clear" w:color="auto" w:fill="auto"/>
          </w:tcPr>
          <w:p w14:paraId="627502ED" w14:textId="77777777" w:rsidR="000D0AE3" w:rsidRPr="001518AF" w:rsidRDefault="000D0AE3" w:rsidP="000D0AE3">
            <w:pPr>
              <w:jc w:val="center"/>
              <w:rPr>
                <w:rFonts w:ascii="David" w:hAnsi="David"/>
                <w:b/>
                <w:bCs/>
                <w:sz w:val="26"/>
                <w:szCs w:val="26"/>
                <w:rtl/>
              </w:rPr>
            </w:pPr>
          </w:p>
          <w:p w14:paraId="3DFE1ADC" w14:textId="77777777" w:rsidR="000D0AE3" w:rsidRPr="001518AF" w:rsidRDefault="000D0AE3" w:rsidP="000D0AE3">
            <w:pPr>
              <w:jc w:val="center"/>
              <w:rPr>
                <w:rFonts w:ascii="David" w:hAnsi="David"/>
                <w:b/>
                <w:bCs/>
                <w:sz w:val="26"/>
                <w:szCs w:val="26"/>
                <w:rtl/>
              </w:rPr>
            </w:pPr>
            <w:r w:rsidRPr="001518AF">
              <w:rPr>
                <w:rFonts w:ascii="David" w:hAnsi="David"/>
                <w:b/>
                <w:bCs/>
                <w:sz w:val="26"/>
                <w:szCs w:val="26"/>
                <w:rtl/>
              </w:rPr>
              <w:t>נגד</w:t>
            </w:r>
          </w:p>
          <w:p w14:paraId="58593ED1" w14:textId="77777777" w:rsidR="000D0AE3" w:rsidRPr="001518AF" w:rsidRDefault="000D0AE3" w:rsidP="000D0AE3">
            <w:pPr>
              <w:jc w:val="both"/>
              <w:rPr>
                <w:rFonts w:ascii="David" w:hAnsi="David"/>
                <w:sz w:val="26"/>
                <w:szCs w:val="26"/>
              </w:rPr>
            </w:pPr>
          </w:p>
        </w:tc>
      </w:tr>
      <w:tr w:rsidR="000D0AE3" w:rsidRPr="001518AF" w14:paraId="4ACEFFA1" w14:textId="77777777" w:rsidTr="000D0AE3">
        <w:trPr>
          <w:trHeight w:val="355"/>
          <w:jc w:val="center"/>
        </w:trPr>
        <w:tc>
          <w:tcPr>
            <w:tcW w:w="871" w:type="dxa"/>
            <w:tcBorders>
              <w:top w:val="nil"/>
              <w:left w:val="nil"/>
              <w:bottom w:val="nil"/>
              <w:right w:val="nil"/>
            </w:tcBorders>
            <w:shd w:val="clear" w:color="auto" w:fill="auto"/>
          </w:tcPr>
          <w:p w14:paraId="0A476B33" w14:textId="77777777" w:rsidR="000D0AE3" w:rsidRPr="001518AF" w:rsidRDefault="000D0AE3" w:rsidP="00125152">
            <w:pPr>
              <w:rPr>
                <w:rFonts w:ascii="David" w:hAnsi="David"/>
                <w:sz w:val="26"/>
                <w:szCs w:val="26"/>
                <w:rtl/>
              </w:rPr>
            </w:pPr>
          </w:p>
        </w:tc>
        <w:tc>
          <w:tcPr>
            <w:tcW w:w="1675" w:type="dxa"/>
            <w:tcBorders>
              <w:top w:val="nil"/>
              <w:left w:val="nil"/>
              <w:bottom w:val="nil"/>
              <w:right w:val="nil"/>
            </w:tcBorders>
            <w:shd w:val="clear" w:color="auto" w:fill="auto"/>
          </w:tcPr>
          <w:p w14:paraId="70E83919" w14:textId="77777777" w:rsidR="000D0AE3" w:rsidRPr="001518AF" w:rsidRDefault="000D0AE3" w:rsidP="00125152">
            <w:pPr>
              <w:rPr>
                <w:rFonts w:ascii="Arial" w:hAnsi="Arial"/>
                <w:b/>
                <w:bCs/>
                <w:sz w:val="26"/>
                <w:szCs w:val="26"/>
                <w:rtl/>
              </w:rPr>
            </w:pPr>
            <w:r w:rsidRPr="001518AF">
              <w:rPr>
                <w:rFonts w:ascii="Arial" w:hAnsi="Arial"/>
                <w:b/>
                <w:bCs/>
                <w:sz w:val="26"/>
                <w:szCs w:val="26"/>
                <w:rtl/>
              </w:rPr>
              <w:t>הנאשמים</w:t>
            </w:r>
          </w:p>
        </w:tc>
        <w:tc>
          <w:tcPr>
            <w:tcW w:w="5959" w:type="dxa"/>
            <w:tcBorders>
              <w:top w:val="nil"/>
              <w:left w:val="nil"/>
              <w:bottom w:val="nil"/>
              <w:right w:val="nil"/>
            </w:tcBorders>
            <w:shd w:val="clear" w:color="auto" w:fill="auto"/>
            <w:vAlign w:val="center"/>
          </w:tcPr>
          <w:p w14:paraId="17E36F6B" w14:textId="77777777" w:rsidR="000D0AE3" w:rsidRPr="001518AF" w:rsidRDefault="000D0AE3" w:rsidP="000D0AE3">
            <w:pPr>
              <w:suppressLineNumbers/>
            </w:pPr>
            <w:r w:rsidRPr="001518AF">
              <w:rPr>
                <w:rFonts w:ascii="Arial" w:hAnsi="Arial"/>
                <w:b/>
                <w:bCs/>
                <w:sz w:val="26"/>
                <w:szCs w:val="26"/>
                <w:rtl/>
              </w:rPr>
              <w:t>1. מואמן באללה עאסלה (עציר)</w:t>
            </w:r>
          </w:p>
          <w:p w14:paraId="0B360EC0" w14:textId="77777777" w:rsidR="000D0AE3" w:rsidRPr="001518AF" w:rsidRDefault="000D0AE3" w:rsidP="000D0AE3">
            <w:pPr>
              <w:suppressLineNumbers/>
            </w:pPr>
            <w:r w:rsidRPr="001518AF">
              <w:rPr>
                <w:rFonts w:ascii="Arial" w:hAnsi="Arial"/>
                <w:b/>
                <w:bCs/>
                <w:sz w:val="26"/>
                <w:szCs w:val="26"/>
                <w:rtl/>
              </w:rPr>
              <w:t>2. ג'ואד אבו ריא (עציר)</w:t>
            </w:r>
          </w:p>
          <w:p w14:paraId="33E09C0A" w14:textId="77777777" w:rsidR="000D0AE3" w:rsidRPr="001518AF" w:rsidRDefault="000D0AE3" w:rsidP="000D0AE3">
            <w:pPr>
              <w:suppressLineNumbers/>
            </w:pPr>
            <w:r w:rsidRPr="001518AF">
              <w:rPr>
                <w:rFonts w:ascii="Arial" w:hAnsi="Arial"/>
                <w:b/>
                <w:bCs/>
                <w:sz w:val="26"/>
                <w:szCs w:val="26"/>
                <w:rtl/>
              </w:rPr>
              <w:t>3. עומרי שלאעטה (עציר)</w:t>
            </w:r>
          </w:p>
        </w:tc>
      </w:tr>
    </w:tbl>
    <w:p w14:paraId="02318EB8" w14:textId="77777777" w:rsidR="000D0AE3" w:rsidRPr="001518AF" w:rsidRDefault="000D0AE3" w:rsidP="000D0AE3">
      <w:pPr>
        <w:rPr>
          <w:sz w:val="26"/>
          <w:szCs w:val="26"/>
          <w:rtl/>
        </w:rPr>
      </w:pPr>
    </w:p>
    <w:p w14:paraId="423CEA68" w14:textId="77777777" w:rsidR="000D0AE3" w:rsidRPr="001518AF" w:rsidRDefault="000D0AE3" w:rsidP="000D0AE3">
      <w:pPr>
        <w:rPr>
          <w:rFonts w:ascii="Arial" w:hAnsi="Arial"/>
        </w:rPr>
      </w:pPr>
      <w:r w:rsidRPr="001518AF">
        <w:rPr>
          <w:rFonts w:ascii="Arial" w:hAnsi="Arial" w:hint="cs"/>
          <w:rtl/>
        </w:rPr>
        <w:t xml:space="preserve">בשם המאשימה: עו"ד מיכאל יפרח </w:t>
      </w:r>
    </w:p>
    <w:p w14:paraId="35F96F27" w14:textId="77777777" w:rsidR="000D0AE3" w:rsidRPr="001518AF" w:rsidRDefault="000D0AE3" w:rsidP="000D0AE3">
      <w:pPr>
        <w:rPr>
          <w:rFonts w:ascii="Arial" w:hAnsi="Arial"/>
          <w:rtl/>
        </w:rPr>
      </w:pPr>
      <w:r w:rsidRPr="001518AF">
        <w:rPr>
          <w:rFonts w:ascii="Arial" w:hAnsi="Arial" w:hint="cs"/>
          <w:rtl/>
        </w:rPr>
        <w:t>בשם נאשם 1: עו"ד חליל נעמה ועו"ד כמאל אסדי</w:t>
      </w:r>
    </w:p>
    <w:p w14:paraId="3D29EDB4" w14:textId="77777777" w:rsidR="000D0AE3" w:rsidRPr="001518AF" w:rsidRDefault="000D0AE3" w:rsidP="000D0AE3">
      <w:pPr>
        <w:rPr>
          <w:rFonts w:ascii="Arial" w:hAnsi="Arial"/>
        </w:rPr>
      </w:pPr>
      <w:r w:rsidRPr="001518AF">
        <w:rPr>
          <w:rFonts w:ascii="Arial" w:hAnsi="Arial" w:hint="cs"/>
          <w:rtl/>
        </w:rPr>
        <w:t>בשם נאשם 2: עו"ד נדאל טרביה</w:t>
      </w:r>
    </w:p>
    <w:p w14:paraId="0C90F79F" w14:textId="77777777" w:rsidR="000D0AE3" w:rsidRPr="001518AF" w:rsidRDefault="000D0AE3" w:rsidP="000D0AE3">
      <w:pPr>
        <w:rPr>
          <w:sz w:val="26"/>
          <w:szCs w:val="26"/>
          <w:rtl/>
        </w:rPr>
      </w:pPr>
      <w:bookmarkStart w:id="2" w:name="FirstLawyer"/>
      <w:r w:rsidRPr="001518AF">
        <w:rPr>
          <w:rFonts w:ascii="Arial" w:hAnsi="Arial" w:hint="cs"/>
          <w:rtl/>
        </w:rPr>
        <w:t>ב"כ</w:t>
      </w:r>
      <w:bookmarkEnd w:id="2"/>
      <w:r w:rsidRPr="001518AF">
        <w:rPr>
          <w:rFonts w:ascii="Arial" w:hAnsi="Arial" w:hint="cs"/>
          <w:rtl/>
        </w:rPr>
        <w:t xml:space="preserve"> הנאשם 3: עו"ד טארק נעאמנה</w:t>
      </w:r>
    </w:p>
    <w:p w14:paraId="30785173" w14:textId="77777777" w:rsidR="000D0AE3" w:rsidRPr="001518AF" w:rsidRDefault="000D0AE3" w:rsidP="000D0AE3">
      <w:pPr>
        <w:rPr>
          <w:sz w:val="26"/>
          <w:szCs w:val="26"/>
        </w:rPr>
      </w:pPr>
    </w:p>
    <w:p w14:paraId="12D97595" w14:textId="77777777" w:rsidR="00506A58" w:rsidRPr="00506A58" w:rsidRDefault="00506A58" w:rsidP="00506A58">
      <w:pPr>
        <w:spacing w:before="120" w:after="120" w:line="240" w:lineRule="exact"/>
        <w:ind w:left="283" w:hanging="283"/>
        <w:jc w:val="both"/>
        <w:rPr>
          <w:rFonts w:ascii="FrankRuehl" w:hAnsi="FrankRuehl" w:cs="FrankRuehl"/>
          <w:rtl/>
        </w:rPr>
      </w:pPr>
    </w:p>
    <w:p w14:paraId="3B808F93" w14:textId="77777777" w:rsidR="000E15A1" w:rsidRDefault="000E15A1" w:rsidP="000E15A1">
      <w:pPr>
        <w:rPr>
          <w:rFonts w:ascii="Arial" w:hAnsi="Arial"/>
          <w:sz w:val="26"/>
          <w:szCs w:val="26"/>
          <w:rtl/>
        </w:rPr>
      </w:pPr>
      <w:bookmarkStart w:id="3" w:name="LawTable"/>
      <w:bookmarkEnd w:id="3"/>
    </w:p>
    <w:p w14:paraId="4E10C7F4" w14:textId="77777777" w:rsidR="000E15A1" w:rsidRPr="000E15A1" w:rsidRDefault="000E15A1" w:rsidP="000E15A1">
      <w:pPr>
        <w:spacing w:before="120" w:after="120" w:line="240" w:lineRule="exact"/>
        <w:ind w:left="283" w:hanging="283"/>
        <w:jc w:val="both"/>
        <w:rPr>
          <w:rFonts w:ascii="FrankRuehl" w:hAnsi="FrankRuehl" w:cs="FrankRuehl"/>
          <w:rtl/>
        </w:rPr>
      </w:pPr>
    </w:p>
    <w:p w14:paraId="74D3B567" w14:textId="77777777" w:rsidR="000E15A1" w:rsidRPr="000E15A1" w:rsidRDefault="000E15A1" w:rsidP="000E15A1">
      <w:pPr>
        <w:spacing w:before="120" w:after="120" w:line="240" w:lineRule="exact"/>
        <w:ind w:left="283" w:hanging="283"/>
        <w:jc w:val="both"/>
        <w:rPr>
          <w:rFonts w:ascii="FrankRuehl" w:hAnsi="FrankRuehl" w:cs="FrankRuehl"/>
          <w:rtl/>
        </w:rPr>
      </w:pPr>
    </w:p>
    <w:p w14:paraId="78E3217B" w14:textId="77777777" w:rsidR="000E15A1" w:rsidRPr="000E15A1" w:rsidRDefault="000E15A1" w:rsidP="000E15A1">
      <w:pPr>
        <w:spacing w:before="120" w:after="120" w:line="240" w:lineRule="exact"/>
        <w:ind w:left="283" w:hanging="283"/>
        <w:jc w:val="both"/>
        <w:rPr>
          <w:rFonts w:ascii="FrankRuehl" w:hAnsi="FrankRuehl" w:cs="FrankRuehl"/>
          <w:rtl/>
        </w:rPr>
      </w:pPr>
      <w:r w:rsidRPr="000E15A1">
        <w:rPr>
          <w:rFonts w:ascii="FrankRuehl" w:hAnsi="FrankRuehl" w:cs="FrankRuehl"/>
          <w:rtl/>
        </w:rPr>
        <w:t xml:space="preserve">חקיקה שאוזכרה: </w:t>
      </w:r>
    </w:p>
    <w:p w14:paraId="3C886FA2" w14:textId="77777777" w:rsidR="000E15A1" w:rsidRPr="000E15A1" w:rsidRDefault="000E15A1" w:rsidP="000E15A1">
      <w:pPr>
        <w:spacing w:before="120" w:after="120" w:line="240" w:lineRule="exact"/>
        <w:ind w:left="283" w:hanging="283"/>
        <w:jc w:val="both"/>
        <w:rPr>
          <w:rFonts w:ascii="FrankRuehl" w:hAnsi="FrankRuehl" w:cs="FrankRuehl"/>
          <w:rtl/>
        </w:rPr>
      </w:pPr>
      <w:hyperlink r:id="rId7" w:history="1">
        <w:r w:rsidRPr="000E15A1">
          <w:rPr>
            <w:rFonts w:ascii="FrankRuehl" w:hAnsi="FrankRuehl" w:cs="FrankRuehl"/>
            <w:color w:val="0000FF"/>
            <w:rtl/>
          </w:rPr>
          <w:t>חוק העונשין, תשל"ז-1977</w:t>
        </w:r>
      </w:hyperlink>
      <w:r w:rsidRPr="000E15A1">
        <w:rPr>
          <w:rFonts w:ascii="FrankRuehl" w:hAnsi="FrankRuehl" w:cs="FrankRuehl"/>
          <w:rtl/>
        </w:rPr>
        <w:t xml:space="preserve">: סע'  </w:t>
      </w:r>
      <w:hyperlink r:id="rId8" w:history="1">
        <w:r w:rsidRPr="000E15A1">
          <w:rPr>
            <w:rFonts w:ascii="FrankRuehl" w:hAnsi="FrankRuehl" w:cs="FrankRuehl"/>
            <w:color w:val="0000FF"/>
            <w:rtl/>
          </w:rPr>
          <w:t>25</w:t>
        </w:r>
      </w:hyperlink>
      <w:r w:rsidRPr="000E15A1">
        <w:rPr>
          <w:rFonts w:ascii="FrankRuehl" w:hAnsi="FrankRuehl" w:cs="FrankRuehl"/>
          <w:rtl/>
        </w:rPr>
        <w:t xml:space="preserve">, </w:t>
      </w:r>
      <w:hyperlink r:id="rId9" w:history="1">
        <w:r w:rsidRPr="000E15A1">
          <w:rPr>
            <w:rFonts w:ascii="FrankRuehl" w:hAnsi="FrankRuehl" w:cs="FrankRuehl"/>
            <w:color w:val="0000FF"/>
            <w:rtl/>
          </w:rPr>
          <w:t>29</w:t>
        </w:r>
      </w:hyperlink>
      <w:r w:rsidRPr="000E15A1">
        <w:rPr>
          <w:rFonts w:ascii="FrankRuehl" w:hAnsi="FrankRuehl" w:cs="FrankRuehl"/>
          <w:rtl/>
        </w:rPr>
        <w:t xml:space="preserve">, </w:t>
      </w:r>
      <w:hyperlink r:id="rId10" w:history="1">
        <w:r w:rsidRPr="000E15A1">
          <w:rPr>
            <w:rFonts w:ascii="FrankRuehl" w:hAnsi="FrankRuehl" w:cs="FrankRuehl"/>
            <w:color w:val="0000FF"/>
            <w:rtl/>
          </w:rPr>
          <w:t>144(א)</w:t>
        </w:r>
      </w:hyperlink>
      <w:r w:rsidRPr="000E15A1">
        <w:rPr>
          <w:rFonts w:ascii="FrankRuehl" w:hAnsi="FrankRuehl" w:cs="FrankRuehl"/>
          <w:rtl/>
        </w:rPr>
        <w:t xml:space="preserve">, </w:t>
      </w:r>
      <w:hyperlink r:id="rId11" w:history="1">
        <w:r w:rsidRPr="000E15A1">
          <w:rPr>
            <w:rFonts w:ascii="FrankRuehl" w:hAnsi="FrankRuehl" w:cs="FrankRuehl"/>
            <w:color w:val="0000FF"/>
            <w:rtl/>
          </w:rPr>
          <w:t>144(ב)</w:t>
        </w:r>
      </w:hyperlink>
      <w:r w:rsidRPr="000E15A1">
        <w:rPr>
          <w:rFonts w:ascii="FrankRuehl" w:hAnsi="FrankRuehl" w:cs="FrankRuehl"/>
          <w:rtl/>
        </w:rPr>
        <w:t xml:space="preserve">, </w:t>
      </w:r>
      <w:hyperlink r:id="rId12" w:history="1">
        <w:r w:rsidRPr="000E15A1">
          <w:rPr>
            <w:rFonts w:ascii="FrankRuehl" w:hAnsi="FrankRuehl" w:cs="FrankRuehl"/>
            <w:color w:val="0000FF"/>
            <w:rtl/>
          </w:rPr>
          <w:t>144(ב2)</w:t>
        </w:r>
      </w:hyperlink>
      <w:r w:rsidRPr="000E15A1">
        <w:rPr>
          <w:rFonts w:ascii="FrankRuehl" w:hAnsi="FrankRuehl" w:cs="FrankRuehl"/>
          <w:rtl/>
        </w:rPr>
        <w:t xml:space="preserve">, </w:t>
      </w:r>
      <w:hyperlink r:id="rId13" w:history="1">
        <w:r w:rsidRPr="000E15A1">
          <w:rPr>
            <w:rFonts w:ascii="FrankRuehl" w:hAnsi="FrankRuehl" w:cs="FrankRuehl"/>
            <w:color w:val="0000FF"/>
            <w:rtl/>
          </w:rPr>
          <w:t>244</w:t>
        </w:r>
      </w:hyperlink>
      <w:r w:rsidRPr="000E15A1">
        <w:rPr>
          <w:rFonts w:ascii="FrankRuehl" w:hAnsi="FrankRuehl" w:cs="FrankRuehl"/>
          <w:rtl/>
        </w:rPr>
        <w:t xml:space="preserve">, </w:t>
      </w:r>
      <w:hyperlink r:id="rId14" w:history="1">
        <w:r w:rsidRPr="000E15A1">
          <w:rPr>
            <w:rFonts w:ascii="FrankRuehl" w:hAnsi="FrankRuehl" w:cs="FrankRuehl"/>
            <w:color w:val="0000FF"/>
            <w:rtl/>
          </w:rPr>
          <w:t>340א(ב)(1)</w:t>
        </w:r>
      </w:hyperlink>
      <w:r w:rsidRPr="000E15A1">
        <w:rPr>
          <w:rFonts w:ascii="FrankRuehl" w:hAnsi="FrankRuehl" w:cs="FrankRuehl"/>
          <w:rtl/>
        </w:rPr>
        <w:t xml:space="preserve">, </w:t>
      </w:r>
      <w:hyperlink r:id="rId15" w:history="1">
        <w:r w:rsidRPr="000E15A1">
          <w:rPr>
            <w:rFonts w:ascii="FrankRuehl" w:hAnsi="FrankRuehl" w:cs="FrankRuehl"/>
            <w:color w:val="0000FF"/>
            <w:rtl/>
          </w:rPr>
          <w:t>(2)</w:t>
        </w:r>
      </w:hyperlink>
      <w:r w:rsidRPr="000E15A1">
        <w:rPr>
          <w:rFonts w:ascii="FrankRuehl" w:hAnsi="FrankRuehl" w:cs="FrankRuehl"/>
          <w:rtl/>
        </w:rPr>
        <w:t xml:space="preserve">, </w:t>
      </w:r>
      <w:hyperlink r:id="rId16" w:history="1">
        <w:r w:rsidRPr="000E15A1">
          <w:rPr>
            <w:rFonts w:ascii="FrankRuehl" w:hAnsi="FrankRuehl" w:cs="FrankRuehl"/>
            <w:color w:val="0000FF"/>
            <w:rtl/>
          </w:rPr>
          <w:t>40יג (ב)</w:t>
        </w:r>
      </w:hyperlink>
      <w:r w:rsidRPr="000E15A1">
        <w:rPr>
          <w:rFonts w:ascii="FrankRuehl" w:hAnsi="FrankRuehl" w:cs="FrankRuehl"/>
          <w:rtl/>
        </w:rPr>
        <w:t xml:space="preserve">, </w:t>
      </w:r>
      <w:hyperlink r:id="rId17" w:history="1">
        <w:r w:rsidRPr="000E15A1">
          <w:rPr>
            <w:rFonts w:ascii="FrankRuehl" w:hAnsi="FrankRuehl" w:cs="FrankRuehl"/>
            <w:color w:val="0000FF"/>
            <w:rtl/>
          </w:rPr>
          <w:t>413ד(ב)</w:t>
        </w:r>
      </w:hyperlink>
      <w:r w:rsidRPr="000E15A1">
        <w:rPr>
          <w:rFonts w:ascii="FrankRuehl" w:hAnsi="FrankRuehl" w:cs="FrankRuehl"/>
          <w:rtl/>
        </w:rPr>
        <w:t xml:space="preserve">, </w:t>
      </w:r>
      <w:hyperlink r:id="rId18" w:history="1">
        <w:r w:rsidRPr="000E15A1">
          <w:rPr>
            <w:rFonts w:ascii="FrankRuehl" w:hAnsi="FrankRuehl" w:cs="FrankRuehl"/>
            <w:color w:val="0000FF"/>
            <w:rtl/>
          </w:rPr>
          <w:t>413ט</w:t>
        </w:r>
      </w:hyperlink>
      <w:r w:rsidRPr="000E15A1">
        <w:rPr>
          <w:rFonts w:ascii="FrankRuehl" w:hAnsi="FrankRuehl" w:cs="FrankRuehl"/>
          <w:rtl/>
        </w:rPr>
        <w:t xml:space="preserve">, </w:t>
      </w:r>
      <w:hyperlink r:id="rId19" w:history="1">
        <w:r w:rsidRPr="000E15A1">
          <w:rPr>
            <w:rFonts w:ascii="FrankRuehl" w:hAnsi="FrankRuehl" w:cs="FrankRuehl"/>
            <w:color w:val="0000FF"/>
            <w:rtl/>
          </w:rPr>
          <w:t>499(א)</w:t>
        </w:r>
      </w:hyperlink>
    </w:p>
    <w:p w14:paraId="592F6EBE" w14:textId="77777777" w:rsidR="000E15A1" w:rsidRPr="000E15A1" w:rsidRDefault="000E15A1" w:rsidP="000E15A1">
      <w:pPr>
        <w:spacing w:before="120" w:after="120" w:line="240" w:lineRule="exact"/>
        <w:ind w:left="283" w:hanging="283"/>
        <w:jc w:val="both"/>
        <w:rPr>
          <w:rFonts w:ascii="FrankRuehl" w:hAnsi="FrankRuehl" w:cs="FrankRuehl"/>
          <w:rtl/>
        </w:rPr>
      </w:pPr>
      <w:hyperlink r:id="rId20" w:history="1">
        <w:r w:rsidRPr="000E15A1">
          <w:rPr>
            <w:rFonts w:ascii="FrankRuehl" w:hAnsi="FrankRuehl" w:cs="FrankRuehl"/>
            <w:color w:val="0000FF"/>
            <w:rtl/>
          </w:rPr>
          <w:t>פקודת התעבורה [נוסח חדש]</w:t>
        </w:r>
      </w:hyperlink>
      <w:r w:rsidRPr="000E15A1">
        <w:rPr>
          <w:rFonts w:ascii="FrankRuehl" w:hAnsi="FrankRuehl" w:cs="FrankRuehl"/>
          <w:rtl/>
        </w:rPr>
        <w:t xml:space="preserve">: סע'  </w:t>
      </w:r>
      <w:hyperlink r:id="rId21" w:history="1">
        <w:r w:rsidRPr="000E15A1">
          <w:rPr>
            <w:rFonts w:ascii="FrankRuehl" w:hAnsi="FrankRuehl" w:cs="FrankRuehl"/>
            <w:color w:val="0000FF"/>
            <w:rtl/>
          </w:rPr>
          <w:t>67</w:t>
        </w:r>
      </w:hyperlink>
    </w:p>
    <w:p w14:paraId="0BB86783" w14:textId="77777777" w:rsidR="000E15A1" w:rsidRPr="000E15A1" w:rsidRDefault="000E15A1" w:rsidP="000E15A1">
      <w:pPr>
        <w:rPr>
          <w:rFonts w:ascii="Arial" w:hAnsi="Arial"/>
          <w:sz w:val="26"/>
          <w:szCs w:val="26"/>
          <w:rtl/>
        </w:rPr>
      </w:pPr>
      <w:bookmarkStart w:id="4" w:name="LawTable_End"/>
      <w:bookmarkEnd w:id="4"/>
    </w:p>
    <w:p w14:paraId="3C67C310" w14:textId="77777777" w:rsidR="000D0AE3" w:rsidRPr="00506A58" w:rsidRDefault="000D0AE3" w:rsidP="00506A58">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D0AE3" w14:paraId="3030CC1E" w14:textId="77777777" w:rsidTr="000D0AE3">
        <w:trPr>
          <w:trHeight w:val="355"/>
          <w:jc w:val="center"/>
        </w:trPr>
        <w:tc>
          <w:tcPr>
            <w:tcW w:w="8820" w:type="dxa"/>
            <w:tcBorders>
              <w:top w:val="nil"/>
              <w:left w:val="nil"/>
              <w:bottom w:val="nil"/>
              <w:right w:val="nil"/>
            </w:tcBorders>
            <w:shd w:val="clear" w:color="auto" w:fill="auto"/>
          </w:tcPr>
          <w:p w14:paraId="73B318AC" w14:textId="77777777" w:rsidR="001518AF" w:rsidRPr="001518AF" w:rsidRDefault="001518AF" w:rsidP="001518AF">
            <w:pPr>
              <w:jc w:val="center"/>
              <w:rPr>
                <w:rFonts w:ascii="David" w:hAnsi="David"/>
                <w:b/>
                <w:bCs/>
                <w:sz w:val="32"/>
                <w:szCs w:val="32"/>
                <w:u w:val="single"/>
                <w:rtl/>
              </w:rPr>
            </w:pPr>
            <w:bookmarkStart w:id="5" w:name="PsakDin" w:colFirst="0" w:colLast="0"/>
            <w:bookmarkEnd w:id="0"/>
            <w:r w:rsidRPr="001518AF">
              <w:rPr>
                <w:rFonts w:ascii="David" w:hAnsi="David"/>
                <w:b/>
                <w:bCs/>
                <w:sz w:val="32"/>
                <w:szCs w:val="32"/>
                <w:u w:val="single"/>
                <w:rtl/>
              </w:rPr>
              <w:t>גזר דין</w:t>
            </w:r>
          </w:p>
          <w:p w14:paraId="38C672D9" w14:textId="77777777" w:rsidR="000D0AE3" w:rsidRPr="001518AF" w:rsidRDefault="000D0AE3" w:rsidP="001518AF">
            <w:pPr>
              <w:jc w:val="center"/>
              <w:rPr>
                <w:rFonts w:ascii="David" w:hAnsi="David"/>
                <w:bCs/>
                <w:sz w:val="32"/>
                <w:szCs w:val="32"/>
                <w:u w:val="single"/>
                <w:rtl/>
              </w:rPr>
            </w:pPr>
          </w:p>
        </w:tc>
      </w:tr>
      <w:bookmarkEnd w:id="5"/>
    </w:tbl>
    <w:p w14:paraId="5B137A35" w14:textId="77777777" w:rsidR="000D0AE3" w:rsidRPr="000F2247" w:rsidRDefault="000D0AE3" w:rsidP="000D0AE3">
      <w:pPr>
        <w:rPr>
          <w:rFonts w:ascii="Arial" w:hAnsi="Arial"/>
          <w:b/>
          <w:bCs/>
          <w:sz w:val="26"/>
          <w:szCs w:val="26"/>
          <w:rtl/>
        </w:rPr>
      </w:pPr>
    </w:p>
    <w:p w14:paraId="15441EE5" w14:textId="77777777" w:rsidR="000D0AE3" w:rsidRPr="000F2247" w:rsidRDefault="000D0AE3" w:rsidP="000D0AE3">
      <w:pPr>
        <w:spacing w:line="360" w:lineRule="auto"/>
        <w:jc w:val="both"/>
        <w:rPr>
          <w:rFonts w:ascii="Arial" w:hAnsi="Arial"/>
          <w:b/>
          <w:bCs/>
          <w:sz w:val="26"/>
          <w:szCs w:val="26"/>
          <w:rtl/>
        </w:rPr>
      </w:pPr>
    </w:p>
    <w:p w14:paraId="7161F049" w14:textId="77777777" w:rsidR="000D0AE3" w:rsidRDefault="000D0AE3" w:rsidP="000D0AE3">
      <w:pPr>
        <w:spacing w:line="360" w:lineRule="auto"/>
        <w:jc w:val="both"/>
        <w:rPr>
          <w:rFonts w:ascii="Arial" w:hAnsi="Arial"/>
          <w:rtl/>
        </w:rPr>
      </w:pPr>
      <w:r>
        <w:rPr>
          <w:rFonts w:ascii="Arial" w:hAnsi="Arial" w:hint="cs"/>
          <w:rtl/>
        </w:rPr>
        <w:t>1.</w:t>
      </w:r>
      <w:r>
        <w:rPr>
          <w:rFonts w:ascii="Arial" w:hAnsi="Arial" w:hint="cs"/>
          <w:rtl/>
        </w:rPr>
        <w:tab/>
      </w:r>
      <w:r w:rsidRPr="002E56AA">
        <w:rPr>
          <w:rFonts w:ascii="Arial" w:hAnsi="Arial" w:hint="cs"/>
          <w:rtl/>
        </w:rPr>
        <w:t xml:space="preserve">שלושת הנאשמים הודו במסגרת כתב אישום מתוקן </w:t>
      </w:r>
      <w:r>
        <w:rPr>
          <w:rFonts w:ascii="Arial" w:hAnsi="Arial" w:hint="cs"/>
          <w:rtl/>
        </w:rPr>
        <w:t>בעבירות הבאות:</w:t>
      </w:r>
    </w:p>
    <w:p w14:paraId="554C0A18" w14:textId="77777777" w:rsidR="000D0AE3" w:rsidRDefault="000D0AE3" w:rsidP="000D0AE3">
      <w:pPr>
        <w:spacing w:line="360" w:lineRule="auto"/>
        <w:jc w:val="both"/>
        <w:rPr>
          <w:rFonts w:ascii="Arial" w:hAnsi="Arial"/>
          <w:rtl/>
        </w:rPr>
      </w:pPr>
    </w:p>
    <w:p w14:paraId="612C1202" w14:textId="77777777" w:rsidR="000D0AE3" w:rsidRDefault="000D0AE3" w:rsidP="000D0AE3">
      <w:pPr>
        <w:spacing w:line="360" w:lineRule="auto"/>
        <w:ind w:left="720"/>
        <w:jc w:val="both"/>
        <w:rPr>
          <w:rFonts w:ascii="Arial" w:hAnsi="Arial"/>
          <w:rtl/>
        </w:rPr>
      </w:pPr>
      <w:bookmarkStart w:id="6" w:name="ABSTRACT_START"/>
      <w:bookmarkEnd w:id="6"/>
      <w:r w:rsidRPr="002E56AA">
        <w:rPr>
          <w:rFonts w:ascii="Arial" w:hAnsi="Arial" w:hint="cs"/>
          <w:u w:val="single"/>
          <w:rtl/>
        </w:rPr>
        <w:t>באישום ראשון</w:t>
      </w:r>
      <w:r>
        <w:rPr>
          <w:rFonts w:ascii="Arial" w:hAnsi="Arial" w:hint="cs"/>
          <w:rtl/>
        </w:rPr>
        <w:t xml:space="preserve"> (נאשמים 1 ו-2 בלבד) </w:t>
      </w:r>
      <w:r>
        <w:rPr>
          <w:rFonts w:ascii="Arial" w:hAnsi="Arial"/>
          <w:rtl/>
        </w:rPr>
        <w:t>–</w:t>
      </w:r>
      <w:r>
        <w:rPr>
          <w:rFonts w:ascii="Arial" w:hAnsi="Arial" w:hint="cs"/>
          <w:rtl/>
        </w:rPr>
        <w:t xml:space="preserve"> עבירות של החזקת נשק לפי </w:t>
      </w:r>
      <w:hyperlink r:id="rId22" w:history="1">
        <w:r w:rsidR="00D83115" w:rsidRPr="00D83115">
          <w:rPr>
            <w:rStyle w:val="Hyperlink"/>
            <w:rFonts w:ascii="Arial" w:hAnsi="Arial" w:hint="eastAsia"/>
            <w:rtl/>
          </w:rPr>
          <w:t>סעיף</w:t>
        </w:r>
        <w:r w:rsidR="00D83115" w:rsidRPr="00D83115">
          <w:rPr>
            <w:rStyle w:val="Hyperlink"/>
            <w:rFonts w:ascii="Arial" w:hAnsi="Arial"/>
            <w:rtl/>
          </w:rPr>
          <w:t xml:space="preserve"> 144(א)</w:t>
        </w:r>
      </w:hyperlink>
      <w:r>
        <w:rPr>
          <w:rFonts w:ascii="Arial" w:hAnsi="Arial" w:hint="cs"/>
          <w:rtl/>
        </w:rPr>
        <w:t xml:space="preserve"> רישא לחוק (נאשם 1 בלבד); שינוי זהות של רכב או חלק של רכב לפי </w:t>
      </w:r>
      <w:hyperlink r:id="rId23" w:history="1">
        <w:r w:rsidR="00D83115" w:rsidRPr="00D83115">
          <w:rPr>
            <w:rStyle w:val="Hyperlink"/>
            <w:rFonts w:ascii="Arial" w:hAnsi="Arial" w:hint="eastAsia"/>
            <w:rtl/>
          </w:rPr>
          <w:t>סעיף</w:t>
        </w:r>
        <w:r w:rsidR="00D83115" w:rsidRPr="00D83115">
          <w:rPr>
            <w:rStyle w:val="Hyperlink"/>
            <w:rFonts w:ascii="Arial" w:hAnsi="Arial"/>
            <w:rtl/>
          </w:rPr>
          <w:t xml:space="preserve"> 413ט</w:t>
        </w:r>
      </w:hyperlink>
      <w:r>
        <w:rPr>
          <w:rFonts w:ascii="Arial" w:hAnsi="Arial" w:hint="cs"/>
          <w:rtl/>
        </w:rPr>
        <w:t xml:space="preserve"> ל</w:t>
      </w:r>
      <w:hyperlink r:id="rId24" w:history="1">
        <w:r w:rsidR="001518AF" w:rsidRPr="001518AF">
          <w:rPr>
            <w:rFonts w:ascii="Arial" w:hAnsi="Arial"/>
            <w:color w:val="0000FF"/>
            <w:u w:val="single"/>
            <w:rtl/>
          </w:rPr>
          <w:t>חוק העונשין</w:t>
        </w:r>
      </w:hyperlink>
      <w:r>
        <w:rPr>
          <w:rFonts w:ascii="Arial" w:hAnsi="Arial" w:hint="cs"/>
          <w:rtl/>
        </w:rPr>
        <w:t xml:space="preserve"> (נאשם 1 בלבד); עבירות בנשק (הובלה ונשיאה) לפי </w:t>
      </w:r>
      <w:hyperlink r:id="rId25" w:history="1">
        <w:r w:rsidR="00D83115" w:rsidRPr="00D83115">
          <w:rPr>
            <w:rStyle w:val="Hyperlink"/>
            <w:rFonts w:ascii="Arial" w:hAnsi="Arial" w:hint="eastAsia"/>
            <w:rtl/>
          </w:rPr>
          <w:t>סעיף</w:t>
        </w:r>
        <w:r w:rsidR="00D83115" w:rsidRPr="00D83115">
          <w:rPr>
            <w:rStyle w:val="Hyperlink"/>
            <w:rFonts w:ascii="Arial" w:hAnsi="Arial"/>
            <w:rtl/>
          </w:rPr>
          <w:t xml:space="preserve"> 144(ב)</w:t>
        </w:r>
      </w:hyperlink>
      <w:r>
        <w:rPr>
          <w:rFonts w:ascii="Arial" w:hAnsi="Arial" w:hint="cs"/>
          <w:rtl/>
        </w:rPr>
        <w:t xml:space="preserve"> רישא וסיפא + </w:t>
      </w:r>
      <w:hyperlink r:id="rId26" w:history="1">
        <w:r w:rsidR="00D83115" w:rsidRPr="00D83115">
          <w:rPr>
            <w:rStyle w:val="Hyperlink"/>
            <w:rFonts w:ascii="Arial" w:hAnsi="Arial"/>
            <w:rtl/>
          </w:rPr>
          <w:t>29</w:t>
        </w:r>
      </w:hyperlink>
      <w:r>
        <w:rPr>
          <w:rFonts w:ascii="Arial" w:hAnsi="Arial" w:hint="cs"/>
          <w:rtl/>
        </w:rPr>
        <w:t xml:space="preserve"> לחוק </w:t>
      </w:r>
      <w:r>
        <w:rPr>
          <w:rFonts w:ascii="Arial" w:hAnsi="Arial" w:hint="cs"/>
          <w:rtl/>
        </w:rPr>
        <w:lastRenderedPageBreak/>
        <w:t xml:space="preserve">העונשין; ירי מנשק חם לפי </w:t>
      </w:r>
      <w:hyperlink r:id="rId27" w:history="1">
        <w:r w:rsidR="00D83115" w:rsidRPr="00D83115">
          <w:rPr>
            <w:rStyle w:val="Hyperlink"/>
            <w:rFonts w:ascii="Arial" w:hAnsi="Arial" w:hint="eastAsia"/>
            <w:rtl/>
          </w:rPr>
          <w:t>סעיף</w:t>
        </w:r>
        <w:r w:rsidR="00D83115" w:rsidRPr="00D83115">
          <w:rPr>
            <w:rStyle w:val="Hyperlink"/>
            <w:rFonts w:ascii="Arial" w:hAnsi="Arial"/>
            <w:rtl/>
          </w:rPr>
          <w:t xml:space="preserve"> 340א(ב)(1)</w:t>
        </w:r>
      </w:hyperlink>
      <w:r>
        <w:rPr>
          <w:rFonts w:ascii="Arial" w:hAnsi="Arial" w:hint="cs"/>
          <w:rtl/>
        </w:rPr>
        <w:t xml:space="preserve"> + </w:t>
      </w:r>
      <w:hyperlink r:id="rId28" w:history="1">
        <w:r w:rsidR="00D83115" w:rsidRPr="00D83115">
          <w:rPr>
            <w:rStyle w:val="Hyperlink"/>
            <w:rFonts w:ascii="Arial" w:hAnsi="Arial"/>
            <w:rtl/>
          </w:rPr>
          <w:t>(2)</w:t>
        </w:r>
      </w:hyperlink>
      <w:r>
        <w:rPr>
          <w:rFonts w:ascii="Arial" w:hAnsi="Arial" w:hint="cs"/>
          <w:rtl/>
        </w:rPr>
        <w:t xml:space="preserve"> + </w:t>
      </w:r>
      <w:hyperlink r:id="rId29" w:history="1">
        <w:r w:rsidR="00D83115" w:rsidRPr="00D83115">
          <w:rPr>
            <w:rStyle w:val="Hyperlink"/>
            <w:rFonts w:ascii="Arial" w:hAnsi="Arial"/>
            <w:rtl/>
          </w:rPr>
          <w:t>29</w:t>
        </w:r>
      </w:hyperlink>
      <w:r>
        <w:rPr>
          <w:rFonts w:ascii="Arial" w:hAnsi="Arial" w:hint="cs"/>
          <w:rtl/>
        </w:rPr>
        <w:t xml:space="preserve"> לחוק העונשין; נהיגה בזמן פסילה לפי </w:t>
      </w:r>
      <w:hyperlink r:id="rId30" w:history="1">
        <w:r w:rsidR="00D83115" w:rsidRPr="00D83115">
          <w:rPr>
            <w:rStyle w:val="Hyperlink"/>
            <w:rFonts w:ascii="Arial" w:hAnsi="Arial" w:hint="eastAsia"/>
            <w:rtl/>
          </w:rPr>
          <w:t>סעיף</w:t>
        </w:r>
        <w:r w:rsidR="00D83115" w:rsidRPr="00D83115">
          <w:rPr>
            <w:rStyle w:val="Hyperlink"/>
            <w:rFonts w:ascii="Arial" w:hAnsi="Arial"/>
            <w:rtl/>
          </w:rPr>
          <w:t xml:space="preserve"> 67</w:t>
        </w:r>
      </w:hyperlink>
      <w:r>
        <w:rPr>
          <w:rFonts w:ascii="Arial" w:hAnsi="Arial" w:hint="cs"/>
          <w:rtl/>
        </w:rPr>
        <w:t xml:space="preserve"> ל</w:t>
      </w:r>
      <w:hyperlink r:id="rId31" w:history="1">
        <w:r w:rsidR="001518AF" w:rsidRPr="001518AF">
          <w:rPr>
            <w:rFonts w:ascii="Arial" w:hAnsi="Arial"/>
            <w:color w:val="0000FF"/>
            <w:u w:val="single"/>
            <w:rtl/>
          </w:rPr>
          <w:t>פקודת התעבורה</w:t>
        </w:r>
      </w:hyperlink>
      <w:r>
        <w:rPr>
          <w:rFonts w:ascii="Arial" w:hAnsi="Arial" w:hint="cs"/>
          <w:rtl/>
        </w:rPr>
        <w:t xml:space="preserve"> [נוסח חדש] (נאשם 2 בלבד).</w:t>
      </w:r>
    </w:p>
    <w:p w14:paraId="72BBC804" w14:textId="77777777" w:rsidR="000D0AE3" w:rsidRDefault="000D0AE3" w:rsidP="000D0AE3">
      <w:pPr>
        <w:spacing w:line="360" w:lineRule="auto"/>
        <w:jc w:val="both"/>
        <w:rPr>
          <w:rFonts w:ascii="Arial" w:hAnsi="Arial"/>
          <w:rtl/>
        </w:rPr>
      </w:pPr>
      <w:bookmarkStart w:id="7" w:name="ABSTRACT_END"/>
      <w:bookmarkEnd w:id="7"/>
    </w:p>
    <w:p w14:paraId="28F533DF" w14:textId="77777777" w:rsidR="000D0AE3" w:rsidRDefault="000D0AE3" w:rsidP="000D0AE3">
      <w:pPr>
        <w:spacing w:line="360" w:lineRule="auto"/>
        <w:ind w:left="720"/>
        <w:jc w:val="both"/>
        <w:rPr>
          <w:rFonts w:ascii="Arial" w:hAnsi="Arial"/>
          <w:rtl/>
        </w:rPr>
      </w:pPr>
      <w:r w:rsidRPr="002E56AA">
        <w:rPr>
          <w:rFonts w:ascii="Arial" w:hAnsi="Arial" w:hint="cs"/>
          <w:u w:val="single"/>
          <w:rtl/>
        </w:rPr>
        <w:t>באישום שני</w:t>
      </w:r>
      <w:r>
        <w:rPr>
          <w:rFonts w:ascii="Arial" w:hAnsi="Arial" w:hint="cs"/>
          <w:rtl/>
        </w:rPr>
        <w:t xml:space="preserve"> (נאשם 1 בלבד) </w:t>
      </w:r>
      <w:r>
        <w:rPr>
          <w:rFonts w:ascii="Arial" w:hAnsi="Arial"/>
          <w:rtl/>
        </w:rPr>
        <w:t>–</w:t>
      </w:r>
      <w:r>
        <w:rPr>
          <w:rFonts w:ascii="Arial" w:hAnsi="Arial" w:hint="cs"/>
          <w:rtl/>
        </w:rPr>
        <w:t xml:space="preserve"> עבירות נשק (רכישה) לפי </w:t>
      </w:r>
      <w:hyperlink r:id="rId32" w:history="1">
        <w:r w:rsidR="00D83115" w:rsidRPr="00D83115">
          <w:rPr>
            <w:rStyle w:val="Hyperlink"/>
            <w:rFonts w:ascii="Arial" w:hAnsi="Arial" w:hint="eastAsia"/>
            <w:rtl/>
          </w:rPr>
          <w:t>סעיף</w:t>
        </w:r>
        <w:r w:rsidR="00D83115" w:rsidRPr="00D83115">
          <w:rPr>
            <w:rStyle w:val="Hyperlink"/>
            <w:rFonts w:ascii="Arial" w:hAnsi="Arial"/>
            <w:rtl/>
          </w:rPr>
          <w:t xml:space="preserve"> 144(א)</w:t>
        </w:r>
      </w:hyperlink>
      <w:r>
        <w:rPr>
          <w:rFonts w:ascii="Arial" w:hAnsi="Arial" w:hint="cs"/>
          <w:rtl/>
        </w:rPr>
        <w:t xml:space="preserve"> רישא לחוק; עבירות בנשק (נשיאה והובלה) לפי </w:t>
      </w:r>
      <w:hyperlink r:id="rId33" w:history="1">
        <w:r w:rsidR="00D83115" w:rsidRPr="00D83115">
          <w:rPr>
            <w:rStyle w:val="Hyperlink"/>
            <w:rFonts w:ascii="Arial" w:hAnsi="Arial" w:hint="eastAsia"/>
            <w:rtl/>
          </w:rPr>
          <w:t>סעיף</w:t>
        </w:r>
        <w:r w:rsidR="00D83115" w:rsidRPr="00D83115">
          <w:rPr>
            <w:rStyle w:val="Hyperlink"/>
            <w:rFonts w:ascii="Arial" w:hAnsi="Arial"/>
            <w:rtl/>
          </w:rPr>
          <w:t xml:space="preserve"> 144(א)</w:t>
        </w:r>
      </w:hyperlink>
      <w:r>
        <w:rPr>
          <w:rFonts w:ascii="Arial" w:hAnsi="Arial" w:hint="cs"/>
          <w:rtl/>
        </w:rPr>
        <w:t xml:space="preserve"> + </w:t>
      </w:r>
      <w:hyperlink r:id="rId34" w:history="1">
        <w:r w:rsidR="00D83115" w:rsidRPr="00D83115">
          <w:rPr>
            <w:rStyle w:val="Hyperlink"/>
            <w:rFonts w:ascii="Arial" w:hAnsi="Arial"/>
            <w:rtl/>
          </w:rPr>
          <w:t>(ב)</w:t>
        </w:r>
      </w:hyperlink>
      <w:r>
        <w:rPr>
          <w:rFonts w:ascii="Arial" w:hAnsi="Arial" w:hint="cs"/>
          <w:rtl/>
        </w:rPr>
        <w:t xml:space="preserve"> רישא לחוק.</w:t>
      </w:r>
    </w:p>
    <w:p w14:paraId="61D3B392" w14:textId="77777777" w:rsidR="000D0AE3" w:rsidRDefault="000D0AE3" w:rsidP="000D0AE3">
      <w:pPr>
        <w:spacing w:line="360" w:lineRule="auto"/>
        <w:jc w:val="both"/>
        <w:rPr>
          <w:rFonts w:ascii="Arial" w:hAnsi="Arial"/>
          <w:rtl/>
        </w:rPr>
      </w:pPr>
    </w:p>
    <w:p w14:paraId="119CE5C6" w14:textId="77777777" w:rsidR="000D0AE3" w:rsidRDefault="000D0AE3" w:rsidP="000D0AE3">
      <w:pPr>
        <w:spacing w:line="360" w:lineRule="auto"/>
        <w:ind w:left="720"/>
        <w:jc w:val="both"/>
        <w:rPr>
          <w:rFonts w:ascii="Arial" w:hAnsi="Arial"/>
          <w:rtl/>
        </w:rPr>
      </w:pPr>
      <w:r>
        <w:rPr>
          <w:rFonts w:ascii="Arial" w:hAnsi="Arial" w:hint="cs"/>
          <w:u w:val="single"/>
          <w:rtl/>
        </w:rPr>
        <w:t>באישום שלישי</w:t>
      </w:r>
      <w:r>
        <w:rPr>
          <w:rFonts w:ascii="Arial" w:hAnsi="Arial" w:hint="cs"/>
          <w:rtl/>
        </w:rPr>
        <w:t xml:space="preserve"> (נאשמים 2 ו-3 בלבד) </w:t>
      </w:r>
      <w:r>
        <w:rPr>
          <w:rFonts w:ascii="Arial" w:hAnsi="Arial"/>
          <w:rtl/>
        </w:rPr>
        <w:t>–</w:t>
      </w:r>
      <w:r>
        <w:rPr>
          <w:rFonts w:ascii="Arial" w:hAnsi="Arial" w:hint="cs"/>
          <w:rtl/>
        </w:rPr>
        <w:t xml:space="preserve"> קשר לפשע לפי </w:t>
      </w:r>
      <w:hyperlink r:id="rId35" w:history="1">
        <w:r w:rsidR="00D83115" w:rsidRPr="00D83115">
          <w:rPr>
            <w:rStyle w:val="Hyperlink"/>
            <w:rFonts w:ascii="Arial" w:hAnsi="Arial" w:hint="eastAsia"/>
            <w:rtl/>
          </w:rPr>
          <w:t>סעיף</w:t>
        </w:r>
        <w:r w:rsidR="00D83115" w:rsidRPr="00D83115">
          <w:rPr>
            <w:rStyle w:val="Hyperlink"/>
            <w:rFonts w:ascii="Arial" w:hAnsi="Arial"/>
            <w:rtl/>
          </w:rPr>
          <w:t xml:space="preserve"> 499(א)</w:t>
        </w:r>
      </w:hyperlink>
      <w:r>
        <w:rPr>
          <w:rFonts w:ascii="Arial" w:hAnsi="Arial" w:hint="cs"/>
          <w:rtl/>
        </w:rPr>
        <w:t xml:space="preserve"> לחוק; פירוק רכב לפי </w:t>
      </w:r>
      <w:hyperlink r:id="rId36" w:history="1">
        <w:r w:rsidR="00D83115" w:rsidRPr="00D83115">
          <w:rPr>
            <w:rStyle w:val="Hyperlink"/>
            <w:rFonts w:ascii="Arial" w:hAnsi="Arial" w:hint="eastAsia"/>
            <w:rtl/>
          </w:rPr>
          <w:t>סעיף</w:t>
        </w:r>
        <w:r w:rsidR="00D83115" w:rsidRPr="00D83115">
          <w:rPr>
            <w:rStyle w:val="Hyperlink"/>
            <w:rFonts w:ascii="Arial" w:hAnsi="Arial"/>
            <w:rtl/>
          </w:rPr>
          <w:t xml:space="preserve"> 413ד(ב)</w:t>
        </w:r>
      </w:hyperlink>
      <w:r>
        <w:rPr>
          <w:rFonts w:ascii="Arial" w:hAnsi="Arial" w:hint="cs"/>
          <w:rtl/>
        </w:rPr>
        <w:t xml:space="preserve"> + </w:t>
      </w:r>
      <w:hyperlink r:id="rId37" w:history="1">
        <w:r w:rsidR="00D83115" w:rsidRPr="00D83115">
          <w:rPr>
            <w:rStyle w:val="Hyperlink"/>
            <w:rFonts w:ascii="Arial" w:hAnsi="Arial"/>
            <w:rtl/>
          </w:rPr>
          <w:t>29</w:t>
        </w:r>
      </w:hyperlink>
      <w:r>
        <w:rPr>
          <w:rFonts w:ascii="Arial" w:hAnsi="Arial" w:hint="cs"/>
          <w:rtl/>
        </w:rPr>
        <w:t xml:space="preserve"> לחוק; עבירות בנשק (נשיאה והובלה) לפי </w:t>
      </w:r>
      <w:hyperlink r:id="rId38" w:history="1">
        <w:r w:rsidR="00D83115" w:rsidRPr="00D83115">
          <w:rPr>
            <w:rStyle w:val="Hyperlink"/>
            <w:rFonts w:ascii="Arial" w:hAnsi="Arial" w:hint="eastAsia"/>
            <w:rtl/>
          </w:rPr>
          <w:t>סעיף</w:t>
        </w:r>
        <w:r w:rsidR="00D83115" w:rsidRPr="00D83115">
          <w:rPr>
            <w:rStyle w:val="Hyperlink"/>
            <w:rFonts w:ascii="Arial" w:hAnsi="Arial"/>
            <w:rtl/>
          </w:rPr>
          <w:t xml:space="preserve"> 144(א)</w:t>
        </w:r>
      </w:hyperlink>
      <w:r>
        <w:rPr>
          <w:rFonts w:ascii="Arial" w:hAnsi="Arial" w:hint="cs"/>
          <w:rtl/>
        </w:rPr>
        <w:t xml:space="preserve"> + </w:t>
      </w:r>
      <w:hyperlink r:id="rId39" w:history="1">
        <w:r w:rsidR="00D83115" w:rsidRPr="00D83115">
          <w:rPr>
            <w:rStyle w:val="Hyperlink"/>
            <w:rFonts w:ascii="Arial" w:hAnsi="Arial"/>
            <w:rtl/>
          </w:rPr>
          <w:t>(ב)</w:t>
        </w:r>
      </w:hyperlink>
      <w:r>
        <w:rPr>
          <w:rFonts w:ascii="Arial" w:hAnsi="Arial" w:hint="cs"/>
          <w:rtl/>
        </w:rPr>
        <w:t xml:space="preserve"> רישא וסיפא + </w:t>
      </w:r>
      <w:hyperlink r:id="rId40" w:history="1">
        <w:r w:rsidR="00D83115" w:rsidRPr="00D83115">
          <w:rPr>
            <w:rStyle w:val="Hyperlink"/>
            <w:rFonts w:ascii="Arial" w:hAnsi="Arial"/>
            <w:rtl/>
          </w:rPr>
          <w:t>29</w:t>
        </w:r>
      </w:hyperlink>
      <w:r>
        <w:rPr>
          <w:rFonts w:ascii="Arial" w:hAnsi="Arial" w:hint="cs"/>
          <w:rtl/>
        </w:rPr>
        <w:t xml:space="preserve"> לחוק; ניסיון לשיבוש מהלכי משפט לפי </w:t>
      </w:r>
      <w:hyperlink r:id="rId41" w:history="1">
        <w:r w:rsidR="00D83115" w:rsidRPr="00D83115">
          <w:rPr>
            <w:rStyle w:val="Hyperlink"/>
            <w:rFonts w:ascii="Arial" w:hAnsi="Arial" w:hint="eastAsia"/>
            <w:rtl/>
          </w:rPr>
          <w:t>סעיף</w:t>
        </w:r>
        <w:r w:rsidR="00D83115" w:rsidRPr="00D83115">
          <w:rPr>
            <w:rStyle w:val="Hyperlink"/>
            <w:rFonts w:ascii="Arial" w:hAnsi="Arial"/>
            <w:rtl/>
          </w:rPr>
          <w:t xml:space="preserve"> 244</w:t>
        </w:r>
      </w:hyperlink>
      <w:r>
        <w:rPr>
          <w:rFonts w:ascii="Arial" w:hAnsi="Arial" w:hint="cs"/>
          <w:rtl/>
        </w:rPr>
        <w:t xml:space="preserve"> + </w:t>
      </w:r>
      <w:hyperlink r:id="rId42" w:history="1">
        <w:r w:rsidR="00D83115" w:rsidRPr="00D83115">
          <w:rPr>
            <w:rStyle w:val="Hyperlink"/>
            <w:rFonts w:ascii="Arial" w:hAnsi="Arial"/>
            <w:rtl/>
          </w:rPr>
          <w:t>29</w:t>
        </w:r>
      </w:hyperlink>
      <w:r>
        <w:rPr>
          <w:rFonts w:ascii="Arial" w:hAnsi="Arial" w:hint="cs"/>
          <w:rtl/>
        </w:rPr>
        <w:t xml:space="preserve"> + </w:t>
      </w:r>
      <w:hyperlink r:id="rId43" w:history="1">
        <w:r w:rsidR="00D83115" w:rsidRPr="00D83115">
          <w:rPr>
            <w:rStyle w:val="Hyperlink"/>
            <w:rFonts w:ascii="Arial" w:hAnsi="Arial"/>
            <w:rtl/>
          </w:rPr>
          <w:t>25</w:t>
        </w:r>
      </w:hyperlink>
      <w:r>
        <w:rPr>
          <w:rFonts w:ascii="Arial" w:hAnsi="Arial" w:hint="cs"/>
          <w:rtl/>
        </w:rPr>
        <w:t xml:space="preserve"> לחוק.</w:t>
      </w:r>
    </w:p>
    <w:p w14:paraId="4B278876" w14:textId="77777777" w:rsidR="000D0AE3" w:rsidRDefault="000D0AE3" w:rsidP="000D0AE3">
      <w:pPr>
        <w:spacing w:line="360" w:lineRule="auto"/>
        <w:jc w:val="both"/>
        <w:rPr>
          <w:rFonts w:ascii="Arial" w:hAnsi="Arial"/>
          <w:rtl/>
        </w:rPr>
      </w:pPr>
    </w:p>
    <w:p w14:paraId="46AB0529" w14:textId="77777777" w:rsidR="000D0AE3" w:rsidRDefault="000D0AE3" w:rsidP="000D0AE3">
      <w:pPr>
        <w:spacing w:line="360" w:lineRule="auto"/>
        <w:ind w:left="720" w:hanging="720"/>
        <w:jc w:val="both"/>
        <w:rPr>
          <w:rFonts w:ascii="Arial" w:hAnsi="Arial"/>
          <w:rtl/>
        </w:rPr>
      </w:pPr>
      <w:r>
        <w:rPr>
          <w:rFonts w:ascii="Arial" w:hAnsi="Arial" w:hint="cs"/>
          <w:rtl/>
        </w:rPr>
        <w:t>2.</w:t>
      </w:r>
      <w:r>
        <w:rPr>
          <w:rFonts w:ascii="Arial" w:hAnsi="Arial" w:hint="cs"/>
          <w:rtl/>
        </w:rPr>
        <w:tab/>
        <w:t xml:space="preserve">בכתב האישום המתוקן פורט שהנאשמים הם חברים ונאשמים 1 ו-2 הם גם בני דודים. במועדים הרלוונטיים בשימושו של נאשם 1 היה רכב מסוג סובארו ל"ז 05392861 ובשימוש נאשם 3 רכב מסוג מאזדה ל"ז 7310068. </w:t>
      </w:r>
    </w:p>
    <w:p w14:paraId="29F1DE1F" w14:textId="77777777" w:rsidR="000D0AE3" w:rsidRDefault="000D0AE3" w:rsidP="000D0AE3">
      <w:pPr>
        <w:spacing w:line="360" w:lineRule="auto"/>
        <w:jc w:val="both"/>
        <w:rPr>
          <w:rFonts w:ascii="Arial" w:hAnsi="Arial"/>
          <w:rtl/>
        </w:rPr>
      </w:pPr>
    </w:p>
    <w:p w14:paraId="3EE31823" w14:textId="77777777" w:rsidR="000D0AE3" w:rsidRDefault="000D0AE3" w:rsidP="000D0AE3">
      <w:pPr>
        <w:spacing w:line="360" w:lineRule="auto"/>
        <w:ind w:left="720" w:hanging="720"/>
        <w:jc w:val="both"/>
        <w:rPr>
          <w:rFonts w:ascii="Arial" w:hAnsi="Arial"/>
          <w:rtl/>
        </w:rPr>
      </w:pPr>
      <w:r>
        <w:rPr>
          <w:rFonts w:ascii="Arial" w:hAnsi="Arial" w:hint="cs"/>
          <w:rtl/>
        </w:rPr>
        <w:t>3.</w:t>
      </w:r>
      <w:r>
        <w:rPr>
          <w:rFonts w:ascii="Arial" w:hAnsi="Arial" w:hint="cs"/>
          <w:rtl/>
        </w:rPr>
        <w:tab/>
        <w:t xml:space="preserve">באישום הראשון, משך כחודשיים עובר ליום 30.10.21, החזיק נאשם 1 בסכנין תת מקלע מאולתר בצבע כסף ללא רשות על פי דין. במועדים הרלוונטיים התגורר נאשם 2 בסכנין סמוך למבנה 3 קומות שהקומה הראשונה שימשה כמשרדי של מפלגת חד"ש. על רקע אי שביעות רצונו של נאשם 2 מההתנהלות החברתית במשרדי המפלגה קשרו הנאשמים 1 ו-2 קשר לירות מנשק חם על המבנה תוך שימוש בנשק הכסוף וברכב הסובארו. ביום 30.10.21 בשעות הערב נשא הנאשם 1 את הנשק מסכנין לשטח מיוער בהר אחים, שם הטמינו. בנוסף, הסתיר נאשם 1 את לוחיות הרישוי של רכב הסובארו והחליף אותן בלוחיות זיהוי אחרות על מנת להקשות על זיהויו של רכב הסובארו. בהמשך אותו ערב נפגשו הנאשמים 1 ו-2, נסעו לסכנין ברכב הסובארו עם הנשק הכסוף כשהוא טעון במחסנית ובכדורים. נאשם 2 נהג בעת שהיה פסול מלנהוג ונאשם 1 ישב לידו. סמוך לשעה 22:00 הגיעו נאשמים 1 ו-2 סמוך למשרדי המפלגה ונאשם 1 יצא מהרכב כשפניו מוסתרות ולראשו קפוצ'ון וירה 8 כדורים לעבר משרדי המפלגה. הקליעים פגעו בשער הברזל בדלת זכוכית ובקירות המבנה וגרמו לו נזק בשווי 6,600 ₪. </w:t>
      </w:r>
    </w:p>
    <w:p w14:paraId="2921DE7E" w14:textId="77777777" w:rsidR="000D0AE3" w:rsidRDefault="000D0AE3" w:rsidP="000D0AE3">
      <w:pPr>
        <w:spacing w:line="360" w:lineRule="auto"/>
        <w:jc w:val="both"/>
        <w:rPr>
          <w:rFonts w:ascii="Arial" w:hAnsi="Arial"/>
          <w:rtl/>
        </w:rPr>
      </w:pPr>
    </w:p>
    <w:p w14:paraId="13615135" w14:textId="77777777" w:rsidR="000D0AE3" w:rsidRDefault="000D0AE3" w:rsidP="000D0AE3">
      <w:pPr>
        <w:spacing w:line="360" w:lineRule="auto"/>
        <w:ind w:left="720" w:hanging="720"/>
        <w:jc w:val="both"/>
        <w:rPr>
          <w:rFonts w:ascii="Arial" w:hAnsi="Arial"/>
          <w:rtl/>
        </w:rPr>
      </w:pPr>
      <w:r>
        <w:rPr>
          <w:rFonts w:ascii="Arial" w:hAnsi="Arial" w:hint="cs"/>
          <w:rtl/>
        </w:rPr>
        <w:t>4.</w:t>
      </w:r>
      <w:r>
        <w:rPr>
          <w:rFonts w:ascii="Arial" w:hAnsi="Arial" w:hint="cs"/>
          <w:rtl/>
        </w:rPr>
        <w:tab/>
        <w:t xml:space="preserve">על פי האישום השני, תכנן הנאשם 1 לרכוש כלי נשק נוסף ולצורך זה ביום 30.10.21 יצר קשר עם תושב טולכרם לצורך בדיקת רכישת כלי נשק מסוג קרלו. בהמשך, ביום 5.11.21 נסע הנאשם 1 לטולכרם יחד עם נאשם 2 ואדם נוסף שם פגשו בסוחר נשק שהציג להם תת מקלע בצבע שחור. נאשם 1 סיכם עם הסוחר לרכוש את הנשק תמורת 3,500 ₪ אותם העבירו לסוחר במעמד המפגש וסיכמו שהנשק יועבר אליו לאחר שיצא משטחי הרשות הפלסטינית.  בסופו של עניין קיבל נאשם 1 לחזקתו את הנשק בטייבה ונסע יחד עם נאשם 2 כשהוא מחזיק ומוביל את הנשק בשקית ללא רשות על פי דין. </w:t>
      </w:r>
    </w:p>
    <w:p w14:paraId="17751208" w14:textId="77777777" w:rsidR="000D0AE3" w:rsidRDefault="000D0AE3" w:rsidP="000D0AE3">
      <w:pPr>
        <w:spacing w:line="360" w:lineRule="auto"/>
        <w:jc w:val="both"/>
        <w:rPr>
          <w:rFonts w:ascii="Arial" w:hAnsi="Arial"/>
          <w:rtl/>
        </w:rPr>
      </w:pPr>
    </w:p>
    <w:p w14:paraId="01418418" w14:textId="77777777" w:rsidR="000D0AE3" w:rsidRDefault="000D0AE3" w:rsidP="000D0AE3">
      <w:pPr>
        <w:spacing w:line="360" w:lineRule="auto"/>
        <w:ind w:left="720" w:hanging="720"/>
        <w:jc w:val="both"/>
        <w:rPr>
          <w:rFonts w:ascii="Arial" w:hAnsi="Arial"/>
          <w:rtl/>
        </w:rPr>
      </w:pPr>
      <w:r>
        <w:rPr>
          <w:rFonts w:ascii="Arial" w:hAnsi="Arial" w:hint="cs"/>
          <w:rtl/>
        </w:rPr>
        <w:t>5.</w:t>
      </w:r>
      <w:r>
        <w:rPr>
          <w:rFonts w:ascii="Arial" w:hAnsi="Arial" w:hint="cs"/>
          <w:rtl/>
        </w:rPr>
        <w:tab/>
        <w:t xml:space="preserve">על פי האישום השלישי, במועד סמוך ל-6.11.21, קשרו נאשמים 2 ו-3 קשר לירות מנשק חם על ביתו של תושב סכנין על רקע חוב כספי של הקורבן לנאשם 2. השניים סיכמו שהירי יבוצע תוך שימוש ברכב הסובארו באמצעות הנשק הכסוף והנשק השחור. ביום 6.11.21 בשעות הערב נסעו נאשמים 2 ו-3 ברכב המאזדה כאשר נאשם 3 נוהג ונאשם 2 יושב לידו. בשעה 19:30 בעת שנסעו קרוב לבית הקורבן הצביע נאשם 2 לנאשם 3 על הבית ועל המקום ממנו בכוונתו לבצע את הירי לעבר הבית. בהמשך, נסעו השניים לאזור התעשיה בסכנין כדי לאתר כלי רכב ממנו ניתן לגנוב לוחיות רישוי ולהתקינם בסובארו. בשעה 20:12 עצר הנאשם את רכב המאזדה בסמוך למשאית ופירק את לוחית הזיהוי האחורית של המשאית ולאחר מכן עצר הנאשם 3 את המאזדה בסמוך לרכב אחר ופירק לוחית זיהוי קדמית כדי להרכיב על הסובארו. נאשמים 2 ו-3 הגיעו לשטח בסכנין שייך למשפחת נאשם 2 ושם פגשו בנאשם 1 ובאנשים נוספים, נאשם 2 מסר לנאשם 1 לוחיות הזיהוי שפורקו על מנת שירכיב אותן ברכב הסובארו. נאשמים 2 ו-3 נסעו ברכב המאזדה להר אחים כשהם מחזיקים ומובילים את הנשק הכסוף והנשק השחור כשבכל אחד מהם מחסנית תואמת. בסמוך לשעה 22:41 הגיעו נאשמים 2 ו-3 במאזדה לכניסה לשטח מיוער בהר אחים, כאשר באותה עת נסעו שוטרים בניידת משטרתית במסגרת סיור שיגרתי. השוטרים סימנו לנאשמים 2 ו-3 לעצור באמצעות פנסי הניידת וקראו להם לעצור את רכב המאזדה. נאשמים 2 ו-3 הבחינו בניידת אך לא נענו לבקשת השוטרים ונסעו במהירות בדרך עפר תוך שנאשם 2 משליך מחלון הרכב את השקית שהכילה את הנשקים והמחסניות. </w:t>
      </w:r>
    </w:p>
    <w:p w14:paraId="49752F43" w14:textId="77777777" w:rsidR="000D0AE3" w:rsidRDefault="000D0AE3" w:rsidP="000D0AE3">
      <w:pPr>
        <w:spacing w:line="360" w:lineRule="auto"/>
        <w:jc w:val="both"/>
        <w:rPr>
          <w:rFonts w:ascii="Arial" w:hAnsi="Arial"/>
          <w:rtl/>
        </w:rPr>
      </w:pPr>
    </w:p>
    <w:p w14:paraId="2FA2ED11" w14:textId="77777777" w:rsidR="000D0AE3" w:rsidRDefault="000D0AE3" w:rsidP="000D0AE3">
      <w:pPr>
        <w:spacing w:line="360" w:lineRule="auto"/>
        <w:jc w:val="both"/>
        <w:rPr>
          <w:rFonts w:ascii="Arial" w:hAnsi="Arial"/>
          <w:rtl/>
        </w:rPr>
      </w:pPr>
      <w:r>
        <w:rPr>
          <w:rFonts w:ascii="Arial" w:hAnsi="Arial" w:hint="cs"/>
          <w:b/>
          <w:bCs/>
          <w:u w:val="single"/>
          <w:rtl/>
        </w:rPr>
        <w:t>טיעוני המאשימה לעניין העונש</w:t>
      </w:r>
    </w:p>
    <w:p w14:paraId="186D6E4F" w14:textId="77777777" w:rsidR="000D0AE3" w:rsidRDefault="000D0AE3" w:rsidP="000D0AE3">
      <w:pPr>
        <w:spacing w:line="360" w:lineRule="auto"/>
        <w:jc w:val="both"/>
        <w:rPr>
          <w:rFonts w:ascii="Arial" w:hAnsi="Arial"/>
          <w:rtl/>
        </w:rPr>
      </w:pPr>
    </w:p>
    <w:p w14:paraId="392D8AF7" w14:textId="77777777" w:rsidR="000D0AE3" w:rsidRDefault="000D0AE3" w:rsidP="000D0AE3">
      <w:pPr>
        <w:spacing w:line="360" w:lineRule="auto"/>
        <w:ind w:left="720" w:hanging="720"/>
        <w:jc w:val="both"/>
        <w:rPr>
          <w:rFonts w:ascii="Arial" w:hAnsi="Arial"/>
          <w:rtl/>
        </w:rPr>
      </w:pPr>
      <w:r>
        <w:rPr>
          <w:rFonts w:ascii="Arial" w:hAnsi="Arial" w:hint="cs"/>
          <w:rtl/>
        </w:rPr>
        <w:t>6.</w:t>
      </w:r>
      <w:r>
        <w:rPr>
          <w:rFonts w:ascii="Arial" w:hAnsi="Arial" w:hint="cs"/>
          <w:rtl/>
        </w:rPr>
        <w:tab/>
        <w:t xml:space="preserve">צוין שלנאשמים 2 ו-3 אין הרשעות קודמות למעט הרשעות תעבורה לנאשם 2 ולנאשם 1 הרשעה אחת של החזקת סכין. </w:t>
      </w:r>
    </w:p>
    <w:p w14:paraId="2338FD66" w14:textId="77777777" w:rsidR="000D0AE3" w:rsidRDefault="000D0AE3" w:rsidP="000D0AE3">
      <w:pPr>
        <w:spacing w:line="360" w:lineRule="auto"/>
        <w:jc w:val="both"/>
        <w:rPr>
          <w:rFonts w:ascii="Arial" w:hAnsi="Arial"/>
          <w:rtl/>
        </w:rPr>
      </w:pPr>
    </w:p>
    <w:p w14:paraId="5C5DF976" w14:textId="77777777" w:rsidR="000D0AE3" w:rsidRDefault="000D0AE3" w:rsidP="000D0AE3">
      <w:pPr>
        <w:spacing w:line="360" w:lineRule="auto"/>
        <w:ind w:left="720" w:hanging="720"/>
        <w:jc w:val="both"/>
        <w:rPr>
          <w:rFonts w:ascii="Arial" w:hAnsi="Arial"/>
          <w:rtl/>
        </w:rPr>
      </w:pPr>
      <w:r>
        <w:rPr>
          <w:rFonts w:ascii="Arial" w:hAnsi="Arial" w:hint="cs"/>
          <w:rtl/>
        </w:rPr>
        <w:t>7.</w:t>
      </w:r>
      <w:r>
        <w:rPr>
          <w:rFonts w:ascii="Arial" w:hAnsi="Arial" w:hint="cs"/>
          <w:rtl/>
        </w:rPr>
        <w:tab/>
        <w:t xml:space="preserve">המדינה הדגישה את חומרת עבירות הנשק מפאת פוטנציאל הסיכון לחיי אדם הגלום בהן ותדירותן ההולכת והגוברת וציינה שנדרשת החמרה בענישה כדי להתמודד עם שימוש בנשק לא חוקי. </w:t>
      </w:r>
    </w:p>
    <w:p w14:paraId="1C3801AE" w14:textId="77777777" w:rsidR="000D0AE3" w:rsidRDefault="000D0AE3" w:rsidP="000D0AE3">
      <w:pPr>
        <w:spacing w:line="360" w:lineRule="auto"/>
        <w:jc w:val="both"/>
        <w:rPr>
          <w:rFonts w:ascii="Arial" w:hAnsi="Arial"/>
          <w:rtl/>
        </w:rPr>
      </w:pPr>
    </w:p>
    <w:p w14:paraId="2BA53393" w14:textId="77777777" w:rsidR="000D0AE3" w:rsidRPr="0029379A" w:rsidRDefault="000D0AE3" w:rsidP="000D0AE3">
      <w:pPr>
        <w:spacing w:line="360" w:lineRule="auto"/>
        <w:ind w:left="720" w:hanging="720"/>
        <w:jc w:val="both"/>
        <w:rPr>
          <w:rFonts w:ascii="Arial" w:hAnsi="Arial"/>
          <w:rtl/>
        </w:rPr>
      </w:pPr>
      <w:r>
        <w:rPr>
          <w:rFonts w:ascii="Arial" w:hAnsi="Arial" w:hint="cs"/>
          <w:rtl/>
        </w:rPr>
        <w:t>8.</w:t>
      </w:r>
      <w:r>
        <w:rPr>
          <w:rFonts w:ascii="Arial" w:hAnsi="Arial" w:hint="cs"/>
          <w:rtl/>
        </w:rPr>
        <w:tab/>
        <w:t xml:space="preserve">באשר לנסיבות הקשורות בביצוע העבירות צוין כי מדובר בריבוי ובגיוון סוגי עבירות שבוצעו בצוותא כאשר באישום הראשון והשלישי קשרו הנאשמים קשר לביצוע עבירות ירי לעבר מבנה מגורים בתחכום ותוך כדי תכנון שכלל הצטיידות בלוחיות זיהוי מזויפות, הצטיידות בכלי נשק ותחמושת וביגוד מתאים ומסכה. האישום השלישי כלל היערכות וסיור מקדים, גניבת לוחיות זיהוי והצטיידות בשני כלי נשק. </w:t>
      </w:r>
    </w:p>
    <w:p w14:paraId="7BB84D30" w14:textId="77777777" w:rsidR="000D0AE3" w:rsidRDefault="000D0AE3" w:rsidP="000D0AE3">
      <w:pPr>
        <w:spacing w:line="360" w:lineRule="auto"/>
        <w:rPr>
          <w:rFonts w:ascii="Arial" w:hAnsi="Arial"/>
          <w:rtl/>
        </w:rPr>
      </w:pPr>
    </w:p>
    <w:p w14:paraId="687632E1" w14:textId="77777777" w:rsidR="000D0AE3" w:rsidRDefault="000D0AE3" w:rsidP="000D0AE3">
      <w:pPr>
        <w:spacing w:line="360" w:lineRule="auto"/>
        <w:ind w:left="720" w:hanging="720"/>
        <w:jc w:val="both"/>
        <w:rPr>
          <w:rFonts w:ascii="Arial" w:hAnsi="Arial"/>
          <w:rtl/>
        </w:rPr>
      </w:pPr>
      <w:r>
        <w:rPr>
          <w:rFonts w:ascii="Arial" w:hAnsi="Arial" w:hint="cs"/>
          <w:rtl/>
        </w:rPr>
        <w:t>9.</w:t>
      </w:r>
      <w:r>
        <w:rPr>
          <w:rFonts w:ascii="Arial" w:hAnsi="Arial" w:hint="cs"/>
          <w:rtl/>
        </w:rPr>
        <w:tab/>
        <w:t xml:space="preserve">תואר בנוסף שברקע לביצוע ירי באישום הראשון עמד עניין פעוט שהעלה את חמתו של הנאשם 2. </w:t>
      </w:r>
    </w:p>
    <w:p w14:paraId="198AD91A" w14:textId="77777777" w:rsidR="000D0AE3" w:rsidRDefault="000D0AE3" w:rsidP="000D0AE3">
      <w:pPr>
        <w:spacing w:line="360" w:lineRule="auto"/>
        <w:jc w:val="both"/>
        <w:rPr>
          <w:rFonts w:ascii="Arial" w:hAnsi="Arial"/>
          <w:rtl/>
        </w:rPr>
      </w:pPr>
    </w:p>
    <w:p w14:paraId="7EB77B7B" w14:textId="77777777" w:rsidR="000D0AE3" w:rsidRDefault="000D0AE3" w:rsidP="000D0AE3">
      <w:pPr>
        <w:spacing w:line="360" w:lineRule="auto"/>
        <w:ind w:left="720" w:hanging="720"/>
        <w:jc w:val="both"/>
        <w:rPr>
          <w:rFonts w:ascii="Arial" w:hAnsi="Arial"/>
          <w:rtl/>
        </w:rPr>
      </w:pPr>
      <w:r>
        <w:rPr>
          <w:rFonts w:ascii="Arial" w:hAnsi="Arial" w:hint="cs"/>
          <w:rtl/>
        </w:rPr>
        <w:t>10.</w:t>
      </w:r>
      <w:r>
        <w:rPr>
          <w:rFonts w:ascii="Arial" w:hAnsi="Arial" w:hint="cs"/>
          <w:rtl/>
        </w:rPr>
        <w:tab/>
        <w:t>האישום השלישי שותק לגבי המניעים למעשים ונטען שדבר זה עומד לחובת הנאשמים.</w:t>
      </w:r>
    </w:p>
    <w:p w14:paraId="600910FF" w14:textId="77777777" w:rsidR="000D0AE3" w:rsidRDefault="000D0AE3" w:rsidP="000D0AE3">
      <w:pPr>
        <w:spacing w:line="360" w:lineRule="auto"/>
        <w:jc w:val="both"/>
        <w:rPr>
          <w:rFonts w:ascii="Arial" w:hAnsi="Arial"/>
          <w:rtl/>
        </w:rPr>
      </w:pPr>
    </w:p>
    <w:p w14:paraId="56DDF574" w14:textId="77777777" w:rsidR="000D0AE3" w:rsidRDefault="000D0AE3" w:rsidP="000D0AE3">
      <w:pPr>
        <w:spacing w:line="360" w:lineRule="auto"/>
        <w:ind w:left="720" w:hanging="720"/>
        <w:jc w:val="both"/>
        <w:rPr>
          <w:rFonts w:ascii="Arial" w:hAnsi="Arial"/>
          <w:rtl/>
        </w:rPr>
      </w:pPr>
      <w:r>
        <w:rPr>
          <w:rFonts w:ascii="Arial" w:hAnsi="Arial" w:hint="cs"/>
          <w:rtl/>
        </w:rPr>
        <w:t>11.</w:t>
      </w:r>
      <w:r>
        <w:rPr>
          <w:rFonts w:ascii="Arial" w:hAnsi="Arial" w:hint="cs"/>
          <w:rtl/>
        </w:rPr>
        <w:tab/>
        <w:t>נטען שהנאשמים הצטיידו בכלי נשק קטלניים ובאישום השלישי הצטיידו בשני כלי נשק.</w:t>
      </w:r>
    </w:p>
    <w:p w14:paraId="1C1E55C9" w14:textId="77777777" w:rsidR="000D0AE3" w:rsidRDefault="000D0AE3" w:rsidP="000D0AE3">
      <w:pPr>
        <w:spacing w:line="360" w:lineRule="auto"/>
        <w:jc w:val="both"/>
        <w:rPr>
          <w:rFonts w:ascii="Arial" w:hAnsi="Arial"/>
          <w:rtl/>
        </w:rPr>
      </w:pPr>
    </w:p>
    <w:p w14:paraId="52CDB00C" w14:textId="77777777" w:rsidR="000D0AE3" w:rsidRDefault="000D0AE3" w:rsidP="000D0AE3">
      <w:pPr>
        <w:spacing w:line="360" w:lineRule="auto"/>
        <w:ind w:left="720" w:hanging="720"/>
        <w:jc w:val="both"/>
        <w:rPr>
          <w:rFonts w:ascii="Arial" w:hAnsi="Arial"/>
          <w:rtl/>
        </w:rPr>
      </w:pPr>
      <w:r>
        <w:rPr>
          <w:rFonts w:ascii="Arial" w:hAnsi="Arial" w:hint="cs"/>
          <w:rtl/>
        </w:rPr>
        <w:t>12.</w:t>
      </w:r>
      <w:r>
        <w:rPr>
          <w:rFonts w:ascii="Arial" w:hAnsi="Arial" w:hint="cs"/>
          <w:rtl/>
        </w:rPr>
        <w:tab/>
        <w:t xml:space="preserve">צוין שבמסגרת האישום הראשון החזיק הנאשם 1 תת מקלע משך תקופה של כחודשיים. </w:t>
      </w:r>
    </w:p>
    <w:p w14:paraId="37E7A6C2" w14:textId="77777777" w:rsidR="000D0AE3" w:rsidRDefault="000D0AE3" w:rsidP="000D0AE3">
      <w:pPr>
        <w:spacing w:line="360" w:lineRule="auto"/>
        <w:ind w:left="720"/>
        <w:jc w:val="both"/>
        <w:rPr>
          <w:rFonts w:ascii="Arial" w:hAnsi="Arial"/>
          <w:rtl/>
        </w:rPr>
      </w:pPr>
      <w:r>
        <w:rPr>
          <w:rFonts w:ascii="Arial" w:hAnsi="Arial" w:hint="cs"/>
          <w:rtl/>
        </w:rPr>
        <w:t xml:space="preserve">לגבי האישום השני נטען לנסיבות מחמירות של נסיעה לטולכרם בשטחי הרשות לצורך הצטיידות בנשק והכנסתו לישראל. </w:t>
      </w:r>
    </w:p>
    <w:p w14:paraId="4CF5379E" w14:textId="77777777" w:rsidR="000D0AE3" w:rsidRDefault="000D0AE3" w:rsidP="000D0AE3">
      <w:pPr>
        <w:spacing w:line="360" w:lineRule="auto"/>
        <w:jc w:val="both"/>
        <w:rPr>
          <w:rFonts w:ascii="Arial" w:hAnsi="Arial"/>
          <w:rtl/>
        </w:rPr>
      </w:pPr>
    </w:p>
    <w:p w14:paraId="76638BC0" w14:textId="77777777" w:rsidR="000D0AE3" w:rsidRDefault="000D0AE3" w:rsidP="000D0AE3">
      <w:pPr>
        <w:spacing w:line="360" w:lineRule="auto"/>
        <w:ind w:left="720" w:hanging="720"/>
        <w:jc w:val="both"/>
        <w:rPr>
          <w:rFonts w:ascii="Arial" w:hAnsi="Arial"/>
          <w:rtl/>
        </w:rPr>
      </w:pPr>
      <w:r>
        <w:rPr>
          <w:rFonts w:ascii="Arial" w:hAnsi="Arial" w:hint="cs"/>
          <w:rtl/>
        </w:rPr>
        <w:t>13.</w:t>
      </w:r>
      <w:r>
        <w:rPr>
          <w:rFonts w:ascii="Arial" w:hAnsi="Arial" w:hint="cs"/>
          <w:rtl/>
        </w:rPr>
        <w:tab/>
        <w:t>אוזכרה פסיקה כדלקמן בנוגע לרמת הענישה, כאשר נטען שקיימת מגמה ברורה וחד משמעית של החמרה בענישה של עבריינים שמבצעים עבירות בנשק, גם כאשר מדובר בעבירה של החזקה בלבד:</w:t>
      </w:r>
    </w:p>
    <w:p w14:paraId="63F53F68" w14:textId="77777777" w:rsidR="000D0AE3" w:rsidRDefault="000D0AE3" w:rsidP="000D0AE3">
      <w:pPr>
        <w:spacing w:line="360" w:lineRule="auto"/>
        <w:jc w:val="both"/>
        <w:rPr>
          <w:rFonts w:ascii="Arial" w:hAnsi="Arial"/>
          <w:rtl/>
        </w:rPr>
      </w:pPr>
    </w:p>
    <w:p w14:paraId="528E5FF5" w14:textId="77777777" w:rsidR="000D0AE3" w:rsidRPr="005D44F9" w:rsidRDefault="001518AF" w:rsidP="000D0AE3">
      <w:pPr>
        <w:pStyle w:val="a9"/>
        <w:numPr>
          <w:ilvl w:val="0"/>
          <w:numId w:val="1"/>
        </w:numPr>
        <w:spacing w:line="360" w:lineRule="auto"/>
        <w:jc w:val="both"/>
        <w:rPr>
          <w:rFonts w:ascii="Arial" w:hAnsi="Arial"/>
          <w:rtl/>
        </w:rPr>
      </w:pPr>
      <w:hyperlink r:id="rId44" w:history="1">
        <w:r w:rsidRPr="001518AF">
          <w:rPr>
            <w:rFonts w:ascii="Arial" w:hAnsi="Arial"/>
            <w:color w:val="0000FF"/>
            <w:u w:val="single"/>
            <w:rtl/>
          </w:rPr>
          <w:t>ע"פ 2482/22</w:t>
        </w:r>
      </w:hyperlink>
      <w:r w:rsidR="000D0AE3" w:rsidRPr="005D44F9">
        <w:rPr>
          <w:rFonts w:ascii="Arial" w:hAnsi="Arial" w:hint="cs"/>
          <w:rtl/>
        </w:rPr>
        <w:t xml:space="preserve"> </w:t>
      </w:r>
      <w:r w:rsidR="000D0AE3" w:rsidRPr="005D44F9">
        <w:rPr>
          <w:rFonts w:ascii="Arial" w:hAnsi="Arial" w:hint="cs"/>
          <w:b/>
          <w:bCs/>
          <w:rtl/>
        </w:rPr>
        <w:t>מדינת ישראל נ' קדורה</w:t>
      </w:r>
      <w:r w:rsidR="000D0AE3" w:rsidRPr="005D44F9">
        <w:rPr>
          <w:rFonts w:ascii="Arial" w:hAnsi="Arial" w:hint="cs"/>
          <w:rtl/>
        </w:rPr>
        <w:t xml:space="preserve"> (14.4.22); נאשם שהורשע בעבירה של החזקת נשק + אקדח, מחסנית וכדורים ורימון הלם שהיה בן 18 בעת ביצוע העבירות וללא ער פלילי הורשע במסגרת הסדר טיעון טרם ניהול הוכחות. הוטלו עליו 10 חודשי מאסר שהוחמר בבית המשפט העליון בערעור ל-18 חודשי מאסר. </w:t>
      </w:r>
    </w:p>
    <w:p w14:paraId="3B04186A" w14:textId="77777777" w:rsidR="000D0AE3" w:rsidRDefault="000D0AE3" w:rsidP="000D0AE3">
      <w:pPr>
        <w:spacing w:line="360" w:lineRule="auto"/>
        <w:jc w:val="both"/>
        <w:rPr>
          <w:rFonts w:ascii="Arial" w:hAnsi="Arial"/>
          <w:rtl/>
        </w:rPr>
      </w:pPr>
    </w:p>
    <w:p w14:paraId="27296F41" w14:textId="77777777" w:rsidR="000D0AE3" w:rsidRPr="005D44F9" w:rsidRDefault="001518AF" w:rsidP="000D0AE3">
      <w:pPr>
        <w:pStyle w:val="a9"/>
        <w:numPr>
          <w:ilvl w:val="0"/>
          <w:numId w:val="1"/>
        </w:numPr>
        <w:spacing w:line="360" w:lineRule="auto"/>
        <w:jc w:val="both"/>
        <w:rPr>
          <w:rFonts w:ascii="Arial" w:hAnsi="Arial"/>
          <w:rtl/>
        </w:rPr>
      </w:pPr>
      <w:hyperlink r:id="rId45" w:history="1">
        <w:r w:rsidRPr="001518AF">
          <w:rPr>
            <w:rFonts w:ascii="Arial" w:hAnsi="Arial"/>
            <w:color w:val="0000FF"/>
            <w:u w:val="single"/>
            <w:rtl/>
          </w:rPr>
          <w:t>עפ"ג 50840-03-22</w:t>
        </w:r>
      </w:hyperlink>
      <w:r w:rsidR="000D0AE3" w:rsidRPr="005D44F9">
        <w:rPr>
          <w:rFonts w:ascii="Arial" w:hAnsi="Arial" w:hint="cs"/>
          <w:rtl/>
        </w:rPr>
        <w:t xml:space="preserve"> </w:t>
      </w:r>
      <w:r w:rsidR="000D0AE3" w:rsidRPr="005D44F9">
        <w:rPr>
          <w:rFonts w:ascii="Arial" w:hAnsi="Arial" w:hint="cs"/>
          <w:b/>
          <w:bCs/>
          <w:rtl/>
        </w:rPr>
        <w:t xml:space="preserve">מדינת ישראל נ' סלאמה </w:t>
      </w:r>
      <w:r w:rsidR="000D0AE3" w:rsidRPr="005D44F9">
        <w:rPr>
          <w:rFonts w:ascii="Arial" w:hAnsi="Arial" w:hint="cs"/>
          <w:rtl/>
        </w:rPr>
        <w:t xml:space="preserve">(4.4.22); נאשם שהורשע בעבירה של החזקת נשק </w:t>
      </w:r>
      <w:r w:rsidR="000D0AE3" w:rsidRPr="005D44F9">
        <w:rPr>
          <w:rFonts w:ascii="Arial" w:hAnsi="Arial"/>
          <w:rtl/>
        </w:rPr>
        <w:t>–</w:t>
      </w:r>
      <w:r w:rsidR="000D0AE3" w:rsidRPr="005D44F9">
        <w:rPr>
          <w:rFonts w:ascii="Arial" w:hAnsi="Arial" w:hint="cs"/>
          <w:rtl/>
        </w:rPr>
        <w:t xml:space="preserve"> שני תתי מקלע מאולתרים, מחסנית ריקה תואמת ותרמיל 9 מ"ר פאראבלום ובעבירה של תקיפת שוטר. הנאשם היה בעל הרשעה קודמת בעבירת רכוש והודה במסגרת הסדר טיעון ללא ניהול הוכחות. בבית משפט השלום נגזרו עליו 15 חודשי מאסר ובערעור הוחמר העונש ל-28 חודשי מאסר.</w:t>
      </w:r>
    </w:p>
    <w:p w14:paraId="7B9DD4CB" w14:textId="77777777" w:rsidR="000D0AE3" w:rsidRDefault="000D0AE3" w:rsidP="000D0AE3">
      <w:pPr>
        <w:spacing w:line="360" w:lineRule="auto"/>
        <w:jc w:val="both"/>
        <w:rPr>
          <w:rFonts w:ascii="Arial" w:hAnsi="Arial"/>
          <w:rtl/>
        </w:rPr>
      </w:pPr>
    </w:p>
    <w:p w14:paraId="70F97B2F" w14:textId="77777777" w:rsidR="000D0AE3" w:rsidRPr="005D44F9" w:rsidRDefault="001518AF" w:rsidP="000D0AE3">
      <w:pPr>
        <w:pStyle w:val="a9"/>
        <w:numPr>
          <w:ilvl w:val="0"/>
          <w:numId w:val="1"/>
        </w:numPr>
        <w:spacing w:line="360" w:lineRule="auto"/>
        <w:jc w:val="both"/>
        <w:rPr>
          <w:rFonts w:ascii="Arial" w:hAnsi="Arial"/>
          <w:rtl/>
        </w:rPr>
      </w:pPr>
      <w:hyperlink r:id="rId46" w:history="1">
        <w:r w:rsidRPr="001518AF">
          <w:rPr>
            <w:rFonts w:ascii="Arial" w:hAnsi="Arial"/>
            <w:color w:val="0000FF"/>
            <w:u w:val="single"/>
            <w:rtl/>
          </w:rPr>
          <w:t>ע"פ 1695/22</w:t>
        </w:r>
      </w:hyperlink>
      <w:r w:rsidR="000D0AE3" w:rsidRPr="005D44F9">
        <w:rPr>
          <w:rFonts w:ascii="Arial" w:hAnsi="Arial" w:hint="cs"/>
          <w:rtl/>
        </w:rPr>
        <w:t xml:space="preserve"> </w:t>
      </w:r>
      <w:r w:rsidR="000D0AE3" w:rsidRPr="005D44F9">
        <w:rPr>
          <w:rFonts w:ascii="Arial" w:hAnsi="Arial" w:hint="cs"/>
          <w:b/>
          <w:bCs/>
          <w:rtl/>
        </w:rPr>
        <w:t>מדינת ישראל נ' גנאים</w:t>
      </w:r>
      <w:r w:rsidR="000D0AE3" w:rsidRPr="005D44F9">
        <w:rPr>
          <w:rFonts w:ascii="Arial" w:hAnsi="Arial" w:hint="cs"/>
          <w:rtl/>
        </w:rPr>
        <w:t xml:space="preserve"> (29.3.22); שני נאשמים שהורשעו בעבירות ש להחזקה, נשיאה והובלת נשק, תת מקלע מאולתר ותצורה של רובה סער </w:t>
      </w:r>
      <w:r w:rsidR="000D0AE3" w:rsidRPr="005D44F9">
        <w:rPr>
          <w:rFonts w:ascii="Arial" w:hAnsi="Arial" w:hint="cs"/>
        </w:rPr>
        <w:t>M16</w:t>
      </w:r>
      <w:r w:rsidR="000D0AE3" w:rsidRPr="005D44F9">
        <w:rPr>
          <w:rFonts w:ascii="Arial" w:hAnsi="Arial" w:hint="cs"/>
          <w:rtl/>
        </w:rPr>
        <w:t xml:space="preserve"> ומחסנית תואמת ועבירה של הפרעה לשוטר במילוי תפקידו. נאשם 2 הורשע בנוסף בעבירות של תקיפת שוטר, נאשם 1 היה בן 22 ונאשם 2 בן 18. על נאשם 1 נגזרו 19 חודשי מאסר, ועל נאשם 2 נגזרו 10 חודשי מאסר. בית המשפט העליון החמיר בענישה והעמיד את עונש המאסר ל-22 חודשים לכל אחד מהנאשמים. </w:t>
      </w:r>
    </w:p>
    <w:p w14:paraId="2DF7BBA0" w14:textId="77777777" w:rsidR="000D0AE3" w:rsidRDefault="000D0AE3" w:rsidP="000D0AE3">
      <w:pPr>
        <w:spacing w:line="360" w:lineRule="auto"/>
        <w:jc w:val="both"/>
        <w:rPr>
          <w:rFonts w:ascii="Arial" w:hAnsi="Arial"/>
          <w:rtl/>
        </w:rPr>
      </w:pPr>
    </w:p>
    <w:p w14:paraId="13E5C537" w14:textId="77777777" w:rsidR="000D0AE3" w:rsidRPr="005D44F9" w:rsidRDefault="001518AF" w:rsidP="000D0AE3">
      <w:pPr>
        <w:pStyle w:val="a9"/>
        <w:numPr>
          <w:ilvl w:val="0"/>
          <w:numId w:val="1"/>
        </w:numPr>
        <w:spacing w:line="360" w:lineRule="auto"/>
        <w:jc w:val="both"/>
        <w:rPr>
          <w:rFonts w:ascii="Arial" w:hAnsi="Arial"/>
          <w:rtl/>
        </w:rPr>
      </w:pPr>
      <w:hyperlink r:id="rId47" w:history="1">
        <w:r w:rsidRPr="001518AF">
          <w:rPr>
            <w:rFonts w:ascii="Arial" w:hAnsi="Arial"/>
            <w:color w:val="0000FF"/>
            <w:u w:val="single"/>
            <w:rtl/>
          </w:rPr>
          <w:t>ע"פ 309/22</w:t>
        </w:r>
      </w:hyperlink>
      <w:r w:rsidR="000D0AE3" w:rsidRPr="005D44F9">
        <w:rPr>
          <w:rFonts w:ascii="Arial" w:hAnsi="Arial" w:hint="cs"/>
          <w:rtl/>
        </w:rPr>
        <w:t xml:space="preserve"> </w:t>
      </w:r>
      <w:r w:rsidR="000D0AE3" w:rsidRPr="005D44F9">
        <w:rPr>
          <w:rFonts w:ascii="Arial" w:hAnsi="Arial" w:hint="cs"/>
          <w:b/>
          <w:bCs/>
          <w:rtl/>
        </w:rPr>
        <w:t>מדינת ישראל נ' ביאדסה</w:t>
      </w:r>
      <w:r w:rsidR="000D0AE3" w:rsidRPr="005D44F9">
        <w:rPr>
          <w:rFonts w:ascii="Arial" w:hAnsi="Arial" w:hint="cs"/>
          <w:rtl/>
        </w:rPr>
        <w:t xml:space="preserve"> (10.5.22); נאשם שהורשע בעבירות של החזקת, נשיאת והובלת נשק ביחד עם אחר </w:t>
      </w:r>
      <w:r w:rsidR="000D0AE3" w:rsidRPr="005D44F9">
        <w:rPr>
          <w:rFonts w:ascii="Arial" w:hAnsi="Arial"/>
          <w:rtl/>
        </w:rPr>
        <w:t>–</w:t>
      </w:r>
      <w:r w:rsidR="000D0AE3" w:rsidRPr="005D44F9">
        <w:rPr>
          <w:rFonts w:ascii="Arial" w:hAnsi="Arial" w:hint="cs"/>
          <w:rtl/>
        </w:rPr>
        <w:t xml:space="preserve"> רובה מסוג קלצ'ניקוב, מחסנית תואמת ו-25 כדורים ואקדח חצי אוטומטי טעון במחסנית תואמת עם 27 כדורים וכדור נוסף בקנה ומחסנית נוספת עם 14 כדורים, כאשר נאשם ואחר החזיקו, נשאו והובילו את הנשקים ברכב שקושט כאילו מדובר ברכב מסיע חתן וכלה בעוד שהשניים לובשים שחפ"צים וסרבלים כחולים, עטו כפפות הצטיידו בכובעי גרב, מסכת סקי ו-3 בקבוקי דלק ומכשיר קשר. הנאשם ללא עבר פלילי, הורשע במסגרת הסדר טיעון טרם ניהול הוכחות, נגזרו עליו 19 חודשי מאסר שהוחמרו בעליון ל-30 חודשי מאסר. </w:t>
      </w:r>
    </w:p>
    <w:p w14:paraId="70CB8B85" w14:textId="77777777" w:rsidR="000D0AE3" w:rsidRDefault="000D0AE3" w:rsidP="000D0AE3">
      <w:pPr>
        <w:spacing w:line="360" w:lineRule="auto"/>
        <w:jc w:val="both"/>
        <w:rPr>
          <w:rFonts w:ascii="Arial" w:hAnsi="Arial"/>
          <w:rtl/>
        </w:rPr>
      </w:pPr>
    </w:p>
    <w:p w14:paraId="4BB46487" w14:textId="77777777" w:rsidR="000D0AE3" w:rsidRPr="005D44F9" w:rsidRDefault="001518AF" w:rsidP="000D0AE3">
      <w:pPr>
        <w:pStyle w:val="a9"/>
        <w:numPr>
          <w:ilvl w:val="0"/>
          <w:numId w:val="1"/>
        </w:numPr>
        <w:spacing w:line="360" w:lineRule="auto"/>
        <w:jc w:val="both"/>
        <w:rPr>
          <w:rFonts w:ascii="Arial" w:hAnsi="Arial"/>
          <w:rtl/>
        </w:rPr>
      </w:pPr>
      <w:hyperlink r:id="rId48" w:history="1">
        <w:r w:rsidRPr="001518AF">
          <w:rPr>
            <w:rFonts w:ascii="Arial" w:hAnsi="Arial"/>
            <w:color w:val="0000FF"/>
            <w:u w:val="single"/>
            <w:rtl/>
          </w:rPr>
          <w:t>ע"פ 1509/20</w:t>
        </w:r>
      </w:hyperlink>
      <w:r w:rsidR="000D0AE3" w:rsidRPr="005D44F9">
        <w:rPr>
          <w:rFonts w:ascii="Arial" w:hAnsi="Arial" w:hint="cs"/>
          <w:rtl/>
        </w:rPr>
        <w:t xml:space="preserve"> </w:t>
      </w:r>
      <w:r w:rsidR="000D0AE3" w:rsidRPr="005D44F9">
        <w:rPr>
          <w:rFonts w:ascii="Arial" w:hAnsi="Arial" w:hint="cs"/>
          <w:b/>
          <w:bCs/>
          <w:rtl/>
        </w:rPr>
        <w:t xml:space="preserve">מדינת ישראל נ' ראפת נבארי </w:t>
      </w:r>
      <w:r w:rsidR="000D0AE3" w:rsidRPr="005D44F9">
        <w:rPr>
          <w:rFonts w:ascii="Arial" w:hAnsi="Arial" w:hint="cs"/>
          <w:rtl/>
        </w:rPr>
        <w:t xml:space="preserve">(2.7.20); נאשם שהורשע שנשא תת מקלע מסוג קרלו וירה שני כדורים באזור מגורים. לנאשם היו 4 הרשעות קודמות. הערכאה הדיונית גזרה עליו 27 חודשי מאסר בפועל ובערעור הוחמר העונש ל-36 חודשי מאסר בפועל. </w:t>
      </w:r>
    </w:p>
    <w:p w14:paraId="62816895" w14:textId="77777777" w:rsidR="000D0AE3" w:rsidRDefault="000D0AE3" w:rsidP="000D0AE3">
      <w:pPr>
        <w:spacing w:line="360" w:lineRule="auto"/>
        <w:jc w:val="both"/>
        <w:rPr>
          <w:rFonts w:ascii="Arial" w:hAnsi="Arial"/>
          <w:rtl/>
        </w:rPr>
      </w:pPr>
    </w:p>
    <w:p w14:paraId="1995F84B" w14:textId="77777777" w:rsidR="000D0AE3" w:rsidRPr="005D44F9" w:rsidRDefault="001518AF" w:rsidP="000D0AE3">
      <w:pPr>
        <w:pStyle w:val="a9"/>
        <w:numPr>
          <w:ilvl w:val="0"/>
          <w:numId w:val="1"/>
        </w:numPr>
        <w:spacing w:line="360" w:lineRule="auto"/>
        <w:jc w:val="both"/>
        <w:rPr>
          <w:rFonts w:ascii="Arial" w:hAnsi="Arial"/>
          <w:rtl/>
        </w:rPr>
      </w:pPr>
      <w:hyperlink r:id="rId49" w:history="1">
        <w:r w:rsidRPr="001518AF">
          <w:rPr>
            <w:rFonts w:ascii="Arial" w:hAnsi="Arial"/>
            <w:color w:val="0000FF"/>
            <w:u w:val="single"/>
            <w:rtl/>
          </w:rPr>
          <w:t>ע"פ 6277/20</w:t>
        </w:r>
      </w:hyperlink>
      <w:r w:rsidR="000D0AE3" w:rsidRPr="005D44F9">
        <w:rPr>
          <w:rFonts w:ascii="Arial" w:hAnsi="Arial" w:hint="cs"/>
          <w:rtl/>
        </w:rPr>
        <w:t xml:space="preserve"> </w:t>
      </w:r>
      <w:r w:rsidR="000D0AE3" w:rsidRPr="005D44F9">
        <w:rPr>
          <w:rFonts w:ascii="Arial" w:hAnsi="Arial" w:hint="cs"/>
          <w:b/>
          <w:bCs/>
          <w:rtl/>
        </w:rPr>
        <w:t>היילי נ' מדינת ישראל</w:t>
      </w:r>
      <w:r w:rsidR="000D0AE3" w:rsidRPr="005D44F9">
        <w:rPr>
          <w:rFonts w:ascii="Arial" w:hAnsi="Arial" w:hint="cs"/>
          <w:rtl/>
        </w:rPr>
        <w:t xml:space="preserve"> (24.3.21); נאשם שהורשע בעבירות של תקיפה הגורמת חבלה של ממש, נשיאת נשק, ירי מנשק חם באזור מגורים והטרדת עד. באותו מקרה הנאשם תקף אדם שהתלונן נגד אחיו והיכה אותו. לאחר מכן הנאשם רדף אחריו כשהוא נושא אקדח וירה ירייה אחת באוויר. הוא הורשע לאחר ניהול הוכחות ולחובתו עבר פלילי מכביד. נגזרו עליו 50 חודשי מאסר בפועל. הערעור נדחה.</w:t>
      </w:r>
    </w:p>
    <w:p w14:paraId="296318C2" w14:textId="77777777" w:rsidR="000D0AE3" w:rsidRDefault="000D0AE3" w:rsidP="000D0AE3">
      <w:pPr>
        <w:spacing w:line="360" w:lineRule="auto"/>
        <w:jc w:val="both"/>
        <w:rPr>
          <w:rFonts w:ascii="Arial" w:hAnsi="Arial"/>
          <w:rtl/>
        </w:rPr>
      </w:pPr>
    </w:p>
    <w:p w14:paraId="59B99734" w14:textId="77777777" w:rsidR="000D0AE3" w:rsidRPr="005D44F9" w:rsidRDefault="001518AF" w:rsidP="000D0AE3">
      <w:pPr>
        <w:pStyle w:val="a9"/>
        <w:numPr>
          <w:ilvl w:val="0"/>
          <w:numId w:val="1"/>
        </w:numPr>
        <w:spacing w:line="360" w:lineRule="auto"/>
        <w:jc w:val="both"/>
        <w:rPr>
          <w:rFonts w:ascii="Arial" w:hAnsi="Arial"/>
          <w:rtl/>
        </w:rPr>
      </w:pPr>
      <w:hyperlink r:id="rId50" w:history="1">
        <w:r w:rsidRPr="001518AF">
          <w:rPr>
            <w:rFonts w:ascii="Arial" w:hAnsi="Arial"/>
            <w:color w:val="0000FF"/>
            <w:u w:val="single"/>
            <w:rtl/>
          </w:rPr>
          <w:t>ע"פ 2477/14</w:t>
        </w:r>
      </w:hyperlink>
      <w:r w:rsidR="000D0AE3" w:rsidRPr="005D44F9">
        <w:rPr>
          <w:rFonts w:ascii="Arial" w:hAnsi="Arial" w:hint="cs"/>
          <w:rtl/>
        </w:rPr>
        <w:t xml:space="preserve"> + 32/14 </w:t>
      </w:r>
      <w:r w:rsidR="000D0AE3" w:rsidRPr="005D44F9">
        <w:rPr>
          <w:rFonts w:ascii="Arial" w:hAnsi="Arial" w:hint="cs"/>
          <w:b/>
          <w:bCs/>
          <w:rtl/>
        </w:rPr>
        <w:t xml:space="preserve">עמאש וזבידאת נ' מדינת ישראל </w:t>
      </w:r>
      <w:r w:rsidR="000D0AE3" w:rsidRPr="005D44F9">
        <w:rPr>
          <w:rFonts w:ascii="Arial" w:hAnsi="Arial" w:hint="cs"/>
          <w:rtl/>
        </w:rPr>
        <w:t xml:space="preserve"> (17.9.15); על רקע אירוע אלים בין עמאש למתלונן, הגיעו הנאשמים בסמוך לביתו של המתלונן כשהם נושאים אקדח טעון ומחסנית נוספת וירו 10 כדורים לעבר ביתו וכדור בשער ביתו כשבאותה עת שהו בבית המתלונן ובני משפחתו. עמאש הורשע לאחר ניהול הוכחות בעבירות נשק, איומים, מעשי פזיזות, רשלנות בנשק והיזק בזדון. הנאשם השני הורשע במסגרת הסדר טיעון, בעבירות נשק, מעשי פזיזות ורשלנות בנשק והיזק בזדון. הערכאה הדיונית קבעה לעמאש מתחם בין 3-6 שנות מאסרו לגבי הנאשם השני שהיה זה שירה מתחם של 3-7 שנות מאסר. בית המשפט המחוזי גזר על שניהם 48 חודשי מאסר בפועל וערעורם לבית המשפט העליון נדחה. </w:t>
      </w:r>
    </w:p>
    <w:p w14:paraId="3FEA7FBB" w14:textId="77777777" w:rsidR="000D0AE3" w:rsidRDefault="000D0AE3" w:rsidP="000D0AE3">
      <w:pPr>
        <w:spacing w:line="360" w:lineRule="auto"/>
        <w:jc w:val="both"/>
        <w:rPr>
          <w:rFonts w:ascii="Arial" w:hAnsi="Arial"/>
          <w:rtl/>
        </w:rPr>
      </w:pPr>
    </w:p>
    <w:p w14:paraId="2232FA9C" w14:textId="77777777" w:rsidR="000D0AE3" w:rsidRDefault="000D0AE3" w:rsidP="000D0AE3">
      <w:pPr>
        <w:spacing w:line="360" w:lineRule="auto"/>
        <w:ind w:firstLine="360"/>
        <w:jc w:val="both"/>
        <w:rPr>
          <w:rFonts w:ascii="Arial" w:hAnsi="Arial"/>
          <w:rtl/>
        </w:rPr>
      </w:pPr>
      <w:r>
        <w:rPr>
          <w:rFonts w:ascii="Arial" w:hAnsi="Arial" w:hint="cs"/>
          <w:rtl/>
        </w:rPr>
        <w:t>אוזכרו מקרים נוספים בהם הוחמרו העונשים בערכאת הערעור בגין עבירות נשק.</w:t>
      </w:r>
    </w:p>
    <w:p w14:paraId="18C4E5B3" w14:textId="77777777" w:rsidR="000D0AE3" w:rsidRDefault="000D0AE3" w:rsidP="000D0AE3">
      <w:pPr>
        <w:spacing w:line="360" w:lineRule="auto"/>
        <w:jc w:val="both"/>
        <w:rPr>
          <w:rFonts w:ascii="Arial" w:hAnsi="Arial"/>
          <w:rtl/>
        </w:rPr>
      </w:pPr>
    </w:p>
    <w:p w14:paraId="54ACD240" w14:textId="77777777" w:rsidR="000D0AE3" w:rsidRDefault="000D0AE3" w:rsidP="000D0AE3">
      <w:pPr>
        <w:spacing w:line="360" w:lineRule="auto"/>
        <w:ind w:left="720" w:hanging="720"/>
        <w:jc w:val="both"/>
        <w:rPr>
          <w:rFonts w:ascii="Arial" w:hAnsi="Arial"/>
          <w:rtl/>
        </w:rPr>
      </w:pPr>
      <w:r>
        <w:rPr>
          <w:rFonts w:ascii="Arial" w:hAnsi="Arial" w:hint="cs"/>
          <w:rtl/>
        </w:rPr>
        <w:t>14.</w:t>
      </w:r>
      <w:r>
        <w:rPr>
          <w:rFonts w:ascii="Arial" w:hAnsi="Arial" w:hint="cs"/>
          <w:rtl/>
        </w:rPr>
        <w:tab/>
        <w:t>באשר לקביעת מתחם העונש, התבקשו מתחמי הענישה הבאים:</w:t>
      </w:r>
    </w:p>
    <w:p w14:paraId="050AD35F" w14:textId="77777777" w:rsidR="000D0AE3" w:rsidRDefault="000D0AE3" w:rsidP="000D0AE3">
      <w:pPr>
        <w:spacing w:line="360" w:lineRule="auto"/>
        <w:ind w:firstLine="720"/>
        <w:jc w:val="both"/>
        <w:rPr>
          <w:rFonts w:ascii="Arial" w:hAnsi="Arial"/>
          <w:rtl/>
        </w:rPr>
      </w:pPr>
      <w:r>
        <w:rPr>
          <w:rFonts w:ascii="Arial" w:hAnsi="Arial" w:hint="cs"/>
          <w:rtl/>
        </w:rPr>
        <w:t xml:space="preserve">באישום הראשון - ביחס לנאשם 1 </w:t>
      </w:r>
      <w:r>
        <w:rPr>
          <w:rFonts w:ascii="Arial" w:hAnsi="Arial"/>
          <w:rtl/>
        </w:rPr>
        <w:t>–</w:t>
      </w:r>
      <w:r>
        <w:rPr>
          <w:rFonts w:ascii="Arial" w:hAnsi="Arial" w:hint="cs"/>
          <w:rtl/>
        </w:rPr>
        <w:t xml:space="preserve"> עונש בין 4.5 עד 7 שנות מאסר;</w:t>
      </w:r>
    </w:p>
    <w:p w14:paraId="0B5B8921" w14:textId="77777777" w:rsidR="000D0AE3" w:rsidRDefault="000D0AE3" w:rsidP="000D0AE3">
      <w:pPr>
        <w:spacing w:line="360" w:lineRule="auto"/>
        <w:ind w:firstLine="720"/>
        <w:jc w:val="both"/>
        <w:rPr>
          <w:rFonts w:ascii="Arial" w:hAnsi="Arial"/>
          <w:rtl/>
        </w:rPr>
      </w:pPr>
      <w:r>
        <w:rPr>
          <w:rFonts w:ascii="Arial" w:hAnsi="Arial" w:hint="cs"/>
          <w:rtl/>
        </w:rPr>
        <w:t xml:space="preserve">ביחס לנאשם 2 עונש מסר הנע בין 4 </w:t>
      </w:r>
      <w:r>
        <w:rPr>
          <w:rFonts w:ascii="Arial" w:hAnsi="Arial"/>
          <w:rtl/>
        </w:rPr>
        <w:t>–</w:t>
      </w:r>
      <w:r>
        <w:rPr>
          <w:rFonts w:ascii="Arial" w:hAnsi="Arial" w:hint="cs"/>
          <w:rtl/>
        </w:rPr>
        <w:t xml:space="preserve"> 6 שנות מאסר.</w:t>
      </w:r>
    </w:p>
    <w:p w14:paraId="51A87182" w14:textId="77777777" w:rsidR="000D0AE3" w:rsidRDefault="000D0AE3" w:rsidP="000D0AE3">
      <w:pPr>
        <w:spacing w:line="360" w:lineRule="auto"/>
        <w:jc w:val="both"/>
        <w:rPr>
          <w:rFonts w:ascii="Arial" w:hAnsi="Arial"/>
          <w:rtl/>
        </w:rPr>
      </w:pPr>
    </w:p>
    <w:p w14:paraId="46175CBF" w14:textId="77777777" w:rsidR="000D0AE3" w:rsidRDefault="000D0AE3" w:rsidP="000D0AE3">
      <w:pPr>
        <w:spacing w:line="360" w:lineRule="auto"/>
        <w:ind w:firstLine="720"/>
        <w:jc w:val="both"/>
        <w:rPr>
          <w:rFonts w:ascii="Arial" w:hAnsi="Arial"/>
          <w:rtl/>
        </w:rPr>
      </w:pPr>
      <w:r>
        <w:rPr>
          <w:rFonts w:ascii="Arial" w:hAnsi="Arial" w:hint="cs"/>
          <w:rtl/>
        </w:rPr>
        <w:t xml:space="preserve">באישום השני </w:t>
      </w:r>
      <w:r>
        <w:rPr>
          <w:rFonts w:ascii="Arial" w:hAnsi="Arial"/>
          <w:rtl/>
        </w:rPr>
        <w:t>–</w:t>
      </w:r>
      <w:r>
        <w:rPr>
          <w:rFonts w:ascii="Arial" w:hAnsi="Arial" w:hint="cs"/>
          <w:rtl/>
        </w:rPr>
        <w:t xml:space="preserve"> ביחס לנאשם 1 </w:t>
      </w:r>
      <w:r>
        <w:rPr>
          <w:rFonts w:ascii="Arial" w:hAnsi="Arial"/>
          <w:rtl/>
        </w:rPr>
        <w:t>–</w:t>
      </w:r>
      <w:r>
        <w:rPr>
          <w:rFonts w:ascii="Arial" w:hAnsi="Arial" w:hint="cs"/>
          <w:rtl/>
        </w:rPr>
        <w:t xml:space="preserve"> מתחם הנע בין 40-60 חודשי מאסר;</w:t>
      </w:r>
    </w:p>
    <w:p w14:paraId="094DE109" w14:textId="77777777" w:rsidR="000D0AE3" w:rsidRDefault="000D0AE3" w:rsidP="000D0AE3">
      <w:pPr>
        <w:spacing w:line="360" w:lineRule="auto"/>
        <w:jc w:val="both"/>
        <w:rPr>
          <w:rFonts w:ascii="Arial" w:hAnsi="Arial"/>
          <w:rtl/>
        </w:rPr>
      </w:pPr>
    </w:p>
    <w:p w14:paraId="0BBEBAFD" w14:textId="77777777" w:rsidR="000D0AE3" w:rsidRDefault="000D0AE3" w:rsidP="000D0AE3">
      <w:pPr>
        <w:spacing w:line="360" w:lineRule="auto"/>
        <w:ind w:firstLine="720"/>
        <w:jc w:val="both"/>
        <w:rPr>
          <w:rFonts w:ascii="Arial" w:hAnsi="Arial"/>
          <w:rtl/>
        </w:rPr>
      </w:pPr>
      <w:r>
        <w:rPr>
          <w:rFonts w:ascii="Arial" w:hAnsi="Arial" w:hint="cs"/>
          <w:rtl/>
        </w:rPr>
        <w:t>באישום השלישי ביחס לנאשמים 2 ו-3 - מתחם ענישה הנע בין 4 עד 8 שנות מאסר.</w:t>
      </w:r>
    </w:p>
    <w:p w14:paraId="2F182F8A" w14:textId="77777777" w:rsidR="000D0AE3" w:rsidRDefault="000D0AE3" w:rsidP="000D0AE3">
      <w:pPr>
        <w:spacing w:line="360" w:lineRule="auto"/>
        <w:jc w:val="both"/>
        <w:rPr>
          <w:rFonts w:ascii="Arial" w:hAnsi="Arial"/>
          <w:rtl/>
        </w:rPr>
      </w:pPr>
    </w:p>
    <w:p w14:paraId="4DE47A61" w14:textId="77777777" w:rsidR="000D0AE3" w:rsidRDefault="000D0AE3" w:rsidP="000D0AE3">
      <w:pPr>
        <w:spacing w:line="360" w:lineRule="auto"/>
        <w:ind w:left="720" w:hanging="720"/>
        <w:jc w:val="both"/>
        <w:rPr>
          <w:rFonts w:ascii="Arial" w:hAnsi="Arial"/>
          <w:rtl/>
        </w:rPr>
      </w:pPr>
      <w:r>
        <w:rPr>
          <w:rFonts w:ascii="Arial" w:hAnsi="Arial" w:hint="cs"/>
          <w:rtl/>
        </w:rPr>
        <w:t>15.</w:t>
      </w:r>
      <w:r>
        <w:rPr>
          <w:rFonts w:ascii="Arial" w:hAnsi="Arial" w:hint="cs"/>
          <w:rtl/>
        </w:rPr>
        <w:tab/>
        <w:t xml:space="preserve">באשר לנסיבות שאינן קשורות לביצוע העבירה, ביחס לנאשם 1 ביקשה המדינה לגזור את העונש ברף התחתון של כל אחד מהמתחמים לנוכח עברו הפלילי המוגבל. </w:t>
      </w:r>
    </w:p>
    <w:p w14:paraId="5137AC63" w14:textId="77777777" w:rsidR="000D0AE3" w:rsidRDefault="000D0AE3" w:rsidP="000D0AE3">
      <w:pPr>
        <w:spacing w:line="360" w:lineRule="auto"/>
        <w:ind w:firstLine="720"/>
        <w:jc w:val="both"/>
        <w:rPr>
          <w:rFonts w:ascii="Arial" w:hAnsi="Arial"/>
          <w:rtl/>
        </w:rPr>
      </w:pPr>
      <w:r>
        <w:rPr>
          <w:rFonts w:ascii="Arial" w:hAnsi="Arial" w:hint="cs"/>
          <w:rtl/>
        </w:rPr>
        <w:t>ביחס לנאשם 2 התבקש לגזור עונש ברף האמצעי תחתון של כל אחד מהמתחמים.</w:t>
      </w:r>
    </w:p>
    <w:p w14:paraId="5FDD20F0" w14:textId="77777777" w:rsidR="000D0AE3" w:rsidRDefault="000D0AE3" w:rsidP="000D0AE3">
      <w:pPr>
        <w:spacing w:line="360" w:lineRule="auto"/>
        <w:ind w:left="720"/>
        <w:jc w:val="both"/>
        <w:rPr>
          <w:rFonts w:ascii="Arial" w:hAnsi="Arial"/>
          <w:rtl/>
        </w:rPr>
      </w:pPr>
      <w:r>
        <w:rPr>
          <w:rFonts w:ascii="Arial" w:hAnsi="Arial" w:hint="cs"/>
          <w:rtl/>
        </w:rPr>
        <w:t>ביחס לנאשם 3 התבקש לגזור עונש ברף התחתון של המתחם המבוקש, בעיקר לנוכח העדר עבר פלילי והודאתו המוקדמת.</w:t>
      </w:r>
    </w:p>
    <w:p w14:paraId="41458243" w14:textId="77777777" w:rsidR="000D0AE3" w:rsidRDefault="000D0AE3" w:rsidP="000D0AE3">
      <w:pPr>
        <w:spacing w:line="360" w:lineRule="auto"/>
        <w:jc w:val="both"/>
        <w:rPr>
          <w:rFonts w:ascii="Arial" w:hAnsi="Arial"/>
          <w:rtl/>
        </w:rPr>
      </w:pPr>
    </w:p>
    <w:p w14:paraId="22A30D79" w14:textId="77777777" w:rsidR="000D0AE3" w:rsidRDefault="000D0AE3" w:rsidP="000D0AE3">
      <w:pPr>
        <w:spacing w:line="360" w:lineRule="auto"/>
        <w:ind w:left="720" w:hanging="720"/>
        <w:jc w:val="both"/>
        <w:rPr>
          <w:rFonts w:ascii="Arial" w:hAnsi="Arial"/>
          <w:rtl/>
        </w:rPr>
      </w:pPr>
      <w:r>
        <w:rPr>
          <w:rFonts w:ascii="Arial" w:hAnsi="Arial" w:hint="cs"/>
          <w:rtl/>
        </w:rPr>
        <w:t>16.</w:t>
      </w:r>
      <w:r>
        <w:rPr>
          <w:rFonts w:ascii="Arial" w:hAnsi="Arial"/>
          <w:rtl/>
        </w:rPr>
        <w:tab/>
      </w:r>
      <w:r>
        <w:rPr>
          <w:rFonts w:ascii="Arial" w:hAnsi="Arial" w:hint="cs"/>
          <w:rtl/>
        </w:rPr>
        <w:t>בעניינם של נאשים 1 ו-2 טענה המדינה לצבירה חלקית של העונשים במסגרת המתחמים.</w:t>
      </w:r>
    </w:p>
    <w:p w14:paraId="64489938" w14:textId="77777777" w:rsidR="000D0AE3" w:rsidRDefault="000D0AE3" w:rsidP="000D0AE3">
      <w:pPr>
        <w:spacing w:line="360" w:lineRule="auto"/>
        <w:jc w:val="both"/>
        <w:rPr>
          <w:rFonts w:ascii="Arial" w:hAnsi="Arial"/>
          <w:rtl/>
        </w:rPr>
      </w:pPr>
    </w:p>
    <w:p w14:paraId="502AF75F" w14:textId="77777777" w:rsidR="000D0AE3" w:rsidRDefault="000D0AE3" w:rsidP="000D0AE3">
      <w:pPr>
        <w:spacing w:line="360" w:lineRule="auto"/>
        <w:jc w:val="both"/>
        <w:rPr>
          <w:rFonts w:ascii="Arial" w:hAnsi="Arial"/>
          <w:rtl/>
        </w:rPr>
      </w:pPr>
      <w:r>
        <w:rPr>
          <w:rFonts w:ascii="Arial" w:hAnsi="Arial" w:hint="cs"/>
          <w:b/>
          <w:bCs/>
          <w:u w:val="single"/>
          <w:rtl/>
        </w:rPr>
        <w:t>טענות נאשם 1</w:t>
      </w:r>
    </w:p>
    <w:p w14:paraId="1B60E549" w14:textId="77777777" w:rsidR="000D0AE3" w:rsidRDefault="000D0AE3" w:rsidP="000D0AE3">
      <w:pPr>
        <w:spacing w:line="360" w:lineRule="auto"/>
        <w:jc w:val="both"/>
        <w:rPr>
          <w:rFonts w:ascii="Arial" w:hAnsi="Arial"/>
          <w:rtl/>
        </w:rPr>
      </w:pPr>
    </w:p>
    <w:p w14:paraId="6F48D8F7" w14:textId="77777777" w:rsidR="000D0AE3" w:rsidRDefault="000D0AE3" w:rsidP="000D0AE3">
      <w:pPr>
        <w:spacing w:line="360" w:lineRule="auto"/>
        <w:ind w:left="720" w:hanging="720"/>
        <w:jc w:val="both"/>
        <w:rPr>
          <w:rFonts w:ascii="Arial" w:hAnsi="Arial"/>
          <w:rtl/>
        </w:rPr>
      </w:pPr>
      <w:r>
        <w:rPr>
          <w:rFonts w:ascii="Arial" w:hAnsi="Arial" w:hint="cs"/>
          <w:rtl/>
        </w:rPr>
        <w:t>17.</w:t>
      </w:r>
      <w:r>
        <w:rPr>
          <w:rFonts w:ascii="Arial" w:hAnsi="Arial" w:hint="cs"/>
          <w:rtl/>
        </w:rPr>
        <w:tab/>
        <w:t>ביחס לתסקיר נטען שאין מדובר בתסקיר שלילי, נטען שקצינת המבחן לא הייתה דוברת ערבית ושהתרגום לא היה מוצלח. נטען עוד שהבדיקה הייתה שטחית.</w:t>
      </w:r>
    </w:p>
    <w:p w14:paraId="58B86574" w14:textId="77777777" w:rsidR="000D0AE3" w:rsidRDefault="000D0AE3" w:rsidP="000D0AE3">
      <w:pPr>
        <w:spacing w:line="360" w:lineRule="auto"/>
        <w:ind w:left="720" w:hanging="720"/>
        <w:jc w:val="both"/>
        <w:rPr>
          <w:rFonts w:ascii="Arial" w:hAnsi="Arial"/>
          <w:rtl/>
        </w:rPr>
      </w:pPr>
      <w:r>
        <w:rPr>
          <w:rFonts w:ascii="Arial" w:hAnsi="Arial" w:hint="cs"/>
          <w:rtl/>
        </w:rPr>
        <w:t>18.</w:t>
      </w:r>
      <w:r>
        <w:rPr>
          <w:rFonts w:ascii="Arial" w:hAnsi="Arial" w:hint="cs"/>
          <w:rtl/>
        </w:rPr>
        <w:tab/>
        <w:t>נטען שהנאשם קיבל אחריות מהותית על מעשיו ולא רק אחריות פורמלית בלבד כפי נטען בתסקיר, ושהביע חרטה. נטען עוד שלגבי הירי הוא נידב את המידע בעצמו.</w:t>
      </w:r>
    </w:p>
    <w:p w14:paraId="3518F85F" w14:textId="77777777" w:rsidR="000D0AE3" w:rsidRDefault="000D0AE3" w:rsidP="000D0AE3">
      <w:pPr>
        <w:spacing w:line="360" w:lineRule="auto"/>
        <w:jc w:val="both"/>
        <w:rPr>
          <w:rFonts w:ascii="Arial" w:hAnsi="Arial"/>
          <w:rtl/>
        </w:rPr>
      </w:pPr>
    </w:p>
    <w:p w14:paraId="19FD1733" w14:textId="77777777" w:rsidR="000D0AE3" w:rsidRDefault="000D0AE3" w:rsidP="000D0AE3">
      <w:pPr>
        <w:spacing w:line="360" w:lineRule="auto"/>
        <w:ind w:left="720" w:hanging="720"/>
        <w:jc w:val="both"/>
        <w:rPr>
          <w:rFonts w:ascii="Arial" w:hAnsi="Arial"/>
          <w:rtl/>
        </w:rPr>
      </w:pPr>
      <w:r>
        <w:rPr>
          <w:rFonts w:ascii="Arial" w:hAnsi="Arial" w:hint="cs"/>
          <w:rtl/>
        </w:rPr>
        <w:t>19.</w:t>
      </w:r>
      <w:r>
        <w:rPr>
          <w:rFonts w:ascii="Arial" w:hAnsi="Arial" w:hint="cs"/>
          <w:rtl/>
        </w:rPr>
        <w:tab/>
        <w:t>נטען שמדובר במקרה של בגיר-צעיר שיש להחיל עליו האמור ב</w:t>
      </w:r>
      <w:hyperlink r:id="rId51" w:history="1">
        <w:r w:rsidR="001518AF" w:rsidRPr="001518AF">
          <w:rPr>
            <w:rFonts w:ascii="Arial" w:hAnsi="Arial"/>
            <w:color w:val="0000FF"/>
            <w:u w:val="single"/>
            <w:rtl/>
          </w:rPr>
          <w:t>ע"פ 7781/12</w:t>
        </w:r>
      </w:hyperlink>
      <w:r>
        <w:rPr>
          <w:rFonts w:ascii="Arial" w:hAnsi="Arial" w:hint="cs"/>
          <w:rtl/>
        </w:rPr>
        <w:t xml:space="preserve"> וניתן בהפניה לוועדת דורנר שאין להענישו בחומרה. </w:t>
      </w:r>
    </w:p>
    <w:p w14:paraId="1D6FCC55" w14:textId="77777777" w:rsidR="000D0AE3" w:rsidRDefault="000D0AE3" w:rsidP="000D0AE3">
      <w:pPr>
        <w:spacing w:line="360" w:lineRule="auto"/>
        <w:jc w:val="both"/>
        <w:rPr>
          <w:rFonts w:ascii="Arial" w:hAnsi="Arial"/>
          <w:rtl/>
        </w:rPr>
      </w:pPr>
    </w:p>
    <w:p w14:paraId="64FE9352" w14:textId="77777777" w:rsidR="000D0AE3" w:rsidRDefault="000D0AE3" w:rsidP="000D0AE3">
      <w:pPr>
        <w:spacing w:line="360" w:lineRule="auto"/>
        <w:ind w:left="720" w:hanging="720"/>
        <w:jc w:val="both"/>
        <w:rPr>
          <w:rFonts w:ascii="Arial" w:hAnsi="Arial"/>
          <w:rtl/>
        </w:rPr>
      </w:pPr>
      <w:r>
        <w:rPr>
          <w:rFonts w:ascii="Arial" w:hAnsi="Arial" w:hint="cs"/>
          <w:rtl/>
        </w:rPr>
        <w:t>20.</w:t>
      </w:r>
      <w:r>
        <w:rPr>
          <w:rFonts w:ascii="Arial" w:hAnsi="Arial" w:hint="cs"/>
          <w:rtl/>
        </w:rPr>
        <w:tab/>
      </w:r>
      <w:r w:rsidRPr="00CC79CC">
        <w:rPr>
          <w:rFonts w:ascii="Arial" w:hAnsi="Arial" w:hint="cs"/>
          <w:rtl/>
        </w:rPr>
        <w:t xml:space="preserve">הסנגור ביקש בהמשך להגיש טיעונים בכתב. בהשלמת </w:t>
      </w:r>
      <w:r>
        <w:rPr>
          <w:rFonts w:ascii="Arial" w:hAnsi="Arial" w:hint="cs"/>
          <w:rtl/>
        </w:rPr>
        <w:t>טיעון שהוגשה לאחר הדיון הוסף כי המקרה אינו חמור במדרג מקרי עבירות הנשק וכי מדובר באירוע נקודתי שלא יוחס לו תכנון בנוגע לעבירת הנשיאה. נטען שלאור גילו הצעיר של הנאשם, הטלת מאסר בפועל עליו ישפיע על התפתחותו לרעה. הוספו טענות לקשר לשיקום בגירים-צעירים.</w:t>
      </w:r>
    </w:p>
    <w:p w14:paraId="1566A4B5" w14:textId="77777777" w:rsidR="000D0AE3" w:rsidRDefault="000D0AE3" w:rsidP="000D0AE3">
      <w:pPr>
        <w:spacing w:line="360" w:lineRule="auto"/>
        <w:jc w:val="both"/>
        <w:rPr>
          <w:rFonts w:ascii="Arial" w:hAnsi="Arial"/>
          <w:rtl/>
        </w:rPr>
      </w:pPr>
    </w:p>
    <w:p w14:paraId="1DC96728" w14:textId="77777777" w:rsidR="000D0AE3" w:rsidRDefault="000D0AE3" w:rsidP="000D0AE3">
      <w:pPr>
        <w:spacing w:line="360" w:lineRule="auto"/>
        <w:ind w:left="720" w:hanging="720"/>
        <w:jc w:val="both"/>
        <w:rPr>
          <w:rFonts w:ascii="Arial" w:hAnsi="Arial"/>
          <w:rtl/>
        </w:rPr>
      </w:pPr>
      <w:r>
        <w:rPr>
          <w:rFonts w:ascii="Arial" w:hAnsi="Arial" w:hint="cs"/>
          <w:rtl/>
        </w:rPr>
        <w:t>21.</w:t>
      </w:r>
      <w:r>
        <w:rPr>
          <w:rFonts w:ascii="Arial" w:hAnsi="Arial" w:hint="cs"/>
          <w:rtl/>
        </w:rPr>
        <w:tab/>
        <w:t xml:space="preserve">נטען שבמקרה דנן הנאשם הודה עוד בתחילת המשפט בכל אשר עשה ואף הודה בדברים שלא נשאל עליהם. הוסף שהנאשם בחר שלא להציג חלופת מעצר למרות שיכל לעשות כן. </w:t>
      </w:r>
    </w:p>
    <w:p w14:paraId="5287343C" w14:textId="77777777" w:rsidR="000D0AE3" w:rsidRDefault="000D0AE3" w:rsidP="000D0AE3">
      <w:pPr>
        <w:spacing w:line="360" w:lineRule="auto"/>
        <w:jc w:val="both"/>
        <w:rPr>
          <w:rFonts w:ascii="Arial" w:hAnsi="Arial"/>
          <w:rtl/>
        </w:rPr>
      </w:pPr>
    </w:p>
    <w:p w14:paraId="27EBBF4F" w14:textId="77777777" w:rsidR="000D0AE3" w:rsidRDefault="000D0AE3" w:rsidP="000D0AE3">
      <w:pPr>
        <w:spacing w:line="360" w:lineRule="auto"/>
        <w:jc w:val="both"/>
        <w:rPr>
          <w:rFonts w:ascii="Arial" w:hAnsi="Arial"/>
          <w:rtl/>
        </w:rPr>
      </w:pPr>
      <w:r>
        <w:rPr>
          <w:rFonts w:ascii="Arial" w:hAnsi="Arial" w:hint="cs"/>
          <w:rtl/>
        </w:rPr>
        <w:t>22.</w:t>
      </w:r>
      <w:r>
        <w:rPr>
          <w:rFonts w:ascii="Arial" w:hAnsi="Arial" w:hint="cs"/>
          <w:rtl/>
        </w:rPr>
        <w:tab/>
        <w:t>הסנגור אזכר את המקרים הבאים:</w:t>
      </w:r>
    </w:p>
    <w:p w14:paraId="1A17078D" w14:textId="77777777" w:rsidR="000D0AE3" w:rsidRDefault="000D0AE3" w:rsidP="000D0AE3">
      <w:pPr>
        <w:spacing w:line="360" w:lineRule="auto"/>
        <w:jc w:val="both"/>
        <w:rPr>
          <w:rFonts w:ascii="Arial" w:hAnsi="Arial"/>
          <w:rtl/>
        </w:rPr>
      </w:pPr>
    </w:p>
    <w:p w14:paraId="00897B80" w14:textId="77777777" w:rsidR="000D0AE3" w:rsidRPr="00BA5C9D" w:rsidRDefault="001518AF" w:rsidP="000D0AE3">
      <w:pPr>
        <w:pStyle w:val="a9"/>
        <w:numPr>
          <w:ilvl w:val="0"/>
          <w:numId w:val="1"/>
        </w:numPr>
        <w:spacing w:line="360" w:lineRule="auto"/>
        <w:jc w:val="both"/>
        <w:rPr>
          <w:rFonts w:ascii="Arial" w:hAnsi="Arial"/>
          <w:rtl/>
        </w:rPr>
      </w:pPr>
      <w:hyperlink r:id="rId52" w:history="1">
        <w:r w:rsidRPr="001518AF">
          <w:rPr>
            <w:rFonts w:ascii="Arial" w:hAnsi="Arial"/>
            <w:color w:val="0000FF"/>
            <w:u w:val="single"/>
            <w:rtl/>
          </w:rPr>
          <w:t>ת"פ 41276-06-17</w:t>
        </w:r>
      </w:hyperlink>
      <w:r w:rsidR="000D0AE3" w:rsidRPr="00BA5C9D">
        <w:rPr>
          <w:rFonts w:ascii="Arial" w:hAnsi="Arial" w:hint="cs"/>
          <w:rtl/>
        </w:rPr>
        <w:t xml:space="preserve"> </w:t>
      </w:r>
      <w:r w:rsidR="000D0AE3" w:rsidRPr="00BA5C9D">
        <w:rPr>
          <w:rFonts w:ascii="Arial" w:hAnsi="Arial" w:hint="cs"/>
          <w:b/>
          <w:bCs/>
          <w:rtl/>
        </w:rPr>
        <w:t>מדינת ישראל נ' ג'בארין</w:t>
      </w:r>
      <w:r w:rsidR="000D0AE3" w:rsidRPr="00BA5C9D">
        <w:rPr>
          <w:rFonts w:ascii="Arial" w:hAnsi="Arial" w:hint="cs"/>
          <w:rtl/>
        </w:rPr>
        <w:t xml:space="preserve"> (17.7.18); שם ביצעו נאשמים ירי באמצעות תת מקלע מאולתר בתוך מטע במרחק של כ-340 מ' מהכפר. נקבע מתחם שבין 10-30 חודשי מאסר והושת על כל אחד מהנאשמים 6 חודשי מאסר לריצוי בעבודות שירות ותקופת מבחן. </w:t>
      </w:r>
    </w:p>
    <w:p w14:paraId="355397B8" w14:textId="77777777" w:rsidR="000D0AE3" w:rsidRDefault="000D0AE3" w:rsidP="000D0AE3">
      <w:pPr>
        <w:spacing w:line="360" w:lineRule="auto"/>
        <w:jc w:val="both"/>
        <w:rPr>
          <w:rFonts w:ascii="Arial" w:hAnsi="Arial"/>
          <w:rtl/>
        </w:rPr>
      </w:pPr>
    </w:p>
    <w:p w14:paraId="62F04CDA" w14:textId="77777777" w:rsidR="000D0AE3" w:rsidRPr="00BA5C9D" w:rsidRDefault="001518AF" w:rsidP="000D0AE3">
      <w:pPr>
        <w:pStyle w:val="a9"/>
        <w:numPr>
          <w:ilvl w:val="0"/>
          <w:numId w:val="1"/>
        </w:numPr>
        <w:spacing w:line="360" w:lineRule="auto"/>
        <w:jc w:val="both"/>
        <w:rPr>
          <w:rFonts w:ascii="Arial" w:hAnsi="Arial"/>
          <w:rtl/>
        </w:rPr>
      </w:pPr>
      <w:hyperlink r:id="rId53" w:history="1">
        <w:r w:rsidRPr="001518AF">
          <w:rPr>
            <w:rFonts w:ascii="Arial" w:hAnsi="Arial"/>
            <w:color w:val="0000FF"/>
            <w:u w:val="single"/>
            <w:rtl/>
          </w:rPr>
          <w:t>ת"פ 13785-04-15</w:t>
        </w:r>
      </w:hyperlink>
      <w:r w:rsidR="000D0AE3" w:rsidRPr="00BA5C9D">
        <w:rPr>
          <w:rFonts w:ascii="Arial" w:hAnsi="Arial" w:hint="cs"/>
          <w:rtl/>
        </w:rPr>
        <w:t xml:space="preserve"> </w:t>
      </w:r>
      <w:r w:rsidR="000D0AE3" w:rsidRPr="00BA5C9D">
        <w:rPr>
          <w:rFonts w:ascii="Arial" w:hAnsi="Arial" w:hint="cs"/>
          <w:b/>
          <w:bCs/>
          <w:rtl/>
        </w:rPr>
        <w:t xml:space="preserve">מדינת ישראל נ' חסמה </w:t>
      </w:r>
      <w:r w:rsidR="000D0AE3" w:rsidRPr="00BA5C9D">
        <w:rPr>
          <w:rFonts w:ascii="Arial" w:hAnsi="Arial" w:hint="cs"/>
          <w:rtl/>
        </w:rPr>
        <w:t xml:space="preserve">(06.04.16); שם הושתו על נאשם עשרה חודשי מאסר בפועל בגין נשיאה והובלה של נשק וירי באזור מגורים. </w:t>
      </w:r>
    </w:p>
    <w:p w14:paraId="37C138D3" w14:textId="77777777" w:rsidR="000D0AE3" w:rsidRDefault="000D0AE3" w:rsidP="000D0AE3">
      <w:pPr>
        <w:spacing w:line="360" w:lineRule="auto"/>
        <w:jc w:val="both"/>
        <w:rPr>
          <w:rFonts w:ascii="Arial" w:hAnsi="Arial"/>
          <w:rtl/>
        </w:rPr>
      </w:pPr>
    </w:p>
    <w:p w14:paraId="0AADCEEC" w14:textId="77777777" w:rsidR="000D0AE3" w:rsidRPr="00BA5C9D" w:rsidRDefault="001518AF" w:rsidP="000D0AE3">
      <w:pPr>
        <w:pStyle w:val="a9"/>
        <w:numPr>
          <w:ilvl w:val="0"/>
          <w:numId w:val="1"/>
        </w:numPr>
        <w:spacing w:line="360" w:lineRule="auto"/>
        <w:jc w:val="both"/>
        <w:rPr>
          <w:rFonts w:ascii="Arial" w:hAnsi="Arial"/>
          <w:rtl/>
        </w:rPr>
      </w:pPr>
      <w:hyperlink r:id="rId54" w:history="1">
        <w:r w:rsidRPr="001518AF">
          <w:rPr>
            <w:rFonts w:ascii="Arial" w:hAnsi="Arial"/>
            <w:color w:val="0000FF"/>
            <w:u w:val="single"/>
            <w:rtl/>
          </w:rPr>
          <w:t>ת"פ 17809-03-14</w:t>
        </w:r>
      </w:hyperlink>
      <w:r w:rsidR="000D0AE3" w:rsidRPr="00BA5C9D">
        <w:rPr>
          <w:rFonts w:ascii="Arial" w:hAnsi="Arial" w:hint="cs"/>
          <w:rtl/>
        </w:rPr>
        <w:t xml:space="preserve"> </w:t>
      </w:r>
      <w:r w:rsidR="000D0AE3" w:rsidRPr="00BA5C9D">
        <w:rPr>
          <w:rFonts w:ascii="Arial" w:hAnsi="Arial" w:hint="cs"/>
          <w:b/>
          <w:bCs/>
          <w:rtl/>
        </w:rPr>
        <w:t xml:space="preserve">מדינת ישראל נ' מוסטפא </w:t>
      </w:r>
      <w:r w:rsidR="000D0AE3" w:rsidRPr="00BA5C9D">
        <w:rPr>
          <w:rFonts w:ascii="Arial" w:hAnsi="Arial" w:hint="cs"/>
          <w:rtl/>
        </w:rPr>
        <w:t xml:space="preserve">(26.06.14); הורשע הנאשם בעבירות של נשיאה והובלת נשק וכן ירי באזור מגורים ושיבוש מהלכי משפט. נגזרו עליו עשרה חודשי מאסר בפועל. </w:t>
      </w:r>
    </w:p>
    <w:p w14:paraId="48E7E629" w14:textId="77777777" w:rsidR="000D0AE3" w:rsidRDefault="000D0AE3" w:rsidP="000D0AE3">
      <w:pPr>
        <w:spacing w:line="360" w:lineRule="auto"/>
        <w:jc w:val="both"/>
        <w:rPr>
          <w:rFonts w:ascii="Arial" w:hAnsi="Arial"/>
          <w:rtl/>
        </w:rPr>
      </w:pPr>
    </w:p>
    <w:p w14:paraId="0375961B" w14:textId="77777777" w:rsidR="000D0AE3" w:rsidRPr="00BA5C9D" w:rsidRDefault="001518AF" w:rsidP="000D0AE3">
      <w:pPr>
        <w:pStyle w:val="a9"/>
        <w:numPr>
          <w:ilvl w:val="0"/>
          <w:numId w:val="1"/>
        </w:numPr>
        <w:spacing w:line="360" w:lineRule="auto"/>
        <w:jc w:val="both"/>
        <w:rPr>
          <w:rFonts w:ascii="Arial" w:hAnsi="Arial"/>
          <w:rtl/>
        </w:rPr>
      </w:pPr>
      <w:hyperlink r:id="rId55" w:history="1">
        <w:r w:rsidRPr="001518AF">
          <w:rPr>
            <w:rFonts w:ascii="Arial" w:hAnsi="Arial"/>
            <w:color w:val="0000FF"/>
            <w:u w:val="single"/>
            <w:rtl/>
          </w:rPr>
          <w:t>ת"פ 3068-11-15</w:t>
        </w:r>
      </w:hyperlink>
      <w:r w:rsidR="000D0AE3" w:rsidRPr="00BA5C9D">
        <w:rPr>
          <w:rFonts w:ascii="Arial" w:hAnsi="Arial" w:hint="cs"/>
          <w:rtl/>
        </w:rPr>
        <w:t xml:space="preserve"> </w:t>
      </w:r>
      <w:r w:rsidR="000D0AE3" w:rsidRPr="00BA5C9D">
        <w:rPr>
          <w:rFonts w:ascii="Arial" w:hAnsi="Arial" w:hint="cs"/>
          <w:b/>
          <w:bCs/>
          <w:rtl/>
        </w:rPr>
        <w:t xml:space="preserve">מדינת ישראל נ' ג'ורבאן </w:t>
      </w:r>
      <w:r w:rsidR="000D0AE3" w:rsidRPr="00BA5C9D">
        <w:rPr>
          <w:rFonts w:ascii="Arial" w:hAnsi="Arial" w:hint="cs"/>
          <w:rtl/>
        </w:rPr>
        <w:t>(30.06.16); שם נגזר על נאשם עונש של עשרה חודשי מאסר בפועל בגין עבירות של הובלה ונשיאת נשק וירי באזור מגורים וכן נזק בזדון.</w:t>
      </w:r>
    </w:p>
    <w:p w14:paraId="510C29CD" w14:textId="77777777" w:rsidR="000D0AE3" w:rsidRDefault="000D0AE3" w:rsidP="000D0AE3">
      <w:pPr>
        <w:spacing w:line="360" w:lineRule="auto"/>
        <w:jc w:val="both"/>
        <w:rPr>
          <w:rFonts w:ascii="Arial" w:hAnsi="Arial"/>
          <w:rtl/>
        </w:rPr>
      </w:pPr>
    </w:p>
    <w:p w14:paraId="5AAC8CD1" w14:textId="77777777" w:rsidR="000D0AE3" w:rsidRPr="00BA5C9D" w:rsidRDefault="001518AF" w:rsidP="000D0AE3">
      <w:pPr>
        <w:pStyle w:val="a9"/>
        <w:numPr>
          <w:ilvl w:val="0"/>
          <w:numId w:val="1"/>
        </w:numPr>
        <w:spacing w:line="360" w:lineRule="auto"/>
        <w:jc w:val="both"/>
        <w:rPr>
          <w:rFonts w:ascii="Arial" w:hAnsi="Arial"/>
          <w:rtl/>
        </w:rPr>
      </w:pPr>
      <w:hyperlink r:id="rId56" w:history="1">
        <w:r w:rsidRPr="001518AF">
          <w:rPr>
            <w:rFonts w:ascii="Arial" w:hAnsi="Arial"/>
            <w:color w:val="0000FF"/>
            <w:u w:val="single"/>
            <w:rtl/>
          </w:rPr>
          <w:t>ת"פ 29529-07-20</w:t>
        </w:r>
      </w:hyperlink>
      <w:r w:rsidR="000D0AE3" w:rsidRPr="00BA5C9D">
        <w:rPr>
          <w:rFonts w:ascii="Arial" w:hAnsi="Arial" w:hint="cs"/>
          <w:rtl/>
        </w:rPr>
        <w:t xml:space="preserve"> </w:t>
      </w:r>
      <w:r w:rsidR="000D0AE3" w:rsidRPr="00BA5C9D">
        <w:rPr>
          <w:rFonts w:ascii="Arial" w:hAnsi="Arial" w:hint="cs"/>
          <w:b/>
          <w:bCs/>
          <w:rtl/>
        </w:rPr>
        <w:t xml:space="preserve">מדינת ישראל י' בכריה </w:t>
      </w:r>
      <w:r w:rsidR="000D0AE3" w:rsidRPr="00BA5C9D">
        <w:rPr>
          <w:rFonts w:ascii="Arial" w:hAnsi="Arial" w:hint="cs"/>
          <w:rtl/>
        </w:rPr>
        <w:t xml:space="preserve">(04.02.21); שם הורשע הנאשם בעבירה של נשיאה והובלת נשק. נגזרו עליו תשעה חודשי מאסר לריצוי בעבודות שירות. אוזכרו פסקי דין נוספים בגין עבירות נשק שהעונשים בהם נעו בין חמישה חודשי מאסר לריצוי בעבודות שירות לבין שניים-עשר חודשי מאסר בפועל. </w:t>
      </w:r>
    </w:p>
    <w:p w14:paraId="28A3049F" w14:textId="77777777" w:rsidR="000D0AE3" w:rsidRDefault="000D0AE3" w:rsidP="000D0AE3">
      <w:pPr>
        <w:spacing w:line="360" w:lineRule="auto"/>
        <w:jc w:val="both"/>
        <w:rPr>
          <w:rFonts w:ascii="Arial" w:hAnsi="Arial"/>
          <w:rtl/>
        </w:rPr>
      </w:pPr>
      <w:r>
        <w:rPr>
          <w:rFonts w:ascii="Arial" w:hAnsi="Arial" w:hint="cs"/>
          <w:b/>
          <w:bCs/>
          <w:u w:val="single"/>
          <w:rtl/>
        </w:rPr>
        <w:t>טיעוני נאשם 2</w:t>
      </w:r>
    </w:p>
    <w:p w14:paraId="10F5014F" w14:textId="77777777" w:rsidR="000D0AE3" w:rsidRDefault="000D0AE3" w:rsidP="000D0AE3">
      <w:pPr>
        <w:spacing w:line="360" w:lineRule="auto"/>
        <w:jc w:val="both"/>
        <w:rPr>
          <w:rFonts w:ascii="Arial" w:hAnsi="Arial"/>
          <w:rtl/>
        </w:rPr>
      </w:pPr>
    </w:p>
    <w:p w14:paraId="223FFA5C" w14:textId="77777777" w:rsidR="000D0AE3" w:rsidRDefault="000D0AE3" w:rsidP="000D0AE3">
      <w:pPr>
        <w:spacing w:line="360" w:lineRule="auto"/>
        <w:ind w:left="720" w:hanging="720"/>
        <w:jc w:val="both"/>
        <w:rPr>
          <w:rFonts w:ascii="Arial" w:hAnsi="Arial"/>
          <w:rtl/>
        </w:rPr>
      </w:pPr>
      <w:r>
        <w:rPr>
          <w:rFonts w:ascii="Arial" w:hAnsi="Arial" w:hint="cs"/>
          <w:rtl/>
        </w:rPr>
        <w:t>23.</w:t>
      </w:r>
      <w:r>
        <w:rPr>
          <w:rFonts w:ascii="Arial" w:hAnsi="Arial" w:hint="cs"/>
          <w:rtl/>
        </w:rPr>
        <w:tab/>
        <w:t>גם ב"כ הנאשם 2 העלה טענות בקשר לתסקיר שנערך בעניינו, כאשר נטען שהתסקיר הינו תוצאה של מפגש של רבע שעה בזום בו נשאל מספר שאלות בלבד. צוין עוד שסבתו נפטרה בשעות הבוקר של אותו יום והתסקיר לא משקף אפילו עובדה זו. כמו כן, הלין הסנגור על כך שנכתב שאביו נהג להעניש אותו בילדותו, ונמצא שאינו מבוסס לפי הטענה (האב העיד והכחיש את הטענות).</w:t>
      </w:r>
    </w:p>
    <w:p w14:paraId="0B7459EA" w14:textId="77777777" w:rsidR="000D0AE3" w:rsidRDefault="000D0AE3" w:rsidP="000D0AE3">
      <w:pPr>
        <w:spacing w:line="360" w:lineRule="auto"/>
        <w:jc w:val="both"/>
        <w:rPr>
          <w:rFonts w:ascii="Arial" w:hAnsi="Arial"/>
          <w:rtl/>
        </w:rPr>
      </w:pPr>
    </w:p>
    <w:p w14:paraId="09AA2C38" w14:textId="77777777" w:rsidR="000D0AE3" w:rsidRDefault="000D0AE3" w:rsidP="000D0AE3">
      <w:pPr>
        <w:spacing w:line="360" w:lineRule="auto"/>
        <w:ind w:left="720" w:hanging="720"/>
        <w:jc w:val="both"/>
        <w:rPr>
          <w:rFonts w:ascii="Arial" w:hAnsi="Arial"/>
          <w:rtl/>
        </w:rPr>
      </w:pPr>
      <w:r>
        <w:rPr>
          <w:rFonts w:ascii="Arial" w:hAnsi="Arial" w:hint="cs"/>
          <w:rtl/>
        </w:rPr>
        <w:t>24.</w:t>
      </w:r>
      <w:r>
        <w:rPr>
          <w:rFonts w:ascii="Arial" w:hAnsi="Arial" w:hint="cs"/>
          <w:rtl/>
        </w:rPr>
        <w:tab/>
        <w:t xml:space="preserve">בהשלמת טיעונים הזכיר הסנגור שהנאשם עצור מיום 06.11.21 ונטען כי מדובר במעידה בודדת של אדם נורמטיבי. נטען שלנאשם משפחה תומכת. נטען שבמקרה זה יש לחרוג לקולא ממתחם הענישה לצורך שיקום. תוארו קשיי המשפחה והתמיכה שהם מעניקים לנאשם 2. נטען שלא היה תכנון מוקדם מבחינת הנאשם 2 ושמדובר באירוע שהתרחש באופן פתאומי. עוד נטען, שלא הוא ירה על בית המפלגה. </w:t>
      </w:r>
    </w:p>
    <w:p w14:paraId="606F1B63" w14:textId="77777777" w:rsidR="000D0AE3" w:rsidRDefault="000D0AE3" w:rsidP="000D0AE3">
      <w:pPr>
        <w:spacing w:line="360" w:lineRule="auto"/>
        <w:ind w:left="720" w:hanging="720"/>
        <w:jc w:val="both"/>
        <w:rPr>
          <w:rFonts w:ascii="Arial" w:hAnsi="Arial"/>
          <w:rtl/>
        </w:rPr>
      </w:pPr>
    </w:p>
    <w:p w14:paraId="217A83E7" w14:textId="77777777" w:rsidR="000D0AE3" w:rsidRDefault="000D0AE3" w:rsidP="000D0AE3">
      <w:pPr>
        <w:spacing w:line="360" w:lineRule="auto"/>
        <w:ind w:left="720" w:hanging="720"/>
        <w:jc w:val="both"/>
        <w:rPr>
          <w:rFonts w:ascii="Arial" w:hAnsi="Arial"/>
          <w:rtl/>
        </w:rPr>
      </w:pPr>
      <w:r>
        <w:rPr>
          <w:rFonts w:ascii="Arial" w:hAnsi="Arial" w:hint="cs"/>
          <w:rtl/>
        </w:rPr>
        <w:t>25.</w:t>
      </w:r>
      <w:r>
        <w:rPr>
          <w:rFonts w:ascii="Arial" w:hAnsi="Arial" w:hint="cs"/>
          <w:rtl/>
        </w:rPr>
        <w:tab/>
        <w:t xml:space="preserve">אוזכרה פסיקה כדלקמן: </w:t>
      </w:r>
    </w:p>
    <w:p w14:paraId="7422EDB6" w14:textId="77777777" w:rsidR="000D0AE3" w:rsidRDefault="000D0AE3" w:rsidP="000D0AE3">
      <w:pPr>
        <w:spacing w:line="360" w:lineRule="auto"/>
        <w:jc w:val="both"/>
        <w:rPr>
          <w:rFonts w:ascii="Arial" w:hAnsi="Arial"/>
          <w:rtl/>
        </w:rPr>
      </w:pPr>
    </w:p>
    <w:p w14:paraId="7B06532E" w14:textId="77777777" w:rsidR="000D0AE3" w:rsidRPr="00BA5C9D" w:rsidRDefault="001518AF" w:rsidP="000D0AE3">
      <w:pPr>
        <w:pStyle w:val="a9"/>
        <w:numPr>
          <w:ilvl w:val="0"/>
          <w:numId w:val="1"/>
        </w:numPr>
        <w:spacing w:line="360" w:lineRule="auto"/>
        <w:jc w:val="both"/>
        <w:rPr>
          <w:rFonts w:ascii="Arial" w:hAnsi="Arial"/>
          <w:rtl/>
        </w:rPr>
      </w:pPr>
      <w:hyperlink r:id="rId57" w:history="1">
        <w:r w:rsidRPr="001518AF">
          <w:rPr>
            <w:rFonts w:ascii="Arial" w:hAnsi="Arial"/>
            <w:color w:val="0000FF"/>
            <w:u w:val="single"/>
            <w:rtl/>
          </w:rPr>
          <w:t>ת"פ 7108-02-16</w:t>
        </w:r>
      </w:hyperlink>
      <w:r w:rsidR="000D0AE3" w:rsidRPr="00BA5C9D">
        <w:rPr>
          <w:rFonts w:ascii="Arial" w:hAnsi="Arial" w:hint="cs"/>
          <w:rtl/>
        </w:rPr>
        <w:t xml:space="preserve"> </w:t>
      </w:r>
      <w:r w:rsidR="000D0AE3" w:rsidRPr="00BA5C9D">
        <w:rPr>
          <w:rFonts w:ascii="Arial" w:hAnsi="Arial" w:hint="cs"/>
          <w:b/>
          <w:bCs/>
          <w:rtl/>
        </w:rPr>
        <w:t xml:space="preserve">מדינת ישראל נ' טאהא </w:t>
      </w:r>
      <w:r w:rsidR="000D0AE3" w:rsidRPr="00BA5C9D">
        <w:rPr>
          <w:rFonts w:ascii="Arial" w:hAnsi="Arial" w:hint="cs"/>
          <w:rtl/>
        </w:rPr>
        <w:t xml:space="preserve">(13.10.16); שם היה מדובר בעסקאות נשק וקשירת קשר לביצוע פשע, נשיאה הובלה והחזקת נשק. נגזרו 24 חודשי מאסר. </w:t>
      </w:r>
    </w:p>
    <w:p w14:paraId="3CB1F37D" w14:textId="77777777" w:rsidR="000D0AE3" w:rsidRDefault="000D0AE3" w:rsidP="000D0AE3">
      <w:pPr>
        <w:spacing w:line="360" w:lineRule="auto"/>
        <w:jc w:val="both"/>
        <w:rPr>
          <w:rFonts w:ascii="Arial" w:hAnsi="Arial"/>
          <w:rtl/>
        </w:rPr>
      </w:pPr>
    </w:p>
    <w:p w14:paraId="11D6CBEB" w14:textId="77777777" w:rsidR="000D0AE3" w:rsidRPr="00BA5C9D" w:rsidRDefault="001518AF" w:rsidP="000D0AE3">
      <w:pPr>
        <w:pStyle w:val="a9"/>
        <w:numPr>
          <w:ilvl w:val="0"/>
          <w:numId w:val="1"/>
        </w:numPr>
        <w:spacing w:line="360" w:lineRule="auto"/>
        <w:jc w:val="both"/>
        <w:rPr>
          <w:rFonts w:ascii="Arial" w:hAnsi="Arial"/>
          <w:rtl/>
        </w:rPr>
      </w:pPr>
      <w:hyperlink r:id="rId58" w:history="1">
        <w:r w:rsidRPr="001518AF">
          <w:rPr>
            <w:rFonts w:ascii="Arial" w:hAnsi="Arial"/>
            <w:color w:val="0000FF"/>
            <w:u w:val="single"/>
            <w:rtl/>
          </w:rPr>
          <w:t>ת"פ 17860-01-19</w:t>
        </w:r>
      </w:hyperlink>
      <w:r w:rsidR="000D0AE3" w:rsidRPr="00BA5C9D">
        <w:rPr>
          <w:rFonts w:ascii="Arial" w:hAnsi="Arial" w:hint="cs"/>
          <w:rtl/>
        </w:rPr>
        <w:t xml:space="preserve"> </w:t>
      </w:r>
      <w:r w:rsidR="000D0AE3" w:rsidRPr="00BA5C9D">
        <w:rPr>
          <w:rFonts w:ascii="Arial" w:hAnsi="Arial" w:hint="cs"/>
          <w:b/>
          <w:bCs/>
          <w:rtl/>
        </w:rPr>
        <w:t xml:space="preserve">מדינת ישראל נ' צביחאת </w:t>
      </w:r>
      <w:r w:rsidR="000D0AE3" w:rsidRPr="00BA5C9D">
        <w:rPr>
          <w:rFonts w:ascii="Arial" w:hAnsi="Arial" w:hint="cs"/>
          <w:rtl/>
        </w:rPr>
        <w:t xml:space="preserve">(17.11.19); שם בגין עבירות נשק </w:t>
      </w:r>
      <w:r w:rsidR="000D0AE3" w:rsidRPr="00BA5C9D">
        <w:rPr>
          <w:rFonts w:ascii="Arial" w:hAnsi="Arial"/>
          <w:rtl/>
        </w:rPr>
        <w:t>–</w:t>
      </w:r>
      <w:r w:rsidR="000D0AE3" w:rsidRPr="00BA5C9D">
        <w:rPr>
          <w:rFonts w:ascii="Arial" w:hAnsi="Arial" w:hint="cs"/>
          <w:rtl/>
        </w:rPr>
        <w:t xml:space="preserve"> נשיאה והובלה. במסגרת הסדר חלקי נגזרו על הנאשם 15 חודשי מאסר בפועל.</w:t>
      </w:r>
    </w:p>
    <w:p w14:paraId="7859B11D" w14:textId="77777777" w:rsidR="000D0AE3" w:rsidRDefault="000D0AE3" w:rsidP="000D0AE3">
      <w:pPr>
        <w:spacing w:line="360" w:lineRule="auto"/>
        <w:jc w:val="both"/>
        <w:rPr>
          <w:rFonts w:ascii="Arial" w:hAnsi="Arial"/>
          <w:rtl/>
        </w:rPr>
      </w:pPr>
    </w:p>
    <w:p w14:paraId="23EC8EF6" w14:textId="77777777" w:rsidR="000D0AE3" w:rsidRPr="00BA5C9D" w:rsidRDefault="001518AF" w:rsidP="000D0AE3">
      <w:pPr>
        <w:pStyle w:val="a9"/>
        <w:numPr>
          <w:ilvl w:val="0"/>
          <w:numId w:val="1"/>
        </w:numPr>
        <w:spacing w:line="360" w:lineRule="auto"/>
        <w:jc w:val="both"/>
        <w:rPr>
          <w:rFonts w:ascii="Arial" w:hAnsi="Arial"/>
          <w:rtl/>
        </w:rPr>
      </w:pPr>
      <w:hyperlink r:id="rId59" w:history="1">
        <w:r w:rsidRPr="001518AF">
          <w:rPr>
            <w:rFonts w:ascii="Arial" w:hAnsi="Arial"/>
            <w:color w:val="0000FF"/>
            <w:u w:val="single"/>
            <w:rtl/>
          </w:rPr>
          <w:t>ע"פ 2098/16</w:t>
        </w:r>
      </w:hyperlink>
      <w:r w:rsidR="000D0AE3" w:rsidRPr="00BA5C9D">
        <w:rPr>
          <w:rFonts w:ascii="Arial" w:hAnsi="Arial" w:hint="cs"/>
          <w:rtl/>
        </w:rPr>
        <w:t xml:space="preserve"> </w:t>
      </w:r>
      <w:r w:rsidR="000D0AE3" w:rsidRPr="00BA5C9D">
        <w:rPr>
          <w:rFonts w:ascii="Arial" w:hAnsi="Arial" w:hint="cs"/>
          <w:b/>
          <w:bCs/>
          <w:rtl/>
        </w:rPr>
        <w:t xml:space="preserve">מדינת ישראל י' ג'ריס פרחאת </w:t>
      </w:r>
      <w:r w:rsidR="000D0AE3" w:rsidRPr="00BA5C9D">
        <w:rPr>
          <w:rFonts w:ascii="Arial" w:hAnsi="Arial" w:hint="cs"/>
          <w:rtl/>
        </w:rPr>
        <w:t>(15.01.19); בגין עבירות שכללו סחר בנשק, נגזרו 30 חודשי מאסר בפועל, כאשר בית המשפט העליון החמיר הענישה לעומת הערכאה הדיונית.</w:t>
      </w:r>
    </w:p>
    <w:p w14:paraId="45353CB9" w14:textId="77777777" w:rsidR="000D0AE3" w:rsidRDefault="000D0AE3" w:rsidP="000D0AE3">
      <w:pPr>
        <w:spacing w:line="360" w:lineRule="auto"/>
        <w:jc w:val="both"/>
        <w:rPr>
          <w:rFonts w:ascii="Arial" w:hAnsi="Arial"/>
          <w:rtl/>
        </w:rPr>
      </w:pPr>
    </w:p>
    <w:p w14:paraId="26675861" w14:textId="77777777" w:rsidR="000D0AE3" w:rsidRPr="00BA5C9D" w:rsidRDefault="001518AF" w:rsidP="000D0AE3">
      <w:pPr>
        <w:pStyle w:val="a9"/>
        <w:numPr>
          <w:ilvl w:val="0"/>
          <w:numId w:val="1"/>
        </w:numPr>
        <w:spacing w:line="360" w:lineRule="auto"/>
        <w:jc w:val="both"/>
        <w:rPr>
          <w:rFonts w:ascii="Arial" w:hAnsi="Arial"/>
          <w:rtl/>
        </w:rPr>
      </w:pPr>
      <w:hyperlink r:id="rId60" w:history="1">
        <w:r w:rsidRPr="001518AF">
          <w:rPr>
            <w:rFonts w:ascii="Arial" w:hAnsi="Arial"/>
            <w:color w:val="0000FF"/>
            <w:u w:val="single"/>
            <w:rtl/>
          </w:rPr>
          <w:t>ע"פ 953/15</w:t>
        </w:r>
      </w:hyperlink>
      <w:r w:rsidR="000D0AE3" w:rsidRPr="00BA5C9D">
        <w:rPr>
          <w:rFonts w:ascii="Arial" w:hAnsi="Arial" w:hint="cs"/>
          <w:rtl/>
        </w:rPr>
        <w:t xml:space="preserve"> </w:t>
      </w:r>
      <w:r w:rsidR="000D0AE3" w:rsidRPr="00BA5C9D">
        <w:rPr>
          <w:rFonts w:ascii="Arial" w:hAnsi="Arial" w:hint="cs"/>
          <w:b/>
          <w:bCs/>
          <w:rtl/>
        </w:rPr>
        <w:t xml:space="preserve">מדינת ישראל נ' פלוני </w:t>
      </w:r>
      <w:r w:rsidR="000D0AE3" w:rsidRPr="00BA5C9D">
        <w:rPr>
          <w:rFonts w:ascii="Arial" w:hAnsi="Arial" w:hint="cs"/>
          <w:rtl/>
        </w:rPr>
        <w:t xml:space="preserve">(24.03.15); הוחמר עונש של שבעה חודשי מאסר בגין עבירות נשק מרובות שבוצעו על ידי קטין והעונש הועמד על 15 חודשי מאסר. </w:t>
      </w:r>
    </w:p>
    <w:p w14:paraId="65B64C8A" w14:textId="77777777" w:rsidR="000D0AE3" w:rsidRDefault="000D0AE3" w:rsidP="000D0AE3">
      <w:pPr>
        <w:spacing w:line="360" w:lineRule="auto"/>
        <w:jc w:val="both"/>
        <w:rPr>
          <w:rFonts w:ascii="Arial" w:hAnsi="Arial"/>
          <w:rtl/>
        </w:rPr>
      </w:pPr>
    </w:p>
    <w:p w14:paraId="1DA33907" w14:textId="77777777" w:rsidR="000D0AE3" w:rsidRDefault="000D0AE3" w:rsidP="000D0AE3">
      <w:pPr>
        <w:spacing w:line="360" w:lineRule="auto"/>
        <w:ind w:firstLine="360"/>
        <w:jc w:val="both"/>
        <w:rPr>
          <w:rFonts w:ascii="Arial" w:hAnsi="Arial"/>
          <w:rtl/>
        </w:rPr>
      </w:pPr>
      <w:r>
        <w:rPr>
          <w:rFonts w:ascii="Arial" w:hAnsi="Arial" w:hint="cs"/>
          <w:rtl/>
        </w:rPr>
        <w:t xml:space="preserve">אוזכרה פסיקה נוספת עם עונשים שנעו בין עונש לריצוי בעבודות שירות לבין 30 חודשי מאסר. </w:t>
      </w:r>
    </w:p>
    <w:p w14:paraId="19CF94CA" w14:textId="77777777" w:rsidR="000D0AE3" w:rsidRPr="00D65AFE" w:rsidRDefault="000D0AE3" w:rsidP="000D0AE3">
      <w:pPr>
        <w:spacing w:line="360" w:lineRule="auto"/>
        <w:jc w:val="both"/>
        <w:rPr>
          <w:rFonts w:ascii="Arial" w:hAnsi="Arial"/>
          <w:rtl/>
        </w:rPr>
      </w:pPr>
    </w:p>
    <w:p w14:paraId="4B8BDBA7" w14:textId="77777777" w:rsidR="000D0AE3" w:rsidRDefault="000D0AE3" w:rsidP="000D0AE3">
      <w:pPr>
        <w:spacing w:line="360" w:lineRule="auto"/>
        <w:jc w:val="both"/>
        <w:rPr>
          <w:rFonts w:ascii="Arial" w:hAnsi="Arial"/>
          <w:rtl/>
        </w:rPr>
      </w:pPr>
      <w:r>
        <w:rPr>
          <w:rFonts w:ascii="Arial" w:hAnsi="Arial" w:hint="cs"/>
          <w:b/>
          <w:bCs/>
          <w:u w:val="single"/>
          <w:rtl/>
        </w:rPr>
        <w:t>טיעוני נאשם 3</w:t>
      </w:r>
    </w:p>
    <w:p w14:paraId="4F768071" w14:textId="77777777" w:rsidR="000D0AE3" w:rsidRDefault="000D0AE3" w:rsidP="000D0AE3">
      <w:pPr>
        <w:spacing w:line="360" w:lineRule="auto"/>
        <w:jc w:val="both"/>
        <w:rPr>
          <w:rFonts w:ascii="Arial" w:hAnsi="Arial"/>
          <w:rtl/>
        </w:rPr>
      </w:pPr>
    </w:p>
    <w:p w14:paraId="102A42AD" w14:textId="77777777" w:rsidR="000D0AE3" w:rsidRDefault="000D0AE3" w:rsidP="000D0AE3">
      <w:pPr>
        <w:spacing w:line="360" w:lineRule="auto"/>
        <w:ind w:left="720" w:hanging="720"/>
        <w:jc w:val="both"/>
        <w:rPr>
          <w:rFonts w:ascii="Arial" w:hAnsi="Arial"/>
          <w:rtl/>
        </w:rPr>
      </w:pPr>
      <w:r>
        <w:rPr>
          <w:rFonts w:ascii="Arial" w:hAnsi="Arial" w:hint="cs"/>
          <w:rtl/>
        </w:rPr>
        <w:t>26.</w:t>
      </w:r>
      <w:r>
        <w:rPr>
          <w:rFonts w:ascii="Arial" w:hAnsi="Arial" w:hint="cs"/>
          <w:rtl/>
        </w:rPr>
        <w:tab/>
        <w:t>ב"כ נאשם 3 טען שמדובר בנאשם שהוא נקי מהרשעות קודמות לרבות תיקי מב"ד וזו הפעם הראשונה שהסתבך עם רשויות החוק. נטען שהנאשם הודה בהזדמנות הראשונה, עוד בחקירותיו במשטרה. הוזכר שלא נשמעו עדים ולא נוהל התיק ושהנאשם 3 לקח אחריות על מעשיו והביע חרטה בפני השוטרים וגם בבית המשפט.</w:t>
      </w:r>
    </w:p>
    <w:p w14:paraId="404C8F3C" w14:textId="77777777" w:rsidR="000D0AE3" w:rsidRDefault="000D0AE3" w:rsidP="000D0AE3">
      <w:pPr>
        <w:spacing w:line="360" w:lineRule="auto"/>
        <w:jc w:val="both"/>
        <w:rPr>
          <w:rFonts w:ascii="Arial" w:hAnsi="Arial"/>
          <w:rtl/>
        </w:rPr>
      </w:pPr>
    </w:p>
    <w:p w14:paraId="541FC6F7" w14:textId="77777777" w:rsidR="000D0AE3" w:rsidRDefault="000D0AE3" w:rsidP="000D0AE3">
      <w:pPr>
        <w:spacing w:line="360" w:lineRule="auto"/>
        <w:ind w:left="720" w:hanging="720"/>
        <w:jc w:val="both"/>
        <w:rPr>
          <w:rFonts w:ascii="Arial" w:hAnsi="Arial"/>
          <w:rtl/>
        </w:rPr>
      </w:pPr>
      <w:r>
        <w:rPr>
          <w:rFonts w:ascii="Arial" w:hAnsi="Arial" w:hint="cs"/>
          <w:rtl/>
        </w:rPr>
        <w:t>27.</w:t>
      </w:r>
      <w:r>
        <w:rPr>
          <w:rFonts w:ascii="Arial" w:hAnsi="Arial" w:hint="cs"/>
          <w:rtl/>
        </w:rPr>
        <w:tab/>
        <w:t>הוזכר עוד שהנאשם עצור מזה 8 חודשים, שתנאי המאסר קשים מתנאי מעצר, במיוחד בתקופת הקורונה.</w:t>
      </w:r>
    </w:p>
    <w:p w14:paraId="6220C739" w14:textId="77777777" w:rsidR="000D0AE3" w:rsidRDefault="000D0AE3" w:rsidP="000D0AE3">
      <w:pPr>
        <w:spacing w:line="360" w:lineRule="auto"/>
        <w:jc w:val="both"/>
        <w:rPr>
          <w:rFonts w:ascii="Arial" w:hAnsi="Arial"/>
          <w:rtl/>
        </w:rPr>
      </w:pPr>
    </w:p>
    <w:p w14:paraId="1E87B937" w14:textId="77777777" w:rsidR="000D0AE3" w:rsidRDefault="000D0AE3" w:rsidP="000D0AE3">
      <w:pPr>
        <w:spacing w:line="360" w:lineRule="auto"/>
        <w:ind w:left="720" w:hanging="720"/>
        <w:jc w:val="both"/>
        <w:rPr>
          <w:rFonts w:ascii="Arial" w:hAnsi="Arial"/>
          <w:rtl/>
        </w:rPr>
      </w:pPr>
      <w:r>
        <w:rPr>
          <w:rFonts w:ascii="Arial" w:hAnsi="Arial" w:hint="cs"/>
          <w:rtl/>
        </w:rPr>
        <w:t>28.</w:t>
      </w:r>
      <w:r>
        <w:rPr>
          <w:rFonts w:ascii="Arial" w:hAnsi="Arial" w:hint="cs"/>
          <w:rtl/>
        </w:rPr>
        <w:tab/>
        <w:t xml:space="preserve">הוזכר שהנאשם 3 הורשע באישום 1, באישום השלישי, ולא בשני האישומים הראשונים, כך שחלקו מזערי לעומת הנאשמים האחרים. </w:t>
      </w:r>
    </w:p>
    <w:p w14:paraId="57D92ED9" w14:textId="77777777" w:rsidR="000D0AE3" w:rsidRDefault="000D0AE3" w:rsidP="000D0AE3">
      <w:pPr>
        <w:spacing w:line="360" w:lineRule="auto"/>
        <w:jc w:val="both"/>
        <w:rPr>
          <w:rFonts w:ascii="Arial" w:hAnsi="Arial"/>
          <w:rtl/>
        </w:rPr>
      </w:pPr>
    </w:p>
    <w:p w14:paraId="41E719B1" w14:textId="77777777" w:rsidR="000D0AE3" w:rsidRDefault="000D0AE3" w:rsidP="000D0AE3">
      <w:pPr>
        <w:spacing w:line="360" w:lineRule="auto"/>
        <w:ind w:left="720" w:hanging="720"/>
        <w:jc w:val="both"/>
        <w:rPr>
          <w:rFonts w:ascii="Arial" w:hAnsi="Arial"/>
          <w:rtl/>
        </w:rPr>
      </w:pPr>
      <w:r>
        <w:rPr>
          <w:rFonts w:ascii="Arial" w:hAnsi="Arial" w:hint="cs"/>
          <w:rtl/>
        </w:rPr>
        <w:t>29.</w:t>
      </w:r>
      <w:r>
        <w:rPr>
          <w:rFonts w:ascii="Arial" w:hAnsi="Arial" w:hint="cs"/>
          <w:rtl/>
        </w:rPr>
        <w:tab/>
        <w:t xml:space="preserve">ביחס לאישום הראשון, הוזכר שמי שהחזיק באקדח היה נאשם 1 וכי שלושת האירועים עם הנשק אינם שייכים לנאשם 3 ואין הוא הבעלים של הנשק. </w:t>
      </w:r>
    </w:p>
    <w:p w14:paraId="59D1737D" w14:textId="77777777" w:rsidR="000D0AE3" w:rsidRDefault="000D0AE3" w:rsidP="000D0AE3">
      <w:pPr>
        <w:spacing w:line="360" w:lineRule="auto"/>
        <w:jc w:val="both"/>
        <w:rPr>
          <w:rFonts w:ascii="Arial" w:hAnsi="Arial"/>
          <w:rtl/>
        </w:rPr>
      </w:pPr>
    </w:p>
    <w:p w14:paraId="53487A98" w14:textId="77777777" w:rsidR="000D0AE3" w:rsidRDefault="000D0AE3" w:rsidP="000D0AE3">
      <w:pPr>
        <w:spacing w:line="360" w:lineRule="auto"/>
        <w:ind w:left="720" w:hanging="720"/>
        <w:jc w:val="both"/>
        <w:rPr>
          <w:rFonts w:ascii="Arial" w:hAnsi="Arial"/>
          <w:rtl/>
        </w:rPr>
      </w:pPr>
      <w:r>
        <w:rPr>
          <w:rFonts w:ascii="Arial" w:hAnsi="Arial" w:hint="cs"/>
          <w:rtl/>
        </w:rPr>
        <w:t>30.</w:t>
      </w:r>
      <w:r>
        <w:rPr>
          <w:rFonts w:ascii="Arial" w:hAnsi="Arial" w:hint="cs"/>
          <w:rtl/>
        </w:rPr>
        <w:tab/>
        <w:t>הסנגור לא הקל ראש בכך שהנאשם נשא והוביל את הנשק, אך טען שהנשק אינו שייך לנאשם 3, כפי שמפורט באישום הראשון והשלישי.</w:t>
      </w:r>
    </w:p>
    <w:p w14:paraId="1E94008C" w14:textId="77777777" w:rsidR="000D0AE3" w:rsidRDefault="000D0AE3" w:rsidP="000D0AE3">
      <w:pPr>
        <w:spacing w:line="360" w:lineRule="auto"/>
        <w:jc w:val="both"/>
        <w:rPr>
          <w:rFonts w:ascii="Arial" w:hAnsi="Arial"/>
          <w:rtl/>
        </w:rPr>
      </w:pPr>
    </w:p>
    <w:p w14:paraId="2EE5C0D8" w14:textId="77777777" w:rsidR="000D0AE3" w:rsidRDefault="000D0AE3" w:rsidP="000D0AE3">
      <w:pPr>
        <w:spacing w:line="360" w:lineRule="auto"/>
        <w:ind w:left="720" w:hanging="720"/>
        <w:jc w:val="both"/>
        <w:rPr>
          <w:rFonts w:ascii="Arial" w:hAnsi="Arial"/>
          <w:rtl/>
        </w:rPr>
      </w:pPr>
      <w:r>
        <w:rPr>
          <w:rFonts w:ascii="Arial" w:hAnsi="Arial" w:hint="cs"/>
          <w:rtl/>
        </w:rPr>
        <w:t>31.</w:t>
      </w:r>
      <w:r>
        <w:rPr>
          <w:rFonts w:ascii="Arial" w:hAnsi="Arial" w:hint="cs"/>
          <w:rtl/>
        </w:rPr>
        <w:tab/>
        <w:t>נטען עוד שהנאשם 3 מנותק מהמערכת העובדתית שהניעה את הנאש ם2 לבצע את העבירה באישום הראשון, ושלא היה דומיננטי באירוע זה.</w:t>
      </w:r>
    </w:p>
    <w:p w14:paraId="3F23EAF9" w14:textId="77777777" w:rsidR="000D0AE3" w:rsidRDefault="000D0AE3" w:rsidP="000D0AE3">
      <w:pPr>
        <w:spacing w:line="360" w:lineRule="auto"/>
        <w:jc w:val="both"/>
        <w:rPr>
          <w:rFonts w:ascii="Arial" w:hAnsi="Arial"/>
          <w:rtl/>
        </w:rPr>
      </w:pPr>
    </w:p>
    <w:p w14:paraId="5FFA1764" w14:textId="77777777" w:rsidR="000D0AE3" w:rsidRDefault="000D0AE3" w:rsidP="000D0AE3">
      <w:pPr>
        <w:spacing w:line="360" w:lineRule="auto"/>
        <w:ind w:left="720" w:hanging="720"/>
        <w:jc w:val="both"/>
        <w:rPr>
          <w:rFonts w:ascii="Arial" w:hAnsi="Arial"/>
          <w:rtl/>
        </w:rPr>
      </w:pPr>
      <w:r>
        <w:rPr>
          <w:rFonts w:ascii="Arial" w:hAnsi="Arial" w:hint="cs"/>
          <w:rtl/>
        </w:rPr>
        <w:t>32.</w:t>
      </w:r>
      <w:r>
        <w:rPr>
          <w:rFonts w:ascii="Arial" w:hAnsi="Arial" w:hint="cs"/>
          <w:rtl/>
        </w:rPr>
        <w:tab/>
        <w:t xml:space="preserve">נטען עוד שכאשר נמחק סעיף התחמושת המשמעות הינה שהנשקים לא היה מוכנים לפעולה, כאשר נתפסו על ידי המשטרה ונטען שמדובר בנסיבה מקלה נוספת. </w:t>
      </w:r>
    </w:p>
    <w:p w14:paraId="1860355E" w14:textId="77777777" w:rsidR="000D0AE3" w:rsidRDefault="000D0AE3" w:rsidP="000D0AE3">
      <w:pPr>
        <w:spacing w:line="360" w:lineRule="auto"/>
        <w:jc w:val="both"/>
        <w:rPr>
          <w:rFonts w:ascii="Arial" w:hAnsi="Arial"/>
          <w:rtl/>
        </w:rPr>
      </w:pPr>
    </w:p>
    <w:p w14:paraId="3DEC090D" w14:textId="77777777" w:rsidR="000D0AE3" w:rsidRDefault="000D0AE3" w:rsidP="000D0AE3">
      <w:pPr>
        <w:spacing w:line="360" w:lineRule="auto"/>
        <w:ind w:left="720" w:hanging="720"/>
        <w:jc w:val="both"/>
        <w:rPr>
          <w:rFonts w:ascii="Arial" w:hAnsi="Arial"/>
          <w:rtl/>
        </w:rPr>
      </w:pPr>
      <w:r>
        <w:rPr>
          <w:rFonts w:ascii="Arial" w:hAnsi="Arial" w:hint="cs"/>
          <w:rtl/>
        </w:rPr>
        <w:t>33.</w:t>
      </w:r>
      <w:r>
        <w:rPr>
          <w:rFonts w:ascii="Arial" w:hAnsi="Arial" w:hint="cs"/>
          <w:rtl/>
        </w:rPr>
        <w:tab/>
        <w:t xml:space="preserve">ביחס לתסקיר נטען שאומנם אין המלצה אך נטען שאין מדובר בתסקיר שלילי בהתחשב בכך שמדובר באדם שעצור עד תום ההליכים. הודגש שגם במסגרת התסקיר לקח הנאשם 3 אחריות על מעשיו. </w:t>
      </w:r>
    </w:p>
    <w:p w14:paraId="23241084" w14:textId="77777777" w:rsidR="000D0AE3" w:rsidRDefault="000D0AE3" w:rsidP="000D0AE3">
      <w:pPr>
        <w:spacing w:line="360" w:lineRule="auto"/>
        <w:jc w:val="both"/>
        <w:rPr>
          <w:rFonts w:ascii="Arial" w:hAnsi="Arial"/>
          <w:rtl/>
        </w:rPr>
      </w:pPr>
    </w:p>
    <w:p w14:paraId="399A54CC" w14:textId="77777777" w:rsidR="000D0AE3" w:rsidRDefault="000D0AE3" w:rsidP="000D0AE3">
      <w:pPr>
        <w:spacing w:line="360" w:lineRule="auto"/>
        <w:ind w:left="720" w:hanging="720"/>
        <w:jc w:val="both"/>
        <w:rPr>
          <w:rFonts w:ascii="Arial" w:hAnsi="Arial"/>
          <w:rtl/>
        </w:rPr>
      </w:pPr>
      <w:r>
        <w:rPr>
          <w:rFonts w:ascii="Arial" w:hAnsi="Arial" w:hint="cs"/>
          <w:rtl/>
        </w:rPr>
        <w:t>34.</w:t>
      </w:r>
      <w:r>
        <w:rPr>
          <w:rFonts w:ascii="Arial" w:hAnsi="Arial" w:hint="cs"/>
          <w:rtl/>
        </w:rPr>
        <w:tab/>
        <w:t>הסנגור טען שהוא ער למגמת ההחמרה בפסיקה אך טען שיש לעשות זאת בהדרגתיות.</w:t>
      </w:r>
    </w:p>
    <w:p w14:paraId="70B3DC77" w14:textId="77777777" w:rsidR="000D0AE3" w:rsidRDefault="000D0AE3" w:rsidP="000D0AE3">
      <w:pPr>
        <w:spacing w:line="360" w:lineRule="auto"/>
        <w:jc w:val="both"/>
        <w:rPr>
          <w:rFonts w:ascii="Arial" w:hAnsi="Arial"/>
          <w:rtl/>
        </w:rPr>
      </w:pPr>
    </w:p>
    <w:p w14:paraId="3F1DB093" w14:textId="77777777" w:rsidR="000D0AE3" w:rsidRDefault="000D0AE3" w:rsidP="000D0AE3">
      <w:pPr>
        <w:spacing w:line="360" w:lineRule="auto"/>
        <w:ind w:left="720" w:hanging="720"/>
        <w:jc w:val="both"/>
        <w:rPr>
          <w:rFonts w:ascii="Arial" w:hAnsi="Arial"/>
          <w:rtl/>
        </w:rPr>
      </w:pPr>
      <w:r>
        <w:rPr>
          <w:rFonts w:ascii="Arial" w:hAnsi="Arial" w:hint="cs"/>
          <w:rtl/>
        </w:rPr>
        <w:t>35.</w:t>
      </w:r>
      <w:r>
        <w:rPr>
          <w:rFonts w:ascii="Arial" w:hAnsi="Arial" w:hint="cs"/>
          <w:rtl/>
        </w:rPr>
        <w:tab/>
        <w:t>הסנגור הפנה לפסיקה הבאה:</w:t>
      </w:r>
    </w:p>
    <w:p w14:paraId="710BCE3E" w14:textId="77777777" w:rsidR="000D0AE3" w:rsidRDefault="000D0AE3" w:rsidP="000D0AE3">
      <w:pPr>
        <w:spacing w:line="360" w:lineRule="auto"/>
        <w:ind w:left="720" w:hanging="720"/>
        <w:jc w:val="both"/>
        <w:rPr>
          <w:rFonts w:ascii="Arial" w:hAnsi="Arial"/>
          <w:rtl/>
        </w:rPr>
      </w:pPr>
    </w:p>
    <w:p w14:paraId="6CF40E5E" w14:textId="77777777" w:rsidR="000D0AE3" w:rsidRPr="00442AA5" w:rsidRDefault="001518AF" w:rsidP="000D0AE3">
      <w:pPr>
        <w:pStyle w:val="a9"/>
        <w:numPr>
          <w:ilvl w:val="0"/>
          <w:numId w:val="1"/>
        </w:numPr>
        <w:spacing w:line="360" w:lineRule="auto"/>
        <w:jc w:val="both"/>
        <w:rPr>
          <w:rFonts w:ascii="Arial" w:hAnsi="Arial"/>
          <w:rtl/>
        </w:rPr>
      </w:pPr>
      <w:hyperlink r:id="rId61" w:history="1">
        <w:r w:rsidRPr="001518AF">
          <w:rPr>
            <w:rFonts w:ascii="Arial" w:hAnsi="Arial"/>
            <w:color w:val="0000FF"/>
            <w:u w:val="single"/>
            <w:rtl/>
          </w:rPr>
          <w:t>ע"פ 9702/16</w:t>
        </w:r>
      </w:hyperlink>
      <w:r w:rsidR="000D0AE3" w:rsidRPr="00442AA5">
        <w:rPr>
          <w:rFonts w:ascii="Arial" w:hAnsi="Arial" w:hint="cs"/>
          <w:rtl/>
        </w:rPr>
        <w:t xml:space="preserve"> </w:t>
      </w:r>
      <w:r w:rsidR="000D0AE3" w:rsidRPr="00442AA5">
        <w:rPr>
          <w:rFonts w:ascii="Arial" w:hAnsi="Arial" w:hint="cs"/>
          <w:b/>
          <w:bCs/>
          <w:rtl/>
        </w:rPr>
        <w:t xml:space="preserve">סאמי אבו אלולאיאה נ' מדינת ישראל </w:t>
      </w:r>
      <w:r w:rsidR="000D0AE3" w:rsidRPr="00442AA5">
        <w:rPr>
          <w:rFonts w:ascii="Arial" w:hAnsi="Arial" w:hint="cs"/>
          <w:rtl/>
        </w:rPr>
        <w:t xml:space="preserve">(13.9.17); שם נקבע שמתחם הענישה בגין נשיאה והובלה נע בין 12-30 חודשים. </w:t>
      </w:r>
    </w:p>
    <w:p w14:paraId="69D81113" w14:textId="77777777" w:rsidR="000D0AE3" w:rsidRDefault="000D0AE3" w:rsidP="000D0AE3">
      <w:pPr>
        <w:spacing w:line="360" w:lineRule="auto"/>
        <w:jc w:val="both"/>
        <w:rPr>
          <w:rFonts w:ascii="Arial" w:hAnsi="Arial"/>
          <w:rtl/>
        </w:rPr>
      </w:pPr>
    </w:p>
    <w:p w14:paraId="2113F985" w14:textId="77777777" w:rsidR="000D0AE3" w:rsidRPr="00442AA5" w:rsidRDefault="001518AF" w:rsidP="000D0AE3">
      <w:pPr>
        <w:pStyle w:val="a9"/>
        <w:numPr>
          <w:ilvl w:val="0"/>
          <w:numId w:val="1"/>
        </w:numPr>
        <w:spacing w:line="360" w:lineRule="auto"/>
        <w:jc w:val="both"/>
        <w:rPr>
          <w:rFonts w:ascii="Arial" w:hAnsi="Arial"/>
          <w:rtl/>
        </w:rPr>
      </w:pPr>
      <w:hyperlink r:id="rId62" w:history="1">
        <w:r w:rsidRPr="001518AF">
          <w:rPr>
            <w:rFonts w:ascii="Arial" w:hAnsi="Arial"/>
            <w:color w:val="0000FF"/>
            <w:u w:val="single"/>
            <w:rtl/>
          </w:rPr>
          <w:t>ת"פ 52790-03-18</w:t>
        </w:r>
      </w:hyperlink>
      <w:r w:rsidR="000D0AE3" w:rsidRPr="00442AA5">
        <w:rPr>
          <w:rFonts w:ascii="Arial" w:hAnsi="Arial" w:hint="cs"/>
          <w:rtl/>
        </w:rPr>
        <w:t xml:space="preserve"> </w:t>
      </w:r>
      <w:r w:rsidR="000D0AE3" w:rsidRPr="00442AA5">
        <w:rPr>
          <w:rFonts w:ascii="Arial" w:hAnsi="Arial" w:hint="cs"/>
          <w:b/>
          <w:bCs/>
          <w:rtl/>
        </w:rPr>
        <w:t xml:space="preserve">מדינת ישראל נ' סגים </w:t>
      </w:r>
      <w:r w:rsidR="000D0AE3" w:rsidRPr="00442AA5">
        <w:rPr>
          <w:rFonts w:ascii="Arial" w:hAnsi="Arial" w:hint="cs"/>
          <w:rtl/>
        </w:rPr>
        <w:t xml:space="preserve">(12.5.19); שם בגין עבירות נשק לפי </w:t>
      </w:r>
      <w:hyperlink r:id="rId63" w:history="1">
        <w:r w:rsidR="00D83115" w:rsidRPr="00D83115">
          <w:rPr>
            <w:rStyle w:val="Hyperlink"/>
            <w:rFonts w:ascii="Arial" w:hAnsi="Arial" w:hint="eastAsia"/>
            <w:rtl/>
          </w:rPr>
          <w:t>סעיף</w:t>
        </w:r>
        <w:r w:rsidR="00D83115" w:rsidRPr="00D83115">
          <w:rPr>
            <w:rStyle w:val="Hyperlink"/>
            <w:rFonts w:ascii="Arial" w:hAnsi="Arial"/>
            <w:rtl/>
          </w:rPr>
          <w:t xml:space="preserve"> 144(א)</w:t>
        </w:r>
      </w:hyperlink>
      <w:r w:rsidR="000D0AE3" w:rsidRPr="00442AA5">
        <w:rPr>
          <w:rFonts w:ascii="Arial" w:hAnsi="Arial" w:hint="cs"/>
          <w:rtl/>
        </w:rPr>
        <w:t xml:space="preserve"> רישא + </w:t>
      </w:r>
      <w:hyperlink r:id="rId64" w:history="1">
        <w:r w:rsidR="00D83115" w:rsidRPr="00D83115">
          <w:rPr>
            <w:rStyle w:val="Hyperlink"/>
            <w:rFonts w:ascii="Arial" w:hAnsi="Arial"/>
            <w:rtl/>
          </w:rPr>
          <w:t>(ב)</w:t>
        </w:r>
      </w:hyperlink>
      <w:r w:rsidR="000D0AE3" w:rsidRPr="00442AA5">
        <w:rPr>
          <w:rFonts w:ascii="Arial" w:hAnsi="Arial" w:hint="cs"/>
          <w:rtl/>
        </w:rPr>
        <w:t xml:space="preserve"> רישא ועבירות נשק לפי </w:t>
      </w:r>
      <w:hyperlink r:id="rId65" w:history="1">
        <w:r w:rsidR="00D83115" w:rsidRPr="00D83115">
          <w:rPr>
            <w:rStyle w:val="Hyperlink"/>
            <w:rFonts w:ascii="Arial" w:hAnsi="Arial" w:hint="eastAsia"/>
            <w:rtl/>
          </w:rPr>
          <w:t>סעיף</w:t>
        </w:r>
        <w:r w:rsidR="00D83115" w:rsidRPr="00D83115">
          <w:rPr>
            <w:rStyle w:val="Hyperlink"/>
            <w:rFonts w:ascii="Arial" w:hAnsi="Arial"/>
            <w:rtl/>
          </w:rPr>
          <w:t xml:space="preserve"> 144(ב2)</w:t>
        </w:r>
      </w:hyperlink>
      <w:r w:rsidR="000D0AE3" w:rsidRPr="00442AA5">
        <w:rPr>
          <w:rFonts w:ascii="Arial" w:hAnsi="Arial" w:hint="cs"/>
          <w:rtl/>
        </w:rPr>
        <w:t xml:space="preserve">, נקבע מתחם ענישה שבין 9-36 חודשי מאסר והוטלו על שניים מתוך 4 מעורבים, שמעורבותם הייתה פחותה </w:t>
      </w:r>
      <w:r w:rsidR="000D0AE3" w:rsidRPr="00442AA5">
        <w:rPr>
          <w:rFonts w:ascii="Arial" w:hAnsi="Arial"/>
          <w:rtl/>
        </w:rPr>
        <w:t>–</w:t>
      </w:r>
      <w:r w:rsidR="000D0AE3" w:rsidRPr="00442AA5">
        <w:rPr>
          <w:rFonts w:ascii="Arial" w:hAnsi="Arial" w:hint="cs"/>
          <w:rtl/>
        </w:rPr>
        <w:t xml:space="preserve"> 9 חודשי מאסר לריצוי בעבודות שירות. </w:t>
      </w:r>
    </w:p>
    <w:p w14:paraId="16582136" w14:textId="77777777" w:rsidR="000D0AE3" w:rsidRDefault="000D0AE3" w:rsidP="000D0AE3">
      <w:pPr>
        <w:spacing w:line="360" w:lineRule="auto"/>
        <w:jc w:val="both"/>
        <w:rPr>
          <w:rFonts w:ascii="Arial" w:hAnsi="Arial"/>
          <w:rtl/>
        </w:rPr>
      </w:pPr>
    </w:p>
    <w:p w14:paraId="4DFEC971" w14:textId="77777777" w:rsidR="000D0AE3" w:rsidRPr="00442AA5" w:rsidRDefault="001518AF" w:rsidP="000D0AE3">
      <w:pPr>
        <w:pStyle w:val="a9"/>
        <w:numPr>
          <w:ilvl w:val="0"/>
          <w:numId w:val="1"/>
        </w:numPr>
        <w:spacing w:line="360" w:lineRule="auto"/>
        <w:jc w:val="both"/>
        <w:rPr>
          <w:rFonts w:ascii="Arial" w:hAnsi="Arial"/>
          <w:rtl/>
        </w:rPr>
      </w:pPr>
      <w:hyperlink r:id="rId66" w:history="1">
        <w:r w:rsidRPr="001518AF">
          <w:rPr>
            <w:rFonts w:ascii="Arial" w:hAnsi="Arial"/>
            <w:color w:val="0000FF"/>
            <w:u w:val="single"/>
            <w:rtl/>
          </w:rPr>
          <w:t>ת"פ 10476-12-17</w:t>
        </w:r>
      </w:hyperlink>
      <w:r w:rsidR="000D0AE3" w:rsidRPr="00442AA5">
        <w:rPr>
          <w:rFonts w:ascii="Arial" w:hAnsi="Arial" w:hint="cs"/>
          <w:rtl/>
        </w:rPr>
        <w:t xml:space="preserve"> </w:t>
      </w:r>
      <w:r w:rsidR="000D0AE3" w:rsidRPr="00442AA5">
        <w:rPr>
          <w:rFonts w:ascii="Arial" w:hAnsi="Arial" w:hint="cs"/>
          <w:b/>
          <w:bCs/>
          <w:rtl/>
        </w:rPr>
        <w:t>מדינת ישראל נ' אברהים מחאג'נה</w:t>
      </w:r>
      <w:r w:rsidR="000D0AE3" w:rsidRPr="00442AA5">
        <w:rPr>
          <w:rFonts w:ascii="Arial" w:hAnsi="Arial" w:hint="cs"/>
          <w:rtl/>
        </w:rPr>
        <w:t xml:space="preserve"> (14.7.19); בגין עבירות נשק שכללו חזקת והובלת רימון הלם, הוטלו על הנאשם 9 חודשי מאסר לריצוי בעבודות שירות.</w:t>
      </w:r>
    </w:p>
    <w:p w14:paraId="4282D010" w14:textId="77777777" w:rsidR="000D0AE3" w:rsidRDefault="000D0AE3" w:rsidP="000D0AE3">
      <w:pPr>
        <w:spacing w:line="360" w:lineRule="auto"/>
        <w:jc w:val="both"/>
        <w:rPr>
          <w:rFonts w:ascii="Arial" w:hAnsi="Arial"/>
          <w:rtl/>
        </w:rPr>
      </w:pPr>
    </w:p>
    <w:p w14:paraId="2F74D1C0" w14:textId="77777777" w:rsidR="000D0AE3" w:rsidRPr="00442AA5" w:rsidRDefault="001518AF" w:rsidP="000D0AE3">
      <w:pPr>
        <w:pStyle w:val="a9"/>
        <w:numPr>
          <w:ilvl w:val="0"/>
          <w:numId w:val="1"/>
        </w:numPr>
        <w:spacing w:line="360" w:lineRule="auto"/>
        <w:jc w:val="both"/>
        <w:rPr>
          <w:rFonts w:ascii="Arial" w:hAnsi="Arial"/>
          <w:rtl/>
        </w:rPr>
      </w:pPr>
      <w:hyperlink r:id="rId67" w:history="1">
        <w:r w:rsidRPr="001518AF">
          <w:rPr>
            <w:rFonts w:ascii="Arial" w:hAnsi="Arial"/>
            <w:color w:val="0000FF"/>
            <w:u w:val="single"/>
            <w:rtl/>
          </w:rPr>
          <w:t>ת"פ 59812-02-16</w:t>
        </w:r>
      </w:hyperlink>
      <w:r w:rsidR="000D0AE3" w:rsidRPr="00442AA5">
        <w:rPr>
          <w:rFonts w:ascii="Arial" w:hAnsi="Arial" w:hint="cs"/>
          <w:rtl/>
        </w:rPr>
        <w:t xml:space="preserve"> </w:t>
      </w:r>
      <w:r w:rsidR="000D0AE3" w:rsidRPr="00442AA5">
        <w:rPr>
          <w:rFonts w:ascii="Arial" w:hAnsi="Arial" w:hint="cs"/>
          <w:b/>
          <w:bCs/>
          <w:rtl/>
        </w:rPr>
        <w:t>מדינת ישראל נ' אור בוזגלו</w:t>
      </w:r>
      <w:r w:rsidR="000D0AE3" w:rsidRPr="00442AA5">
        <w:rPr>
          <w:rFonts w:ascii="Arial" w:hAnsi="Arial" w:hint="cs"/>
          <w:rtl/>
        </w:rPr>
        <w:t xml:space="preserve"> (15.3.18); בגין סחר בנשק ושיבוש הליכי משפט במסירה ידיעה כוזבת על עבירת פשע, הוטלו 6 חודשי מאסר לריצוי בעבודות שירות. </w:t>
      </w:r>
    </w:p>
    <w:p w14:paraId="2F9F87B8" w14:textId="77777777" w:rsidR="000D0AE3" w:rsidRDefault="000D0AE3" w:rsidP="000D0AE3">
      <w:pPr>
        <w:spacing w:line="360" w:lineRule="auto"/>
        <w:jc w:val="both"/>
        <w:rPr>
          <w:rFonts w:ascii="Arial" w:hAnsi="Arial"/>
          <w:rtl/>
        </w:rPr>
      </w:pPr>
      <w:r>
        <w:rPr>
          <w:rFonts w:ascii="Arial" w:hAnsi="Arial" w:hint="cs"/>
          <w:rtl/>
        </w:rPr>
        <w:t xml:space="preserve"> </w:t>
      </w:r>
    </w:p>
    <w:p w14:paraId="162676F0" w14:textId="77777777" w:rsidR="000D0AE3" w:rsidRDefault="000D0AE3" w:rsidP="000D0AE3">
      <w:pPr>
        <w:spacing w:line="360" w:lineRule="auto"/>
        <w:ind w:left="720" w:hanging="720"/>
        <w:jc w:val="both"/>
        <w:rPr>
          <w:rFonts w:ascii="Arial" w:hAnsi="Arial"/>
          <w:rtl/>
        </w:rPr>
      </w:pPr>
      <w:r>
        <w:rPr>
          <w:rFonts w:ascii="Arial" w:hAnsi="Arial" w:hint="cs"/>
          <w:rtl/>
        </w:rPr>
        <w:t>36.</w:t>
      </w:r>
      <w:r>
        <w:rPr>
          <w:rFonts w:ascii="Arial" w:hAnsi="Arial" w:hint="cs"/>
          <w:rtl/>
        </w:rPr>
        <w:tab/>
        <w:t>הסנגור ביקש לקבוע מתחם שבין 10-24 חודשים ביחס לנאשם 3.</w:t>
      </w:r>
    </w:p>
    <w:p w14:paraId="5CAD878A" w14:textId="77777777" w:rsidR="000D0AE3" w:rsidRDefault="000D0AE3" w:rsidP="000D0AE3">
      <w:pPr>
        <w:spacing w:line="360" w:lineRule="auto"/>
        <w:ind w:left="720"/>
        <w:jc w:val="both"/>
        <w:rPr>
          <w:rFonts w:ascii="Arial" w:hAnsi="Arial"/>
          <w:rtl/>
        </w:rPr>
      </w:pPr>
      <w:r>
        <w:rPr>
          <w:rFonts w:ascii="Arial" w:hAnsi="Arial" w:hint="cs"/>
          <w:rtl/>
        </w:rPr>
        <w:t xml:space="preserve">הוא הזכיר שאביו סובל מבעיות רפואיות והנאשם 3 הוא זה שמטפל בשני הוריו. הוגשו לעניין זה מסמכים. </w:t>
      </w:r>
    </w:p>
    <w:p w14:paraId="08359560" w14:textId="77777777" w:rsidR="000D0AE3" w:rsidRDefault="000D0AE3" w:rsidP="000D0AE3">
      <w:pPr>
        <w:spacing w:line="360" w:lineRule="auto"/>
        <w:jc w:val="both"/>
        <w:rPr>
          <w:rFonts w:ascii="Arial" w:hAnsi="Arial"/>
          <w:rtl/>
        </w:rPr>
      </w:pPr>
    </w:p>
    <w:p w14:paraId="0AB027FE" w14:textId="77777777" w:rsidR="000D0AE3" w:rsidRDefault="000D0AE3" w:rsidP="000D0AE3">
      <w:pPr>
        <w:spacing w:line="360" w:lineRule="auto"/>
        <w:jc w:val="both"/>
        <w:rPr>
          <w:rFonts w:ascii="Arial" w:hAnsi="Arial"/>
          <w:rtl/>
        </w:rPr>
      </w:pPr>
      <w:r>
        <w:rPr>
          <w:rFonts w:ascii="Arial" w:hAnsi="Arial" w:hint="cs"/>
          <w:b/>
          <w:bCs/>
          <w:u w:val="single"/>
          <w:rtl/>
        </w:rPr>
        <w:t>דברי הנאשמים</w:t>
      </w:r>
      <w:r>
        <w:rPr>
          <w:rFonts w:ascii="Arial" w:hAnsi="Arial" w:hint="cs"/>
          <w:rtl/>
        </w:rPr>
        <w:t>:</w:t>
      </w:r>
    </w:p>
    <w:p w14:paraId="22FB03E2" w14:textId="77777777" w:rsidR="000D0AE3" w:rsidRDefault="000D0AE3" w:rsidP="000D0AE3">
      <w:pPr>
        <w:spacing w:line="360" w:lineRule="auto"/>
        <w:jc w:val="both"/>
        <w:rPr>
          <w:rFonts w:ascii="Arial" w:hAnsi="Arial"/>
          <w:rtl/>
        </w:rPr>
      </w:pPr>
    </w:p>
    <w:p w14:paraId="12D0A8F4" w14:textId="77777777" w:rsidR="000D0AE3" w:rsidRDefault="000D0AE3" w:rsidP="000D0AE3">
      <w:pPr>
        <w:spacing w:line="360" w:lineRule="auto"/>
        <w:ind w:left="720" w:hanging="720"/>
        <w:jc w:val="both"/>
        <w:rPr>
          <w:rFonts w:ascii="Arial" w:hAnsi="Arial"/>
          <w:rtl/>
        </w:rPr>
      </w:pPr>
      <w:r>
        <w:rPr>
          <w:rFonts w:ascii="Arial" w:hAnsi="Arial" w:hint="cs"/>
          <w:rtl/>
        </w:rPr>
        <w:t>37.</w:t>
      </w:r>
      <w:r>
        <w:rPr>
          <w:rFonts w:ascii="Arial" w:hAnsi="Arial" w:hint="cs"/>
          <w:rtl/>
        </w:rPr>
        <w:tab/>
        <w:t xml:space="preserve">כל אחד משלושת הנאשמים הביע צער על מעשיו וטען שיחזור למוטב. </w:t>
      </w:r>
    </w:p>
    <w:p w14:paraId="69EE66CA" w14:textId="77777777" w:rsidR="000D0AE3" w:rsidRDefault="000D0AE3" w:rsidP="000D0AE3">
      <w:pPr>
        <w:spacing w:line="360" w:lineRule="auto"/>
        <w:jc w:val="both"/>
        <w:rPr>
          <w:rFonts w:ascii="Arial" w:hAnsi="Arial"/>
          <w:rtl/>
        </w:rPr>
      </w:pPr>
    </w:p>
    <w:p w14:paraId="79EA3E87" w14:textId="77777777" w:rsidR="000D0AE3" w:rsidRDefault="000D0AE3" w:rsidP="000D0AE3">
      <w:pPr>
        <w:spacing w:line="360" w:lineRule="auto"/>
        <w:jc w:val="both"/>
        <w:rPr>
          <w:rFonts w:ascii="Arial" w:hAnsi="Arial"/>
          <w:rtl/>
        </w:rPr>
      </w:pPr>
      <w:r>
        <w:rPr>
          <w:rFonts w:ascii="Arial" w:hAnsi="Arial" w:hint="cs"/>
          <w:b/>
          <w:bCs/>
          <w:u w:val="single"/>
          <w:rtl/>
        </w:rPr>
        <w:t>תסקירי שירות המבחן</w:t>
      </w:r>
    </w:p>
    <w:p w14:paraId="2A6DB782" w14:textId="77777777" w:rsidR="000D0AE3" w:rsidRDefault="000D0AE3" w:rsidP="000D0AE3">
      <w:pPr>
        <w:spacing w:line="360" w:lineRule="auto"/>
        <w:jc w:val="both"/>
        <w:rPr>
          <w:rFonts w:ascii="Arial" w:hAnsi="Arial"/>
          <w:rtl/>
        </w:rPr>
      </w:pPr>
    </w:p>
    <w:p w14:paraId="4E25B072" w14:textId="77777777" w:rsidR="000D0AE3" w:rsidRDefault="000D0AE3" w:rsidP="000D0AE3">
      <w:pPr>
        <w:spacing w:line="360" w:lineRule="auto"/>
        <w:ind w:left="720" w:hanging="720"/>
        <w:jc w:val="both"/>
        <w:rPr>
          <w:rFonts w:ascii="Arial" w:hAnsi="Arial"/>
          <w:rtl/>
        </w:rPr>
      </w:pPr>
      <w:r>
        <w:rPr>
          <w:rFonts w:ascii="Arial" w:hAnsi="Arial" w:hint="cs"/>
          <w:rtl/>
        </w:rPr>
        <w:t>38.</w:t>
      </w:r>
      <w:r>
        <w:rPr>
          <w:rFonts w:ascii="Arial" w:hAnsi="Arial" w:hint="cs"/>
          <w:rtl/>
        </w:rPr>
        <w:tab/>
        <w:t>לגבי הנאשם 1 - מואמן, נכתב שהוא בן 22 רווק, שטרם מעצרו התגורר בבית הוריו בעראבה ועבד למחייתו. צוין שנשר מהמסגרת החינוכית לאחר 10 שנות לימוד כדי להשתלב בשוק העבודה. משפחתו נורמטיבית. תואר שהוא לקח אחריות פורמלית לביצוע העבירות ושלא נרשמו במהלך מעצרו אירועים חריגים או דוחות משמעת והתנהגותו תוארה כחיובית ותקינה.</w:t>
      </w:r>
    </w:p>
    <w:p w14:paraId="16EEE46D" w14:textId="77777777" w:rsidR="000D0AE3" w:rsidRDefault="000D0AE3" w:rsidP="000D0AE3">
      <w:pPr>
        <w:spacing w:line="360" w:lineRule="auto"/>
        <w:ind w:left="720"/>
        <w:jc w:val="both"/>
        <w:rPr>
          <w:rFonts w:ascii="Arial" w:hAnsi="Arial"/>
          <w:rtl/>
        </w:rPr>
      </w:pPr>
      <w:r>
        <w:rPr>
          <w:rFonts w:ascii="Arial" w:hAnsi="Arial" w:hint="cs"/>
          <w:rtl/>
        </w:rPr>
        <w:t>נוכח אופי העבירות שירות המבחן התקשה לבוא בהערכה מלאה לגבי רמת הסיכון וסיכוי הישנות עבירות דומות. בנסיבות, לא הומלץ על חלופות ענישה.</w:t>
      </w:r>
    </w:p>
    <w:p w14:paraId="65BDE95C" w14:textId="77777777" w:rsidR="000D0AE3" w:rsidRDefault="000D0AE3" w:rsidP="000D0AE3">
      <w:pPr>
        <w:spacing w:line="360" w:lineRule="auto"/>
        <w:jc w:val="both"/>
        <w:rPr>
          <w:rFonts w:ascii="Arial" w:hAnsi="Arial"/>
          <w:rtl/>
        </w:rPr>
      </w:pPr>
    </w:p>
    <w:p w14:paraId="41AE5E5D" w14:textId="77777777" w:rsidR="000D0AE3" w:rsidRDefault="000D0AE3" w:rsidP="000D0AE3">
      <w:pPr>
        <w:spacing w:line="360" w:lineRule="auto"/>
        <w:ind w:left="720" w:hanging="720"/>
        <w:jc w:val="both"/>
        <w:rPr>
          <w:rFonts w:ascii="Arial" w:hAnsi="Arial"/>
          <w:rtl/>
        </w:rPr>
      </w:pPr>
      <w:r>
        <w:rPr>
          <w:rFonts w:ascii="Arial" w:hAnsi="Arial" w:hint="cs"/>
          <w:rtl/>
        </w:rPr>
        <w:t>39.</w:t>
      </w:r>
      <w:r>
        <w:rPr>
          <w:rFonts w:ascii="Arial" w:hAnsi="Arial" w:hint="cs"/>
          <w:rtl/>
        </w:rPr>
        <w:tab/>
        <w:t xml:space="preserve">נאשם 2 ג'ואד </w:t>
      </w:r>
      <w:r>
        <w:rPr>
          <w:rFonts w:ascii="Arial" w:hAnsi="Arial"/>
          <w:rtl/>
        </w:rPr>
        <w:t>–</w:t>
      </w:r>
      <w:r>
        <w:rPr>
          <w:rFonts w:ascii="Arial" w:hAnsi="Arial" w:hint="cs"/>
          <w:rtl/>
        </w:rPr>
        <w:t xml:space="preserve"> בן 20, טרם מעצרו עבד כשכיר בחנות לחלקי רכב בסכנין. צוין שגדל באווירה של אלימות מצד אביו (דבר שהוכחש באופן מפורש ותקיף ע"י האב בבית המשפט). צוין שסיים 12 שנות לימוד וזכה בתעודת בגרות. תואר שהוא קיבל אחריות פורמלית ומילולית על מעשיו. </w:t>
      </w:r>
    </w:p>
    <w:p w14:paraId="5966FDDC" w14:textId="77777777" w:rsidR="000D0AE3" w:rsidRDefault="000D0AE3" w:rsidP="000D0AE3">
      <w:pPr>
        <w:spacing w:line="360" w:lineRule="auto"/>
        <w:ind w:left="720"/>
        <w:jc w:val="both"/>
        <w:rPr>
          <w:rFonts w:ascii="Arial" w:hAnsi="Arial"/>
          <w:rtl/>
        </w:rPr>
      </w:pPr>
      <w:r>
        <w:rPr>
          <w:rFonts w:ascii="Arial" w:hAnsi="Arial" w:hint="cs"/>
          <w:rtl/>
        </w:rPr>
        <w:t xml:space="preserve">הוערך שקיים סיכון גבוה להישנות התנהגות עבריינית במידה ולא ימצא בטיפול. לא הובאה המלצה טיפולית. </w:t>
      </w:r>
    </w:p>
    <w:p w14:paraId="5F25C639" w14:textId="77777777" w:rsidR="000D0AE3" w:rsidRDefault="000D0AE3" w:rsidP="000D0AE3">
      <w:pPr>
        <w:spacing w:line="360" w:lineRule="auto"/>
        <w:jc w:val="both"/>
        <w:rPr>
          <w:rFonts w:ascii="Arial" w:hAnsi="Arial"/>
          <w:rtl/>
        </w:rPr>
      </w:pPr>
    </w:p>
    <w:p w14:paraId="473268BA" w14:textId="77777777" w:rsidR="000D0AE3" w:rsidRDefault="000D0AE3" w:rsidP="000D0AE3">
      <w:pPr>
        <w:spacing w:line="360" w:lineRule="auto"/>
        <w:ind w:left="720" w:hanging="720"/>
        <w:rPr>
          <w:rFonts w:ascii="Arial" w:hAnsi="Arial"/>
          <w:rtl/>
        </w:rPr>
      </w:pPr>
      <w:r>
        <w:rPr>
          <w:rFonts w:ascii="Arial" w:hAnsi="Arial" w:hint="cs"/>
          <w:rtl/>
        </w:rPr>
        <w:t>40.</w:t>
      </w:r>
      <w:r>
        <w:rPr>
          <w:rFonts w:ascii="Arial" w:hAnsi="Arial" w:hint="cs"/>
          <w:rtl/>
        </w:rPr>
        <w:tab/>
        <w:t xml:space="preserve">נאשם 3 </w:t>
      </w:r>
      <w:r>
        <w:rPr>
          <w:rFonts w:ascii="Arial" w:hAnsi="Arial"/>
          <w:rtl/>
        </w:rPr>
        <w:t>–</w:t>
      </w:r>
      <w:r>
        <w:rPr>
          <w:rFonts w:ascii="Arial" w:hAnsi="Arial" w:hint="cs"/>
          <w:rtl/>
        </w:rPr>
        <w:t xml:space="preserve"> עומרי, בן 20, רווק שהתגורר בבית הוריו בסכנין, טרם מעצרו עבד בשותפות עם אחיו בעסקים של השכרת ציוד פיגום לבניה. משפחתו נורמטיבית. סיים 12 שנות לימוד עם בגרות חלקית. </w:t>
      </w:r>
    </w:p>
    <w:p w14:paraId="73E8703F" w14:textId="77777777" w:rsidR="000D0AE3" w:rsidRDefault="000D0AE3" w:rsidP="000D0AE3">
      <w:pPr>
        <w:spacing w:line="360" w:lineRule="auto"/>
        <w:ind w:left="720"/>
        <w:jc w:val="both"/>
        <w:rPr>
          <w:rFonts w:ascii="Arial" w:hAnsi="Arial"/>
          <w:rtl/>
        </w:rPr>
      </w:pPr>
      <w:r>
        <w:rPr>
          <w:rFonts w:ascii="Arial" w:hAnsi="Arial" w:hint="cs"/>
          <w:rtl/>
        </w:rPr>
        <w:t xml:space="preserve">שירות המבחן התרשם שהנאשם מנהל אורח חיים מתפקד ביסוד ובתחומי העבודה והמשפחה, דבר זה מהווה גורם מפחית סיכון, לצד זו התרשמו מאישיות בלתי מגובשת והתייחסות מצומצמת של העבירות שביצע. </w:t>
      </w:r>
    </w:p>
    <w:p w14:paraId="3727286F" w14:textId="77777777" w:rsidR="000D0AE3" w:rsidRDefault="000D0AE3" w:rsidP="000D0AE3">
      <w:pPr>
        <w:spacing w:line="360" w:lineRule="auto"/>
        <w:ind w:left="720"/>
        <w:jc w:val="both"/>
        <w:rPr>
          <w:rFonts w:ascii="Arial" w:hAnsi="Arial"/>
          <w:rtl/>
        </w:rPr>
      </w:pPr>
      <w:r>
        <w:rPr>
          <w:rFonts w:ascii="Arial" w:hAnsi="Arial" w:hint="cs"/>
          <w:rtl/>
        </w:rPr>
        <w:t xml:space="preserve">בשקלול הנתונים השונים, תוך דגש על חומרת העבירות וקשיים לעמוד בלחץ חברתי, הוערך כי קיים סיכון להישנות התנהגות עוברת חוק, ועל כן לא הובאה המלצה שיקומית. </w:t>
      </w:r>
    </w:p>
    <w:p w14:paraId="7446F46D" w14:textId="77777777" w:rsidR="000D0AE3" w:rsidRDefault="000D0AE3" w:rsidP="000D0AE3">
      <w:pPr>
        <w:spacing w:line="360" w:lineRule="auto"/>
        <w:jc w:val="both"/>
        <w:rPr>
          <w:rFonts w:ascii="Arial" w:hAnsi="Arial"/>
          <w:rtl/>
        </w:rPr>
      </w:pPr>
    </w:p>
    <w:p w14:paraId="611BEC16" w14:textId="77777777" w:rsidR="000D0AE3" w:rsidRDefault="000D0AE3" w:rsidP="000D0AE3">
      <w:pPr>
        <w:spacing w:line="360" w:lineRule="auto"/>
        <w:jc w:val="both"/>
        <w:rPr>
          <w:rFonts w:ascii="Arial" w:hAnsi="Arial"/>
          <w:b/>
          <w:bCs/>
          <w:u w:val="single"/>
          <w:rtl/>
        </w:rPr>
      </w:pPr>
      <w:r>
        <w:rPr>
          <w:rFonts w:ascii="Arial" w:hAnsi="Arial" w:hint="cs"/>
          <w:b/>
          <w:bCs/>
          <w:u w:val="single"/>
          <w:rtl/>
        </w:rPr>
        <w:t>דיון</w:t>
      </w:r>
    </w:p>
    <w:p w14:paraId="073CF6D1" w14:textId="77777777" w:rsidR="000D0AE3" w:rsidRDefault="000D0AE3" w:rsidP="000D0AE3">
      <w:pPr>
        <w:spacing w:line="360" w:lineRule="auto"/>
        <w:jc w:val="both"/>
        <w:rPr>
          <w:rFonts w:ascii="Arial" w:hAnsi="Arial"/>
          <w:b/>
          <w:bCs/>
          <w:u w:val="single"/>
          <w:rtl/>
        </w:rPr>
      </w:pPr>
    </w:p>
    <w:p w14:paraId="48D555D7" w14:textId="77777777" w:rsidR="000D0AE3" w:rsidRDefault="000D0AE3" w:rsidP="000D0AE3">
      <w:pPr>
        <w:spacing w:line="360" w:lineRule="auto"/>
        <w:ind w:left="720" w:hanging="720"/>
        <w:jc w:val="both"/>
        <w:rPr>
          <w:rFonts w:ascii="Arial" w:hAnsi="Arial"/>
          <w:rtl/>
        </w:rPr>
      </w:pPr>
      <w:r>
        <w:rPr>
          <w:rFonts w:ascii="Arial" w:hAnsi="Arial" w:hint="cs"/>
          <w:rtl/>
        </w:rPr>
        <w:t>41.</w:t>
      </w:r>
      <w:r>
        <w:rPr>
          <w:rFonts w:ascii="Arial" w:hAnsi="Arial" w:hint="cs"/>
          <w:rtl/>
        </w:rPr>
        <w:tab/>
        <w:t>הערכים החברתיים שנפגעו היו שמירה על שלימות הגוף, על שלום הציבור וביטחונו. לאור כך שמדובר בעבירות נשק מדובר בפגיעה יחסית משמעותית בערכים המוגנים.</w:t>
      </w:r>
    </w:p>
    <w:p w14:paraId="3B4AEF80" w14:textId="77777777" w:rsidR="000D0AE3" w:rsidRDefault="000D0AE3" w:rsidP="000D0AE3">
      <w:pPr>
        <w:spacing w:line="360" w:lineRule="auto"/>
        <w:jc w:val="both"/>
        <w:rPr>
          <w:rFonts w:ascii="Arial" w:hAnsi="Arial"/>
          <w:rtl/>
        </w:rPr>
      </w:pPr>
    </w:p>
    <w:p w14:paraId="44D2C589" w14:textId="77777777" w:rsidR="000D0AE3" w:rsidRDefault="000D0AE3" w:rsidP="000D0AE3">
      <w:pPr>
        <w:spacing w:line="360" w:lineRule="auto"/>
        <w:ind w:left="720" w:hanging="720"/>
        <w:jc w:val="both"/>
        <w:rPr>
          <w:rFonts w:ascii="Arial" w:hAnsi="Arial"/>
          <w:rtl/>
        </w:rPr>
      </w:pPr>
      <w:r>
        <w:rPr>
          <w:rFonts w:ascii="Arial" w:hAnsi="Arial" w:hint="cs"/>
          <w:rtl/>
        </w:rPr>
        <w:t>42.</w:t>
      </w:r>
      <w:r>
        <w:rPr>
          <w:rFonts w:ascii="Arial" w:hAnsi="Arial" w:hint="cs"/>
          <w:rtl/>
        </w:rPr>
        <w:tab/>
        <w:t xml:space="preserve">ביצוע העבירות באישום הראשון היה כרוך בתכנון משמעותי, כך גם האישום השני והשלישי, כאשר לקראת ביצוע כל אחת מן העבירות נעשו הכנות משמעותיות כפי שמתואר בפרק סיכום העובדות שלעיל. לאישום הראשון נוספת חומרה לאור כך שבוצע ירי בפועל ובאישום השלישי נוספת חומרה לאור כך שהיה מדובר בשני נשקים. פוטנציאל הנזק בכל העבירות היה רב לאור כך שמדובר בעבירות נשק </w:t>
      </w:r>
      <w:r>
        <w:rPr>
          <w:rFonts w:ascii="Arial" w:hAnsi="Arial"/>
          <w:rtl/>
        </w:rPr>
        <w:t>–</w:t>
      </w:r>
      <w:r>
        <w:rPr>
          <w:rFonts w:ascii="Arial" w:hAnsi="Arial" w:hint="cs"/>
          <w:rtl/>
        </w:rPr>
        <w:t xml:space="preserve"> ובייחוד באישום הראשון והשלישי.</w:t>
      </w:r>
    </w:p>
    <w:p w14:paraId="64F0EFE9" w14:textId="77777777" w:rsidR="000D0AE3" w:rsidRDefault="000D0AE3" w:rsidP="000D0AE3">
      <w:pPr>
        <w:spacing w:line="360" w:lineRule="auto"/>
        <w:jc w:val="both"/>
        <w:rPr>
          <w:rFonts w:ascii="Arial" w:hAnsi="Arial"/>
          <w:rtl/>
        </w:rPr>
      </w:pPr>
    </w:p>
    <w:p w14:paraId="0A30A101" w14:textId="77777777" w:rsidR="000D0AE3" w:rsidRDefault="000D0AE3" w:rsidP="000D0AE3">
      <w:pPr>
        <w:spacing w:line="360" w:lineRule="auto"/>
        <w:ind w:left="720" w:hanging="720"/>
        <w:jc w:val="both"/>
        <w:rPr>
          <w:rFonts w:ascii="Arial" w:hAnsi="Arial"/>
          <w:rtl/>
        </w:rPr>
      </w:pPr>
      <w:r>
        <w:rPr>
          <w:rFonts w:ascii="Arial" w:hAnsi="Arial" w:hint="cs"/>
          <w:rtl/>
        </w:rPr>
        <w:t>43.</w:t>
      </w:r>
      <w:r>
        <w:rPr>
          <w:rFonts w:ascii="Arial" w:hAnsi="Arial" w:hint="cs"/>
          <w:rtl/>
        </w:rPr>
        <w:tab/>
        <w:t>הנאשמים היו צריכים לדעת את הפסול במעשיהם ולהימנע מהם.</w:t>
      </w:r>
    </w:p>
    <w:p w14:paraId="069D514C" w14:textId="77777777" w:rsidR="000D0AE3" w:rsidRDefault="000D0AE3" w:rsidP="000D0AE3">
      <w:pPr>
        <w:spacing w:line="360" w:lineRule="auto"/>
        <w:jc w:val="both"/>
        <w:rPr>
          <w:rFonts w:ascii="Arial" w:hAnsi="Arial"/>
          <w:rtl/>
        </w:rPr>
      </w:pPr>
    </w:p>
    <w:p w14:paraId="5C449159" w14:textId="77777777" w:rsidR="000D0AE3" w:rsidRDefault="000D0AE3" w:rsidP="000D0AE3">
      <w:pPr>
        <w:spacing w:line="360" w:lineRule="auto"/>
        <w:ind w:left="720" w:hanging="720"/>
        <w:jc w:val="both"/>
        <w:rPr>
          <w:rFonts w:ascii="Arial" w:hAnsi="Arial"/>
          <w:rtl/>
        </w:rPr>
      </w:pPr>
      <w:r>
        <w:rPr>
          <w:rFonts w:ascii="Arial" w:hAnsi="Arial" w:hint="cs"/>
          <w:rtl/>
        </w:rPr>
        <w:t>44.</w:t>
      </w:r>
      <w:r>
        <w:rPr>
          <w:rFonts w:ascii="Arial" w:hAnsi="Arial" w:hint="cs"/>
          <w:rtl/>
        </w:rPr>
        <w:tab/>
        <w:t>כמו כן יש להדגיש את ההחמרה שחלה ביחס לעבירות נשק לאחרונה לאור ניסיון בתי המשפט לתרום להתמודדות עם התופעה החמורה והמזיקה של שימוש בלתי חוקי בנשק חם.</w:t>
      </w:r>
    </w:p>
    <w:p w14:paraId="4D88DAC6" w14:textId="77777777" w:rsidR="000D0AE3" w:rsidRDefault="000D0AE3" w:rsidP="000D0AE3">
      <w:pPr>
        <w:spacing w:line="360" w:lineRule="auto"/>
        <w:jc w:val="both"/>
        <w:rPr>
          <w:rFonts w:ascii="Arial" w:hAnsi="Arial"/>
          <w:rtl/>
        </w:rPr>
      </w:pPr>
    </w:p>
    <w:p w14:paraId="163DB6CC" w14:textId="77777777" w:rsidR="000D0AE3" w:rsidRDefault="000D0AE3" w:rsidP="000D0AE3">
      <w:pPr>
        <w:spacing w:line="360" w:lineRule="auto"/>
        <w:ind w:left="720" w:hanging="720"/>
        <w:jc w:val="both"/>
        <w:rPr>
          <w:rFonts w:ascii="Arial" w:hAnsi="Arial"/>
          <w:rtl/>
        </w:rPr>
      </w:pPr>
      <w:r>
        <w:rPr>
          <w:rFonts w:ascii="Arial" w:hAnsi="Arial" w:hint="cs"/>
          <w:rtl/>
        </w:rPr>
        <w:t>45.</w:t>
      </w:r>
      <w:r>
        <w:rPr>
          <w:rFonts w:ascii="Arial" w:hAnsi="Arial" w:hint="cs"/>
          <w:rtl/>
        </w:rPr>
        <w:tab/>
        <w:t xml:space="preserve">ברור שמדובר בשלושה אירועים שונים שיש לקבוע בגינם מתחמים נפרדים כאמור בסעיף </w:t>
      </w:r>
      <w:hyperlink r:id="rId68" w:history="1">
        <w:r w:rsidR="00D83115" w:rsidRPr="00D83115">
          <w:rPr>
            <w:rStyle w:val="Hyperlink"/>
            <w:rFonts w:ascii="Arial" w:hAnsi="Arial"/>
            <w:rtl/>
          </w:rPr>
          <w:t>40יג (ב)</w:t>
        </w:r>
      </w:hyperlink>
      <w:r>
        <w:rPr>
          <w:rFonts w:ascii="Arial" w:hAnsi="Arial" w:hint="cs"/>
          <w:rtl/>
        </w:rPr>
        <w:t xml:space="preserve"> ל</w:t>
      </w:r>
      <w:hyperlink r:id="rId69" w:history="1">
        <w:r w:rsidR="001518AF" w:rsidRPr="001518AF">
          <w:rPr>
            <w:rFonts w:ascii="Arial" w:hAnsi="Arial"/>
            <w:color w:val="0000FF"/>
            <w:u w:val="single"/>
            <w:rtl/>
          </w:rPr>
          <w:t>חוק העונשין</w:t>
        </w:r>
      </w:hyperlink>
      <w:r>
        <w:rPr>
          <w:rFonts w:ascii="Arial" w:hAnsi="Arial" w:hint="cs"/>
          <w:rtl/>
        </w:rPr>
        <w:t xml:space="preserve">. </w:t>
      </w:r>
    </w:p>
    <w:p w14:paraId="589A73EB" w14:textId="77777777" w:rsidR="000D0AE3" w:rsidRDefault="000D0AE3" w:rsidP="000D0AE3">
      <w:pPr>
        <w:spacing w:line="360" w:lineRule="auto"/>
        <w:jc w:val="both"/>
        <w:rPr>
          <w:rFonts w:ascii="Arial" w:hAnsi="Arial"/>
          <w:rtl/>
        </w:rPr>
      </w:pPr>
    </w:p>
    <w:p w14:paraId="385DE6F9" w14:textId="77777777" w:rsidR="000D0AE3" w:rsidRDefault="000D0AE3" w:rsidP="000D0AE3">
      <w:pPr>
        <w:spacing w:line="360" w:lineRule="auto"/>
        <w:ind w:left="720" w:hanging="720"/>
        <w:jc w:val="both"/>
        <w:rPr>
          <w:rFonts w:ascii="Arial" w:hAnsi="Arial"/>
          <w:rtl/>
        </w:rPr>
      </w:pPr>
      <w:r>
        <w:rPr>
          <w:rFonts w:ascii="Arial" w:hAnsi="Arial" w:hint="cs"/>
          <w:rtl/>
        </w:rPr>
        <w:t>46.</w:t>
      </w:r>
      <w:r>
        <w:rPr>
          <w:rFonts w:ascii="Arial" w:hAnsi="Arial" w:hint="cs"/>
          <w:rtl/>
        </w:rPr>
        <w:tab/>
        <w:t xml:space="preserve">ביחס לאישום הראשון מתחם הענישה ההולם צריך לנוע בין 3 - 6 שנות מאסר (ולנאשם 2 </w:t>
      </w:r>
      <w:r>
        <w:rPr>
          <w:rFonts w:ascii="Arial" w:hAnsi="Arial"/>
          <w:rtl/>
        </w:rPr>
        <w:t>–</w:t>
      </w:r>
      <w:r>
        <w:rPr>
          <w:rFonts w:ascii="Arial" w:hAnsi="Arial" w:hint="cs"/>
          <w:rtl/>
        </w:rPr>
        <w:t xml:space="preserve"> 3-5.5 שנים); בגין האישום השני בין 3 </w:t>
      </w:r>
      <w:r>
        <w:rPr>
          <w:rFonts w:ascii="Arial" w:hAnsi="Arial"/>
          <w:rtl/>
        </w:rPr>
        <w:t>–</w:t>
      </w:r>
      <w:r>
        <w:rPr>
          <w:rFonts w:ascii="Arial" w:hAnsi="Arial" w:hint="cs"/>
          <w:rtl/>
        </w:rPr>
        <w:t xml:space="preserve"> 4.5 שנות מאסר; ובגין האישום השלישי בין 2.5 </w:t>
      </w:r>
      <w:r>
        <w:rPr>
          <w:rFonts w:ascii="Arial" w:hAnsi="Arial"/>
          <w:rtl/>
        </w:rPr>
        <w:t>–</w:t>
      </w:r>
      <w:r>
        <w:rPr>
          <w:rFonts w:ascii="Arial" w:hAnsi="Arial" w:hint="cs"/>
          <w:rtl/>
        </w:rPr>
        <w:t xml:space="preserve"> 5.5 שנות מאסר. אני רואה את האישום הראשון כחמור יותר מהאחרים כי בוצע ירי בפועל.</w:t>
      </w:r>
    </w:p>
    <w:p w14:paraId="0572A7D1" w14:textId="77777777" w:rsidR="000D0AE3" w:rsidRDefault="000D0AE3" w:rsidP="000D0AE3">
      <w:pPr>
        <w:spacing w:line="360" w:lineRule="auto"/>
        <w:jc w:val="both"/>
        <w:rPr>
          <w:rFonts w:ascii="Arial" w:hAnsi="Arial"/>
          <w:rtl/>
        </w:rPr>
      </w:pPr>
    </w:p>
    <w:p w14:paraId="1A9CA9BC" w14:textId="77777777" w:rsidR="000D0AE3" w:rsidRDefault="000D0AE3" w:rsidP="000D0AE3">
      <w:pPr>
        <w:spacing w:line="360" w:lineRule="auto"/>
        <w:ind w:left="720" w:hanging="720"/>
        <w:jc w:val="both"/>
        <w:rPr>
          <w:rFonts w:ascii="Arial" w:hAnsi="Arial"/>
          <w:rtl/>
        </w:rPr>
      </w:pPr>
      <w:r>
        <w:rPr>
          <w:rFonts w:ascii="Arial" w:hAnsi="Arial" w:hint="cs"/>
          <w:rtl/>
        </w:rPr>
        <w:t>47.</w:t>
      </w:r>
      <w:r>
        <w:rPr>
          <w:rFonts w:ascii="Arial" w:hAnsi="Arial" w:hint="cs"/>
          <w:rtl/>
        </w:rPr>
        <w:tab/>
        <w:t>באשר לקביעת העונש בתוך המתחמים יצוין שגילם הצעיר יחסית של הנאשמים פועל לטובתם וכך גם העובדה כי  נאשם 1 בעל עבר פלילי לא מכביד ונאשמים 2 ו-3 ללא עבר פלילי כלל (לנאשם 2 עבר תעבורתי). מאידך, ניתנו תסקירים שליליים לגבי כל אחד מהנאשמים.  בעניין זה יוער כי אילו סברו הסנגורים שהתסקירים לא נערכו כראוי או ששירות המבחן לא יצר קשר מספק עם הנאשמים, היה צריך לטעון זאת לפני הגשת התסקירים ולא להמתין לשלב הטיעונים לעונש. מעיון בהם לא מצאתי פגם מהותי בתסקירים ועל פניו נראה ששירות המבחן שקל את הנתונים הרלוונטיים השונים. עוד יצוין שבאישום הראשון נאשם 2 לא היה זה שירה בפועל בכלי הנשק.</w:t>
      </w:r>
    </w:p>
    <w:p w14:paraId="07285C9B" w14:textId="77777777" w:rsidR="000D0AE3" w:rsidRDefault="000D0AE3" w:rsidP="000D0AE3">
      <w:pPr>
        <w:spacing w:line="360" w:lineRule="auto"/>
        <w:jc w:val="both"/>
        <w:rPr>
          <w:rFonts w:ascii="Arial" w:hAnsi="Arial"/>
          <w:rtl/>
        </w:rPr>
      </w:pPr>
    </w:p>
    <w:p w14:paraId="3275487A" w14:textId="77777777" w:rsidR="000D0AE3" w:rsidRDefault="000D0AE3" w:rsidP="000D0AE3">
      <w:pPr>
        <w:spacing w:line="360" w:lineRule="auto"/>
        <w:ind w:left="720" w:hanging="720"/>
        <w:jc w:val="both"/>
        <w:rPr>
          <w:rFonts w:ascii="Arial" w:hAnsi="Arial"/>
          <w:rtl/>
        </w:rPr>
      </w:pPr>
      <w:r>
        <w:rPr>
          <w:rFonts w:ascii="Arial" w:hAnsi="Arial" w:hint="cs"/>
          <w:rtl/>
        </w:rPr>
        <w:t>48.</w:t>
      </w:r>
      <w:r>
        <w:rPr>
          <w:rFonts w:ascii="Arial" w:hAnsi="Arial" w:hint="cs"/>
          <w:rtl/>
        </w:rPr>
        <w:tab/>
        <w:t>אשר על כן, אני מטיל על הנאשמים עונשים כדלקמן:</w:t>
      </w:r>
    </w:p>
    <w:p w14:paraId="586A4391" w14:textId="77777777" w:rsidR="000D0AE3" w:rsidRDefault="000D0AE3" w:rsidP="000D0AE3">
      <w:pPr>
        <w:spacing w:line="360" w:lineRule="auto"/>
        <w:jc w:val="both"/>
        <w:rPr>
          <w:rFonts w:ascii="Arial" w:hAnsi="Arial"/>
          <w:rtl/>
        </w:rPr>
      </w:pPr>
    </w:p>
    <w:p w14:paraId="7FAEE3F2" w14:textId="77777777" w:rsidR="000D0AE3" w:rsidRDefault="000D0AE3" w:rsidP="000D0AE3">
      <w:pPr>
        <w:spacing w:line="360" w:lineRule="auto"/>
        <w:jc w:val="both"/>
        <w:rPr>
          <w:rFonts w:ascii="Arial" w:hAnsi="Arial"/>
          <w:rtl/>
        </w:rPr>
      </w:pPr>
      <w:r w:rsidRPr="003A25F2">
        <w:rPr>
          <w:rFonts w:ascii="Arial" w:hAnsi="Arial" w:hint="cs"/>
          <w:u w:val="single"/>
          <w:rtl/>
        </w:rPr>
        <w:t>על נאשם 1</w:t>
      </w:r>
    </w:p>
    <w:p w14:paraId="736BA5AF" w14:textId="77777777" w:rsidR="000D0AE3" w:rsidRPr="00313B54" w:rsidRDefault="000D0AE3" w:rsidP="000D0AE3">
      <w:pPr>
        <w:pStyle w:val="a9"/>
        <w:numPr>
          <w:ilvl w:val="0"/>
          <w:numId w:val="1"/>
        </w:numPr>
        <w:spacing w:line="360" w:lineRule="auto"/>
        <w:jc w:val="both"/>
        <w:rPr>
          <w:rFonts w:ascii="Arial" w:hAnsi="Arial"/>
          <w:highlight w:val="yellow"/>
          <w:rtl/>
        </w:rPr>
      </w:pPr>
      <w:r w:rsidRPr="00313B54">
        <w:rPr>
          <w:rFonts w:ascii="Arial" w:hAnsi="Arial" w:hint="cs"/>
          <w:rtl/>
        </w:rPr>
        <w:t>5 שנות מאסר בגין האישום הראשון, ו- 38 חודשי מאסר בגין ה</w:t>
      </w:r>
      <w:r>
        <w:rPr>
          <w:rFonts w:ascii="Arial" w:hAnsi="Arial" w:hint="cs"/>
          <w:rtl/>
        </w:rPr>
        <w:t xml:space="preserve">אישום השני. בעיקר לאור גילו של </w:t>
      </w:r>
      <w:r w:rsidRPr="00313B54">
        <w:rPr>
          <w:rFonts w:ascii="Arial" w:hAnsi="Arial" w:hint="cs"/>
          <w:rtl/>
        </w:rPr>
        <w:t xml:space="preserve">נאשם 1 העונשים יחפפו כך שירצה בסה"כ 6 שנות מאסר בפועל, בניכוי ימי מעצרו </w:t>
      </w:r>
      <w:r w:rsidRPr="00B1167D">
        <w:rPr>
          <w:rFonts w:ascii="Arial" w:hAnsi="Arial" w:hint="cs"/>
          <w:rtl/>
        </w:rPr>
        <w:t>מיום</w:t>
      </w:r>
      <w:r>
        <w:rPr>
          <w:rFonts w:ascii="Arial" w:hAnsi="Arial" w:hint="cs"/>
          <w:rtl/>
        </w:rPr>
        <w:t xml:space="preserve"> 10.11.21.</w:t>
      </w:r>
    </w:p>
    <w:p w14:paraId="03C024A3" w14:textId="77777777" w:rsidR="000D0AE3" w:rsidRPr="00313B54" w:rsidRDefault="000D0AE3" w:rsidP="000D0AE3">
      <w:pPr>
        <w:pStyle w:val="a9"/>
        <w:numPr>
          <w:ilvl w:val="0"/>
          <w:numId w:val="1"/>
        </w:numPr>
        <w:spacing w:line="360" w:lineRule="auto"/>
        <w:jc w:val="both"/>
        <w:rPr>
          <w:rFonts w:ascii="Arial" w:hAnsi="Arial"/>
          <w:rtl/>
        </w:rPr>
      </w:pPr>
      <w:r w:rsidRPr="00313B54">
        <w:rPr>
          <w:rFonts w:ascii="Arial" w:hAnsi="Arial" w:hint="cs"/>
          <w:rtl/>
        </w:rPr>
        <w:t>מאסר על תנאי של 12 חודשים למשך 3 שנים כאשר התנאי יופעל במידה והנאשם יעבור עבירות נשק.</w:t>
      </w:r>
    </w:p>
    <w:p w14:paraId="7D4A30A4" w14:textId="77777777" w:rsidR="000D0AE3" w:rsidRPr="00313B54" w:rsidRDefault="000D0AE3" w:rsidP="000D0AE3">
      <w:pPr>
        <w:pStyle w:val="a9"/>
        <w:numPr>
          <w:ilvl w:val="0"/>
          <w:numId w:val="1"/>
        </w:numPr>
        <w:spacing w:line="360" w:lineRule="auto"/>
        <w:jc w:val="both"/>
        <w:rPr>
          <w:rFonts w:ascii="Arial" w:hAnsi="Arial"/>
          <w:rtl/>
        </w:rPr>
      </w:pPr>
      <w:r w:rsidRPr="00313B54">
        <w:rPr>
          <w:rFonts w:ascii="Arial" w:hAnsi="Arial" w:hint="cs"/>
          <w:rtl/>
        </w:rPr>
        <w:t>קנס בסך 5,000 ₪.</w:t>
      </w:r>
    </w:p>
    <w:p w14:paraId="223902F5" w14:textId="77777777" w:rsidR="000D0AE3" w:rsidRDefault="000D0AE3" w:rsidP="000D0AE3">
      <w:pPr>
        <w:spacing w:line="360" w:lineRule="auto"/>
        <w:jc w:val="both"/>
        <w:rPr>
          <w:rFonts w:ascii="Arial" w:hAnsi="Arial"/>
          <w:rtl/>
        </w:rPr>
      </w:pPr>
    </w:p>
    <w:p w14:paraId="003342C1" w14:textId="77777777" w:rsidR="000D0AE3" w:rsidRDefault="000D0AE3" w:rsidP="000D0AE3">
      <w:pPr>
        <w:spacing w:line="360" w:lineRule="auto"/>
        <w:jc w:val="both"/>
        <w:rPr>
          <w:rFonts w:ascii="Arial" w:hAnsi="Arial"/>
          <w:rtl/>
        </w:rPr>
      </w:pPr>
      <w:r w:rsidRPr="003A25F2">
        <w:rPr>
          <w:rFonts w:ascii="Arial" w:hAnsi="Arial" w:hint="cs"/>
          <w:u w:val="single"/>
          <w:rtl/>
        </w:rPr>
        <w:t>על נאשם 2</w:t>
      </w:r>
    </w:p>
    <w:p w14:paraId="4994A01C" w14:textId="77777777" w:rsidR="000D0AE3" w:rsidRPr="00313B54" w:rsidRDefault="000D0AE3" w:rsidP="000D0AE3">
      <w:pPr>
        <w:pStyle w:val="a9"/>
        <w:numPr>
          <w:ilvl w:val="0"/>
          <w:numId w:val="1"/>
        </w:numPr>
        <w:spacing w:line="360" w:lineRule="auto"/>
        <w:jc w:val="both"/>
        <w:rPr>
          <w:rFonts w:ascii="Arial" w:hAnsi="Arial"/>
          <w:rtl/>
        </w:rPr>
      </w:pPr>
      <w:r w:rsidRPr="00313B54">
        <w:rPr>
          <w:rFonts w:ascii="Arial" w:hAnsi="Arial" w:hint="cs"/>
          <w:rtl/>
        </w:rPr>
        <w:t>4 שנות מאסר בפועל</w:t>
      </w:r>
      <w:r>
        <w:rPr>
          <w:rFonts w:ascii="Arial" w:hAnsi="Arial" w:hint="cs"/>
          <w:rtl/>
        </w:rPr>
        <w:t xml:space="preserve"> בגין האישום הראשון</w:t>
      </w:r>
      <w:r w:rsidRPr="00313B54">
        <w:rPr>
          <w:rFonts w:ascii="Arial" w:hAnsi="Arial" w:hint="cs"/>
          <w:rtl/>
        </w:rPr>
        <w:t xml:space="preserve"> ו- 4 שנות מאסר </w:t>
      </w:r>
      <w:r>
        <w:rPr>
          <w:rFonts w:ascii="Arial" w:hAnsi="Arial" w:hint="cs"/>
          <w:rtl/>
        </w:rPr>
        <w:t xml:space="preserve">בפועל </w:t>
      </w:r>
      <w:r w:rsidRPr="00313B54">
        <w:rPr>
          <w:rFonts w:ascii="Arial" w:hAnsi="Arial" w:hint="cs"/>
          <w:rtl/>
        </w:rPr>
        <w:t xml:space="preserve">בגין האישום השלישי. לאור גילו והעדר עבר פלילי של הנאשם העונשים יחפפו כך שירצה בסה"כ 6 שנות מאסר בניכוי ימי מעצרו </w:t>
      </w:r>
      <w:r w:rsidRPr="00B1167D">
        <w:rPr>
          <w:rFonts w:ascii="Arial" w:hAnsi="Arial" w:hint="cs"/>
          <w:rtl/>
        </w:rPr>
        <w:t>מיום</w:t>
      </w:r>
      <w:r>
        <w:rPr>
          <w:rFonts w:ascii="Arial" w:hAnsi="Arial" w:hint="cs"/>
          <w:rtl/>
        </w:rPr>
        <w:t xml:space="preserve"> 6.11.21.</w:t>
      </w:r>
    </w:p>
    <w:p w14:paraId="65CF1C47" w14:textId="77777777" w:rsidR="000D0AE3" w:rsidRPr="00313B54" w:rsidRDefault="000D0AE3" w:rsidP="000D0AE3">
      <w:pPr>
        <w:pStyle w:val="a9"/>
        <w:numPr>
          <w:ilvl w:val="0"/>
          <w:numId w:val="1"/>
        </w:numPr>
        <w:spacing w:line="360" w:lineRule="auto"/>
        <w:jc w:val="both"/>
        <w:rPr>
          <w:rFonts w:ascii="Arial" w:hAnsi="Arial"/>
          <w:rtl/>
        </w:rPr>
      </w:pPr>
      <w:r w:rsidRPr="00313B54">
        <w:rPr>
          <w:rFonts w:ascii="Arial" w:hAnsi="Arial" w:hint="cs"/>
          <w:rtl/>
        </w:rPr>
        <w:t>מאסר על תנאי של 12 חודשים למשך 3 שנים כאשר התנאי יופעל במידה והנאשם יעבור עבירות נשק.</w:t>
      </w:r>
    </w:p>
    <w:p w14:paraId="557CAA4E" w14:textId="77777777" w:rsidR="000D0AE3" w:rsidRPr="00313B54" w:rsidRDefault="000D0AE3" w:rsidP="000D0AE3">
      <w:pPr>
        <w:pStyle w:val="a9"/>
        <w:numPr>
          <w:ilvl w:val="0"/>
          <w:numId w:val="1"/>
        </w:numPr>
        <w:spacing w:line="360" w:lineRule="auto"/>
        <w:jc w:val="both"/>
        <w:rPr>
          <w:rFonts w:ascii="Arial" w:hAnsi="Arial"/>
          <w:rtl/>
        </w:rPr>
      </w:pPr>
      <w:r w:rsidRPr="00313B54">
        <w:rPr>
          <w:rFonts w:ascii="Arial" w:hAnsi="Arial" w:hint="cs"/>
          <w:rtl/>
        </w:rPr>
        <w:t>קנס בסך 5,000 ₪.</w:t>
      </w:r>
    </w:p>
    <w:p w14:paraId="2A9E5C5C" w14:textId="77777777" w:rsidR="000D0AE3" w:rsidRDefault="000D0AE3" w:rsidP="000D0AE3">
      <w:pPr>
        <w:spacing w:line="360" w:lineRule="auto"/>
        <w:jc w:val="both"/>
        <w:rPr>
          <w:rFonts w:ascii="Arial" w:hAnsi="Arial"/>
          <w:rtl/>
        </w:rPr>
      </w:pPr>
    </w:p>
    <w:p w14:paraId="184A1016" w14:textId="77777777" w:rsidR="000D0AE3" w:rsidRDefault="000D0AE3" w:rsidP="000D0AE3">
      <w:pPr>
        <w:spacing w:line="360" w:lineRule="auto"/>
        <w:jc w:val="both"/>
        <w:rPr>
          <w:rFonts w:ascii="Arial" w:hAnsi="Arial"/>
          <w:rtl/>
        </w:rPr>
      </w:pPr>
      <w:r w:rsidRPr="003A25F2">
        <w:rPr>
          <w:rFonts w:ascii="Arial" w:hAnsi="Arial" w:hint="cs"/>
          <w:u w:val="single"/>
          <w:rtl/>
        </w:rPr>
        <w:t>על נאשם 3</w:t>
      </w:r>
    </w:p>
    <w:p w14:paraId="6C57ED96" w14:textId="77777777" w:rsidR="000D0AE3" w:rsidRPr="00313B54" w:rsidRDefault="000D0AE3" w:rsidP="000D0AE3">
      <w:pPr>
        <w:pStyle w:val="a9"/>
        <w:numPr>
          <w:ilvl w:val="0"/>
          <w:numId w:val="1"/>
        </w:numPr>
        <w:spacing w:line="360" w:lineRule="auto"/>
        <w:jc w:val="both"/>
        <w:rPr>
          <w:rFonts w:ascii="Arial" w:hAnsi="Arial"/>
          <w:rtl/>
        </w:rPr>
      </w:pPr>
      <w:r w:rsidRPr="00313B54">
        <w:rPr>
          <w:rFonts w:ascii="Arial" w:hAnsi="Arial" w:hint="cs"/>
          <w:rtl/>
        </w:rPr>
        <w:t xml:space="preserve">4 שנות מאסר בניכוי ימי מעצרו </w:t>
      </w:r>
      <w:r w:rsidRPr="00B1167D">
        <w:rPr>
          <w:rFonts w:ascii="Arial" w:hAnsi="Arial" w:hint="cs"/>
          <w:rtl/>
        </w:rPr>
        <w:t>מיום</w:t>
      </w:r>
      <w:r>
        <w:rPr>
          <w:rFonts w:ascii="Arial" w:hAnsi="Arial" w:hint="cs"/>
          <w:rtl/>
        </w:rPr>
        <w:t xml:space="preserve"> 6.11.21.</w:t>
      </w:r>
    </w:p>
    <w:p w14:paraId="04428C48" w14:textId="77777777" w:rsidR="000D0AE3" w:rsidRPr="00313B54" w:rsidRDefault="000D0AE3" w:rsidP="000D0AE3">
      <w:pPr>
        <w:pStyle w:val="a9"/>
        <w:numPr>
          <w:ilvl w:val="0"/>
          <w:numId w:val="1"/>
        </w:numPr>
        <w:spacing w:line="360" w:lineRule="auto"/>
        <w:jc w:val="both"/>
        <w:rPr>
          <w:rFonts w:ascii="Arial" w:hAnsi="Arial"/>
          <w:rtl/>
        </w:rPr>
      </w:pPr>
      <w:r w:rsidRPr="00313B54">
        <w:rPr>
          <w:rFonts w:ascii="Arial" w:hAnsi="Arial" w:hint="cs"/>
          <w:rtl/>
        </w:rPr>
        <w:t>מאסר על תנאי של 9 חודשים למשך 3 שנים כאשר התנאי יופעל במידה והנאשם יעבור עבירות נשק.</w:t>
      </w:r>
    </w:p>
    <w:p w14:paraId="080C5225" w14:textId="77777777" w:rsidR="000D0AE3" w:rsidRPr="00313B54" w:rsidRDefault="000D0AE3" w:rsidP="000D0AE3">
      <w:pPr>
        <w:pStyle w:val="a9"/>
        <w:numPr>
          <w:ilvl w:val="0"/>
          <w:numId w:val="1"/>
        </w:numPr>
        <w:spacing w:line="360" w:lineRule="auto"/>
        <w:jc w:val="both"/>
        <w:rPr>
          <w:rFonts w:ascii="Arial" w:hAnsi="Arial"/>
          <w:rtl/>
        </w:rPr>
      </w:pPr>
      <w:r w:rsidRPr="00313B54">
        <w:rPr>
          <w:rFonts w:ascii="Arial" w:hAnsi="Arial" w:hint="cs"/>
          <w:rtl/>
        </w:rPr>
        <w:t>קנס בסך 5,000 ₪.</w:t>
      </w:r>
    </w:p>
    <w:p w14:paraId="5BB7FA74" w14:textId="77777777" w:rsidR="000D0AE3" w:rsidRDefault="000D0AE3" w:rsidP="000D0AE3">
      <w:pPr>
        <w:spacing w:line="360" w:lineRule="auto"/>
        <w:jc w:val="both"/>
        <w:rPr>
          <w:rFonts w:ascii="Arial" w:hAnsi="Arial"/>
          <w:rtl/>
        </w:rPr>
      </w:pPr>
    </w:p>
    <w:p w14:paraId="3C102A01" w14:textId="77777777" w:rsidR="000D0AE3" w:rsidRDefault="000D0AE3" w:rsidP="000D0AE3">
      <w:pPr>
        <w:spacing w:line="360" w:lineRule="auto"/>
        <w:jc w:val="both"/>
        <w:rPr>
          <w:rFonts w:ascii="Arial" w:hAnsi="Arial"/>
          <w:rtl/>
        </w:rPr>
      </w:pPr>
      <w:r>
        <w:rPr>
          <w:rFonts w:ascii="Arial" w:hAnsi="Arial" w:hint="cs"/>
          <w:rtl/>
        </w:rPr>
        <w:t xml:space="preserve">יצויין כי לאור כך שהטיעונים לעניין חילוט הרכבים נשמע במועד מתן גזר הדין </w:t>
      </w:r>
      <w:r>
        <w:rPr>
          <w:rFonts w:ascii="Arial" w:hAnsi="Arial"/>
          <w:rtl/>
        </w:rPr>
        <w:t>–</w:t>
      </w:r>
      <w:r>
        <w:rPr>
          <w:rFonts w:ascii="Arial" w:hAnsi="Arial" w:hint="cs"/>
          <w:rtl/>
        </w:rPr>
        <w:t xml:space="preserve"> החלטה בעניין זה תינתן בנפרד.</w:t>
      </w:r>
    </w:p>
    <w:p w14:paraId="5328377D" w14:textId="77777777" w:rsidR="000D0AE3" w:rsidRPr="00DB2192" w:rsidRDefault="000D0AE3" w:rsidP="000D0AE3">
      <w:pPr>
        <w:spacing w:line="360" w:lineRule="auto"/>
        <w:jc w:val="both"/>
        <w:rPr>
          <w:rFonts w:ascii="Arial" w:hAnsi="Arial"/>
          <w:rtl/>
        </w:rPr>
      </w:pPr>
    </w:p>
    <w:p w14:paraId="48E5890E" w14:textId="77777777" w:rsidR="000D0AE3" w:rsidRPr="00B83FF2" w:rsidRDefault="001518AF" w:rsidP="000D0AE3">
      <w:pPr>
        <w:spacing w:line="360" w:lineRule="auto"/>
        <w:jc w:val="both"/>
        <w:rPr>
          <w:rFonts w:ascii="Arial" w:hAnsi="Arial"/>
          <w:b/>
          <w:bCs/>
          <w:u w:val="single"/>
          <w:rtl/>
        </w:rPr>
      </w:pPr>
      <w:r w:rsidRPr="001518AF">
        <w:rPr>
          <w:rFonts w:ascii="Arial" w:hAnsi="Arial"/>
          <w:b/>
          <w:bCs/>
          <w:color w:val="FFFFFF"/>
          <w:sz w:val="2"/>
          <w:szCs w:val="2"/>
          <w:u w:val="single"/>
          <w:rtl/>
        </w:rPr>
        <w:t>5129371</w:t>
      </w:r>
      <w:r w:rsidR="000D0AE3">
        <w:rPr>
          <w:rFonts w:ascii="Arial" w:hAnsi="Arial" w:hint="cs"/>
          <w:b/>
          <w:bCs/>
          <w:u w:val="single"/>
          <w:rtl/>
        </w:rPr>
        <w:t>זכות ערעור תוך 45</w:t>
      </w:r>
    </w:p>
    <w:p w14:paraId="28C7C557" w14:textId="77777777" w:rsidR="000D0AE3" w:rsidRPr="001518AF" w:rsidRDefault="001518AF" w:rsidP="000D0AE3">
      <w:pPr>
        <w:spacing w:line="360" w:lineRule="auto"/>
        <w:rPr>
          <w:rFonts w:ascii="Arial" w:hAnsi="Arial"/>
          <w:b/>
          <w:bCs/>
          <w:color w:val="FFFFFF"/>
          <w:sz w:val="2"/>
          <w:szCs w:val="2"/>
          <w:rtl/>
        </w:rPr>
      </w:pPr>
      <w:r w:rsidRPr="001518AF">
        <w:rPr>
          <w:rFonts w:ascii="Arial" w:hAnsi="Arial"/>
          <w:b/>
          <w:bCs/>
          <w:color w:val="FFFFFF"/>
          <w:sz w:val="2"/>
          <w:szCs w:val="2"/>
          <w:rtl/>
        </w:rPr>
        <w:t>54678313</w:t>
      </w:r>
    </w:p>
    <w:p w14:paraId="12EA59A0" w14:textId="77777777" w:rsidR="000D0AE3" w:rsidRPr="000F2247" w:rsidRDefault="000D0AE3" w:rsidP="000D0AE3">
      <w:pPr>
        <w:rPr>
          <w:rFonts w:ascii="Arial" w:hAnsi="Arial"/>
          <w:b/>
          <w:bCs/>
          <w:sz w:val="26"/>
          <w:szCs w:val="26"/>
          <w:rtl/>
        </w:rPr>
      </w:pPr>
    </w:p>
    <w:p w14:paraId="437CF962" w14:textId="77777777" w:rsidR="000D0AE3" w:rsidRPr="000F2247" w:rsidRDefault="001518AF" w:rsidP="000D0AE3">
      <w:pPr>
        <w:rPr>
          <w:rFonts w:ascii="Arial" w:hAnsi="Arial"/>
          <w:b/>
          <w:bCs/>
          <w:sz w:val="26"/>
          <w:szCs w:val="26"/>
          <w:rtl/>
        </w:rPr>
      </w:pPr>
      <w:bookmarkStart w:id="8" w:name="Nitan"/>
      <w:r>
        <w:rPr>
          <w:rFonts w:ascii="Arial" w:hAnsi="Arial"/>
          <w:b/>
          <w:bCs/>
          <w:sz w:val="26"/>
          <w:szCs w:val="26"/>
          <w:rtl/>
        </w:rPr>
        <w:t xml:space="preserve">ניתן היום,  כ' תמוז תשפ"ב, 19 יולי 2022, בהעדר הצדדים. </w:t>
      </w:r>
      <w:bookmarkEnd w:id="8"/>
    </w:p>
    <w:p w14:paraId="2C780F87" w14:textId="77777777" w:rsidR="000D0AE3" w:rsidRPr="000F2247" w:rsidRDefault="000D0AE3" w:rsidP="001518A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4F8693D" w14:textId="77777777" w:rsidR="000D0AE3" w:rsidRPr="000F2247" w:rsidRDefault="000D0AE3" w:rsidP="000D0AE3">
      <w:pPr>
        <w:jc w:val="center"/>
        <w:rPr>
          <w:rFonts w:ascii="Arial" w:hAnsi="Arial"/>
          <w:b/>
          <w:bCs/>
          <w:sz w:val="26"/>
          <w:szCs w:val="26"/>
          <w:rtl/>
        </w:rPr>
      </w:pPr>
    </w:p>
    <w:p w14:paraId="18EA0FAC" w14:textId="77777777" w:rsidR="00000FB1" w:rsidRPr="001518AF" w:rsidRDefault="00000FB1" w:rsidP="001518AF">
      <w:pPr>
        <w:keepNext/>
        <w:rPr>
          <w:rFonts w:ascii="David" w:hAnsi="David"/>
          <w:color w:val="000000"/>
          <w:sz w:val="22"/>
          <w:szCs w:val="22"/>
          <w:rtl/>
        </w:rPr>
      </w:pPr>
    </w:p>
    <w:p w14:paraId="6667EA09" w14:textId="77777777" w:rsidR="001518AF" w:rsidRPr="001518AF" w:rsidRDefault="001518AF" w:rsidP="001518AF">
      <w:pPr>
        <w:keepNext/>
        <w:rPr>
          <w:rFonts w:ascii="David" w:hAnsi="David"/>
          <w:color w:val="000000"/>
          <w:sz w:val="22"/>
          <w:szCs w:val="22"/>
          <w:rtl/>
        </w:rPr>
      </w:pPr>
      <w:r w:rsidRPr="001518AF">
        <w:rPr>
          <w:rFonts w:ascii="David" w:hAnsi="David"/>
          <w:color w:val="000000"/>
          <w:sz w:val="22"/>
          <w:szCs w:val="22"/>
          <w:rtl/>
        </w:rPr>
        <w:t>דניאל פיש 54678313</w:t>
      </w:r>
    </w:p>
    <w:p w14:paraId="3B8A5015" w14:textId="77777777" w:rsidR="001518AF" w:rsidRDefault="001518AF" w:rsidP="001518AF">
      <w:r w:rsidRPr="001518AF">
        <w:rPr>
          <w:color w:val="000000"/>
          <w:rtl/>
        </w:rPr>
        <w:t>נוסח מסמך זה כפוף לשינויי ניסוח ועריכה</w:t>
      </w:r>
    </w:p>
    <w:p w14:paraId="442F1649" w14:textId="77777777" w:rsidR="001518AF" w:rsidRDefault="001518AF" w:rsidP="001518AF">
      <w:pPr>
        <w:rPr>
          <w:rtl/>
        </w:rPr>
      </w:pPr>
    </w:p>
    <w:p w14:paraId="5D76D47F" w14:textId="77777777" w:rsidR="001518AF" w:rsidRDefault="001518AF" w:rsidP="001518AF">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32C2EE25" w14:textId="77777777" w:rsidR="001518AF" w:rsidRPr="001518AF" w:rsidRDefault="001518AF" w:rsidP="001518AF">
      <w:pPr>
        <w:jc w:val="center"/>
        <w:rPr>
          <w:color w:val="0000FF"/>
          <w:u w:val="single"/>
        </w:rPr>
      </w:pPr>
    </w:p>
    <w:sectPr w:rsidR="001518AF" w:rsidRPr="001518AF" w:rsidSect="001518AF">
      <w:headerReference w:type="even" r:id="rId71"/>
      <w:headerReference w:type="default" r:id="rId72"/>
      <w:footerReference w:type="even" r:id="rId73"/>
      <w:footerReference w:type="default" r:id="rId7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EF626" w14:textId="77777777" w:rsidR="00C31440" w:rsidRDefault="00C31440" w:rsidP="00050955">
      <w:r>
        <w:separator/>
      </w:r>
    </w:p>
  </w:endnote>
  <w:endnote w:type="continuationSeparator" w:id="0">
    <w:p w14:paraId="5E72251E" w14:textId="77777777" w:rsidR="00C31440" w:rsidRDefault="00C31440" w:rsidP="00050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A0429" w14:textId="77777777" w:rsidR="001518AF" w:rsidRDefault="001518AF" w:rsidP="001518A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C8E7B47" w14:textId="77777777" w:rsidR="00125152" w:rsidRPr="001518AF" w:rsidRDefault="001518AF" w:rsidP="001518A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9604" w14:textId="77777777" w:rsidR="001518AF" w:rsidRDefault="001518AF" w:rsidP="001518A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2A33">
      <w:rPr>
        <w:rFonts w:ascii="FrankRuehl" w:hAnsi="FrankRuehl" w:cs="FrankRuehl"/>
        <w:noProof/>
        <w:rtl/>
      </w:rPr>
      <w:t>1</w:t>
    </w:r>
    <w:r>
      <w:rPr>
        <w:rFonts w:ascii="FrankRuehl" w:hAnsi="FrankRuehl" w:cs="FrankRuehl"/>
        <w:rtl/>
      </w:rPr>
      <w:fldChar w:fldCharType="end"/>
    </w:r>
  </w:p>
  <w:p w14:paraId="57881076" w14:textId="77777777" w:rsidR="00125152" w:rsidRPr="001518AF" w:rsidRDefault="001518AF" w:rsidP="001518A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12AD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5C640" w14:textId="77777777" w:rsidR="00C31440" w:rsidRDefault="00C31440" w:rsidP="00050955">
      <w:r>
        <w:separator/>
      </w:r>
    </w:p>
  </w:footnote>
  <w:footnote w:type="continuationSeparator" w:id="0">
    <w:p w14:paraId="7ABB18C2" w14:textId="77777777" w:rsidR="00C31440" w:rsidRDefault="00C31440" w:rsidP="00050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B8181" w14:textId="77777777" w:rsidR="001518AF" w:rsidRPr="001518AF" w:rsidRDefault="001518AF" w:rsidP="001518A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68529-11-21</w:t>
    </w:r>
    <w:r>
      <w:rPr>
        <w:rFonts w:ascii="David" w:hAnsi="David"/>
        <w:color w:val="000000"/>
        <w:sz w:val="22"/>
        <w:szCs w:val="22"/>
        <w:rtl/>
      </w:rPr>
      <w:tab/>
      <w:t xml:space="preserve"> מדינת ישראל נ' מואמן באללה עאסלה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252BF" w14:textId="77777777" w:rsidR="001518AF" w:rsidRPr="001518AF" w:rsidRDefault="001518AF" w:rsidP="001518A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68529-11-21</w:t>
    </w:r>
    <w:r>
      <w:rPr>
        <w:rFonts w:ascii="David" w:hAnsi="David"/>
        <w:color w:val="000000"/>
        <w:sz w:val="22"/>
        <w:szCs w:val="22"/>
        <w:rtl/>
      </w:rPr>
      <w:tab/>
      <w:t xml:space="preserve"> מדינת ישראל נ' מואמן באללה עאסלה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682416"/>
    <w:multiLevelType w:val="hybridMultilevel"/>
    <w:tmpl w:val="CCA43312"/>
    <w:lvl w:ilvl="0" w:tplc="D6E24404">
      <w:start w:val="13"/>
      <w:numFmt w:val="bullet"/>
      <w:lvlText w:val="-"/>
      <w:lvlJc w:val="left"/>
      <w:pPr>
        <w:ind w:left="927"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007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0AE3"/>
    <w:rsid w:val="00000FB1"/>
    <w:rsid w:val="00007658"/>
    <w:rsid w:val="00050955"/>
    <w:rsid w:val="000D0AE3"/>
    <w:rsid w:val="000E15A1"/>
    <w:rsid w:val="00125152"/>
    <w:rsid w:val="001518AF"/>
    <w:rsid w:val="001B5A3B"/>
    <w:rsid w:val="00346517"/>
    <w:rsid w:val="00506A58"/>
    <w:rsid w:val="0076066B"/>
    <w:rsid w:val="00A15872"/>
    <w:rsid w:val="00B16870"/>
    <w:rsid w:val="00C31440"/>
    <w:rsid w:val="00D83115"/>
    <w:rsid w:val="00DD2A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902484"/>
  <w15:chartTrackingRefBased/>
  <w15:docId w15:val="{72523241-C4E6-464F-B06B-AA87696B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0AE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D0AE3"/>
    <w:pPr>
      <w:tabs>
        <w:tab w:val="center" w:pos="4153"/>
        <w:tab w:val="right" w:pos="8306"/>
      </w:tabs>
    </w:pPr>
  </w:style>
  <w:style w:type="character" w:customStyle="1" w:styleId="a4">
    <w:name w:val="כותרת עליונה תו"/>
    <w:link w:val="a3"/>
    <w:rsid w:val="000D0AE3"/>
    <w:rPr>
      <w:rFonts w:ascii="Times New Roman" w:eastAsia="Times New Roman" w:hAnsi="Times New Roman" w:cs="David"/>
      <w:sz w:val="24"/>
      <w:szCs w:val="24"/>
    </w:rPr>
  </w:style>
  <w:style w:type="paragraph" w:styleId="a5">
    <w:name w:val="footer"/>
    <w:basedOn w:val="a"/>
    <w:link w:val="a6"/>
    <w:rsid w:val="000D0AE3"/>
    <w:pPr>
      <w:tabs>
        <w:tab w:val="center" w:pos="4153"/>
        <w:tab w:val="right" w:pos="8306"/>
      </w:tabs>
    </w:pPr>
  </w:style>
  <w:style w:type="character" w:customStyle="1" w:styleId="a6">
    <w:name w:val="כותרת תחתונה תו"/>
    <w:link w:val="a5"/>
    <w:rsid w:val="000D0AE3"/>
    <w:rPr>
      <w:rFonts w:ascii="Times New Roman" w:eastAsia="Times New Roman" w:hAnsi="Times New Roman" w:cs="David"/>
      <w:sz w:val="24"/>
      <w:szCs w:val="24"/>
    </w:rPr>
  </w:style>
  <w:style w:type="table" w:styleId="a7">
    <w:name w:val="Table Grid"/>
    <w:basedOn w:val="a1"/>
    <w:rsid w:val="000D0AE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D0AE3"/>
  </w:style>
  <w:style w:type="paragraph" w:styleId="a9">
    <w:name w:val="List Paragraph"/>
    <w:basedOn w:val="a"/>
    <w:qFormat/>
    <w:rsid w:val="000D0AE3"/>
    <w:pPr>
      <w:ind w:left="720"/>
      <w:contextualSpacing/>
    </w:pPr>
  </w:style>
  <w:style w:type="character" w:styleId="Hyperlink">
    <w:name w:val="Hyperlink"/>
    <w:rsid w:val="001518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9" TargetMode="External"/><Relationship Id="rId21" Type="http://schemas.openxmlformats.org/officeDocument/2006/relationships/hyperlink" Target="http://www.nevo.co.il/law/5227/67" TargetMode="External"/><Relationship Id="rId42" Type="http://schemas.openxmlformats.org/officeDocument/2006/relationships/hyperlink" Target="http://www.nevo.co.il/law/70301/29" TargetMode="External"/><Relationship Id="rId47" Type="http://schemas.openxmlformats.org/officeDocument/2006/relationships/hyperlink" Target="http://www.nevo.co.il/case/28243273" TargetMode="External"/><Relationship Id="rId63" Type="http://schemas.openxmlformats.org/officeDocument/2006/relationships/hyperlink" Target="http://www.nevo.co.il/law/70301/144.a" TargetMode="External"/><Relationship Id="rId68" Type="http://schemas.openxmlformats.org/officeDocument/2006/relationships/hyperlink" Target="http://www.nevo.co.il/law/70301/40jc.b" TargetMode="External"/><Relationship Id="rId2" Type="http://schemas.openxmlformats.org/officeDocument/2006/relationships/styles" Target="styles.xml"/><Relationship Id="rId16" Type="http://schemas.openxmlformats.org/officeDocument/2006/relationships/hyperlink" Target="http://www.nevo.co.il/law/70301/40jc.b" TargetMode="External"/><Relationship Id="rId29" Type="http://schemas.openxmlformats.org/officeDocument/2006/relationships/hyperlink" Target="http://www.nevo.co.il/law/70301/29"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law/70301/29" TargetMode="External"/><Relationship Id="rId40" Type="http://schemas.openxmlformats.org/officeDocument/2006/relationships/hyperlink" Target="http://www.nevo.co.il/law/70301/29" TargetMode="External"/><Relationship Id="rId45" Type="http://schemas.openxmlformats.org/officeDocument/2006/relationships/hyperlink" Target="http://www.nevo.co.il/case/28424228" TargetMode="External"/><Relationship Id="rId53" Type="http://schemas.openxmlformats.org/officeDocument/2006/relationships/hyperlink" Target="http://www.nevo.co.il/case/20180302" TargetMode="External"/><Relationship Id="rId58" Type="http://schemas.openxmlformats.org/officeDocument/2006/relationships/hyperlink" Target="http://www.nevo.co.il/case/25299692" TargetMode="External"/><Relationship Id="rId66" Type="http://schemas.openxmlformats.org/officeDocument/2006/relationships/hyperlink" Target="http://www.nevo.co.il/case/23392658"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1771409" TargetMode="External"/><Relationship Id="rId19" Type="http://schemas.openxmlformats.org/officeDocument/2006/relationships/hyperlink" Target="http://www.nevo.co.il/law/70301/499.a"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340a.b.1" TargetMode="External"/><Relationship Id="rId30" Type="http://schemas.openxmlformats.org/officeDocument/2006/relationships/hyperlink" Target="http://www.nevo.co.il/law/5227/67" TargetMode="External"/><Relationship Id="rId35" Type="http://schemas.openxmlformats.org/officeDocument/2006/relationships/hyperlink" Target="http://www.nevo.co.il/law/70301/499.a" TargetMode="External"/><Relationship Id="rId43" Type="http://schemas.openxmlformats.org/officeDocument/2006/relationships/hyperlink" Target="http://www.nevo.co.il/law/70301/25" TargetMode="External"/><Relationship Id="rId48" Type="http://schemas.openxmlformats.org/officeDocument/2006/relationships/hyperlink" Target="http://www.nevo.co.il/case/26492590" TargetMode="External"/><Relationship Id="rId56" Type="http://schemas.openxmlformats.org/officeDocument/2006/relationships/hyperlink" Target="http://www.nevo.co.il/case/26842441" TargetMode="External"/><Relationship Id="rId64" Type="http://schemas.openxmlformats.org/officeDocument/2006/relationships/hyperlink" Target="http://www.nevo.co.il/law/70301/144.b" TargetMode="External"/><Relationship Id="rId69" Type="http://schemas.openxmlformats.org/officeDocument/2006/relationships/hyperlink" Target="http://www.nevo.co.il/law/70301"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6248029"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413d.b"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law/70301/144.a" TargetMode="External"/><Relationship Id="rId46" Type="http://schemas.openxmlformats.org/officeDocument/2006/relationships/hyperlink" Target="http://www.nevo.co.il/case/28384637" TargetMode="External"/><Relationship Id="rId59" Type="http://schemas.openxmlformats.org/officeDocument/2006/relationships/hyperlink" Target="http://www.nevo.co.il/case/21472710" TargetMode="External"/><Relationship Id="rId67" Type="http://schemas.openxmlformats.org/officeDocument/2006/relationships/hyperlink" Target="http://www.nevo.co.il/case/20998872" TargetMode="External"/><Relationship Id="rId20" Type="http://schemas.openxmlformats.org/officeDocument/2006/relationships/hyperlink" Target="http://www.nevo.co.il/law/5227" TargetMode="External"/><Relationship Id="rId41" Type="http://schemas.openxmlformats.org/officeDocument/2006/relationships/hyperlink" Target="http://www.nevo.co.il/law/70301/244" TargetMode="External"/><Relationship Id="rId54" Type="http://schemas.openxmlformats.org/officeDocument/2006/relationships/hyperlink" Target="http://www.nevo.co.il/case/13042295" TargetMode="External"/><Relationship Id="rId62" Type="http://schemas.openxmlformats.org/officeDocument/2006/relationships/hyperlink" Target="http://www.nevo.co.il/case/23814031"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b.2" TargetMode="External"/><Relationship Id="rId23" Type="http://schemas.openxmlformats.org/officeDocument/2006/relationships/hyperlink" Target="http://www.nevo.co.il/law/70301/413i" TargetMode="External"/><Relationship Id="rId28" Type="http://schemas.openxmlformats.org/officeDocument/2006/relationships/hyperlink" Target="http://www.nevo.co.il/law/70301/340a.b.2" TargetMode="External"/><Relationship Id="rId36" Type="http://schemas.openxmlformats.org/officeDocument/2006/relationships/hyperlink" Target="http://www.nevo.co.il/law/70301/413d.b" TargetMode="External"/><Relationship Id="rId49" Type="http://schemas.openxmlformats.org/officeDocument/2006/relationships/hyperlink" Target="http://www.nevo.co.il/case/26986954" TargetMode="External"/><Relationship Id="rId57" Type="http://schemas.openxmlformats.org/officeDocument/2006/relationships/hyperlink" Target="http://www.nevo.co.il/case/20932472"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5227" TargetMode="External"/><Relationship Id="rId44" Type="http://schemas.openxmlformats.org/officeDocument/2006/relationships/hyperlink" Target="http://www.nevo.co.il/case/28513828" TargetMode="External"/><Relationship Id="rId52" Type="http://schemas.openxmlformats.org/officeDocument/2006/relationships/hyperlink" Target="http://www.nevo.co.il/case/22746666" TargetMode="External"/><Relationship Id="rId60" Type="http://schemas.openxmlformats.org/officeDocument/2006/relationships/hyperlink" Target="http://www.nevo.co.il/case/20140218" TargetMode="External"/><Relationship Id="rId65" Type="http://schemas.openxmlformats.org/officeDocument/2006/relationships/hyperlink" Target="http://www.nevo.co.il/law/70301/144.b2"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244" TargetMode="External"/><Relationship Id="rId18" Type="http://schemas.openxmlformats.org/officeDocument/2006/relationships/hyperlink" Target="http://www.nevo.co.il/law/70301/413i" TargetMode="External"/><Relationship Id="rId39" Type="http://schemas.openxmlformats.org/officeDocument/2006/relationships/hyperlink" Target="http://www.nevo.co.il/law/70301/144.b" TargetMode="External"/><Relationship Id="rId34" Type="http://schemas.openxmlformats.org/officeDocument/2006/relationships/hyperlink" Target="http://www.nevo.co.il/law/70301/144.b" TargetMode="External"/><Relationship Id="rId50" Type="http://schemas.openxmlformats.org/officeDocument/2006/relationships/hyperlink" Target="http://www.nevo.co.il/case/13097162" TargetMode="External"/><Relationship Id="rId55" Type="http://schemas.openxmlformats.org/officeDocument/2006/relationships/hyperlink" Target="http://www.nevo.co.il/case/20685827" TargetMode="External"/><Relationship Id="rId76"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3694</Words>
  <Characters>18470</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22120</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6553637</vt:i4>
      </vt:variant>
      <vt:variant>
        <vt:i4>183</vt:i4>
      </vt:variant>
      <vt:variant>
        <vt:i4>0</vt:i4>
      </vt:variant>
      <vt:variant>
        <vt:i4>5</vt:i4>
      </vt:variant>
      <vt:variant>
        <vt:lpwstr>http://www.nevo.co.il/law/70301/40jc.b</vt:lpwstr>
      </vt:variant>
      <vt:variant>
        <vt:lpwstr/>
      </vt:variant>
      <vt:variant>
        <vt:i4>3407989</vt:i4>
      </vt:variant>
      <vt:variant>
        <vt:i4>180</vt:i4>
      </vt:variant>
      <vt:variant>
        <vt:i4>0</vt:i4>
      </vt:variant>
      <vt:variant>
        <vt:i4>5</vt:i4>
      </vt:variant>
      <vt:variant>
        <vt:lpwstr>http://www.nevo.co.il/case/20998872</vt:lpwstr>
      </vt:variant>
      <vt:variant>
        <vt:lpwstr/>
      </vt:variant>
      <vt:variant>
        <vt:i4>3539064</vt:i4>
      </vt:variant>
      <vt:variant>
        <vt:i4>177</vt:i4>
      </vt:variant>
      <vt:variant>
        <vt:i4>0</vt:i4>
      </vt:variant>
      <vt:variant>
        <vt:i4>5</vt:i4>
      </vt:variant>
      <vt:variant>
        <vt:lpwstr>http://www.nevo.co.il/case/23392658</vt:lpwstr>
      </vt:variant>
      <vt:variant>
        <vt:lpwstr/>
      </vt:variant>
      <vt:variant>
        <vt:i4>8192050</vt:i4>
      </vt:variant>
      <vt:variant>
        <vt:i4>174</vt:i4>
      </vt:variant>
      <vt:variant>
        <vt:i4>0</vt:i4>
      </vt:variant>
      <vt:variant>
        <vt:i4>5</vt:i4>
      </vt:variant>
      <vt:variant>
        <vt:lpwstr>http://www.nevo.co.il/law/70301/144.b2</vt:lpwstr>
      </vt:variant>
      <vt:variant>
        <vt:lpwstr/>
      </vt:variant>
      <vt:variant>
        <vt:i4>5177424</vt:i4>
      </vt:variant>
      <vt:variant>
        <vt:i4>171</vt:i4>
      </vt:variant>
      <vt:variant>
        <vt:i4>0</vt:i4>
      </vt:variant>
      <vt:variant>
        <vt:i4>5</vt:i4>
      </vt:variant>
      <vt:variant>
        <vt:lpwstr>http://www.nevo.co.il/law/70301/144.b</vt:lpwstr>
      </vt:variant>
      <vt:variant>
        <vt:lpwstr/>
      </vt:variant>
      <vt:variant>
        <vt:i4>5177424</vt:i4>
      </vt:variant>
      <vt:variant>
        <vt:i4>168</vt:i4>
      </vt:variant>
      <vt:variant>
        <vt:i4>0</vt:i4>
      </vt:variant>
      <vt:variant>
        <vt:i4>5</vt:i4>
      </vt:variant>
      <vt:variant>
        <vt:lpwstr>http://www.nevo.co.il/law/70301/144.a</vt:lpwstr>
      </vt:variant>
      <vt:variant>
        <vt:lpwstr/>
      </vt:variant>
      <vt:variant>
        <vt:i4>3997814</vt:i4>
      </vt:variant>
      <vt:variant>
        <vt:i4>165</vt:i4>
      </vt:variant>
      <vt:variant>
        <vt:i4>0</vt:i4>
      </vt:variant>
      <vt:variant>
        <vt:i4>5</vt:i4>
      </vt:variant>
      <vt:variant>
        <vt:lpwstr>http://www.nevo.co.il/case/23814031</vt:lpwstr>
      </vt:variant>
      <vt:variant>
        <vt:lpwstr/>
      </vt:variant>
      <vt:variant>
        <vt:i4>3407990</vt:i4>
      </vt:variant>
      <vt:variant>
        <vt:i4>162</vt:i4>
      </vt:variant>
      <vt:variant>
        <vt:i4>0</vt:i4>
      </vt:variant>
      <vt:variant>
        <vt:i4>5</vt:i4>
      </vt:variant>
      <vt:variant>
        <vt:lpwstr>http://www.nevo.co.il/case/21771409</vt:lpwstr>
      </vt:variant>
      <vt:variant>
        <vt:lpwstr/>
      </vt:variant>
      <vt:variant>
        <vt:i4>3276914</vt:i4>
      </vt:variant>
      <vt:variant>
        <vt:i4>159</vt:i4>
      </vt:variant>
      <vt:variant>
        <vt:i4>0</vt:i4>
      </vt:variant>
      <vt:variant>
        <vt:i4>5</vt:i4>
      </vt:variant>
      <vt:variant>
        <vt:lpwstr>http://www.nevo.co.il/case/20140218</vt:lpwstr>
      </vt:variant>
      <vt:variant>
        <vt:lpwstr/>
      </vt:variant>
      <vt:variant>
        <vt:i4>3473525</vt:i4>
      </vt:variant>
      <vt:variant>
        <vt:i4>156</vt:i4>
      </vt:variant>
      <vt:variant>
        <vt:i4>0</vt:i4>
      </vt:variant>
      <vt:variant>
        <vt:i4>5</vt:i4>
      </vt:variant>
      <vt:variant>
        <vt:lpwstr>http://www.nevo.co.il/case/21472710</vt:lpwstr>
      </vt:variant>
      <vt:variant>
        <vt:lpwstr/>
      </vt:variant>
      <vt:variant>
        <vt:i4>3145854</vt:i4>
      </vt:variant>
      <vt:variant>
        <vt:i4>153</vt:i4>
      </vt:variant>
      <vt:variant>
        <vt:i4>0</vt:i4>
      </vt:variant>
      <vt:variant>
        <vt:i4>5</vt:i4>
      </vt:variant>
      <vt:variant>
        <vt:lpwstr>http://www.nevo.co.il/case/25299692</vt:lpwstr>
      </vt:variant>
      <vt:variant>
        <vt:lpwstr/>
      </vt:variant>
      <vt:variant>
        <vt:i4>4063347</vt:i4>
      </vt:variant>
      <vt:variant>
        <vt:i4>150</vt:i4>
      </vt:variant>
      <vt:variant>
        <vt:i4>0</vt:i4>
      </vt:variant>
      <vt:variant>
        <vt:i4>5</vt:i4>
      </vt:variant>
      <vt:variant>
        <vt:lpwstr>http://www.nevo.co.il/case/20932472</vt:lpwstr>
      </vt:variant>
      <vt:variant>
        <vt:lpwstr/>
      </vt:variant>
      <vt:variant>
        <vt:i4>3932274</vt:i4>
      </vt:variant>
      <vt:variant>
        <vt:i4>147</vt:i4>
      </vt:variant>
      <vt:variant>
        <vt:i4>0</vt:i4>
      </vt:variant>
      <vt:variant>
        <vt:i4>5</vt:i4>
      </vt:variant>
      <vt:variant>
        <vt:lpwstr>http://www.nevo.co.il/case/26842441</vt:lpwstr>
      </vt:variant>
      <vt:variant>
        <vt:lpwstr/>
      </vt:variant>
      <vt:variant>
        <vt:i4>3342452</vt:i4>
      </vt:variant>
      <vt:variant>
        <vt:i4>144</vt:i4>
      </vt:variant>
      <vt:variant>
        <vt:i4>0</vt:i4>
      </vt:variant>
      <vt:variant>
        <vt:i4>5</vt:i4>
      </vt:variant>
      <vt:variant>
        <vt:lpwstr>http://www.nevo.co.il/case/20685827</vt:lpwstr>
      </vt:variant>
      <vt:variant>
        <vt:lpwstr/>
      </vt:variant>
      <vt:variant>
        <vt:i4>3801201</vt:i4>
      </vt:variant>
      <vt:variant>
        <vt:i4>141</vt:i4>
      </vt:variant>
      <vt:variant>
        <vt:i4>0</vt:i4>
      </vt:variant>
      <vt:variant>
        <vt:i4>5</vt:i4>
      </vt:variant>
      <vt:variant>
        <vt:lpwstr>http://www.nevo.co.il/case/13042295</vt:lpwstr>
      </vt:variant>
      <vt:variant>
        <vt:lpwstr/>
      </vt:variant>
      <vt:variant>
        <vt:i4>3342463</vt:i4>
      </vt:variant>
      <vt:variant>
        <vt:i4>138</vt:i4>
      </vt:variant>
      <vt:variant>
        <vt:i4>0</vt:i4>
      </vt:variant>
      <vt:variant>
        <vt:i4>5</vt:i4>
      </vt:variant>
      <vt:variant>
        <vt:lpwstr>http://www.nevo.co.il/case/20180302</vt:lpwstr>
      </vt:variant>
      <vt:variant>
        <vt:lpwstr/>
      </vt:variant>
      <vt:variant>
        <vt:i4>3473524</vt:i4>
      </vt:variant>
      <vt:variant>
        <vt:i4>135</vt:i4>
      </vt:variant>
      <vt:variant>
        <vt:i4>0</vt:i4>
      </vt:variant>
      <vt:variant>
        <vt:i4>5</vt:i4>
      </vt:variant>
      <vt:variant>
        <vt:lpwstr>http://www.nevo.co.il/case/22746666</vt:lpwstr>
      </vt:variant>
      <vt:variant>
        <vt:lpwstr/>
      </vt:variant>
      <vt:variant>
        <vt:i4>3866748</vt:i4>
      </vt:variant>
      <vt:variant>
        <vt:i4>132</vt:i4>
      </vt:variant>
      <vt:variant>
        <vt:i4>0</vt:i4>
      </vt:variant>
      <vt:variant>
        <vt:i4>5</vt:i4>
      </vt:variant>
      <vt:variant>
        <vt:lpwstr>http://www.nevo.co.il/case/6248029</vt:lpwstr>
      </vt:variant>
      <vt:variant>
        <vt:lpwstr/>
      </vt:variant>
      <vt:variant>
        <vt:i4>3145855</vt:i4>
      </vt:variant>
      <vt:variant>
        <vt:i4>129</vt:i4>
      </vt:variant>
      <vt:variant>
        <vt:i4>0</vt:i4>
      </vt:variant>
      <vt:variant>
        <vt:i4>5</vt:i4>
      </vt:variant>
      <vt:variant>
        <vt:lpwstr>http://www.nevo.co.il/case/13097162</vt:lpwstr>
      </vt:variant>
      <vt:variant>
        <vt:lpwstr/>
      </vt:variant>
      <vt:variant>
        <vt:i4>3670131</vt:i4>
      </vt:variant>
      <vt:variant>
        <vt:i4>126</vt:i4>
      </vt:variant>
      <vt:variant>
        <vt:i4>0</vt:i4>
      </vt:variant>
      <vt:variant>
        <vt:i4>5</vt:i4>
      </vt:variant>
      <vt:variant>
        <vt:lpwstr>http://www.nevo.co.il/case/26986954</vt:lpwstr>
      </vt:variant>
      <vt:variant>
        <vt:lpwstr/>
      </vt:variant>
      <vt:variant>
        <vt:i4>3997822</vt:i4>
      </vt:variant>
      <vt:variant>
        <vt:i4>123</vt:i4>
      </vt:variant>
      <vt:variant>
        <vt:i4>0</vt:i4>
      </vt:variant>
      <vt:variant>
        <vt:i4>5</vt:i4>
      </vt:variant>
      <vt:variant>
        <vt:lpwstr>http://www.nevo.co.il/case/26492590</vt:lpwstr>
      </vt:variant>
      <vt:variant>
        <vt:lpwstr/>
      </vt:variant>
      <vt:variant>
        <vt:i4>3407994</vt:i4>
      </vt:variant>
      <vt:variant>
        <vt:i4>120</vt:i4>
      </vt:variant>
      <vt:variant>
        <vt:i4>0</vt:i4>
      </vt:variant>
      <vt:variant>
        <vt:i4>5</vt:i4>
      </vt:variant>
      <vt:variant>
        <vt:lpwstr>http://www.nevo.co.il/case/28243273</vt:lpwstr>
      </vt:variant>
      <vt:variant>
        <vt:lpwstr/>
      </vt:variant>
      <vt:variant>
        <vt:i4>3539058</vt:i4>
      </vt:variant>
      <vt:variant>
        <vt:i4>117</vt:i4>
      </vt:variant>
      <vt:variant>
        <vt:i4>0</vt:i4>
      </vt:variant>
      <vt:variant>
        <vt:i4>5</vt:i4>
      </vt:variant>
      <vt:variant>
        <vt:lpwstr>http://www.nevo.co.il/case/28384637</vt:lpwstr>
      </vt:variant>
      <vt:variant>
        <vt:lpwstr/>
      </vt:variant>
      <vt:variant>
        <vt:i4>3145852</vt:i4>
      </vt:variant>
      <vt:variant>
        <vt:i4>114</vt:i4>
      </vt:variant>
      <vt:variant>
        <vt:i4>0</vt:i4>
      </vt:variant>
      <vt:variant>
        <vt:i4>5</vt:i4>
      </vt:variant>
      <vt:variant>
        <vt:lpwstr>http://www.nevo.co.il/case/28424228</vt:lpwstr>
      </vt:variant>
      <vt:variant>
        <vt:lpwstr/>
      </vt:variant>
      <vt:variant>
        <vt:i4>3539061</vt:i4>
      </vt:variant>
      <vt:variant>
        <vt:i4>111</vt:i4>
      </vt:variant>
      <vt:variant>
        <vt:i4>0</vt:i4>
      </vt:variant>
      <vt:variant>
        <vt:i4>5</vt:i4>
      </vt:variant>
      <vt:variant>
        <vt:lpwstr>http://www.nevo.co.il/case/28513828</vt:lpwstr>
      </vt:variant>
      <vt:variant>
        <vt:lpwstr/>
      </vt:variant>
      <vt:variant>
        <vt:i4>6291559</vt:i4>
      </vt:variant>
      <vt:variant>
        <vt:i4>108</vt:i4>
      </vt:variant>
      <vt:variant>
        <vt:i4>0</vt:i4>
      </vt:variant>
      <vt:variant>
        <vt:i4>5</vt:i4>
      </vt:variant>
      <vt:variant>
        <vt:lpwstr>http://www.nevo.co.il/law/70301/25</vt:lpwstr>
      </vt:variant>
      <vt:variant>
        <vt:lpwstr/>
      </vt:variant>
      <vt:variant>
        <vt:i4>7077991</vt:i4>
      </vt:variant>
      <vt:variant>
        <vt:i4>105</vt:i4>
      </vt:variant>
      <vt:variant>
        <vt:i4>0</vt:i4>
      </vt:variant>
      <vt:variant>
        <vt:i4>5</vt:i4>
      </vt:variant>
      <vt:variant>
        <vt:lpwstr>http://www.nevo.co.il/law/70301/29</vt:lpwstr>
      </vt:variant>
      <vt:variant>
        <vt:lpwstr/>
      </vt:variant>
      <vt:variant>
        <vt:i4>6357095</vt:i4>
      </vt:variant>
      <vt:variant>
        <vt:i4>102</vt:i4>
      </vt:variant>
      <vt:variant>
        <vt:i4>0</vt:i4>
      </vt:variant>
      <vt:variant>
        <vt:i4>5</vt:i4>
      </vt:variant>
      <vt:variant>
        <vt:lpwstr>http://www.nevo.co.il/law/70301/244</vt:lpwstr>
      </vt:variant>
      <vt:variant>
        <vt:lpwstr/>
      </vt:variant>
      <vt:variant>
        <vt:i4>7077991</vt:i4>
      </vt:variant>
      <vt:variant>
        <vt:i4>99</vt:i4>
      </vt:variant>
      <vt:variant>
        <vt:i4>0</vt:i4>
      </vt:variant>
      <vt:variant>
        <vt:i4>5</vt:i4>
      </vt:variant>
      <vt:variant>
        <vt:lpwstr>http://www.nevo.co.il/law/70301/29</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5177424</vt:i4>
      </vt:variant>
      <vt:variant>
        <vt:i4>93</vt:i4>
      </vt:variant>
      <vt:variant>
        <vt:i4>0</vt:i4>
      </vt:variant>
      <vt:variant>
        <vt:i4>5</vt:i4>
      </vt:variant>
      <vt:variant>
        <vt:lpwstr>http://www.nevo.co.il/law/70301/144.a</vt:lpwstr>
      </vt:variant>
      <vt:variant>
        <vt:lpwstr/>
      </vt:variant>
      <vt:variant>
        <vt:i4>7077991</vt:i4>
      </vt:variant>
      <vt:variant>
        <vt:i4>90</vt:i4>
      </vt:variant>
      <vt:variant>
        <vt:i4>0</vt:i4>
      </vt:variant>
      <vt:variant>
        <vt:i4>5</vt:i4>
      </vt:variant>
      <vt:variant>
        <vt:lpwstr>http://www.nevo.co.il/law/70301/29</vt:lpwstr>
      </vt:variant>
      <vt:variant>
        <vt:lpwstr/>
      </vt:variant>
      <vt:variant>
        <vt:i4>6422652</vt:i4>
      </vt:variant>
      <vt:variant>
        <vt:i4>87</vt:i4>
      </vt:variant>
      <vt:variant>
        <vt:i4>0</vt:i4>
      </vt:variant>
      <vt:variant>
        <vt:i4>5</vt:i4>
      </vt:variant>
      <vt:variant>
        <vt:lpwstr>http://www.nevo.co.il/law/70301/413d.b</vt:lpwstr>
      </vt:variant>
      <vt:variant>
        <vt:lpwstr/>
      </vt:variant>
      <vt:variant>
        <vt:i4>4325464</vt:i4>
      </vt:variant>
      <vt:variant>
        <vt:i4>84</vt:i4>
      </vt:variant>
      <vt:variant>
        <vt:i4>0</vt:i4>
      </vt:variant>
      <vt:variant>
        <vt:i4>5</vt:i4>
      </vt:variant>
      <vt:variant>
        <vt:lpwstr>http://www.nevo.co.il/law/70301/499.a</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5177424</vt:i4>
      </vt:variant>
      <vt:variant>
        <vt:i4>75</vt:i4>
      </vt:variant>
      <vt:variant>
        <vt:i4>0</vt:i4>
      </vt:variant>
      <vt:variant>
        <vt:i4>5</vt:i4>
      </vt:variant>
      <vt:variant>
        <vt:lpwstr>http://www.nevo.co.il/law/70301/144.a</vt:lpwstr>
      </vt:variant>
      <vt:variant>
        <vt:lpwstr/>
      </vt:variant>
      <vt:variant>
        <vt:i4>8323175</vt:i4>
      </vt:variant>
      <vt:variant>
        <vt:i4>72</vt:i4>
      </vt:variant>
      <vt:variant>
        <vt:i4>0</vt:i4>
      </vt:variant>
      <vt:variant>
        <vt:i4>5</vt:i4>
      </vt:variant>
      <vt:variant>
        <vt:lpwstr>http://www.nevo.co.il/law/5227</vt:lpwstr>
      </vt:variant>
      <vt:variant>
        <vt:lpwstr/>
      </vt:variant>
      <vt:variant>
        <vt:i4>4784200</vt:i4>
      </vt:variant>
      <vt:variant>
        <vt:i4>69</vt:i4>
      </vt:variant>
      <vt:variant>
        <vt:i4>0</vt:i4>
      </vt:variant>
      <vt:variant>
        <vt:i4>5</vt:i4>
      </vt:variant>
      <vt:variant>
        <vt:lpwstr>http://www.nevo.co.il/law/5227/67</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5242966</vt:i4>
      </vt:variant>
      <vt:variant>
        <vt:i4>63</vt:i4>
      </vt:variant>
      <vt:variant>
        <vt:i4>0</vt:i4>
      </vt:variant>
      <vt:variant>
        <vt:i4>5</vt:i4>
      </vt:variant>
      <vt:variant>
        <vt:lpwstr>http://www.nevo.co.il/law/70301/340a.b.2</vt:lpwstr>
      </vt:variant>
      <vt:variant>
        <vt:lpwstr/>
      </vt:variant>
      <vt:variant>
        <vt:i4>5439574</vt:i4>
      </vt:variant>
      <vt:variant>
        <vt:i4>60</vt:i4>
      </vt:variant>
      <vt:variant>
        <vt:i4>0</vt:i4>
      </vt:variant>
      <vt:variant>
        <vt:i4>5</vt:i4>
      </vt:variant>
      <vt:variant>
        <vt:lpwstr>http://www.nevo.co.il/law/70301/340a.b.1</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7995492</vt:i4>
      </vt:variant>
      <vt:variant>
        <vt:i4>51</vt:i4>
      </vt:variant>
      <vt:variant>
        <vt:i4>0</vt:i4>
      </vt:variant>
      <vt:variant>
        <vt:i4>5</vt:i4>
      </vt:variant>
      <vt:variant>
        <vt:lpwstr>http://www.nevo.co.il/law/70301</vt:lpwstr>
      </vt:variant>
      <vt:variant>
        <vt:lpwstr/>
      </vt:variant>
      <vt:variant>
        <vt:i4>852050</vt:i4>
      </vt:variant>
      <vt:variant>
        <vt:i4>48</vt:i4>
      </vt:variant>
      <vt:variant>
        <vt:i4>0</vt:i4>
      </vt:variant>
      <vt:variant>
        <vt:i4>5</vt:i4>
      </vt:variant>
      <vt:variant>
        <vt:lpwstr>http://www.nevo.co.il/law/70301/413i</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4784200</vt:i4>
      </vt:variant>
      <vt:variant>
        <vt:i4>42</vt:i4>
      </vt:variant>
      <vt:variant>
        <vt:i4>0</vt:i4>
      </vt:variant>
      <vt:variant>
        <vt:i4>5</vt:i4>
      </vt:variant>
      <vt:variant>
        <vt:lpwstr>http://www.nevo.co.il/law/5227/67</vt:lpwstr>
      </vt:variant>
      <vt:variant>
        <vt:lpwstr/>
      </vt:variant>
      <vt:variant>
        <vt:i4>8323175</vt:i4>
      </vt:variant>
      <vt:variant>
        <vt:i4>39</vt:i4>
      </vt:variant>
      <vt:variant>
        <vt:i4>0</vt:i4>
      </vt:variant>
      <vt:variant>
        <vt:i4>5</vt:i4>
      </vt:variant>
      <vt:variant>
        <vt:lpwstr>http://www.nevo.co.il/law/5227</vt:lpwstr>
      </vt:variant>
      <vt:variant>
        <vt:lpwstr/>
      </vt:variant>
      <vt:variant>
        <vt:i4>4325464</vt:i4>
      </vt:variant>
      <vt:variant>
        <vt:i4>36</vt:i4>
      </vt:variant>
      <vt:variant>
        <vt:i4>0</vt:i4>
      </vt:variant>
      <vt:variant>
        <vt:i4>5</vt:i4>
      </vt:variant>
      <vt:variant>
        <vt:lpwstr>http://www.nevo.co.il/law/70301/499.a</vt:lpwstr>
      </vt:variant>
      <vt:variant>
        <vt:lpwstr/>
      </vt:variant>
      <vt:variant>
        <vt:i4>852050</vt:i4>
      </vt:variant>
      <vt:variant>
        <vt:i4>33</vt:i4>
      </vt:variant>
      <vt:variant>
        <vt:i4>0</vt:i4>
      </vt:variant>
      <vt:variant>
        <vt:i4>5</vt:i4>
      </vt:variant>
      <vt:variant>
        <vt:lpwstr>http://www.nevo.co.il/law/70301/413i</vt:lpwstr>
      </vt:variant>
      <vt:variant>
        <vt:lpwstr/>
      </vt:variant>
      <vt:variant>
        <vt:i4>6422652</vt:i4>
      </vt:variant>
      <vt:variant>
        <vt:i4>30</vt:i4>
      </vt:variant>
      <vt:variant>
        <vt:i4>0</vt:i4>
      </vt:variant>
      <vt:variant>
        <vt:i4>5</vt:i4>
      </vt:variant>
      <vt:variant>
        <vt:lpwstr>http://www.nevo.co.il/law/70301/413d.b</vt:lpwstr>
      </vt:variant>
      <vt:variant>
        <vt:lpwstr/>
      </vt:variant>
      <vt:variant>
        <vt:i4>6553637</vt:i4>
      </vt:variant>
      <vt:variant>
        <vt:i4>27</vt:i4>
      </vt:variant>
      <vt:variant>
        <vt:i4>0</vt:i4>
      </vt:variant>
      <vt:variant>
        <vt:i4>5</vt:i4>
      </vt:variant>
      <vt:variant>
        <vt:lpwstr>http://www.nevo.co.il/law/70301/40jc.b</vt:lpwstr>
      </vt:variant>
      <vt:variant>
        <vt:lpwstr/>
      </vt:variant>
      <vt:variant>
        <vt:i4>5242966</vt:i4>
      </vt:variant>
      <vt:variant>
        <vt:i4>24</vt:i4>
      </vt:variant>
      <vt:variant>
        <vt:i4>0</vt:i4>
      </vt:variant>
      <vt:variant>
        <vt:i4>5</vt:i4>
      </vt:variant>
      <vt:variant>
        <vt:lpwstr>http://www.nevo.co.il/law/70301/340a.b.2</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2025-04-25T10:52:00Z</dcterms:created>
  <dcterms:modified xsi:type="dcterms:W3CDTF">2025-04-25T10:52:00Z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68529</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מואמן באללה עאסלה;ג'ואד אבו ריא;עומרי שלאעטה</vt:lpwstr>
  </property>
  <property fmtid="{D5CDD505-2E9C-101B-9397-08002B2CF9AE}" pid="10" name="LAWYER">
    <vt:lpwstr>טארק נעאמנה;מיכאל יפרח;חליל נעמה; כמאל אסדי;נדאל טרביה</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20220719</vt:lpwstr>
  </property>
  <property fmtid="{D5CDD505-2E9C-101B-9397-08002B2CF9AE}" pid="14" name="TYPE_N_DATE">
    <vt:lpwstr>39020220719</vt:lpwstr>
  </property>
  <property fmtid="{D5CDD505-2E9C-101B-9397-08002B2CF9AE}" pid="15" name="WORDNUMPAGES">
    <vt:lpwstr>12</vt:lpwstr>
  </property>
  <property fmtid="{D5CDD505-2E9C-101B-9397-08002B2CF9AE}" pid="16" name="TYPE_ABS_DATE">
    <vt:lpwstr>390020220719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28513828;28424228;28384637;28243273;26492590;26986954;13097162;6248029;22746666;20180302;13042295;20685827;26842441;20932472;25299692;21472710;20140218;21771409;23814031;23392658;20998872</vt:lpwstr>
  </property>
  <property fmtid="{D5CDD505-2E9C-101B-9397-08002B2CF9AE}" pid="36" name="LAWLISTTMP1">
    <vt:lpwstr>70301/144.a:5;413i;144.b:4;029:5;340a.b.1;340a.b.2;499.a;413d.b;244;025;144.b2;40jc.b</vt:lpwstr>
  </property>
  <property fmtid="{D5CDD505-2E9C-101B-9397-08002B2CF9AE}" pid="37" name="LAWLISTTMP2">
    <vt:lpwstr>5227/067</vt:lpwstr>
  </property>
</Properties>
</file>