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2E4FD8" w:rsidRPr="001810E9" w14:paraId="5499CF19" w14:textId="77777777" w:rsidTr="009D6942">
        <w:trPr>
          <w:gridAfter w:val="1"/>
          <w:wAfter w:w="99" w:type="dxa"/>
          <w:trHeight w:hRule="exact" w:val="418"/>
          <w:jc w:val="center"/>
        </w:trPr>
        <w:tc>
          <w:tcPr>
            <w:tcW w:w="8721" w:type="dxa"/>
            <w:gridSpan w:val="4"/>
          </w:tcPr>
          <w:p w14:paraId="59FCDC3C" w14:textId="77777777" w:rsidR="002E4FD8" w:rsidRPr="001810E9" w:rsidRDefault="002E4FD8" w:rsidP="00D34445">
            <w:pPr>
              <w:pStyle w:val="a3"/>
              <w:jc w:val="center"/>
              <w:rPr>
                <w:rFonts w:ascii="Tahoma" w:hAnsi="Tahoma" w:cs="Tahoma"/>
                <w:color w:val="000080"/>
                <w:rtl/>
              </w:rPr>
            </w:pPr>
            <w:bookmarkStart w:id="0" w:name="LastJudge"/>
            <w:r w:rsidRPr="001810E9">
              <w:rPr>
                <w:rFonts w:ascii="Tahoma" w:hAnsi="Tahoma" w:cs="Tahoma"/>
                <w:b/>
                <w:bCs/>
                <w:color w:val="000080"/>
                <w:rtl/>
              </w:rPr>
              <w:t>בית המשפט המחוזי בבאר שבע</w:t>
            </w:r>
          </w:p>
        </w:tc>
      </w:tr>
      <w:tr w:rsidR="002E4FD8" w:rsidRPr="001810E9" w14:paraId="1394533B" w14:textId="77777777" w:rsidTr="009D6942">
        <w:trPr>
          <w:gridAfter w:val="1"/>
          <w:wAfter w:w="99" w:type="dxa"/>
          <w:trHeight w:val="337"/>
          <w:jc w:val="center"/>
        </w:trPr>
        <w:tc>
          <w:tcPr>
            <w:tcW w:w="5058" w:type="dxa"/>
            <w:gridSpan w:val="3"/>
          </w:tcPr>
          <w:p w14:paraId="2BAAE21A" w14:textId="77777777" w:rsidR="002E4FD8" w:rsidRPr="001810E9" w:rsidRDefault="002E4FD8" w:rsidP="00D34445">
            <w:pPr>
              <w:rPr>
                <w:rFonts w:cs="FrankRuehl"/>
                <w:sz w:val="28"/>
                <w:szCs w:val="28"/>
                <w:rtl/>
              </w:rPr>
            </w:pPr>
            <w:r w:rsidRPr="001810E9">
              <w:rPr>
                <w:rFonts w:cs="FrankRuehl"/>
                <w:sz w:val="28"/>
                <w:szCs w:val="28"/>
                <w:rtl/>
              </w:rPr>
              <w:t>ת"פ</w:t>
            </w:r>
            <w:r w:rsidRPr="001810E9">
              <w:rPr>
                <w:rFonts w:cs="FrankRuehl" w:hint="cs"/>
                <w:sz w:val="28"/>
                <w:szCs w:val="28"/>
                <w:rtl/>
              </w:rPr>
              <w:t xml:space="preserve"> </w:t>
            </w:r>
            <w:r w:rsidRPr="001810E9">
              <w:rPr>
                <w:rFonts w:cs="FrankRuehl"/>
                <w:sz w:val="28"/>
                <w:szCs w:val="28"/>
                <w:rtl/>
              </w:rPr>
              <w:t>34630-12-21</w:t>
            </w:r>
            <w:r w:rsidRPr="001810E9">
              <w:rPr>
                <w:rFonts w:cs="FrankRuehl" w:hint="cs"/>
                <w:sz w:val="28"/>
                <w:szCs w:val="28"/>
                <w:rtl/>
              </w:rPr>
              <w:t xml:space="preserve"> </w:t>
            </w:r>
            <w:r w:rsidRPr="001810E9">
              <w:rPr>
                <w:rFonts w:cs="FrankRuehl"/>
                <w:sz w:val="28"/>
                <w:szCs w:val="28"/>
                <w:rtl/>
              </w:rPr>
              <w:t>מדינת ישראל נ' דבארי(עציר)</w:t>
            </w:r>
          </w:p>
          <w:p w14:paraId="55B0C820" w14:textId="77777777" w:rsidR="002E4FD8" w:rsidRPr="001810E9" w:rsidRDefault="002E4FD8" w:rsidP="00D34445">
            <w:pPr>
              <w:pStyle w:val="a3"/>
              <w:rPr>
                <w:rFonts w:cs="FrankRuehl"/>
                <w:sz w:val="28"/>
                <w:szCs w:val="28"/>
                <w:rtl/>
              </w:rPr>
            </w:pPr>
          </w:p>
        </w:tc>
        <w:tc>
          <w:tcPr>
            <w:tcW w:w="3663" w:type="dxa"/>
          </w:tcPr>
          <w:p w14:paraId="79FA54CE" w14:textId="77777777" w:rsidR="002E4FD8" w:rsidRPr="001810E9" w:rsidRDefault="002E4FD8" w:rsidP="00D34445">
            <w:pPr>
              <w:pStyle w:val="a3"/>
              <w:jc w:val="right"/>
              <w:rPr>
                <w:rFonts w:cs="FrankRuehl"/>
                <w:sz w:val="28"/>
                <w:szCs w:val="28"/>
                <w:rtl/>
              </w:rPr>
            </w:pPr>
          </w:p>
        </w:tc>
      </w:tr>
      <w:tr w:rsidR="002E4FD8" w:rsidRPr="001810E9" w14:paraId="24FCB7E0" w14:textId="77777777" w:rsidTr="009D69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C49C398" w14:textId="77777777" w:rsidR="002E4FD8" w:rsidRPr="001810E9" w:rsidRDefault="002E4FD8" w:rsidP="002E4FD8">
            <w:pPr>
              <w:jc w:val="both"/>
              <w:rPr>
                <w:rFonts w:ascii="David" w:hAnsi="David"/>
                <w:sz w:val="26"/>
                <w:szCs w:val="26"/>
              </w:rPr>
            </w:pPr>
            <w:r w:rsidRPr="001810E9">
              <w:rPr>
                <w:rFonts w:hint="cs"/>
                <w:rtl/>
              </w:rPr>
              <w:t xml:space="preserve"> </w:t>
            </w:r>
            <w:r w:rsidRPr="001810E9">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74E16ACB" w14:textId="77777777" w:rsidR="002E4FD8" w:rsidRPr="001810E9" w:rsidRDefault="002E4FD8" w:rsidP="00D34445">
            <w:pPr>
              <w:rPr>
                <w:rFonts w:ascii="David" w:hAnsi="David"/>
                <w:b/>
                <w:bCs/>
                <w:sz w:val="26"/>
                <w:szCs w:val="26"/>
                <w:rtl/>
              </w:rPr>
            </w:pPr>
            <w:r w:rsidRPr="001810E9">
              <w:rPr>
                <w:rFonts w:ascii="David" w:hAnsi="David"/>
                <w:b/>
                <w:bCs/>
                <w:sz w:val="26"/>
                <w:szCs w:val="26"/>
                <w:rtl/>
              </w:rPr>
              <w:t>כבוד השופט  יואל עדן</w:t>
            </w:r>
          </w:p>
          <w:p w14:paraId="06CAE004" w14:textId="77777777" w:rsidR="002E4FD8" w:rsidRPr="001810E9" w:rsidRDefault="002E4FD8" w:rsidP="00D34445">
            <w:pPr>
              <w:rPr>
                <w:rFonts w:ascii="David" w:hAnsi="David"/>
                <w:sz w:val="26"/>
                <w:szCs w:val="26"/>
                <w:rtl/>
              </w:rPr>
            </w:pPr>
          </w:p>
          <w:p w14:paraId="3000AD14" w14:textId="77777777" w:rsidR="002E4FD8" w:rsidRPr="001810E9" w:rsidRDefault="002E4FD8" w:rsidP="002E4FD8">
            <w:pPr>
              <w:jc w:val="both"/>
              <w:rPr>
                <w:rFonts w:ascii="David" w:hAnsi="David"/>
                <w:sz w:val="26"/>
                <w:szCs w:val="26"/>
              </w:rPr>
            </w:pPr>
          </w:p>
        </w:tc>
      </w:tr>
      <w:tr w:rsidR="002E4FD8" w:rsidRPr="001810E9" w14:paraId="2A7B28C7" w14:textId="77777777" w:rsidTr="009D69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E26DD87" w14:textId="77777777" w:rsidR="002E4FD8" w:rsidRPr="001810E9" w:rsidRDefault="002E4FD8" w:rsidP="002E4FD8">
            <w:pPr>
              <w:jc w:val="both"/>
              <w:rPr>
                <w:rFonts w:ascii="David" w:hAnsi="David"/>
                <w:sz w:val="26"/>
                <w:szCs w:val="26"/>
              </w:rPr>
            </w:pPr>
            <w:bookmarkStart w:id="1" w:name="FirstAppellant"/>
            <w:bookmarkStart w:id="2" w:name="FirstLawyer"/>
            <w:r w:rsidRPr="001810E9">
              <w:rPr>
                <w:rFonts w:ascii="David" w:hAnsi="David"/>
                <w:sz w:val="26"/>
                <w:szCs w:val="26"/>
                <w:rtl/>
              </w:rPr>
              <w:t>בעניין:</w:t>
            </w:r>
          </w:p>
        </w:tc>
        <w:tc>
          <w:tcPr>
            <w:tcW w:w="3219" w:type="dxa"/>
            <w:tcBorders>
              <w:top w:val="nil"/>
              <w:left w:val="nil"/>
              <w:bottom w:val="nil"/>
              <w:right w:val="nil"/>
            </w:tcBorders>
            <w:shd w:val="clear" w:color="auto" w:fill="auto"/>
          </w:tcPr>
          <w:p w14:paraId="040D2CA8" w14:textId="77777777" w:rsidR="002E4FD8" w:rsidRPr="001810E9" w:rsidRDefault="002E4FD8" w:rsidP="002E4FD8">
            <w:pPr>
              <w:suppressLineNumbers/>
            </w:pPr>
            <w:r w:rsidRPr="001810E9">
              <w:rPr>
                <w:rFonts w:ascii="Arial" w:hAnsi="Arial" w:hint="cs"/>
                <w:b/>
                <w:bCs/>
                <w:sz w:val="26"/>
                <w:szCs w:val="26"/>
                <w:rtl/>
              </w:rPr>
              <w:t>ה</w:t>
            </w:r>
            <w:r w:rsidRPr="001810E9">
              <w:rPr>
                <w:rFonts w:ascii="Arial" w:hAnsi="Arial"/>
                <w:b/>
                <w:bCs/>
                <w:sz w:val="26"/>
                <w:szCs w:val="26"/>
                <w:rtl/>
              </w:rPr>
              <w:t>מאשימה</w:t>
            </w:r>
          </w:p>
          <w:p w14:paraId="0876EDBF" w14:textId="77777777" w:rsidR="002E4FD8" w:rsidRPr="001810E9" w:rsidRDefault="002E4FD8" w:rsidP="00D34445">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558B5B27" w14:textId="77777777" w:rsidR="002E4FD8" w:rsidRPr="001810E9" w:rsidRDefault="002E4FD8" w:rsidP="002E4FD8">
            <w:pPr>
              <w:suppressLineNumbers/>
              <w:rPr>
                <w:rFonts w:ascii="Arial" w:hAnsi="Arial"/>
                <w:b/>
                <w:bCs/>
                <w:sz w:val="26"/>
                <w:szCs w:val="26"/>
              </w:rPr>
            </w:pPr>
            <w:r w:rsidRPr="001810E9">
              <w:rPr>
                <w:rFonts w:ascii="Arial" w:hAnsi="Arial"/>
                <w:b/>
                <w:bCs/>
                <w:sz w:val="26"/>
                <w:szCs w:val="26"/>
                <w:rtl/>
              </w:rPr>
              <w:t>מדינת ישראל</w:t>
            </w:r>
          </w:p>
          <w:p w14:paraId="5E34CBCC" w14:textId="77777777" w:rsidR="002E4FD8" w:rsidRPr="001810E9" w:rsidRDefault="002E4FD8" w:rsidP="00D34445">
            <w:pPr>
              <w:rPr>
                <w:rFonts w:ascii="David" w:hAnsi="David"/>
                <w:sz w:val="26"/>
                <w:szCs w:val="26"/>
              </w:rPr>
            </w:pPr>
            <w:r w:rsidRPr="001810E9">
              <w:rPr>
                <w:rFonts w:ascii="David" w:hAnsi="David" w:hint="cs"/>
                <w:sz w:val="26"/>
                <w:szCs w:val="26"/>
                <w:rtl/>
              </w:rPr>
              <w:t xml:space="preserve">ע"י ב"כ עו"ד עמיחי חביביאן </w:t>
            </w:r>
            <w:r w:rsidRPr="001810E9">
              <w:rPr>
                <w:rFonts w:ascii="David" w:hAnsi="David"/>
                <w:sz w:val="26"/>
                <w:szCs w:val="26"/>
                <w:rtl/>
              </w:rPr>
              <w:t>–</w:t>
            </w:r>
            <w:r w:rsidRPr="001810E9">
              <w:rPr>
                <w:rFonts w:ascii="David" w:hAnsi="David" w:hint="cs"/>
                <w:sz w:val="26"/>
                <w:szCs w:val="26"/>
                <w:rtl/>
              </w:rPr>
              <w:t xml:space="preserve"> פמ"ד </w:t>
            </w:r>
          </w:p>
        </w:tc>
      </w:tr>
      <w:bookmarkEnd w:id="1"/>
      <w:bookmarkEnd w:id="2"/>
      <w:tr w:rsidR="002E4FD8" w:rsidRPr="001810E9" w14:paraId="5584778D" w14:textId="77777777" w:rsidTr="009D69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1D821B3" w14:textId="77777777" w:rsidR="002E4FD8" w:rsidRPr="001810E9" w:rsidRDefault="002E4FD8" w:rsidP="002E4FD8">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B91ADD6" w14:textId="77777777" w:rsidR="002E4FD8" w:rsidRPr="001810E9" w:rsidRDefault="002E4FD8" w:rsidP="002E4FD8">
            <w:pPr>
              <w:jc w:val="center"/>
              <w:rPr>
                <w:rFonts w:ascii="David" w:hAnsi="David"/>
                <w:b/>
                <w:bCs/>
                <w:sz w:val="26"/>
                <w:szCs w:val="26"/>
                <w:rtl/>
              </w:rPr>
            </w:pPr>
          </w:p>
          <w:p w14:paraId="4EC6D477" w14:textId="77777777" w:rsidR="002E4FD8" w:rsidRPr="001810E9" w:rsidRDefault="002E4FD8" w:rsidP="002E4FD8">
            <w:pPr>
              <w:jc w:val="center"/>
              <w:rPr>
                <w:rFonts w:ascii="David" w:hAnsi="David"/>
                <w:b/>
                <w:bCs/>
                <w:sz w:val="26"/>
                <w:szCs w:val="26"/>
                <w:rtl/>
              </w:rPr>
            </w:pPr>
            <w:r w:rsidRPr="001810E9">
              <w:rPr>
                <w:rFonts w:ascii="David" w:hAnsi="David"/>
                <w:b/>
                <w:bCs/>
                <w:sz w:val="26"/>
                <w:szCs w:val="26"/>
                <w:rtl/>
              </w:rPr>
              <w:t>נגד</w:t>
            </w:r>
          </w:p>
          <w:p w14:paraId="3CD1BE76" w14:textId="77777777" w:rsidR="002E4FD8" w:rsidRPr="001810E9" w:rsidRDefault="002E4FD8" w:rsidP="002E4FD8">
            <w:pPr>
              <w:jc w:val="both"/>
              <w:rPr>
                <w:rFonts w:ascii="David" w:hAnsi="David"/>
                <w:sz w:val="26"/>
                <w:szCs w:val="26"/>
              </w:rPr>
            </w:pPr>
          </w:p>
        </w:tc>
      </w:tr>
      <w:tr w:rsidR="002E4FD8" w:rsidRPr="001810E9" w14:paraId="09B51846" w14:textId="77777777" w:rsidTr="009D69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104"/>
          <w:jc w:val="center"/>
        </w:trPr>
        <w:tc>
          <w:tcPr>
            <w:tcW w:w="923" w:type="dxa"/>
            <w:tcBorders>
              <w:top w:val="nil"/>
              <w:left w:val="nil"/>
              <w:bottom w:val="nil"/>
              <w:right w:val="nil"/>
            </w:tcBorders>
            <w:shd w:val="clear" w:color="auto" w:fill="auto"/>
          </w:tcPr>
          <w:p w14:paraId="55EB4F63" w14:textId="77777777" w:rsidR="002E4FD8" w:rsidRPr="001810E9" w:rsidRDefault="002E4FD8" w:rsidP="00D34445">
            <w:pPr>
              <w:rPr>
                <w:rFonts w:ascii="David" w:hAnsi="David"/>
                <w:sz w:val="26"/>
                <w:szCs w:val="26"/>
                <w:rtl/>
              </w:rPr>
            </w:pPr>
          </w:p>
        </w:tc>
        <w:tc>
          <w:tcPr>
            <w:tcW w:w="3219" w:type="dxa"/>
            <w:tcBorders>
              <w:top w:val="nil"/>
              <w:left w:val="nil"/>
              <w:bottom w:val="nil"/>
              <w:right w:val="nil"/>
            </w:tcBorders>
            <w:shd w:val="clear" w:color="auto" w:fill="auto"/>
          </w:tcPr>
          <w:p w14:paraId="3F5169C6" w14:textId="77777777" w:rsidR="002E4FD8" w:rsidRPr="001810E9" w:rsidRDefault="002E4FD8" w:rsidP="00D34445">
            <w:pPr>
              <w:rPr>
                <w:rFonts w:ascii="Arial" w:hAnsi="Arial"/>
                <w:b/>
                <w:bCs/>
                <w:sz w:val="26"/>
                <w:szCs w:val="26"/>
                <w:rtl/>
              </w:rPr>
            </w:pPr>
            <w:r w:rsidRPr="001810E9">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31539E7B" w14:textId="77777777" w:rsidR="002E4FD8" w:rsidRPr="001810E9" w:rsidRDefault="002E4FD8" w:rsidP="002E4FD8">
            <w:pPr>
              <w:suppressLineNumbers/>
              <w:rPr>
                <w:rFonts w:ascii="Arial" w:hAnsi="Arial"/>
                <w:sz w:val="26"/>
                <w:szCs w:val="26"/>
                <w:rtl/>
              </w:rPr>
            </w:pPr>
            <w:r w:rsidRPr="001810E9">
              <w:rPr>
                <w:rFonts w:ascii="Arial" w:hAnsi="Arial"/>
                <w:b/>
                <w:bCs/>
                <w:sz w:val="26"/>
                <w:szCs w:val="26"/>
                <w:rtl/>
              </w:rPr>
              <w:t>אמיר דבארי (עציר)</w:t>
            </w:r>
          </w:p>
          <w:p w14:paraId="6FF3AE72" w14:textId="77777777" w:rsidR="002E4FD8" w:rsidRPr="001810E9" w:rsidRDefault="002E4FD8" w:rsidP="002E4FD8">
            <w:pPr>
              <w:suppressLineNumbers/>
              <w:rPr>
                <w:rFonts w:ascii="Arial" w:hAnsi="Arial"/>
                <w:sz w:val="26"/>
                <w:szCs w:val="26"/>
              </w:rPr>
            </w:pPr>
            <w:r w:rsidRPr="001810E9">
              <w:rPr>
                <w:rFonts w:ascii="Arial" w:hAnsi="Arial" w:hint="cs"/>
                <w:sz w:val="26"/>
                <w:szCs w:val="26"/>
                <w:rtl/>
              </w:rPr>
              <w:t>ע"י ב"כ עו"ד מוחמד ג'ברין</w:t>
            </w:r>
          </w:p>
          <w:p w14:paraId="72783C7A" w14:textId="77777777" w:rsidR="002E4FD8" w:rsidRPr="001810E9" w:rsidRDefault="002E4FD8" w:rsidP="00D34445">
            <w:pPr>
              <w:rPr>
                <w:rFonts w:ascii="David" w:hAnsi="David"/>
                <w:sz w:val="26"/>
                <w:szCs w:val="26"/>
              </w:rPr>
            </w:pPr>
          </w:p>
        </w:tc>
      </w:tr>
    </w:tbl>
    <w:p w14:paraId="0370E3F7" w14:textId="77777777" w:rsidR="009D6942" w:rsidRDefault="009D6942" w:rsidP="001810E9">
      <w:pPr>
        <w:rPr>
          <w:rFonts w:ascii="Arial" w:hAnsi="Arial"/>
          <w:sz w:val="26"/>
          <w:szCs w:val="26"/>
          <w:rtl/>
        </w:rPr>
      </w:pPr>
    </w:p>
    <w:p w14:paraId="1CE6267E" w14:textId="77777777" w:rsidR="009D6942" w:rsidRPr="009D6942" w:rsidRDefault="009D6942" w:rsidP="009D6942">
      <w:pPr>
        <w:spacing w:after="120" w:line="240" w:lineRule="exact"/>
        <w:ind w:left="283" w:hanging="283"/>
        <w:jc w:val="both"/>
        <w:rPr>
          <w:rFonts w:ascii="FrankRuehl" w:hAnsi="FrankRuehl" w:cs="FrankRuehl"/>
          <w:rtl/>
        </w:rPr>
      </w:pPr>
    </w:p>
    <w:p w14:paraId="445F663F" w14:textId="77777777" w:rsidR="0085456D" w:rsidRPr="0085456D" w:rsidRDefault="0085456D" w:rsidP="0085456D">
      <w:pPr>
        <w:spacing w:before="120" w:after="120" w:line="240" w:lineRule="exact"/>
        <w:ind w:left="283" w:hanging="283"/>
        <w:jc w:val="both"/>
        <w:rPr>
          <w:rFonts w:ascii="FrankRuehl" w:hAnsi="FrankRuehl" w:cs="FrankRuehl"/>
          <w:rtl/>
        </w:rPr>
      </w:pPr>
    </w:p>
    <w:p w14:paraId="1AE25AC0" w14:textId="77777777" w:rsidR="00F12DF5" w:rsidRDefault="00F12DF5" w:rsidP="00F12DF5">
      <w:pPr>
        <w:rPr>
          <w:rFonts w:ascii="Arial" w:hAnsi="Arial"/>
          <w:sz w:val="26"/>
          <w:szCs w:val="26"/>
          <w:rtl/>
        </w:rPr>
      </w:pPr>
      <w:bookmarkStart w:id="3" w:name="LawTable"/>
      <w:bookmarkEnd w:id="3"/>
    </w:p>
    <w:p w14:paraId="78C045BF" w14:textId="77777777" w:rsidR="00F12DF5" w:rsidRPr="00F12DF5" w:rsidRDefault="00F12DF5" w:rsidP="00F12DF5">
      <w:pPr>
        <w:spacing w:before="120" w:after="120" w:line="240" w:lineRule="exact"/>
        <w:ind w:left="283" w:hanging="283"/>
        <w:jc w:val="both"/>
        <w:rPr>
          <w:rFonts w:ascii="FrankRuehl" w:hAnsi="FrankRuehl" w:cs="FrankRuehl"/>
          <w:rtl/>
        </w:rPr>
      </w:pPr>
    </w:p>
    <w:p w14:paraId="0340B3F7" w14:textId="77777777" w:rsidR="00F12DF5" w:rsidRPr="00F12DF5" w:rsidRDefault="00F12DF5" w:rsidP="00F12DF5">
      <w:pPr>
        <w:spacing w:before="120" w:after="120" w:line="240" w:lineRule="exact"/>
        <w:ind w:left="283" w:hanging="283"/>
        <w:jc w:val="both"/>
        <w:rPr>
          <w:rFonts w:ascii="FrankRuehl" w:hAnsi="FrankRuehl" w:cs="FrankRuehl"/>
          <w:rtl/>
        </w:rPr>
      </w:pPr>
    </w:p>
    <w:p w14:paraId="6444BCB5" w14:textId="77777777" w:rsidR="00F12DF5" w:rsidRPr="00F12DF5" w:rsidRDefault="00F12DF5" w:rsidP="00F12DF5">
      <w:pPr>
        <w:spacing w:before="120" w:after="120" w:line="240" w:lineRule="exact"/>
        <w:ind w:left="283" w:hanging="283"/>
        <w:jc w:val="both"/>
        <w:rPr>
          <w:rFonts w:ascii="FrankRuehl" w:hAnsi="FrankRuehl" w:cs="FrankRuehl"/>
          <w:rtl/>
        </w:rPr>
      </w:pPr>
      <w:r w:rsidRPr="00F12DF5">
        <w:rPr>
          <w:rFonts w:ascii="FrankRuehl" w:hAnsi="FrankRuehl" w:cs="FrankRuehl"/>
          <w:rtl/>
        </w:rPr>
        <w:t xml:space="preserve">חקיקה שאוזכרה: </w:t>
      </w:r>
    </w:p>
    <w:p w14:paraId="3C084B84" w14:textId="77777777" w:rsidR="00F12DF5" w:rsidRPr="00F12DF5" w:rsidRDefault="00F12DF5" w:rsidP="00F12DF5">
      <w:pPr>
        <w:spacing w:before="120" w:after="120" w:line="240" w:lineRule="exact"/>
        <w:ind w:left="283" w:hanging="283"/>
        <w:jc w:val="both"/>
        <w:rPr>
          <w:rFonts w:ascii="FrankRuehl" w:hAnsi="FrankRuehl" w:cs="FrankRuehl"/>
          <w:rtl/>
        </w:rPr>
      </w:pPr>
      <w:hyperlink r:id="rId6" w:history="1">
        <w:r w:rsidRPr="00F12DF5">
          <w:rPr>
            <w:rFonts w:ascii="FrankRuehl" w:hAnsi="FrankRuehl" w:cs="FrankRuehl"/>
            <w:color w:val="0000FF"/>
            <w:rtl/>
          </w:rPr>
          <w:t>חוק למניעת הסתננות (עבירות ושיפוט), תשי"ד-1954</w:t>
        </w:r>
      </w:hyperlink>
      <w:r w:rsidRPr="00F12DF5">
        <w:rPr>
          <w:rFonts w:ascii="FrankRuehl" w:hAnsi="FrankRuehl" w:cs="FrankRuehl"/>
          <w:rtl/>
        </w:rPr>
        <w:t xml:space="preserve">: סע'  </w:t>
      </w:r>
      <w:hyperlink r:id="rId7" w:history="1">
        <w:r w:rsidRPr="00F12DF5">
          <w:rPr>
            <w:rFonts w:ascii="FrankRuehl" w:hAnsi="FrankRuehl" w:cs="FrankRuehl"/>
            <w:color w:val="0000FF"/>
            <w:rtl/>
          </w:rPr>
          <w:t>2</w:t>
        </w:r>
      </w:hyperlink>
      <w:r w:rsidRPr="00F12DF5">
        <w:rPr>
          <w:rFonts w:ascii="FrankRuehl" w:hAnsi="FrankRuehl" w:cs="FrankRuehl"/>
          <w:rtl/>
        </w:rPr>
        <w:t xml:space="preserve">, </w:t>
      </w:r>
      <w:hyperlink r:id="rId8" w:history="1">
        <w:r w:rsidRPr="00F12DF5">
          <w:rPr>
            <w:rFonts w:ascii="FrankRuehl" w:hAnsi="FrankRuehl" w:cs="FrankRuehl"/>
            <w:color w:val="0000FF"/>
            <w:rtl/>
          </w:rPr>
          <w:t>4</w:t>
        </w:r>
      </w:hyperlink>
    </w:p>
    <w:p w14:paraId="2545D6AE" w14:textId="77777777" w:rsidR="00F12DF5" w:rsidRPr="00F12DF5" w:rsidRDefault="00F12DF5" w:rsidP="00F12DF5">
      <w:pPr>
        <w:spacing w:before="120" w:after="120" w:line="240" w:lineRule="exact"/>
        <w:ind w:left="283" w:hanging="283"/>
        <w:jc w:val="both"/>
        <w:rPr>
          <w:rFonts w:ascii="FrankRuehl" w:hAnsi="FrankRuehl" w:cs="FrankRuehl"/>
          <w:rtl/>
        </w:rPr>
      </w:pPr>
      <w:hyperlink r:id="rId9" w:history="1">
        <w:r w:rsidRPr="00F12DF5">
          <w:rPr>
            <w:rFonts w:ascii="FrankRuehl" w:hAnsi="FrankRuehl" w:cs="FrankRuehl"/>
            <w:color w:val="0000FF"/>
            <w:rtl/>
          </w:rPr>
          <w:t>חוק העונשין, תשל"ז-1977</w:t>
        </w:r>
      </w:hyperlink>
      <w:r w:rsidRPr="00F12DF5">
        <w:rPr>
          <w:rFonts w:ascii="FrankRuehl" w:hAnsi="FrankRuehl" w:cs="FrankRuehl"/>
          <w:rtl/>
        </w:rPr>
        <w:t xml:space="preserve">: סע'  </w:t>
      </w:r>
      <w:hyperlink r:id="rId10" w:history="1">
        <w:r w:rsidRPr="00F12DF5">
          <w:rPr>
            <w:rFonts w:ascii="FrankRuehl" w:hAnsi="FrankRuehl" w:cs="FrankRuehl"/>
            <w:color w:val="0000FF"/>
            <w:rtl/>
          </w:rPr>
          <w:t>144(ב)</w:t>
        </w:r>
      </w:hyperlink>
      <w:r w:rsidRPr="00F12DF5">
        <w:rPr>
          <w:rFonts w:ascii="FrankRuehl" w:hAnsi="FrankRuehl" w:cs="FrankRuehl"/>
          <w:rtl/>
        </w:rPr>
        <w:t xml:space="preserve">, </w:t>
      </w:r>
      <w:hyperlink r:id="rId11" w:history="1">
        <w:r w:rsidRPr="00F12DF5">
          <w:rPr>
            <w:rFonts w:ascii="FrankRuehl" w:hAnsi="FrankRuehl" w:cs="FrankRuehl"/>
            <w:color w:val="0000FF"/>
            <w:rtl/>
          </w:rPr>
          <w:t>452</w:t>
        </w:r>
      </w:hyperlink>
    </w:p>
    <w:p w14:paraId="03498EE2" w14:textId="77777777" w:rsidR="00F12DF5" w:rsidRPr="00F12DF5" w:rsidRDefault="00F12DF5" w:rsidP="00F12DF5">
      <w:pPr>
        <w:rPr>
          <w:rFonts w:ascii="Arial" w:hAnsi="Arial"/>
          <w:sz w:val="26"/>
          <w:szCs w:val="26"/>
          <w:rtl/>
        </w:rPr>
      </w:pPr>
      <w:bookmarkStart w:id="4" w:name="LawTable_End"/>
      <w:bookmarkEnd w:id="4"/>
    </w:p>
    <w:p w14:paraId="37FB1406" w14:textId="77777777" w:rsidR="002E4FD8" w:rsidRPr="0085456D" w:rsidRDefault="002E4FD8" w:rsidP="0085456D">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E4FD8" w14:paraId="5AA154DD" w14:textId="77777777" w:rsidTr="002E4FD8">
        <w:trPr>
          <w:trHeight w:val="355"/>
          <w:jc w:val="center"/>
        </w:trPr>
        <w:tc>
          <w:tcPr>
            <w:tcW w:w="8820" w:type="dxa"/>
            <w:tcBorders>
              <w:top w:val="nil"/>
              <w:left w:val="nil"/>
              <w:bottom w:val="nil"/>
              <w:right w:val="nil"/>
            </w:tcBorders>
            <w:shd w:val="clear" w:color="auto" w:fill="auto"/>
          </w:tcPr>
          <w:p w14:paraId="363BEC32" w14:textId="77777777" w:rsidR="001810E9" w:rsidRPr="001810E9" w:rsidRDefault="001810E9" w:rsidP="001810E9">
            <w:pPr>
              <w:jc w:val="center"/>
              <w:rPr>
                <w:rFonts w:ascii="David" w:hAnsi="David"/>
                <w:b/>
                <w:bCs/>
                <w:sz w:val="32"/>
                <w:szCs w:val="32"/>
                <w:u w:val="single"/>
                <w:rtl/>
              </w:rPr>
            </w:pPr>
            <w:bookmarkStart w:id="5" w:name="PsakDin" w:colFirst="0" w:colLast="0"/>
            <w:bookmarkEnd w:id="0"/>
            <w:r w:rsidRPr="001810E9">
              <w:rPr>
                <w:rFonts w:ascii="David" w:hAnsi="David"/>
                <w:b/>
                <w:bCs/>
                <w:sz w:val="32"/>
                <w:szCs w:val="32"/>
                <w:u w:val="single"/>
                <w:rtl/>
              </w:rPr>
              <w:t>גזר דין</w:t>
            </w:r>
          </w:p>
          <w:p w14:paraId="33E1059E" w14:textId="77777777" w:rsidR="002E4FD8" w:rsidRPr="001810E9" w:rsidRDefault="002E4FD8" w:rsidP="001810E9">
            <w:pPr>
              <w:jc w:val="center"/>
              <w:rPr>
                <w:rFonts w:ascii="David" w:hAnsi="David"/>
                <w:bCs/>
                <w:sz w:val="32"/>
                <w:szCs w:val="32"/>
                <w:u w:val="single"/>
                <w:rtl/>
              </w:rPr>
            </w:pPr>
          </w:p>
        </w:tc>
      </w:tr>
      <w:bookmarkEnd w:id="5"/>
    </w:tbl>
    <w:p w14:paraId="7A4193A6" w14:textId="77777777" w:rsidR="002E4FD8" w:rsidRPr="000F2247" w:rsidRDefault="002E4FD8" w:rsidP="002E4FD8">
      <w:pPr>
        <w:rPr>
          <w:rFonts w:ascii="Arial" w:hAnsi="Arial"/>
          <w:b/>
          <w:bCs/>
          <w:sz w:val="26"/>
          <w:szCs w:val="26"/>
          <w:rtl/>
        </w:rPr>
      </w:pPr>
    </w:p>
    <w:p w14:paraId="40CA40B0" w14:textId="77777777" w:rsidR="002E4FD8" w:rsidRPr="007F060E" w:rsidRDefault="002E4FD8" w:rsidP="002E4FD8">
      <w:pPr>
        <w:spacing w:line="360" w:lineRule="auto"/>
        <w:jc w:val="both"/>
        <w:rPr>
          <w:b/>
          <w:bCs/>
          <w:u w:val="single"/>
          <w:rtl/>
          <w:lang w:eastAsia="he-IL"/>
        </w:rPr>
      </w:pPr>
      <w:r w:rsidRPr="007F060E">
        <w:rPr>
          <w:b/>
          <w:bCs/>
          <w:u w:val="single"/>
          <w:rtl/>
          <w:lang w:eastAsia="he-IL"/>
        </w:rPr>
        <w:t>האישום והסדר הטיעון</w:t>
      </w:r>
    </w:p>
    <w:p w14:paraId="2A2083AB" w14:textId="77777777" w:rsidR="002E4FD8" w:rsidRPr="007F060E" w:rsidRDefault="002E4FD8" w:rsidP="002E4FD8">
      <w:pPr>
        <w:spacing w:line="360" w:lineRule="auto"/>
        <w:jc w:val="both"/>
        <w:rPr>
          <w:b/>
          <w:bCs/>
          <w:u w:val="single"/>
          <w:rtl/>
          <w:lang w:eastAsia="he-IL"/>
        </w:rPr>
      </w:pPr>
    </w:p>
    <w:p w14:paraId="3C6807E5" w14:textId="77777777" w:rsidR="002E4FD8" w:rsidRPr="007F060E" w:rsidRDefault="002E4FD8" w:rsidP="002E4FD8">
      <w:pPr>
        <w:spacing w:line="360" w:lineRule="auto"/>
        <w:jc w:val="both"/>
        <w:rPr>
          <w:rFonts w:ascii="David" w:hAnsi="David"/>
          <w:rtl/>
        </w:rPr>
      </w:pPr>
      <w:r w:rsidRPr="007F060E">
        <w:rPr>
          <w:rtl/>
          <w:lang w:eastAsia="he-IL"/>
        </w:rPr>
        <w:t>1.</w:t>
      </w:r>
      <w:r w:rsidRPr="007F060E">
        <w:rPr>
          <w:rtl/>
          <w:lang w:eastAsia="he-IL"/>
        </w:rPr>
        <w:tab/>
      </w:r>
      <w:bookmarkStart w:id="6" w:name="ABSTRACT_START"/>
      <w:bookmarkEnd w:id="6"/>
      <w:r w:rsidRPr="007F060E">
        <w:rPr>
          <w:rtl/>
          <w:lang w:eastAsia="he-IL"/>
        </w:rPr>
        <w:t xml:space="preserve">הנאשם הורשע על פי הודאתו בעובדות כתב האישום המתוקן (כא/2), במסגרת הסדר טיעון, </w:t>
      </w:r>
      <w:r w:rsidRPr="007F060E">
        <w:rPr>
          <w:rFonts w:ascii="David" w:hAnsi="David"/>
          <w:rtl/>
        </w:rPr>
        <w:t xml:space="preserve">בעבירות של הסתננות מזוינת לפי </w:t>
      </w:r>
      <w:hyperlink r:id="rId12" w:history="1">
        <w:r w:rsidR="009D6942" w:rsidRPr="009D6942">
          <w:rPr>
            <w:rStyle w:val="Hyperlink"/>
            <w:rFonts w:ascii="David" w:hAnsi="David"/>
            <w:rtl/>
          </w:rPr>
          <w:t>סעיף 4</w:t>
        </w:r>
      </w:hyperlink>
      <w:r w:rsidRPr="007F060E">
        <w:rPr>
          <w:rFonts w:ascii="David" w:hAnsi="David"/>
          <w:rtl/>
        </w:rPr>
        <w:t xml:space="preserve"> ל</w:t>
      </w:r>
      <w:hyperlink r:id="rId13" w:history="1">
        <w:r w:rsidR="001810E9" w:rsidRPr="001810E9">
          <w:rPr>
            <w:rFonts w:ascii="David" w:hAnsi="David"/>
            <w:color w:val="0000FF"/>
            <w:u w:val="single"/>
            <w:rtl/>
          </w:rPr>
          <w:t>חוק למניעת הסתננות (עבירות ושיפוט)</w:t>
        </w:r>
      </w:hyperlink>
      <w:r w:rsidRPr="007F060E">
        <w:rPr>
          <w:rFonts w:ascii="David" w:hAnsi="David"/>
          <w:rtl/>
        </w:rPr>
        <w:t xml:space="preserve">, ונשיאת נשק לפי </w:t>
      </w:r>
      <w:hyperlink r:id="rId14" w:history="1">
        <w:r w:rsidR="009D6942" w:rsidRPr="009D6942">
          <w:rPr>
            <w:rStyle w:val="Hyperlink"/>
            <w:rFonts w:ascii="David" w:hAnsi="David"/>
            <w:rtl/>
          </w:rPr>
          <w:t>סעיף 144(ב)</w:t>
        </w:r>
      </w:hyperlink>
      <w:r w:rsidRPr="007F060E">
        <w:rPr>
          <w:rFonts w:ascii="David" w:hAnsi="David"/>
          <w:rtl/>
        </w:rPr>
        <w:t xml:space="preserve"> רישא ל</w:t>
      </w:r>
      <w:hyperlink r:id="rId15" w:history="1">
        <w:r w:rsidR="001810E9" w:rsidRPr="001810E9">
          <w:rPr>
            <w:rFonts w:ascii="David" w:hAnsi="David"/>
            <w:color w:val="0000FF"/>
            <w:u w:val="single"/>
            <w:rtl/>
          </w:rPr>
          <w:t>חוק העונשין</w:t>
        </w:r>
      </w:hyperlink>
      <w:r w:rsidRPr="007F060E">
        <w:rPr>
          <w:rFonts w:ascii="David" w:hAnsi="David"/>
          <w:rtl/>
        </w:rPr>
        <w:t>.</w:t>
      </w:r>
    </w:p>
    <w:p w14:paraId="7E03AEAF" w14:textId="77777777" w:rsidR="002E4FD8" w:rsidRPr="007F060E" w:rsidRDefault="002E4FD8" w:rsidP="002E4FD8">
      <w:pPr>
        <w:spacing w:line="360" w:lineRule="auto"/>
        <w:jc w:val="both"/>
        <w:rPr>
          <w:rFonts w:ascii="David" w:hAnsi="David"/>
          <w:rtl/>
        </w:rPr>
      </w:pPr>
    </w:p>
    <w:p w14:paraId="6E516F40" w14:textId="77777777" w:rsidR="002E4FD8" w:rsidRPr="007F060E" w:rsidRDefault="002E4FD8" w:rsidP="002E4FD8">
      <w:pPr>
        <w:spacing w:line="360" w:lineRule="auto"/>
        <w:jc w:val="both"/>
        <w:rPr>
          <w:rFonts w:ascii="David" w:hAnsi="David"/>
          <w:rtl/>
        </w:rPr>
      </w:pPr>
      <w:bookmarkStart w:id="7" w:name="ABSTRACT_END"/>
      <w:bookmarkEnd w:id="7"/>
      <w:r w:rsidRPr="007F060E">
        <w:rPr>
          <w:rtl/>
          <w:lang w:eastAsia="he-IL"/>
        </w:rPr>
        <w:t>על פי עובדות כתב האישום המתוקן,</w:t>
      </w:r>
      <w:r w:rsidRPr="007F060E">
        <w:rPr>
          <w:rFonts w:ascii="David" w:hAnsi="David"/>
          <w:rtl/>
        </w:rPr>
        <w:t xml:space="preserve"> הנאשם תושב עזה, אשר במועד הרלוונטי לכתב האישום לא היה בעל היתר כניסה לישראל.</w:t>
      </w:r>
    </w:p>
    <w:p w14:paraId="4525D7DF" w14:textId="77777777" w:rsidR="002E4FD8" w:rsidRPr="007F060E" w:rsidRDefault="002E4FD8" w:rsidP="002E4FD8">
      <w:pPr>
        <w:spacing w:line="360" w:lineRule="auto"/>
        <w:jc w:val="both"/>
        <w:rPr>
          <w:rFonts w:ascii="David" w:hAnsi="David"/>
          <w:rtl/>
        </w:rPr>
      </w:pPr>
    </w:p>
    <w:p w14:paraId="57D755F6" w14:textId="77777777" w:rsidR="002E4FD8" w:rsidRPr="007F060E" w:rsidRDefault="002E4FD8" w:rsidP="002E4FD8">
      <w:pPr>
        <w:spacing w:line="360" w:lineRule="auto"/>
        <w:jc w:val="both"/>
        <w:rPr>
          <w:rFonts w:ascii="David" w:hAnsi="David"/>
          <w:rtl/>
        </w:rPr>
      </w:pPr>
      <w:r w:rsidRPr="007F060E">
        <w:rPr>
          <w:rFonts w:ascii="David" w:hAnsi="David"/>
          <w:rtl/>
        </w:rPr>
        <w:t>בתאריך 27.11.21 החליט הנאשם להסתנן לישראל, כשהוא נושא על גופו רימון רסס, וזאת על מנת להיעצר.</w:t>
      </w:r>
    </w:p>
    <w:p w14:paraId="7B0990EF" w14:textId="77777777" w:rsidR="002E4FD8" w:rsidRPr="007F060E" w:rsidRDefault="002E4FD8" w:rsidP="002E4FD8">
      <w:pPr>
        <w:spacing w:line="360" w:lineRule="auto"/>
        <w:jc w:val="both"/>
        <w:rPr>
          <w:rFonts w:ascii="David" w:hAnsi="David"/>
          <w:rtl/>
        </w:rPr>
      </w:pPr>
    </w:p>
    <w:p w14:paraId="390A2779" w14:textId="77777777" w:rsidR="002E4FD8" w:rsidRPr="007F060E" w:rsidRDefault="002E4FD8" w:rsidP="002E4FD8">
      <w:pPr>
        <w:spacing w:line="360" w:lineRule="auto"/>
        <w:jc w:val="both"/>
        <w:rPr>
          <w:rFonts w:ascii="David" w:hAnsi="David"/>
          <w:rtl/>
        </w:rPr>
      </w:pPr>
      <w:r w:rsidRPr="007F060E">
        <w:rPr>
          <w:rFonts w:ascii="David" w:hAnsi="David"/>
          <w:rtl/>
        </w:rPr>
        <w:t>סמוך לפני השעה 18:15, התקרב הנאשם לגדר המערכת, ועבר אותה לתוך שטח ישראל.</w:t>
      </w:r>
    </w:p>
    <w:p w14:paraId="5599102B" w14:textId="77777777" w:rsidR="002E4FD8" w:rsidRPr="007F060E" w:rsidRDefault="002E4FD8" w:rsidP="002E4FD8">
      <w:pPr>
        <w:spacing w:line="360" w:lineRule="auto"/>
        <w:jc w:val="both"/>
        <w:rPr>
          <w:rFonts w:ascii="David" w:hAnsi="David"/>
          <w:rtl/>
        </w:rPr>
      </w:pPr>
    </w:p>
    <w:p w14:paraId="6C0E18D6" w14:textId="77777777" w:rsidR="002E4FD8" w:rsidRPr="007F060E" w:rsidRDefault="002E4FD8" w:rsidP="002E4FD8">
      <w:pPr>
        <w:spacing w:line="360" w:lineRule="auto"/>
        <w:jc w:val="both"/>
        <w:rPr>
          <w:rFonts w:ascii="David" w:hAnsi="David"/>
          <w:rtl/>
        </w:rPr>
      </w:pPr>
      <w:r w:rsidRPr="007F060E">
        <w:rPr>
          <w:rFonts w:ascii="David" w:hAnsi="David"/>
          <w:rtl/>
        </w:rPr>
        <w:t>כוחות צה"ל הבחינו בנאשם ודרשו שיוציא את מה שבכליו, הנאשם נענה לדרישותיהם, פשט את בגדיו ובכיס מעילו נמצא הרימון על ידי חייל צה"ל. הרימון פוצץ ע"י החיילים במקום.</w:t>
      </w:r>
    </w:p>
    <w:p w14:paraId="73DBB410" w14:textId="77777777" w:rsidR="002E4FD8" w:rsidRPr="007F060E" w:rsidRDefault="002E4FD8" w:rsidP="002E4FD8">
      <w:pPr>
        <w:spacing w:line="360" w:lineRule="auto"/>
        <w:jc w:val="both"/>
        <w:rPr>
          <w:rFonts w:ascii="David" w:hAnsi="David"/>
          <w:rtl/>
        </w:rPr>
      </w:pPr>
    </w:p>
    <w:p w14:paraId="4E97C06C" w14:textId="77777777" w:rsidR="002E4FD8" w:rsidRPr="007F060E" w:rsidRDefault="002E4FD8" w:rsidP="002E4FD8">
      <w:pPr>
        <w:spacing w:line="360" w:lineRule="auto"/>
        <w:jc w:val="both"/>
        <w:rPr>
          <w:rFonts w:ascii="David" w:hAnsi="David"/>
          <w:rtl/>
        </w:rPr>
      </w:pPr>
      <w:r w:rsidRPr="007F060E">
        <w:rPr>
          <w:rFonts w:ascii="David" w:hAnsi="David"/>
          <w:rtl/>
        </w:rPr>
        <w:t>במעשיו אלו, הסתנן הנאשם לישראל, שלא במעבר גבול, וכשהוא נושא את הרימון שהוא נשק שביכולתו להמית, ללא היתר כדין.</w:t>
      </w:r>
    </w:p>
    <w:p w14:paraId="2EBDDDC1" w14:textId="77777777" w:rsidR="002E4FD8" w:rsidRPr="007F060E" w:rsidRDefault="002E4FD8" w:rsidP="002E4FD8">
      <w:pPr>
        <w:spacing w:line="360" w:lineRule="auto"/>
        <w:jc w:val="both"/>
        <w:rPr>
          <w:rFonts w:ascii="David" w:hAnsi="David"/>
          <w:rtl/>
        </w:rPr>
      </w:pPr>
    </w:p>
    <w:p w14:paraId="44F10BE1" w14:textId="77777777" w:rsidR="002E4FD8" w:rsidRPr="007F060E" w:rsidRDefault="002E4FD8" w:rsidP="002E4FD8">
      <w:pPr>
        <w:spacing w:line="360" w:lineRule="auto"/>
        <w:jc w:val="both"/>
        <w:rPr>
          <w:rFonts w:ascii="David" w:hAnsi="David"/>
          <w:rtl/>
        </w:rPr>
      </w:pPr>
      <w:r w:rsidRPr="007F060E">
        <w:rPr>
          <w:rFonts w:ascii="David" w:hAnsi="David"/>
          <w:rtl/>
        </w:rPr>
        <w:t xml:space="preserve">הצדדים הגיעו להסדר טיעון לפיו, הנאשם הודה בכתב האישום המתוקן, הורשע בעבירות המפורטות בו, ואין כל הסכמה עונשית בין הצדדים. </w:t>
      </w:r>
    </w:p>
    <w:p w14:paraId="6E619D9D" w14:textId="77777777" w:rsidR="002E4FD8" w:rsidRPr="007F060E" w:rsidRDefault="002E4FD8" w:rsidP="002E4FD8">
      <w:pPr>
        <w:spacing w:line="360" w:lineRule="auto"/>
        <w:jc w:val="both"/>
        <w:rPr>
          <w:rFonts w:ascii="David" w:hAnsi="David"/>
          <w:rtl/>
        </w:rPr>
      </w:pPr>
    </w:p>
    <w:p w14:paraId="31E878F0" w14:textId="77777777" w:rsidR="002E4FD8" w:rsidRPr="007F060E" w:rsidRDefault="002E4FD8" w:rsidP="002E4FD8">
      <w:pPr>
        <w:spacing w:line="360" w:lineRule="auto"/>
        <w:jc w:val="both"/>
        <w:rPr>
          <w:b/>
          <w:bCs/>
          <w:u w:val="single"/>
          <w:rtl/>
          <w:lang w:eastAsia="he-IL"/>
        </w:rPr>
      </w:pPr>
      <w:r w:rsidRPr="007F060E">
        <w:rPr>
          <w:b/>
          <w:bCs/>
          <w:u w:val="single"/>
          <w:rtl/>
          <w:lang w:eastAsia="he-IL"/>
        </w:rPr>
        <w:t>טענות ב"כ המאשימה</w:t>
      </w:r>
    </w:p>
    <w:p w14:paraId="3E744E0E" w14:textId="77777777" w:rsidR="002E4FD8" w:rsidRPr="007F060E" w:rsidRDefault="002E4FD8" w:rsidP="002E4FD8">
      <w:pPr>
        <w:spacing w:line="360" w:lineRule="auto"/>
        <w:jc w:val="both"/>
        <w:rPr>
          <w:b/>
          <w:bCs/>
          <w:u w:val="single"/>
          <w:rtl/>
          <w:lang w:eastAsia="he-IL"/>
        </w:rPr>
      </w:pPr>
    </w:p>
    <w:p w14:paraId="0EE331C7" w14:textId="77777777" w:rsidR="002E4FD8" w:rsidRPr="007F060E" w:rsidRDefault="002E4FD8" w:rsidP="002E4FD8">
      <w:pPr>
        <w:spacing w:line="360" w:lineRule="auto"/>
        <w:jc w:val="both"/>
        <w:rPr>
          <w:rFonts w:ascii="David" w:hAnsi="David"/>
          <w:rtl/>
        </w:rPr>
      </w:pPr>
      <w:r w:rsidRPr="007F060E">
        <w:rPr>
          <w:rtl/>
          <w:lang w:eastAsia="he-IL"/>
        </w:rPr>
        <w:t>2.</w:t>
      </w:r>
      <w:r w:rsidRPr="007F060E">
        <w:rPr>
          <w:rtl/>
          <w:lang w:eastAsia="he-IL"/>
        </w:rPr>
        <w:tab/>
      </w:r>
      <w:r w:rsidRPr="007F060E">
        <w:rPr>
          <w:rFonts w:ascii="David" w:hAnsi="David"/>
          <w:rtl/>
        </w:rPr>
        <w:t>לטענת ב"כ המאשימה:</w:t>
      </w:r>
    </w:p>
    <w:p w14:paraId="3CF945BB" w14:textId="77777777" w:rsidR="002E4FD8" w:rsidRPr="007F060E" w:rsidRDefault="002E4FD8" w:rsidP="002E4FD8">
      <w:pPr>
        <w:spacing w:line="360" w:lineRule="auto"/>
        <w:jc w:val="both"/>
        <w:rPr>
          <w:rFonts w:ascii="David" w:hAnsi="David"/>
          <w:rtl/>
        </w:rPr>
      </w:pPr>
    </w:p>
    <w:p w14:paraId="41F4F7BE" w14:textId="77777777" w:rsidR="002E4FD8" w:rsidRPr="007F060E" w:rsidRDefault="002E4FD8" w:rsidP="002E4FD8">
      <w:pPr>
        <w:spacing w:line="360" w:lineRule="auto"/>
        <w:jc w:val="both"/>
        <w:rPr>
          <w:rFonts w:ascii="David" w:hAnsi="David"/>
          <w:rtl/>
        </w:rPr>
      </w:pPr>
      <w:r w:rsidRPr="007F060E">
        <w:rPr>
          <w:rFonts w:ascii="David" w:hAnsi="David"/>
          <w:rtl/>
        </w:rPr>
        <w:t>הערכים שנפגעו הם זכותה וחובתה של מדינת ישראל ומערכת המשפט לשמור על גבולות המדינה מפני מסתננים לשטחה. יש צורך במענה אכיפתי הולם ומרתיע, שיקדם התמודדות אפקטיבית עם תופעת ההסתננות, תופעה זו פוגעת בביטחון השוטף, בביטחון החיילים ובאינטרסים ביטחוניים וריבוניים של מדינת ישראל, ומסכנת את כוחות צה"ל.</w:t>
      </w:r>
    </w:p>
    <w:p w14:paraId="6DD10192" w14:textId="77777777" w:rsidR="002E4FD8" w:rsidRPr="007F060E" w:rsidRDefault="002E4FD8" w:rsidP="002E4FD8">
      <w:pPr>
        <w:spacing w:line="360" w:lineRule="auto"/>
        <w:jc w:val="both"/>
        <w:rPr>
          <w:rFonts w:ascii="David" w:hAnsi="David"/>
          <w:rtl/>
        </w:rPr>
      </w:pPr>
    </w:p>
    <w:p w14:paraId="06363E2C" w14:textId="77777777" w:rsidR="002E4FD8" w:rsidRPr="007F060E" w:rsidRDefault="002E4FD8" w:rsidP="002E4FD8">
      <w:pPr>
        <w:spacing w:line="360" w:lineRule="auto"/>
        <w:jc w:val="both"/>
        <w:rPr>
          <w:rFonts w:ascii="David" w:hAnsi="David"/>
          <w:rtl/>
        </w:rPr>
      </w:pPr>
      <w:r w:rsidRPr="007F060E">
        <w:rPr>
          <w:rFonts w:ascii="David" w:hAnsi="David"/>
          <w:rtl/>
        </w:rPr>
        <w:t xml:space="preserve">נטען כי כעת, שוב מסתמנת עליה בכמות המסתננים משטח רצועת עזה, וחציית הגדר, בין באופן חמוש ובין אם לאו. </w:t>
      </w:r>
    </w:p>
    <w:p w14:paraId="69FBC279" w14:textId="77777777" w:rsidR="002E4FD8" w:rsidRPr="007F060E" w:rsidRDefault="002E4FD8" w:rsidP="002E4FD8">
      <w:pPr>
        <w:spacing w:line="360" w:lineRule="auto"/>
        <w:jc w:val="both"/>
        <w:rPr>
          <w:rFonts w:ascii="David" w:hAnsi="David"/>
          <w:rtl/>
        </w:rPr>
      </w:pPr>
    </w:p>
    <w:p w14:paraId="7A608767" w14:textId="77777777" w:rsidR="002E4FD8" w:rsidRPr="007F060E" w:rsidRDefault="002E4FD8" w:rsidP="002E4FD8">
      <w:pPr>
        <w:spacing w:line="360" w:lineRule="auto"/>
        <w:jc w:val="both"/>
        <w:rPr>
          <w:rFonts w:ascii="David" w:hAnsi="David"/>
          <w:rtl/>
        </w:rPr>
      </w:pPr>
      <w:r w:rsidRPr="007F060E">
        <w:rPr>
          <w:rFonts w:ascii="David" w:hAnsi="David"/>
          <w:rtl/>
        </w:rPr>
        <w:t>הניסיון לטעון כי מסתננים אלו אינם מתכוונים לפגוע בביטחון המדינה שכן תכלית הכניסה הינה כלכלית או אישית, חוטא למציאות, ומתעלם מההשלכות הביטחוניות החמורות של תופעה זו, ומפוטנציאל הסכנה הרב הטמון בתופעה.</w:t>
      </w:r>
    </w:p>
    <w:p w14:paraId="64376663" w14:textId="77777777" w:rsidR="002E4FD8" w:rsidRPr="007F060E" w:rsidRDefault="002E4FD8" w:rsidP="002E4FD8">
      <w:pPr>
        <w:spacing w:line="360" w:lineRule="auto"/>
        <w:jc w:val="both"/>
        <w:rPr>
          <w:rFonts w:ascii="David" w:hAnsi="David"/>
          <w:rtl/>
        </w:rPr>
      </w:pPr>
    </w:p>
    <w:p w14:paraId="3C5FDA6D" w14:textId="77777777" w:rsidR="002E4FD8" w:rsidRPr="007F060E" w:rsidRDefault="002E4FD8" w:rsidP="002E4FD8">
      <w:pPr>
        <w:spacing w:line="360" w:lineRule="auto"/>
        <w:jc w:val="both"/>
        <w:rPr>
          <w:rFonts w:ascii="David" w:hAnsi="David"/>
          <w:rtl/>
        </w:rPr>
      </w:pPr>
      <w:r w:rsidRPr="007F060E">
        <w:rPr>
          <w:rFonts w:ascii="David" w:hAnsi="David"/>
          <w:rtl/>
        </w:rPr>
        <w:t>במקרה זה היתה הצטיידות ברימון רסס, וההתחמשות בו מגבירה מאוד את הסיכון הנשקף לשלמות גופם ובטחונם של חיילי צה"ל ותושבי מדינת ישראל.</w:t>
      </w:r>
    </w:p>
    <w:p w14:paraId="444B681B" w14:textId="77777777" w:rsidR="002E4FD8" w:rsidRPr="007F060E" w:rsidRDefault="002E4FD8" w:rsidP="002E4FD8">
      <w:pPr>
        <w:spacing w:line="360" w:lineRule="auto"/>
        <w:jc w:val="both"/>
        <w:rPr>
          <w:rFonts w:ascii="David" w:hAnsi="David"/>
          <w:rtl/>
        </w:rPr>
      </w:pPr>
    </w:p>
    <w:p w14:paraId="1BE5ABDA" w14:textId="77777777" w:rsidR="002E4FD8" w:rsidRPr="007F060E" w:rsidRDefault="002E4FD8" w:rsidP="002E4FD8">
      <w:pPr>
        <w:spacing w:line="360" w:lineRule="auto"/>
        <w:jc w:val="both"/>
        <w:rPr>
          <w:rFonts w:ascii="David" w:hAnsi="David"/>
          <w:rtl/>
        </w:rPr>
      </w:pPr>
      <w:r w:rsidRPr="007F060E">
        <w:rPr>
          <w:rFonts w:ascii="David" w:hAnsi="David"/>
          <w:rtl/>
        </w:rPr>
        <w:t>החוק קובע 15 שנות מאסר על עבירת הסתננות מזוינת לעומת 5 שנות מאסר על הסתננות בלבד, ויש לתת ביטוי לכך שהמחוקק שילש את הענישה בגין עבירה כאמור.</w:t>
      </w:r>
    </w:p>
    <w:p w14:paraId="54FE8E14" w14:textId="77777777" w:rsidR="002E4FD8" w:rsidRPr="007F060E" w:rsidRDefault="002E4FD8" w:rsidP="002E4FD8">
      <w:pPr>
        <w:spacing w:line="360" w:lineRule="auto"/>
        <w:jc w:val="both"/>
        <w:rPr>
          <w:rFonts w:ascii="David" w:hAnsi="David"/>
          <w:rtl/>
        </w:rPr>
      </w:pPr>
    </w:p>
    <w:p w14:paraId="449D84D5" w14:textId="77777777" w:rsidR="002E4FD8" w:rsidRPr="007F060E" w:rsidRDefault="002E4FD8" w:rsidP="002E4FD8">
      <w:pPr>
        <w:spacing w:line="360" w:lineRule="auto"/>
        <w:jc w:val="both"/>
        <w:rPr>
          <w:rFonts w:ascii="David" w:hAnsi="David"/>
          <w:rtl/>
        </w:rPr>
      </w:pPr>
      <w:r w:rsidRPr="007F060E">
        <w:rPr>
          <w:rFonts w:ascii="David" w:hAnsi="David"/>
          <w:rtl/>
        </w:rPr>
        <w:t>ב"כ המאשימה הפנה לפסיקה ועתר לקביעת מתחם עונש הולם הנע בין 3 ל – 5 שנות מאסר בפועל.</w:t>
      </w:r>
    </w:p>
    <w:p w14:paraId="69FDCAF9" w14:textId="77777777" w:rsidR="002E4FD8" w:rsidRPr="007F060E" w:rsidRDefault="002E4FD8" w:rsidP="002E4FD8">
      <w:pPr>
        <w:spacing w:line="360" w:lineRule="auto"/>
        <w:jc w:val="both"/>
        <w:rPr>
          <w:rFonts w:ascii="David" w:hAnsi="David"/>
          <w:rtl/>
        </w:rPr>
      </w:pPr>
    </w:p>
    <w:p w14:paraId="4860AC5D" w14:textId="77777777" w:rsidR="002E4FD8" w:rsidRPr="007F060E" w:rsidRDefault="002E4FD8" w:rsidP="002E4FD8">
      <w:pPr>
        <w:spacing w:line="360" w:lineRule="auto"/>
        <w:jc w:val="both"/>
        <w:rPr>
          <w:rFonts w:ascii="David" w:hAnsi="David"/>
          <w:rtl/>
        </w:rPr>
      </w:pPr>
      <w:r w:rsidRPr="007F060E">
        <w:rPr>
          <w:rFonts w:ascii="David" w:hAnsi="David"/>
          <w:rtl/>
        </w:rPr>
        <w:t>נטען כי נדרשת החמרה בעבירות נשק, והנאשם נשא על גופו רימון רסס. לאחרונה נכנסה לתוקף הוראת שעה במסגרת תיקון 140 ל</w:t>
      </w:r>
      <w:hyperlink r:id="rId16" w:history="1">
        <w:r w:rsidR="001810E9" w:rsidRPr="001810E9">
          <w:rPr>
            <w:rFonts w:ascii="David" w:hAnsi="David"/>
            <w:color w:val="0000FF"/>
            <w:u w:val="single"/>
            <w:rtl/>
          </w:rPr>
          <w:t>חוק העונשין</w:t>
        </w:r>
      </w:hyperlink>
      <w:r w:rsidRPr="007F060E">
        <w:rPr>
          <w:rFonts w:ascii="David" w:hAnsi="David"/>
          <w:rtl/>
        </w:rPr>
        <w:t xml:space="preserve">, למרות שהתיקון איננו חל ביחס לנאשם, התיקון קובע ענישה מזערית של רבע מהעונש הקבוע ביחס </w:t>
      </w:r>
      <w:hyperlink r:id="rId17" w:history="1">
        <w:r w:rsidR="009D6942" w:rsidRPr="009D6942">
          <w:rPr>
            <w:rStyle w:val="Hyperlink"/>
            <w:rFonts w:ascii="David" w:hAnsi="David"/>
            <w:rtl/>
          </w:rPr>
          <w:t>לסעיף 144(ב)</w:t>
        </w:r>
      </w:hyperlink>
      <w:r w:rsidRPr="007F060E">
        <w:rPr>
          <w:rFonts w:ascii="David" w:hAnsi="David"/>
          <w:rtl/>
        </w:rPr>
        <w:t xml:space="preserve"> לחוק העונשין. לטענת ב"כ המאשימה, התיקון מצדיק את מתחם הענישה לו עתר.</w:t>
      </w:r>
    </w:p>
    <w:p w14:paraId="3FC159EE" w14:textId="77777777" w:rsidR="002E4FD8" w:rsidRPr="007F060E" w:rsidRDefault="002E4FD8" w:rsidP="002E4FD8">
      <w:pPr>
        <w:spacing w:line="360" w:lineRule="auto"/>
        <w:jc w:val="both"/>
        <w:rPr>
          <w:rFonts w:ascii="David" w:hAnsi="David"/>
          <w:rtl/>
        </w:rPr>
      </w:pPr>
    </w:p>
    <w:p w14:paraId="77A3D9BF" w14:textId="77777777" w:rsidR="002E4FD8" w:rsidRPr="007F060E" w:rsidRDefault="002E4FD8" w:rsidP="002E4FD8">
      <w:pPr>
        <w:spacing w:line="360" w:lineRule="auto"/>
        <w:jc w:val="both"/>
        <w:rPr>
          <w:rFonts w:ascii="David" w:hAnsi="David"/>
          <w:rtl/>
        </w:rPr>
      </w:pPr>
      <w:r w:rsidRPr="007F060E">
        <w:rPr>
          <w:rFonts w:ascii="David" w:hAnsi="David"/>
          <w:rtl/>
        </w:rPr>
        <w:t xml:space="preserve">התבקש למקם את עונשו של הנאשם בתחתית המתחם המוצע, זאת, בהתחשב במניעיו של הנאשם ובעובדה שמטרתו היתה להיעצר, בהתחשב בגילו הצעיר והיעדר עבר פלילי. </w:t>
      </w:r>
    </w:p>
    <w:p w14:paraId="63E56FDE" w14:textId="77777777" w:rsidR="002E4FD8" w:rsidRPr="007F060E" w:rsidRDefault="002E4FD8" w:rsidP="002E4FD8">
      <w:pPr>
        <w:spacing w:line="360" w:lineRule="auto"/>
        <w:jc w:val="both"/>
        <w:rPr>
          <w:rFonts w:ascii="David" w:hAnsi="David"/>
          <w:rtl/>
        </w:rPr>
      </w:pPr>
    </w:p>
    <w:p w14:paraId="74017EAC" w14:textId="77777777" w:rsidR="002E4FD8" w:rsidRPr="007F060E" w:rsidRDefault="002E4FD8" w:rsidP="002E4FD8">
      <w:pPr>
        <w:spacing w:line="360" w:lineRule="auto"/>
        <w:jc w:val="both"/>
        <w:rPr>
          <w:rFonts w:ascii="David" w:hAnsi="David"/>
          <w:rtl/>
        </w:rPr>
      </w:pPr>
      <w:r w:rsidRPr="007F060E">
        <w:rPr>
          <w:rFonts w:ascii="David" w:hAnsi="David"/>
          <w:rtl/>
        </w:rPr>
        <w:t xml:space="preserve">כן התבקש להטיל מאסר על תנאי, וקנס מהטעם שהמוטיבציה בהסתננות היא מוטיבציה בעלת אופי כלכלי, והשתת קנס יש בה גם כשלעצמה להעביר מסר ששולל את המוטיבציה. </w:t>
      </w:r>
    </w:p>
    <w:p w14:paraId="78658351" w14:textId="77777777" w:rsidR="002E4FD8" w:rsidRPr="007F060E" w:rsidRDefault="002E4FD8" w:rsidP="002E4FD8">
      <w:pPr>
        <w:spacing w:line="360" w:lineRule="auto"/>
        <w:jc w:val="both"/>
        <w:rPr>
          <w:rFonts w:ascii="David" w:hAnsi="David"/>
          <w:rtl/>
        </w:rPr>
      </w:pPr>
    </w:p>
    <w:p w14:paraId="696BBDEC" w14:textId="77777777" w:rsidR="002E4FD8" w:rsidRPr="007F060E" w:rsidRDefault="002E4FD8" w:rsidP="002E4FD8">
      <w:pPr>
        <w:spacing w:line="360" w:lineRule="auto"/>
        <w:jc w:val="both"/>
        <w:rPr>
          <w:rFonts w:ascii="David" w:hAnsi="David"/>
          <w:b/>
          <w:bCs/>
          <w:u w:val="single"/>
          <w:rtl/>
        </w:rPr>
      </w:pPr>
      <w:r w:rsidRPr="007F060E">
        <w:rPr>
          <w:rFonts w:ascii="David" w:hAnsi="David"/>
          <w:b/>
          <w:bCs/>
          <w:u w:val="single"/>
          <w:rtl/>
        </w:rPr>
        <w:t>טענות ב"כ הנאשם</w:t>
      </w:r>
    </w:p>
    <w:p w14:paraId="6561FE8B" w14:textId="77777777" w:rsidR="002E4FD8" w:rsidRPr="007F060E" w:rsidRDefault="002E4FD8" w:rsidP="002E4FD8">
      <w:pPr>
        <w:spacing w:line="360" w:lineRule="auto"/>
        <w:jc w:val="both"/>
        <w:rPr>
          <w:rFonts w:ascii="David" w:hAnsi="David"/>
          <w:b/>
          <w:bCs/>
          <w:u w:val="single"/>
          <w:rtl/>
        </w:rPr>
      </w:pPr>
    </w:p>
    <w:p w14:paraId="7B6F0557" w14:textId="77777777" w:rsidR="002E4FD8" w:rsidRPr="007F060E" w:rsidRDefault="002E4FD8" w:rsidP="002E4FD8">
      <w:pPr>
        <w:spacing w:line="360" w:lineRule="auto"/>
        <w:jc w:val="both"/>
        <w:rPr>
          <w:rFonts w:ascii="David" w:hAnsi="David"/>
          <w:rtl/>
        </w:rPr>
      </w:pPr>
      <w:r w:rsidRPr="007F060E">
        <w:rPr>
          <w:rFonts w:ascii="David" w:hAnsi="David"/>
          <w:rtl/>
        </w:rPr>
        <w:t>3.</w:t>
      </w:r>
      <w:r w:rsidRPr="007F060E">
        <w:rPr>
          <w:rFonts w:ascii="David" w:hAnsi="David"/>
          <w:rtl/>
        </w:rPr>
        <w:tab/>
        <w:t>לטענת ב"כ הנאשם:</w:t>
      </w:r>
    </w:p>
    <w:p w14:paraId="6D2CDB8E" w14:textId="77777777" w:rsidR="002E4FD8" w:rsidRPr="007F060E" w:rsidRDefault="002E4FD8" w:rsidP="002E4FD8">
      <w:pPr>
        <w:spacing w:line="360" w:lineRule="auto"/>
        <w:jc w:val="both"/>
        <w:rPr>
          <w:rFonts w:ascii="David" w:hAnsi="David"/>
          <w:rtl/>
        </w:rPr>
      </w:pPr>
    </w:p>
    <w:p w14:paraId="6CEFC7A6" w14:textId="77777777" w:rsidR="002E4FD8" w:rsidRPr="007F060E" w:rsidRDefault="002E4FD8" w:rsidP="002E4FD8">
      <w:pPr>
        <w:spacing w:line="360" w:lineRule="auto"/>
        <w:jc w:val="both"/>
        <w:rPr>
          <w:rFonts w:ascii="David" w:hAnsi="David"/>
          <w:rtl/>
        </w:rPr>
      </w:pPr>
      <w:r w:rsidRPr="007F060E">
        <w:rPr>
          <w:rFonts w:ascii="David" w:hAnsi="David"/>
          <w:rtl/>
        </w:rPr>
        <w:t xml:space="preserve">מדובר בנאשם תושב רצועת עזה, חקלאי שהודה כמעט בהזדמנות ראשונה, חסך זמן שיפוטי ונעדר עבר פלילי. הנאשם לא התגייס לארגונים ברצועת עזה, הוא אדם פשוט, משפחתו מונה 12 </w:t>
      </w:r>
      <w:r>
        <w:rPr>
          <w:rFonts w:ascii="David" w:hAnsi="David" w:hint="cs"/>
          <w:rtl/>
        </w:rPr>
        <w:t>נפשות</w:t>
      </w:r>
      <w:r w:rsidRPr="007F060E">
        <w:rPr>
          <w:rFonts w:ascii="David" w:hAnsi="David"/>
          <w:rtl/>
        </w:rPr>
        <w:t xml:space="preserve">, והפרנסה ברצועת עזה קשה. הלחץ הכלכלי הוא שהניע אותו לבוא לגבול, ונטען כי הנאשם הגיע לגבול בידיעה שאם הוא ללא סכין או משהו אחר, החיילים יחזירו אותו לאור ההנחיה החדשה לפיה אם המסתננים מבצעים הסתננות רגילה מחזירים אותם חזרה. </w:t>
      </w:r>
    </w:p>
    <w:p w14:paraId="45CB2F41" w14:textId="77777777" w:rsidR="002E4FD8" w:rsidRPr="007F060E" w:rsidRDefault="002E4FD8" w:rsidP="002E4FD8">
      <w:pPr>
        <w:spacing w:line="360" w:lineRule="auto"/>
        <w:jc w:val="both"/>
        <w:rPr>
          <w:rFonts w:ascii="David" w:hAnsi="David"/>
          <w:rtl/>
        </w:rPr>
      </w:pPr>
    </w:p>
    <w:p w14:paraId="1EE0A582" w14:textId="77777777" w:rsidR="002E4FD8" w:rsidRPr="007F060E" w:rsidRDefault="002E4FD8" w:rsidP="002E4FD8">
      <w:pPr>
        <w:spacing w:line="360" w:lineRule="auto"/>
        <w:jc w:val="both"/>
        <w:rPr>
          <w:rFonts w:ascii="David" w:hAnsi="David"/>
          <w:rtl/>
        </w:rPr>
      </w:pPr>
      <w:r w:rsidRPr="007F060E">
        <w:rPr>
          <w:rFonts w:ascii="David" w:hAnsi="David"/>
          <w:rtl/>
        </w:rPr>
        <w:t xml:space="preserve">לטענת ב"כ נאשם הגשת כתבי אישום נגד מסתננים המבצעים הסתננות ללא נשק נפסקה לתקופה מסוימת, וכיום, מוגשים כתבי אישום רק נגד מסתננים שבידם רימון. לטענתו, גם מסתננים עם סכין מוחזרים לרצועת עזה. </w:t>
      </w:r>
    </w:p>
    <w:p w14:paraId="2B3A3E59" w14:textId="77777777" w:rsidR="002E4FD8" w:rsidRPr="007F060E" w:rsidRDefault="002E4FD8" w:rsidP="002E4FD8">
      <w:pPr>
        <w:spacing w:line="360" w:lineRule="auto"/>
        <w:jc w:val="both"/>
        <w:rPr>
          <w:rFonts w:ascii="David" w:hAnsi="David"/>
          <w:rtl/>
        </w:rPr>
      </w:pPr>
    </w:p>
    <w:p w14:paraId="7476B92A" w14:textId="77777777" w:rsidR="002E4FD8" w:rsidRPr="007F060E" w:rsidRDefault="002E4FD8" w:rsidP="002E4FD8">
      <w:pPr>
        <w:spacing w:line="360" w:lineRule="auto"/>
        <w:jc w:val="both"/>
        <w:rPr>
          <w:rFonts w:ascii="David" w:hAnsi="David"/>
          <w:rtl/>
        </w:rPr>
      </w:pPr>
      <w:r w:rsidRPr="007F060E">
        <w:rPr>
          <w:rFonts w:ascii="David" w:hAnsi="David"/>
          <w:rtl/>
        </w:rPr>
        <w:t>נטען כי הנאשם רכש רימון, לא בדק האם הרימון תקני או לא, כי זו לא היתה מטרתו, והמטרה הייתה להראות לחיילים שבא עם רימון, כי הוא בא להיעצר.</w:t>
      </w:r>
    </w:p>
    <w:p w14:paraId="09AA827D" w14:textId="77777777" w:rsidR="002E4FD8" w:rsidRPr="007F060E" w:rsidRDefault="002E4FD8" w:rsidP="002E4FD8">
      <w:pPr>
        <w:spacing w:line="360" w:lineRule="auto"/>
        <w:jc w:val="both"/>
        <w:rPr>
          <w:rFonts w:ascii="David" w:hAnsi="David"/>
          <w:rtl/>
        </w:rPr>
      </w:pPr>
    </w:p>
    <w:p w14:paraId="6D5C9D32" w14:textId="77777777" w:rsidR="002E4FD8" w:rsidRPr="007F060E" w:rsidRDefault="002E4FD8" w:rsidP="002E4FD8">
      <w:pPr>
        <w:spacing w:line="360" w:lineRule="auto"/>
        <w:jc w:val="both"/>
        <w:rPr>
          <w:rFonts w:ascii="David" w:hAnsi="David"/>
          <w:rtl/>
        </w:rPr>
      </w:pPr>
      <w:r w:rsidRPr="007F060E">
        <w:rPr>
          <w:rFonts w:ascii="David" w:hAnsi="David"/>
          <w:rtl/>
        </w:rPr>
        <w:t>נטען כי אין להקל בעניין ההסתננות, אך עם זאת החיילים מתורגלים, והאמצעים הטכנולוגיים הם לא אותם אמצעים הטכנולוגיים שהיו לפני 10 שנים.</w:t>
      </w:r>
    </w:p>
    <w:p w14:paraId="15077251" w14:textId="77777777" w:rsidR="002E4FD8" w:rsidRPr="007F060E" w:rsidRDefault="002E4FD8" w:rsidP="002E4FD8">
      <w:pPr>
        <w:spacing w:line="360" w:lineRule="auto"/>
        <w:jc w:val="both"/>
        <w:rPr>
          <w:rFonts w:ascii="David" w:hAnsi="David"/>
          <w:rtl/>
        </w:rPr>
      </w:pPr>
    </w:p>
    <w:p w14:paraId="59B9374F" w14:textId="77777777" w:rsidR="002E4FD8" w:rsidRPr="007F060E" w:rsidRDefault="002E4FD8" w:rsidP="002E4FD8">
      <w:pPr>
        <w:spacing w:line="360" w:lineRule="auto"/>
        <w:jc w:val="both"/>
        <w:rPr>
          <w:rFonts w:ascii="David" w:hAnsi="David"/>
          <w:rtl/>
        </w:rPr>
      </w:pPr>
      <w:r w:rsidRPr="007F060E">
        <w:rPr>
          <w:rFonts w:ascii="David" w:hAnsi="David"/>
          <w:rtl/>
        </w:rPr>
        <w:t xml:space="preserve">נטען כי ב"כ המאשימה הפנה לפסיקה ישנה, בה הייתה תקופה בה חיילים לא היו יכולים לדעת אם המסתננים באו לפגוע בהם או שבאו לעבודה, והעונשים היו ברף גבוה, אולם התקופה הופסקה, והמדינה הפסיקה להכניס מסתננים רגילים ולהעמיד אותם לדין. </w:t>
      </w:r>
    </w:p>
    <w:p w14:paraId="318BC025" w14:textId="77777777" w:rsidR="002E4FD8" w:rsidRPr="007F060E" w:rsidRDefault="002E4FD8" w:rsidP="002E4FD8">
      <w:pPr>
        <w:spacing w:line="360" w:lineRule="auto"/>
        <w:jc w:val="both"/>
        <w:rPr>
          <w:rFonts w:ascii="David" w:hAnsi="David"/>
          <w:rtl/>
        </w:rPr>
      </w:pPr>
    </w:p>
    <w:p w14:paraId="59571B3D" w14:textId="77777777" w:rsidR="002E4FD8" w:rsidRPr="007F060E" w:rsidRDefault="002E4FD8" w:rsidP="002E4FD8">
      <w:pPr>
        <w:spacing w:line="360" w:lineRule="auto"/>
        <w:jc w:val="both"/>
        <w:rPr>
          <w:rFonts w:ascii="David" w:hAnsi="David"/>
          <w:rtl/>
        </w:rPr>
      </w:pPr>
      <w:r w:rsidRPr="007F060E">
        <w:rPr>
          <w:rFonts w:ascii="David" w:hAnsi="David"/>
          <w:rtl/>
        </w:rPr>
        <w:t xml:space="preserve">נטען כי אם כוונת המדינה היא להחמיר בעונשים של מסתננים עם רימון, ולטעון למה שהיה לפני הרבה שנים, יש לעשות זאת בהדרגתיות. </w:t>
      </w:r>
    </w:p>
    <w:p w14:paraId="7DBCDE28" w14:textId="77777777" w:rsidR="002E4FD8" w:rsidRPr="007F060E" w:rsidRDefault="002E4FD8" w:rsidP="002E4FD8">
      <w:pPr>
        <w:spacing w:line="360" w:lineRule="auto"/>
        <w:jc w:val="both"/>
        <w:rPr>
          <w:rFonts w:ascii="David" w:hAnsi="David"/>
          <w:rtl/>
        </w:rPr>
      </w:pPr>
    </w:p>
    <w:p w14:paraId="51A38D0E" w14:textId="77777777" w:rsidR="002E4FD8" w:rsidRPr="007F060E" w:rsidRDefault="002E4FD8" w:rsidP="002E4FD8">
      <w:pPr>
        <w:spacing w:line="360" w:lineRule="auto"/>
        <w:jc w:val="both"/>
        <w:rPr>
          <w:rFonts w:ascii="David" w:hAnsi="David"/>
          <w:rtl/>
        </w:rPr>
      </w:pPr>
      <w:r w:rsidRPr="007F060E">
        <w:rPr>
          <w:rFonts w:ascii="David" w:hAnsi="David"/>
          <w:rtl/>
        </w:rPr>
        <w:t>המתחם לו עתרה המאשימה לא סביר, והענישה צריכה להיות זו שהוטלה בשנת 2018.</w:t>
      </w:r>
    </w:p>
    <w:p w14:paraId="0A673AEA" w14:textId="77777777" w:rsidR="002E4FD8" w:rsidRPr="007F060E" w:rsidRDefault="002E4FD8" w:rsidP="002E4FD8">
      <w:pPr>
        <w:spacing w:line="360" w:lineRule="auto"/>
        <w:jc w:val="both"/>
        <w:rPr>
          <w:rFonts w:ascii="David" w:hAnsi="David"/>
          <w:rtl/>
        </w:rPr>
      </w:pPr>
    </w:p>
    <w:p w14:paraId="354BDAE8" w14:textId="77777777" w:rsidR="002E4FD8" w:rsidRPr="007F060E" w:rsidRDefault="002E4FD8" w:rsidP="002E4FD8">
      <w:pPr>
        <w:spacing w:line="360" w:lineRule="auto"/>
        <w:jc w:val="both"/>
        <w:rPr>
          <w:rFonts w:ascii="David" w:hAnsi="David"/>
          <w:rtl/>
        </w:rPr>
      </w:pPr>
      <w:r w:rsidRPr="007F060E">
        <w:rPr>
          <w:rFonts w:ascii="David" w:hAnsi="David"/>
          <w:rtl/>
        </w:rPr>
        <w:t>התבקש לקבוע מתחם הנע בין 12 ל - 24 חודשים ולמיקום הענישה של הנאשם</w:t>
      </w:r>
      <w:r>
        <w:rPr>
          <w:rFonts w:ascii="David" w:hAnsi="David"/>
          <w:rtl/>
        </w:rPr>
        <w:t xml:space="preserve"> ברף התחתון</w:t>
      </w:r>
      <w:r>
        <w:rPr>
          <w:rFonts w:ascii="David" w:hAnsi="David" w:hint="cs"/>
          <w:rtl/>
        </w:rPr>
        <w:t xml:space="preserve">, </w:t>
      </w:r>
      <w:r w:rsidRPr="007F060E">
        <w:rPr>
          <w:rFonts w:ascii="David" w:hAnsi="David"/>
          <w:rtl/>
        </w:rPr>
        <w:t>לאור כך שמדובר בנאשם צעיר.</w:t>
      </w:r>
    </w:p>
    <w:p w14:paraId="3A19BD17" w14:textId="77777777" w:rsidR="002E4FD8" w:rsidRPr="007F060E" w:rsidRDefault="002E4FD8" w:rsidP="002E4FD8">
      <w:pPr>
        <w:spacing w:line="360" w:lineRule="auto"/>
        <w:jc w:val="both"/>
        <w:rPr>
          <w:rFonts w:ascii="David" w:hAnsi="David"/>
          <w:rtl/>
        </w:rPr>
      </w:pPr>
    </w:p>
    <w:p w14:paraId="0877E7C9" w14:textId="77777777" w:rsidR="002E4FD8" w:rsidRPr="007F060E" w:rsidRDefault="002E4FD8" w:rsidP="002E4FD8">
      <w:pPr>
        <w:spacing w:line="360" w:lineRule="auto"/>
        <w:jc w:val="both"/>
        <w:rPr>
          <w:rFonts w:ascii="David" w:hAnsi="David"/>
          <w:rtl/>
        </w:rPr>
      </w:pPr>
      <w:r w:rsidRPr="007F060E">
        <w:rPr>
          <w:rFonts w:ascii="David" w:hAnsi="David"/>
          <w:rtl/>
        </w:rPr>
        <w:t xml:space="preserve">ביחס לתיקון החוק בעבירות נשק, נטען כי הוא אינו מתייחס לנסיבות אלו אלא למיגור החזקת הנשק בישראל, והחזקת נשק לכל שימוש פלילי. </w:t>
      </w:r>
    </w:p>
    <w:p w14:paraId="7B03C7FB" w14:textId="77777777" w:rsidR="002E4FD8" w:rsidRPr="007F060E" w:rsidRDefault="002E4FD8" w:rsidP="002E4FD8">
      <w:pPr>
        <w:spacing w:line="360" w:lineRule="auto"/>
        <w:jc w:val="both"/>
        <w:rPr>
          <w:rFonts w:ascii="David" w:hAnsi="David"/>
          <w:rtl/>
        </w:rPr>
      </w:pPr>
    </w:p>
    <w:p w14:paraId="5B1BF0B4" w14:textId="77777777" w:rsidR="002E4FD8" w:rsidRPr="007F060E" w:rsidRDefault="002E4FD8" w:rsidP="002E4FD8">
      <w:pPr>
        <w:spacing w:line="360" w:lineRule="auto"/>
        <w:jc w:val="both"/>
        <w:rPr>
          <w:b/>
          <w:bCs/>
          <w:u w:val="single"/>
          <w:rtl/>
          <w:lang w:eastAsia="he-IL"/>
        </w:rPr>
      </w:pPr>
      <w:r w:rsidRPr="007F060E">
        <w:rPr>
          <w:rFonts w:ascii="David" w:hAnsi="David"/>
          <w:rtl/>
        </w:rPr>
        <w:t>הנאשם אמר כי הוא מבקש שמדינת ישראל תסיר את המצור מעל רצועת עזה.</w:t>
      </w:r>
    </w:p>
    <w:p w14:paraId="59EE016E" w14:textId="77777777" w:rsidR="002E4FD8" w:rsidRPr="007F060E" w:rsidRDefault="002E4FD8" w:rsidP="002E4FD8">
      <w:pPr>
        <w:spacing w:line="360" w:lineRule="auto"/>
        <w:jc w:val="both"/>
        <w:rPr>
          <w:b/>
          <w:bCs/>
          <w:u w:val="single"/>
          <w:rtl/>
          <w:lang w:eastAsia="he-IL"/>
        </w:rPr>
      </w:pPr>
    </w:p>
    <w:p w14:paraId="1AB9C336" w14:textId="77777777" w:rsidR="002E4FD8" w:rsidRPr="007F060E" w:rsidRDefault="002E4FD8" w:rsidP="002E4FD8">
      <w:pPr>
        <w:spacing w:line="360" w:lineRule="auto"/>
        <w:jc w:val="both"/>
        <w:rPr>
          <w:b/>
          <w:bCs/>
          <w:u w:val="single"/>
          <w:rtl/>
          <w:lang w:eastAsia="he-IL"/>
        </w:rPr>
      </w:pPr>
      <w:r w:rsidRPr="007F060E">
        <w:rPr>
          <w:b/>
          <w:bCs/>
          <w:u w:val="single"/>
          <w:rtl/>
          <w:lang w:eastAsia="he-IL"/>
        </w:rPr>
        <w:t>הערכים המוגנים ומתחם העונש ההולם</w:t>
      </w:r>
    </w:p>
    <w:p w14:paraId="6382B7D2" w14:textId="77777777" w:rsidR="002E4FD8" w:rsidRPr="007F060E" w:rsidRDefault="002E4FD8" w:rsidP="002E4FD8">
      <w:pPr>
        <w:spacing w:line="360" w:lineRule="auto"/>
        <w:jc w:val="both"/>
        <w:rPr>
          <w:b/>
          <w:bCs/>
          <w:u w:val="single"/>
          <w:rtl/>
          <w:lang w:eastAsia="he-IL"/>
        </w:rPr>
      </w:pPr>
    </w:p>
    <w:p w14:paraId="28D2DEE3" w14:textId="77777777" w:rsidR="002E4FD8" w:rsidRPr="007F060E" w:rsidRDefault="002E4FD8" w:rsidP="002E4FD8">
      <w:pPr>
        <w:spacing w:line="360" w:lineRule="auto"/>
        <w:jc w:val="both"/>
        <w:rPr>
          <w:rFonts w:ascii="Calibri Light" w:hAnsi="Calibri Light"/>
          <w:rtl/>
          <w:lang w:eastAsia="he-IL"/>
        </w:rPr>
      </w:pPr>
      <w:r w:rsidRPr="007F060E">
        <w:rPr>
          <w:rtl/>
        </w:rPr>
        <w:t>4.</w:t>
      </w:r>
      <w:r w:rsidRPr="007F060E">
        <w:rPr>
          <w:rFonts w:cs="Times New Roman"/>
          <w:rtl/>
        </w:rPr>
        <w:t xml:space="preserve"> </w:t>
      </w:r>
      <w:r>
        <w:rPr>
          <w:rFonts w:ascii="Calibri Light" w:hAnsi="Calibri Light"/>
          <w:rtl/>
          <w:lang w:eastAsia="he-IL"/>
        </w:rPr>
        <w:tab/>
      </w:r>
      <w:r w:rsidRPr="007F060E">
        <w:rPr>
          <w:rFonts w:ascii="Calibri Light" w:hAnsi="Calibri Light" w:hint="eastAsia"/>
          <w:rtl/>
          <w:lang w:eastAsia="he-IL"/>
        </w:rPr>
        <w:t>הנאשם</w:t>
      </w:r>
      <w:r w:rsidRPr="007F060E">
        <w:rPr>
          <w:rFonts w:ascii="Calibri Light" w:hAnsi="Calibri Light"/>
          <w:rtl/>
          <w:lang w:eastAsia="he-IL"/>
        </w:rPr>
        <w:t xml:space="preserve"> </w:t>
      </w:r>
      <w:r w:rsidRPr="007F060E">
        <w:rPr>
          <w:rFonts w:ascii="Calibri Light" w:hAnsi="Calibri Light" w:hint="eastAsia"/>
          <w:rtl/>
          <w:lang w:eastAsia="he-IL"/>
        </w:rPr>
        <w:t>ביצע</w:t>
      </w:r>
      <w:r w:rsidRPr="007F060E">
        <w:rPr>
          <w:rFonts w:ascii="Calibri Light" w:hAnsi="Calibri Light"/>
          <w:rtl/>
          <w:lang w:eastAsia="he-IL"/>
        </w:rPr>
        <w:t xml:space="preserve"> </w:t>
      </w:r>
      <w:r w:rsidRPr="007F060E">
        <w:rPr>
          <w:rFonts w:ascii="Calibri Light" w:hAnsi="Calibri Light" w:hint="eastAsia"/>
          <w:rtl/>
          <w:lang w:eastAsia="he-IL"/>
        </w:rPr>
        <w:t>עבירות</w:t>
      </w:r>
      <w:r w:rsidRPr="007F060E">
        <w:rPr>
          <w:rFonts w:ascii="Calibri Light" w:hAnsi="Calibri Light"/>
          <w:rtl/>
          <w:lang w:eastAsia="he-IL"/>
        </w:rPr>
        <w:t xml:space="preserve"> </w:t>
      </w:r>
      <w:r w:rsidRPr="007F060E">
        <w:rPr>
          <w:rFonts w:ascii="Calibri Light" w:hAnsi="Calibri Light" w:hint="eastAsia"/>
          <w:rtl/>
          <w:lang w:eastAsia="he-IL"/>
        </w:rPr>
        <w:t>של</w:t>
      </w:r>
      <w:r w:rsidRPr="007F060E">
        <w:rPr>
          <w:rFonts w:ascii="Calibri Light" w:hAnsi="Calibri Light"/>
          <w:rtl/>
          <w:lang w:eastAsia="he-IL"/>
        </w:rPr>
        <w:t xml:space="preserve"> </w:t>
      </w:r>
      <w:r w:rsidRPr="007F060E">
        <w:rPr>
          <w:rFonts w:ascii="Calibri Light" w:hAnsi="Calibri Light" w:hint="eastAsia"/>
          <w:rtl/>
          <w:lang w:eastAsia="he-IL"/>
        </w:rPr>
        <w:t>הסתננות</w:t>
      </w:r>
      <w:r w:rsidRPr="007F060E">
        <w:rPr>
          <w:rFonts w:ascii="Calibri Light" w:hAnsi="Calibri Light"/>
          <w:rtl/>
          <w:lang w:eastAsia="he-IL"/>
        </w:rPr>
        <w:t xml:space="preserve"> </w:t>
      </w:r>
      <w:r w:rsidRPr="007F060E">
        <w:rPr>
          <w:rFonts w:ascii="Calibri Light" w:hAnsi="Calibri Light" w:hint="eastAsia"/>
          <w:rtl/>
          <w:lang w:eastAsia="he-IL"/>
        </w:rPr>
        <w:t>מזוינת</w:t>
      </w:r>
      <w:r w:rsidRPr="007F060E">
        <w:rPr>
          <w:rFonts w:ascii="Calibri Light" w:hAnsi="Calibri Light"/>
          <w:rtl/>
          <w:lang w:eastAsia="he-IL"/>
        </w:rPr>
        <w:t xml:space="preserve"> </w:t>
      </w:r>
      <w:r w:rsidRPr="007F060E">
        <w:rPr>
          <w:rFonts w:ascii="Calibri Light" w:hAnsi="Calibri Light" w:hint="eastAsia"/>
          <w:rtl/>
          <w:lang w:eastAsia="he-IL"/>
        </w:rPr>
        <w:t>ונשיאת</w:t>
      </w:r>
      <w:r w:rsidRPr="007F060E">
        <w:rPr>
          <w:rFonts w:ascii="Calibri Light" w:hAnsi="Calibri Light"/>
          <w:rtl/>
          <w:lang w:eastAsia="he-IL"/>
        </w:rPr>
        <w:t xml:space="preserve"> </w:t>
      </w:r>
      <w:r w:rsidRPr="007F060E">
        <w:rPr>
          <w:rFonts w:ascii="Calibri Light" w:hAnsi="Calibri Light" w:hint="eastAsia"/>
          <w:rtl/>
          <w:lang w:eastAsia="he-IL"/>
        </w:rPr>
        <w:t>נשק</w:t>
      </w:r>
      <w:r w:rsidRPr="007F060E">
        <w:rPr>
          <w:rFonts w:ascii="Calibri Light" w:hAnsi="Calibri Light"/>
          <w:rtl/>
          <w:lang w:eastAsia="he-IL"/>
        </w:rPr>
        <w:t xml:space="preserve"> </w:t>
      </w:r>
      <w:r w:rsidRPr="007F060E">
        <w:rPr>
          <w:rFonts w:ascii="Calibri Light" w:hAnsi="Calibri Light" w:hint="eastAsia"/>
          <w:rtl/>
          <w:lang w:eastAsia="he-IL"/>
        </w:rPr>
        <w:t>בכך</w:t>
      </w:r>
      <w:r w:rsidRPr="007F060E">
        <w:rPr>
          <w:rFonts w:ascii="Calibri Light" w:hAnsi="Calibri Light"/>
          <w:rtl/>
          <w:lang w:eastAsia="he-IL"/>
        </w:rPr>
        <w:t xml:space="preserve"> </w:t>
      </w:r>
      <w:r w:rsidRPr="007F060E">
        <w:rPr>
          <w:rFonts w:ascii="Calibri Light" w:hAnsi="Calibri Light" w:hint="eastAsia"/>
          <w:rtl/>
          <w:lang w:eastAsia="he-IL"/>
        </w:rPr>
        <w:t>שהתקרב</w:t>
      </w:r>
      <w:r w:rsidRPr="007F060E">
        <w:rPr>
          <w:rFonts w:ascii="Calibri Light" w:hAnsi="Calibri Light"/>
          <w:rtl/>
          <w:lang w:eastAsia="he-IL"/>
        </w:rPr>
        <w:t xml:space="preserve"> </w:t>
      </w:r>
      <w:r w:rsidRPr="007F060E">
        <w:rPr>
          <w:rFonts w:ascii="Calibri Light" w:hAnsi="Calibri Light" w:hint="eastAsia"/>
          <w:rtl/>
          <w:lang w:eastAsia="he-IL"/>
        </w:rPr>
        <w:t>לגדר</w:t>
      </w:r>
      <w:r w:rsidRPr="007F060E">
        <w:rPr>
          <w:rFonts w:ascii="Calibri Light" w:hAnsi="Calibri Light"/>
          <w:rtl/>
          <w:lang w:eastAsia="he-IL"/>
        </w:rPr>
        <w:t xml:space="preserve"> </w:t>
      </w:r>
      <w:r w:rsidRPr="007F060E">
        <w:rPr>
          <w:rFonts w:ascii="Calibri Light" w:hAnsi="Calibri Light" w:hint="eastAsia"/>
          <w:rtl/>
          <w:lang w:eastAsia="he-IL"/>
        </w:rPr>
        <w:t>המערכת</w:t>
      </w:r>
      <w:r w:rsidRPr="007F060E">
        <w:rPr>
          <w:rFonts w:ascii="Calibri Light" w:hAnsi="Calibri Light"/>
          <w:rtl/>
          <w:lang w:eastAsia="he-IL"/>
        </w:rPr>
        <w:t xml:space="preserve"> </w:t>
      </w:r>
      <w:r w:rsidRPr="007F060E">
        <w:rPr>
          <w:rFonts w:ascii="Calibri Light" w:hAnsi="Calibri Light" w:hint="eastAsia"/>
          <w:rtl/>
          <w:lang w:eastAsia="he-IL"/>
        </w:rPr>
        <w:t>ועבר</w:t>
      </w:r>
      <w:r w:rsidRPr="007F060E">
        <w:rPr>
          <w:rFonts w:ascii="Calibri Light" w:hAnsi="Calibri Light"/>
          <w:rtl/>
          <w:lang w:eastAsia="he-IL"/>
        </w:rPr>
        <w:t xml:space="preserve"> </w:t>
      </w:r>
      <w:r w:rsidRPr="007F060E">
        <w:rPr>
          <w:rFonts w:ascii="Calibri Light" w:hAnsi="Calibri Light" w:hint="eastAsia"/>
          <w:rtl/>
          <w:lang w:eastAsia="he-IL"/>
        </w:rPr>
        <w:t>אותה</w:t>
      </w:r>
      <w:r w:rsidRPr="007F060E">
        <w:rPr>
          <w:rFonts w:ascii="Calibri Light" w:hAnsi="Calibri Light"/>
          <w:rtl/>
          <w:lang w:eastAsia="he-IL"/>
        </w:rPr>
        <w:t xml:space="preserve"> </w:t>
      </w:r>
      <w:r w:rsidRPr="007F060E">
        <w:rPr>
          <w:rFonts w:ascii="Calibri Light" w:hAnsi="Calibri Light" w:hint="eastAsia"/>
          <w:rtl/>
          <w:lang w:eastAsia="he-IL"/>
        </w:rPr>
        <w:t>לתוך</w:t>
      </w:r>
      <w:r w:rsidRPr="007F060E">
        <w:rPr>
          <w:rFonts w:ascii="Calibri Light" w:hAnsi="Calibri Light"/>
          <w:rtl/>
          <w:lang w:eastAsia="he-IL"/>
        </w:rPr>
        <w:t xml:space="preserve"> </w:t>
      </w:r>
      <w:r w:rsidRPr="007F060E">
        <w:rPr>
          <w:rFonts w:ascii="Calibri Light" w:hAnsi="Calibri Light" w:hint="eastAsia"/>
          <w:rtl/>
          <w:lang w:eastAsia="he-IL"/>
        </w:rPr>
        <w:t>שטח</w:t>
      </w:r>
      <w:r w:rsidRPr="007F060E">
        <w:rPr>
          <w:rFonts w:ascii="Calibri Light" w:hAnsi="Calibri Light"/>
          <w:rtl/>
          <w:lang w:eastAsia="he-IL"/>
        </w:rPr>
        <w:t xml:space="preserve"> </w:t>
      </w:r>
      <w:r w:rsidRPr="007F060E">
        <w:rPr>
          <w:rFonts w:ascii="Calibri Light" w:hAnsi="Calibri Light" w:hint="eastAsia"/>
          <w:rtl/>
          <w:lang w:eastAsia="he-IL"/>
        </w:rPr>
        <w:t>ישראל</w:t>
      </w:r>
      <w:r w:rsidRPr="007F060E">
        <w:rPr>
          <w:rFonts w:ascii="Calibri Light" w:hAnsi="Calibri Light"/>
          <w:rtl/>
          <w:lang w:eastAsia="he-IL"/>
        </w:rPr>
        <w:t xml:space="preserve"> </w:t>
      </w:r>
      <w:r w:rsidRPr="007F060E">
        <w:rPr>
          <w:rFonts w:ascii="Calibri Light" w:hAnsi="Calibri Light" w:hint="eastAsia"/>
          <w:rtl/>
          <w:lang w:eastAsia="he-IL"/>
        </w:rPr>
        <w:t>כאשר</w:t>
      </w:r>
      <w:r w:rsidRPr="007F060E">
        <w:rPr>
          <w:rFonts w:ascii="Calibri Light" w:hAnsi="Calibri Light"/>
          <w:rtl/>
          <w:lang w:eastAsia="he-IL"/>
        </w:rPr>
        <w:t xml:space="preserve"> </w:t>
      </w:r>
      <w:r w:rsidRPr="007F060E">
        <w:rPr>
          <w:rFonts w:ascii="Calibri Light" w:hAnsi="Calibri Light" w:hint="eastAsia"/>
          <w:rtl/>
          <w:lang w:eastAsia="he-IL"/>
        </w:rPr>
        <w:t>הוא</w:t>
      </w:r>
      <w:r w:rsidRPr="007F060E">
        <w:rPr>
          <w:rFonts w:ascii="Calibri Light" w:hAnsi="Calibri Light"/>
          <w:rtl/>
          <w:lang w:eastAsia="he-IL"/>
        </w:rPr>
        <w:t xml:space="preserve"> </w:t>
      </w:r>
      <w:r w:rsidRPr="007F060E">
        <w:rPr>
          <w:rFonts w:ascii="Calibri Light" w:hAnsi="Calibri Light" w:hint="eastAsia"/>
          <w:rtl/>
          <w:lang w:eastAsia="he-IL"/>
        </w:rPr>
        <w:t>נושא</w:t>
      </w:r>
      <w:r w:rsidRPr="007F060E">
        <w:rPr>
          <w:rFonts w:ascii="Calibri Light" w:hAnsi="Calibri Light"/>
          <w:rtl/>
          <w:lang w:eastAsia="he-IL"/>
        </w:rPr>
        <w:t xml:space="preserve"> </w:t>
      </w:r>
      <w:r w:rsidRPr="007F060E">
        <w:rPr>
          <w:rFonts w:ascii="Calibri Light" w:hAnsi="Calibri Light" w:hint="eastAsia"/>
          <w:rtl/>
          <w:lang w:eastAsia="he-IL"/>
        </w:rPr>
        <w:t>רימון</w:t>
      </w:r>
      <w:r w:rsidRPr="007F060E">
        <w:rPr>
          <w:rFonts w:ascii="Calibri Light" w:hAnsi="Calibri Light"/>
          <w:rtl/>
          <w:lang w:eastAsia="he-IL"/>
        </w:rPr>
        <w:t xml:space="preserve"> </w:t>
      </w:r>
      <w:r w:rsidRPr="007F060E">
        <w:rPr>
          <w:rFonts w:ascii="Calibri Light" w:hAnsi="Calibri Light" w:hint="eastAsia"/>
          <w:rtl/>
          <w:lang w:eastAsia="he-IL"/>
        </w:rPr>
        <w:t>רסס</w:t>
      </w:r>
      <w:r w:rsidRPr="007F060E">
        <w:rPr>
          <w:rFonts w:ascii="Calibri Light" w:hAnsi="Calibri Light"/>
          <w:rtl/>
          <w:lang w:eastAsia="he-IL"/>
        </w:rPr>
        <w:t xml:space="preserve"> </w:t>
      </w:r>
      <w:r w:rsidRPr="007F060E">
        <w:rPr>
          <w:rFonts w:ascii="Calibri Light" w:hAnsi="Calibri Light" w:hint="eastAsia"/>
          <w:rtl/>
          <w:lang w:eastAsia="he-IL"/>
        </w:rPr>
        <w:t>שבכוחו</w:t>
      </w:r>
      <w:r w:rsidRPr="007F060E">
        <w:rPr>
          <w:rFonts w:ascii="Calibri Light" w:hAnsi="Calibri Light"/>
          <w:rtl/>
          <w:lang w:eastAsia="he-IL"/>
        </w:rPr>
        <w:t xml:space="preserve"> </w:t>
      </w:r>
      <w:r w:rsidRPr="007F060E">
        <w:rPr>
          <w:rFonts w:ascii="Calibri Light" w:hAnsi="Calibri Light" w:hint="eastAsia"/>
          <w:rtl/>
          <w:lang w:eastAsia="he-IL"/>
        </w:rPr>
        <w:t>להמית</w:t>
      </w:r>
      <w:r w:rsidRPr="007F060E">
        <w:rPr>
          <w:rFonts w:ascii="Calibri Light" w:hAnsi="Calibri Light"/>
          <w:rtl/>
          <w:lang w:eastAsia="he-IL"/>
        </w:rPr>
        <w:t xml:space="preserve">. </w:t>
      </w:r>
    </w:p>
    <w:p w14:paraId="3CBD7E03" w14:textId="77777777" w:rsidR="002E4FD8" w:rsidRPr="007F060E" w:rsidRDefault="002E4FD8" w:rsidP="002E4FD8">
      <w:pPr>
        <w:spacing w:line="360" w:lineRule="auto"/>
        <w:jc w:val="both"/>
        <w:rPr>
          <w:rFonts w:ascii="Calibri Light" w:hAnsi="Calibri Light"/>
          <w:rtl/>
          <w:lang w:eastAsia="he-IL"/>
        </w:rPr>
      </w:pPr>
    </w:p>
    <w:p w14:paraId="4C9800DF" w14:textId="77777777" w:rsidR="002E4FD8" w:rsidRPr="007F060E" w:rsidRDefault="002E4FD8" w:rsidP="002E4FD8">
      <w:pPr>
        <w:spacing w:line="360" w:lineRule="auto"/>
        <w:jc w:val="both"/>
        <w:rPr>
          <w:rFonts w:ascii="Calibri Light" w:hAnsi="Calibri Light"/>
          <w:rtl/>
          <w:lang w:eastAsia="he-IL"/>
        </w:rPr>
      </w:pPr>
      <w:r w:rsidRPr="007F060E">
        <w:rPr>
          <w:rFonts w:ascii="Calibri Light" w:hAnsi="Calibri Light" w:hint="eastAsia"/>
          <w:rtl/>
          <w:lang w:eastAsia="he-IL"/>
        </w:rPr>
        <w:t>העבירות</w:t>
      </w:r>
      <w:r w:rsidRPr="007F060E">
        <w:rPr>
          <w:rFonts w:ascii="Calibri Light" w:hAnsi="Calibri Light"/>
          <w:rtl/>
          <w:lang w:eastAsia="he-IL"/>
        </w:rPr>
        <w:t xml:space="preserve"> </w:t>
      </w:r>
      <w:r w:rsidRPr="007F060E">
        <w:rPr>
          <w:rFonts w:ascii="Calibri Light" w:hAnsi="Calibri Light" w:hint="eastAsia"/>
          <w:rtl/>
          <w:lang w:eastAsia="he-IL"/>
        </w:rPr>
        <w:t>אשר</w:t>
      </w:r>
      <w:r w:rsidRPr="007F060E">
        <w:rPr>
          <w:rFonts w:ascii="Calibri Light" w:hAnsi="Calibri Light"/>
          <w:rtl/>
          <w:lang w:eastAsia="he-IL"/>
        </w:rPr>
        <w:t xml:space="preserve"> </w:t>
      </w:r>
      <w:r w:rsidRPr="007F060E">
        <w:rPr>
          <w:rFonts w:ascii="Calibri Light" w:hAnsi="Calibri Light" w:hint="eastAsia"/>
          <w:rtl/>
          <w:lang w:eastAsia="he-IL"/>
        </w:rPr>
        <w:t>ביצע</w:t>
      </w:r>
      <w:r w:rsidRPr="007F060E">
        <w:rPr>
          <w:rFonts w:ascii="Calibri Light" w:hAnsi="Calibri Light"/>
          <w:rtl/>
          <w:lang w:eastAsia="he-IL"/>
        </w:rPr>
        <w:t xml:space="preserve"> </w:t>
      </w:r>
      <w:r w:rsidRPr="007F060E">
        <w:rPr>
          <w:rFonts w:ascii="Calibri Light" w:hAnsi="Calibri Light" w:hint="eastAsia"/>
          <w:rtl/>
          <w:lang w:eastAsia="he-IL"/>
        </w:rPr>
        <w:t>הנאשם</w:t>
      </w:r>
      <w:r w:rsidRPr="007F060E">
        <w:rPr>
          <w:rFonts w:ascii="Calibri Light" w:hAnsi="Calibri Light"/>
          <w:rtl/>
          <w:lang w:eastAsia="he-IL"/>
        </w:rPr>
        <w:t xml:space="preserve"> </w:t>
      </w:r>
      <w:r w:rsidRPr="007F060E">
        <w:rPr>
          <w:rFonts w:ascii="Calibri Light" w:hAnsi="Calibri Light" w:hint="eastAsia"/>
          <w:rtl/>
          <w:lang w:eastAsia="he-IL"/>
        </w:rPr>
        <w:t>הינן</w:t>
      </w:r>
      <w:r w:rsidRPr="007F060E">
        <w:rPr>
          <w:rFonts w:ascii="Calibri Light" w:hAnsi="Calibri Light"/>
          <w:rtl/>
          <w:lang w:eastAsia="he-IL"/>
        </w:rPr>
        <w:t xml:space="preserve"> </w:t>
      </w:r>
      <w:r w:rsidRPr="007F060E">
        <w:rPr>
          <w:rFonts w:ascii="Calibri Light" w:hAnsi="Calibri Light" w:hint="eastAsia"/>
          <w:rtl/>
          <w:lang w:eastAsia="he-IL"/>
        </w:rPr>
        <w:t>עבירות</w:t>
      </w:r>
      <w:r w:rsidRPr="007F060E">
        <w:rPr>
          <w:rFonts w:ascii="Calibri Light" w:hAnsi="Calibri Light"/>
          <w:rtl/>
          <w:lang w:eastAsia="he-IL"/>
        </w:rPr>
        <w:t xml:space="preserve"> </w:t>
      </w:r>
      <w:r w:rsidRPr="007F060E">
        <w:rPr>
          <w:rFonts w:ascii="Calibri Light" w:hAnsi="Calibri Light" w:hint="eastAsia"/>
          <w:rtl/>
          <w:lang w:eastAsia="he-IL"/>
        </w:rPr>
        <w:t>חמורות</w:t>
      </w:r>
      <w:r w:rsidRPr="007F060E">
        <w:rPr>
          <w:rFonts w:ascii="Calibri Light" w:hAnsi="Calibri Light"/>
          <w:rtl/>
          <w:lang w:eastAsia="he-IL"/>
        </w:rPr>
        <w:t xml:space="preserve">, </w:t>
      </w:r>
      <w:r w:rsidRPr="007F060E">
        <w:rPr>
          <w:rFonts w:ascii="Calibri Light" w:hAnsi="Calibri Light" w:hint="eastAsia"/>
          <w:rtl/>
          <w:lang w:eastAsia="he-IL"/>
        </w:rPr>
        <w:t>בפרט</w:t>
      </w:r>
      <w:r w:rsidRPr="007F060E">
        <w:rPr>
          <w:rFonts w:ascii="Calibri Light" w:hAnsi="Calibri Light"/>
          <w:rtl/>
          <w:lang w:eastAsia="he-IL"/>
        </w:rPr>
        <w:t xml:space="preserve"> </w:t>
      </w:r>
      <w:r w:rsidRPr="007F060E">
        <w:rPr>
          <w:rFonts w:ascii="Calibri Light" w:hAnsi="Calibri Light" w:hint="eastAsia"/>
          <w:rtl/>
          <w:lang w:eastAsia="he-IL"/>
        </w:rPr>
        <w:t>בנסיבות</w:t>
      </w:r>
      <w:r w:rsidRPr="007F060E">
        <w:rPr>
          <w:rFonts w:ascii="Calibri Light" w:hAnsi="Calibri Light"/>
          <w:rtl/>
          <w:lang w:eastAsia="he-IL"/>
        </w:rPr>
        <w:t xml:space="preserve"> </w:t>
      </w:r>
      <w:r w:rsidRPr="007F060E">
        <w:rPr>
          <w:rFonts w:ascii="Calibri Light" w:hAnsi="Calibri Light" w:hint="eastAsia"/>
          <w:rtl/>
          <w:lang w:eastAsia="he-IL"/>
        </w:rPr>
        <w:t>ביצוען</w:t>
      </w:r>
      <w:r w:rsidRPr="007F060E">
        <w:rPr>
          <w:rFonts w:ascii="Calibri Light" w:hAnsi="Calibri Light"/>
          <w:rtl/>
          <w:lang w:eastAsia="he-IL"/>
        </w:rPr>
        <w:t xml:space="preserve">, </w:t>
      </w:r>
      <w:r w:rsidRPr="007F060E">
        <w:rPr>
          <w:rFonts w:ascii="Calibri Light" w:hAnsi="Calibri Light" w:hint="eastAsia"/>
          <w:rtl/>
          <w:lang w:eastAsia="he-IL"/>
        </w:rPr>
        <w:t>הסתננות</w:t>
      </w:r>
      <w:r w:rsidRPr="007F060E">
        <w:rPr>
          <w:rFonts w:ascii="Calibri Light" w:hAnsi="Calibri Light"/>
          <w:rtl/>
          <w:lang w:eastAsia="he-IL"/>
        </w:rPr>
        <w:t xml:space="preserve"> </w:t>
      </w:r>
      <w:r w:rsidRPr="007F060E">
        <w:rPr>
          <w:rFonts w:ascii="Calibri Light" w:hAnsi="Calibri Light" w:hint="eastAsia"/>
          <w:rtl/>
          <w:lang w:eastAsia="he-IL"/>
        </w:rPr>
        <w:t>עם</w:t>
      </w:r>
      <w:r w:rsidRPr="007F060E">
        <w:rPr>
          <w:rFonts w:ascii="Calibri Light" w:hAnsi="Calibri Light"/>
          <w:rtl/>
          <w:lang w:eastAsia="he-IL"/>
        </w:rPr>
        <w:t xml:space="preserve"> </w:t>
      </w:r>
      <w:r w:rsidRPr="007F060E">
        <w:rPr>
          <w:rFonts w:ascii="Calibri Light" w:hAnsi="Calibri Light" w:hint="eastAsia"/>
          <w:rtl/>
          <w:lang w:eastAsia="he-IL"/>
        </w:rPr>
        <w:t>כלי</w:t>
      </w:r>
      <w:r w:rsidRPr="007F060E">
        <w:rPr>
          <w:rFonts w:ascii="Calibri Light" w:hAnsi="Calibri Light"/>
          <w:rtl/>
          <w:lang w:eastAsia="he-IL"/>
        </w:rPr>
        <w:t xml:space="preserve"> </w:t>
      </w:r>
      <w:r w:rsidRPr="007F060E">
        <w:rPr>
          <w:rFonts w:ascii="Calibri Light" w:hAnsi="Calibri Light" w:hint="eastAsia"/>
          <w:rtl/>
          <w:lang w:eastAsia="he-IL"/>
        </w:rPr>
        <w:t>נשק</w:t>
      </w:r>
      <w:r w:rsidRPr="007F060E">
        <w:rPr>
          <w:rFonts w:ascii="Calibri Light" w:hAnsi="Calibri Light"/>
          <w:rtl/>
          <w:lang w:eastAsia="he-IL"/>
        </w:rPr>
        <w:t xml:space="preserve"> </w:t>
      </w:r>
      <w:r w:rsidRPr="007F060E">
        <w:rPr>
          <w:rFonts w:ascii="Calibri Light" w:hAnsi="Calibri Light" w:hint="eastAsia"/>
          <w:rtl/>
          <w:lang w:eastAsia="he-IL"/>
        </w:rPr>
        <w:t>שבכוחו</w:t>
      </w:r>
      <w:r w:rsidRPr="007F060E">
        <w:rPr>
          <w:rFonts w:ascii="Calibri Light" w:hAnsi="Calibri Light"/>
          <w:rtl/>
          <w:lang w:eastAsia="he-IL"/>
        </w:rPr>
        <w:t xml:space="preserve"> </w:t>
      </w:r>
      <w:r w:rsidRPr="007F060E">
        <w:rPr>
          <w:rFonts w:ascii="Calibri Light" w:hAnsi="Calibri Light" w:hint="eastAsia"/>
          <w:rtl/>
          <w:lang w:eastAsia="he-IL"/>
        </w:rPr>
        <w:t>להמית</w:t>
      </w:r>
      <w:r w:rsidRPr="007F060E">
        <w:rPr>
          <w:rFonts w:ascii="Calibri Light" w:hAnsi="Calibri Light"/>
          <w:rtl/>
          <w:lang w:eastAsia="he-IL"/>
        </w:rPr>
        <w:t xml:space="preserve"> – </w:t>
      </w:r>
      <w:r w:rsidRPr="007F060E">
        <w:rPr>
          <w:rFonts w:ascii="Calibri Light" w:hAnsi="Calibri Light" w:hint="eastAsia"/>
          <w:rtl/>
          <w:lang w:eastAsia="he-IL"/>
        </w:rPr>
        <w:t>רימון</w:t>
      </w:r>
      <w:r w:rsidRPr="007F060E">
        <w:rPr>
          <w:rFonts w:ascii="Calibri Light" w:hAnsi="Calibri Light"/>
          <w:rtl/>
          <w:lang w:eastAsia="he-IL"/>
        </w:rPr>
        <w:t xml:space="preserve"> </w:t>
      </w:r>
      <w:r w:rsidRPr="007F060E">
        <w:rPr>
          <w:rFonts w:ascii="Calibri Light" w:hAnsi="Calibri Light" w:hint="eastAsia"/>
          <w:rtl/>
          <w:lang w:eastAsia="he-IL"/>
        </w:rPr>
        <w:t>רסס</w:t>
      </w:r>
      <w:r w:rsidRPr="007F060E">
        <w:rPr>
          <w:rFonts w:ascii="Calibri Light" w:hAnsi="Calibri Light"/>
          <w:rtl/>
          <w:lang w:eastAsia="he-IL"/>
        </w:rPr>
        <w:t xml:space="preserve">, </w:t>
      </w:r>
      <w:r w:rsidRPr="007F060E">
        <w:rPr>
          <w:rFonts w:ascii="Calibri Light" w:hAnsi="Calibri Light" w:hint="eastAsia"/>
          <w:rtl/>
          <w:lang w:eastAsia="he-IL"/>
        </w:rPr>
        <w:t>ומהגבול</w:t>
      </w:r>
      <w:r w:rsidRPr="007F060E">
        <w:rPr>
          <w:rFonts w:ascii="Calibri Light" w:hAnsi="Calibri Light"/>
          <w:rtl/>
          <w:lang w:eastAsia="he-IL"/>
        </w:rPr>
        <w:t xml:space="preserve"> </w:t>
      </w:r>
      <w:r w:rsidRPr="007F060E">
        <w:rPr>
          <w:rFonts w:ascii="Calibri Light" w:hAnsi="Calibri Light" w:hint="eastAsia"/>
          <w:rtl/>
          <w:lang w:eastAsia="he-IL"/>
        </w:rPr>
        <w:t>בו</w:t>
      </w:r>
      <w:r w:rsidRPr="007F060E">
        <w:rPr>
          <w:rFonts w:ascii="Calibri Light" w:hAnsi="Calibri Light"/>
          <w:rtl/>
          <w:lang w:eastAsia="he-IL"/>
        </w:rPr>
        <w:t xml:space="preserve"> </w:t>
      </w:r>
      <w:r w:rsidRPr="007F060E">
        <w:rPr>
          <w:rFonts w:ascii="Calibri Light" w:hAnsi="Calibri Light" w:hint="eastAsia"/>
          <w:rtl/>
          <w:lang w:eastAsia="he-IL"/>
        </w:rPr>
        <w:t>ההיבט</w:t>
      </w:r>
      <w:r w:rsidRPr="007F060E">
        <w:rPr>
          <w:rFonts w:ascii="Calibri Light" w:hAnsi="Calibri Light"/>
          <w:rtl/>
          <w:lang w:eastAsia="he-IL"/>
        </w:rPr>
        <w:t xml:space="preserve"> </w:t>
      </w:r>
      <w:r w:rsidRPr="007F060E">
        <w:rPr>
          <w:rFonts w:ascii="Calibri Light" w:hAnsi="Calibri Light" w:hint="eastAsia"/>
          <w:rtl/>
          <w:lang w:eastAsia="he-IL"/>
        </w:rPr>
        <w:t>הביטחוני</w:t>
      </w:r>
      <w:r w:rsidRPr="007F060E">
        <w:rPr>
          <w:rFonts w:ascii="Calibri Light" w:hAnsi="Calibri Light"/>
          <w:rtl/>
          <w:lang w:eastAsia="he-IL"/>
        </w:rPr>
        <w:t xml:space="preserve"> </w:t>
      </w:r>
      <w:r w:rsidRPr="007F060E">
        <w:rPr>
          <w:rFonts w:ascii="Calibri Light" w:hAnsi="Calibri Light" w:hint="eastAsia"/>
          <w:rtl/>
          <w:lang w:eastAsia="he-IL"/>
        </w:rPr>
        <w:t>לאירועים</w:t>
      </w:r>
      <w:r w:rsidRPr="007F060E">
        <w:rPr>
          <w:rFonts w:ascii="Calibri Light" w:hAnsi="Calibri Light"/>
          <w:rtl/>
          <w:lang w:eastAsia="he-IL"/>
        </w:rPr>
        <w:t xml:space="preserve"> </w:t>
      </w:r>
      <w:r w:rsidRPr="007F060E">
        <w:rPr>
          <w:rFonts w:ascii="Calibri Light" w:hAnsi="Calibri Light" w:hint="eastAsia"/>
          <w:rtl/>
          <w:lang w:eastAsia="he-IL"/>
        </w:rPr>
        <w:t>בו</w:t>
      </w:r>
      <w:r w:rsidRPr="007F060E">
        <w:rPr>
          <w:rFonts w:ascii="Calibri Light" w:hAnsi="Calibri Light"/>
          <w:rtl/>
          <w:lang w:eastAsia="he-IL"/>
        </w:rPr>
        <w:t xml:space="preserve"> </w:t>
      </w:r>
      <w:r w:rsidRPr="007F060E">
        <w:rPr>
          <w:rFonts w:ascii="Calibri Light" w:hAnsi="Calibri Light" w:hint="eastAsia"/>
          <w:rtl/>
          <w:lang w:eastAsia="he-IL"/>
        </w:rPr>
        <w:t>חמור</w:t>
      </w:r>
      <w:r w:rsidRPr="007F060E">
        <w:rPr>
          <w:rFonts w:ascii="Calibri Light" w:hAnsi="Calibri Light"/>
          <w:rtl/>
          <w:lang w:eastAsia="he-IL"/>
        </w:rPr>
        <w:t xml:space="preserve">, </w:t>
      </w:r>
      <w:r w:rsidRPr="007F060E">
        <w:rPr>
          <w:rFonts w:ascii="Calibri Light" w:hAnsi="Calibri Light" w:hint="eastAsia"/>
          <w:rtl/>
          <w:lang w:eastAsia="he-IL"/>
        </w:rPr>
        <w:t>על</w:t>
      </w:r>
      <w:r w:rsidRPr="007F060E">
        <w:rPr>
          <w:rFonts w:ascii="Calibri Light" w:hAnsi="Calibri Light"/>
          <w:rtl/>
          <w:lang w:eastAsia="he-IL"/>
        </w:rPr>
        <w:t xml:space="preserve"> </w:t>
      </w:r>
      <w:r w:rsidRPr="007F060E">
        <w:rPr>
          <w:rFonts w:ascii="Calibri Light" w:hAnsi="Calibri Light" w:hint="eastAsia"/>
          <w:rtl/>
          <w:lang w:eastAsia="he-IL"/>
        </w:rPr>
        <w:t>רקע</w:t>
      </w:r>
      <w:r w:rsidRPr="007F060E">
        <w:rPr>
          <w:rFonts w:ascii="Calibri Light" w:hAnsi="Calibri Light"/>
          <w:rtl/>
          <w:lang w:eastAsia="he-IL"/>
        </w:rPr>
        <w:t xml:space="preserve"> </w:t>
      </w:r>
      <w:r w:rsidRPr="007F060E">
        <w:rPr>
          <w:rFonts w:ascii="Calibri Light" w:hAnsi="Calibri Light" w:hint="eastAsia"/>
          <w:rtl/>
          <w:lang w:eastAsia="he-IL"/>
        </w:rPr>
        <w:t>המציאות</w:t>
      </w:r>
      <w:r w:rsidRPr="007F060E">
        <w:rPr>
          <w:rFonts w:ascii="Calibri Light" w:hAnsi="Calibri Light"/>
          <w:rtl/>
          <w:lang w:eastAsia="he-IL"/>
        </w:rPr>
        <w:t xml:space="preserve"> </w:t>
      </w:r>
      <w:r w:rsidRPr="007F060E">
        <w:rPr>
          <w:rFonts w:ascii="Calibri Light" w:hAnsi="Calibri Light" w:hint="eastAsia"/>
          <w:rtl/>
          <w:lang w:eastAsia="he-IL"/>
        </w:rPr>
        <w:t>הביטחונית</w:t>
      </w:r>
      <w:r w:rsidRPr="007F060E">
        <w:rPr>
          <w:rFonts w:ascii="Calibri Light" w:hAnsi="Calibri Light"/>
          <w:rtl/>
          <w:lang w:eastAsia="he-IL"/>
        </w:rPr>
        <w:t xml:space="preserve"> </w:t>
      </w:r>
      <w:r w:rsidRPr="007F060E">
        <w:rPr>
          <w:rFonts w:ascii="Calibri Light" w:hAnsi="Calibri Light" w:hint="eastAsia"/>
          <w:rtl/>
          <w:lang w:eastAsia="he-IL"/>
        </w:rPr>
        <w:t>במקום</w:t>
      </w:r>
      <w:r w:rsidRPr="007F060E">
        <w:rPr>
          <w:rFonts w:ascii="Calibri Light" w:hAnsi="Calibri Light"/>
          <w:rtl/>
          <w:lang w:eastAsia="he-IL"/>
        </w:rPr>
        <w:t xml:space="preserve">. </w:t>
      </w:r>
    </w:p>
    <w:p w14:paraId="7E66454C" w14:textId="77777777" w:rsidR="002E4FD8" w:rsidRPr="007F060E" w:rsidRDefault="002E4FD8" w:rsidP="002E4FD8">
      <w:pPr>
        <w:spacing w:line="360" w:lineRule="auto"/>
        <w:jc w:val="both"/>
        <w:rPr>
          <w:rFonts w:ascii="Calibri Light" w:hAnsi="Calibri Light"/>
          <w:rtl/>
          <w:lang w:eastAsia="he-IL"/>
        </w:rPr>
      </w:pPr>
    </w:p>
    <w:p w14:paraId="347D7018" w14:textId="77777777" w:rsidR="002E4FD8" w:rsidRPr="007F060E" w:rsidRDefault="002E4FD8" w:rsidP="002E4FD8">
      <w:pPr>
        <w:spacing w:line="360" w:lineRule="auto"/>
        <w:jc w:val="both"/>
        <w:rPr>
          <w:rFonts w:ascii="Calibri Light" w:hAnsi="Calibri Light"/>
          <w:rtl/>
          <w:lang w:eastAsia="he-IL"/>
        </w:rPr>
      </w:pPr>
      <w:r w:rsidRPr="007F060E">
        <w:rPr>
          <w:rFonts w:ascii="Calibri Light" w:hAnsi="Calibri Light" w:hint="eastAsia"/>
          <w:rtl/>
          <w:lang w:eastAsia="he-IL"/>
        </w:rPr>
        <w:t>להסתננות</w:t>
      </w:r>
      <w:r w:rsidRPr="007F060E">
        <w:rPr>
          <w:rFonts w:ascii="Calibri Light" w:hAnsi="Calibri Light"/>
          <w:rtl/>
          <w:lang w:eastAsia="he-IL"/>
        </w:rPr>
        <w:t xml:space="preserve"> </w:t>
      </w:r>
      <w:r w:rsidRPr="007F060E">
        <w:rPr>
          <w:rFonts w:ascii="Calibri Light" w:hAnsi="Calibri Light" w:hint="eastAsia"/>
          <w:rtl/>
          <w:lang w:eastAsia="he-IL"/>
        </w:rPr>
        <w:t>השלכות</w:t>
      </w:r>
      <w:r w:rsidRPr="007F060E">
        <w:rPr>
          <w:rFonts w:ascii="Calibri Light" w:hAnsi="Calibri Light"/>
          <w:rtl/>
          <w:lang w:eastAsia="he-IL"/>
        </w:rPr>
        <w:t xml:space="preserve"> </w:t>
      </w:r>
      <w:r w:rsidRPr="007F060E">
        <w:rPr>
          <w:rFonts w:ascii="Calibri Light" w:hAnsi="Calibri Light" w:hint="eastAsia"/>
          <w:rtl/>
          <w:lang w:eastAsia="he-IL"/>
        </w:rPr>
        <w:t>ביטחוניות</w:t>
      </w:r>
      <w:r w:rsidRPr="007F060E">
        <w:rPr>
          <w:rFonts w:ascii="Calibri Light" w:hAnsi="Calibri Light"/>
          <w:rtl/>
          <w:lang w:eastAsia="he-IL"/>
        </w:rPr>
        <w:t xml:space="preserve"> </w:t>
      </w:r>
      <w:r w:rsidRPr="007F060E">
        <w:rPr>
          <w:rFonts w:ascii="Calibri Light" w:hAnsi="Calibri Light" w:hint="eastAsia"/>
          <w:rtl/>
          <w:lang w:eastAsia="he-IL"/>
        </w:rPr>
        <w:t>ברורות</w:t>
      </w:r>
      <w:r w:rsidRPr="007F060E">
        <w:rPr>
          <w:rFonts w:ascii="Calibri Light" w:hAnsi="Calibri Light"/>
          <w:rtl/>
          <w:lang w:eastAsia="he-IL"/>
        </w:rPr>
        <w:t xml:space="preserve">, </w:t>
      </w:r>
      <w:r w:rsidRPr="007F060E">
        <w:rPr>
          <w:rFonts w:ascii="Calibri Light" w:hAnsi="Calibri Light" w:hint="eastAsia"/>
          <w:rtl/>
          <w:lang w:eastAsia="he-IL"/>
        </w:rPr>
        <w:t>ותוצאתה</w:t>
      </w:r>
      <w:r w:rsidRPr="007F060E">
        <w:rPr>
          <w:rFonts w:ascii="Calibri Light" w:hAnsi="Calibri Light"/>
          <w:rtl/>
          <w:lang w:eastAsia="he-IL"/>
        </w:rPr>
        <w:t xml:space="preserve"> </w:t>
      </w:r>
      <w:r w:rsidRPr="007F060E">
        <w:rPr>
          <w:rFonts w:ascii="Calibri Light" w:hAnsi="Calibri Light" w:hint="eastAsia"/>
          <w:rtl/>
          <w:lang w:eastAsia="he-IL"/>
        </w:rPr>
        <w:t>הקצאת</w:t>
      </w:r>
      <w:r w:rsidRPr="007F060E">
        <w:rPr>
          <w:rFonts w:ascii="Calibri Light" w:hAnsi="Calibri Light"/>
          <w:rtl/>
          <w:lang w:eastAsia="he-IL"/>
        </w:rPr>
        <w:t xml:space="preserve"> </w:t>
      </w:r>
      <w:r w:rsidRPr="007F060E">
        <w:rPr>
          <w:rFonts w:ascii="Calibri Light" w:hAnsi="Calibri Light" w:hint="eastAsia"/>
          <w:rtl/>
          <w:lang w:eastAsia="he-IL"/>
        </w:rPr>
        <w:t>כוחות</w:t>
      </w:r>
      <w:r w:rsidRPr="007F060E">
        <w:rPr>
          <w:rFonts w:ascii="Calibri Light" w:hAnsi="Calibri Light"/>
          <w:rtl/>
          <w:lang w:eastAsia="he-IL"/>
        </w:rPr>
        <w:t xml:space="preserve"> </w:t>
      </w:r>
      <w:r w:rsidRPr="007F060E">
        <w:rPr>
          <w:rFonts w:ascii="Calibri Light" w:hAnsi="Calibri Light" w:hint="eastAsia"/>
          <w:rtl/>
          <w:lang w:eastAsia="he-IL"/>
        </w:rPr>
        <w:t>צבא</w:t>
      </w:r>
      <w:r w:rsidRPr="007F060E">
        <w:rPr>
          <w:rFonts w:ascii="Calibri Light" w:hAnsi="Calibri Light"/>
          <w:rtl/>
          <w:lang w:eastAsia="he-IL"/>
        </w:rPr>
        <w:t xml:space="preserve"> </w:t>
      </w:r>
      <w:r w:rsidRPr="007F060E">
        <w:rPr>
          <w:rFonts w:ascii="Calibri Light" w:hAnsi="Calibri Light" w:hint="eastAsia"/>
          <w:rtl/>
          <w:lang w:eastAsia="he-IL"/>
        </w:rPr>
        <w:t>לאירוע</w:t>
      </w:r>
      <w:r w:rsidRPr="007F060E">
        <w:rPr>
          <w:rFonts w:ascii="Calibri Light" w:hAnsi="Calibri Light"/>
          <w:rtl/>
          <w:lang w:eastAsia="he-IL"/>
        </w:rPr>
        <w:t xml:space="preserve"> </w:t>
      </w:r>
      <w:r w:rsidRPr="007F060E">
        <w:rPr>
          <w:rFonts w:ascii="Calibri Light" w:hAnsi="Calibri Light" w:hint="eastAsia"/>
          <w:rtl/>
          <w:lang w:eastAsia="he-IL"/>
        </w:rPr>
        <w:t>ההסתננות</w:t>
      </w:r>
      <w:r w:rsidRPr="007F060E">
        <w:rPr>
          <w:rFonts w:ascii="Calibri Light" w:hAnsi="Calibri Light"/>
          <w:rtl/>
          <w:lang w:eastAsia="he-IL"/>
        </w:rPr>
        <w:t xml:space="preserve">, </w:t>
      </w:r>
      <w:r w:rsidRPr="007F060E">
        <w:rPr>
          <w:rFonts w:ascii="Calibri Light" w:hAnsi="Calibri Light" w:hint="eastAsia"/>
          <w:rtl/>
          <w:lang w:eastAsia="he-IL"/>
        </w:rPr>
        <w:t>העמדת</w:t>
      </w:r>
      <w:r w:rsidRPr="007F060E">
        <w:rPr>
          <w:rFonts w:ascii="Calibri Light" w:hAnsi="Calibri Light"/>
          <w:rtl/>
          <w:lang w:eastAsia="he-IL"/>
        </w:rPr>
        <w:t xml:space="preserve"> </w:t>
      </w:r>
      <w:r w:rsidRPr="007F060E">
        <w:rPr>
          <w:rFonts w:ascii="Calibri Light" w:hAnsi="Calibri Light" w:hint="eastAsia"/>
          <w:rtl/>
          <w:lang w:eastAsia="he-IL"/>
        </w:rPr>
        <w:t>כוחות</w:t>
      </w:r>
      <w:r w:rsidRPr="007F060E">
        <w:rPr>
          <w:rFonts w:ascii="Calibri Light" w:hAnsi="Calibri Light"/>
          <w:rtl/>
          <w:lang w:eastAsia="he-IL"/>
        </w:rPr>
        <w:t xml:space="preserve"> </w:t>
      </w:r>
      <w:r w:rsidRPr="007F060E">
        <w:rPr>
          <w:rFonts w:ascii="Calibri Light" w:hAnsi="Calibri Light" w:hint="eastAsia"/>
          <w:rtl/>
          <w:lang w:eastAsia="he-IL"/>
        </w:rPr>
        <w:t>הצבא</w:t>
      </w:r>
      <w:r w:rsidRPr="007F060E">
        <w:rPr>
          <w:rFonts w:ascii="Calibri Light" w:hAnsi="Calibri Light"/>
          <w:rtl/>
          <w:lang w:eastAsia="he-IL"/>
        </w:rPr>
        <w:t xml:space="preserve"> </w:t>
      </w:r>
      <w:r w:rsidRPr="007F060E">
        <w:rPr>
          <w:rFonts w:ascii="Calibri Light" w:hAnsi="Calibri Light" w:hint="eastAsia"/>
          <w:rtl/>
          <w:lang w:eastAsia="he-IL"/>
        </w:rPr>
        <w:t>בסיכון</w:t>
      </w:r>
      <w:r w:rsidRPr="007F060E">
        <w:rPr>
          <w:rFonts w:ascii="Calibri Light" w:hAnsi="Calibri Light"/>
          <w:rtl/>
          <w:lang w:eastAsia="he-IL"/>
        </w:rPr>
        <w:t xml:space="preserve"> </w:t>
      </w:r>
      <w:r w:rsidRPr="007F060E">
        <w:rPr>
          <w:rFonts w:ascii="Calibri Light" w:hAnsi="Calibri Light" w:hint="eastAsia"/>
          <w:rtl/>
          <w:lang w:eastAsia="he-IL"/>
        </w:rPr>
        <w:t>הכרוך</w:t>
      </w:r>
      <w:r w:rsidRPr="007F060E">
        <w:rPr>
          <w:rFonts w:ascii="Calibri Light" w:hAnsi="Calibri Light"/>
          <w:rtl/>
          <w:lang w:eastAsia="he-IL"/>
        </w:rPr>
        <w:t xml:space="preserve"> </w:t>
      </w:r>
      <w:r w:rsidRPr="007F060E">
        <w:rPr>
          <w:rFonts w:ascii="Calibri Light" w:hAnsi="Calibri Light" w:hint="eastAsia"/>
          <w:rtl/>
          <w:lang w:eastAsia="he-IL"/>
        </w:rPr>
        <w:t>בפעילות</w:t>
      </w:r>
      <w:r w:rsidRPr="007F060E">
        <w:rPr>
          <w:rFonts w:ascii="Calibri Light" w:hAnsi="Calibri Light"/>
          <w:rtl/>
          <w:lang w:eastAsia="he-IL"/>
        </w:rPr>
        <w:t xml:space="preserve"> </w:t>
      </w:r>
      <w:r w:rsidRPr="007F060E">
        <w:rPr>
          <w:rFonts w:ascii="Calibri Light" w:hAnsi="Calibri Light" w:hint="eastAsia"/>
          <w:rtl/>
          <w:lang w:eastAsia="he-IL"/>
        </w:rPr>
        <w:t>בקו</w:t>
      </w:r>
      <w:r w:rsidRPr="007F060E">
        <w:rPr>
          <w:rFonts w:ascii="Calibri Light" w:hAnsi="Calibri Light"/>
          <w:rtl/>
          <w:lang w:eastAsia="he-IL"/>
        </w:rPr>
        <w:t xml:space="preserve"> </w:t>
      </w:r>
      <w:r w:rsidRPr="007F060E">
        <w:rPr>
          <w:rFonts w:ascii="Calibri Light" w:hAnsi="Calibri Light" w:hint="eastAsia"/>
          <w:rtl/>
          <w:lang w:eastAsia="he-IL"/>
        </w:rPr>
        <w:t>הגבול</w:t>
      </w:r>
      <w:r w:rsidRPr="007F060E">
        <w:rPr>
          <w:rFonts w:ascii="Calibri Light" w:hAnsi="Calibri Light"/>
          <w:rtl/>
          <w:lang w:eastAsia="he-IL"/>
        </w:rPr>
        <w:t xml:space="preserve"> </w:t>
      </w:r>
      <w:r w:rsidRPr="007F060E">
        <w:rPr>
          <w:rFonts w:ascii="Calibri Light" w:hAnsi="Calibri Light" w:hint="eastAsia"/>
          <w:rtl/>
          <w:lang w:eastAsia="he-IL"/>
        </w:rPr>
        <w:t>והמשמעות</w:t>
      </w:r>
      <w:r w:rsidRPr="007F060E">
        <w:rPr>
          <w:rFonts w:ascii="Calibri Light" w:hAnsi="Calibri Light"/>
          <w:rtl/>
          <w:lang w:eastAsia="he-IL"/>
        </w:rPr>
        <w:t xml:space="preserve"> </w:t>
      </w:r>
      <w:r w:rsidRPr="007F060E">
        <w:rPr>
          <w:rFonts w:ascii="Calibri Light" w:hAnsi="Calibri Light" w:hint="eastAsia"/>
          <w:rtl/>
          <w:lang w:eastAsia="he-IL"/>
        </w:rPr>
        <w:t>הכספית</w:t>
      </w:r>
      <w:r w:rsidRPr="007F060E">
        <w:rPr>
          <w:rFonts w:ascii="Calibri Light" w:hAnsi="Calibri Light"/>
          <w:rtl/>
          <w:lang w:eastAsia="he-IL"/>
        </w:rPr>
        <w:t xml:space="preserve"> </w:t>
      </w:r>
      <w:r w:rsidRPr="007F060E">
        <w:rPr>
          <w:rFonts w:ascii="Calibri Light" w:hAnsi="Calibri Light" w:hint="eastAsia"/>
          <w:rtl/>
          <w:lang w:eastAsia="he-IL"/>
        </w:rPr>
        <w:t>הכרוכה</w:t>
      </w:r>
      <w:r w:rsidRPr="007F060E">
        <w:rPr>
          <w:rFonts w:ascii="Calibri Light" w:hAnsi="Calibri Light"/>
          <w:rtl/>
          <w:lang w:eastAsia="he-IL"/>
        </w:rPr>
        <w:t xml:space="preserve"> </w:t>
      </w:r>
      <w:r w:rsidRPr="007F060E">
        <w:rPr>
          <w:rFonts w:ascii="Calibri Light" w:hAnsi="Calibri Light" w:hint="eastAsia"/>
          <w:rtl/>
          <w:lang w:eastAsia="he-IL"/>
        </w:rPr>
        <w:t>בכך</w:t>
      </w:r>
      <w:r w:rsidRPr="007F060E">
        <w:rPr>
          <w:rFonts w:ascii="Calibri Light" w:hAnsi="Calibri Light"/>
          <w:rtl/>
          <w:lang w:eastAsia="he-IL"/>
        </w:rPr>
        <w:t xml:space="preserve">. </w:t>
      </w:r>
    </w:p>
    <w:p w14:paraId="4B420962" w14:textId="77777777" w:rsidR="002E4FD8" w:rsidRPr="007F060E" w:rsidRDefault="002E4FD8" w:rsidP="002E4FD8">
      <w:pPr>
        <w:spacing w:line="360" w:lineRule="auto"/>
        <w:jc w:val="both"/>
        <w:rPr>
          <w:rFonts w:ascii="Calibri Light" w:hAnsi="Calibri Light"/>
          <w:rtl/>
          <w:lang w:eastAsia="he-IL"/>
        </w:rPr>
      </w:pPr>
    </w:p>
    <w:p w14:paraId="3F6EC513" w14:textId="77777777" w:rsidR="002E4FD8" w:rsidRPr="007F060E" w:rsidRDefault="002E4FD8" w:rsidP="002E4FD8">
      <w:pPr>
        <w:spacing w:line="360" w:lineRule="auto"/>
        <w:jc w:val="both"/>
        <w:rPr>
          <w:rFonts w:ascii="Calibri Light" w:hAnsi="Calibri Light"/>
          <w:rtl/>
          <w:lang w:eastAsia="he-IL"/>
        </w:rPr>
      </w:pPr>
      <w:r w:rsidRPr="007F060E">
        <w:rPr>
          <w:rFonts w:ascii="Calibri Light" w:hAnsi="Calibri Light" w:hint="eastAsia"/>
          <w:rtl/>
          <w:lang w:eastAsia="he-IL"/>
        </w:rPr>
        <w:t>בביצוע</w:t>
      </w:r>
      <w:r w:rsidRPr="007F060E">
        <w:rPr>
          <w:rFonts w:ascii="Calibri Light" w:hAnsi="Calibri Light"/>
          <w:rtl/>
          <w:lang w:eastAsia="he-IL"/>
        </w:rPr>
        <w:t xml:space="preserve"> </w:t>
      </w:r>
      <w:r w:rsidRPr="007F060E">
        <w:rPr>
          <w:rFonts w:ascii="Calibri Light" w:hAnsi="Calibri Light" w:hint="eastAsia"/>
          <w:rtl/>
          <w:lang w:eastAsia="he-IL"/>
        </w:rPr>
        <w:t>העבירות</w:t>
      </w:r>
      <w:r w:rsidRPr="007F060E">
        <w:rPr>
          <w:rFonts w:ascii="Calibri Light" w:hAnsi="Calibri Light"/>
          <w:rtl/>
          <w:lang w:eastAsia="he-IL"/>
        </w:rPr>
        <w:t xml:space="preserve"> </w:t>
      </w:r>
      <w:r w:rsidRPr="007F060E">
        <w:rPr>
          <w:rFonts w:ascii="Calibri Light" w:hAnsi="Calibri Light" w:hint="eastAsia"/>
          <w:rtl/>
          <w:lang w:eastAsia="he-IL"/>
        </w:rPr>
        <w:t>פגע</w:t>
      </w:r>
      <w:r w:rsidRPr="007F060E">
        <w:rPr>
          <w:rFonts w:ascii="Calibri Light" w:hAnsi="Calibri Light"/>
          <w:rtl/>
          <w:lang w:eastAsia="he-IL"/>
        </w:rPr>
        <w:t xml:space="preserve"> </w:t>
      </w:r>
      <w:r w:rsidRPr="007F060E">
        <w:rPr>
          <w:rFonts w:ascii="Calibri Light" w:hAnsi="Calibri Light" w:hint="eastAsia"/>
          <w:rtl/>
          <w:lang w:eastAsia="he-IL"/>
        </w:rPr>
        <w:t>הנאשם</w:t>
      </w:r>
      <w:r w:rsidRPr="007F060E">
        <w:rPr>
          <w:rFonts w:ascii="Calibri Light" w:hAnsi="Calibri Light"/>
          <w:rtl/>
          <w:lang w:eastAsia="he-IL"/>
        </w:rPr>
        <w:t xml:space="preserve"> </w:t>
      </w:r>
      <w:r w:rsidRPr="007F060E">
        <w:rPr>
          <w:rFonts w:ascii="Calibri Light" w:hAnsi="Calibri Light" w:hint="eastAsia"/>
          <w:rtl/>
          <w:lang w:eastAsia="he-IL"/>
        </w:rPr>
        <w:t>בערכים</w:t>
      </w:r>
      <w:r w:rsidRPr="007F060E">
        <w:rPr>
          <w:rFonts w:ascii="Calibri Light" w:hAnsi="Calibri Light"/>
          <w:rtl/>
          <w:lang w:eastAsia="he-IL"/>
        </w:rPr>
        <w:t xml:space="preserve"> </w:t>
      </w:r>
      <w:r w:rsidRPr="007F060E">
        <w:rPr>
          <w:rFonts w:ascii="Calibri Light" w:hAnsi="Calibri Light" w:hint="eastAsia"/>
          <w:rtl/>
          <w:lang w:eastAsia="he-IL"/>
        </w:rPr>
        <w:t>המוגנים</w:t>
      </w:r>
      <w:r w:rsidRPr="007F060E">
        <w:rPr>
          <w:rFonts w:ascii="Calibri Light" w:hAnsi="Calibri Light"/>
          <w:rtl/>
          <w:lang w:eastAsia="he-IL"/>
        </w:rPr>
        <w:t xml:space="preserve"> </w:t>
      </w:r>
      <w:r w:rsidRPr="007F060E">
        <w:rPr>
          <w:rFonts w:ascii="Calibri Light" w:hAnsi="Calibri Light" w:hint="eastAsia"/>
          <w:rtl/>
          <w:lang w:eastAsia="he-IL"/>
        </w:rPr>
        <w:t>שהם</w:t>
      </w:r>
      <w:r w:rsidRPr="007F060E">
        <w:rPr>
          <w:rFonts w:ascii="Calibri Light" w:hAnsi="Calibri Light"/>
          <w:rtl/>
          <w:lang w:eastAsia="he-IL"/>
        </w:rPr>
        <w:t xml:space="preserve"> </w:t>
      </w:r>
      <w:r w:rsidRPr="007F060E">
        <w:rPr>
          <w:rFonts w:ascii="Calibri Light" w:hAnsi="Calibri Light" w:hint="eastAsia"/>
          <w:rtl/>
          <w:lang w:eastAsia="he-IL"/>
        </w:rPr>
        <w:t>בטחון</w:t>
      </w:r>
      <w:r w:rsidRPr="007F060E">
        <w:rPr>
          <w:rFonts w:ascii="Calibri Light" w:hAnsi="Calibri Light"/>
          <w:rtl/>
          <w:lang w:eastAsia="he-IL"/>
        </w:rPr>
        <w:t xml:space="preserve"> </w:t>
      </w:r>
      <w:r w:rsidRPr="007F060E">
        <w:rPr>
          <w:rFonts w:ascii="Calibri Light" w:hAnsi="Calibri Light" w:hint="eastAsia"/>
          <w:rtl/>
          <w:lang w:eastAsia="he-IL"/>
        </w:rPr>
        <w:t>המדינה</w:t>
      </w:r>
      <w:r w:rsidRPr="007F060E">
        <w:rPr>
          <w:rFonts w:ascii="Calibri Light" w:hAnsi="Calibri Light"/>
          <w:rtl/>
          <w:lang w:eastAsia="he-IL"/>
        </w:rPr>
        <w:t xml:space="preserve"> </w:t>
      </w:r>
      <w:r w:rsidRPr="007F060E">
        <w:rPr>
          <w:rFonts w:ascii="Calibri Light" w:hAnsi="Calibri Light" w:hint="eastAsia"/>
          <w:rtl/>
          <w:lang w:eastAsia="he-IL"/>
        </w:rPr>
        <w:t>ובטחון</w:t>
      </w:r>
      <w:r w:rsidRPr="007F060E">
        <w:rPr>
          <w:rFonts w:ascii="Calibri Light" w:hAnsi="Calibri Light"/>
          <w:rtl/>
          <w:lang w:eastAsia="he-IL"/>
        </w:rPr>
        <w:t xml:space="preserve"> </w:t>
      </w:r>
      <w:r w:rsidRPr="007F060E">
        <w:rPr>
          <w:rFonts w:ascii="Calibri Light" w:hAnsi="Calibri Light" w:hint="eastAsia"/>
          <w:rtl/>
          <w:lang w:eastAsia="he-IL"/>
        </w:rPr>
        <w:t>חייליה</w:t>
      </w:r>
      <w:r w:rsidRPr="007F060E">
        <w:rPr>
          <w:rFonts w:ascii="Calibri Light" w:hAnsi="Calibri Light"/>
          <w:rtl/>
          <w:lang w:eastAsia="he-IL"/>
        </w:rPr>
        <w:t xml:space="preserve"> </w:t>
      </w:r>
      <w:r w:rsidRPr="007F060E">
        <w:rPr>
          <w:rFonts w:ascii="Calibri Light" w:hAnsi="Calibri Light" w:hint="eastAsia"/>
          <w:rtl/>
          <w:lang w:eastAsia="he-IL"/>
        </w:rPr>
        <w:t>ואזרחיה</w:t>
      </w:r>
      <w:r w:rsidRPr="007F060E">
        <w:rPr>
          <w:rFonts w:ascii="Calibri Light" w:hAnsi="Calibri Light"/>
          <w:rtl/>
          <w:lang w:eastAsia="he-IL"/>
        </w:rPr>
        <w:t xml:space="preserve">, </w:t>
      </w:r>
      <w:r w:rsidRPr="007F060E">
        <w:rPr>
          <w:rFonts w:ascii="Calibri Light" w:hAnsi="Calibri Light" w:hint="eastAsia"/>
          <w:rtl/>
          <w:lang w:eastAsia="he-IL"/>
        </w:rPr>
        <w:t>ריבונות</w:t>
      </w:r>
      <w:r w:rsidRPr="007F060E">
        <w:rPr>
          <w:rFonts w:ascii="Calibri Light" w:hAnsi="Calibri Light"/>
          <w:rtl/>
          <w:lang w:eastAsia="he-IL"/>
        </w:rPr>
        <w:t xml:space="preserve"> </w:t>
      </w:r>
      <w:r w:rsidRPr="007F060E">
        <w:rPr>
          <w:rFonts w:ascii="Calibri Light" w:hAnsi="Calibri Light" w:hint="eastAsia"/>
          <w:rtl/>
          <w:lang w:eastAsia="he-IL"/>
        </w:rPr>
        <w:t>המדינה</w:t>
      </w:r>
      <w:r w:rsidRPr="007F060E">
        <w:rPr>
          <w:rFonts w:ascii="Calibri Light" w:hAnsi="Calibri Light"/>
          <w:rtl/>
          <w:lang w:eastAsia="he-IL"/>
        </w:rPr>
        <w:t xml:space="preserve"> </w:t>
      </w:r>
      <w:r w:rsidRPr="007F060E">
        <w:rPr>
          <w:rFonts w:ascii="Calibri Light" w:hAnsi="Calibri Light" w:hint="eastAsia"/>
          <w:rtl/>
          <w:lang w:eastAsia="he-IL"/>
        </w:rPr>
        <w:t>וסמכותה</w:t>
      </w:r>
      <w:r w:rsidRPr="007F060E">
        <w:rPr>
          <w:rFonts w:ascii="Calibri Light" w:hAnsi="Calibri Light"/>
          <w:rtl/>
          <w:lang w:eastAsia="he-IL"/>
        </w:rPr>
        <w:t xml:space="preserve"> </w:t>
      </w:r>
      <w:r w:rsidRPr="007F060E">
        <w:rPr>
          <w:rFonts w:ascii="Calibri Light" w:hAnsi="Calibri Light" w:hint="eastAsia"/>
          <w:rtl/>
          <w:lang w:eastAsia="he-IL"/>
        </w:rPr>
        <w:t>לקבוע</w:t>
      </w:r>
      <w:r w:rsidRPr="007F060E">
        <w:rPr>
          <w:rFonts w:ascii="Calibri Light" w:hAnsi="Calibri Light"/>
          <w:rtl/>
          <w:lang w:eastAsia="he-IL"/>
        </w:rPr>
        <w:t xml:space="preserve"> </w:t>
      </w:r>
      <w:r w:rsidRPr="007F060E">
        <w:rPr>
          <w:rFonts w:ascii="Calibri Light" w:hAnsi="Calibri Light" w:hint="eastAsia"/>
          <w:rtl/>
          <w:lang w:eastAsia="he-IL"/>
        </w:rPr>
        <w:t>מי</w:t>
      </w:r>
      <w:r w:rsidRPr="007F060E">
        <w:rPr>
          <w:rFonts w:ascii="Calibri Light" w:hAnsi="Calibri Light"/>
          <w:rtl/>
          <w:lang w:eastAsia="he-IL"/>
        </w:rPr>
        <w:t xml:space="preserve"> </w:t>
      </w:r>
      <w:r w:rsidRPr="007F060E">
        <w:rPr>
          <w:rFonts w:ascii="Calibri Light" w:hAnsi="Calibri Light" w:hint="eastAsia"/>
          <w:rtl/>
          <w:lang w:eastAsia="he-IL"/>
        </w:rPr>
        <w:t>יבוא</w:t>
      </w:r>
      <w:r w:rsidRPr="007F060E">
        <w:rPr>
          <w:rFonts w:ascii="Calibri Light" w:hAnsi="Calibri Light"/>
          <w:rtl/>
          <w:lang w:eastAsia="he-IL"/>
        </w:rPr>
        <w:t xml:space="preserve"> </w:t>
      </w:r>
      <w:r w:rsidRPr="007F060E">
        <w:rPr>
          <w:rFonts w:ascii="Calibri Light" w:hAnsi="Calibri Light" w:hint="eastAsia"/>
          <w:rtl/>
          <w:lang w:eastAsia="he-IL"/>
        </w:rPr>
        <w:t>בשעריה</w:t>
      </w:r>
      <w:r w:rsidRPr="007F060E">
        <w:rPr>
          <w:rFonts w:ascii="Calibri Light" w:hAnsi="Calibri Light"/>
          <w:rtl/>
          <w:lang w:eastAsia="he-IL"/>
        </w:rPr>
        <w:t xml:space="preserve"> </w:t>
      </w:r>
      <w:r w:rsidRPr="007F060E">
        <w:rPr>
          <w:rFonts w:ascii="Calibri Light" w:hAnsi="Calibri Light" w:hint="eastAsia"/>
          <w:rtl/>
          <w:lang w:eastAsia="he-IL"/>
        </w:rPr>
        <w:t>וזאת</w:t>
      </w:r>
      <w:r w:rsidRPr="007F060E">
        <w:rPr>
          <w:rFonts w:ascii="Calibri Light" w:hAnsi="Calibri Light"/>
          <w:rtl/>
          <w:lang w:eastAsia="he-IL"/>
        </w:rPr>
        <w:t xml:space="preserve"> </w:t>
      </w:r>
      <w:r w:rsidRPr="007F060E">
        <w:rPr>
          <w:rFonts w:ascii="Calibri Light" w:hAnsi="Calibri Light" w:hint="eastAsia"/>
          <w:rtl/>
          <w:lang w:eastAsia="he-IL"/>
        </w:rPr>
        <w:t>בנוסף</w:t>
      </w:r>
      <w:r w:rsidRPr="007F060E">
        <w:rPr>
          <w:rFonts w:ascii="Calibri Light" w:hAnsi="Calibri Light"/>
          <w:rtl/>
          <w:lang w:eastAsia="he-IL"/>
        </w:rPr>
        <w:t xml:space="preserve"> </w:t>
      </w:r>
      <w:r w:rsidRPr="007F060E">
        <w:rPr>
          <w:rFonts w:ascii="Calibri Light" w:hAnsi="Calibri Light" w:hint="eastAsia"/>
          <w:rtl/>
          <w:lang w:eastAsia="he-IL"/>
        </w:rPr>
        <w:t>לפגיעה</w:t>
      </w:r>
      <w:r w:rsidRPr="007F060E">
        <w:rPr>
          <w:rFonts w:ascii="Calibri Light" w:hAnsi="Calibri Light"/>
          <w:rtl/>
          <w:lang w:eastAsia="he-IL"/>
        </w:rPr>
        <w:t xml:space="preserve"> </w:t>
      </w:r>
      <w:r w:rsidRPr="007F060E">
        <w:rPr>
          <w:rFonts w:ascii="Calibri Light" w:hAnsi="Calibri Light" w:hint="eastAsia"/>
          <w:rtl/>
          <w:lang w:eastAsia="he-IL"/>
        </w:rPr>
        <w:t>באינטרסים</w:t>
      </w:r>
      <w:r w:rsidRPr="007F060E">
        <w:rPr>
          <w:rFonts w:ascii="Calibri Light" w:hAnsi="Calibri Light"/>
          <w:rtl/>
          <w:lang w:eastAsia="he-IL"/>
        </w:rPr>
        <w:t xml:space="preserve"> </w:t>
      </w:r>
      <w:r w:rsidRPr="007F060E">
        <w:rPr>
          <w:rFonts w:ascii="Calibri Light" w:hAnsi="Calibri Light" w:hint="eastAsia"/>
          <w:rtl/>
          <w:lang w:eastAsia="he-IL"/>
        </w:rPr>
        <w:t>כלכליים</w:t>
      </w:r>
      <w:r w:rsidRPr="007F060E">
        <w:rPr>
          <w:rFonts w:ascii="Calibri Light" w:hAnsi="Calibri Light"/>
          <w:rtl/>
          <w:lang w:eastAsia="he-IL"/>
        </w:rPr>
        <w:t xml:space="preserve"> </w:t>
      </w:r>
      <w:r w:rsidRPr="007F060E">
        <w:rPr>
          <w:rFonts w:ascii="Calibri Light" w:hAnsi="Calibri Light" w:hint="eastAsia"/>
          <w:rtl/>
          <w:lang w:eastAsia="he-IL"/>
        </w:rPr>
        <w:t>בשל</w:t>
      </w:r>
      <w:r w:rsidRPr="007F060E">
        <w:rPr>
          <w:rFonts w:ascii="Calibri Light" w:hAnsi="Calibri Light"/>
          <w:rtl/>
          <w:lang w:eastAsia="he-IL"/>
        </w:rPr>
        <w:t xml:space="preserve"> </w:t>
      </w:r>
      <w:r w:rsidRPr="007F060E">
        <w:rPr>
          <w:rFonts w:ascii="Calibri Light" w:hAnsi="Calibri Light" w:hint="eastAsia"/>
          <w:rtl/>
          <w:lang w:eastAsia="he-IL"/>
        </w:rPr>
        <w:t>הצורך</w:t>
      </w:r>
      <w:r w:rsidRPr="007F060E">
        <w:rPr>
          <w:rFonts w:ascii="Calibri Light" w:hAnsi="Calibri Light"/>
          <w:rtl/>
          <w:lang w:eastAsia="he-IL"/>
        </w:rPr>
        <w:t xml:space="preserve"> </w:t>
      </w:r>
      <w:r w:rsidRPr="007F060E">
        <w:rPr>
          <w:rFonts w:ascii="Calibri Light" w:hAnsi="Calibri Light" w:hint="eastAsia"/>
          <w:rtl/>
          <w:lang w:eastAsia="he-IL"/>
        </w:rPr>
        <w:t>בהשקעת</w:t>
      </w:r>
      <w:r w:rsidRPr="007F060E">
        <w:rPr>
          <w:rFonts w:ascii="Calibri Light" w:hAnsi="Calibri Light"/>
          <w:rtl/>
          <w:lang w:eastAsia="he-IL"/>
        </w:rPr>
        <w:t xml:space="preserve"> </w:t>
      </w:r>
      <w:r w:rsidRPr="007F060E">
        <w:rPr>
          <w:rFonts w:ascii="Calibri Light" w:hAnsi="Calibri Light" w:hint="eastAsia"/>
          <w:rtl/>
          <w:lang w:eastAsia="he-IL"/>
        </w:rPr>
        <w:t>משאבים</w:t>
      </w:r>
      <w:r w:rsidRPr="007F060E">
        <w:rPr>
          <w:rFonts w:ascii="Calibri Light" w:hAnsi="Calibri Light"/>
          <w:rtl/>
          <w:lang w:eastAsia="he-IL"/>
        </w:rPr>
        <w:t xml:space="preserve"> </w:t>
      </w:r>
      <w:r w:rsidRPr="007F060E">
        <w:rPr>
          <w:rFonts w:ascii="Calibri Light" w:hAnsi="Calibri Light" w:hint="eastAsia"/>
          <w:rtl/>
          <w:lang w:eastAsia="he-IL"/>
        </w:rPr>
        <w:t>אנושיים</w:t>
      </w:r>
      <w:r w:rsidRPr="007F060E">
        <w:rPr>
          <w:rFonts w:ascii="Calibri Light" w:hAnsi="Calibri Light"/>
          <w:rtl/>
          <w:lang w:eastAsia="he-IL"/>
        </w:rPr>
        <w:t xml:space="preserve"> </w:t>
      </w:r>
      <w:r w:rsidRPr="007F060E">
        <w:rPr>
          <w:rFonts w:ascii="Calibri Light" w:hAnsi="Calibri Light" w:hint="eastAsia"/>
          <w:rtl/>
          <w:lang w:eastAsia="he-IL"/>
        </w:rPr>
        <w:t>וכלכלים</w:t>
      </w:r>
      <w:r w:rsidRPr="007F060E">
        <w:rPr>
          <w:rFonts w:ascii="Calibri Light" w:hAnsi="Calibri Light"/>
          <w:rtl/>
          <w:lang w:eastAsia="he-IL"/>
        </w:rPr>
        <w:t xml:space="preserve"> </w:t>
      </w:r>
      <w:r w:rsidRPr="007F060E">
        <w:rPr>
          <w:rFonts w:ascii="Calibri Light" w:hAnsi="Calibri Light" w:hint="eastAsia"/>
          <w:rtl/>
          <w:lang w:eastAsia="he-IL"/>
        </w:rPr>
        <w:t>למניעת</w:t>
      </w:r>
      <w:r w:rsidRPr="007F060E">
        <w:rPr>
          <w:rFonts w:ascii="Calibri Light" w:hAnsi="Calibri Light"/>
          <w:rtl/>
          <w:lang w:eastAsia="he-IL"/>
        </w:rPr>
        <w:t xml:space="preserve"> </w:t>
      </w:r>
      <w:r w:rsidRPr="007F060E">
        <w:rPr>
          <w:rFonts w:ascii="Calibri Light" w:hAnsi="Calibri Light" w:hint="eastAsia"/>
          <w:rtl/>
          <w:lang w:eastAsia="he-IL"/>
        </w:rPr>
        <w:t>הסתננות</w:t>
      </w:r>
      <w:r w:rsidRPr="007F060E">
        <w:rPr>
          <w:rFonts w:ascii="Calibri Light" w:hAnsi="Calibri Light"/>
          <w:rtl/>
          <w:lang w:eastAsia="he-IL"/>
        </w:rPr>
        <w:t xml:space="preserve">. </w:t>
      </w:r>
    </w:p>
    <w:p w14:paraId="178B46E4" w14:textId="77777777" w:rsidR="002E4FD8" w:rsidRPr="007F060E" w:rsidRDefault="002E4FD8" w:rsidP="002E4FD8">
      <w:pPr>
        <w:spacing w:line="360" w:lineRule="auto"/>
        <w:jc w:val="both"/>
        <w:rPr>
          <w:rFonts w:ascii="Calibri Light" w:hAnsi="Calibri Light"/>
          <w:rtl/>
          <w:lang w:eastAsia="he-IL"/>
        </w:rPr>
      </w:pPr>
    </w:p>
    <w:p w14:paraId="552B5C43" w14:textId="77777777" w:rsidR="002E4FD8" w:rsidRPr="007F060E" w:rsidRDefault="002E4FD8" w:rsidP="002E4FD8">
      <w:pPr>
        <w:spacing w:line="360" w:lineRule="auto"/>
        <w:jc w:val="both"/>
        <w:rPr>
          <w:rFonts w:ascii="Calibri Light" w:hAnsi="Calibri Light"/>
          <w:rtl/>
          <w:lang w:eastAsia="he-IL"/>
        </w:rPr>
      </w:pPr>
      <w:r w:rsidRPr="007F060E">
        <w:rPr>
          <w:rFonts w:ascii="Calibri Light" w:hAnsi="Calibri Light" w:hint="eastAsia"/>
          <w:rtl/>
          <w:lang w:eastAsia="he-IL"/>
        </w:rPr>
        <w:t>תכלית</w:t>
      </w:r>
      <w:r w:rsidRPr="007F060E">
        <w:rPr>
          <w:rFonts w:ascii="Calibri Light" w:hAnsi="Calibri Light"/>
          <w:rtl/>
          <w:lang w:eastAsia="he-IL"/>
        </w:rPr>
        <w:t xml:space="preserve"> </w:t>
      </w:r>
      <w:r w:rsidRPr="007F060E">
        <w:rPr>
          <w:rFonts w:ascii="Calibri Light" w:hAnsi="Calibri Light" w:hint="eastAsia"/>
          <w:rtl/>
          <w:lang w:eastAsia="he-IL"/>
        </w:rPr>
        <w:t>חוק</w:t>
      </w:r>
      <w:r w:rsidRPr="007F060E">
        <w:rPr>
          <w:rFonts w:ascii="Calibri Light" w:hAnsi="Calibri Light"/>
          <w:rtl/>
          <w:lang w:eastAsia="he-IL"/>
        </w:rPr>
        <w:t xml:space="preserve"> </w:t>
      </w:r>
      <w:r w:rsidRPr="007F060E">
        <w:rPr>
          <w:rFonts w:ascii="Calibri Light" w:hAnsi="Calibri Light" w:hint="eastAsia"/>
          <w:rtl/>
          <w:lang w:eastAsia="he-IL"/>
        </w:rPr>
        <w:t>ההסתננות</w:t>
      </w:r>
      <w:r w:rsidRPr="007F060E">
        <w:rPr>
          <w:rFonts w:ascii="Calibri Light" w:hAnsi="Calibri Light"/>
          <w:rtl/>
          <w:lang w:eastAsia="he-IL"/>
        </w:rPr>
        <w:t xml:space="preserve"> </w:t>
      </w:r>
      <w:r w:rsidRPr="007F060E">
        <w:rPr>
          <w:rFonts w:ascii="Calibri Light" w:hAnsi="Calibri Light" w:hint="eastAsia"/>
          <w:rtl/>
          <w:lang w:eastAsia="he-IL"/>
        </w:rPr>
        <w:t>הינה</w:t>
      </w:r>
      <w:r w:rsidRPr="007F060E">
        <w:rPr>
          <w:rFonts w:ascii="Calibri Light" w:hAnsi="Calibri Light"/>
          <w:rtl/>
          <w:lang w:eastAsia="he-IL"/>
        </w:rPr>
        <w:t xml:space="preserve"> </w:t>
      </w:r>
      <w:r w:rsidRPr="007F060E">
        <w:rPr>
          <w:rFonts w:ascii="Calibri Light" w:hAnsi="Calibri Light" w:hint="eastAsia"/>
          <w:rtl/>
          <w:lang w:eastAsia="he-IL"/>
        </w:rPr>
        <w:t>תכלית</w:t>
      </w:r>
      <w:r w:rsidRPr="007F060E">
        <w:rPr>
          <w:rFonts w:ascii="Calibri Light" w:hAnsi="Calibri Light"/>
          <w:rtl/>
          <w:lang w:eastAsia="he-IL"/>
        </w:rPr>
        <w:t xml:space="preserve"> </w:t>
      </w:r>
      <w:r w:rsidRPr="007F060E">
        <w:rPr>
          <w:rFonts w:ascii="Calibri Light" w:hAnsi="Calibri Light" w:hint="eastAsia"/>
          <w:rtl/>
          <w:lang w:eastAsia="he-IL"/>
        </w:rPr>
        <w:t>ביטחונית</w:t>
      </w:r>
      <w:r w:rsidRPr="007F060E">
        <w:rPr>
          <w:rFonts w:ascii="Calibri Light" w:hAnsi="Calibri Light"/>
          <w:rtl/>
          <w:lang w:eastAsia="he-IL"/>
        </w:rPr>
        <w:t xml:space="preserve"> </w:t>
      </w:r>
      <w:r w:rsidRPr="007F060E">
        <w:rPr>
          <w:rFonts w:ascii="Calibri Light" w:hAnsi="Calibri Light" w:hint="eastAsia"/>
          <w:rtl/>
          <w:lang w:eastAsia="he-IL"/>
        </w:rPr>
        <w:t>הרתעתית</w:t>
      </w:r>
      <w:r w:rsidRPr="007F060E">
        <w:rPr>
          <w:rFonts w:ascii="Calibri Light" w:hAnsi="Calibri Light"/>
          <w:rtl/>
          <w:lang w:eastAsia="he-IL"/>
        </w:rPr>
        <w:t xml:space="preserve">, </w:t>
      </w:r>
      <w:r w:rsidRPr="007F060E">
        <w:rPr>
          <w:rFonts w:ascii="Calibri Light" w:hAnsi="Calibri Light" w:hint="eastAsia"/>
          <w:rtl/>
          <w:lang w:eastAsia="he-IL"/>
        </w:rPr>
        <w:t>ולעבירת</w:t>
      </w:r>
      <w:r w:rsidRPr="007F060E">
        <w:rPr>
          <w:rFonts w:ascii="Calibri Light" w:hAnsi="Calibri Light"/>
          <w:rtl/>
          <w:lang w:eastAsia="he-IL"/>
        </w:rPr>
        <w:t xml:space="preserve"> </w:t>
      </w:r>
      <w:r w:rsidRPr="007F060E">
        <w:rPr>
          <w:rFonts w:ascii="Calibri Light" w:hAnsi="Calibri Light" w:hint="eastAsia"/>
          <w:rtl/>
          <w:lang w:eastAsia="he-IL"/>
        </w:rPr>
        <w:t>ההסתננות</w:t>
      </w:r>
      <w:r w:rsidRPr="007F060E">
        <w:rPr>
          <w:rFonts w:ascii="Calibri Light" w:hAnsi="Calibri Light"/>
          <w:rtl/>
          <w:lang w:eastAsia="he-IL"/>
        </w:rPr>
        <w:t xml:space="preserve"> </w:t>
      </w:r>
      <w:r w:rsidRPr="007F060E">
        <w:rPr>
          <w:rFonts w:ascii="Calibri Light" w:hAnsi="Calibri Light" w:hint="eastAsia"/>
          <w:rtl/>
          <w:lang w:eastAsia="he-IL"/>
        </w:rPr>
        <w:t>היבט</w:t>
      </w:r>
      <w:r w:rsidRPr="007F060E">
        <w:rPr>
          <w:rFonts w:ascii="Calibri Light" w:hAnsi="Calibri Light"/>
          <w:rtl/>
          <w:lang w:eastAsia="he-IL"/>
        </w:rPr>
        <w:t xml:space="preserve"> </w:t>
      </w:r>
      <w:r w:rsidRPr="007F060E">
        <w:rPr>
          <w:rFonts w:ascii="Calibri Light" w:hAnsi="Calibri Light" w:hint="eastAsia"/>
          <w:rtl/>
          <w:lang w:eastAsia="he-IL"/>
        </w:rPr>
        <w:t>בטחוני</w:t>
      </w:r>
      <w:r w:rsidRPr="007F060E">
        <w:rPr>
          <w:rFonts w:ascii="Calibri Light" w:hAnsi="Calibri Light"/>
          <w:rtl/>
          <w:lang w:eastAsia="he-IL"/>
        </w:rPr>
        <w:t xml:space="preserve"> </w:t>
      </w:r>
      <w:r w:rsidRPr="007F060E">
        <w:rPr>
          <w:rFonts w:ascii="Calibri Light" w:hAnsi="Calibri Light" w:hint="eastAsia"/>
          <w:rtl/>
          <w:lang w:eastAsia="he-IL"/>
        </w:rPr>
        <w:t>גם</w:t>
      </w:r>
      <w:r w:rsidRPr="007F060E">
        <w:rPr>
          <w:rFonts w:ascii="Calibri Light" w:hAnsi="Calibri Light"/>
          <w:rtl/>
          <w:lang w:eastAsia="he-IL"/>
        </w:rPr>
        <w:t xml:space="preserve"> </w:t>
      </w:r>
      <w:r w:rsidRPr="007F060E">
        <w:rPr>
          <w:rFonts w:ascii="Calibri Light" w:hAnsi="Calibri Light" w:hint="eastAsia"/>
          <w:rtl/>
          <w:lang w:eastAsia="he-IL"/>
        </w:rPr>
        <w:t>כאשר</w:t>
      </w:r>
      <w:r w:rsidRPr="007F060E">
        <w:rPr>
          <w:rFonts w:ascii="Calibri Light" w:hAnsi="Calibri Light"/>
          <w:rtl/>
          <w:lang w:eastAsia="he-IL"/>
        </w:rPr>
        <w:t xml:space="preserve"> </w:t>
      </w:r>
      <w:r w:rsidRPr="007F060E">
        <w:rPr>
          <w:rFonts w:ascii="Calibri Light" w:hAnsi="Calibri Light" w:hint="eastAsia"/>
          <w:rtl/>
          <w:lang w:eastAsia="he-IL"/>
        </w:rPr>
        <w:t>נטען</w:t>
      </w:r>
      <w:r w:rsidRPr="007F060E">
        <w:rPr>
          <w:rFonts w:ascii="Calibri Light" w:hAnsi="Calibri Light"/>
          <w:rtl/>
          <w:lang w:eastAsia="he-IL"/>
        </w:rPr>
        <w:t xml:space="preserve"> </w:t>
      </w:r>
      <w:r w:rsidRPr="007F060E">
        <w:rPr>
          <w:rFonts w:ascii="Calibri Light" w:hAnsi="Calibri Light" w:hint="eastAsia"/>
          <w:rtl/>
          <w:lang w:eastAsia="he-IL"/>
        </w:rPr>
        <w:t>כי</w:t>
      </w:r>
      <w:r w:rsidRPr="007F060E">
        <w:rPr>
          <w:rFonts w:ascii="Calibri Light" w:hAnsi="Calibri Light"/>
          <w:rtl/>
          <w:lang w:eastAsia="he-IL"/>
        </w:rPr>
        <w:t xml:space="preserve"> </w:t>
      </w:r>
      <w:r w:rsidRPr="007F060E">
        <w:rPr>
          <w:rFonts w:ascii="Calibri Light" w:hAnsi="Calibri Light" w:hint="eastAsia"/>
          <w:rtl/>
          <w:lang w:eastAsia="he-IL"/>
        </w:rPr>
        <w:t>מדובר</w:t>
      </w:r>
      <w:r w:rsidRPr="007F060E">
        <w:rPr>
          <w:rFonts w:ascii="Calibri Light" w:hAnsi="Calibri Light"/>
          <w:rtl/>
          <w:lang w:eastAsia="he-IL"/>
        </w:rPr>
        <w:t xml:space="preserve"> </w:t>
      </w:r>
      <w:r w:rsidRPr="007F060E">
        <w:rPr>
          <w:rFonts w:ascii="Calibri Light" w:hAnsi="Calibri Light" w:hint="eastAsia"/>
          <w:rtl/>
          <w:lang w:eastAsia="he-IL"/>
        </w:rPr>
        <w:t>בכניסה</w:t>
      </w:r>
      <w:r w:rsidRPr="007F060E">
        <w:rPr>
          <w:rFonts w:ascii="Calibri Light" w:hAnsi="Calibri Light"/>
          <w:rtl/>
          <w:lang w:eastAsia="he-IL"/>
        </w:rPr>
        <w:t xml:space="preserve"> </w:t>
      </w:r>
      <w:r w:rsidRPr="007F060E">
        <w:rPr>
          <w:rFonts w:ascii="Calibri Light" w:hAnsi="Calibri Light" w:hint="eastAsia"/>
          <w:rtl/>
          <w:lang w:eastAsia="he-IL"/>
        </w:rPr>
        <w:t>למטרות</w:t>
      </w:r>
      <w:r w:rsidRPr="007F060E">
        <w:rPr>
          <w:rFonts w:ascii="Calibri Light" w:hAnsi="Calibri Light"/>
          <w:rtl/>
          <w:lang w:eastAsia="he-IL"/>
        </w:rPr>
        <w:t xml:space="preserve"> </w:t>
      </w:r>
      <w:r w:rsidRPr="007F060E">
        <w:rPr>
          <w:rFonts w:ascii="Calibri Light" w:hAnsi="Calibri Light" w:hint="eastAsia"/>
          <w:rtl/>
          <w:lang w:eastAsia="he-IL"/>
        </w:rPr>
        <w:t>כלכליות</w:t>
      </w:r>
      <w:r w:rsidRPr="007F060E">
        <w:rPr>
          <w:rFonts w:ascii="Calibri Light" w:hAnsi="Calibri Light"/>
          <w:rtl/>
          <w:lang w:eastAsia="he-IL"/>
        </w:rPr>
        <w:t xml:space="preserve">. </w:t>
      </w:r>
    </w:p>
    <w:p w14:paraId="7B7F6275" w14:textId="77777777" w:rsidR="002E4FD8" w:rsidRPr="007F060E" w:rsidRDefault="002E4FD8" w:rsidP="002E4FD8">
      <w:pPr>
        <w:spacing w:line="360" w:lineRule="auto"/>
        <w:jc w:val="both"/>
        <w:rPr>
          <w:rFonts w:ascii="Calibri Light" w:hAnsi="Calibri Light"/>
          <w:rtl/>
          <w:lang w:eastAsia="he-IL"/>
        </w:rPr>
      </w:pPr>
    </w:p>
    <w:p w14:paraId="60F126D3" w14:textId="77777777" w:rsidR="002E4FD8" w:rsidRDefault="002E4FD8" w:rsidP="002E4FD8">
      <w:pPr>
        <w:spacing w:line="360" w:lineRule="auto"/>
        <w:jc w:val="both"/>
        <w:rPr>
          <w:b/>
          <w:bCs/>
          <w:rtl/>
        </w:rPr>
      </w:pPr>
      <w:r w:rsidRPr="007F060E">
        <w:rPr>
          <w:rFonts w:ascii="Calibri Light" w:hAnsi="Calibri Light" w:hint="eastAsia"/>
          <w:rtl/>
          <w:lang w:eastAsia="he-IL"/>
        </w:rPr>
        <w:t>לעניין</w:t>
      </w:r>
      <w:r w:rsidRPr="007F060E">
        <w:rPr>
          <w:rFonts w:ascii="Calibri Light" w:hAnsi="Calibri Light"/>
          <w:rtl/>
          <w:lang w:eastAsia="he-IL"/>
        </w:rPr>
        <w:t xml:space="preserve"> </w:t>
      </w:r>
      <w:r w:rsidRPr="007F060E">
        <w:rPr>
          <w:rFonts w:ascii="Calibri Light" w:hAnsi="Calibri Light" w:hint="eastAsia"/>
          <w:rtl/>
          <w:lang w:eastAsia="he-IL"/>
        </w:rPr>
        <w:t>זה</w:t>
      </w:r>
      <w:r w:rsidRPr="007F060E">
        <w:rPr>
          <w:rFonts w:ascii="Calibri Light" w:hAnsi="Calibri Light"/>
          <w:rtl/>
          <w:lang w:eastAsia="he-IL"/>
        </w:rPr>
        <w:t xml:space="preserve"> </w:t>
      </w:r>
      <w:r w:rsidRPr="007F060E">
        <w:rPr>
          <w:rFonts w:ascii="Calibri Light" w:hAnsi="Calibri Light" w:hint="eastAsia"/>
          <w:rtl/>
          <w:lang w:eastAsia="he-IL"/>
        </w:rPr>
        <w:t>ר</w:t>
      </w:r>
      <w:r w:rsidRPr="007F060E">
        <w:rPr>
          <w:rFonts w:ascii="Calibri Light" w:hAnsi="Calibri Light"/>
          <w:rtl/>
          <w:lang w:eastAsia="he-IL"/>
        </w:rPr>
        <w:t xml:space="preserve">' </w:t>
      </w:r>
      <w:hyperlink r:id="rId18" w:history="1">
        <w:r w:rsidR="001810E9" w:rsidRPr="001810E9">
          <w:rPr>
            <w:color w:val="0000FF"/>
            <w:u w:val="single"/>
            <w:rtl/>
          </w:rPr>
          <w:t>ע"פ 6474/08</w:t>
        </w:r>
      </w:hyperlink>
      <w:r w:rsidRPr="007F060E">
        <w:rPr>
          <w:rtl/>
        </w:rPr>
        <w:t xml:space="preserve"> </w:t>
      </w:r>
      <w:r w:rsidRPr="007F060E">
        <w:rPr>
          <w:b/>
          <w:bCs/>
          <w:rtl/>
        </w:rPr>
        <w:t>עזמי פרג'אללה ואח' נ' מ"י</w:t>
      </w:r>
      <w:r w:rsidRPr="007F060E">
        <w:rPr>
          <w:rtl/>
        </w:rPr>
        <w:t xml:space="preserve"> (10.6.2009): </w:t>
      </w:r>
    </w:p>
    <w:p w14:paraId="1E6B6477" w14:textId="77777777" w:rsidR="002E4FD8" w:rsidRDefault="002E4FD8" w:rsidP="002E4FD8">
      <w:pPr>
        <w:spacing w:line="360" w:lineRule="auto"/>
        <w:jc w:val="both"/>
        <w:rPr>
          <w:b/>
          <w:bCs/>
          <w:rtl/>
        </w:rPr>
      </w:pPr>
    </w:p>
    <w:p w14:paraId="18F9EDB8" w14:textId="77777777" w:rsidR="002E4FD8" w:rsidRDefault="002E4FD8" w:rsidP="002E4FD8">
      <w:pPr>
        <w:spacing w:line="360" w:lineRule="auto"/>
        <w:jc w:val="both"/>
        <w:rPr>
          <w:rtl/>
        </w:rPr>
      </w:pPr>
      <w:r w:rsidRPr="007F060E">
        <w:rPr>
          <w:b/>
          <w:bCs/>
          <w:rtl/>
        </w:rPr>
        <w:t>"נדגיש, כי עבירת ההסתננות, ובייחוד במצב הביטחוני השורר ברצועת עזה, היא אכן עבירה חמורה, אשר יש לה השלכות ביטחוניות נכבדות...נוכח האמור, ואל מול הצורך בהרתעה, ברי שלא ניתן לתת משקל נוסף לטענות אודות המצוקה הכלכלית שבה שרויים המערערים ובני משפחותיהם".</w:t>
      </w:r>
    </w:p>
    <w:p w14:paraId="47216012" w14:textId="77777777" w:rsidR="002E4FD8" w:rsidRDefault="002E4FD8" w:rsidP="002E4FD8">
      <w:pPr>
        <w:spacing w:line="360" w:lineRule="auto"/>
        <w:jc w:val="both"/>
        <w:rPr>
          <w:rtl/>
        </w:rPr>
      </w:pPr>
    </w:p>
    <w:p w14:paraId="666F5D2A" w14:textId="77777777" w:rsidR="002E4FD8" w:rsidRDefault="002E4FD8" w:rsidP="002E4FD8">
      <w:pPr>
        <w:spacing w:line="360" w:lineRule="auto"/>
        <w:jc w:val="both"/>
        <w:rPr>
          <w:b/>
          <w:bCs/>
          <w:rtl/>
        </w:rPr>
      </w:pPr>
      <w:r w:rsidRPr="007F060E">
        <w:rPr>
          <w:rtl/>
        </w:rPr>
        <w:t xml:space="preserve">ביחס לתכלית הביטחונית של החוק למניעת הסתננות ולכך שקביעת העונש הגבוה הינה לנוכח הסיכון הביטחוני הרב הגלום בעבירה זו, ר' </w:t>
      </w:r>
      <w:hyperlink r:id="rId19" w:history="1">
        <w:r w:rsidR="001810E9" w:rsidRPr="001810E9">
          <w:rPr>
            <w:color w:val="0000FF"/>
            <w:u w:val="single"/>
            <w:rtl/>
          </w:rPr>
          <w:t>ע"פ 5746/06</w:t>
        </w:r>
      </w:hyperlink>
      <w:r w:rsidRPr="007F060E">
        <w:rPr>
          <w:b/>
          <w:bCs/>
          <w:rtl/>
        </w:rPr>
        <w:t xml:space="preserve"> כמאל עבאס נ' מ"י </w:t>
      </w:r>
      <w:r w:rsidRPr="007F060E">
        <w:rPr>
          <w:rtl/>
        </w:rPr>
        <w:t xml:space="preserve">(31.7.2007): </w:t>
      </w:r>
    </w:p>
    <w:p w14:paraId="59561129" w14:textId="77777777" w:rsidR="002E4FD8" w:rsidRDefault="002E4FD8" w:rsidP="002E4FD8">
      <w:pPr>
        <w:spacing w:line="360" w:lineRule="auto"/>
        <w:jc w:val="both"/>
        <w:rPr>
          <w:b/>
          <w:bCs/>
          <w:rtl/>
        </w:rPr>
      </w:pPr>
    </w:p>
    <w:p w14:paraId="55DD4A3A" w14:textId="77777777" w:rsidR="002E4FD8" w:rsidRDefault="002E4FD8" w:rsidP="002E4FD8">
      <w:pPr>
        <w:spacing w:line="360" w:lineRule="auto"/>
        <w:jc w:val="both"/>
        <w:rPr>
          <w:rtl/>
        </w:rPr>
      </w:pPr>
      <w:r w:rsidRPr="007F060E">
        <w:rPr>
          <w:b/>
          <w:bCs/>
          <w:rtl/>
        </w:rPr>
        <w:t xml:space="preserve">"ההיסטוריה החקיקתית של החוק למניעת הסתננות מלמדת בבירור כי תכליתו הינה להגן מפני כניסה שלא כדין לתחום גבולותיה של מדינת ישראל משטחים גובלים או סמוכים לה. ...על התכלית של שמירה על ביטחון המדינה והרתעה מפני מעשי הסתננות, ניתן ללמוד גם מהוראותיו השונות של החוק למניעת הסתננות. ... נוכח הסיכון הבטחוני הרב הגלום בעבירות אלה, נקבע בגינן עונש מרבי גבוה יותר ביחס לעונש הקבוע בגין עבירת ההסתננות לפי סעיף 2 לחוק. בכל אלה יש כדי לתמוך במסקנה אשר אינה שנויה במחלוקת בין הצדדים בפנינו, ולפיה תכליתו של החוק למניעת הסתננות היא ביסודה תכלית ביטחונית-הרתעתית, שנועדה להגן על ביטחון גבולותיה של מדינת ישראל מפני כניסה שלא כדין לשטחה". </w:t>
      </w:r>
    </w:p>
    <w:p w14:paraId="25758856" w14:textId="77777777" w:rsidR="002E4FD8" w:rsidRDefault="002E4FD8" w:rsidP="002E4FD8">
      <w:pPr>
        <w:spacing w:line="360" w:lineRule="auto"/>
        <w:jc w:val="both"/>
        <w:rPr>
          <w:rtl/>
        </w:rPr>
      </w:pPr>
    </w:p>
    <w:p w14:paraId="28FC08FC" w14:textId="77777777" w:rsidR="002E4FD8" w:rsidRDefault="002E4FD8" w:rsidP="002E4FD8">
      <w:pPr>
        <w:spacing w:line="360" w:lineRule="auto"/>
        <w:jc w:val="both"/>
        <w:rPr>
          <w:b/>
          <w:bCs/>
          <w:rtl/>
        </w:rPr>
      </w:pPr>
      <w:r w:rsidRPr="007F060E">
        <w:rPr>
          <w:rtl/>
        </w:rPr>
        <w:t xml:space="preserve">ור' </w:t>
      </w:r>
      <w:hyperlink r:id="rId20" w:history="1">
        <w:r w:rsidR="001810E9" w:rsidRPr="001810E9">
          <w:rPr>
            <w:color w:val="0000FF"/>
            <w:u w:val="single"/>
            <w:rtl/>
          </w:rPr>
          <w:t>ע"פ (מחוזי ב"ש) 7171/06</w:t>
        </w:r>
      </w:hyperlink>
      <w:r w:rsidRPr="007F060E">
        <w:rPr>
          <w:rtl/>
        </w:rPr>
        <w:t xml:space="preserve"> </w:t>
      </w:r>
      <w:r w:rsidRPr="007F060E">
        <w:rPr>
          <w:b/>
          <w:bCs/>
          <w:rtl/>
        </w:rPr>
        <w:t>מדינת ישראל נ' עורג'אן אנואר ואח'</w:t>
      </w:r>
      <w:r w:rsidRPr="007F060E">
        <w:rPr>
          <w:rtl/>
        </w:rPr>
        <w:t xml:space="preserve"> (5/7/2006):</w:t>
      </w:r>
    </w:p>
    <w:p w14:paraId="67F178CC" w14:textId="77777777" w:rsidR="002E4FD8" w:rsidRDefault="002E4FD8" w:rsidP="002E4FD8">
      <w:pPr>
        <w:spacing w:line="360" w:lineRule="auto"/>
        <w:jc w:val="both"/>
        <w:rPr>
          <w:b/>
          <w:bCs/>
          <w:rtl/>
        </w:rPr>
      </w:pPr>
    </w:p>
    <w:p w14:paraId="35B40E5D" w14:textId="77777777" w:rsidR="002E4FD8" w:rsidRDefault="002E4FD8" w:rsidP="002E4FD8">
      <w:pPr>
        <w:spacing w:line="360" w:lineRule="auto"/>
        <w:jc w:val="both"/>
        <w:rPr>
          <w:rtl/>
        </w:rPr>
      </w:pPr>
      <w:r w:rsidRPr="007F060E">
        <w:rPr>
          <w:b/>
          <w:bCs/>
          <w:rtl/>
        </w:rPr>
        <w:t>"עבירת הסתננות כשמה כן היא. הדגש מושם על פעולת הכניסה האסורה לארץ ולא על ההימצאות בארץ שלא כדין (ראה סעיף 1 לחוק). חציית גבול אסורה בין מדינות שכנות – מצרים וישראל - בהיקף של ממש, על כל המשתמע מכך, פוגעת במרקם העדין של היחסים ביניהן. במציאות של תחילת המאה ה- 21 פגיעה שכזו אוצרת בתוכה היבטים ביטחוניים. זהו המצב גם אם נאשם בודד חוצה את הגבול כדי למצוא נתיב חדש לפרנסתו. הרי המצב בשטח אינו בגדר לא נודע, והנועז לתכנן תכנית לעבור ממדינה למדינה מודע לכך שיש במעשיו כדי לפגוע בהיבט זה או אחר בריבונותן של שתי המדינות. אין הוא יכול לעצום עין ולהציג את מעשיו כשייך למדור הכלכלי בלבד. השקעת מדינת ישראל כדי לשמור על יציבות הגבול נובעת משיקולים ביטחונים. חדירות חוזרות ונשנות בנקודה זו או אחרת בגבול עלולות בסופו של דבר להחליש את יציבותו לאורכו ולרוחבו. ניסיון לצמצם את הראיה במעשה של נאשם להנחה שאין הוא מתכוון לפגוע בביטחון המדינה מעבר לפעולת הכניסה האסורה - כאילו מדובר במעשה קונדס או הרפתקה מובנת מההיבט הכלכלי, חוטא למציאות."</w:t>
      </w:r>
    </w:p>
    <w:p w14:paraId="5797E0F9" w14:textId="77777777" w:rsidR="002E4FD8" w:rsidRDefault="002E4FD8" w:rsidP="002E4FD8">
      <w:pPr>
        <w:spacing w:line="360" w:lineRule="auto"/>
        <w:jc w:val="both"/>
        <w:rPr>
          <w:rtl/>
        </w:rPr>
      </w:pPr>
    </w:p>
    <w:p w14:paraId="789E8C77" w14:textId="77777777" w:rsidR="002E4FD8" w:rsidRDefault="002E4FD8" w:rsidP="002E4FD8">
      <w:pPr>
        <w:spacing w:line="360" w:lineRule="auto"/>
        <w:jc w:val="both"/>
        <w:rPr>
          <w:rtl/>
        </w:rPr>
      </w:pPr>
      <w:r w:rsidRPr="007F060E">
        <w:rPr>
          <w:rtl/>
        </w:rPr>
        <w:t xml:space="preserve">עוד על הסכנה הגלומה במעשים אלו ר' ע"פ </w:t>
      </w:r>
      <w:hyperlink r:id="rId21" w:history="1">
        <w:r w:rsidR="0085456D" w:rsidRPr="0085456D">
          <w:rPr>
            <w:color w:val="0000FF"/>
            <w:u w:val="single"/>
            <w:rtl/>
          </w:rPr>
          <w:t xml:space="preserve">5059/09 </w:t>
        </w:r>
      </w:hyperlink>
      <w:r w:rsidRPr="007F060E">
        <w:rPr>
          <w:rtl/>
        </w:rPr>
        <w:t xml:space="preserve"> </w:t>
      </w:r>
      <w:r w:rsidRPr="007F060E">
        <w:rPr>
          <w:b/>
          <w:bCs/>
          <w:rtl/>
        </w:rPr>
        <w:t xml:space="preserve">מ"י נ' מוחמד שרתאחה </w:t>
      </w:r>
      <w:r w:rsidRPr="007F060E">
        <w:rPr>
          <w:rtl/>
        </w:rPr>
        <w:t>(15.10.2009)</w:t>
      </w:r>
      <w:r w:rsidRPr="007F060E">
        <w:rPr>
          <w:b/>
          <w:bCs/>
          <w:rtl/>
        </w:rPr>
        <w:t>: "המערער תושב רצועת עזה, חדר ושב וחדר לשטחה של מדינת ישראל שלא כדין, כאשר בפעם הראשונה הוא עשה זאת על ידי חיתוך של גדר הגבול. נדמה כי אין צורך להכביר מילים על חומרת המעשים.. במעשים מסוג זה גלומה סכנה מופלגת לציבור ולכוחות הביטחון..".</w:t>
      </w:r>
    </w:p>
    <w:p w14:paraId="757FB387" w14:textId="77777777" w:rsidR="002E4FD8" w:rsidRDefault="002E4FD8" w:rsidP="002E4FD8">
      <w:pPr>
        <w:spacing w:line="360" w:lineRule="auto"/>
        <w:jc w:val="both"/>
        <w:rPr>
          <w:rtl/>
        </w:rPr>
      </w:pPr>
    </w:p>
    <w:p w14:paraId="3F173D73" w14:textId="77777777" w:rsidR="002E4FD8" w:rsidRDefault="002E4FD8" w:rsidP="002E4FD8">
      <w:pPr>
        <w:spacing w:line="360" w:lineRule="auto"/>
        <w:jc w:val="both"/>
        <w:rPr>
          <w:rtl/>
        </w:rPr>
      </w:pPr>
      <w:r w:rsidRPr="007F060E">
        <w:rPr>
          <w:rtl/>
        </w:rPr>
        <w:t>עבירת ההסתננות, ובפרט בקו הגבול בו בוצעה, נושאת בחובה היבט בטחוני מובהק, והינה בעלת חומרה יתירה, וזאת בפרט בנסיבות המחמירות בדמות הצטיידות ברימון רסס, שהוא כלי נשק שבכוחו להמית אדם.</w:t>
      </w:r>
    </w:p>
    <w:p w14:paraId="799D44E8" w14:textId="77777777" w:rsidR="002E4FD8" w:rsidRDefault="002E4FD8" w:rsidP="002E4FD8">
      <w:pPr>
        <w:spacing w:line="360" w:lineRule="auto"/>
        <w:jc w:val="both"/>
        <w:rPr>
          <w:rtl/>
        </w:rPr>
      </w:pPr>
    </w:p>
    <w:p w14:paraId="21697A36" w14:textId="77777777" w:rsidR="002E4FD8" w:rsidRDefault="002E4FD8" w:rsidP="002E4FD8">
      <w:pPr>
        <w:spacing w:line="360" w:lineRule="auto"/>
        <w:jc w:val="both"/>
        <w:rPr>
          <w:rtl/>
        </w:rPr>
      </w:pPr>
      <w:r w:rsidRPr="007F060E">
        <w:rPr>
          <w:rtl/>
        </w:rPr>
        <w:t xml:space="preserve">קביעת מתחם העונש ההולם נעשית תוך התייחסות להיבטים הקשורים בנסיבות הביצוע, ולמתחם היבט אינדיבידואלי הקשור למקרה המסוים הנדון. ר' </w:t>
      </w:r>
      <w:hyperlink r:id="rId22" w:history="1">
        <w:r w:rsidR="001810E9" w:rsidRPr="001810E9">
          <w:rPr>
            <w:color w:val="0000FF"/>
            <w:u w:val="single"/>
            <w:rtl/>
          </w:rPr>
          <w:t>ע"פ 1323/13</w:t>
        </w:r>
      </w:hyperlink>
      <w:r w:rsidRPr="007F060E">
        <w:rPr>
          <w:rtl/>
        </w:rPr>
        <w:t xml:space="preserve"> רך </w:t>
      </w:r>
      <w:r w:rsidRPr="007F060E">
        <w:rPr>
          <w:b/>
          <w:bCs/>
          <w:rtl/>
        </w:rPr>
        <w:t xml:space="preserve">חסן ואח' נ' מ"י </w:t>
      </w:r>
      <w:r w:rsidRPr="007F060E">
        <w:rPr>
          <w:rtl/>
        </w:rPr>
        <w:t xml:space="preserve">(5.6.2013), המתייחס לצביון האינדיבידואלי אשר העניק המחוקק לשלב עיצוב המתחם. </w:t>
      </w:r>
    </w:p>
    <w:p w14:paraId="66821BE4" w14:textId="77777777" w:rsidR="002E4FD8" w:rsidRDefault="002E4FD8" w:rsidP="002E4FD8">
      <w:pPr>
        <w:spacing w:line="360" w:lineRule="auto"/>
        <w:jc w:val="both"/>
        <w:rPr>
          <w:rtl/>
        </w:rPr>
      </w:pPr>
    </w:p>
    <w:p w14:paraId="2874F576" w14:textId="77777777" w:rsidR="002E4FD8" w:rsidRDefault="002E4FD8" w:rsidP="002E4FD8">
      <w:pPr>
        <w:spacing w:line="360" w:lineRule="auto"/>
        <w:jc w:val="both"/>
        <w:rPr>
          <w:rtl/>
        </w:rPr>
      </w:pPr>
      <w:r w:rsidRPr="007F060E">
        <w:rPr>
          <w:rtl/>
        </w:rPr>
        <w:t>ב</w:t>
      </w:r>
      <w:hyperlink r:id="rId23" w:history="1">
        <w:r w:rsidR="001810E9" w:rsidRPr="001810E9">
          <w:rPr>
            <w:color w:val="0000FF"/>
            <w:u w:val="single"/>
            <w:rtl/>
          </w:rPr>
          <w:t>ע"פ 7716/14</w:t>
        </w:r>
      </w:hyperlink>
      <w:r w:rsidRPr="007F060E">
        <w:rPr>
          <w:rtl/>
        </w:rPr>
        <w:t xml:space="preserve"> </w:t>
      </w:r>
      <w:r w:rsidRPr="007F060E">
        <w:rPr>
          <w:b/>
          <w:bCs/>
          <w:rtl/>
        </w:rPr>
        <w:t>אחמד אבו סעיפאן נ' מ"י</w:t>
      </w:r>
      <w:r w:rsidRPr="007F060E">
        <w:rPr>
          <w:rtl/>
        </w:rPr>
        <w:t xml:space="preserve"> (20.4.2015) - נגזר על המערער, אשר הסתנן מרצועת עזה לישראל כשברשותו סכין בצוותא עם אחר, עונש של 26 חודשי מאסר, תוך שנקבע מתחם עונש הולם הנע בין 18-40 חודשי מאסר. הערעור נדחה ונקבע כי מדובר בעונש הולם אשר התחשב בגיל הצעיר ובהעדר עבר פלילי של המערערים, וצוין כי מתחם הענישה שנקבע אינו חורג ממדיניות הענישה הראויה. </w:t>
      </w:r>
    </w:p>
    <w:p w14:paraId="29F97E78" w14:textId="77777777" w:rsidR="002E4FD8" w:rsidRDefault="002E4FD8" w:rsidP="002E4FD8">
      <w:pPr>
        <w:spacing w:line="360" w:lineRule="auto"/>
        <w:jc w:val="both"/>
        <w:rPr>
          <w:rtl/>
        </w:rPr>
      </w:pPr>
    </w:p>
    <w:p w14:paraId="637589D3" w14:textId="77777777" w:rsidR="002E4FD8" w:rsidRDefault="002E4FD8" w:rsidP="002E4FD8">
      <w:pPr>
        <w:spacing w:line="360" w:lineRule="auto"/>
        <w:jc w:val="both"/>
        <w:rPr>
          <w:rtl/>
        </w:rPr>
      </w:pPr>
      <w:r w:rsidRPr="007F060E">
        <w:rPr>
          <w:rtl/>
        </w:rPr>
        <w:t xml:space="preserve">בע"פ </w:t>
      </w:r>
      <w:hyperlink r:id="rId24" w:history="1">
        <w:r w:rsidR="0085456D" w:rsidRPr="0085456D">
          <w:rPr>
            <w:color w:val="0000FF"/>
            <w:u w:val="single"/>
            <w:rtl/>
          </w:rPr>
          <w:t xml:space="preserve">5059/09 </w:t>
        </w:r>
      </w:hyperlink>
      <w:r w:rsidRPr="007F060E">
        <w:rPr>
          <w:rtl/>
        </w:rPr>
        <w:t xml:space="preserve"> </w:t>
      </w:r>
      <w:r w:rsidRPr="007F060E">
        <w:rPr>
          <w:b/>
          <w:bCs/>
          <w:rtl/>
        </w:rPr>
        <w:t xml:space="preserve">מ"י נ' מוחמד שרתאחה </w:t>
      </w:r>
      <w:r w:rsidRPr="007F060E">
        <w:rPr>
          <w:rtl/>
        </w:rPr>
        <w:t xml:space="preserve">(15.10.2009) – חדר המשיב תושב רצועת עזה, לישראל, לאחר שחתך את גדר הגבול. הוא נעצר וגורש לרצועה, אולם בחודש דצמבר 2008, שב ונכנס לישראל, הפעם דרך הגבול עם מצרים, ואת זאת עשה לאחר שזומן לחקירה על ידי אנשי חמא"ס בחשד למעורבות בסחר בסמים. הפעם נעצר המשיב בבית חולים בפתח-תקוה, לשם הגיע  כדי לבקר את קרובת משפחתו. המשיב הורשע בעבירות של הסתננות ופגיעה ברכוש שהיה בה כדי לפגוע בבטחון המשינה ונדון ל – 12 חדשי מאסר בפועל. ערעור המדינה התקבל ועונשו של המשיב הוחמר ל – 24 חדשי מאסר בפועל, וזאת נוכח כך שערכאת הערעור אינה ממצה את הדין, ונפסק כי : </w:t>
      </w:r>
      <w:r w:rsidRPr="007F060E">
        <w:rPr>
          <w:b/>
          <w:bCs/>
          <w:rtl/>
        </w:rPr>
        <w:t>"במעשים מסוג זה גלומה סכנה מופלגת לציבור ולכוחות הביטחון, ועל כן נכון היה להגיב עליהם בענישה קשה כדי להרתיע את הרבים ולהפוך אותם ללא כדאיים".</w:t>
      </w:r>
    </w:p>
    <w:p w14:paraId="2F354164" w14:textId="77777777" w:rsidR="002E4FD8" w:rsidRDefault="002E4FD8" w:rsidP="002E4FD8">
      <w:pPr>
        <w:spacing w:line="360" w:lineRule="auto"/>
        <w:jc w:val="both"/>
        <w:rPr>
          <w:rtl/>
        </w:rPr>
      </w:pPr>
    </w:p>
    <w:p w14:paraId="291A55B9" w14:textId="77777777" w:rsidR="002E4FD8" w:rsidRDefault="002E4FD8" w:rsidP="002E4FD8">
      <w:pPr>
        <w:spacing w:line="360" w:lineRule="auto"/>
        <w:jc w:val="both"/>
        <w:rPr>
          <w:rtl/>
        </w:rPr>
      </w:pPr>
      <w:r w:rsidRPr="007F060E">
        <w:rPr>
          <w:rtl/>
        </w:rPr>
        <w:t>ב</w:t>
      </w:r>
      <w:hyperlink r:id="rId25" w:history="1">
        <w:r w:rsidR="001810E9" w:rsidRPr="001810E9">
          <w:rPr>
            <w:color w:val="0000FF"/>
            <w:u w:val="single"/>
            <w:rtl/>
          </w:rPr>
          <w:t>עפ"ג (מחוזי באר שבע) 30475-12-13</w:t>
        </w:r>
      </w:hyperlink>
      <w:r w:rsidRPr="007F060E">
        <w:rPr>
          <w:rtl/>
        </w:rPr>
        <w:t xml:space="preserve"> </w:t>
      </w:r>
      <w:r w:rsidRPr="007F060E">
        <w:rPr>
          <w:b/>
          <w:bCs/>
          <w:rtl/>
        </w:rPr>
        <w:t>מ"י נ' מוחמד אל בלעאוי ואח'</w:t>
      </w:r>
      <w:r w:rsidRPr="007F060E">
        <w:rPr>
          <w:rtl/>
        </w:rPr>
        <w:t xml:space="preserve"> (25.12.2013) התקבל ערעור המדינה על קולת העונש שהוטל על ארבעת המשיבים בגין עבירות הסתננות, שאינה הסתננות מזויינת. העונשים אשר הוטלו היו בין 7 ל – 9 חודשי מאסר בפועל. בערעור נקבע כי מתחם העונש ההולם בעבירת הסתננות (לפי </w:t>
      </w:r>
      <w:hyperlink r:id="rId26" w:history="1">
        <w:r w:rsidR="009D6942" w:rsidRPr="009D6942">
          <w:rPr>
            <w:rStyle w:val="Hyperlink"/>
            <w:rtl/>
          </w:rPr>
          <w:t>סעיף 2</w:t>
        </w:r>
      </w:hyperlink>
      <w:r w:rsidRPr="007F060E">
        <w:rPr>
          <w:rtl/>
        </w:rPr>
        <w:t xml:space="preserve"> – ולא הסתננות מזויינת) הינו בין שנה אחת לשתי שנות מאסר, ועונשם הוחמר, כך שעל שלושה הוטלו 12 חודשי מאסר ועל הרביעי 11 חודשי מאסר, לאור גילו הצעיר.</w:t>
      </w:r>
    </w:p>
    <w:p w14:paraId="72575D1E" w14:textId="77777777" w:rsidR="002E4FD8" w:rsidRDefault="002E4FD8" w:rsidP="002E4FD8">
      <w:pPr>
        <w:spacing w:line="360" w:lineRule="auto"/>
        <w:jc w:val="both"/>
        <w:rPr>
          <w:rtl/>
        </w:rPr>
      </w:pPr>
    </w:p>
    <w:p w14:paraId="1C9C299B" w14:textId="77777777" w:rsidR="002E4FD8" w:rsidRDefault="002E4FD8" w:rsidP="002E4FD8">
      <w:pPr>
        <w:spacing w:line="360" w:lineRule="auto"/>
        <w:jc w:val="both"/>
        <w:rPr>
          <w:rtl/>
        </w:rPr>
      </w:pPr>
      <w:r w:rsidRPr="007F060E">
        <w:rPr>
          <w:rtl/>
        </w:rPr>
        <w:t>ב</w:t>
      </w:r>
      <w:hyperlink r:id="rId27" w:history="1">
        <w:r w:rsidR="001810E9" w:rsidRPr="001810E9">
          <w:rPr>
            <w:color w:val="0000FF"/>
            <w:u w:val="single"/>
            <w:rtl/>
          </w:rPr>
          <w:t>ת"פ (מחוזי באר שבע) 36418-08-14</w:t>
        </w:r>
      </w:hyperlink>
      <w:r w:rsidRPr="007F060E">
        <w:rPr>
          <w:rtl/>
        </w:rPr>
        <w:t xml:space="preserve"> </w:t>
      </w:r>
      <w:r w:rsidRPr="007F060E">
        <w:rPr>
          <w:b/>
          <w:bCs/>
          <w:rtl/>
        </w:rPr>
        <w:t>מ"י נ' אבו עוילי</w:t>
      </w:r>
      <w:r w:rsidRPr="007F060E">
        <w:rPr>
          <w:rtl/>
        </w:rPr>
        <w:t xml:space="preserve"> (10.2.2014) – הנאשם הורשע בעבירת הסתננות מזויינת כאשר ברשותו סכין יפנית וסכין גדולה נוספת, הסדר הטיעון כלל רף ענישה עליון של 2.5 שנות מאסר, ונגזרו 26 חודשי מאסר, כאשר נקבע כי מתחם העונש ההולם נע בין 18 ל- 40 חודשי מאסר בפועל. </w:t>
      </w:r>
    </w:p>
    <w:p w14:paraId="2DF4F3C1" w14:textId="77777777" w:rsidR="002E4FD8" w:rsidRDefault="002E4FD8" w:rsidP="002E4FD8">
      <w:pPr>
        <w:spacing w:line="360" w:lineRule="auto"/>
        <w:jc w:val="both"/>
        <w:rPr>
          <w:rtl/>
        </w:rPr>
      </w:pPr>
    </w:p>
    <w:p w14:paraId="293801CA" w14:textId="77777777" w:rsidR="002E4FD8" w:rsidRDefault="002E4FD8" w:rsidP="002E4FD8">
      <w:pPr>
        <w:spacing w:line="360" w:lineRule="auto"/>
        <w:jc w:val="both"/>
        <w:rPr>
          <w:rtl/>
        </w:rPr>
      </w:pPr>
      <w:r w:rsidRPr="007F060E">
        <w:rPr>
          <w:rtl/>
        </w:rPr>
        <w:t>ב</w:t>
      </w:r>
      <w:hyperlink r:id="rId28" w:history="1">
        <w:r w:rsidR="001810E9" w:rsidRPr="001810E9">
          <w:rPr>
            <w:color w:val="0000FF"/>
            <w:u w:val="single"/>
            <w:rtl/>
          </w:rPr>
          <w:t>ת"פ 8999-05-14</w:t>
        </w:r>
      </w:hyperlink>
      <w:r w:rsidRPr="007F060E">
        <w:rPr>
          <w:rtl/>
        </w:rPr>
        <w:t xml:space="preserve"> (מחוזי באר שבע) </w:t>
      </w:r>
      <w:r w:rsidRPr="007F060E">
        <w:rPr>
          <w:b/>
          <w:bCs/>
          <w:rtl/>
        </w:rPr>
        <w:t>מ"י נ' חאתם אבו סליסל</w:t>
      </w:r>
      <w:r w:rsidRPr="007F060E">
        <w:rPr>
          <w:rtl/>
        </w:rPr>
        <w:t xml:space="preserve"> (23.7.2014) – הנאשם הורשע בעבירת הסתננות מזויינת כאשר הסתנן מרצועת עזה לישראל כשברשותו סכין, ונגזר עליו עונש של 17 חודשי מאסר בפועל כאשר נקבע כי מתחם העונש ההולם נע בין 1-3 שנות מאסר בפועל, וצויין כי יש גם ליתן דגש ומשקל לסוג הסכין אשר עמה בוצעה עבירת ההסתננות. </w:t>
      </w:r>
    </w:p>
    <w:p w14:paraId="64A97195" w14:textId="77777777" w:rsidR="002E4FD8" w:rsidRDefault="002E4FD8" w:rsidP="002E4FD8">
      <w:pPr>
        <w:spacing w:line="360" w:lineRule="auto"/>
        <w:jc w:val="both"/>
        <w:rPr>
          <w:rtl/>
        </w:rPr>
      </w:pPr>
    </w:p>
    <w:p w14:paraId="53773ABE" w14:textId="77777777" w:rsidR="002E4FD8" w:rsidRDefault="002E4FD8" w:rsidP="002E4FD8">
      <w:pPr>
        <w:spacing w:line="360" w:lineRule="auto"/>
        <w:jc w:val="both"/>
        <w:rPr>
          <w:rtl/>
        </w:rPr>
      </w:pPr>
      <w:r w:rsidRPr="007F060E">
        <w:rPr>
          <w:rtl/>
        </w:rPr>
        <w:t>ב</w:t>
      </w:r>
      <w:hyperlink r:id="rId29" w:history="1">
        <w:r w:rsidR="001810E9" w:rsidRPr="001810E9">
          <w:rPr>
            <w:color w:val="0000FF"/>
            <w:u w:val="single"/>
            <w:rtl/>
          </w:rPr>
          <w:t>ת"פ 39377-03-13</w:t>
        </w:r>
      </w:hyperlink>
      <w:r w:rsidRPr="007F060E">
        <w:rPr>
          <w:rtl/>
        </w:rPr>
        <w:t xml:space="preserve"> (מחוזי באר שבע) </w:t>
      </w:r>
      <w:r w:rsidRPr="007F060E">
        <w:rPr>
          <w:b/>
          <w:bCs/>
          <w:rtl/>
        </w:rPr>
        <w:t>מדינת ישראל נ' נאג'י אבו שמלה</w:t>
      </w:r>
      <w:r w:rsidRPr="007F060E">
        <w:rPr>
          <w:rtl/>
        </w:rPr>
        <w:t xml:space="preserve"> (20.2.2014) – הנאשם הורשע בהסתננות בצוותא עם שניים אחרים תוך נשיאת סכינים יפניות, ונגזר עליהם 10 חודשי מאסר ונקבע כי מתחם העונש בגין עבירת הסתננות מזויינת בצוותא תוך נשיאת סכינים שאינם סכיני תקיפה מובהקים וללא מניע בטחוני, נע בין 9 ל 30 חודשי מאסר בפועל.  </w:t>
      </w:r>
    </w:p>
    <w:p w14:paraId="20156E28" w14:textId="77777777" w:rsidR="002E4FD8" w:rsidRDefault="002E4FD8" w:rsidP="002E4FD8">
      <w:pPr>
        <w:spacing w:line="360" w:lineRule="auto"/>
        <w:jc w:val="both"/>
        <w:rPr>
          <w:rtl/>
        </w:rPr>
      </w:pPr>
    </w:p>
    <w:p w14:paraId="712FB3EB" w14:textId="77777777" w:rsidR="002E4FD8" w:rsidRPr="0094133F" w:rsidRDefault="002E4FD8" w:rsidP="002E4FD8">
      <w:pPr>
        <w:spacing w:line="360" w:lineRule="auto"/>
        <w:jc w:val="both"/>
        <w:rPr>
          <w:rtl/>
        </w:rPr>
      </w:pPr>
      <w:r w:rsidRPr="0094133F">
        <w:rPr>
          <w:rtl/>
        </w:rPr>
        <w:t>ב</w:t>
      </w:r>
      <w:hyperlink r:id="rId30" w:history="1">
        <w:r w:rsidR="001810E9" w:rsidRPr="001810E9">
          <w:rPr>
            <w:color w:val="0000FF"/>
            <w:u w:val="single"/>
            <w:rtl/>
          </w:rPr>
          <w:t>תפ"ח 68386-05-19</w:t>
        </w:r>
      </w:hyperlink>
      <w:r w:rsidRPr="0094133F">
        <w:rPr>
          <w:rtl/>
        </w:rPr>
        <w:t xml:space="preserve"> (מחוזי באר שבע) </w:t>
      </w:r>
      <w:r w:rsidRPr="0094133F">
        <w:rPr>
          <w:b/>
          <w:bCs/>
          <w:rtl/>
        </w:rPr>
        <w:t>מ"י נ' אבו שמאס</w:t>
      </w:r>
      <w:r w:rsidRPr="0094133F">
        <w:rPr>
          <w:rtl/>
        </w:rPr>
        <w:t xml:space="preserve"> (7.11.2019) – הנאשם הורשע במסגרת הסדר טיעון אשר כלל הסכמות עונשיות, בעבירות של הסתננות לפי </w:t>
      </w:r>
      <w:hyperlink r:id="rId31" w:history="1">
        <w:r w:rsidR="009D6942" w:rsidRPr="009D6942">
          <w:rPr>
            <w:rStyle w:val="Hyperlink"/>
            <w:rtl/>
          </w:rPr>
          <w:t>סעיף 2</w:t>
        </w:r>
      </w:hyperlink>
      <w:r w:rsidRPr="0094133F">
        <w:rPr>
          <w:rtl/>
        </w:rPr>
        <w:t xml:space="preserve"> לחוק למניעת הסתננות, נשיאת נשק לפי </w:t>
      </w:r>
      <w:hyperlink r:id="rId32" w:history="1">
        <w:r w:rsidR="009D6942" w:rsidRPr="009D6942">
          <w:rPr>
            <w:rStyle w:val="Hyperlink"/>
            <w:rtl/>
          </w:rPr>
          <w:t>סעיף 144(ב)</w:t>
        </w:r>
      </w:hyperlink>
      <w:r w:rsidRPr="0094133F">
        <w:rPr>
          <w:rtl/>
        </w:rPr>
        <w:t xml:space="preserve"> ל</w:t>
      </w:r>
      <w:hyperlink r:id="rId33" w:history="1">
        <w:r w:rsidR="001810E9" w:rsidRPr="001810E9">
          <w:rPr>
            <w:color w:val="0000FF"/>
            <w:u w:val="single"/>
            <w:rtl/>
          </w:rPr>
          <w:t>חוק העונשין</w:t>
        </w:r>
      </w:hyperlink>
      <w:r w:rsidRPr="0094133F">
        <w:rPr>
          <w:rtl/>
        </w:rPr>
        <w:t xml:space="preserve"> והיזק בזדון לפי </w:t>
      </w:r>
      <w:hyperlink r:id="rId34" w:history="1">
        <w:r w:rsidR="009D6942" w:rsidRPr="009D6942">
          <w:rPr>
            <w:rStyle w:val="Hyperlink"/>
            <w:rtl/>
          </w:rPr>
          <w:t>סעיף 452</w:t>
        </w:r>
      </w:hyperlink>
      <w:r w:rsidRPr="0094133F">
        <w:rPr>
          <w:rtl/>
        </w:rPr>
        <w:t xml:space="preserve"> לחוק העונשין. הנאשם, תושב עזה, החליט לחצות את גבול רצועת עזה ולהיכנס לישראל שלא כדין, הצטייד במספרים לחיתוך הגדר ורימון יד, כדי שאם ייתפס על ידי חיילי צה"ל, ייעצר ולא יוחזר לרצועת עזה. הנאשם הגיע בעודו מצוייד ברימון יד אשר היה לנאשם יסוד להניח כי היה תקול, לגדר, חתך את הגדר ונכנס לישראל שלא כדין. חיילי צה"ל שהגיעו למקום עצרו את הנאשם ונטרלו את רימון היד שהיה ברשותו. הצדדים הגיעו להסכמה עונשית על הטלת מאסר למשך 18 חודשים. בית המשפט כיבד את ההסדר ובשיקולים הובאה העובדה שנסיבות עבירת נשיאת הנשק אינן ברף גבוה לאור כך שלפי כתב האישום המתוקן, היה לנאשם יסוד להניח מלכתחילה שהרימון אינו שמיש ולא יתפוצץ. אמנם מדובר בהסדר טיעון, אולם הנסיבות שם אשר כללו החזקת רימון היו ברף נמוך מהנסיבות בענייננו הואיל ובענייננו מדובר ברימון רסס שבכוחו להמית, ושם מדובר היה ברימון שלנאשם היה יסוד להניח כי אינו שמיש ולא יתפוצץ. הנסיבות החמורות יותר בענייננו צריכות לבוא לידי ביטוי בקביעת המתחם. </w:t>
      </w:r>
    </w:p>
    <w:p w14:paraId="4E1631D6" w14:textId="77777777" w:rsidR="002E4FD8" w:rsidRDefault="002E4FD8" w:rsidP="002E4FD8">
      <w:pPr>
        <w:spacing w:line="360" w:lineRule="auto"/>
        <w:jc w:val="both"/>
        <w:rPr>
          <w:rtl/>
        </w:rPr>
      </w:pPr>
    </w:p>
    <w:p w14:paraId="4482B522" w14:textId="77777777" w:rsidR="002E4FD8" w:rsidRDefault="002E4FD8" w:rsidP="002E4FD8">
      <w:pPr>
        <w:spacing w:line="360" w:lineRule="auto"/>
        <w:jc w:val="both"/>
        <w:rPr>
          <w:rtl/>
        </w:rPr>
      </w:pPr>
      <w:r w:rsidRPr="007F060E">
        <w:rPr>
          <w:rtl/>
        </w:rPr>
        <w:t xml:space="preserve">על מתחם העונש ההולם לבטא את חומרת נסיבות ביצוע העבירה, את הצורך להרתיע הן את הנאשם והן את הרבים, ועל הענישה לבטא את הצורך בהגנה על הציבור. הצורך במיגור תופעת ההסתננות המזוינת מחייב ענישה מחמירה. </w:t>
      </w:r>
    </w:p>
    <w:p w14:paraId="656BC3BF" w14:textId="77777777" w:rsidR="002E4FD8" w:rsidRDefault="002E4FD8" w:rsidP="002E4FD8">
      <w:pPr>
        <w:spacing w:line="360" w:lineRule="auto"/>
        <w:jc w:val="both"/>
        <w:rPr>
          <w:rtl/>
        </w:rPr>
      </w:pPr>
    </w:p>
    <w:p w14:paraId="724173E4" w14:textId="77777777" w:rsidR="002E4FD8" w:rsidRDefault="002E4FD8" w:rsidP="002E4FD8">
      <w:pPr>
        <w:spacing w:line="360" w:lineRule="auto"/>
        <w:jc w:val="both"/>
        <w:rPr>
          <w:rtl/>
        </w:rPr>
      </w:pPr>
      <w:r w:rsidRPr="007F060E">
        <w:rPr>
          <w:rtl/>
        </w:rPr>
        <w:t>הפסיקה דלעיל עיקרה בנסיבות בהן ההסתננות היתה תוך החזקת סכין, או אף הסתננות בלבד</w:t>
      </w:r>
      <w:r>
        <w:rPr>
          <w:rFonts w:hint="cs"/>
          <w:rtl/>
        </w:rPr>
        <w:t>, לצד הסדר טיעון אשר פורט לעיל ביחס להסתננות עם רימון אשר הנאשם שם חשב שהוא תקול.</w:t>
      </w:r>
      <w:r w:rsidRPr="007F060E">
        <w:rPr>
          <w:rtl/>
        </w:rPr>
        <w:t xml:space="preserve"> בענייננו מדובר בהסתננות אשר בוצעה כאשר הנאשם מצוייד ברימון רסס, וזוהי נסיבה מחמירה באופן משמעותי, כאשר לצד עבירת ההסתננות עבירת נשיאת נשק.</w:t>
      </w:r>
    </w:p>
    <w:p w14:paraId="5407D52F" w14:textId="77777777" w:rsidR="002E4FD8" w:rsidRDefault="002E4FD8" w:rsidP="002E4FD8">
      <w:pPr>
        <w:spacing w:line="360" w:lineRule="auto"/>
        <w:jc w:val="both"/>
        <w:rPr>
          <w:rtl/>
        </w:rPr>
      </w:pPr>
    </w:p>
    <w:p w14:paraId="4B8A4085" w14:textId="77777777" w:rsidR="002E4FD8" w:rsidRDefault="002E4FD8" w:rsidP="002E4FD8">
      <w:pPr>
        <w:spacing w:line="360" w:lineRule="auto"/>
        <w:jc w:val="both"/>
        <w:rPr>
          <w:rtl/>
        </w:rPr>
      </w:pPr>
      <w:r w:rsidRPr="007F060E">
        <w:rPr>
          <w:rtl/>
        </w:rPr>
        <w:t xml:space="preserve">הפוטנציאל לסיכון חיי אדם בהחזקת הרימון צריך להביא להחמרה בענישה, גם אם הפוטנציאל לא מומש ולא יצא אל הפועל.  </w:t>
      </w:r>
    </w:p>
    <w:p w14:paraId="11D9FCFF" w14:textId="77777777" w:rsidR="002E4FD8" w:rsidRDefault="002E4FD8" w:rsidP="002E4FD8">
      <w:pPr>
        <w:spacing w:line="360" w:lineRule="auto"/>
        <w:jc w:val="both"/>
        <w:rPr>
          <w:rtl/>
        </w:rPr>
      </w:pPr>
    </w:p>
    <w:p w14:paraId="72CB6B78" w14:textId="77777777" w:rsidR="002E4FD8" w:rsidRDefault="002E4FD8" w:rsidP="002E4FD8">
      <w:pPr>
        <w:spacing w:line="360" w:lineRule="auto"/>
        <w:jc w:val="both"/>
        <w:rPr>
          <w:rtl/>
        </w:rPr>
      </w:pPr>
      <w:r w:rsidRPr="007F060E">
        <w:rPr>
          <w:rtl/>
        </w:rPr>
        <w:t xml:space="preserve">הנאשם מוביל רימון אשר לו פוטנציאל הרג ללא אבחנה, ועל מתחם העונש ההולם לבטא את המענה העונשי הראוי וההולם לחומרה זו של נסיבות ביצוע העבירה. </w:t>
      </w:r>
    </w:p>
    <w:p w14:paraId="00E6DA93" w14:textId="77777777" w:rsidR="002E4FD8" w:rsidRDefault="002E4FD8" w:rsidP="002E4FD8">
      <w:pPr>
        <w:spacing w:line="360" w:lineRule="auto"/>
        <w:jc w:val="both"/>
        <w:rPr>
          <w:rtl/>
        </w:rPr>
      </w:pPr>
    </w:p>
    <w:p w14:paraId="335BF62C" w14:textId="77777777" w:rsidR="002E4FD8" w:rsidRDefault="002E4FD8" w:rsidP="002E4FD8">
      <w:pPr>
        <w:spacing w:line="360" w:lineRule="auto"/>
        <w:jc w:val="both"/>
        <w:rPr>
          <w:rtl/>
        </w:rPr>
      </w:pPr>
      <w:r w:rsidRPr="007F060E">
        <w:rPr>
          <w:rtl/>
        </w:rPr>
        <w:t>ב"כ הנאשם טען ביחס לשינוי המדיניות אשר נעשה בעבר, לפיה לא היו מועמדים לדין מסתננים בעבירת הסתננות בלבד, ואף מסתננים שהיו עם סכין בלבד, היו מושבים חזרה ללא העמדה לדין. נטען כי כעת קיים שוני בהעמדה לדין ומעמידים לדין מסתננים עם רימון. ואולם, שינוי המדיניות בוצע ביחס למי שהיו מסתננים ללא נשק או כשהם נושאים סכין, ולא נטען כי שינוי מדיניות זה היה גם ביחס למי אשר מחזיקים ברשותם רימון רסס.</w:t>
      </w:r>
    </w:p>
    <w:p w14:paraId="69FFB55F" w14:textId="77777777" w:rsidR="002E4FD8" w:rsidRDefault="002E4FD8" w:rsidP="002E4FD8">
      <w:pPr>
        <w:spacing w:line="360" w:lineRule="auto"/>
        <w:jc w:val="both"/>
        <w:rPr>
          <w:rtl/>
        </w:rPr>
      </w:pPr>
    </w:p>
    <w:p w14:paraId="11DDFC7B" w14:textId="77777777" w:rsidR="002E4FD8" w:rsidRDefault="002E4FD8" w:rsidP="002E4FD8">
      <w:pPr>
        <w:spacing w:line="360" w:lineRule="auto"/>
        <w:jc w:val="both"/>
        <w:rPr>
          <w:rtl/>
        </w:rPr>
      </w:pPr>
      <w:r w:rsidRPr="007F060E">
        <w:rPr>
          <w:rtl/>
        </w:rPr>
        <w:t xml:space="preserve">לשינוי המדיניות התייחסה הפסיקה בעבר, ואולם מדובר היה כאמור בהסתננות ללא כל נשק או עם סכין בלבד. ר' </w:t>
      </w:r>
      <w:hyperlink r:id="rId35" w:history="1">
        <w:r w:rsidR="001810E9" w:rsidRPr="001810E9">
          <w:rPr>
            <w:color w:val="0000FF"/>
            <w:u w:val="single"/>
            <w:rtl/>
          </w:rPr>
          <w:t>רע"פ 6916/16</w:t>
        </w:r>
      </w:hyperlink>
      <w:r w:rsidRPr="007F060E">
        <w:rPr>
          <w:rtl/>
        </w:rPr>
        <w:t xml:space="preserve"> </w:t>
      </w:r>
      <w:r w:rsidRPr="007F060E">
        <w:rPr>
          <w:b/>
          <w:bCs/>
          <w:rtl/>
        </w:rPr>
        <w:t>כרם קרינאוי נ' מ"י</w:t>
      </w:r>
      <w:r w:rsidRPr="007F060E">
        <w:rPr>
          <w:rtl/>
        </w:rPr>
        <w:t xml:space="preserve"> (6.12.2016) בו ההסתננות היתה עם סכין, ו</w:t>
      </w:r>
      <w:hyperlink r:id="rId36" w:history="1">
        <w:r w:rsidR="001810E9" w:rsidRPr="001810E9">
          <w:rPr>
            <w:color w:val="0000FF"/>
            <w:u w:val="single"/>
            <w:rtl/>
          </w:rPr>
          <w:t>ע"פ 1207/16</w:t>
        </w:r>
      </w:hyperlink>
      <w:r w:rsidRPr="007F060E">
        <w:rPr>
          <w:rtl/>
        </w:rPr>
        <w:t xml:space="preserve"> </w:t>
      </w:r>
      <w:r w:rsidRPr="007F060E">
        <w:rPr>
          <w:b/>
          <w:bCs/>
          <w:rtl/>
        </w:rPr>
        <w:t>סלים אבו עיאש נ' מ"י</w:t>
      </w:r>
      <w:r w:rsidRPr="007F060E">
        <w:rPr>
          <w:rtl/>
        </w:rPr>
        <w:t xml:space="preserve"> (21.4.2016) בו ההסתננות היתה תוך התפרעות של עשרות מתפרעים.</w:t>
      </w:r>
    </w:p>
    <w:p w14:paraId="0C2BB954" w14:textId="77777777" w:rsidR="002E4FD8" w:rsidRDefault="002E4FD8" w:rsidP="002E4FD8">
      <w:pPr>
        <w:spacing w:line="360" w:lineRule="auto"/>
        <w:jc w:val="both"/>
        <w:rPr>
          <w:rtl/>
        </w:rPr>
      </w:pPr>
    </w:p>
    <w:p w14:paraId="0471794D" w14:textId="77777777" w:rsidR="002E4FD8" w:rsidRDefault="002E4FD8" w:rsidP="002E4FD8">
      <w:pPr>
        <w:spacing w:line="360" w:lineRule="auto"/>
        <w:jc w:val="both"/>
        <w:rPr>
          <w:rtl/>
        </w:rPr>
      </w:pPr>
      <w:r w:rsidRPr="007F060E">
        <w:rPr>
          <w:rtl/>
        </w:rPr>
        <w:t>הנאשם כעת הסתנן כשברשותו רימון רסס, ושינוי המדיניות לא התייחס לנסיבות שכאלו של הסתננות, הכוללות החזקת רימון. לפיכך אין באותו שינוי כדי להקים טענה כנגד מעצרו, או להקלה בעונש.</w:t>
      </w:r>
    </w:p>
    <w:p w14:paraId="104731C7" w14:textId="77777777" w:rsidR="002E4FD8" w:rsidRDefault="002E4FD8" w:rsidP="002E4FD8">
      <w:pPr>
        <w:spacing w:line="360" w:lineRule="auto"/>
        <w:jc w:val="both"/>
        <w:rPr>
          <w:rtl/>
        </w:rPr>
      </w:pPr>
    </w:p>
    <w:p w14:paraId="164D589E" w14:textId="77777777" w:rsidR="002E4FD8" w:rsidRDefault="002E4FD8" w:rsidP="002E4FD8">
      <w:pPr>
        <w:spacing w:line="360" w:lineRule="auto"/>
        <w:jc w:val="both"/>
        <w:rPr>
          <w:rtl/>
        </w:rPr>
      </w:pPr>
      <w:r w:rsidRPr="007F060E">
        <w:rPr>
          <w:rtl/>
        </w:rPr>
        <w:t>אשר לטענה כי לאור כך שלא עוצרים מסתננים עם סכין, הנאשם הצטייד ברימון - גם בכך אינני מוצא כי יש כדי להקל עם הנאשם. כתב האישום מציין, כעובדה מוסכמת, כי הנאשם נעצר כשעל גופו רימון רסס, וזאת על מנת להיעצר. בעובדה מוסכמת זו יש אמנם כדי לשלול כוונה  אחרת להחזקת הרימון, אולם לעצם החזקתו, ולהסתננות עימו, יש היבט של סכנה, אשר הינה חמורה משמעותית מהחזקת סכין.</w:t>
      </w:r>
    </w:p>
    <w:p w14:paraId="304D5727" w14:textId="77777777" w:rsidR="002E4FD8" w:rsidRDefault="002E4FD8" w:rsidP="002E4FD8">
      <w:pPr>
        <w:spacing w:line="360" w:lineRule="auto"/>
        <w:jc w:val="both"/>
        <w:rPr>
          <w:rtl/>
        </w:rPr>
      </w:pPr>
    </w:p>
    <w:p w14:paraId="22153E06" w14:textId="77777777" w:rsidR="002E4FD8" w:rsidRDefault="002E4FD8" w:rsidP="002E4FD8">
      <w:pPr>
        <w:spacing w:line="360" w:lineRule="auto"/>
        <w:jc w:val="both"/>
        <w:rPr>
          <w:rtl/>
        </w:rPr>
      </w:pPr>
      <w:r w:rsidRPr="007F060E">
        <w:rPr>
          <w:rtl/>
        </w:rPr>
        <w:t xml:space="preserve">בכניסתו של הנאשם לישראל כאשר הוא נושא על גופו רימון רסס, יש כדי להעצים את הסיכון שנוצר עם כניסתו. בנסיבות העניין לא נמצאה אינדיקציה לכך שהנאשם התכוון לעשות שימוש ברימון כלפי כוחות הביטחון או אזרחי המדינה, אולם במעשה זה גלומה מסוכנות אשר צריכה למענה עונשי הולם. </w:t>
      </w:r>
    </w:p>
    <w:p w14:paraId="23F93144" w14:textId="77777777" w:rsidR="002E4FD8" w:rsidRDefault="002E4FD8" w:rsidP="002E4FD8">
      <w:pPr>
        <w:spacing w:line="360" w:lineRule="auto"/>
        <w:jc w:val="both"/>
        <w:rPr>
          <w:rtl/>
        </w:rPr>
      </w:pPr>
    </w:p>
    <w:p w14:paraId="29E3C350" w14:textId="77777777" w:rsidR="002E4FD8" w:rsidRDefault="002E4FD8" w:rsidP="002E4FD8">
      <w:pPr>
        <w:spacing w:line="360" w:lineRule="auto"/>
        <w:jc w:val="both"/>
        <w:rPr>
          <w:rtl/>
        </w:rPr>
      </w:pPr>
      <w:r w:rsidRPr="007F060E">
        <w:rPr>
          <w:rtl/>
        </w:rPr>
        <w:t>המצב הביטחוני בגבול ממנו הסתנן הנאשם, עודנו מצב בטחוני נפיץ, ועל הענישה לבטא את חומרת המעשה בנסיבות אלו.</w:t>
      </w:r>
    </w:p>
    <w:p w14:paraId="21C8A417" w14:textId="77777777" w:rsidR="002E4FD8" w:rsidRDefault="002E4FD8" w:rsidP="002E4FD8">
      <w:pPr>
        <w:spacing w:line="360" w:lineRule="auto"/>
        <w:jc w:val="both"/>
        <w:rPr>
          <w:rtl/>
        </w:rPr>
      </w:pPr>
    </w:p>
    <w:p w14:paraId="294BB989" w14:textId="77777777" w:rsidR="002E4FD8" w:rsidRDefault="002E4FD8" w:rsidP="002E4FD8">
      <w:pPr>
        <w:spacing w:line="360" w:lineRule="auto"/>
        <w:jc w:val="both"/>
        <w:rPr>
          <w:rtl/>
        </w:rPr>
      </w:pPr>
      <w:r w:rsidRPr="007F060E">
        <w:rPr>
          <w:rtl/>
        </w:rPr>
        <w:t>עבירת נשיאת הנשק, הרימון, לכשעצמה, מחייבת ענישה מחמירה. הצורך בהחמרה בעבירות נשק הודגש בשורת פסקי דין. התיקון ל</w:t>
      </w:r>
      <w:hyperlink r:id="rId37" w:history="1">
        <w:r w:rsidR="001810E9" w:rsidRPr="001810E9">
          <w:rPr>
            <w:color w:val="0000FF"/>
            <w:u w:val="single"/>
            <w:rtl/>
          </w:rPr>
          <w:t>חוק העונשין</w:t>
        </w:r>
      </w:hyperlink>
      <w:r w:rsidRPr="007F060E">
        <w:rPr>
          <w:rtl/>
        </w:rPr>
        <w:t xml:space="preserve"> ביחס לענישת המינימום בעבירות נשק אמנם אינו חל בעניינו של הנאשם, אולם מגמת ההחמרה והצורך בה נקבעה זה מכבר. ר' לענין זה ע"פ </w:t>
      </w:r>
      <w:hyperlink r:id="rId38" w:history="1">
        <w:r w:rsidR="0085456D" w:rsidRPr="0085456D">
          <w:rPr>
            <w:color w:val="0000FF"/>
            <w:u w:val="single"/>
            <w:rtl/>
          </w:rPr>
          <w:t xml:space="preserve">1332/04 </w:t>
        </w:r>
      </w:hyperlink>
      <w:r w:rsidRPr="007F060E">
        <w:rPr>
          <w:rtl/>
        </w:rPr>
        <w:t xml:space="preserve"> מ"י נ' פס ואח' (19.4.2004): </w:t>
      </w:r>
      <w:r w:rsidRPr="007F060E">
        <w:rPr>
          <w:rFonts w:ascii="David" w:hAnsi="David"/>
          <w:b/>
          <w:bCs/>
          <w:rtl/>
        </w:rPr>
        <w:t xml:space="preserve">"גם אם נכון הדבר כי עד כה רמת הענישה בעבירות של החזקת נשק אינה גבוהה, הרי שהמציאות השוררת בארץ – זמינותו של נשק חם ורב עוצמה שיש עמו פוטנציאל להסלמת האלימות העבריינית והאידאולוגית כאחד – מחייבת מתן ביטוי עונשי הולם והחמרה ברמת הענישה", </w:t>
      </w:r>
      <w:r w:rsidRPr="007F060E">
        <w:rPr>
          <w:rFonts w:ascii="David" w:hAnsi="David"/>
          <w:rtl/>
        </w:rPr>
        <w:t xml:space="preserve">וכן </w:t>
      </w:r>
      <w:hyperlink r:id="rId39" w:history="1">
        <w:r w:rsidR="001810E9" w:rsidRPr="001810E9">
          <w:rPr>
            <w:rFonts w:ascii="David" w:hAnsi="David"/>
            <w:color w:val="0000FF"/>
            <w:u w:val="single"/>
            <w:rtl/>
          </w:rPr>
          <w:t>ע"פ 5336/16</w:t>
        </w:r>
      </w:hyperlink>
      <w:r w:rsidRPr="007F060E">
        <w:rPr>
          <w:rFonts w:ascii="David" w:hAnsi="David"/>
          <w:rtl/>
        </w:rPr>
        <w:t xml:space="preserve"> </w:t>
      </w:r>
      <w:r w:rsidRPr="007F060E">
        <w:rPr>
          <w:rFonts w:ascii="David" w:hAnsi="David"/>
          <w:b/>
          <w:bCs/>
          <w:rtl/>
        </w:rPr>
        <w:t xml:space="preserve">אברהם צדוק נ' מ"י </w:t>
      </w:r>
      <w:r w:rsidRPr="007F060E">
        <w:rPr>
          <w:rFonts w:ascii="David" w:hAnsi="David"/>
          <w:rtl/>
        </w:rPr>
        <w:t xml:space="preserve">(17.11.2013) – בו נפסק כי: </w:t>
      </w:r>
      <w:r w:rsidRPr="007F060E">
        <w:rPr>
          <w:rFonts w:ascii="David" w:hAnsi="David"/>
          <w:b/>
          <w:bCs/>
          <w:rtl/>
        </w:rPr>
        <w:t>"</w:t>
      </w:r>
      <w:r w:rsidRPr="007F060E">
        <w:rPr>
          <w:b/>
          <w:bCs/>
          <w:sz w:val="20"/>
          <w:rtl/>
        </w:rPr>
        <w:t xml:space="preserve">מסוכנותם הרבה של חומרי נפץ ומטעני חבלה, ידועה לכל בר-דעת. סכנת נפשות, פשוטו כמשמעו. שומה להרתם על מנת למגר תופעה של נשיאה והובלה של נשק. בחיי אדם עסקינן, ואין מקום לפשרות. ...". </w:t>
      </w:r>
    </w:p>
    <w:p w14:paraId="59197291" w14:textId="77777777" w:rsidR="002E4FD8" w:rsidRDefault="002E4FD8" w:rsidP="002E4FD8">
      <w:pPr>
        <w:spacing w:line="360" w:lineRule="auto"/>
        <w:jc w:val="both"/>
        <w:rPr>
          <w:rtl/>
        </w:rPr>
      </w:pPr>
    </w:p>
    <w:p w14:paraId="404D0E8D" w14:textId="77777777" w:rsidR="002E4FD8" w:rsidRDefault="002E4FD8" w:rsidP="002E4FD8">
      <w:pPr>
        <w:spacing w:line="360" w:lineRule="auto"/>
        <w:jc w:val="both"/>
        <w:rPr>
          <w:b/>
          <w:bCs/>
          <w:u w:val="single"/>
          <w:rtl/>
          <w:lang w:eastAsia="he-IL"/>
        </w:rPr>
      </w:pPr>
      <w:r w:rsidRPr="007F060E">
        <w:rPr>
          <w:rtl/>
        </w:rPr>
        <w:t>מכל האמור, אני מוצא את מתחם העונש ההולם, בגין העבירות אשר ביצע הנאשם, בנסיבות ביצוען, ככולל מאסר בפועל הנע בין  24 ל – 48 חודשי מאסר.</w:t>
      </w:r>
    </w:p>
    <w:p w14:paraId="673403F2" w14:textId="77777777" w:rsidR="002E4FD8" w:rsidRDefault="002E4FD8" w:rsidP="002E4FD8">
      <w:pPr>
        <w:spacing w:line="360" w:lineRule="auto"/>
        <w:jc w:val="both"/>
        <w:rPr>
          <w:b/>
          <w:bCs/>
          <w:u w:val="single"/>
          <w:rtl/>
          <w:lang w:eastAsia="he-IL"/>
        </w:rPr>
      </w:pPr>
    </w:p>
    <w:p w14:paraId="51885B1E" w14:textId="77777777" w:rsidR="002E4FD8" w:rsidRDefault="002E4FD8" w:rsidP="002E4FD8">
      <w:pPr>
        <w:spacing w:line="360" w:lineRule="auto"/>
        <w:jc w:val="both"/>
        <w:rPr>
          <w:rtl/>
          <w:lang w:eastAsia="he-IL"/>
        </w:rPr>
      </w:pPr>
      <w:r w:rsidRPr="007F060E">
        <w:rPr>
          <w:b/>
          <w:bCs/>
          <w:u w:val="single"/>
          <w:rtl/>
          <w:lang w:eastAsia="he-IL"/>
        </w:rPr>
        <w:t>הענישה</w:t>
      </w:r>
    </w:p>
    <w:p w14:paraId="771C5F91" w14:textId="77777777" w:rsidR="002E4FD8" w:rsidRDefault="002E4FD8" w:rsidP="002E4FD8">
      <w:pPr>
        <w:spacing w:line="360" w:lineRule="auto"/>
        <w:jc w:val="both"/>
        <w:rPr>
          <w:rtl/>
          <w:lang w:eastAsia="he-IL"/>
        </w:rPr>
      </w:pPr>
    </w:p>
    <w:p w14:paraId="168B3D6E" w14:textId="77777777" w:rsidR="002E4FD8" w:rsidRDefault="002E4FD8" w:rsidP="002E4FD8">
      <w:pPr>
        <w:spacing w:line="360" w:lineRule="auto"/>
        <w:jc w:val="both"/>
        <w:rPr>
          <w:rtl/>
        </w:rPr>
      </w:pPr>
      <w:r w:rsidRPr="007F060E">
        <w:rPr>
          <w:rtl/>
          <w:lang w:eastAsia="he-IL"/>
        </w:rPr>
        <w:t>5</w:t>
      </w:r>
      <w:r>
        <w:rPr>
          <w:rtl/>
        </w:rPr>
        <w:t>.</w:t>
      </w:r>
      <w:r>
        <w:rPr>
          <w:rtl/>
        </w:rPr>
        <w:tab/>
      </w:r>
      <w:r w:rsidRPr="007F060E">
        <w:rPr>
          <w:rtl/>
        </w:rPr>
        <w:t xml:space="preserve">הנאשם יליד 2000, נעדר עבר פלילי. </w:t>
      </w:r>
    </w:p>
    <w:p w14:paraId="76C07342" w14:textId="77777777" w:rsidR="002E4FD8" w:rsidRDefault="002E4FD8" w:rsidP="002E4FD8">
      <w:pPr>
        <w:spacing w:line="360" w:lineRule="auto"/>
        <w:jc w:val="both"/>
        <w:rPr>
          <w:rtl/>
        </w:rPr>
      </w:pPr>
    </w:p>
    <w:p w14:paraId="5012A40F" w14:textId="77777777" w:rsidR="002E4FD8" w:rsidRDefault="002E4FD8" w:rsidP="002E4FD8">
      <w:pPr>
        <w:spacing w:line="360" w:lineRule="auto"/>
        <w:jc w:val="both"/>
        <w:rPr>
          <w:rtl/>
        </w:rPr>
      </w:pPr>
      <w:r w:rsidRPr="007F060E">
        <w:rPr>
          <w:rtl/>
        </w:rPr>
        <w:t>במסגרת השיקולים לקולא יש להביא את גילו הצעיר ואת קבלת האחריות.</w:t>
      </w:r>
    </w:p>
    <w:p w14:paraId="762CC1AA" w14:textId="77777777" w:rsidR="002E4FD8" w:rsidRDefault="002E4FD8" w:rsidP="002E4FD8">
      <w:pPr>
        <w:spacing w:line="360" w:lineRule="auto"/>
        <w:jc w:val="both"/>
        <w:rPr>
          <w:rtl/>
        </w:rPr>
      </w:pPr>
    </w:p>
    <w:p w14:paraId="2E0E9E61" w14:textId="77777777" w:rsidR="002E4FD8" w:rsidRDefault="002E4FD8" w:rsidP="002E4FD8">
      <w:pPr>
        <w:spacing w:line="360" w:lineRule="auto"/>
        <w:jc w:val="both"/>
        <w:rPr>
          <w:rtl/>
        </w:rPr>
      </w:pPr>
      <w:r w:rsidRPr="007F060E">
        <w:rPr>
          <w:rtl/>
        </w:rPr>
        <w:t xml:space="preserve">מנגד, כאמור בע"פ 5059/09 </w:t>
      </w:r>
      <w:r w:rsidRPr="007F060E">
        <w:rPr>
          <w:b/>
          <w:bCs/>
          <w:rtl/>
        </w:rPr>
        <w:t xml:space="preserve">מ"י נ' מוחמד שרתאחה </w:t>
      </w:r>
      <w:r w:rsidRPr="007F060E">
        <w:rPr>
          <w:rtl/>
        </w:rPr>
        <w:t>(15.10.2009) דלעיל, יש להטיל ענישה שיהיה בה כדי להרתיע את הרבים ולהפוך את המעשים ללא כדאיים.</w:t>
      </w:r>
    </w:p>
    <w:p w14:paraId="01DEC064" w14:textId="77777777" w:rsidR="002E4FD8" w:rsidRDefault="002E4FD8" w:rsidP="002E4FD8">
      <w:pPr>
        <w:spacing w:line="360" w:lineRule="auto"/>
        <w:jc w:val="both"/>
        <w:rPr>
          <w:rtl/>
        </w:rPr>
      </w:pPr>
    </w:p>
    <w:p w14:paraId="598764F0" w14:textId="77777777" w:rsidR="002E4FD8" w:rsidRDefault="002E4FD8" w:rsidP="002E4FD8">
      <w:pPr>
        <w:spacing w:line="360" w:lineRule="auto"/>
        <w:jc w:val="both"/>
        <w:rPr>
          <w:rtl/>
        </w:rPr>
      </w:pPr>
      <w:r w:rsidRPr="007F060E">
        <w:rPr>
          <w:rtl/>
        </w:rPr>
        <w:t>משיקולי הרתעת הרבים, ומשיקולי הרתעת היחיד, היה מקום להטיל ענישה העולה על הרף התחתון של המתחם.</w:t>
      </w:r>
    </w:p>
    <w:p w14:paraId="3A383643" w14:textId="77777777" w:rsidR="002E4FD8" w:rsidRDefault="002E4FD8" w:rsidP="002E4FD8">
      <w:pPr>
        <w:spacing w:line="360" w:lineRule="auto"/>
        <w:jc w:val="both"/>
        <w:rPr>
          <w:rtl/>
        </w:rPr>
      </w:pPr>
    </w:p>
    <w:p w14:paraId="1986887A" w14:textId="77777777" w:rsidR="002E4FD8" w:rsidRDefault="002E4FD8" w:rsidP="002E4FD8">
      <w:pPr>
        <w:spacing w:line="360" w:lineRule="auto"/>
        <w:jc w:val="both"/>
        <w:rPr>
          <w:rtl/>
        </w:rPr>
      </w:pPr>
      <w:r w:rsidRPr="007F060E">
        <w:rPr>
          <w:rtl/>
        </w:rPr>
        <w:t xml:space="preserve">ואולם, ב"כ המאשימה עותרים להטלת עונש ברף התחתון של המתחם, ובנסיבות הענין, לאור היעדר עבר פלילי וגילו הצעיר של הנאשם, אינני מוצא מקום לענישה המחמירה מעל הרף התחתון. </w:t>
      </w:r>
    </w:p>
    <w:p w14:paraId="592E6585" w14:textId="77777777" w:rsidR="002E4FD8" w:rsidRDefault="002E4FD8" w:rsidP="002E4FD8">
      <w:pPr>
        <w:spacing w:line="360" w:lineRule="auto"/>
        <w:jc w:val="both"/>
        <w:rPr>
          <w:rtl/>
        </w:rPr>
      </w:pPr>
    </w:p>
    <w:p w14:paraId="63F977CE" w14:textId="77777777" w:rsidR="002E4FD8" w:rsidRPr="007F060E" w:rsidRDefault="002E4FD8" w:rsidP="002E4FD8">
      <w:pPr>
        <w:spacing w:line="360" w:lineRule="auto"/>
        <w:jc w:val="both"/>
        <w:rPr>
          <w:rtl/>
        </w:rPr>
      </w:pPr>
      <w:r w:rsidRPr="007F060E">
        <w:rPr>
          <w:rtl/>
        </w:rPr>
        <w:t>אשר לעתירת המאשימה להטלת קנס, אכן יש להטיל רכיב כלכלי, משיקולי הרתעה, ואולם לאור נסיבותיו של הנאשם, על הקנס להיות מתון.</w:t>
      </w:r>
    </w:p>
    <w:p w14:paraId="74760787" w14:textId="77777777" w:rsidR="002E4FD8" w:rsidRPr="007F060E" w:rsidRDefault="002E4FD8" w:rsidP="002E4FD8">
      <w:pPr>
        <w:spacing w:line="360" w:lineRule="auto"/>
        <w:jc w:val="both"/>
        <w:rPr>
          <w:rtl/>
          <w:lang w:eastAsia="he-IL"/>
        </w:rPr>
      </w:pPr>
    </w:p>
    <w:p w14:paraId="6F0BC33F" w14:textId="77777777" w:rsidR="002E4FD8" w:rsidRPr="007F060E" w:rsidRDefault="002E4FD8" w:rsidP="002E4FD8">
      <w:pPr>
        <w:spacing w:line="360" w:lineRule="auto"/>
        <w:jc w:val="both"/>
        <w:rPr>
          <w:b/>
          <w:bCs/>
          <w:rtl/>
          <w:lang w:eastAsia="he-IL"/>
        </w:rPr>
      </w:pPr>
      <w:r w:rsidRPr="007F060E">
        <w:rPr>
          <w:rtl/>
          <w:lang w:eastAsia="he-IL"/>
        </w:rPr>
        <w:t>6.</w:t>
      </w:r>
      <w:r w:rsidRPr="007F060E">
        <w:rPr>
          <w:rtl/>
          <w:lang w:eastAsia="he-IL"/>
        </w:rPr>
        <w:tab/>
      </w:r>
      <w:r w:rsidRPr="007F060E">
        <w:rPr>
          <w:b/>
          <w:bCs/>
          <w:rtl/>
          <w:lang w:eastAsia="he-IL"/>
        </w:rPr>
        <w:t xml:space="preserve">אשר על כן אני גוזר על הנאשם את העונשים הבאים: </w:t>
      </w:r>
    </w:p>
    <w:p w14:paraId="314E35CF" w14:textId="77777777" w:rsidR="002E4FD8" w:rsidRPr="007F060E" w:rsidRDefault="002E4FD8" w:rsidP="002E4FD8">
      <w:pPr>
        <w:spacing w:line="360" w:lineRule="auto"/>
        <w:jc w:val="both"/>
        <w:rPr>
          <w:rtl/>
          <w:lang w:eastAsia="he-IL"/>
        </w:rPr>
      </w:pPr>
      <w:r w:rsidRPr="007F060E">
        <w:rPr>
          <w:rtl/>
          <w:lang w:eastAsia="he-IL"/>
        </w:rPr>
        <w:t xml:space="preserve"> </w:t>
      </w:r>
    </w:p>
    <w:p w14:paraId="20730BA9" w14:textId="77777777" w:rsidR="002E4FD8" w:rsidRPr="007F060E" w:rsidRDefault="002E4FD8" w:rsidP="002E4FD8">
      <w:pPr>
        <w:spacing w:line="360" w:lineRule="auto"/>
        <w:jc w:val="both"/>
        <w:rPr>
          <w:rtl/>
          <w:lang w:eastAsia="he-IL"/>
        </w:rPr>
      </w:pPr>
      <w:r w:rsidRPr="007F060E">
        <w:rPr>
          <w:b/>
          <w:bCs/>
          <w:u w:val="single"/>
          <w:rtl/>
          <w:lang w:eastAsia="he-IL"/>
        </w:rPr>
        <w:t>מאסר</w:t>
      </w:r>
      <w:r w:rsidRPr="007F060E">
        <w:rPr>
          <w:rtl/>
          <w:lang w:eastAsia="he-IL"/>
        </w:rPr>
        <w:t xml:space="preserve"> - מאסר בפועל לתקופה של 24 חודשים. מתקופת מאסרו ינוכו ימי מעצרו מיום 27.11.21.</w:t>
      </w:r>
    </w:p>
    <w:p w14:paraId="7893147A" w14:textId="77777777" w:rsidR="002E4FD8" w:rsidRPr="007F060E" w:rsidRDefault="002E4FD8" w:rsidP="002E4FD8">
      <w:pPr>
        <w:spacing w:line="360" w:lineRule="auto"/>
        <w:jc w:val="both"/>
        <w:rPr>
          <w:rtl/>
          <w:lang w:eastAsia="he-IL"/>
        </w:rPr>
      </w:pPr>
    </w:p>
    <w:p w14:paraId="3D859477" w14:textId="77777777" w:rsidR="002E4FD8" w:rsidRPr="007F060E" w:rsidRDefault="002E4FD8" w:rsidP="002E4FD8">
      <w:pPr>
        <w:spacing w:line="360" w:lineRule="auto"/>
        <w:jc w:val="both"/>
        <w:rPr>
          <w:rtl/>
          <w:lang w:eastAsia="he-IL"/>
        </w:rPr>
      </w:pPr>
      <w:r w:rsidRPr="007F060E">
        <w:rPr>
          <w:b/>
          <w:bCs/>
          <w:u w:val="single"/>
          <w:rtl/>
          <w:lang w:eastAsia="he-IL"/>
        </w:rPr>
        <w:t>מאסר על תנאי</w:t>
      </w:r>
      <w:r w:rsidRPr="007F060E">
        <w:rPr>
          <w:rtl/>
          <w:lang w:eastAsia="he-IL"/>
        </w:rPr>
        <w:t xml:space="preserve"> - מאסר על תנאי לתקופה של  9 חודשים. הנאשם יישא בעונש זה אם בתקופה של שלוש שנים מיום שחרורו יעבור על עבירה לפי ה</w:t>
      </w:r>
      <w:hyperlink r:id="rId40" w:history="1">
        <w:r w:rsidR="001810E9" w:rsidRPr="001810E9">
          <w:rPr>
            <w:color w:val="0000FF"/>
            <w:u w:val="single"/>
            <w:rtl/>
            <w:lang w:eastAsia="he-IL"/>
          </w:rPr>
          <w:t>חוק למניעת הסתננות (עבירות ושיפוט)</w:t>
        </w:r>
      </w:hyperlink>
      <w:r w:rsidRPr="007F060E">
        <w:rPr>
          <w:rtl/>
          <w:lang w:eastAsia="he-IL"/>
        </w:rPr>
        <w:t xml:space="preserve">, או כל עבירת נשק מסוג פשע. </w:t>
      </w:r>
    </w:p>
    <w:p w14:paraId="489D74B8" w14:textId="77777777" w:rsidR="002E4FD8" w:rsidRPr="007F060E" w:rsidRDefault="002E4FD8" w:rsidP="002E4FD8">
      <w:pPr>
        <w:spacing w:line="360" w:lineRule="auto"/>
        <w:jc w:val="both"/>
        <w:rPr>
          <w:rtl/>
          <w:lang w:eastAsia="he-IL"/>
        </w:rPr>
      </w:pPr>
    </w:p>
    <w:p w14:paraId="5B93885D" w14:textId="77777777" w:rsidR="002E4FD8" w:rsidRPr="007F060E" w:rsidRDefault="002E4FD8" w:rsidP="002E4FD8">
      <w:pPr>
        <w:spacing w:line="360" w:lineRule="auto"/>
        <w:jc w:val="both"/>
        <w:rPr>
          <w:rtl/>
          <w:lang w:eastAsia="he-IL"/>
        </w:rPr>
      </w:pPr>
      <w:r w:rsidRPr="007F060E">
        <w:rPr>
          <w:b/>
          <w:bCs/>
          <w:u w:val="single"/>
          <w:rtl/>
          <w:lang w:eastAsia="he-IL"/>
        </w:rPr>
        <w:t>קנס</w:t>
      </w:r>
      <w:r w:rsidRPr="007F060E">
        <w:rPr>
          <w:rtl/>
          <w:lang w:eastAsia="he-IL"/>
        </w:rPr>
        <w:t xml:space="preserve"> - קנס בסך 2,000 ₪ או מאסר למשך 10 ימים תחתיו; הקנס ישולם ב- 10 תשלומים חודשיים שווים ורצופים. התשלום הראשון ישולם בתוך 60 יום מהיום ויתר התשלומים מידי 30 יום לאחר מכן.  </w:t>
      </w:r>
    </w:p>
    <w:p w14:paraId="45E3499A" w14:textId="77777777" w:rsidR="002E4FD8" w:rsidRPr="001810E9" w:rsidRDefault="001810E9" w:rsidP="002E4FD8">
      <w:pPr>
        <w:spacing w:line="360" w:lineRule="auto"/>
        <w:jc w:val="both"/>
        <w:rPr>
          <w:b/>
          <w:bCs/>
          <w:color w:val="FFFFFF"/>
          <w:sz w:val="2"/>
          <w:szCs w:val="2"/>
          <w:rtl/>
          <w:lang w:eastAsia="he-IL"/>
        </w:rPr>
      </w:pPr>
      <w:r w:rsidRPr="001810E9">
        <w:rPr>
          <w:b/>
          <w:bCs/>
          <w:color w:val="FFFFFF"/>
          <w:sz w:val="2"/>
          <w:szCs w:val="2"/>
          <w:rtl/>
          <w:lang w:eastAsia="he-IL"/>
        </w:rPr>
        <w:t>5129371</w:t>
      </w:r>
    </w:p>
    <w:p w14:paraId="3B8B6F6A" w14:textId="77777777" w:rsidR="002E4FD8" w:rsidRPr="007F060E" w:rsidRDefault="001810E9" w:rsidP="002E4FD8">
      <w:pPr>
        <w:spacing w:line="360" w:lineRule="auto"/>
        <w:jc w:val="both"/>
        <w:rPr>
          <w:b/>
          <w:bCs/>
          <w:rtl/>
          <w:lang w:eastAsia="he-IL"/>
        </w:rPr>
      </w:pPr>
      <w:r w:rsidRPr="001810E9">
        <w:rPr>
          <w:b/>
          <w:bCs/>
          <w:color w:val="FFFFFF"/>
          <w:sz w:val="2"/>
          <w:szCs w:val="2"/>
          <w:rtl/>
          <w:lang w:eastAsia="he-IL"/>
        </w:rPr>
        <w:t>54678313</w:t>
      </w:r>
      <w:r w:rsidR="002E4FD8" w:rsidRPr="007F060E">
        <w:rPr>
          <w:b/>
          <w:bCs/>
          <w:rtl/>
          <w:lang w:eastAsia="he-IL"/>
        </w:rPr>
        <w:t xml:space="preserve">זכות ערעור בתוך 45 יום מהיום. </w:t>
      </w:r>
    </w:p>
    <w:p w14:paraId="6F3E0082" w14:textId="77777777" w:rsidR="002E4FD8" w:rsidRPr="000F2247" w:rsidRDefault="002E4FD8" w:rsidP="002E4FD8">
      <w:pPr>
        <w:rPr>
          <w:rFonts w:ascii="Arial" w:hAnsi="Arial"/>
          <w:b/>
          <w:bCs/>
          <w:sz w:val="26"/>
          <w:szCs w:val="26"/>
          <w:rtl/>
        </w:rPr>
      </w:pPr>
    </w:p>
    <w:p w14:paraId="38A6749C" w14:textId="77777777" w:rsidR="002E4FD8" w:rsidRPr="000F2247" w:rsidRDefault="001810E9" w:rsidP="002E4FD8">
      <w:pPr>
        <w:rPr>
          <w:rFonts w:ascii="Arial" w:hAnsi="Arial"/>
          <w:b/>
          <w:bCs/>
          <w:sz w:val="26"/>
          <w:szCs w:val="26"/>
          <w:rtl/>
        </w:rPr>
      </w:pPr>
      <w:bookmarkStart w:id="8" w:name="Nitan"/>
      <w:r>
        <w:rPr>
          <w:rFonts w:ascii="Arial" w:hAnsi="Arial"/>
          <w:b/>
          <w:bCs/>
          <w:sz w:val="26"/>
          <w:szCs w:val="26"/>
          <w:rtl/>
        </w:rPr>
        <w:t xml:space="preserve">ניתן היום,  י' אדר ב' תשפ"ב, 13 מרץ 2022, במעמד הצדדים. </w:t>
      </w:r>
      <w:bookmarkEnd w:id="8"/>
    </w:p>
    <w:p w14:paraId="64D46866" w14:textId="77777777" w:rsidR="002E4FD8" w:rsidRPr="000F2247" w:rsidRDefault="002E4FD8" w:rsidP="001810E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3B60831" w14:textId="77777777" w:rsidR="002E4FD8" w:rsidRPr="009D6942" w:rsidRDefault="009D6942" w:rsidP="002E4FD8">
      <w:pPr>
        <w:jc w:val="center"/>
        <w:rPr>
          <w:rFonts w:ascii="Arial" w:hAnsi="Arial"/>
          <w:b/>
          <w:bCs/>
          <w:color w:val="FFFFFF"/>
          <w:sz w:val="2"/>
          <w:szCs w:val="2"/>
          <w:rtl/>
        </w:rPr>
      </w:pPr>
      <w:r w:rsidRPr="009D6942">
        <w:rPr>
          <w:rFonts w:ascii="Arial" w:hAnsi="Arial"/>
          <w:b/>
          <w:bCs/>
          <w:color w:val="FFFFFF"/>
          <w:sz w:val="2"/>
          <w:szCs w:val="2"/>
          <w:rtl/>
        </w:rPr>
        <w:t>5129371</w:t>
      </w:r>
    </w:p>
    <w:p w14:paraId="3965124C" w14:textId="77777777" w:rsidR="00983FF5" w:rsidRPr="009D6942" w:rsidRDefault="009D6942" w:rsidP="001810E9">
      <w:pPr>
        <w:keepNext/>
        <w:rPr>
          <w:rFonts w:ascii="David" w:hAnsi="David"/>
          <w:color w:val="FFFFFF"/>
          <w:sz w:val="2"/>
          <w:szCs w:val="2"/>
          <w:rtl/>
        </w:rPr>
      </w:pPr>
      <w:r w:rsidRPr="009D6942">
        <w:rPr>
          <w:rFonts w:ascii="David" w:hAnsi="David"/>
          <w:color w:val="FFFFFF"/>
          <w:sz w:val="2"/>
          <w:szCs w:val="2"/>
          <w:rtl/>
        </w:rPr>
        <w:t>54678313</w:t>
      </w:r>
    </w:p>
    <w:p w14:paraId="757BC6EC" w14:textId="77777777" w:rsidR="001810E9" w:rsidRDefault="001810E9" w:rsidP="001810E9">
      <w:pPr>
        <w:rPr>
          <w:rtl/>
        </w:rPr>
      </w:pPr>
    </w:p>
    <w:p w14:paraId="288B395B" w14:textId="77777777" w:rsidR="001810E9" w:rsidRDefault="001810E9" w:rsidP="001810E9">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00242803" w14:textId="77777777" w:rsidR="009D6942" w:rsidRPr="009D6942" w:rsidRDefault="009D6942" w:rsidP="009D6942">
      <w:pPr>
        <w:keepNext/>
        <w:rPr>
          <w:rFonts w:ascii="David" w:hAnsi="David"/>
          <w:color w:val="000000"/>
          <w:sz w:val="22"/>
          <w:szCs w:val="22"/>
          <w:rtl/>
        </w:rPr>
      </w:pPr>
    </w:p>
    <w:p w14:paraId="061FA74D" w14:textId="77777777" w:rsidR="009D6942" w:rsidRPr="009D6942" w:rsidRDefault="009D6942" w:rsidP="009D6942">
      <w:pPr>
        <w:keepNext/>
        <w:rPr>
          <w:rFonts w:ascii="David" w:hAnsi="David"/>
          <w:color w:val="000000"/>
          <w:sz w:val="22"/>
          <w:szCs w:val="22"/>
          <w:rtl/>
        </w:rPr>
      </w:pPr>
      <w:r w:rsidRPr="009D6942">
        <w:rPr>
          <w:rFonts w:ascii="David" w:hAnsi="David"/>
          <w:color w:val="000000"/>
          <w:sz w:val="22"/>
          <w:szCs w:val="22"/>
          <w:rtl/>
        </w:rPr>
        <w:t>יואל עדן 54678313-/</w:t>
      </w:r>
    </w:p>
    <w:p w14:paraId="0761EEE6" w14:textId="77777777" w:rsidR="001810E9" w:rsidRPr="001810E9" w:rsidRDefault="009D6942" w:rsidP="009D6942">
      <w:pPr>
        <w:rPr>
          <w:color w:val="0000FF"/>
          <w:u w:val="single"/>
        </w:rPr>
      </w:pPr>
      <w:r w:rsidRPr="009D6942">
        <w:rPr>
          <w:color w:val="000000"/>
          <w:u w:val="single"/>
          <w:rtl/>
        </w:rPr>
        <w:t>נוסח מסמך זה כפוף לשינויי ניסוח ועריכה</w:t>
      </w:r>
    </w:p>
    <w:sectPr w:rsidR="001810E9" w:rsidRPr="001810E9" w:rsidSect="009D6942">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0684B1" w14:textId="77777777" w:rsidR="00304B21" w:rsidRDefault="00304B21" w:rsidP="00641EE4">
      <w:r>
        <w:separator/>
      </w:r>
    </w:p>
  </w:endnote>
  <w:endnote w:type="continuationSeparator" w:id="0">
    <w:p w14:paraId="64B982B6" w14:textId="77777777" w:rsidR="00304B21" w:rsidRDefault="00304B21" w:rsidP="00641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04AE7" w14:textId="77777777" w:rsidR="009D6942" w:rsidRDefault="009D6942" w:rsidP="009D694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2764FF2" w14:textId="77777777" w:rsidR="00D34445" w:rsidRPr="009D6942" w:rsidRDefault="009D6942" w:rsidP="009D6942">
    <w:pPr>
      <w:pStyle w:val="a5"/>
      <w:pBdr>
        <w:top w:val="single" w:sz="4" w:space="1" w:color="auto"/>
        <w:between w:val="single" w:sz="4" w:space="0" w:color="auto"/>
      </w:pBdr>
      <w:spacing w:after="60"/>
      <w:jc w:val="center"/>
      <w:rPr>
        <w:rFonts w:ascii="FrankRuehl" w:hAnsi="FrankRuehl" w:cs="FrankRuehl"/>
        <w:color w:val="000000"/>
      </w:rPr>
    </w:pPr>
    <w:r w:rsidRPr="009D694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B1084" w14:textId="77777777" w:rsidR="009D6942" w:rsidRDefault="009D6942" w:rsidP="009D694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639B7">
      <w:rPr>
        <w:rFonts w:ascii="FrankRuehl" w:hAnsi="FrankRuehl" w:cs="FrankRuehl"/>
        <w:noProof/>
        <w:rtl/>
      </w:rPr>
      <w:t>1</w:t>
    </w:r>
    <w:r>
      <w:rPr>
        <w:rFonts w:ascii="FrankRuehl" w:hAnsi="FrankRuehl" w:cs="FrankRuehl"/>
        <w:rtl/>
      </w:rPr>
      <w:fldChar w:fldCharType="end"/>
    </w:r>
  </w:p>
  <w:p w14:paraId="3B7598D5" w14:textId="77777777" w:rsidR="00D34445" w:rsidRPr="009D6942" w:rsidRDefault="009D6942" w:rsidP="009D6942">
    <w:pPr>
      <w:pStyle w:val="a5"/>
      <w:pBdr>
        <w:top w:val="single" w:sz="4" w:space="1" w:color="auto"/>
        <w:between w:val="single" w:sz="4" w:space="0" w:color="auto"/>
      </w:pBdr>
      <w:spacing w:after="60"/>
      <w:jc w:val="center"/>
      <w:rPr>
        <w:rFonts w:ascii="FrankRuehl" w:hAnsi="FrankRuehl" w:cs="FrankRuehl"/>
        <w:color w:val="000000"/>
      </w:rPr>
    </w:pPr>
    <w:r w:rsidRPr="009D6942">
      <w:rPr>
        <w:rFonts w:ascii="FrankRuehl" w:hAnsi="FrankRuehl" w:cs="FrankRuehl"/>
        <w:color w:val="000000"/>
      </w:rPr>
      <w:pict w14:anchorId="44FF4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ECE5F4" w14:textId="77777777" w:rsidR="00304B21" w:rsidRDefault="00304B21" w:rsidP="00641EE4">
      <w:r>
        <w:separator/>
      </w:r>
    </w:p>
  </w:footnote>
  <w:footnote w:type="continuationSeparator" w:id="0">
    <w:p w14:paraId="0F69B4A9" w14:textId="77777777" w:rsidR="00304B21" w:rsidRDefault="00304B21" w:rsidP="00641E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B31A5" w14:textId="77777777" w:rsidR="001810E9" w:rsidRPr="009D6942" w:rsidRDefault="009D6942" w:rsidP="009D694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34630-12-21</w:t>
    </w:r>
    <w:r>
      <w:rPr>
        <w:rFonts w:ascii="David" w:hAnsi="David"/>
        <w:color w:val="000000"/>
        <w:sz w:val="22"/>
        <w:szCs w:val="22"/>
        <w:rtl/>
      </w:rPr>
      <w:tab/>
      <w:t xml:space="preserve"> מדינת ישראל נ' אמיר דבארי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68864" w14:textId="77777777" w:rsidR="001810E9" w:rsidRPr="009D6942" w:rsidRDefault="009D6942" w:rsidP="009D694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34630-12-21</w:t>
    </w:r>
    <w:r>
      <w:rPr>
        <w:rFonts w:ascii="David" w:hAnsi="David"/>
        <w:color w:val="000000"/>
        <w:sz w:val="22"/>
        <w:szCs w:val="22"/>
        <w:rtl/>
      </w:rPr>
      <w:tab/>
      <w:t xml:space="preserve"> מדינת ישראל נ' אמיר דבארי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E4FD8"/>
    <w:rsid w:val="000639B7"/>
    <w:rsid w:val="001810E9"/>
    <w:rsid w:val="002E4FD8"/>
    <w:rsid w:val="00304B21"/>
    <w:rsid w:val="00641EE4"/>
    <w:rsid w:val="0085456D"/>
    <w:rsid w:val="00893B7A"/>
    <w:rsid w:val="00920B54"/>
    <w:rsid w:val="00947A43"/>
    <w:rsid w:val="00983FF5"/>
    <w:rsid w:val="009A4E4C"/>
    <w:rsid w:val="009D6942"/>
    <w:rsid w:val="00BA7A2C"/>
    <w:rsid w:val="00D34445"/>
    <w:rsid w:val="00DD34AB"/>
    <w:rsid w:val="00F12D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BF8C31"/>
  <w15:chartTrackingRefBased/>
  <w15:docId w15:val="{483D7269-DE44-44CD-B427-B665000B4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E4FD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E4FD8"/>
    <w:pPr>
      <w:tabs>
        <w:tab w:val="center" w:pos="4153"/>
        <w:tab w:val="right" w:pos="8306"/>
      </w:tabs>
    </w:pPr>
  </w:style>
  <w:style w:type="character" w:customStyle="1" w:styleId="a4">
    <w:name w:val="כותרת עליונה תו"/>
    <w:link w:val="a3"/>
    <w:rsid w:val="002E4FD8"/>
    <w:rPr>
      <w:rFonts w:ascii="Times New Roman" w:eastAsia="Times New Roman" w:hAnsi="Times New Roman" w:cs="David"/>
      <w:sz w:val="24"/>
      <w:szCs w:val="24"/>
    </w:rPr>
  </w:style>
  <w:style w:type="paragraph" w:styleId="a5">
    <w:name w:val="footer"/>
    <w:basedOn w:val="a"/>
    <w:link w:val="a6"/>
    <w:rsid w:val="002E4FD8"/>
    <w:pPr>
      <w:tabs>
        <w:tab w:val="center" w:pos="4153"/>
        <w:tab w:val="right" w:pos="8306"/>
      </w:tabs>
    </w:pPr>
  </w:style>
  <w:style w:type="character" w:customStyle="1" w:styleId="a6">
    <w:name w:val="כותרת תחתונה תו"/>
    <w:link w:val="a5"/>
    <w:rsid w:val="002E4FD8"/>
    <w:rPr>
      <w:rFonts w:ascii="Times New Roman" w:eastAsia="Times New Roman" w:hAnsi="Times New Roman" w:cs="David"/>
      <w:sz w:val="24"/>
      <w:szCs w:val="24"/>
    </w:rPr>
  </w:style>
  <w:style w:type="table" w:styleId="a7">
    <w:name w:val="Table Grid"/>
    <w:basedOn w:val="a1"/>
    <w:rsid w:val="002E4FD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E4FD8"/>
  </w:style>
  <w:style w:type="character" w:styleId="Hyperlink">
    <w:name w:val="Hyperlink"/>
    <w:rsid w:val="001810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2510" TargetMode="External"/><Relationship Id="rId18" Type="http://schemas.openxmlformats.org/officeDocument/2006/relationships/hyperlink" Target="http://www.nevo.co.il/case/6068019" TargetMode="External"/><Relationship Id="rId26" Type="http://schemas.openxmlformats.org/officeDocument/2006/relationships/hyperlink" Target="http://www.nevo.co.il/law/72510/2" TargetMode="External"/><Relationship Id="rId39" Type="http://schemas.openxmlformats.org/officeDocument/2006/relationships/hyperlink" Target="http://www.nevo.co.il/case/21477388" TargetMode="External"/><Relationship Id="rId21" Type="http://schemas.openxmlformats.org/officeDocument/2006/relationships/hyperlink" Target="http://www.nevo.co.il/case/5991173" TargetMode="External"/><Relationship Id="rId34" Type="http://schemas.openxmlformats.org/officeDocument/2006/relationships/hyperlink" Target="http://www.nevo.co.il/law/70301/452"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2510/2"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case/6850196" TargetMode="External"/><Relationship Id="rId1" Type="http://schemas.openxmlformats.org/officeDocument/2006/relationships/styles" Target="styles.xml"/><Relationship Id="rId6" Type="http://schemas.openxmlformats.org/officeDocument/2006/relationships/hyperlink" Target="http://www.nevo.co.il/law/72510" TargetMode="External"/><Relationship Id="rId11" Type="http://schemas.openxmlformats.org/officeDocument/2006/relationships/hyperlink" Target="http://www.nevo.co.il/law/70301/452" TargetMode="External"/><Relationship Id="rId24" Type="http://schemas.openxmlformats.org/officeDocument/2006/relationships/hyperlink" Target="http://www.nevo.co.il/case/5991173" TargetMode="External"/><Relationship Id="rId32" Type="http://schemas.openxmlformats.org/officeDocument/2006/relationships/hyperlink" Target="http://www.nevo.co.il/law/70301/144.b"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2510" TargetMode="External"/><Relationship Id="rId45"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18654015" TargetMode="External"/><Relationship Id="rId28" Type="http://schemas.openxmlformats.org/officeDocument/2006/relationships/hyperlink" Target="http://www.nevo.co.il/case/16912381" TargetMode="External"/><Relationship Id="rId36" Type="http://schemas.openxmlformats.org/officeDocument/2006/relationships/hyperlink" Target="http://www.nevo.co.il/case/20977894"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5945006" TargetMode="External"/><Relationship Id="rId31" Type="http://schemas.openxmlformats.org/officeDocument/2006/relationships/hyperlink" Target="http://www.nevo.co.il/law/72510/2" TargetMode="External"/><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6473037" TargetMode="External"/><Relationship Id="rId27" Type="http://schemas.openxmlformats.org/officeDocument/2006/relationships/hyperlink" Target="http://www.nevo.co.il/case/17983858" TargetMode="External"/><Relationship Id="rId30" Type="http://schemas.openxmlformats.org/officeDocument/2006/relationships/hyperlink" Target="http://www.nevo.co.il/case/25737294" TargetMode="External"/><Relationship Id="rId35" Type="http://schemas.openxmlformats.org/officeDocument/2006/relationships/hyperlink" Target="http://www.nevo.co.il/case/21478974" TargetMode="External"/><Relationship Id="rId43" Type="http://schemas.openxmlformats.org/officeDocument/2006/relationships/header" Target="header2.xml"/><Relationship Id="rId8" Type="http://schemas.openxmlformats.org/officeDocument/2006/relationships/hyperlink" Target="http://www.nevo.co.il/law/72510/4" TargetMode="External"/><Relationship Id="rId3" Type="http://schemas.openxmlformats.org/officeDocument/2006/relationships/webSettings" Target="webSettings.xml"/><Relationship Id="rId12" Type="http://schemas.openxmlformats.org/officeDocument/2006/relationships/hyperlink" Target="http://www.nevo.co.il/law/72510/4"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case/10525123"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5762686" TargetMode="External"/><Relationship Id="rId46" Type="http://schemas.openxmlformats.org/officeDocument/2006/relationships/fontTable" Target="fontTable.xml"/><Relationship Id="rId20" Type="http://schemas.openxmlformats.org/officeDocument/2006/relationships/hyperlink" Target="http://www.nevo.co.il/case/512799"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3021</Words>
  <Characters>15107</Characters>
  <Application>Microsoft Office Word</Application>
  <DocSecurity>0</DocSecurity>
  <Lines>125</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18092</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7929954</vt:i4>
      </vt:variant>
      <vt:variant>
        <vt:i4>102</vt:i4>
      </vt:variant>
      <vt:variant>
        <vt:i4>0</vt:i4>
      </vt:variant>
      <vt:variant>
        <vt:i4>5</vt:i4>
      </vt:variant>
      <vt:variant>
        <vt:lpwstr>http://www.nevo.co.il/law/72510</vt:lpwstr>
      </vt:variant>
      <vt:variant>
        <vt:lpwstr/>
      </vt:variant>
      <vt:variant>
        <vt:i4>3735665</vt:i4>
      </vt:variant>
      <vt:variant>
        <vt:i4>99</vt:i4>
      </vt:variant>
      <vt:variant>
        <vt:i4>0</vt:i4>
      </vt:variant>
      <vt:variant>
        <vt:i4>5</vt:i4>
      </vt:variant>
      <vt:variant>
        <vt:lpwstr>http://www.nevo.co.il/case/21477388</vt:lpwstr>
      </vt:variant>
      <vt:variant>
        <vt:lpwstr/>
      </vt:variant>
      <vt:variant>
        <vt:i4>3342457</vt:i4>
      </vt:variant>
      <vt:variant>
        <vt:i4>96</vt:i4>
      </vt:variant>
      <vt:variant>
        <vt:i4>0</vt:i4>
      </vt:variant>
      <vt:variant>
        <vt:i4>5</vt:i4>
      </vt:variant>
      <vt:variant>
        <vt:lpwstr>http://www.nevo.co.il/case/5762686</vt:lpwstr>
      </vt:variant>
      <vt:variant>
        <vt:lpwstr/>
      </vt:variant>
      <vt:variant>
        <vt:i4>7995492</vt:i4>
      </vt:variant>
      <vt:variant>
        <vt:i4>93</vt:i4>
      </vt:variant>
      <vt:variant>
        <vt:i4>0</vt:i4>
      </vt:variant>
      <vt:variant>
        <vt:i4>5</vt:i4>
      </vt:variant>
      <vt:variant>
        <vt:lpwstr>http://www.nevo.co.il/law/70301</vt:lpwstr>
      </vt:variant>
      <vt:variant>
        <vt:lpwstr/>
      </vt:variant>
      <vt:variant>
        <vt:i4>3473531</vt:i4>
      </vt:variant>
      <vt:variant>
        <vt:i4>90</vt:i4>
      </vt:variant>
      <vt:variant>
        <vt:i4>0</vt:i4>
      </vt:variant>
      <vt:variant>
        <vt:i4>5</vt:i4>
      </vt:variant>
      <vt:variant>
        <vt:lpwstr>http://www.nevo.co.il/case/20977894</vt:lpwstr>
      </vt:variant>
      <vt:variant>
        <vt:lpwstr/>
      </vt:variant>
      <vt:variant>
        <vt:i4>3735675</vt:i4>
      </vt:variant>
      <vt:variant>
        <vt:i4>87</vt:i4>
      </vt:variant>
      <vt:variant>
        <vt:i4>0</vt:i4>
      </vt:variant>
      <vt:variant>
        <vt:i4>5</vt:i4>
      </vt:variant>
      <vt:variant>
        <vt:lpwstr>http://www.nevo.co.il/case/21478974</vt:lpwstr>
      </vt:variant>
      <vt:variant>
        <vt:lpwstr/>
      </vt:variant>
      <vt:variant>
        <vt:i4>6291553</vt:i4>
      </vt:variant>
      <vt:variant>
        <vt:i4>84</vt:i4>
      </vt:variant>
      <vt:variant>
        <vt:i4>0</vt:i4>
      </vt:variant>
      <vt:variant>
        <vt:i4>5</vt:i4>
      </vt:variant>
      <vt:variant>
        <vt:lpwstr>http://www.nevo.co.il/law/70301/452</vt:lpwstr>
      </vt:variant>
      <vt:variant>
        <vt:lpwstr/>
      </vt:variant>
      <vt:variant>
        <vt:i4>7995492</vt:i4>
      </vt:variant>
      <vt:variant>
        <vt:i4>81</vt:i4>
      </vt:variant>
      <vt:variant>
        <vt:i4>0</vt:i4>
      </vt:variant>
      <vt:variant>
        <vt:i4>5</vt:i4>
      </vt:variant>
      <vt:variant>
        <vt:lpwstr>http://www.nevo.co.il/law/70301</vt:lpwstr>
      </vt:variant>
      <vt:variant>
        <vt:lpwstr/>
      </vt:variant>
      <vt:variant>
        <vt:i4>5177424</vt:i4>
      </vt:variant>
      <vt:variant>
        <vt:i4>78</vt:i4>
      </vt:variant>
      <vt:variant>
        <vt:i4>0</vt:i4>
      </vt:variant>
      <vt:variant>
        <vt:i4>5</vt:i4>
      </vt:variant>
      <vt:variant>
        <vt:lpwstr>http://www.nevo.co.il/law/70301/144.b</vt:lpwstr>
      </vt:variant>
      <vt:variant>
        <vt:lpwstr/>
      </vt:variant>
      <vt:variant>
        <vt:i4>5636178</vt:i4>
      </vt:variant>
      <vt:variant>
        <vt:i4>75</vt:i4>
      </vt:variant>
      <vt:variant>
        <vt:i4>0</vt:i4>
      </vt:variant>
      <vt:variant>
        <vt:i4>5</vt:i4>
      </vt:variant>
      <vt:variant>
        <vt:lpwstr>http://www.nevo.co.il/law/72510/2</vt:lpwstr>
      </vt:variant>
      <vt:variant>
        <vt:lpwstr/>
      </vt:variant>
      <vt:variant>
        <vt:i4>3866736</vt:i4>
      </vt:variant>
      <vt:variant>
        <vt:i4>72</vt:i4>
      </vt:variant>
      <vt:variant>
        <vt:i4>0</vt:i4>
      </vt:variant>
      <vt:variant>
        <vt:i4>5</vt:i4>
      </vt:variant>
      <vt:variant>
        <vt:lpwstr>http://www.nevo.co.il/case/25737294</vt:lpwstr>
      </vt:variant>
      <vt:variant>
        <vt:lpwstr/>
      </vt:variant>
      <vt:variant>
        <vt:i4>3407989</vt:i4>
      </vt:variant>
      <vt:variant>
        <vt:i4>69</vt:i4>
      </vt:variant>
      <vt:variant>
        <vt:i4>0</vt:i4>
      </vt:variant>
      <vt:variant>
        <vt:i4>5</vt:i4>
      </vt:variant>
      <vt:variant>
        <vt:lpwstr>http://www.nevo.co.il/case/6850196</vt:lpwstr>
      </vt:variant>
      <vt:variant>
        <vt:lpwstr/>
      </vt:variant>
      <vt:variant>
        <vt:i4>3276912</vt:i4>
      </vt:variant>
      <vt:variant>
        <vt:i4>66</vt:i4>
      </vt:variant>
      <vt:variant>
        <vt:i4>0</vt:i4>
      </vt:variant>
      <vt:variant>
        <vt:i4>5</vt:i4>
      </vt:variant>
      <vt:variant>
        <vt:lpwstr>http://www.nevo.co.il/case/16912381</vt:lpwstr>
      </vt:variant>
      <vt:variant>
        <vt:lpwstr/>
      </vt:variant>
      <vt:variant>
        <vt:i4>4063347</vt:i4>
      </vt:variant>
      <vt:variant>
        <vt:i4>63</vt:i4>
      </vt:variant>
      <vt:variant>
        <vt:i4>0</vt:i4>
      </vt:variant>
      <vt:variant>
        <vt:i4>5</vt:i4>
      </vt:variant>
      <vt:variant>
        <vt:lpwstr>http://www.nevo.co.il/case/17983858</vt:lpwstr>
      </vt:variant>
      <vt:variant>
        <vt:lpwstr/>
      </vt:variant>
      <vt:variant>
        <vt:i4>5636178</vt:i4>
      </vt:variant>
      <vt:variant>
        <vt:i4>60</vt:i4>
      </vt:variant>
      <vt:variant>
        <vt:i4>0</vt:i4>
      </vt:variant>
      <vt:variant>
        <vt:i4>5</vt:i4>
      </vt:variant>
      <vt:variant>
        <vt:lpwstr>http://www.nevo.co.il/law/72510/2</vt:lpwstr>
      </vt:variant>
      <vt:variant>
        <vt:lpwstr/>
      </vt:variant>
      <vt:variant>
        <vt:i4>3342455</vt:i4>
      </vt:variant>
      <vt:variant>
        <vt:i4>57</vt:i4>
      </vt:variant>
      <vt:variant>
        <vt:i4>0</vt:i4>
      </vt:variant>
      <vt:variant>
        <vt:i4>5</vt:i4>
      </vt:variant>
      <vt:variant>
        <vt:lpwstr>http://www.nevo.co.il/case/10525123</vt:lpwstr>
      </vt:variant>
      <vt:variant>
        <vt:lpwstr/>
      </vt:variant>
      <vt:variant>
        <vt:i4>4063355</vt:i4>
      </vt:variant>
      <vt:variant>
        <vt:i4>54</vt:i4>
      </vt:variant>
      <vt:variant>
        <vt:i4>0</vt:i4>
      </vt:variant>
      <vt:variant>
        <vt:i4>5</vt:i4>
      </vt:variant>
      <vt:variant>
        <vt:lpwstr>http://www.nevo.co.il/case/5991173</vt:lpwstr>
      </vt:variant>
      <vt:variant>
        <vt:lpwstr/>
      </vt:variant>
      <vt:variant>
        <vt:i4>3276921</vt:i4>
      </vt:variant>
      <vt:variant>
        <vt:i4>51</vt:i4>
      </vt:variant>
      <vt:variant>
        <vt:i4>0</vt:i4>
      </vt:variant>
      <vt:variant>
        <vt:i4>5</vt:i4>
      </vt:variant>
      <vt:variant>
        <vt:lpwstr>http://www.nevo.co.il/case/18654015</vt:lpwstr>
      </vt:variant>
      <vt:variant>
        <vt:lpwstr/>
      </vt:variant>
      <vt:variant>
        <vt:i4>3539056</vt:i4>
      </vt:variant>
      <vt:variant>
        <vt:i4>48</vt:i4>
      </vt:variant>
      <vt:variant>
        <vt:i4>0</vt:i4>
      </vt:variant>
      <vt:variant>
        <vt:i4>5</vt:i4>
      </vt:variant>
      <vt:variant>
        <vt:lpwstr>http://www.nevo.co.il/case/6473037</vt:lpwstr>
      </vt:variant>
      <vt:variant>
        <vt:lpwstr/>
      </vt:variant>
      <vt:variant>
        <vt:i4>4063355</vt:i4>
      </vt:variant>
      <vt:variant>
        <vt:i4>45</vt:i4>
      </vt:variant>
      <vt:variant>
        <vt:i4>0</vt:i4>
      </vt:variant>
      <vt:variant>
        <vt:i4>5</vt:i4>
      </vt:variant>
      <vt:variant>
        <vt:lpwstr>http://www.nevo.co.il/case/5991173</vt:lpwstr>
      </vt:variant>
      <vt:variant>
        <vt:lpwstr/>
      </vt:variant>
      <vt:variant>
        <vt:i4>917570</vt:i4>
      </vt:variant>
      <vt:variant>
        <vt:i4>42</vt:i4>
      </vt:variant>
      <vt:variant>
        <vt:i4>0</vt:i4>
      </vt:variant>
      <vt:variant>
        <vt:i4>5</vt:i4>
      </vt:variant>
      <vt:variant>
        <vt:lpwstr>http://www.nevo.co.il/case/512799</vt:lpwstr>
      </vt:variant>
      <vt:variant>
        <vt:lpwstr/>
      </vt:variant>
      <vt:variant>
        <vt:i4>3604600</vt:i4>
      </vt:variant>
      <vt:variant>
        <vt:i4>39</vt:i4>
      </vt:variant>
      <vt:variant>
        <vt:i4>0</vt:i4>
      </vt:variant>
      <vt:variant>
        <vt:i4>5</vt:i4>
      </vt:variant>
      <vt:variant>
        <vt:lpwstr>http://www.nevo.co.il/case/5945006</vt:lpwstr>
      </vt:variant>
      <vt:variant>
        <vt:lpwstr/>
      </vt:variant>
      <vt:variant>
        <vt:i4>3735677</vt:i4>
      </vt:variant>
      <vt:variant>
        <vt:i4>36</vt:i4>
      </vt:variant>
      <vt:variant>
        <vt:i4>0</vt:i4>
      </vt:variant>
      <vt:variant>
        <vt:i4>5</vt:i4>
      </vt:variant>
      <vt:variant>
        <vt:lpwstr>http://www.nevo.co.il/case/6068019</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7995492</vt:i4>
      </vt:variant>
      <vt:variant>
        <vt:i4>30</vt:i4>
      </vt:variant>
      <vt:variant>
        <vt:i4>0</vt:i4>
      </vt:variant>
      <vt:variant>
        <vt:i4>5</vt:i4>
      </vt:variant>
      <vt:variant>
        <vt:lpwstr>http://www.nevo.co.il/law/70301</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7929954</vt:i4>
      </vt:variant>
      <vt:variant>
        <vt:i4>21</vt:i4>
      </vt:variant>
      <vt:variant>
        <vt:i4>0</vt:i4>
      </vt:variant>
      <vt:variant>
        <vt:i4>5</vt:i4>
      </vt:variant>
      <vt:variant>
        <vt:lpwstr>http://www.nevo.co.il/law/72510</vt:lpwstr>
      </vt:variant>
      <vt:variant>
        <vt:lpwstr/>
      </vt:variant>
      <vt:variant>
        <vt:i4>5636178</vt:i4>
      </vt:variant>
      <vt:variant>
        <vt:i4>18</vt:i4>
      </vt:variant>
      <vt:variant>
        <vt:i4>0</vt:i4>
      </vt:variant>
      <vt:variant>
        <vt:i4>5</vt:i4>
      </vt:variant>
      <vt:variant>
        <vt:lpwstr>http://www.nevo.co.il/law/72510/4</vt:lpwstr>
      </vt:variant>
      <vt:variant>
        <vt:lpwstr/>
      </vt:variant>
      <vt:variant>
        <vt:i4>6291553</vt:i4>
      </vt:variant>
      <vt:variant>
        <vt:i4>15</vt:i4>
      </vt:variant>
      <vt:variant>
        <vt:i4>0</vt:i4>
      </vt:variant>
      <vt:variant>
        <vt:i4>5</vt:i4>
      </vt:variant>
      <vt:variant>
        <vt:lpwstr>http://www.nevo.co.il/law/70301/452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7995492</vt:i4>
      </vt:variant>
      <vt:variant>
        <vt:i4>9</vt:i4>
      </vt:variant>
      <vt:variant>
        <vt:i4>0</vt:i4>
      </vt:variant>
      <vt:variant>
        <vt:i4>5</vt:i4>
      </vt:variant>
      <vt:variant>
        <vt:lpwstr>http://www.nevo.co.il/law/70301</vt:lpwstr>
      </vt:variant>
      <vt:variant>
        <vt:lpwstr/>
      </vt:variant>
      <vt:variant>
        <vt:i4>5636178</vt:i4>
      </vt:variant>
      <vt:variant>
        <vt:i4>6</vt:i4>
      </vt:variant>
      <vt:variant>
        <vt:i4>0</vt:i4>
      </vt:variant>
      <vt:variant>
        <vt:i4>5</vt:i4>
      </vt:variant>
      <vt:variant>
        <vt:lpwstr>http://www.nevo.co.il/law/72510/4</vt:lpwstr>
      </vt:variant>
      <vt:variant>
        <vt:lpwstr/>
      </vt:variant>
      <vt:variant>
        <vt:i4>5636178</vt:i4>
      </vt:variant>
      <vt:variant>
        <vt:i4>3</vt:i4>
      </vt:variant>
      <vt:variant>
        <vt:i4>0</vt:i4>
      </vt:variant>
      <vt:variant>
        <vt:i4>5</vt:i4>
      </vt:variant>
      <vt:variant>
        <vt:lpwstr>http://www.nevo.co.il/law/72510/2</vt:lpwstr>
      </vt:variant>
      <vt:variant>
        <vt:lpwstr/>
      </vt:variant>
      <vt:variant>
        <vt:i4>7929954</vt:i4>
      </vt:variant>
      <vt:variant>
        <vt:i4>0</vt:i4>
      </vt:variant>
      <vt:variant>
        <vt:i4>0</vt:i4>
      </vt:variant>
      <vt:variant>
        <vt:i4>5</vt:i4>
      </vt:variant>
      <vt:variant>
        <vt:lpwstr>http://www.nevo.co.il/law/72510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2025-01-19T16:47:00Z</dcterms:created>
  <dcterms:modified xsi:type="dcterms:W3CDTF">2025-01-19T16:47:00Z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34630</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אמיר דבארי</vt:lpwstr>
  </property>
  <property fmtid="{D5CDD505-2E9C-101B-9397-08002B2CF9AE}" pid="10" name="LAWYER">
    <vt:lpwstr>עמיחי חביביאן;מוחמד ג'ברין</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20220313</vt:lpwstr>
  </property>
  <property fmtid="{D5CDD505-2E9C-101B-9397-08002B2CF9AE}" pid="14" name="TYPE_N_DATE">
    <vt:lpwstr>39020220313</vt:lpwstr>
  </property>
  <property fmtid="{D5CDD505-2E9C-101B-9397-08002B2CF9AE}" pid="15" name="WORDNUMPAGES">
    <vt:lpwstr>10</vt:lpwstr>
  </property>
  <property fmtid="{D5CDD505-2E9C-101B-9397-08002B2CF9AE}" pid="16" name="TYPE_ABS_DATE">
    <vt:lpwstr>390020220313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6068019;5945006;512799;5991173:2;6473037;18654015;10525123;17983858;16912381;6850196;25737294;21478974;20977894;5762686;21477388</vt:lpwstr>
  </property>
  <property fmtid="{D5CDD505-2E9C-101B-9397-08002B2CF9AE}" pid="36" name="LAWLISTTMP1">
    <vt:lpwstr>72510/004;002:2</vt:lpwstr>
  </property>
  <property fmtid="{D5CDD505-2E9C-101B-9397-08002B2CF9AE}" pid="37" name="LAWLISTTMP2">
    <vt:lpwstr>70301/144.b:3;452</vt:lpwstr>
  </property>
</Properties>
</file>