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315"/>
        <w:gridCol w:w="3827"/>
        <w:gridCol w:w="814"/>
        <w:gridCol w:w="3567"/>
        <w:gridCol w:w="297"/>
      </w:tblGrid>
      <w:tr w:rsidR="000E24D8" w:rsidRPr="004813B9" w14:paraId="298465CA" w14:textId="77777777" w:rsidTr="004813B9">
        <w:trPr>
          <w:gridAfter w:val="1"/>
          <w:wAfter w:w="297" w:type="dxa"/>
          <w:trHeight w:hRule="exact" w:val="418"/>
          <w:jc w:val="center"/>
        </w:trPr>
        <w:tc>
          <w:tcPr>
            <w:tcW w:w="8523" w:type="dxa"/>
            <w:gridSpan w:val="4"/>
          </w:tcPr>
          <w:p w14:paraId="0176115A" w14:textId="77777777" w:rsidR="000E24D8" w:rsidRPr="004813B9" w:rsidRDefault="000E24D8" w:rsidP="001411A8">
            <w:pPr>
              <w:pStyle w:val="a3"/>
              <w:jc w:val="center"/>
              <w:rPr>
                <w:rFonts w:ascii="Tahoma" w:hAnsi="Tahoma"/>
                <w:color w:val="000080"/>
                <w:rtl/>
              </w:rPr>
            </w:pPr>
            <w:bookmarkStart w:id="0" w:name="LastJudge"/>
            <w:r w:rsidRPr="004813B9">
              <w:rPr>
                <w:rFonts w:ascii="Tahoma" w:hAnsi="Tahoma"/>
                <w:b/>
                <w:bCs/>
                <w:color w:val="000080"/>
                <w:rtl/>
              </w:rPr>
              <w:t>בית המשפט המחוזי בחיפה</w:t>
            </w:r>
          </w:p>
        </w:tc>
      </w:tr>
      <w:tr w:rsidR="000E24D8" w:rsidRPr="004813B9" w14:paraId="3BD8E156" w14:textId="77777777" w:rsidTr="004813B9">
        <w:trPr>
          <w:gridAfter w:val="1"/>
          <w:wAfter w:w="297" w:type="dxa"/>
          <w:trHeight w:val="337"/>
          <w:jc w:val="center"/>
        </w:trPr>
        <w:tc>
          <w:tcPr>
            <w:tcW w:w="4956" w:type="dxa"/>
            <w:gridSpan w:val="3"/>
          </w:tcPr>
          <w:p w14:paraId="5741C3C9" w14:textId="77777777" w:rsidR="000E24D8" w:rsidRPr="004813B9" w:rsidRDefault="000E24D8" w:rsidP="001411A8">
            <w:pPr>
              <w:rPr>
                <w:sz w:val="28"/>
                <w:szCs w:val="28"/>
                <w:rtl/>
              </w:rPr>
            </w:pPr>
            <w:r w:rsidRPr="004813B9">
              <w:rPr>
                <w:sz w:val="28"/>
                <w:szCs w:val="28"/>
                <w:rtl/>
              </w:rPr>
              <w:t>ת"פ</w:t>
            </w:r>
            <w:r w:rsidRPr="004813B9">
              <w:rPr>
                <w:rFonts w:hint="cs"/>
                <w:sz w:val="28"/>
                <w:szCs w:val="28"/>
                <w:rtl/>
              </w:rPr>
              <w:t xml:space="preserve"> </w:t>
            </w:r>
            <w:r w:rsidRPr="004813B9">
              <w:rPr>
                <w:sz w:val="28"/>
                <w:szCs w:val="28"/>
                <w:rtl/>
              </w:rPr>
              <w:t>39520-12-21</w:t>
            </w:r>
            <w:r w:rsidRPr="004813B9">
              <w:rPr>
                <w:rFonts w:hint="cs"/>
                <w:sz w:val="28"/>
                <w:szCs w:val="28"/>
                <w:rtl/>
              </w:rPr>
              <w:t xml:space="preserve"> </w:t>
            </w:r>
            <w:r w:rsidRPr="004813B9">
              <w:rPr>
                <w:sz w:val="28"/>
                <w:szCs w:val="28"/>
                <w:rtl/>
              </w:rPr>
              <w:t>מדינת ישראל נ' קעדאן(עציר) ואח'</w:t>
            </w:r>
          </w:p>
          <w:p w14:paraId="1100CD5A" w14:textId="77777777" w:rsidR="000E24D8" w:rsidRPr="004813B9" w:rsidRDefault="000E24D8" w:rsidP="001411A8">
            <w:pPr>
              <w:pStyle w:val="a3"/>
              <w:rPr>
                <w:sz w:val="28"/>
                <w:szCs w:val="28"/>
                <w:rtl/>
              </w:rPr>
            </w:pPr>
          </w:p>
        </w:tc>
        <w:tc>
          <w:tcPr>
            <w:tcW w:w="3567" w:type="dxa"/>
          </w:tcPr>
          <w:p w14:paraId="66D2B0E3" w14:textId="77777777" w:rsidR="000E24D8" w:rsidRPr="004813B9" w:rsidRDefault="000E24D8" w:rsidP="001411A8">
            <w:pPr>
              <w:pStyle w:val="a3"/>
              <w:jc w:val="right"/>
              <w:rPr>
                <w:sz w:val="28"/>
                <w:szCs w:val="28"/>
                <w:rtl/>
              </w:rPr>
            </w:pPr>
          </w:p>
        </w:tc>
      </w:tr>
      <w:tr w:rsidR="000E24D8" w:rsidRPr="004813B9" w14:paraId="0BABCE1B" w14:textId="77777777" w:rsidTr="00481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0A49772A" w14:textId="77777777" w:rsidR="000E24D8" w:rsidRPr="004813B9" w:rsidRDefault="000E24D8" w:rsidP="000E24D8">
            <w:pPr>
              <w:jc w:val="both"/>
              <w:rPr>
                <w:rFonts w:ascii="David" w:hAnsi="David"/>
                <w:b/>
                <w:bCs/>
                <w:sz w:val="26"/>
                <w:szCs w:val="26"/>
                <w:rtl/>
              </w:rPr>
            </w:pPr>
            <w:r w:rsidRPr="004813B9">
              <w:rPr>
                <w:rFonts w:hint="cs"/>
                <w:rtl/>
              </w:rPr>
              <w:t xml:space="preserve"> </w:t>
            </w:r>
            <w:r w:rsidRPr="004813B9">
              <w:rPr>
                <w:rFonts w:ascii="David" w:hAnsi="David"/>
                <w:b/>
                <w:bCs/>
                <w:sz w:val="26"/>
                <w:szCs w:val="26"/>
                <w:rtl/>
              </w:rPr>
              <w:t>בפני כבוד השופט דניאל פיש</w:t>
            </w:r>
          </w:p>
          <w:p w14:paraId="3F6D2E58" w14:textId="77777777" w:rsidR="000E24D8" w:rsidRPr="004813B9" w:rsidRDefault="000E24D8" w:rsidP="001411A8">
            <w:pPr>
              <w:rPr>
                <w:rFonts w:ascii="David" w:hAnsi="David"/>
                <w:b/>
                <w:bCs/>
                <w:sz w:val="26"/>
                <w:szCs w:val="26"/>
                <w:rtl/>
              </w:rPr>
            </w:pPr>
          </w:p>
          <w:p w14:paraId="5A97C6A0" w14:textId="77777777" w:rsidR="000E24D8" w:rsidRPr="004813B9" w:rsidRDefault="000E24D8" w:rsidP="000E24D8">
            <w:pPr>
              <w:jc w:val="both"/>
              <w:rPr>
                <w:rFonts w:ascii="David" w:hAnsi="David"/>
                <w:b/>
                <w:bCs/>
                <w:sz w:val="26"/>
                <w:szCs w:val="26"/>
              </w:rPr>
            </w:pPr>
          </w:p>
        </w:tc>
      </w:tr>
      <w:tr w:rsidR="000E24D8" w:rsidRPr="004813B9" w14:paraId="59A64263" w14:textId="77777777" w:rsidTr="00481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315" w:type="dxa"/>
            <w:tcBorders>
              <w:top w:val="nil"/>
              <w:left w:val="nil"/>
              <w:bottom w:val="nil"/>
              <w:right w:val="nil"/>
            </w:tcBorders>
            <w:shd w:val="clear" w:color="auto" w:fill="auto"/>
          </w:tcPr>
          <w:p w14:paraId="590E9D73" w14:textId="77777777" w:rsidR="000E24D8" w:rsidRPr="004813B9" w:rsidRDefault="000E24D8" w:rsidP="000E24D8">
            <w:pPr>
              <w:jc w:val="both"/>
              <w:rPr>
                <w:rFonts w:ascii="David" w:hAnsi="David"/>
                <w:sz w:val="26"/>
                <w:szCs w:val="26"/>
              </w:rPr>
            </w:pPr>
            <w:bookmarkStart w:id="1" w:name="FirstAppellant"/>
          </w:p>
        </w:tc>
        <w:tc>
          <w:tcPr>
            <w:tcW w:w="3827" w:type="dxa"/>
            <w:tcBorders>
              <w:top w:val="nil"/>
              <w:left w:val="nil"/>
              <w:bottom w:val="nil"/>
              <w:right w:val="nil"/>
            </w:tcBorders>
            <w:shd w:val="clear" w:color="auto" w:fill="auto"/>
          </w:tcPr>
          <w:p w14:paraId="20BB3519" w14:textId="77777777" w:rsidR="000E24D8" w:rsidRPr="004813B9" w:rsidRDefault="000E24D8" w:rsidP="000E24D8">
            <w:pPr>
              <w:suppressLineNumbers/>
            </w:pPr>
            <w:r w:rsidRPr="004813B9">
              <w:rPr>
                <w:rFonts w:ascii="Arial" w:hAnsi="Arial" w:hint="cs"/>
                <w:b/>
                <w:bCs/>
                <w:sz w:val="26"/>
                <w:szCs w:val="26"/>
                <w:rtl/>
              </w:rPr>
              <w:t>ה</w:t>
            </w:r>
            <w:r w:rsidRPr="004813B9">
              <w:rPr>
                <w:rFonts w:ascii="Arial" w:hAnsi="Arial"/>
                <w:b/>
                <w:bCs/>
                <w:sz w:val="26"/>
                <w:szCs w:val="26"/>
                <w:rtl/>
              </w:rPr>
              <w:t>מאשימה</w:t>
            </w:r>
          </w:p>
          <w:p w14:paraId="48F0BE46" w14:textId="77777777" w:rsidR="000E24D8" w:rsidRPr="004813B9" w:rsidRDefault="000E24D8" w:rsidP="001411A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6C05420" w14:textId="77777777" w:rsidR="000E24D8" w:rsidRPr="004813B9" w:rsidRDefault="000E24D8" w:rsidP="000E24D8">
            <w:pPr>
              <w:suppressLineNumbers/>
            </w:pPr>
            <w:r w:rsidRPr="004813B9">
              <w:rPr>
                <w:rFonts w:ascii="Arial" w:hAnsi="Arial"/>
                <w:b/>
                <w:bCs/>
                <w:sz w:val="26"/>
                <w:szCs w:val="26"/>
                <w:rtl/>
              </w:rPr>
              <w:t>מדינת ישראל</w:t>
            </w:r>
            <w:r w:rsidRPr="004813B9">
              <w:rPr>
                <w:rFonts w:ascii="Arial" w:hAnsi="Arial" w:hint="cs"/>
                <w:b/>
                <w:bCs/>
                <w:sz w:val="26"/>
                <w:szCs w:val="26"/>
                <w:rtl/>
              </w:rPr>
              <w:t xml:space="preserve"> </w:t>
            </w:r>
          </w:p>
          <w:p w14:paraId="2B684185" w14:textId="77777777" w:rsidR="000E24D8" w:rsidRPr="004813B9" w:rsidRDefault="000E24D8" w:rsidP="001411A8">
            <w:pPr>
              <w:rPr>
                <w:rFonts w:ascii="David" w:hAnsi="David"/>
                <w:sz w:val="26"/>
                <w:szCs w:val="26"/>
              </w:rPr>
            </w:pPr>
          </w:p>
        </w:tc>
      </w:tr>
      <w:bookmarkEnd w:id="1"/>
      <w:tr w:rsidR="000E24D8" w:rsidRPr="004813B9" w14:paraId="3E87B673" w14:textId="77777777" w:rsidTr="00481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315" w:type="dxa"/>
            <w:tcBorders>
              <w:top w:val="nil"/>
              <w:left w:val="nil"/>
              <w:bottom w:val="nil"/>
              <w:right w:val="nil"/>
            </w:tcBorders>
            <w:shd w:val="clear" w:color="auto" w:fill="auto"/>
          </w:tcPr>
          <w:p w14:paraId="5A4DBD36" w14:textId="77777777" w:rsidR="000E24D8" w:rsidRPr="004813B9" w:rsidRDefault="000E24D8" w:rsidP="000E24D8">
            <w:pPr>
              <w:jc w:val="both"/>
              <w:rPr>
                <w:rFonts w:ascii="David" w:hAnsi="David"/>
                <w:sz w:val="26"/>
                <w:szCs w:val="26"/>
                <w:rtl/>
              </w:rPr>
            </w:pPr>
          </w:p>
        </w:tc>
        <w:tc>
          <w:tcPr>
            <w:tcW w:w="8505" w:type="dxa"/>
            <w:gridSpan w:val="4"/>
            <w:tcBorders>
              <w:top w:val="nil"/>
              <w:left w:val="nil"/>
              <w:bottom w:val="nil"/>
              <w:right w:val="nil"/>
            </w:tcBorders>
            <w:shd w:val="clear" w:color="auto" w:fill="auto"/>
          </w:tcPr>
          <w:p w14:paraId="73609402" w14:textId="77777777" w:rsidR="000E24D8" w:rsidRPr="004813B9" w:rsidRDefault="000E24D8" w:rsidP="000E24D8">
            <w:pPr>
              <w:jc w:val="center"/>
              <w:rPr>
                <w:rFonts w:ascii="David" w:hAnsi="David"/>
                <w:b/>
                <w:bCs/>
                <w:sz w:val="26"/>
                <w:szCs w:val="26"/>
                <w:rtl/>
              </w:rPr>
            </w:pPr>
          </w:p>
          <w:p w14:paraId="5B1B174C" w14:textId="77777777" w:rsidR="000E24D8" w:rsidRPr="004813B9" w:rsidRDefault="000E24D8" w:rsidP="000E24D8">
            <w:pPr>
              <w:jc w:val="center"/>
              <w:rPr>
                <w:rFonts w:ascii="David" w:hAnsi="David"/>
                <w:b/>
                <w:bCs/>
                <w:sz w:val="26"/>
                <w:szCs w:val="26"/>
                <w:rtl/>
              </w:rPr>
            </w:pPr>
            <w:r w:rsidRPr="004813B9">
              <w:rPr>
                <w:rFonts w:ascii="David" w:hAnsi="David"/>
                <w:b/>
                <w:bCs/>
                <w:sz w:val="26"/>
                <w:szCs w:val="26"/>
                <w:rtl/>
              </w:rPr>
              <w:t>נגד</w:t>
            </w:r>
          </w:p>
          <w:p w14:paraId="3959A124" w14:textId="77777777" w:rsidR="000E24D8" w:rsidRPr="004813B9" w:rsidRDefault="000E24D8" w:rsidP="000E24D8">
            <w:pPr>
              <w:jc w:val="both"/>
              <w:rPr>
                <w:rFonts w:ascii="David" w:hAnsi="David"/>
                <w:sz w:val="26"/>
                <w:szCs w:val="26"/>
              </w:rPr>
            </w:pPr>
          </w:p>
        </w:tc>
      </w:tr>
      <w:tr w:rsidR="000E24D8" w:rsidRPr="004813B9" w14:paraId="2E994D44" w14:textId="77777777" w:rsidTr="00481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315" w:type="dxa"/>
            <w:tcBorders>
              <w:top w:val="nil"/>
              <w:left w:val="nil"/>
              <w:bottom w:val="nil"/>
              <w:right w:val="nil"/>
            </w:tcBorders>
            <w:shd w:val="clear" w:color="auto" w:fill="auto"/>
          </w:tcPr>
          <w:p w14:paraId="776F217B" w14:textId="77777777" w:rsidR="000E24D8" w:rsidRPr="004813B9" w:rsidRDefault="000E24D8" w:rsidP="001411A8">
            <w:pPr>
              <w:rPr>
                <w:rFonts w:ascii="David" w:hAnsi="David"/>
                <w:sz w:val="26"/>
                <w:szCs w:val="26"/>
                <w:rtl/>
              </w:rPr>
            </w:pPr>
          </w:p>
        </w:tc>
        <w:tc>
          <w:tcPr>
            <w:tcW w:w="3827" w:type="dxa"/>
            <w:tcBorders>
              <w:top w:val="nil"/>
              <w:left w:val="nil"/>
              <w:bottom w:val="nil"/>
              <w:right w:val="nil"/>
            </w:tcBorders>
            <w:shd w:val="clear" w:color="auto" w:fill="auto"/>
          </w:tcPr>
          <w:p w14:paraId="7D64655D" w14:textId="77777777" w:rsidR="000E24D8" w:rsidRPr="004813B9" w:rsidRDefault="000E24D8" w:rsidP="001411A8">
            <w:pPr>
              <w:rPr>
                <w:rFonts w:ascii="Arial" w:hAnsi="Arial"/>
                <w:b/>
                <w:bCs/>
                <w:sz w:val="26"/>
                <w:szCs w:val="26"/>
                <w:rtl/>
              </w:rPr>
            </w:pPr>
            <w:r w:rsidRPr="004813B9">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F91A064" w14:textId="77777777" w:rsidR="000E24D8" w:rsidRPr="004813B9" w:rsidRDefault="000E24D8" w:rsidP="000E24D8">
            <w:pPr>
              <w:pStyle w:val="a9"/>
              <w:numPr>
                <w:ilvl w:val="0"/>
                <w:numId w:val="3"/>
              </w:numPr>
              <w:suppressLineNumbers/>
              <w:rPr>
                <w:rFonts w:ascii="Arial" w:hAnsi="Arial"/>
                <w:b/>
                <w:bCs/>
                <w:sz w:val="26"/>
                <w:szCs w:val="26"/>
                <w:rtl/>
              </w:rPr>
            </w:pPr>
            <w:r w:rsidRPr="004813B9">
              <w:rPr>
                <w:rFonts w:ascii="Arial" w:hAnsi="Arial"/>
                <w:b/>
                <w:bCs/>
                <w:sz w:val="26"/>
                <w:szCs w:val="26"/>
                <w:rtl/>
              </w:rPr>
              <w:t>איהאב קעדאן (עציר)</w:t>
            </w:r>
            <w:r w:rsidRPr="004813B9">
              <w:rPr>
                <w:rFonts w:ascii="Arial" w:hAnsi="Arial" w:hint="cs"/>
                <w:b/>
                <w:bCs/>
                <w:sz w:val="26"/>
                <w:szCs w:val="26"/>
                <w:rtl/>
              </w:rPr>
              <w:t xml:space="preserve"> </w:t>
            </w:r>
          </w:p>
          <w:p w14:paraId="60C2DCB1" w14:textId="77777777" w:rsidR="000E24D8" w:rsidRPr="004813B9" w:rsidRDefault="000E24D8" w:rsidP="000E24D8">
            <w:pPr>
              <w:pStyle w:val="a9"/>
              <w:numPr>
                <w:ilvl w:val="0"/>
                <w:numId w:val="3"/>
              </w:numPr>
              <w:suppressLineNumbers/>
            </w:pPr>
            <w:r w:rsidRPr="004813B9">
              <w:rPr>
                <w:rFonts w:ascii="Arial" w:hAnsi="Arial"/>
                <w:b/>
                <w:bCs/>
                <w:sz w:val="26"/>
                <w:szCs w:val="26"/>
                <w:rtl/>
              </w:rPr>
              <w:t>עבד אבו גודה</w:t>
            </w:r>
            <w:r w:rsidRPr="004813B9">
              <w:rPr>
                <w:rFonts w:ascii="Arial" w:hAnsi="Arial" w:hint="cs"/>
                <w:b/>
                <w:bCs/>
                <w:sz w:val="26"/>
                <w:szCs w:val="26"/>
                <w:rtl/>
              </w:rPr>
              <w:t xml:space="preserve"> </w:t>
            </w:r>
          </w:p>
        </w:tc>
      </w:tr>
    </w:tbl>
    <w:p w14:paraId="4A35F0CF" w14:textId="77777777" w:rsidR="000E24D8" w:rsidRPr="004813B9" w:rsidRDefault="000E24D8" w:rsidP="000E24D8">
      <w:pPr>
        <w:rPr>
          <w:sz w:val="26"/>
          <w:szCs w:val="26"/>
          <w:rtl/>
        </w:rPr>
      </w:pPr>
    </w:p>
    <w:p w14:paraId="12641D81" w14:textId="77777777" w:rsidR="000E24D8" w:rsidRPr="004813B9" w:rsidRDefault="000E24D8" w:rsidP="000E24D8">
      <w:pPr>
        <w:rPr>
          <w:rtl/>
        </w:rPr>
      </w:pPr>
      <w:bookmarkStart w:id="2" w:name="FirstLawyer"/>
      <w:r w:rsidRPr="004813B9">
        <w:rPr>
          <w:rFonts w:hint="cs"/>
          <w:rtl/>
        </w:rPr>
        <w:t>בשם</w:t>
      </w:r>
      <w:bookmarkEnd w:id="2"/>
      <w:r w:rsidRPr="004813B9">
        <w:rPr>
          <w:rFonts w:hint="cs"/>
          <w:rtl/>
        </w:rPr>
        <w:t xml:space="preserve"> נאשם 1: עו"ד יוסף ח'ורי</w:t>
      </w:r>
    </w:p>
    <w:p w14:paraId="25CC8B59" w14:textId="77777777" w:rsidR="000E24D8" w:rsidRPr="004813B9" w:rsidRDefault="000E24D8" w:rsidP="000E24D8">
      <w:pPr>
        <w:rPr>
          <w:rtl/>
        </w:rPr>
      </w:pPr>
      <w:r w:rsidRPr="004813B9">
        <w:rPr>
          <w:rFonts w:hint="cs"/>
          <w:rtl/>
        </w:rPr>
        <w:t>בשם נאשם 2: עו"ד יהלי שפרלינג</w:t>
      </w:r>
    </w:p>
    <w:p w14:paraId="330A92A0" w14:textId="77777777" w:rsidR="000E24D8" w:rsidRPr="004813B9" w:rsidRDefault="000E24D8" w:rsidP="000E24D8">
      <w:pPr>
        <w:rPr>
          <w:rtl/>
        </w:rPr>
      </w:pPr>
      <w:r w:rsidRPr="004813B9">
        <w:rPr>
          <w:rFonts w:hint="cs"/>
          <w:rtl/>
        </w:rPr>
        <w:t xml:space="preserve">בשם המאשימה: עו"ד מיכאל יפרח </w:t>
      </w:r>
      <w:r w:rsidRPr="004813B9">
        <w:rPr>
          <w:rtl/>
        </w:rPr>
        <w:t>–</w:t>
      </w:r>
      <w:r w:rsidRPr="004813B9">
        <w:rPr>
          <w:rFonts w:hint="cs"/>
          <w:rtl/>
        </w:rPr>
        <w:t xml:space="preserve"> פרקליטות מחוז חיפה (פלילי)</w:t>
      </w:r>
    </w:p>
    <w:p w14:paraId="37A7CDEE" w14:textId="77777777" w:rsidR="004813B9" w:rsidRDefault="000E24D8" w:rsidP="000E24D8">
      <w:pPr>
        <w:rPr>
          <w:rtl/>
        </w:rPr>
      </w:pPr>
      <w:r w:rsidRPr="004813B9">
        <w:rPr>
          <w:rFonts w:hint="cs"/>
          <w:rtl/>
        </w:rPr>
        <w:t xml:space="preserve"> </w:t>
      </w:r>
    </w:p>
    <w:p w14:paraId="3B93FA14" w14:textId="77777777" w:rsidR="004813B9" w:rsidRPr="004813B9" w:rsidRDefault="004813B9" w:rsidP="004813B9">
      <w:pPr>
        <w:spacing w:after="120" w:line="240" w:lineRule="exact"/>
        <w:ind w:left="283" w:hanging="283"/>
        <w:jc w:val="both"/>
        <w:rPr>
          <w:rFonts w:ascii="FrankRuehl" w:hAnsi="FrankRuehl" w:cs="FrankRuehl"/>
          <w:rtl/>
        </w:rPr>
      </w:pPr>
    </w:p>
    <w:p w14:paraId="36EDAA35" w14:textId="77777777" w:rsidR="006E53E7" w:rsidRPr="006E53E7" w:rsidRDefault="006E53E7" w:rsidP="006E53E7">
      <w:pPr>
        <w:spacing w:before="120" w:after="120" w:line="240" w:lineRule="exact"/>
        <w:ind w:left="283" w:hanging="283"/>
        <w:jc w:val="both"/>
        <w:rPr>
          <w:rFonts w:ascii="FrankRuehl" w:hAnsi="FrankRuehl" w:cs="FrankRuehl"/>
          <w:rtl/>
        </w:rPr>
      </w:pPr>
    </w:p>
    <w:p w14:paraId="56A77E08" w14:textId="77777777" w:rsidR="00DB3443" w:rsidRDefault="00DB3443" w:rsidP="00DB3443">
      <w:pPr>
        <w:jc w:val="center"/>
        <w:rPr>
          <w:rFonts w:ascii="David" w:hAnsi="David"/>
          <w:sz w:val="32"/>
          <w:szCs w:val="32"/>
          <w:rtl/>
        </w:rPr>
      </w:pPr>
      <w:bookmarkStart w:id="3" w:name="LawTable"/>
      <w:bookmarkEnd w:id="3"/>
    </w:p>
    <w:p w14:paraId="729ADD62" w14:textId="77777777" w:rsidR="00DB3443" w:rsidRPr="00DB3443" w:rsidRDefault="00DB3443" w:rsidP="00DB3443">
      <w:pPr>
        <w:spacing w:before="120" w:after="120" w:line="240" w:lineRule="exact"/>
        <w:ind w:left="283" w:hanging="283"/>
        <w:jc w:val="both"/>
        <w:rPr>
          <w:rFonts w:ascii="FrankRuehl" w:hAnsi="FrankRuehl" w:cs="FrankRuehl"/>
          <w:rtl/>
        </w:rPr>
      </w:pPr>
    </w:p>
    <w:p w14:paraId="3A2BE8B2" w14:textId="77777777" w:rsidR="00DB3443" w:rsidRPr="00DB3443" w:rsidRDefault="00DB3443" w:rsidP="00DB3443">
      <w:pPr>
        <w:spacing w:before="120" w:after="120" w:line="240" w:lineRule="exact"/>
        <w:ind w:left="283" w:hanging="283"/>
        <w:jc w:val="both"/>
        <w:rPr>
          <w:rFonts w:ascii="FrankRuehl" w:hAnsi="FrankRuehl" w:cs="FrankRuehl"/>
          <w:rtl/>
        </w:rPr>
      </w:pPr>
    </w:p>
    <w:p w14:paraId="418AC450" w14:textId="77777777" w:rsidR="00DB3443" w:rsidRPr="00DB3443" w:rsidRDefault="00DB3443" w:rsidP="00DB3443">
      <w:pPr>
        <w:spacing w:before="120" w:after="120" w:line="240" w:lineRule="exact"/>
        <w:ind w:left="283" w:hanging="283"/>
        <w:jc w:val="both"/>
        <w:rPr>
          <w:rFonts w:ascii="FrankRuehl" w:hAnsi="FrankRuehl" w:cs="FrankRuehl"/>
          <w:rtl/>
        </w:rPr>
      </w:pPr>
      <w:r w:rsidRPr="00DB3443">
        <w:rPr>
          <w:rFonts w:ascii="FrankRuehl" w:hAnsi="FrankRuehl" w:cs="FrankRuehl"/>
          <w:rtl/>
        </w:rPr>
        <w:t xml:space="preserve">חקיקה שאוזכרה: </w:t>
      </w:r>
    </w:p>
    <w:p w14:paraId="039A0E21" w14:textId="77777777" w:rsidR="00DB3443" w:rsidRPr="00DB3443" w:rsidRDefault="00DB3443" w:rsidP="00DB3443">
      <w:pPr>
        <w:spacing w:before="120" w:after="120" w:line="240" w:lineRule="exact"/>
        <w:ind w:left="283" w:hanging="283"/>
        <w:jc w:val="both"/>
        <w:rPr>
          <w:rFonts w:ascii="FrankRuehl" w:hAnsi="FrankRuehl" w:cs="FrankRuehl"/>
          <w:rtl/>
        </w:rPr>
      </w:pPr>
      <w:hyperlink r:id="rId7" w:history="1">
        <w:r w:rsidRPr="00DB3443">
          <w:rPr>
            <w:rFonts w:ascii="FrankRuehl" w:hAnsi="FrankRuehl" w:cs="FrankRuehl"/>
            <w:color w:val="0000FF"/>
            <w:rtl/>
          </w:rPr>
          <w:t>חוק העונשין, תשל"ז-1977</w:t>
        </w:r>
      </w:hyperlink>
      <w:r w:rsidRPr="00DB3443">
        <w:rPr>
          <w:rFonts w:ascii="FrankRuehl" w:hAnsi="FrankRuehl" w:cs="FrankRuehl"/>
          <w:rtl/>
        </w:rPr>
        <w:t xml:space="preserve">: סע'  </w:t>
      </w:r>
      <w:hyperlink r:id="rId8" w:history="1">
        <w:r w:rsidRPr="00DB3443">
          <w:rPr>
            <w:rFonts w:ascii="FrankRuehl" w:hAnsi="FrankRuehl" w:cs="FrankRuehl"/>
            <w:color w:val="0000FF"/>
            <w:rtl/>
          </w:rPr>
          <w:t>31</w:t>
        </w:r>
      </w:hyperlink>
      <w:r w:rsidRPr="00DB3443">
        <w:rPr>
          <w:rFonts w:ascii="FrankRuehl" w:hAnsi="FrankRuehl" w:cs="FrankRuehl"/>
          <w:rtl/>
        </w:rPr>
        <w:t xml:space="preserve">, </w:t>
      </w:r>
      <w:hyperlink r:id="rId9" w:history="1">
        <w:r w:rsidRPr="00DB3443">
          <w:rPr>
            <w:rFonts w:ascii="FrankRuehl" w:hAnsi="FrankRuehl" w:cs="FrankRuehl"/>
            <w:color w:val="0000FF"/>
            <w:rtl/>
          </w:rPr>
          <w:t>144(א)</w:t>
        </w:r>
      </w:hyperlink>
      <w:r w:rsidRPr="00DB3443">
        <w:rPr>
          <w:rFonts w:ascii="FrankRuehl" w:hAnsi="FrankRuehl" w:cs="FrankRuehl"/>
          <w:rtl/>
        </w:rPr>
        <w:t xml:space="preserve">, </w:t>
      </w:r>
      <w:hyperlink r:id="rId10" w:history="1">
        <w:r w:rsidRPr="00DB3443">
          <w:rPr>
            <w:rFonts w:ascii="FrankRuehl" w:hAnsi="FrankRuehl" w:cs="FrankRuehl"/>
            <w:color w:val="0000FF"/>
            <w:rtl/>
          </w:rPr>
          <w:t>144(ב)</w:t>
        </w:r>
      </w:hyperlink>
      <w:r w:rsidRPr="00DB3443">
        <w:rPr>
          <w:rFonts w:ascii="FrankRuehl" w:hAnsi="FrankRuehl" w:cs="FrankRuehl"/>
          <w:rtl/>
        </w:rPr>
        <w:t xml:space="preserve">, </w:t>
      </w:r>
      <w:hyperlink r:id="rId11" w:history="1">
        <w:r w:rsidRPr="00DB3443">
          <w:rPr>
            <w:rFonts w:ascii="FrankRuehl" w:hAnsi="FrankRuehl" w:cs="FrankRuehl"/>
            <w:color w:val="0000FF"/>
            <w:rtl/>
          </w:rPr>
          <w:t>275</w:t>
        </w:r>
      </w:hyperlink>
    </w:p>
    <w:p w14:paraId="481CAC07" w14:textId="77777777" w:rsidR="00DB3443" w:rsidRPr="00DB3443" w:rsidRDefault="00DB3443" w:rsidP="00DB3443">
      <w:pPr>
        <w:spacing w:before="120" w:after="120" w:line="240" w:lineRule="exact"/>
        <w:ind w:left="283" w:hanging="283"/>
        <w:jc w:val="both"/>
        <w:rPr>
          <w:rFonts w:ascii="FrankRuehl" w:hAnsi="FrankRuehl" w:cs="FrankRuehl"/>
          <w:rtl/>
        </w:rPr>
      </w:pPr>
      <w:hyperlink r:id="rId12" w:history="1">
        <w:r w:rsidRPr="00DB3443">
          <w:rPr>
            <w:rFonts w:ascii="FrankRuehl" w:hAnsi="FrankRuehl" w:cs="FrankRuehl"/>
            <w:color w:val="0000FF"/>
            <w:rtl/>
          </w:rPr>
          <w:t>חוק הכניסה לישראל, תשי"ב-1952</w:t>
        </w:r>
      </w:hyperlink>
      <w:r w:rsidRPr="00DB3443">
        <w:rPr>
          <w:rFonts w:ascii="FrankRuehl" w:hAnsi="FrankRuehl" w:cs="FrankRuehl"/>
          <w:rtl/>
        </w:rPr>
        <w:t xml:space="preserve">: סע'  </w:t>
      </w:r>
      <w:hyperlink r:id="rId13" w:history="1">
        <w:r w:rsidRPr="00DB3443">
          <w:rPr>
            <w:rFonts w:ascii="FrankRuehl" w:hAnsi="FrankRuehl" w:cs="FrankRuehl"/>
            <w:color w:val="0000FF"/>
            <w:rtl/>
          </w:rPr>
          <w:t>12(1)</w:t>
        </w:r>
      </w:hyperlink>
    </w:p>
    <w:p w14:paraId="0F00708C" w14:textId="77777777" w:rsidR="00DB3443" w:rsidRPr="00DB3443" w:rsidRDefault="00DB3443" w:rsidP="00DB3443">
      <w:pPr>
        <w:jc w:val="center"/>
        <w:rPr>
          <w:rFonts w:ascii="David" w:hAnsi="David"/>
          <w:sz w:val="32"/>
          <w:szCs w:val="32"/>
          <w:rtl/>
        </w:rPr>
      </w:pPr>
      <w:bookmarkStart w:id="4" w:name="LawTable_End"/>
      <w:bookmarkEnd w:id="4"/>
    </w:p>
    <w:p w14:paraId="1EEA62D5" w14:textId="77777777" w:rsidR="004813B9" w:rsidRPr="006E53E7" w:rsidRDefault="004813B9" w:rsidP="006E53E7">
      <w:pPr>
        <w:jc w:val="center"/>
        <w:rPr>
          <w:rFonts w:ascii="David" w:hAnsi="David"/>
          <w:sz w:val="32"/>
          <w:szCs w:val="32"/>
          <w:rtl/>
        </w:rPr>
      </w:pPr>
    </w:p>
    <w:p w14:paraId="20DE5328" w14:textId="77777777" w:rsidR="004813B9" w:rsidRPr="004813B9" w:rsidRDefault="004813B9" w:rsidP="003628B1">
      <w:pPr>
        <w:jc w:val="center"/>
        <w:rPr>
          <w:rFonts w:ascii="David" w:hAnsi="David"/>
          <w:b/>
          <w:bCs/>
          <w:sz w:val="32"/>
          <w:szCs w:val="32"/>
          <w:u w:val="single"/>
          <w:rtl/>
        </w:rPr>
      </w:pPr>
      <w:bookmarkStart w:id="5" w:name="PsakDin"/>
      <w:r w:rsidRPr="004813B9">
        <w:rPr>
          <w:rFonts w:ascii="David" w:hAnsi="David"/>
          <w:b/>
          <w:bCs/>
          <w:sz w:val="32"/>
          <w:szCs w:val="32"/>
          <w:u w:val="single"/>
          <w:rtl/>
        </w:rPr>
        <w:t>גזר דין</w:t>
      </w:r>
    </w:p>
    <w:bookmarkEnd w:id="5"/>
    <w:p w14:paraId="0C28EDD7" w14:textId="77777777" w:rsidR="004813B9" w:rsidRPr="004813B9" w:rsidRDefault="004813B9" w:rsidP="000E24D8">
      <w:pPr>
        <w:jc w:val="center"/>
        <w:rPr>
          <w:rFonts w:ascii="David" w:hAnsi="David"/>
          <w:sz w:val="32"/>
          <w:szCs w:val="32"/>
          <w:u w:val="single"/>
          <w:rtl/>
        </w:rPr>
      </w:pPr>
      <w:r w:rsidRPr="004813B9">
        <w:rPr>
          <w:rFonts w:ascii="David" w:hAnsi="David" w:hint="cs"/>
          <w:u w:val="single"/>
          <w:rtl/>
        </w:rPr>
        <w:t>(בעניין נאשם מס' 1)</w:t>
      </w:r>
    </w:p>
    <w:bookmarkEnd w:id="0"/>
    <w:p w14:paraId="19390F73" w14:textId="77777777" w:rsidR="000E24D8" w:rsidRPr="004813B9" w:rsidRDefault="000E24D8" w:rsidP="000E24D8">
      <w:pPr>
        <w:rPr>
          <w:rFonts w:ascii="Arial" w:hAnsi="Arial"/>
          <w:b/>
          <w:bCs/>
          <w:sz w:val="26"/>
          <w:szCs w:val="26"/>
          <w:rtl/>
        </w:rPr>
      </w:pPr>
    </w:p>
    <w:p w14:paraId="3D12670D" w14:textId="77777777" w:rsidR="000E24D8" w:rsidRPr="004813B9" w:rsidRDefault="000E24D8" w:rsidP="000E24D8">
      <w:pPr>
        <w:rPr>
          <w:rFonts w:ascii="Arial" w:hAnsi="Arial"/>
          <w:b/>
          <w:bCs/>
          <w:sz w:val="26"/>
          <w:szCs w:val="26"/>
          <w:rtl/>
        </w:rPr>
      </w:pPr>
    </w:p>
    <w:p w14:paraId="06082103" w14:textId="77777777" w:rsidR="000E24D8" w:rsidRPr="004813B9" w:rsidRDefault="000E24D8" w:rsidP="000E24D8">
      <w:pPr>
        <w:pStyle w:val="a9"/>
        <w:numPr>
          <w:ilvl w:val="0"/>
          <w:numId w:val="1"/>
        </w:numPr>
        <w:spacing w:line="360" w:lineRule="auto"/>
        <w:jc w:val="both"/>
        <w:rPr>
          <w:rFonts w:ascii="David" w:hAnsi="David"/>
        </w:rPr>
      </w:pPr>
      <w:bookmarkStart w:id="6" w:name="ABSTRACT_START"/>
      <w:bookmarkEnd w:id="6"/>
      <w:r w:rsidRPr="004813B9">
        <w:rPr>
          <w:rFonts w:ascii="David" w:hAnsi="David"/>
          <w:rtl/>
        </w:rPr>
        <w:t xml:space="preserve">נאשם </w:t>
      </w:r>
      <w:r w:rsidRPr="004813B9">
        <w:rPr>
          <w:rFonts w:ascii="David" w:hAnsi="David" w:hint="cs"/>
          <w:rtl/>
        </w:rPr>
        <w:t xml:space="preserve">1 </w:t>
      </w:r>
      <w:r w:rsidRPr="004813B9">
        <w:rPr>
          <w:rFonts w:ascii="David" w:hAnsi="David"/>
          <w:rtl/>
        </w:rPr>
        <w:t xml:space="preserve">הורשע </w:t>
      </w:r>
      <w:r w:rsidRPr="004813B9">
        <w:rPr>
          <w:rFonts w:ascii="David" w:hAnsi="David" w:hint="cs"/>
          <w:rtl/>
        </w:rPr>
        <w:t xml:space="preserve">על פי הודאתו בכתב האישום המתוקן </w:t>
      </w:r>
      <w:r w:rsidRPr="004813B9">
        <w:rPr>
          <w:rFonts w:ascii="David" w:hAnsi="David"/>
          <w:rtl/>
        </w:rPr>
        <w:t xml:space="preserve">בעבירות נשק (הובלה ונשיאה) לפי </w:t>
      </w:r>
      <w:hyperlink r:id="rId14" w:history="1">
        <w:r w:rsidR="004813B9" w:rsidRPr="004813B9">
          <w:rPr>
            <w:rStyle w:val="Hyperlink"/>
            <w:rFonts w:ascii="David" w:hAnsi="David"/>
            <w:rtl/>
          </w:rPr>
          <w:t>סעיפים 144(א)</w:t>
        </w:r>
      </w:hyperlink>
      <w:r w:rsidRPr="004813B9">
        <w:rPr>
          <w:rFonts w:ascii="David" w:hAnsi="David"/>
          <w:rtl/>
        </w:rPr>
        <w:t xml:space="preserve"> רישא וסיפא </w:t>
      </w:r>
      <w:hyperlink r:id="rId15" w:history="1">
        <w:r w:rsidR="004813B9" w:rsidRPr="004813B9">
          <w:rPr>
            <w:rStyle w:val="Hyperlink"/>
            <w:rFonts w:ascii="David" w:hAnsi="David"/>
            <w:rtl/>
          </w:rPr>
          <w:t>וסעיף 144(ב)</w:t>
        </w:r>
      </w:hyperlink>
      <w:r w:rsidRPr="004813B9">
        <w:rPr>
          <w:rFonts w:ascii="David" w:hAnsi="David"/>
          <w:rtl/>
        </w:rPr>
        <w:t xml:space="preserve"> רישא וסיפא ל</w:t>
      </w:r>
      <w:hyperlink r:id="rId16" w:history="1">
        <w:r w:rsidR="003628B1" w:rsidRPr="004813B9">
          <w:rPr>
            <w:rFonts w:ascii="David" w:hAnsi="David"/>
            <w:color w:val="0000FF"/>
            <w:u w:val="single"/>
            <w:rtl/>
          </w:rPr>
          <w:t>חוק העונשין</w:t>
        </w:r>
      </w:hyperlink>
      <w:r w:rsidRPr="004813B9">
        <w:rPr>
          <w:rFonts w:ascii="David" w:hAnsi="David"/>
          <w:rtl/>
        </w:rPr>
        <w:t>, תשל"ז-1977 (להלן: "</w:t>
      </w:r>
      <w:r w:rsidRPr="004813B9">
        <w:rPr>
          <w:rFonts w:ascii="David" w:hAnsi="David"/>
          <w:b/>
          <w:bCs/>
          <w:rtl/>
        </w:rPr>
        <w:t>החוק</w:t>
      </w:r>
      <w:r w:rsidRPr="004813B9">
        <w:rPr>
          <w:rFonts w:ascii="David" w:hAnsi="David"/>
          <w:rtl/>
        </w:rPr>
        <w:t>").</w:t>
      </w:r>
    </w:p>
    <w:p w14:paraId="00E727EA" w14:textId="77777777" w:rsidR="000E24D8" w:rsidRPr="004813B9" w:rsidRDefault="000E24D8" w:rsidP="000E24D8">
      <w:pPr>
        <w:pStyle w:val="a9"/>
        <w:spacing w:line="360" w:lineRule="auto"/>
        <w:jc w:val="both"/>
        <w:rPr>
          <w:rFonts w:ascii="David" w:hAnsi="David"/>
        </w:rPr>
      </w:pPr>
    </w:p>
    <w:p w14:paraId="3EF2FBD9" w14:textId="77777777" w:rsidR="000E24D8" w:rsidRPr="004813B9" w:rsidRDefault="000E24D8" w:rsidP="000E24D8">
      <w:pPr>
        <w:pStyle w:val="a9"/>
        <w:numPr>
          <w:ilvl w:val="0"/>
          <w:numId w:val="1"/>
        </w:numPr>
        <w:spacing w:line="360" w:lineRule="auto"/>
        <w:jc w:val="both"/>
        <w:rPr>
          <w:rFonts w:ascii="David" w:hAnsi="David"/>
        </w:rPr>
      </w:pPr>
      <w:bookmarkStart w:id="7" w:name="ABSTRACT_END"/>
      <w:bookmarkEnd w:id="7"/>
      <w:r w:rsidRPr="004813B9">
        <w:rPr>
          <w:rFonts w:ascii="David" w:hAnsi="David"/>
          <w:rtl/>
        </w:rPr>
        <w:t xml:space="preserve">על פי </w:t>
      </w:r>
      <w:r w:rsidRPr="004813B9">
        <w:rPr>
          <w:rFonts w:ascii="David" w:hAnsi="David" w:hint="cs"/>
          <w:rtl/>
        </w:rPr>
        <w:t>עובדות</w:t>
      </w:r>
      <w:r w:rsidRPr="004813B9">
        <w:rPr>
          <w:rFonts w:ascii="David" w:hAnsi="David"/>
          <w:rtl/>
        </w:rPr>
        <w:t xml:space="preserve"> כתב האישום המתוקן, בין </w:t>
      </w:r>
      <w:r w:rsidRPr="004813B9">
        <w:rPr>
          <w:rFonts w:ascii="David" w:hAnsi="David" w:hint="cs"/>
          <w:rtl/>
        </w:rPr>
        <w:t>נאשם 1 לנאשם 2</w:t>
      </w:r>
      <w:r w:rsidRPr="004813B9">
        <w:rPr>
          <w:rFonts w:ascii="David" w:hAnsi="David"/>
          <w:rtl/>
        </w:rPr>
        <w:t xml:space="preserve"> היכרות מוקדמת ויחסי חברות. ביום 27.11.21, </w:t>
      </w:r>
      <w:r w:rsidRPr="004813B9">
        <w:rPr>
          <w:rFonts w:ascii="David" w:hAnsi="David" w:hint="cs"/>
          <w:rtl/>
        </w:rPr>
        <w:t>בסמוך</w:t>
      </w:r>
      <w:r w:rsidRPr="004813B9">
        <w:rPr>
          <w:rFonts w:ascii="David" w:hAnsi="David"/>
          <w:rtl/>
        </w:rPr>
        <w:t xml:space="preserve"> לשעה 16:40, נסעו הנאשמים ברכב כשנאשם 2 נוהג, לצדו אדם שזהותו אינה ידועה </w:t>
      </w:r>
      <w:r w:rsidRPr="004813B9">
        <w:rPr>
          <w:rFonts w:ascii="David" w:hAnsi="David" w:hint="cs"/>
          <w:rtl/>
        </w:rPr>
        <w:t>(להלן: "</w:t>
      </w:r>
      <w:r w:rsidRPr="004813B9">
        <w:rPr>
          <w:rFonts w:ascii="David" w:hAnsi="David" w:hint="eastAsia"/>
          <w:b/>
          <w:bCs/>
          <w:rtl/>
        </w:rPr>
        <w:t>האחר</w:t>
      </w:r>
      <w:r w:rsidRPr="004813B9">
        <w:rPr>
          <w:rFonts w:ascii="David" w:hAnsi="David" w:hint="cs"/>
          <w:rtl/>
        </w:rPr>
        <w:t xml:space="preserve">") </w:t>
      </w:r>
      <w:r w:rsidRPr="004813B9">
        <w:rPr>
          <w:rFonts w:ascii="David" w:hAnsi="David"/>
          <w:rtl/>
        </w:rPr>
        <w:t>ובספסל האחורי י</w:t>
      </w:r>
      <w:r w:rsidRPr="004813B9">
        <w:rPr>
          <w:rFonts w:ascii="David" w:hAnsi="David" w:hint="cs"/>
          <w:rtl/>
        </w:rPr>
        <w:t>ו</w:t>
      </w:r>
      <w:r w:rsidRPr="004813B9">
        <w:rPr>
          <w:rFonts w:ascii="David" w:hAnsi="David"/>
          <w:rtl/>
        </w:rPr>
        <w:t>שבים נאשם 1 ושניים נוספים שזהותם אינה ידוע</w:t>
      </w:r>
      <w:r w:rsidRPr="004813B9">
        <w:rPr>
          <w:rFonts w:ascii="David" w:hAnsi="David" w:hint="cs"/>
          <w:rtl/>
        </w:rPr>
        <w:t>ה (להלן: "</w:t>
      </w:r>
      <w:r w:rsidRPr="004813B9">
        <w:rPr>
          <w:rFonts w:ascii="David" w:hAnsi="David" w:hint="eastAsia"/>
          <w:b/>
          <w:bCs/>
          <w:rtl/>
        </w:rPr>
        <w:t>הנוספים</w:t>
      </w:r>
      <w:r w:rsidRPr="004813B9">
        <w:rPr>
          <w:rFonts w:ascii="David" w:hAnsi="David" w:hint="cs"/>
          <w:rtl/>
        </w:rPr>
        <w:t>")</w:t>
      </w:r>
      <w:r w:rsidRPr="004813B9">
        <w:rPr>
          <w:rFonts w:ascii="David" w:hAnsi="David"/>
          <w:rtl/>
        </w:rPr>
        <w:t xml:space="preserve">. האחר החזיק, נשא והוביל אקדח חצי אוטומטי </w:t>
      </w:r>
      <w:r w:rsidRPr="004813B9">
        <w:rPr>
          <w:rFonts w:ascii="David" w:hAnsi="David"/>
        </w:rPr>
        <w:t>FN</w:t>
      </w:r>
      <w:r w:rsidRPr="004813B9">
        <w:rPr>
          <w:rFonts w:ascii="David" w:hAnsi="David"/>
          <w:rtl/>
        </w:rPr>
        <w:t xml:space="preserve"> טעון במחסנית תואמת ובתחמושת, זאת בסיועו של נאשם 2 אשר נהג ברכב.</w:t>
      </w:r>
    </w:p>
    <w:p w14:paraId="0AB48462" w14:textId="77777777" w:rsidR="000E24D8" w:rsidRPr="004813B9" w:rsidRDefault="000E24D8" w:rsidP="000E24D8">
      <w:pPr>
        <w:spacing w:line="360" w:lineRule="auto"/>
        <w:jc w:val="both"/>
        <w:rPr>
          <w:rFonts w:ascii="David" w:hAnsi="David"/>
        </w:rPr>
      </w:pPr>
    </w:p>
    <w:p w14:paraId="4A476CA8" w14:textId="77777777" w:rsidR="000E24D8" w:rsidRPr="004813B9" w:rsidRDefault="000E24D8" w:rsidP="000E24D8">
      <w:pPr>
        <w:pStyle w:val="a9"/>
        <w:spacing w:line="360" w:lineRule="auto"/>
        <w:jc w:val="both"/>
        <w:rPr>
          <w:rFonts w:ascii="David" w:hAnsi="David"/>
          <w:rtl/>
        </w:rPr>
      </w:pPr>
      <w:r w:rsidRPr="004813B9">
        <w:rPr>
          <w:rFonts w:ascii="David" w:hAnsi="David"/>
          <w:rtl/>
        </w:rPr>
        <w:lastRenderedPageBreak/>
        <w:t>בשעה 16:47 לערך, הגיעו החמישה ברכב אל רחוב ואדי אל חרובה, בבאקה אל-גרביה. נאשם 2 עצר את הרכב בפתאומיות בשולי הדרך, והאחר יצא מתוכו, שלף את האקדח והחל לירות ממרחק של מספר מטרים לעבר רכב לבן שנסע אחרי ר</w:t>
      </w:r>
      <w:r w:rsidRPr="004813B9">
        <w:rPr>
          <w:rFonts w:ascii="David" w:hAnsi="David" w:hint="cs"/>
          <w:rtl/>
        </w:rPr>
        <w:t>כ</w:t>
      </w:r>
      <w:r w:rsidRPr="004813B9">
        <w:rPr>
          <w:rFonts w:ascii="David" w:hAnsi="David"/>
          <w:rtl/>
        </w:rPr>
        <w:t xml:space="preserve">בם של הנאשמים. בד בבד עם יציאתו של האחר מהרכב, יצא </w:t>
      </w:r>
      <w:r w:rsidRPr="004813B9">
        <w:rPr>
          <w:rFonts w:ascii="David" w:hAnsi="David" w:hint="cs"/>
          <w:rtl/>
        </w:rPr>
        <w:t>ממנו</w:t>
      </w:r>
      <w:r w:rsidRPr="004813B9">
        <w:rPr>
          <w:rFonts w:ascii="David" w:hAnsi="David"/>
          <w:rtl/>
        </w:rPr>
        <w:t xml:space="preserve"> גם נאשם 2 ולאחריו יצאו מהרכב גם הנוספים. נאשם 2 ניגש במהירות לעברו של האחר, אחז בו ומנע המשך הירי. הרכב הלבן נמלט מהמקום. </w:t>
      </w:r>
    </w:p>
    <w:p w14:paraId="312046B1" w14:textId="77777777" w:rsidR="000E24D8" w:rsidRPr="004813B9" w:rsidRDefault="000E24D8" w:rsidP="000E24D8">
      <w:pPr>
        <w:pStyle w:val="a9"/>
        <w:spacing w:line="360" w:lineRule="auto"/>
        <w:jc w:val="both"/>
        <w:rPr>
          <w:rFonts w:ascii="David" w:hAnsi="David"/>
          <w:rtl/>
        </w:rPr>
      </w:pPr>
    </w:p>
    <w:p w14:paraId="3E44D017" w14:textId="77777777" w:rsidR="000E24D8" w:rsidRPr="004813B9" w:rsidRDefault="000E24D8" w:rsidP="000E24D8">
      <w:pPr>
        <w:pStyle w:val="a9"/>
        <w:spacing w:line="360" w:lineRule="auto"/>
        <w:jc w:val="both"/>
        <w:rPr>
          <w:rFonts w:ascii="David" w:hAnsi="David"/>
          <w:rtl/>
        </w:rPr>
      </w:pPr>
      <w:r w:rsidRPr="004813B9">
        <w:rPr>
          <w:rFonts w:ascii="David" w:hAnsi="David"/>
          <w:rtl/>
        </w:rPr>
        <w:t xml:space="preserve">זמן קצר לאחר </w:t>
      </w:r>
      <w:r w:rsidRPr="004813B9">
        <w:rPr>
          <w:rFonts w:ascii="David" w:hAnsi="David" w:hint="cs"/>
          <w:rtl/>
        </w:rPr>
        <w:t>מכן</w:t>
      </w:r>
      <w:r w:rsidRPr="004813B9">
        <w:rPr>
          <w:rFonts w:ascii="David" w:hAnsi="David"/>
          <w:rtl/>
        </w:rPr>
        <w:t>, הגיעו למקום רכבים נוספים ובמקום התפתחה קטטה ששככה כעבור מספר דקות. ב</w:t>
      </w:r>
      <w:r w:rsidRPr="004813B9">
        <w:rPr>
          <w:rFonts w:ascii="David" w:hAnsi="David" w:hint="cs"/>
          <w:rtl/>
        </w:rPr>
        <w:t>תוך כך</w:t>
      </w:r>
      <w:r w:rsidRPr="004813B9">
        <w:rPr>
          <w:rFonts w:ascii="David" w:hAnsi="David"/>
          <w:rtl/>
        </w:rPr>
        <w:t xml:space="preserve">, נאשם 1 קיבל לידיו את האקדח, </w:t>
      </w:r>
      <w:r w:rsidRPr="004813B9">
        <w:rPr>
          <w:rFonts w:ascii="David" w:hAnsi="David" w:hint="cs"/>
          <w:rtl/>
        </w:rPr>
        <w:t>בסיוע</w:t>
      </w:r>
      <w:r w:rsidRPr="004813B9">
        <w:rPr>
          <w:rFonts w:ascii="David" w:hAnsi="David"/>
          <w:rtl/>
        </w:rPr>
        <w:t xml:space="preserve"> של נאשם 2, נכנס אל כיסא הנהג ברכב ונסע מהמקום כשהוא מחזיק, נושא ומוביל את הנשק. בשלב זה הגיעו למקום עמראן גאנם, חברם של הנאשמים, ואדם נוסף. </w:t>
      </w:r>
      <w:r w:rsidRPr="004813B9">
        <w:rPr>
          <w:rFonts w:ascii="David" w:hAnsi="David" w:hint="cs"/>
          <w:rtl/>
        </w:rPr>
        <w:t>בחלוף</w:t>
      </w:r>
      <w:r w:rsidRPr="004813B9">
        <w:rPr>
          <w:rFonts w:ascii="David" w:hAnsi="David"/>
          <w:rtl/>
        </w:rPr>
        <w:t xml:space="preserve"> מספר דקות נאשם 1 שב למקום כשהוא נוהג ברכב, מחזיק, נושא ומוביל ברשותו את האקדח. נאשם 1 עצר את הרכב בסמוך לנאשם 2 ולעמראן, אשר נכנסו לרכב והשלושה נסעו מהמקום, כאשר נאשם 2 מסייע לנאשם 1 להחזיק, לשאת ולהוביל את הנשק. זמן קצר לאחר מכן נעצרו השלושה על ידי קצין משטרה.</w:t>
      </w:r>
    </w:p>
    <w:p w14:paraId="70EFC963" w14:textId="77777777" w:rsidR="000E24D8" w:rsidRPr="004813B9" w:rsidRDefault="000E24D8" w:rsidP="000E24D8">
      <w:pPr>
        <w:pStyle w:val="a9"/>
        <w:spacing w:line="360" w:lineRule="auto"/>
        <w:jc w:val="both"/>
        <w:rPr>
          <w:rFonts w:ascii="David" w:hAnsi="David"/>
          <w:rtl/>
        </w:rPr>
      </w:pPr>
    </w:p>
    <w:p w14:paraId="3A0DBC4C"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להשלמת התמונה יצוין כי נאשם 2 הודה גם הוא בכתב האישום המתוקן והורשע על פי הודאתו בסיוע לעבירות בנשק לפי </w:t>
      </w:r>
      <w:hyperlink r:id="rId17" w:history="1">
        <w:r w:rsidR="004813B9" w:rsidRPr="004813B9">
          <w:rPr>
            <w:rStyle w:val="Hyperlink"/>
            <w:rFonts w:ascii="David" w:hAnsi="David" w:hint="eastAsia"/>
            <w:rtl/>
          </w:rPr>
          <w:t>סעיפים</w:t>
        </w:r>
        <w:r w:rsidR="004813B9" w:rsidRPr="004813B9">
          <w:rPr>
            <w:rStyle w:val="Hyperlink"/>
            <w:rFonts w:ascii="David" w:hAnsi="David"/>
            <w:rtl/>
          </w:rPr>
          <w:t xml:space="preserve"> 144(א)</w:t>
        </w:r>
      </w:hyperlink>
      <w:r w:rsidRPr="004813B9">
        <w:rPr>
          <w:rFonts w:ascii="David" w:hAnsi="David" w:hint="cs"/>
          <w:rtl/>
        </w:rPr>
        <w:t xml:space="preserve"> רישא וסיפא </w:t>
      </w:r>
      <w:hyperlink r:id="rId18" w:history="1">
        <w:r w:rsidR="004813B9" w:rsidRPr="004813B9">
          <w:rPr>
            <w:rStyle w:val="Hyperlink"/>
            <w:rFonts w:ascii="David" w:hAnsi="David" w:hint="eastAsia"/>
            <w:rtl/>
          </w:rPr>
          <w:t>וסעיף</w:t>
        </w:r>
        <w:r w:rsidR="004813B9" w:rsidRPr="004813B9">
          <w:rPr>
            <w:rStyle w:val="Hyperlink"/>
            <w:rFonts w:ascii="David" w:hAnsi="David"/>
            <w:rtl/>
          </w:rPr>
          <w:t xml:space="preserve"> 144(ב)</w:t>
        </w:r>
      </w:hyperlink>
      <w:r w:rsidRPr="004813B9">
        <w:rPr>
          <w:rFonts w:ascii="David" w:hAnsi="David" w:hint="cs"/>
          <w:rtl/>
        </w:rPr>
        <w:t xml:space="preserve"> רישא וסיפא בצרוף </w:t>
      </w:r>
      <w:hyperlink r:id="rId19" w:history="1">
        <w:r w:rsidR="004813B9" w:rsidRPr="004813B9">
          <w:rPr>
            <w:rStyle w:val="Hyperlink"/>
            <w:rFonts w:ascii="David" w:hAnsi="David" w:hint="eastAsia"/>
            <w:rtl/>
          </w:rPr>
          <w:t>סעיף</w:t>
        </w:r>
        <w:r w:rsidR="004813B9" w:rsidRPr="004813B9">
          <w:rPr>
            <w:rStyle w:val="Hyperlink"/>
            <w:rFonts w:ascii="David" w:hAnsi="David"/>
            <w:rtl/>
          </w:rPr>
          <w:t xml:space="preserve"> 31</w:t>
        </w:r>
      </w:hyperlink>
      <w:r w:rsidRPr="004813B9">
        <w:rPr>
          <w:rFonts w:ascii="David" w:hAnsi="David" w:hint="cs"/>
          <w:rtl/>
        </w:rPr>
        <w:t xml:space="preserve"> ל</w:t>
      </w:r>
      <w:hyperlink r:id="rId20" w:history="1">
        <w:r w:rsidR="003628B1" w:rsidRPr="004813B9">
          <w:rPr>
            <w:rFonts w:ascii="David" w:hAnsi="David"/>
            <w:color w:val="0000FF"/>
            <w:u w:val="single"/>
            <w:rtl/>
          </w:rPr>
          <w:t>חוק העונשין</w:t>
        </w:r>
      </w:hyperlink>
      <w:r w:rsidRPr="004813B9">
        <w:rPr>
          <w:rFonts w:ascii="David" w:hAnsi="David" w:hint="cs"/>
          <w:rtl/>
        </w:rPr>
        <w:t xml:space="preserve">. בדיון שנערך ביום 20.7.22 הצדדים הציגו הסדר עונשי ביחס לנאשם 2, אותו מצאתי לאמץ, כך שהוטלו על נאשם 2 שישה חודשים ו-12 ימי מאסר בפועל (אותם ריצה כימי מעצרו) ומאסר על תנאי בן 6 חודשים למשך 3 שנים שלא יעבור עבירות בנשק. </w:t>
      </w:r>
    </w:p>
    <w:p w14:paraId="3BFD87A7" w14:textId="77777777" w:rsidR="000E24D8" w:rsidRPr="004813B9" w:rsidRDefault="000E24D8" w:rsidP="000E24D8">
      <w:pPr>
        <w:spacing w:line="360" w:lineRule="auto"/>
        <w:jc w:val="both"/>
        <w:rPr>
          <w:rFonts w:ascii="David" w:hAnsi="David"/>
          <w:rtl/>
        </w:rPr>
      </w:pPr>
    </w:p>
    <w:p w14:paraId="0849D58F" w14:textId="77777777" w:rsidR="000E24D8" w:rsidRPr="004813B9" w:rsidRDefault="000E24D8" w:rsidP="000E24D8">
      <w:pPr>
        <w:spacing w:line="360" w:lineRule="auto"/>
        <w:jc w:val="both"/>
        <w:rPr>
          <w:rFonts w:ascii="David" w:hAnsi="David"/>
          <w:b/>
          <w:bCs/>
          <w:u w:val="single"/>
          <w:rtl/>
        </w:rPr>
      </w:pPr>
      <w:r w:rsidRPr="004813B9">
        <w:rPr>
          <w:rFonts w:ascii="David" w:hAnsi="David"/>
          <w:b/>
          <w:bCs/>
          <w:u w:val="single"/>
          <w:rtl/>
        </w:rPr>
        <w:t>טיעוני המאשימה</w:t>
      </w:r>
    </w:p>
    <w:p w14:paraId="139271CB" w14:textId="77777777" w:rsidR="000E24D8" w:rsidRPr="004813B9" w:rsidRDefault="000E24D8" w:rsidP="000E24D8">
      <w:pPr>
        <w:spacing w:line="360" w:lineRule="auto"/>
        <w:jc w:val="both"/>
        <w:rPr>
          <w:rFonts w:ascii="David" w:hAnsi="David"/>
          <w:b/>
          <w:bCs/>
          <w:u w:val="single"/>
          <w:rtl/>
        </w:rPr>
      </w:pPr>
    </w:p>
    <w:p w14:paraId="74243DFA"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 xml:space="preserve">המאשימה עתרה למתחם ענישה שנע בין </w:t>
      </w:r>
      <w:r w:rsidRPr="004813B9">
        <w:rPr>
          <w:rFonts w:ascii="David" w:hAnsi="David" w:hint="cs"/>
          <w:rtl/>
        </w:rPr>
        <w:t>2-4 שנות</w:t>
      </w:r>
      <w:r w:rsidRPr="004813B9">
        <w:rPr>
          <w:rFonts w:ascii="David" w:hAnsi="David"/>
          <w:rtl/>
        </w:rPr>
        <w:t xml:space="preserve"> מאסר בפועל</w:t>
      </w:r>
      <w:r w:rsidRPr="004813B9">
        <w:rPr>
          <w:rFonts w:ascii="David" w:hAnsi="David" w:hint="cs"/>
          <w:rtl/>
        </w:rPr>
        <w:t>, וביקשה שעונשו של נאשם 1 ימוקם בשליש התחתון של המתחם, וכן ביקשה שיוטל עליו עונש מאסר על תנאי</w:t>
      </w:r>
      <w:r w:rsidRPr="004813B9">
        <w:rPr>
          <w:rFonts w:ascii="David" w:hAnsi="David"/>
          <w:rtl/>
        </w:rPr>
        <w:t>.</w:t>
      </w:r>
    </w:p>
    <w:p w14:paraId="2D6A99BB" w14:textId="77777777" w:rsidR="000E24D8" w:rsidRPr="004813B9" w:rsidRDefault="000E24D8" w:rsidP="000E24D8">
      <w:pPr>
        <w:spacing w:line="360" w:lineRule="auto"/>
        <w:jc w:val="both"/>
        <w:rPr>
          <w:rFonts w:ascii="David" w:hAnsi="David"/>
        </w:rPr>
      </w:pPr>
    </w:p>
    <w:p w14:paraId="6D9862CA"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 xml:space="preserve">נטען שהערכים החברתיים שנפגעו </w:t>
      </w:r>
      <w:r w:rsidRPr="004813B9">
        <w:rPr>
          <w:rFonts w:ascii="David" w:hAnsi="David" w:hint="cs"/>
          <w:rtl/>
        </w:rPr>
        <w:t>מביצוע העבירה</w:t>
      </w:r>
      <w:r w:rsidRPr="004813B9">
        <w:rPr>
          <w:rFonts w:ascii="David" w:hAnsi="David"/>
          <w:rtl/>
        </w:rPr>
        <w:t xml:space="preserve"> ה</w:t>
      </w:r>
      <w:r w:rsidRPr="004813B9">
        <w:rPr>
          <w:rFonts w:ascii="David" w:hAnsi="David" w:hint="cs"/>
          <w:rtl/>
        </w:rPr>
        <w:t>ם</w:t>
      </w:r>
      <w:r w:rsidRPr="004813B9">
        <w:rPr>
          <w:rFonts w:ascii="David" w:hAnsi="David"/>
          <w:rtl/>
        </w:rPr>
        <w:t xml:space="preserve"> </w:t>
      </w:r>
      <w:r w:rsidRPr="004813B9">
        <w:rPr>
          <w:rFonts w:ascii="David" w:hAnsi="David" w:hint="cs"/>
          <w:rtl/>
        </w:rPr>
        <w:t xml:space="preserve">שלטון החוק, </w:t>
      </w:r>
      <w:r w:rsidRPr="004813B9">
        <w:rPr>
          <w:rFonts w:ascii="David" w:hAnsi="David"/>
          <w:rtl/>
        </w:rPr>
        <w:t xml:space="preserve">שלום </w:t>
      </w:r>
      <w:r w:rsidRPr="004813B9">
        <w:rPr>
          <w:rFonts w:ascii="David" w:hAnsi="David" w:hint="cs"/>
          <w:rtl/>
        </w:rPr>
        <w:t xml:space="preserve">הציבור וביטחונו. </w:t>
      </w:r>
    </w:p>
    <w:p w14:paraId="0A12C0A5" w14:textId="77777777" w:rsidR="000E24D8" w:rsidRPr="004813B9" w:rsidRDefault="000E24D8" w:rsidP="000E24D8">
      <w:pPr>
        <w:spacing w:line="360" w:lineRule="auto"/>
        <w:jc w:val="both"/>
        <w:rPr>
          <w:rFonts w:ascii="David" w:hAnsi="David"/>
        </w:rPr>
      </w:pPr>
    </w:p>
    <w:p w14:paraId="0C7524BB"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באשר לנסיבות הקשורות בביצוע העבירה</w:t>
      </w:r>
      <w:r w:rsidRPr="004813B9">
        <w:rPr>
          <w:rFonts w:ascii="David" w:hAnsi="David" w:hint="cs"/>
          <w:rtl/>
        </w:rPr>
        <w:t>,</w:t>
      </w:r>
      <w:r w:rsidRPr="004813B9">
        <w:rPr>
          <w:rFonts w:ascii="David" w:hAnsi="David"/>
          <w:rtl/>
        </w:rPr>
        <w:t xml:space="preserve"> נטען כי חלקו של הנאשם 1 היה </w:t>
      </w:r>
      <w:r w:rsidRPr="004813B9">
        <w:rPr>
          <w:rFonts w:ascii="David" w:hAnsi="David" w:hint="cs"/>
          <w:rtl/>
        </w:rPr>
        <w:t>ה</w:t>
      </w:r>
      <w:r w:rsidRPr="004813B9">
        <w:rPr>
          <w:rFonts w:ascii="David" w:hAnsi="David"/>
          <w:rtl/>
        </w:rPr>
        <w:t xml:space="preserve">עיקרי. </w:t>
      </w:r>
      <w:r w:rsidRPr="004813B9">
        <w:rPr>
          <w:rFonts w:ascii="David" w:hAnsi="David" w:hint="cs"/>
          <w:rtl/>
        </w:rPr>
        <w:t xml:space="preserve">נטען כי הנזק שהיה צפוי מביצוע העבירה היה עלול להיות חמור, וצוין כי דובר בנשיאה, החזקה והובלה של נשק על </w:t>
      </w:r>
      <w:r w:rsidRPr="004813B9">
        <w:rPr>
          <w:rFonts w:ascii="David" w:hAnsi="David"/>
          <w:rtl/>
        </w:rPr>
        <w:t xml:space="preserve">רקע קטטה רבת משתתפים וסכסוך חי שאף כלל ירי. </w:t>
      </w:r>
      <w:r w:rsidRPr="004813B9">
        <w:rPr>
          <w:rFonts w:ascii="David" w:hAnsi="David" w:hint="cs"/>
          <w:rtl/>
        </w:rPr>
        <w:t>נטען ש</w:t>
      </w:r>
      <w:r w:rsidRPr="004813B9">
        <w:rPr>
          <w:rFonts w:ascii="David" w:hAnsi="David"/>
          <w:rtl/>
        </w:rPr>
        <w:t xml:space="preserve">לא ניתן להצביע על סיבה מסוימת או מניע ייחודי שהביאו את הנאשם לבצע את העבירות המיוחסות לו. </w:t>
      </w:r>
      <w:r w:rsidRPr="004813B9">
        <w:rPr>
          <w:rFonts w:ascii="David" w:hAnsi="David" w:hint="cs"/>
          <w:rtl/>
        </w:rPr>
        <w:t>נטען ש</w:t>
      </w:r>
      <w:r w:rsidRPr="004813B9">
        <w:rPr>
          <w:rFonts w:ascii="David" w:hAnsi="David"/>
          <w:rtl/>
        </w:rPr>
        <w:t>הנאשם בגיר, היה מודע היטב למעשיו, לחומרתם ולהשלכותיהם אך לא נמנע מ</w:t>
      </w:r>
      <w:r w:rsidRPr="004813B9">
        <w:rPr>
          <w:rFonts w:ascii="David" w:hAnsi="David" w:hint="cs"/>
          <w:rtl/>
        </w:rPr>
        <w:t>ביצועם, וצוין כי העבירה בוצע בצוותא חדא עם אחרים</w:t>
      </w:r>
      <w:r w:rsidRPr="004813B9">
        <w:rPr>
          <w:rFonts w:ascii="David" w:hAnsi="David"/>
          <w:rtl/>
        </w:rPr>
        <w:t>.</w:t>
      </w:r>
      <w:r w:rsidRPr="004813B9">
        <w:rPr>
          <w:rFonts w:ascii="David" w:hAnsi="David" w:hint="cs"/>
          <w:rtl/>
        </w:rPr>
        <w:t xml:space="preserve"> </w:t>
      </w:r>
      <w:r w:rsidRPr="004813B9">
        <w:rPr>
          <w:rFonts w:ascii="David" w:hAnsi="David" w:hint="cs"/>
          <w:rtl/>
        </w:rPr>
        <w:lastRenderedPageBreak/>
        <w:t xml:space="preserve">נטען כי חומרא יתרה יש בכך שהעבירות בוצעו </w:t>
      </w:r>
      <w:r w:rsidRPr="004813B9">
        <w:rPr>
          <w:rFonts w:ascii="David" w:hAnsi="David"/>
          <w:rtl/>
        </w:rPr>
        <w:t>לאור יום באזור מגורים, כאשר האקדח טעון כדורים ומוכן לירי מיידי.</w:t>
      </w:r>
    </w:p>
    <w:p w14:paraId="050EC28C" w14:textId="77777777" w:rsidR="000E24D8" w:rsidRPr="004813B9" w:rsidRDefault="000E24D8" w:rsidP="000E24D8">
      <w:pPr>
        <w:pStyle w:val="a9"/>
        <w:spacing w:line="360" w:lineRule="auto"/>
        <w:jc w:val="both"/>
        <w:rPr>
          <w:rFonts w:ascii="David" w:hAnsi="David"/>
        </w:rPr>
      </w:pPr>
    </w:p>
    <w:p w14:paraId="224A3992"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המאשימה הפנתה לפסיקה כדלקמן:</w:t>
      </w:r>
    </w:p>
    <w:p w14:paraId="148F5F2C" w14:textId="77777777" w:rsidR="000E24D8" w:rsidRPr="004813B9" w:rsidRDefault="000E24D8" w:rsidP="000E24D8">
      <w:pPr>
        <w:pStyle w:val="a9"/>
        <w:spacing w:line="360" w:lineRule="auto"/>
        <w:jc w:val="both"/>
        <w:rPr>
          <w:rFonts w:ascii="David" w:hAnsi="David"/>
        </w:rPr>
      </w:pPr>
    </w:p>
    <w:p w14:paraId="5B42D940" w14:textId="77777777" w:rsidR="000E24D8" w:rsidRPr="004813B9" w:rsidRDefault="003628B1" w:rsidP="000E24D8">
      <w:pPr>
        <w:pStyle w:val="a9"/>
        <w:numPr>
          <w:ilvl w:val="0"/>
          <w:numId w:val="2"/>
        </w:numPr>
        <w:spacing w:line="360" w:lineRule="auto"/>
        <w:jc w:val="both"/>
        <w:rPr>
          <w:rFonts w:ascii="David" w:hAnsi="David"/>
        </w:rPr>
      </w:pPr>
      <w:hyperlink r:id="rId21" w:history="1">
        <w:r w:rsidRPr="004813B9">
          <w:rPr>
            <w:rFonts w:ascii="David" w:hAnsi="David"/>
            <w:color w:val="0000FF"/>
            <w:u w:val="single"/>
            <w:rtl/>
          </w:rPr>
          <w:t>ע"פ 5602/22</w:t>
        </w:r>
      </w:hyperlink>
      <w:r w:rsidR="000E24D8" w:rsidRPr="004813B9">
        <w:rPr>
          <w:rFonts w:ascii="David" w:hAnsi="David"/>
          <w:rtl/>
        </w:rPr>
        <w:t xml:space="preserve"> </w:t>
      </w:r>
      <w:r w:rsidR="000E24D8" w:rsidRPr="004813B9">
        <w:rPr>
          <w:rFonts w:ascii="David" w:hAnsi="David"/>
          <w:b/>
          <w:bCs/>
          <w:rtl/>
        </w:rPr>
        <w:t>מדינת ישראל נ' פלוני</w:t>
      </w:r>
      <w:r w:rsidR="000E24D8" w:rsidRPr="004813B9">
        <w:rPr>
          <w:rFonts w:ascii="David" w:hAnsi="David"/>
          <w:rtl/>
        </w:rPr>
        <w:t xml:space="preserve"> (14.09.22), שם </w:t>
      </w:r>
      <w:r w:rsidR="000E24D8" w:rsidRPr="004813B9">
        <w:rPr>
          <w:rFonts w:ascii="David" w:hAnsi="David" w:hint="cs"/>
          <w:rtl/>
        </w:rPr>
        <w:t xml:space="preserve">דובר בשוהה בלתי חוקי אשר נשא אקדח בשטחי ישראל ונמלט משוטר. המשיב, צעיר ללא עבר פלילי, הורשע בעבירות </w:t>
      </w:r>
      <w:r w:rsidR="000E24D8" w:rsidRPr="004813B9">
        <w:rPr>
          <w:rFonts w:ascii="David" w:hAnsi="David"/>
          <w:rtl/>
        </w:rPr>
        <w:t xml:space="preserve">נשיאת נשק לפי </w:t>
      </w:r>
      <w:hyperlink r:id="rId22" w:history="1">
        <w:r w:rsidR="004813B9" w:rsidRPr="004813B9">
          <w:rPr>
            <w:rStyle w:val="Hyperlink"/>
            <w:rFonts w:ascii="David" w:hAnsi="David"/>
            <w:rtl/>
          </w:rPr>
          <w:t>סעיפים 144(ב)</w:t>
        </w:r>
      </w:hyperlink>
      <w:r w:rsidR="000E24D8" w:rsidRPr="004813B9">
        <w:rPr>
          <w:rFonts w:ascii="David" w:hAnsi="David"/>
          <w:rtl/>
        </w:rPr>
        <w:t>, רישא</w:t>
      </w:r>
      <w:r w:rsidR="000E24D8" w:rsidRPr="004813B9">
        <w:rPr>
          <w:rFonts w:ascii="David" w:hAnsi="David" w:hint="cs"/>
          <w:rtl/>
        </w:rPr>
        <w:t xml:space="preserve"> +</w:t>
      </w:r>
      <w:r w:rsidR="000E24D8" w:rsidRPr="004813B9">
        <w:rPr>
          <w:rFonts w:ascii="David" w:hAnsi="David"/>
          <w:rtl/>
        </w:rPr>
        <w:t xml:space="preserve"> סיפא ל</w:t>
      </w:r>
      <w:hyperlink r:id="rId23" w:history="1">
        <w:r w:rsidRPr="004813B9">
          <w:rPr>
            <w:rFonts w:ascii="David" w:hAnsi="David"/>
            <w:color w:val="0000FF"/>
            <w:u w:val="single"/>
            <w:rtl/>
          </w:rPr>
          <w:t>חוק העונשין</w:t>
        </w:r>
      </w:hyperlink>
      <w:r w:rsidR="000E24D8" w:rsidRPr="004813B9">
        <w:rPr>
          <w:rFonts w:ascii="David" w:hAnsi="David"/>
          <w:rtl/>
        </w:rPr>
        <w:t>, ב</w:t>
      </w:r>
      <w:r w:rsidR="000E24D8" w:rsidRPr="004813B9">
        <w:rPr>
          <w:rFonts w:ascii="David" w:hAnsi="David" w:hint="cs"/>
          <w:rtl/>
        </w:rPr>
        <w:t xml:space="preserve">עבירת </w:t>
      </w:r>
      <w:r w:rsidR="000E24D8" w:rsidRPr="004813B9">
        <w:rPr>
          <w:rFonts w:ascii="David" w:hAnsi="David"/>
          <w:rtl/>
        </w:rPr>
        <w:t>הפרעה לשוטר במילוי תפקידו</w:t>
      </w:r>
      <w:r w:rsidR="000E24D8" w:rsidRPr="004813B9">
        <w:rPr>
          <w:rFonts w:ascii="David" w:hAnsi="David" w:hint="cs"/>
          <w:rtl/>
        </w:rPr>
        <w:t xml:space="preserve"> </w:t>
      </w:r>
      <w:r w:rsidR="000E24D8" w:rsidRPr="004813B9">
        <w:rPr>
          <w:rFonts w:ascii="David" w:hAnsi="David"/>
          <w:rtl/>
        </w:rPr>
        <w:t xml:space="preserve">לפי </w:t>
      </w:r>
      <w:hyperlink r:id="rId24" w:history="1">
        <w:r w:rsidR="004813B9" w:rsidRPr="004813B9">
          <w:rPr>
            <w:rStyle w:val="Hyperlink"/>
            <w:rFonts w:ascii="David" w:hAnsi="David"/>
            <w:rtl/>
          </w:rPr>
          <w:t>סעיף 275</w:t>
        </w:r>
      </w:hyperlink>
      <w:r w:rsidR="000E24D8" w:rsidRPr="004813B9">
        <w:rPr>
          <w:rFonts w:ascii="David" w:hAnsi="David"/>
          <w:rtl/>
        </w:rPr>
        <w:t xml:space="preserve"> לחוק, ו</w:t>
      </w:r>
      <w:r w:rsidR="000E24D8" w:rsidRPr="004813B9">
        <w:rPr>
          <w:rFonts w:ascii="David" w:hAnsi="David" w:hint="cs"/>
          <w:rtl/>
        </w:rPr>
        <w:t xml:space="preserve">בעבירת </w:t>
      </w:r>
      <w:r w:rsidR="000E24D8" w:rsidRPr="004813B9">
        <w:rPr>
          <w:rFonts w:ascii="David" w:hAnsi="David"/>
          <w:rtl/>
        </w:rPr>
        <w:t>בכניסה ושהייה בישראל בניגוד לחוק</w:t>
      </w:r>
      <w:r w:rsidR="000E24D8" w:rsidRPr="004813B9">
        <w:rPr>
          <w:rFonts w:ascii="David" w:hAnsi="David" w:hint="cs"/>
          <w:rtl/>
        </w:rPr>
        <w:t xml:space="preserve"> </w:t>
      </w:r>
      <w:r w:rsidR="000E24D8" w:rsidRPr="004813B9">
        <w:rPr>
          <w:rFonts w:ascii="David" w:hAnsi="David"/>
          <w:rtl/>
        </w:rPr>
        <w:t xml:space="preserve">לפי </w:t>
      </w:r>
      <w:hyperlink r:id="rId25" w:history="1">
        <w:r w:rsidR="004813B9" w:rsidRPr="004813B9">
          <w:rPr>
            <w:rStyle w:val="Hyperlink"/>
            <w:rFonts w:ascii="David" w:hAnsi="David"/>
            <w:rtl/>
          </w:rPr>
          <w:t>סעיף 12(1)</w:t>
        </w:r>
      </w:hyperlink>
      <w:r w:rsidR="000E24D8" w:rsidRPr="004813B9">
        <w:rPr>
          <w:rFonts w:ascii="David" w:hAnsi="David"/>
          <w:rtl/>
        </w:rPr>
        <w:t xml:space="preserve"> ל</w:t>
      </w:r>
      <w:hyperlink r:id="rId26" w:history="1">
        <w:r w:rsidRPr="004813B9">
          <w:rPr>
            <w:rFonts w:ascii="David" w:hAnsi="David"/>
            <w:color w:val="0000FF"/>
            <w:u w:val="single"/>
            <w:rtl/>
          </w:rPr>
          <w:t>חוק הכניסה לישראל</w:t>
        </w:r>
      </w:hyperlink>
      <w:r w:rsidR="000E24D8" w:rsidRPr="004813B9">
        <w:rPr>
          <w:rFonts w:ascii="David" w:hAnsi="David"/>
          <w:rtl/>
        </w:rPr>
        <w:t>, התשי"ב-1952</w:t>
      </w:r>
      <w:r w:rsidR="000E24D8" w:rsidRPr="004813B9">
        <w:rPr>
          <w:rFonts w:ascii="David" w:hAnsi="David" w:hint="cs"/>
          <w:rtl/>
        </w:rPr>
        <w:t>.</w:t>
      </w:r>
      <w:r w:rsidR="000E24D8" w:rsidRPr="004813B9">
        <w:rPr>
          <w:rFonts w:ascii="David" w:hAnsi="David"/>
          <w:rtl/>
        </w:rPr>
        <w:t xml:space="preserve"> </w:t>
      </w:r>
      <w:r w:rsidR="000E24D8" w:rsidRPr="004813B9">
        <w:rPr>
          <w:rFonts w:ascii="David" w:hAnsi="David" w:hint="cs"/>
          <w:rtl/>
        </w:rPr>
        <w:t>עונשו של הנאשם הוחמר מ-18 ל-28 חודשי מאסר בפועל, מפאת אי מיצוי מלוא חומרת הדין בשלב הערעור, תוך שנקבע כי "</w:t>
      </w:r>
      <w:r w:rsidR="000E24D8" w:rsidRPr="004813B9">
        <w:rPr>
          <w:rFonts w:ascii="David" w:hAnsi="David"/>
          <w:b/>
          <w:bCs/>
          <w:rtl/>
        </w:rPr>
        <w:t>מתחם הענישה הרגיל שראוי לקבוע לנאשם בגיר בגין נשיאה בלתי חוקית של נשק חם במרחב הציבורי נע בין 30 ל-42 חודשי מאסר בין סורג ובריח</w:t>
      </w:r>
      <w:r w:rsidR="000E24D8" w:rsidRPr="004813B9">
        <w:rPr>
          <w:rFonts w:ascii="David" w:hAnsi="David" w:hint="cs"/>
          <w:rtl/>
        </w:rPr>
        <w:t>".</w:t>
      </w:r>
    </w:p>
    <w:p w14:paraId="2E9543EB" w14:textId="77777777" w:rsidR="000E24D8" w:rsidRPr="004813B9" w:rsidRDefault="000E24D8" w:rsidP="000E24D8">
      <w:pPr>
        <w:pStyle w:val="a9"/>
        <w:spacing w:line="360" w:lineRule="auto"/>
        <w:ind w:left="1080"/>
        <w:jc w:val="both"/>
        <w:rPr>
          <w:rFonts w:ascii="David" w:hAnsi="David"/>
        </w:rPr>
      </w:pPr>
    </w:p>
    <w:p w14:paraId="2F5B55C7" w14:textId="77777777" w:rsidR="000E24D8" w:rsidRPr="004813B9" w:rsidRDefault="003628B1" w:rsidP="000E24D8">
      <w:pPr>
        <w:pStyle w:val="a9"/>
        <w:numPr>
          <w:ilvl w:val="0"/>
          <w:numId w:val="2"/>
        </w:numPr>
        <w:spacing w:line="360" w:lineRule="auto"/>
        <w:jc w:val="both"/>
        <w:rPr>
          <w:rFonts w:ascii="David" w:hAnsi="David"/>
        </w:rPr>
      </w:pPr>
      <w:hyperlink r:id="rId27" w:history="1">
        <w:r w:rsidRPr="004813B9">
          <w:rPr>
            <w:rFonts w:ascii="David" w:hAnsi="David"/>
            <w:color w:val="0000FF"/>
            <w:u w:val="single"/>
            <w:rtl/>
          </w:rPr>
          <w:t>ע"פ 2482/22</w:t>
        </w:r>
      </w:hyperlink>
      <w:r w:rsidR="000E24D8" w:rsidRPr="004813B9">
        <w:rPr>
          <w:rFonts w:ascii="David" w:hAnsi="David"/>
          <w:rtl/>
        </w:rPr>
        <w:t xml:space="preserve"> </w:t>
      </w:r>
      <w:r w:rsidR="000E24D8" w:rsidRPr="004813B9">
        <w:rPr>
          <w:rFonts w:ascii="David" w:hAnsi="David"/>
          <w:b/>
          <w:bCs/>
          <w:rtl/>
        </w:rPr>
        <w:t xml:space="preserve">מדינת ישראל נ' קדורה </w:t>
      </w:r>
      <w:r w:rsidR="000E24D8" w:rsidRPr="004813B9">
        <w:rPr>
          <w:rFonts w:ascii="David" w:hAnsi="David"/>
          <w:rtl/>
        </w:rPr>
        <w:t xml:space="preserve">(14.04.22) – </w:t>
      </w:r>
      <w:r w:rsidR="000E24D8" w:rsidRPr="004813B9">
        <w:rPr>
          <w:rFonts w:ascii="David" w:hAnsi="David" w:hint="cs"/>
          <w:rtl/>
        </w:rPr>
        <w:t>שם דובר במשיב</w:t>
      </w:r>
      <w:r w:rsidR="000E24D8" w:rsidRPr="004813B9">
        <w:rPr>
          <w:rFonts w:ascii="David" w:hAnsi="David"/>
          <w:rtl/>
        </w:rPr>
        <w:t xml:space="preserve"> הורשע בעבירה של החזקת נשק – אקדח גלוק, מחסנית, כדורים לאקדח ורימון הלם</w:t>
      </w:r>
      <w:r w:rsidR="000E24D8" w:rsidRPr="004813B9">
        <w:rPr>
          <w:rFonts w:ascii="David" w:hAnsi="David" w:hint="cs"/>
          <w:rtl/>
        </w:rPr>
        <w:t xml:space="preserve"> </w:t>
      </w:r>
      <w:r w:rsidR="000E24D8" w:rsidRPr="004813B9">
        <w:rPr>
          <w:rFonts w:ascii="David" w:hAnsi="David"/>
          <w:rtl/>
        </w:rPr>
        <w:t>–</w:t>
      </w:r>
      <w:r w:rsidR="000E24D8" w:rsidRPr="004813B9">
        <w:rPr>
          <w:rFonts w:ascii="David" w:hAnsi="David" w:hint="cs"/>
          <w:rtl/>
        </w:rPr>
        <w:t xml:space="preserve"> בצוותא עם אחר</w:t>
      </w:r>
      <w:r w:rsidR="000E24D8" w:rsidRPr="004813B9">
        <w:rPr>
          <w:rFonts w:ascii="David" w:hAnsi="David"/>
          <w:rtl/>
        </w:rPr>
        <w:t xml:space="preserve">. </w:t>
      </w:r>
      <w:r w:rsidR="000E24D8" w:rsidRPr="004813B9">
        <w:rPr>
          <w:rFonts w:ascii="David" w:hAnsi="David" w:hint="cs"/>
          <w:rtl/>
        </w:rPr>
        <w:t>המשיב,</w:t>
      </w:r>
      <w:r w:rsidR="000E24D8" w:rsidRPr="004813B9">
        <w:rPr>
          <w:rFonts w:ascii="David" w:hAnsi="David"/>
          <w:rtl/>
        </w:rPr>
        <w:t xml:space="preserve"> בן 19 בעת ביצוע העבירות, ללא עבר פלילי, הורשע במסגרת הסדר טיעון. בית המשפט העליון </w:t>
      </w:r>
      <w:r w:rsidR="000E24D8" w:rsidRPr="004813B9">
        <w:rPr>
          <w:rFonts w:ascii="David" w:hAnsi="David" w:hint="cs"/>
          <w:rtl/>
        </w:rPr>
        <w:t>קיבל את ערעור המדינה ו</w:t>
      </w:r>
      <w:r w:rsidR="000E24D8" w:rsidRPr="004813B9">
        <w:rPr>
          <w:rFonts w:ascii="David" w:hAnsi="David"/>
          <w:rtl/>
        </w:rPr>
        <w:t xml:space="preserve">החמיר </w:t>
      </w:r>
      <w:r w:rsidR="000E24D8" w:rsidRPr="004813B9">
        <w:rPr>
          <w:rFonts w:ascii="David" w:hAnsi="David" w:hint="cs"/>
          <w:rtl/>
        </w:rPr>
        <w:t xml:space="preserve">את עונשו מ-10 ל-18 </w:t>
      </w:r>
      <w:r w:rsidR="000E24D8" w:rsidRPr="004813B9">
        <w:rPr>
          <w:rFonts w:ascii="David" w:hAnsi="David"/>
          <w:rtl/>
        </w:rPr>
        <w:t>חודשי</w:t>
      </w:r>
      <w:r w:rsidR="000E24D8" w:rsidRPr="004813B9">
        <w:rPr>
          <w:rFonts w:ascii="David" w:hAnsi="David" w:hint="cs"/>
          <w:rtl/>
        </w:rPr>
        <w:t xml:space="preserve"> מאסר בפועל</w:t>
      </w:r>
      <w:r w:rsidR="000E24D8" w:rsidRPr="004813B9">
        <w:rPr>
          <w:rFonts w:ascii="David" w:hAnsi="David"/>
          <w:rtl/>
        </w:rPr>
        <w:t>.</w:t>
      </w:r>
    </w:p>
    <w:p w14:paraId="5DF6911A" w14:textId="77777777" w:rsidR="000E24D8" w:rsidRPr="004813B9" w:rsidRDefault="000E24D8" w:rsidP="000E24D8">
      <w:pPr>
        <w:spacing w:line="360" w:lineRule="auto"/>
        <w:jc w:val="both"/>
        <w:rPr>
          <w:rFonts w:ascii="David" w:hAnsi="David"/>
        </w:rPr>
      </w:pPr>
    </w:p>
    <w:p w14:paraId="57297C2B" w14:textId="77777777" w:rsidR="000E24D8" w:rsidRPr="004813B9" w:rsidRDefault="003628B1" w:rsidP="000E24D8">
      <w:pPr>
        <w:pStyle w:val="a9"/>
        <w:numPr>
          <w:ilvl w:val="0"/>
          <w:numId w:val="2"/>
        </w:numPr>
        <w:spacing w:line="360" w:lineRule="auto"/>
        <w:jc w:val="both"/>
        <w:rPr>
          <w:rFonts w:ascii="David" w:hAnsi="David"/>
        </w:rPr>
      </w:pPr>
      <w:hyperlink r:id="rId28" w:history="1">
        <w:r w:rsidRPr="004813B9">
          <w:rPr>
            <w:rFonts w:ascii="David" w:hAnsi="David"/>
            <w:color w:val="0000FF"/>
            <w:u w:val="single"/>
            <w:rtl/>
          </w:rPr>
          <w:t>עפ"ג (מחוזי חיפה) 50840-03-22</w:t>
        </w:r>
      </w:hyperlink>
      <w:r w:rsidR="000E24D8" w:rsidRPr="004813B9">
        <w:rPr>
          <w:rFonts w:ascii="David" w:hAnsi="David"/>
          <w:rtl/>
        </w:rPr>
        <w:t xml:space="preserve"> </w:t>
      </w:r>
      <w:r w:rsidR="000E24D8" w:rsidRPr="004813B9">
        <w:rPr>
          <w:rFonts w:ascii="David" w:hAnsi="David"/>
          <w:b/>
          <w:bCs/>
          <w:rtl/>
        </w:rPr>
        <w:t xml:space="preserve">מדינת ישראל נ' סלאמה </w:t>
      </w:r>
      <w:r w:rsidR="000E24D8" w:rsidRPr="004813B9">
        <w:rPr>
          <w:rFonts w:ascii="David" w:hAnsi="David"/>
          <w:rtl/>
        </w:rPr>
        <w:t xml:space="preserve">(14.04.22) – שם הורשע הנאשם על פי הודאתו בעבירות של החזקת נשק ותקיפת שוטר. </w:t>
      </w:r>
      <w:r w:rsidR="000E24D8" w:rsidRPr="004813B9">
        <w:rPr>
          <w:rFonts w:ascii="David" w:hAnsi="David" w:hint="cs"/>
          <w:rtl/>
        </w:rPr>
        <w:t>הנאשם הורעש בכך שה</w:t>
      </w:r>
      <w:r w:rsidR="000E24D8" w:rsidRPr="004813B9">
        <w:rPr>
          <w:rFonts w:ascii="David" w:hAnsi="David"/>
          <w:rtl/>
        </w:rPr>
        <w:t>חזיק בחצר ביתו שני תתי מקלע מאולתרים, מחסנית ריקה ותרמיל</w:t>
      </w:r>
      <w:r w:rsidR="000E24D8" w:rsidRPr="004813B9">
        <w:rPr>
          <w:rFonts w:ascii="David" w:hAnsi="David" w:hint="cs"/>
          <w:rtl/>
        </w:rPr>
        <w:t xml:space="preserve">. </w:t>
      </w:r>
      <w:r w:rsidR="000E24D8" w:rsidRPr="004813B9">
        <w:rPr>
          <w:rFonts w:ascii="David" w:hAnsi="David"/>
          <w:rtl/>
        </w:rPr>
        <w:t xml:space="preserve">בית משפט השלום גזר על הנאשם 15 חודשי מאסר בפועל. בית המשפט המחוזי קיבל את ערעור המדינה וקבע מתחם שנע בין 24-50 חודשי מאסר בפועל </w:t>
      </w:r>
      <w:r w:rsidR="000E24D8" w:rsidRPr="004813B9">
        <w:rPr>
          <w:rFonts w:ascii="David" w:hAnsi="David" w:hint="cs"/>
          <w:rtl/>
        </w:rPr>
        <w:t>והחמיר</w:t>
      </w:r>
      <w:r w:rsidR="000E24D8" w:rsidRPr="004813B9">
        <w:rPr>
          <w:rFonts w:ascii="David" w:hAnsi="David"/>
          <w:rtl/>
        </w:rPr>
        <w:t xml:space="preserve"> את עונשו של הנאשם </w:t>
      </w:r>
      <w:r w:rsidR="000E24D8" w:rsidRPr="004813B9">
        <w:rPr>
          <w:rFonts w:ascii="David" w:hAnsi="David" w:hint="cs"/>
          <w:rtl/>
        </w:rPr>
        <w:t xml:space="preserve">כך שיעמוד על </w:t>
      </w:r>
      <w:r w:rsidR="000E24D8" w:rsidRPr="004813B9">
        <w:rPr>
          <w:rFonts w:ascii="David" w:hAnsi="David"/>
          <w:rtl/>
        </w:rPr>
        <w:t>28 חודשי מאסר בפועל.</w:t>
      </w:r>
    </w:p>
    <w:p w14:paraId="6D8D62C6" w14:textId="77777777" w:rsidR="000E24D8" w:rsidRPr="004813B9" w:rsidRDefault="000E24D8" w:rsidP="000E24D8">
      <w:pPr>
        <w:spacing w:line="360" w:lineRule="auto"/>
        <w:jc w:val="both"/>
        <w:rPr>
          <w:rFonts w:ascii="David" w:hAnsi="David"/>
        </w:rPr>
      </w:pPr>
    </w:p>
    <w:p w14:paraId="64132802" w14:textId="77777777" w:rsidR="000E24D8" w:rsidRPr="004813B9" w:rsidRDefault="003628B1" w:rsidP="000E24D8">
      <w:pPr>
        <w:pStyle w:val="a9"/>
        <w:numPr>
          <w:ilvl w:val="0"/>
          <w:numId w:val="2"/>
        </w:numPr>
        <w:spacing w:line="360" w:lineRule="auto"/>
        <w:jc w:val="both"/>
        <w:rPr>
          <w:rFonts w:ascii="David" w:hAnsi="David"/>
        </w:rPr>
      </w:pPr>
      <w:hyperlink r:id="rId29" w:history="1">
        <w:r w:rsidRPr="004813B9">
          <w:rPr>
            <w:rFonts w:ascii="David" w:hAnsi="David"/>
            <w:color w:val="0000FF"/>
            <w:u w:val="single"/>
            <w:rtl/>
          </w:rPr>
          <w:t>ע"פ 309/22</w:t>
        </w:r>
      </w:hyperlink>
      <w:r w:rsidR="000E24D8" w:rsidRPr="004813B9">
        <w:rPr>
          <w:rFonts w:ascii="David" w:hAnsi="David"/>
          <w:rtl/>
        </w:rPr>
        <w:t xml:space="preserve"> </w:t>
      </w:r>
      <w:r w:rsidR="000E24D8" w:rsidRPr="004813B9">
        <w:rPr>
          <w:rFonts w:ascii="David" w:hAnsi="David"/>
          <w:b/>
          <w:bCs/>
          <w:rtl/>
        </w:rPr>
        <w:t>מדינת ישראל נ' בידאסה</w:t>
      </w:r>
      <w:r w:rsidR="000E24D8" w:rsidRPr="004813B9">
        <w:rPr>
          <w:rFonts w:ascii="David" w:hAnsi="David"/>
          <w:rtl/>
        </w:rPr>
        <w:t xml:space="preserve"> (10.05.22) – </w:t>
      </w:r>
      <w:r w:rsidR="000E24D8" w:rsidRPr="004813B9">
        <w:rPr>
          <w:rFonts w:ascii="David" w:hAnsi="David" w:hint="cs"/>
          <w:rtl/>
        </w:rPr>
        <w:t>דובר במשיב</w:t>
      </w:r>
      <w:r w:rsidR="000E24D8" w:rsidRPr="004813B9">
        <w:rPr>
          <w:rFonts w:ascii="David" w:hAnsi="David"/>
          <w:rtl/>
        </w:rPr>
        <w:t xml:space="preserve"> שהורשע בעבירות של החזקת, נשיאת והובלת נשק ביחד עם אחר, כאשר </w:t>
      </w:r>
      <w:r w:rsidR="000E24D8" w:rsidRPr="004813B9">
        <w:rPr>
          <w:rFonts w:ascii="David" w:hAnsi="David" w:hint="cs"/>
          <w:rtl/>
        </w:rPr>
        <w:t>המשיב</w:t>
      </w:r>
      <w:r w:rsidR="000E24D8" w:rsidRPr="004813B9">
        <w:rPr>
          <w:rFonts w:ascii="David" w:hAnsi="David"/>
          <w:rtl/>
        </w:rPr>
        <w:t xml:space="preserve"> והאחר החזיקו, נשאו והובילו את הנשקים ברכב אשר קושט כדי להציג מצג שווא כאילו מדובר ברכב המסיע חתן וכלה. </w:t>
      </w:r>
      <w:r w:rsidR="000E24D8" w:rsidRPr="004813B9">
        <w:rPr>
          <w:rFonts w:ascii="David" w:hAnsi="David" w:hint="cs"/>
          <w:rtl/>
        </w:rPr>
        <w:t>המשיב</w:t>
      </w:r>
      <w:r w:rsidR="000E24D8" w:rsidRPr="004813B9">
        <w:rPr>
          <w:rFonts w:ascii="David" w:hAnsi="David"/>
          <w:rtl/>
        </w:rPr>
        <w:t xml:space="preserve"> נעדר עבר פלילי, הורשע במסגרת הסדר טיעון טרם ניהול ההוכחות. בית המשפט העליון </w:t>
      </w:r>
      <w:r w:rsidR="000E24D8" w:rsidRPr="004813B9">
        <w:rPr>
          <w:rFonts w:ascii="David" w:hAnsi="David" w:hint="cs"/>
          <w:rtl/>
        </w:rPr>
        <w:t>קיבל את ערעור המדינה ו</w:t>
      </w:r>
      <w:r w:rsidR="000E24D8" w:rsidRPr="004813B9">
        <w:rPr>
          <w:rFonts w:ascii="David" w:hAnsi="David"/>
          <w:rtl/>
        </w:rPr>
        <w:t xml:space="preserve">החמיר </w:t>
      </w:r>
      <w:r w:rsidR="000E24D8" w:rsidRPr="004813B9">
        <w:rPr>
          <w:rFonts w:ascii="David" w:hAnsi="David" w:hint="cs"/>
          <w:rtl/>
        </w:rPr>
        <w:t xml:space="preserve">את עונשו של המשיב מ-19 ל- </w:t>
      </w:r>
      <w:r w:rsidR="000E24D8" w:rsidRPr="004813B9">
        <w:rPr>
          <w:rFonts w:ascii="David" w:hAnsi="David"/>
          <w:rtl/>
        </w:rPr>
        <w:t xml:space="preserve">30 חודשים </w:t>
      </w:r>
      <w:r w:rsidR="000E24D8" w:rsidRPr="004813B9">
        <w:rPr>
          <w:rFonts w:ascii="David" w:hAnsi="David" w:hint="cs"/>
          <w:rtl/>
        </w:rPr>
        <w:t>מאסר בפועל</w:t>
      </w:r>
      <w:r w:rsidR="000E24D8" w:rsidRPr="004813B9">
        <w:rPr>
          <w:rFonts w:ascii="David" w:hAnsi="David"/>
          <w:rtl/>
        </w:rPr>
        <w:t>.</w:t>
      </w:r>
    </w:p>
    <w:p w14:paraId="4DF2CC16" w14:textId="77777777" w:rsidR="000E24D8" w:rsidRPr="004813B9" w:rsidRDefault="000E24D8" w:rsidP="000E24D8">
      <w:pPr>
        <w:pStyle w:val="a9"/>
        <w:spacing w:line="360" w:lineRule="auto"/>
        <w:ind w:left="1080"/>
        <w:jc w:val="both"/>
        <w:rPr>
          <w:rFonts w:ascii="David" w:hAnsi="David"/>
        </w:rPr>
      </w:pPr>
    </w:p>
    <w:p w14:paraId="768C4F64" w14:textId="77777777" w:rsidR="000E24D8" w:rsidRPr="004813B9" w:rsidRDefault="003628B1" w:rsidP="000E24D8">
      <w:pPr>
        <w:pStyle w:val="a9"/>
        <w:numPr>
          <w:ilvl w:val="0"/>
          <w:numId w:val="2"/>
        </w:numPr>
        <w:spacing w:line="360" w:lineRule="auto"/>
        <w:jc w:val="both"/>
        <w:rPr>
          <w:rFonts w:ascii="David" w:hAnsi="David"/>
        </w:rPr>
      </w:pPr>
      <w:hyperlink r:id="rId30" w:history="1">
        <w:r w:rsidRPr="004813B9">
          <w:rPr>
            <w:rFonts w:ascii="David" w:hAnsi="David"/>
            <w:color w:val="0000FF"/>
            <w:u w:val="single"/>
            <w:rtl/>
          </w:rPr>
          <w:t>ע"פ 5522/20</w:t>
        </w:r>
      </w:hyperlink>
      <w:r w:rsidR="000E24D8" w:rsidRPr="004813B9">
        <w:rPr>
          <w:rFonts w:ascii="David" w:hAnsi="David"/>
          <w:rtl/>
        </w:rPr>
        <w:t xml:space="preserve"> </w:t>
      </w:r>
      <w:r w:rsidR="000E24D8" w:rsidRPr="004813B9">
        <w:rPr>
          <w:rFonts w:ascii="David" w:hAnsi="David"/>
          <w:b/>
          <w:bCs/>
          <w:rtl/>
        </w:rPr>
        <w:t xml:space="preserve">חלייחל נ' מדינת ישראל </w:t>
      </w:r>
      <w:r w:rsidR="000E24D8" w:rsidRPr="004813B9">
        <w:rPr>
          <w:rFonts w:ascii="David" w:hAnsi="David"/>
          <w:rtl/>
        </w:rPr>
        <w:t xml:space="preserve">(24.02.21) – שם הורשע המערער בביצוע עבירות נשק לפי </w:t>
      </w:r>
      <w:hyperlink r:id="rId31" w:history="1">
        <w:r w:rsidR="004813B9" w:rsidRPr="004813B9">
          <w:rPr>
            <w:rStyle w:val="Hyperlink"/>
            <w:rFonts w:ascii="David" w:hAnsi="David"/>
            <w:rtl/>
          </w:rPr>
          <w:t>סעיף 144(ב)</w:t>
        </w:r>
      </w:hyperlink>
      <w:r w:rsidR="000E24D8" w:rsidRPr="004813B9">
        <w:rPr>
          <w:rFonts w:ascii="David" w:hAnsi="David"/>
          <w:rtl/>
        </w:rPr>
        <w:t xml:space="preserve"> לחוק</w:t>
      </w:r>
      <w:r w:rsidR="000E24D8" w:rsidRPr="004813B9">
        <w:rPr>
          <w:rFonts w:ascii="David" w:hAnsi="David" w:hint="cs"/>
          <w:rtl/>
        </w:rPr>
        <w:t>,</w:t>
      </w:r>
      <w:r w:rsidR="000E24D8" w:rsidRPr="004813B9">
        <w:rPr>
          <w:rFonts w:ascii="David" w:hAnsi="David"/>
          <w:rtl/>
        </w:rPr>
        <w:t xml:space="preserve"> </w:t>
      </w:r>
      <w:r w:rsidR="000E24D8" w:rsidRPr="004813B9">
        <w:rPr>
          <w:rFonts w:ascii="David" w:hAnsi="David" w:hint="cs"/>
          <w:rtl/>
        </w:rPr>
        <w:t xml:space="preserve">לאחר שנסע יחד עם אחרים ברכב ממנו נורו מספר יריות באזור מגורים. על המערער </w:t>
      </w:r>
      <w:r w:rsidR="000E24D8" w:rsidRPr="004813B9">
        <w:rPr>
          <w:rFonts w:ascii="David" w:hAnsi="David"/>
          <w:rtl/>
        </w:rPr>
        <w:t>הושתו 36 חודשי מאסר בפועל ו</w:t>
      </w:r>
      <w:r w:rsidR="000E24D8" w:rsidRPr="004813B9">
        <w:rPr>
          <w:rFonts w:ascii="David" w:hAnsi="David" w:hint="cs"/>
          <w:rtl/>
        </w:rPr>
        <w:t xml:space="preserve">כן </w:t>
      </w:r>
      <w:r w:rsidR="000E24D8" w:rsidRPr="004813B9">
        <w:rPr>
          <w:rFonts w:ascii="David" w:hAnsi="David"/>
          <w:rtl/>
        </w:rPr>
        <w:t xml:space="preserve">הפעלת עונש מאסר על תנאי בן 5 חודשים במצטבר. בית המשפט העליון דחה את הערעור </w:t>
      </w:r>
      <w:r w:rsidR="000E24D8" w:rsidRPr="004813B9">
        <w:rPr>
          <w:rFonts w:ascii="David" w:hAnsi="David" w:hint="cs"/>
          <w:rtl/>
        </w:rPr>
        <w:t>על חומרת העונש</w:t>
      </w:r>
      <w:r w:rsidR="000E24D8" w:rsidRPr="004813B9">
        <w:rPr>
          <w:rFonts w:ascii="David" w:hAnsi="David"/>
          <w:rtl/>
        </w:rPr>
        <w:t>.</w:t>
      </w:r>
    </w:p>
    <w:p w14:paraId="7FCEA2A4" w14:textId="77777777" w:rsidR="000E24D8" w:rsidRPr="004813B9" w:rsidRDefault="000E24D8" w:rsidP="000E24D8">
      <w:pPr>
        <w:spacing w:line="360" w:lineRule="auto"/>
        <w:jc w:val="both"/>
        <w:rPr>
          <w:rFonts w:ascii="David" w:hAnsi="David"/>
        </w:rPr>
      </w:pPr>
    </w:p>
    <w:p w14:paraId="35425C66"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 xml:space="preserve">נטען כי יש לזקוף לזכותו </w:t>
      </w:r>
      <w:r w:rsidRPr="004813B9">
        <w:rPr>
          <w:rFonts w:ascii="David" w:hAnsi="David" w:hint="cs"/>
          <w:rtl/>
        </w:rPr>
        <w:t xml:space="preserve">של נאשם 1 </w:t>
      </w:r>
      <w:r w:rsidRPr="004813B9">
        <w:rPr>
          <w:rFonts w:ascii="David" w:hAnsi="David"/>
          <w:rtl/>
        </w:rPr>
        <w:t xml:space="preserve">את העובדה שהודה בכתב האישום המתוקן </w:t>
      </w:r>
      <w:r w:rsidRPr="004813B9">
        <w:rPr>
          <w:rFonts w:ascii="David" w:hAnsi="David" w:hint="eastAsia"/>
          <w:rtl/>
        </w:rPr>
        <w:t>ושאין</w:t>
      </w:r>
      <w:r w:rsidRPr="004813B9">
        <w:rPr>
          <w:rFonts w:ascii="David" w:hAnsi="David"/>
          <w:rtl/>
        </w:rPr>
        <w:t xml:space="preserve"> לחובתו עבר פלילי. לצד האמור, נטען שמתסקיר שירות המבחן שהוגש בעניינו עלה שהוא אינו מביע חרטה על מעשיו. </w:t>
      </w:r>
    </w:p>
    <w:p w14:paraId="4DDF8168" w14:textId="77777777" w:rsidR="000E24D8" w:rsidRPr="004813B9" w:rsidRDefault="000E24D8" w:rsidP="000E24D8">
      <w:pPr>
        <w:pStyle w:val="a9"/>
        <w:spacing w:line="360" w:lineRule="auto"/>
        <w:jc w:val="both"/>
        <w:rPr>
          <w:rFonts w:ascii="David" w:hAnsi="David"/>
        </w:rPr>
      </w:pPr>
    </w:p>
    <w:p w14:paraId="12745025" w14:textId="77777777" w:rsidR="000E24D8" w:rsidRPr="004813B9" w:rsidRDefault="000E24D8" w:rsidP="000E24D8">
      <w:pPr>
        <w:pStyle w:val="a9"/>
        <w:numPr>
          <w:ilvl w:val="0"/>
          <w:numId w:val="1"/>
        </w:numPr>
        <w:spacing w:line="360" w:lineRule="auto"/>
        <w:jc w:val="both"/>
      </w:pPr>
      <w:r w:rsidRPr="004813B9">
        <w:rPr>
          <w:rFonts w:ascii="David" w:hAnsi="David" w:hint="eastAsia"/>
          <w:rtl/>
        </w:rPr>
        <w:t>נטען</w:t>
      </w:r>
      <w:r w:rsidRPr="004813B9">
        <w:rPr>
          <w:rFonts w:ascii="David" w:hAnsi="David"/>
          <w:rtl/>
        </w:rPr>
        <w:t xml:space="preserve"> </w:t>
      </w:r>
      <w:r w:rsidRPr="004813B9">
        <w:rPr>
          <w:rFonts w:ascii="David" w:hAnsi="David" w:hint="eastAsia"/>
          <w:rtl/>
        </w:rPr>
        <w:t>שעניינו</w:t>
      </w:r>
      <w:r w:rsidRPr="004813B9">
        <w:rPr>
          <w:rFonts w:ascii="David" w:hAnsi="David"/>
          <w:rtl/>
        </w:rPr>
        <w:t xml:space="preserve"> </w:t>
      </w:r>
      <w:r w:rsidRPr="004813B9">
        <w:rPr>
          <w:rFonts w:ascii="David" w:hAnsi="David" w:hint="eastAsia"/>
          <w:rtl/>
        </w:rPr>
        <w:t>של</w:t>
      </w:r>
      <w:r w:rsidRPr="004813B9">
        <w:rPr>
          <w:rFonts w:ascii="David" w:hAnsi="David"/>
          <w:rtl/>
        </w:rPr>
        <w:t xml:space="preserve"> </w:t>
      </w:r>
      <w:r w:rsidRPr="004813B9">
        <w:rPr>
          <w:rFonts w:ascii="David" w:hAnsi="David" w:hint="eastAsia"/>
          <w:rtl/>
        </w:rPr>
        <w:t>נאשם</w:t>
      </w:r>
      <w:r w:rsidRPr="004813B9">
        <w:rPr>
          <w:rFonts w:ascii="David" w:hAnsi="David"/>
          <w:rtl/>
        </w:rPr>
        <w:t xml:space="preserve"> 1</w:t>
      </w:r>
      <w:r w:rsidRPr="004813B9">
        <w:rPr>
          <w:rFonts w:ascii="David" w:hAnsi="David" w:hint="cs"/>
          <w:rtl/>
        </w:rPr>
        <w:t xml:space="preserve"> שונה משל</w:t>
      </w:r>
      <w:r w:rsidRPr="004813B9">
        <w:rPr>
          <w:rFonts w:ascii="David" w:hAnsi="David"/>
          <w:rtl/>
        </w:rPr>
        <w:t xml:space="preserve"> נאשם 2, ולכן המתחם אליו עותרת המאשימה שונה. נטען כי נאשם 2 יצא מהרכב ומנע המשך הירי. </w:t>
      </w:r>
    </w:p>
    <w:p w14:paraId="13335B5C" w14:textId="77777777" w:rsidR="000E24D8" w:rsidRPr="004813B9" w:rsidRDefault="000E24D8" w:rsidP="000E24D8">
      <w:pPr>
        <w:spacing w:line="360" w:lineRule="auto"/>
        <w:jc w:val="both"/>
        <w:rPr>
          <w:rFonts w:ascii="David" w:hAnsi="David"/>
          <w:rtl/>
        </w:rPr>
      </w:pPr>
    </w:p>
    <w:p w14:paraId="34448993" w14:textId="77777777" w:rsidR="000E24D8" w:rsidRPr="004813B9" w:rsidRDefault="000E24D8" w:rsidP="000E24D8">
      <w:pPr>
        <w:spacing w:line="360" w:lineRule="auto"/>
        <w:jc w:val="both"/>
        <w:rPr>
          <w:rFonts w:ascii="David" w:hAnsi="David"/>
          <w:b/>
          <w:bCs/>
          <w:u w:val="single"/>
          <w:rtl/>
        </w:rPr>
      </w:pPr>
      <w:r w:rsidRPr="004813B9">
        <w:rPr>
          <w:rFonts w:ascii="David" w:hAnsi="David"/>
          <w:b/>
          <w:bCs/>
          <w:u w:val="single"/>
          <w:rtl/>
        </w:rPr>
        <w:t>טיעוני ההגנה</w:t>
      </w:r>
    </w:p>
    <w:p w14:paraId="445EAC3C" w14:textId="77777777" w:rsidR="000E24D8" w:rsidRPr="004813B9" w:rsidRDefault="000E24D8" w:rsidP="000E24D8">
      <w:pPr>
        <w:spacing w:line="360" w:lineRule="auto"/>
        <w:jc w:val="both"/>
        <w:rPr>
          <w:rFonts w:ascii="David" w:hAnsi="David"/>
          <w:b/>
          <w:bCs/>
          <w:u w:val="single"/>
          <w:rtl/>
        </w:rPr>
      </w:pPr>
    </w:p>
    <w:p w14:paraId="7F025FD8"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 xml:space="preserve">ב"כ הנאשם ביקש להסתפק במתחם ענישה </w:t>
      </w:r>
      <w:r w:rsidRPr="004813B9">
        <w:rPr>
          <w:rFonts w:ascii="David" w:hAnsi="David" w:hint="cs"/>
          <w:rtl/>
        </w:rPr>
        <w:t xml:space="preserve">הנע </w:t>
      </w:r>
      <w:r w:rsidRPr="004813B9">
        <w:rPr>
          <w:rFonts w:ascii="David" w:hAnsi="David"/>
          <w:rtl/>
        </w:rPr>
        <w:t>בין 12-24 חודשי מאסר בפועל</w:t>
      </w:r>
      <w:r w:rsidRPr="004813B9">
        <w:rPr>
          <w:rFonts w:ascii="David" w:hAnsi="David" w:hint="cs"/>
          <w:rtl/>
        </w:rPr>
        <w:t xml:space="preserve"> ולמקם את עונשו של נאשם 1 בחלק התחתון של המתחם.</w:t>
      </w:r>
      <w:r w:rsidRPr="004813B9">
        <w:rPr>
          <w:rFonts w:ascii="David" w:hAnsi="David"/>
          <w:rtl/>
        </w:rPr>
        <w:t xml:space="preserve"> </w:t>
      </w:r>
    </w:p>
    <w:p w14:paraId="1923F0CF" w14:textId="77777777" w:rsidR="000E24D8" w:rsidRPr="004813B9" w:rsidRDefault="000E24D8" w:rsidP="000E24D8">
      <w:pPr>
        <w:pStyle w:val="a9"/>
        <w:spacing w:line="360" w:lineRule="auto"/>
        <w:jc w:val="both"/>
        <w:rPr>
          <w:rFonts w:ascii="David" w:hAnsi="David"/>
        </w:rPr>
      </w:pPr>
    </w:p>
    <w:p w14:paraId="12D9FB1C"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הסנגור טען שנוכח עקרון אחידות הענישה לא ייתכן שיהיו פערים כה גדולים בעמדת המאשימה ביחס לענישה שראוי להטיל כל אחד מהנאשמים. נטען שכתב האישום תוקן ביחס לשני הנאשמים, על בסיס ראיה אובייקטיבית שלא הייתה בידי המאשימה מלכתחילה בשל מחדל בניהול החקירה המשטרתית. </w:t>
      </w:r>
    </w:p>
    <w:p w14:paraId="4F8326B4" w14:textId="77777777" w:rsidR="000E24D8" w:rsidRPr="004813B9" w:rsidRDefault="000E24D8" w:rsidP="000E24D8">
      <w:pPr>
        <w:pStyle w:val="a9"/>
        <w:rPr>
          <w:rFonts w:ascii="David" w:hAnsi="David"/>
          <w:rtl/>
        </w:rPr>
      </w:pPr>
    </w:p>
    <w:p w14:paraId="7570B6CE"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eastAsia"/>
          <w:rtl/>
        </w:rPr>
        <w:t>הסנגור</w:t>
      </w:r>
      <w:r w:rsidRPr="004813B9">
        <w:rPr>
          <w:rFonts w:ascii="David" w:hAnsi="David"/>
          <w:rtl/>
        </w:rPr>
        <w:t xml:space="preserve"> הפנה </w:t>
      </w:r>
      <w:r w:rsidRPr="004813B9">
        <w:rPr>
          <w:rFonts w:ascii="David" w:hAnsi="David" w:hint="cs"/>
          <w:rtl/>
        </w:rPr>
        <w:t>ל</w:t>
      </w:r>
      <w:hyperlink r:id="rId32" w:history="1">
        <w:r w:rsidR="003628B1" w:rsidRPr="004813B9">
          <w:rPr>
            <w:rFonts w:ascii="David" w:hAnsi="David"/>
            <w:color w:val="0000FF"/>
            <w:u w:val="single"/>
            <w:rtl/>
          </w:rPr>
          <w:t>ת"פ 22029-03-21</w:t>
        </w:r>
      </w:hyperlink>
      <w:r w:rsidRPr="004813B9">
        <w:rPr>
          <w:rFonts w:ascii="David" w:hAnsi="David"/>
          <w:rtl/>
        </w:rPr>
        <w:t xml:space="preserve"> </w:t>
      </w:r>
      <w:r w:rsidRPr="004813B9">
        <w:rPr>
          <w:rFonts w:ascii="David" w:hAnsi="David"/>
          <w:b/>
          <w:bCs/>
          <w:rtl/>
        </w:rPr>
        <w:t xml:space="preserve">מדינת ישראל נ' אדם אבו שאח </w:t>
      </w:r>
      <w:r w:rsidRPr="004813B9">
        <w:rPr>
          <w:rFonts w:ascii="David" w:hAnsi="David"/>
          <w:rtl/>
        </w:rPr>
        <w:t xml:space="preserve">(02.06.22) – </w:t>
      </w:r>
      <w:r w:rsidRPr="004813B9">
        <w:rPr>
          <w:rFonts w:ascii="David" w:hAnsi="David" w:hint="cs"/>
          <w:rtl/>
        </w:rPr>
        <w:t xml:space="preserve">שם דובר בעבירות של </w:t>
      </w:r>
      <w:r w:rsidRPr="004813B9">
        <w:rPr>
          <w:rFonts w:ascii="David" w:hAnsi="David"/>
          <w:rtl/>
        </w:rPr>
        <w:t>הובלה, נשיאה וירי בנשק</w:t>
      </w:r>
      <w:r w:rsidRPr="004813B9">
        <w:rPr>
          <w:rFonts w:ascii="David" w:hAnsi="David" w:hint="cs"/>
          <w:rtl/>
        </w:rPr>
        <w:t xml:space="preserve">, והוטלו 14 חודשים מאסר, כאשר בקביעת המתחם הייתה התחשבות בעונש שנגזר על נאשם אחר במועד מוקדם יותר נוכח עקרון אחדות הענישה. </w:t>
      </w:r>
    </w:p>
    <w:p w14:paraId="002200DD" w14:textId="77777777" w:rsidR="000E24D8" w:rsidRPr="004813B9" w:rsidRDefault="000E24D8" w:rsidP="000E24D8">
      <w:pPr>
        <w:pStyle w:val="a9"/>
        <w:rPr>
          <w:rFonts w:ascii="David" w:hAnsi="David"/>
          <w:rtl/>
        </w:rPr>
      </w:pPr>
    </w:p>
    <w:p w14:paraId="3387D3DC"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eastAsia"/>
          <w:rtl/>
        </w:rPr>
        <w:t>נטען</w:t>
      </w:r>
      <w:r w:rsidRPr="004813B9">
        <w:rPr>
          <w:rFonts w:ascii="David" w:hAnsi="David"/>
          <w:rtl/>
        </w:rPr>
        <w:t xml:space="preserve"> </w:t>
      </w:r>
      <w:r w:rsidRPr="004813B9">
        <w:rPr>
          <w:rFonts w:ascii="David" w:hAnsi="David" w:hint="eastAsia"/>
          <w:rtl/>
        </w:rPr>
        <w:t>כי</w:t>
      </w:r>
      <w:r w:rsidRPr="004813B9">
        <w:rPr>
          <w:rFonts w:ascii="David" w:hAnsi="David" w:hint="cs"/>
          <w:rtl/>
        </w:rPr>
        <w:t xml:space="preserve"> חלקו ותפקידו של נאשם 1 באירוע קטן וכי מסרטון מצלמות האבטחה ניתן להבין שנאשם 1 אינו דומיננטי. </w:t>
      </w:r>
    </w:p>
    <w:p w14:paraId="7CD773E3" w14:textId="77777777" w:rsidR="000E24D8" w:rsidRPr="004813B9" w:rsidRDefault="000E24D8" w:rsidP="000E24D8">
      <w:pPr>
        <w:pStyle w:val="a9"/>
        <w:rPr>
          <w:rFonts w:ascii="David" w:hAnsi="David"/>
          <w:rtl/>
        </w:rPr>
      </w:pPr>
    </w:p>
    <w:p w14:paraId="7085D94D"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הסנגור הוסיף וטען כי בהודאתו נאשם 1 חסך עדותם של עדי תביעה רבים</w:t>
      </w:r>
      <w:r w:rsidRPr="004813B9">
        <w:rPr>
          <w:rFonts w:ascii="David" w:hAnsi="David"/>
          <w:rtl/>
        </w:rPr>
        <w:t>.</w:t>
      </w:r>
    </w:p>
    <w:p w14:paraId="59EE5954" w14:textId="77777777" w:rsidR="000E24D8" w:rsidRPr="004813B9" w:rsidRDefault="000E24D8" w:rsidP="000E24D8">
      <w:pPr>
        <w:pStyle w:val="a9"/>
        <w:rPr>
          <w:rFonts w:ascii="David" w:hAnsi="David"/>
          <w:rtl/>
        </w:rPr>
      </w:pPr>
    </w:p>
    <w:p w14:paraId="27E5DD2F"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ביחס לתסקיר שירות המבחן, הסנגור טען כי מדובר בתסקיר לקוני. נטען כי בניגוד לדברי קצינת המבחן, למעשה הנאשם נטל את האחריות בהתאם למעשים המיוחסים לו בכתב האישום המתוקן. עוד נטען שהתסקיר אינו מחייב את בית המשפט.</w:t>
      </w:r>
    </w:p>
    <w:p w14:paraId="38631C9B" w14:textId="77777777" w:rsidR="000E24D8" w:rsidRPr="004813B9" w:rsidRDefault="000E24D8" w:rsidP="000E24D8">
      <w:pPr>
        <w:pStyle w:val="a9"/>
        <w:rPr>
          <w:rFonts w:ascii="David" w:hAnsi="David"/>
          <w:rtl/>
        </w:rPr>
      </w:pPr>
    </w:p>
    <w:p w14:paraId="4D4D398E"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נטען כי נאשם 1 עצור מזה תקופה ארוכה וכי ידוע שתנאי המעצר אינם זהים לתנאי המאסר.</w:t>
      </w:r>
    </w:p>
    <w:p w14:paraId="26A5CEDC" w14:textId="77777777" w:rsidR="000E24D8" w:rsidRPr="004813B9" w:rsidRDefault="000E24D8" w:rsidP="000E24D8">
      <w:pPr>
        <w:pStyle w:val="a9"/>
        <w:rPr>
          <w:rFonts w:ascii="David" w:hAnsi="David"/>
          <w:rtl/>
        </w:rPr>
      </w:pPr>
    </w:p>
    <w:p w14:paraId="41FD9255"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כראיות לעונש הוגשו תעודת בגרות והשתלמות טכנית של נאשם 1, וכן תלושי שכר. </w:t>
      </w:r>
    </w:p>
    <w:p w14:paraId="37E39A80" w14:textId="77777777" w:rsidR="000E24D8" w:rsidRPr="004813B9" w:rsidRDefault="000E24D8" w:rsidP="000E24D8">
      <w:pPr>
        <w:rPr>
          <w:rtl/>
        </w:rPr>
      </w:pPr>
    </w:p>
    <w:p w14:paraId="31AAEF40" w14:textId="77777777" w:rsidR="000E24D8" w:rsidRPr="004813B9" w:rsidRDefault="000E24D8" w:rsidP="000E24D8">
      <w:pPr>
        <w:spacing w:line="360" w:lineRule="auto"/>
        <w:jc w:val="both"/>
        <w:rPr>
          <w:rFonts w:ascii="David" w:hAnsi="David"/>
          <w:rtl/>
        </w:rPr>
      </w:pPr>
    </w:p>
    <w:p w14:paraId="05A9406C" w14:textId="77777777" w:rsidR="000E24D8" w:rsidRPr="004813B9" w:rsidRDefault="000E24D8" w:rsidP="000E24D8">
      <w:pPr>
        <w:spacing w:line="360" w:lineRule="auto"/>
        <w:jc w:val="both"/>
        <w:rPr>
          <w:rFonts w:ascii="David" w:hAnsi="David"/>
          <w:b/>
          <w:bCs/>
          <w:u w:val="single"/>
          <w:rtl/>
        </w:rPr>
      </w:pPr>
      <w:r w:rsidRPr="004813B9">
        <w:rPr>
          <w:rFonts w:ascii="David" w:hAnsi="David"/>
          <w:b/>
          <w:bCs/>
          <w:u w:val="single"/>
          <w:rtl/>
        </w:rPr>
        <w:t>עמדת הנאשם</w:t>
      </w:r>
    </w:p>
    <w:p w14:paraId="49191E5D" w14:textId="77777777" w:rsidR="000E24D8" w:rsidRPr="004813B9" w:rsidRDefault="000E24D8" w:rsidP="000E24D8">
      <w:pPr>
        <w:spacing w:line="360" w:lineRule="auto"/>
        <w:jc w:val="both"/>
        <w:rPr>
          <w:rFonts w:ascii="David" w:hAnsi="David"/>
          <w:b/>
          <w:bCs/>
          <w:u w:val="single"/>
          <w:rtl/>
        </w:rPr>
      </w:pPr>
    </w:p>
    <w:p w14:paraId="63AEB94A"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rtl/>
        </w:rPr>
        <w:t xml:space="preserve">הנאשם הצטער על מעשיו </w:t>
      </w:r>
      <w:r w:rsidRPr="004813B9">
        <w:rPr>
          <w:rFonts w:ascii="David" w:hAnsi="David" w:hint="cs"/>
          <w:rtl/>
        </w:rPr>
        <w:t>ואמר שפעל מתוך לחץ ולא בכוונה תחילה</w:t>
      </w:r>
      <w:r w:rsidRPr="004813B9">
        <w:rPr>
          <w:rFonts w:ascii="David" w:hAnsi="David"/>
          <w:rtl/>
        </w:rPr>
        <w:t>.</w:t>
      </w:r>
    </w:p>
    <w:p w14:paraId="41072E1D" w14:textId="77777777" w:rsidR="000E24D8" w:rsidRPr="004813B9" w:rsidRDefault="000E24D8" w:rsidP="000E24D8">
      <w:pPr>
        <w:spacing w:line="360" w:lineRule="auto"/>
        <w:jc w:val="both"/>
        <w:rPr>
          <w:rFonts w:ascii="David" w:hAnsi="David"/>
          <w:rtl/>
        </w:rPr>
      </w:pPr>
    </w:p>
    <w:p w14:paraId="4B80ED65" w14:textId="77777777" w:rsidR="000E24D8" w:rsidRPr="004813B9" w:rsidRDefault="000E24D8" w:rsidP="000E24D8">
      <w:pPr>
        <w:spacing w:line="360" w:lineRule="auto"/>
        <w:jc w:val="both"/>
        <w:rPr>
          <w:rFonts w:ascii="David" w:hAnsi="David"/>
          <w:b/>
          <w:bCs/>
          <w:u w:val="single"/>
          <w:rtl/>
        </w:rPr>
      </w:pPr>
      <w:r w:rsidRPr="004813B9">
        <w:rPr>
          <w:rFonts w:ascii="David" w:hAnsi="David"/>
          <w:b/>
          <w:bCs/>
          <w:u w:val="single"/>
          <w:rtl/>
        </w:rPr>
        <w:t>תסקיר שירות המבחן</w:t>
      </w:r>
    </w:p>
    <w:p w14:paraId="2C2013E2" w14:textId="77777777" w:rsidR="000E24D8" w:rsidRPr="004813B9" w:rsidRDefault="000E24D8" w:rsidP="000E24D8">
      <w:pPr>
        <w:spacing w:line="360" w:lineRule="auto"/>
        <w:jc w:val="both"/>
        <w:rPr>
          <w:rFonts w:ascii="David" w:hAnsi="David"/>
          <w:b/>
          <w:bCs/>
          <w:u w:val="single"/>
          <w:rtl/>
        </w:rPr>
      </w:pPr>
    </w:p>
    <w:p w14:paraId="65A796EC"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בתסקיר שירות המבחן מיום </w:t>
      </w:r>
      <w:r w:rsidRPr="004813B9">
        <w:rPr>
          <w:rFonts w:ascii="David" w:hAnsi="David"/>
          <w:rtl/>
        </w:rPr>
        <w:t xml:space="preserve">26.10.22 </w:t>
      </w:r>
      <w:r w:rsidRPr="004813B9">
        <w:rPr>
          <w:rFonts w:ascii="David" w:hAnsi="David" w:hint="cs"/>
          <w:rtl/>
        </w:rPr>
        <w:t>שנערך בעניינו של הנאשם לא נכללה המלצה טיפולית ושירות המבחן המליץ על הטלת ענישה מרתיעה בין כותלי הכלא. הוערך קיומו של סיכון להישנות עבירות דומות.</w:t>
      </w:r>
    </w:p>
    <w:p w14:paraId="6955C30F" w14:textId="77777777" w:rsidR="000E24D8" w:rsidRPr="004813B9" w:rsidRDefault="000E24D8" w:rsidP="000E24D8">
      <w:pPr>
        <w:pStyle w:val="a9"/>
        <w:spacing w:line="360" w:lineRule="auto"/>
        <w:jc w:val="both"/>
        <w:rPr>
          <w:rFonts w:ascii="David" w:hAnsi="David"/>
        </w:rPr>
      </w:pPr>
    </w:p>
    <w:p w14:paraId="1A2902CC"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בתסקיר תואר כי נאשם 1 השלים 12 שנות לימוד עם בגרות מלאה. בן למשפחה נורמטיבית. מאז סיום לימודיו עבד בעבודות מזדמנות ובחמת החודשים עובר למעצרו עבר בחברת העפר. </w:t>
      </w:r>
    </w:p>
    <w:p w14:paraId="325D189D" w14:textId="77777777" w:rsidR="000E24D8" w:rsidRPr="004813B9" w:rsidRDefault="000E24D8" w:rsidP="000E24D8">
      <w:pPr>
        <w:pStyle w:val="a9"/>
        <w:rPr>
          <w:rFonts w:ascii="David" w:hAnsi="David"/>
          <w:rtl/>
        </w:rPr>
      </w:pPr>
    </w:p>
    <w:p w14:paraId="388603F8"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צוין שהנאשם 1 הודה בכתב האישום אולם נטל אחריות חלקית על מעשיו. קצינת המבחן התרשמה שהנאשם 1 תולה את מעשיו בחבריו. הנאשם תיאר שלא הכיר את האנשים עימם נסע ברכב מלבד נאשם 2, הכחיש שידע שהם מחזיקים בנשק. הכחיש שהיה שותף לחילופי הירי או לקטטה שהתפתחה. נאשם 1 מסר שבעת האירוע התמודד עם תחושת לחץ ופעל בצורה אימפולסיבית מבלי להפעיל שיקול דעת. הוא אף התייחס להעדר תכנון מוקדם והתייחס למעורבותו באירוע כאקראית. </w:t>
      </w:r>
    </w:p>
    <w:p w14:paraId="08531F22" w14:textId="77777777" w:rsidR="000E24D8" w:rsidRPr="004813B9" w:rsidRDefault="000E24D8" w:rsidP="000E24D8">
      <w:pPr>
        <w:pStyle w:val="a9"/>
        <w:rPr>
          <w:rFonts w:ascii="David" w:hAnsi="David"/>
          <w:rtl/>
        </w:rPr>
      </w:pPr>
    </w:p>
    <w:p w14:paraId="77DE0D40"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שירות המבחן התרשם מחוסר כנות מצד נאשם 1. צוין שנאשם 1 לא הביע חרטה על מעשיו ולא הביע חמלה כלפי המעורבים האחרים. עוד נכללה התייחסות לכך שהנאשם מתקשה לבחון מעשיו באופן ביקורתי ומתאר את המעשים באופן מצומצם ומניפולטיבי. התרשמות שנאשם 1 פעול באופן מרצה בעיקר מול דמויות סמכות והבע חשש מהתנהלותו במצבים בהם הוא מבקש לבסס מעמדו בקרב קבוצת השווים.</w:t>
      </w:r>
    </w:p>
    <w:p w14:paraId="1CAF4F68" w14:textId="77777777" w:rsidR="000E24D8" w:rsidRPr="004813B9" w:rsidRDefault="000E24D8" w:rsidP="000E24D8">
      <w:pPr>
        <w:rPr>
          <w:rtl/>
        </w:rPr>
      </w:pPr>
    </w:p>
    <w:p w14:paraId="0C8605B4" w14:textId="77777777" w:rsidR="000E24D8" w:rsidRPr="004813B9" w:rsidRDefault="000E24D8" w:rsidP="000E24D8">
      <w:pPr>
        <w:spacing w:line="360" w:lineRule="auto"/>
        <w:jc w:val="both"/>
        <w:rPr>
          <w:rFonts w:ascii="David" w:hAnsi="David"/>
          <w:rtl/>
        </w:rPr>
      </w:pPr>
    </w:p>
    <w:p w14:paraId="0C95715B" w14:textId="77777777" w:rsidR="000E24D8" w:rsidRPr="004813B9" w:rsidRDefault="000E24D8" w:rsidP="000E24D8">
      <w:pPr>
        <w:spacing w:line="360" w:lineRule="auto"/>
        <w:jc w:val="both"/>
        <w:rPr>
          <w:rFonts w:ascii="David" w:hAnsi="David"/>
          <w:b/>
          <w:bCs/>
          <w:u w:val="single"/>
          <w:rtl/>
        </w:rPr>
      </w:pPr>
      <w:r w:rsidRPr="004813B9">
        <w:rPr>
          <w:rFonts w:ascii="David" w:hAnsi="David"/>
          <w:b/>
          <w:bCs/>
          <w:u w:val="single"/>
          <w:rtl/>
        </w:rPr>
        <w:t>דיון</w:t>
      </w:r>
    </w:p>
    <w:p w14:paraId="5C2A74EB" w14:textId="77777777" w:rsidR="000E24D8" w:rsidRPr="004813B9" w:rsidRDefault="000E24D8" w:rsidP="000E24D8">
      <w:pPr>
        <w:spacing w:line="360" w:lineRule="auto"/>
        <w:jc w:val="both"/>
        <w:rPr>
          <w:rFonts w:ascii="David" w:hAnsi="David"/>
          <w:b/>
          <w:bCs/>
          <w:u w:val="single"/>
          <w:rtl/>
        </w:rPr>
      </w:pPr>
    </w:p>
    <w:p w14:paraId="63D43270" w14:textId="77777777" w:rsidR="000E24D8" w:rsidRPr="004813B9" w:rsidRDefault="000E24D8" w:rsidP="000E24D8">
      <w:pPr>
        <w:pStyle w:val="a9"/>
        <w:numPr>
          <w:ilvl w:val="0"/>
          <w:numId w:val="1"/>
        </w:numPr>
        <w:spacing w:line="360" w:lineRule="auto"/>
        <w:jc w:val="both"/>
        <w:rPr>
          <w:rFonts w:ascii="David" w:hAnsi="David"/>
          <w:color w:val="000000"/>
        </w:rPr>
      </w:pPr>
      <w:r w:rsidRPr="004813B9">
        <w:rPr>
          <w:rFonts w:ascii="David" w:hAnsi="David" w:hint="cs"/>
          <w:color w:val="000000"/>
          <w:rtl/>
        </w:rPr>
        <w:t>חומרתן של עבירות הנשק רבה היא והסיכון הנשקף מהן לחברה הוא עצום. למרבה הצער, אנו חיים בתקופה בה מתרחשים אירועי ירי חדשות לבקרים, אשר לא אחת מסתיימים בפגיעות ברכוש, בגוף ואף בגדיעת חיי אדם. רבות נכתב על הצורך במדיניות ענישה מחמירה ובלתי מתפשרת בעבירות אלה, אשר צריכה לשקף את החומרה הרבה שבצידן. לצד דברים אלה, אין לשכוח כי הענישה היא אינדיבידואלי</w:t>
      </w:r>
      <w:r w:rsidRPr="004813B9">
        <w:rPr>
          <w:rFonts w:ascii="David" w:hAnsi="David" w:hint="eastAsia"/>
          <w:color w:val="000000"/>
          <w:rtl/>
        </w:rPr>
        <w:t>ת</w:t>
      </w:r>
      <w:r w:rsidRPr="004813B9">
        <w:rPr>
          <w:rFonts w:ascii="David" w:hAnsi="David" w:hint="cs"/>
          <w:color w:val="000000"/>
          <w:rtl/>
        </w:rPr>
        <w:t xml:space="preserve"> ועל בית המשפט מוטלת החובה "לתפור" בכל מקרה ומקרה חליפת ענישה התואמת את נסיבות העניין ואת מידותיו של הנאשם הספציפי.</w:t>
      </w:r>
    </w:p>
    <w:p w14:paraId="5E9FCF13" w14:textId="77777777" w:rsidR="000E24D8" w:rsidRPr="004813B9" w:rsidRDefault="000E24D8" w:rsidP="000E24D8">
      <w:pPr>
        <w:spacing w:line="360" w:lineRule="auto"/>
        <w:jc w:val="both"/>
        <w:rPr>
          <w:rFonts w:ascii="David" w:hAnsi="David"/>
          <w:color w:val="000000"/>
        </w:rPr>
      </w:pPr>
      <w:r w:rsidRPr="004813B9">
        <w:rPr>
          <w:rFonts w:ascii="David" w:hAnsi="David"/>
          <w:color w:val="000000"/>
          <w:rtl/>
        </w:rPr>
        <w:t xml:space="preserve">  </w:t>
      </w:r>
    </w:p>
    <w:p w14:paraId="33D7E452" w14:textId="77777777" w:rsidR="000E24D8" w:rsidRPr="004813B9" w:rsidRDefault="000E24D8" w:rsidP="000E24D8">
      <w:pPr>
        <w:pStyle w:val="a9"/>
        <w:numPr>
          <w:ilvl w:val="0"/>
          <w:numId w:val="1"/>
        </w:numPr>
        <w:spacing w:line="360" w:lineRule="auto"/>
        <w:jc w:val="both"/>
        <w:rPr>
          <w:rFonts w:ascii="David" w:hAnsi="David"/>
          <w:color w:val="000000"/>
        </w:rPr>
      </w:pPr>
      <w:r w:rsidRPr="004813B9">
        <w:rPr>
          <w:rFonts w:ascii="David" w:hAnsi="David" w:hint="cs"/>
          <w:color w:val="000000"/>
          <w:rtl/>
        </w:rPr>
        <w:t xml:space="preserve">במקרה זה מעשיו של הנאשם פגעו הערכים החברתיים המוגנים של </w:t>
      </w:r>
      <w:r w:rsidRPr="004813B9">
        <w:rPr>
          <w:rFonts w:ascii="David" w:hAnsi="David"/>
          <w:color w:val="000000"/>
          <w:rtl/>
        </w:rPr>
        <w:t>בטחון הפרט והציבור והשמירה על הסדר הציבורי. בנסיבות ביצוע העבירות</w:t>
      </w:r>
      <w:r w:rsidRPr="004813B9">
        <w:rPr>
          <w:rFonts w:ascii="David" w:hAnsi="David" w:hint="cs"/>
          <w:color w:val="000000"/>
          <w:rtl/>
        </w:rPr>
        <w:t>, ובהינתן העובדה שנאשם 1 נשא והוביל נשק שנעשה בו שימוש זמן קצר לפני כן (גם אם לא בידיו וללא גרימת נזק בפועל)</w:t>
      </w:r>
      <w:r w:rsidRPr="004813B9">
        <w:rPr>
          <w:rFonts w:ascii="David" w:hAnsi="David"/>
          <w:color w:val="000000"/>
          <w:rtl/>
        </w:rPr>
        <w:t xml:space="preserve"> מידת הפגיעה בערכים האמורים הייתה בינונית.</w:t>
      </w:r>
    </w:p>
    <w:p w14:paraId="7C5EDE26" w14:textId="77777777" w:rsidR="000E24D8" w:rsidRPr="004813B9" w:rsidRDefault="000E24D8" w:rsidP="000E24D8">
      <w:pPr>
        <w:pStyle w:val="a9"/>
        <w:spacing w:line="360" w:lineRule="auto"/>
        <w:jc w:val="both"/>
        <w:rPr>
          <w:rFonts w:ascii="David" w:hAnsi="David"/>
          <w:color w:val="000000"/>
        </w:rPr>
      </w:pPr>
    </w:p>
    <w:p w14:paraId="5E7D5921" w14:textId="77777777" w:rsidR="000E24D8" w:rsidRPr="004813B9" w:rsidRDefault="000E24D8" w:rsidP="000E24D8">
      <w:pPr>
        <w:pStyle w:val="a9"/>
        <w:numPr>
          <w:ilvl w:val="0"/>
          <w:numId w:val="1"/>
        </w:numPr>
        <w:spacing w:line="360" w:lineRule="auto"/>
        <w:jc w:val="both"/>
        <w:rPr>
          <w:rFonts w:ascii="David" w:hAnsi="David"/>
        </w:rPr>
      </w:pPr>
      <w:r w:rsidRPr="004813B9">
        <w:rPr>
          <w:rFonts w:ascii="David" w:hAnsi="David" w:hint="cs"/>
          <w:rtl/>
        </w:rPr>
        <w:t xml:space="preserve">בנסיבות המקרה נראה כי נאשם 1 לא היה מעורב בתכנון מוקדם של האירוע וחלקו באירועי המתואר בכתב האישום אינו דומיננטי </w:t>
      </w:r>
      <w:r w:rsidRPr="004813B9">
        <w:rPr>
          <w:rFonts w:ascii="David" w:hAnsi="David"/>
          <w:rtl/>
        </w:rPr>
        <w:t>–</w:t>
      </w:r>
      <w:r w:rsidRPr="004813B9">
        <w:rPr>
          <w:rFonts w:ascii="David" w:hAnsi="David" w:hint="cs"/>
          <w:rtl/>
        </w:rPr>
        <w:t xml:space="preserve"> כאשר האחר הוא זה אשר יצא מהרכב ופתח בירי. זאת ועוד, שקלתי את העובדה כי בסופו של דבר לא נגרם נזק כתוצאה מהירי שביצע האחר. </w:t>
      </w:r>
    </w:p>
    <w:p w14:paraId="09D1349D" w14:textId="77777777" w:rsidR="000E24D8" w:rsidRPr="004813B9" w:rsidRDefault="000E24D8" w:rsidP="000E24D8">
      <w:pPr>
        <w:rPr>
          <w:color w:val="000000"/>
          <w:rtl/>
        </w:rPr>
      </w:pPr>
    </w:p>
    <w:p w14:paraId="39DC148C" w14:textId="77777777" w:rsidR="000E24D8" w:rsidRPr="004813B9" w:rsidRDefault="000E24D8" w:rsidP="000E24D8">
      <w:pPr>
        <w:pStyle w:val="a9"/>
        <w:numPr>
          <w:ilvl w:val="0"/>
          <w:numId w:val="1"/>
        </w:numPr>
        <w:spacing w:line="360" w:lineRule="auto"/>
        <w:jc w:val="both"/>
        <w:rPr>
          <w:rFonts w:ascii="David" w:hAnsi="David"/>
          <w:rtl/>
        </w:rPr>
      </w:pPr>
      <w:r w:rsidRPr="004813B9">
        <w:rPr>
          <w:rFonts w:ascii="David" w:hAnsi="David" w:hint="cs"/>
          <w:color w:val="000000"/>
          <w:rtl/>
        </w:rPr>
        <w:t>עוד יש לתת משקל לעקרון אחידות הענישה, המחייב שמירה על יחס מידתי בין עונשים הנגזרים על נאשמים שהואשמו באותן העבירות (</w:t>
      </w:r>
      <w:hyperlink r:id="rId33" w:history="1">
        <w:r w:rsidR="003628B1" w:rsidRPr="004813B9">
          <w:rPr>
            <w:color w:val="0000FF"/>
            <w:u w:val="single"/>
            <w:rtl/>
          </w:rPr>
          <w:t>ע"פ 1261/15</w:t>
        </w:r>
      </w:hyperlink>
      <w:r w:rsidR="003628B1" w:rsidRPr="004813B9">
        <w:rPr>
          <w:color w:val="000000"/>
          <w:rtl/>
        </w:rPr>
        <w:t xml:space="preserve"> </w:t>
      </w:r>
      <w:r w:rsidRPr="004813B9">
        <w:rPr>
          <w:b/>
          <w:bCs/>
          <w:color w:val="000000"/>
          <w:rtl/>
        </w:rPr>
        <w:t>מדינת ישראל נ' יוסף דלאל</w:t>
      </w:r>
      <w:r w:rsidR="003628B1" w:rsidRPr="004813B9">
        <w:rPr>
          <w:color w:val="000000"/>
          <w:rtl/>
        </w:rPr>
        <w:t xml:space="preserve"> </w:t>
      </w:r>
      <w:r w:rsidRPr="004813B9">
        <w:rPr>
          <w:color w:val="000000"/>
          <w:rtl/>
        </w:rPr>
        <w:t>(נבו 03.09.2015)</w:t>
      </w:r>
      <w:r w:rsidRPr="004813B9">
        <w:rPr>
          <w:rFonts w:ascii="David" w:hAnsi="David" w:hint="cs"/>
          <w:color w:val="000000"/>
          <w:rtl/>
        </w:rPr>
        <w:t>). בשים לב כי לנאשם 2 יוחסה עבירת סיוע בלבד, ובהינתן העובדה כי לפי כתב האישום נאשם 2 פעל להפסקת הירי על ידי האחר, ובהתחשב בעונש שנגזר על נאשם 2, בין היתר נוכח עמדת המאשימה, ב</w:t>
      </w:r>
      <w:r w:rsidRPr="004813B9">
        <w:rPr>
          <w:rFonts w:ascii="David" w:hAnsi="David"/>
          <w:color w:val="000000"/>
          <w:rtl/>
        </w:rPr>
        <w:t xml:space="preserve">נסיבות המקרה </w:t>
      </w:r>
      <w:r w:rsidRPr="004813B9">
        <w:rPr>
          <w:rFonts w:ascii="David" w:hAnsi="David" w:hint="cs"/>
          <w:color w:val="000000"/>
          <w:rtl/>
        </w:rPr>
        <w:t xml:space="preserve">הספציפי יש לקבוע מתחם ענישה הנמצא בין 14 ל- 28 חודשי מאסר בפועל. </w:t>
      </w:r>
    </w:p>
    <w:p w14:paraId="4B0D0A76" w14:textId="77777777" w:rsidR="000E24D8" w:rsidRPr="004813B9" w:rsidRDefault="000E24D8" w:rsidP="000E24D8">
      <w:pPr>
        <w:rPr>
          <w:rtl/>
        </w:rPr>
      </w:pPr>
    </w:p>
    <w:p w14:paraId="4E573545" w14:textId="77777777" w:rsidR="000E24D8" w:rsidRPr="004813B9" w:rsidRDefault="000E24D8" w:rsidP="000E24D8">
      <w:pPr>
        <w:pStyle w:val="a9"/>
        <w:numPr>
          <w:ilvl w:val="0"/>
          <w:numId w:val="1"/>
        </w:numPr>
        <w:spacing w:line="360" w:lineRule="auto"/>
        <w:jc w:val="both"/>
        <w:rPr>
          <w:rFonts w:ascii="David" w:hAnsi="David"/>
          <w:rtl/>
        </w:rPr>
      </w:pPr>
      <w:r w:rsidRPr="004813B9">
        <w:rPr>
          <w:rFonts w:ascii="David" w:hAnsi="David" w:hint="cs"/>
          <w:color w:val="000000"/>
          <w:rtl/>
        </w:rPr>
        <w:t>באשר לגזרת עונשו של נאשם 1 בתוך מתחם העונש ההולם, נתתי משקל לעובדה כי מדובר בנאשם צעיר, שזוהי הסתבכותו הראשונה עם החוק, ושעד למקרה זה ניהל אורח חיים נורמטיבי. עוד נתתי משקל להודאתו בכתב האישום המתוקן, לקיחת האחריות מצידו והחיסכון בזמן השיפוטי. בהתאם לכך מצאתי שיש למקם את עונשו של נאשם 1 ברף התחתון של מתחם העונש ההולם.</w:t>
      </w:r>
    </w:p>
    <w:p w14:paraId="02A38132" w14:textId="77777777" w:rsidR="000E24D8" w:rsidRPr="004813B9" w:rsidRDefault="000E24D8" w:rsidP="000E24D8">
      <w:pPr>
        <w:pStyle w:val="a9"/>
        <w:rPr>
          <w:color w:val="000000"/>
          <w:rtl/>
        </w:rPr>
      </w:pPr>
    </w:p>
    <w:p w14:paraId="55A00892" w14:textId="77777777" w:rsidR="000E24D8" w:rsidRPr="004813B9" w:rsidRDefault="000E24D8" w:rsidP="000E24D8">
      <w:pPr>
        <w:pStyle w:val="a9"/>
        <w:numPr>
          <w:ilvl w:val="0"/>
          <w:numId w:val="1"/>
        </w:numPr>
        <w:spacing w:line="360" w:lineRule="auto"/>
        <w:jc w:val="both"/>
        <w:rPr>
          <w:rFonts w:ascii="David" w:hAnsi="David"/>
          <w:rtl/>
        </w:rPr>
      </w:pPr>
      <w:r w:rsidRPr="004813B9">
        <w:rPr>
          <w:rFonts w:ascii="David" w:hAnsi="David"/>
          <w:color w:val="000000"/>
          <w:rtl/>
        </w:rPr>
        <w:t>אשר על כן, הנני מטיל על הנאשם עונשים כדלקמן:</w:t>
      </w:r>
    </w:p>
    <w:p w14:paraId="7775A5BA" w14:textId="77777777" w:rsidR="000E24D8" w:rsidRPr="004813B9" w:rsidRDefault="003628B1" w:rsidP="000E24D8">
      <w:pPr>
        <w:spacing w:line="360" w:lineRule="auto"/>
        <w:ind w:left="720"/>
        <w:jc w:val="both"/>
        <w:rPr>
          <w:color w:val="000000"/>
          <w:rtl/>
        </w:rPr>
      </w:pPr>
      <w:r w:rsidRPr="004813B9">
        <w:rPr>
          <w:rFonts w:ascii="David" w:hAnsi="David"/>
          <w:color w:val="000000"/>
        </w:rPr>
        <w:t xml:space="preserve"> </w:t>
      </w:r>
    </w:p>
    <w:p w14:paraId="7763B57F" w14:textId="77777777" w:rsidR="000E24D8" w:rsidRPr="004813B9" w:rsidRDefault="000E24D8" w:rsidP="000E24D8">
      <w:pPr>
        <w:spacing w:after="120" w:line="360" w:lineRule="auto"/>
        <w:ind w:left="1434" w:hanging="357"/>
        <w:jc w:val="both"/>
        <w:rPr>
          <w:color w:val="000000"/>
          <w:rtl/>
        </w:rPr>
      </w:pPr>
      <w:r w:rsidRPr="004813B9">
        <w:rPr>
          <w:rFonts w:ascii="David" w:hAnsi="David"/>
          <w:color w:val="000000"/>
          <w:rtl/>
        </w:rPr>
        <w:t>-</w:t>
      </w:r>
      <w:r w:rsidR="003628B1" w:rsidRPr="004813B9">
        <w:rPr>
          <w:color w:val="000000"/>
          <w:sz w:val="12"/>
          <w:szCs w:val="12"/>
          <w:rtl/>
        </w:rPr>
        <w:t xml:space="preserve">          </w:t>
      </w:r>
      <w:r w:rsidRPr="004813B9">
        <w:rPr>
          <w:rFonts w:ascii="David" w:hAnsi="David" w:hint="cs"/>
          <w:color w:val="000000"/>
          <w:rtl/>
        </w:rPr>
        <w:t>14</w:t>
      </w:r>
      <w:r w:rsidRPr="004813B9">
        <w:rPr>
          <w:rFonts w:ascii="David" w:hAnsi="David"/>
          <w:color w:val="000000"/>
          <w:rtl/>
        </w:rPr>
        <w:t xml:space="preserve"> חודשי מאסר בפועל בניכוי ימי מעצרו מיום </w:t>
      </w:r>
      <w:r w:rsidRPr="004813B9">
        <w:rPr>
          <w:rFonts w:ascii="David" w:hAnsi="David" w:hint="cs"/>
          <w:color w:val="000000"/>
          <w:rtl/>
        </w:rPr>
        <w:t>27.11.21</w:t>
      </w:r>
      <w:r w:rsidRPr="004813B9">
        <w:rPr>
          <w:rFonts w:ascii="David" w:hAnsi="David"/>
          <w:color w:val="000000"/>
          <w:rtl/>
        </w:rPr>
        <w:t>.</w:t>
      </w:r>
    </w:p>
    <w:p w14:paraId="4736BCC0" w14:textId="77777777" w:rsidR="000E24D8" w:rsidRPr="004813B9" w:rsidRDefault="000E24D8" w:rsidP="000E24D8">
      <w:pPr>
        <w:spacing w:after="120" w:line="360" w:lineRule="auto"/>
        <w:ind w:left="1434" w:hanging="357"/>
        <w:jc w:val="both"/>
        <w:rPr>
          <w:color w:val="000000"/>
          <w:rtl/>
        </w:rPr>
      </w:pPr>
      <w:r w:rsidRPr="004813B9">
        <w:rPr>
          <w:rFonts w:ascii="David" w:hAnsi="David"/>
          <w:color w:val="000000"/>
          <w:rtl/>
        </w:rPr>
        <w:t>-</w:t>
      </w:r>
      <w:r w:rsidR="003628B1" w:rsidRPr="004813B9">
        <w:rPr>
          <w:color w:val="000000"/>
          <w:sz w:val="12"/>
          <w:szCs w:val="12"/>
          <w:rtl/>
        </w:rPr>
        <w:t xml:space="preserve">          </w:t>
      </w:r>
      <w:r w:rsidRPr="004813B9">
        <w:rPr>
          <w:rFonts w:ascii="David" w:hAnsi="David"/>
          <w:color w:val="000000"/>
          <w:rtl/>
        </w:rPr>
        <w:t>12 חודשי מאסר על תנאי למשך 3 שנים כאשר התנאי יופעל במידה ויעבור עבירות נשק מסוג פשע.</w:t>
      </w:r>
    </w:p>
    <w:p w14:paraId="19F3F615" w14:textId="77777777" w:rsidR="000E24D8" w:rsidRPr="004813B9" w:rsidRDefault="000E24D8" w:rsidP="000E24D8">
      <w:pPr>
        <w:spacing w:after="120" w:line="360" w:lineRule="auto"/>
        <w:ind w:left="1434" w:hanging="357"/>
        <w:jc w:val="both"/>
        <w:rPr>
          <w:color w:val="000000"/>
          <w:rtl/>
        </w:rPr>
      </w:pPr>
      <w:r w:rsidRPr="004813B9">
        <w:rPr>
          <w:rFonts w:ascii="David" w:hAnsi="David"/>
          <w:color w:val="000000"/>
          <w:rtl/>
        </w:rPr>
        <w:t>-</w:t>
      </w:r>
      <w:r w:rsidR="003628B1" w:rsidRPr="004813B9">
        <w:rPr>
          <w:color w:val="000000"/>
          <w:sz w:val="12"/>
          <w:szCs w:val="12"/>
          <w:rtl/>
        </w:rPr>
        <w:t xml:space="preserve">          </w:t>
      </w:r>
      <w:r w:rsidRPr="004813B9">
        <w:rPr>
          <w:rFonts w:ascii="David" w:hAnsi="David"/>
          <w:color w:val="000000"/>
          <w:rtl/>
        </w:rPr>
        <w:t xml:space="preserve">קנס של 5,000 ₪, לתשלום עד ליום </w:t>
      </w:r>
      <w:r w:rsidRPr="004813B9">
        <w:rPr>
          <w:rFonts w:ascii="David" w:hAnsi="David" w:hint="cs"/>
          <w:color w:val="000000"/>
          <w:rtl/>
        </w:rPr>
        <w:t>1.2.23</w:t>
      </w:r>
      <w:r w:rsidRPr="004813B9">
        <w:rPr>
          <w:rFonts w:ascii="David" w:hAnsi="David"/>
          <w:color w:val="000000"/>
          <w:rtl/>
        </w:rPr>
        <w:t>.</w:t>
      </w:r>
    </w:p>
    <w:p w14:paraId="3F343F6C" w14:textId="77777777" w:rsidR="000E24D8" w:rsidRPr="004813B9" w:rsidRDefault="003628B1" w:rsidP="000E24D8">
      <w:pPr>
        <w:spacing w:line="360" w:lineRule="atLeast"/>
        <w:jc w:val="both"/>
        <w:rPr>
          <w:color w:val="FFFFFF"/>
          <w:sz w:val="2"/>
          <w:szCs w:val="2"/>
          <w:rtl/>
        </w:rPr>
      </w:pPr>
      <w:r w:rsidRPr="004813B9">
        <w:rPr>
          <w:color w:val="FFFFFF"/>
          <w:sz w:val="2"/>
          <w:szCs w:val="2"/>
          <w:rtl/>
        </w:rPr>
        <w:t>5129371</w:t>
      </w:r>
    </w:p>
    <w:p w14:paraId="5271EA20" w14:textId="77777777" w:rsidR="000E24D8" w:rsidRPr="004813B9" w:rsidRDefault="003628B1" w:rsidP="000E24D8">
      <w:pPr>
        <w:spacing w:line="360" w:lineRule="auto"/>
        <w:jc w:val="both"/>
        <w:rPr>
          <w:rFonts w:ascii="Arial" w:hAnsi="Arial"/>
          <w:b/>
          <w:bCs/>
          <w:sz w:val="26"/>
          <w:szCs w:val="26"/>
          <w:u w:val="single"/>
          <w:rtl/>
        </w:rPr>
      </w:pPr>
      <w:r w:rsidRPr="004813B9">
        <w:rPr>
          <w:rFonts w:ascii="Arial" w:hAnsi="Arial"/>
          <w:b/>
          <w:bCs/>
          <w:color w:val="FFFFFF"/>
          <w:sz w:val="2"/>
          <w:szCs w:val="2"/>
          <w:u w:val="single"/>
          <w:rtl/>
        </w:rPr>
        <w:t>54678313</w:t>
      </w:r>
      <w:r w:rsidR="000E24D8" w:rsidRPr="004813B9">
        <w:rPr>
          <w:rFonts w:ascii="Arial" w:hAnsi="Arial" w:hint="eastAsia"/>
          <w:b/>
          <w:bCs/>
          <w:sz w:val="26"/>
          <w:szCs w:val="26"/>
          <w:u w:val="single"/>
          <w:rtl/>
        </w:rPr>
        <w:t>זכות</w:t>
      </w:r>
      <w:r w:rsidR="000E24D8" w:rsidRPr="004813B9">
        <w:rPr>
          <w:rFonts w:ascii="Arial" w:hAnsi="Arial"/>
          <w:b/>
          <w:bCs/>
          <w:sz w:val="26"/>
          <w:szCs w:val="26"/>
          <w:u w:val="single"/>
          <w:rtl/>
        </w:rPr>
        <w:t xml:space="preserve"> </w:t>
      </w:r>
      <w:r w:rsidR="000E24D8" w:rsidRPr="004813B9">
        <w:rPr>
          <w:rFonts w:ascii="Arial" w:hAnsi="Arial" w:hint="eastAsia"/>
          <w:b/>
          <w:bCs/>
          <w:sz w:val="26"/>
          <w:szCs w:val="26"/>
          <w:u w:val="single"/>
          <w:rtl/>
        </w:rPr>
        <w:t>ערעור</w:t>
      </w:r>
      <w:r w:rsidR="000E24D8" w:rsidRPr="004813B9">
        <w:rPr>
          <w:rFonts w:ascii="Arial" w:hAnsi="Arial"/>
          <w:b/>
          <w:bCs/>
          <w:sz w:val="26"/>
          <w:szCs w:val="26"/>
          <w:u w:val="single"/>
          <w:rtl/>
        </w:rPr>
        <w:t xml:space="preserve"> </w:t>
      </w:r>
      <w:r w:rsidR="000E24D8" w:rsidRPr="004813B9">
        <w:rPr>
          <w:rFonts w:ascii="Arial" w:hAnsi="Arial" w:hint="eastAsia"/>
          <w:b/>
          <w:bCs/>
          <w:sz w:val="26"/>
          <w:szCs w:val="26"/>
          <w:u w:val="single"/>
          <w:rtl/>
        </w:rPr>
        <w:t>תוך</w:t>
      </w:r>
      <w:r w:rsidR="000E24D8" w:rsidRPr="004813B9">
        <w:rPr>
          <w:rFonts w:ascii="Arial" w:hAnsi="Arial"/>
          <w:b/>
          <w:bCs/>
          <w:sz w:val="26"/>
          <w:szCs w:val="26"/>
          <w:u w:val="single"/>
          <w:rtl/>
        </w:rPr>
        <w:t xml:space="preserve"> 45 </w:t>
      </w:r>
      <w:r w:rsidR="000E24D8" w:rsidRPr="004813B9">
        <w:rPr>
          <w:rFonts w:ascii="Arial" w:hAnsi="Arial" w:hint="eastAsia"/>
          <w:b/>
          <w:bCs/>
          <w:sz w:val="26"/>
          <w:szCs w:val="26"/>
          <w:u w:val="single"/>
          <w:rtl/>
        </w:rPr>
        <w:t>ימים</w:t>
      </w:r>
      <w:r w:rsidR="000E24D8" w:rsidRPr="004813B9">
        <w:rPr>
          <w:rFonts w:ascii="Arial" w:hAnsi="Arial" w:hint="cs"/>
          <w:b/>
          <w:bCs/>
          <w:sz w:val="26"/>
          <w:szCs w:val="26"/>
          <w:u w:val="single"/>
          <w:rtl/>
        </w:rPr>
        <w:t>.</w:t>
      </w:r>
    </w:p>
    <w:p w14:paraId="772FA9EF" w14:textId="77777777" w:rsidR="000E24D8" w:rsidRPr="004813B9" w:rsidRDefault="000E24D8" w:rsidP="000E24D8">
      <w:pPr>
        <w:spacing w:line="360" w:lineRule="auto"/>
        <w:jc w:val="both"/>
        <w:rPr>
          <w:rFonts w:ascii="Arial" w:hAnsi="Arial"/>
          <w:b/>
          <w:bCs/>
          <w:sz w:val="26"/>
          <w:szCs w:val="26"/>
          <w:rtl/>
        </w:rPr>
      </w:pPr>
    </w:p>
    <w:p w14:paraId="7A972DA2" w14:textId="77777777" w:rsidR="000E24D8" w:rsidRPr="004813B9" w:rsidRDefault="003628B1" w:rsidP="000E24D8">
      <w:pPr>
        <w:rPr>
          <w:rFonts w:ascii="Arial" w:hAnsi="Arial"/>
          <w:b/>
          <w:bCs/>
          <w:sz w:val="26"/>
          <w:szCs w:val="26"/>
          <w:rtl/>
        </w:rPr>
      </w:pPr>
      <w:bookmarkStart w:id="8" w:name="Nitan"/>
      <w:r w:rsidRPr="004813B9">
        <w:rPr>
          <w:rFonts w:ascii="Arial" w:hAnsi="Arial"/>
          <w:b/>
          <w:bCs/>
          <w:sz w:val="26"/>
          <w:szCs w:val="26"/>
          <w:rtl/>
        </w:rPr>
        <w:t xml:space="preserve">ניתן היום,  כ"ז חשוון תשפ"ג, 21 נובמבר 2022, בהעדר הצדדים. </w:t>
      </w:r>
      <w:bookmarkEnd w:id="8"/>
    </w:p>
    <w:p w14:paraId="14BE8AC7" w14:textId="77777777" w:rsidR="000E24D8" w:rsidRPr="004813B9" w:rsidRDefault="000E24D8" w:rsidP="003628B1">
      <w:pPr>
        <w:jc w:val="center"/>
      </w:pPr>
      <w:r w:rsidRPr="004813B9">
        <w:rPr>
          <w:rFonts w:ascii="Arial" w:hAnsi="Arial"/>
          <w:b/>
          <w:bCs/>
          <w:sz w:val="26"/>
          <w:szCs w:val="26"/>
          <w:rtl/>
        </w:rPr>
        <w:t xml:space="preserve">   </w:t>
      </w:r>
      <w:r w:rsidRPr="004813B9">
        <w:rPr>
          <w:rFonts w:ascii="Arial" w:hAnsi="Arial"/>
          <w:b/>
          <w:bCs/>
          <w:sz w:val="26"/>
          <w:szCs w:val="26"/>
          <w:rtl/>
        </w:rPr>
        <w:tab/>
      </w:r>
      <w:r w:rsidRPr="004813B9">
        <w:rPr>
          <w:rFonts w:ascii="Arial" w:hAnsi="Arial"/>
          <w:b/>
          <w:bCs/>
          <w:sz w:val="26"/>
          <w:szCs w:val="26"/>
          <w:rtl/>
        </w:rPr>
        <w:tab/>
      </w:r>
      <w:r w:rsidRPr="004813B9">
        <w:rPr>
          <w:rFonts w:ascii="Arial" w:hAnsi="Arial"/>
          <w:b/>
          <w:bCs/>
          <w:sz w:val="26"/>
          <w:szCs w:val="26"/>
          <w:rtl/>
        </w:rPr>
        <w:tab/>
      </w:r>
      <w:r w:rsidRPr="004813B9">
        <w:rPr>
          <w:rFonts w:ascii="Arial" w:hAnsi="Arial"/>
          <w:b/>
          <w:bCs/>
          <w:sz w:val="26"/>
          <w:szCs w:val="26"/>
          <w:rtl/>
        </w:rPr>
        <w:tab/>
      </w:r>
      <w:r w:rsidRPr="004813B9">
        <w:rPr>
          <w:rFonts w:ascii="Arial" w:hAnsi="Arial"/>
          <w:b/>
          <w:bCs/>
          <w:sz w:val="26"/>
          <w:szCs w:val="26"/>
          <w:rtl/>
        </w:rPr>
        <w:tab/>
      </w:r>
    </w:p>
    <w:p w14:paraId="6CDEAF8F" w14:textId="77777777" w:rsidR="000E24D8" w:rsidRPr="004813B9" w:rsidRDefault="004813B9" w:rsidP="000E24D8">
      <w:pPr>
        <w:jc w:val="center"/>
        <w:rPr>
          <w:rFonts w:ascii="Arial" w:hAnsi="Arial"/>
          <w:b/>
          <w:bCs/>
          <w:color w:val="FFFFFF"/>
          <w:sz w:val="2"/>
          <w:szCs w:val="2"/>
          <w:rtl/>
        </w:rPr>
      </w:pPr>
      <w:r w:rsidRPr="004813B9">
        <w:rPr>
          <w:rFonts w:ascii="Arial" w:hAnsi="Arial"/>
          <w:b/>
          <w:bCs/>
          <w:color w:val="FFFFFF"/>
          <w:sz w:val="2"/>
          <w:szCs w:val="2"/>
          <w:rtl/>
        </w:rPr>
        <w:t>5129371</w:t>
      </w:r>
    </w:p>
    <w:p w14:paraId="3601F4CA" w14:textId="77777777" w:rsidR="005F727E" w:rsidRPr="004813B9" w:rsidRDefault="004813B9" w:rsidP="003628B1">
      <w:pPr>
        <w:keepNext/>
        <w:rPr>
          <w:rFonts w:ascii="David" w:hAnsi="David"/>
          <w:color w:val="FFFFFF"/>
          <w:sz w:val="2"/>
          <w:szCs w:val="2"/>
          <w:rtl/>
        </w:rPr>
      </w:pPr>
      <w:r w:rsidRPr="004813B9">
        <w:rPr>
          <w:rFonts w:ascii="David" w:hAnsi="David"/>
          <w:color w:val="FFFFFF"/>
          <w:sz w:val="2"/>
          <w:szCs w:val="2"/>
          <w:rtl/>
        </w:rPr>
        <w:t>54678313</w:t>
      </w:r>
    </w:p>
    <w:p w14:paraId="0418BC55" w14:textId="77777777" w:rsidR="003628B1" w:rsidRPr="004813B9" w:rsidRDefault="003628B1" w:rsidP="003628B1">
      <w:pPr>
        <w:rPr>
          <w:rtl/>
        </w:rPr>
      </w:pPr>
    </w:p>
    <w:p w14:paraId="43FDBF47" w14:textId="77777777" w:rsidR="003628B1" w:rsidRPr="004813B9" w:rsidRDefault="003628B1" w:rsidP="003628B1">
      <w:pPr>
        <w:jc w:val="center"/>
        <w:rPr>
          <w:color w:val="0000FF"/>
          <w:u w:val="single"/>
        </w:rPr>
      </w:pPr>
      <w:hyperlink r:id="rId34" w:history="1">
        <w:r w:rsidRPr="004813B9">
          <w:rPr>
            <w:color w:val="0000FF"/>
            <w:u w:val="single"/>
            <w:rtl/>
          </w:rPr>
          <w:t>בעניין עריכה ושינויים במסמכי פסיקה, חקיקה ועוד באתר נבו – הקש כאן</w:t>
        </w:r>
      </w:hyperlink>
    </w:p>
    <w:p w14:paraId="789FDBAF" w14:textId="77777777" w:rsidR="004813B9" w:rsidRPr="004813B9" w:rsidRDefault="004813B9" w:rsidP="004813B9">
      <w:pPr>
        <w:keepNext/>
        <w:rPr>
          <w:rFonts w:ascii="David" w:hAnsi="David"/>
          <w:color w:val="000000"/>
          <w:sz w:val="22"/>
          <w:szCs w:val="22"/>
          <w:rtl/>
        </w:rPr>
      </w:pPr>
    </w:p>
    <w:p w14:paraId="27BBC110" w14:textId="77777777" w:rsidR="004813B9" w:rsidRPr="004813B9" w:rsidRDefault="004813B9" w:rsidP="004813B9">
      <w:pPr>
        <w:keepNext/>
        <w:rPr>
          <w:rFonts w:ascii="David" w:hAnsi="David"/>
          <w:color w:val="000000"/>
          <w:sz w:val="22"/>
          <w:szCs w:val="22"/>
          <w:rtl/>
        </w:rPr>
      </w:pPr>
      <w:r w:rsidRPr="004813B9">
        <w:rPr>
          <w:rFonts w:ascii="David" w:hAnsi="David"/>
          <w:color w:val="000000"/>
          <w:sz w:val="22"/>
          <w:szCs w:val="22"/>
          <w:rtl/>
        </w:rPr>
        <w:t>דניאל פיש 54678313-/</w:t>
      </w:r>
    </w:p>
    <w:p w14:paraId="68EA3948" w14:textId="77777777" w:rsidR="003628B1" w:rsidRPr="004813B9" w:rsidRDefault="004813B9" w:rsidP="004813B9">
      <w:pPr>
        <w:rPr>
          <w:color w:val="0000FF"/>
          <w:u w:val="single"/>
        </w:rPr>
      </w:pPr>
      <w:r w:rsidRPr="004813B9">
        <w:rPr>
          <w:color w:val="000000"/>
          <w:u w:val="single"/>
          <w:rtl/>
        </w:rPr>
        <w:t>נוסח מסמך זה כפוף לשינויי ניסוח ועריכה</w:t>
      </w:r>
    </w:p>
    <w:sectPr w:rsidR="003628B1" w:rsidRPr="004813B9" w:rsidSect="004813B9">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ACBEE" w14:textId="77777777" w:rsidR="00E26D9C" w:rsidRDefault="00E26D9C" w:rsidP="005F2BD7">
      <w:r>
        <w:separator/>
      </w:r>
    </w:p>
  </w:endnote>
  <w:endnote w:type="continuationSeparator" w:id="0">
    <w:p w14:paraId="6212CD8B" w14:textId="77777777" w:rsidR="00E26D9C" w:rsidRDefault="00E26D9C" w:rsidP="005F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07B88" w14:textId="77777777" w:rsidR="004813B9" w:rsidRDefault="004813B9" w:rsidP="004813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2FDA36" w14:textId="77777777" w:rsidR="001411A8" w:rsidRPr="004813B9" w:rsidRDefault="004813B9" w:rsidP="004813B9">
    <w:pPr>
      <w:pStyle w:val="a5"/>
      <w:pBdr>
        <w:top w:val="single" w:sz="4" w:space="1" w:color="auto"/>
        <w:between w:val="single" w:sz="4" w:space="0" w:color="auto"/>
      </w:pBdr>
      <w:spacing w:after="60"/>
      <w:jc w:val="center"/>
      <w:rPr>
        <w:rFonts w:ascii="FrankRuehl" w:hAnsi="FrankRuehl" w:cs="FrankRuehl"/>
        <w:color w:val="000000"/>
      </w:rPr>
    </w:pPr>
    <w:r w:rsidRPr="004813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76BC" w14:textId="77777777" w:rsidR="004813B9" w:rsidRDefault="004813B9" w:rsidP="004813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2E81">
      <w:rPr>
        <w:rFonts w:ascii="FrankRuehl" w:hAnsi="FrankRuehl" w:cs="FrankRuehl"/>
        <w:noProof/>
        <w:rtl/>
      </w:rPr>
      <w:t>1</w:t>
    </w:r>
    <w:r>
      <w:rPr>
        <w:rFonts w:ascii="FrankRuehl" w:hAnsi="FrankRuehl" w:cs="FrankRuehl"/>
        <w:rtl/>
      </w:rPr>
      <w:fldChar w:fldCharType="end"/>
    </w:r>
  </w:p>
  <w:p w14:paraId="333FFB71" w14:textId="77777777" w:rsidR="001411A8" w:rsidRPr="004813B9" w:rsidRDefault="004813B9" w:rsidP="004813B9">
    <w:pPr>
      <w:pStyle w:val="a5"/>
      <w:pBdr>
        <w:top w:val="single" w:sz="4" w:space="1" w:color="auto"/>
        <w:between w:val="single" w:sz="4" w:space="0" w:color="auto"/>
      </w:pBdr>
      <w:spacing w:after="60"/>
      <w:jc w:val="center"/>
      <w:rPr>
        <w:rFonts w:ascii="FrankRuehl" w:hAnsi="FrankRuehl" w:cs="FrankRuehl"/>
        <w:color w:val="000000"/>
      </w:rPr>
    </w:pPr>
    <w:r w:rsidRPr="004813B9">
      <w:rPr>
        <w:rFonts w:ascii="FrankRuehl" w:hAnsi="FrankRuehl" w:cs="FrankRuehl"/>
        <w:color w:val="000000"/>
      </w:rPr>
      <w:pict w14:anchorId="6F367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45A9A" w14:textId="77777777" w:rsidR="00E26D9C" w:rsidRDefault="00E26D9C" w:rsidP="005F2BD7">
      <w:r>
        <w:separator/>
      </w:r>
    </w:p>
  </w:footnote>
  <w:footnote w:type="continuationSeparator" w:id="0">
    <w:p w14:paraId="6AC6EDBD" w14:textId="77777777" w:rsidR="00E26D9C" w:rsidRDefault="00E26D9C" w:rsidP="005F2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449AB" w14:textId="77777777" w:rsidR="003628B1" w:rsidRPr="004813B9" w:rsidRDefault="004813B9" w:rsidP="004813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39520-12-21</w:t>
    </w:r>
    <w:r>
      <w:rPr>
        <w:rFonts w:ascii="David" w:hAnsi="David"/>
        <w:color w:val="000000"/>
        <w:sz w:val="22"/>
        <w:szCs w:val="22"/>
        <w:rtl/>
      </w:rPr>
      <w:tab/>
      <w:t xml:space="preserve"> מדינת ישראל נ' איהאב קעדאן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51327" w14:textId="77777777" w:rsidR="003628B1" w:rsidRPr="004813B9" w:rsidRDefault="004813B9" w:rsidP="004813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39520-12-21</w:t>
    </w:r>
    <w:r>
      <w:rPr>
        <w:rFonts w:ascii="David" w:hAnsi="David"/>
        <w:color w:val="000000"/>
        <w:sz w:val="22"/>
        <w:szCs w:val="22"/>
        <w:rtl/>
      </w:rPr>
      <w:tab/>
      <w:t xml:space="preserve"> מדינת ישראל נ' איהאב קעדאן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14F88"/>
    <w:multiLevelType w:val="hybridMultilevel"/>
    <w:tmpl w:val="F970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84A41"/>
    <w:multiLevelType w:val="hybridMultilevel"/>
    <w:tmpl w:val="86DE5DAE"/>
    <w:lvl w:ilvl="0" w:tplc="3508EA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B7006"/>
    <w:multiLevelType w:val="hybridMultilevel"/>
    <w:tmpl w:val="E8988B0A"/>
    <w:lvl w:ilvl="0" w:tplc="DFF42CC4">
      <w:start w:val="7"/>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357940">
    <w:abstractNumId w:val="0"/>
  </w:num>
  <w:num w:numId="2" w16cid:durableId="436410867">
    <w:abstractNumId w:val="2"/>
  </w:num>
  <w:num w:numId="3" w16cid:durableId="708263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4D8"/>
    <w:rsid w:val="000A42A5"/>
    <w:rsid w:val="000E24D8"/>
    <w:rsid w:val="001411A8"/>
    <w:rsid w:val="001B5A3B"/>
    <w:rsid w:val="003628B1"/>
    <w:rsid w:val="004813B9"/>
    <w:rsid w:val="005F2BD7"/>
    <w:rsid w:val="005F727E"/>
    <w:rsid w:val="006E53E7"/>
    <w:rsid w:val="00845F87"/>
    <w:rsid w:val="00AC2E81"/>
    <w:rsid w:val="00B46773"/>
    <w:rsid w:val="00BF025D"/>
    <w:rsid w:val="00CB65D1"/>
    <w:rsid w:val="00DB3443"/>
    <w:rsid w:val="00E26D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112576"/>
  <w15:chartTrackingRefBased/>
  <w15:docId w15:val="{B9638F9D-0BF7-4EAB-BF17-0B739B98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24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24D8"/>
    <w:pPr>
      <w:tabs>
        <w:tab w:val="center" w:pos="4153"/>
        <w:tab w:val="right" w:pos="8306"/>
      </w:tabs>
    </w:pPr>
  </w:style>
  <w:style w:type="character" w:customStyle="1" w:styleId="a4">
    <w:name w:val="כותרת עליונה תו"/>
    <w:link w:val="a3"/>
    <w:rsid w:val="000E24D8"/>
    <w:rPr>
      <w:rFonts w:ascii="Times New Roman" w:eastAsia="Times New Roman" w:hAnsi="Times New Roman" w:cs="David"/>
      <w:sz w:val="24"/>
      <w:szCs w:val="24"/>
    </w:rPr>
  </w:style>
  <w:style w:type="paragraph" w:styleId="a5">
    <w:name w:val="footer"/>
    <w:basedOn w:val="a"/>
    <w:link w:val="a6"/>
    <w:rsid w:val="000E24D8"/>
    <w:pPr>
      <w:tabs>
        <w:tab w:val="center" w:pos="4153"/>
        <w:tab w:val="right" w:pos="8306"/>
      </w:tabs>
    </w:pPr>
  </w:style>
  <w:style w:type="character" w:customStyle="1" w:styleId="a6">
    <w:name w:val="כותרת תחתונה תו"/>
    <w:link w:val="a5"/>
    <w:rsid w:val="000E24D8"/>
    <w:rPr>
      <w:rFonts w:ascii="Times New Roman" w:eastAsia="Times New Roman" w:hAnsi="Times New Roman" w:cs="David"/>
      <w:sz w:val="24"/>
      <w:szCs w:val="24"/>
    </w:rPr>
  </w:style>
  <w:style w:type="table" w:styleId="a7">
    <w:name w:val="Table Grid"/>
    <w:basedOn w:val="a1"/>
    <w:rsid w:val="000E24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24D8"/>
  </w:style>
  <w:style w:type="paragraph" w:styleId="a9">
    <w:name w:val="List Paragraph"/>
    <w:basedOn w:val="a"/>
    <w:qFormat/>
    <w:rsid w:val="000E24D8"/>
    <w:pPr>
      <w:ind w:left="720"/>
      <w:contextualSpacing/>
    </w:pPr>
  </w:style>
  <w:style w:type="character" w:styleId="Hyperlink">
    <w:name w:val="Hyperlink"/>
    <w:rsid w:val="00362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12.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90721" TargetMode="External"/><Relationship Id="rId39" Type="http://schemas.openxmlformats.org/officeDocument/2006/relationships/fontTable" Target="fontTable.xml"/><Relationship Id="rId21" Type="http://schemas.openxmlformats.org/officeDocument/2006/relationships/hyperlink" Target="http://www.nevo.co.il/case/2888308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9072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90721/12.1" TargetMode="External"/><Relationship Id="rId33" Type="http://schemas.openxmlformats.org/officeDocument/2006/relationships/hyperlink" Target="http://www.nevo.co.il/case/2003364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82432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2746255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424228"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law/70301/31" TargetMode="External"/><Relationship Id="rId31"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8513828" TargetMode="External"/><Relationship Id="rId30" Type="http://schemas.openxmlformats.org/officeDocument/2006/relationships/hyperlink" Target="http://www.nevo.co.il/case/26905927" TargetMode="External"/><Relationship Id="rId35" Type="http://schemas.openxmlformats.org/officeDocument/2006/relationships/header" Target="head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1905</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11409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3473521</vt:i4>
      </vt:variant>
      <vt:variant>
        <vt:i4>78</vt:i4>
      </vt:variant>
      <vt:variant>
        <vt:i4>0</vt:i4>
      </vt:variant>
      <vt:variant>
        <vt:i4>5</vt:i4>
      </vt:variant>
      <vt:variant>
        <vt:lpwstr>http://www.nevo.co.il/case/20033641</vt:lpwstr>
      </vt:variant>
      <vt:variant>
        <vt:lpwstr/>
      </vt:variant>
      <vt:variant>
        <vt:i4>3211376</vt:i4>
      </vt:variant>
      <vt:variant>
        <vt:i4>75</vt:i4>
      </vt:variant>
      <vt:variant>
        <vt:i4>0</vt:i4>
      </vt:variant>
      <vt:variant>
        <vt:i4>5</vt:i4>
      </vt:variant>
      <vt:variant>
        <vt:lpwstr>http://www.nevo.co.il/case/27462558</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3932283</vt:i4>
      </vt:variant>
      <vt:variant>
        <vt:i4>69</vt:i4>
      </vt:variant>
      <vt:variant>
        <vt:i4>0</vt:i4>
      </vt:variant>
      <vt:variant>
        <vt:i4>5</vt:i4>
      </vt:variant>
      <vt:variant>
        <vt:lpwstr>http://www.nevo.co.il/case/26905927</vt:lpwstr>
      </vt:variant>
      <vt:variant>
        <vt:lpwstr/>
      </vt:variant>
      <vt:variant>
        <vt:i4>3407994</vt:i4>
      </vt:variant>
      <vt:variant>
        <vt:i4>66</vt:i4>
      </vt:variant>
      <vt:variant>
        <vt:i4>0</vt:i4>
      </vt:variant>
      <vt:variant>
        <vt:i4>5</vt:i4>
      </vt:variant>
      <vt:variant>
        <vt:lpwstr>http://www.nevo.co.il/case/28243273</vt:lpwstr>
      </vt:variant>
      <vt:variant>
        <vt:lpwstr/>
      </vt:variant>
      <vt:variant>
        <vt:i4>3145852</vt:i4>
      </vt:variant>
      <vt:variant>
        <vt:i4>63</vt:i4>
      </vt:variant>
      <vt:variant>
        <vt:i4>0</vt:i4>
      </vt:variant>
      <vt:variant>
        <vt:i4>5</vt:i4>
      </vt:variant>
      <vt:variant>
        <vt:lpwstr>http://www.nevo.co.il/case/28424228</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7864430</vt:i4>
      </vt:variant>
      <vt:variant>
        <vt:i4>57</vt:i4>
      </vt:variant>
      <vt:variant>
        <vt:i4>0</vt:i4>
      </vt:variant>
      <vt:variant>
        <vt:i4>5</vt:i4>
      </vt:variant>
      <vt:variant>
        <vt:lpwstr>http://www.nevo.co.il/law/90721</vt:lpwstr>
      </vt:variant>
      <vt:variant>
        <vt:lpwstr/>
      </vt:variant>
      <vt:variant>
        <vt:i4>5505088</vt:i4>
      </vt:variant>
      <vt:variant>
        <vt:i4>54</vt:i4>
      </vt:variant>
      <vt:variant>
        <vt:i4>0</vt:i4>
      </vt:variant>
      <vt:variant>
        <vt:i4>5</vt:i4>
      </vt:variant>
      <vt:variant>
        <vt:lpwstr>http://www.nevo.co.il/law/90721/12.1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5505088</vt:i4>
      </vt:variant>
      <vt:variant>
        <vt:i4>18</vt:i4>
      </vt:variant>
      <vt:variant>
        <vt:i4>0</vt:i4>
      </vt:variant>
      <vt:variant>
        <vt:i4>5</vt:i4>
      </vt:variant>
      <vt:variant>
        <vt:lpwstr>http://www.nevo.co.il/law/90721/12.1</vt:lpwstr>
      </vt:variant>
      <vt:variant>
        <vt:lpwstr/>
      </vt:variant>
      <vt:variant>
        <vt:i4>7864430</vt:i4>
      </vt:variant>
      <vt:variant>
        <vt:i4>15</vt:i4>
      </vt:variant>
      <vt:variant>
        <vt:i4>0</vt:i4>
      </vt:variant>
      <vt:variant>
        <vt:i4>5</vt:i4>
      </vt:variant>
      <vt:variant>
        <vt:lpwstr>http://www.nevo.co.il/law/90721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39520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איהאב קעדאן;עבד אבו גודה</vt:lpwstr>
  </property>
  <property fmtid="{D5CDD505-2E9C-101B-9397-08002B2CF9AE}" pid="10" name="LAWYER">
    <vt:lpwstr>יוסף ח'ורי;יהלי שפרלינג;מיכאל יפרח </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20221121</vt:lpwstr>
  </property>
  <property fmtid="{D5CDD505-2E9C-101B-9397-08002B2CF9AE}" pid="14" name="TYPE_N_DATE">
    <vt:lpwstr>39020221121</vt:lpwstr>
  </property>
  <property fmtid="{D5CDD505-2E9C-101B-9397-08002B2CF9AE}" pid="15" name="WORDNUMPAGES">
    <vt:lpwstr>6</vt:lpwstr>
  </property>
  <property fmtid="{D5CDD505-2E9C-101B-9397-08002B2CF9AE}" pid="16" name="TYPE_ABS_DATE">
    <vt:lpwstr>390020221121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28883087;28513828;28424228;28243273;26905927;27462558;20033641</vt:lpwstr>
  </property>
  <property fmtid="{D5CDD505-2E9C-101B-9397-08002B2CF9AE}" pid="36" name="LAWLISTTMP1">
    <vt:lpwstr>70301/144.a:2;144.b:4;031;275</vt:lpwstr>
  </property>
  <property fmtid="{D5CDD505-2E9C-101B-9397-08002B2CF9AE}" pid="37" name="LAWLISTTMP2">
    <vt:lpwstr>90721/012.1</vt:lpwstr>
  </property>
</Properties>
</file>