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6A65EB" w:rsidRPr="00BC1A4E" w14:paraId="6CE6906E" w14:textId="77777777" w:rsidTr="004D00C9">
        <w:trPr>
          <w:trHeight w:hRule="exact" w:val="418"/>
          <w:jc w:val="center"/>
        </w:trPr>
        <w:tc>
          <w:tcPr>
            <w:tcW w:w="8721" w:type="dxa"/>
            <w:gridSpan w:val="2"/>
          </w:tcPr>
          <w:p w14:paraId="12E817D2" w14:textId="77777777" w:rsidR="006A65EB" w:rsidRPr="00BC1A4E" w:rsidRDefault="006A65EB" w:rsidP="00793251">
            <w:pPr>
              <w:pStyle w:val="a3"/>
              <w:jc w:val="center"/>
              <w:rPr>
                <w:rFonts w:ascii="Tahoma" w:hAnsi="Tahoma" w:cs="Tahoma"/>
                <w:color w:val="000080"/>
                <w:rtl/>
              </w:rPr>
            </w:pPr>
            <w:bookmarkStart w:id="0" w:name="LastJudge"/>
            <w:r w:rsidRPr="00BC1A4E">
              <w:rPr>
                <w:rFonts w:ascii="Tahoma" w:hAnsi="Tahoma" w:cs="Tahoma"/>
                <w:b/>
                <w:bCs/>
                <w:color w:val="000080"/>
                <w:rtl/>
              </w:rPr>
              <w:t>בית המשפט המחוזי בירושלים</w:t>
            </w:r>
          </w:p>
        </w:tc>
      </w:tr>
      <w:tr w:rsidR="006A65EB" w:rsidRPr="00BC1A4E" w14:paraId="7CFA4774" w14:textId="77777777" w:rsidTr="004D00C9">
        <w:trPr>
          <w:trHeight w:val="337"/>
          <w:jc w:val="center"/>
        </w:trPr>
        <w:tc>
          <w:tcPr>
            <w:tcW w:w="5055" w:type="dxa"/>
          </w:tcPr>
          <w:p w14:paraId="643FAE31" w14:textId="77777777" w:rsidR="006A65EB" w:rsidRPr="00BC1A4E" w:rsidRDefault="006A65EB" w:rsidP="00793251">
            <w:pPr>
              <w:rPr>
                <w:rFonts w:cs="FrankRuehl"/>
                <w:sz w:val="28"/>
                <w:szCs w:val="28"/>
                <w:rtl/>
              </w:rPr>
            </w:pPr>
            <w:r w:rsidRPr="00BC1A4E">
              <w:rPr>
                <w:rFonts w:cs="FrankRuehl"/>
                <w:sz w:val="30"/>
                <w:szCs w:val="30"/>
                <w:rtl/>
              </w:rPr>
              <w:t>ת"פ</w:t>
            </w:r>
            <w:r w:rsidRPr="00BC1A4E">
              <w:rPr>
                <w:rFonts w:cs="FrankRuehl" w:hint="cs"/>
                <w:sz w:val="30"/>
                <w:szCs w:val="30"/>
                <w:rtl/>
              </w:rPr>
              <w:t xml:space="preserve"> </w:t>
            </w:r>
            <w:r w:rsidRPr="00BC1A4E">
              <w:rPr>
                <w:rFonts w:cs="FrankRuehl"/>
                <w:sz w:val="30"/>
                <w:szCs w:val="30"/>
                <w:rtl/>
              </w:rPr>
              <w:t>39792-12-21</w:t>
            </w:r>
            <w:r w:rsidRPr="00BC1A4E">
              <w:rPr>
                <w:rFonts w:cs="FrankRuehl" w:hint="cs"/>
                <w:sz w:val="30"/>
                <w:szCs w:val="30"/>
                <w:rtl/>
              </w:rPr>
              <w:t xml:space="preserve"> </w:t>
            </w:r>
            <w:r w:rsidRPr="00BC1A4E">
              <w:rPr>
                <w:rFonts w:cs="FrankRuehl"/>
                <w:sz w:val="30"/>
                <w:szCs w:val="30"/>
                <w:rtl/>
              </w:rPr>
              <w:t>מדינת ישראל נ' שליו</w:t>
            </w:r>
          </w:p>
        </w:tc>
        <w:tc>
          <w:tcPr>
            <w:tcW w:w="3666" w:type="dxa"/>
          </w:tcPr>
          <w:p w14:paraId="7A0A6CBB" w14:textId="77777777" w:rsidR="006A65EB" w:rsidRPr="00BC1A4E" w:rsidRDefault="006A65EB" w:rsidP="00793251">
            <w:pPr>
              <w:pStyle w:val="a3"/>
              <w:jc w:val="right"/>
              <w:rPr>
                <w:rFonts w:cs="FrankRuehl"/>
                <w:sz w:val="28"/>
                <w:szCs w:val="28"/>
                <w:rtl/>
              </w:rPr>
            </w:pPr>
          </w:p>
        </w:tc>
      </w:tr>
    </w:tbl>
    <w:p w14:paraId="2894215B" w14:textId="77777777" w:rsidR="006A65EB" w:rsidRPr="00BC1A4E" w:rsidRDefault="006A65EB" w:rsidP="006A65E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5"/>
        <w:gridCol w:w="2552"/>
      </w:tblGrid>
      <w:tr w:rsidR="006A65EB" w:rsidRPr="00BC1A4E" w14:paraId="305D95D0" w14:textId="77777777" w:rsidTr="006A65EB">
        <w:trPr>
          <w:trHeight w:val="295"/>
          <w:jc w:val="center"/>
        </w:trPr>
        <w:tc>
          <w:tcPr>
            <w:tcW w:w="923" w:type="dxa"/>
            <w:tcBorders>
              <w:top w:val="nil"/>
              <w:left w:val="nil"/>
              <w:bottom w:val="nil"/>
              <w:right w:val="nil"/>
            </w:tcBorders>
            <w:shd w:val="clear" w:color="auto" w:fill="auto"/>
          </w:tcPr>
          <w:p w14:paraId="55D06F68" w14:textId="77777777" w:rsidR="006A65EB" w:rsidRPr="00BC1A4E" w:rsidRDefault="006A65EB" w:rsidP="006A65EB">
            <w:pPr>
              <w:jc w:val="both"/>
              <w:rPr>
                <w:rFonts w:ascii="FrankRuehl" w:hAnsi="FrankRuehl" w:cs="FrankRuehl"/>
                <w:b/>
                <w:bCs/>
                <w:sz w:val="30"/>
                <w:szCs w:val="30"/>
              </w:rPr>
            </w:pPr>
            <w:r w:rsidRPr="00BC1A4E">
              <w:rPr>
                <w:rFonts w:ascii="FrankRuehl" w:hAnsi="FrankRuehl" w:cs="FrankRuehl"/>
                <w:b/>
                <w:bCs/>
                <w:sz w:val="30"/>
                <w:szCs w:val="30"/>
                <w:rtl/>
              </w:rPr>
              <w:t xml:space="preserve">לפני </w:t>
            </w:r>
          </w:p>
        </w:tc>
        <w:tc>
          <w:tcPr>
            <w:tcW w:w="7897" w:type="dxa"/>
            <w:gridSpan w:val="2"/>
            <w:tcBorders>
              <w:top w:val="nil"/>
              <w:left w:val="nil"/>
              <w:bottom w:val="nil"/>
              <w:right w:val="nil"/>
            </w:tcBorders>
            <w:shd w:val="clear" w:color="auto" w:fill="auto"/>
          </w:tcPr>
          <w:p w14:paraId="384ED055" w14:textId="77777777" w:rsidR="006A65EB" w:rsidRPr="00BC1A4E" w:rsidRDefault="006A65EB" w:rsidP="00793251">
            <w:pPr>
              <w:rPr>
                <w:rFonts w:ascii="FrankRuehl" w:hAnsi="FrankRuehl" w:cs="FrankRuehl"/>
                <w:b/>
                <w:bCs/>
                <w:sz w:val="30"/>
                <w:szCs w:val="30"/>
                <w:rtl/>
              </w:rPr>
            </w:pPr>
            <w:r w:rsidRPr="00BC1A4E">
              <w:rPr>
                <w:rFonts w:ascii="FrankRuehl" w:hAnsi="FrankRuehl" w:cs="FrankRuehl"/>
                <w:b/>
                <w:bCs/>
                <w:sz w:val="30"/>
                <w:szCs w:val="30"/>
                <w:rtl/>
              </w:rPr>
              <w:t>כב</w:t>
            </w:r>
            <w:r w:rsidRPr="00BC1A4E">
              <w:rPr>
                <w:rFonts w:ascii="FrankRuehl" w:hAnsi="FrankRuehl" w:cs="FrankRuehl" w:hint="cs"/>
                <w:b/>
                <w:bCs/>
                <w:sz w:val="30"/>
                <w:szCs w:val="30"/>
                <w:rtl/>
              </w:rPr>
              <w:t>'</w:t>
            </w:r>
            <w:r w:rsidRPr="00BC1A4E">
              <w:rPr>
                <w:rFonts w:ascii="FrankRuehl" w:hAnsi="FrankRuehl" w:cs="FrankRuehl"/>
                <w:b/>
                <w:bCs/>
                <w:sz w:val="30"/>
                <w:szCs w:val="30"/>
                <w:rtl/>
              </w:rPr>
              <w:t xml:space="preserve"> השופט אילן סלע</w:t>
            </w:r>
          </w:p>
          <w:p w14:paraId="429B27C4" w14:textId="77777777" w:rsidR="006A65EB" w:rsidRPr="00BC1A4E" w:rsidRDefault="006A65EB" w:rsidP="00793251">
            <w:pPr>
              <w:rPr>
                <w:rFonts w:ascii="FrankRuehl" w:hAnsi="FrankRuehl" w:cs="FrankRuehl"/>
                <w:sz w:val="30"/>
                <w:szCs w:val="30"/>
                <w:rtl/>
              </w:rPr>
            </w:pPr>
          </w:p>
          <w:p w14:paraId="555170B4" w14:textId="77777777" w:rsidR="006A65EB" w:rsidRPr="00BC1A4E" w:rsidRDefault="006A65EB" w:rsidP="006A65EB">
            <w:pPr>
              <w:jc w:val="both"/>
              <w:rPr>
                <w:rFonts w:ascii="FrankRuehl" w:hAnsi="FrankRuehl" w:cs="FrankRuehl"/>
                <w:sz w:val="30"/>
                <w:szCs w:val="30"/>
              </w:rPr>
            </w:pPr>
          </w:p>
        </w:tc>
      </w:tr>
      <w:tr w:rsidR="006A65EB" w:rsidRPr="00BC1A4E" w14:paraId="63111510" w14:textId="77777777" w:rsidTr="006A65EB">
        <w:trPr>
          <w:trHeight w:val="355"/>
          <w:jc w:val="center"/>
        </w:trPr>
        <w:tc>
          <w:tcPr>
            <w:tcW w:w="923" w:type="dxa"/>
            <w:tcBorders>
              <w:top w:val="nil"/>
              <w:left w:val="nil"/>
              <w:bottom w:val="nil"/>
              <w:right w:val="nil"/>
            </w:tcBorders>
            <w:shd w:val="clear" w:color="auto" w:fill="auto"/>
          </w:tcPr>
          <w:p w14:paraId="11492009" w14:textId="77777777" w:rsidR="006A65EB" w:rsidRPr="00BC1A4E" w:rsidRDefault="006A65EB" w:rsidP="006A65EB">
            <w:pPr>
              <w:jc w:val="both"/>
              <w:rPr>
                <w:rFonts w:ascii="FrankRuehl" w:hAnsi="FrankRuehl" w:cs="FrankRuehl"/>
                <w:sz w:val="30"/>
                <w:szCs w:val="30"/>
              </w:rPr>
            </w:pPr>
            <w:bookmarkStart w:id="1" w:name="FirstAppellant"/>
            <w:r w:rsidRPr="00BC1A4E">
              <w:rPr>
                <w:rFonts w:ascii="FrankRuehl" w:hAnsi="FrankRuehl" w:cs="FrankRuehl"/>
                <w:sz w:val="30"/>
                <w:szCs w:val="30"/>
                <w:rtl/>
              </w:rPr>
              <w:t>בעניין:</w:t>
            </w:r>
          </w:p>
        </w:tc>
        <w:tc>
          <w:tcPr>
            <w:tcW w:w="5345" w:type="dxa"/>
            <w:tcBorders>
              <w:top w:val="nil"/>
              <w:left w:val="nil"/>
              <w:bottom w:val="nil"/>
              <w:right w:val="nil"/>
            </w:tcBorders>
            <w:shd w:val="clear" w:color="auto" w:fill="auto"/>
          </w:tcPr>
          <w:p w14:paraId="3D5EBA15" w14:textId="77777777" w:rsidR="006A65EB" w:rsidRPr="00BC1A4E" w:rsidRDefault="006A65EB" w:rsidP="006A65EB">
            <w:pPr>
              <w:suppressLineNumbers/>
              <w:rPr>
                <w:rFonts w:ascii="FrankRuehl" w:hAnsi="FrankRuehl" w:cs="FrankRuehl"/>
                <w:b/>
                <w:bCs/>
                <w:sz w:val="30"/>
                <w:szCs w:val="30"/>
                <w:rtl/>
              </w:rPr>
            </w:pPr>
            <w:r w:rsidRPr="00BC1A4E">
              <w:rPr>
                <w:rFonts w:ascii="FrankRuehl" w:hAnsi="FrankRuehl" w:cs="FrankRuehl" w:hint="cs"/>
                <w:b/>
                <w:bCs/>
                <w:sz w:val="30"/>
                <w:szCs w:val="30"/>
                <w:rtl/>
              </w:rPr>
              <w:t>מדינת ישראל</w:t>
            </w:r>
          </w:p>
          <w:p w14:paraId="76159609" w14:textId="77777777" w:rsidR="006A65EB" w:rsidRPr="00BC1A4E" w:rsidRDefault="006A65EB" w:rsidP="006A65EB">
            <w:pPr>
              <w:suppressLineNumbers/>
              <w:rPr>
                <w:rFonts w:ascii="FrankRuehl" w:hAnsi="FrankRuehl" w:cs="FrankRuehl"/>
                <w:b/>
                <w:bCs/>
                <w:sz w:val="30"/>
                <w:szCs w:val="30"/>
                <w:rtl/>
              </w:rPr>
            </w:pPr>
            <w:r w:rsidRPr="00BC1A4E">
              <w:rPr>
                <w:rFonts w:ascii="FrankRuehl" w:hAnsi="FrankRuehl" w:cs="FrankRuehl" w:hint="cs"/>
                <w:b/>
                <w:bCs/>
                <w:sz w:val="30"/>
                <w:szCs w:val="30"/>
                <w:rtl/>
              </w:rPr>
              <w:t>באמצעות פרקליטות מחוז ירושלים (פלילי),</w:t>
            </w:r>
          </w:p>
          <w:p w14:paraId="3529D261" w14:textId="77777777" w:rsidR="006A65EB" w:rsidRPr="00BC1A4E" w:rsidRDefault="006A65EB" w:rsidP="006A65EB">
            <w:pPr>
              <w:suppressLineNumbers/>
              <w:rPr>
                <w:rFonts w:ascii="FrankRuehl" w:hAnsi="FrankRuehl" w:cs="FrankRuehl"/>
                <w:sz w:val="30"/>
                <w:szCs w:val="30"/>
              </w:rPr>
            </w:pPr>
            <w:r w:rsidRPr="00BC1A4E">
              <w:rPr>
                <w:rFonts w:ascii="FrankRuehl" w:hAnsi="FrankRuehl" w:cs="FrankRuehl" w:hint="cs"/>
                <w:b/>
                <w:bCs/>
                <w:sz w:val="30"/>
                <w:szCs w:val="30"/>
                <w:rtl/>
              </w:rPr>
              <w:t>ע"י עו"ד רחל אהרוני</w:t>
            </w:r>
          </w:p>
        </w:tc>
        <w:tc>
          <w:tcPr>
            <w:tcW w:w="2552" w:type="dxa"/>
            <w:tcBorders>
              <w:top w:val="nil"/>
              <w:left w:val="nil"/>
              <w:bottom w:val="nil"/>
              <w:right w:val="nil"/>
            </w:tcBorders>
            <w:shd w:val="clear" w:color="auto" w:fill="auto"/>
            <w:vAlign w:val="center"/>
          </w:tcPr>
          <w:p w14:paraId="20789780" w14:textId="77777777" w:rsidR="006A65EB" w:rsidRPr="00BC1A4E" w:rsidRDefault="006A65EB" w:rsidP="006A65EB">
            <w:pPr>
              <w:suppressLineNumbers/>
              <w:rPr>
                <w:rFonts w:ascii="FrankRuehl" w:hAnsi="FrankRuehl" w:cs="FrankRuehl"/>
                <w:sz w:val="30"/>
                <w:szCs w:val="30"/>
              </w:rPr>
            </w:pPr>
            <w:r w:rsidRPr="00BC1A4E">
              <w:rPr>
                <w:rFonts w:ascii="FrankRuehl" w:hAnsi="FrankRuehl" w:cs="FrankRuehl"/>
                <w:b/>
                <w:bCs/>
                <w:sz w:val="30"/>
                <w:szCs w:val="30"/>
                <w:rtl/>
              </w:rPr>
              <w:br/>
            </w:r>
            <w:r w:rsidRPr="00BC1A4E">
              <w:rPr>
                <w:rFonts w:ascii="FrankRuehl" w:hAnsi="FrankRuehl" w:cs="FrankRuehl"/>
                <w:b/>
                <w:bCs/>
                <w:sz w:val="30"/>
                <w:szCs w:val="30"/>
                <w:rtl/>
              </w:rPr>
              <w:br/>
            </w:r>
            <w:r w:rsidRPr="00BC1A4E">
              <w:rPr>
                <w:rFonts w:ascii="FrankRuehl" w:hAnsi="FrankRuehl" w:cs="FrankRuehl" w:hint="cs"/>
                <w:b/>
                <w:bCs/>
                <w:sz w:val="30"/>
                <w:szCs w:val="30"/>
                <w:rtl/>
              </w:rPr>
              <w:t>המאשימה</w:t>
            </w:r>
          </w:p>
          <w:p w14:paraId="4D58CF2F" w14:textId="77777777" w:rsidR="006A65EB" w:rsidRPr="00BC1A4E" w:rsidRDefault="006A65EB" w:rsidP="00793251">
            <w:pPr>
              <w:rPr>
                <w:rFonts w:ascii="FrankRuehl" w:hAnsi="FrankRuehl" w:cs="FrankRuehl"/>
                <w:sz w:val="30"/>
                <w:szCs w:val="30"/>
              </w:rPr>
            </w:pPr>
          </w:p>
        </w:tc>
      </w:tr>
      <w:bookmarkEnd w:id="1"/>
      <w:tr w:rsidR="006A65EB" w:rsidRPr="00BC1A4E" w14:paraId="0D9D0232" w14:textId="77777777" w:rsidTr="006A65EB">
        <w:trPr>
          <w:trHeight w:val="355"/>
          <w:jc w:val="center"/>
        </w:trPr>
        <w:tc>
          <w:tcPr>
            <w:tcW w:w="923" w:type="dxa"/>
            <w:tcBorders>
              <w:top w:val="nil"/>
              <w:left w:val="nil"/>
              <w:bottom w:val="nil"/>
              <w:right w:val="nil"/>
            </w:tcBorders>
            <w:shd w:val="clear" w:color="auto" w:fill="auto"/>
          </w:tcPr>
          <w:p w14:paraId="21620299" w14:textId="77777777" w:rsidR="006A65EB" w:rsidRPr="00BC1A4E" w:rsidRDefault="006A65EB" w:rsidP="006A65EB">
            <w:pPr>
              <w:jc w:val="both"/>
              <w:rPr>
                <w:rFonts w:ascii="FrankRuehl" w:hAnsi="FrankRuehl" w:cs="FrankRuehl"/>
                <w:sz w:val="30"/>
                <w:szCs w:val="30"/>
                <w:rtl/>
              </w:rPr>
            </w:pPr>
          </w:p>
        </w:tc>
        <w:tc>
          <w:tcPr>
            <w:tcW w:w="7897" w:type="dxa"/>
            <w:gridSpan w:val="2"/>
            <w:tcBorders>
              <w:top w:val="nil"/>
              <w:left w:val="nil"/>
              <w:bottom w:val="nil"/>
              <w:right w:val="nil"/>
            </w:tcBorders>
            <w:shd w:val="clear" w:color="auto" w:fill="auto"/>
          </w:tcPr>
          <w:p w14:paraId="480A5DC1" w14:textId="77777777" w:rsidR="006A65EB" w:rsidRPr="00BC1A4E" w:rsidRDefault="006A65EB" w:rsidP="006A65EB">
            <w:pPr>
              <w:jc w:val="center"/>
              <w:rPr>
                <w:rFonts w:ascii="FrankRuehl" w:hAnsi="FrankRuehl" w:cs="FrankRuehl"/>
                <w:b/>
                <w:bCs/>
                <w:sz w:val="30"/>
                <w:szCs w:val="30"/>
                <w:rtl/>
              </w:rPr>
            </w:pPr>
          </w:p>
          <w:p w14:paraId="50BB9B77" w14:textId="77777777" w:rsidR="006A65EB" w:rsidRPr="00BC1A4E" w:rsidRDefault="006A65EB" w:rsidP="006A65EB">
            <w:pPr>
              <w:jc w:val="center"/>
              <w:rPr>
                <w:rFonts w:ascii="FrankRuehl" w:hAnsi="FrankRuehl" w:cs="FrankRuehl"/>
                <w:b/>
                <w:bCs/>
                <w:sz w:val="30"/>
                <w:szCs w:val="30"/>
                <w:rtl/>
              </w:rPr>
            </w:pPr>
            <w:r w:rsidRPr="00BC1A4E">
              <w:rPr>
                <w:rFonts w:ascii="FrankRuehl" w:hAnsi="FrankRuehl" w:cs="FrankRuehl"/>
                <w:b/>
                <w:bCs/>
                <w:sz w:val="30"/>
                <w:szCs w:val="30"/>
                <w:rtl/>
              </w:rPr>
              <w:t>נגד</w:t>
            </w:r>
          </w:p>
          <w:p w14:paraId="484802B7" w14:textId="77777777" w:rsidR="006A65EB" w:rsidRPr="00BC1A4E" w:rsidRDefault="006A65EB" w:rsidP="006A65EB">
            <w:pPr>
              <w:jc w:val="both"/>
              <w:rPr>
                <w:rFonts w:ascii="FrankRuehl" w:hAnsi="FrankRuehl" w:cs="FrankRuehl"/>
                <w:sz w:val="30"/>
                <w:szCs w:val="30"/>
              </w:rPr>
            </w:pPr>
          </w:p>
        </w:tc>
      </w:tr>
      <w:tr w:rsidR="006A65EB" w:rsidRPr="00BC1A4E" w14:paraId="4FE802D5" w14:textId="77777777" w:rsidTr="006A65EB">
        <w:trPr>
          <w:trHeight w:val="355"/>
          <w:jc w:val="center"/>
        </w:trPr>
        <w:tc>
          <w:tcPr>
            <w:tcW w:w="923" w:type="dxa"/>
            <w:tcBorders>
              <w:top w:val="nil"/>
              <w:left w:val="nil"/>
              <w:bottom w:val="nil"/>
              <w:right w:val="nil"/>
            </w:tcBorders>
            <w:shd w:val="clear" w:color="auto" w:fill="auto"/>
          </w:tcPr>
          <w:p w14:paraId="5B69F83A" w14:textId="77777777" w:rsidR="006A65EB" w:rsidRPr="00BC1A4E" w:rsidRDefault="006A65EB" w:rsidP="00793251">
            <w:pPr>
              <w:rPr>
                <w:rFonts w:ascii="FrankRuehl" w:hAnsi="FrankRuehl" w:cs="FrankRuehl"/>
                <w:sz w:val="30"/>
                <w:szCs w:val="30"/>
                <w:rtl/>
              </w:rPr>
            </w:pPr>
            <w:bookmarkStart w:id="2" w:name="FirstLawyer"/>
          </w:p>
        </w:tc>
        <w:tc>
          <w:tcPr>
            <w:tcW w:w="5345" w:type="dxa"/>
            <w:tcBorders>
              <w:top w:val="nil"/>
              <w:left w:val="nil"/>
              <w:bottom w:val="nil"/>
              <w:right w:val="nil"/>
            </w:tcBorders>
            <w:shd w:val="clear" w:color="auto" w:fill="auto"/>
          </w:tcPr>
          <w:p w14:paraId="0B64AE87" w14:textId="77777777" w:rsidR="006A65EB" w:rsidRPr="00BC1A4E" w:rsidRDefault="006A65EB" w:rsidP="00793251">
            <w:pPr>
              <w:rPr>
                <w:rFonts w:ascii="FrankRuehl" w:hAnsi="FrankRuehl" w:cs="FrankRuehl"/>
                <w:b/>
                <w:bCs/>
                <w:sz w:val="30"/>
                <w:szCs w:val="30"/>
                <w:rtl/>
              </w:rPr>
            </w:pPr>
            <w:r w:rsidRPr="00BC1A4E">
              <w:rPr>
                <w:rFonts w:ascii="FrankRuehl" w:hAnsi="FrankRuehl" w:cs="FrankRuehl" w:hint="cs"/>
                <w:b/>
                <w:bCs/>
                <w:sz w:val="30"/>
                <w:szCs w:val="30"/>
                <w:rtl/>
              </w:rPr>
              <w:t>יוסי שליו</w:t>
            </w:r>
          </w:p>
          <w:p w14:paraId="30882246" w14:textId="77777777" w:rsidR="006A65EB" w:rsidRPr="00BC1A4E" w:rsidRDefault="006A65EB" w:rsidP="00793251">
            <w:pPr>
              <w:rPr>
                <w:rFonts w:ascii="FrankRuehl" w:hAnsi="FrankRuehl" w:cs="FrankRuehl"/>
                <w:b/>
                <w:bCs/>
                <w:sz w:val="30"/>
                <w:szCs w:val="30"/>
                <w:rtl/>
              </w:rPr>
            </w:pPr>
            <w:r w:rsidRPr="00BC1A4E">
              <w:rPr>
                <w:rFonts w:ascii="FrankRuehl" w:hAnsi="FrankRuehl" w:cs="FrankRuehl" w:hint="cs"/>
                <w:b/>
                <w:bCs/>
                <w:sz w:val="30"/>
                <w:szCs w:val="30"/>
                <w:rtl/>
              </w:rPr>
              <w:t>ע"י ב"כ עוה"ד גולן מאירי ואריאל הרמן</w:t>
            </w:r>
          </w:p>
        </w:tc>
        <w:tc>
          <w:tcPr>
            <w:tcW w:w="2552" w:type="dxa"/>
            <w:tcBorders>
              <w:top w:val="nil"/>
              <w:left w:val="nil"/>
              <w:bottom w:val="nil"/>
              <w:right w:val="nil"/>
            </w:tcBorders>
            <w:shd w:val="clear" w:color="auto" w:fill="auto"/>
            <w:vAlign w:val="center"/>
          </w:tcPr>
          <w:p w14:paraId="719797DE" w14:textId="77777777" w:rsidR="006A65EB" w:rsidRPr="00BC1A4E" w:rsidRDefault="006A65EB" w:rsidP="00793251">
            <w:pPr>
              <w:pStyle w:val="12"/>
              <w:rPr>
                <w:rFonts w:ascii="FrankRuehl" w:hAnsi="FrankRuehl" w:cs="FrankRuehl"/>
                <w:sz w:val="30"/>
                <w:szCs w:val="30"/>
                <w:u w:val="none"/>
                <w:rtl/>
              </w:rPr>
            </w:pPr>
          </w:p>
          <w:p w14:paraId="5FAA0194" w14:textId="77777777" w:rsidR="006A65EB" w:rsidRPr="00BC1A4E" w:rsidRDefault="006A65EB" w:rsidP="00793251">
            <w:pPr>
              <w:pStyle w:val="12"/>
              <w:rPr>
                <w:rFonts w:ascii="FrankRuehl" w:hAnsi="FrankRuehl" w:cs="FrankRuehl"/>
                <w:sz w:val="30"/>
                <w:szCs w:val="30"/>
                <w:u w:val="none"/>
              </w:rPr>
            </w:pPr>
            <w:r w:rsidRPr="00BC1A4E">
              <w:rPr>
                <w:rFonts w:ascii="FrankRuehl" w:hAnsi="FrankRuehl" w:cs="FrankRuehl" w:hint="cs"/>
                <w:sz w:val="30"/>
                <w:szCs w:val="30"/>
                <w:u w:val="none"/>
                <w:rtl/>
              </w:rPr>
              <w:t>הנאשם</w:t>
            </w:r>
          </w:p>
          <w:p w14:paraId="180B7431" w14:textId="77777777" w:rsidR="006A65EB" w:rsidRPr="00BC1A4E" w:rsidRDefault="006A65EB" w:rsidP="006A65EB">
            <w:pPr>
              <w:suppressLineNumbers/>
              <w:rPr>
                <w:rFonts w:ascii="FrankRuehl" w:hAnsi="FrankRuehl" w:cs="FrankRuehl"/>
                <w:sz w:val="30"/>
                <w:szCs w:val="30"/>
              </w:rPr>
            </w:pPr>
          </w:p>
          <w:p w14:paraId="0A754516" w14:textId="77777777" w:rsidR="006A65EB" w:rsidRPr="00BC1A4E" w:rsidRDefault="006A65EB" w:rsidP="00793251">
            <w:pPr>
              <w:rPr>
                <w:rFonts w:ascii="FrankRuehl" w:hAnsi="FrankRuehl" w:cs="FrankRuehl"/>
                <w:sz w:val="30"/>
                <w:szCs w:val="30"/>
              </w:rPr>
            </w:pPr>
          </w:p>
        </w:tc>
      </w:tr>
      <w:bookmarkEnd w:id="2"/>
    </w:tbl>
    <w:p w14:paraId="12C174CE" w14:textId="77777777" w:rsidR="006A65EB" w:rsidRPr="00BC1A4E" w:rsidRDefault="006A65EB" w:rsidP="006A65EB">
      <w:pPr>
        <w:rPr>
          <w:rFonts w:ascii="FrankRuehl" w:hAnsi="FrankRuehl" w:cs="FrankRuehl"/>
          <w:sz w:val="28"/>
          <w:szCs w:val="28"/>
          <w:rtl/>
        </w:rPr>
      </w:pPr>
    </w:p>
    <w:p w14:paraId="22AACAFE" w14:textId="77777777" w:rsidR="004D00C9" w:rsidRPr="00BC1A4E" w:rsidRDefault="004D00C9" w:rsidP="00BC1A4E">
      <w:pPr>
        <w:spacing w:before="120" w:after="120" w:line="240" w:lineRule="exact"/>
        <w:ind w:left="283" w:hanging="283"/>
        <w:jc w:val="both"/>
        <w:rPr>
          <w:rFonts w:ascii="FrankRuehl" w:hAnsi="FrankRuehl" w:cs="FrankRuehl"/>
          <w:rtl/>
        </w:rPr>
      </w:pPr>
    </w:p>
    <w:p w14:paraId="0D3A490B" w14:textId="77777777" w:rsidR="00DD0D55" w:rsidRPr="00DD0D55" w:rsidRDefault="00DD0D55" w:rsidP="00DD0D55">
      <w:pPr>
        <w:spacing w:before="120" w:after="120" w:line="240" w:lineRule="exact"/>
        <w:ind w:left="283" w:hanging="283"/>
        <w:jc w:val="both"/>
        <w:rPr>
          <w:rFonts w:ascii="FrankRuehl" w:hAnsi="FrankRuehl" w:cs="FrankRuehl"/>
          <w:rtl/>
        </w:rPr>
      </w:pPr>
      <w:bookmarkStart w:id="3" w:name="LawTable"/>
      <w:bookmarkEnd w:id="3"/>
    </w:p>
    <w:p w14:paraId="1010EB83" w14:textId="77777777" w:rsidR="00DD0D55" w:rsidRPr="00DD0D55" w:rsidRDefault="00DD0D55" w:rsidP="00DD0D55">
      <w:pPr>
        <w:spacing w:before="120" w:after="120" w:line="240" w:lineRule="exact"/>
        <w:ind w:left="283" w:hanging="283"/>
        <w:jc w:val="both"/>
        <w:rPr>
          <w:rFonts w:ascii="FrankRuehl" w:hAnsi="FrankRuehl" w:cs="FrankRuehl"/>
          <w:rtl/>
        </w:rPr>
      </w:pPr>
      <w:r w:rsidRPr="00DD0D55">
        <w:rPr>
          <w:rFonts w:ascii="FrankRuehl" w:hAnsi="FrankRuehl" w:cs="FrankRuehl"/>
          <w:rtl/>
        </w:rPr>
        <w:t xml:space="preserve">חקיקה שאוזכרה: </w:t>
      </w:r>
    </w:p>
    <w:p w14:paraId="7427C320" w14:textId="77777777" w:rsidR="00DD0D55" w:rsidRPr="00DD0D55" w:rsidRDefault="00DD0D55" w:rsidP="00DD0D55">
      <w:pPr>
        <w:spacing w:before="120" w:after="120" w:line="240" w:lineRule="exact"/>
        <w:ind w:left="283" w:hanging="283"/>
        <w:jc w:val="both"/>
        <w:rPr>
          <w:rFonts w:ascii="FrankRuehl" w:hAnsi="FrankRuehl" w:cs="FrankRuehl"/>
          <w:color w:val="0000FF"/>
          <w:rtl/>
        </w:rPr>
      </w:pPr>
      <w:hyperlink r:id="rId7" w:history="1">
        <w:r w:rsidRPr="00DD0D55">
          <w:rPr>
            <w:rStyle w:val="Hyperlink"/>
            <w:rFonts w:ascii="FrankRuehl" w:hAnsi="FrankRuehl" w:cs="FrankRuehl"/>
            <w:u w:val="none"/>
            <w:rtl/>
          </w:rPr>
          <w:t>חוק העונשין, תשל"ז-1977</w:t>
        </w:r>
      </w:hyperlink>
      <w:r w:rsidRPr="00DD0D55">
        <w:rPr>
          <w:rFonts w:ascii="FrankRuehl" w:hAnsi="FrankRuehl" w:cs="FrankRuehl"/>
          <w:color w:val="0000FF"/>
          <w:rtl/>
        </w:rPr>
        <w:t xml:space="preserve">: סע'  </w:t>
      </w:r>
      <w:hyperlink r:id="rId8" w:history="1">
        <w:r w:rsidRPr="00DD0D55">
          <w:rPr>
            <w:rStyle w:val="Hyperlink"/>
            <w:rFonts w:ascii="FrankRuehl" w:hAnsi="FrankRuehl" w:cs="FrankRuehl"/>
            <w:u w:val="none"/>
          </w:rPr>
          <w:t>40</w:t>
        </w:r>
        <w:r w:rsidRPr="00DD0D55">
          <w:rPr>
            <w:rStyle w:val="Hyperlink"/>
            <w:rFonts w:ascii="FrankRuehl" w:hAnsi="FrankRuehl" w:cs="FrankRuehl"/>
            <w:u w:val="none"/>
            <w:rtl/>
          </w:rPr>
          <w:t>ה</w:t>
        </w:r>
        <w:r w:rsidRPr="00DD0D55">
          <w:rPr>
            <w:rStyle w:val="Hyperlink"/>
            <w:rFonts w:ascii="FrankRuehl" w:hAnsi="FrankRuehl" w:cs="FrankRuehl"/>
            <w:u w:val="none"/>
          </w:rPr>
          <w:t>'</w:t>
        </w:r>
      </w:hyperlink>
      <w:r w:rsidRPr="00DD0D55">
        <w:rPr>
          <w:rFonts w:ascii="FrankRuehl" w:hAnsi="FrankRuehl" w:cs="FrankRuehl"/>
          <w:color w:val="0000FF"/>
          <w:rtl/>
        </w:rPr>
        <w:t xml:space="preserve">, </w:t>
      </w:r>
      <w:hyperlink r:id="rId9" w:history="1">
        <w:r w:rsidRPr="00DD0D55">
          <w:rPr>
            <w:rStyle w:val="Hyperlink"/>
            <w:rFonts w:ascii="FrankRuehl" w:hAnsi="FrankRuehl" w:cs="FrankRuehl"/>
            <w:u w:val="none"/>
          </w:rPr>
          <w:t>144</w:t>
        </w:r>
      </w:hyperlink>
      <w:r w:rsidRPr="00DD0D55">
        <w:rPr>
          <w:rFonts w:ascii="FrankRuehl" w:hAnsi="FrankRuehl" w:cs="FrankRuehl"/>
          <w:color w:val="0000FF"/>
          <w:rtl/>
        </w:rPr>
        <w:t xml:space="preserve">(א), </w:t>
      </w:r>
      <w:hyperlink r:id="rId10" w:history="1">
        <w:r w:rsidRPr="00DD0D55">
          <w:rPr>
            <w:rStyle w:val="Hyperlink"/>
            <w:rFonts w:ascii="FrankRuehl" w:hAnsi="FrankRuehl" w:cs="FrankRuehl"/>
            <w:u w:val="none"/>
          </w:rPr>
          <w:t>144</w:t>
        </w:r>
      </w:hyperlink>
      <w:r w:rsidRPr="00DD0D55">
        <w:rPr>
          <w:rFonts w:ascii="FrankRuehl" w:hAnsi="FrankRuehl" w:cs="FrankRuehl"/>
          <w:color w:val="0000FF"/>
          <w:rtl/>
        </w:rPr>
        <w:t xml:space="preserve">(ב), </w:t>
      </w:r>
      <w:hyperlink r:id="rId11" w:history="1">
        <w:r w:rsidRPr="00DD0D55">
          <w:rPr>
            <w:rStyle w:val="Hyperlink"/>
            <w:rFonts w:ascii="FrankRuehl" w:hAnsi="FrankRuehl" w:cs="FrankRuehl"/>
            <w:u w:val="none"/>
          </w:rPr>
          <w:t>330</w:t>
        </w:r>
      </w:hyperlink>
      <w:r w:rsidRPr="00DD0D55">
        <w:rPr>
          <w:rFonts w:ascii="FrankRuehl" w:hAnsi="FrankRuehl" w:cs="FrankRuehl"/>
          <w:color w:val="0000FF"/>
          <w:rtl/>
        </w:rPr>
        <w:t xml:space="preserve">, </w:t>
      </w:r>
      <w:hyperlink r:id="rId12" w:history="1">
        <w:r w:rsidRPr="00DD0D55">
          <w:rPr>
            <w:rStyle w:val="Hyperlink"/>
            <w:rFonts w:ascii="FrankRuehl" w:hAnsi="FrankRuehl" w:cs="FrankRuehl"/>
            <w:u w:val="none"/>
          </w:rPr>
          <w:t>428</w:t>
        </w:r>
      </w:hyperlink>
    </w:p>
    <w:p w14:paraId="347587DB" w14:textId="77777777" w:rsidR="00DD0D55" w:rsidRPr="00DD0D55" w:rsidRDefault="00DD0D55" w:rsidP="00DD0D55">
      <w:pPr>
        <w:spacing w:before="120" w:after="120" w:line="240" w:lineRule="exact"/>
        <w:ind w:left="283" w:hanging="283"/>
        <w:jc w:val="both"/>
        <w:rPr>
          <w:rFonts w:ascii="FrankRuehl" w:hAnsi="FrankRuehl" w:cs="FrankRuehl"/>
          <w:color w:val="0000FF"/>
          <w:rtl/>
        </w:rPr>
      </w:pPr>
      <w:hyperlink r:id="rId13" w:history="1">
        <w:r w:rsidRPr="00DD0D55">
          <w:rPr>
            <w:rStyle w:val="Hyperlink"/>
            <w:rFonts w:ascii="FrankRuehl" w:hAnsi="FrankRuehl" w:cs="FrankRuehl"/>
            <w:u w:val="none"/>
            <w:rtl/>
          </w:rPr>
          <w:t>פקודת סדר הדין הפלילי (מעצר וחיפוש) [נוסח חדש], תשכ"ט-1969</w:t>
        </w:r>
      </w:hyperlink>
      <w:r w:rsidRPr="00DD0D55">
        <w:rPr>
          <w:rFonts w:ascii="FrankRuehl" w:hAnsi="FrankRuehl" w:cs="FrankRuehl"/>
          <w:color w:val="0000FF"/>
          <w:rtl/>
        </w:rPr>
        <w:t xml:space="preserve">: סע'  </w:t>
      </w:r>
      <w:hyperlink r:id="rId14" w:history="1">
        <w:r w:rsidRPr="00DD0D55">
          <w:rPr>
            <w:rStyle w:val="Hyperlink"/>
            <w:rFonts w:ascii="FrankRuehl" w:hAnsi="FrankRuehl" w:cs="FrankRuehl"/>
            <w:u w:val="none"/>
          </w:rPr>
          <w:t>34</w:t>
        </w:r>
      </w:hyperlink>
      <w:r w:rsidRPr="00DD0D55">
        <w:rPr>
          <w:rFonts w:ascii="FrankRuehl" w:hAnsi="FrankRuehl" w:cs="FrankRuehl"/>
          <w:color w:val="0000FF"/>
          <w:rtl/>
        </w:rPr>
        <w:t xml:space="preserve">, </w:t>
      </w:r>
      <w:hyperlink r:id="rId15" w:history="1">
        <w:r w:rsidRPr="00DD0D55">
          <w:rPr>
            <w:rStyle w:val="Hyperlink"/>
            <w:rFonts w:ascii="FrankRuehl" w:hAnsi="FrankRuehl" w:cs="FrankRuehl"/>
            <w:u w:val="none"/>
          </w:rPr>
          <w:t>39</w:t>
        </w:r>
      </w:hyperlink>
      <w:r w:rsidRPr="00DD0D55">
        <w:rPr>
          <w:rFonts w:ascii="FrankRuehl" w:hAnsi="FrankRuehl" w:cs="FrankRuehl"/>
          <w:color w:val="0000FF"/>
          <w:rtl/>
        </w:rPr>
        <w:t>(א)</w:t>
      </w:r>
    </w:p>
    <w:p w14:paraId="1BE99F52" w14:textId="77777777" w:rsidR="004D00C9" w:rsidRPr="00DD0D55" w:rsidRDefault="004D00C9" w:rsidP="00DD0D55">
      <w:pPr>
        <w:spacing w:line="360" w:lineRule="auto"/>
        <w:jc w:val="center"/>
        <w:rPr>
          <w:rFonts w:ascii="FrankRuehl" w:hAnsi="FrankRuehl" w:cs="FrankRuehl"/>
          <w:sz w:val="36"/>
          <w:szCs w:val="36"/>
          <w:rtl/>
        </w:rPr>
      </w:pPr>
      <w:bookmarkStart w:id="4" w:name="LawTable_End"/>
      <w:bookmarkEnd w:id="4"/>
    </w:p>
    <w:p w14:paraId="6C91E08E" w14:textId="77777777" w:rsidR="004D00C9" w:rsidRPr="00BC1A4E" w:rsidRDefault="004D00C9" w:rsidP="00BC1A4E">
      <w:pPr>
        <w:spacing w:line="360" w:lineRule="auto"/>
        <w:jc w:val="center"/>
        <w:rPr>
          <w:rFonts w:ascii="FrankRuehl" w:hAnsi="FrankRuehl" w:cs="FrankRuehl"/>
          <w:b/>
          <w:bCs/>
          <w:sz w:val="36"/>
          <w:szCs w:val="36"/>
          <w:u w:val="single"/>
          <w:rtl/>
        </w:rPr>
      </w:pPr>
      <w:bookmarkStart w:id="5" w:name="PsakDin"/>
      <w:r w:rsidRPr="00BC1A4E">
        <w:rPr>
          <w:rFonts w:ascii="FrankRuehl" w:hAnsi="FrankRuehl" w:cs="FrankRuehl"/>
          <w:b/>
          <w:bCs/>
          <w:sz w:val="36"/>
          <w:szCs w:val="36"/>
          <w:u w:val="single"/>
          <w:rtl/>
        </w:rPr>
        <w:t>גזר דין</w:t>
      </w:r>
    </w:p>
    <w:bookmarkEnd w:id="5"/>
    <w:p w14:paraId="3360AAA3" w14:textId="77777777" w:rsidR="004D00C9" w:rsidRPr="006A65EB" w:rsidRDefault="004D00C9" w:rsidP="006A65EB">
      <w:pPr>
        <w:spacing w:line="360" w:lineRule="auto"/>
        <w:jc w:val="both"/>
        <w:rPr>
          <w:rFonts w:ascii="FrankRuehl" w:hAnsi="FrankRuehl" w:cs="FrankRuehl"/>
          <w:b/>
          <w:bCs/>
          <w:sz w:val="28"/>
          <w:szCs w:val="28"/>
          <w:rtl/>
        </w:rPr>
      </w:pPr>
    </w:p>
    <w:p w14:paraId="1E7EFD38" w14:textId="77777777" w:rsidR="004D00C9" w:rsidRPr="006A65EB" w:rsidRDefault="004D00C9" w:rsidP="006A65EB">
      <w:pPr>
        <w:spacing w:line="360" w:lineRule="auto"/>
        <w:jc w:val="both"/>
        <w:rPr>
          <w:rFonts w:ascii="FrankRuehl" w:hAnsi="FrankRuehl" w:cs="FrankRuehl"/>
          <w:b/>
          <w:bCs/>
          <w:sz w:val="28"/>
          <w:szCs w:val="28"/>
          <w:u w:val="single"/>
          <w:rtl/>
        </w:rPr>
      </w:pPr>
      <w:r w:rsidRPr="006A65EB">
        <w:rPr>
          <w:rFonts w:ascii="FrankRuehl" w:hAnsi="FrankRuehl" w:cs="FrankRuehl" w:hint="cs"/>
          <w:b/>
          <w:bCs/>
          <w:sz w:val="28"/>
          <w:szCs w:val="28"/>
          <w:rtl/>
        </w:rPr>
        <w:t xml:space="preserve">             </w:t>
      </w:r>
      <w:r w:rsidRPr="006A65EB">
        <w:rPr>
          <w:rFonts w:ascii="FrankRuehl" w:hAnsi="FrankRuehl" w:cs="FrankRuehl"/>
          <w:b/>
          <w:bCs/>
          <w:sz w:val="28"/>
          <w:szCs w:val="28"/>
          <w:u w:val="single"/>
          <w:rtl/>
        </w:rPr>
        <w:t xml:space="preserve">הכרעת </w:t>
      </w:r>
      <w:r w:rsidRPr="006A65EB">
        <w:rPr>
          <w:rFonts w:ascii="FrankRuehl" w:hAnsi="FrankRuehl" w:cs="FrankRuehl" w:hint="cs"/>
          <w:b/>
          <w:bCs/>
          <w:sz w:val="28"/>
          <w:szCs w:val="28"/>
          <w:u w:val="single"/>
          <w:rtl/>
        </w:rPr>
        <w:t>ה</w:t>
      </w:r>
      <w:r w:rsidRPr="006A65EB">
        <w:rPr>
          <w:rFonts w:ascii="FrankRuehl" w:hAnsi="FrankRuehl" w:cs="FrankRuehl"/>
          <w:b/>
          <w:bCs/>
          <w:sz w:val="28"/>
          <w:szCs w:val="28"/>
          <w:u w:val="single"/>
          <w:rtl/>
        </w:rPr>
        <w:t xml:space="preserve">דין </w:t>
      </w:r>
    </w:p>
    <w:p w14:paraId="08C50432" w14:textId="77777777" w:rsidR="004D00C9" w:rsidRPr="006A65EB" w:rsidRDefault="004D00C9" w:rsidP="006A65EB">
      <w:pPr>
        <w:pStyle w:val="a9"/>
        <w:numPr>
          <w:ilvl w:val="0"/>
          <w:numId w:val="2"/>
        </w:numPr>
        <w:spacing w:line="360" w:lineRule="auto"/>
        <w:jc w:val="both"/>
        <w:rPr>
          <w:rFonts w:ascii="FrankRuehl" w:hAnsi="FrankRuehl" w:cs="FrankRuehl"/>
          <w:b/>
          <w:bCs/>
          <w:sz w:val="28"/>
          <w:szCs w:val="28"/>
          <w:u w:val="single"/>
        </w:rPr>
      </w:pPr>
      <w:bookmarkStart w:id="6" w:name="ABSTRACT_START"/>
      <w:bookmarkEnd w:id="6"/>
      <w:r w:rsidRPr="006A65EB">
        <w:rPr>
          <w:rFonts w:ascii="FrankRuehl" w:hAnsi="FrankRuehl" w:cs="FrankRuehl"/>
          <w:sz w:val="28"/>
          <w:szCs w:val="28"/>
          <w:rtl/>
        </w:rPr>
        <w:t xml:space="preserve">הנאשם הורשע בהכרעת דין מיום 10.07.23, לאחר ניהול הוכחות, בעבירה של נשיאה והובלה של נשק לפי </w:t>
      </w:r>
      <w:hyperlink r:id="rId16" w:history="1">
        <w:r w:rsidRPr="004D00C9">
          <w:rPr>
            <w:rStyle w:val="Hyperlink"/>
            <w:rFonts w:ascii="FrankRuehl" w:hAnsi="FrankRuehl" w:cs="FrankRuehl"/>
            <w:color w:val="0000FF"/>
            <w:sz w:val="28"/>
            <w:szCs w:val="28"/>
            <w:rtl/>
          </w:rPr>
          <w:t>סעיף 144(ב)</w:t>
        </w:r>
      </w:hyperlink>
      <w:r w:rsidRPr="006A65EB">
        <w:rPr>
          <w:rFonts w:ascii="FrankRuehl" w:hAnsi="FrankRuehl" w:cs="FrankRuehl"/>
          <w:sz w:val="28"/>
          <w:szCs w:val="28"/>
          <w:rtl/>
        </w:rPr>
        <w:t xml:space="preserve"> ל</w:t>
      </w:r>
      <w:hyperlink r:id="rId17" w:history="1">
        <w:r w:rsidRPr="00BC1A4E">
          <w:rPr>
            <w:rFonts w:ascii="FrankRuehl" w:hAnsi="FrankRuehl" w:cs="FrankRuehl"/>
            <w:color w:val="0000FF"/>
            <w:sz w:val="28"/>
            <w:szCs w:val="28"/>
            <w:u w:val="single"/>
            <w:rtl/>
          </w:rPr>
          <w:t>חוק העונשין</w:t>
        </w:r>
      </w:hyperlink>
      <w:r w:rsidRPr="006A65EB">
        <w:rPr>
          <w:rFonts w:ascii="FrankRuehl" w:hAnsi="FrankRuehl" w:cs="FrankRuehl"/>
          <w:sz w:val="28"/>
          <w:szCs w:val="28"/>
          <w:rtl/>
        </w:rPr>
        <w:t xml:space="preserve">, תשל"ז-1977 (להלן: "החוק"); עבירה של ניסיון לחבול בחומר נפיץ לפי </w:t>
      </w:r>
      <w:hyperlink r:id="rId18" w:history="1">
        <w:r w:rsidRPr="004D00C9">
          <w:rPr>
            <w:rStyle w:val="Hyperlink"/>
            <w:rFonts w:ascii="FrankRuehl" w:hAnsi="FrankRuehl" w:cs="FrankRuehl"/>
            <w:color w:val="0000FF"/>
            <w:sz w:val="28"/>
            <w:szCs w:val="28"/>
            <w:rtl/>
          </w:rPr>
          <w:t>סעיף 330</w:t>
        </w:r>
      </w:hyperlink>
      <w:r w:rsidRPr="006A65EB">
        <w:rPr>
          <w:rFonts w:ascii="FrankRuehl" w:hAnsi="FrankRuehl" w:cs="FrankRuehl"/>
          <w:sz w:val="28"/>
          <w:szCs w:val="28"/>
          <w:rtl/>
        </w:rPr>
        <w:t xml:space="preserve"> לחוק; ועבירה של סחיטה באיומים לפי </w:t>
      </w:r>
      <w:hyperlink r:id="rId19" w:history="1">
        <w:r w:rsidRPr="004D00C9">
          <w:rPr>
            <w:rStyle w:val="Hyperlink"/>
            <w:rFonts w:ascii="FrankRuehl" w:hAnsi="FrankRuehl" w:cs="FrankRuehl"/>
            <w:color w:val="0000FF"/>
            <w:sz w:val="28"/>
            <w:szCs w:val="28"/>
            <w:rtl/>
          </w:rPr>
          <w:t>סעיף 428</w:t>
        </w:r>
      </w:hyperlink>
      <w:r w:rsidRPr="006A65EB">
        <w:rPr>
          <w:rFonts w:ascii="FrankRuehl" w:hAnsi="FrankRuehl" w:cs="FrankRuehl"/>
          <w:sz w:val="28"/>
          <w:szCs w:val="28"/>
          <w:rtl/>
        </w:rPr>
        <w:t xml:space="preserve"> רישא לחוק.</w:t>
      </w:r>
    </w:p>
    <w:p w14:paraId="093EA425" w14:textId="77777777" w:rsidR="004D00C9" w:rsidRPr="006A65EB" w:rsidRDefault="004D00C9" w:rsidP="006A65EB">
      <w:pPr>
        <w:spacing w:line="360" w:lineRule="auto"/>
        <w:jc w:val="both"/>
        <w:rPr>
          <w:rFonts w:ascii="FrankRuehl" w:hAnsi="FrankRuehl" w:cs="FrankRuehl"/>
          <w:sz w:val="28"/>
          <w:szCs w:val="28"/>
          <w:rtl/>
        </w:rPr>
      </w:pPr>
      <w:bookmarkStart w:id="7" w:name="ABSTRACT_END"/>
      <w:bookmarkEnd w:id="7"/>
      <w:r w:rsidRPr="006A65EB">
        <w:rPr>
          <w:rFonts w:ascii="FrankRuehl" w:hAnsi="FrankRuehl" w:cs="FrankRuehl"/>
          <w:sz w:val="28"/>
          <w:szCs w:val="28"/>
          <w:rtl/>
        </w:rPr>
        <w:t xml:space="preserve"> </w:t>
      </w:r>
    </w:p>
    <w:p w14:paraId="432BD8D6"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נסיבות ביצוע העבירות פורטו בהכרעת הדין, ובתמצית יצוין, כי בין </w:t>
      </w:r>
      <w:r w:rsidRPr="006A65EB">
        <w:rPr>
          <w:rFonts w:ascii="FrankRuehl" w:hAnsi="FrankRuehl" w:cs="FrankRuehl"/>
          <w:sz w:val="28"/>
          <w:szCs w:val="28"/>
          <w:shd w:val="clear" w:color="auto" w:fill="FFFFFF"/>
          <w:rtl/>
        </w:rPr>
        <w:t xml:space="preserve">הנאשם לבין אחותו הילה ובעלה שרון (להלן: "המתלוננים") </w:t>
      </w:r>
      <w:r w:rsidRPr="006A65EB">
        <w:rPr>
          <w:rFonts w:ascii="FrankRuehl" w:hAnsi="FrankRuehl" w:cs="FrankRuehl" w:hint="cs"/>
          <w:sz w:val="28"/>
          <w:szCs w:val="28"/>
          <w:shd w:val="clear" w:color="auto" w:fill="FFFFFF"/>
          <w:rtl/>
        </w:rPr>
        <w:t xml:space="preserve">נתגלע </w:t>
      </w:r>
      <w:r w:rsidRPr="006A65EB">
        <w:rPr>
          <w:rFonts w:ascii="FrankRuehl" w:hAnsi="FrankRuehl" w:cs="FrankRuehl"/>
          <w:sz w:val="28"/>
          <w:szCs w:val="28"/>
          <w:shd w:val="clear" w:color="auto" w:fill="FFFFFF"/>
          <w:rtl/>
        </w:rPr>
        <w:t>סכסוך כספי בשנת 2013</w:t>
      </w:r>
      <w:r w:rsidRPr="006A65EB">
        <w:rPr>
          <w:rFonts w:ascii="FrankRuehl" w:hAnsi="FrankRuehl" w:cs="FrankRuehl" w:hint="cs"/>
          <w:sz w:val="28"/>
          <w:szCs w:val="28"/>
          <w:shd w:val="clear" w:color="auto" w:fill="FFFFFF"/>
          <w:rtl/>
        </w:rPr>
        <w:t xml:space="preserve">, </w:t>
      </w:r>
      <w:r w:rsidRPr="006A65EB">
        <w:rPr>
          <w:rFonts w:ascii="FrankRuehl" w:hAnsi="FrankRuehl" w:cs="FrankRuehl"/>
          <w:sz w:val="28"/>
          <w:szCs w:val="28"/>
          <w:shd w:val="clear" w:color="auto" w:fill="FFFFFF"/>
          <w:rtl/>
        </w:rPr>
        <w:t>במסגרתו דרש הנאשם מהמתלוננים סכום ש</w:t>
      </w:r>
      <w:r w:rsidRPr="006A65EB">
        <w:rPr>
          <w:rFonts w:ascii="FrankRuehl" w:hAnsi="FrankRuehl" w:cs="FrankRuehl" w:hint="cs"/>
          <w:sz w:val="28"/>
          <w:szCs w:val="28"/>
          <w:shd w:val="clear" w:color="auto" w:fill="FFFFFF"/>
          <w:rtl/>
        </w:rPr>
        <w:t xml:space="preserve">נע בין 400,000 ₪ ל-500,000 ₪. בעטיו </w:t>
      </w:r>
      <w:r w:rsidRPr="006A65EB">
        <w:rPr>
          <w:rFonts w:ascii="FrankRuehl" w:hAnsi="FrankRuehl" w:cs="FrankRuehl" w:hint="cs"/>
          <w:sz w:val="28"/>
          <w:szCs w:val="28"/>
          <w:shd w:val="clear" w:color="auto" w:fill="FFFFFF"/>
          <w:rtl/>
        </w:rPr>
        <w:lastRenderedPageBreak/>
        <w:t xml:space="preserve">של סכסוך זה, </w:t>
      </w:r>
      <w:r w:rsidRPr="006A65EB">
        <w:rPr>
          <w:rFonts w:ascii="FrankRuehl" w:hAnsi="FrankRuehl" w:cs="FrankRuehl"/>
          <w:sz w:val="28"/>
          <w:szCs w:val="28"/>
          <w:shd w:val="clear" w:color="auto" w:fill="FFFFFF"/>
          <w:rtl/>
        </w:rPr>
        <w:t xml:space="preserve">גמלה בליבו של הנאשם </w:t>
      </w:r>
      <w:r w:rsidRPr="006A65EB">
        <w:rPr>
          <w:rFonts w:ascii="FrankRuehl" w:hAnsi="FrankRuehl" w:cs="FrankRuehl" w:hint="cs"/>
          <w:sz w:val="28"/>
          <w:szCs w:val="28"/>
          <w:shd w:val="clear" w:color="auto" w:fill="FFFFFF"/>
          <w:rtl/>
        </w:rPr>
        <w:t>ה</w:t>
      </w:r>
      <w:r w:rsidRPr="006A65EB">
        <w:rPr>
          <w:rFonts w:ascii="FrankRuehl" w:hAnsi="FrankRuehl" w:cs="FrankRuehl"/>
          <w:sz w:val="28"/>
          <w:szCs w:val="28"/>
          <w:shd w:val="clear" w:color="auto" w:fill="FFFFFF"/>
          <w:rtl/>
        </w:rPr>
        <w:t xml:space="preserve">החלטה להניח בביתם של המתלוננים מטען חבלה בכדי לגרום להם לחבלה. </w:t>
      </w:r>
    </w:p>
    <w:p w14:paraId="042A68D5" w14:textId="77777777" w:rsidR="004D00C9" w:rsidRPr="006A65EB" w:rsidRDefault="004D00C9" w:rsidP="006A65EB">
      <w:pPr>
        <w:pStyle w:val="a9"/>
        <w:spacing w:line="360" w:lineRule="auto"/>
        <w:jc w:val="both"/>
        <w:rPr>
          <w:rFonts w:ascii="FrankRuehl" w:hAnsi="FrankRuehl" w:cs="FrankRuehl"/>
          <w:sz w:val="28"/>
          <w:szCs w:val="28"/>
          <w:shd w:val="clear" w:color="auto" w:fill="FFFFFF"/>
          <w:rtl/>
        </w:rPr>
      </w:pPr>
    </w:p>
    <w:p w14:paraId="6A0453BF"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shd w:val="clear" w:color="auto" w:fill="FFFFFF"/>
          <w:rtl/>
        </w:rPr>
        <w:t>ביום 21.11.21 הגיע הנאשם לבית</w:t>
      </w:r>
      <w:r w:rsidRPr="006A65EB">
        <w:rPr>
          <w:rFonts w:ascii="FrankRuehl" w:hAnsi="FrankRuehl" w:cs="FrankRuehl" w:hint="cs"/>
          <w:sz w:val="28"/>
          <w:szCs w:val="28"/>
          <w:shd w:val="clear" w:color="auto" w:fill="FFFFFF"/>
          <w:rtl/>
        </w:rPr>
        <w:t xml:space="preserve"> המתלוננים</w:t>
      </w:r>
      <w:r w:rsidRPr="006A65EB">
        <w:rPr>
          <w:rFonts w:ascii="FrankRuehl" w:hAnsi="FrankRuehl" w:cs="FrankRuehl"/>
          <w:sz w:val="28"/>
          <w:szCs w:val="28"/>
          <w:shd w:val="clear" w:color="auto" w:fill="FFFFFF"/>
          <w:rtl/>
        </w:rPr>
        <w:t xml:space="preserve"> </w:t>
      </w:r>
      <w:r w:rsidRPr="006A65EB">
        <w:rPr>
          <w:rFonts w:ascii="FrankRuehl" w:hAnsi="FrankRuehl" w:cs="FrankRuehl"/>
          <w:sz w:val="28"/>
          <w:szCs w:val="28"/>
          <w:rtl/>
        </w:rPr>
        <w:t>ברכבו</w:t>
      </w:r>
      <w:r w:rsidRPr="006A65EB">
        <w:rPr>
          <w:rFonts w:ascii="FrankRuehl" w:hAnsi="FrankRuehl" w:cs="FrankRuehl" w:hint="cs"/>
          <w:sz w:val="28"/>
          <w:szCs w:val="28"/>
          <w:rtl/>
        </w:rPr>
        <w:t xml:space="preserve">, </w:t>
      </w:r>
      <w:r w:rsidRPr="006A65EB">
        <w:rPr>
          <w:rFonts w:ascii="FrankRuehl" w:hAnsi="FrankRuehl" w:cs="FrankRuehl"/>
          <w:sz w:val="28"/>
          <w:szCs w:val="28"/>
          <w:rtl/>
        </w:rPr>
        <w:t>כשהוא לבוש בגדים שחורים וברדס על ראשו, עוטה כפפות ובידו שקית שחורה המכילה</w:t>
      </w:r>
      <w:r w:rsidRPr="006A65EB">
        <w:rPr>
          <w:rFonts w:ascii="FrankRuehl" w:hAnsi="FrankRuehl" w:cs="FrankRuehl"/>
          <w:sz w:val="28"/>
          <w:szCs w:val="28"/>
          <w:shd w:val="clear" w:color="auto" w:fill="FFFFFF"/>
          <w:rtl/>
        </w:rPr>
        <w:t xml:space="preserve"> מטען חבלה מאולתר המכיל תערובת אבק שריפה ופתיל הדלקה במשקל של לפחות 93.68 גרם, תערובת נוספת שהכילה גופרית ומלח פרכלוראטי וכדוריות מתכת בקוטר של 4 מ"מ המשמשות כרסס להגביר את אפקט וטווח הפגיעה של המטען. </w:t>
      </w:r>
      <w:r w:rsidRPr="006A65EB">
        <w:rPr>
          <w:rFonts w:ascii="FrankRuehl" w:hAnsi="FrankRuehl" w:cs="FrankRuehl" w:hint="cs"/>
          <w:sz w:val="28"/>
          <w:szCs w:val="28"/>
          <w:shd w:val="clear" w:color="auto" w:fill="FFFFFF"/>
          <w:rtl/>
        </w:rPr>
        <w:t xml:space="preserve">מדובר במטען שבכוחו להזיק לאדם בעת התפוצצותו. </w:t>
      </w:r>
      <w:r w:rsidRPr="006A65EB">
        <w:rPr>
          <w:rFonts w:ascii="FrankRuehl" w:hAnsi="FrankRuehl" w:cs="FrankRuehl"/>
          <w:sz w:val="28"/>
          <w:szCs w:val="28"/>
          <w:shd w:val="clear" w:color="auto" w:fill="FFFFFF"/>
          <w:rtl/>
        </w:rPr>
        <w:t xml:space="preserve">הנאשם הניח את המטען בתוך </w:t>
      </w:r>
      <w:r w:rsidRPr="006A65EB">
        <w:rPr>
          <w:rFonts w:ascii="FrankRuehl" w:hAnsi="FrankRuehl" w:cs="FrankRuehl"/>
          <w:sz w:val="28"/>
          <w:szCs w:val="28"/>
          <w:rtl/>
        </w:rPr>
        <w:t xml:space="preserve">חלקה הפנימי של גדר חצר ביתם </w:t>
      </w:r>
      <w:r w:rsidRPr="006A65EB">
        <w:rPr>
          <w:rFonts w:ascii="FrankRuehl" w:hAnsi="FrankRuehl" w:cs="FrankRuehl" w:hint="cs"/>
          <w:sz w:val="28"/>
          <w:szCs w:val="28"/>
          <w:rtl/>
        </w:rPr>
        <w:t xml:space="preserve">של המתלוננים </w:t>
      </w:r>
      <w:r w:rsidRPr="006A65EB">
        <w:rPr>
          <w:rFonts w:ascii="FrankRuehl" w:hAnsi="FrankRuehl" w:cs="FrankRuehl"/>
          <w:sz w:val="28"/>
          <w:szCs w:val="28"/>
          <w:rtl/>
        </w:rPr>
        <w:t>כשמתג ההפעלה של המטען על מצב דולק,</w:t>
      </w:r>
      <w:r w:rsidRPr="006A65EB">
        <w:rPr>
          <w:rFonts w:ascii="FrankRuehl" w:hAnsi="FrankRuehl" w:cs="FrankRuehl"/>
          <w:sz w:val="28"/>
          <w:szCs w:val="28"/>
          <w:shd w:val="clear" w:color="auto" w:fill="FFFFFF"/>
          <w:rtl/>
        </w:rPr>
        <w:t xml:space="preserve"> ועזב את המקום. למחרת, ביום 22.11.21 מצא בנם של המתלוננים, קטין כבן 13, את המטען</w:t>
      </w:r>
      <w:r w:rsidRPr="006A65EB">
        <w:rPr>
          <w:rFonts w:ascii="FrankRuehl" w:hAnsi="FrankRuehl" w:cs="FrankRuehl"/>
          <w:sz w:val="28"/>
          <w:szCs w:val="28"/>
          <w:shd w:val="clear" w:color="auto" w:fill="FFFFFF"/>
        </w:rPr>
        <w:t>.</w:t>
      </w:r>
      <w:r w:rsidRPr="006A65EB">
        <w:rPr>
          <w:rFonts w:ascii="FrankRuehl" w:hAnsi="FrankRuehl" w:cs="FrankRuehl"/>
          <w:sz w:val="28"/>
          <w:szCs w:val="28"/>
          <w:rtl/>
        </w:rPr>
        <w:t xml:space="preserve"> </w:t>
      </w:r>
    </w:p>
    <w:p w14:paraId="430DB235" w14:textId="77777777" w:rsidR="004D00C9" w:rsidRPr="006A65EB" w:rsidRDefault="004D00C9" w:rsidP="006A65EB">
      <w:pPr>
        <w:pStyle w:val="a9"/>
        <w:spacing w:line="360" w:lineRule="auto"/>
        <w:jc w:val="both"/>
        <w:rPr>
          <w:rFonts w:ascii="FrankRuehl" w:hAnsi="FrankRuehl" w:cs="FrankRuehl"/>
          <w:sz w:val="28"/>
          <w:szCs w:val="28"/>
          <w:rtl/>
        </w:rPr>
      </w:pPr>
    </w:p>
    <w:p w14:paraId="7F7A83B3" w14:textId="77777777" w:rsidR="004D00C9" w:rsidRPr="006A65EB" w:rsidRDefault="004D00C9" w:rsidP="006A65EB">
      <w:pPr>
        <w:spacing w:line="360" w:lineRule="auto"/>
        <w:jc w:val="both"/>
        <w:rPr>
          <w:rFonts w:ascii="FrankRuehl" w:hAnsi="FrankRuehl" w:cs="FrankRuehl"/>
          <w:b/>
          <w:bCs/>
          <w:sz w:val="28"/>
          <w:szCs w:val="28"/>
          <w:u w:val="single"/>
          <w:rtl/>
        </w:rPr>
      </w:pPr>
      <w:r w:rsidRPr="006A65EB">
        <w:rPr>
          <w:rFonts w:ascii="FrankRuehl" w:hAnsi="FrankRuehl" w:cs="FrankRuehl" w:hint="cs"/>
          <w:b/>
          <w:bCs/>
          <w:sz w:val="28"/>
          <w:szCs w:val="28"/>
          <w:rtl/>
        </w:rPr>
        <w:t xml:space="preserve">             </w:t>
      </w:r>
      <w:r w:rsidRPr="006A65EB">
        <w:rPr>
          <w:rFonts w:ascii="FrankRuehl" w:hAnsi="FrankRuehl" w:cs="FrankRuehl"/>
          <w:b/>
          <w:bCs/>
          <w:sz w:val="28"/>
          <w:szCs w:val="28"/>
          <w:u w:val="single"/>
          <w:rtl/>
        </w:rPr>
        <w:t>ראיות לעונש</w:t>
      </w:r>
    </w:p>
    <w:p w14:paraId="1A1B722D"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במסגרת הראיות לעונש הגישה </w:t>
      </w:r>
      <w:r w:rsidRPr="006A65EB">
        <w:rPr>
          <w:rFonts w:ascii="FrankRuehl" w:hAnsi="FrankRuehl" w:cs="FrankRuehl"/>
          <w:sz w:val="28"/>
          <w:szCs w:val="28"/>
          <w:rtl/>
        </w:rPr>
        <w:t>המאשימה את הרישום הפלילי של הנאשם</w:t>
      </w:r>
      <w:r w:rsidRPr="006A65EB">
        <w:rPr>
          <w:rFonts w:ascii="FrankRuehl" w:hAnsi="FrankRuehl" w:cs="FrankRuehl" w:hint="cs"/>
          <w:sz w:val="28"/>
          <w:szCs w:val="28"/>
          <w:rtl/>
        </w:rPr>
        <w:t xml:space="preserve"> </w:t>
      </w:r>
      <w:r w:rsidRPr="006A65EB">
        <w:rPr>
          <w:rFonts w:ascii="FrankRuehl" w:hAnsi="FrankRuehl" w:cs="FrankRuehl"/>
          <w:sz w:val="28"/>
          <w:szCs w:val="28"/>
          <w:rtl/>
        </w:rPr>
        <w:t>הכולל 10 הרשעות קודמות בהן 6 עבירות של סחיטה באיומים ובכוח, בנוסף לעבירות אלימות ורכוש</w:t>
      </w:r>
      <w:r w:rsidRPr="006A65EB">
        <w:rPr>
          <w:rFonts w:ascii="FrankRuehl" w:hAnsi="FrankRuehl" w:cs="FrankRuehl" w:hint="cs"/>
          <w:sz w:val="28"/>
          <w:szCs w:val="28"/>
          <w:rtl/>
        </w:rPr>
        <w:t xml:space="preserve"> רבות</w:t>
      </w:r>
      <w:r w:rsidRPr="006A65EB">
        <w:rPr>
          <w:rFonts w:ascii="FrankRuehl" w:hAnsi="FrankRuehl" w:cs="FrankRuehl"/>
          <w:sz w:val="28"/>
          <w:szCs w:val="28"/>
          <w:rtl/>
        </w:rPr>
        <w:t xml:space="preserve">. בגינן ריצה הנאשם, ועודו מרצה, עונשי מאסר ממושכים. </w:t>
      </w:r>
    </w:p>
    <w:p w14:paraId="29F7DD79" w14:textId="77777777" w:rsidR="004D00C9" w:rsidRPr="006A65EB" w:rsidRDefault="004D00C9" w:rsidP="006A65EB">
      <w:pPr>
        <w:pStyle w:val="a9"/>
        <w:spacing w:line="360" w:lineRule="auto"/>
        <w:ind w:left="1080"/>
        <w:jc w:val="both"/>
        <w:rPr>
          <w:rFonts w:ascii="FrankRuehl" w:hAnsi="FrankRuehl" w:cs="FrankRuehl"/>
          <w:sz w:val="28"/>
          <w:szCs w:val="28"/>
        </w:rPr>
      </w:pPr>
    </w:p>
    <w:p w14:paraId="24F83C7B"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הוגש גם תצהיר נפגעת עבירה של המתלוננת בו תיארה את הפחד והחרדה שבני משפחתה שרויים </w:t>
      </w:r>
      <w:r w:rsidRPr="006A65EB">
        <w:rPr>
          <w:rFonts w:ascii="FrankRuehl" w:hAnsi="FrankRuehl" w:cs="FrankRuehl" w:hint="cs"/>
          <w:sz w:val="28"/>
          <w:szCs w:val="28"/>
          <w:rtl/>
        </w:rPr>
        <w:t xml:space="preserve">בהם </w:t>
      </w:r>
      <w:r w:rsidRPr="006A65EB">
        <w:rPr>
          <w:rFonts w:ascii="FrankRuehl" w:hAnsi="FrankRuehl" w:cs="FrankRuehl"/>
          <w:sz w:val="28"/>
          <w:szCs w:val="28"/>
          <w:rtl/>
        </w:rPr>
        <w:t xml:space="preserve">מאז גילוי המטען. </w:t>
      </w:r>
      <w:r w:rsidRPr="006A65EB">
        <w:rPr>
          <w:rFonts w:ascii="FrankRuehl" w:hAnsi="FrankRuehl" w:cs="FrankRuehl" w:hint="cs"/>
          <w:sz w:val="28"/>
          <w:szCs w:val="28"/>
          <w:rtl/>
        </w:rPr>
        <w:t xml:space="preserve">המתלוננת ציינה כי </w:t>
      </w:r>
      <w:r w:rsidRPr="006A65EB">
        <w:rPr>
          <w:rFonts w:ascii="FrankRuehl" w:hAnsi="FrankRuehl" w:cs="FrankRuehl"/>
          <w:sz w:val="28"/>
          <w:szCs w:val="28"/>
          <w:rtl/>
        </w:rPr>
        <w:t xml:space="preserve">בשל חששם הגובר מפעולת נקם של הנאשם והדאגה לביטחונם ובטחון ילדיהם הם גידרו את הבית בגדר גבוהה, התקינו שער חשמלי שמופעל על ידי קודן, מערכת שמע ורמקול והוסיפו מערכות אבטחה נרחבות יותר שמתעדות את כל חלקי הבית באופן תמידי. </w:t>
      </w:r>
    </w:p>
    <w:p w14:paraId="62350622" w14:textId="77777777" w:rsidR="004D00C9" w:rsidRPr="006A65EB" w:rsidRDefault="004D00C9" w:rsidP="006A65EB">
      <w:pPr>
        <w:pStyle w:val="a9"/>
        <w:spacing w:line="360" w:lineRule="auto"/>
        <w:jc w:val="both"/>
        <w:rPr>
          <w:rFonts w:ascii="FrankRuehl" w:hAnsi="FrankRuehl" w:cs="FrankRuehl"/>
          <w:sz w:val="28"/>
          <w:szCs w:val="28"/>
        </w:rPr>
      </w:pPr>
    </w:p>
    <w:p w14:paraId="2739432F"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מטעם הנאשם </w:t>
      </w:r>
      <w:r w:rsidRPr="006A65EB">
        <w:rPr>
          <w:rFonts w:ascii="FrankRuehl" w:hAnsi="FrankRuehl" w:cs="FrankRuehl"/>
          <w:sz w:val="28"/>
          <w:szCs w:val="28"/>
          <w:rtl/>
        </w:rPr>
        <w:t>העידו</w:t>
      </w:r>
      <w:r w:rsidRPr="006A65EB">
        <w:rPr>
          <w:rFonts w:ascii="FrankRuehl" w:hAnsi="FrankRuehl" w:cs="FrankRuehl" w:hint="cs"/>
          <w:sz w:val="28"/>
          <w:szCs w:val="28"/>
          <w:rtl/>
        </w:rPr>
        <w:t xml:space="preserve"> אשת הנאשם</w:t>
      </w:r>
      <w:r w:rsidRPr="006A65EB">
        <w:rPr>
          <w:rFonts w:ascii="FrankRuehl" w:hAnsi="FrankRuehl" w:cs="FrankRuehl"/>
          <w:sz w:val="28"/>
          <w:szCs w:val="28"/>
          <w:rtl/>
        </w:rPr>
        <w:t xml:space="preserve"> גב' אביבית שליו </w:t>
      </w:r>
      <w:r w:rsidRPr="006A65EB">
        <w:rPr>
          <w:rFonts w:ascii="FrankRuehl" w:hAnsi="FrankRuehl" w:cs="FrankRuehl" w:hint="cs"/>
          <w:sz w:val="28"/>
          <w:szCs w:val="28"/>
          <w:rtl/>
        </w:rPr>
        <w:t xml:space="preserve">ובתה </w:t>
      </w:r>
      <w:r w:rsidRPr="006A65EB">
        <w:rPr>
          <w:rFonts w:ascii="FrankRuehl" w:hAnsi="FrankRuehl" w:cs="FrankRuehl"/>
          <w:sz w:val="28"/>
          <w:szCs w:val="28"/>
          <w:rtl/>
        </w:rPr>
        <w:t xml:space="preserve">של </w:t>
      </w:r>
      <w:r w:rsidRPr="006A65EB">
        <w:rPr>
          <w:rFonts w:ascii="FrankRuehl" w:hAnsi="FrankRuehl" w:cs="FrankRuehl" w:hint="cs"/>
          <w:sz w:val="28"/>
          <w:szCs w:val="28"/>
          <w:rtl/>
        </w:rPr>
        <w:t xml:space="preserve">אשתו מנישואים קודמים, </w:t>
      </w:r>
      <w:r w:rsidRPr="006A65EB">
        <w:rPr>
          <w:rFonts w:ascii="FrankRuehl" w:hAnsi="FrankRuehl" w:cs="FrankRuehl"/>
          <w:sz w:val="28"/>
          <w:szCs w:val="28"/>
          <w:rtl/>
        </w:rPr>
        <w:t>בר,</w:t>
      </w:r>
      <w:r w:rsidRPr="006A65EB">
        <w:rPr>
          <w:rFonts w:ascii="FrankRuehl" w:hAnsi="FrankRuehl" w:cs="FrankRuehl" w:hint="cs"/>
          <w:sz w:val="28"/>
          <w:szCs w:val="28"/>
          <w:rtl/>
        </w:rPr>
        <w:t xml:space="preserve"> שהנאשם, כך נטען, מגדלה כאב</w:t>
      </w:r>
      <w:r w:rsidRPr="006A65EB">
        <w:rPr>
          <w:rFonts w:ascii="FrankRuehl" w:hAnsi="FrankRuehl" w:cs="FrankRuehl"/>
          <w:sz w:val="28"/>
          <w:szCs w:val="28"/>
          <w:rtl/>
        </w:rPr>
        <w:t xml:space="preserve">. </w:t>
      </w:r>
    </w:p>
    <w:p w14:paraId="5AD32D13" w14:textId="77777777" w:rsidR="004D00C9" w:rsidRPr="006A65EB" w:rsidRDefault="004D00C9" w:rsidP="006A65EB">
      <w:pPr>
        <w:pStyle w:val="a9"/>
        <w:spacing w:line="360" w:lineRule="auto"/>
        <w:jc w:val="both"/>
        <w:rPr>
          <w:rFonts w:ascii="FrankRuehl" w:hAnsi="FrankRuehl" w:cs="FrankRuehl"/>
          <w:sz w:val="28"/>
          <w:szCs w:val="28"/>
          <w:rtl/>
        </w:rPr>
      </w:pPr>
    </w:p>
    <w:p w14:paraId="72752B49"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גב' </w:t>
      </w:r>
      <w:r w:rsidRPr="006A65EB">
        <w:rPr>
          <w:rFonts w:ascii="FrankRuehl" w:hAnsi="FrankRuehl" w:cs="FrankRuehl" w:hint="cs"/>
          <w:sz w:val="28"/>
          <w:szCs w:val="28"/>
          <w:rtl/>
        </w:rPr>
        <w:t xml:space="preserve">שליו סיפרה כי </w:t>
      </w:r>
      <w:r w:rsidRPr="006A65EB">
        <w:rPr>
          <w:rFonts w:ascii="FrankRuehl" w:hAnsi="FrankRuehl" w:cs="FrankRuehl"/>
          <w:sz w:val="28"/>
          <w:szCs w:val="28"/>
          <w:rtl/>
        </w:rPr>
        <w:t xml:space="preserve">לאחר שחרורו </w:t>
      </w:r>
      <w:r w:rsidRPr="006A65EB">
        <w:rPr>
          <w:rFonts w:ascii="FrankRuehl" w:hAnsi="FrankRuehl" w:cs="FrankRuehl" w:hint="cs"/>
          <w:sz w:val="28"/>
          <w:szCs w:val="28"/>
          <w:rtl/>
        </w:rPr>
        <w:t xml:space="preserve">של הנאשם </w:t>
      </w:r>
      <w:r w:rsidRPr="006A65EB">
        <w:rPr>
          <w:rFonts w:ascii="FrankRuehl" w:hAnsi="FrankRuehl" w:cs="FrankRuehl"/>
          <w:sz w:val="28"/>
          <w:szCs w:val="28"/>
          <w:rtl/>
        </w:rPr>
        <w:t>מבית הכלא לפני כשלוש שנים</w:t>
      </w:r>
      <w:r w:rsidRPr="006A65EB">
        <w:rPr>
          <w:rFonts w:ascii="FrankRuehl" w:hAnsi="FrankRuehl" w:cs="FrankRuehl" w:hint="cs"/>
          <w:sz w:val="28"/>
          <w:szCs w:val="28"/>
          <w:rtl/>
        </w:rPr>
        <w:t xml:space="preserve">, הם </w:t>
      </w:r>
      <w:r w:rsidRPr="006A65EB">
        <w:rPr>
          <w:rFonts w:ascii="FrankRuehl" w:hAnsi="FrankRuehl" w:cs="FrankRuehl"/>
          <w:sz w:val="28"/>
          <w:szCs w:val="28"/>
          <w:rtl/>
        </w:rPr>
        <w:t>התחתנו מתוך כוונה למסד את היחסים ביניהם</w:t>
      </w:r>
      <w:r w:rsidRPr="006A65EB">
        <w:rPr>
          <w:rFonts w:ascii="FrankRuehl" w:hAnsi="FrankRuehl" w:cs="FrankRuehl" w:hint="cs"/>
          <w:sz w:val="28"/>
          <w:szCs w:val="28"/>
          <w:rtl/>
        </w:rPr>
        <w:t>,</w:t>
      </w:r>
      <w:r w:rsidRPr="006A65EB">
        <w:rPr>
          <w:rFonts w:ascii="FrankRuehl" w:hAnsi="FrankRuehl" w:cs="FrankRuehl"/>
          <w:sz w:val="28"/>
          <w:szCs w:val="28"/>
          <w:rtl/>
        </w:rPr>
        <w:t xml:space="preserve"> לשקם את ביתם ולחיות כמשפחה מאוחדת. </w:t>
      </w:r>
      <w:r w:rsidRPr="006A65EB">
        <w:rPr>
          <w:rFonts w:ascii="FrankRuehl" w:hAnsi="FrankRuehl" w:cs="FrankRuehl" w:hint="cs"/>
          <w:sz w:val="28"/>
          <w:szCs w:val="28"/>
          <w:rtl/>
        </w:rPr>
        <w:t xml:space="preserve">היא ציינה </w:t>
      </w:r>
      <w:r w:rsidRPr="006A65EB">
        <w:rPr>
          <w:rFonts w:ascii="FrankRuehl" w:hAnsi="FrankRuehl" w:cs="FrankRuehl"/>
          <w:sz w:val="28"/>
          <w:szCs w:val="28"/>
          <w:rtl/>
        </w:rPr>
        <w:t xml:space="preserve">כי </w:t>
      </w:r>
      <w:r w:rsidRPr="006A65EB">
        <w:rPr>
          <w:rFonts w:ascii="FrankRuehl" w:hAnsi="FrankRuehl" w:cs="FrankRuehl" w:hint="cs"/>
          <w:sz w:val="28"/>
          <w:szCs w:val="28"/>
          <w:rtl/>
        </w:rPr>
        <w:t xml:space="preserve">בעלה </w:t>
      </w:r>
      <w:r w:rsidRPr="006A65EB">
        <w:rPr>
          <w:rFonts w:ascii="FrankRuehl" w:hAnsi="FrankRuehl" w:cs="FrankRuehl"/>
          <w:sz w:val="28"/>
          <w:szCs w:val="28"/>
          <w:rtl/>
        </w:rPr>
        <w:t>יוסי הוא אב למופת לבנותיו</w:t>
      </w:r>
      <w:r w:rsidRPr="006A65EB">
        <w:rPr>
          <w:rFonts w:ascii="FrankRuehl" w:hAnsi="FrankRuehl" w:cs="FrankRuehl" w:hint="cs"/>
          <w:sz w:val="28"/>
          <w:szCs w:val="28"/>
          <w:rtl/>
        </w:rPr>
        <w:t xml:space="preserve"> </w:t>
      </w:r>
      <w:r w:rsidRPr="006A65EB">
        <w:rPr>
          <w:rFonts w:ascii="FrankRuehl" w:hAnsi="FrankRuehl" w:cs="FrankRuehl"/>
          <w:sz w:val="28"/>
          <w:szCs w:val="28"/>
          <w:rtl/>
        </w:rPr>
        <w:t>–</w:t>
      </w:r>
      <w:r w:rsidRPr="006A65EB">
        <w:rPr>
          <w:rFonts w:ascii="FrankRuehl" w:hAnsi="FrankRuehl" w:cs="FrankRuehl" w:hint="cs"/>
          <w:sz w:val="28"/>
          <w:szCs w:val="28"/>
          <w:rtl/>
        </w:rPr>
        <w:t xml:space="preserve"> שתי בנותיהם בנות 9 ו-</w:t>
      </w:r>
      <w:r w:rsidRPr="006A65EB">
        <w:rPr>
          <w:rFonts w:ascii="FrankRuehl" w:hAnsi="FrankRuehl" w:cs="FrankRuehl" w:hint="cs"/>
          <w:sz w:val="28"/>
          <w:szCs w:val="28"/>
          <w:rtl/>
        </w:rPr>
        <w:lastRenderedPageBreak/>
        <w:t>11, ובתה בר, וי</w:t>
      </w:r>
      <w:r w:rsidRPr="006A65EB">
        <w:rPr>
          <w:rFonts w:ascii="FrankRuehl" w:hAnsi="FrankRuehl" w:cs="FrankRuehl"/>
          <w:sz w:val="28"/>
          <w:szCs w:val="28"/>
          <w:rtl/>
        </w:rPr>
        <w:t xml:space="preserve">ש ביניהם קשר חם ואוהב. העדרו של האב </w:t>
      </w:r>
      <w:r w:rsidRPr="006A65EB">
        <w:rPr>
          <w:rFonts w:ascii="FrankRuehl" w:hAnsi="FrankRuehl" w:cs="FrankRuehl" w:hint="cs"/>
          <w:sz w:val="28"/>
          <w:szCs w:val="28"/>
          <w:rtl/>
        </w:rPr>
        <w:t xml:space="preserve">מהבית משמעותית מאוד עבור הבנות, והן מלאות עצב </w:t>
      </w:r>
      <w:r w:rsidRPr="006A65EB">
        <w:rPr>
          <w:rFonts w:ascii="FrankRuehl" w:hAnsi="FrankRuehl" w:cs="FrankRuehl"/>
          <w:sz w:val="28"/>
          <w:szCs w:val="28"/>
          <w:rtl/>
        </w:rPr>
        <w:t xml:space="preserve">מכך שאביהן לא יהיה </w:t>
      </w:r>
      <w:r w:rsidRPr="006A65EB">
        <w:rPr>
          <w:rFonts w:ascii="FrankRuehl" w:hAnsi="FrankRuehl" w:cs="FrankRuehl" w:hint="cs"/>
          <w:sz w:val="28"/>
          <w:szCs w:val="28"/>
          <w:rtl/>
        </w:rPr>
        <w:t xml:space="preserve">נוכח </w:t>
      </w:r>
      <w:r w:rsidRPr="006A65EB">
        <w:rPr>
          <w:rFonts w:ascii="FrankRuehl" w:hAnsi="FrankRuehl" w:cs="FrankRuehl"/>
          <w:sz w:val="28"/>
          <w:szCs w:val="28"/>
          <w:rtl/>
        </w:rPr>
        <w:t>לצדן ברגעי</w:t>
      </w:r>
      <w:r w:rsidRPr="006A65EB">
        <w:rPr>
          <w:rFonts w:ascii="FrankRuehl" w:hAnsi="FrankRuehl" w:cs="FrankRuehl" w:hint="cs"/>
          <w:sz w:val="28"/>
          <w:szCs w:val="28"/>
          <w:rtl/>
        </w:rPr>
        <w:t xml:space="preserve"> השמחה העתידים בחייהן. היא מתקשה בגידולן של הבנות לבדה, </w:t>
      </w:r>
      <w:r w:rsidRPr="006A65EB">
        <w:rPr>
          <w:rFonts w:ascii="FrankRuehl" w:hAnsi="FrankRuehl" w:cs="FrankRuehl"/>
          <w:sz w:val="28"/>
          <w:szCs w:val="28"/>
          <w:rtl/>
        </w:rPr>
        <w:t xml:space="preserve">וביקשה </w:t>
      </w:r>
      <w:r w:rsidRPr="006A65EB">
        <w:rPr>
          <w:rFonts w:ascii="FrankRuehl" w:hAnsi="FrankRuehl" w:cs="FrankRuehl" w:hint="cs"/>
          <w:sz w:val="28"/>
          <w:szCs w:val="28"/>
          <w:rtl/>
        </w:rPr>
        <w:t xml:space="preserve">כי </w:t>
      </w:r>
      <w:r w:rsidRPr="006A65EB">
        <w:rPr>
          <w:rFonts w:ascii="FrankRuehl" w:hAnsi="FrankRuehl" w:cs="FrankRuehl"/>
          <w:sz w:val="28"/>
          <w:szCs w:val="28"/>
          <w:rtl/>
        </w:rPr>
        <w:t>בית המשפט</w:t>
      </w:r>
      <w:r w:rsidRPr="006A65EB">
        <w:rPr>
          <w:rFonts w:ascii="FrankRuehl" w:hAnsi="FrankRuehl" w:cs="FrankRuehl" w:hint="cs"/>
          <w:sz w:val="28"/>
          <w:szCs w:val="28"/>
          <w:rtl/>
        </w:rPr>
        <w:t xml:space="preserve"> יקח בעניין זה בחשבון בעת גזירת עונשו של הנאשם. </w:t>
      </w:r>
    </w:p>
    <w:p w14:paraId="140A7341" w14:textId="77777777" w:rsidR="004D00C9" w:rsidRPr="006A65EB" w:rsidRDefault="004D00C9" w:rsidP="00793251">
      <w:pPr>
        <w:pStyle w:val="a9"/>
        <w:rPr>
          <w:rFonts w:ascii="FrankRuehl" w:hAnsi="FrankRuehl" w:cs="FrankRuehl"/>
          <w:sz w:val="28"/>
          <w:szCs w:val="28"/>
          <w:rtl/>
        </w:rPr>
      </w:pPr>
    </w:p>
    <w:p w14:paraId="6FF42F18"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hint="cs"/>
          <w:sz w:val="28"/>
          <w:szCs w:val="28"/>
          <w:rtl/>
        </w:rPr>
        <w:t xml:space="preserve">הבת </w:t>
      </w:r>
      <w:r w:rsidRPr="006A65EB">
        <w:rPr>
          <w:rFonts w:ascii="FrankRuehl" w:hAnsi="FrankRuehl" w:cs="FrankRuehl"/>
          <w:sz w:val="28"/>
          <w:szCs w:val="28"/>
          <w:rtl/>
        </w:rPr>
        <w:t>בר העידה כי הנאשם משמש לה כדמות אבהית מגיל קטן, תמיד הרעיף עליה</w:t>
      </w:r>
      <w:r w:rsidRPr="006A65EB">
        <w:rPr>
          <w:rFonts w:ascii="FrankRuehl" w:hAnsi="FrankRuehl" w:cs="FrankRuehl" w:hint="cs"/>
          <w:sz w:val="28"/>
          <w:szCs w:val="28"/>
          <w:rtl/>
        </w:rPr>
        <w:t xml:space="preserve"> ועל אחיותיה</w:t>
      </w:r>
      <w:r w:rsidRPr="006A65EB">
        <w:rPr>
          <w:rFonts w:ascii="FrankRuehl" w:hAnsi="FrankRuehl" w:cs="FrankRuehl"/>
          <w:sz w:val="28"/>
          <w:szCs w:val="28"/>
          <w:rtl/>
        </w:rPr>
        <w:t xml:space="preserve"> חום ואהבה ומעולם לא החסיר ממנה </w:t>
      </w:r>
      <w:r w:rsidRPr="006A65EB">
        <w:rPr>
          <w:rFonts w:ascii="FrankRuehl" w:hAnsi="FrankRuehl" w:cs="FrankRuehl" w:hint="cs"/>
          <w:sz w:val="28"/>
          <w:szCs w:val="28"/>
          <w:rtl/>
        </w:rPr>
        <w:t>דבר</w:t>
      </w:r>
      <w:r w:rsidRPr="006A65EB">
        <w:rPr>
          <w:rFonts w:ascii="FrankRuehl" w:hAnsi="FrankRuehl" w:cs="FrankRuehl"/>
          <w:sz w:val="28"/>
          <w:szCs w:val="28"/>
          <w:rtl/>
        </w:rPr>
        <w:t xml:space="preserve">. היא תיארה את הקושי שלה ושל אחיותיה </w:t>
      </w:r>
      <w:r w:rsidRPr="006A65EB">
        <w:rPr>
          <w:rFonts w:ascii="FrankRuehl" w:hAnsi="FrankRuehl" w:cs="FrankRuehl" w:hint="cs"/>
          <w:sz w:val="28"/>
          <w:szCs w:val="28"/>
          <w:rtl/>
        </w:rPr>
        <w:t xml:space="preserve">בהעדרו של האב, תחושת החוסר של </w:t>
      </w:r>
      <w:r w:rsidRPr="006A65EB">
        <w:rPr>
          <w:rFonts w:ascii="FrankRuehl" w:hAnsi="FrankRuehl" w:cs="FrankRuehl"/>
          <w:sz w:val="28"/>
          <w:szCs w:val="28"/>
          <w:rtl/>
        </w:rPr>
        <w:t xml:space="preserve">דמות אבהית שתחנך אותן ותלמד אותן את הדרך הנכונה. </w:t>
      </w:r>
    </w:p>
    <w:p w14:paraId="05BFAB8D" w14:textId="77777777" w:rsidR="004D00C9" w:rsidRPr="006A65EB" w:rsidRDefault="004D00C9" w:rsidP="006A65EB">
      <w:pPr>
        <w:spacing w:line="360" w:lineRule="auto"/>
        <w:jc w:val="both"/>
        <w:rPr>
          <w:rFonts w:ascii="FrankRuehl" w:hAnsi="FrankRuehl" w:cs="FrankRuehl"/>
          <w:sz w:val="28"/>
          <w:szCs w:val="28"/>
          <w:rtl/>
        </w:rPr>
      </w:pPr>
    </w:p>
    <w:p w14:paraId="2524EF34" w14:textId="77777777" w:rsidR="004D00C9" w:rsidRPr="006A65EB" w:rsidRDefault="004D00C9" w:rsidP="006A65EB">
      <w:pPr>
        <w:spacing w:line="360" w:lineRule="auto"/>
        <w:jc w:val="both"/>
        <w:rPr>
          <w:rFonts w:ascii="FrankRuehl" w:hAnsi="FrankRuehl" w:cs="FrankRuehl"/>
          <w:b/>
          <w:bCs/>
          <w:sz w:val="28"/>
          <w:szCs w:val="28"/>
          <w:rtl/>
        </w:rPr>
      </w:pPr>
    </w:p>
    <w:p w14:paraId="14F97376" w14:textId="77777777" w:rsidR="004D00C9" w:rsidRPr="006A65EB" w:rsidRDefault="004D00C9" w:rsidP="006A65EB">
      <w:pPr>
        <w:spacing w:line="360" w:lineRule="auto"/>
        <w:jc w:val="both"/>
        <w:rPr>
          <w:rFonts w:ascii="FrankRuehl" w:hAnsi="FrankRuehl" w:cs="FrankRuehl"/>
          <w:b/>
          <w:bCs/>
          <w:sz w:val="28"/>
          <w:szCs w:val="28"/>
          <w:u w:val="single"/>
          <w:rtl/>
        </w:rPr>
      </w:pPr>
      <w:r w:rsidRPr="006A65EB">
        <w:rPr>
          <w:rFonts w:ascii="FrankRuehl" w:hAnsi="FrankRuehl" w:cs="FrankRuehl" w:hint="cs"/>
          <w:b/>
          <w:bCs/>
          <w:sz w:val="28"/>
          <w:szCs w:val="28"/>
          <w:rtl/>
        </w:rPr>
        <w:t xml:space="preserve">              </w:t>
      </w:r>
      <w:r w:rsidRPr="006A65EB">
        <w:rPr>
          <w:rFonts w:ascii="FrankRuehl" w:hAnsi="FrankRuehl" w:cs="FrankRuehl"/>
          <w:b/>
          <w:bCs/>
          <w:sz w:val="28"/>
          <w:szCs w:val="28"/>
          <w:u w:val="single"/>
          <w:rtl/>
        </w:rPr>
        <w:t>טיעוני</w:t>
      </w:r>
      <w:r w:rsidRPr="006A65EB">
        <w:rPr>
          <w:rFonts w:ascii="FrankRuehl" w:hAnsi="FrankRuehl" w:cs="FrankRuehl" w:hint="cs"/>
          <w:b/>
          <w:bCs/>
          <w:sz w:val="28"/>
          <w:szCs w:val="28"/>
          <w:u w:val="single"/>
          <w:rtl/>
        </w:rPr>
        <w:t xml:space="preserve"> ב"כ הצדדים</w:t>
      </w:r>
      <w:r w:rsidRPr="006A65EB">
        <w:rPr>
          <w:rFonts w:ascii="FrankRuehl" w:hAnsi="FrankRuehl" w:cs="FrankRuehl"/>
          <w:b/>
          <w:bCs/>
          <w:sz w:val="28"/>
          <w:szCs w:val="28"/>
          <w:u w:val="single"/>
          <w:rtl/>
        </w:rPr>
        <w:t xml:space="preserve"> לעונש</w:t>
      </w:r>
    </w:p>
    <w:p w14:paraId="40CF39FA"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בטיעוניה לעונש עמדה ב"כ המאשימה על הערכים המוגנים בהם פגע הנאשם, והחומרה הנעוצה בנסיבות ביצוע העבירות המיוחסות לנאשם. </w:t>
      </w:r>
      <w:r w:rsidRPr="006A65EB">
        <w:rPr>
          <w:rFonts w:ascii="FrankRuehl" w:hAnsi="FrankRuehl" w:cs="FrankRuehl" w:hint="cs"/>
          <w:sz w:val="28"/>
          <w:szCs w:val="28"/>
          <w:rtl/>
        </w:rPr>
        <w:t xml:space="preserve">היא הדגישה כי </w:t>
      </w:r>
      <w:r w:rsidRPr="006A65EB">
        <w:rPr>
          <w:rFonts w:ascii="FrankRuehl" w:hAnsi="FrankRuehl" w:cs="FrankRuehl"/>
          <w:sz w:val="28"/>
          <w:szCs w:val="28"/>
          <w:rtl/>
        </w:rPr>
        <w:t xml:space="preserve">הנאשם לא הסתפק באיומים בעל פה אלא ביטא אותם בהנחת מטען בעל פוטנציאל פגיעה רב על פתח ביתה של אחותו. </w:t>
      </w:r>
      <w:r w:rsidRPr="006A65EB">
        <w:rPr>
          <w:rFonts w:ascii="FrankRuehl" w:hAnsi="FrankRuehl" w:cs="FrankRuehl" w:hint="cs"/>
          <w:sz w:val="28"/>
          <w:szCs w:val="28"/>
          <w:rtl/>
        </w:rPr>
        <w:t xml:space="preserve">היא הפנתה לפסיקה המלמדת </w:t>
      </w:r>
      <w:r w:rsidRPr="006A65EB">
        <w:rPr>
          <w:rFonts w:ascii="FrankRuehl" w:hAnsi="FrankRuehl" w:cs="FrankRuehl"/>
          <w:sz w:val="28"/>
          <w:szCs w:val="28"/>
          <w:rtl/>
        </w:rPr>
        <w:t>על מתחם ענישה הולם הנע מ</w:t>
      </w:r>
      <w:r w:rsidRPr="006A65EB">
        <w:rPr>
          <w:rFonts w:ascii="FrankRuehl" w:hAnsi="FrankRuehl" w:cs="FrankRuehl" w:hint="cs"/>
          <w:sz w:val="28"/>
          <w:szCs w:val="28"/>
          <w:rtl/>
        </w:rPr>
        <w:t>-</w:t>
      </w:r>
      <w:r w:rsidRPr="006A65EB">
        <w:rPr>
          <w:rFonts w:ascii="FrankRuehl" w:hAnsi="FrankRuehl" w:cs="FrankRuehl"/>
          <w:sz w:val="28"/>
          <w:szCs w:val="28"/>
          <w:rtl/>
        </w:rPr>
        <w:t xml:space="preserve">6 ועד 9 שנות מאסר בפועל. </w:t>
      </w:r>
    </w:p>
    <w:p w14:paraId="68F009EE" w14:textId="77777777" w:rsidR="004D00C9" w:rsidRPr="006A65EB" w:rsidRDefault="004D00C9" w:rsidP="006A65EB">
      <w:pPr>
        <w:pStyle w:val="a9"/>
        <w:spacing w:line="360" w:lineRule="auto"/>
        <w:jc w:val="both"/>
        <w:rPr>
          <w:rFonts w:ascii="FrankRuehl" w:hAnsi="FrankRuehl" w:cs="FrankRuehl"/>
          <w:sz w:val="28"/>
          <w:szCs w:val="28"/>
        </w:rPr>
      </w:pPr>
    </w:p>
    <w:p w14:paraId="5BB9CEB2"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באשר לקביעת עונשו של הנאשם</w:t>
      </w:r>
      <w:r w:rsidRPr="006A65EB">
        <w:rPr>
          <w:rFonts w:ascii="FrankRuehl" w:hAnsi="FrankRuehl" w:cs="FrankRuehl" w:hint="cs"/>
          <w:sz w:val="28"/>
          <w:szCs w:val="28"/>
          <w:rtl/>
        </w:rPr>
        <w:t xml:space="preserve"> </w:t>
      </w:r>
      <w:r w:rsidRPr="006A65EB">
        <w:rPr>
          <w:rFonts w:ascii="FrankRuehl" w:hAnsi="FrankRuehl" w:cs="FrankRuehl"/>
          <w:sz w:val="28"/>
          <w:szCs w:val="28"/>
          <w:rtl/>
        </w:rPr>
        <w:t xml:space="preserve">טענה ב"כ המאשימה כי לא רק שאין מקום להקל עם נאשם בעל עבר פלילי מכביד שנמנע מנטילת אחריות על מעשיו, אלא אף יש מקום לחרוג מן המתחם לחומרה. בנימוקיה </w:t>
      </w:r>
      <w:r w:rsidRPr="006A65EB">
        <w:rPr>
          <w:rFonts w:ascii="FrankRuehl" w:hAnsi="FrankRuehl" w:cs="FrankRuehl" w:hint="cs"/>
          <w:sz w:val="28"/>
          <w:szCs w:val="28"/>
          <w:rtl/>
        </w:rPr>
        <w:t xml:space="preserve">לעניין זה היא </w:t>
      </w:r>
      <w:r w:rsidRPr="006A65EB">
        <w:rPr>
          <w:rFonts w:ascii="FrankRuehl" w:hAnsi="FrankRuehl" w:cs="FrankRuehl"/>
          <w:sz w:val="28"/>
          <w:szCs w:val="28"/>
          <w:rtl/>
        </w:rPr>
        <w:t xml:space="preserve">ציטטה מתוך </w:t>
      </w:r>
      <w:r w:rsidRPr="006A65EB">
        <w:rPr>
          <w:rFonts w:ascii="FrankRuehl" w:hAnsi="FrankRuehl" w:cs="FrankRuehl" w:hint="cs"/>
          <w:sz w:val="28"/>
          <w:szCs w:val="28"/>
          <w:rtl/>
        </w:rPr>
        <w:t xml:space="preserve">גזרי </w:t>
      </w:r>
      <w:r w:rsidRPr="006A65EB">
        <w:rPr>
          <w:rFonts w:ascii="FrankRuehl" w:hAnsi="FrankRuehl" w:cs="FrankRuehl"/>
          <w:sz w:val="28"/>
          <w:szCs w:val="28"/>
          <w:rtl/>
        </w:rPr>
        <w:t>דין קודמים ש</w:t>
      </w:r>
      <w:r w:rsidRPr="006A65EB">
        <w:rPr>
          <w:rFonts w:ascii="FrankRuehl" w:hAnsi="FrankRuehl" w:cs="FrankRuehl" w:hint="cs"/>
          <w:sz w:val="28"/>
          <w:szCs w:val="28"/>
          <w:rtl/>
        </w:rPr>
        <w:t xml:space="preserve">ניתנו בעניינו של </w:t>
      </w:r>
      <w:r w:rsidRPr="006A65EB">
        <w:rPr>
          <w:rFonts w:ascii="FrankRuehl" w:hAnsi="FrankRuehl" w:cs="FrankRuehl"/>
          <w:sz w:val="28"/>
          <w:szCs w:val="28"/>
          <w:rtl/>
        </w:rPr>
        <w:t>הנאשם</w:t>
      </w:r>
      <w:r w:rsidRPr="006A65EB">
        <w:rPr>
          <w:rFonts w:ascii="FrankRuehl" w:hAnsi="FrankRuehl" w:cs="FrankRuehl" w:hint="cs"/>
          <w:sz w:val="28"/>
          <w:szCs w:val="28"/>
          <w:rtl/>
        </w:rPr>
        <w:t>,</w:t>
      </w:r>
      <w:r w:rsidRPr="006A65EB">
        <w:rPr>
          <w:rFonts w:ascii="FrankRuehl" w:hAnsi="FrankRuehl" w:cs="FrankRuehl"/>
          <w:sz w:val="28"/>
          <w:szCs w:val="28"/>
          <w:rtl/>
        </w:rPr>
        <w:t xml:space="preserve"> בהם </w:t>
      </w:r>
      <w:r w:rsidRPr="006A65EB">
        <w:rPr>
          <w:rFonts w:ascii="FrankRuehl" w:hAnsi="FrankRuehl" w:cs="FrankRuehl" w:hint="cs"/>
          <w:sz w:val="28"/>
          <w:szCs w:val="28"/>
          <w:rtl/>
        </w:rPr>
        <w:t>עמדו בתי המשפט על ה</w:t>
      </w:r>
      <w:r w:rsidRPr="006A65EB">
        <w:rPr>
          <w:rFonts w:ascii="FrankRuehl" w:hAnsi="FrankRuehl" w:cs="FrankRuehl"/>
          <w:sz w:val="28"/>
          <w:szCs w:val="28"/>
          <w:rtl/>
        </w:rPr>
        <w:t xml:space="preserve">עדר מורא החוק של הנאשם ומסוכנותו לסביבה, </w:t>
      </w:r>
      <w:r w:rsidRPr="006A65EB">
        <w:rPr>
          <w:rFonts w:ascii="FrankRuehl" w:hAnsi="FrankRuehl" w:cs="FrankRuehl" w:hint="cs"/>
          <w:sz w:val="28"/>
          <w:szCs w:val="28"/>
          <w:rtl/>
        </w:rPr>
        <w:t xml:space="preserve">המלמדים </w:t>
      </w:r>
      <w:r w:rsidRPr="006A65EB">
        <w:rPr>
          <w:rFonts w:ascii="FrankRuehl" w:hAnsi="FrankRuehl" w:cs="FrankRuehl"/>
          <w:sz w:val="28"/>
          <w:szCs w:val="28"/>
          <w:rtl/>
        </w:rPr>
        <w:t xml:space="preserve">על הצורך בהגנה על הציבור מפניו. </w:t>
      </w:r>
      <w:r w:rsidRPr="006A65EB">
        <w:rPr>
          <w:rFonts w:ascii="FrankRuehl" w:hAnsi="FrankRuehl" w:cs="FrankRuehl" w:hint="cs"/>
          <w:sz w:val="28"/>
          <w:szCs w:val="28"/>
          <w:rtl/>
        </w:rPr>
        <w:t>היא ציינה כי מ</w:t>
      </w:r>
      <w:r w:rsidRPr="006A65EB">
        <w:rPr>
          <w:rFonts w:ascii="FrankRuehl" w:hAnsi="FrankRuehl" w:cs="FrankRuehl"/>
          <w:sz w:val="28"/>
          <w:szCs w:val="28"/>
          <w:rtl/>
        </w:rPr>
        <w:t>עשיו של הנאשם, על רקע חוב נטען של שנים רבות, הוכיחו כי לנאשם זיכרון ארוך טווח ויצר נקמה</w:t>
      </w:r>
      <w:r w:rsidRPr="006A65EB">
        <w:rPr>
          <w:rFonts w:ascii="FrankRuehl" w:hAnsi="FrankRuehl" w:cs="FrankRuehl" w:hint="cs"/>
          <w:sz w:val="28"/>
          <w:szCs w:val="28"/>
          <w:rtl/>
        </w:rPr>
        <w:t>,</w:t>
      </w:r>
      <w:r w:rsidRPr="006A65EB">
        <w:rPr>
          <w:rFonts w:ascii="FrankRuehl" w:hAnsi="FrankRuehl" w:cs="FrankRuehl"/>
          <w:sz w:val="28"/>
          <w:szCs w:val="28"/>
          <w:rtl/>
        </w:rPr>
        <w:t xml:space="preserve"> המצדיקים את הרחקתו מהציבור לאורך זמן ממושך. </w:t>
      </w:r>
      <w:r w:rsidRPr="006A65EB">
        <w:rPr>
          <w:rFonts w:ascii="FrankRuehl" w:hAnsi="FrankRuehl" w:cs="FrankRuehl" w:hint="cs"/>
          <w:sz w:val="28"/>
          <w:szCs w:val="28"/>
          <w:rtl/>
        </w:rPr>
        <w:t xml:space="preserve">בשל כך </w:t>
      </w:r>
      <w:r w:rsidRPr="006A65EB">
        <w:rPr>
          <w:rFonts w:ascii="FrankRuehl" w:hAnsi="FrankRuehl" w:cs="FrankRuehl"/>
          <w:sz w:val="28"/>
          <w:szCs w:val="28"/>
          <w:rtl/>
        </w:rPr>
        <w:t xml:space="preserve">עתרה </w:t>
      </w:r>
      <w:r w:rsidRPr="006A65EB">
        <w:rPr>
          <w:rFonts w:ascii="FrankRuehl" w:hAnsi="FrankRuehl" w:cs="FrankRuehl" w:hint="cs"/>
          <w:sz w:val="28"/>
          <w:szCs w:val="28"/>
          <w:rtl/>
        </w:rPr>
        <w:t xml:space="preserve">ב"כ </w:t>
      </w:r>
      <w:r w:rsidRPr="006A65EB">
        <w:rPr>
          <w:rFonts w:ascii="FrankRuehl" w:hAnsi="FrankRuehl" w:cs="FrankRuehl"/>
          <w:sz w:val="28"/>
          <w:szCs w:val="28"/>
          <w:rtl/>
        </w:rPr>
        <w:t xml:space="preserve">המאשימה לגזור </w:t>
      </w:r>
      <w:r w:rsidRPr="006A65EB">
        <w:rPr>
          <w:rFonts w:ascii="FrankRuehl" w:hAnsi="FrankRuehl" w:cs="FrankRuehl" w:hint="cs"/>
          <w:sz w:val="28"/>
          <w:szCs w:val="28"/>
          <w:rtl/>
        </w:rPr>
        <w:t xml:space="preserve">על הנאשם </w:t>
      </w:r>
      <w:r w:rsidRPr="006A65EB">
        <w:rPr>
          <w:rFonts w:ascii="FrankRuehl" w:hAnsi="FrankRuehl" w:cs="FrankRuehl"/>
          <w:sz w:val="28"/>
          <w:szCs w:val="28"/>
          <w:rtl/>
        </w:rPr>
        <w:t xml:space="preserve">10 שנות מאסר </w:t>
      </w:r>
      <w:r w:rsidRPr="006A65EB">
        <w:rPr>
          <w:rFonts w:ascii="FrankRuehl" w:hAnsi="FrankRuehl" w:cs="FrankRuehl" w:hint="cs"/>
          <w:sz w:val="28"/>
          <w:szCs w:val="28"/>
          <w:rtl/>
        </w:rPr>
        <w:t xml:space="preserve">בפועל שירוצו במצטבר לעונשו הנוכחי של הנאשם, </w:t>
      </w:r>
      <w:r w:rsidRPr="006A65EB">
        <w:rPr>
          <w:rFonts w:ascii="FrankRuehl" w:hAnsi="FrankRuehl" w:cs="FrankRuehl"/>
          <w:sz w:val="28"/>
          <w:szCs w:val="28"/>
          <w:rtl/>
        </w:rPr>
        <w:t>לצד ענישה נלווית צופה פני עתיד</w:t>
      </w:r>
      <w:r w:rsidRPr="006A65EB">
        <w:rPr>
          <w:rFonts w:ascii="FrankRuehl" w:hAnsi="FrankRuehl" w:cs="FrankRuehl" w:hint="cs"/>
          <w:sz w:val="28"/>
          <w:szCs w:val="28"/>
          <w:rtl/>
        </w:rPr>
        <w:t>. כן עתרה ל</w:t>
      </w:r>
      <w:r w:rsidRPr="006A65EB">
        <w:rPr>
          <w:rFonts w:ascii="FrankRuehl" w:hAnsi="FrankRuehl" w:cs="FrankRuehl"/>
          <w:sz w:val="28"/>
          <w:szCs w:val="28"/>
          <w:rtl/>
        </w:rPr>
        <w:t>חילוט הרכב ששימש את הנאשם</w:t>
      </w:r>
      <w:r w:rsidRPr="006A65EB">
        <w:rPr>
          <w:rFonts w:ascii="FrankRuehl" w:hAnsi="FrankRuehl" w:cs="FrankRuehl" w:hint="cs"/>
          <w:sz w:val="28"/>
          <w:szCs w:val="28"/>
          <w:rtl/>
        </w:rPr>
        <w:t xml:space="preserve"> בביצוע העבירות</w:t>
      </w:r>
      <w:r w:rsidRPr="006A65EB">
        <w:rPr>
          <w:rFonts w:ascii="FrankRuehl" w:hAnsi="FrankRuehl" w:cs="FrankRuehl"/>
          <w:sz w:val="28"/>
          <w:szCs w:val="28"/>
          <w:rtl/>
        </w:rPr>
        <w:t xml:space="preserve">.  </w:t>
      </w:r>
    </w:p>
    <w:p w14:paraId="023B5756" w14:textId="77777777" w:rsidR="004D00C9" w:rsidRPr="006A65EB" w:rsidRDefault="004D00C9" w:rsidP="006A65EB">
      <w:pPr>
        <w:pStyle w:val="a9"/>
        <w:spacing w:line="360" w:lineRule="auto"/>
        <w:jc w:val="both"/>
        <w:rPr>
          <w:rFonts w:ascii="FrankRuehl" w:hAnsi="FrankRuehl" w:cs="FrankRuehl"/>
          <w:sz w:val="28"/>
          <w:szCs w:val="28"/>
          <w:rtl/>
        </w:rPr>
      </w:pPr>
    </w:p>
    <w:p w14:paraId="39923B76"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מנגד, טע</w:t>
      </w:r>
      <w:r w:rsidRPr="006A65EB">
        <w:rPr>
          <w:rFonts w:ascii="FrankRuehl" w:hAnsi="FrankRuehl" w:cs="FrankRuehl" w:hint="cs"/>
          <w:sz w:val="28"/>
          <w:szCs w:val="28"/>
          <w:rtl/>
        </w:rPr>
        <w:t>נו</w:t>
      </w:r>
      <w:r w:rsidRPr="006A65EB">
        <w:rPr>
          <w:rFonts w:ascii="FrankRuehl" w:hAnsi="FrankRuehl" w:cs="FrankRuehl"/>
          <w:sz w:val="28"/>
          <w:szCs w:val="28"/>
          <w:rtl/>
        </w:rPr>
        <w:t xml:space="preserve"> ב"כ הנאשמים כי </w:t>
      </w:r>
      <w:r w:rsidRPr="006A65EB">
        <w:rPr>
          <w:rFonts w:ascii="FrankRuehl" w:hAnsi="FrankRuehl" w:cs="FrankRuehl" w:hint="cs"/>
          <w:sz w:val="28"/>
          <w:szCs w:val="28"/>
          <w:rtl/>
        </w:rPr>
        <w:t>נסיבות ביצוע ה</w:t>
      </w:r>
      <w:r w:rsidRPr="006A65EB">
        <w:rPr>
          <w:rFonts w:ascii="FrankRuehl" w:hAnsi="FrankRuehl" w:cs="FrankRuehl"/>
          <w:sz w:val="28"/>
          <w:szCs w:val="28"/>
          <w:rtl/>
        </w:rPr>
        <w:t xml:space="preserve">עבירות </w:t>
      </w:r>
      <w:r w:rsidRPr="006A65EB">
        <w:rPr>
          <w:rFonts w:ascii="FrankRuehl" w:hAnsi="FrankRuehl" w:cs="FrankRuehl" w:hint="cs"/>
          <w:sz w:val="28"/>
          <w:szCs w:val="28"/>
          <w:rtl/>
        </w:rPr>
        <w:t>בהן הורשע ה</w:t>
      </w:r>
      <w:r w:rsidRPr="006A65EB">
        <w:rPr>
          <w:rFonts w:ascii="FrankRuehl" w:hAnsi="FrankRuehl" w:cs="FrankRuehl"/>
          <w:sz w:val="28"/>
          <w:szCs w:val="28"/>
          <w:rtl/>
        </w:rPr>
        <w:t xml:space="preserve">נאשם אינן נמצאות ברף </w:t>
      </w:r>
      <w:r w:rsidRPr="006A65EB">
        <w:rPr>
          <w:rFonts w:ascii="FrankRuehl" w:hAnsi="FrankRuehl" w:cs="FrankRuehl" w:hint="cs"/>
          <w:sz w:val="28"/>
          <w:szCs w:val="28"/>
          <w:rtl/>
        </w:rPr>
        <w:t xml:space="preserve">החומרה </w:t>
      </w:r>
      <w:r w:rsidRPr="006A65EB">
        <w:rPr>
          <w:rFonts w:ascii="FrankRuehl" w:hAnsi="FrankRuehl" w:cs="FrankRuehl"/>
          <w:sz w:val="28"/>
          <w:szCs w:val="28"/>
          <w:rtl/>
        </w:rPr>
        <w:t>העליון</w:t>
      </w:r>
      <w:r w:rsidRPr="006A65EB">
        <w:rPr>
          <w:rFonts w:ascii="FrankRuehl" w:hAnsi="FrankRuehl" w:cs="FrankRuehl" w:hint="cs"/>
          <w:sz w:val="28"/>
          <w:szCs w:val="28"/>
          <w:rtl/>
        </w:rPr>
        <w:t xml:space="preserve"> של עבירות מסוג זה</w:t>
      </w:r>
      <w:r w:rsidRPr="006A65EB">
        <w:rPr>
          <w:rFonts w:ascii="FrankRuehl" w:hAnsi="FrankRuehl" w:cs="FrankRuehl"/>
          <w:sz w:val="28"/>
          <w:szCs w:val="28"/>
          <w:rtl/>
        </w:rPr>
        <w:t>. באשר לעבירות הנשק</w:t>
      </w:r>
      <w:r w:rsidRPr="006A65EB">
        <w:rPr>
          <w:rFonts w:ascii="FrankRuehl" w:hAnsi="FrankRuehl" w:cs="FrankRuehl" w:hint="cs"/>
          <w:sz w:val="28"/>
          <w:szCs w:val="28"/>
          <w:rtl/>
        </w:rPr>
        <w:t xml:space="preserve"> נטען כי</w:t>
      </w:r>
      <w:r w:rsidRPr="006A65EB">
        <w:rPr>
          <w:rFonts w:ascii="FrankRuehl" w:hAnsi="FrankRuehl" w:cs="FrankRuehl"/>
          <w:sz w:val="28"/>
          <w:szCs w:val="28"/>
          <w:rtl/>
        </w:rPr>
        <w:t xml:space="preserve"> המטען שהניח הנאשם יכול </w:t>
      </w:r>
      <w:r w:rsidRPr="006A65EB">
        <w:rPr>
          <w:rFonts w:ascii="FrankRuehl" w:hAnsi="FrankRuehl" w:cs="FrankRuehl" w:hint="cs"/>
          <w:sz w:val="28"/>
          <w:szCs w:val="28"/>
          <w:rtl/>
        </w:rPr>
        <w:t xml:space="preserve">היה אמנם </w:t>
      </w:r>
      <w:r w:rsidRPr="006A65EB">
        <w:rPr>
          <w:rFonts w:ascii="FrankRuehl" w:hAnsi="FrankRuehl" w:cs="FrankRuehl"/>
          <w:sz w:val="28"/>
          <w:szCs w:val="28"/>
          <w:rtl/>
        </w:rPr>
        <w:t xml:space="preserve">לגרום נזק לאדם אך </w:t>
      </w:r>
      <w:r w:rsidRPr="006A65EB">
        <w:rPr>
          <w:rFonts w:ascii="FrankRuehl" w:hAnsi="FrankRuehl" w:cs="FrankRuehl" w:hint="cs"/>
          <w:sz w:val="28"/>
          <w:szCs w:val="28"/>
          <w:rtl/>
        </w:rPr>
        <w:t xml:space="preserve">לא היה בכוחו </w:t>
      </w:r>
      <w:r w:rsidRPr="006A65EB">
        <w:rPr>
          <w:rFonts w:ascii="FrankRuehl" w:hAnsi="FrankRuehl" w:cs="FrankRuehl"/>
          <w:sz w:val="28"/>
          <w:szCs w:val="28"/>
          <w:rtl/>
        </w:rPr>
        <w:t>להמית</w:t>
      </w:r>
      <w:r w:rsidRPr="006A65EB">
        <w:rPr>
          <w:rFonts w:ascii="FrankRuehl" w:hAnsi="FrankRuehl" w:cs="FrankRuehl" w:hint="cs"/>
          <w:sz w:val="28"/>
          <w:szCs w:val="28"/>
          <w:rtl/>
        </w:rPr>
        <w:t>.</w:t>
      </w:r>
      <w:r w:rsidRPr="006A65EB">
        <w:rPr>
          <w:rFonts w:ascii="FrankRuehl" w:hAnsi="FrankRuehl" w:cs="FrankRuehl"/>
          <w:sz w:val="28"/>
          <w:szCs w:val="28"/>
          <w:rtl/>
        </w:rPr>
        <w:t xml:space="preserve"> המטען </w:t>
      </w:r>
      <w:r w:rsidRPr="006A65EB">
        <w:rPr>
          <w:rFonts w:ascii="FrankRuehl" w:hAnsi="FrankRuehl" w:cs="FrankRuehl" w:hint="cs"/>
          <w:sz w:val="28"/>
          <w:szCs w:val="28"/>
          <w:rtl/>
        </w:rPr>
        <w:t xml:space="preserve">גם </w:t>
      </w:r>
      <w:r w:rsidRPr="006A65EB">
        <w:rPr>
          <w:rFonts w:ascii="FrankRuehl" w:hAnsi="FrankRuehl" w:cs="FrankRuehl"/>
          <w:sz w:val="28"/>
          <w:szCs w:val="28"/>
          <w:rtl/>
        </w:rPr>
        <w:t xml:space="preserve">הונח בשטח פתוח, </w:t>
      </w:r>
      <w:r w:rsidRPr="006A65EB">
        <w:rPr>
          <w:rFonts w:ascii="FrankRuehl" w:hAnsi="FrankRuehl" w:cs="FrankRuehl" w:hint="cs"/>
          <w:sz w:val="28"/>
          <w:szCs w:val="28"/>
          <w:rtl/>
        </w:rPr>
        <w:t>דבר ה</w:t>
      </w:r>
      <w:r w:rsidRPr="006A65EB">
        <w:rPr>
          <w:rFonts w:ascii="FrankRuehl" w:hAnsi="FrankRuehl" w:cs="FrankRuehl"/>
          <w:sz w:val="28"/>
          <w:szCs w:val="28"/>
          <w:rtl/>
        </w:rPr>
        <w:t xml:space="preserve">מפחית את מידת הנזק </w:t>
      </w:r>
      <w:r w:rsidRPr="006A65EB">
        <w:rPr>
          <w:rFonts w:ascii="FrankRuehl" w:hAnsi="FrankRuehl" w:cs="FrankRuehl" w:hint="cs"/>
          <w:sz w:val="28"/>
          <w:szCs w:val="28"/>
          <w:rtl/>
        </w:rPr>
        <w:t xml:space="preserve">שהיה </w:t>
      </w:r>
      <w:r w:rsidRPr="006A65EB">
        <w:rPr>
          <w:rFonts w:ascii="FrankRuehl" w:hAnsi="FrankRuehl" w:cs="FrankRuehl"/>
          <w:sz w:val="28"/>
          <w:szCs w:val="28"/>
          <w:rtl/>
        </w:rPr>
        <w:t>צפוי</w:t>
      </w:r>
      <w:r w:rsidRPr="006A65EB">
        <w:rPr>
          <w:rFonts w:ascii="FrankRuehl" w:hAnsi="FrankRuehl" w:cs="FrankRuehl" w:hint="cs"/>
          <w:sz w:val="28"/>
          <w:szCs w:val="28"/>
          <w:rtl/>
        </w:rPr>
        <w:t xml:space="preserve">. עוד נטען, כי </w:t>
      </w:r>
      <w:r w:rsidRPr="006A65EB">
        <w:rPr>
          <w:rFonts w:ascii="FrankRuehl" w:hAnsi="FrankRuehl" w:cs="FrankRuehl"/>
          <w:sz w:val="28"/>
          <w:szCs w:val="28"/>
          <w:rtl/>
        </w:rPr>
        <w:t>הנאשם הניח את המטען באופן גלוי</w:t>
      </w:r>
      <w:r w:rsidRPr="006A65EB">
        <w:rPr>
          <w:rFonts w:ascii="FrankRuehl" w:hAnsi="FrankRuehl" w:cs="FrankRuehl" w:hint="cs"/>
          <w:sz w:val="28"/>
          <w:szCs w:val="28"/>
          <w:rtl/>
        </w:rPr>
        <w:t>,</w:t>
      </w:r>
      <w:r w:rsidRPr="006A65EB">
        <w:rPr>
          <w:rFonts w:ascii="FrankRuehl" w:hAnsi="FrankRuehl" w:cs="FrankRuehl"/>
          <w:sz w:val="28"/>
          <w:szCs w:val="28"/>
          <w:rtl/>
        </w:rPr>
        <w:t xml:space="preserve"> כאשר חוטים יצא</w:t>
      </w:r>
      <w:r w:rsidRPr="006A65EB">
        <w:rPr>
          <w:rFonts w:ascii="FrankRuehl" w:hAnsi="FrankRuehl" w:cs="FrankRuehl" w:hint="cs"/>
          <w:sz w:val="28"/>
          <w:szCs w:val="28"/>
          <w:rtl/>
        </w:rPr>
        <w:t>ו</w:t>
      </w:r>
      <w:r w:rsidRPr="006A65EB">
        <w:rPr>
          <w:rFonts w:ascii="FrankRuehl" w:hAnsi="FrankRuehl" w:cs="FrankRuehl"/>
          <w:sz w:val="28"/>
          <w:szCs w:val="28"/>
          <w:rtl/>
        </w:rPr>
        <w:t xml:space="preserve"> מהשקית ו</w:t>
      </w:r>
      <w:r w:rsidRPr="006A65EB">
        <w:rPr>
          <w:rFonts w:ascii="FrankRuehl" w:hAnsi="FrankRuehl" w:cs="FrankRuehl" w:hint="cs"/>
          <w:sz w:val="28"/>
          <w:szCs w:val="28"/>
          <w:rtl/>
        </w:rPr>
        <w:t xml:space="preserve">בכך הקל </w:t>
      </w:r>
      <w:r w:rsidRPr="006A65EB">
        <w:rPr>
          <w:rFonts w:ascii="FrankRuehl" w:hAnsi="FrankRuehl" w:cs="FrankRuehl"/>
          <w:sz w:val="28"/>
          <w:szCs w:val="28"/>
          <w:rtl/>
        </w:rPr>
        <w:t>על גילוי המטען. באשר לעבירת הסחיטה באיומים טע</w:t>
      </w:r>
      <w:r w:rsidRPr="006A65EB">
        <w:rPr>
          <w:rFonts w:ascii="FrankRuehl" w:hAnsi="FrankRuehl" w:cs="FrankRuehl" w:hint="cs"/>
          <w:sz w:val="28"/>
          <w:szCs w:val="28"/>
          <w:rtl/>
        </w:rPr>
        <w:t>נו</w:t>
      </w:r>
      <w:r w:rsidRPr="006A65EB">
        <w:rPr>
          <w:rFonts w:ascii="FrankRuehl" w:hAnsi="FrankRuehl" w:cs="FrankRuehl"/>
          <w:sz w:val="28"/>
          <w:szCs w:val="28"/>
          <w:rtl/>
        </w:rPr>
        <w:t xml:space="preserve"> ב"כ הנאשם כי מסריו של הנאשם נשלחו בצורה מרומזת</w:t>
      </w:r>
      <w:r w:rsidRPr="006A65EB">
        <w:rPr>
          <w:rFonts w:ascii="FrankRuehl" w:hAnsi="FrankRuehl" w:cs="FrankRuehl" w:hint="cs"/>
          <w:sz w:val="28"/>
          <w:szCs w:val="28"/>
          <w:rtl/>
        </w:rPr>
        <w:t xml:space="preserve"> ולא מפורשת. כן צוין, כי ה</w:t>
      </w:r>
      <w:r w:rsidRPr="006A65EB">
        <w:rPr>
          <w:rFonts w:ascii="FrankRuehl" w:hAnsi="FrankRuehl" w:cs="FrankRuehl"/>
          <w:sz w:val="28"/>
          <w:szCs w:val="28"/>
          <w:rtl/>
        </w:rPr>
        <w:t>נאשם פעל לבדו</w:t>
      </w:r>
      <w:r w:rsidRPr="006A65EB">
        <w:rPr>
          <w:rFonts w:ascii="FrankRuehl" w:hAnsi="FrankRuehl" w:cs="FrankRuehl" w:hint="cs"/>
          <w:sz w:val="28"/>
          <w:szCs w:val="28"/>
          <w:rtl/>
        </w:rPr>
        <w:t>.</w:t>
      </w:r>
    </w:p>
    <w:p w14:paraId="39FFE0B5" w14:textId="77777777" w:rsidR="004D00C9" w:rsidRPr="006A65EB" w:rsidRDefault="004D00C9" w:rsidP="00793251">
      <w:pPr>
        <w:pStyle w:val="a9"/>
        <w:rPr>
          <w:rFonts w:ascii="FrankRuehl" w:hAnsi="FrankRuehl" w:cs="FrankRuehl"/>
          <w:sz w:val="28"/>
          <w:szCs w:val="28"/>
          <w:rtl/>
        </w:rPr>
      </w:pPr>
    </w:p>
    <w:p w14:paraId="285C4B22"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עוד נטען, כי נוכח </w:t>
      </w:r>
      <w:r w:rsidRPr="006A65EB">
        <w:rPr>
          <w:rFonts w:ascii="FrankRuehl" w:hAnsi="FrankRuehl" w:cs="FrankRuehl"/>
          <w:sz w:val="28"/>
          <w:szCs w:val="28"/>
          <w:rtl/>
        </w:rPr>
        <w:t>נסיבותיו האישיות של הנאשם, בהן הקושי של בנותיו</w:t>
      </w:r>
      <w:r w:rsidRPr="006A65EB">
        <w:rPr>
          <w:rFonts w:ascii="FrankRuehl" w:hAnsi="FrankRuehl" w:cs="FrankRuehl" w:hint="cs"/>
          <w:sz w:val="28"/>
          <w:szCs w:val="28"/>
          <w:rtl/>
        </w:rPr>
        <w:t xml:space="preserve"> לחיות ללא נוכחותו בחייהן</w:t>
      </w:r>
      <w:r w:rsidRPr="006A65EB">
        <w:rPr>
          <w:rFonts w:ascii="FrankRuehl" w:hAnsi="FrankRuehl" w:cs="FrankRuehl"/>
          <w:sz w:val="28"/>
          <w:szCs w:val="28"/>
          <w:rtl/>
        </w:rPr>
        <w:t>, יש להקל עמו</w:t>
      </w:r>
      <w:r w:rsidRPr="006A65EB">
        <w:rPr>
          <w:rFonts w:ascii="FrankRuehl" w:hAnsi="FrankRuehl" w:cs="FrankRuehl" w:hint="cs"/>
          <w:sz w:val="28"/>
          <w:szCs w:val="28"/>
          <w:rtl/>
        </w:rPr>
        <w:t xml:space="preserve">, ובוודאי שאין מקום לחרוג </w:t>
      </w:r>
      <w:r w:rsidRPr="006A65EB">
        <w:rPr>
          <w:rFonts w:ascii="FrankRuehl" w:hAnsi="FrankRuehl" w:cs="FrankRuehl"/>
          <w:sz w:val="28"/>
          <w:szCs w:val="28"/>
          <w:rtl/>
        </w:rPr>
        <w:t>לחומרה ממתחם הענישה</w:t>
      </w:r>
      <w:r w:rsidRPr="006A65EB">
        <w:rPr>
          <w:rFonts w:ascii="FrankRuehl" w:hAnsi="FrankRuehl" w:cs="FrankRuehl" w:hint="cs"/>
          <w:sz w:val="28"/>
          <w:szCs w:val="28"/>
          <w:rtl/>
        </w:rPr>
        <w:t xml:space="preserve">, בפרט מקום בו לא הוצגו ראיות </w:t>
      </w:r>
      <w:r w:rsidRPr="006A65EB">
        <w:rPr>
          <w:rFonts w:ascii="FrankRuehl" w:hAnsi="FrankRuehl" w:cs="FrankRuehl"/>
          <w:sz w:val="28"/>
          <w:szCs w:val="28"/>
          <w:rtl/>
        </w:rPr>
        <w:t xml:space="preserve">ברורות </w:t>
      </w:r>
      <w:r w:rsidRPr="006A65EB">
        <w:rPr>
          <w:rFonts w:ascii="FrankRuehl" w:hAnsi="FrankRuehl" w:cs="FrankRuehl" w:hint="cs"/>
          <w:sz w:val="28"/>
          <w:szCs w:val="28"/>
          <w:rtl/>
        </w:rPr>
        <w:t xml:space="preserve">כי ישנו </w:t>
      </w:r>
      <w:r w:rsidRPr="006A65EB">
        <w:rPr>
          <w:rFonts w:ascii="FrankRuehl" w:hAnsi="FrankRuehl" w:cs="FrankRuehl"/>
          <w:sz w:val="28"/>
          <w:szCs w:val="28"/>
          <w:rtl/>
        </w:rPr>
        <w:t xml:space="preserve">צורך </w:t>
      </w:r>
      <w:r w:rsidRPr="006A65EB">
        <w:rPr>
          <w:rFonts w:ascii="FrankRuehl" w:hAnsi="FrankRuehl" w:cs="FrankRuehl" w:hint="cs"/>
          <w:sz w:val="28"/>
          <w:szCs w:val="28"/>
          <w:rtl/>
        </w:rPr>
        <w:t xml:space="preserve">בכך לשם </w:t>
      </w:r>
      <w:r w:rsidRPr="006A65EB">
        <w:rPr>
          <w:rFonts w:ascii="FrankRuehl" w:hAnsi="FrankRuehl" w:cs="FrankRuehl"/>
          <w:sz w:val="28"/>
          <w:szCs w:val="28"/>
          <w:rtl/>
        </w:rPr>
        <w:t>הגנה על שלום הציבור</w:t>
      </w:r>
      <w:r w:rsidRPr="006A65EB">
        <w:rPr>
          <w:rFonts w:ascii="FrankRuehl" w:hAnsi="FrankRuehl" w:cs="FrankRuehl" w:hint="cs"/>
          <w:sz w:val="28"/>
          <w:szCs w:val="28"/>
          <w:rtl/>
        </w:rPr>
        <w:t xml:space="preserve">. </w:t>
      </w:r>
    </w:p>
    <w:p w14:paraId="77BB26D9" w14:textId="77777777" w:rsidR="004D00C9" w:rsidRPr="006A65EB" w:rsidRDefault="004D00C9" w:rsidP="006A65EB">
      <w:pPr>
        <w:pStyle w:val="a9"/>
        <w:spacing w:line="360" w:lineRule="auto"/>
        <w:jc w:val="both"/>
        <w:rPr>
          <w:rFonts w:ascii="FrankRuehl" w:hAnsi="FrankRuehl" w:cs="FrankRuehl"/>
          <w:sz w:val="28"/>
          <w:szCs w:val="28"/>
          <w:rtl/>
        </w:rPr>
      </w:pPr>
    </w:p>
    <w:p w14:paraId="61CE4851"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גם ב"כ הנאשמים הצטיידו בפסיקה, והם ביקשו ללמד ממנה </w:t>
      </w:r>
      <w:r w:rsidRPr="006A65EB">
        <w:rPr>
          <w:rFonts w:ascii="FrankRuehl" w:hAnsi="FrankRuehl" w:cs="FrankRuehl"/>
          <w:sz w:val="28"/>
          <w:szCs w:val="28"/>
          <w:rtl/>
        </w:rPr>
        <w:t xml:space="preserve">כי מתחם העונש ההולם </w:t>
      </w:r>
      <w:r w:rsidRPr="006A65EB">
        <w:rPr>
          <w:rFonts w:ascii="FrankRuehl" w:hAnsi="FrankRuehl" w:cs="FrankRuehl" w:hint="cs"/>
          <w:sz w:val="28"/>
          <w:szCs w:val="28"/>
          <w:rtl/>
        </w:rPr>
        <w:t>מקרה זה בנסיבותיו נע מ-</w:t>
      </w:r>
      <w:r w:rsidRPr="006A65EB">
        <w:rPr>
          <w:rFonts w:ascii="FrankRuehl" w:hAnsi="FrankRuehl" w:cs="FrankRuehl"/>
          <w:sz w:val="28"/>
          <w:szCs w:val="28"/>
          <w:rtl/>
        </w:rPr>
        <w:t>20 חודשי</w:t>
      </w:r>
      <w:r w:rsidRPr="006A65EB">
        <w:rPr>
          <w:rFonts w:ascii="FrankRuehl" w:hAnsi="FrankRuehl" w:cs="FrankRuehl" w:hint="cs"/>
          <w:sz w:val="28"/>
          <w:szCs w:val="28"/>
          <w:rtl/>
        </w:rPr>
        <w:t xml:space="preserve"> מאסר ועד </w:t>
      </w:r>
      <w:r w:rsidRPr="006A65EB">
        <w:rPr>
          <w:rFonts w:ascii="FrankRuehl" w:hAnsi="FrankRuehl" w:cs="FrankRuehl"/>
          <w:sz w:val="28"/>
          <w:szCs w:val="28"/>
          <w:rtl/>
        </w:rPr>
        <w:t>4 שנ</w:t>
      </w:r>
      <w:r w:rsidRPr="006A65EB">
        <w:rPr>
          <w:rFonts w:ascii="FrankRuehl" w:hAnsi="FrankRuehl" w:cs="FrankRuehl" w:hint="cs"/>
          <w:sz w:val="28"/>
          <w:szCs w:val="28"/>
          <w:rtl/>
        </w:rPr>
        <w:t xml:space="preserve">ות מאסר. לדבריהם, יש לקבוע כי עונש זה ירוצה בחופף לעונש המאסר שהנאשם מרצה עתה, שכן העבירות בעטיין הוא מרצה כיום עונש מאסר מהוות פרשייה אחת עם המעשים בגינם הורשע בהליך זה. </w:t>
      </w:r>
    </w:p>
    <w:p w14:paraId="41B9446F" w14:textId="77777777" w:rsidR="004D00C9" w:rsidRPr="006A65EB" w:rsidRDefault="004D00C9" w:rsidP="00793251">
      <w:pPr>
        <w:pStyle w:val="a9"/>
        <w:rPr>
          <w:rFonts w:ascii="FrankRuehl" w:hAnsi="FrankRuehl" w:cs="FrankRuehl"/>
          <w:sz w:val="28"/>
          <w:szCs w:val="28"/>
          <w:rtl/>
        </w:rPr>
      </w:pPr>
    </w:p>
    <w:p w14:paraId="7B833D92"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הנאשם</w:t>
      </w:r>
      <w:r w:rsidRPr="006A65EB">
        <w:rPr>
          <w:rFonts w:ascii="FrankRuehl" w:hAnsi="FrankRuehl" w:cs="FrankRuehl" w:hint="cs"/>
          <w:sz w:val="28"/>
          <w:szCs w:val="28"/>
          <w:rtl/>
        </w:rPr>
        <w:t xml:space="preserve"> ציין בדבריו כי </w:t>
      </w:r>
      <w:r w:rsidRPr="006A65EB">
        <w:rPr>
          <w:rFonts w:ascii="FrankRuehl" w:hAnsi="FrankRuehl" w:cs="FrankRuehl"/>
          <w:sz w:val="28"/>
          <w:szCs w:val="28"/>
          <w:rtl/>
        </w:rPr>
        <w:t xml:space="preserve">הוא </w:t>
      </w:r>
      <w:r w:rsidRPr="006A65EB">
        <w:rPr>
          <w:rFonts w:ascii="FrankRuehl" w:hAnsi="FrankRuehl" w:cs="FrankRuehl" w:hint="cs"/>
          <w:sz w:val="28"/>
          <w:szCs w:val="28"/>
          <w:rtl/>
        </w:rPr>
        <w:t xml:space="preserve">כיום </w:t>
      </w:r>
      <w:r w:rsidRPr="006A65EB">
        <w:rPr>
          <w:rFonts w:ascii="FrankRuehl" w:hAnsi="FrankRuehl" w:cs="FrankRuehl"/>
          <w:sz w:val="28"/>
          <w:szCs w:val="28"/>
          <w:rtl/>
        </w:rPr>
        <w:t>כבר בן 45</w:t>
      </w:r>
      <w:r w:rsidRPr="006A65EB">
        <w:rPr>
          <w:rFonts w:ascii="FrankRuehl" w:hAnsi="FrankRuehl" w:cs="FrankRuehl" w:hint="cs"/>
          <w:sz w:val="28"/>
          <w:szCs w:val="28"/>
          <w:rtl/>
        </w:rPr>
        <w:t>, מ</w:t>
      </w:r>
      <w:r w:rsidRPr="006A65EB">
        <w:rPr>
          <w:rFonts w:ascii="FrankRuehl" w:hAnsi="FrankRuehl" w:cs="FrankRuehl"/>
          <w:sz w:val="28"/>
          <w:szCs w:val="28"/>
          <w:rtl/>
        </w:rPr>
        <w:t xml:space="preserve">עוניין </w:t>
      </w:r>
      <w:r w:rsidRPr="006A65EB">
        <w:rPr>
          <w:rFonts w:ascii="FrankRuehl" w:hAnsi="FrankRuehl" w:cs="FrankRuehl" w:hint="cs"/>
          <w:sz w:val="28"/>
          <w:szCs w:val="28"/>
          <w:rtl/>
        </w:rPr>
        <w:t>ל</w:t>
      </w:r>
      <w:r w:rsidRPr="006A65EB">
        <w:rPr>
          <w:rFonts w:ascii="FrankRuehl" w:hAnsi="FrankRuehl" w:cs="FrankRuehl"/>
          <w:sz w:val="28"/>
          <w:szCs w:val="28"/>
          <w:rtl/>
        </w:rPr>
        <w:t xml:space="preserve">שקם את חייו ואף יצר קשר עם עובדת סוציאלית לשם </w:t>
      </w:r>
      <w:r w:rsidRPr="006A65EB">
        <w:rPr>
          <w:rFonts w:ascii="FrankRuehl" w:hAnsi="FrankRuehl" w:cs="FrankRuehl" w:hint="cs"/>
          <w:sz w:val="28"/>
          <w:szCs w:val="28"/>
          <w:rtl/>
        </w:rPr>
        <w:t xml:space="preserve">שיתופו בהליך טיפולי.  </w:t>
      </w:r>
    </w:p>
    <w:p w14:paraId="74DE15C7" w14:textId="77777777" w:rsidR="004D00C9" w:rsidRPr="006A65EB" w:rsidRDefault="004D00C9" w:rsidP="006A65EB">
      <w:pPr>
        <w:spacing w:line="360" w:lineRule="auto"/>
        <w:jc w:val="both"/>
        <w:rPr>
          <w:rFonts w:ascii="FrankRuehl" w:hAnsi="FrankRuehl" w:cs="FrankRuehl"/>
          <w:sz w:val="28"/>
          <w:szCs w:val="28"/>
          <w:rtl/>
        </w:rPr>
      </w:pPr>
    </w:p>
    <w:p w14:paraId="06F66A5C" w14:textId="77777777" w:rsidR="004D00C9" w:rsidRPr="006A65EB" w:rsidRDefault="004D00C9" w:rsidP="006A65EB">
      <w:pPr>
        <w:spacing w:line="360" w:lineRule="auto"/>
        <w:jc w:val="both"/>
        <w:rPr>
          <w:rFonts w:ascii="FrankRuehl" w:hAnsi="FrankRuehl" w:cs="FrankRuehl"/>
          <w:b/>
          <w:bCs/>
          <w:sz w:val="28"/>
          <w:szCs w:val="28"/>
          <w:u w:val="single"/>
          <w:rtl/>
        </w:rPr>
      </w:pPr>
      <w:r w:rsidRPr="006A65EB">
        <w:rPr>
          <w:rFonts w:ascii="FrankRuehl" w:hAnsi="FrankRuehl" w:cs="FrankRuehl" w:hint="cs"/>
          <w:b/>
          <w:bCs/>
          <w:sz w:val="28"/>
          <w:szCs w:val="28"/>
          <w:rtl/>
        </w:rPr>
        <w:t xml:space="preserve">            </w:t>
      </w:r>
      <w:r w:rsidRPr="006A65EB">
        <w:rPr>
          <w:rFonts w:ascii="FrankRuehl" w:hAnsi="FrankRuehl" w:cs="FrankRuehl"/>
          <w:b/>
          <w:bCs/>
          <w:sz w:val="28"/>
          <w:szCs w:val="28"/>
          <w:u w:val="single"/>
          <w:rtl/>
        </w:rPr>
        <w:t>דיון והכרעה</w:t>
      </w:r>
    </w:p>
    <w:p w14:paraId="365AF0AA"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הערכים המוגנים בעבירת הסחיטה באיומים הם שמירה על שלום הציבור, בטחונו ושגרת חייו. חירות הפרט, הזכות לאוטונומיה וחופש הבחירה. עבירה זו פוגעת בשלוות חייו של הנאשם ומרקם חייו האישי והכלכלי (ראו: </w:t>
      </w:r>
      <w:hyperlink r:id="rId20" w:history="1">
        <w:r w:rsidRPr="00BC1A4E">
          <w:rPr>
            <w:rFonts w:ascii="FrankRuehl" w:hAnsi="FrankRuehl" w:cs="FrankRuehl"/>
            <w:color w:val="0000FF"/>
            <w:sz w:val="28"/>
            <w:szCs w:val="28"/>
            <w:u w:val="single"/>
            <w:rtl/>
          </w:rPr>
          <w:t>ע"פ 5769/14</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אלרואי נ' מדינת ישראל</w:t>
      </w:r>
      <w:r w:rsidRPr="006A65EB">
        <w:rPr>
          <w:rFonts w:ascii="FrankRuehl" w:hAnsi="FrankRuehl" w:cs="FrankRuehl"/>
          <w:sz w:val="28"/>
          <w:szCs w:val="28"/>
          <w:rtl/>
        </w:rPr>
        <w:t xml:space="preserve"> (20.09.15)‏‏; </w:t>
      </w:r>
      <w:hyperlink r:id="rId21" w:history="1">
        <w:r w:rsidRPr="00BC1A4E">
          <w:rPr>
            <w:rFonts w:ascii="FrankRuehl" w:hAnsi="FrankRuehl" w:cs="FrankRuehl"/>
            <w:color w:val="0000FF"/>
            <w:sz w:val="28"/>
            <w:szCs w:val="28"/>
            <w:u w:val="single"/>
            <w:rtl/>
          </w:rPr>
          <w:t>ת"פ (מחוזי מרכז) 63694-03-17</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אבו נאג'י</w:t>
      </w:r>
      <w:r w:rsidRPr="006A65EB">
        <w:rPr>
          <w:rFonts w:ascii="FrankRuehl" w:hAnsi="FrankRuehl" w:cs="FrankRuehl"/>
          <w:sz w:val="28"/>
          <w:szCs w:val="28"/>
          <w:rtl/>
        </w:rPr>
        <w:t xml:space="preserve"> (17.12.19)). </w:t>
      </w:r>
      <w:r w:rsidRPr="006A65EB">
        <w:rPr>
          <w:rFonts w:ascii="FrankRuehl" w:hAnsi="FrankRuehl" w:cs="FrankRuehl"/>
          <w:sz w:val="28"/>
          <w:szCs w:val="28"/>
        </w:rPr>
        <w:t>"</w:t>
      </w:r>
      <w:r w:rsidRPr="006A65EB">
        <w:rPr>
          <w:rFonts w:ascii="FrankRuehl" w:hAnsi="FrankRuehl" w:cs="FrankRuehl"/>
          <w:sz w:val="28"/>
          <w:szCs w:val="28"/>
          <w:shd w:val="clear" w:color="auto" w:fill="FFFFFF"/>
          <w:rtl/>
        </w:rPr>
        <w:t>עבירה של סחיטה באיומים פוגעת באושיות סדרי החברה. ניצול חולשתו של אדם באיומים על ביטחונו ושלומו, והטלת אימה כדי להשיג דבר מהקורבן, מחייבת תגובה עונשית קשה" (</w:t>
      </w:r>
      <w:hyperlink r:id="rId22" w:history="1">
        <w:r w:rsidRPr="00BC1A4E">
          <w:rPr>
            <w:rFonts w:ascii="FrankRuehl" w:hAnsi="FrankRuehl" w:cs="FrankRuehl"/>
            <w:color w:val="0000FF"/>
            <w:sz w:val="28"/>
            <w:szCs w:val="28"/>
            <w:u w:val="single"/>
            <w:shd w:val="clear" w:color="auto" w:fill="FFFFFF"/>
            <w:rtl/>
          </w:rPr>
          <w:t>ע"פ 602/02</w:t>
        </w:r>
      </w:hyperlink>
      <w:r w:rsidRPr="006A65EB">
        <w:rPr>
          <w:rFonts w:ascii="FrankRuehl" w:hAnsi="FrankRuehl" w:cs="FrankRuehl"/>
          <w:sz w:val="28"/>
          <w:szCs w:val="28"/>
          <w:shd w:val="clear" w:color="auto" w:fill="FFFFFF"/>
          <w:rtl/>
        </w:rPr>
        <w:t xml:space="preserve"> </w:t>
      </w:r>
      <w:r w:rsidRPr="006A65EB">
        <w:rPr>
          <w:rFonts w:ascii="FrankRuehl" w:hAnsi="FrankRuehl" w:cs="FrankRuehl"/>
          <w:b/>
          <w:bCs/>
          <w:sz w:val="28"/>
          <w:szCs w:val="28"/>
          <w:shd w:val="clear" w:color="auto" w:fill="FFFFFF"/>
          <w:rtl/>
        </w:rPr>
        <w:t>אוחנינה נ' מדינת ישראל</w:t>
      </w:r>
      <w:r w:rsidRPr="006A65EB">
        <w:rPr>
          <w:rFonts w:ascii="FrankRuehl" w:hAnsi="FrankRuehl" w:cs="FrankRuehl"/>
          <w:sz w:val="28"/>
          <w:szCs w:val="28"/>
          <w:shd w:val="clear" w:color="auto" w:fill="FFFFFF"/>
          <w:rtl/>
        </w:rPr>
        <w:t xml:space="preserve"> (22.04.02.))</w:t>
      </w:r>
      <w:r w:rsidRPr="006A65EB">
        <w:rPr>
          <w:rFonts w:ascii="FrankRuehl" w:hAnsi="FrankRuehl" w:cs="FrankRuehl"/>
          <w:sz w:val="28"/>
          <w:szCs w:val="28"/>
          <w:rtl/>
        </w:rPr>
        <w:t>. נוכח מאפייני העבירה, מערכת הכוחות בין הנאשם לנסחט והקושי להתלונן בפני הרשויות לאור החשש מפני מימוש האיום. ראו בתי המשפט לנכון להחמיר את הענישה ולשלול לאורך זמן ממושך את חירותם של נאשמים בגין עבירות אלו, כדי לעודד את הקורבנות לשבור את 'קשר השתיקה' ולהרתיע עבריינים (</w:t>
      </w:r>
      <w:hyperlink r:id="rId23" w:history="1">
        <w:r w:rsidRPr="00BC1A4E">
          <w:rPr>
            <w:rFonts w:ascii="FrankRuehl" w:hAnsi="FrankRuehl" w:cs="FrankRuehl"/>
            <w:color w:val="0000FF"/>
            <w:sz w:val="28"/>
            <w:szCs w:val="28"/>
            <w:u w:val="single"/>
            <w:rtl/>
          </w:rPr>
          <w:t>ע"פ 6774/01</w:t>
        </w:r>
      </w:hyperlink>
      <w:r w:rsidRPr="006A65EB">
        <w:rPr>
          <w:rFonts w:ascii="FrankRuehl" w:hAnsi="FrankRuehl" w:cs="FrankRuehl"/>
          <w:color w:val="000000"/>
          <w:sz w:val="28"/>
          <w:szCs w:val="28"/>
          <w:rtl/>
        </w:rPr>
        <w:t xml:space="preserve"> </w:t>
      </w:r>
      <w:r w:rsidRPr="006A65EB">
        <w:rPr>
          <w:rFonts w:ascii="FrankRuehl" w:hAnsi="FrankRuehl" w:cs="FrankRuehl"/>
          <w:b/>
          <w:bCs/>
          <w:color w:val="000000"/>
          <w:sz w:val="28"/>
          <w:szCs w:val="28"/>
          <w:rtl/>
        </w:rPr>
        <w:t>מדינת ישראל נ' אלעלווין</w:t>
      </w:r>
      <w:r w:rsidRPr="006A65EB">
        <w:rPr>
          <w:rFonts w:ascii="FrankRuehl" w:hAnsi="FrankRuehl" w:cs="FrankRuehl"/>
          <w:color w:val="000000"/>
          <w:sz w:val="28"/>
          <w:szCs w:val="28"/>
          <w:rtl/>
        </w:rPr>
        <w:t xml:space="preserve"> (01.11.01)).</w:t>
      </w:r>
      <w:r w:rsidRPr="006A65EB">
        <w:rPr>
          <w:rFonts w:ascii="FrankRuehl" w:hAnsi="FrankRuehl" w:cs="FrankRuehl"/>
          <w:sz w:val="28"/>
          <w:szCs w:val="28"/>
          <w:rtl/>
        </w:rPr>
        <w:t xml:space="preserve"> </w:t>
      </w:r>
    </w:p>
    <w:p w14:paraId="59CF67CC" w14:textId="77777777" w:rsidR="004D00C9" w:rsidRPr="006A65EB" w:rsidRDefault="004D00C9" w:rsidP="006A65EB">
      <w:pPr>
        <w:pStyle w:val="a9"/>
        <w:spacing w:line="360" w:lineRule="auto"/>
        <w:jc w:val="both"/>
        <w:rPr>
          <w:rFonts w:ascii="FrankRuehl" w:hAnsi="FrankRuehl" w:cs="FrankRuehl"/>
          <w:sz w:val="28"/>
          <w:szCs w:val="28"/>
        </w:rPr>
      </w:pPr>
    </w:p>
    <w:p w14:paraId="04CDE63D"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hint="cs"/>
          <w:sz w:val="28"/>
          <w:szCs w:val="28"/>
          <w:rtl/>
        </w:rPr>
        <w:t>בנוסף, בשימוש שעשה הנאשם במטען החבלה הוא פגע ב</w:t>
      </w:r>
      <w:r w:rsidRPr="006A65EB">
        <w:rPr>
          <w:rFonts w:ascii="FrankRuehl" w:hAnsi="FrankRuehl" w:cs="FrankRuehl"/>
          <w:sz w:val="28"/>
          <w:szCs w:val="28"/>
          <w:rtl/>
        </w:rPr>
        <w:t xml:space="preserve">ערכים המוגנים </w:t>
      </w:r>
      <w:r w:rsidRPr="006A65EB">
        <w:rPr>
          <w:rFonts w:ascii="FrankRuehl" w:hAnsi="FrankRuehl" w:cs="FrankRuehl" w:hint="cs"/>
          <w:sz w:val="28"/>
          <w:szCs w:val="28"/>
          <w:rtl/>
        </w:rPr>
        <w:t xml:space="preserve">באמצעות </w:t>
      </w:r>
      <w:r w:rsidRPr="006A65EB">
        <w:rPr>
          <w:rFonts w:ascii="FrankRuehl" w:hAnsi="FrankRuehl" w:cs="FrankRuehl"/>
          <w:sz w:val="28"/>
          <w:szCs w:val="28"/>
          <w:rtl/>
        </w:rPr>
        <w:t xml:space="preserve">עבירות </w:t>
      </w:r>
      <w:r w:rsidRPr="006A65EB">
        <w:rPr>
          <w:rFonts w:ascii="FrankRuehl" w:hAnsi="FrankRuehl" w:cs="FrankRuehl" w:hint="cs"/>
          <w:sz w:val="28"/>
          <w:szCs w:val="28"/>
          <w:rtl/>
        </w:rPr>
        <w:t>ה</w:t>
      </w:r>
      <w:r w:rsidRPr="006A65EB">
        <w:rPr>
          <w:rFonts w:ascii="FrankRuehl" w:hAnsi="FrankRuehl" w:cs="FrankRuehl"/>
          <w:sz w:val="28"/>
          <w:szCs w:val="28"/>
          <w:rtl/>
        </w:rPr>
        <w:t>נשק</w:t>
      </w:r>
      <w:r w:rsidRPr="006A65EB">
        <w:rPr>
          <w:rFonts w:ascii="FrankRuehl" w:hAnsi="FrankRuehl" w:cs="FrankRuehl" w:hint="cs"/>
          <w:sz w:val="28"/>
          <w:szCs w:val="28"/>
          <w:rtl/>
        </w:rPr>
        <w:t>, שה</w:t>
      </w:r>
      <w:r w:rsidRPr="006A65EB">
        <w:rPr>
          <w:rFonts w:ascii="FrankRuehl" w:hAnsi="FrankRuehl" w:cs="FrankRuehl"/>
          <w:sz w:val="28"/>
          <w:szCs w:val="28"/>
          <w:rtl/>
        </w:rPr>
        <w:t xml:space="preserve">ם שמירה על חיי אדם ושלמות הגוף, שלום הציבור ובטחונו. החזקה ונשיאה של נשק על ידי מי שאינם מורשים לכך מהווה איום ממשי על חיי אדם. בייחוד כאשר נשק שמוחזק בניגוד לחוק משמש לא פעם לפעילויות פליליות וביטחוניות (ראו: </w:t>
      </w:r>
      <w:hyperlink r:id="rId24" w:history="1">
        <w:r w:rsidRPr="00BC1A4E">
          <w:rPr>
            <w:rFonts w:ascii="FrankRuehl" w:hAnsi="FrankRuehl" w:cs="FrankRuehl"/>
            <w:color w:val="0000FF"/>
            <w:sz w:val="28"/>
            <w:szCs w:val="28"/>
            <w:u w:val="single"/>
            <w:rtl/>
          </w:rPr>
          <w:t>ע"פ 2564/19</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אזברגה נ' מדינת ישראל</w:t>
      </w:r>
      <w:r w:rsidRPr="006A65EB">
        <w:rPr>
          <w:rFonts w:ascii="FrankRuehl" w:hAnsi="FrankRuehl" w:cs="FrankRuehl"/>
          <w:sz w:val="28"/>
          <w:szCs w:val="28"/>
          <w:rtl/>
        </w:rPr>
        <w:t xml:space="preserve"> (18.07.19); </w:t>
      </w:r>
      <w:hyperlink r:id="rId25" w:history="1">
        <w:r w:rsidRPr="00BC1A4E">
          <w:rPr>
            <w:rFonts w:ascii="FrankRuehl" w:hAnsi="FrankRuehl" w:cs="FrankRuehl"/>
            <w:color w:val="0000FF"/>
            <w:sz w:val="28"/>
            <w:szCs w:val="28"/>
            <w:u w:val="single"/>
            <w:rtl/>
          </w:rPr>
          <w:t>ת"פ (מחוזי-י-ם) 54337-05-21</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זחאיקה</w:t>
      </w:r>
      <w:r w:rsidRPr="006A65EB">
        <w:rPr>
          <w:rFonts w:ascii="FrankRuehl" w:hAnsi="FrankRuehl" w:cs="FrankRuehl"/>
          <w:sz w:val="28"/>
          <w:szCs w:val="28"/>
          <w:rtl/>
        </w:rPr>
        <w:t xml:space="preserve"> (10.02.22)).</w:t>
      </w:r>
      <w:r w:rsidRPr="006A65EB">
        <w:rPr>
          <w:rFonts w:ascii="FrankRuehl" w:hAnsi="FrankRuehl" w:cs="FrankRuehl" w:hint="cs"/>
          <w:sz w:val="28"/>
          <w:szCs w:val="28"/>
          <w:rtl/>
        </w:rPr>
        <w:t xml:space="preserve"> כאשר מדובר במטען חבלה הרי שמדובר בחפץ שאין לו כל תכלית אחרת מלבד </w:t>
      </w:r>
      <w:r w:rsidRPr="006A65EB">
        <w:rPr>
          <w:rFonts w:ascii="FrankRuehl" w:hAnsi="FrankRuehl" w:cs="FrankRuehl"/>
          <w:sz w:val="28"/>
          <w:szCs w:val="28"/>
          <w:rtl/>
        </w:rPr>
        <w:t xml:space="preserve">גרימת פגיעה גופנית חמורה לאדם. </w:t>
      </w:r>
    </w:p>
    <w:p w14:paraId="6A065F91" w14:textId="77777777" w:rsidR="004D00C9" w:rsidRPr="006A65EB" w:rsidRDefault="004D00C9" w:rsidP="006A65EB">
      <w:pPr>
        <w:spacing w:line="360" w:lineRule="auto"/>
        <w:jc w:val="both"/>
        <w:rPr>
          <w:rFonts w:ascii="FrankRuehl" w:hAnsi="FrankRuehl" w:cs="FrankRuehl"/>
          <w:sz w:val="28"/>
          <w:szCs w:val="28"/>
          <w:rtl/>
        </w:rPr>
      </w:pPr>
    </w:p>
    <w:p w14:paraId="118D1A5E"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sz w:val="28"/>
          <w:szCs w:val="28"/>
          <w:rtl/>
        </w:rPr>
        <w:t xml:space="preserve">בתי המשפט עמדו בפסיקה נרחבת על חומרת העבירה לאור מידת היקפה של הפשיעה בעבירות הנשק לסוגיהן והדגישו את הצורך בהחמרת הענישה </w:t>
      </w:r>
      <w:r w:rsidRPr="006A65EB">
        <w:rPr>
          <w:rFonts w:ascii="FrankRuehl" w:hAnsi="FrankRuehl" w:cs="FrankRuehl" w:hint="cs"/>
          <w:sz w:val="28"/>
          <w:szCs w:val="28"/>
          <w:rtl/>
        </w:rPr>
        <w:t>של מבצעיהן</w:t>
      </w:r>
      <w:r w:rsidRPr="006A65EB">
        <w:rPr>
          <w:rFonts w:ascii="FrankRuehl" w:hAnsi="FrankRuehl" w:cs="FrankRuehl"/>
          <w:sz w:val="28"/>
          <w:szCs w:val="28"/>
          <w:rtl/>
        </w:rPr>
        <w:t xml:space="preserve">. נקבע כי העלאת רף הענישה בעבירות אילו היא אינטרס ציבורי ממעלה ראשונה לאור הסכנה הנשקפת לביטחון הציבור ולשלומו, </w:t>
      </w:r>
      <w:r w:rsidRPr="006A65EB">
        <w:rPr>
          <w:rFonts w:ascii="FrankRuehl" w:hAnsi="FrankRuehl" w:cs="FrankRuehl" w:hint="cs"/>
          <w:sz w:val="28"/>
          <w:szCs w:val="28"/>
          <w:rtl/>
        </w:rPr>
        <w:t xml:space="preserve">שכן </w:t>
      </w:r>
      <w:r w:rsidRPr="006A65EB">
        <w:rPr>
          <w:rFonts w:ascii="FrankRuehl" w:hAnsi="FrankRuehl" w:cs="FrankRuehl"/>
          <w:sz w:val="28"/>
          <w:szCs w:val="28"/>
          <w:rtl/>
        </w:rPr>
        <w:t xml:space="preserve">רק באמצעות הרתעה ממשית של הציבור מפני ביצוע עבירות נשק, ניתן יהיה להתמודד מול התופעה הרווחת. בית המשפט העליון ציין </w:t>
      </w:r>
      <w:r w:rsidRPr="006A65EB">
        <w:rPr>
          <w:rFonts w:ascii="FrankRuehl" w:hAnsi="FrankRuehl" w:cs="FrankRuehl" w:hint="cs"/>
          <w:sz w:val="28"/>
          <w:szCs w:val="28"/>
          <w:rtl/>
        </w:rPr>
        <w:t>לא פעם ב</w:t>
      </w:r>
      <w:r w:rsidRPr="006A65EB">
        <w:rPr>
          <w:rFonts w:ascii="FrankRuehl" w:hAnsi="FrankRuehl" w:cs="FrankRuehl"/>
          <w:sz w:val="28"/>
          <w:szCs w:val="28"/>
          <w:rtl/>
        </w:rPr>
        <w:t xml:space="preserve">עניין עבירות נשק </w:t>
      </w:r>
      <w:r w:rsidRPr="006A65EB">
        <w:rPr>
          <w:rFonts w:ascii="FrankRuehl" w:hAnsi="FrankRuehl" w:cs="FrankRuehl" w:hint="cs"/>
          <w:sz w:val="28"/>
          <w:szCs w:val="28"/>
          <w:rtl/>
        </w:rPr>
        <w:t xml:space="preserve">כי </w:t>
      </w:r>
      <w:r w:rsidRPr="006A65EB">
        <w:rPr>
          <w:rFonts w:ascii="FrankRuehl" w:hAnsi="FrankRuehl" w:cs="FrankRuehl"/>
          <w:sz w:val="28"/>
          <w:szCs w:val="28"/>
          <w:rtl/>
        </w:rPr>
        <w:t xml:space="preserve">מדובר בשעת חירום של ממש (ראו: </w:t>
      </w:r>
      <w:hyperlink r:id="rId26" w:history="1">
        <w:r w:rsidRPr="00BC1A4E">
          <w:rPr>
            <w:rFonts w:ascii="FrankRuehl" w:hAnsi="FrankRuehl" w:cs="FrankRuehl"/>
            <w:color w:val="0000FF"/>
            <w:sz w:val="28"/>
            <w:szCs w:val="28"/>
            <w:u w:val="single"/>
            <w:rtl/>
          </w:rPr>
          <w:t>ע"פ 5330/20</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ענבתאוי נ' מדינת ישראל</w:t>
      </w:r>
      <w:r w:rsidRPr="006A65EB">
        <w:rPr>
          <w:rFonts w:ascii="FrankRuehl" w:hAnsi="FrankRuehl" w:cs="FrankRuehl"/>
          <w:sz w:val="28"/>
          <w:szCs w:val="28"/>
          <w:rtl/>
        </w:rPr>
        <w:t xml:space="preserve"> (22.11.20); </w:t>
      </w:r>
      <w:hyperlink r:id="rId27" w:history="1">
        <w:r w:rsidRPr="00BC1A4E">
          <w:rPr>
            <w:rFonts w:ascii="FrankRuehl" w:hAnsi="FrankRuehl" w:cs="FrankRuehl"/>
            <w:color w:val="0000FF"/>
            <w:sz w:val="28"/>
            <w:szCs w:val="28"/>
            <w:u w:val="single"/>
            <w:rtl/>
          </w:rPr>
          <w:t>ע"פ 2251/21</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 xml:space="preserve">אבו עראר נ' מדינת ישראל </w:t>
      </w:r>
      <w:r w:rsidRPr="006A65EB">
        <w:rPr>
          <w:rFonts w:ascii="FrankRuehl" w:hAnsi="FrankRuehl" w:cs="FrankRuehl"/>
          <w:sz w:val="28"/>
          <w:szCs w:val="28"/>
          <w:rtl/>
        </w:rPr>
        <w:t xml:space="preserve">(15.12.21)). ביחס לעבירות המצויות </w:t>
      </w:r>
      <w:hyperlink r:id="rId28" w:history="1">
        <w:r w:rsidRPr="004D00C9">
          <w:rPr>
            <w:rStyle w:val="Hyperlink"/>
            <w:rFonts w:ascii="FrankRuehl" w:hAnsi="FrankRuehl" w:cs="FrankRuehl"/>
            <w:color w:val="0000FF"/>
            <w:sz w:val="28"/>
            <w:szCs w:val="28"/>
            <w:rtl/>
          </w:rPr>
          <w:t>בסעיף 144(ב)</w:t>
        </w:r>
      </w:hyperlink>
      <w:r w:rsidRPr="006A65EB">
        <w:rPr>
          <w:rFonts w:ascii="FrankRuehl" w:hAnsi="FrankRuehl" w:cs="FrankRuehl"/>
          <w:sz w:val="28"/>
          <w:szCs w:val="28"/>
          <w:rtl/>
        </w:rPr>
        <w:t xml:space="preserve"> עמד בית המשפט על מסוכנות העבירה וציין כי רחמנות יתירה על הנאשם בעבירות אלה "כמוה כהתאכזרות אל הציבור הרחב" (</w:t>
      </w:r>
      <w:hyperlink r:id="rId29" w:history="1">
        <w:r w:rsidRPr="00BC1A4E">
          <w:rPr>
            <w:rFonts w:ascii="FrankRuehl" w:hAnsi="FrankRuehl" w:cs="FrankRuehl"/>
            <w:color w:val="0000FF"/>
            <w:sz w:val="28"/>
            <w:szCs w:val="28"/>
            <w:u w:val="single"/>
            <w:rtl/>
          </w:rPr>
          <w:t>ע"פ 3491/13</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טוויק נ' מדינת ישראל</w:t>
      </w:r>
      <w:r w:rsidRPr="006A65EB">
        <w:rPr>
          <w:rFonts w:ascii="FrankRuehl" w:hAnsi="FrankRuehl" w:cs="FrankRuehl"/>
          <w:sz w:val="28"/>
          <w:szCs w:val="28"/>
          <w:rtl/>
        </w:rPr>
        <w:t xml:space="preserve"> (15.11.13)). </w:t>
      </w:r>
    </w:p>
    <w:p w14:paraId="6D392FB5" w14:textId="77777777" w:rsidR="004D00C9" w:rsidRPr="006A65EB" w:rsidRDefault="004D00C9" w:rsidP="006A65EB">
      <w:pPr>
        <w:spacing w:line="360" w:lineRule="auto"/>
        <w:jc w:val="both"/>
        <w:rPr>
          <w:rFonts w:ascii="FrankRuehl" w:hAnsi="FrankRuehl" w:cs="FrankRuehl"/>
          <w:sz w:val="28"/>
          <w:szCs w:val="28"/>
          <w:rtl/>
        </w:rPr>
      </w:pPr>
    </w:p>
    <w:p w14:paraId="45E82F5C"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sz w:val="28"/>
          <w:szCs w:val="28"/>
          <w:rtl/>
        </w:rPr>
        <w:t xml:space="preserve">המחוקק אף הוא ראה לנכון להחמיר בעניין עבירות נשק ובתיקון מס' 140 לחוק העונשין, עוגנה מגמת החמרה ונקבע עונש מינימום של רבע מהעונש המרבי בגין הרשעה בעבירות של החזקה נשיאה וסחר בנשק. מדברי ההסבר לתיקון עולה כי השינוי נעשה נוכח ההתחמשות הנרחבת של קבוצות רבות מקרב האוכלוסייה בנשק לא חוקי, ובפרט לאור מאפייניה והשלכותיה החמורות על חיי אדם. מכאן כי בעת קביעת העונש, יש לתת משקל רב לאינטרס הציבורי על פני נסיבותיו האינדיבידואליות של הנאשם. </w:t>
      </w:r>
    </w:p>
    <w:p w14:paraId="776DB8F5" w14:textId="77777777" w:rsidR="004D00C9" w:rsidRPr="006A65EB" w:rsidRDefault="004D00C9" w:rsidP="006A65EB">
      <w:pPr>
        <w:spacing w:line="360" w:lineRule="auto"/>
        <w:jc w:val="both"/>
        <w:rPr>
          <w:rFonts w:ascii="FrankRuehl" w:hAnsi="FrankRuehl" w:cs="FrankRuehl"/>
          <w:sz w:val="28"/>
          <w:szCs w:val="28"/>
          <w:rtl/>
        </w:rPr>
      </w:pPr>
    </w:p>
    <w:p w14:paraId="475D755B"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בניגוד לטענת ב"כ הנאשם, </w:t>
      </w:r>
      <w:r w:rsidRPr="006A65EB">
        <w:rPr>
          <w:rFonts w:ascii="FrankRuehl" w:hAnsi="FrankRuehl" w:cs="FrankRuehl"/>
          <w:sz w:val="28"/>
          <w:szCs w:val="28"/>
          <w:rtl/>
        </w:rPr>
        <w:t xml:space="preserve">מידת הפגיעה בערכים המוגנים </w:t>
      </w:r>
      <w:r w:rsidRPr="006A65EB">
        <w:rPr>
          <w:rFonts w:ascii="FrankRuehl" w:hAnsi="FrankRuehl" w:cs="FrankRuehl" w:hint="cs"/>
          <w:sz w:val="28"/>
          <w:szCs w:val="28"/>
          <w:rtl/>
        </w:rPr>
        <w:t xml:space="preserve">במקרה זה </w:t>
      </w:r>
      <w:r w:rsidRPr="006A65EB">
        <w:rPr>
          <w:rFonts w:ascii="FrankRuehl" w:hAnsi="FrankRuehl" w:cs="FrankRuehl"/>
          <w:sz w:val="28"/>
          <w:szCs w:val="28"/>
          <w:rtl/>
        </w:rPr>
        <w:t>הינה ברף גבוה</w:t>
      </w:r>
      <w:r w:rsidRPr="006A65EB">
        <w:rPr>
          <w:rFonts w:ascii="FrankRuehl" w:hAnsi="FrankRuehl" w:cs="FrankRuehl" w:hint="cs"/>
          <w:sz w:val="28"/>
          <w:szCs w:val="28"/>
          <w:rtl/>
        </w:rPr>
        <w:t xml:space="preserve">. הנסיבה היחידה המעמידה את המקרה בחומרה פחותה היא העובדה, כי למרבה המזל, המטען לא הופעל ולא נגרם נזק לגוף. ואולם זאת, אך בדרך המקרה, שכן כפסע היה שבן אחותו של הנאשם היה נוגע במטען וגורם להפעלתו. העובדה כי חוטי המטען היו גלויים, היה בה אך כדי להגביר את יצר הסקרנות של הילדים המסתובבים בחצר ולקרוא להם </w:t>
      </w:r>
      <w:r w:rsidRPr="006A65EB">
        <w:rPr>
          <w:rFonts w:ascii="FrankRuehl" w:hAnsi="FrankRuehl" w:cs="FrankRuehl"/>
          <w:sz w:val="28"/>
          <w:szCs w:val="28"/>
          <w:rtl/>
        </w:rPr>
        <w:t xml:space="preserve">לבחון </w:t>
      </w:r>
      <w:r w:rsidRPr="006A65EB">
        <w:rPr>
          <w:rFonts w:ascii="FrankRuehl" w:hAnsi="FrankRuehl" w:cs="FrankRuehl" w:hint="cs"/>
          <w:sz w:val="28"/>
          <w:szCs w:val="28"/>
          <w:rtl/>
        </w:rPr>
        <w:t xml:space="preserve">מקרוב </w:t>
      </w:r>
      <w:r w:rsidRPr="006A65EB">
        <w:rPr>
          <w:rFonts w:ascii="FrankRuehl" w:hAnsi="FrankRuehl" w:cs="FrankRuehl"/>
          <w:sz w:val="28"/>
          <w:szCs w:val="28"/>
          <w:rtl/>
        </w:rPr>
        <w:t>את תכולת</w:t>
      </w:r>
      <w:r w:rsidRPr="006A65EB">
        <w:rPr>
          <w:rFonts w:ascii="FrankRuehl" w:hAnsi="FrankRuehl" w:cs="FrankRuehl" w:hint="cs"/>
          <w:sz w:val="28"/>
          <w:szCs w:val="28"/>
          <w:rtl/>
        </w:rPr>
        <w:t xml:space="preserve"> </w:t>
      </w:r>
      <w:r w:rsidRPr="006A65EB">
        <w:rPr>
          <w:rFonts w:ascii="FrankRuehl" w:hAnsi="FrankRuehl" w:cs="FrankRuehl"/>
          <w:sz w:val="28"/>
          <w:szCs w:val="28"/>
          <w:rtl/>
        </w:rPr>
        <w:t>ה</w:t>
      </w:r>
      <w:r w:rsidRPr="006A65EB">
        <w:rPr>
          <w:rFonts w:ascii="FrankRuehl" w:hAnsi="FrankRuehl" w:cs="FrankRuehl" w:hint="cs"/>
          <w:sz w:val="28"/>
          <w:szCs w:val="28"/>
          <w:rtl/>
        </w:rPr>
        <w:t xml:space="preserve">שקית בה היה המטען, שכן הם לא היו מעלים בדעתם קיומו של מטען חבלה בחצר ביתם. ואולם, לנסיבה זו, היחידה לקולא, יש לתת משקל מוגבל, שכן </w:t>
      </w:r>
      <w:r w:rsidRPr="006A65EB">
        <w:rPr>
          <w:rFonts w:ascii="FrankRuehl" w:hAnsi="FrankRuehl" w:cs="FrankRuehl"/>
          <w:sz w:val="28"/>
          <w:szCs w:val="28"/>
          <w:rtl/>
        </w:rPr>
        <w:t xml:space="preserve">לא בכדי הוגדרו יסודות העבירה על ידי המחוקק </w:t>
      </w:r>
      <w:r w:rsidRPr="006A65EB">
        <w:rPr>
          <w:rFonts w:ascii="FrankRuehl" w:hAnsi="FrankRuehl" w:cs="FrankRuehl" w:hint="cs"/>
          <w:sz w:val="28"/>
          <w:szCs w:val="28"/>
          <w:rtl/>
        </w:rPr>
        <w:t xml:space="preserve">באופן הכולל </w:t>
      </w:r>
      <w:r w:rsidRPr="006A65EB">
        <w:rPr>
          <w:rFonts w:ascii="FrankRuehl" w:hAnsi="FrankRuehl" w:cs="FrankRuehl"/>
          <w:sz w:val="28"/>
          <w:szCs w:val="28"/>
          <w:rtl/>
        </w:rPr>
        <w:t>גם ניסיון לפגוע</w:t>
      </w:r>
      <w:r w:rsidRPr="006A65EB">
        <w:rPr>
          <w:rFonts w:ascii="FrankRuehl" w:hAnsi="FrankRuehl" w:cs="FrankRuehl" w:hint="cs"/>
          <w:sz w:val="28"/>
          <w:szCs w:val="28"/>
          <w:rtl/>
        </w:rPr>
        <w:t xml:space="preserve">. גם </w:t>
      </w:r>
      <w:r w:rsidRPr="006A65EB">
        <w:rPr>
          <w:rFonts w:ascii="FrankRuehl" w:hAnsi="FrankRuehl" w:cs="FrankRuehl"/>
          <w:sz w:val="28"/>
          <w:szCs w:val="28"/>
          <w:rtl/>
        </w:rPr>
        <w:t>אם למעשה חומר הנפץ לא התפוצץ</w:t>
      </w:r>
      <w:r w:rsidRPr="006A65EB">
        <w:rPr>
          <w:rFonts w:ascii="FrankRuehl" w:hAnsi="FrankRuehl" w:cs="FrankRuehl" w:hint="cs"/>
          <w:sz w:val="28"/>
          <w:szCs w:val="28"/>
          <w:rtl/>
        </w:rPr>
        <w:t xml:space="preserve">, ללמדך שבעובדה זו כשלעצמה </w:t>
      </w:r>
      <w:r w:rsidRPr="006A65EB">
        <w:rPr>
          <w:rFonts w:ascii="FrankRuehl" w:hAnsi="FrankRuehl" w:cs="FrankRuehl"/>
          <w:sz w:val="28"/>
          <w:szCs w:val="28"/>
          <w:rtl/>
        </w:rPr>
        <w:t>אין ב</w:t>
      </w:r>
      <w:r w:rsidRPr="006A65EB">
        <w:rPr>
          <w:rFonts w:ascii="FrankRuehl" w:hAnsi="FrankRuehl" w:cs="FrankRuehl" w:hint="cs"/>
          <w:sz w:val="28"/>
          <w:szCs w:val="28"/>
          <w:rtl/>
        </w:rPr>
        <w:t xml:space="preserve">כך </w:t>
      </w:r>
      <w:r w:rsidRPr="006A65EB">
        <w:rPr>
          <w:rFonts w:ascii="FrankRuehl" w:hAnsi="FrankRuehl" w:cs="FrankRuehl"/>
          <w:sz w:val="28"/>
          <w:szCs w:val="28"/>
          <w:rtl/>
        </w:rPr>
        <w:t xml:space="preserve">כדי להפחית מפוטנציאל הנזק לנפש ולרכוש, ועוצמת הפגיעה בערכים המוגנים (ראו: </w:t>
      </w:r>
      <w:hyperlink r:id="rId30" w:history="1">
        <w:r w:rsidRPr="00BC1A4E">
          <w:rPr>
            <w:rFonts w:ascii="FrankRuehl" w:hAnsi="FrankRuehl" w:cs="FrankRuehl"/>
            <w:color w:val="0000FF"/>
            <w:sz w:val="28"/>
            <w:szCs w:val="28"/>
            <w:u w:val="single"/>
            <w:rtl/>
          </w:rPr>
          <w:t>תפ"ח (מחוזי ת"א) 53082-01-11</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ביטון</w:t>
      </w:r>
      <w:r w:rsidRPr="006A65EB">
        <w:rPr>
          <w:rFonts w:ascii="FrankRuehl" w:hAnsi="FrankRuehl" w:cs="FrankRuehl"/>
          <w:sz w:val="28"/>
          <w:szCs w:val="28"/>
          <w:rtl/>
        </w:rPr>
        <w:t xml:space="preserve"> (17.04.12); תפ"ח (מחוזי י-ם) 713/04 </w:t>
      </w:r>
      <w:r w:rsidRPr="006A65EB">
        <w:rPr>
          <w:rFonts w:ascii="FrankRuehl" w:hAnsi="FrankRuehl" w:cs="FrankRuehl"/>
          <w:b/>
          <w:bCs/>
          <w:sz w:val="28"/>
          <w:szCs w:val="28"/>
          <w:rtl/>
        </w:rPr>
        <w:t xml:space="preserve">מדינת ישראל נ' סיאנוס </w:t>
      </w:r>
      <w:r w:rsidRPr="006A65EB">
        <w:rPr>
          <w:rFonts w:ascii="FrankRuehl" w:hAnsi="FrankRuehl" w:cs="FrankRuehl"/>
          <w:sz w:val="28"/>
          <w:szCs w:val="28"/>
          <w:rtl/>
        </w:rPr>
        <w:t>(30.03.05)).</w:t>
      </w:r>
    </w:p>
    <w:p w14:paraId="676C02B1" w14:textId="77777777" w:rsidR="004D00C9" w:rsidRPr="006A65EB" w:rsidRDefault="004D00C9" w:rsidP="00793251">
      <w:pPr>
        <w:pStyle w:val="a9"/>
        <w:rPr>
          <w:rFonts w:ascii="FrankRuehl" w:hAnsi="FrankRuehl" w:cs="FrankRuehl"/>
          <w:sz w:val="28"/>
          <w:szCs w:val="28"/>
          <w:rtl/>
        </w:rPr>
      </w:pPr>
    </w:p>
    <w:p w14:paraId="35B029F3"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זאת ועוד. מ</w:t>
      </w:r>
      <w:r w:rsidRPr="006A65EB">
        <w:rPr>
          <w:rFonts w:ascii="FrankRuehl" w:hAnsi="FrankRuehl" w:cs="FrankRuehl"/>
          <w:sz w:val="28"/>
          <w:szCs w:val="28"/>
          <w:rtl/>
        </w:rPr>
        <w:t xml:space="preserve">דובר </w:t>
      </w:r>
      <w:r w:rsidRPr="006A65EB">
        <w:rPr>
          <w:rFonts w:ascii="FrankRuehl" w:hAnsi="FrankRuehl" w:cs="FrankRuehl" w:hint="cs"/>
          <w:sz w:val="28"/>
          <w:szCs w:val="28"/>
          <w:rtl/>
        </w:rPr>
        <w:t xml:space="preserve">במעשים שבוצעו כלפי המתלוננים בביתם, שאמור להיות מבצרם, והם נאלצו בעקבות המעשה להפוך את ביתם למבצר של ממש בגידורו בגדר גבוהה, התקנת שער חשמלי, ואמצעי אבטחה נוספים, חלקם הותקנו עובר להטמנת המטען, גם זאת כפי שעלה מעדות המתלוננים בשל החשש מהנאשם, נוכח "מסרים" שקיבלו מהנאשם דרך הגיס דני, כמפורט בהכרעת הדין. נזק גופני למרבה המזל לא נגרם, אך גם היום, כפי שעלה מתצהיר המתלוננת, היא ובני משפחתה חיים בפחד וחרדה מפני פעולת נקם של הנאשם.    </w:t>
      </w:r>
    </w:p>
    <w:p w14:paraId="42462D76" w14:textId="77777777" w:rsidR="004D00C9" w:rsidRPr="006A65EB" w:rsidRDefault="004D00C9" w:rsidP="006A65EB">
      <w:pPr>
        <w:pStyle w:val="a9"/>
        <w:spacing w:line="360" w:lineRule="auto"/>
        <w:jc w:val="both"/>
        <w:rPr>
          <w:rFonts w:ascii="FrankRuehl" w:hAnsi="FrankRuehl" w:cs="FrankRuehl"/>
          <w:sz w:val="28"/>
          <w:szCs w:val="28"/>
        </w:rPr>
      </w:pPr>
    </w:p>
    <w:p w14:paraId="194AEE12"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מדובר </w:t>
      </w:r>
      <w:r w:rsidRPr="006A65EB">
        <w:rPr>
          <w:rFonts w:ascii="FrankRuehl" w:hAnsi="FrankRuehl" w:cs="FrankRuehl"/>
          <w:sz w:val="28"/>
          <w:szCs w:val="28"/>
          <w:rtl/>
        </w:rPr>
        <w:t>בעביר</w:t>
      </w:r>
      <w:r w:rsidRPr="006A65EB">
        <w:rPr>
          <w:rFonts w:ascii="FrankRuehl" w:hAnsi="FrankRuehl" w:cs="FrankRuehl" w:hint="cs"/>
          <w:sz w:val="28"/>
          <w:szCs w:val="28"/>
          <w:rtl/>
        </w:rPr>
        <w:t>ות</w:t>
      </w:r>
      <w:r w:rsidRPr="006A65EB">
        <w:rPr>
          <w:rFonts w:ascii="FrankRuehl" w:hAnsi="FrankRuehl" w:cs="FrankRuehl"/>
          <w:sz w:val="28"/>
          <w:szCs w:val="28"/>
          <w:rtl/>
        </w:rPr>
        <w:t xml:space="preserve"> ש</w:t>
      </w:r>
      <w:r w:rsidRPr="006A65EB">
        <w:rPr>
          <w:rFonts w:ascii="FrankRuehl" w:hAnsi="FrankRuehl" w:cs="FrankRuehl" w:hint="cs"/>
          <w:sz w:val="28"/>
          <w:szCs w:val="28"/>
          <w:rtl/>
        </w:rPr>
        <w:t xml:space="preserve">נעברו </w:t>
      </w:r>
      <w:r w:rsidRPr="006A65EB">
        <w:rPr>
          <w:rFonts w:ascii="FrankRuehl" w:hAnsi="FrankRuehl" w:cs="FrankRuehl"/>
          <w:sz w:val="28"/>
          <w:szCs w:val="28"/>
          <w:rtl/>
        </w:rPr>
        <w:t xml:space="preserve">כלפי בני משפחתו של הנאשם, </w:t>
      </w:r>
      <w:r w:rsidRPr="006A65EB">
        <w:rPr>
          <w:rFonts w:ascii="FrankRuehl" w:hAnsi="FrankRuehl" w:cs="FrankRuehl" w:hint="cs"/>
          <w:sz w:val="28"/>
          <w:szCs w:val="28"/>
          <w:rtl/>
        </w:rPr>
        <w:t>והעמידו בסיכון גם ילדים ק</w:t>
      </w:r>
      <w:r w:rsidRPr="006A65EB">
        <w:rPr>
          <w:rFonts w:ascii="FrankRuehl" w:hAnsi="FrankRuehl" w:cs="FrankRuehl"/>
          <w:sz w:val="28"/>
          <w:szCs w:val="28"/>
          <w:rtl/>
        </w:rPr>
        <w:t xml:space="preserve">טנים. העובדה כי הנאשם הפנה את איומיו כלפי המתלוננים על דרך הרמיזה באמצעות אחרים אך מחמירה את חומרת מעשיו ומעידה על מידת התחכום בה פעל </w:t>
      </w:r>
      <w:r w:rsidRPr="006A65EB">
        <w:rPr>
          <w:rFonts w:ascii="FrankRuehl" w:hAnsi="FrankRuehl" w:cs="FrankRuehl" w:hint="cs"/>
          <w:sz w:val="28"/>
          <w:szCs w:val="28"/>
          <w:rtl/>
        </w:rPr>
        <w:t>ל</w:t>
      </w:r>
      <w:r w:rsidRPr="006A65EB">
        <w:rPr>
          <w:rFonts w:ascii="FrankRuehl" w:hAnsi="FrankRuehl" w:cs="FrankRuehl"/>
          <w:sz w:val="28"/>
          <w:szCs w:val="28"/>
          <w:rtl/>
        </w:rPr>
        <w:t>הטיל את אימתו על המתלוננים</w:t>
      </w:r>
      <w:r w:rsidRPr="006A65EB">
        <w:rPr>
          <w:rFonts w:ascii="FrankRuehl" w:hAnsi="FrankRuehl" w:cs="FrankRuehl" w:hint="cs"/>
          <w:sz w:val="28"/>
          <w:szCs w:val="28"/>
          <w:rtl/>
        </w:rPr>
        <w:t xml:space="preserve">. תחכומו של הנאשם בא לידי ביטוי גם בדרך שבחר לנסוע מביתו לבית המתלוננים, על מנת להסוות את נתיב נסיעתו, ואך בשל עבודה מאומצת של חוקרי המשטרה, נחשף כי הנאשם הוא זה שהניח את המטען.  </w:t>
      </w:r>
    </w:p>
    <w:p w14:paraId="6A9BF916" w14:textId="77777777" w:rsidR="004D00C9" w:rsidRPr="006A65EB" w:rsidRDefault="004D00C9" w:rsidP="006A65EB">
      <w:pPr>
        <w:pStyle w:val="a9"/>
        <w:spacing w:line="360" w:lineRule="auto"/>
        <w:jc w:val="both"/>
        <w:rPr>
          <w:rFonts w:ascii="FrankRuehl" w:hAnsi="FrankRuehl" w:cs="FrankRuehl"/>
          <w:sz w:val="28"/>
          <w:szCs w:val="28"/>
          <w:rtl/>
        </w:rPr>
      </w:pPr>
    </w:p>
    <w:p w14:paraId="7CAFA4F1"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hint="cs"/>
          <w:sz w:val="28"/>
          <w:szCs w:val="28"/>
          <w:rtl/>
        </w:rPr>
        <w:t>על הכול, ה</w:t>
      </w:r>
      <w:r w:rsidRPr="006A65EB">
        <w:rPr>
          <w:rFonts w:ascii="FrankRuehl" w:hAnsi="FrankRuehl" w:cs="FrankRuehl"/>
          <w:sz w:val="28"/>
          <w:szCs w:val="28"/>
          <w:rtl/>
        </w:rPr>
        <w:t xml:space="preserve">נאשם הניח בתוך מטען החבלה המאולתר כדוריות מתכת במשקל רב שנועדו להגביר את טווח הפגיעה ועוצמתו, כך שחרף העובדה כי </w:t>
      </w:r>
      <w:r w:rsidRPr="006A65EB">
        <w:rPr>
          <w:rFonts w:ascii="FrankRuehl" w:hAnsi="FrankRuehl" w:cs="FrankRuehl" w:hint="cs"/>
          <w:sz w:val="28"/>
          <w:szCs w:val="28"/>
          <w:rtl/>
        </w:rPr>
        <w:t>לא נטען ש</w:t>
      </w:r>
      <w:r w:rsidRPr="006A65EB">
        <w:rPr>
          <w:rFonts w:ascii="FrankRuehl" w:hAnsi="FrankRuehl" w:cs="FrankRuehl"/>
          <w:sz w:val="28"/>
          <w:szCs w:val="28"/>
          <w:rtl/>
        </w:rPr>
        <w:t xml:space="preserve">המטען נועד להמית, </w:t>
      </w:r>
      <w:r w:rsidRPr="006A65EB">
        <w:rPr>
          <w:rFonts w:ascii="FrankRuehl" w:hAnsi="FrankRuehl" w:cs="FrankRuehl" w:hint="cs"/>
          <w:sz w:val="28"/>
          <w:szCs w:val="28"/>
          <w:rtl/>
        </w:rPr>
        <w:t xml:space="preserve">פגיעתו, לו היה מופעל הייתה עלולה להיות חמורה מאוד, למתלוננים ולבני משפחתם, כמו גם לעוברי אורח שהיו עוברים על המדרכה לידי הגדר בו הונח המטען. </w:t>
      </w:r>
    </w:p>
    <w:p w14:paraId="7957BD97" w14:textId="77777777" w:rsidR="004D00C9" w:rsidRPr="006A65EB" w:rsidRDefault="004D00C9" w:rsidP="006A65EB">
      <w:pPr>
        <w:spacing w:line="360" w:lineRule="auto"/>
        <w:jc w:val="both"/>
        <w:rPr>
          <w:rFonts w:ascii="FrankRuehl" w:hAnsi="FrankRuehl" w:cs="FrankRuehl"/>
          <w:sz w:val="28"/>
          <w:szCs w:val="28"/>
          <w:rtl/>
        </w:rPr>
      </w:pPr>
    </w:p>
    <w:p w14:paraId="3611366D"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hint="cs"/>
          <w:sz w:val="28"/>
          <w:szCs w:val="28"/>
          <w:rtl/>
        </w:rPr>
        <w:t xml:space="preserve">באשר לפסיקה הנוהגת </w:t>
      </w:r>
      <w:r w:rsidRPr="006A65EB">
        <w:rPr>
          <w:rFonts w:ascii="FrankRuehl" w:hAnsi="FrankRuehl" w:cs="FrankRuehl"/>
          <w:sz w:val="28"/>
          <w:szCs w:val="28"/>
          <w:rtl/>
        </w:rPr>
        <w:t xml:space="preserve">אציין את פסקי הדין הבאים: </w:t>
      </w:r>
    </w:p>
    <w:p w14:paraId="4D61D514"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w:t>
      </w:r>
      <w:hyperlink r:id="rId31" w:history="1">
        <w:r w:rsidRPr="00BC1A4E">
          <w:rPr>
            <w:rFonts w:ascii="FrankRuehl" w:hAnsi="FrankRuehl" w:cs="FrankRuehl"/>
            <w:color w:val="0000FF"/>
            <w:sz w:val="28"/>
            <w:szCs w:val="28"/>
            <w:u w:val="single"/>
            <w:rtl/>
          </w:rPr>
          <w:t>ת"פ (מחוזי-חי') 677-04-21</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יחיא</w:t>
      </w:r>
      <w:r w:rsidRPr="006A65EB">
        <w:rPr>
          <w:rFonts w:ascii="FrankRuehl" w:hAnsi="FrankRuehl" w:cs="FrankRuehl"/>
          <w:sz w:val="28"/>
          <w:szCs w:val="28"/>
          <w:rtl/>
        </w:rPr>
        <w:t xml:space="preserve"> (17.05.22), הורשע נאשם על יסוד הודאתו במסגרת הסדר טיעון, בעבירות של סחיטה באיומים, </w:t>
      </w:r>
      <w:r w:rsidRPr="006A65EB">
        <w:rPr>
          <w:rFonts w:ascii="FrankRuehl" w:hAnsi="FrankRuehl" w:cs="FrankRuehl"/>
          <w:sz w:val="28"/>
          <w:szCs w:val="28"/>
          <w:shd w:val="clear" w:color="auto" w:fill="FFFFFF"/>
          <w:rtl/>
        </w:rPr>
        <w:t>קשירת קשר לביצוע פשע של עבירות בנשק, עבירות בנשק (החזקה, נשיאה והובלה) וירי מנשק חם</w:t>
      </w:r>
      <w:r w:rsidRPr="006A65EB">
        <w:rPr>
          <w:rFonts w:ascii="FrankRuehl" w:hAnsi="FrankRuehl" w:cs="FrankRuehl"/>
          <w:sz w:val="28"/>
          <w:szCs w:val="28"/>
          <w:shd w:val="clear" w:color="auto" w:fill="FFFFFF"/>
        </w:rPr>
        <w:t>.</w:t>
      </w:r>
      <w:r w:rsidRPr="006A65EB">
        <w:rPr>
          <w:rFonts w:ascii="FrankRuehl" w:hAnsi="FrankRuehl" w:cs="FrankRuehl"/>
          <w:sz w:val="28"/>
          <w:szCs w:val="28"/>
          <w:rtl/>
        </w:rPr>
        <w:t xml:space="preserve"> הנאשם, יחד עם נאשם נוסף איימו על חייב בשל חוב כספי, משמאן לשלם את חובו הגיעו לביתו של החייב בשעת לילה וירו 12 כדורים בחזית ביתו של החייב וגרמו נזק לרכוש. נקבע בעניינו מתחם ענישה הולם הנע מ</w:t>
      </w:r>
      <w:r w:rsidRPr="006A65EB">
        <w:rPr>
          <w:rFonts w:ascii="FrankRuehl" w:hAnsi="FrankRuehl" w:cs="FrankRuehl" w:hint="cs"/>
          <w:sz w:val="28"/>
          <w:szCs w:val="28"/>
          <w:rtl/>
        </w:rPr>
        <w:t>-</w:t>
      </w:r>
      <w:r w:rsidRPr="006A65EB">
        <w:rPr>
          <w:rFonts w:ascii="FrankRuehl" w:hAnsi="FrankRuehl" w:cs="FrankRuehl"/>
          <w:sz w:val="28"/>
          <w:szCs w:val="28"/>
          <w:rtl/>
        </w:rPr>
        <w:t xml:space="preserve">4 ועד 6 שנות מאסר. בית המשפט שקל את נסיבותיו האישיות של הנאשם, הודאתו ועברו הפלילי המכביד וגזר עליו 54 חודשי מאסר בפועל. </w:t>
      </w:r>
    </w:p>
    <w:p w14:paraId="3D38462B" w14:textId="77777777" w:rsidR="004D00C9" w:rsidRPr="006A65EB" w:rsidRDefault="004D00C9" w:rsidP="006A65EB">
      <w:pPr>
        <w:pStyle w:val="a9"/>
        <w:spacing w:line="360" w:lineRule="auto"/>
        <w:ind w:left="1440"/>
        <w:jc w:val="both"/>
        <w:rPr>
          <w:rFonts w:ascii="FrankRuehl" w:hAnsi="FrankRuehl" w:cs="FrankRuehl"/>
          <w:sz w:val="28"/>
          <w:szCs w:val="28"/>
        </w:rPr>
      </w:pPr>
    </w:p>
    <w:p w14:paraId="32E8BAA9"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w:t>
      </w:r>
      <w:hyperlink r:id="rId32" w:history="1">
        <w:r w:rsidRPr="00BC1A4E">
          <w:rPr>
            <w:rFonts w:ascii="FrankRuehl" w:hAnsi="FrankRuehl" w:cs="FrankRuehl"/>
            <w:color w:val="0000FF"/>
            <w:sz w:val="28"/>
            <w:szCs w:val="28"/>
            <w:u w:val="single"/>
            <w:rtl/>
          </w:rPr>
          <w:t>ת"פ (מחוזי-י-ם) 8542-11-21</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אל אעצם</w:t>
      </w:r>
      <w:r w:rsidRPr="006A65EB">
        <w:rPr>
          <w:rFonts w:ascii="FrankRuehl" w:hAnsi="FrankRuehl" w:cs="FrankRuehl"/>
          <w:sz w:val="28"/>
          <w:szCs w:val="28"/>
          <w:rtl/>
        </w:rPr>
        <w:t xml:space="preserve"> (23.05.23), הורשע נאשם על יסוד הודאתו במסגרת הסדר טיעון, בעבירות סחיטה באיומים וסיוע לנשיאת נשק. בעקבות איומים שהפנה הנאשם אל עבר משפחה בשל סכסוך שעניינו חוב כספי של אחד מבני המשפחה. במהלך ויכוח בעניין החוב, בו איים הנאשם על החייב, אדם אחר, שפעל בשליחות הנאשם הוציא אקדח מכיסו וירה מספר פעמים לעבר משאיתו של הנאשם. מתחם העונש ההולם נקבע בין 18 ל</w:t>
      </w:r>
      <w:r w:rsidRPr="006A65EB">
        <w:rPr>
          <w:rFonts w:ascii="FrankRuehl" w:hAnsi="FrankRuehl" w:cs="FrankRuehl" w:hint="cs"/>
          <w:sz w:val="28"/>
          <w:szCs w:val="28"/>
          <w:rtl/>
        </w:rPr>
        <w:t>-</w:t>
      </w:r>
      <w:r w:rsidRPr="006A65EB">
        <w:rPr>
          <w:rFonts w:ascii="FrankRuehl" w:hAnsi="FrankRuehl" w:cs="FrankRuehl"/>
          <w:sz w:val="28"/>
          <w:szCs w:val="28"/>
          <w:rtl/>
        </w:rPr>
        <w:t xml:space="preserve">36 חודשי מאסר בפועל. </w:t>
      </w:r>
    </w:p>
    <w:p w14:paraId="254DB379" w14:textId="77777777" w:rsidR="004D00C9" w:rsidRPr="006A65EB" w:rsidRDefault="004D00C9" w:rsidP="006A65EB">
      <w:pPr>
        <w:pStyle w:val="a9"/>
        <w:spacing w:line="360" w:lineRule="auto"/>
        <w:jc w:val="both"/>
        <w:rPr>
          <w:rFonts w:ascii="FrankRuehl" w:hAnsi="FrankRuehl" w:cs="FrankRuehl"/>
          <w:sz w:val="28"/>
          <w:szCs w:val="28"/>
          <w:rtl/>
        </w:rPr>
      </w:pPr>
    </w:p>
    <w:p w14:paraId="30EAE6C6"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w:t>
      </w:r>
      <w:hyperlink r:id="rId33" w:history="1">
        <w:r w:rsidRPr="00BC1A4E">
          <w:rPr>
            <w:rFonts w:ascii="FrankRuehl" w:hAnsi="FrankRuehl" w:cs="FrankRuehl"/>
            <w:color w:val="0000FF"/>
            <w:sz w:val="28"/>
            <w:szCs w:val="28"/>
            <w:u w:val="single"/>
            <w:rtl/>
          </w:rPr>
          <w:t>ת"פ (מחוזי-ת"א) 4102-11-20</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שניר</w:t>
      </w:r>
      <w:r w:rsidRPr="006A65EB">
        <w:rPr>
          <w:rFonts w:ascii="FrankRuehl" w:hAnsi="FrankRuehl" w:cs="FrankRuehl"/>
          <w:sz w:val="28"/>
          <w:szCs w:val="28"/>
          <w:rtl/>
        </w:rPr>
        <w:t xml:space="preserve"> (10.06.21), אליו הפנתה ב"כ המאשימה</w:t>
      </w:r>
      <w:r w:rsidRPr="006A65EB">
        <w:rPr>
          <w:rFonts w:ascii="FrankRuehl" w:hAnsi="FrankRuehl" w:cs="FrankRuehl" w:hint="cs"/>
          <w:sz w:val="28"/>
          <w:szCs w:val="28"/>
          <w:rtl/>
        </w:rPr>
        <w:t>,</w:t>
      </w:r>
      <w:r w:rsidRPr="006A65EB">
        <w:rPr>
          <w:rFonts w:ascii="FrankRuehl" w:hAnsi="FrankRuehl" w:cs="FrankRuehl"/>
          <w:sz w:val="28"/>
          <w:szCs w:val="28"/>
          <w:rtl/>
        </w:rPr>
        <w:t xml:space="preserve"> הורשע נאשם בעבירה של נשיאה והובלת נשק לפי </w:t>
      </w:r>
      <w:hyperlink r:id="rId34" w:history="1">
        <w:r w:rsidRPr="004D00C9">
          <w:rPr>
            <w:rStyle w:val="Hyperlink"/>
            <w:rFonts w:ascii="FrankRuehl" w:hAnsi="FrankRuehl" w:cs="FrankRuehl"/>
            <w:color w:val="0000FF"/>
            <w:sz w:val="28"/>
            <w:szCs w:val="28"/>
            <w:rtl/>
          </w:rPr>
          <w:t>סעיף 144(ב)</w:t>
        </w:r>
      </w:hyperlink>
      <w:r w:rsidRPr="006A65EB">
        <w:rPr>
          <w:rFonts w:ascii="FrankRuehl" w:hAnsi="FrankRuehl" w:cs="FrankRuehl"/>
          <w:sz w:val="28"/>
          <w:szCs w:val="28"/>
          <w:rtl/>
        </w:rPr>
        <w:t xml:space="preserve"> לחוק בלבד. הנאשם נשא מטען חבלה תקול ונתפס על ידי המשטרה טרם הגיע לייעדו. מתחם הענישה ההולם שנקבע בעניינו עמד על 24 ועד 54 חודשי מאסר. </w:t>
      </w:r>
    </w:p>
    <w:p w14:paraId="3EA40E26" w14:textId="77777777" w:rsidR="004D00C9" w:rsidRPr="006A65EB" w:rsidRDefault="004D00C9" w:rsidP="006A65EB">
      <w:pPr>
        <w:pStyle w:val="a9"/>
        <w:spacing w:line="360" w:lineRule="auto"/>
        <w:jc w:val="both"/>
        <w:rPr>
          <w:rFonts w:ascii="FrankRuehl" w:hAnsi="FrankRuehl" w:cs="FrankRuehl"/>
          <w:sz w:val="28"/>
          <w:szCs w:val="28"/>
          <w:rtl/>
        </w:rPr>
      </w:pPr>
    </w:p>
    <w:p w14:paraId="36BFA7F0"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בע"פ 3491/13</w:t>
      </w:r>
      <w:r w:rsidRPr="006A65EB">
        <w:rPr>
          <w:rFonts w:ascii="FrankRuehl" w:hAnsi="FrankRuehl" w:cs="FrankRuehl"/>
          <w:b/>
          <w:bCs/>
          <w:sz w:val="28"/>
          <w:szCs w:val="28"/>
          <w:rtl/>
        </w:rPr>
        <w:t xml:space="preserve"> טוויק נ' מדינת ישראל</w:t>
      </w:r>
      <w:r w:rsidRPr="006A65EB">
        <w:rPr>
          <w:rFonts w:ascii="FrankRuehl" w:hAnsi="FrankRuehl" w:cs="FrankRuehl"/>
          <w:sz w:val="28"/>
          <w:szCs w:val="28"/>
          <w:rtl/>
        </w:rPr>
        <w:t xml:space="preserve"> (15.11.13), גם אליו הפנתה ב"כ המאשימה. נדחה ערעור על חומרת עונשו של המערער שהורשע ברכישה, הובלה ונשיאה של נשק בגין מטען חבלה מאולתר שרכש המערער, המטען הוחבא מתחת לשיח מבלי שהופעל, ושלט ההפעלה נותר בידיו של המערער. מתחם העונש ההולם שנקבע בעניינו נע בין 24 ל</w:t>
      </w:r>
      <w:r w:rsidRPr="006A65EB">
        <w:rPr>
          <w:rFonts w:ascii="FrankRuehl" w:hAnsi="FrankRuehl" w:cs="FrankRuehl" w:hint="cs"/>
          <w:sz w:val="28"/>
          <w:szCs w:val="28"/>
          <w:rtl/>
        </w:rPr>
        <w:t>-</w:t>
      </w:r>
      <w:r w:rsidRPr="006A65EB">
        <w:rPr>
          <w:rFonts w:ascii="FrankRuehl" w:hAnsi="FrankRuehl" w:cs="FrankRuehl"/>
          <w:sz w:val="28"/>
          <w:szCs w:val="28"/>
          <w:rtl/>
        </w:rPr>
        <w:t>60 חודשי מאסר. בית המשפט התחשב בגילו הצעיר של הנאשם, העדר עבר פלילי הודאתו ונטילת האחריות וגזר על</w:t>
      </w:r>
      <w:r w:rsidRPr="006A65EB">
        <w:rPr>
          <w:rFonts w:ascii="FrankRuehl" w:hAnsi="FrankRuehl" w:cs="FrankRuehl" w:hint="cs"/>
          <w:sz w:val="28"/>
          <w:szCs w:val="28"/>
          <w:rtl/>
        </w:rPr>
        <w:t>יו</w:t>
      </w:r>
      <w:r w:rsidRPr="006A65EB">
        <w:rPr>
          <w:rFonts w:ascii="FrankRuehl" w:hAnsi="FrankRuehl" w:cs="FrankRuehl"/>
          <w:sz w:val="28"/>
          <w:szCs w:val="28"/>
          <w:rtl/>
        </w:rPr>
        <w:t xml:space="preserve"> 30 חודשי מאסר בפועל. </w:t>
      </w:r>
    </w:p>
    <w:p w14:paraId="719A7DBF" w14:textId="77777777" w:rsidR="004D00C9" w:rsidRPr="006A65EB" w:rsidRDefault="004D00C9" w:rsidP="006A65EB">
      <w:pPr>
        <w:spacing w:line="360" w:lineRule="auto"/>
        <w:jc w:val="both"/>
        <w:rPr>
          <w:rFonts w:ascii="FrankRuehl" w:hAnsi="FrankRuehl" w:cs="FrankRuehl"/>
          <w:sz w:val="28"/>
          <w:szCs w:val="28"/>
        </w:rPr>
      </w:pPr>
    </w:p>
    <w:p w14:paraId="4ED7073D"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w:t>
      </w:r>
      <w:hyperlink r:id="rId35" w:history="1">
        <w:r w:rsidRPr="00BC1A4E">
          <w:rPr>
            <w:rFonts w:ascii="FrankRuehl" w:hAnsi="FrankRuehl" w:cs="FrankRuehl"/>
            <w:color w:val="0000FF"/>
            <w:sz w:val="28"/>
            <w:szCs w:val="28"/>
            <w:u w:val="single"/>
            <w:rtl/>
          </w:rPr>
          <w:t>ת"פ (מחוזי-ב"ש) 19218-08-19</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דהן</w:t>
      </w:r>
      <w:r w:rsidRPr="006A65EB">
        <w:rPr>
          <w:rFonts w:ascii="FrankRuehl" w:hAnsi="FrankRuehl" w:cs="FrankRuehl"/>
          <w:sz w:val="28"/>
          <w:szCs w:val="28"/>
          <w:rtl/>
        </w:rPr>
        <w:t xml:space="preserve"> (18.10.20), הורשע נאשם בעבירות של ניסיון לחבול בחומר נפץ לפי </w:t>
      </w:r>
      <w:hyperlink r:id="rId36" w:history="1">
        <w:r w:rsidRPr="004D00C9">
          <w:rPr>
            <w:rStyle w:val="Hyperlink"/>
            <w:rFonts w:ascii="FrankRuehl" w:hAnsi="FrankRuehl" w:cs="FrankRuehl"/>
            <w:color w:val="0000FF"/>
            <w:sz w:val="28"/>
            <w:szCs w:val="28"/>
            <w:rtl/>
          </w:rPr>
          <w:t>סעיף 330</w:t>
        </w:r>
      </w:hyperlink>
      <w:r w:rsidRPr="006A65EB">
        <w:rPr>
          <w:rFonts w:ascii="FrankRuehl" w:hAnsi="FrankRuehl" w:cs="FrankRuehl"/>
          <w:sz w:val="28"/>
          <w:szCs w:val="28"/>
          <w:rtl/>
        </w:rPr>
        <w:t xml:space="preserve"> לחוק ועבירות בנשק לפי </w:t>
      </w:r>
      <w:hyperlink r:id="rId37" w:history="1">
        <w:r w:rsidRPr="004D00C9">
          <w:rPr>
            <w:rStyle w:val="Hyperlink"/>
            <w:rFonts w:ascii="FrankRuehl" w:hAnsi="FrankRuehl" w:cs="FrankRuehl"/>
            <w:color w:val="0000FF"/>
            <w:sz w:val="28"/>
            <w:szCs w:val="28"/>
            <w:rtl/>
          </w:rPr>
          <w:t>סעיף 144(א)</w:t>
        </w:r>
      </w:hyperlink>
      <w:r w:rsidRPr="006A65EB">
        <w:rPr>
          <w:rFonts w:ascii="FrankRuehl" w:hAnsi="FrankRuehl" w:cs="FrankRuehl"/>
          <w:sz w:val="28"/>
          <w:szCs w:val="28"/>
          <w:rtl/>
        </w:rPr>
        <w:t xml:space="preserve"> לחוק. הנאשם הצמיד לדלת של דירה מטען חבלה מאולתר, שהתגלה כלא תקין. בית המשפט אישר את הסדר הטיעון בעניינו, אך ציין כי מדובר בעונש מקל</w:t>
      </w:r>
      <w:r w:rsidRPr="006A65EB">
        <w:rPr>
          <w:rFonts w:ascii="FrankRuehl" w:hAnsi="FrankRuehl" w:cs="FrankRuehl" w:hint="cs"/>
          <w:sz w:val="28"/>
          <w:szCs w:val="28"/>
          <w:rtl/>
        </w:rPr>
        <w:t>,</w:t>
      </w:r>
      <w:r w:rsidRPr="006A65EB">
        <w:rPr>
          <w:rFonts w:ascii="FrankRuehl" w:hAnsi="FrankRuehl" w:cs="FrankRuehl"/>
          <w:sz w:val="28"/>
          <w:szCs w:val="28"/>
          <w:rtl/>
        </w:rPr>
        <w:t xml:space="preserve"> ובשל נסיבות העבירה, </w:t>
      </w:r>
      <w:r w:rsidRPr="006A65EB">
        <w:rPr>
          <w:rFonts w:ascii="FrankRuehl" w:hAnsi="FrankRuehl" w:cs="FrankRuehl" w:hint="cs"/>
          <w:sz w:val="28"/>
          <w:szCs w:val="28"/>
          <w:rtl/>
        </w:rPr>
        <w:t xml:space="preserve">וכן </w:t>
      </w:r>
      <w:r w:rsidRPr="006A65EB">
        <w:rPr>
          <w:rFonts w:ascii="FrankRuehl" w:hAnsi="FrankRuehl" w:cs="FrankRuehl"/>
          <w:sz w:val="28"/>
          <w:szCs w:val="28"/>
          <w:rtl/>
        </w:rPr>
        <w:t>קשיים ראייתיים, יש לקבל את ההסדר. הושת על</w:t>
      </w:r>
      <w:r w:rsidRPr="006A65EB">
        <w:rPr>
          <w:rFonts w:ascii="FrankRuehl" w:hAnsi="FrankRuehl" w:cs="FrankRuehl" w:hint="cs"/>
          <w:sz w:val="28"/>
          <w:szCs w:val="28"/>
          <w:rtl/>
        </w:rPr>
        <w:t xml:space="preserve"> הנאשם</w:t>
      </w:r>
      <w:r w:rsidRPr="006A65EB">
        <w:rPr>
          <w:rFonts w:ascii="FrankRuehl" w:hAnsi="FrankRuehl" w:cs="FrankRuehl"/>
          <w:sz w:val="28"/>
          <w:szCs w:val="28"/>
          <w:rtl/>
        </w:rPr>
        <w:t xml:space="preserve"> עונש של 45 חודשי מאסר. </w:t>
      </w:r>
    </w:p>
    <w:p w14:paraId="2A3D9CEF" w14:textId="77777777" w:rsidR="004D00C9" w:rsidRPr="006A65EB" w:rsidRDefault="004D00C9" w:rsidP="006A65EB">
      <w:pPr>
        <w:pStyle w:val="a9"/>
        <w:spacing w:line="360" w:lineRule="auto"/>
        <w:jc w:val="both"/>
        <w:rPr>
          <w:rFonts w:ascii="FrankRuehl" w:hAnsi="FrankRuehl" w:cs="FrankRuehl"/>
          <w:sz w:val="28"/>
          <w:szCs w:val="28"/>
          <w:rtl/>
        </w:rPr>
      </w:pPr>
    </w:p>
    <w:p w14:paraId="18BA3446"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hyperlink r:id="rId38" w:history="1">
        <w:r w:rsidRPr="00BC1A4E">
          <w:rPr>
            <w:rFonts w:ascii="FrankRuehl" w:hAnsi="FrankRuehl" w:cs="FrankRuehl"/>
            <w:color w:val="0000FF"/>
            <w:sz w:val="28"/>
            <w:szCs w:val="28"/>
            <w:u w:val="single"/>
            <w:rtl/>
          </w:rPr>
          <w:t>תפ"ח (מחוזי-ת"א) 26552-07-13</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מדינת ישראל נ' פרץ</w:t>
      </w:r>
      <w:r w:rsidRPr="006A65EB">
        <w:rPr>
          <w:rFonts w:ascii="FrankRuehl" w:hAnsi="FrankRuehl" w:cs="FrankRuehl"/>
          <w:sz w:val="28"/>
          <w:szCs w:val="28"/>
          <w:rtl/>
        </w:rPr>
        <w:t xml:space="preserve"> (30.12.13), במסגרת הסכם טיעון "סגור", הושת על נאשם עונש מאסר של 66 חודשי מאסר בפועל בגין עבירות החזקה ונשיאת נשק וכן ניסיון לחבול בחומר נפיץ. על נאשם נוסף שהורשע בהחזקה ונשיאת נשק וסיוע לניסיון לחבול בחומר נפיץ, הושת עונש מאסר העומד על 36 חודשים. </w:t>
      </w:r>
    </w:p>
    <w:p w14:paraId="3A7424CA" w14:textId="77777777" w:rsidR="004D00C9" w:rsidRPr="006A65EB" w:rsidRDefault="004D00C9" w:rsidP="006A65EB">
      <w:pPr>
        <w:spacing w:line="360" w:lineRule="auto"/>
        <w:ind w:left="1080"/>
        <w:jc w:val="both"/>
        <w:rPr>
          <w:rFonts w:ascii="FrankRuehl" w:hAnsi="FrankRuehl" w:cs="FrankRuehl"/>
          <w:sz w:val="28"/>
          <w:szCs w:val="28"/>
        </w:rPr>
      </w:pPr>
    </w:p>
    <w:p w14:paraId="14B43E8A"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ב</w:t>
      </w:r>
      <w:hyperlink r:id="rId39" w:history="1">
        <w:r w:rsidRPr="00BC1A4E">
          <w:rPr>
            <w:rFonts w:ascii="FrankRuehl" w:hAnsi="FrankRuehl" w:cs="FrankRuehl"/>
            <w:color w:val="0000FF"/>
            <w:sz w:val="28"/>
            <w:szCs w:val="28"/>
            <w:u w:val="single"/>
            <w:rtl/>
          </w:rPr>
          <w:t>רע"פ 1729/07</w:t>
        </w:r>
      </w:hyperlink>
      <w:r w:rsidRPr="006A65EB">
        <w:rPr>
          <w:rFonts w:ascii="FrankRuehl" w:hAnsi="FrankRuehl" w:cs="FrankRuehl"/>
          <w:sz w:val="28"/>
          <w:szCs w:val="28"/>
          <w:rtl/>
        </w:rPr>
        <w:t xml:space="preserve"> </w:t>
      </w:r>
      <w:r w:rsidRPr="006A65EB">
        <w:rPr>
          <w:rFonts w:ascii="FrankRuehl" w:hAnsi="FrankRuehl" w:cs="FrankRuehl"/>
          <w:b/>
          <w:bCs/>
          <w:sz w:val="28"/>
          <w:szCs w:val="28"/>
          <w:rtl/>
        </w:rPr>
        <w:t>עטאונה נ' מדינת ישראל</w:t>
      </w:r>
      <w:r w:rsidRPr="006A65EB">
        <w:rPr>
          <w:rFonts w:ascii="FrankRuehl" w:hAnsi="FrankRuehl" w:cs="FrankRuehl"/>
          <w:sz w:val="28"/>
          <w:szCs w:val="28"/>
          <w:rtl/>
        </w:rPr>
        <w:t xml:space="preserve"> (07.06.07), נדחה ערעור בגין חומרת העונש של עבירת סחיטה באיומים על רקע סכסוך כספי. המערער הופיע בפתח ביתו של המתלונן איים עליו ודרש את התשלום. בית משפט השלום גזר עליו עונש של 9 חודשי מאסר, ואילו בית המשפט המחוזי החמיר בעונשו ל</w:t>
      </w:r>
      <w:r w:rsidRPr="006A65EB">
        <w:rPr>
          <w:rFonts w:ascii="FrankRuehl" w:hAnsi="FrankRuehl" w:cs="FrankRuehl" w:hint="cs"/>
          <w:sz w:val="28"/>
          <w:szCs w:val="28"/>
          <w:rtl/>
        </w:rPr>
        <w:t>-</w:t>
      </w:r>
      <w:r w:rsidRPr="006A65EB">
        <w:rPr>
          <w:rFonts w:ascii="FrankRuehl" w:hAnsi="FrankRuehl" w:cs="FrankRuehl"/>
          <w:sz w:val="28"/>
          <w:szCs w:val="28"/>
          <w:rtl/>
        </w:rPr>
        <w:t xml:space="preserve">3 שנות מאסר בציינו כי העונש אינו משקף את חומרת מעשיו ואת הצורך בהרתעה. </w:t>
      </w:r>
    </w:p>
    <w:p w14:paraId="61CFEFD9" w14:textId="77777777" w:rsidR="004D00C9" w:rsidRPr="006A65EB" w:rsidRDefault="004D00C9" w:rsidP="006A65EB">
      <w:pPr>
        <w:pStyle w:val="a9"/>
        <w:spacing w:line="360" w:lineRule="auto"/>
        <w:jc w:val="both"/>
        <w:rPr>
          <w:rFonts w:ascii="FrankRuehl" w:hAnsi="FrankRuehl" w:cs="FrankRuehl"/>
          <w:sz w:val="28"/>
          <w:szCs w:val="28"/>
          <w:rtl/>
        </w:rPr>
      </w:pPr>
    </w:p>
    <w:p w14:paraId="01314F1F" w14:textId="77777777" w:rsidR="004D00C9" w:rsidRPr="006A65EB" w:rsidRDefault="004D00C9" w:rsidP="006A65EB">
      <w:pPr>
        <w:pStyle w:val="a9"/>
        <w:numPr>
          <w:ilvl w:val="0"/>
          <w:numId w:val="1"/>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בע"פ 5769/14 </w:t>
      </w:r>
      <w:r w:rsidRPr="006A65EB">
        <w:rPr>
          <w:rFonts w:ascii="FrankRuehl" w:hAnsi="FrankRuehl" w:cs="FrankRuehl"/>
          <w:b/>
          <w:bCs/>
          <w:sz w:val="28"/>
          <w:szCs w:val="28"/>
          <w:rtl/>
        </w:rPr>
        <w:t>אלרואי נ' מדינת ישראל</w:t>
      </w:r>
      <w:r w:rsidRPr="006A65EB">
        <w:rPr>
          <w:rFonts w:ascii="FrankRuehl" w:hAnsi="FrankRuehl" w:cs="FrankRuehl"/>
          <w:sz w:val="28"/>
          <w:szCs w:val="28"/>
          <w:rtl/>
        </w:rPr>
        <w:t xml:space="preserve"> (20.09.15), המערער הורשע בשני אישומים שונים של עבירת סחיטה באיומים לפי </w:t>
      </w:r>
      <w:hyperlink r:id="rId40" w:history="1">
        <w:r w:rsidRPr="004D00C9">
          <w:rPr>
            <w:rStyle w:val="Hyperlink"/>
            <w:rFonts w:ascii="FrankRuehl" w:hAnsi="FrankRuehl" w:cs="FrankRuehl"/>
            <w:color w:val="0000FF"/>
            <w:sz w:val="28"/>
            <w:szCs w:val="28"/>
            <w:rtl/>
          </w:rPr>
          <w:t>סעיף 428</w:t>
        </w:r>
      </w:hyperlink>
      <w:r w:rsidRPr="006A65EB">
        <w:rPr>
          <w:rFonts w:ascii="FrankRuehl" w:hAnsi="FrankRuehl" w:cs="FrankRuehl"/>
          <w:sz w:val="28"/>
          <w:szCs w:val="28"/>
          <w:rtl/>
        </w:rPr>
        <w:t xml:space="preserve"> רישא. שני מקרי הסחיטה שעמדו יחד על כרבע מיליון שקלים התרחשו במשך זמן קצר ולא התממשו. נקבע מתחם עונש הנע בין 18 ועד 36 חודשים לכל אחד מהאישומים. המערער, בעל עבר פלילי מכביד, נידון לעונש של 66 חודשי מאסר. בית המשפט הקל בעונשו וגזר עליו 60 חודשי מאסר בפועל. </w:t>
      </w:r>
    </w:p>
    <w:p w14:paraId="5BB51254" w14:textId="77777777" w:rsidR="004D00C9" w:rsidRPr="006A65EB" w:rsidRDefault="004D00C9" w:rsidP="006A65EB">
      <w:pPr>
        <w:spacing w:line="360" w:lineRule="auto"/>
        <w:jc w:val="both"/>
        <w:rPr>
          <w:rFonts w:ascii="FrankRuehl" w:hAnsi="FrankRuehl" w:cs="FrankRuehl"/>
          <w:sz w:val="28"/>
          <w:szCs w:val="28"/>
          <w:rtl/>
        </w:rPr>
      </w:pPr>
    </w:p>
    <w:p w14:paraId="4C8D17F4" w14:textId="77777777" w:rsidR="004D00C9" w:rsidRPr="006A65EB" w:rsidRDefault="004D00C9" w:rsidP="006A65EB">
      <w:pPr>
        <w:pStyle w:val="a9"/>
        <w:numPr>
          <w:ilvl w:val="0"/>
          <w:numId w:val="2"/>
        </w:numPr>
        <w:spacing w:line="360" w:lineRule="auto"/>
        <w:jc w:val="both"/>
        <w:rPr>
          <w:rFonts w:ascii="FrankRuehl" w:hAnsi="FrankRuehl" w:cs="FrankRuehl"/>
          <w:sz w:val="28"/>
          <w:szCs w:val="28"/>
        </w:rPr>
      </w:pPr>
      <w:r w:rsidRPr="006A65EB">
        <w:rPr>
          <w:rFonts w:ascii="FrankRuehl" w:hAnsi="FrankRuehl" w:cs="FrankRuehl"/>
          <w:sz w:val="28"/>
          <w:szCs w:val="28"/>
          <w:rtl/>
        </w:rPr>
        <w:t>בשים לב למנעד הרחב העולה מהפסיקה תוך בחינת נסיבות ביצוע העבירה הרלוונטיות, ביניהם כאמור סוג העבירות, ביצוע העבירות כלפי בני משפחתו של הנאשם, מסכת האיומים הממושכת שהגיעה לכדי שימוש בנשק ולא פסקה אף לאחריה, ופוטנציאל הנזק שיכול היה להיגרם מהתפוצצות המטען החי שאך במזל נמנע. אני סבור כי מתחם העונש ההולם מקרה זה נע מ</w:t>
      </w:r>
      <w:r w:rsidRPr="006A65EB">
        <w:rPr>
          <w:rFonts w:ascii="FrankRuehl" w:hAnsi="FrankRuehl" w:cs="FrankRuehl" w:hint="cs"/>
          <w:sz w:val="28"/>
          <w:szCs w:val="28"/>
          <w:rtl/>
        </w:rPr>
        <w:t>-</w:t>
      </w:r>
      <w:r w:rsidRPr="006A65EB">
        <w:rPr>
          <w:rFonts w:ascii="FrankRuehl" w:hAnsi="FrankRuehl" w:cs="FrankRuehl"/>
          <w:sz w:val="28"/>
          <w:szCs w:val="28"/>
          <w:rtl/>
        </w:rPr>
        <w:t xml:space="preserve">42 ועד 72 חודשי מאסר בפועל, לצד ענישה נלווית צופה פני עתיד </w:t>
      </w:r>
      <w:r w:rsidRPr="006A65EB">
        <w:rPr>
          <w:rFonts w:ascii="FrankRuehl" w:hAnsi="FrankRuehl" w:cs="FrankRuehl" w:hint="cs"/>
          <w:sz w:val="28"/>
          <w:szCs w:val="28"/>
          <w:rtl/>
        </w:rPr>
        <w:t xml:space="preserve">קנס </w:t>
      </w:r>
      <w:r w:rsidRPr="006A65EB">
        <w:rPr>
          <w:rFonts w:ascii="FrankRuehl" w:hAnsi="FrankRuehl" w:cs="FrankRuehl"/>
          <w:sz w:val="28"/>
          <w:szCs w:val="28"/>
          <w:rtl/>
        </w:rPr>
        <w:t xml:space="preserve">ופיצויים. </w:t>
      </w:r>
    </w:p>
    <w:p w14:paraId="5BDCBF1C" w14:textId="77777777" w:rsidR="004D00C9" w:rsidRPr="006A65EB" w:rsidRDefault="004D00C9" w:rsidP="006A65EB">
      <w:pPr>
        <w:pStyle w:val="a9"/>
        <w:spacing w:line="360" w:lineRule="auto"/>
        <w:ind w:left="1080"/>
        <w:jc w:val="both"/>
        <w:rPr>
          <w:rFonts w:ascii="FrankRuehl" w:hAnsi="FrankRuehl" w:cs="FrankRuehl"/>
          <w:sz w:val="28"/>
          <w:szCs w:val="28"/>
        </w:rPr>
      </w:pPr>
    </w:p>
    <w:p w14:paraId="3E9C7C59" w14:textId="77777777" w:rsidR="004D00C9" w:rsidRPr="006A65EB" w:rsidRDefault="004D00C9" w:rsidP="006A65EB">
      <w:pPr>
        <w:pStyle w:val="a9"/>
        <w:spacing w:line="360" w:lineRule="auto"/>
        <w:ind w:left="1080"/>
        <w:jc w:val="both"/>
        <w:rPr>
          <w:rFonts w:ascii="FrankRuehl" w:hAnsi="FrankRuehl" w:cs="FrankRuehl"/>
          <w:sz w:val="28"/>
          <w:szCs w:val="28"/>
        </w:rPr>
      </w:pPr>
      <w:r w:rsidRPr="006A65EB">
        <w:rPr>
          <w:rFonts w:ascii="FrankRuehl" w:hAnsi="FrankRuehl" w:cs="FrankRuehl"/>
          <w:sz w:val="28"/>
          <w:szCs w:val="28"/>
          <w:rtl/>
        </w:rPr>
        <w:t>מכאן לנאשם</w:t>
      </w:r>
      <w:r w:rsidRPr="006A65EB">
        <w:rPr>
          <w:rFonts w:ascii="FrankRuehl" w:hAnsi="FrankRuehl" w:cs="FrankRuehl" w:hint="cs"/>
          <w:sz w:val="28"/>
          <w:szCs w:val="28"/>
          <w:rtl/>
        </w:rPr>
        <w:t>.</w:t>
      </w:r>
      <w:r w:rsidRPr="006A65EB">
        <w:rPr>
          <w:rFonts w:ascii="FrankRuehl" w:hAnsi="FrankRuehl" w:cs="FrankRuehl"/>
          <w:sz w:val="28"/>
          <w:szCs w:val="28"/>
          <w:rtl/>
        </w:rPr>
        <w:t xml:space="preserve">  </w:t>
      </w:r>
    </w:p>
    <w:p w14:paraId="145B40BF" w14:textId="77777777" w:rsidR="004D00C9" w:rsidRPr="006A65EB" w:rsidRDefault="004D00C9" w:rsidP="00793251">
      <w:pPr>
        <w:pStyle w:val="a9"/>
        <w:rPr>
          <w:rFonts w:ascii="FrankRuehl" w:hAnsi="FrankRuehl" w:cs="FrankRuehl"/>
          <w:sz w:val="28"/>
          <w:szCs w:val="28"/>
          <w:rtl/>
        </w:rPr>
      </w:pPr>
    </w:p>
    <w:p w14:paraId="0BCF8DC5" w14:textId="77777777" w:rsidR="004D00C9" w:rsidRPr="006A65EB" w:rsidRDefault="004D00C9" w:rsidP="006A65EB">
      <w:pPr>
        <w:pStyle w:val="a9"/>
        <w:numPr>
          <w:ilvl w:val="0"/>
          <w:numId w:val="2"/>
        </w:numPr>
        <w:spacing w:line="360" w:lineRule="auto"/>
        <w:jc w:val="both"/>
        <w:rPr>
          <w:rFonts w:ascii="FrankRuehl" w:hAnsi="FrankRuehl" w:cs="FrankRuehl"/>
          <w:sz w:val="28"/>
          <w:szCs w:val="28"/>
          <w:rtl/>
        </w:rPr>
      </w:pPr>
      <w:r w:rsidRPr="006A65EB">
        <w:rPr>
          <w:rFonts w:ascii="FrankRuehl" w:hAnsi="FrankRuehl" w:cs="FrankRuehl"/>
          <w:sz w:val="28"/>
          <w:szCs w:val="28"/>
          <w:rtl/>
        </w:rPr>
        <w:t xml:space="preserve">נסיבותיו האישיות של הנאשם נזקפות אך לחובתו. הנאשם, יליד שנת 1978, </w:t>
      </w:r>
      <w:r w:rsidRPr="006A65EB">
        <w:rPr>
          <w:rFonts w:ascii="FrankRuehl" w:hAnsi="FrankRuehl" w:cs="FrankRuehl" w:hint="cs"/>
          <w:sz w:val="28"/>
          <w:szCs w:val="28"/>
          <w:rtl/>
        </w:rPr>
        <w:t xml:space="preserve">כיום בן 45, </w:t>
      </w:r>
      <w:r w:rsidRPr="006A65EB">
        <w:rPr>
          <w:rFonts w:ascii="FrankRuehl" w:hAnsi="FrankRuehl" w:cs="FrankRuehl"/>
          <w:sz w:val="28"/>
          <w:szCs w:val="28"/>
          <w:rtl/>
        </w:rPr>
        <w:t xml:space="preserve">בעל עבר פלילי מכביד. רישומו הפלילי של הנאשם מעיד כי הלה מרצה, החל משנת 1999 עונשי מאסר ממושכים בגין עבירות אלימות ורכוש רבות, </w:t>
      </w:r>
      <w:r w:rsidRPr="006A65EB">
        <w:rPr>
          <w:rFonts w:ascii="FrankRuehl" w:hAnsi="FrankRuehl" w:cs="FrankRuehl" w:hint="cs"/>
          <w:sz w:val="28"/>
          <w:szCs w:val="28"/>
          <w:rtl/>
        </w:rPr>
        <w:t xml:space="preserve">בכללן גם </w:t>
      </w:r>
      <w:r w:rsidRPr="006A65EB">
        <w:rPr>
          <w:rFonts w:ascii="FrankRuehl" w:hAnsi="FrankRuehl" w:cs="FrankRuehl"/>
          <w:sz w:val="28"/>
          <w:szCs w:val="28"/>
          <w:rtl/>
        </w:rPr>
        <w:t xml:space="preserve">עבירות של סחיטה באיומים ובכוח. גם </w:t>
      </w:r>
      <w:r w:rsidRPr="006A65EB">
        <w:rPr>
          <w:rFonts w:ascii="FrankRuehl" w:hAnsi="FrankRuehl" w:cs="FrankRuehl" w:hint="cs"/>
          <w:sz w:val="28"/>
          <w:szCs w:val="28"/>
          <w:rtl/>
        </w:rPr>
        <w:t>ה</w:t>
      </w:r>
      <w:r w:rsidRPr="006A65EB">
        <w:rPr>
          <w:rFonts w:ascii="FrankRuehl" w:hAnsi="FrankRuehl" w:cs="FrankRuehl"/>
          <w:sz w:val="28"/>
          <w:szCs w:val="28"/>
          <w:rtl/>
        </w:rPr>
        <w:t>מאסר</w:t>
      </w:r>
      <w:r w:rsidRPr="006A65EB">
        <w:rPr>
          <w:rFonts w:ascii="FrankRuehl" w:hAnsi="FrankRuehl" w:cs="FrankRuehl" w:hint="cs"/>
          <w:sz w:val="28"/>
          <w:szCs w:val="28"/>
          <w:rtl/>
        </w:rPr>
        <w:t xml:space="preserve"> אותו מרצה הנאשם כיום </w:t>
      </w:r>
      <w:r w:rsidRPr="006A65EB">
        <w:rPr>
          <w:rFonts w:ascii="FrankRuehl" w:hAnsi="FrankRuehl" w:cs="FrankRuehl"/>
          <w:sz w:val="28"/>
          <w:szCs w:val="28"/>
          <w:rtl/>
        </w:rPr>
        <w:t>שנגזר עליו</w:t>
      </w:r>
      <w:r w:rsidRPr="006A65EB">
        <w:rPr>
          <w:rFonts w:ascii="FrankRuehl" w:hAnsi="FrankRuehl" w:cs="FrankRuehl" w:hint="cs"/>
          <w:sz w:val="28"/>
          <w:szCs w:val="28"/>
          <w:rtl/>
        </w:rPr>
        <w:t xml:space="preserve"> ביום 2.10.22</w:t>
      </w:r>
      <w:r w:rsidRPr="006A65EB">
        <w:rPr>
          <w:rFonts w:ascii="FrankRuehl" w:hAnsi="FrankRuehl" w:cs="FrankRuehl"/>
          <w:sz w:val="28"/>
          <w:szCs w:val="28"/>
          <w:rtl/>
        </w:rPr>
        <w:t xml:space="preserve"> </w:t>
      </w:r>
      <w:r w:rsidRPr="006A65EB">
        <w:rPr>
          <w:rFonts w:ascii="FrankRuehl" w:hAnsi="FrankRuehl" w:cs="FrankRuehl" w:hint="cs"/>
          <w:sz w:val="28"/>
          <w:szCs w:val="28"/>
          <w:rtl/>
        </w:rPr>
        <w:t xml:space="preserve">בבית משפט השלום בירושלים (במסגרת </w:t>
      </w:r>
      <w:hyperlink r:id="rId41" w:history="1">
        <w:r w:rsidRPr="00BC1A4E">
          <w:rPr>
            <w:rFonts w:ascii="FrankRuehl" w:hAnsi="FrankRuehl" w:cs="FrankRuehl"/>
            <w:color w:val="0000FF"/>
            <w:sz w:val="28"/>
            <w:szCs w:val="28"/>
            <w:u w:val="single"/>
            <w:rtl/>
          </w:rPr>
          <w:t>ת"פ (י-ם) 63607-01-22</w:t>
        </w:r>
      </w:hyperlink>
      <w:r w:rsidRPr="006A65EB">
        <w:rPr>
          <w:rFonts w:ascii="FrankRuehl" w:hAnsi="FrankRuehl" w:cs="FrankRuehl" w:hint="cs"/>
          <w:sz w:val="28"/>
          <w:szCs w:val="28"/>
          <w:rtl/>
        </w:rPr>
        <w:t xml:space="preserve">, </w:t>
      </w:r>
      <w:r w:rsidRPr="006A65EB">
        <w:rPr>
          <w:rFonts w:ascii="FrankRuehl" w:hAnsi="FrankRuehl" w:cs="FrankRuehl"/>
          <w:sz w:val="28"/>
          <w:szCs w:val="28"/>
          <w:rtl/>
        </w:rPr>
        <w:t>והערעור על חומרת העונש נדחה ב</w:t>
      </w:r>
      <w:hyperlink r:id="rId42" w:history="1">
        <w:r w:rsidRPr="00BC1A4E">
          <w:rPr>
            <w:rFonts w:ascii="FrankRuehl" w:hAnsi="FrankRuehl" w:cs="FrankRuehl"/>
            <w:color w:val="0000FF"/>
            <w:sz w:val="28"/>
            <w:szCs w:val="28"/>
            <w:u w:val="single"/>
            <w:rtl/>
          </w:rPr>
          <w:t>עפ"ג (מחוזי-י-ם) 35259-11-22</w:t>
        </w:r>
      </w:hyperlink>
      <w:r w:rsidRPr="006A65EB">
        <w:rPr>
          <w:rFonts w:ascii="FrankRuehl" w:hAnsi="FrankRuehl" w:cs="FrankRuehl"/>
          <w:sz w:val="28"/>
          <w:szCs w:val="28"/>
          <w:rtl/>
        </w:rPr>
        <w:t>), העומד על 40 חודשי מאסר</w:t>
      </w:r>
      <w:r w:rsidRPr="006A65EB">
        <w:rPr>
          <w:rFonts w:ascii="FrankRuehl" w:hAnsi="FrankRuehl" w:cs="FrankRuehl" w:hint="cs"/>
          <w:sz w:val="28"/>
          <w:szCs w:val="28"/>
          <w:rtl/>
        </w:rPr>
        <w:t xml:space="preserve"> הושת עליו</w:t>
      </w:r>
      <w:r w:rsidRPr="006A65EB">
        <w:rPr>
          <w:rFonts w:ascii="FrankRuehl" w:hAnsi="FrankRuehl" w:cs="FrankRuehl"/>
          <w:sz w:val="28"/>
          <w:szCs w:val="28"/>
          <w:rtl/>
        </w:rPr>
        <w:t xml:space="preserve"> בגין עבירות תקיפה הגורמת חבלה של ממש, תקיפת זקן הגורמת חבלה של ממש, סחיטה בכוח ובאיומים שביצע כלפי אמו ואחיו</w:t>
      </w:r>
      <w:r w:rsidRPr="006A65EB">
        <w:rPr>
          <w:rFonts w:ascii="FrankRuehl" w:hAnsi="FrankRuehl" w:cs="FrankRuehl" w:hint="cs"/>
          <w:sz w:val="28"/>
          <w:szCs w:val="28"/>
          <w:rtl/>
        </w:rPr>
        <w:t xml:space="preserve">. כל אלו מעידים על המסוכנות הרבה של הנאשם וחוסר רצונו </w:t>
      </w:r>
      <w:r w:rsidRPr="006A65EB">
        <w:rPr>
          <w:rFonts w:ascii="FrankRuehl" w:hAnsi="FrankRuehl" w:cs="FrankRuehl"/>
          <w:sz w:val="28"/>
          <w:szCs w:val="28"/>
          <w:rtl/>
        </w:rPr>
        <w:t xml:space="preserve">לתקן את דרכיו ולהימנע מפעולות עברייניות. </w:t>
      </w:r>
      <w:r w:rsidRPr="006A65EB">
        <w:rPr>
          <w:rFonts w:ascii="FrankRuehl" w:hAnsi="FrankRuehl" w:cs="FrankRuehl" w:hint="cs"/>
          <w:sz w:val="28"/>
          <w:szCs w:val="28"/>
          <w:rtl/>
        </w:rPr>
        <w:t xml:space="preserve">לפני מספר שנים, לא מיצה בית המשפט </w:t>
      </w:r>
      <w:r w:rsidRPr="006A65EB">
        <w:rPr>
          <w:rFonts w:ascii="FrankRuehl" w:hAnsi="FrankRuehl" w:cs="FrankRuehl"/>
          <w:sz w:val="28"/>
          <w:szCs w:val="28"/>
          <w:rtl/>
        </w:rPr>
        <w:t>(</w:t>
      </w:r>
      <w:hyperlink r:id="rId43" w:history="1">
        <w:r w:rsidRPr="00BC1A4E">
          <w:rPr>
            <w:rFonts w:ascii="FrankRuehl" w:hAnsi="FrankRuehl" w:cs="FrankRuehl"/>
            <w:color w:val="0000FF"/>
            <w:sz w:val="28"/>
            <w:szCs w:val="28"/>
            <w:u w:val="single"/>
            <w:rtl/>
          </w:rPr>
          <w:t>ת"פ (י-ם) 68454-06-18</w:t>
        </w:r>
      </w:hyperlink>
      <w:r w:rsidRPr="006A65EB">
        <w:rPr>
          <w:rFonts w:ascii="FrankRuehl" w:hAnsi="FrankRuehl" w:cs="FrankRuehl"/>
          <w:sz w:val="28"/>
          <w:szCs w:val="28"/>
          <w:rtl/>
        </w:rPr>
        <w:t>)</w:t>
      </w:r>
      <w:r w:rsidRPr="006A65EB">
        <w:rPr>
          <w:rFonts w:ascii="FrankRuehl" w:hAnsi="FrankRuehl" w:cs="FrankRuehl" w:hint="cs"/>
          <w:sz w:val="28"/>
          <w:szCs w:val="28"/>
          <w:rtl/>
        </w:rPr>
        <w:t xml:space="preserve"> את הדין עם הנאשם נוכח הצהרתו של הנאשם כי ברצונו לשנות את אורחות חייו, ועל פניו נראה כי </w:t>
      </w:r>
      <w:r w:rsidRPr="006A65EB">
        <w:rPr>
          <w:rFonts w:ascii="FrankRuehl" w:hAnsi="FrankRuehl" w:cs="FrankRuehl"/>
          <w:sz w:val="28"/>
          <w:szCs w:val="28"/>
          <w:rtl/>
        </w:rPr>
        <w:t>הנאשם פירש זאת כרשות להמשיך בדרכו. הנאשם גם לא נטל אחריות</w:t>
      </w:r>
      <w:r w:rsidRPr="006A65EB">
        <w:rPr>
          <w:rFonts w:ascii="FrankRuehl" w:hAnsi="FrankRuehl" w:cs="FrankRuehl" w:hint="cs"/>
          <w:sz w:val="28"/>
          <w:szCs w:val="28"/>
          <w:rtl/>
        </w:rPr>
        <w:t xml:space="preserve"> על מעשיו ולא הביע חרטה</w:t>
      </w:r>
      <w:r w:rsidRPr="006A65EB">
        <w:rPr>
          <w:rFonts w:ascii="FrankRuehl" w:hAnsi="FrankRuehl" w:cs="FrankRuehl"/>
          <w:sz w:val="28"/>
          <w:szCs w:val="28"/>
          <w:rtl/>
        </w:rPr>
        <w:t xml:space="preserve">. </w:t>
      </w:r>
    </w:p>
    <w:p w14:paraId="347E82C1" w14:textId="77777777" w:rsidR="004D00C9" w:rsidRPr="006A65EB" w:rsidRDefault="004D00C9" w:rsidP="006A65EB">
      <w:pPr>
        <w:spacing w:line="360" w:lineRule="auto"/>
        <w:ind w:left="720" w:hanging="720"/>
        <w:jc w:val="both"/>
        <w:rPr>
          <w:rFonts w:ascii="FrankRuehl" w:hAnsi="FrankRuehl" w:cs="FrankRuehl"/>
          <w:sz w:val="28"/>
          <w:szCs w:val="28"/>
          <w:rtl/>
        </w:rPr>
      </w:pPr>
    </w:p>
    <w:p w14:paraId="746AE4D3" w14:textId="77777777" w:rsidR="004D00C9" w:rsidRPr="006A65EB" w:rsidRDefault="004D00C9" w:rsidP="006A65EB">
      <w:pPr>
        <w:pStyle w:val="a9"/>
        <w:numPr>
          <w:ilvl w:val="0"/>
          <w:numId w:val="3"/>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למעשה, </w:t>
      </w:r>
      <w:r w:rsidRPr="006A65EB">
        <w:rPr>
          <w:rFonts w:ascii="FrankRuehl" w:hAnsi="FrankRuehl" w:cs="FrankRuehl"/>
          <w:sz w:val="28"/>
          <w:szCs w:val="28"/>
          <w:rtl/>
        </w:rPr>
        <w:t xml:space="preserve">ב"כ הנאשם </w:t>
      </w:r>
      <w:r w:rsidRPr="006A65EB">
        <w:rPr>
          <w:rFonts w:ascii="FrankRuehl" w:hAnsi="FrankRuehl" w:cs="FrankRuehl" w:hint="cs"/>
          <w:sz w:val="28"/>
          <w:szCs w:val="28"/>
          <w:rtl/>
        </w:rPr>
        <w:t>יכלו ל</w:t>
      </w:r>
      <w:r w:rsidRPr="006A65EB">
        <w:rPr>
          <w:rFonts w:ascii="FrankRuehl" w:hAnsi="FrankRuehl" w:cs="FrankRuehl"/>
          <w:sz w:val="28"/>
          <w:szCs w:val="28"/>
          <w:rtl/>
        </w:rPr>
        <w:t xml:space="preserve">הצביע על נסיבה אחת בלבד לקולא בגינו של הנאשם והיא הפגיעה במשפחתו ובייחוד בבנותיו. </w:t>
      </w:r>
      <w:r w:rsidRPr="006A65EB">
        <w:rPr>
          <w:rFonts w:ascii="FrankRuehl" w:hAnsi="FrankRuehl" w:cs="FrankRuehl" w:hint="cs"/>
          <w:sz w:val="28"/>
          <w:szCs w:val="28"/>
          <w:rtl/>
        </w:rPr>
        <w:t xml:space="preserve">ואולם, גם לנסיבה זו יש ליתן את המשקל הראוי. </w:t>
      </w:r>
      <w:r w:rsidRPr="006A65EB">
        <w:rPr>
          <w:rFonts w:ascii="FrankRuehl" w:hAnsi="FrankRuehl" w:cs="FrankRuehl"/>
          <w:sz w:val="28"/>
          <w:szCs w:val="28"/>
          <w:rtl/>
        </w:rPr>
        <w:t xml:space="preserve">הנאשם נכנס ויצא מבין כותלי הכלא לאורך שנים רבות, בטרם נולדו בנותיו, </w:t>
      </w:r>
      <w:r w:rsidRPr="006A65EB">
        <w:rPr>
          <w:rFonts w:ascii="FrankRuehl" w:hAnsi="FrankRuehl" w:cs="FrankRuehl" w:hint="cs"/>
          <w:sz w:val="28"/>
          <w:szCs w:val="28"/>
          <w:rtl/>
        </w:rPr>
        <w:t xml:space="preserve">וגם לאחר מכן, הוא עצמו לא ראה חשיבות בנוכחותו הפיסית לצד משפחתו. בנסיבות אלו, קשה לקבל את הטענה כי יש להביא בחשבון את העובדה כי בני משפחתו ישלמו מחיר משמעותי בגין מעשי הנאשם. </w:t>
      </w:r>
    </w:p>
    <w:p w14:paraId="43D97421" w14:textId="77777777" w:rsidR="004D00C9" w:rsidRPr="006A65EB" w:rsidRDefault="004D00C9" w:rsidP="006A65EB">
      <w:pPr>
        <w:pStyle w:val="a9"/>
        <w:spacing w:line="360" w:lineRule="auto"/>
        <w:ind w:left="1080"/>
        <w:jc w:val="both"/>
        <w:rPr>
          <w:rFonts w:ascii="FrankRuehl" w:hAnsi="FrankRuehl" w:cs="FrankRuehl"/>
          <w:sz w:val="28"/>
          <w:szCs w:val="28"/>
          <w:rtl/>
        </w:rPr>
      </w:pPr>
    </w:p>
    <w:p w14:paraId="0848EB09" w14:textId="77777777" w:rsidR="004D00C9" w:rsidRPr="006A65EB" w:rsidRDefault="004D00C9" w:rsidP="006A65EB">
      <w:pPr>
        <w:pStyle w:val="a9"/>
        <w:numPr>
          <w:ilvl w:val="0"/>
          <w:numId w:val="5"/>
        </w:numPr>
        <w:spacing w:line="360" w:lineRule="auto"/>
        <w:jc w:val="both"/>
        <w:rPr>
          <w:rFonts w:ascii="FrankRuehl" w:hAnsi="FrankRuehl" w:cs="FrankRuehl"/>
          <w:sz w:val="28"/>
          <w:szCs w:val="28"/>
        </w:rPr>
      </w:pPr>
      <w:r w:rsidRPr="006A65EB">
        <w:rPr>
          <w:rFonts w:ascii="FrankRuehl" w:hAnsi="FrankRuehl" w:cs="FrankRuehl" w:hint="cs"/>
          <w:sz w:val="28"/>
          <w:szCs w:val="28"/>
          <w:shd w:val="clear" w:color="auto" w:fill="FFFFFF"/>
          <w:rtl/>
        </w:rPr>
        <w:t xml:space="preserve">הצדדים נחלקו בשאלה האם נכון לקבוע כי הנאשם ירצה את עונשו במצטבר לעונש שהוא מרצה לעת הזו, או בחופף לו, ולו באופן חלקי. כאמור, הנאשם מרצה כיום עונש מאסר </w:t>
      </w:r>
      <w:r w:rsidRPr="006A65EB">
        <w:rPr>
          <w:rFonts w:ascii="FrankRuehl" w:hAnsi="FrankRuehl" w:cs="FrankRuehl" w:hint="cs"/>
          <w:sz w:val="28"/>
          <w:szCs w:val="28"/>
          <w:rtl/>
        </w:rPr>
        <w:t xml:space="preserve">שהושת עליו </w:t>
      </w:r>
      <w:r w:rsidRPr="006A65EB">
        <w:rPr>
          <w:rFonts w:ascii="FrankRuehl" w:hAnsi="FrankRuehl" w:cs="FrankRuehl"/>
          <w:sz w:val="28"/>
          <w:szCs w:val="28"/>
          <w:rtl/>
        </w:rPr>
        <w:t>בת"פ (</w:t>
      </w:r>
      <w:r w:rsidRPr="006A65EB">
        <w:rPr>
          <w:rFonts w:ascii="FrankRuehl" w:hAnsi="FrankRuehl" w:cs="FrankRuehl" w:hint="cs"/>
          <w:sz w:val="28"/>
          <w:szCs w:val="28"/>
          <w:rtl/>
        </w:rPr>
        <w:t>י</w:t>
      </w:r>
      <w:r w:rsidRPr="006A65EB">
        <w:rPr>
          <w:rFonts w:ascii="FrankRuehl" w:hAnsi="FrankRuehl" w:cs="FrankRuehl"/>
          <w:sz w:val="28"/>
          <w:szCs w:val="28"/>
          <w:rtl/>
        </w:rPr>
        <w:t>-ם) 63607-01-22,</w:t>
      </w:r>
      <w:r w:rsidRPr="006A65EB">
        <w:rPr>
          <w:rFonts w:ascii="FrankRuehl" w:hAnsi="FrankRuehl" w:cs="FrankRuehl" w:hint="cs"/>
          <w:sz w:val="28"/>
          <w:szCs w:val="28"/>
          <w:rtl/>
        </w:rPr>
        <w:t xml:space="preserve"> בשל מעשים אלימות ואיומים שנקט כלפי בני משפחתו, באותו מקרה היו אלו אמו ואחיו. מעשים אלו, שנעשו כחודש לפני המעשים מושא גזר דין זה, נכללו תחילה בכתב האישום שהוגש בהליך זה כאישום נוסף. הנאשם, בתחילת ההליך טען, באמצעות בא-כוחו דאז, כי יש להפריד את האישומים, ולהעביר את הדיון באישום הראשון לבית משפט השלום, זאת, בין היתר, בשל כך שמדובר ב"שני אישומים זרים לחלוטין האחד לשני אין קשר ביניהם" (פרוטוקול הדיון מיום 17.01.22, עמ' 2, שורה 10) הוא הוסיף כי הצירוף של שני אישומים אלו "לא יכול לעמוד אפילו בדוחק" (שורה 11). הוא תמה "איך אפשר לומר שהאישום הראשון שמתייחס (למעשים שנעשו) חודש ימים לפני כן (בקשר) לטענה שהוא הרביץ לאחיו לבית, מהווה ביחד עם האישום השני סדרת מעשים שמהווים פרשה אחת?!" (שורה 16). בנסיבות אלו, קשה לקבל מפיו כיום את הטענה המושמעת מפיו באמצעות עורכי דינו כיום, כי מדובר "בתיק מגביל, נושק לאותה פרשה, נעשה פיצול בתיק זה כמעט מלאכותי" (פרוטוקול הדיון מיום 18.12.23, עמ' 98, שורה 33 ואילך), כאילו ניהול הליך משפטי הוא "תכנית כבקשתך", פעם לטעון כך ופעם את ההיפך הגמור. אני סבור אפוא כי יש להורות שהנאשם ירצה את עונשי המאסר בזה אחר זה ולא בחופף. </w:t>
      </w:r>
    </w:p>
    <w:p w14:paraId="706D71F6" w14:textId="77777777" w:rsidR="004D00C9" w:rsidRPr="006A65EB" w:rsidRDefault="004D00C9" w:rsidP="006A65EB">
      <w:pPr>
        <w:pStyle w:val="a9"/>
        <w:spacing w:line="360" w:lineRule="auto"/>
        <w:ind w:left="1080"/>
        <w:jc w:val="both"/>
        <w:rPr>
          <w:rFonts w:ascii="FrankRuehl" w:hAnsi="FrankRuehl" w:cs="FrankRuehl"/>
          <w:sz w:val="28"/>
          <w:szCs w:val="28"/>
          <w:rtl/>
        </w:rPr>
      </w:pPr>
    </w:p>
    <w:p w14:paraId="31B9E553" w14:textId="77777777" w:rsidR="004D00C9" w:rsidRPr="006A65EB" w:rsidRDefault="004D00C9" w:rsidP="006A65EB">
      <w:pPr>
        <w:pStyle w:val="a9"/>
        <w:numPr>
          <w:ilvl w:val="0"/>
          <w:numId w:val="5"/>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טענה נוספת שהייתה בפי המאשימה היא שיש לחרוג במקרה זה ממתחם העונש ההולם לחומרא, בהתאם </w:t>
      </w:r>
      <w:r w:rsidRPr="006A65EB">
        <w:rPr>
          <w:rFonts w:ascii="FrankRuehl" w:hAnsi="FrankRuehl" w:cs="FrankRuehl"/>
          <w:sz w:val="28"/>
          <w:szCs w:val="28"/>
          <w:rtl/>
        </w:rPr>
        <w:t xml:space="preserve">להוראת </w:t>
      </w:r>
      <w:hyperlink r:id="rId44" w:history="1">
        <w:r w:rsidRPr="004D00C9">
          <w:rPr>
            <w:rStyle w:val="Hyperlink"/>
            <w:rFonts w:ascii="FrankRuehl" w:hAnsi="FrankRuehl" w:cs="FrankRuehl"/>
            <w:color w:val="0000FF"/>
            <w:sz w:val="28"/>
            <w:szCs w:val="28"/>
            <w:rtl/>
          </w:rPr>
          <w:t>סעיף 40ה'</w:t>
        </w:r>
      </w:hyperlink>
      <w:r w:rsidRPr="006A65EB">
        <w:rPr>
          <w:rFonts w:ascii="FrankRuehl" w:hAnsi="FrankRuehl" w:cs="FrankRuehl"/>
          <w:sz w:val="28"/>
          <w:szCs w:val="28"/>
          <w:rtl/>
        </w:rPr>
        <w:t xml:space="preserve"> לחוק, היינו, לצורך הגנה על שלום הציבור בשל</w:t>
      </w:r>
      <w:r w:rsidRPr="006A65EB">
        <w:rPr>
          <w:rStyle w:val="default"/>
          <w:rFonts w:ascii="FrankRuehl" w:hAnsi="FrankRuehl" w:cs="FrankRuehl"/>
          <w:color w:val="000000"/>
          <w:sz w:val="28"/>
          <w:szCs w:val="28"/>
          <w:rtl/>
        </w:rPr>
        <w:t xml:space="preserve"> חשש ממשי שהנאשם יחזור ויבצע עבירות.</w:t>
      </w:r>
      <w:r w:rsidRPr="006A65EB">
        <w:rPr>
          <w:rStyle w:val="default"/>
          <w:rFonts w:hint="cs"/>
          <w:color w:val="000000"/>
          <w:sz w:val="26"/>
          <w:szCs w:val="26"/>
          <w:rtl/>
        </w:rPr>
        <w:t xml:space="preserve"> </w:t>
      </w:r>
      <w:r w:rsidRPr="006A65EB">
        <w:rPr>
          <w:rFonts w:ascii="FrankRuehl" w:hAnsi="FrankRuehl" w:cs="FrankRuehl" w:hint="cs"/>
          <w:sz w:val="28"/>
          <w:szCs w:val="28"/>
          <w:rtl/>
        </w:rPr>
        <w:t xml:space="preserve">ב"כ הנאשמים טענו כי לא ניתן לקבל את הטענה כי עבר פלילי כשלעצמו יביא לעשיית שימוש בסעיף לחריגה מהמתחם. אכן, </w:t>
      </w:r>
      <w:r w:rsidRPr="006A65EB">
        <w:rPr>
          <w:rFonts w:ascii="FrankRuehl" w:hAnsi="FrankRuehl" w:cs="FrankRuehl"/>
          <w:sz w:val="28"/>
          <w:szCs w:val="28"/>
          <w:rtl/>
        </w:rPr>
        <w:t xml:space="preserve">יש רגליים לסברה כי במקרה זה </w:t>
      </w:r>
      <w:r w:rsidRPr="006A65EB">
        <w:rPr>
          <w:rFonts w:ascii="FrankRuehl" w:hAnsi="FrankRuehl" w:cs="FrankRuehl" w:hint="cs"/>
          <w:sz w:val="28"/>
          <w:szCs w:val="28"/>
          <w:rtl/>
        </w:rPr>
        <w:t xml:space="preserve">מתקיימים הנסיבות הקבועות </w:t>
      </w:r>
      <w:hyperlink r:id="rId45" w:history="1">
        <w:r w:rsidRPr="004D00C9">
          <w:rPr>
            <w:rStyle w:val="Hyperlink"/>
            <w:rFonts w:ascii="FrankRuehl" w:hAnsi="FrankRuehl" w:cs="FrankRuehl" w:hint="eastAsia"/>
            <w:color w:val="0000FF"/>
            <w:sz w:val="28"/>
            <w:szCs w:val="28"/>
            <w:rtl/>
          </w:rPr>
          <w:t>בסעיף</w:t>
        </w:r>
        <w:r w:rsidRPr="004D00C9">
          <w:rPr>
            <w:rStyle w:val="Hyperlink"/>
            <w:rFonts w:ascii="FrankRuehl" w:hAnsi="FrankRuehl" w:cs="FrankRuehl"/>
            <w:color w:val="0000FF"/>
            <w:sz w:val="28"/>
            <w:szCs w:val="28"/>
            <w:rtl/>
          </w:rPr>
          <w:t xml:space="preserve"> 40ה'</w:t>
        </w:r>
      </w:hyperlink>
      <w:r w:rsidRPr="006A65EB">
        <w:rPr>
          <w:rFonts w:ascii="FrankRuehl" w:hAnsi="FrankRuehl" w:cs="FrankRuehl" w:hint="cs"/>
          <w:sz w:val="28"/>
          <w:szCs w:val="28"/>
          <w:rtl/>
        </w:rPr>
        <w:t xml:space="preserve"> המצדיקות חריגה לחומרא מהמתחם. בהתאם לסעיף ניתן לחרוג מהמתחם משיקולי הגנה על הציבור כאשר לנאשם עבר פלילי משמעותי. אכן, לא כל עבר פלילי משמעותי יביא לחריגה לחומרא מהמתחם. ואולם, במקרה זה ההצדקה נעוצה לא אך בעבר הפלילי כשלעצמו, אלא גם בעובדה כי כל אימת שהנאשם יצא מכותלי בית הכלא, גם לאחר תקופות לא קצרות, הוא שב די מהר לבצע עבירות נוספות. כך, בשנת 2000 הוא נדון לשלוש שנות מאסר וכבר בשנת 2004 ביצע עבירות נוספות בגינן נדון בשנת 2005 לשלוש וחצי שנות מאסר, ובשנת 2008 לשנתיים מאסר. עבירות נוספות ביצע בשנת 2013 ובגינן הוא נדון בשנת 2015 לארבע שנות מאסר. בשנת 2018 הוא שב וביצע עבירות, עליהן נדון בשנת 2019 ל-14 חודשי מאסר. ושוב בשנת 2021 ביצע את העבירות בגינן נדון בבית משפט השלום ובהליך זה. ההצדקה לחריגה מהמתחם גם מצויה בכך שחרף אמירותיו החוזרות ונשנות של בתי המשפט שדנו בעניינו של הנאשם כי הוא הרגיל עצמו לפגוע באנשים ואין עליו מורא החוק, הנאשם לא משנה במאומה את אורחותיו. בכל עת שהוא מוצא עצמו מחוץ לבתי הכלא, במקודם או במאוחר, הוא שב על אותם מעשים, וחומרתם אף עולה מפעם לפעם. כבר בשנת 2015 עמד בית המשפט (ת"פ (מחוזי-י-ם) 14646-12-13) על העובדה שהנאשם נכנס ויוצא מבתי הכלא מאז ראשית חיים הבוגרים. בגזר דין שהושת עליו שנת 2019 ציין בית המשפט (ת"פ (י-ם) 68454-06-18) כי "הנאשם ריצה מאסרים למשך תקופות לא מבוטלות, אך למרבה הצער אלו לא הביאו להרתעתו ולאורך השנים הוסיף הנאשם להסתבך בעבירות פליליות ובאירועים אלימים".  ולאחרונה ציין בית המשפט (בת"פ (י-ם) 63607-01-22) כי אף שיגע לא מצא ולו נקודת זכות אחת לזכותו של הנאשם אשר כל עונשי המאסר לא הבהירו לו את הפסול הנאשם שבמעשיו. הוא אדיש לנזקים שהוא הסב לבני משפחתו במעשיו, ולמעשה הוא "הרגיל עצמו לפגוע בגופם, רכושם וכבודם של אחרים, וכי אין עליו מורא חוק כלל".  בית המשפט ציין כי "רק חומות הכלא מגינות על הציבור מפניו של הנאשם ויימנעו ממנו לשוב ולעבור עבירות ולפגוע באחרים". </w:t>
      </w:r>
    </w:p>
    <w:p w14:paraId="439F7DD7" w14:textId="77777777" w:rsidR="004D00C9" w:rsidRPr="006A65EB" w:rsidRDefault="004D00C9" w:rsidP="006A65EB">
      <w:pPr>
        <w:pStyle w:val="a9"/>
        <w:spacing w:line="360" w:lineRule="auto"/>
        <w:ind w:left="1080"/>
        <w:jc w:val="both"/>
        <w:rPr>
          <w:rFonts w:ascii="FrankRuehl" w:hAnsi="FrankRuehl" w:cs="FrankRuehl"/>
          <w:sz w:val="28"/>
          <w:szCs w:val="28"/>
          <w:rtl/>
        </w:rPr>
      </w:pPr>
    </w:p>
    <w:p w14:paraId="58AB6F08" w14:textId="77777777" w:rsidR="004D00C9" w:rsidRPr="006A65EB" w:rsidRDefault="004D00C9" w:rsidP="006A65EB">
      <w:pPr>
        <w:pStyle w:val="a9"/>
        <w:numPr>
          <w:ilvl w:val="0"/>
          <w:numId w:val="5"/>
        </w:numPr>
        <w:spacing w:line="360" w:lineRule="auto"/>
        <w:jc w:val="both"/>
        <w:rPr>
          <w:rFonts w:ascii="FrankRuehl" w:hAnsi="FrankRuehl" w:cs="FrankRuehl"/>
          <w:sz w:val="28"/>
          <w:szCs w:val="28"/>
          <w:shd w:val="clear" w:color="auto" w:fill="FFFFFF"/>
        </w:rPr>
      </w:pPr>
      <w:r w:rsidRPr="006A65EB">
        <w:rPr>
          <w:rFonts w:ascii="FrankRuehl" w:hAnsi="FrankRuehl" w:cs="FrankRuehl" w:hint="cs"/>
          <w:sz w:val="28"/>
          <w:szCs w:val="28"/>
          <w:shd w:val="clear" w:color="auto" w:fill="FFFFFF"/>
          <w:rtl/>
        </w:rPr>
        <w:t xml:space="preserve">עם זאת, איני סבור כי יש למצות עם הנאשם את מלוא חומר הדין, לאמור גם לחרוג מהמתחם וגם לצבור לו את העונש בהליך זה על גבי העונש שהוא מרצה עתה. לעת הזו, די בכך שעונשו של הנאשם יקבע בסמוך לרף העליון של המתחם, ומבלי חריגה ממנו, והנאשם ירצה את העונש במצטבר לעונש שהוא מרצה עתה. פשיטא כי אין לנכות את ימי מעצרו מעונש זה לאחר שאלו כבר נוכו במסגרת העונש שהושת עליו בבית משפט השלום.   </w:t>
      </w:r>
    </w:p>
    <w:p w14:paraId="43CF5C26" w14:textId="77777777" w:rsidR="004D00C9" w:rsidRPr="006A65EB" w:rsidRDefault="004D00C9" w:rsidP="00793251">
      <w:pPr>
        <w:pStyle w:val="a9"/>
        <w:rPr>
          <w:rFonts w:ascii="FrankRuehl" w:hAnsi="FrankRuehl" w:cs="FrankRuehl"/>
          <w:sz w:val="28"/>
          <w:szCs w:val="28"/>
          <w:rtl/>
        </w:rPr>
      </w:pPr>
    </w:p>
    <w:p w14:paraId="050EFA45" w14:textId="77777777" w:rsidR="004D00C9" w:rsidRPr="006A65EB" w:rsidRDefault="004D00C9" w:rsidP="006A65EB">
      <w:pPr>
        <w:pStyle w:val="a9"/>
        <w:numPr>
          <w:ilvl w:val="0"/>
          <w:numId w:val="5"/>
        </w:numPr>
        <w:spacing w:line="360" w:lineRule="auto"/>
        <w:jc w:val="both"/>
        <w:rPr>
          <w:rFonts w:ascii="FrankRuehl" w:hAnsi="FrankRuehl" w:cs="FrankRuehl"/>
          <w:sz w:val="28"/>
          <w:szCs w:val="28"/>
        </w:rPr>
      </w:pPr>
      <w:r w:rsidRPr="006A65EB">
        <w:rPr>
          <w:rFonts w:ascii="FrankRuehl" w:hAnsi="FrankRuehl" w:cs="FrankRuehl"/>
          <w:sz w:val="28"/>
          <w:szCs w:val="28"/>
          <w:rtl/>
        </w:rPr>
        <w:t xml:space="preserve">באשר לבקשת המאשימה לחילוט הרכב אשר שימש את הנאשם לנשיאת המטען לביתם של המתלוננים. </w:t>
      </w:r>
      <w:r w:rsidRPr="006A65EB">
        <w:rPr>
          <w:rFonts w:ascii="FrankRuehl" w:hAnsi="FrankRuehl" w:cs="FrankRuehl" w:hint="cs"/>
          <w:sz w:val="28"/>
          <w:szCs w:val="28"/>
          <w:rtl/>
        </w:rPr>
        <w:t>הנאשם לא טען כנגד דרישה זו בטיעונים לעונש, ורק בדיון מאוחר יותר הועלתה התנגדות לחילוט, אך גם זאת ללא הנמקה. הבקשה אכן עולה בקנה אחד עם ה</w:t>
      </w:r>
      <w:r w:rsidRPr="006A65EB">
        <w:rPr>
          <w:rFonts w:ascii="FrankRuehl" w:hAnsi="FrankRuehl" w:cs="FrankRuehl"/>
          <w:sz w:val="28"/>
          <w:szCs w:val="28"/>
          <w:rtl/>
        </w:rPr>
        <w:t xml:space="preserve">מבחנים המצויים </w:t>
      </w:r>
      <w:hyperlink r:id="rId46" w:history="1">
        <w:r w:rsidR="00DD0D55" w:rsidRPr="00DD0D55">
          <w:rPr>
            <w:rStyle w:val="Hyperlink"/>
            <w:rFonts w:ascii="FrankRuehl" w:hAnsi="FrankRuehl" w:cs="FrankRuehl"/>
            <w:color w:val="0000FF"/>
            <w:sz w:val="28"/>
            <w:szCs w:val="28"/>
            <w:rtl/>
          </w:rPr>
          <w:t>בסעיף 39(א)</w:t>
        </w:r>
      </w:hyperlink>
      <w:r w:rsidRPr="006A65EB">
        <w:rPr>
          <w:rFonts w:ascii="FrankRuehl" w:hAnsi="FrankRuehl" w:cs="FrankRuehl"/>
          <w:sz w:val="28"/>
          <w:szCs w:val="28"/>
          <w:rtl/>
        </w:rPr>
        <w:t xml:space="preserve"> ל</w:t>
      </w:r>
      <w:hyperlink r:id="rId47" w:history="1">
        <w:r w:rsidRPr="00BC1A4E">
          <w:rPr>
            <w:rFonts w:ascii="FrankRuehl" w:hAnsi="FrankRuehl" w:cs="FrankRuehl"/>
            <w:color w:val="0000FF"/>
            <w:sz w:val="28"/>
            <w:szCs w:val="28"/>
            <w:u w:val="single"/>
            <w:rtl/>
          </w:rPr>
          <w:t>פקודת סדר הדין הפלילי (מעצר וחיפוש)</w:t>
        </w:r>
      </w:hyperlink>
      <w:r w:rsidRPr="006A65EB">
        <w:rPr>
          <w:rFonts w:ascii="FrankRuehl" w:hAnsi="FrankRuehl" w:cs="FrankRuehl"/>
          <w:sz w:val="28"/>
          <w:szCs w:val="28"/>
          <w:rtl/>
        </w:rPr>
        <w:t xml:space="preserve"> [נוסח חדש] התשכ"ט-1969. </w:t>
      </w:r>
      <w:r w:rsidRPr="006A65EB">
        <w:rPr>
          <w:rFonts w:ascii="FrankRuehl" w:hAnsi="FrankRuehl" w:cs="FrankRuehl" w:hint="cs"/>
          <w:sz w:val="28"/>
          <w:szCs w:val="28"/>
          <w:rtl/>
        </w:rPr>
        <w:t xml:space="preserve">הנאשם הורשע בדין; הוא בעליו המהותיים של הרכב, שכן </w:t>
      </w:r>
      <w:r w:rsidRPr="006A65EB">
        <w:rPr>
          <w:rFonts w:ascii="FrankRuehl" w:hAnsi="FrankRuehl" w:cs="FrankRuehl"/>
          <w:sz w:val="28"/>
          <w:szCs w:val="28"/>
          <w:rtl/>
        </w:rPr>
        <w:t xml:space="preserve">אף </w:t>
      </w:r>
      <w:r w:rsidRPr="006A65EB">
        <w:rPr>
          <w:rFonts w:ascii="FrankRuehl" w:hAnsi="FrankRuehl" w:cs="FrankRuehl" w:hint="cs"/>
          <w:sz w:val="28"/>
          <w:szCs w:val="28"/>
          <w:rtl/>
        </w:rPr>
        <w:t>ש</w:t>
      </w:r>
      <w:r w:rsidRPr="006A65EB">
        <w:rPr>
          <w:rFonts w:ascii="FrankRuehl" w:hAnsi="FrankRuehl" w:cs="FrankRuehl"/>
          <w:sz w:val="28"/>
          <w:szCs w:val="28"/>
          <w:rtl/>
        </w:rPr>
        <w:t>הרכב רשום על שמו של אחיו</w:t>
      </w:r>
      <w:r w:rsidRPr="006A65EB">
        <w:rPr>
          <w:rFonts w:ascii="FrankRuehl" w:hAnsi="FrankRuehl" w:cs="FrankRuehl" w:hint="cs"/>
          <w:sz w:val="28"/>
          <w:szCs w:val="28"/>
          <w:rtl/>
        </w:rPr>
        <w:t xml:space="preserve"> מר ברק שליו</w:t>
      </w:r>
      <w:r w:rsidRPr="006A65EB">
        <w:rPr>
          <w:rFonts w:ascii="FrankRuehl" w:hAnsi="FrankRuehl" w:cs="FrankRuehl"/>
          <w:sz w:val="28"/>
          <w:szCs w:val="28"/>
          <w:rtl/>
        </w:rPr>
        <w:t xml:space="preserve">, </w:t>
      </w:r>
      <w:r w:rsidRPr="006A65EB">
        <w:rPr>
          <w:rFonts w:ascii="FrankRuehl" w:hAnsi="FrankRuehl" w:cs="FrankRuehl" w:hint="cs"/>
          <w:sz w:val="28"/>
          <w:szCs w:val="28"/>
          <w:rtl/>
        </w:rPr>
        <w:t xml:space="preserve">מדובר ברישום הצהרתי בלבד, שכן </w:t>
      </w:r>
      <w:r w:rsidRPr="006A65EB">
        <w:rPr>
          <w:rFonts w:ascii="FrankRuehl" w:hAnsi="FrankRuehl" w:cs="FrankRuehl"/>
          <w:sz w:val="28"/>
          <w:szCs w:val="28"/>
          <w:rtl/>
        </w:rPr>
        <w:t>מפתחות הרכב נמצאות ברשותו</w:t>
      </w:r>
      <w:r w:rsidRPr="006A65EB">
        <w:rPr>
          <w:rFonts w:ascii="FrankRuehl" w:hAnsi="FrankRuehl" w:cs="FrankRuehl" w:hint="cs"/>
          <w:sz w:val="28"/>
          <w:szCs w:val="28"/>
          <w:rtl/>
        </w:rPr>
        <w:t xml:space="preserve"> והנאשם עושה בו שימוש בלעדי; ו</w:t>
      </w:r>
      <w:r w:rsidRPr="006A65EB">
        <w:rPr>
          <w:rFonts w:ascii="FrankRuehl" w:hAnsi="FrankRuehl" w:cs="FrankRuehl"/>
          <w:sz w:val="28"/>
          <w:szCs w:val="28"/>
          <w:rtl/>
        </w:rPr>
        <w:t xml:space="preserve">הרכב שימש את הנאשם לנשיאה והובלת הנשק לשם ניסיון החבלה. </w:t>
      </w:r>
      <w:r w:rsidRPr="006A65EB">
        <w:rPr>
          <w:rFonts w:ascii="FrankRuehl" w:hAnsi="FrankRuehl" w:cs="FrankRuehl" w:hint="cs"/>
          <w:sz w:val="28"/>
          <w:szCs w:val="28"/>
          <w:rtl/>
        </w:rPr>
        <w:t xml:space="preserve">כך גם עולה מתגובת האח שהוגשה בכתב. מה גם שההלכה היא </w:t>
      </w:r>
      <w:r w:rsidRPr="006A65EB">
        <w:rPr>
          <w:rFonts w:ascii="FrankRuehl" w:hAnsi="FrankRuehl" w:cs="FrankRuehl"/>
          <w:sz w:val="28"/>
          <w:szCs w:val="28"/>
          <w:rtl/>
        </w:rPr>
        <w:t xml:space="preserve">כי שימוש בכלי רכב לצורך הובלת ונשיאת נשק לפי </w:t>
      </w:r>
      <w:hyperlink r:id="rId48" w:history="1">
        <w:r w:rsidR="00DD0D55" w:rsidRPr="00DD0D55">
          <w:rPr>
            <w:rStyle w:val="Hyperlink"/>
            <w:rFonts w:ascii="FrankRuehl" w:hAnsi="FrankRuehl" w:cs="FrankRuehl"/>
            <w:color w:val="0000FF"/>
            <w:sz w:val="28"/>
            <w:szCs w:val="28"/>
            <w:rtl/>
          </w:rPr>
          <w:t>סעיף 144(ב)</w:t>
        </w:r>
      </w:hyperlink>
      <w:r w:rsidRPr="006A65EB">
        <w:rPr>
          <w:rFonts w:ascii="FrankRuehl" w:hAnsi="FrankRuehl" w:cs="FrankRuehl"/>
          <w:sz w:val="28"/>
          <w:szCs w:val="28"/>
          <w:rtl/>
        </w:rPr>
        <w:t xml:space="preserve"> לחוק הינו חלק אינהרנטי מביצוע העבירה (ראו: </w:t>
      </w:r>
      <w:hyperlink r:id="rId49" w:history="1">
        <w:r w:rsidRPr="00BC1A4E">
          <w:rPr>
            <w:rFonts w:ascii="FrankRuehl" w:hAnsi="FrankRuehl" w:cs="FrankRuehl"/>
            <w:color w:val="0000FF"/>
            <w:sz w:val="28"/>
            <w:szCs w:val="28"/>
            <w:u w:val="single"/>
            <w:rtl/>
          </w:rPr>
          <w:t>בש"פ 7992/22</w:t>
        </w:r>
      </w:hyperlink>
      <w:r w:rsidRPr="006A65EB">
        <w:rPr>
          <w:rFonts w:ascii="FrankRuehl" w:hAnsi="FrankRuehl" w:cs="FrankRuehl"/>
          <w:color w:val="000000"/>
          <w:sz w:val="28"/>
          <w:szCs w:val="28"/>
          <w:rtl/>
        </w:rPr>
        <w:t xml:space="preserve"> </w:t>
      </w:r>
      <w:r w:rsidRPr="006A65EB">
        <w:rPr>
          <w:rFonts w:ascii="FrankRuehl" w:hAnsi="FrankRuehl" w:cs="FrankRuehl"/>
          <w:b/>
          <w:bCs/>
          <w:color w:val="000000"/>
          <w:sz w:val="28"/>
          <w:szCs w:val="28"/>
          <w:rtl/>
        </w:rPr>
        <w:t>נורי נ' מדינת ישראל</w:t>
      </w:r>
      <w:r w:rsidRPr="006A65EB">
        <w:rPr>
          <w:rFonts w:ascii="FrankRuehl" w:hAnsi="FrankRuehl" w:cs="FrankRuehl"/>
          <w:color w:val="000000"/>
          <w:sz w:val="28"/>
          <w:szCs w:val="28"/>
          <w:rtl/>
        </w:rPr>
        <w:t xml:space="preserve"> (01.03.23); </w:t>
      </w:r>
      <w:hyperlink r:id="rId50" w:history="1">
        <w:r w:rsidRPr="00BC1A4E">
          <w:rPr>
            <w:rFonts w:ascii="FrankRuehl" w:hAnsi="FrankRuehl" w:cs="FrankRuehl"/>
            <w:color w:val="0000FF"/>
            <w:sz w:val="28"/>
            <w:szCs w:val="28"/>
            <w:u w:val="single"/>
            <w:rtl/>
          </w:rPr>
          <w:t>ע"פ 1000/15</w:t>
        </w:r>
      </w:hyperlink>
      <w:r w:rsidRPr="006A65EB">
        <w:rPr>
          <w:rFonts w:ascii="FrankRuehl" w:hAnsi="FrankRuehl" w:cs="FrankRuehl"/>
          <w:color w:val="000000"/>
          <w:sz w:val="28"/>
          <w:szCs w:val="28"/>
          <w:rtl/>
        </w:rPr>
        <w:t xml:space="preserve"> </w:t>
      </w:r>
      <w:r w:rsidRPr="006A65EB">
        <w:rPr>
          <w:rFonts w:ascii="FrankRuehl" w:hAnsi="FrankRuehl" w:cs="FrankRuehl"/>
          <w:b/>
          <w:bCs/>
          <w:color w:val="000000"/>
          <w:sz w:val="28"/>
          <w:szCs w:val="28"/>
          <w:rtl/>
        </w:rPr>
        <w:t>אבו אלחווה נ' מדינת ישראל</w:t>
      </w:r>
      <w:r w:rsidRPr="006A65EB">
        <w:rPr>
          <w:rFonts w:ascii="FrankRuehl" w:hAnsi="FrankRuehl" w:cs="FrankRuehl"/>
          <w:color w:val="000000"/>
          <w:sz w:val="28"/>
          <w:szCs w:val="28"/>
          <w:rtl/>
        </w:rPr>
        <w:t xml:space="preserve"> (03.07.15)</w:t>
      </w:r>
      <w:r w:rsidRPr="006A65EB">
        <w:rPr>
          <w:rFonts w:ascii="FrankRuehl" w:hAnsi="FrankRuehl" w:cs="FrankRuehl"/>
          <w:sz w:val="28"/>
          <w:szCs w:val="28"/>
          <w:rtl/>
        </w:rPr>
        <w:t xml:space="preserve">). </w:t>
      </w:r>
      <w:r w:rsidRPr="006A65EB">
        <w:rPr>
          <w:rFonts w:ascii="FrankRuehl" w:hAnsi="FrankRuehl" w:cs="FrankRuehl" w:hint="cs"/>
          <w:sz w:val="28"/>
          <w:szCs w:val="28"/>
          <w:rtl/>
        </w:rPr>
        <w:t xml:space="preserve">עם זאת, המאשימה הסכימה כי הרכב יועבר לאמו של הנאשם בשים לב לנטען גם בשמה במסמך שהוגש על ידי אחיו של הנאשם, ברק שליו. </w:t>
      </w:r>
    </w:p>
    <w:p w14:paraId="2AA3E217" w14:textId="77777777" w:rsidR="004D00C9" w:rsidRPr="006A65EB" w:rsidRDefault="004D00C9" w:rsidP="006A65EB">
      <w:pPr>
        <w:spacing w:line="360" w:lineRule="auto"/>
        <w:jc w:val="both"/>
        <w:rPr>
          <w:rFonts w:ascii="FrankRuehl" w:hAnsi="FrankRuehl" w:cs="FrankRuehl"/>
          <w:sz w:val="28"/>
          <w:szCs w:val="28"/>
          <w:shd w:val="clear" w:color="auto" w:fill="FFFFFF"/>
          <w:rtl/>
        </w:rPr>
      </w:pPr>
    </w:p>
    <w:p w14:paraId="6C254898" w14:textId="77777777" w:rsidR="004D00C9" w:rsidRPr="006A65EB" w:rsidRDefault="004D00C9" w:rsidP="006A65EB">
      <w:pPr>
        <w:pStyle w:val="a9"/>
        <w:numPr>
          <w:ilvl w:val="0"/>
          <w:numId w:val="5"/>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בשים לב לכל האמור,  </w:t>
      </w:r>
      <w:r w:rsidRPr="006A65EB">
        <w:rPr>
          <w:rFonts w:ascii="FrankRuehl" w:hAnsi="FrankRuehl" w:cs="FrankRuehl"/>
          <w:sz w:val="28"/>
          <w:szCs w:val="28"/>
          <w:rtl/>
        </w:rPr>
        <w:t xml:space="preserve">אני משית אפוא על הנאשם את העונשים הבאים: </w:t>
      </w:r>
    </w:p>
    <w:p w14:paraId="6D5EF0EB" w14:textId="77777777" w:rsidR="004D00C9" w:rsidRPr="006A65EB" w:rsidRDefault="004D00C9" w:rsidP="006A65EB">
      <w:pPr>
        <w:pStyle w:val="a9"/>
        <w:spacing w:line="360" w:lineRule="auto"/>
        <w:jc w:val="both"/>
        <w:rPr>
          <w:rFonts w:ascii="FrankRuehl" w:hAnsi="FrankRuehl" w:cs="FrankRuehl"/>
          <w:sz w:val="28"/>
          <w:szCs w:val="28"/>
          <w:rtl/>
        </w:rPr>
      </w:pPr>
      <w:r w:rsidRPr="006A65EB">
        <w:rPr>
          <w:rFonts w:ascii="FrankRuehl" w:hAnsi="FrankRuehl" w:cs="FrankRuehl" w:hint="cs"/>
          <w:sz w:val="28"/>
          <w:szCs w:val="28"/>
          <w:rtl/>
        </w:rPr>
        <w:t xml:space="preserve"> </w:t>
      </w:r>
    </w:p>
    <w:p w14:paraId="6E4D5164" w14:textId="77777777" w:rsidR="004D00C9" w:rsidRPr="006A65EB" w:rsidRDefault="004D00C9" w:rsidP="006A65EB">
      <w:pPr>
        <w:pStyle w:val="a9"/>
        <w:numPr>
          <w:ilvl w:val="0"/>
          <w:numId w:val="4"/>
        </w:numPr>
        <w:spacing w:line="360" w:lineRule="auto"/>
        <w:jc w:val="both"/>
        <w:rPr>
          <w:rFonts w:ascii="FrankRuehl" w:hAnsi="FrankRuehl" w:cs="FrankRuehl"/>
          <w:sz w:val="28"/>
          <w:szCs w:val="28"/>
        </w:rPr>
      </w:pPr>
      <w:r w:rsidRPr="006A65EB">
        <w:rPr>
          <w:rFonts w:ascii="FrankRuehl" w:hAnsi="FrankRuehl" w:cs="FrankRuehl"/>
          <w:sz w:val="28"/>
          <w:szCs w:val="28"/>
          <w:rtl/>
        </w:rPr>
        <w:t>6</w:t>
      </w:r>
      <w:r w:rsidRPr="006A65EB">
        <w:rPr>
          <w:rFonts w:ascii="FrankRuehl" w:hAnsi="FrankRuehl" w:cs="FrankRuehl" w:hint="cs"/>
          <w:sz w:val="28"/>
          <w:szCs w:val="28"/>
          <w:rtl/>
        </w:rPr>
        <w:t>5</w:t>
      </w:r>
      <w:r w:rsidRPr="006A65EB">
        <w:rPr>
          <w:rFonts w:ascii="FrankRuehl" w:hAnsi="FrankRuehl" w:cs="FrankRuehl"/>
          <w:sz w:val="28"/>
          <w:szCs w:val="28"/>
          <w:rtl/>
        </w:rPr>
        <w:t xml:space="preserve"> חודשי מאסר אשר ירוצו במצטבר לעונש המאסר שהנאשם מרצה כיום. </w:t>
      </w:r>
      <w:r w:rsidRPr="006A65EB">
        <w:rPr>
          <w:rFonts w:ascii="FrankRuehl" w:hAnsi="FrankRuehl" w:cs="FrankRuehl" w:hint="cs"/>
          <w:sz w:val="28"/>
          <w:szCs w:val="28"/>
          <w:rtl/>
        </w:rPr>
        <w:t xml:space="preserve">כאמור, מאחר וימי מעצרו קוזזו מעונש המאסר שהושת עליו בבית משפט השלום, אין מקום לקזז אותם מעונש זה. </w:t>
      </w:r>
    </w:p>
    <w:p w14:paraId="27386A6E" w14:textId="77777777" w:rsidR="004D00C9" w:rsidRPr="006A65EB" w:rsidRDefault="004D00C9" w:rsidP="006A65EB">
      <w:pPr>
        <w:pStyle w:val="a9"/>
        <w:numPr>
          <w:ilvl w:val="0"/>
          <w:numId w:val="4"/>
        </w:numPr>
        <w:spacing w:line="360" w:lineRule="auto"/>
        <w:jc w:val="both"/>
        <w:rPr>
          <w:rFonts w:ascii="FrankRuehl" w:hAnsi="FrankRuehl" w:cs="FrankRuehl"/>
          <w:sz w:val="28"/>
          <w:szCs w:val="28"/>
          <w:rtl/>
        </w:rPr>
      </w:pPr>
      <w:r w:rsidRPr="006A65EB">
        <w:rPr>
          <w:rFonts w:ascii="FrankRuehl" w:hAnsi="FrankRuehl" w:cs="FrankRuehl"/>
          <w:sz w:val="28"/>
          <w:szCs w:val="28"/>
          <w:rtl/>
        </w:rPr>
        <w:t xml:space="preserve">9 חודשי מאסר אשר לא ירוצו אלא אם הנאשם יעבור </w:t>
      </w:r>
      <w:r w:rsidRPr="006A65EB">
        <w:rPr>
          <w:rFonts w:ascii="FrankRuehl" w:hAnsi="FrankRuehl" w:cs="FrankRuehl" w:hint="cs"/>
          <w:sz w:val="28"/>
          <w:szCs w:val="28"/>
          <w:rtl/>
        </w:rPr>
        <w:t xml:space="preserve">אחת מהעבירות בגינן הורשע, או כל עבירת אלימות כולל איומים, או כל עבירת נשק בתקופה של שלוש שנים מיום שחרורו ממאסר. </w:t>
      </w:r>
    </w:p>
    <w:p w14:paraId="3A57D69A" w14:textId="77777777" w:rsidR="004D00C9" w:rsidRPr="006A65EB" w:rsidRDefault="004D00C9" w:rsidP="006A65EB">
      <w:pPr>
        <w:pStyle w:val="a9"/>
        <w:numPr>
          <w:ilvl w:val="0"/>
          <w:numId w:val="4"/>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קנס בסך של 2,500 ₪  או 100 ימי מאסר תחתם. הקנס ישולם עד ליום 1.04.24. </w:t>
      </w:r>
    </w:p>
    <w:p w14:paraId="56D0A736" w14:textId="77777777" w:rsidR="004D00C9" w:rsidRPr="006A65EB" w:rsidRDefault="004D00C9" w:rsidP="006A65EB">
      <w:pPr>
        <w:pStyle w:val="a9"/>
        <w:numPr>
          <w:ilvl w:val="0"/>
          <w:numId w:val="4"/>
        </w:numPr>
        <w:spacing w:line="360" w:lineRule="auto"/>
        <w:jc w:val="both"/>
        <w:rPr>
          <w:rFonts w:ascii="FrankRuehl" w:hAnsi="FrankRuehl" w:cs="FrankRuehl"/>
          <w:sz w:val="28"/>
          <w:szCs w:val="28"/>
        </w:rPr>
      </w:pPr>
      <w:r w:rsidRPr="006A65EB">
        <w:rPr>
          <w:rFonts w:ascii="FrankRuehl" w:hAnsi="FrankRuehl" w:cs="FrankRuehl"/>
          <w:sz w:val="28"/>
          <w:szCs w:val="28"/>
          <w:rtl/>
        </w:rPr>
        <w:t>פיצוי למתלוננים בסך 10,000</w:t>
      </w:r>
      <w:r w:rsidRPr="006A65EB">
        <w:rPr>
          <w:rFonts w:ascii="FrankRuehl" w:hAnsi="FrankRuehl" w:cs="FrankRuehl" w:hint="cs"/>
          <w:sz w:val="28"/>
          <w:szCs w:val="28"/>
          <w:rtl/>
        </w:rPr>
        <w:t xml:space="preserve">. הפיצוי יופקד אף הוא עד ליום 1.04.24. </w:t>
      </w:r>
    </w:p>
    <w:p w14:paraId="1DABB795" w14:textId="77777777" w:rsidR="004D00C9" w:rsidRPr="006A65EB" w:rsidRDefault="004D00C9" w:rsidP="006A65EB">
      <w:pPr>
        <w:pStyle w:val="a9"/>
        <w:numPr>
          <w:ilvl w:val="0"/>
          <w:numId w:val="4"/>
        </w:num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בשים לב לסמכות המוקנית לבית המשפט </w:t>
      </w:r>
      <w:hyperlink r:id="rId51" w:history="1">
        <w:r w:rsidR="00DD0D55" w:rsidRPr="00DD0D55">
          <w:rPr>
            <w:rStyle w:val="Hyperlink"/>
            <w:rFonts w:ascii="FrankRuehl" w:hAnsi="FrankRuehl" w:cs="FrankRuehl" w:hint="eastAsia"/>
            <w:color w:val="0000FF"/>
            <w:sz w:val="28"/>
            <w:szCs w:val="28"/>
            <w:rtl/>
          </w:rPr>
          <w:t>בסעיף</w:t>
        </w:r>
        <w:r w:rsidR="00DD0D55" w:rsidRPr="00DD0D55">
          <w:rPr>
            <w:rStyle w:val="Hyperlink"/>
            <w:rFonts w:ascii="FrankRuehl" w:hAnsi="FrankRuehl" w:cs="FrankRuehl"/>
            <w:color w:val="0000FF"/>
            <w:sz w:val="28"/>
            <w:szCs w:val="28"/>
            <w:rtl/>
          </w:rPr>
          <w:t xml:space="preserve"> 34</w:t>
        </w:r>
      </w:hyperlink>
      <w:r w:rsidRPr="006A65EB">
        <w:rPr>
          <w:rFonts w:ascii="FrankRuehl" w:hAnsi="FrankRuehl" w:cs="FrankRuehl" w:hint="cs"/>
          <w:sz w:val="28"/>
          <w:szCs w:val="28"/>
          <w:rtl/>
        </w:rPr>
        <w:t xml:space="preserve"> לפקודת סדר הדין הפלילי (מעצר וחיפוש) [נוסח חדש], תשכ"ט-1969 אני מורה כי </w:t>
      </w:r>
      <w:r w:rsidRPr="006A65EB">
        <w:rPr>
          <w:rFonts w:ascii="FrankRuehl" w:hAnsi="FrankRuehl" w:cs="FrankRuehl"/>
          <w:sz w:val="28"/>
          <w:szCs w:val="28"/>
          <w:rtl/>
        </w:rPr>
        <w:t>הרכב מסוג קיה ספורטאז' הנושא לוחית רישוי 99-061-38</w:t>
      </w:r>
      <w:r w:rsidRPr="006A65EB">
        <w:rPr>
          <w:rFonts w:ascii="FrankRuehl" w:hAnsi="FrankRuehl" w:cs="FrankRuehl" w:hint="cs"/>
          <w:sz w:val="28"/>
          <w:szCs w:val="28"/>
          <w:rtl/>
        </w:rPr>
        <w:t xml:space="preserve"> יועבר לידי אמו של הנאשם. </w:t>
      </w:r>
    </w:p>
    <w:p w14:paraId="5FAE975C" w14:textId="77777777" w:rsidR="004D00C9" w:rsidRPr="006A65EB" w:rsidRDefault="004D00C9" w:rsidP="006A65EB">
      <w:pPr>
        <w:spacing w:line="360" w:lineRule="auto"/>
        <w:ind w:left="825"/>
        <w:jc w:val="both"/>
        <w:rPr>
          <w:rFonts w:ascii="FrankRuehl" w:hAnsi="FrankRuehl" w:cs="FrankRuehl"/>
          <w:sz w:val="28"/>
          <w:szCs w:val="28"/>
          <w:rtl/>
        </w:rPr>
      </w:pPr>
    </w:p>
    <w:p w14:paraId="47F18228" w14:textId="77777777" w:rsidR="004D00C9" w:rsidRPr="006A65EB" w:rsidRDefault="004D00C9" w:rsidP="006A65EB">
      <w:pPr>
        <w:spacing w:line="360" w:lineRule="auto"/>
        <w:jc w:val="both"/>
        <w:rPr>
          <w:rFonts w:ascii="FrankRuehl" w:hAnsi="FrankRuehl" w:cs="FrankRuehl"/>
          <w:sz w:val="28"/>
          <w:szCs w:val="28"/>
        </w:rPr>
      </w:pPr>
      <w:r w:rsidRPr="006A65EB">
        <w:rPr>
          <w:rFonts w:ascii="FrankRuehl" w:hAnsi="FrankRuehl" w:cs="FrankRuehl" w:hint="cs"/>
          <w:sz w:val="28"/>
          <w:szCs w:val="28"/>
          <w:rtl/>
        </w:rPr>
        <w:t xml:space="preserve">            זכות ערעור לבית המשפט העליון בתוך 45 יום מהיום.</w:t>
      </w:r>
    </w:p>
    <w:p w14:paraId="171B1B4A" w14:textId="77777777" w:rsidR="004D00C9" w:rsidRDefault="004D00C9" w:rsidP="006A65EB">
      <w:pPr>
        <w:pStyle w:val="a9"/>
        <w:spacing w:line="360" w:lineRule="auto"/>
        <w:jc w:val="both"/>
        <w:rPr>
          <w:rFonts w:ascii="FrankRuehl" w:hAnsi="FrankRuehl" w:cs="FrankRuehl"/>
          <w:sz w:val="28"/>
          <w:szCs w:val="28"/>
          <w:rtl/>
        </w:rPr>
      </w:pPr>
      <w:r w:rsidRPr="006A65EB">
        <w:rPr>
          <w:rFonts w:ascii="FrankRuehl" w:hAnsi="FrankRuehl" w:cs="FrankRuehl"/>
          <w:sz w:val="28"/>
          <w:szCs w:val="28"/>
          <w:rtl/>
        </w:rPr>
        <w:t xml:space="preserve"> </w:t>
      </w:r>
    </w:p>
    <w:p w14:paraId="05F2A8CC" w14:textId="77777777" w:rsidR="004D00C9" w:rsidRPr="006A65EB" w:rsidRDefault="004D00C9" w:rsidP="006A65EB">
      <w:pPr>
        <w:pStyle w:val="a9"/>
        <w:spacing w:line="360" w:lineRule="auto"/>
        <w:jc w:val="both"/>
        <w:rPr>
          <w:rFonts w:ascii="FrankRuehl" w:hAnsi="FrankRuehl" w:cs="FrankRuehl"/>
          <w:sz w:val="28"/>
          <w:szCs w:val="28"/>
          <w:rtl/>
        </w:rPr>
      </w:pPr>
    </w:p>
    <w:p w14:paraId="49425574" w14:textId="77777777" w:rsidR="006A65EB" w:rsidRPr="000F2247" w:rsidRDefault="00BC1A4E" w:rsidP="006A65EB">
      <w:pPr>
        <w:spacing w:line="360" w:lineRule="auto"/>
        <w:jc w:val="both"/>
        <w:rPr>
          <w:rFonts w:ascii="Arial" w:hAnsi="Arial"/>
          <w:b/>
          <w:bCs/>
          <w:sz w:val="26"/>
          <w:szCs w:val="26"/>
          <w:rtl/>
        </w:rPr>
      </w:pPr>
      <w:bookmarkStart w:id="8" w:name="Nitan"/>
      <w:bookmarkEnd w:id="0"/>
      <w:r w:rsidRPr="00BC1A4E">
        <w:rPr>
          <w:rFonts w:ascii="FrankRuehl" w:hAnsi="FrankRuehl" w:cs="FrankRuehl"/>
          <w:b/>
          <w:bCs/>
          <w:color w:val="FFFFFF"/>
          <w:sz w:val="2"/>
          <w:szCs w:val="2"/>
          <w:rtl/>
        </w:rPr>
        <w:t>5129371</w:t>
      </w:r>
      <w:r>
        <w:rPr>
          <w:rFonts w:ascii="FrankRuehl" w:hAnsi="FrankRuehl" w:cs="FrankRuehl"/>
          <w:b/>
          <w:bCs/>
          <w:sz w:val="28"/>
          <w:szCs w:val="28"/>
          <w:rtl/>
        </w:rPr>
        <w:t xml:space="preserve">ניתן היום, כ"ח בטבת תשפ"ד, 09 ינואר 2024, במעמד המתייצבים. </w:t>
      </w:r>
      <w:bookmarkEnd w:id="8"/>
      <w:r w:rsidR="006A65EB">
        <w:rPr>
          <w:rFonts w:ascii="Arial" w:hAnsi="Arial"/>
          <w:b/>
          <w:bCs/>
          <w:sz w:val="26"/>
          <w:szCs w:val="26"/>
          <w:rtl/>
        </w:rPr>
        <w:tab/>
      </w:r>
      <w:r w:rsidR="006A65EB">
        <w:rPr>
          <w:rFonts w:ascii="Arial" w:hAnsi="Arial"/>
          <w:b/>
          <w:bCs/>
          <w:sz w:val="26"/>
          <w:szCs w:val="26"/>
          <w:rtl/>
        </w:rPr>
        <w:tab/>
      </w:r>
      <w:r w:rsidR="006A65EB">
        <w:rPr>
          <w:rFonts w:ascii="Arial" w:hAnsi="Arial"/>
          <w:b/>
          <w:bCs/>
          <w:sz w:val="26"/>
          <w:szCs w:val="26"/>
          <w:rtl/>
        </w:rPr>
        <w:tab/>
      </w:r>
      <w:r w:rsidR="006A65EB">
        <w:rPr>
          <w:rFonts w:ascii="Arial" w:hAnsi="Arial"/>
          <w:b/>
          <w:bCs/>
          <w:sz w:val="26"/>
          <w:szCs w:val="26"/>
          <w:rtl/>
        </w:rPr>
        <w:tab/>
      </w:r>
      <w:r w:rsidR="006A65EB">
        <w:rPr>
          <w:rFonts w:ascii="Arial" w:hAnsi="Arial"/>
          <w:b/>
          <w:bCs/>
          <w:sz w:val="26"/>
          <w:szCs w:val="26"/>
          <w:rtl/>
        </w:rPr>
        <w:tab/>
      </w:r>
      <w:r w:rsidR="006A65EB">
        <w:rPr>
          <w:rFonts w:ascii="Arial" w:hAnsi="Arial"/>
          <w:b/>
          <w:bCs/>
          <w:sz w:val="26"/>
          <w:szCs w:val="26"/>
          <w:rtl/>
        </w:rPr>
        <w:tab/>
      </w:r>
      <w:r w:rsidR="006A65EB">
        <w:rPr>
          <w:rFonts w:ascii="Arial" w:hAnsi="Arial"/>
          <w:b/>
          <w:bCs/>
          <w:sz w:val="26"/>
          <w:szCs w:val="26"/>
          <w:rtl/>
        </w:rPr>
        <w:tab/>
      </w:r>
      <w:r w:rsidR="006A65EB">
        <w:rPr>
          <w:rFonts w:ascii="Arial" w:hAnsi="Arial" w:hint="cs"/>
          <w:b/>
          <w:bCs/>
          <w:sz w:val="26"/>
          <w:szCs w:val="26"/>
          <w:rtl/>
        </w:rPr>
        <w:t xml:space="preserve">     </w:t>
      </w:r>
    </w:p>
    <w:p w14:paraId="10D51797" w14:textId="77777777" w:rsidR="006A65EB" w:rsidRPr="00BC1A4E" w:rsidRDefault="00BC1A4E" w:rsidP="00BC1A4E">
      <w:pPr>
        <w:jc w:val="center"/>
        <w:rPr>
          <w:color w:val="FFFFFF"/>
          <w:sz w:val="2"/>
          <w:szCs w:val="2"/>
        </w:rPr>
      </w:pPr>
      <w:r w:rsidRPr="00BC1A4E">
        <w:rPr>
          <w:rFonts w:ascii="Arial" w:hAnsi="Arial"/>
          <w:b/>
          <w:bCs/>
          <w:color w:val="FFFFFF"/>
          <w:sz w:val="2"/>
          <w:szCs w:val="2"/>
          <w:rtl/>
        </w:rPr>
        <w:t>54678313</w:t>
      </w:r>
      <w:r w:rsidR="006A65EB" w:rsidRPr="00BC1A4E">
        <w:rPr>
          <w:rFonts w:ascii="Arial" w:hAnsi="Arial"/>
          <w:b/>
          <w:bCs/>
          <w:color w:val="FFFFFF"/>
          <w:sz w:val="2"/>
          <w:szCs w:val="2"/>
          <w:rtl/>
        </w:rPr>
        <w:t xml:space="preserve"> </w:t>
      </w:r>
      <w:r w:rsidR="006A65EB" w:rsidRPr="00BC1A4E">
        <w:rPr>
          <w:rFonts w:ascii="Arial" w:hAnsi="Arial"/>
          <w:b/>
          <w:bCs/>
          <w:color w:val="FFFFFF"/>
          <w:sz w:val="2"/>
          <w:szCs w:val="2"/>
          <w:rtl/>
        </w:rPr>
        <w:tab/>
      </w:r>
      <w:r w:rsidR="006A65EB" w:rsidRPr="00BC1A4E">
        <w:rPr>
          <w:rFonts w:ascii="Arial" w:hAnsi="Arial"/>
          <w:b/>
          <w:bCs/>
          <w:color w:val="FFFFFF"/>
          <w:sz w:val="2"/>
          <w:szCs w:val="2"/>
          <w:rtl/>
        </w:rPr>
        <w:tab/>
      </w:r>
      <w:r w:rsidR="006A65EB" w:rsidRPr="00BC1A4E">
        <w:rPr>
          <w:rFonts w:ascii="Arial" w:hAnsi="Arial"/>
          <w:b/>
          <w:bCs/>
          <w:color w:val="FFFFFF"/>
          <w:sz w:val="2"/>
          <w:szCs w:val="2"/>
          <w:rtl/>
        </w:rPr>
        <w:tab/>
      </w:r>
      <w:r w:rsidR="006A65EB" w:rsidRPr="00BC1A4E">
        <w:rPr>
          <w:rFonts w:ascii="Arial" w:hAnsi="Arial"/>
          <w:b/>
          <w:bCs/>
          <w:color w:val="FFFFFF"/>
          <w:sz w:val="2"/>
          <w:szCs w:val="2"/>
          <w:rtl/>
        </w:rPr>
        <w:tab/>
      </w:r>
      <w:r w:rsidR="006A65EB" w:rsidRPr="00BC1A4E">
        <w:rPr>
          <w:rFonts w:ascii="Arial" w:hAnsi="Arial"/>
          <w:b/>
          <w:bCs/>
          <w:color w:val="FFFFFF"/>
          <w:sz w:val="2"/>
          <w:szCs w:val="2"/>
          <w:rtl/>
        </w:rPr>
        <w:tab/>
      </w:r>
    </w:p>
    <w:p w14:paraId="59F6A42A" w14:textId="77777777" w:rsidR="006A65EB" w:rsidRPr="004D00C9" w:rsidRDefault="004D00C9" w:rsidP="006A65EB">
      <w:pPr>
        <w:jc w:val="center"/>
        <w:rPr>
          <w:rFonts w:ascii="Arial" w:hAnsi="Arial"/>
          <w:b/>
          <w:bCs/>
          <w:color w:val="FFFFFF"/>
          <w:sz w:val="2"/>
          <w:szCs w:val="2"/>
          <w:rtl/>
        </w:rPr>
      </w:pPr>
      <w:r w:rsidRPr="004D00C9">
        <w:rPr>
          <w:rFonts w:ascii="Arial" w:hAnsi="Arial"/>
          <w:b/>
          <w:bCs/>
          <w:color w:val="FFFFFF"/>
          <w:sz w:val="2"/>
          <w:szCs w:val="2"/>
          <w:rtl/>
        </w:rPr>
        <w:t>5129371</w:t>
      </w:r>
    </w:p>
    <w:p w14:paraId="6604D4D1" w14:textId="77777777" w:rsidR="00840C5D" w:rsidRPr="004D00C9" w:rsidRDefault="004D00C9" w:rsidP="00BC1A4E">
      <w:pPr>
        <w:keepNext/>
        <w:rPr>
          <w:rFonts w:ascii="David" w:hAnsi="David"/>
          <w:color w:val="FFFFFF"/>
          <w:sz w:val="2"/>
          <w:szCs w:val="2"/>
          <w:rtl/>
        </w:rPr>
      </w:pPr>
      <w:r w:rsidRPr="004D00C9">
        <w:rPr>
          <w:rFonts w:ascii="David" w:hAnsi="David"/>
          <w:color w:val="FFFFFF"/>
          <w:sz w:val="2"/>
          <w:szCs w:val="2"/>
          <w:rtl/>
        </w:rPr>
        <w:t>54678313</w:t>
      </w:r>
    </w:p>
    <w:p w14:paraId="626555E7" w14:textId="77777777" w:rsidR="00BC1A4E" w:rsidRDefault="00BC1A4E" w:rsidP="00BC1A4E">
      <w:pPr>
        <w:rPr>
          <w:rtl/>
        </w:rPr>
      </w:pPr>
    </w:p>
    <w:p w14:paraId="649D620C" w14:textId="77777777" w:rsidR="00BC1A4E" w:rsidRDefault="00BC1A4E" w:rsidP="00BC1A4E">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04C74C1E" w14:textId="77777777" w:rsidR="004D00C9" w:rsidRPr="004D00C9" w:rsidRDefault="004D00C9" w:rsidP="004D00C9">
      <w:pPr>
        <w:keepNext/>
        <w:rPr>
          <w:rFonts w:ascii="David" w:hAnsi="David"/>
          <w:color w:val="000000"/>
          <w:sz w:val="22"/>
          <w:szCs w:val="22"/>
          <w:rtl/>
        </w:rPr>
      </w:pPr>
    </w:p>
    <w:p w14:paraId="6CBFC1A2" w14:textId="77777777" w:rsidR="004D00C9" w:rsidRPr="004D00C9" w:rsidRDefault="004D00C9" w:rsidP="004D00C9">
      <w:pPr>
        <w:keepNext/>
        <w:rPr>
          <w:rFonts w:ascii="David" w:hAnsi="David"/>
          <w:color w:val="000000"/>
          <w:sz w:val="22"/>
          <w:szCs w:val="22"/>
          <w:rtl/>
        </w:rPr>
      </w:pPr>
      <w:r w:rsidRPr="004D00C9">
        <w:rPr>
          <w:rFonts w:ascii="David" w:hAnsi="David"/>
          <w:color w:val="000000"/>
          <w:sz w:val="22"/>
          <w:szCs w:val="22"/>
          <w:rtl/>
        </w:rPr>
        <w:t>אילן סלע 54678313-/</w:t>
      </w:r>
    </w:p>
    <w:p w14:paraId="13746089" w14:textId="77777777" w:rsidR="00BC1A4E" w:rsidRPr="00BC1A4E" w:rsidRDefault="004D00C9" w:rsidP="004D00C9">
      <w:pPr>
        <w:rPr>
          <w:color w:val="0000FF"/>
          <w:u w:val="single"/>
        </w:rPr>
      </w:pPr>
      <w:r w:rsidRPr="004D00C9">
        <w:rPr>
          <w:color w:val="000000"/>
          <w:u w:val="single"/>
          <w:rtl/>
        </w:rPr>
        <w:t>נוסח מסמך זה כפוף לשינויי ניסוח ועריכה</w:t>
      </w:r>
    </w:p>
    <w:sectPr w:rsidR="00BC1A4E" w:rsidRPr="00BC1A4E" w:rsidSect="004D00C9">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B86D6" w14:textId="77777777" w:rsidR="00114C2C" w:rsidRDefault="00114C2C" w:rsidP="001F4163">
      <w:r>
        <w:separator/>
      </w:r>
    </w:p>
  </w:endnote>
  <w:endnote w:type="continuationSeparator" w:id="0">
    <w:p w14:paraId="5F8F204E" w14:textId="77777777" w:rsidR="00114C2C" w:rsidRDefault="00114C2C" w:rsidP="001F4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FDDED" w14:textId="77777777" w:rsidR="004D00C9" w:rsidRDefault="004D00C9" w:rsidP="004D00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51C1C4" w14:textId="77777777" w:rsidR="00793251" w:rsidRPr="004D00C9" w:rsidRDefault="004D00C9" w:rsidP="004D00C9">
    <w:pPr>
      <w:pStyle w:val="a5"/>
      <w:pBdr>
        <w:top w:val="single" w:sz="4" w:space="1" w:color="auto"/>
        <w:between w:val="single" w:sz="4" w:space="0" w:color="auto"/>
      </w:pBdr>
      <w:spacing w:after="60"/>
      <w:jc w:val="center"/>
      <w:rPr>
        <w:rFonts w:ascii="FrankRuehl" w:hAnsi="FrankRuehl" w:cs="FrankRuehl"/>
        <w:color w:val="000000"/>
      </w:rPr>
    </w:pPr>
    <w:r w:rsidRPr="004D00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AC40B" w14:textId="77777777" w:rsidR="004D00C9" w:rsidRDefault="004D00C9" w:rsidP="004D00C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3832">
      <w:rPr>
        <w:rFonts w:ascii="FrankRuehl" w:hAnsi="FrankRuehl" w:cs="FrankRuehl"/>
        <w:noProof/>
        <w:rtl/>
      </w:rPr>
      <w:t>1</w:t>
    </w:r>
    <w:r>
      <w:rPr>
        <w:rFonts w:ascii="FrankRuehl" w:hAnsi="FrankRuehl" w:cs="FrankRuehl"/>
        <w:rtl/>
      </w:rPr>
      <w:fldChar w:fldCharType="end"/>
    </w:r>
  </w:p>
  <w:p w14:paraId="22FF90C5" w14:textId="77777777" w:rsidR="00793251" w:rsidRPr="004D00C9" w:rsidRDefault="004D00C9" w:rsidP="004D00C9">
    <w:pPr>
      <w:pStyle w:val="a5"/>
      <w:pBdr>
        <w:top w:val="single" w:sz="4" w:space="1" w:color="auto"/>
        <w:between w:val="single" w:sz="4" w:space="0" w:color="auto"/>
      </w:pBdr>
      <w:spacing w:after="60"/>
      <w:jc w:val="center"/>
      <w:rPr>
        <w:rFonts w:ascii="FrankRuehl" w:hAnsi="FrankRuehl" w:cs="FrankRuehl"/>
        <w:color w:val="000000"/>
      </w:rPr>
    </w:pPr>
    <w:r w:rsidRPr="004D00C9">
      <w:rPr>
        <w:rFonts w:ascii="FrankRuehl" w:hAnsi="FrankRuehl" w:cs="FrankRuehl"/>
        <w:color w:val="000000"/>
      </w:rPr>
      <w:pict w14:anchorId="038A4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A0101" w14:textId="77777777" w:rsidR="00114C2C" w:rsidRDefault="00114C2C" w:rsidP="001F4163">
      <w:r>
        <w:separator/>
      </w:r>
    </w:p>
  </w:footnote>
  <w:footnote w:type="continuationSeparator" w:id="0">
    <w:p w14:paraId="77D9D586" w14:textId="77777777" w:rsidR="00114C2C" w:rsidRDefault="00114C2C" w:rsidP="001F4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C8B6" w14:textId="77777777" w:rsidR="00BC1A4E" w:rsidRPr="004D00C9" w:rsidRDefault="004D00C9" w:rsidP="004D00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39792-12-21</w:t>
    </w:r>
    <w:r>
      <w:rPr>
        <w:rFonts w:ascii="David" w:hAnsi="David"/>
        <w:color w:val="000000"/>
        <w:sz w:val="22"/>
        <w:szCs w:val="22"/>
        <w:rtl/>
      </w:rPr>
      <w:tab/>
      <w:t xml:space="preserve"> מדינת ישראל נ' יוסי שליו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1C515" w14:textId="77777777" w:rsidR="00BC1A4E" w:rsidRPr="004D00C9" w:rsidRDefault="004D00C9" w:rsidP="004D00C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39792-12-21</w:t>
    </w:r>
    <w:r>
      <w:rPr>
        <w:rFonts w:ascii="David" w:hAnsi="David"/>
        <w:color w:val="000000"/>
        <w:sz w:val="22"/>
        <w:szCs w:val="22"/>
        <w:rtl/>
      </w:rPr>
      <w:tab/>
      <w:t xml:space="preserve"> מדינת ישראל נ' יוסי שליו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619A"/>
    <w:multiLevelType w:val="hybridMultilevel"/>
    <w:tmpl w:val="D9261508"/>
    <w:lvl w:ilvl="0" w:tplc="41027A9A">
      <w:start w:val="1"/>
      <w:numFmt w:val="hebrew1"/>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15:restartNumberingAfterBreak="0">
    <w:nsid w:val="1A8E74B0"/>
    <w:multiLevelType w:val="hybridMultilevel"/>
    <w:tmpl w:val="D4C632B6"/>
    <w:lvl w:ilvl="0" w:tplc="111E265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1219D"/>
    <w:multiLevelType w:val="hybridMultilevel"/>
    <w:tmpl w:val="D4C632B6"/>
    <w:lvl w:ilvl="0" w:tplc="111E265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180CE2"/>
    <w:multiLevelType w:val="hybridMultilevel"/>
    <w:tmpl w:val="5658D232"/>
    <w:lvl w:ilvl="0" w:tplc="81922E44">
      <w:start w:val="1"/>
      <w:numFmt w:val="decimal"/>
      <w:lvlText w:val="%1."/>
      <w:lvlJc w:val="left"/>
      <w:pPr>
        <w:ind w:left="1080" w:hanging="360"/>
      </w:pPr>
      <w:rPr>
        <w:rFonts w:hint="default"/>
        <w:b/>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5555C2"/>
    <w:multiLevelType w:val="hybridMultilevel"/>
    <w:tmpl w:val="8C587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5741245">
    <w:abstractNumId w:val="4"/>
  </w:num>
  <w:num w:numId="2" w16cid:durableId="616790502">
    <w:abstractNumId w:val="3"/>
  </w:num>
  <w:num w:numId="3" w16cid:durableId="1245383234">
    <w:abstractNumId w:val="1"/>
  </w:num>
  <w:num w:numId="4" w16cid:durableId="790711598">
    <w:abstractNumId w:val="0"/>
  </w:num>
  <w:num w:numId="5" w16cid:durableId="273563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65EB"/>
    <w:rsid w:val="00114C2C"/>
    <w:rsid w:val="0011643C"/>
    <w:rsid w:val="001B5A3B"/>
    <w:rsid w:val="001F4163"/>
    <w:rsid w:val="004D00C9"/>
    <w:rsid w:val="00643832"/>
    <w:rsid w:val="006A65EB"/>
    <w:rsid w:val="00793251"/>
    <w:rsid w:val="00840C5D"/>
    <w:rsid w:val="00BC1A4E"/>
    <w:rsid w:val="00DD0D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A849E8"/>
  <w15:chartTrackingRefBased/>
  <w15:docId w15:val="{D0C597B2-2727-48D3-A74B-BB4730D4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65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65EB"/>
    <w:pPr>
      <w:tabs>
        <w:tab w:val="center" w:pos="4153"/>
        <w:tab w:val="right" w:pos="8306"/>
      </w:tabs>
    </w:pPr>
  </w:style>
  <w:style w:type="character" w:customStyle="1" w:styleId="a4">
    <w:name w:val="כותרת עליונה תו"/>
    <w:link w:val="a3"/>
    <w:rsid w:val="006A65EB"/>
    <w:rPr>
      <w:rFonts w:ascii="Times New Roman" w:eastAsia="Times New Roman" w:hAnsi="Times New Roman" w:cs="David"/>
      <w:sz w:val="24"/>
      <w:szCs w:val="24"/>
    </w:rPr>
  </w:style>
  <w:style w:type="paragraph" w:styleId="a5">
    <w:name w:val="footer"/>
    <w:basedOn w:val="a"/>
    <w:link w:val="a6"/>
    <w:rsid w:val="006A65EB"/>
    <w:pPr>
      <w:tabs>
        <w:tab w:val="center" w:pos="4153"/>
        <w:tab w:val="right" w:pos="8306"/>
      </w:tabs>
    </w:pPr>
  </w:style>
  <w:style w:type="character" w:customStyle="1" w:styleId="a6">
    <w:name w:val="כותרת תחתונה תו"/>
    <w:link w:val="a5"/>
    <w:rsid w:val="006A65EB"/>
    <w:rPr>
      <w:rFonts w:ascii="Times New Roman" w:eastAsia="Times New Roman" w:hAnsi="Times New Roman" w:cs="David"/>
      <w:sz w:val="24"/>
      <w:szCs w:val="24"/>
    </w:rPr>
  </w:style>
  <w:style w:type="table" w:styleId="a7">
    <w:name w:val="Table Grid"/>
    <w:basedOn w:val="a1"/>
    <w:rsid w:val="006A65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65EB"/>
  </w:style>
  <w:style w:type="paragraph" w:styleId="a9">
    <w:name w:val="List Paragraph"/>
    <w:basedOn w:val="a"/>
    <w:qFormat/>
    <w:rsid w:val="006A65EB"/>
    <w:pPr>
      <w:ind w:left="720"/>
      <w:contextualSpacing/>
    </w:pPr>
  </w:style>
  <w:style w:type="paragraph" w:customStyle="1" w:styleId="12">
    <w:name w:val="רגיל + ‏12 נק'"/>
    <w:aliases w:val="מיושר לשני הצדדים,מרווח בין שורות:  שורה וחצי"/>
    <w:basedOn w:val="a"/>
    <w:rsid w:val="006A65EB"/>
    <w:rPr>
      <w:b/>
      <w:bCs/>
      <w:u w:val="single"/>
    </w:rPr>
  </w:style>
  <w:style w:type="character" w:customStyle="1" w:styleId="default">
    <w:name w:val="default"/>
    <w:rsid w:val="006A65EB"/>
  </w:style>
  <w:style w:type="character" w:styleId="Hyperlink">
    <w:name w:val="Hyperlink"/>
    <w:rsid w:val="00BC1A4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0301/330" TargetMode="External"/><Relationship Id="rId26" Type="http://schemas.openxmlformats.org/officeDocument/2006/relationships/hyperlink" Target="http://www.nevo.co.il/case/26888657" TargetMode="External"/><Relationship Id="rId39" Type="http://schemas.openxmlformats.org/officeDocument/2006/relationships/hyperlink" Target="http://www.nevo.co.il/case/5787481" TargetMode="External"/><Relationship Id="rId21" Type="http://schemas.openxmlformats.org/officeDocument/2006/relationships/hyperlink" Target="http://www.nevo.co.il/case/22366174"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case/29139032" TargetMode="External"/><Relationship Id="rId47" Type="http://schemas.openxmlformats.org/officeDocument/2006/relationships/hyperlink" Target="http://www.nevo.co.il/law/74918" TargetMode="External"/><Relationship Id="rId50" Type="http://schemas.openxmlformats.org/officeDocument/2006/relationships/hyperlink" Target="http://www.nevo.co.il/case/20138359"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10485615" TargetMode="External"/><Relationship Id="rId11" Type="http://schemas.openxmlformats.org/officeDocument/2006/relationships/hyperlink" Target="http://www.nevo.co.il/law/70301/330" TargetMode="External"/><Relationship Id="rId24" Type="http://schemas.openxmlformats.org/officeDocument/2006/relationships/hyperlink" Target="http://www.nevo.co.il/case/25612982" TargetMode="External"/><Relationship Id="rId32" Type="http://schemas.openxmlformats.org/officeDocument/2006/relationships/hyperlink" Target="http://www.nevo.co.il/case/28061768"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428" TargetMode="External"/><Relationship Id="rId45" Type="http://schemas.openxmlformats.org/officeDocument/2006/relationships/hyperlink" Target="http://www.nevo.co.il/law/70301/40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28"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4918/34" TargetMode="External"/><Relationship Id="rId22" Type="http://schemas.openxmlformats.org/officeDocument/2006/relationships/hyperlink" Target="http://www.nevo.co.il/case/5713643" TargetMode="External"/><Relationship Id="rId27" Type="http://schemas.openxmlformats.org/officeDocument/2006/relationships/hyperlink" Target="http://www.nevo.co.il/case/27513376" TargetMode="External"/><Relationship Id="rId30" Type="http://schemas.openxmlformats.org/officeDocument/2006/relationships/hyperlink" Target="http://www.nevo.co.il/case/4466789" TargetMode="External"/><Relationship Id="rId35" Type="http://schemas.openxmlformats.org/officeDocument/2006/relationships/hyperlink" Target="http://www.nevo.co.il/case/25938181" TargetMode="External"/><Relationship Id="rId43" Type="http://schemas.openxmlformats.org/officeDocument/2006/relationships/hyperlink" Target="http://www.nevo.co.il/case/24344207" TargetMode="External"/><Relationship Id="rId48" Type="http://schemas.openxmlformats.org/officeDocument/2006/relationships/hyperlink" Target="http://www.nevo.co.il/law/70301/144.b" TargetMode="External"/><Relationship Id="rId56" Type="http://schemas.openxmlformats.org/officeDocument/2006/relationships/footer" Target="footer2.xml"/><Relationship Id="rId8" Type="http://schemas.openxmlformats.org/officeDocument/2006/relationships/hyperlink" Target="http://www.nevo.co.il/law/70301/40e" TargetMode="External"/><Relationship Id="rId51" Type="http://schemas.openxmlformats.org/officeDocument/2006/relationships/hyperlink" Target="http://www.nevo.co.il/law/74918/34" TargetMode="External"/><Relationship Id="rId3" Type="http://schemas.openxmlformats.org/officeDocument/2006/relationships/settings" Target="settings.xml"/><Relationship Id="rId12" Type="http://schemas.openxmlformats.org/officeDocument/2006/relationships/hyperlink" Target="http://www.nevo.co.il/law/70301/428"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651336" TargetMode="External"/><Relationship Id="rId33" Type="http://schemas.openxmlformats.org/officeDocument/2006/relationships/hyperlink" Target="http://www.nevo.co.il/case/27121028" TargetMode="External"/><Relationship Id="rId38" Type="http://schemas.openxmlformats.org/officeDocument/2006/relationships/hyperlink" Target="http://www.nevo.co.il/case/7789299" TargetMode="External"/><Relationship Id="rId46" Type="http://schemas.openxmlformats.org/officeDocument/2006/relationships/hyperlink" Target="http://www.nevo.co.il/law/74918/39.a" TargetMode="External"/><Relationship Id="rId20" Type="http://schemas.openxmlformats.org/officeDocument/2006/relationships/hyperlink" Target="http://www.nevo.co.il/case/17948153" TargetMode="External"/><Relationship Id="rId41" Type="http://schemas.openxmlformats.org/officeDocument/2006/relationships/hyperlink" Target="http://www.nevo.co.il/case/2827909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case/6082947"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330" TargetMode="External"/><Relationship Id="rId49" Type="http://schemas.openxmlformats.org/officeDocument/2006/relationships/hyperlink" Target="http://www.nevo.co.il/case/29161814"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27508939" TargetMode="External"/><Relationship Id="rId44" Type="http://schemas.openxmlformats.org/officeDocument/2006/relationships/hyperlink" Target="http://www.nevo.co.il/law/70301/40e"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3727</Words>
  <Characters>18638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22321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6553701</vt:i4>
      </vt:variant>
      <vt:variant>
        <vt:i4>132</vt:i4>
      </vt:variant>
      <vt:variant>
        <vt:i4>0</vt:i4>
      </vt:variant>
      <vt:variant>
        <vt:i4>5</vt:i4>
      </vt:variant>
      <vt:variant>
        <vt:lpwstr>http://www.nevo.co.il/law/74918/34</vt:lpwstr>
      </vt:variant>
      <vt:variant>
        <vt:lpwstr/>
      </vt:variant>
      <vt:variant>
        <vt:i4>4063348</vt:i4>
      </vt:variant>
      <vt:variant>
        <vt:i4>129</vt:i4>
      </vt:variant>
      <vt:variant>
        <vt:i4>0</vt:i4>
      </vt:variant>
      <vt:variant>
        <vt:i4>5</vt:i4>
      </vt:variant>
      <vt:variant>
        <vt:lpwstr>http://www.nevo.co.il/case/20138359</vt:lpwstr>
      </vt:variant>
      <vt:variant>
        <vt:lpwstr/>
      </vt:variant>
      <vt:variant>
        <vt:i4>3342451</vt:i4>
      </vt:variant>
      <vt:variant>
        <vt:i4>126</vt:i4>
      </vt:variant>
      <vt:variant>
        <vt:i4>0</vt:i4>
      </vt:variant>
      <vt:variant>
        <vt:i4>5</vt:i4>
      </vt:variant>
      <vt:variant>
        <vt:lpwstr>http://www.nevo.co.il/case/29161814</vt:lpwstr>
      </vt:variant>
      <vt:variant>
        <vt:lpwstr/>
      </vt:variant>
      <vt:variant>
        <vt:i4>5177424</vt:i4>
      </vt:variant>
      <vt:variant>
        <vt:i4>123</vt:i4>
      </vt:variant>
      <vt:variant>
        <vt:i4>0</vt:i4>
      </vt:variant>
      <vt:variant>
        <vt:i4>5</vt:i4>
      </vt:variant>
      <vt:variant>
        <vt:lpwstr>http://www.nevo.co.il/law/70301/144.b</vt:lpwstr>
      </vt:variant>
      <vt:variant>
        <vt:lpwstr/>
      </vt:variant>
      <vt:variant>
        <vt:i4>8323182</vt:i4>
      </vt:variant>
      <vt:variant>
        <vt:i4>120</vt:i4>
      </vt:variant>
      <vt:variant>
        <vt:i4>0</vt:i4>
      </vt:variant>
      <vt:variant>
        <vt:i4>5</vt:i4>
      </vt:variant>
      <vt:variant>
        <vt:lpwstr>http://www.nevo.co.il/law/74918</vt:lpwstr>
      </vt:variant>
      <vt:variant>
        <vt:lpwstr/>
      </vt:variant>
      <vt:variant>
        <vt:i4>524363</vt:i4>
      </vt:variant>
      <vt:variant>
        <vt:i4>117</vt:i4>
      </vt:variant>
      <vt:variant>
        <vt:i4>0</vt:i4>
      </vt:variant>
      <vt:variant>
        <vt:i4>5</vt:i4>
      </vt:variant>
      <vt:variant>
        <vt:lpwstr>http://www.nevo.co.il/law/74918/39.a</vt:lpwstr>
      </vt:variant>
      <vt:variant>
        <vt:lpwstr/>
      </vt:variant>
      <vt:variant>
        <vt:i4>6619233</vt:i4>
      </vt:variant>
      <vt:variant>
        <vt:i4>114</vt:i4>
      </vt:variant>
      <vt:variant>
        <vt:i4>0</vt:i4>
      </vt:variant>
      <vt:variant>
        <vt:i4>5</vt:i4>
      </vt:variant>
      <vt:variant>
        <vt:lpwstr>http://www.nevo.co.il/law/70301/40e</vt:lpwstr>
      </vt:variant>
      <vt:variant>
        <vt:lpwstr/>
      </vt:variant>
      <vt:variant>
        <vt:i4>6619233</vt:i4>
      </vt:variant>
      <vt:variant>
        <vt:i4>111</vt:i4>
      </vt:variant>
      <vt:variant>
        <vt:i4>0</vt:i4>
      </vt:variant>
      <vt:variant>
        <vt:i4>5</vt:i4>
      </vt:variant>
      <vt:variant>
        <vt:lpwstr>http://www.nevo.co.il/law/70301/40e</vt:lpwstr>
      </vt:variant>
      <vt:variant>
        <vt:lpwstr/>
      </vt:variant>
      <vt:variant>
        <vt:i4>3473526</vt:i4>
      </vt:variant>
      <vt:variant>
        <vt:i4>108</vt:i4>
      </vt:variant>
      <vt:variant>
        <vt:i4>0</vt:i4>
      </vt:variant>
      <vt:variant>
        <vt:i4>5</vt:i4>
      </vt:variant>
      <vt:variant>
        <vt:lpwstr>http://www.nevo.co.il/case/24344207</vt:lpwstr>
      </vt:variant>
      <vt:variant>
        <vt:lpwstr/>
      </vt:variant>
      <vt:variant>
        <vt:i4>3735678</vt:i4>
      </vt:variant>
      <vt:variant>
        <vt:i4>105</vt:i4>
      </vt:variant>
      <vt:variant>
        <vt:i4>0</vt:i4>
      </vt:variant>
      <vt:variant>
        <vt:i4>5</vt:i4>
      </vt:variant>
      <vt:variant>
        <vt:lpwstr>http://www.nevo.co.il/case/29139032</vt:lpwstr>
      </vt:variant>
      <vt:variant>
        <vt:lpwstr/>
      </vt:variant>
      <vt:variant>
        <vt:i4>3145851</vt:i4>
      </vt:variant>
      <vt:variant>
        <vt:i4>102</vt:i4>
      </vt:variant>
      <vt:variant>
        <vt:i4>0</vt:i4>
      </vt:variant>
      <vt:variant>
        <vt:i4>5</vt:i4>
      </vt:variant>
      <vt:variant>
        <vt:lpwstr>http://www.nevo.co.il/case/28279096</vt:lpwstr>
      </vt:variant>
      <vt:variant>
        <vt:lpwstr/>
      </vt:variant>
      <vt:variant>
        <vt:i4>6750305</vt:i4>
      </vt:variant>
      <vt:variant>
        <vt:i4>99</vt:i4>
      </vt:variant>
      <vt:variant>
        <vt:i4>0</vt:i4>
      </vt:variant>
      <vt:variant>
        <vt:i4>5</vt:i4>
      </vt:variant>
      <vt:variant>
        <vt:lpwstr>http://www.nevo.co.il/law/70301/428</vt:lpwstr>
      </vt:variant>
      <vt:variant>
        <vt:lpwstr/>
      </vt:variant>
      <vt:variant>
        <vt:i4>3670140</vt:i4>
      </vt:variant>
      <vt:variant>
        <vt:i4>96</vt:i4>
      </vt:variant>
      <vt:variant>
        <vt:i4>0</vt:i4>
      </vt:variant>
      <vt:variant>
        <vt:i4>5</vt:i4>
      </vt:variant>
      <vt:variant>
        <vt:lpwstr>http://www.nevo.co.il/case/5787481</vt:lpwstr>
      </vt:variant>
      <vt:variant>
        <vt:lpwstr/>
      </vt:variant>
      <vt:variant>
        <vt:i4>3407987</vt:i4>
      </vt:variant>
      <vt:variant>
        <vt:i4>93</vt:i4>
      </vt:variant>
      <vt:variant>
        <vt:i4>0</vt:i4>
      </vt:variant>
      <vt:variant>
        <vt:i4>5</vt:i4>
      </vt:variant>
      <vt:variant>
        <vt:lpwstr>http://www.nevo.co.il/case/7789299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6684774</vt:i4>
      </vt:variant>
      <vt:variant>
        <vt:i4>87</vt:i4>
      </vt:variant>
      <vt:variant>
        <vt:i4>0</vt:i4>
      </vt:variant>
      <vt:variant>
        <vt:i4>5</vt:i4>
      </vt:variant>
      <vt:variant>
        <vt:lpwstr>http://www.nevo.co.il/law/70301/330</vt:lpwstr>
      </vt:variant>
      <vt:variant>
        <vt:lpwstr/>
      </vt:variant>
      <vt:variant>
        <vt:i4>3866739</vt:i4>
      </vt:variant>
      <vt:variant>
        <vt:i4>84</vt:i4>
      </vt:variant>
      <vt:variant>
        <vt:i4>0</vt:i4>
      </vt:variant>
      <vt:variant>
        <vt:i4>5</vt:i4>
      </vt:variant>
      <vt:variant>
        <vt:lpwstr>http://www.nevo.co.il/case/25938181</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3145841</vt:i4>
      </vt:variant>
      <vt:variant>
        <vt:i4>78</vt:i4>
      </vt:variant>
      <vt:variant>
        <vt:i4>0</vt:i4>
      </vt:variant>
      <vt:variant>
        <vt:i4>5</vt:i4>
      </vt:variant>
      <vt:variant>
        <vt:lpwstr>http://www.nevo.co.il/case/27121028</vt:lpwstr>
      </vt:variant>
      <vt:variant>
        <vt:lpwstr/>
      </vt:variant>
      <vt:variant>
        <vt:i4>3473533</vt:i4>
      </vt:variant>
      <vt:variant>
        <vt:i4>75</vt:i4>
      </vt:variant>
      <vt:variant>
        <vt:i4>0</vt:i4>
      </vt:variant>
      <vt:variant>
        <vt:i4>5</vt:i4>
      </vt:variant>
      <vt:variant>
        <vt:lpwstr>http://www.nevo.co.il/case/28061768</vt:lpwstr>
      </vt:variant>
      <vt:variant>
        <vt:lpwstr/>
      </vt:variant>
      <vt:variant>
        <vt:i4>3932282</vt:i4>
      </vt:variant>
      <vt:variant>
        <vt:i4>72</vt:i4>
      </vt:variant>
      <vt:variant>
        <vt:i4>0</vt:i4>
      </vt:variant>
      <vt:variant>
        <vt:i4>5</vt:i4>
      </vt:variant>
      <vt:variant>
        <vt:lpwstr>http://www.nevo.co.il/case/27508939</vt:lpwstr>
      </vt:variant>
      <vt:variant>
        <vt:lpwstr/>
      </vt:variant>
      <vt:variant>
        <vt:i4>3932286</vt:i4>
      </vt:variant>
      <vt:variant>
        <vt:i4>69</vt:i4>
      </vt:variant>
      <vt:variant>
        <vt:i4>0</vt:i4>
      </vt:variant>
      <vt:variant>
        <vt:i4>5</vt:i4>
      </vt:variant>
      <vt:variant>
        <vt:lpwstr>http://www.nevo.co.il/case/4466789</vt:lpwstr>
      </vt:variant>
      <vt:variant>
        <vt:lpwstr/>
      </vt:variant>
      <vt:variant>
        <vt:i4>3211386</vt:i4>
      </vt:variant>
      <vt:variant>
        <vt:i4>66</vt:i4>
      </vt:variant>
      <vt:variant>
        <vt:i4>0</vt:i4>
      </vt:variant>
      <vt:variant>
        <vt:i4>5</vt:i4>
      </vt:variant>
      <vt:variant>
        <vt:lpwstr>http://www.nevo.co.il/case/10485615</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3342449</vt:i4>
      </vt:variant>
      <vt:variant>
        <vt:i4>60</vt:i4>
      </vt:variant>
      <vt:variant>
        <vt:i4>0</vt:i4>
      </vt:variant>
      <vt:variant>
        <vt:i4>5</vt:i4>
      </vt:variant>
      <vt:variant>
        <vt:lpwstr>http://www.nevo.co.il/case/27513376</vt:lpwstr>
      </vt:variant>
      <vt:variant>
        <vt:lpwstr/>
      </vt:variant>
      <vt:variant>
        <vt:i4>3604604</vt:i4>
      </vt:variant>
      <vt:variant>
        <vt:i4>57</vt:i4>
      </vt:variant>
      <vt:variant>
        <vt:i4>0</vt:i4>
      </vt:variant>
      <vt:variant>
        <vt:i4>5</vt:i4>
      </vt:variant>
      <vt:variant>
        <vt:lpwstr>http://www.nevo.co.il/case/26888657</vt:lpwstr>
      </vt:variant>
      <vt:variant>
        <vt:lpwstr/>
      </vt:variant>
      <vt:variant>
        <vt:i4>3539061</vt:i4>
      </vt:variant>
      <vt:variant>
        <vt:i4>54</vt:i4>
      </vt:variant>
      <vt:variant>
        <vt:i4>0</vt:i4>
      </vt:variant>
      <vt:variant>
        <vt:i4>5</vt:i4>
      </vt:variant>
      <vt:variant>
        <vt:lpwstr>http://www.nevo.co.il/case/27651336</vt:lpwstr>
      </vt:variant>
      <vt:variant>
        <vt:lpwstr/>
      </vt:variant>
      <vt:variant>
        <vt:i4>4063353</vt:i4>
      </vt:variant>
      <vt:variant>
        <vt:i4>51</vt:i4>
      </vt:variant>
      <vt:variant>
        <vt:i4>0</vt:i4>
      </vt:variant>
      <vt:variant>
        <vt:i4>5</vt:i4>
      </vt:variant>
      <vt:variant>
        <vt:lpwstr>http://www.nevo.co.il/case/25612982</vt:lpwstr>
      </vt:variant>
      <vt:variant>
        <vt:lpwstr/>
      </vt:variant>
      <vt:variant>
        <vt:i4>3145842</vt:i4>
      </vt:variant>
      <vt:variant>
        <vt:i4>48</vt:i4>
      </vt:variant>
      <vt:variant>
        <vt:i4>0</vt:i4>
      </vt:variant>
      <vt:variant>
        <vt:i4>5</vt:i4>
      </vt:variant>
      <vt:variant>
        <vt:lpwstr>http://www.nevo.co.il/case/6082947</vt:lpwstr>
      </vt:variant>
      <vt:variant>
        <vt:lpwstr/>
      </vt:variant>
      <vt:variant>
        <vt:i4>3211380</vt:i4>
      </vt:variant>
      <vt:variant>
        <vt:i4>45</vt:i4>
      </vt:variant>
      <vt:variant>
        <vt:i4>0</vt:i4>
      </vt:variant>
      <vt:variant>
        <vt:i4>5</vt:i4>
      </vt:variant>
      <vt:variant>
        <vt:lpwstr>http://www.nevo.co.il/case/5713643</vt:lpwstr>
      </vt:variant>
      <vt:variant>
        <vt:lpwstr/>
      </vt:variant>
      <vt:variant>
        <vt:i4>3145841</vt:i4>
      </vt:variant>
      <vt:variant>
        <vt:i4>42</vt:i4>
      </vt:variant>
      <vt:variant>
        <vt:i4>0</vt:i4>
      </vt:variant>
      <vt:variant>
        <vt:i4>5</vt:i4>
      </vt:variant>
      <vt:variant>
        <vt:lpwstr>http://www.nevo.co.il/case/22366174</vt:lpwstr>
      </vt:variant>
      <vt:variant>
        <vt:lpwstr/>
      </vt:variant>
      <vt:variant>
        <vt:i4>3473526</vt:i4>
      </vt:variant>
      <vt:variant>
        <vt:i4>39</vt:i4>
      </vt:variant>
      <vt:variant>
        <vt:i4>0</vt:i4>
      </vt:variant>
      <vt:variant>
        <vt:i4>5</vt:i4>
      </vt:variant>
      <vt:variant>
        <vt:lpwstr>http://www.nevo.co.il/case/17948153</vt:lpwstr>
      </vt:variant>
      <vt:variant>
        <vt:lpwstr/>
      </vt:variant>
      <vt:variant>
        <vt:i4>6750305</vt:i4>
      </vt:variant>
      <vt:variant>
        <vt:i4>36</vt:i4>
      </vt:variant>
      <vt:variant>
        <vt:i4>0</vt:i4>
      </vt:variant>
      <vt:variant>
        <vt:i4>5</vt:i4>
      </vt:variant>
      <vt:variant>
        <vt:lpwstr>http://www.nevo.co.il/law/70301/428</vt:lpwstr>
      </vt:variant>
      <vt:variant>
        <vt:lpwstr/>
      </vt:variant>
      <vt:variant>
        <vt:i4>6684774</vt:i4>
      </vt:variant>
      <vt:variant>
        <vt:i4>33</vt:i4>
      </vt:variant>
      <vt:variant>
        <vt:i4>0</vt:i4>
      </vt:variant>
      <vt:variant>
        <vt:i4>5</vt:i4>
      </vt:variant>
      <vt:variant>
        <vt:lpwstr>http://www.nevo.co.il/law/70301/330</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6553701</vt:i4>
      </vt:variant>
      <vt:variant>
        <vt:i4>21</vt:i4>
      </vt:variant>
      <vt:variant>
        <vt:i4>0</vt:i4>
      </vt:variant>
      <vt:variant>
        <vt:i4>5</vt:i4>
      </vt:variant>
      <vt:variant>
        <vt:lpwstr>http://www.nevo.co.il/law/74918/34</vt:lpwstr>
      </vt:variant>
      <vt:variant>
        <vt:lpwstr/>
      </vt:variant>
      <vt:variant>
        <vt:i4>8323182</vt:i4>
      </vt:variant>
      <vt:variant>
        <vt:i4>18</vt:i4>
      </vt:variant>
      <vt:variant>
        <vt:i4>0</vt:i4>
      </vt:variant>
      <vt:variant>
        <vt:i4>5</vt:i4>
      </vt:variant>
      <vt:variant>
        <vt:lpwstr>http://www.nevo.co.il/law/74918</vt:lpwstr>
      </vt:variant>
      <vt:variant>
        <vt:lpwstr/>
      </vt:variant>
      <vt:variant>
        <vt:i4>6750305</vt:i4>
      </vt:variant>
      <vt:variant>
        <vt:i4>15</vt:i4>
      </vt:variant>
      <vt:variant>
        <vt:i4>0</vt:i4>
      </vt:variant>
      <vt:variant>
        <vt:i4>5</vt:i4>
      </vt:variant>
      <vt:variant>
        <vt:lpwstr>http://www.nevo.co.il/law/70301/428</vt:lpwstr>
      </vt:variant>
      <vt:variant>
        <vt:lpwstr/>
      </vt:variant>
      <vt:variant>
        <vt:i4>6684774</vt:i4>
      </vt:variant>
      <vt:variant>
        <vt:i4>12</vt:i4>
      </vt:variant>
      <vt:variant>
        <vt:i4>0</vt:i4>
      </vt:variant>
      <vt:variant>
        <vt:i4>5</vt:i4>
      </vt:variant>
      <vt:variant>
        <vt:lpwstr>http://www.nevo.co.il/law/70301/330</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39792</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יוסי שליו</vt:lpwstr>
  </property>
  <property fmtid="{D5CDD505-2E9C-101B-9397-08002B2CF9AE}" pid="10" name="LAWYER">
    <vt:lpwstr>רחל אהרוני;גולן מאירי;אריאל הרמן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20240109</vt:lpwstr>
  </property>
  <property fmtid="{D5CDD505-2E9C-101B-9397-08002B2CF9AE}" pid="14" name="TYPE_N_DATE">
    <vt:lpwstr>39020240109</vt:lpwstr>
  </property>
  <property fmtid="{D5CDD505-2E9C-101B-9397-08002B2CF9AE}" pid="15" name="CASESLISTTMP1">
    <vt:lpwstr>17948153;22366174;5713643;6082947;25612982;27651336;26888657;27513376;10485615;4466789;27508939;28061768;27121028;25938181;7789299;5787481;28279096;29139032;24344207;29161814;20138359</vt:lpwstr>
  </property>
  <property fmtid="{D5CDD505-2E9C-101B-9397-08002B2CF9AE}" pid="16" name="CASENOTES1">
    <vt:lpwstr>ProcID=210&amp;PartA=713&amp;PartC=04</vt:lpwstr>
  </property>
  <property fmtid="{D5CDD505-2E9C-101B-9397-08002B2CF9AE}" pid="17" name="CASENOTES2">
    <vt:lpwstr>ProcID=209&amp;PartA=14646&amp;PartB=12&amp;PartC=13</vt:lpwstr>
  </property>
  <property fmtid="{D5CDD505-2E9C-101B-9397-08002B2CF9AE}" pid="18" name="WORDNUMPAGES">
    <vt:lpwstr>13</vt:lpwstr>
  </property>
  <property fmtid="{D5CDD505-2E9C-101B-9397-08002B2CF9AE}" pid="19" name="TYPE_ABS_DATE">
    <vt:lpwstr>390020240109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70301/144.b:4;330:2;428:2;144.a;040e:2</vt:lpwstr>
  </property>
  <property fmtid="{D5CDD505-2E9C-101B-9397-08002B2CF9AE}" pid="39" name="LAWLISTTMP2">
    <vt:lpwstr>74918/039.a;034</vt:lpwstr>
  </property>
</Properties>
</file>