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D86C64" w:rsidRPr="00B903D1" w14:paraId="55BD38DC" w14:textId="77777777" w:rsidTr="00347266">
        <w:trPr>
          <w:trHeight w:hRule="exact" w:val="418"/>
          <w:jc w:val="center"/>
        </w:trPr>
        <w:tc>
          <w:tcPr>
            <w:tcW w:w="8721" w:type="dxa"/>
            <w:gridSpan w:val="2"/>
          </w:tcPr>
          <w:p w14:paraId="494ACD92" w14:textId="77777777" w:rsidR="00D86C64" w:rsidRPr="00B903D1" w:rsidRDefault="00D86C64" w:rsidP="006F0FD3">
            <w:pPr>
              <w:pStyle w:val="a3"/>
              <w:jc w:val="center"/>
              <w:rPr>
                <w:rFonts w:ascii="Tahoma" w:hAnsi="Tahoma" w:cs="Tahoma"/>
                <w:color w:val="000080"/>
                <w:rtl/>
              </w:rPr>
            </w:pPr>
            <w:bookmarkStart w:id="0" w:name="LastJudge"/>
            <w:r w:rsidRPr="00B903D1">
              <w:rPr>
                <w:rFonts w:ascii="Tahoma" w:hAnsi="Tahoma" w:cs="Tahoma"/>
                <w:b/>
                <w:bCs/>
                <w:color w:val="000080"/>
                <w:rtl/>
              </w:rPr>
              <w:t>בית המשפט המחוזי בבאר שבע</w:t>
            </w:r>
          </w:p>
        </w:tc>
      </w:tr>
      <w:tr w:rsidR="00D86C64" w:rsidRPr="00B903D1" w14:paraId="3B6CFA54" w14:textId="77777777" w:rsidTr="00347266">
        <w:trPr>
          <w:trHeight w:val="337"/>
          <w:jc w:val="center"/>
        </w:trPr>
        <w:tc>
          <w:tcPr>
            <w:tcW w:w="5058" w:type="dxa"/>
          </w:tcPr>
          <w:p w14:paraId="573B37C5" w14:textId="77777777" w:rsidR="00D86C64" w:rsidRPr="00B903D1" w:rsidRDefault="00D86C64" w:rsidP="006F0FD3">
            <w:pPr>
              <w:rPr>
                <w:rFonts w:cs="FrankRuehl"/>
                <w:sz w:val="28"/>
                <w:szCs w:val="28"/>
                <w:rtl/>
              </w:rPr>
            </w:pPr>
            <w:r w:rsidRPr="00B903D1">
              <w:rPr>
                <w:rFonts w:cs="FrankRuehl"/>
                <w:sz w:val="28"/>
                <w:szCs w:val="28"/>
                <w:rtl/>
              </w:rPr>
              <w:t>ת"פ</w:t>
            </w:r>
            <w:r w:rsidRPr="00B903D1">
              <w:rPr>
                <w:rFonts w:cs="FrankRuehl" w:hint="cs"/>
                <w:sz w:val="28"/>
                <w:szCs w:val="28"/>
                <w:rtl/>
              </w:rPr>
              <w:t xml:space="preserve"> </w:t>
            </w:r>
            <w:r w:rsidRPr="00B903D1">
              <w:rPr>
                <w:rFonts w:cs="FrankRuehl"/>
                <w:sz w:val="28"/>
                <w:szCs w:val="28"/>
                <w:rtl/>
              </w:rPr>
              <w:t>51971-12-21</w:t>
            </w:r>
            <w:r w:rsidRPr="00B903D1">
              <w:rPr>
                <w:rFonts w:cs="FrankRuehl" w:hint="cs"/>
                <w:sz w:val="28"/>
                <w:szCs w:val="28"/>
                <w:rtl/>
              </w:rPr>
              <w:t xml:space="preserve"> </w:t>
            </w:r>
            <w:r w:rsidRPr="00B903D1">
              <w:rPr>
                <w:rFonts w:cs="FrankRuehl"/>
                <w:sz w:val="28"/>
                <w:szCs w:val="28"/>
                <w:rtl/>
              </w:rPr>
              <w:t>מדינת ישראל נ' אבו סנימה(עציר) ואח'</w:t>
            </w:r>
          </w:p>
          <w:p w14:paraId="15D77755" w14:textId="77777777" w:rsidR="00D86C64" w:rsidRPr="00B903D1" w:rsidRDefault="00D86C64" w:rsidP="006F0FD3">
            <w:pPr>
              <w:pStyle w:val="a3"/>
              <w:rPr>
                <w:rFonts w:cs="FrankRuehl"/>
                <w:sz w:val="28"/>
                <w:szCs w:val="28"/>
                <w:rtl/>
              </w:rPr>
            </w:pPr>
          </w:p>
        </w:tc>
        <w:tc>
          <w:tcPr>
            <w:tcW w:w="3663" w:type="dxa"/>
          </w:tcPr>
          <w:p w14:paraId="0609A78A" w14:textId="77777777" w:rsidR="00D86C64" w:rsidRPr="00B903D1" w:rsidRDefault="00D86C64" w:rsidP="006F0FD3">
            <w:pPr>
              <w:pStyle w:val="a3"/>
              <w:jc w:val="right"/>
              <w:rPr>
                <w:rFonts w:cs="FrankRuehl"/>
                <w:sz w:val="28"/>
                <w:szCs w:val="28"/>
                <w:rtl/>
              </w:rPr>
            </w:pPr>
          </w:p>
        </w:tc>
      </w:tr>
    </w:tbl>
    <w:p w14:paraId="5ECC2DE6" w14:textId="77777777" w:rsidR="00D86C64" w:rsidRPr="00B903D1" w:rsidRDefault="00D86C64" w:rsidP="00D86C64">
      <w:pPr>
        <w:pStyle w:val="a3"/>
        <w:rPr>
          <w:rtl/>
        </w:rPr>
      </w:pPr>
      <w:r w:rsidRPr="00B903D1">
        <w:rPr>
          <w:rFonts w:hint="cs"/>
          <w:rtl/>
        </w:rPr>
        <w:t xml:space="preserve"> </w:t>
      </w:r>
    </w:p>
    <w:p w14:paraId="5A09B209" w14:textId="77777777" w:rsidR="00D86C64" w:rsidRPr="00B903D1" w:rsidRDefault="00D86C64" w:rsidP="00D86C64">
      <w:pPr>
        <w:rPr>
          <w:rtl/>
        </w:rPr>
      </w:pPr>
    </w:p>
    <w:p w14:paraId="40FFE92C" w14:textId="77777777" w:rsidR="00D86C64" w:rsidRPr="00B903D1" w:rsidRDefault="00D86C64" w:rsidP="00D86C6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86C64" w:rsidRPr="00B903D1" w14:paraId="5DF44BDD" w14:textId="77777777" w:rsidTr="00D86C64">
        <w:trPr>
          <w:trHeight w:val="295"/>
          <w:jc w:val="center"/>
        </w:trPr>
        <w:tc>
          <w:tcPr>
            <w:tcW w:w="923" w:type="dxa"/>
            <w:tcBorders>
              <w:top w:val="nil"/>
              <w:left w:val="nil"/>
              <w:bottom w:val="nil"/>
              <w:right w:val="nil"/>
            </w:tcBorders>
            <w:shd w:val="clear" w:color="auto" w:fill="auto"/>
          </w:tcPr>
          <w:p w14:paraId="34A11806" w14:textId="77777777" w:rsidR="00D86C64" w:rsidRPr="00B903D1" w:rsidRDefault="00D86C64" w:rsidP="00D86C64">
            <w:pPr>
              <w:jc w:val="both"/>
              <w:rPr>
                <w:rFonts w:ascii="David" w:hAnsi="David"/>
                <w:b/>
                <w:bCs/>
                <w:sz w:val="26"/>
                <w:szCs w:val="26"/>
              </w:rPr>
            </w:pPr>
            <w:r w:rsidRPr="00B903D1">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23236C42" w14:textId="77777777" w:rsidR="00D86C64" w:rsidRPr="00B903D1" w:rsidRDefault="00D86C64" w:rsidP="006F0FD3">
            <w:pPr>
              <w:rPr>
                <w:rFonts w:ascii="David" w:hAnsi="David"/>
                <w:b/>
                <w:bCs/>
                <w:sz w:val="26"/>
                <w:szCs w:val="26"/>
                <w:rtl/>
              </w:rPr>
            </w:pPr>
            <w:r w:rsidRPr="00B903D1">
              <w:rPr>
                <w:rFonts w:ascii="David" w:hAnsi="David"/>
                <w:b/>
                <w:bCs/>
                <w:sz w:val="26"/>
                <w:szCs w:val="26"/>
                <w:rtl/>
              </w:rPr>
              <w:t>כבוד השופט  יואל עדן</w:t>
            </w:r>
          </w:p>
          <w:p w14:paraId="20FCDDCB" w14:textId="77777777" w:rsidR="00D86C64" w:rsidRPr="00B903D1" w:rsidRDefault="00D86C64" w:rsidP="006F0FD3">
            <w:pPr>
              <w:rPr>
                <w:rFonts w:ascii="David" w:hAnsi="David"/>
                <w:b/>
                <w:bCs/>
                <w:sz w:val="26"/>
                <w:szCs w:val="26"/>
                <w:rtl/>
              </w:rPr>
            </w:pPr>
          </w:p>
          <w:p w14:paraId="1FD588F8" w14:textId="77777777" w:rsidR="00D86C64" w:rsidRPr="00B903D1" w:rsidRDefault="00D86C64" w:rsidP="00D86C64">
            <w:pPr>
              <w:jc w:val="both"/>
              <w:rPr>
                <w:rFonts w:ascii="David" w:hAnsi="David"/>
                <w:b/>
                <w:bCs/>
                <w:sz w:val="26"/>
                <w:szCs w:val="26"/>
              </w:rPr>
            </w:pPr>
          </w:p>
        </w:tc>
      </w:tr>
      <w:tr w:rsidR="00D86C64" w:rsidRPr="00B903D1" w14:paraId="14D7B2D4" w14:textId="77777777" w:rsidTr="00D86C64">
        <w:trPr>
          <w:trHeight w:val="355"/>
          <w:jc w:val="center"/>
        </w:trPr>
        <w:tc>
          <w:tcPr>
            <w:tcW w:w="923" w:type="dxa"/>
            <w:tcBorders>
              <w:top w:val="nil"/>
              <w:left w:val="nil"/>
              <w:bottom w:val="nil"/>
              <w:right w:val="nil"/>
            </w:tcBorders>
            <w:shd w:val="clear" w:color="auto" w:fill="auto"/>
          </w:tcPr>
          <w:p w14:paraId="000F38DA" w14:textId="77777777" w:rsidR="00D86C64" w:rsidRPr="00B903D1" w:rsidRDefault="00D86C64" w:rsidP="00D86C64">
            <w:pPr>
              <w:jc w:val="both"/>
              <w:rPr>
                <w:rFonts w:ascii="David" w:hAnsi="David"/>
                <w:b/>
                <w:bCs/>
                <w:sz w:val="26"/>
                <w:szCs w:val="26"/>
              </w:rPr>
            </w:pPr>
            <w:bookmarkStart w:id="1" w:name="FirstAppellant"/>
            <w:bookmarkStart w:id="2" w:name="FirstLawyer"/>
            <w:r w:rsidRPr="00B903D1">
              <w:rPr>
                <w:rFonts w:ascii="David" w:hAnsi="David"/>
                <w:b/>
                <w:bCs/>
                <w:sz w:val="26"/>
                <w:szCs w:val="26"/>
                <w:rtl/>
              </w:rPr>
              <w:t>בעניין:</w:t>
            </w:r>
          </w:p>
        </w:tc>
        <w:tc>
          <w:tcPr>
            <w:tcW w:w="3219" w:type="dxa"/>
            <w:tcBorders>
              <w:top w:val="nil"/>
              <w:left w:val="nil"/>
              <w:bottom w:val="nil"/>
              <w:right w:val="nil"/>
            </w:tcBorders>
            <w:shd w:val="clear" w:color="auto" w:fill="auto"/>
          </w:tcPr>
          <w:p w14:paraId="6304B552" w14:textId="77777777" w:rsidR="00D86C64" w:rsidRPr="00B903D1" w:rsidRDefault="00D86C64" w:rsidP="00D86C64">
            <w:pPr>
              <w:suppressLineNumbers/>
              <w:rPr>
                <w:b/>
                <w:bCs/>
              </w:rPr>
            </w:pPr>
            <w:r w:rsidRPr="00B903D1">
              <w:rPr>
                <w:rFonts w:ascii="Arial" w:hAnsi="Arial" w:hint="cs"/>
                <w:b/>
                <w:bCs/>
                <w:sz w:val="26"/>
                <w:szCs w:val="26"/>
                <w:rtl/>
              </w:rPr>
              <w:t>ה</w:t>
            </w:r>
            <w:r w:rsidRPr="00B903D1">
              <w:rPr>
                <w:rFonts w:ascii="Arial" w:hAnsi="Arial"/>
                <w:b/>
                <w:bCs/>
                <w:sz w:val="26"/>
                <w:szCs w:val="26"/>
                <w:rtl/>
              </w:rPr>
              <w:t>מאשימה</w:t>
            </w:r>
            <w:r w:rsidRPr="00B903D1">
              <w:rPr>
                <w:rFonts w:ascii="Arial" w:hAnsi="Arial" w:hint="cs"/>
                <w:b/>
                <w:bCs/>
                <w:sz w:val="26"/>
                <w:szCs w:val="26"/>
                <w:rtl/>
              </w:rPr>
              <w:t>:</w:t>
            </w:r>
          </w:p>
          <w:p w14:paraId="46ACF87C" w14:textId="77777777" w:rsidR="00D86C64" w:rsidRPr="00B903D1" w:rsidRDefault="00D86C64" w:rsidP="006F0FD3">
            <w:pPr>
              <w:rPr>
                <w:rFonts w:ascii="David" w:hAnsi="David"/>
                <w:b/>
                <w:bCs/>
                <w:sz w:val="26"/>
                <w:szCs w:val="26"/>
              </w:rPr>
            </w:pPr>
          </w:p>
        </w:tc>
        <w:tc>
          <w:tcPr>
            <w:tcW w:w="4678" w:type="dxa"/>
            <w:tcBorders>
              <w:top w:val="nil"/>
              <w:left w:val="nil"/>
              <w:bottom w:val="nil"/>
              <w:right w:val="nil"/>
            </w:tcBorders>
            <w:shd w:val="clear" w:color="auto" w:fill="auto"/>
            <w:vAlign w:val="center"/>
          </w:tcPr>
          <w:p w14:paraId="74C59186" w14:textId="77777777" w:rsidR="00D86C64" w:rsidRPr="00B903D1" w:rsidRDefault="00D86C64" w:rsidP="00D86C64">
            <w:pPr>
              <w:suppressLineNumbers/>
              <w:rPr>
                <w:rFonts w:ascii="Arial" w:hAnsi="Arial"/>
                <w:b/>
                <w:bCs/>
                <w:sz w:val="26"/>
                <w:szCs w:val="26"/>
                <w:rtl/>
              </w:rPr>
            </w:pPr>
            <w:r w:rsidRPr="00B903D1">
              <w:rPr>
                <w:rFonts w:ascii="Arial" w:hAnsi="Arial"/>
                <w:b/>
                <w:bCs/>
                <w:sz w:val="26"/>
                <w:szCs w:val="26"/>
                <w:rtl/>
              </w:rPr>
              <w:t>מדינת ישראל</w:t>
            </w:r>
          </w:p>
          <w:p w14:paraId="5A6CB1C5" w14:textId="77777777" w:rsidR="00D86C64" w:rsidRPr="00B903D1" w:rsidRDefault="00D86C64" w:rsidP="00D86C64">
            <w:pPr>
              <w:suppressLineNumbers/>
            </w:pPr>
            <w:r w:rsidRPr="00B903D1">
              <w:rPr>
                <w:rFonts w:hint="cs"/>
                <w:rtl/>
              </w:rPr>
              <w:t xml:space="preserve">ע"י ב"כ עו"ד נטלי בן שושן </w:t>
            </w:r>
            <w:r w:rsidRPr="00B903D1">
              <w:rPr>
                <w:rtl/>
              </w:rPr>
              <w:t>–</w:t>
            </w:r>
            <w:r w:rsidRPr="00B903D1">
              <w:rPr>
                <w:rFonts w:hint="cs"/>
                <w:rtl/>
              </w:rPr>
              <w:t xml:space="preserve"> פמ"ד</w:t>
            </w:r>
          </w:p>
          <w:p w14:paraId="16ECC895" w14:textId="77777777" w:rsidR="00D86C64" w:rsidRPr="00B903D1" w:rsidRDefault="00D86C64" w:rsidP="006F0FD3">
            <w:pPr>
              <w:rPr>
                <w:rFonts w:ascii="David" w:hAnsi="David"/>
                <w:b/>
                <w:bCs/>
                <w:sz w:val="26"/>
                <w:szCs w:val="26"/>
              </w:rPr>
            </w:pPr>
          </w:p>
        </w:tc>
      </w:tr>
      <w:bookmarkEnd w:id="1"/>
      <w:bookmarkEnd w:id="2"/>
      <w:tr w:rsidR="00D86C64" w:rsidRPr="00B903D1" w14:paraId="6D86A3F0" w14:textId="77777777" w:rsidTr="00D86C64">
        <w:trPr>
          <w:trHeight w:val="355"/>
          <w:jc w:val="center"/>
        </w:trPr>
        <w:tc>
          <w:tcPr>
            <w:tcW w:w="923" w:type="dxa"/>
            <w:tcBorders>
              <w:top w:val="nil"/>
              <w:left w:val="nil"/>
              <w:bottom w:val="nil"/>
              <w:right w:val="nil"/>
            </w:tcBorders>
            <w:shd w:val="clear" w:color="auto" w:fill="auto"/>
          </w:tcPr>
          <w:p w14:paraId="31F4396C" w14:textId="77777777" w:rsidR="00D86C64" w:rsidRPr="00B903D1" w:rsidRDefault="00D86C64" w:rsidP="00D86C64">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014BA5E0" w14:textId="77777777" w:rsidR="00D86C64" w:rsidRPr="00B903D1" w:rsidRDefault="00D86C64" w:rsidP="00D86C64">
            <w:pPr>
              <w:jc w:val="center"/>
              <w:rPr>
                <w:rFonts w:ascii="David" w:hAnsi="David"/>
                <w:b/>
                <w:bCs/>
                <w:sz w:val="26"/>
                <w:szCs w:val="26"/>
                <w:rtl/>
              </w:rPr>
            </w:pPr>
          </w:p>
          <w:p w14:paraId="4E273A59" w14:textId="77777777" w:rsidR="00D86C64" w:rsidRPr="00B903D1" w:rsidRDefault="00D86C64" w:rsidP="00D86C64">
            <w:pPr>
              <w:jc w:val="center"/>
              <w:rPr>
                <w:rFonts w:ascii="David" w:hAnsi="David"/>
                <w:b/>
                <w:bCs/>
                <w:sz w:val="26"/>
                <w:szCs w:val="26"/>
                <w:rtl/>
              </w:rPr>
            </w:pPr>
            <w:r w:rsidRPr="00B903D1">
              <w:rPr>
                <w:rFonts w:ascii="David" w:hAnsi="David"/>
                <w:b/>
                <w:bCs/>
                <w:sz w:val="26"/>
                <w:szCs w:val="26"/>
                <w:rtl/>
              </w:rPr>
              <w:t>נגד</w:t>
            </w:r>
          </w:p>
          <w:p w14:paraId="51F6361C" w14:textId="77777777" w:rsidR="00D86C64" w:rsidRPr="00B903D1" w:rsidRDefault="00D86C64" w:rsidP="00D86C64">
            <w:pPr>
              <w:jc w:val="both"/>
              <w:rPr>
                <w:rFonts w:ascii="David" w:hAnsi="David"/>
                <w:b/>
                <w:bCs/>
                <w:sz w:val="26"/>
                <w:szCs w:val="26"/>
              </w:rPr>
            </w:pPr>
          </w:p>
        </w:tc>
      </w:tr>
      <w:tr w:rsidR="00D86C64" w:rsidRPr="00B903D1" w14:paraId="696398C9" w14:textId="77777777" w:rsidTr="00D86C64">
        <w:trPr>
          <w:trHeight w:val="355"/>
          <w:jc w:val="center"/>
        </w:trPr>
        <w:tc>
          <w:tcPr>
            <w:tcW w:w="923" w:type="dxa"/>
            <w:tcBorders>
              <w:top w:val="nil"/>
              <w:left w:val="nil"/>
              <w:bottom w:val="nil"/>
              <w:right w:val="nil"/>
            </w:tcBorders>
            <w:shd w:val="clear" w:color="auto" w:fill="auto"/>
          </w:tcPr>
          <w:p w14:paraId="614C313C" w14:textId="77777777" w:rsidR="00D86C64" w:rsidRPr="00B903D1" w:rsidRDefault="00D86C64" w:rsidP="006F0FD3">
            <w:pPr>
              <w:rPr>
                <w:rFonts w:ascii="David" w:hAnsi="David"/>
                <w:b/>
                <w:bCs/>
                <w:sz w:val="26"/>
                <w:szCs w:val="26"/>
                <w:rtl/>
              </w:rPr>
            </w:pPr>
          </w:p>
        </w:tc>
        <w:tc>
          <w:tcPr>
            <w:tcW w:w="3219" w:type="dxa"/>
            <w:tcBorders>
              <w:top w:val="nil"/>
              <w:left w:val="nil"/>
              <w:bottom w:val="nil"/>
              <w:right w:val="nil"/>
            </w:tcBorders>
            <w:shd w:val="clear" w:color="auto" w:fill="auto"/>
          </w:tcPr>
          <w:p w14:paraId="4309BF29" w14:textId="77777777" w:rsidR="00D86C64" w:rsidRPr="00B903D1" w:rsidRDefault="00D86C64" w:rsidP="006F0FD3">
            <w:pPr>
              <w:rPr>
                <w:rFonts w:ascii="Arial" w:hAnsi="Arial"/>
                <w:b/>
                <w:bCs/>
                <w:sz w:val="26"/>
                <w:szCs w:val="26"/>
                <w:rtl/>
              </w:rPr>
            </w:pPr>
            <w:r w:rsidRPr="00B903D1">
              <w:rPr>
                <w:rFonts w:ascii="Arial" w:hAnsi="Arial"/>
                <w:b/>
                <w:bCs/>
                <w:sz w:val="26"/>
                <w:szCs w:val="26"/>
                <w:rtl/>
              </w:rPr>
              <w:t>הנאשמים</w:t>
            </w:r>
            <w:r w:rsidRPr="00B903D1">
              <w:rPr>
                <w:rFonts w:ascii="Arial" w:hAnsi="Arial" w:hint="cs"/>
                <w:b/>
                <w:bCs/>
                <w:sz w:val="26"/>
                <w:szCs w:val="26"/>
                <w:rtl/>
              </w:rPr>
              <w:t>:</w:t>
            </w:r>
          </w:p>
        </w:tc>
        <w:tc>
          <w:tcPr>
            <w:tcW w:w="4678" w:type="dxa"/>
            <w:tcBorders>
              <w:top w:val="nil"/>
              <w:left w:val="nil"/>
              <w:bottom w:val="nil"/>
              <w:right w:val="nil"/>
            </w:tcBorders>
            <w:shd w:val="clear" w:color="auto" w:fill="auto"/>
            <w:vAlign w:val="center"/>
          </w:tcPr>
          <w:p w14:paraId="67F7651A" w14:textId="77777777" w:rsidR="00D86C64" w:rsidRPr="00B903D1" w:rsidRDefault="00D86C64" w:rsidP="006F0FD3">
            <w:pPr>
              <w:rPr>
                <w:rFonts w:ascii="David" w:hAnsi="David"/>
                <w:b/>
                <w:bCs/>
                <w:sz w:val="26"/>
                <w:szCs w:val="26"/>
              </w:rPr>
            </w:pPr>
          </w:p>
          <w:p w14:paraId="18EE9527" w14:textId="77777777" w:rsidR="00D86C64" w:rsidRPr="00B903D1" w:rsidRDefault="00D86C64" w:rsidP="00D86C64">
            <w:pPr>
              <w:suppressLineNumbers/>
              <w:rPr>
                <w:b/>
                <w:bCs/>
              </w:rPr>
            </w:pPr>
            <w:r w:rsidRPr="00B903D1">
              <w:rPr>
                <w:rFonts w:ascii="Arial" w:hAnsi="Arial"/>
                <w:b/>
                <w:bCs/>
                <w:sz w:val="26"/>
                <w:szCs w:val="26"/>
                <w:rtl/>
              </w:rPr>
              <w:t>1. עלי אבו סנימה (עציר)</w:t>
            </w:r>
          </w:p>
          <w:p w14:paraId="13DCB291" w14:textId="77777777" w:rsidR="00D86C64" w:rsidRPr="00B903D1" w:rsidRDefault="00D86C64" w:rsidP="00D86C64">
            <w:pPr>
              <w:suppressLineNumbers/>
              <w:rPr>
                <w:rFonts w:ascii="Arial" w:hAnsi="Arial"/>
                <w:b/>
                <w:bCs/>
                <w:sz w:val="26"/>
                <w:szCs w:val="26"/>
                <w:rtl/>
              </w:rPr>
            </w:pPr>
            <w:r w:rsidRPr="00B903D1">
              <w:rPr>
                <w:rFonts w:ascii="Arial" w:hAnsi="Arial"/>
                <w:b/>
                <w:bCs/>
                <w:sz w:val="26"/>
                <w:szCs w:val="26"/>
                <w:rtl/>
              </w:rPr>
              <w:t>2. יאסר אבו סנימה (עציר)</w:t>
            </w:r>
          </w:p>
          <w:p w14:paraId="14BB1D66" w14:textId="77777777" w:rsidR="00D86C64" w:rsidRPr="00B903D1" w:rsidRDefault="00D86C64" w:rsidP="00D86C64">
            <w:pPr>
              <w:suppressLineNumbers/>
            </w:pPr>
            <w:r w:rsidRPr="00B903D1">
              <w:rPr>
                <w:rFonts w:hint="cs"/>
                <w:rtl/>
              </w:rPr>
              <w:t>ע"י ב"כ עו"ד מוחמד ג'ברין</w:t>
            </w:r>
          </w:p>
        </w:tc>
      </w:tr>
    </w:tbl>
    <w:p w14:paraId="2CE942D8" w14:textId="77777777" w:rsidR="0096203F" w:rsidRPr="0096203F" w:rsidRDefault="0096203F" w:rsidP="0096203F">
      <w:pPr>
        <w:spacing w:before="120" w:after="120" w:line="240" w:lineRule="exact"/>
        <w:ind w:left="283" w:hanging="283"/>
        <w:jc w:val="both"/>
        <w:rPr>
          <w:rFonts w:ascii="FrankRuehl" w:hAnsi="FrankRuehl" w:cs="FrankRuehl"/>
          <w:rtl/>
        </w:rPr>
      </w:pPr>
    </w:p>
    <w:p w14:paraId="0BB61A8F" w14:textId="77777777" w:rsidR="006C72C2" w:rsidRDefault="006C72C2" w:rsidP="006C72C2">
      <w:pPr>
        <w:rPr>
          <w:sz w:val="26"/>
          <w:szCs w:val="26"/>
          <w:rtl/>
        </w:rPr>
      </w:pPr>
      <w:bookmarkStart w:id="3" w:name="LawTable"/>
      <w:bookmarkEnd w:id="3"/>
    </w:p>
    <w:p w14:paraId="64259B5E" w14:textId="77777777" w:rsidR="006C72C2" w:rsidRPr="006C72C2" w:rsidRDefault="006C72C2" w:rsidP="006C72C2">
      <w:pPr>
        <w:spacing w:before="120" w:after="120" w:line="240" w:lineRule="exact"/>
        <w:ind w:left="283" w:hanging="283"/>
        <w:jc w:val="both"/>
        <w:rPr>
          <w:rFonts w:ascii="FrankRuehl" w:hAnsi="FrankRuehl" w:cs="FrankRuehl"/>
          <w:rtl/>
        </w:rPr>
      </w:pPr>
    </w:p>
    <w:p w14:paraId="11C64090" w14:textId="77777777" w:rsidR="006C72C2" w:rsidRPr="006C72C2" w:rsidRDefault="006C72C2" w:rsidP="006C72C2">
      <w:pPr>
        <w:spacing w:before="120" w:after="120" w:line="240" w:lineRule="exact"/>
        <w:ind w:left="283" w:hanging="283"/>
        <w:jc w:val="both"/>
        <w:rPr>
          <w:rFonts w:ascii="FrankRuehl" w:hAnsi="FrankRuehl" w:cs="FrankRuehl"/>
          <w:rtl/>
        </w:rPr>
      </w:pPr>
    </w:p>
    <w:p w14:paraId="7DA79EDD" w14:textId="77777777" w:rsidR="006C72C2" w:rsidRPr="006C72C2" w:rsidRDefault="006C72C2" w:rsidP="006C72C2">
      <w:pPr>
        <w:spacing w:before="120" w:after="120" w:line="240" w:lineRule="exact"/>
        <w:ind w:left="283" w:hanging="283"/>
        <w:jc w:val="both"/>
        <w:rPr>
          <w:rFonts w:ascii="FrankRuehl" w:hAnsi="FrankRuehl" w:cs="FrankRuehl"/>
          <w:rtl/>
        </w:rPr>
      </w:pPr>
      <w:r w:rsidRPr="006C72C2">
        <w:rPr>
          <w:rFonts w:ascii="FrankRuehl" w:hAnsi="FrankRuehl" w:cs="FrankRuehl"/>
          <w:rtl/>
        </w:rPr>
        <w:t xml:space="preserve">חקיקה שאוזכרה: </w:t>
      </w:r>
    </w:p>
    <w:p w14:paraId="22867A39" w14:textId="77777777" w:rsidR="006C72C2" w:rsidRPr="006C72C2" w:rsidRDefault="006C72C2" w:rsidP="006C72C2">
      <w:pPr>
        <w:spacing w:before="120" w:after="120" w:line="240" w:lineRule="exact"/>
        <w:ind w:left="283" w:hanging="283"/>
        <w:jc w:val="both"/>
        <w:rPr>
          <w:rFonts w:ascii="FrankRuehl" w:hAnsi="FrankRuehl" w:cs="FrankRuehl"/>
          <w:rtl/>
        </w:rPr>
      </w:pPr>
      <w:hyperlink r:id="rId6" w:history="1">
        <w:r w:rsidRPr="006C72C2">
          <w:rPr>
            <w:rFonts w:ascii="FrankRuehl" w:hAnsi="FrankRuehl" w:cs="FrankRuehl"/>
            <w:color w:val="0000FF"/>
            <w:rtl/>
          </w:rPr>
          <w:t>חוק למניעת הסתננות (עבירות ושיפוט), תשי"ד-1954</w:t>
        </w:r>
      </w:hyperlink>
      <w:r w:rsidRPr="006C72C2">
        <w:rPr>
          <w:rFonts w:ascii="FrankRuehl" w:hAnsi="FrankRuehl" w:cs="FrankRuehl"/>
          <w:rtl/>
        </w:rPr>
        <w:t xml:space="preserve">: סע'  </w:t>
      </w:r>
      <w:hyperlink r:id="rId7" w:history="1">
        <w:r w:rsidRPr="006C72C2">
          <w:rPr>
            <w:rFonts w:ascii="FrankRuehl" w:hAnsi="FrankRuehl" w:cs="FrankRuehl"/>
            <w:color w:val="0000FF"/>
            <w:rtl/>
          </w:rPr>
          <w:t>2</w:t>
        </w:r>
      </w:hyperlink>
      <w:r w:rsidRPr="006C72C2">
        <w:rPr>
          <w:rFonts w:ascii="FrankRuehl" w:hAnsi="FrankRuehl" w:cs="FrankRuehl"/>
          <w:rtl/>
        </w:rPr>
        <w:t xml:space="preserve">, </w:t>
      </w:r>
      <w:hyperlink r:id="rId8" w:history="1">
        <w:r w:rsidRPr="006C72C2">
          <w:rPr>
            <w:rFonts w:ascii="FrankRuehl" w:hAnsi="FrankRuehl" w:cs="FrankRuehl"/>
            <w:color w:val="0000FF"/>
            <w:rtl/>
          </w:rPr>
          <w:t>4</w:t>
        </w:r>
      </w:hyperlink>
    </w:p>
    <w:p w14:paraId="1C0BB2F4" w14:textId="77777777" w:rsidR="006C72C2" w:rsidRPr="006C72C2" w:rsidRDefault="006C72C2" w:rsidP="006C72C2">
      <w:pPr>
        <w:spacing w:before="120" w:after="120" w:line="240" w:lineRule="exact"/>
        <w:ind w:left="283" w:hanging="283"/>
        <w:jc w:val="both"/>
        <w:rPr>
          <w:rFonts w:ascii="FrankRuehl" w:hAnsi="FrankRuehl" w:cs="FrankRuehl"/>
          <w:rtl/>
        </w:rPr>
      </w:pPr>
      <w:hyperlink r:id="rId9" w:history="1">
        <w:r w:rsidRPr="006C72C2">
          <w:rPr>
            <w:rFonts w:ascii="FrankRuehl" w:hAnsi="FrankRuehl" w:cs="FrankRuehl"/>
            <w:color w:val="0000FF"/>
            <w:rtl/>
          </w:rPr>
          <w:t>חוק העונשין, תשל"ז-1977</w:t>
        </w:r>
      </w:hyperlink>
      <w:r w:rsidRPr="006C72C2">
        <w:rPr>
          <w:rFonts w:ascii="FrankRuehl" w:hAnsi="FrankRuehl" w:cs="FrankRuehl"/>
          <w:rtl/>
        </w:rPr>
        <w:t xml:space="preserve">: סע'  </w:t>
      </w:r>
      <w:hyperlink r:id="rId10" w:history="1">
        <w:r w:rsidRPr="006C72C2">
          <w:rPr>
            <w:rFonts w:ascii="FrankRuehl" w:hAnsi="FrankRuehl" w:cs="FrankRuehl"/>
            <w:color w:val="0000FF"/>
            <w:rtl/>
          </w:rPr>
          <w:t>144(ב)</w:t>
        </w:r>
      </w:hyperlink>
      <w:r w:rsidRPr="006C72C2">
        <w:rPr>
          <w:rFonts w:ascii="FrankRuehl" w:hAnsi="FrankRuehl" w:cs="FrankRuehl"/>
          <w:rtl/>
        </w:rPr>
        <w:t xml:space="preserve">, </w:t>
      </w:r>
      <w:hyperlink r:id="rId11" w:history="1">
        <w:r w:rsidRPr="006C72C2">
          <w:rPr>
            <w:rFonts w:ascii="FrankRuehl" w:hAnsi="FrankRuehl" w:cs="FrankRuehl"/>
            <w:color w:val="0000FF"/>
            <w:rtl/>
          </w:rPr>
          <w:t>452</w:t>
        </w:r>
      </w:hyperlink>
    </w:p>
    <w:p w14:paraId="07DCF0BE" w14:textId="77777777" w:rsidR="006C72C2" w:rsidRPr="006C72C2" w:rsidRDefault="006C72C2" w:rsidP="006C72C2">
      <w:pPr>
        <w:rPr>
          <w:sz w:val="26"/>
          <w:szCs w:val="26"/>
          <w:rtl/>
        </w:rPr>
      </w:pPr>
      <w:bookmarkStart w:id="4" w:name="LawTable_End"/>
      <w:bookmarkEnd w:id="4"/>
    </w:p>
    <w:p w14:paraId="420C620B" w14:textId="77777777" w:rsidR="00D86C64" w:rsidRPr="0096203F" w:rsidRDefault="00D86C64" w:rsidP="0096203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86C64" w14:paraId="7A3E392D" w14:textId="77777777" w:rsidTr="00D86C64">
        <w:trPr>
          <w:trHeight w:val="355"/>
          <w:jc w:val="center"/>
        </w:trPr>
        <w:tc>
          <w:tcPr>
            <w:tcW w:w="8820" w:type="dxa"/>
            <w:tcBorders>
              <w:top w:val="nil"/>
              <w:left w:val="nil"/>
              <w:bottom w:val="nil"/>
              <w:right w:val="nil"/>
            </w:tcBorders>
            <w:shd w:val="clear" w:color="auto" w:fill="auto"/>
          </w:tcPr>
          <w:p w14:paraId="701A2299" w14:textId="77777777" w:rsidR="00B903D1" w:rsidRPr="00B903D1" w:rsidRDefault="00B903D1" w:rsidP="00B903D1">
            <w:pPr>
              <w:jc w:val="center"/>
              <w:rPr>
                <w:rFonts w:ascii="David" w:hAnsi="David"/>
                <w:b/>
                <w:bCs/>
                <w:sz w:val="32"/>
                <w:szCs w:val="32"/>
                <w:u w:val="single"/>
                <w:rtl/>
              </w:rPr>
            </w:pPr>
            <w:bookmarkStart w:id="5" w:name="PsakDin" w:colFirst="0" w:colLast="0"/>
            <w:bookmarkEnd w:id="0"/>
            <w:r w:rsidRPr="00B903D1">
              <w:rPr>
                <w:rFonts w:ascii="David" w:hAnsi="David"/>
                <w:b/>
                <w:bCs/>
                <w:sz w:val="32"/>
                <w:szCs w:val="32"/>
                <w:u w:val="single"/>
                <w:rtl/>
              </w:rPr>
              <w:t>גזר דין</w:t>
            </w:r>
          </w:p>
          <w:p w14:paraId="35AE4949" w14:textId="77777777" w:rsidR="00D86C64" w:rsidRPr="00B903D1" w:rsidRDefault="00D86C64" w:rsidP="00B903D1">
            <w:pPr>
              <w:jc w:val="center"/>
              <w:rPr>
                <w:rFonts w:ascii="David" w:hAnsi="David"/>
                <w:bCs/>
                <w:sz w:val="32"/>
                <w:szCs w:val="32"/>
                <w:u w:val="single"/>
                <w:rtl/>
              </w:rPr>
            </w:pPr>
          </w:p>
        </w:tc>
      </w:tr>
      <w:bookmarkEnd w:id="5"/>
    </w:tbl>
    <w:p w14:paraId="40247460" w14:textId="77777777" w:rsidR="00D86C64" w:rsidRPr="000F2247" w:rsidRDefault="00D86C64" w:rsidP="00D86C64">
      <w:pPr>
        <w:rPr>
          <w:rFonts w:ascii="Arial" w:hAnsi="Arial"/>
          <w:b/>
          <w:bCs/>
          <w:sz w:val="26"/>
          <w:szCs w:val="26"/>
          <w:rtl/>
        </w:rPr>
      </w:pPr>
    </w:p>
    <w:p w14:paraId="5191589F" w14:textId="77777777" w:rsidR="00D86C64" w:rsidRPr="000F2247" w:rsidRDefault="00D86C64" w:rsidP="00D86C64">
      <w:pPr>
        <w:rPr>
          <w:rFonts w:ascii="Arial" w:hAnsi="Arial"/>
          <w:b/>
          <w:bCs/>
          <w:sz w:val="26"/>
          <w:szCs w:val="26"/>
          <w:rtl/>
        </w:rPr>
      </w:pPr>
    </w:p>
    <w:p w14:paraId="5001AC1E" w14:textId="77777777" w:rsidR="00D86C64" w:rsidRPr="006E5698" w:rsidRDefault="00D86C64" w:rsidP="00D86C64">
      <w:pPr>
        <w:spacing w:line="360" w:lineRule="auto"/>
        <w:jc w:val="both"/>
        <w:rPr>
          <w:b/>
          <w:bCs/>
          <w:u w:val="single"/>
          <w:rtl/>
          <w:lang w:eastAsia="he-IL"/>
        </w:rPr>
      </w:pPr>
      <w:r w:rsidRPr="006E5698">
        <w:rPr>
          <w:b/>
          <w:bCs/>
          <w:u w:val="single"/>
          <w:rtl/>
          <w:lang w:eastAsia="he-IL"/>
        </w:rPr>
        <w:t>האישום והסדר הטיעון</w:t>
      </w:r>
    </w:p>
    <w:p w14:paraId="6B34EB5D" w14:textId="77777777" w:rsidR="00D86C64" w:rsidRPr="006E5698" w:rsidRDefault="00D86C64" w:rsidP="00D86C64">
      <w:pPr>
        <w:spacing w:line="360" w:lineRule="auto"/>
        <w:jc w:val="both"/>
        <w:rPr>
          <w:b/>
          <w:bCs/>
          <w:u w:val="single"/>
          <w:rtl/>
          <w:lang w:eastAsia="he-IL"/>
        </w:rPr>
      </w:pPr>
    </w:p>
    <w:p w14:paraId="68364146" w14:textId="77777777" w:rsidR="00D86C64" w:rsidRPr="006E5698" w:rsidRDefault="00D86C64" w:rsidP="00D86C64">
      <w:pPr>
        <w:spacing w:line="360" w:lineRule="auto"/>
        <w:jc w:val="both"/>
        <w:rPr>
          <w:rFonts w:ascii="David" w:hAnsi="David"/>
          <w:rtl/>
        </w:rPr>
      </w:pPr>
      <w:r w:rsidRPr="006E5698">
        <w:rPr>
          <w:rtl/>
          <w:lang w:eastAsia="he-IL"/>
        </w:rPr>
        <w:t>1.</w:t>
      </w:r>
      <w:r w:rsidRPr="006E5698">
        <w:rPr>
          <w:rtl/>
          <w:lang w:eastAsia="he-IL"/>
        </w:rPr>
        <w:tab/>
      </w:r>
      <w:bookmarkStart w:id="6" w:name="ABSTRACT_START"/>
      <w:bookmarkEnd w:id="6"/>
      <w:r w:rsidRPr="006E5698">
        <w:rPr>
          <w:rtl/>
          <w:lang w:eastAsia="he-IL"/>
        </w:rPr>
        <w:t xml:space="preserve">הנאשמים הורשעו על פי הודאתם בעובדות כתב האישום המתוקן (כא/2), במסגרת הסדר טיעון, </w:t>
      </w:r>
      <w:r w:rsidRPr="006E5698">
        <w:rPr>
          <w:rFonts w:ascii="David" w:hAnsi="David"/>
          <w:rtl/>
        </w:rPr>
        <w:t xml:space="preserve">בעבירות של הסתננות מזוינת, לפי </w:t>
      </w:r>
      <w:hyperlink r:id="rId12" w:history="1">
        <w:r w:rsidR="00347266" w:rsidRPr="00347266">
          <w:rPr>
            <w:rStyle w:val="Hyperlink"/>
            <w:rFonts w:ascii="David" w:hAnsi="David"/>
            <w:rtl/>
          </w:rPr>
          <w:t>סעיף 4</w:t>
        </w:r>
      </w:hyperlink>
      <w:r w:rsidRPr="006E5698">
        <w:rPr>
          <w:rFonts w:ascii="David" w:hAnsi="David"/>
          <w:rtl/>
        </w:rPr>
        <w:t xml:space="preserve"> ל</w:t>
      </w:r>
      <w:hyperlink r:id="rId13" w:history="1">
        <w:r w:rsidR="00B903D1" w:rsidRPr="00B903D1">
          <w:rPr>
            <w:rFonts w:ascii="David" w:hAnsi="David"/>
            <w:color w:val="0000FF"/>
            <w:u w:val="single"/>
            <w:rtl/>
          </w:rPr>
          <w:t>חוק למניעת הסתננות (עבירות ושיפוט)</w:t>
        </w:r>
      </w:hyperlink>
      <w:r w:rsidRPr="006E5698">
        <w:rPr>
          <w:rFonts w:ascii="David" w:hAnsi="David"/>
          <w:rtl/>
        </w:rPr>
        <w:t xml:space="preserve">, ונשיאת נשק לפי </w:t>
      </w:r>
      <w:hyperlink r:id="rId14" w:history="1">
        <w:r w:rsidR="00347266" w:rsidRPr="00347266">
          <w:rPr>
            <w:rStyle w:val="Hyperlink"/>
            <w:rFonts w:ascii="David" w:hAnsi="David"/>
            <w:rtl/>
          </w:rPr>
          <w:t>סעיף 144(ב)</w:t>
        </w:r>
      </w:hyperlink>
      <w:r w:rsidRPr="006E5698">
        <w:rPr>
          <w:rFonts w:ascii="David" w:hAnsi="David"/>
          <w:rtl/>
        </w:rPr>
        <w:t xml:space="preserve"> רישא ל</w:t>
      </w:r>
      <w:hyperlink r:id="rId15" w:history="1">
        <w:r w:rsidR="00B903D1" w:rsidRPr="00B903D1">
          <w:rPr>
            <w:rFonts w:ascii="David" w:hAnsi="David"/>
            <w:color w:val="0000FF"/>
            <w:u w:val="single"/>
            <w:rtl/>
          </w:rPr>
          <w:t>חוק העונשין</w:t>
        </w:r>
      </w:hyperlink>
      <w:r w:rsidRPr="006E5698">
        <w:rPr>
          <w:rFonts w:ascii="David" w:hAnsi="David"/>
          <w:rtl/>
        </w:rPr>
        <w:t>.</w:t>
      </w:r>
    </w:p>
    <w:p w14:paraId="04730941" w14:textId="77777777" w:rsidR="00D86C64" w:rsidRPr="006E5698" w:rsidRDefault="00D86C64" w:rsidP="00D86C64">
      <w:pPr>
        <w:spacing w:line="360" w:lineRule="auto"/>
        <w:jc w:val="both"/>
        <w:rPr>
          <w:rFonts w:ascii="David" w:hAnsi="David"/>
          <w:rtl/>
        </w:rPr>
      </w:pPr>
    </w:p>
    <w:p w14:paraId="4C36A887" w14:textId="77777777" w:rsidR="00D86C64" w:rsidRPr="006E5698" w:rsidRDefault="00D86C64" w:rsidP="00D86C64">
      <w:pPr>
        <w:spacing w:line="360" w:lineRule="auto"/>
        <w:jc w:val="both"/>
        <w:rPr>
          <w:rFonts w:ascii="David" w:hAnsi="David"/>
          <w:rtl/>
        </w:rPr>
      </w:pPr>
      <w:r w:rsidRPr="006E5698">
        <w:rPr>
          <w:rtl/>
          <w:lang w:eastAsia="he-IL"/>
        </w:rPr>
        <w:t xml:space="preserve">על פי עובדות כתב האישום המתוקן, </w:t>
      </w:r>
      <w:r w:rsidRPr="006E5698">
        <w:rPr>
          <w:rFonts w:ascii="David" w:hAnsi="David"/>
          <w:rtl/>
        </w:rPr>
        <w:t>הנאשמים תושבי רצועת עזה, אשר במועד הרלוונטי לכתב האישום לא היו בעלי היתר כניסה לישראל.</w:t>
      </w:r>
    </w:p>
    <w:p w14:paraId="67EC196F" w14:textId="77777777" w:rsidR="00D86C64" w:rsidRPr="006E5698" w:rsidRDefault="00D86C64" w:rsidP="00D86C64">
      <w:pPr>
        <w:spacing w:line="360" w:lineRule="auto"/>
        <w:jc w:val="both"/>
        <w:rPr>
          <w:rFonts w:ascii="David" w:hAnsi="David"/>
          <w:rtl/>
        </w:rPr>
      </w:pPr>
      <w:bookmarkStart w:id="7" w:name="ABSTRACT_END"/>
      <w:bookmarkEnd w:id="7"/>
    </w:p>
    <w:p w14:paraId="6798A1B8" w14:textId="77777777" w:rsidR="00D86C64" w:rsidRPr="006E5698" w:rsidRDefault="00D86C64" w:rsidP="00D86C64">
      <w:pPr>
        <w:spacing w:line="360" w:lineRule="auto"/>
        <w:jc w:val="both"/>
        <w:rPr>
          <w:rFonts w:ascii="David" w:hAnsi="David"/>
          <w:rtl/>
        </w:rPr>
      </w:pPr>
      <w:r w:rsidRPr="006E5698">
        <w:rPr>
          <w:rFonts w:ascii="David" w:hAnsi="David"/>
          <w:rtl/>
        </w:rPr>
        <w:t>בתאריך 8.12.21 קשרו הנאשמים קשר להסתנן לישראל, כשהם נושאים עימם רימון רסס וסכין.</w:t>
      </w:r>
    </w:p>
    <w:p w14:paraId="65810D59" w14:textId="77777777" w:rsidR="00D86C64" w:rsidRPr="006E5698" w:rsidRDefault="00D86C64" w:rsidP="00D86C64">
      <w:pPr>
        <w:spacing w:line="360" w:lineRule="auto"/>
        <w:jc w:val="both"/>
        <w:rPr>
          <w:rFonts w:ascii="David" w:hAnsi="David"/>
          <w:rtl/>
        </w:rPr>
      </w:pPr>
    </w:p>
    <w:p w14:paraId="22E9F2B0" w14:textId="77777777" w:rsidR="00D86C64" w:rsidRPr="006E5698" w:rsidRDefault="00D86C64" w:rsidP="00D86C64">
      <w:pPr>
        <w:spacing w:line="360" w:lineRule="auto"/>
        <w:jc w:val="both"/>
        <w:rPr>
          <w:rFonts w:ascii="David" w:hAnsi="David"/>
          <w:rtl/>
        </w:rPr>
      </w:pPr>
      <w:r w:rsidRPr="006E5698">
        <w:rPr>
          <w:rFonts w:ascii="David" w:hAnsi="David"/>
          <w:rtl/>
        </w:rPr>
        <w:t>במסגרת הקשר ולשם קידומו, סמוך לפני השעה 22:03, התקרבו הנאשמים לגדר המערכת, ועברו אותה לתוך שטח ישראל במטרה להיעצר על ידי כוחות הביטחון.</w:t>
      </w:r>
    </w:p>
    <w:p w14:paraId="04101E3C" w14:textId="77777777" w:rsidR="00D86C64" w:rsidRPr="006E5698" w:rsidRDefault="00D86C64" w:rsidP="00D86C64">
      <w:pPr>
        <w:spacing w:line="360" w:lineRule="auto"/>
        <w:jc w:val="both"/>
        <w:rPr>
          <w:rFonts w:ascii="David" w:hAnsi="David"/>
          <w:rtl/>
        </w:rPr>
      </w:pPr>
    </w:p>
    <w:p w14:paraId="7964A488" w14:textId="77777777" w:rsidR="00D86C64" w:rsidRPr="006E5698" w:rsidRDefault="00D86C64" w:rsidP="00D86C64">
      <w:pPr>
        <w:spacing w:line="360" w:lineRule="auto"/>
        <w:jc w:val="both"/>
        <w:rPr>
          <w:rFonts w:ascii="David" w:hAnsi="David"/>
          <w:rtl/>
        </w:rPr>
      </w:pPr>
      <w:r w:rsidRPr="006E5698">
        <w:rPr>
          <w:rFonts w:ascii="David" w:hAnsi="David"/>
          <w:rtl/>
        </w:rPr>
        <w:t>כוחות צה"ל הבחינו בנאשמים ודרשו שיוציאו את מה שבכליהם, הנאשמים נענו לדרישותיהם, פשטו את בגדיהם, נאשם 1 זרק את הסכין שנשא עימו על הקרקע, ובכיס מעילו של נאשם 2 נמצא הרימון על ידי חיילי צה"ל. הרימון פוצץ על ידי החיילים במקום.</w:t>
      </w:r>
    </w:p>
    <w:p w14:paraId="2508F336" w14:textId="77777777" w:rsidR="00D86C64" w:rsidRPr="006E5698" w:rsidRDefault="00D86C64" w:rsidP="00D86C64">
      <w:pPr>
        <w:spacing w:line="360" w:lineRule="auto"/>
        <w:jc w:val="both"/>
        <w:rPr>
          <w:rFonts w:ascii="David" w:hAnsi="David"/>
          <w:rtl/>
        </w:rPr>
      </w:pPr>
    </w:p>
    <w:p w14:paraId="6367378E" w14:textId="77777777" w:rsidR="00D86C64" w:rsidRPr="006E5698" w:rsidRDefault="00D86C64" w:rsidP="00D86C64">
      <w:pPr>
        <w:spacing w:line="360" w:lineRule="auto"/>
        <w:jc w:val="both"/>
        <w:rPr>
          <w:rFonts w:ascii="David" w:hAnsi="David"/>
          <w:rtl/>
        </w:rPr>
      </w:pPr>
      <w:r w:rsidRPr="006E5698">
        <w:rPr>
          <w:rFonts w:ascii="David" w:hAnsi="David"/>
          <w:rtl/>
        </w:rPr>
        <w:t>במעשיהם אלו, הסתננו הנאשמים לישראל, שלא במעבר גבול, וכשהם נושאים עימם בצוותא חדא, סכין ורימון, שהוא נשק שביכולתו להמית ללא היתר כדין.</w:t>
      </w:r>
    </w:p>
    <w:p w14:paraId="09CB33BB" w14:textId="77777777" w:rsidR="00D86C64" w:rsidRPr="006E5698" w:rsidRDefault="00D86C64" w:rsidP="00D86C64">
      <w:pPr>
        <w:spacing w:line="360" w:lineRule="auto"/>
        <w:jc w:val="both"/>
        <w:rPr>
          <w:rFonts w:ascii="David" w:hAnsi="David"/>
          <w:rtl/>
        </w:rPr>
      </w:pPr>
    </w:p>
    <w:p w14:paraId="538C4B0C" w14:textId="77777777" w:rsidR="00D86C64" w:rsidRPr="006E5698" w:rsidRDefault="00D86C64" w:rsidP="00D86C64">
      <w:pPr>
        <w:spacing w:line="360" w:lineRule="auto"/>
        <w:jc w:val="both"/>
        <w:rPr>
          <w:rFonts w:ascii="David" w:hAnsi="David"/>
          <w:rtl/>
        </w:rPr>
      </w:pPr>
      <w:r w:rsidRPr="006E5698">
        <w:rPr>
          <w:rFonts w:ascii="David" w:hAnsi="David"/>
          <w:rtl/>
        </w:rPr>
        <w:t>הצדדים הגיעו להסדר טיעון לפיו הנאשמים הודו בכתב האישום המתוקן, הורשעו בעבירות המפורטות בו, וההסדר לא כלל הסכמות עונשיות.</w:t>
      </w:r>
    </w:p>
    <w:p w14:paraId="4827FB74" w14:textId="77777777" w:rsidR="00D86C64" w:rsidRPr="006E5698" w:rsidRDefault="00D86C64" w:rsidP="00D86C64">
      <w:pPr>
        <w:spacing w:line="360" w:lineRule="auto"/>
        <w:jc w:val="both"/>
        <w:rPr>
          <w:rFonts w:ascii="David" w:hAnsi="David"/>
          <w:rtl/>
        </w:rPr>
      </w:pPr>
    </w:p>
    <w:p w14:paraId="40E660CA" w14:textId="77777777" w:rsidR="00D86C64" w:rsidRPr="006E5698" w:rsidRDefault="00D86C64" w:rsidP="00D86C64">
      <w:pPr>
        <w:spacing w:line="360" w:lineRule="auto"/>
        <w:jc w:val="both"/>
        <w:rPr>
          <w:b/>
          <w:bCs/>
          <w:u w:val="single"/>
          <w:rtl/>
          <w:lang w:eastAsia="he-IL"/>
        </w:rPr>
      </w:pPr>
      <w:r w:rsidRPr="006E5698">
        <w:rPr>
          <w:b/>
          <w:bCs/>
          <w:u w:val="single"/>
          <w:rtl/>
          <w:lang w:eastAsia="he-IL"/>
        </w:rPr>
        <w:t>טענות ב"כ המאשימה</w:t>
      </w:r>
    </w:p>
    <w:p w14:paraId="611C0271" w14:textId="77777777" w:rsidR="00D86C64" w:rsidRPr="006E5698" w:rsidRDefault="00D86C64" w:rsidP="00D86C64">
      <w:pPr>
        <w:spacing w:line="360" w:lineRule="auto"/>
        <w:jc w:val="both"/>
        <w:rPr>
          <w:b/>
          <w:bCs/>
          <w:u w:val="single"/>
          <w:rtl/>
          <w:lang w:eastAsia="he-IL"/>
        </w:rPr>
      </w:pPr>
    </w:p>
    <w:p w14:paraId="0A9699D2" w14:textId="77777777" w:rsidR="00D86C64" w:rsidRPr="006E5698" w:rsidRDefault="00D86C64" w:rsidP="00D86C64">
      <w:pPr>
        <w:spacing w:line="360" w:lineRule="auto"/>
        <w:jc w:val="both"/>
        <w:rPr>
          <w:rFonts w:ascii="David" w:hAnsi="David"/>
          <w:rtl/>
        </w:rPr>
      </w:pPr>
      <w:r w:rsidRPr="006E5698">
        <w:rPr>
          <w:rtl/>
          <w:lang w:eastAsia="he-IL"/>
        </w:rPr>
        <w:t>2.</w:t>
      </w:r>
      <w:r w:rsidRPr="006E5698">
        <w:rPr>
          <w:rtl/>
          <w:lang w:eastAsia="he-IL"/>
        </w:rPr>
        <w:tab/>
      </w:r>
      <w:r w:rsidRPr="006E5698">
        <w:rPr>
          <w:rFonts w:ascii="David" w:hAnsi="David"/>
          <w:rtl/>
        </w:rPr>
        <w:t>לטענת ב"כ המאשימה:</w:t>
      </w:r>
    </w:p>
    <w:p w14:paraId="4E97CEED" w14:textId="77777777" w:rsidR="00D86C64" w:rsidRPr="006E5698" w:rsidRDefault="00D86C64" w:rsidP="00D86C64">
      <w:pPr>
        <w:spacing w:line="360" w:lineRule="auto"/>
        <w:jc w:val="both"/>
        <w:rPr>
          <w:rFonts w:ascii="David" w:hAnsi="David"/>
          <w:rtl/>
        </w:rPr>
      </w:pPr>
    </w:p>
    <w:p w14:paraId="30EA386F" w14:textId="77777777" w:rsidR="00D86C64" w:rsidRPr="006E5698" w:rsidRDefault="00D86C64" w:rsidP="00D86C64">
      <w:pPr>
        <w:spacing w:line="360" w:lineRule="auto"/>
        <w:jc w:val="both"/>
        <w:rPr>
          <w:rFonts w:ascii="David" w:hAnsi="David"/>
          <w:rtl/>
        </w:rPr>
      </w:pPr>
      <w:r w:rsidRPr="006E5698">
        <w:rPr>
          <w:rFonts w:ascii="David" w:hAnsi="David"/>
          <w:rtl/>
        </w:rPr>
        <w:t>הערכים החברתיים אשר נפגעו מביצוע העבירות הם זכותה וחובתה של מדינת ישראל לשמור על גבולותיה מפני כניסת מסתננים לשטחה, פגיעה בביטחון המדינה, ביטחון חייליה, ביטחון אזרחיה, ובזכותה של המדינה לשמור על גבולותיה ולקבוע מי יבוא בשעריה.</w:t>
      </w:r>
    </w:p>
    <w:p w14:paraId="2483C81A" w14:textId="77777777" w:rsidR="00D86C64" w:rsidRPr="006E5698" w:rsidRDefault="00D86C64" w:rsidP="00D86C64">
      <w:pPr>
        <w:spacing w:line="360" w:lineRule="auto"/>
        <w:jc w:val="both"/>
        <w:rPr>
          <w:rFonts w:ascii="David" w:hAnsi="David"/>
          <w:rtl/>
        </w:rPr>
      </w:pPr>
    </w:p>
    <w:p w14:paraId="6EA055C0" w14:textId="77777777" w:rsidR="00D86C64" w:rsidRPr="006E5698" w:rsidRDefault="00D86C64" w:rsidP="00D86C64">
      <w:pPr>
        <w:spacing w:line="360" w:lineRule="auto"/>
        <w:jc w:val="both"/>
        <w:rPr>
          <w:rFonts w:ascii="David" w:hAnsi="David"/>
          <w:rtl/>
        </w:rPr>
      </w:pPr>
      <w:r w:rsidRPr="006E5698">
        <w:rPr>
          <w:rFonts w:ascii="David" w:hAnsi="David"/>
          <w:rtl/>
        </w:rPr>
        <w:t xml:space="preserve">נטען כי תכלית החוק למניעת הסתננות הינה ביטחונית, הרתעתית ועל בית המשפט לראות את חשיבות השמירה על זכותה וחובתה של המדינה לשמור על גבולותיה ועל בטחון תושבי מדינת ישראל וכוחות הביטחון. </w:t>
      </w:r>
    </w:p>
    <w:p w14:paraId="18068B75" w14:textId="77777777" w:rsidR="00D86C64" w:rsidRPr="006E5698" w:rsidRDefault="00D86C64" w:rsidP="00D86C64">
      <w:pPr>
        <w:spacing w:line="360" w:lineRule="auto"/>
        <w:jc w:val="both"/>
        <w:rPr>
          <w:rFonts w:ascii="David" w:hAnsi="David"/>
          <w:rtl/>
        </w:rPr>
      </w:pPr>
    </w:p>
    <w:p w14:paraId="4E20BFC6" w14:textId="77777777" w:rsidR="00D86C64" w:rsidRPr="006E5698" w:rsidRDefault="00D86C64" w:rsidP="00D86C64">
      <w:pPr>
        <w:spacing w:line="360" w:lineRule="auto"/>
        <w:jc w:val="both"/>
        <w:rPr>
          <w:rFonts w:ascii="David" w:hAnsi="David"/>
          <w:rtl/>
        </w:rPr>
      </w:pPr>
      <w:r w:rsidRPr="006E5698">
        <w:rPr>
          <w:rFonts w:ascii="David" w:hAnsi="David"/>
          <w:rtl/>
        </w:rPr>
        <w:t xml:space="preserve">פוטנציאל הסיכון הגלום בעבירת ההסתננות מכפיל עצמו שעה שהמסתננים נושאים על גופם נשק, ובכך יש פגיעה בערכי קדושת החיים ושלמות גופם של תושבי מדינת ישראל וכוחות הביטחון. לא אחת הקדימו עבירות הנשק מעשים פליליים חמורים ומסוכנים בהרבה, כך גם במקרה של הסתננות עם נשק מקו האויב. </w:t>
      </w:r>
    </w:p>
    <w:p w14:paraId="5969F894" w14:textId="77777777" w:rsidR="00D86C64" w:rsidRPr="006E5698" w:rsidRDefault="00D86C64" w:rsidP="00D86C64">
      <w:pPr>
        <w:spacing w:line="360" w:lineRule="auto"/>
        <w:jc w:val="both"/>
        <w:rPr>
          <w:rFonts w:ascii="David" w:hAnsi="David"/>
          <w:rtl/>
        </w:rPr>
      </w:pPr>
    </w:p>
    <w:p w14:paraId="517223F3" w14:textId="77777777" w:rsidR="00D86C64" w:rsidRPr="006E5698" w:rsidRDefault="00D86C64" w:rsidP="00D86C64">
      <w:pPr>
        <w:spacing w:line="360" w:lineRule="auto"/>
        <w:jc w:val="both"/>
        <w:rPr>
          <w:rFonts w:ascii="David" w:hAnsi="David"/>
          <w:rtl/>
        </w:rPr>
      </w:pPr>
      <w:r w:rsidRPr="006E5698">
        <w:rPr>
          <w:rFonts w:ascii="David" w:hAnsi="David"/>
          <w:rtl/>
        </w:rPr>
        <w:lastRenderedPageBreak/>
        <w:t xml:space="preserve">ב"כ המאשימה עתרה לקביעת מתחם עונש הולם הנע בין 3-6 שנות מאסר בפועל, והתבקש למקם את עונשם של הנאשמים בתחתית המתחם, זאת לצד ענישה נלווית הכוללת מאסר מותנה ארוך ומרתיע וקנס או מאסר תמורתו. </w:t>
      </w:r>
    </w:p>
    <w:p w14:paraId="22DA077B" w14:textId="77777777" w:rsidR="00D86C64" w:rsidRPr="006E5698" w:rsidRDefault="00D86C64" w:rsidP="00D86C64">
      <w:pPr>
        <w:spacing w:line="360" w:lineRule="auto"/>
        <w:jc w:val="both"/>
        <w:rPr>
          <w:rFonts w:ascii="David" w:hAnsi="David"/>
          <w:rtl/>
        </w:rPr>
      </w:pPr>
    </w:p>
    <w:p w14:paraId="215DCA3C" w14:textId="77777777" w:rsidR="00D86C64" w:rsidRPr="006E5698" w:rsidRDefault="00D86C64" w:rsidP="00D86C64">
      <w:pPr>
        <w:spacing w:line="360" w:lineRule="auto"/>
        <w:jc w:val="both"/>
        <w:rPr>
          <w:rFonts w:ascii="David" w:hAnsi="David"/>
          <w:rtl/>
        </w:rPr>
      </w:pPr>
      <w:r w:rsidRPr="006E5698">
        <w:rPr>
          <w:rFonts w:ascii="David" w:hAnsi="David"/>
          <w:rtl/>
        </w:rPr>
        <w:t xml:space="preserve">נטען כי להטלת הקנס חשיבות יתרה שכן הנאשמים טענו כי הסתננו לשטח ישראל מתוך מניעים כלכליים אישיים, ובהטלת קנס יש כדי לגרום לנאשמים ולרבים אחרים כמותם להבין כי הסתננות מזוינת לשטח ישראל איננה משתלמת גם בהיבט הזה.  </w:t>
      </w:r>
    </w:p>
    <w:p w14:paraId="26241D64" w14:textId="77777777" w:rsidR="00D86C64" w:rsidRPr="006E5698" w:rsidRDefault="00D86C64" w:rsidP="00D86C64">
      <w:pPr>
        <w:spacing w:line="360" w:lineRule="auto"/>
        <w:jc w:val="both"/>
        <w:rPr>
          <w:rFonts w:ascii="David" w:hAnsi="David"/>
          <w:rtl/>
        </w:rPr>
      </w:pPr>
    </w:p>
    <w:p w14:paraId="528844A4" w14:textId="77777777" w:rsidR="00D86C64" w:rsidRPr="006E5698" w:rsidRDefault="00D86C64" w:rsidP="00D86C64">
      <w:pPr>
        <w:spacing w:line="360" w:lineRule="auto"/>
        <w:jc w:val="both"/>
        <w:rPr>
          <w:rFonts w:ascii="David" w:hAnsi="David"/>
          <w:rtl/>
        </w:rPr>
      </w:pPr>
      <w:r w:rsidRPr="006E5698">
        <w:rPr>
          <w:rFonts w:ascii="David" w:hAnsi="David"/>
          <w:rtl/>
        </w:rPr>
        <w:t xml:space="preserve">ב"כ המאשימה התייחסה לפסיקה שב"כ הנאשמים הגיש, וטענה כי הפסיקה מתייחסת למסתננים שחדרו לשטח ישראל כשהם נושאים סכין עימם, בעניינו מדובר ברימון רסס בנוסף לסכין, וכי הפסיקה אליה מפנה היא לפני כשלוש או כארבע שנים. פסיקה טרם התיקון של </w:t>
      </w:r>
      <w:hyperlink r:id="rId16" w:history="1">
        <w:r w:rsidR="00B903D1" w:rsidRPr="00B903D1">
          <w:rPr>
            <w:rFonts w:ascii="David" w:hAnsi="David"/>
            <w:color w:val="0000FF"/>
            <w:u w:val="single"/>
            <w:rtl/>
          </w:rPr>
          <w:t>חוק העונשין</w:t>
        </w:r>
      </w:hyperlink>
      <w:r w:rsidRPr="006E5698">
        <w:rPr>
          <w:rFonts w:ascii="David" w:hAnsi="David"/>
          <w:rtl/>
        </w:rPr>
        <w:t xml:space="preserve"> לעניין עבירות הנשק.</w:t>
      </w:r>
    </w:p>
    <w:p w14:paraId="50BE3413" w14:textId="77777777" w:rsidR="00D86C64" w:rsidRPr="006E5698" w:rsidRDefault="00D86C64" w:rsidP="00D86C64">
      <w:pPr>
        <w:spacing w:line="360" w:lineRule="auto"/>
        <w:jc w:val="both"/>
        <w:rPr>
          <w:rFonts w:ascii="David" w:hAnsi="David"/>
          <w:rtl/>
        </w:rPr>
      </w:pPr>
    </w:p>
    <w:p w14:paraId="2BE09758" w14:textId="77777777" w:rsidR="00D86C64" w:rsidRPr="006E5698" w:rsidRDefault="00D86C64" w:rsidP="00D86C64">
      <w:pPr>
        <w:spacing w:line="360" w:lineRule="auto"/>
        <w:jc w:val="both"/>
        <w:rPr>
          <w:rFonts w:ascii="David" w:hAnsi="David"/>
          <w:b/>
          <w:bCs/>
          <w:u w:val="single"/>
          <w:rtl/>
        </w:rPr>
      </w:pPr>
      <w:r w:rsidRPr="006E5698">
        <w:rPr>
          <w:rFonts w:ascii="David" w:hAnsi="David"/>
          <w:b/>
          <w:bCs/>
          <w:u w:val="single"/>
          <w:rtl/>
        </w:rPr>
        <w:t>טענות ב"כ הנאשמים</w:t>
      </w:r>
    </w:p>
    <w:p w14:paraId="621AC7A9" w14:textId="77777777" w:rsidR="00D86C64" w:rsidRPr="006E5698" w:rsidRDefault="00D86C64" w:rsidP="00D86C64">
      <w:pPr>
        <w:spacing w:line="360" w:lineRule="auto"/>
        <w:jc w:val="both"/>
        <w:rPr>
          <w:rFonts w:ascii="David" w:hAnsi="David"/>
          <w:b/>
          <w:bCs/>
          <w:u w:val="single"/>
          <w:rtl/>
        </w:rPr>
      </w:pPr>
    </w:p>
    <w:p w14:paraId="386A7D2E" w14:textId="77777777" w:rsidR="00D86C64" w:rsidRPr="006E5698" w:rsidRDefault="00D86C64" w:rsidP="00D86C64">
      <w:pPr>
        <w:spacing w:line="360" w:lineRule="auto"/>
        <w:jc w:val="both"/>
        <w:rPr>
          <w:rFonts w:ascii="David" w:hAnsi="David"/>
          <w:rtl/>
        </w:rPr>
      </w:pPr>
      <w:r w:rsidRPr="006E5698">
        <w:rPr>
          <w:rFonts w:ascii="David" w:hAnsi="David"/>
          <w:rtl/>
        </w:rPr>
        <w:t>3.</w:t>
      </w:r>
      <w:r w:rsidRPr="006E5698">
        <w:rPr>
          <w:rFonts w:ascii="David" w:hAnsi="David"/>
          <w:rtl/>
        </w:rPr>
        <w:tab/>
        <w:t>לטענת ב"כ הנאשמים:</w:t>
      </w:r>
    </w:p>
    <w:p w14:paraId="68511EEE" w14:textId="77777777" w:rsidR="00D86C64" w:rsidRPr="006E5698" w:rsidRDefault="00D86C64" w:rsidP="00D86C64">
      <w:pPr>
        <w:spacing w:line="360" w:lineRule="auto"/>
        <w:jc w:val="both"/>
        <w:rPr>
          <w:rFonts w:ascii="David" w:hAnsi="David"/>
          <w:rtl/>
        </w:rPr>
      </w:pPr>
    </w:p>
    <w:p w14:paraId="0B1C8CC5" w14:textId="77777777" w:rsidR="00D86C64" w:rsidRPr="006E5698" w:rsidRDefault="00D86C64" w:rsidP="00D86C64">
      <w:pPr>
        <w:spacing w:line="360" w:lineRule="auto"/>
        <w:jc w:val="both"/>
        <w:rPr>
          <w:rFonts w:ascii="David" w:hAnsi="David"/>
          <w:rtl/>
        </w:rPr>
      </w:pPr>
      <w:r w:rsidRPr="006E5698">
        <w:rPr>
          <w:rFonts w:ascii="David" w:hAnsi="David"/>
          <w:rtl/>
        </w:rPr>
        <w:t xml:space="preserve">לטענת ב"כ הנאשמים, הנוהל לפיו לא מועמדים מסתננים לדין הופסק וחודש לאחרונה. נטען כי בגין הסתננות עם סכין אין העמדה לדין אולם על הסתננות עם רימון מעמידים לדין. </w:t>
      </w:r>
    </w:p>
    <w:p w14:paraId="61512227" w14:textId="77777777" w:rsidR="00D86C64" w:rsidRPr="006E5698" w:rsidRDefault="00D86C64" w:rsidP="00D86C64">
      <w:pPr>
        <w:spacing w:line="360" w:lineRule="auto"/>
        <w:jc w:val="both"/>
        <w:rPr>
          <w:rFonts w:ascii="David" w:hAnsi="David"/>
          <w:rtl/>
        </w:rPr>
      </w:pPr>
    </w:p>
    <w:p w14:paraId="0098220A" w14:textId="77777777" w:rsidR="00D86C64" w:rsidRPr="006E5698" w:rsidRDefault="00D86C64" w:rsidP="00D86C64">
      <w:pPr>
        <w:spacing w:line="360" w:lineRule="auto"/>
        <w:jc w:val="both"/>
        <w:rPr>
          <w:rFonts w:ascii="David" w:hAnsi="David"/>
          <w:rtl/>
        </w:rPr>
      </w:pPr>
      <w:r w:rsidRPr="006E5698">
        <w:rPr>
          <w:rFonts w:ascii="David" w:hAnsi="David"/>
          <w:rtl/>
        </w:rPr>
        <w:t>מדובר בשני נאשמים צעירים, שהסתננו על מנת להיעצר, ולא כדי לבצע פיגוע או כדומה, הם לא התנגדו למעצר כי הם באו להיעצר, ברגע שראו חיילים הם מסרו את כל מה שיש להם ולא התנגדו למעצר.</w:t>
      </w:r>
    </w:p>
    <w:p w14:paraId="675E9460" w14:textId="77777777" w:rsidR="00D86C64" w:rsidRPr="006E5698" w:rsidRDefault="00D86C64" w:rsidP="00D86C64">
      <w:pPr>
        <w:spacing w:line="360" w:lineRule="auto"/>
        <w:jc w:val="both"/>
        <w:rPr>
          <w:rFonts w:ascii="David" w:hAnsi="David"/>
          <w:rtl/>
        </w:rPr>
      </w:pPr>
    </w:p>
    <w:p w14:paraId="326F104D" w14:textId="77777777" w:rsidR="00D86C64" w:rsidRPr="006E5698" w:rsidRDefault="00D86C64" w:rsidP="00D86C64">
      <w:pPr>
        <w:spacing w:line="360" w:lineRule="auto"/>
        <w:jc w:val="both"/>
        <w:rPr>
          <w:rFonts w:ascii="David" w:hAnsi="David"/>
          <w:rtl/>
        </w:rPr>
      </w:pPr>
      <w:r w:rsidRPr="006E5698">
        <w:rPr>
          <w:rFonts w:ascii="David" w:hAnsi="David"/>
          <w:rtl/>
        </w:rPr>
        <w:t xml:space="preserve">נטען כי עבירת הנשק נבלעת בהסתננות המזוינת, הסתננות המזוינת מתייחס לנשק עצמו. </w:t>
      </w:r>
    </w:p>
    <w:p w14:paraId="69D12EB7" w14:textId="77777777" w:rsidR="00D86C64" w:rsidRPr="006E5698" w:rsidRDefault="00D86C64" w:rsidP="00D86C64">
      <w:pPr>
        <w:spacing w:line="360" w:lineRule="auto"/>
        <w:jc w:val="both"/>
        <w:rPr>
          <w:rFonts w:ascii="David" w:hAnsi="David"/>
          <w:rtl/>
        </w:rPr>
      </w:pPr>
    </w:p>
    <w:p w14:paraId="18FA0D08" w14:textId="77777777" w:rsidR="00D86C64" w:rsidRPr="006E5698" w:rsidRDefault="00D86C64" w:rsidP="00D86C64">
      <w:pPr>
        <w:spacing w:line="360" w:lineRule="auto"/>
        <w:jc w:val="both"/>
        <w:rPr>
          <w:rFonts w:ascii="David" w:hAnsi="David"/>
          <w:rtl/>
        </w:rPr>
      </w:pPr>
      <w:r w:rsidRPr="006E5698">
        <w:rPr>
          <w:rFonts w:ascii="David" w:hAnsi="David"/>
          <w:rtl/>
        </w:rPr>
        <w:t xml:space="preserve">לגבי תיקון </w:t>
      </w:r>
      <w:hyperlink r:id="rId17" w:history="1">
        <w:r w:rsidR="00B903D1" w:rsidRPr="00B903D1">
          <w:rPr>
            <w:rFonts w:ascii="David" w:hAnsi="David"/>
            <w:color w:val="0000FF"/>
            <w:u w:val="single"/>
            <w:rtl/>
          </w:rPr>
          <w:t>חוק העונשין</w:t>
        </w:r>
      </w:hyperlink>
      <w:r w:rsidRPr="006E5698">
        <w:rPr>
          <w:rFonts w:ascii="David" w:hAnsi="David"/>
          <w:rtl/>
        </w:rPr>
        <w:t>, נטען כי מטרתו למגר את התופעה של אנשים או עבריינים שמחזיקים נשק למשך זמן, שמחזיקים נשק למטרות פליליות או לא, עצם החזקת הנשק לתקופה ארוכה ולמגר את תופעת הפשיעה.</w:t>
      </w:r>
    </w:p>
    <w:p w14:paraId="4BD2AA9F" w14:textId="77777777" w:rsidR="00D86C64" w:rsidRPr="006E5698" w:rsidRDefault="00D86C64" w:rsidP="00D86C64">
      <w:pPr>
        <w:spacing w:line="360" w:lineRule="auto"/>
        <w:jc w:val="both"/>
        <w:rPr>
          <w:rFonts w:ascii="David" w:hAnsi="David"/>
          <w:rtl/>
        </w:rPr>
      </w:pPr>
    </w:p>
    <w:p w14:paraId="6BE870DF" w14:textId="77777777" w:rsidR="00D86C64" w:rsidRPr="006E5698" w:rsidRDefault="00D86C64" w:rsidP="00D86C64">
      <w:pPr>
        <w:spacing w:line="360" w:lineRule="auto"/>
        <w:jc w:val="both"/>
        <w:rPr>
          <w:rFonts w:ascii="David" w:hAnsi="David"/>
          <w:rtl/>
        </w:rPr>
      </w:pPr>
      <w:r w:rsidRPr="006E5698">
        <w:rPr>
          <w:rFonts w:ascii="David" w:hAnsi="David"/>
          <w:rtl/>
        </w:rPr>
        <w:t>הנאשמים לא החזיקו נשק בבית, הלכו קנו רימון לפני ההסתננות ולמחרת הרימון היה בידי צה"ל. מדובר בצעירים תושבי עזה שזה המאסר הראשון שלהם, ולעולם לא הסתבכו וגם בעזה לא הייתה להם אף פעילות. שני הנאשמים הודו בהזדמנות ראשונה, וחסכו זמן שיפוטי.</w:t>
      </w:r>
    </w:p>
    <w:p w14:paraId="4F3F166B" w14:textId="77777777" w:rsidR="00D86C64" w:rsidRPr="006E5698" w:rsidRDefault="00D86C64" w:rsidP="00D86C64">
      <w:pPr>
        <w:spacing w:line="360" w:lineRule="auto"/>
        <w:jc w:val="both"/>
        <w:rPr>
          <w:rFonts w:ascii="David" w:hAnsi="David"/>
          <w:rtl/>
        </w:rPr>
      </w:pPr>
    </w:p>
    <w:p w14:paraId="424BE701" w14:textId="77777777" w:rsidR="00D86C64" w:rsidRPr="006E5698" w:rsidRDefault="00D86C64" w:rsidP="00D86C64">
      <w:pPr>
        <w:spacing w:line="360" w:lineRule="auto"/>
        <w:jc w:val="both"/>
        <w:rPr>
          <w:rFonts w:ascii="David" w:hAnsi="David"/>
          <w:rtl/>
        </w:rPr>
      </w:pPr>
      <w:r w:rsidRPr="006E5698">
        <w:rPr>
          <w:rFonts w:ascii="David" w:hAnsi="David"/>
          <w:rtl/>
        </w:rPr>
        <w:t>בעניין נאשם 1 נטען כי אביו הלך לעולמו לפני 3 שנים, משפחתו מונה 11 נפשות, המצב הכלכלי קשה,  הנאשם עובד בחקלאות, סיים כיתה ט', מדובר באוכלוסייה שגרה סמוך לגבול אשר סובלים כלכלית, וכי מרבית המסתננים באים מאותו מקום מאותה משפחה, על רקע מצוקה כלכלית.</w:t>
      </w:r>
    </w:p>
    <w:p w14:paraId="74E9ECEC" w14:textId="77777777" w:rsidR="00D86C64" w:rsidRPr="006E5698" w:rsidRDefault="00D86C64" w:rsidP="00D86C64">
      <w:pPr>
        <w:spacing w:line="360" w:lineRule="auto"/>
        <w:jc w:val="both"/>
        <w:rPr>
          <w:rFonts w:ascii="David" w:hAnsi="David"/>
          <w:rtl/>
        </w:rPr>
      </w:pPr>
    </w:p>
    <w:p w14:paraId="4D331896" w14:textId="77777777" w:rsidR="00D86C64" w:rsidRPr="006E5698" w:rsidRDefault="00D86C64" w:rsidP="00D86C64">
      <w:pPr>
        <w:spacing w:line="360" w:lineRule="auto"/>
        <w:jc w:val="both"/>
        <w:rPr>
          <w:rFonts w:ascii="David" w:hAnsi="David"/>
          <w:rtl/>
        </w:rPr>
      </w:pPr>
      <w:r w:rsidRPr="006E5698">
        <w:rPr>
          <w:rFonts w:ascii="David" w:hAnsi="David"/>
          <w:rtl/>
        </w:rPr>
        <w:t xml:space="preserve">בעניין נאשם 2 נטען כי מדובר במשפחה המונה 13 נפשות, הנאשם עבד לפעמים בחקלאות, וסיים כיתה ג'. המצב הכלכלי הכריח אותו להסתנן. </w:t>
      </w:r>
    </w:p>
    <w:p w14:paraId="3C432043" w14:textId="77777777" w:rsidR="00D86C64" w:rsidRPr="006E5698" w:rsidRDefault="00D86C64" w:rsidP="00D86C64">
      <w:pPr>
        <w:spacing w:line="360" w:lineRule="auto"/>
        <w:jc w:val="both"/>
        <w:rPr>
          <w:rFonts w:ascii="David" w:hAnsi="David"/>
          <w:rtl/>
        </w:rPr>
      </w:pPr>
    </w:p>
    <w:p w14:paraId="76398826" w14:textId="77777777" w:rsidR="00D86C64" w:rsidRPr="006E5698" w:rsidRDefault="00D86C64" w:rsidP="00D86C64">
      <w:pPr>
        <w:spacing w:line="360" w:lineRule="auto"/>
        <w:jc w:val="both"/>
        <w:rPr>
          <w:rFonts w:ascii="David" w:hAnsi="David"/>
          <w:rtl/>
        </w:rPr>
      </w:pPr>
      <w:r w:rsidRPr="006E5698">
        <w:rPr>
          <w:rFonts w:ascii="David" w:hAnsi="David"/>
          <w:rtl/>
        </w:rPr>
        <w:t>נטען כי מתחם העונש ההולם נע בין שנה לשנה וחצי, וההחמרה שב"כ המאשימה טוענת לגביה, צריכה להיות הדרגתית, ולא בפעימה אחת.</w:t>
      </w:r>
    </w:p>
    <w:p w14:paraId="18290388" w14:textId="77777777" w:rsidR="00D86C64" w:rsidRPr="006E5698" w:rsidRDefault="00D86C64" w:rsidP="00D86C64">
      <w:pPr>
        <w:spacing w:line="360" w:lineRule="auto"/>
        <w:jc w:val="both"/>
        <w:rPr>
          <w:rFonts w:ascii="David" w:hAnsi="David"/>
          <w:rtl/>
        </w:rPr>
      </w:pPr>
    </w:p>
    <w:p w14:paraId="78793745" w14:textId="77777777" w:rsidR="00D86C64" w:rsidRPr="006E5698" w:rsidRDefault="00D86C64" w:rsidP="00D86C64">
      <w:pPr>
        <w:spacing w:line="360" w:lineRule="auto"/>
        <w:jc w:val="both"/>
        <w:rPr>
          <w:rFonts w:ascii="David" w:hAnsi="David"/>
          <w:rtl/>
        </w:rPr>
      </w:pPr>
      <w:r w:rsidRPr="006E5698">
        <w:rPr>
          <w:rFonts w:ascii="David" w:hAnsi="David"/>
          <w:rtl/>
        </w:rPr>
        <w:t xml:space="preserve">מדובר בתושבי עזה שהמאסר עצמו קשה להם, הם אינם מקבלים ביקורים, ואלו נפתחו רק לאחרונה, והם מנותקים מהמשפחה באופן מלא. </w:t>
      </w:r>
    </w:p>
    <w:p w14:paraId="5D4A3B1D" w14:textId="77777777" w:rsidR="00D86C64" w:rsidRPr="006E5698" w:rsidRDefault="00D86C64" w:rsidP="00D86C64">
      <w:pPr>
        <w:spacing w:line="360" w:lineRule="auto"/>
        <w:jc w:val="both"/>
        <w:rPr>
          <w:b/>
          <w:bCs/>
          <w:u w:val="single"/>
          <w:rtl/>
          <w:lang w:eastAsia="he-IL"/>
        </w:rPr>
      </w:pPr>
    </w:p>
    <w:p w14:paraId="03CABADB" w14:textId="77777777" w:rsidR="00D86C64" w:rsidRPr="006E5698" w:rsidRDefault="00D86C64" w:rsidP="00D86C64">
      <w:pPr>
        <w:spacing w:line="360" w:lineRule="auto"/>
        <w:jc w:val="both"/>
        <w:rPr>
          <w:rFonts w:ascii="David" w:hAnsi="David"/>
          <w:rtl/>
        </w:rPr>
      </w:pPr>
      <w:r w:rsidRPr="006E5698">
        <w:rPr>
          <w:rFonts w:ascii="David" w:hAnsi="David"/>
          <w:rtl/>
        </w:rPr>
        <w:t xml:space="preserve">נאשם 1 אמר כי אביו נפטר, המצב הכלכלי בעזה קשה והוא מצטער על זה. </w:t>
      </w:r>
    </w:p>
    <w:p w14:paraId="136F0594" w14:textId="77777777" w:rsidR="00D86C64" w:rsidRPr="006E5698" w:rsidRDefault="00D86C64" w:rsidP="00D86C64">
      <w:pPr>
        <w:spacing w:line="360" w:lineRule="auto"/>
        <w:jc w:val="both"/>
        <w:rPr>
          <w:rFonts w:ascii="David" w:hAnsi="David"/>
          <w:b/>
          <w:bCs/>
          <w:u w:val="single"/>
          <w:rtl/>
        </w:rPr>
      </w:pPr>
    </w:p>
    <w:p w14:paraId="2535C414" w14:textId="77777777" w:rsidR="00D86C64" w:rsidRPr="006E5698" w:rsidRDefault="00D86C64" w:rsidP="00D86C64">
      <w:pPr>
        <w:spacing w:line="360" w:lineRule="auto"/>
        <w:jc w:val="both"/>
        <w:rPr>
          <w:rFonts w:ascii="David" w:hAnsi="David"/>
          <w:rtl/>
        </w:rPr>
      </w:pPr>
      <w:r w:rsidRPr="006E5698">
        <w:rPr>
          <w:rFonts w:ascii="David" w:hAnsi="David"/>
          <w:rtl/>
        </w:rPr>
        <w:t xml:space="preserve">נאשם 2, אמר כי הוא מתחרט שבא למדינת ישראל ולא יחזור על זה, אביו עשה צינתור, הוא לא איש טרור, רוצה להתפרנס לחיות. לטענתו, בא עם רימון וסכין בכוונה כדי שבגבול לא יחזירו אותו, </w:t>
      </w:r>
      <w:r>
        <w:rPr>
          <w:rFonts w:ascii="David" w:hAnsi="David" w:hint="cs"/>
          <w:rtl/>
        </w:rPr>
        <w:t>ור</w:t>
      </w:r>
      <w:r w:rsidRPr="006E5698">
        <w:rPr>
          <w:rFonts w:ascii="David" w:hAnsi="David"/>
          <w:rtl/>
        </w:rPr>
        <w:t xml:space="preserve">צה להיתפס דרך צבא ישראל. </w:t>
      </w:r>
    </w:p>
    <w:p w14:paraId="1AAFE76B" w14:textId="77777777" w:rsidR="00D86C64" w:rsidRPr="006E5698" w:rsidRDefault="00D86C64" w:rsidP="00D86C64">
      <w:pPr>
        <w:spacing w:line="360" w:lineRule="auto"/>
        <w:jc w:val="both"/>
        <w:rPr>
          <w:b/>
          <w:bCs/>
          <w:u w:val="single"/>
          <w:rtl/>
          <w:lang w:eastAsia="he-IL"/>
        </w:rPr>
      </w:pPr>
    </w:p>
    <w:p w14:paraId="694DB787" w14:textId="77777777" w:rsidR="00D86C64" w:rsidRPr="006E5698" w:rsidRDefault="00D86C64" w:rsidP="00D86C64">
      <w:pPr>
        <w:spacing w:line="360" w:lineRule="auto"/>
        <w:jc w:val="both"/>
        <w:rPr>
          <w:b/>
          <w:bCs/>
          <w:u w:val="single"/>
          <w:rtl/>
          <w:lang w:eastAsia="he-IL"/>
        </w:rPr>
      </w:pPr>
      <w:r w:rsidRPr="006E5698">
        <w:rPr>
          <w:b/>
          <w:bCs/>
          <w:u w:val="single"/>
          <w:rtl/>
          <w:lang w:eastAsia="he-IL"/>
        </w:rPr>
        <w:t>הערכים המוגנים ומתחם העונש ההולם</w:t>
      </w:r>
    </w:p>
    <w:p w14:paraId="6586B711" w14:textId="77777777" w:rsidR="00D86C64" w:rsidRPr="006E5698" w:rsidRDefault="00D86C64" w:rsidP="00D86C64">
      <w:pPr>
        <w:spacing w:line="360" w:lineRule="auto"/>
        <w:jc w:val="both"/>
        <w:rPr>
          <w:b/>
          <w:bCs/>
          <w:u w:val="single"/>
          <w:rtl/>
          <w:lang w:eastAsia="he-IL"/>
        </w:rPr>
      </w:pPr>
    </w:p>
    <w:p w14:paraId="7C29FF22" w14:textId="77777777" w:rsidR="00D86C64" w:rsidRPr="006E5698" w:rsidRDefault="00D86C64" w:rsidP="00D86C64">
      <w:pPr>
        <w:spacing w:line="360" w:lineRule="auto"/>
        <w:jc w:val="both"/>
        <w:rPr>
          <w:rFonts w:ascii="Calibri Light" w:hAnsi="Calibri Light"/>
          <w:rtl/>
          <w:lang w:eastAsia="he-IL"/>
        </w:rPr>
      </w:pPr>
      <w:r w:rsidRPr="006E5698">
        <w:rPr>
          <w:rtl/>
        </w:rPr>
        <w:t>4.</w:t>
      </w:r>
      <w:r w:rsidRPr="006E5698">
        <w:rPr>
          <w:rFonts w:cs="Times New Roman"/>
          <w:rtl/>
        </w:rPr>
        <w:t xml:space="preserve">  </w:t>
      </w:r>
      <w:r w:rsidRPr="006E5698">
        <w:rPr>
          <w:rFonts w:ascii="Calibri Light" w:hAnsi="Calibri Light" w:hint="eastAsia"/>
          <w:rtl/>
          <w:lang w:eastAsia="he-IL"/>
        </w:rPr>
        <w:t>הנאשמים</w:t>
      </w:r>
      <w:r w:rsidRPr="006E5698">
        <w:rPr>
          <w:rFonts w:ascii="Calibri Light" w:hAnsi="Calibri Light"/>
          <w:rtl/>
          <w:lang w:eastAsia="he-IL"/>
        </w:rPr>
        <w:t xml:space="preserve"> </w:t>
      </w:r>
      <w:r w:rsidRPr="006E5698">
        <w:rPr>
          <w:rFonts w:ascii="Calibri Light" w:hAnsi="Calibri Light" w:hint="eastAsia"/>
          <w:rtl/>
          <w:lang w:eastAsia="he-IL"/>
        </w:rPr>
        <w:t>ביצעו</w:t>
      </w:r>
      <w:r w:rsidRPr="006E5698">
        <w:rPr>
          <w:rFonts w:ascii="Calibri Light" w:hAnsi="Calibri Light"/>
          <w:rtl/>
          <w:lang w:eastAsia="he-IL"/>
        </w:rPr>
        <w:t xml:space="preserve"> </w:t>
      </w:r>
      <w:r w:rsidRPr="006E5698">
        <w:rPr>
          <w:rFonts w:ascii="Calibri Light" w:hAnsi="Calibri Light" w:hint="eastAsia"/>
          <w:rtl/>
          <w:lang w:eastAsia="he-IL"/>
        </w:rPr>
        <w:t>עבירות</w:t>
      </w:r>
      <w:r w:rsidRPr="006E5698">
        <w:rPr>
          <w:rFonts w:ascii="Calibri Light" w:hAnsi="Calibri Light"/>
          <w:rtl/>
          <w:lang w:eastAsia="he-IL"/>
        </w:rPr>
        <w:t xml:space="preserve"> </w:t>
      </w:r>
      <w:r w:rsidRPr="006E5698">
        <w:rPr>
          <w:rFonts w:ascii="Calibri Light" w:hAnsi="Calibri Light" w:hint="eastAsia"/>
          <w:rtl/>
          <w:lang w:eastAsia="he-IL"/>
        </w:rPr>
        <w:t>של</w:t>
      </w:r>
      <w:r w:rsidRPr="006E5698">
        <w:rPr>
          <w:rFonts w:ascii="Calibri Light" w:hAnsi="Calibri Light"/>
          <w:rtl/>
          <w:lang w:eastAsia="he-IL"/>
        </w:rPr>
        <w:t xml:space="preserve"> </w:t>
      </w:r>
      <w:r w:rsidRPr="006E5698">
        <w:rPr>
          <w:rFonts w:ascii="Calibri Light" w:hAnsi="Calibri Light" w:hint="eastAsia"/>
          <w:rtl/>
          <w:lang w:eastAsia="he-IL"/>
        </w:rPr>
        <w:t>הסתננות</w:t>
      </w:r>
      <w:r w:rsidRPr="006E5698">
        <w:rPr>
          <w:rFonts w:ascii="Calibri Light" w:hAnsi="Calibri Light"/>
          <w:rtl/>
          <w:lang w:eastAsia="he-IL"/>
        </w:rPr>
        <w:t xml:space="preserve"> </w:t>
      </w:r>
      <w:r w:rsidRPr="006E5698">
        <w:rPr>
          <w:rFonts w:ascii="Calibri Light" w:hAnsi="Calibri Light" w:hint="eastAsia"/>
          <w:rtl/>
          <w:lang w:eastAsia="he-IL"/>
        </w:rPr>
        <w:t>מזוינת</w:t>
      </w:r>
      <w:r w:rsidRPr="006E5698">
        <w:rPr>
          <w:rFonts w:ascii="Calibri Light" w:hAnsi="Calibri Light"/>
          <w:rtl/>
          <w:lang w:eastAsia="he-IL"/>
        </w:rPr>
        <w:t xml:space="preserve"> </w:t>
      </w:r>
      <w:r w:rsidRPr="006E5698">
        <w:rPr>
          <w:rFonts w:ascii="Calibri Light" w:hAnsi="Calibri Light" w:hint="eastAsia"/>
          <w:rtl/>
          <w:lang w:eastAsia="he-IL"/>
        </w:rPr>
        <w:t>ונשיאת</w:t>
      </w:r>
      <w:r w:rsidRPr="006E5698">
        <w:rPr>
          <w:rFonts w:ascii="Calibri Light" w:hAnsi="Calibri Light"/>
          <w:rtl/>
          <w:lang w:eastAsia="he-IL"/>
        </w:rPr>
        <w:t xml:space="preserve"> </w:t>
      </w:r>
      <w:r w:rsidRPr="006E5698">
        <w:rPr>
          <w:rFonts w:ascii="Calibri Light" w:hAnsi="Calibri Light" w:hint="eastAsia"/>
          <w:rtl/>
          <w:lang w:eastAsia="he-IL"/>
        </w:rPr>
        <w:t>נשק</w:t>
      </w:r>
      <w:r w:rsidRPr="006E5698">
        <w:rPr>
          <w:rFonts w:ascii="Calibri Light" w:hAnsi="Calibri Light"/>
          <w:rtl/>
          <w:lang w:eastAsia="he-IL"/>
        </w:rPr>
        <w:t xml:space="preserve"> </w:t>
      </w:r>
      <w:r w:rsidRPr="006E5698">
        <w:rPr>
          <w:rFonts w:ascii="Calibri Light" w:hAnsi="Calibri Light" w:hint="eastAsia"/>
          <w:rtl/>
          <w:lang w:eastAsia="he-IL"/>
        </w:rPr>
        <w:t>בכך</w:t>
      </w:r>
      <w:r w:rsidRPr="006E5698">
        <w:rPr>
          <w:rFonts w:ascii="Calibri Light" w:hAnsi="Calibri Light"/>
          <w:rtl/>
          <w:lang w:eastAsia="he-IL"/>
        </w:rPr>
        <w:t xml:space="preserve"> </w:t>
      </w:r>
      <w:r w:rsidRPr="006E5698">
        <w:rPr>
          <w:rFonts w:ascii="Calibri Light" w:hAnsi="Calibri Light" w:hint="eastAsia"/>
          <w:rtl/>
          <w:lang w:eastAsia="he-IL"/>
        </w:rPr>
        <w:t>שהתקרבו</w:t>
      </w:r>
      <w:r w:rsidRPr="006E5698">
        <w:rPr>
          <w:rFonts w:ascii="Calibri Light" w:hAnsi="Calibri Light"/>
          <w:rtl/>
          <w:lang w:eastAsia="he-IL"/>
        </w:rPr>
        <w:t xml:space="preserve"> </w:t>
      </w:r>
      <w:r w:rsidRPr="006E5698">
        <w:rPr>
          <w:rFonts w:ascii="Calibri Light" w:hAnsi="Calibri Light" w:hint="eastAsia"/>
          <w:rtl/>
          <w:lang w:eastAsia="he-IL"/>
        </w:rPr>
        <w:t>לגדר</w:t>
      </w:r>
      <w:r w:rsidRPr="006E5698">
        <w:rPr>
          <w:rFonts w:ascii="Calibri Light" w:hAnsi="Calibri Light"/>
          <w:rtl/>
          <w:lang w:eastAsia="he-IL"/>
        </w:rPr>
        <w:t xml:space="preserve"> </w:t>
      </w:r>
      <w:r w:rsidRPr="006E5698">
        <w:rPr>
          <w:rFonts w:ascii="Calibri Light" w:hAnsi="Calibri Light" w:hint="eastAsia"/>
          <w:rtl/>
          <w:lang w:eastAsia="he-IL"/>
        </w:rPr>
        <w:t>המערכת</w:t>
      </w:r>
      <w:r w:rsidRPr="006E5698">
        <w:rPr>
          <w:rFonts w:ascii="Calibri Light" w:hAnsi="Calibri Light"/>
          <w:rtl/>
          <w:lang w:eastAsia="he-IL"/>
        </w:rPr>
        <w:t xml:space="preserve"> </w:t>
      </w:r>
      <w:r w:rsidRPr="006E5698">
        <w:rPr>
          <w:rFonts w:ascii="Calibri Light" w:hAnsi="Calibri Light" w:hint="eastAsia"/>
          <w:rtl/>
          <w:lang w:eastAsia="he-IL"/>
        </w:rPr>
        <w:t>ועברו</w:t>
      </w:r>
      <w:r w:rsidRPr="006E5698">
        <w:rPr>
          <w:rFonts w:ascii="Calibri Light" w:hAnsi="Calibri Light"/>
          <w:rtl/>
          <w:lang w:eastAsia="he-IL"/>
        </w:rPr>
        <w:t xml:space="preserve"> </w:t>
      </w:r>
      <w:r w:rsidRPr="006E5698">
        <w:rPr>
          <w:rFonts w:ascii="Calibri Light" w:hAnsi="Calibri Light" w:hint="eastAsia"/>
          <w:rtl/>
          <w:lang w:eastAsia="he-IL"/>
        </w:rPr>
        <w:t>אותה</w:t>
      </w:r>
      <w:r w:rsidRPr="006E5698">
        <w:rPr>
          <w:rFonts w:ascii="Calibri Light" w:hAnsi="Calibri Light"/>
          <w:rtl/>
          <w:lang w:eastAsia="he-IL"/>
        </w:rPr>
        <w:t xml:space="preserve"> </w:t>
      </w:r>
      <w:r w:rsidRPr="006E5698">
        <w:rPr>
          <w:rFonts w:ascii="Calibri Light" w:hAnsi="Calibri Light" w:hint="eastAsia"/>
          <w:rtl/>
          <w:lang w:eastAsia="he-IL"/>
        </w:rPr>
        <w:t>לתוך</w:t>
      </w:r>
      <w:r w:rsidRPr="006E5698">
        <w:rPr>
          <w:rFonts w:ascii="Calibri Light" w:hAnsi="Calibri Light"/>
          <w:rtl/>
          <w:lang w:eastAsia="he-IL"/>
        </w:rPr>
        <w:t xml:space="preserve"> </w:t>
      </w:r>
      <w:r w:rsidRPr="006E5698">
        <w:rPr>
          <w:rFonts w:ascii="Calibri Light" w:hAnsi="Calibri Light" w:hint="eastAsia"/>
          <w:rtl/>
          <w:lang w:eastAsia="he-IL"/>
        </w:rPr>
        <w:t>שטח</w:t>
      </w:r>
      <w:r w:rsidRPr="006E5698">
        <w:rPr>
          <w:rFonts w:ascii="Calibri Light" w:hAnsi="Calibri Light"/>
          <w:rtl/>
          <w:lang w:eastAsia="he-IL"/>
        </w:rPr>
        <w:t xml:space="preserve"> </w:t>
      </w:r>
      <w:r w:rsidRPr="006E5698">
        <w:rPr>
          <w:rFonts w:ascii="Calibri Light" w:hAnsi="Calibri Light" w:hint="eastAsia"/>
          <w:rtl/>
          <w:lang w:eastAsia="he-IL"/>
        </w:rPr>
        <w:t>ישראל</w:t>
      </w:r>
      <w:r w:rsidRPr="006E5698">
        <w:rPr>
          <w:rFonts w:ascii="Calibri Light" w:hAnsi="Calibri Light"/>
          <w:rtl/>
          <w:lang w:eastAsia="he-IL"/>
        </w:rPr>
        <w:t xml:space="preserve"> </w:t>
      </w:r>
      <w:r w:rsidRPr="006E5698">
        <w:rPr>
          <w:rFonts w:ascii="Calibri Light" w:hAnsi="Calibri Light" w:hint="eastAsia"/>
          <w:rtl/>
          <w:lang w:eastAsia="he-IL"/>
        </w:rPr>
        <w:t>כאשר</w:t>
      </w:r>
      <w:r w:rsidRPr="006E5698">
        <w:rPr>
          <w:rFonts w:ascii="Calibri Light" w:hAnsi="Calibri Light"/>
          <w:rtl/>
          <w:lang w:eastAsia="he-IL"/>
        </w:rPr>
        <w:t xml:space="preserve"> </w:t>
      </w:r>
      <w:r w:rsidRPr="006E5698">
        <w:rPr>
          <w:rFonts w:ascii="Calibri Light" w:hAnsi="Calibri Light" w:hint="eastAsia"/>
          <w:rtl/>
          <w:lang w:eastAsia="he-IL"/>
        </w:rPr>
        <w:t>נאשם</w:t>
      </w:r>
      <w:r w:rsidRPr="006E5698">
        <w:rPr>
          <w:rFonts w:ascii="Calibri Light" w:hAnsi="Calibri Light"/>
          <w:rtl/>
          <w:lang w:eastAsia="he-IL"/>
        </w:rPr>
        <w:t xml:space="preserve"> 1 </w:t>
      </w:r>
      <w:r w:rsidRPr="006E5698">
        <w:rPr>
          <w:rFonts w:ascii="Calibri Light" w:hAnsi="Calibri Light" w:hint="eastAsia"/>
          <w:rtl/>
          <w:lang w:eastAsia="he-IL"/>
        </w:rPr>
        <w:t>נשא</w:t>
      </w:r>
      <w:r w:rsidRPr="006E5698">
        <w:rPr>
          <w:rFonts w:ascii="Calibri Light" w:hAnsi="Calibri Light"/>
          <w:rtl/>
          <w:lang w:eastAsia="he-IL"/>
        </w:rPr>
        <w:t xml:space="preserve"> </w:t>
      </w:r>
      <w:r w:rsidRPr="006E5698">
        <w:rPr>
          <w:rFonts w:ascii="Calibri Light" w:hAnsi="Calibri Light" w:hint="eastAsia"/>
          <w:rtl/>
          <w:lang w:eastAsia="he-IL"/>
        </w:rPr>
        <w:t>עמו</w:t>
      </w:r>
      <w:r w:rsidRPr="006E5698">
        <w:rPr>
          <w:rFonts w:ascii="Calibri Light" w:hAnsi="Calibri Light"/>
          <w:rtl/>
          <w:lang w:eastAsia="he-IL"/>
        </w:rPr>
        <w:t xml:space="preserve"> </w:t>
      </w:r>
      <w:r w:rsidRPr="006E5698">
        <w:rPr>
          <w:rFonts w:ascii="Calibri Light" w:hAnsi="Calibri Light" w:hint="eastAsia"/>
          <w:rtl/>
          <w:lang w:eastAsia="he-IL"/>
        </w:rPr>
        <w:t>סכין</w:t>
      </w:r>
      <w:r w:rsidRPr="006E5698">
        <w:rPr>
          <w:rFonts w:ascii="Calibri Light" w:hAnsi="Calibri Light"/>
          <w:rtl/>
          <w:lang w:eastAsia="he-IL"/>
        </w:rPr>
        <w:t xml:space="preserve"> </w:t>
      </w:r>
      <w:r w:rsidRPr="006E5698">
        <w:rPr>
          <w:rFonts w:ascii="Calibri Light" w:hAnsi="Calibri Light" w:hint="eastAsia"/>
          <w:rtl/>
          <w:lang w:eastAsia="he-IL"/>
        </w:rPr>
        <w:t>ונאשם</w:t>
      </w:r>
      <w:r w:rsidRPr="006E5698">
        <w:rPr>
          <w:rFonts w:ascii="Calibri Light" w:hAnsi="Calibri Light"/>
          <w:rtl/>
          <w:lang w:eastAsia="he-IL"/>
        </w:rPr>
        <w:t xml:space="preserve"> 2 </w:t>
      </w:r>
      <w:r w:rsidRPr="006E5698">
        <w:rPr>
          <w:rFonts w:ascii="Calibri Light" w:hAnsi="Calibri Light" w:hint="eastAsia"/>
          <w:rtl/>
          <w:lang w:eastAsia="he-IL"/>
        </w:rPr>
        <w:t>נשא</w:t>
      </w:r>
      <w:r w:rsidRPr="006E5698">
        <w:rPr>
          <w:rFonts w:ascii="Calibri Light" w:hAnsi="Calibri Light"/>
          <w:rtl/>
          <w:lang w:eastAsia="he-IL"/>
        </w:rPr>
        <w:t xml:space="preserve"> </w:t>
      </w:r>
      <w:r w:rsidRPr="006E5698">
        <w:rPr>
          <w:rFonts w:ascii="Calibri Light" w:hAnsi="Calibri Light" w:hint="eastAsia"/>
          <w:rtl/>
          <w:lang w:eastAsia="he-IL"/>
        </w:rPr>
        <w:t>עמו</w:t>
      </w:r>
      <w:r w:rsidRPr="006E5698">
        <w:rPr>
          <w:rFonts w:ascii="Calibri Light" w:hAnsi="Calibri Light"/>
          <w:rtl/>
          <w:lang w:eastAsia="he-IL"/>
        </w:rPr>
        <w:t xml:space="preserve"> </w:t>
      </w:r>
      <w:r w:rsidRPr="006E5698">
        <w:rPr>
          <w:rFonts w:ascii="Calibri Light" w:hAnsi="Calibri Light" w:hint="eastAsia"/>
          <w:rtl/>
          <w:lang w:eastAsia="he-IL"/>
        </w:rPr>
        <w:t>רימון</w:t>
      </w:r>
      <w:r w:rsidRPr="006E5698">
        <w:rPr>
          <w:rFonts w:ascii="Calibri Light" w:hAnsi="Calibri Light"/>
          <w:rtl/>
          <w:lang w:eastAsia="he-IL"/>
        </w:rPr>
        <w:t xml:space="preserve">. </w:t>
      </w:r>
    </w:p>
    <w:p w14:paraId="722DB422" w14:textId="77777777" w:rsidR="00D86C64" w:rsidRPr="006E5698" w:rsidRDefault="00D86C64" w:rsidP="00D86C64">
      <w:pPr>
        <w:spacing w:line="360" w:lineRule="auto"/>
        <w:jc w:val="both"/>
        <w:rPr>
          <w:rFonts w:ascii="Calibri Light" w:hAnsi="Calibri Light"/>
          <w:rtl/>
          <w:lang w:eastAsia="he-IL"/>
        </w:rPr>
      </w:pPr>
    </w:p>
    <w:p w14:paraId="5E64750F" w14:textId="77777777" w:rsidR="00D86C64" w:rsidRPr="006E5698" w:rsidRDefault="00D86C64" w:rsidP="00D86C64">
      <w:pPr>
        <w:spacing w:line="360" w:lineRule="auto"/>
        <w:jc w:val="both"/>
        <w:rPr>
          <w:rFonts w:ascii="Calibri Light" w:hAnsi="Calibri Light"/>
          <w:rtl/>
          <w:lang w:eastAsia="he-IL"/>
        </w:rPr>
      </w:pPr>
      <w:r w:rsidRPr="006E5698">
        <w:rPr>
          <w:rFonts w:ascii="Calibri Light" w:hAnsi="Calibri Light" w:hint="eastAsia"/>
          <w:rtl/>
          <w:lang w:eastAsia="he-IL"/>
        </w:rPr>
        <w:t>העבירות</w:t>
      </w:r>
      <w:r w:rsidRPr="006E5698">
        <w:rPr>
          <w:rFonts w:ascii="Calibri Light" w:hAnsi="Calibri Light"/>
          <w:rtl/>
          <w:lang w:eastAsia="he-IL"/>
        </w:rPr>
        <w:t xml:space="preserve"> </w:t>
      </w:r>
      <w:r w:rsidRPr="006E5698">
        <w:rPr>
          <w:rFonts w:ascii="Calibri Light" w:hAnsi="Calibri Light" w:hint="eastAsia"/>
          <w:rtl/>
          <w:lang w:eastAsia="he-IL"/>
        </w:rPr>
        <w:t>אשר</w:t>
      </w:r>
      <w:r w:rsidRPr="006E5698">
        <w:rPr>
          <w:rFonts w:ascii="Calibri Light" w:hAnsi="Calibri Light"/>
          <w:rtl/>
          <w:lang w:eastAsia="he-IL"/>
        </w:rPr>
        <w:t xml:space="preserve"> </w:t>
      </w:r>
      <w:r w:rsidRPr="006E5698">
        <w:rPr>
          <w:rFonts w:ascii="Calibri Light" w:hAnsi="Calibri Light" w:hint="eastAsia"/>
          <w:rtl/>
          <w:lang w:eastAsia="he-IL"/>
        </w:rPr>
        <w:t>ביצעו</w:t>
      </w:r>
      <w:r w:rsidRPr="006E5698">
        <w:rPr>
          <w:rFonts w:ascii="Calibri Light" w:hAnsi="Calibri Light"/>
          <w:rtl/>
          <w:lang w:eastAsia="he-IL"/>
        </w:rPr>
        <w:t xml:space="preserve"> </w:t>
      </w:r>
      <w:r w:rsidRPr="006E5698">
        <w:rPr>
          <w:rFonts w:ascii="Calibri Light" w:hAnsi="Calibri Light" w:hint="eastAsia"/>
          <w:rtl/>
          <w:lang w:eastAsia="he-IL"/>
        </w:rPr>
        <w:t>הנאשמים</w:t>
      </w:r>
      <w:r w:rsidRPr="006E5698">
        <w:rPr>
          <w:rFonts w:ascii="Calibri Light" w:hAnsi="Calibri Light"/>
          <w:rtl/>
          <w:lang w:eastAsia="he-IL"/>
        </w:rPr>
        <w:t xml:space="preserve"> </w:t>
      </w:r>
      <w:r w:rsidRPr="006E5698">
        <w:rPr>
          <w:rFonts w:ascii="Calibri Light" w:hAnsi="Calibri Light" w:hint="eastAsia"/>
          <w:rtl/>
          <w:lang w:eastAsia="he-IL"/>
        </w:rPr>
        <w:t>הינן</w:t>
      </w:r>
      <w:r w:rsidRPr="006E5698">
        <w:rPr>
          <w:rFonts w:ascii="Calibri Light" w:hAnsi="Calibri Light"/>
          <w:rtl/>
          <w:lang w:eastAsia="he-IL"/>
        </w:rPr>
        <w:t xml:space="preserve"> </w:t>
      </w:r>
      <w:r w:rsidRPr="006E5698">
        <w:rPr>
          <w:rFonts w:ascii="Calibri Light" w:hAnsi="Calibri Light" w:hint="eastAsia"/>
          <w:rtl/>
          <w:lang w:eastAsia="he-IL"/>
        </w:rPr>
        <w:t>עבירות</w:t>
      </w:r>
      <w:r w:rsidRPr="006E5698">
        <w:rPr>
          <w:rFonts w:ascii="Calibri Light" w:hAnsi="Calibri Light"/>
          <w:rtl/>
          <w:lang w:eastAsia="he-IL"/>
        </w:rPr>
        <w:t xml:space="preserve"> </w:t>
      </w:r>
      <w:r w:rsidRPr="006E5698">
        <w:rPr>
          <w:rFonts w:ascii="Calibri Light" w:hAnsi="Calibri Light" w:hint="eastAsia"/>
          <w:rtl/>
          <w:lang w:eastAsia="he-IL"/>
        </w:rPr>
        <w:t>חמורות</w:t>
      </w:r>
      <w:r w:rsidRPr="006E5698">
        <w:rPr>
          <w:rFonts w:ascii="Calibri Light" w:hAnsi="Calibri Light"/>
          <w:rtl/>
          <w:lang w:eastAsia="he-IL"/>
        </w:rPr>
        <w:t xml:space="preserve">, </w:t>
      </w:r>
      <w:r w:rsidRPr="006E5698">
        <w:rPr>
          <w:rFonts w:ascii="Calibri Light" w:hAnsi="Calibri Light" w:hint="eastAsia"/>
          <w:rtl/>
          <w:lang w:eastAsia="he-IL"/>
        </w:rPr>
        <w:t>בפרט</w:t>
      </w:r>
      <w:r w:rsidRPr="006E5698">
        <w:rPr>
          <w:rFonts w:ascii="Calibri Light" w:hAnsi="Calibri Light"/>
          <w:rtl/>
          <w:lang w:eastAsia="he-IL"/>
        </w:rPr>
        <w:t xml:space="preserve"> </w:t>
      </w:r>
      <w:r w:rsidRPr="006E5698">
        <w:rPr>
          <w:rFonts w:ascii="Calibri Light" w:hAnsi="Calibri Light" w:hint="eastAsia"/>
          <w:rtl/>
          <w:lang w:eastAsia="he-IL"/>
        </w:rPr>
        <w:t>בנסיבות</w:t>
      </w:r>
      <w:r w:rsidRPr="006E5698">
        <w:rPr>
          <w:rFonts w:ascii="Calibri Light" w:hAnsi="Calibri Light"/>
          <w:rtl/>
          <w:lang w:eastAsia="he-IL"/>
        </w:rPr>
        <w:t xml:space="preserve"> </w:t>
      </w:r>
      <w:r w:rsidRPr="006E5698">
        <w:rPr>
          <w:rFonts w:ascii="Calibri Light" w:hAnsi="Calibri Light" w:hint="eastAsia"/>
          <w:rtl/>
          <w:lang w:eastAsia="he-IL"/>
        </w:rPr>
        <w:t>ביצוען</w:t>
      </w:r>
      <w:r w:rsidRPr="006E5698">
        <w:rPr>
          <w:rFonts w:ascii="Calibri Light" w:hAnsi="Calibri Light"/>
          <w:rtl/>
          <w:lang w:eastAsia="he-IL"/>
        </w:rPr>
        <w:t xml:space="preserve">, </w:t>
      </w:r>
      <w:r w:rsidRPr="006E5698">
        <w:rPr>
          <w:rFonts w:ascii="Calibri Light" w:hAnsi="Calibri Light" w:hint="eastAsia"/>
          <w:rtl/>
          <w:lang w:eastAsia="he-IL"/>
        </w:rPr>
        <w:t>הסתננות</w:t>
      </w:r>
      <w:r w:rsidRPr="006E5698">
        <w:rPr>
          <w:rFonts w:ascii="Calibri Light" w:hAnsi="Calibri Light"/>
          <w:rtl/>
          <w:lang w:eastAsia="he-IL"/>
        </w:rPr>
        <w:t xml:space="preserve"> </w:t>
      </w:r>
      <w:r w:rsidRPr="006E5698">
        <w:rPr>
          <w:rFonts w:ascii="Calibri Light" w:hAnsi="Calibri Light" w:hint="eastAsia"/>
          <w:rtl/>
          <w:lang w:eastAsia="he-IL"/>
        </w:rPr>
        <w:t>עם</w:t>
      </w:r>
      <w:r w:rsidRPr="006E5698">
        <w:rPr>
          <w:rFonts w:ascii="Calibri Light" w:hAnsi="Calibri Light"/>
          <w:rtl/>
          <w:lang w:eastAsia="he-IL"/>
        </w:rPr>
        <w:t xml:space="preserve"> </w:t>
      </w:r>
      <w:r w:rsidRPr="006E5698">
        <w:rPr>
          <w:rFonts w:ascii="Calibri Light" w:hAnsi="Calibri Light" w:hint="eastAsia"/>
          <w:rtl/>
          <w:lang w:eastAsia="he-IL"/>
        </w:rPr>
        <w:t>רימון</w:t>
      </w:r>
      <w:r w:rsidRPr="006E5698">
        <w:rPr>
          <w:rFonts w:ascii="Calibri Light" w:hAnsi="Calibri Light"/>
          <w:rtl/>
          <w:lang w:eastAsia="he-IL"/>
        </w:rPr>
        <w:t xml:space="preserve"> </w:t>
      </w:r>
      <w:r w:rsidRPr="006E5698">
        <w:rPr>
          <w:rFonts w:ascii="Calibri Light" w:hAnsi="Calibri Light" w:hint="eastAsia"/>
          <w:rtl/>
          <w:lang w:eastAsia="he-IL"/>
        </w:rPr>
        <w:t>רסס</w:t>
      </w:r>
      <w:r w:rsidRPr="006E5698">
        <w:rPr>
          <w:rFonts w:ascii="Calibri Light" w:hAnsi="Calibri Light"/>
          <w:rtl/>
          <w:lang w:eastAsia="he-IL"/>
        </w:rPr>
        <w:t xml:space="preserve"> </w:t>
      </w:r>
      <w:r w:rsidRPr="006E5698">
        <w:rPr>
          <w:rFonts w:ascii="Calibri Light" w:hAnsi="Calibri Light" w:hint="eastAsia"/>
          <w:rtl/>
          <w:lang w:eastAsia="he-IL"/>
        </w:rPr>
        <w:t>שהינו</w:t>
      </w:r>
      <w:r w:rsidRPr="006E5698">
        <w:rPr>
          <w:rFonts w:ascii="Calibri Light" w:hAnsi="Calibri Light"/>
          <w:rtl/>
          <w:lang w:eastAsia="he-IL"/>
        </w:rPr>
        <w:t xml:space="preserve"> </w:t>
      </w:r>
      <w:r w:rsidRPr="006E5698">
        <w:rPr>
          <w:rFonts w:ascii="Calibri Light" w:hAnsi="Calibri Light" w:hint="eastAsia"/>
          <w:rtl/>
          <w:lang w:eastAsia="he-IL"/>
        </w:rPr>
        <w:t>כלי</w:t>
      </w:r>
      <w:r w:rsidRPr="006E5698">
        <w:rPr>
          <w:rFonts w:ascii="Calibri Light" w:hAnsi="Calibri Light"/>
          <w:rtl/>
          <w:lang w:eastAsia="he-IL"/>
        </w:rPr>
        <w:t xml:space="preserve"> </w:t>
      </w:r>
      <w:r w:rsidRPr="006E5698">
        <w:rPr>
          <w:rFonts w:ascii="Calibri Light" w:hAnsi="Calibri Light" w:hint="eastAsia"/>
          <w:rtl/>
          <w:lang w:eastAsia="he-IL"/>
        </w:rPr>
        <w:t>נשק</w:t>
      </w:r>
      <w:r w:rsidRPr="006E5698">
        <w:rPr>
          <w:rFonts w:ascii="Calibri Light" w:hAnsi="Calibri Light"/>
          <w:rtl/>
          <w:lang w:eastAsia="he-IL"/>
        </w:rPr>
        <w:t xml:space="preserve"> </w:t>
      </w:r>
      <w:r w:rsidRPr="006E5698">
        <w:rPr>
          <w:rFonts w:ascii="Calibri Light" w:hAnsi="Calibri Light" w:hint="eastAsia"/>
          <w:rtl/>
          <w:lang w:eastAsia="he-IL"/>
        </w:rPr>
        <w:t>שבכוחו</w:t>
      </w:r>
      <w:r w:rsidRPr="006E5698">
        <w:rPr>
          <w:rFonts w:ascii="Calibri Light" w:hAnsi="Calibri Light"/>
          <w:rtl/>
          <w:lang w:eastAsia="he-IL"/>
        </w:rPr>
        <w:t xml:space="preserve"> </w:t>
      </w:r>
      <w:r w:rsidRPr="006E5698">
        <w:rPr>
          <w:rFonts w:ascii="Calibri Light" w:hAnsi="Calibri Light" w:hint="eastAsia"/>
          <w:rtl/>
          <w:lang w:eastAsia="he-IL"/>
        </w:rPr>
        <w:t>להמית</w:t>
      </w:r>
      <w:r w:rsidRPr="006E5698">
        <w:rPr>
          <w:rFonts w:ascii="Calibri Light" w:hAnsi="Calibri Light"/>
          <w:rtl/>
          <w:lang w:eastAsia="he-IL"/>
        </w:rPr>
        <w:t xml:space="preserve">, </w:t>
      </w:r>
      <w:r w:rsidRPr="006E5698">
        <w:rPr>
          <w:rFonts w:ascii="Calibri Light" w:hAnsi="Calibri Light" w:hint="eastAsia"/>
          <w:rtl/>
          <w:lang w:eastAsia="he-IL"/>
        </w:rPr>
        <w:t>ועם</w:t>
      </w:r>
      <w:r w:rsidRPr="006E5698">
        <w:rPr>
          <w:rFonts w:ascii="Calibri Light" w:hAnsi="Calibri Light"/>
          <w:rtl/>
          <w:lang w:eastAsia="he-IL"/>
        </w:rPr>
        <w:t xml:space="preserve"> </w:t>
      </w:r>
      <w:r w:rsidRPr="006E5698">
        <w:rPr>
          <w:rFonts w:ascii="Calibri Light" w:hAnsi="Calibri Light" w:hint="eastAsia"/>
          <w:rtl/>
          <w:lang w:eastAsia="he-IL"/>
        </w:rPr>
        <w:t>סכין</w:t>
      </w:r>
      <w:r w:rsidRPr="006E5698">
        <w:rPr>
          <w:rFonts w:ascii="Calibri Light" w:hAnsi="Calibri Light"/>
          <w:rtl/>
          <w:lang w:eastAsia="he-IL"/>
        </w:rPr>
        <w:t xml:space="preserve">, </w:t>
      </w:r>
      <w:r w:rsidRPr="006E5698">
        <w:rPr>
          <w:rFonts w:ascii="Calibri Light" w:hAnsi="Calibri Light" w:hint="eastAsia"/>
          <w:rtl/>
          <w:lang w:eastAsia="he-IL"/>
        </w:rPr>
        <w:t>מהגבול</w:t>
      </w:r>
      <w:r w:rsidRPr="006E5698">
        <w:rPr>
          <w:rFonts w:ascii="Calibri Light" w:hAnsi="Calibri Light"/>
          <w:rtl/>
          <w:lang w:eastAsia="he-IL"/>
        </w:rPr>
        <w:t xml:space="preserve"> </w:t>
      </w:r>
      <w:r w:rsidRPr="006E5698">
        <w:rPr>
          <w:rFonts w:ascii="Calibri Light" w:hAnsi="Calibri Light" w:hint="eastAsia"/>
          <w:rtl/>
          <w:lang w:eastAsia="he-IL"/>
        </w:rPr>
        <w:t>בו</w:t>
      </w:r>
      <w:r w:rsidRPr="006E5698">
        <w:rPr>
          <w:rFonts w:ascii="Calibri Light" w:hAnsi="Calibri Light"/>
          <w:rtl/>
          <w:lang w:eastAsia="he-IL"/>
        </w:rPr>
        <w:t xml:space="preserve"> </w:t>
      </w:r>
      <w:r w:rsidRPr="006E5698">
        <w:rPr>
          <w:rFonts w:ascii="Calibri Light" w:hAnsi="Calibri Light" w:hint="eastAsia"/>
          <w:rtl/>
          <w:lang w:eastAsia="he-IL"/>
        </w:rPr>
        <w:t>ההיבט</w:t>
      </w:r>
      <w:r w:rsidRPr="006E5698">
        <w:rPr>
          <w:rFonts w:ascii="Calibri Light" w:hAnsi="Calibri Light"/>
          <w:rtl/>
          <w:lang w:eastAsia="he-IL"/>
        </w:rPr>
        <w:t xml:space="preserve"> </w:t>
      </w:r>
      <w:r w:rsidRPr="006E5698">
        <w:rPr>
          <w:rFonts w:ascii="Calibri Light" w:hAnsi="Calibri Light" w:hint="eastAsia"/>
          <w:rtl/>
          <w:lang w:eastAsia="he-IL"/>
        </w:rPr>
        <w:t>הביטחוני</w:t>
      </w:r>
      <w:r w:rsidRPr="006E5698">
        <w:rPr>
          <w:rFonts w:ascii="Calibri Light" w:hAnsi="Calibri Light"/>
          <w:rtl/>
          <w:lang w:eastAsia="he-IL"/>
        </w:rPr>
        <w:t xml:space="preserve"> </w:t>
      </w:r>
      <w:r w:rsidRPr="006E5698">
        <w:rPr>
          <w:rFonts w:ascii="Calibri Light" w:hAnsi="Calibri Light" w:hint="eastAsia"/>
          <w:rtl/>
          <w:lang w:eastAsia="he-IL"/>
        </w:rPr>
        <w:t>לאירועים</w:t>
      </w:r>
      <w:r w:rsidRPr="006E5698">
        <w:rPr>
          <w:rFonts w:ascii="Calibri Light" w:hAnsi="Calibri Light"/>
          <w:rtl/>
          <w:lang w:eastAsia="he-IL"/>
        </w:rPr>
        <w:t xml:space="preserve"> </w:t>
      </w:r>
      <w:r w:rsidRPr="006E5698">
        <w:rPr>
          <w:rFonts w:ascii="Calibri Light" w:hAnsi="Calibri Light" w:hint="eastAsia"/>
          <w:rtl/>
          <w:lang w:eastAsia="he-IL"/>
        </w:rPr>
        <w:t>בו</w:t>
      </w:r>
      <w:r w:rsidRPr="006E5698">
        <w:rPr>
          <w:rFonts w:ascii="Calibri Light" w:hAnsi="Calibri Light"/>
          <w:rtl/>
          <w:lang w:eastAsia="he-IL"/>
        </w:rPr>
        <w:t xml:space="preserve"> </w:t>
      </w:r>
      <w:r w:rsidRPr="006E5698">
        <w:rPr>
          <w:rFonts w:ascii="Calibri Light" w:hAnsi="Calibri Light" w:hint="eastAsia"/>
          <w:rtl/>
          <w:lang w:eastAsia="he-IL"/>
        </w:rPr>
        <w:t>חמור</w:t>
      </w:r>
      <w:r w:rsidRPr="006E5698">
        <w:rPr>
          <w:rFonts w:ascii="Calibri Light" w:hAnsi="Calibri Light"/>
          <w:rtl/>
          <w:lang w:eastAsia="he-IL"/>
        </w:rPr>
        <w:t xml:space="preserve">, </w:t>
      </w:r>
      <w:r w:rsidRPr="006E5698">
        <w:rPr>
          <w:rFonts w:ascii="Calibri Light" w:hAnsi="Calibri Light" w:hint="eastAsia"/>
          <w:rtl/>
          <w:lang w:eastAsia="he-IL"/>
        </w:rPr>
        <w:t>על</w:t>
      </w:r>
      <w:r w:rsidRPr="006E5698">
        <w:rPr>
          <w:rFonts w:ascii="Calibri Light" w:hAnsi="Calibri Light"/>
          <w:rtl/>
          <w:lang w:eastAsia="he-IL"/>
        </w:rPr>
        <w:t xml:space="preserve"> </w:t>
      </w:r>
      <w:r w:rsidRPr="006E5698">
        <w:rPr>
          <w:rFonts w:ascii="Calibri Light" w:hAnsi="Calibri Light" w:hint="eastAsia"/>
          <w:rtl/>
          <w:lang w:eastAsia="he-IL"/>
        </w:rPr>
        <w:t>רקע</w:t>
      </w:r>
      <w:r w:rsidRPr="006E5698">
        <w:rPr>
          <w:rFonts w:ascii="Calibri Light" w:hAnsi="Calibri Light"/>
          <w:rtl/>
          <w:lang w:eastAsia="he-IL"/>
        </w:rPr>
        <w:t xml:space="preserve"> </w:t>
      </w:r>
      <w:r w:rsidRPr="006E5698">
        <w:rPr>
          <w:rFonts w:ascii="Calibri Light" w:hAnsi="Calibri Light" w:hint="eastAsia"/>
          <w:rtl/>
          <w:lang w:eastAsia="he-IL"/>
        </w:rPr>
        <w:t>המציאות</w:t>
      </w:r>
      <w:r w:rsidRPr="006E5698">
        <w:rPr>
          <w:rFonts w:ascii="Calibri Light" w:hAnsi="Calibri Light"/>
          <w:rtl/>
          <w:lang w:eastAsia="he-IL"/>
        </w:rPr>
        <w:t xml:space="preserve"> </w:t>
      </w:r>
      <w:r w:rsidRPr="006E5698">
        <w:rPr>
          <w:rFonts w:ascii="Calibri Light" w:hAnsi="Calibri Light" w:hint="eastAsia"/>
          <w:rtl/>
          <w:lang w:eastAsia="he-IL"/>
        </w:rPr>
        <w:t>הביטחונית</w:t>
      </w:r>
      <w:r w:rsidRPr="006E5698">
        <w:rPr>
          <w:rFonts w:ascii="Calibri Light" w:hAnsi="Calibri Light"/>
          <w:rtl/>
          <w:lang w:eastAsia="he-IL"/>
        </w:rPr>
        <w:t xml:space="preserve"> </w:t>
      </w:r>
      <w:r w:rsidRPr="006E5698">
        <w:rPr>
          <w:rFonts w:ascii="Calibri Light" w:hAnsi="Calibri Light" w:hint="eastAsia"/>
          <w:rtl/>
          <w:lang w:eastAsia="he-IL"/>
        </w:rPr>
        <w:t>במקום</w:t>
      </w:r>
      <w:r w:rsidRPr="006E5698">
        <w:rPr>
          <w:rFonts w:ascii="Calibri Light" w:hAnsi="Calibri Light"/>
          <w:rtl/>
          <w:lang w:eastAsia="he-IL"/>
        </w:rPr>
        <w:t xml:space="preserve">. </w:t>
      </w:r>
    </w:p>
    <w:p w14:paraId="4EEBB244" w14:textId="77777777" w:rsidR="00D86C64" w:rsidRPr="006E5698" w:rsidRDefault="00D86C64" w:rsidP="00D86C64">
      <w:pPr>
        <w:spacing w:line="360" w:lineRule="auto"/>
        <w:jc w:val="both"/>
        <w:rPr>
          <w:rFonts w:ascii="Calibri Light" w:hAnsi="Calibri Light"/>
          <w:rtl/>
          <w:lang w:eastAsia="he-IL"/>
        </w:rPr>
      </w:pPr>
    </w:p>
    <w:p w14:paraId="4322B12C" w14:textId="77777777" w:rsidR="00D86C64" w:rsidRPr="006E5698" w:rsidRDefault="00D86C64" w:rsidP="00D86C64">
      <w:pPr>
        <w:spacing w:line="360" w:lineRule="auto"/>
        <w:jc w:val="both"/>
        <w:rPr>
          <w:rFonts w:ascii="Calibri Light" w:hAnsi="Calibri Light"/>
          <w:rtl/>
          <w:lang w:eastAsia="he-IL"/>
        </w:rPr>
      </w:pPr>
      <w:r w:rsidRPr="006E5698">
        <w:rPr>
          <w:rFonts w:ascii="Calibri Light" w:hAnsi="Calibri Light" w:hint="eastAsia"/>
          <w:rtl/>
          <w:lang w:eastAsia="he-IL"/>
        </w:rPr>
        <w:t>להסתננות</w:t>
      </w:r>
      <w:r w:rsidRPr="006E5698">
        <w:rPr>
          <w:rFonts w:ascii="Calibri Light" w:hAnsi="Calibri Light"/>
          <w:rtl/>
          <w:lang w:eastAsia="he-IL"/>
        </w:rPr>
        <w:t xml:space="preserve"> </w:t>
      </w:r>
      <w:r w:rsidRPr="006E5698">
        <w:rPr>
          <w:rFonts w:ascii="Calibri Light" w:hAnsi="Calibri Light" w:hint="eastAsia"/>
          <w:rtl/>
          <w:lang w:eastAsia="he-IL"/>
        </w:rPr>
        <w:t>השלכות</w:t>
      </w:r>
      <w:r w:rsidRPr="006E5698">
        <w:rPr>
          <w:rFonts w:ascii="Calibri Light" w:hAnsi="Calibri Light"/>
          <w:rtl/>
          <w:lang w:eastAsia="he-IL"/>
        </w:rPr>
        <w:t xml:space="preserve"> </w:t>
      </w:r>
      <w:r w:rsidRPr="006E5698">
        <w:rPr>
          <w:rFonts w:ascii="Calibri Light" w:hAnsi="Calibri Light" w:hint="eastAsia"/>
          <w:rtl/>
          <w:lang w:eastAsia="he-IL"/>
        </w:rPr>
        <w:t>ביטחוניות</w:t>
      </w:r>
      <w:r w:rsidRPr="006E5698">
        <w:rPr>
          <w:rFonts w:ascii="Calibri Light" w:hAnsi="Calibri Light"/>
          <w:rtl/>
          <w:lang w:eastAsia="he-IL"/>
        </w:rPr>
        <w:t xml:space="preserve"> </w:t>
      </w:r>
      <w:r w:rsidRPr="006E5698">
        <w:rPr>
          <w:rFonts w:ascii="Calibri Light" w:hAnsi="Calibri Light" w:hint="eastAsia"/>
          <w:rtl/>
          <w:lang w:eastAsia="he-IL"/>
        </w:rPr>
        <w:t>ברורות</w:t>
      </w:r>
      <w:r w:rsidRPr="006E5698">
        <w:rPr>
          <w:rFonts w:ascii="Calibri Light" w:hAnsi="Calibri Light"/>
          <w:rtl/>
          <w:lang w:eastAsia="he-IL"/>
        </w:rPr>
        <w:t xml:space="preserve">, </w:t>
      </w:r>
      <w:r w:rsidRPr="006E5698">
        <w:rPr>
          <w:rFonts w:ascii="Calibri Light" w:hAnsi="Calibri Light" w:hint="eastAsia"/>
          <w:rtl/>
          <w:lang w:eastAsia="he-IL"/>
        </w:rPr>
        <w:t>ותוצאתה</w:t>
      </w:r>
      <w:r w:rsidRPr="006E5698">
        <w:rPr>
          <w:rFonts w:ascii="Calibri Light" w:hAnsi="Calibri Light"/>
          <w:rtl/>
          <w:lang w:eastAsia="he-IL"/>
        </w:rPr>
        <w:t xml:space="preserve"> </w:t>
      </w:r>
      <w:r w:rsidRPr="006E5698">
        <w:rPr>
          <w:rFonts w:ascii="Calibri Light" w:hAnsi="Calibri Light" w:hint="eastAsia"/>
          <w:rtl/>
          <w:lang w:eastAsia="he-IL"/>
        </w:rPr>
        <w:t>הקצאת</w:t>
      </w:r>
      <w:r w:rsidRPr="006E5698">
        <w:rPr>
          <w:rFonts w:ascii="Calibri Light" w:hAnsi="Calibri Light"/>
          <w:rtl/>
          <w:lang w:eastAsia="he-IL"/>
        </w:rPr>
        <w:t xml:space="preserve"> </w:t>
      </w:r>
      <w:r w:rsidRPr="006E5698">
        <w:rPr>
          <w:rFonts w:ascii="Calibri Light" w:hAnsi="Calibri Light" w:hint="eastAsia"/>
          <w:rtl/>
          <w:lang w:eastAsia="he-IL"/>
        </w:rPr>
        <w:t>כוחות</w:t>
      </w:r>
      <w:r w:rsidRPr="006E5698">
        <w:rPr>
          <w:rFonts w:ascii="Calibri Light" w:hAnsi="Calibri Light"/>
          <w:rtl/>
          <w:lang w:eastAsia="he-IL"/>
        </w:rPr>
        <w:t xml:space="preserve"> </w:t>
      </w:r>
      <w:r w:rsidRPr="006E5698">
        <w:rPr>
          <w:rFonts w:ascii="Calibri Light" w:hAnsi="Calibri Light" w:hint="eastAsia"/>
          <w:rtl/>
          <w:lang w:eastAsia="he-IL"/>
        </w:rPr>
        <w:t>צבא</w:t>
      </w:r>
      <w:r w:rsidRPr="006E5698">
        <w:rPr>
          <w:rFonts w:ascii="Calibri Light" w:hAnsi="Calibri Light"/>
          <w:rtl/>
          <w:lang w:eastAsia="he-IL"/>
        </w:rPr>
        <w:t xml:space="preserve"> </w:t>
      </w:r>
      <w:r w:rsidRPr="006E5698">
        <w:rPr>
          <w:rFonts w:ascii="Calibri Light" w:hAnsi="Calibri Light" w:hint="eastAsia"/>
          <w:rtl/>
          <w:lang w:eastAsia="he-IL"/>
        </w:rPr>
        <w:t>לאירוע</w:t>
      </w:r>
      <w:r w:rsidRPr="006E5698">
        <w:rPr>
          <w:rFonts w:ascii="Calibri Light" w:hAnsi="Calibri Light"/>
          <w:rtl/>
          <w:lang w:eastAsia="he-IL"/>
        </w:rPr>
        <w:t xml:space="preserve"> </w:t>
      </w:r>
      <w:r w:rsidRPr="006E5698">
        <w:rPr>
          <w:rFonts w:ascii="Calibri Light" w:hAnsi="Calibri Light" w:hint="eastAsia"/>
          <w:rtl/>
          <w:lang w:eastAsia="he-IL"/>
        </w:rPr>
        <w:t>ההסתננות</w:t>
      </w:r>
      <w:r w:rsidRPr="006E5698">
        <w:rPr>
          <w:rFonts w:ascii="Calibri Light" w:hAnsi="Calibri Light"/>
          <w:rtl/>
          <w:lang w:eastAsia="he-IL"/>
        </w:rPr>
        <w:t xml:space="preserve">, </w:t>
      </w:r>
      <w:r w:rsidRPr="006E5698">
        <w:rPr>
          <w:rFonts w:ascii="Calibri Light" w:hAnsi="Calibri Light" w:hint="eastAsia"/>
          <w:rtl/>
          <w:lang w:eastAsia="he-IL"/>
        </w:rPr>
        <w:t>העמדת</w:t>
      </w:r>
      <w:r w:rsidRPr="006E5698">
        <w:rPr>
          <w:rFonts w:ascii="Calibri Light" w:hAnsi="Calibri Light"/>
          <w:rtl/>
          <w:lang w:eastAsia="he-IL"/>
        </w:rPr>
        <w:t xml:space="preserve"> </w:t>
      </w:r>
      <w:r w:rsidRPr="006E5698">
        <w:rPr>
          <w:rFonts w:ascii="Calibri Light" w:hAnsi="Calibri Light" w:hint="eastAsia"/>
          <w:rtl/>
          <w:lang w:eastAsia="he-IL"/>
        </w:rPr>
        <w:t>כוחות</w:t>
      </w:r>
      <w:r w:rsidRPr="006E5698">
        <w:rPr>
          <w:rFonts w:ascii="Calibri Light" w:hAnsi="Calibri Light"/>
          <w:rtl/>
          <w:lang w:eastAsia="he-IL"/>
        </w:rPr>
        <w:t xml:space="preserve"> </w:t>
      </w:r>
      <w:r w:rsidRPr="006E5698">
        <w:rPr>
          <w:rFonts w:ascii="Calibri Light" w:hAnsi="Calibri Light" w:hint="eastAsia"/>
          <w:rtl/>
          <w:lang w:eastAsia="he-IL"/>
        </w:rPr>
        <w:t>הצבא</w:t>
      </w:r>
      <w:r w:rsidRPr="006E5698">
        <w:rPr>
          <w:rFonts w:ascii="Calibri Light" w:hAnsi="Calibri Light"/>
          <w:rtl/>
          <w:lang w:eastAsia="he-IL"/>
        </w:rPr>
        <w:t xml:space="preserve"> </w:t>
      </w:r>
      <w:r w:rsidRPr="006E5698">
        <w:rPr>
          <w:rFonts w:ascii="Calibri Light" w:hAnsi="Calibri Light" w:hint="eastAsia"/>
          <w:rtl/>
          <w:lang w:eastAsia="he-IL"/>
        </w:rPr>
        <w:t>בסיכון</w:t>
      </w:r>
      <w:r w:rsidRPr="006E5698">
        <w:rPr>
          <w:rFonts w:ascii="Calibri Light" w:hAnsi="Calibri Light"/>
          <w:rtl/>
          <w:lang w:eastAsia="he-IL"/>
        </w:rPr>
        <w:t xml:space="preserve"> </w:t>
      </w:r>
      <w:r w:rsidRPr="006E5698">
        <w:rPr>
          <w:rFonts w:ascii="Calibri Light" w:hAnsi="Calibri Light" w:hint="eastAsia"/>
          <w:rtl/>
          <w:lang w:eastAsia="he-IL"/>
        </w:rPr>
        <w:t>הכרוך</w:t>
      </w:r>
      <w:r w:rsidRPr="006E5698">
        <w:rPr>
          <w:rFonts w:ascii="Calibri Light" w:hAnsi="Calibri Light"/>
          <w:rtl/>
          <w:lang w:eastAsia="he-IL"/>
        </w:rPr>
        <w:t xml:space="preserve"> </w:t>
      </w:r>
      <w:r w:rsidRPr="006E5698">
        <w:rPr>
          <w:rFonts w:ascii="Calibri Light" w:hAnsi="Calibri Light" w:hint="eastAsia"/>
          <w:rtl/>
          <w:lang w:eastAsia="he-IL"/>
        </w:rPr>
        <w:t>בפעילות</w:t>
      </w:r>
      <w:r w:rsidRPr="006E5698">
        <w:rPr>
          <w:rFonts w:ascii="Calibri Light" w:hAnsi="Calibri Light"/>
          <w:rtl/>
          <w:lang w:eastAsia="he-IL"/>
        </w:rPr>
        <w:t xml:space="preserve"> </w:t>
      </w:r>
      <w:r w:rsidRPr="006E5698">
        <w:rPr>
          <w:rFonts w:ascii="Calibri Light" w:hAnsi="Calibri Light" w:hint="eastAsia"/>
          <w:rtl/>
          <w:lang w:eastAsia="he-IL"/>
        </w:rPr>
        <w:t>בקו</w:t>
      </w:r>
      <w:r w:rsidRPr="006E5698">
        <w:rPr>
          <w:rFonts w:ascii="Calibri Light" w:hAnsi="Calibri Light"/>
          <w:rtl/>
          <w:lang w:eastAsia="he-IL"/>
        </w:rPr>
        <w:t xml:space="preserve"> </w:t>
      </w:r>
      <w:r w:rsidRPr="006E5698">
        <w:rPr>
          <w:rFonts w:ascii="Calibri Light" w:hAnsi="Calibri Light" w:hint="eastAsia"/>
          <w:rtl/>
          <w:lang w:eastAsia="he-IL"/>
        </w:rPr>
        <w:t>הגבול</w:t>
      </w:r>
      <w:r w:rsidRPr="006E5698">
        <w:rPr>
          <w:rFonts w:ascii="Calibri Light" w:hAnsi="Calibri Light"/>
          <w:rtl/>
          <w:lang w:eastAsia="he-IL"/>
        </w:rPr>
        <w:t xml:space="preserve"> </w:t>
      </w:r>
      <w:r w:rsidRPr="006E5698">
        <w:rPr>
          <w:rFonts w:ascii="Calibri Light" w:hAnsi="Calibri Light" w:hint="eastAsia"/>
          <w:rtl/>
          <w:lang w:eastAsia="he-IL"/>
        </w:rPr>
        <w:t>והמשמעות</w:t>
      </w:r>
      <w:r w:rsidRPr="006E5698">
        <w:rPr>
          <w:rFonts w:ascii="Calibri Light" w:hAnsi="Calibri Light"/>
          <w:rtl/>
          <w:lang w:eastAsia="he-IL"/>
        </w:rPr>
        <w:t xml:space="preserve"> </w:t>
      </w:r>
      <w:r w:rsidRPr="006E5698">
        <w:rPr>
          <w:rFonts w:ascii="Calibri Light" w:hAnsi="Calibri Light" w:hint="eastAsia"/>
          <w:rtl/>
          <w:lang w:eastAsia="he-IL"/>
        </w:rPr>
        <w:t>הכספית</w:t>
      </w:r>
      <w:r w:rsidRPr="006E5698">
        <w:rPr>
          <w:rFonts w:ascii="Calibri Light" w:hAnsi="Calibri Light"/>
          <w:rtl/>
          <w:lang w:eastAsia="he-IL"/>
        </w:rPr>
        <w:t xml:space="preserve"> </w:t>
      </w:r>
      <w:r w:rsidRPr="006E5698">
        <w:rPr>
          <w:rFonts w:ascii="Calibri Light" w:hAnsi="Calibri Light" w:hint="eastAsia"/>
          <w:rtl/>
          <w:lang w:eastAsia="he-IL"/>
        </w:rPr>
        <w:t>הכרוכה</w:t>
      </w:r>
      <w:r w:rsidRPr="006E5698">
        <w:rPr>
          <w:rFonts w:ascii="Calibri Light" w:hAnsi="Calibri Light"/>
          <w:rtl/>
          <w:lang w:eastAsia="he-IL"/>
        </w:rPr>
        <w:t xml:space="preserve"> </w:t>
      </w:r>
      <w:r w:rsidRPr="006E5698">
        <w:rPr>
          <w:rFonts w:ascii="Calibri Light" w:hAnsi="Calibri Light" w:hint="eastAsia"/>
          <w:rtl/>
          <w:lang w:eastAsia="he-IL"/>
        </w:rPr>
        <w:t>בכך</w:t>
      </w:r>
      <w:r w:rsidRPr="006E5698">
        <w:rPr>
          <w:rFonts w:ascii="Calibri Light" w:hAnsi="Calibri Light"/>
          <w:rtl/>
          <w:lang w:eastAsia="he-IL"/>
        </w:rPr>
        <w:t xml:space="preserve">. </w:t>
      </w:r>
    </w:p>
    <w:p w14:paraId="24F3AFFD" w14:textId="77777777" w:rsidR="00D86C64" w:rsidRPr="006E5698" w:rsidRDefault="00D86C64" w:rsidP="00D86C64">
      <w:pPr>
        <w:spacing w:line="360" w:lineRule="auto"/>
        <w:jc w:val="both"/>
        <w:rPr>
          <w:rFonts w:ascii="Calibri Light" w:hAnsi="Calibri Light"/>
          <w:rtl/>
          <w:lang w:eastAsia="he-IL"/>
        </w:rPr>
      </w:pPr>
    </w:p>
    <w:p w14:paraId="33B34FEF" w14:textId="77777777" w:rsidR="00D86C64" w:rsidRPr="006E5698" w:rsidRDefault="00D86C64" w:rsidP="00D86C64">
      <w:pPr>
        <w:spacing w:line="360" w:lineRule="auto"/>
        <w:jc w:val="both"/>
        <w:rPr>
          <w:rFonts w:ascii="Calibri Light" w:hAnsi="Calibri Light"/>
          <w:rtl/>
          <w:lang w:eastAsia="he-IL"/>
        </w:rPr>
      </w:pPr>
      <w:r w:rsidRPr="006E5698">
        <w:rPr>
          <w:rFonts w:ascii="Calibri Light" w:hAnsi="Calibri Light" w:hint="eastAsia"/>
          <w:rtl/>
          <w:lang w:eastAsia="he-IL"/>
        </w:rPr>
        <w:t>בביצוע</w:t>
      </w:r>
      <w:r w:rsidRPr="006E5698">
        <w:rPr>
          <w:rFonts w:ascii="Calibri Light" w:hAnsi="Calibri Light"/>
          <w:rtl/>
          <w:lang w:eastAsia="he-IL"/>
        </w:rPr>
        <w:t xml:space="preserve"> </w:t>
      </w:r>
      <w:r w:rsidRPr="006E5698">
        <w:rPr>
          <w:rFonts w:ascii="Calibri Light" w:hAnsi="Calibri Light" w:hint="eastAsia"/>
          <w:rtl/>
          <w:lang w:eastAsia="he-IL"/>
        </w:rPr>
        <w:t>העבירות</w:t>
      </w:r>
      <w:r w:rsidRPr="006E5698">
        <w:rPr>
          <w:rFonts w:ascii="Calibri Light" w:hAnsi="Calibri Light"/>
          <w:rtl/>
          <w:lang w:eastAsia="he-IL"/>
        </w:rPr>
        <w:t xml:space="preserve"> </w:t>
      </w:r>
      <w:r w:rsidRPr="006E5698">
        <w:rPr>
          <w:rFonts w:ascii="Calibri Light" w:hAnsi="Calibri Light" w:hint="eastAsia"/>
          <w:rtl/>
          <w:lang w:eastAsia="he-IL"/>
        </w:rPr>
        <w:t>פגעו</w:t>
      </w:r>
      <w:r w:rsidRPr="006E5698">
        <w:rPr>
          <w:rFonts w:ascii="Calibri Light" w:hAnsi="Calibri Light"/>
          <w:rtl/>
          <w:lang w:eastAsia="he-IL"/>
        </w:rPr>
        <w:t xml:space="preserve"> </w:t>
      </w:r>
      <w:r w:rsidRPr="006E5698">
        <w:rPr>
          <w:rFonts w:ascii="Calibri Light" w:hAnsi="Calibri Light" w:hint="eastAsia"/>
          <w:rtl/>
          <w:lang w:eastAsia="he-IL"/>
        </w:rPr>
        <w:t>הנאשמים</w:t>
      </w:r>
      <w:r w:rsidRPr="006E5698">
        <w:rPr>
          <w:rFonts w:ascii="Calibri Light" w:hAnsi="Calibri Light"/>
          <w:rtl/>
          <w:lang w:eastAsia="he-IL"/>
        </w:rPr>
        <w:t xml:space="preserve"> </w:t>
      </w:r>
      <w:r w:rsidRPr="006E5698">
        <w:rPr>
          <w:rFonts w:ascii="Calibri Light" w:hAnsi="Calibri Light" w:hint="eastAsia"/>
          <w:rtl/>
          <w:lang w:eastAsia="he-IL"/>
        </w:rPr>
        <w:t>בערכים</w:t>
      </w:r>
      <w:r w:rsidRPr="006E5698">
        <w:rPr>
          <w:rFonts w:ascii="Calibri Light" w:hAnsi="Calibri Light"/>
          <w:rtl/>
          <w:lang w:eastAsia="he-IL"/>
        </w:rPr>
        <w:t xml:space="preserve"> </w:t>
      </w:r>
      <w:r w:rsidRPr="006E5698">
        <w:rPr>
          <w:rFonts w:ascii="Calibri Light" w:hAnsi="Calibri Light" w:hint="eastAsia"/>
          <w:rtl/>
          <w:lang w:eastAsia="he-IL"/>
        </w:rPr>
        <w:t>המוגנים</w:t>
      </w:r>
      <w:r w:rsidRPr="006E5698">
        <w:rPr>
          <w:rFonts w:ascii="Calibri Light" w:hAnsi="Calibri Light"/>
          <w:rtl/>
          <w:lang w:eastAsia="he-IL"/>
        </w:rPr>
        <w:t xml:space="preserve"> </w:t>
      </w:r>
      <w:r w:rsidRPr="006E5698">
        <w:rPr>
          <w:rFonts w:ascii="Calibri Light" w:hAnsi="Calibri Light" w:hint="eastAsia"/>
          <w:rtl/>
          <w:lang w:eastAsia="he-IL"/>
        </w:rPr>
        <w:t>שהם</w:t>
      </w:r>
      <w:r w:rsidRPr="006E5698">
        <w:rPr>
          <w:rFonts w:ascii="Calibri Light" w:hAnsi="Calibri Light"/>
          <w:rtl/>
          <w:lang w:eastAsia="he-IL"/>
        </w:rPr>
        <w:t xml:space="preserve"> </w:t>
      </w:r>
      <w:r w:rsidRPr="006E5698">
        <w:rPr>
          <w:rFonts w:ascii="Calibri Light" w:hAnsi="Calibri Light" w:hint="eastAsia"/>
          <w:rtl/>
          <w:lang w:eastAsia="he-IL"/>
        </w:rPr>
        <w:t>בטחון</w:t>
      </w:r>
      <w:r w:rsidRPr="006E5698">
        <w:rPr>
          <w:rFonts w:ascii="Calibri Light" w:hAnsi="Calibri Light"/>
          <w:rtl/>
          <w:lang w:eastAsia="he-IL"/>
        </w:rPr>
        <w:t xml:space="preserve"> </w:t>
      </w:r>
      <w:r w:rsidRPr="006E5698">
        <w:rPr>
          <w:rFonts w:ascii="Calibri Light" w:hAnsi="Calibri Light" w:hint="eastAsia"/>
          <w:rtl/>
          <w:lang w:eastAsia="he-IL"/>
        </w:rPr>
        <w:t>המדינה</w:t>
      </w:r>
      <w:r w:rsidRPr="006E5698">
        <w:rPr>
          <w:rFonts w:ascii="Calibri Light" w:hAnsi="Calibri Light"/>
          <w:rtl/>
          <w:lang w:eastAsia="he-IL"/>
        </w:rPr>
        <w:t xml:space="preserve"> </w:t>
      </w:r>
      <w:r w:rsidRPr="006E5698">
        <w:rPr>
          <w:rFonts w:ascii="Calibri Light" w:hAnsi="Calibri Light" w:hint="eastAsia"/>
          <w:rtl/>
          <w:lang w:eastAsia="he-IL"/>
        </w:rPr>
        <w:t>ובטחון</w:t>
      </w:r>
      <w:r w:rsidRPr="006E5698">
        <w:rPr>
          <w:rFonts w:ascii="Calibri Light" w:hAnsi="Calibri Light"/>
          <w:rtl/>
          <w:lang w:eastAsia="he-IL"/>
        </w:rPr>
        <w:t xml:space="preserve"> </w:t>
      </w:r>
      <w:r w:rsidRPr="006E5698">
        <w:rPr>
          <w:rFonts w:ascii="Calibri Light" w:hAnsi="Calibri Light" w:hint="eastAsia"/>
          <w:rtl/>
          <w:lang w:eastAsia="he-IL"/>
        </w:rPr>
        <w:t>חייליה</w:t>
      </w:r>
      <w:r w:rsidRPr="006E5698">
        <w:rPr>
          <w:rFonts w:ascii="Calibri Light" w:hAnsi="Calibri Light"/>
          <w:rtl/>
          <w:lang w:eastAsia="he-IL"/>
        </w:rPr>
        <w:t xml:space="preserve"> </w:t>
      </w:r>
      <w:r w:rsidRPr="006E5698">
        <w:rPr>
          <w:rFonts w:ascii="Calibri Light" w:hAnsi="Calibri Light" w:hint="eastAsia"/>
          <w:rtl/>
          <w:lang w:eastAsia="he-IL"/>
        </w:rPr>
        <w:t>ואזרחיה</w:t>
      </w:r>
      <w:r w:rsidRPr="006E5698">
        <w:rPr>
          <w:rFonts w:ascii="Calibri Light" w:hAnsi="Calibri Light"/>
          <w:rtl/>
          <w:lang w:eastAsia="he-IL"/>
        </w:rPr>
        <w:t xml:space="preserve">, </w:t>
      </w:r>
      <w:r w:rsidRPr="006E5698">
        <w:rPr>
          <w:rFonts w:ascii="Calibri Light" w:hAnsi="Calibri Light" w:hint="eastAsia"/>
          <w:rtl/>
          <w:lang w:eastAsia="he-IL"/>
        </w:rPr>
        <w:t>ריבונות</w:t>
      </w:r>
      <w:r w:rsidRPr="006E5698">
        <w:rPr>
          <w:rFonts w:ascii="Calibri Light" w:hAnsi="Calibri Light"/>
          <w:rtl/>
          <w:lang w:eastAsia="he-IL"/>
        </w:rPr>
        <w:t xml:space="preserve"> </w:t>
      </w:r>
      <w:r w:rsidRPr="006E5698">
        <w:rPr>
          <w:rFonts w:ascii="Calibri Light" w:hAnsi="Calibri Light" w:hint="eastAsia"/>
          <w:rtl/>
          <w:lang w:eastAsia="he-IL"/>
        </w:rPr>
        <w:t>המדינה</w:t>
      </w:r>
      <w:r w:rsidRPr="006E5698">
        <w:rPr>
          <w:rFonts w:ascii="Calibri Light" w:hAnsi="Calibri Light"/>
          <w:rtl/>
          <w:lang w:eastAsia="he-IL"/>
        </w:rPr>
        <w:t xml:space="preserve"> </w:t>
      </w:r>
      <w:r w:rsidRPr="006E5698">
        <w:rPr>
          <w:rFonts w:ascii="Calibri Light" w:hAnsi="Calibri Light" w:hint="eastAsia"/>
          <w:rtl/>
          <w:lang w:eastAsia="he-IL"/>
        </w:rPr>
        <w:t>וסמכותה</w:t>
      </w:r>
      <w:r w:rsidRPr="006E5698">
        <w:rPr>
          <w:rFonts w:ascii="Calibri Light" w:hAnsi="Calibri Light"/>
          <w:rtl/>
          <w:lang w:eastAsia="he-IL"/>
        </w:rPr>
        <w:t xml:space="preserve"> </w:t>
      </w:r>
      <w:r w:rsidRPr="006E5698">
        <w:rPr>
          <w:rFonts w:ascii="Calibri Light" w:hAnsi="Calibri Light" w:hint="eastAsia"/>
          <w:rtl/>
          <w:lang w:eastAsia="he-IL"/>
        </w:rPr>
        <w:t>לקבוע</w:t>
      </w:r>
      <w:r w:rsidRPr="006E5698">
        <w:rPr>
          <w:rFonts w:ascii="Calibri Light" w:hAnsi="Calibri Light"/>
          <w:rtl/>
          <w:lang w:eastAsia="he-IL"/>
        </w:rPr>
        <w:t xml:space="preserve"> </w:t>
      </w:r>
      <w:r w:rsidRPr="006E5698">
        <w:rPr>
          <w:rFonts w:ascii="Calibri Light" w:hAnsi="Calibri Light" w:hint="eastAsia"/>
          <w:rtl/>
          <w:lang w:eastAsia="he-IL"/>
        </w:rPr>
        <w:t>מי</w:t>
      </w:r>
      <w:r w:rsidRPr="006E5698">
        <w:rPr>
          <w:rFonts w:ascii="Calibri Light" w:hAnsi="Calibri Light"/>
          <w:rtl/>
          <w:lang w:eastAsia="he-IL"/>
        </w:rPr>
        <w:t xml:space="preserve"> </w:t>
      </w:r>
      <w:r w:rsidRPr="006E5698">
        <w:rPr>
          <w:rFonts w:ascii="Calibri Light" w:hAnsi="Calibri Light" w:hint="eastAsia"/>
          <w:rtl/>
          <w:lang w:eastAsia="he-IL"/>
        </w:rPr>
        <w:t>יבוא</w:t>
      </w:r>
      <w:r w:rsidRPr="006E5698">
        <w:rPr>
          <w:rFonts w:ascii="Calibri Light" w:hAnsi="Calibri Light"/>
          <w:rtl/>
          <w:lang w:eastAsia="he-IL"/>
        </w:rPr>
        <w:t xml:space="preserve"> </w:t>
      </w:r>
      <w:r w:rsidRPr="006E5698">
        <w:rPr>
          <w:rFonts w:ascii="Calibri Light" w:hAnsi="Calibri Light" w:hint="eastAsia"/>
          <w:rtl/>
          <w:lang w:eastAsia="he-IL"/>
        </w:rPr>
        <w:t>בשעריה</w:t>
      </w:r>
      <w:r w:rsidRPr="006E5698">
        <w:rPr>
          <w:rFonts w:ascii="Calibri Light" w:hAnsi="Calibri Light"/>
          <w:rtl/>
          <w:lang w:eastAsia="he-IL"/>
        </w:rPr>
        <w:t xml:space="preserve"> </w:t>
      </w:r>
      <w:r w:rsidRPr="006E5698">
        <w:rPr>
          <w:rFonts w:ascii="Calibri Light" w:hAnsi="Calibri Light" w:hint="eastAsia"/>
          <w:rtl/>
          <w:lang w:eastAsia="he-IL"/>
        </w:rPr>
        <w:t>וזאת</w:t>
      </w:r>
      <w:r w:rsidRPr="006E5698">
        <w:rPr>
          <w:rFonts w:ascii="Calibri Light" w:hAnsi="Calibri Light"/>
          <w:rtl/>
          <w:lang w:eastAsia="he-IL"/>
        </w:rPr>
        <w:t xml:space="preserve"> </w:t>
      </w:r>
      <w:r w:rsidRPr="006E5698">
        <w:rPr>
          <w:rFonts w:ascii="Calibri Light" w:hAnsi="Calibri Light" w:hint="eastAsia"/>
          <w:rtl/>
          <w:lang w:eastAsia="he-IL"/>
        </w:rPr>
        <w:t>בנוסף</w:t>
      </w:r>
      <w:r w:rsidRPr="006E5698">
        <w:rPr>
          <w:rFonts w:ascii="Calibri Light" w:hAnsi="Calibri Light"/>
          <w:rtl/>
          <w:lang w:eastAsia="he-IL"/>
        </w:rPr>
        <w:t xml:space="preserve"> </w:t>
      </w:r>
      <w:r w:rsidRPr="006E5698">
        <w:rPr>
          <w:rFonts w:ascii="Calibri Light" w:hAnsi="Calibri Light" w:hint="eastAsia"/>
          <w:rtl/>
          <w:lang w:eastAsia="he-IL"/>
        </w:rPr>
        <w:t>לפגיעה</w:t>
      </w:r>
      <w:r w:rsidRPr="006E5698">
        <w:rPr>
          <w:rFonts w:ascii="Calibri Light" w:hAnsi="Calibri Light"/>
          <w:rtl/>
          <w:lang w:eastAsia="he-IL"/>
        </w:rPr>
        <w:t xml:space="preserve"> </w:t>
      </w:r>
      <w:r w:rsidRPr="006E5698">
        <w:rPr>
          <w:rFonts w:ascii="Calibri Light" w:hAnsi="Calibri Light" w:hint="eastAsia"/>
          <w:rtl/>
          <w:lang w:eastAsia="he-IL"/>
        </w:rPr>
        <w:t>באינטרסים</w:t>
      </w:r>
      <w:r w:rsidRPr="006E5698">
        <w:rPr>
          <w:rFonts w:ascii="Calibri Light" w:hAnsi="Calibri Light"/>
          <w:rtl/>
          <w:lang w:eastAsia="he-IL"/>
        </w:rPr>
        <w:t xml:space="preserve"> </w:t>
      </w:r>
      <w:r w:rsidRPr="006E5698">
        <w:rPr>
          <w:rFonts w:ascii="Calibri Light" w:hAnsi="Calibri Light" w:hint="eastAsia"/>
          <w:rtl/>
          <w:lang w:eastAsia="he-IL"/>
        </w:rPr>
        <w:t>כלכליים</w:t>
      </w:r>
      <w:r w:rsidRPr="006E5698">
        <w:rPr>
          <w:rFonts w:ascii="Calibri Light" w:hAnsi="Calibri Light"/>
          <w:rtl/>
          <w:lang w:eastAsia="he-IL"/>
        </w:rPr>
        <w:t xml:space="preserve"> </w:t>
      </w:r>
      <w:r w:rsidRPr="006E5698">
        <w:rPr>
          <w:rFonts w:ascii="Calibri Light" w:hAnsi="Calibri Light" w:hint="eastAsia"/>
          <w:rtl/>
          <w:lang w:eastAsia="he-IL"/>
        </w:rPr>
        <w:t>בשל</w:t>
      </w:r>
      <w:r w:rsidRPr="006E5698">
        <w:rPr>
          <w:rFonts w:ascii="Calibri Light" w:hAnsi="Calibri Light"/>
          <w:rtl/>
          <w:lang w:eastAsia="he-IL"/>
        </w:rPr>
        <w:t xml:space="preserve"> </w:t>
      </w:r>
      <w:r w:rsidRPr="006E5698">
        <w:rPr>
          <w:rFonts w:ascii="Calibri Light" w:hAnsi="Calibri Light" w:hint="eastAsia"/>
          <w:rtl/>
          <w:lang w:eastAsia="he-IL"/>
        </w:rPr>
        <w:t>הצורך</w:t>
      </w:r>
      <w:r w:rsidRPr="006E5698">
        <w:rPr>
          <w:rFonts w:ascii="Calibri Light" w:hAnsi="Calibri Light"/>
          <w:rtl/>
          <w:lang w:eastAsia="he-IL"/>
        </w:rPr>
        <w:t xml:space="preserve"> </w:t>
      </w:r>
      <w:r w:rsidRPr="006E5698">
        <w:rPr>
          <w:rFonts w:ascii="Calibri Light" w:hAnsi="Calibri Light" w:hint="eastAsia"/>
          <w:rtl/>
          <w:lang w:eastAsia="he-IL"/>
        </w:rPr>
        <w:t>בהשקעת</w:t>
      </w:r>
      <w:r w:rsidRPr="006E5698">
        <w:rPr>
          <w:rFonts w:ascii="Calibri Light" w:hAnsi="Calibri Light"/>
          <w:rtl/>
          <w:lang w:eastAsia="he-IL"/>
        </w:rPr>
        <w:t xml:space="preserve"> </w:t>
      </w:r>
      <w:r w:rsidRPr="006E5698">
        <w:rPr>
          <w:rFonts w:ascii="Calibri Light" w:hAnsi="Calibri Light" w:hint="eastAsia"/>
          <w:rtl/>
          <w:lang w:eastAsia="he-IL"/>
        </w:rPr>
        <w:t>משאבים</w:t>
      </w:r>
      <w:r w:rsidRPr="006E5698">
        <w:rPr>
          <w:rFonts w:ascii="Calibri Light" w:hAnsi="Calibri Light"/>
          <w:rtl/>
          <w:lang w:eastAsia="he-IL"/>
        </w:rPr>
        <w:t xml:space="preserve"> </w:t>
      </w:r>
      <w:r w:rsidRPr="006E5698">
        <w:rPr>
          <w:rFonts w:ascii="Calibri Light" w:hAnsi="Calibri Light" w:hint="eastAsia"/>
          <w:rtl/>
          <w:lang w:eastAsia="he-IL"/>
        </w:rPr>
        <w:t>אנושיים</w:t>
      </w:r>
      <w:r w:rsidRPr="006E5698">
        <w:rPr>
          <w:rFonts w:ascii="Calibri Light" w:hAnsi="Calibri Light"/>
          <w:rtl/>
          <w:lang w:eastAsia="he-IL"/>
        </w:rPr>
        <w:t xml:space="preserve"> </w:t>
      </w:r>
      <w:r w:rsidRPr="006E5698">
        <w:rPr>
          <w:rFonts w:ascii="Calibri Light" w:hAnsi="Calibri Light" w:hint="eastAsia"/>
          <w:rtl/>
          <w:lang w:eastAsia="he-IL"/>
        </w:rPr>
        <w:t>וכלכלים</w:t>
      </w:r>
      <w:r w:rsidRPr="006E5698">
        <w:rPr>
          <w:rFonts w:ascii="Calibri Light" w:hAnsi="Calibri Light"/>
          <w:rtl/>
          <w:lang w:eastAsia="he-IL"/>
        </w:rPr>
        <w:t xml:space="preserve"> </w:t>
      </w:r>
      <w:r w:rsidRPr="006E5698">
        <w:rPr>
          <w:rFonts w:ascii="Calibri Light" w:hAnsi="Calibri Light" w:hint="eastAsia"/>
          <w:rtl/>
          <w:lang w:eastAsia="he-IL"/>
        </w:rPr>
        <w:t>למניעת</w:t>
      </w:r>
      <w:r w:rsidRPr="006E5698">
        <w:rPr>
          <w:rFonts w:ascii="Calibri Light" w:hAnsi="Calibri Light"/>
          <w:rtl/>
          <w:lang w:eastAsia="he-IL"/>
        </w:rPr>
        <w:t xml:space="preserve"> </w:t>
      </w:r>
      <w:r w:rsidRPr="006E5698">
        <w:rPr>
          <w:rFonts w:ascii="Calibri Light" w:hAnsi="Calibri Light" w:hint="eastAsia"/>
          <w:rtl/>
          <w:lang w:eastAsia="he-IL"/>
        </w:rPr>
        <w:t>הסתננות</w:t>
      </w:r>
      <w:r w:rsidRPr="006E5698">
        <w:rPr>
          <w:rFonts w:ascii="Calibri Light" w:hAnsi="Calibri Light"/>
          <w:rtl/>
          <w:lang w:eastAsia="he-IL"/>
        </w:rPr>
        <w:t xml:space="preserve">. </w:t>
      </w:r>
    </w:p>
    <w:p w14:paraId="010E4132" w14:textId="77777777" w:rsidR="00D86C64" w:rsidRPr="006E5698" w:rsidRDefault="00D86C64" w:rsidP="00D86C64">
      <w:pPr>
        <w:spacing w:line="360" w:lineRule="auto"/>
        <w:jc w:val="both"/>
        <w:rPr>
          <w:rFonts w:ascii="Calibri Light" w:hAnsi="Calibri Light"/>
          <w:rtl/>
          <w:lang w:eastAsia="he-IL"/>
        </w:rPr>
      </w:pPr>
    </w:p>
    <w:p w14:paraId="1AE7C593" w14:textId="77777777" w:rsidR="00D86C64" w:rsidRDefault="00D86C64" w:rsidP="00D86C64">
      <w:pPr>
        <w:spacing w:line="360" w:lineRule="auto"/>
        <w:jc w:val="both"/>
        <w:rPr>
          <w:rFonts w:ascii="Calibri Light" w:hAnsi="Calibri Light"/>
          <w:rtl/>
          <w:lang w:eastAsia="he-IL"/>
        </w:rPr>
      </w:pPr>
      <w:r w:rsidRPr="006E5698">
        <w:rPr>
          <w:rFonts w:ascii="Calibri Light" w:hAnsi="Calibri Light" w:hint="eastAsia"/>
          <w:rtl/>
          <w:lang w:eastAsia="he-IL"/>
        </w:rPr>
        <w:t>תכלית</w:t>
      </w:r>
      <w:r w:rsidRPr="006E5698">
        <w:rPr>
          <w:rFonts w:ascii="Calibri Light" w:hAnsi="Calibri Light"/>
          <w:rtl/>
          <w:lang w:eastAsia="he-IL"/>
        </w:rPr>
        <w:t xml:space="preserve"> </w:t>
      </w:r>
      <w:r w:rsidRPr="006E5698">
        <w:rPr>
          <w:rFonts w:ascii="Calibri Light" w:hAnsi="Calibri Light" w:hint="eastAsia"/>
          <w:rtl/>
          <w:lang w:eastAsia="he-IL"/>
        </w:rPr>
        <w:t>חוק</w:t>
      </w:r>
      <w:r w:rsidRPr="006E5698">
        <w:rPr>
          <w:rFonts w:ascii="Calibri Light" w:hAnsi="Calibri Light"/>
          <w:rtl/>
          <w:lang w:eastAsia="he-IL"/>
        </w:rPr>
        <w:t xml:space="preserve"> </w:t>
      </w:r>
      <w:r w:rsidRPr="006E5698">
        <w:rPr>
          <w:rFonts w:ascii="Calibri Light" w:hAnsi="Calibri Light" w:hint="eastAsia"/>
          <w:rtl/>
          <w:lang w:eastAsia="he-IL"/>
        </w:rPr>
        <w:t>ההסתננות</w:t>
      </w:r>
      <w:r w:rsidRPr="006E5698">
        <w:rPr>
          <w:rFonts w:ascii="Calibri Light" w:hAnsi="Calibri Light"/>
          <w:rtl/>
          <w:lang w:eastAsia="he-IL"/>
        </w:rPr>
        <w:t xml:space="preserve"> </w:t>
      </w:r>
      <w:r w:rsidRPr="006E5698">
        <w:rPr>
          <w:rFonts w:ascii="Calibri Light" w:hAnsi="Calibri Light" w:hint="eastAsia"/>
          <w:rtl/>
          <w:lang w:eastAsia="he-IL"/>
        </w:rPr>
        <w:t>הינה</w:t>
      </w:r>
      <w:r w:rsidRPr="006E5698">
        <w:rPr>
          <w:rFonts w:ascii="Calibri Light" w:hAnsi="Calibri Light"/>
          <w:rtl/>
          <w:lang w:eastAsia="he-IL"/>
        </w:rPr>
        <w:t xml:space="preserve"> </w:t>
      </w:r>
      <w:r w:rsidRPr="006E5698">
        <w:rPr>
          <w:rFonts w:ascii="Calibri Light" w:hAnsi="Calibri Light" w:hint="eastAsia"/>
          <w:rtl/>
          <w:lang w:eastAsia="he-IL"/>
        </w:rPr>
        <w:t>תכלית</w:t>
      </w:r>
      <w:r w:rsidRPr="006E5698">
        <w:rPr>
          <w:rFonts w:ascii="Calibri Light" w:hAnsi="Calibri Light"/>
          <w:rtl/>
          <w:lang w:eastAsia="he-IL"/>
        </w:rPr>
        <w:t xml:space="preserve"> </w:t>
      </w:r>
      <w:r w:rsidRPr="006E5698">
        <w:rPr>
          <w:rFonts w:ascii="Calibri Light" w:hAnsi="Calibri Light" w:hint="eastAsia"/>
          <w:rtl/>
          <w:lang w:eastAsia="he-IL"/>
        </w:rPr>
        <w:t>ביטחונית</w:t>
      </w:r>
      <w:r w:rsidRPr="006E5698">
        <w:rPr>
          <w:rFonts w:ascii="Calibri Light" w:hAnsi="Calibri Light"/>
          <w:rtl/>
          <w:lang w:eastAsia="he-IL"/>
        </w:rPr>
        <w:t xml:space="preserve"> </w:t>
      </w:r>
      <w:r w:rsidRPr="006E5698">
        <w:rPr>
          <w:rFonts w:ascii="Calibri Light" w:hAnsi="Calibri Light" w:hint="eastAsia"/>
          <w:rtl/>
          <w:lang w:eastAsia="he-IL"/>
        </w:rPr>
        <w:t>הרתעתית</w:t>
      </w:r>
      <w:r w:rsidRPr="006E5698">
        <w:rPr>
          <w:rFonts w:ascii="Calibri Light" w:hAnsi="Calibri Light"/>
          <w:rtl/>
          <w:lang w:eastAsia="he-IL"/>
        </w:rPr>
        <w:t xml:space="preserve">, </w:t>
      </w:r>
      <w:r w:rsidRPr="006E5698">
        <w:rPr>
          <w:rFonts w:ascii="Calibri Light" w:hAnsi="Calibri Light" w:hint="eastAsia"/>
          <w:rtl/>
          <w:lang w:eastAsia="he-IL"/>
        </w:rPr>
        <w:t>ולעבירת</w:t>
      </w:r>
      <w:r w:rsidRPr="006E5698">
        <w:rPr>
          <w:rFonts w:ascii="Calibri Light" w:hAnsi="Calibri Light"/>
          <w:rtl/>
          <w:lang w:eastAsia="he-IL"/>
        </w:rPr>
        <w:t xml:space="preserve"> </w:t>
      </w:r>
      <w:r w:rsidRPr="006E5698">
        <w:rPr>
          <w:rFonts w:ascii="Calibri Light" w:hAnsi="Calibri Light" w:hint="eastAsia"/>
          <w:rtl/>
          <w:lang w:eastAsia="he-IL"/>
        </w:rPr>
        <w:t>ההסתננות</w:t>
      </w:r>
      <w:r w:rsidRPr="006E5698">
        <w:rPr>
          <w:rFonts w:ascii="Calibri Light" w:hAnsi="Calibri Light"/>
          <w:rtl/>
          <w:lang w:eastAsia="he-IL"/>
        </w:rPr>
        <w:t xml:space="preserve"> </w:t>
      </w:r>
      <w:r w:rsidRPr="006E5698">
        <w:rPr>
          <w:rFonts w:ascii="Calibri Light" w:hAnsi="Calibri Light" w:hint="eastAsia"/>
          <w:rtl/>
          <w:lang w:eastAsia="he-IL"/>
        </w:rPr>
        <w:t>היבט</w:t>
      </w:r>
      <w:r w:rsidRPr="006E5698">
        <w:rPr>
          <w:rFonts w:ascii="Calibri Light" w:hAnsi="Calibri Light"/>
          <w:rtl/>
          <w:lang w:eastAsia="he-IL"/>
        </w:rPr>
        <w:t xml:space="preserve"> </w:t>
      </w:r>
      <w:r w:rsidRPr="006E5698">
        <w:rPr>
          <w:rFonts w:ascii="Calibri Light" w:hAnsi="Calibri Light" w:hint="eastAsia"/>
          <w:rtl/>
          <w:lang w:eastAsia="he-IL"/>
        </w:rPr>
        <w:t>בטחוני</w:t>
      </w:r>
      <w:r w:rsidRPr="006E5698">
        <w:rPr>
          <w:rFonts w:ascii="Calibri Light" w:hAnsi="Calibri Light"/>
          <w:rtl/>
          <w:lang w:eastAsia="he-IL"/>
        </w:rPr>
        <w:t xml:space="preserve"> </w:t>
      </w:r>
      <w:r w:rsidRPr="006E5698">
        <w:rPr>
          <w:rFonts w:ascii="Calibri Light" w:hAnsi="Calibri Light" w:hint="eastAsia"/>
          <w:rtl/>
          <w:lang w:eastAsia="he-IL"/>
        </w:rPr>
        <w:t>גם</w:t>
      </w:r>
      <w:r w:rsidRPr="006E5698">
        <w:rPr>
          <w:rFonts w:ascii="Calibri Light" w:hAnsi="Calibri Light"/>
          <w:rtl/>
          <w:lang w:eastAsia="he-IL"/>
        </w:rPr>
        <w:t xml:space="preserve"> </w:t>
      </w:r>
      <w:r w:rsidRPr="006E5698">
        <w:rPr>
          <w:rFonts w:ascii="Calibri Light" w:hAnsi="Calibri Light" w:hint="eastAsia"/>
          <w:rtl/>
          <w:lang w:eastAsia="he-IL"/>
        </w:rPr>
        <w:t>כאשר</w:t>
      </w:r>
      <w:r w:rsidRPr="006E5698">
        <w:rPr>
          <w:rFonts w:ascii="Calibri Light" w:hAnsi="Calibri Light"/>
          <w:rtl/>
          <w:lang w:eastAsia="he-IL"/>
        </w:rPr>
        <w:t xml:space="preserve"> </w:t>
      </w:r>
      <w:r w:rsidRPr="006E5698">
        <w:rPr>
          <w:rFonts w:ascii="Calibri Light" w:hAnsi="Calibri Light" w:hint="eastAsia"/>
          <w:rtl/>
          <w:lang w:eastAsia="he-IL"/>
        </w:rPr>
        <w:t>נטען</w:t>
      </w:r>
      <w:r w:rsidRPr="006E5698">
        <w:rPr>
          <w:rFonts w:ascii="Calibri Light" w:hAnsi="Calibri Light"/>
          <w:rtl/>
          <w:lang w:eastAsia="he-IL"/>
        </w:rPr>
        <w:t xml:space="preserve"> </w:t>
      </w:r>
      <w:r w:rsidRPr="006E5698">
        <w:rPr>
          <w:rFonts w:ascii="Calibri Light" w:hAnsi="Calibri Light" w:hint="eastAsia"/>
          <w:rtl/>
          <w:lang w:eastAsia="he-IL"/>
        </w:rPr>
        <w:t>כי</w:t>
      </w:r>
      <w:r w:rsidRPr="006E5698">
        <w:rPr>
          <w:rFonts w:ascii="Calibri Light" w:hAnsi="Calibri Light"/>
          <w:rtl/>
          <w:lang w:eastAsia="he-IL"/>
        </w:rPr>
        <w:t xml:space="preserve"> </w:t>
      </w:r>
      <w:r w:rsidRPr="006E5698">
        <w:rPr>
          <w:rFonts w:ascii="Calibri Light" w:hAnsi="Calibri Light" w:hint="eastAsia"/>
          <w:rtl/>
          <w:lang w:eastAsia="he-IL"/>
        </w:rPr>
        <w:t>מדובר</w:t>
      </w:r>
      <w:r w:rsidRPr="006E5698">
        <w:rPr>
          <w:rFonts w:ascii="Calibri Light" w:hAnsi="Calibri Light"/>
          <w:rtl/>
          <w:lang w:eastAsia="he-IL"/>
        </w:rPr>
        <w:t xml:space="preserve"> </w:t>
      </w:r>
      <w:r w:rsidRPr="006E5698">
        <w:rPr>
          <w:rFonts w:ascii="Calibri Light" w:hAnsi="Calibri Light" w:hint="eastAsia"/>
          <w:rtl/>
          <w:lang w:eastAsia="he-IL"/>
        </w:rPr>
        <w:t>בכניסה</w:t>
      </w:r>
      <w:r w:rsidRPr="006E5698">
        <w:rPr>
          <w:rFonts w:ascii="Calibri Light" w:hAnsi="Calibri Light"/>
          <w:rtl/>
          <w:lang w:eastAsia="he-IL"/>
        </w:rPr>
        <w:t xml:space="preserve"> </w:t>
      </w:r>
      <w:r w:rsidRPr="006E5698">
        <w:rPr>
          <w:rFonts w:ascii="Calibri Light" w:hAnsi="Calibri Light" w:hint="eastAsia"/>
          <w:rtl/>
          <w:lang w:eastAsia="he-IL"/>
        </w:rPr>
        <w:t>למטרות</w:t>
      </w:r>
      <w:r w:rsidRPr="006E5698">
        <w:rPr>
          <w:rFonts w:ascii="Calibri Light" w:hAnsi="Calibri Light"/>
          <w:rtl/>
          <w:lang w:eastAsia="he-IL"/>
        </w:rPr>
        <w:t xml:space="preserve"> </w:t>
      </w:r>
      <w:r w:rsidRPr="006E5698">
        <w:rPr>
          <w:rFonts w:ascii="Calibri Light" w:hAnsi="Calibri Light" w:hint="eastAsia"/>
          <w:rtl/>
          <w:lang w:eastAsia="he-IL"/>
        </w:rPr>
        <w:t>כלכליות</w:t>
      </w:r>
      <w:r w:rsidRPr="006E5698">
        <w:rPr>
          <w:rFonts w:ascii="Calibri Light" w:hAnsi="Calibri Light"/>
          <w:rtl/>
          <w:lang w:eastAsia="he-IL"/>
        </w:rPr>
        <w:t xml:space="preserve">. </w:t>
      </w:r>
    </w:p>
    <w:p w14:paraId="48936AE6" w14:textId="77777777" w:rsidR="00D86C64" w:rsidRDefault="00D86C64" w:rsidP="00D86C64">
      <w:pPr>
        <w:spacing w:line="360" w:lineRule="auto"/>
        <w:jc w:val="both"/>
        <w:rPr>
          <w:rFonts w:ascii="Calibri Light" w:hAnsi="Calibri Light"/>
          <w:rtl/>
          <w:lang w:eastAsia="he-IL"/>
        </w:rPr>
      </w:pPr>
    </w:p>
    <w:p w14:paraId="5A78DE5F" w14:textId="77777777" w:rsidR="00D86C64" w:rsidRDefault="00D86C64" w:rsidP="00D86C64">
      <w:pPr>
        <w:spacing w:line="360" w:lineRule="auto"/>
        <w:jc w:val="both"/>
        <w:rPr>
          <w:rtl/>
        </w:rPr>
      </w:pPr>
      <w:r w:rsidRPr="006E5698">
        <w:rPr>
          <w:rFonts w:ascii="Calibri Light" w:hAnsi="Calibri Light" w:hint="eastAsia"/>
          <w:rtl/>
          <w:lang w:eastAsia="he-IL"/>
        </w:rPr>
        <w:t>לעניין</w:t>
      </w:r>
      <w:r w:rsidRPr="006E5698">
        <w:rPr>
          <w:rFonts w:ascii="Calibri Light" w:hAnsi="Calibri Light"/>
          <w:rtl/>
          <w:lang w:eastAsia="he-IL"/>
        </w:rPr>
        <w:t xml:space="preserve"> </w:t>
      </w:r>
      <w:r w:rsidRPr="006E5698">
        <w:rPr>
          <w:rFonts w:ascii="Calibri Light" w:hAnsi="Calibri Light" w:hint="eastAsia"/>
          <w:rtl/>
          <w:lang w:eastAsia="he-IL"/>
        </w:rPr>
        <w:t>זה</w:t>
      </w:r>
      <w:r w:rsidRPr="006E5698">
        <w:rPr>
          <w:rFonts w:ascii="Calibri Light" w:hAnsi="Calibri Light"/>
          <w:rtl/>
          <w:lang w:eastAsia="he-IL"/>
        </w:rPr>
        <w:t xml:space="preserve"> </w:t>
      </w:r>
      <w:r w:rsidRPr="006E5698">
        <w:rPr>
          <w:rFonts w:ascii="Calibri Light" w:hAnsi="Calibri Light" w:hint="eastAsia"/>
          <w:rtl/>
          <w:lang w:eastAsia="he-IL"/>
        </w:rPr>
        <w:t>ר</w:t>
      </w:r>
      <w:r w:rsidRPr="006E5698">
        <w:rPr>
          <w:rFonts w:ascii="Calibri Light" w:hAnsi="Calibri Light"/>
          <w:rtl/>
          <w:lang w:eastAsia="he-IL"/>
        </w:rPr>
        <w:t xml:space="preserve">' </w:t>
      </w:r>
      <w:hyperlink r:id="rId18" w:history="1">
        <w:r w:rsidR="00B903D1" w:rsidRPr="00B903D1">
          <w:rPr>
            <w:color w:val="0000FF"/>
            <w:u w:val="single"/>
            <w:rtl/>
          </w:rPr>
          <w:t>ע"פ 6474/08</w:t>
        </w:r>
      </w:hyperlink>
      <w:r w:rsidRPr="006E5698">
        <w:rPr>
          <w:rtl/>
        </w:rPr>
        <w:t xml:space="preserve"> </w:t>
      </w:r>
      <w:r w:rsidRPr="006E5698">
        <w:rPr>
          <w:b/>
          <w:bCs/>
          <w:rtl/>
        </w:rPr>
        <w:t>עזמי פרג'אללה ואח' נ' מ"י</w:t>
      </w:r>
      <w:r w:rsidRPr="006E5698">
        <w:rPr>
          <w:rtl/>
        </w:rPr>
        <w:t xml:space="preserve"> (10.6.2009):</w:t>
      </w:r>
    </w:p>
    <w:p w14:paraId="69F7B861" w14:textId="77777777" w:rsidR="00D86C64" w:rsidRDefault="00D86C64" w:rsidP="00D86C64">
      <w:pPr>
        <w:spacing w:line="360" w:lineRule="auto"/>
        <w:jc w:val="both"/>
        <w:rPr>
          <w:rtl/>
        </w:rPr>
      </w:pPr>
    </w:p>
    <w:p w14:paraId="5F694138" w14:textId="77777777" w:rsidR="00D86C64" w:rsidRDefault="00D86C64" w:rsidP="00D86C64">
      <w:pPr>
        <w:spacing w:line="360" w:lineRule="auto"/>
        <w:jc w:val="both"/>
        <w:rPr>
          <w:rtl/>
        </w:rPr>
      </w:pPr>
      <w:r w:rsidRPr="006E5698">
        <w:rPr>
          <w:b/>
          <w:bCs/>
          <w:rtl/>
        </w:rPr>
        <w:t>"נדגיש, כי עבירת ההסתננות, ובייחוד במצב הביטחוני השורר ברצועת עזה, היא אכן עבירה חמורה, אשר יש לה השלכות ביטחוניות נכבדות...נוכח האמור, ואל מול הצורך בהרתעה, ברי שלא ניתן לתת משקל נוסף לטענות אודות המצוקה הכלכלית שבה שרויים המערערים ובני משפחותיהם".</w:t>
      </w:r>
    </w:p>
    <w:p w14:paraId="63F7F555" w14:textId="77777777" w:rsidR="00D86C64" w:rsidRDefault="00D86C64" w:rsidP="00D86C64">
      <w:pPr>
        <w:spacing w:line="360" w:lineRule="auto"/>
        <w:jc w:val="both"/>
        <w:rPr>
          <w:rtl/>
        </w:rPr>
      </w:pPr>
    </w:p>
    <w:p w14:paraId="3A8B9E9D" w14:textId="77777777" w:rsidR="00D86C64" w:rsidRDefault="00D86C64" w:rsidP="00D86C64">
      <w:pPr>
        <w:spacing w:line="360" w:lineRule="auto"/>
        <w:jc w:val="both"/>
        <w:rPr>
          <w:b/>
          <w:bCs/>
          <w:rtl/>
        </w:rPr>
      </w:pPr>
      <w:r w:rsidRPr="006E5698">
        <w:rPr>
          <w:rtl/>
        </w:rPr>
        <w:t xml:space="preserve">ביחס לתכלית הביטחונית של החוק למניעת הסתננות ולכך שקביעת העונש הגבוה הינה לנוכח הסיכון הביטחוני הרב הגלום בעבירה זו, ר' </w:t>
      </w:r>
      <w:hyperlink r:id="rId19" w:history="1">
        <w:r w:rsidR="00B903D1" w:rsidRPr="00B903D1">
          <w:rPr>
            <w:color w:val="0000FF"/>
            <w:u w:val="single"/>
            <w:rtl/>
          </w:rPr>
          <w:t>ע"פ 5746/06</w:t>
        </w:r>
      </w:hyperlink>
      <w:r w:rsidRPr="006E5698">
        <w:rPr>
          <w:b/>
          <w:bCs/>
          <w:rtl/>
        </w:rPr>
        <w:t xml:space="preserve"> כמאל עבאס נ' מ"י </w:t>
      </w:r>
      <w:r w:rsidRPr="006E5698">
        <w:rPr>
          <w:rtl/>
        </w:rPr>
        <w:t xml:space="preserve">(31.7.2007): </w:t>
      </w:r>
    </w:p>
    <w:p w14:paraId="1950B39F" w14:textId="77777777" w:rsidR="00D86C64" w:rsidRDefault="00D86C64" w:rsidP="00D86C64">
      <w:pPr>
        <w:spacing w:line="360" w:lineRule="auto"/>
        <w:jc w:val="both"/>
        <w:rPr>
          <w:b/>
          <w:bCs/>
          <w:rtl/>
        </w:rPr>
      </w:pPr>
    </w:p>
    <w:p w14:paraId="48079249" w14:textId="77777777" w:rsidR="00D86C64" w:rsidRDefault="00D86C64" w:rsidP="00D86C64">
      <w:pPr>
        <w:spacing w:line="360" w:lineRule="auto"/>
        <w:jc w:val="both"/>
        <w:rPr>
          <w:rtl/>
        </w:rPr>
      </w:pPr>
      <w:r w:rsidRPr="006E5698">
        <w:rPr>
          <w:b/>
          <w:bCs/>
          <w:rtl/>
        </w:rPr>
        <w:t xml:space="preserve">"ההיסטוריה החקיקתית של החוק למניעת הסתננות מלמדת בבירור כי תכליתו הינה להגן מפני כניסה שלא כדין לתחום גבולותיה של מדינת ישראל משטחים גובלים או סמוכים לה. ...על התכלית של שמירה על ביטחון המדינה והרתעה מפני מעשי הסתננות, ניתן ללמוד גם מהוראותיו השונות של החוק למניעת הסתננות. ... נוכח הסיכון הבטחוני הרב הגלום בעבירות אלה, נקבע בגינן עונש מרבי גבוה יותר ביחס לעונש הקבוע בגין עבירת ההסתננות לפי סעיף 2 לחוק. בכל אלה יש כדי לתמוך במסקנה אשר אינה שנויה במחלוקת בין הצדדים בפנינו, ולפיה תכליתו של החוק למניעת הסתננות היא ביסודה תכלית ביטחונית-הרתעתית, שנועדה להגן על ביטחון גבולותיה של מדינת ישראל מפני כניסה שלא כדין לשטחה". </w:t>
      </w:r>
    </w:p>
    <w:p w14:paraId="6583C4D9" w14:textId="77777777" w:rsidR="00D86C64" w:rsidRDefault="00D86C64" w:rsidP="00D86C64">
      <w:pPr>
        <w:spacing w:line="360" w:lineRule="auto"/>
        <w:jc w:val="both"/>
        <w:rPr>
          <w:rtl/>
        </w:rPr>
      </w:pPr>
    </w:p>
    <w:p w14:paraId="0B2399DE" w14:textId="77777777" w:rsidR="00D86C64" w:rsidRDefault="00D86C64" w:rsidP="00D86C64">
      <w:pPr>
        <w:spacing w:line="360" w:lineRule="auto"/>
        <w:jc w:val="both"/>
        <w:rPr>
          <w:b/>
          <w:bCs/>
          <w:rtl/>
        </w:rPr>
      </w:pPr>
      <w:r w:rsidRPr="006E5698">
        <w:rPr>
          <w:rtl/>
        </w:rPr>
        <w:t xml:space="preserve">ור' </w:t>
      </w:r>
      <w:hyperlink r:id="rId20" w:history="1">
        <w:r w:rsidR="00B903D1" w:rsidRPr="00B903D1">
          <w:rPr>
            <w:color w:val="0000FF"/>
            <w:u w:val="single"/>
            <w:rtl/>
          </w:rPr>
          <w:t>ע"פ (מחוזי ב"ש) 7171/06</w:t>
        </w:r>
      </w:hyperlink>
      <w:r w:rsidRPr="006E5698">
        <w:rPr>
          <w:rtl/>
        </w:rPr>
        <w:t xml:space="preserve"> </w:t>
      </w:r>
      <w:r w:rsidRPr="006E5698">
        <w:rPr>
          <w:b/>
          <w:bCs/>
          <w:rtl/>
        </w:rPr>
        <w:t>מדינת ישראל נ' עורג'אן אנואר ואח'</w:t>
      </w:r>
      <w:r w:rsidRPr="006E5698">
        <w:rPr>
          <w:rtl/>
        </w:rPr>
        <w:t xml:space="preserve"> (5/7/2006):</w:t>
      </w:r>
    </w:p>
    <w:p w14:paraId="6FD295BD" w14:textId="77777777" w:rsidR="00D86C64" w:rsidRDefault="00D86C64" w:rsidP="00D86C64">
      <w:pPr>
        <w:spacing w:line="360" w:lineRule="auto"/>
        <w:jc w:val="both"/>
        <w:rPr>
          <w:b/>
          <w:bCs/>
          <w:rtl/>
        </w:rPr>
      </w:pPr>
    </w:p>
    <w:p w14:paraId="7CC7676C" w14:textId="77777777" w:rsidR="00D86C64" w:rsidRDefault="00D86C64" w:rsidP="00D86C64">
      <w:pPr>
        <w:spacing w:line="360" w:lineRule="auto"/>
        <w:jc w:val="both"/>
        <w:rPr>
          <w:rtl/>
        </w:rPr>
      </w:pPr>
      <w:r w:rsidRPr="006E5698">
        <w:rPr>
          <w:b/>
          <w:bCs/>
          <w:rtl/>
        </w:rPr>
        <w:t>"עבירת הסתננות כשמה כן היא. הדגש מושם על פעולת הכניסה האסורה לארץ ולא על ההימצאות בארץ שלא כדין (ראה סעיף 1 לחוק). חציית גבול אסורה בין מדינות שכנות – מצרים וישראל - בהיקף של ממש, על כל המשתמע מכך, פוגעת במרקם העדין של היחסים ביניהן. במציאות של תחילת המאה ה- 21 פגיעה שכזו אוצרת בתוכה היבטים ביטחוניים. זהו המצב גם אם נאשם בודד חוצה את הגבול כדי למצוא נתיב חדש לפרנסתו. הרי המצב בשטח אינו בגדר לא נודע, והנועז לתכנן תכנית לעבור ממדינה למדינה מודע לכך שיש במעשיו כדי לפגוע בהיבט זה או אחר בריבונותן של שתי המדינות. אין הוא יכול לעצום עין ולהציג את מעשיו כשייך למדור הכלכלי בלבד. השקעת מדינת ישראל כדי לשמור על יציבות הגבול נובעת משיקולים ביטחונים. חדירות חוזרות ונשנות בנקודה זו או אחרת בגבול עלולות בסופו של דבר להחליש את יציבותו לאורכו ולרוחבו. ניסיון לצמצם את הראיה במעשה של נאשם להנחה שאין הוא מתכוון לפגוע בביטחון המדינה מעבר לפעולת הכניסה האסורה - כאילו מדובר במעשה קונדס או הרפתקה מובנת מההיבט הכלכלי, חוטא למציאות."</w:t>
      </w:r>
    </w:p>
    <w:p w14:paraId="08D78C81" w14:textId="77777777" w:rsidR="00D86C64" w:rsidRDefault="00D86C64" w:rsidP="00D86C64">
      <w:pPr>
        <w:spacing w:line="360" w:lineRule="auto"/>
        <w:jc w:val="both"/>
        <w:rPr>
          <w:rtl/>
        </w:rPr>
      </w:pPr>
    </w:p>
    <w:p w14:paraId="5035E47D" w14:textId="77777777" w:rsidR="00D86C64" w:rsidRDefault="00D86C64" w:rsidP="00D86C64">
      <w:pPr>
        <w:spacing w:line="360" w:lineRule="auto"/>
        <w:jc w:val="both"/>
        <w:rPr>
          <w:rtl/>
        </w:rPr>
      </w:pPr>
      <w:r w:rsidRPr="006E5698">
        <w:rPr>
          <w:rtl/>
        </w:rPr>
        <w:t xml:space="preserve">עוד על הסכנה הגלומה במעשים אלו ר' ע"פ </w:t>
      </w:r>
      <w:hyperlink r:id="rId21" w:history="1">
        <w:r w:rsidR="0096203F" w:rsidRPr="0096203F">
          <w:rPr>
            <w:color w:val="0000FF"/>
            <w:u w:val="single"/>
            <w:rtl/>
          </w:rPr>
          <w:t xml:space="preserve">5059/09 </w:t>
        </w:r>
      </w:hyperlink>
      <w:r w:rsidRPr="006E5698">
        <w:rPr>
          <w:rtl/>
        </w:rPr>
        <w:t xml:space="preserve"> </w:t>
      </w:r>
      <w:r w:rsidRPr="006E5698">
        <w:rPr>
          <w:b/>
          <w:bCs/>
          <w:rtl/>
        </w:rPr>
        <w:t xml:space="preserve">מ"י נ' מוחמד שרתאחה </w:t>
      </w:r>
      <w:r w:rsidRPr="006E5698">
        <w:rPr>
          <w:rtl/>
        </w:rPr>
        <w:t>(15.10.2009)</w:t>
      </w:r>
      <w:r w:rsidRPr="006E5698">
        <w:rPr>
          <w:b/>
          <w:bCs/>
          <w:rtl/>
        </w:rPr>
        <w:t>: "המערער תושב רצועת עזה, חדר ושב וחדר לשטחה של מדינת ישראל שלא כדין, כאשר בפעם הראשונה הוא עשה זאת על ידי חיתוך של גדר הגבול. נדמה כי אין צורך להכביר מילים על חומרת המעשים.. במעשים מסוג זה גלומה סכנה מופלגת לציבור ולכוחות הביטחון..".</w:t>
      </w:r>
    </w:p>
    <w:p w14:paraId="3E8B6F05" w14:textId="77777777" w:rsidR="00D86C64" w:rsidRDefault="00D86C64" w:rsidP="00D86C64">
      <w:pPr>
        <w:spacing w:line="360" w:lineRule="auto"/>
        <w:jc w:val="both"/>
        <w:rPr>
          <w:rtl/>
        </w:rPr>
      </w:pPr>
    </w:p>
    <w:p w14:paraId="062EE3F8" w14:textId="77777777" w:rsidR="00D86C64" w:rsidRDefault="00D86C64" w:rsidP="00D86C64">
      <w:pPr>
        <w:spacing w:line="360" w:lineRule="auto"/>
        <w:jc w:val="both"/>
        <w:rPr>
          <w:rtl/>
        </w:rPr>
      </w:pPr>
      <w:r w:rsidRPr="006E5698">
        <w:rPr>
          <w:rtl/>
        </w:rPr>
        <w:t>עבירת ההסתננות, ובפרט בקו הגבול בו בוצעה, נושאת בחובה היבט בטחוני מובהק, והינה בעלת חומרה יתירה, וזאת בפרט בנסיבות המחמירות בדמות הצטיידות ברימון רסס, שהוא כלי נשק שבכוחו להמית אדם, ולצידו סכין.</w:t>
      </w:r>
    </w:p>
    <w:p w14:paraId="4FEC49B4" w14:textId="77777777" w:rsidR="00D86C64" w:rsidRDefault="00D86C64" w:rsidP="00D86C64">
      <w:pPr>
        <w:spacing w:line="360" w:lineRule="auto"/>
        <w:jc w:val="both"/>
        <w:rPr>
          <w:rtl/>
        </w:rPr>
      </w:pPr>
    </w:p>
    <w:p w14:paraId="36D46977" w14:textId="77777777" w:rsidR="00D86C64" w:rsidRDefault="00D86C64" w:rsidP="00D86C64">
      <w:pPr>
        <w:spacing w:line="360" w:lineRule="auto"/>
        <w:jc w:val="both"/>
        <w:rPr>
          <w:rtl/>
        </w:rPr>
      </w:pPr>
      <w:r w:rsidRPr="006E5698">
        <w:rPr>
          <w:rtl/>
        </w:rPr>
        <w:t xml:space="preserve">קביעת מתחם העונש ההולם נעשית תוך התייחסות להיבטים הקשורים בנסיבות הביצוע, ולמתחם היבט אינדיבידואלי הקשור למקרה המסוים הנדון. ר' </w:t>
      </w:r>
      <w:hyperlink r:id="rId22" w:history="1">
        <w:r w:rsidR="00B903D1" w:rsidRPr="00B903D1">
          <w:rPr>
            <w:color w:val="0000FF"/>
            <w:u w:val="single"/>
            <w:rtl/>
          </w:rPr>
          <w:t>ע"פ 1323/13</w:t>
        </w:r>
      </w:hyperlink>
      <w:r w:rsidRPr="006E5698">
        <w:rPr>
          <w:rtl/>
        </w:rPr>
        <w:t xml:space="preserve"> רך </w:t>
      </w:r>
      <w:r w:rsidRPr="006E5698">
        <w:rPr>
          <w:b/>
          <w:bCs/>
          <w:rtl/>
        </w:rPr>
        <w:t xml:space="preserve">חסן ואח' נ' מ"י </w:t>
      </w:r>
      <w:r w:rsidRPr="006E5698">
        <w:rPr>
          <w:rtl/>
        </w:rPr>
        <w:t xml:space="preserve">(5.6.2013), המתייחס לצביון האינדיבידואלי אשר העניק המחוקק לשלב עיצוב המתחם. </w:t>
      </w:r>
    </w:p>
    <w:p w14:paraId="0DDEC35D" w14:textId="77777777" w:rsidR="00D86C64" w:rsidRDefault="00D86C64" w:rsidP="00D86C64">
      <w:pPr>
        <w:spacing w:line="360" w:lineRule="auto"/>
        <w:jc w:val="both"/>
        <w:rPr>
          <w:rtl/>
        </w:rPr>
      </w:pPr>
    </w:p>
    <w:p w14:paraId="35F9850D" w14:textId="77777777" w:rsidR="00D86C64" w:rsidRDefault="00D86C64" w:rsidP="00D86C64">
      <w:pPr>
        <w:spacing w:line="360" w:lineRule="auto"/>
        <w:jc w:val="both"/>
        <w:rPr>
          <w:rtl/>
        </w:rPr>
      </w:pPr>
      <w:r w:rsidRPr="006E5698">
        <w:rPr>
          <w:rtl/>
        </w:rPr>
        <w:t>ב</w:t>
      </w:r>
      <w:hyperlink r:id="rId23" w:history="1">
        <w:r w:rsidR="00B903D1" w:rsidRPr="00B903D1">
          <w:rPr>
            <w:color w:val="0000FF"/>
            <w:u w:val="single"/>
            <w:rtl/>
          </w:rPr>
          <w:t>ע"פ 7716/14</w:t>
        </w:r>
      </w:hyperlink>
      <w:r w:rsidRPr="006E5698">
        <w:rPr>
          <w:rtl/>
        </w:rPr>
        <w:t xml:space="preserve"> </w:t>
      </w:r>
      <w:r w:rsidRPr="006E5698">
        <w:rPr>
          <w:b/>
          <w:bCs/>
          <w:rtl/>
        </w:rPr>
        <w:t>אחמד אבו סעיפאן נ' מ"י</w:t>
      </w:r>
      <w:r w:rsidRPr="006E5698">
        <w:rPr>
          <w:rtl/>
        </w:rPr>
        <w:t xml:space="preserve"> (20.4.2015) - נגזר על המערער, אשר הסתנן מרצועת עזה לישראל כשברשותו סכין בצוותא עם אחר, עונש של 26 חודשי מאסר, תוך שנקבע מתחם עונש הולם הנע בין 18-40 חודשי מאסר. הערעור נדחה ונקבע כי מדובר בעונש הולם אשר התחשב בגיל הצעיר ובהעדר עבר פלילי של המערערים, וצוין כי מתחם הענישה שנקבע אינו חורג ממדיניות הענישה הראויה. </w:t>
      </w:r>
    </w:p>
    <w:p w14:paraId="40721B64" w14:textId="77777777" w:rsidR="00D86C64" w:rsidRDefault="00D86C64" w:rsidP="00D86C64">
      <w:pPr>
        <w:spacing w:line="360" w:lineRule="auto"/>
        <w:jc w:val="both"/>
        <w:rPr>
          <w:rtl/>
        </w:rPr>
      </w:pPr>
    </w:p>
    <w:p w14:paraId="749192BB" w14:textId="77777777" w:rsidR="00D86C64" w:rsidRDefault="00D86C64" w:rsidP="00D86C64">
      <w:pPr>
        <w:spacing w:line="360" w:lineRule="auto"/>
        <w:jc w:val="both"/>
        <w:rPr>
          <w:rtl/>
        </w:rPr>
      </w:pPr>
      <w:r w:rsidRPr="006E5698">
        <w:rPr>
          <w:rtl/>
        </w:rPr>
        <w:t xml:space="preserve">בע"פ </w:t>
      </w:r>
      <w:hyperlink r:id="rId24" w:history="1">
        <w:r w:rsidR="0096203F" w:rsidRPr="0096203F">
          <w:rPr>
            <w:color w:val="0000FF"/>
            <w:u w:val="single"/>
            <w:rtl/>
          </w:rPr>
          <w:t xml:space="preserve">5059/09 </w:t>
        </w:r>
      </w:hyperlink>
      <w:r w:rsidRPr="006E5698">
        <w:rPr>
          <w:rtl/>
        </w:rPr>
        <w:t xml:space="preserve"> </w:t>
      </w:r>
      <w:r w:rsidRPr="006E5698">
        <w:rPr>
          <w:b/>
          <w:bCs/>
          <w:rtl/>
        </w:rPr>
        <w:t xml:space="preserve">מ"י נ' מוחמד שרתאחה </w:t>
      </w:r>
      <w:r w:rsidRPr="006E5698">
        <w:rPr>
          <w:rtl/>
        </w:rPr>
        <w:t xml:space="preserve">(15.10.2009) – חדר המשיב תושב רצועת עזה, לישראל, לאחר שחתך את גדר הגבול. הוא נעצר וגורש לרצועה, אולם בחודש דצמבר 2008, שב ונכנס לישראל, הפעם דרך הגבול עם מצרים, ואת זאת עשה לאחר שזומן לחקירה על ידי אנשי חמא"ס בחשד למעורבות בסחר בסמים. הפעם נעצר המשיב בבית חולים בפתח-תקוה, לשם הגיע  כדי לבקר את קרובת משפחתו. המשיב הורשע בעבירות של הסתננות ופגיעה ברכוש שהיה בה כדי לפגוע בבטחון המשינה ונדון ל – 12 חדשי מאסר בפועל. ערעור המדינה התקבל ועונשו של המשיב הוחמר ל – 24 חדשי מאסר בפועל, וזאת נוכח כך שערכאת הערעור אינה ממצה את הדין, ונפסק כי : </w:t>
      </w:r>
      <w:r w:rsidRPr="006E5698">
        <w:rPr>
          <w:b/>
          <w:bCs/>
          <w:rtl/>
        </w:rPr>
        <w:t>"במעשים מסוג זה גלומה סכנה מופלגת לציבור ולכוחות הביטחון, ועל כן נכון היה להגיב עליהם בענישה קשה כדי להרתיע את הרבים ולהפוך אותם ללא כדאיים".</w:t>
      </w:r>
    </w:p>
    <w:p w14:paraId="0FB7141C" w14:textId="77777777" w:rsidR="00D86C64" w:rsidRDefault="00D86C64" w:rsidP="00D86C64">
      <w:pPr>
        <w:spacing w:line="360" w:lineRule="auto"/>
        <w:jc w:val="both"/>
        <w:rPr>
          <w:rtl/>
        </w:rPr>
      </w:pPr>
    </w:p>
    <w:p w14:paraId="7D8B3987" w14:textId="77777777" w:rsidR="00D86C64" w:rsidRDefault="00D86C64" w:rsidP="00D86C64">
      <w:pPr>
        <w:spacing w:line="360" w:lineRule="auto"/>
        <w:jc w:val="both"/>
        <w:rPr>
          <w:rtl/>
        </w:rPr>
      </w:pPr>
      <w:r w:rsidRPr="006E5698">
        <w:rPr>
          <w:rtl/>
        </w:rPr>
        <w:t>ב</w:t>
      </w:r>
      <w:hyperlink r:id="rId25" w:history="1">
        <w:r w:rsidR="00B903D1" w:rsidRPr="00B903D1">
          <w:rPr>
            <w:color w:val="0000FF"/>
            <w:u w:val="single"/>
            <w:rtl/>
          </w:rPr>
          <w:t>עפ"ג (מחוזי באר שבע) 30475-12-13</w:t>
        </w:r>
      </w:hyperlink>
      <w:r w:rsidRPr="006E5698">
        <w:rPr>
          <w:rtl/>
        </w:rPr>
        <w:t xml:space="preserve"> </w:t>
      </w:r>
      <w:r w:rsidRPr="006E5698">
        <w:rPr>
          <w:b/>
          <w:bCs/>
          <w:rtl/>
        </w:rPr>
        <w:t>מ"י נ' מוחמד אל בלעאוי ואח'</w:t>
      </w:r>
      <w:r w:rsidRPr="006E5698">
        <w:rPr>
          <w:rtl/>
        </w:rPr>
        <w:t xml:space="preserve"> (25.12.2013) התקבל ערעור המדינה על קולת העונש שהוטל על ארבעת המשיבים בגין עבירות הסתננות, שאינה הסתננות מזויינת. העונשים אשר הוטלו היו בין 7 ל – 9 חודשי מאסר בפועל. בערעור נקבע כי מתחם העונש ההולם בעבירת הסתננות (לפי סעיף 2 – ולא הסתננות מזויינת) הינו בין שנה אחת לשתי שנות מאסר, ועונשם הוחמר, כך שעל שלושה הוטלו 12 חודשי מאסר ועל הרביעי 11 חודשי מאסר, לאור גילו הצעיר.</w:t>
      </w:r>
    </w:p>
    <w:p w14:paraId="612AFB8F" w14:textId="77777777" w:rsidR="00D86C64" w:rsidRDefault="00D86C64" w:rsidP="00D86C64">
      <w:pPr>
        <w:spacing w:line="360" w:lineRule="auto"/>
        <w:jc w:val="both"/>
        <w:rPr>
          <w:rtl/>
        </w:rPr>
      </w:pPr>
    </w:p>
    <w:p w14:paraId="49017F2E" w14:textId="77777777" w:rsidR="00D86C64" w:rsidRDefault="00D86C64" w:rsidP="00D86C64">
      <w:pPr>
        <w:spacing w:line="360" w:lineRule="auto"/>
        <w:jc w:val="both"/>
        <w:rPr>
          <w:rtl/>
        </w:rPr>
      </w:pPr>
      <w:r w:rsidRPr="006E5698">
        <w:rPr>
          <w:rtl/>
        </w:rPr>
        <w:t>ב</w:t>
      </w:r>
      <w:hyperlink r:id="rId26" w:history="1">
        <w:r w:rsidR="00B903D1" w:rsidRPr="00B903D1">
          <w:rPr>
            <w:color w:val="0000FF"/>
            <w:u w:val="single"/>
            <w:rtl/>
          </w:rPr>
          <w:t>ת"פ (מחוזי באר שבע) 36418-08-14</w:t>
        </w:r>
      </w:hyperlink>
      <w:r w:rsidRPr="006E5698">
        <w:rPr>
          <w:rtl/>
        </w:rPr>
        <w:t xml:space="preserve"> </w:t>
      </w:r>
      <w:r w:rsidRPr="006E5698">
        <w:rPr>
          <w:b/>
          <w:bCs/>
          <w:rtl/>
        </w:rPr>
        <w:t>מ"י נ' אבו עוילי</w:t>
      </w:r>
      <w:r w:rsidRPr="006E5698">
        <w:rPr>
          <w:rtl/>
        </w:rPr>
        <w:t xml:space="preserve"> (10.2.2014) – הנאשם הורשע בעבירת הסתננות מזויינת כאשר ברשותו סכין יפנית וסכין גדולה נוספת, הסדר הטיעון כלל רף ענישה עליון של 2.5 שנות מאסר, ונגזרו 26 חודשי מאסר, כאשר נקבע כי מתחם העונש ההולם נע בין 18 ל- 40 חודשי מאסר בפועל. </w:t>
      </w:r>
    </w:p>
    <w:p w14:paraId="5978E692" w14:textId="77777777" w:rsidR="00D86C64" w:rsidRDefault="00D86C64" w:rsidP="00D86C64">
      <w:pPr>
        <w:spacing w:line="360" w:lineRule="auto"/>
        <w:jc w:val="both"/>
        <w:rPr>
          <w:rtl/>
        </w:rPr>
      </w:pPr>
    </w:p>
    <w:p w14:paraId="0E32473C" w14:textId="77777777" w:rsidR="00D86C64" w:rsidRDefault="00D86C64" w:rsidP="00D86C64">
      <w:pPr>
        <w:spacing w:line="360" w:lineRule="auto"/>
        <w:jc w:val="both"/>
        <w:rPr>
          <w:rtl/>
        </w:rPr>
      </w:pPr>
      <w:r w:rsidRPr="006E5698">
        <w:rPr>
          <w:rtl/>
        </w:rPr>
        <w:t>ב</w:t>
      </w:r>
      <w:hyperlink r:id="rId27" w:history="1">
        <w:r w:rsidR="00B903D1" w:rsidRPr="00B903D1">
          <w:rPr>
            <w:color w:val="0000FF"/>
            <w:u w:val="single"/>
            <w:rtl/>
          </w:rPr>
          <w:t>ת"פ 8999-05-14</w:t>
        </w:r>
      </w:hyperlink>
      <w:r w:rsidRPr="006E5698">
        <w:rPr>
          <w:rtl/>
        </w:rPr>
        <w:t xml:space="preserve"> (מחוזי באר שבע) </w:t>
      </w:r>
      <w:r w:rsidRPr="006E5698">
        <w:rPr>
          <w:b/>
          <w:bCs/>
          <w:rtl/>
        </w:rPr>
        <w:t>מ"י נ' חאתם אבו סליסל</w:t>
      </w:r>
      <w:r w:rsidRPr="006E5698">
        <w:rPr>
          <w:rtl/>
        </w:rPr>
        <w:t xml:space="preserve"> (23.7.2014) – הנאשם הורשע בעבירת הסתננות מזויינת כאשר הסתנן מרצועת עזה לישראל כשברשותו סכין, ונגזר עליו עונש של 17 חודשי מאסר בפועל כאשר נקבע כי מתחם העונש ההולם נע בין 1-3 שנות מאסר בפועל, וצויין כי יש גם ליתן דגש ומשקל לסוג הסכין אשר עמה בוצעה עבירת ההסתננות. </w:t>
      </w:r>
    </w:p>
    <w:p w14:paraId="39E37442" w14:textId="77777777" w:rsidR="00D86C64" w:rsidRDefault="00D86C64" w:rsidP="00D86C64">
      <w:pPr>
        <w:spacing w:line="360" w:lineRule="auto"/>
        <w:jc w:val="both"/>
        <w:rPr>
          <w:rtl/>
        </w:rPr>
      </w:pPr>
    </w:p>
    <w:p w14:paraId="65EFC8F0" w14:textId="77777777" w:rsidR="00D86C64" w:rsidRDefault="00D86C64" w:rsidP="00D86C64">
      <w:pPr>
        <w:spacing w:line="360" w:lineRule="auto"/>
        <w:jc w:val="both"/>
        <w:rPr>
          <w:rtl/>
        </w:rPr>
      </w:pPr>
      <w:r w:rsidRPr="006E5698">
        <w:rPr>
          <w:rtl/>
        </w:rPr>
        <w:t>ב</w:t>
      </w:r>
      <w:hyperlink r:id="rId28" w:history="1">
        <w:r w:rsidR="00B903D1" w:rsidRPr="00B903D1">
          <w:rPr>
            <w:color w:val="0000FF"/>
            <w:u w:val="single"/>
            <w:rtl/>
          </w:rPr>
          <w:t>ת"פ 39377-03-13</w:t>
        </w:r>
      </w:hyperlink>
      <w:r w:rsidRPr="006E5698">
        <w:rPr>
          <w:rtl/>
        </w:rPr>
        <w:t xml:space="preserve"> (מחוזי באר שבע) </w:t>
      </w:r>
      <w:r w:rsidRPr="006E5698">
        <w:rPr>
          <w:b/>
          <w:bCs/>
          <w:rtl/>
        </w:rPr>
        <w:t>מדינת ישראל נ' נאג'י אבו שמלה</w:t>
      </w:r>
      <w:r w:rsidRPr="006E5698">
        <w:rPr>
          <w:rtl/>
        </w:rPr>
        <w:t xml:space="preserve"> (20.2.2014) – הנאשם הורשע בהסתננות בצוותא עם שניים אחרים תוך נשיאת סכינים יפניות, ונגזר עליהם 10 חודשי מאסר ונקבע כי מתחם העונש בגין עבירת הסתננות מזויינת בצוותא תוך נשיאת סכינים שאינם סכיני תקיפה מובהקים וללא מניע בטחוני, נע בין 9 ל 30 חודשי מאסר בפועל.  </w:t>
      </w:r>
    </w:p>
    <w:p w14:paraId="3AFC8B89" w14:textId="77777777" w:rsidR="00D86C64" w:rsidRDefault="00D86C64" w:rsidP="00D86C64">
      <w:pPr>
        <w:spacing w:line="360" w:lineRule="auto"/>
        <w:jc w:val="both"/>
        <w:rPr>
          <w:rtl/>
        </w:rPr>
      </w:pPr>
    </w:p>
    <w:p w14:paraId="0581D346" w14:textId="77777777" w:rsidR="00D86C64" w:rsidRPr="00745C12" w:rsidRDefault="00D86C64" w:rsidP="00D86C64">
      <w:pPr>
        <w:spacing w:line="360" w:lineRule="auto"/>
        <w:jc w:val="both"/>
        <w:rPr>
          <w:rtl/>
        </w:rPr>
      </w:pPr>
      <w:r w:rsidRPr="00745C12">
        <w:rPr>
          <w:rtl/>
        </w:rPr>
        <w:t>ב</w:t>
      </w:r>
      <w:hyperlink r:id="rId29" w:history="1">
        <w:r w:rsidR="00B903D1" w:rsidRPr="00B903D1">
          <w:rPr>
            <w:color w:val="0000FF"/>
            <w:u w:val="single"/>
            <w:rtl/>
          </w:rPr>
          <w:t>תפ"ח 68386-05-19</w:t>
        </w:r>
      </w:hyperlink>
      <w:r w:rsidRPr="00745C12">
        <w:rPr>
          <w:rtl/>
        </w:rPr>
        <w:t xml:space="preserve"> (מחוזי באר שבע) </w:t>
      </w:r>
      <w:r w:rsidRPr="00745C12">
        <w:rPr>
          <w:b/>
          <w:bCs/>
          <w:rtl/>
        </w:rPr>
        <w:t>מ"י נ' אבו שמאס</w:t>
      </w:r>
      <w:r w:rsidRPr="00745C12">
        <w:rPr>
          <w:rtl/>
        </w:rPr>
        <w:t xml:space="preserve"> (7.11.2019) – הנאשם הורשע במסגרת הסדר טיעון אשר כלל הסכמות עונשיות, בעבירות של הסתננות לפי </w:t>
      </w:r>
      <w:hyperlink r:id="rId30" w:history="1">
        <w:r w:rsidR="00347266" w:rsidRPr="00347266">
          <w:rPr>
            <w:rStyle w:val="Hyperlink"/>
            <w:rtl/>
          </w:rPr>
          <w:t>סעיף 2</w:t>
        </w:r>
      </w:hyperlink>
      <w:r w:rsidRPr="00745C12">
        <w:rPr>
          <w:rtl/>
        </w:rPr>
        <w:t xml:space="preserve"> לחוק למניעת הסתננות, נשיאת נשק לפי </w:t>
      </w:r>
      <w:hyperlink r:id="rId31" w:history="1">
        <w:r w:rsidR="00347266" w:rsidRPr="00347266">
          <w:rPr>
            <w:rStyle w:val="Hyperlink"/>
            <w:rtl/>
          </w:rPr>
          <w:t>סעיף 144(ב)</w:t>
        </w:r>
      </w:hyperlink>
      <w:r w:rsidRPr="00745C12">
        <w:rPr>
          <w:rtl/>
        </w:rPr>
        <w:t xml:space="preserve"> ל</w:t>
      </w:r>
      <w:hyperlink r:id="rId32" w:history="1">
        <w:r w:rsidR="00B903D1" w:rsidRPr="00B903D1">
          <w:rPr>
            <w:color w:val="0000FF"/>
            <w:u w:val="single"/>
            <w:rtl/>
          </w:rPr>
          <w:t>חוק העונשין</w:t>
        </w:r>
      </w:hyperlink>
      <w:r w:rsidRPr="00745C12">
        <w:rPr>
          <w:rtl/>
        </w:rPr>
        <w:t xml:space="preserve"> והיזק בזדון לפי </w:t>
      </w:r>
      <w:hyperlink r:id="rId33" w:history="1">
        <w:r w:rsidR="00347266" w:rsidRPr="00347266">
          <w:rPr>
            <w:rStyle w:val="Hyperlink"/>
            <w:rtl/>
          </w:rPr>
          <w:t>סעיף 452</w:t>
        </w:r>
      </w:hyperlink>
      <w:r w:rsidRPr="00745C12">
        <w:rPr>
          <w:rtl/>
        </w:rPr>
        <w:t xml:space="preserve"> לחוק העונשין. הנאשם, תושב עזה, החליט לחצות את גבול רצועת עזה ולהיכנס לישראל שלא כדין, הצטייד במספרים לחיתוך הגדר ורימון יד, כדי שאם ייתפס על ידי חיילי צה"ל, ייעצר ולא יוחזר לרצועת עזה. הנאשם הגיע בעודו מצוייד ברימון יד אשר היה לנאשם יסוד להניח כי היה תקול, לגדר, חתך את הגדר ונכנס לישראל שלא כדין. חיילי צה"ל שהגיעו למקום עצרו את הנאשם ונטרלו את רימון היד שהיה ברשותו. הצדדים הגיעו להסכמה עונשית על הטלת מאסר למשך 18 חודשים. בית המשפט כיבד את ההסדר ובשיקולים הובאה העובדה שנסיבות עבירת נשיאת הנשק אינן ברף גבוה לאור כך שלפי כתב האישום המתוקן, היה לנאשם יסוד להניח מלכתחילה שהרימון אינו שמיש ולא יתפוצץ. אמנם מדובר בהסדר טיעון, אולם הנסיבות שם אשר כללו החזקת רימון היו ברף נמוך מהנסיבות בענייננו הואיל ובענייננו מדובר ברימון רסס שבכוחו להמית, ושם מדובר היה ברימון שלנאשם היה יסוד להניח כי אינו שמיש ולא יתפוצץ. הנסיבות החמורות יותר בענייננו צריכות לבוא לידי ביטוי בקביעת המתחם. </w:t>
      </w:r>
    </w:p>
    <w:p w14:paraId="6092E95D" w14:textId="77777777" w:rsidR="00D86C64" w:rsidRDefault="00D86C64" w:rsidP="00D86C64">
      <w:pPr>
        <w:spacing w:line="360" w:lineRule="auto"/>
        <w:jc w:val="both"/>
        <w:rPr>
          <w:rtl/>
        </w:rPr>
      </w:pPr>
    </w:p>
    <w:p w14:paraId="7F0F72D1" w14:textId="77777777" w:rsidR="00D86C64" w:rsidRDefault="00D86C64" w:rsidP="00D86C64">
      <w:pPr>
        <w:spacing w:line="360" w:lineRule="auto"/>
        <w:jc w:val="both"/>
        <w:rPr>
          <w:rtl/>
        </w:rPr>
      </w:pPr>
      <w:r w:rsidRPr="006E5698">
        <w:rPr>
          <w:rtl/>
        </w:rPr>
        <w:t>על מתחם העונש ההולם לבטא את חומרת נסיבות ביצוע העביר</w:t>
      </w:r>
      <w:r>
        <w:rPr>
          <w:rFonts w:hint="cs"/>
          <w:rtl/>
        </w:rPr>
        <w:t>ות</w:t>
      </w:r>
      <w:r w:rsidRPr="006E5698">
        <w:rPr>
          <w:rtl/>
        </w:rPr>
        <w:t xml:space="preserve">, את הצורך להרתיע הן את הנאשמים והן את הרבים, ועל הענישה לבטא את הצורך בהגנה על הציבור. הצורך במיגור תופעת ההסתננות המזוינת מחייב ענישה מחמירה. </w:t>
      </w:r>
    </w:p>
    <w:p w14:paraId="0EB4BA8F" w14:textId="77777777" w:rsidR="00D86C64" w:rsidRDefault="00D86C64" w:rsidP="00D86C64">
      <w:pPr>
        <w:spacing w:line="360" w:lineRule="auto"/>
        <w:jc w:val="both"/>
        <w:rPr>
          <w:rtl/>
        </w:rPr>
      </w:pPr>
    </w:p>
    <w:p w14:paraId="4665B287" w14:textId="77777777" w:rsidR="00D86C64" w:rsidRDefault="00D86C64" w:rsidP="00D86C64">
      <w:pPr>
        <w:spacing w:line="360" w:lineRule="auto"/>
        <w:jc w:val="both"/>
        <w:rPr>
          <w:rtl/>
        </w:rPr>
      </w:pPr>
      <w:r w:rsidRPr="006E5698">
        <w:rPr>
          <w:rtl/>
        </w:rPr>
        <w:t>הפסיקה דלעיל עיקרה בנסיבות בהן ההסתננות היתה תוך החזקת סכין, או אף הסתננות בלבד</w:t>
      </w:r>
      <w:r>
        <w:rPr>
          <w:rFonts w:hint="cs"/>
          <w:rtl/>
        </w:rPr>
        <w:t>, לצד הסדר טיעון אשר פורט לעיל ביחס להסתננות עם רימון אשר הנאשם שם חשב שהוא תקול.</w:t>
      </w:r>
      <w:r w:rsidRPr="006E5698">
        <w:rPr>
          <w:rtl/>
        </w:rPr>
        <w:t xml:space="preserve"> בענייננו מדובר בהסתננות אשר בוצעה כאשר הנאשמים מצויידים ברימון רסס ובסכין, וזוהי נסיבה מחמירה באופן משמעותי, כאשר לצד עבירת ההסתננות עבירת נשיאת נשק.</w:t>
      </w:r>
    </w:p>
    <w:p w14:paraId="467EAFD2" w14:textId="77777777" w:rsidR="00D86C64" w:rsidRDefault="00D86C64" w:rsidP="00D86C64">
      <w:pPr>
        <w:spacing w:line="360" w:lineRule="auto"/>
        <w:jc w:val="both"/>
        <w:rPr>
          <w:rtl/>
        </w:rPr>
      </w:pPr>
    </w:p>
    <w:p w14:paraId="052BEFC6" w14:textId="77777777" w:rsidR="00D86C64" w:rsidRDefault="00D86C64" w:rsidP="00D86C64">
      <w:pPr>
        <w:spacing w:line="360" w:lineRule="auto"/>
        <w:jc w:val="both"/>
        <w:rPr>
          <w:rtl/>
        </w:rPr>
      </w:pPr>
      <w:r w:rsidRPr="006E5698">
        <w:rPr>
          <w:rtl/>
        </w:rPr>
        <w:t xml:space="preserve">הפוטנציאל לסיכון חיי אדם בהחזקת הרימון צריך להביא להחמרה בענישה, גם אם הפוטנציאל לא מומש ולא יצא אל הפועל.  </w:t>
      </w:r>
    </w:p>
    <w:p w14:paraId="019A224D" w14:textId="77777777" w:rsidR="00D86C64" w:rsidRDefault="00D86C64" w:rsidP="00D86C64">
      <w:pPr>
        <w:spacing w:line="360" w:lineRule="auto"/>
        <w:jc w:val="both"/>
        <w:rPr>
          <w:rtl/>
        </w:rPr>
      </w:pPr>
    </w:p>
    <w:p w14:paraId="11228D43" w14:textId="77777777" w:rsidR="00D86C64" w:rsidRDefault="00D86C64" w:rsidP="00D86C64">
      <w:pPr>
        <w:spacing w:line="360" w:lineRule="auto"/>
        <w:jc w:val="both"/>
        <w:rPr>
          <w:rtl/>
        </w:rPr>
      </w:pPr>
      <w:r w:rsidRPr="006E5698">
        <w:rPr>
          <w:rtl/>
        </w:rPr>
        <w:t xml:space="preserve">הנאשמים מובילים רימון אשר לו פוטנציאל הרג ללא אבחנה, ועל מתחם העונש ההולם לבטא את המענה העונשי הראוי וההולם לחומרה זו של נסיבות ביצוע העבירה. </w:t>
      </w:r>
    </w:p>
    <w:p w14:paraId="7591FA09" w14:textId="77777777" w:rsidR="00D86C64" w:rsidRDefault="00D86C64" w:rsidP="00D86C64">
      <w:pPr>
        <w:spacing w:line="360" w:lineRule="auto"/>
        <w:jc w:val="both"/>
        <w:rPr>
          <w:rtl/>
        </w:rPr>
      </w:pPr>
    </w:p>
    <w:p w14:paraId="7C322789" w14:textId="77777777" w:rsidR="00D86C64" w:rsidRDefault="00D86C64" w:rsidP="00D86C64">
      <w:pPr>
        <w:spacing w:line="360" w:lineRule="auto"/>
        <w:jc w:val="both"/>
        <w:rPr>
          <w:rtl/>
        </w:rPr>
      </w:pPr>
      <w:r w:rsidRPr="006E5698">
        <w:rPr>
          <w:rtl/>
        </w:rPr>
        <w:t>ב"כ הנאשמים טען ביחס לשינוי המדיניות אשר נעשה בעבר, לפיה לא היו מועמדים לדין מסתננים בעבירת הסתננות בלבד, ואף מסתננים שהיו עם סכין בלבד, היו מושבים חזרה ללא העמדה לדין. נטען כי כעת קיים שוני בהעמדה לדין ומעמידים לדין מסתננים עם רימון. ואולם, שינוי המדיניות בוצע ביחס למי שהיו מסתננים ללא נשק או כשהם נושאים סכין, ולא נטען כי שינוי מדיניות זה היה גם ביחס למי אשר מחזיקים ברשותם רימון רסס.</w:t>
      </w:r>
    </w:p>
    <w:p w14:paraId="2B23A988" w14:textId="77777777" w:rsidR="00D86C64" w:rsidRDefault="00D86C64" w:rsidP="00D86C64">
      <w:pPr>
        <w:spacing w:line="360" w:lineRule="auto"/>
        <w:jc w:val="both"/>
        <w:rPr>
          <w:rtl/>
        </w:rPr>
      </w:pPr>
    </w:p>
    <w:p w14:paraId="122B9C81" w14:textId="77777777" w:rsidR="00D86C64" w:rsidRDefault="00D86C64" w:rsidP="00D86C64">
      <w:pPr>
        <w:spacing w:line="360" w:lineRule="auto"/>
        <w:jc w:val="both"/>
        <w:rPr>
          <w:rtl/>
        </w:rPr>
      </w:pPr>
      <w:r w:rsidRPr="006E5698">
        <w:rPr>
          <w:rtl/>
        </w:rPr>
        <w:t xml:space="preserve">לשינוי המדיניות התייחסה הפסיקה בעבר, ואולם מדובר היה כאמור בהסתננות ללא כל נשק או עם סכין בלבד. ר' </w:t>
      </w:r>
      <w:hyperlink r:id="rId34" w:history="1">
        <w:r w:rsidR="00B903D1" w:rsidRPr="00B903D1">
          <w:rPr>
            <w:color w:val="0000FF"/>
            <w:u w:val="single"/>
            <w:rtl/>
          </w:rPr>
          <w:t>רע"פ 6916/16</w:t>
        </w:r>
      </w:hyperlink>
      <w:r w:rsidRPr="006E5698">
        <w:rPr>
          <w:rtl/>
        </w:rPr>
        <w:t xml:space="preserve"> </w:t>
      </w:r>
      <w:r w:rsidRPr="006E5698">
        <w:rPr>
          <w:b/>
          <w:bCs/>
          <w:rtl/>
        </w:rPr>
        <w:t>כרם קרינאוי נ' מ"י</w:t>
      </w:r>
      <w:r w:rsidRPr="006E5698">
        <w:rPr>
          <w:rtl/>
        </w:rPr>
        <w:t xml:space="preserve"> (6.12.2016) בו ההסתננות היתה עם סכין, ו</w:t>
      </w:r>
      <w:hyperlink r:id="rId35" w:history="1">
        <w:r w:rsidR="00B903D1" w:rsidRPr="00B903D1">
          <w:rPr>
            <w:color w:val="0000FF"/>
            <w:u w:val="single"/>
            <w:rtl/>
          </w:rPr>
          <w:t>ע"פ 1207/16</w:t>
        </w:r>
      </w:hyperlink>
      <w:r w:rsidRPr="006E5698">
        <w:rPr>
          <w:rtl/>
        </w:rPr>
        <w:t xml:space="preserve"> </w:t>
      </w:r>
      <w:r w:rsidRPr="006E5698">
        <w:rPr>
          <w:b/>
          <w:bCs/>
          <w:rtl/>
        </w:rPr>
        <w:t>סלים אבו עיאש נ' מ"י</w:t>
      </w:r>
      <w:r w:rsidRPr="006E5698">
        <w:rPr>
          <w:rtl/>
        </w:rPr>
        <w:t xml:space="preserve"> (21.4.2016) בו ההסתננות היתה תוך התפרעות של עשרות מתפרעים.</w:t>
      </w:r>
    </w:p>
    <w:p w14:paraId="2E1FA907" w14:textId="77777777" w:rsidR="00D86C64" w:rsidRDefault="00D86C64" w:rsidP="00D86C64">
      <w:pPr>
        <w:spacing w:line="360" w:lineRule="auto"/>
        <w:jc w:val="both"/>
        <w:rPr>
          <w:rtl/>
        </w:rPr>
      </w:pPr>
    </w:p>
    <w:p w14:paraId="0FA432CF" w14:textId="77777777" w:rsidR="00D86C64" w:rsidRDefault="00D86C64" w:rsidP="00D86C64">
      <w:pPr>
        <w:spacing w:line="360" w:lineRule="auto"/>
        <w:jc w:val="both"/>
        <w:rPr>
          <w:rtl/>
        </w:rPr>
      </w:pPr>
      <w:r w:rsidRPr="006E5698">
        <w:rPr>
          <w:rtl/>
        </w:rPr>
        <w:t>הנאשמים הסתננו כשברשותם רימון רסס וסכין שהחזיקו בצוותא חדא. שינוי המדיניות לא התייחס לנסיבות שכאלו של הסתננות הכוללות החזקה גם של רימון. לפיכך אין באותו שינוי כדי להקים טענה כנגד מעצרם, או להקלה בעונש.</w:t>
      </w:r>
    </w:p>
    <w:p w14:paraId="293DEAB2" w14:textId="77777777" w:rsidR="00D86C64" w:rsidRDefault="00D86C64" w:rsidP="00D86C64">
      <w:pPr>
        <w:spacing w:line="360" w:lineRule="auto"/>
        <w:jc w:val="both"/>
      </w:pPr>
    </w:p>
    <w:p w14:paraId="47616AAE" w14:textId="77777777" w:rsidR="00D86C64" w:rsidRDefault="00D86C64" w:rsidP="00D86C64">
      <w:pPr>
        <w:spacing w:line="360" w:lineRule="auto"/>
        <w:jc w:val="both"/>
        <w:rPr>
          <w:rtl/>
        </w:rPr>
      </w:pPr>
      <w:r w:rsidRPr="006E5698">
        <w:rPr>
          <w:rtl/>
        </w:rPr>
        <w:t>לעצם החזקת הרימון, ולהסתננות עימ</w:t>
      </w:r>
      <w:r>
        <w:rPr>
          <w:rFonts w:hint="cs"/>
          <w:rtl/>
        </w:rPr>
        <w:t>ו</w:t>
      </w:r>
      <w:r w:rsidRPr="006E5698">
        <w:rPr>
          <w:rtl/>
        </w:rPr>
        <w:t>, יש היבט של סכנה, אשר הינה חמורה משמעותית מהחזקת סכין.</w:t>
      </w:r>
    </w:p>
    <w:p w14:paraId="7F468201" w14:textId="77777777" w:rsidR="00D86C64" w:rsidRDefault="00D86C64" w:rsidP="00D86C64">
      <w:pPr>
        <w:spacing w:line="360" w:lineRule="auto"/>
        <w:jc w:val="both"/>
        <w:rPr>
          <w:rtl/>
        </w:rPr>
      </w:pPr>
    </w:p>
    <w:p w14:paraId="4EF656AD" w14:textId="77777777" w:rsidR="00D86C64" w:rsidRDefault="00D86C64" w:rsidP="00D86C64">
      <w:pPr>
        <w:spacing w:line="360" w:lineRule="auto"/>
        <w:jc w:val="both"/>
        <w:rPr>
          <w:rtl/>
        </w:rPr>
      </w:pPr>
      <w:r w:rsidRPr="006E5698">
        <w:rPr>
          <w:rtl/>
        </w:rPr>
        <w:t xml:space="preserve">בכניסתם של הנאשמים לישראל כאשר הם מחזיקים בצוותא חדא ברימון ובסכין, יש כדי להעצים את הסיכון שנוצר עם כניסתם. בנסיבות העניין לא נמצאה אינדיקציה לכך שהנאשמים התכוונו לעשות שימוש ברימון או בסכין כלפי כוחות הביטחון או אזרחי המדינה, אולם במעשים אלו גלומה מסוכנות אשר צריכה למענה עונשי הולם. </w:t>
      </w:r>
    </w:p>
    <w:p w14:paraId="5B67FD7E" w14:textId="77777777" w:rsidR="00D86C64" w:rsidRDefault="00D86C64" w:rsidP="00D86C64">
      <w:pPr>
        <w:spacing w:line="360" w:lineRule="auto"/>
        <w:jc w:val="both"/>
        <w:rPr>
          <w:rtl/>
        </w:rPr>
      </w:pPr>
    </w:p>
    <w:p w14:paraId="3F74B206" w14:textId="77777777" w:rsidR="00D86C64" w:rsidRDefault="00D86C64" w:rsidP="00D86C64">
      <w:pPr>
        <w:spacing w:line="360" w:lineRule="auto"/>
        <w:jc w:val="both"/>
        <w:rPr>
          <w:rtl/>
        </w:rPr>
      </w:pPr>
      <w:r w:rsidRPr="006E5698">
        <w:rPr>
          <w:rtl/>
        </w:rPr>
        <w:t>המצב הביטחוני בגבול ממנו הסתננו הנאשמים, עודנו מצב בטחוני נפיץ, ועל הענישה לבטא את חומרת המעשה בנסיבות אלו.</w:t>
      </w:r>
    </w:p>
    <w:p w14:paraId="7ADE758E" w14:textId="77777777" w:rsidR="00D86C64" w:rsidRDefault="00D86C64" w:rsidP="00D86C64">
      <w:pPr>
        <w:spacing w:line="360" w:lineRule="auto"/>
        <w:jc w:val="both"/>
        <w:rPr>
          <w:rtl/>
        </w:rPr>
      </w:pPr>
    </w:p>
    <w:p w14:paraId="4350BF92" w14:textId="77777777" w:rsidR="00D86C64" w:rsidRDefault="00D86C64" w:rsidP="00D86C64">
      <w:pPr>
        <w:spacing w:line="360" w:lineRule="auto"/>
        <w:jc w:val="both"/>
        <w:rPr>
          <w:rtl/>
        </w:rPr>
      </w:pPr>
      <w:r w:rsidRPr="006E5698">
        <w:rPr>
          <w:rtl/>
        </w:rPr>
        <w:t>עבירת נשיאת הנשק, הרימון, לכשעצמה, מחייבת ענישה מחמירה. הצורך בהחמרה בעבירות נשק הודגש בשורת פסקי דין. התיקון ל</w:t>
      </w:r>
      <w:hyperlink r:id="rId36" w:history="1">
        <w:r w:rsidR="00B903D1" w:rsidRPr="00B903D1">
          <w:rPr>
            <w:color w:val="0000FF"/>
            <w:u w:val="single"/>
            <w:rtl/>
          </w:rPr>
          <w:t>חוק העונשין</w:t>
        </w:r>
      </w:hyperlink>
      <w:r w:rsidRPr="006E5698">
        <w:rPr>
          <w:rtl/>
        </w:rPr>
        <w:t xml:space="preserve"> ביחס לענישת המינימום בעבירות נשק אמנם אינו חל בעניינם של הנאשמים, אולם מגמת ההחמרה והצורך בה נקבעה זה מכבר. ר' לענין זה ע"פ </w:t>
      </w:r>
      <w:hyperlink r:id="rId37" w:history="1">
        <w:r w:rsidR="0096203F" w:rsidRPr="0096203F">
          <w:rPr>
            <w:color w:val="0000FF"/>
            <w:u w:val="single"/>
            <w:rtl/>
          </w:rPr>
          <w:t xml:space="preserve">1332/04 </w:t>
        </w:r>
      </w:hyperlink>
      <w:r w:rsidRPr="006E5698">
        <w:rPr>
          <w:rtl/>
        </w:rPr>
        <w:t xml:space="preserve"> מ"י נ' פס ואח' (19.4.2004): </w:t>
      </w:r>
      <w:r w:rsidRPr="006E5698">
        <w:rPr>
          <w:rFonts w:ascii="David" w:hAnsi="David"/>
          <w:b/>
          <w:bCs/>
          <w:rtl/>
        </w:rPr>
        <w:t xml:space="preserve">"גם אם נכון הדבר כי עד כה רמת הענישה בעבירות של החזקת נשק אינה גבוהה, הרי שהמציאות השוררת בארץ – זמינותו של נשק חם ורב עוצמה שיש עמו פוטנציאל להסלמת האלימות העבריינית והאידאולוגית כאחד – מחייבת מתן ביטוי עונשי הולם והחמרה ברמת הענישה", </w:t>
      </w:r>
      <w:r w:rsidRPr="006E5698">
        <w:rPr>
          <w:rFonts w:ascii="David" w:hAnsi="David"/>
          <w:rtl/>
        </w:rPr>
        <w:t xml:space="preserve">וכן </w:t>
      </w:r>
      <w:hyperlink r:id="rId38" w:history="1">
        <w:r w:rsidR="00B903D1" w:rsidRPr="00B903D1">
          <w:rPr>
            <w:rFonts w:ascii="David" w:hAnsi="David"/>
            <w:color w:val="0000FF"/>
            <w:u w:val="single"/>
            <w:rtl/>
          </w:rPr>
          <w:t>ע"פ 5336/16</w:t>
        </w:r>
      </w:hyperlink>
      <w:r w:rsidRPr="006E5698">
        <w:rPr>
          <w:rFonts w:ascii="David" w:hAnsi="David"/>
          <w:rtl/>
        </w:rPr>
        <w:t xml:space="preserve"> </w:t>
      </w:r>
      <w:r w:rsidRPr="006E5698">
        <w:rPr>
          <w:rFonts w:ascii="David" w:hAnsi="David"/>
          <w:b/>
          <w:bCs/>
          <w:rtl/>
        </w:rPr>
        <w:t xml:space="preserve">אברהם צדוק נ' מ"י </w:t>
      </w:r>
      <w:r w:rsidRPr="006E5698">
        <w:rPr>
          <w:rFonts w:ascii="David" w:hAnsi="David"/>
          <w:rtl/>
        </w:rPr>
        <w:t xml:space="preserve">(17.11.2013) – בו נפסק כי: </w:t>
      </w:r>
      <w:r w:rsidRPr="006E5698">
        <w:rPr>
          <w:rFonts w:ascii="David" w:hAnsi="David"/>
          <w:b/>
          <w:bCs/>
          <w:rtl/>
        </w:rPr>
        <w:t>"</w:t>
      </w:r>
      <w:r w:rsidRPr="006E5698">
        <w:rPr>
          <w:b/>
          <w:bCs/>
          <w:sz w:val="20"/>
          <w:rtl/>
        </w:rPr>
        <w:t xml:space="preserve">מסוכנותם הרבה של חומרי נפץ ומטעני חבלה, ידועה לכל בר-דעת. סכנת נפשות, פשוטו כמשמעו. שומה להרתם על מנת למגר תופעה של נשיאה והובלה של נשק. בחיי אדם עסקינן, ואין מקום לפשרות. ...". </w:t>
      </w:r>
    </w:p>
    <w:p w14:paraId="0BD22EF7" w14:textId="77777777" w:rsidR="00D86C64" w:rsidRDefault="00D86C64" w:rsidP="00D86C64">
      <w:pPr>
        <w:spacing w:line="360" w:lineRule="auto"/>
        <w:jc w:val="both"/>
        <w:rPr>
          <w:rtl/>
        </w:rPr>
      </w:pPr>
    </w:p>
    <w:p w14:paraId="196074ED" w14:textId="77777777" w:rsidR="00D86C64" w:rsidRDefault="00D86C64" w:rsidP="00D86C64">
      <w:pPr>
        <w:spacing w:line="360" w:lineRule="auto"/>
        <w:jc w:val="both"/>
        <w:rPr>
          <w:rtl/>
        </w:rPr>
      </w:pPr>
      <w:r w:rsidRPr="006E5698">
        <w:rPr>
          <w:rtl/>
        </w:rPr>
        <w:t xml:space="preserve">נתתי דעתי לעובדה שהנאשם 1 נשא את הסכין והנאשם 2 נשא את הרימון, אולם לא מצאתי מקום לערוך בשל כך אבחנה ביניהם לעניין קביעת המתחם, זאת לאור כך ששניהם קשרו קשר להסתנן עם רימון וסכין, ושניהם החזיקו ברימון ובסכין בצוותא חדא. כך על פי כתב האישום המתוקן. </w:t>
      </w:r>
    </w:p>
    <w:p w14:paraId="24726E9B" w14:textId="77777777" w:rsidR="00D86C64" w:rsidRDefault="00D86C64" w:rsidP="00D86C64">
      <w:pPr>
        <w:spacing w:line="360" w:lineRule="auto"/>
        <w:jc w:val="both"/>
        <w:rPr>
          <w:rtl/>
        </w:rPr>
      </w:pPr>
    </w:p>
    <w:p w14:paraId="550A0739" w14:textId="77777777" w:rsidR="00D86C64" w:rsidRDefault="00D86C64" w:rsidP="00D86C64">
      <w:pPr>
        <w:spacing w:line="360" w:lineRule="auto"/>
        <w:jc w:val="both"/>
        <w:rPr>
          <w:b/>
          <w:bCs/>
          <w:u w:val="single"/>
          <w:rtl/>
          <w:lang w:eastAsia="he-IL"/>
        </w:rPr>
      </w:pPr>
      <w:r w:rsidRPr="006E5698">
        <w:rPr>
          <w:rtl/>
        </w:rPr>
        <w:t>מכל האמור, אני מוצא את מתחם העונש ההולם, בגין העבירות אשר ביצעו הנאשמים, בנסיבות ביצוען, ככולל מאסר בפועל הנע בין  24 ל – 48 חודשי מאסר.</w:t>
      </w:r>
    </w:p>
    <w:p w14:paraId="7CC40A84" w14:textId="77777777" w:rsidR="00D86C64" w:rsidRDefault="00D86C64" w:rsidP="00D86C64">
      <w:pPr>
        <w:spacing w:line="360" w:lineRule="auto"/>
        <w:jc w:val="both"/>
        <w:rPr>
          <w:b/>
          <w:bCs/>
          <w:u w:val="single"/>
          <w:rtl/>
          <w:lang w:eastAsia="he-IL"/>
        </w:rPr>
      </w:pPr>
    </w:p>
    <w:p w14:paraId="07D470FA" w14:textId="77777777" w:rsidR="00D86C64" w:rsidRDefault="00D86C64" w:rsidP="00D86C64">
      <w:pPr>
        <w:spacing w:line="360" w:lineRule="auto"/>
        <w:jc w:val="both"/>
        <w:rPr>
          <w:rtl/>
          <w:lang w:eastAsia="he-IL"/>
        </w:rPr>
      </w:pPr>
      <w:r w:rsidRPr="006E5698">
        <w:rPr>
          <w:b/>
          <w:bCs/>
          <w:u w:val="single"/>
          <w:rtl/>
          <w:lang w:eastAsia="he-IL"/>
        </w:rPr>
        <w:t>הענישה</w:t>
      </w:r>
    </w:p>
    <w:p w14:paraId="7BFEE695" w14:textId="77777777" w:rsidR="00D86C64" w:rsidRDefault="00D86C64" w:rsidP="00D86C64">
      <w:pPr>
        <w:spacing w:line="360" w:lineRule="auto"/>
        <w:jc w:val="both"/>
        <w:rPr>
          <w:rtl/>
          <w:lang w:eastAsia="he-IL"/>
        </w:rPr>
      </w:pPr>
    </w:p>
    <w:p w14:paraId="7CE0D212" w14:textId="77777777" w:rsidR="00D86C64" w:rsidRDefault="00D86C64" w:rsidP="00D86C64">
      <w:pPr>
        <w:spacing w:line="360" w:lineRule="auto"/>
        <w:jc w:val="both"/>
        <w:rPr>
          <w:rtl/>
        </w:rPr>
      </w:pPr>
      <w:r w:rsidRPr="006E5698">
        <w:rPr>
          <w:rtl/>
          <w:lang w:eastAsia="he-IL"/>
        </w:rPr>
        <w:t>5.</w:t>
      </w:r>
      <w:r w:rsidRPr="006E5698">
        <w:rPr>
          <w:rtl/>
          <w:lang w:eastAsia="he-IL"/>
        </w:rPr>
        <w:tab/>
        <w:t>הנאשם 1 יליד 2001, הנאשם 2 יליד 1999, ושניהם נעדרי עבר פלילי.</w:t>
      </w:r>
    </w:p>
    <w:p w14:paraId="57E7E4C3" w14:textId="77777777" w:rsidR="00D86C64" w:rsidRDefault="00D86C64" w:rsidP="00D86C64">
      <w:pPr>
        <w:spacing w:line="360" w:lineRule="auto"/>
        <w:jc w:val="both"/>
        <w:rPr>
          <w:rtl/>
        </w:rPr>
      </w:pPr>
    </w:p>
    <w:p w14:paraId="76400027" w14:textId="77777777" w:rsidR="00D86C64" w:rsidRDefault="00D86C64" w:rsidP="00D86C64">
      <w:pPr>
        <w:spacing w:line="360" w:lineRule="auto"/>
        <w:jc w:val="both"/>
        <w:rPr>
          <w:rtl/>
        </w:rPr>
      </w:pPr>
      <w:r w:rsidRPr="006E5698">
        <w:rPr>
          <w:rtl/>
        </w:rPr>
        <w:t>שני הנאשמים מקבלים אחריות על מעשיהם, ובמסגרת השיקולים לקולא יש להביא את גילם הצעיר, את קבלת האחריות, ואת נסיבותיהם האישיות העולות מהטיעונים כאמור לעיל.</w:t>
      </w:r>
    </w:p>
    <w:p w14:paraId="1052C6EA" w14:textId="77777777" w:rsidR="00D86C64" w:rsidRDefault="00D86C64" w:rsidP="00D86C64">
      <w:pPr>
        <w:spacing w:line="360" w:lineRule="auto"/>
        <w:jc w:val="both"/>
        <w:rPr>
          <w:rtl/>
        </w:rPr>
      </w:pPr>
    </w:p>
    <w:p w14:paraId="52A5C477" w14:textId="77777777" w:rsidR="00D86C64" w:rsidRDefault="00D86C64" w:rsidP="00D86C64">
      <w:pPr>
        <w:spacing w:line="360" w:lineRule="auto"/>
        <w:jc w:val="both"/>
        <w:rPr>
          <w:rtl/>
        </w:rPr>
      </w:pPr>
      <w:r w:rsidRPr="006E5698">
        <w:rPr>
          <w:rtl/>
        </w:rPr>
        <w:t xml:space="preserve">מנגד, כאמור בע"פ 5059/09 </w:t>
      </w:r>
      <w:r w:rsidRPr="006E5698">
        <w:rPr>
          <w:b/>
          <w:bCs/>
          <w:rtl/>
        </w:rPr>
        <w:t xml:space="preserve">מ"י נ' מוחמד שרתאחה </w:t>
      </w:r>
      <w:r w:rsidRPr="006E5698">
        <w:rPr>
          <w:rtl/>
        </w:rPr>
        <w:t>(15.10.2009) דלעיל, יש להטיל ענישה שיהיה בה כדי להרתיע את הרבים ולהפוך את המעשים ללא כדאיים.</w:t>
      </w:r>
    </w:p>
    <w:p w14:paraId="3C6EF1AE" w14:textId="77777777" w:rsidR="00D86C64" w:rsidRDefault="00D86C64" w:rsidP="00D86C64">
      <w:pPr>
        <w:spacing w:line="360" w:lineRule="auto"/>
        <w:jc w:val="both"/>
        <w:rPr>
          <w:rtl/>
        </w:rPr>
      </w:pPr>
    </w:p>
    <w:p w14:paraId="073A81FF" w14:textId="77777777" w:rsidR="00D86C64" w:rsidRDefault="00D86C64" w:rsidP="00D86C64">
      <w:pPr>
        <w:spacing w:line="360" w:lineRule="auto"/>
        <w:jc w:val="both"/>
        <w:rPr>
          <w:rtl/>
        </w:rPr>
      </w:pPr>
      <w:r w:rsidRPr="006E5698">
        <w:rPr>
          <w:rtl/>
        </w:rPr>
        <w:t>משיקולי הרתעת הרבים, ומשיקולי הרתעת היחיד, היה מקום להטיל ענישה העולה על הרף התחתון של המתחם.</w:t>
      </w:r>
    </w:p>
    <w:p w14:paraId="6A99C8AF" w14:textId="77777777" w:rsidR="00D86C64" w:rsidRDefault="00D86C64" w:rsidP="00D86C64">
      <w:pPr>
        <w:spacing w:line="360" w:lineRule="auto"/>
        <w:jc w:val="both"/>
        <w:rPr>
          <w:rtl/>
        </w:rPr>
      </w:pPr>
      <w:r w:rsidRPr="006E5698">
        <w:rPr>
          <w:rtl/>
        </w:rPr>
        <w:t xml:space="preserve">ואולם, ב"כ המאשימה עותרת להטלת עונש ברף התחתון של המתחם, ובנסיבות הענין, לאור נסיבותיהם האישיות של הנאשמים, קבלת האחריות, היעדר עבר פלילי וגילם הצעיר, תוטל ענישה ברף התחתון של המתחם. </w:t>
      </w:r>
    </w:p>
    <w:p w14:paraId="28B4D27E" w14:textId="77777777" w:rsidR="00D86C64" w:rsidRDefault="00D86C64" w:rsidP="00D86C64">
      <w:pPr>
        <w:spacing w:line="360" w:lineRule="auto"/>
        <w:jc w:val="both"/>
        <w:rPr>
          <w:rtl/>
        </w:rPr>
      </w:pPr>
    </w:p>
    <w:p w14:paraId="3BFBFB59" w14:textId="77777777" w:rsidR="00D86C64" w:rsidRPr="006E5698" w:rsidRDefault="00D86C64" w:rsidP="00D86C64">
      <w:pPr>
        <w:spacing w:line="360" w:lineRule="auto"/>
        <w:jc w:val="both"/>
        <w:rPr>
          <w:rtl/>
        </w:rPr>
      </w:pPr>
      <w:r w:rsidRPr="006E5698">
        <w:rPr>
          <w:rtl/>
        </w:rPr>
        <w:t>אשר לעתירת המאשימה להטלת קנס, אכן יש להטיל רכיב כלכלי, משיקולי הרתעה, ואולם לאור נסיבותיהם של הנאשמים, על הקנס להיות מתון.</w:t>
      </w:r>
    </w:p>
    <w:p w14:paraId="4CE65B6D" w14:textId="77777777" w:rsidR="00D86C64" w:rsidRPr="006E5698" w:rsidRDefault="00D86C64" w:rsidP="00D86C64">
      <w:pPr>
        <w:spacing w:line="360" w:lineRule="auto"/>
        <w:ind w:right="900"/>
        <w:jc w:val="both"/>
        <w:rPr>
          <w:rtl/>
        </w:rPr>
      </w:pPr>
    </w:p>
    <w:p w14:paraId="3C4E3320" w14:textId="77777777" w:rsidR="00D86C64" w:rsidRPr="006E5698" w:rsidRDefault="00D86C64" w:rsidP="00D86C64">
      <w:pPr>
        <w:spacing w:line="360" w:lineRule="auto"/>
        <w:jc w:val="both"/>
        <w:rPr>
          <w:b/>
          <w:bCs/>
          <w:rtl/>
          <w:lang w:eastAsia="he-IL"/>
        </w:rPr>
      </w:pPr>
      <w:r w:rsidRPr="006E5698">
        <w:rPr>
          <w:rtl/>
          <w:lang w:eastAsia="he-IL"/>
        </w:rPr>
        <w:t>6.</w:t>
      </w:r>
      <w:r w:rsidRPr="006E5698">
        <w:rPr>
          <w:rtl/>
          <w:lang w:eastAsia="he-IL"/>
        </w:rPr>
        <w:tab/>
      </w:r>
      <w:r w:rsidRPr="006E5698">
        <w:rPr>
          <w:b/>
          <w:bCs/>
          <w:rtl/>
          <w:lang w:eastAsia="he-IL"/>
        </w:rPr>
        <w:t xml:space="preserve">אשר על כן אני גוזר על כל אחד מהנאשמים את העונשים הבאים: </w:t>
      </w:r>
    </w:p>
    <w:p w14:paraId="1F0C13E4" w14:textId="77777777" w:rsidR="00D86C64" w:rsidRPr="006E5698" w:rsidRDefault="00D86C64" w:rsidP="00D86C64">
      <w:pPr>
        <w:spacing w:line="360" w:lineRule="auto"/>
        <w:jc w:val="both"/>
        <w:rPr>
          <w:rtl/>
          <w:lang w:eastAsia="he-IL"/>
        </w:rPr>
      </w:pPr>
      <w:r w:rsidRPr="006E5698">
        <w:rPr>
          <w:rtl/>
          <w:lang w:eastAsia="he-IL"/>
        </w:rPr>
        <w:t xml:space="preserve"> </w:t>
      </w:r>
    </w:p>
    <w:p w14:paraId="2D63CD53" w14:textId="77777777" w:rsidR="00D86C64" w:rsidRPr="006E5698" w:rsidRDefault="00D86C64" w:rsidP="00D86C64">
      <w:pPr>
        <w:spacing w:line="360" w:lineRule="auto"/>
        <w:jc w:val="both"/>
        <w:rPr>
          <w:rtl/>
          <w:lang w:eastAsia="he-IL"/>
        </w:rPr>
      </w:pPr>
      <w:r w:rsidRPr="006E5698">
        <w:rPr>
          <w:b/>
          <w:bCs/>
          <w:u w:val="single"/>
          <w:rtl/>
          <w:lang w:eastAsia="he-IL"/>
        </w:rPr>
        <w:t>מאסר</w:t>
      </w:r>
      <w:r w:rsidRPr="006E5698">
        <w:rPr>
          <w:rtl/>
          <w:lang w:eastAsia="he-IL"/>
        </w:rPr>
        <w:t xml:space="preserve"> - מאסר בפועל לתקופה של 24 חודשים. מתקופת </w:t>
      </w:r>
      <w:r>
        <w:rPr>
          <w:rFonts w:hint="cs"/>
          <w:rtl/>
          <w:lang w:eastAsia="he-IL"/>
        </w:rPr>
        <w:t>ה</w:t>
      </w:r>
      <w:r w:rsidRPr="006E5698">
        <w:rPr>
          <w:rtl/>
          <w:lang w:eastAsia="he-IL"/>
        </w:rPr>
        <w:t xml:space="preserve">מאסר ינוכו ימי </w:t>
      </w:r>
      <w:r>
        <w:rPr>
          <w:rFonts w:hint="cs"/>
          <w:rtl/>
          <w:lang w:eastAsia="he-IL"/>
        </w:rPr>
        <w:t>ה</w:t>
      </w:r>
      <w:r w:rsidRPr="006E5698">
        <w:rPr>
          <w:rtl/>
          <w:lang w:eastAsia="he-IL"/>
        </w:rPr>
        <w:t>מעצר מיום 27.11.21.</w:t>
      </w:r>
    </w:p>
    <w:p w14:paraId="68C8A52B" w14:textId="77777777" w:rsidR="00D86C64" w:rsidRPr="006E5698" w:rsidRDefault="00D86C64" w:rsidP="00D86C64">
      <w:pPr>
        <w:spacing w:line="360" w:lineRule="auto"/>
        <w:jc w:val="both"/>
        <w:rPr>
          <w:rtl/>
          <w:lang w:eastAsia="he-IL"/>
        </w:rPr>
      </w:pPr>
    </w:p>
    <w:p w14:paraId="74754F6A" w14:textId="77777777" w:rsidR="00D86C64" w:rsidRPr="006E5698" w:rsidRDefault="00D86C64" w:rsidP="00D86C64">
      <w:pPr>
        <w:spacing w:line="360" w:lineRule="auto"/>
        <w:jc w:val="both"/>
        <w:rPr>
          <w:rtl/>
          <w:lang w:eastAsia="he-IL"/>
        </w:rPr>
      </w:pPr>
      <w:r w:rsidRPr="006E5698">
        <w:rPr>
          <w:b/>
          <w:bCs/>
          <w:u w:val="single"/>
          <w:rtl/>
          <w:lang w:eastAsia="he-IL"/>
        </w:rPr>
        <w:t>מאסר על תנאי</w:t>
      </w:r>
      <w:r w:rsidRPr="006E5698">
        <w:rPr>
          <w:rtl/>
          <w:lang w:eastAsia="he-IL"/>
        </w:rPr>
        <w:t xml:space="preserve"> - מאסר על תנאי לתקופה של  9 חודשים. כל אחד מהנאשמים יישא בעונש זה אם בתקופה של שלוש שנים מיום שחרורו יעבור על עבירה לפי ה</w:t>
      </w:r>
      <w:hyperlink r:id="rId39" w:history="1">
        <w:r w:rsidR="00B903D1" w:rsidRPr="00B903D1">
          <w:rPr>
            <w:color w:val="0000FF"/>
            <w:u w:val="single"/>
            <w:rtl/>
            <w:lang w:eastAsia="he-IL"/>
          </w:rPr>
          <w:t>חוק למניעת הסתננות (עבירות ושיפוט)</w:t>
        </w:r>
      </w:hyperlink>
      <w:r w:rsidRPr="006E5698">
        <w:rPr>
          <w:rtl/>
          <w:lang w:eastAsia="he-IL"/>
        </w:rPr>
        <w:t xml:space="preserve">, או כל עבירת נשק מסוג פשע. </w:t>
      </w:r>
    </w:p>
    <w:p w14:paraId="53748BD2" w14:textId="77777777" w:rsidR="00D86C64" w:rsidRPr="006E5698" w:rsidRDefault="00D86C64" w:rsidP="00D86C64">
      <w:pPr>
        <w:spacing w:line="360" w:lineRule="auto"/>
        <w:jc w:val="both"/>
        <w:rPr>
          <w:rtl/>
          <w:lang w:eastAsia="he-IL"/>
        </w:rPr>
      </w:pPr>
    </w:p>
    <w:p w14:paraId="3924C9F0" w14:textId="77777777" w:rsidR="00D86C64" w:rsidRPr="006E5698" w:rsidRDefault="00D86C64" w:rsidP="00D86C64">
      <w:pPr>
        <w:spacing w:line="360" w:lineRule="auto"/>
        <w:jc w:val="both"/>
        <w:rPr>
          <w:rtl/>
          <w:lang w:eastAsia="he-IL"/>
        </w:rPr>
      </w:pPr>
      <w:r w:rsidRPr="006E5698">
        <w:rPr>
          <w:b/>
          <w:bCs/>
          <w:u w:val="single"/>
          <w:rtl/>
          <w:lang w:eastAsia="he-IL"/>
        </w:rPr>
        <w:t>קנס</w:t>
      </w:r>
      <w:r>
        <w:rPr>
          <w:rtl/>
          <w:lang w:eastAsia="he-IL"/>
        </w:rPr>
        <w:t xml:space="preserve"> - קנס בסך</w:t>
      </w:r>
      <w:r w:rsidRPr="006E5698">
        <w:rPr>
          <w:rtl/>
          <w:lang w:eastAsia="he-IL"/>
        </w:rPr>
        <w:t xml:space="preserve"> 2,000 ₪ או מאסר למשך 10 ימים תחתיו; הקנס ישולם ב- 10 תשלומים חודשיים שווים ורצופים. התשלום הראשון ישולם בתוך 60 יום מהיום ויתר התשלומים מידי 30 יום לאחר מכן.  </w:t>
      </w:r>
    </w:p>
    <w:p w14:paraId="5363BD13" w14:textId="77777777" w:rsidR="00D86C64" w:rsidRPr="00B903D1" w:rsidRDefault="00B903D1" w:rsidP="00D86C64">
      <w:pPr>
        <w:spacing w:line="360" w:lineRule="auto"/>
        <w:jc w:val="both"/>
        <w:rPr>
          <w:b/>
          <w:bCs/>
          <w:color w:val="FFFFFF"/>
          <w:sz w:val="2"/>
          <w:szCs w:val="2"/>
          <w:rtl/>
          <w:lang w:eastAsia="he-IL"/>
        </w:rPr>
      </w:pPr>
      <w:r w:rsidRPr="00B903D1">
        <w:rPr>
          <w:b/>
          <w:bCs/>
          <w:color w:val="FFFFFF"/>
          <w:sz w:val="2"/>
          <w:szCs w:val="2"/>
          <w:rtl/>
          <w:lang w:eastAsia="he-IL"/>
        </w:rPr>
        <w:t>5129371</w:t>
      </w:r>
    </w:p>
    <w:p w14:paraId="34596748" w14:textId="77777777" w:rsidR="00D86C64" w:rsidRPr="006E5698" w:rsidRDefault="00B903D1" w:rsidP="00D86C64">
      <w:pPr>
        <w:spacing w:line="360" w:lineRule="auto"/>
        <w:jc w:val="both"/>
        <w:rPr>
          <w:b/>
          <w:bCs/>
          <w:rtl/>
          <w:lang w:eastAsia="he-IL"/>
        </w:rPr>
      </w:pPr>
      <w:r w:rsidRPr="00B903D1">
        <w:rPr>
          <w:b/>
          <w:bCs/>
          <w:color w:val="FFFFFF"/>
          <w:sz w:val="2"/>
          <w:szCs w:val="2"/>
          <w:rtl/>
          <w:lang w:eastAsia="he-IL"/>
        </w:rPr>
        <w:t>54678313</w:t>
      </w:r>
      <w:r w:rsidR="00D86C64" w:rsidRPr="006E5698">
        <w:rPr>
          <w:b/>
          <w:bCs/>
          <w:rtl/>
          <w:lang w:eastAsia="he-IL"/>
        </w:rPr>
        <w:t xml:space="preserve">זכות ערעור בתוך 45 יום מהיום. </w:t>
      </w:r>
    </w:p>
    <w:p w14:paraId="64DC05C7" w14:textId="77777777" w:rsidR="00D86C64" w:rsidRPr="006E5698" w:rsidRDefault="00D86C64" w:rsidP="00D86C64">
      <w:pPr>
        <w:spacing w:line="360" w:lineRule="auto"/>
        <w:jc w:val="both"/>
        <w:rPr>
          <w:b/>
          <w:bCs/>
          <w:rtl/>
          <w:lang w:eastAsia="he-IL"/>
        </w:rPr>
      </w:pPr>
      <w:r w:rsidRPr="006E5698">
        <w:rPr>
          <w:b/>
          <w:bCs/>
          <w:rtl/>
          <w:lang w:eastAsia="he-IL"/>
        </w:rPr>
        <w:t xml:space="preserve"> </w:t>
      </w:r>
    </w:p>
    <w:p w14:paraId="67D68E37" w14:textId="77777777" w:rsidR="00D86C64" w:rsidRPr="000F2247" w:rsidRDefault="00B903D1" w:rsidP="00D86C64">
      <w:pPr>
        <w:rPr>
          <w:rFonts w:ascii="Arial" w:hAnsi="Arial"/>
          <w:b/>
          <w:bCs/>
          <w:sz w:val="26"/>
          <w:szCs w:val="26"/>
          <w:rtl/>
        </w:rPr>
      </w:pPr>
      <w:bookmarkStart w:id="8" w:name="Nitan"/>
      <w:r>
        <w:rPr>
          <w:rFonts w:ascii="Arial" w:hAnsi="Arial"/>
          <w:b/>
          <w:bCs/>
          <w:sz w:val="26"/>
          <w:szCs w:val="26"/>
          <w:rtl/>
        </w:rPr>
        <w:t xml:space="preserve">ניתן היום,  י' אדר ב' תשפ"ב, 13 מרץ 2022, במעמד הצדדים. </w:t>
      </w:r>
      <w:bookmarkEnd w:id="8"/>
    </w:p>
    <w:p w14:paraId="2D1AB58A" w14:textId="77777777" w:rsidR="00D86C64" w:rsidRPr="000F2247" w:rsidRDefault="00D86C64" w:rsidP="00B903D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4B335A3" w14:textId="77777777" w:rsidR="00D86C64" w:rsidRPr="000F2247" w:rsidRDefault="00D86C64" w:rsidP="00D86C64">
      <w:pPr>
        <w:jc w:val="center"/>
        <w:rPr>
          <w:rFonts w:ascii="Arial" w:hAnsi="Arial"/>
          <w:b/>
          <w:bCs/>
          <w:sz w:val="26"/>
          <w:szCs w:val="26"/>
          <w:rtl/>
        </w:rPr>
      </w:pPr>
    </w:p>
    <w:p w14:paraId="1A1DAB7F" w14:textId="77777777" w:rsidR="00BA2609" w:rsidRPr="00B903D1" w:rsidRDefault="00BA2609" w:rsidP="00B903D1">
      <w:pPr>
        <w:keepNext/>
        <w:rPr>
          <w:rFonts w:ascii="David" w:hAnsi="David"/>
          <w:color w:val="000000"/>
          <w:sz w:val="22"/>
          <w:szCs w:val="22"/>
          <w:rtl/>
        </w:rPr>
      </w:pPr>
    </w:p>
    <w:p w14:paraId="7F48F595" w14:textId="77777777" w:rsidR="00B903D1" w:rsidRPr="00B903D1" w:rsidRDefault="00B903D1" w:rsidP="00B903D1">
      <w:pPr>
        <w:keepNext/>
        <w:rPr>
          <w:rFonts w:ascii="David" w:hAnsi="David"/>
          <w:color w:val="000000"/>
          <w:sz w:val="22"/>
          <w:szCs w:val="22"/>
          <w:rtl/>
        </w:rPr>
      </w:pPr>
      <w:r w:rsidRPr="00B903D1">
        <w:rPr>
          <w:rFonts w:ascii="David" w:hAnsi="David"/>
          <w:color w:val="000000"/>
          <w:sz w:val="22"/>
          <w:szCs w:val="22"/>
          <w:rtl/>
        </w:rPr>
        <w:t>יואל עדן 54678313</w:t>
      </w:r>
    </w:p>
    <w:p w14:paraId="2D025C27" w14:textId="77777777" w:rsidR="00B903D1" w:rsidRDefault="00B903D1" w:rsidP="00B903D1">
      <w:r w:rsidRPr="00B903D1">
        <w:rPr>
          <w:color w:val="000000"/>
          <w:rtl/>
        </w:rPr>
        <w:t>נוסח מסמך זה כפוף לשינויי ניסוח ועריכה</w:t>
      </w:r>
    </w:p>
    <w:p w14:paraId="4E9603EE" w14:textId="77777777" w:rsidR="00B903D1" w:rsidRDefault="00B903D1" w:rsidP="00B903D1">
      <w:pPr>
        <w:rPr>
          <w:rtl/>
        </w:rPr>
      </w:pPr>
    </w:p>
    <w:p w14:paraId="6C21B167" w14:textId="77777777" w:rsidR="00B903D1" w:rsidRDefault="00B903D1" w:rsidP="00B903D1">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639FA47E" w14:textId="77777777" w:rsidR="00B903D1" w:rsidRPr="00B903D1" w:rsidRDefault="00B903D1" w:rsidP="00B903D1">
      <w:pPr>
        <w:jc w:val="center"/>
        <w:rPr>
          <w:color w:val="0000FF"/>
          <w:u w:val="single"/>
        </w:rPr>
      </w:pPr>
    </w:p>
    <w:sectPr w:rsidR="00B903D1" w:rsidRPr="00B903D1" w:rsidSect="00B903D1">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534F1" w14:textId="77777777" w:rsidR="00B46CE4" w:rsidRDefault="00B46CE4" w:rsidP="003F0325">
      <w:r>
        <w:separator/>
      </w:r>
    </w:p>
  </w:endnote>
  <w:endnote w:type="continuationSeparator" w:id="0">
    <w:p w14:paraId="57242E71" w14:textId="77777777" w:rsidR="00B46CE4" w:rsidRDefault="00B46CE4" w:rsidP="003F0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D3500" w14:textId="77777777" w:rsidR="00B903D1" w:rsidRDefault="00B903D1" w:rsidP="00B903D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6B72567" w14:textId="77777777" w:rsidR="006F0FD3" w:rsidRPr="00B903D1" w:rsidRDefault="00B903D1" w:rsidP="00B903D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AAD45" w14:textId="77777777" w:rsidR="00B903D1" w:rsidRDefault="00B903D1" w:rsidP="00B903D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A72B2">
      <w:rPr>
        <w:rFonts w:ascii="FrankRuehl" w:hAnsi="FrankRuehl" w:cs="FrankRuehl"/>
        <w:noProof/>
        <w:rtl/>
      </w:rPr>
      <w:t>1</w:t>
    </w:r>
    <w:r>
      <w:rPr>
        <w:rFonts w:ascii="FrankRuehl" w:hAnsi="FrankRuehl" w:cs="FrankRuehl"/>
        <w:rtl/>
      </w:rPr>
      <w:fldChar w:fldCharType="end"/>
    </w:r>
  </w:p>
  <w:p w14:paraId="48F5E68A" w14:textId="77777777" w:rsidR="006F0FD3" w:rsidRPr="00B903D1" w:rsidRDefault="00B903D1" w:rsidP="00B903D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1F499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3B7CB" w14:textId="77777777" w:rsidR="00B46CE4" w:rsidRDefault="00B46CE4" w:rsidP="003F0325">
      <w:r>
        <w:separator/>
      </w:r>
    </w:p>
  </w:footnote>
  <w:footnote w:type="continuationSeparator" w:id="0">
    <w:p w14:paraId="32FEB0E5" w14:textId="77777777" w:rsidR="00B46CE4" w:rsidRDefault="00B46CE4" w:rsidP="003F0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06D8C" w14:textId="77777777" w:rsidR="00B903D1" w:rsidRPr="00B903D1" w:rsidRDefault="00B903D1" w:rsidP="00B903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51971-12-21</w:t>
    </w:r>
    <w:r>
      <w:rPr>
        <w:rFonts w:ascii="David" w:hAnsi="David"/>
        <w:color w:val="000000"/>
        <w:sz w:val="22"/>
        <w:szCs w:val="22"/>
        <w:rtl/>
      </w:rPr>
      <w:tab/>
      <w:t xml:space="preserve"> מדינת ישראל נ' עלי אבו סנימה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696E6" w14:textId="77777777" w:rsidR="00B903D1" w:rsidRPr="00B903D1" w:rsidRDefault="00B903D1" w:rsidP="00B903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51971-12-21</w:t>
    </w:r>
    <w:r>
      <w:rPr>
        <w:rFonts w:ascii="David" w:hAnsi="David"/>
        <w:color w:val="000000"/>
        <w:sz w:val="22"/>
        <w:szCs w:val="22"/>
        <w:rtl/>
      </w:rPr>
      <w:tab/>
      <w:t xml:space="preserve"> מדינת ישראל נ' עלי אבו סנימה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86C64"/>
    <w:rsid w:val="000F50F8"/>
    <w:rsid w:val="001B5A3B"/>
    <w:rsid w:val="00347266"/>
    <w:rsid w:val="003F0325"/>
    <w:rsid w:val="0054413F"/>
    <w:rsid w:val="0057721D"/>
    <w:rsid w:val="005A010E"/>
    <w:rsid w:val="006C72C2"/>
    <w:rsid w:val="006F0FD3"/>
    <w:rsid w:val="0096203F"/>
    <w:rsid w:val="00A35CA6"/>
    <w:rsid w:val="00B46CE4"/>
    <w:rsid w:val="00B903D1"/>
    <w:rsid w:val="00BA2609"/>
    <w:rsid w:val="00CA72B2"/>
    <w:rsid w:val="00D86C64"/>
    <w:rsid w:val="00DA2A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2A13F8"/>
  <w15:chartTrackingRefBased/>
  <w15:docId w15:val="{0A9F245E-2B4E-4AF2-B9AD-ACC9EB29E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86C6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86C64"/>
    <w:pPr>
      <w:tabs>
        <w:tab w:val="center" w:pos="4153"/>
        <w:tab w:val="right" w:pos="8306"/>
      </w:tabs>
    </w:pPr>
  </w:style>
  <w:style w:type="character" w:customStyle="1" w:styleId="a4">
    <w:name w:val="כותרת עליונה תו"/>
    <w:link w:val="a3"/>
    <w:rsid w:val="00D86C64"/>
    <w:rPr>
      <w:rFonts w:ascii="Times New Roman" w:eastAsia="Times New Roman" w:hAnsi="Times New Roman" w:cs="David"/>
      <w:sz w:val="24"/>
      <w:szCs w:val="24"/>
    </w:rPr>
  </w:style>
  <w:style w:type="paragraph" w:styleId="a5">
    <w:name w:val="footer"/>
    <w:basedOn w:val="a"/>
    <w:link w:val="a6"/>
    <w:rsid w:val="00D86C64"/>
    <w:pPr>
      <w:tabs>
        <w:tab w:val="center" w:pos="4153"/>
        <w:tab w:val="right" w:pos="8306"/>
      </w:tabs>
    </w:pPr>
  </w:style>
  <w:style w:type="character" w:customStyle="1" w:styleId="a6">
    <w:name w:val="כותרת תחתונה תו"/>
    <w:link w:val="a5"/>
    <w:rsid w:val="00D86C64"/>
    <w:rPr>
      <w:rFonts w:ascii="Times New Roman" w:eastAsia="Times New Roman" w:hAnsi="Times New Roman" w:cs="David"/>
      <w:sz w:val="24"/>
      <w:szCs w:val="24"/>
    </w:rPr>
  </w:style>
  <w:style w:type="table" w:styleId="a7">
    <w:name w:val="Table Grid"/>
    <w:basedOn w:val="a1"/>
    <w:rsid w:val="00D86C6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86C64"/>
  </w:style>
  <w:style w:type="character" w:styleId="Hyperlink">
    <w:name w:val="Hyperlink"/>
    <w:rsid w:val="00B903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510" TargetMode="External"/><Relationship Id="rId18" Type="http://schemas.openxmlformats.org/officeDocument/2006/relationships/hyperlink" Target="http://www.nevo.co.il/case/6068019" TargetMode="External"/><Relationship Id="rId26" Type="http://schemas.openxmlformats.org/officeDocument/2006/relationships/hyperlink" Target="http://www.nevo.co.il/case/17983858" TargetMode="External"/><Relationship Id="rId39" Type="http://schemas.openxmlformats.org/officeDocument/2006/relationships/hyperlink" Target="http://www.nevo.co.il/law/72510" TargetMode="External"/><Relationship Id="rId21" Type="http://schemas.openxmlformats.org/officeDocument/2006/relationships/hyperlink" Target="http://www.nevo.co.il/case/5991173" TargetMode="External"/><Relationship Id="rId34" Type="http://schemas.openxmlformats.org/officeDocument/2006/relationships/hyperlink" Target="http://www.nevo.co.il/case/21478974" TargetMode="External"/><Relationship Id="rId42" Type="http://schemas.openxmlformats.org/officeDocument/2006/relationships/header" Target="header2.xml"/><Relationship Id="rId7" Type="http://schemas.openxmlformats.org/officeDocument/2006/relationships/hyperlink" Target="http://www.nevo.co.il/law/72510/2"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25737294" TargetMode="External"/><Relationship Id="rId1" Type="http://schemas.openxmlformats.org/officeDocument/2006/relationships/styles" Target="styles.xml"/><Relationship Id="rId6" Type="http://schemas.openxmlformats.org/officeDocument/2006/relationships/hyperlink" Target="http://www.nevo.co.il/law/72510" TargetMode="External"/><Relationship Id="rId11" Type="http://schemas.openxmlformats.org/officeDocument/2006/relationships/hyperlink" Target="http://www.nevo.co.il/law/70301/452" TargetMode="External"/><Relationship Id="rId24" Type="http://schemas.openxmlformats.org/officeDocument/2006/relationships/hyperlink" Target="http://www.nevo.co.il/case/5991173"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5762686"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18654015" TargetMode="External"/><Relationship Id="rId28" Type="http://schemas.openxmlformats.org/officeDocument/2006/relationships/hyperlink" Target="http://www.nevo.co.il/case/6850196"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5945006" TargetMode="External"/><Relationship Id="rId31" Type="http://schemas.openxmlformats.org/officeDocument/2006/relationships/hyperlink" Target="http://www.nevo.co.il/law/70301/144.b"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6473037" TargetMode="External"/><Relationship Id="rId27" Type="http://schemas.openxmlformats.org/officeDocument/2006/relationships/hyperlink" Target="http://www.nevo.co.il/case/16912381" TargetMode="External"/><Relationship Id="rId30" Type="http://schemas.openxmlformats.org/officeDocument/2006/relationships/hyperlink" Target="http://www.nevo.co.il/law/72510/2" TargetMode="External"/><Relationship Id="rId35" Type="http://schemas.openxmlformats.org/officeDocument/2006/relationships/hyperlink" Target="http://www.nevo.co.il/case/20977894" TargetMode="External"/><Relationship Id="rId43" Type="http://schemas.openxmlformats.org/officeDocument/2006/relationships/footer" Target="footer1.xml"/><Relationship Id="rId8" Type="http://schemas.openxmlformats.org/officeDocument/2006/relationships/hyperlink" Target="http://www.nevo.co.il/law/72510/4" TargetMode="External"/><Relationship Id="rId3" Type="http://schemas.openxmlformats.org/officeDocument/2006/relationships/webSettings" Target="webSettings.xml"/><Relationship Id="rId12" Type="http://schemas.openxmlformats.org/officeDocument/2006/relationships/hyperlink" Target="http://www.nevo.co.il/law/72510/4"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0525123" TargetMode="External"/><Relationship Id="rId33" Type="http://schemas.openxmlformats.org/officeDocument/2006/relationships/hyperlink" Target="http://www.nevo.co.il/law/70301/452" TargetMode="External"/><Relationship Id="rId38" Type="http://schemas.openxmlformats.org/officeDocument/2006/relationships/hyperlink" Target="http://www.nevo.co.il/case/21477388" TargetMode="External"/><Relationship Id="rId46" Type="http://schemas.openxmlformats.org/officeDocument/2006/relationships/theme" Target="theme/theme1.xml"/><Relationship Id="rId20" Type="http://schemas.openxmlformats.org/officeDocument/2006/relationships/hyperlink" Target="http://www.nevo.co.il/case/512799"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3078</Words>
  <Characters>15391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18433</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7929954</vt:i4>
      </vt:variant>
      <vt:variant>
        <vt:i4>99</vt:i4>
      </vt:variant>
      <vt:variant>
        <vt:i4>0</vt:i4>
      </vt:variant>
      <vt:variant>
        <vt:i4>5</vt:i4>
      </vt:variant>
      <vt:variant>
        <vt:lpwstr>http://www.nevo.co.il/law/72510</vt:lpwstr>
      </vt:variant>
      <vt:variant>
        <vt:lpwstr/>
      </vt:variant>
      <vt:variant>
        <vt:i4>3735665</vt:i4>
      </vt:variant>
      <vt:variant>
        <vt:i4>96</vt:i4>
      </vt:variant>
      <vt:variant>
        <vt:i4>0</vt:i4>
      </vt:variant>
      <vt:variant>
        <vt:i4>5</vt:i4>
      </vt:variant>
      <vt:variant>
        <vt:lpwstr>http://www.nevo.co.il/case/21477388</vt:lpwstr>
      </vt:variant>
      <vt:variant>
        <vt:lpwstr/>
      </vt:variant>
      <vt:variant>
        <vt:i4>3342457</vt:i4>
      </vt:variant>
      <vt:variant>
        <vt:i4>93</vt:i4>
      </vt:variant>
      <vt:variant>
        <vt:i4>0</vt:i4>
      </vt:variant>
      <vt:variant>
        <vt:i4>5</vt:i4>
      </vt:variant>
      <vt:variant>
        <vt:lpwstr>http://www.nevo.co.il/case/5762686</vt:lpwstr>
      </vt:variant>
      <vt:variant>
        <vt:lpwstr/>
      </vt:variant>
      <vt:variant>
        <vt:i4>7995492</vt:i4>
      </vt:variant>
      <vt:variant>
        <vt:i4>90</vt:i4>
      </vt:variant>
      <vt:variant>
        <vt:i4>0</vt:i4>
      </vt:variant>
      <vt:variant>
        <vt:i4>5</vt:i4>
      </vt:variant>
      <vt:variant>
        <vt:lpwstr>http://www.nevo.co.il/law/70301</vt:lpwstr>
      </vt:variant>
      <vt:variant>
        <vt:lpwstr/>
      </vt:variant>
      <vt:variant>
        <vt:i4>3473531</vt:i4>
      </vt:variant>
      <vt:variant>
        <vt:i4>87</vt:i4>
      </vt:variant>
      <vt:variant>
        <vt:i4>0</vt:i4>
      </vt:variant>
      <vt:variant>
        <vt:i4>5</vt:i4>
      </vt:variant>
      <vt:variant>
        <vt:lpwstr>http://www.nevo.co.il/case/20977894</vt:lpwstr>
      </vt:variant>
      <vt:variant>
        <vt:lpwstr/>
      </vt:variant>
      <vt:variant>
        <vt:i4>3735675</vt:i4>
      </vt:variant>
      <vt:variant>
        <vt:i4>84</vt:i4>
      </vt:variant>
      <vt:variant>
        <vt:i4>0</vt:i4>
      </vt:variant>
      <vt:variant>
        <vt:i4>5</vt:i4>
      </vt:variant>
      <vt:variant>
        <vt:lpwstr>http://www.nevo.co.il/case/21478974</vt:lpwstr>
      </vt:variant>
      <vt:variant>
        <vt:lpwstr/>
      </vt:variant>
      <vt:variant>
        <vt:i4>6291553</vt:i4>
      </vt:variant>
      <vt:variant>
        <vt:i4>81</vt:i4>
      </vt:variant>
      <vt:variant>
        <vt:i4>0</vt:i4>
      </vt:variant>
      <vt:variant>
        <vt:i4>5</vt:i4>
      </vt:variant>
      <vt:variant>
        <vt:lpwstr>http://www.nevo.co.il/law/70301/452</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5636178</vt:i4>
      </vt:variant>
      <vt:variant>
        <vt:i4>72</vt:i4>
      </vt:variant>
      <vt:variant>
        <vt:i4>0</vt:i4>
      </vt:variant>
      <vt:variant>
        <vt:i4>5</vt:i4>
      </vt:variant>
      <vt:variant>
        <vt:lpwstr>http://www.nevo.co.il/law/72510/2</vt:lpwstr>
      </vt:variant>
      <vt:variant>
        <vt:lpwstr/>
      </vt:variant>
      <vt:variant>
        <vt:i4>3866736</vt:i4>
      </vt:variant>
      <vt:variant>
        <vt:i4>69</vt:i4>
      </vt:variant>
      <vt:variant>
        <vt:i4>0</vt:i4>
      </vt:variant>
      <vt:variant>
        <vt:i4>5</vt:i4>
      </vt:variant>
      <vt:variant>
        <vt:lpwstr>http://www.nevo.co.il/case/25737294</vt:lpwstr>
      </vt:variant>
      <vt:variant>
        <vt:lpwstr/>
      </vt:variant>
      <vt:variant>
        <vt:i4>3407989</vt:i4>
      </vt:variant>
      <vt:variant>
        <vt:i4>66</vt:i4>
      </vt:variant>
      <vt:variant>
        <vt:i4>0</vt:i4>
      </vt:variant>
      <vt:variant>
        <vt:i4>5</vt:i4>
      </vt:variant>
      <vt:variant>
        <vt:lpwstr>http://www.nevo.co.il/case/6850196</vt:lpwstr>
      </vt:variant>
      <vt:variant>
        <vt:lpwstr/>
      </vt:variant>
      <vt:variant>
        <vt:i4>3276912</vt:i4>
      </vt:variant>
      <vt:variant>
        <vt:i4>63</vt:i4>
      </vt:variant>
      <vt:variant>
        <vt:i4>0</vt:i4>
      </vt:variant>
      <vt:variant>
        <vt:i4>5</vt:i4>
      </vt:variant>
      <vt:variant>
        <vt:lpwstr>http://www.nevo.co.il/case/16912381</vt:lpwstr>
      </vt:variant>
      <vt:variant>
        <vt:lpwstr/>
      </vt:variant>
      <vt:variant>
        <vt:i4>4063347</vt:i4>
      </vt:variant>
      <vt:variant>
        <vt:i4>60</vt:i4>
      </vt:variant>
      <vt:variant>
        <vt:i4>0</vt:i4>
      </vt:variant>
      <vt:variant>
        <vt:i4>5</vt:i4>
      </vt:variant>
      <vt:variant>
        <vt:lpwstr>http://www.nevo.co.il/case/17983858</vt:lpwstr>
      </vt:variant>
      <vt:variant>
        <vt:lpwstr/>
      </vt:variant>
      <vt:variant>
        <vt:i4>3342455</vt:i4>
      </vt:variant>
      <vt:variant>
        <vt:i4>57</vt:i4>
      </vt:variant>
      <vt:variant>
        <vt:i4>0</vt:i4>
      </vt:variant>
      <vt:variant>
        <vt:i4>5</vt:i4>
      </vt:variant>
      <vt:variant>
        <vt:lpwstr>http://www.nevo.co.il/case/10525123</vt:lpwstr>
      </vt:variant>
      <vt:variant>
        <vt:lpwstr/>
      </vt:variant>
      <vt:variant>
        <vt:i4>4063355</vt:i4>
      </vt:variant>
      <vt:variant>
        <vt:i4>54</vt:i4>
      </vt:variant>
      <vt:variant>
        <vt:i4>0</vt:i4>
      </vt:variant>
      <vt:variant>
        <vt:i4>5</vt:i4>
      </vt:variant>
      <vt:variant>
        <vt:lpwstr>http://www.nevo.co.il/case/5991173</vt:lpwstr>
      </vt:variant>
      <vt:variant>
        <vt:lpwstr/>
      </vt:variant>
      <vt:variant>
        <vt:i4>3276921</vt:i4>
      </vt:variant>
      <vt:variant>
        <vt:i4>51</vt:i4>
      </vt:variant>
      <vt:variant>
        <vt:i4>0</vt:i4>
      </vt:variant>
      <vt:variant>
        <vt:i4>5</vt:i4>
      </vt:variant>
      <vt:variant>
        <vt:lpwstr>http://www.nevo.co.il/case/18654015</vt:lpwstr>
      </vt:variant>
      <vt:variant>
        <vt:lpwstr/>
      </vt:variant>
      <vt:variant>
        <vt:i4>3539056</vt:i4>
      </vt:variant>
      <vt:variant>
        <vt:i4>48</vt:i4>
      </vt:variant>
      <vt:variant>
        <vt:i4>0</vt:i4>
      </vt:variant>
      <vt:variant>
        <vt:i4>5</vt:i4>
      </vt:variant>
      <vt:variant>
        <vt:lpwstr>http://www.nevo.co.il/case/6473037</vt:lpwstr>
      </vt:variant>
      <vt:variant>
        <vt:lpwstr/>
      </vt:variant>
      <vt:variant>
        <vt:i4>4063355</vt:i4>
      </vt:variant>
      <vt:variant>
        <vt:i4>45</vt:i4>
      </vt:variant>
      <vt:variant>
        <vt:i4>0</vt:i4>
      </vt:variant>
      <vt:variant>
        <vt:i4>5</vt:i4>
      </vt:variant>
      <vt:variant>
        <vt:lpwstr>http://www.nevo.co.il/case/5991173</vt:lpwstr>
      </vt:variant>
      <vt:variant>
        <vt:lpwstr/>
      </vt:variant>
      <vt:variant>
        <vt:i4>917570</vt:i4>
      </vt:variant>
      <vt:variant>
        <vt:i4>42</vt:i4>
      </vt:variant>
      <vt:variant>
        <vt:i4>0</vt:i4>
      </vt:variant>
      <vt:variant>
        <vt:i4>5</vt:i4>
      </vt:variant>
      <vt:variant>
        <vt:lpwstr>http://www.nevo.co.il/case/512799</vt:lpwstr>
      </vt:variant>
      <vt:variant>
        <vt:lpwstr/>
      </vt:variant>
      <vt:variant>
        <vt:i4>3604600</vt:i4>
      </vt:variant>
      <vt:variant>
        <vt:i4>39</vt:i4>
      </vt:variant>
      <vt:variant>
        <vt:i4>0</vt:i4>
      </vt:variant>
      <vt:variant>
        <vt:i4>5</vt:i4>
      </vt:variant>
      <vt:variant>
        <vt:lpwstr>http://www.nevo.co.il/case/5945006</vt:lpwstr>
      </vt:variant>
      <vt:variant>
        <vt:lpwstr/>
      </vt:variant>
      <vt:variant>
        <vt:i4>3735677</vt:i4>
      </vt:variant>
      <vt:variant>
        <vt:i4>36</vt:i4>
      </vt:variant>
      <vt:variant>
        <vt:i4>0</vt:i4>
      </vt:variant>
      <vt:variant>
        <vt:i4>5</vt:i4>
      </vt:variant>
      <vt:variant>
        <vt:lpwstr>http://www.nevo.co.il/case/6068019</vt:lpwstr>
      </vt:variant>
      <vt:variant>
        <vt:lpwstr/>
      </vt:variant>
      <vt:variant>
        <vt:i4>7995492</vt:i4>
      </vt:variant>
      <vt:variant>
        <vt:i4>33</vt:i4>
      </vt:variant>
      <vt:variant>
        <vt:i4>0</vt:i4>
      </vt:variant>
      <vt:variant>
        <vt:i4>5</vt:i4>
      </vt:variant>
      <vt:variant>
        <vt:lpwstr>http://www.nevo.co.il/law/70301</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7929954</vt:i4>
      </vt:variant>
      <vt:variant>
        <vt:i4>21</vt:i4>
      </vt:variant>
      <vt:variant>
        <vt:i4>0</vt:i4>
      </vt:variant>
      <vt:variant>
        <vt:i4>5</vt:i4>
      </vt:variant>
      <vt:variant>
        <vt:lpwstr>http://www.nevo.co.il/law/72510</vt:lpwstr>
      </vt:variant>
      <vt:variant>
        <vt:lpwstr/>
      </vt:variant>
      <vt:variant>
        <vt:i4>5636178</vt:i4>
      </vt:variant>
      <vt:variant>
        <vt:i4>18</vt:i4>
      </vt:variant>
      <vt:variant>
        <vt:i4>0</vt:i4>
      </vt:variant>
      <vt:variant>
        <vt:i4>5</vt:i4>
      </vt:variant>
      <vt:variant>
        <vt:lpwstr>http://www.nevo.co.il/law/72510/4</vt:lpwstr>
      </vt:variant>
      <vt:variant>
        <vt:lpwstr/>
      </vt:variant>
      <vt:variant>
        <vt:i4>6291553</vt:i4>
      </vt:variant>
      <vt:variant>
        <vt:i4>15</vt:i4>
      </vt:variant>
      <vt:variant>
        <vt:i4>0</vt:i4>
      </vt:variant>
      <vt:variant>
        <vt:i4>5</vt:i4>
      </vt:variant>
      <vt:variant>
        <vt:lpwstr>http://www.nevo.co.il/law/70301/452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7995492</vt:i4>
      </vt:variant>
      <vt:variant>
        <vt:i4>9</vt:i4>
      </vt:variant>
      <vt:variant>
        <vt:i4>0</vt:i4>
      </vt:variant>
      <vt:variant>
        <vt:i4>5</vt:i4>
      </vt:variant>
      <vt:variant>
        <vt:lpwstr>http://www.nevo.co.il/law/70301</vt:lpwstr>
      </vt:variant>
      <vt:variant>
        <vt:lpwstr/>
      </vt:variant>
      <vt:variant>
        <vt:i4>5636178</vt:i4>
      </vt:variant>
      <vt:variant>
        <vt:i4>6</vt:i4>
      </vt:variant>
      <vt:variant>
        <vt:i4>0</vt:i4>
      </vt:variant>
      <vt:variant>
        <vt:i4>5</vt:i4>
      </vt:variant>
      <vt:variant>
        <vt:lpwstr>http://www.nevo.co.il/law/72510/4</vt:lpwstr>
      </vt:variant>
      <vt:variant>
        <vt:lpwstr/>
      </vt:variant>
      <vt:variant>
        <vt:i4>5636178</vt:i4>
      </vt:variant>
      <vt:variant>
        <vt:i4>3</vt:i4>
      </vt:variant>
      <vt:variant>
        <vt:i4>0</vt:i4>
      </vt:variant>
      <vt:variant>
        <vt:i4>5</vt:i4>
      </vt:variant>
      <vt:variant>
        <vt:lpwstr>http://www.nevo.co.il/law/72510/2</vt:lpwstr>
      </vt:variant>
      <vt:variant>
        <vt:lpwstr/>
      </vt:variant>
      <vt:variant>
        <vt:i4>7929954</vt:i4>
      </vt:variant>
      <vt:variant>
        <vt:i4>0</vt:i4>
      </vt:variant>
      <vt:variant>
        <vt:i4>0</vt:i4>
      </vt:variant>
      <vt:variant>
        <vt:i4>5</vt:i4>
      </vt:variant>
      <vt:variant>
        <vt:lpwstr>http://www.nevo.co.il/law/72510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2025-04-25T10:53:00Z</dcterms:created>
  <dcterms:modified xsi:type="dcterms:W3CDTF">2025-04-25T10:53:00Z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51971</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עלי אבו סנימה;יאסר אבו סנימה</vt:lpwstr>
  </property>
  <property fmtid="{D5CDD505-2E9C-101B-9397-08002B2CF9AE}" pid="10" name="LAWYER">
    <vt:lpwstr>נטלי בן שושן ;מוחמד ג'ברין</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20220313</vt:lpwstr>
  </property>
  <property fmtid="{D5CDD505-2E9C-101B-9397-08002B2CF9AE}" pid="14" name="TYPE_N_DATE">
    <vt:lpwstr>39020220313</vt:lpwstr>
  </property>
  <property fmtid="{D5CDD505-2E9C-101B-9397-08002B2CF9AE}" pid="15" name="WORDNUMPAGES">
    <vt:lpwstr>10</vt:lpwstr>
  </property>
  <property fmtid="{D5CDD505-2E9C-101B-9397-08002B2CF9AE}" pid="16" name="TYPE_ABS_DATE">
    <vt:lpwstr>390020220313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6068019;5945006;512799;5991173:2;6473037;18654015;10525123;17983858;16912381;6850196;25737294;21478974;20977894;5762686;21477388</vt:lpwstr>
  </property>
  <property fmtid="{D5CDD505-2E9C-101B-9397-08002B2CF9AE}" pid="36" name="LAWLISTTMP1">
    <vt:lpwstr>72510/004;002</vt:lpwstr>
  </property>
  <property fmtid="{D5CDD505-2E9C-101B-9397-08002B2CF9AE}" pid="37" name="LAWLISTTMP2">
    <vt:lpwstr>70301/144.b:2;452</vt:lpwstr>
  </property>
</Properties>
</file>