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73D67" w:rsidRPr="00FC405D" w14:paraId="22D93DD0" w14:textId="77777777" w:rsidTr="001943DF">
        <w:trPr>
          <w:trHeight w:hRule="exact" w:val="418"/>
          <w:jc w:val="center"/>
        </w:trPr>
        <w:tc>
          <w:tcPr>
            <w:tcW w:w="8721" w:type="dxa"/>
            <w:gridSpan w:val="2"/>
          </w:tcPr>
          <w:p w14:paraId="334CC2C8" w14:textId="77777777" w:rsidR="00773D67" w:rsidRPr="00FC405D" w:rsidRDefault="00773D67" w:rsidP="00DB7D33">
            <w:pPr>
              <w:pStyle w:val="a3"/>
              <w:jc w:val="center"/>
              <w:rPr>
                <w:rFonts w:ascii="Tahoma" w:hAnsi="Tahoma" w:cs="Tahoma"/>
                <w:color w:val="000080"/>
                <w:rtl/>
              </w:rPr>
            </w:pPr>
            <w:bookmarkStart w:id="0" w:name="LastJudge"/>
            <w:r w:rsidRPr="00FC405D">
              <w:rPr>
                <w:rFonts w:ascii="Tahoma" w:hAnsi="Tahoma" w:cs="Tahoma"/>
                <w:b/>
                <w:bCs/>
                <w:color w:val="000080"/>
                <w:rtl/>
              </w:rPr>
              <w:t>בית המשפט המחוזי בחיפה</w:t>
            </w:r>
          </w:p>
        </w:tc>
      </w:tr>
      <w:tr w:rsidR="00773D67" w:rsidRPr="00FC405D" w14:paraId="25BE0E10" w14:textId="77777777" w:rsidTr="001943DF">
        <w:trPr>
          <w:trHeight w:val="337"/>
          <w:jc w:val="center"/>
        </w:trPr>
        <w:tc>
          <w:tcPr>
            <w:tcW w:w="5058" w:type="dxa"/>
          </w:tcPr>
          <w:p w14:paraId="03250F29" w14:textId="77777777" w:rsidR="00773D67" w:rsidRPr="00FC405D" w:rsidRDefault="00773D67" w:rsidP="00DB7D33">
            <w:pPr>
              <w:rPr>
                <w:rFonts w:cs="FrankRuehl"/>
                <w:sz w:val="28"/>
                <w:szCs w:val="28"/>
                <w:rtl/>
              </w:rPr>
            </w:pPr>
            <w:r w:rsidRPr="00FC405D">
              <w:rPr>
                <w:rFonts w:cs="FrankRuehl"/>
                <w:sz w:val="28"/>
                <w:szCs w:val="28"/>
                <w:rtl/>
              </w:rPr>
              <w:t>ת"פ</w:t>
            </w:r>
            <w:r w:rsidRPr="00FC405D">
              <w:rPr>
                <w:rFonts w:cs="FrankRuehl" w:hint="cs"/>
                <w:sz w:val="28"/>
                <w:szCs w:val="28"/>
                <w:rtl/>
              </w:rPr>
              <w:t xml:space="preserve"> </w:t>
            </w:r>
            <w:r w:rsidRPr="00FC405D">
              <w:rPr>
                <w:rFonts w:cs="FrankRuehl"/>
                <w:sz w:val="28"/>
                <w:szCs w:val="28"/>
                <w:rtl/>
              </w:rPr>
              <w:t>54202-12-21</w:t>
            </w:r>
            <w:r w:rsidRPr="00FC405D">
              <w:rPr>
                <w:rFonts w:cs="FrankRuehl" w:hint="cs"/>
                <w:sz w:val="28"/>
                <w:szCs w:val="28"/>
                <w:rtl/>
              </w:rPr>
              <w:t xml:space="preserve"> </w:t>
            </w:r>
            <w:r w:rsidRPr="00FC405D">
              <w:rPr>
                <w:rFonts w:cs="FrankRuehl"/>
                <w:sz w:val="28"/>
                <w:szCs w:val="28"/>
                <w:rtl/>
              </w:rPr>
              <w:t>מדינת ישראל נ' אבו שהאב(עציר)</w:t>
            </w:r>
          </w:p>
          <w:p w14:paraId="3FC34D05" w14:textId="77777777" w:rsidR="00773D67" w:rsidRPr="00FC405D" w:rsidRDefault="00773D67" w:rsidP="00DB7D33">
            <w:pPr>
              <w:pStyle w:val="a3"/>
              <w:rPr>
                <w:rFonts w:cs="FrankRuehl"/>
                <w:sz w:val="28"/>
                <w:szCs w:val="28"/>
                <w:rtl/>
              </w:rPr>
            </w:pPr>
          </w:p>
        </w:tc>
        <w:tc>
          <w:tcPr>
            <w:tcW w:w="3663" w:type="dxa"/>
          </w:tcPr>
          <w:p w14:paraId="426E8A57" w14:textId="77777777" w:rsidR="00773D67" w:rsidRPr="00FC405D" w:rsidRDefault="00773D67" w:rsidP="00DB7D33">
            <w:pPr>
              <w:pStyle w:val="a3"/>
              <w:jc w:val="right"/>
              <w:rPr>
                <w:rFonts w:cs="FrankRuehl"/>
                <w:sz w:val="28"/>
                <w:szCs w:val="28"/>
                <w:rtl/>
              </w:rPr>
            </w:pPr>
          </w:p>
        </w:tc>
      </w:tr>
    </w:tbl>
    <w:p w14:paraId="072E4938" w14:textId="77777777" w:rsidR="00773D67" w:rsidRPr="00FC405D" w:rsidRDefault="00773D67" w:rsidP="00773D67">
      <w:pPr>
        <w:pStyle w:val="a3"/>
        <w:rPr>
          <w:rtl/>
        </w:rPr>
      </w:pPr>
      <w:r w:rsidRPr="00FC405D">
        <w:rPr>
          <w:rFonts w:hint="cs"/>
          <w:rtl/>
        </w:rPr>
        <w:t xml:space="preserve"> </w:t>
      </w:r>
    </w:p>
    <w:p w14:paraId="15BB8ED0" w14:textId="77777777" w:rsidR="00773D67" w:rsidRPr="00FC405D" w:rsidRDefault="00773D67" w:rsidP="00773D67">
      <w:pPr>
        <w:rPr>
          <w:rtl/>
        </w:rPr>
      </w:pPr>
    </w:p>
    <w:p w14:paraId="57626E25" w14:textId="77777777" w:rsidR="00773D67" w:rsidRPr="00FC405D" w:rsidRDefault="00773D67" w:rsidP="00773D67">
      <w:pPr>
        <w:rPr>
          <w:rtl/>
        </w:rPr>
      </w:pPr>
    </w:p>
    <w:tbl>
      <w:tblPr>
        <w:bidiVisual/>
        <w:tblW w:w="0" w:type="dxa"/>
        <w:tblInd w:w="-28" w:type="dxa"/>
        <w:tblLayout w:type="fixed"/>
        <w:tblLook w:val="01E0" w:firstRow="1" w:lastRow="1" w:firstColumn="1" w:lastColumn="1" w:noHBand="0" w:noVBand="0"/>
      </w:tblPr>
      <w:tblGrid>
        <w:gridCol w:w="3240"/>
        <w:gridCol w:w="5562"/>
      </w:tblGrid>
      <w:tr w:rsidR="00773D67" w:rsidRPr="00FC405D" w14:paraId="05B2C5CA" w14:textId="77777777" w:rsidTr="00773D67">
        <w:tc>
          <w:tcPr>
            <w:tcW w:w="8802" w:type="dxa"/>
            <w:gridSpan w:val="2"/>
            <w:shd w:val="clear" w:color="auto" w:fill="auto"/>
          </w:tcPr>
          <w:p w14:paraId="76285E33" w14:textId="77777777" w:rsidR="00773D67" w:rsidRPr="00FC405D" w:rsidRDefault="00773D67" w:rsidP="00DB7D33">
            <w:pPr>
              <w:rPr>
                <w:b/>
                <w:bCs/>
              </w:rPr>
            </w:pPr>
            <w:r w:rsidRPr="00FC405D">
              <w:rPr>
                <w:rFonts w:hint="cs"/>
                <w:b/>
                <w:bCs/>
                <w:sz w:val="26"/>
                <w:szCs w:val="26"/>
                <w:rtl/>
              </w:rPr>
              <w:t>לפני כבוד השופט דניאל פיש</w:t>
            </w:r>
          </w:p>
        </w:tc>
      </w:tr>
      <w:tr w:rsidR="00773D67" w:rsidRPr="00FC405D" w14:paraId="13208FAC" w14:textId="77777777" w:rsidTr="00773D67">
        <w:tc>
          <w:tcPr>
            <w:tcW w:w="3240" w:type="dxa"/>
            <w:shd w:val="clear" w:color="auto" w:fill="auto"/>
          </w:tcPr>
          <w:p w14:paraId="365A8237" w14:textId="77777777" w:rsidR="00773D67" w:rsidRPr="00FC405D" w:rsidRDefault="00773D67" w:rsidP="00773D67">
            <w:pPr>
              <w:ind w:left="26"/>
              <w:rPr>
                <w:b/>
                <w:bCs/>
                <w:sz w:val="26"/>
                <w:szCs w:val="26"/>
                <w:rtl/>
              </w:rPr>
            </w:pPr>
            <w:bookmarkStart w:id="1" w:name="FirstAppellant"/>
          </w:p>
          <w:p w14:paraId="49425BC9" w14:textId="77777777" w:rsidR="00773D67" w:rsidRPr="00FC405D" w:rsidRDefault="00773D67" w:rsidP="00773D67">
            <w:pPr>
              <w:ind w:left="26"/>
              <w:rPr>
                <w:b/>
                <w:bCs/>
                <w:sz w:val="26"/>
                <w:szCs w:val="26"/>
                <w:rtl/>
              </w:rPr>
            </w:pPr>
            <w:r w:rsidRPr="00FC405D">
              <w:rPr>
                <w:rFonts w:hint="cs"/>
                <w:b/>
                <w:bCs/>
                <w:sz w:val="26"/>
                <w:szCs w:val="26"/>
                <w:rtl/>
              </w:rPr>
              <w:t>ה</w:t>
            </w:r>
            <w:r w:rsidRPr="00FC405D">
              <w:rPr>
                <w:b/>
                <w:bCs/>
                <w:sz w:val="26"/>
                <w:szCs w:val="26"/>
                <w:rtl/>
              </w:rPr>
              <w:t>מאשימה</w:t>
            </w:r>
          </w:p>
        </w:tc>
        <w:tc>
          <w:tcPr>
            <w:tcW w:w="5562" w:type="dxa"/>
            <w:shd w:val="clear" w:color="auto" w:fill="auto"/>
          </w:tcPr>
          <w:p w14:paraId="11C805C4" w14:textId="77777777" w:rsidR="00773D67" w:rsidRPr="00FC405D" w:rsidRDefault="00773D67" w:rsidP="00DB7D33">
            <w:pPr>
              <w:rPr>
                <w:rtl/>
              </w:rPr>
            </w:pPr>
          </w:p>
          <w:p w14:paraId="4191D837" w14:textId="77777777" w:rsidR="00773D67" w:rsidRPr="00FC405D" w:rsidRDefault="00773D67" w:rsidP="00DB7D33">
            <w:pPr>
              <w:rPr>
                <w:b/>
                <w:bCs/>
                <w:sz w:val="26"/>
                <w:szCs w:val="26"/>
                <w:rtl/>
              </w:rPr>
            </w:pPr>
            <w:r w:rsidRPr="00FC405D">
              <w:rPr>
                <w:b/>
                <w:bCs/>
                <w:sz w:val="26"/>
                <w:szCs w:val="26"/>
                <w:rtl/>
              </w:rPr>
              <w:t>מדינת ישראל</w:t>
            </w:r>
          </w:p>
        </w:tc>
      </w:tr>
      <w:bookmarkEnd w:id="1"/>
      <w:tr w:rsidR="00773D67" w:rsidRPr="00FC405D" w14:paraId="5DC5888E" w14:textId="77777777" w:rsidTr="00773D67">
        <w:tc>
          <w:tcPr>
            <w:tcW w:w="8802" w:type="dxa"/>
            <w:gridSpan w:val="2"/>
            <w:shd w:val="clear" w:color="auto" w:fill="auto"/>
          </w:tcPr>
          <w:p w14:paraId="63347D38" w14:textId="77777777" w:rsidR="00773D67" w:rsidRPr="00FC405D" w:rsidRDefault="00773D67" w:rsidP="00773D67">
            <w:pPr>
              <w:jc w:val="both"/>
              <w:rPr>
                <w:rFonts w:ascii="Arial" w:hAnsi="Arial"/>
                <w:b/>
                <w:bCs/>
                <w:sz w:val="26"/>
                <w:szCs w:val="26"/>
                <w:rtl/>
              </w:rPr>
            </w:pPr>
          </w:p>
          <w:p w14:paraId="6FB4AEF9" w14:textId="77777777" w:rsidR="00773D67" w:rsidRPr="00FC405D" w:rsidRDefault="00773D67" w:rsidP="00773D67">
            <w:pPr>
              <w:jc w:val="center"/>
              <w:rPr>
                <w:rFonts w:ascii="Arial" w:hAnsi="Arial"/>
                <w:b/>
                <w:bCs/>
                <w:sz w:val="26"/>
                <w:szCs w:val="26"/>
                <w:rtl/>
              </w:rPr>
            </w:pPr>
            <w:r w:rsidRPr="00FC405D">
              <w:rPr>
                <w:rFonts w:ascii="Arial" w:hAnsi="Arial" w:hint="cs"/>
                <w:b/>
                <w:bCs/>
                <w:sz w:val="26"/>
                <w:szCs w:val="26"/>
                <w:rtl/>
              </w:rPr>
              <w:t>נגד</w:t>
            </w:r>
          </w:p>
          <w:p w14:paraId="01A97A4D" w14:textId="77777777" w:rsidR="00773D67" w:rsidRPr="00FC405D" w:rsidRDefault="00773D67" w:rsidP="00773D67">
            <w:pPr>
              <w:jc w:val="center"/>
              <w:rPr>
                <w:rFonts w:ascii="Arial" w:hAnsi="Arial"/>
                <w:b/>
                <w:bCs/>
                <w:sz w:val="26"/>
                <w:szCs w:val="26"/>
                <w:rtl/>
              </w:rPr>
            </w:pPr>
          </w:p>
        </w:tc>
      </w:tr>
      <w:tr w:rsidR="00773D67" w:rsidRPr="00FC405D" w14:paraId="752EDA8D" w14:textId="77777777" w:rsidTr="00773D67">
        <w:tc>
          <w:tcPr>
            <w:tcW w:w="3240" w:type="dxa"/>
            <w:shd w:val="clear" w:color="auto" w:fill="auto"/>
          </w:tcPr>
          <w:p w14:paraId="7E148C58" w14:textId="77777777" w:rsidR="00773D67" w:rsidRPr="00FC405D" w:rsidRDefault="00773D67" w:rsidP="00773D67">
            <w:pPr>
              <w:ind w:left="26"/>
              <w:rPr>
                <w:b/>
                <w:bCs/>
                <w:sz w:val="26"/>
                <w:szCs w:val="26"/>
              </w:rPr>
            </w:pPr>
            <w:r w:rsidRPr="00FC405D">
              <w:rPr>
                <w:rFonts w:hint="cs"/>
                <w:b/>
                <w:bCs/>
                <w:sz w:val="26"/>
                <w:szCs w:val="26"/>
                <w:rtl/>
              </w:rPr>
              <w:t>ה</w:t>
            </w:r>
            <w:r w:rsidRPr="00FC405D">
              <w:rPr>
                <w:b/>
                <w:bCs/>
                <w:sz w:val="26"/>
                <w:szCs w:val="26"/>
                <w:rtl/>
              </w:rPr>
              <w:t>נאשם</w:t>
            </w:r>
          </w:p>
        </w:tc>
        <w:tc>
          <w:tcPr>
            <w:tcW w:w="5562" w:type="dxa"/>
            <w:shd w:val="clear" w:color="auto" w:fill="auto"/>
          </w:tcPr>
          <w:p w14:paraId="755912B0" w14:textId="77777777" w:rsidR="00773D67" w:rsidRPr="00FC405D" w:rsidRDefault="00773D67" w:rsidP="00DB7D33">
            <w:pPr>
              <w:rPr>
                <w:b/>
                <w:bCs/>
                <w:sz w:val="26"/>
                <w:szCs w:val="26"/>
                <w:rtl/>
              </w:rPr>
            </w:pPr>
            <w:r w:rsidRPr="00FC405D">
              <w:rPr>
                <w:b/>
                <w:bCs/>
                <w:sz w:val="26"/>
                <w:szCs w:val="26"/>
                <w:rtl/>
              </w:rPr>
              <w:t xml:space="preserve">בלאל אבו שהאב, ת"ז </w:t>
            </w:r>
            <w:r w:rsidR="00FC405D">
              <w:rPr>
                <w:b/>
                <w:bCs/>
                <w:sz w:val="26"/>
                <w:szCs w:val="26"/>
              </w:rPr>
              <w:t>xxxxxxxxxx</w:t>
            </w:r>
            <w:r w:rsidRPr="00FC405D">
              <w:rPr>
                <w:b/>
                <w:bCs/>
                <w:sz w:val="26"/>
                <w:szCs w:val="26"/>
                <w:rtl/>
              </w:rPr>
              <w:t>(עציר)</w:t>
            </w:r>
          </w:p>
        </w:tc>
      </w:tr>
    </w:tbl>
    <w:p w14:paraId="218353BA" w14:textId="77777777" w:rsidR="00773D67" w:rsidRPr="00FC405D" w:rsidRDefault="00773D67" w:rsidP="00773D67"/>
    <w:p w14:paraId="462FCDD4" w14:textId="77777777" w:rsidR="00724ABC" w:rsidRPr="00724ABC" w:rsidRDefault="00724ABC" w:rsidP="00724ABC">
      <w:pPr>
        <w:spacing w:before="120" w:after="120" w:line="240" w:lineRule="exact"/>
        <w:ind w:left="283" w:hanging="283"/>
        <w:jc w:val="both"/>
        <w:rPr>
          <w:rFonts w:ascii="FrankRuehl" w:hAnsi="FrankRuehl" w:cs="FrankRuehl"/>
          <w:rtl/>
        </w:rPr>
      </w:pPr>
    </w:p>
    <w:p w14:paraId="32F80DE4" w14:textId="77777777" w:rsidR="009636E2" w:rsidRDefault="009636E2" w:rsidP="009636E2">
      <w:pPr>
        <w:spacing w:line="360" w:lineRule="auto"/>
        <w:jc w:val="both"/>
        <w:rPr>
          <w:rFonts w:ascii="Arial" w:hAnsi="Arial"/>
          <w:rtl/>
        </w:rPr>
      </w:pPr>
      <w:bookmarkStart w:id="2" w:name="LawTable"/>
      <w:bookmarkEnd w:id="2"/>
    </w:p>
    <w:p w14:paraId="7139AF6E" w14:textId="77777777" w:rsidR="009636E2" w:rsidRPr="009636E2" w:rsidRDefault="009636E2" w:rsidP="009636E2">
      <w:pPr>
        <w:spacing w:before="120" w:after="120" w:line="240" w:lineRule="exact"/>
        <w:ind w:left="283" w:hanging="283"/>
        <w:jc w:val="both"/>
        <w:rPr>
          <w:rFonts w:ascii="FrankRuehl" w:hAnsi="FrankRuehl" w:cs="FrankRuehl"/>
          <w:rtl/>
        </w:rPr>
      </w:pPr>
    </w:p>
    <w:p w14:paraId="4D0BF35D" w14:textId="77777777" w:rsidR="009636E2" w:rsidRPr="009636E2" w:rsidRDefault="009636E2" w:rsidP="009636E2">
      <w:pPr>
        <w:spacing w:before="120" w:after="120" w:line="240" w:lineRule="exact"/>
        <w:ind w:left="283" w:hanging="283"/>
        <w:jc w:val="both"/>
        <w:rPr>
          <w:rFonts w:ascii="FrankRuehl" w:hAnsi="FrankRuehl" w:cs="FrankRuehl"/>
          <w:rtl/>
        </w:rPr>
      </w:pPr>
    </w:p>
    <w:p w14:paraId="5E841FE8" w14:textId="77777777" w:rsidR="009636E2" w:rsidRPr="009636E2" w:rsidRDefault="009636E2" w:rsidP="009636E2">
      <w:pPr>
        <w:spacing w:before="120" w:after="120" w:line="240" w:lineRule="exact"/>
        <w:ind w:left="283" w:hanging="283"/>
        <w:jc w:val="both"/>
        <w:rPr>
          <w:rFonts w:ascii="FrankRuehl" w:hAnsi="FrankRuehl" w:cs="FrankRuehl"/>
          <w:rtl/>
        </w:rPr>
      </w:pPr>
      <w:r w:rsidRPr="009636E2">
        <w:rPr>
          <w:rFonts w:ascii="FrankRuehl" w:hAnsi="FrankRuehl" w:cs="FrankRuehl"/>
          <w:rtl/>
        </w:rPr>
        <w:t xml:space="preserve">חקיקה שאוזכרה: </w:t>
      </w:r>
    </w:p>
    <w:p w14:paraId="0DC9016B" w14:textId="77777777" w:rsidR="009636E2" w:rsidRPr="009636E2" w:rsidRDefault="009636E2" w:rsidP="009636E2">
      <w:pPr>
        <w:spacing w:before="120" w:after="120" w:line="240" w:lineRule="exact"/>
        <w:ind w:left="283" w:hanging="283"/>
        <w:jc w:val="both"/>
        <w:rPr>
          <w:rFonts w:ascii="FrankRuehl" w:hAnsi="FrankRuehl" w:cs="FrankRuehl"/>
          <w:rtl/>
        </w:rPr>
      </w:pPr>
      <w:hyperlink r:id="rId7" w:history="1">
        <w:r w:rsidRPr="009636E2">
          <w:rPr>
            <w:rFonts w:ascii="FrankRuehl" w:hAnsi="FrankRuehl" w:cs="FrankRuehl"/>
            <w:color w:val="0000FF"/>
            <w:rtl/>
          </w:rPr>
          <w:t>חוק העונשין, תשל"ז-1977</w:t>
        </w:r>
      </w:hyperlink>
      <w:r w:rsidRPr="009636E2">
        <w:rPr>
          <w:rFonts w:ascii="FrankRuehl" w:hAnsi="FrankRuehl" w:cs="FrankRuehl"/>
          <w:rtl/>
        </w:rPr>
        <w:t xml:space="preserve">: סע'  </w:t>
      </w:r>
      <w:hyperlink r:id="rId8" w:history="1">
        <w:r w:rsidRPr="009636E2">
          <w:rPr>
            <w:rFonts w:ascii="FrankRuehl" w:hAnsi="FrankRuehl" w:cs="FrankRuehl"/>
            <w:color w:val="0000FF"/>
            <w:rtl/>
          </w:rPr>
          <w:t>29</w:t>
        </w:r>
      </w:hyperlink>
      <w:r w:rsidRPr="009636E2">
        <w:rPr>
          <w:rFonts w:ascii="FrankRuehl" w:hAnsi="FrankRuehl" w:cs="FrankRuehl"/>
          <w:rtl/>
        </w:rPr>
        <w:t xml:space="preserve">, </w:t>
      </w:r>
      <w:hyperlink r:id="rId9" w:history="1">
        <w:r w:rsidRPr="009636E2">
          <w:rPr>
            <w:rFonts w:ascii="FrankRuehl" w:hAnsi="FrankRuehl" w:cs="FrankRuehl"/>
            <w:color w:val="0000FF"/>
            <w:rtl/>
          </w:rPr>
          <w:t>144(א)</w:t>
        </w:r>
      </w:hyperlink>
      <w:r w:rsidRPr="009636E2">
        <w:rPr>
          <w:rFonts w:ascii="FrankRuehl" w:hAnsi="FrankRuehl" w:cs="FrankRuehl"/>
          <w:rtl/>
        </w:rPr>
        <w:t xml:space="preserve">, </w:t>
      </w:r>
      <w:hyperlink r:id="rId10" w:history="1">
        <w:r w:rsidRPr="009636E2">
          <w:rPr>
            <w:rFonts w:ascii="FrankRuehl" w:hAnsi="FrankRuehl" w:cs="FrankRuehl"/>
            <w:color w:val="0000FF"/>
            <w:rtl/>
          </w:rPr>
          <w:t>(ב)</w:t>
        </w:r>
      </w:hyperlink>
      <w:r w:rsidRPr="009636E2">
        <w:rPr>
          <w:rFonts w:ascii="FrankRuehl" w:hAnsi="FrankRuehl" w:cs="FrankRuehl"/>
          <w:rtl/>
        </w:rPr>
        <w:t xml:space="preserve">, </w:t>
      </w:r>
      <w:hyperlink r:id="rId11" w:history="1">
        <w:r w:rsidRPr="009636E2">
          <w:rPr>
            <w:rFonts w:ascii="FrankRuehl" w:hAnsi="FrankRuehl" w:cs="FrankRuehl"/>
            <w:color w:val="0000FF"/>
            <w:rtl/>
          </w:rPr>
          <w:t>192</w:t>
        </w:r>
      </w:hyperlink>
      <w:r w:rsidRPr="009636E2">
        <w:rPr>
          <w:rFonts w:ascii="FrankRuehl" w:hAnsi="FrankRuehl" w:cs="FrankRuehl"/>
          <w:rtl/>
        </w:rPr>
        <w:t xml:space="preserve">, </w:t>
      </w:r>
      <w:hyperlink r:id="rId12" w:history="1">
        <w:r w:rsidRPr="009636E2">
          <w:rPr>
            <w:rFonts w:ascii="FrankRuehl" w:hAnsi="FrankRuehl" w:cs="FrankRuehl"/>
            <w:color w:val="0000FF"/>
            <w:rtl/>
          </w:rPr>
          <w:t>275</w:t>
        </w:r>
      </w:hyperlink>
    </w:p>
    <w:p w14:paraId="73481C31" w14:textId="77777777" w:rsidR="009636E2" w:rsidRPr="009636E2" w:rsidRDefault="009636E2" w:rsidP="009636E2">
      <w:pPr>
        <w:spacing w:line="360" w:lineRule="auto"/>
        <w:jc w:val="both"/>
        <w:rPr>
          <w:rFonts w:ascii="Arial" w:hAnsi="Arial"/>
          <w:rtl/>
        </w:rPr>
      </w:pPr>
      <w:bookmarkStart w:id="3" w:name="LawTable_End"/>
      <w:bookmarkEnd w:id="3"/>
    </w:p>
    <w:p w14:paraId="306E7817" w14:textId="77777777" w:rsidR="00773D67" w:rsidRPr="00724ABC" w:rsidRDefault="00773D67" w:rsidP="00724ABC">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3D67" w14:paraId="6BE3C761" w14:textId="77777777" w:rsidTr="00773D67">
        <w:trPr>
          <w:trHeight w:val="355"/>
          <w:jc w:val="center"/>
        </w:trPr>
        <w:tc>
          <w:tcPr>
            <w:tcW w:w="8820" w:type="dxa"/>
            <w:tcBorders>
              <w:top w:val="nil"/>
              <w:left w:val="nil"/>
              <w:bottom w:val="nil"/>
              <w:right w:val="nil"/>
            </w:tcBorders>
            <w:shd w:val="clear" w:color="auto" w:fill="auto"/>
          </w:tcPr>
          <w:p w14:paraId="1901E09A" w14:textId="77777777" w:rsidR="00FC405D" w:rsidRPr="00FC405D" w:rsidRDefault="00FC405D" w:rsidP="00FC405D">
            <w:pPr>
              <w:jc w:val="center"/>
              <w:rPr>
                <w:rFonts w:ascii="David" w:hAnsi="David"/>
                <w:b/>
                <w:bCs/>
                <w:sz w:val="32"/>
                <w:szCs w:val="32"/>
                <w:u w:val="single"/>
                <w:rtl/>
              </w:rPr>
            </w:pPr>
            <w:bookmarkStart w:id="4" w:name="PsakDin" w:colFirst="0" w:colLast="0"/>
            <w:bookmarkEnd w:id="0"/>
            <w:r w:rsidRPr="00FC405D">
              <w:rPr>
                <w:rFonts w:ascii="David" w:hAnsi="David"/>
                <w:b/>
                <w:bCs/>
                <w:sz w:val="32"/>
                <w:szCs w:val="32"/>
                <w:u w:val="single"/>
                <w:rtl/>
              </w:rPr>
              <w:t>גזר דין</w:t>
            </w:r>
          </w:p>
          <w:p w14:paraId="78122A0A" w14:textId="77777777" w:rsidR="00773D67" w:rsidRPr="00FC405D" w:rsidRDefault="00773D67" w:rsidP="00FC405D">
            <w:pPr>
              <w:jc w:val="center"/>
              <w:rPr>
                <w:rFonts w:ascii="David" w:hAnsi="David"/>
                <w:bCs/>
                <w:sz w:val="32"/>
                <w:szCs w:val="32"/>
                <w:u w:val="single"/>
                <w:rtl/>
              </w:rPr>
            </w:pPr>
          </w:p>
        </w:tc>
      </w:tr>
      <w:bookmarkEnd w:id="4"/>
    </w:tbl>
    <w:p w14:paraId="1C64B6EC" w14:textId="77777777" w:rsidR="00773D67" w:rsidRPr="00925A59" w:rsidRDefault="00773D67" w:rsidP="00773D67">
      <w:pPr>
        <w:spacing w:line="360" w:lineRule="auto"/>
        <w:jc w:val="both"/>
        <w:rPr>
          <w:rFonts w:ascii="Arial" w:hAnsi="Arial"/>
          <w:b/>
          <w:bCs/>
          <w:rtl/>
        </w:rPr>
      </w:pPr>
    </w:p>
    <w:p w14:paraId="5ECA37C0" w14:textId="77777777" w:rsidR="00773D67" w:rsidRPr="003C24B6" w:rsidRDefault="00773D67" w:rsidP="00773D67">
      <w:pPr>
        <w:pStyle w:val="a9"/>
        <w:numPr>
          <w:ilvl w:val="0"/>
          <w:numId w:val="1"/>
        </w:numPr>
        <w:spacing w:line="360" w:lineRule="auto"/>
        <w:jc w:val="both"/>
        <w:rPr>
          <w:rFonts w:ascii="David" w:hAnsi="David"/>
        </w:rPr>
      </w:pPr>
      <w:bookmarkStart w:id="5" w:name="ABSTRACT_START"/>
      <w:bookmarkEnd w:id="5"/>
      <w:r>
        <w:rPr>
          <w:rFonts w:ascii="David" w:hAnsi="David"/>
          <w:rtl/>
        </w:rPr>
        <w:t xml:space="preserve">הנאשם הורשע לאחר </w:t>
      </w:r>
      <w:r>
        <w:rPr>
          <w:rFonts w:ascii="David" w:hAnsi="David" w:hint="cs"/>
          <w:rtl/>
        </w:rPr>
        <w:t>שהודה</w:t>
      </w:r>
      <w:r w:rsidRPr="003C24B6">
        <w:rPr>
          <w:rFonts w:ascii="David" w:hAnsi="David"/>
          <w:rtl/>
        </w:rPr>
        <w:t xml:space="preserve"> בעובדות כתב אישום מתוקן בעבירות של החזקת נשיאת והובלת נשק</w:t>
      </w:r>
      <w:r>
        <w:rPr>
          <w:rFonts w:ascii="David" w:hAnsi="David" w:hint="cs"/>
          <w:rtl/>
        </w:rPr>
        <w:t xml:space="preserve"> לפי </w:t>
      </w:r>
      <w:hyperlink r:id="rId13" w:history="1">
        <w:r w:rsidR="001943DF" w:rsidRPr="001943DF">
          <w:rPr>
            <w:rStyle w:val="Hyperlink"/>
            <w:rFonts w:ascii="David" w:hAnsi="David" w:hint="eastAsia"/>
            <w:rtl/>
          </w:rPr>
          <w:t>סעיפים</w:t>
        </w:r>
        <w:r w:rsidR="001943DF" w:rsidRPr="001943DF">
          <w:rPr>
            <w:rStyle w:val="Hyperlink"/>
            <w:rFonts w:ascii="David" w:hAnsi="David"/>
            <w:rtl/>
          </w:rPr>
          <w:t xml:space="preserve"> 144(א)</w:t>
        </w:r>
      </w:hyperlink>
      <w:r>
        <w:rPr>
          <w:rFonts w:ascii="David" w:hAnsi="David" w:hint="cs"/>
          <w:rtl/>
        </w:rPr>
        <w:t xml:space="preserve"> + </w:t>
      </w:r>
      <w:hyperlink r:id="rId14" w:history="1">
        <w:r w:rsidR="001943DF" w:rsidRPr="001943DF">
          <w:rPr>
            <w:rStyle w:val="Hyperlink"/>
            <w:rFonts w:ascii="David" w:hAnsi="David"/>
            <w:rtl/>
          </w:rPr>
          <w:t>(ב)</w:t>
        </w:r>
      </w:hyperlink>
      <w:r>
        <w:rPr>
          <w:rFonts w:ascii="David" w:hAnsi="David" w:hint="cs"/>
          <w:rtl/>
        </w:rPr>
        <w:t xml:space="preserve"> רישא + סיפא + </w:t>
      </w:r>
      <w:hyperlink r:id="rId15" w:history="1">
        <w:r w:rsidR="001943DF" w:rsidRPr="001943DF">
          <w:rPr>
            <w:rStyle w:val="Hyperlink"/>
            <w:rFonts w:ascii="David" w:hAnsi="David"/>
            <w:rtl/>
          </w:rPr>
          <w:t>29</w:t>
        </w:r>
      </w:hyperlink>
      <w:r>
        <w:rPr>
          <w:rFonts w:ascii="David" w:hAnsi="David" w:hint="cs"/>
          <w:rtl/>
        </w:rPr>
        <w:t xml:space="preserve"> ל</w:t>
      </w:r>
      <w:hyperlink r:id="rId16" w:history="1">
        <w:r w:rsidR="00FC405D" w:rsidRPr="00FC405D">
          <w:rPr>
            <w:rFonts w:ascii="David" w:hAnsi="David"/>
            <w:color w:val="0000FF"/>
            <w:u w:val="single"/>
            <w:rtl/>
          </w:rPr>
          <w:t>חוק העונשין</w:t>
        </w:r>
      </w:hyperlink>
      <w:r>
        <w:rPr>
          <w:rFonts w:ascii="David" w:hAnsi="David" w:hint="cs"/>
          <w:rtl/>
        </w:rPr>
        <w:t>, התשל"ז-1977</w:t>
      </w:r>
      <w:r w:rsidRPr="003C24B6">
        <w:rPr>
          <w:rFonts w:ascii="David" w:hAnsi="David"/>
          <w:rtl/>
        </w:rPr>
        <w:t>, איומים</w:t>
      </w:r>
      <w:r>
        <w:rPr>
          <w:rFonts w:ascii="David" w:hAnsi="David" w:hint="cs"/>
          <w:rtl/>
        </w:rPr>
        <w:t xml:space="preserve"> לפי </w:t>
      </w:r>
      <w:hyperlink r:id="rId17" w:history="1">
        <w:r w:rsidR="001943DF" w:rsidRPr="001943DF">
          <w:rPr>
            <w:rStyle w:val="Hyperlink"/>
            <w:rFonts w:ascii="David" w:hAnsi="David" w:hint="eastAsia"/>
            <w:rtl/>
          </w:rPr>
          <w:t>סעיף</w:t>
        </w:r>
        <w:r w:rsidR="001943DF" w:rsidRPr="001943DF">
          <w:rPr>
            <w:rStyle w:val="Hyperlink"/>
            <w:rFonts w:ascii="David" w:hAnsi="David"/>
            <w:rtl/>
          </w:rPr>
          <w:t xml:space="preserve"> 192</w:t>
        </w:r>
      </w:hyperlink>
      <w:r>
        <w:rPr>
          <w:rFonts w:ascii="David" w:hAnsi="David" w:hint="cs"/>
          <w:rtl/>
        </w:rPr>
        <w:t xml:space="preserve"> + </w:t>
      </w:r>
      <w:hyperlink r:id="rId18" w:history="1">
        <w:r w:rsidR="001943DF" w:rsidRPr="001943DF">
          <w:rPr>
            <w:rStyle w:val="Hyperlink"/>
            <w:rFonts w:ascii="David" w:hAnsi="David"/>
            <w:rtl/>
          </w:rPr>
          <w:t>29</w:t>
        </w:r>
      </w:hyperlink>
      <w:r>
        <w:rPr>
          <w:rFonts w:ascii="David" w:hAnsi="David" w:hint="cs"/>
          <w:rtl/>
        </w:rPr>
        <w:t xml:space="preserve"> לחוק</w:t>
      </w:r>
      <w:r w:rsidRPr="003C24B6">
        <w:rPr>
          <w:rFonts w:ascii="David" w:hAnsi="David"/>
          <w:rtl/>
        </w:rPr>
        <w:t xml:space="preserve"> והפרעה לשוטר במילוי תפקידו</w:t>
      </w:r>
      <w:r>
        <w:rPr>
          <w:rFonts w:ascii="David" w:hAnsi="David" w:hint="cs"/>
          <w:rtl/>
        </w:rPr>
        <w:t xml:space="preserve"> לפי </w:t>
      </w:r>
      <w:hyperlink r:id="rId19" w:history="1">
        <w:r w:rsidR="001943DF" w:rsidRPr="001943DF">
          <w:rPr>
            <w:rStyle w:val="Hyperlink"/>
            <w:rFonts w:ascii="David" w:hAnsi="David" w:hint="eastAsia"/>
            <w:rtl/>
          </w:rPr>
          <w:t>סעיף</w:t>
        </w:r>
        <w:r w:rsidR="001943DF" w:rsidRPr="001943DF">
          <w:rPr>
            <w:rStyle w:val="Hyperlink"/>
            <w:rFonts w:ascii="David" w:hAnsi="David"/>
            <w:rtl/>
          </w:rPr>
          <w:t xml:space="preserve"> 275</w:t>
        </w:r>
      </w:hyperlink>
      <w:r>
        <w:rPr>
          <w:rFonts w:ascii="David" w:hAnsi="David" w:hint="cs"/>
          <w:rtl/>
        </w:rPr>
        <w:t xml:space="preserve"> + </w:t>
      </w:r>
      <w:hyperlink r:id="rId20" w:history="1">
        <w:r w:rsidR="001943DF" w:rsidRPr="001943DF">
          <w:rPr>
            <w:rStyle w:val="Hyperlink"/>
            <w:rFonts w:ascii="David" w:hAnsi="David"/>
            <w:rtl/>
          </w:rPr>
          <w:t>29</w:t>
        </w:r>
      </w:hyperlink>
      <w:r>
        <w:rPr>
          <w:rFonts w:ascii="David" w:hAnsi="David" w:hint="cs"/>
          <w:rtl/>
        </w:rPr>
        <w:t xml:space="preserve"> לחוק</w:t>
      </w:r>
      <w:bookmarkStart w:id="6" w:name="ABSTRACT_END"/>
      <w:bookmarkEnd w:id="6"/>
      <w:r w:rsidRPr="003C24B6">
        <w:rPr>
          <w:rFonts w:ascii="David" w:hAnsi="David"/>
          <w:rtl/>
        </w:rPr>
        <w:t xml:space="preserve">. </w:t>
      </w:r>
    </w:p>
    <w:p w14:paraId="0EC9AD8D" w14:textId="77777777" w:rsidR="00773D67" w:rsidRPr="00720ED2" w:rsidRDefault="00773D67" w:rsidP="00773D67">
      <w:pPr>
        <w:pStyle w:val="a9"/>
        <w:spacing w:line="360" w:lineRule="auto"/>
        <w:jc w:val="both"/>
        <w:rPr>
          <w:rFonts w:ascii="David" w:hAnsi="David"/>
        </w:rPr>
      </w:pPr>
    </w:p>
    <w:p w14:paraId="6A13A3CE"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על פי האמור בכתב האישום המתוקן, בין הנאשם לא.א</w:t>
      </w:r>
      <w:r>
        <w:rPr>
          <w:rFonts w:ascii="David" w:hAnsi="David" w:hint="cs"/>
          <w:rtl/>
        </w:rPr>
        <w:t>,</w:t>
      </w:r>
      <w:r w:rsidRPr="003C24B6">
        <w:rPr>
          <w:rFonts w:ascii="David" w:hAnsi="David"/>
          <w:rtl/>
        </w:rPr>
        <w:t xml:space="preserve"> קטין יליד 2005</w:t>
      </w:r>
      <w:r>
        <w:rPr>
          <w:rFonts w:ascii="David" w:hAnsi="David" w:hint="cs"/>
          <w:rtl/>
        </w:rPr>
        <w:t>,</w:t>
      </w:r>
      <w:r w:rsidRPr="003C24B6">
        <w:rPr>
          <w:rFonts w:ascii="David" w:hAnsi="David"/>
          <w:rtl/>
        </w:rPr>
        <w:t xml:space="preserve"> ומוחמד שהאב קיימת היכרות מוקדמות, והנאשם הינו בן דודו של א.א. </w:t>
      </w:r>
    </w:p>
    <w:p w14:paraId="0E800EC6" w14:textId="77777777" w:rsidR="00773D67" w:rsidRPr="003C24B6" w:rsidRDefault="00773D67" w:rsidP="00773D67">
      <w:pPr>
        <w:pStyle w:val="a9"/>
        <w:spacing w:line="360" w:lineRule="auto"/>
        <w:jc w:val="both"/>
        <w:rPr>
          <w:rFonts w:ascii="David" w:hAnsi="David"/>
          <w:rtl/>
        </w:rPr>
      </w:pPr>
      <w:r w:rsidRPr="003C24B6">
        <w:rPr>
          <w:rFonts w:ascii="David" w:hAnsi="David"/>
          <w:rtl/>
        </w:rPr>
        <w:t>ביום 7.12.21 בסמוך לשעה 19:15, הגיעו הנאשם, א.א</w:t>
      </w:r>
      <w:r>
        <w:rPr>
          <w:rFonts w:ascii="David" w:hAnsi="David" w:hint="cs"/>
          <w:rtl/>
        </w:rPr>
        <w:t>,</w:t>
      </w:r>
      <w:r>
        <w:rPr>
          <w:rFonts w:ascii="David" w:hAnsi="David"/>
          <w:rtl/>
        </w:rPr>
        <w:t xml:space="preserve"> ומוחמד</w:t>
      </w:r>
      <w:r w:rsidRPr="003C24B6">
        <w:rPr>
          <w:rFonts w:ascii="David" w:hAnsi="David"/>
          <w:rtl/>
        </w:rPr>
        <w:t xml:space="preserve"> לאזור מתחם האירועים "אלמווארס" שבג'סר א-זרקא כשהם רעולי פנים. </w:t>
      </w:r>
    </w:p>
    <w:p w14:paraId="61C37BD9" w14:textId="77777777" w:rsidR="00773D67" w:rsidRPr="003C24B6" w:rsidRDefault="00773D67" w:rsidP="00773D67">
      <w:pPr>
        <w:pStyle w:val="a9"/>
        <w:spacing w:line="360" w:lineRule="auto"/>
        <w:jc w:val="both"/>
        <w:rPr>
          <w:rFonts w:ascii="David" w:hAnsi="David"/>
          <w:rtl/>
        </w:rPr>
      </w:pPr>
      <w:r w:rsidRPr="003C24B6">
        <w:rPr>
          <w:rFonts w:ascii="David" w:hAnsi="David"/>
          <w:rtl/>
        </w:rPr>
        <w:t>באותה העת הסליק מוחמד על גופו קנה זיקוקין בקוטר 40 מ"מ, שבכוחו להזיק לאדם בעת פעולתו ואחז בחפץ דמוי תת מקלע מאולתר, כשהוא טעון במחסנית תואמת המהווה אביזר לנשק ובתוכה לכל הפחות 12 כדורים בקוטר 9 מ"מ המהווים תחמושת (להלן:</w:t>
      </w:r>
      <w:r w:rsidRPr="003C24B6">
        <w:rPr>
          <w:rFonts w:ascii="David" w:hAnsi="David"/>
          <w:b/>
          <w:bCs/>
          <w:rtl/>
        </w:rPr>
        <w:t>" הנשק"</w:t>
      </w:r>
      <w:r w:rsidRPr="003C24B6">
        <w:rPr>
          <w:rFonts w:ascii="David" w:hAnsi="David"/>
          <w:rtl/>
        </w:rPr>
        <w:t xml:space="preserve">). </w:t>
      </w:r>
    </w:p>
    <w:p w14:paraId="23731D55" w14:textId="77777777" w:rsidR="00773D67" w:rsidRPr="003C24B6" w:rsidRDefault="00773D67" w:rsidP="00773D67">
      <w:pPr>
        <w:pStyle w:val="a9"/>
        <w:spacing w:line="360" w:lineRule="auto"/>
        <w:jc w:val="both"/>
        <w:rPr>
          <w:rFonts w:ascii="David" w:hAnsi="David"/>
          <w:rtl/>
        </w:rPr>
      </w:pPr>
      <w:r>
        <w:rPr>
          <w:rFonts w:ascii="David" w:hAnsi="David"/>
          <w:rtl/>
        </w:rPr>
        <w:t>באותה העת, בסמ</w:t>
      </w:r>
      <w:r>
        <w:rPr>
          <w:rFonts w:ascii="David" w:hAnsi="David" w:hint="cs"/>
          <w:rtl/>
        </w:rPr>
        <w:t>ו</w:t>
      </w:r>
      <w:r w:rsidRPr="003C24B6">
        <w:rPr>
          <w:rFonts w:ascii="David" w:hAnsi="David"/>
          <w:rtl/>
        </w:rPr>
        <w:t xml:space="preserve">ך לכביש במקום, עמדו שלושה אנשים שזהותם אינה ידועה למאשימה במדויק (להלן: </w:t>
      </w:r>
      <w:r w:rsidRPr="003C24B6">
        <w:rPr>
          <w:rFonts w:ascii="David" w:hAnsi="David"/>
          <w:b/>
          <w:bCs/>
          <w:rtl/>
        </w:rPr>
        <w:t>"האחרים"</w:t>
      </w:r>
      <w:r w:rsidRPr="003C24B6">
        <w:rPr>
          <w:rFonts w:ascii="David" w:hAnsi="David"/>
          <w:rtl/>
        </w:rPr>
        <w:t>). בשלב זה התקדמו הנאשם, א.א</w:t>
      </w:r>
      <w:r>
        <w:rPr>
          <w:rFonts w:ascii="David" w:hAnsi="David" w:hint="cs"/>
          <w:rtl/>
        </w:rPr>
        <w:t>,</w:t>
      </w:r>
      <w:r w:rsidRPr="003C24B6">
        <w:rPr>
          <w:rFonts w:ascii="David" w:hAnsi="David"/>
          <w:rtl/>
        </w:rPr>
        <w:t xml:space="preserve"> ומוחמד אל המקום בו עמדו </w:t>
      </w:r>
      <w:r w:rsidRPr="003C24B6">
        <w:rPr>
          <w:rFonts w:ascii="David" w:hAnsi="David"/>
          <w:rtl/>
        </w:rPr>
        <w:lastRenderedPageBreak/>
        <w:t>האחרים ו</w:t>
      </w:r>
      <w:r>
        <w:rPr>
          <w:rFonts w:ascii="David" w:hAnsi="David"/>
          <w:rtl/>
        </w:rPr>
        <w:t>בעודם במרחק של כ- 40 מטר מה</w:t>
      </w:r>
      <w:r>
        <w:rPr>
          <w:rFonts w:ascii="David" w:hAnsi="David" w:hint="cs"/>
          <w:rtl/>
        </w:rPr>
        <w:t>ם</w:t>
      </w:r>
      <w:r w:rsidRPr="003C24B6">
        <w:rPr>
          <w:rFonts w:ascii="David" w:hAnsi="David"/>
          <w:rtl/>
        </w:rPr>
        <w:t>, דרך מוחמד את הנשק וכיוון אותו לעברם שלא כדין. כל זאת עשו הנאשם, א.א</w:t>
      </w:r>
      <w:r>
        <w:rPr>
          <w:rFonts w:ascii="David" w:hAnsi="David" w:hint="cs"/>
          <w:rtl/>
        </w:rPr>
        <w:t>,</w:t>
      </w:r>
      <w:r w:rsidRPr="003C24B6">
        <w:rPr>
          <w:rFonts w:ascii="David" w:hAnsi="David"/>
          <w:rtl/>
        </w:rPr>
        <w:t xml:space="preserve"> ומוחמד בצוותא חדא על מנת לאיים עליהם בפגיעה שלא כדין בגופם ובחירותם. </w:t>
      </w:r>
    </w:p>
    <w:p w14:paraId="12391621" w14:textId="77777777" w:rsidR="00773D67" w:rsidRPr="003C24B6" w:rsidRDefault="00773D67" w:rsidP="00773D67">
      <w:pPr>
        <w:pStyle w:val="a9"/>
        <w:spacing w:line="360" w:lineRule="auto"/>
        <w:jc w:val="both"/>
        <w:rPr>
          <w:rFonts w:ascii="David" w:hAnsi="David"/>
          <w:rtl/>
        </w:rPr>
      </w:pPr>
      <w:r w:rsidRPr="003C24B6">
        <w:rPr>
          <w:rFonts w:ascii="David" w:hAnsi="David"/>
          <w:rtl/>
        </w:rPr>
        <w:t>בעקבות מעשיהם של הנאשם, א.א</w:t>
      </w:r>
      <w:r>
        <w:rPr>
          <w:rFonts w:ascii="David" w:hAnsi="David" w:hint="cs"/>
          <w:rtl/>
        </w:rPr>
        <w:t>,</w:t>
      </w:r>
      <w:r w:rsidRPr="003C24B6">
        <w:rPr>
          <w:rFonts w:ascii="David" w:hAnsi="David"/>
          <w:rtl/>
        </w:rPr>
        <w:t xml:space="preserve"> ומוחמד נסו האחרים על נפשם והסתתרו מאחורי רכב שחנה בסמוך למקום. </w:t>
      </w:r>
    </w:p>
    <w:p w14:paraId="3312B812" w14:textId="77777777" w:rsidR="00773D67" w:rsidRPr="003C24B6" w:rsidRDefault="00773D67" w:rsidP="00773D67">
      <w:pPr>
        <w:pStyle w:val="a9"/>
        <w:spacing w:line="360" w:lineRule="auto"/>
        <w:jc w:val="both"/>
        <w:rPr>
          <w:rFonts w:ascii="David" w:hAnsi="David"/>
          <w:rtl/>
        </w:rPr>
      </w:pPr>
      <w:r w:rsidRPr="003C24B6">
        <w:rPr>
          <w:rFonts w:ascii="David" w:hAnsi="David"/>
          <w:rtl/>
        </w:rPr>
        <w:t>במקביל, נכחו השוטרים אדהם אבו סעדה ויזיד עיאדה במסגרת פעילות מש</w:t>
      </w:r>
      <w:r>
        <w:rPr>
          <w:rFonts w:ascii="David" w:hAnsi="David"/>
          <w:rtl/>
        </w:rPr>
        <w:t>טרתית. משהבחין השוטר אדהם ב</w:t>
      </w:r>
      <w:r>
        <w:rPr>
          <w:rFonts w:ascii="David" w:hAnsi="David" w:hint="cs"/>
          <w:rtl/>
        </w:rPr>
        <w:t>מתרחש</w:t>
      </w:r>
      <w:r w:rsidRPr="003C24B6">
        <w:rPr>
          <w:rFonts w:ascii="David" w:hAnsi="David"/>
          <w:rtl/>
        </w:rPr>
        <w:t xml:space="preserve"> הוא צעק לעבר הנאשם, א.א</w:t>
      </w:r>
      <w:r>
        <w:rPr>
          <w:rFonts w:ascii="David" w:hAnsi="David" w:hint="cs"/>
          <w:rtl/>
        </w:rPr>
        <w:t>,</w:t>
      </w:r>
      <w:r w:rsidRPr="003C24B6">
        <w:rPr>
          <w:rFonts w:ascii="David" w:hAnsi="David"/>
          <w:rtl/>
        </w:rPr>
        <w:t xml:space="preserve"> ומוחמד "</w:t>
      </w:r>
      <w:r w:rsidRPr="003C24B6">
        <w:rPr>
          <w:rFonts w:ascii="David" w:hAnsi="David"/>
          <w:b/>
          <w:bCs/>
          <w:rtl/>
        </w:rPr>
        <w:t>משטרה עצור"</w:t>
      </w:r>
      <w:r w:rsidRPr="003C24B6">
        <w:rPr>
          <w:rFonts w:ascii="David" w:hAnsi="David"/>
          <w:rtl/>
        </w:rPr>
        <w:t>. כשהוא חובש כובע זיהוי משטרתי וירה מספר יריות ב</w:t>
      </w:r>
      <w:r>
        <w:rPr>
          <w:rFonts w:ascii="David" w:hAnsi="David"/>
          <w:rtl/>
        </w:rPr>
        <w:t>אוויר על מנת ל</w:t>
      </w:r>
      <w:r>
        <w:rPr>
          <w:rFonts w:ascii="David" w:hAnsi="David" w:hint="cs"/>
          <w:rtl/>
        </w:rPr>
        <w:t>הפסיק</w:t>
      </w:r>
      <w:r w:rsidRPr="003C24B6">
        <w:rPr>
          <w:rFonts w:ascii="David" w:hAnsi="David"/>
          <w:rtl/>
        </w:rPr>
        <w:t xml:space="preserve"> את האירוע. </w:t>
      </w:r>
    </w:p>
    <w:p w14:paraId="702C5A56" w14:textId="77777777" w:rsidR="00773D67" w:rsidRPr="003C24B6" w:rsidRDefault="00773D67" w:rsidP="00773D67">
      <w:pPr>
        <w:pStyle w:val="a9"/>
        <w:spacing w:line="360" w:lineRule="auto"/>
        <w:jc w:val="both"/>
        <w:rPr>
          <w:rFonts w:ascii="David" w:hAnsi="David"/>
          <w:rtl/>
        </w:rPr>
      </w:pPr>
      <w:r w:rsidRPr="003C24B6">
        <w:rPr>
          <w:rFonts w:ascii="David" w:hAnsi="David"/>
          <w:rtl/>
        </w:rPr>
        <w:t>בעקבות זאת, החלו הנאשם, א.א</w:t>
      </w:r>
      <w:r>
        <w:rPr>
          <w:rFonts w:ascii="David" w:hAnsi="David" w:hint="cs"/>
          <w:rtl/>
        </w:rPr>
        <w:t>,</w:t>
      </w:r>
      <w:r w:rsidRPr="003C24B6">
        <w:rPr>
          <w:rFonts w:ascii="David" w:hAnsi="David"/>
          <w:rtl/>
        </w:rPr>
        <w:t xml:space="preserve"> ומוחמד להימלט מהמקום בריצה לכיוון כללי דרום ונכנסו לסמטה צדדית באזור מגורים סמוך למקום, כאשר מוחמד אוחז בידו כל העת את הנשק כשכדור בקנה והזיקוק. כל זאת עשו נאשם, א.א</w:t>
      </w:r>
      <w:r>
        <w:rPr>
          <w:rFonts w:ascii="David" w:hAnsi="David" w:hint="cs"/>
          <w:rtl/>
        </w:rPr>
        <w:t>,</w:t>
      </w:r>
      <w:r w:rsidRPr="003C24B6">
        <w:rPr>
          <w:rFonts w:ascii="David" w:hAnsi="David"/>
          <w:rtl/>
        </w:rPr>
        <w:t xml:space="preserve"> ומוחמד בכוונה להפריע לשוטרים כשהם ממלאים את תפקידם כחוק או להכשיל אותם. </w:t>
      </w:r>
    </w:p>
    <w:p w14:paraId="7092803D" w14:textId="77777777" w:rsidR="00773D67" w:rsidRPr="003C24B6" w:rsidRDefault="00773D67" w:rsidP="00773D67">
      <w:pPr>
        <w:spacing w:line="360" w:lineRule="auto"/>
        <w:jc w:val="both"/>
        <w:rPr>
          <w:rFonts w:ascii="David" w:hAnsi="David"/>
          <w:rtl/>
        </w:rPr>
      </w:pPr>
      <w:r w:rsidRPr="003C24B6">
        <w:rPr>
          <w:rFonts w:ascii="David" w:hAnsi="David"/>
          <w:rtl/>
        </w:rPr>
        <w:tab/>
        <w:t>בשלב זה בוצע מרדף אחרי הנאשם, א.א</w:t>
      </w:r>
      <w:r>
        <w:rPr>
          <w:rFonts w:ascii="David" w:hAnsi="David" w:hint="cs"/>
          <w:rtl/>
        </w:rPr>
        <w:t>,</w:t>
      </w:r>
      <w:r w:rsidRPr="003C24B6">
        <w:rPr>
          <w:rFonts w:ascii="David" w:hAnsi="David"/>
          <w:rtl/>
        </w:rPr>
        <w:t xml:space="preserve"> ומוחמד שבמסגרתו השתתפו שוטרים נוספים</w:t>
      </w:r>
      <w:r>
        <w:rPr>
          <w:rFonts w:ascii="David" w:hAnsi="David" w:hint="cs"/>
          <w:rtl/>
        </w:rPr>
        <w:t xml:space="preserve"> וביניהם</w:t>
      </w:r>
      <w:r>
        <w:rPr>
          <w:rFonts w:ascii="David" w:hAnsi="David"/>
          <w:rtl/>
        </w:rPr>
        <w:t xml:space="preserve"> </w:t>
      </w:r>
      <w:r w:rsidRPr="003C24B6">
        <w:rPr>
          <w:rFonts w:ascii="David" w:hAnsi="David"/>
          <w:rtl/>
        </w:rPr>
        <w:t>השוטר אדיר אדרי, אשר חבש כובע</w:t>
      </w:r>
      <w:r>
        <w:rPr>
          <w:rFonts w:ascii="David" w:hAnsi="David"/>
          <w:rtl/>
        </w:rPr>
        <w:t xml:space="preserve"> משטרתי. השוטר אדרי צעק לעבר</w:t>
      </w:r>
      <w:r w:rsidRPr="003C24B6">
        <w:rPr>
          <w:rFonts w:ascii="David" w:hAnsi="David"/>
          <w:rtl/>
        </w:rPr>
        <w:t xml:space="preserve"> מוחמד "</w:t>
      </w:r>
      <w:r w:rsidRPr="003C24B6">
        <w:rPr>
          <w:rFonts w:ascii="David" w:hAnsi="David"/>
          <w:b/>
          <w:bCs/>
          <w:rtl/>
        </w:rPr>
        <w:t>עצור משטרה"</w:t>
      </w:r>
      <w:r w:rsidRPr="003C24B6">
        <w:rPr>
          <w:rFonts w:ascii="David" w:hAnsi="David"/>
          <w:rtl/>
        </w:rPr>
        <w:t xml:space="preserve">. חרף זאת, המשיך מוחמד בבריחה בתוך אזור המגורים, עד שנעצר, כשהוא אוחז בנשק ומסרב להרפות מאחיזתו. בהמשך, ובסמוך למקום נעצרו הנאשם וא.א. </w:t>
      </w:r>
    </w:p>
    <w:p w14:paraId="3F4E8CAF" w14:textId="77777777" w:rsidR="00773D67" w:rsidRPr="003C24B6" w:rsidRDefault="00773D67" w:rsidP="00773D67">
      <w:pPr>
        <w:spacing w:line="360" w:lineRule="auto"/>
        <w:jc w:val="both"/>
        <w:rPr>
          <w:rFonts w:ascii="David" w:hAnsi="David"/>
          <w:rtl/>
        </w:rPr>
      </w:pPr>
    </w:p>
    <w:p w14:paraId="4377FE66" w14:textId="77777777" w:rsidR="00773D67" w:rsidRPr="003C24B6" w:rsidRDefault="00773D67" w:rsidP="00773D67">
      <w:pPr>
        <w:spacing w:line="360" w:lineRule="auto"/>
        <w:jc w:val="both"/>
        <w:rPr>
          <w:rFonts w:ascii="David" w:hAnsi="David"/>
          <w:b/>
          <w:bCs/>
          <w:u w:val="single"/>
          <w:rtl/>
        </w:rPr>
      </w:pPr>
      <w:r w:rsidRPr="003C24B6">
        <w:rPr>
          <w:rFonts w:ascii="David" w:hAnsi="David"/>
          <w:b/>
          <w:bCs/>
          <w:u w:val="single"/>
          <w:rtl/>
        </w:rPr>
        <w:t>טיעוני המאשימה</w:t>
      </w:r>
    </w:p>
    <w:p w14:paraId="6D676D50" w14:textId="77777777" w:rsidR="00773D67" w:rsidRPr="003C24B6" w:rsidRDefault="00773D67" w:rsidP="00773D67">
      <w:pPr>
        <w:spacing w:line="360" w:lineRule="auto"/>
        <w:jc w:val="both"/>
        <w:rPr>
          <w:rFonts w:ascii="David" w:hAnsi="David"/>
          <w:rtl/>
        </w:rPr>
      </w:pPr>
    </w:p>
    <w:p w14:paraId="33D9833C" w14:textId="77777777" w:rsidR="00773D67" w:rsidRDefault="00773D67" w:rsidP="00773D67">
      <w:pPr>
        <w:pStyle w:val="a9"/>
        <w:numPr>
          <w:ilvl w:val="0"/>
          <w:numId w:val="1"/>
        </w:numPr>
        <w:spacing w:line="360" w:lineRule="auto"/>
        <w:jc w:val="both"/>
        <w:rPr>
          <w:rFonts w:ascii="David" w:hAnsi="David"/>
        </w:rPr>
      </w:pPr>
      <w:r w:rsidRPr="003C24B6">
        <w:rPr>
          <w:rFonts w:ascii="David" w:hAnsi="David"/>
          <w:rtl/>
        </w:rPr>
        <w:t xml:space="preserve">המאשימה עתרה למתחם ענישה שנע בין 30 – 60 חודשי מאסר בפועל. </w:t>
      </w:r>
    </w:p>
    <w:p w14:paraId="3A8C614D" w14:textId="77777777" w:rsidR="00773D67" w:rsidRPr="003C24B6" w:rsidRDefault="00773D67" w:rsidP="00773D67">
      <w:pPr>
        <w:pStyle w:val="a9"/>
        <w:spacing w:line="360" w:lineRule="auto"/>
        <w:jc w:val="both"/>
        <w:rPr>
          <w:rFonts w:ascii="David" w:hAnsi="David"/>
        </w:rPr>
      </w:pPr>
    </w:p>
    <w:p w14:paraId="367D8BE8"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נטען כי הנאשם בן 21, נעדר עבר פלילי, שוהה במעצר מיום 7.12.21. </w:t>
      </w:r>
    </w:p>
    <w:p w14:paraId="096D2152" w14:textId="77777777" w:rsidR="00773D67" w:rsidRDefault="00773D67" w:rsidP="00773D67">
      <w:pPr>
        <w:pStyle w:val="a9"/>
        <w:spacing w:line="360" w:lineRule="auto"/>
        <w:jc w:val="both"/>
        <w:rPr>
          <w:rFonts w:ascii="David" w:hAnsi="David"/>
        </w:rPr>
      </w:pPr>
    </w:p>
    <w:p w14:paraId="3AA3F8B1"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נטען שהערכים החברתיים המוגנים שנפגעו במקרה דנן הינם שלום ובטחון הציבור וההגנה על חיי אדם. כמו כן, נטען כי קיימת פגיעה בשלטון החוק ובנציגיו. </w:t>
      </w:r>
    </w:p>
    <w:p w14:paraId="3F887717" w14:textId="77777777" w:rsidR="00773D67" w:rsidRDefault="00773D67" w:rsidP="00773D67">
      <w:pPr>
        <w:pStyle w:val="a9"/>
        <w:spacing w:line="360" w:lineRule="auto"/>
        <w:jc w:val="both"/>
        <w:rPr>
          <w:rFonts w:ascii="David" w:hAnsi="David"/>
        </w:rPr>
      </w:pPr>
    </w:p>
    <w:p w14:paraId="714D908F"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באשר לנסיבות הקשורות בביצוע העבירה נטען כי מקום בו הנאשם נמצא בצוותא מחזיק עם שותפיו בתת מקלע מאולתר ובו מחסני</w:t>
      </w:r>
      <w:r>
        <w:rPr>
          <w:rFonts w:ascii="David" w:hAnsi="David" w:hint="cs"/>
          <w:rtl/>
        </w:rPr>
        <w:t>ת</w:t>
      </w:r>
      <w:r w:rsidRPr="003C24B6">
        <w:rPr>
          <w:rFonts w:ascii="David" w:hAnsi="David"/>
          <w:rtl/>
        </w:rPr>
        <w:t xml:space="preserve"> הטעונה לפחות ב 12 כדורים, ללא רישיון, ומסליק קנה זיקוקין בקוטר 40 מ"מ, בס</w:t>
      </w:r>
      <w:r>
        <w:rPr>
          <w:rFonts w:ascii="David" w:hAnsi="David"/>
          <w:rtl/>
        </w:rPr>
        <w:t xml:space="preserve">מוך למתחם אירועים הומה אדם, </w:t>
      </w:r>
      <w:r>
        <w:rPr>
          <w:rFonts w:ascii="David" w:hAnsi="David" w:hint="cs"/>
          <w:rtl/>
        </w:rPr>
        <w:t>יש</w:t>
      </w:r>
      <w:r w:rsidRPr="003C24B6">
        <w:rPr>
          <w:rFonts w:ascii="David" w:hAnsi="David"/>
          <w:rtl/>
        </w:rPr>
        <w:t xml:space="preserve"> להניח לחובתו כי עושה זאת למטרו</w:t>
      </w:r>
      <w:r>
        <w:rPr>
          <w:rFonts w:ascii="David" w:hAnsi="David" w:hint="cs"/>
          <w:rtl/>
        </w:rPr>
        <w:t>ת</w:t>
      </w:r>
      <w:r>
        <w:rPr>
          <w:rFonts w:ascii="David" w:hAnsi="David"/>
          <w:rtl/>
        </w:rPr>
        <w:t xml:space="preserve"> לא כשרות. </w:t>
      </w:r>
      <w:r>
        <w:rPr>
          <w:rFonts w:ascii="David" w:hAnsi="David" w:hint="cs"/>
          <w:rtl/>
        </w:rPr>
        <w:t>בנוסף,</w:t>
      </w:r>
      <w:r>
        <w:rPr>
          <w:rFonts w:ascii="David" w:hAnsi="David"/>
          <w:rtl/>
        </w:rPr>
        <w:t xml:space="preserve"> </w:t>
      </w:r>
      <w:r>
        <w:rPr>
          <w:rFonts w:ascii="David" w:hAnsi="David" w:hint="cs"/>
          <w:rtl/>
        </w:rPr>
        <w:t>כ</w:t>
      </w:r>
      <w:r w:rsidRPr="003C24B6">
        <w:rPr>
          <w:rFonts w:ascii="David" w:hAnsi="David"/>
          <w:rtl/>
        </w:rPr>
        <w:t>ש</w:t>
      </w:r>
      <w:r>
        <w:rPr>
          <w:rFonts w:ascii="David" w:hAnsi="David" w:hint="cs"/>
          <w:rtl/>
        </w:rPr>
        <w:t>י</w:t>
      </w:r>
      <w:r>
        <w:rPr>
          <w:rFonts w:ascii="David" w:hAnsi="David"/>
          <w:rtl/>
        </w:rPr>
        <w:t xml:space="preserve">קול לחומרה </w:t>
      </w:r>
      <w:r>
        <w:rPr>
          <w:rFonts w:ascii="David" w:hAnsi="David" w:hint="cs"/>
          <w:rtl/>
        </w:rPr>
        <w:t>הוזכר ש</w:t>
      </w:r>
      <w:r w:rsidRPr="003C24B6">
        <w:rPr>
          <w:rFonts w:ascii="David" w:hAnsi="David"/>
          <w:rtl/>
        </w:rPr>
        <w:t>מדובר בכלי נשק התקפי א</w:t>
      </w:r>
      <w:r>
        <w:rPr>
          <w:rFonts w:ascii="David" w:hAnsi="David"/>
          <w:rtl/>
        </w:rPr>
        <w:t>שר היה טעון בכדורים ומוכן ל</w:t>
      </w:r>
      <w:r>
        <w:rPr>
          <w:rFonts w:ascii="David" w:hAnsi="David" w:hint="cs"/>
          <w:rtl/>
        </w:rPr>
        <w:t>הפעלה</w:t>
      </w:r>
      <w:r w:rsidRPr="003C24B6">
        <w:rPr>
          <w:rFonts w:ascii="David" w:hAnsi="David"/>
          <w:rtl/>
        </w:rPr>
        <w:t xml:space="preserve">. </w:t>
      </w:r>
    </w:p>
    <w:p w14:paraId="47AFAAAC" w14:textId="77777777" w:rsidR="00773D67" w:rsidRPr="00A8501F" w:rsidRDefault="00773D67" w:rsidP="00773D67">
      <w:pPr>
        <w:pStyle w:val="a9"/>
        <w:spacing w:line="360" w:lineRule="auto"/>
        <w:jc w:val="both"/>
        <w:rPr>
          <w:rFonts w:ascii="David" w:hAnsi="David"/>
        </w:rPr>
      </w:pPr>
    </w:p>
    <w:p w14:paraId="3933518A"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נטע</w:t>
      </w:r>
      <w:r>
        <w:rPr>
          <w:rFonts w:ascii="David" w:hAnsi="David" w:hint="cs"/>
          <w:rtl/>
        </w:rPr>
        <w:t>ן</w:t>
      </w:r>
      <w:r w:rsidRPr="003C24B6">
        <w:rPr>
          <w:rFonts w:ascii="David" w:hAnsi="David"/>
          <w:rtl/>
        </w:rPr>
        <w:t xml:space="preserve"> כי יש לייחס חומרה יתרה להתנהגותו של הנאשם עת התקדמו לעבר</w:t>
      </w:r>
      <w:r>
        <w:rPr>
          <w:rFonts w:ascii="David" w:hAnsi="David" w:hint="cs"/>
          <w:rtl/>
        </w:rPr>
        <w:t>ו</w:t>
      </w:r>
      <w:r w:rsidRPr="003C24B6">
        <w:rPr>
          <w:rFonts w:ascii="David" w:hAnsi="David"/>
          <w:rtl/>
        </w:rPr>
        <w:t xml:space="preserve"> שלושה אנשים ואיימו עליהם עם הנשק. עוד נטען כי הנאשם נמלט יחד עם שותפיו מהשוטרים הקוראים </w:t>
      </w:r>
      <w:r w:rsidRPr="003C24B6">
        <w:rPr>
          <w:rFonts w:ascii="David" w:hAnsi="David"/>
          <w:rtl/>
        </w:rPr>
        <w:lastRenderedPageBreak/>
        <w:t xml:space="preserve">לעברו לעצור וזאת בניסיון להיחלץ ממעשה עבירה מבלי לשאת בתוצאותיו. נטען כי מהתנהגותו של הנאשם נשקפת מסוכנות וזלזול בחוק. </w:t>
      </w:r>
    </w:p>
    <w:p w14:paraId="00CBF8CC" w14:textId="77777777" w:rsidR="00773D67" w:rsidRDefault="00773D67" w:rsidP="00773D67">
      <w:pPr>
        <w:pStyle w:val="a9"/>
        <w:spacing w:line="360" w:lineRule="auto"/>
        <w:jc w:val="both"/>
        <w:rPr>
          <w:rFonts w:ascii="David" w:hAnsi="David"/>
        </w:rPr>
      </w:pPr>
    </w:p>
    <w:p w14:paraId="2C145F89"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המאשימה הפנתה לפסיקה כדלקמן:</w:t>
      </w:r>
    </w:p>
    <w:p w14:paraId="24A1D1CE" w14:textId="77777777" w:rsidR="00773D67" w:rsidRPr="003C24B6" w:rsidRDefault="00FC405D" w:rsidP="00773D67">
      <w:pPr>
        <w:pStyle w:val="a9"/>
        <w:numPr>
          <w:ilvl w:val="0"/>
          <w:numId w:val="2"/>
        </w:numPr>
        <w:spacing w:line="360" w:lineRule="auto"/>
        <w:jc w:val="both"/>
        <w:rPr>
          <w:rFonts w:ascii="David" w:hAnsi="David"/>
        </w:rPr>
      </w:pPr>
      <w:hyperlink r:id="rId21" w:history="1">
        <w:r w:rsidRPr="00FC405D">
          <w:rPr>
            <w:rFonts w:ascii="David" w:hAnsi="David"/>
            <w:color w:val="0000FF"/>
            <w:u w:val="single"/>
            <w:rtl/>
          </w:rPr>
          <w:t>ע"פ 5522/20</w:t>
        </w:r>
      </w:hyperlink>
      <w:r w:rsidR="00773D67" w:rsidRPr="003C24B6">
        <w:rPr>
          <w:rFonts w:ascii="David" w:hAnsi="David"/>
          <w:rtl/>
        </w:rPr>
        <w:t xml:space="preserve"> </w:t>
      </w:r>
      <w:r w:rsidR="00773D67" w:rsidRPr="003C24B6">
        <w:rPr>
          <w:rFonts w:ascii="David" w:hAnsi="David"/>
          <w:b/>
          <w:bCs/>
          <w:rtl/>
        </w:rPr>
        <w:t xml:space="preserve">נזאר חלייחל נ' מדינת ישראל </w:t>
      </w:r>
      <w:r w:rsidR="00773D67" w:rsidRPr="003C24B6">
        <w:rPr>
          <w:rFonts w:ascii="David" w:hAnsi="David"/>
          <w:rtl/>
        </w:rPr>
        <w:t>(24.2.21), שם הורשע המערער בבית המשפט המחוזי בביצוע עבירות נשק והושת</w:t>
      </w:r>
      <w:r w:rsidR="00773D67">
        <w:rPr>
          <w:rFonts w:ascii="David" w:hAnsi="David" w:hint="cs"/>
          <w:rtl/>
        </w:rPr>
        <w:t>ו</w:t>
      </w:r>
      <w:r w:rsidR="00773D67" w:rsidRPr="003C24B6">
        <w:rPr>
          <w:rFonts w:ascii="David" w:hAnsi="David"/>
          <w:rtl/>
        </w:rPr>
        <w:t xml:space="preserve"> עליו בין היתר 36 חודשי מאסר בפועל והפעלת עונש מאסר על תנאי בן 5 חודשים שהושת בעבר במצטבר. בית המשפט העליון דחה את הערעור וקבע כי בשים לב למגמת ההח</w:t>
      </w:r>
      <w:r w:rsidR="00773D67">
        <w:rPr>
          <w:rFonts w:ascii="David" w:hAnsi="David" w:hint="cs"/>
          <w:rtl/>
        </w:rPr>
        <w:t>מ</w:t>
      </w:r>
      <w:r w:rsidR="00773D67" w:rsidRPr="003C24B6">
        <w:rPr>
          <w:rFonts w:ascii="David" w:hAnsi="David"/>
          <w:rtl/>
        </w:rPr>
        <w:t xml:space="preserve">רה בענישה, אין מקום להתערבותו. </w:t>
      </w:r>
    </w:p>
    <w:p w14:paraId="6EFA924E" w14:textId="77777777" w:rsidR="00773D67" w:rsidRPr="003C24B6" w:rsidRDefault="00FC405D" w:rsidP="00773D67">
      <w:pPr>
        <w:pStyle w:val="a9"/>
        <w:numPr>
          <w:ilvl w:val="0"/>
          <w:numId w:val="2"/>
        </w:numPr>
        <w:spacing w:line="360" w:lineRule="auto"/>
        <w:jc w:val="both"/>
        <w:rPr>
          <w:rFonts w:ascii="David" w:hAnsi="David"/>
        </w:rPr>
      </w:pPr>
      <w:hyperlink r:id="rId22" w:history="1">
        <w:r w:rsidRPr="00FC405D">
          <w:rPr>
            <w:rFonts w:ascii="David" w:hAnsi="David"/>
            <w:color w:val="0000FF"/>
            <w:u w:val="single"/>
            <w:rtl/>
          </w:rPr>
          <w:t>ע"פ 5750/20</w:t>
        </w:r>
      </w:hyperlink>
      <w:r w:rsidR="00773D67" w:rsidRPr="003C24B6">
        <w:rPr>
          <w:rFonts w:ascii="David" w:hAnsi="David"/>
          <w:rtl/>
        </w:rPr>
        <w:t xml:space="preserve"> </w:t>
      </w:r>
      <w:r w:rsidR="00773D67" w:rsidRPr="003C24B6">
        <w:rPr>
          <w:rFonts w:ascii="David" w:hAnsi="David"/>
          <w:b/>
          <w:bCs/>
          <w:rtl/>
        </w:rPr>
        <w:t>עימאד חוסיין נ</w:t>
      </w:r>
      <w:r w:rsidR="00773D67">
        <w:rPr>
          <w:rFonts w:ascii="David" w:hAnsi="David" w:hint="cs"/>
          <w:b/>
          <w:bCs/>
          <w:rtl/>
        </w:rPr>
        <w:t>'</w:t>
      </w:r>
      <w:r w:rsidR="00773D67" w:rsidRPr="003C24B6">
        <w:rPr>
          <w:rFonts w:ascii="David" w:hAnsi="David"/>
          <w:b/>
          <w:bCs/>
          <w:rtl/>
        </w:rPr>
        <w:t xml:space="preserve"> מדינת ישראל </w:t>
      </w:r>
      <w:r w:rsidR="00773D67" w:rsidRPr="003C24B6">
        <w:rPr>
          <w:rFonts w:ascii="David" w:hAnsi="David"/>
          <w:rtl/>
        </w:rPr>
        <w:t>(22.2.21), שם בהמלצת בית המשפט העליון חזר בו המערער מערעורו על פסק דינו שניתן בבית המשפט המחוזי בחיפה ועונשו נשאר על כנו. המערער הורשע בבית המשפט המחוז</w:t>
      </w:r>
      <w:r w:rsidR="00773D67">
        <w:rPr>
          <w:rFonts w:ascii="David" w:hAnsi="David"/>
          <w:rtl/>
        </w:rPr>
        <w:t>י בעבירות נשק ושיבוש מהלכי משפט</w:t>
      </w:r>
      <w:r w:rsidR="00773D67">
        <w:rPr>
          <w:rFonts w:ascii="David" w:hAnsi="David" w:hint="cs"/>
          <w:rtl/>
        </w:rPr>
        <w:t xml:space="preserve"> כאשר</w:t>
      </w:r>
      <w:r w:rsidR="00773D67" w:rsidRPr="003C24B6">
        <w:rPr>
          <w:rFonts w:ascii="David" w:hAnsi="David"/>
          <w:rtl/>
        </w:rPr>
        <w:t xml:space="preserve"> בית המשפט המחוזי קבע מתחם שנע בין 2-5 שנות מאסר </w:t>
      </w:r>
      <w:r w:rsidR="00773D67">
        <w:rPr>
          <w:rFonts w:ascii="David" w:hAnsi="David"/>
          <w:rtl/>
        </w:rPr>
        <w:t>בפועל וגזר על הנאשם</w:t>
      </w:r>
      <w:r w:rsidR="00773D67" w:rsidRPr="003C24B6">
        <w:rPr>
          <w:rFonts w:ascii="David" w:hAnsi="David"/>
          <w:rtl/>
        </w:rPr>
        <w:t xml:space="preserve"> 34 חודשי מאסר בפועל לצד עונשים נלווים. </w:t>
      </w:r>
    </w:p>
    <w:p w14:paraId="1DCBA0F4" w14:textId="77777777" w:rsidR="00773D67" w:rsidRPr="003C24B6" w:rsidRDefault="00FC405D" w:rsidP="00773D67">
      <w:pPr>
        <w:pStyle w:val="a9"/>
        <w:numPr>
          <w:ilvl w:val="0"/>
          <w:numId w:val="2"/>
        </w:numPr>
        <w:spacing w:line="360" w:lineRule="auto"/>
        <w:jc w:val="both"/>
        <w:rPr>
          <w:rFonts w:ascii="David" w:hAnsi="David"/>
        </w:rPr>
      </w:pPr>
      <w:hyperlink r:id="rId23" w:history="1">
        <w:r w:rsidRPr="00FC405D">
          <w:rPr>
            <w:rFonts w:ascii="David" w:hAnsi="David"/>
            <w:color w:val="0000FF"/>
            <w:u w:val="single"/>
            <w:rtl/>
          </w:rPr>
          <w:t>ת"פ 15627-03-19</w:t>
        </w:r>
      </w:hyperlink>
      <w:r w:rsidR="00773D67" w:rsidRPr="003C24B6">
        <w:rPr>
          <w:rFonts w:ascii="David" w:hAnsi="David"/>
          <w:rtl/>
        </w:rPr>
        <w:t xml:space="preserve"> </w:t>
      </w:r>
      <w:r w:rsidR="00773D67" w:rsidRPr="003C24B6">
        <w:rPr>
          <w:rFonts w:ascii="David" w:hAnsi="David"/>
          <w:b/>
          <w:bCs/>
          <w:rtl/>
        </w:rPr>
        <w:t xml:space="preserve">מדינת ישראל נ' מוחייה אל כמלאת ואח' </w:t>
      </w:r>
      <w:r w:rsidR="00773D67" w:rsidRPr="003C24B6">
        <w:rPr>
          <w:rFonts w:ascii="David" w:hAnsi="David"/>
          <w:rtl/>
        </w:rPr>
        <w:t>(31.12.</w:t>
      </w:r>
      <w:r w:rsidR="00773D67">
        <w:rPr>
          <w:rFonts w:ascii="David" w:hAnsi="David" w:hint="cs"/>
          <w:rtl/>
        </w:rPr>
        <w:t>19</w:t>
      </w:r>
      <w:r w:rsidR="00773D67" w:rsidRPr="003C24B6">
        <w:rPr>
          <w:rFonts w:ascii="David" w:hAnsi="David"/>
          <w:rtl/>
        </w:rPr>
        <w:t xml:space="preserve">), הנאשם (מס'1) הורשע במסגרת הסדר טיעון בעובדות כתב האישום המתוקן והורשע בעבירות נשיאה והובלת תחמושת, נשיאה והובלת נשק, ונהיגה ללא רישיון. בית המשפט המחוזי קבע מתחם שנע בין 2-4 שנות מאסר בפועל והשית עליו 38 חודשי מאסר בפועל. </w:t>
      </w:r>
    </w:p>
    <w:p w14:paraId="27EA6E02" w14:textId="77777777" w:rsidR="00773D67" w:rsidRPr="003C24B6" w:rsidRDefault="00FC405D" w:rsidP="00773D67">
      <w:pPr>
        <w:pStyle w:val="a9"/>
        <w:numPr>
          <w:ilvl w:val="0"/>
          <w:numId w:val="2"/>
        </w:numPr>
        <w:spacing w:line="360" w:lineRule="auto"/>
        <w:jc w:val="both"/>
        <w:rPr>
          <w:rFonts w:ascii="David" w:hAnsi="David"/>
        </w:rPr>
      </w:pPr>
      <w:hyperlink r:id="rId24" w:history="1">
        <w:r w:rsidRPr="00FC405D">
          <w:rPr>
            <w:rFonts w:ascii="David" w:hAnsi="David"/>
            <w:color w:val="0000FF"/>
            <w:u w:val="single"/>
            <w:rtl/>
          </w:rPr>
          <w:t>עפ"ג 50840-03-22</w:t>
        </w:r>
      </w:hyperlink>
      <w:r w:rsidR="00773D67" w:rsidRPr="003C24B6">
        <w:rPr>
          <w:rFonts w:ascii="David" w:hAnsi="David"/>
          <w:rtl/>
        </w:rPr>
        <w:t xml:space="preserve"> </w:t>
      </w:r>
      <w:r w:rsidR="00773D67" w:rsidRPr="003C24B6">
        <w:rPr>
          <w:rFonts w:ascii="David" w:hAnsi="David"/>
          <w:b/>
          <w:bCs/>
          <w:rtl/>
        </w:rPr>
        <w:t xml:space="preserve">מדינת ישראל נ' עלאא סלאמה </w:t>
      </w:r>
      <w:r w:rsidR="00773D67" w:rsidRPr="003C24B6">
        <w:rPr>
          <w:rFonts w:ascii="David" w:hAnsi="David"/>
          <w:rtl/>
        </w:rPr>
        <w:t>(4.4.22), שם הורשע הנאשם על פ</w:t>
      </w:r>
      <w:r w:rsidR="00773D67">
        <w:rPr>
          <w:rFonts w:ascii="David" w:hAnsi="David" w:hint="cs"/>
          <w:rtl/>
        </w:rPr>
        <w:t>י</w:t>
      </w:r>
      <w:r w:rsidR="00773D67" w:rsidRPr="003C24B6">
        <w:rPr>
          <w:rFonts w:ascii="David" w:hAnsi="David"/>
          <w:rtl/>
        </w:rPr>
        <w:t xml:space="preserve"> הודאתו בעבירות של החזקת נשק ותקיפת שוטר. בית המשפט השלום גזר ע</w:t>
      </w:r>
      <w:r w:rsidR="00773D67">
        <w:rPr>
          <w:rFonts w:ascii="David" w:hAnsi="David" w:hint="cs"/>
          <w:rtl/>
        </w:rPr>
        <w:t xml:space="preserve">ל </w:t>
      </w:r>
      <w:r w:rsidR="00773D67">
        <w:rPr>
          <w:rFonts w:ascii="David" w:hAnsi="David"/>
          <w:rtl/>
        </w:rPr>
        <w:t>הנאשם 15 חודשי מאסר בפועל</w:t>
      </w:r>
      <w:r w:rsidR="00773D67">
        <w:rPr>
          <w:rFonts w:ascii="David" w:hAnsi="David" w:hint="cs"/>
          <w:rtl/>
        </w:rPr>
        <w:t xml:space="preserve">. </w:t>
      </w:r>
      <w:r w:rsidR="00773D67" w:rsidRPr="003C24B6">
        <w:rPr>
          <w:rFonts w:ascii="David" w:hAnsi="David"/>
          <w:rtl/>
        </w:rPr>
        <w:t xml:space="preserve">בית המשפט המחוזי קיבל את ערעור המדינה וקבע מתחם שנע בין 24-50 חודשי מאסר בפועל והאריך את עונשו של הנאשם ל 28 חודשי מאסר בפועל. </w:t>
      </w:r>
    </w:p>
    <w:p w14:paraId="678B137F" w14:textId="77777777" w:rsidR="00773D67" w:rsidRPr="003C24B6" w:rsidRDefault="00773D67" w:rsidP="00773D67">
      <w:pPr>
        <w:spacing w:line="360" w:lineRule="auto"/>
        <w:ind w:left="720"/>
        <w:jc w:val="both"/>
        <w:rPr>
          <w:rFonts w:ascii="David" w:hAnsi="David"/>
          <w:rtl/>
        </w:rPr>
      </w:pPr>
    </w:p>
    <w:p w14:paraId="5D77E7FF"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המאשימה טענה כי אמנם תיקון 140 לחוק לא ח</w:t>
      </w:r>
      <w:r>
        <w:rPr>
          <w:rFonts w:ascii="David" w:hAnsi="David"/>
          <w:rtl/>
        </w:rPr>
        <w:t>ל במקרה דנן, אך יש להתחשב ב</w:t>
      </w:r>
      <w:r>
        <w:rPr>
          <w:rFonts w:ascii="David" w:hAnsi="David" w:hint="cs"/>
          <w:rtl/>
        </w:rPr>
        <w:t>ו</w:t>
      </w:r>
      <w:r w:rsidRPr="003C24B6">
        <w:rPr>
          <w:rFonts w:ascii="David" w:hAnsi="David"/>
          <w:rtl/>
        </w:rPr>
        <w:t xml:space="preserve"> </w:t>
      </w:r>
      <w:r>
        <w:rPr>
          <w:rFonts w:ascii="David" w:hAnsi="David" w:hint="cs"/>
          <w:rtl/>
        </w:rPr>
        <w:t>ב</w:t>
      </w:r>
      <w:r w:rsidRPr="003C24B6">
        <w:rPr>
          <w:rFonts w:ascii="David" w:hAnsi="David"/>
          <w:rtl/>
        </w:rPr>
        <w:t>עת גזירת העונש על הנאשם.</w:t>
      </w:r>
    </w:p>
    <w:p w14:paraId="5C0BFAF3" w14:textId="77777777" w:rsidR="00773D67" w:rsidRDefault="00773D67" w:rsidP="00773D67">
      <w:pPr>
        <w:pStyle w:val="a9"/>
        <w:spacing w:line="360" w:lineRule="auto"/>
        <w:jc w:val="both"/>
        <w:rPr>
          <w:rFonts w:ascii="David" w:hAnsi="David"/>
        </w:rPr>
      </w:pPr>
    </w:p>
    <w:p w14:paraId="52A729E6"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באשר לנסיבותיו האישיות של הנאשם, נטען כי יש לזקוף לזכותו את העובדה </w:t>
      </w:r>
      <w:r>
        <w:rPr>
          <w:rFonts w:ascii="David" w:hAnsi="David" w:hint="cs"/>
          <w:rtl/>
        </w:rPr>
        <w:t>ש</w:t>
      </w:r>
      <w:r w:rsidRPr="003C24B6">
        <w:rPr>
          <w:rFonts w:ascii="David" w:hAnsi="David"/>
          <w:rtl/>
        </w:rPr>
        <w:t xml:space="preserve">הודה בהזדמנות הראשונה בכתב האישום המתוקן וחסך זמן שיפוטי. </w:t>
      </w:r>
    </w:p>
    <w:p w14:paraId="71FF2C6D" w14:textId="77777777" w:rsidR="00773D67" w:rsidRDefault="00773D67" w:rsidP="00773D67">
      <w:pPr>
        <w:pStyle w:val="a9"/>
        <w:spacing w:line="360" w:lineRule="auto"/>
        <w:jc w:val="both"/>
        <w:rPr>
          <w:rFonts w:ascii="David" w:hAnsi="David"/>
        </w:rPr>
      </w:pPr>
    </w:p>
    <w:p w14:paraId="65584390"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בנוגע לסטייה ממתחם</w:t>
      </w:r>
      <w:r>
        <w:rPr>
          <w:rFonts w:ascii="David" w:hAnsi="David" w:hint="cs"/>
          <w:rtl/>
        </w:rPr>
        <w:t xml:space="preserve"> העונש</w:t>
      </w:r>
      <w:r w:rsidRPr="003C24B6">
        <w:rPr>
          <w:rFonts w:ascii="David" w:hAnsi="David"/>
          <w:rtl/>
        </w:rPr>
        <w:t xml:space="preserve"> משיקולי שיקום נטען כי כפי שעולה מהתרשמות שירות המבחן לא מתקיימת במקרה דנן נסיבות המצדיקות סטייה לקולא ממתחם הענישה שהוצג. נטען כי המלצת שירות המבחן היא להשתת ענישה הרתעתית משמעותית מאחורי סורג ובריח. </w:t>
      </w:r>
    </w:p>
    <w:p w14:paraId="0624CFCC" w14:textId="77777777" w:rsidR="00773D67" w:rsidRDefault="00773D67" w:rsidP="00773D67">
      <w:pPr>
        <w:pStyle w:val="a9"/>
        <w:spacing w:line="360" w:lineRule="auto"/>
        <w:jc w:val="both"/>
        <w:rPr>
          <w:rFonts w:ascii="David" w:hAnsi="David"/>
        </w:rPr>
      </w:pPr>
    </w:p>
    <w:p w14:paraId="4D44687A"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לבסוף ביקשה המאשימה להשית על הנאשם עונש מאסר מאחורי סורג ובריח באמצע של המתחם שהוצע, עונש מאסר על תנאי משמעותי וקנס.</w:t>
      </w:r>
    </w:p>
    <w:p w14:paraId="5468DFF8" w14:textId="77777777" w:rsidR="00773D67" w:rsidRPr="003C24B6" w:rsidRDefault="00773D67" w:rsidP="00773D67">
      <w:pPr>
        <w:spacing w:line="360" w:lineRule="auto"/>
        <w:ind w:left="360"/>
        <w:jc w:val="both"/>
        <w:rPr>
          <w:rFonts w:ascii="David" w:hAnsi="David"/>
          <w:rtl/>
        </w:rPr>
      </w:pPr>
    </w:p>
    <w:p w14:paraId="56650A27" w14:textId="77777777" w:rsidR="00773D67" w:rsidRPr="003C24B6" w:rsidRDefault="00773D67" w:rsidP="00773D67">
      <w:pPr>
        <w:spacing w:line="360" w:lineRule="auto"/>
        <w:ind w:left="360"/>
        <w:jc w:val="both"/>
        <w:rPr>
          <w:rFonts w:ascii="David" w:hAnsi="David"/>
          <w:b/>
          <w:bCs/>
          <w:u w:val="single"/>
          <w:rtl/>
        </w:rPr>
      </w:pPr>
      <w:r w:rsidRPr="003C24B6">
        <w:rPr>
          <w:rFonts w:ascii="David" w:hAnsi="David"/>
          <w:b/>
          <w:bCs/>
          <w:u w:val="single"/>
          <w:rtl/>
        </w:rPr>
        <w:t>טיעוני ההגנה</w:t>
      </w:r>
    </w:p>
    <w:p w14:paraId="7D436AEE" w14:textId="77777777" w:rsidR="00773D67" w:rsidRPr="003C24B6" w:rsidRDefault="00773D67" w:rsidP="00773D67">
      <w:pPr>
        <w:spacing w:line="360" w:lineRule="auto"/>
        <w:ind w:left="360"/>
        <w:jc w:val="both"/>
        <w:rPr>
          <w:rFonts w:ascii="David" w:hAnsi="David"/>
          <w:b/>
          <w:bCs/>
          <w:u w:val="single"/>
          <w:rtl/>
        </w:rPr>
      </w:pPr>
    </w:p>
    <w:p w14:paraId="1E6A3AD4"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ב"כ הנאשם ביקש להסתפק בתקופת מעצרו של הנאשם מיום 7.12.21. </w:t>
      </w:r>
    </w:p>
    <w:p w14:paraId="6C5F8EFC" w14:textId="77777777" w:rsidR="00773D67" w:rsidRDefault="00773D67" w:rsidP="00773D67">
      <w:pPr>
        <w:pStyle w:val="a9"/>
        <w:spacing w:line="360" w:lineRule="auto"/>
        <w:jc w:val="both"/>
        <w:rPr>
          <w:rFonts w:ascii="David" w:hAnsi="David"/>
        </w:rPr>
      </w:pPr>
    </w:p>
    <w:p w14:paraId="28FD4DB0"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נטען כי הנאשם יליד שנת 2001, ללא עבר </w:t>
      </w:r>
      <w:r>
        <w:rPr>
          <w:rFonts w:ascii="David" w:hAnsi="David"/>
          <w:rtl/>
        </w:rPr>
        <w:t>פלילי. אביו סובל ממחלת כליות וא</w:t>
      </w:r>
      <w:r w:rsidRPr="003C24B6">
        <w:rPr>
          <w:rFonts w:ascii="David" w:hAnsi="David"/>
          <w:rtl/>
        </w:rPr>
        <w:t>מו סובלת מאפילפסיה וה</w:t>
      </w:r>
      <w:r>
        <w:rPr>
          <w:rFonts w:ascii="David" w:hAnsi="David" w:hint="cs"/>
          <w:rtl/>
        </w:rPr>
        <w:t>י</w:t>
      </w:r>
      <w:r w:rsidRPr="003C24B6">
        <w:rPr>
          <w:rFonts w:ascii="David" w:hAnsi="David"/>
          <w:rtl/>
        </w:rPr>
        <w:t xml:space="preserve">א מוכרת </w:t>
      </w:r>
      <w:r>
        <w:rPr>
          <w:rFonts w:ascii="David" w:hAnsi="David" w:hint="cs"/>
          <w:rtl/>
        </w:rPr>
        <w:t>במוסד לביטוח לאומי</w:t>
      </w:r>
      <w:r>
        <w:rPr>
          <w:rFonts w:ascii="David" w:hAnsi="David"/>
          <w:rtl/>
        </w:rPr>
        <w:t xml:space="preserve"> עם נכות של 100%</w:t>
      </w:r>
      <w:r>
        <w:rPr>
          <w:rFonts w:ascii="David" w:hAnsi="David" w:hint="cs"/>
          <w:rtl/>
        </w:rPr>
        <w:t>.</w:t>
      </w:r>
      <w:r w:rsidRPr="003C24B6">
        <w:rPr>
          <w:rFonts w:ascii="David" w:hAnsi="David"/>
          <w:rtl/>
        </w:rPr>
        <w:t xml:space="preserve"> כמו כן, אחותו גם סובלת מסכיזופרניה ומטופלת. </w:t>
      </w:r>
    </w:p>
    <w:p w14:paraId="189A2165" w14:textId="77777777" w:rsidR="00773D67" w:rsidRPr="003475C6" w:rsidRDefault="00773D67" w:rsidP="00773D67">
      <w:pPr>
        <w:pStyle w:val="a9"/>
        <w:spacing w:line="360" w:lineRule="auto"/>
        <w:jc w:val="both"/>
        <w:rPr>
          <w:rFonts w:ascii="David" w:hAnsi="David"/>
        </w:rPr>
      </w:pPr>
    </w:p>
    <w:p w14:paraId="6BFFEBF7" w14:textId="77777777" w:rsidR="00773D67" w:rsidRDefault="00773D67" w:rsidP="00773D67">
      <w:pPr>
        <w:pStyle w:val="a9"/>
        <w:numPr>
          <w:ilvl w:val="0"/>
          <w:numId w:val="1"/>
        </w:numPr>
        <w:spacing w:line="360" w:lineRule="auto"/>
        <w:jc w:val="both"/>
        <w:rPr>
          <w:rFonts w:ascii="David" w:hAnsi="David"/>
        </w:rPr>
      </w:pPr>
      <w:r w:rsidRPr="003C24B6">
        <w:rPr>
          <w:rFonts w:ascii="David" w:hAnsi="David"/>
          <w:rtl/>
        </w:rPr>
        <w:t xml:space="preserve">נטען כי הנאשם לקח אחריות בהזדמנות הראשונה וחסך זמן שיפוטי. </w:t>
      </w:r>
    </w:p>
    <w:p w14:paraId="540C5F7C" w14:textId="77777777" w:rsidR="00773D67" w:rsidRPr="003475C6" w:rsidRDefault="00773D67" w:rsidP="00773D67">
      <w:pPr>
        <w:pStyle w:val="a9"/>
        <w:rPr>
          <w:rFonts w:ascii="David" w:hAnsi="David"/>
          <w:rtl/>
        </w:rPr>
      </w:pPr>
    </w:p>
    <w:p w14:paraId="79B80284" w14:textId="77777777" w:rsidR="00773D67" w:rsidRPr="003C24B6" w:rsidRDefault="00773D67" w:rsidP="00773D67">
      <w:pPr>
        <w:pStyle w:val="a9"/>
        <w:numPr>
          <w:ilvl w:val="0"/>
          <w:numId w:val="1"/>
        </w:numPr>
        <w:spacing w:line="360" w:lineRule="auto"/>
        <w:jc w:val="both"/>
        <w:rPr>
          <w:rFonts w:ascii="David" w:hAnsi="David"/>
        </w:rPr>
      </w:pPr>
      <w:r>
        <w:rPr>
          <w:rFonts w:ascii="David" w:hAnsi="David"/>
          <w:rtl/>
        </w:rPr>
        <w:t>נטען כי חלקו של הנאשם</w:t>
      </w:r>
      <w:r>
        <w:rPr>
          <w:rFonts w:ascii="David" w:hAnsi="David" w:hint="cs"/>
          <w:rtl/>
        </w:rPr>
        <w:t xml:space="preserve"> באירועים המתוארים </w:t>
      </w:r>
      <w:r w:rsidRPr="003C24B6">
        <w:rPr>
          <w:rFonts w:ascii="David" w:hAnsi="David"/>
          <w:rtl/>
        </w:rPr>
        <w:t xml:space="preserve"> </w:t>
      </w:r>
      <w:r>
        <w:rPr>
          <w:rFonts w:ascii="David" w:hAnsi="David" w:hint="cs"/>
          <w:rtl/>
        </w:rPr>
        <w:t>ב</w:t>
      </w:r>
      <w:r w:rsidRPr="003C24B6">
        <w:rPr>
          <w:rFonts w:ascii="David" w:hAnsi="David"/>
          <w:rtl/>
        </w:rPr>
        <w:t xml:space="preserve">כתב האישום היה מינורי כאשר מדובר בנוכחות פסיבית בלבד. </w:t>
      </w:r>
      <w:r>
        <w:rPr>
          <w:rFonts w:ascii="David" w:hAnsi="David" w:hint="cs"/>
          <w:rtl/>
        </w:rPr>
        <w:t xml:space="preserve">עוד </w:t>
      </w:r>
      <w:r w:rsidRPr="003C24B6">
        <w:rPr>
          <w:rFonts w:ascii="David" w:hAnsi="David"/>
          <w:rtl/>
        </w:rPr>
        <w:t xml:space="preserve">נטען כי הנאשם לא עשה שום מעשה פיזי או אקטיבי והרי שבסופו של יום לא נגרם שום נזק לא לרכוש ולא לגוף. </w:t>
      </w:r>
    </w:p>
    <w:p w14:paraId="2345866E" w14:textId="77777777" w:rsidR="00773D67" w:rsidRPr="008A27D1" w:rsidRDefault="00773D67" w:rsidP="00773D67">
      <w:pPr>
        <w:pStyle w:val="a9"/>
        <w:spacing w:line="360" w:lineRule="auto"/>
        <w:jc w:val="both"/>
        <w:rPr>
          <w:rFonts w:ascii="David" w:hAnsi="David"/>
        </w:rPr>
      </w:pPr>
    </w:p>
    <w:p w14:paraId="3D42E2D5"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נטען כי בעת הטלת מאסר על צעירים שזו הסתבכותם הראשונה מתבקש בית המשפט להרהר היטב בקביעת העונש לנוכח ההשלכות הקשות של המאסר. </w:t>
      </w:r>
    </w:p>
    <w:p w14:paraId="4A04DA0C" w14:textId="77777777" w:rsidR="00773D67" w:rsidRDefault="00773D67" w:rsidP="00773D67">
      <w:pPr>
        <w:pStyle w:val="a9"/>
        <w:spacing w:line="360" w:lineRule="auto"/>
        <w:jc w:val="both"/>
        <w:rPr>
          <w:rFonts w:ascii="David" w:hAnsi="David"/>
        </w:rPr>
      </w:pPr>
    </w:p>
    <w:p w14:paraId="372DE1F1"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ב"כ הנאשם הפנה לפסיקה כדלקמן:</w:t>
      </w:r>
    </w:p>
    <w:p w14:paraId="76419D62" w14:textId="77777777" w:rsidR="00773D67" w:rsidRPr="003C24B6" w:rsidRDefault="00FC405D" w:rsidP="00773D67">
      <w:pPr>
        <w:pStyle w:val="a9"/>
        <w:numPr>
          <w:ilvl w:val="0"/>
          <w:numId w:val="2"/>
        </w:numPr>
        <w:spacing w:line="360" w:lineRule="auto"/>
        <w:jc w:val="both"/>
        <w:rPr>
          <w:rFonts w:ascii="David" w:hAnsi="David"/>
          <w:rtl/>
        </w:rPr>
      </w:pPr>
      <w:hyperlink r:id="rId25" w:history="1">
        <w:r w:rsidRPr="00FC405D">
          <w:rPr>
            <w:rFonts w:ascii="David" w:hAnsi="David"/>
            <w:color w:val="0000FF"/>
            <w:u w:val="single"/>
            <w:rtl/>
          </w:rPr>
          <w:t>ת"פ 17413-05-20</w:t>
        </w:r>
      </w:hyperlink>
      <w:r w:rsidR="00773D67" w:rsidRPr="003C24B6">
        <w:rPr>
          <w:rFonts w:ascii="David" w:hAnsi="David"/>
          <w:rtl/>
        </w:rPr>
        <w:t xml:space="preserve"> </w:t>
      </w:r>
      <w:r w:rsidR="00773D67" w:rsidRPr="003C24B6">
        <w:rPr>
          <w:rFonts w:ascii="David" w:hAnsi="David"/>
          <w:b/>
          <w:bCs/>
          <w:rtl/>
        </w:rPr>
        <w:t xml:space="preserve">מדינת ישראל נ' יזיד דסוקה </w:t>
      </w:r>
      <w:r w:rsidR="00773D67" w:rsidRPr="003C24B6">
        <w:rPr>
          <w:rFonts w:ascii="David" w:hAnsi="David"/>
          <w:rtl/>
        </w:rPr>
        <w:t xml:space="preserve">(22.4.21), שם הורשע נאשם מס' 3 על פי הודאתו, בעבירות נשק (עסקה אחרת), עבירות בנשק (החזקה, הובלה ונשיאה) ובעבירת החזקת תחמושת. בית המשפט המחוזי קבע מתחם ענישה שנע בין 22 – 42 חודשי מאסר בפועל וגזר על הנאשם 23 חודשי מאסר בפועל לצד עונשים נלווים. </w:t>
      </w:r>
    </w:p>
    <w:p w14:paraId="4E3FB9B4" w14:textId="77777777" w:rsidR="00773D67" w:rsidRPr="003C24B6" w:rsidRDefault="00FC405D" w:rsidP="00773D67">
      <w:pPr>
        <w:pStyle w:val="a9"/>
        <w:numPr>
          <w:ilvl w:val="0"/>
          <w:numId w:val="2"/>
        </w:numPr>
        <w:spacing w:line="360" w:lineRule="auto"/>
        <w:jc w:val="both"/>
        <w:rPr>
          <w:rFonts w:ascii="David" w:hAnsi="David"/>
        </w:rPr>
      </w:pPr>
      <w:hyperlink r:id="rId26" w:history="1">
        <w:r w:rsidRPr="00FC405D">
          <w:rPr>
            <w:rFonts w:ascii="David" w:hAnsi="David"/>
            <w:color w:val="0000FF"/>
            <w:u w:val="single"/>
            <w:rtl/>
          </w:rPr>
          <w:t>ת"פ 30327-02-21</w:t>
        </w:r>
      </w:hyperlink>
      <w:r w:rsidR="00773D67" w:rsidRPr="003C24B6">
        <w:rPr>
          <w:rFonts w:ascii="David" w:hAnsi="David"/>
          <w:rtl/>
        </w:rPr>
        <w:t xml:space="preserve"> </w:t>
      </w:r>
      <w:r w:rsidR="00773D67" w:rsidRPr="003C24B6">
        <w:rPr>
          <w:rFonts w:ascii="David" w:hAnsi="David"/>
          <w:b/>
          <w:bCs/>
          <w:rtl/>
        </w:rPr>
        <w:t xml:space="preserve">מדינת ישראל נ' סוהיל מחאגנה </w:t>
      </w:r>
      <w:r w:rsidR="00773D67" w:rsidRPr="003C24B6">
        <w:rPr>
          <w:rFonts w:ascii="David" w:hAnsi="David"/>
          <w:rtl/>
        </w:rPr>
        <w:t>(1.11.21), שם הורשע נאשם 1 על פי הודאתו בעבירות של החזק</w:t>
      </w:r>
      <w:r w:rsidR="00773D67">
        <w:rPr>
          <w:rFonts w:ascii="David" w:hAnsi="David" w:hint="cs"/>
          <w:rtl/>
        </w:rPr>
        <w:t>ה</w:t>
      </w:r>
      <w:r w:rsidR="00773D67" w:rsidRPr="003C24B6">
        <w:rPr>
          <w:rFonts w:ascii="David" w:hAnsi="David"/>
          <w:rtl/>
        </w:rPr>
        <w:t>, נשיאה והובלת נשק, עבירה של הפרעה לשוטר במילוי ועבירת החזקת אגרופן שלא כדין. בית המשפט קבע שמתחם העונש ההולם במקרה דנן של נאשם 1 נע בין 18-36 חודשי מאסר בפועל ולאור גילו הצעיר ועברו הנקי הושת עליו 18 חודשי מאסר בפועל.</w:t>
      </w:r>
    </w:p>
    <w:p w14:paraId="7DC40707" w14:textId="77777777" w:rsidR="00773D67" w:rsidRPr="003C24B6" w:rsidRDefault="00FC405D" w:rsidP="00773D67">
      <w:pPr>
        <w:pStyle w:val="a9"/>
        <w:numPr>
          <w:ilvl w:val="0"/>
          <w:numId w:val="2"/>
        </w:numPr>
        <w:spacing w:line="360" w:lineRule="auto"/>
        <w:jc w:val="both"/>
        <w:rPr>
          <w:rFonts w:ascii="David" w:hAnsi="David"/>
        </w:rPr>
      </w:pPr>
      <w:hyperlink r:id="rId27" w:history="1">
        <w:r w:rsidRPr="00FC405D">
          <w:rPr>
            <w:rFonts w:ascii="David" w:hAnsi="David"/>
            <w:color w:val="0000FF"/>
            <w:u w:val="single"/>
            <w:rtl/>
          </w:rPr>
          <w:t>ע"פ 3271/19</w:t>
        </w:r>
      </w:hyperlink>
      <w:r w:rsidR="00773D67" w:rsidRPr="003C24B6">
        <w:rPr>
          <w:rFonts w:ascii="David" w:hAnsi="David"/>
          <w:rtl/>
        </w:rPr>
        <w:t xml:space="preserve"> </w:t>
      </w:r>
      <w:r w:rsidR="00773D67" w:rsidRPr="003C24B6">
        <w:rPr>
          <w:rFonts w:ascii="David" w:hAnsi="David"/>
          <w:b/>
          <w:bCs/>
          <w:rtl/>
        </w:rPr>
        <w:t xml:space="preserve">מדינת ישראל נ' מוחמד אבו עאמר </w:t>
      </w:r>
      <w:r w:rsidR="00773D67" w:rsidRPr="003C24B6">
        <w:rPr>
          <w:rFonts w:ascii="David" w:hAnsi="David"/>
          <w:rtl/>
        </w:rPr>
        <w:t xml:space="preserve">(31.10.19), שם הורשע </w:t>
      </w:r>
      <w:r w:rsidR="00773D67">
        <w:rPr>
          <w:rFonts w:ascii="David" w:hAnsi="David" w:hint="cs"/>
          <w:rtl/>
        </w:rPr>
        <w:t xml:space="preserve">הנאשם </w:t>
      </w:r>
      <w:r w:rsidR="00773D67" w:rsidRPr="003C24B6">
        <w:rPr>
          <w:rFonts w:ascii="David" w:hAnsi="David"/>
          <w:rtl/>
        </w:rPr>
        <w:t>על פי הודאתו בעובדות כתב אישום מתוקן בעבירה של נשיאת והובלת נשק. לאור המלצת שירות המבחן כי סיכויי השיקום עולים על הסיכון נגזר על הנאשם 6 חודשי מאסר בדרך של עבודות שירות. בית המשפט העליון קיבל את ערעור ה</w:t>
      </w:r>
      <w:r w:rsidR="00773D67">
        <w:rPr>
          <w:rFonts w:ascii="David" w:hAnsi="David" w:hint="cs"/>
          <w:rtl/>
        </w:rPr>
        <w:t>מדינה</w:t>
      </w:r>
      <w:r w:rsidR="00773D67" w:rsidRPr="003C24B6">
        <w:rPr>
          <w:rFonts w:ascii="David" w:hAnsi="David"/>
          <w:rtl/>
        </w:rPr>
        <w:t xml:space="preserve"> והפך </w:t>
      </w:r>
      <w:r w:rsidR="00773D67">
        <w:rPr>
          <w:rFonts w:ascii="David" w:hAnsi="David"/>
          <w:rtl/>
        </w:rPr>
        <w:t>את עונשו של הנאשם לריצוי בפועל</w:t>
      </w:r>
      <w:r w:rsidR="00773D67">
        <w:rPr>
          <w:rFonts w:ascii="David" w:hAnsi="David" w:hint="cs"/>
          <w:rtl/>
        </w:rPr>
        <w:t xml:space="preserve"> בניכוי ימי מעצרו. </w:t>
      </w:r>
    </w:p>
    <w:p w14:paraId="644E932C" w14:textId="77777777" w:rsidR="00773D67" w:rsidRPr="003C24B6" w:rsidRDefault="00773D67" w:rsidP="00773D67">
      <w:pPr>
        <w:spacing w:line="360" w:lineRule="auto"/>
        <w:jc w:val="both"/>
        <w:rPr>
          <w:rFonts w:ascii="David" w:hAnsi="David"/>
          <w:b/>
          <w:bCs/>
          <w:rtl/>
        </w:rPr>
      </w:pPr>
    </w:p>
    <w:p w14:paraId="3570F419" w14:textId="77777777" w:rsidR="00773D67" w:rsidRDefault="00773D67" w:rsidP="00773D67">
      <w:pPr>
        <w:spacing w:line="360" w:lineRule="auto"/>
        <w:jc w:val="both"/>
        <w:rPr>
          <w:rFonts w:ascii="David" w:hAnsi="David"/>
          <w:b/>
          <w:bCs/>
          <w:u w:val="single"/>
          <w:rtl/>
        </w:rPr>
      </w:pPr>
      <w:r w:rsidRPr="003C24B6">
        <w:rPr>
          <w:rFonts w:ascii="David" w:hAnsi="David"/>
          <w:b/>
          <w:bCs/>
          <w:u w:val="single"/>
          <w:rtl/>
        </w:rPr>
        <w:t>עמדת הנאשם</w:t>
      </w:r>
    </w:p>
    <w:p w14:paraId="49513940" w14:textId="77777777" w:rsidR="00773D67" w:rsidRPr="003C24B6" w:rsidRDefault="00773D67" w:rsidP="00773D67">
      <w:pPr>
        <w:spacing w:line="360" w:lineRule="auto"/>
        <w:jc w:val="both"/>
        <w:rPr>
          <w:rFonts w:ascii="David" w:hAnsi="David"/>
          <w:b/>
          <w:bCs/>
          <w:u w:val="single"/>
          <w:rtl/>
        </w:rPr>
      </w:pPr>
    </w:p>
    <w:p w14:paraId="4C0E21BE"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 xml:space="preserve">הנאשם הצטער על מעשיו וביקש סליחה. </w:t>
      </w:r>
    </w:p>
    <w:p w14:paraId="55315987" w14:textId="77777777" w:rsidR="00773D67" w:rsidRPr="003C24B6" w:rsidRDefault="00773D67" w:rsidP="00773D67">
      <w:pPr>
        <w:spacing w:line="360" w:lineRule="auto"/>
        <w:jc w:val="both"/>
        <w:rPr>
          <w:rFonts w:ascii="David" w:hAnsi="David"/>
          <w:rtl/>
        </w:rPr>
      </w:pPr>
    </w:p>
    <w:p w14:paraId="61447246" w14:textId="77777777" w:rsidR="00773D67" w:rsidRDefault="00773D67" w:rsidP="00773D67">
      <w:pPr>
        <w:spacing w:line="360" w:lineRule="auto"/>
        <w:jc w:val="both"/>
        <w:rPr>
          <w:rFonts w:ascii="David" w:hAnsi="David"/>
          <w:b/>
          <w:bCs/>
          <w:u w:val="single"/>
          <w:rtl/>
        </w:rPr>
      </w:pPr>
      <w:r w:rsidRPr="003C24B6">
        <w:rPr>
          <w:rFonts w:ascii="David" w:hAnsi="David"/>
          <w:b/>
          <w:bCs/>
          <w:u w:val="single"/>
          <w:rtl/>
        </w:rPr>
        <w:t>תסקיר שירת המבחן</w:t>
      </w:r>
    </w:p>
    <w:p w14:paraId="19E0C64B" w14:textId="77777777" w:rsidR="00773D67" w:rsidRPr="003C24B6" w:rsidRDefault="00773D67" w:rsidP="00773D67">
      <w:pPr>
        <w:spacing w:line="360" w:lineRule="auto"/>
        <w:jc w:val="both"/>
        <w:rPr>
          <w:rFonts w:ascii="David" w:hAnsi="David"/>
          <w:b/>
          <w:bCs/>
          <w:u w:val="single"/>
          <w:rtl/>
        </w:rPr>
      </w:pPr>
    </w:p>
    <w:p w14:paraId="5F23DD12"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ביום 26.6.22 הוגש תסקיר בעניינו של הנאשם ב</w:t>
      </w:r>
      <w:r>
        <w:rPr>
          <w:rFonts w:ascii="David" w:hAnsi="David"/>
          <w:rtl/>
        </w:rPr>
        <w:t>ו תואר כי טרם מעצרו התגורר</w:t>
      </w:r>
      <w:r w:rsidRPr="003C24B6">
        <w:rPr>
          <w:rFonts w:ascii="David" w:hAnsi="David"/>
          <w:rtl/>
        </w:rPr>
        <w:t xml:space="preserve"> בג'יסר אל זרקא בבית הוריו ועבד כשכיר במפעל פלסטיק בפרדס חנה. </w:t>
      </w:r>
    </w:p>
    <w:p w14:paraId="7DE4F3B8" w14:textId="77777777" w:rsidR="00773D67" w:rsidRPr="003C24B6" w:rsidRDefault="00773D67" w:rsidP="00773D67">
      <w:pPr>
        <w:pStyle w:val="a9"/>
        <w:spacing w:line="360" w:lineRule="auto"/>
        <w:jc w:val="both"/>
        <w:rPr>
          <w:rFonts w:ascii="David" w:hAnsi="David"/>
          <w:rtl/>
        </w:rPr>
      </w:pPr>
      <w:r w:rsidRPr="003C24B6">
        <w:rPr>
          <w:rFonts w:ascii="David" w:hAnsi="David"/>
          <w:rtl/>
        </w:rPr>
        <w:t>תואר כי הנאשם גדל בבית מסורתי, המונה זוג הורים ו 6 ילדים כאשר אבי</w:t>
      </w:r>
      <w:r>
        <w:rPr>
          <w:rFonts w:ascii="David" w:hAnsi="David"/>
          <w:rtl/>
        </w:rPr>
        <w:t>ו וא</w:t>
      </w:r>
      <w:r w:rsidRPr="003C24B6">
        <w:rPr>
          <w:rFonts w:ascii="David" w:hAnsi="David"/>
          <w:rtl/>
        </w:rPr>
        <w:t xml:space="preserve">מו ואחותו סובלים מבעיות רפואיות. </w:t>
      </w:r>
    </w:p>
    <w:p w14:paraId="5366E788" w14:textId="77777777" w:rsidR="00773D67" w:rsidRPr="003C24B6" w:rsidRDefault="00773D67" w:rsidP="00773D67">
      <w:pPr>
        <w:pStyle w:val="a9"/>
        <w:spacing w:line="360" w:lineRule="auto"/>
        <w:jc w:val="both"/>
        <w:rPr>
          <w:rFonts w:ascii="David" w:hAnsi="David"/>
          <w:rtl/>
        </w:rPr>
      </w:pPr>
      <w:r w:rsidRPr="003C24B6">
        <w:rPr>
          <w:rFonts w:ascii="David" w:hAnsi="David"/>
          <w:rtl/>
        </w:rPr>
        <w:t xml:space="preserve">תואר כי הנאשם שלל בפני שירות המבחן צריכת אלכוהול וסמים אך הדיווח אינו עולה בקנה אחד עם תיקי המב"ד שלו. </w:t>
      </w:r>
    </w:p>
    <w:p w14:paraId="2DCD38D4" w14:textId="77777777" w:rsidR="00773D67" w:rsidRPr="003C24B6" w:rsidRDefault="00773D67" w:rsidP="00773D67">
      <w:pPr>
        <w:pStyle w:val="a9"/>
        <w:spacing w:line="360" w:lineRule="auto"/>
        <w:jc w:val="both"/>
        <w:rPr>
          <w:rFonts w:ascii="David" w:hAnsi="David"/>
          <w:rtl/>
        </w:rPr>
      </w:pPr>
      <w:r>
        <w:rPr>
          <w:rFonts w:ascii="David" w:hAnsi="David" w:hint="cs"/>
          <w:rtl/>
        </w:rPr>
        <w:t>דווח</w:t>
      </w:r>
      <w:r w:rsidRPr="003C24B6">
        <w:rPr>
          <w:rFonts w:ascii="David" w:hAnsi="David"/>
          <w:rtl/>
        </w:rPr>
        <w:t xml:space="preserve"> כי הנאשם לא הודה בעובדות כתב האישום ולא לקח אחריות על ביצוע העבירות והוא התמקם בעמדה הגנתית וקורבנית, התקשה לזהות את כשליו ה</w:t>
      </w:r>
      <w:r>
        <w:rPr>
          <w:rFonts w:ascii="David" w:hAnsi="David"/>
          <w:rtl/>
        </w:rPr>
        <w:t>התנהגותיים ואת שיקול דעתו הלקוי</w:t>
      </w:r>
      <w:r w:rsidRPr="003C24B6">
        <w:rPr>
          <w:rFonts w:ascii="David" w:hAnsi="David"/>
          <w:rtl/>
        </w:rPr>
        <w:t xml:space="preserve"> ושלל נזקקות טיפולית ולא גילה תובנות לקיום הליך שינוי כלשהו. </w:t>
      </w:r>
    </w:p>
    <w:p w14:paraId="3509F07D" w14:textId="77777777" w:rsidR="00773D67" w:rsidRPr="003C24B6" w:rsidRDefault="00773D67" w:rsidP="00773D67">
      <w:pPr>
        <w:pStyle w:val="a9"/>
        <w:spacing w:line="360" w:lineRule="auto"/>
        <w:jc w:val="both"/>
        <w:rPr>
          <w:rFonts w:ascii="David" w:hAnsi="David"/>
          <w:rtl/>
        </w:rPr>
      </w:pPr>
      <w:r w:rsidRPr="003C24B6">
        <w:rPr>
          <w:rFonts w:ascii="David" w:hAnsi="David"/>
          <w:rtl/>
        </w:rPr>
        <w:t xml:space="preserve">התרשמות בשירות המבחן הייתה כי קיים פער בין מהלך התפתחותו, לרבות היעדר הכרתו של הנאשם בדפוסי התנהגות וערכים בעייתיים שזוהו אצלו לבין נסיבות המעצר המיוחסות </w:t>
      </w:r>
      <w:r>
        <w:rPr>
          <w:rFonts w:ascii="David" w:hAnsi="David"/>
          <w:rtl/>
        </w:rPr>
        <w:t>לו והתייחסותו ההגנתית אליהן ולכ</w:t>
      </w:r>
      <w:r>
        <w:rPr>
          <w:rFonts w:ascii="David" w:hAnsi="David" w:hint="cs"/>
          <w:rtl/>
        </w:rPr>
        <w:t>ן</w:t>
      </w:r>
      <w:r w:rsidRPr="003C24B6">
        <w:rPr>
          <w:rFonts w:ascii="David" w:hAnsi="David"/>
          <w:rtl/>
        </w:rPr>
        <w:t xml:space="preserve"> הדבר הקשה על שירות המבחן להעריך את מידת המסוכנות הנשקפת מהנאשם. </w:t>
      </w:r>
    </w:p>
    <w:p w14:paraId="595BAC39" w14:textId="77777777" w:rsidR="00773D67" w:rsidRPr="003C24B6" w:rsidRDefault="00773D67" w:rsidP="00773D67">
      <w:pPr>
        <w:pStyle w:val="a9"/>
        <w:spacing w:line="360" w:lineRule="auto"/>
        <w:jc w:val="both"/>
        <w:rPr>
          <w:rFonts w:ascii="David" w:hAnsi="David"/>
          <w:rtl/>
        </w:rPr>
      </w:pPr>
    </w:p>
    <w:p w14:paraId="2CEAE51E" w14:textId="77777777" w:rsidR="00773D67" w:rsidRPr="003C24B6" w:rsidRDefault="00773D67" w:rsidP="00773D67">
      <w:pPr>
        <w:pStyle w:val="a9"/>
        <w:spacing w:line="360" w:lineRule="auto"/>
        <w:jc w:val="both"/>
        <w:rPr>
          <w:rFonts w:ascii="David" w:hAnsi="David"/>
          <w:rtl/>
        </w:rPr>
      </w:pPr>
      <w:r w:rsidRPr="003C24B6">
        <w:rPr>
          <w:rFonts w:ascii="David" w:hAnsi="David"/>
          <w:rtl/>
        </w:rPr>
        <w:t xml:space="preserve">לאור האמור לעיל לא בא שירות המבחן בהמלצה טיפולית ושיקומית בעניינו של הנאשם והעריך כי יש לתת ענישה הרתעתית מאחורי סורג ובריח אשר עשויה לחדד לנאשם את הגבולות בין המותר לאסור. </w:t>
      </w:r>
    </w:p>
    <w:p w14:paraId="4A6484A4" w14:textId="77777777" w:rsidR="00773D67" w:rsidRPr="003C24B6" w:rsidRDefault="00773D67" w:rsidP="00773D67">
      <w:pPr>
        <w:pStyle w:val="a9"/>
        <w:spacing w:line="360" w:lineRule="auto"/>
        <w:jc w:val="both"/>
        <w:rPr>
          <w:rFonts w:ascii="David" w:hAnsi="David"/>
          <w:rtl/>
        </w:rPr>
      </w:pPr>
    </w:p>
    <w:p w14:paraId="0D417221" w14:textId="77777777" w:rsidR="00773D67" w:rsidRDefault="00773D67" w:rsidP="00773D67">
      <w:pPr>
        <w:pStyle w:val="a9"/>
        <w:spacing w:line="360" w:lineRule="auto"/>
        <w:jc w:val="both"/>
        <w:rPr>
          <w:rFonts w:ascii="David" w:hAnsi="David"/>
          <w:b/>
          <w:bCs/>
          <w:u w:val="single"/>
          <w:rtl/>
        </w:rPr>
      </w:pPr>
      <w:r w:rsidRPr="003C24B6">
        <w:rPr>
          <w:rFonts w:ascii="David" w:hAnsi="David"/>
          <w:b/>
          <w:bCs/>
          <w:u w:val="single"/>
          <w:rtl/>
        </w:rPr>
        <w:t>דיון</w:t>
      </w:r>
    </w:p>
    <w:p w14:paraId="22C41AB5" w14:textId="77777777" w:rsidR="00773D67" w:rsidRPr="003C24B6" w:rsidRDefault="00773D67" w:rsidP="00773D67">
      <w:pPr>
        <w:pStyle w:val="a9"/>
        <w:spacing w:line="360" w:lineRule="auto"/>
        <w:jc w:val="both"/>
        <w:rPr>
          <w:rFonts w:ascii="David" w:hAnsi="David"/>
          <w:b/>
          <w:bCs/>
          <w:u w:val="single"/>
          <w:rtl/>
        </w:rPr>
      </w:pPr>
    </w:p>
    <w:p w14:paraId="58414681"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הערכים המוגנים שנפגעו היו ההגנה על שלום הציבור</w:t>
      </w:r>
      <w:r>
        <w:rPr>
          <w:rFonts w:ascii="David" w:hAnsi="David" w:hint="cs"/>
          <w:rtl/>
        </w:rPr>
        <w:t>,</w:t>
      </w:r>
      <w:r>
        <w:rPr>
          <w:rFonts w:ascii="David" w:hAnsi="David"/>
          <w:rtl/>
        </w:rPr>
        <w:t xml:space="preserve"> </w:t>
      </w:r>
      <w:r w:rsidRPr="003C24B6">
        <w:rPr>
          <w:rFonts w:ascii="David" w:hAnsi="David"/>
          <w:rtl/>
        </w:rPr>
        <w:t>של</w:t>
      </w:r>
      <w:r>
        <w:rPr>
          <w:rFonts w:ascii="David" w:hAnsi="David" w:hint="cs"/>
          <w:rtl/>
        </w:rPr>
        <w:t>י</w:t>
      </w:r>
      <w:r w:rsidRPr="003C24B6">
        <w:rPr>
          <w:rFonts w:ascii="David" w:hAnsi="David"/>
          <w:rtl/>
        </w:rPr>
        <w:t xml:space="preserve">מות גופו </w:t>
      </w:r>
      <w:r>
        <w:rPr>
          <w:rFonts w:ascii="David" w:hAnsi="David" w:hint="cs"/>
          <w:rtl/>
        </w:rPr>
        <w:t xml:space="preserve">של האדם </w:t>
      </w:r>
      <w:r w:rsidRPr="003C24B6">
        <w:rPr>
          <w:rFonts w:ascii="David" w:hAnsi="David"/>
          <w:rtl/>
        </w:rPr>
        <w:t>ופגיעה בשלטון החוק. מידת הפגיעה הייתה יחסית משמעותית, כיוון שמדובר בעבירות נשק.</w:t>
      </w:r>
    </w:p>
    <w:p w14:paraId="5B3A97E8" w14:textId="77777777" w:rsidR="00773D67" w:rsidRPr="003C24B6" w:rsidRDefault="00773D67" w:rsidP="00773D67">
      <w:pPr>
        <w:pStyle w:val="a9"/>
        <w:spacing w:line="360" w:lineRule="auto"/>
        <w:jc w:val="both"/>
        <w:rPr>
          <w:rFonts w:ascii="David" w:hAnsi="David"/>
        </w:rPr>
      </w:pPr>
    </w:p>
    <w:p w14:paraId="71E27F56" w14:textId="77777777" w:rsidR="00773D67" w:rsidRPr="003C24B6" w:rsidRDefault="00773D67" w:rsidP="00773D67">
      <w:pPr>
        <w:pStyle w:val="a9"/>
        <w:numPr>
          <w:ilvl w:val="0"/>
          <w:numId w:val="1"/>
        </w:numPr>
        <w:spacing w:line="360" w:lineRule="auto"/>
        <w:jc w:val="both"/>
        <w:rPr>
          <w:rFonts w:ascii="David" w:hAnsi="David"/>
        </w:rPr>
      </w:pPr>
      <w:r w:rsidRPr="003C24B6">
        <w:rPr>
          <w:rFonts w:ascii="David" w:hAnsi="David"/>
          <w:rtl/>
        </w:rPr>
        <w:t>אין זה ברור שהנאשם היה שותף לתכנון מוקדם</w:t>
      </w:r>
      <w:r>
        <w:rPr>
          <w:rFonts w:ascii="David" w:hAnsi="David" w:hint="cs"/>
          <w:rtl/>
        </w:rPr>
        <w:t xml:space="preserve"> של העבירה בין היתר כיוון שהנשק לא היה ברשותו</w:t>
      </w:r>
      <w:r w:rsidRPr="003C24B6">
        <w:rPr>
          <w:rFonts w:ascii="David" w:hAnsi="David"/>
          <w:rtl/>
        </w:rPr>
        <w:t xml:space="preserve">, </w:t>
      </w:r>
      <w:r>
        <w:rPr>
          <w:rFonts w:ascii="David" w:hAnsi="David" w:hint="cs"/>
          <w:rtl/>
        </w:rPr>
        <w:t xml:space="preserve">ונראה כי </w:t>
      </w:r>
      <w:r w:rsidRPr="003C24B6">
        <w:rPr>
          <w:rFonts w:ascii="David" w:hAnsi="David"/>
          <w:rtl/>
        </w:rPr>
        <w:t xml:space="preserve">תפקידו היה </w:t>
      </w:r>
      <w:r>
        <w:rPr>
          <w:rFonts w:ascii="David" w:hAnsi="David"/>
          <w:rtl/>
        </w:rPr>
        <w:t>פח</w:t>
      </w:r>
      <w:r>
        <w:rPr>
          <w:rFonts w:ascii="David" w:hAnsi="David" w:hint="cs"/>
          <w:rtl/>
        </w:rPr>
        <w:t>ות</w:t>
      </w:r>
      <w:r>
        <w:rPr>
          <w:rFonts w:ascii="David" w:hAnsi="David"/>
          <w:rtl/>
        </w:rPr>
        <w:t xml:space="preserve"> מזה של </w:t>
      </w:r>
      <w:r>
        <w:rPr>
          <w:rFonts w:ascii="David" w:hAnsi="David" w:hint="cs"/>
          <w:rtl/>
        </w:rPr>
        <w:t>מוחמד</w:t>
      </w:r>
      <w:r w:rsidRPr="003C24B6">
        <w:rPr>
          <w:rFonts w:ascii="David" w:hAnsi="David"/>
          <w:rtl/>
        </w:rPr>
        <w:t>, כפי שהדברים גם עולים מכתב האישום המתוקן. עם זאת הנאשם היה צריך לדעת מבעוד מועד את הפסול במעשיו ולהימנע מהם.</w:t>
      </w:r>
    </w:p>
    <w:p w14:paraId="193C0134" w14:textId="77777777" w:rsidR="00773D67" w:rsidRPr="003C24B6" w:rsidRDefault="00773D67" w:rsidP="00773D67">
      <w:pPr>
        <w:spacing w:line="360" w:lineRule="auto"/>
        <w:jc w:val="both"/>
        <w:rPr>
          <w:rFonts w:ascii="David" w:hAnsi="David"/>
        </w:rPr>
      </w:pPr>
    </w:p>
    <w:p w14:paraId="2E06DE37" w14:textId="77777777" w:rsidR="00773D67" w:rsidRPr="003C24B6" w:rsidRDefault="00773D67" w:rsidP="00773D67">
      <w:pPr>
        <w:pStyle w:val="a9"/>
        <w:numPr>
          <w:ilvl w:val="0"/>
          <w:numId w:val="1"/>
        </w:numPr>
        <w:spacing w:line="360" w:lineRule="auto"/>
        <w:jc w:val="both"/>
        <w:rPr>
          <w:rFonts w:ascii="David" w:hAnsi="David"/>
          <w:rtl/>
        </w:rPr>
      </w:pPr>
      <w:r w:rsidRPr="003C24B6">
        <w:rPr>
          <w:rFonts w:ascii="David" w:hAnsi="David"/>
          <w:rtl/>
        </w:rPr>
        <w:t>במקרה דנן</w:t>
      </w:r>
      <w:r>
        <w:rPr>
          <w:rFonts w:ascii="David" w:hAnsi="David" w:hint="cs"/>
          <w:rtl/>
        </w:rPr>
        <w:t>,</w:t>
      </w:r>
      <w:r w:rsidRPr="003C24B6">
        <w:rPr>
          <w:rFonts w:ascii="David" w:hAnsi="David"/>
          <w:rtl/>
        </w:rPr>
        <w:t xml:space="preserve"> </w:t>
      </w:r>
      <w:r>
        <w:rPr>
          <w:rFonts w:ascii="David" w:hAnsi="David" w:hint="cs"/>
          <w:rtl/>
        </w:rPr>
        <w:t xml:space="preserve">בהתחשב בנסיבות המקרה, מדיניות הענישה, והצורך להחמיר את הענישה בעבירות הנשק </w:t>
      </w:r>
      <w:r w:rsidRPr="003C24B6">
        <w:rPr>
          <w:rFonts w:ascii="David" w:hAnsi="David"/>
          <w:rtl/>
        </w:rPr>
        <w:t xml:space="preserve">יש מקום לקבוע מתחם ענישה שבין </w:t>
      </w:r>
      <w:r>
        <w:rPr>
          <w:rFonts w:ascii="David" w:hAnsi="David" w:hint="cs"/>
          <w:rtl/>
        </w:rPr>
        <w:t>24</w:t>
      </w:r>
      <w:r w:rsidRPr="003C24B6">
        <w:rPr>
          <w:rFonts w:ascii="David" w:hAnsi="David"/>
          <w:rtl/>
        </w:rPr>
        <w:t xml:space="preserve"> חודשים עד </w:t>
      </w:r>
      <w:r>
        <w:rPr>
          <w:rFonts w:ascii="David" w:hAnsi="David" w:hint="cs"/>
          <w:rtl/>
        </w:rPr>
        <w:t>50</w:t>
      </w:r>
      <w:r w:rsidRPr="003C24B6">
        <w:rPr>
          <w:rFonts w:ascii="David" w:hAnsi="David"/>
          <w:rtl/>
        </w:rPr>
        <w:t xml:space="preserve"> חודשי מאסר בפועל. באשר לעונש בתוך המתחם, יצוין לזכותו של הנאשם שהוא הודה בביצוע העבירות לאחר תיקון כתב האישום והוא ללא עבר פלילי קודם. </w:t>
      </w:r>
      <w:r>
        <w:rPr>
          <w:rFonts w:ascii="David" w:hAnsi="David" w:hint="cs"/>
          <w:rtl/>
        </w:rPr>
        <w:t xml:space="preserve">כמו כן, יש לציין לטובתו כי הוא בבחינת בגיר צעיר. </w:t>
      </w:r>
      <w:r w:rsidRPr="003C24B6">
        <w:rPr>
          <w:rFonts w:ascii="David" w:hAnsi="David"/>
          <w:rtl/>
        </w:rPr>
        <w:t>אך</w:t>
      </w:r>
      <w:r>
        <w:rPr>
          <w:rFonts w:ascii="David" w:hAnsi="David"/>
          <w:rtl/>
        </w:rPr>
        <w:t xml:space="preserve"> מאידך יש לזקוף לחובתו </w:t>
      </w:r>
      <w:r w:rsidRPr="003C24B6">
        <w:rPr>
          <w:rFonts w:ascii="David" w:hAnsi="David"/>
          <w:rtl/>
        </w:rPr>
        <w:t>את התסקיר השלילי שהתקבל בעניינו אשר מעיד על רמ</w:t>
      </w:r>
      <w:r>
        <w:rPr>
          <w:rFonts w:ascii="David" w:hAnsi="David"/>
          <w:rtl/>
        </w:rPr>
        <w:t xml:space="preserve">ת מסוכנות בינונית ועל העדר </w:t>
      </w:r>
      <w:r>
        <w:rPr>
          <w:rFonts w:ascii="David" w:hAnsi="David" w:hint="cs"/>
          <w:rtl/>
        </w:rPr>
        <w:t>מהלכי</w:t>
      </w:r>
      <w:r>
        <w:rPr>
          <w:rFonts w:ascii="David" w:hAnsi="David"/>
          <w:rtl/>
        </w:rPr>
        <w:t xml:space="preserve"> </w:t>
      </w:r>
      <w:r w:rsidRPr="003C24B6">
        <w:rPr>
          <w:rFonts w:ascii="David" w:hAnsi="David"/>
          <w:rtl/>
        </w:rPr>
        <w:t xml:space="preserve">שיקום. </w:t>
      </w:r>
    </w:p>
    <w:p w14:paraId="5887B1E8" w14:textId="77777777" w:rsidR="00773D67" w:rsidRPr="003C24B6" w:rsidRDefault="00773D67" w:rsidP="00773D67">
      <w:pPr>
        <w:pStyle w:val="a9"/>
        <w:spacing w:line="360" w:lineRule="auto"/>
        <w:jc w:val="both"/>
        <w:rPr>
          <w:rFonts w:ascii="David" w:hAnsi="David"/>
        </w:rPr>
      </w:pPr>
    </w:p>
    <w:p w14:paraId="68C0E786" w14:textId="77777777" w:rsidR="00773D67" w:rsidRPr="003C24B6" w:rsidRDefault="00773D67" w:rsidP="00773D67">
      <w:pPr>
        <w:pStyle w:val="a9"/>
        <w:numPr>
          <w:ilvl w:val="0"/>
          <w:numId w:val="1"/>
        </w:numPr>
        <w:spacing w:line="360" w:lineRule="auto"/>
        <w:jc w:val="both"/>
        <w:rPr>
          <w:rFonts w:ascii="David" w:hAnsi="David"/>
          <w:rtl/>
        </w:rPr>
      </w:pPr>
      <w:r w:rsidRPr="003C24B6">
        <w:rPr>
          <w:rFonts w:ascii="David" w:hAnsi="David"/>
          <w:rtl/>
        </w:rPr>
        <w:t>אשר על כן, אני מטיל ענישה כדלקמן:</w:t>
      </w:r>
    </w:p>
    <w:p w14:paraId="4B7EDC24" w14:textId="77777777" w:rsidR="00773D67" w:rsidRPr="003C24B6" w:rsidRDefault="00773D67" w:rsidP="00773D67">
      <w:pPr>
        <w:pStyle w:val="a9"/>
        <w:spacing w:line="360" w:lineRule="auto"/>
        <w:jc w:val="both"/>
        <w:rPr>
          <w:rFonts w:ascii="David" w:hAnsi="David"/>
        </w:rPr>
      </w:pPr>
    </w:p>
    <w:p w14:paraId="5CD03076" w14:textId="77777777" w:rsidR="00773D67" w:rsidRPr="003C24B6" w:rsidRDefault="00773D67" w:rsidP="00773D67">
      <w:pPr>
        <w:pStyle w:val="a9"/>
        <w:numPr>
          <w:ilvl w:val="0"/>
          <w:numId w:val="3"/>
        </w:numPr>
        <w:spacing w:line="360" w:lineRule="auto"/>
        <w:jc w:val="both"/>
        <w:rPr>
          <w:rFonts w:ascii="David" w:hAnsi="David"/>
        </w:rPr>
      </w:pPr>
      <w:r>
        <w:rPr>
          <w:rFonts w:ascii="David" w:hAnsi="David" w:hint="cs"/>
          <w:rtl/>
        </w:rPr>
        <w:t>36</w:t>
      </w:r>
      <w:r w:rsidRPr="003C24B6">
        <w:rPr>
          <w:rFonts w:ascii="David" w:hAnsi="David"/>
          <w:rtl/>
        </w:rPr>
        <w:t xml:space="preserve"> חודשי מאסר בפועל, כאשר תנוכה תקופת מעצרו מיום 7.12.21. </w:t>
      </w:r>
    </w:p>
    <w:p w14:paraId="39E00179" w14:textId="77777777" w:rsidR="00773D67" w:rsidRPr="003C24B6" w:rsidRDefault="00773D67" w:rsidP="00773D67">
      <w:pPr>
        <w:pStyle w:val="a9"/>
        <w:numPr>
          <w:ilvl w:val="0"/>
          <w:numId w:val="3"/>
        </w:numPr>
        <w:spacing w:line="360" w:lineRule="auto"/>
        <w:jc w:val="both"/>
        <w:rPr>
          <w:rFonts w:ascii="David" w:hAnsi="David"/>
        </w:rPr>
      </w:pPr>
      <w:r w:rsidRPr="003C24B6">
        <w:rPr>
          <w:rFonts w:ascii="David" w:hAnsi="David"/>
          <w:rtl/>
        </w:rPr>
        <w:t xml:space="preserve">9 חודשי מאסר על תנאי למשך 3 שנים ממועד שחרורו שיופעלו במידה והנאשם יבצע עבירות אלימות מסוג פשע. </w:t>
      </w:r>
    </w:p>
    <w:p w14:paraId="61A55A4B" w14:textId="77777777" w:rsidR="00773D67" w:rsidRPr="003C24B6" w:rsidRDefault="00773D67" w:rsidP="00773D67">
      <w:pPr>
        <w:pStyle w:val="a9"/>
        <w:numPr>
          <w:ilvl w:val="0"/>
          <w:numId w:val="3"/>
        </w:numPr>
        <w:spacing w:line="360" w:lineRule="auto"/>
        <w:jc w:val="both"/>
        <w:rPr>
          <w:rFonts w:ascii="David" w:hAnsi="David"/>
        </w:rPr>
      </w:pPr>
      <w:r w:rsidRPr="003C24B6">
        <w:rPr>
          <w:rFonts w:ascii="David" w:hAnsi="David"/>
          <w:rtl/>
        </w:rPr>
        <w:t xml:space="preserve">קנס בסך 2,500 ₪ לתשלום עד ליום 1.11.22. </w:t>
      </w:r>
    </w:p>
    <w:p w14:paraId="1F85D932" w14:textId="77777777" w:rsidR="00773D67" w:rsidRDefault="00773D67" w:rsidP="00773D67">
      <w:pPr>
        <w:pStyle w:val="a9"/>
        <w:spacing w:line="360" w:lineRule="auto"/>
        <w:ind w:left="1080"/>
        <w:jc w:val="both"/>
      </w:pPr>
    </w:p>
    <w:p w14:paraId="6CEA26DB" w14:textId="77777777" w:rsidR="00773D67" w:rsidRDefault="00FC405D" w:rsidP="00773D67">
      <w:pPr>
        <w:pStyle w:val="a9"/>
        <w:spacing w:line="360" w:lineRule="auto"/>
        <w:ind w:left="1080"/>
        <w:jc w:val="both"/>
        <w:rPr>
          <w:rtl/>
        </w:rPr>
      </w:pPr>
      <w:r w:rsidRPr="00FC405D">
        <w:rPr>
          <w:b/>
          <w:bCs/>
          <w:color w:val="FFFFFF"/>
          <w:sz w:val="2"/>
          <w:szCs w:val="2"/>
          <w:u w:val="single"/>
          <w:rtl/>
        </w:rPr>
        <w:t>5129371</w:t>
      </w:r>
      <w:r w:rsidR="00773D67">
        <w:rPr>
          <w:b/>
          <w:bCs/>
          <w:u w:val="single"/>
          <w:rtl/>
        </w:rPr>
        <w:t xml:space="preserve">זכות ערעור תוך 45 יום </w:t>
      </w:r>
    </w:p>
    <w:p w14:paraId="6DE19BA3" w14:textId="77777777" w:rsidR="00773D67" w:rsidRPr="00FC405D" w:rsidRDefault="00FC405D" w:rsidP="00773D67">
      <w:pPr>
        <w:pStyle w:val="a9"/>
        <w:spacing w:line="360" w:lineRule="auto"/>
        <w:jc w:val="both"/>
        <w:rPr>
          <w:rFonts w:ascii="Arial" w:hAnsi="Arial"/>
          <w:color w:val="FFFFFF"/>
          <w:sz w:val="2"/>
          <w:szCs w:val="2"/>
          <w:rtl/>
        </w:rPr>
      </w:pPr>
      <w:r w:rsidRPr="00FC405D">
        <w:rPr>
          <w:rFonts w:ascii="Arial" w:hAnsi="Arial"/>
          <w:color w:val="FFFFFF"/>
          <w:sz w:val="2"/>
          <w:szCs w:val="2"/>
          <w:rtl/>
        </w:rPr>
        <w:t>54678313</w:t>
      </w:r>
    </w:p>
    <w:p w14:paraId="031CB4A1" w14:textId="77777777" w:rsidR="00773D67" w:rsidRPr="000F2247" w:rsidRDefault="00773D67" w:rsidP="00773D67">
      <w:pPr>
        <w:rPr>
          <w:rFonts w:ascii="Arial" w:hAnsi="Arial"/>
          <w:b/>
          <w:bCs/>
          <w:sz w:val="26"/>
          <w:szCs w:val="26"/>
          <w:rtl/>
        </w:rPr>
      </w:pPr>
    </w:p>
    <w:p w14:paraId="7F4A3410" w14:textId="77777777" w:rsidR="00773D67" w:rsidRPr="000F2247" w:rsidRDefault="00FC405D" w:rsidP="00773D67">
      <w:pPr>
        <w:rPr>
          <w:rFonts w:ascii="Arial" w:hAnsi="Arial"/>
          <w:b/>
          <w:bCs/>
          <w:sz w:val="26"/>
          <w:szCs w:val="26"/>
          <w:rtl/>
        </w:rPr>
      </w:pPr>
      <w:bookmarkStart w:id="7" w:name="Nitan"/>
      <w:r>
        <w:rPr>
          <w:rFonts w:ascii="Arial" w:hAnsi="Arial"/>
          <w:b/>
          <w:bCs/>
          <w:sz w:val="26"/>
          <w:szCs w:val="26"/>
          <w:rtl/>
        </w:rPr>
        <w:t xml:space="preserve">ניתן היום,  כ' תמוז תשפ"ב, 19 יולי 2022, בהעדר הצדדים. </w:t>
      </w:r>
      <w:bookmarkEnd w:id="7"/>
    </w:p>
    <w:p w14:paraId="5CBC5721" w14:textId="77777777" w:rsidR="00773D67" w:rsidRPr="000F2247" w:rsidRDefault="00773D67" w:rsidP="00FC405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676D92" w14:textId="77777777" w:rsidR="00773D67" w:rsidRPr="001943DF" w:rsidRDefault="001943DF" w:rsidP="00773D67">
      <w:pPr>
        <w:jc w:val="center"/>
        <w:rPr>
          <w:rFonts w:ascii="Arial" w:hAnsi="Arial"/>
          <w:b/>
          <w:bCs/>
          <w:color w:val="FFFFFF"/>
          <w:sz w:val="2"/>
          <w:szCs w:val="2"/>
          <w:rtl/>
        </w:rPr>
      </w:pPr>
      <w:r w:rsidRPr="001943DF">
        <w:rPr>
          <w:rFonts w:ascii="Arial" w:hAnsi="Arial"/>
          <w:b/>
          <w:bCs/>
          <w:color w:val="FFFFFF"/>
          <w:sz w:val="2"/>
          <w:szCs w:val="2"/>
          <w:rtl/>
        </w:rPr>
        <w:t>5129371</w:t>
      </w:r>
    </w:p>
    <w:p w14:paraId="5AE3590C" w14:textId="77777777" w:rsidR="00000FB1" w:rsidRPr="001943DF" w:rsidRDefault="001943DF" w:rsidP="00FC405D">
      <w:pPr>
        <w:keepNext/>
        <w:rPr>
          <w:rFonts w:ascii="David" w:hAnsi="David"/>
          <w:color w:val="FFFFFF"/>
          <w:sz w:val="2"/>
          <w:szCs w:val="2"/>
          <w:rtl/>
        </w:rPr>
      </w:pPr>
      <w:r w:rsidRPr="001943DF">
        <w:rPr>
          <w:rFonts w:ascii="David" w:hAnsi="David"/>
          <w:color w:val="FFFFFF"/>
          <w:sz w:val="2"/>
          <w:szCs w:val="2"/>
          <w:rtl/>
        </w:rPr>
        <w:t>54678313</w:t>
      </w:r>
    </w:p>
    <w:p w14:paraId="5EDC077C" w14:textId="77777777" w:rsidR="00FC405D" w:rsidRPr="00FC405D" w:rsidRDefault="00FC405D" w:rsidP="00FC405D">
      <w:pPr>
        <w:keepNext/>
        <w:rPr>
          <w:rFonts w:ascii="David" w:hAnsi="David"/>
          <w:color w:val="000000"/>
          <w:sz w:val="22"/>
          <w:szCs w:val="22"/>
          <w:rtl/>
        </w:rPr>
      </w:pPr>
      <w:r w:rsidRPr="00FC405D">
        <w:rPr>
          <w:rFonts w:ascii="David" w:hAnsi="David"/>
          <w:color w:val="000000"/>
          <w:sz w:val="22"/>
          <w:szCs w:val="22"/>
          <w:rtl/>
        </w:rPr>
        <w:t>דניאל פיש 54678313</w:t>
      </w:r>
    </w:p>
    <w:p w14:paraId="3A180FFE" w14:textId="77777777" w:rsidR="00FC405D" w:rsidRDefault="00FC405D" w:rsidP="00FC405D">
      <w:r w:rsidRPr="00FC405D">
        <w:rPr>
          <w:color w:val="000000"/>
          <w:rtl/>
        </w:rPr>
        <w:t>נוסח מסמך זה כפוף לשינויי ניסוח ועריכה</w:t>
      </w:r>
    </w:p>
    <w:p w14:paraId="482A44FC" w14:textId="77777777" w:rsidR="00FC405D" w:rsidRDefault="00FC405D" w:rsidP="00FC405D">
      <w:pPr>
        <w:rPr>
          <w:rtl/>
        </w:rPr>
      </w:pPr>
    </w:p>
    <w:p w14:paraId="18A55CDA" w14:textId="77777777" w:rsidR="00FC405D" w:rsidRDefault="00FC405D" w:rsidP="00FC405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AE7E0DA" w14:textId="77777777" w:rsidR="001943DF" w:rsidRPr="001943DF" w:rsidRDefault="001943DF" w:rsidP="001943DF">
      <w:pPr>
        <w:keepNext/>
        <w:rPr>
          <w:rFonts w:ascii="David" w:hAnsi="David"/>
          <w:color w:val="000000"/>
          <w:sz w:val="22"/>
          <w:szCs w:val="22"/>
          <w:rtl/>
        </w:rPr>
      </w:pPr>
    </w:p>
    <w:sectPr w:rsidR="001943DF" w:rsidRPr="001943DF" w:rsidSect="001943DF">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BC0C3" w14:textId="77777777" w:rsidR="00F84D52" w:rsidRDefault="00F84D52" w:rsidP="00FA4014">
      <w:r>
        <w:separator/>
      </w:r>
    </w:p>
  </w:endnote>
  <w:endnote w:type="continuationSeparator" w:id="0">
    <w:p w14:paraId="62080EC0" w14:textId="77777777" w:rsidR="00F84D52" w:rsidRDefault="00F84D52" w:rsidP="00FA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DB479" w14:textId="77777777" w:rsidR="001943DF" w:rsidRDefault="001943DF" w:rsidP="001943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D1638B" w14:textId="77777777" w:rsidR="00DB7D33" w:rsidRPr="001943DF" w:rsidRDefault="001943DF" w:rsidP="001943DF">
    <w:pPr>
      <w:pStyle w:val="a5"/>
      <w:pBdr>
        <w:top w:val="single" w:sz="4" w:space="1" w:color="auto"/>
        <w:between w:val="single" w:sz="4" w:space="0" w:color="auto"/>
      </w:pBdr>
      <w:spacing w:after="60"/>
      <w:jc w:val="center"/>
      <w:rPr>
        <w:rFonts w:ascii="FrankRuehl" w:hAnsi="FrankRuehl" w:cs="FrankRuehl"/>
        <w:color w:val="000000"/>
      </w:rPr>
    </w:pPr>
    <w:r w:rsidRPr="001943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70E95" w14:textId="77777777" w:rsidR="001943DF" w:rsidRDefault="001943DF" w:rsidP="001943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1039">
      <w:rPr>
        <w:rFonts w:ascii="FrankRuehl" w:hAnsi="FrankRuehl" w:cs="FrankRuehl"/>
        <w:noProof/>
        <w:rtl/>
      </w:rPr>
      <w:t>1</w:t>
    </w:r>
    <w:r>
      <w:rPr>
        <w:rFonts w:ascii="FrankRuehl" w:hAnsi="FrankRuehl" w:cs="FrankRuehl"/>
        <w:rtl/>
      </w:rPr>
      <w:fldChar w:fldCharType="end"/>
    </w:r>
  </w:p>
  <w:p w14:paraId="732724CC" w14:textId="77777777" w:rsidR="00DB7D33" w:rsidRPr="001943DF" w:rsidRDefault="001943DF" w:rsidP="001943DF">
    <w:pPr>
      <w:pStyle w:val="a5"/>
      <w:pBdr>
        <w:top w:val="single" w:sz="4" w:space="1" w:color="auto"/>
        <w:between w:val="single" w:sz="4" w:space="0" w:color="auto"/>
      </w:pBdr>
      <w:spacing w:after="60"/>
      <w:jc w:val="center"/>
      <w:rPr>
        <w:rFonts w:ascii="FrankRuehl" w:hAnsi="FrankRuehl" w:cs="FrankRuehl"/>
        <w:color w:val="000000"/>
      </w:rPr>
    </w:pPr>
    <w:r w:rsidRPr="001943DF">
      <w:rPr>
        <w:rFonts w:ascii="FrankRuehl" w:hAnsi="FrankRuehl" w:cs="FrankRuehl"/>
        <w:color w:val="000000"/>
      </w:rPr>
      <w:pict w14:anchorId="0C76B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2198F" w14:textId="77777777" w:rsidR="00F84D52" w:rsidRDefault="00F84D52" w:rsidP="00FA4014">
      <w:r>
        <w:separator/>
      </w:r>
    </w:p>
  </w:footnote>
  <w:footnote w:type="continuationSeparator" w:id="0">
    <w:p w14:paraId="4F94FE57" w14:textId="77777777" w:rsidR="00F84D52" w:rsidRDefault="00F84D52" w:rsidP="00FA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9934" w14:textId="77777777" w:rsidR="00FC405D" w:rsidRPr="001943DF" w:rsidRDefault="001943DF" w:rsidP="001943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54202-12-21</w:t>
    </w:r>
    <w:r>
      <w:rPr>
        <w:rFonts w:ascii="David" w:hAnsi="David"/>
        <w:color w:val="000000"/>
        <w:sz w:val="22"/>
        <w:szCs w:val="22"/>
        <w:rtl/>
      </w:rPr>
      <w:tab/>
      <w:t xml:space="preserve"> מדינת ישראל נ' בלאל אבו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70AFF" w14:textId="77777777" w:rsidR="00FC405D" w:rsidRPr="001943DF" w:rsidRDefault="001943DF" w:rsidP="001943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54202-12-21</w:t>
    </w:r>
    <w:r>
      <w:rPr>
        <w:rFonts w:ascii="David" w:hAnsi="David"/>
        <w:color w:val="000000"/>
        <w:sz w:val="22"/>
        <w:szCs w:val="22"/>
        <w:rtl/>
      </w:rPr>
      <w:tab/>
      <w:t xml:space="preserve"> מדינת ישראל נ' בלאל אבו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0D8"/>
    <w:multiLevelType w:val="hybridMultilevel"/>
    <w:tmpl w:val="F52E89D4"/>
    <w:lvl w:ilvl="0" w:tplc="44F258FA">
      <w:start w:val="4"/>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0561768"/>
    <w:multiLevelType w:val="hybridMultilevel"/>
    <w:tmpl w:val="6D1C567A"/>
    <w:lvl w:ilvl="0" w:tplc="B97660D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04A89"/>
    <w:multiLevelType w:val="hybridMultilevel"/>
    <w:tmpl w:val="A566A1F2"/>
    <w:lvl w:ilvl="0" w:tplc="4C8AC6DE">
      <w:start w:val="1"/>
      <w:numFmt w:val="bullet"/>
      <w:lvlText w:val="-"/>
      <w:lvlJc w:val="left"/>
      <w:pPr>
        <w:ind w:left="1080" w:hanging="360"/>
      </w:pPr>
      <w:rPr>
        <w:rFonts w:ascii="David" w:eastAsia="Times New Roman" w:hAnsi="David" w:cs="David"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054326">
    <w:abstractNumId w:val="1"/>
  </w:num>
  <w:num w:numId="2" w16cid:durableId="434517755">
    <w:abstractNumId w:val="2"/>
  </w:num>
  <w:num w:numId="3" w16cid:durableId="192872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3D67"/>
    <w:rsid w:val="00000FB1"/>
    <w:rsid w:val="001943DF"/>
    <w:rsid w:val="001B5A3B"/>
    <w:rsid w:val="006500F5"/>
    <w:rsid w:val="00724ABC"/>
    <w:rsid w:val="00773D67"/>
    <w:rsid w:val="009636E2"/>
    <w:rsid w:val="00B429A6"/>
    <w:rsid w:val="00D97F6B"/>
    <w:rsid w:val="00DB7D33"/>
    <w:rsid w:val="00E620EA"/>
    <w:rsid w:val="00EB1039"/>
    <w:rsid w:val="00F056DF"/>
    <w:rsid w:val="00F84D52"/>
    <w:rsid w:val="00FA4014"/>
    <w:rsid w:val="00FB6920"/>
    <w:rsid w:val="00FC4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9BE8EC"/>
  <w15:chartTrackingRefBased/>
  <w15:docId w15:val="{5BA10834-A3A2-4A47-95C3-F2EF6CBC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3D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3D67"/>
    <w:pPr>
      <w:tabs>
        <w:tab w:val="center" w:pos="4153"/>
        <w:tab w:val="right" w:pos="8306"/>
      </w:tabs>
    </w:pPr>
  </w:style>
  <w:style w:type="character" w:customStyle="1" w:styleId="a4">
    <w:name w:val="כותרת עליונה תו"/>
    <w:link w:val="a3"/>
    <w:rsid w:val="00773D67"/>
    <w:rPr>
      <w:rFonts w:ascii="Times New Roman" w:eastAsia="Times New Roman" w:hAnsi="Times New Roman" w:cs="David"/>
      <w:sz w:val="24"/>
      <w:szCs w:val="24"/>
    </w:rPr>
  </w:style>
  <w:style w:type="paragraph" w:styleId="a5">
    <w:name w:val="footer"/>
    <w:basedOn w:val="a"/>
    <w:link w:val="a6"/>
    <w:rsid w:val="00773D67"/>
    <w:pPr>
      <w:tabs>
        <w:tab w:val="center" w:pos="4153"/>
        <w:tab w:val="right" w:pos="8306"/>
      </w:tabs>
    </w:pPr>
  </w:style>
  <w:style w:type="character" w:customStyle="1" w:styleId="a6">
    <w:name w:val="כותרת תחתונה תו"/>
    <w:link w:val="a5"/>
    <w:rsid w:val="00773D67"/>
    <w:rPr>
      <w:rFonts w:ascii="Times New Roman" w:eastAsia="Times New Roman" w:hAnsi="Times New Roman" w:cs="David"/>
      <w:sz w:val="24"/>
      <w:szCs w:val="24"/>
    </w:rPr>
  </w:style>
  <w:style w:type="table" w:styleId="a7">
    <w:name w:val="Table Grid"/>
    <w:basedOn w:val="a1"/>
    <w:rsid w:val="00773D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3D67"/>
  </w:style>
  <w:style w:type="paragraph" w:styleId="a9">
    <w:name w:val="List Paragraph"/>
    <w:basedOn w:val="a"/>
    <w:qFormat/>
    <w:rsid w:val="00773D67"/>
    <w:pPr>
      <w:ind w:left="720"/>
      <w:contextualSpacing/>
    </w:pPr>
  </w:style>
  <w:style w:type="character" w:styleId="Hyperlink">
    <w:name w:val="Hyperlink"/>
    <w:rsid w:val="00FC4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7401739" TargetMode="External"/><Relationship Id="rId3" Type="http://schemas.openxmlformats.org/officeDocument/2006/relationships/settings" Target="settings.xml"/><Relationship Id="rId21" Type="http://schemas.openxmlformats.org/officeDocument/2006/relationships/hyperlink" Target="http://www.nevo.co.il/case/26905927"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2665467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2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842422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551742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27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6927619" TargetMode="External"/><Relationship Id="rId27" Type="http://schemas.openxmlformats.org/officeDocument/2006/relationships/hyperlink" Target="http://www.nevo.co.il/case/25694653" TargetMode="External"/><Relationship Id="rId30" Type="http://schemas.openxmlformats.org/officeDocument/2006/relationships/header" Target="header2.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10000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3473534</vt:i4>
      </vt:variant>
      <vt:variant>
        <vt:i4>60</vt:i4>
      </vt:variant>
      <vt:variant>
        <vt:i4>0</vt:i4>
      </vt:variant>
      <vt:variant>
        <vt:i4>5</vt:i4>
      </vt:variant>
      <vt:variant>
        <vt:lpwstr>http://www.nevo.co.il/case/25694653</vt:lpwstr>
      </vt:variant>
      <vt:variant>
        <vt:lpwstr/>
      </vt:variant>
      <vt:variant>
        <vt:i4>3407988</vt:i4>
      </vt:variant>
      <vt:variant>
        <vt:i4>57</vt:i4>
      </vt:variant>
      <vt:variant>
        <vt:i4>0</vt:i4>
      </vt:variant>
      <vt:variant>
        <vt:i4>5</vt:i4>
      </vt:variant>
      <vt:variant>
        <vt:lpwstr>http://www.nevo.co.il/case/27401739</vt:lpwstr>
      </vt:variant>
      <vt:variant>
        <vt:lpwstr/>
      </vt:variant>
      <vt:variant>
        <vt:i4>3604593</vt:i4>
      </vt:variant>
      <vt:variant>
        <vt:i4>54</vt:i4>
      </vt:variant>
      <vt:variant>
        <vt:i4>0</vt:i4>
      </vt:variant>
      <vt:variant>
        <vt:i4>5</vt:i4>
      </vt:variant>
      <vt:variant>
        <vt:lpwstr>http://www.nevo.co.il/case/26654673</vt:lpwstr>
      </vt:variant>
      <vt:variant>
        <vt:lpwstr/>
      </vt:variant>
      <vt:variant>
        <vt:i4>3145852</vt:i4>
      </vt:variant>
      <vt:variant>
        <vt:i4>51</vt:i4>
      </vt:variant>
      <vt:variant>
        <vt:i4>0</vt:i4>
      </vt:variant>
      <vt:variant>
        <vt:i4>5</vt:i4>
      </vt:variant>
      <vt:variant>
        <vt:lpwstr>http://www.nevo.co.il/case/28424228</vt:lpwstr>
      </vt:variant>
      <vt:variant>
        <vt:lpwstr/>
      </vt:variant>
      <vt:variant>
        <vt:i4>3276916</vt:i4>
      </vt:variant>
      <vt:variant>
        <vt:i4>48</vt:i4>
      </vt:variant>
      <vt:variant>
        <vt:i4>0</vt:i4>
      </vt:variant>
      <vt:variant>
        <vt:i4>5</vt:i4>
      </vt:variant>
      <vt:variant>
        <vt:lpwstr>http://www.nevo.co.il/case/25517429</vt:lpwstr>
      </vt:variant>
      <vt:variant>
        <vt:lpwstr/>
      </vt:variant>
      <vt:variant>
        <vt:i4>3997814</vt:i4>
      </vt:variant>
      <vt:variant>
        <vt:i4>45</vt:i4>
      </vt:variant>
      <vt:variant>
        <vt:i4>0</vt:i4>
      </vt:variant>
      <vt:variant>
        <vt:i4>5</vt:i4>
      </vt:variant>
      <vt:variant>
        <vt:lpwstr>http://www.nevo.co.il/case/26927619</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54202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בלאל אבו שהאב</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20220719</vt:lpwstr>
  </property>
  <property fmtid="{D5CDD505-2E9C-101B-9397-08002B2CF9AE}" pid="13" name="TYPE_N_DATE">
    <vt:lpwstr>39020220719</vt:lpwstr>
  </property>
  <property fmtid="{D5CDD505-2E9C-101B-9397-08002B2CF9AE}" pid="14" name="WORDNUMPAGES">
    <vt:lpwstr>6</vt:lpwstr>
  </property>
  <property fmtid="{D5CDD505-2E9C-101B-9397-08002B2CF9AE}" pid="15" name="TYPE_ABS_DATE">
    <vt:lpwstr>390020220719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26905927;26927619;25517429;28424228;26654673;27401739;25694653</vt:lpwstr>
  </property>
  <property fmtid="{D5CDD505-2E9C-101B-9397-08002B2CF9AE}" pid="36" name="LAWLISTTMP1">
    <vt:lpwstr>70301/144.a;144.b;029:3;192;275</vt:lpwstr>
  </property>
</Properties>
</file>