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E62BF" w:rsidRPr="00630411" w14:paraId="618CFB9C" w14:textId="77777777" w:rsidTr="006D13BB">
        <w:trPr>
          <w:trHeight w:hRule="exact" w:val="418"/>
          <w:jc w:val="center"/>
        </w:trPr>
        <w:tc>
          <w:tcPr>
            <w:tcW w:w="8721" w:type="dxa"/>
            <w:gridSpan w:val="2"/>
          </w:tcPr>
          <w:p w14:paraId="0EDA2368" w14:textId="77777777" w:rsidR="00DE62BF" w:rsidRPr="00630411" w:rsidRDefault="00DE62BF" w:rsidP="00E8410A">
            <w:pPr>
              <w:pStyle w:val="a3"/>
              <w:jc w:val="center"/>
              <w:rPr>
                <w:rFonts w:ascii="Tahoma" w:hAnsi="Tahoma" w:cs="Tahoma"/>
                <w:color w:val="000080"/>
                <w:rtl/>
              </w:rPr>
            </w:pPr>
            <w:bookmarkStart w:id="0" w:name="LastJudge"/>
            <w:r w:rsidRPr="00630411">
              <w:rPr>
                <w:rFonts w:ascii="Tahoma" w:hAnsi="Tahoma" w:cs="Tahoma"/>
                <w:b/>
                <w:bCs/>
                <w:color w:val="000080"/>
                <w:rtl/>
              </w:rPr>
              <w:t>בית המשפט המחוזי מרכז-לוד</w:t>
            </w:r>
          </w:p>
        </w:tc>
      </w:tr>
      <w:tr w:rsidR="00DE62BF" w:rsidRPr="00630411" w14:paraId="3DDAC993" w14:textId="77777777" w:rsidTr="006D13BB">
        <w:trPr>
          <w:trHeight w:val="337"/>
          <w:jc w:val="center"/>
        </w:trPr>
        <w:tc>
          <w:tcPr>
            <w:tcW w:w="5054" w:type="dxa"/>
          </w:tcPr>
          <w:p w14:paraId="789D7DAA" w14:textId="77777777" w:rsidR="00DE62BF" w:rsidRPr="00630411" w:rsidRDefault="00DE62BF" w:rsidP="00E8410A">
            <w:pPr>
              <w:rPr>
                <w:rFonts w:cs="FrankRuehl"/>
                <w:sz w:val="28"/>
                <w:szCs w:val="28"/>
                <w:rtl/>
              </w:rPr>
            </w:pPr>
            <w:r w:rsidRPr="00630411">
              <w:rPr>
                <w:rFonts w:cs="FrankRuehl"/>
                <w:sz w:val="28"/>
                <w:szCs w:val="28"/>
                <w:rtl/>
              </w:rPr>
              <w:t>ת"פ</w:t>
            </w:r>
            <w:r w:rsidRPr="00630411">
              <w:rPr>
                <w:rFonts w:cs="FrankRuehl" w:hint="cs"/>
                <w:sz w:val="28"/>
                <w:szCs w:val="28"/>
                <w:rtl/>
              </w:rPr>
              <w:t xml:space="preserve"> </w:t>
            </w:r>
            <w:r w:rsidRPr="00630411">
              <w:rPr>
                <w:rFonts w:cs="FrankRuehl"/>
                <w:sz w:val="28"/>
                <w:szCs w:val="28"/>
                <w:rtl/>
              </w:rPr>
              <w:t>58027-12-21</w:t>
            </w:r>
            <w:r w:rsidRPr="00630411">
              <w:rPr>
                <w:rFonts w:cs="FrankRuehl" w:hint="cs"/>
                <w:sz w:val="28"/>
                <w:szCs w:val="28"/>
                <w:rtl/>
              </w:rPr>
              <w:t xml:space="preserve"> </w:t>
            </w:r>
            <w:r w:rsidRPr="00630411">
              <w:rPr>
                <w:rFonts w:cs="FrankRuehl"/>
                <w:sz w:val="28"/>
                <w:szCs w:val="28"/>
                <w:rtl/>
              </w:rPr>
              <w:t>מדינת ישראל נ' חאג' יחיא ואח'</w:t>
            </w:r>
          </w:p>
          <w:p w14:paraId="4CEAD579" w14:textId="77777777" w:rsidR="00DE62BF" w:rsidRPr="00630411" w:rsidRDefault="00DE62BF" w:rsidP="00E8410A">
            <w:pPr>
              <w:pStyle w:val="a3"/>
              <w:rPr>
                <w:rFonts w:cs="FrankRuehl"/>
                <w:sz w:val="28"/>
                <w:szCs w:val="28"/>
                <w:rtl/>
              </w:rPr>
            </w:pPr>
          </w:p>
        </w:tc>
        <w:tc>
          <w:tcPr>
            <w:tcW w:w="3667" w:type="dxa"/>
          </w:tcPr>
          <w:p w14:paraId="680C6064" w14:textId="77777777" w:rsidR="00DE62BF" w:rsidRPr="00630411" w:rsidRDefault="00DE62BF" w:rsidP="00E8410A">
            <w:pPr>
              <w:pStyle w:val="a3"/>
              <w:jc w:val="right"/>
              <w:rPr>
                <w:rFonts w:cs="FrankRuehl"/>
                <w:sz w:val="28"/>
                <w:szCs w:val="28"/>
                <w:rtl/>
              </w:rPr>
            </w:pPr>
          </w:p>
        </w:tc>
      </w:tr>
    </w:tbl>
    <w:p w14:paraId="0D73DFCD" w14:textId="77777777" w:rsidR="00DE62BF" w:rsidRPr="00630411" w:rsidRDefault="00DE62BF" w:rsidP="00DE62BF">
      <w:pPr>
        <w:pStyle w:val="a3"/>
        <w:rPr>
          <w:rtl/>
        </w:rPr>
      </w:pPr>
      <w:r w:rsidRPr="0063041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E62BF" w:rsidRPr="00630411" w14:paraId="58872A73" w14:textId="77777777" w:rsidTr="00DE62BF">
        <w:trPr>
          <w:trHeight w:val="295"/>
          <w:jc w:val="center"/>
        </w:trPr>
        <w:tc>
          <w:tcPr>
            <w:tcW w:w="923" w:type="dxa"/>
            <w:tcBorders>
              <w:top w:val="nil"/>
              <w:left w:val="nil"/>
              <w:bottom w:val="nil"/>
              <w:right w:val="nil"/>
            </w:tcBorders>
            <w:shd w:val="clear" w:color="auto" w:fill="auto"/>
          </w:tcPr>
          <w:p w14:paraId="315D7552" w14:textId="77777777" w:rsidR="00DE62BF" w:rsidRPr="00630411" w:rsidRDefault="00DE62BF" w:rsidP="00DE62BF">
            <w:pPr>
              <w:jc w:val="both"/>
              <w:rPr>
                <w:rFonts w:ascii="David" w:hAnsi="David"/>
                <w:sz w:val="26"/>
                <w:szCs w:val="26"/>
              </w:rPr>
            </w:pPr>
            <w:r w:rsidRPr="0063041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96A86F4" w14:textId="77777777" w:rsidR="00DE62BF" w:rsidRPr="00630411" w:rsidRDefault="00DE62BF" w:rsidP="00E8410A">
            <w:pPr>
              <w:rPr>
                <w:rFonts w:ascii="David" w:hAnsi="David"/>
                <w:b/>
                <w:bCs/>
                <w:sz w:val="26"/>
                <w:szCs w:val="26"/>
                <w:rtl/>
              </w:rPr>
            </w:pPr>
            <w:r w:rsidRPr="00630411">
              <w:rPr>
                <w:rFonts w:ascii="David" w:hAnsi="David"/>
                <w:b/>
                <w:bCs/>
                <w:sz w:val="26"/>
                <w:szCs w:val="26"/>
                <w:rtl/>
              </w:rPr>
              <w:t>כבוד השופטת  מרב גרינברג</w:t>
            </w:r>
          </w:p>
          <w:p w14:paraId="36C83960" w14:textId="77777777" w:rsidR="00DE62BF" w:rsidRPr="00630411" w:rsidRDefault="00DE62BF" w:rsidP="00E8410A">
            <w:pPr>
              <w:rPr>
                <w:rFonts w:ascii="David" w:hAnsi="David"/>
                <w:sz w:val="26"/>
                <w:szCs w:val="26"/>
                <w:rtl/>
              </w:rPr>
            </w:pPr>
          </w:p>
          <w:p w14:paraId="3A4DDF95" w14:textId="77777777" w:rsidR="00DE62BF" w:rsidRPr="00630411" w:rsidRDefault="00DE62BF" w:rsidP="00DE62BF">
            <w:pPr>
              <w:jc w:val="both"/>
              <w:rPr>
                <w:rFonts w:ascii="David" w:hAnsi="David"/>
                <w:sz w:val="26"/>
                <w:szCs w:val="26"/>
              </w:rPr>
            </w:pPr>
          </w:p>
        </w:tc>
      </w:tr>
      <w:tr w:rsidR="00DE62BF" w:rsidRPr="00630411" w14:paraId="06CFF572" w14:textId="77777777" w:rsidTr="00DE62BF">
        <w:trPr>
          <w:trHeight w:val="355"/>
          <w:jc w:val="center"/>
        </w:trPr>
        <w:tc>
          <w:tcPr>
            <w:tcW w:w="923" w:type="dxa"/>
            <w:tcBorders>
              <w:top w:val="nil"/>
              <w:left w:val="nil"/>
              <w:bottom w:val="nil"/>
              <w:right w:val="nil"/>
            </w:tcBorders>
            <w:shd w:val="clear" w:color="auto" w:fill="auto"/>
          </w:tcPr>
          <w:p w14:paraId="54745704" w14:textId="77777777" w:rsidR="00DE62BF" w:rsidRPr="00630411" w:rsidRDefault="00DE62BF" w:rsidP="00DE62BF">
            <w:pPr>
              <w:jc w:val="both"/>
              <w:rPr>
                <w:rFonts w:ascii="David" w:hAnsi="David"/>
                <w:sz w:val="26"/>
                <w:szCs w:val="26"/>
              </w:rPr>
            </w:pPr>
            <w:bookmarkStart w:id="1" w:name="FirstAppellant"/>
            <w:bookmarkStart w:id="2" w:name="FirstLawyer"/>
            <w:r w:rsidRPr="00630411">
              <w:rPr>
                <w:rFonts w:ascii="David" w:hAnsi="David"/>
                <w:sz w:val="26"/>
                <w:szCs w:val="26"/>
                <w:rtl/>
              </w:rPr>
              <w:t>בעניין:</w:t>
            </w:r>
          </w:p>
        </w:tc>
        <w:tc>
          <w:tcPr>
            <w:tcW w:w="3219" w:type="dxa"/>
            <w:tcBorders>
              <w:top w:val="nil"/>
              <w:left w:val="nil"/>
              <w:bottom w:val="nil"/>
              <w:right w:val="nil"/>
            </w:tcBorders>
            <w:shd w:val="clear" w:color="auto" w:fill="auto"/>
          </w:tcPr>
          <w:p w14:paraId="0E3B1B1C" w14:textId="77777777" w:rsidR="00DE62BF" w:rsidRPr="00630411" w:rsidRDefault="00DE62BF" w:rsidP="00DE62BF">
            <w:pPr>
              <w:suppressLineNumbers/>
            </w:pPr>
            <w:r w:rsidRPr="00630411">
              <w:rPr>
                <w:rFonts w:ascii="Arial" w:hAnsi="Arial" w:hint="cs"/>
                <w:b/>
                <w:bCs/>
                <w:sz w:val="26"/>
                <w:szCs w:val="26"/>
                <w:rtl/>
              </w:rPr>
              <w:t>ה</w:t>
            </w:r>
            <w:r w:rsidRPr="00630411">
              <w:rPr>
                <w:rFonts w:ascii="Arial" w:hAnsi="Arial"/>
                <w:b/>
                <w:bCs/>
                <w:sz w:val="26"/>
                <w:szCs w:val="26"/>
                <w:rtl/>
              </w:rPr>
              <w:t>מאשימה</w:t>
            </w:r>
          </w:p>
          <w:p w14:paraId="0C8BAECF" w14:textId="77777777" w:rsidR="00DE62BF" w:rsidRPr="00630411" w:rsidRDefault="00DE62BF" w:rsidP="00E8410A">
            <w:pPr>
              <w:rPr>
                <w:rFonts w:ascii="David" w:hAnsi="David"/>
                <w:sz w:val="26"/>
                <w:szCs w:val="26"/>
              </w:rPr>
            </w:pPr>
          </w:p>
        </w:tc>
        <w:tc>
          <w:tcPr>
            <w:tcW w:w="4678" w:type="dxa"/>
            <w:tcBorders>
              <w:top w:val="nil"/>
              <w:left w:val="nil"/>
              <w:bottom w:val="nil"/>
              <w:right w:val="nil"/>
            </w:tcBorders>
            <w:shd w:val="clear" w:color="auto" w:fill="auto"/>
            <w:vAlign w:val="center"/>
          </w:tcPr>
          <w:p w14:paraId="65BDE010" w14:textId="77777777" w:rsidR="00DE62BF" w:rsidRPr="00630411" w:rsidRDefault="00DE62BF" w:rsidP="00DE62BF">
            <w:pPr>
              <w:suppressLineNumbers/>
              <w:rPr>
                <w:rFonts w:ascii="Arial" w:hAnsi="Arial"/>
                <w:b/>
                <w:bCs/>
                <w:sz w:val="26"/>
                <w:szCs w:val="26"/>
                <w:rtl/>
              </w:rPr>
            </w:pPr>
            <w:r w:rsidRPr="00630411">
              <w:rPr>
                <w:rFonts w:ascii="Arial" w:hAnsi="Arial"/>
                <w:b/>
                <w:bCs/>
                <w:sz w:val="26"/>
                <w:szCs w:val="26"/>
                <w:rtl/>
              </w:rPr>
              <w:t>מדינת ישראל</w:t>
            </w:r>
            <w:r w:rsidRPr="00630411">
              <w:rPr>
                <w:rFonts w:ascii="Arial" w:hAnsi="Arial" w:hint="cs"/>
                <w:b/>
                <w:bCs/>
                <w:sz w:val="26"/>
                <w:szCs w:val="26"/>
                <w:rtl/>
              </w:rPr>
              <w:t xml:space="preserve"> </w:t>
            </w:r>
          </w:p>
          <w:p w14:paraId="4049ADBD" w14:textId="77777777" w:rsidR="00DE62BF" w:rsidRPr="00630411" w:rsidRDefault="00DE62BF" w:rsidP="00DE62BF">
            <w:pPr>
              <w:suppressLineNumbers/>
              <w:rPr>
                <w:rFonts w:ascii="Arial" w:hAnsi="Arial"/>
                <w:b/>
                <w:bCs/>
                <w:sz w:val="26"/>
                <w:szCs w:val="26"/>
              </w:rPr>
            </w:pPr>
            <w:r w:rsidRPr="00630411">
              <w:rPr>
                <w:rFonts w:ascii="Arial" w:hAnsi="Arial"/>
                <w:b/>
                <w:bCs/>
                <w:sz w:val="26"/>
                <w:szCs w:val="26"/>
                <w:rtl/>
              </w:rPr>
              <w:t>ע"י ב"כ עוה"ד</w:t>
            </w:r>
            <w:r w:rsidRPr="00630411">
              <w:rPr>
                <w:rFonts w:hint="cs"/>
                <w:rtl/>
              </w:rPr>
              <w:t xml:space="preserve"> </w:t>
            </w:r>
            <w:r w:rsidRPr="00630411">
              <w:rPr>
                <w:rFonts w:ascii="Arial" w:hAnsi="Arial" w:hint="cs"/>
                <w:b/>
                <w:bCs/>
                <w:sz w:val="26"/>
                <w:szCs w:val="26"/>
                <w:rtl/>
              </w:rPr>
              <w:t>ליטל שירי</w:t>
            </w:r>
          </w:p>
          <w:p w14:paraId="659B0306" w14:textId="77777777" w:rsidR="00DE62BF" w:rsidRPr="00630411" w:rsidRDefault="00DE62BF" w:rsidP="00E8410A">
            <w:pPr>
              <w:rPr>
                <w:rFonts w:ascii="David" w:hAnsi="David"/>
                <w:sz w:val="26"/>
                <w:szCs w:val="26"/>
              </w:rPr>
            </w:pPr>
          </w:p>
        </w:tc>
      </w:tr>
      <w:bookmarkEnd w:id="1"/>
      <w:bookmarkEnd w:id="2"/>
      <w:tr w:rsidR="00DE62BF" w:rsidRPr="00630411" w14:paraId="78883689" w14:textId="77777777" w:rsidTr="00DE62BF">
        <w:trPr>
          <w:trHeight w:val="355"/>
          <w:jc w:val="center"/>
        </w:trPr>
        <w:tc>
          <w:tcPr>
            <w:tcW w:w="923" w:type="dxa"/>
            <w:tcBorders>
              <w:top w:val="nil"/>
              <w:left w:val="nil"/>
              <w:bottom w:val="nil"/>
              <w:right w:val="nil"/>
            </w:tcBorders>
            <w:shd w:val="clear" w:color="auto" w:fill="auto"/>
          </w:tcPr>
          <w:p w14:paraId="7307B7FB" w14:textId="77777777" w:rsidR="00DE62BF" w:rsidRPr="00630411" w:rsidRDefault="00DE62BF" w:rsidP="00DE62B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A2A006A" w14:textId="77777777" w:rsidR="00DE62BF" w:rsidRPr="00630411" w:rsidRDefault="00DE62BF" w:rsidP="00DE62BF">
            <w:pPr>
              <w:jc w:val="center"/>
              <w:rPr>
                <w:rFonts w:ascii="David" w:hAnsi="David"/>
                <w:b/>
                <w:bCs/>
                <w:sz w:val="26"/>
                <w:szCs w:val="26"/>
                <w:rtl/>
              </w:rPr>
            </w:pPr>
          </w:p>
          <w:p w14:paraId="085E891A" w14:textId="77777777" w:rsidR="00DE62BF" w:rsidRPr="00630411" w:rsidRDefault="00DE62BF" w:rsidP="00DE62BF">
            <w:pPr>
              <w:jc w:val="center"/>
              <w:rPr>
                <w:rFonts w:ascii="David" w:hAnsi="David"/>
                <w:b/>
                <w:bCs/>
                <w:sz w:val="26"/>
                <w:szCs w:val="26"/>
                <w:rtl/>
              </w:rPr>
            </w:pPr>
            <w:r w:rsidRPr="00630411">
              <w:rPr>
                <w:rFonts w:ascii="David" w:hAnsi="David"/>
                <w:b/>
                <w:bCs/>
                <w:sz w:val="26"/>
                <w:szCs w:val="26"/>
                <w:rtl/>
              </w:rPr>
              <w:t>נגד</w:t>
            </w:r>
          </w:p>
          <w:p w14:paraId="2DBE4C77" w14:textId="77777777" w:rsidR="00DE62BF" w:rsidRPr="00630411" w:rsidRDefault="00DE62BF" w:rsidP="00DE62BF">
            <w:pPr>
              <w:jc w:val="both"/>
              <w:rPr>
                <w:rFonts w:ascii="David" w:hAnsi="David"/>
                <w:sz w:val="26"/>
                <w:szCs w:val="26"/>
              </w:rPr>
            </w:pPr>
          </w:p>
        </w:tc>
      </w:tr>
      <w:tr w:rsidR="00DE62BF" w:rsidRPr="00630411" w14:paraId="671A6F5B" w14:textId="77777777" w:rsidTr="00DE62BF">
        <w:trPr>
          <w:trHeight w:val="355"/>
          <w:jc w:val="center"/>
        </w:trPr>
        <w:tc>
          <w:tcPr>
            <w:tcW w:w="923" w:type="dxa"/>
            <w:tcBorders>
              <w:top w:val="nil"/>
              <w:left w:val="nil"/>
              <w:bottom w:val="nil"/>
              <w:right w:val="nil"/>
            </w:tcBorders>
            <w:shd w:val="clear" w:color="auto" w:fill="auto"/>
          </w:tcPr>
          <w:p w14:paraId="1CA126A6" w14:textId="77777777" w:rsidR="00DE62BF" w:rsidRPr="00630411" w:rsidRDefault="00DE62BF" w:rsidP="00E8410A">
            <w:pPr>
              <w:rPr>
                <w:rFonts w:ascii="David" w:hAnsi="David"/>
                <w:sz w:val="26"/>
                <w:szCs w:val="26"/>
                <w:rtl/>
              </w:rPr>
            </w:pPr>
          </w:p>
        </w:tc>
        <w:tc>
          <w:tcPr>
            <w:tcW w:w="3219" w:type="dxa"/>
            <w:tcBorders>
              <w:top w:val="nil"/>
              <w:left w:val="nil"/>
              <w:bottom w:val="nil"/>
              <w:right w:val="nil"/>
            </w:tcBorders>
            <w:shd w:val="clear" w:color="auto" w:fill="auto"/>
          </w:tcPr>
          <w:p w14:paraId="6D5471F6" w14:textId="77777777" w:rsidR="00DE62BF" w:rsidRPr="00630411" w:rsidRDefault="00DE62BF" w:rsidP="00E8410A">
            <w:pPr>
              <w:rPr>
                <w:rFonts w:ascii="Arial" w:hAnsi="Arial"/>
                <w:b/>
                <w:bCs/>
                <w:sz w:val="26"/>
                <w:szCs w:val="26"/>
                <w:rtl/>
              </w:rPr>
            </w:pPr>
            <w:r w:rsidRPr="00630411">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5BA4EB64" w14:textId="77777777" w:rsidR="00DE62BF" w:rsidRPr="00630411" w:rsidRDefault="00DE62BF" w:rsidP="00E8410A">
            <w:pPr>
              <w:rPr>
                <w:rFonts w:ascii="David" w:hAnsi="David"/>
                <w:sz w:val="26"/>
                <w:szCs w:val="26"/>
              </w:rPr>
            </w:pPr>
          </w:p>
          <w:p w14:paraId="60E75370" w14:textId="77777777" w:rsidR="00DE62BF" w:rsidRPr="00630411" w:rsidRDefault="00DE62BF" w:rsidP="00DE62BF">
            <w:pPr>
              <w:suppressLineNumbers/>
            </w:pPr>
            <w:r w:rsidRPr="00630411">
              <w:rPr>
                <w:rFonts w:ascii="Arial" w:hAnsi="Arial"/>
                <w:b/>
                <w:bCs/>
                <w:sz w:val="26"/>
                <w:szCs w:val="26"/>
                <w:rtl/>
              </w:rPr>
              <w:t>1. איסלם חאג' יחיא</w:t>
            </w:r>
            <w:r w:rsidRPr="00630411">
              <w:rPr>
                <w:rFonts w:ascii="Arial" w:hAnsi="Arial" w:hint="cs"/>
                <w:b/>
                <w:bCs/>
                <w:sz w:val="26"/>
                <w:szCs w:val="26"/>
                <w:rtl/>
              </w:rPr>
              <w:t xml:space="preserve"> </w:t>
            </w:r>
          </w:p>
          <w:p w14:paraId="2578D00C" w14:textId="77777777" w:rsidR="00DE62BF" w:rsidRPr="00630411" w:rsidRDefault="00DE62BF" w:rsidP="00DE62BF">
            <w:pPr>
              <w:suppressLineNumbers/>
              <w:rPr>
                <w:rFonts w:ascii="Arial" w:hAnsi="Arial"/>
                <w:b/>
                <w:bCs/>
                <w:sz w:val="26"/>
                <w:szCs w:val="26"/>
                <w:rtl/>
              </w:rPr>
            </w:pPr>
            <w:r w:rsidRPr="00630411">
              <w:rPr>
                <w:rFonts w:ascii="Arial" w:hAnsi="Arial"/>
                <w:b/>
                <w:bCs/>
                <w:sz w:val="26"/>
                <w:szCs w:val="26"/>
                <w:rtl/>
              </w:rPr>
              <w:t>2. אכראמה חאג' יחיא</w:t>
            </w:r>
            <w:r w:rsidRPr="00630411">
              <w:rPr>
                <w:rFonts w:ascii="Arial" w:hAnsi="Arial" w:hint="cs"/>
                <w:b/>
                <w:bCs/>
                <w:sz w:val="26"/>
                <w:szCs w:val="26"/>
                <w:rtl/>
              </w:rPr>
              <w:t xml:space="preserve"> </w:t>
            </w:r>
          </w:p>
          <w:p w14:paraId="26D22677" w14:textId="77777777" w:rsidR="00DE62BF" w:rsidRPr="00630411" w:rsidRDefault="00DE62BF" w:rsidP="00DE62BF">
            <w:pPr>
              <w:suppressLineNumbers/>
            </w:pPr>
            <w:r w:rsidRPr="00630411">
              <w:rPr>
                <w:rFonts w:ascii="Arial" w:hAnsi="Arial" w:hint="cs"/>
                <w:b/>
                <w:bCs/>
                <w:sz w:val="26"/>
                <w:szCs w:val="26"/>
                <w:rtl/>
              </w:rPr>
              <w:t xml:space="preserve">שניהם </w:t>
            </w:r>
            <w:r w:rsidRPr="00630411">
              <w:rPr>
                <w:rFonts w:ascii="Arial" w:hAnsi="Arial"/>
                <w:b/>
                <w:bCs/>
                <w:sz w:val="26"/>
                <w:szCs w:val="26"/>
                <w:rtl/>
              </w:rPr>
              <w:t>ע"י ב"כ עוה"ד</w:t>
            </w:r>
            <w:r w:rsidRPr="00630411">
              <w:rPr>
                <w:rFonts w:ascii="Arial" w:hAnsi="Arial" w:hint="cs"/>
                <w:b/>
                <w:bCs/>
                <w:sz w:val="26"/>
                <w:szCs w:val="26"/>
                <w:rtl/>
              </w:rPr>
              <w:t xml:space="preserve"> חיים שוורצברג</w:t>
            </w:r>
          </w:p>
        </w:tc>
      </w:tr>
    </w:tbl>
    <w:p w14:paraId="7C2EE4E0" w14:textId="77777777" w:rsidR="00630411" w:rsidRPr="00630411" w:rsidRDefault="00630411" w:rsidP="00630411">
      <w:pPr>
        <w:spacing w:before="120" w:after="120" w:line="240" w:lineRule="exact"/>
        <w:ind w:left="283" w:hanging="283"/>
        <w:jc w:val="both"/>
        <w:rPr>
          <w:rFonts w:ascii="FrankRuehl" w:hAnsi="FrankRuehl" w:cs="FrankRuehl"/>
          <w:rtl/>
        </w:rPr>
      </w:pPr>
    </w:p>
    <w:p w14:paraId="2E0F5804" w14:textId="77777777" w:rsidR="00630411" w:rsidRPr="00630411" w:rsidRDefault="00630411" w:rsidP="00630411">
      <w:pPr>
        <w:rPr>
          <w:sz w:val="26"/>
          <w:szCs w:val="26"/>
          <w:rtl/>
        </w:rPr>
      </w:pPr>
    </w:p>
    <w:p w14:paraId="1DB067FF" w14:textId="77777777" w:rsidR="006D13BB" w:rsidRPr="006D13BB" w:rsidRDefault="006D13BB" w:rsidP="006D13BB">
      <w:pPr>
        <w:spacing w:before="120" w:after="120" w:line="240" w:lineRule="exact"/>
        <w:ind w:left="283" w:hanging="283"/>
        <w:jc w:val="both"/>
        <w:rPr>
          <w:rFonts w:ascii="FrankRuehl" w:hAnsi="FrankRuehl" w:cs="FrankRuehl"/>
          <w:rtl/>
        </w:rPr>
      </w:pPr>
    </w:p>
    <w:p w14:paraId="1392739C" w14:textId="77777777" w:rsidR="00C80048" w:rsidRPr="00C80048" w:rsidRDefault="00C80048" w:rsidP="00C80048">
      <w:pPr>
        <w:spacing w:before="120" w:after="120" w:line="240" w:lineRule="exact"/>
        <w:ind w:left="283" w:hanging="283"/>
        <w:jc w:val="both"/>
        <w:rPr>
          <w:rFonts w:ascii="FrankRuehl" w:hAnsi="FrankRuehl" w:cs="FrankRuehl"/>
          <w:rtl/>
        </w:rPr>
      </w:pPr>
    </w:p>
    <w:p w14:paraId="7469F692" w14:textId="77777777" w:rsidR="00871D1B" w:rsidRDefault="00871D1B" w:rsidP="00871D1B">
      <w:pPr>
        <w:rPr>
          <w:sz w:val="26"/>
          <w:szCs w:val="26"/>
          <w:rtl/>
        </w:rPr>
      </w:pPr>
      <w:bookmarkStart w:id="3" w:name="LawTable"/>
      <w:bookmarkEnd w:id="3"/>
    </w:p>
    <w:p w14:paraId="20252325" w14:textId="77777777" w:rsidR="00871D1B" w:rsidRPr="00871D1B" w:rsidRDefault="00871D1B" w:rsidP="00871D1B">
      <w:pPr>
        <w:spacing w:before="120" w:after="120" w:line="240" w:lineRule="exact"/>
        <w:ind w:left="283" w:hanging="283"/>
        <w:jc w:val="both"/>
        <w:rPr>
          <w:rFonts w:ascii="FrankRuehl" w:hAnsi="FrankRuehl" w:cs="FrankRuehl"/>
          <w:rtl/>
        </w:rPr>
      </w:pPr>
    </w:p>
    <w:p w14:paraId="4BC20FB1" w14:textId="77777777" w:rsidR="00871D1B" w:rsidRPr="00871D1B" w:rsidRDefault="00871D1B" w:rsidP="00871D1B">
      <w:pPr>
        <w:spacing w:before="120" w:after="120" w:line="240" w:lineRule="exact"/>
        <w:ind w:left="283" w:hanging="283"/>
        <w:jc w:val="both"/>
        <w:rPr>
          <w:rFonts w:ascii="FrankRuehl" w:hAnsi="FrankRuehl" w:cs="FrankRuehl"/>
          <w:rtl/>
        </w:rPr>
      </w:pPr>
    </w:p>
    <w:p w14:paraId="6EE0DD8D" w14:textId="77777777" w:rsidR="00871D1B" w:rsidRPr="00871D1B" w:rsidRDefault="00871D1B" w:rsidP="00871D1B">
      <w:pPr>
        <w:spacing w:before="120" w:after="120" w:line="240" w:lineRule="exact"/>
        <w:ind w:left="283" w:hanging="283"/>
        <w:jc w:val="both"/>
        <w:rPr>
          <w:rFonts w:ascii="FrankRuehl" w:hAnsi="FrankRuehl" w:cs="FrankRuehl"/>
          <w:rtl/>
        </w:rPr>
      </w:pPr>
      <w:r w:rsidRPr="00871D1B">
        <w:rPr>
          <w:rFonts w:ascii="FrankRuehl" w:hAnsi="FrankRuehl" w:cs="FrankRuehl"/>
          <w:rtl/>
        </w:rPr>
        <w:t xml:space="preserve">חקיקה שאוזכרה: </w:t>
      </w:r>
    </w:p>
    <w:p w14:paraId="43A06BC6" w14:textId="77777777" w:rsidR="00871D1B" w:rsidRPr="00871D1B" w:rsidRDefault="00871D1B" w:rsidP="00871D1B">
      <w:pPr>
        <w:spacing w:before="120" w:after="120" w:line="240" w:lineRule="exact"/>
        <w:ind w:left="283" w:hanging="283"/>
        <w:jc w:val="both"/>
        <w:rPr>
          <w:rFonts w:ascii="FrankRuehl" w:hAnsi="FrankRuehl" w:cs="FrankRuehl"/>
          <w:rtl/>
        </w:rPr>
      </w:pPr>
      <w:hyperlink r:id="rId7" w:history="1">
        <w:r w:rsidRPr="00871D1B">
          <w:rPr>
            <w:rFonts w:ascii="FrankRuehl" w:hAnsi="FrankRuehl" w:cs="FrankRuehl"/>
            <w:color w:val="0000FF"/>
            <w:rtl/>
          </w:rPr>
          <w:t>חוק העונשין, תשל"ז-1977</w:t>
        </w:r>
      </w:hyperlink>
      <w:r w:rsidRPr="00871D1B">
        <w:rPr>
          <w:rFonts w:ascii="FrankRuehl" w:hAnsi="FrankRuehl" w:cs="FrankRuehl"/>
          <w:rtl/>
        </w:rPr>
        <w:t xml:space="preserve">: סע'  </w:t>
      </w:r>
      <w:hyperlink r:id="rId8" w:history="1">
        <w:r w:rsidRPr="00871D1B">
          <w:rPr>
            <w:rFonts w:ascii="FrankRuehl" w:hAnsi="FrankRuehl" w:cs="FrankRuehl"/>
            <w:color w:val="0000FF"/>
            <w:rtl/>
          </w:rPr>
          <w:t>144(ב)</w:t>
        </w:r>
      </w:hyperlink>
      <w:r w:rsidRPr="00871D1B">
        <w:rPr>
          <w:rFonts w:ascii="FrankRuehl" w:hAnsi="FrankRuehl" w:cs="FrankRuehl"/>
          <w:rtl/>
        </w:rPr>
        <w:t xml:space="preserve">, </w:t>
      </w:r>
      <w:hyperlink r:id="rId9" w:history="1">
        <w:r w:rsidRPr="00871D1B">
          <w:rPr>
            <w:rFonts w:ascii="FrankRuehl" w:hAnsi="FrankRuehl" w:cs="FrankRuehl"/>
            <w:color w:val="0000FF"/>
            <w:rtl/>
          </w:rPr>
          <w:t>192</w:t>
        </w:r>
      </w:hyperlink>
      <w:r w:rsidRPr="00871D1B">
        <w:rPr>
          <w:rFonts w:ascii="FrankRuehl" w:hAnsi="FrankRuehl" w:cs="FrankRuehl"/>
          <w:rtl/>
        </w:rPr>
        <w:t xml:space="preserve">, </w:t>
      </w:r>
      <w:hyperlink r:id="rId10" w:history="1">
        <w:r w:rsidRPr="00871D1B">
          <w:rPr>
            <w:rFonts w:ascii="FrankRuehl" w:hAnsi="FrankRuehl" w:cs="FrankRuehl"/>
            <w:color w:val="0000FF"/>
            <w:rtl/>
          </w:rPr>
          <w:t>340(א)</w:t>
        </w:r>
      </w:hyperlink>
      <w:r w:rsidRPr="00871D1B">
        <w:rPr>
          <w:rFonts w:ascii="FrankRuehl" w:hAnsi="FrankRuehl" w:cs="FrankRuehl"/>
          <w:rtl/>
        </w:rPr>
        <w:t xml:space="preserve">, </w:t>
      </w:r>
      <w:hyperlink r:id="rId11" w:history="1">
        <w:r w:rsidRPr="00871D1B">
          <w:rPr>
            <w:rFonts w:ascii="FrankRuehl" w:hAnsi="FrankRuehl" w:cs="FrankRuehl"/>
            <w:color w:val="0000FF"/>
            <w:rtl/>
          </w:rPr>
          <w:t>340א</w:t>
        </w:r>
      </w:hyperlink>
      <w:r w:rsidRPr="00871D1B">
        <w:rPr>
          <w:rFonts w:ascii="FrankRuehl" w:hAnsi="FrankRuehl" w:cs="FrankRuehl"/>
          <w:rtl/>
        </w:rPr>
        <w:t xml:space="preserve">, </w:t>
      </w:r>
      <w:hyperlink r:id="rId12" w:history="1">
        <w:r w:rsidRPr="00871D1B">
          <w:rPr>
            <w:rFonts w:ascii="FrankRuehl" w:hAnsi="FrankRuehl" w:cs="FrankRuehl"/>
            <w:color w:val="0000FF"/>
            <w:rtl/>
          </w:rPr>
          <w:t>340א(ב)(1)</w:t>
        </w:r>
      </w:hyperlink>
    </w:p>
    <w:p w14:paraId="7C536703" w14:textId="77777777" w:rsidR="00871D1B" w:rsidRPr="00871D1B" w:rsidRDefault="00871D1B" w:rsidP="00871D1B">
      <w:pPr>
        <w:rPr>
          <w:sz w:val="26"/>
          <w:szCs w:val="26"/>
          <w:rtl/>
        </w:rPr>
      </w:pPr>
      <w:bookmarkStart w:id="4" w:name="LawTable_End"/>
      <w:bookmarkEnd w:id="4"/>
    </w:p>
    <w:p w14:paraId="26A3E75C" w14:textId="77777777" w:rsidR="006D13BB" w:rsidRPr="00C80048" w:rsidRDefault="006D13BB" w:rsidP="00C80048">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62BF" w14:paraId="67EE13BF" w14:textId="77777777" w:rsidTr="00DE62BF">
        <w:trPr>
          <w:trHeight w:val="355"/>
          <w:jc w:val="center"/>
        </w:trPr>
        <w:tc>
          <w:tcPr>
            <w:tcW w:w="8820" w:type="dxa"/>
            <w:tcBorders>
              <w:top w:val="nil"/>
              <w:left w:val="nil"/>
              <w:bottom w:val="nil"/>
              <w:right w:val="nil"/>
            </w:tcBorders>
            <w:shd w:val="clear" w:color="auto" w:fill="auto"/>
          </w:tcPr>
          <w:p w14:paraId="78EF8544" w14:textId="77777777" w:rsidR="00630411" w:rsidRPr="00630411" w:rsidRDefault="00630411" w:rsidP="00630411">
            <w:pPr>
              <w:jc w:val="center"/>
              <w:rPr>
                <w:rFonts w:ascii="David" w:hAnsi="David"/>
                <w:b/>
                <w:bCs/>
                <w:sz w:val="32"/>
                <w:szCs w:val="32"/>
                <w:u w:val="single"/>
                <w:rtl/>
              </w:rPr>
            </w:pPr>
            <w:bookmarkStart w:id="5" w:name="PsakDin" w:colFirst="0" w:colLast="0"/>
            <w:bookmarkEnd w:id="0"/>
            <w:r w:rsidRPr="00630411">
              <w:rPr>
                <w:rFonts w:ascii="David" w:hAnsi="David"/>
                <w:b/>
                <w:bCs/>
                <w:sz w:val="32"/>
                <w:szCs w:val="32"/>
                <w:u w:val="single"/>
                <w:rtl/>
              </w:rPr>
              <w:t>גזר דין</w:t>
            </w:r>
          </w:p>
          <w:p w14:paraId="17D88189" w14:textId="77777777" w:rsidR="00DE62BF" w:rsidRPr="00630411" w:rsidRDefault="00DE62BF" w:rsidP="00630411">
            <w:pPr>
              <w:jc w:val="center"/>
              <w:rPr>
                <w:rFonts w:ascii="David" w:hAnsi="David"/>
                <w:bCs/>
                <w:sz w:val="32"/>
                <w:szCs w:val="32"/>
                <w:u w:val="single"/>
                <w:rtl/>
              </w:rPr>
            </w:pPr>
          </w:p>
        </w:tc>
      </w:tr>
      <w:bookmarkEnd w:id="5"/>
    </w:tbl>
    <w:p w14:paraId="33788252" w14:textId="77777777" w:rsidR="00DE62BF" w:rsidRPr="000F2247" w:rsidRDefault="00DE62BF" w:rsidP="00DE62BF">
      <w:pPr>
        <w:rPr>
          <w:rFonts w:ascii="Arial" w:hAnsi="Arial"/>
          <w:b/>
          <w:bCs/>
          <w:sz w:val="26"/>
          <w:szCs w:val="26"/>
          <w:rtl/>
        </w:rPr>
      </w:pPr>
    </w:p>
    <w:p w14:paraId="312C47E6" w14:textId="77777777" w:rsidR="00DE62BF" w:rsidRDefault="00DE62BF" w:rsidP="00DE62BF">
      <w:pPr>
        <w:pStyle w:val="a9"/>
        <w:numPr>
          <w:ilvl w:val="0"/>
          <w:numId w:val="1"/>
        </w:numPr>
        <w:spacing w:line="360" w:lineRule="auto"/>
        <w:jc w:val="both"/>
        <w:rPr>
          <w:b/>
          <w:bCs/>
        </w:rPr>
      </w:pPr>
      <w:bookmarkStart w:id="6" w:name="ABSTRACT_START"/>
      <w:bookmarkEnd w:id="6"/>
      <w:r>
        <w:rPr>
          <w:rFonts w:hint="cs"/>
          <w:rtl/>
        </w:rPr>
        <w:t xml:space="preserve">הנאשמים, שני אחים, הורשעו במסגרת הסדר טיעון, בעובדות כתב אישום מתוקן, </w:t>
      </w:r>
      <w:r>
        <w:rPr>
          <w:rFonts w:hint="cs"/>
          <w:b/>
          <w:bCs/>
          <w:rtl/>
        </w:rPr>
        <w:t>נאשם 1-</w:t>
      </w:r>
      <w:r>
        <w:rPr>
          <w:rFonts w:hint="cs"/>
          <w:rtl/>
        </w:rPr>
        <w:t xml:space="preserve">  בעבירת נשיאת נשק, אביזר ותחמושת בלא רשות, </w:t>
      </w:r>
      <w:r>
        <w:rPr>
          <w:rFonts w:hint="cs"/>
          <w:u w:val="single"/>
          <w:rtl/>
        </w:rPr>
        <w:t xml:space="preserve">לפי </w:t>
      </w:r>
      <w:hyperlink r:id="rId13" w:history="1">
        <w:r w:rsidR="006D13BB" w:rsidRPr="006D13BB">
          <w:rPr>
            <w:rStyle w:val="Hyperlink"/>
            <w:rFonts w:hint="eastAsia"/>
            <w:rtl/>
          </w:rPr>
          <w:t>סעיף</w:t>
        </w:r>
        <w:r w:rsidR="006D13BB" w:rsidRPr="006D13BB">
          <w:rPr>
            <w:rStyle w:val="Hyperlink"/>
            <w:rtl/>
          </w:rPr>
          <w:t xml:space="preserve"> 144(ב)</w:t>
        </w:r>
      </w:hyperlink>
      <w:r>
        <w:rPr>
          <w:rFonts w:hint="cs"/>
          <w:u w:val="single"/>
          <w:rtl/>
        </w:rPr>
        <w:t xml:space="preserve"> רישא וסיפא ל</w:t>
      </w:r>
      <w:hyperlink r:id="rId14" w:history="1">
        <w:r w:rsidR="00630411" w:rsidRPr="00630411">
          <w:rPr>
            <w:color w:val="0000FF"/>
            <w:u w:val="single"/>
            <w:rtl/>
          </w:rPr>
          <w:t>חוק העונשין</w:t>
        </w:r>
      </w:hyperlink>
      <w:r>
        <w:rPr>
          <w:rFonts w:hint="cs"/>
          <w:rtl/>
        </w:rPr>
        <w:t xml:space="preserve">, תשל"ז- 1977 (להלן:"החוק") ובעבירת ירי מנשק חם, </w:t>
      </w:r>
      <w:r>
        <w:rPr>
          <w:rFonts w:hint="cs"/>
          <w:u w:val="single"/>
          <w:rtl/>
        </w:rPr>
        <w:t xml:space="preserve">לפי סעיף </w:t>
      </w:r>
      <w:hyperlink r:id="rId15" w:history="1">
        <w:r w:rsidR="006D13BB" w:rsidRPr="006D13BB">
          <w:rPr>
            <w:rStyle w:val="Hyperlink"/>
            <w:rtl/>
          </w:rPr>
          <w:t>340א(ב)(1)</w:t>
        </w:r>
      </w:hyperlink>
      <w:r>
        <w:rPr>
          <w:rFonts w:hint="cs"/>
          <w:u w:val="single"/>
          <w:rtl/>
        </w:rPr>
        <w:t xml:space="preserve"> לחוק</w:t>
      </w:r>
      <w:r>
        <w:rPr>
          <w:rFonts w:hint="cs"/>
          <w:rtl/>
        </w:rPr>
        <w:t>, ו</w:t>
      </w:r>
      <w:r>
        <w:rPr>
          <w:rFonts w:hint="cs"/>
          <w:b/>
          <w:bCs/>
          <w:rtl/>
        </w:rPr>
        <w:t>נאשם 2</w:t>
      </w:r>
      <w:r>
        <w:rPr>
          <w:rFonts w:hint="cs"/>
          <w:rtl/>
        </w:rPr>
        <w:t xml:space="preserve"> בעבירה של איומים </w:t>
      </w:r>
      <w:r>
        <w:rPr>
          <w:rFonts w:hint="cs"/>
          <w:u w:val="single"/>
          <w:rtl/>
        </w:rPr>
        <w:t xml:space="preserve">לפי </w:t>
      </w:r>
      <w:hyperlink r:id="rId16" w:history="1">
        <w:r w:rsidR="006D13BB" w:rsidRPr="006D13BB">
          <w:rPr>
            <w:rStyle w:val="Hyperlink"/>
            <w:rFonts w:hint="eastAsia"/>
            <w:rtl/>
          </w:rPr>
          <w:t>סעיף</w:t>
        </w:r>
        <w:r w:rsidR="006D13BB" w:rsidRPr="006D13BB">
          <w:rPr>
            <w:rStyle w:val="Hyperlink"/>
            <w:rtl/>
          </w:rPr>
          <w:t xml:space="preserve"> 192</w:t>
        </w:r>
      </w:hyperlink>
      <w:r>
        <w:rPr>
          <w:rFonts w:hint="cs"/>
          <w:rtl/>
        </w:rPr>
        <w:t xml:space="preserve"> לחוק.</w:t>
      </w:r>
    </w:p>
    <w:p w14:paraId="0ACF20AB" w14:textId="77777777" w:rsidR="00DE62BF" w:rsidRDefault="00DE62BF" w:rsidP="00DE62BF">
      <w:pPr>
        <w:pStyle w:val="a9"/>
        <w:spacing w:line="360" w:lineRule="auto"/>
        <w:jc w:val="both"/>
      </w:pPr>
    </w:p>
    <w:p w14:paraId="4724F8FE" w14:textId="77777777" w:rsidR="00DE62BF" w:rsidRDefault="00DE62BF" w:rsidP="00DE62BF">
      <w:pPr>
        <w:pStyle w:val="a9"/>
        <w:numPr>
          <w:ilvl w:val="0"/>
          <w:numId w:val="1"/>
        </w:numPr>
        <w:spacing w:line="360" w:lineRule="auto"/>
        <w:jc w:val="both"/>
        <w:rPr>
          <w:rtl/>
        </w:rPr>
      </w:pPr>
      <w:bookmarkStart w:id="7" w:name="ABSTRACT_END"/>
      <w:bookmarkEnd w:id="7"/>
      <w:r>
        <w:rPr>
          <w:rFonts w:hint="cs"/>
          <w:rtl/>
        </w:rPr>
        <w:t xml:space="preserve">כמפורט בעובדות כתב האישום המתוקן, הנאשמים וא.א. (שהוא המתלונן) מתגוררים בשכנות. ביום 15.12.21 בסמוך לשעה 18:00, החל ויכוח בין נאשם 2 לאחייניו של א.א, ב.ב ו-ג.ג, ילידי 2004, על רקע בקשתם ממנו להזיז את רכבו מהחנייה. נאשם 2 סירב וניגש לרכבו והוציא מתוכו דלי ובתוכו פטיש והחל ללכת לכיוון ביתו וב.ב. הלך אחריו. בהמשך, </w:t>
      </w:r>
      <w:r>
        <w:rPr>
          <w:rFonts w:hint="cs"/>
          <w:rtl/>
        </w:rPr>
        <w:lastRenderedPageBreak/>
        <w:t xml:space="preserve">כשניגש ג.ג. להרגיע את ב.ב, שלף נאשם 2 את הפטיש מהדלי, אחז אותו בידו ואיים לפגוע בג.ג. ואמר לו:"תזוז או שאני אפגע בך". לאחר זמן קצר הגיע המתלונן לביתו, למשמע הוויכוח , ניגש לנאשם 2 ושוחח איתו כדי להרגיעו. בתגובה הניף נאשם 2 את הפטיש באוויר לעברו, קילל אותו ואיים באמצעותו על המתלונן. נאשם 1 שנכח במקום, רץ לכיוון ביתו וצעק: "אני אראה לכם". כעבור זמן קצר, שב למקום כשהוא נושא נשק שסוגו אינו ידוע טעון בכדורים 9 מ"מ, אחז בו כלפי מעלה והחל לירות לעיני הנוכחים מספר יריות וזאת כדי להטיל מורא ופחד על המתלונן וג.ג, ונמלט לתוך ביתו. </w:t>
      </w:r>
    </w:p>
    <w:p w14:paraId="7070FCF1" w14:textId="77777777" w:rsidR="00DE62BF" w:rsidRDefault="00DE62BF" w:rsidP="00DE62BF">
      <w:pPr>
        <w:pStyle w:val="a9"/>
        <w:spacing w:line="360" w:lineRule="auto"/>
        <w:jc w:val="both"/>
        <w:rPr>
          <w:rtl/>
        </w:rPr>
      </w:pPr>
    </w:p>
    <w:p w14:paraId="39A48D22" w14:textId="77777777" w:rsidR="00DE62BF" w:rsidRDefault="00DE62BF" w:rsidP="00DE62BF">
      <w:pPr>
        <w:pStyle w:val="a9"/>
        <w:numPr>
          <w:ilvl w:val="0"/>
          <w:numId w:val="1"/>
        </w:numPr>
        <w:spacing w:line="360" w:lineRule="auto"/>
        <w:jc w:val="both"/>
        <w:rPr>
          <w:rtl/>
        </w:rPr>
      </w:pPr>
      <w:r>
        <w:rPr>
          <w:rFonts w:hint="cs"/>
          <w:rtl/>
        </w:rPr>
        <w:t xml:space="preserve">הצדדים הגיעו להסדר טיעון, והנאשמים הופנו לתסקירי שירות מבחן. אשר לנאשם 1, הצהירה המאשימה שתעתור לעונש מאסר ראוי בן 30 חודשים, וביחס לנאשם 2- למאסר בן חודשיים בדרך של עבודות שירות, ההגנה חופשיה בטיעוניה. </w:t>
      </w:r>
    </w:p>
    <w:p w14:paraId="78C71442" w14:textId="77777777" w:rsidR="00DE62BF" w:rsidRDefault="00DE62BF" w:rsidP="00DE62BF">
      <w:pPr>
        <w:pStyle w:val="a9"/>
      </w:pPr>
    </w:p>
    <w:p w14:paraId="0861300D" w14:textId="77777777" w:rsidR="00DE62BF" w:rsidRDefault="00DE62BF" w:rsidP="00DE62BF">
      <w:pPr>
        <w:spacing w:line="360" w:lineRule="auto"/>
        <w:jc w:val="both"/>
        <w:rPr>
          <w:b/>
          <w:bCs/>
          <w:u w:val="single"/>
          <w:rtl/>
        </w:rPr>
      </w:pPr>
      <w:r>
        <w:rPr>
          <w:rFonts w:hint="cs"/>
          <w:b/>
          <w:bCs/>
          <w:u w:val="single"/>
          <w:rtl/>
        </w:rPr>
        <w:t>תסקיר שירות המבחן</w:t>
      </w:r>
    </w:p>
    <w:p w14:paraId="137D10CE" w14:textId="77777777" w:rsidR="00DE62BF" w:rsidRDefault="00DE62BF" w:rsidP="00DE62BF">
      <w:pPr>
        <w:pStyle w:val="a9"/>
        <w:numPr>
          <w:ilvl w:val="0"/>
          <w:numId w:val="1"/>
        </w:numPr>
        <w:spacing w:line="360" w:lineRule="auto"/>
        <w:jc w:val="both"/>
        <w:rPr>
          <w:rtl/>
        </w:rPr>
      </w:pPr>
      <w:r>
        <w:rPr>
          <w:rFonts w:hint="cs"/>
          <w:rtl/>
        </w:rPr>
        <w:t xml:space="preserve">הנאשם 1, בן 25, נשוי, אב לתינוקת, עובד בתחום הבנייה, משלים לימודי תואר הנדסאי בניין. הנאשם נפגע בתאונת דרכים, וסובל מכאבים מתמשכים באזור האגן. הנאשם היה נתון בפיקוח מעצרים, שולב בקבוצה טיפולית אך התקשה להגיע באופן סדיר ולקדם התבוננות מעמיקה באשר לגורמי הסיכון במצבו, ובלטה נטייתו להשליך אחריות מצבו על גורמים חיצוניים, ובעיקר על אחיו, נאשם 2. הנאשם טען כי בתקופת פיקוח המעצרים לא היה בשל רגשית לבחינת מצבו ולשילוב בטיפול. </w:t>
      </w:r>
    </w:p>
    <w:p w14:paraId="3FFA7D83" w14:textId="77777777" w:rsidR="00DE62BF" w:rsidRDefault="00DE62BF" w:rsidP="00DE62BF">
      <w:pPr>
        <w:pStyle w:val="a9"/>
        <w:spacing w:line="360" w:lineRule="auto"/>
        <w:jc w:val="both"/>
      </w:pPr>
    </w:p>
    <w:p w14:paraId="07ADD9CB" w14:textId="77777777" w:rsidR="00DE62BF" w:rsidRDefault="00DE62BF" w:rsidP="00DE62BF">
      <w:pPr>
        <w:pStyle w:val="a9"/>
        <w:spacing w:line="360" w:lineRule="auto"/>
        <w:jc w:val="both"/>
        <w:rPr>
          <w:rtl/>
        </w:rPr>
      </w:pPr>
      <w:r>
        <w:rPr>
          <w:rFonts w:hint="cs"/>
          <w:rtl/>
        </w:rPr>
        <w:t xml:space="preserve">במסגרת האבחון הנוכחי, נטל אחריות חלקית על מעשיו והביע חרטה. לדבריו, ביום האירוע, נרדם והתעורר בבהילות מקולות הוויכוח בין אחיו לשכנים. הנאשם סיפר שאחיו נהג להתווכח עם שכניו בנוגע לחניות, ותיאר את התנהלותו הבעייתית מול השכנים אך שלל מעורבות בסכסוך. הנאשם חש תחושות לחץ וחרדה ודאגה למשפחתו, לדבריו אחיו מסר לו בבית כלי נשק, שבדיעבד הבין שהוא לא חוקי. הנאשם הביע הבנה לחומרת מעשיו, עם זאת, תיאר עמדות מקלות בנוגע לשימוש בנשק. במהלך מעצרו, טען שנחתם הסכם סולחה בין משפחתו למשפחת השכנים. </w:t>
      </w:r>
    </w:p>
    <w:p w14:paraId="3388F400" w14:textId="77777777" w:rsidR="00DE62BF" w:rsidRDefault="00DE62BF" w:rsidP="00DE62BF">
      <w:pPr>
        <w:pStyle w:val="a9"/>
        <w:spacing w:line="360" w:lineRule="auto"/>
        <w:jc w:val="both"/>
        <w:rPr>
          <w:rtl/>
        </w:rPr>
      </w:pPr>
    </w:p>
    <w:p w14:paraId="280560C5" w14:textId="77777777" w:rsidR="00DE62BF" w:rsidRDefault="00DE62BF" w:rsidP="00DE62BF">
      <w:pPr>
        <w:pStyle w:val="a9"/>
        <w:spacing w:line="360" w:lineRule="auto"/>
        <w:jc w:val="both"/>
        <w:rPr>
          <w:rtl/>
        </w:rPr>
      </w:pPr>
      <w:r>
        <w:rPr>
          <w:rFonts w:hint="cs"/>
          <w:rtl/>
        </w:rPr>
        <w:t xml:space="preserve">להתרשמות שירות המבחן מדובר בנאשם צעיר, שמנהל אורח חיים יציב, ללא מעורבות פלילית. עוד עמדו על הקשר המורכב עם אחיו. להערכתם, בבסיס מעשיו, עומדים דפוסים אימפולסיביים, דימוי עצמי נמוך, רצון להוכיח את גבריותו וקשייו במצבי לחץ ומשבר. בנוסף, התרשמו שההליך הפלילי מהווה עבורו גורם הרתעה משמעותי. בסופו של תסקיר, נמנע שירות המבחן מהמלצה טיפולית והמליץ על ענישה מוחשית של מאסר בפועל תוך התחשבות בנתוני הנאשם, עברו הנקי וגילו הצעיר. </w:t>
      </w:r>
    </w:p>
    <w:p w14:paraId="715E24F4" w14:textId="77777777" w:rsidR="00DE62BF" w:rsidRDefault="00DE62BF" w:rsidP="00DE62BF">
      <w:pPr>
        <w:pStyle w:val="a9"/>
        <w:spacing w:line="360" w:lineRule="auto"/>
        <w:jc w:val="both"/>
        <w:rPr>
          <w:rtl/>
        </w:rPr>
      </w:pPr>
    </w:p>
    <w:p w14:paraId="43BC981B" w14:textId="77777777" w:rsidR="00DE62BF" w:rsidRDefault="00DE62BF" w:rsidP="00DE62BF">
      <w:pPr>
        <w:pStyle w:val="a9"/>
        <w:spacing w:line="360" w:lineRule="auto"/>
        <w:jc w:val="both"/>
        <w:rPr>
          <w:b/>
          <w:bCs/>
          <w:u w:val="single"/>
          <w:rtl/>
        </w:rPr>
      </w:pPr>
      <w:r>
        <w:rPr>
          <w:rFonts w:hint="cs"/>
          <w:b/>
          <w:bCs/>
          <w:u w:val="single"/>
          <w:rtl/>
        </w:rPr>
        <w:t xml:space="preserve">תסקיר נאשם 2 </w:t>
      </w:r>
    </w:p>
    <w:p w14:paraId="35241A34" w14:textId="77777777" w:rsidR="00DE62BF" w:rsidRDefault="00DE62BF" w:rsidP="00DE62BF">
      <w:pPr>
        <w:pStyle w:val="a9"/>
        <w:numPr>
          <w:ilvl w:val="0"/>
          <w:numId w:val="1"/>
        </w:numPr>
        <w:spacing w:line="360" w:lineRule="auto"/>
        <w:jc w:val="both"/>
      </w:pPr>
      <w:r>
        <w:rPr>
          <w:rFonts w:hint="cs"/>
          <w:rtl/>
        </w:rPr>
        <w:lastRenderedPageBreak/>
        <w:t xml:space="preserve">נאשם 2, בן 45, גרוש ואב לילדים. הנאשם היה מעורב באירוע ירי לפני שלוש שנים, ונפגע בראשו ובגופו, לטענתו על רקע סכסוך עם גרושתו, מאז חווה תחושות חרדה ופחד. הנאשם נעדר עבר פלילי, מודה במיוחס לו ומקבל אחריות חלקית על מעשיו, מסר כי ברקע העבירה סכסוך שכנים, וכי חש פחד מהמתלונן. הנאשם נמנע מהתייחס לנסיבות מעורבות אחיו באירוע. להערכת שירות המבחן לנאשם קשיים בוויסות דחפים, מיקוד שליטה פנימי נמוך ונטייה לאימפולסיביות. הנאשם הביע נזקקות טיפולית, ושירות המבחן המליץ להעמידו תחת צו מבחן, ולהטיל עליו ענישה צופה פני עתיד משמעותית. </w:t>
      </w:r>
    </w:p>
    <w:p w14:paraId="450E00ED" w14:textId="77777777" w:rsidR="00DE62BF" w:rsidRDefault="00DE62BF" w:rsidP="00DE62BF">
      <w:pPr>
        <w:spacing w:line="360" w:lineRule="auto"/>
        <w:jc w:val="both"/>
        <w:rPr>
          <w:b/>
          <w:bCs/>
          <w:u w:val="single"/>
          <w:rtl/>
        </w:rPr>
      </w:pPr>
    </w:p>
    <w:p w14:paraId="45465B3D" w14:textId="77777777" w:rsidR="00DE62BF" w:rsidRDefault="00DE62BF" w:rsidP="00DE62BF">
      <w:pPr>
        <w:spacing w:line="360" w:lineRule="auto"/>
        <w:jc w:val="both"/>
        <w:rPr>
          <w:b/>
          <w:bCs/>
          <w:u w:val="single"/>
          <w:rtl/>
        </w:rPr>
      </w:pPr>
    </w:p>
    <w:p w14:paraId="37271684" w14:textId="77777777" w:rsidR="00DE62BF" w:rsidRDefault="00DE62BF" w:rsidP="00DE62BF">
      <w:pPr>
        <w:spacing w:line="360" w:lineRule="auto"/>
        <w:jc w:val="both"/>
        <w:rPr>
          <w:b/>
          <w:bCs/>
          <w:u w:val="single"/>
          <w:rtl/>
        </w:rPr>
      </w:pPr>
      <w:r>
        <w:rPr>
          <w:rFonts w:hint="cs"/>
          <w:b/>
          <w:bCs/>
          <w:u w:val="single"/>
          <w:rtl/>
        </w:rPr>
        <w:t>תמצית הטיעונים לעונש</w:t>
      </w:r>
    </w:p>
    <w:p w14:paraId="71979A3F" w14:textId="77777777" w:rsidR="00DE62BF" w:rsidRDefault="00DE62BF" w:rsidP="00DE62BF">
      <w:pPr>
        <w:pStyle w:val="a9"/>
        <w:numPr>
          <w:ilvl w:val="0"/>
          <w:numId w:val="1"/>
        </w:numPr>
        <w:spacing w:line="360" w:lineRule="auto"/>
        <w:jc w:val="both"/>
        <w:rPr>
          <w:rtl/>
        </w:rPr>
      </w:pPr>
      <w:r>
        <w:rPr>
          <w:rFonts w:hint="cs"/>
          <w:rtl/>
        </w:rPr>
        <w:t xml:space="preserve">ב"כ המאשימה, עו"ד שירי, עמדה בטיעוניה על החומרה המיוחדת שבמעשי נאשם 1, ועל הרקע למעשיו, סכסוך שכנים שלא היה צד ישיר לו. המאשימה עותרת לעונש ראוי בן 30 חודשים, להשקפתה מדובר בעונש מתון ואף קל בנסיבות התיק, וכולל התחשבות בכך שהעבירה בוצעה סמוך לכניסת הוראת שעה 140 לתוקף. אשר לנאשם 2 נטען שהוא מחולל העבירה, פעל באופן מאיים כלפי שכניו, ועירב את אחיו בסכסוך. לדבריה, התסקירים שהתקבלו בעניינם של הנאשמים אינם חיוביים, בנוגע לנאשם 1 לא כלל התסקיר המלצה טיפולית. אשר לנאשם 2, ביקשה המאשימה לאמץ את עתירתה למאסר קצר בדרך של עבודות שירות, וסבורה שמדובר בעונש קל אך מציב גבול, וזאת לצד ענישה נלווית. משיחה עם נפגע העבירה עלה שאינו מבקש להגיש הצהרת נפגע, ואין לו צורך ורצון בפיצוי כספי. חרף בקשתו, עתרה המאשימה לפיצוי. </w:t>
      </w:r>
    </w:p>
    <w:p w14:paraId="600549FD" w14:textId="77777777" w:rsidR="00DE62BF" w:rsidRDefault="00DE62BF" w:rsidP="00DE62BF">
      <w:pPr>
        <w:pStyle w:val="a9"/>
        <w:spacing w:line="360" w:lineRule="auto"/>
        <w:jc w:val="both"/>
      </w:pPr>
    </w:p>
    <w:p w14:paraId="45F4465A" w14:textId="77777777" w:rsidR="00DE62BF" w:rsidRDefault="00DE62BF" w:rsidP="00DE62BF">
      <w:pPr>
        <w:pStyle w:val="a9"/>
        <w:numPr>
          <w:ilvl w:val="0"/>
          <w:numId w:val="1"/>
        </w:numPr>
        <w:spacing w:line="360" w:lineRule="auto"/>
        <w:jc w:val="both"/>
      </w:pPr>
      <w:r>
        <w:rPr>
          <w:rFonts w:hint="cs"/>
          <w:rtl/>
        </w:rPr>
        <w:t xml:space="preserve">ב"כ הנאשמים, עו"ד שוורצברג, ביקש להתחשב בנאשמים ולגזור עליהם עונשים מתונים. אשר לנאשם 1 נטען, כי נסיבות הירי אינן ברף גבוה, לא ידוע סוג הנשק, וכי הנאשם נקלע לסיטואציה ופעל באופן שגוי. לדבריו, תסקירו חיובי ומלמד על נאשם נורמטיבי שמבין את חומרת מעשיו. עוד הוסיף, שעובד בצורה מסודרת, ומשלים תואר באוניברסיטה. הסניגור הגיש אסופת מסמכים הכוללת מכתבי המלצה (נ/1). לטענתו, העונש הראוי לגזור על נאשם נאשם 1 הוא עבודות שירות ברף מירבי, ולכל היותר מאסר שלא יעלה על 12 חודשים, בשים לב לכך שהיה עצור תקופה של 2.5 חודשים. אשר לנאשם 2, הפנה לגילו ולעברו הנקי וכן להמלצות התסקיר וביקש להסתפק בענישה צופה פני עתיד. </w:t>
      </w:r>
    </w:p>
    <w:p w14:paraId="473BC38F" w14:textId="77777777" w:rsidR="00DE62BF" w:rsidRDefault="00DE62BF" w:rsidP="00DE62BF">
      <w:pPr>
        <w:pStyle w:val="a9"/>
      </w:pPr>
    </w:p>
    <w:p w14:paraId="5ACA2F1F" w14:textId="77777777" w:rsidR="00DE62BF" w:rsidRDefault="00DE62BF" w:rsidP="00DE62BF">
      <w:pPr>
        <w:pStyle w:val="a9"/>
        <w:numPr>
          <w:ilvl w:val="0"/>
          <w:numId w:val="1"/>
        </w:numPr>
        <w:spacing w:line="360" w:lineRule="auto"/>
        <w:jc w:val="both"/>
        <w:rPr>
          <w:rtl/>
        </w:rPr>
      </w:pPr>
      <w:r>
        <w:rPr>
          <w:rFonts w:hint="cs"/>
          <w:rtl/>
        </w:rPr>
        <w:t xml:space="preserve">נאשם 1 בדברו האחרון, הודה ששגה, ונטל אחריות על מעשיו. הנאשם ביקש להתחשב בו ובמשפחתו, רעייתו ובתו התינוקת. </w:t>
      </w:r>
    </w:p>
    <w:p w14:paraId="197EA0DD" w14:textId="77777777" w:rsidR="00DE62BF" w:rsidRDefault="00DE62BF" w:rsidP="00DE62BF">
      <w:pPr>
        <w:pStyle w:val="a9"/>
      </w:pPr>
    </w:p>
    <w:p w14:paraId="29EE07A4" w14:textId="77777777" w:rsidR="00DE62BF" w:rsidRDefault="00DE62BF" w:rsidP="00DE62BF">
      <w:pPr>
        <w:pStyle w:val="a9"/>
        <w:rPr>
          <w:rtl/>
        </w:rPr>
      </w:pPr>
    </w:p>
    <w:p w14:paraId="2BA7F1C0" w14:textId="77777777" w:rsidR="00DE62BF" w:rsidRDefault="00DE62BF" w:rsidP="00DE62BF">
      <w:pPr>
        <w:spacing w:line="360" w:lineRule="auto"/>
        <w:jc w:val="both"/>
        <w:rPr>
          <w:b/>
          <w:bCs/>
          <w:u w:val="single"/>
          <w:rtl/>
        </w:rPr>
      </w:pPr>
      <w:r>
        <w:rPr>
          <w:rFonts w:hint="cs"/>
          <w:b/>
          <w:bCs/>
          <w:u w:val="single"/>
          <w:rtl/>
        </w:rPr>
        <w:t>דיון והכרעה</w:t>
      </w:r>
    </w:p>
    <w:p w14:paraId="64F21E0D" w14:textId="77777777" w:rsidR="00DE62BF" w:rsidRDefault="00DE62BF" w:rsidP="00DE62BF">
      <w:pPr>
        <w:spacing w:line="360" w:lineRule="auto"/>
        <w:jc w:val="both"/>
        <w:rPr>
          <w:b/>
          <w:bCs/>
          <w:u w:val="single"/>
          <w:rtl/>
        </w:rPr>
      </w:pPr>
      <w:r>
        <w:rPr>
          <w:rFonts w:hint="cs"/>
          <w:b/>
          <w:bCs/>
          <w:u w:val="single"/>
          <w:rtl/>
        </w:rPr>
        <w:t>מתחם העונש ההולם</w:t>
      </w:r>
    </w:p>
    <w:p w14:paraId="3777C79E" w14:textId="77777777" w:rsidR="00DE62BF" w:rsidRDefault="00DE62BF" w:rsidP="00DE62BF">
      <w:pPr>
        <w:pStyle w:val="a9"/>
        <w:numPr>
          <w:ilvl w:val="0"/>
          <w:numId w:val="1"/>
        </w:numPr>
        <w:spacing w:line="360" w:lineRule="auto"/>
        <w:jc w:val="both"/>
        <w:rPr>
          <w:rFonts w:ascii="Times New Roman" w:eastAsia="Times New Roman" w:hAnsi="Times New Roman"/>
          <w:rtl/>
        </w:rPr>
      </w:pPr>
      <w:r>
        <w:rPr>
          <w:rFonts w:ascii="Times New Roman" w:eastAsia="Times New Roman" w:hAnsi="Times New Roman" w:hint="cs"/>
          <w:rtl/>
        </w:rPr>
        <w:t xml:space="preserve">עתירת המאשימה לעונש ראוי, שאף להשקפת הסניגור מצוי "במתחם הסבירות", אינה פוטרת את בית המשפט מקביעת מתחם עונש הולם. </w:t>
      </w:r>
    </w:p>
    <w:p w14:paraId="0931CBA6" w14:textId="77777777" w:rsidR="00DE62BF" w:rsidRDefault="00DE62BF" w:rsidP="00DE62BF">
      <w:pPr>
        <w:pStyle w:val="a9"/>
        <w:spacing w:line="360" w:lineRule="auto"/>
        <w:jc w:val="both"/>
        <w:rPr>
          <w:rFonts w:ascii="Times New Roman" w:eastAsia="Times New Roman" w:hAnsi="Times New Roman"/>
        </w:rPr>
      </w:pPr>
    </w:p>
    <w:p w14:paraId="565E4B36" w14:textId="77777777" w:rsidR="00DE62BF" w:rsidRDefault="00DE62BF" w:rsidP="00DE62BF">
      <w:pPr>
        <w:pStyle w:val="ruller400"/>
        <w:numPr>
          <w:ilvl w:val="0"/>
          <w:numId w:val="1"/>
        </w:numPr>
        <w:bidi/>
        <w:spacing w:before="0" w:beforeAutospacing="0" w:after="0" w:afterAutospacing="0" w:line="360" w:lineRule="atLeast"/>
        <w:jc w:val="both"/>
        <w:rPr>
          <w:rFonts w:ascii="David" w:hAnsi="David" w:cs="David"/>
          <w:color w:val="000000"/>
          <w:spacing w:val="10"/>
        </w:rPr>
      </w:pPr>
      <w:r>
        <w:rPr>
          <w:rFonts w:cs="David"/>
          <w:rtl/>
        </w:rPr>
        <w:t xml:space="preserve">דומה שאין צורך להכביר מילים ביחס לחומרתן של עבירות הנשק, אלו הפכו בשנים האחרונות ל"מכת מדינה" הגואה בעיקר המגזר הערבי ומהוות סכנה ממשית לשלום הציבור ולביטחונו. על רקע מציאות קשה זו נעשה מאמץ רב ע"י גורמי אכיפת החוק, וביניהם בתי המשפט, למאבק בתופעה, ובשנים האחרונות ניכרת מגמת החמרה במדיניות הענישה לצורך מיגור עבירות אלו, תוך מתן משקל בכורה להרתעת הרבים ולאינטרס הציבורי, </w:t>
      </w:r>
      <w:r w:rsidRPr="00DE62BF">
        <w:rPr>
          <w:rFonts w:ascii="Calibri" w:eastAsia="Calibri" w:hAnsi="Calibri" w:hint="cs"/>
          <w:rtl/>
        </w:rPr>
        <w:t>"</w:t>
      </w:r>
      <w:r w:rsidRPr="00DE62BF">
        <w:rPr>
          <w:rFonts w:ascii="David" w:eastAsia="Calibri" w:hAnsi="David" w:cs="David"/>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DE62BF">
        <w:rPr>
          <w:rFonts w:ascii="David" w:eastAsia="Calibri" w:hAnsi="David" w:cs="David"/>
          <w:rtl/>
        </w:rPr>
        <w:t>" (</w:t>
      </w:r>
      <w:hyperlink r:id="rId17" w:history="1">
        <w:r w:rsidR="00630411" w:rsidRPr="00630411">
          <w:rPr>
            <w:rFonts w:ascii="David" w:eastAsia="Calibri" w:hAnsi="David" w:cs="David"/>
            <w:color w:val="0000FF"/>
            <w:u w:val="single"/>
            <w:rtl/>
          </w:rPr>
          <w:t>ע"פ 587/22</w:t>
        </w:r>
      </w:hyperlink>
      <w:r w:rsidRPr="00DE62BF">
        <w:rPr>
          <w:rFonts w:ascii="David" w:eastAsia="Calibri" w:hAnsi="David" w:cs="David"/>
          <w:rtl/>
        </w:rPr>
        <w:t xml:space="preserve"> </w:t>
      </w:r>
      <w:r w:rsidRPr="00DE62BF">
        <w:rPr>
          <w:rFonts w:ascii="David" w:eastAsia="Calibri" w:hAnsi="David" w:cs="David"/>
          <w:b/>
          <w:bCs/>
          <w:rtl/>
        </w:rPr>
        <w:t>עדאב אבו נאעסה נ' מדינת ישראל</w:t>
      </w:r>
      <w:r w:rsidRPr="00DE62BF">
        <w:rPr>
          <w:rFonts w:ascii="David" w:eastAsia="Calibri" w:hAnsi="David" w:cs="David"/>
          <w:rtl/>
        </w:rPr>
        <w:t xml:space="preserve"> פסקה 13 (22.5.2022)) </w:t>
      </w:r>
      <w:r>
        <w:rPr>
          <w:rFonts w:ascii="David" w:hAnsi="David" w:cs="David"/>
          <w:rtl/>
        </w:rPr>
        <w:t>(</w:t>
      </w:r>
      <w:hyperlink r:id="rId18" w:history="1">
        <w:r w:rsidR="00630411" w:rsidRPr="00630411">
          <w:rPr>
            <w:rFonts w:ascii="David" w:hAnsi="David" w:cs="David"/>
            <w:color w:val="0000FF"/>
            <w:u w:val="single"/>
            <w:rtl/>
          </w:rPr>
          <w:t>ע"פ 2482/22</w:t>
        </w:r>
      </w:hyperlink>
      <w:r>
        <w:rPr>
          <w:rFonts w:ascii="David" w:hAnsi="David" w:cs="David"/>
          <w:rtl/>
        </w:rPr>
        <w:t xml:space="preserve"> </w:t>
      </w:r>
      <w:r>
        <w:rPr>
          <w:rFonts w:ascii="David" w:hAnsi="David" w:cs="David"/>
          <w:b/>
          <w:bCs/>
          <w:rtl/>
        </w:rPr>
        <w:t>מדינת ישראל נ' אחמד קדורה</w:t>
      </w:r>
      <w:r>
        <w:rPr>
          <w:rFonts w:ascii="David" w:hAnsi="David" w:cs="David"/>
          <w:rtl/>
        </w:rPr>
        <w:t xml:space="preserve">, פסקה 5-6 (14.4.2022); </w:t>
      </w:r>
      <w:hyperlink r:id="rId19" w:history="1">
        <w:r w:rsidR="00630411" w:rsidRPr="00630411">
          <w:rPr>
            <w:rFonts w:ascii="David" w:hAnsi="David" w:cs="David"/>
            <w:color w:val="0000FF"/>
            <w:u w:val="single"/>
            <w:rtl/>
          </w:rPr>
          <w:t>ע"פ 5813/21</w:t>
        </w:r>
      </w:hyperlink>
      <w:r>
        <w:rPr>
          <w:rFonts w:ascii="David" w:hAnsi="David" w:cs="David"/>
          <w:rtl/>
        </w:rPr>
        <w:t xml:space="preserve"> </w:t>
      </w:r>
      <w:r>
        <w:rPr>
          <w:rFonts w:ascii="David" w:hAnsi="David" w:cs="David"/>
          <w:b/>
          <w:bCs/>
          <w:rtl/>
        </w:rPr>
        <w:t>מוחמד ג'בארין נ' מדינת ישראל</w:t>
      </w:r>
      <w:r>
        <w:rPr>
          <w:rFonts w:ascii="David" w:hAnsi="David" w:cs="David"/>
          <w:rtl/>
        </w:rPr>
        <w:t>, פסקה 14</w:t>
      </w:r>
      <w:r>
        <w:rPr>
          <w:rFonts w:ascii="David" w:hAnsi="David" w:cs="David"/>
          <w:b/>
          <w:bCs/>
          <w:rtl/>
        </w:rPr>
        <w:t xml:space="preserve"> </w:t>
      </w:r>
      <w:r>
        <w:rPr>
          <w:rFonts w:ascii="David" w:hAnsi="David" w:cs="David"/>
          <w:rtl/>
        </w:rPr>
        <w:t xml:space="preserve">(31.5.2022); </w:t>
      </w:r>
      <w:hyperlink r:id="rId20" w:history="1">
        <w:r w:rsidR="00630411" w:rsidRPr="00630411">
          <w:rPr>
            <w:rFonts w:ascii="David" w:hAnsi="David" w:cs="David"/>
            <w:color w:val="0000FF"/>
            <w:u w:val="single"/>
            <w:rtl/>
          </w:rPr>
          <w:t>ע"פ 6011/21</w:t>
        </w:r>
      </w:hyperlink>
      <w:r>
        <w:rPr>
          <w:rFonts w:ascii="David" w:hAnsi="David" w:cs="David"/>
          <w:rtl/>
        </w:rPr>
        <w:t xml:space="preserve"> </w:t>
      </w:r>
      <w:r>
        <w:rPr>
          <w:rFonts w:ascii="David" w:hAnsi="David" w:cs="David"/>
          <w:b/>
          <w:bCs/>
          <w:rtl/>
        </w:rPr>
        <w:t>חאלד דסוקי נ' מדינת ישראל</w:t>
      </w:r>
      <w:r>
        <w:rPr>
          <w:rFonts w:ascii="David" w:hAnsi="David" w:cs="David"/>
          <w:rtl/>
        </w:rPr>
        <w:t xml:space="preserve">  (25.11.2021); </w:t>
      </w:r>
      <w:hyperlink r:id="rId21" w:history="1">
        <w:r w:rsidR="00630411" w:rsidRPr="00630411">
          <w:rPr>
            <w:rFonts w:ascii="David" w:hAnsi="David" w:cs="David"/>
            <w:color w:val="0000FF"/>
            <w:spacing w:val="10"/>
            <w:sz w:val="20"/>
            <w:u w:val="single"/>
            <w:shd w:val="clear" w:color="auto" w:fill="FFFFFF"/>
            <w:rtl/>
          </w:rPr>
          <w:t>ע"פ 8320/21</w:t>
        </w:r>
      </w:hyperlink>
      <w:r>
        <w:rPr>
          <w:rFonts w:ascii="David" w:hAnsi="David" w:cs="David"/>
          <w:spacing w:val="10"/>
          <w:sz w:val="20"/>
          <w:shd w:val="clear" w:color="auto" w:fill="FFFFFF"/>
          <w:rtl/>
        </w:rPr>
        <w:t xml:space="preserve"> </w:t>
      </w:r>
      <w:r>
        <w:rPr>
          <w:rFonts w:ascii="David" w:hAnsi="David" w:cs="David"/>
          <w:b/>
          <w:bCs/>
          <w:spacing w:val="10"/>
          <w:sz w:val="20"/>
          <w:shd w:val="clear" w:color="auto" w:fill="FFFFFF"/>
          <w:rtl/>
        </w:rPr>
        <w:t>מדינת ישראל נ' מחמד בסילה</w:t>
      </w:r>
      <w:r>
        <w:rPr>
          <w:rFonts w:ascii="David" w:hAnsi="David" w:cs="David"/>
          <w:spacing w:val="10"/>
          <w:sz w:val="20"/>
          <w:shd w:val="clear" w:color="auto" w:fill="FFFFFF"/>
          <w:rtl/>
        </w:rPr>
        <w:t>, פסקה 10 (28.12.2021)</w:t>
      </w:r>
      <w:r>
        <w:rPr>
          <w:rFonts w:ascii="David" w:hAnsi="David" w:cs="David"/>
          <w:rtl/>
        </w:rPr>
        <w:t xml:space="preserve">; </w:t>
      </w:r>
      <w:hyperlink r:id="rId22" w:history="1">
        <w:r w:rsidR="00630411" w:rsidRPr="00630411">
          <w:rPr>
            <w:rFonts w:ascii="David" w:hAnsi="David" w:cs="David"/>
            <w:color w:val="0000FF"/>
            <w:u w:val="single"/>
            <w:rtl/>
          </w:rPr>
          <w:t>ע"פ 2283/22</w:t>
        </w:r>
      </w:hyperlink>
      <w:r>
        <w:rPr>
          <w:rFonts w:ascii="David" w:hAnsi="David" w:cs="David"/>
          <w:rtl/>
        </w:rPr>
        <w:t xml:space="preserve"> </w:t>
      </w:r>
      <w:r>
        <w:rPr>
          <w:rFonts w:ascii="David" w:hAnsi="David" w:cs="David"/>
          <w:b/>
          <w:bCs/>
          <w:rtl/>
        </w:rPr>
        <w:t>אל נבארי נ' מדינת ישראל</w:t>
      </w:r>
      <w:r>
        <w:rPr>
          <w:rFonts w:ascii="David" w:hAnsi="David" w:cs="David"/>
          <w:rtl/>
        </w:rPr>
        <w:t xml:space="preserve"> (31.7.2022); </w:t>
      </w:r>
      <w:hyperlink r:id="rId23" w:history="1">
        <w:r w:rsidR="00630411" w:rsidRPr="00630411">
          <w:rPr>
            <w:rFonts w:ascii="David" w:hAnsi="David" w:cs="David"/>
            <w:color w:val="0000FF"/>
            <w:u w:val="single"/>
            <w:rtl/>
          </w:rPr>
          <w:t>ע"פ 78/21</w:t>
        </w:r>
      </w:hyperlink>
      <w:r>
        <w:rPr>
          <w:rFonts w:ascii="David" w:hAnsi="David" w:cs="David"/>
          <w:rtl/>
        </w:rPr>
        <w:t xml:space="preserve"> </w:t>
      </w:r>
      <w:r>
        <w:rPr>
          <w:rFonts w:ascii="David" w:hAnsi="David" w:cs="David"/>
          <w:b/>
          <w:bCs/>
          <w:rtl/>
        </w:rPr>
        <w:t>פלוני נ' מדינת</w:t>
      </w:r>
      <w:r>
        <w:rPr>
          <w:rFonts w:ascii="David" w:hAnsi="David" w:cs="David"/>
          <w:rtl/>
        </w:rPr>
        <w:t xml:space="preserve"> </w:t>
      </w:r>
      <w:r>
        <w:rPr>
          <w:rFonts w:ascii="David" w:hAnsi="David" w:cs="David"/>
          <w:b/>
          <w:bCs/>
          <w:rtl/>
        </w:rPr>
        <w:t>ישראל</w:t>
      </w:r>
      <w:r>
        <w:rPr>
          <w:rFonts w:ascii="David" w:hAnsi="David" w:cs="David"/>
          <w:rtl/>
        </w:rPr>
        <w:t xml:space="preserve"> (26.7.2022)). </w:t>
      </w:r>
    </w:p>
    <w:p w14:paraId="7A784163" w14:textId="77777777" w:rsidR="00DE62BF" w:rsidRDefault="00DE62BF" w:rsidP="00DE62BF">
      <w:pPr>
        <w:pStyle w:val="a9"/>
        <w:rPr>
          <w:color w:val="000000"/>
          <w:spacing w:val="10"/>
        </w:rPr>
      </w:pPr>
    </w:p>
    <w:p w14:paraId="72716CF2" w14:textId="77777777" w:rsidR="00DE62BF" w:rsidRDefault="00DE62BF" w:rsidP="00DE62BF">
      <w:pPr>
        <w:pStyle w:val="a9"/>
        <w:rPr>
          <w:color w:val="000000"/>
          <w:spacing w:val="10"/>
          <w:rtl/>
        </w:rPr>
      </w:pPr>
    </w:p>
    <w:p w14:paraId="046D7508" w14:textId="77777777" w:rsidR="00DE62BF" w:rsidRDefault="00DE62BF" w:rsidP="00DE62BF">
      <w:pPr>
        <w:pStyle w:val="a9"/>
        <w:spacing w:after="160" w:line="360" w:lineRule="auto"/>
        <w:jc w:val="both"/>
        <w:rPr>
          <w:rtl/>
        </w:rPr>
      </w:pPr>
      <w:r>
        <w:rPr>
          <w:rFonts w:hint="cs"/>
          <w:rtl/>
        </w:rPr>
        <w:t xml:space="preserve">מגמה זו קיבלה לאחרונה ביטוי סטטוטורי במסגרת תיקון 140 לחוק (תיקון 140-הוראת שעה) התשפ"ב-2021, במסגרתו נקבעו עונשי מינימום בעבירות נשק, כך שהעונש שיושת בגין עבירות אלו לא יפחת מרבע העונש המרבי שנקבע לעבירה, אלא בהתקיים טעמים מיוחדים. מועד ביצוע העבירות ע"י נאשם 1 חופף למועד כניסת הוראת שעה לתוקף. </w:t>
      </w:r>
    </w:p>
    <w:p w14:paraId="762F63C8" w14:textId="77777777" w:rsidR="00DE62BF" w:rsidRDefault="00DE62BF" w:rsidP="00DE62BF">
      <w:pPr>
        <w:pStyle w:val="a9"/>
        <w:spacing w:after="160" w:line="360" w:lineRule="auto"/>
        <w:jc w:val="both"/>
      </w:pPr>
    </w:p>
    <w:p w14:paraId="1313F27C" w14:textId="77777777" w:rsidR="00DE62BF" w:rsidRDefault="00DE62BF" w:rsidP="00DE62BF">
      <w:pPr>
        <w:pStyle w:val="a9"/>
        <w:numPr>
          <w:ilvl w:val="0"/>
          <w:numId w:val="1"/>
        </w:numPr>
        <w:autoSpaceDE w:val="0"/>
        <w:autoSpaceDN w:val="0"/>
        <w:adjustRightInd w:val="0"/>
        <w:spacing w:after="120" w:line="360" w:lineRule="auto"/>
        <w:jc w:val="both"/>
        <w:rPr>
          <w:rtl/>
        </w:rPr>
      </w:pPr>
      <w:r>
        <w:rPr>
          <w:rFonts w:hint="cs"/>
          <w:rtl/>
        </w:rPr>
        <w:t>השימוש בנשק שביצע נאשם 1 מגביר את חומרת מעשיו. ירי בנשק חם, אף אם מבוצע במקומות שאינם הומי אדם מגביר את הסיכון לשלום הציבור ובטחונו (</w:t>
      </w:r>
      <w:hyperlink r:id="rId24" w:history="1">
        <w:r w:rsidR="00630411" w:rsidRPr="00630411">
          <w:rPr>
            <w:color w:val="0000FF"/>
            <w:u w:val="single"/>
            <w:rtl/>
          </w:rPr>
          <w:t>ע"פ 3728/22</w:t>
        </w:r>
      </w:hyperlink>
      <w:r>
        <w:rPr>
          <w:rFonts w:hint="cs"/>
          <w:rtl/>
        </w:rPr>
        <w:t xml:space="preserve"> </w:t>
      </w:r>
      <w:r>
        <w:rPr>
          <w:rFonts w:hint="cs"/>
          <w:b/>
          <w:bCs/>
          <w:rtl/>
        </w:rPr>
        <w:t>מסלאחה נ' מדינת ישראל</w:t>
      </w:r>
      <w:r>
        <w:rPr>
          <w:rFonts w:hint="cs"/>
          <w:rtl/>
        </w:rPr>
        <w:t>, פס' 11</w:t>
      </w:r>
      <w:r>
        <w:rPr>
          <w:rFonts w:hint="cs"/>
          <w:b/>
          <w:bCs/>
          <w:rtl/>
        </w:rPr>
        <w:t xml:space="preserve"> </w:t>
      </w:r>
      <w:r>
        <w:rPr>
          <w:rFonts w:hint="cs"/>
          <w:rtl/>
        </w:rPr>
        <w:t xml:space="preserve">(9.8.22)). </w:t>
      </w:r>
    </w:p>
    <w:p w14:paraId="7F4A3837" w14:textId="77777777" w:rsidR="00DE62BF" w:rsidRDefault="00DE62BF" w:rsidP="00DE62BF">
      <w:pPr>
        <w:pStyle w:val="a9"/>
      </w:pPr>
    </w:p>
    <w:p w14:paraId="5D5B8685" w14:textId="77777777" w:rsidR="00DE62BF" w:rsidRDefault="00DE62BF" w:rsidP="00DE62BF">
      <w:pPr>
        <w:pStyle w:val="a9"/>
        <w:autoSpaceDE w:val="0"/>
        <w:autoSpaceDN w:val="0"/>
        <w:adjustRightInd w:val="0"/>
        <w:spacing w:after="120" w:line="360" w:lineRule="auto"/>
        <w:jc w:val="both"/>
        <w:rPr>
          <w:rtl/>
        </w:rPr>
      </w:pPr>
      <w:r>
        <w:rPr>
          <w:rFonts w:hint="cs"/>
          <w:rtl/>
        </w:rPr>
        <w:t xml:space="preserve">אף בעניין זה אמר המחוקק את דברו, באמצעות תיקונו של </w:t>
      </w:r>
      <w:hyperlink r:id="rId25" w:history="1">
        <w:r w:rsidR="006D13BB" w:rsidRPr="006D13BB">
          <w:rPr>
            <w:rStyle w:val="Hyperlink"/>
            <w:rFonts w:hint="eastAsia"/>
            <w:rtl/>
          </w:rPr>
          <w:t>סעיף</w:t>
        </w:r>
        <w:r w:rsidR="006D13BB" w:rsidRPr="006D13BB">
          <w:rPr>
            <w:rStyle w:val="Hyperlink"/>
            <w:rtl/>
          </w:rPr>
          <w:t xml:space="preserve"> 340א</w:t>
        </w:r>
      </w:hyperlink>
      <w:r>
        <w:rPr>
          <w:rFonts w:hint="cs"/>
          <w:rtl/>
        </w:rPr>
        <w:t xml:space="preserve"> לחוק, לרבות החמרת העונש הקבוע בצד העבירה של ירי באזור מגורים לחמש שנות מאסר  (הצעת </w:t>
      </w:r>
      <w:hyperlink r:id="rId26" w:history="1">
        <w:r w:rsidR="00630411" w:rsidRPr="00630411">
          <w:rPr>
            <w:color w:val="0000FF"/>
            <w:u w:val="single"/>
            <w:rtl/>
          </w:rPr>
          <w:t>חוק העונשין</w:t>
        </w:r>
      </w:hyperlink>
      <w:r>
        <w:rPr>
          <w:rFonts w:hint="cs"/>
          <w:rtl/>
        </w:rPr>
        <w:t xml:space="preserve"> (תיקון מס' 132) (ירי מנשק חם), התשע"ח-2018, ה"ח 1223 ראו גם: </w:t>
      </w:r>
      <w:hyperlink r:id="rId27" w:history="1">
        <w:r w:rsidR="00630411" w:rsidRPr="00630411">
          <w:rPr>
            <w:color w:val="0000FF"/>
            <w:u w:val="single"/>
            <w:rtl/>
          </w:rPr>
          <w:t>ע"פ 4595/13</w:t>
        </w:r>
      </w:hyperlink>
      <w:r>
        <w:rPr>
          <w:rFonts w:hint="cs"/>
          <w:rtl/>
        </w:rPr>
        <w:t xml:space="preserve"> </w:t>
      </w:r>
      <w:r>
        <w:rPr>
          <w:rFonts w:hint="cs"/>
          <w:b/>
          <w:bCs/>
          <w:rtl/>
        </w:rPr>
        <w:t>זובידאת נ' מדינת ישראל</w:t>
      </w:r>
      <w:r>
        <w:rPr>
          <w:rFonts w:hint="cs"/>
          <w:rtl/>
        </w:rPr>
        <w:t xml:space="preserve">; </w:t>
      </w:r>
      <w:hyperlink r:id="rId28" w:history="1">
        <w:r w:rsidR="00630411" w:rsidRPr="00630411">
          <w:rPr>
            <w:color w:val="0000FF"/>
            <w:u w:val="single"/>
            <w:rtl/>
          </w:rPr>
          <w:t>ע"פ 1414/17</w:t>
        </w:r>
      </w:hyperlink>
      <w:r>
        <w:rPr>
          <w:rFonts w:hint="cs"/>
          <w:rtl/>
        </w:rPr>
        <w:t xml:space="preserve">, </w:t>
      </w:r>
      <w:hyperlink r:id="rId29" w:history="1">
        <w:r w:rsidR="00C80048" w:rsidRPr="00C80048">
          <w:rPr>
            <w:color w:val="0000FF"/>
            <w:u w:val="single"/>
            <w:rtl/>
          </w:rPr>
          <w:t xml:space="preserve">2030/17 </w:t>
        </w:r>
      </w:hyperlink>
      <w:r>
        <w:rPr>
          <w:rFonts w:hint="cs"/>
          <w:rtl/>
        </w:rPr>
        <w:t xml:space="preserve"> </w:t>
      </w:r>
      <w:r>
        <w:rPr>
          <w:rFonts w:hint="cs"/>
          <w:b/>
          <w:bCs/>
          <w:rtl/>
        </w:rPr>
        <w:t>עריאן נ' מדינת ישראל</w:t>
      </w:r>
      <w:r>
        <w:rPr>
          <w:rFonts w:hint="cs"/>
          <w:rtl/>
        </w:rPr>
        <w:t xml:space="preserve">, 25.10.17) </w:t>
      </w:r>
    </w:p>
    <w:p w14:paraId="1B4495ED" w14:textId="77777777" w:rsidR="00DE62BF" w:rsidRDefault="00DE62BF" w:rsidP="00DE62BF">
      <w:pPr>
        <w:pStyle w:val="a9"/>
        <w:spacing w:after="120" w:line="360" w:lineRule="auto"/>
        <w:jc w:val="both"/>
        <w:rPr>
          <w:rtl/>
        </w:rPr>
      </w:pPr>
    </w:p>
    <w:p w14:paraId="3138775F" w14:textId="77777777" w:rsidR="00DE62BF" w:rsidRDefault="00DE62BF" w:rsidP="00DE62BF">
      <w:pPr>
        <w:pStyle w:val="a9"/>
        <w:numPr>
          <w:ilvl w:val="0"/>
          <w:numId w:val="1"/>
        </w:numPr>
        <w:spacing w:after="160" w:line="360" w:lineRule="auto"/>
        <w:jc w:val="both"/>
        <w:rPr>
          <w:rtl/>
        </w:rPr>
      </w:pPr>
      <w:r>
        <w:rPr>
          <w:rFonts w:hint="cs"/>
          <w:b/>
          <w:bCs/>
          <w:rtl/>
        </w:rPr>
        <w:t xml:space="preserve">נסיבות מעשי הנאשמים- </w:t>
      </w:r>
      <w:r>
        <w:rPr>
          <w:rFonts w:hint="cs"/>
          <w:rtl/>
        </w:rPr>
        <w:t xml:space="preserve"> על רקע סכסוך מיותר, בין נאשם 2 לבני משפחת המתלונן, שכנו, בנוגע למקום חנייה, הוציא נאשם 2 פטיש מרכבו ואיים באמצעותו על המתלונן ואחיינו. נאשם 1, אחיו הצעיר, ששהה במקום, איים על שכניו "שיראה להם", נכנס לבית, יצא כשבחזקתו נשק וירה מספר יריות באוויר בסמוך לנפגעי העבירה. </w:t>
      </w:r>
    </w:p>
    <w:p w14:paraId="5E483BEB" w14:textId="77777777" w:rsidR="00DE62BF" w:rsidRDefault="00DE62BF" w:rsidP="00DE62BF">
      <w:pPr>
        <w:pStyle w:val="a9"/>
      </w:pPr>
    </w:p>
    <w:p w14:paraId="142FA05B" w14:textId="77777777" w:rsidR="00DE62BF" w:rsidRDefault="00DE62BF" w:rsidP="00DE62BF">
      <w:pPr>
        <w:pStyle w:val="a9"/>
        <w:numPr>
          <w:ilvl w:val="0"/>
          <w:numId w:val="1"/>
        </w:numPr>
        <w:spacing w:after="160" w:line="360" w:lineRule="auto"/>
        <w:jc w:val="both"/>
        <w:rPr>
          <w:rtl/>
        </w:rPr>
      </w:pPr>
      <w:r>
        <w:rPr>
          <w:rFonts w:hint="cs"/>
          <w:rtl/>
        </w:rPr>
        <w:t xml:space="preserve">מעשיו של נאשם 1 בוצעו באימפולסיביות, הזמן הקצר שחלף בין כניסתו לביתו ועד יציאתו חמוש בנשק טעון מלמד על נגישות לנשק, ועל שימוש בו ללא מחשבה ותוך סיכון ממשי לנוכחים במקום. טענתו בתסקיר, שקיבל את הנשק מאחיו וכי לא ידע שאינו חוקי, לא מגובה בראיות, ואינה מתיישבת עם הקלות הבלתי נסבלת שבה פתח בירי שהיה בו כדי לאיים ולהטיל מורא על שכניו. מאחר שלא צויין במפורש סוג הנשק, אלא שהיה טעון בכדורי 9 מ"מ, ניתן להניח שאחז באקדח. בצד זאת, הירי בוצע לאוויר ולא בכוונה לפגוע בנוכחים אך פוטנציאל הנזק ממעשי נאשם 1, אינו נמוך. אשר לנאשם 2- הנאשם הוא שהתחיל בויכוח על עניין פעוט, איים תוך שימוש בפטיש על המתלונן ואחיינו. אחיו, נאשם 1, בא לעזרתו ופעל באופן פסול. </w:t>
      </w:r>
    </w:p>
    <w:p w14:paraId="022791D0" w14:textId="77777777" w:rsidR="00DE62BF" w:rsidRDefault="00DE62BF" w:rsidP="00DE62BF">
      <w:pPr>
        <w:pStyle w:val="a9"/>
      </w:pPr>
    </w:p>
    <w:p w14:paraId="4311885E" w14:textId="77777777" w:rsidR="00DE62BF" w:rsidRDefault="00DE62BF" w:rsidP="00DE62BF">
      <w:pPr>
        <w:pStyle w:val="a9"/>
        <w:numPr>
          <w:ilvl w:val="0"/>
          <w:numId w:val="1"/>
        </w:numPr>
        <w:spacing w:after="120" w:line="360" w:lineRule="auto"/>
        <w:jc w:val="both"/>
        <w:rPr>
          <w:rFonts w:ascii="Times New Roman" w:eastAsia="Times New Roman" w:hAnsi="Times New Roman"/>
          <w:rtl/>
        </w:rPr>
      </w:pPr>
      <w:r>
        <w:rPr>
          <w:rFonts w:ascii="Times New Roman" w:eastAsia="Times New Roman" w:hAnsi="Times New Roman" w:hint="cs"/>
          <w:rtl/>
        </w:rPr>
        <w:t xml:space="preserve">בחינת מידת פגיעת מעשי הנאשמים בערכים המוגנים מובילה למסקנה כי היא </w:t>
      </w:r>
      <w:r>
        <w:rPr>
          <w:rFonts w:ascii="Times New Roman" w:eastAsia="Times New Roman" w:hAnsi="Times New Roman" w:hint="cs"/>
          <w:b/>
          <w:bCs/>
          <w:rtl/>
        </w:rPr>
        <w:t xml:space="preserve">ברף הבינוני.  </w:t>
      </w:r>
    </w:p>
    <w:p w14:paraId="12A953A6" w14:textId="77777777" w:rsidR="00DE62BF" w:rsidRDefault="00DE62BF" w:rsidP="00DE62BF">
      <w:pPr>
        <w:pStyle w:val="a9"/>
        <w:rPr>
          <w:rFonts w:ascii="Times New Roman" w:eastAsia="Times New Roman" w:hAnsi="Times New Roman"/>
          <w:rtl/>
        </w:rPr>
      </w:pPr>
    </w:p>
    <w:p w14:paraId="04FAB517" w14:textId="77777777" w:rsidR="00DE62BF" w:rsidRDefault="00DE62BF" w:rsidP="00DE62BF">
      <w:pPr>
        <w:rPr>
          <w:rFonts w:ascii="David" w:eastAsia="David" w:hAnsi="David"/>
          <w:rtl/>
        </w:rPr>
      </w:pPr>
      <w:r>
        <w:rPr>
          <w:rFonts w:hint="cs"/>
          <w:b/>
          <w:bCs/>
          <w:u w:val="single"/>
          <w:rtl/>
        </w:rPr>
        <w:t>מדיניות הענישה הנוהגת</w:t>
      </w:r>
    </w:p>
    <w:p w14:paraId="2101E629" w14:textId="77777777" w:rsidR="00DE62BF" w:rsidRDefault="00DE62BF" w:rsidP="00DE62BF">
      <w:pPr>
        <w:rPr>
          <w:rtl/>
        </w:rPr>
      </w:pPr>
    </w:p>
    <w:p w14:paraId="60E76C37" w14:textId="77777777" w:rsidR="00DE62BF" w:rsidRDefault="00DE62BF" w:rsidP="00DE62BF">
      <w:pPr>
        <w:pStyle w:val="a9"/>
        <w:numPr>
          <w:ilvl w:val="0"/>
          <w:numId w:val="1"/>
        </w:numPr>
        <w:spacing w:after="160" w:line="360" w:lineRule="auto"/>
        <w:jc w:val="both"/>
        <w:rPr>
          <w:rtl/>
        </w:rPr>
      </w:pPr>
      <w:r>
        <w:rPr>
          <w:rFonts w:hint="cs"/>
          <w:rtl/>
        </w:rPr>
        <w:t xml:space="preserve">דינם של עברייני הנשק הוא למאסר מאחורי סורג ובריח,  הפסיקה אינה מקלה עם נאשמים צעירים או נעדרי עבר פלילי, ומבכרת את האינטרס הציבורי על פני נסיבותיו האישיות של הנאשם, לרבות במקרי שיקום. המסר העונשי נחרץ ואינו משתמע לשני פנים: </w:t>
      </w:r>
      <w:r>
        <w:rPr>
          <w:rFonts w:hint="cs"/>
          <w:b/>
          <w:bCs/>
          <w:rtl/>
        </w:rPr>
        <w:t xml:space="preserve">" עלינו לזכור כי מדובר במשחק-סכום-אפס: שופט שמרחם על עבריין נשק ומקל בעונשו אינו מרחם על הקורבן הבא" </w:t>
      </w:r>
      <w:r>
        <w:rPr>
          <w:rFonts w:hint="cs"/>
          <w:rtl/>
        </w:rPr>
        <w:t xml:space="preserve">(פסק דינו של כב' השופט שטיין, </w:t>
      </w:r>
      <w:hyperlink r:id="rId30" w:history="1">
        <w:r w:rsidR="00630411" w:rsidRPr="00630411">
          <w:rPr>
            <w:color w:val="0000FF"/>
            <w:u w:val="single"/>
            <w:rtl/>
          </w:rPr>
          <w:t>ע"פ 7850/21</w:t>
        </w:r>
      </w:hyperlink>
      <w:r>
        <w:rPr>
          <w:rFonts w:hint="cs"/>
          <w:rtl/>
        </w:rPr>
        <w:t xml:space="preserve"> </w:t>
      </w:r>
      <w:r>
        <w:rPr>
          <w:rFonts w:hint="cs"/>
          <w:b/>
          <w:bCs/>
          <w:rtl/>
        </w:rPr>
        <w:t>דסוקי נ' מדינת ישראל</w:t>
      </w:r>
      <w:r>
        <w:rPr>
          <w:rFonts w:hint="cs"/>
          <w:rtl/>
        </w:rPr>
        <w:t xml:space="preserve">  (25.11.2021)):</w:t>
      </w:r>
    </w:p>
    <w:p w14:paraId="292F5219" w14:textId="77777777" w:rsidR="00DE62BF" w:rsidRDefault="00DE62BF" w:rsidP="00DE62BF">
      <w:pPr>
        <w:pStyle w:val="a9"/>
        <w:spacing w:after="160" w:line="360" w:lineRule="auto"/>
        <w:jc w:val="both"/>
      </w:pPr>
    </w:p>
    <w:p w14:paraId="176D53F0" w14:textId="77777777" w:rsidR="00DE62BF" w:rsidRDefault="00DE62BF" w:rsidP="00DE62BF">
      <w:pPr>
        <w:pStyle w:val="a9"/>
        <w:spacing w:after="160" w:line="360" w:lineRule="auto"/>
        <w:jc w:val="both"/>
        <w:rPr>
          <w:rtl/>
        </w:rPr>
      </w:pPr>
      <w:r>
        <w:rPr>
          <w:rFonts w:hint="cs"/>
          <w:rtl/>
        </w:rPr>
        <w:t>ב</w:t>
      </w:r>
      <w:hyperlink r:id="rId31" w:history="1">
        <w:r w:rsidR="00630411" w:rsidRPr="00630411">
          <w:rPr>
            <w:color w:val="0000FF"/>
            <w:u w:val="single"/>
            <w:rtl/>
          </w:rPr>
          <w:t>ע"פ 3169/21</w:t>
        </w:r>
      </w:hyperlink>
      <w:r>
        <w:rPr>
          <w:rFonts w:hint="cs"/>
          <w:rtl/>
        </w:rPr>
        <w:t xml:space="preserve"> </w:t>
      </w:r>
      <w:r>
        <w:rPr>
          <w:rFonts w:hint="cs"/>
          <w:b/>
          <w:bCs/>
          <w:rtl/>
        </w:rPr>
        <w:t>מדינת ישראל נ' אגבריה ואח'</w:t>
      </w:r>
      <w:r>
        <w:rPr>
          <w:rFonts w:hint="cs"/>
          <w:rtl/>
        </w:rPr>
        <w:t xml:space="preserve"> (21.6.2021) החמיר בית המשפט העליון בעונשם של שני משיבים, ללא עבר, אשר ירו באוויר באמצעות רובה סער, 48 קליעים מחוץ לביתו של המתלונן, והשליכו ראש כבש לעבר חצר ביתו. כל אחד מהם נדון למאסר בן 36 חודשים,  חלף 24 חודשי מאסר שהשית עליהם בית המשפט המחוזי; </w:t>
      </w:r>
    </w:p>
    <w:p w14:paraId="5839E345" w14:textId="77777777" w:rsidR="00DE62BF" w:rsidRDefault="00DE62BF" w:rsidP="00DE62BF">
      <w:pPr>
        <w:pStyle w:val="a9"/>
        <w:spacing w:after="160" w:line="360" w:lineRule="auto"/>
        <w:jc w:val="both"/>
        <w:rPr>
          <w:rtl/>
        </w:rPr>
      </w:pPr>
    </w:p>
    <w:p w14:paraId="3FD0BA0A" w14:textId="77777777" w:rsidR="00DE62BF" w:rsidRDefault="00630411" w:rsidP="00DE62BF">
      <w:pPr>
        <w:pStyle w:val="a9"/>
        <w:spacing w:after="160" w:line="360" w:lineRule="auto"/>
        <w:jc w:val="both"/>
        <w:rPr>
          <w:rtl/>
        </w:rPr>
      </w:pPr>
      <w:hyperlink r:id="rId32" w:history="1">
        <w:r w:rsidRPr="00630411">
          <w:rPr>
            <w:color w:val="0000FF"/>
            <w:u w:val="single"/>
            <w:rtl/>
          </w:rPr>
          <w:t>ע"פ 1059/21</w:t>
        </w:r>
      </w:hyperlink>
      <w:r w:rsidR="00DE62BF">
        <w:rPr>
          <w:rFonts w:hint="cs"/>
          <w:rtl/>
        </w:rPr>
        <w:t xml:space="preserve"> </w:t>
      </w:r>
      <w:r w:rsidR="00DE62BF">
        <w:rPr>
          <w:rFonts w:hint="cs"/>
          <w:b/>
          <w:bCs/>
          <w:rtl/>
        </w:rPr>
        <w:t>פלוני נ' מדינת ישראל</w:t>
      </w:r>
      <w:r w:rsidR="00DE62BF">
        <w:rPr>
          <w:rFonts w:hint="cs"/>
          <w:rtl/>
        </w:rPr>
        <w:t xml:space="preserve"> (29.04.2021)- נדחה ערעורו של נאשם שהורשע בהחזקת אקדח גנוב וירי מספר יריות לעבר קטין עמו היה מסוכסך. המערער הורשע בירי לפי </w:t>
      </w:r>
      <w:hyperlink r:id="rId33" w:history="1">
        <w:r w:rsidR="006D13BB" w:rsidRPr="006D13BB">
          <w:rPr>
            <w:rStyle w:val="Hyperlink"/>
            <w:rFonts w:hint="eastAsia"/>
            <w:rtl/>
          </w:rPr>
          <w:t>סעיף</w:t>
        </w:r>
        <w:r w:rsidR="006D13BB" w:rsidRPr="006D13BB">
          <w:rPr>
            <w:rStyle w:val="Hyperlink"/>
            <w:rtl/>
          </w:rPr>
          <w:t xml:space="preserve"> 340(א)</w:t>
        </w:r>
      </w:hyperlink>
      <w:r w:rsidR="00DE62BF">
        <w:rPr>
          <w:rFonts w:hint="cs"/>
          <w:rtl/>
        </w:rPr>
        <w:t xml:space="preserve"> לחוק (פסקה 14), נדון למאסר בן 42 חודשים. ערעורו נדחה;  </w:t>
      </w:r>
    </w:p>
    <w:p w14:paraId="457DE1A8" w14:textId="77777777" w:rsidR="00DE62BF" w:rsidRDefault="00DE62BF" w:rsidP="00DE62BF">
      <w:pPr>
        <w:pStyle w:val="a9"/>
        <w:spacing w:after="160" w:line="360" w:lineRule="auto"/>
        <w:jc w:val="both"/>
        <w:rPr>
          <w:rtl/>
        </w:rPr>
      </w:pPr>
    </w:p>
    <w:p w14:paraId="0946C393" w14:textId="77777777" w:rsidR="00DE62BF" w:rsidRDefault="00DE62BF" w:rsidP="00DE62BF">
      <w:pPr>
        <w:pStyle w:val="a9"/>
        <w:spacing w:after="160" w:line="360" w:lineRule="auto"/>
        <w:jc w:val="both"/>
        <w:rPr>
          <w:rtl/>
        </w:rPr>
      </w:pPr>
      <w:r>
        <w:rPr>
          <w:rFonts w:hint="cs"/>
          <w:rtl/>
        </w:rPr>
        <w:t>ב</w:t>
      </w:r>
      <w:hyperlink r:id="rId34" w:history="1">
        <w:r w:rsidR="00630411" w:rsidRPr="00630411">
          <w:rPr>
            <w:color w:val="0000FF"/>
            <w:u w:val="single"/>
            <w:rtl/>
          </w:rPr>
          <w:t>ע"פ 8322/21</w:t>
        </w:r>
      </w:hyperlink>
      <w:r>
        <w:rPr>
          <w:rFonts w:hint="cs"/>
          <w:rtl/>
        </w:rPr>
        <w:t xml:space="preserve"> </w:t>
      </w:r>
      <w:r>
        <w:rPr>
          <w:rFonts w:hint="cs"/>
          <w:b/>
          <w:bCs/>
          <w:rtl/>
        </w:rPr>
        <w:t>דחלה נ' מדינת ישראל</w:t>
      </w:r>
      <w:r>
        <w:rPr>
          <w:rFonts w:hint="cs"/>
          <w:rtl/>
        </w:rPr>
        <w:t xml:space="preserve"> (13.4.22) דחה בית המשפט העליון את ערעור המערער, צעיר ללא עבר, אשר ירה באקדח בסמוך לבתי מגורים על רקע סכסוך. בית המשפט המחוזי קבע מתחם ענישה הנע בין 54-34 חודשים, נדון למאסר בן 36 חודשים; </w:t>
      </w:r>
    </w:p>
    <w:p w14:paraId="7AC99433" w14:textId="77777777" w:rsidR="00DE62BF" w:rsidRDefault="00DE62BF" w:rsidP="00DE62BF">
      <w:pPr>
        <w:pStyle w:val="a9"/>
        <w:spacing w:after="160" w:line="360" w:lineRule="auto"/>
        <w:jc w:val="both"/>
        <w:rPr>
          <w:rtl/>
        </w:rPr>
      </w:pPr>
    </w:p>
    <w:p w14:paraId="22475267" w14:textId="77777777" w:rsidR="00DE62BF" w:rsidRDefault="00DE62BF" w:rsidP="00DE62BF">
      <w:pPr>
        <w:pStyle w:val="a9"/>
        <w:spacing w:after="160" w:line="360" w:lineRule="auto"/>
        <w:jc w:val="both"/>
        <w:rPr>
          <w:rtl/>
        </w:rPr>
      </w:pPr>
      <w:r>
        <w:rPr>
          <w:rFonts w:hint="cs"/>
          <w:rtl/>
        </w:rPr>
        <w:t>ב</w:t>
      </w:r>
      <w:hyperlink r:id="rId35" w:history="1">
        <w:r w:rsidR="00630411" w:rsidRPr="00630411">
          <w:rPr>
            <w:color w:val="0000FF"/>
            <w:u w:val="single"/>
            <w:rtl/>
          </w:rPr>
          <w:t>ע"פ 1509/20</w:t>
        </w:r>
      </w:hyperlink>
      <w:r>
        <w:rPr>
          <w:rFonts w:hint="cs"/>
          <w:rtl/>
        </w:rPr>
        <w:t xml:space="preserve"> </w:t>
      </w:r>
      <w:r>
        <w:rPr>
          <w:rFonts w:hint="cs"/>
          <w:b/>
          <w:bCs/>
          <w:rtl/>
        </w:rPr>
        <w:t xml:space="preserve">מדינת ישראל נ' נבארי </w:t>
      </w:r>
      <w:r>
        <w:rPr>
          <w:rFonts w:hint="cs"/>
          <w:rtl/>
        </w:rPr>
        <w:t>(2.7.2020)</w:t>
      </w:r>
      <w:r>
        <w:rPr>
          <w:rFonts w:hint="cs"/>
          <w:b/>
          <w:bCs/>
          <w:rtl/>
        </w:rPr>
        <w:t xml:space="preserve"> </w:t>
      </w:r>
      <w:r>
        <w:rPr>
          <w:rFonts w:hint="cs"/>
          <w:rtl/>
        </w:rPr>
        <w:t xml:space="preserve">נדון נאשם, בעל עבר פלילי, בגין נשיאת נשק מסוג "קרלו" וירי בשעת לילה של שני כדורים באזור מגורים למאסר בן 27 חודשים, נקבע מתחם שנע בין 20-50 חודשי מאסר. בית המשפט קיבל את ערעור המדינה, קבע כי לא ניתן ביטוי הולם לחומרת המעשים ולצרכי ההרתעה, והעמיד את עונשו על 36 חודשי מאסר; </w:t>
      </w:r>
    </w:p>
    <w:p w14:paraId="25310639" w14:textId="77777777" w:rsidR="00DE62BF" w:rsidRDefault="00DE62BF" w:rsidP="00DE62BF">
      <w:pPr>
        <w:pStyle w:val="a9"/>
        <w:spacing w:after="160" w:line="360" w:lineRule="auto"/>
        <w:jc w:val="both"/>
        <w:rPr>
          <w:rtl/>
        </w:rPr>
      </w:pPr>
    </w:p>
    <w:p w14:paraId="64C87326" w14:textId="77777777" w:rsidR="00DE62BF" w:rsidRDefault="00DE62BF" w:rsidP="00DE62BF">
      <w:pPr>
        <w:pStyle w:val="a9"/>
        <w:spacing w:after="160" w:line="360" w:lineRule="auto"/>
        <w:jc w:val="both"/>
        <w:rPr>
          <w:rtl/>
        </w:rPr>
      </w:pPr>
      <w:r>
        <w:rPr>
          <w:rFonts w:hint="cs"/>
          <w:rtl/>
        </w:rPr>
        <w:t>ב</w:t>
      </w:r>
      <w:hyperlink r:id="rId36" w:history="1">
        <w:r w:rsidR="00630411" w:rsidRPr="00630411">
          <w:rPr>
            <w:color w:val="0000FF"/>
            <w:u w:val="single"/>
            <w:rtl/>
          </w:rPr>
          <w:t>ע"פ 7831/21</w:t>
        </w:r>
      </w:hyperlink>
      <w:r>
        <w:rPr>
          <w:rFonts w:hint="cs"/>
          <w:rtl/>
        </w:rPr>
        <w:t xml:space="preserve"> </w:t>
      </w:r>
      <w:r>
        <w:rPr>
          <w:rFonts w:hint="cs"/>
          <w:b/>
          <w:bCs/>
          <w:rtl/>
        </w:rPr>
        <w:t>מחמוד עסליה נ' מדינת ישראל</w:t>
      </w:r>
      <w:r>
        <w:rPr>
          <w:rFonts w:hint="cs"/>
          <w:rtl/>
        </w:rPr>
        <w:t xml:space="preserve"> (24.4.2022) דחה בית המשפט העליון את ערעור המערער, ללא עבר, אשר יחד עם שניים אחרים, ירה במועדון הומה אדם באופן פזיז, על רקע סכסוך עם אחד מהנוכחים במקום. בית המשפט המחוזי קבע מתחם ענישה הנע בין 72-36 חודשי מאסר, וגזר עונשו למאסר בן 42 חודשים;</w:t>
      </w:r>
    </w:p>
    <w:p w14:paraId="78F66CB7" w14:textId="77777777" w:rsidR="00DE62BF" w:rsidRDefault="00DE62BF" w:rsidP="00DE62BF">
      <w:pPr>
        <w:pStyle w:val="a9"/>
        <w:spacing w:after="160" w:line="360" w:lineRule="auto"/>
        <w:jc w:val="both"/>
        <w:rPr>
          <w:rtl/>
        </w:rPr>
      </w:pPr>
    </w:p>
    <w:p w14:paraId="20B5A89C" w14:textId="77777777" w:rsidR="00DE62BF" w:rsidRDefault="00DE62BF" w:rsidP="00DE62BF">
      <w:pPr>
        <w:pStyle w:val="a9"/>
        <w:spacing w:after="160" w:line="360" w:lineRule="auto"/>
        <w:jc w:val="both"/>
        <w:rPr>
          <w:rtl/>
        </w:rPr>
      </w:pPr>
      <w:r>
        <w:rPr>
          <w:rFonts w:hint="cs"/>
          <w:rtl/>
        </w:rPr>
        <w:t>ב</w:t>
      </w:r>
      <w:hyperlink r:id="rId37" w:history="1">
        <w:r w:rsidR="00630411" w:rsidRPr="00630411">
          <w:rPr>
            <w:color w:val="0000FF"/>
            <w:u w:val="single"/>
            <w:rtl/>
          </w:rPr>
          <w:t>ע"פ 1682/22</w:t>
        </w:r>
      </w:hyperlink>
      <w:r>
        <w:rPr>
          <w:rFonts w:hint="cs"/>
          <w:rtl/>
        </w:rPr>
        <w:t xml:space="preserve"> </w:t>
      </w:r>
      <w:r>
        <w:rPr>
          <w:rFonts w:hint="cs"/>
          <w:b/>
          <w:bCs/>
          <w:rtl/>
        </w:rPr>
        <w:t>סבג נ' מדינת ישראל</w:t>
      </w:r>
      <w:r>
        <w:rPr>
          <w:rFonts w:hint="cs"/>
          <w:rtl/>
        </w:rPr>
        <w:t xml:space="preserve"> (11.9.22), מקרה שנסיבותיו חמורות יותר מענייננו, דחה בית המשפט העליון את ערעור המערער, בעל עבר פלילי מכביד, אשר יחד עם שניים נוספים, ירה באקדח חצי אוטומטי בשעת צהריים סמוך לביתו של אדם עמו היה מסוכסך. נקבע מתחם ענישה הנע בין 60-30 חודשי מאסר, המערער נדון למאסר בן 45 חודשים. </w:t>
      </w:r>
    </w:p>
    <w:p w14:paraId="74123386" w14:textId="77777777" w:rsidR="00DE62BF" w:rsidRDefault="00DE62BF" w:rsidP="00DE62BF">
      <w:pPr>
        <w:pStyle w:val="a9"/>
        <w:spacing w:after="160" w:line="360" w:lineRule="auto"/>
        <w:jc w:val="both"/>
        <w:rPr>
          <w:rtl/>
        </w:rPr>
      </w:pPr>
    </w:p>
    <w:p w14:paraId="794F8720" w14:textId="77777777" w:rsidR="00DE62BF" w:rsidRDefault="00DE62BF" w:rsidP="00DE62BF">
      <w:pPr>
        <w:pStyle w:val="a9"/>
        <w:numPr>
          <w:ilvl w:val="0"/>
          <w:numId w:val="1"/>
        </w:numPr>
        <w:spacing w:after="160" w:line="360" w:lineRule="auto"/>
        <w:jc w:val="both"/>
        <w:rPr>
          <w:b/>
          <w:bCs/>
          <w:rtl/>
        </w:rPr>
      </w:pPr>
      <w:r>
        <w:rPr>
          <w:rFonts w:hint="cs"/>
          <w:rtl/>
        </w:rPr>
        <w:t>אשר על כן, לאחר שבחנתי את נסיבות מעשי הנאשם 1, ובעיקר נתתי משקל לעתירתה המתונה של המאשימה, אני קובעת מתחם ענישה שנע</w:t>
      </w:r>
      <w:r>
        <w:rPr>
          <w:rFonts w:hint="cs"/>
          <w:b/>
          <w:bCs/>
          <w:rtl/>
        </w:rPr>
        <w:t xml:space="preserve"> בין 28-50 חודשי מאסר. אשר לנאשם 2 </w:t>
      </w:r>
      <w:r>
        <w:rPr>
          <w:rFonts w:hint="cs"/>
          <w:rtl/>
        </w:rPr>
        <w:t xml:space="preserve">, בהנתן נסיבות מעשה האיום תוך שימוש בפטיש ובמלל, נקבע מתחם ענישה שנע בין 2-8 חודשי מאסר, הניתנים לריצוי בדרך של עבודות שירות. </w:t>
      </w:r>
    </w:p>
    <w:p w14:paraId="7AFFC2BE" w14:textId="77777777" w:rsidR="00DE62BF" w:rsidRDefault="00DE62BF" w:rsidP="00DE62BF">
      <w:pPr>
        <w:pStyle w:val="a9"/>
        <w:rPr>
          <w:b/>
          <w:bCs/>
        </w:rPr>
      </w:pPr>
    </w:p>
    <w:p w14:paraId="40DEF76C" w14:textId="77777777" w:rsidR="00DE62BF" w:rsidRDefault="00DE62BF" w:rsidP="00DE62BF">
      <w:pPr>
        <w:spacing w:after="160" w:line="360" w:lineRule="auto"/>
        <w:jc w:val="both"/>
        <w:rPr>
          <w:b/>
          <w:bCs/>
          <w:u w:val="single"/>
          <w:rtl/>
        </w:rPr>
      </w:pPr>
      <w:r>
        <w:rPr>
          <w:rFonts w:hint="cs"/>
          <w:b/>
          <w:bCs/>
          <w:u w:val="single"/>
          <w:rtl/>
        </w:rPr>
        <w:t>גזירת העונשים המתאימים לנאשמים</w:t>
      </w:r>
    </w:p>
    <w:p w14:paraId="44C6C293" w14:textId="77777777" w:rsidR="00DE62BF" w:rsidRDefault="00DE62BF" w:rsidP="00DE62BF">
      <w:pPr>
        <w:pStyle w:val="a9"/>
        <w:numPr>
          <w:ilvl w:val="0"/>
          <w:numId w:val="1"/>
        </w:numPr>
        <w:spacing w:after="160" w:line="360" w:lineRule="auto"/>
        <w:jc w:val="both"/>
      </w:pPr>
      <w:r>
        <w:rPr>
          <w:rFonts w:hint="cs"/>
          <w:rtl/>
        </w:rPr>
        <w:t xml:space="preserve">הנאשם 1, בן 25, נטול עבר פלילי, מנהל אורח חיים יציב, עובד לפרנסתו, ואף משלים תואר הנדסאי בניין, נשוי ואב לתינוקת, שהה במעצר בתיק זה מספר חודשים. הנאשם טען כי נערך הסכם סולחה עם שכניו (אך לא הוצגה אסמכתא). התסקיר שהתקבל בעניינו אינו בא בהמלצה טיפולית, אדרבא, שירות המבחן סבור שיש לגזור על הנאשם ענישת מאסר מוחשית. הנאשם נטל אחריות חלקית על מעשיו, גלגל את רובה לעבר אחיו ואוחז בעמדות מקלות ביחס לשימוש בנשק בלתי חוקי. הנאשם אמנם אינו בעל דפוסים עברייניים, ונראה כי למד את לקחו ומביע חרטה כנה על מעשיו, עם זאת,  נתוניו אינם שונים מנתוניהם של מרבית עברייני הנשק בעת האחרונה, רובם צעירים, בנים למשפחות נורמטיביות, נטולי עבר פלילי, העושים שימוש פזיז בנשק לפתרון סכסוכים. </w:t>
      </w:r>
    </w:p>
    <w:p w14:paraId="1823612A" w14:textId="77777777" w:rsidR="00DE62BF" w:rsidRDefault="00DE62BF" w:rsidP="00DE62BF">
      <w:pPr>
        <w:pStyle w:val="a9"/>
        <w:spacing w:after="160" w:line="360" w:lineRule="auto"/>
        <w:jc w:val="both"/>
      </w:pPr>
    </w:p>
    <w:p w14:paraId="205340FB" w14:textId="77777777" w:rsidR="00DE62BF" w:rsidRDefault="00DE62BF" w:rsidP="00DE62BF">
      <w:pPr>
        <w:pStyle w:val="a9"/>
        <w:spacing w:after="160" w:line="360" w:lineRule="auto"/>
        <w:jc w:val="both"/>
      </w:pPr>
      <w:r>
        <w:rPr>
          <w:rFonts w:hint="cs"/>
          <w:rtl/>
        </w:rPr>
        <w:t xml:space="preserve">נאשם 2, בן 45, תסקירו אינו חיובי אך מגלה נזקקות טיפולית ונכונות לשיתוף פעולה עם שירות המבחן. </w:t>
      </w:r>
    </w:p>
    <w:p w14:paraId="34F0A3EB" w14:textId="77777777" w:rsidR="00DE62BF" w:rsidRDefault="00DE62BF" w:rsidP="00DE62BF">
      <w:pPr>
        <w:pStyle w:val="a9"/>
      </w:pPr>
    </w:p>
    <w:p w14:paraId="0ECD33D5" w14:textId="77777777" w:rsidR="00DE62BF" w:rsidRDefault="00DE62BF" w:rsidP="00DE62BF">
      <w:pPr>
        <w:pStyle w:val="a9"/>
        <w:numPr>
          <w:ilvl w:val="0"/>
          <w:numId w:val="1"/>
        </w:numPr>
        <w:spacing w:after="160" w:line="360" w:lineRule="auto"/>
        <w:jc w:val="both"/>
        <w:rPr>
          <w:b/>
          <w:bCs/>
          <w:u w:val="single"/>
          <w:rtl/>
        </w:rPr>
      </w:pPr>
      <w:r>
        <w:rPr>
          <w:rFonts w:hint="cs"/>
          <w:rtl/>
        </w:rPr>
        <w:t xml:space="preserve">לאחר ששקלתי את כלל השיקולים, באשר לנאשם 1, הגם שתסקירו אינו חיובי אתחשב בפגיעה הצפוייה של מאסרו בו ובמשפחתו הצעירה, ואמקם את עונשו בתחתית המתחם. אף את עונשו של נאשם 2 אמקם בתחתית המתחם ואטיל עליו צו מבחן. אשר לעתירת המאשימה לפיצוי, אני סבורה שמדובר בעתירה ראויה, חוסר רצונו של המתלונן לבקש פיצוי, מובן, אך ברי שחש פחד רב כתוצאה ממעשי הנאשמים ונגרמה לו עוגמת נפש. </w:t>
      </w:r>
    </w:p>
    <w:p w14:paraId="714A3477" w14:textId="77777777" w:rsidR="00DE62BF" w:rsidRDefault="00DE62BF" w:rsidP="00DE62BF">
      <w:pPr>
        <w:pStyle w:val="a9"/>
        <w:spacing w:after="160" w:line="360" w:lineRule="auto"/>
        <w:jc w:val="both"/>
        <w:rPr>
          <w:b/>
          <w:bCs/>
          <w:u w:val="single"/>
          <w:rtl/>
        </w:rPr>
      </w:pPr>
    </w:p>
    <w:p w14:paraId="46CB9B03" w14:textId="77777777" w:rsidR="00DE62BF" w:rsidRDefault="00DE62BF" w:rsidP="00DE62BF">
      <w:pPr>
        <w:pStyle w:val="a9"/>
        <w:spacing w:after="160" w:line="360" w:lineRule="auto"/>
        <w:jc w:val="both"/>
        <w:rPr>
          <w:b/>
          <w:bCs/>
          <w:u w:val="single"/>
        </w:rPr>
      </w:pPr>
    </w:p>
    <w:p w14:paraId="0C069D95" w14:textId="77777777" w:rsidR="00DE62BF" w:rsidRDefault="00DE62BF" w:rsidP="00DE62BF">
      <w:pPr>
        <w:pStyle w:val="a9"/>
        <w:spacing w:after="160" w:line="360" w:lineRule="auto"/>
        <w:jc w:val="both"/>
        <w:rPr>
          <w:rtl/>
        </w:rPr>
      </w:pPr>
      <w:r>
        <w:rPr>
          <w:rFonts w:hint="cs"/>
          <w:b/>
          <w:bCs/>
          <w:u w:val="single"/>
          <w:rtl/>
        </w:rPr>
        <w:t>סוף דבר</w:t>
      </w:r>
    </w:p>
    <w:p w14:paraId="74D80849" w14:textId="77777777" w:rsidR="00DE62BF" w:rsidRDefault="00DE62BF" w:rsidP="00DE62BF">
      <w:pPr>
        <w:pStyle w:val="a9"/>
        <w:numPr>
          <w:ilvl w:val="0"/>
          <w:numId w:val="1"/>
        </w:numPr>
        <w:spacing w:after="160" w:line="360" w:lineRule="auto"/>
        <w:jc w:val="both"/>
        <w:rPr>
          <w:b/>
          <w:bCs/>
          <w:rtl/>
        </w:rPr>
      </w:pPr>
      <w:r>
        <w:rPr>
          <w:rFonts w:hint="cs"/>
          <w:b/>
          <w:bCs/>
          <w:rtl/>
        </w:rPr>
        <w:t>אני גוזרת על הנאשמים את העונשים הבאים:</w:t>
      </w:r>
    </w:p>
    <w:p w14:paraId="1EC2CA57" w14:textId="77777777" w:rsidR="00DE62BF" w:rsidRDefault="00DE62BF" w:rsidP="00DE62BF">
      <w:pPr>
        <w:pStyle w:val="a9"/>
        <w:rPr>
          <w:b/>
          <w:bCs/>
          <w:u w:val="single"/>
        </w:rPr>
      </w:pPr>
      <w:r>
        <w:rPr>
          <w:rFonts w:hint="cs"/>
          <w:b/>
          <w:bCs/>
          <w:u w:val="single"/>
          <w:rtl/>
        </w:rPr>
        <w:t xml:space="preserve">נאשם 1- </w:t>
      </w:r>
    </w:p>
    <w:p w14:paraId="31D91BC9" w14:textId="77777777" w:rsidR="00DE62BF" w:rsidRDefault="00DE62BF" w:rsidP="00DE62BF">
      <w:pPr>
        <w:pStyle w:val="a9"/>
        <w:rPr>
          <w:rtl/>
        </w:rPr>
      </w:pPr>
    </w:p>
    <w:p w14:paraId="710BBFFD" w14:textId="77777777" w:rsidR="00DE62BF" w:rsidRDefault="00DE62BF" w:rsidP="00DE62BF">
      <w:pPr>
        <w:pStyle w:val="a9"/>
        <w:numPr>
          <w:ilvl w:val="0"/>
          <w:numId w:val="2"/>
        </w:numPr>
        <w:spacing w:after="160" w:line="480" w:lineRule="auto"/>
        <w:jc w:val="both"/>
        <w:rPr>
          <w:rtl/>
        </w:rPr>
      </w:pPr>
      <w:r>
        <w:rPr>
          <w:rFonts w:hint="cs"/>
          <w:rtl/>
        </w:rPr>
        <w:t xml:space="preserve">28 חודשי מאסר בפועל, בניכוי ימי מעצרו 15.12.21-21.2.22. </w:t>
      </w:r>
    </w:p>
    <w:p w14:paraId="6AD1422C" w14:textId="77777777" w:rsidR="00DE62BF" w:rsidRDefault="00DE62BF" w:rsidP="00DE62BF">
      <w:pPr>
        <w:pStyle w:val="a9"/>
        <w:numPr>
          <w:ilvl w:val="0"/>
          <w:numId w:val="2"/>
        </w:numPr>
        <w:spacing w:after="160" w:line="480" w:lineRule="auto"/>
        <w:jc w:val="both"/>
      </w:pPr>
      <w:r>
        <w:rPr>
          <w:rFonts w:hint="cs"/>
          <w:rtl/>
        </w:rPr>
        <w:t>מאסר על תנאי בן 12 חודשים לבל יעבור הנאשם עבירת נשק , לרבות שימוש בו שלא כדין, תוך 3 שנים מיום שחרורו.</w:t>
      </w:r>
    </w:p>
    <w:p w14:paraId="78E47629" w14:textId="77777777" w:rsidR="00DE62BF" w:rsidRDefault="00DE62BF" w:rsidP="00DE62BF">
      <w:pPr>
        <w:pStyle w:val="a9"/>
        <w:numPr>
          <w:ilvl w:val="0"/>
          <w:numId w:val="2"/>
        </w:numPr>
        <w:spacing w:after="160" w:line="480" w:lineRule="auto"/>
        <w:jc w:val="both"/>
      </w:pPr>
      <w:r>
        <w:rPr>
          <w:rFonts w:hint="cs"/>
          <w:rtl/>
        </w:rPr>
        <w:t>פיצוי למתלונן א.א בסך 5,000 ₪ שישולם ב-5 תשלומים שווים ורצופים החל מיום 1.8.23.</w:t>
      </w:r>
    </w:p>
    <w:p w14:paraId="6F95FD8D" w14:textId="77777777" w:rsidR="00DE62BF" w:rsidRDefault="00DE62BF" w:rsidP="00DE62BF">
      <w:pPr>
        <w:pStyle w:val="a9"/>
        <w:numPr>
          <w:ilvl w:val="0"/>
          <w:numId w:val="2"/>
        </w:numPr>
        <w:spacing w:after="160" w:line="480" w:lineRule="auto"/>
        <w:jc w:val="both"/>
      </w:pPr>
      <w:r>
        <w:rPr>
          <w:rFonts w:hint="cs"/>
          <w:rtl/>
        </w:rPr>
        <w:t xml:space="preserve">הנאשם יתייצב לריצוי מאסרו ביום 18.9.23 עד השעה 10:00 בבימ"ר "הדרים".לצורך הבטחת התייצבותו תעמדונה הערבויות וצו עיכוב יציאה מהארץ בהליך המעצר, שיושבו למפקיד עם כניסתו למאסר. </w:t>
      </w:r>
    </w:p>
    <w:p w14:paraId="682CF166" w14:textId="77777777" w:rsidR="00DE62BF" w:rsidRDefault="00DE62BF" w:rsidP="00DE62BF">
      <w:pPr>
        <w:spacing w:after="160" w:line="480" w:lineRule="auto"/>
        <w:ind w:left="720"/>
        <w:jc w:val="both"/>
        <w:rPr>
          <w:b/>
          <w:bCs/>
          <w:u w:val="single"/>
        </w:rPr>
      </w:pPr>
      <w:r>
        <w:rPr>
          <w:rFonts w:hint="cs"/>
          <w:b/>
          <w:bCs/>
          <w:u w:val="single"/>
          <w:rtl/>
        </w:rPr>
        <w:t>נאשם 2</w:t>
      </w:r>
    </w:p>
    <w:p w14:paraId="1F35B48B" w14:textId="77777777" w:rsidR="00DE62BF" w:rsidRDefault="00DE62BF" w:rsidP="00DE62BF">
      <w:pPr>
        <w:pStyle w:val="a9"/>
        <w:numPr>
          <w:ilvl w:val="0"/>
          <w:numId w:val="4"/>
        </w:numPr>
        <w:spacing w:line="360" w:lineRule="auto"/>
        <w:jc w:val="both"/>
      </w:pPr>
      <w:r>
        <w:rPr>
          <w:rFonts w:hint="cs"/>
          <w:rtl/>
        </w:rPr>
        <w:t xml:space="preserve">2 חודשי מאסר בדרך של עבודות שירות במקום העבודה מתנ"ס קריית נורדאו בכתובת אריה לוין 3. </w:t>
      </w:r>
    </w:p>
    <w:p w14:paraId="6A5BEDD8" w14:textId="77777777" w:rsidR="00DE62BF" w:rsidRDefault="00DE62BF" w:rsidP="00DE62BF">
      <w:pPr>
        <w:pStyle w:val="a9"/>
        <w:numPr>
          <w:ilvl w:val="0"/>
          <w:numId w:val="4"/>
        </w:numPr>
        <w:spacing w:line="360" w:lineRule="auto"/>
        <w:jc w:val="both"/>
      </w:pPr>
      <w:r>
        <w:rPr>
          <w:rFonts w:hint="cs"/>
          <w:rtl/>
        </w:rPr>
        <w:t xml:space="preserve">על הנאשם להתייצב לקליטה והצבה ביום 10.9.23 בשעה 08:00 במשרדי הממונה בכתובת לוחמי בית"ר 6, רמלה. </w:t>
      </w:r>
    </w:p>
    <w:p w14:paraId="63C05DE5" w14:textId="77777777" w:rsidR="00DE62BF" w:rsidRDefault="00DE62BF" w:rsidP="00DE62BF">
      <w:pPr>
        <w:pStyle w:val="a9"/>
        <w:numPr>
          <w:ilvl w:val="0"/>
          <w:numId w:val="4"/>
        </w:numPr>
        <w:spacing w:line="360" w:lineRule="auto"/>
        <w:jc w:val="both"/>
      </w:pPr>
      <w:r>
        <w:rPr>
          <w:rFonts w:hint="cs"/>
          <w:rtl/>
        </w:rPr>
        <w:t xml:space="preserve">הנאשם מוזהר כי אם לא ישתף פעולה עם הממונה ניתן להמיר את העבודות במאסר ממש. </w:t>
      </w:r>
    </w:p>
    <w:p w14:paraId="65DEFFA4" w14:textId="77777777" w:rsidR="00DE62BF" w:rsidRDefault="00DE62BF" w:rsidP="00DE62BF">
      <w:pPr>
        <w:pStyle w:val="a9"/>
        <w:numPr>
          <w:ilvl w:val="0"/>
          <w:numId w:val="3"/>
        </w:numPr>
        <w:spacing w:after="160" w:line="480" w:lineRule="auto"/>
        <w:jc w:val="both"/>
      </w:pPr>
      <w:r>
        <w:rPr>
          <w:rFonts w:hint="cs"/>
          <w:rtl/>
        </w:rPr>
        <w:t>מטילה על הנאשם צו מבחן למשך שנה מהיום.</w:t>
      </w:r>
    </w:p>
    <w:p w14:paraId="37023489" w14:textId="77777777" w:rsidR="00DE62BF" w:rsidRDefault="00DE62BF" w:rsidP="00DE62BF">
      <w:pPr>
        <w:pStyle w:val="a9"/>
        <w:numPr>
          <w:ilvl w:val="0"/>
          <w:numId w:val="3"/>
        </w:numPr>
        <w:spacing w:after="160" w:line="480" w:lineRule="auto"/>
        <w:jc w:val="both"/>
      </w:pPr>
      <w:r>
        <w:rPr>
          <w:rFonts w:hint="cs"/>
          <w:rtl/>
        </w:rPr>
        <w:t>מאסר על תנאי בן 5 חודשים שלא יעבור עבירת אלימות במשך שנתיים מהיום.</w:t>
      </w:r>
    </w:p>
    <w:p w14:paraId="6AA62C35" w14:textId="77777777" w:rsidR="00DE62BF" w:rsidRDefault="00DE62BF" w:rsidP="00DE62BF">
      <w:pPr>
        <w:pStyle w:val="a9"/>
        <w:numPr>
          <w:ilvl w:val="0"/>
          <w:numId w:val="3"/>
        </w:numPr>
        <w:spacing w:after="160" w:line="480" w:lineRule="auto"/>
        <w:jc w:val="both"/>
      </w:pPr>
      <w:r>
        <w:rPr>
          <w:rFonts w:hint="cs"/>
          <w:rtl/>
        </w:rPr>
        <w:t xml:space="preserve">פיצוי למתלונן א.א. בסך 1,500 ₪ שישולם עד ליום 1.11.23. </w:t>
      </w:r>
    </w:p>
    <w:p w14:paraId="03FACF30" w14:textId="77777777" w:rsidR="00DE62BF" w:rsidRDefault="00DE62BF" w:rsidP="00DE62BF">
      <w:pPr>
        <w:pStyle w:val="a9"/>
        <w:spacing w:after="160" w:line="360" w:lineRule="auto"/>
        <w:ind w:left="1080"/>
        <w:jc w:val="both"/>
      </w:pPr>
    </w:p>
    <w:p w14:paraId="47EB276C" w14:textId="77777777" w:rsidR="00DE62BF" w:rsidRPr="00B15519" w:rsidRDefault="00DE62BF" w:rsidP="00DE62BF">
      <w:pPr>
        <w:spacing w:after="160" w:line="360" w:lineRule="auto"/>
        <w:jc w:val="both"/>
        <w:rPr>
          <w:b/>
          <w:bCs/>
          <w:rtl/>
        </w:rPr>
      </w:pPr>
      <w:r w:rsidRPr="00B15519">
        <w:rPr>
          <w:rFonts w:hint="cs"/>
          <w:b/>
          <w:bCs/>
          <w:rtl/>
        </w:rPr>
        <w:t xml:space="preserve">עותק מגזר הדין יועבר לשירות המבחן ולממונה על עבודות השירות.  </w:t>
      </w:r>
    </w:p>
    <w:p w14:paraId="235442E9" w14:textId="77777777" w:rsidR="00DE62BF" w:rsidRDefault="00DE62BF" w:rsidP="00DE62BF">
      <w:pPr>
        <w:spacing w:line="360" w:lineRule="auto"/>
        <w:jc w:val="both"/>
      </w:pPr>
      <w:r>
        <w:rPr>
          <w:rFonts w:hint="cs"/>
          <w:rtl/>
        </w:rPr>
        <w:t xml:space="preserve">צו כללי למוצגים. הנשק והתחמושת יושמדו. </w:t>
      </w:r>
    </w:p>
    <w:p w14:paraId="7297B4F7" w14:textId="77777777" w:rsidR="00DE62BF" w:rsidRDefault="00630411" w:rsidP="00DE62BF">
      <w:pPr>
        <w:spacing w:line="360" w:lineRule="auto"/>
        <w:jc w:val="both"/>
        <w:rPr>
          <w:b/>
          <w:bCs/>
        </w:rPr>
      </w:pPr>
      <w:r w:rsidRPr="00630411">
        <w:rPr>
          <w:b/>
          <w:bCs/>
          <w:color w:val="FFFFFF"/>
          <w:sz w:val="2"/>
          <w:szCs w:val="2"/>
          <w:rtl/>
        </w:rPr>
        <w:t>5129371</w:t>
      </w:r>
      <w:r w:rsidR="00DE62BF">
        <w:rPr>
          <w:rFonts w:hint="cs"/>
          <w:b/>
          <w:bCs/>
          <w:rtl/>
        </w:rPr>
        <w:t xml:space="preserve">זכות ערעור לבית המשפט העליון תוך 45 יום. </w:t>
      </w:r>
    </w:p>
    <w:p w14:paraId="41065D25" w14:textId="77777777" w:rsidR="00DE62BF" w:rsidRPr="00630411" w:rsidRDefault="00630411" w:rsidP="00DE62BF">
      <w:pPr>
        <w:pStyle w:val="Ruller40"/>
        <w:textAlignment w:val="baseline"/>
        <w:rPr>
          <w:rFonts w:ascii="Times New Roman" w:hAnsi="Times New Roman" w:cs="David"/>
          <w:color w:val="FFFFFF"/>
          <w:spacing w:val="0"/>
          <w:sz w:val="2"/>
          <w:szCs w:val="2"/>
        </w:rPr>
      </w:pPr>
      <w:r w:rsidRPr="00630411">
        <w:rPr>
          <w:rFonts w:ascii="Times New Roman" w:hAnsi="Times New Roman" w:cs="David"/>
          <w:color w:val="FFFFFF"/>
          <w:spacing w:val="0"/>
          <w:sz w:val="2"/>
          <w:szCs w:val="2"/>
          <w:rtl/>
        </w:rPr>
        <w:t>54678313</w:t>
      </w:r>
    </w:p>
    <w:p w14:paraId="2C302032" w14:textId="77777777" w:rsidR="00DE62BF" w:rsidRPr="00170007" w:rsidRDefault="00DE62BF" w:rsidP="00DE62BF">
      <w:pPr>
        <w:pStyle w:val="Ruller40"/>
        <w:textAlignment w:val="baseline"/>
        <w:rPr>
          <w:rFonts w:ascii="Times New Roman" w:hAnsi="Times New Roman" w:cs="David"/>
          <w:b/>
          <w:bCs/>
          <w:spacing w:val="0"/>
          <w:szCs w:val="22"/>
          <w:rtl/>
        </w:rPr>
      </w:pPr>
    </w:p>
    <w:p w14:paraId="4D4FEA24" w14:textId="77777777" w:rsidR="00DE62BF" w:rsidRPr="00170007" w:rsidRDefault="00630411" w:rsidP="00DE62BF">
      <w:pPr>
        <w:spacing w:line="360" w:lineRule="auto"/>
        <w:jc w:val="both"/>
        <w:rPr>
          <w:b/>
          <w:bCs/>
          <w:rtl/>
        </w:rPr>
      </w:pPr>
      <w:bookmarkStart w:id="8" w:name="Nitan"/>
      <w:r>
        <w:rPr>
          <w:rFonts w:eastAsia="Calibri"/>
          <w:b/>
          <w:bCs/>
          <w:sz w:val="22"/>
          <w:szCs w:val="22"/>
          <w:rtl/>
        </w:rPr>
        <w:t xml:space="preserve"> ניתן היום,  כ"ח תמוז תשפ"ג, 17 יולי 2023, במעמד הצדדים. </w:t>
      </w:r>
      <w:bookmarkEnd w:id="8"/>
      <w:r w:rsidR="00DE62BF" w:rsidRPr="00170007">
        <w:rPr>
          <w:b/>
          <w:bCs/>
          <w:rtl/>
        </w:rPr>
        <w:tab/>
      </w:r>
      <w:r w:rsidR="00DE62BF" w:rsidRPr="00170007">
        <w:rPr>
          <w:b/>
          <w:bCs/>
          <w:rtl/>
        </w:rPr>
        <w:tab/>
      </w:r>
      <w:r w:rsidR="00DE62BF" w:rsidRPr="00170007">
        <w:rPr>
          <w:b/>
          <w:bCs/>
          <w:rtl/>
        </w:rPr>
        <w:tab/>
      </w:r>
      <w:r w:rsidR="00DE62BF" w:rsidRPr="00170007">
        <w:rPr>
          <w:b/>
          <w:bCs/>
          <w:rtl/>
        </w:rPr>
        <w:tab/>
      </w:r>
      <w:r w:rsidR="00DE62BF" w:rsidRPr="00170007">
        <w:rPr>
          <w:b/>
          <w:bCs/>
          <w:rtl/>
        </w:rPr>
        <w:tab/>
      </w:r>
      <w:r w:rsidR="00DE62BF" w:rsidRPr="00170007">
        <w:rPr>
          <w:b/>
          <w:bCs/>
          <w:rtl/>
        </w:rPr>
        <w:tab/>
      </w:r>
      <w:r w:rsidR="00DE62BF" w:rsidRPr="00170007">
        <w:rPr>
          <w:b/>
          <w:bCs/>
          <w:rtl/>
        </w:rPr>
        <w:tab/>
      </w:r>
      <w:r w:rsidR="00DE62BF" w:rsidRPr="00170007">
        <w:rPr>
          <w:rFonts w:hint="cs"/>
          <w:b/>
          <w:bCs/>
          <w:rtl/>
        </w:rPr>
        <w:t xml:space="preserve">         </w:t>
      </w:r>
    </w:p>
    <w:p w14:paraId="0DD647F7" w14:textId="77777777" w:rsidR="00DE62BF" w:rsidRPr="00170007" w:rsidRDefault="00DE62BF" w:rsidP="00630411">
      <w:pPr>
        <w:jc w:val="center"/>
      </w:pPr>
      <w:r w:rsidRPr="00170007">
        <w:rPr>
          <w:b/>
          <w:bCs/>
          <w:rtl/>
        </w:rPr>
        <w:t xml:space="preserve">   </w:t>
      </w:r>
      <w:r w:rsidRPr="00170007">
        <w:rPr>
          <w:b/>
          <w:bCs/>
          <w:rtl/>
        </w:rPr>
        <w:tab/>
      </w:r>
      <w:r w:rsidRPr="00170007">
        <w:rPr>
          <w:b/>
          <w:bCs/>
          <w:rtl/>
        </w:rPr>
        <w:tab/>
      </w:r>
      <w:r w:rsidRPr="00170007">
        <w:rPr>
          <w:b/>
          <w:bCs/>
          <w:rtl/>
        </w:rPr>
        <w:tab/>
      </w:r>
      <w:r w:rsidRPr="00170007">
        <w:rPr>
          <w:b/>
          <w:bCs/>
          <w:rtl/>
        </w:rPr>
        <w:tab/>
      </w:r>
      <w:r w:rsidRPr="00170007">
        <w:rPr>
          <w:b/>
          <w:bCs/>
          <w:rtl/>
        </w:rPr>
        <w:tab/>
      </w:r>
    </w:p>
    <w:p w14:paraId="70937CE2" w14:textId="77777777" w:rsidR="00DE62BF" w:rsidRPr="006D13BB" w:rsidRDefault="006D13BB" w:rsidP="00DE62BF">
      <w:pPr>
        <w:jc w:val="center"/>
        <w:rPr>
          <w:b/>
          <w:bCs/>
          <w:color w:val="FFFFFF"/>
          <w:sz w:val="2"/>
          <w:szCs w:val="2"/>
          <w:rtl/>
        </w:rPr>
      </w:pPr>
      <w:r w:rsidRPr="006D13BB">
        <w:rPr>
          <w:b/>
          <w:bCs/>
          <w:color w:val="FFFFFF"/>
          <w:sz w:val="2"/>
          <w:szCs w:val="2"/>
          <w:rtl/>
        </w:rPr>
        <w:t>5129371</w:t>
      </w:r>
    </w:p>
    <w:p w14:paraId="652AE61B" w14:textId="77777777" w:rsidR="00955445" w:rsidRPr="006D13BB" w:rsidRDefault="006D13BB" w:rsidP="00630411">
      <w:pPr>
        <w:keepNext/>
        <w:rPr>
          <w:rFonts w:ascii="David" w:hAnsi="David"/>
          <w:color w:val="FFFFFF"/>
          <w:sz w:val="2"/>
          <w:szCs w:val="2"/>
          <w:rtl/>
        </w:rPr>
      </w:pPr>
      <w:r w:rsidRPr="006D13BB">
        <w:rPr>
          <w:rFonts w:ascii="David" w:hAnsi="David"/>
          <w:color w:val="FFFFFF"/>
          <w:sz w:val="2"/>
          <w:szCs w:val="2"/>
          <w:rtl/>
        </w:rPr>
        <w:t>54678313</w:t>
      </w:r>
    </w:p>
    <w:p w14:paraId="39CA8B53" w14:textId="77777777" w:rsidR="00630411" w:rsidRPr="00630411" w:rsidRDefault="00630411" w:rsidP="00630411">
      <w:pPr>
        <w:keepNext/>
        <w:rPr>
          <w:rFonts w:ascii="David" w:hAnsi="David"/>
          <w:color w:val="000000"/>
          <w:sz w:val="22"/>
          <w:szCs w:val="22"/>
          <w:rtl/>
        </w:rPr>
      </w:pPr>
      <w:r w:rsidRPr="00630411">
        <w:rPr>
          <w:rFonts w:ascii="David" w:hAnsi="David"/>
          <w:color w:val="000000"/>
          <w:sz w:val="22"/>
          <w:szCs w:val="22"/>
          <w:rtl/>
        </w:rPr>
        <w:t>מרב גרינברג 54678313</w:t>
      </w:r>
    </w:p>
    <w:p w14:paraId="2A4FD01C" w14:textId="77777777" w:rsidR="00630411" w:rsidRDefault="00630411" w:rsidP="00630411">
      <w:r w:rsidRPr="00630411">
        <w:rPr>
          <w:color w:val="000000"/>
          <w:rtl/>
        </w:rPr>
        <w:t>נוסח מסמך זה כפוף לשינויי ניסוח ועריכה</w:t>
      </w:r>
    </w:p>
    <w:p w14:paraId="52EF9DA9" w14:textId="77777777" w:rsidR="00630411" w:rsidRDefault="00630411" w:rsidP="00630411">
      <w:pPr>
        <w:rPr>
          <w:rtl/>
        </w:rPr>
      </w:pPr>
    </w:p>
    <w:p w14:paraId="4D802DEA" w14:textId="77777777" w:rsidR="00630411" w:rsidRDefault="00630411" w:rsidP="00630411">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496E5BD3" w14:textId="77777777" w:rsidR="006D13BB" w:rsidRPr="006D13BB" w:rsidRDefault="006D13BB" w:rsidP="006D13BB">
      <w:pPr>
        <w:keepNext/>
        <w:rPr>
          <w:rFonts w:ascii="David" w:hAnsi="David"/>
          <w:color w:val="000000"/>
          <w:sz w:val="22"/>
          <w:szCs w:val="22"/>
          <w:rtl/>
        </w:rPr>
      </w:pPr>
    </w:p>
    <w:p w14:paraId="29C5841F" w14:textId="77777777" w:rsidR="00630411" w:rsidRPr="00630411" w:rsidRDefault="00630411" w:rsidP="006D13BB">
      <w:pPr>
        <w:rPr>
          <w:color w:val="0000FF"/>
          <w:u w:val="single"/>
        </w:rPr>
      </w:pPr>
    </w:p>
    <w:sectPr w:rsidR="00630411" w:rsidRPr="00630411" w:rsidSect="006D13BB">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99C57" w14:textId="77777777" w:rsidR="000152C3" w:rsidRDefault="000152C3" w:rsidP="00431217">
      <w:r>
        <w:separator/>
      </w:r>
    </w:p>
  </w:endnote>
  <w:endnote w:type="continuationSeparator" w:id="0">
    <w:p w14:paraId="78AF45E8" w14:textId="77777777" w:rsidR="000152C3" w:rsidRDefault="000152C3" w:rsidP="00431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5A756" w14:textId="77777777" w:rsidR="006D13BB" w:rsidRDefault="006D13BB" w:rsidP="006D13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D14DDC" w14:textId="77777777" w:rsidR="00E8410A" w:rsidRPr="006D13BB" w:rsidRDefault="006D13BB" w:rsidP="006D13BB">
    <w:pPr>
      <w:pStyle w:val="a5"/>
      <w:pBdr>
        <w:top w:val="single" w:sz="4" w:space="1" w:color="auto"/>
        <w:between w:val="single" w:sz="4" w:space="0" w:color="auto"/>
      </w:pBdr>
      <w:spacing w:after="60"/>
      <w:jc w:val="center"/>
      <w:rPr>
        <w:rFonts w:ascii="FrankRuehl" w:hAnsi="FrankRuehl" w:cs="FrankRuehl"/>
        <w:color w:val="000000"/>
      </w:rPr>
    </w:pPr>
    <w:r w:rsidRPr="006D13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D00A1" w14:textId="77777777" w:rsidR="006D13BB" w:rsidRDefault="006D13BB" w:rsidP="006D13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E1BB9">
      <w:rPr>
        <w:rFonts w:ascii="FrankRuehl" w:hAnsi="FrankRuehl" w:cs="FrankRuehl"/>
        <w:noProof/>
        <w:rtl/>
      </w:rPr>
      <w:t>1</w:t>
    </w:r>
    <w:r>
      <w:rPr>
        <w:rFonts w:ascii="FrankRuehl" w:hAnsi="FrankRuehl" w:cs="FrankRuehl"/>
        <w:rtl/>
      </w:rPr>
      <w:fldChar w:fldCharType="end"/>
    </w:r>
  </w:p>
  <w:p w14:paraId="7C8E050A" w14:textId="77777777" w:rsidR="00E8410A" w:rsidRPr="006D13BB" w:rsidRDefault="006D13BB" w:rsidP="006D13BB">
    <w:pPr>
      <w:pStyle w:val="a5"/>
      <w:pBdr>
        <w:top w:val="single" w:sz="4" w:space="1" w:color="auto"/>
        <w:between w:val="single" w:sz="4" w:space="0" w:color="auto"/>
      </w:pBdr>
      <w:spacing w:after="60"/>
      <w:jc w:val="center"/>
      <w:rPr>
        <w:rFonts w:ascii="FrankRuehl" w:hAnsi="FrankRuehl" w:cs="FrankRuehl"/>
        <w:color w:val="000000"/>
      </w:rPr>
    </w:pPr>
    <w:r w:rsidRPr="006D13BB">
      <w:rPr>
        <w:rFonts w:ascii="FrankRuehl" w:hAnsi="FrankRuehl" w:cs="FrankRuehl"/>
        <w:color w:val="000000"/>
      </w:rPr>
      <w:pict w14:anchorId="4B646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557BA" w14:textId="77777777" w:rsidR="000152C3" w:rsidRDefault="000152C3" w:rsidP="00431217">
      <w:r>
        <w:separator/>
      </w:r>
    </w:p>
  </w:footnote>
  <w:footnote w:type="continuationSeparator" w:id="0">
    <w:p w14:paraId="0895C2F7" w14:textId="77777777" w:rsidR="000152C3" w:rsidRDefault="000152C3" w:rsidP="00431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F889" w14:textId="77777777" w:rsidR="00630411" w:rsidRPr="006D13BB" w:rsidRDefault="006D13BB" w:rsidP="006D13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58027-12-21</w:t>
    </w:r>
    <w:r>
      <w:rPr>
        <w:rFonts w:ascii="David" w:hAnsi="David"/>
        <w:color w:val="000000"/>
        <w:sz w:val="22"/>
        <w:szCs w:val="22"/>
        <w:rtl/>
      </w:rPr>
      <w:tab/>
      <w:t xml:space="preserve"> מדינת ישראל נ' איסלם חאג' יחיא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188B7" w14:textId="77777777" w:rsidR="00630411" w:rsidRPr="006D13BB" w:rsidRDefault="006D13BB" w:rsidP="006D13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58027-12-21</w:t>
    </w:r>
    <w:r>
      <w:rPr>
        <w:rFonts w:ascii="David" w:hAnsi="David"/>
        <w:color w:val="000000"/>
        <w:sz w:val="22"/>
        <w:szCs w:val="22"/>
        <w:rtl/>
      </w:rPr>
      <w:tab/>
      <w:t xml:space="preserve"> מדינת ישראל נ' איסלם חאג' יחיא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3EB781E"/>
    <w:multiLevelType w:val="hybridMultilevel"/>
    <w:tmpl w:val="95B605C6"/>
    <w:lvl w:ilvl="0" w:tplc="D338B20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EC356E9"/>
    <w:multiLevelType w:val="hybridMultilevel"/>
    <w:tmpl w:val="6F50C2C8"/>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688886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08417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35034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12145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62BF"/>
    <w:rsid w:val="000152C3"/>
    <w:rsid w:val="00175F14"/>
    <w:rsid w:val="001B5A3B"/>
    <w:rsid w:val="002F3148"/>
    <w:rsid w:val="00431217"/>
    <w:rsid w:val="00630411"/>
    <w:rsid w:val="006D13BB"/>
    <w:rsid w:val="00796488"/>
    <w:rsid w:val="007C37D1"/>
    <w:rsid w:val="00871D1B"/>
    <w:rsid w:val="00955445"/>
    <w:rsid w:val="00C80048"/>
    <w:rsid w:val="00DC740A"/>
    <w:rsid w:val="00DE62BF"/>
    <w:rsid w:val="00E8410A"/>
    <w:rsid w:val="00FE1B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6F5E5B"/>
  <w15:chartTrackingRefBased/>
  <w15:docId w15:val="{B6D1D5EA-F01A-49F4-AA06-25FCCCC6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62B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2BF"/>
    <w:pPr>
      <w:tabs>
        <w:tab w:val="center" w:pos="4153"/>
        <w:tab w:val="right" w:pos="8306"/>
      </w:tabs>
    </w:pPr>
  </w:style>
  <w:style w:type="character" w:customStyle="1" w:styleId="a4">
    <w:name w:val="כותרת עליונה תו"/>
    <w:link w:val="a3"/>
    <w:rsid w:val="00DE62BF"/>
    <w:rPr>
      <w:rFonts w:ascii="Times New Roman" w:eastAsia="Times New Roman" w:hAnsi="Times New Roman" w:cs="David"/>
      <w:sz w:val="24"/>
      <w:szCs w:val="24"/>
    </w:rPr>
  </w:style>
  <w:style w:type="paragraph" w:styleId="a5">
    <w:name w:val="footer"/>
    <w:basedOn w:val="a"/>
    <w:link w:val="a6"/>
    <w:rsid w:val="00DE62BF"/>
    <w:pPr>
      <w:tabs>
        <w:tab w:val="center" w:pos="4153"/>
        <w:tab w:val="right" w:pos="8306"/>
      </w:tabs>
    </w:pPr>
  </w:style>
  <w:style w:type="character" w:customStyle="1" w:styleId="a6">
    <w:name w:val="כותרת תחתונה תו"/>
    <w:link w:val="a5"/>
    <w:rsid w:val="00DE62BF"/>
    <w:rPr>
      <w:rFonts w:ascii="Times New Roman" w:eastAsia="Times New Roman" w:hAnsi="Times New Roman" w:cs="David"/>
      <w:sz w:val="24"/>
      <w:szCs w:val="24"/>
    </w:rPr>
  </w:style>
  <w:style w:type="table" w:styleId="a7">
    <w:name w:val="Table Grid"/>
    <w:basedOn w:val="a1"/>
    <w:rsid w:val="00DE62B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E62BF"/>
  </w:style>
  <w:style w:type="paragraph" w:styleId="a9">
    <w:name w:val="List Paragraph"/>
    <w:basedOn w:val="a"/>
    <w:qFormat/>
    <w:rsid w:val="00DE62BF"/>
    <w:pPr>
      <w:ind w:left="720"/>
      <w:contextualSpacing/>
    </w:pPr>
    <w:rPr>
      <w:rFonts w:ascii="David" w:eastAsia="David" w:hAnsi="David"/>
    </w:rPr>
  </w:style>
  <w:style w:type="character" w:customStyle="1" w:styleId="Ruller4">
    <w:name w:val="Ruller4 תו"/>
    <w:link w:val="Ruller40"/>
    <w:locked/>
    <w:rsid w:val="00DE62BF"/>
    <w:rPr>
      <w:rFonts w:ascii="Arial TUR" w:hAnsi="Arial TUR" w:cs="FrankRuehl"/>
      <w:spacing w:val="10"/>
      <w:szCs w:val="28"/>
    </w:rPr>
  </w:style>
  <w:style w:type="paragraph" w:customStyle="1" w:styleId="Ruller40">
    <w:name w:val="Ruller4"/>
    <w:basedOn w:val="a"/>
    <w:link w:val="Ruller4"/>
    <w:rsid w:val="00DE62BF"/>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00">
    <w:name w:val="ruller40"/>
    <w:basedOn w:val="a"/>
    <w:rsid w:val="00DE62BF"/>
    <w:pPr>
      <w:bidi w:val="0"/>
      <w:spacing w:before="100" w:beforeAutospacing="1" w:after="100" w:afterAutospacing="1"/>
    </w:pPr>
    <w:rPr>
      <w:rFonts w:cs="Times New Roman"/>
    </w:rPr>
  </w:style>
  <w:style w:type="character" w:styleId="Hyperlink">
    <w:name w:val="Hyperlink"/>
    <w:rsid w:val="006304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8513828" TargetMode="External"/><Relationship Id="rId26" Type="http://schemas.openxmlformats.org/officeDocument/2006/relationships/hyperlink" Target="http://www.nevo.co.il/law/70301" TargetMode="External"/><Relationship Id="rId39" Type="http://schemas.openxmlformats.org/officeDocument/2006/relationships/header" Target="header1.xml"/><Relationship Id="rId21" Type="http://schemas.openxmlformats.org/officeDocument/2006/relationships/hyperlink" Target="http://www.nevo.co.il/case/28152132" TargetMode="External"/><Relationship Id="rId34" Type="http://schemas.openxmlformats.org/officeDocument/2006/relationships/hyperlink" Target="http://www.nevo.co.il/case/28152125"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0" Type="http://schemas.openxmlformats.org/officeDocument/2006/relationships/hyperlink" Target="http://www.nevo.co.il/case/27911638" TargetMode="External"/><Relationship Id="rId29" Type="http://schemas.openxmlformats.org/officeDocument/2006/relationships/hyperlink" Target="http://www.nevo.co.il/case/22294064"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 TargetMode="External"/><Relationship Id="rId24" Type="http://schemas.openxmlformats.org/officeDocument/2006/relationships/hyperlink" Target="http://www.nevo.co.il/case/28660017" TargetMode="External"/><Relationship Id="rId32" Type="http://schemas.openxmlformats.org/officeDocument/2006/relationships/hyperlink" Target="http://www.nevo.co.il/case/27404359" TargetMode="External"/><Relationship Id="rId37" Type="http://schemas.openxmlformats.org/officeDocument/2006/relationships/hyperlink" Target="http://www.nevo.co.il/case/28384638"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0a.b.1" TargetMode="External"/><Relationship Id="rId23" Type="http://schemas.openxmlformats.org/officeDocument/2006/relationships/hyperlink" Target="http://www.nevo.co.il/case/27305799" TargetMode="External"/><Relationship Id="rId28" Type="http://schemas.openxmlformats.org/officeDocument/2006/relationships/hyperlink" Target="http://www.nevo.co.il/case/22242436" TargetMode="External"/><Relationship Id="rId36" Type="http://schemas.openxmlformats.org/officeDocument/2006/relationships/hyperlink" Target="http://www.nevo.co.il/case/28096677" TargetMode="External"/><Relationship Id="rId10" Type="http://schemas.openxmlformats.org/officeDocument/2006/relationships/hyperlink" Target="http://www.nevo.co.il/law/70301/340.a" TargetMode="External"/><Relationship Id="rId19" Type="http://schemas.openxmlformats.org/officeDocument/2006/relationships/hyperlink" Target="http://www.nevo.co.il/case/27894608" TargetMode="External"/><Relationship Id="rId31" Type="http://schemas.openxmlformats.org/officeDocument/2006/relationships/hyperlink" Target="http://www.nevo.co.il/case/2760387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452933" TargetMode="External"/><Relationship Id="rId27" Type="http://schemas.openxmlformats.org/officeDocument/2006/relationships/hyperlink" Target="http://www.nevo.co.il/case/7697292" TargetMode="External"/><Relationship Id="rId30" Type="http://schemas.openxmlformats.org/officeDocument/2006/relationships/hyperlink" Target="http://www.nevo.co.il/case/28096675" TargetMode="External"/><Relationship Id="rId35" Type="http://schemas.openxmlformats.org/officeDocument/2006/relationships/hyperlink" Target="http://www.nevo.co.il/case/26492590" TargetMode="External"/><Relationship Id="rId43" Type="http://schemas.openxmlformats.org/officeDocument/2006/relationships/fontTable" Target="fontTable.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340a.b.1" TargetMode="External"/><Relationship Id="rId17" Type="http://schemas.openxmlformats.org/officeDocument/2006/relationships/hyperlink" Target="http://www.nevo.co.il/case/28268880" TargetMode="External"/><Relationship Id="rId25" Type="http://schemas.openxmlformats.org/officeDocument/2006/relationships/hyperlink" Target="http://www.nevo.co.il/law/70301/340a" TargetMode="External"/><Relationship Id="rId33" Type="http://schemas.openxmlformats.org/officeDocument/2006/relationships/hyperlink" Target="http://www.nevo.co.il/law/70301/340.a"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2401</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14378</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3539058</vt:i4>
      </vt:variant>
      <vt:variant>
        <vt:i4>90</vt:i4>
      </vt:variant>
      <vt:variant>
        <vt:i4>0</vt:i4>
      </vt:variant>
      <vt:variant>
        <vt:i4>5</vt:i4>
      </vt:variant>
      <vt:variant>
        <vt:lpwstr>http://www.nevo.co.il/case/28384638</vt:lpwstr>
      </vt:variant>
      <vt:variant>
        <vt:lpwstr/>
      </vt:variant>
      <vt:variant>
        <vt:i4>3342451</vt:i4>
      </vt:variant>
      <vt:variant>
        <vt:i4>87</vt:i4>
      </vt:variant>
      <vt:variant>
        <vt:i4>0</vt:i4>
      </vt:variant>
      <vt:variant>
        <vt:i4>5</vt:i4>
      </vt:variant>
      <vt:variant>
        <vt:lpwstr>http://www.nevo.co.il/case/28096677</vt:lpwstr>
      </vt:variant>
      <vt:variant>
        <vt:lpwstr/>
      </vt:variant>
      <vt:variant>
        <vt:i4>3997822</vt:i4>
      </vt:variant>
      <vt:variant>
        <vt:i4>84</vt:i4>
      </vt:variant>
      <vt:variant>
        <vt:i4>0</vt:i4>
      </vt:variant>
      <vt:variant>
        <vt:i4>5</vt:i4>
      </vt:variant>
      <vt:variant>
        <vt:lpwstr>http://www.nevo.co.il/case/26492590</vt:lpwstr>
      </vt:variant>
      <vt:variant>
        <vt:lpwstr/>
      </vt:variant>
      <vt:variant>
        <vt:i4>3342456</vt:i4>
      </vt:variant>
      <vt:variant>
        <vt:i4>81</vt:i4>
      </vt:variant>
      <vt:variant>
        <vt:i4>0</vt:i4>
      </vt:variant>
      <vt:variant>
        <vt:i4>5</vt:i4>
      </vt:variant>
      <vt:variant>
        <vt:lpwstr>http://www.nevo.co.il/case/28152125</vt:lpwstr>
      </vt:variant>
      <vt:variant>
        <vt:lpwstr/>
      </vt:variant>
      <vt:variant>
        <vt:i4>5177430</vt:i4>
      </vt:variant>
      <vt:variant>
        <vt:i4>78</vt:i4>
      </vt:variant>
      <vt:variant>
        <vt:i4>0</vt:i4>
      </vt:variant>
      <vt:variant>
        <vt:i4>5</vt:i4>
      </vt:variant>
      <vt:variant>
        <vt:lpwstr>http://www.nevo.co.il/law/70301/340.a</vt:lpwstr>
      </vt:variant>
      <vt:variant>
        <vt:lpwstr/>
      </vt:variant>
      <vt:variant>
        <vt:i4>3604592</vt:i4>
      </vt:variant>
      <vt:variant>
        <vt:i4>75</vt:i4>
      </vt:variant>
      <vt:variant>
        <vt:i4>0</vt:i4>
      </vt:variant>
      <vt:variant>
        <vt:i4>5</vt:i4>
      </vt:variant>
      <vt:variant>
        <vt:lpwstr>http://www.nevo.co.il/case/27404359</vt:lpwstr>
      </vt:variant>
      <vt:variant>
        <vt:lpwstr/>
      </vt:variant>
      <vt:variant>
        <vt:i4>3145851</vt:i4>
      </vt:variant>
      <vt:variant>
        <vt:i4>72</vt:i4>
      </vt:variant>
      <vt:variant>
        <vt:i4>0</vt:i4>
      </vt:variant>
      <vt:variant>
        <vt:i4>5</vt:i4>
      </vt:variant>
      <vt:variant>
        <vt:lpwstr>http://www.nevo.co.il/case/27603872</vt:lpwstr>
      </vt:variant>
      <vt:variant>
        <vt:lpwstr/>
      </vt:variant>
      <vt:variant>
        <vt:i4>3342451</vt:i4>
      </vt:variant>
      <vt:variant>
        <vt:i4>69</vt:i4>
      </vt:variant>
      <vt:variant>
        <vt:i4>0</vt:i4>
      </vt:variant>
      <vt:variant>
        <vt:i4>5</vt:i4>
      </vt:variant>
      <vt:variant>
        <vt:lpwstr>http://www.nevo.co.il/case/28096675</vt:lpwstr>
      </vt:variant>
      <vt:variant>
        <vt:lpwstr/>
      </vt:variant>
      <vt:variant>
        <vt:i4>3276927</vt:i4>
      </vt:variant>
      <vt:variant>
        <vt:i4>66</vt:i4>
      </vt:variant>
      <vt:variant>
        <vt:i4>0</vt:i4>
      </vt:variant>
      <vt:variant>
        <vt:i4>5</vt:i4>
      </vt:variant>
      <vt:variant>
        <vt:lpwstr>http://www.nevo.co.il/case/22294064</vt:lpwstr>
      </vt:variant>
      <vt:variant>
        <vt:lpwstr/>
      </vt:variant>
      <vt:variant>
        <vt:i4>3211382</vt:i4>
      </vt:variant>
      <vt:variant>
        <vt:i4>63</vt:i4>
      </vt:variant>
      <vt:variant>
        <vt:i4>0</vt:i4>
      </vt:variant>
      <vt:variant>
        <vt:i4>5</vt:i4>
      </vt:variant>
      <vt:variant>
        <vt:lpwstr>http://www.nevo.co.il/case/22242436</vt:lpwstr>
      </vt:variant>
      <vt:variant>
        <vt:lpwstr/>
      </vt:variant>
      <vt:variant>
        <vt:i4>4063356</vt:i4>
      </vt:variant>
      <vt:variant>
        <vt:i4>60</vt:i4>
      </vt:variant>
      <vt:variant>
        <vt:i4>0</vt:i4>
      </vt:variant>
      <vt:variant>
        <vt:i4>5</vt:i4>
      </vt:variant>
      <vt:variant>
        <vt:lpwstr>http://www.nevo.co.il/case/7697292</vt:lpwstr>
      </vt:variant>
      <vt:variant>
        <vt:lpwstr/>
      </vt:variant>
      <vt:variant>
        <vt:i4>7995492</vt:i4>
      </vt:variant>
      <vt:variant>
        <vt:i4>57</vt:i4>
      </vt:variant>
      <vt:variant>
        <vt:i4>0</vt:i4>
      </vt:variant>
      <vt:variant>
        <vt:i4>5</vt:i4>
      </vt:variant>
      <vt:variant>
        <vt:lpwstr>http://www.nevo.co.il/law/70301</vt:lpwstr>
      </vt:variant>
      <vt:variant>
        <vt:lpwstr/>
      </vt:variant>
      <vt:variant>
        <vt:i4>86</vt:i4>
      </vt:variant>
      <vt:variant>
        <vt:i4>54</vt:i4>
      </vt:variant>
      <vt:variant>
        <vt:i4>0</vt:i4>
      </vt:variant>
      <vt:variant>
        <vt:i4>5</vt:i4>
      </vt:variant>
      <vt:variant>
        <vt:lpwstr>http://www.nevo.co.il/law/70301/340a</vt:lpwstr>
      </vt:variant>
      <vt:variant>
        <vt:lpwstr/>
      </vt:variant>
      <vt:variant>
        <vt:i4>3473530</vt:i4>
      </vt:variant>
      <vt:variant>
        <vt:i4>51</vt:i4>
      </vt:variant>
      <vt:variant>
        <vt:i4>0</vt:i4>
      </vt:variant>
      <vt:variant>
        <vt:i4>5</vt:i4>
      </vt:variant>
      <vt:variant>
        <vt:lpwstr>http://www.nevo.co.il/case/28660017</vt:lpwstr>
      </vt:variant>
      <vt:variant>
        <vt:lpwstr/>
      </vt:variant>
      <vt:variant>
        <vt:i4>3997812</vt:i4>
      </vt:variant>
      <vt:variant>
        <vt:i4>48</vt:i4>
      </vt:variant>
      <vt:variant>
        <vt:i4>0</vt:i4>
      </vt:variant>
      <vt:variant>
        <vt:i4>5</vt:i4>
      </vt:variant>
      <vt:variant>
        <vt:lpwstr>http://www.nevo.co.il/case/27305799</vt:lpwstr>
      </vt:variant>
      <vt:variant>
        <vt:lpwstr/>
      </vt:variant>
      <vt:variant>
        <vt:i4>3604592</vt:i4>
      </vt:variant>
      <vt:variant>
        <vt:i4>45</vt:i4>
      </vt:variant>
      <vt:variant>
        <vt:i4>0</vt:i4>
      </vt:variant>
      <vt:variant>
        <vt:i4>5</vt:i4>
      </vt:variant>
      <vt:variant>
        <vt:lpwstr>http://www.nevo.co.il/case/28452933</vt:lpwstr>
      </vt:variant>
      <vt:variant>
        <vt:lpwstr/>
      </vt:variant>
      <vt:variant>
        <vt:i4>3276920</vt:i4>
      </vt:variant>
      <vt:variant>
        <vt:i4>42</vt:i4>
      </vt:variant>
      <vt:variant>
        <vt:i4>0</vt:i4>
      </vt:variant>
      <vt:variant>
        <vt:i4>5</vt:i4>
      </vt:variant>
      <vt:variant>
        <vt:lpwstr>http://www.nevo.co.il/case/28152132</vt:lpwstr>
      </vt:variant>
      <vt:variant>
        <vt:lpwstr/>
      </vt:variant>
      <vt:variant>
        <vt:i4>3735668</vt:i4>
      </vt:variant>
      <vt:variant>
        <vt:i4>39</vt:i4>
      </vt:variant>
      <vt:variant>
        <vt:i4>0</vt:i4>
      </vt:variant>
      <vt:variant>
        <vt:i4>5</vt:i4>
      </vt:variant>
      <vt:variant>
        <vt:lpwstr>http://www.nevo.co.il/case/27911638</vt:lpwstr>
      </vt:variant>
      <vt:variant>
        <vt:lpwstr/>
      </vt:variant>
      <vt:variant>
        <vt:i4>4063356</vt:i4>
      </vt:variant>
      <vt:variant>
        <vt:i4>36</vt:i4>
      </vt:variant>
      <vt:variant>
        <vt:i4>0</vt:i4>
      </vt:variant>
      <vt:variant>
        <vt:i4>5</vt:i4>
      </vt:variant>
      <vt:variant>
        <vt:lpwstr>http://www.nevo.co.il/case/27894608</vt:lpwstr>
      </vt:variant>
      <vt:variant>
        <vt:lpwstr/>
      </vt:variant>
      <vt:variant>
        <vt:i4>3539061</vt:i4>
      </vt:variant>
      <vt:variant>
        <vt:i4>33</vt:i4>
      </vt:variant>
      <vt:variant>
        <vt:i4>0</vt:i4>
      </vt:variant>
      <vt:variant>
        <vt:i4>5</vt:i4>
      </vt:variant>
      <vt:variant>
        <vt:lpwstr>http://www.nevo.co.il/case/28513828</vt:lpwstr>
      </vt:variant>
      <vt:variant>
        <vt:lpwstr/>
      </vt:variant>
      <vt:variant>
        <vt:i4>3145842</vt:i4>
      </vt:variant>
      <vt:variant>
        <vt:i4>30</vt:i4>
      </vt:variant>
      <vt:variant>
        <vt:i4>0</vt:i4>
      </vt:variant>
      <vt:variant>
        <vt:i4>5</vt:i4>
      </vt:variant>
      <vt:variant>
        <vt:lpwstr>http://www.nevo.co.il/case/28268880</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86</vt:i4>
      </vt:variant>
      <vt:variant>
        <vt:i4>12</vt:i4>
      </vt:variant>
      <vt:variant>
        <vt:i4>0</vt:i4>
      </vt:variant>
      <vt:variant>
        <vt:i4>5</vt:i4>
      </vt:variant>
      <vt:variant>
        <vt:lpwstr>http://www.nevo.co.il/law/70301/340a</vt:lpwstr>
      </vt:variant>
      <vt:variant>
        <vt:lpwstr/>
      </vt:variant>
      <vt:variant>
        <vt:i4>5177430</vt:i4>
      </vt:variant>
      <vt:variant>
        <vt:i4>9</vt:i4>
      </vt:variant>
      <vt:variant>
        <vt:i4>0</vt:i4>
      </vt:variant>
      <vt:variant>
        <vt:i4>5</vt:i4>
      </vt:variant>
      <vt:variant>
        <vt:lpwstr>http://www.nevo.co.il/law/70301/340.a</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58027</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איסלם חאג' יחיא;אכראמה חאג' יחיא</vt:lpwstr>
  </property>
  <property fmtid="{D5CDD505-2E9C-101B-9397-08002B2CF9AE}" pid="10" name="LAWYER">
    <vt:lpwstr>ליטל שירי;חיים שוורצברג</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20230717</vt:lpwstr>
  </property>
  <property fmtid="{D5CDD505-2E9C-101B-9397-08002B2CF9AE}" pid="14" name="TYPE_N_DATE">
    <vt:lpwstr>39020230717</vt:lpwstr>
  </property>
  <property fmtid="{D5CDD505-2E9C-101B-9397-08002B2CF9AE}" pid="15" name="WORDNUMPAGES">
    <vt:lpwstr>8</vt:lpwstr>
  </property>
  <property fmtid="{D5CDD505-2E9C-101B-9397-08002B2CF9AE}" pid="16" name="TYPE_ABS_DATE">
    <vt:lpwstr>390020230717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28268880;28513828;27894608;27911638;28152132;28452933;27305799;28660017;7697292;22242436;22294064;28096675;27603872;27404359;28152125;26492590;28096677;28384638</vt:lpwstr>
  </property>
  <property fmtid="{D5CDD505-2E9C-101B-9397-08002B2CF9AE}" pid="36" name="LAWLISTTMP1">
    <vt:lpwstr>70301/144.b;340a.b.1;192;340a;340.a</vt:lpwstr>
  </property>
</Properties>
</file>