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9"/>
        <w:gridCol w:w="3672"/>
      </w:tblGrid>
      <w:tr w:rsidR="005A7F91" w:rsidRPr="00C45A91" w14:paraId="6657866D" w14:textId="77777777" w:rsidTr="000A2A19">
        <w:trPr>
          <w:trHeight w:hRule="exact" w:val="418"/>
          <w:jc w:val="center"/>
        </w:trPr>
        <w:tc>
          <w:tcPr>
            <w:tcW w:w="8721" w:type="dxa"/>
            <w:gridSpan w:val="2"/>
          </w:tcPr>
          <w:p w14:paraId="1ECAD4EF" w14:textId="77777777" w:rsidR="005A7F91" w:rsidRPr="00C45A91" w:rsidRDefault="005A7F91" w:rsidP="0046429E">
            <w:pPr>
              <w:pStyle w:val="a3"/>
              <w:jc w:val="center"/>
              <w:rPr>
                <w:rFonts w:ascii="Tahoma" w:hAnsi="Tahoma" w:cs="Tahoma"/>
                <w:color w:val="000080"/>
                <w:rtl/>
              </w:rPr>
            </w:pPr>
            <w:bookmarkStart w:id="0" w:name="LastJudge"/>
            <w:r w:rsidRPr="00C45A91">
              <w:rPr>
                <w:rFonts w:ascii="Tahoma" w:hAnsi="Tahoma" w:cs="Tahoma"/>
                <w:b/>
                <w:bCs/>
                <w:color w:val="000080"/>
                <w:rtl/>
              </w:rPr>
              <w:t>בית המשפט המחוזי בחיפה</w:t>
            </w:r>
          </w:p>
        </w:tc>
      </w:tr>
      <w:tr w:rsidR="005A7F91" w:rsidRPr="00C45A91" w14:paraId="280C8857" w14:textId="77777777" w:rsidTr="000A2A19">
        <w:trPr>
          <w:trHeight w:val="337"/>
          <w:jc w:val="center"/>
        </w:trPr>
        <w:tc>
          <w:tcPr>
            <w:tcW w:w="5049" w:type="dxa"/>
          </w:tcPr>
          <w:p w14:paraId="46CCE6E1" w14:textId="77777777" w:rsidR="005A7F91" w:rsidRPr="00C45A91" w:rsidRDefault="005A7F91" w:rsidP="0046429E">
            <w:pPr>
              <w:rPr>
                <w:rFonts w:cs="FrankRuehl"/>
                <w:sz w:val="28"/>
                <w:szCs w:val="28"/>
                <w:rtl/>
              </w:rPr>
            </w:pPr>
            <w:r w:rsidRPr="00C45A91">
              <w:rPr>
                <w:rFonts w:cs="FrankRuehl"/>
                <w:sz w:val="28"/>
                <w:szCs w:val="28"/>
                <w:rtl/>
              </w:rPr>
              <w:t>ת"פ</w:t>
            </w:r>
            <w:r w:rsidRPr="00C45A91">
              <w:rPr>
                <w:rFonts w:cs="FrankRuehl" w:hint="cs"/>
                <w:sz w:val="28"/>
                <w:szCs w:val="28"/>
                <w:rtl/>
              </w:rPr>
              <w:t xml:space="preserve"> </w:t>
            </w:r>
            <w:r w:rsidRPr="00C45A91">
              <w:rPr>
                <w:rFonts w:cs="FrankRuehl"/>
                <w:sz w:val="28"/>
                <w:szCs w:val="28"/>
                <w:rtl/>
              </w:rPr>
              <w:t>60429-12-21</w:t>
            </w:r>
            <w:r w:rsidRPr="00C45A91">
              <w:rPr>
                <w:rFonts w:cs="FrankRuehl" w:hint="cs"/>
                <w:sz w:val="28"/>
                <w:szCs w:val="28"/>
                <w:rtl/>
              </w:rPr>
              <w:t xml:space="preserve"> </w:t>
            </w:r>
            <w:r w:rsidRPr="00C45A91">
              <w:rPr>
                <w:rFonts w:cs="FrankRuehl"/>
                <w:sz w:val="28"/>
                <w:szCs w:val="28"/>
                <w:rtl/>
              </w:rPr>
              <w:t>מדינת ישראל נ' קבלאן</w:t>
            </w:r>
          </w:p>
          <w:p w14:paraId="3DC21311" w14:textId="77777777" w:rsidR="005A7F91" w:rsidRPr="00C45A91" w:rsidRDefault="005A7F91" w:rsidP="0046429E">
            <w:pPr>
              <w:pStyle w:val="a3"/>
              <w:rPr>
                <w:rFonts w:cs="FrankRuehl"/>
                <w:sz w:val="28"/>
                <w:szCs w:val="28"/>
                <w:rtl/>
              </w:rPr>
            </w:pPr>
          </w:p>
        </w:tc>
        <w:tc>
          <w:tcPr>
            <w:tcW w:w="3672" w:type="dxa"/>
          </w:tcPr>
          <w:p w14:paraId="59623809" w14:textId="77777777" w:rsidR="005A7F91" w:rsidRPr="00C45A91" w:rsidRDefault="00FB562C" w:rsidP="0046429E">
            <w:pPr>
              <w:pStyle w:val="a3"/>
              <w:jc w:val="right"/>
              <w:rPr>
                <w:rFonts w:cs="FrankRuehl"/>
                <w:sz w:val="28"/>
                <w:szCs w:val="28"/>
                <w:rtl/>
              </w:rPr>
            </w:pPr>
            <w:r w:rsidRPr="00C45A91">
              <w:rPr>
                <w:rFonts w:cs="FrankRuehl"/>
                <w:sz w:val="28"/>
                <w:szCs w:val="28"/>
                <w:rtl/>
              </w:rPr>
              <w:fldChar w:fldCharType="begin"/>
            </w:r>
            <w:r w:rsidR="005A7F91" w:rsidRPr="00C45A91">
              <w:rPr>
                <w:rFonts w:cs="FrankRuehl"/>
                <w:sz w:val="28"/>
                <w:szCs w:val="28"/>
                <w:rtl/>
              </w:rPr>
              <w:instrText xml:space="preserve"> </w:instrText>
            </w:r>
            <w:r w:rsidR="005A7F91" w:rsidRPr="00C45A91">
              <w:rPr>
                <w:rFonts w:cs="FrankRuehl" w:hint="cs"/>
                <w:sz w:val="28"/>
                <w:szCs w:val="28"/>
              </w:rPr>
              <w:instrText>DATE</w:instrText>
            </w:r>
            <w:r w:rsidR="005A7F91" w:rsidRPr="00C45A91">
              <w:rPr>
                <w:rFonts w:cs="FrankRuehl" w:hint="cs"/>
                <w:sz w:val="28"/>
                <w:szCs w:val="28"/>
                <w:rtl/>
              </w:rPr>
              <w:instrText xml:space="preserve"> \@ "</w:instrText>
            </w:r>
            <w:r w:rsidR="005A7F91" w:rsidRPr="00C45A91">
              <w:rPr>
                <w:rFonts w:cs="FrankRuehl" w:hint="cs"/>
                <w:sz w:val="28"/>
                <w:szCs w:val="28"/>
              </w:rPr>
              <w:instrText>dd MMMM yyyy</w:instrText>
            </w:r>
            <w:r w:rsidR="005A7F91" w:rsidRPr="00C45A91">
              <w:rPr>
                <w:rFonts w:cs="FrankRuehl" w:hint="cs"/>
                <w:sz w:val="28"/>
                <w:szCs w:val="28"/>
                <w:rtl/>
              </w:rPr>
              <w:instrText>"</w:instrText>
            </w:r>
            <w:r w:rsidR="005A7F91" w:rsidRPr="00C45A91">
              <w:rPr>
                <w:rFonts w:cs="FrankRuehl"/>
                <w:sz w:val="28"/>
                <w:szCs w:val="28"/>
                <w:rtl/>
              </w:rPr>
              <w:instrText xml:space="preserve"> </w:instrText>
            </w:r>
            <w:r w:rsidRPr="00C45A91">
              <w:rPr>
                <w:rFonts w:cs="FrankRuehl"/>
                <w:sz w:val="28"/>
                <w:szCs w:val="28"/>
                <w:rtl/>
              </w:rPr>
              <w:fldChar w:fldCharType="separate"/>
            </w:r>
            <w:r w:rsidR="00715B1F">
              <w:rPr>
                <w:rFonts w:cs="FrankRuehl"/>
                <w:noProof/>
                <w:sz w:val="28"/>
                <w:szCs w:val="28"/>
                <w:rtl/>
              </w:rPr>
              <w:t>‏19 ינואר 2025</w:t>
            </w:r>
            <w:r w:rsidRPr="00C45A91">
              <w:rPr>
                <w:rFonts w:cs="FrankRuehl"/>
                <w:sz w:val="28"/>
                <w:szCs w:val="28"/>
                <w:rtl/>
              </w:rPr>
              <w:fldChar w:fldCharType="end"/>
            </w:r>
          </w:p>
        </w:tc>
      </w:tr>
    </w:tbl>
    <w:p w14:paraId="03D727A2" w14:textId="77777777" w:rsidR="005A7F91" w:rsidRPr="00C45A91" w:rsidRDefault="005A7F91" w:rsidP="005A7F91">
      <w:pPr>
        <w:pStyle w:val="a3"/>
        <w:rPr>
          <w:rtl/>
        </w:rPr>
      </w:pPr>
      <w:r w:rsidRPr="00C45A91">
        <w:rPr>
          <w:rFonts w:hint="cs"/>
          <w:rtl/>
        </w:rPr>
        <w:t xml:space="preserve"> </w:t>
      </w:r>
    </w:p>
    <w:p w14:paraId="701823E7" w14:textId="77777777" w:rsidR="005A7F91" w:rsidRPr="00C45A91" w:rsidRDefault="005A7F91" w:rsidP="005A7F91">
      <w:pPr>
        <w:rPr>
          <w:rFonts w:ascii="David" w:hAnsi="David"/>
          <w:rtl/>
        </w:rPr>
      </w:pPr>
    </w:p>
    <w:p w14:paraId="69263BA4" w14:textId="77777777" w:rsidR="005A7F91" w:rsidRPr="00C45A91" w:rsidRDefault="005A7F91" w:rsidP="005A7F91">
      <w:pPr>
        <w:rPr>
          <w:rFonts w:ascii="David" w:hAnsi="David"/>
          <w:rtl/>
        </w:rPr>
      </w:pPr>
    </w:p>
    <w:tbl>
      <w:tblPr>
        <w:bidiVisual/>
        <w:tblW w:w="8802" w:type="dxa"/>
        <w:tblInd w:w="-28" w:type="dxa"/>
        <w:tblLook w:val="01E0" w:firstRow="1" w:lastRow="1" w:firstColumn="1" w:lastColumn="1" w:noHBand="0" w:noVBand="0"/>
      </w:tblPr>
      <w:tblGrid>
        <w:gridCol w:w="2880"/>
        <w:gridCol w:w="5838"/>
        <w:gridCol w:w="84"/>
      </w:tblGrid>
      <w:tr w:rsidR="005A7F91" w:rsidRPr="00C45A91" w14:paraId="59648242" w14:textId="77777777" w:rsidTr="005A7F91">
        <w:trPr>
          <w:gridAfter w:val="1"/>
          <w:wAfter w:w="56" w:type="dxa"/>
        </w:trPr>
        <w:tc>
          <w:tcPr>
            <w:tcW w:w="8718" w:type="dxa"/>
            <w:gridSpan w:val="2"/>
            <w:shd w:val="clear" w:color="auto" w:fill="auto"/>
          </w:tcPr>
          <w:p w14:paraId="7ACB03FA" w14:textId="77777777" w:rsidR="005A7F91" w:rsidRPr="00C45A91" w:rsidRDefault="005A7F91" w:rsidP="005A7F91">
            <w:pPr>
              <w:spacing w:line="360" w:lineRule="auto"/>
              <w:rPr>
                <w:rFonts w:ascii="David" w:hAnsi="David"/>
                <w:b/>
                <w:bCs/>
                <w:sz w:val="26"/>
                <w:szCs w:val="26"/>
                <w:rtl/>
              </w:rPr>
            </w:pPr>
            <w:r w:rsidRPr="00C45A91">
              <w:rPr>
                <w:rFonts w:ascii="David" w:hAnsi="David"/>
                <w:b/>
                <w:bCs/>
                <w:sz w:val="26"/>
                <w:szCs w:val="26"/>
                <w:rtl/>
              </w:rPr>
              <w:t>לפני:                                        כבוד השופט אינאס סלאמה</w:t>
            </w:r>
            <w:r w:rsidRPr="00C45A91">
              <w:rPr>
                <w:rStyle w:val="TimesNewRomanTimesNewRoman"/>
                <w:rFonts w:ascii="David" w:hAnsi="David"/>
                <w:rtl/>
              </w:rPr>
              <w:t xml:space="preserve"> </w:t>
            </w:r>
          </w:p>
        </w:tc>
      </w:tr>
      <w:tr w:rsidR="005A7F91" w:rsidRPr="00C45A91" w14:paraId="46D314CD" w14:textId="77777777" w:rsidTr="005A7F91">
        <w:trPr>
          <w:cantSplit/>
          <w:trHeight w:val="724"/>
        </w:trPr>
        <w:tc>
          <w:tcPr>
            <w:tcW w:w="2880" w:type="dxa"/>
            <w:shd w:val="clear" w:color="auto" w:fill="auto"/>
          </w:tcPr>
          <w:p w14:paraId="7FE6024D" w14:textId="77777777" w:rsidR="005A7F91" w:rsidRPr="00C45A91" w:rsidRDefault="005A7F91" w:rsidP="005A7F91">
            <w:pPr>
              <w:ind w:left="26"/>
              <w:jc w:val="right"/>
              <w:rPr>
                <w:rFonts w:ascii="David" w:hAnsi="David"/>
                <w:b/>
                <w:bCs/>
                <w:sz w:val="26"/>
                <w:szCs w:val="26"/>
                <w:rtl/>
              </w:rPr>
            </w:pPr>
            <w:bookmarkStart w:id="1" w:name="FirstAppellant"/>
          </w:p>
          <w:p w14:paraId="35F34C7E" w14:textId="77777777" w:rsidR="005A7F91" w:rsidRPr="00C45A91" w:rsidRDefault="005A7F91" w:rsidP="005A7F91">
            <w:pPr>
              <w:ind w:left="26"/>
              <w:rPr>
                <w:rFonts w:ascii="David" w:hAnsi="David"/>
                <w:b/>
                <w:bCs/>
                <w:sz w:val="26"/>
                <w:szCs w:val="26"/>
                <w:rtl/>
              </w:rPr>
            </w:pPr>
            <w:r w:rsidRPr="00C45A91">
              <w:rPr>
                <w:rFonts w:ascii="David" w:hAnsi="David"/>
                <w:b/>
                <w:bCs/>
                <w:sz w:val="26"/>
                <w:szCs w:val="26"/>
                <w:rtl/>
              </w:rPr>
              <w:t>המאשימה:</w:t>
            </w:r>
          </w:p>
        </w:tc>
        <w:tc>
          <w:tcPr>
            <w:tcW w:w="5922" w:type="dxa"/>
            <w:gridSpan w:val="2"/>
            <w:shd w:val="clear" w:color="auto" w:fill="auto"/>
          </w:tcPr>
          <w:p w14:paraId="51CA55D0" w14:textId="77777777" w:rsidR="005A7F91" w:rsidRPr="00C45A91" w:rsidRDefault="005A7F91" w:rsidP="005A7F91">
            <w:pPr>
              <w:jc w:val="right"/>
              <w:rPr>
                <w:rFonts w:ascii="David" w:hAnsi="David"/>
                <w:rtl/>
              </w:rPr>
            </w:pPr>
          </w:p>
          <w:p w14:paraId="5A4AF6CF" w14:textId="77777777" w:rsidR="005A7F91" w:rsidRPr="00C45A91" w:rsidRDefault="005A7F91" w:rsidP="005A7F91">
            <w:pPr>
              <w:spacing w:line="360" w:lineRule="auto"/>
              <w:rPr>
                <w:rFonts w:ascii="David" w:hAnsi="David"/>
                <w:b/>
                <w:bCs/>
                <w:sz w:val="26"/>
                <w:szCs w:val="26"/>
                <w:rtl/>
              </w:rPr>
            </w:pPr>
            <w:r w:rsidRPr="00C45A91">
              <w:rPr>
                <w:rFonts w:ascii="David" w:hAnsi="David"/>
                <w:b/>
                <w:bCs/>
                <w:sz w:val="26"/>
                <w:szCs w:val="26"/>
                <w:rtl/>
              </w:rPr>
              <w:t>מדינת ישראל</w:t>
            </w:r>
          </w:p>
          <w:p w14:paraId="08EB52C5" w14:textId="77777777" w:rsidR="005A7F91" w:rsidRPr="00C45A91" w:rsidRDefault="005A7F91" w:rsidP="005A7F91">
            <w:pPr>
              <w:spacing w:line="360" w:lineRule="auto"/>
              <w:rPr>
                <w:rFonts w:ascii="David" w:hAnsi="David"/>
                <w:b/>
                <w:bCs/>
                <w:rtl/>
              </w:rPr>
            </w:pPr>
            <w:r w:rsidRPr="00C45A91">
              <w:rPr>
                <w:rFonts w:ascii="David" w:hAnsi="David" w:hint="cs"/>
                <w:sz w:val="22"/>
                <w:szCs w:val="22"/>
                <w:rtl/>
              </w:rPr>
              <w:t>ע"י פרקליטות מחוז חיפה</w:t>
            </w:r>
          </w:p>
        </w:tc>
      </w:tr>
      <w:bookmarkEnd w:id="1"/>
      <w:tr w:rsidR="005A7F91" w:rsidRPr="00C45A91" w14:paraId="6A9A9A21" w14:textId="77777777" w:rsidTr="005A7F91">
        <w:tc>
          <w:tcPr>
            <w:tcW w:w="8802" w:type="dxa"/>
            <w:gridSpan w:val="3"/>
            <w:shd w:val="clear" w:color="auto" w:fill="auto"/>
            <w:vAlign w:val="center"/>
          </w:tcPr>
          <w:p w14:paraId="2AD1D005" w14:textId="77777777" w:rsidR="005A7F91" w:rsidRPr="00C45A91" w:rsidRDefault="005A7F91" w:rsidP="005A7F91">
            <w:pPr>
              <w:jc w:val="center"/>
              <w:rPr>
                <w:rFonts w:ascii="David" w:hAnsi="David"/>
                <w:b/>
                <w:bCs/>
                <w:sz w:val="26"/>
                <w:szCs w:val="26"/>
                <w:rtl/>
              </w:rPr>
            </w:pPr>
          </w:p>
          <w:p w14:paraId="4E261799" w14:textId="77777777" w:rsidR="005A7F91" w:rsidRPr="00C45A91" w:rsidRDefault="005A7F91" w:rsidP="005A7F91">
            <w:pPr>
              <w:jc w:val="center"/>
              <w:rPr>
                <w:rFonts w:ascii="David" w:hAnsi="David"/>
                <w:b/>
                <w:bCs/>
                <w:sz w:val="26"/>
                <w:szCs w:val="26"/>
                <w:rtl/>
              </w:rPr>
            </w:pPr>
            <w:r w:rsidRPr="00C45A91">
              <w:rPr>
                <w:rFonts w:ascii="David" w:hAnsi="David"/>
                <w:b/>
                <w:bCs/>
                <w:sz w:val="26"/>
                <w:szCs w:val="26"/>
                <w:rtl/>
              </w:rPr>
              <w:t>נגד</w:t>
            </w:r>
          </w:p>
          <w:p w14:paraId="266422DF" w14:textId="77777777" w:rsidR="005A7F91" w:rsidRPr="00C45A91" w:rsidRDefault="005A7F91" w:rsidP="005A7F91">
            <w:pPr>
              <w:jc w:val="right"/>
              <w:rPr>
                <w:rFonts w:ascii="David" w:hAnsi="David"/>
                <w:b/>
                <w:bCs/>
                <w:sz w:val="26"/>
                <w:szCs w:val="26"/>
                <w:rtl/>
              </w:rPr>
            </w:pPr>
          </w:p>
        </w:tc>
      </w:tr>
      <w:tr w:rsidR="005A7F91" w:rsidRPr="00C45A91" w14:paraId="1C2AA5B9" w14:textId="77777777" w:rsidTr="005A7F91">
        <w:tc>
          <w:tcPr>
            <w:tcW w:w="2880" w:type="dxa"/>
            <w:shd w:val="clear" w:color="auto" w:fill="auto"/>
          </w:tcPr>
          <w:p w14:paraId="4817CB04" w14:textId="77777777" w:rsidR="005A7F91" w:rsidRPr="00C45A91" w:rsidRDefault="005A7F91" w:rsidP="005A7F91">
            <w:pPr>
              <w:ind w:left="26"/>
              <w:rPr>
                <w:rFonts w:ascii="David" w:hAnsi="David"/>
                <w:b/>
                <w:bCs/>
                <w:sz w:val="26"/>
                <w:szCs w:val="26"/>
                <w:rtl/>
              </w:rPr>
            </w:pPr>
            <w:bookmarkStart w:id="2" w:name="FirstLawyer"/>
            <w:r w:rsidRPr="00C45A91">
              <w:rPr>
                <w:rFonts w:ascii="David" w:hAnsi="David"/>
                <w:b/>
                <w:bCs/>
                <w:sz w:val="26"/>
                <w:szCs w:val="26"/>
                <w:rtl/>
              </w:rPr>
              <w:t>הנאשם:</w:t>
            </w:r>
          </w:p>
        </w:tc>
        <w:tc>
          <w:tcPr>
            <w:tcW w:w="5922" w:type="dxa"/>
            <w:gridSpan w:val="2"/>
            <w:shd w:val="clear" w:color="auto" w:fill="auto"/>
          </w:tcPr>
          <w:p w14:paraId="53D428ED" w14:textId="77777777" w:rsidR="005A7F91" w:rsidRPr="00C45A91" w:rsidRDefault="005A7F91" w:rsidP="005A7F91">
            <w:pPr>
              <w:spacing w:line="360" w:lineRule="auto"/>
              <w:rPr>
                <w:rFonts w:ascii="David" w:hAnsi="David"/>
                <w:b/>
                <w:bCs/>
                <w:sz w:val="26"/>
                <w:szCs w:val="26"/>
                <w:rtl/>
              </w:rPr>
            </w:pPr>
            <w:r w:rsidRPr="00C45A91">
              <w:rPr>
                <w:rFonts w:ascii="David" w:hAnsi="David"/>
                <w:b/>
                <w:bCs/>
                <w:sz w:val="26"/>
                <w:szCs w:val="26"/>
                <w:rtl/>
              </w:rPr>
              <w:t>ראשד קבלאן</w:t>
            </w:r>
            <w:r w:rsidRPr="00C45A91">
              <w:rPr>
                <w:rFonts w:ascii="David" w:hAnsi="David"/>
                <w:rtl/>
              </w:rPr>
              <w:t xml:space="preserve"> </w:t>
            </w:r>
            <w:r w:rsidRPr="00C45A91">
              <w:rPr>
                <w:rFonts w:ascii="David" w:hAnsi="David"/>
                <w:b/>
                <w:bCs/>
                <w:sz w:val="22"/>
                <w:szCs w:val="22"/>
                <w:rtl/>
              </w:rPr>
              <w:t xml:space="preserve">ת"ז  </w:t>
            </w:r>
            <w:r w:rsidR="00C45A91">
              <w:rPr>
                <w:rFonts w:ascii="David" w:hAnsi="David"/>
                <w:b/>
                <w:bCs/>
                <w:sz w:val="22"/>
                <w:szCs w:val="22"/>
              </w:rPr>
              <w:t>xxxxxxxxxx</w:t>
            </w:r>
          </w:p>
          <w:p w14:paraId="0D32E916" w14:textId="77777777" w:rsidR="005A7F91" w:rsidRPr="00C45A91" w:rsidRDefault="005A7F91" w:rsidP="005A7F91">
            <w:pPr>
              <w:spacing w:line="360" w:lineRule="auto"/>
              <w:rPr>
                <w:rFonts w:ascii="David" w:hAnsi="David"/>
                <w:b/>
                <w:bCs/>
              </w:rPr>
            </w:pPr>
            <w:r w:rsidRPr="00C45A91">
              <w:rPr>
                <w:rFonts w:ascii="David" w:hAnsi="David" w:hint="cs"/>
                <w:sz w:val="22"/>
                <w:szCs w:val="22"/>
                <w:rtl/>
              </w:rPr>
              <w:t xml:space="preserve">ע"י ב"כ </w:t>
            </w:r>
            <w:r w:rsidRPr="00C45A91">
              <w:rPr>
                <w:rFonts w:ascii="David" w:hAnsi="David"/>
                <w:sz w:val="22"/>
                <w:szCs w:val="22"/>
                <w:rtl/>
              </w:rPr>
              <w:t>עו</w:t>
            </w:r>
            <w:r w:rsidRPr="00C45A91">
              <w:rPr>
                <w:rFonts w:ascii="David" w:hAnsi="David" w:hint="cs"/>
                <w:sz w:val="22"/>
                <w:szCs w:val="22"/>
                <w:rtl/>
              </w:rPr>
              <w:t>ה</w:t>
            </w:r>
            <w:r w:rsidRPr="00C45A91">
              <w:rPr>
                <w:rFonts w:ascii="David" w:hAnsi="David"/>
                <w:sz w:val="22"/>
                <w:szCs w:val="22"/>
                <w:rtl/>
              </w:rPr>
              <w:t xml:space="preserve">"ד </w:t>
            </w:r>
            <w:r w:rsidRPr="00C45A91">
              <w:rPr>
                <w:rFonts w:ascii="David" w:hAnsi="David" w:hint="cs"/>
                <w:sz w:val="22"/>
                <w:szCs w:val="22"/>
                <w:rtl/>
              </w:rPr>
              <w:t>ענאן עליאן</w:t>
            </w:r>
          </w:p>
          <w:p w14:paraId="7524B46D" w14:textId="77777777" w:rsidR="005A7F91" w:rsidRPr="00C45A91" w:rsidRDefault="005A7F91" w:rsidP="005A7F91">
            <w:pPr>
              <w:jc w:val="right"/>
              <w:rPr>
                <w:rFonts w:ascii="David" w:hAnsi="David"/>
                <w:b/>
                <w:bCs/>
                <w:sz w:val="26"/>
                <w:szCs w:val="26"/>
                <w:rtl/>
              </w:rPr>
            </w:pPr>
          </w:p>
        </w:tc>
      </w:tr>
      <w:bookmarkEnd w:id="2"/>
    </w:tbl>
    <w:p w14:paraId="2B2461E1" w14:textId="77777777" w:rsidR="005A7F91" w:rsidRPr="00C45A91" w:rsidRDefault="005A7F91" w:rsidP="005A7F91">
      <w:pPr>
        <w:rPr>
          <w:rFonts w:ascii="David" w:hAnsi="David"/>
          <w:rtl/>
        </w:rPr>
      </w:pPr>
    </w:p>
    <w:p w14:paraId="2DCBCD01" w14:textId="77777777" w:rsidR="000A2A19" w:rsidRDefault="000A2A19" w:rsidP="005A7F91">
      <w:pPr>
        <w:rPr>
          <w:rFonts w:ascii="David" w:hAnsi="David"/>
          <w:rtl/>
        </w:rPr>
      </w:pPr>
    </w:p>
    <w:p w14:paraId="7E847826" w14:textId="77777777" w:rsidR="000A2A19" w:rsidRPr="000A2A19" w:rsidRDefault="000A2A19" w:rsidP="000A2A19">
      <w:pPr>
        <w:spacing w:after="120" w:line="240" w:lineRule="exact"/>
        <w:ind w:left="283" w:hanging="283"/>
        <w:jc w:val="both"/>
        <w:rPr>
          <w:rFonts w:ascii="FrankRuehl" w:hAnsi="FrankRuehl" w:cs="FrankRuehl"/>
          <w:rtl/>
        </w:rPr>
      </w:pPr>
    </w:p>
    <w:p w14:paraId="3B025360" w14:textId="77777777" w:rsidR="00595E9F" w:rsidRPr="00595E9F" w:rsidRDefault="00595E9F" w:rsidP="00595E9F">
      <w:pPr>
        <w:spacing w:before="120" w:after="120" w:line="240" w:lineRule="exact"/>
        <w:ind w:left="283" w:hanging="283"/>
        <w:jc w:val="both"/>
        <w:rPr>
          <w:rFonts w:ascii="FrankRuehl" w:hAnsi="FrankRuehl" w:cs="FrankRuehl"/>
          <w:rtl/>
        </w:rPr>
      </w:pPr>
    </w:p>
    <w:p w14:paraId="6345503B" w14:textId="77777777" w:rsidR="008832D9" w:rsidRDefault="008832D9" w:rsidP="008832D9">
      <w:pPr>
        <w:jc w:val="center"/>
        <w:rPr>
          <w:rFonts w:ascii="David" w:hAnsi="David"/>
          <w:sz w:val="32"/>
          <w:szCs w:val="32"/>
          <w:rtl/>
        </w:rPr>
      </w:pPr>
      <w:bookmarkStart w:id="3" w:name="LawTable"/>
      <w:bookmarkEnd w:id="3"/>
    </w:p>
    <w:p w14:paraId="7523D6C6" w14:textId="77777777" w:rsidR="008832D9" w:rsidRPr="008832D9" w:rsidRDefault="008832D9" w:rsidP="008832D9">
      <w:pPr>
        <w:spacing w:before="120" w:after="120" w:line="240" w:lineRule="exact"/>
        <w:ind w:left="283" w:hanging="283"/>
        <w:jc w:val="both"/>
        <w:rPr>
          <w:rFonts w:ascii="FrankRuehl" w:hAnsi="FrankRuehl" w:cs="FrankRuehl"/>
          <w:rtl/>
        </w:rPr>
      </w:pPr>
    </w:p>
    <w:p w14:paraId="7AF366FB" w14:textId="77777777" w:rsidR="008832D9" w:rsidRPr="008832D9" w:rsidRDefault="008832D9" w:rsidP="008832D9">
      <w:pPr>
        <w:spacing w:before="120" w:after="120" w:line="240" w:lineRule="exact"/>
        <w:ind w:left="283" w:hanging="283"/>
        <w:jc w:val="both"/>
        <w:rPr>
          <w:rFonts w:ascii="FrankRuehl" w:hAnsi="FrankRuehl" w:cs="FrankRuehl"/>
          <w:rtl/>
        </w:rPr>
      </w:pPr>
    </w:p>
    <w:p w14:paraId="66C2B187" w14:textId="77777777" w:rsidR="008832D9" w:rsidRPr="008832D9" w:rsidRDefault="008832D9" w:rsidP="008832D9">
      <w:pPr>
        <w:spacing w:before="120" w:after="120" w:line="240" w:lineRule="exact"/>
        <w:ind w:left="283" w:hanging="283"/>
        <w:jc w:val="both"/>
        <w:rPr>
          <w:rFonts w:ascii="FrankRuehl" w:hAnsi="FrankRuehl" w:cs="FrankRuehl"/>
          <w:rtl/>
        </w:rPr>
      </w:pPr>
      <w:r w:rsidRPr="008832D9">
        <w:rPr>
          <w:rFonts w:ascii="FrankRuehl" w:hAnsi="FrankRuehl" w:cs="FrankRuehl"/>
          <w:rtl/>
        </w:rPr>
        <w:t xml:space="preserve">חקיקה שאוזכרה: </w:t>
      </w:r>
    </w:p>
    <w:p w14:paraId="56217C1B" w14:textId="77777777" w:rsidR="008832D9" w:rsidRPr="008832D9" w:rsidRDefault="008832D9" w:rsidP="008832D9">
      <w:pPr>
        <w:spacing w:before="120" w:after="120" w:line="240" w:lineRule="exact"/>
        <w:ind w:left="283" w:hanging="283"/>
        <w:jc w:val="both"/>
        <w:rPr>
          <w:rFonts w:ascii="FrankRuehl" w:hAnsi="FrankRuehl" w:cs="FrankRuehl"/>
          <w:rtl/>
        </w:rPr>
      </w:pPr>
      <w:hyperlink r:id="rId7" w:history="1">
        <w:r w:rsidRPr="008832D9">
          <w:rPr>
            <w:rFonts w:ascii="FrankRuehl" w:hAnsi="FrankRuehl" w:cs="FrankRuehl"/>
            <w:color w:val="0000FF"/>
            <w:rtl/>
          </w:rPr>
          <w:t>חוק העונשין, תשל"ז-1977</w:t>
        </w:r>
      </w:hyperlink>
      <w:r w:rsidRPr="008832D9">
        <w:rPr>
          <w:rFonts w:ascii="FrankRuehl" w:hAnsi="FrankRuehl" w:cs="FrankRuehl"/>
          <w:rtl/>
        </w:rPr>
        <w:t xml:space="preserve">: סע'  </w:t>
      </w:r>
      <w:hyperlink r:id="rId8" w:history="1">
        <w:r w:rsidRPr="008832D9">
          <w:rPr>
            <w:rFonts w:ascii="FrankRuehl" w:hAnsi="FrankRuehl" w:cs="FrankRuehl"/>
            <w:color w:val="0000FF"/>
            <w:rtl/>
          </w:rPr>
          <w:t>144(א)</w:t>
        </w:r>
      </w:hyperlink>
      <w:r w:rsidRPr="008832D9">
        <w:rPr>
          <w:rFonts w:ascii="FrankRuehl" w:hAnsi="FrankRuehl" w:cs="FrankRuehl"/>
          <w:rtl/>
        </w:rPr>
        <w:t xml:space="preserve">, </w:t>
      </w:r>
      <w:hyperlink r:id="rId9" w:history="1">
        <w:r w:rsidRPr="008832D9">
          <w:rPr>
            <w:rFonts w:ascii="FrankRuehl" w:hAnsi="FrankRuehl" w:cs="FrankRuehl"/>
            <w:color w:val="0000FF"/>
            <w:rtl/>
          </w:rPr>
          <w:t>144(ב)</w:t>
        </w:r>
      </w:hyperlink>
      <w:r w:rsidRPr="008832D9">
        <w:rPr>
          <w:rFonts w:ascii="FrankRuehl" w:hAnsi="FrankRuehl" w:cs="FrankRuehl"/>
          <w:rtl/>
        </w:rPr>
        <w:t xml:space="preserve">, </w:t>
      </w:r>
      <w:hyperlink r:id="rId10" w:history="1">
        <w:r w:rsidRPr="008832D9">
          <w:rPr>
            <w:rFonts w:ascii="FrankRuehl" w:hAnsi="FrankRuehl" w:cs="FrankRuehl"/>
            <w:color w:val="0000FF"/>
            <w:rtl/>
          </w:rPr>
          <w:t>40יא</w:t>
        </w:r>
      </w:hyperlink>
    </w:p>
    <w:p w14:paraId="5DA2FF82" w14:textId="77777777" w:rsidR="008832D9" w:rsidRPr="008832D9" w:rsidRDefault="008832D9" w:rsidP="008832D9">
      <w:pPr>
        <w:jc w:val="center"/>
        <w:rPr>
          <w:rFonts w:ascii="David" w:hAnsi="David"/>
          <w:sz w:val="32"/>
          <w:szCs w:val="32"/>
          <w:rtl/>
        </w:rPr>
      </w:pPr>
      <w:bookmarkStart w:id="4" w:name="LawTable_End"/>
      <w:bookmarkEnd w:id="4"/>
    </w:p>
    <w:p w14:paraId="5131070D" w14:textId="77777777" w:rsidR="000A2A19" w:rsidRPr="00595E9F" w:rsidRDefault="000A2A19" w:rsidP="00595E9F">
      <w:pPr>
        <w:jc w:val="center"/>
        <w:rPr>
          <w:rFonts w:ascii="David" w:hAnsi="David"/>
          <w:sz w:val="32"/>
          <w:szCs w:val="32"/>
          <w:rtl/>
        </w:rPr>
      </w:pPr>
    </w:p>
    <w:p w14:paraId="60E85BFB" w14:textId="77777777" w:rsidR="000A2A19" w:rsidRPr="00C45A91" w:rsidRDefault="000A2A19" w:rsidP="00C45A91">
      <w:pPr>
        <w:jc w:val="center"/>
        <w:rPr>
          <w:rFonts w:ascii="David" w:hAnsi="David"/>
          <w:b/>
          <w:bCs/>
          <w:sz w:val="32"/>
          <w:szCs w:val="32"/>
          <w:u w:val="single"/>
          <w:rtl/>
        </w:rPr>
      </w:pPr>
      <w:bookmarkStart w:id="5" w:name="PsakDin"/>
      <w:r w:rsidRPr="00C45A91">
        <w:rPr>
          <w:rFonts w:ascii="David" w:hAnsi="David"/>
          <w:b/>
          <w:bCs/>
          <w:sz w:val="32"/>
          <w:szCs w:val="32"/>
          <w:u w:val="single"/>
          <w:rtl/>
        </w:rPr>
        <w:t>גזר דין</w:t>
      </w:r>
    </w:p>
    <w:bookmarkEnd w:id="5"/>
    <w:p w14:paraId="4D1D995B" w14:textId="77777777" w:rsidR="000A2A19" w:rsidRPr="005A7F91" w:rsidRDefault="000A2A19" w:rsidP="005A7F91">
      <w:pPr>
        <w:jc w:val="center"/>
        <w:rPr>
          <w:rFonts w:ascii="David" w:hAnsi="David"/>
          <w:sz w:val="32"/>
          <w:szCs w:val="32"/>
          <w:u w:val="single"/>
          <w:rtl/>
        </w:rPr>
      </w:pPr>
    </w:p>
    <w:p w14:paraId="0391047D" w14:textId="77777777" w:rsidR="000A2A19" w:rsidRPr="005A7F91" w:rsidRDefault="000A2A19" w:rsidP="005A7F91">
      <w:pPr>
        <w:jc w:val="center"/>
        <w:rPr>
          <w:rFonts w:ascii="David" w:hAnsi="David"/>
          <w:sz w:val="32"/>
          <w:szCs w:val="32"/>
          <w:u w:val="single"/>
          <w:rtl/>
        </w:rPr>
      </w:pPr>
    </w:p>
    <w:bookmarkEnd w:id="0"/>
    <w:p w14:paraId="6D65ED60" w14:textId="77777777" w:rsidR="005A7F91" w:rsidRDefault="005A7F91" w:rsidP="005A7F91">
      <w:pPr>
        <w:spacing w:line="360" w:lineRule="auto"/>
        <w:ind w:left="720" w:hanging="720"/>
        <w:jc w:val="both"/>
        <w:rPr>
          <w:rFonts w:ascii="David" w:hAnsi="David"/>
          <w:rtl/>
        </w:rPr>
      </w:pPr>
      <w:r>
        <w:rPr>
          <w:rFonts w:ascii="David" w:hAnsi="David" w:hint="cs"/>
          <w:rtl/>
        </w:rPr>
        <w:t>1.</w:t>
      </w:r>
      <w:r>
        <w:rPr>
          <w:rFonts w:ascii="David" w:hAnsi="David" w:hint="cs"/>
          <w:rtl/>
        </w:rPr>
        <w:tab/>
      </w:r>
      <w:bookmarkStart w:id="6" w:name="ABSTRACT_START"/>
      <w:bookmarkEnd w:id="6"/>
      <w:r>
        <w:rPr>
          <w:rFonts w:ascii="David" w:hAnsi="David" w:hint="cs"/>
          <w:rtl/>
        </w:rPr>
        <w:t xml:space="preserve">הנאשם שלפני הורשע, על פי הודאתו בעובדות כתב האישום, בביצוע עבירות בנשק (החזקה והובלה) - עבירה לפי </w:t>
      </w:r>
      <w:hyperlink r:id="rId11" w:history="1">
        <w:r w:rsidR="000A2A19" w:rsidRPr="000A2A19">
          <w:rPr>
            <w:rStyle w:val="Hyperlink"/>
            <w:rFonts w:ascii="David" w:hAnsi="David" w:hint="eastAsia"/>
            <w:rtl/>
          </w:rPr>
          <w:t>סעיפים</w:t>
        </w:r>
        <w:r w:rsidR="000A2A19" w:rsidRPr="000A2A19">
          <w:rPr>
            <w:rStyle w:val="Hyperlink"/>
            <w:rFonts w:ascii="David" w:hAnsi="David"/>
            <w:rtl/>
          </w:rPr>
          <w:t xml:space="preserve"> 144(א)</w:t>
        </w:r>
      </w:hyperlink>
      <w:r>
        <w:rPr>
          <w:rFonts w:ascii="David" w:hAnsi="David" w:hint="cs"/>
          <w:rtl/>
        </w:rPr>
        <w:t xml:space="preserve"> רישא + סיפא, וכן </w:t>
      </w:r>
      <w:hyperlink r:id="rId12" w:history="1">
        <w:r w:rsidR="000A2A19" w:rsidRPr="000A2A19">
          <w:rPr>
            <w:rStyle w:val="Hyperlink"/>
            <w:rFonts w:ascii="David" w:hAnsi="David"/>
            <w:rtl/>
          </w:rPr>
          <w:t>144(ב)</w:t>
        </w:r>
      </w:hyperlink>
      <w:r>
        <w:rPr>
          <w:rFonts w:ascii="David" w:hAnsi="David" w:hint="cs"/>
          <w:rtl/>
        </w:rPr>
        <w:t xml:space="preserve"> רישא + סיפא, ל</w:t>
      </w:r>
      <w:hyperlink r:id="rId13" w:history="1">
        <w:r w:rsidR="00C45A91" w:rsidRPr="00C45A91">
          <w:rPr>
            <w:rFonts w:ascii="David" w:hAnsi="David"/>
            <w:color w:val="0000FF"/>
            <w:u w:val="single"/>
            <w:rtl/>
          </w:rPr>
          <w:t>חוק העונשין</w:t>
        </w:r>
      </w:hyperlink>
      <w:r>
        <w:rPr>
          <w:rFonts w:ascii="David" w:hAnsi="David" w:hint="cs"/>
          <w:rtl/>
        </w:rPr>
        <w:t>, התשל"ז-1977 (להלן: "</w:t>
      </w:r>
      <w:r>
        <w:rPr>
          <w:rFonts w:ascii="David" w:hAnsi="David" w:hint="cs"/>
          <w:b/>
          <w:bCs/>
          <w:rtl/>
        </w:rPr>
        <w:t>החוק</w:t>
      </w:r>
      <w:r>
        <w:rPr>
          <w:rFonts w:ascii="David" w:hAnsi="David" w:hint="cs"/>
          <w:rtl/>
        </w:rPr>
        <w:t>").</w:t>
      </w:r>
    </w:p>
    <w:p w14:paraId="7A505E07" w14:textId="77777777" w:rsidR="005A7F91" w:rsidRDefault="005A7F91" w:rsidP="005A7F91">
      <w:pPr>
        <w:spacing w:line="360" w:lineRule="auto"/>
        <w:jc w:val="both"/>
        <w:rPr>
          <w:rFonts w:ascii="David" w:hAnsi="David"/>
          <w:rtl/>
        </w:rPr>
      </w:pPr>
    </w:p>
    <w:p w14:paraId="783430F2" w14:textId="77777777" w:rsidR="005A7F91" w:rsidRPr="00D03290" w:rsidRDefault="005A7F91" w:rsidP="005A7F91">
      <w:pPr>
        <w:spacing w:line="360" w:lineRule="auto"/>
        <w:jc w:val="both"/>
        <w:rPr>
          <w:rFonts w:ascii="David" w:hAnsi="David"/>
          <w:u w:val="single"/>
          <w:rtl/>
        </w:rPr>
      </w:pPr>
      <w:bookmarkStart w:id="7" w:name="ABSTRACT_END"/>
      <w:bookmarkEnd w:id="7"/>
      <w:r>
        <w:rPr>
          <w:rFonts w:ascii="David" w:hAnsi="David" w:hint="cs"/>
          <w:u w:val="single"/>
          <w:rtl/>
        </w:rPr>
        <w:t>כתב האישום</w:t>
      </w:r>
    </w:p>
    <w:p w14:paraId="05469E3E" w14:textId="77777777" w:rsidR="005A7F91" w:rsidRDefault="005A7F91" w:rsidP="005A7F91">
      <w:pPr>
        <w:spacing w:line="360" w:lineRule="auto"/>
        <w:jc w:val="both"/>
        <w:rPr>
          <w:rFonts w:ascii="David" w:hAnsi="David"/>
          <w:rtl/>
        </w:rPr>
      </w:pPr>
    </w:p>
    <w:p w14:paraId="01315A6A" w14:textId="77777777" w:rsidR="005A7F91" w:rsidRDefault="005A7F91" w:rsidP="005A7F91">
      <w:pPr>
        <w:spacing w:line="360" w:lineRule="auto"/>
        <w:ind w:left="720" w:hanging="720"/>
        <w:jc w:val="both"/>
        <w:rPr>
          <w:rFonts w:ascii="David" w:hAnsi="David"/>
          <w:rtl/>
        </w:rPr>
      </w:pPr>
      <w:r>
        <w:rPr>
          <w:rFonts w:ascii="David" w:hAnsi="David" w:hint="cs"/>
          <w:rtl/>
        </w:rPr>
        <w:t>2.</w:t>
      </w:r>
      <w:r>
        <w:rPr>
          <w:rFonts w:ascii="David" w:hAnsi="David" w:hint="cs"/>
          <w:rtl/>
        </w:rPr>
        <w:tab/>
        <w:t>על פי עובדות כתב האישום, שעיקרן יפורט להלן, בתאריך 20.11.2020, בשעה 01:51 או בסמוך לכך, הנאשם ושריף קבלאן נסעו ברכב מסוג איסוזו שבשימושו של האחרון, בכביש חקלאי המחבר בין בית ג'ן לחורפיש.</w:t>
      </w:r>
    </w:p>
    <w:p w14:paraId="5D663639" w14:textId="77777777" w:rsidR="005A7F91" w:rsidRDefault="005A7F91" w:rsidP="005A7F91">
      <w:pPr>
        <w:spacing w:line="360" w:lineRule="auto"/>
        <w:ind w:left="720" w:hanging="720"/>
        <w:jc w:val="both"/>
        <w:rPr>
          <w:rFonts w:ascii="David" w:hAnsi="David"/>
          <w:rtl/>
        </w:rPr>
      </w:pPr>
    </w:p>
    <w:p w14:paraId="353B1EDF" w14:textId="77777777" w:rsidR="005A7F91" w:rsidRDefault="005A7F91" w:rsidP="005A7F91">
      <w:pPr>
        <w:spacing w:line="360" w:lineRule="auto"/>
        <w:ind w:left="720" w:hanging="720"/>
        <w:jc w:val="both"/>
        <w:rPr>
          <w:rFonts w:ascii="David" w:hAnsi="David"/>
          <w:rtl/>
        </w:rPr>
      </w:pPr>
      <w:r>
        <w:rPr>
          <w:rFonts w:ascii="David" w:hAnsi="David"/>
          <w:rtl/>
        </w:rPr>
        <w:tab/>
      </w:r>
      <w:r>
        <w:rPr>
          <w:rFonts w:ascii="David" w:hAnsi="David" w:hint="cs"/>
          <w:rtl/>
        </w:rPr>
        <w:t>במהלך הנסיעה, הנאשם החזיק והוביל ברכב, בלא רשות על פי דין, חפץ דמוי רובה צייד מאולתר בקוטר 12 גייג' שהינו כלי שסוגל לירות כדור שבכוחו להמית אדם (להלן: "</w:t>
      </w:r>
      <w:r w:rsidRPr="00DB43C4">
        <w:rPr>
          <w:rFonts w:ascii="David" w:hAnsi="David" w:hint="cs"/>
          <w:b/>
          <w:bCs/>
          <w:rtl/>
        </w:rPr>
        <w:t xml:space="preserve">רובה </w:t>
      </w:r>
      <w:r>
        <w:rPr>
          <w:rFonts w:ascii="David" w:hAnsi="David" w:hint="cs"/>
          <w:b/>
          <w:bCs/>
          <w:rtl/>
        </w:rPr>
        <w:lastRenderedPageBreak/>
        <w:t>ה</w:t>
      </w:r>
      <w:r w:rsidRPr="00DB43C4">
        <w:rPr>
          <w:rFonts w:ascii="David" w:hAnsi="David" w:hint="cs"/>
          <w:b/>
          <w:bCs/>
          <w:rtl/>
        </w:rPr>
        <w:t>צ</w:t>
      </w:r>
      <w:r>
        <w:rPr>
          <w:rFonts w:ascii="David" w:hAnsi="David" w:hint="cs"/>
          <w:b/>
          <w:bCs/>
          <w:rtl/>
        </w:rPr>
        <w:t>י</w:t>
      </w:r>
      <w:r w:rsidRPr="00DB43C4">
        <w:rPr>
          <w:rFonts w:ascii="David" w:hAnsi="David" w:hint="cs"/>
          <w:b/>
          <w:bCs/>
          <w:rtl/>
        </w:rPr>
        <w:t>יד</w:t>
      </w:r>
      <w:r>
        <w:rPr>
          <w:rFonts w:ascii="David" w:hAnsi="David" w:hint="cs"/>
          <w:rtl/>
        </w:rPr>
        <w:t>" או "</w:t>
      </w:r>
      <w:r>
        <w:rPr>
          <w:rFonts w:ascii="David" w:hAnsi="David" w:hint="cs"/>
          <w:b/>
          <w:bCs/>
          <w:rtl/>
        </w:rPr>
        <w:t>ה</w:t>
      </w:r>
      <w:r w:rsidRPr="00DB43C4">
        <w:rPr>
          <w:rFonts w:ascii="David" w:hAnsi="David" w:hint="cs"/>
          <w:b/>
          <w:bCs/>
          <w:rtl/>
        </w:rPr>
        <w:t>נשק</w:t>
      </w:r>
      <w:r>
        <w:rPr>
          <w:rFonts w:ascii="David" w:hAnsi="David" w:hint="cs"/>
          <w:rtl/>
        </w:rPr>
        <w:t>"). כמו כן, החזיק והוביל הנאשם 5 כדורים לרובה אשר היו מוצמדים לקת של רובה הצייד, שהינם תחמושת לנשק.</w:t>
      </w:r>
    </w:p>
    <w:p w14:paraId="381C211C" w14:textId="77777777" w:rsidR="005A7F91" w:rsidRDefault="005A7F91" w:rsidP="005A7F91">
      <w:pPr>
        <w:spacing w:line="360" w:lineRule="auto"/>
        <w:ind w:left="720" w:hanging="720"/>
        <w:jc w:val="both"/>
        <w:rPr>
          <w:rFonts w:ascii="David" w:hAnsi="David"/>
          <w:rtl/>
        </w:rPr>
      </w:pPr>
    </w:p>
    <w:p w14:paraId="2A2F0FAE" w14:textId="77777777" w:rsidR="005A7F91" w:rsidRPr="00850C0A" w:rsidRDefault="005A7F91" w:rsidP="005A7F91">
      <w:pPr>
        <w:spacing w:line="360" w:lineRule="auto"/>
        <w:ind w:left="720" w:hanging="720"/>
        <w:jc w:val="both"/>
        <w:rPr>
          <w:rFonts w:ascii="David" w:hAnsi="David"/>
          <w:u w:val="single"/>
          <w:rtl/>
        </w:rPr>
      </w:pPr>
      <w:r w:rsidRPr="00850C0A">
        <w:rPr>
          <w:rFonts w:ascii="David" w:hAnsi="David" w:hint="cs"/>
          <w:u w:val="single"/>
          <w:rtl/>
        </w:rPr>
        <w:t>תסקיר שירות המבחן</w:t>
      </w:r>
    </w:p>
    <w:p w14:paraId="6A795E40" w14:textId="77777777" w:rsidR="005A7F91" w:rsidRDefault="005A7F91" w:rsidP="005A7F91">
      <w:pPr>
        <w:spacing w:line="360" w:lineRule="auto"/>
        <w:ind w:left="720" w:hanging="720"/>
        <w:jc w:val="both"/>
        <w:rPr>
          <w:rFonts w:ascii="David" w:hAnsi="David"/>
          <w:rtl/>
        </w:rPr>
      </w:pPr>
    </w:p>
    <w:p w14:paraId="4D21A77F" w14:textId="77777777" w:rsidR="005A7F91" w:rsidRDefault="005A7F91" w:rsidP="005A7F91">
      <w:pPr>
        <w:spacing w:line="360" w:lineRule="auto"/>
        <w:ind w:left="720" w:hanging="720"/>
        <w:jc w:val="both"/>
        <w:rPr>
          <w:rFonts w:ascii="David" w:hAnsi="David"/>
          <w:rtl/>
        </w:rPr>
      </w:pPr>
      <w:r>
        <w:rPr>
          <w:rFonts w:ascii="David" w:hAnsi="David" w:hint="cs"/>
          <w:rtl/>
        </w:rPr>
        <w:t>3.</w:t>
      </w:r>
      <w:r>
        <w:rPr>
          <w:rFonts w:ascii="David" w:hAnsi="David" w:hint="cs"/>
          <w:rtl/>
        </w:rPr>
        <w:tab/>
        <w:t>על פי החלטתי, נערך תסקיר שירות המבחן על אודות הנאשם. בתסקיר מיום 10.2.2023 סקר שירות המבחן את רקעו האישי והמשפחתי של הנאשם. בכלל זה צויין, כי הנאשם בן 28, פרוד ומצוי בהליכי גירושין. הוא מתגורר בכפר בית ג'ן, ועובד כנהג ומסיע חיילים בחברה השייכת למשרד הביטחון. משפחת מוצאו מונה זוג הורים ושלושה ילדים. הנאשם בעל 12 שנות לימוד עם זכאות לתעודת בגרות. שירת בצבא כנהג מבצעי, ולאחר מכן בקבע משך מספר חודשים.</w:t>
      </w:r>
    </w:p>
    <w:p w14:paraId="1F23A2B5" w14:textId="77777777" w:rsidR="005A7F91" w:rsidRDefault="005A7F91" w:rsidP="005A7F91">
      <w:pPr>
        <w:spacing w:line="360" w:lineRule="auto"/>
        <w:ind w:left="720" w:hanging="720"/>
        <w:jc w:val="both"/>
        <w:rPr>
          <w:rFonts w:ascii="David" w:hAnsi="David"/>
          <w:rtl/>
        </w:rPr>
      </w:pPr>
    </w:p>
    <w:p w14:paraId="3525BEFD" w14:textId="77777777" w:rsidR="005A7F91" w:rsidRDefault="005A7F91" w:rsidP="005A7F91">
      <w:pPr>
        <w:spacing w:line="360" w:lineRule="auto"/>
        <w:ind w:left="720" w:hanging="720"/>
        <w:jc w:val="both"/>
        <w:rPr>
          <w:rFonts w:ascii="David" w:hAnsi="David"/>
          <w:rtl/>
        </w:rPr>
      </w:pPr>
      <w:r>
        <w:rPr>
          <w:rFonts w:ascii="David" w:hAnsi="David" w:hint="cs"/>
          <w:rtl/>
        </w:rPr>
        <w:t>4.</w:t>
      </w:r>
      <w:r>
        <w:rPr>
          <w:rFonts w:ascii="David" w:hAnsi="David" w:hint="cs"/>
          <w:rtl/>
        </w:rPr>
        <w:tab/>
        <w:t>בהתייחסו לעבירה מושא ענייננו, כך צוין בתסקיר, הנאשם לא קיבל אחריות למעשיו והביע חרטה מילולית בלבד. הלה טען כי מצא את רובה הצייד בבית סבו אשר ריק מאדם. לדבריו, הוא לקח את הנשק בהולכו למסוק זיתים כדי לזרוק אותו ביער. עוד טען הנאשם כי הוא לא ידע מה לעשות עם הנשק, וכיום הוא מתרחט שלא התקשר למשטרה. הנאשם שלל כי הנשק שייך לו או כי בכוונתו היה לעשות בו שימוש. שירות המבחן ציין, כי הנאשם התייחס לנסיבות ביצוע העבירה באופן שאינו קוהרנטי, והתרשם מרמת הבנה מסוימת של הנאשם להשלכות ולבעייתיות שבמעשיו.</w:t>
      </w:r>
    </w:p>
    <w:p w14:paraId="041CC376" w14:textId="77777777" w:rsidR="005A7F91" w:rsidRDefault="005A7F91" w:rsidP="005A7F91">
      <w:pPr>
        <w:spacing w:line="360" w:lineRule="auto"/>
        <w:ind w:left="720" w:hanging="720"/>
        <w:jc w:val="both"/>
        <w:rPr>
          <w:rFonts w:ascii="David" w:hAnsi="David"/>
          <w:rtl/>
        </w:rPr>
      </w:pPr>
    </w:p>
    <w:p w14:paraId="5E832749" w14:textId="77777777" w:rsidR="005A7F91" w:rsidRDefault="005A7F91" w:rsidP="005A7F91">
      <w:pPr>
        <w:spacing w:line="360" w:lineRule="auto"/>
        <w:ind w:left="720" w:hanging="720"/>
        <w:jc w:val="both"/>
        <w:rPr>
          <w:rFonts w:ascii="David" w:hAnsi="David"/>
          <w:rtl/>
        </w:rPr>
      </w:pPr>
      <w:r>
        <w:rPr>
          <w:rFonts w:ascii="David" w:hAnsi="David" w:hint="cs"/>
          <w:rtl/>
        </w:rPr>
        <w:t>5.</w:t>
      </w:r>
      <w:r>
        <w:rPr>
          <w:rFonts w:ascii="David" w:hAnsi="David" w:hint="cs"/>
          <w:rtl/>
        </w:rPr>
        <w:tab/>
        <w:t xml:space="preserve">שירות המבחן עמד עוד על גורמי הסיכון להישנות עבריינות אל מול גורמי הסיכוי לשיקום. לבסוף, בפרק ההמלצה, ציין שירות המבחן כי נוכח האמור בתסקיר, ועל אף שזוהי מעורבותו הראשונה של הנאשם בפלילים, והגם שקיימת יציבות במרבית מישורי חייו של הנאשם, ההתרשמות היא כי מדובר בהתנהגות חוצת גבול, אשר ברקע לביצועה חסכים רגשיים עמוקים ופגיעות פנימיות לא מעובדות. זאת, לצד קשיים מאת הנאשם להכיר בחסכיו הרגשיים, לבחון את כשליו, וכן לגלות אמון בגורמי סמכות וטיפול. משכך, ובמיוחד נוכח עמדת הנאשם והתייחסותו אל ביצוע העבירה, וקושיו להכיר בחלקו ובאחריותו, לא בא שירות המבחן בהמלצה טיפולית או בהמלצה לחלופת ענישה שיהא בה כדי להפחית את הסיכון להישנות מעשים דומים מצד הנאשם בעתיד. </w:t>
      </w:r>
    </w:p>
    <w:p w14:paraId="6886F5CE" w14:textId="77777777" w:rsidR="005A7F91" w:rsidRDefault="005A7F91" w:rsidP="005A7F91">
      <w:pPr>
        <w:spacing w:line="360" w:lineRule="auto"/>
        <w:ind w:left="720" w:hanging="720"/>
        <w:jc w:val="both"/>
        <w:rPr>
          <w:rFonts w:ascii="David" w:hAnsi="David"/>
          <w:rtl/>
        </w:rPr>
      </w:pPr>
    </w:p>
    <w:p w14:paraId="1C90DB52" w14:textId="77777777" w:rsidR="005A7F91" w:rsidRPr="009F2ECB" w:rsidRDefault="005A7F91" w:rsidP="005A7F91">
      <w:pPr>
        <w:spacing w:line="360" w:lineRule="auto"/>
        <w:ind w:left="720" w:hanging="720"/>
        <w:jc w:val="both"/>
        <w:rPr>
          <w:rFonts w:ascii="David" w:hAnsi="David"/>
          <w:u w:val="single"/>
          <w:rtl/>
        </w:rPr>
      </w:pPr>
      <w:r>
        <w:rPr>
          <w:rFonts w:ascii="David" w:hAnsi="David" w:hint="cs"/>
          <w:u w:val="single"/>
          <w:rtl/>
        </w:rPr>
        <w:t>טיעוני הצדדים לעונש</w:t>
      </w:r>
    </w:p>
    <w:p w14:paraId="7C3A9973" w14:textId="77777777" w:rsidR="005A7F91" w:rsidRDefault="005A7F91" w:rsidP="005A7F91">
      <w:pPr>
        <w:spacing w:line="360" w:lineRule="auto"/>
        <w:ind w:left="720" w:hanging="720"/>
        <w:jc w:val="both"/>
        <w:rPr>
          <w:rFonts w:ascii="David" w:hAnsi="David"/>
          <w:rtl/>
        </w:rPr>
      </w:pPr>
    </w:p>
    <w:p w14:paraId="6F1DC79C" w14:textId="77777777" w:rsidR="005A7F91" w:rsidRDefault="005A7F91" w:rsidP="005A7F91">
      <w:pPr>
        <w:spacing w:line="360" w:lineRule="auto"/>
        <w:ind w:left="720" w:hanging="720"/>
        <w:jc w:val="both"/>
        <w:rPr>
          <w:rFonts w:ascii="David" w:hAnsi="David"/>
          <w:rtl/>
        </w:rPr>
      </w:pPr>
      <w:r>
        <w:rPr>
          <w:rFonts w:ascii="David" w:hAnsi="David" w:hint="cs"/>
          <w:rtl/>
        </w:rPr>
        <w:t>6.</w:t>
      </w:r>
      <w:r>
        <w:rPr>
          <w:rFonts w:ascii="David" w:hAnsi="David" w:hint="cs"/>
          <w:rtl/>
        </w:rPr>
        <w:tab/>
        <w:t xml:space="preserve">במהלך הדיון שיוחד לשמיעת טיעוני הצדדים לעונש, הגיש כל אחד מן </w:t>
      </w:r>
      <w:r w:rsidRPr="00BC2B82">
        <w:rPr>
          <w:rFonts w:ascii="David" w:hAnsi="David" w:hint="cs"/>
          <w:rtl/>
        </w:rPr>
        <w:t>הצדדים גם טיעון בכתב. המאשימה</w:t>
      </w:r>
      <w:r>
        <w:rPr>
          <w:rFonts w:ascii="David" w:hAnsi="David" w:hint="cs"/>
          <w:rtl/>
        </w:rPr>
        <w:t xml:space="preserve"> ציינה בטיעוניה, כי עבירות האלימות באמצעות נשק אשר רבו בשנים האחרונות נגזרות באופן ישיר מהחזקה של נשק בלתי חוקי על ידי מי שאינו מורשה ואינו מיומן בהחזקת נשק שכזה. תופעה זו הפכה מכת מדינה, ועל בית המשפט החובה להילחם בה באמצעות ענישה מחמירה בדמות שלילת החירות לתקופה ממושכת. עוד הזכירה המאשימה את מגמת ההחמרה בענישה בשנים האחרונות.</w:t>
      </w:r>
    </w:p>
    <w:p w14:paraId="647FAF2B" w14:textId="77777777" w:rsidR="005A7F91" w:rsidRDefault="005A7F91" w:rsidP="005A7F91">
      <w:pPr>
        <w:spacing w:line="360" w:lineRule="auto"/>
        <w:ind w:left="720" w:hanging="720"/>
        <w:jc w:val="both"/>
        <w:rPr>
          <w:rFonts w:ascii="David" w:hAnsi="David"/>
          <w:rtl/>
        </w:rPr>
      </w:pPr>
    </w:p>
    <w:p w14:paraId="116FFC6F" w14:textId="77777777" w:rsidR="005A7F91" w:rsidRDefault="005A7F91" w:rsidP="005A7F91">
      <w:pPr>
        <w:spacing w:line="360" w:lineRule="auto"/>
        <w:ind w:left="720" w:hanging="720"/>
        <w:jc w:val="both"/>
        <w:rPr>
          <w:rFonts w:ascii="David" w:hAnsi="David"/>
          <w:rtl/>
        </w:rPr>
      </w:pPr>
      <w:r>
        <w:rPr>
          <w:rFonts w:ascii="David" w:hAnsi="David"/>
          <w:rtl/>
        </w:rPr>
        <w:lastRenderedPageBreak/>
        <w:tab/>
      </w:r>
      <w:r>
        <w:rPr>
          <w:rFonts w:ascii="David" w:hAnsi="David" w:hint="cs"/>
          <w:rtl/>
        </w:rPr>
        <w:t xml:space="preserve">בנוגע לנסיבות הקשורות בביצוע העבירה, ציינה המאשימה כי הנאשם החזיק והוביל את הנשק והתחמושת בתוך רכב, כשנסיבות השגתם והצורך לשמו הצטייד בהם נותרו בערפל. חלקו של הנאשם מוחלט, והנזק שהיה צפוי להיגרם לו הנאשם היה עושה שימוש בנשק, ברור. עוד נטען מפי המאשימה, כי אין מקום להקל עם הנאשם רק מחמת שמדובר ברובה צייד, ובעניין זה מפנה היא לפסיקת בית המשפט העליון. בנוסף, הזכירה המאשימה את תיקון 140 לחוק בדבר עונש מזערי של רבע מהעונש המרבי הקבוע בחוק בגין עבירות נשק, וטענה כי על אף שהתיקון אינו חל בענייננו, הוא משקף את יחס החברה לביצוע עבירות נשק ואת הצורך להילחם בעבירות אלו. </w:t>
      </w:r>
    </w:p>
    <w:p w14:paraId="1033F2D0" w14:textId="77777777" w:rsidR="005A7F91" w:rsidRDefault="005A7F91" w:rsidP="005A7F91">
      <w:pPr>
        <w:spacing w:line="360" w:lineRule="auto"/>
        <w:ind w:left="720" w:hanging="720"/>
        <w:jc w:val="both"/>
        <w:rPr>
          <w:rFonts w:ascii="David" w:hAnsi="David"/>
          <w:rtl/>
        </w:rPr>
      </w:pPr>
    </w:p>
    <w:p w14:paraId="33F6C9CA" w14:textId="77777777" w:rsidR="005A7F91" w:rsidRDefault="005A7F91" w:rsidP="005A7F91">
      <w:pPr>
        <w:spacing w:line="360" w:lineRule="auto"/>
        <w:ind w:left="720" w:hanging="720"/>
        <w:jc w:val="both"/>
        <w:rPr>
          <w:rFonts w:ascii="David" w:hAnsi="David"/>
          <w:rtl/>
        </w:rPr>
      </w:pPr>
      <w:r>
        <w:rPr>
          <w:rFonts w:ascii="David" w:hAnsi="David" w:hint="cs"/>
          <w:rtl/>
        </w:rPr>
        <w:t>7.</w:t>
      </w:r>
      <w:r>
        <w:rPr>
          <w:rFonts w:ascii="David" w:hAnsi="David" w:hint="cs"/>
          <w:rtl/>
        </w:rPr>
        <w:tab/>
        <w:t>בכל הנוגע למדיניות הענישה הנוהגת, הפנתה המאשימה לשני גזרי דין. באותם המקרים הנאשמים החזיקו רובה צייד ותחמושת והורשעו בעבירת החזקת נשק, ולטענת המאשימה המקרה שבענייננו חמור יותר. המאשימה פרטה עוד בטיעוניה את האמור בתסקיר שירות המבחן, ולבסוף עתרה לקביעת מתחם עונש הולם הנע בין 30 ל-60 חודשי מאסר בפועל. בשים לב לנטילת האחריות ולהודאה במיוחס לו, וכן להיעדר עבר פלילי, סבורה המאשימה כי יש להשית על הנאשם עונש מאסר בחלקו התחתון של המתחם. זאת, לצד מאסר מותנה ארוך ומשמעותי, וכן קנס.</w:t>
      </w:r>
    </w:p>
    <w:p w14:paraId="1DA81504" w14:textId="77777777" w:rsidR="005A7F91" w:rsidRDefault="005A7F91" w:rsidP="005A7F91">
      <w:pPr>
        <w:spacing w:line="360" w:lineRule="auto"/>
        <w:ind w:left="720" w:hanging="720"/>
        <w:jc w:val="both"/>
        <w:rPr>
          <w:rFonts w:ascii="David" w:hAnsi="David"/>
          <w:rtl/>
        </w:rPr>
      </w:pPr>
    </w:p>
    <w:p w14:paraId="543AEAA2" w14:textId="77777777" w:rsidR="005A7F91" w:rsidRDefault="005A7F91" w:rsidP="005A7F91">
      <w:pPr>
        <w:spacing w:line="360" w:lineRule="auto"/>
        <w:ind w:left="720" w:hanging="720"/>
        <w:jc w:val="both"/>
        <w:rPr>
          <w:rFonts w:ascii="David" w:hAnsi="David"/>
          <w:rtl/>
        </w:rPr>
      </w:pPr>
      <w:r>
        <w:rPr>
          <w:rFonts w:ascii="David" w:hAnsi="David" w:hint="cs"/>
          <w:rtl/>
        </w:rPr>
        <w:t>8.</w:t>
      </w:r>
      <w:r>
        <w:rPr>
          <w:rFonts w:ascii="David" w:hAnsi="David" w:hint="cs"/>
          <w:rtl/>
        </w:rPr>
        <w:tab/>
        <w:t xml:space="preserve">הסנגור טען, כי המתחם לו עתרה המאשימה "הוא מופרך לחלוטין". זאת, מחמת שמדובר ברובה צייד אשר נתפס בתוך הרכב. הנאשם לקח אחריות מלאה כבר בחקירתו הראשונה במשטרה, ו"הדברים קיבלו ביטוי בהודאתו בהזדמנות הראשונה בפני מותב זה". הסנגור ציין עוד כי הנאשם עובד כנהג המסיע חיילים. הוא חשוף לנשק מדי יום, ואף "מוצא אמצעי תחמושת כאלה ואחרים". הסנגור טען כי הנאשם מצא 6 רימוני רסס והשכיל לקחתם לתחנת המשטרה. בנוסף נטען, כי הנאשם נורמטיבי ומגיע ממשפחה נורמטיבית וערכית. גילו צעיר. הוא מבין את חומרת המעשים ומביע חרטה על ביצועם. הנאשם אינו בעל עבר פלילי. שירות המבחן אמנם לא בא בהמלצה, אך מן התסקיר עולה כי לא מדובר באדם הנטוע בעולם הפשע והעבריינות. </w:t>
      </w:r>
    </w:p>
    <w:p w14:paraId="73481AD2" w14:textId="77777777" w:rsidR="005A7F91" w:rsidRDefault="005A7F91" w:rsidP="005A7F91">
      <w:pPr>
        <w:spacing w:line="360" w:lineRule="auto"/>
        <w:ind w:left="720" w:hanging="720"/>
        <w:jc w:val="both"/>
        <w:rPr>
          <w:rFonts w:ascii="David" w:hAnsi="David"/>
          <w:rtl/>
        </w:rPr>
      </w:pPr>
    </w:p>
    <w:p w14:paraId="3039DF8E" w14:textId="77777777" w:rsidR="005A7F91" w:rsidRDefault="005A7F91" w:rsidP="005A7F91">
      <w:pPr>
        <w:spacing w:line="360" w:lineRule="auto"/>
        <w:ind w:left="720" w:hanging="720"/>
        <w:jc w:val="both"/>
        <w:rPr>
          <w:rFonts w:ascii="David" w:hAnsi="David"/>
          <w:rtl/>
        </w:rPr>
      </w:pPr>
      <w:r>
        <w:rPr>
          <w:rFonts w:ascii="David" w:hAnsi="David" w:hint="cs"/>
          <w:rtl/>
        </w:rPr>
        <w:t>9.</w:t>
      </w:r>
      <w:r>
        <w:rPr>
          <w:rFonts w:ascii="David" w:hAnsi="David" w:hint="cs"/>
          <w:rtl/>
        </w:rPr>
        <w:tab/>
        <w:t xml:space="preserve">בנוסף, בטיעוניו בכתב ציין הסנגור, כי "אין ספק ואין מחלוקת בי [כך במקור] הנאשם פעלו [כך במקור] כפי שפעל בלי לחשוב לעומקם של הדברים אלא בלהיטות והתגרות יותר [כך במקור], מבלי לחשוב </w:t>
      </w:r>
      <w:r w:rsidRPr="00170280">
        <w:rPr>
          <w:rFonts w:ascii="David" w:hAnsi="David" w:hint="cs"/>
          <w:rtl/>
        </w:rPr>
        <w:t xml:space="preserve">על תוצאותיהם". כמו כן, נטען מפי ההגנה כי מאסר ממושך עלול לחשוף את הנאשם להשפעות שליליות ולפגוע בסיכוייו להשתקם. הסנגור המלומד הפנה בטיעוניו בכתב לעשרות פסקי דין על מנת ללמד על מדיניות הענישה הנוהגת; פסיקה שעניינה עבירות בנשק - החזקה, נשיאה והובלה, </w:t>
      </w:r>
      <w:r>
        <w:rPr>
          <w:rFonts w:ascii="David" w:hAnsi="David" w:hint="cs"/>
          <w:rtl/>
        </w:rPr>
        <w:t>ו</w:t>
      </w:r>
      <w:r w:rsidRPr="00170280">
        <w:rPr>
          <w:rFonts w:ascii="David" w:hAnsi="David" w:hint="cs"/>
          <w:rtl/>
        </w:rPr>
        <w:t>פסיקה שעניינה סחר בנשק</w:t>
      </w:r>
      <w:r>
        <w:rPr>
          <w:rFonts w:ascii="David" w:hAnsi="David" w:hint="cs"/>
          <w:rtl/>
        </w:rPr>
        <w:t xml:space="preserve"> (הסניגור אף </w:t>
      </w:r>
      <w:r w:rsidRPr="00170280">
        <w:rPr>
          <w:rFonts w:ascii="David" w:hAnsi="David" w:hint="cs"/>
          <w:rtl/>
        </w:rPr>
        <w:t xml:space="preserve">הפנה לפסיקה שעניינה </w:t>
      </w:r>
      <w:r>
        <w:rPr>
          <w:rFonts w:ascii="David" w:hAnsi="David" w:hint="cs"/>
          <w:rtl/>
        </w:rPr>
        <w:t xml:space="preserve">עבירת </w:t>
      </w:r>
      <w:r w:rsidRPr="00170280">
        <w:rPr>
          <w:rFonts w:ascii="David" w:hAnsi="David" w:hint="cs"/>
          <w:rtl/>
        </w:rPr>
        <w:t>שוד</w:t>
      </w:r>
      <w:r>
        <w:rPr>
          <w:rFonts w:ascii="David" w:hAnsi="David" w:hint="cs"/>
          <w:rtl/>
        </w:rPr>
        <w:t xml:space="preserve">). </w:t>
      </w:r>
      <w:r w:rsidRPr="00170280">
        <w:rPr>
          <w:rFonts w:ascii="David" w:hAnsi="David" w:hint="cs"/>
          <w:rtl/>
        </w:rPr>
        <w:t>הסנגור הוסיף עוד וטען כי תיקון 140 לחוק אינו חל בענייננו.</w:t>
      </w:r>
      <w:r>
        <w:rPr>
          <w:rFonts w:ascii="David" w:hAnsi="David" w:hint="cs"/>
          <w:rtl/>
        </w:rPr>
        <w:t xml:space="preserve"> </w:t>
      </w:r>
    </w:p>
    <w:p w14:paraId="37420867" w14:textId="77777777" w:rsidR="005A7F91" w:rsidRDefault="005A7F91" w:rsidP="005A7F91">
      <w:pPr>
        <w:spacing w:line="360" w:lineRule="auto"/>
        <w:ind w:left="720"/>
        <w:jc w:val="both"/>
        <w:rPr>
          <w:rFonts w:ascii="David" w:hAnsi="David"/>
          <w:rtl/>
        </w:rPr>
      </w:pPr>
    </w:p>
    <w:p w14:paraId="7B492BA2" w14:textId="77777777" w:rsidR="005A7F91" w:rsidRDefault="005A7F91" w:rsidP="005A7F91">
      <w:pPr>
        <w:spacing w:line="360" w:lineRule="auto"/>
        <w:ind w:left="720"/>
        <w:jc w:val="both"/>
        <w:rPr>
          <w:rFonts w:ascii="David" w:hAnsi="David"/>
          <w:rtl/>
        </w:rPr>
      </w:pPr>
      <w:r>
        <w:rPr>
          <w:rFonts w:ascii="David" w:hAnsi="David" w:hint="cs"/>
          <w:rtl/>
        </w:rPr>
        <w:t>לבסוף, עתר הסנגור למתחם עונש הולם הנע בין 9 ל-30 חודשי מאסר, וביקש כי תיגזר על הנאשם ענישה של מאסר בפועל ברף התחתון, לריצוי בעבודות שירות.</w:t>
      </w:r>
    </w:p>
    <w:p w14:paraId="411BEC59" w14:textId="77777777" w:rsidR="005A7F91" w:rsidRDefault="005A7F91" w:rsidP="005A7F91">
      <w:pPr>
        <w:spacing w:line="360" w:lineRule="auto"/>
        <w:jc w:val="both"/>
        <w:rPr>
          <w:rFonts w:ascii="David" w:hAnsi="David"/>
          <w:rtl/>
        </w:rPr>
      </w:pPr>
    </w:p>
    <w:p w14:paraId="6746EDF8" w14:textId="77777777" w:rsidR="005A7F91" w:rsidRPr="00552B88" w:rsidRDefault="005A7F91" w:rsidP="005A7F91">
      <w:pPr>
        <w:spacing w:line="360" w:lineRule="auto"/>
        <w:jc w:val="both"/>
        <w:rPr>
          <w:rFonts w:ascii="David" w:hAnsi="David"/>
          <w:u w:val="single"/>
          <w:rtl/>
        </w:rPr>
      </w:pPr>
      <w:r>
        <w:rPr>
          <w:rFonts w:ascii="David" w:hAnsi="David" w:hint="cs"/>
          <w:u w:val="single"/>
          <w:rtl/>
        </w:rPr>
        <w:t>דבר הנאשם</w:t>
      </w:r>
    </w:p>
    <w:p w14:paraId="2724228E" w14:textId="77777777" w:rsidR="005A7F91" w:rsidRDefault="005A7F91" w:rsidP="005A7F91">
      <w:pPr>
        <w:spacing w:line="360" w:lineRule="auto"/>
        <w:ind w:left="720" w:hanging="720"/>
        <w:jc w:val="both"/>
        <w:rPr>
          <w:rFonts w:ascii="David" w:hAnsi="David"/>
          <w:rtl/>
        </w:rPr>
      </w:pPr>
    </w:p>
    <w:p w14:paraId="304E64CC" w14:textId="77777777" w:rsidR="005A7F91" w:rsidRDefault="005A7F91" w:rsidP="005A7F91">
      <w:pPr>
        <w:spacing w:line="360" w:lineRule="auto"/>
        <w:ind w:left="720" w:hanging="720"/>
        <w:jc w:val="both"/>
        <w:rPr>
          <w:rFonts w:ascii="David" w:hAnsi="David"/>
          <w:rtl/>
        </w:rPr>
      </w:pPr>
      <w:r>
        <w:rPr>
          <w:rFonts w:ascii="David" w:hAnsi="David" w:hint="cs"/>
          <w:rtl/>
        </w:rPr>
        <w:t>10.</w:t>
      </w:r>
      <w:r>
        <w:rPr>
          <w:rFonts w:ascii="David" w:hAnsi="David" w:hint="cs"/>
          <w:rtl/>
        </w:rPr>
        <w:tab/>
        <w:t>לקראת תום הדיון אמר הנאשם את דברו. הנאשם סיפר כי הוא "</w:t>
      </w:r>
      <w:r>
        <w:rPr>
          <w:rFonts w:hint="cs"/>
          <w:rtl/>
        </w:rPr>
        <w:t>בא ממשפחה של שוטרים, לא עבריינים</w:t>
      </w:r>
      <w:r>
        <w:rPr>
          <w:rFonts w:ascii="David" w:hAnsi="David" w:hint="cs"/>
          <w:rtl/>
        </w:rPr>
        <w:t>"; כי הוא שירת בשריון ונלחם למען המדינה, לרבות ב"צוק איתן", וכן כי אחיו נפגע באורח קשה בתאונת דרכים בעת שירותו במשטרה צבאית, והנאשם מטפל בו באופן יומיומי. עוד על פי דבריו, במסגרת עבודתו, הוא מבצע סריקות בטיולית, "</w:t>
      </w:r>
      <w:r>
        <w:rPr>
          <w:rFonts w:hint="cs"/>
          <w:rtl/>
        </w:rPr>
        <w:t>מוצא נשקים, אמל"חים, תחמושת, אני תמיד מחזיר אותם</w:t>
      </w:r>
      <w:r>
        <w:rPr>
          <w:rFonts w:ascii="David" w:hAnsi="David" w:hint="cs"/>
          <w:rtl/>
        </w:rPr>
        <w:t>". בהתייחסו לפרשה דכאן, ציין הנאשם כי "</w:t>
      </w:r>
      <w:r>
        <w:rPr>
          <w:rFonts w:hint="cs"/>
          <w:rtl/>
        </w:rPr>
        <w:t>אני מצאתי את הרובה בבית סבי עטוף בניילון ולכן גם עשו איתי שחזור המשטרה ואמרתי להם בדיוק, היה בבית של הסבא מצלמות ואמרתי להם לבדוק אותם. אני מבקש גם מהמשטרה אם יוכלו להביא את הסרט והשחזור". בנוסף, פרט הנאשם כי בעקבות המעשה מושא ענייננו, הוא ביקש להתקבל לשורות משטרת ישראל, אך פניו הושבו ריקם.</w:t>
      </w:r>
    </w:p>
    <w:p w14:paraId="4A7DBD53" w14:textId="77777777" w:rsidR="005A7F91" w:rsidRDefault="005A7F91" w:rsidP="005A7F91">
      <w:pPr>
        <w:spacing w:line="360" w:lineRule="auto"/>
        <w:jc w:val="both"/>
        <w:rPr>
          <w:rFonts w:ascii="David" w:hAnsi="David"/>
          <w:rtl/>
        </w:rPr>
      </w:pPr>
    </w:p>
    <w:p w14:paraId="54D5037A" w14:textId="77777777" w:rsidR="005A7F91" w:rsidRDefault="005A7F91" w:rsidP="005A7F91">
      <w:pPr>
        <w:spacing w:line="360" w:lineRule="auto"/>
        <w:jc w:val="both"/>
        <w:rPr>
          <w:rFonts w:ascii="David" w:hAnsi="David"/>
          <w:rtl/>
        </w:rPr>
      </w:pPr>
    </w:p>
    <w:p w14:paraId="0AF32F7F" w14:textId="77777777" w:rsidR="005A7F91" w:rsidRPr="00F36616" w:rsidRDefault="005A7F91" w:rsidP="005A7F91">
      <w:pPr>
        <w:spacing w:line="360" w:lineRule="auto"/>
        <w:jc w:val="both"/>
        <w:rPr>
          <w:rFonts w:ascii="David" w:hAnsi="David"/>
          <w:b/>
          <w:bCs/>
          <w:u w:val="single"/>
          <w:rtl/>
        </w:rPr>
      </w:pPr>
      <w:r>
        <w:rPr>
          <w:rFonts w:ascii="David" w:hAnsi="David" w:hint="cs"/>
          <w:b/>
          <w:bCs/>
          <w:u w:val="single"/>
          <w:rtl/>
        </w:rPr>
        <w:t>דיון והכרעה</w:t>
      </w:r>
    </w:p>
    <w:p w14:paraId="2E71DC40" w14:textId="77777777" w:rsidR="005A7F91" w:rsidRDefault="005A7F91" w:rsidP="005A7F91">
      <w:pPr>
        <w:spacing w:line="360" w:lineRule="auto"/>
        <w:jc w:val="both"/>
        <w:rPr>
          <w:rFonts w:ascii="David" w:hAnsi="David"/>
          <w:rtl/>
        </w:rPr>
      </w:pPr>
    </w:p>
    <w:p w14:paraId="611B572B" w14:textId="77777777" w:rsidR="005A7F91" w:rsidRDefault="005A7F91" w:rsidP="005A7F91">
      <w:pPr>
        <w:spacing w:line="360" w:lineRule="auto"/>
        <w:ind w:left="720" w:hanging="720"/>
        <w:jc w:val="both"/>
        <w:rPr>
          <w:rFonts w:ascii="David" w:hAnsi="David"/>
          <w:rtl/>
        </w:rPr>
      </w:pPr>
      <w:r>
        <w:rPr>
          <w:rFonts w:ascii="David" w:hAnsi="David" w:hint="cs"/>
          <w:rtl/>
        </w:rPr>
        <w:t>11.</w:t>
      </w:r>
      <w:r>
        <w:rPr>
          <w:rFonts w:ascii="David" w:hAnsi="David" w:hint="cs"/>
          <w:rtl/>
        </w:rPr>
        <w:tab/>
      </w:r>
      <w:r>
        <w:rPr>
          <w:rFonts w:ascii="David" w:hAnsi="David"/>
          <w:rtl/>
        </w:rPr>
        <w:t>העיקרון המנחה בגזירת הדין הוא קיומו של יחס הולם בין חומרת העבירה בנסיבותיה ומידת אשמו של הנאשם העומד לדין, לבין סוג העונש שיוטל עליו ומידתו.</w:t>
      </w:r>
    </w:p>
    <w:p w14:paraId="70EBF73E" w14:textId="77777777" w:rsidR="005A7F91" w:rsidRDefault="005A7F91" w:rsidP="005A7F91">
      <w:pPr>
        <w:spacing w:line="360" w:lineRule="auto"/>
        <w:ind w:left="720" w:hanging="720"/>
        <w:jc w:val="both"/>
        <w:rPr>
          <w:rFonts w:ascii="David" w:hAnsi="David"/>
          <w:rtl/>
        </w:rPr>
      </w:pPr>
    </w:p>
    <w:p w14:paraId="2778F192" w14:textId="77777777" w:rsidR="005A7F91" w:rsidRDefault="005A7F91" w:rsidP="005A7F91">
      <w:pPr>
        <w:spacing w:line="360" w:lineRule="auto"/>
        <w:ind w:left="720" w:hanging="720"/>
        <w:jc w:val="both"/>
        <w:rPr>
          <w:rFonts w:ascii="David" w:hAnsi="David"/>
          <w:rtl/>
        </w:rPr>
      </w:pPr>
      <w:r>
        <w:rPr>
          <w:rFonts w:ascii="David" w:hAnsi="David"/>
          <w:rtl/>
        </w:rPr>
        <w:tab/>
        <w:t>בעת קביעת מתחם עונש הולם לעבירה שביצע נאשם בפלילים, על בית המשפט להתחשב בערך החברתי שנפגע מביצוע העבירה, במידת הפגיעה בו, במדיניות הענישה הנהוגה ובנסיבות הקשורות בביצוע העבירה.</w:t>
      </w:r>
    </w:p>
    <w:p w14:paraId="65D8452E" w14:textId="77777777" w:rsidR="005A7F91" w:rsidRDefault="005A7F91" w:rsidP="005A7F91">
      <w:pPr>
        <w:spacing w:line="360" w:lineRule="auto"/>
        <w:ind w:left="720" w:hanging="720"/>
        <w:jc w:val="both"/>
        <w:rPr>
          <w:rFonts w:ascii="David" w:hAnsi="David"/>
          <w:rtl/>
        </w:rPr>
      </w:pPr>
    </w:p>
    <w:p w14:paraId="34E2D911" w14:textId="77777777" w:rsidR="005A7F91" w:rsidRDefault="005A7F91" w:rsidP="005A7F91">
      <w:pPr>
        <w:spacing w:line="360" w:lineRule="auto"/>
        <w:ind w:left="720"/>
        <w:jc w:val="both"/>
        <w:rPr>
          <w:rFonts w:ascii="David" w:hAnsi="David"/>
          <w:rtl/>
        </w:rPr>
      </w:pPr>
      <w:r>
        <w:rPr>
          <w:rFonts w:ascii="David" w:hAnsi="David"/>
          <w:rtl/>
        </w:rPr>
        <w:t xml:space="preserve">לאחר קביעת מתחם העונש ההולם, </w:t>
      </w:r>
      <w:r>
        <w:rPr>
          <w:rFonts w:ascii="David" w:hAnsi="David" w:hint="cs"/>
          <w:rtl/>
        </w:rPr>
        <w:t>יפנה</w:t>
      </w:r>
      <w:r>
        <w:rPr>
          <w:rFonts w:ascii="David" w:hAnsi="David"/>
          <w:rtl/>
        </w:rPr>
        <w:t xml:space="preserve"> בית המשפט לאתר את העונש המתאים לנאשם בגבולות המתחם שנקבע, תוך התייחסות לנסיבות אשר אינן קשורות בביצוע העבירה. בית המשפט יכול לחרוג ממתחם העונש הן לקולא - משיקולי שיקום, והן לחומרה - משיקולי הגנה על שלום הציבור.</w:t>
      </w:r>
    </w:p>
    <w:p w14:paraId="7DAE3577" w14:textId="77777777" w:rsidR="005A7F91" w:rsidRDefault="005A7F91" w:rsidP="005A7F91">
      <w:pPr>
        <w:spacing w:line="360" w:lineRule="auto"/>
        <w:jc w:val="both"/>
        <w:rPr>
          <w:rFonts w:ascii="David" w:hAnsi="David"/>
          <w:rtl/>
        </w:rPr>
      </w:pPr>
    </w:p>
    <w:p w14:paraId="1F4623B3" w14:textId="77777777" w:rsidR="005A7F91" w:rsidRDefault="005A7F91" w:rsidP="005A7F91">
      <w:pPr>
        <w:spacing w:line="360" w:lineRule="auto"/>
        <w:jc w:val="both"/>
        <w:rPr>
          <w:rFonts w:ascii="David" w:hAnsi="David"/>
          <w:u w:val="single"/>
          <w:rtl/>
        </w:rPr>
      </w:pPr>
      <w:r>
        <w:rPr>
          <w:rFonts w:ascii="David" w:hAnsi="David"/>
          <w:u w:val="single"/>
          <w:rtl/>
        </w:rPr>
        <w:t>מתחם העונש ההולם</w:t>
      </w:r>
    </w:p>
    <w:p w14:paraId="60D43B1B" w14:textId="77777777" w:rsidR="005A7F91" w:rsidRDefault="005A7F91" w:rsidP="005A7F91">
      <w:pPr>
        <w:spacing w:line="360" w:lineRule="auto"/>
        <w:jc w:val="both"/>
        <w:rPr>
          <w:rFonts w:ascii="David" w:hAnsi="David"/>
          <w:rtl/>
        </w:rPr>
      </w:pPr>
    </w:p>
    <w:p w14:paraId="48EC53AC" w14:textId="77777777" w:rsidR="005A7F91" w:rsidRDefault="005A7F91" w:rsidP="005A7F91">
      <w:pPr>
        <w:spacing w:line="360" w:lineRule="auto"/>
        <w:ind w:left="720" w:hanging="720"/>
        <w:jc w:val="both"/>
        <w:rPr>
          <w:rFonts w:ascii="David" w:hAnsi="David"/>
          <w:rtl/>
        </w:rPr>
      </w:pPr>
      <w:r>
        <w:rPr>
          <w:rFonts w:ascii="David" w:hAnsi="David" w:hint="cs"/>
          <w:rtl/>
        </w:rPr>
        <w:t>12.</w:t>
      </w:r>
      <w:r>
        <w:rPr>
          <w:rFonts w:ascii="David" w:hAnsi="David" w:hint="cs"/>
          <w:rtl/>
        </w:rPr>
        <w:tab/>
        <w:t xml:space="preserve">הנאשם שלפניי הודה והורשע כאמור בביצוע עבירות בנשק - החזקה והובלה. בעת קביעת מתחם העונש ההולם, יש לעמוד תחילה על הערכים החברתיים אשר נפגעו כתוצאה מביצוע העבירה על ידי הנאשם, וכן על מידת הפגיעה בערכים אלו. </w:t>
      </w:r>
    </w:p>
    <w:p w14:paraId="2D52D7A9" w14:textId="77777777" w:rsidR="005A7F91" w:rsidRDefault="005A7F91" w:rsidP="005A7F91">
      <w:pPr>
        <w:spacing w:line="360" w:lineRule="auto"/>
        <w:ind w:left="720" w:hanging="720"/>
        <w:jc w:val="both"/>
        <w:rPr>
          <w:rFonts w:ascii="David" w:hAnsi="David"/>
          <w:rtl/>
        </w:rPr>
      </w:pPr>
    </w:p>
    <w:p w14:paraId="5E2830A1" w14:textId="77777777" w:rsidR="005A7F91" w:rsidRDefault="005A7F91" w:rsidP="005A7F91">
      <w:pPr>
        <w:spacing w:line="360" w:lineRule="auto"/>
        <w:ind w:left="720" w:hanging="720"/>
        <w:jc w:val="both"/>
        <w:rPr>
          <w:rFonts w:ascii="David" w:hAnsi="David"/>
          <w:rtl/>
        </w:rPr>
      </w:pPr>
      <w:r>
        <w:rPr>
          <w:rFonts w:ascii="David" w:hAnsi="David"/>
          <w:rtl/>
        </w:rPr>
        <w:tab/>
      </w:r>
      <w:r>
        <w:rPr>
          <w:rFonts w:ascii="David" w:hAnsi="David" w:hint="cs"/>
          <w:rtl/>
        </w:rPr>
        <w:t>בעבירות הנשק גלומה פגיעה אשר אינה מבוטלת בשורה של ערכים חברתיים מוגנים, בראשם שמירה על החיים, וכן על ביטחון הציבור ושלומו. בעצם החזקת נשק, וודאי בעת הובלתו ברכב, קיימת סכנה שמא ייעשה בו שימוש אשר עלול לגרום לנזק רב לרכוש או לגוף, עד כדי קיפוח חיים. יכול, ואלמלא העמדתו לדין, היה זה הנאשם אשר היה מבצע שימוש בנשק, אך יכול והיה זה אדם אחר בזמן אחר ובמקום אחר. החשש העיקרי, כאמור, הוא פן תארע פגיעה כתוצאה מהשימוש בנשק. בענייננו קיימות שורה של נסיבות, עליהן אעמוד בהמשך, אשר יש בעיקרן כדי למתן את הפגיעה בערכים החברתיים, ולמשל כי מדובר ברובה צייד. כמו כן, על אף שהיו כדורים לצידו, רובה הצייד לא היה טעון בעת החזקתו והובלתו ברכב.</w:t>
      </w:r>
    </w:p>
    <w:p w14:paraId="46DE8035" w14:textId="77777777" w:rsidR="005A7F91" w:rsidRDefault="005A7F91" w:rsidP="005A7F91">
      <w:pPr>
        <w:spacing w:line="360" w:lineRule="auto"/>
        <w:ind w:left="720" w:hanging="720"/>
        <w:jc w:val="both"/>
        <w:rPr>
          <w:rFonts w:ascii="David" w:hAnsi="David"/>
          <w:rtl/>
        </w:rPr>
      </w:pPr>
    </w:p>
    <w:p w14:paraId="60E9446C" w14:textId="77777777" w:rsidR="005A7F91" w:rsidRDefault="005A7F91" w:rsidP="005A7F91">
      <w:pPr>
        <w:spacing w:line="360" w:lineRule="auto"/>
        <w:ind w:left="720" w:hanging="720"/>
        <w:jc w:val="both"/>
        <w:rPr>
          <w:rFonts w:ascii="David" w:hAnsi="David"/>
          <w:rtl/>
        </w:rPr>
      </w:pPr>
      <w:r>
        <w:rPr>
          <w:rFonts w:ascii="David" w:hAnsi="David" w:hint="cs"/>
          <w:rtl/>
        </w:rPr>
        <w:t>13.</w:t>
      </w:r>
      <w:r>
        <w:rPr>
          <w:rFonts w:ascii="David" w:hAnsi="David" w:hint="cs"/>
          <w:rtl/>
        </w:rPr>
        <w:tab/>
      </w:r>
      <w:r>
        <w:rPr>
          <w:rFonts w:ascii="David" w:hAnsi="David"/>
          <w:rtl/>
        </w:rPr>
        <w:t>בית המשפט העליון עמד פעמים רבות על החומרה הגלומה בעבירות הנשק, וכן על הצורך בהחמרת הענישה כלפי מי אשר מבצע עבירות כגון דא. ראו על כך פסק דינו של בית המשפט העליון ב</w:t>
      </w:r>
      <w:hyperlink r:id="rId14" w:history="1">
        <w:r w:rsidR="00C45A91" w:rsidRPr="00C45A91">
          <w:rPr>
            <w:rFonts w:ascii="David" w:hAnsi="David"/>
            <w:color w:val="0000FF"/>
            <w:u w:val="single"/>
            <w:rtl/>
          </w:rPr>
          <w:t>ע"פ 2482/22</w:t>
        </w:r>
      </w:hyperlink>
      <w:r>
        <w:rPr>
          <w:rFonts w:ascii="David" w:hAnsi="David"/>
          <w:rtl/>
        </w:rPr>
        <w:t xml:space="preserve"> </w:t>
      </w:r>
      <w:r>
        <w:rPr>
          <w:rFonts w:ascii="David" w:hAnsi="David"/>
          <w:b/>
          <w:bCs/>
          <w:rtl/>
        </w:rPr>
        <w:t>מדינת ישראל נ' קדורה</w:t>
      </w:r>
      <w:r>
        <w:rPr>
          <w:rFonts w:ascii="David" w:hAnsi="David"/>
          <w:rtl/>
        </w:rPr>
        <w:t xml:space="preserve">, </w:t>
      </w:r>
      <w:r w:rsidRPr="008C0961">
        <w:rPr>
          <w:rFonts w:ascii="David" w:hAnsi="David"/>
          <w:rtl/>
        </w:rPr>
        <w:t>פסקה 6 (14.4.2022) (להלן: "</w:t>
      </w:r>
      <w:r w:rsidRPr="008C0961">
        <w:rPr>
          <w:rFonts w:ascii="David" w:hAnsi="David"/>
          <w:b/>
          <w:bCs/>
          <w:rtl/>
        </w:rPr>
        <w:t>עניין קדורה</w:t>
      </w:r>
      <w:r w:rsidRPr="008C0961">
        <w:rPr>
          <w:rFonts w:ascii="David" w:hAnsi="David"/>
          <w:rtl/>
        </w:rPr>
        <w:t>"), כ</w:t>
      </w:r>
      <w:r w:rsidRPr="008C0961">
        <w:rPr>
          <w:rFonts w:ascii="David" w:hAnsi="David" w:hint="cs"/>
          <w:rtl/>
        </w:rPr>
        <w:t>דלקמן</w:t>
      </w:r>
      <w:r w:rsidRPr="008C0961">
        <w:rPr>
          <w:rFonts w:ascii="David" w:hAnsi="David"/>
          <w:rtl/>
        </w:rPr>
        <w:t>:</w:t>
      </w:r>
    </w:p>
    <w:p w14:paraId="6FF2D4E6" w14:textId="77777777" w:rsidR="005A7F91" w:rsidRDefault="005A7F91" w:rsidP="005A7F91">
      <w:pPr>
        <w:spacing w:line="360" w:lineRule="auto"/>
        <w:ind w:left="720" w:hanging="720"/>
        <w:jc w:val="both"/>
        <w:rPr>
          <w:rFonts w:ascii="David" w:hAnsi="David"/>
          <w:rtl/>
        </w:rPr>
      </w:pPr>
    </w:p>
    <w:p w14:paraId="51DE6A73" w14:textId="77777777" w:rsidR="005A7F91" w:rsidRDefault="005A7F91" w:rsidP="005A7F91">
      <w:pPr>
        <w:spacing w:line="360" w:lineRule="auto"/>
        <w:ind w:left="1218" w:right="851"/>
        <w:jc w:val="both"/>
        <w:rPr>
          <w:rFonts w:ascii="David" w:hAnsi="David"/>
          <w:rtl/>
        </w:rPr>
      </w:pPr>
      <w:r>
        <w:rPr>
          <w:rFonts w:ascii="David" w:hAnsi="David"/>
          <w:rtl/>
        </w:rPr>
        <w:t>"</w:t>
      </w:r>
      <w:r>
        <w:rPr>
          <w:rFonts w:ascii="David" w:hAnsi="David"/>
          <w:b/>
          <w:bCs/>
          <w:rtl/>
        </w:rPr>
        <w:t xml:space="preserve">החזקת נשק שלא כדין מאיימת על שלום הציבור ובטחונו </w:t>
      </w:r>
      <w:r>
        <w:rPr>
          <w:rFonts w:ascii="David" w:hAnsi="David"/>
          <w:rtl/>
        </w:rPr>
        <w:t xml:space="preserve">... </w:t>
      </w:r>
      <w:r>
        <w:rPr>
          <w:rFonts w:ascii="David" w:hAnsi="David"/>
          <w:b/>
          <w:bCs/>
          <w:rtl/>
        </w:rPr>
        <w:t xml:space="preserve">.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w:t>
      </w:r>
      <w:r>
        <w:rPr>
          <w:rFonts w:ascii="David" w:hAnsi="David"/>
          <w:rtl/>
        </w:rPr>
        <w:t>...</w:t>
      </w:r>
      <w:r>
        <w:rPr>
          <w:rFonts w:ascii="David" w:hAnsi="David"/>
          <w:b/>
          <w:bCs/>
          <w:rtl/>
        </w:rPr>
        <w:t xml:space="preserve">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w:t>
      </w:r>
      <w:r>
        <w:rPr>
          <w:rFonts w:ascii="David" w:hAnsi="David"/>
          <w:rtl/>
        </w:rPr>
        <w:t xml:space="preserve">... </w:t>
      </w:r>
      <w:r>
        <w:rPr>
          <w:rFonts w:ascii="David" w:hAnsi="David"/>
          <w:b/>
          <w:bCs/>
          <w:rtl/>
        </w:rPr>
        <w:t xml:space="preserve">. ענייננו ב'מכת מדינה' שהצורך להילחם בה על מנת להגן על הציבור, מצריך מענה הולם והטלת עונשי מאסר משמעותיים </w:t>
      </w:r>
      <w:r>
        <w:rPr>
          <w:rFonts w:ascii="David" w:hAnsi="David"/>
          <w:rtl/>
        </w:rPr>
        <w:t>...</w:t>
      </w:r>
      <w:r>
        <w:rPr>
          <w:rFonts w:ascii="David" w:hAnsi="David"/>
          <w:b/>
          <w:bCs/>
          <w:rtl/>
        </w:rPr>
        <w:t xml:space="preserve"> . ידע כל מי שמחזיק בנשק בלתי חוקי כי צפוי הוא להיענש בחומרה, בבחינת 'אם מחזיקים – למאסר נשלחים'.</w:t>
      </w:r>
      <w:r>
        <w:rPr>
          <w:rFonts w:ascii="David" w:hAnsi="David"/>
          <w:rtl/>
        </w:rPr>
        <w:t>"</w:t>
      </w:r>
    </w:p>
    <w:p w14:paraId="5CA69105" w14:textId="77777777" w:rsidR="005A7F91" w:rsidRDefault="005A7F91" w:rsidP="005A7F91">
      <w:pPr>
        <w:spacing w:line="360" w:lineRule="auto"/>
        <w:jc w:val="both"/>
        <w:rPr>
          <w:rFonts w:ascii="David" w:hAnsi="David"/>
          <w:rtl/>
        </w:rPr>
      </w:pPr>
    </w:p>
    <w:p w14:paraId="7D166573" w14:textId="77777777" w:rsidR="005A7F91" w:rsidRDefault="005A7F91" w:rsidP="005A7F91">
      <w:pPr>
        <w:spacing w:line="360" w:lineRule="auto"/>
        <w:ind w:left="720" w:hanging="720"/>
        <w:jc w:val="both"/>
        <w:rPr>
          <w:rFonts w:ascii="David" w:hAnsi="David"/>
          <w:rtl/>
        </w:rPr>
      </w:pPr>
      <w:r>
        <w:rPr>
          <w:rFonts w:ascii="David" w:hAnsi="David" w:hint="cs"/>
          <w:rtl/>
        </w:rPr>
        <w:t>14</w:t>
      </w:r>
      <w:r>
        <w:rPr>
          <w:rFonts w:ascii="David" w:hAnsi="David"/>
          <w:rtl/>
        </w:rPr>
        <w:t>.</w:t>
      </w:r>
      <w:r>
        <w:rPr>
          <w:rFonts w:ascii="David" w:hAnsi="David"/>
          <w:rtl/>
        </w:rPr>
        <w:tab/>
      </w:r>
      <w:r>
        <w:rPr>
          <w:rFonts w:ascii="David" w:hAnsi="David" w:hint="cs"/>
          <w:rtl/>
        </w:rPr>
        <w:t xml:space="preserve">על מגמת ההחמרה והיבט ההרתעה ראו גם </w:t>
      </w:r>
      <w:r>
        <w:rPr>
          <w:rtl/>
        </w:rPr>
        <w:t>את</w:t>
      </w:r>
      <w:r>
        <w:rPr>
          <w:rFonts w:hint="cs"/>
          <w:rtl/>
        </w:rPr>
        <w:t xml:space="preserve"> האמור</w:t>
      </w:r>
      <w:r>
        <w:rPr>
          <w:rtl/>
        </w:rPr>
        <w:t xml:space="preserve"> </w:t>
      </w:r>
      <w:r>
        <w:rPr>
          <w:rFonts w:hint="cs"/>
          <w:rtl/>
        </w:rPr>
        <w:t>ב</w:t>
      </w:r>
      <w:hyperlink r:id="rId15" w:history="1">
        <w:r w:rsidR="00C45A91" w:rsidRPr="00C45A91">
          <w:rPr>
            <w:color w:val="0000FF"/>
            <w:u w:val="single"/>
            <w:rtl/>
          </w:rPr>
          <w:t>ע"פ 2564/19</w:t>
        </w:r>
      </w:hyperlink>
      <w:r>
        <w:rPr>
          <w:rtl/>
        </w:rPr>
        <w:t xml:space="preserve"> </w:t>
      </w:r>
      <w:r>
        <w:rPr>
          <w:b/>
          <w:bCs/>
          <w:rtl/>
        </w:rPr>
        <w:t>אזברגה נ' מדינת ישראל</w:t>
      </w:r>
      <w:r>
        <w:rPr>
          <w:rtl/>
        </w:rPr>
        <w:t>, פסקה 10</w:t>
      </w:r>
      <w:r>
        <w:rPr>
          <w:b/>
          <w:bCs/>
          <w:rtl/>
        </w:rPr>
        <w:t xml:space="preserve"> </w:t>
      </w:r>
      <w:r>
        <w:rPr>
          <w:rtl/>
        </w:rPr>
        <w:t>(18.7.</w:t>
      </w:r>
      <w:r w:rsidRPr="008C0961">
        <w:rPr>
          <w:rtl/>
        </w:rPr>
        <w:t>2019) (להלן: "</w:t>
      </w:r>
      <w:r w:rsidRPr="008C0961">
        <w:rPr>
          <w:b/>
          <w:bCs/>
          <w:rtl/>
        </w:rPr>
        <w:t>עניין אזברגה</w:t>
      </w:r>
      <w:r w:rsidRPr="008C0961">
        <w:rPr>
          <w:rtl/>
        </w:rPr>
        <w:t>"), שם</w:t>
      </w:r>
      <w:r>
        <w:rPr>
          <w:rtl/>
        </w:rPr>
        <w:t xml:space="preserve"> נקבע כי: </w:t>
      </w:r>
    </w:p>
    <w:p w14:paraId="5F3ED78C" w14:textId="77777777" w:rsidR="005A7F91" w:rsidRDefault="005A7F91" w:rsidP="005A7F91">
      <w:pPr>
        <w:spacing w:line="360" w:lineRule="auto"/>
        <w:ind w:left="720" w:hanging="720"/>
        <w:jc w:val="both"/>
        <w:rPr>
          <w:rtl/>
        </w:rPr>
      </w:pPr>
    </w:p>
    <w:p w14:paraId="08E00FEC" w14:textId="77777777" w:rsidR="005A7F91" w:rsidRDefault="005A7F91" w:rsidP="005A7F91">
      <w:pPr>
        <w:spacing w:line="360" w:lineRule="auto"/>
        <w:ind w:left="1218" w:right="851"/>
        <w:jc w:val="both"/>
        <w:rPr>
          <w:rtl/>
        </w:rPr>
      </w:pPr>
      <w:r>
        <w:rPr>
          <w:spacing w:val="10"/>
          <w:rtl/>
        </w:rPr>
        <w:t>"</w:t>
      </w:r>
      <w:r>
        <w:rPr>
          <w:b/>
          <w:bCs/>
          <w:spacing w:val="10"/>
          <w:rtl/>
        </w:rPr>
        <w:t xml:space="preserve">בית משפט זה עמד בשורה ארוכה של פסקי דין על חומרתן הרבה של עבירות הנשק ועל הסכנה הגבוהה במיוחד לשלום הציבור וביטחונו הטמונה בנשיאה והחזקה של נשק. הדבר חמור שבעתיים במציאות הישראלית שבה נשק בלתי חוקי עשוי לשמש הן לפעילות חבלנית עוינת על רקע ביטחוני הן לפעילות עבריינית. </w:t>
      </w:r>
      <w:r>
        <w:rPr>
          <w:spacing w:val="10"/>
          <w:rtl/>
        </w:rPr>
        <w:t xml:space="preserve">... </w:t>
      </w:r>
      <w:r>
        <w:rPr>
          <w:b/>
          <w:bCs/>
          <w:spacing w:val="10"/>
          <w:rtl/>
        </w:rPr>
        <w:t>לפיכך, קיימת בפסיקה מגמת החמרה ברמת הענישה של המעורבים בעבירות נשק תוך מתן ביטוי עונשי הולם לסכנה הנשקפת מהן; וזאת במטרה להרתיע את היחיד והרבים גם יחד מפני ביצוען. ברירת המחדל בעבירות נשק היא אפוא מאסר בפועל גם כאשר הנאשם נעדר עבר פלילי</w:t>
      </w:r>
      <w:r>
        <w:rPr>
          <w:spacing w:val="10"/>
          <w:rtl/>
        </w:rPr>
        <w:t xml:space="preserve"> ...".</w:t>
      </w:r>
    </w:p>
    <w:p w14:paraId="16CF8018" w14:textId="77777777" w:rsidR="005A7F91" w:rsidRDefault="005A7F91" w:rsidP="005A7F91">
      <w:pPr>
        <w:spacing w:line="360" w:lineRule="auto"/>
        <w:ind w:left="720" w:hanging="720"/>
        <w:jc w:val="both"/>
        <w:rPr>
          <w:rtl/>
        </w:rPr>
      </w:pPr>
    </w:p>
    <w:p w14:paraId="3171C467" w14:textId="77777777" w:rsidR="005A7F91" w:rsidRDefault="005A7F91" w:rsidP="005A7F91">
      <w:pPr>
        <w:spacing w:line="360" w:lineRule="auto"/>
        <w:ind w:left="720" w:hanging="720"/>
        <w:jc w:val="both"/>
        <w:rPr>
          <w:rtl/>
        </w:rPr>
      </w:pPr>
      <w:r>
        <w:rPr>
          <w:rFonts w:hint="cs"/>
          <w:rtl/>
        </w:rPr>
        <w:t>15.</w:t>
      </w:r>
      <w:r>
        <w:rPr>
          <w:rFonts w:hint="cs"/>
          <w:rtl/>
        </w:rPr>
        <w:tab/>
        <w:t>באופן פרטני, בנוגע להחזקת רובה צייד, נכתבו על ידי בית המשפט העליון ב</w:t>
      </w:r>
      <w:hyperlink r:id="rId16" w:history="1">
        <w:r w:rsidR="00C45A91" w:rsidRPr="00C45A91">
          <w:rPr>
            <w:color w:val="0000FF"/>
            <w:u w:val="single"/>
            <w:rtl/>
          </w:rPr>
          <w:t>ע"פ 5813/21</w:t>
        </w:r>
      </w:hyperlink>
      <w:r>
        <w:rPr>
          <w:rFonts w:hint="cs"/>
          <w:rtl/>
        </w:rPr>
        <w:t xml:space="preserve"> </w:t>
      </w:r>
      <w:r w:rsidRPr="007D12CE">
        <w:rPr>
          <w:rFonts w:hint="cs"/>
          <w:b/>
          <w:bCs/>
          <w:rtl/>
        </w:rPr>
        <w:t>ג'בארין נ' מדינת ישראל</w:t>
      </w:r>
      <w:r>
        <w:rPr>
          <w:rFonts w:hint="cs"/>
          <w:rtl/>
        </w:rPr>
        <w:t>, פסקאות 15-14 (31.5.2022) (להלן: "</w:t>
      </w:r>
      <w:r w:rsidRPr="00380056">
        <w:rPr>
          <w:rFonts w:hint="cs"/>
          <w:b/>
          <w:bCs/>
          <w:rtl/>
        </w:rPr>
        <w:t>עניין ג'בארין</w:t>
      </w:r>
      <w:r>
        <w:rPr>
          <w:rFonts w:hint="cs"/>
          <w:rtl/>
        </w:rPr>
        <w:t>"), הדברים הבאים:</w:t>
      </w:r>
    </w:p>
    <w:p w14:paraId="74887948" w14:textId="77777777" w:rsidR="005A7F91" w:rsidRDefault="005A7F91" w:rsidP="005A7F91">
      <w:pPr>
        <w:spacing w:line="360" w:lineRule="auto"/>
        <w:ind w:left="720" w:hanging="720"/>
        <w:jc w:val="both"/>
        <w:rPr>
          <w:rtl/>
        </w:rPr>
      </w:pPr>
    </w:p>
    <w:p w14:paraId="32A1C581" w14:textId="77777777" w:rsidR="005A7F91" w:rsidRPr="007C75EE" w:rsidRDefault="005A7F91" w:rsidP="005A7F91">
      <w:pPr>
        <w:spacing w:line="360" w:lineRule="auto"/>
        <w:ind w:left="1218" w:right="851"/>
        <w:jc w:val="both"/>
        <w:rPr>
          <w:b/>
          <w:bCs/>
          <w:rtl/>
        </w:rPr>
      </w:pPr>
      <w:r>
        <w:rPr>
          <w:rFonts w:hint="cs"/>
          <w:rtl/>
        </w:rPr>
        <w:t>"</w:t>
      </w:r>
      <w:r w:rsidRPr="007C75EE">
        <w:rPr>
          <w:b/>
          <w:bCs/>
          <w:rtl/>
        </w:rPr>
        <w:t>14.</w:t>
      </w:r>
      <w:r w:rsidRPr="007C75EE">
        <w:rPr>
          <w:b/>
          <w:bCs/>
          <w:rtl/>
        </w:rPr>
        <w:tab/>
        <w:t xml:space="preserve">על רקע האמור, אין מקום לקבל את טרוניית המערערים כי גזר הדין שניתן בעניינם אינו מביא לידי ביטוי את העובדה כי מדובר </w:t>
      </w:r>
      <w:r w:rsidRPr="007C75EE">
        <w:rPr>
          <w:rFonts w:hint="cs"/>
          <w:b/>
          <w:bCs/>
          <w:rtl/>
        </w:rPr>
        <w:t>'</w:t>
      </w:r>
      <w:r w:rsidRPr="007C75EE">
        <w:rPr>
          <w:b/>
          <w:bCs/>
          <w:rtl/>
        </w:rPr>
        <w:t>רק</w:t>
      </w:r>
      <w:r w:rsidRPr="007C75EE">
        <w:rPr>
          <w:rFonts w:hint="cs"/>
          <w:b/>
          <w:bCs/>
          <w:rtl/>
        </w:rPr>
        <w:t>'</w:t>
      </w:r>
      <w:r w:rsidRPr="007C75EE">
        <w:rPr>
          <w:b/>
          <w:bCs/>
          <w:rtl/>
        </w:rPr>
        <w:t xml:space="preserve"> בהחזקת נשק מסוג רובה ציד. נשק הוא נשק. מדובר בכלי משחית המסוגל </w:t>
      </w:r>
      <w:r w:rsidRPr="007C75EE">
        <w:rPr>
          <w:rFonts w:hint="cs"/>
          <w:b/>
          <w:bCs/>
          <w:rtl/>
        </w:rPr>
        <w:t>'</w:t>
      </w:r>
      <w:r w:rsidRPr="007C75EE">
        <w:rPr>
          <w:b/>
          <w:bCs/>
          <w:rtl/>
        </w:rPr>
        <w:t>להמית אדם</w:t>
      </w:r>
      <w:r w:rsidRPr="007C75EE">
        <w:rPr>
          <w:rFonts w:hint="cs"/>
          <w:b/>
          <w:bCs/>
          <w:rtl/>
        </w:rPr>
        <w:t>'</w:t>
      </w:r>
      <w:r w:rsidRPr="007C75EE">
        <w:rPr>
          <w:b/>
          <w:bCs/>
          <w:rtl/>
        </w:rPr>
        <w:t xml:space="preserve"> כלשון סעיף 144(ג) ל</w:t>
      </w:r>
      <w:hyperlink r:id="rId17" w:history="1">
        <w:r w:rsidR="00C45A91" w:rsidRPr="00C45A91">
          <w:rPr>
            <w:b/>
            <w:bCs/>
            <w:color w:val="0000FF"/>
            <w:u w:val="single"/>
            <w:rtl/>
          </w:rPr>
          <w:t>חוק העונשין</w:t>
        </w:r>
      </w:hyperlink>
      <w:r w:rsidRPr="007C75EE">
        <w:rPr>
          <w:b/>
          <w:bCs/>
          <w:rtl/>
        </w:rPr>
        <w:t xml:space="preserve">. לא בכדי המחוקק ביקש להכליל בגדר המונח </w:t>
      </w:r>
      <w:r w:rsidRPr="007C75EE">
        <w:rPr>
          <w:rFonts w:hint="cs"/>
          <w:b/>
          <w:bCs/>
          <w:rtl/>
        </w:rPr>
        <w:t>'</w:t>
      </w:r>
      <w:r w:rsidRPr="007C75EE">
        <w:rPr>
          <w:b/>
          <w:bCs/>
          <w:rtl/>
        </w:rPr>
        <w:t>נשק</w:t>
      </w:r>
      <w:r w:rsidRPr="007C75EE">
        <w:rPr>
          <w:rFonts w:hint="cs"/>
          <w:b/>
          <w:bCs/>
          <w:rtl/>
        </w:rPr>
        <w:t>'</w:t>
      </w:r>
      <w:r w:rsidRPr="007C75EE">
        <w:rPr>
          <w:b/>
          <w:bCs/>
          <w:rtl/>
        </w:rPr>
        <w:t xml:space="preserve"> מנעד רחב של כלים ואביזרים המסוגלים לגרום למותו של אדם. כלי נשק מסוגים שונים שהושגו שלא כדין מובילים לא פעם לפגיעה בחיי אדם, והצורך לשרש רעה חולה זו באמצעות ענישה מחמירה ומרתיעה חל על כל סוגי כלי הנשק. מכאן אפוא שאין לקבל את טענת המערערים כי שגה בית המשפט בהתייחסו אל עבירת החזקת הנשק בנסיבות ענייננו, הנסובה על החזקת רובה ציד, כעבירה המצדיקה ענישה מחמירה.</w:t>
      </w:r>
    </w:p>
    <w:p w14:paraId="0322B391" w14:textId="77777777" w:rsidR="005A7F91" w:rsidRPr="007C75EE" w:rsidRDefault="005A7F91" w:rsidP="005A7F91">
      <w:pPr>
        <w:spacing w:line="360" w:lineRule="auto"/>
        <w:ind w:left="1218" w:right="851"/>
        <w:jc w:val="both"/>
        <w:rPr>
          <w:b/>
          <w:bCs/>
          <w:rtl/>
        </w:rPr>
      </w:pPr>
    </w:p>
    <w:p w14:paraId="654F8303" w14:textId="77777777" w:rsidR="005A7F91" w:rsidRPr="007C75EE" w:rsidRDefault="005A7F91" w:rsidP="005A7F91">
      <w:pPr>
        <w:spacing w:line="360" w:lineRule="auto"/>
        <w:ind w:left="1218" w:right="851"/>
        <w:jc w:val="both"/>
        <w:rPr>
          <w:rtl/>
        </w:rPr>
      </w:pPr>
      <w:r w:rsidRPr="007C75EE">
        <w:rPr>
          <w:b/>
          <w:bCs/>
          <w:rtl/>
        </w:rPr>
        <w:t>15.</w:t>
      </w:r>
      <w:r w:rsidRPr="007C75EE">
        <w:rPr>
          <w:b/>
          <w:bCs/>
          <w:rtl/>
        </w:rPr>
        <w:tab/>
        <w:t>חרף האמור, הגם כי עבירת החזקת רובה ציד איננה חומקת מהכלל המכתיב ענישה מרתיעה, יש אכן מקום ליתן ביטוי לסוג הנשק בבחינת נסיבות ביצוע העבירה. כך, העונש המושת על נאשם בגין עבירות המתבצעות בנשק צריך להיות מושפע מפוטנציאל הסיכון הטמון בנשק המוחזק שלא כדין תוך התייחסות בין היתר לסוג הנשק הספציפי בו בוצעה העבירה</w:t>
      </w:r>
      <w:r>
        <w:rPr>
          <w:rtl/>
        </w:rPr>
        <w:t xml:space="preserve"> </w:t>
      </w:r>
      <w:r>
        <w:rPr>
          <w:rFonts w:hint="cs"/>
          <w:rtl/>
        </w:rPr>
        <w:t>...".</w:t>
      </w:r>
    </w:p>
    <w:p w14:paraId="3661F2EB" w14:textId="77777777" w:rsidR="005A7F91" w:rsidRDefault="005A7F91" w:rsidP="005A7F91">
      <w:pPr>
        <w:spacing w:line="360" w:lineRule="auto"/>
        <w:ind w:left="720" w:hanging="720"/>
        <w:jc w:val="both"/>
        <w:rPr>
          <w:rtl/>
        </w:rPr>
      </w:pPr>
    </w:p>
    <w:p w14:paraId="66B0F045" w14:textId="77777777" w:rsidR="005A7F91" w:rsidRDefault="005A7F91" w:rsidP="005A7F91">
      <w:pPr>
        <w:spacing w:line="360" w:lineRule="auto"/>
        <w:ind w:left="720" w:hanging="720"/>
        <w:jc w:val="both"/>
        <w:rPr>
          <w:rtl/>
        </w:rPr>
      </w:pPr>
      <w:r>
        <w:rPr>
          <w:rFonts w:hint="cs"/>
          <w:rtl/>
        </w:rPr>
        <w:t>16.</w:t>
      </w:r>
      <w:r>
        <w:rPr>
          <w:rFonts w:hint="cs"/>
          <w:rtl/>
        </w:rPr>
        <w:tab/>
      </w:r>
      <w:r>
        <w:rPr>
          <w:rtl/>
        </w:rPr>
        <w:t xml:space="preserve">כאמור, בעת קביעת מתחם העונש ההולם, על בית המשפט ליתן דעתו </w:t>
      </w:r>
      <w:r>
        <w:rPr>
          <w:b/>
          <w:bCs/>
          <w:rtl/>
        </w:rPr>
        <w:t>למדיניות הענישה הנוהגת</w:t>
      </w:r>
      <w:r>
        <w:rPr>
          <w:rtl/>
        </w:rPr>
        <w:t>. זו, כמצוין לעיל, הדגישה את הצורך בהשתת ענישה מחמירה ומרתיעה כלפי מבצע עבירות נשק, תוך שמנעד הענישה רחב. כל אחד מהצדדים להליך הפנה לפסיקה אשר יש בה לטעמו כדי לתמוך בעמדתו באשר למתחם העונש ההולם בענייננו.</w:t>
      </w:r>
    </w:p>
    <w:p w14:paraId="2CFE6B2C" w14:textId="77777777" w:rsidR="005A7F91" w:rsidRDefault="005A7F91" w:rsidP="005A7F91">
      <w:pPr>
        <w:spacing w:line="360" w:lineRule="auto"/>
        <w:ind w:left="720" w:hanging="720"/>
        <w:jc w:val="both"/>
        <w:rPr>
          <w:rtl/>
        </w:rPr>
      </w:pPr>
    </w:p>
    <w:p w14:paraId="3762443C" w14:textId="77777777" w:rsidR="005A7F91" w:rsidRDefault="005A7F91" w:rsidP="005A7F91">
      <w:pPr>
        <w:spacing w:line="360" w:lineRule="auto"/>
        <w:ind w:left="720"/>
        <w:jc w:val="both"/>
        <w:rPr>
          <w:rtl/>
        </w:rPr>
      </w:pPr>
      <w:r>
        <w:rPr>
          <w:rtl/>
        </w:rPr>
        <w:t>אפנה להלן לסקירה המבטאת את מדיניות הענישה הנוהגת, ממנה יש להקיש לענייננו, ואשר בין היתר על יסודה, ייקבע מתחם העונש ההולם במקרה דנן. בסקירה זו אכלול התייחסות לחלק מפסקי הדין אליהם הפנו באי כוח הצדדים.</w:t>
      </w:r>
    </w:p>
    <w:p w14:paraId="4FE0960D" w14:textId="77777777" w:rsidR="005A7F91" w:rsidRDefault="005A7F91" w:rsidP="005A7F91">
      <w:pPr>
        <w:spacing w:line="360" w:lineRule="auto"/>
        <w:ind w:left="720" w:hanging="720"/>
        <w:jc w:val="both"/>
        <w:rPr>
          <w:rtl/>
        </w:rPr>
      </w:pPr>
    </w:p>
    <w:p w14:paraId="75E94BE8" w14:textId="77777777" w:rsidR="005A7F91" w:rsidRDefault="00C45A91" w:rsidP="005A7F91">
      <w:pPr>
        <w:spacing w:line="360" w:lineRule="auto"/>
        <w:ind w:left="720"/>
        <w:jc w:val="both"/>
        <w:rPr>
          <w:rFonts w:ascii="David" w:hAnsi="David"/>
          <w:rtl/>
        </w:rPr>
      </w:pPr>
      <w:hyperlink r:id="rId18" w:history="1">
        <w:r w:rsidRPr="00C45A91">
          <w:rPr>
            <w:rFonts w:ascii="David" w:hAnsi="David"/>
            <w:color w:val="0000FF"/>
            <w:u w:val="single"/>
            <w:rtl/>
          </w:rPr>
          <w:t>ע"פ 6332/22</w:t>
        </w:r>
      </w:hyperlink>
      <w:r w:rsidR="005A7F91" w:rsidRPr="00170280">
        <w:rPr>
          <w:rFonts w:ascii="David" w:hAnsi="David" w:hint="cs"/>
          <w:rtl/>
        </w:rPr>
        <w:t xml:space="preserve"> </w:t>
      </w:r>
      <w:r w:rsidR="005A7F91" w:rsidRPr="00170280">
        <w:rPr>
          <w:rFonts w:ascii="David" w:hAnsi="David" w:hint="cs"/>
          <w:b/>
          <w:bCs/>
          <w:rtl/>
        </w:rPr>
        <w:t>פדידה נ' מדינת ישראל</w:t>
      </w:r>
      <w:r w:rsidR="005A7F91" w:rsidRPr="00170280">
        <w:rPr>
          <w:rFonts w:ascii="David" w:hAnsi="David" w:hint="cs"/>
          <w:rtl/>
        </w:rPr>
        <w:t xml:space="preserve"> (16.2.2023 ו- 19.3.2023) - המערער הורשע בהחזקת נשק. על פי המתואר, לידי המערער הגיע אקדח הזנקה אשר הוסב לירי תחמושת ובו מחסנית</w:t>
      </w:r>
      <w:r w:rsidR="005A7F91">
        <w:rPr>
          <w:rFonts w:ascii="David" w:hAnsi="David" w:hint="cs"/>
          <w:rtl/>
        </w:rPr>
        <w:t xml:space="preserve"> עם 8 כדורים. המערער נהג במשאית בבעלותו כשהוא מחזיק במשאית את הנשק שהיה חבוי בתוך תיק מתחת למושב הנוסע. בית המשפט המחוזי קבע מתחם עונש הנע בין 11 ל-30 חודשי מאסר, והשית על המערער 11 חודשי מאסר בפועל לצד עונשים נלווים. בין היתר, לאור האמור בתסקיר ונסיבותיו הייחודיות של המערער, הקל בית המשפט העליון בעונשו, כך שיעמוד על 9 חודשי מאסר אשר ירוצו בעבודות שירות לצד צו מבחן למשך שנה.</w:t>
      </w:r>
    </w:p>
    <w:p w14:paraId="121205A9" w14:textId="77777777" w:rsidR="005A7F91" w:rsidRDefault="005A7F91" w:rsidP="005A7F91">
      <w:pPr>
        <w:spacing w:line="360" w:lineRule="auto"/>
        <w:jc w:val="center"/>
        <w:rPr>
          <w:rFonts w:ascii="David" w:hAnsi="David"/>
          <w:rtl/>
        </w:rPr>
      </w:pPr>
    </w:p>
    <w:p w14:paraId="586FD9F8" w14:textId="77777777" w:rsidR="005A7F91" w:rsidRDefault="00C45A91" w:rsidP="005A7F91">
      <w:pPr>
        <w:spacing w:line="360" w:lineRule="auto"/>
        <w:ind w:left="720"/>
        <w:jc w:val="both"/>
        <w:rPr>
          <w:rFonts w:ascii="David" w:hAnsi="David"/>
        </w:rPr>
      </w:pPr>
      <w:hyperlink r:id="rId19" w:history="1">
        <w:r w:rsidRPr="00C45A91">
          <w:rPr>
            <w:rFonts w:ascii="David" w:hAnsi="David"/>
            <w:color w:val="0000FF"/>
            <w:u w:val="single"/>
            <w:rtl/>
          </w:rPr>
          <w:t>ע"פ 5602/22</w:t>
        </w:r>
      </w:hyperlink>
      <w:r w:rsidR="005A7F91">
        <w:rPr>
          <w:rFonts w:ascii="David" w:hAnsi="David"/>
          <w:rtl/>
        </w:rPr>
        <w:t xml:space="preserve"> </w:t>
      </w:r>
      <w:r w:rsidR="005A7F91">
        <w:rPr>
          <w:rFonts w:ascii="David" w:hAnsi="David"/>
          <w:b/>
          <w:bCs/>
          <w:rtl/>
        </w:rPr>
        <w:t>מדינת ישראל נ' פלוני</w:t>
      </w:r>
      <w:r w:rsidR="005A7F91">
        <w:rPr>
          <w:rFonts w:ascii="David" w:hAnsi="David"/>
          <w:rtl/>
        </w:rPr>
        <w:t xml:space="preserve"> (14.9.2022) - המשיב הורשע בביצוע עבירות של נשיאת נשק, הפרעה לשוטר במילוי תפקידו, וכן כניסה ושהייה בישראל בניגוד לחוק. דובר בתושב ג'נין אשר על אף שאינו מורשה כניסה לישראל, שהה ברכב בעיר אום אל פאחם, כשהוא נושא על גופו אקדח חצי אוטומטי עם מחסנית וכדורים תואמים. משנהג הרכב התבקש על ידי שוטרים לעצור לבדיקה, המשיב יצא מהרכב כשהוא נושא את הנשק והחל להימלט. המשיב לא שעה לקריאת השוטר אשר רדף אחריו וצעק לעברו לעצור, ואחרי שנתפס נאבק בשוטר. בבית המשפט המחוזי (גזר דין של הח"מ) נקבע מתחם הנע בין 16 ל-40 חודשי מאסר בפועל, ועל המשיב הושתו 18 חודשי מאסר בפועל, לצד עונשים נלווים. בית המשפט העליון בקבלו הערעור על גזר הדין, ציין בפסק דינו, כי "... 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 ...". בסופו של </w:t>
      </w:r>
      <w:r w:rsidR="005A7F91">
        <w:rPr>
          <w:rFonts w:ascii="David" w:hAnsi="David" w:hint="cs"/>
          <w:rtl/>
        </w:rPr>
        <w:t>דבר</w:t>
      </w:r>
      <w:r w:rsidR="005A7F91">
        <w:rPr>
          <w:rFonts w:ascii="David" w:hAnsi="David"/>
          <w:rtl/>
        </w:rPr>
        <w:t>, ומשערכאת הערעור אינה ממצה את הדין עם הנאשם, הועמד עונש מאסרו בפועל של המשיב על 28 חודשים.</w:t>
      </w:r>
    </w:p>
    <w:p w14:paraId="5609D410" w14:textId="77777777" w:rsidR="005A7F91" w:rsidRPr="008C0961" w:rsidRDefault="005A7F91" w:rsidP="005A7F91">
      <w:pPr>
        <w:spacing w:line="360" w:lineRule="auto"/>
        <w:jc w:val="both"/>
        <w:rPr>
          <w:rFonts w:ascii="David" w:hAnsi="David"/>
          <w:rtl/>
        </w:rPr>
      </w:pPr>
    </w:p>
    <w:p w14:paraId="521942E7" w14:textId="77777777" w:rsidR="005A7F91" w:rsidRPr="00170280" w:rsidRDefault="005A7F91" w:rsidP="005A7F91">
      <w:pPr>
        <w:spacing w:line="360" w:lineRule="auto"/>
        <w:ind w:left="720"/>
        <w:jc w:val="both"/>
        <w:rPr>
          <w:rFonts w:ascii="David" w:hAnsi="David"/>
          <w:rtl/>
        </w:rPr>
      </w:pPr>
      <w:r w:rsidRPr="00170280">
        <w:rPr>
          <w:rFonts w:ascii="David" w:hAnsi="David" w:hint="cs"/>
          <w:b/>
          <w:bCs/>
          <w:rtl/>
        </w:rPr>
        <w:t>ענייין ג'בארין</w:t>
      </w:r>
      <w:r w:rsidRPr="00170280">
        <w:rPr>
          <w:rFonts w:ascii="David" w:hAnsi="David" w:hint="cs"/>
          <w:rtl/>
        </w:rPr>
        <w:t xml:space="preserve"> - פסק דין אליו הפנתה המאשימה. המערערים הורשעו בביצוע עבירת החזקת נשק. על</w:t>
      </w:r>
      <w:r>
        <w:rPr>
          <w:rFonts w:ascii="David" w:hAnsi="David" w:hint="cs"/>
          <w:rtl/>
        </w:rPr>
        <w:t xml:space="preserve"> פי המתואר, המערערים נסעו ברכב באום אל פחם, סמוך לגדר מערכת הביטחון. המערערים נתפסו על ידי שני </w:t>
      </w:r>
      <w:r w:rsidRPr="00170280">
        <w:rPr>
          <w:rFonts w:ascii="David" w:hAnsi="David" w:hint="cs"/>
          <w:rtl/>
        </w:rPr>
        <w:t>שוטרים שנסעו אחריהם. בחיפוש נמצא כי המערערים החזיקו בצוותא ברובה ציד דו קני, קליבר 12 ג'ייג', שהיה טעון בשני כדורי תחמושת תואמים. עוד נמצאה ברכב חגורה ייעודית לתחמושת, ובה 17 כדורים תואמים לרובה. בית המשפט המחוזי קבע מתחם הנע בין 12 ל-36 חודשי מאסר, והשית על מערער 1 מאסר בפועל בן 18 חודשים לצד מאסר מותנה, ועל מערער 2 מאסר בפועל בן 21 חודשים לצד מאסר מותנה. יוער כי שני המערערים בעלי עבר פלילי מכביד. הערעורים נדחו.</w:t>
      </w:r>
    </w:p>
    <w:p w14:paraId="2E2870A2" w14:textId="77777777" w:rsidR="005A7F91" w:rsidRPr="00170280" w:rsidRDefault="005A7F91" w:rsidP="005A7F91">
      <w:pPr>
        <w:spacing w:line="360" w:lineRule="auto"/>
        <w:ind w:left="720"/>
        <w:jc w:val="both"/>
        <w:rPr>
          <w:rFonts w:ascii="David" w:hAnsi="David"/>
          <w:rtl/>
        </w:rPr>
      </w:pPr>
    </w:p>
    <w:p w14:paraId="6075D316" w14:textId="77777777" w:rsidR="005A7F91" w:rsidRDefault="005A7F91" w:rsidP="005A7F91">
      <w:pPr>
        <w:spacing w:line="360" w:lineRule="auto"/>
        <w:ind w:left="720"/>
        <w:jc w:val="both"/>
        <w:rPr>
          <w:rFonts w:ascii="David" w:hAnsi="David"/>
          <w:rtl/>
        </w:rPr>
      </w:pPr>
      <w:r w:rsidRPr="00170280">
        <w:rPr>
          <w:rFonts w:ascii="David" w:hAnsi="David" w:hint="cs"/>
          <w:rtl/>
        </w:rPr>
        <w:t>ודוק, בעניין ג'בארין דובר בנסיבות דומות ואף חמורות יותר מאשר בענייננו (הגם שלא נעלם מעיני כי המערערים שם הורשעו בעבירת החזקה בלבד).</w:t>
      </w:r>
    </w:p>
    <w:p w14:paraId="232FE3D6" w14:textId="77777777" w:rsidR="005A7F91" w:rsidRDefault="005A7F91" w:rsidP="005A7F91">
      <w:pPr>
        <w:spacing w:line="360" w:lineRule="auto"/>
        <w:ind w:left="720"/>
        <w:jc w:val="both"/>
        <w:rPr>
          <w:rFonts w:ascii="David" w:hAnsi="David"/>
          <w:rtl/>
        </w:rPr>
      </w:pPr>
    </w:p>
    <w:p w14:paraId="7F445158" w14:textId="77777777" w:rsidR="005A7F91" w:rsidRDefault="005A7F91" w:rsidP="005A7F91">
      <w:pPr>
        <w:spacing w:line="360" w:lineRule="auto"/>
        <w:ind w:left="720" w:hanging="720"/>
        <w:jc w:val="both"/>
        <w:rPr>
          <w:rFonts w:ascii="David" w:hAnsi="David"/>
          <w:rtl/>
        </w:rPr>
      </w:pPr>
      <w:r>
        <w:rPr>
          <w:rFonts w:ascii="David" w:hAnsi="David"/>
          <w:rtl/>
        </w:rPr>
        <w:tab/>
        <w:t xml:space="preserve">עניין </w:t>
      </w:r>
      <w:r>
        <w:rPr>
          <w:rFonts w:ascii="David" w:hAnsi="David"/>
          <w:b/>
          <w:bCs/>
          <w:rtl/>
        </w:rPr>
        <w:t>קדורה</w:t>
      </w:r>
      <w:r>
        <w:rPr>
          <w:rFonts w:ascii="David" w:hAnsi="David"/>
          <w:rtl/>
        </w:rPr>
        <w:t xml:space="preserve"> - המשיב הורשע בעבירה של החזקת נשק בצוותא עם אחר. דובר באקדח "גלוק", כדורים ורימון הלם סינוור שהמשיב הסתיר על גג ביתו, ובהמשך העביר את האקדח והכדורים לידי אחר. במסגרת חיפוש בבית המשיב אותר הרימון. האקדח והכדורים לא נתפסו. בית המשפט המחוזי קבע מתחם עונש הנע בין 10 ל-36 חודשי מאסר, והשית על המשיב 10 חודשי מאסר בפועל לצד עונשים נלווים. בית המשפט העליון החמיר בעונשו של המשיב, כך שעונש המאסר בפועל הועמד על 18 חודשים.</w:t>
      </w:r>
    </w:p>
    <w:p w14:paraId="7AF19D8B" w14:textId="77777777" w:rsidR="005A7F91" w:rsidRDefault="005A7F91" w:rsidP="005A7F91">
      <w:pPr>
        <w:spacing w:line="360" w:lineRule="auto"/>
        <w:ind w:left="720" w:hanging="720"/>
        <w:jc w:val="both"/>
        <w:rPr>
          <w:rFonts w:ascii="David" w:hAnsi="David"/>
          <w:rtl/>
        </w:rPr>
      </w:pPr>
    </w:p>
    <w:p w14:paraId="2235D203" w14:textId="77777777" w:rsidR="005A7F91" w:rsidRDefault="00C45A91" w:rsidP="005A7F91">
      <w:pPr>
        <w:spacing w:line="360" w:lineRule="auto"/>
        <w:ind w:left="720"/>
        <w:jc w:val="both"/>
        <w:rPr>
          <w:rtl/>
        </w:rPr>
      </w:pPr>
      <w:hyperlink r:id="rId20" w:history="1">
        <w:r w:rsidRPr="00C45A91">
          <w:rPr>
            <w:color w:val="0000FF"/>
            <w:u w:val="single"/>
            <w:rtl/>
          </w:rPr>
          <w:t>ע"פ 4290/21</w:t>
        </w:r>
      </w:hyperlink>
      <w:r w:rsidR="005A7F91">
        <w:rPr>
          <w:rtl/>
        </w:rPr>
        <w:t xml:space="preserve"> </w:t>
      </w:r>
      <w:r w:rsidR="005A7F91">
        <w:rPr>
          <w:b/>
          <w:bCs/>
          <w:rtl/>
        </w:rPr>
        <w:t xml:space="preserve">זרבאילוב נ' מדינת ישראל </w:t>
      </w:r>
      <w:r w:rsidR="005A7F91">
        <w:rPr>
          <w:rtl/>
        </w:rPr>
        <w:t>(6.12.2021) - המערער נשא והוביל ברכבו, בתא המטען, שני אקדחים שכל אחד מהם טעון במחסנית אשר בתוכה 5 כדורים. על המערער נגזרו 18 חודשי מאסר בפועל, וכן מאסר מותנה. ערעורו נדחה על ידי בית המשפט העליון. יוער כי בית המשפט המחוזי קבע מתחם עונש הנע בין 16 ל-36 חודשי מאסר בפועל, לצד עונשים נלווים.</w:t>
      </w:r>
    </w:p>
    <w:p w14:paraId="05C681F4" w14:textId="77777777" w:rsidR="005A7F91" w:rsidRDefault="005A7F91" w:rsidP="005A7F91">
      <w:pPr>
        <w:spacing w:line="360" w:lineRule="auto"/>
        <w:ind w:left="720" w:hanging="720"/>
        <w:jc w:val="both"/>
        <w:rPr>
          <w:rtl/>
        </w:rPr>
      </w:pPr>
    </w:p>
    <w:p w14:paraId="2B741E58" w14:textId="77777777" w:rsidR="005A7F91" w:rsidRDefault="005A7F91" w:rsidP="005A7F91">
      <w:pPr>
        <w:spacing w:line="360" w:lineRule="auto"/>
        <w:ind w:left="720" w:hanging="720"/>
        <w:jc w:val="both"/>
        <w:rPr>
          <w:rtl/>
        </w:rPr>
      </w:pPr>
      <w:r>
        <w:rPr>
          <w:rtl/>
        </w:rPr>
        <w:tab/>
      </w:r>
      <w:hyperlink r:id="rId21" w:history="1">
        <w:r w:rsidR="00C45A91" w:rsidRPr="00C45A91">
          <w:rPr>
            <w:color w:val="0000FF"/>
            <w:u w:val="single"/>
            <w:rtl/>
          </w:rPr>
          <w:t>ע"פ 545/20</w:t>
        </w:r>
      </w:hyperlink>
      <w:r>
        <w:rPr>
          <w:rtl/>
        </w:rPr>
        <w:t xml:space="preserve"> </w:t>
      </w:r>
      <w:r>
        <w:rPr>
          <w:b/>
          <w:bCs/>
          <w:rtl/>
        </w:rPr>
        <w:t>פלוני נ' מדינת ישראל</w:t>
      </w:r>
      <w:r>
        <w:rPr>
          <w:rtl/>
        </w:rPr>
        <w:t xml:space="preserve"> (3.5.2021) - המערער נהג ברכב כשהוא מוביל ומחזיק אקדח חצי אוטומטי מסוג חילוואן קוטר 9 מ"מ, טעון במחסנית ריקה תואמת, וכן מוביל, נושא ומחזיק 50 כדורים בקוטר 9 מ"מ. המערער הורשע בבית המשפט המחוזי בעבירות נשק (במעמד הכרעת הדין, הוסכם שהאקדח לא היה תקין וכי לא ניתן היה לבצע בו ירי במועד תפיסתו). בית המשפט המחוזי קבע מתחם הנע בין 10 ל-24 חודשי מאסר בפועל, והשית על המערער 12 חודשי מאסר בפועל, לצד עונשים נלווים. הערעור נדחה.</w:t>
      </w:r>
    </w:p>
    <w:p w14:paraId="20BCF25C" w14:textId="77777777" w:rsidR="005A7F91" w:rsidRDefault="005A7F91" w:rsidP="005A7F91">
      <w:pPr>
        <w:spacing w:line="360" w:lineRule="auto"/>
        <w:ind w:left="720" w:hanging="720"/>
        <w:jc w:val="both"/>
        <w:rPr>
          <w:rtl/>
        </w:rPr>
      </w:pPr>
    </w:p>
    <w:p w14:paraId="0BAA657A" w14:textId="77777777" w:rsidR="005A7F91" w:rsidRDefault="00C45A91" w:rsidP="005A7F91">
      <w:pPr>
        <w:spacing w:line="360" w:lineRule="auto"/>
        <w:ind w:left="720"/>
        <w:jc w:val="both"/>
        <w:rPr>
          <w:rtl/>
        </w:rPr>
      </w:pPr>
      <w:hyperlink r:id="rId22" w:history="1">
        <w:r w:rsidRPr="00C45A91">
          <w:rPr>
            <w:color w:val="0000FF"/>
            <w:u w:val="single"/>
            <w:rtl/>
          </w:rPr>
          <w:t>ע"פ 7177/20</w:t>
        </w:r>
      </w:hyperlink>
      <w:r w:rsidR="005A7F91">
        <w:rPr>
          <w:rtl/>
        </w:rPr>
        <w:t xml:space="preserve"> </w:t>
      </w:r>
      <w:r w:rsidR="005A7F91">
        <w:rPr>
          <w:b/>
          <w:bCs/>
          <w:rtl/>
        </w:rPr>
        <w:t>כנעאן נ' מדינת ישראל</w:t>
      </w:r>
      <w:r w:rsidR="005A7F91">
        <w:rPr>
          <w:rtl/>
        </w:rPr>
        <w:t xml:space="preserve"> (27.1.2021) - המערער הורשע בעבירה של נשיאת נשק. על פי המתואר, המערער יצא מפתח בית שכנו, הוציא אקדח, הכניס לתוכו מחסנית טעונה, דרך את האקדח, ובחלוף מספר דקות המערער פרק את האקדח והעבירו לנאשם מס' 2 בכתב האישום. בית המשפט המחוזי השית על המערער, בין היתר, 24 חודשי מאסר בפועל. הערעור נדחה.</w:t>
      </w:r>
    </w:p>
    <w:p w14:paraId="2303B9B0" w14:textId="77777777" w:rsidR="005A7F91" w:rsidRDefault="005A7F91" w:rsidP="005A7F91">
      <w:pPr>
        <w:spacing w:line="360" w:lineRule="auto"/>
        <w:ind w:left="720" w:hanging="720"/>
        <w:jc w:val="both"/>
        <w:rPr>
          <w:rtl/>
        </w:rPr>
      </w:pPr>
    </w:p>
    <w:p w14:paraId="60F74989" w14:textId="77777777" w:rsidR="005A7F91" w:rsidRDefault="00C45A91" w:rsidP="005A7F91">
      <w:pPr>
        <w:spacing w:line="360" w:lineRule="auto"/>
        <w:ind w:left="720"/>
        <w:jc w:val="both"/>
        <w:rPr>
          <w:rtl/>
        </w:rPr>
      </w:pPr>
      <w:hyperlink r:id="rId23" w:history="1">
        <w:r w:rsidRPr="00C45A91">
          <w:rPr>
            <w:color w:val="0000FF"/>
            <w:u w:val="single"/>
            <w:rtl/>
          </w:rPr>
          <w:t>ע"פ 5330/20</w:t>
        </w:r>
      </w:hyperlink>
      <w:r w:rsidR="005A7F91">
        <w:rPr>
          <w:rtl/>
        </w:rPr>
        <w:t xml:space="preserve"> </w:t>
      </w:r>
      <w:r w:rsidR="005A7F91">
        <w:rPr>
          <w:b/>
          <w:bCs/>
          <w:rtl/>
        </w:rPr>
        <w:t xml:space="preserve">ענבתאוי נ' מדינת ישראל </w:t>
      </w:r>
      <w:r w:rsidR="005A7F91">
        <w:rPr>
          <w:rtl/>
        </w:rPr>
        <w:t>(22.11.2020) - התקבל ערעור המדינה הן בנוגע למתחם העונש שנקבע והן בנוגע לגזר הדין בהקשר עם עבירות נשק בנוגע לשני מעורבים אשר הורשעו בעבירה של החזקה, נשיאה והובלה של נשק (אקדח). נקבע מתחם עונש הולם אשר נע בין 10 עד 36 חודשי מאסר בפועל למעורב הראשון. בעוד שלמעורב השני, אשר יזם את עסקת הנשק ומי שהנשק היה מיועד לשימושו, נקבע מתחם עונש הולם אשר נע בין 14 ל-36 חודשי מאסר בפועל. על כל אחד מהמעורבים הושת עונש ברף התחתון של המתחם, וזאת בשים לב לכלל כי ערכאת הערעור אינה ממצה את הדין.</w:t>
      </w:r>
    </w:p>
    <w:p w14:paraId="09CCFA3E" w14:textId="77777777" w:rsidR="005A7F91" w:rsidRDefault="005A7F91" w:rsidP="005A7F91">
      <w:pPr>
        <w:spacing w:line="360" w:lineRule="auto"/>
        <w:ind w:left="720"/>
        <w:jc w:val="both"/>
        <w:rPr>
          <w:rtl/>
        </w:rPr>
      </w:pPr>
    </w:p>
    <w:p w14:paraId="17A8DE77" w14:textId="77777777" w:rsidR="005A7F91" w:rsidRDefault="005A7F91" w:rsidP="005A7F91">
      <w:pPr>
        <w:spacing w:line="360" w:lineRule="auto"/>
        <w:ind w:left="720"/>
        <w:jc w:val="both"/>
        <w:rPr>
          <w:rtl/>
        </w:rPr>
      </w:pPr>
      <w:r>
        <w:rPr>
          <w:rtl/>
        </w:rPr>
        <w:t xml:space="preserve">עניין </w:t>
      </w:r>
      <w:r>
        <w:rPr>
          <w:b/>
          <w:bCs/>
          <w:rtl/>
        </w:rPr>
        <w:t>אזברגה</w:t>
      </w:r>
      <w:r>
        <w:rPr>
          <w:rtl/>
        </w:rPr>
        <w:t xml:space="preserve"> </w:t>
      </w:r>
      <w:r>
        <w:rPr>
          <w:rFonts w:hint="cs"/>
          <w:rtl/>
        </w:rPr>
        <w:t>-</w:t>
      </w:r>
      <w:r>
        <w:rPr>
          <w:rtl/>
        </w:rPr>
        <w:t xml:space="preserve"> </w:t>
      </w:r>
      <w:r>
        <w:rPr>
          <w:rFonts w:hint="cs"/>
          <w:rtl/>
        </w:rPr>
        <w:t xml:space="preserve">פסק דין אליו הפנה הסנגור. </w:t>
      </w:r>
      <w:r>
        <w:rPr>
          <w:rtl/>
        </w:rPr>
        <w:t>המערער הורשע בעבירה של נשיאת נשק (אקדח קליבר 9 מ"מ, יחד עם מחסנית תואמת) ודינו נגזר ל-16 חודשי מאסר בפועל יחד עם מאסרים על תנאי. מתחם העונש שנקבע על ידי בית המשפט המחוזי נע בין 12 ל-40 חודשי מאסר בפועל. הערעור על חומרת העונש נדחה.</w:t>
      </w:r>
    </w:p>
    <w:p w14:paraId="446B28B6" w14:textId="77777777" w:rsidR="005A7F91" w:rsidRDefault="005A7F91" w:rsidP="005A7F91">
      <w:pPr>
        <w:spacing w:line="360" w:lineRule="auto"/>
        <w:ind w:left="720"/>
        <w:jc w:val="both"/>
        <w:rPr>
          <w:rtl/>
        </w:rPr>
      </w:pPr>
    </w:p>
    <w:p w14:paraId="5E05B1C5" w14:textId="77777777" w:rsidR="005A7F91" w:rsidRPr="00536F28" w:rsidRDefault="00C45A91" w:rsidP="005A7F91">
      <w:pPr>
        <w:spacing w:line="360" w:lineRule="auto"/>
        <w:ind w:left="720"/>
        <w:jc w:val="both"/>
        <w:rPr>
          <w:rFonts w:ascii="David" w:hAnsi="David"/>
        </w:rPr>
      </w:pPr>
      <w:hyperlink r:id="rId24" w:history="1">
        <w:r w:rsidRPr="00C45A91">
          <w:rPr>
            <w:rFonts w:ascii="David" w:hAnsi="David"/>
            <w:color w:val="0000FF"/>
            <w:u w:val="single"/>
            <w:rtl/>
          </w:rPr>
          <w:t>ת"פ (מחוזי חיפה) 22029-03-21</w:t>
        </w:r>
      </w:hyperlink>
      <w:r w:rsidR="005A7F91" w:rsidRPr="00536F28">
        <w:rPr>
          <w:rFonts w:ascii="David" w:hAnsi="David"/>
          <w:rtl/>
        </w:rPr>
        <w:t xml:space="preserve"> </w:t>
      </w:r>
      <w:r w:rsidR="005A7F91" w:rsidRPr="00536F28">
        <w:rPr>
          <w:rFonts w:ascii="David" w:hAnsi="David"/>
          <w:b/>
          <w:bCs/>
          <w:rtl/>
        </w:rPr>
        <w:t>מדינת ישראל נ' אבו שאח</w:t>
      </w:r>
      <w:r w:rsidR="005A7F91" w:rsidRPr="00536F28">
        <w:rPr>
          <w:rFonts w:ascii="David" w:hAnsi="David"/>
          <w:rtl/>
        </w:rPr>
        <w:t xml:space="preserve"> (</w:t>
      </w:r>
      <w:r w:rsidR="005A7F91" w:rsidRPr="00536F28">
        <w:rPr>
          <w:rFonts w:ascii="David" w:hAnsi="David" w:hint="cs"/>
          <w:rtl/>
        </w:rPr>
        <w:t xml:space="preserve">גזר דין מיום 6.3.2022 בנוגע לנאשם 1, וגזר דין מיום </w:t>
      </w:r>
      <w:r w:rsidR="005A7F91" w:rsidRPr="00536F28">
        <w:rPr>
          <w:rFonts w:ascii="David" w:hAnsi="David"/>
          <w:rtl/>
        </w:rPr>
        <w:t>2.6.2022</w:t>
      </w:r>
      <w:r w:rsidR="005A7F91" w:rsidRPr="00536F28">
        <w:rPr>
          <w:rFonts w:ascii="David" w:hAnsi="David" w:hint="cs"/>
          <w:rtl/>
        </w:rPr>
        <w:t xml:space="preserve"> בנוגע לנאשם 2</w:t>
      </w:r>
      <w:r w:rsidR="005A7F91" w:rsidRPr="00536F28">
        <w:rPr>
          <w:rFonts w:ascii="David" w:hAnsi="David"/>
          <w:rtl/>
        </w:rPr>
        <w:t xml:space="preserve">) </w:t>
      </w:r>
      <w:r w:rsidR="005A7F91" w:rsidRPr="00536F28">
        <w:rPr>
          <w:rFonts w:ascii="David" w:hAnsi="David" w:hint="cs"/>
          <w:rtl/>
        </w:rPr>
        <w:t>-</w:t>
      </w:r>
      <w:r w:rsidR="005A7F91" w:rsidRPr="00536F28">
        <w:rPr>
          <w:rFonts w:ascii="David" w:hAnsi="David"/>
          <w:rtl/>
        </w:rPr>
        <w:t xml:space="preserve"> </w:t>
      </w:r>
      <w:r w:rsidR="005A7F91" w:rsidRPr="00536F28">
        <w:rPr>
          <w:rFonts w:ascii="David" w:hAnsi="David" w:hint="cs"/>
          <w:rtl/>
        </w:rPr>
        <w:t>פסיקה אליה הפנה הסנגור. שני הנאשמים הו</w:t>
      </w:r>
      <w:r w:rsidR="005A7F91" w:rsidRPr="00536F28">
        <w:rPr>
          <w:rFonts w:ascii="David" w:hAnsi="David"/>
          <w:rtl/>
        </w:rPr>
        <w:t>רשע</w:t>
      </w:r>
      <w:r w:rsidR="005A7F91" w:rsidRPr="00536F28">
        <w:rPr>
          <w:rFonts w:ascii="David" w:hAnsi="David" w:hint="cs"/>
          <w:rtl/>
        </w:rPr>
        <w:t>ו</w:t>
      </w:r>
      <w:r w:rsidR="005A7F91" w:rsidRPr="00536F28">
        <w:rPr>
          <w:rFonts w:ascii="David" w:hAnsi="David"/>
          <w:rtl/>
        </w:rPr>
        <w:t xml:space="preserve"> בביצוע עבירות נשק (</w:t>
      </w:r>
      <w:r w:rsidR="005A7F91" w:rsidRPr="00536F28">
        <w:rPr>
          <w:rFonts w:ascii="David" w:hAnsi="David" w:hint="cs"/>
          <w:rtl/>
        </w:rPr>
        <w:t xml:space="preserve">החזקה </w:t>
      </w:r>
      <w:r w:rsidR="005A7F91" w:rsidRPr="00536F28">
        <w:rPr>
          <w:rFonts w:ascii="David" w:hAnsi="David"/>
          <w:rtl/>
        </w:rPr>
        <w:t>ונשיאה), וכן ירי מנשק חם. על פי המתואר, ל</w:t>
      </w:r>
      <w:r w:rsidR="005A7F91" w:rsidRPr="00536F28">
        <w:rPr>
          <w:rFonts w:ascii="David" w:hAnsi="David" w:hint="cs"/>
          <w:rtl/>
        </w:rPr>
        <w:t>נאשם 2</w:t>
      </w:r>
      <w:r w:rsidR="005A7F91" w:rsidRPr="00536F28">
        <w:rPr>
          <w:rFonts w:ascii="David" w:hAnsi="David"/>
          <w:rtl/>
        </w:rPr>
        <w:t xml:space="preserve"> עסק למכירת אלכוהול, הממוקם סמוך לחצר ביתו. נאשם 1 אשר החזיק ברישיון באקדח חצי אוטומטי, הגיע לעסק והעביר את הנשק ל</w:t>
      </w:r>
      <w:r w:rsidR="005A7F91" w:rsidRPr="00536F28">
        <w:rPr>
          <w:rFonts w:ascii="David" w:hAnsi="David" w:hint="cs"/>
          <w:rtl/>
        </w:rPr>
        <w:t xml:space="preserve">נאשם 2 אשר </w:t>
      </w:r>
      <w:r w:rsidR="005A7F91" w:rsidRPr="00536F28">
        <w:rPr>
          <w:rFonts w:ascii="David" w:hAnsi="David"/>
          <w:rtl/>
        </w:rPr>
        <w:t>יצא מהעסק</w:t>
      </w:r>
      <w:r w:rsidR="005A7F91" w:rsidRPr="00536F28">
        <w:rPr>
          <w:rFonts w:ascii="David" w:hAnsi="David" w:hint="cs"/>
          <w:rtl/>
        </w:rPr>
        <w:t>,</w:t>
      </w:r>
      <w:r w:rsidR="005A7F91" w:rsidRPr="00536F28">
        <w:rPr>
          <w:rFonts w:ascii="David" w:hAnsi="David"/>
          <w:rtl/>
        </w:rPr>
        <w:t xml:space="preserve"> דרך את הנשק, כיוון כלפי מעלה וירה מספר יריות באוויר. בהמשך עשה כן שוב. בית המשפט המחוזי קבע </w:t>
      </w:r>
      <w:r w:rsidR="005A7F91" w:rsidRPr="00536F28">
        <w:rPr>
          <w:rFonts w:ascii="David" w:hAnsi="David" w:hint="cs"/>
          <w:rtl/>
        </w:rPr>
        <w:t xml:space="preserve">בנוגע לכל אחד מהנאשמים </w:t>
      </w:r>
      <w:r w:rsidR="005A7F91" w:rsidRPr="00536F28">
        <w:rPr>
          <w:rFonts w:ascii="David" w:hAnsi="David"/>
          <w:rtl/>
        </w:rPr>
        <w:t xml:space="preserve">מתחם </w:t>
      </w:r>
      <w:r w:rsidR="005A7F91" w:rsidRPr="00536F28">
        <w:rPr>
          <w:rFonts w:ascii="David" w:hAnsi="David" w:hint="cs"/>
          <w:rtl/>
        </w:rPr>
        <w:t xml:space="preserve">עונש </w:t>
      </w:r>
      <w:r w:rsidR="005A7F91" w:rsidRPr="00536F28">
        <w:rPr>
          <w:rFonts w:ascii="David" w:hAnsi="David"/>
          <w:rtl/>
        </w:rPr>
        <w:t>הנע בין 9 ל-36 חודשי מאסר בפועל</w:t>
      </w:r>
      <w:r w:rsidR="005A7F91" w:rsidRPr="00536F28">
        <w:rPr>
          <w:rFonts w:ascii="David" w:hAnsi="David" w:hint="cs"/>
          <w:rtl/>
        </w:rPr>
        <w:t>. על נאשם 1 נגזרו 9 חודשי מאסר בפועל לריצוי בעבודות שירות, לצד עונשים נלווים. על נאשם 2 נגזרו 14 חודשי מאסר בפועל,</w:t>
      </w:r>
      <w:r w:rsidR="005A7F91" w:rsidRPr="00536F28">
        <w:rPr>
          <w:rFonts w:ascii="David" w:hAnsi="David"/>
          <w:rtl/>
        </w:rPr>
        <w:t xml:space="preserve"> לצד עונשים נלווים.</w:t>
      </w:r>
    </w:p>
    <w:p w14:paraId="1B81C2BD" w14:textId="77777777" w:rsidR="005A7F91" w:rsidRPr="00536F28" w:rsidRDefault="005A7F91" w:rsidP="005A7F91">
      <w:pPr>
        <w:spacing w:line="360" w:lineRule="auto"/>
        <w:ind w:left="720"/>
        <w:jc w:val="both"/>
      </w:pPr>
    </w:p>
    <w:p w14:paraId="5C187CEA" w14:textId="77777777" w:rsidR="005A7F91" w:rsidRDefault="00C45A91" w:rsidP="005A7F91">
      <w:pPr>
        <w:spacing w:line="360" w:lineRule="auto"/>
        <w:ind w:left="720"/>
        <w:jc w:val="both"/>
        <w:rPr>
          <w:rFonts w:ascii="David" w:hAnsi="David"/>
          <w:rtl/>
        </w:rPr>
      </w:pPr>
      <w:hyperlink r:id="rId25" w:history="1">
        <w:r w:rsidRPr="00C45A91">
          <w:rPr>
            <w:rFonts w:ascii="David" w:hAnsi="David"/>
            <w:color w:val="0000FF"/>
            <w:u w:val="single"/>
            <w:rtl/>
          </w:rPr>
          <w:t>ת"פ (מחוזי מרכז) 6968-02-22</w:t>
        </w:r>
      </w:hyperlink>
      <w:r w:rsidR="005A7F91" w:rsidRPr="00536F28">
        <w:rPr>
          <w:rFonts w:ascii="David" w:hAnsi="David" w:hint="cs"/>
          <w:rtl/>
        </w:rPr>
        <w:t xml:space="preserve"> </w:t>
      </w:r>
      <w:r w:rsidR="005A7F91" w:rsidRPr="00536F28">
        <w:rPr>
          <w:rFonts w:ascii="David" w:hAnsi="David" w:hint="cs"/>
          <w:b/>
          <w:bCs/>
          <w:rtl/>
        </w:rPr>
        <w:t>מדינת ישראל נ' גאבר</w:t>
      </w:r>
      <w:r w:rsidR="005A7F91" w:rsidRPr="00536F28">
        <w:rPr>
          <w:rFonts w:ascii="David" w:hAnsi="David" w:hint="cs"/>
          <w:rtl/>
        </w:rPr>
        <w:t xml:space="preserve"> (20.10.2022) - פסק דין אליו הפנתה</w:t>
      </w:r>
      <w:r w:rsidR="005A7F91">
        <w:rPr>
          <w:rFonts w:ascii="David" w:hAnsi="David" w:hint="cs"/>
          <w:rtl/>
        </w:rPr>
        <w:t xml:space="preserve"> המאשימה. הנאשם הורשע בעבירת החזקת נשק, אביזר נשק ותחמושת שלא כדין, לאחר שהחזיק במחסן סמוך לביתו, רובה צייד מאולתר ותחמושת תואמת. בית המשפט המחוזי קבע מתחם הנע בין 14 ל-30 חודשי מאסר, והשית על הנאשם 16 חודשי מאסר בפועל, לצד עונשים נלווים.  </w:t>
      </w:r>
    </w:p>
    <w:p w14:paraId="327CF5F3" w14:textId="77777777" w:rsidR="005A7F91" w:rsidRDefault="005A7F91" w:rsidP="005A7F91">
      <w:pPr>
        <w:spacing w:line="360" w:lineRule="auto"/>
        <w:ind w:left="720" w:hanging="720"/>
        <w:jc w:val="both"/>
        <w:rPr>
          <w:rFonts w:ascii="David" w:hAnsi="David"/>
          <w:rtl/>
        </w:rPr>
      </w:pPr>
    </w:p>
    <w:p w14:paraId="7EF4360D" w14:textId="77777777" w:rsidR="005A7F91" w:rsidRDefault="005A7F91" w:rsidP="005A7F91">
      <w:pPr>
        <w:spacing w:line="360" w:lineRule="auto"/>
        <w:ind w:left="720" w:hanging="720"/>
        <w:jc w:val="both"/>
        <w:rPr>
          <w:rtl/>
        </w:rPr>
      </w:pPr>
      <w:r>
        <w:rPr>
          <w:rtl/>
        </w:rPr>
        <w:tab/>
      </w:r>
      <w:hyperlink r:id="rId26" w:history="1">
        <w:r w:rsidR="00C45A91" w:rsidRPr="00C45A91">
          <w:rPr>
            <w:color w:val="0000FF"/>
            <w:u w:val="single"/>
            <w:rtl/>
          </w:rPr>
          <w:t>ת"פ (מחוזי חיפה) 26549-09-21</w:t>
        </w:r>
      </w:hyperlink>
      <w:r>
        <w:rPr>
          <w:rtl/>
        </w:rPr>
        <w:t xml:space="preserve"> </w:t>
      </w:r>
      <w:r>
        <w:rPr>
          <w:b/>
          <w:bCs/>
          <w:rtl/>
        </w:rPr>
        <w:t>מדינת ישראל נ' עואלי</w:t>
      </w:r>
      <w:r>
        <w:rPr>
          <w:rtl/>
        </w:rPr>
        <w:t xml:space="preserve"> (12.4.2022) - הנאשם הורשע בביצוע עבירות נשק (נשיאה והובלה) ובהפרעה לשוטר בשעת מילוי תפקידו. דובר באקדח חצי אוטומטי מסוג </w:t>
      </w:r>
      <w:r>
        <w:rPr>
          <w:sz w:val="22"/>
          <w:szCs w:val="22"/>
        </w:rPr>
        <w:t>FN</w:t>
      </w:r>
      <w:r>
        <w:rPr>
          <w:rtl/>
        </w:rPr>
        <w:t xml:space="preserve"> בקוטר 9 מ"מ טעון במחסנית ובה עשרה כדורים, אשר היה מוסתר מתחת לבגדי הנאשם. בגזר דינו של הח"מ נקבע מתחם עונש הנע בין 14 לבין 38 חודשי מאסר, והושת על הנאשם עונש מאסר בפועל של 25 חודשים, לצד עונשים נלווים.</w:t>
      </w:r>
    </w:p>
    <w:p w14:paraId="79CA9B90" w14:textId="77777777" w:rsidR="005A7F91" w:rsidRDefault="005A7F91" w:rsidP="005A7F91">
      <w:pPr>
        <w:spacing w:line="360" w:lineRule="auto"/>
        <w:ind w:left="720" w:hanging="720"/>
        <w:jc w:val="both"/>
        <w:rPr>
          <w:rtl/>
        </w:rPr>
      </w:pPr>
    </w:p>
    <w:p w14:paraId="6CBED37A" w14:textId="77777777" w:rsidR="005A7F91" w:rsidRDefault="00C45A91" w:rsidP="005A7F91">
      <w:pPr>
        <w:spacing w:line="360" w:lineRule="auto"/>
        <w:ind w:left="720"/>
        <w:jc w:val="both"/>
        <w:rPr>
          <w:rtl/>
        </w:rPr>
      </w:pPr>
      <w:hyperlink r:id="rId27" w:history="1">
        <w:r w:rsidRPr="00C45A91">
          <w:rPr>
            <w:color w:val="0000FF"/>
            <w:u w:val="single"/>
            <w:rtl/>
          </w:rPr>
          <w:t>ת"פ (מחוזי חיפה) 45561-07-21</w:t>
        </w:r>
      </w:hyperlink>
      <w:r w:rsidR="005A7F91">
        <w:rPr>
          <w:rtl/>
        </w:rPr>
        <w:t xml:space="preserve"> </w:t>
      </w:r>
      <w:r w:rsidR="005A7F91">
        <w:rPr>
          <w:b/>
          <w:bCs/>
          <w:rtl/>
        </w:rPr>
        <w:t>מדינת ישראל נ' טחימר</w:t>
      </w:r>
      <w:r w:rsidR="005A7F91">
        <w:rPr>
          <w:rtl/>
        </w:rPr>
        <w:t xml:space="preserve"> (17.3.2022) - הנאשמים הורשעו בביצוע עבירות נשק (נשיאה והובלה) - הנאשם 1; סיוע לעבירות נשק (נשיאה והובלה) - הנאשם 2, וכן הפרעה לשוטר במילוי תפקידו - שני הנאשמים. דובר באקדח חצי אוטומט </w:t>
      </w:r>
      <w:r w:rsidR="005A7F91">
        <w:rPr>
          <w:sz w:val="22"/>
          <w:szCs w:val="22"/>
        </w:rPr>
        <w:t>D.D.G</w:t>
      </w:r>
      <w:r w:rsidR="005A7F91">
        <w:rPr>
          <w:rtl/>
        </w:rPr>
        <w:t xml:space="preserve"> ומחסנית ריקה המתאימה לאקדח. בגזר הדין של הח"מ ובכל הנוגע לנאשם 1, נקבע מתחם הנע בין 14 ל-38 חודשי מאסר בפועל, לצד עונשים נלווים, ובכל הנוגע לנאשם 2, נקבע מתחם הנע בין 8 ל-20 חודשי מאסר בפועל לצד עונשים נלווים. לבסוף, נגזרו על הנאשם 1 עונש מאסר בפועל של 22 חודשים לצד עונשים נלווים, ועל הנאשם 2 נגזרו 10 חודשי מאסר בפועל לצד עונשים נלווים.</w:t>
      </w:r>
    </w:p>
    <w:p w14:paraId="6FC3EC5F" w14:textId="77777777" w:rsidR="005A7F91" w:rsidRDefault="005A7F91" w:rsidP="005A7F91">
      <w:pPr>
        <w:spacing w:line="360" w:lineRule="auto"/>
        <w:ind w:left="720" w:hanging="720"/>
        <w:jc w:val="both"/>
        <w:rPr>
          <w:rtl/>
        </w:rPr>
      </w:pPr>
      <w:r>
        <w:rPr>
          <w:rtl/>
        </w:rPr>
        <w:tab/>
      </w:r>
    </w:p>
    <w:p w14:paraId="4A4FFEDC" w14:textId="77777777" w:rsidR="005A7F91" w:rsidRDefault="005A7F91" w:rsidP="005A7F91">
      <w:pPr>
        <w:spacing w:line="360" w:lineRule="auto"/>
        <w:ind w:left="720"/>
        <w:jc w:val="both"/>
      </w:pPr>
      <w:r>
        <w:rPr>
          <w:rtl/>
        </w:rPr>
        <w:t xml:space="preserve">ת"פ (מחוזי חיפה) 4005-07-21 </w:t>
      </w:r>
      <w:r>
        <w:rPr>
          <w:b/>
          <w:bCs/>
          <w:rtl/>
        </w:rPr>
        <w:t xml:space="preserve">מדינת ישראל נ' פלוני </w:t>
      </w:r>
      <w:r>
        <w:rPr>
          <w:rtl/>
        </w:rPr>
        <w:t xml:space="preserve">(17.1.2022) - הנאשם נהג ברכב כשהוא מחזיק, נושא ומוביל אקדח מסוג </w:t>
      </w:r>
      <w:r>
        <w:t>FN</w:t>
      </w:r>
      <w:r>
        <w:rPr>
          <w:rtl/>
        </w:rPr>
        <w:t xml:space="preserve"> עם מחסנית תואמת ברכב, וכן רובה ציד. עוד החזיק הנאשם סכין. בגזר הדין של הח"מ נקבע מתחם הנע בין 14 ל-38 חודשי מאסר, ונגזרו על הנאשם 17 חודשי מאסר בפועל, לצד עונשים נלווים.</w:t>
      </w:r>
    </w:p>
    <w:p w14:paraId="79F10B9F" w14:textId="77777777" w:rsidR="005A7F91" w:rsidRDefault="005A7F91" w:rsidP="005A7F91">
      <w:pPr>
        <w:spacing w:line="360" w:lineRule="auto"/>
        <w:ind w:left="720" w:hanging="720"/>
        <w:jc w:val="both"/>
        <w:rPr>
          <w:rtl/>
        </w:rPr>
      </w:pPr>
    </w:p>
    <w:p w14:paraId="2F57BA77" w14:textId="77777777" w:rsidR="005A7F91" w:rsidRDefault="00C45A91" w:rsidP="005A7F91">
      <w:pPr>
        <w:spacing w:line="360" w:lineRule="auto"/>
        <w:ind w:left="720"/>
        <w:jc w:val="both"/>
        <w:rPr>
          <w:rtl/>
        </w:rPr>
      </w:pPr>
      <w:hyperlink r:id="rId28" w:history="1">
        <w:r w:rsidRPr="00C45A91">
          <w:rPr>
            <w:color w:val="0000FF"/>
            <w:u w:val="single"/>
            <w:rtl/>
          </w:rPr>
          <w:t>ת"פ (מחוזי באר שבע) 43009-08-20</w:t>
        </w:r>
      </w:hyperlink>
      <w:r w:rsidR="005A7F91">
        <w:rPr>
          <w:rtl/>
        </w:rPr>
        <w:t xml:space="preserve"> </w:t>
      </w:r>
      <w:r w:rsidR="005A7F91">
        <w:rPr>
          <w:b/>
          <w:bCs/>
          <w:rtl/>
        </w:rPr>
        <w:t>מדינת ישראל נ' אבו גאמע</w:t>
      </w:r>
      <w:r w:rsidR="005A7F91">
        <w:rPr>
          <w:rtl/>
        </w:rPr>
        <w:t xml:space="preserve"> (21.11.2021) - הנאשם הורשע בעבירות של נשיאת והובלת נשק (אקדח 9 מ"מ תוצרת </w:t>
      </w:r>
      <w:r w:rsidR="005A7F91">
        <w:t>FN</w:t>
      </w:r>
      <w:r w:rsidR="005A7F91">
        <w:rPr>
          <w:rtl/>
        </w:rPr>
        <w:t xml:space="preserve"> ובו מחסנית ריקה, ו</w:t>
      </w:r>
      <w:r w:rsidR="005A7F91">
        <w:rPr>
          <w:rFonts w:hint="cs"/>
          <w:rtl/>
        </w:rPr>
        <w:t>-</w:t>
      </w:r>
      <w:r w:rsidR="005A7F91">
        <w:rPr>
          <w:rtl/>
        </w:rPr>
        <w:t>7 כדורי תחמושת 9 מ"מ), וכן בהפרעה לשוטר במילוי תפקידו. בית המשפט המחוזי קבע מתחם עונש הולם הנע בין 18 ל-36 חודשי מאסר בפועל, והשית על הנאשם 24 חודשי מאסר בפועל, וכן עונש מאסר על תנאי.</w:t>
      </w:r>
    </w:p>
    <w:p w14:paraId="539929B1" w14:textId="77777777" w:rsidR="005A7F91" w:rsidRDefault="005A7F91" w:rsidP="005A7F91">
      <w:pPr>
        <w:spacing w:line="360" w:lineRule="auto"/>
        <w:ind w:left="720" w:hanging="720"/>
        <w:jc w:val="both"/>
        <w:rPr>
          <w:rtl/>
        </w:rPr>
      </w:pPr>
    </w:p>
    <w:p w14:paraId="35E14990" w14:textId="77777777" w:rsidR="005A7F91" w:rsidRDefault="005A7F91" w:rsidP="005A7F91">
      <w:pPr>
        <w:spacing w:line="360" w:lineRule="auto"/>
        <w:ind w:left="720" w:hanging="720"/>
        <w:jc w:val="both"/>
        <w:rPr>
          <w:rtl/>
        </w:rPr>
      </w:pPr>
      <w:r>
        <w:rPr>
          <w:rtl/>
        </w:rPr>
        <w:tab/>
      </w:r>
      <w:hyperlink r:id="rId29" w:history="1">
        <w:r w:rsidR="00C45A91" w:rsidRPr="00C45A91">
          <w:rPr>
            <w:color w:val="0000FF"/>
            <w:u w:val="single"/>
            <w:rtl/>
          </w:rPr>
          <w:t>ת"פ (מחוזי חיפה) 9396-03-21</w:t>
        </w:r>
      </w:hyperlink>
      <w:r>
        <w:rPr>
          <w:b/>
          <w:bCs/>
          <w:rtl/>
        </w:rPr>
        <w:t xml:space="preserve"> מדינת ישראל נ' דוידוב</w:t>
      </w:r>
      <w:r>
        <w:rPr>
          <w:rtl/>
        </w:rPr>
        <w:t xml:space="preserve"> (5.10.2021) - הנאשם הורשע בביצוע עבירות נשק (הובלה) - אקדח מסוג "ברטה" בקוטר 9 מ"מ, בתוכו מחסנית תואמת ובה 8 כדורים בקוטר 9 מ"מ, וכדור נוסף טעון בקנה האקדח. </w:t>
      </w:r>
      <w:r>
        <w:rPr>
          <w:rFonts w:hint="cs"/>
          <w:rtl/>
        </w:rPr>
        <w:t xml:space="preserve">בגזר דין של הח"מ, </w:t>
      </w:r>
      <w:r>
        <w:rPr>
          <w:rtl/>
        </w:rPr>
        <w:t>נקבע מתחם עונש הולם הנע בין 12 ל-36 חודשי מאסר בפועל לצד עונשים נלווים, ונגזר על הנאשם עונש מאסר בפועל של 13 חודשים, לצד עונשים נלווים.</w:t>
      </w:r>
    </w:p>
    <w:p w14:paraId="1ECFE01F" w14:textId="77777777" w:rsidR="005A7F91" w:rsidRDefault="005A7F91" w:rsidP="005A7F91">
      <w:pPr>
        <w:spacing w:line="360" w:lineRule="auto"/>
        <w:jc w:val="both"/>
        <w:rPr>
          <w:rFonts w:ascii="David" w:hAnsi="David"/>
          <w:rtl/>
        </w:rPr>
      </w:pPr>
    </w:p>
    <w:p w14:paraId="27D5D1B1" w14:textId="77777777" w:rsidR="005A7F91" w:rsidRDefault="005A7F91" w:rsidP="005A7F91">
      <w:pPr>
        <w:spacing w:line="360" w:lineRule="auto"/>
        <w:ind w:left="720" w:hanging="720"/>
        <w:jc w:val="both"/>
        <w:rPr>
          <w:rFonts w:ascii="David" w:hAnsi="David"/>
          <w:rtl/>
        </w:rPr>
      </w:pPr>
      <w:r>
        <w:rPr>
          <w:rFonts w:ascii="David" w:hAnsi="David"/>
          <w:rtl/>
        </w:rPr>
        <w:tab/>
      </w:r>
      <w:r>
        <w:rPr>
          <w:rFonts w:ascii="David" w:hAnsi="David" w:hint="cs"/>
          <w:rtl/>
        </w:rPr>
        <w:t>עד כאן סקירת הפסיקה.</w:t>
      </w:r>
    </w:p>
    <w:p w14:paraId="50DA3144" w14:textId="77777777" w:rsidR="005A7F91" w:rsidRDefault="005A7F91" w:rsidP="005A7F91">
      <w:pPr>
        <w:spacing w:line="360" w:lineRule="auto"/>
        <w:jc w:val="both"/>
        <w:rPr>
          <w:rFonts w:ascii="David" w:hAnsi="David"/>
          <w:rtl/>
        </w:rPr>
      </w:pPr>
    </w:p>
    <w:p w14:paraId="5DA0DFDC" w14:textId="77777777" w:rsidR="005A7F91" w:rsidRDefault="005A7F91" w:rsidP="005A7F91">
      <w:pPr>
        <w:spacing w:line="360" w:lineRule="auto"/>
        <w:ind w:left="720" w:hanging="720"/>
        <w:jc w:val="both"/>
        <w:rPr>
          <w:rFonts w:ascii="David" w:hAnsi="David"/>
          <w:rtl/>
        </w:rPr>
      </w:pPr>
      <w:r>
        <w:rPr>
          <w:rFonts w:ascii="David" w:hAnsi="David" w:hint="cs"/>
          <w:rtl/>
        </w:rPr>
        <w:t>17.</w:t>
      </w:r>
      <w:r>
        <w:rPr>
          <w:rFonts w:ascii="David" w:hAnsi="David" w:hint="cs"/>
          <w:rtl/>
        </w:rPr>
        <w:tab/>
        <w:t xml:space="preserve">בכל הנוגע </w:t>
      </w:r>
      <w:r w:rsidRPr="00360E9D">
        <w:rPr>
          <w:rFonts w:ascii="David" w:hAnsi="David" w:hint="cs"/>
          <w:b/>
          <w:bCs/>
          <w:rtl/>
        </w:rPr>
        <w:t>לנסיבות הקשורות בביצוע העבירה</w:t>
      </w:r>
      <w:r>
        <w:rPr>
          <w:rFonts w:ascii="David" w:hAnsi="David" w:hint="cs"/>
          <w:rtl/>
        </w:rPr>
        <w:t xml:space="preserve">, יש ליתן הדעת על כי מדובר בכלי נשק אחד. </w:t>
      </w:r>
      <w:r w:rsidRPr="00F45EAA">
        <w:rPr>
          <w:rFonts w:ascii="David" w:hAnsi="David" w:hint="cs"/>
          <w:rtl/>
        </w:rPr>
        <w:t xml:space="preserve">סוג הנשק גם הוא </w:t>
      </w:r>
      <w:r>
        <w:rPr>
          <w:rFonts w:ascii="David" w:hAnsi="David" w:hint="cs"/>
          <w:rtl/>
        </w:rPr>
        <w:t xml:space="preserve">כאמור לעיל </w:t>
      </w:r>
      <w:r w:rsidRPr="00F45EAA">
        <w:rPr>
          <w:rFonts w:ascii="David" w:hAnsi="David" w:hint="cs"/>
          <w:rtl/>
        </w:rPr>
        <w:t>בעל משמעות</w:t>
      </w:r>
      <w:r>
        <w:rPr>
          <w:rFonts w:ascii="David" w:hAnsi="David" w:hint="cs"/>
          <w:rtl/>
        </w:rPr>
        <w:t xml:space="preserve">, ויש ליתן לו ביטוי בפרק זה. בענייננו מדובר ברובה צייד מאולתר </w:t>
      </w:r>
      <w:r w:rsidRPr="00F45EAA">
        <w:rPr>
          <w:rFonts w:ascii="David" w:hAnsi="David" w:hint="cs"/>
          <w:rtl/>
        </w:rPr>
        <w:t>אשר מטיבו אינו מיועד להפעלה כנגד אדם, הגם שבהחלט ניתן לערוך בו שימוש על מנת להסב פגיעה ברכוש או בגוף</w:t>
      </w:r>
      <w:r>
        <w:rPr>
          <w:rFonts w:ascii="David" w:hAnsi="David" w:hint="cs"/>
          <w:rtl/>
        </w:rPr>
        <w:t xml:space="preserve">. כמו כן, </w:t>
      </w:r>
      <w:r w:rsidRPr="00F45EAA">
        <w:rPr>
          <w:rFonts w:ascii="David" w:hAnsi="David" w:hint="cs"/>
          <w:rtl/>
        </w:rPr>
        <w:t xml:space="preserve">רובה </w:t>
      </w:r>
      <w:r>
        <w:rPr>
          <w:rFonts w:ascii="David" w:hAnsi="David" w:hint="cs"/>
          <w:rtl/>
        </w:rPr>
        <w:t xml:space="preserve">הצייד המאולתר </w:t>
      </w:r>
      <w:r w:rsidRPr="00F45EAA">
        <w:rPr>
          <w:rFonts w:ascii="David" w:hAnsi="David" w:hint="cs"/>
          <w:rtl/>
        </w:rPr>
        <w:t xml:space="preserve">לא היה טעון בעת החזקתו והובלתו ברכב, אלא הכדורים המתאימים לשימוש ברובה </w:t>
      </w:r>
      <w:r>
        <w:rPr>
          <w:rFonts w:ascii="David" w:hAnsi="David" w:hint="cs"/>
          <w:rtl/>
        </w:rPr>
        <w:t xml:space="preserve">זה </w:t>
      </w:r>
      <w:r w:rsidRPr="00F45EAA">
        <w:rPr>
          <w:rFonts w:ascii="David" w:hAnsi="David" w:hint="cs"/>
          <w:rtl/>
        </w:rPr>
        <w:t>היו מוצמדים לקת, כך שדומני כי לא הייתה כוונה לערוך בו שימוש מיידי</w:t>
      </w:r>
      <w:r>
        <w:rPr>
          <w:rFonts w:ascii="David" w:hAnsi="David" w:hint="cs"/>
          <w:rtl/>
        </w:rPr>
        <w:t>, וממילא הפוטנציאל הרב לפגיעה משמעותית לא התממש</w:t>
      </w:r>
      <w:r w:rsidRPr="00F45EAA">
        <w:rPr>
          <w:rFonts w:ascii="David" w:hAnsi="David" w:hint="cs"/>
          <w:rtl/>
        </w:rPr>
        <w:t>.</w:t>
      </w:r>
      <w:r>
        <w:rPr>
          <w:rFonts w:ascii="David" w:hAnsi="David" w:hint="cs"/>
          <w:rtl/>
        </w:rPr>
        <w:t xml:space="preserve"> </w:t>
      </w:r>
    </w:p>
    <w:p w14:paraId="7FB8D2CF" w14:textId="77777777" w:rsidR="005A7F91" w:rsidRDefault="005A7F91" w:rsidP="005A7F91">
      <w:pPr>
        <w:spacing w:line="360" w:lineRule="auto"/>
        <w:ind w:left="720" w:hanging="720"/>
        <w:jc w:val="both"/>
        <w:rPr>
          <w:rFonts w:ascii="David" w:hAnsi="David"/>
          <w:rtl/>
        </w:rPr>
      </w:pPr>
    </w:p>
    <w:p w14:paraId="707C51DF" w14:textId="77777777" w:rsidR="005A7F91" w:rsidRDefault="005A7F91" w:rsidP="005A7F91">
      <w:pPr>
        <w:spacing w:line="360" w:lineRule="auto"/>
        <w:ind w:left="720" w:hanging="720"/>
        <w:jc w:val="both"/>
        <w:rPr>
          <w:rFonts w:ascii="David" w:hAnsi="David"/>
          <w:rtl/>
        </w:rPr>
      </w:pPr>
      <w:r>
        <w:rPr>
          <w:rFonts w:ascii="David" w:hAnsi="David"/>
          <w:rtl/>
        </w:rPr>
        <w:tab/>
      </w:r>
      <w:r>
        <w:rPr>
          <w:rFonts w:ascii="David" w:hAnsi="David" w:hint="cs"/>
          <w:rtl/>
        </w:rPr>
        <w:t xml:space="preserve">זאת ועוד, </w:t>
      </w:r>
      <w:r w:rsidRPr="00F45EAA">
        <w:rPr>
          <w:rFonts w:ascii="David" w:hAnsi="David" w:hint="cs"/>
          <w:rtl/>
        </w:rPr>
        <w:t>כתב האישום אינו כולל רקע להחזקת הנשק ואינו מפרט סכסוך כלשהו שקיים לנאשם, בגינו הוחזק הנשק ברכב. הרכב אף נסע בכביש חקלאי. כמו כן, אין פירוט בכתב האישום היכן הוחזק הנשק ברכב - האם במקום בו ניתן לערוך ב</w:t>
      </w:r>
      <w:r>
        <w:rPr>
          <w:rFonts w:ascii="David" w:hAnsi="David" w:hint="cs"/>
          <w:rtl/>
        </w:rPr>
        <w:t>נשק</w:t>
      </w:r>
      <w:r w:rsidRPr="00F45EAA">
        <w:rPr>
          <w:rFonts w:ascii="David" w:hAnsi="David" w:hint="cs"/>
          <w:rtl/>
        </w:rPr>
        <w:t xml:space="preserve"> שימוש באופן מיידי, למשל ליד </w:t>
      </w:r>
      <w:r>
        <w:rPr>
          <w:rFonts w:ascii="David" w:hAnsi="David" w:hint="cs"/>
          <w:rtl/>
        </w:rPr>
        <w:t>ה</w:t>
      </w:r>
      <w:r w:rsidRPr="00F45EAA">
        <w:rPr>
          <w:rFonts w:ascii="David" w:hAnsi="David" w:hint="cs"/>
          <w:rtl/>
        </w:rPr>
        <w:t xml:space="preserve">מושב </w:t>
      </w:r>
      <w:r>
        <w:rPr>
          <w:rFonts w:ascii="David" w:hAnsi="David" w:hint="cs"/>
          <w:rtl/>
        </w:rPr>
        <w:t xml:space="preserve">בו שהה </w:t>
      </w:r>
      <w:r w:rsidRPr="00F45EAA">
        <w:rPr>
          <w:rFonts w:ascii="David" w:hAnsi="David" w:hint="cs"/>
          <w:rtl/>
        </w:rPr>
        <w:t>הנאשם, או שמא בתא המטען, כשהוא עטוף ומאופסן. הדבר פועל לזכות הנאשם.</w:t>
      </w:r>
    </w:p>
    <w:p w14:paraId="6C5DCFD2" w14:textId="77777777" w:rsidR="005A7F91" w:rsidRDefault="005A7F91" w:rsidP="005A7F91">
      <w:pPr>
        <w:spacing w:line="360" w:lineRule="auto"/>
        <w:ind w:left="720" w:hanging="720"/>
        <w:jc w:val="both"/>
        <w:rPr>
          <w:rFonts w:ascii="David" w:hAnsi="David"/>
          <w:rtl/>
        </w:rPr>
      </w:pPr>
    </w:p>
    <w:p w14:paraId="65FA9636" w14:textId="77777777" w:rsidR="005A7F91" w:rsidRPr="00F45EAA" w:rsidRDefault="005A7F91" w:rsidP="005A7F91">
      <w:pPr>
        <w:spacing w:line="360" w:lineRule="auto"/>
        <w:ind w:left="720" w:hanging="720"/>
        <w:jc w:val="both"/>
        <w:rPr>
          <w:rFonts w:ascii="David" w:hAnsi="David"/>
          <w:rtl/>
        </w:rPr>
      </w:pPr>
      <w:r>
        <w:rPr>
          <w:rFonts w:ascii="David" w:hAnsi="David"/>
          <w:rtl/>
        </w:rPr>
        <w:tab/>
      </w:r>
      <w:r>
        <w:rPr>
          <w:rFonts w:ascii="David" w:hAnsi="David" w:hint="cs"/>
          <w:rtl/>
        </w:rPr>
        <w:t xml:space="preserve">לעומת נסיבות אלו, </w:t>
      </w:r>
      <w:r w:rsidRPr="00F45EAA">
        <w:rPr>
          <w:rFonts w:ascii="David" w:hAnsi="David" w:hint="cs"/>
          <w:rtl/>
        </w:rPr>
        <w:t>הנשק הוחזק והובל ברכב בשעת לילה מאוחרת (01:51),</w:t>
      </w:r>
      <w:r>
        <w:rPr>
          <w:rFonts w:ascii="David" w:hAnsi="David" w:hint="cs"/>
          <w:rtl/>
        </w:rPr>
        <w:t xml:space="preserve"> והדבר יכול להוות נסיבה לחומרה.</w:t>
      </w:r>
    </w:p>
    <w:p w14:paraId="5961773F" w14:textId="77777777" w:rsidR="005A7F91" w:rsidRDefault="005A7F91" w:rsidP="005A7F91">
      <w:pPr>
        <w:spacing w:line="360" w:lineRule="auto"/>
        <w:jc w:val="both"/>
        <w:rPr>
          <w:rFonts w:ascii="David" w:hAnsi="David"/>
          <w:rtl/>
        </w:rPr>
      </w:pPr>
    </w:p>
    <w:p w14:paraId="0B289FBB" w14:textId="77777777" w:rsidR="005A7F91" w:rsidRDefault="005A7F91" w:rsidP="005A7F91">
      <w:pPr>
        <w:spacing w:line="360" w:lineRule="auto"/>
        <w:ind w:left="720" w:hanging="720"/>
        <w:jc w:val="both"/>
        <w:rPr>
          <w:rFonts w:ascii="David" w:hAnsi="David"/>
          <w:rtl/>
        </w:rPr>
      </w:pPr>
      <w:r>
        <w:rPr>
          <w:rFonts w:ascii="David" w:hAnsi="David" w:hint="cs"/>
          <w:rtl/>
        </w:rPr>
        <w:t>18.</w:t>
      </w:r>
      <w:r>
        <w:rPr>
          <w:rFonts w:ascii="David" w:hAnsi="David" w:hint="cs"/>
          <w:rtl/>
        </w:rPr>
        <w:tab/>
      </w:r>
      <w:r>
        <w:rPr>
          <w:rFonts w:ascii="David" w:hAnsi="David"/>
          <w:rtl/>
        </w:rPr>
        <w:t xml:space="preserve">על רקע נסיבות ביצוע העבירה, הערכים החברתיים המוגנים אשר נפגעו כתוצאה מביצוע העבירה ומידת הפגיעה בהם, וכן בשים לב למדיניות הענישה הנהוגה, סבורני כי מתחם העונש ההולם את מעשיו של הנאשם מצוי </w:t>
      </w:r>
      <w:r>
        <w:rPr>
          <w:rFonts w:ascii="David" w:hAnsi="David"/>
          <w:b/>
          <w:bCs/>
          <w:rtl/>
        </w:rPr>
        <w:t xml:space="preserve">בטווח שבין </w:t>
      </w:r>
      <w:r>
        <w:rPr>
          <w:rFonts w:ascii="David" w:hAnsi="David" w:hint="cs"/>
          <w:b/>
          <w:bCs/>
          <w:rtl/>
        </w:rPr>
        <w:t>12</w:t>
      </w:r>
      <w:r>
        <w:rPr>
          <w:rFonts w:ascii="David" w:hAnsi="David"/>
          <w:b/>
          <w:bCs/>
          <w:rtl/>
        </w:rPr>
        <w:t xml:space="preserve"> לבין </w:t>
      </w:r>
      <w:r>
        <w:rPr>
          <w:rFonts w:ascii="David" w:hAnsi="David" w:hint="cs"/>
          <w:b/>
          <w:bCs/>
          <w:rtl/>
        </w:rPr>
        <w:t>36</w:t>
      </w:r>
      <w:r>
        <w:rPr>
          <w:rFonts w:ascii="David" w:hAnsi="David"/>
          <w:b/>
          <w:bCs/>
          <w:rtl/>
        </w:rPr>
        <w:t xml:space="preserve"> חודשי מאסר בפועל</w:t>
      </w:r>
      <w:r>
        <w:rPr>
          <w:rFonts w:ascii="David" w:hAnsi="David"/>
          <w:rtl/>
        </w:rPr>
        <w:t>, לצד עונשים נלווים.</w:t>
      </w:r>
    </w:p>
    <w:p w14:paraId="3084755E" w14:textId="77777777" w:rsidR="005A7F91" w:rsidRDefault="005A7F91" w:rsidP="005A7F91">
      <w:pPr>
        <w:spacing w:line="360" w:lineRule="auto"/>
        <w:ind w:left="720" w:hanging="720"/>
        <w:jc w:val="both"/>
        <w:rPr>
          <w:rFonts w:ascii="David" w:hAnsi="David"/>
          <w:rtl/>
        </w:rPr>
      </w:pPr>
    </w:p>
    <w:p w14:paraId="649765F9" w14:textId="77777777" w:rsidR="005A7F91" w:rsidRDefault="005A7F91" w:rsidP="005A7F91">
      <w:pPr>
        <w:spacing w:line="360" w:lineRule="auto"/>
        <w:ind w:left="720" w:hanging="720"/>
        <w:jc w:val="both"/>
        <w:rPr>
          <w:rFonts w:ascii="David" w:hAnsi="David"/>
          <w:rtl/>
        </w:rPr>
      </w:pPr>
      <w:r>
        <w:rPr>
          <w:rFonts w:ascii="David" w:hAnsi="David" w:hint="cs"/>
          <w:rtl/>
        </w:rPr>
        <w:t>19</w:t>
      </w:r>
      <w:r>
        <w:rPr>
          <w:rFonts w:ascii="David" w:hAnsi="David"/>
          <w:rtl/>
        </w:rPr>
        <w:t>.</w:t>
      </w:r>
      <w:r>
        <w:rPr>
          <w:rFonts w:ascii="David" w:hAnsi="David"/>
          <w:rtl/>
        </w:rPr>
        <w:tab/>
        <w:t xml:space="preserve">לא מצאתי בענייננו </w:t>
      </w:r>
      <w:r>
        <w:rPr>
          <w:rtl/>
        </w:rPr>
        <w:t xml:space="preserve">קיומם של שיקולים אשר יצדיקו לסטות ממתחם העונש שזה עתה נקבע, בין אם לחומרה ובין אם לקולא. שיקול ההגנה על שלום הציבור, </w:t>
      </w:r>
      <w:r>
        <w:rPr>
          <w:rFonts w:ascii="David" w:hAnsi="David"/>
          <w:rtl/>
        </w:rPr>
        <w:t>הגם שמתקיים מעצם הערכים המוגנים שנפגעו, אינו מצדיק חריגה מהמתחם. שיקול השיקום, בשים לב לנסיבות, אינו מתקיים ואינו מצדיק אף הוא סטייה מהמתחם.</w:t>
      </w:r>
    </w:p>
    <w:p w14:paraId="1F2FDE98" w14:textId="77777777" w:rsidR="005A7F91" w:rsidRDefault="005A7F91" w:rsidP="005A7F91">
      <w:pPr>
        <w:spacing w:line="360" w:lineRule="auto"/>
        <w:ind w:left="720" w:hanging="720"/>
        <w:jc w:val="both"/>
        <w:rPr>
          <w:rFonts w:ascii="David" w:hAnsi="David"/>
          <w:rtl/>
        </w:rPr>
      </w:pPr>
    </w:p>
    <w:p w14:paraId="0A7B3E98" w14:textId="77777777" w:rsidR="005A7F91" w:rsidRDefault="005A7F91" w:rsidP="005A7F91">
      <w:pPr>
        <w:spacing w:line="360" w:lineRule="auto"/>
        <w:ind w:left="720" w:hanging="720"/>
        <w:jc w:val="both"/>
        <w:rPr>
          <w:rFonts w:ascii="David" w:hAnsi="David"/>
          <w:rtl/>
        </w:rPr>
      </w:pPr>
      <w:r>
        <w:rPr>
          <w:rFonts w:ascii="David" w:hAnsi="David"/>
          <w:rtl/>
        </w:rPr>
        <w:tab/>
        <w:t xml:space="preserve">אפנה להלן לקבוע את העונש המתאים לנאשם בגבולות מתחם העונש ההולם. בכגון דא, יש להתחשב </w:t>
      </w:r>
      <w:r w:rsidRPr="00145AAD">
        <w:rPr>
          <w:rFonts w:ascii="David" w:hAnsi="David"/>
          <w:b/>
          <w:bCs/>
          <w:rtl/>
        </w:rPr>
        <w:t>בנסיבות אשר אינן קשורות בביצוע העבירה</w:t>
      </w:r>
      <w:r>
        <w:rPr>
          <w:rFonts w:ascii="David" w:hAnsi="David"/>
          <w:rtl/>
        </w:rPr>
        <w:t xml:space="preserve">, כמפורט </w:t>
      </w:r>
      <w:hyperlink r:id="rId30" w:history="1">
        <w:r w:rsidR="000A2A19" w:rsidRPr="000A2A19">
          <w:rPr>
            <w:rStyle w:val="Hyperlink"/>
            <w:rFonts w:ascii="David" w:hAnsi="David"/>
            <w:rtl/>
          </w:rPr>
          <w:t>בסעיף 40יא</w:t>
        </w:r>
      </w:hyperlink>
      <w:r>
        <w:rPr>
          <w:rFonts w:ascii="David" w:hAnsi="David"/>
          <w:rtl/>
        </w:rPr>
        <w:t xml:space="preserve"> לחוק. </w:t>
      </w:r>
    </w:p>
    <w:p w14:paraId="351D0ABC" w14:textId="77777777" w:rsidR="005A7F91" w:rsidRDefault="005A7F91" w:rsidP="005A7F91">
      <w:pPr>
        <w:spacing w:line="360" w:lineRule="auto"/>
        <w:jc w:val="both"/>
        <w:rPr>
          <w:rFonts w:ascii="David" w:hAnsi="David"/>
          <w:rtl/>
        </w:rPr>
      </w:pPr>
    </w:p>
    <w:p w14:paraId="3631AD02" w14:textId="77777777" w:rsidR="005A7F91" w:rsidRPr="00EA2A09" w:rsidRDefault="005A7F91" w:rsidP="005A7F91">
      <w:pPr>
        <w:spacing w:line="360" w:lineRule="auto"/>
        <w:ind w:left="720" w:hanging="720"/>
        <w:jc w:val="both"/>
        <w:rPr>
          <w:rFonts w:ascii="David" w:hAnsi="David"/>
          <w:u w:val="single"/>
          <w:rtl/>
        </w:rPr>
      </w:pPr>
      <w:r>
        <w:rPr>
          <w:rFonts w:ascii="David" w:hAnsi="David" w:hint="cs"/>
          <w:u w:val="single"/>
          <w:rtl/>
        </w:rPr>
        <w:t>העונש המתאים לנאשם</w:t>
      </w:r>
    </w:p>
    <w:p w14:paraId="2AC6EFFB" w14:textId="77777777" w:rsidR="005A7F91" w:rsidRDefault="005A7F91" w:rsidP="005A7F91">
      <w:pPr>
        <w:spacing w:line="360" w:lineRule="auto"/>
        <w:ind w:left="720" w:hanging="720"/>
        <w:jc w:val="both"/>
        <w:rPr>
          <w:rFonts w:ascii="David" w:hAnsi="David"/>
          <w:rtl/>
        </w:rPr>
      </w:pPr>
    </w:p>
    <w:p w14:paraId="2CF14A40" w14:textId="77777777" w:rsidR="005A7F91" w:rsidRDefault="005A7F91" w:rsidP="005A7F91">
      <w:pPr>
        <w:spacing w:line="360" w:lineRule="auto"/>
        <w:ind w:left="720" w:hanging="720"/>
        <w:jc w:val="both"/>
        <w:rPr>
          <w:rFonts w:ascii="David" w:hAnsi="David"/>
          <w:rtl/>
        </w:rPr>
      </w:pPr>
      <w:r>
        <w:rPr>
          <w:rFonts w:ascii="David" w:hAnsi="David" w:hint="cs"/>
          <w:rtl/>
        </w:rPr>
        <w:t>20.</w:t>
      </w:r>
      <w:r>
        <w:rPr>
          <w:rFonts w:ascii="David" w:hAnsi="David" w:hint="cs"/>
          <w:rtl/>
        </w:rPr>
        <w:tab/>
        <w:t xml:space="preserve">משקל נכבד בהקשר זה יש ליתן להודאתו של הנאשם בעובדות המיוחסות לו בכתב האישום. הודאה זו באה בלא שתוקן כתב האישום ובשלביו המוקדמים של ניהול ההליך בעניינו של הנאשם, טרם השיב הוא לכתב האישום, וממילא טרם החל שלב הראיות. הודאת הנאשם, במיוחד בשים לב לעיתוי בו היא ניתנה על פני ציר הזמן, הביאה לחיסכון של זמן שיפוטי רב. חרף הודאתו זו, לא מצאתי בדבריו של הנאשם לפניי כי הביע הוא חרטה על המעשים. לא נעלם הימני גם האמור בתסקיר כי הנאשם לא קיבל אחריות למעשיו, וכי הוא הביע חרטה מילולית בלבד. </w:t>
      </w:r>
    </w:p>
    <w:p w14:paraId="3FBA3977" w14:textId="77777777" w:rsidR="005A7F91" w:rsidRDefault="005A7F91" w:rsidP="005A7F91">
      <w:pPr>
        <w:spacing w:line="360" w:lineRule="auto"/>
        <w:ind w:left="720" w:hanging="720"/>
        <w:jc w:val="both"/>
        <w:rPr>
          <w:rFonts w:ascii="David" w:hAnsi="David"/>
          <w:rtl/>
        </w:rPr>
      </w:pPr>
    </w:p>
    <w:p w14:paraId="663B5741" w14:textId="77777777" w:rsidR="005A7F91" w:rsidRDefault="005A7F91" w:rsidP="005A7F91">
      <w:pPr>
        <w:spacing w:line="360" w:lineRule="auto"/>
        <w:ind w:left="720" w:hanging="720"/>
        <w:jc w:val="both"/>
        <w:rPr>
          <w:rFonts w:ascii="David" w:hAnsi="David"/>
          <w:rtl/>
        </w:rPr>
      </w:pPr>
      <w:r>
        <w:rPr>
          <w:rFonts w:ascii="David" w:hAnsi="David"/>
          <w:rtl/>
        </w:rPr>
        <w:tab/>
      </w:r>
      <w:r>
        <w:rPr>
          <w:rFonts w:ascii="David" w:hAnsi="David" w:hint="cs"/>
          <w:rtl/>
        </w:rPr>
        <w:t>בנוסף, נתתי דעתי גם לדברי הנאשם לפניי, מהם עולה כי הוא שרת בצבא ביחידה קרבית, ואף השתתף במבצע "צוק איתן". משפחתו של הנאשם, כך לדבריו, היא "משפחה של שוטרים". אח שלו נפגע באורח קשה בתאונת דרכים ונותר נכה, עת שירת במשטרה צבאית. הנאשם עובד עם הצבא זה מספר שנים. במהלך עבודתו הוא חשוף לאמצעי לחימה, ובכל פעם שהוא מוצא דבר כלשהו הוא מייד דואג להחזירו. גיוסו למשטרה נמנע לדבריו מחמת מעשיו דכאן, בגינם הנאשם לא הוזמן לערוך גיבוש.</w:t>
      </w:r>
    </w:p>
    <w:p w14:paraId="0D8F4E54" w14:textId="77777777" w:rsidR="005A7F91" w:rsidRDefault="005A7F91" w:rsidP="005A7F91">
      <w:pPr>
        <w:spacing w:line="360" w:lineRule="auto"/>
        <w:ind w:left="720" w:hanging="720"/>
        <w:jc w:val="both"/>
        <w:rPr>
          <w:rFonts w:ascii="David" w:hAnsi="David"/>
          <w:rtl/>
        </w:rPr>
      </w:pPr>
    </w:p>
    <w:p w14:paraId="4DBCADB4" w14:textId="77777777" w:rsidR="005A7F91" w:rsidRDefault="005A7F91" w:rsidP="005A7F91">
      <w:pPr>
        <w:spacing w:line="360" w:lineRule="auto"/>
        <w:ind w:left="720" w:hanging="720"/>
        <w:jc w:val="both"/>
        <w:rPr>
          <w:rFonts w:ascii="David" w:hAnsi="David"/>
          <w:rtl/>
        </w:rPr>
      </w:pPr>
      <w:r>
        <w:rPr>
          <w:rFonts w:ascii="David" w:hAnsi="David"/>
          <w:rtl/>
        </w:rPr>
        <w:tab/>
      </w:r>
      <w:r>
        <w:rPr>
          <w:rFonts w:ascii="David" w:hAnsi="David" w:hint="cs"/>
          <w:rtl/>
        </w:rPr>
        <w:t>שיקול נוסף בעל חשיבות של ממש לקולא, הוא כי לא רשומות לחובת הנאשם הרשעות קודמות בפלילים, וזוהי למעשה הסתבכותו הראשונה עם החוק. כמו כן, יש להביא בחשבון את גילו הצעיר באופן יחסי של הנאשם בעת ביצוע העבירה (26 שנים לערך). יש ליתן הדעת גם להשלכה אפשרית של עונש מאסר על משפחתו של הנאשם, שעה שהנאשם ציין בדבריו כי הוא מטפל באחיו "באופן ישיר ויומיומי".</w:t>
      </w:r>
    </w:p>
    <w:p w14:paraId="5A60AD47" w14:textId="77777777" w:rsidR="005A7F91" w:rsidRDefault="005A7F91" w:rsidP="005A7F91">
      <w:pPr>
        <w:spacing w:line="360" w:lineRule="auto"/>
        <w:ind w:left="720" w:hanging="720"/>
        <w:jc w:val="both"/>
        <w:rPr>
          <w:rFonts w:ascii="David" w:hAnsi="David"/>
          <w:rtl/>
        </w:rPr>
      </w:pPr>
    </w:p>
    <w:p w14:paraId="49E4634B" w14:textId="77777777" w:rsidR="005A7F91" w:rsidRDefault="005A7F91" w:rsidP="005A7F91">
      <w:pPr>
        <w:spacing w:line="360" w:lineRule="auto"/>
        <w:ind w:left="720" w:hanging="720"/>
        <w:jc w:val="both"/>
        <w:rPr>
          <w:rFonts w:ascii="David" w:hAnsi="David"/>
          <w:rtl/>
        </w:rPr>
      </w:pPr>
      <w:r>
        <w:rPr>
          <w:rFonts w:ascii="David" w:hAnsi="David" w:hint="cs"/>
          <w:rtl/>
        </w:rPr>
        <w:t>21.</w:t>
      </w:r>
      <w:r>
        <w:rPr>
          <w:rFonts w:ascii="David" w:hAnsi="David" w:hint="cs"/>
          <w:rtl/>
        </w:rPr>
        <w:tab/>
        <w:t>הסנגור אף הגיש מסמכים שונים אשר יש בהם לדידו כדי לתמוך בנאשם ולהביא להקלה בעונשו. בין הצרופות ניתן למצוא מכתב המלצה ממפקדו של הנאשם בצבא, המעיד גם על אופיו הטוב של הנאשם; שני מכתבים של קצינים אשר עבדו עם הנאשם; מכתב של משפחה אשר הנאשם הציל את בתם הקטנה מטביעה; מסמכים רפואיים בנוגע לאחיו שנפגע כאמור בעת השירות הצבאי, וכן תעודת בגרות וגיליון ציונים. זאת ועוד, הסנגור טען כי הנאשם מצא לדבריו רימוני רסס והחזירם למשטרת ישראל, אך גורמי המשטרה מאנו להוציא מסמכים מהתיק והיו נכונים למסור רק את מספר התיק המשטרתי. משכך, לא מצאתי ליתן לטענה זו משקל רב, ועל מנת שתנוח דעתו של הנאשם אציין, כי ממילא אין ולא היה בה כדי לשנות באופן ממשי מן העונש אשר ייגזר על הנאשם.</w:t>
      </w:r>
    </w:p>
    <w:p w14:paraId="59C220AB" w14:textId="77777777" w:rsidR="005A7F91" w:rsidRDefault="005A7F91" w:rsidP="005A7F91">
      <w:pPr>
        <w:spacing w:line="360" w:lineRule="auto"/>
        <w:ind w:left="720" w:hanging="720"/>
        <w:jc w:val="both"/>
        <w:rPr>
          <w:rFonts w:ascii="David" w:hAnsi="David"/>
          <w:rtl/>
        </w:rPr>
      </w:pPr>
    </w:p>
    <w:p w14:paraId="076C1398" w14:textId="77777777" w:rsidR="005A7F91" w:rsidRDefault="005A7F91" w:rsidP="005A7F91">
      <w:pPr>
        <w:spacing w:line="360" w:lineRule="auto"/>
        <w:ind w:left="720" w:hanging="720"/>
        <w:jc w:val="both"/>
        <w:rPr>
          <w:rFonts w:ascii="David" w:hAnsi="David"/>
          <w:rtl/>
        </w:rPr>
      </w:pPr>
      <w:r>
        <w:rPr>
          <w:rFonts w:ascii="David" w:hAnsi="David" w:hint="cs"/>
          <w:rtl/>
        </w:rPr>
        <w:t>22.</w:t>
      </w:r>
      <w:r>
        <w:rPr>
          <w:rFonts w:ascii="David" w:hAnsi="David"/>
          <w:rtl/>
        </w:rPr>
        <w:tab/>
      </w:r>
      <w:r>
        <w:rPr>
          <w:rFonts w:ascii="David" w:hAnsi="David" w:hint="cs"/>
          <w:rtl/>
        </w:rPr>
        <w:t>צבר זה של שיקולים, הפועל בעיקרו של דבר לקולא, יש בו להטות את הכף אל עבר הרף התחתון של המתחם, והעמדת עונשו של הנאשם סמוך מאוד לרף זה. באמצעות ענישה של מאסר מאחורי סורג ובריח למשך תקופה אשר אינה קצרה, בצירוף מאסר מותנה הצופה פני עתיד וקנס, סבורני כי יוגשם עיקרון ההלימה, ובד בבד תושג הרתעת הרבים לצד הרתעתו של הנאשם. כולי תקווה כי עם שחרורו מבית האסורים יבחר הנאשם לילך בדרך הישר, ולא ישוב הוא עוד לסורו.</w:t>
      </w:r>
    </w:p>
    <w:p w14:paraId="58386F08" w14:textId="77777777" w:rsidR="005A7F91" w:rsidRDefault="005A7F91" w:rsidP="005A7F91">
      <w:pPr>
        <w:spacing w:line="360" w:lineRule="auto"/>
        <w:ind w:left="720" w:hanging="720"/>
        <w:jc w:val="both"/>
        <w:rPr>
          <w:rFonts w:ascii="David" w:hAnsi="David"/>
          <w:rtl/>
        </w:rPr>
      </w:pPr>
    </w:p>
    <w:p w14:paraId="08086452" w14:textId="77777777" w:rsidR="005A7F91" w:rsidRPr="0080439A" w:rsidRDefault="005A7F91" w:rsidP="005A7F91">
      <w:pPr>
        <w:spacing w:line="360" w:lineRule="auto"/>
        <w:ind w:left="720" w:hanging="720"/>
        <w:jc w:val="both"/>
        <w:rPr>
          <w:rFonts w:ascii="David" w:hAnsi="David"/>
          <w:b/>
          <w:bCs/>
          <w:u w:val="single"/>
          <w:rtl/>
        </w:rPr>
      </w:pPr>
      <w:r>
        <w:rPr>
          <w:rFonts w:ascii="David" w:hAnsi="David" w:hint="cs"/>
          <w:b/>
          <w:bCs/>
          <w:u w:val="single"/>
          <w:rtl/>
        </w:rPr>
        <w:t>סוף דבר</w:t>
      </w:r>
    </w:p>
    <w:p w14:paraId="44FD4C2B" w14:textId="77777777" w:rsidR="005A7F91" w:rsidRDefault="005A7F91" w:rsidP="005A7F91">
      <w:pPr>
        <w:spacing w:line="360" w:lineRule="auto"/>
        <w:ind w:left="720" w:hanging="720"/>
        <w:jc w:val="both"/>
        <w:rPr>
          <w:rFonts w:ascii="David" w:hAnsi="David"/>
          <w:rtl/>
        </w:rPr>
      </w:pPr>
    </w:p>
    <w:p w14:paraId="445FF82B" w14:textId="77777777" w:rsidR="005A7F91" w:rsidRDefault="005A7F91" w:rsidP="005A7F91">
      <w:pPr>
        <w:spacing w:line="360" w:lineRule="auto"/>
        <w:jc w:val="both"/>
        <w:rPr>
          <w:rFonts w:ascii="David" w:hAnsi="David"/>
        </w:rPr>
      </w:pPr>
      <w:r>
        <w:rPr>
          <w:rFonts w:ascii="David" w:hAnsi="David" w:hint="cs"/>
          <w:rtl/>
        </w:rPr>
        <w:t>23.</w:t>
      </w:r>
      <w:r>
        <w:rPr>
          <w:rFonts w:ascii="David" w:hAnsi="David" w:hint="cs"/>
          <w:rtl/>
        </w:rPr>
        <w:tab/>
      </w:r>
      <w:r>
        <w:rPr>
          <w:rFonts w:ascii="David" w:hAnsi="David"/>
          <w:rtl/>
        </w:rPr>
        <w:t>על כן, אני גוזר על הנאשם את העונשים הבאים:</w:t>
      </w:r>
    </w:p>
    <w:p w14:paraId="30C06EB3" w14:textId="77777777" w:rsidR="005A7F91" w:rsidRDefault="005A7F91" w:rsidP="005A7F91">
      <w:pPr>
        <w:spacing w:line="360" w:lineRule="auto"/>
        <w:ind w:left="720" w:hanging="720"/>
        <w:jc w:val="both"/>
        <w:rPr>
          <w:rFonts w:ascii="David" w:hAnsi="David"/>
          <w:rtl/>
        </w:rPr>
      </w:pPr>
    </w:p>
    <w:p w14:paraId="6163A423" w14:textId="77777777" w:rsidR="005A7F91" w:rsidRDefault="005A7F91" w:rsidP="005A7F91">
      <w:pPr>
        <w:numPr>
          <w:ilvl w:val="0"/>
          <w:numId w:val="1"/>
        </w:numPr>
        <w:spacing w:after="160" w:line="360" w:lineRule="auto"/>
        <w:contextualSpacing/>
        <w:jc w:val="both"/>
        <w:rPr>
          <w:rFonts w:ascii="David" w:hAnsi="David"/>
          <w:b/>
          <w:bCs/>
        </w:rPr>
      </w:pPr>
      <w:r>
        <w:rPr>
          <w:rFonts w:ascii="David" w:hAnsi="David" w:hint="cs"/>
          <w:b/>
          <w:bCs/>
          <w:rtl/>
        </w:rPr>
        <w:t>שלושה</w:t>
      </w:r>
      <w:r>
        <w:rPr>
          <w:rFonts w:ascii="David" w:hAnsi="David"/>
          <w:b/>
          <w:bCs/>
          <w:rtl/>
        </w:rPr>
        <w:t xml:space="preserve"> עשר (</w:t>
      </w:r>
      <w:r>
        <w:rPr>
          <w:rFonts w:ascii="David" w:hAnsi="David" w:hint="cs"/>
          <w:b/>
          <w:bCs/>
          <w:rtl/>
        </w:rPr>
        <w:t>13</w:t>
      </w:r>
      <w:r>
        <w:rPr>
          <w:rFonts w:ascii="David" w:hAnsi="David"/>
          <w:b/>
          <w:bCs/>
          <w:rtl/>
        </w:rPr>
        <w:t xml:space="preserve">) חודשי מאסר בפועל, </w:t>
      </w:r>
      <w:r>
        <w:rPr>
          <w:rFonts w:ascii="David" w:hAnsi="David" w:hint="cs"/>
          <w:b/>
          <w:bCs/>
          <w:rtl/>
        </w:rPr>
        <w:t>בניכוי ימי מעצרו מיום 20.11.2020 ועד ליום 23.11.2020.</w:t>
      </w:r>
      <w:r>
        <w:rPr>
          <w:rFonts w:ascii="David" w:hAnsi="David"/>
          <w:b/>
          <w:bCs/>
        </w:rPr>
        <w:t xml:space="preserve"> </w:t>
      </w:r>
    </w:p>
    <w:p w14:paraId="469CCE1F" w14:textId="77777777" w:rsidR="005A7F91" w:rsidRDefault="005A7F91" w:rsidP="005A7F91">
      <w:pPr>
        <w:spacing w:after="160" w:line="360" w:lineRule="auto"/>
        <w:ind w:left="1080"/>
        <w:contextualSpacing/>
        <w:jc w:val="both"/>
        <w:rPr>
          <w:rFonts w:ascii="David" w:hAnsi="David"/>
          <w:b/>
          <w:bCs/>
          <w:rtl/>
        </w:rPr>
      </w:pPr>
    </w:p>
    <w:p w14:paraId="089C5B53" w14:textId="77777777" w:rsidR="005A7F91" w:rsidRPr="001B72A2" w:rsidRDefault="005A7F91" w:rsidP="005A7F91">
      <w:pPr>
        <w:spacing w:after="160" w:line="360" w:lineRule="auto"/>
        <w:ind w:left="1080"/>
        <w:contextualSpacing/>
        <w:jc w:val="both"/>
        <w:rPr>
          <w:rFonts w:ascii="David" w:hAnsi="David"/>
          <w:b/>
          <w:bCs/>
        </w:rPr>
      </w:pPr>
      <w:r w:rsidRPr="001B72A2">
        <w:rPr>
          <w:rFonts w:ascii="David" w:hAnsi="David"/>
          <w:b/>
          <w:bCs/>
          <w:rtl/>
        </w:rPr>
        <w:t xml:space="preserve">הנאשם יתייצב לריצוי מאסרו בבית מעצר </w:t>
      </w:r>
      <w:r w:rsidRPr="00536F28">
        <w:rPr>
          <w:rFonts w:ascii="David" w:hAnsi="David"/>
          <w:b/>
          <w:bCs/>
          <w:rtl/>
        </w:rPr>
        <w:t xml:space="preserve">קישון ביום </w:t>
      </w:r>
      <w:r>
        <w:rPr>
          <w:rFonts w:ascii="David" w:hAnsi="David" w:hint="cs"/>
          <w:b/>
          <w:bCs/>
          <w:rtl/>
        </w:rPr>
        <w:t>19</w:t>
      </w:r>
      <w:r w:rsidRPr="00536F28">
        <w:rPr>
          <w:rFonts w:ascii="David" w:hAnsi="David"/>
          <w:b/>
          <w:bCs/>
          <w:rtl/>
        </w:rPr>
        <w:t>.</w:t>
      </w:r>
      <w:r w:rsidRPr="00536F28">
        <w:rPr>
          <w:rFonts w:ascii="David" w:hAnsi="David" w:hint="cs"/>
          <w:b/>
          <w:bCs/>
          <w:rtl/>
        </w:rPr>
        <w:t>4</w:t>
      </w:r>
      <w:r w:rsidRPr="00536F28">
        <w:rPr>
          <w:rFonts w:ascii="David" w:hAnsi="David"/>
          <w:b/>
          <w:bCs/>
          <w:rtl/>
        </w:rPr>
        <w:t>.202</w:t>
      </w:r>
      <w:r w:rsidRPr="00536F28">
        <w:rPr>
          <w:rFonts w:ascii="David" w:hAnsi="David" w:hint="cs"/>
          <w:b/>
          <w:bCs/>
          <w:rtl/>
        </w:rPr>
        <w:t>3</w:t>
      </w:r>
      <w:r w:rsidRPr="00536F28">
        <w:rPr>
          <w:rFonts w:ascii="David" w:hAnsi="David"/>
          <w:b/>
          <w:bCs/>
          <w:rtl/>
        </w:rPr>
        <w:t>, עד השעה 10:00, או על פי החלטת שירות בתי הסוהר, כשברשותו תעודת זהות או דרכון. על הנאשם לתאם את הכניסה למאסר, כולל האפשרות למיון מוקדם עם ענף אבחון ומיון של שירות בתי הסוהר, טלפונים 074-7831077, 074-7831078</w:t>
      </w:r>
      <w:r>
        <w:rPr>
          <w:rFonts w:ascii="David" w:hAnsi="David" w:hint="cs"/>
          <w:b/>
          <w:bCs/>
          <w:rtl/>
        </w:rPr>
        <w:t xml:space="preserve">, </w:t>
      </w:r>
      <w:r w:rsidRPr="001B72A2">
        <w:rPr>
          <w:rFonts w:ascii="David" w:hAnsi="David"/>
          <w:b/>
          <w:bCs/>
          <w:rtl/>
        </w:rPr>
        <w:t>וכן להתעדכן באתר האינטרנט של שב"ס ברשימת הציוד הראשוני שניתן להביא עמו בעת ההתייצבות.</w:t>
      </w:r>
    </w:p>
    <w:p w14:paraId="71682D61" w14:textId="77777777" w:rsidR="005A7F91" w:rsidRPr="001B72A2" w:rsidRDefault="005A7F91" w:rsidP="005A7F91">
      <w:pPr>
        <w:spacing w:after="160" w:line="360" w:lineRule="auto"/>
        <w:contextualSpacing/>
        <w:jc w:val="both"/>
        <w:rPr>
          <w:rFonts w:ascii="David" w:hAnsi="David"/>
          <w:b/>
          <w:bCs/>
          <w:rtl/>
        </w:rPr>
      </w:pPr>
    </w:p>
    <w:p w14:paraId="44A1E537" w14:textId="77777777" w:rsidR="005A7F91" w:rsidRDefault="005A7F91" w:rsidP="005A7F91">
      <w:pPr>
        <w:numPr>
          <w:ilvl w:val="0"/>
          <w:numId w:val="1"/>
        </w:numPr>
        <w:spacing w:after="160" w:line="360" w:lineRule="auto"/>
        <w:contextualSpacing/>
        <w:jc w:val="both"/>
        <w:rPr>
          <w:rFonts w:ascii="David" w:hAnsi="David"/>
          <w:b/>
          <w:bCs/>
          <w:rtl/>
        </w:rPr>
      </w:pPr>
      <w:r>
        <w:rPr>
          <w:rFonts w:ascii="David" w:hAnsi="David" w:hint="cs"/>
          <w:b/>
          <w:bCs/>
          <w:rtl/>
        </w:rPr>
        <w:t>אחד</w:t>
      </w:r>
      <w:r>
        <w:rPr>
          <w:rFonts w:ascii="David" w:hAnsi="David"/>
          <w:b/>
          <w:bCs/>
          <w:rtl/>
        </w:rPr>
        <w:t xml:space="preserve"> עשר (</w:t>
      </w:r>
      <w:r>
        <w:rPr>
          <w:rFonts w:ascii="David" w:hAnsi="David" w:hint="cs"/>
          <w:b/>
          <w:bCs/>
          <w:rtl/>
        </w:rPr>
        <w:t>11</w:t>
      </w:r>
      <w:r>
        <w:rPr>
          <w:rFonts w:ascii="David" w:hAnsi="David"/>
          <w:b/>
          <w:bCs/>
          <w:rtl/>
        </w:rPr>
        <w:t>) חודשי מאסר על תנאי למשך שלוש שנים, שלא יעבור כל עבירת נשק מסוג פשע.</w:t>
      </w:r>
    </w:p>
    <w:p w14:paraId="11E335F1" w14:textId="77777777" w:rsidR="005A7F91" w:rsidRDefault="005A7F91" w:rsidP="005A7F91">
      <w:pPr>
        <w:spacing w:line="360" w:lineRule="auto"/>
        <w:ind w:left="1080"/>
        <w:contextualSpacing/>
        <w:jc w:val="both"/>
        <w:rPr>
          <w:rFonts w:ascii="David" w:hAnsi="David"/>
          <w:b/>
          <w:bCs/>
          <w:rtl/>
        </w:rPr>
      </w:pPr>
    </w:p>
    <w:p w14:paraId="5499128D" w14:textId="77777777" w:rsidR="005A7F91" w:rsidRDefault="005A7F91" w:rsidP="005A7F91">
      <w:pPr>
        <w:numPr>
          <w:ilvl w:val="0"/>
          <w:numId w:val="1"/>
        </w:numPr>
        <w:spacing w:after="160" w:line="360" w:lineRule="auto"/>
        <w:contextualSpacing/>
        <w:jc w:val="both"/>
        <w:rPr>
          <w:rFonts w:ascii="David" w:hAnsi="David"/>
          <w:b/>
          <w:bCs/>
        </w:rPr>
      </w:pPr>
      <w:r>
        <w:rPr>
          <w:rFonts w:ascii="David" w:hAnsi="David"/>
          <w:b/>
          <w:bCs/>
          <w:rtl/>
        </w:rPr>
        <w:t>שישה (6) חודשי מאסר על תנאי למשך שלוש שנים, שלא יעבור כל עבירת נשק מסוג עוון.</w:t>
      </w:r>
    </w:p>
    <w:p w14:paraId="0F698750" w14:textId="77777777" w:rsidR="005A7F91" w:rsidRPr="00D84322" w:rsidRDefault="005A7F91" w:rsidP="005A7F91">
      <w:pPr>
        <w:spacing w:after="160" w:line="360" w:lineRule="auto"/>
        <w:ind w:left="1080"/>
        <w:contextualSpacing/>
        <w:jc w:val="both"/>
        <w:rPr>
          <w:rFonts w:ascii="David" w:hAnsi="David"/>
          <w:b/>
          <w:bCs/>
        </w:rPr>
      </w:pPr>
    </w:p>
    <w:p w14:paraId="5E78C49A" w14:textId="77777777" w:rsidR="005A7F91" w:rsidRDefault="005A7F91" w:rsidP="005A7F91">
      <w:pPr>
        <w:numPr>
          <w:ilvl w:val="0"/>
          <w:numId w:val="1"/>
        </w:numPr>
        <w:spacing w:after="160" w:line="360" w:lineRule="auto"/>
        <w:contextualSpacing/>
        <w:jc w:val="both"/>
        <w:rPr>
          <w:rFonts w:ascii="David" w:hAnsi="David"/>
          <w:b/>
          <w:bCs/>
        </w:rPr>
      </w:pPr>
      <w:r>
        <w:rPr>
          <w:rFonts w:ascii="David" w:hAnsi="David"/>
          <w:b/>
          <w:bCs/>
          <w:rtl/>
        </w:rPr>
        <w:t>קנס בסך של 2,500 ₪ אשר ישולם תוך 120 ימים מהיום.</w:t>
      </w:r>
    </w:p>
    <w:p w14:paraId="5A1B3F28" w14:textId="77777777" w:rsidR="005A7F91" w:rsidRDefault="005A7F91" w:rsidP="005A7F91">
      <w:pPr>
        <w:spacing w:line="360" w:lineRule="auto"/>
        <w:ind w:left="1080"/>
        <w:jc w:val="both"/>
        <w:rPr>
          <w:rFonts w:ascii="David" w:hAnsi="David"/>
        </w:rPr>
      </w:pPr>
    </w:p>
    <w:p w14:paraId="6252BAFE" w14:textId="77777777" w:rsidR="005A7F91" w:rsidRDefault="005A7F91" w:rsidP="005A7F91">
      <w:pPr>
        <w:spacing w:line="360" w:lineRule="auto"/>
        <w:ind w:left="1080"/>
        <w:jc w:val="both"/>
        <w:rPr>
          <w:rFonts w:ascii="David" w:hAnsi="David"/>
          <w:sz w:val="22"/>
          <w:szCs w:val="22"/>
        </w:rPr>
      </w:pPr>
      <w:r>
        <w:rPr>
          <w:rFonts w:ascii="David" w:hAnsi="David"/>
          <w:rtl/>
        </w:rPr>
        <w:t>אשר לאופן תשלום הקנס שנפסק לחובת הנאשם, החוב מועבר למרכז לגביית קנסות, אגרות והוצאות ברשות האכיפה והגבייה, בהתאם למועד שנקבע לעיל. ניתן יהיה לשלם את הקנס כעבור שלושה ימים מיום מתן</w:t>
      </w:r>
      <w:r w:rsidR="00C45A91">
        <w:rPr>
          <w:rFonts w:ascii="David" w:hAnsi="David"/>
          <w:rtl/>
        </w:rPr>
        <w:t xml:space="preserve"> </w:t>
      </w:r>
      <w:r>
        <w:rPr>
          <w:rFonts w:ascii="David" w:hAnsi="David"/>
          <w:rtl/>
        </w:rPr>
        <w:t>גזר הדין לחשבון המרכז לגביית קנסות, אגרות והוצאות ברשות האכיפה והגבייה באחת מהדרכים הבאות:</w:t>
      </w:r>
    </w:p>
    <w:p w14:paraId="1ADC9DD5" w14:textId="77777777" w:rsidR="005A7F91" w:rsidRDefault="005A7F91" w:rsidP="005A7F91">
      <w:pPr>
        <w:numPr>
          <w:ilvl w:val="0"/>
          <w:numId w:val="2"/>
        </w:numPr>
        <w:spacing w:line="360" w:lineRule="auto"/>
        <w:jc w:val="both"/>
        <w:rPr>
          <w:rFonts w:ascii="David" w:hAnsi="David"/>
          <w:b/>
          <w:bCs/>
          <w:sz w:val="22"/>
          <w:szCs w:val="22"/>
          <w:rtl/>
        </w:rPr>
      </w:pPr>
      <w:r>
        <w:rPr>
          <w:rFonts w:ascii="David" w:hAnsi="David"/>
          <w:b/>
          <w:bCs/>
          <w:rtl/>
        </w:rPr>
        <w:t>בכרטיס אשראי</w:t>
      </w:r>
      <w:r>
        <w:rPr>
          <w:rFonts w:ascii="David" w:hAnsi="David"/>
          <w:rtl/>
        </w:rPr>
        <w:t xml:space="preserve"> - באתר המקוון של רשות האכיפה והגבייה, </w:t>
      </w:r>
      <w:hyperlink r:id="rId31" w:history="1">
        <w:r>
          <w:rPr>
            <w:rStyle w:val="Hyperlink"/>
            <w:rFonts w:ascii="David" w:hAnsi="David"/>
          </w:rPr>
          <w:t>www.eca.gov.il</w:t>
        </w:r>
      </w:hyperlink>
      <w:r>
        <w:rPr>
          <w:rFonts w:ascii="David" w:hAnsi="David"/>
        </w:rPr>
        <w:t xml:space="preserve"> </w:t>
      </w:r>
      <w:r>
        <w:rPr>
          <w:rFonts w:ascii="David" w:hAnsi="David"/>
          <w:rtl/>
        </w:rPr>
        <w:t>.</w:t>
      </w:r>
    </w:p>
    <w:p w14:paraId="1C9FBC03" w14:textId="77777777" w:rsidR="005A7F91" w:rsidRDefault="005A7F91" w:rsidP="005A7F91">
      <w:pPr>
        <w:numPr>
          <w:ilvl w:val="0"/>
          <w:numId w:val="2"/>
        </w:numPr>
        <w:spacing w:line="360" w:lineRule="auto"/>
        <w:jc w:val="both"/>
        <w:rPr>
          <w:rFonts w:ascii="David" w:hAnsi="David"/>
          <w:b/>
          <w:bCs/>
        </w:rPr>
      </w:pPr>
      <w:r>
        <w:rPr>
          <w:rFonts w:ascii="David" w:hAnsi="David"/>
          <w:b/>
          <w:bCs/>
          <w:rtl/>
        </w:rPr>
        <w:t>מוקד שירות טלפוני בשרות עצמי (מרכז גבייה)</w:t>
      </w:r>
      <w:r w:rsidR="00C45A91">
        <w:rPr>
          <w:rFonts w:ascii="David" w:hAnsi="David"/>
          <w:b/>
          <w:bCs/>
          <w:rtl/>
        </w:rPr>
        <w:t xml:space="preserve"> </w:t>
      </w:r>
      <w:r>
        <w:rPr>
          <w:rFonts w:ascii="David" w:hAnsi="David"/>
          <w:b/>
          <w:bCs/>
          <w:rtl/>
        </w:rPr>
        <w:t xml:space="preserve"> - בטלפון 35592* או בטלפון 073-2055000</w:t>
      </w:r>
      <w:r>
        <w:rPr>
          <w:rFonts w:ascii="David" w:hAnsi="David"/>
          <w:rtl/>
        </w:rPr>
        <w:t>.</w:t>
      </w:r>
    </w:p>
    <w:p w14:paraId="36FC8B71" w14:textId="77777777" w:rsidR="005A7F91" w:rsidRDefault="005A7F91" w:rsidP="005A7F91">
      <w:pPr>
        <w:numPr>
          <w:ilvl w:val="0"/>
          <w:numId w:val="2"/>
        </w:numPr>
        <w:spacing w:line="480" w:lineRule="auto"/>
        <w:jc w:val="both"/>
        <w:rPr>
          <w:rFonts w:ascii="David" w:hAnsi="David"/>
          <w:b/>
          <w:bCs/>
          <w:rtl/>
        </w:rPr>
      </w:pPr>
      <w:r>
        <w:rPr>
          <w:rFonts w:ascii="David" w:hAnsi="David"/>
          <w:b/>
          <w:bCs/>
          <w:rtl/>
        </w:rPr>
        <w:t>במזומן בכל סניף של בנק הדואר</w:t>
      </w:r>
      <w:r>
        <w:rPr>
          <w:rFonts w:ascii="David" w:hAnsi="David"/>
          <w:rtl/>
        </w:rPr>
        <w:t xml:space="preserve"> - בהצגת תעודת זהות בלבד (אין צורך בשוברי תשלום).</w:t>
      </w:r>
    </w:p>
    <w:p w14:paraId="117E4B6A" w14:textId="77777777" w:rsidR="005A7F91" w:rsidRPr="00C45A91" w:rsidRDefault="00C45A91" w:rsidP="005A7F91">
      <w:pPr>
        <w:spacing w:line="360" w:lineRule="auto"/>
        <w:ind w:left="720" w:hanging="720"/>
        <w:jc w:val="both"/>
        <w:rPr>
          <w:rFonts w:ascii="David" w:hAnsi="David"/>
          <w:b/>
          <w:bCs/>
          <w:color w:val="FFFFFF"/>
          <w:sz w:val="2"/>
          <w:szCs w:val="2"/>
          <w:u w:val="single"/>
          <w:rtl/>
        </w:rPr>
      </w:pPr>
      <w:r w:rsidRPr="00C45A91">
        <w:rPr>
          <w:rFonts w:ascii="David" w:hAnsi="David"/>
          <w:b/>
          <w:bCs/>
          <w:color w:val="FFFFFF"/>
          <w:sz w:val="2"/>
          <w:szCs w:val="2"/>
          <w:u w:val="single"/>
          <w:rtl/>
        </w:rPr>
        <w:t>5129371</w:t>
      </w:r>
    </w:p>
    <w:p w14:paraId="351FE16C" w14:textId="77777777" w:rsidR="005A7F91" w:rsidRPr="008F22A3" w:rsidRDefault="00C45A91" w:rsidP="005A7F91">
      <w:pPr>
        <w:spacing w:line="360" w:lineRule="auto"/>
        <w:ind w:left="720" w:hanging="720"/>
        <w:jc w:val="both"/>
        <w:rPr>
          <w:rFonts w:ascii="David" w:hAnsi="David"/>
          <w:rtl/>
        </w:rPr>
      </w:pPr>
      <w:r w:rsidRPr="00C45A91">
        <w:rPr>
          <w:rFonts w:ascii="David" w:hAnsi="David"/>
          <w:b/>
          <w:bCs/>
          <w:color w:val="FFFFFF"/>
          <w:sz w:val="2"/>
          <w:szCs w:val="2"/>
          <w:u w:val="single"/>
          <w:rtl/>
        </w:rPr>
        <w:t>54678313</w:t>
      </w:r>
      <w:r w:rsidR="005A7F91">
        <w:rPr>
          <w:rFonts w:ascii="David" w:hAnsi="David"/>
          <w:b/>
          <w:bCs/>
          <w:u w:val="single"/>
          <w:rtl/>
        </w:rPr>
        <w:t>זכות ערעור תוך 45 ימים לבית המשפט העליו</w:t>
      </w:r>
      <w:r w:rsidR="005A7F91">
        <w:rPr>
          <w:rFonts w:ascii="David" w:hAnsi="David" w:hint="cs"/>
          <w:b/>
          <w:bCs/>
          <w:u w:val="single"/>
          <w:rtl/>
        </w:rPr>
        <w:t>ן</w:t>
      </w:r>
      <w:r w:rsidR="005A7F91">
        <w:rPr>
          <w:rFonts w:ascii="David" w:hAnsi="David" w:hint="cs"/>
          <w:rtl/>
        </w:rPr>
        <w:t>.</w:t>
      </w:r>
    </w:p>
    <w:p w14:paraId="2317C3C1" w14:textId="77777777" w:rsidR="005A7F91" w:rsidRDefault="005A7F91" w:rsidP="005A7F91">
      <w:pPr>
        <w:spacing w:line="360" w:lineRule="auto"/>
        <w:jc w:val="both"/>
        <w:rPr>
          <w:rFonts w:ascii="Arial" w:hAnsi="Arial"/>
          <w:b/>
          <w:bCs/>
          <w:sz w:val="26"/>
          <w:szCs w:val="26"/>
          <w:rtl/>
        </w:rPr>
      </w:pPr>
    </w:p>
    <w:p w14:paraId="61BD7C95" w14:textId="77777777" w:rsidR="005A7F91" w:rsidRPr="000F2247" w:rsidRDefault="00C45A91" w:rsidP="005A7F91">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ו' ניסן תשפ"ג, 28 מרץ 2023, בנוכחות הצדדים. </w:t>
      </w:r>
      <w:bookmarkEnd w:id="8"/>
      <w:r w:rsidR="005A7F91">
        <w:rPr>
          <w:rFonts w:ascii="Arial" w:hAnsi="Arial"/>
          <w:b/>
          <w:bCs/>
          <w:sz w:val="26"/>
          <w:szCs w:val="26"/>
          <w:rtl/>
        </w:rPr>
        <w:tab/>
      </w:r>
      <w:r w:rsidR="005A7F91">
        <w:rPr>
          <w:rFonts w:ascii="Arial" w:hAnsi="Arial"/>
          <w:b/>
          <w:bCs/>
          <w:sz w:val="26"/>
          <w:szCs w:val="26"/>
          <w:rtl/>
        </w:rPr>
        <w:tab/>
      </w:r>
      <w:r w:rsidR="005A7F91">
        <w:rPr>
          <w:rFonts w:ascii="Arial" w:hAnsi="Arial"/>
          <w:b/>
          <w:bCs/>
          <w:sz w:val="26"/>
          <w:szCs w:val="26"/>
          <w:rtl/>
        </w:rPr>
        <w:tab/>
      </w:r>
      <w:r w:rsidR="005A7F91">
        <w:rPr>
          <w:rFonts w:ascii="Arial" w:hAnsi="Arial"/>
          <w:b/>
          <w:bCs/>
          <w:sz w:val="26"/>
          <w:szCs w:val="26"/>
          <w:rtl/>
        </w:rPr>
        <w:tab/>
      </w:r>
      <w:r w:rsidR="005A7F91">
        <w:rPr>
          <w:rFonts w:ascii="Arial" w:hAnsi="Arial"/>
          <w:b/>
          <w:bCs/>
          <w:sz w:val="26"/>
          <w:szCs w:val="26"/>
          <w:rtl/>
        </w:rPr>
        <w:tab/>
      </w:r>
      <w:r w:rsidR="005A7F91">
        <w:rPr>
          <w:rFonts w:ascii="Arial" w:hAnsi="Arial"/>
          <w:b/>
          <w:bCs/>
          <w:sz w:val="26"/>
          <w:szCs w:val="26"/>
          <w:rtl/>
        </w:rPr>
        <w:tab/>
      </w:r>
      <w:r w:rsidR="005A7F91">
        <w:rPr>
          <w:rFonts w:ascii="Arial" w:hAnsi="Arial"/>
          <w:b/>
          <w:bCs/>
          <w:sz w:val="26"/>
          <w:szCs w:val="26"/>
          <w:rtl/>
        </w:rPr>
        <w:tab/>
      </w:r>
      <w:r w:rsidR="005A7F91">
        <w:rPr>
          <w:rFonts w:ascii="Arial" w:hAnsi="Arial" w:hint="cs"/>
          <w:b/>
          <w:bCs/>
          <w:sz w:val="26"/>
          <w:szCs w:val="26"/>
          <w:rtl/>
        </w:rPr>
        <w:t xml:space="preserve">         </w:t>
      </w:r>
    </w:p>
    <w:p w14:paraId="3D61462F" w14:textId="77777777" w:rsidR="00C45A91" w:rsidRDefault="00C45A91" w:rsidP="00C45A91">
      <w:pPr>
        <w:rPr>
          <w:rtl/>
        </w:rPr>
      </w:pPr>
    </w:p>
    <w:p w14:paraId="57CE3BAF" w14:textId="77777777" w:rsidR="00C45A91" w:rsidRDefault="00C45A91" w:rsidP="00C45A91">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1DD494C6" w14:textId="77777777" w:rsidR="000A2A19" w:rsidRPr="000A2A19" w:rsidRDefault="000A2A19" w:rsidP="000A2A19">
      <w:pPr>
        <w:keepNext/>
        <w:rPr>
          <w:rFonts w:ascii="David" w:hAnsi="David"/>
          <w:color w:val="000000"/>
          <w:sz w:val="22"/>
          <w:szCs w:val="22"/>
          <w:rtl/>
        </w:rPr>
      </w:pPr>
    </w:p>
    <w:p w14:paraId="7F5C2E7E" w14:textId="77777777" w:rsidR="000A2A19" w:rsidRPr="000A2A19" w:rsidRDefault="000A2A19" w:rsidP="000A2A19">
      <w:pPr>
        <w:keepNext/>
        <w:rPr>
          <w:rFonts w:ascii="David" w:hAnsi="David"/>
          <w:color w:val="000000"/>
          <w:sz w:val="22"/>
          <w:szCs w:val="22"/>
          <w:rtl/>
        </w:rPr>
      </w:pPr>
      <w:r w:rsidRPr="000A2A19">
        <w:rPr>
          <w:rFonts w:ascii="David" w:hAnsi="David"/>
          <w:color w:val="000000"/>
          <w:sz w:val="22"/>
          <w:szCs w:val="22"/>
          <w:rtl/>
        </w:rPr>
        <w:t>אינאס סלאמה 54678313-/</w:t>
      </w:r>
    </w:p>
    <w:p w14:paraId="0E708B51" w14:textId="77777777" w:rsidR="00C45A91" w:rsidRPr="00C45A91" w:rsidRDefault="000A2A19" w:rsidP="000A2A19">
      <w:pPr>
        <w:rPr>
          <w:color w:val="0000FF"/>
          <w:u w:val="single"/>
        </w:rPr>
      </w:pPr>
      <w:r w:rsidRPr="000A2A19">
        <w:rPr>
          <w:color w:val="000000"/>
          <w:u w:val="single"/>
          <w:rtl/>
        </w:rPr>
        <w:t>נוסח מסמך זה כפוף לשינויי ניסוח ועריכה</w:t>
      </w:r>
    </w:p>
    <w:sectPr w:rsidR="00C45A91" w:rsidRPr="00C45A91" w:rsidSect="000A2A19">
      <w:headerReference w:type="even" r:id="rId33"/>
      <w:headerReference w:type="default" r:id="rId34"/>
      <w:footerReference w:type="even" r:id="rId35"/>
      <w:footerReference w:type="default" r:id="rId36"/>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48AB5F" w14:textId="77777777" w:rsidR="00621A4E" w:rsidRDefault="00621A4E" w:rsidP="00FB562C">
      <w:r>
        <w:separator/>
      </w:r>
    </w:p>
  </w:endnote>
  <w:endnote w:type="continuationSeparator" w:id="0">
    <w:p w14:paraId="1FD0AE68" w14:textId="77777777" w:rsidR="00621A4E" w:rsidRDefault="00621A4E" w:rsidP="00FB5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8363E" w14:textId="77777777" w:rsidR="000A2A19" w:rsidRDefault="000A2A19" w:rsidP="000A2A1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425D28C" w14:textId="77777777" w:rsidR="0046429E" w:rsidRPr="000A2A19" w:rsidRDefault="000A2A19" w:rsidP="000A2A19">
    <w:pPr>
      <w:pStyle w:val="a5"/>
      <w:pBdr>
        <w:top w:val="single" w:sz="4" w:space="1" w:color="auto"/>
        <w:between w:val="single" w:sz="4" w:space="0" w:color="auto"/>
      </w:pBdr>
      <w:spacing w:after="60"/>
      <w:jc w:val="center"/>
      <w:rPr>
        <w:rFonts w:ascii="FrankRuehl" w:hAnsi="FrankRuehl" w:cs="FrankRuehl"/>
        <w:color w:val="000000"/>
      </w:rPr>
    </w:pPr>
    <w:r w:rsidRPr="000A2A1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52947" w14:textId="77777777" w:rsidR="000A2A19" w:rsidRDefault="000A2A19" w:rsidP="000A2A1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34616">
      <w:rPr>
        <w:rFonts w:ascii="FrankRuehl" w:hAnsi="FrankRuehl" w:cs="FrankRuehl"/>
        <w:noProof/>
        <w:rtl/>
      </w:rPr>
      <w:t>1</w:t>
    </w:r>
    <w:r>
      <w:rPr>
        <w:rFonts w:ascii="FrankRuehl" w:hAnsi="FrankRuehl" w:cs="FrankRuehl"/>
        <w:rtl/>
      </w:rPr>
      <w:fldChar w:fldCharType="end"/>
    </w:r>
  </w:p>
  <w:p w14:paraId="21CD5B37" w14:textId="77777777" w:rsidR="0046429E" w:rsidRPr="000A2A19" w:rsidRDefault="000A2A19" w:rsidP="000A2A19">
    <w:pPr>
      <w:pStyle w:val="a5"/>
      <w:pBdr>
        <w:top w:val="single" w:sz="4" w:space="1" w:color="auto"/>
        <w:between w:val="single" w:sz="4" w:space="0" w:color="auto"/>
      </w:pBdr>
      <w:spacing w:after="60"/>
      <w:jc w:val="center"/>
      <w:rPr>
        <w:rFonts w:ascii="FrankRuehl" w:hAnsi="FrankRuehl" w:cs="FrankRuehl"/>
        <w:color w:val="000000"/>
      </w:rPr>
    </w:pPr>
    <w:r w:rsidRPr="000A2A19">
      <w:rPr>
        <w:rFonts w:ascii="FrankRuehl" w:hAnsi="FrankRuehl" w:cs="FrankRuehl"/>
        <w:color w:val="000000"/>
      </w:rPr>
      <w:pict w14:anchorId="1141B4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7F4A62" w14:textId="77777777" w:rsidR="00621A4E" w:rsidRDefault="00621A4E" w:rsidP="00FB562C">
      <w:r>
        <w:separator/>
      </w:r>
    </w:p>
  </w:footnote>
  <w:footnote w:type="continuationSeparator" w:id="0">
    <w:p w14:paraId="4A106AD8" w14:textId="77777777" w:rsidR="00621A4E" w:rsidRDefault="00621A4E" w:rsidP="00FB56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E65B3" w14:textId="77777777" w:rsidR="00C45A91" w:rsidRPr="000A2A19" w:rsidRDefault="000A2A19" w:rsidP="000A2A1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60429-12-21</w:t>
    </w:r>
    <w:r>
      <w:rPr>
        <w:rFonts w:ascii="David" w:hAnsi="David"/>
        <w:color w:val="000000"/>
        <w:sz w:val="22"/>
        <w:szCs w:val="22"/>
        <w:rtl/>
      </w:rPr>
      <w:tab/>
      <w:t xml:space="preserve"> מדינת ישראל נ' ראשד קבלאן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FB7C8" w14:textId="77777777" w:rsidR="00C45A91" w:rsidRPr="000A2A19" w:rsidRDefault="000A2A19" w:rsidP="000A2A1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60429-12-21</w:t>
    </w:r>
    <w:r>
      <w:rPr>
        <w:rFonts w:ascii="David" w:hAnsi="David"/>
        <w:color w:val="000000"/>
        <w:sz w:val="22"/>
        <w:szCs w:val="22"/>
        <w:rtl/>
      </w:rPr>
      <w:tab/>
      <w:t xml:space="preserve"> מדינת ישראל נ' ראשד קבלאן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440" w:hanging="360"/>
      </w:pPr>
      <w:rPr>
        <w:rFonts w:ascii="Symbol" w:hAnsi="Symbol" w:hint="default"/>
      </w:rPr>
    </w:lvl>
    <w:lvl w:ilvl="1" w:tplc="D0AE272C">
      <w:start w:val="1"/>
      <w:numFmt w:val="bullet"/>
      <w:lvlText w:val="o"/>
      <w:lvlJc w:val="left"/>
      <w:pPr>
        <w:ind w:left="2160" w:hanging="360"/>
      </w:pPr>
      <w:rPr>
        <w:rFonts w:ascii="Courier New" w:hAnsi="Courier New" w:cs="Courier New" w:hint="default"/>
      </w:rPr>
    </w:lvl>
    <w:lvl w:ilvl="2" w:tplc="4CE8AFEC">
      <w:start w:val="1"/>
      <w:numFmt w:val="bullet"/>
      <w:lvlText w:val=""/>
      <w:lvlJc w:val="left"/>
      <w:pPr>
        <w:ind w:left="2880" w:hanging="360"/>
      </w:pPr>
      <w:rPr>
        <w:rFonts w:ascii="Wingdings" w:hAnsi="Wingdings" w:hint="default"/>
      </w:rPr>
    </w:lvl>
    <w:lvl w:ilvl="3" w:tplc="66DC63D4">
      <w:start w:val="1"/>
      <w:numFmt w:val="bullet"/>
      <w:lvlText w:val=""/>
      <w:lvlJc w:val="left"/>
      <w:pPr>
        <w:ind w:left="3600" w:hanging="360"/>
      </w:pPr>
      <w:rPr>
        <w:rFonts w:ascii="Symbol" w:hAnsi="Symbol" w:hint="default"/>
      </w:rPr>
    </w:lvl>
    <w:lvl w:ilvl="4" w:tplc="39E8D01E">
      <w:start w:val="1"/>
      <w:numFmt w:val="bullet"/>
      <w:lvlText w:val="o"/>
      <w:lvlJc w:val="left"/>
      <w:pPr>
        <w:ind w:left="4320" w:hanging="360"/>
      </w:pPr>
      <w:rPr>
        <w:rFonts w:ascii="Courier New" w:hAnsi="Courier New" w:cs="Courier New" w:hint="default"/>
      </w:rPr>
    </w:lvl>
    <w:lvl w:ilvl="5" w:tplc="A17A33F8">
      <w:start w:val="1"/>
      <w:numFmt w:val="bullet"/>
      <w:lvlText w:val=""/>
      <w:lvlJc w:val="left"/>
      <w:pPr>
        <w:ind w:left="5040" w:hanging="360"/>
      </w:pPr>
      <w:rPr>
        <w:rFonts w:ascii="Wingdings" w:hAnsi="Wingdings" w:hint="default"/>
      </w:rPr>
    </w:lvl>
    <w:lvl w:ilvl="6" w:tplc="32B25C30">
      <w:start w:val="1"/>
      <w:numFmt w:val="bullet"/>
      <w:lvlText w:val=""/>
      <w:lvlJc w:val="left"/>
      <w:pPr>
        <w:ind w:left="5760" w:hanging="360"/>
      </w:pPr>
      <w:rPr>
        <w:rFonts w:ascii="Symbol" w:hAnsi="Symbol" w:hint="default"/>
      </w:rPr>
    </w:lvl>
    <w:lvl w:ilvl="7" w:tplc="117C14FE">
      <w:start w:val="1"/>
      <w:numFmt w:val="bullet"/>
      <w:lvlText w:val="o"/>
      <w:lvlJc w:val="left"/>
      <w:pPr>
        <w:ind w:left="6480" w:hanging="360"/>
      </w:pPr>
      <w:rPr>
        <w:rFonts w:ascii="Courier New" w:hAnsi="Courier New" w:cs="Courier New" w:hint="default"/>
      </w:rPr>
    </w:lvl>
    <w:lvl w:ilvl="8" w:tplc="A12A52C8">
      <w:start w:val="1"/>
      <w:numFmt w:val="bullet"/>
      <w:lvlText w:val=""/>
      <w:lvlJc w:val="left"/>
      <w:pPr>
        <w:ind w:left="7200" w:hanging="360"/>
      </w:pPr>
      <w:rPr>
        <w:rFonts w:ascii="Wingdings" w:hAnsi="Wingdings" w:hint="default"/>
      </w:rPr>
    </w:lvl>
  </w:abstractNum>
  <w:abstractNum w:abstractNumId="1" w15:restartNumberingAfterBreak="0">
    <w:nsid w:val="26F8243B"/>
    <w:multiLevelType w:val="hybridMultilevel"/>
    <w:tmpl w:val="A880C618"/>
    <w:lvl w:ilvl="0" w:tplc="C38200F8">
      <w:start w:val="42"/>
      <w:numFmt w:val="bullet"/>
      <w:lvlText w:val="-"/>
      <w:lvlJc w:val="left"/>
      <w:pPr>
        <w:ind w:left="1080" w:hanging="360"/>
      </w:pPr>
      <w:rPr>
        <w:rFonts w:ascii="David" w:eastAsia="Times New Roman" w:hAnsi="David"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823281874">
    <w:abstractNumId w:val="1"/>
  </w:num>
  <w:num w:numId="2" w16cid:durableId="1716925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A7F91"/>
    <w:rsid w:val="00034616"/>
    <w:rsid w:val="000A2A19"/>
    <w:rsid w:val="000B30CD"/>
    <w:rsid w:val="001B5A3B"/>
    <w:rsid w:val="0046429E"/>
    <w:rsid w:val="004A6ADF"/>
    <w:rsid w:val="00595E9F"/>
    <w:rsid w:val="005A7F91"/>
    <w:rsid w:val="00621A4E"/>
    <w:rsid w:val="00715B1F"/>
    <w:rsid w:val="008832D9"/>
    <w:rsid w:val="00A31AAC"/>
    <w:rsid w:val="00B60018"/>
    <w:rsid w:val="00BD715C"/>
    <w:rsid w:val="00C45A91"/>
    <w:rsid w:val="00FB56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97F5D3F"/>
  <w15:chartTrackingRefBased/>
  <w15:docId w15:val="{9963705B-C5F1-47EC-8004-5DA1CDFA1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A7F9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A7F91"/>
    <w:pPr>
      <w:tabs>
        <w:tab w:val="center" w:pos="4153"/>
        <w:tab w:val="right" w:pos="8306"/>
      </w:tabs>
    </w:pPr>
  </w:style>
  <w:style w:type="character" w:customStyle="1" w:styleId="a4">
    <w:name w:val="כותרת עליונה תו"/>
    <w:link w:val="a3"/>
    <w:rsid w:val="005A7F91"/>
    <w:rPr>
      <w:rFonts w:ascii="Times New Roman" w:eastAsia="Times New Roman" w:hAnsi="Times New Roman" w:cs="David"/>
      <w:sz w:val="24"/>
      <w:szCs w:val="24"/>
    </w:rPr>
  </w:style>
  <w:style w:type="paragraph" w:styleId="a5">
    <w:name w:val="footer"/>
    <w:basedOn w:val="a"/>
    <w:link w:val="a6"/>
    <w:rsid w:val="005A7F91"/>
    <w:pPr>
      <w:tabs>
        <w:tab w:val="center" w:pos="4153"/>
        <w:tab w:val="right" w:pos="8306"/>
      </w:tabs>
    </w:pPr>
  </w:style>
  <w:style w:type="character" w:customStyle="1" w:styleId="a6">
    <w:name w:val="כותרת תחתונה תו"/>
    <w:link w:val="a5"/>
    <w:rsid w:val="005A7F91"/>
    <w:rPr>
      <w:rFonts w:ascii="Times New Roman" w:eastAsia="Times New Roman" w:hAnsi="Times New Roman" w:cs="David"/>
      <w:sz w:val="24"/>
      <w:szCs w:val="24"/>
    </w:rPr>
  </w:style>
  <w:style w:type="table" w:styleId="a7">
    <w:name w:val="Table Grid"/>
    <w:basedOn w:val="a1"/>
    <w:rsid w:val="005A7F9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A7F91"/>
  </w:style>
  <w:style w:type="character" w:customStyle="1" w:styleId="TimesNewRomanTimesNewRoman">
    <w:name w:val="סגנון (לטיני) Times New Roman (עברית ושפות אחרות) Times New Roman..."/>
    <w:rsid w:val="005A7F91"/>
    <w:rPr>
      <w:rFonts w:ascii="Times New Roman" w:hAnsi="Times New Roman" w:cs="David" w:hint="default"/>
      <w:b/>
      <w:bCs/>
      <w:sz w:val="26"/>
      <w:szCs w:val="26"/>
    </w:rPr>
  </w:style>
  <w:style w:type="character" w:styleId="Hyperlink">
    <w:name w:val="Hyperlink"/>
    <w:rsid w:val="005A7F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8963593" TargetMode="External"/><Relationship Id="rId26" Type="http://schemas.openxmlformats.org/officeDocument/2006/relationships/hyperlink" Target="http://www.nevo.co.il/case/28010048" TargetMode="External"/><Relationship Id="rId21" Type="http://schemas.openxmlformats.org/officeDocument/2006/relationships/hyperlink" Target="http://www.nevo.co.il/case/26383419" TargetMode="External"/><Relationship Id="rId34"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8291270"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7894608" TargetMode="External"/><Relationship Id="rId20" Type="http://schemas.openxmlformats.org/officeDocument/2006/relationships/hyperlink" Target="http://www.nevo.co.il/case/27716369" TargetMode="External"/><Relationship Id="rId29" Type="http://schemas.openxmlformats.org/officeDocument/2006/relationships/hyperlink" Target="http://www.nevo.co.il/case/274477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27462558"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5612982" TargetMode="External"/><Relationship Id="rId23" Type="http://schemas.openxmlformats.org/officeDocument/2006/relationships/hyperlink" Target="http://www.nevo.co.il/case/26888657" TargetMode="External"/><Relationship Id="rId28" Type="http://schemas.openxmlformats.org/officeDocument/2006/relationships/hyperlink" Target="http://www.nevo.co.il/case/26939409" TargetMode="External"/><Relationship Id="rId36" Type="http://schemas.openxmlformats.org/officeDocument/2006/relationships/footer" Target="footer2.xml"/><Relationship Id="rId10" Type="http://schemas.openxmlformats.org/officeDocument/2006/relationships/hyperlink" Target="http://www.nevo.co.il/law/70301/40ja" TargetMode="External"/><Relationship Id="rId19" Type="http://schemas.openxmlformats.org/officeDocument/2006/relationships/hyperlink" Target="http://www.nevo.co.il/case/28883087" TargetMode="External"/><Relationship Id="rId31" Type="http://schemas.openxmlformats.org/officeDocument/2006/relationships/hyperlink" Target="http://www.eca.gov.il"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28513828" TargetMode="External"/><Relationship Id="rId22" Type="http://schemas.openxmlformats.org/officeDocument/2006/relationships/hyperlink" Target="http://www.nevo.co.il/case/27087184" TargetMode="External"/><Relationship Id="rId27" Type="http://schemas.openxmlformats.org/officeDocument/2006/relationships/hyperlink" Target="http://www.nevo.co.il/case/27802038" TargetMode="External"/><Relationship Id="rId30" Type="http://schemas.openxmlformats.org/officeDocument/2006/relationships/hyperlink" Target="http://www.nevo.co.il/law/70301/40ja" TargetMode="External"/><Relationship Id="rId35" Type="http://schemas.openxmlformats.org/officeDocument/2006/relationships/footer" Target="footer1.xml"/><Relationship Id="rId8" Type="http://schemas.openxmlformats.org/officeDocument/2006/relationships/hyperlink" Target="http://www.nevo.co.il/law/70301/144.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4193</Words>
  <Characters>20966</Characters>
  <Application>Microsoft Office Word</Application>
  <DocSecurity>0</DocSecurity>
  <Lines>174</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25109</CharactersWithSpaces>
  <SharedDoc>false</SharedDoc>
  <HLinks>
    <vt:vector size="156" baseType="variant">
      <vt:variant>
        <vt:i4>393283</vt:i4>
      </vt:variant>
      <vt:variant>
        <vt:i4>78</vt:i4>
      </vt:variant>
      <vt:variant>
        <vt:i4>0</vt:i4>
      </vt:variant>
      <vt:variant>
        <vt:i4>5</vt:i4>
      </vt:variant>
      <vt:variant>
        <vt:lpwstr>http://www.nevo.co.il/advertisements/nevo-100.doc</vt:lpwstr>
      </vt:variant>
      <vt:variant>
        <vt:lpwstr/>
      </vt:variant>
      <vt:variant>
        <vt:i4>7864368</vt:i4>
      </vt:variant>
      <vt:variant>
        <vt:i4>75</vt:i4>
      </vt:variant>
      <vt:variant>
        <vt:i4>0</vt:i4>
      </vt:variant>
      <vt:variant>
        <vt:i4>5</vt:i4>
      </vt:variant>
      <vt:variant>
        <vt:lpwstr>http://www.eca.gov.il/</vt:lpwstr>
      </vt:variant>
      <vt:variant>
        <vt:lpwstr/>
      </vt:variant>
      <vt:variant>
        <vt:i4>262155</vt:i4>
      </vt:variant>
      <vt:variant>
        <vt:i4>72</vt:i4>
      </vt:variant>
      <vt:variant>
        <vt:i4>0</vt:i4>
      </vt:variant>
      <vt:variant>
        <vt:i4>5</vt:i4>
      </vt:variant>
      <vt:variant>
        <vt:lpwstr>http://www.nevo.co.il/law/70301/40ja</vt:lpwstr>
      </vt:variant>
      <vt:variant>
        <vt:lpwstr/>
      </vt:variant>
      <vt:variant>
        <vt:i4>3342448</vt:i4>
      </vt:variant>
      <vt:variant>
        <vt:i4>69</vt:i4>
      </vt:variant>
      <vt:variant>
        <vt:i4>0</vt:i4>
      </vt:variant>
      <vt:variant>
        <vt:i4>5</vt:i4>
      </vt:variant>
      <vt:variant>
        <vt:lpwstr>http://www.nevo.co.il/case/27447722</vt:lpwstr>
      </vt:variant>
      <vt:variant>
        <vt:lpwstr/>
      </vt:variant>
      <vt:variant>
        <vt:i4>3276917</vt:i4>
      </vt:variant>
      <vt:variant>
        <vt:i4>66</vt:i4>
      </vt:variant>
      <vt:variant>
        <vt:i4>0</vt:i4>
      </vt:variant>
      <vt:variant>
        <vt:i4>5</vt:i4>
      </vt:variant>
      <vt:variant>
        <vt:lpwstr>http://www.nevo.co.il/case/26939409</vt:lpwstr>
      </vt:variant>
      <vt:variant>
        <vt:lpwstr/>
      </vt:variant>
      <vt:variant>
        <vt:i4>3866739</vt:i4>
      </vt:variant>
      <vt:variant>
        <vt:i4>63</vt:i4>
      </vt:variant>
      <vt:variant>
        <vt:i4>0</vt:i4>
      </vt:variant>
      <vt:variant>
        <vt:i4>5</vt:i4>
      </vt:variant>
      <vt:variant>
        <vt:lpwstr>http://www.nevo.co.il/case/27802038</vt:lpwstr>
      </vt:variant>
      <vt:variant>
        <vt:lpwstr/>
      </vt:variant>
      <vt:variant>
        <vt:i4>3539069</vt:i4>
      </vt:variant>
      <vt:variant>
        <vt:i4>60</vt:i4>
      </vt:variant>
      <vt:variant>
        <vt:i4>0</vt:i4>
      </vt:variant>
      <vt:variant>
        <vt:i4>5</vt:i4>
      </vt:variant>
      <vt:variant>
        <vt:lpwstr>http://www.nevo.co.il/case/28010048</vt:lpwstr>
      </vt:variant>
      <vt:variant>
        <vt:lpwstr/>
      </vt:variant>
      <vt:variant>
        <vt:i4>3539063</vt:i4>
      </vt:variant>
      <vt:variant>
        <vt:i4>57</vt:i4>
      </vt:variant>
      <vt:variant>
        <vt:i4>0</vt:i4>
      </vt:variant>
      <vt:variant>
        <vt:i4>5</vt:i4>
      </vt:variant>
      <vt:variant>
        <vt:lpwstr>http://www.nevo.co.il/case/28291270</vt:lpwstr>
      </vt:variant>
      <vt:variant>
        <vt:lpwstr/>
      </vt:variant>
      <vt:variant>
        <vt:i4>3211376</vt:i4>
      </vt:variant>
      <vt:variant>
        <vt:i4>54</vt:i4>
      </vt:variant>
      <vt:variant>
        <vt:i4>0</vt:i4>
      </vt:variant>
      <vt:variant>
        <vt:i4>5</vt:i4>
      </vt:variant>
      <vt:variant>
        <vt:lpwstr>http://www.nevo.co.il/case/27462558</vt:lpwstr>
      </vt:variant>
      <vt:variant>
        <vt:lpwstr/>
      </vt:variant>
      <vt:variant>
        <vt:i4>3604604</vt:i4>
      </vt:variant>
      <vt:variant>
        <vt:i4>51</vt:i4>
      </vt:variant>
      <vt:variant>
        <vt:i4>0</vt:i4>
      </vt:variant>
      <vt:variant>
        <vt:i4>5</vt:i4>
      </vt:variant>
      <vt:variant>
        <vt:lpwstr>http://www.nevo.co.il/case/26888657</vt:lpwstr>
      </vt:variant>
      <vt:variant>
        <vt:lpwstr/>
      </vt:variant>
      <vt:variant>
        <vt:i4>3997818</vt:i4>
      </vt:variant>
      <vt:variant>
        <vt:i4>48</vt:i4>
      </vt:variant>
      <vt:variant>
        <vt:i4>0</vt:i4>
      </vt:variant>
      <vt:variant>
        <vt:i4>5</vt:i4>
      </vt:variant>
      <vt:variant>
        <vt:lpwstr>http://www.nevo.co.il/case/27087184</vt:lpwstr>
      </vt:variant>
      <vt:variant>
        <vt:lpwstr/>
      </vt:variant>
      <vt:variant>
        <vt:i4>3342462</vt:i4>
      </vt:variant>
      <vt:variant>
        <vt:i4>45</vt:i4>
      </vt:variant>
      <vt:variant>
        <vt:i4>0</vt:i4>
      </vt:variant>
      <vt:variant>
        <vt:i4>5</vt:i4>
      </vt:variant>
      <vt:variant>
        <vt:lpwstr>http://www.nevo.co.il/case/26383419</vt:lpwstr>
      </vt:variant>
      <vt:variant>
        <vt:lpwstr/>
      </vt:variant>
      <vt:variant>
        <vt:i4>3473521</vt:i4>
      </vt:variant>
      <vt:variant>
        <vt:i4>42</vt:i4>
      </vt:variant>
      <vt:variant>
        <vt:i4>0</vt:i4>
      </vt:variant>
      <vt:variant>
        <vt:i4>5</vt:i4>
      </vt:variant>
      <vt:variant>
        <vt:lpwstr>http://www.nevo.co.il/case/27716369</vt:lpwstr>
      </vt:variant>
      <vt:variant>
        <vt:lpwstr/>
      </vt:variant>
      <vt:variant>
        <vt:i4>3211380</vt:i4>
      </vt:variant>
      <vt:variant>
        <vt:i4>39</vt:i4>
      </vt:variant>
      <vt:variant>
        <vt:i4>0</vt:i4>
      </vt:variant>
      <vt:variant>
        <vt:i4>5</vt:i4>
      </vt:variant>
      <vt:variant>
        <vt:lpwstr>http://www.nevo.co.il/case/28883087</vt:lpwstr>
      </vt:variant>
      <vt:variant>
        <vt:lpwstr/>
      </vt:variant>
      <vt:variant>
        <vt:i4>3211391</vt:i4>
      </vt:variant>
      <vt:variant>
        <vt:i4>36</vt:i4>
      </vt:variant>
      <vt:variant>
        <vt:i4>0</vt:i4>
      </vt:variant>
      <vt:variant>
        <vt:i4>5</vt:i4>
      </vt:variant>
      <vt:variant>
        <vt:lpwstr>http://www.nevo.co.il/case/28963593</vt:lpwstr>
      </vt:variant>
      <vt:variant>
        <vt:lpwstr/>
      </vt:variant>
      <vt:variant>
        <vt:i4>7995492</vt:i4>
      </vt:variant>
      <vt:variant>
        <vt:i4>33</vt:i4>
      </vt:variant>
      <vt:variant>
        <vt:i4>0</vt:i4>
      </vt:variant>
      <vt:variant>
        <vt:i4>5</vt:i4>
      </vt:variant>
      <vt:variant>
        <vt:lpwstr>http://www.nevo.co.il/law/70301</vt:lpwstr>
      </vt:variant>
      <vt:variant>
        <vt:lpwstr/>
      </vt:variant>
      <vt:variant>
        <vt:i4>4063356</vt:i4>
      </vt:variant>
      <vt:variant>
        <vt:i4>30</vt:i4>
      </vt:variant>
      <vt:variant>
        <vt:i4>0</vt:i4>
      </vt:variant>
      <vt:variant>
        <vt:i4>5</vt:i4>
      </vt:variant>
      <vt:variant>
        <vt:lpwstr>http://www.nevo.co.il/case/27894608</vt:lpwstr>
      </vt:variant>
      <vt:variant>
        <vt:lpwstr/>
      </vt:variant>
      <vt:variant>
        <vt:i4>4063353</vt:i4>
      </vt:variant>
      <vt:variant>
        <vt:i4>27</vt:i4>
      </vt:variant>
      <vt:variant>
        <vt:i4>0</vt:i4>
      </vt:variant>
      <vt:variant>
        <vt:i4>5</vt:i4>
      </vt:variant>
      <vt:variant>
        <vt:lpwstr>http://www.nevo.co.il/case/25612982</vt:lpwstr>
      </vt:variant>
      <vt:variant>
        <vt:lpwstr/>
      </vt:variant>
      <vt:variant>
        <vt:i4>3539061</vt:i4>
      </vt:variant>
      <vt:variant>
        <vt:i4>24</vt:i4>
      </vt:variant>
      <vt:variant>
        <vt:i4>0</vt:i4>
      </vt:variant>
      <vt:variant>
        <vt:i4>5</vt:i4>
      </vt:variant>
      <vt:variant>
        <vt:lpwstr>http://www.nevo.co.il/case/28513828</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7995492</vt:i4>
      </vt:variant>
      <vt:variant>
        <vt:i4>3</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2025-01-19T16:48:00Z</dcterms:created>
  <dcterms:modified xsi:type="dcterms:W3CDTF">2025-01-19T16:48:00Z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60429</vt:lpwstr>
  </property>
  <property fmtid="{D5CDD505-2E9C-101B-9397-08002B2CF9AE}" pid="6" name="NEWPARTB">
    <vt:lpwstr>12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ראשד קבלאן </vt:lpwstr>
  </property>
  <property fmtid="{D5CDD505-2E9C-101B-9397-08002B2CF9AE}" pid="10" name="LAWYER">
    <vt:lpwstr>ענאן עליאן</vt:lpwstr>
  </property>
  <property fmtid="{D5CDD505-2E9C-101B-9397-08002B2CF9AE}" pid="11" name="JUDGE">
    <vt:lpwstr>אינאס סלאמה</vt:lpwstr>
  </property>
  <property fmtid="{D5CDD505-2E9C-101B-9397-08002B2CF9AE}" pid="12" name="CITY">
    <vt:lpwstr>חי'</vt:lpwstr>
  </property>
  <property fmtid="{D5CDD505-2E9C-101B-9397-08002B2CF9AE}" pid="13" name="DATE">
    <vt:lpwstr>20230328</vt:lpwstr>
  </property>
  <property fmtid="{D5CDD505-2E9C-101B-9397-08002B2CF9AE}" pid="14" name="TYPE_N_DATE">
    <vt:lpwstr>39020230328</vt:lpwstr>
  </property>
  <property fmtid="{D5CDD505-2E9C-101B-9397-08002B2CF9AE}" pid="15" name="WORDNUMPAGES">
    <vt:lpwstr>12</vt:lpwstr>
  </property>
  <property fmtid="{D5CDD505-2E9C-101B-9397-08002B2CF9AE}" pid="16" name="TYPE_ABS_DATE">
    <vt:lpwstr>390020230328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28513828;25612982;27894608;28963593;28883087;27716369;26383419;27087184;26888657;27462558;28291270;28010048;27802038;26939409;27447722</vt:lpwstr>
  </property>
  <property fmtid="{D5CDD505-2E9C-101B-9397-08002B2CF9AE}" pid="36" name="LAWLISTTMP1">
    <vt:lpwstr>70301/144.a;144.b;40ja</vt:lpwstr>
  </property>
</Properties>
</file>