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1550"/>
        <w:gridCol w:w="3508"/>
        <w:gridCol w:w="3447"/>
        <w:gridCol w:w="216"/>
      </w:tblGrid>
      <w:tr w:rsidR="000F592A" w:rsidRPr="000B6911" w14:paraId="11694140" w14:textId="77777777" w:rsidTr="00A27597">
        <w:trPr>
          <w:trHeight w:hRule="exact" w:val="418"/>
          <w:jc w:val="center"/>
        </w:trPr>
        <w:tc>
          <w:tcPr>
            <w:tcW w:w="8721" w:type="dxa"/>
            <w:gridSpan w:val="4"/>
          </w:tcPr>
          <w:p w14:paraId="1631D947" w14:textId="77777777" w:rsidR="000F592A" w:rsidRPr="000B6911" w:rsidRDefault="000F592A" w:rsidP="00104D49">
            <w:pPr>
              <w:pStyle w:val="a3"/>
              <w:jc w:val="center"/>
              <w:rPr>
                <w:rFonts w:ascii="Tahoma" w:hAnsi="Tahoma" w:cs="Tahoma"/>
                <w:color w:val="000080"/>
                <w:rtl/>
              </w:rPr>
            </w:pPr>
            <w:bookmarkStart w:id="0" w:name="LastJudge"/>
            <w:r w:rsidRPr="000B6911">
              <w:rPr>
                <w:rFonts w:ascii="Tahoma" w:hAnsi="Tahoma" w:cs="Tahoma"/>
                <w:b/>
                <w:bCs/>
                <w:color w:val="000080"/>
                <w:rtl/>
              </w:rPr>
              <w:t>בית המשפט המחוזי בחיפה</w:t>
            </w:r>
          </w:p>
        </w:tc>
      </w:tr>
      <w:tr w:rsidR="000F592A" w:rsidRPr="000B6911" w14:paraId="0B0CC55A" w14:textId="77777777" w:rsidTr="00A27597">
        <w:trPr>
          <w:trHeight w:val="337"/>
          <w:jc w:val="center"/>
        </w:trPr>
        <w:tc>
          <w:tcPr>
            <w:tcW w:w="5058" w:type="dxa"/>
            <w:gridSpan w:val="2"/>
          </w:tcPr>
          <w:p w14:paraId="0DF90088" w14:textId="77777777" w:rsidR="000F592A" w:rsidRPr="000B6911" w:rsidRDefault="000F592A" w:rsidP="00104D49">
            <w:pPr>
              <w:rPr>
                <w:rFonts w:cs="FrankRuehl"/>
                <w:sz w:val="28"/>
                <w:szCs w:val="28"/>
                <w:rtl/>
              </w:rPr>
            </w:pPr>
            <w:r w:rsidRPr="000B6911">
              <w:rPr>
                <w:rFonts w:cs="FrankRuehl"/>
                <w:sz w:val="28"/>
                <w:szCs w:val="28"/>
                <w:rtl/>
              </w:rPr>
              <w:t>ת"פ</w:t>
            </w:r>
            <w:r w:rsidRPr="000B6911">
              <w:rPr>
                <w:rFonts w:cs="FrankRuehl" w:hint="cs"/>
                <w:sz w:val="28"/>
                <w:szCs w:val="28"/>
                <w:rtl/>
              </w:rPr>
              <w:t xml:space="preserve"> </w:t>
            </w:r>
            <w:r w:rsidRPr="000B6911">
              <w:rPr>
                <w:rFonts w:cs="FrankRuehl"/>
                <w:sz w:val="28"/>
                <w:szCs w:val="28"/>
                <w:rtl/>
              </w:rPr>
              <w:t>66893-12-21</w:t>
            </w:r>
            <w:r w:rsidRPr="000B6911">
              <w:rPr>
                <w:rFonts w:cs="FrankRuehl" w:hint="cs"/>
                <w:sz w:val="28"/>
                <w:szCs w:val="28"/>
                <w:rtl/>
              </w:rPr>
              <w:t xml:space="preserve"> </w:t>
            </w:r>
            <w:r w:rsidRPr="000B6911">
              <w:rPr>
                <w:rFonts w:cs="FrankRuehl"/>
                <w:sz w:val="28"/>
                <w:szCs w:val="28"/>
                <w:rtl/>
              </w:rPr>
              <w:t>מדינת ישראל נ' עמאש(עציר) ואח'</w:t>
            </w:r>
          </w:p>
          <w:p w14:paraId="24961170" w14:textId="77777777" w:rsidR="000F592A" w:rsidRPr="000B6911" w:rsidRDefault="000F592A" w:rsidP="00104D49">
            <w:pPr>
              <w:pStyle w:val="a3"/>
              <w:rPr>
                <w:rFonts w:cs="FrankRuehl"/>
                <w:sz w:val="28"/>
                <w:szCs w:val="28"/>
                <w:rtl/>
              </w:rPr>
            </w:pPr>
          </w:p>
        </w:tc>
        <w:tc>
          <w:tcPr>
            <w:tcW w:w="3663" w:type="dxa"/>
            <w:gridSpan w:val="2"/>
          </w:tcPr>
          <w:p w14:paraId="2C27B9B9" w14:textId="77777777" w:rsidR="000F592A" w:rsidRPr="000B6911" w:rsidRDefault="000F592A" w:rsidP="00104D49">
            <w:pPr>
              <w:pStyle w:val="a3"/>
              <w:jc w:val="right"/>
              <w:rPr>
                <w:rFonts w:cs="FrankRuehl"/>
                <w:sz w:val="28"/>
                <w:szCs w:val="28"/>
                <w:rtl/>
              </w:rPr>
            </w:pPr>
          </w:p>
        </w:tc>
      </w:tr>
      <w:tr w:rsidR="000F592A" w:rsidRPr="000B6911" w14:paraId="04DF3C8A" w14:textId="77777777" w:rsidTr="00104D49">
        <w:tblPrEx>
          <w:tblLook w:val="04A0" w:firstRow="1" w:lastRow="0" w:firstColumn="1" w:lastColumn="0" w:noHBand="0" w:noVBand="1"/>
        </w:tblPrEx>
        <w:trPr>
          <w:gridAfter w:val="1"/>
          <w:wAfter w:w="216" w:type="dxa"/>
          <w:trHeight w:val="337"/>
          <w:jc w:val="center"/>
        </w:trPr>
        <w:tc>
          <w:tcPr>
            <w:tcW w:w="1550" w:type="dxa"/>
          </w:tcPr>
          <w:p w14:paraId="03FBCAB1" w14:textId="77777777" w:rsidR="000F592A" w:rsidRPr="000B6911" w:rsidRDefault="000F592A" w:rsidP="00104D49">
            <w:pPr>
              <w:pStyle w:val="a3"/>
              <w:bidi w:val="0"/>
              <w:jc w:val="both"/>
              <w:rPr>
                <w:rtl/>
              </w:rPr>
            </w:pPr>
            <w:r w:rsidRPr="000B6911">
              <w:rPr>
                <w:rFonts w:hint="cs"/>
                <w:rtl/>
              </w:rPr>
              <w:t xml:space="preserve"> </w:t>
            </w:r>
          </w:p>
        </w:tc>
        <w:tc>
          <w:tcPr>
            <w:tcW w:w="6955" w:type="dxa"/>
            <w:gridSpan w:val="2"/>
            <w:vAlign w:val="center"/>
          </w:tcPr>
          <w:p w14:paraId="6D9B963B" w14:textId="77777777" w:rsidR="000F592A" w:rsidRPr="000B6911" w:rsidRDefault="000F592A" w:rsidP="00104D49">
            <w:pPr>
              <w:pStyle w:val="a3"/>
              <w:jc w:val="right"/>
              <w:rPr>
                <w:b/>
                <w:bCs/>
                <w:sz w:val="4"/>
                <w:szCs w:val="4"/>
              </w:rPr>
            </w:pPr>
            <w:r w:rsidRPr="000B6911">
              <w:rPr>
                <w:b/>
                <w:bCs/>
                <w:rtl/>
              </w:rPr>
              <w:t xml:space="preserve">                       מספר פל"א </w:t>
            </w:r>
            <w:r w:rsidRPr="000B6911">
              <w:rPr>
                <w:b/>
                <w:bCs/>
              </w:rPr>
              <w:t>847556/2021</w:t>
            </w:r>
          </w:p>
        </w:tc>
      </w:tr>
      <w:tr w:rsidR="000F592A" w:rsidRPr="000B6911" w14:paraId="51ED4BDC" w14:textId="77777777" w:rsidTr="00104D49">
        <w:tblPrEx>
          <w:tblLook w:val="04A0" w:firstRow="1" w:lastRow="0" w:firstColumn="1" w:lastColumn="0" w:noHBand="0" w:noVBand="1"/>
        </w:tblPrEx>
        <w:trPr>
          <w:gridAfter w:val="1"/>
          <w:wAfter w:w="216" w:type="dxa"/>
          <w:trHeight w:val="337"/>
          <w:jc w:val="center"/>
        </w:trPr>
        <w:tc>
          <w:tcPr>
            <w:tcW w:w="1550" w:type="dxa"/>
          </w:tcPr>
          <w:p w14:paraId="03222B37" w14:textId="77777777" w:rsidR="000F592A" w:rsidRPr="000B6911" w:rsidRDefault="000F592A" w:rsidP="00104D49">
            <w:pPr>
              <w:pStyle w:val="a3"/>
              <w:bidi w:val="0"/>
              <w:jc w:val="both"/>
              <w:rPr>
                <w:rtl/>
              </w:rPr>
            </w:pPr>
          </w:p>
        </w:tc>
        <w:tc>
          <w:tcPr>
            <w:tcW w:w="6955" w:type="dxa"/>
            <w:gridSpan w:val="2"/>
          </w:tcPr>
          <w:p w14:paraId="50E08F7B" w14:textId="77777777" w:rsidR="000F592A" w:rsidRPr="000B6911" w:rsidRDefault="000F592A" w:rsidP="00104D49">
            <w:pPr>
              <w:pStyle w:val="a3"/>
              <w:jc w:val="right"/>
            </w:pPr>
          </w:p>
        </w:tc>
      </w:tr>
    </w:tbl>
    <w:p w14:paraId="1784102A" w14:textId="77777777" w:rsidR="000F592A" w:rsidRPr="000B6911" w:rsidRDefault="000F592A" w:rsidP="000F592A">
      <w:pPr>
        <w:spacing w:line="360" w:lineRule="auto"/>
        <w:jc w:val="both"/>
        <w:rPr>
          <w:sz w:val="6"/>
          <w:szCs w:val="6"/>
          <w:rtl/>
        </w:rPr>
      </w:pPr>
    </w:p>
    <w:tbl>
      <w:tblPr>
        <w:bidiVisual/>
        <w:tblW w:w="8802" w:type="dxa"/>
        <w:tblLook w:val="01E0" w:firstRow="1" w:lastRow="1" w:firstColumn="1" w:lastColumn="1" w:noHBand="0" w:noVBand="0"/>
      </w:tblPr>
      <w:tblGrid>
        <w:gridCol w:w="2880"/>
        <w:gridCol w:w="5838"/>
        <w:gridCol w:w="84"/>
      </w:tblGrid>
      <w:tr w:rsidR="000F592A" w:rsidRPr="000B6911" w14:paraId="2B2F5DDB" w14:textId="77777777" w:rsidTr="000F592A">
        <w:trPr>
          <w:gridAfter w:val="1"/>
          <w:wAfter w:w="56" w:type="dxa"/>
        </w:trPr>
        <w:tc>
          <w:tcPr>
            <w:tcW w:w="8718" w:type="dxa"/>
            <w:gridSpan w:val="2"/>
            <w:shd w:val="clear" w:color="auto" w:fill="auto"/>
          </w:tcPr>
          <w:p w14:paraId="406CDB8C" w14:textId="77777777" w:rsidR="000F592A" w:rsidRPr="000B6911" w:rsidRDefault="000F592A" w:rsidP="00104D49">
            <w:pPr>
              <w:rPr>
                <w:rFonts w:ascii="David" w:hAnsi="David"/>
                <w:b/>
                <w:bCs/>
                <w:rtl/>
              </w:rPr>
            </w:pPr>
            <w:r w:rsidRPr="000B6911">
              <w:rPr>
                <w:rFonts w:ascii="David" w:hAnsi="David"/>
                <w:b/>
                <w:bCs/>
                <w:rtl/>
              </w:rPr>
              <w:t>לפני כבוד השופט גיל קרזבום</w:t>
            </w:r>
          </w:p>
        </w:tc>
      </w:tr>
      <w:tr w:rsidR="000F592A" w:rsidRPr="000B6911" w14:paraId="4CF46A05" w14:textId="77777777" w:rsidTr="000F592A">
        <w:trPr>
          <w:cantSplit/>
          <w:trHeight w:val="417"/>
        </w:trPr>
        <w:tc>
          <w:tcPr>
            <w:tcW w:w="2880" w:type="dxa"/>
            <w:shd w:val="clear" w:color="auto" w:fill="auto"/>
          </w:tcPr>
          <w:p w14:paraId="533065C9" w14:textId="77777777" w:rsidR="000F592A" w:rsidRPr="000B6911" w:rsidRDefault="000F592A" w:rsidP="000F592A">
            <w:pPr>
              <w:ind w:left="26"/>
              <w:rPr>
                <w:rFonts w:ascii="David" w:hAnsi="David"/>
                <w:b/>
                <w:bCs/>
                <w:rtl/>
              </w:rPr>
            </w:pPr>
            <w:bookmarkStart w:id="1" w:name="FirstAppellant"/>
          </w:p>
          <w:p w14:paraId="02BDB7F3" w14:textId="77777777" w:rsidR="000F592A" w:rsidRPr="000B6911" w:rsidRDefault="000F592A" w:rsidP="000F592A">
            <w:pPr>
              <w:ind w:left="26"/>
              <w:rPr>
                <w:rFonts w:ascii="David" w:hAnsi="David"/>
                <w:b/>
                <w:bCs/>
                <w:rtl/>
              </w:rPr>
            </w:pPr>
            <w:r w:rsidRPr="000B6911">
              <w:rPr>
                <w:rFonts w:ascii="David" w:hAnsi="David"/>
                <w:b/>
                <w:bCs/>
                <w:rtl/>
              </w:rPr>
              <w:t>המאשימה</w:t>
            </w:r>
          </w:p>
        </w:tc>
        <w:tc>
          <w:tcPr>
            <w:tcW w:w="5922" w:type="dxa"/>
            <w:gridSpan w:val="2"/>
            <w:shd w:val="clear" w:color="auto" w:fill="auto"/>
          </w:tcPr>
          <w:p w14:paraId="43469648" w14:textId="77777777" w:rsidR="000F592A" w:rsidRPr="000B6911" w:rsidRDefault="000F592A" w:rsidP="00104D49">
            <w:pPr>
              <w:rPr>
                <w:rFonts w:ascii="David" w:hAnsi="David"/>
                <w:rtl/>
              </w:rPr>
            </w:pPr>
          </w:p>
          <w:p w14:paraId="06001A0F" w14:textId="77777777" w:rsidR="000F592A" w:rsidRPr="000B6911" w:rsidRDefault="000F592A" w:rsidP="00104D49">
            <w:pPr>
              <w:rPr>
                <w:rFonts w:ascii="David" w:hAnsi="David"/>
                <w:b/>
                <w:bCs/>
                <w:rtl/>
              </w:rPr>
            </w:pPr>
            <w:r w:rsidRPr="000B6911">
              <w:rPr>
                <w:rFonts w:ascii="David" w:hAnsi="David"/>
                <w:rtl/>
              </w:rPr>
              <w:t xml:space="preserve"> </w:t>
            </w:r>
            <w:r w:rsidRPr="000B6911">
              <w:rPr>
                <w:rFonts w:ascii="David" w:hAnsi="David"/>
                <w:b/>
                <w:bCs/>
                <w:rtl/>
              </w:rPr>
              <w:t>מדינת ישראל</w:t>
            </w:r>
          </w:p>
        </w:tc>
      </w:tr>
      <w:bookmarkEnd w:id="1"/>
      <w:tr w:rsidR="000F592A" w:rsidRPr="000B6911" w14:paraId="574F4447" w14:textId="77777777" w:rsidTr="000F592A">
        <w:tc>
          <w:tcPr>
            <w:tcW w:w="8802" w:type="dxa"/>
            <w:gridSpan w:val="3"/>
            <w:shd w:val="clear" w:color="auto" w:fill="auto"/>
            <w:vAlign w:val="center"/>
          </w:tcPr>
          <w:p w14:paraId="579420F9" w14:textId="77777777" w:rsidR="000F592A" w:rsidRPr="000B6911" w:rsidRDefault="000F592A" w:rsidP="000F592A">
            <w:pPr>
              <w:jc w:val="right"/>
              <w:rPr>
                <w:rFonts w:ascii="David" w:hAnsi="David"/>
                <w:b/>
                <w:bCs/>
                <w:rtl/>
              </w:rPr>
            </w:pPr>
          </w:p>
          <w:p w14:paraId="68C1E485" w14:textId="77777777" w:rsidR="000F592A" w:rsidRPr="000B6911" w:rsidRDefault="000F592A" w:rsidP="000F592A">
            <w:pPr>
              <w:jc w:val="center"/>
              <w:rPr>
                <w:rFonts w:ascii="David" w:hAnsi="David"/>
                <w:b/>
                <w:bCs/>
                <w:rtl/>
              </w:rPr>
            </w:pPr>
            <w:r w:rsidRPr="000B6911">
              <w:rPr>
                <w:rFonts w:ascii="David" w:hAnsi="David"/>
                <w:b/>
                <w:bCs/>
                <w:rtl/>
              </w:rPr>
              <w:t>נגד</w:t>
            </w:r>
          </w:p>
          <w:p w14:paraId="7168AA04" w14:textId="77777777" w:rsidR="000F592A" w:rsidRPr="000B6911" w:rsidRDefault="000F592A" w:rsidP="000F592A">
            <w:pPr>
              <w:jc w:val="right"/>
              <w:rPr>
                <w:rFonts w:ascii="David" w:hAnsi="David"/>
                <w:b/>
                <w:bCs/>
                <w:rtl/>
              </w:rPr>
            </w:pPr>
          </w:p>
        </w:tc>
      </w:tr>
      <w:tr w:rsidR="000F592A" w:rsidRPr="000B6911" w14:paraId="726F8E5D" w14:textId="77777777" w:rsidTr="00A27597">
        <w:trPr>
          <w:trHeight w:val="1517"/>
        </w:trPr>
        <w:tc>
          <w:tcPr>
            <w:tcW w:w="2880" w:type="dxa"/>
            <w:shd w:val="clear" w:color="auto" w:fill="auto"/>
          </w:tcPr>
          <w:p w14:paraId="16FB3621" w14:textId="77777777" w:rsidR="000F592A" w:rsidRPr="000B6911" w:rsidRDefault="000F592A" w:rsidP="000F592A">
            <w:pPr>
              <w:ind w:left="26"/>
              <w:rPr>
                <w:rFonts w:ascii="David" w:hAnsi="David"/>
                <w:b/>
                <w:bCs/>
                <w:rtl/>
              </w:rPr>
            </w:pPr>
            <w:bookmarkStart w:id="2" w:name="FirstLawyer"/>
            <w:r w:rsidRPr="000B6911">
              <w:rPr>
                <w:rFonts w:ascii="David" w:hAnsi="David"/>
                <w:b/>
                <w:bCs/>
                <w:rtl/>
              </w:rPr>
              <w:t>הנאשמים</w:t>
            </w:r>
          </w:p>
        </w:tc>
        <w:tc>
          <w:tcPr>
            <w:tcW w:w="5922" w:type="dxa"/>
            <w:gridSpan w:val="2"/>
            <w:shd w:val="clear" w:color="auto" w:fill="auto"/>
          </w:tcPr>
          <w:p w14:paraId="3E585DC4" w14:textId="77777777" w:rsidR="000F592A" w:rsidRPr="000B6911" w:rsidRDefault="000F592A" w:rsidP="000F592A">
            <w:pPr>
              <w:spacing w:line="360" w:lineRule="auto"/>
              <w:rPr>
                <w:rFonts w:ascii="David" w:hAnsi="David"/>
                <w:b/>
                <w:bCs/>
                <w:rtl/>
              </w:rPr>
            </w:pPr>
            <w:r w:rsidRPr="000B6911">
              <w:rPr>
                <w:rFonts w:ascii="David" w:hAnsi="David" w:hint="cs"/>
                <w:b/>
                <w:bCs/>
                <w:rtl/>
              </w:rPr>
              <w:t xml:space="preserve">1. </w:t>
            </w:r>
            <w:r w:rsidRPr="000B6911">
              <w:rPr>
                <w:rFonts w:ascii="David" w:hAnsi="David"/>
                <w:b/>
                <w:bCs/>
                <w:rtl/>
              </w:rPr>
              <w:t xml:space="preserve">מוחמד עמאש, ת"ז </w:t>
            </w:r>
            <w:r w:rsidR="000B6911">
              <w:rPr>
                <w:rFonts w:ascii="David" w:hAnsi="David"/>
                <w:b/>
                <w:bCs/>
              </w:rPr>
              <w:t>xxxxxxxxxx</w:t>
            </w:r>
            <w:r w:rsidRPr="000B6911">
              <w:rPr>
                <w:rFonts w:ascii="David" w:hAnsi="David"/>
                <w:b/>
                <w:bCs/>
                <w:rtl/>
              </w:rPr>
              <w:t>(עציר)</w:t>
            </w:r>
            <w:r w:rsidRPr="000B6911">
              <w:rPr>
                <w:rFonts w:ascii="David" w:hAnsi="David" w:hint="cs"/>
                <w:b/>
                <w:bCs/>
                <w:rtl/>
              </w:rPr>
              <w:t xml:space="preserve"> </w:t>
            </w:r>
          </w:p>
          <w:p w14:paraId="5F11F082" w14:textId="77777777" w:rsidR="000F592A" w:rsidRPr="000B6911" w:rsidRDefault="000F592A" w:rsidP="000F592A">
            <w:pPr>
              <w:spacing w:line="360" w:lineRule="auto"/>
              <w:rPr>
                <w:rFonts w:ascii="David" w:hAnsi="David"/>
                <w:rtl/>
              </w:rPr>
            </w:pPr>
            <w:r w:rsidRPr="000B6911">
              <w:rPr>
                <w:rFonts w:ascii="David" w:hAnsi="David" w:hint="cs"/>
                <w:b/>
                <w:bCs/>
                <w:rtl/>
              </w:rPr>
              <w:t xml:space="preserve"> </w:t>
            </w:r>
            <w:r w:rsidRPr="000B6911">
              <w:rPr>
                <w:rFonts w:ascii="David" w:hAnsi="David" w:hint="cs"/>
                <w:rtl/>
              </w:rPr>
              <w:t>באמצעות ב"כ עו"ד מוראד עמאש</w:t>
            </w:r>
          </w:p>
          <w:p w14:paraId="4E448FEE" w14:textId="77777777" w:rsidR="000F592A" w:rsidRPr="000B6911" w:rsidRDefault="000F592A" w:rsidP="00104D49">
            <w:pPr>
              <w:rPr>
                <w:rFonts w:ascii="David" w:hAnsi="David"/>
                <w:b/>
                <w:bCs/>
                <w:rtl/>
              </w:rPr>
            </w:pPr>
            <w:r w:rsidRPr="000B6911">
              <w:rPr>
                <w:rFonts w:ascii="David" w:hAnsi="David"/>
                <w:b/>
                <w:bCs/>
                <w:rtl/>
              </w:rPr>
              <w:t>2</w:t>
            </w:r>
            <w:r w:rsidRPr="000B6911">
              <w:rPr>
                <w:rFonts w:ascii="David" w:hAnsi="David" w:hint="cs"/>
                <w:b/>
                <w:bCs/>
                <w:rtl/>
              </w:rPr>
              <w:t xml:space="preserve">. </w:t>
            </w:r>
            <w:r w:rsidRPr="000B6911">
              <w:rPr>
                <w:rFonts w:ascii="David" w:hAnsi="David"/>
                <w:b/>
                <w:bCs/>
                <w:rtl/>
              </w:rPr>
              <w:t xml:space="preserve">יאסר גרבאן, ת"ז </w:t>
            </w:r>
            <w:r w:rsidR="000B6911">
              <w:rPr>
                <w:rFonts w:ascii="David" w:hAnsi="David"/>
                <w:b/>
                <w:bCs/>
              </w:rPr>
              <w:t>xxxxxxxxxx</w:t>
            </w:r>
            <w:r w:rsidRPr="000B6911">
              <w:rPr>
                <w:rFonts w:ascii="David" w:hAnsi="David"/>
                <w:b/>
                <w:bCs/>
                <w:rtl/>
              </w:rPr>
              <w:t>(עציר)</w:t>
            </w:r>
          </w:p>
          <w:p w14:paraId="37527C19" w14:textId="77777777" w:rsidR="000F592A" w:rsidRPr="000B6911" w:rsidRDefault="000F592A" w:rsidP="00104D49">
            <w:pPr>
              <w:rPr>
                <w:rFonts w:ascii="David" w:hAnsi="David"/>
              </w:rPr>
            </w:pPr>
            <w:r w:rsidRPr="000B6911">
              <w:rPr>
                <w:rFonts w:ascii="David" w:hAnsi="David" w:hint="cs"/>
                <w:rtl/>
              </w:rPr>
              <w:t>באמצעות ב"כ עו"ד עאדל בויראת</w:t>
            </w:r>
          </w:p>
        </w:tc>
      </w:tr>
      <w:bookmarkEnd w:id="2"/>
    </w:tbl>
    <w:p w14:paraId="3CB58A55" w14:textId="77777777" w:rsidR="000F592A" w:rsidRPr="000B6911" w:rsidRDefault="000F592A" w:rsidP="000F592A">
      <w:pPr>
        <w:spacing w:line="360" w:lineRule="auto"/>
        <w:jc w:val="both"/>
        <w:rPr>
          <w:sz w:val="6"/>
          <w:szCs w:val="6"/>
          <w:rtl/>
        </w:rPr>
      </w:pPr>
    </w:p>
    <w:p w14:paraId="1B88C529" w14:textId="77777777" w:rsidR="000F592A" w:rsidRPr="000B6911" w:rsidRDefault="000F592A" w:rsidP="000F592A">
      <w:pPr>
        <w:spacing w:line="360" w:lineRule="auto"/>
        <w:jc w:val="both"/>
        <w:rPr>
          <w:sz w:val="6"/>
          <w:szCs w:val="6"/>
          <w:rtl/>
        </w:rPr>
      </w:pPr>
    </w:p>
    <w:p w14:paraId="6900670C" w14:textId="77777777" w:rsidR="00A27597" w:rsidRPr="00A27597" w:rsidRDefault="000F592A" w:rsidP="00A27597">
      <w:pPr>
        <w:spacing w:before="120" w:after="120" w:line="240" w:lineRule="exact"/>
        <w:ind w:left="283" w:hanging="283"/>
        <w:jc w:val="both"/>
        <w:rPr>
          <w:rFonts w:ascii="FrankRuehl" w:hAnsi="FrankRuehl" w:cs="FrankRuehl"/>
          <w:rtl/>
        </w:rPr>
      </w:pPr>
      <w:r w:rsidRPr="000B6911">
        <w:rPr>
          <w:rFonts w:hint="cs"/>
          <w:sz w:val="6"/>
          <w:szCs w:val="6"/>
          <w:rtl/>
        </w:rPr>
        <w:t>&lt;#2#</w:t>
      </w:r>
      <w:r w:rsidR="00585305" w:rsidRPr="00A27597">
        <w:rPr>
          <w:rFonts w:ascii="FrankRuehl" w:hAnsi="FrankRuehl" w:cs="FrankRuehl"/>
          <w:rtl/>
        </w:rPr>
        <w:t xml:space="preserve"> </w:t>
      </w:r>
    </w:p>
    <w:p w14:paraId="4F7E1731" w14:textId="77777777" w:rsidR="00585305" w:rsidRPr="00585305" w:rsidRDefault="00585305" w:rsidP="00585305">
      <w:pPr>
        <w:spacing w:before="120" w:after="120" w:line="240" w:lineRule="exact"/>
        <w:ind w:left="283" w:hanging="283"/>
        <w:jc w:val="both"/>
        <w:rPr>
          <w:rFonts w:ascii="FrankRuehl" w:hAnsi="FrankRuehl" w:cs="FrankRuehl"/>
          <w:rtl/>
        </w:rPr>
      </w:pPr>
    </w:p>
    <w:p w14:paraId="334C98DB" w14:textId="77777777" w:rsidR="00D37197" w:rsidRDefault="00D37197" w:rsidP="00D37197">
      <w:pPr>
        <w:spacing w:line="360" w:lineRule="auto"/>
        <w:jc w:val="center"/>
        <w:rPr>
          <w:rFonts w:ascii="Arial" w:hAnsi="Arial"/>
          <w:sz w:val="28"/>
          <w:szCs w:val="28"/>
          <w:rtl/>
        </w:rPr>
      </w:pPr>
      <w:bookmarkStart w:id="3" w:name="LawTable"/>
      <w:bookmarkEnd w:id="3"/>
    </w:p>
    <w:p w14:paraId="1C90CC2C" w14:textId="77777777" w:rsidR="00D37197" w:rsidRPr="00D37197" w:rsidRDefault="00D37197" w:rsidP="00D37197">
      <w:pPr>
        <w:spacing w:before="120" w:after="120" w:line="240" w:lineRule="exact"/>
        <w:ind w:left="283" w:hanging="283"/>
        <w:jc w:val="both"/>
        <w:rPr>
          <w:rFonts w:ascii="FrankRuehl" w:hAnsi="FrankRuehl" w:cs="FrankRuehl"/>
          <w:rtl/>
        </w:rPr>
      </w:pPr>
    </w:p>
    <w:p w14:paraId="79F579D0" w14:textId="77777777" w:rsidR="00D37197" w:rsidRPr="00D37197" w:rsidRDefault="00D37197" w:rsidP="00D37197">
      <w:pPr>
        <w:spacing w:before="120" w:after="120" w:line="240" w:lineRule="exact"/>
        <w:ind w:left="283" w:hanging="283"/>
        <w:jc w:val="both"/>
        <w:rPr>
          <w:rFonts w:ascii="FrankRuehl" w:hAnsi="FrankRuehl" w:cs="FrankRuehl"/>
          <w:rtl/>
        </w:rPr>
      </w:pPr>
    </w:p>
    <w:p w14:paraId="594F2BDA" w14:textId="77777777" w:rsidR="00D37197" w:rsidRPr="00D37197" w:rsidRDefault="00D37197" w:rsidP="00D37197">
      <w:pPr>
        <w:spacing w:before="120" w:after="120" w:line="240" w:lineRule="exact"/>
        <w:ind w:left="283" w:hanging="283"/>
        <w:jc w:val="both"/>
        <w:rPr>
          <w:rFonts w:ascii="FrankRuehl" w:hAnsi="FrankRuehl" w:cs="FrankRuehl"/>
          <w:rtl/>
        </w:rPr>
      </w:pPr>
      <w:r w:rsidRPr="00D37197">
        <w:rPr>
          <w:rFonts w:ascii="FrankRuehl" w:hAnsi="FrankRuehl" w:cs="FrankRuehl"/>
          <w:rtl/>
        </w:rPr>
        <w:t xml:space="preserve">חקיקה שאוזכרה: </w:t>
      </w:r>
    </w:p>
    <w:p w14:paraId="4D523DCF" w14:textId="77777777" w:rsidR="00D37197" w:rsidRPr="00D37197" w:rsidRDefault="00D37197" w:rsidP="00D37197">
      <w:pPr>
        <w:spacing w:before="120" w:after="120" w:line="240" w:lineRule="exact"/>
        <w:ind w:left="283" w:hanging="283"/>
        <w:jc w:val="both"/>
        <w:rPr>
          <w:rFonts w:ascii="FrankRuehl" w:hAnsi="FrankRuehl" w:cs="FrankRuehl"/>
          <w:rtl/>
        </w:rPr>
      </w:pPr>
      <w:hyperlink r:id="rId7" w:history="1">
        <w:r w:rsidRPr="00D37197">
          <w:rPr>
            <w:rFonts w:ascii="FrankRuehl" w:hAnsi="FrankRuehl" w:cs="FrankRuehl"/>
            <w:color w:val="0000FF"/>
            <w:rtl/>
          </w:rPr>
          <w:t>חוק העונשין, תשל"ז-1977</w:t>
        </w:r>
      </w:hyperlink>
      <w:r w:rsidRPr="00D37197">
        <w:rPr>
          <w:rFonts w:ascii="FrankRuehl" w:hAnsi="FrankRuehl" w:cs="FrankRuehl"/>
          <w:rtl/>
        </w:rPr>
        <w:t xml:space="preserve">: סע'  </w:t>
      </w:r>
      <w:hyperlink r:id="rId8" w:history="1">
        <w:r w:rsidRPr="00D37197">
          <w:rPr>
            <w:rFonts w:ascii="FrankRuehl" w:hAnsi="FrankRuehl" w:cs="FrankRuehl"/>
            <w:color w:val="0000FF"/>
            <w:rtl/>
          </w:rPr>
          <w:t>29</w:t>
        </w:r>
      </w:hyperlink>
      <w:r w:rsidRPr="00D37197">
        <w:rPr>
          <w:rFonts w:ascii="FrankRuehl" w:hAnsi="FrankRuehl" w:cs="FrankRuehl"/>
          <w:rtl/>
        </w:rPr>
        <w:t xml:space="preserve">, </w:t>
      </w:r>
      <w:hyperlink r:id="rId9" w:history="1">
        <w:r w:rsidRPr="00D37197">
          <w:rPr>
            <w:rFonts w:ascii="FrankRuehl" w:hAnsi="FrankRuehl" w:cs="FrankRuehl"/>
            <w:color w:val="0000FF"/>
            <w:rtl/>
          </w:rPr>
          <w:t>40.טו</w:t>
        </w:r>
      </w:hyperlink>
      <w:r w:rsidRPr="00D37197">
        <w:rPr>
          <w:rFonts w:ascii="FrankRuehl" w:hAnsi="FrankRuehl" w:cs="FrankRuehl"/>
          <w:rtl/>
        </w:rPr>
        <w:t xml:space="preserve">, </w:t>
      </w:r>
      <w:hyperlink r:id="rId10" w:history="1">
        <w:r w:rsidRPr="00D37197">
          <w:rPr>
            <w:rFonts w:ascii="FrankRuehl" w:hAnsi="FrankRuehl" w:cs="FrankRuehl"/>
            <w:color w:val="0000FF"/>
            <w:rtl/>
          </w:rPr>
          <w:t>40א</w:t>
        </w:r>
      </w:hyperlink>
      <w:r w:rsidRPr="00D37197">
        <w:rPr>
          <w:rFonts w:ascii="FrankRuehl" w:hAnsi="FrankRuehl" w:cs="FrankRuehl"/>
          <w:rtl/>
        </w:rPr>
        <w:t xml:space="preserve">, </w:t>
      </w:r>
      <w:hyperlink r:id="rId11" w:history="1">
        <w:r w:rsidRPr="00D37197">
          <w:rPr>
            <w:rFonts w:ascii="FrankRuehl" w:hAnsi="FrankRuehl" w:cs="FrankRuehl"/>
            <w:color w:val="0000FF"/>
            <w:rtl/>
          </w:rPr>
          <w:t>144(ב)</w:t>
        </w:r>
      </w:hyperlink>
      <w:r w:rsidRPr="00D37197">
        <w:rPr>
          <w:rFonts w:ascii="FrankRuehl" w:hAnsi="FrankRuehl" w:cs="FrankRuehl"/>
          <w:rtl/>
        </w:rPr>
        <w:t xml:space="preserve">, </w:t>
      </w:r>
      <w:hyperlink r:id="rId12" w:history="1">
        <w:r w:rsidRPr="00D37197">
          <w:rPr>
            <w:rFonts w:ascii="FrankRuehl" w:hAnsi="FrankRuehl" w:cs="FrankRuehl"/>
            <w:color w:val="0000FF"/>
            <w:rtl/>
          </w:rPr>
          <w:t>ו'  א' 1</w:t>
        </w:r>
      </w:hyperlink>
    </w:p>
    <w:p w14:paraId="671A1274" w14:textId="77777777" w:rsidR="00D37197" w:rsidRPr="00D37197" w:rsidRDefault="00D37197" w:rsidP="00D37197">
      <w:pPr>
        <w:spacing w:line="360" w:lineRule="auto"/>
        <w:jc w:val="center"/>
        <w:rPr>
          <w:rFonts w:ascii="Arial" w:hAnsi="Arial"/>
          <w:sz w:val="28"/>
          <w:szCs w:val="28"/>
          <w:rtl/>
        </w:rPr>
      </w:pPr>
      <w:bookmarkStart w:id="4" w:name="LawTable_End"/>
      <w:bookmarkEnd w:id="4"/>
    </w:p>
    <w:p w14:paraId="6E42C753" w14:textId="77777777" w:rsidR="000B6911" w:rsidRPr="00585305" w:rsidRDefault="000B6911" w:rsidP="00585305">
      <w:pPr>
        <w:spacing w:line="360" w:lineRule="auto"/>
        <w:jc w:val="center"/>
        <w:rPr>
          <w:rFonts w:ascii="Arial" w:hAnsi="Arial"/>
          <w:sz w:val="28"/>
          <w:szCs w:val="28"/>
          <w:rtl/>
        </w:rPr>
      </w:pPr>
    </w:p>
    <w:p w14:paraId="12E5BD88" w14:textId="77777777" w:rsidR="000B6911" w:rsidRPr="000B6911" w:rsidRDefault="000B6911" w:rsidP="000B6911">
      <w:pPr>
        <w:jc w:val="center"/>
        <w:rPr>
          <w:rFonts w:ascii="Arial" w:hAnsi="Arial"/>
          <w:b/>
          <w:bCs/>
          <w:sz w:val="28"/>
          <w:szCs w:val="28"/>
          <w:u w:val="single"/>
          <w:rtl/>
        </w:rPr>
      </w:pPr>
      <w:bookmarkStart w:id="5" w:name="PsakDin"/>
      <w:bookmarkEnd w:id="0"/>
      <w:r w:rsidRPr="000B6911">
        <w:rPr>
          <w:rFonts w:ascii="Arial" w:hAnsi="Arial"/>
          <w:b/>
          <w:bCs/>
          <w:sz w:val="28"/>
          <w:szCs w:val="28"/>
          <w:u w:val="single"/>
          <w:rtl/>
        </w:rPr>
        <w:t>גזר דין</w:t>
      </w:r>
    </w:p>
    <w:bookmarkEnd w:id="5"/>
    <w:p w14:paraId="12A4BFFC" w14:textId="77777777" w:rsidR="000F592A" w:rsidRDefault="000F592A" w:rsidP="000F592A">
      <w:pPr>
        <w:rPr>
          <w:rFonts w:ascii="Arial" w:hAnsi="Arial"/>
          <w:b/>
          <w:bCs/>
          <w:sz w:val="4"/>
          <w:szCs w:val="4"/>
          <w:rtl/>
        </w:rPr>
      </w:pPr>
    </w:p>
    <w:p w14:paraId="5565D527" w14:textId="77777777" w:rsidR="000F592A" w:rsidRDefault="000F592A" w:rsidP="000F592A">
      <w:pPr>
        <w:rPr>
          <w:rFonts w:ascii="Arial" w:hAnsi="Arial"/>
          <w:b/>
          <w:bCs/>
          <w:sz w:val="4"/>
          <w:szCs w:val="4"/>
          <w:rtl/>
        </w:rPr>
      </w:pPr>
    </w:p>
    <w:p w14:paraId="3EAF1242" w14:textId="77777777" w:rsidR="000F592A" w:rsidRDefault="000F592A" w:rsidP="000F592A">
      <w:pPr>
        <w:rPr>
          <w:rFonts w:ascii="Arial" w:hAnsi="Arial"/>
          <w:b/>
          <w:bCs/>
          <w:sz w:val="4"/>
          <w:szCs w:val="4"/>
          <w:rtl/>
        </w:rPr>
      </w:pPr>
    </w:p>
    <w:p w14:paraId="5D5C46B1" w14:textId="77777777" w:rsidR="000F592A" w:rsidRDefault="000F592A" w:rsidP="000F592A">
      <w:pPr>
        <w:rPr>
          <w:rFonts w:ascii="Arial" w:hAnsi="Arial"/>
          <w:b/>
          <w:bCs/>
          <w:sz w:val="4"/>
          <w:szCs w:val="4"/>
          <w:rtl/>
        </w:rPr>
      </w:pPr>
    </w:p>
    <w:p w14:paraId="3810D08A" w14:textId="77777777" w:rsidR="000F592A" w:rsidRDefault="000F592A" w:rsidP="000F592A">
      <w:pPr>
        <w:rPr>
          <w:rFonts w:ascii="Arial" w:hAnsi="Arial"/>
          <w:b/>
          <w:bCs/>
          <w:sz w:val="4"/>
          <w:szCs w:val="4"/>
          <w:rtl/>
        </w:rPr>
      </w:pPr>
    </w:p>
    <w:p w14:paraId="781D089C" w14:textId="77777777" w:rsidR="000F592A" w:rsidRDefault="000F592A" w:rsidP="000F592A">
      <w:pPr>
        <w:rPr>
          <w:rFonts w:ascii="Arial" w:hAnsi="Arial"/>
          <w:b/>
          <w:bCs/>
          <w:sz w:val="4"/>
          <w:szCs w:val="4"/>
          <w:rtl/>
        </w:rPr>
      </w:pPr>
    </w:p>
    <w:p w14:paraId="0CE037A5" w14:textId="77777777" w:rsidR="000F592A" w:rsidRDefault="000F592A" w:rsidP="000F592A">
      <w:pPr>
        <w:spacing w:line="360" w:lineRule="auto"/>
        <w:ind w:left="360"/>
        <w:jc w:val="both"/>
        <w:rPr>
          <w:rFonts w:ascii="David" w:hAnsi="David"/>
          <w:b/>
          <w:bCs/>
          <w:u w:val="single"/>
          <w:rtl/>
        </w:rPr>
      </w:pPr>
      <w:r>
        <w:rPr>
          <w:rFonts w:hint="cs"/>
          <w:b/>
          <w:bCs/>
          <w:u w:val="single"/>
          <w:rtl/>
        </w:rPr>
        <w:t>כללי</w:t>
      </w:r>
    </w:p>
    <w:p w14:paraId="10C368DF" w14:textId="77777777" w:rsidR="000F592A" w:rsidRDefault="000F592A" w:rsidP="000F592A">
      <w:pPr>
        <w:spacing w:line="360" w:lineRule="auto"/>
        <w:jc w:val="both"/>
        <w:rPr>
          <w:rtl/>
        </w:rPr>
      </w:pPr>
    </w:p>
    <w:p w14:paraId="339AE1C5" w14:textId="77777777" w:rsidR="000F592A" w:rsidRDefault="000F592A" w:rsidP="000F592A">
      <w:pPr>
        <w:numPr>
          <w:ilvl w:val="0"/>
          <w:numId w:val="1"/>
        </w:numPr>
        <w:spacing w:after="160" w:line="360" w:lineRule="auto"/>
        <w:contextualSpacing/>
        <w:jc w:val="both"/>
      </w:pPr>
      <w:bookmarkStart w:id="6" w:name="ABSTRACT_START"/>
      <w:bookmarkEnd w:id="6"/>
      <w:r>
        <w:rPr>
          <w:rFonts w:hint="cs"/>
          <w:rtl/>
        </w:rPr>
        <w:t xml:space="preserve">הנאשמים הודו והורשעו במסגרת הסדר טיעון בכתב אישום מתוקן בעבירות של נשיאה והובלה של נשק ותחמושת שלא כדין, עבירה לפי עבירה לפי </w:t>
      </w:r>
      <w:hyperlink r:id="rId13" w:history="1">
        <w:r w:rsidR="00A27597" w:rsidRPr="00A27597">
          <w:rPr>
            <w:rStyle w:val="Hyperlink"/>
            <w:rFonts w:hint="eastAsia"/>
            <w:rtl/>
          </w:rPr>
          <w:t>סעיף</w:t>
        </w:r>
        <w:r w:rsidR="00A27597" w:rsidRPr="00A27597">
          <w:rPr>
            <w:rStyle w:val="Hyperlink"/>
            <w:rtl/>
          </w:rPr>
          <w:t xml:space="preserve"> 144(ב)</w:t>
        </w:r>
      </w:hyperlink>
      <w:r>
        <w:rPr>
          <w:rFonts w:hint="cs"/>
          <w:rtl/>
        </w:rPr>
        <w:t xml:space="preserve"> רישא וסיפא + </w:t>
      </w:r>
      <w:hyperlink r:id="rId14" w:history="1">
        <w:r w:rsidR="00A27597" w:rsidRPr="00A27597">
          <w:rPr>
            <w:rStyle w:val="Hyperlink"/>
            <w:rFonts w:hint="eastAsia"/>
            <w:rtl/>
          </w:rPr>
          <w:t>סעיף</w:t>
        </w:r>
        <w:r w:rsidR="00A27597" w:rsidRPr="00A27597">
          <w:rPr>
            <w:rStyle w:val="Hyperlink"/>
            <w:rtl/>
          </w:rPr>
          <w:t xml:space="preserve"> 29</w:t>
        </w:r>
      </w:hyperlink>
      <w:r>
        <w:rPr>
          <w:rFonts w:hint="cs"/>
          <w:rtl/>
        </w:rPr>
        <w:t xml:space="preserve"> ל</w:t>
      </w:r>
      <w:hyperlink r:id="rId15" w:history="1">
        <w:r w:rsidR="000B6911" w:rsidRPr="000B6911">
          <w:rPr>
            <w:color w:val="0000FF"/>
            <w:u w:val="single"/>
            <w:rtl/>
          </w:rPr>
          <w:t>חוק העונשין</w:t>
        </w:r>
      </w:hyperlink>
      <w:r>
        <w:rPr>
          <w:rFonts w:hint="cs"/>
          <w:rtl/>
        </w:rPr>
        <w:t xml:space="preserve">. </w:t>
      </w:r>
    </w:p>
    <w:p w14:paraId="57D4033A" w14:textId="77777777" w:rsidR="000F592A" w:rsidRDefault="000F592A" w:rsidP="000F592A">
      <w:pPr>
        <w:spacing w:line="360" w:lineRule="auto"/>
        <w:ind w:left="720"/>
        <w:contextualSpacing/>
        <w:jc w:val="both"/>
        <w:rPr>
          <w:rFonts w:eastAsia="David"/>
          <w:sz w:val="10"/>
          <w:szCs w:val="10"/>
        </w:rPr>
      </w:pPr>
    </w:p>
    <w:p w14:paraId="7B8CBEE7" w14:textId="77777777" w:rsidR="000F592A" w:rsidRDefault="000F592A" w:rsidP="000F592A">
      <w:pPr>
        <w:numPr>
          <w:ilvl w:val="0"/>
          <w:numId w:val="1"/>
        </w:numPr>
        <w:spacing w:after="160" w:line="360" w:lineRule="auto"/>
        <w:contextualSpacing/>
        <w:jc w:val="both"/>
        <w:rPr>
          <w:rtl/>
        </w:rPr>
      </w:pPr>
      <w:r>
        <w:rPr>
          <w:rFonts w:hint="cs"/>
          <w:rtl/>
        </w:rPr>
        <w:t>הסדר הטעון מתייחס אך ורק לתיקון כתב האישום ואינו כולל הסכמות לעניין העונש שיוטל על הנאשמים.</w:t>
      </w:r>
    </w:p>
    <w:p w14:paraId="6184A744" w14:textId="77777777" w:rsidR="000F592A" w:rsidRDefault="000F592A" w:rsidP="000F592A">
      <w:pPr>
        <w:spacing w:line="360" w:lineRule="auto"/>
        <w:jc w:val="both"/>
        <w:rPr>
          <w:sz w:val="10"/>
          <w:szCs w:val="10"/>
        </w:rPr>
      </w:pPr>
      <w:bookmarkStart w:id="7" w:name="ABSTRACT_END"/>
      <w:bookmarkEnd w:id="7"/>
    </w:p>
    <w:p w14:paraId="3911C594" w14:textId="77777777" w:rsidR="000F592A" w:rsidRDefault="000F592A" w:rsidP="000F592A">
      <w:pPr>
        <w:spacing w:line="360" w:lineRule="auto"/>
        <w:ind w:firstLine="360"/>
        <w:jc w:val="both"/>
        <w:rPr>
          <w:b/>
          <w:bCs/>
          <w:u w:val="single"/>
          <w:rtl/>
        </w:rPr>
      </w:pPr>
      <w:r>
        <w:rPr>
          <w:rFonts w:hint="cs"/>
          <w:b/>
          <w:bCs/>
          <w:u w:val="single"/>
          <w:rtl/>
        </w:rPr>
        <w:t xml:space="preserve">עובדות כתב האישום המתוקן </w:t>
      </w:r>
    </w:p>
    <w:p w14:paraId="79D58B7D" w14:textId="77777777" w:rsidR="000F592A" w:rsidRDefault="000F592A" w:rsidP="000F592A">
      <w:pPr>
        <w:spacing w:line="360" w:lineRule="auto"/>
        <w:ind w:firstLine="360"/>
        <w:jc w:val="both"/>
        <w:rPr>
          <w:b/>
          <w:bCs/>
          <w:sz w:val="14"/>
          <w:szCs w:val="14"/>
          <w:u w:val="single"/>
        </w:rPr>
      </w:pPr>
    </w:p>
    <w:p w14:paraId="10553A9E" w14:textId="77777777" w:rsidR="000F592A" w:rsidRDefault="000F592A" w:rsidP="000F592A">
      <w:pPr>
        <w:numPr>
          <w:ilvl w:val="0"/>
          <w:numId w:val="1"/>
        </w:numPr>
        <w:spacing w:after="160" w:line="360" w:lineRule="auto"/>
        <w:contextualSpacing/>
        <w:jc w:val="both"/>
        <w:rPr>
          <w:rFonts w:eastAsia="Calibri"/>
          <w:rtl/>
        </w:rPr>
      </w:pPr>
      <w:r>
        <w:rPr>
          <w:rFonts w:eastAsia="Calibri" w:hint="cs"/>
          <w:rtl/>
        </w:rPr>
        <w:lastRenderedPageBreak/>
        <w:t>ביום 15.12.21 בשעות הצהריים, החזיק הנאשם 1 ברובה מאולתר מסוג קרלו, מחסנית וכדורים, זאת בלא רשות על פי דין להחזקתם (להלן:"</w:t>
      </w:r>
      <w:r>
        <w:rPr>
          <w:rFonts w:eastAsia="Calibri" w:hint="cs"/>
          <w:b/>
          <w:bCs/>
          <w:rtl/>
        </w:rPr>
        <w:t>רובה הקרלו</w:t>
      </w:r>
      <w:r>
        <w:rPr>
          <w:rFonts w:eastAsia="Calibri" w:hint="cs"/>
          <w:rtl/>
        </w:rPr>
        <w:t>", "</w:t>
      </w:r>
      <w:r>
        <w:rPr>
          <w:rFonts w:eastAsia="Calibri" w:hint="cs"/>
          <w:b/>
          <w:bCs/>
          <w:rtl/>
        </w:rPr>
        <w:t>מחסנית</w:t>
      </w:r>
      <w:r>
        <w:rPr>
          <w:rFonts w:eastAsia="Calibri" w:hint="cs"/>
          <w:rtl/>
        </w:rPr>
        <w:t>" ו"</w:t>
      </w:r>
      <w:r>
        <w:rPr>
          <w:rFonts w:eastAsia="Calibri" w:hint="cs"/>
          <w:b/>
          <w:bCs/>
          <w:rtl/>
        </w:rPr>
        <w:t>הכדורים</w:t>
      </w:r>
      <w:r>
        <w:rPr>
          <w:rFonts w:eastAsia="Calibri" w:hint="cs"/>
          <w:rtl/>
        </w:rPr>
        <w:t>" וביחד להלן: "</w:t>
      </w:r>
      <w:r>
        <w:rPr>
          <w:rFonts w:eastAsia="Calibri" w:hint="cs"/>
          <w:b/>
          <w:bCs/>
          <w:rtl/>
        </w:rPr>
        <w:t>הנשק</w:t>
      </w:r>
      <w:r>
        <w:rPr>
          <w:rFonts w:eastAsia="Calibri" w:hint="cs"/>
          <w:rtl/>
        </w:rPr>
        <w:t xml:space="preserve">").  רובה הקרלו הוא כלי שסוגל לירות ובכוחו להמית אדם. </w:t>
      </w:r>
    </w:p>
    <w:p w14:paraId="30B66AC8" w14:textId="77777777" w:rsidR="000F592A" w:rsidRDefault="000F592A" w:rsidP="000F592A">
      <w:pPr>
        <w:spacing w:after="160" w:line="360" w:lineRule="auto"/>
        <w:ind w:left="720"/>
        <w:contextualSpacing/>
        <w:jc w:val="both"/>
        <w:rPr>
          <w:rFonts w:eastAsia="Calibri"/>
        </w:rPr>
      </w:pPr>
      <w:r>
        <w:rPr>
          <w:rFonts w:eastAsia="Calibri" w:hint="cs"/>
          <w:rtl/>
        </w:rPr>
        <w:t xml:space="preserve">ביום 15.12.21 סמוך לשעה 14:00 התקשר נאשם 2 לנאשם 1 וביקש ממנו להביא את רובה הקרלו לאחר שיטעין אותו בכדורים, אל מחסן המצוי במתחם המגורים של נאשם 2 בג'סר </w:t>
      </w:r>
    </w:p>
    <w:p w14:paraId="612B5B03" w14:textId="77777777" w:rsidR="000F592A" w:rsidRDefault="000F592A" w:rsidP="000F592A">
      <w:pPr>
        <w:spacing w:after="160" w:line="360" w:lineRule="auto"/>
        <w:ind w:left="720"/>
        <w:contextualSpacing/>
        <w:jc w:val="both"/>
        <w:rPr>
          <w:rFonts w:eastAsia="Calibri"/>
        </w:rPr>
      </w:pPr>
      <w:r>
        <w:rPr>
          <w:rFonts w:eastAsia="Calibri" w:hint="cs"/>
          <w:rtl/>
        </w:rPr>
        <w:t>א-זרקא (להלן: "</w:t>
      </w:r>
      <w:r>
        <w:rPr>
          <w:rFonts w:eastAsia="Calibri" w:hint="cs"/>
          <w:b/>
          <w:bCs/>
          <w:rtl/>
        </w:rPr>
        <w:t>המחסן</w:t>
      </w:r>
      <w:r>
        <w:rPr>
          <w:rFonts w:eastAsia="Calibri" w:hint="cs"/>
          <w:rtl/>
        </w:rPr>
        <w:t xml:space="preserve">"). נאשם 2 ביקש מנאשם 1 לחבוש כובע על ראשו ולהגיע בהליכה רגלית דרך הוואדי. בעקבות בקשתו של נאשם 2, ובסמוך לשעה 14:15, נאשם 1 נשא והוביל את הנשק, בלא רשות על פי דין לנשיאתו ולהובלתו, ממרכז הכפר בג'סר א – זרקא למחסן. </w:t>
      </w:r>
    </w:p>
    <w:p w14:paraId="574F728E" w14:textId="77777777" w:rsidR="000F592A" w:rsidRDefault="000F592A" w:rsidP="000F592A">
      <w:pPr>
        <w:spacing w:after="160" w:line="360" w:lineRule="auto"/>
        <w:ind w:left="720"/>
        <w:contextualSpacing/>
        <w:jc w:val="both"/>
        <w:rPr>
          <w:rFonts w:eastAsia="Calibri"/>
          <w:rtl/>
        </w:rPr>
      </w:pPr>
      <w:r>
        <w:rPr>
          <w:rFonts w:eastAsia="Calibri" w:hint="cs"/>
          <w:rtl/>
        </w:rPr>
        <w:t>בהגיעו למחסן, נפגש נאשם 1 עם נאשם 2 ועם מוחמד (בן עבד) עמאש, שאדי גרבאן וא', והוציא מתחת לחולצתו את הנשק והניחו במקום. בשלב מסוים, יצא א' מהמחסן וחזר לאחר מספר דקות כשהוא נושא ומוביל מתחת לחולצתו רובה קרלו נוסף (להלן: "</w:t>
      </w:r>
      <w:r>
        <w:rPr>
          <w:rFonts w:eastAsia="Calibri" w:hint="cs"/>
          <w:b/>
          <w:bCs/>
          <w:rtl/>
        </w:rPr>
        <w:t>רובה קרלו נוסף</w:t>
      </w:r>
      <w:r>
        <w:rPr>
          <w:rFonts w:eastAsia="Calibri" w:hint="cs"/>
          <w:rtl/>
        </w:rPr>
        <w:t xml:space="preserve">"). א' מסר לנאשם 2 את רובה הקרלו הנוסף. בחלוף מספר דקות הלך א' פעם נוספת וחזר כשהוא נושא ומוביל שקית ובתוכה כדורים 9 מ"מ ומסר אותה לנאשם 2. נאשם 2 הכניס את הכדורים לתוך המחסנית והניח את הנשק ורובה הקרלו הנוסף מתחת לכיסא שהיה במקום. רובה הקרלו הנוסף הוא כלי נשק שסוגל לירות ובכוחו להמית אדם. </w:t>
      </w:r>
    </w:p>
    <w:p w14:paraId="1DEAA414" w14:textId="77777777" w:rsidR="000F592A" w:rsidRDefault="000F592A" w:rsidP="000F592A">
      <w:pPr>
        <w:spacing w:after="160" w:line="360" w:lineRule="auto"/>
        <w:ind w:left="720"/>
        <w:contextualSpacing/>
        <w:jc w:val="both"/>
        <w:rPr>
          <w:rFonts w:eastAsia="Calibri"/>
        </w:rPr>
      </w:pPr>
      <w:r>
        <w:rPr>
          <w:rFonts w:eastAsia="Calibri" w:hint="cs"/>
          <w:rtl/>
        </w:rPr>
        <w:t xml:space="preserve">סמוך לשעה 14:50 הגיעו שוטרים למחסן ובחיפוש שנערך במקום איתרו את שני רובי הקרלו שהיו מונחים מתחת לכיסא וכן אקדח מסוג גלוק שסוגל להמית שהיה מוטל על הרצפה סמוך לשני רובי הקרלו. </w:t>
      </w:r>
    </w:p>
    <w:p w14:paraId="4DA55BB9" w14:textId="77777777" w:rsidR="000F592A" w:rsidRDefault="000F592A" w:rsidP="000F592A">
      <w:pPr>
        <w:spacing w:after="160" w:line="360" w:lineRule="auto"/>
        <w:ind w:left="720"/>
        <w:contextualSpacing/>
        <w:jc w:val="both"/>
        <w:rPr>
          <w:rFonts w:eastAsia="Calibri"/>
        </w:rPr>
      </w:pPr>
      <w:r>
        <w:rPr>
          <w:rFonts w:eastAsia="Calibri" w:hint="cs"/>
          <w:rtl/>
        </w:rPr>
        <w:t xml:space="preserve">במעשיהם המתוארים לעיל, הנאשמים נשאו והובילו בצוותא חדא נשק, אביזר ותחמושת בלא רשות על פי דין לנשיאתם, הובלתם והחזקתם. </w:t>
      </w:r>
    </w:p>
    <w:p w14:paraId="5BBC947C" w14:textId="77777777" w:rsidR="000F592A" w:rsidRDefault="000F592A" w:rsidP="000F592A">
      <w:pPr>
        <w:spacing w:after="160" w:line="360" w:lineRule="auto"/>
        <w:ind w:left="720"/>
        <w:contextualSpacing/>
        <w:jc w:val="both"/>
        <w:rPr>
          <w:rFonts w:eastAsia="Calibri"/>
          <w:sz w:val="2"/>
          <w:szCs w:val="2"/>
        </w:rPr>
      </w:pPr>
    </w:p>
    <w:p w14:paraId="6C992F70" w14:textId="77777777" w:rsidR="000F592A" w:rsidRDefault="000F592A" w:rsidP="000F592A">
      <w:pPr>
        <w:pStyle w:val="a9"/>
        <w:numPr>
          <w:ilvl w:val="0"/>
          <w:numId w:val="1"/>
        </w:numPr>
        <w:spacing w:after="160" w:line="360" w:lineRule="auto"/>
        <w:jc w:val="both"/>
        <w:rPr>
          <w:rFonts w:ascii="David" w:eastAsia="Calibri" w:hAnsi="David"/>
          <w:rtl/>
        </w:rPr>
      </w:pPr>
      <w:r>
        <w:rPr>
          <w:rFonts w:ascii="David" w:eastAsia="Calibri" w:hAnsi="David"/>
          <w:rtl/>
        </w:rPr>
        <w:t>יובהר, כי לנאשמים מיוחס עבירה של נשיאת והובלתו של ה"נשק" (רובה הקרלו המחסנית והכדורים), אך לא מיוחסת להם כל עבירה ביחס לרובה ה"קרלו הנוסף" ולאקדח ה"גלוק" (ר' בהקשר זה דברי המאשימה בעמ' 25 ש' 8-5 לפרוטוקול מיום 30.11.22).</w:t>
      </w:r>
    </w:p>
    <w:p w14:paraId="4BBDC616" w14:textId="77777777" w:rsidR="000F592A" w:rsidRDefault="000F592A" w:rsidP="000F592A">
      <w:pPr>
        <w:spacing w:line="360" w:lineRule="auto"/>
        <w:ind w:left="360"/>
        <w:contextualSpacing/>
        <w:jc w:val="both"/>
        <w:rPr>
          <w:rFonts w:ascii="David" w:eastAsia="David" w:hAnsi="David"/>
          <w:b/>
          <w:bCs/>
          <w:u w:val="single"/>
          <w:rtl/>
        </w:rPr>
      </w:pPr>
      <w:r>
        <w:rPr>
          <w:rFonts w:hint="cs"/>
          <w:b/>
          <w:bCs/>
          <w:u w:val="single"/>
          <w:rtl/>
        </w:rPr>
        <w:t>עיקר טיעוני המאשימה לעונש</w:t>
      </w:r>
    </w:p>
    <w:p w14:paraId="4A651122" w14:textId="77777777" w:rsidR="000F592A" w:rsidRDefault="000F592A" w:rsidP="000F592A">
      <w:pPr>
        <w:spacing w:line="360" w:lineRule="auto"/>
        <w:jc w:val="both"/>
        <w:rPr>
          <w:sz w:val="12"/>
          <w:szCs w:val="12"/>
        </w:rPr>
      </w:pPr>
    </w:p>
    <w:p w14:paraId="224F28B5" w14:textId="77777777" w:rsidR="000F592A" w:rsidRDefault="000F592A" w:rsidP="000F592A">
      <w:pPr>
        <w:numPr>
          <w:ilvl w:val="0"/>
          <w:numId w:val="1"/>
        </w:numPr>
        <w:spacing w:after="160" w:line="360" w:lineRule="auto"/>
        <w:contextualSpacing/>
        <w:jc w:val="both"/>
        <w:rPr>
          <w:b/>
          <w:bCs/>
          <w:u w:val="single"/>
          <w:rtl/>
        </w:rPr>
      </w:pPr>
      <w:r>
        <w:rPr>
          <w:rFonts w:eastAsia="Calibri" w:hint="cs"/>
          <w:rtl/>
        </w:rPr>
        <w:t xml:space="preserve">המאשימה בטיעוניה הדגישה את חומרת העבירות בהן הורשעו הנאשמים, תוך מתן דגש על תופעת האלימות באמצעות נשק, והצורך להחמיר בעבירות נשק, כאשר המטרה היא להגן על שלום הציבור וביטחונו, על חיי אדם והרכוש. המאשימה ציינה כי מדובר בעבירות שנעשות במחשכים וקשה מאוד לחשוף אותן ובהתאם, יש להשית עונשים מרתיעים שכן הפיתוי בביצוע עבירות אלו  הינו רב בעוד הסיכוי להיתפס נמוך. בכל הקשור לנסיבות הקשורות בביצוע העבירות, טענה כי הנסיבות המפורטות בכתב האישום המתוקן מעידות על כך כי מדובר באירוע מתוכנן ומאורגן, כאשר הנאשם 2 ביקש מנאשם 1 להביא את רובה הקרלו לאחר שיטעין אותו בכדורים למחסן בו שהו, ואף ביקש מנאשם 1 לחבוש כובע על ראשו להגיע בהליכה רגלית דרך הוואדי. המאשימה הדגישה את העובדה  שמדובר בנשק </w:t>
      </w:r>
      <w:r>
        <w:rPr>
          <w:rFonts w:eastAsia="Calibri" w:hint="cs"/>
          <w:rtl/>
        </w:rPr>
        <w:lastRenderedPageBreak/>
        <w:t>שפוטנציאל הנזק הגלום בו הוא גבוה ביותר. עוד ציינה כי חלקו של כל אחד מהנאשמים בביצוע העבירות הוא משמעותי, וכל אחד מהם הוא בגדר "חוליה בלעדיה אין". המאשימה ציינה כי אמנם היה זה הנאשם 1 שנשא והוביל את הנשק עד למחסן, אך הנאשם 2 הוא זה אשר הורה לנאשם 1 להביא את הנשק. המאשימה לא ידעה להצביע על הסיבות שהביאו את הנאשמים לביצוע העבירות, בין אם לצורך שימושם הפרטי ובין אם למטרה אחרת, אך בכל מקרה מדובר בנסיבות חמורות. המאשימה הדגישה כי מדובר בנאשמים בגירים שבחרו בחירה מודעת לבצע את העבירות, וציינה לחומרה, שבמחסן בו נפגשו הנאשמים, נמצאו נשקים נוספים. המאשימה הפנתה להנחיית פרקליט המדינה בדבר מדיניות הענישה המחמירה בעבירות נשק והמאמץ התביעתי להביא לצמצום תופעת עבירות הנשק. עוד הפנתה לתסקירי שירות המבחן שהוגשו בעניינם של הנאשמים, כאשר לגבי נאשם 1, ההתרשמות היא כי הנאשם לקח אחריות פורמאלית חלקית והשליך את האחריות על גורמים חיצוניים, ופועל מתוך דפוסים עברייניים, וההערכה היא כי קיים  סיכון לחזרתיות של עבריינות בעתיד. לגבי נאשם 2, ציינה כי התרשמות שרות המבחן הייתה שהוא התקשה לקבל אחריות מלאה  על מעשיו והשליך מעשיו על גורמים חיצוניים, ונוטה להתבצר בעמדה הגנתית וקורבנית. עוד הדגישה כי שירות המבחן התרשם מאישיות בלתי בשלה ומגובשת, וקיים סיכון לא מבוטל להישנות התנהגות מפרת חוק מצדו בעתיד. בהתאם שרות המבחן נמנע מהמלצה טיפולית ביחס לשני הנאשמים. המאשימה הפנתה לתיקון 140 ל</w:t>
      </w:r>
      <w:hyperlink r:id="rId16" w:history="1">
        <w:r w:rsidR="000B6911" w:rsidRPr="000B6911">
          <w:rPr>
            <w:rFonts w:eastAsia="Calibri"/>
            <w:color w:val="0000FF"/>
            <w:u w:val="single"/>
            <w:rtl/>
          </w:rPr>
          <w:t>חוק העונשין</w:t>
        </w:r>
      </w:hyperlink>
      <w:r>
        <w:rPr>
          <w:rFonts w:eastAsia="Calibri" w:hint="cs"/>
          <w:rtl/>
        </w:rPr>
        <w:t xml:space="preserve"> בדבר קביעת עונש מינימום בעבירות נשק תיקון שיש בו כדי להצביע על רצון המחוקק והצורך להחמיר בעבירות נשק. אשר לנסיבות שאינן קשורות בביצוע העבירות, הפנתה להודאת הנאשמים בעובדות כתב אישום המתוקן, ולחיסכון בזמן שיפוטי. ציינה כי הנאשם 2 נעדר עבר פלילי ולנאשם 1 הרשעות בעבירות של חבלה במזיד לרכב, תקיפה סתם, עבירות איומים, הפרעה לשוטר במילוי תפקידו, היזק לרכוש במזיד, עבירות של תקיפה סתם, פריצה לבניין, גניבה ועבירות של תקיפה הגורמת חבלה ממשית. המאשימה הפנתה לפסיקה ביחס למדיניות הענישה הנוהגת וביקשה לקבוע ביחס לשני הנאשמים מתחם עונש הולם אשר נע בין 3 ל- 5.5 שנות מאסר בפועל. כאשר בעניינו של נאשם 1 ביקשה למקם את עונשו ברף הבינוני העליון, ובעניינו של נאשם 2 ביקשה למקם את עונשו ברף הבינוני תחתון. עוד ביקשה להטיל על הנאשמים עונשי מאסר על תנאי לתקופה ארוכה ומשמעותית וקנס כספי. </w:t>
      </w:r>
    </w:p>
    <w:p w14:paraId="51D97C0C" w14:textId="77777777" w:rsidR="000F592A" w:rsidRDefault="000F592A" w:rsidP="000F592A">
      <w:pPr>
        <w:spacing w:line="360" w:lineRule="auto"/>
        <w:ind w:left="360"/>
        <w:jc w:val="both"/>
        <w:rPr>
          <w:b/>
          <w:bCs/>
          <w:sz w:val="14"/>
          <w:szCs w:val="14"/>
          <w:u w:val="single"/>
          <w:rtl/>
        </w:rPr>
      </w:pPr>
    </w:p>
    <w:p w14:paraId="1F78BF77" w14:textId="77777777" w:rsidR="000F592A" w:rsidRDefault="000F592A" w:rsidP="000F592A">
      <w:pPr>
        <w:spacing w:line="360" w:lineRule="auto"/>
        <w:ind w:left="360"/>
        <w:jc w:val="both"/>
        <w:rPr>
          <w:b/>
          <w:bCs/>
          <w:u w:val="single"/>
          <w:rtl/>
        </w:rPr>
      </w:pPr>
      <w:r>
        <w:rPr>
          <w:rFonts w:hint="cs"/>
          <w:b/>
          <w:bCs/>
          <w:u w:val="single"/>
          <w:rtl/>
        </w:rPr>
        <w:t>עיקר טיעוני הנאשם 1 לעונש</w:t>
      </w:r>
    </w:p>
    <w:p w14:paraId="7655E94E" w14:textId="77777777" w:rsidR="000F592A" w:rsidRDefault="000F592A" w:rsidP="000F592A">
      <w:pPr>
        <w:spacing w:line="360" w:lineRule="auto"/>
        <w:ind w:left="360"/>
        <w:jc w:val="both"/>
        <w:rPr>
          <w:b/>
          <w:bCs/>
          <w:sz w:val="12"/>
          <w:szCs w:val="12"/>
          <w:u w:val="single"/>
        </w:rPr>
      </w:pPr>
    </w:p>
    <w:p w14:paraId="58E45490" w14:textId="77777777" w:rsidR="000F592A" w:rsidRDefault="000F592A" w:rsidP="000F592A">
      <w:pPr>
        <w:numPr>
          <w:ilvl w:val="0"/>
          <w:numId w:val="1"/>
        </w:numPr>
        <w:spacing w:after="160" w:line="360" w:lineRule="auto"/>
        <w:contextualSpacing/>
        <w:jc w:val="both"/>
        <w:rPr>
          <w:rFonts w:eastAsia="Calibri"/>
        </w:rPr>
      </w:pPr>
      <w:r>
        <w:rPr>
          <w:rFonts w:eastAsia="Calibri" w:hint="cs"/>
          <w:rtl/>
        </w:rPr>
        <w:t xml:space="preserve">ב"כ הנאשם, הפנה לנסיבותיו האישיות של הנאשם, בין היתר לגילו הצעיר, לעובדה כי גדל בתנאים משפחתיים וסביבתיים קשים, בדגש על מצב אביו אשר משתמש בסמים ואלכוהול. עוד ציין, כי מדובר בנאשם שלמד בבית ספר לחינוך מיוחד. בכל הקשור לנסיבות ביצוע העבירה, ציין כי העבירה בוצעה על רקע תסמונת פוסט טראומטית ממנה הנאשם סובל  והוא מצוי בחרדה מתמדת. הדגיש, כי העבירה בוצעה ללא שום כוונת תקיפה או פגיעה /ירי בחפים מפשע. בהתאם, טען כי מדובר ברף החומרה הנמוך ביחס לעבירה בה הנאשם הורשע. בכל הקשור לעברו הפלילי, ציין כי זה נבע מהמורכבות המשפחתית ונסיבותיו האישיות הקשות. עוד הפנה לתסקיר שירות המבחן, וציין כי חרף העדר המלצה טיפולית,  קיימת נזקקות טיפולית ועל הנאשם לעבור הליך טיפולי שיהיה בו כדי לסייע בשיקומו. עוד ביקש להתחשב בעובדה שהנאשם עצור מחודש דצמבר 2021 ועד היום. בכל הקשור למדיניות הענישה, הפנה לפסיקה רלוונטית וביקש למקם את עונשו של הנאשם ברף התחתון של המתחם שייקבע. בהתאם , ביקש להסתפק בעונש המאסר שהנאשם ריצה עד היום. </w:t>
      </w:r>
    </w:p>
    <w:p w14:paraId="4A8D02A3" w14:textId="77777777" w:rsidR="000F592A" w:rsidRDefault="000F592A" w:rsidP="000F592A">
      <w:pPr>
        <w:spacing w:line="360" w:lineRule="auto"/>
        <w:ind w:left="720"/>
        <w:contextualSpacing/>
        <w:jc w:val="both"/>
        <w:rPr>
          <w:rFonts w:eastAsia="Calibri"/>
          <w:sz w:val="8"/>
          <w:szCs w:val="8"/>
          <w:rtl/>
        </w:rPr>
      </w:pPr>
    </w:p>
    <w:p w14:paraId="1EAAF764" w14:textId="77777777" w:rsidR="000F592A" w:rsidRDefault="000F592A" w:rsidP="000F592A">
      <w:pPr>
        <w:spacing w:line="360" w:lineRule="auto"/>
        <w:ind w:left="720"/>
        <w:contextualSpacing/>
        <w:jc w:val="both"/>
        <w:rPr>
          <w:rFonts w:eastAsia="Calibri"/>
          <w:rtl/>
        </w:rPr>
      </w:pPr>
      <w:r>
        <w:rPr>
          <w:rFonts w:eastAsia="Calibri" w:hint="cs"/>
          <w:rtl/>
        </w:rPr>
        <w:t>הנאשם עצמו הודה בביצוע העבירה, טען כי הפנים את טעותו, והצטער על מעשיו.</w:t>
      </w:r>
    </w:p>
    <w:p w14:paraId="1FE17871" w14:textId="77777777" w:rsidR="000F592A" w:rsidRDefault="000F592A" w:rsidP="000F592A">
      <w:pPr>
        <w:spacing w:line="360" w:lineRule="auto"/>
        <w:ind w:left="720"/>
        <w:contextualSpacing/>
        <w:jc w:val="both"/>
        <w:rPr>
          <w:rFonts w:eastAsia="Calibri"/>
        </w:rPr>
      </w:pPr>
    </w:p>
    <w:p w14:paraId="27D65AF9" w14:textId="77777777" w:rsidR="000F592A" w:rsidRDefault="000F592A" w:rsidP="000F592A">
      <w:pPr>
        <w:spacing w:line="360" w:lineRule="auto"/>
        <w:ind w:firstLine="360"/>
        <w:jc w:val="both"/>
        <w:rPr>
          <w:b/>
          <w:bCs/>
          <w:u w:val="single"/>
        </w:rPr>
      </w:pPr>
      <w:r>
        <w:rPr>
          <w:rFonts w:hint="cs"/>
          <w:b/>
          <w:bCs/>
          <w:u w:val="single"/>
          <w:rtl/>
        </w:rPr>
        <w:t>עיקר טיעוני הנאשם 2 לעונש</w:t>
      </w:r>
    </w:p>
    <w:p w14:paraId="656CC6B7" w14:textId="77777777" w:rsidR="000F592A" w:rsidRDefault="000F592A" w:rsidP="000F592A">
      <w:pPr>
        <w:spacing w:line="360" w:lineRule="auto"/>
        <w:ind w:left="360"/>
        <w:contextualSpacing/>
        <w:jc w:val="both"/>
        <w:rPr>
          <w:rFonts w:eastAsia="David"/>
          <w:b/>
          <w:bCs/>
          <w:u w:val="single"/>
        </w:rPr>
      </w:pPr>
    </w:p>
    <w:p w14:paraId="19104688" w14:textId="77777777" w:rsidR="000F592A" w:rsidRDefault="000F592A" w:rsidP="000F592A">
      <w:pPr>
        <w:numPr>
          <w:ilvl w:val="0"/>
          <w:numId w:val="1"/>
        </w:numPr>
        <w:spacing w:after="160" w:line="360" w:lineRule="auto"/>
        <w:contextualSpacing/>
        <w:jc w:val="both"/>
        <w:rPr>
          <w:b/>
          <w:bCs/>
          <w:u w:val="single"/>
          <w:rtl/>
        </w:rPr>
      </w:pPr>
      <w:r>
        <w:rPr>
          <w:rFonts w:hint="cs"/>
          <w:rtl/>
        </w:rPr>
        <w:t>ב"כ הנאשם הפנתה להודאתו המידית של הנאשם, ללקיחת האחריות ,להבעת החרטה ולחיסכון בזמן שיפוטי יקר. עוד הפנה לעובדה שמדובר בנאשם צעיר בן 18 וחצי הנעדר כל עבר פלילי. הפנה לנסיבותיו האישיות של הנאשם כעולה מתסקיר שירות המבחן ובפרט לעובדה כי מדובר בנאשם צעיר שאישיותו טרם גובשה, בן למשפחה תומכת שמלווה אותו. בכל הקשור לנסיבות ביצוע העבירה, טען כי חלקו של הנאשם 2 קטן ביותר ומזערי, כאשר כל חלקו היה שהתקשר לנאשם מס' 1 וביקש ממנו להגיע למחסן עם הנשק. הדגיש את העובדה שהנאשם 2 לא החזיק או נגע בנשק והעבירה יוחסה לו מכוח ביצוע בצוותא. עוד הדגיש את התקופה קצרה , כחצי שעה, בה הנאשם היה ליד הנשק עד להגעת המשטרה. בכל הקשור למדיניות הענישה, ביקש לאבחן את פסיקת המאשימה, והפנה לפסיקה רלוונטית. עוד ציין כי עונש המינימום הקבוע בגין העבירה בה הורשע הנאשם, אינו מתייחס רק למאסר ממש ויכול לכלול גם רכיב של מאסר מותנה.  לאור כל האמור לעיל, ביקש להסתפק בתקופת המעצר למשך 12 חודשים בה הנאשם נתון , תוך הטלת תקופת מאסר נוספת על תנאי.</w:t>
      </w:r>
    </w:p>
    <w:p w14:paraId="206E8009" w14:textId="77777777" w:rsidR="000F592A" w:rsidRPr="00E23400" w:rsidRDefault="000F592A" w:rsidP="000F592A">
      <w:pPr>
        <w:spacing w:line="360" w:lineRule="auto"/>
        <w:jc w:val="both"/>
        <w:rPr>
          <w:b/>
          <w:bCs/>
          <w:sz w:val="16"/>
          <w:szCs w:val="16"/>
          <w:u w:val="single"/>
        </w:rPr>
      </w:pPr>
    </w:p>
    <w:p w14:paraId="4A32AEB0" w14:textId="77777777" w:rsidR="000F592A" w:rsidRDefault="000F592A" w:rsidP="000F592A">
      <w:pPr>
        <w:spacing w:line="360" w:lineRule="auto"/>
        <w:ind w:left="720"/>
        <w:contextualSpacing/>
        <w:jc w:val="both"/>
        <w:rPr>
          <w:rFonts w:eastAsia="Calibri"/>
          <w:rtl/>
        </w:rPr>
      </w:pPr>
      <w:r>
        <w:rPr>
          <w:rFonts w:eastAsia="Calibri" w:hint="cs"/>
          <w:rtl/>
        </w:rPr>
        <w:t xml:space="preserve">הנאשם עצמו הודה בביצוע העבירה, הפנים את טעותו, והצטער על מעשיו. </w:t>
      </w:r>
    </w:p>
    <w:p w14:paraId="1564727A" w14:textId="77777777" w:rsidR="000F592A" w:rsidRPr="00E23400" w:rsidRDefault="000F592A" w:rsidP="000F592A">
      <w:pPr>
        <w:spacing w:line="360" w:lineRule="auto"/>
        <w:ind w:left="720"/>
        <w:contextualSpacing/>
        <w:jc w:val="both"/>
        <w:rPr>
          <w:b/>
          <w:bCs/>
          <w:sz w:val="14"/>
          <w:szCs w:val="14"/>
          <w:u w:val="single"/>
        </w:rPr>
      </w:pPr>
    </w:p>
    <w:p w14:paraId="4988724F" w14:textId="77777777" w:rsidR="000F592A" w:rsidRDefault="000F592A" w:rsidP="000F592A">
      <w:pPr>
        <w:spacing w:after="160" w:line="360" w:lineRule="auto"/>
        <w:ind w:left="567" w:hanging="142"/>
        <w:jc w:val="both"/>
        <w:rPr>
          <w:rFonts w:eastAsia="David"/>
          <w:b/>
          <w:bCs/>
          <w:u w:val="single"/>
        </w:rPr>
      </w:pPr>
      <w:r>
        <w:rPr>
          <w:rFonts w:hint="cs"/>
          <w:b/>
          <w:bCs/>
          <w:u w:val="single"/>
          <w:rtl/>
        </w:rPr>
        <w:t>תסקירי שירות מבחן:</w:t>
      </w:r>
    </w:p>
    <w:p w14:paraId="12961F30" w14:textId="77777777" w:rsidR="000F592A" w:rsidRDefault="000F592A" w:rsidP="000F592A">
      <w:pPr>
        <w:spacing w:after="160" w:line="360" w:lineRule="auto"/>
        <w:ind w:firstLine="360"/>
        <w:jc w:val="both"/>
        <w:rPr>
          <w:b/>
          <w:bCs/>
          <w:u w:val="single"/>
        </w:rPr>
      </w:pPr>
      <w:r>
        <w:rPr>
          <w:rFonts w:hint="cs"/>
          <w:b/>
          <w:bCs/>
          <w:u w:val="single"/>
          <w:rtl/>
        </w:rPr>
        <w:t>נאשם 1</w:t>
      </w:r>
    </w:p>
    <w:p w14:paraId="243729CA" w14:textId="77777777" w:rsidR="000F592A" w:rsidRDefault="000F592A" w:rsidP="000F592A">
      <w:pPr>
        <w:numPr>
          <w:ilvl w:val="0"/>
          <w:numId w:val="1"/>
        </w:numPr>
        <w:spacing w:after="160" w:line="360" w:lineRule="auto"/>
        <w:contextualSpacing/>
        <w:jc w:val="both"/>
      </w:pPr>
      <w:r>
        <w:rPr>
          <w:rFonts w:hint="cs"/>
          <w:rtl/>
        </w:rPr>
        <w:t xml:space="preserve">בתסקיר שירות המבחן שהוגש בעניינו של הנאשם 1 פורטו בהרחבה נסיבותיו האישיות. מהתסקיר עולה כי הנאשם נוטל אחריות ראשונית פורמלית וחלקית על מעשיו. הנאשם מסר כי קנה את הנשק על מנת להשיג סטטוס גברי בין קבוצת השווים שלו, ועל מנת לפתח את תחושת המוגנות שלו, והשליך את האחריות על חבריו שלדבריו השפיעו עליו לרעה. עם זאת, הנאשם  ביטא הבנה לפוטנציאל הפגיעה בחברה כתוצאה ממעשיו. שירות המבחן, העריך כי הנאשם פועל מתוך דפוסים עבריינים. כגורמי סיכוי, שירות המבחן הביא בחשבון את גילו הצעיר של הנאשם, והאחריות הראשונית שנטל. כגורמי סיכון, הובאו בחשבון הקושי של הנאשם להתבונן על מעשיו באופן ביקורתי, מעורבותו החוזרת בפלילים ומגמת ההסלמה ביחס לחומרת העבירות.  בנוסף צוין,  כי סנקציות עונשיות קודמות לא מנעו מהנאשם  את המשך מעורבותו בפלילים, וזאת בצד מאפייניו האישיותיים, והעדר גורמי תמיכה משמעותיים. לאור כל האמור לעיל, שירות המבחן התרשם כי גורמי הסיכון גוברים על  סיכוי השיקום. בהתאם, לא בא בהמלצה טיפולית בעניינו של הנאשם. </w:t>
      </w:r>
    </w:p>
    <w:p w14:paraId="734AEA72" w14:textId="77777777" w:rsidR="000F592A" w:rsidRDefault="000F592A" w:rsidP="000F592A">
      <w:pPr>
        <w:spacing w:after="160" w:line="360" w:lineRule="auto"/>
        <w:ind w:left="360"/>
        <w:jc w:val="both"/>
        <w:rPr>
          <w:b/>
          <w:bCs/>
          <w:u w:val="single"/>
          <w:rtl/>
        </w:rPr>
      </w:pPr>
      <w:r>
        <w:rPr>
          <w:rFonts w:hint="cs"/>
          <w:b/>
          <w:bCs/>
          <w:u w:val="single"/>
          <w:rtl/>
        </w:rPr>
        <w:t>נאשם 2:</w:t>
      </w:r>
    </w:p>
    <w:p w14:paraId="1C10FCDF" w14:textId="77777777" w:rsidR="000F592A" w:rsidRDefault="000F592A" w:rsidP="000F592A">
      <w:pPr>
        <w:numPr>
          <w:ilvl w:val="0"/>
          <w:numId w:val="1"/>
        </w:numPr>
        <w:spacing w:after="160" w:line="360" w:lineRule="auto"/>
        <w:contextualSpacing/>
        <w:jc w:val="both"/>
        <w:rPr>
          <w:rtl/>
        </w:rPr>
      </w:pPr>
      <w:r>
        <w:rPr>
          <w:rFonts w:hint="cs"/>
          <w:rtl/>
        </w:rPr>
        <w:t xml:space="preserve">בתסקיר שירות המבחן שהוגש בעניינו של הנאשם 2 פורטו בהרחבה נסיבותיו האישיות. מהתסקיר עולה כי הנאשם מתקשה לקבל אחריות מלאה על מעשיו, והתקשה לתת ביטוי רגשי להתנהגותו הבעייתית,  תוך שהוא משתמש במנגנוני הגנה של ניתוק ומינימליזציה ביחס לחומרת מעשיו וסבור שהתנהגותו במקרה זה אינה משקפת את התנהלותו בחיים עד כה. שירות המבחן העריך, כי מדובר בנאשם חסר בשלות, שזהותו טרם גובשה,  מגלה קושי בהפעלת שיקול דעת מותאם במצבים חברתיים מורכבים, וזאת מתוך רצון להשתייך, ותחושת לויאליות לחברים. שירות המבחן סבר, כי הנאשם מונע מתוך תפיסה קורבנית המקשה עליו לערוך תהליך של התבוננות פנימית ולבחון את הבעייתיות במעשיו. עוד התרשם כי התנהגותו של הנאשם מבטאת קשיים בעריכת שיקול דעת אחראי ודפוסים של חוסר שליטה בדחפים, לצד עמדות ותפיסות ערכיות לא בשלות המתירות החזקת נשק, כחלק מתפיסת עולם גברית. לאור כל האמור לעיל, שירות המבחן, העריך כי הפרוגנוזה לשינוי דפוסי התנהלותו הינה נמוכה וקיים סיכון לא מבוטל להישנות התנהגות מפרת חוק מצדו בעתיד. בהתאם, שירות המבחן לא בא בהמלצה טיפולית בעניינו של הנאשם 2. </w:t>
      </w:r>
    </w:p>
    <w:p w14:paraId="52C1A863" w14:textId="77777777" w:rsidR="000F592A" w:rsidRDefault="000F592A" w:rsidP="000F592A">
      <w:pPr>
        <w:spacing w:after="160" w:line="360" w:lineRule="auto"/>
        <w:ind w:left="391"/>
        <w:contextualSpacing/>
        <w:jc w:val="both"/>
        <w:rPr>
          <w:b/>
          <w:bCs/>
          <w:u w:val="single"/>
        </w:rPr>
      </w:pPr>
    </w:p>
    <w:p w14:paraId="6A65D2B3" w14:textId="77777777" w:rsidR="000F592A" w:rsidRDefault="000F592A" w:rsidP="000F592A">
      <w:pPr>
        <w:spacing w:after="160" w:line="360" w:lineRule="auto"/>
        <w:ind w:left="391"/>
        <w:contextualSpacing/>
        <w:jc w:val="both"/>
        <w:rPr>
          <w:b/>
          <w:bCs/>
          <w:u w:val="single"/>
          <w:rtl/>
        </w:rPr>
      </w:pPr>
      <w:r>
        <w:rPr>
          <w:rFonts w:hint="cs"/>
          <w:b/>
          <w:bCs/>
          <w:u w:val="single"/>
          <w:rtl/>
        </w:rPr>
        <w:t>דיון</w:t>
      </w:r>
    </w:p>
    <w:p w14:paraId="5F511D14" w14:textId="77777777" w:rsidR="000F592A" w:rsidRDefault="000F592A" w:rsidP="000F592A">
      <w:pPr>
        <w:spacing w:after="160" w:line="360" w:lineRule="auto"/>
        <w:ind w:firstLine="360"/>
        <w:jc w:val="both"/>
        <w:rPr>
          <w:b/>
          <w:bCs/>
          <w:u w:val="single"/>
          <w:rtl/>
        </w:rPr>
      </w:pPr>
      <w:r>
        <w:rPr>
          <w:rFonts w:hint="cs"/>
          <w:b/>
          <w:bCs/>
          <w:u w:val="single"/>
          <w:rtl/>
        </w:rPr>
        <w:t>קביעת מתחם העונש ההולם</w:t>
      </w:r>
    </w:p>
    <w:p w14:paraId="45D5725D" w14:textId="77777777" w:rsidR="000F592A" w:rsidRDefault="000F592A" w:rsidP="000F592A">
      <w:pPr>
        <w:numPr>
          <w:ilvl w:val="0"/>
          <w:numId w:val="1"/>
        </w:numPr>
        <w:spacing w:after="160" w:line="360" w:lineRule="auto"/>
        <w:contextualSpacing/>
        <w:jc w:val="both"/>
        <w:rPr>
          <w:b/>
          <w:bCs/>
          <w:u w:val="single"/>
        </w:rPr>
      </w:pPr>
      <w:r>
        <w:rPr>
          <w:rFonts w:hint="cs"/>
          <w:rtl/>
        </w:rPr>
        <w:t xml:space="preserve">פרק </w:t>
      </w:r>
      <w:hyperlink r:id="rId17" w:history="1">
        <w:r w:rsidR="00A27597" w:rsidRPr="00A27597">
          <w:rPr>
            <w:rStyle w:val="Hyperlink"/>
            <w:rFonts w:hint="eastAsia"/>
            <w:rtl/>
          </w:rPr>
          <w:t>ו</w:t>
        </w:r>
        <w:r w:rsidR="00A27597" w:rsidRPr="00A27597">
          <w:rPr>
            <w:rStyle w:val="Hyperlink"/>
            <w:rtl/>
          </w:rPr>
          <w:t xml:space="preserve">' סימן א' 1 </w:t>
        </w:r>
      </w:hyperlink>
      <w:r>
        <w:rPr>
          <w:rFonts w:hint="cs"/>
          <w:rtl/>
        </w:rPr>
        <w:t xml:space="preserve">  ל</w:t>
      </w:r>
      <w:hyperlink r:id="rId18" w:history="1">
        <w:r w:rsidR="000B6911" w:rsidRPr="000B6911">
          <w:rPr>
            <w:color w:val="0000FF"/>
            <w:u w:val="single"/>
            <w:rtl/>
          </w:rPr>
          <w:t>חוק העונשין</w:t>
        </w:r>
      </w:hyperlink>
      <w:r>
        <w:rPr>
          <w:rFonts w:hint="cs"/>
          <w:rtl/>
        </w:rPr>
        <w:t xml:space="preserve"> דן בהבניית שיפוט הדעת השיפוטי בענישה (</w:t>
      </w:r>
      <w:hyperlink r:id="rId19" w:history="1">
        <w:r w:rsidR="00A27597" w:rsidRPr="00A27597">
          <w:rPr>
            <w:rStyle w:val="Hyperlink"/>
            <w:rFonts w:hint="eastAsia"/>
            <w:rtl/>
          </w:rPr>
          <w:t>סעיפים</w:t>
        </w:r>
        <w:r w:rsidR="00A27597" w:rsidRPr="00A27597">
          <w:rPr>
            <w:rStyle w:val="Hyperlink"/>
            <w:rtl/>
          </w:rPr>
          <w:t xml:space="preserve"> 40א-טו)</w:t>
        </w:r>
      </w:hyperlink>
      <w:r>
        <w:rPr>
          <w:rFonts w:hint="cs"/>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20" w:history="1">
        <w:r w:rsidR="00A27597" w:rsidRPr="00A27597">
          <w:rPr>
            <w:rStyle w:val="Hyperlink"/>
            <w:rtl/>
          </w:rPr>
          <w:t>40 א</w:t>
        </w:r>
      </w:hyperlink>
      <w:r>
        <w:rPr>
          <w:rFonts w:hint="cs"/>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28913B6B" w14:textId="77777777" w:rsidR="000F592A" w:rsidRDefault="000F592A" w:rsidP="000F592A">
      <w:pPr>
        <w:shd w:val="clear" w:color="auto" w:fill="FFFFFF"/>
        <w:spacing w:after="160" w:line="360" w:lineRule="auto"/>
        <w:ind w:left="720"/>
        <w:contextualSpacing/>
        <w:jc w:val="both"/>
        <w:rPr>
          <w:rFonts w:eastAsia="David"/>
          <w:b/>
          <w:bCs/>
          <w:u w:val="single"/>
        </w:rPr>
      </w:pPr>
    </w:p>
    <w:p w14:paraId="66A14558" w14:textId="77777777" w:rsidR="000F592A" w:rsidRDefault="000F592A" w:rsidP="000F592A">
      <w:pPr>
        <w:shd w:val="clear" w:color="auto" w:fill="FFFFFF"/>
        <w:spacing w:after="160" w:line="360" w:lineRule="auto"/>
        <w:ind w:left="391"/>
        <w:contextualSpacing/>
        <w:jc w:val="both"/>
        <w:rPr>
          <w:rFonts w:eastAsia="Calibri"/>
          <w:rtl/>
        </w:rPr>
      </w:pPr>
      <w:r>
        <w:rPr>
          <w:rFonts w:hint="cs"/>
          <w:b/>
          <w:bCs/>
          <w:u w:val="single"/>
          <w:rtl/>
        </w:rPr>
        <w:t>הערכים החברתיים עליהם יש להגן</w:t>
      </w:r>
    </w:p>
    <w:p w14:paraId="53EE3A20" w14:textId="77777777" w:rsidR="000F592A" w:rsidRDefault="000F592A" w:rsidP="000F592A">
      <w:pPr>
        <w:shd w:val="clear" w:color="auto" w:fill="FFFFFF"/>
        <w:spacing w:after="160" w:line="360" w:lineRule="auto"/>
        <w:ind w:left="720"/>
        <w:contextualSpacing/>
        <w:jc w:val="both"/>
        <w:rPr>
          <w:rFonts w:eastAsia="Calibri"/>
          <w:rtl/>
        </w:rPr>
      </w:pPr>
    </w:p>
    <w:p w14:paraId="7538D2CF" w14:textId="77777777" w:rsidR="000F592A" w:rsidRDefault="000F592A" w:rsidP="000F592A">
      <w:pPr>
        <w:numPr>
          <w:ilvl w:val="0"/>
          <w:numId w:val="1"/>
        </w:numPr>
        <w:spacing w:after="160" w:line="360" w:lineRule="auto"/>
        <w:contextualSpacing/>
        <w:jc w:val="both"/>
        <w:rPr>
          <w:rtl/>
        </w:rPr>
      </w:pPr>
      <w:r>
        <w:rPr>
          <w:rFonts w:hint="cs"/>
          <w:rtl/>
        </w:rPr>
        <w:t xml:space="preserve">הערכים המוגנים שנפגעו כתוצאה מביצוע העבירות נשוא כתב האישום המתוקן הינם: </w:t>
      </w:r>
      <w:r>
        <w:rPr>
          <w:rFonts w:hint="cs"/>
          <w:spacing w:val="10"/>
          <w:rtl/>
        </w:rPr>
        <w:t>הצורך בשמירה על חיי אדם ושלמות הגוף</w:t>
      </w:r>
      <w:r>
        <w:rPr>
          <w:rFonts w:hint="cs"/>
          <w:rtl/>
          <w:lang w:eastAsia="he-IL"/>
        </w:rPr>
        <w:t xml:space="preserve">,  שלום הציבור ותחושת בטחונו מפני פגיעות בגוף ובנפש והסדר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וניתנים במשורה ביחס לאזרחים מן השורה. </w:t>
      </w:r>
      <w:r>
        <w:rPr>
          <w:rFonts w:hint="cs"/>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1FFC52B3" w14:textId="77777777" w:rsidR="000F592A" w:rsidRDefault="000F592A" w:rsidP="000F592A">
      <w:pPr>
        <w:spacing w:line="360" w:lineRule="auto"/>
        <w:jc w:val="both"/>
        <w:rPr>
          <w:rFonts w:eastAsia="David"/>
          <w:sz w:val="10"/>
          <w:szCs w:val="10"/>
        </w:rPr>
      </w:pPr>
    </w:p>
    <w:p w14:paraId="2DFD6E7A" w14:textId="77777777" w:rsidR="000F592A" w:rsidRDefault="000F592A" w:rsidP="000F592A">
      <w:pPr>
        <w:spacing w:line="360" w:lineRule="auto"/>
        <w:ind w:left="720"/>
        <w:contextualSpacing/>
        <w:jc w:val="both"/>
        <w:rPr>
          <w:b/>
          <w:bCs/>
        </w:rPr>
      </w:pPr>
      <w:r>
        <w:rPr>
          <w:rFonts w:hint="cs"/>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w:t>
      </w:r>
      <w:r w:rsidR="000B6911">
        <w:rPr>
          <w:rFonts w:hint="cs"/>
          <w:rtl/>
        </w:rPr>
        <w:t xml:space="preserve"> </w:t>
      </w:r>
      <w:r>
        <w:rPr>
          <w:rFonts w:hint="cs"/>
          <w:rtl/>
        </w:rPr>
        <w:t xml:space="preserve"> </w:t>
      </w:r>
      <w:hyperlink r:id="rId21" w:history="1">
        <w:r w:rsidR="000B6911" w:rsidRPr="000B6911">
          <w:rPr>
            <w:color w:val="0000FF"/>
            <w:u w:val="single"/>
            <w:rtl/>
          </w:rPr>
          <w:t>חוק העונשין</w:t>
        </w:r>
      </w:hyperlink>
      <w:r>
        <w:rPr>
          <w:rFonts w:hint="cs"/>
          <w:rtl/>
        </w:rPr>
        <w:t xml:space="preserve"> (תיקון מס' 140 – הוראת שעה), התשפ"ב-2021, אשר נכנס לתוקף בדצמבר 2021. ר' </w:t>
      </w:r>
      <w:r>
        <w:rPr>
          <w:rFonts w:hint="cs"/>
        </w:rPr>
        <w:t xml:space="preserve"> </w:t>
      </w:r>
      <w:hyperlink r:id="rId22" w:history="1">
        <w:r w:rsidR="000B6911" w:rsidRPr="000B6911">
          <w:rPr>
            <w:b/>
            <w:bCs/>
            <w:color w:val="0000FF"/>
            <w:u w:val="single"/>
            <w:rtl/>
          </w:rPr>
          <w:t>ע"פ 5813/21</w:t>
        </w:r>
      </w:hyperlink>
      <w:r>
        <w:rPr>
          <w:rFonts w:hint="cs"/>
          <w:b/>
          <w:bCs/>
          <w:rtl/>
        </w:rPr>
        <w:t xml:space="preserve"> </w:t>
      </w:r>
      <w:r>
        <w:rPr>
          <w:rFonts w:hint="cs"/>
          <w:b/>
          <w:bCs/>
          <w:u w:val="single"/>
          <w:rtl/>
        </w:rPr>
        <w:t>ג'בארין נ' מדינת ישראל</w:t>
      </w:r>
      <w:r>
        <w:rPr>
          <w:rFonts w:hint="cs"/>
          <w:rtl/>
        </w:rPr>
        <w:t xml:space="preserve"> שם נאמר בין היתר: "</w:t>
      </w:r>
      <w:r>
        <w:rPr>
          <w:rFonts w:hint="cs"/>
          <w:b/>
          <w:bCs/>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23" w:history="1">
        <w:r w:rsidR="000B6911" w:rsidRPr="000B6911">
          <w:rPr>
            <w:b/>
            <w:bCs/>
            <w:color w:val="0000FF"/>
            <w:u w:val="single"/>
            <w:rtl/>
          </w:rPr>
          <w:t>ע"פ 8320/21</w:t>
        </w:r>
      </w:hyperlink>
      <w:r>
        <w:rPr>
          <w:rFonts w:hint="cs"/>
          <w:b/>
          <w:bCs/>
          <w:rtl/>
        </w:rPr>
        <w:t xml:space="preserve"> מדינת ישראל נ' בסילה: 'אין צורך להכביר במילים על אודות החומרה הנלווית לעבירות נשק. אין היום חולקין כי עבירות מסוג זה הפכו ל'מכת מדינה' של ממש (ראו לאחרונה: </w:t>
      </w:r>
      <w:hyperlink r:id="rId24" w:history="1">
        <w:r w:rsidR="000B6911" w:rsidRPr="000B6911">
          <w:rPr>
            <w:b/>
            <w:bCs/>
            <w:color w:val="0000FF"/>
            <w:u w:val="single"/>
            <w:rtl/>
          </w:rPr>
          <w:t>ע"פ 7473/20</w:t>
        </w:r>
      </w:hyperlink>
      <w:r>
        <w:rPr>
          <w:rFonts w:hint="cs"/>
          <w:b/>
          <w:bCs/>
          <w:rtl/>
        </w:rPr>
        <w:t xml:space="preserve"> מדינת ישראל נ' מחאמיד, פסקה 24 [פורסם בנבו] (29.6.2021); </w:t>
      </w:r>
      <w:hyperlink r:id="rId25" w:history="1">
        <w:r w:rsidR="000B6911" w:rsidRPr="000B6911">
          <w:rPr>
            <w:b/>
            <w:bCs/>
            <w:color w:val="0000FF"/>
            <w:u w:val="single"/>
            <w:rtl/>
          </w:rPr>
          <w:t>ע"פ 5993/21</w:t>
        </w:r>
      </w:hyperlink>
      <w:r>
        <w:rPr>
          <w:rFonts w:hint="cs"/>
          <w:b/>
          <w:bCs/>
          <w:rtl/>
        </w:rPr>
        <w:t xml:space="preserve"> סאלח נ' מדינת ישראל, פסקה 8 [פורסם בנבו] (29.11.2021); </w:t>
      </w:r>
      <w:hyperlink r:id="rId26" w:history="1">
        <w:r w:rsidR="000B6911" w:rsidRPr="000B6911">
          <w:rPr>
            <w:b/>
            <w:bCs/>
            <w:color w:val="0000FF"/>
            <w:u w:val="single"/>
            <w:rtl/>
          </w:rPr>
          <w:t>ע"פ 8416/20</w:t>
        </w:r>
      </w:hyperlink>
      <w:r>
        <w:rPr>
          <w:rFonts w:hint="cs"/>
          <w:b/>
          <w:bCs/>
          <w:rtl/>
        </w:rPr>
        <w:t xml:space="preserve"> עייאט נ' מדינת ישראל [פורסם בנבו] (2.9.2021)).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7" w:history="1">
        <w:r w:rsidR="000B6911" w:rsidRPr="000B6911">
          <w:rPr>
            <w:b/>
            <w:bCs/>
            <w:color w:val="0000FF"/>
            <w:u w:val="single"/>
            <w:rtl/>
          </w:rPr>
          <w:t>חוק העונשין</w:t>
        </w:r>
      </w:hyperlink>
      <w:r>
        <w:rPr>
          <w:rFonts w:hint="cs"/>
          <w:b/>
          <w:bCs/>
          <w:rtl/>
        </w:rPr>
        <w:t xml:space="preserve"> (חוק העונשין (תיקון מס' 140 – הוראת שעה), התשפ"ב-2021) – שלא חל בענייננו – הקובע עונשי מינימום לעבירות נשק' (שם, פסקה 25).</w:t>
      </w:r>
      <w:r>
        <w:rPr>
          <w:rFonts w:hint="cs"/>
          <w:b/>
          <w:bCs/>
          <w:rtl/>
          <w:lang w:eastAsia="he-IL"/>
        </w:rPr>
        <w:t xml:space="preserve"> ב</w:t>
      </w:r>
      <w:hyperlink r:id="rId28" w:history="1">
        <w:r w:rsidR="000B6911" w:rsidRPr="000B6911">
          <w:rPr>
            <w:b/>
            <w:bCs/>
            <w:color w:val="0000FF"/>
            <w:u w:val="single"/>
            <w:rtl/>
            <w:lang w:eastAsia="he-IL"/>
          </w:rPr>
          <w:t>ע"פ 7502/12</w:t>
        </w:r>
      </w:hyperlink>
      <w:r>
        <w:rPr>
          <w:rFonts w:hint="cs"/>
          <w:b/>
          <w:bCs/>
          <w:rtl/>
          <w:lang w:eastAsia="he-IL"/>
        </w:rPr>
        <w:t xml:space="preserve"> </w:t>
      </w:r>
      <w:r>
        <w:rPr>
          <w:rFonts w:hint="cs"/>
          <w:b/>
          <w:bCs/>
          <w:u w:val="single"/>
          <w:rtl/>
          <w:lang w:eastAsia="he-IL"/>
        </w:rPr>
        <w:t>כוויס נ' מדינת ישראל</w:t>
      </w:r>
      <w:r>
        <w:rPr>
          <w:rFonts w:hint="cs"/>
          <w:b/>
          <w:bCs/>
          <w:rtl/>
          <w:lang w:eastAsia="he-IL"/>
        </w:rPr>
        <w:t xml:space="preserve">  (בימ"ש העליון)</w:t>
      </w:r>
      <w:r>
        <w:rPr>
          <w:rFonts w:hint="cs"/>
          <w:rtl/>
          <w:lang w:eastAsia="he-IL"/>
        </w:rPr>
        <w:t xml:space="preserve"> נקבע בין היתר כי: </w:t>
      </w:r>
      <w:r>
        <w:rPr>
          <w:rFonts w:hint="cs"/>
          <w:b/>
          <w:bCs/>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  ב</w:t>
      </w:r>
      <w:hyperlink r:id="rId29" w:history="1">
        <w:r w:rsidR="000B6911" w:rsidRPr="000B6911">
          <w:rPr>
            <w:b/>
            <w:bCs/>
            <w:color w:val="0000FF"/>
            <w:u w:val="single"/>
            <w:rtl/>
            <w:lang w:eastAsia="he-IL"/>
          </w:rPr>
          <w:t>ע"פ 5833/07</w:t>
        </w:r>
      </w:hyperlink>
      <w:r>
        <w:rPr>
          <w:rFonts w:hint="cs"/>
          <w:rtl/>
          <w:lang w:eastAsia="he-IL"/>
        </w:rPr>
        <w:t xml:space="preserve"> </w:t>
      </w:r>
      <w:r>
        <w:rPr>
          <w:rFonts w:hint="cs"/>
          <w:b/>
          <w:bCs/>
          <w:u w:val="single"/>
          <w:rtl/>
          <w:lang w:eastAsia="he-IL"/>
        </w:rPr>
        <w:t>ח'ורי נ' מדינת ישראל</w:t>
      </w:r>
      <w:r>
        <w:rPr>
          <w:rFonts w:hint="cs"/>
          <w:b/>
          <w:bCs/>
          <w:rtl/>
          <w:lang w:eastAsia="he-IL"/>
        </w:rPr>
        <w:t xml:space="preserve">  (בימ"ש העליון)</w:t>
      </w:r>
      <w:r>
        <w:rPr>
          <w:rFonts w:hint="cs"/>
          <w:rtl/>
          <w:lang w:eastAsia="he-IL"/>
        </w:rPr>
        <w:t xml:space="preserve"> נקבע כי: </w:t>
      </w:r>
      <w:r>
        <w:rPr>
          <w:rFonts w:hint="cs"/>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r>
        <w:rPr>
          <w:rFonts w:hint="cs"/>
          <w:rtl/>
        </w:rPr>
        <w:t xml:space="preserve"> עבירות הנשק, הפכו למרבה הצער, ל"מכת מדינה" של ממש:  ראו לעניין זה דבריו של כב' הש' אלרון </w:t>
      </w:r>
      <w:r>
        <w:rPr>
          <w:rFonts w:hint="cs"/>
          <w:b/>
          <w:bCs/>
          <w:rtl/>
        </w:rPr>
        <w:t>ב</w:t>
      </w:r>
      <w:hyperlink r:id="rId30" w:history="1">
        <w:r w:rsidR="000B6911" w:rsidRPr="000B6911">
          <w:rPr>
            <w:b/>
            <w:bCs/>
            <w:color w:val="0000FF"/>
            <w:u w:val="single"/>
            <w:rtl/>
          </w:rPr>
          <w:t>רע"פ 5613/20</w:t>
        </w:r>
      </w:hyperlink>
      <w:r>
        <w:rPr>
          <w:rFonts w:hint="cs"/>
          <w:b/>
          <w:bCs/>
          <w:rtl/>
        </w:rPr>
        <w:t xml:space="preserve"> </w:t>
      </w:r>
      <w:r>
        <w:rPr>
          <w:rFonts w:hint="cs"/>
          <w:b/>
          <w:bCs/>
          <w:u w:val="single"/>
          <w:rtl/>
        </w:rPr>
        <w:t>אלהוזייל</w:t>
      </w:r>
      <w:r>
        <w:rPr>
          <w:rFonts w:hint="cs"/>
          <w:b/>
          <w:bCs/>
          <w:rtl/>
        </w:rPr>
        <w:t xml:space="preserve">  </w:t>
      </w:r>
      <w:r>
        <w:rPr>
          <w:rFonts w:hint="cs"/>
          <w:rtl/>
        </w:rPr>
        <w:t>כדלהלן:</w:t>
      </w:r>
      <w:r>
        <w:rPr>
          <w:rFonts w:hint="cs"/>
          <w:b/>
          <w:bCs/>
          <w:rtl/>
        </w:rPr>
        <w:t xml:space="preserve"> "לגופם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31" w:history="1">
        <w:r w:rsidR="000B6911" w:rsidRPr="000B6911">
          <w:rPr>
            <w:b/>
            <w:bCs/>
            <w:color w:val="0000FF"/>
            <w:u w:val="single"/>
            <w:rtl/>
          </w:rPr>
          <w:t>ע"פ  4406/19</w:t>
        </w:r>
      </w:hyperlink>
      <w:r>
        <w:rPr>
          <w:rFonts w:hint="cs"/>
          <w:b/>
          <w:bCs/>
          <w:rtl/>
        </w:rPr>
        <w:t xml:space="preserve"> מדינת ישראל נ' סובח, פסקאות 16–17 לחוות דעתי (5.11.2019); </w:t>
      </w:r>
      <w:hyperlink r:id="rId32" w:history="1">
        <w:r w:rsidR="000B6911" w:rsidRPr="000B6911">
          <w:rPr>
            <w:b/>
            <w:bCs/>
            <w:color w:val="0000FF"/>
            <w:u w:val="single"/>
            <w:rtl/>
          </w:rPr>
          <w:t>רע"פ 7344/18</w:t>
        </w:r>
      </w:hyperlink>
      <w:r>
        <w:rPr>
          <w:rFonts w:hint="cs"/>
          <w:b/>
          <w:bCs/>
          <w:rtl/>
        </w:rPr>
        <w:t xml:space="preserve"> מג'יד נ' מדינת ישראל, פסקה 10 (21.10.2018))."</w:t>
      </w:r>
      <w:r>
        <w:rPr>
          <w:rFonts w:hint="cs"/>
          <w:rtl/>
        </w:rPr>
        <w:t xml:space="preserve">  </w:t>
      </w:r>
    </w:p>
    <w:p w14:paraId="6E8402CD" w14:textId="77777777" w:rsidR="000F592A" w:rsidRPr="00E23400" w:rsidRDefault="000F592A" w:rsidP="000F592A">
      <w:pPr>
        <w:spacing w:line="360" w:lineRule="auto"/>
        <w:ind w:firstLine="360"/>
        <w:jc w:val="both"/>
        <w:rPr>
          <w:b/>
          <w:bCs/>
          <w:sz w:val="12"/>
          <w:szCs w:val="12"/>
          <w:u w:val="single"/>
        </w:rPr>
      </w:pPr>
    </w:p>
    <w:p w14:paraId="596C736C" w14:textId="77777777" w:rsidR="000F592A" w:rsidRDefault="000F592A" w:rsidP="000F592A">
      <w:pPr>
        <w:spacing w:line="360" w:lineRule="auto"/>
        <w:ind w:firstLine="360"/>
        <w:jc w:val="both"/>
        <w:rPr>
          <w:b/>
          <w:bCs/>
          <w:u w:val="single"/>
          <w:rtl/>
        </w:rPr>
      </w:pPr>
      <w:r>
        <w:rPr>
          <w:rFonts w:hint="cs"/>
          <w:b/>
          <w:bCs/>
          <w:u w:val="single"/>
          <w:rtl/>
        </w:rPr>
        <w:t>נסיבות ביצוע העבירות</w:t>
      </w:r>
    </w:p>
    <w:p w14:paraId="3094E74D" w14:textId="77777777" w:rsidR="000F592A" w:rsidRDefault="000F592A" w:rsidP="000F592A">
      <w:pPr>
        <w:spacing w:line="360" w:lineRule="auto"/>
        <w:ind w:firstLine="360"/>
        <w:jc w:val="both"/>
        <w:rPr>
          <w:b/>
          <w:bCs/>
          <w:sz w:val="16"/>
          <w:szCs w:val="16"/>
          <w:u w:val="single"/>
          <w:rtl/>
        </w:rPr>
      </w:pPr>
    </w:p>
    <w:p w14:paraId="5B7A527B" w14:textId="77777777" w:rsidR="000F592A" w:rsidRDefault="000F592A" w:rsidP="000F592A">
      <w:pPr>
        <w:numPr>
          <w:ilvl w:val="0"/>
          <w:numId w:val="1"/>
        </w:numPr>
        <w:spacing w:after="160" w:line="360" w:lineRule="auto"/>
        <w:jc w:val="both"/>
        <w:rPr>
          <w:rtl/>
        </w:rPr>
      </w:pPr>
      <w:r>
        <w:rPr>
          <w:rFonts w:hint="cs"/>
          <w:rtl/>
        </w:rPr>
        <w:t xml:space="preserve">נסיבות ביצוע העבירות פורטו בהרחבה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Pr>
          <w:rFonts w:hint="cs"/>
          <w:b/>
          <w:bCs/>
          <w:rtl/>
        </w:rPr>
        <w:t xml:space="preserve">ע"פ 1530/04 + </w:t>
      </w:r>
      <w:hyperlink r:id="rId33" w:history="1">
        <w:r w:rsidR="00585305" w:rsidRPr="00585305">
          <w:rPr>
            <w:b/>
            <w:bCs/>
            <w:color w:val="0000FF"/>
            <w:u w:val="single"/>
            <w:rtl/>
          </w:rPr>
          <w:t xml:space="preserve">1332/04 </w:t>
        </w:r>
      </w:hyperlink>
      <w:r>
        <w:rPr>
          <w:rFonts w:hint="cs"/>
          <w:b/>
          <w:bCs/>
          <w:rtl/>
        </w:rPr>
        <w:t xml:space="preserve"> </w:t>
      </w:r>
      <w:r>
        <w:rPr>
          <w:rFonts w:hint="cs"/>
          <w:b/>
          <w:bCs/>
          <w:u w:val="single"/>
          <w:rtl/>
        </w:rPr>
        <w:t>יצחק רפאל פס ואח' נגד מדינת ישראל</w:t>
      </w:r>
      <w:r>
        <w:rPr>
          <w:rFonts w:hint="cs"/>
          <w:b/>
          <w:bCs/>
          <w:rtl/>
        </w:rPr>
        <w:t xml:space="preserve"> (בימ"ש העליון).</w:t>
      </w:r>
    </w:p>
    <w:p w14:paraId="7EBB2CE5" w14:textId="77777777" w:rsidR="000F592A" w:rsidRDefault="000F592A" w:rsidP="000F592A">
      <w:pPr>
        <w:numPr>
          <w:ilvl w:val="0"/>
          <w:numId w:val="1"/>
        </w:numPr>
        <w:spacing w:after="160" w:line="360" w:lineRule="auto"/>
        <w:jc w:val="both"/>
        <w:rPr>
          <w:rtl/>
        </w:rPr>
      </w:pPr>
      <w:r>
        <w:rPr>
          <w:rFonts w:hint="cs"/>
          <w:rtl/>
        </w:rPr>
        <w:t>הנאשם 2 היה זה שהתקשר לנאשם 1 וביקש ממנו להביא את הנשק למחסן והנאשם 1 עשה כן. אמנם, היה זה הנאשם 1 שהחזיק בידיו בנשק והובילו, אך הוא פעל בהקשר זה על פי בקשתו של הנאשם 2, שאף ביקש ממנו לחבוש כובע ולהגיע דרך הוואדי.  בנסיבות בהן הנאשם 2 מבקש מהנאשם 1 להביא את הנשק ואף נותן לו המלצות, והנאשם 2 עושה כן,   אין מקום לאבחן בין הנאשמים בכל הנוגע למעורבותם בביצוע העבירה.</w:t>
      </w:r>
    </w:p>
    <w:p w14:paraId="6DB642D4" w14:textId="77777777" w:rsidR="000F592A" w:rsidRDefault="000F592A" w:rsidP="000F592A">
      <w:pPr>
        <w:spacing w:after="160" w:line="360" w:lineRule="auto"/>
        <w:ind w:left="720"/>
        <w:jc w:val="both"/>
      </w:pPr>
      <w:r>
        <w:rPr>
          <w:rFonts w:hint="cs"/>
          <w:rtl/>
        </w:rPr>
        <w:t>העובדה שמדובר ברובה (תת מקלע קרלו), עם מחסנית ותחמושת מהווה נסיבה מחמירה ולו מהטעם שהמכלול כולו (נשק, מחסנית ותחמושת) מאפשר ביצוע ירי תוך זמן קצר ביותר.  גם העובדה שהנשק הובל ממרכז הכפר בסמוך לבתי מגורים מהווה נסיבה מחמירה, נוכח פוטנציאל הפגיעה בבני אדם.</w:t>
      </w:r>
    </w:p>
    <w:p w14:paraId="042E9FC1" w14:textId="77777777" w:rsidR="000F592A" w:rsidRDefault="000F592A" w:rsidP="000F592A">
      <w:pPr>
        <w:spacing w:after="160" w:line="360" w:lineRule="auto"/>
        <w:ind w:left="720"/>
        <w:jc w:val="both"/>
      </w:pPr>
      <w:r>
        <w:rPr>
          <w:rFonts w:hint="cs"/>
          <w:rtl/>
        </w:rPr>
        <w:t>לציין שבמחסן הנאשם 2 קיבל לידיו מ-א' רובה קרלו נוסף וזאת בנוכחות הנאשם 1.  לשני הנאשמים לא יוחסה עבירה בהקשר זה, אך מדובר בנסיבה מחמירה, שיש בה כדי להצביע על האווירה הכללית בה בוצעה העבירה, בעיקר ביחס לנאשם 2.</w:t>
      </w:r>
    </w:p>
    <w:p w14:paraId="0BB34F69" w14:textId="77777777" w:rsidR="000F592A" w:rsidRDefault="000F592A" w:rsidP="000F592A">
      <w:pPr>
        <w:spacing w:after="160" w:line="360" w:lineRule="auto"/>
        <w:ind w:left="720"/>
        <w:jc w:val="both"/>
      </w:pPr>
      <w:r>
        <w:rPr>
          <w:rFonts w:hint="cs"/>
          <w:rtl/>
        </w:rPr>
        <w:t>בכל הנוגע לאקדח הגלוק, שגם ביחס אליו לא יוחסה לנאשמים כל עבירה, אינני סבור שמדובר בנסיבה מחמירה, נוכח העובדה שאין כל אינדיקציה לכך שהנאשמים ידעו על קיומו.</w:t>
      </w:r>
    </w:p>
    <w:p w14:paraId="78FA2DA2" w14:textId="77777777" w:rsidR="000F592A" w:rsidRDefault="000F592A" w:rsidP="000F592A">
      <w:pPr>
        <w:spacing w:after="160" w:line="360" w:lineRule="auto"/>
        <w:ind w:left="720"/>
        <w:jc w:val="both"/>
        <w:rPr>
          <w:rtl/>
        </w:rPr>
      </w:pPr>
      <w:r>
        <w:rPr>
          <w:rFonts w:hint="cs"/>
          <w:rtl/>
        </w:rPr>
        <w:t>הנאשמים אינם מורשים לנשיאת נשק, לא עברו כל הכשרה מותרת ויש בעצם נשיאתו של הנשק כדי להוות סכנה לציבור ללא קשר למטרות נשיאתו.</w:t>
      </w:r>
    </w:p>
    <w:p w14:paraId="30B58C6D" w14:textId="77777777" w:rsidR="000F592A" w:rsidRDefault="000F592A" w:rsidP="000F592A">
      <w:pPr>
        <w:spacing w:line="360" w:lineRule="auto"/>
        <w:ind w:left="720"/>
        <w:contextualSpacing/>
        <w:jc w:val="both"/>
        <w:rPr>
          <w:rtl/>
        </w:rPr>
      </w:pPr>
      <w:r>
        <w:rPr>
          <w:rFonts w:hint="cs"/>
          <w:rtl/>
        </w:rPr>
        <w:t>חלקם של הנאשמים בתכנון וביצוע העבירה הינו מרכזי. בנוסף הנאשמים יכלו בנקל להימנע מביצוע העבירה, אך לא עשו כן.</w:t>
      </w:r>
    </w:p>
    <w:p w14:paraId="3FD8ECB7" w14:textId="77777777" w:rsidR="000F592A" w:rsidRDefault="000F592A" w:rsidP="000F592A">
      <w:pPr>
        <w:spacing w:line="360" w:lineRule="auto"/>
        <w:ind w:left="720"/>
        <w:contextualSpacing/>
        <w:jc w:val="both"/>
        <w:rPr>
          <w:sz w:val="12"/>
          <w:szCs w:val="12"/>
          <w:rtl/>
        </w:rPr>
      </w:pPr>
    </w:p>
    <w:p w14:paraId="7FFE0E61" w14:textId="77777777" w:rsidR="000F592A" w:rsidRDefault="000F592A" w:rsidP="000F592A">
      <w:pPr>
        <w:spacing w:line="360" w:lineRule="auto"/>
        <w:ind w:left="720"/>
        <w:contextualSpacing/>
        <w:jc w:val="both"/>
        <w:rPr>
          <w:sz w:val="14"/>
          <w:szCs w:val="14"/>
          <w:rtl/>
        </w:rPr>
      </w:pPr>
      <w:r>
        <w:rPr>
          <w:rFonts w:hint="cs"/>
          <w:rtl/>
        </w:rPr>
        <w:t>לטענת הנאשמים העבירה לא בוצעה ממניעים פסולים כגון רצון לפגוע באדם אחר, או למטרות פליליות אחרות,  אלא מסיבות הקשורות בחוסר בשלות, סקרנות, פיתוי, התלהבות, רצון לחקות אחרים שהשפיעו לרעה,  לויאליות,  השאיפה להשתייכות, הצורך בהעצמה, תחושת מוגנות   וכד'. בהקשר זה יצוין, כי גם  אם אקבל את טענת ההגנה בהקשר זה, ואניח לטובת הנאשמים שלא מדובר בנסיבות מחמירות, הרי שגם לא מדובר בנסיבות מקלות דווקא מאחר והסיכון הרב הנובע מנשיאת נשק לא חוקי, יכול בנקל להתממש גם אם מטרת הנשיאה המקורית אינה פגיעה באחר</w:t>
      </w:r>
      <w:r>
        <w:rPr>
          <w:rFonts w:hint="cs"/>
          <w:sz w:val="14"/>
          <w:szCs w:val="14"/>
          <w:rtl/>
        </w:rPr>
        <w:t>.</w:t>
      </w:r>
    </w:p>
    <w:p w14:paraId="507AA0A4" w14:textId="77777777" w:rsidR="000F592A" w:rsidRDefault="000F592A" w:rsidP="000F592A">
      <w:pPr>
        <w:spacing w:line="360" w:lineRule="auto"/>
        <w:ind w:left="720"/>
        <w:contextualSpacing/>
        <w:jc w:val="both"/>
        <w:rPr>
          <w:sz w:val="14"/>
          <w:szCs w:val="14"/>
          <w:rtl/>
        </w:rPr>
      </w:pPr>
    </w:p>
    <w:p w14:paraId="0B7181BB" w14:textId="77777777" w:rsidR="000F592A" w:rsidRDefault="000F592A" w:rsidP="000F592A">
      <w:pPr>
        <w:spacing w:line="360" w:lineRule="auto"/>
        <w:ind w:left="720"/>
        <w:contextualSpacing/>
        <w:jc w:val="both"/>
        <w:rPr>
          <w:rtl/>
        </w:rPr>
      </w:pPr>
      <w:r>
        <w:rPr>
          <w:rFonts w:hint="cs"/>
          <w:rtl/>
        </w:rPr>
        <w:t>במכלול הנסיבות, אני סבור כי במקרה זה הפגיעה בערכים המוגנים ביחס לשני הנאשמים מצויה ברף החומרה הבינוני.</w:t>
      </w:r>
    </w:p>
    <w:p w14:paraId="1C8AA7B8" w14:textId="77777777" w:rsidR="000F592A" w:rsidRDefault="000F592A" w:rsidP="000F592A">
      <w:pPr>
        <w:spacing w:line="360" w:lineRule="atLeast"/>
        <w:jc w:val="both"/>
        <w:rPr>
          <w:rFonts w:eastAsia="David"/>
          <w:sz w:val="16"/>
          <w:szCs w:val="16"/>
          <w:rtl/>
        </w:rPr>
      </w:pPr>
    </w:p>
    <w:p w14:paraId="0E510DF2" w14:textId="77777777" w:rsidR="000F592A" w:rsidRDefault="000F592A" w:rsidP="000F592A">
      <w:pPr>
        <w:spacing w:after="160" w:line="360" w:lineRule="auto"/>
        <w:ind w:firstLine="360"/>
        <w:jc w:val="both"/>
        <w:rPr>
          <w:b/>
          <w:bCs/>
          <w:u w:val="single"/>
          <w:rtl/>
        </w:rPr>
      </w:pPr>
      <w:r>
        <w:rPr>
          <w:rFonts w:hint="cs"/>
          <w:b/>
          <w:bCs/>
          <w:u w:val="single"/>
          <w:rtl/>
        </w:rPr>
        <w:t>מדיניות הענישה והפסיקה הנהוגה</w:t>
      </w:r>
    </w:p>
    <w:p w14:paraId="5690B70F" w14:textId="77777777" w:rsidR="000F592A" w:rsidRDefault="000F592A" w:rsidP="000F592A">
      <w:pPr>
        <w:numPr>
          <w:ilvl w:val="0"/>
          <w:numId w:val="1"/>
        </w:numPr>
        <w:shd w:val="clear" w:color="auto" w:fill="FFFFFF"/>
        <w:overflowPunct w:val="0"/>
        <w:autoSpaceDE w:val="0"/>
        <w:autoSpaceDN w:val="0"/>
        <w:spacing w:after="160" w:line="360" w:lineRule="auto"/>
        <w:jc w:val="both"/>
        <w:rPr>
          <w:rFonts w:eastAsia="Calibri"/>
          <w:rtl/>
        </w:rPr>
      </w:pPr>
      <w:r>
        <w:rPr>
          <w:rFonts w:hint="cs"/>
          <w:rtl/>
        </w:rPr>
        <w:t xml:space="preserve">בית המשפט העליון עמד לא אחת על חומרתן של עבירות הנשק, המקימות סיכון ממשי וחמור לציבור ויוצרות פוטנציאל להסלמה עבריינית, תוך שהוא חוזר ומבהיר, כי חומרה זו מחייבת ליתן ביטוי עונשי הולם באמצעות הרחקת מבצעי העבירות לתקופת מאסר ממשית לריצוי בפועל. </w:t>
      </w:r>
      <w:r>
        <w:rPr>
          <w:rFonts w:hint="cs"/>
          <w:b/>
          <w:bCs/>
          <w:rtl/>
        </w:rPr>
        <w:t>ב</w:t>
      </w:r>
      <w:hyperlink r:id="rId34" w:history="1">
        <w:r w:rsidR="000B6911" w:rsidRPr="000B6911">
          <w:rPr>
            <w:b/>
            <w:bCs/>
            <w:color w:val="0000FF"/>
            <w:u w:val="single"/>
            <w:rtl/>
          </w:rPr>
          <w:t>ע"פ 1323/13</w:t>
        </w:r>
      </w:hyperlink>
      <w:r>
        <w:rPr>
          <w:rFonts w:hint="cs"/>
          <w:b/>
          <w:bCs/>
          <w:rtl/>
        </w:rPr>
        <w:t xml:space="preserve"> </w:t>
      </w:r>
      <w:r>
        <w:rPr>
          <w:rFonts w:hint="cs"/>
          <w:b/>
          <w:bCs/>
          <w:u w:val="single"/>
          <w:rtl/>
        </w:rPr>
        <w:t>חסן נ' מדינת ישראל</w:t>
      </w:r>
      <w:r>
        <w:rPr>
          <w:rFonts w:hint="cs"/>
          <w:rtl/>
        </w:rPr>
        <w:t xml:space="preserve"> (בימ"ש העליון) נקבע בין היתר, כי "</w:t>
      </w:r>
      <w:r>
        <w:rPr>
          <w:rFonts w:hint="cs"/>
          <w:b/>
          <w:bCs/>
          <w:rtl/>
        </w:rPr>
        <w:t>הסכנה הנשקפת לציבור כתוצאה מעבירות נשק, לצד הממדים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.ב</w:t>
      </w:r>
      <w:hyperlink r:id="rId35" w:history="1">
        <w:r w:rsidR="000B6911" w:rsidRPr="000B6911">
          <w:rPr>
            <w:b/>
            <w:bCs/>
            <w:color w:val="0000FF"/>
            <w:spacing w:val="10"/>
            <w:u w:val="single"/>
            <w:rtl/>
          </w:rPr>
          <w:t>ע"פ 2918/13</w:t>
        </w:r>
      </w:hyperlink>
      <w:r>
        <w:rPr>
          <w:rFonts w:hint="cs"/>
          <w:b/>
          <w:bCs/>
          <w:spacing w:val="10"/>
          <w:rtl/>
        </w:rPr>
        <w:t xml:space="preserve"> </w:t>
      </w:r>
      <w:r>
        <w:rPr>
          <w:rFonts w:hint="cs"/>
          <w:b/>
          <w:bCs/>
          <w:spacing w:val="10"/>
          <w:u w:val="single"/>
          <w:rtl/>
        </w:rPr>
        <w:t>דבס נ' מדינת ישראל</w:t>
      </w:r>
      <w:r>
        <w:rPr>
          <w:rFonts w:hint="cs"/>
          <w:spacing w:val="10"/>
          <w:rtl/>
        </w:rPr>
        <w:t xml:space="preserve"> (בימ"ש העליון) נקבע</w:t>
      </w:r>
      <w:r w:rsidR="000B6911">
        <w:rPr>
          <w:rFonts w:hint="cs"/>
          <w:spacing w:val="10"/>
          <w:rtl/>
        </w:rPr>
        <w:t xml:space="preserve"> </w:t>
      </w:r>
      <w:r>
        <w:rPr>
          <w:rFonts w:hint="cs"/>
          <w:spacing w:val="10"/>
          <w:rtl/>
        </w:rPr>
        <w:t xml:space="preserve"> כי "</w:t>
      </w:r>
      <w:r>
        <w:rPr>
          <w:rFonts w:hint="cs"/>
          <w:b/>
          <w:bCs/>
          <w:spacing w:val="10"/>
          <w:rtl/>
        </w:rPr>
        <w:t>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w:t>
      </w:r>
      <w:r>
        <w:rPr>
          <w:rFonts w:hint="cs"/>
          <w:b/>
          <w:bCs/>
          <w:rtl/>
        </w:rPr>
        <w:t xml:space="preserve"> </w:t>
      </w:r>
      <w:r>
        <w:rPr>
          <w:rFonts w:eastAsia="Calibri" w:hint="cs"/>
          <w:rtl/>
        </w:rPr>
        <w:t>ב</w:t>
      </w:r>
      <w:hyperlink r:id="rId36" w:history="1">
        <w:r w:rsidR="000B6911" w:rsidRPr="000B6911">
          <w:rPr>
            <w:rFonts w:eastAsia="Calibri"/>
            <w:b/>
            <w:bCs/>
            <w:color w:val="0000FF"/>
            <w:u w:val="single"/>
            <w:rtl/>
          </w:rPr>
          <w:t>ע"פ 3156/11</w:t>
        </w:r>
      </w:hyperlink>
      <w:r>
        <w:rPr>
          <w:rFonts w:eastAsia="Calibri" w:hint="cs"/>
          <w:b/>
          <w:bCs/>
          <w:rtl/>
        </w:rPr>
        <w:t xml:space="preserve"> </w:t>
      </w:r>
      <w:r>
        <w:rPr>
          <w:rFonts w:eastAsia="Calibri" w:hint="cs"/>
          <w:b/>
          <w:bCs/>
          <w:u w:val="single"/>
          <w:rtl/>
        </w:rPr>
        <w:t>זראיעה נ' מדינת ישראל</w:t>
      </w:r>
      <w:r>
        <w:rPr>
          <w:rFonts w:eastAsia="Calibri" w:hint="cs"/>
          <w:rtl/>
        </w:rPr>
        <w:t xml:space="preserve"> – הנאשם בעל עבר פלילי שאינו מכביד הורשע על פי הודאתו בעבירות של נשיאת והובלת נשק והסתייעות ברכב לביצוע פשע, בכך שנשא אקדח, מחסנית טעונה וקופסאות עם כדורי אקדח. הוטלו 24 חודשי מאסר לריצוי בפועל. ערעורו לבית המשפט העליון נדחה. </w:t>
      </w:r>
      <w:r>
        <w:rPr>
          <w:rFonts w:eastAsia="Calibri" w:hint="cs"/>
          <w:b/>
          <w:bCs/>
          <w:rtl/>
        </w:rPr>
        <w:t>ב</w:t>
      </w:r>
      <w:hyperlink r:id="rId37" w:history="1">
        <w:r w:rsidR="000B6911" w:rsidRPr="000B6911">
          <w:rPr>
            <w:rFonts w:eastAsia="Calibri"/>
            <w:b/>
            <w:bCs/>
            <w:color w:val="0000FF"/>
            <w:u w:val="single"/>
            <w:rtl/>
          </w:rPr>
          <w:t>ע"פ 5807/20</w:t>
        </w:r>
      </w:hyperlink>
      <w:r>
        <w:rPr>
          <w:rFonts w:eastAsia="Calibri" w:hint="cs"/>
          <w:b/>
          <w:bCs/>
          <w:rtl/>
        </w:rPr>
        <w:t xml:space="preserve"> </w:t>
      </w:r>
      <w:r>
        <w:rPr>
          <w:rFonts w:eastAsia="Calibri" w:hint="cs"/>
          <w:b/>
          <w:bCs/>
          <w:u w:val="single"/>
          <w:rtl/>
        </w:rPr>
        <w:t>פלוני נגד מדינת ישראל</w:t>
      </w:r>
      <w:r>
        <w:rPr>
          <w:rFonts w:eastAsia="Calibri" w:hint="cs"/>
          <w:rtl/>
        </w:rPr>
        <w:t xml:space="preserve"> הנאשם הורשע בעבירות של נשיאת נשק והובלתו, בית המשפט קבע מתחם עונש הולם אשר נע בין 20 ועד 40 חודשי מאסר בפועל, והוטלו 12 חודשי מאסר בפועל. בית המשפט העליון הקל בעונשו והטיל עליו 9 חודשי מאסר בעבודות שירות, בין היתר נוכח תסקיר שירות המבחן שהוגש בעניינו אשר המליץ על ענישה טיפולית בצד מאסר בעבודות שירות. בנוסף בית המשפט הביא בחשבון את הנסיבות המיוחדות של ביצוע העבירה עת הנאשם מצא את הנשק ביער והחליט לקחת את כלי הנשק לאביו ולא דיווח על מציאתו למשטרה באופן מידי. </w:t>
      </w:r>
      <w:r w:rsidR="000B6911">
        <w:rPr>
          <w:rFonts w:eastAsia="Calibri" w:hint="cs"/>
          <w:rtl/>
        </w:rPr>
        <w:t xml:space="preserve"> </w:t>
      </w:r>
      <w:r>
        <w:rPr>
          <w:rFonts w:eastAsia="Calibri" w:hint="cs"/>
          <w:rtl/>
        </w:rPr>
        <w:t>ב</w:t>
      </w:r>
      <w:hyperlink r:id="rId38" w:history="1">
        <w:r w:rsidR="000B6911" w:rsidRPr="000B6911">
          <w:rPr>
            <w:rFonts w:eastAsia="Calibri"/>
            <w:b/>
            <w:bCs/>
            <w:color w:val="0000FF"/>
            <w:u w:val="single"/>
            <w:rtl/>
          </w:rPr>
          <w:t>ע"פ 5602/22</w:t>
        </w:r>
      </w:hyperlink>
      <w:r>
        <w:rPr>
          <w:rFonts w:eastAsia="Calibri" w:hint="cs"/>
          <w:b/>
          <w:bCs/>
          <w:rtl/>
        </w:rPr>
        <w:t xml:space="preserve"> </w:t>
      </w:r>
      <w:r>
        <w:rPr>
          <w:rFonts w:eastAsia="Calibri" w:hint="cs"/>
          <w:b/>
          <w:bCs/>
          <w:u w:val="single"/>
          <w:rtl/>
        </w:rPr>
        <w:t>מדינת ישראל נ' פלוני</w:t>
      </w:r>
      <w:r>
        <w:rPr>
          <w:rFonts w:eastAsia="Calibri" w:hint="cs"/>
          <w:rtl/>
        </w:rPr>
        <w:t xml:space="preserve"> (14.09.22), נאשם שוהה בלתי חוקי נשא אקדח בשטחי ישראל ונמלט משוטר. הנאשם צעיר ללא עבר פלילי, הורשע בעבירות נשיאת נשק ,בעבירת הפרעה לשוטר במילוי תפקידו, ובעבירת כניסה ושהייה בישראל. עונשו של הנאשם הוחמר מ-18 ל-28 חודשי מאסר בפועל, תוך שנקבע כי "</w:t>
      </w:r>
      <w:r>
        <w:rPr>
          <w:rFonts w:eastAsia="Calibri" w:hint="cs"/>
          <w:u w:val="single"/>
          <w:rtl/>
        </w:rPr>
        <w:t>מתחם הענישה הרגיל שראוי לקבוע לנאשם בגיר בגין נשיאה בלתי חוקית של נשק חם במרחב הציבורי נע בין 30 ל-42 חודשי מאסר בין סורג ובריח"</w:t>
      </w:r>
      <w:r>
        <w:rPr>
          <w:rFonts w:eastAsia="Calibri" w:hint="cs"/>
          <w:rtl/>
        </w:rPr>
        <w:t>. ב</w:t>
      </w:r>
      <w:hyperlink r:id="rId39" w:history="1">
        <w:r w:rsidR="000B6911" w:rsidRPr="000B6911">
          <w:rPr>
            <w:rFonts w:eastAsia="Calibri"/>
            <w:b/>
            <w:bCs/>
            <w:color w:val="0000FF"/>
            <w:u w:val="single"/>
            <w:rtl/>
          </w:rPr>
          <w:t>ע"פ 2482/22</w:t>
        </w:r>
      </w:hyperlink>
      <w:r>
        <w:rPr>
          <w:rFonts w:eastAsia="Calibri" w:hint="cs"/>
          <w:b/>
          <w:bCs/>
          <w:rtl/>
        </w:rPr>
        <w:t xml:space="preserve"> </w:t>
      </w:r>
      <w:r>
        <w:rPr>
          <w:rFonts w:eastAsia="Calibri" w:hint="cs"/>
          <w:b/>
          <w:bCs/>
          <w:u w:val="single"/>
          <w:rtl/>
        </w:rPr>
        <w:t>מדינת ישראל נ' קדורה</w:t>
      </w:r>
      <w:r>
        <w:rPr>
          <w:rFonts w:eastAsia="Calibri" w:hint="cs"/>
          <w:b/>
          <w:bCs/>
          <w:rtl/>
        </w:rPr>
        <w:t xml:space="preserve"> </w:t>
      </w:r>
      <w:r>
        <w:rPr>
          <w:rFonts w:eastAsia="Calibri" w:hint="cs"/>
          <w:rtl/>
        </w:rPr>
        <w:t>(14.04.22) המשיב הורשע בעבירה של החזקת נשק – אקדח גלוק, מחסנית, כדורים לאקדח ורימון הלם – בצוותא עם אחר. המשיב, בן 19 בעת ביצוע העבירות, ללא עבר פלילי. בית המשפט העליון קיבל את ערעור המדינה והחמיר את עונשו מ-10 ל-18 חודשי מאסר בפועל. ב</w:t>
      </w:r>
      <w:hyperlink r:id="rId40" w:history="1">
        <w:r w:rsidR="000B6911" w:rsidRPr="000B6911">
          <w:rPr>
            <w:rFonts w:eastAsia="Calibri"/>
            <w:b/>
            <w:bCs/>
            <w:color w:val="0000FF"/>
            <w:u w:val="single"/>
            <w:rtl/>
          </w:rPr>
          <w:t>ע"פ 309/22</w:t>
        </w:r>
      </w:hyperlink>
      <w:r>
        <w:rPr>
          <w:rFonts w:eastAsia="Calibri" w:hint="cs"/>
          <w:b/>
          <w:bCs/>
          <w:rtl/>
        </w:rPr>
        <w:t xml:space="preserve"> </w:t>
      </w:r>
      <w:r>
        <w:rPr>
          <w:rFonts w:eastAsia="Calibri" w:hint="cs"/>
          <w:b/>
          <w:bCs/>
          <w:u w:val="single"/>
          <w:rtl/>
        </w:rPr>
        <w:t>מדינת ישראל נ' בידאסה</w:t>
      </w:r>
      <w:r>
        <w:rPr>
          <w:rFonts w:eastAsia="Calibri" w:hint="cs"/>
          <w:rtl/>
        </w:rPr>
        <w:t xml:space="preserve"> (10.05.22) הנאשם הורשע בעבירות של החזקת, נשיאת והובלת נשק ביחד עם אחר, כאשר הנאשם והאחר החזיקו, נשאו והובילו את הנשקים ברכב. הנאשם נעדר עבר פלילי. בית המשפט העליון קיבל את ערעור המדינה והחמיר את עונשו של הנאשם מ-19 ל- 30 חודשים מאסר בפועל. </w:t>
      </w:r>
      <w:r w:rsidR="000B6911">
        <w:rPr>
          <w:rFonts w:eastAsia="Calibri" w:hint="cs"/>
          <w:rtl/>
        </w:rPr>
        <w:t xml:space="preserve"> </w:t>
      </w:r>
      <w:r>
        <w:rPr>
          <w:rFonts w:eastAsia="Calibri" w:hint="cs"/>
          <w:rtl/>
        </w:rPr>
        <w:t>ב</w:t>
      </w:r>
      <w:hyperlink r:id="rId41" w:history="1">
        <w:r w:rsidR="000B6911" w:rsidRPr="000B6911">
          <w:rPr>
            <w:rFonts w:eastAsia="Calibri"/>
            <w:b/>
            <w:bCs/>
            <w:color w:val="0000FF"/>
            <w:u w:val="single"/>
            <w:rtl/>
          </w:rPr>
          <w:t>ע"פ 6021/21</w:t>
        </w:r>
      </w:hyperlink>
      <w:r>
        <w:rPr>
          <w:rFonts w:eastAsia="Calibri" w:hint="cs"/>
          <w:b/>
          <w:bCs/>
          <w:rtl/>
        </w:rPr>
        <w:t xml:space="preserve"> </w:t>
      </w:r>
      <w:r>
        <w:rPr>
          <w:rFonts w:eastAsia="Calibri" w:hint="cs"/>
          <w:b/>
          <w:bCs/>
          <w:u w:val="single"/>
          <w:rtl/>
        </w:rPr>
        <w:t>עלי עבוד נ' מדינת ישראל</w:t>
      </w:r>
      <w:r>
        <w:rPr>
          <w:rFonts w:eastAsia="Calibri" w:hint="cs"/>
          <w:rtl/>
        </w:rPr>
        <w:t xml:space="preserve"> (19.12.2021) נדחה ערעורו של נאשם, ללא עבר, שהורשע בנשיאת נשק מסוג 16-</w:t>
      </w:r>
      <w:r>
        <w:rPr>
          <w:rFonts w:eastAsia="Calibri"/>
        </w:rPr>
        <w:t>M</w:t>
      </w:r>
      <w:r>
        <w:rPr>
          <w:rFonts w:eastAsia="Calibri" w:hint="cs"/>
          <w:rtl/>
        </w:rPr>
        <w:t xml:space="preserve"> והפרעה לשוטר ונדון למאסר בן 30 חודשים. ב</w:t>
      </w:r>
      <w:hyperlink r:id="rId42" w:history="1">
        <w:r w:rsidR="000B6911" w:rsidRPr="000B6911">
          <w:rPr>
            <w:rFonts w:eastAsia="Calibri"/>
            <w:b/>
            <w:bCs/>
            <w:color w:val="0000FF"/>
            <w:u w:val="single"/>
            <w:rtl/>
          </w:rPr>
          <w:t>ע"פ 2033/21</w:t>
        </w:r>
      </w:hyperlink>
      <w:r>
        <w:rPr>
          <w:rFonts w:eastAsia="Calibri" w:hint="cs"/>
          <w:b/>
          <w:bCs/>
          <w:rtl/>
        </w:rPr>
        <w:t xml:space="preserve"> </w:t>
      </w:r>
      <w:r>
        <w:rPr>
          <w:rFonts w:eastAsia="Calibri" w:hint="cs"/>
          <w:b/>
          <w:bCs/>
          <w:u w:val="single"/>
          <w:rtl/>
        </w:rPr>
        <w:t>זועבי נ' מדינת ישראל</w:t>
      </w:r>
      <w:r>
        <w:rPr>
          <w:rFonts w:eastAsia="Calibri" w:hint="cs"/>
          <w:b/>
          <w:bCs/>
          <w:rtl/>
        </w:rPr>
        <w:t xml:space="preserve"> </w:t>
      </w:r>
      <w:r>
        <w:rPr>
          <w:rFonts w:eastAsia="Calibri" w:hint="cs"/>
          <w:rtl/>
        </w:rPr>
        <w:t>(30.8.2021) נאשם בן 51, ללא עבר, חולה טרשת נפוצה נדון בגין נשיאת שני אקדחים על רקע סכסוך פעיל, למאסר בן 24 חודשים. ערעורו של הנאשם נדחה חרף מצבו הרפואי וסולחה שנערכה בין המשפחות. ב</w:t>
      </w:r>
      <w:hyperlink r:id="rId43" w:history="1">
        <w:r w:rsidR="000B6911" w:rsidRPr="000B6911">
          <w:rPr>
            <w:rFonts w:eastAsia="Calibri"/>
            <w:b/>
            <w:bCs/>
            <w:color w:val="0000FF"/>
            <w:u w:val="single"/>
            <w:rtl/>
          </w:rPr>
          <w:t>ע"פ 1658/22</w:t>
        </w:r>
      </w:hyperlink>
      <w:r>
        <w:rPr>
          <w:rFonts w:eastAsia="Calibri" w:hint="cs"/>
          <w:b/>
          <w:bCs/>
          <w:u w:val="single"/>
          <w:rtl/>
        </w:rPr>
        <w:t xml:space="preserve"> איהאב נח'אש נ' מדינת ישראל</w:t>
      </w:r>
      <w:r>
        <w:rPr>
          <w:rFonts w:eastAsia="Calibri" w:hint="cs"/>
          <w:rtl/>
        </w:rPr>
        <w:t xml:space="preserve"> (19.6.2022) נאשם ללא עבר פלילי שהורשע בעבירת נשיאה והובלה של תת מקלע "עוזי" ומחסנית,  לטענתו לשם הגנה עצמית ועבר הליך טיפולי, נדון למאסר בן 26 חודשים. ערעור על חומרת העונש נדחה.</w:t>
      </w:r>
      <w:r>
        <w:rPr>
          <w:rFonts w:eastAsia="Calibri" w:hint="cs"/>
          <w:b/>
          <w:bCs/>
          <w:rtl/>
        </w:rPr>
        <w:t xml:space="preserve"> </w:t>
      </w:r>
      <w:r>
        <w:rPr>
          <w:rFonts w:eastAsia="Calibri" w:hint="cs"/>
          <w:rtl/>
        </w:rPr>
        <w:t xml:space="preserve"> ב</w:t>
      </w:r>
      <w:hyperlink r:id="rId44" w:history="1">
        <w:r w:rsidR="000B6911" w:rsidRPr="000B6911">
          <w:rPr>
            <w:rFonts w:eastAsia="Calibri"/>
            <w:color w:val="0000FF"/>
            <w:u w:val="single"/>
            <w:rtl/>
          </w:rPr>
          <w:t>ע"פ 4303/22</w:t>
        </w:r>
      </w:hyperlink>
      <w:r>
        <w:rPr>
          <w:rFonts w:eastAsia="Calibri" w:hint="cs"/>
          <w:rtl/>
        </w:rPr>
        <w:t xml:space="preserve"> אמיר אבו גאנם נ' מ. ישראל עלך הנאשם בעל עבר פלילי בעבירות נשק שהורשע בעבירה של נשיאת והובלת אקדח ומחסנית ריקה ברכבו נגזרו 31 חודשי מאסר בפועל ומאסר מותנה. ערעור נדחה.</w:t>
      </w:r>
    </w:p>
    <w:p w14:paraId="08CB927E" w14:textId="77777777" w:rsidR="000F592A" w:rsidRDefault="000F592A" w:rsidP="000F592A">
      <w:pPr>
        <w:pStyle w:val="a9"/>
        <w:numPr>
          <w:ilvl w:val="0"/>
          <w:numId w:val="1"/>
        </w:numPr>
        <w:spacing w:line="360" w:lineRule="auto"/>
        <w:jc w:val="both"/>
        <w:rPr>
          <w:rFonts w:ascii="David" w:eastAsia="David" w:hAnsi="David"/>
          <w:rtl/>
        </w:rPr>
      </w:pPr>
      <w:r>
        <w:rPr>
          <w:rFonts w:ascii="David" w:eastAsia="David" w:hAnsi="David"/>
          <w:rtl/>
        </w:rPr>
        <w:t xml:space="preserve">המאשימה הפנתה למספר פסקי דין ביניהם </w:t>
      </w:r>
      <w:hyperlink r:id="rId45" w:history="1">
        <w:r w:rsidR="000B6911" w:rsidRPr="000B6911">
          <w:rPr>
            <w:rFonts w:ascii="David" w:hAnsi="David"/>
            <w:b/>
            <w:bCs/>
            <w:color w:val="0000FF"/>
            <w:u w:val="single"/>
            <w:rtl/>
          </w:rPr>
          <w:t>ת"פ 15423-12-19</w:t>
        </w:r>
      </w:hyperlink>
      <w:r>
        <w:rPr>
          <w:rFonts w:ascii="David" w:hAnsi="David"/>
          <w:b/>
          <w:bCs/>
          <w:rtl/>
        </w:rPr>
        <w:t xml:space="preserve"> </w:t>
      </w:r>
      <w:r>
        <w:rPr>
          <w:rFonts w:ascii="David" w:hAnsi="David"/>
          <w:b/>
          <w:bCs/>
          <w:u w:val="single"/>
          <w:rtl/>
        </w:rPr>
        <w:t>(מחוזי באר-שבע) מדינת ישראל נ' רוש</w:t>
      </w:r>
      <w:r>
        <w:rPr>
          <w:rFonts w:ascii="David" w:hAnsi="David"/>
          <w:rtl/>
        </w:rPr>
        <w:t xml:space="preserve"> , הנאשם הורשע בעבירה של </w:t>
      </w:r>
      <w:r>
        <w:rPr>
          <w:rFonts w:ascii="David" w:eastAsia="Calibri" w:hAnsi="David"/>
          <w:rtl/>
        </w:rPr>
        <w:t>נשיאה והובלה של נשק ללא רשות</w:t>
      </w:r>
      <w:r>
        <w:rPr>
          <w:rFonts w:ascii="David" w:hAnsi="David"/>
          <w:rtl/>
        </w:rPr>
        <w:t xml:space="preserve"> בכך שהוא נשא אקדח חצי אוטומטי ובתוכו מחסנית, עם כדור אחד ומשתיק קול. הנאשם ניסה לברוח מהשוטרים, אשר הורו לו לעצור. בית המשפט קבע מתחם ענישה, אשר נע בין 2-4.5 שנות מאסר בפועל . על הנאשם הוטלו 30 חודשי מאסר בפועל, בנוסף הופעל מאסר על תנאי בר הפעלה למשך 12 חודשים באופן מצטבר.</w:t>
      </w:r>
      <w:r>
        <w:rPr>
          <w:rtl/>
        </w:rPr>
        <w:t xml:space="preserve"> </w:t>
      </w:r>
      <w:hyperlink r:id="rId46" w:history="1">
        <w:r w:rsidR="000B6911" w:rsidRPr="000B6911">
          <w:rPr>
            <w:rFonts w:ascii="David" w:hAnsi="David"/>
            <w:b/>
            <w:bCs/>
            <w:color w:val="0000FF"/>
            <w:u w:val="single"/>
            <w:rtl/>
          </w:rPr>
          <w:t>ע"פ 3877/16</w:t>
        </w:r>
      </w:hyperlink>
      <w:r>
        <w:rPr>
          <w:rFonts w:ascii="David" w:hAnsi="David"/>
          <w:b/>
          <w:bCs/>
          <w:rtl/>
        </w:rPr>
        <w:t xml:space="preserve"> </w:t>
      </w:r>
      <w:r>
        <w:rPr>
          <w:rFonts w:ascii="David" w:hAnsi="David"/>
          <w:b/>
          <w:bCs/>
          <w:u w:val="single"/>
          <w:rtl/>
        </w:rPr>
        <w:t>פאדי ג'באלי נ' מדינת ישראל</w:t>
      </w:r>
      <w:r>
        <w:rPr>
          <w:rFonts w:ascii="David" w:hAnsi="David"/>
          <w:rtl/>
        </w:rPr>
        <w:t>, הנאשם הורשע בעבירה של נשיאת נשק בכך שנשא אקדח טעון במחסנית וכדורים. בית המשפט קבע מתחם עונש הולם בין 24 ועד 48 חודשי מאסר בפועל. הנאשם בעל עבר פלילי מכביד ביותר, ונגזרו עליו 34 חודשי מאסר בפועל. ערעור לבית המשפט העליון על חומרת העונש נדחה.</w:t>
      </w:r>
      <w:r>
        <w:rPr>
          <w:rFonts w:ascii="David" w:eastAsia="David" w:hAnsi="David"/>
          <w:b/>
          <w:bCs/>
          <w:rtl/>
        </w:rPr>
        <w:t xml:space="preserve"> </w:t>
      </w:r>
      <w:hyperlink r:id="rId47" w:history="1">
        <w:r w:rsidR="000B6911" w:rsidRPr="000B6911">
          <w:rPr>
            <w:rFonts w:ascii="David" w:eastAsia="David" w:hAnsi="David"/>
            <w:b/>
            <w:bCs/>
            <w:color w:val="0000FF"/>
            <w:u w:val="single"/>
            <w:rtl/>
          </w:rPr>
          <w:t>ע"פ 9702/16</w:t>
        </w:r>
      </w:hyperlink>
      <w:r>
        <w:rPr>
          <w:rFonts w:ascii="David" w:eastAsia="David" w:hAnsi="David"/>
          <w:b/>
          <w:bCs/>
          <w:rtl/>
        </w:rPr>
        <w:t xml:space="preserve"> </w:t>
      </w:r>
      <w:r>
        <w:rPr>
          <w:rFonts w:ascii="David" w:eastAsia="David" w:hAnsi="David"/>
          <w:b/>
          <w:bCs/>
          <w:u w:val="single"/>
          <w:rtl/>
        </w:rPr>
        <w:t>סאמי אבו אלוליאיה נ' מדינת ישראל</w:t>
      </w:r>
      <w:r>
        <w:rPr>
          <w:rFonts w:ascii="David" w:eastAsia="David" w:hAnsi="David"/>
          <w:rtl/>
        </w:rPr>
        <w:t xml:space="preserve"> , הנאשם הורשע בעבירות של נשיאת והובלת נשק ותחמושת שלא כדין, בכך  שהוא לקח תיק שהושלך מרכב אחר , וגילה בתוכו נשק, הנאשם נשא עמו את הנשק במשך כחצי שנה, בית המשפט קבע מתחם עונש הולם בין 14 ועד 36 חודשי מאסר, ועל הנאשם הוטלו 18 חודשי מאסר בפועל. ערעור על חומרת העונש נדחה. </w:t>
      </w:r>
      <w:r>
        <w:rPr>
          <w:rFonts w:ascii="David" w:eastAsia="David" w:hAnsi="David"/>
          <w:b/>
          <w:bCs/>
          <w:rtl/>
        </w:rPr>
        <w:t xml:space="preserve">ע"פ 333/18 </w:t>
      </w:r>
      <w:r>
        <w:rPr>
          <w:rFonts w:ascii="David" w:eastAsia="David" w:hAnsi="David"/>
          <w:b/>
          <w:bCs/>
          <w:u w:val="single"/>
          <w:rtl/>
        </w:rPr>
        <w:t>מדינת ישראל נ' השאם סמארה ,</w:t>
      </w:r>
      <w:r>
        <w:rPr>
          <w:rFonts w:ascii="David" w:eastAsia="David" w:hAnsi="David"/>
          <w:b/>
          <w:bCs/>
          <w:rtl/>
        </w:rPr>
        <w:t xml:space="preserve"> </w:t>
      </w:r>
      <w:r>
        <w:rPr>
          <w:rFonts w:ascii="David" w:eastAsia="David" w:hAnsi="David"/>
          <w:rtl/>
        </w:rPr>
        <w:t xml:space="preserve"> הנאשם הורשע בעבירות של נשיאה והובלת נשק ותחמושת והחזקת תחמושת. בית המשפט קבע מתחם עונש הולם אשר נע בין 16 ועד 40 חודשי מאסר. על הנאשם נגזרו 18 חודשי מאסר בפועל. בית המשפט העליון קיבל את ערעור המדינה על קולת העונש, והעמיד את עונשו של הנאשם ל- 24 חודשי מאסר בפועל. </w:t>
      </w:r>
    </w:p>
    <w:p w14:paraId="04BFAFAA" w14:textId="77777777" w:rsidR="000F592A" w:rsidRDefault="000F592A" w:rsidP="000F592A">
      <w:pPr>
        <w:spacing w:line="360" w:lineRule="auto"/>
        <w:ind w:left="720"/>
        <w:jc w:val="both"/>
        <w:rPr>
          <w:rFonts w:ascii="David" w:eastAsia="David" w:hAnsi="David"/>
          <w:sz w:val="14"/>
          <w:szCs w:val="14"/>
        </w:rPr>
      </w:pPr>
    </w:p>
    <w:p w14:paraId="48C2AF99" w14:textId="77777777" w:rsidR="000F592A" w:rsidRDefault="000F592A" w:rsidP="000F592A">
      <w:pPr>
        <w:numPr>
          <w:ilvl w:val="0"/>
          <w:numId w:val="1"/>
        </w:numPr>
        <w:spacing w:after="160" w:line="360" w:lineRule="auto"/>
        <w:contextualSpacing/>
        <w:jc w:val="both"/>
        <w:rPr>
          <w:rtl/>
        </w:rPr>
      </w:pPr>
      <w:r>
        <w:rPr>
          <w:rFonts w:hint="cs"/>
          <w:rtl/>
        </w:rPr>
        <w:t>מטעם הנאשמים הוגשו מספר פסקי דין ביניהם:</w:t>
      </w:r>
      <w:hyperlink r:id="rId48" w:history="1">
        <w:r w:rsidR="000B6911" w:rsidRPr="000B6911">
          <w:rPr>
            <w:b/>
            <w:bCs/>
            <w:color w:val="0000FF"/>
            <w:u w:val="single"/>
            <w:rtl/>
          </w:rPr>
          <w:t>ת"פ 44453-10-21</w:t>
        </w:r>
      </w:hyperlink>
      <w:r>
        <w:rPr>
          <w:rFonts w:hint="cs"/>
          <w:b/>
          <w:bCs/>
          <w:rtl/>
        </w:rPr>
        <w:t xml:space="preserve"> </w:t>
      </w:r>
      <w:r>
        <w:rPr>
          <w:rFonts w:hint="cs"/>
          <w:b/>
          <w:bCs/>
          <w:u w:val="single"/>
          <w:rtl/>
        </w:rPr>
        <w:t>מדינת ישראל נ' גבארין ואח'</w:t>
      </w:r>
      <w:r>
        <w:rPr>
          <w:rFonts w:hint="cs"/>
          <w:rtl/>
        </w:rPr>
        <w:t xml:space="preserve"> , שם דובר בשני נאשמים, כאשר הראשון הורשע בעבירות של נשק (נשיאה והובלה) והנאשם השני הורשע בעבירת סיוע לעבירות נשק (נשיאה והובלה). נקבע  מתחם עונש הולם ביחס לעבירה המושלמת של נשיאה והובלת נשק שבין 15 ועד 36 חודשים. על הנאשם מס' 1 הוטלו 15 חודשי מאסר בפועל. </w:t>
      </w:r>
      <w:hyperlink r:id="rId49" w:history="1">
        <w:r w:rsidR="000B6911" w:rsidRPr="000B6911">
          <w:rPr>
            <w:b/>
            <w:bCs/>
            <w:color w:val="0000FF"/>
            <w:u w:val="single"/>
            <w:rtl/>
          </w:rPr>
          <w:t>ע"פ 4978/19</w:t>
        </w:r>
      </w:hyperlink>
      <w:r>
        <w:rPr>
          <w:rFonts w:hint="cs"/>
          <w:b/>
          <w:bCs/>
          <w:rtl/>
        </w:rPr>
        <w:t xml:space="preserve"> </w:t>
      </w:r>
      <w:r>
        <w:rPr>
          <w:rFonts w:hint="cs"/>
          <w:b/>
          <w:bCs/>
          <w:u w:val="single"/>
          <w:rtl/>
        </w:rPr>
        <w:t>אבו מנסור נ' מדינת ישראל</w:t>
      </w:r>
      <w:r>
        <w:rPr>
          <w:rFonts w:hint="cs"/>
          <w:rtl/>
        </w:rPr>
        <w:t xml:space="preserve">, הנאשם 1 הורשע בעבירות דומות ונידון ל- 12 חודשים ונאשם 2 הורשע בעבירה של החזקת נשק נידון ל- 6 חודשי מאסר שרוצו בעבודות שרות. </w:t>
      </w:r>
      <w:hyperlink r:id="rId50" w:history="1">
        <w:r w:rsidR="000B6911" w:rsidRPr="000B6911">
          <w:rPr>
            <w:b/>
            <w:bCs/>
            <w:color w:val="0000FF"/>
            <w:u w:val="single"/>
            <w:rtl/>
          </w:rPr>
          <w:t>ע"פ 545/20</w:t>
        </w:r>
      </w:hyperlink>
      <w:r>
        <w:rPr>
          <w:rFonts w:hint="cs"/>
          <w:b/>
          <w:bCs/>
          <w:rtl/>
        </w:rPr>
        <w:t xml:space="preserve"> </w:t>
      </w:r>
      <w:r>
        <w:rPr>
          <w:rFonts w:hint="cs"/>
          <w:b/>
          <w:bCs/>
          <w:u w:val="single"/>
          <w:rtl/>
        </w:rPr>
        <w:t>פלוני נ' מדינת ישראל</w:t>
      </w:r>
      <w:r>
        <w:rPr>
          <w:rFonts w:hint="cs"/>
          <w:rtl/>
        </w:rPr>
        <w:t xml:space="preserve">, בית המשפט המחוזי קבע מתחם שבין  10 ל- 24 חודשי מאסר בפועל ונגזרו 12 חודשי מאסר בפועל. ערעור לבית המשפט העליון נדחה.  </w:t>
      </w:r>
      <w:hyperlink r:id="rId51" w:history="1">
        <w:r w:rsidR="000B6911" w:rsidRPr="000B6911">
          <w:rPr>
            <w:b/>
            <w:bCs/>
            <w:color w:val="0000FF"/>
            <w:u w:val="single"/>
            <w:rtl/>
          </w:rPr>
          <w:t>ע"פ 2564/19</w:t>
        </w:r>
      </w:hyperlink>
      <w:r>
        <w:rPr>
          <w:rFonts w:hint="cs"/>
          <w:b/>
          <w:bCs/>
          <w:rtl/>
        </w:rPr>
        <w:t xml:space="preserve"> </w:t>
      </w:r>
      <w:r>
        <w:rPr>
          <w:rFonts w:hint="cs"/>
          <w:b/>
          <w:bCs/>
          <w:u w:val="single"/>
          <w:rtl/>
        </w:rPr>
        <w:t>אזברגה נ' מדינת ישראל</w:t>
      </w:r>
      <w:r>
        <w:rPr>
          <w:rFonts w:hint="cs"/>
          <w:rtl/>
        </w:rPr>
        <w:t xml:space="preserve">, הנאשם הורשע בעבירת נשיאת נשק, נקבע מתחם הנע בין 12 ל- 40 חודשי מאסר בפועל ביחס לעבירה של נשיאת נשק, ועל הנאשם הוטלו 16 חודשי מאסר בפועל. </w:t>
      </w:r>
      <w:hyperlink r:id="rId52" w:history="1">
        <w:r w:rsidR="000B6911" w:rsidRPr="000B6911">
          <w:rPr>
            <w:b/>
            <w:bCs/>
            <w:color w:val="0000FF"/>
            <w:u w:val="single"/>
            <w:rtl/>
          </w:rPr>
          <w:t>ע"פ 5765/20</w:t>
        </w:r>
      </w:hyperlink>
      <w:r>
        <w:rPr>
          <w:rFonts w:hint="cs"/>
          <w:b/>
          <w:bCs/>
          <w:rtl/>
        </w:rPr>
        <w:t xml:space="preserve"> </w:t>
      </w:r>
      <w:r>
        <w:rPr>
          <w:rFonts w:hint="cs"/>
          <w:b/>
          <w:bCs/>
          <w:u w:val="single"/>
          <w:rtl/>
        </w:rPr>
        <w:t>ואסים אבו בכר נ' מדינת ישראל</w:t>
      </w:r>
      <w:r>
        <w:rPr>
          <w:rFonts w:hint="cs"/>
          <w:rtl/>
        </w:rPr>
        <w:t xml:space="preserve">, שם דובר בשני נאשמים אשר הורשעו בעבירות של הובלה ונשיאת נשק ושיבוש מהלכי משפט בכך  שנשאו והובילו שני אקדחים . על הנאשמים הוטלו 18 חודשי מאסר בפועל. ערעור לבית המשפט העליון על חומרת העונש נדחה. </w:t>
      </w:r>
      <w:hyperlink r:id="rId53" w:history="1">
        <w:r w:rsidR="000B6911" w:rsidRPr="000B6911">
          <w:rPr>
            <w:b/>
            <w:bCs/>
            <w:color w:val="0000FF"/>
            <w:u w:val="single"/>
            <w:rtl/>
          </w:rPr>
          <w:t>ת"פ 30327-02-21</w:t>
        </w:r>
      </w:hyperlink>
      <w:r>
        <w:rPr>
          <w:rFonts w:hint="cs"/>
          <w:b/>
          <w:bCs/>
          <w:rtl/>
        </w:rPr>
        <w:t xml:space="preserve"> </w:t>
      </w:r>
      <w:r>
        <w:rPr>
          <w:rFonts w:hint="cs"/>
          <w:b/>
          <w:bCs/>
          <w:u w:val="single"/>
          <w:rtl/>
        </w:rPr>
        <w:t>מדינת ישראל נ' סוהיל מחאג'נה</w:t>
      </w:r>
      <w:r>
        <w:rPr>
          <w:rFonts w:hint="cs"/>
          <w:rtl/>
        </w:rPr>
        <w:t xml:space="preserve">, נאשם הורשע בהחזקה נשיאה והובלה של נשק מסוג אמ-16, ועבירה של הפרעה לשוטר במילוי תפקידו והחזקת סכין וכדורים ומחסניות. על הנאשם הוטלו 18 חודשי מאסר בפועל. </w:t>
      </w:r>
    </w:p>
    <w:p w14:paraId="6FD76C2D" w14:textId="77777777" w:rsidR="000F592A" w:rsidRDefault="000F592A" w:rsidP="000F592A">
      <w:pPr>
        <w:spacing w:line="360" w:lineRule="auto"/>
        <w:ind w:left="720"/>
        <w:contextualSpacing/>
        <w:jc w:val="both"/>
        <w:rPr>
          <w:rtl/>
        </w:rPr>
      </w:pPr>
      <w:r>
        <w:rPr>
          <w:rFonts w:hint="cs"/>
          <w:b/>
          <w:bCs/>
          <w:rtl/>
        </w:rPr>
        <w:t xml:space="preserve">ת"פ 54171-12-21 </w:t>
      </w:r>
      <w:r>
        <w:rPr>
          <w:rFonts w:hint="cs"/>
          <w:b/>
          <w:bCs/>
          <w:u w:val="single"/>
          <w:rtl/>
        </w:rPr>
        <w:t>מדינת ישראל נ' מוחמד שיהאב</w:t>
      </w:r>
      <w:r>
        <w:rPr>
          <w:rFonts w:hint="cs"/>
          <w:b/>
          <w:bCs/>
          <w:rtl/>
        </w:rPr>
        <w:t xml:space="preserve">, </w:t>
      </w:r>
      <w:r>
        <w:rPr>
          <w:rFonts w:hint="cs"/>
          <w:rtl/>
        </w:rPr>
        <w:t xml:space="preserve">מדובר בשני נאשמים אשר הורשעו בעבירות של החזקה, נשיאה, והובלת נשק, איומים, הפרעה לשוטר במילוי תפקידו. על הנאשם 1 (בגיר) הוטלו 20 חודשי מאסר ועל הנאשם 2 (קטין במועד ביצוע העבירה) הוטלו 12 חודשי מאסר בפועל. </w:t>
      </w:r>
    </w:p>
    <w:p w14:paraId="365DF442" w14:textId="77777777" w:rsidR="000F592A" w:rsidRDefault="000F592A" w:rsidP="000F592A">
      <w:pPr>
        <w:spacing w:line="360" w:lineRule="auto"/>
        <w:ind w:left="720"/>
        <w:contextualSpacing/>
        <w:jc w:val="both"/>
        <w:rPr>
          <w:rtl/>
        </w:rPr>
      </w:pPr>
    </w:p>
    <w:p w14:paraId="4D704FD5" w14:textId="77777777" w:rsidR="000F592A" w:rsidRDefault="000F592A" w:rsidP="000F592A">
      <w:pPr>
        <w:spacing w:after="160" w:line="360" w:lineRule="auto"/>
        <w:ind w:left="391"/>
        <w:jc w:val="both"/>
        <w:rPr>
          <w:b/>
          <w:bCs/>
          <w:u w:val="single"/>
          <w:rtl/>
        </w:rPr>
      </w:pPr>
      <w:r>
        <w:rPr>
          <w:rFonts w:hint="cs"/>
          <w:b/>
          <w:bCs/>
          <w:u w:val="single"/>
          <w:rtl/>
        </w:rPr>
        <w:t>לסיכום מתחם העונש ההולם</w:t>
      </w:r>
    </w:p>
    <w:p w14:paraId="68B37FA2" w14:textId="77777777" w:rsidR="000F592A" w:rsidRDefault="000F592A" w:rsidP="000F592A">
      <w:pPr>
        <w:numPr>
          <w:ilvl w:val="0"/>
          <w:numId w:val="1"/>
        </w:numPr>
        <w:spacing w:after="160" w:line="360" w:lineRule="auto"/>
        <w:contextualSpacing/>
        <w:jc w:val="both"/>
        <w:rPr>
          <w:rtl/>
        </w:rPr>
      </w:pPr>
      <w:r>
        <w:rPr>
          <w:rFonts w:hint="cs"/>
          <w:rtl/>
        </w:rPr>
        <w:t>הנאשמים הורשעו בעבירה של נשיאת נשק שהעונש הקבוע בצידה הינו 10 שנות מאסר ולא פחות מ- 30 חודשי מאסר (עונש המינימום הקבוע בחוק שאינו יכול להיות כולו על תנאי). בית המשפט העליון קבע באופן ברור כי ככלל בעבירת נשיאת והובלת נשק מתחם העונש ההולם נע בין 30 ל-42 חודשי מאסר בפועל</w:t>
      </w:r>
      <w:r>
        <w:rPr>
          <w:rFonts w:hint="cs"/>
          <w:b/>
          <w:bCs/>
          <w:rtl/>
        </w:rPr>
        <w:t xml:space="preserve">. ר'  </w:t>
      </w:r>
      <w:hyperlink r:id="rId54" w:history="1">
        <w:r w:rsidR="000B6911" w:rsidRPr="000B6911">
          <w:rPr>
            <w:b/>
            <w:bCs/>
            <w:color w:val="0000FF"/>
            <w:u w:val="single"/>
            <w:rtl/>
          </w:rPr>
          <w:t>ע"פ 5602/22</w:t>
        </w:r>
      </w:hyperlink>
      <w:r>
        <w:rPr>
          <w:rFonts w:hint="cs"/>
          <w:b/>
          <w:bCs/>
          <w:rtl/>
        </w:rPr>
        <w:t xml:space="preserve"> </w:t>
      </w:r>
      <w:r>
        <w:rPr>
          <w:rFonts w:hint="cs"/>
          <w:b/>
          <w:bCs/>
          <w:u w:val="single"/>
          <w:rtl/>
        </w:rPr>
        <w:t>מ. ישראל פלוני</w:t>
      </w:r>
      <w:r>
        <w:rPr>
          <w:rFonts w:hint="cs"/>
          <w:rtl/>
        </w:rPr>
        <w:t>:</w:t>
      </w:r>
      <w:r>
        <w:rPr>
          <w:rFonts w:hint="cs"/>
          <w:color w:val="000000"/>
          <w:rtl/>
        </w:rPr>
        <w:t xml:space="preserve"> </w:t>
      </w:r>
      <w:r>
        <w:rPr>
          <w:rFonts w:hint="cs"/>
          <w:b/>
          <w:bCs/>
          <w:color w:val="000000"/>
          <w:rtl/>
        </w:rPr>
        <w:t>"כעולה מפסיקתו של בית משפט זה,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w:t>
      </w:r>
      <w:r>
        <w:rPr>
          <w:rFonts w:hint="cs"/>
          <w:color w:val="000000"/>
          <w:sz w:val="27"/>
          <w:szCs w:val="27"/>
          <w:rtl/>
        </w:rPr>
        <w:t>"</w:t>
      </w:r>
      <w:r>
        <w:rPr>
          <w:rFonts w:hint="cs"/>
          <w:rtl/>
        </w:rPr>
        <w:t>.</w:t>
      </w:r>
    </w:p>
    <w:p w14:paraId="49346136" w14:textId="77777777" w:rsidR="000F592A" w:rsidRDefault="000F592A" w:rsidP="000F592A">
      <w:pPr>
        <w:spacing w:after="160" w:line="360" w:lineRule="auto"/>
        <w:ind w:left="720"/>
        <w:contextualSpacing/>
        <w:jc w:val="both"/>
        <w:rPr>
          <w:rFonts w:eastAsia="David"/>
          <w:rtl/>
        </w:rPr>
      </w:pPr>
      <w:r>
        <w:rPr>
          <w:rFonts w:hint="cs"/>
          <w:rtl/>
        </w:rPr>
        <w:t xml:space="preserve">לא מצאתי כי נסיבות ביצוע העבירה במקרה הנדון מצדיקות קביעת מתחם עונש הולם שונה. </w:t>
      </w:r>
    </w:p>
    <w:p w14:paraId="79823C04" w14:textId="77777777" w:rsidR="000F592A" w:rsidRDefault="000F592A" w:rsidP="000F592A">
      <w:pPr>
        <w:spacing w:after="160"/>
        <w:ind w:left="720"/>
        <w:contextualSpacing/>
        <w:jc w:val="both"/>
        <w:rPr>
          <w:rFonts w:eastAsia="Calibri"/>
          <w:sz w:val="8"/>
          <w:szCs w:val="8"/>
        </w:rPr>
      </w:pPr>
    </w:p>
    <w:p w14:paraId="144558C5" w14:textId="77777777" w:rsidR="000F592A" w:rsidRDefault="000F592A" w:rsidP="000F592A">
      <w:pPr>
        <w:pStyle w:val="a9"/>
        <w:numPr>
          <w:ilvl w:val="0"/>
          <w:numId w:val="1"/>
        </w:numPr>
        <w:spacing w:after="160" w:line="360" w:lineRule="auto"/>
        <w:jc w:val="both"/>
        <w:rPr>
          <w:rFonts w:ascii="David" w:eastAsia="David" w:hAnsi="David"/>
        </w:rPr>
      </w:pPr>
      <w:r>
        <w:rPr>
          <w:rFonts w:ascii="David" w:eastAsia="David" w:hAnsi="David"/>
          <w:rtl/>
        </w:rPr>
        <w:t xml:space="preserve">לאחר ששקלתי את חומרת העבירה, נסיבות ביצועהּ כמפורט לעיל, הערך החברתי עליו יש להגן, מידת הפגיעה בו והפסיקה הנהוגה, אני סבור כי מתחם העונש ההולם ביחס לעבירה אותה ביצעו הנאשמים צריך לכלול רכיב של מאסר בפועל שלא יפחת מ- 30 חודשים ולא יעלה על 42 חודשים בצד עונשים נלווים. </w:t>
      </w:r>
    </w:p>
    <w:p w14:paraId="436B4606" w14:textId="77777777" w:rsidR="000F592A" w:rsidRDefault="000F592A" w:rsidP="000F592A">
      <w:pPr>
        <w:rPr>
          <w:rFonts w:ascii="David" w:eastAsia="Calibri" w:hAnsi="David"/>
          <w:b/>
          <w:bCs/>
          <w:sz w:val="12"/>
          <w:szCs w:val="12"/>
          <w:u w:val="single"/>
          <w:rtl/>
        </w:rPr>
      </w:pPr>
    </w:p>
    <w:p w14:paraId="056A2076" w14:textId="77777777" w:rsidR="000F592A" w:rsidRDefault="000F592A" w:rsidP="000F592A">
      <w:pPr>
        <w:spacing w:after="160" w:line="360" w:lineRule="auto"/>
        <w:ind w:firstLine="360"/>
        <w:jc w:val="both"/>
        <w:rPr>
          <w:rFonts w:eastAsia="David"/>
          <w:b/>
          <w:bCs/>
          <w:u w:val="single"/>
          <w:rtl/>
        </w:rPr>
      </w:pPr>
      <w:r>
        <w:rPr>
          <w:rFonts w:hint="cs"/>
          <w:b/>
          <w:bCs/>
          <w:u w:val="single"/>
          <w:rtl/>
        </w:rPr>
        <w:t>נסיבות שאינן קשורות בביצוע העבירות</w:t>
      </w:r>
    </w:p>
    <w:p w14:paraId="536BFEE5" w14:textId="77777777" w:rsidR="000F592A" w:rsidRDefault="000F592A" w:rsidP="000F592A">
      <w:pPr>
        <w:spacing w:after="160" w:line="252" w:lineRule="auto"/>
        <w:ind w:firstLine="360"/>
        <w:jc w:val="both"/>
        <w:rPr>
          <w:u w:val="single"/>
          <w:rtl/>
        </w:rPr>
      </w:pPr>
      <w:r>
        <w:rPr>
          <w:rFonts w:hint="cs"/>
          <w:u w:val="single"/>
          <w:rtl/>
        </w:rPr>
        <w:t>נאשם 1</w:t>
      </w:r>
    </w:p>
    <w:p w14:paraId="711E8196" w14:textId="77777777" w:rsidR="000F592A" w:rsidRDefault="000F592A" w:rsidP="000F592A">
      <w:pPr>
        <w:spacing w:after="160" w:line="252" w:lineRule="auto"/>
        <w:ind w:firstLine="425"/>
        <w:jc w:val="both"/>
        <w:rPr>
          <w:b/>
          <w:bCs/>
          <w:sz w:val="4"/>
          <w:szCs w:val="4"/>
          <w:u w:val="single"/>
        </w:rPr>
      </w:pPr>
    </w:p>
    <w:p w14:paraId="3A5E54FF" w14:textId="77777777" w:rsidR="000F592A" w:rsidRDefault="000F592A" w:rsidP="000F592A">
      <w:pPr>
        <w:numPr>
          <w:ilvl w:val="0"/>
          <w:numId w:val="1"/>
        </w:numPr>
        <w:spacing w:after="160" w:line="360" w:lineRule="auto"/>
        <w:contextualSpacing/>
        <w:jc w:val="both"/>
        <w:rPr>
          <w:rtl/>
        </w:rPr>
      </w:pPr>
      <w:r>
        <w:rPr>
          <w:rFonts w:hint="cs"/>
          <w:rtl/>
        </w:rPr>
        <w:t>לקולה אני מביא בחשבון את קבלת האחריות, הבעת החרטה, ההודאה בכתב האישום המתוקן והחיסכון בזמן שיפוטי , גילו הצעיר של הנאשם, נסיבותיו האישיות (כעולה מטיעוני ההגנה, תסקיר שירות המבחן, ומכתבה של המחנכת נ/1).  תקופת המעצר המשמעותית בה הוא היה נתון עד היום  (כידוע תנאי המעצר קשים מתנאי מאסר) והשלכות המאסר על הנאשם ומשפחתו. כך גם יש להביא בחשבון את העובדה שמדובר במאסרו הראשון של הנאשם.</w:t>
      </w:r>
    </w:p>
    <w:p w14:paraId="4FEF9E11" w14:textId="77777777" w:rsidR="000F592A" w:rsidRDefault="000F592A" w:rsidP="000F592A">
      <w:pPr>
        <w:spacing w:after="160" w:line="360" w:lineRule="auto"/>
        <w:ind w:left="720"/>
        <w:contextualSpacing/>
        <w:jc w:val="both"/>
        <w:rPr>
          <w:rFonts w:eastAsia="Calibri"/>
          <w:sz w:val="12"/>
          <w:szCs w:val="12"/>
          <w:rtl/>
        </w:rPr>
      </w:pPr>
    </w:p>
    <w:p w14:paraId="368FCD70" w14:textId="77777777" w:rsidR="000F592A" w:rsidRDefault="000F592A" w:rsidP="000F592A">
      <w:pPr>
        <w:spacing w:after="160" w:line="360" w:lineRule="auto"/>
        <w:ind w:left="720"/>
        <w:contextualSpacing/>
        <w:jc w:val="both"/>
        <w:rPr>
          <w:rFonts w:eastAsia="David"/>
          <w:rtl/>
        </w:rPr>
      </w:pPr>
      <w:r>
        <w:rPr>
          <w:rFonts w:hint="cs"/>
          <w:rtl/>
        </w:rPr>
        <w:t>לחומרה יש להביא בחשבון את עברו הפלילי של הנאשם</w:t>
      </w:r>
      <w:r w:rsidR="000B6911">
        <w:rPr>
          <w:rFonts w:hint="cs"/>
          <w:rtl/>
        </w:rPr>
        <w:t xml:space="preserve"> </w:t>
      </w:r>
      <w:r>
        <w:rPr>
          <w:rFonts w:hint="cs"/>
          <w:rtl/>
        </w:rPr>
        <w:t xml:space="preserve">1 הכולל עבירות של </w:t>
      </w:r>
      <w:r>
        <w:rPr>
          <w:rFonts w:eastAsia="Calibri" w:hint="cs"/>
          <w:rtl/>
        </w:rPr>
        <w:t>חבלה במזיד לרכב, תקיפה סתם, עבירות איומים, הפרעה לשוטר במילוי תפקידו, היזק לרכוש במזיד,  פריצה לבניין, גניבה ועבירות של תקיפה הגורמת חבלה ממשית</w:t>
      </w:r>
      <w:r>
        <w:rPr>
          <w:rFonts w:hint="cs"/>
          <w:rtl/>
        </w:rPr>
        <w:t>. כך גם אין להתעלם מהעובדה שהנאשם ביצע את העבירה  ימים ספורים לפני שניתן  כנגדו גזר דין בתיק אחר (ר' רישום פלילי ת/1 הרשעה מס' 1, גזר דין מיום 20.12.21).  כך גם יש להביא בחשבון את הסיכון הנשקף מהנאשם  להישנות עבירות כמפורט בתסקיר שרות המבחן.</w:t>
      </w:r>
    </w:p>
    <w:p w14:paraId="45C924AB" w14:textId="77777777" w:rsidR="000F592A" w:rsidRDefault="000F592A" w:rsidP="000F592A">
      <w:pPr>
        <w:spacing w:after="160" w:line="360" w:lineRule="auto"/>
        <w:ind w:left="720"/>
        <w:contextualSpacing/>
        <w:jc w:val="both"/>
        <w:rPr>
          <w:sz w:val="16"/>
          <w:szCs w:val="16"/>
        </w:rPr>
      </w:pPr>
    </w:p>
    <w:p w14:paraId="50908BF0" w14:textId="77777777" w:rsidR="000F592A" w:rsidRDefault="000F592A" w:rsidP="000F592A">
      <w:pPr>
        <w:spacing w:after="160" w:line="360" w:lineRule="auto"/>
        <w:ind w:left="720"/>
        <w:contextualSpacing/>
        <w:jc w:val="both"/>
        <w:rPr>
          <w:b/>
          <w:bCs/>
          <w:rtl/>
        </w:rPr>
      </w:pPr>
      <w:r>
        <w:rPr>
          <w:rFonts w:hint="cs"/>
          <w:rtl/>
        </w:rPr>
        <w:t>במכלול הנסיבות כמפורט לעיל, אני סבור שנכון לגזור על הנאשם 1 עונש מאסר בפועל לתקופה הקרובה למרכז המתחם.</w:t>
      </w:r>
    </w:p>
    <w:p w14:paraId="54554B88" w14:textId="77777777" w:rsidR="000F592A" w:rsidRDefault="000F592A" w:rsidP="000F592A">
      <w:pPr>
        <w:spacing w:line="360" w:lineRule="auto"/>
        <w:ind w:firstLine="360"/>
        <w:jc w:val="both"/>
        <w:rPr>
          <w:b/>
          <w:bCs/>
          <w:sz w:val="16"/>
          <w:szCs w:val="16"/>
          <w:u w:val="single"/>
        </w:rPr>
      </w:pPr>
    </w:p>
    <w:p w14:paraId="673F75F9" w14:textId="77777777" w:rsidR="000F592A" w:rsidRDefault="000F592A" w:rsidP="000F592A">
      <w:pPr>
        <w:spacing w:line="360" w:lineRule="auto"/>
        <w:ind w:firstLine="360"/>
        <w:jc w:val="both"/>
        <w:rPr>
          <w:u w:val="single"/>
        </w:rPr>
      </w:pPr>
      <w:r>
        <w:rPr>
          <w:rFonts w:hint="cs"/>
          <w:u w:val="single"/>
          <w:rtl/>
        </w:rPr>
        <w:t xml:space="preserve">נאשם 2  </w:t>
      </w:r>
    </w:p>
    <w:p w14:paraId="089DBBEF" w14:textId="77777777" w:rsidR="000F592A" w:rsidRDefault="000F592A" w:rsidP="000F592A">
      <w:pPr>
        <w:spacing w:line="360" w:lineRule="auto"/>
        <w:ind w:firstLine="360"/>
        <w:jc w:val="both"/>
        <w:rPr>
          <w:sz w:val="14"/>
          <w:szCs w:val="14"/>
          <w:u w:val="single"/>
          <w:rtl/>
        </w:rPr>
      </w:pPr>
    </w:p>
    <w:p w14:paraId="263F7793" w14:textId="77777777" w:rsidR="000F592A" w:rsidRDefault="000F592A" w:rsidP="000F592A">
      <w:pPr>
        <w:numPr>
          <w:ilvl w:val="0"/>
          <w:numId w:val="1"/>
        </w:numPr>
        <w:spacing w:after="160" w:line="360" w:lineRule="auto"/>
        <w:contextualSpacing/>
        <w:jc w:val="both"/>
        <w:rPr>
          <w:rtl/>
        </w:rPr>
      </w:pPr>
      <w:r>
        <w:rPr>
          <w:rFonts w:hint="cs"/>
          <w:rtl/>
        </w:rPr>
        <w:t xml:space="preserve">לקולה אני מביא בחשבון את הודאתו המידית של הנאשם 2, הזמן השיפוטי שנחסך, קבלת האחריות, הבעת החרטה, נסיבותיו המשפחתיות כמפורט בטיעוני ההגנה ובתסקיר שירות המבחן, גילו הצעיר, העובדה שהוא נעדר כל עבר פלילי, תקופת המעצר בה הוא נתון (כידוע תנאי המעצר קשים מתנאי מאסר), והשלכות המאסר על הנאשם ומשפחתו. כך גם יש להביא בחשבון את העובדה שמדובר במאסרו הראשון. </w:t>
      </w:r>
    </w:p>
    <w:p w14:paraId="6BDAFB45" w14:textId="77777777" w:rsidR="000F592A" w:rsidRDefault="000F592A" w:rsidP="000F592A">
      <w:pPr>
        <w:spacing w:after="160" w:line="360" w:lineRule="auto"/>
        <w:ind w:left="720"/>
        <w:contextualSpacing/>
        <w:jc w:val="both"/>
        <w:rPr>
          <w:rFonts w:eastAsia="David"/>
          <w:sz w:val="12"/>
          <w:szCs w:val="12"/>
          <w:rtl/>
        </w:rPr>
      </w:pPr>
    </w:p>
    <w:p w14:paraId="4AE68119" w14:textId="77777777" w:rsidR="000F592A" w:rsidRDefault="000F592A" w:rsidP="000F592A">
      <w:pPr>
        <w:spacing w:after="160" w:line="360" w:lineRule="auto"/>
        <w:ind w:left="720"/>
        <w:contextualSpacing/>
        <w:jc w:val="both"/>
      </w:pPr>
      <w:r>
        <w:rPr>
          <w:rFonts w:hint="cs"/>
          <w:rtl/>
        </w:rPr>
        <w:t>לחומרה, אני מביא בחשבון את הסיכון הנשקף מהנאשם להישנות עבירות כמפורט בתסקיר שירות המבחן.</w:t>
      </w:r>
    </w:p>
    <w:p w14:paraId="07F37FD1" w14:textId="77777777" w:rsidR="000F592A" w:rsidRDefault="000F592A" w:rsidP="000F592A">
      <w:pPr>
        <w:spacing w:line="360" w:lineRule="auto"/>
        <w:ind w:left="720"/>
        <w:contextualSpacing/>
        <w:jc w:val="both"/>
        <w:rPr>
          <w:rFonts w:eastAsia="Calibri"/>
          <w:sz w:val="10"/>
          <w:szCs w:val="10"/>
        </w:rPr>
      </w:pPr>
    </w:p>
    <w:p w14:paraId="237B1F56" w14:textId="77777777" w:rsidR="000F592A" w:rsidRDefault="000F592A" w:rsidP="000F592A">
      <w:pPr>
        <w:spacing w:after="160" w:line="360" w:lineRule="auto"/>
        <w:ind w:left="720"/>
        <w:jc w:val="both"/>
        <w:rPr>
          <w:rFonts w:eastAsia="David"/>
          <w:sz w:val="6"/>
          <w:szCs w:val="6"/>
          <w:u w:val="single"/>
        </w:rPr>
      </w:pPr>
      <w:r>
        <w:rPr>
          <w:rFonts w:hint="cs"/>
          <w:rtl/>
        </w:rPr>
        <w:t>במכלול הנסיבות ובשים לב להעדר עבר פלילי,</w:t>
      </w:r>
      <w:r w:rsidR="000B6911">
        <w:rPr>
          <w:rFonts w:hint="cs"/>
          <w:rtl/>
        </w:rPr>
        <w:t xml:space="preserve"> </w:t>
      </w:r>
      <w:r>
        <w:rPr>
          <w:rFonts w:hint="cs"/>
          <w:rtl/>
        </w:rPr>
        <w:t xml:space="preserve"> אני סבור שנכון לגזור על הנאשם 2 עונש מאסר בפועל  לתקופה המצויה ברף התחתון של מתחם העונש ההולם. </w:t>
      </w:r>
    </w:p>
    <w:p w14:paraId="456DF8BD" w14:textId="77777777" w:rsidR="000F592A" w:rsidRDefault="000F592A" w:rsidP="000F592A">
      <w:pPr>
        <w:spacing w:after="160" w:line="360" w:lineRule="auto"/>
        <w:ind w:firstLine="424"/>
        <w:contextualSpacing/>
        <w:jc w:val="both"/>
        <w:rPr>
          <w:b/>
          <w:bCs/>
          <w:rtl/>
        </w:rPr>
      </w:pPr>
      <w:r>
        <w:rPr>
          <w:rFonts w:hint="cs"/>
          <w:rtl/>
        </w:rPr>
        <w:t xml:space="preserve">21. </w:t>
      </w:r>
      <w:r>
        <w:rPr>
          <w:rFonts w:hint="cs"/>
          <w:b/>
          <w:bCs/>
          <w:rtl/>
        </w:rPr>
        <w:t>לאור כל האמור לעיל, אני גוזר על הנאשמים</w:t>
      </w:r>
      <w:r w:rsidR="000B6911">
        <w:rPr>
          <w:rFonts w:hint="cs"/>
          <w:b/>
          <w:bCs/>
          <w:rtl/>
        </w:rPr>
        <w:t xml:space="preserve"> </w:t>
      </w:r>
      <w:r>
        <w:rPr>
          <w:rFonts w:hint="cs"/>
          <w:b/>
          <w:bCs/>
          <w:rtl/>
        </w:rPr>
        <w:t xml:space="preserve"> את העונשים הבאים:</w:t>
      </w:r>
    </w:p>
    <w:p w14:paraId="26EC43FA" w14:textId="77777777" w:rsidR="000F592A" w:rsidRDefault="000F592A" w:rsidP="000F592A">
      <w:pPr>
        <w:spacing w:after="160"/>
        <w:jc w:val="both"/>
        <w:rPr>
          <w:b/>
          <w:bCs/>
          <w:sz w:val="6"/>
          <w:szCs w:val="6"/>
          <w:rtl/>
        </w:rPr>
      </w:pPr>
    </w:p>
    <w:p w14:paraId="50F89514" w14:textId="77777777" w:rsidR="000F592A" w:rsidRDefault="000F592A" w:rsidP="000F592A">
      <w:pPr>
        <w:spacing w:after="160" w:line="252" w:lineRule="auto"/>
        <w:ind w:firstLine="720"/>
        <w:jc w:val="center"/>
        <w:rPr>
          <w:b/>
          <w:bCs/>
          <w:u w:val="single"/>
          <w:rtl/>
        </w:rPr>
      </w:pPr>
      <w:r>
        <w:rPr>
          <w:rFonts w:hint="cs"/>
          <w:b/>
          <w:bCs/>
          <w:u w:val="single"/>
          <w:rtl/>
        </w:rPr>
        <w:t>גזר דין נאשם 1</w:t>
      </w:r>
    </w:p>
    <w:p w14:paraId="6B7BF023" w14:textId="77777777" w:rsidR="000F592A" w:rsidRDefault="000F592A" w:rsidP="000F592A">
      <w:pPr>
        <w:spacing w:after="160"/>
        <w:ind w:left="708" w:firstLine="12"/>
        <w:rPr>
          <w:b/>
          <w:bCs/>
          <w:sz w:val="8"/>
          <w:szCs w:val="8"/>
          <w:rtl/>
        </w:rPr>
      </w:pPr>
    </w:p>
    <w:p w14:paraId="0CB860AF" w14:textId="77777777" w:rsidR="000F592A" w:rsidRDefault="000F592A" w:rsidP="000F592A">
      <w:pPr>
        <w:spacing w:after="160" w:line="360" w:lineRule="auto"/>
        <w:ind w:left="708" w:firstLine="12"/>
        <w:rPr>
          <w:b/>
          <w:bCs/>
          <w:u w:val="single"/>
        </w:rPr>
      </w:pPr>
      <w:r>
        <w:rPr>
          <w:rFonts w:hint="cs"/>
          <w:b/>
          <w:bCs/>
          <w:rtl/>
        </w:rPr>
        <w:t>אני גוזר על הנאשם 1 מאסר בפועל לתקופה של</w:t>
      </w:r>
      <w:r w:rsidR="000B6911">
        <w:rPr>
          <w:rFonts w:hint="cs"/>
          <w:b/>
          <w:bCs/>
          <w:rtl/>
        </w:rPr>
        <w:t xml:space="preserve"> </w:t>
      </w:r>
      <w:r>
        <w:rPr>
          <w:rFonts w:hint="cs"/>
          <w:b/>
          <w:bCs/>
          <w:rtl/>
        </w:rPr>
        <w:t xml:space="preserve"> 34 חודשים בניכוי ימי מעצרו מתאריך 15/12/21 ועד היום.</w:t>
      </w:r>
    </w:p>
    <w:p w14:paraId="1861D7B1" w14:textId="77777777" w:rsidR="000F592A" w:rsidRDefault="000F592A" w:rsidP="000F592A">
      <w:pPr>
        <w:snapToGrid w:val="0"/>
        <w:spacing w:after="160" w:line="360" w:lineRule="auto"/>
        <w:ind w:left="707" w:hanging="425"/>
        <w:contextualSpacing/>
        <w:jc w:val="both"/>
        <w:rPr>
          <w:b/>
          <w:bCs/>
          <w:sz w:val="4"/>
          <w:szCs w:val="4"/>
          <w:rtl/>
        </w:rPr>
      </w:pPr>
    </w:p>
    <w:p w14:paraId="7C9C6B07" w14:textId="77777777" w:rsidR="000F592A" w:rsidRDefault="000B6911" w:rsidP="000F592A">
      <w:pPr>
        <w:snapToGrid w:val="0"/>
        <w:spacing w:after="160" w:line="360" w:lineRule="auto"/>
        <w:ind w:left="707" w:hanging="425"/>
        <w:contextualSpacing/>
        <w:jc w:val="both"/>
        <w:rPr>
          <w:b/>
          <w:bCs/>
          <w:rtl/>
        </w:rPr>
      </w:pPr>
      <w:r>
        <w:rPr>
          <w:rFonts w:hint="cs"/>
          <w:b/>
          <w:bCs/>
          <w:rtl/>
        </w:rPr>
        <w:t xml:space="preserve">      </w:t>
      </w:r>
      <w:r w:rsidR="000F592A">
        <w:rPr>
          <w:rFonts w:hint="cs"/>
          <w:b/>
          <w:bCs/>
          <w:rtl/>
        </w:rPr>
        <w:t xml:space="preserve"> אני גוזר על הנאשם 1 עונש מאסר על תנאי לתקופה של 14 חודשים והתנאי הוא</w:t>
      </w:r>
      <w:r>
        <w:rPr>
          <w:rFonts w:hint="cs"/>
          <w:b/>
          <w:bCs/>
          <w:rtl/>
        </w:rPr>
        <w:t xml:space="preserve"> </w:t>
      </w:r>
      <w:r w:rsidR="000F592A">
        <w:rPr>
          <w:rFonts w:hint="cs"/>
          <w:b/>
          <w:bCs/>
          <w:rtl/>
        </w:rPr>
        <w:t xml:space="preserve"> שלא יעבור בתוך 3 שנים מיום שחרורו ממאסרו, עבירת נשק מסוג פשע ויורשע בגינה.</w:t>
      </w:r>
    </w:p>
    <w:p w14:paraId="17C2E18F" w14:textId="77777777" w:rsidR="000F592A" w:rsidRDefault="000F592A" w:rsidP="000F592A">
      <w:pPr>
        <w:snapToGrid w:val="0"/>
        <w:spacing w:after="160"/>
        <w:ind w:left="707" w:hanging="425"/>
        <w:contextualSpacing/>
        <w:jc w:val="both"/>
        <w:rPr>
          <w:b/>
          <w:bCs/>
          <w:rtl/>
        </w:rPr>
      </w:pPr>
    </w:p>
    <w:p w14:paraId="2A53E1B9" w14:textId="77777777" w:rsidR="000F592A" w:rsidRDefault="000B6911" w:rsidP="000F592A">
      <w:pPr>
        <w:snapToGrid w:val="0"/>
        <w:spacing w:after="160" w:line="360" w:lineRule="auto"/>
        <w:ind w:left="707" w:hanging="425"/>
        <w:contextualSpacing/>
        <w:jc w:val="both"/>
        <w:rPr>
          <w:b/>
          <w:bCs/>
        </w:rPr>
      </w:pPr>
      <w:r>
        <w:rPr>
          <w:rFonts w:hint="cs"/>
          <w:b/>
          <w:bCs/>
          <w:rtl/>
        </w:rPr>
        <w:t xml:space="preserve">      </w:t>
      </w:r>
      <w:r w:rsidR="000F592A">
        <w:rPr>
          <w:rFonts w:hint="cs"/>
          <w:b/>
          <w:bCs/>
          <w:rtl/>
        </w:rPr>
        <w:t xml:space="preserve"> אני גוזר על הנאשם 1 קנס כספי בסך 10,000 ₪</w:t>
      </w:r>
      <w:r>
        <w:rPr>
          <w:rFonts w:hint="cs"/>
          <w:b/>
          <w:bCs/>
          <w:rtl/>
        </w:rPr>
        <w:t xml:space="preserve"> </w:t>
      </w:r>
      <w:r w:rsidR="000F592A">
        <w:rPr>
          <w:rFonts w:hint="cs"/>
          <w:b/>
          <w:bCs/>
          <w:rtl/>
        </w:rPr>
        <w:t xml:space="preserve"> או 50 ימי מאסר.</w:t>
      </w:r>
    </w:p>
    <w:p w14:paraId="6F074794" w14:textId="77777777" w:rsidR="000F592A" w:rsidRDefault="000F592A" w:rsidP="000F592A">
      <w:pPr>
        <w:spacing w:after="160" w:line="252" w:lineRule="auto"/>
        <w:ind w:firstLine="707"/>
        <w:jc w:val="center"/>
        <w:rPr>
          <w:b/>
          <w:bCs/>
          <w:u w:val="single"/>
          <w:rtl/>
        </w:rPr>
      </w:pPr>
    </w:p>
    <w:p w14:paraId="0551DCA6" w14:textId="77777777" w:rsidR="000F592A" w:rsidRDefault="000F592A" w:rsidP="000F592A">
      <w:pPr>
        <w:spacing w:after="160" w:line="252" w:lineRule="auto"/>
        <w:ind w:firstLine="707"/>
        <w:jc w:val="center"/>
        <w:rPr>
          <w:b/>
          <w:bCs/>
          <w:u w:val="single"/>
          <w:rtl/>
        </w:rPr>
      </w:pPr>
      <w:r>
        <w:rPr>
          <w:rFonts w:hint="cs"/>
          <w:b/>
          <w:bCs/>
          <w:u w:val="single"/>
          <w:rtl/>
        </w:rPr>
        <w:t>גזר דין נאשם 2</w:t>
      </w:r>
    </w:p>
    <w:p w14:paraId="308A84BA" w14:textId="77777777" w:rsidR="000F592A" w:rsidRDefault="000F592A" w:rsidP="000F592A">
      <w:pPr>
        <w:spacing w:after="160" w:line="252" w:lineRule="auto"/>
        <w:jc w:val="both"/>
        <w:rPr>
          <w:b/>
          <w:bCs/>
          <w:sz w:val="4"/>
          <w:szCs w:val="4"/>
          <w:rtl/>
        </w:rPr>
      </w:pPr>
    </w:p>
    <w:p w14:paraId="4D12A4CB" w14:textId="77777777" w:rsidR="000F592A" w:rsidRDefault="000B6911" w:rsidP="000F592A">
      <w:pPr>
        <w:snapToGrid w:val="0"/>
        <w:spacing w:after="160" w:line="360" w:lineRule="auto"/>
        <w:ind w:left="707" w:hanging="425"/>
        <w:contextualSpacing/>
        <w:jc w:val="both"/>
        <w:rPr>
          <w:b/>
          <w:bCs/>
          <w:rtl/>
        </w:rPr>
      </w:pPr>
      <w:r>
        <w:rPr>
          <w:rFonts w:hint="cs"/>
          <w:b/>
          <w:bCs/>
          <w:rtl/>
        </w:rPr>
        <w:t xml:space="preserve">      </w:t>
      </w:r>
      <w:r w:rsidR="000F592A">
        <w:rPr>
          <w:rFonts w:hint="cs"/>
          <w:b/>
          <w:bCs/>
          <w:rtl/>
        </w:rPr>
        <w:t xml:space="preserve"> אני גוזר על הנאשם 2 מאסר בפועל לתקופה של</w:t>
      </w:r>
      <w:r>
        <w:rPr>
          <w:rFonts w:hint="cs"/>
          <w:b/>
          <w:bCs/>
          <w:rtl/>
        </w:rPr>
        <w:t xml:space="preserve"> </w:t>
      </w:r>
      <w:r w:rsidR="000F592A">
        <w:rPr>
          <w:rFonts w:hint="cs"/>
          <w:b/>
          <w:bCs/>
          <w:rtl/>
        </w:rPr>
        <w:t xml:space="preserve"> 30 חודשים בניכוי ימי מעצרו מיום 15/12/21 ועד היום.</w:t>
      </w:r>
    </w:p>
    <w:p w14:paraId="5F48D5B0" w14:textId="77777777" w:rsidR="000F592A" w:rsidRDefault="000F592A" w:rsidP="000F592A">
      <w:pPr>
        <w:snapToGrid w:val="0"/>
        <w:spacing w:after="160"/>
        <w:ind w:left="707" w:hanging="425"/>
        <w:contextualSpacing/>
        <w:jc w:val="both"/>
        <w:rPr>
          <w:b/>
          <w:bCs/>
          <w:rtl/>
        </w:rPr>
      </w:pPr>
    </w:p>
    <w:p w14:paraId="083AA7E5" w14:textId="77777777" w:rsidR="000F592A" w:rsidRDefault="000B6911" w:rsidP="000F592A">
      <w:pPr>
        <w:snapToGrid w:val="0"/>
        <w:spacing w:after="160" w:line="360" w:lineRule="auto"/>
        <w:ind w:left="707" w:hanging="425"/>
        <w:contextualSpacing/>
        <w:jc w:val="both"/>
        <w:rPr>
          <w:b/>
          <w:bCs/>
          <w:rtl/>
        </w:rPr>
      </w:pPr>
      <w:r>
        <w:rPr>
          <w:rFonts w:hint="cs"/>
          <w:b/>
          <w:bCs/>
          <w:rtl/>
        </w:rPr>
        <w:t xml:space="preserve">      </w:t>
      </w:r>
      <w:r w:rsidR="000F592A">
        <w:rPr>
          <w:rFonts w:hint="cs"/>
          <w:b/>
          <w:bCs/>
          <w:rtl/>
        </w:rPr>
        <w:t xml:space="preserve"> אני גוזר על הנאשם 2 עונש מאסר על תנאי</w:t>
      </w:r>
      <w:r>
        <w:rPr>
          <w:rFonts w:hint="cs"/>
          <w:b/>
          <w:bCs/>
          <w:rtl/>
        </w:rPr>
        <w:t xml:space="preserve"> </w:t>
      </w:r>
      <w:r w:rsidR="000F592A">
        <w:rPr>
          <w:rFonts w:hint="cs"/>
          <w:b/>
          <w:bCs/>
          <w:rtl/>
        </w:rPr>
        <w:t xml:space="preserve"> לתקופה של 12  חודשים והתנאי הוא שלא יעבור בתוך 3 שנים מיום שחרורו ממאסרו, עבירת נשק מסוג פשע ויורשע בגינה.</w:t>
      </w:r>
    </w:p>
    <w:p w14:paraId="4D479F55" w14:textId="77777777" w:rsidR="000F592A" w:rsidRDefault="000F592A" w:rsidP="000F592A">
      <w:pPr>
        <w:snapToGrid w:val="0"/>
        <w:spacing w:after="160"/>
        <w:ind w:left="707" w:hanging="425"/>
        <w:contextualSpacing/>
        <w:jc w:val="both"/>
        <w:rPr>
          <w:b/>
          <w:bCs/>
          <w:rtl/>
        </w:rPr>
      </w:pPr>
    </w:p>
    <w:p w14:paraId="4FB860FC" w14:textId="77777777" w:rsidR="000F592A" w:rsidRDefault="000B6911" w:rsidP="000F592A">
      <w:pPr>
        <w:snapToGrid w:val="0"/>
        <w:spacing w:after="160" w:line="360" w:lineRule="auto"/>
        <w:ind w:left="707" w:hanging="425"/>
        <w:contextualSpacing/>
        <w:jc w:val="both"/>
        <w:rPr>
          <w:b/>
          <w:bCs/>
          <w:rtl/>
        </w:rPr>
      </w:pPr>
      <w:r>
        <w:rPr>
          <w:rFonts w:hint="cs"/>
          <w:b/>
          <w:bCs/>
          <w:rtl/>
        </w:rPr>
        <w:t xml:space="preserve">      </w:t>
      </w:r>
      <w:r w:rsidR="000F592A">
        <w:rPr>
          <w:rFonts w:hint="cs"/>
          <w:b/>
          <w:bCs/>
          <w:rtl/>
        </w:rPr>
        <w:t xml:space="preserve"> אני גוזר על הנאשם 2 קנס</w:t>
      </w:r>
      <w:r>
        <w:rPr>
          <w:rFonts w:hint="cs"/>
          <w:b/>
          <w:bCs/>
          <w:rtl/>
        </w:rPr>
        <w:t xml:space="preserve"> </w:t>
      </w:r>
      <w:r w:rsidR="000F592A">
        <w:rPr>
          <w:rFonts w:hint="cs"/>
          <w:b/>
          <w:bCs/>
          <w:rtl/>
        </w:rPr>
        <w:t xml:space="preserve"> כספי בסך 8,000 ₪ או 40 ימי מאסר.</w:t>
      </w:r>
    </w:p>
    <w:p w14:paraId="6F6D8CF8" w14:textId="77777777" w:rsidR="000F592A" w:rsidRDefault="000F592A" w:rsidP="000F592A">
      <w:pPr>
        <w:snapToGrid w:val="0"/>
        <w:spacing w:after="160"/>
        <w:ind w:left="707" w:hanging="425"/>
        <w:contextualSpacing/>
        <w:jc w:val="both"/>
        <w:rPr>
          <w:b/>
          <w:bCs/>
          <w:rtl/>
        </w:rPr>
      </w:pPr>
    </w:p>
    <w:p w14:paraId="58C5F5BC" w14:textId="77777777" w:rsidR="000F592A" w:rsidRDefault="000B6911" w:rsidP="000F592A">
      <w:pPr>
        <w:snapToGrid w:val="0"/>
        <w:spacing w:after="160" w:line="360" w:lineRule="auto"/>
        <w:ind w:left="707" w:hanging="425"/>
        <w:contextualSpacing/>
        <w:jc w:val="both"/>
        <w:rPr>
          <w:b/>
          <w:bCs/>
          <w:rtl/>
        </w:rPr>
      </w:pPr>
      <w:r>
        <w:rPr>
          <w:rFonts w:hint="cs"/>
          <w:b/>
          <w:bCs/>
          <w:rtl/>
        </w:rPr>
        <w:t xml:space="preserve">      </w:t>
      </w:r>
      <w:r w:rsidR="000F592A">
        <w:rPr>
          <w:rFonts w:hint="cs"/>
          <w:b/>
          <w:bCs/>
          <w:rtl/>
        </w:rPr>
        <w:t xml:space="preserve"> הקנסות שהוטלו על הנאשמים</w:t>
      </w:r>
      <w:r>
        <w:rPr>
          <w:rFonts w:hint="cs"/>
          <w:b/>
          <w:bCs/>
          <w:rtl/>
        </w:rPr>
        <w:t xml:space="preserve"> </w:t>
      </w:r>
      <w:r w:rsidR="000F592A">
        <w:rPr>
          <w:rFonts w:hint="cs"/>
          <w:b/>
          <w:bCs/>
          <w:rtl/>
        </w:rPr>
        <w:t xml:space="preserve"> ישולמו עד ליום 02.04.2023.</w:t>
      </w:r>
    </w:p>
    <w:p w14:paraId="3D712003" w14:textId="77777777" w:rsidR="000F592A" w:rsidRDefault="000F592A" w:rsidP="000F592A">
      <w:pPr>
        <w:spacing w:after="160" w:line="360" w:lineRule="auto"/>
        <w:ind w:left="707"/>
        <w:contextualSpacing/>
        <w:jc w:val="both"/>
        <w:rPr>
          <w:rtl/>
        </w:rPr>
      </w:pPr>
    </w:p>
    <w:p w14:paraId="37E5F074" w14:textId="77777777" w:rsidR="000F592A" w:rsidRDefault="000F592A" w:rsidP="000F592A">
      <w:pPr>
        <w:spacing w:after="160" w:line="360" w:lineRule="auto"/>
        <w:ind w:left="707"/>
        <w:contextualSpacing/>
        <w:jc w:val="both"/>
        <w:rPr>
          <w:rtl/>
        </w:rPr>
      </w:pPr>
      <w:r>
        <w:rPr>
          <w:rFonts w:hint="cs"/>
          <w:rtl/>
        </w:rPr>
        <w:t>תשומת לב הנאשמים שיש לשלם את הקנס לחשבון המרכז לגביית קנסות, אגרות והוצאות ברשות האכיפה והגבייה, החל מחלוף 3 ימים מיום מתן גזר הדין וזאת באחת מהדרכים הבאות:</w:t>
      </w:r>
    </w:p>
    <w:p w14:paraId="0B46520F" w14:textId="77777777" w:rsidR="000F592A" w:rsidRDefault="000F592A" w:rsidP="000F592A">
      <w:pPr>
        <w:spacing w:after="160" w:line="360" w:lineRule="auto"/>
        <w:ind w:left="707"/>
        <w:jc w:val="both"/>
        <w:rPr>
          <w:rtl/>
        </w:rPr>
      </w:pPr>
      <w:r>
        <w:rPr>
          <w:rFonts w:hint="cs"/>
          <w:rtl/>
        </w:rPr>
        <w:t xml:space="preserve">בכרטיס אשראי – באתר המקוון של רשות האכיפה והגבייה, </w:t>
      </w:r>
      <w:hyperlink r:id="rId55" w:history="1">
        <w:r>
          <w:rPr>
            <w:rStyle w:val="Hyperlink"/>
            <w:color w:val="0563C1"/>
          </w:rPr>
          <w:t>www.eca.gov.il</w:t>
        </w:r>
      </w:hyperlink>
      <w:r>
        <w:t xml:space="preserve"> </w:t>
      </w:r>
      <w:r w:rsidR="000B6911">
        <w:rPr>
          <w:rFonts w:hint="cs"/>
          <w:rtl/>
        </w:rPr>
        <w:t xml:space="preserve"> </w:t>
      </w:r>
      <w:r>
        <w:rPr>
          <w:rFonts w:hint="cs"/>
          <w:rtl/>
        </w:rPr>
        <w:t>או חפש בגוגל " תשלום גביית קנסות".</w:t>
      </w:r>
    </w:p>
    <w:p w14:paraId="23C6BA9B" w14:textId="77777777" w:rsidR="000F592A" w:rsidRDefault="000F592A" w:rsidP="000F592A">
      <w:pPr>
        <w:spacing w:after="160" w:line="360" w:lineRule="auto"/>
        <w:ind w:left="720"/>
        <w:jc w:val="both"/>
        <w:rPr>
          <w:rtl/>
        </w:rPr>
      </w:pPr>
      <w:r>
        <w:rPr>
          <w:rFonts w:hint="cs"/>
          <w:rtl/>
        </w:rPr>
        <w:t>מוקד שירות טלפוני בשרות עצמי (מרכז גבייה)</w:t>
      </w:r>
      <w:r w:rsidR="000B6911">
        <w:rPr>
          <w:rFonts w:hint="cs"/>
          <w:rtl/>
        </w:rPr>
        <w:t xml:space="preserve"> </w:t>
      </w:r>
      <w:r>
        <w:rPr>
          <w:rFonts w:hint="cs"/>
          <w:rtl/>
        </w:rPr>
        <w:t xml:space="preserve"> – בטלפון 35592* או בטלפון 073-2055000 (ניתן לפנות לנציגים לקבלת מידע במספרים הללו).</w:t>
      </w:r>
    </w:p>
    <w:p w14:paraId="19F185C8" w14:textId="77777777" w:rsidR="000F592A" w:rsidRDefault="000F592A" w:rsidP="000F592A">
      <w:pPr>
        <w:spacing w:after="160" w:line="360" w:lineRule="auto"/>
        <w:ind w:left="720"/>
        <w:jc w:val="both"/>
        <w:rPr>
          <w:rtl/>
        </w:rPr>
      </w:pPr>
      <w:r>
        <w:rPr>
          <w:rFonts w:hint="cs"/>
          <w:rtl/>
        </w:rPr>
        <w:t>במזומן בכל סניף של בנק הדואר – בהצגת תעודת זהות בלבד (אין צורך בשוברי תשלום).</w:t>
      </w:r>
    </w:p>
    <w:p w14:paraId="61A60958" w14:textId="77777777" w:rsidR="000F592A" w:rsidRDefault="000F592A" w:rsidP="000F592A">
      <w:pPr>
        <w:spacing w:after="160"/>
        <w:jc w:val="both"/>
        <w:rPr>
          <w:b/>
          <w:bCs/>
          <w:rtl/>
        </w:rPr>
      </w:pPr>
      <w:r>
        <w:rPr>
          <w:rFonts w:hint="cs"/>
          <w:b/>
          <w:bCs/>
          <w:rtl/>
        </w:rPr>
        <w:t>זכות ערעור לבית המשפט העליון בתוך 45 יום מהיום.</w:t>
      </w:r>
    </w:p>
    <w:p w14:paraId="39C15DF2" w14:textId="77777777" w:rsidR="000F592A" w:rsidRDefault="000F592A" w:rsidP="000F592A">
      <w:pPr>
        <w:spacing w:line="360" w:lineRule="auto"/>
        <w:ind w:left="720"/>
        <w:contextualSpacing/>
        <w:jc w:val="both"/>
        <w:rPr>
          <w:rFonts w:ascii="Calibri" w:eastAsia="Calibri" w:hAnsi="Calibri" w:cs="Arial"/>
          <w:sz w:val="22"/>
          <w:szCs w:val="22"/>
          <w:rtl/>
        </w:rPr>
      </w:pPr>
    </w:p>
    <w:p w14:paraId="4A3DD2BF" w14:textId="77777777" w:rsidR="000F592A" w:rsidRDefault="000F592A" w:rsidP="000F592A">
      <w:pPr>
        <w:rPr>
          <w:rFonts w:ascii="Arial" w:hAnsi="Arial"/>
          <w:b/>
          <w:bCs/>
          <w:sz w:val="26"/>
          <w:szCs w:val="26"/>
          <w:rtl/>
        </w:rPr>
      </w:pPr>
    </w:p>
    <w:p w14:paraId="40CACE51" w14:textId="77777777" w:rsidR="000F592A" w:rsidRDefault="000F592A" w:rsidP="000F592A">
      <w:pPr>
        <w:rPr>
          <w:rFonts w:ascii="Arial" w:hAnsi="Arial"/>
          <w:b/>
          <w:bCs/>
          <w:sz w:val="6"/>
          <w:szCs w:val="6"/>
          <w:rtl/>
        </w:rPr>
      </w:pPr>
      <w:r>
        <w:rPr>
          <w:rFonts w:ascii="Arial" w:hAnsi="Arial" w:hint="cs"/>
          <w:b/>
          <w:bCs/>
          <w:sz w:val="6"/>
          <w:szCs w:val="6"/>
          <w:rtl/>
        </w:rPr>
        <w:t>&lt;#3#&gt;</w:t>
      </w:r>
    </w:p>
    <w:p w14:paraId="3F59C69A" w14:textId="77777777" w:rsidR="000F592A" w:rsidRDefault="000F592A" w:rsidP="000F592A">
      <w:pPr>
        <w:rPr>
          <w:rFonts w:ascii="David" w:eastAsia="David" w:hAnsi="David"/>
          <w:rtl/>
        </w:rPr>
      </w:pPr>
    </w:p>
    <w:p w14:paraId="7224DF3A" w14:textId="77777777" w:rsidR="000F592A" w:rsidRDefault="000B6911" w:rsidP="000F592A">
      <w:pPr>
        <w:rPr>
          <w:rtl/>
        </w:rPr>
      </w:pPr>
      <w:bookmarkStart w:id="8" w:name="Nitan"/>
      <w:r>
        <w:rPr>
          <w:b/>
          <w:bCs/>
          <w:rtl/>
        </w:rPr>
        <w:t xml:space="preserve">ניתנה והודעה היום כ"ד כסלו תשפ"ג, 18/12/2022 במעמד הנוכחים. </w:t>
      </w:r>
      <w:bookmarkEnd w:id="8"/>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0F592A" w14:paraId="06FBF7DB" w14:textId="77777777" w:rsidTr="000F592A">
        <w:trPr>
          <w:trHeight w:val="316"/>
        </w:trPr>
        <w:tc>
          <w:tcPr>
            <w:tcW w:w="3936" w:type="dxa"/>
            <w:tcBorders>
              <w:top w:val="nil"/>
              <w:left w:val="nil"/>
              <w:bottom w:val="single" w:sz="4" w:space="0" w:color="auto"/>
              <w:right w:val="nil"/>
            </w:tcBorders>
            <w:shd w:val="clear" w:color="auto" w:fill="auto"/>
            <w:vAlign w:val="center"/>
          </w:tcPr>
          <w:p w14:paraId="0B94B9BF" w14:textId="77777777" w:rsidR="000F592A" w:rsidRDefault="000F592A" w:rsidP="000F592A">
            <w:pPr>
              <w:jc w:val="center"/>
              <w:rPr>
                <w:rtl/>
              </w:rPr>
            </w:pPr>
          </w:p>
          <w:p w14:paraId="63A689A9" w14:textId="77777777" w:rsidR="000F592A" w:rsidRDefault="000F592A" w:rsidP="000F592A">
            <w:pPr>
              <w:jc w:val="center"/>
            </w:pPr>
          </w:p>
        </w:tc>
      </w:tr>
      <w:tr w:rsidR="000F592A" w14:paraId="08E10FC9" w14:textId="77777777" w:rsidTr="000F592A">
        <w:trPr>
          <w:trHeight w:val="361"/>
        </w:trPr>
        <w:tc>
          <w:tcPr>
            <w:tcW w:w="3936" w:type="dxa"/>
            <w:tcBorders>
              <w:top w:val="single" w:sz="4" w:space="0" w:color="auto"/>
              <w:left w:val="nil"/>
              <w:bottom w:val="nil"/>
              <w:right w:val="nil"/>
            </w:tcBorders>
            <w:shd w:val="clear" w:color="auto" w:fill="auto"/>
            <w:vAlign w:val="center"/>
          </w:tcPr>
          <w:p w14:paraId="0B604FC6" w14:textId="77777777" w:rsidR="000F592A" w:rsidRPr="000F592A" w:rsidRDefault="000F592A" w:rsidP="000F592A">
            <w:pPr>
              <w:jc w:val="center"/>
              <w:rPr>
                <w:b/>
                <w:bCs/>
                <w:rtl/>
              </w:rPr>
            </w:pPr>
            <w:r w:rsidRPr="000F592A">
              <w:rPr>
                <w:b/>
                <w:bCs/>
                <w:rtl/>
              </w:rPr>
              <w:t>גיל</w:t>
            </w:r>
            <w:r w:rsidRPr="000F592A">
              <w:rPr>
                <w:rFonts w:hint="cs"/>
                <w:b/>
                <w:bCs/>
                <w:rtl/>
              </w:rPr>
              <w:t xml:space="preserve"> </w:t>
            </w:r>
            <w:r w:rsidRPr="000F592A">
              <w:rPr>
                <w:b/>
                <w:bCs/>
                <w:rtl/>
              </w:rPr>
              <w:t>קרזבום</w:t>
            </w:r>
            <w:r w:rsidRPr="000F592A">
              <w:rPr>
                <w:rFonts w:hint="cs"/>
                <w:b/>
                <w:bCs/>
                <w:rtl/>
              </w:rPr>
              <w:t xml:space="preserve">, </w:t>
            </w:r>
            <w:r w:rsidRPr="000F592A">
              <w:rPr>
                <w:b/>
                <w:bCs/>
                <w:rtl/>
              </w:rPr>
              <w:t>שופט</w:t>
            </w:r>
          </w:p>
        </w:tc>
      </w:tr>
    </w:tbl>
    <w:p w14:paraId="3D2755FB" w14:textId="77777777" w:rsidR="000F592A" w:rsidRPr="000B6911" w:rsidRDefault="000B6911" w:rsidP="000F592A">
      <w:pPr>
        <w:rPr>
          <w:rFonts w:ascii="David" w:hAnsi="David"/>
          <w:color w:val="FFFFFF"/>
          <w:sz w:val="2"/>
          <w:szCs w:val="2"/>
          <w:rtl/>
        </w:rPr>
      </w:pPr>
      <w:r w:rsidRPr="000B6911">
        <w:rPr>
          <w:rFonts w:ascii="David" w:hAnsi="David"/>
          <w:color w:val="FFFFFF"/>
          <w:sz w:val="2"/>
          <w:szCs w:val="2"/>
          <w:rtl/>
        </w:rPr>
        <w:t>5129371</w:t>
      </w:r>
    </w:p>
    <w:p w14:paraId="291A4E5C" w14:textId="77777777" w:rsidR="000F592A" w:rsidRPr="000B6911" w:rsidRDefault="000B6911" w:rsidP="000F592A">
      <w:pPr>
        <w:rPr>
          <w:color w:val="FFFFFF"/>
          <w:sz w:val="2"/>
          <w:szCs w:val="2"/>
          <w:rtl/>
        </w:rPr>
      </w:pPr>
      <w:r w:rsidRPr="000B6911">
        <w:rPr>
          <w:color w:val="FFFFFF"/>
          <w:sz w:val="2"/>
          <w:szCs w:val="2"/>
          <w:rtl/>
        </w:rPr>
        <w:t>54678313</w:t>
      </w:r>
    </w:p>
    <w:p w14:paraId="713CE088" w14:textId="77777777" w:rsidR="000F592A" w:rsidRDefault="000F592A" w:rsidP="000F592A">
      <w:pPr>
        <w:jc w:val="center"/>
        <w:rPr>
          <w:rtl/>
        </w:rPr>
      </w:pPr>
    </w:p>
    <w:p w14:paraId="477EBBB0" w14:textId="77777777" w:rsidR="000F592A" w:rsidRDefault="000F592A" w:rsidP="000F592A">
      <w:pPr>
        <w:jc w:val="both"/>
        <w:rPr>
          <w:rtl/>
        </w:rPr>
      </w:pPr>
      <w:r>
        <w:rPr>
          <w:rFonts w:hint="cs"/>
          <w:rtl/>
        </w:rPr>
        <w:t xml:space="preserve"> </w:t>
      </w:r>
    </w:p>
    <w:p w14:paraId="63F3398F" w14:textId="77777777" w:rsidR="000F592A" w:rsidRPr="000F2247" w:rsidRDefault="000F592A" w:rsidP="000F592A">
      <w:pPr>
        <w:rPr>
          <w:rFonts w:ascii="Arial" w:hAnsi="Arial"/>
          <w:b/>
          <w:bCs/>
          <w:sz w:val="26"/>
          <w:szCs w:val="26"/>
          <w:rtl/>
        </w:rPr>
      </w:pPr>
    </w:p>
    <w:p w14:paraId="04F40F00" w14:textId="77777777" w:rsidR="000F592A" w:rsidRPr="00A27597" w:rsidRDefault="00A27597" w:rsidP="000F592A">
      <w:pPr>
        <w:rPr>
          <w:rFonts w:ascii="Arial" w:hAnsi="Arial"/>
          <w:b/>
          <w:bCs/>
          <w:color w:val="FFFFFF"/>
          <w:sz w:val="2"/>
          <w:szCs w:val="2"/>
          <w:rtl/>
        </w:rPr>
      </w:pPr>
      <w:r w:rsidRPr="00A27597">
        <w:rPr>
          <w:rFonts w:ascii="Arial" w:hAnsi="Arial"/>
          <w:b/>
          <w:bCs/>
          <w:color w:val="FFFFFF"/>
          <w:sz w:val="2"/>
          <w:szCs w:val="2"/>
          <w:rtl/>
        </w:rPr>
        <w:t>5129371</w:t>
      </w:r>
    </w:p>
    <w:p w14:paraId="21F023A1" w14:textId="77777777" w:rsidR="008B0D67" w:rsidRPr="00A27597" w:rsidRDefault="00A27597" w:rsidP="000B6911">
      <w:pPr>
        <w:keepNext/>
        <w:rPr>
          <w:rFonts w:ascii="David" w:hAnsi="David"/>
          <w:color w:val="FFFFFF"/>
          <w:sz w:val="2"/>
          <w:szCs w:val="2"/>
          <w:rtl/>
        </w:rPr>
      </w:pPr>
      <w:r w:rsidRPr="00A27597">
        <w:rPr>
          <w:rFonts w:ascii="David" w:hAnsi="David"/>
          <w:color w:val="FFFFFF"/>
          <w:sz w:val="2"/>
          <w:szCs w:val="2"/>
          <w:rtl/>
        </w:rPr>
        <w:t>54678313</w:t>
      </w:r>
    </w:p>
    <w:p w14:paraId="1493ACE9" w14:textId="77777777" w:rsidR="000B6911" w:rsidRDefault="000B6911" w:rsidP="000B6911">
      <w:pPr>
        <w:rPr>
          <w:rtl/>
        </w:rPr>
      </w:pPr>
    </w:p>
    <w:p w14:paraId="005D1CD2" w14:textId="77777777" w:rsidR="000B6911" w:rsidRDefault="000B6911" w:rsidP="000B6911">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0F276448" w14:textId="77777777" w:rsidR="00A27597" w:rsidRPr="00A27597" w:rsidRDefault="00A27597" w:rsidP="00A27597">
      <w:pPr>
        <w:keepNext/>
        <w:rPr>
          <w:rFonts w:ascii="David" w:hAnsi="David"/>
          <w:color w:val="000000"/>
          <w:sz w:val="22"/>
          <w:szCs w:val="22"/>
          <w:rtl/>
        </w:rPr>
      </w:pPr>
    </w:p>
    <w:p w14:paraId="753ED647" w14:textId="77777777" w:rsidR="00A27597" w:rsidRPr="00A27597" w:rsidRDefault="00A27597" w:rsidP="00A27597">
      <w:pPr>
        <w:keepNext/>
        <w:rPr>
          <w:rFonts w:ascii="David" w:hAnsi="David"/>
          <w:color w:val="000000"/>
          <w:sz w:val="22"/>
          <w:szCs w:val="22"/>
          <w:rtl/>
        </w:rPr>
      </w:pPr>
      <w:r w:rsidRPr="00A27597">
        <w:rPr>
          <w:rFonts w:ascii="David" w:hAnsi="David"/>
          <w:color w:val="000000"/>
          <w:sz w:val="22"/>
          <w:szCs w:val="22"/>
          <w:rtl/>
        </w:rPr>
        <w:t>גיל קרזבום 54678313-/</w:t>
      </w:r>
    </w:p>
    <w:p w14:paraId="06AF4BE0" w14:textId="77777777" w:rsidR="000B6911" w:rsidRPr="000B6911" w:rsidRDefault="00A27597" w:rsidP="00A27597">
      <w:pPr>
        <w:rPr>
          <w:color w:val="0000FF"/>
          <w:u w:val="single"/>
        </w:rPr>
      </w:pPr>
      <w:r w:rsidRPr="00A27597">
        <w:rPr>
          <w:color w:val="000000"/>
          <w:u w:val="single"/>
          <w:rtl/>
        </w:rPr>
        <w:t>נוסח מסמך זה כפוף לשינויי ניסוח ועריכה</w:t>
      </w:r>
    </w:p>
    <w:sectPr w:rsidR="000B6911" w:rsidRPr="000B6911" w:rsidSect="00A27597">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56A12" w14:textId="77777777" w:rsidR="007138EC" w:rsidRDefault="007138EC" w:rsidP="009174BD">
      <w:r>
        <w:separator/>
      </w:r>
    </w:p>
  </w:endnote>
  <w:endnote w:type="continuationSeparator" w:id="0">
    <w:p w14:paraId="7AFDF582" w14:textId="77777777" w:rsidR="007138EC" w:rsidRDefault="007138EC" w:rsidP="00917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A2010" w14:textId="77777777" w:rsidR="00A27597" w:rsidRDefault="00A27597" w:rsidP="00A2759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ECFBD4" w14:textId="77777777" w:rsidR="00104D49" w:rsidRPr="00A27597" w:rsidRDefault="00A27597" w:rsidP="00A27597">
    <w:pPr>
      <w:pStyle w:val="a5"/>
      <w:pBdr>
        <w:top w:val="single" w:sz="4" w:space="1" w:color="auto"/>
        <w:between w:val="single" w:sz="4" w:space="0" w:color="auto"/>
      </w:pBdr>
      <w:spacing w:after="60"/>
      <w:jc w:val="center"/>
      <w:rPr>
        <w:rFonts w:ascii="FrankRuehl" w:hAnsi="FrankRuehl" w:cs="FrankRuehl"/>
        <w:color w:val="000000"/>
      </w:rPr>
    </w:pPr>
    <w:r w:rsidRPr="00A2759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2F8E3" w14:textId="77777777" w:rsidR="00A27597" w:rsidRDefault="00A27597" w:rsidP="00A2759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422CE">
      <w:rPr>
        <w:rFonts w:ascii="FrankRuehl" w:hAnsi="FrankRuehl" w:cs="FrankRuehl"/>
        <w:noProof/>
        <w:rtl/>
      </w:rPr>
      <w:t>1</w:t>
    </w:r>
    <w:r>
      <w:rPr>
        <w:rFonts w:ascii="FrankRuehl" w:hAnsi="FrankRuehl" w:cs="FrankRuehl"/>
        <w:rtl/>
      </w:rPr>
      <w:fldChar w:fldCharType="end"/>
    </w:r>
  </w:p>
  <w:p w14:paraId="3242DE1A" w14:textId="77777777" w:rsidR="00104D49" w:rsidRPr="00A27597" w:rsidRDefault="00A27597" w:rsidP="00A27597">
    <w:pPr>
      <w:pStyle w:val="a5"/>
      <w:pBdr>
        <w:top w:val="single" w:sz="4" w:space="1" w:color="auto"/>
        <w:between w:val="single" w:sz="4" w:space="0" w:color="auto"/>
      </w:pBdr>
      <w:spacing w:after="60"/>
      <w:jc w:val="center"/>
      <w:rPr>
        <w:rFonts w:ascii="FrankRuehl" w:hAnsi="FrankRuehl" w:cs="FrankRuehl"/>
        <w:color w:val="000000"/>
      </w:rPr>
    </w:pPr>
    <w:r w:rsidRPr="00A27597">
      <w:rPr>
        <w:rFonts w:ascii="FrankRuehl" w:hAnsi="FrankRuehl" w:cs="FrankRuehl"/>
        <w:color w:val="000000"/>
      </w:rPr>
      <w:pict w14:anchorId="22E9C9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0B8B5" w14:textId="77777777" w:rsidR="007138EC" w:rsidRDefault="007138EC" w:rsidP="009174BD">
      <w:r>
        <w:separator/>
      </w:r>
    </w:p>
  </w:footnote>
  <w:footnote w:type="continuationSeparator" w:id="0">
    <w:p w14:paraId="0C6FE984" w14:textId="77777777" w:rsidR="007138EC" w:rsidRDefault="007138EC" w:rsidP="00917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EA244" w14:textId="77777777" w:rsidR="000B6911" w:rsidRPr="00A27597" w:rsidRDefault="00A27597" w:rsidP="00A275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66893-12-21</w:t>
    </w:r>
    <w:r>
      <w:rPr>
        <w:rFonts w:ascii="David" w:hAnsi="David"/>
        <w:color w:val="000000"/>
        <w:sz w:val="22"/>
        <w:szCs w:val="22"/>
        <w:rtl/>
      </w:rPr>
      <w:tab/>
      <w:t xml:space="preserve"> מדינת ישראל נ' מוחמד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13DF0" w14:textId="77777777" w:rsidR="000B6911" w:rsidRPr="00A27597" w:rsidRDefault="00A27597" w:rsidP="00A275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66893-12-21</w:t>
    </w:r>
    <w:r>
      <w:rPr>
        <w:rFonts w:ascii="David" w:hAnsi="David"/>
        <w:color w:val="000000"/>
        <w:sz w:val="22"/>
        <w:szCs w:val="22"/>
        <w:rtl/>
      </w:rPr>
      <w:tab/>
      <w:t xml:space="preserve"> מדינת ישראל נ' מוחמד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B9465390"/>
    <w:lvl w:ilvl="0" w:tplc="C7E65B2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970468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592A"/>
    <w:rsid w:val="000B6911"/>
    <w:rsid w:val="000F592A"/>
    <w:rsid w:val="00104D49"/>
    <w:rsid w:val="001B4E5A"/>
    <w:rsid w:val="001F595B"/>
    <w:rsid w:val="00585305"/>
    <w:rsid w:val="007138EC"/>
    <w:rsid w:val="007422CE"/>
    <w:rsid w:val="008B0D67"/>
    <w:rsid w:val="008D3B44"/>
    <w:rsid w:val="009174BD"/>
    <w:rsid w:val="009A4E4C"/>
    <w:rsid w:val="00A27597"/>
    <w:rsid w:val="00B36CF5"/>
    <w:rsid w:val="00D37197"/>
    <w:rsid w:val="00EB1C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38D86F"/>
  <w15:chartTrackingRefBased/>
  <w15:docId w15:val="{FCCFAAC4-8920-47B1-B725-31378200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592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F592A"/>
    <w:pPr>
      <w:tabs>
        <w:tab w:val="center" w:pos="4153"/>
        <w:tab w:val="right" w:pos="8306"/>
      </w:tabs>
    </w:pPr>
  </w:style>
  <w:style w:type="character" w:customStyle="1" w:styleId="a4">
    <w:name w:val="כותרת עליונה תו"/>
    <w:link w:val="a3"/>
    <w:rsid w:val="000F592A"/>
    <w:rPr>
      <w:rFonts w:ascii="Times New Roman" w:eastAsia="Times New Roman" w:hAnsi="Times New Roman" w:cs="David"/>
      <w:sz w:val="24"/>
      <w:szCs w:val="24"/>
    </w:rPr>
  </w:style>
  <w:style w:type="paragraph" w:styleId="a5">
    <w:name w:val="footer"/>
    <w:basedOn w:val="a"/>
    <w:link w:val="a6"/>
    <w:rsid w:val="000F592A"/>
    <w:pPr>
      <w:tabs>
        <w:tab w:val="center" w:pos="4153"/>
        <w:tab w:val="right" w:pos="8306"/>
      </w:tabs>
    </w:pPr>
  </w:style>
  <w:style w:type="character" w:customStyle="1" w:styleId="a6">
    <w:name w:val="כותרת תחתונה תו"/>
    <w:link w:val="a5"/>
    <w:rsid w:val="000F592A"/>
    <w:rPr>
      <w:rFonts w:ascii="Times New Roman" w:eastAsia="Times New Roman" w:hAnsi="Times New Roman" w:cs="David"/>
      <w:sz w:val="24"/>
      <w:szCs w:val="24"/>
    </w:rPr>
  </w:style>
  <w:style w:type="table" w:styleId="a7">
    <w:name w:val="Table Grid"/>
    <w:basedOn w:val="a1"/>
    <w:rsid w:val="000F59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F592A"/>
  </w:style>
  <w:style w:type="character" w:styleId="Hyperlink">
    <w:name w:val="Hyperlink"/>
    <w:rsid w:val="000F592A"/>
    <w:rPr>
      <w:color w:val="0000FF"/>
      <w:u w:val="single"/>
    </w:rPr>
  </w:style>
  <w:style w:type="paragraph" w:styleId="a9">
    <w:name w:val="List Paragraph"/>
    <w:basedOn w:val="a"/>
    <w:qFormat/>
    <w:rsid w:val="000F5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207408" TargetMode="External"/><Relationship Id="rId39" Type="http://schemas.openxmlformats.org/officeDocument/2006/relationships/hyperlink" Target="http://www.nevo.co.il/case/28513828"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6473037" TargetMode="External"/><Relationship Id="rId42" Type="http://schemas.openxmlformats.org/officeDocument/2006/relationships/hyperlink" Target="http://www.nevo.co.il/case/27494821" TargetMode="External"/><Relationship Id="rId47" Type="http://schemas.openxmlformats.org/officeDocument/2006/relationships/hyperlink" Target="http://www.nevo.co.il/case/21771409" TargetMode="External"/><Relationship Id="rId50" Type="http://schemas.openxmlformats.org/officeDocument/2006/relationships/hyperlink" Target="http://www.nevo.co.il/case/26383419" TargetMode="External"/><Relationship Id="rId55" Type="http://schemas.openxmlformats.org/officeDocument/2006/relationships/hyperlink" Target="http://www.eca.gov.il"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603492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27115374" TargetMode="External"/><Relationship Id="rId32" Type="http://schemas.openxmlformats.org/officeDocument/2006/relationships/hyperlink" Target="http://www.nevo.co.il/case/25063920" TargetMode="External"/><Relationship Id="rId37" Type="http://schemas.openxmlformats.org/officeDocument/2006/relationships/hyperlink" Target="http://www.nevo.co.il/case/26934681" TargetMode="External"/><Relationship Id="rId40" Type="http://schemas.openxmlformats.org/officeDocument/2006/relationships/hyperlink" Target="http://www.nevo.co.il/case/28243273" TargetMode="External"/><Relationship Id="rId45" Type="http://schemas.openxmlformats.org/officeDocument/2006/relationships/hyperlink" Target="http://www.nevo.co.il/case/26248279" TargetMode="External"/><Relationship Id="rId53" Type="http://schemas.openxmlformats.org/officeDocument/2006/relationships/hyperlink" Target="http://www.nevo.co.il/case/27401739"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0301/40a;40.if" TargetMode="External"/><Relationship Id="rId14" Type="http://schemas.openxmlformats.org/officeDocument/2006/relationships/hyperlink" Target="http://www.nevo.co.il/law/70301/29" TargetMode="External"/><Relationship Id="rId22" Type="http://schemas.openxmlformats.org/officeDocument/2006/relationships/hyperlink" Target="http://www.nevo.co.il/case/27894608"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6913995" TargetMode="External"/><Relationship Id="rId35" Type="http://schemas.openxmlformats.org/officeDocument/2006/relationships/hyperlink" Target="http://www.nevo.co.il/case/6950458" TargetMode="External"/><Relationship Id="rId43" Type="http://schemas.openxmlformats.org/officeDocument/2006/relationships/hyperlink" Target="http://www.nevo.co.il/case/28380863" TargetMode="External"/><Relationship Id="rId48" Type="http://schemas.openxmlformats.org/officeDocument/2006/relationships/hyperlink" Target="http://www.nevo.co.il/case/27982146"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25612982" TargetMode="External"/><Relationship Id="rId3" Type="http://schemas.openxmlformats.org/officeDocument/2006/relationships/settings" Target="settings.xml"/><Relationship Id="rId12" Type="http://schemas.openxmlformats.org/officeDocument/2006/relationships/hyperlink" Target="http://www.nevo.co.il/law/70301/fCa(1)S" TargetMode="External"/><Relationship Id="rId17" Type="http://schemas.openxmlformats.org/officeDocument/2006/relationships/hyperlink" Target="http://www.nevo.co.il/law/70301/fCa(1)S" TargetMode="External"/><Relationship Id="rId25" Type="http://schemas.openxmlformats.org/officeDocument/2006/relationships/hyperlink" Target="http://www.nevo.co.il/case/27907602" TargetMode="External"/><Relationship Id="rId33" Type="http://schemas.openxmlformats.org/officeDocument/2006/relationships/hyperlink" Target="http://www.nevo.co.il/case/5762686" TargetMode="External"/><Relationship Id="rId38" Type="http://schemas.openxmlformats.org/officeDocument/2006/relationships/hyperlink" Target="http://www.nevo.co.il/case/28883087" TargetMode="External"/><Relationship Id="rId46" Type="http://schemas.openxmlformats.org/officeDocument/2006/relationships/hyperlink" Target="http://www.nevo.co.il/case/21474168" TargetMode="External"/><Relationship Id="rId59" Type="http://schemas.openxmlformats.org/officeDocument/2006/relationships/footer" Target="footer1.xml"/><Relationship Id="rId20" Type="http://schemas.openxmlformats.org/officeDocument/2006/relationships/hyperlink" Target="http://www.nevo.co.il/law/70301/40a" TargetMode="External"/><Relationship Id="rId41" Type="http://schemas.openxmlformats.org/officeDocument/2006/relationships/hyperlink" Target="http://www.nevo.co.il/case/27911655" TargetMode="External"/><Relationship Id="rId54" Type="http://schemas.openxmlformats.org/officeDocument/2006/relationships/hyperlink" Target="http://www.nevo.co.il/case/28883087"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8152132" TargetMode="External"/><Relationship Id="rId28" Type="http://schemas.openxmlformats.org/officeDocument/2006/relationships/hyperlink" Target="http://www.nevo.co.il/case/5601503" TargetMode="External"/><Relationship Id="rId36" Type="http://schemas.openxmlformats.org/officeDocument/2006/relationships/hyperlink" Target="http://www.nevo.co.il/case/5878682" TargetMode="External"/><Relationship Id="rId49" Type="http://schemas.openxmlformats.org/officeDocument/2006/relationships/hyperlink" Target="http://www.nevo.co.il/case/25892549" TargetMode="External"/><Relationship Id="rId57" Type="http://schemas.openxmlformats.org/officeDocument/2006/relationships/header" Target="header1.xml"/><Relationship Id="rId10" Type="http://schemas.openxmlformats.org/officeDocument/2006/relationships/hyperlink" Target="http://www.nevo.co.il/law/70301/40a" TargetMode="External"/><Relationship Id="rId31" Type="http://schemas.openxmlformats.org/officeDocument/2006/relationships/hyperlink" Target="http://www.nevo.co.il/case/25824863" TargetMode="External"/><Relationship Id="rId44" Type="http://schemas.openxmlformats.org/officeDocument/2006/relationships/hyperlink" Target="http://www.nevo.co.il/case/28722692" TargetMode="External"/><Relationship Id="rId52" Type="http://schemas.openxmlformats.org/officeDocument/2006/relationships/hyperlink" Target="http://www.nevo.co.il/case/26931111"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i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4602</Words>
  <Characters>23010</Characters>
  <Application>Microsoft Office Word</Application>
  <DocSecurity>0</DocSecurity>
  <Lines>191</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27557</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7864368</vt:i4>
      </vt:variant>
      <vt:variant>
        <vt:i4>144</vt:i4>
      </vt:variant>
      <vt:variant>
        <vt:i4>0</vt:i4>
      </vt:variant>
      <vt:variant>
        <vt:i4>5</vt:i4>
      </vt:variant>
      <vt:variant>
        <vt:lpwstr>http://www.eca.gov.il/</vt:lpwstr>
      </vt:variant>
      <vt:variant>
        <vt:lpwstr/>
      </vt:variant>
      <vt:variant>
        <vt:i4>3211380</vt:i4>
      </vt:variant>
      <vt:variant>
        <vt:i4>141</vt:i4>
      </vt:variant>
      <vt:variant>
        <vt:i4>0</vt:i4>
      </vt:variant>
      <vt:variant>
        <vt:i4>5</vt:i4>
      </vt:variant>
      <vt:variant>
        <vt:lpwstr>http://www.nevo.co.il/case/28883087</vt:lpwstr>
      </vt:variant>
      <vt:variant>
        <vt:lpwstr/>
      </vt:variant>
      <vt:variant>
        <vt:i4>3407988</vt:i4>
      </vt:variant>
      <vt:variant>
        <vt:i4>138</vt:i4>
      </vt:variant>
      <vt:variant>
        <vt:i4>0</vt:i4>
      </vt:variant>
      <vt:variant>
        <vt:i4>5</vt:i4>
      </vt:variant>
      <vt:variant>
        <vt:lpwstr>http://www.nevo.co.il/case/27401739</vt:lpwstr>
      </vt:variant>
      <vt:variant>
        <vt:lpwstr/>
      </vt:variant>
      <vt:variant>
        <vt:i4>3866736</vt:i4>
      </vt:variant>
      <vt:variant>
        <vt:i4>135</vt:i4>
      </vt:variant>
      <vt:variant>
        <vt:i4>0</vt:i4>
      </vt:variant>
      <vt:variant>
        <vt:i4>5</vt:i4>
      </vt:variant>
      <vt:variant>
        <vt:lpwstr>http://www.nevo.co.il/case/26931111</vt:lpwstr>
      </vt:variant>
      <vt:variant>
        <vt:lpwstr/>
      </vt:variant>
      <vt:variant>
        <vt:i4>4063353</vt:i4>
      </vt:variant>
      <vt:variant>
        <vt:i4>132</vt:i4>
      </vt:variant>
      <vt:variant>
        <vt:i4>0</vt:i4>
      </vt:variant>
      <vt:variant>
        <vt:i4>5</vt:i4>
      </vt:variant>
      <vt:variant>
        <vt:lpwstr>http://www.nevo.co.il/case/25612982</vt:lpwstr>
      </vt:variant>
      <vt:variant>
        <vt:lpwstr/>
      </vt:variant>
      <vt:variant>
        <vt:i4>3342462</vt:i4>
      </vt:variant>
      <vt:variant>
        <vt:i4>129</vt:i4>
      </vt:variant>
      <vt:variant>
        <vt:i4>0</vt:i4>
      </vt:variant>
      <vt:variant>
        <vt:i4>5</vt:i4>
      </vt:variant>
      <vt:variant>
        <vt:lpwstr>http://www.nevo.co.il/case/26383419</vt:lpwstr>
      </vt:variant>
      <vt:variant>
        <vt:lpwstr/>
      </vt:variant>
      <vt:variant>
        <vt:i4>3932285</vt:i4>
      </vt:variant>
      <vt:variant>
        <vt:i4>126</vt:i4>
      </vt:variant>
      <vt:variant>
        <vt:i4>0</vt:i4>
      </vt:variant>
      <vt:variant>
        <vt:i4>5</vt:i4>
      </vt:variant>
      <vt:variant>
        <vt:lpwstr>http://www.nevo.co.il/case/25892549</vt:lpwstr>
      </vt:variant>
      <vt:variant>
        <vt:lpwstr/>
      </vt:variant>
      <vt:variant>
        <vt:i4>3997818</vt:i4>
      </vt:variant>
      <vt:variant>
        <vt:i4>123</vt:i4>
      </vt:variant>
      <vt:variant>
        <vt:i4>0</vt:i4>
      </vt:variant>
      <vt:variant>
        <vt:i4>5</vt:i4>
      </vt:variant>
      <vt:variant>
        <vt:lpwstr>http://www.nevo.co.il/case/27982146</vt:lpwstr>
      </vt:variant>
      <vt:variant>
        <vt:lpwstr/>
      </vt:variant>
      <vt:variant>
        <vt:i4>3407990</vt:i4>
      </vt:variant>
      <vt:variant>
        <vt:i4>120</vt:i4>
      </vt:variant>
      <vt:variant>
        <vt:i4>0</vt:i4>
      </vt:variant>
      <vt:variant>
        <vt:i4>5</vt:i4>
      </vt:variant>
      <vt:variant>
        <vt:lpwstr>http://www.nevo.co.il/case/21771409</vt:lpwstr>
      </vt:variant>
      <vt:variant>
        <vt:lpwstr/>
      </vt:variant>
      <vt:variant>
        <vt:i4>3407987</vt:i4>
      </vt:variant>
      <vt:variant>
        <vt:i4>117</vt:i4>
      </vt:variant>
      <vt:variant>
        <vt:i4>0</vt:i4>
      </vt:variant>
      <vt:variant>
        <vt:i4>5</vt:i4>
      </vt:variant>
      <vt:variant>
        <vt:lpwstr>http://www.nevo.co.il/case/21474168</vt:lpwstr>
      </vt:variant>
      <vt:variant>
        <vt:lpwstr/>
      </vt:variant>
      <vt:variant>
        <vt:i4>4128884</vt:i4>
      </vt:variant>
      <vt:variant>
        <vt:i4>114</vt:i4>
      </vt:variant>
      <vt:variant>
        <vt:i4>0</vt:i4>
      </vt:variant>
      <vt:variant>
        <vt:i4>5</vt:i4>
      </vt:variant>
      <vt:variant>
        <vt:lpwstr>http://www.nevo.co.il/case/26248279</vt:lpwstr>
      </vt:variant>
      <vt:variant>
        <vt:lpwstr/>
      </vt:variant>
      <vt:variant>
        <vt:i4>4063352</vt:i4>
      </vt:variant>
      <vt:variant>
        <vt:i4>111</vt:i4>
      </vt:variant>
      <vt:variant>
        <vt:i4>0</vt:i4>
      </vt:variant>
      <vt:variant>
        <vt:i4>5</vt:i4>
      </vt:variant>
      <vt:variant>
        <vt:lpwstr>http://www.nevo.co.il/case/28722692</vt:lpwstr>
      </vt:variant>
      <vt:variant>
        <vt:lpwstr/>
      </vt:variant>
      <vt:variant>
        <vt:i4>3604604</vt:i4>
      </vt:variant>
      <vt:variant>
        <vt:i4>108</vt:i4>
      </vt:variant>
      <vt:variant>
        <vt:i4>0</vt:i4>
      </vt:variant>
      <vt:variant>
        <vt:i4>5</vt:i4>
      </vt:variant>
      <vt:variant>
        <vt:lpwstr>http://www.nevo.co.il/case/28380863</vt:lpwstr>
      </vt:variant>
      <vt:variant>
        <vt:lpwstr/>
      </vt:variant>
      <vt:variant>
        <vt:i4>3145842</vt:i4>
      </vt:variant>
      <vt:variant>
        <vt:i4>105</vt:i4>
      </vt:variant>
      <vt:variant>
        <vt:i4>0</vt:i4>
      </vt:variant>
      <vt:variant>
        <vt:i4>5</vt:i4>
      </vt:variant>
      <vt:variant>
        <vt:lpwstr>http://www.nevo.co.il/case/27494821</vt:lpwstr>
      </vt:variant>
      <vt:variant>
        <vt:lpwstr/>
      </vt:variant>
      <vt:variant>
        <vt:i4>4128884</vt:i4>
      </vt:variant>
      <vt:variant>
        <vt:i4>102</vt:i4>
      </vt:variant>
      <vt:variant>
        <vt:i4>0</vt:i4>
      </vt:variant>
      <vt:variant>
        <vt:i4>5</vt:i4>
      </vt:variant>
      <vt:variant>
        <vt:lpwstr>http://www.nevo.co.il/case/27911655</vt:lpwstr>
      </vt:variant>
      <vt:variant>
        <vt:lpwstr/>
      </vt:variant>
      <vt:variant>
        <vt:i4>3407994</vt:i4>
      </vt:variant>
      <vt:variant>
        <vt:i4>99</vt:i4>
      </vt:variant>
      <vt:variant>
        <vt:i4>0</vt:i4>
      </vt:variant>
      <vt:variant>
        <vt:i4>5</vt:i4>
      </vt:variant>
      <vt:variant>
        <vt:lpwstr>http://www.nevo.co.il/case/28243273</vt:lpwstr>
      </vt:variant>
      <vt:variant>
        <vt:lpwstr/>
      </vt:variant>
      <vt:variant>
        <vt:i4>3539061</vt:i4>
      </vt:variant>
      <vt:variant>
        <vt:i4>96</vt:i4>
      </vt:variant>
      <vt:variant>
        <vt:i4>0</vt:i4>
      </vt:variant>
      <vt:variant>
        <vt:i4>5</vt:i4>
      </vt:variant>
      <vt:variant>
        <vt:lpwstr>http://www.nevo.co.il/case/28513828</vt:lpwstr>
      </vt:variant>
      <vt:variant>
        <vt:lpwstr/>
      </vt:variant>
      <vt:variant>
        <vt:i4>3211380</vt:i4>
      </vt:variant>
      <vt:variant>
        <vt:i4>93</vt:i4>
      </vt:variant>
      <vt:variant>
        <vt:i4>0</vt:i4>
      </vt:variant>
      <vt:variant>
        <vt:i4>5</vt:i4>
      </vt:variant>
      <vt:variant>
        <vt:lpwstr>http://www.nevo.co.il/case/28883087</vt:lpwstr>
      </vt:variant>
      <vt:variant>
        <vt:lpwstr/>
      </vt:variant>
      <vt:variant>
        <vt:i4>3604599</vt:i4>
      </vt:variant>
      <vt:variant>
        <vt:i4>90</vt:i4>
      </vt:variant>
      <vt:variant>
        <vt:i4>0</vt:i4>
      </vt:variant>
      <vt:variant>
        <vt:i4>5</vt:i4>
      </vt:variant>
      <vt:variant>
        <vt:lpwstr>http://www.nevo.co.il/case/26934681</vt:lpwstr>
      </vt:variant>
      <vt:variant>
        <vt:lpwstr/>
      </vt:variant>
      <vt:variant>
        <vt:i4>3539068</vt:i4>
      </vt:variant>
      <vt:variant>
        <vt:i4>87</vt:i4>
      </vt:variant>
      <vt:variant>
        <vt:i4>0</vt:i4>
      </vt:variant>
      <vt:variant>
        <vt:i4>5</vt:i4>
      </vt:variant>
      <vt:variant>
        <vt:lpwstr>http://www.nevo.co.il/case/5878682</vt:lpwstr>
      </vt:variant>
      <vt:variant>
        <vt:lpwstr/>
      </vt:variant>
      <vt:variant>
        <vt:i4>4128888</vt:i4>
      </vt:variant>
      <vt:variant>
        <vt:i4>84</vt:i4>
      </vt:variant>
      <vt:variant>
        <vt:i4>0</vt:i4>
      </vt:variant>
      <vt:variant>
        <vt:i4>5</vt:i4>
      </vt:variant>
      <vt:variant>
        <vt:lpwstr>http://www.nevo.co.il/case/6950458</vt:lpwstr>
      </vt:variant>
      <vt:variant>
        <vt:lpwstr/>
      </vt:variant>
      <vt:variant>
        <vt:i4>3539056</vt:i4>
      </vt:variant>
      <vt:variant>
        <vt:i4>81</vt:i4>
      </vt:variant>
      <vt:variant>
        <vt:i4>0</vt:i4>
      </vt:variant>
      <vt:variant>
        <vt:i4>5</vt:i4>
      </vt:variant>
      <vt:variant>
        <vt:lpwstr>http://www.nevo.co.il/case/6473037</vt:lpwstr>
      </vt:variant>
      <vt:variant>
        <vt:lpwstr/>
      </vt:variant>
      <vt:variant>
        <vt:i4>3342457</vt:i4>
      </vt:variant>
      <vt:variant>
        <vt:i4>78</vt:i4>
      </vt:variant>
      <vt:variant>
        <vt:i4>0</vt:i4>
      </vt:variant>
      <vt:variant>
        <vt:i4>5</vt:i4>
      </vt:variant>
      <vt:variant>
        <vt:lpwstr>http://www.nevo.co.il/case/5762686</vt:lpwstr>
      </vt:variant>
      <vt:variant>
        <vt:lpwstr/>
      </vt:variant>
      <vt:variant>
        <vt:i4>3342462</vt:i4>
      </vt:variant>
      <vt:variant>
        <vt:i4>75</vt:i4>
      </vt:variant>
      <vt:variant>
        <vt:i4>0</vt:i4>
      </vt:variant>
      <vt:variant>
        <vt:i4>5</vt:i4>
      </vt:variant>
      <vt:variant>
        <vt:lpwstr>http://www.nevo.co.il/case/25063920</vt:lpwstr>
      </vt:variant>
      <vt:variant>
        <vt:lpwstr/>
      </vt:variant>
      <vt:variant>
        <vt:i4>3670139</vt:i4>
      </vt:variant>
      <vt:variant>
        <vt:i4>72</vt:i4>
      </vt:variant>
      <vt:variant>
        <vt:i4>0</vt:i4>
      </vt:variant>
      <vt:variant>
        <vt:i4>5</vt:i4>
      </vt:variant>
      <vt:variant>
        <vt:lpwstr>http://www.nevo.co.il/case/25824863</vt:lpwstr>
      </vt:variant>
      <vt:variant>
        <vt:lpwstr/>
      </vt:variant>
      <vt:variant>
        <vt:i4>3211386</vt:i4>
      </vt:variant>
      <vt:variant>
        <vt:i4>69</vt:i4>
      </vt:variant>
      <vt:variant>
        <vt:i4>0</vt:i4>
      </vt:variant>
      <vt:variant>
        <vt:i4>5</vt:i4>
      </vt:variant>
      <vt:variant>
        <vt:lpwstr>http://www.nevo.co.il/case/26913995</vt:lpwstr>
      </vt:variant>
      <vt:variant>
        <vt:lpwstr/>
      </vt:variant>
      <vt:variant>
        <vt:i4>3997810</vt:i4>
      </vt:variant>
      <vt:variant>
        <vt:i4>66</vt:i4>
      </vt:variant>
      <vt:variant>
        <vt:i4>0</vt:i4>
      </vt:variant>
      <vt:variant>
        <vt:i4>5</vt:i4>
      </vt:variant>
      <vt:variant>
        <vt:lpwstr>http://www.nevo.co.il/case/6034921</vt:lpwstr>
      </vt:variant>
      <vt:variant>
        <vt:lpwstr/>
      </vt:variant>
      <vt:variant>
        <vt:i4>3342451</vt:i4>
      </vt:variant>
      <vt:variant>
        <vt:i4>63</vt:i4>
      </vt:variant>
      <vt:variant>
        <vt:i4>0</vt:i4>
      </vt:variant>
      <vt:variant>
        <vt:i4>5</vt:i4>
      </vt:variant>
      <vt:variant>
        <vt:lpwstr>http://www.nevo.co.il/case/5601503</vt:lpwstr>
      </vt:variant>
      <vt:variant>
        <vt:lpwstr/>
      </vt:variant>
      <vt:variant>
        <vt:i4>7995492</vt:i4>
      </vt:variant>
      <vt:variant>
        <vt:i4>60</vt:i4>
      </vt:variant>
      <vt:variant>
        <vt:i4>0</vt:i4>
      </vt:variant>
      <vt:variant>
        <vt:i4>5</vt:i4>
      </vt:variant>
      <vt:variant>
        <vt:lpwstr>http://www.nevo.co.il/law/70301</vt:lpwstr>
      </vt:variant>
      <vt:variant>
        <vt:lpwstr/>
      </vt:variant>
      <vt:variant>
        <vt:i4>3604599</vt:i4>
      </vt:variant>
      <vt:variant>
        <vt:i4>57</vt:i4>
      </vt:variant>
      <vt:variant>
        <vt:i4>0</vt:i4>
      </vt:variant>
      <vt:variant>
        <vt:i4>5</vt:i4>
      </vt:variant>
      <vt:variant>
        <vt:lpwstr>http://www.nevo.co.il/case/27207408</vt:lpwstr>
      </vt:variant>
      <vt:variant>
        <vt:lpwstr/>
      </vt:variant>
      <vt:variant>
        <vt:i4>3932277</vt:i4>
      </vt:variant>
      <vt:variant>
        <vt:i4>54</vt:i4>
      </vt:variant>
      <vt:variant>
        <vt:i4>0</vt:i4>
      </vt:variant>
      <vt:variant>
        <vt:i4>5</vt:i4>
      </vt:variant>
      <vt:variant>
        <vt:lpwstr>http://www.nevo.co.il/case/27907602</vt:lpwstr>
      </vt:variant>
      <vt:variant>
        <vt:lpwstr/>
      </vt:variant>
      <vt:variant>
        <vt:i4>3211377</vt:i4>
      </vt:variant>
      <vt:variant>
        <vt:i4>51</vt:i4>
      </vt:variant>
      <vt:variant>
        <vt:i4>0</vt:i4>
      </vt:variant>
      <vt:variant>
        <vt:i4>5</vt:i4>
      </vt:variant>
      <vt:variant>
        <vt:lpwstr>http://www.nevo.co.il/case/27115374</vt:lpwstr>
      </vt:variant>
      <vt:variant>
        <vt:lpwstr/>
      </vt:variant>
      <vt:variant>
        <vt:i4>3276920</vt:i4>
      </vt:variant>
      <vt:variant>
        <vt:i4>48</vt:i4>
      </vt:variant>
      <vt:variant>
        <vt:i4>0</vt:i4>
      </vt:variant>
      <vt:variant>
        <vt:i4>5</vt:i4>
      </vt:variant>
      <vt:variant>
        <vt:lpwstr>http://www.nevo.co.il/case/28152132</vt:lpwstr>
      </vt:variant>
      <vt:variant>
        <vt:lpwstr/>
      </vt:variant>
      <vt:variant>
        <vt:i4>4063356</vt:i4>
      </vt:variant>
      <vt:variant>
        <vt:i4>45</vt:i4>
      </vt:variant>
      <vt:variant>
        <vt:i4>0</vt:i4>
      </vt:variant>
      <vt:variant>
        <vt:i4>5</vt:i4>
      </vt:variant>
      <vt:variant>
        <vt:lpwstr>http://www.nevo.co.il/case/27894608</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http://www.nevo.co.il/law/70301/40a</vt:lpwstr>
      </vt:variant>
      <vt:variant>
        <vt:lpwstr/>
      </vt:variant>
      <vt:variant>
        <vt:i4>458778</vt:i4>
      </vt:variant>
      <vt:variant>
        <vt:i4>36</vt:i4>
      </vt:variant>
      <vt:variant>
        <vt:i4>0</vt:i4>
      </vt:variant>
      <vt:variant>
        <vt:i4>5</vt:i4>
      </vt:variant>
      <vt:variant>
        <vt:lpwstr>http://www.nevo.co.il/law/70301/40a;40.if</vt:lpwstr>
      </vt:variant>
      <vt:variant>
        <vt:lpwstr/>
      </vt:variant>
      <vt:variant>
        <vt:i4>7995492</vt:i4>
      </vt:variant>
      <vt:variant>
        <vt:i4>33</vt:i4>
      </vt:variant>
      <vt:variant>
        <vt:i4>0</vt:i4>
      </vt:variant>
      <vt:variant>
        <vt:i4>5</vt:i4>
      </vt:variant>
      <vt:variant>
        <vt:lpwstr>http://www.nevo.co.il/law/70301</vt:lpwstr>
      </vt:variant>
      <vt:variant>
        <vt:lpwstr/>
      </vt:variant>
      <vt:variant>
        <vt:i4>3604579</vt:i4>
      </vt:variant>
      <vt:variant>
        <vt:i4>30</vt:i4>
      </vt:variant>
      <vt:variant>
        <vt:i4>0</vt:i4>
      </vt:variant>
      <vt:variant>
        <vt:i4>5</vt:i4>
      </vt:variant>
      <vt:variant>
        <vt:lpwstr>http://www.nevo.co.il/law/70301/fCa(1)S</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3604579</vt:i4>
      </vt:variant>
      <vt:variant>
        <vt:i4>15</vt:i4>
      </vt:variant>
      <vt:variant>
        <vt:i4>0</vt:i4>
      </vt:variant>
      <vt:variant>
        <vt:i4>5</vt:i4>
      </vt:variant>
      <vt:variant>
        <vt:lpwstr>http://www.nevo.co.il/law/70301/fCa(1)S</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6619233</vt:i4>
      </vt:variant>
      <vt:variant>
        <vt:i4>9</vt:i4>
      </vt:variant>
      <vt:variant>
        <vt:i4>0</vt:i4>
      </vt:variant>
      <vt:variant>
        <vt:i4>5</vt:i4>
      </vt:variant>
      <vt:variant>
        <vt:lpwstr>http://www.nevo.co.il/law/70301/40a</vt:lpwstr>
      </vt:variant>
      <vt:variant>
        <vt:lpwstr/>
      </vt:variant>
      <vt:variant>
        <vt:i4>786511</vt:i4>
      </vt:variant>
      <vt:variant>
        <vt:i4>6</vt:i4>
      </vt:variant>
      <vt:variant>
        <vt:i4>0</vt:i4>
      </vt:variant>
      <vt:variant>
        <vt:i4>5</vt:i4>
      </vt:variant>
      <vt:variant>
        <vt:lpwstr>http://www.nevo.co.il/law/70301/40.if</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2025-04-25T10:53:00Z</dcterms:created>
  <dcterms:modified xsi:type="dcterms:W3CDTF">2025-04-25T10:53:00Z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66893</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עמאש;יאסר גרבאן</vt:lpwstr>
  </property>
  <property fmtid="{D5CDD505-2E9C-101B-9397-08002B2CF9AE}" pid="10" name="LAWYER">
    <vt:lpwstr>מוראד עמאש;עאדל בויראת</vt:lpwstr>
  </property>
  <property fmtid="{D5CDD505-2E9C-101B-9397-08002B2CF9AE}" pid="11" name="JUDGE">
    <vt:lpwstr>גיל קרזבום</vt:lpwstr>
  </property>
  <property fmtid="{D5CDD505-2E9C-101B-9397-08002B2CF9AE}" pid="12" name="CITY">
    <vt:lpwstr>חי'</vt:lpwstr>
  </property>
  <property fmtid="{D5CDD505-2E9C-101B-9397-08002B2CF9AE}" pid="13" name="DATE">
    <vt:lpwstr>20221218</vt:lpwstr>
  </property>
  <property fmtid="{D5CDD505-2E9C-101B-9397-08002B2CF9AE}" pid="14" name="TYPE_N_DATE">
    <vt:lpwstr>39020221218</vt:lpwstr>
  </property>
  <property fmtid="{D5CDD505-2E9C-101B-9397-08002B2CF9AE}" pid="15" name="WORDNUMPAGES">
    <vt:lpwstr>13</vt:lpwstr>
  </property>
  <property fmtid="{D5CDD505-2E9C-101B-9397-08002B2CF9AE}" pid="16" name="TYPE_ABS_DATE">
    <vt:lpwstr>390020221218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27894608;28152132;27115374;27907602;27207408;5601503;6034921;26913995;25824863;25063920;5762686;6473037;6950458;5878682;26934681;28883087:2;28513828;28243273;27911655;27494821;28380863;28722692;26248279;21474168;21771409;27982146;25892549;26383419</vt:lpwstr>
  </property>
  <property fmtid="{D5CDD505-2E9C-101B-9397-08002B2CF9AE}" pid="36" name="CASESLISTTMP2">
    <vt:lpwstr>25612982;26931111;27401739</vt:lpwstr>
  </property>
  <property fmtid="{D5CDD505-2E9C-101B-9397-08002B2CF9AE}" pid="37" name="LAWLISTTMP1">
    <vt:lpwstr>70301/144.b;029;fCa(1)S;040a:2;040.if</vt:lpwstr>
  </property>
</Properties>
</file>