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A7D2A" w:rsidRPr="003F12BD" w14:paraId="7A89D779" w14:textId="77777777" w:rsidTr="00586130">
        <w:trPr>
          <w:trHeight w:hRule="exact" w:val="418"/>
          <w:jc w:val="center"/>
        </w:trPr>
        <w:tc>
          <w:tcPr>
            <w:tcW w:w="8721" w:type="dxa"/>
            <w:gridSpan w:val="2"/>
          </w:tcPr>
          <w:p w14:paraId="2C95667F" w14:textId="77777777" w:rsidR="007A7D2A" w:rsidRPr="003F12BD" w:rsidRDefault="007A7D2A" w:rsidP="00CA4DB9">
            <w:pPr>
              <w:pStyle w:val="a3"/>
              <w:jc w:val="center"/>
              <w:rPr>
                <w:rFonts w:ascii="Tahoma" w:hAnsi="Tahoma" w:cs="Tahoma"/>
                <w:color w:val="000080"/>
                <w:rtl/>
              </w:rPr>
            </w:pPr>
            <w:bookmarkStart w:id="0" w:name="LastJudge"/>
            <w:r w:rsidRPr="003F12BD">
              <w:rPr>
                <w:rFonts w:ascii="Tahoma" w:hAnsi="Tahoma" w:cs="Tahoma"/>
                <w:b/>
                <w:bCs/>
                <w:color w:val="000080"/>
                <w:rtl/>
              </w:rPr>
              <w:t>בית המשפט המחוזי בירושלים</w:t>
            </w:r>
          </w:p>
        </w:tc>
      </w:tr>
      <w:tr w:rsidR="007A7D2A" w:rsidRPr="003F12BD" w14:paraId="0D92202F" w14:textId="77777777" w:rsidTr="00586130">
        <w:trPr>
          <w:trHeight w:val="337"/>
          <w:jc w:val="center"/>
        </w:trPr>
        <w:tc>
          <w:tcPr>
            <w:tcW w:w="5054" w:type="dxa"/>
          </w:tcPr>
          <w:p w14:paraId="151C25C9" w14:textId="77777777" w:rsidR="007A7D2A" w:rsidRPr="003F12BD" w:rsidRDefault="007A7D2A" w:rsidP="00CA4DB9">
            <w:pPr>
              <w:rPr>
                <w:rFonts w:cs="FrankRuehl"/>
                <w:sz w:val="28"/>
                <w:szCs w:val="28"/>
                <w:rtl/>
              </w:rPr>
            </w:pPr>
            <w:r w:rsidRPr="003F12BD">
              <w:rPr>
                <w:rFonts w:cs="FrankRuehl"/>
                <w:sz w:val="28"/>
                <w:szCs w:val="28"/>
                <w:rtl/>
              </w:rPr>
              <w:t>ת"פ</w:t>
            </w:r>
            <w:r w:rsidRPr="003F12BD">
              <w:rPr>
                <w:rFonts w:cs="FrankRuehl" w:hint="cs"/>
                <w:sz w:val="28"/>
                <w:szCs w:val="28"/>
                <w:rtl/>
              </w:rPr>
              <w:t xml:space="preserve"> </w:t>
            </w:r>
            <w:r w:rsidRPr="003F12BD">
              <w:rPr>
                <w:rFonts w:cs="FrankRuehl"/>
                <w:sz w:val="28"/>
                <w:szCs w:val="28"/>
                <w:rtl/>
              </w:rPr>
              <w:t>67356-12-21</w:t>
            </w:r>
            <w:r w:rsidRPr="003F12BD">
              <w:rPr>
                <w:rFonts w:cs="FrankRuehl" w:hint="cs"/>
                <w:sz w:val="28"/>
                <w:szCs w:val="28"/>
                <w:rtl/>
              </w:rPr>
              <w:t xml:space="preserve"> </w:t>
            </w:r>
            <w:r w:rsidRPr="003F12BD">
              <w:rPr>
                <w:rFonts w:cs="FrankRuehl"/>
                <w:sz w:val="28"/>
                <w:szCs w:val="28"/>
                <w:rtl/>
              </w:rPr>
              <w:t>מדינת ישראל נ' עדווין</w:t>
            </w:r>
          </w:p>
          <w:p w14:paraId="73E247FD" w14:textId="77777777" w:rsidR="007A7D2A" w:rsidRPr="003F12BD" w:rsidRDefault="007A7D2A" w:rsidP="00CA4DB9">
            <w:pPr>
              <w:pStyle w:val="a3"/>
              <w:rPr>
                <w:rFonts w:cs="FrankRuehl"/>
                <w:sz w:val="28"/>
                <w:szCs w:val="28"/>
                <w:rtl/>
              </w:rPr>
            </w:pPr>
          </w:p>
        </w:tc>
        <w:tc>
          <w:tcPr>
            <w:tcW w:w="3667" w:type="dxa"/>
          </w:tcPr>
          <w:p w14:paraId="4AF0A90C" w14:textId="77777777" w:rsidR="007A7D2A" w:rsidRPr="003F12BD" w:rsidRDefault="007A7D2A" w:rsidP="00CA4DB9">
            <w:pPr>
              <w:pStyle w:val="a3"/>
              <w:jc w:val="right"/>
              <w:rPr>
                <w:rFonts w:cs="FrankRuehl"/>
                <w:sz w:val="28"/>
                <w:szCs w:val="28"/>
                <w:rtl/>
              </w:rPr>
            </w:pPr>
          </w:p>
        </w:tc>
      </w:tr>
    </w:tbl>
    <w:p w14:paraId="39E950FD" w14:textId="77777777" w:rsidR="007A7D2A" w:rsidRPr="003F12BD" w:rsidRDefault="007A7D2A" w:rsidP="007A7D2A">
      <w:pPr>
        <w:pStyle w:val="a3"/>
        <w:rPr>
          <w:rtl/>
        </w:rPr>
      </w:pPr>
      <w:r w:rsidRPr="003F12BD">
        <w:rPr>
          <w:rFonts w:hint="cs"/>
          <w:rtl/>
        </w:rPr>
        <w:t xml:space="preserve"> </w:t>
      </w:r>
    </w:p>
    <w:p w14:paraId="46D4D04D" w14:textId="77777777" w:rsidR="007A7D2A" w:rsidRPr="003F12BD" w:rsidRDefault="007A7D2A" w:rsidP="007A7D2A">
      <w:pPr>
        <w:rPr>
          <w:rtl/>
        </w:rPr>
      </w:pPr>
    </w:p>
    <w:p w14:paraId="6D48045E" w14:textId="77777777" w:rsidR="007A7D2A" w:rsidRPr="003F12BD" w:rsidRDefault="007A7D2A" w:rsidP="007A7D2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
        <w:gridCol w:w="2821"/>
        <w:gridCol w:w="5387"/>
      </w:tblGrid>
      <w:tr w:rsidR="007A7D2A" w:rsidRPr="003F12BD" w14:paraId="5942C8DA" w14:textId="77777777" w:rsidTr="007A7D2A">
        <w:trPr>
          <w:trHeight w:val="295"/>
          <w:jc w:val="center"/>
        </w:trPr>
        <w:tc>
          <w:tcPr>
            <w:tcW w:w="612" w:type="dxa"/>
            <w:tcBorders>
              <w:top w:val="nil"/>
              <w:left w:val="nil"/>
              <w:bottom w:val="nil"/>
              <w:right w:val="nil"/>
            </w:tcBorders>
            <w:shd w:val="clear" w:color="auto" w:fill="auto"/>
          </w:tcPr>
          <w:p w14:paraId="7EDC87A6" w14:textId="77777777" w:rsidR="007A7D2A" w:rsidRPr="003F12BD" w:rsidRDefault="007A7D2A" w:rsidP="007A7D2A">
            <w:pPr>
              <w:jc w:val="both"/>
              <w:rPr>
                <w:rFonts w:ascii="David" w:hAnsi="David"/>
                <w:sz w:val="26"/>
                <w:szCs w:val="26"/>
              </w:rPr>
            </w:pPr>
            <w:r w:rsidRPr="003F12BD">
              <w:rPr>
                <w:rFonts w:ascii="David" w:hAnsi="David"/>
                <w:sz w:val="26"/>
                <w:szCs w:val="26"/>
                <w:rtl/>
              </w:rPr>
              <w:t xml:space="preserve">בפני </w:t>
            </w:r>
          </w:p>
        </w:tc>
        <w:tc>
          <w:tcPr>
            <w:tcW w:w="8208" w:type="dxa"/>
            <w:gridSpan w:val="2"/>
            <w:tcBorders>
              <w:top w:val="nil"/>
              <w:left w:val="nil"/>
              <w:bottom w:val="nil"/>
              <w:right w:val="nil"/>
            </w:tcBorders>
            <w:shd w:val="clear" w:color="auto" w:fill="auto"/>
          </w:tcPr>
          <w:p w14:paraId="6D4CF518" w14:textId="77777777" w:rsidR="007A7D2A" w:rsidRPr="003F12BD" w:rsidRDefault="007A7D2A" w:rsidP="00CA4DB9">
            <w:pPr>
              <w:rPr>
                <w:rFonts w:ascii="David" w:hAnsi="David"/>
                <w:b/>
                <w:bCs/>
                <w:sz w:val="26"/>
                <w:szCs w:val="26"/>
                <w:rtl/>
              </w:rPr>
            </w:pPr>
            <w:r w:rsidRPr="003F12BD">
              <w:rPr>
                <w:rFonts w:ascii="David" w:hAnsi="David"/>
                <w:b/>
                <w:bCs/>
                <w:sz w:val="26"/>
                <w:szCs w:val="26"/>
                <w:rtl/>
              </w:rPr>
              <w:t>כבוד השופט  אלעזר נחלון</w:t>
            </w:r>
          </w:p>
          <w:p w14:paraId="3C639B6C" w14:textId="77777777" w:rsidR="007A7D2A" w:rsidRPr="003F12BD" w:rsidRDefault="007A7D2A" w:rsidP="00CA4DB9">
            <w:pPr>
              <w:rPr>
                <w:rFonts w:ascii="David" w:hAnsi="David"/>
                <w:sz w:val="26"/>
                <w:szCs w:val="26"/>
                <w:rtl/>
              </w:rPr>
            </w:pPr>
          </w:p>
          <w:p w14:paraId="544E41E5" w14:textId="77777777" w:rsidR="007A7D2A" w:rsidRPr="003F12BD" w:rsidRDefault="007A7D2A" w:rsidP="007A7D2A">
            <w:pPr>
              <w:jc w:val="both"/>
              <w:rPr>
                <w:rFonts w:ascii="David" w:hAnsi="David"/>
                <w:sz w:val="26"/>
                <w:szCs w:val="26"/>
              </w:rPr>
            </w:pPr>
          </w:p>
        </w:tc>
      </w:tr>
      <w:tr w:rsidR="007A7D2A" w:rsidRPr="003F12BD" w14:paraId="24E9E462" w14:textId="77777777" w:rsidTr="007A7D2A">
        <w:trPr>
          <w:trHeight w:val="355"/>
          <w:jc w:val="center"/>
        </w:trPr>
        <w:tc>
          <w:tcPr>
            <w:tcW w:w="612" w:type="dxa"/>
            <w:tcBorders>
              <w:top w:val="nil"/>
              <w:left w:val="nil"/>
              <w:bottom w:val="nil"/>
              <w:right w:val="nil"/>
            </w:tcBorders>
            <w:shd w:val="clear" w:color="auto" w:fill="auto"/>
          </w:tcPr>
          <w:p w14:paraId="72204B27" w14:textId="77777777" w:rsidR="007A7D2A" w:rsidRPr="003F12BD" w:rsidRDefault="007A7D2A" w:rsidP="007A7D2A">
            <w:pPr>
              <w:jc w:val="both"/>
              <w:rPr>
                <w:rFonts w:ascii="David" w:hAnsi="David"/>
                <w:sz w:val="26"/>
                <w:szCs w:val="26"/>
              </w:rPr>
            </w:pPr>
            <w:bookmarkStart w:id="1" w:name="FirstAppellant"/>
          </w:p>
        </w:tc>
        <w:tc>
          <w:tcPr>
            <w:tcW w:w="2821" w:type="dxa"/>
            <w:tcBorders>
              <w:top w:val="nil"/>
              <w:left w:val="nil"/>
              <w:bottom w:val="nil"/>
              <w:right w:val="nil"/>
            </w:tcBorders>
            <w:shd w:val="clear" w:color="auto" w:fill="auto"/>
          </w:tcPr>
          <w:p w14:paraId="5BF00FF3" w14:textId="77777777" w:rsidR="007A7D2A" w:rsidRPr="003F12BD" w:rsidRDefault="007A7D2A" w:rsidP="007A7D2A">
            <w:pPr>
              <w:suppressLineNumbers/>
            </w:pPr>
            <w:r w:rsidRPr="003F12BD">
              <w:rPr>
                <w:rFonts w:ascii="Arial" w:hAnsi="Arial" w:hint="cs"/>
                <w:b/>
                <w:bCs/>
                <w:sz w:val="26"/>
                <w:szCs w:val="26"/>
                <w:rtl/>
              </w:rPr>
              <w:t>ה</w:t>
            </w:r>
            <w:r w:rsidRPr="003F12BD">
              <w:rPr>
                <w:rFonts w:ascii="Arial" w:hAnsi="Arial"/>
                <w:b/>
                <w:bCs/>
                <w:sz w:val="26"/>
                <w:szCs w:val="26"/>
                <w:rtl/>
              </w:rPr>
              <w:t>מאשימה</w:t>
            </w:r>
          </w:p>
          <w:p w14:paraId="23A0D5FD" w14:textId="77777777" w:rsidR="007A7D2A" w:rsidRPr="003F12BD" w:rsidRDefault="007A7D2A" w:rsidP="00CA4DB9">
            <w:pPr>
              <w:rPr>
                <w:rFonts w:ascii="David" w:hAnsi="David"/>
                <w:sz w:val="26"/>
                <w:szCs w:val="26"/>
              </w:rPr>
            </w:pPr>
          </w:p>
        </w:tc>
        <w:tc>
          <w:tcPr>
            <w:tcW w:w="5387" w:type="dxa"/>
            <w:tcBorders>
              <w:top w:val="nil"/>
              <w:left w:val="nil"/>
              <w:bottom w:val="nil"/>
              <w:right w:val="nil"/>
            </w:tcBorders>
            <w:shd w:val="clear" w:color="auto" w:fill="auto"/>
            <w:vAlign w:val="center"/>
          </w:tcPr>
          <w:p w14:paraId="6C3E1649" w14:textId="77777777" w:rsidR="007A7D2A" w:rsidRPr="003F12BD" w:rsidRDefault="007A7D2A" w:rsidP="007A7D2A">
            <w:pPr>
              <w:suppressLineNumbers/>
              <w:rPr>
                <w:rFonts w:ascii="David" w:hAnsi="David"/>
                <w:sz w:val="26"/>
                <w:szCs w:val="26"/>
              </w:rPr>
            </w:pPr>
            <w:r w:rsidRPr="003F12BD">
              <w:rPr>
                <w:rFonts w:ascii="Arial" w:hAnsi="Arial"/>
                <w:b/>
                <w:bCs/>
                <w:sz w:val="26"/>
                <w:szCs w:val="26"/>
                <w:rtl/>
              </w:rPr>
              <w:t>מדינת ישראל</w:t>
            </w:r>
          </w:p>
        </w:tc>
      </w:tr>
      <w:bookmarkEnd w:id="1"/>
      <w:tr w:rsidR="007A7D2A" w:rsidRPr="003F12BD" w14:paraId="0F7C988F" w14:textId="77777777" w:rsidTr="007A7D2A">
        <w:trPr>
          <w:trHeight w:val="355"/>
          <w:jc w:val="center"/>
        </w:trPr>
        <w:tc>
          <w:tcPr>
            <w:tcW w:w="612" w:type="dxa"/>
            <w:tcBorders>
              <w:top w:val="nil"/>
              <w:left w:val="nil"/>
              <w:bottom w:val="nil"/>
              <w:right w:val="nil"/>
            </w:tcBorders>
            <w:shd w:val="clear" w:color="auto" w:fill="auto"/>
          </w:tcPr>
          <w:p w14:paraId="3BEB52CD" w14:textId="77777777" w:rsidR="007A7D2A" w:rsidRPr="003F12BD" w:rsidRDefault="007A7D2A" w:rsidP="007A7D2A">
            <w:pPr>
              <w:jc w:val="both"/>
              <w:rPr>
                <w:rFonts w:ascii="David" w:hAnsi="David"/>
                <w:sz w:val="26"/>
                <w:szCs w:val="26"/>
                <w:rtl/>
              </w:rPr>
            </w:pPr>
          </w:p>
        </w:tc>
        <w:tc>
          <w:tcPr>
            <w:tcW w:w="8208" w:type="dxa"/>
            <w:gridSpan w:val="2"/>
            <w:tcBorders>
              <w:top w:val="nil"/>
              <w:left w:val="nil"/>
              <w:bottom w:val="nil"/>
              <w:right w:val="nil"/>
            </w:tcBorders>
            <w:shd w:val="clear" w:color="auto" w:fill="auto"/>
          </w:tcPr>
          <w:p w14:paraId="4DD45C16" w14:textId="77777777" w:rsidR="007A7D2A" w:rsidRPr="003F12BD" w:rsidRDefault="007A7D2A" w:rsidP="007A7D2A">
            <w:pPr>
              <w:jc w:val="center"/>
              <w:rPr>
                <w:rFonts w:ascii="David" w:hAnsi="David"/>
                <w:b/>
                <w:bCs/>
                <w:sz w:val="26"/>
                <w:szCs w:val="26"/>
                <w:rtl/>
              </w:rPr>
            </w:pPr>
          </w:p>
          <w:p w14:paraId="66DD9B1F" w14:textId="77777777" w:rsidR="007A7D2A" w:rsidRPr="003F12BD" w:rsidRDefault="007A7D2A" w:rsidP="00CA4DB9">
            <w:pPr>
              <w:rPr>
                <w:rFonts w:ascii="David" w:hAnsi="David"/>
                <w:b/>
                <w:bCs/>
                <w:sz w:val="26"/>
                <w:szCs w:val="26"/>
                <w:rtl/>
              </w:rPr>
            </w:pPr>
            <w:r w:rsidRPr="003F12BD">
              <w:rPr>
                <w:rFonts w:ascii="David" w:hAnsi="David" w:hint="cs"/>
                <w:b/>
                <w:bCs/>
                <w:sz w:val="26"/>
                <w:szCs w:val="26"/>
                <w:rtl/>
              </w:rPr>
              <w:t xml:space="preserve">                                                        </w:t>
            </w:r>
            <w:r w:rsidRPr="003F12BD">
              <w:rPr>
                <w:rFonts w:ascii="David" w:hAnsi="David"/>
                <w:b/>
                <w:bCs/>
                <w:sz w:val="26"/>
                <w:szCs w:val="26"/>
                <w:rtl/>
              </w:rPr>
              <w:t>נגד</w:t>
            </w:r>
          </w:p>
          <w:p w14:paraId="5E94DA03" w14:textId="77777777" w:rsidR="007A7D2A" w:rsidRPr="003F12BD" w:rsidRDefault="007A7D2A" w:rsidP="007A7D2A">
            <w:pPr>
              <w:jc w:val="both"/>
              <w:rPr>
                <w:rFonts w:ascii="David" w:hAnsi="David"/>
                <w:sz w:val="26"/>
                <w:szCs w:val="26"/>
              </w:rPr>
            </w:pPr>
          </w:p>
        </w:tc>
      </w:tr>
      <w:tr w:rsidR="007A7D2A" w:rsidRPr="003F12BD" w14:paraId="5BA96933" w14:textId="77777777" w:rsidTr="007A7D2A">
        <w:trPr>
          <w:trHeight w:val="355"/>
          <w:jc w:val="center"/>
        </w:trPr>
        <w:tc>
          <w:tcPr>
            <w:tcW w:w="612" w:type="dxa"/>
            <w:tcBorders>
              <w:top w:val="nil"/>
              <w:left w:val="nil"/>
              <w:bottom w:val="nil"/>
              <w:right w:val="nil"/>
            </w:tcBorders>
            <w:shd w:val="clear" w:color="auto" w:fill="auto"/>
          </w:tcPr>
          <w:p w14:paraId="39F555E7" w14:textId="77777777" w:rsidR="007A7D2A" w:rsidRPr="003F12BD" w:rsidRDefault="007A7D2A" w:rsidP="00CA4DB9">
            <w:pPr>
              <w:rPr>
                <w:rFonts w:ascii="David" w:hAnsi="David"/>
                <w:sz w:val="26"/>
                <w:szCs w:val="26"/>
                <w:rtl/>
              </w:rPr>
            </w:pPr>
          </w:p>
        </w:tc>
        <w:tc>
          <w:tcPr>
            <w:tcW w:w="2821" w:type="dxa"/>
            <w:tcBorders>
              <w:top w:val="nil"/>
              <w:left w:val="nil"/>
              <w:bottom w:val="nil"/>
              <w:right w:val="nil"/>
            </w:tcBorders>
            <w:shd w:val="clear" w:color="auto" w:fill="auto"/>
          </w:tcPr>
          <w:p w14:paraId="13ED625A" w14:textId="77777777" w:rsidR="007A7D2A" w:rsidRPr="003F12BD" w:rsidRDefault="007A7D2A" w:rsidP="00CA4DB9">
            <w:pPr>
              <w:rPr>
                <w:rFonts w:ascii="Arial" w:hAnsi="Arial"/>
                <w:b/>
                <w:bCs/>
                <w:sz w:val="26"/>
                <w:szCs w:val="26"/>
                <w:rtl/>
              </w:rPr>
            </w:pPr>
            <w:r w:rsidRPr="003F12BD">
              <w:rPr>
                <w:rFonts w:ascii="Arial" w:hAnsi="Arial"/>
                <w:b/>
                <w:bCs/>
                <w:sz w:val="26"/>
                <w:szCs w:val="26"/>
                <w:rtl/>
              </w:rPr>
              <w:t>הנאשם</w:t>
            </w:r>
          </w:p>
        </w:tc>
        <w:tc>
          <w:tcPr>
            <w:tcW w:w="5387" w:type="dxa"/>
            <w:tcBorders>
              <w:top w:val="nil"/>
              <w:left w:val="nil"/>
              <w:bottom w:val="nil"/>
              <w:right w:val="nil"/>
            </w:tcBorders>
            <w:shd w:val="clear" w:color="auto" w:fill="auto"/>
            <w:vAlign w:val="center"/>
          </w:tcPr>
          <w:p w14:paraId="14E2CB99" w14:textId="77777777" w:rsidR="007A7D2A" w:rsidRPr="003F12BD" w:rsidRDefault="007A7D2A" w:rsidP="007A7D2A">
            <w:pPr>
              <w:suppressLineNumbers/>
              <w:rPr>
                <w:rFonts w:ascii="David" w:hAnsi="David"/>
                <w:sz w:val="26"/>
                <w:szCs w:val="26"/>
              </w:rPr>
            </w:pPr>
            <w:r w:rsidRPr="003F12BD">
              <w:rPr>
                <w:rFonts w:ascii="Arial" w:hAnsi="Arial"/>
                <w:b/>
                <w:bCs/>
                <w:sz w:val="26"/>
                <w:szCs w:val="26"/>
                <w:rtl/>
              </w:rPr>
              <w:t xml:space="preserve">גסאן עדווין </w:t>
            </w:r>
          </w:p>
        </w:tc>
      </w:tr>
      <w:tr w:rsidR="007A7D2A" w:rsidRPr="003F12BD" w14:paraId="354866F6" w14:textId="77777777" w:rsidTr="007A7D2A">
        <w:trPr>
          <w:trHeight w:val="355"/>
          <w:jc w:val="center"/>
        </w:trPr>
        <w:tc>
          <w:tcPr>
            <w:tcW w:w="612" w:type="dxa"/>
            <w:tcBorders>
              <w:top w:val="nil"/>
              <w:left w:val="nil"/>
              <w:bottom w:val="nil"/>
              <w:right w:val="nil"/>
            </w:tcBorders>
            <w:shd w:val="clear" w:color="auto" w:fill="auto"/>
          </w:tcPr>
          <w:p w14:paraId="0D35A159" w14:textId="77777777" w:rsidR="007A7D2A" w:rsidRPr="003F12BD" w:rsidRDefault="007A7D2A" w:rsidP="007A7D2A">
            <w:pPr>
              <w:jc w:val="both"/>
              <w:rPr>
                <w:rFonts w:ascii="David" w:hAnsi="David"/>
                <w:sz w:val="26"/>
                <w:szCs w:val="26"/>
                <w:rtl/>
              </w:rPr>
            </w:pPr>
          </w:p>
        </w:tc>
        <w:tc>
          <w:tcPr>
            <w:tcW w:w="2821" w:type="dxa"/>
            <w:tcBorders>
              <w:top w:val="nil"/>
              <w:left w:val="nil"/>
              <w:bottom w:val="nil"/>
              <w:right w:val="nil"/>
            </w:tcBorders>
            <w:shd w:val="clear" w:color="auto" w:fill="auto"/>
          </w:tcPr>
          <w:p w14:paraId="5D7B8250" w14:textId="77777777" w:rsidR="007A7D2A" w:rsidRPr="003F12BD" w:rsidRDefault="007A7D2A" w:rsidP="007A7D2A">
            <w:pPr>
              <w:jc w:val="both"/>
              <w:rPr>
                <w:rFonts w:ascii="David" w:hAnsi="David"/>
                <w:sz w:val="26"/>
                <w:szCs w:val="26"/>
                <w:rtl/>
              </w:rPr>
            </w:pPr>
          </w:p>
        </w:tc>
        <w:tc>
          <w:tcPr>
            <w:tcW w:w="5387" w:type="dxa"/>
            <w:tcBorders>
              <w:top w:val="nil"/>
              <w:left w:val="nil"/>
              <w:bottom w:val="nil"/>
              <w:right w:val="nil"/>
            </w:tcBorders>
            <w:shd w:val="clear" w:color="auto" w:fill="auto"/>
          </w:tcPr>
          <w:p w14:paraId="66430CA1" w14:textId="77777777" w:rsidR="007A7D2A" w:rsidRPr="003F12BD" w:rsidRDefault="007A7D2A" w:rsidP="007A7D2A">
            <w:pPr>
              <w:jc w:val="right"/>
              <w:rPr>
                <w:rFonts w:ascii="David" w:hAnsi="David"/>
                <w:sz w:val="26"/>
                <w:szCs w:val="26"/>
              </w:rPr>
            </w:pPr>
          </w:p>
        </w:tc>
      </w:tr>
      <w:tr w:rsidR="007A7D2A" w:rsidRPr="003F12BD" w14:paraId="4F195931" w14:textId="77777777" w:rsidTr="007A7D2A">
        <w:trPr>
          <w:trHeight w:val="355"/>
          <w:jc w:val="center"/>
        </w:trPr>
        <w:tc>
          <w:tcPr>
            <w:tcW w:w="612" w:type="dxa"/>
            <w:tcBorders>
              <w:top w:val="nil"/>
              <w:left w:val="nil"/>
              <w:bottom w:val="nil"/>
              <w:right w:val="nil"/>
            </w:tcBorders>
            <w:shd w:val="clear" w:color="auto" w:fill="auto"/>
          </w:tcPr>
          <w:p w14:paraId="35A2C97A" w14:textId="77777777" w:rsidR="007A7D2A" w:rsidRPr="003F12BD" w:rsidRDefault="007A7D2A" w:rsidP="007A7D2A">
            <w:pPr>
              <w:jc w:val="both"/>
              <w:rPr>
                <w:rFonts w:ascii="David" w:hAnsi="David"/>
                <w:sz w:val="26"/>
                <w:szCs w:val="26"/>
                <w:rtl/>
              </w:rPr>
            </w:pPr>
          </w:p>
        </w:tc>
        <w:tc>
          <w:tcPr>
            <w:tcW w:w="2821" w:type="dxa"/>
            <w:tcBorders>
              <w:top w:val="nil"/>
              <w:left w:val="nil"/>
              <w:bottom w:val="nil"/>
              <w:right w:val="nil"/>
            </w:tcBorders>
            <w:shd w:val="clear" w:color="auto" w:fill="auto"/>
          </w:tcPr>
          <w:p w14:paraId="41182C8E" w14:textId="77777777" w:rsidR="007A7D2A" w:rsidRPr="003F12BD" w:rsidRDefault="007A7D2A" w:rsidP="007A7D2A">
            <w:pPr>
              <w:jc w:val="both"/>
              <w:rPr>
                <w:rFonts w:ascii="David" w:hAnsi="David"/>
                <w:sz w:val="26"/>
                <w:szCs w:val="26"/>
                <w:rtl/>
              </w:rPr>
            </w:pPr>
          </w:p>
        </w:tc>
        <w:tc>
          <w:tcPr>
            <w:tcW w:w="5387" w:type="dxa"/>
            <w:tcBorders>
              <w:top w:val="nil"/>
              <w:left w:val="nil"/>
              <w:bottom w:val="nil"/>
              <w:right w:val="nil"/>
            </w:tcBorders>
            <w:shd w:val="clear" w:color="auto" w:fill="auto"/>
          </w:tcPr>
          <w:p w14:paraId="57721841" w14:textId="77777777" w:rsidR="007A7D2A" w:rsidRPr="003F12BD" w:rsidRDefault="007A7D2A" w:rsidP="007A7D2A">
            <w:pPr>
              <w:jc w:val="right"/>
              <w:rPr>
                <w:rFonts w:ascii="David" w:hAnsi="David"/>
                <w:sz w:val="26"/>
                <w:szCs w:val="26"/>
              </w:rPr>
            </w:pPr>
          </w:p>
        </w:tc>
      </w:tr>
      <w:tr w:rsidR="007A7D2A" w:rsidRPr="003F12BD" w14:paraId="4923365F" w14:textId="77777777" w:rsidTr="007A7D2A">
        <w:trPr>
          <w:trHeight w:val="355"/>
          <w:jc w:val="center"/>
        </w:trPr>
        <w:tc>
          <w:tcPr>
            <w:tcW w:w="612" w:type="dxa"/>
            <w:tcBorders>
              <w:top w:val="nil"/>
              <w:left w:val="nil"/>
              <w:bottom w:val="nil"/>
              <w:right w:val="nil"/>
            </w:tcBorders>
            <w:shd w:val="clear" w:color="auto" w:fill="auto"/>
          </w:tcPr>
          <w:p w14:paraId="1A7F9601" w14:textId="77777777" w:rsidR="007A7D2A" w:rsidRPr="003F12BD" w:rsidRDefault="007A7D2A" w:rsidP="007A7D2A">
            <w:pPr>
              <w:jc w:val="both"/>
              <w:rPr>
                <w:rFonts w:ascii="David" w:hAnsi="David"/>
                <w:sz w:val="26"/>
                <w:szCs w:val="26"/>
                <w:rtl/>
              </w:rPr>
            </w:pPr>
          </w:p>
        </w:tc>
        <w:tc>
          <w:tcPr>
            <w:tcW w:w="2821" w:type="dxa"/>
            <w:tcBorders>
              <w:top w:val="nil"/>
              <w:left w:val="nil"/>
              <w:bottom w:val="nil"/>
              <w:right w:val="nil"/>
            </w:tcBorders>
            <w:shd w:val="clear" w:color="auto" w:fill="auto"/>
          </w:tcPr>
          <w:p w14:paraId="2BAA58BD" w14:textId="77777777" w:rsidR="007A7D2A" w:rsidRPr="003F12BD" w:rsidRDefault="007A7D2A" w:rsidP="007A7D2A">
            <w:pPr>
              <w:jc w:val="both"/>
              <w:rPr>
                <w:rFonts w:ascii="David" w:hAnsi="David"/>
                <w:sz w:val="26"/>
                <w:szCs w:val="26"/>
                <w:rtl/>
              </w:rPr>
            </w:pPr>
          </w:p>
        </w:tc>
        <w:tc>
          <w:tcPr>
            <w:tcW w:w="5387" w:type="dxa"/>
            <w:tcBorders>
              <w:top w:val="nil"/>
              <w:left w:val="nil"/>
              <w:bottom w:val="nil"/>
              <w:right w:val="nil"/>
            </w:tcBorders>
            <w:shd w:val="clear" w:color="auto" w:fill="auto"/>
          </w:tcPr>
          <w:p w14:paraId="411B233A" w14:textId="77777777" w:rsidR="007A7D2A" w:rsidRPr="003F12BD" w:rsidRDefault="007A7D2A" w:rsidP="007A7D2A">
            <w:pPr>
              <w:jc w:val="right"/>
              <w:rPr>
                <w:rFonts w:ascii="David" w:hAnsi="David"/>
                <w:sz w:val="26"/>
                <w:szCs w:val="26"/>
              </w:rPr>
            </w:pPr>
          </w:p>
        </w:tc>
      </w:tr>
      <w:tr w:rsidR="007A7D2A" w:rsidRPr="003F12BD" w14:paraId="12804E19" w14:textId="77777777" w:rsidTr="007A7D2A">
        <w:trPr>
          <w:trHeight w:val="355"/>
          <w:jc w:val="center"/>
        </w:trPr>
        <w:tc>
          <w:tcPr>
            <w:tcW w:w="612" w:type="dxa"/>
            <w:tcBorders>
              <w:top w:val="nil"/>
              <w:left w:val="nil"/>
              <w:bottom w:val="nil"/>
              <w:right w:val="nil"/>
            </w:tcBorders>
            <w:shd w:val="clear" w:color="auto" w:fill="auto"/>
          </w:tcPr>
          <w:p w14:paraId="66E9AD3B" w14:textId="77777777" w:rsidR="007A7D2A" w:rsidRPr="003F12BD" w:rsidRDefault="007A7D2A" w:rsidP="007A7D2A">
            <w:pPr>
              <w:jc w:val="both"/>
              <w:rPr>
                <w:rFonts w:ascii="David" w:hAnsi="David"/>
                <w:sz w:val="26"/>
                <w:szCs w:val="26"/>
                <w:rtl/>
              </w:rPr>
            </w:pPr>
            <w:bookmarkStart w:id="2" w:name="FirstLawyer"/>
          </w:p>
        </w:tc>
        <w:tc>
          <w:tcPr>
            <w:tcW w:w="2821" w:type="dxa"/>
            <w:tcBorders>
              <w:top w:val="nil"/>
              <w:left w:val="nil"/>
              <w:bottom w:val="nil"/>
              <w:right w:val="nil"/>
            </w:tcBorders>
            <w:shd w:val="clear" w:color="auto" w:fill="auto"/>
          </w:tcPr>
          <w:p w14:paraId="2DA79EA8" w14:textId="77777777" w:rsidR="007A7D2A" w:rsidRPr="003F12BD" w:rsidRDefault="007A7D2A" w:rsidP="007A7D2A">
            <w:pPr>
              <w:jc w:val="both"/>
              <w:rPr>
                <w:rFonts w:ascii="David" w:hAnsi="David"/>
                <w:rtl/>
              </w:rPr>
            </w:pPr>
            <w:r w:rsidRPr="003F12BD">
              <w:rPr>
                <w:rFonts w:ascii="David" w:hAnsi="David" w:hint="cs"/>
                <w:rtl/>
              </w:rPr>
              <w:t>בשם המאשימה:</w:t>
            </w:r>
          </w:p>
        </w:tc>
        <w:tc>
          <w:tcPr>
            <w:tcW w:w="5387" w:type="dxa"/>
            <w:tcBorders>
              <w:top w:val="nil"/>
              <w:left w:val="nil"/>
              <w:bottom w:val="nil"/>
              <w:right w:val="nil"/>
            </w:tcBorders>
            <w:shd w:val="clear" w:color="auto" w:fill="auto"/>
          </w:tcPr>
          <w:p w14:paraId="127E4DEE" w14:textId="77777777" w:rsidR="007A7D2A" w:rsidRPr="003F12BD" w:rsidRDefault="007A7D2A" w:rsidP="007A7D2A">
            <w:pPr>
              <w:jc w:val="both"/>
              <w:rPr>
                <w:rFonts w:ascii="David" w:hAnsi="David"/>
              </w:rPr>
            </w:pPr>
            <w:r w:rsidRPr="003F12BD">
              <w:rPr>
                <w:rFonts w:ascii="David" w:hAnsi="David" w:hint="cs"/>
                <w:rtl/>
              </w:rPr>
              <w:t>עו"ד אריאל אילוז; עו"ד עינת יריב</w:t>
            </w:r>
          </w:p>
        </w:tc>
      </w:tr>
      <w:bookmarkEnd w:id="2"/>
      <w:tr w:rsidR="007A7D2A" w:rsidRPr="003F12BD" w14:paraId="25F29319" w14:textId="77777777" w:rsidTr="007A7D2A">
        <w:trPr>
          <w:trHeight w:val="355"/>
          <w:jc w:val="center"/>
        </w:trPr>
        <w:tc>
          <w:tcPr>
            <w:tcW w:w="612" w:type="dxa"/>
            <w:tcBorders>
              <w:top w:val="nil"/>
              <w:left w:val="nil"/>
              <w:bottom w:val="nil"/>
              <w:right w:val="nil"/>
            </w:tcBorders>
            <w:shd w:val="clear" w:color="auto" w:fill="auto"/>
          </w:tcPr>
          <w:p w14:paraId="5F40D61E" w14:textId="77777777" w:rsidR="007A7D2A" w:rsidRPr="003F12BD" w:rsidRDefault="007A7D2A" w:rsidP="007A7D2A">
            <w:pPr>
              <w:jc w:val="both"/>
              <w:rPr>
                <w:rFonts w:ascii="David" w:hAnsi="David"/>
                <w:sz w:val="26"/>
                <w:szCs w:val="26"/>
                <w:rtl/>
              </w:rPr>
            </w:pPr>
          </w:p>
        </w:tc>
        <w:tc>
          <w:tcPr>
            <w:tcW w:w="2821" w:type="dxa"/>
            <w:tcBorders>
              <w:top w:val="nil"/>
              <w:left w:val="nil"/>
              <w:bottom w:val="nil"/>
              <w:right w:val="nil"/>
            </w:tcBorders>
            <w:shd w:val="clear" w:color="auto" w:fill="auto"/>
          </w:tcPr>
          <w:p w14:paraId="55633036" w14:textId="77777777" w:rsidR="007A7D2A" w:rsidRPr="003F12BD" w:rsidRDefault="007A7D2A" w:rsidP="007A7D2A">
            <w:pPr>
              <w:jc w:val="both"/>
              <w:rPr>
                <w:rFonts w:ascii="David" w:hAnsi="David"/>
                <w:rtl/>
              </w:rPr>
            </w:pPr>
          </w:p>
        </w:tc>
        <w:tc>
          <w:tcPr>
            <w:tcW w:w="5387" w:type="dxa"/>
            <w:tcBorders>
              <w:top w:val="nil"/>
              <w:left w:val="nil"/>
              <w:bottom w:val="nil"/>
              <w:right w:val="nil"/>
            </w:tcBorders>
            <w:shd w:val="clear" w:color="auto" w:fill="auto"/>
          </w:tcPr>
          <w:p w14:paraId="593D765C" w14:textId="77777777" w:rsidR="007A7D2A" w:rsidRPr="003F12BD" w:rsidRDefault="007A7D2A" w:rsidP="007A7D2A">
            <w:pPr>
              <w:jc w:val="both"/>
              <w:rPr>
                <w:rFonts w:ascii="David" w:hAnsi="David"/>
              </w:rPr>
            </w:pPr>
          </w:p>
        </w:tc>
      </w:tr>
      <w:tr w:rsidR="007A7D2A" w:rsidRPr="003F12BD" w14:paraId="68BA055E" w14:textId="77777777" w:rsidTr="007A7D2A">
        <w:trPr>
          <w:trHeight w:val="355"/>
          <w:jc w:val="center"/>
        </w:trPr>
        <w:tc>
          <w:tcPr>
            <w:tcW w:w="612" w:type="dxa"/>
            <w:tcBorders>
              <w:top w:val="nil"/>
              <w:left w:val="nil"/>
              <w:bottom w:val="nil"/>
              <w:right w:val="nil"/>
            </w:tcBorders>
            <w:shd w:val="clear" w:color="auto" w:fill="auto"/>
          </w:tcPr>
          <w:p w14:paraId="6601DA3B" w14:textId="77777777" w:rsidR="007A7D2A" w:rsidRPr="003F12BD" w:rsidRDefault="007A7D2A" w:rsidP="007A7D2A">
            <w:pPr>
              <w:jc w:val="both"/>
              <w:rPr>
                <w:rFonts w:ascii="David" w:hAnsi="David"/>
                <w:sz w:val="26"/>
                <w:szCs w:val="26"/>
                <w:rtl/>
              </w:rPr>
            </w:pPr>
          </w:p>
        </w:tc>
        <w:tc>
          <w:tcPr>
            <w:tcW w:w="2821" w:type="dxa"/>
            <w:tcBorders>
              <w:top w:val="nil"/>
              <w:left w:val="nil"/>
              <w:bottom w:val="nil"/>
              <w:right w:val="nil"/>
            </w:tcBorders>
            <w:shd w:val="clear" w:color="auto" w:fill="auto"/>
          </w:tcPr>
          <w:p w14:paraId="701DF374" w14:textId="77777777" w:rsidR="007A7D2A" w:rsidRPr="003F12BD" w:rsidRDefault="007A7D2A" w:rsidP="007A7D2A">
            <w:pPr>
              <w:jc w:val="both"/>
              <w:rPr>
                <w:rFonts w:ascii="David" w:hAnsi="David"/>
                <w:rtl/>
              </w:rPr>
            </w:pPr>
            <w:r w:rsidRPr="003F12BD">
              <w:rPr>
                <w:rFonts w:ascii="David" w:hAnsi="David" w:hint="cs"/>
                <w:rtl/>
              </w:rPr>
              <w:t>בשם הנאשם:</w:t>
            </w:r>
          </w:p>
        </w:tc>
        <w:tc>
          <w:tcPr>
            <w:tcW w:w="5387" w:type="dxa"/>
            <w:tcBorders>
              <w:top w:val="nil"/>
              <w:left w:val="nil"/>
              <w:bottom w:val="nil"/>
              <w:right w:val="nil"/>
            </w:tcBorders>
            <w:shd w:val="clear" w:color="auto" w:fill="auto"/>
          </w:tcPr>
          <w:p w14:paraId="4811AA2B" w14:textId="77777777" w:rsidR="007A7D2A" w:rsidRPr="003F12BD" w:rsidRDefault="007A7D2A" w:rsidP="007A7D2A">
            <w:pPr>
              <w:jc w:val="both"/>
              <w:rPr>
                <w:rFonts w:ascii="David" w:hAnsi="David"/>
              </w:rPr>
            </w:pPr>
            <w:r w:rsidRPr="003F12BD">
              <w:rPr>
                <w:rFonts w:ascii="David" w:hAnsi="David" w:hint="cs"/>
                <w:rtl/>
              </w:rPr>
              <w:t>עו"ד מחמוד רבאח</w:t>
            </w:r>
          </w:p>
        </w:tc>
      </w:tr>
    </w:tbl>
    <w:p w14:paraId="436CC782" w14:textId="77777777" w:rsidR="00586130" w:rsidRPr="00586130" w:rsidRDefault="00586130" w:rsidP="00586130">
      <w:pPr>
        <w:spacing w:before="120" w:after="120" w:line="240" w:lineRule="exact"/>
        <w:ind w:left="283" w:hanging="283"/>
        <w:jc w:val="both"/>
        <w:rPr>
          <w:rFonts w:ascii="FrankRuehl" w:hAnsi="FrankRuehl" w:cs="FrankRuehl"/>
          <w:rtl/>
        </w:rPr>
      </w:pPr>
    </w:p>
    <w:p w14:paraId="3F2E9055" w14:textId="77777777" w:rsidR="00922F8F" w:rsidRPr="00922F8F" w:rsidRDefault="00922F8F" w:rsidP="00922F8F">
      <w:pPr>
        <w:spacing w:before="120" w:after="120" w:line="240" w:lineRule="exact"/>
        <w:ind w:left="283" w:hanging="283"/>
        <w:jc w:val="both"/>
        <w:rPr>
          <w:rFonts w:ascii="FrankRuehl" w:hAnsi="FrankRuehl" w:cs="FrankRuehl"/>
          <w:rtl/>
        </w:rPr>
      </w:pPr>
    </w:p>
    <w:p w14:paraId="7863D901" w14:textId="77777777" w:rsidR="002804E0" w:rsidRDefault="002804E0" w:rsidP="002804E0">
      <w:pPr>
        <w:rPr>
          <w:sz w:val="26"/>
          <w:szCs w:val="26"/>
          <w:rtl/>
        </w:rPr>
      </w:pPr>
      <w:bookmarkStart w:id="3" w:name="LawTable"/>
      <w:bookmarkEnd w:id="3"/>
    </w:p>
    <w:p w14:paraId="2988EA2F" w14:textId="77777777" w:rsidR="002804E0" w:rsidRPr="002804E0" w:rsidRDefault="002804E0" w:rsidP="002804E0">
      <w:pPr>
        <w:spacing w:before="120" w:after="120" w:line="240" w:lineRule="exact"/>
        <w:ind w:left="283" w:hanging="283"/>
        <w:jc w:val="both"/>
        <w:rPr>
          <w:rFonts w:ascii="FrankRuehl" w:hAnsi="FrankRuehl" w:cs="FrankRuehl"/>
          <w:rtl/>
        </w:rPr>
      </w:pPr>
    </w:p>
    <w:p w14:paraId="048CD96E" w14:textId="77777777" w:rsidR="002804E0" w:rsidRPr="002804E0" w:rsidRDefault="002804E0" w:rsidP="002804E0">
      <w:pPr>
        <w:spacing w:before="120" w:after="120" w:line="240" w:lineRule="exact"/>
        <w:ind w:left="283" w:hanging="283"/>
        <w:jc w:val="both"/>
        <w:rPr>
          <w:rFonts w:ascii="FrankRuehl" w:hAnsi="FrankRuehl" w:cs="FrankRuehl"/>
          <w:rtl/>
        </w:rPr>
      </w:pPr>
    </w:p>
    <w:p w14:paraId="2A7E07F6" w14:textId="77777777" w:rsidR="002804E0" w:rsidRPr="002804E0" w:rsidRDefault="002804E0" w:rsidP="002804E0">
      <w:pPr>
        <w:spacing w:before="120" w:after="120" w:line="240" w:lineRule="exact"/>
        <w:ind w:left="283" w:hanging="283"/>
        <w:jc w:val="both"/>
        <w:rPr>
          <w:rFonts w:ascii="FrankRuehl" w:hAnsi="FrankRuehl" w:cs="FrankRuehl"/>
          <w:rtl/>
        </w:rPr>
      </w:pPr>
      <w:r w:rsidRPr="002804E0">
        <w:rPr>
          <w:rFonts w:ascii="FrankRuehl" w:hAnsi="FrankRuehl" w:cs="FrankRuehl"/>
          <w:rtl/>
        </w:rPr>
        <w:t xml:space="preserve">חקיקה שאוזכרה: </w:t>
      </w:r>
    </w:p>
    <w:p w14:paraId="40042848" w14:textId="77777777" w:rsidR="002804E0" w:rsidRPr="002804E0" w:rsidRDefault="002804E0" w:rsidP="002804E0">
      <w:pPr>
        <w:spacing w:before="120" w:after="120" w:line="240" w:lineRule="exact"/>
        <w:ind w:left="283" w:hanging="283"/>
        <w:jc w:val="both"/>
        <w:rPr>
          <w:rFonts w:ascii="FrankRuehl" w:hAnsi="FrankRuehl" w:cs="FrankRuehl"/>
          <w:rtl/>
        </w:rPr>
      </w:pPr>
      <w:hyperlink r:id="rId7" w:history="1">
        <w:r w:rsidRPr="002804E0">
          <w:rPr>
            <w:rFonts w:ascii="FrankRuehl" w:hAnsi="FrankRuehl" w:cs="FrankRuehl"/>
            <w:color w:val="0000FF"/>
            <w:rtl/>
          </w:rPr>
          <w:t>חוק העונשין, תשל"ז-1977</w:t>
        </w:r>
      </w:hyperlink>
      <w:r w:rsidRPr="002804E0">
        <w:rPr>
          <w:rFonts w:ascii="FrankRuehl" w:hAnsi="FrankRuehl" w:cs="FrankRuehl"/>
          <w:rtl/>
        </w:rPr>
        <w:t xml:space="preserve">: סע'  </w:t>
      </w:r>
      <w:hyperlink r:id="rId8" w:history="1">
        <w:r w:rsidRPr="002804E0">
          <w:rPr>
            <w:rFonts w:ascii="FrankRuehl" w:hAnsi="FrankRuehl" w:cs="FrankRuehl"/>
            <w:color w:val="0000FF"/>
            <w:rtl/>
          </w:rPr>
          <w:t>40ב</w:t>
        </w:r>
      </w:hyperlink>
      <w:r w:rsidRPr="002804E0">
        <w:rPr>
          <w:rFonts w:ascii="FrankRuehl" w:hAnsi="FrankRuehl" w:cs="FrankRuehl"/>
          <w:rtl/>
        </w:rPr>
        <w:t xml:space="preserve">, </w:t>
      </w:r>
      <w:hyperlink r:id="rId9" w:history="1">
        <w:r w:rsidRPr="002804E0">
          <w:rPr>
            <w:rFonts w:ascii="FrankRuehl" w:hAnsi="FrankRuehl" w:cs="FrankRuehl"/>
            <w:color w:val="0000FF"/>
            <w:rtl/>
          </w:rPr>
          <w:t>40ג(א)</w:t>
        </w:r>
      </w:hyperlink>
      <w:r w:rsidRPr="002804E0">
        <w:rPr>
          <w:rFonts w:ascii="FrankRuehl" w:hAnsi="FrankRuehl" w:cs="FrankRuehl"/>
          <w:rtl/>
        </w:rPr>
        <w:t xml:space="preserve">, </w:t>
      </w:r>
      <w:hyperlink r:id="rId10" w:history="1">
        <w:r w:rsidRPr="002804E0">
          <w:rPr>
            <w:rFonts w:ascii="FrankRuehl" w:hAnsi="FrankRuehl" w:cs="FrankRuehl"/>
            <w:color w:val="0000FF"/>
            <w:rtl/>
          </w:rPr>
          <w:t>40ג(ב)</w:t>
        </w:r>
      </w:hyperlink>
      <w:r w:rsidRPr="002804E0">
        <w:rPr>
          <w:rFonts w:ascii="FrankRuehl" w:hAnsi="FrankRuehl" w:cs="FrankRuehl"/>
          <w:rtl/>
        </w:rPr>
        <w:t xml:space="preserve">, </w:t>
      </w:r>
      <w:hyperlink r:id="rId11" w:history="1">
        <w:r w:rsidRPr="002804E0">
          <w:rPr>
            <w:rFonts w:ascii="FrankRuehl" w:hAnsi="FrankRuehl" w:cs="FrankRuehl"/>
            <w:color w:val="0000FF"/>
            <w:rtl/>
          </w:rPr>
          <w:t>40ד</w:t>
        </w:r>
      </w:hyperlink>
      <w:r w:rsidRPr="002804E0">
        <w:rPr>
          <w:rFonts w:ascii="FrankRuehl" w:hAnsi="FrankRuehl" w:cs="FrankRuehl"/>
          <w:rtl/>
        </w:rPr>
        <w:t xml:space="preserve">, </w:t>
      </w:r>
      <w:hyperlink r:id="rId12" w:history="1">
        <w:r w:rsidRPr="002804E0">
          <w:rPr>
            <w:rFonts w:ascii="FrankRuehl" w:hAnsi="FrankRuehl" w:cs="FrankRuehl"/>
            <w:color w:val="0000FF"/>
            <w:rtl/>
          </w:rPr>
          <w:t>40ה</w:t>
        </w:r>
      </w:hyperlink>
      <w:r w:rsidRPr="002804E0">
        <w:rPr>
          <w:rFonts w:ascii="FrankRuehl" w:hAnsi="FrankRuehl" w:cs="FrankRuehl"/>
          <w:rtl/>
        </w:rPr>
        <w:t xml:space="preserve">, </w:t>
      </w:r>
      <w:hyperlink r:id="rId13" w:history="1">
        <w:r w:rsidRPr="002804E0">
          <w:rPr>
            <w:rFonts w:ascii="FrankRuehl" w:hAnsi="FrankRuehl" w:cs="FrankRuehl"/>
            <w:color w:val="0000FF"/>
            <w:rtl/>
          </w:rPr>
          <w:t>40ו</w:t>
        </w:r>
      </w:hyperlink>
      <w:r w:rsidRPr="002804E0">
        <w:rPr>
          <w:rFonts w:ascii="FrankRuehl" w:hAnsi="FrankRuehl" w:cs="FrankRuehl"/>
          <w:rtl/>
        </w:rPr>
        <w:t xml:space="preserve">, </w:t>
      </w:r>
      <w:hyperlink r:id="rId14" w:history="1">
        <w:r w:rsidRPr="002804E0">
          <w:rPr>
            <w:rFonts w:ascii="FrankRuehl" w:hAnsi="FrankRuehl" w:cs="FrankRuehl"/>
            <w:color w:val="0000FF"/>
            <w:rtl/>
          </w:rPr>
          <w:t>40ז</w:t>
        </w:r>
      </w:hyperlink>
      <w:r w:rsidRPr="002804E0">
        <w:rPr>
          <w:rFonts w:ascii="FrankRuehl" w:hAnsi="FrankRuehl" w:cs="FrankRuehl"/>
          <w:rtl/>
        </w:rPr>
        <w:t xml:space="preserve">, </w:t>
      </w:r>
      <w:hyperlink r:id="rId15" w:history="1">
        <w:r w:rsidRPr="002804E0">
          <w:rPr>
            <w:rFonts w:ascii="FrankRuehl" w:hAnsi="FrankRuehl" w:cs="FrankRuehl"/>
            <w:color w:val="0000FF"/>
            <w:rtl/>
          </w:rPr>
          <w:t>40ח</w:t>
        </w:r>
      </w:hyperlink>
      <w:r w:rsidRPr="002804E0">
        <w:rPr>
          <w:rFonts w:ascii="FrankRuehl" w:hAnsi="FrankRuehl" w:cs="FrankRuehl"/>
          <w:rtl/>
        </w:rPr>
        <w:t xml:space="preserve">, </w:t>
      </w:r>
      <w:hyperlink r:id="rId16" w:history="1">
        <w:r w:rsidRPr="002804E0">
          <w:rPr>
            <w:rFonts w:ascii="FrankRuehl" w:hAnsi="FrankRuehl" w:cs="FrankRuehl"/>
            <w:color w:val="0000FF"/>
            <w:rtl/>
          </w:rPr>
          <w:t>40ט</w:t>
        </w:r>
      </w:hyperlink>
      <w:r w:rsidRPr="002804E0">
        <w:rPr>
          <w:rFonts w:ascii="FrankRuehl" w:hAnsi="FrankRuehl" w:cs="FrankRuehl"/>
          <w:rtl/>
        </w:rPr>
        <w:t xml:space="preserve">, </w:t>
      </w:r>
      <w:hyperlink r:id="rId17" w:history="1">
        <w:r w:rsidRPr="002804E0">
          <w:rPr>
            <w:rFonts w:ascii="FrankRuehl" w:hAnsi="FrankRuehl" w:cs="FrankRuehl"/>
            <w:color w:val="0000FF"/>
            <w:rtl/>
          </w:rPr>
          <w:t>144(ז)</w:t>
        </w:r>
      </w:hyperlink>
      <w:r w:rsidRPr="002804E0">
        <w:rPr>
          <w:rFonts w:ascii="FrankRuehl" w:hAnsi="FrankRuehl" w:cs="FrankRuehl"/>
          <w:rtl/>
        </w:rPr>
        <w:t xml:space="preserve">, </w:t>
      </w:r>
      <w:hyperlink r:id="rId18" w:history="1">
        <w:r w:rsidRPr="002804E0">
          <w:rPr>
            <w:rFonts w:ascii="FrankRuehl" w:hAnsi="FrankRuehl" w:cs="FrankRuehl"/>
            <w:color w:val="0000FF"/>
            <w:rtl/>
          </w:rPr>
          <w:t>384(א)(ג)</w:t>
        </w:r>
      </w:hyperlink>
      <w:r w:rsidRPr="002804E0">
        <w:rPr>
          <w:rFonts w:ascii="FrankRuehl" w:hAnsi="FrankRuehl" w:cs="FrankRuehl"/>
          <w:rtl/>
        </w:rPr>
        <w:t xml:space="preserve">, </w:t>
      </w:r>
      <w:hyperlink r:id="rId19" w:history="1">
        <w:r w:rsidRPr="002804E0">
          <w:rPr>
            <w:rFonts w:ascii="FrankRuehl" w:hAnsi="FrankRuehl" w:cs="FrankRuehl"/>
            <w:color w:val="0000FF"/>
            <w:rtl/>
          </w:rPr>
          <w:t>40יא</w:t>
        </w:r>
      </w:hyperlink>
      <w:r w:rsidRPr="002804E0">
        <w:rPr>
          <w:rFonts w:ascii="FrankRuehl" w:hAnsi="FrankRuehl" w:cs="FrankRuehl"/>
          <w:rtl/>
        </w:rPr>
        <w:t xml:space="preserve">, </w:t>
      </w:r>
      <w:hyperlink r:id="rId20" w:history="1">
        <w:r w:rsidRPr="002804E0">
          <w:rPr>
            <w:rFonts w:ascii="FrankRuehl" w:hAnsi="FrankRuehl" w:cs="FrankRuehl"/>
            <w:color w:val="0000FF"/>
            <w:rtl/>
          </w:rPr>
          <w:t>40יב</w:t>
        </w:r>
      </w:hyperlink>
      <w:r w:rsidRPr="002804E0">
        <w:rPr>
          <w:rFonts w:ascii="FrankRuehl" w:hAnsi="FrankRuehl" w:cs="FrankRuehl"/>
          <w:rtl/>
        </w:rPr>
        <w:t xml:space="preserve">, </w:t>
      </w:r>
      <w:hyperlink r:id="rId21" w:history="1">
        <w:r w:rsidRPr="002804E0">
          <w:rPr>
            <w:rFonts w:ascii="FrankRuehl" w:hAnsi="FrankRuehl" w:cs="FrankRuehl"/>
            <w:color w:val="0000FF"/>
            <w:rtl/>
          </w:rPr>
          <w:t>40יג</w:t>
        </w:r>
      </w:hyperlink>
      <w:r w:rsidRPr="002804E0">
        <w:rPr>
          <w:rFonts w:ascii="FrankRuehl" w:hAnsi="FrankRuehl" w:cs="FrankRuehl"/>
          <w:rtl/>
        </w:rPr>
        <w:t xml:space="preserve">, </w:t>
      </w:r>
      <w:hyperlink r:id="rId22" w:history="1">
        <w:r w:rsidRPr="002804E0">
          <w:rPr>
            <w:rFonts w:ascii="FrankRuehl" w:hAnsi="FrankRuehl" w:cs="FrankRuehl"/>
            <w:color w:val="0000FF"/>
            <w:rtl/>
          </w:rPr>
          <w:t>413ד(א)</w:t>
        </w:r>
      </w:hyperlink>
    </w:p>
    <w:p w14:paraId="7A8A29AB" w14:textId="77777777" w:rsidR="002804E0" w:rsidRPr="002804E0" w:rsidRDefault="002804E0" w:rsidP="002804E0">
      <w:pPr>
        <w:rPr>
          <w:sz w:val="26"/>
          <w:szCs w:val="26"/>
          <w:rtl/>
        </w:rPr>
      </w:pPr>
      <w:bookmarkStart w:id="4" w:name="LawTable_End"/>
      <w:bookmarkEnd w:id="4"/>
    </w:p>
    <w:p w14:paraId="216D8B52" w14:textId="77777777" w:rsidR="007A7D2A" w:rsidRPr="00922F8F" w:rsidRDefault="007A7D2A" w:rsidP="00922F8F">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A7D2A" w14:paraId="4B022856" w14:textId="77777777" w:rsidTr="007A7D2A">
        <w:trPr>
          <w:trHeight w:val="355"/>
          <w:jc w:val="center"/>
        </w:trPr>
        <w:tc>
          <w:tcPr>
            <w:tcW w:w="8820" w:type="dxa"/>
            <w:tcBorders>
              <w:top w:val="nil"/>
              <w:left w:val="nil"/>
              <w:bottom w:val="nil"/>
              <w:right w:val="nil"/>
            </w:tcBorders>
            <w:shd w:val="clear" w:color="auto" w:fill="auto"/>
          </w:tcPr>
          <w:p w14:paraId="0286888F" w14:textId="77777777" w:rsidR="003F12BD" w:rsidRPr="003F12BD" w:rsidRDefault="003F12BD" w:rsidP="003F12BD">
            <w:pPr>
              <w:jc w:val="center"/>
              <w:rPr>
                <w:rFonts w:ascii="David" w:hAnsi="David"/>
                <w:b/>
                <w:bCs/>
                <w:sz w:val="32"/>
                <w:szCs w:val="32"/>
                <w:u w:val="single"/>
                <w:rtl/>
              </w:rPr>
            </w:pPr>
            <w:bookmarkStart w:id="5" w:name="PsakDin" w:colFirst="0" w:colLast="0"/>
            <w:bookmarkEnd w:id="0"/>
            <w:r w:rsidRPr="003F12BD">
              <w:rPr>
                <w:rFonts w:ascii="David" w:hAnsi="David"/>
                <w:b/>
                <w:bCs/>
                <w:sz w:val="32"/>
                <w:szCs w:val="32"/>
                <w:u w:val="single"/>
                <w:rtl/>
              </w:rPr>
              <w:t>גזר דין</w:t>
            </w:r>
          </w:p>
          <w:p w14:paraId="7E317929" w14:textId="77777777" w:rsidR="007A7D2A" w:rsidRPr="003F12BD" w:rsidRDefault="007A7D2A" w:rsidP="003F12BD">
            <w:pPr>
              <w:jc w:val="center"/>
              <w:rPr>
                <w:rFonts w:ascii="David" w:hAnsi="David"/>
                <w:bCs/>
                <w:sz w:val="32"/>
                <w:szCs w:val="32"/>
                <w:u w:val="single"/>
                <w:rtl/>
              </w:rPr>
            </w:pPr>
          </w:p>
        </w:tc>
      </w:tr>
      <w:bookmarkEnd w:id="5"/>
    </w:tbl>
    <w:p w14:paraId="2CD24130" w14:textId="77777777" w:rsidR="007A7D2A" w:rsidRPr="000F2247" w:rsidRDefault="007A7D2A" w:rsidP="007A7D2A">
      <w:pPr>
        <w:rPr>
          <w:rFonts w:ascii="Arial" w:hAnsi="Arial"/>
          <w:b/>
          <w:bCs/>
          <w:sz w:val="26"/>
          <w:szCs w:val="26"/>
          <w:rtl/>
        </w:rPr>
      </w:pPr>
    </w:p>
    <w:p w14:paraId="191B8F07" w14:textId="77777777" w:rsidR="007A7D2A" w:rsidRDefault="007A7D2A" w:rsidP="007A7D2A">
      <w:pPr>
        <w:keepNext/>
        <w:spacing w:after="240"/>
        <w:rPr>
          <w:rFonts w:cs="Miriam"/>
          <w:color w:val="000000"/>
          <w:rtl/>
        </w:rPr>
      </w:pPr>
      <w:r>
        <w:rPr>
          <w:rFonts w:cs="Miriam"/>
          <w:color w:val="000000"/>
          <w:rtl/>
        </w:rPr>
        <w:t>א. כללי</w:t>
      </w:r>
    </w:p>
    <w:p w14:paraId="514AC90C" w14:textId="77777777" w:rsidR="007A7D2A" w:rsidRDefault="007A7D2A" w:rsidP="007A7D2A">
      <w:pPr>
        <w:numPr>
          <w:ilvl w:val="0"/>
          <w:numId w:val="1"/>
        </w:numPr>
        <w:spacing w:after="240" w:line="360" w:lineRule="auto"/>
        <w:ind w:left="-7" w:firstLine="0"/>
        <w:jc w:val="both"/>
        <w:rPr>
          <w:rFonts w:cs="FrankRuehl"/>
          <w:color w:val="000000"/>
          <w:sz w:val="28"/>
          <w:szCs w:val="28"/>
          <w:rtl/>
        </w:rPr>
      </w:pPr>
      <w:bookmarkStart w:id="6" w:name="ABSTRACT_START"/>
      <w:bookmarkEnd w:id="6"/>
      <w:r>
        <w:rPr>
          <w:rFonts w:cs="FrankRuehl"/>
          <w:color w:val="000000"/>
          <w:sz w:val="28"/>
          <w:szCs w:val="28"/>
          <w:rtl/>
        </w:rPr>
        <w:t>הנאשם הורשע בדין, על פי הודאתו שניתנה במסגרת הסדר טיעון. הגיעה העת לגזור את עונשו.</w:t>
      </w:r>
    </w:p>
    <w:p w14:paraId="3D0FB278" w14:textId="77777777" w:rsidR="007A7D2A" w:rsidRDefault="007A7D2A" w:rsidP="007A7D2A">
      <w:pPr>
        <w:keepNext/>
        <w:spacing w:after="240"/>
        <w:rPr>
          <w:rFonts w:cs="Miriam"/>
          <w:color w:val="000000"/>
        </w:rPr>
      </w:pPr>
      <w:bookmarkStart w:id="7" w:name="ABSTRACT_END"/>
      <w:bookmarkEnd w:id="7"/>
      <w:r>
        <w:rPr>
          <w:rFonts w:cs="Miriam"/>
          <w:color w:val="000000"/>
          <w:rtl/>
        </w:rPr>
        <w:lastRenderedPageBreak/>
        <w:t>ב. רקע</w:t>
      </w:r>
    </w:p>
    <w:p w14:paraId="1E3E68A8"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 xml:space="preserve">ביום 30.10.22 הורשע הנאשם על פי הודאתו בעבירות של גניבת נשק לפי </w:t>
      </w:r>
      <w:hyperlink r:id="rId23" w:history="1">
        <w:r w:rsidR="00586130" w:rsidRPr="00586130">
          <w:rPr>
            <w:rStyle w:val="Hyperlink"/>
            <w:rFonts w:cs="FrankRuehl"/>
            <w:sz w:val="28"/>
            <w:szCs w:val="28"/>
            <w:rtl/>
          </w:rPr>
          <w:t>סעיף 384(א)(ג)</w:t>
        </w:r>
      </w:hyperlink>
      <w:r>
        <w:rPr>
          <w:rFonts w:cs="FrankRuehl"/>
          <w:color w:val="000000"/>
          <w:sz w:val="28"/>
          <w:szCs w:val="28"/>
          <w:rtl/>
        </w:rPr>
        <w:t xml:space="preserve"> ל</w:t>
      </w:r>
      <w:hyperlink r:id="rId24" w:history="1">
        <w:r w:rsidR="003F12BD" w:rsidRPr="003F12BD">
          <w:rPr>
            <w:rFonts w:cs="FrankRuehl"/>
            <w:color w:val="0000FF"/>
            <w:sz w:val="28"/>
            <w:szCs w:val="28"/>
            <w:u w:val="single"/>
            <w:rtl/>
          </w:rPr>
          <w:t>חוק העונשין</w:t>
        </w:r>
      </w:hyperlink>
      <w:r>
        <w:rPr>
          <w:rFonts w:cs="FrankRuehl"/>
          <w:color w:val="000000"/>
          <w:sz w:val="28"/>
          <w:szCs w:val="28"/>
          <w:rtl/>
        </w:rPr>
        <w:t xml:space="preserve">, התשל"ז-1977 (להלן: </w:t>
      </w:r>
      <w:r>
        <w:rPr>
          <w:rFonts w:cs="Miriam"/>
          <w:color w:val="000000"/>
          <w:rtl/>
        </w:rPr>
        <w:t>חוק</w:t>
      </w:r>
      <w:r>
        <w:rPr>
          <w:rFonts w:cs="FrankRuehl"/>
          <w:color w:val="000000"/>
          <w:sz w:val="28"/>
          <w:szCs w:val="28"/>
          <w:rtl/>
        </w:rPr>
        <w:t xml:space="preserve"> </w:t>
      </w:r>
      <w:r>
        <w:rPr>
          <w:rFonts w:cs="Miriam"/>
          <w:color w:val="000000"/>
          <w:rtl/>
        </w:rPr>
        <w:t>העונשין</w:t>
      </w:r>
      <w:r>
        <w:rPr>
          <w:rFonts w:cs="FrankRuehl"/>
          <w:color w:val="000000"/>
          <w:sz w:val="28"/>
          <w:szCs w:val="28"/>
          <w:rtl/>
        </w:rPr>
        <w:t xml:space="preserve">) וגניבה מרכב לפי </w:t>
      </w:r>
      <w:hyperlink r:id="rId25" w:history="1">
        <w:r w:rsidR="00586130" w:rsidRPr="00586130">
          <w:rPr>
            <w:rStyle w:val="Hyperlink"/>
            <w:rFonts w:cs="FrankRuehl"/>
            <w:sz w:val="28"/>
            <w:szCs w:val="28"/>
            <w:rtl/>
          </w:rPr>
          <w:t>סעיף 413ד(א)</w:t>
        </w:r>
      </w:hyperlink>
      <w:r>
        <w:rPr>
          <w:rFonts w:cs="FrankRuehl"/>
          <w:color w:val="000000"/>
          <w:sz w:val="28"/>
          <w:szCs w:val="28"/>
          <w:rtl/>
        </w:rPr>
        <w:t xml:space="preserve"> לאותו החוק.</w:t>
      </w:r>
    </w:p>
    <w:p w14:paraId="5B41BE4F"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על פי עובדות כתב האישום המתוקן שבהן הודה הנאשם, ביום 19.12.21 נכנס הנאשם בדרך כלשהי לרכבו של המתלונן, שחנה בחניון ציבורי מקורה. הנאשם נטל מן הרכב אקדח שבתוכו מחסנית עם שבעה עשר כדורים, נרתיק אקדח, מכשיר טלפון סלולרי, ושטרות כסף בסכום כולל של 170 ₪, וזאת בכוונה לשלול אותם מן המתלונן שלילת קבע. הנאשם לקח את החפצים אל מקום עבודתו המצוי בסמוך, כאשר את האקדח והמחסנית הטמין בחור בקיר שהוסתר על ידי ארון. הנאשם נעצר במקום העבודה, ואז גם נמצא האקדח.</w:t>
      </w:r>
    </w:p>
    <w:p w14:paraId="042ECF45" w14:textId="77777777" w:rsidR="007A7D2A" w:rsidRDefault="007A7D2A" w:rsidP="007A7D2A">
      <w:pPr>
        <w:keepNext/>
        <w:spacing w:after="240"/>
        <w:rPr>
          <w:rFonts w:cs="Miriam"/>
          <w:color w:val="000000"/>
        </w:rPr>
      </w:pPr>
      <w:r>
        <w:rPr>
          <w:rFonts w:cs="Miriam"/>
          <w:color w:val="000000"/>
          <w:rtl/>
        </w:rPr>
        <w:t>ג. טענות הצדדים</w:t>
      </w:r>
    </w:p>
    <w:p w14:paraId="12D23321"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לטענת המאשימה, מתחם העונש ההולם בעניינו של הנאשם עומד על בין 40 ל-60 חודשי מאסר בפועל, והעונש המתאים לו עומד על 50 חודשי מאסר בפועל לצד מאסר על תנאי וקנס.</w:t>
      </w:r>
    </w:p>
    <w:p w14:paraId="25004125"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 xml:space="preserve">המאשימה טוענת כי עבירת גניבת נשק שייכת ל"משפחת עבירות הנשק", והיסוד העובדתי שלה כולל גם את נשיאת הנשק, המקימה גם עבירה עצמאית. המאשימה מודה כי הנאשם לא הורשע בעבירה עצמאית כאמור, אולם טוענת כי העבירה שבה הורשע חמורה יותר, שכן היא מגינה לא רק על ערך שמירה על חיי אדם (כמו יתר עבירות הנשק) אלא גם על זכות הקניין וערכים נוספים (כמו יתר עבירות הרכוש). ממילא, כך טוענת המאשימה, משנקבע לאחרונה מתחם העונש ההולם בנוגע לעבירה של נשיאת נשק (ראו </w:t>
      </w:r>
      <w:hyperlink r:id="rId26" w:history="1">
        <w:r w:rsidR="003F12BD" w:rsidRPr="003F12BD">
          <w:rPr>
            <w:rFonts w:cs="FrankRuehl"/>
            <w:color w:val="0000FF"/>
            <w:sz w:val="28"/>
            <w:szCs w:val="28"/>
            <w:u w:val="single"/>
            <w:rtl/>
          </w:rPr>
          <w:t>ע"פ 5602/22</w:t>
        </w:r>
      </w:hyperlink>
      <w:r>
        <w:rPr>
          <w:rFonts w:cs="FrankRuehl"/>
          <w:color w:val="000000"/>
          <w:sz w:val="28"/>
          <w:szCs w:val="28"/>
          <w:rtl/>
        </w:rPr>
        <w:t xml:space="preserve"> </w:t>
      </w:r>
      <w:r>
        <w:rPr>
          <w:rFonts w:cs="Miriam"/>
          <w:color w:val="000000"/>
          <w:rtl/>
        </w:rPr>
        <w:t>מדינת ישראל נ' פלוני</w:t>
      </w:r>
      <w:r>
        <w:rPr>
          <w:rFonts w:cs="FrankRuehl"/>
          <w:color w:val="000000"/>
          <w:sz w:val="28"/>
          <w:szCs w:val="28"/>
          <w:rtl/>
        </w:rPr>
        <w:t xml:space="preserve"> (14.9.2022), להלן: עניין </w:t>
      </w:r>
      <w:r>
        <w:rPr>
          <w:rFonts w:cs="Miriam"/>
          <w:color w:val="000000"/>
          <w:rtl/>
        </w:rPr>
        <w:t>פלוני</w:t>
      </w:r>
      <w:r>
        <w:rPr>
          <w:rFonts w:cs="FrankRuehl"/>
          <w:color w:val="000000"/>
          <w:sz w:val="28"/>
          <w:szCs w:val="28"/>
          <w:rtl/>
        </w:rPr>
        <w:t xml:space="preserve">, שיידון בהרחבה בהמשך), הרי שלעבירת גניבת נשק הכוללת אותה יש לקבוע מתחם עונש חמור יותר. המאשימה מוסיפה וטוענת כי אך בשל טעות לא נקבע גם לעבירת גניבת נשק עונש המינימום שנקבע ביחס לעבירות נשק אחרות (ראו </w:t>
      </w:r>
      <w:hyperlink r:id="rId27" w:history="1">
        <w:r w:rsidR="00586130" w:rsidRPr="00586130">
          <w:rPr>
            <w:rStyle w:val="Hyperlink"/>
            <w:rFonts w:cs="FrankRuehl"/>
            <w:sz w:val="28"/>
            <w:szCs w:val="28"/>
            <w:rtl/>
          </w:rPr>
          <w:t>סעיף 144(ז)</w:t>
        </w:r>
      </w:hyperlink>
      <w:r>
        <w:rPr>
          <w:rFonts w:cs="FrankRuehl"/>
          <w:color w:val="000000"/>
          <w:sz w:val="28"/>
          <w:szCs w:val="28"/>
          <w:rtl/>
        </w:rPr>
        <w:t xml:space="preserve"> ל</w:t>
      </w:r>
      <w:hyperlink r:id="rId28" w:history="1">
        <w:r w:rsidR="003F12BD" w:rsidRPr="003F12BD">
          <w:rPr>
            <w:rFonts w:cs="FrankRuehl"/>
            <w:color w:val="0000FF"/>
            <w:sz w:val="28"/>
            <w:szCs w:val="28"/>
            <w:u w:val="single"/>
            <w:rtl/>
          </w:rPr>
          <w:t>חוק העונשין</w:t>
        </w:r>
      </w:hyperlink>
      <w:r>
        <w:rPr>
          <w:rFonts w:cs="FrankRuehl"/>
          <w:color w:val="000000"/>
          <w:sz w:val="28"/>
          <w:szCs w:val="28"/>
          <w:rtl/>
        </w:rPr>
        <w:t>), אך מהותית יש לגזור עונש שלא יפחת ממנו.</w:t>
      </w:r>
    </w:p>
    <w:p w14:paraId="15CFFF36" w14:textId="77777777" w:rsidR="007A7D2A" w:rsidRDefault="007A7D2A" w:rsidP="007A7D2A">
      <w:pPr>
        <w:tabs>
          <w:tab w:val="left" w:pos="702"/>
        </w:tabs>
        <w:spacing w:after="240" w:line="360" w:lineRule="auto"/>
        <w:ind w:left="-7"/>
        <w:jc w:val="both"/>
        <w:rPr>
          <w:rFonts w:cs="FrankRuehl"/>
          <w:color w:val="000000"/>
          <w:sz w:val="28"/>
          <w:szCs w:val="28"/>
        </w:rPr>
      </w:pPr>
      <w:r>
        <w:rPr>
          <w:rFonts w:cs="FrankRuehl"/>
          <w:color w:val="000000"/>
          <w:sz w:val="28"/>
          <w:szCs w:val="28"/>
          <w:rtl/>
        </w:rPr>
        <w:tab/>
        <w:t>אשר לנסיבות הקשורות בביצוע העבירה, הרי שלשיטת המאשימה הנאשם גנב נשק זמין לשימוש מיידי "ממקום מרכזי, לאור יום" ותוך הפגנת תעוזה, ואף נשא אותו למקום עבודתו ובכך סיכן את חייו ואת חיי אחרים ויצר פוטנציאל לשימוש בנשק שלא כדין.</w:t>
      </w:r>
    </w:p>
    <w:p w14:paraId="677E7B21" w14:textId="77777777" w:rsidR="007A7D2A" w:rsidRDefault="007A7D2A" w:rsidP="007A7D2A">
      <w:pPr>
        <w:tabs>
          <w:tab w:val="left" w:pos="702"/>
        </w:tabs>
        <w:spacing w:after="240" w:line="360" w:lineRule="auto"/>
        <w:ind w:left="-7"/>
        <w:jc w:val="both"/>
        <w:rPr>
          <w:rFonts w:cs="FrankRuehl"/>
          <w:color w:val="000000"/>
          <w:sz w:val="28"/>
          <w:szCs w:val="28"/>
          <w:rtl/>
        </w:rPr>
      </w:pPr>
      <w:r>
        <w:rPr>
          <w:rFonts w:cs="FrankRuehl"/>
          <w:color w:val="000000"/>
          <w:sz w:val="28"/>
          <w:szCs w:val="28"/>
          <w:rtl/>
        </w:rPr>
        <w:lastRenderedPageBreak/>
        <w:tab/>
        <w:t xml:space="preserve">בנוגע לנסיבות שאינן קשורות לביצוע העבירה מפנה המאשימה לעברו הפלילי של הנאשם ולמדיניות הענישה המחמירה בעבירות נשק, ומנגד להודאתו ולחיסכון במשאבים שנבע ממנה. באיזון בין אלה סבורה כאמור המאשימה כי יש לגזור את עונשו של הנאשם באמצע המתחם, היינו להשית עליו 50 חודשי מאסר בפועל לצד מאסר על תנאי וקנס. </w:t>
      </w:r>
    </w:p>
    <w:p w14:paraId="7A4689E2" w14:textId="77777777" w:rsidR="007A7D2A" w:rsidRDefault="007A7D2A" w:rsidP="007A7D2A">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כמו כן עותרת המאשימה להורות כי עונש המאסר בפועל שיוטל על הנאשם ירוצה במצטבר לעונש מאסר בן תשעה חודשים שאותו הוא מרצה כעת, מכוח גזר דין שניתן בעניינו בהליך קודם.</w:t>
      </w:r>
    </w:p>
    <w:p w14:paraId="7F24AEB0"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הנאשם מצידו טוען כי מתחם העונש ההולם בעניינו עומד על בין 14 ל-36 חודשי מאסר, וכי העונש המתאים לו הוא בתחתיתו של המתחם, היינו 14 חודשי מאסר בפועל. </w:t>
      </w:r>
    </w:p>
    <w:p w14:paraId="3D4EA56D"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לטענת הנאשם, הערך המוגן בעבירת גניבת הנשק הוא הגנה על הרכוש, ואין להתייחס אליה באותה חומרה שבה מתייחסים ל"עבירות נשק". תמיכה לכך מוצא הנאשם בכך שהעבירה ממוקמת בפרק </w:t>
      </w:r>
      <w:hyperlink r:id="rId29" w:history="1">
        <w:r w:rsidR="003F12BD" w:rsidRPr="003F12BD">
          <w:rPr>
            <w:rFonts w:cs="FrankRuehl"/>
            <w:color w:val="0000FF"/>
            <w:sz w:val="28"/>
            <w:szCs w:val="28"/>
            <w:u w:val="single"/>
            <w:rtl/>
          </w:rPr>
          <w:t>חוק העונשין</w:t>
        </w:r>
      </w:hyperlink>
      <w:r>
        <w:rPr>
          <w:rFonts w:cs="FrankRuehl"/>
          <w:color w:val="000000"/>
          <w:sz w:val="28"/>
          <w:szCs w:val="28"/>
          <w:rtl/>
        </w:rPr>
        <w:t xml:space="preserve"> שעניינו "פגיעות ברכוש", ובכך שלא נקבע לה עונש המינימום הקבוע לעבירות הנשק האחרות. ממילא, לשיטת הנאשם, אין כל רלוונטיות לפסק הדין בעניין </w:t>
      </w:r>
      <w:r>
        <w:rPr>
          <w:rFonts w:cs="Miriam"/>
          <w:color w:val="000000"/>
          <w:rtl/>
        </w:rPr>
        <w:t xml:space="preserve">פלוני, </w:t>
      </w:r>
      <w:r>
        <w:rPr>
          <w:rFonts w:cs="FrankRuehl"/>
          <w:color w:val="000000"/>
          <w:sz w:val="28"/>
          <w:szCs w:val="28"/>
          <w:rtl/>
        </w:rPr>
        <w:t>המתייחס לעבירה של נשיאת נשק בעת נהיגה ברכב ברחבי הארץ על ידי מי שנכנס אליה שלא כדין. הנאשם גם מציין כי במסגרת הסדר הטיעון בין הצדדים נמחקה עבירת נשיאת הנשק שיוחסה לו בכתב האישום המקורי.</w:t>
      </w:r>
    </w:p>
    <w:p w14:paraId="0D2D1A72" w14:textId="77777777" w:rsidR="007A7D2A" w:rsidRDefault="007A7D2A" w:rsidP="007A7D2A">
      <w:pPr>
        <w:tabs>
          <w:tab w:val="left" w:pos="702"/>
        </w:tabs>
        <w:spacing w:after="240" w:line="360" w:lineRule="auto"/>
        <w:ind w:left="-7"/>
        <w:jc w:val="both"/>
        <w:rPr>
          <w:rFonts w:cs="FrankRuehl"/>
          <w:color w:val="000000"/>
          <w:sz w:val="28"/>
          <w:szCs w:val="28"/>
        </w:rPr>
      </w:pPr>
      <w:r>
        <w:rPr>
          <w:rFonts w:cs="FrankRuehl"/>
          <w:color w:val="000000"/>
          <w:sz w:val="28"/>
          <w:szCs w:val="28"/>
          <w:rtl/>
        </w:rPr>
        <w:tab/>
        <w:t xml:space="preserve">אשר לנסיבות הקשורות בביצוע העבירה הרי שהנאשם טוען כי לא נטען שהוא התפרץ לרכב בכוח, וכי הגניבה כולה לא הייתה מתוכננת שכן הוא חלף סמוך לרכב בעת שהיה לבדו בדרכו למקום עבודתו הסמוך. הנאשם טוען עוד כי גניבת האקדח ודאי שלא הייתה מתוכננת, שכן הוא לא ציפה למצוא ברכב אקדח כזה. הנאשם מטעים כי לא נגרם נזק מביצוע העבירה, משום שהאקדח הוחזק אצלו למשך כשעתיים בלבד וגם יתר הרכוש הגנוב הושב לבעליו, ולדבריו לולא נתפס אפשר שהיה מתחרט ומשיב את הנשק לידי משטרת ישראל. </w:t>
      </w:r>
    </w:p>
    <w:p w14:paraId="165C44B5" w14:textId="77777777" w:rsidR="007A7D2A" w:rsidRDefault="007A7D2A" w:rsidP="007A7D2A">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בנוגע לנסיבות שאינן קשורות לביצוע העבירה מפנה הנאשם לנסיבותיו האישיות, כמי שנפצע מירי על רקע סכסוך משפחתי, ובשל כך מתקשה בהבאת ילדים לעולם (ראו כתב האישום והכרעת הדין ב</w:t>
      </w:r>
      <w:hyperlink r:id="rId30" w:history="1">
        <w:r w:rsidR="003F12BD" w:rsidRPr="003F12BD">
          <w:rPr>
            <w:rFonts w:cs="FrankRuehl"/>
            <w:color w:val="0000FF"/>
            <w:sz w:val="28"/>
            <w:szCs w:val="28"/>
            <w:u w:val="single"/>
            <w:rtl/>
          </w:rPr>
          <w:t>ת"פ 40344-07-21</w:t>
        </w:r>
      </w:hyperlink>
      <w:r>
        <w:rPr>
          <w:rFonts w:cs="FrankRuehl"/>
          <w:color w:val="000000"/>
          <w:sz w:val="28"/>
          <w:szCs w:val="28"/>
          <w:rtl/>
        </w:rPr>
        <w:t xml:space="preserve"> שאליהם הפנה הנאשם, אשר מתייחסים לאירוע הירי ולהשלכותיו). כמו כן מציין הנאשם כי הוא אחד המפרנסים העיקריים של רעייתו ושל הוריו. הנאשם מדגיש כי לא התנגד למעצרו בעת שנתפס והודה במיוחס לו במסגרת הסדר הטיעון, וכן מציין כי הוא משמש כטבח של סגל בית המעצר באופן המלמד על האמון הניתן בו.</w:t>
      </w:r>
    </w:p>
    <w:p w14:paraId="6CC49D8E" w14:textId="77777777" w:rsidR="007A7D2A" w:rsidRDefault="007A7D2A" w:rsidP="007A7D2A">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מטעמים אלה עותר הנאשם כאמור להשית עליו עונש של 14 חודשי מאסר בפועל, ומוסיף ועותר להורות כי העונש ירוצה באופן חופף לעונש המאסר שהוא מרצה כעת.</w:t>
      </w:r>
    </w:p>
    <w:p w14:paraId="4DDD4D91" w14:textId="77777777" w:rsidR="007A7D2A" w:rsidRDefault="007A7D2A" w:rsidP="007A7D2A">
      <w:pPr>
        <w:keepNext/>
        <w:spacing w:after="240"/>
        <w:rPr>
          <w:rFonts w:cs="Miriam"/>
          <w:color w:val="000000"/>
          <w:rtl/>
        </w:rPr>
      </w:pPr>
      <w:r>
        <w:rPr>
          <w:rFonts w:cs="Miriam"/>
          <w:color w:val="000000"/>
          <w:rtl/>
        </w:rPr>
        <w:t>ד. דיון</w:t>
      </w:r>
    </w:p>
    <w:p w14:paraId="3DF58C9E" w14:textId="77777777" w:rsidR="007A7D2A" w:rsidRDefault="007A7D2A" w:rsidP="007A7D2A">
      <w:pPr>
        <w:tabs>
          <w:tab w:val="left" w:pos="702"/>
        </w:tabs>
        <w:spacing w:after="240"/>
        <w:ind w:left="-7"/>
        <w:rPr>
          <w:rFonts w:ascii="FrankRuehl" w:hAnsi="FrankRuehl" w:cs="FrankRuehl"/>
          <w:sz w:val="20"/>
          <w:szCs w:val="26"/>
        </w:rPr>
      </w:pPr>
      <w:r>
        <w:rPr>
          <w:rFonts w:ascii="FrankRuehl" w:hAnsi="FrankRuehl" w:cs="FrankRuehl"/>
          <w:color w:val="000000"/>
          <w:sz w:val="28"/>
          <w:szCs w:val="28"/>
          <w:rtl/>
        </w:rPr>
        <w:t xml:space="preserve">ד(1) </w:t>
      </w:r>
      <w:r>
        <w:rPr>
          <w:rFonts w:ascii="FrankRuehl" w:hAnsi="FrankRuehl" w:cs="FrankRuehl"/>
          <w:color w:val="000000"/>
          <w:sz w:val="28"/>
          <w:szCs w:val="28"/>
          <w:u w:val="single"/>
          <w:rtl/>
        </w:rPr>
        <w:t>גזירת הדין - כללי</w:t>
      </w:r>
    </w:p>
    <w:p w14:paraId="1020542E" w14:textId="77777777" w:rsidR="007A7D2A" w:rsidRDefault="00586130" w:rsidP="007A7D2A">
      <w:pPr>
        <w:numPr>
          <w:ilvl w:val="0"/>
          <w:numId w:val="1"/>
        </w:numPr>
        <w:tabs>
          <w:tab w:val="left" w:pos="702"/>
        </w:tabs>
        <w:spacing w:after="240" w:line="360" w:lineRule="auto"/>
        <w:ind w:left="-7" w:firstLine="0"/>
        <w:jc w:val="both"/>
        <w:rPr>
          <w:rFonts w:ascii="FrankRuehl" w:hAnsi="FrankRuehl" w:cs="FrankRuehl"/>
        </w:rPr>
      </w:pPr>
      <w:hyperlink r:id="rId31" w:history="1">
        <w:r w:rsidRPr="00586130">
          <w:rPr>
            <w:rStyle w:val="Hyperlink"/>
            <w:rFonts w:ascii="FrankRuehl" w:hAnsi="FrankRuehl" w:cs="FrankRuehl"/>
            <w:sz w:val="28"/>
            <w:szCs w:val="28"/>
            <w:rtl/>
          </w:rPr>
          <w:t>סעיף 40ב</w:t>
        </w:r>
      </w:hyperlink>
      <w:r w:rsidR="007A7D2A">
        <w:rPr>
          <w:rFonts w:ascii="FrankRuehl" w:hAnsi="FrankRuehl" w:cs="FrankRuehl"/>
          <w:color w:val="000000"/>
          <w:sz w:val="28"/>
          <w:szCs w:val="28"/>
          <w:rtl/>
        </w:rPr>
        <w:t xml:space="preserve"> ל</w:t>
      </w:r>
      <w:hyperlink r:id="rId32" w:history="1">
        <w:r w:rsidR="003F12BD" w:rsidRPr="003F12BD">
          <w:rPr>
            <w:rFonts w:ascii="FrankRuehl" w:hAnsi="FrankRuehl" w:cs="FrankRuehl"/>
            <w:color w:val="0000FF"/>
            <w:sz w:val="28"/>
            <w:szCs w:val="28"/>
            <w:u w:val="single"/>
            <w:rtl/>
          </w:rPr>
          <w:t>חוק העונשין</w:t>
        </w:r>
      </w:hyperlink>
      <w:r w:rsidR="007A7D2A">
        <w:rPr>
          <w:rFonts w:ascii="FrankRuehl" w:hAnsi="FrankRuehl" w:cs="FrankRuehl"/>
          <w:color w:val="000000"/>
          <w:sz w:val="28"/>
          <w:szCs w:val="28"/>
          <w:rtl/>
        </w:rPr>
        <w:t xml:space="preserve"> קובע כי "העיקרון המנחה בענישה הוא קיומו של יחס הולם בין חומרת מעשה העבירה בנסיבותיו ומידת אשמו של הנאשם ובין סוג ומידת העונש המוטל עליו". </w:t>
      </w:r>
      <w:hyperlink r:id="rId33" w:history="1">
        <w:r w:rsidRPr="00586130">
          <w:rPr>
            <w:rStyle w:val="Hyperlink"/>
            <w:rFonts w:ascii="FrankRuehl" w:hAnsi="FrankRuehl" w:cs="FrankRuehl"/>
            <w:sz w:val="28"/>
            <w:szCs w:val="28"/>
            <w:rtl/>
          </w:rPr>
          <w:t>סעיף 40ג(א)</w:t>
        </w:r>
      </w:hyperlink>
      <w:r w:rsidR="007A7D2A">
        <w:rPr>
          <w:rFonts w:ascii="FrankRuehl" w:hAnsi="FrankRuehl" w:cs="FrankRuehl"/>
          <w:color w:val="000000"/>
          <w:sz w:val="28"/>
          <w:szCs w:val="28"/>
          <w:rtl/>
        </w:rPr>
        <w:t xml:space="preserve"> מורה כי בהתאם לעקרון ההלימה יש לקבוע "מתחם עונש הולם", וזאת תוך התחשבות "בערך החברתי שנפגע מביצוע העבירה, במידת הפגיעה בו, במדיניות הענישה הנהוגה ובנסיבות הקשורות בביצוע העבירה". חלק מהנסיבות הקשורות בביצוע העבירה מנויות </w:t>
      </w:r>
      <w:hyperlink r:id="rId34" w:history="1">
        <w:r w:rsidRPr="00586130">
          <w:rPr>
            <w:rStyle w:val="Hyperlink"/>
            <w:rFonts w:ascii="FrankRuehl" w:hAnsi="FrankRuehl" w:cs="FrankRuehl"/>
            <w:sz w:val="28"/>
            <w:szCs w:val="28"/>
            <w:rtl/>
          </w:rPr>
          <w:t>בסעיף 40ט</w:t>
        </w:r>
      </w:hyperlink>
      <w:r w:rsidR="007A7D2A">
        <w:rPr>
          <w:rFonts w:ascii="FrankRuehl" w:hAnsi="FrankRuehl" w:cs="FrankRuehl"/>
          <w:color w:val="000000"/>
          <w:sz w:val="28"/>
          <w:szCs w:val="28"/>
          <w:rtl/>
        </w:rPr>
        <w:t xml:space="preserve"> לחוק, ובכללן מידת התכנון שקדם לביצוע העבירה, חלקו היחסי של הנאשם, מידת הנזק שנגרמה או שהייתה צפויה להיגרם מהעבירה, הנסיבות שהביאו את הנאשם לביצוע העבירה, ועוד (וראו </w:t>
      </w:r>
      <w:hyperlink r:id="rId35" w:history="1">
        <w:r w:rsidRPr="00586130">
          <w:rPr>
            <w:rStyle w:val="Hyperlink"/>
            <w:rFonts w:ascii="FrankRuehl" w:hAnsi="FrankRuehl" w:cs="FrankRuehl"/>
            <w:sz w:val="28"/>
            <w:szCs w:val="28"/>
            <w:rtl/>
          </w:rPr>
          <w:t>סעיף 40יב</w:t>
        </w:r>
      </w:hyperlink>
      <w:r w:rsidR="007A7D2A">
        <w:rPr>
          <w:rFonts w:ascii="FrankRuehl" w:hAnsi="FrankRuehl" w:cs="FrankRuehl"/>
          <w:color w:val="000000"/>
          <w:sz w:val="28"/>
          <w:szCs w:val="28"/>
          <w:rtl/>
        </w:rPr>
        <w:t xml:space="preserve"> הקובע כי ניתן לשקול גם נסיבות אחרות שאינן מנויות </w:t>
      </w:r>
      <w:hyperlink r:id="rId36" w:history="1">
        <w:r w:rsidRPr="00586130">
          <w:rPr>
            <w:rStyle w:val="Hyperlink"/>
            <w:rFonts w:ascii="FrankRuehl" w:hAnsi="FrankRuehl" w:cs="FrankRuehl"/>
            <w:sz w:val="28"/>
            <w:szCs w:val="28"/>
            <w:rtl/>
          </w:rPr>
          <w:t>בסעיף 40ט).</w:t>
        </w:r>
      </w:hyperlink>
    </w:p>
    <w:p w14:paraId="434A26D4" w14:textId="77777777" w:rsidR="007A7D2A" w:rsidRDefault="007A7D2A" w:rsidP="007A7D2A">
      <w:pPr>
        <w:numPr>
          <w:ilvl w:val="0"/>
          <w:numId w:val="1"/>
        </w:numPr>
        <w:tabs>
          <w:tab w:val="left" w:pos="702"/>
        </w:tabs>
        <w:spacing w:after="240" w:line="360" w:lineRule="auto"/>
        <w:ind w:left="-7" w:firstLine="0"/>
        <w:jc w:val="both"/>
        <w:rPr>
          <w:rFonts w:ascii="FrankRuehl" w:hAnsi="FrankRuehl" w:cs="FrankRuehl"/>
        </w:rPr>
      </w:pPr>
      <w:r>
        <w:rPr>
          <w:rFonts w:ascii="FrankRuehl" w:hAnsi="FrankRuehl" w:cs="FrankRuehl"/>
          <w:color w:val="000000"/>
          <w:sz w:val="28"/>
          <w:szCs w:val="28"/>
          <w:rtl/>
        </w:rPr>
        <w:t>לאחר קביעת מתחם העונש ההולם, יש לגזור את העונש המתאים לנאשם, וזאת תוך התחשבות בנסיבות שאינן קשורות בביצוע העבירה (</w:t>
      </w:r>
      <w:hyperlink r:id="rId37" w:history="1">
        <w:r w:rsidR="00586130" w:rsidRPr="00586130">
          <w:rPr>
            <w:rStyle w:val="Hyperlink"/>
            <w:rFonts w:ascii="FrankRuehl" w:hAnsi="FrankRuehl" w:cs="FrankRuehl"/>
            <w:sz w:val="28"/>
            <w:szCs w:val="28"/>
            <w:rtl/>
          </w:rPr>
          <w:t>סעיף 40ג(ב)</w:t>
        </w:r>
      </w:hyperlink>
      <w:r>
        <w:rPr>
          <w:rFonts w:ascii="FrankRuehl" w:hAnsi="FrankRuehl" w:cs="FrankRuehl"/>
          <w:color w:val="000000"/>
          <w:sz w:val="28"/>
          <w:szCs w:val="28"/>
          <w:rtl/>
        </w:rPr>
        <w:t xml:space="preserve"> לחוק). נסיבות כאלה מפורטות </w:t>
      </w:r>
      <w:hyperlink r:id="rId38" w:history="1">
        <w:r w:rsidR="00586130" w:rsidRPr="00586130">
          <w:rPr>
            <w:rStyle w:val="Hyperlink"/>
            <w:rFonts w:ascii="FrankRuehl" w:hAnsi="FrankRuehl" w:cs="FrankRuehl"/>
            <w:sz w:val="28"/>
            <w:szCs w:val="28"/>
            <w:rtl/>
          </w:rPr>
          <w:t>בסעיף 40יא</w:t>
        </w:r>
      </w:hyperlink>
      <w:r>
        <w:rPr>
          <w:rFonts w:ascii="FrankRuehl" w:hAnsi="FrankRuehl" w:cs="FrankRuehl"/>
          <w:color w:val="000000"/>
          <w:sz w:val="28"/>
          <w:szCs w:val="28"/>
          <w:rtl/>
        </w:rPr>
        <w:t xml:space="preserve"> לחוק, וכוללות בין היתר את השלכת העונש על הנאשם ועל משפחתו, הנזקים שנגרמו לו מהעבירה ומהרשעתו, שאלת נטילת אחריותו על מעשיו ומאמציו להשתקם, מאמציו לתקן את תוצאות העבירה, שיתוף הפעולה של הנאשם עם רשויות החוק, התנהגות חיובית כללית ותרומה לחברה, נסיבות חיים קשות, חלוף הזמן, ועברו הפלילי של הנאשם (וראו </w:t>
      </w:r>
      <w:hyperlink r:id="rId39" w:history="1">
        <w:r w:rsidR="00586130" w:rsidRPr="00586130">
          <w:rPr>
            <w:rStyle w:val="Hyperlink"/>
            <w:rFonts w:ascii="FrankRuehl" w:hAnsi="FrankRuehl" w:cs="FrankRuehl"/>
            <w:sz w:val="28"/>
            <w:szCs w:val="28"/>
            <w:rtl/>
          </w:rPr>
          <w:t>סעיף 40יב</w:t>
        </w:r>
      </w:hyperlink>
      <w:r>
        <w:rPr>
          <w:rFonts w:ascii="FrankRuehl" w:hAnsi="FrankRuehl" w:cs="FrankRuehl"/>
          <w:color w:val="000000"/>
          <w:sz w:val="28"/>
          <w:szCs w:val="28"/>
          <w:rtl/>
        </w:rPr>
        <w:t xml:space="preserve"> הקובע כי הרשימה המנויה </w:t>
      </w:r>
      <w:hyperlink r:id="rId40" w:history="1">
        <w:r w:rsidR="00586130" w:rsidRPr="00586130">
          <w:rPr>
            <w:rStyle w:val="Hyperlink"/>
            <w:rFonts w:ascii="FrankRuehl" w:hAnsi="FrankRuehl" w:cs="FrankRuehl"/>
            <w:sz w:val="28"/>
            <w:szCs w:val="28"/>
            <w:rtl/>
          </w:rPr>
          <w:t>בסעיף 40ט</w:t>
        </w:r>
      </w:hyperlink>
      <w:r>
        <w:rPr>
          <w:rFonts w:ascii="FrankRuehl" w:hAnsi="FrankRuehl" w:cs="FrankRuehl"/>
          <w:color w:val="000000"/>
          <w:sz w:val="28"/>
          <w:szCs w:val="28"/>
          <w:rtl/>
        </w:rPr>
        <w:t xml:space="preserve"> אינה סגורה וניתן לשקול גם נסיבות אחרות). כמו כן ניתן להתחשב בצורך להרתיע את הנאשם ולהרתיע את הרבים (</w:t>
      </w:r>
      <w:hyperlink r:id="rId41" w:history="1">
        <w:r w:rsidR="00586130" w:rsidRPr="00586130">
          <w:rPr>
            <w:rStyle w:val="Hyperlink"/>
            <w:rFonts w:ascii="FrankRuehl" w:hAnsi="FrankRuehl" w:cs="FrankRuehl"/>
            <w:sz w:val="28"/>
            <w:szCs w:val="28"/>
            <w:rtl/>
          </w:rPr>
          <w:t>סעיפים 40ו-40ז</w:t>
        </w:r>
      </w:hyperlink>
      <w:r>
        <w:rPr>
          <w:rFonts w:ascii="FrankRuehl" w:hAnsi="FrankRuehl" w:cs="FrankRuehl"/>
          <w:color w:val="000000"/>
          <w:sz w:val="28"/>
          <w:szCs w:val="28"/>
          <w:rtl/>
        </w:rPr>
        <w:t xml:space="preserve"> לחוק).</w:t>
      </w:r>
    </w:p>
    <w:p w14:paraId="0EC05CC0" w14:textId="77777777" w:rsidR="007A7D2A" w:rsidRDefault="007A7D2A" w:rsidP="007A7D2A">
      <w:pPr>
        <w:numPr>
          <w:ilvl w:val="0"/>
          <w:numId w:val="1"/>
        </w:numPr>
        <w:tabs>
          <w:tab w:val="left" w:pos="702"/>
        </w:tabs>
        <w:spacing w:after="240" w:line="360" w:lineRule="auto"/>
        <w:ind w:left="-7" w:firstLine="0"/>
        <w:jc w:val="both"/>
        <w:rPr>
          <w:rFonts w:ascii="FrankRuehl" w:hAnsi="FrankRuehl" w:cs="FrankRuehl"/>
          <w:color w:val="000000"/>
          <w:sz w:val="28"/>
          <w:szCs w:val="28"/>
        </w:rPr>
      </w:pPr>
      <w:r>
        <w:rPr>
          <w:rFonts w:ascii="FrankRuehl" w:hAnsi="FrankRuehl" w:cs="FrankRuehl"/>
          <w:color w:val="000000"/>
          <w:sz w:val="28"/>
          <w:szCs w:val="28"/>
          <w:rtl/>
        </w:rPr>
        <w:t xml:space="preserve">ככלל, העונש שייגזר על הנאשם יהיה בתוך המתחם שנקבע, אולם בית המשפט מוסמך לחרוג ממנו לקולא משיקולי שיקום או לחומרא משיקולי הגנה על שלום הציבור, בתנאים שפורטו בחוק (ראו </w:t>
      </w:r>
      <w:hyperlink r:id="rId42" w:history="1">
        <w:r w:rsidR="00586130" w:rsidRPr="00586130">
          <w:rPr>
            <w:rStyle w:val="Hyperlink"/>
            <w:rFonts w:ascii="FrankRuehl" w:hAnsi="FrankRuehl" w:cs="FrankRuehl"/>
            <w:sz w:val="28"/>
            <w:szCs w:val="28"/>
            <w:rtl/>
          </w:rPr>
          <w:t>סעיפים 40ד</w:t>
        </w:r>
      </w:hyperlink>
      <w:r>
        <w:rPr>
          <w:rFonts w:ascii="FrankRuehl" w:hAnsi="FrankRuehl" w:cs="FrankRuehl"/>
          <w:color w:val="000000"/>
          <w:sz w:val="28"/>
          <w:szCs w:val="28"/>
          <w:rtl/>
        </w:rPr>
        <w:t xml:space="preserve"> וכן </w:t>
      </w:r>
      <w:hyperlink r:id="rId43" w:history="1">
        <w:r w:rsidR="00586130" w:rsidRPr="00586130">
          <w:rPr>
            <w:rStyle w:val="Hyperlink"/>
            <w:rFonts w:ascii="FrankRuehl" w:hAnsi="FrankRuehl" w:cs="FrankRuehl"/>
            <w:sz w:val="28"/>
            <w:szCs w:val="28"/>
            <w:rtl/>
          </w:rPr>
          <w:t>40ה</w:t>
        </w:r>
      </w:hyperlink>
      <w:r>
        <w:rPr>
          <w:rFonts w:ascii="FrankRuehl" w:hAnsi="FrankRuehl" w:cs="FrankRuehl"/>
          <w:color w:val="000000"/>
          <w:sz w:val="28"/>
          <w:szCs w:val="28"/>
          <w:rtl/>
        </w:rPr>
        <w:t xml:space="preserve"> לחוק).</w:t>
      </w:r>
    </w:p>
    <w:p w14:paraId="04B2DB0A" w14:textId="77777777" w:rsidR="007A7D2A" w:rsidRDefault="007A7D2A" w:rsidP="007A7D2A">
      <w:pPr>
        <w:numPr>
          <w:ilvl w:val="0"/>
          <w:numId w:val="1"/>
        </w:numPr>
        <w:tabs>
          <w:tab w:val="left" w:pos="702"/>
        </w:tabs>
        <w:spacing w:after="240" w:line="360" w:lineRule="auto"/>
        <w:ind w:left="-7" w:firstLine="0"/>
        <w:jc w:val="both"/>
        <w:rPr>
          <w:rFonts w:ascii="FrankRuehl" w:hAnsi="FrankRuehl" w:cs="FrankRuehl"/>
          <w:color w:val="000000"/>
          <w:sz w:val="28"/>
          <w:szCs w:val="28"/>
        </w:rPr>
      </w:pPr>
      <w:r>
        <w:rPr>
          <w:rFonts w:ascii="FrankRuehl" w:hAnsi="FrankRuehl" w:cs="FrankRuehl"/>
          <w:color w:val="000000"/>
          <w:sz w:val="28"/>
          <w:szCs w:val="28"/>
          <w:rtl/>
        </w:rPr>
        <w:t xml:space="preserve">כאשר נאשם מורשע במספר עבירות, קובע </w:t>
      </w:r>
      <w:hyperlink r:id="rId44" w:history="1">
        <w:r w:rsidR="00586130" w:rsidRPr="00586130">
          <w:rPr>
            <w:rStyle w:val="Hyperlink"/>
            <w:rFonts w:ascii="FrankRuehl" w:hAnsi="FrankRuehl" w:cs="FrankRuehl"/>
            <w:sz w:val="28"/>
            <w:szCs w:val="28"/>
            <w:rtl/>
          </w:rPr>
          <w:t>סעיף 40יג</w:t>
        </w:r>
      </w:hyperlink>
      <w:r>
        <w:rPr>
          <w:rFonts w:ascii="FrankRuehl" w:hAnsi="FrankRuehl" w:cs="FrankRuehl"/>
          <w:color w:val="000000"/>
          <w:sz w:val="28"/>
          <w:szCs w:val="28"/>
          <w:rtl/>
        </w:rPr>
        <w:t xml:space="preserve"> לחוק כי יש להבחין בין מצב שבו העבירות מהוות "אירוע אחד", שאז ייקבע המתחם וייגזר העונש ביחס לאירוע ולעבירות כמכלול, ובין מצב שבו העבירות מהוות "אירועים נפרדים", שאז יש לקבוע מתחם ביחס לכל אירוע בפני עצמו ולפעול כאמור בסעיף. במקרה שכאן לא הייתה מחלוקת כי מדובר ב"אירוע אחד", ובצדק לטעמי (למבחנים בעניין זה ראו </w:t>
      </w:r>
      <w:hyperlink r:id="rId45" w:history="1">
        <w:r w:rsidR="003F12BD" w:rsidRPr="003F12BD">
          <w:rPr>
            <w:rFonts w:ascii="FrankRuehl" w:hAnsi="FrankRuehl" w:cs="FrankRuehl"/>
            <w:color w:val="0000FF"/>
            <w:sz w:val="28"/>
            <w:szCs w:val="28"/>
            <w:u w:val="single"/>
            <w:rtl/>
          </w:rPr>
          <w:t>ע"פ 4910/13</w:t>
        </w:r>
      </w:hyperlink>
      <w:r>
        <w:rPr>
          <w:rFonts w:ascii="FrankRuehl" w:hAnsi="FrankRuehl" w:cs="FrankRuehl"/>
          <w:color w:val="000000"/>
          <w:sz w:val="28"/>
          <w:szCs w:val="28"/>
          <w:rtl/>
        </w:rPr>
        <w:t xml:space="preserve"> </w:t>
      </w:r>
      <w:r>
        <w:rPr>
          <w:rFonts w:cs="Miriam"/>
          <w:color w:val="000000"/>
          <w:rtl/>
        </w:rPr>
        <w:t>ג'אבר נ' מדינת ישראל</w:t>
      </w:r>
      <w:r>
        <w:rPr>
          <w:rFonts w:ascii="FrankRuehl" w:hAnsi="FrankRuehl" w:cs="FrankRuehl"/>
          <w:color w:val="000000"/>
          <w:sz w:val="28"/>
          <w:szCs w:val="28"/>
          <w:rtl/>
        </w:rPr>
        <w:t xml:space="preserve"> (29.10.2014)).</w:t>
      </w:r>
    </w:p>
    <w:p w14:paraId="5C89C554" w14:textId="77777777" w:rsidR="007A7D2A" w:rsidRDefault="007A7D2A" w:rsidP="007A7D2A">
      <w:pPr>
        <w:tabs>
          <w:tab w:val="left" w:pos="702"/>
        </w:tabs>
        <w:spacing w:after="240"/>
        <w:ind w:left="-7"/>
        <w:rPr>
          <w:rFonts w:cs="FrankRuehl"/>
          <w:color w:val="000000"/>
          <w:sz w:val="28"/>
          <w:szCs w:val="28"/>
        </w:rPr>
      </w:pPr>
      <w:r>
        <w:rPr>
          <w:rFonts w:cs="FrankRuehl"/>
          <w:color w:val="000000"/>
          <w:sz w:val="28"/>
          <w:szCs w:val="28"/>
          <w:rtl/>
        </w:rPr>
        <w:t xml:space="preserve">ד(2) </w:t>
      </w:r>
      <w:r>
        <w:rPr>
          <w:rFonts w:cs="FrankRuehl"/>
          <w:color w:val="000000"/>
          <w:sz w:val="28"/>
          <w:szCs w:val="28"/>
          <w:u w:val="single"/>
          <w:rtl/>
        </w:rPr>
        <w:t>מתחם העונש ההולם למעשי הנאשם</w:t>
      </w:r>
    </w:p>
    <w:p w14:paraId="2C641849"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השיקולים הרלוונטיים לקביעת מתחם העונש ההולם הם כאמור </w:t>
      </w:r>
      <w:r>
        <w:rPr>
          <w:rFonts w:ascii="FrankRuehl" w:hAnsi="FrankRuehl" w:cs="FrankRuehl"/>
          <w:color w:val="000000"/>
          <w:sz w:val="28"/>
          <w:szCs w:val="28"/>
          <w:rtl/>
        </w:rPr>
        <w:t>הערך החברתי שנפגע מביצוע העבירה, מידת הפגיעה בו, מדיניות הענישה הנהוגה, ונסיבות הקשורות בביצוע העבירה. אתייחס לשיקולים אלה</w:t>
      </w:r>
      <w:r>
        <w:rPr>
          <w:rFonts w:cs="FrankRuehl"/>
          <w:color w:val="000000"/>
          <w:sz w:val="28"/>
          <w:szCs w:val="28"/>
          <w:rtl/>
        </w:rPr>
        <w:t>.</w:t>
      </w:r>
    </w:p>
    <w:p w14:paraId="17046A29" w14:textId="77777777" w:rsidR="007A7D2A" w:rsidRDefault="007A7D2A" w:rsidP="007A7D2A">
      <w:pPr>
        <w:keepNext/>
        <w:tabs>
          <w:tab w:val="left" w:pos="702"/>
        </w:tabs>
        <w:spacing w:after="240"/>
        <w:ind w:left="-6"/>
        <w:rPr>
          <w:rFonts w:cs="FrankRuehl"/>
          <w:color w:val="000000"/>
          <w:sz w:val="28"/>
          <w:szCs w:val="28"/>
        </w:rPr>
      </w:pPr>
      <w:r>
        <w:rPr>
          <w:rFonts w:cs="FrankRuehl"/>
          <w:i/>
          <w:iCs/>
          <w:color w:val="000000"/>
          <w:sz w:val="28"/>
          <w:szCs w:val="28"/>
          <w:rtl/>
        </w:rPr>
        <w:t>ד(2)(1) הערכים החברתיים שנפגעו ומידת הפגיעה בהם</w:t>
      </w:r>
    </w:p>
    <w:p w14:paraId="1F695EDE"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העבירה של גניבת נשק חוקקה בשנת 2018, ונקבע כי העונש המרבי בעטיה הוא עשר שנות מאסר. עונש זה חמור ממשית מהעונש בגין עבירת הגניבה בצורתה הרגילה, העומד על שלוש שנים.</w:t>
      </w:r>
    </w:p>
    <w:p w14:paraId="2869386D"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Pr>
      </w:pPr>
      <w:bookmarkStart w:id="8" w:name="_Ref121307362"/>
      <w:r>
        <w:rPr>
          <w:rFonts w:cs="FrankRuehl"/>
          <w:color w:val="000000"/>
          <w:sz w:val="28"/>
          <w:szCs w:val="28"/>
          <w:rtl/>
        </w:rPr>
        <w:t xml:space="preserve">בדברי ההסבר להצעת החוק פורטו תכליות התיקון, וצוין כי מטרתו היא לייתר את הצורך לכלול בכתב אישום בגין מעשי גניבת נשק גם עבירה של גניבה וגם עבירה של החזקת או נשיאת נשק, כפי שהיה נהוג לעשות. לשם כך נקבעה עבירה אחת, אשר נועדה להגן הן על הערכים שביסוד עבירת הגניבה הן על אלה שביסוד עבירות החזקת או נשיאת הנשק, תוך קביעת עונש מרבי מתאים (ראו הצעת </w:t>
      </w:r>
      <w:r w:rsidR="003F12BD" w:rsidRPr="00586130">
        <w:rPr>
          <w:rFonts w:cs="FrankRuehl"/>
          <w:sz w:val="28"/>
          <w:szCs w:val="28"/>
          <w:rtl/>
        </w:rPr>
        <w:t>חוק העונשין</w:t>
      </w:r>
      <w:r>
        <w:rPr>
          <w:rFonts w:cs="FrankRuehl"/>
          <w:color w:val="000000"/>
          <w:sz w:val="28"/>
          <w:szCs w:val="28"/>
          <w:rtl/>
        </w:rPr>
        <w:t xml:space="preserve"> (תיקון מס' 135) (גניבת נשק) התשע"ט-2018, ה"ח הכנסת 16).</w:t>
      </w:r>
      <w:bookmarkEnd w:id="8"/>
    </w:p>
    <w:p w14:paraId="67A675E7"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Pr>
      </w:pPr>
      <w:bookmarkStart w:id="9" w:name="_Ref121302769"/>
      <w:r>
        <w:rPr>
          <w:rFonts w:cs="FrankRuehl"/>
          <w:color w:val="000000"/>
          <w:sz w:val="28"/>
          <w:szCs w:val="28"/>
          <w:rtl/>
        </w:rPr>
        <w:t xml:space="preserve">המשמעות היא שבניגוד לטענת הנאשם, הערכים המוגנים שביסוד עבירת גניבת הנשק הם אכן הן הערכים המוגנים בעבירות כגון נשיאה או החזקה של נשק, הן הערכים המוגנים בעבירות גניבה אחרות (ראו גם </w:t>
      </w:r>
      <w:hyperlink r:id="rId46" w:history="1">
        <w:r w:rsidR="003F12BD" w:rsidRPr="003F12BD">
          <w:rPr>
            <w:rFonts w:cs="FrankRuehl"/>
            <w:color w:val="0000FF"/>
            <w:sz w:val="28"/>
            <w:szCs w:val="28"/>
            <w:u w:val="single"/>
            <w:rtl/>
          </w:rPr>
          <w:t>ת"פ (מחוזי י-ם) 38340-03-19</w:t>
        </w:r>
      </w:hyperlink>
      <w:r>
        <w:rPr>
          <w:rFonts w:cs="FrankRuehl"/>
          <w:color w:val="000000"/>
          <w:sz w:val="28"/>
          <w:szCs w:val="28"/>
          <w:rtl/>
        </w:rPr>
        <w:t xml:space="preserve"> </w:t>
      </w:r>
      <w:r>
        <w:rPr>
          <w:rFonts w:cs="Miriam"/>
          <w:color w:val="000000"/>
          <w:rtl/>
        </w:rPr>
        <w:t>מדינת ישראל נ' ג'ית</w:t>
      </w:r>
      <w:r>
        <w:rPr>
          <w:rFonts w:cs="FrankRuehl"/>
          <w:color w:val="000000"/>
          <w:sz w:val="28"/>
          <w:szCs w:val="28"/>
          <w:rtl/>
        </w:rPr>
        <w:t>, פיסקה 6 (20.11.2019)).</w:t>
      </w:r>
      <w:r>
        <w:rPr>
          <w:rStyle w:val="ac"/>
          <w:rFonts w:cs="FrankRuehl"/>
          <w:color w:val="000000"/>
          <w:sz w:val="28"/>
          <w:szCs w:val="28"/>
          <w:rtl/>
        </w:rPr>
        <w:footnoteReference w:id="1"/>
      </w:r>
      <w:r>
        <w:rPr>
          <w:rFonts w:cs="FrankRuehl"/>
          <w:color w:val="000000"/>
          <w:sz w:val="28"/>
          <w:szCs w:val="28"/>
          <w:rtl/>
        </w:rPr>
        <w:t xml:space="preserve"> מה הם ערכים אלה?</w:t>
      </w:r>
      <w:bookmarkEnd w:id="9"/>
    </w:p>
    <w:p w14:paraId="7806039E" w14:textId="77777777" w:rsidR="007A7D2A" w:rsidRDefault="007A7D2A" w:rsidP="007A7D2A">
      <w:pPr>
        <w:tabs>
          <w:tab w:val="left" w:pos="702"/>
        </w:tabs>
        <w:spacing w:after="240" w:line="360" w:lineRule="auto"/>
        <w:ind w:left="-7"/>
        <w:jc w:val="both"/>
        <w:rPr>
          <w:rFonts w:cs="FrankRuehl"/>
          <w:color w:val="000000"/>
          <w:sz w:val="28"/>
          <w:szCs w:val="28"/>
        </w:rPr>
      </w:pPr>
      <w:r>
        <w:rPr>
          <w:rFonts w:cs="FrankRuehl"/>
          <w:color w:val="000000"/>
          <w:sz w:val="28"/>
          <w:szCs w:val="28"/>
          <w:rtl/>
        </w:rPr>
        <w:tab/>
        <w:t>הערכים המוגנים בעבירות הנשק הם "שמירה על חיי אדם ועל שלמות גופו, וכן שמירה על סדרי חיים תקינים ושלווים..." (</w:t>
      </w:r>
      <w:hyperlink r:id="rId47" w:history="1">
        <w:r w:rsidR="003F12BD" w:rsidRPr="003F12BD">
          <w:rPr>
            <w:rFonts w:cs="FrankRuehl"/>
            <w:color w:val="0000FF"/>
            <w:sz w:val="28"/>
            <w:szCs w:val="28"/>
            <w:u w:val="single"/>
            <w:rtl/>
          </w:rPr>
          <w:t>ע"פ 147/21</w:t>
        </w:r>
      </w:hyperlink>
      <w:r>
        <w:rPr>
          <w:rFonts w:cs="FrankRuehl"/>
          <w:color w:val="000000"/>
          <w:sz w:val="28"/>
          <w:szCs w:val="28"/>
          <w:rtl/>
        </w:rPr>
        <w:t xml:space="preserve"> </w:t>
      </w:r>
      <w:r>
        <w:rPr>
          <w:rFonts w:cs="Miriam"/>
          <w:color w:val="000000"/>
          <w:rtl/>
        </w:rPr>
        <w:t>מדינת ישראל נ' ביטון</w:t>
      </w:r>
      <w:r>
        <w:rPr>
          <w:rFonts w:cs="FrankRuehl"/>
          <w:color w:val="000000"/>
          <w:sz w:val="28"/>
          <w:szCs w:val="28"/>
          <w:rtl/>
        </w:rPr>
        <w:t xml:space="preserve">, פיסקה 7 (14.2.2021); ראו גם </w:t>
      </w:r>
      <w:hyperlink r:id="rId48" w:history="1">
        <w:r w:rsidR="003F12BD" w:rsidRPr="003F12BD">
          <w:rPr>
            <w:rFonts w:cs="FrankRuehl"/>
            <w:color w:val="0000FF"/>
            <w:sz w:val="28"/>
            <w:szCs w:val="28"/>
            <w:u w:val="single"/>
            <w:rtl/>
          </w:rPr>
          <w:t>ע"פ 309/22</w:t>
        </w:r>
      </w:hyperlink>
      <w:r>
        <w:rPr>
          <w:rFonts w:cs="FrankRuehl"/>
          <w:color w:val="000000"/>
          <w:sz w:val="28"/>
          <w:szCs w:val="28"/>
          <w:rtl/>
        </w:rPr>
        <w:t xml:space="preserve"> </w:t>
      </w:r>
      <w:r>
        <w:rPr>
          <w:rFonts w:cs="Miriam"/>
          <w:color w:val="000000"/>
          <w:rtl/>
        </w:rPr>
        <w:t>מדינת ישראל נ' ביאדסה</w:t>
      </w:r>
      <w:r>
        <w:rPr>
          <w:rFonts w:cs="FrankRuehl"/>
          <w:color w:val="000000"/>
          <w:sz w:val="28"/>
          <w:szCs w:val="28"/>
          <w:rtl/>
        </w:rPr>
        <w:t xml:space="preserve">, פיסקה 6 (10.5.2022); </w:t>
      </w:r>
      <w:hyperlink r:id="rId49" w:history="1">
        <w:r w:rsidR="003F12BD" w:rsidRPr="003F12BD">
          <w:rPr>
            <w:rFonts w:cs="FrankRuehl"/>
            <w:color w:val="0000FF"/>
            <w:sz w:val="28"/>
            <w:szCs w:val="28"/>
            <w:u w:val="single"/>
            <w:rtl/>
          </w:rPr>
          <w:t>ע"פ 4103/22</w:t>
        </w:r>
      </w:hyperlink>
      <w:r>
        <w:rPr>
          <w:rFonts w:cs="FrankRuehl"/>
          <w:color w:val="000000"/>
          <w:sz w:val="28"/>
          <w:szCs w:val="28"/>
          <w:rtl/>
        </w:rPr>
        <w:t xml:space="preserve"> </w:t>
      </w:r>
      <w:r>
        <w:rPr>
          <w:rFonts w:cs="Miriam"/>
          <w:color w:val="000000"/>
          <w:rtl/>
        </w:rPr>
        <w:t>מדינת ישראל נ' אמון</w:t>
      </w:r>
      <w:r>
        <w:rPr>
          <w:rFonts w:cs="FrankRuehl"/>
          <w:color w:val="000000"/>
          <w:sz w:val="28"/>
          <w:szCs w:val="28"/>
          <w:rtl/>
        </w:rPr>
        <w:t>, פיסקה 9 (6.11.2022)). בשל חומרת הסכנה הנשקפת מנשק, הוטלו עונשים חמורים גם על החזקתו או נשיאתו שלא כדין "בלבד", בלא שנעשה בו שימוש (</w:t>
      </w:r>
      <w:hyperlink r:id="rId50" w:history="1">
        <w:r w:rsidR="003F12BD" w:rsidRPr="003F12BD">
          <w:rPr>
            <w:rFonts w:cs="FrankRuehl"/>
            <w:color w:val="0000FF"/>
            <w:sz w:val="28"/>
            <w:szCs w:val="28"/>
            <w:u w:val="single"/>
            <w:rtl/>
          </w:rPr>
          <w:t>ע"פ 147/21</w:t>
        </w:r>
      </w:hyperlink>
      <w:r>
        <w:rPr>
          <w:rFonts w:cs="FrankRuehl"/>
          <w:color w:val="000000"/>
          <w:sz w:val="28"/>
          <w:szCs w:val="28"/>
          <w:rtl/>
        </w:rPr>
        <w:t xml:space="preserve"> הנזכר, </w:t>
      </w:r>
      <w:r>
        <w:rPr>
          <w:rFonts w:cs="Miriam"/>
          <w:color w:val="000000"/>
          <w:rtl/>
        </w:rPr>
        <w:t>שם</w:t>
      </w:r>
      <w:r>
        <w:rPr>
          <w:rFonts w:cs="FrankRuehl"/>
          <w:color w:val="000000"/>
          <w:sz w:val="28"/>
          <w:szCs w:val="28"/>
          <w:rtl/>
        </w:rPr>
        <w:t>).</w:t>
      </w:r>
    </w:p>
    <w:p w14:paraId="19C5C966" w14:textId="77777777" w:rsidR="007A7D2A" w:rsidRDefault="007A7D2A" w:rsidP="007A7D2A">
      <w:pPr>
        <w:tabs>
          <w:tab w:val="left" w:pos="702"/>
        </w:tabs>
        <w:spacing w:after="240" w:line="360" w:lineRule="auto"/>
        <w:ind w:left="-7"/>
        <w:jc w:val="both"/>
        <w:rPr>
          <w:rFonts w:cs="FrankRuehl"/>
          <w:color w:val="000000"/>
          <w:sz w:val="28"/>
          <w:szCs w:val="28"/>
        </w:rPr>
      </w:pPr>
      <w:r>
        <w:rPr>
          <w:rFonts w:cs="FrankRuehl"/>
          <w:color w:val="000000"/>
          <w:sz w:val="28"/>
          <w:szCs w:val="28"/>
          <w:rtl/>
        </w:rPr>
        <w:tab/>
        <w:t xml:space="preserve">הערכים המוגנים בעבירת הגניבה בכלל, וגניבה מרכב בפרט, הם זכות הקניין, הזכות לפרטיות, תחושת הביטחון האישי, וכן בטחון הציבור ושלומו (ראו והשוו: </w:t>
      </w:r>
      <w:hyperlink r:id="rId51" w:history="1">
        <w:r w:rsidR="003F12BD" w:rsidRPr="003F12BD">
          <w:rPr>
            <w:rFonts w:cs="FrankRuehl"/>
            <w:color w:val="0000FF"/>
            <w:sz w:val="28"/>
            <w:szCs w:val="28"/>
            <w:u w:val="single"/>
            <w:rtl/>
          </w:rPr>
          <w:t>עפ"ג (חי') 20738-08-14</w:t>
        </w:r>
      </w:hyperlink>
      <w:r>
        <w:rPr>
          <w:rFonts w:cs="FrankRuehl"/>
          <w:color w:val="000000"/>
          <w:sz w:val="28"/>
          <w:szCs w:val="28"/>
          <w:rtl/>
        </w:rPr>
        <w:t xml:space="preserve"> </w:t>
      </w:r>
      <w:r>
        <w:rPr>
          <w:rFonts w:cs="Miriam"/>
          <w:color w:val="000000"/>
          <w:rtl/>
        </w:rPr>
        <w:t>מדינת ישראל נ' אבו חאטום</w:t>
      </w:r>
      <w:r>
        <w:rPr>
          <w:rFonts w:cs="FrankRuehl"/>
          <w:color w:val="000000"/>
          <w:sz w:val="28"/>
          <w:szCs w:val="28"/>
          <w:rtl/>
        </w:rPr>
        <w:t xml:space="preserve">, פיסקה 10 (27.8.2014); </w:t>
      </w:r>
      <w:hyperlink r:id="rId52" w:history="1">
        <w:r w:rsidR="003F12BD" w:rsidRPr="003F12BD">
          <w:rPr>
            <w:rFonts w:cs="FrankRuehl"/>
            <w:color w:val="0000FF"/>
            <w:sz w:val="28"/>
            <w:szCs w:val="28"/>
            <w:u w:val="single"/>
            <w:rtl/>
          </w:rPr>
          <w:t>ת"פ (ת"א) 6433-05-14</w:t>
        </w:r>
      </w:hyperlink>
      <w:r>
        <w:rPr>
          <w:rFonts w:cs="FrankRuehl"/>
          <w:color w:val="000000"/>
          <w:sz w:val="28"/>
          <w:szCs w:val="28"/>
          <w:rtl/>
        </w:rPr>
        <w:t xml:space="preserve"> </w:t>
      </w:r>
      <w:r>
        <w:rPr>
          <w:rFonts w:cs="Miriam"/>
          <w:color w:val="000000"/>
          <w:rtl/>
        </w:rPr>
        <w:t>מדינת ישראל נ' דיכ</w:t>
      </w:r>
      <w:r>
        <w:rPr>
          <w:rFonts w:cs="FrankRuehl"/>
          <w:color w:val="000000"/>
          <w:sz w:val="28"/>
          <w:szCs w:val="28"/>
          <w:rtl/>
        </w:rPr>
        <w:t>, פיסקה 11 (5.10.2014)).</w:t>
      </w:r>
    </w:p>
    <w:p w14:paraId="53CC116A"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לעניין מידת הפגיעה בערכים הנזכרים, הרי שהנאשם נשא את האקדח והחזיק בו שלא כדין, תוך סיכון לגרימת נזק גוף לו או לאחרים, וסיכון שבאקדח ייעשה בהמשך שימוש שלא כדין. מדובר היה באקדח טעון, שהיה ניתן לעשות בו שימוש בפועל על נקלה, אשר הוכנס למרכול המצוי בתוך קניון הומה אדם. האקדח אף הוטמן במקום שאינו נעול, באופן שעלול היה להביא לכך שהוא יילקח משם על ידי אחר שגם יעשה בו שימוש. מנגד, יש ליתן משקל ממשי לכך שנשיאת האקדח הייתה לזמן קצר ולמקום סמוך, וכפעולה נלווית לגניבה, שכן הנאשם נתפס לפני שלקח את האקדח ממקום מחבואו.</w:t>
      </w:r>
    </w:p>
    <w:p w14:paraId="56C4F4A9" w14:textId="77777777" w:rsidR="007A7D2A" w:rsidRDefault="007A7D2A" w:rsidP="007A7D2A">
      <w:pPr>
        <w:tabs>
          <w:tab w:val="left" w:pos="702"/>
        </w:tabs>
        <w:spacing w:after="240" w:line="360" w:lineRule="auto"/>
        <w:ind w:left="-7"/>
        <w:jc w:val="both"/>
        <w:rPr>
          <w:rFonts w:cs="FrankRuehl"/>
          <w:color w:val="000000"/>
          <w:sz w:val="28"/>
          <w:szCs w:val="28"/>
        </w:rPr>
      </w:pPr>
      <w:r>
        <w:rPr>
          <w:rFonts w:cs="FrankRuehl"/>
          <w:color w:val="000000"/>
          <w:sz w:val="28"/>
          <w:szCs w:val="28"/>
          <w:rtl/>
        </w:rPr>
        <w:tab/>
        <w:t xml:space="preserve">כמו כן הנאשם נטל את האקדח ואת הטלפון הסלולרי והכסף תוך פגיעה בזכות הקניין של המתלונן, בתחושת הביטחון שלו ובפרטיותו. הפגיעה בתחושת הביטחון ובפרטיות נובעת משניים: ראשית, מנטילתו של הטלפון הסלולארי אשר כולל מידע פרטי רב, וחיוני לניהול השגרתי של חיי חלק ניכר מן הציבור בישראל (ראו והשוו: </w:t>
      </w:r>
      <w:hyperlink r:id="rId53" w:history="1">
        <w:r w:rsidR="003F12BD" w:rsidRPr="003F12BD">
          <w:rPr>
            <w:rFonts w:cs="FrankRuehl"/>
            <w:color w:val="0000FF"/>
            <w:sz w:val="28"/>
            <w:szCs w:val="28"/>
            <w:u w:val="single"/>
            <w:rtl/>
          </w:rPr>
          <w:t>ע"פ 8627/14</w:t>
        </w:r>
      </w:hyperlink>
      <w:r>
        <w:rPr>
          <w:rFonts w:cs="FrankRuehl"/>
          <w:color w:val="000000"/>
          <w:sz w:val="28"/>
          <w:szCs w:val="28"/>
          <w:rtl/>
        </w:rPr>
        <w:t xml:space="preserve"> </w:t>
      </w:r>
      <w:r>
        <w:rPr>
          <w:rFonts w:cs="Miriam"/>
          <w:color w:val="000000"/>
          <w:rtl/>
        </w:rPr>
        <w:t>דבראש דביר נ' מדינת ישראל</w:t>
      </w:r>
      <w:r>
        <w:rPr>
          <w:rFonts w:cs="FrankRuehl"/>
          <w:color w:val="000000"/>
          <w:sz w:val="28"/>
          <w:szCs w:val="28"/>
          <w:rtl/>
        </w:rPr>
        <w:t xml:space="preserve">, פיסקה 7 (14.7.2015); </w:t>
      </w:r>
      <w:hyperlink r:id="rId54" w:history="1">
        <w:r w:rsidR="003F12BD" w:rsidRPr="003F12BD">
          <w:rPr>
            <w:rFonts w:cs="FrankRuehl"/>
            <w:color w:val="0000FF"/>
            <w:sz w:val="28"/>
            <w:szCs w:val="28"/>
            <w:u w:val="single"/>
            <w:rtl/>
          </w:rPr>
          <w:t>ע"פ 6766/16</w:t>
        </w:r>
      </w:hyperlink>
      <w:r>
        <w:rPr>
          <w:rFonts w:cs="FrankRuehl"/>
          <w:color w:val="000000"/>
          <w:sz w:val="28"/>
          <w:szCs w:val="28"/>
          <w:rtl/>
        </w:rPr>
        <w:t xml:space="preserve"> </w:t>
      </w:r>
      <w:r>
        <w:rPr>
          <w:rFonts w:cs="Miriam"/>
          <w:color w:val="000000"/>
          <w:rtl/>
        </w:rPr>
        <w:t>חודיפא נ' מדינת ישראל</w:t>
      </w:r>
      <w:r>
        <w:rPr>
          <w:rFonts w:cs="FrankRuehl"/>
          <w:color w:val="000000"/>
          <w:sz w:val="28"/>
          <w:szCs w:val="28"/>
          <w:rtl/>
        </w:rPr>
        <w:t xml:space="preserve">, פיסקה 9 (8.3.2017)). שנית, מעצם חדירת הנאשם למרחב הפרטי של הרכב. עם זאת, לעניין אחרון זה יש ליתן משקל לכך שלא נטען כי הדבר נעשה בכוח או בהתפרצות (והשוו, מבלי להתעלם מהשוני, אל </w:t>
      </w:r>
      <w:hyperlink r:id="rId55" w:history="1">
        <w:r w:rsidR="003F12BD" w:rsidRPr="003F12BD">
          <w:rPr>
            <w:rFonts w:cs="FrankRuehl"/>
            <w:color w:val="0000FF"/>
            <w:sz w:val="28"/>
            <w:szCs w:val="28"/>
            <w:u w:val="single"/>
            <w:rtl/>
          </w:rPr>
          <w:t>ע"פ  7453/08</w:t>
        </w:r>
      </w:hyperlink>
      <w:r>
        <w:rPr>
          <w:rFonts w:cs="FrankRuehl"/>
          <w:color w:val="000000"/>
          <w:sz w:val="28"/>
          <w:szCs w:val="28"/>
          <w:rtl/>
        </w:rPr>
        <w:t xml:space="preserve"> </w:t>
      </w:r>
      <w:r>
        <w:rPr>
          <w:rFonts w:cs="Miriam"/>
          <w:color w:val="000000"/>
          <w:rtl/>
        </w:rPr>
        <w:t>מדינת ישראל נ' אואזנה</w:t>
      </w:r>
      <w:r>
        <w:rPr>
          <w:rFonts w:cs="FrankRuehl"/>
          <w:color w:val="000000"/>
          <w:sz w:val="28"/>
          <w:szCs w:val="28"/>
          <w:rtl/>
        </w:rPr>
        <w:t>, פיסקה 8 (31.12.2008)). כמו כן החפצים נתפסו עד מהרה ויש להניח כי הטלפון הושב למתלונן.</w:t>
      </w:r>
    </w:p>
    <w:p w14:paraId="5CEAD979"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במכלול, סבורני כי הפגיעה בערכים המוגנים בעבירות הייתה במידה בינונית עד נמוכה.</w:t>
      </w:r>
    </w:p>
    <w:p w14:paraId="38A5EE3E" w14:textId="77777777" w:rsidR="007A7D2A" w:rsidRDefault="007A7D2A" w:rsidP="007A7D2A">
      <w:pPr>
        <w:tabs>
          <w:tab w:val="left" w:pos="702"/>
        </w:tabs>
        <w:spacing w:after="240"/>
        <w:ind w:left="-7"/>
        <w:rPr>
          <w:rFonts w:cs="FrankRuehl"/>
          <w:i/>
          <w:iCs/>
          <w:color w:val="000000"/>
          <w:sz w:val="28"/>
          <w:szCs w:val="28"/>
          <w:rtl/>
        </w:rPr>
      </w:pPr>
      <w:r>
        <w:rPr>
          <w:rFonts w:cs="FrankRuehl"/>
          <w:i/>
          <w:iCs/>
          <w:color w:val="000000"/>
          <w:sz w:val="28"/>
          <w:szCs w:val="28"/>
          <w:rtl/>
        </w:rPr>
        <w:t>ד(2)(2) נסיבות ביצוע העבירה</w:t>
      </w:r>
    </w:p>
    <w:p w14:paraId="50B1A0F5"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Pr>
      </w:pPr>
      <w:bookmarkStart w:id="11" w:name="_Ref121744398"/>
      <w:r>
        <w:rPr>
          <w:rFonts w:cs="FrankRuehl"/>
          <w:color w:val="000000"/>
          <w:sz w:val="28"/>
          <w:szCs w:val="28"/>
          <w:rtl/>
        </w:rPr>
        <w:t xml:space="preserve">מתיאור העובדות בכתב האישום עולה לכאורה כי מעשהו של הנאשם לא היה מתוכנן, אלא מעין "ניצול הזדמנות" בדרכו למקום עבודתו, כאשר נראה כי הנאשם כלל לא ידע מראש שייתקל באקדח, שהיה טמון בתוך תא הכפפות של הרכב. כמו כן הנאשם נתפס עד מהרה, כך שלמרבה המזל לא נגרם נזק ממשי ממעשהו. מנגד, הנאשם לא טען לנסיבות קונקרטיות שהביאו אותו לבצע את מעשה הגניבה, או לפגם כלשהו ביכולתו להבין את הפסול שבמעשהו ולהימנע ממנו, ולא נראה כי קיימות נסיבות חריגות אחרות בנוגע לביצוע העבירות (ראו </w:t>
      </w:r>
      <w:hyperlink r:id="rId56" w:history="1">
        <w:r w:rsidR="00586130" w:rsidRPr="00586130">
          <w:rPr>
            <w:rStyle w:val="Hyperlink"/>
            <w:rFonts w:cs="FrankRuehl"/>
            <w:sz w:val="28"/>
            <w:szCs w:val="28"/>
            <w:rtl/>
          </w:rPr>
          <w:t>סעיף 40ט</w:t>
        </w:r>
      </w:hyperlink>
      <w:r>
        <w:rPr>
          <w:rFonts w:cs="FrankRuehl"/>
          <w:color w:val="000000"/>
          <w:sz w:val="28"/>
          <w:szCs w:val="28"/>
          <w:rtl/>
        </w:rPr>
        <w:t xml:space="preserve"> ל</w:t>
      </w:r>
      <w:hyperlink r:id="rId57" w:history="1">
        <w:r w:rsidR="003F12BD" w:rsidRPr="003F12BD">
          <w:rPr>
            <w:rFonts w:cs="FrankRuehl"/>
            <w:color w:val="0000FF"/>
            <w:sz w:val="28"/>
            <w:szCs w:val="28"/>
            <w:u w:val="single"/>
            <w:rtl/>
          </w:rPr>
          <w:t>חוק העונשין</w:t>
        </w:r>
      </w:hyperlink>
      <w:r>
        <w:rPr>
          <w:rFonts w:cs="FrankRuehl"/>
          <w:color w:val="000000"/>
          <w:sz w:val="28"/>
          <w:szCs w:val="28"/>
          <w:rtl/>
        </w:rPr>
        <w:t>).</w:t>
      </w:r>
      <w:bookmarkEnd w:id="11"/>
    </w:p>
    <w:p w14:paraId="4978A813" w14:textId="77777777" w:rsidR="007A7D2A" w:rsidRDefault="007A7D2A" w:rsidP="007A7D2A">
      <w:pPr>
        <w:keepNext/>
        <w:tabs>
          <w:tab w:val="left" w:pos="702"/>
        </w:tabs>
        <w:spacing w:after="240"/>
        <w:ind w:left="-6"/>
        <w:rPr>
          <w:rFonts w:cs="FrankRuehl"/>
          <w:i/>
          <w:iCs/>
          <w:color w:val="000000"/>
          <w:sz w:val="28"/>
          <w:szCs w:val="28"/>
        </w:rPr>
      </w:pPr>
      <w:r>
        <w:rPr>
          <w:rFonts w:cs="FrankRuehl"/>
          <w:i/>
          <w:iCs/>
          <w:color w:val="000000"/>
          <w:sz w:val="28"/>
          <w:szCs w:val="28"/>
          <w:rtl/>
        </w:rPr>
        <w:t xml:space="preserve">ד(2)(3) מדיניות הענישה הנהוגה </w:t>
      </w:r>
    </w:p>
    <w:p w14:paraId="34D4CF46"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העונש המרבי לעבירת גניבת נשק עשר שנות מאסר. העונש המרבי לעבירת הגניבה מרכב הוא שלוש שנות מאסר. </w:t>
      </w:r>
    </w:p>
    <w:p w14:paraId="63207942"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בית המשפט העליון עמד לא אחת על החומרה שבה יש להתייחס אל עבירות נשק:</w:t>
      </w:r>
    </w:p>
    <w:p w14:paraId="6FD8C818" w14:textId="77777777" w:rsidR="007A7D2A" w:rsidRDefault="007A7D2A" w:rsidP="007A7D2A">
      <w:pPr>
        <w:pStyle w:val="ab"/>
      </w:pPr>
      <w:r>
        <w:rPr>
          <w:rtl/>
        </w:rPr>
        <w:t>עבירות הנשק הפכו זה מכבר למכת מדינה. חומרתן היתרה של עבירות אלה, פגיעתן הקשה והשפעתן על תחושת הביטחון של כלל אזרחי המדינה, זכו להתייחסות נרחבת בפסקי דין רבים של בית משפט זה. צוין כי עבירות אלה מייצרות במהותן איומים וסיכונים משמעותיים לשלום הציבור וביטחונו, והן מהוות בסיס לביצוע פעילות עבריינית, פשיעה לאומנית ופעולות טרור מסכנות חיים. זמינותם ונגישותם של כלי נשק בלתי חוקיים מאפשרות שימוש תדיר בנשק ככלי לפתרון סכסוכים, לעיתים תוך ירי באזורי מגורים, וגביית קורבנות בגוף ובנפש.</w:t>
      </w:r>
    </w:p>
    <w:p w14:paraId="6A8128DE" w14:textId="77777777" w:rsidR="007A7D2A" w:rsidRDefault="007A7D2A" w:rsidP="007A7D2A">
      <w:pPr>
        <w:pStyle w:val="ab"/>
        <w:rPr>
          <w:rtl/>
        </w:rPr>
      </w:pPr>
      <w:r>
        <w:rPr>
          <w:rtl/>
        </w:rPr>
        <w:t>בית משפט זה עמד לא אחת על כך שתרומתם העיקרית של בתי המשפט למיגור תופעת עבריינות הנשק ונגזרותיה היא בהטלת עונשים חמורים ומרתיעים על עברייני הנשק.</w:t>
      </w:r>
    </w:p>
    <w:p w14:paraId="7809B911" w14:textId="77777777" w:rsidR="007A7D2A" w:rsidRDefault="007A7D2A" w:rsidP="007A7D2A">
      <w:pPr>
        <w:pStyle w:val="ab"/>
        <w:spacing w:after="360"/>
      </w:pPr>
      <w:r>
        <w:rPr>
          <w:rtl/>
        </w:rPr>
        <w:t>(</w:t>
      </w:r>
      <w:hyperlink r:id="rId58" w:history="1">
        <w:r w:rsidR="003F12BD" w:rsidRPr="003F12BD">
          <w:rPr>
            <w:color w:val="0000FF"/>
            <w:u w:val="single"/>
            <w:rtl/>
          </w:rPr>
          <w:t>ע"פ 579/22</w:t>
        </w:r>
      </w:hyperlink>
      <w:r w:rsidR="003F12BD">
        <w:rPr>
          <w:rtl/>
        </w:rPr>
        <w:t xml:space="preserve"> </w:t>
      </w:r>
      <w:r>
        <w:rPr>
          <w:rFonts w:ascii="Arial TUR" w:hAnsi="Arial TUR" w:cs="Miriam"/>
          <w:color w:val="auto"/>
          <w:sz w:val="24"/>
          <w:szCs w:val="24"/>
          <w:rtl/>
        </w:rPr>
        <w:t>מדינת ישראל נ' טחאינה</w:t>
      </w:r>
      <w:r>
        <w:rPr>
          <w:rtl/>
        </w:rPr>
        <w:t xml:space="preserve">, פיסקאות 16-15 (13.6.2022‏)‏, בהשמטת אסמכתאות; וראו עוד מבין רבים: </w:t>
      </w:r>
      <w:hyperlink r:id="rId59" w:history="1">
        <w:r w:rsidR="003F12BD" w:rsidRPr="003F12BD">
          <w:rPr>
            <w:color w:val="0000FF"/>
            <w:u w:val="single"/>
            <w:rtl/>
          </w:rPr>
          <w:t>ע"פ 3728/22</w:t>
        </w:r>
      </w:hyperlink>
      <w:r>
        <w:rPr>
          <w:rtl/>
        </w:rPr>
        <w:t xml:space="preserve"> </w:t>
      </w:r>
      <w:r>
        <w:rPr>
          <w:rFonts w:ascii="Arial TUR" w:hAnsi="Arial TUR" w:cs="Miriam"/>
          <w:color w:val="auto"/>
          <w:sz w:val="24"/>
          <w:szCs w:val="24"/>
          <w:rtl/>
        </w:rPr>
        <w:t>מסאלחה נ' מדינת ישראל</w:t>
      </w:r>
      <w:r>
        <w:rPr>
          <w:rtl/>
        </w:rPr>
        <w:t xml:space="preserve">, פיסקה 14 (9.8.2022); </w:t>
      </w:r>
      <w:hyperlink r:id="rId60" w:history="1">
        <w:r w:rsidR="003F12BD" w:rsidRPr="003F12BD">
          <w:rPr>
            <w:color w:val="0000FF"/>
            <w:u w:val="single"/>
            <w:rtl/>
          </w:rPr>
          <w:t>ע"פ 2283/22</w:t>
        </w:r>
      </w:hyperlink>
      <w:r>
        <w:rPr>
          <w:rtl/>
        </w:rPr>
        <w:t xml:space="preserve"> </w:t>
      </w:r>
      <w:r>
        <w:rPr>
          <w:rFonts w:ascii="Arial TUR" w:hAnsi="Arial TUR" w:cs="Miriam"/>
          <w:color w:val="auto"/>
          <w:sz w:val="24"/>
          <w:szCs w:val="24"/>
          <w:rtl/>
        </w:rPr>
        <w:t>אל נבארי נ' מדינת ישראל</w:t>
      </w:r>
      <w:r>
        <w:rPr>
          <w:rtl/>
        </w:rPr>
        <w:t xml:space="preserve">, פיסקאות 14-13 (31.7.2022); </w:t>
      </w:r>
      <w:hyperlink r:id="rId61" w:history="1">
        <w:r w:rsidR="003F12BD" w:rsidRPr="003F12BD">
          <w:rPr>
            <w:color w:val="0000FF"/>
            <w:u w:val="single"/>
            <w:rtl/>
          </w:rPr>
          <w:t>ע"פ 3569/22</w:t>
        </w:r>
      </w:hyperlink>
      <w:r>
        <w:rPr>
          <w:rtl/>
        </w:rPr>
        <w:t xml:space="preserve"> </w:t>
      </w:r>
      <w:r>
        <w:rPr>
          <w:rFonts w:ascii="Arial TUR" w:hAnsi="Arial TUR" w:cs="Miriam"/>
          <w:color w:val="auto"/>
          <w:sz w:val="24"/>
          <w:szCs w:val="24"/>
          <w:rtl/>
        </w:rPr>
        <w:t>מדינת ישראל נ' חדיד</w:t>
      </w:r>
      <w:r>
        <w:rPr>
          <w:rtl/>
        </w:rPr>
        <w:t>, פיסקאות 8-7 (23.6.2022)).</w:t>
      </w:r>
    </w:p>
    <w:p w14:paraId="280DBB03"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ב</w:t>
      </w:r>
      <w:hyperlink r:id="rId62" w:history="1">
        <w:r w:rsidR="003F12BD" w:rsidRPr="003F12BD">
          <w:rPr>
            <w:rFonts w:cs="FrankRuehl"/>
            <w:color w:val="0000FF"/>
            <w:sz w:val="28"/>
            <w:szCs w:val="28"/>
            <w:u w:val="single"/>
            <w:rtl/>
          </w:rPr>
          <w:t>ע"פ 579/22</w:t>
        </w:r>
      </w:hyperlink>
      <w:r>
        <w:rPr>
          <w:rFonts w:cs="FrankRuehl"/>
          <w:color w:val="000000"/>
          <w:sz w:val="28"/>
          <w:szCs w:val="28"/>
          <w:rtl/>
        </w:rPr>
        <w:t xml:space="preserve"> הנזכר הוסיף בית המשפט וציין כי מדיניות ההחמרה בענישה בגין עבירות נשק מתבטאת בתיקון החקיקה שבו כאמור הוספו עונשי מינימום לעבירות נשק שונות (</w:t>
      </w:r>
      <w:hyperlink r:id="rId63" w:history="1">
        <w:r w:rsidR="00586130" w:rsidRPr="00586130">
          <w:rPr>
            <w:rStyle w:val="Hyperlink"/>
            <w:rFonts w:cs="FrankRuehl"/>
            <w:sz w:val="28"/>
            <w:szCs w:val="28"/>
            <w:rtl/>
          </w:rPr>
          <w:t>סעיף 144(ז)</w:t>
        </w:r>
      </w:hyperlink>
      <w:r>
        <w:rPr>
          <w:rFonts w:cs="FrankRuehl"/>
          <w:color w:val="000000"/>
          <w:sz w:val="28"/>
          <w:szCs w:val="28"/>
          <w:rtl/>
        </w:rPr>
        <w:t xml:space="preserve"> ל</w:t>
      </w:r>
      <w:hyperlink r:id="rId64" w:history="1">
        <w:r w:rsidR="003F12BD" w:rsidRPr="003F12BD">
          <w:rPr>
            <w:rFonts w:cs="FrankRuehl"/>
            <w:color w:val="0000FF"/>
            <w:sz w:val="28"/>
            <w:szCs w:val="28"/>
            <w:u w:val="single"/>
            <w:rtl/>
          </w:rPr>
          <w:t>חוק העונשין</w:t>
        </w:r>
      </w:hyperlink>
      <w:r>
        <w:rPr>
          <w:rFonts w:cs="FrankRuehl"/>
          <w:color w:val="000000"/>
          <w:sz w:val="28"/>
          <w:szCs w:val="28"/>
          <w:rtl/>
        </w:rPr>
        <w:t xml:space="preserve"> בנוסחו היום). כמו באותו מקרה, גם במקרה שכאן הוראות התיקון אינן חלות, וזאת בשים לב לעבירה שבה הורשע הנאשם. עם זאת, בית המשפט ציין כי "יש בהן כדי להמחיש את מגמת ההחמרה בענישה על עבירות הנשק גם בהיבט החקיקתי", ודברים דומים ניתן לומר גם לענייננו.</w:t>
      </w:r>
    </w:p>
    <w:p w14:paraId="31CC230E"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על יסוד מדיניות כללית זו, נקבע אך לאחרונה בעניין</w:t>
      </w:r>
      <w:r>
        <w:rPr>
          <w:rtl/>
        </w:rPr>
        <w:t xml:space="preserve"> </w:t>
      </w:r>
      <w:r>
        <w:rPr>
          <w:rFonts w:ascii="Arial TUR" w:hAnsi="Arial TUR" w:cs="Miriam"/>
          <w:rtl/>
        </w:rPr>
        <w:t>פלוני</w:t>
      </w:r>
      <w:r>
        <w:rPr>
          <w:rFonts w:cs="FrankRuehl"/>
          <w:color w:val="000000"/>
          <w:sz w:val="28"/>
          <w:szCs w:val="28"/>
          <w:rtl/>
        </w:rPr>
        <w:t xml:space="preserve"> כי</w:t>
      </w:r>
    </w:p>
    <w:p w14:paraId="7F699611" w14:textId="77777777" w:rsidR="007A7D2A" w:rsidRDefault="007A7D2A" w:rsidP="007A7D2A">
      <w:pPr>
        <w:pStyle w:val="ab"/>
      </w:pPr>
      <w:r>
        <w:rPr>
          <w:rtl/>
        </w:rPr>
        <w:t xml:space="preserve">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 הווה אומר: באין נסיבות מיוחדות לחומרא או לקולא, יהא זה בהחלט סביר אם בית משפט יטיל על נאשם כאמור עונש של 36 חודשי מאסר לריצוי בפועל. </w:t>
      </w:r>
      <w:r>
        <w:rPr>
          <w:rFonts w:ascii="Arial TUR" w:hAnsi="Arial TUR" w:cs="Miriam"/>
          <w:color w:val="auto"/>
          <w:sz w:val="24"/>
          <w:szCs w:val="24"/>
          <w:rtl/>
        </w:rPr>
        <w:t>תקוותי היא כי אמות מידה אלה תנחנה את הערכאות הדיוניות באופן שיטתי, כך שמדיניות הענישה אשר נקוטה בידינו ביחס לעבירות נשק תיושם כהלכתה ובמלוא עוצמתה</w:t>
      </w:r>
    </w:p>
    <w:p w14:paraId="10AEFD0B" w14:textId="77777777" w:rsidR="007A7D2A" w:rsidRDefault="007A7D2A" w:rsidP="007A7D2A">
      <w:pPr>
        <w:pStyle w:val="ab"/>
        <w:spacing w:after="240"/>
        <w:rPr>
          <w:rtl/>
        </w:rPr>
      </w:pPr>
      <w:r>
        <w:rPr>
          <w:rtl/>
        </w:rPr>
        <w:t>(</w:t>
      </w:r>
      <w:r>
        <w:rPr>
          <w:rFonts w:ascii="Arial TUR" w:hAnsi="Arial TUR" w:cs="Miriam"/>
          <w:color w:val="auto"/>
          <w:sz w:val="24"/>
          <w:szCs w:val="24"/>
          <w:rtl/>
        </w:rPr>
        <w:t>שם</w:t>
      </w:r>
      <w:r>
        <w:rPr>
          <w:rtl/>
        </w:rPr>
        <w:t>, פיסקה 16 (14.9.2022), ההדגשה במקור).</w:t>
      </w:r>
    </w:p>
    <w:p w14:paraId="242E5402"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בצדק לטעמי טוענת המאשימה כי אם זהו המתחם החל לגבי נשיאת נשק, הרי שברגיל המתחם לגבי גניבת נשק שכללה נשיאה שלו במרחב הציבורי אמור להיות גבוה יותר. זאת משום שכפי שכבר צוין עבירת גניבת הנשק טומנת בחובה גם את נשיאתו, ופוגעת הן בערכים המוגנים שביסוד עבירת נשיאת הנשק הן בערכים המוגנים שביסוד עבירת הגניבה (לעמדה דומה ראו גם </w:t>
      </w:r>
      <w:hyperlink r:id="rId65" w:history="1">
        <w:r w:rsidR="003F12BD" w:rsidRPr="003F12BD">
          <w:rPr>
            <w:rFonts w:cs="FrankRuehl"/>
            <w:color w:val="0000FF"/>
            <w:sz w:val="28"/>
            <w:szCs w:val="28"/>
            <w:u w:val="single"/>
            <w:rtl/>
          </w:rPr>
          <w:t>ת"פ (מחוזי מרכז) 39941-11-19</w:t>
        </w:r>
      </w:hyperlink>
      <w:r>
        <w:rPr>
          <w:rFonts w:cs="FrankRuehl"/>
          <w:color w:val="000000"/>
          <w:sz w:val="28"/>
          <w:szCs w:val="28"/>
          <w:rtl/>
        </w:rPr>
        <w:t xml:space="preserve"> </w:t>
      </w:r>
      <w:r>
        <w:rPr>
          <w:rFonts w:ascii="Arial TUR" w:hAnsi="Arial TUR" w:cs="Miriam"/>
          <w:rtl/>
        </w:rPr>
        <w:t>מדינת ישראל נ' אילה</w:t>
      </w:r>
      <w:r>
        <w:rPr>
          <w:rFonts w:cs="FrankRuehl"/>
          <w:color w:val="000000"/>
          <w:sz w:val="28"/>
          <w:szCs w:val="28"/>
          <w:rtl/>
        </w:rPr>
        <w:t xml:space="preserve">, פיסקה 12 (9.3.21), שאליו הפנה הנאשם עצמו). במקרה שכאן המתחם אמור להיות גבוה אף יותר, בשים לב לכך שמעבר לנשק נגנבו כאמור גם מכשיר טלפון סלולרי וסכום כסף, על החומרה הגלומה בכך. ממילא, יש ליתן משקל מוגבל לפסיקה שקדמה לפסק הדין המנחה בעניין </w:t>
      </w:r>
      <w:r>
        <w:rPr>
          <w:rFonts w:ascii="Arial TUR" w:hAnsi="Arial TUR" w:cs="Miriam"/>
          <w:rtl/>
        </w:rPr>
        <w:t>פלוני</w:t>
      </w:r>
      <w:r>
        <w:rPr>
          <w:rFonts w:cs="FrankRuehl"/>
          <w:color w:val="000000"/>
          <w:sz w:val="28"/>
          <w:szCs w:val="28"/>
          <w:rtl/>
        </w:rPr>
        <w:t>.</w:t>
      </w:r>
    </w:p>
    <w:p w14:paraId="20598F5E"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מכל מקום, עיון בפסיקה זו, לרבות בפסקי דין שאליהם הפנו הצדדים, מלמד כי היא כוללת מנעד ענישה רחב, המושפע מנסיבות כל מקרה ומקרה.</w:t>
      </w:r>
    </w:p>
    <w:p w14:paraId="26DDDD4B" w14:textId="77777777" w:rsidR="007A7D2A" w:rsidRDefault="007A7D2A" w:rsidP="007A7D2A">
      <w:pPr>
        <w:tabs>
          <w:tab w:val="left" w:pos="702"/>
        </w:tabs>
        <w:spacing w:after="240" w:line="360" w:lineRule="auto"/>
        <w:ind w:left="-7"/>
        <w:jc w:val="both"/>
        <w:rPr>
          <w:rFonts w:cs="FrankRuehl"/>
          <w:color w:val="000000"/>
          <w:sz w:val="28"/>
          <w:szCs w:val="28"/>
        </w:rPr>
      </w:pPr>
      <w:r>
        <w:rPr>
          <w:rFonts w:cs="FrankRuehl"/>
          <w:color w:val="000000"/>
          <w:sz w:val="28"/>
          <w:szCs w:val="28"/>
          <w:rtl/>
        </w:rPr>
        <w:tab/>
        <w:t>כך למשל ב</w:t>
      </w:r>
      <w:hyperlink r:id="rId66" w:history="1">
        <w:r w:rsidR="003F12BD" w:rsidRPr="003F12BD">
          <w:rPr>
            <w:rFonts w:cs="FrankRuehl"/>
            <w:color w:val="0000FF"/>
            <w:sz w:val="28"/>
            <w:szCs w:val="28"/>
            <w:u w:val="single"/>
            <w:rtl/>
          </w:rPr>
          <w:t>ע"פ 2780/21</w:t>
        </w:r>
      </w:hyperlink>
      <w:r>
        <w:rPr>
          <w:rFonts w:cs="FrankRuehl"/>
          <w:color w:val="000000"/>
          <w:sz w:val="28"/>
          <w:szCs w:val="28"/>
          <w:rtl/>
        </w:rPr>
        <w:t xml:space="preserve"> </w:t>
      </w:r>
      <w:r>
        <w:rPr>
          <w:rFonts w:ascii="Arial TUR" w:hAnsi="Arial TUR" w:cs="Miriam"/>
          <w:rtl/>
        </w:rPr>
        <w:t>אילה נ' מדינת ישראל</w:t>
      </w:r>
      <w:r>
        <w:rPr>
          <w:rFonts w:cs="FrankRuehl"/>
          <w:color w:val="000000"/>
          <w:sz w:val="28"/>
          <w:szCs w:val="28"/>
          <w:rtl/>
        </w:rPr>
        <w:t xml:space="preserve"> (1.2.22), התערב בית המשפט העליון בעונשו של מי שהורשע על פי הודאתו בעבירת גניבת נשק, בכך שניצל קטטה שאליה נקלע מאבטח וגנב ממנו את אקדחו, נשא אותו לביתו בעיר אחרת והחזיק בו מספר שעות עד שנתפס. הערכאה הדיונית קבעה כי מתחם העונש ההולם נע בין 20 ל-44 חודשי מאסר, אולם חרגה ממנו לקולא בשל הדרך השיקומית שעבר הנאשם וגזרה עליו עונש של 18 חודשי מאסר בפועל. בית המשפט העליון הקל עוד בעונש והמיר אותו לתשעה חודשי עבודות שירות מאותם טעמים.</w:t>
      </w:r>
    </w:p>
    <w:p w14:paraId="287F5F6A" w14:textId="77777777" w:rsidR="007A7D2A" w:rsidRDefault="007A7D2A" w:rsidP="007A7D2A">
      <w:pPr>
        <w:tabs>
          <w:tab w:val="left" w:pos="702"/>
        </w:tabs>
        <w:spacing w:after="240" w:line="360" w:lineRule="auto"/>
        <w:ind w:left="-7"/>
        <w:jc w:val="both"/>
        <w:rPr>
          <w:rFonts w:cs="FrankRuehl"/>
          <w:color w:val="000000"/>
          <w:sz w:val="28"/>
          <w:szCs w:val="28"/>
        </w:rPr>
      </w:pPr>
      <w:r>
        <w:rPr>
          <w:rFonts w:cs="FrankRuehl"/>
          <w:color w:val="000000"/>
          <w:sz w:val="28"/>
          <w:szCs w:val="28"/>
          <w:rtl/>
        </w:rPr>
        <w:tab/>
        <w:t>ב</w:t>
      </w:r>
      <w:hyperlink r:id="rId67" w:history="1">
        <w:r w:rsidR="003F12BD" w:rsidRPr="003F12BD">
          <w:rPr>
            <w:rFonts w:cs="FrankRuehl"/>
            <w:color w:val="0000FF"/>
            <w:sz w:val="28"/>
            <w:szCs w:val="28"/>
            <w:u w:val="single"/>
            <w:rtl/>
          </w:rPr>
          <w:t>ע"פ 4530/19</w:t>
        </w:r>
      </w:hyperlink>
      <w:r>
        <w:rPr>
          <w:rFonts w:cs="FrankRuehl"/>
          <w:color w:val="000000"/>
          <w:sz w:val="28"/>
          <w:szCs w:val="28"/>
          <w:rtl/>
        </w:rPr>
        <w:t xml:space="preserve"> </w:t>
      </w:r>
      <w:r>
        <w:rPr>
          <w:rFonts w:ascii="Arial TUR" w:hAnsi="Arial TUR" w:cs="Miriam"/>
          <w:rtl/>
        </w:rPr>
        <w:t>ג'זאווי נ' מדינת ישראל</w:t>
      </w:r>
      <w:r>
        <w:rPr>
          <w:rFonts w:cs="FrankRuehl"/>
          <w:color w:val="000000"/>
          <w:sz w:val="28"/>
          <w:szCs w:val="28"/>
          <w:rtl/>
        </w:rPr>
        <w:t xml:space="preserve"> (11.8.19) מדובר היה במי שפרץ לרכב לאחר תכנון מסוים ונטל ממנו רובה וכן דברי ערך שונים. הערכאה הדיונית קבעה כי מתחם העונש ההולם נע בין 26 ל-52 חודשי מאסר, והטילה על הנאשם 32 חודשי מאסר בפועל (לצד עונשים נוספים), תוך התייחסות גם לכך שהוא נעדר עבר פלילי והשתלב בהליך טיפולי. בית משפט העליון דחה את ערעור הנאשם, והדגיש כי מדובר בעונש מקל, בשים לב לחומרת המעשים ולכך שהנשק שנגנב לא הושב.</w:t>
      </w:r>
    </w:p>
    <w:p w14:paraId="397C1ED4" w14:textId="77777777" w:rsidR="007A7D2A" w:rsidRDefault="007A7D2A" w:rsidP="007A7D2A">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ב</w:t>
      </w:r>
      <w:hyperlink r:id="rId68" w:history="1">
        <w:r w:rsidR="003F12BD" w:rsidRPr="003F12BD">
          <w:rPr>
            <w:rFonts w:cs="FrankRuehl"/>
            <w:color w:val="0000FF"/>
            <w:sz w:val="28"/>
            <w:szCs w:val="28"/>
            <w:u w:val="single"/>
            <w:rtl/>
          </w:rPr>
          <w:t>ת"פ (מחוזי י-ם) 8008-07-19</w:t>
        </w:r>
      </w:hyperlink>
      <w:r>
        <w:rPr>
          <w:rFonts w:cs="FrankRuehl"/>
          <w:color w:val="000000"/>
          <w:sz w:val="28"/>
          <w:szCs w:val="28"/>
          <w:rtl/>
        </w:rPr>
        <w:t xml:space="preserve"> </w:t>
      </w:r>
      <w:r>
        <w:rPr>
          <w:rFonts w:ascii="Arial TUR" w:hAnsi="Arial TUR" w:cs="Miriam"/>
          <w:rtl/>
        </w:rPr>
        <w:t>מדינת ישראל נ' שתאת</w:t>
      </w:r>
      <w:r>
        <w:rPr>
          <w:rFonts w:cs="FrankRuehl"/>
          <w:color w:val="000000"/>
          <w:sz w:val="28"/>
          <w:szCs w:val="28"/>
          <w:rtl/>
        </w:rPr>
        <w:t xml:space="preserve"> (6.8.20) מדובר היה במי שגנב אקדח מתוך תא מטען פתוח של רכב, הסתיר אותו, ובחלוף זמן מה חזר למקום יחד עם אחר והשניים הובילו את האקדח למקום נוסף שם החביאו אותו אחר. הערכאה הדיונית קבעה כי מתחם העונש ההולם הוא בין 18 ל-36 חודשי מאסר והטילה 18 חודשי מאסר בפועל שהם הגבול העליון של ההסדר שאליו הגיעו הצדדים (לצד עונשים נוספים). ערעור הנאשם על גזר הדין נדחה בהסכמה בהמלצת בית המשפט העליון (</w:t>
      </w:r>
      <w:hyperlink r:id="rId69" w:history="1">
        <w:r w:rsidR="003F12BD" w:rsidRPr="003F12BD">
          <w:rPr>
            <w:rFonts w:cs="FrankRuehl"/>
            <w:color w:val="0000FF"/>
            <w:sz w:val="28"/>
            <w:szCs w:val="28"/>
            <w:u w:val="single"/>
            <w:rtl/>
          </w:rPr>
          <w:t>ע"פ 6620/20</w:t>
        </w:r>
      </w:hyperlink>
      <w:r>
        <w:rPr>
          <w:rFonts w:cs="FrankRuehl"/>
          <w:color w:val="000000"/>
          <w:sz w:val="28"/>
          <w:szCs w:val="28"/>
          <w:rtl/>
        </w:rPr>
        <w:t xml:space="preserve"> </w:t>
      </w:r>
      <w:r>
        <w:rPr>
          <w:rFonts w:ascii="Arial TUR" w:hAnsi="Arial TUR" w:cs="Miriam"/>
          <w:rtl/>
        </w:rPr>
        <w:t>אשקיר נ' מדינת ישראל</w:t>
      </w:r>
      <w:r>
        <w:rPr>
          <w:rFonts w:cs="FrankRuehl"/>
          <w:color w:val="000000"/>
          <w:sz w:val="28"/>
          <w:szCs w:val="28"/>
          <w:rtl/>
        </w:rPr>
        <w:t xml:space="preserve"> (10.11.20)).</w:t>
      </w:r>
    </w:p>
    <w:p w14:paraId="69B78321" w14:textId="77777777" w:rsidR="007A7D2A" w:rsidRDefault="007A7D2A" w:rsidP="007A7D2A">
      <w:pPr>
        <w:tabs>
          <w:tab w:val="left" w:pos="702"/>
        </w:tabs>
        <w:spacing w:after="240" w:line="360" w:lineRule="auto"/>
        <w:ind w:left="-7"/>
        <w:jc w:val="both"/>
        <w:rPr>
          <w:rFonts w:cs="FrankRuehl"/>
          <w:b/>
          <w:bCs/>
          <w:color w:val="000000"/>
          <w:sz w:val="28"/>
          <w:szCs w:val="28"/>
        </w:rPr>
      </w:pPr>
      <w:r>
        <w:rPr>
          <w:rFonts w:cs="FrankRuehl"/>
          <w:color w:val="000000"/>
          <w:sz w:val="28"/>
          <w:szCs w:val="28"/>
          <w:rtl/>
        </w:rPr>
        <w:tab/>
        <w:t>ב</w:t>
      </w:r>
      <w:hyperlink r:id="rId70" w:history="1">
        <w:r w:rsidR="003F12BD" w:rsidRPr="003F12BD">
          <w:rPr>
            <w:rFonts w:cs="FrankRuehl"/>
            <w:color w:val="0000FF"/>
            <w:sz w:val="28"/>
            <w:szCs w:val="28"/>
            <w:u w:val="single"/>
            <w:rtl/>
          </w:rPr>
          <w:t>ת"פ (מחוזי י-ם) 57283-05-21</w:t>
        </w:r>
      </w:hyperlink>
      <w:r>
        <w:rPr>
          <w:rFonts w:cs="FrankRuehl"/>
          <w:color w:val="000000"/>
          <w:sz w:val="28"/>
          <w:szCs w:val="28"/>
          <w:rtl/>
        </w:rPr>
        <w:t xml:space="preserve"> </w:t>
      </w:r>
      <w:r>
        <w:rPr>
          <w:rFonts w:ascii="Arial TUR" w:hAnsi="Arial TUR" w:cs="Miriam"/>
          <w:rtl/>
        </w:rPr>
        <w:t>מדינת ישראל נ' פקייה</w:t>
      </w:r>
      <w:r>
        <w:rPr>
          <w:rFonts w:cs="FrankRuehl"/>
          <w:color w:val="000000"/>
          <w:sz w:val="28"/>
          <w:szCs w:val="28"/>
          <w:rtl/>
        </w:rPr>
        <w:t xml:space="preserve"> (2.6.22) מדובר היה בנאשמים שפרצו לעגלה נגררת של משמר הגבול וגנבו ממנה ציוד, אמצעים לפיזור הפגנות ותחמושת. חלק מהחפצים הגנובים הושבו במהלך ההליך. בית המשפט קבע כי מתחם העונש ההולם נע בין 4 ל-8 שנים, וגזר על הנאשמים, נעדרי עבר פלילי, עונש של 4.5 שנות מאסר (לצד עונשים נוספים).</w:t>
      </w:r>
      <w:r>
        <w:rPr>
          <w:rFonts w:cs="FrankRuehl"/>
          <w:b/>
          <w:bCs/>
          <w:color w:val="000000"/>
          <w:sz w:val="28"/>
          <w:szCs w:val="28"/>
          <w:rtl/>
        </w:rPr>
        <w:t xml:space="preserve"> </w:t>
      </w:r>
      <w:r>
        <w:rPr>
          <w:rFonts w:cs="FrankRuehl"/>
          <w:color w:val="000000"/>
          <w:sz w:val="28"/>
          <w:szCs w:val="28"/>
          <w:rtl/>
        </w:rPr>
        <w:t>ערעור על גזרי הדין תלוי ועומד.</w:t>
      </w:r>
    </w:p>
    <w:p w14:paraId="402E7A35" w14:textId="77777777" w:rsidR="007A7D2A" w:rsidRDefault="007A7D2A" w:rsidP="007A7D2A">
      <w:pPr>
        <w:tabs>
          <w:tab w:val="left" w:pos="702"/>
        </w:tabs>
        <w:spacing w:after="240" w:line="360" w:lineRule="auto"/>
        <w:ind w:left="-7"/>
        <w:jc w:val="both"/>
        <w:rPr>
          <w:rFonts w:cs="FrankRuehl"/>
          <w:color w:val="000000"/>
          <w:sz w:val="28"/>
          <w:szCs w:val="28"/>
        </w:rPr>
      </w:pPr>
      <w:r>
        <w:rPr>
          <w:rFonts w:cs="FrankRuehl"/>
          <w:color w:val="000000"/>
          <w:sz w:val="28"/>
          <w:szCs w:val="28"/>
          <w:rtl/>
        </w:rPr>
        <w:tab/>
        <w:t>ב</w:t>
      </w:r>
      <w:hyperlink r:id="rId71" w:history="1">
        <w:r w:rsidR="003F12BD" w:rsidRPr="003F12BD">
          <w:rPr>
            <w:rFonts w:cs="FrankRuehl"/>
            <w:color w:val="0000FF"/>
            <w:sz w:val="28"/>
            <w:szCs w:val="28"/>
            <w:u w:val="single"/>
            <w:rtl/>
          </w:rPr>
          <w:t>ת"פ (מחוזי י-ם) 38340-03-19</w:t>
        </w:r>
      </w:hyperlink>
      <w:r>
        <w:rPr>
          <w:rFonts w:cs="FrankRuehl"/>
          <w:color w:val="000000"/>
          <w:sz w:val="28"/>
          <w:szCs w:val="28"/>
          <w:rtl/>
        </w:rPr>
        <w:t xml:space="preserve">, הנזכר בפיסקה </w:t>
      </w:r>
      <w:r w:rsidR="00BA6B15">
        <w:rPr>
          <w:rFonts w:ascii="FrankRuehl" w:hAnsi="FrankRuehl" w:cs="FrankRuehl"/>
          <w:color w:val="000000"/>
          <w:sz w:val="28"/>
          <w:szCs w:val="28"/>
          <w:rtl/>
        </w:rPr>
        <w:fldChar w:fldCharType="begin"/>
      </w:r>
      <w:r>
        <w:rPr>
          <w:rFonts w:ascii="FrankRuehl" w:hAnsi="FrankRuehl" w:cs="FrankRuehl"/>
          <w:color w:val="000000"/>
          <w:sz w:val="28"/>
          <w:szCs w:val="28"/>
          <w:rtl/>
        </w:rPr>
        <w:instrText xml:space="preserve"> </w:instrText>
      </w:r>
      <w:r>
        <w:rPr>
          <w:rFonts w:ascii="FrankRuehl" w:hAnsi="FrankRuehl" w:cs="FrankRuehl"/>
          <w:color w:val="000000"/>
          <w:sz w:val="28"/>
          <w:szCs w:val="28"/>
        </w:rPr>
        <w:instrText>REF</w:instrText>
      </w:r>
      <w:r>
        <w:rPr>
          <w:rFonts w:ascii="FrankRuehl" w:hAnsi="FrankRuehl" w:cs="FrankRuehl"/>
          <w:color w:val="000000"/>
          <w:sz w:val="28"/>
          <w:szCs w:val="28"/>
          <w:rtl/>
        </w:rPr>
        <w:instrText xml:space="preserve"> _</w:instrText>
      </w:r>
      <w:r>
        <w:rPr>
          <w:rFonts w:ascii="FrankRuehl" w:hAnsi="FrankRuehl" w:cs="FrankRuehl"/>
          <w:color w:val="000000"/>
          <w:sz w:val="28"/>
          <w:szCs w:val="28"/>
        </w:rPr>
        <w:instrText>Ref121302769 \r \h</w:instrText>
      </w:r>
      <w:r>
        <w:rPr>
          <w:rFonts w:ascii="FrankRuehl" w:hAnsi="FrankRuehl" w:cs="FrankRuehl"/>
          <w:color w:val="000000"/>
          <w:sz w:val="28"/>
          <w:szCs w:val="28"/>
          <w:rtl/>
        </w:rPr>
        <w:instrText xml:space="preserve"> </w:instrText>
      </w:r>
      <w:r>
        <w:rPr>
          <w:rFonts w:ascii="FrankRuehl" w:hAnsi="FrankRuehl" w:cs="FrankRuehl" w:hint="cs"/>
          <w:color w:val="000000"/>
          <w:sz w:val="28"/>
          <w:szCs w:val="28"/>
          <w:rtl/>
        </w:rPr>
        <w:instrText xml:space="preserve"> \* </w:instrText>
      </w:r>
      <w:r>
        <w:rPr>
          <w:rFonts w:ascii="FrankRuehl" w:hAnsi="FrankRuehl" w:cs="FrankRuehl"/>
          <w:color w:val="000000"/>
          <w:sz w:val="28"/>
          <w:szCs w:val="28"/>
        </w:rPr>
        <w:instrText>MERGEFORMAT</w:instrText>
      </w:r>
      <w:r>
        <w:rPr>
          <w:rFonts w:ascii="FrankRuehl" w:hAnsi="FrankRuehl" w:cs="FrankRuehl"/>
          <w:color w:val="000000"/>
          <w:sz w:val="28"/>
          <w:szCs w:val="28"/>
          <w:rtl/>
        </w:rPr>
        <w:instrText xml:space="preserve"> </w:instrText>
      </w:r>
      <w:r w:rsidR="00BA6B15">
        <w:rPr>
          <w:rFonts w:ascii="FrankRuehl" w:hAnsi="FrankRuehl" w:cs="FrankRuehl"/>
          <w:color w:val="000000"/>
          <w:sz w:val="28"/>
          <w:szCs w:val="28"/>
          <w:rtl/>
        </w:rPr>
      </w:r>
      <w:r w:rsidR="00BA6B15">
        <w:rPr>
          <w:rFonts w:ascii="FrankRuehl" w:hAnsi="FrankRuehl" w:cs="FrankRuehl"/>
          <w:color w:val="000000"/>
          <w:sz w:val="28"/>
          <w:szCs w:val="28"/>
          <w:rtl/>
        </w:rPr>
        <w:fldChar w:fldCharType="separate"/>
      </w:r>
      <w:r>
        <w:rPr>
          <w:rFonts w:ascii="FrankRuehl" w:hAnsi="FrankRuehl" w:cs="FrankRuehl"/>
          <w:color w:val="000000"/>
          <w:sz w:val="28"/>
          <w:szCs w:val="28"/>
          <w:cs/>
        </w:rPr>
        <w:t>‎</w:t>
      </w:r>
      <w:r>
        <w:rPr>
          <w:rFonts w:ascii="FrankRuehl" w:hAnsi="FrankRuehl" w:cs="FrankRuehl"/>
          <w:color w:val="000000"/>
          <w:sz w:val="28"/>
          <w:szCs w:val="28"/>
        </w:rPr>
        <w:t>15</w:t>
      </w:r>
      <w:r w:rsidR="00BA6B15">
        <w:rPr>
          <w:rFonts w:ascii="FrankRuehl" w:hAnsi="FrankRuehl" w:cs="FrankRuehl"/>
          <w:color w:val="000000"/>
          <w:sz w:val="28"/>
          <w:szCs w:val="28"/>
          <w:rtl/>
        </w:rPr>
        <w:fldChar w:fldCharType="end"/>
      </w:r>
      <w:r>
        <w:rPr>
          <w:rFonts w:cs="FrankRuehl"/>
          <w:color w:val="000000"/>
          <w:sz w:val="28"/>
          <w:szCs w:val="28"/>
          <w:rtl/>
        </w:rPr>
        <w:t xml:space="preserve"> לעיל, מדובר היה בנאשם שהתפרץ עם אחר לדירת מגורים וגנב ממנה אקדח ושלושה מחשבי לוח (טאבלטים). בית המשפט קבע כי מתחם העונש הוא בין 12 ל-36 חודשי מאסר, ונוכח הנסיבות האישיות של הנאשם, גילו הצעיר, הודאתו וניסיונותיו לשנות את דרכו גזר עליו 14 חודשים (לצד עונשים נוספים).</w:t>
      </w:r>
    </w:p>
    <w:p w14:paraId="52130856" w14:textId="77777777" w:rsidR="007A7D2A" w:rsidRDefault="007A7D2A" w:rsidP="007A7D2A">
      <w:pPr>
        <w:numPr>
          <w:ilvl w:val="0"/>
          <w:numId w:val="1"/>
        </w:numPr>
        <w:tabs>
          <w:tab w:val="left" w:pos="702"/>
        </w:tabs>
        <w:spacing w:after="240" w:line="360" w:lineRule="auto"/>
        <w:ind w:left="-7" w:firstLine="0"/>
        <w:jc w:val="both"/>
        <w:rPr>
          <w:rFonts w:cs="FrankRuehl"/>
          <w:b/>
          <w:bCs/>
          <w:color w:val="000000"/>
          <w:sz w:val="28"/>
          <w:szCs w:val="28"/>
          <w:rtl/>
        </w:rPr>
      </w:pPr>
      <w:r>
        <w:rPr>
          <w:rFonts w:cs="FrankRuehl"/>
          <w:color w:val="000000"/>
          <w:sz w:val="28"/>
          <w:szCs w:val="28"/>
          <w:rtl/>
        </w:rPr>
        <w:t xml:space="preserve">יוער כי שני הצדדים הפנו גם אל הליכים שבהם מדובר היה בעבירות של החזקה, נשיאה או הובלה של נשק ללא גניבתו (באופן המשקף לטעמי את ההבנה בדבר הקשר שבין עבירות אלה לעבירה של גניבת נשק, כאמור בפיסקה </w:t>
      </w:r>
      <w:r w:rsidR="00BA6B15">
        <w:rPr>
          <w:rFonts w:cs="FrankRuehl"/>
          <w:color w:val="000000"/>
          <w:sz w:val="28"/>
          <w:szCs w:val="28"/>
          <w:rtl/>
        </w:rPr>
        <w:fldChar w:fldCharType="begin"/>
      </w:r>
      <w:r>
        <w:rPr>
          <w:rFonts w:cs="FrankRuehl"/>
          <w:color w:val="000000"/>
          <w:sz w:val="28"/>
          <w:szCs w:val="28"/>
          <w:rtl/>
        </w:rPr>
        <w:instrText xml:space="preserve"> </w:instrText>
      </w:r>
      <w:r>
        <w:rPr>
          <w:rFonts w:cs="FrankRuehl"/>
          <w:color w:val="000000"/>
          <w:sz w:val="28"/>
          <w:szCs w:val="28"/>
        </w:rPr>
        <w:instrText>REF</w:instrText>
      </w:r>
      <w:r>
        <w:rPr>
          <w:rFonts w:cs="FrankRuehl"/>
          <w:color w:val="000000"/>
          <w:sz w:val="28"/>
          <w:szCs w:val="28"/>
          <w:rtl/>
        </w:rPr>
        <w:instrText xml:space="preserve"> _</w:instrText>
      </w:r>
      <w:r>
        <w:rPr>
          <w:rFonts w:cs="FrankRuehl"/>
          <w:color w:val="000000"/>
          <w:sz w:val="28"/>
          <w:szCs w:val="28"/>
        </w:rPr>
        <w:instrText>Ref121307362 \r \h</w:instrText>
      </w:r>
      <w:r>
        <w:rPr>
          <w:rFonts w:cs="FrankRuehl"/>
          <w:color w:val="000000"/>
          <w:sz w:val="28"/>
          <w:szCs w:val="28"/>
          <w:rtl/>
        </w:rPr>
        <w:instrText xml:space="preserve">  \* </w:instrText>
      </w:r>
      <w:r>
        <w:rPr>
          <w:rFonts w:cs="FrankRuehl"/>
          <w:color w:val="000000"/>
          <w:sz w:val="28"/>
          <w:szCs w:val="28"/>
        </w:rPr>
        <w:instrText>MERGEFORMAT</w:instrText>
      </w:r>
      <w:r>
        <w:rPr>
          <w:rFonts w:cs="FrankRuehl"/>
          <w:color w:val="000000"/>
          <w:sz w:val="28"/>
          <w:szCs w:val="28"/>
          <w:rtl/>
        </w:rPr>
        <w:instrText xml:space="preserve"> </w:instrText>
      </w:r>
      <w:r w:rsidR="00BA6B15">
        <w:rPr>
          <w:rFonts w:cs="FrankRuehl"/>
          <w:color w:val="000000"/>
          <w:sz w:val="28"/>
          <w:szCs w:val="28"/>
          <w:rtl/>
        </w:rPr>
      </w:r>
      <w:r w:rsidR="00BA6B15">
        <w:rPr>
          <w:rFonts w:cs="FrankRuehl"/>
          <w:color w:val="000000"/>
          <w:sz w:val="28"/>
          <w:szCs w:val="28"/>
          <w:rtl/>
        </w:rPr>
        <w:fldChar w:fldCharType="separate"/>
      </w:r>
      <w:r>
        <w:rPr>
          <w:rFonts w:cs="FrankRuehl"/>
          <w:color w:val="000000"/>
          <w:sz w:val="28"/>
          <w:szCs w:val="28"/>
          <w:cs/>
        </w:rPr>
        <w:t>‎</w:t>
      </w:r>
      <w:r>
        <w:rPr>
          <w:rFonts w:ascii="FrankRuehl" w:hAnsi="FrankRuehl" w:cs="FrankRuehl"/>
          <w:color w:val="000000"/>
          <w:sz w:val="28"/>
          <w:szCs w:val="28"/>
        </w:rPr>
        <w:t>14</w:t>
      </w:r>
      <w:r w:rsidR="00BA6B15">
        <w:rPr>
          <w:rFonts w:cs="FrankRuehl"/>
          <w:color w:val="000000"/>
          <w:sz w:val="28"/>
          <w:szCs w:val="28"/>
          <w:rtl/>
        </w:rPr>
        <w:fldChar w:fldCharType="end"/>
      </w:r>
      <w:r>
        <w:rPr>
          <w:rFonts w:cs="FrankRuehl"/>
          <w:color w:val="000000"/>
          <w:sz w:val="28"/>
          <w:szCs w:val="28"/>
          <w:rtl/>
        </w:rPr>
        <w:t xml:space="preserve"> לעיל).</w:t>
      </w:r>
    </w:p>
    <w:p w14:paraId="3F33B737" w14:textId="77777777" w:rsidR="007A7D2A" w:rsidRDefault="007A7D2A" w:rsidP="007A7D2A">
      <w:pPr>
        <w:tabs>
          <w:tab w:val="left" w:pos="702"/>
        </w:tabs>
        <w:spacing w:after="240" w:line="360" w:lineRule="auto"/>
        <w:ind w:left="-7"/>
        <w:jc w:val="both"/>
        <w:rPr>
          <w:rFonts w:cs="FrankRuehl"/>
          <w:color w:val="000000"/>
          <w:sz w:val="28"/>
          <w:szCs w:val="28"/>
        </w:rPr>
      </w:pPr>
      <w:r>
        <w:rPr>
          <w:rFonts w:cs="FrankRuehl"/>
          <w:color w:val="000000"/>
          <w:sz w:val="28"/>
          <w:szCs w:val="28"/>
          <w:rtl/>
        </w:rPr>
        <w:tab/>
        <w:t xml:space="preserve">כך, המאשימה הפנתה אל </w:t>
      </w:r>
      <w:hyperlink r:id="rId72" w:history="1">
        <w:r w:rsidR="003F12BD" w:rsidRPr="003F12BD">
          <w:rPr>
            <w:rFonts w:cs="FrankRuehl"/>
            <w:color w:val="0000FF"/>
            <w:sz w:val="28"/>
            <w:szCs w:val="28"/>
            <w:u w:val="single"/>
            <w:rtl/>
          </w:rPr>
          <w:t>ת"פ (מחוזי מרכז) 12466-10-21</w:t>
        </w:r>
      </w:hyperlink>
      <w:r>
        <w:rPr>
          <w:rFonts w:cs="FrankRuehl"/>
          <w:color w:val="000000"/>
          <w:sz w:val="28"/>
          <w:szCs w:val="28"/>
          <w:rtl/>
        </w:rPr>
        <w:t xml:space="preserve"> </w:t>
      </w:r>
      <w:r>
        <w:rPr>
          <w:rFonts w:ascii="Arial TUR" w:hAnsi="Arial TUR" w:cs="Miriam"/>
          <w:rtl/>
        </w:rPr>
        <w:t>מדינת ישראל נ' נופל</w:t>
      </w:r>
      <w:r>
        <w:rPr>
          <w:rFonts w:cs="FrankRuehl"/>
          <w:color w:val="000000"/>
          <w:sz w:val="28"/>
          <w:szCs w:val="28"/>
          <w:rtl/>
        </w:rPr>
        <w:t xml:space="preserve"> (19.9.2022). באותו מקרה מדובר היה במי שהוביל תת מקלע מאולתר ומחסנית תואמת ובה כדורים בטבורה של עיר, ואף נמלט משוטרים שביקשו לעצרו. בית המשפט קבע כי מתחם העונש ההולם הוא בין 22 ל-45 חודשי מאסר, ונוכח הנסיבות האישיות וגילו הצעיר של הנאשם גזר עליו את הרף התחתון של המתחם (לצד עונשים נוספים).</w:t>
      </w:r>
    </w:p>
    <w:p w14:paraId="3E088901" w14:textId="77777777" w:rsidR="007A7D2A" w:rsidRDefault="007A7D2A" w:rsidP="007A7D2A">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 xml:space="preserve">המאשימה הפנתה גם אל </w:t>
      </w:r>
      <w:hyperlink r:id="rId73" w:history="1">
        <w:r w:rsidR="003F12BD" w:rsidRPr="003F12BD">
          <w:rPr>
            <w:rFonts w:cs="FrankRuehl"/>
            <w:color w:val="0000FF"/>
            <w:sz w:val="28"/>
            <w:szCs w:val="28"/>
            <w:u w:val="single"/>
            <w:rtl/>
          </w:rPr>
          <w:t>ת"פ (מחוזי י-ם) 1136-11-21</w:t>
        </w:r>
      </w:hyperlink>
      <w:r>
        <w:rPr>
          <w:rFonts w:cs="FrankRuehl"/>
          <w:color w:val="000000"/>
          <w:sz w:val="28"/>
          <w:szCs w:val="28"/>
          <w:rtl/>
        </w:rPr>
        <w:t xml:space="preserve"> </w:t>
      </w:r>
      <w:r>
        <w:rPr>
          <w:rFonts w:ascii="Arial TUR" w:hAnsi="Arial TUR" w:cs="Miriam"/>
          <w:rtl/>
        </w:rPr>
        <w:t>מדינת ישראל נ' שאריף</w:t>
      </w:r>
      <w:r>
        <w:rPr>
          <w:rFonts w:cs="FrankRuehl"/>
          <w:color w:val="000000"/>
          <w:sz w:val="28"/>
          <w:szCs w:val="28"/>
          <w:rtl/>
        </w:rPr>
        <w:t xml:space="preserve"> (20.7.2022), שם מדובר היה בנאשם שנשא לרכבו והחזיק בו אקדח ושתי מחסניות שבהן כדורים לאקדח, לצד כמות נכבדה של סמים שהיו מחולקים לאריזות קטנות וכן סכום נכבד במזומן. בית המשפט קבע כי מתחם העונש ההולם לעבירות הנשק הוא בין 25 ל-40 חודשי מאסר. העונש שנגזר היה של 40 חודשי מאסר, אך הוא שקלל גם את עבירות הסמים שבהן הורשע הנאשם.</w:t>
      </w:r>
    </w:p>
    <w:p w14:paraId="687CC4E7" w14:textId="77777777" w:rsidR="007A7D2A" w:rsidRDefault="007A7D2A" w:rsidP="007A7D2A">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 xml:space="preserve">הנאשם מצידו הפנה אל </w:t>
      </w:r>
      <w:hyperlink r:id="rId74" w:history="1">
        <w:r w:rsidR="003F12BD" w:rsidRPr="003F12BD">
          <w:rPr>
            <w:rFonts w:cs="FrankRuehl"/>
            <w:color w:val="0000FF"/>
            <w:sz w:val="28"/>
            <w:szCs w:val="28"/>
            <w:u w:val="single"/>
            <w:rtl/>
          </w:rPr>
          <w:t>ת"פ (מחוזי י-ם) 51523-10-17</w:t>
        </w:r>
      </w:hyperlink>
      <w:r>
        <w:rPr>
          <w:rFonts w:cs="FrankRuehl"/>
          <w:color w:val="000000"/>
          <w:sz w:val="28"/>
          <w:szCs w:val="28"/>
          <w:rtl/>
        </w:rPr>
        <w:t xml:space="preserve"> </w:t>
      </w:r>
      <w:r>
        <w:rPr>
          <w:rFonts w:ascii="Arial TUR" w:hAnsi="Arial TUR" w:cs="Miriam"/>
          <w:rtl/>
        </w:rPr>
        <w:t>מדינת ישראל נ' בזלמית</w:t>
      </w:r>
      <w:r>
        <w:rPr>
          <w:rFonts w:cs="FrankRuehl"/>
          <w:color w:val="000000"/>
          <w:sz w:val="28"/>
          <w:szCs w:val="28"/>
          <w:rtl/>
        </w:rPr>
        <w:t xml:space="preserve"> (2.5.2018) מדובר היה במי שרכש תת מקלע ומחסנית והוביל אותם ממקום הרכישה ברכבו. בית המשפט קבע כי מתחם העונש ההולם הוא בין 9 ל-24 חודשי מאסר, ובשל נסיבותיו האישיות של הנאשם, לרבות גילו, הודאתו ונטילת האחריות על ידו וכן העדר עבר פלילי, גזר עליו את הרף התחתון של המתחם.</w:t>
      </w:r>
    </w:p>
    <w:p w14:paraId="159AAE15"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 xml:space="preserve">פסקי הדין שהובאו שונים זה מזה ומן המקרה שכאן בעניינים שונים הקשורים לנסיבות ביצוע העבירה: מידת התכנון; היקף הנשק שנגנב ומהותו (ככל שהייתה כלל גניבה); משך ההחזקה בו; חלקו של הנאשם בעבירה; ועוד. כמו כן הם כמובן שונים זה מזה בהתייחס לנסיבות שאינן קשורות בביצוע העבירה. פסקי הדין גם קדמו כאמור לפסק הדין בעניין </w:t>
      </w:r>
      <w:r>
        <w:rPr>
          <w:rFonts w:ascii="Arial TUR" w:hAnsi="Arial TUR" w:cs="Miriam"/>
          <w:rtl/>
        </w:rPr>
        <w:t>פלוני</w:t>
      </w:r>
      <w:r>
        <w:rPr>
          <w:rFonts w:cs="FrankRuehl"/>
          <w:color w:val="000000"/>
          <w:sz w:val="28"/>
          <w:szCs w:val="28"/>
          <w:rtl/>
        </w:rPr>
        <w:t xml:space="preserve"> וקביעתו את מתחם העונש ההולם בעבירה של נשיאת נשק "בלבד" (פסק הדין ב</w:t>
      </w:r>
      <w:hyperlink r:id="rId75" w:history="1">
        <w:r w:rsidR="003F12BD" w:rsidRPr="003F12BD">
          <w:rPr>
            <w:rFonts w:cs="FrankRuehl"/>
            <w:color w:val="0000FF"/>
            <w:sz w:val="28"/>
            <w:szCs w:val="28"/>
            <w:u w:val="single"/>
            <w:rtl/>
          </w:rPr>
          <w:t>ת"פ 12466-10-21</w:t>
        </w:r>
      </w:hyperlink>
      <w:r>
        <w:rPr>
          <w:rFonts w:cs="FrankRuehl"/>
          <w:color w:val="000000"/>
          <w:sz w:val="28"/>
          <w:szCs w:val="28"/>
          <w:rtl/>
        </w:rPr>
        <w:t xml:space="preserve"> ניתן אמנם חמישה ימים לאחר פסק הדין בעניין </w:t>
      </w:r>
      <w:r>
        <w:rPr>
          <w:rFonts w:ascii="Arial TUR" w:hAnsi="Arial TUR" w:cs="Miriam"/>
          <w:rtl/>
        </w:rPr>
        <w:t>פלוני</w:t>
      </w:r>
      <w:r>
        <w:rPr>
          <w:rFonts w:cs="FrankRuehl"/>
          <w:color w:val="000000"/>
          <w:sz w:val="28"/>
          <w:szCs w:val="28"/>
          <w:rtl/>
        </w:rPr>
        <w:t>, אך הוא אינו מזכיר אותו).</w:t>
      </w:r>
    </w:p>
    <w:p w14:paraId="6A151F23" w14:textId="77777777" w:rsidR="007A7D2A" w:rsidRDefault="007A7D2A" w:rsidP="007A7D2A">
      <w:pPr>
        <w:keepNext/>
        <w:tabs>
          <w:tab w:val="left" w:pos="702"/>
        </w:tabs>
        <w:spacing w:after="240"/>
        <w:rPr>
          <w:rFonts w:cs="FrankRuehl"/>
          <w:color w:val="000000"/>
          <w:sz w:val="28"/>
          <w:szCs w:val="28"/>
        </w:rPr>
      </w:pPr>
      <w:r>
        <w:rPr>
          <w:rFonts w:cs="FrankRuehl"/>
          <w:i/>
          <w:iCs/>
          <w:color w:val="000000"/>
          <w:sz w:val="28"/>
          <w:szCs w:val="28"/>
          <w:rtl/>
        </w:rPr>
        <w:t>ד(2)(4) המסקנה בעניין מתחם העונש ההולם למעשי הנאשם</w:t>
      </w:r>
    </w:p>
    <w:p w14:paraId="475874CE"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כפי שכבר צוין, העבירה של גניבת נשק היא בעלת זיקה הדוקה לעבירה של נשיאתו, ועבירת הנשיאה אף מהווה חלק מן היסוד העובדתי של הגניבה. בנסיבות אלה, יש לטעמי ליתן משקל של ממש לקביעה בעניין </w:t>
      </w:r>
      <w:r>
        <w:rPr>
          <w:rFonts w:ascii="Arial TUR" w:hAnsi="Arial TUR" w:cs="Miriam"/>
          <w:rtl/>
        </w:rPr>
        <w:t>פלוני</w:t>
      </w:r>
      <w:r>
        <w:rPr>
          <w:rFonts w:cs="FrankRuehl"/>
          <w:color w:val="000000"/>
          <w:sz w:val="28"/>
          <w:szCs w:val="28"/>
          <w:rtl/>
        </w:rPr>
        <w:t xml:space="preserve"> בנוגע למתחם העונש ההולם בעבירה של נשיאת נשק, אשר הועמד על 30 עד 42 חודשי מאסר. לפסקי הדין שקדמו לכך יש לטעמי ליתן משקל מוגבל. במקרה שכאן לעבירה זו נלוותה גם עבירת הגניבה מרכב של הטלפון הסלולרי ושטרות הכסף, באופן המצדיק לקבוע מתחם חמור יותר מזה שהיה נקבע לו מדובר היה רק בגניבת הנשק.</w:t>
      </w:r>
    </w:p>
    <w:p w14:paraId="2785DCAD"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מנגד, סבורני כי לא ניתן ליישם את מה שנקבע בעניין </w:t>
      </w:r>
      <w:r>
        <w:rPr>
          <w:rFonts w:ascii="Arial TUR" w:hAnsi="Arial TUR" w:cs="Miriam"/>
          <w:rtl/>
        </w:rPr>
        <w:t>פלוני</w:t>
      </w:r>
      <w:r>
        <w:rPr>
          <w:rFonts w:cs="FrankRuehl"/>
          <w:color w:val="000000"/>
          <w:sz w:val="28"/>
          <w:szCs w:val="28"/>
          <w:rtl/>
        </w:rPr>
        <w:t xml:space="preserve"> על המקרה שכאן בלי להכיר בשוני שבין המקרים: במקרה שם הנשיאה הייתה לב העבירה, שכן מדובר היה כאמור במי שנשא אקדח ברכב שבו נסע ברחבי העיר. גם מידת הפגיעה בערכים המוגנים על ידי עבירת נשיאת הנשק  הייתה לא מבוטלת. במקרה שכאן, לעומת זאת, הנשיאה הייתה טפלה לגניבה – החמורה כלשעצמה – ולמרחק קצר ביותר, כך שמידת פגיעתה בערכים המוגנים הייתה נמוכה יותר.</w:t>
      </w:r>
    </w:p>
    <w:p w14:paraId="556FAA85"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כמו כן יש לטעמי ליתן משקל לכך שבכתב האישום המקורי הואשם הנאשם בעבירה נפרדת של נשיאת נשק, והיא נמחקה ממנו במסגרת הסדר הטיעון. נוכח טיעוני המאשימה עצמה בנוגע למהות עבירת גניבת הנשק, לא ברור מדוע היא בחרה לכלול מראש בכתב האישום גם את עבירת נשיאת הנשק, אולם במצב שנוצר התייחסות לעבירה שנותרה כטומנת בחובה גם את העבירה שנמחקה מעוררת קושי.</w:t>
      </w:r>
    </w:p>
    <w:p w14:paraId="37ED89B5"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באיזון שבין מכלול השיקולים, לקולא ולחומרא, סבורני כי יש להעמיד את מתחם העונש ההולם למעשי הנאשם על בין 30 ל-42 חודשי מאסר בפועל, בדומה למה שנקבע בעניין </w:t>
      </w:r>
      <w:r>
        <w:rPr>
          <w:rFonts w:ascii="Arial TUR" w:hAnsi="Arial TUR" w:cs="Miriam"/>
          <w:rtl/>
        </w:rPr>
        <w:t>פלוני</w:t>
      </w:r>
      <w:r>
        <w:rPr>
          <w:rFonts w:cs="FrankRuehl"/>
          <w:color w:val="000000"/>
          <w:sz w:val="28"/>
          <w:szCs w:val="28"/>
          <w:rtl/>
        </w:rPr>
        <w:t xml:space="preserve"> לגבי נשיאת נשק במרחב הציבורי.</w:t>
      </w:r>
    </w:p>
    <w:p w14:paraId="2EC8B2FB"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כמו כן נוכח העובדה שהעבירות נועדו להביא תועלת חומרית לנאשם, סבורני כי מתחם העונש ההולם אמור לכלול עונש קנס (ראו </w:t>
      </w:r>
      <w:hyperlink r:id="rId76" w:history="1">
        <w:r w:rsidR="00586130" w:rsidRPr="00586130">
          <w:rPr>
            <w:rStyle w:val="Hyperlink"/>
            <w:rFonts w:cs="FrankRuehl"/>
            <w:sz w:val="28"/>
            <w:szCs w:val="28"/>
            <w:rtl/>
          </w:rPr>
          <w:t>סעיף 40ח</w:t>
        </w:r>
      </w:hyperlink>
      <w:r>
        <w:rPr>
          <w:rFonts w:cs="FrankRuehl"/>
          <w:color w:val="000000"/>
          <w:sz w:val="28"/>
          <w:szCs w:val="28"/>
          <w:rtl/>
        </w:rPr>
        <w:t xml:space="preserve"> ל</w:t>
      </w:r>
      <w:hyperlink r:id="rId77" w:history="1">
        <w:r w:rsidR="003F12BD" w:rsidRPr="003F12BD">
          <w:rPr>
            <w:rFonts w:cs="FrankRuehl"/>
            <w:color w:val="0000FF"/>
            <w:sz w:val="28"/>
            <w:szCs w:val="28"/>
            <w:u w:val="single"/>
            <w:rtl/>
          </w:rPr>
          <w:t>חוק העונשין</w:t>
        </w:r>
      </w:hyperlink>
      <w:r>
        <w:rPr>
          <w:rFonts w:cs="FrankRuehl"/>
          <w:color w:val="000000"/>
          <w:sz w:val="28"/>
          <w:szCs w:val="28"/>
          <w:rtl/>
        </w:rPr>
        <w:t>). לא הובאו ראיות בנוגע למצבו הכלכלי של הנאשם, ועל כן בשים לב לשווי המשוער של הרכוש שנגנב ולכך שהוא נתפס סבורני כי מתחם עונש הקנס ההולם עומד על סך של בין 4,000 ל-12,000 ₪.</w:t>
      </w:r>
    </w:p>
    <w:p w14:paraId="648712EF" w14:textId="77777777" w:rsidR="007A7D2A" w:rsidRDefault="007A7D2A" w:rsidP="007A7D2A">
      <w:pPr>
        <w:tabs>
          <w:tab w:val="left" w:pos="702"/>
        </w:tabs>
        <w:spacing w:after="240"/>
        <w:ind w:left="-7"/>
        <w:rPr>
          <w:rFonts w:cs="FrankRuehl"/>
          <w:color w:val="000000"/>
          <w:sz w:val="28"/>
          <w:szCs w:val="28"/>
        </w:rPr>
      </w:pPr>
      <w:r>
        <w:rPr>
          <w:rFonts w:cs="FrankRuehl"/>
          <w:color w:val="000000"/>
          <w:sz w:val="28"/>
          <w:szCs w:val="28"/>
          <w:rtl/>
        </w:rPr>
        <w:t xml:space="preserve">ד(3) </w:t>
      </w:r>
      <w:r>
        <w:rPr>
          <w:rFonts w:cs="FrankRuehl"/>
          <w:color w:val="000000"/>
          <w:sz w:val="28"/>
          <w:szCs w:val="28"/>
          <w:u w:val="single"/>
          <w:rtl/>
        </w:rPr>
        <w:t>נסיבות שאינן קשורות לביצוע העבירה</w:t>
      </w:r>
    </w:p>
    <w:p w14:paraId="2CEE4D2B"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בגזירת עונשו של הנאשם בתוך המתחם יש להתחשב בנסיבות שאינן קשורות בביצוע העבירה. במקרה שכאן מדובר בנאשם כבן 33, היינו מי שאינו מצוי בתחילת דרכו. כמו כן אין זו הפעם הראשונה שבה מורשע הנאשם בפלילים: הנאשם הורשע בשנת 2016 בגניבה, שבגינה הוטל עליו עונש של מאסר על תנאי וקנס; ורק לאחרונה הורשע שוב בשתי עבירות של פריצה לרכב בכוונה לגנוב ובשתי עבירות של גניבה, והוטל עליו כאמור עונש מאסר בפועל של תשעה חודשים שאותו הוא מרצה כעת (לצד עונשים נוספים).</w:t>
      </w:r>
    </w:p>
    <w:p w14:paraId="4D132524"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מנגד עברו הפלילי של הנאשם אינו מן המכבידים ביותר, ובכל מקרה הוא אינו כולל הרשעות כלשהן בעבירות נשק בכלל ובגניבת נשק בפרט, שהיא העבירה החמורה במיוחד במקרה שכאן (כאשר כאמור גם לגביה הרושם הוא שמדובר היה ב"ניצול הזדמנות" של רגע, בלא שהנאשם ציפה להיתקל באקדח שאותו גנב לבסוף, ראו פיסקה </w:t>
      </w:r>
      <w:r w:rsidR="00BA6B15">
        <w:rPr>
          <w:rFonts w:cs="FrankRuehl"/>
          <w:color w:val="000000"/>
          <w:sz w:val="28"/>
          <w:szCs w:val="28"/>
          <w:rtl/>
        </w:rPr>
        <w:fldChar w:fldCharType="begin"/>
      </w:r>
      <w:r>
        <w:rPr>
          <w:rFonts w:cs="FrankRuehl"/>
          <w:color w:val="000000"/>
          <w:sz w:val="28"/>
          <w:szCs w:val="28"/>
          <w:rtl/>
        </w:rPr>
        <w:instrText xml:space="preserve"> </w:instrText>
      </w:r>
      <w:r>
        <w:rPr>
          <w:rFonts w:cs="FrankRuehl"/>
          <w:color w:val="000000"/>
          <w:sz w:val="28"/>
          <w:szCs w:val="28"/>
        </w:rPr>
        <w:instrText>REF</w:instrText>
      </w:r>
      <w:r>
        <w:rPr>
          <w:rFonts w:cs="FrankRuehl"/>
          <w:color w:val="000000"/>
          <w:sz w:val="28"/>
          <w:szCs w:val="28"/>
          <w:rtl/>
        </w:rPr>
        <w:instrText xml:space="preserve"> _</w:instrText>
      </w:r>
      <w:r>
        <w:rPr>
          <w:rFonts w:cs="FrankRuehl"/>
          <w:color w:val="000000"/>
          <w:sz w:val="28"/>
          <w:szCs w:val="28"/>
        </w:rPr>
        <w:instrText>Ref121744398 \r \h</w:instrText>
      </w:r>
      <w:r>
        <w:rPr>
          <w:rFonts w:cs="FrankRuehl"/>
          <w:color w:val="000000"/>
          <w:sz w:val="28"/>
          <w:szCs w:val="28"/>
          <w:rtl/>
        </w:rPr>
        <w:instrText xml:space="preserve">  \* </w:instrText>
      </w:r>
      <w:r>
        <w:rPr>
          <w:rFonts w:cs="FrankRuehl"/>
          <w:color w:val="000000"/>
          <w:sz w:val="28"/>
          <w:szCs w:val="28"/>
        </w:rPr>
        <w:instrText>MERGEFORMAT</w:instrText>
      </w:r>
      <w:r>
        <w:rPr>
          <w:rFonts w:cs="FrankRuehl"/>
          <w:color w:val="000000"/>
          <w:sz w:val="28"/>
          <w:szCs w:val="28"/>
          <w:rtl/>
        </w:rPr>
        <w:instrText xml:space="preserve"> </w:instrText>
      </w:r>
      <w:r w:rsidR="00BA6B15">
        <w:rPr>
          <w:rFonts w:cs="FrankRuehl"/>
          <w:color w:val="000000"/>
          <w:sz w:val="28"/>
          <w:szCs w:val="28"/>
          <w:rtl/>
        </w:rPr>
      </w:r>
      <w:r w:rsidR="00BA6B15">
        <w:rPr>
          <w:rFonts w:cs="FrankRuehl"/>
          <w:color w:val="000000"/>
          <w:sz w:val="28"/>
          <w:szCs w:val="28"/>
          <w:rtl/>
        </w:rPr>
        <w:fldChar w:fldCharType="separate"/>
      </w:r>
      <w:r>
        <w:rPr>
          <w:rFonts w:cs="FrankRuehl"/>
          <w:color w:val="000000"/>
          <w:sz w:val="28"/>
          <w:szCs w:val="28"/>
          <w:cs/>
        </w:rPr>
        <w:t>‎</w:t>
      </w:r>
      <w:r>
        <w:rPr>
          <w:rFonts w:cs="FrankRuehl"/>
          <w:color w:val="000000"/>
        </w:rPr>
        <w:t>18</w:t>
      </w:r>
      <w:r w:rsidR="00BA6B15">
        <w:rPr>
          <w:rFonts w:cs="FrankRuehl"/>
          <w:color w:val="000000"/>
          <w:sz w:val="28"/>
          <w:szCs w:val="28"/>
          <w:rtl/>
        </w:rPr>
        <w:fldChar w:fldCharType="end"/>
      </w:r>
      <w:r>
        <w:rPr>
          <w:rFonts w:cs="FrankRuehl"/>
          <w:color w:val="000000"/>
          <w:sz w:val="28"/>
          <w:szCs w:val="28"/>
          <w:rtl/>
        </w:rPr>
        <w:t xml:space="preserve"> לעיל). כמו כן יש ליתן משקל ממשי לכך שבסופו של דבר הנאשם נטל אחריות על מעשיו, ואף הביא לחיסכון במשאבים שיפוטיים ובמשאבי גורמי האכיפה. יש גם משקל למצבו האישי והרפואי של הנאשם נוכח אירוע הירי שבו נפגע.</w:t>
      </w:r>
    </w:p>
    <w:p w14:paraId="7284AA98"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באיזון בין השיקולים השונים, ובתיתי דעתי להודאת הנאשם, להעדר עבר פלילי בעבירות נשק, ולמצבו הרפואי, אני סבור שיש לגזור עליו עונש של 32 חודשי מאסר בפועל, המצוי בחלקו התחתון של המתחם אם כי לא ברף התחתון שלו, וזאת בנוסף למאסר על תנאי כפי שיפורט להלן. כמו כן בשים לב לשווי המשוער של החפצים שנגנבו ולכך שנתפסו, סבורני כי יש לגזור על הנאשם קנס בסך של 4,500 ₪.</w:t>
      </w:r>
    </w:p>
    <w:p w14:paraId="66918539" w14:textId="77777777" w:rsidR="007A7D2A" w:rsidRDefault="007A7D2A" w:rsidP="007A7D2A">
      <w:pPr>
        <w:tabs>
          <w:tab w:val="left" w:pos="702"/>
        </w:tabs>
        <w:spacing w:after="240"/>
        <w:ind w:left="-7"/>
        <w:rPr>
          <w:rFonts w:cs="FrankRuehl"/>
          <w:color w:val="000000"/>
          <w:sz w:val="28"/>
          <w:szCs w:val="28"/>
        </w:rPr>
      </w:pPr>
      <w:r>
        <w:rPr>
          <w:rFonts w:cs="FrankRuehl"/>
          <w:color w:val="000000"/>
          <w:sz w:val="28"/>
          <w:szCs w:val="28"/>
          <w:rtl/>
        </w:rPr>
        <w:t xml:space="preserve">ד(4) </w:t>
      </w:r>
      <w:r>
        <w:rPr>
          <w:rFonts w:cs="FrankRuehl"/>
          <w:color w:val="000000"/>
          <w:sz w:val="28"/>
          <w:szCs w:val="28"/>
          <w:u w:val="single"/>
          <w:rtl/>
        </w:rPr>
        <w:t>הצטברות או חפיפת עונש המאסר וניכוי ימי המעצר</w:t>
      </w:r>
    </w:p>
    <w:p w14:paraId="77B0CD38"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כפי שכבר צוין, הנאשם מרצה כעת עונש מאסר בן תשעה חודשים שהוטל עליו במסגרת הליך קודם, שבו הורשע בעבירות רכוש שונות במסגרת שלושה אירועים (</w:t>
      </w:r>
      <w:hyperlink r:id="rId78" w:history="1">
        <w:r w:rsidR="003F12BD" w:rsidRPr="003F12BD">
          <w:rPr>
            <w:rFonts w:cs="FrankRuehl"/>
            <w:color w:val="0000FF"/>
            <w:sz w:val="28"/>
            <w:szCs w:val="28"/>
            <w:u w:val="single"/>
            <w:rtl/>
          </w:rPr>
          <w:t>ת"פ 5788-02-19</w:t>
        </w:r>
      </w:hyperlink>
      <w:r>
        <w:rPr>
          <w:rFonts w:cs="FrankRuehl"/>
          <w:color w:val="000000"/>
          <w:sz w:val="28"/>
          <w:szCs w:val="28"/>
          <w:rtl/>
        </w:rPr>
        <w:t xml:space="preserve">; </w:t>
      </w:r>
      <w:hyperlink r:id="rId79" w:history="1">
        <w:r w:rsidR="003F12BD" w:rsidRPr="003F12BD">
          <w:rPr>
            <w:rFonts w:cs="FrankRuehl"/>
            <w:color w:val="0000FF"/>
            <w:sz w:val="28"/>
            <w:szCs w:val="28"/>
            <w:u w:val="single"/>
            <w:rtl/>
          </w:rPr>
          <w:t>ת"פ 61347-02-22</w:t>
        </w:r>
      </w:hyperlink>
      <w:r>
        <w:rPr>
          <w:rFonts w:cs="FrankRuehl"/>
          <w:color w:val="000000"/>
          <w:sz w:val="28"/>
          <w:szCs w:val="28"/>
          <w:rtl/>
        </w:rPr>
        <w:t>). העונש הוטל על הנאשם במהלך התקופה שבה הוא היה עצור במסגרת ההליך שכאן, כך שבחלק מן התקופה היה הנאשם עציר ואסיר בעת ובעונה אחת.</w:t>
      </w:r>
    </w:p>
    <w:p w14:paraId="54BDE4AA"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המאשימה עתרה כאמור לקבוע כי העונש המוטל על הנאשם בהליך שכאן ירוצה במצטבר לעונש שהוטל עליו בהליך הקודם, ואילו הנאשם עתר להורות כי עונש זה ירוצה בחופף.</w:t>
      </w:r>
    </w:p>
    <w:p w14:paraId="13FA2966"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ab/>
        <w:t>סבורני כי יש לקבל את עמדת המאשימה בעיקרה, כך שמרבית העונש שהוטל על הנאשם ירוצה במצטבר, למעט חודשיים מתוכו שירוצו בחופף. אנמק את מסקנתי.</w:t>
      </w:r>
    </w:p>
    <w:p w14:paraId="7F12E726"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ab/>
        <w:t xml:space="preserve">האירועים שבגינם מרצה הנאשם עונש מאסר הם נפרדים לחלוטין מן האירוע מושא ההליך שכאן, ואינם בעלי זיקה כלשהי אליו מבחינת הזמן או המקום. כמו כן האירוע שכאן משקף חומרה יתירה בשל גניבת הנשק מצד הנאשם. בנסיבות אלה, עקרון ההלימה שלאורו יש לפעול בעת גזירת דינו של הנאשם מצדיק שהעונש המוטל עליו בהליך הנוכחי ירוצה במצטבר לעונש שכבר הוטל עליו בהליך קודם. במסקנה זו תומכים גם שיקולי הרתעה, בייחוד נוכח העובדה שאת המעשים שבהם הורשע הנאשם בהליך שכאן הוא ביצע כאשר ההליך הקודם היה תלוי ועומד נגדו, ולכן אין סיבה שקיומו של אותו הליך יביא לתוצאה שמבחינה מעשית משקפת דווקא הקלה בדינו (ראו </w:t>
      </w:r>
      <w:hyperlink r:id="rId80" w:history="1">
        <w:r w:rsidR="003F12BD" w:rsidRPr="003F12BD">
          <w:rPr>
            <w:rFonts w:cs="FrankRuehl"/>
            <w:color w:val="0000FF"/>
            <w:sz w:val="28"/>
            <w:szCs w:val="28"/>
            <w:u w:val="single"/>
            <w:rtl/>
          </w:rPr>
          <w:t>ע"פ 7907/14</w:t>
        </w:r>
      </w:hyperlink>
      <w:r>
        <w:rPr>
          <w:rFonts w:cs="FrankRuehl"/>
          <w:color w:val="000000"/>
          <w:sz w:val="28"/>
          <w:szCs w:val="28"/>
          <w:rtl/>
        </w:rPr>
        <w:t xml:space="preserve"> </w:t>
      </w:r>
      <w:r>
        <w:rPr>
          <w:rFonts w:ascii="Arial TUR" w:hAnsi="Arial TUR" w:cs="Miriam"/>
          <w:rtl/>
        </w:rPr>
        <w:t>ואזנה נ' מדינת ישראל</w:t>
      </w:r>
      <w:r>
        <w:rPr>
          <w:rFonts w:cs="FrankRuehl"/>
          <w:color w:val="000000"/>
          <w:sz w:val="28"/>
          <w:szCs w:val="28"/>
          <w:rtl/>
        </w:rPr>
        <w:t xml:space="preserve">, פיסקאות 18-16 (22.2.2015); </w:t>
      </w:r>
      <w:hyperlink r:id="rId81" w:history="1">
        <w:r w:rsidR="003F12BD" w:rsidRPr="003F12BD">
          <w:rPr>
            <w:rFonts w:cs="FrankRuehl"/>
            <w:color w:val="0000FF"/>
            <w:sz w:val="28"/>
            <w:szCs w:val="28"/>
            <w:u w:val="single"/>
            <w:rtl/>
          </w:rPr>
          <w:t>ע"פ 7786/21</w:t>
        </w:r>
      </w:hyperlink>
      <w:r>
        <w:rPr>
          <w:rFonts w:cs="FrankRuehl"/>
          <w:color w:val="000000"/>
          <w:sz w:val="28"/>
          <w:szCs w:val="28"/>
          <w:rtl/>
        </w:rPr>
        <w:t xml:space="preserve"> </w:t>
      </w:r>
      <w:r>
        <w:rPr>
          <w:rFonts w:ascii="Arial TUR" w:hAnsi="Arial TUR" w:cs="Miriam"/>
          <w:rtl/>
        </w:rPr>
        <w:t>אזמה נ' מדינת ישראל</w:t>
      </w:r>
      <w:r>
        <w:rPr>
          <w:rFonts w:cs="FrankRuehl"/>
          <w:color w:val="000000"/>
          <w:sz w:val="28"/>
          <w:szCs w:val="28"/>
          <w:rtl/>
        </w:rPr>
        <w:t xml:space="preserve">, פיסקאות 68-61 (14.7.2022); </w:t>
      </w:r>
      <w:hyperlink r:id="rId82" w:history="1">
        <w:r w:rsidR="003F12BD" w:rsidRPr="003F12BD">
          <w:rPr>
            <w:rFonts w:cs="FrankRuehl"/>
            <w:color w:val="0000FF"/>
            <w:sz w:val="28"/>
            <w:szCs w:val="28"/>
            <w:u w:val="single"/>
            <w:rtl/>
          </w:rPr>
          <w:t>רע"פ 3589/17</w:t>
        </w:r>
      </w:hyperlink>
      <w:r>
        <w:rPr>
          <w:rFonts w:cs="FrankRuehl"/>
          <w:color w:val="000000"/>
          <w:sz w:val="28"/>
          <w:szCs w:val="28"/>
          <w:rtl/>
        </w:rPr>
        <w:t xml:space="preserve"> </w:t>
      </w:r>
      <w:r>
        <w:rPr>
          <w:rFonts w:ascii="Arial TUR" w:hAnsi="Arial TUR" w:cs="Miriam"/>
          <w:rtl/>
        </w:rPr>
        <w:t>שמואל נ' מדינת ישראל</w:t>
      </w:r>
      <w:r>
        <w:rPr>
          <w:rFonts w:cs="FrankRuehl"/>
          <w:color w:val="000000"/>
          <w:sz w:val="28"/>
          <w:szCs w:val="28"/>
          <w:rtl/>
        </w:rPr>
        <w:t xml:space="preserve"> (10.2.2020)).</w:t>
      </w:r>
    </w:p>
    <w:p w14:paraId="133A8662"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העובדה שבמקביל למאסרו היה הנאשם גם עצור מכוח ההליך שלפניי אינה מוליכה למסקנה מהותית שונה. אכן, "</w:t>
      </w:r>
      <w:r>
        <w:rPr>
          <w:rFonts w:ascii="Century" w:hAnsi="Century" w:cs="Miriam"/>
          <w:b/>
          <w:rtl/>
        </w:rPr>
        <w:t>ככלל</w:t>
      </w:r>
      <w:r>
        <w:rPr>
          <w:rFonts w:ascii="Arial TUR" w:hAnsi="Arial TUR" w:cs="FrankRuehl"/>
          <w:rtl/>
        </w:rPr>
        <w:t>,</w:t>
      </w:r>
      <w:r>
        <w:rPr>
          <w:rFonts w:ascii="Arial TUR" w:hAnsi="Arial TUR" w:cs="FrankRuehl"/>
          <w:sz w:val="22"/>
          <w:szCs w:val="28"/>
          <w:rtl/>
        </w:rPr>
        <w:t xml:space="preserve"> ראוי שהתקופה שבה שוהה נאשם במעצר עד להרשעתו וגזירת דינו [תנוכה] מעונש המאסר הסופי, על מנת להימנע מכפל ענישה. רק במקרים </w:t>
      </w:r>
      <w:r>
        <w:rPr>
          <w:rFonts w:ascii="Century" w:hAnsi="Century" w:cs="Miriam"/>
          <w:b/>
          <w:rtl/>
        </w:rPr>
        <w:t>חריגים</w:t>
      </w:r>
      <w:r>
        <w:rPr>
          <w:rFonts w:ascii="Arial TUR" w:hAnsi="Arial TUR" w:cs="FrankRuehl"/>
          <w:sz w:val="22"/>
          <w:szCs w:val="28"/>
          <w:rtl/>
        </w:rPr>
        <w:t xml:space="preserve"> תהיה הצדקה שלא לנכות את תקופת המעצר מעונש המאסר" </w:t>
      </w:r>
      <w:r>
        <w:rPr>
          <w:rFonts w:cs="FrankRuehl"/>
          <w:color w:val="000000"/>
          <w:sz w:val="28"/>
          <w:szCs w:val="28"/>
          <w:rtl/>
        </w:rPr>
        <w:t>(</w:t>
      </w:r>
      <w:hyperlink r:id="rId83" w:history="1">
        <w:r w:rsidR="003F12BD" w:rsidRPr="003F12BD">
          <w:rPr>
            <w:rFonts w:cs="FrankRuehl"/>
            <w:color w:val="0000FF"/>
            <w:sz w:val="28"/>
            <w:szCs w:val="28"/>
            <w:u w:val="single"/>
            <w:rtl/>
          </w:rPr>
          <w:t>ע"פ 5760/14</w:t>
        </w:r>
      </w:hyperlink>
      <w:r>
        <w:rPr>
          <w:rFonts w:cs="FrankRuehl"/>
          <w:color w:val="000000"/>
          <w:sz w:val="28"/>
          <w:szCs w:val="28"/>
          <w:rtl/>
        </w:rPr>
        <w:t xml:space="preserve"> </w:t>
      </w:r>
      <w:r>
        <w:rPr>
          <w:rFonts w:ascii="Century" w:hAnsi="Century" w:cs="Miriam"/>
          <w:b/>
          <w:rtl/>
        </w:rPr>
        <w:t>פלוני נ' מדינת ישראל</w:t>
      </w:r>
      <w:r>
        <w:rPr>
          <w:rFonts w:cs="FrankRuehl"/>
          <w:color w:val="000000"/>
          <w:sz w:val="28"/>
          <w:szCs w:val="28"/>
          <w:rtl/>
        </w:rPr>
        <w:t xml:space="preserve">, פיסקה 22 (3.6.2015), ההדגשות במקור). עם זאת, כלל זה אינו חל כאשר חירותו של הנאשם נשללה ממילא בשל מאסר בהליך אחר (ראו למשל </w:t>
      </w:r>
      <w:hyperlink r:id="rId84" w:history="1">
        <w:r w:rsidR="003F12BD" w:rsidRPr="003F12BD">
          <w:rPr>
            <w:rFonts w:cs="FrankRuehl"/>
            <w:color w:val="0000FF"/>
            <w:sz w:val="28"/>
            <w:szCs w:val="28"/>
            <w:u w:val="single"/>
            <w:rtl/>
          </w:rPr>
          <w:t>ע"פ 2805/15</w:t>
        </w:r>
      </w:hyperlink>
      <w:r>
        <w:rPr>
          <w:rFonts w:cs="FrankRuehl"/>
          <w:color w:val="000000"/>
          <w:sz w:val="28"/>
          <w:szCs w:val="28"/>
          <w:rtl/>
        </w:rPr>
        <w:t xml:space="preserve"> </w:t>
      </w:r>
      <w:r>
        <w:rPr>
          <w:rFonts w:ascii="Century" w:hAnsi="Century" w:cs="Miriam"/>
          <w:b/>
          <w:rtl/>
        </w:rPr>
        <w:t>סגייר נ' מדינת ישראל</w:t>
      </w:r>
      <w:r>
        <w:rPr>
          <w:rFonts w:cs="FrankRuehl"/>
          <w:color w:val="000000"/>
          <w:sz w:val="28"/>
          <w:szCs w:val="28"/>
          <w:rtl/>
        </w:rPr>
        <w:t xml:space="preserve">, פיסקה 19 (24.7.2017); </w:t>
      </w:r>
      <w:hyperlink r:id="rId85" w:history="1">
        <w:r w:rsidR="003F12BD" w:rsidRPr="003F12BD">
          <w:rPr>
            <w:rFonts w:cs="FrankRuehl"/>
            <w:color w:val="0000FF"/>
            <w:sz w:val="28"/>
            <w:szCs w:val="28"/>
            <w:u w:val="single"/>
            <w:rtl/>
          </w:rPr>
          <w:t>ע"פ 3242/19</w:t>
        </w:r>
      </w:hyperlink>
      <w:r>
        <w:rPr>
          <w:rFonts w:cs="FrankRuehl"/>
          <w:color w:val="000000"/>
          <w:sz w:val="28"/>
          <w:szCs w:val="28"/>
          <w:rtl/>
        </w:rPr>
        <w:t xml:space="preserve"> </w:t>
      </w:r>
      <w:r>
        <w:rPr>
          <w:rFonts w:ascii="Century" w:hAnsi="Century" w:cs="Miriam"/>
          <w:b/>
          <w:rtl/>
        </w:rPr>
        <w:t>היועץ המשפטי לממשלה נ' אלציק</w:t>
      </w:r>
      <w:r>
        <w:rPr>
          <w:rFonts w:cs="FrankRuehl"/>
          <w:color w:val="000000"/>
          <w:sz w:val="28"/>
          <w:szCs w:val="28"/>
          <w:rtl/>
        </w:rPr>
        <w:t>, פיסקה 14 (18.8.2019)).</w:t>
      </w:r>
    </w:p>
    <w:p w14:paraId="47420E88"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חרף האמור, החלטתי להורות כי חודשיים מתוך עונש המאסר ירוצו בחופף לעונש בהליך הקודם, וזאת משני הטעמים המצטברים שלהלן: ראשית, הנאשם בחר לקחת אחריות, והביא לסיום ההליך שכאן מוקדם יותר מהמועד שבו היה צפוי להסתיים אילו נוהל עד תומו. עובדה זו נשקלה לטובתו בקביעת העונש המתאים, אולם היא יכולה להישקל גם במתן הוראה בדבר חפיפה חלקית</w:t>
      </w:r>
      <w:r>
        <w:rPr>
          <w:rFonts w:cs="FrankRuehl" w:hint="cs"/>
          <w:color w:val="000000"/>
          <w:sz w:val="28"/>
          <w:szCs w:val="28"/>
          <w:rtl/>
        </w:rPr>
        <w:t xml:space="preserve">. לטעמי יש לכך חשיבות במקרים כגון דא, </w:t>
      </w:r>
      <w:r>
        <w:rPr>
          <w:rFonts w:cs="FrankRuehl"/>
          <w:color w:val="000000"/>
          <w:sz w:val="28"/>
          <w:szCs w:val="28"/>
          <w:rtl/>
        </w:rPr>
        <w:t xml:space="preserve">כדי שלא ליתן תמריץ שלילי להגעה להסדר טיעון בשלב מוקדם </w:t>
      </w:r>
      <w:r>
        <w:rPr>
          <w:rFonts w:cs="FrankRuehl" w:hint="cs"/>
          <w:color w:val="000000"/>
          <w:sz w:val="28"/>
          <w:szCs w:val="28"/>
          <w:rtl/>
        </w:rPr>
        <w:t xml:space="preserve">משום </w:t>
      </w:r>
      <w:r>
        <w:rPr>
          <w:rFonts w:cs="FrankRuehl"/>
          <w:color w:val="000000"/>
          <w:sz w:val="28"/>
          <w:szCs w:val="28"/>
          <w:rtl/>
        </w:rPr>
        <w:t>ש</w:t>
      </w:r>
      <w:r>
        <w:rPr>
          <w:rFonts w:cs="FrankRuehl" w:hint="cs"/>
          <w:color w:val="000000"/>
          <w:sz w:val="28"/>
          <w:szCs w:val="28"/>
          <w:rtl/>
        </w:rPr>
        <w:t xml:space="preserve">ממילא </w:t>
      </w:r>
      <w:r>
        <w:rPr>
          <w:rFonts w:cs="FrankRuehl"/>
          <w:color w:val="000000"/>
          <w:sz w:val="28"/>
          <w:szCs w:val="28"/>
          <w:rtl/>
        </w:rPr>
        <w:t>הנאשם מצוי במאסר. שנית, נתתי משקל מסוים לכך שבשל מעצרו של הנאשם בהליך שכאן, תנאי כליאתו היו נוקשים יותר מתנאי</w:t>
      </w:r>
      <w:r>
        <w:rPr>
          <w:rFonts w:cs="FrankRuehl" w:hint="cs"/>
          <w:color w:val="000000"/>
          <w:sz w:val="28"/>
          <w:szCs w:val="28"/>
          <w:rtl/>
        </w:rPr>
        <w:t xml:space="preserve"> כליאתו לו היה במעמד של </w:t>
      </w:r>
      <w:r>
        <w:rPr>
          <w:rFonts w:cs="FrankRuehl"/>
          <w:color w:val="000000"/>
          <w:sz w:val="28"/>
          <w:szCs w:val="28"/>
          <w:rtl/>
        </w:rPr>
        <w:t>אסיר</w:t>
      </w:r>
      <w:r>
        <w:rPr>
          <w:rFonts w:cs="FrankRuehl" w:hint="cs"/>
          <w:color w:val="000000"/>
          <w:sz w:val="28"/>
          <w:szCs w:val="28"/>
          <w:rtl/>
        </w:rPr>
        <w:t xml:space="preserve"> בלבד</w:t>
      </w:r>
      <w:r>
        <w:rPr>
          <w:rFonts w:cs="FrankRuehl"/>
          <w:color w:val="000000"/>
          <w:sz w:val="28"/>
          <w:szCs w:val="28"/>
          <w:rtl/>
        </w:rPr>
        <w:t>.</w:t>
      </w:r>
    </w:p>
    <w:p w14:paraId="4C344256"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בכל מקרה, את אותם ימי מעצר שבהם חירותו של הנאשם נשללה אך ורק בשל מעצרו במסגרת ההליך שכאן, יש לנכות מימי המאסר</w:t>
      </w:r>
      <w:r>
        <w:rPr>
          <w:rFonts w:cs="FrankRuehl" w:hint="cs"/>
          <w:color w:val="000000"/>
          <w:sz w:val="28"/>
          <w:szCs w:val="28"/>
          <w:rtl/>
        </w:rPr>
        <w:t xml:space="preserve"> בהתאם לאמור לעיל</w:t>
      </w:r>
      <w:r>
        <w:rPr>
          <w:rFonts w:cs="FrankRuehl"/>
          <w:color w:val="000000"/>
          <w:sz w:val="28"/>
          <w:szCs w:val="28"/>
          <w:rtl/>
        </w:rPr>
        <w:t>.</w:t>
      </w:r>
    </w:p>
    <w:p w14:paraId="0BE1A94C" w14:textId="77777777" w:rsidR="007A7D2A" w:rsidRDefault="007A7D2A" w:rsidP="007A7D2A">
      <w:pPr>
        <w:keepNext/>
        <w:spacing w:after="240"/>
        <w:rPr>
          <w:rFonts w:cs="Miriam"/>
          <w:color w:val="000000"/>
        </w:rPr>
      </w:pPr>
      <w:r>
        <w:rPr>
          <w:rFonts w:cs="Miriam"/>
          <w:color w:val="000000"/>
          <w:rtl/>
        </w:rPr>
        <w:t>ד. סיכום</w:t>
      </w:r>
    </w:p>
    <w:p w14:paraId="6B288A18" w14:textId="77777777" w:rsidR="007A7D2A" w:rsidRDefault="007A7D2A" w:rsidP="007A7D2A">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בשים לב לאמור לעיל, נגזרים בזאת על הנאשם העונשים הבאים:</w:t>
      </w:r>
    </w:p>
    <w:p w14:paraId="0D46B17C" w14:textId="77777777" w:rsidR="007A7D2A" w:rsidRDefault="007A7D2A" w:rsidP="007A7D2A">
      <w:pPr>
        <w:numPr>
          <w:ilvl w:val="1"/>
          <w:numId w:val="1"/>
        </w:numPr>
        <w:tabs>
          <w:tab w:val="left" w:pos="702"/>
        </w:tabs>
        <w:spacing w:after="240" w:line="360" w:lineRule="auto"/>
        <w:jc w:val="both"/>
        <w:rPr>
          <w:rFonts w:cs="FrankRuehl"/>
          <w:color w:val="000000"/>
          <w:sz w:val="28"/>
          <w:szCs w:val="28"/>
        </w:rPr>
      </w:pPr>
      <w:r>
        <w:rPr>
          <w:rFonts w:cs="FrankRuehl"/>
          <w:color w:val="000000"/>
          <w:sz w:val="28"/>
          <w:szCs w:val="28"/>
          <w:rtl/>
        </w:rPr>
        <w:t>32 חודשי מאסר בפועל, בניכוי הימים שבהם חירותו של הנאשם נשללה רק בשל מעצרו בהליך שכאן. חודשיים מתוך תקופה זו ירוצו בחופף לעונש שבו נושא הנאשם בשל ההליך הקודם, והיתרה תרוצה במצטבר אליו.</w:t>
      </w:r>
    </w:p>
    <w:p w14:paraId="6C1391C6" w14:textId="77777777" w:rsidR="007A7D2A" w:rsidRDefault="007A7D2A" w:rsidP="007A7D2A">
      <w:pPr>
        <w:numPr>
          <w:ilvl w:val="1"/>
          <w:numId w:val="1"/>
        </w:numPr>
        <w:tabs>
          <w:tab w:val="left" w:pos="702"/>
        </w:tabs>
        <w:spacing w:after="240" w:line="360" w:lineRule="auto"/>
        <w:jc w:val="both"/>
        <w:rPr>
          <w:rFonts w:cs="FrankRuehl"/>
          <w:color w:val="000000"/>
          <w:sz w:val="28"/>
          <w:szCs w:val="28"/>
        </w:rPr>
      </w:pPr>
      <w:r>
        <w:rPr>
          <w:rFonts w:cs="FrankRuehl"/>
          <w:color w:val="000000"/>
          <w:sz w:val="28"/>
          <w:szCs w:val="28"/>
          <w:rtl/>
        </w:rPr>
        <w:t>מאסר על-תנאי לתקופה של 8 חודשים למשך שנתיים מיום שחרורו. התנאי הוא שהנאשם לא יעבור עבירת רכוש או עבירת נשק (לרבות גניבת נשק) מסוג פשע.</w:t>
      </w:r>
    </w:p>
    <w:p w14:paraId="45CC4DD1" w14:textId="77777777" w:rsidR="007A7D2A" w:rsidRDefault="007A7D2A" w:rsidP="007A7D2A">
      <w:pPr>
        <w:numPr>
          <w:ilvl w:val="1"/>
          <w:numId w:val="1"/>
        </w:numPr>
        <w:tabs>
          <w:tab w:val="left" w:pos="702"/>
        </w:tabs>
        <w:spacing w:after="240" w:line="360" w:lineRule="auto"/>
        <w:jc w:val="both"/>
        <w:rPr>
          <w:rFonts w:cs="FrankRuehl"/>
          <w:color w:val="000000"/>
          <w:sz w:val="28"/>
          <w:szCs w:val="28"/>
        </w:rPr>
      </w:pPr>
      <w:r>
        <w:rPr>
          <w:rFonts w:cs="FrankRuehl"/>
          <w:color w:val="000000"/>
          <w:sz w:val="28"/>
          <w:szCs w:val="28"/>
          <w:rtl/>
        </w:rPr>
        <w:t>מאסר על תנאי לתקופה של 4 חודשים למשך שנתיים מיום שחרורו. התנאי הוא שהנאשם לא יעבור עבירת רכוש או עבירת נשק מסוג עוון.</w:t>
      </w:r>
    </w:p>
    <w:p w14:paraId="49D2328D" w14:textId="77777777" w:rsidR="007A7D2A" w:rsidRDefault="003F12BD" w:rsidP="007A7D2A">
      <w:pPr>
        <w:numPr>
          <w:ilvl w:val="1"/>
          <w:numId w:val="1"/>
        </w:numPr>
        <w:tabs>
          <w:tab w:val="left" w:pos="702"/>
        </w:tabs>
        <w:spacing w:after="240" w:line="360" w:lineRule="auto"/>
        <w:jc w:val="both"/>
        <w:rPr>
          <w:rFonts w:cs="FrankRuehl"/>
          <w:color w:val="000000"/>
          <w:sz w:val="28"/>
          <w:szCs w:val="28"/>
        </w:rPr>
      </w:pPr>
      <w:r w:rsidRPr="003F12BD">
        <w:rPr>
          <w:rFonts w:cs="FrankRuehl"/>
          <w:color w:val="FFFFFF"/>
          <w:sz w:val="2"/>
          <w:szCs w:val="2"/>
          <w:rtl/>
        </w:rPr>
        <w:t>5129371</w:t>
      </w:r>
      <w:r w:rsidR="007A7D2A">
        <w:rPr>
          <w:rFonts w:cs="FrankRuehl"/>
          <w:color w:val="000000"/>
          <w:sz w:val="28"/>
          <w:szCs w:val="28"/>
          <w:rtl/>
        </w:rPr>
        <w:t>קנס בסך 4,500 ₪.</w:t>
      </w:r>
      <w:r w:rsidR="007A7D2A">
        <w:rPr>
          <w:rFonts w:cs="FrankRuehl" w:hint="cs"/>
          <w:color w:val="000000"/>
          <w:sz w:val="28"/>
          <w:szCs w:val="28"/>
          <w:rtl/>
        </w:rPr>
        <w:t xml:space="preserve"> הקנס ישולם בתשעה תשלומים חודשיים שווים בסך של 500 ₪ כל אחד, וזאת החל מיום 1.1.23 ובכל 1 בחודש שלאחר מכן. ככל שלא ישולם אחד התשלומים במלואו ובמועדו יעמוד הסכום כולו לפירעון מידי.</w:t>
      </w:r>
    </w:p>
    <w:p w14:paraId="1FEA2D15" w14:textId="77777777" w:rsidR="007A7D2A" w:rsidRDefault="003F12BD" w:rsidP="007A7D2A">
      <w:pPr>
        <w:numPr>
          <w:ilvl w:val="0"/>
          <w:numId w:val="1"/>
        </w:numPr>
        <w:tabs>
          <w:tab w:val="left" w:pos="702"/>
        </w:tabs>
        <w:spacing w:after="240" w:line="360" w:lineRule="auto"/>
        <w:ind w:left="-7" w:firstLine="0"/>
        <w:jc w:val="both"/>
        <w:rPr>
          <w:rFonts w:cs="FrankRuehl"/>
          <w:color w:val="000000"/>
          <w:sz w:val="28"/>
          <w:szCs w:val="28"/>
        </w:rPr>
      </w:pPr>
      <w:r w:rsidRPr="003F12BD">
        <w:rPr>
          <w:rFonts w:cs="FrankRuehl"/>
          <w:color w:val="FFFFFF"/>
          <w:sz w:val="2"/>
          <w:szCs w:val="2"/>
          <w:rtl/>
        </w:rPr>
        <w:t>54678313</w:t>
      </w:r>
      <w:r w:rsidR="007A7D2A">
        <w:rPr>
          <w:rFonts w:cs="FrankRuehl"/>
          <w:color w:val="000000"/>
          <w:sz w:val="28"/>
          <w:szCs w:val="28"/>
          <w:rtl/>
        </w:rPr>
        <w:t>ניתן לערער על פסק הדין בתוך 45 ימים.</w:t>
      </w:r>
    </w:p>
    <w:p w14:paraId="75D03AA5" w14:textId="77777777" w:rsidR="007A7D2A" w:rsidRPr="000F2247" w:rsidRDefault="007A7D2A" w:rsidP="007A7D2A">
      <w:pPr>
        <w:rPr>
          <w:rFonts w:ascii="Arial" w:hAnsi="Arial"/>
          <w:b/>
          <w:bCs/>
          <w:sz w:val="26"/>
          <w:szCs w:val="26"/>
          <w:rtl/>
        </w:rPr>
      </w:pPr>
    </w:p>
    <w:p w14:paraId="5066B8BD" w14:textId="77777777" w:rsidR="007A7D2A" w:rsidRPr="000F2247" w:rsidRDefault="003F12BD" w:rsidP="007A7D2A">
      <w:pPr>
        <w:rPr>
          <w:rFonts w:ascii="Arial" w:hAnsi="Arial"/>
          <w:b/>
          <w:bCs/>
          <w:sz w:val="26"/>
          <w:szCs w:val="26"/>
          <w:rtl/>
        </w:rPr>
      </w:pPr>
      <w:bookmarkStart w:id="12" w:name="Nitan"/>
      <w:r>
        <w:rPr>
          <w:rFonts w:ascii="Arial" w:hAnsi="Arial"/>
          <w:b/>
          <w:bCs/>
          <w:sz w:val="26"/>
          <w:szCs w:val="26"/>
          <w:rtl/>
        </w:rPr>
        <w:t xml:space="preserve">ניתן היום,  כ"ה כסלו תשפ"ג, 19 דצמבר 2022, במעמד הצדדים. </w:t>
      </w:r>
      <w:bookmarkEnd w:id="12"/>
    </w:p>
    <w:p w14:paraId="0FC9FA9D" w14:textId="77777777" w:rsidR="007A7D2A" w:rsidRPr="000F2247" w:rsidRDefault="007A7D2A" w:rsidP="003F12B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2A0053E" w14:textId="77777777" w:rsidR="007A7D2A" w:rsidRPr="000F2247" w:rsidRDefault="007A7D2A" w:rsidP="007A7D2A">
      <w:pPr>
        <w:jc w:val="center"/>
        <w:rPr>
          <w:rFonts w:ascii="Arial" w:hAnsi="Arial"/>
          <w:b/>
          <w:bCs/>
          <w:sz w:val="26"/>
          <w:szCs w:val="26"/>
          <w:rtl/>
        </w:rPr>
      </w:pPr>
    </w:p>
    <w:p w14:paraId="5FF5FBCE" w14:textId="77777777" w:rsidR="00C20885" w:rsidRPr="003F12BD" w:rsidRDefault="00C20885" w:rsidP="003F12BD">
      <w:pPr>
        <w:keepNext/>
        <w:rPr>
          <w:rFonts w:ascii="David" w:hAnsi="David"/>
          <w:color w:val="000000"/>
          <w:sz w:val="22"/>
          <w:szCs w:val="22"/>
          <w:rtl/>
        </w:rPr>
      </w:pPr>
    </w:p>
    <w:p w14:paraId="7AC9F755" w14:textId="77777777" w:rsidR="003F12BD" w:rsidRPr="003F12BD" w:rsidRDefault="003F12BD" w:rsidP="003F12BD">
      <w:pPr>
        <w:keepNext/>
        <w:rPr>
          <w:rFonts w:ascii="David" w:hAnsi="David"/>
          <w:color w:val="000000"/>
          <w:sz w:val="22"/>
          <w:szCs w:val="22"/>
          <w:rtl/>
        </w:rPr>
      </w:pPr>
      <w:r w:rsidRPr="003F12BD">
        <w:rPr>
          <w:rFonts w:ascii="David" w:hAnsi="David"/>
          <w:color w:val="000000"/>
          <w:sz w:val="22"/>
          <w:szCs w:val="22"/>
          <w:rtl/>
        </w:rPr>
        <w:t>אלעזר נחלון 54678313</w:t>
      </w:r>
    </w:p>
    <w:p w14:paraId="31226E7E" w14:textId="77777777" w:rsidR="003F12BD" w:rsidRDefault="003F12BD" w:rsidP="003F12BD">
      <w:r w:rsidRPr="003F12BD">
        <w:rPr>
          <w:color w:val="000000"/>
          <w:rtl/>
        </w:rPr>
        <w:t>נוסח מסמך זה כפוף לשינויי ניסוח ועריכה</w:t>
      </w:r>
    </w:p>
    <w:p w14:paraId="10F59FEF" w14:textId="77777777" w:rsidR="003F12BD" w:rsidRDefault="003F12BD" w:rsidP="003F12BD">
      <w:pPr>
        <w:rPr>
          <w:rtl/>
        </w:rPr>
      </w:pPr>
    </w:p>
    <w:p w14:paraId="3A05443B" w14:textId="77777777" w:rsidR="003F12BD" w:rsidRDefault="003F12BD" w:rsidP="003F12BD">
      <w:pPr>
        <w:jc w:val="center"/>
        <w:rPr>
          <w:color w:val="0000FF"/>
          <w:u w:val="single"/>
        </w:rPr>
      </w:pPr>
      <w:hyperlink r:id="rId86" w:history="1">
        <w:r>
          <w:rPr>
            <w:color w:val="0000FF"/>
            <w:u w:val="single"/>
            <w:rtl/>
          </w:rPr>
          <w:t>בעניין עריכה ושינויים במסמכי פסיקה, חקיקה ועוד באתר נבו – הקש כאן</w:t>
        </w:r>
      </w:hyperlink>
    </w:p>
    <w:p w14:paraId="77174BF2" w14:textId="77777777" w:rsidR="003F12BD" w:rsidRPr="003F12BD" w:rsidRDefault="003F12BD" w:rsidP="003F12BD">
      <w:pPr>
        <w:jc w:val="center"/>
        <w:rPr>
          <w:color w:val="0000FF"/>
          <w:u w:val="single"/>
        </w:rPr>
      </w:pPr>
    </w:p>
    <w:sectPr w:rsidR="003F12BD" w:rsidRPr="003F12BD" w:rsidSect="003F12BD">
      <w:headerReference w:type="even" r:id="rId87"/>
      <w:headerReference w:type="default" r:id="rId88"/>
      <w:footerReference w:type="even" r:id="rId89"/>
      <w:footerReference w:type="default" r:id="rId9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9EBA9" w14:textId="77777777" w:rsidR="005C00D8" w:rsidRDefault="005C00D8" w:rsidP="007A7D2A">
      <w:r>
        <w:separator/>
      </w:r>
    </w:p>
  </w:endnote>
  <w:endnote w:type="continuationSeparator" w:id="0">
    <w:p w14:paraId="2324CC86" w14:textId="77777777" w:rsidR="005C00D8" w:rsidRDefault="005C00D8" w:rsidP="007A7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F6E28" w14:textId="77777777" w:rsidR="003F12BD" w:rsidRDefault="003F12BD" w:rsidP="003F12B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851D197" w14:textId="77777777" w:rsidR="00CA4DB9" w:rsidRPr="003F12BD" w:rsidRDefault="003F12BD" w:rsidP="003F12B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081C2" w14:textId="77777777" w:rsidR="003F12BD" w:rsidRDefault="003F12BD" w:rsidP="003F12B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B784B">
      <w:rPr>
        <w:rFonts w:ascii="FrankRuehl" w:hAnsi="FrankRuehl" w:cs="FrankRuehl"/>
        <w:noProof/>
        <w:rtl/>
      </w:rPr>
      <w:t>1</w:t>
    </w:r>
    <w:r>
      <w:rPr>
        <w:rFonts w:ascii="FrankRuehl" w:hAnsi="FrankRuehl" w:cs="FrankRuehl"/>
        <w:rtl/>
      </w:rPr>
      <w:fldChar w:fldCharType="end"/>
    </w:r>
  </w:p>
  <w:p w14:paraId="131EF42D" w14:textId="77777777" w:rsidR="00CA4DB9" w:rsidRPr="003F12BD" w:rsidRDefault="003F12BD" w:rsidP="003F12B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99B10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9EFCA" w14:textId="77777777" w:rsidR="005C00D8" w:rsidRDefault="005C00D8" w:rsidP="007A7D2A">
      <w:r>
        <w:separator/>
      </w:r>
    </w:p>
  </w:footnote>
  <w:footnote w:type="continuationSeparator" w:id="0">
    <w:p w14:paraId="5F90CC46" w14:textId="77777777" w:rsidR="005C00D8" w:rsidRDefault="005C00D8" w:rsidP="007A7D2A">
      <w:r>
        <w:continuationSeparator/>
      </w:r>
    </w:p>
  </w:footnote>
  <w:footnote w:id="1">
    <w:p w14:paraId="5CC3C818" w14:textId="77777777" w:rsidR="007A7D2A" w:rsidRDefault="007A7D2A" w:rsidP="007A7D2A">
      <w:pPr>
        <w:pStyle w:val="a9"/>
        <w:rPr>
          <w:rFonts w:ascii="FrankRuehl" w:hAnsi="FrankRuehl" w:cs="FrankRuehl"/>
          <w:sz w:val="24"/>
          <w:szCs w:val="24"/>
        </w:rPr>
      </w:pPr>
      <w:r>
        <w:rPr>
          <w:rStyle w:val="ac"/>
        </w:rPr>
        <w:footnoteRef/>
      </w:r>
      <w:r>
        <w:rPr>
          <w:rtl/>
        </w:rPr>
        <w:t xml:space="preserve"> </w:t>
      </w:r>
      <w:r>
        <w:rPr>
          <w:rFonts w:ascii="FrankRuehl" w:hAnsi="FrankRuehl" w:cs="FrankRuehl"/>
          <w:sz w:val="24"/>
          <w:szCs w:val="24"/>
          <w:rtl/>
        </w:rPr>
        <w:t xml:space="preserve">העובדה שעבירת גניבת נשק מצויה בפרק שעניינו "פגיעות ברכוש" אינה מלמדת לטעמי אחרת, שכן </w:t>
      </w:r>
      <w:bookmarkStart w:id="10" w:name="SeifFN50"/>
      <w:r>
        <w:rPr>
          <w:rFonts w:ascii="FrankRuehl" w:hAnsi="FrankRuehl" w:cs="FrankRuehl"/>
          <w:sz w:val="24"/>
          <w:szCs w:val="24"/>
          <w:rtl/>
        </w:rPr>
        <w:t xml:space="preserve">פרק זה </w:t>
      </w:r>
      <w:bookmarkEnd w:id="10"/>
      <w:r>
        <w:rPr>
          <w:rFonts w:ascii="FrankRuehl" w:hAnsi="FrankRuehl" w:cs="FrankRuehl"/>
          <w:sz w:val="24"/>
          <w:szCs w:val="24"/>
          <w:rtl/>
        </w:rPr>
        <w:t>כולל גם עבירות המיועדות להגן על ערכים נוספים מעבר לאלה הנפגעים בגין שלילת הרכוש (ראו למשל את עבירת השוד שבסעיף 402 ל</w:t>
      </w:r>
      <w:hyperlink r:id="rId1" w:history="1">
        <w:r w:rsidR="003F12BD" w:rsidRPr="003F12BD">
          <w:rPr>
            <w:rFonts w:ascii="FrankRuehl" w:hAnsi="FrankRuehl" w:cs="FrankRuehl"/>
            <w:color w:val="0000FF"/>
            <w:sz w:val="24"/>
            <w:szCs w:val="24"/>
            <w:u w:val="single"/>
            <w:rtl/>
          </w:rPr>
          <w:t>חוק העונשין</w:t>
        </w:r>
      </w:hyperlink>
      <w:r>
        <w:rPr>
          <w:rFonts w:ascii="FrankRuehl" w:hAnsi="FrankRuehl" w:cs="FrankRuehl"/>
          <w:sz w:val="24"/>
          <w:szCs w:val="24"/>
          <w:rtl/>
        </w:rPr>
        <w:t>, את עבירת הסחיטה באיומים שבסעיף 428 לחוק העונשין, ועוד רבות). גם העובדה שלעבירה זו לא נקבע עונש המינימום שנקבע לעבירות נשק אחרות אינה בעל משקל מכריע לעניין זה.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B42C8" w14:textId="77777777" w:rsidR="003F12BD" w:rsidRPr="003F12BD" w:rsidRDefault="003F12BD" w:rsidP="003F12B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67356-12-21</w:t>
    </w:r>
    <w:r>
      <w:rPr>
        <w:rFonts w:ascii="David" w:hAnsi="David"/>
        <w:color w:val="000000"/>
        <w:sz w:val="22"/>
        <w:szCs w:val="22"/>
        <w:rtl/>
      </w:rPr>
      <w:tab/>
      <w:t xml:space="preserve"> מדינת ישראל נ' גסאן עדווין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E629C" w14:textId="77777777" w:rsidR="003F12BD" w:rsidRPr="003F12BD" w:rsidRDefault="003F12BD" w:rsidP="003F12B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67356-12-21</w:t>
    </w:r>
    <w:r>
      <w:rPr>
        <w:rFonts w:ascii="David" w:hAnsi="David"/>
        <w:color w:val="000000"/>
        <w:sz w:val="22"/>
        <w:szCs w:val="22"/>
        <w:rtl/>
      </w:rPr>
      <w:tab/>
      <w:t xml:space="preserve"> מדינת ישראל נ' גסאן עדווין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594FC9"/>
    <w:multiLevelType w:val="hybridMultilevel"/>
    <w:tmpl w:val="E648DA3A"/>
    <w:lvl w:ilvl="0" w:tplc="76B8E4B2">
      <w:start w:val="1"/>
      <w:numFmt w:val="decimal"/>
      <w:lvlText w:val="%1."/>
      <w:lvlJc w:val="left"/>
      <w:pPr>
        <w:ind w:left="720" w:hanging="360"/>
      </w:pPr>
      <w:rPr>
        <w:b w:val="0"/>
        <w:bCs w:val="0"/>
        <w:lang w:val="en-US"/>
      </w:rPr>
    </w:lvl>
    <w:lvl w:ilvl="1" w:tplc="04090013">
      <w:start w:val="1"/>
      <w:numFmt w:val="hebrew1"/>
      <w:lvlText w:val="%2."/>
      <w:lvlJc w:val="center"/>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524132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A7D2A"/>
    <w:rsid w:val="001B5A3B"/>
    <w:rsid w:val="002804E0"/>
    <w:rsid w:val="003F12BD"/>
    <w:rsid w:val="004F2BAE"/>
    <w:rsid w:val="00586130"/>
    <w:rsid w:val="005C00D8"/>
    <w:rsid w:val="007A7D2A"/>
    <w:rsid w:val="00922F8F"/>
    <w:rsid w:val="009C042E"/>
    <w:rsid w:val="009C5449"/>
    <w:rsid w:val="00B676DD"/>
    <w:rsid w:val="00B81412"/>
    <w:rsid w:val="00BA6B15"/>
    <w:rsid w:val="00C04C56"/>
    <w:rsid w:val="00C20885"/>
    <w:rsid w:val="00C7476A"/>
    <w:rsid w:val="00CA4DB9"/>
    <w:rsid w:val="00EB78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31D038"/>
  <w15:chartTrackingRefBased/>
  <w15:docId w15:val="{850AED95-1E6B-466A-8E5D-74800676A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A7D2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A7D2A"/>
    <w:pPr>
      <w:tabs>
        <w:tab w:val="center" w:pos="4153"/>
        <w:tab w:val="right" w:pos="8306"/>
      </w:tabs>
    </w:pPr>
  </w:style>
  <w:style w:type="character" w:customStyle="1" w:styleId="a4">
    <w:name w:val="כותרת עליונה תו"/>
    <w:link w:val="a3"/>
    <w:rsid w:val="007A7D2A"/>
    <w:rPr>
      <w:rFonts w:ascii="Times New Roman" w:eastAsia="Times New Roman" w:hAnsi="Times New Roman" w:cs="David"/>
      <w:sz w:val="24"/>
      <w:szCs w:val="24"/>
    </w:rPr>
  </w:style>
  <w:style w:type="paragraph" w:styleId="a5">
    <w:name w:val="footer"/>
    <w:basedOn w:val="a"/>
    <w:link w:val="a6"/>
    <w:rsid w:val="007A7D2A"/>
    <w:pPr>
      <w:tabs>
        <w:tab w:val="center" w:pos="4153"/>
        <w:tab w:val="right" w:pos="8306"/>
      </w:tabs>
    </w:pPr>
  </w:style>
  <w:style w:type="character" w:customStyle="1" w:styleId="a6">
    <w:name w:val="כותרת תחתונה תו"/>
    <w:link w:val="a5"/>
    <w:rsid w:val="007A7D2A"/>
    <w:rPr>
      <w:rFonts w:ascii="Times New Roman" w:eastAsia="Times New Roman" w:hAnsi="Times New Roman" w:cs="David"/>
      <w:sz w:val="24"/>
      <w:szCs w:val="24"/>
    </w:rPr>
  </w:style>
  <w:style w:type="table" w:styleId="a7">
    <w:name w:val="Table Grid"/>
    <w:basedOn w:val="a1"/>
    <w:rsid w:val="007A7D2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A7D2A"/>
  </w:style>
  <w:style w:type="paragraph" w:styleId="a9">
    <w:name w:val="footnote text"/>
    <w:basedOn w:val="a"/>
    <w:link w:val="aa"/>
    <w:rsid w:val="007A7D2A"/>
    <w:pPr>
      <w:spacing w:line="360" w:lineRule="auto"/>
      <w:jc w:val="both"/>
    </w:pPr>
    <w:rPr>
      <w:sz w:val="20"/>
      <w:szCs w:val="20"/>
    </w:rPr>
  </w:style>
  <w:style w:type="character" w:customStyle="1" w:styleId="aa">
    <w:name w:val="טקסט הערת שוליים תו"/>
    <w:link w:val="a9"/>
    <w:rsid w:val="007A7D2A"/>
    <w:rPr>
      <w:rFonts w:ascii="Times New Roman" w:eastAsia="Times New Roman" w:hAnsi="Times New Roman" w:cs="David"/>
      <w:sz w:val="20"/>
      <w:szCs w:val="20"/>
    </w:rPr>
  </w:style>
  <w:style w:type="paragraph" w:customStyle="1" w:styleId="ab">
    <w:name w:val="תבנית ציטוט"/>
    <w:basedOn w:val="a"/>
    <w:next w:val="a"/>
    <w:rsid w:val="007A7D2A"/>
    <w:pPr>
      <w:tabs>
        <w:tab w:val="left" w:pos="702"/>
      </w:tabs>
      <w:spacing w:after="120"/>
      <w:ind w:left="1134" w:right="1134"/>
      <w:jc w:val="both"/>
    </w:pPr>
    <w:rPr>
      <w:rFonts w:cs="FrankRuehl"/>
      <w:color w:val="000000"/>
      <w:sz w:val="28"/>
      <w:szCs w:val="28"/>
    </w:rPr>
  </w:style>
  <w:style w:type="character" w:styleId="ac">
    <w:name w:val="footnote reference"/>
    <w:rsid w:val="007A7D2A"/>
    <w:rPr>
      <w:vertAlign w:val="superscript"/>
    </w:rPr>
  </w:style>
  <w:style w:type="character" w:styleId="Hyperlink">
    <w:name w:val="Hyperlink"/>
    <w:rsid w:val="003F12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8883087" TargetMode="External"/><Relationship Id="rId21" Type="http://schemas.openxmlformats.org/officeDocument/2006/relationships/hyperlink" Target="http://www.nevo.co.il/law/70301/40jc" TargetMode="External"/><Relationship Id="rId42" Type="http://schemas.openxmlformats.org/officeDocument/2006/relationships/hyperlink" Target="http://www.nevo.co.il/law/70301/40d" TargetMode="External"/><Relationship Id="rId47" Type="http://schemas.openxmlformats.org/officeDocument/2006/relationships/hyperlink" Target="http://www.nevo.co.il/case/27309272" TargetMode="External"/><Relationship Id="rId63" Type="http://schemas.openxmlformats.org/officeDocument/2006/relationships/hyperlink" Target="http://www.nevo.co.il/law/70301/144.g" TargetMode="External"/><Relationship Id="rId68" Type="http://schemas.openxmlformats.org/officeDocument/2006/relationships/hyperlink" Target="http://www.nevo.co.il/case/25834925" TargetMode="External"/><Relationship Id="rId84" Type="http://schemas.openxmlformats.org/officeDocument/2006/relationships/hyperlink" Target="http://www.nevo.co.il/case/20244332" TargetMode="External"/><Relationship Id="rId89" Type="http://schemas.openxmlformats.org/officeDocument/2006/relationships/footer" Target="footer1.xml"/><Relationship Id="rId16" Type="http://schemas.openxmlformats.org/officeDocument/2006/relationships/hyperlink" Target="http://www.nevo.co.il/law/70301/40i" TargetMode="External"/><Relationship Id="rId11" Type="http://schemas.openxmlformats.org/officeDocument/2006/relationships/hyperlink" Target="http://www.nevo.co.il/law/70301/40d"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c.b" TargetMode="External"/><Relationship Id="rId53" Type="http://schemas.openxmlformats.org/officeDocument/2006/relationships/hyperlink" Target="http://www.nevo.co.il/case/18739556" TargetMode="External"/><Relationship Id="rId58" Type="http://schemas.openxmlformats.org/officeDocument/2006/relationships/hyperlink" Target="http://www.nevo.co.il/case/28266138" TargetMode="External"/><Relationship Id="rId74" Type="http://schemas.openxmlformats.org/officeDocument/2006/relationships/hyperlink" Target="http://www.nevo.co.il/case/23169485" TargetMode="External"/><Relationship Id="rId79" Type="http://schemas.openxmlformats.org/officeDocument/2006/relationships/hyperlink" Target="http://www.nevo.co.il/case/28357650" TargetMode="External"/><Relationship Id="rId5" Type="http://schemas.openxmlformats.org/officeDocument/2006/relationships/footnotes" Target="footnotes.xml"/><Relationship Id="rId90" Type="http://schemas.openxmlformats.org/officeDocument/2006/relationships/footer" Target="footer2.xml"/><Relationship Id="rId14" Type="http://schemas.openxmlformats.org/officeDocument/2006/relationships/hyperlink" Target="http://www.nevo.co.il/law/70301/40g" TargetMode="External"/><Relationship Id="rId22" Type="http://schemas.openxmlformats.org/officeDocument/2006/relationships/hyperlink" Target="http://www.nevo.co.il/law/70301/413d.a" TargetMode="External"/><Relationship Id="rId27" Type="http://schemas.openxmlformats.org/officeDocument/2006/relationships/hyperlink" Target="http://www.nevo.co.il/law/70301/144.g" TargetMode="External"/><Relationship Id="rId30" Type="http://schemas.openxmlformats.org/officeDocument/2006/relationships/hyperlink" Target="http://www.nevo.co.il/case/27796010" TargetMode="External"/><Relationship Id="rId35" Type="http://schemas.openxmlformats.org/officeDocument/2006/relationships/hyperlink" Target="http://www.nevo.co.il/law/70301/40jb" TargetMode="External"/><Relationship Id="rId43" Type="http://schemas.openxmlformats.org/officeDocument/2006/relationships/hyperlink" Target="http://www.nevo.co.il/law/70301/40e" TargetMode="External"/><Relationship Id="rId48" Type="http://schemas.openxmlformats.org/officeDocument/2006/relationships/hyperlink" Target="http://www.nevo.co.il/case/28243273" TargetMode="External"/><Relationship Id="rId56" Type="http://schemas.openxmlformats.org/officeDocument/2006/relationships/hyperlink" Target="http://www.nevo.co.il/law/70301/40i" TargetMode="External"/><Relationship Id="rId64" Type="http://schemas.openxmlformats.org/officeDocument/2006/relationships/hyperlink" Target="http://www.nevo.co.il/law/70301" TargetMode="External"/><Relationship Id="rId69" Type="http://schemas.openxmlformats.org/officeDocument/2006/relationships/hyperlink" Target="http://www.nevo.co.il/case/27019224" TargetMode="External"/><Relationship Id="rId77" Type="http://schemas.openxmlformats.org/officeDocument/2006/relationships/hyperlink" Target="http://www.nevo.co.il/law/70301" TargetMode="External"/><Relationship Id="rId8" Type="http://schemas.openxmlformats.org/officeDocument/2006/relationships/hyperlink" Target="http://www.nevo.co.il/law/70301/40b" TargetMode="External"/><Relationship Id="rId51" Type="http://schemas.openxmlformats.org/officeDocument/2006/relationships/hyperlink" Target="http://www.nevo.co.il/case/17968162" TargetMode="External"/><Relationship Id="rId72" Type="http://schemas.openxmlformats.org/officeDocument/2006/relationships/hyperlink" Target="http://www.nevo.co.il/case/27943641" TargetMode="External"/><Relationship Id="rId80" Type="http://schemas.openxmlformats.org/officeDocument/2006/relationships/hyperlink" Target="http://www.nevo.co.il/case/18654248" TargetMode="External"/><Relationship Id="rId85" Type="http://schemas.openxmlformats.org/officeDocument/2006/relationships/hyperlink" Target="http://www.nevo.co.il/case/25690639" TargetMode="External"/><Relationship Id="rId3" Type="http://schemas.openxmlformats.org/officeDocument/2006/relationships/settings" Target="settings.xml"/><Relationship Id="rId12" Type="http://schemas.openxmlformats.org/officeDocument/2006/relationships/hyperlink" Target="http://www.nevo.co.il/law/70301/40e" TargetMode="External"/><Relationship Id="rId17" Type="http://schemas.openxmlformats.org/officeDocument/2006/relationships/hyperlink" Target="http://www.nevo.co.il/law/70301/144.g" TargetMode="External"/><Relationship Id="rId25" Type="http://schemas.openxmlformats.org/officeDocument/2006/relationships/hyperlink" Target="http://www.nevo.co.il/law/70301/413d.a" TargetMode="External"/><Relationship Id="rId33" Type="http://schemas.openxmlformats.org/officeDocument/2006/relationships/hyperlink" Target="http://www.nevo.co.il/law/70301/40c.a" TargetMode="External"/><Relationship Id="rId38" Type="http://schemas.openxmlformats.org/officeDocument/2006/relationships/hyperlink" Target="http://www.nevo.co.il/law/70301/40ja" TargetMode="External"/><Relationship Id="rId46" Type="http://schemas.openxmlformats.org/officeDocument/2006/relationships/hyperlink" Target="http://www.nevo.co.il/case/25544988" TargetMode="External"/><Relationship Id="rId59" Type="http://schemas.openxmlformats.org/officeDocument/2006/relationships/hyperlink" Target="http://www.nevo.co.il/case/28660017" TargetMode="External"/><Relationship Id="rId67" Type="http://schemas.openxmlformats.org/officeDocument/2006/relationships/hyperlink" Target="http://www.nevo.co.il/case/25836997" TargetMode="External"/><Relationship Id="rId20" Type="http://schemas.openxmlformats.org/officeDocument/2006/relationships/hyperlink" Target="http://www.nevo.co.il/law/70301/40jb" TargetMode="External"/><Relationship Id="rId41" Type="http://schemas.openxmlformats.org/officeDocument/2006/relationships/hyperlink" Target="http://www.nevo.co.il/law/70301/40f;40g" TargetMode="External"/><Relationship Id="rId54" Type="http://schemas.openxmlformats.org/officeDocument/2006/relationships/hyperlink" Target="http://www.nevo.co.il/case/21478799" TargetMode="External"/><Relationship Id="rId62" Type="http://schemas.openxmlformats.org/officeDocument/2006/relationships/hyperlink" Target="http://www.nevo.co.il/case/28266138" TargetMode="External"/><Relationship Id="rId70" Type="http://schemas.openxmlformats.org/officeDocument/2006/relationships/hyperlink" Target="http://www.nevo.co.il/case/27654960" TargetMode="External"/><Relationship Id="rId75" Type="http://schemas.openxmlformats.org/officeDocument/2006/relationships/hyperlink" Target="http://www.nevo.co.il/case/27943641" TargetMode="External"/><Relationship Id="rId83" Type="http://schemas.openxmlformats.org/officeDocument/2006/relationships/hyperlink" Target="http://www.nevo.co.il/case/20333392" TargetMode="External"/><Relationship Id="rId88" Type="http://schemas.openxmlformats.org/officeDocument/2006/relationships/header" Target="header2.xm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h" TargetMode="External"/><Relationship Id="rId23" Type="http://schemas.openxmlformats.org/officeDocument/2006/relationships/hyperlink" Target="http://www.nevo.co.il/law/70301/384.a.c"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40i" TargetMode="External"/><Relationship Id="rId49" Type="http://schemas.openxmlformats.org/officeDocument/2006/relationships/hyperlink" Target="http://www.nevo.co.il/case/28697218"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40c.b" TargetMode="External"/><Relationship Id="rId31" Type="http://schemas.openxmlformats.org/officeDocument/2006/relationships/hyperlink" Target="http://www.nevo.co.il/law/70301/40b" TargetMode="External"/><Relationship Id="rId44" Type="http://schemas.openxmlformats.org/officeDocument/2006/relationships/hyperlink" Target="http://www.nevo.co.il/law/70301/40jc" TargetMode="External"/><Relationship Id="rId52" Type="http://schemas.openxmlformats.org/officeDocument/2006/relationships/hyperlink" Target="http://www.nevo.co.il/case/16908012" TargetMode="External"/><Relationship Id="rId60" Type="http://schemas.openxmlformats.org/officeDocument/2006/relationships/hyperlink" Target="http://www.nevo.co.il/case/28452933" TargetMode="External"/><Relationship Id="rId65" Type="http://schemas.openxmlformats.org/officeDocument/2006/relationships/hyperlink" Target="http://www.nevo.co.il/case/26194541" TargetMode="External"/><Relationship Id="rId73" Type="http://schemas.openxmlformats.org/officeDocument/2006/relationships/hyperlink" Target="http://www.nevo.co.il/case/28053021" TargetMode="External"/><Relationship Id="rId78" Type="http://schemas.openxmlformats.org/officeDocument/2006/relationships/hyperlink" Target="http://www.nevo.co.il/case/25407951" TargetMode="External"/><Relationship Id="rId81" Type="http://schemas.openxmlformats.org/officeDocument/2006/relationships/hyperlink" Target="http://www.nevo.co.il/case/28092428" TargetMode="External"/><Relationship Id="rId86"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3" Type="http://schemas.openxmlformats.org/officeDocument/2006/relationships/hyperlink" Target="http://www.nevo.co.il/law/70301/40f" TargetMode="External"/><Relationship Id="rId18" Type="http://schemas.openxmlformats.org/officeDocument/2006/relationships/hyperlink" Target="http://www.nevo.co.il/law/70301/384.a.c" TargetMode="External"/><Relationship Id="rId39" Type="http://schemas.openxmlformats.org/officeDocument/2006/relationships/hyperlink" Target="http://www.nevo.co.il/law/70301/40jb" TargetMode="External"/><Relationship Id="rId34" Type="http://schemas.openxmlformats.org/officeDocument/2006/relationships/hyperlink" Target="http://www.nevo.co.il/law/70301/40i" TargetMode="External"/><Relationship Id="rId50" Type="http://schemas.openxmlformats.org/officeDocument/2006/relationships/hyperlink" Target="http://www.nevo.co.il/case/27309272" TargetMode="External"/><Relationship Id="rId55" Type="http://schemas.openxmlformats.org/officeDocument/2006/relationships/hyperlink" Target="http://www.nevo.co.il/case/5701236" TargetMode="External"/><Relationship Id="rId76" Type="http://schemas.openxmlformats.org/officeDocument/2006/relationships/hyperlink" Target="http://www.nevo.co.il/law/70301/40h"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5544988"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40" Type="http://schemas.openxmlformats.org/officeDocument/2006/relationships/hyperlink" Target="http://www.nevo.co.il/law/70301/40i" TargetMode="External"/><Relationship Id="rId45" Type="http://schemas.openxmlformats.org/officeDocument/2006/relationships/hyperlink" Target="http://www.nevo.co.il/case/13093721" TargetMode="External"/><Relationship Id="rId66" Type="http://schemas.openxmlformats.org/officeDocument/2006/relationships/hyperlink" Target="http://www.nevo.co.il/case/27571816" TargetMode="External"/><Relationship Id="rId87" Type="http://schemas.openxmlformats.org/officeDocument/2006/relationships/header" Target="header1.xml"/><Relationship Id="rId61" Type="http://schemas.openxmlformats.org/officeDocument/2006/relationships/hyperlink" Target="http://www.nevo.co.il/case/28643606" TargetMode="External"/><Relationship Id="rId82" Type="http://schemas.openxmlformats.org/officeDocument/2006/relationships/hyperlink" Target="http://www.nevo.co.il/case/22578455" TargetMode="External"/><Relationship Id="rId19" Type="http://schemas.openxmlformats.org/officeDocument/2006/relationships/hyperlink" Target="http://www.nevo.co.il/law/70301/40j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70301"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4597</Words>
  <Characters>22990</Characters>
  <Application>Microsoft Office Word</Application>
  <DocSecurity>0</DocSecurity>
  <Lines>191</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27532</CharactersWithSpaces>
  <SharedDoc>false</SharedDoc>
  <HLinks>
    <vt:vector size="486" baseType="variant">
      <vt:variant>
        <vt:i4>393283</vt:i4>
      </vt:variant>
      <vt:variant>
        <vt:i4>246</vt:i4>
      </vt:variant>
      <vt:variant>
        <vt:i4>0</vt:i4>
      </vt:variant>
      <vt:variant>
        <vt:i4>5</vt:i4>
      </vt:variant>
      <vt:variant>
        <vt:lpwstr>http://www.nevo.co.il/advertisements/nevo-100.doc</vt:lpwstr>
      </vt:variant>
      <vt:variant>
        <vt:lpwstr/>
      </vt:variant>
      <vt:variant>
        <vt:i4>3604606</vt:i4>
      </vt:variant>
      <vt:variant>
        <vt:i4>243</vt:i4>
      </vt:variant>
      <vt:variant>
        <vt:i4>0</vt:i4>
      </vt:variant>
      <vt:variant>
        <vt:i4>5</vt:i4>
      </vt:variant>
      <vt:variant>
        <vt:lpwstr>http://www.nevo.co.il/case/25690639</vt:lpwstr>
      </vt:variant>
      <vt:variant>
        <vt:lpwstr/>
      </vt:variant>
      <vt:variant>
        <vt:i4>3604595</vt:i4>
      </vt:variant>
      <vt:variant>
        <vt:i4>240</vt:i4>
      </vt:variant>
      <vt:variant>
        <vt:i4>0</vt:i4>
      </vt:variant>
      <vt:variant>
        <vt:i4>5</vt:i4>
      </vt:variant>
      <vt:variant>
        <vt:lpwstr>http://www.nevo.co.il/case/20244332</vt:lpwstr>
      </vt:variant>
      <vt:variant>
        <vt:lpwstr/>
      </vt:variant>
      <vt:variant>
        <vt:i4>3866740</vt:i4>
      </vt:variant>
      <vt:variant>
        <vt:i4>237</vt:i4>
      </vt:variant>
      <vt:variant>
        <vt:i4>0</vt:i4>
      </vt:variant>
      <vt:variant>
        <vt:i4>5</vt:i4>
      </vt:variant>
      <vt:variant>
        <vt:lpwstr>http://www.nevo.co.il/case/20333392</vt:lpwstr>
      </vt:variant>
      <vt:variant>
        <vt:lpwstr/>
      </vt:variant>
      <vt:variant>
        <vt:i4>3801205</vt:i4>
      </vt:variant>
      <vt:variant>
        <vt:i4>234</vt:i4>
      </vt:variant>
      <vt:variant>
        <vt:i4>0</vt:i4>
      </vt:variant>
      <vt:variant>
        <vt:i4>5</vt:i4>
      </vt:variant>
      <vt:variant>
        <vt:lpwstr>http://www.nevo.co.il/case/22578455</vt:lpwstr>
      </vt:variant>
      <vt:variant>
        <vt:lpwstr/>
      </vt:variant>
      <vt:variant>
        <vt:i4>3276913</vt:i4>
      </vt:variant>
      <vt:variant>
        <vt:i4>231</vt:i4>
      </vt:variant>
      <vt:variant>
        <vt:i4>0</vt:i4>
      </vt:variant>
      <vt:variant>
        <vt:i4>5</vt:i4>
      </vt:variant>
      <vt:variant>
        <vt:lpwstr>http://www.nevo.co.il/case/28092428</vt:lpwstr>
      </vt:variant>
      <vt:variant>
        <vt:lpwstr/>
      </vt:variant>
      <vt:variant>
        <vt:i4>3604603</vt:i4>
      </vt:variant>
      <vt:variant>
        <vt:i4>228</vt:i4>
      </vt:variant>
      <vt:variant>
        <vt:i4>0</vt:i4>
      </vt:variant>
      <vt:variant>
        <vt:i4>5</vt:i4>
      </vt:variant>
      <vt:variant>
        <vt:lpwstr>http://www.nevo.co.il/case/18654248</vt:lpwstr>
      </vt:variant>
      <vt:variant>
        <vt:lpwstr/>
      </vt:variant>
      <vt:variant>
        <vt:i4>3342463</vt:i4>
      </vt:variant>
      <vt:variant>
        <vt:i4>225</vt:i4>
      </vt:variant>
      <vt:variant>
        <vt:i4>0</vt:i4>
      </vt:variant>
      <vt:variant>
        <vt:i4>5</vt:i4>
      </vt:variant>
      <vt:variant>
        <vt:lpwstr>http://www.nevo.co.il/case/28357650</vt:lpwstr>
      </vt:variant>
      <vt:variant>
        <vt:lpwstr/>
      </vt:variant>
      <vt:variant>
        <vt:i4>3407992</vt:i4>
      </vt:variant>
      <vt:variant>
        <vt:i4>222</vt:i4>
      </vt:variant>
      <vt:variant>
        <vt:i4>0</vt:i4>
      </vt:variant>
      <vt:variant>
        <vt:i4>5</vt:i4>
      </vt:variant>
      <vt:variant>
        <vt:lpwstr>http://www.nevo.co.il/case/25407951</vt:lpwstr>
      </vt:variant>
      <vt:variant>
        <vt:lpwstr/>
      </vt:variant>
      <vt:variant>
        <vt:i4>7995492</vt:i4>
      </vt:variant>
      <vt:variant>
        <vt:i4>216</vt:i4>
      </vt:variant>
      <vt:variant>
        <vt:i4>0</vt:i4>
      </vt:variant>
      <vt:variant>
        <vt:i4>5</vt:i4>
      </vt:variant>
      <vt:variant>
        <vt:lpwstr>http://www.nevo.co.il/law/70301</vt:lpwstr>
      </vt:variant>
      <vt:variant>
        <vt:lpwstr/>
      </vt:variant>
      <vt:variant>
        <vt:i4>6619233</vt:i4>
      </vt:variant>
      <vt:variant>
        <vt:i4>213</vt:i4>
      </vt:variant>
      <vt:variant>
        <vt:i4>0</vt:i4>
      </vt:variant>
      <vt:variant>
        <vt:i4>5</vt:i4>
      </vt:variant>
      <vt:variant>
        <vt:lpwstr>http://www.nevo.co.il/law/70301/40h</vt:lpwstr>
      </vt:variant>
      <vt:variant>
        <vt:lpwstr/>
      </vt:variant>
      <vt:variant>
        <vt:i4>3932273</vt:i4>
      </vt:variant>
      <vt:variant>
        <vt:i4>210</vt:i4>
      </vt:variant>
      <vt:variant>
        <vt:i4>0</vt:i4>
      </vt:variant>
      <vt:variant>
        <vt:i4>5</vt:i4>
      </vt:variant>
      <vt:variant>
        <vt:lpwstr>http://www.nevo.co.il/case/27943641</vt:lpwstr>
      </vt:variant>
      <vt:variant>
        <vt:lpwstr/>
      </vt:variant>
      <vt:variant>
        <vt:i4>3276917</vt:i4>
      </vt:variant>
      <vt:variant>
        <vt:i4>207</vt:i4>
      </vt:variant>
      <vt:variant>
        <vt:i4>0</vt:i4>
      </vt:variant>
      <vt:variant>
        <vt:i4>5</vt:i4>
      </vt:variant>
      <vt:variant>
        <vt:lpwstr>http://www.nevo.co.il/case/23169485</vt:lpwstr>
      </vt:variant>
      <vt:variant>
        <vt:lpwstr/>
      </vt:variant>
      <vt:variant>
        <vt:i4>3342457</vt:i4>
      </vt:variant>
      <vt:variant>
        <vt:i4>204</vt:i4>
      </vt:variant>
      <vt:variant>
        <vt:i4>0</vt:i4>
      </vt:variant>
      <vt:variant>
        <vt:i4>5</vt:i4>
      </vt:variant>
      <vt:variant>
        <vt:lpwstr>http://www.nevo.co.il/case/28053021</vt:lpwstr>
      </vt:variant>
      <vt:variant>
        <vt:lpwstr/>
      </vt:variant>
      <vt:variant>
        <vt:i4>3932273</vt:i4>
      </vt:variant>
      <vt:variant>
        <vt:i4>201</vt:i4>
      </vt:variant>
      <vt:variant>
        <vt:i4>0</vt:i4>
      </vt:variant>
      <vt:variant>
        <vt:i4>5</vt:i4>
      </vt:variant>
      <vt:variant>
        <vt:lpwstr>http://www.nevo.co.il/case/27943641</vt:lpwstr>
      </vt:variant>
      <vt:variant>
        <vt:lpwstr/>
      </vt:variant>
      <vt:variant>
        <vt:i4>3866748</vt:i4>
      </vt:variant>
      <vt:variant>
        <vt:i4>192</vt:i4>
      </vt:variant>
      <vt:variant>
        <vt:i4>0</vt:i4>
      </vt:variant>
      <vt:variant>
        <vt:i4>5</vt:i4>
      </vt:variant>
      <vt:variant>
        <vt:lpwstr>http://www.nevo.co.il/case/25544988</vt:lpwstr>
      </vt:variant>
      <vt:variant>
        <vt:lpwstr/>
      </vt:variant>
      <vt:variant>
        <vt:i4>3539071</vt:i4>
      </vt:variant>
      <vt:variant>
        <vt:i4>189</vt:i4>
      </vt:variant>
      <vt:variant>
        <vt:i4>0</vt:i4>
      </vt:variant>
      <vt:variant>
        <vt:i4>5</vt:i4>
      </vt:variant>
      <vt:variant>
        <vt:lpwstr>http://www.nevo.co.il/case/27654960</vt:lpwstr>
      </vt:variant>
      <vt:variant>
        <vt:lpwstr/>
      </vt:variant>
      <vt:variant>
        <vt:i4>3735664</vt:i4>
      </vt:variant>
      <vt:variant>
        <vt:i4>186</vt:i4>
      </vt:variant>
      <vt:variant>
        <vt:i4>0</vt:i4>
      </vt:variant>
      <vt:variant>
        <vt:i4>5</vt:i4>
      </vt:variant>
      <vt:variant>
        <vt:lpwstr>http://www.nevo.co.il/case/27019224</vt:lpwstr>
      </vt:variant>
      <vt:variant>
        <vt:lpwstr/>
      </vt:variant>
      <vt:variant>
        <vt:i4>3932283</vt:i4>
      </vt:variant>
      <vt:variant>
        <vt:i4>183</vt:i4>
      </vt:variant>
      <vt:variant>
        <vt:i4>0</vt:i4>
      </vt:variant>
      <vt:variant>
        <vt:i4>5</vt:i4>
      </vt:variant>
      <vt:variant>
        <vt:lpwstr>http://www.nevo.co.il/case/25834925</vt:lpwstr>
      </vt:variant>
      <vt:variant>
        <vt:lpwstr/>
      </vt:variant>
      <vt:variant>
        <vt:i4>3473531</vt:i4>
      </vt:variant>
      <vt:variant>
        <vt:i4>180</vt:i4>
      </vt:variant>
      <vt:variant>
        <vt:i4>0</vt:i4>
      </vt:variant>
      <vt:variant>
        <vt:i4>5</vt:i4>
      </vt:variant>
      <vt:variant>
        <vt:lpwstr>http://www.nevo.co.il/case/25836997</vt:lpwstr>
      </vt:variant>
      <vt:variant>
        <vt:lpwstr/>
      </vt:variant>
      <vt:variant>
        <vt:i4>3604604</vt:i4>
      </vt:variant>
      <vt:variant>
        <vt:i4>177</vt:i4>
      </vt:variant>
      <vt:variant>
        <vt:i4>0</vt:i4>
      </vt:variant>
      <vt:variant>
        <vt:i4>5</vt:i4>
      </vt:variant>
      <vt:variant>
        <vt:lpwstr>http://www.nevo.co.il/case/27571816</vt:lpwstr>
      </vt:variant>
      <vt:variant>
        <vt:lpwstr/>
      </vt:variant>
      <vt:variant>
        <vt:i4>3342462</vt:i4>
      </vt:variant>
      <vt:variant>
        <vt:i4>174</vt:i4>
      </vt:variant>
      <vt:variant>
        <vt:i4>0</vt:i4>
      </vt:variant>
      <vt:variant>
        <vt:i4>5</vt:i4>
      </vt:variant>
      <vt:variant>
        <vt:lpwstr>http://www.nevo.co.il/case/26194541</vt:lpwstr>
      </vt:variant>
      <vt:variant>
        <vt:lpwstr/>
      </vt:variant>
      <vt:variant>
        <vt:i4>7995492</vt:i4>
      </vt:variant>
      <vt:variant>
        <vt:i4>171</vt:i4>
      </vt:variant>
      <vt:variant>
        <vt:i4>0</vt:i4>
      </vt:variant>
      <vt:variant>
        <vt:i4>5</vt:i4>
      </vt:variant>
      <vt:variant>
        <vt:lpwstr>http://www.nevo.co.il/law/70301</vt:lpwstr>
      </vt:variant>
      <vt:variant>
        <vt:lpwstr/>
      </vt:variant>
      <vt:variant>
        <vt:i4>5177424</vt:i4>
      </vt:variant>
      <vt:variant>
        <vt:i4>168</vt:i4>
      </vt:variant>
      <vt:variant>
        <vt:i4>0</vt:i4>
      </vt:variant>
      <vt:variant>
        <vt:i4>5</vt:i4>
      </vt:variant>
      <vt:variant>
        <vt:lpwstr>http://www.nevo.co.il/law/70301/144.g</vt:lpwstr>
      </vt:variant>
      <vt:variant>
        <vt:lpwstr/>
      </vt:variant>
      <vt:variant>
        <vt:i4>3473531</vt:i4>
      </vt:variant>
      <vt:variant>
        <vt:i4>165</vt:i4>
      </vt:variant>
      <vt:variant>
        <vt:i4>0</vt:i4>
      </vt:variant>
      <vt:variant>
        <vt:i4>5</vt:i4>
      </vt:variant>
      <vt:variant>
        <vt:lpwstr>http://www.nevo.co.il/case/28266138</vt:lpwstr>
      </vt:variant>
      <vt:variant>
        <vt:lpwstr/>
      </vt:variant>
      <vt:variant>
        <vt:i4>3604606</vt:i4>
      </vt:variant>
      <vt:variant>
        <vt:i4>162</vt:i4>
      </vt:variant>
      <vt:variant>
        <vt:i4>0</vt:i4>
      </vt:variant>
      <vt:variant>
        <vt:i4>5</vt:i4>
      </vt:variant>
      <vt:variant>
        <vt:lpwstr>http://www.nevo.co.il/case/28643606</vt:lpwstr>
      </vt:variant>
      <vt:variant>
        <vt:lpwstr/>
      </vt:variant>
      <vt:variant>
        <vt:i4>3604592</vt:i4>
      </vt:variant>
      <vt:variant>
        <vt:i4>159</vt:i4>
      </vt:variant>
      <vt:variant>
        <vt:i4>0</vt:i4>
      </vt:variant>
      <vt:variant>
        <vt:i4>5</vt:i4>
      </vt:variant>
      <vt:variant>
        <vt:lpwstr>http://www.nevo.co.il/case/28452933</vt:lpwstr>
      </vt:variant>
      <vt:variant>
        <vt:lpwstr/>
      </vt:variant>
      <vt:variant>
        <vt:i4>3473530</vt:i4>
      </vt:variant>
      <vt:variant>
        <vt:i4>156</vt:i4>
      </vt:variant>
      <vt:variant>
        <vt:i4>0</vt:i4>
      </vt:variant>
      <vt:variant>
        <vt:i4>5</vt:i4>
      </vt:variant>
      <vt:variant>
        <vt:lpwstr>http://www.nevo.co.il/case/28660017</vt:lpwstr>
      </vt:variant>
      <vt:variant>
        <vt:lpwstr/>
      </vt:variant>
      <vt:variant>
        <vt:i4>3473531</vt:i4>
      </vt:variant>
      <vt:variant>
        <vt:i4>153</vt:i4>
      </vt:variant>
      <vt:variant>
        <vt:i4>0</vt:i4>
      </vt:variant>
      <vt:variant>
        <vt:i4>5</vt:i4>
      </vt:variant>
      <vt:variant>
        <vt:lpwstr>http://www.nevo.co.il/case/28266138</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6619233</vt:i4>
      </vt:variant>
      <vt:variant>
        <vt:i4>147</vt:i4>
      </vt:variant>
      <vt:variant>
        <vt:i4>0</vt:i4>
      </vt:variant>
      <vt:variant>
        <vt:i4>5</vt:i4>
      </vt:variant>
      <vt:variant>
        <vt:lpwstr>http://www.nevo.co.il/law/70301/40i</vt:lpwstr>
      </vt:variant>
      <vt:variant>
        <vt:lpwstr/>
      </vt:variant>
      <vt:variant>
        <vt:i4>3211377</vt:i4>
      </vt:variant>
      <vt:variant>
        <vt:i4>144</vt:i4>
      </vt:variant>
      <vt:variant>
        <vt:i4>0</vt:i4>
      </vt:variant>
      <vt:variant>
        <vt:i4>5</vt:i4>
      </vt:variant>
      <vt:variant>
        <vt:lpwstr>http://www.nevo.co.il/case/5701236</vt:lpwstr>
      </vt:variant>
      <vt:variant>
        <vt:lpwstr/>
      </vt:variant>
      <vt:variant>
        <vt:i4>3604597</vt:i4>
      </vt:variant>
      <vt:variant>
        <vt:i4>141</vt:i4>
      </vt:variant>
      <vt:variant>
        <vt:i4>0</vt:i4>
      </vt:variant>
      <vt:variant>
        <vt:i4>5</vt:i4>
      </vt:variant>
      <vt:variant>
        <vt:lpwstr>http://www.nevo.co.il/case/21478799</vt:lpwstr>
      </vt:variant>
      <vt:variant>
        <vt:lpwstr/>
      </vt:variant>
      <vt:variant>
        <vt:i4>3801210</vt:i4>
      </vt:variant>
      <vt:variant>
        <vt:i4>138</vt:i4>
      </vt:variant>
      <vt:variant>
        <vt:i4>0</vt:i4>
      </vt:variant>
      <vt:variant>
        <vt:i4>5</vt:i4>
      </vt:variant>
      <vt:variant>
        <vt:lpwstr>http://www.nevo.co.il/case/18739556</vt:lpwstr>
      </vt:variant>
      <vt:variant>
        <vt:lpwstr/>
      </vt:variant>
      <vt:variant>
        <vt:i4>3211378</vt:i4>
      </vt:variant>
      <vt:variant>
        <vt:i4>135</vt:i4>
      </vt:variant>
      <vt:variant>
        <vt:i4>0</vt:i4>
      </vt:variant>
      <vt:variant>
        <vt:i4>5</vt:i4>
      </vt:variant>
      <vt:variant>
        <vt:lpwstr>http://www.nevo.co.il/case/16908012</vt:lpwstr>
      </vt:variant>
      <vt:variant>
        <vt:lpwstr/>
      </vt:variant>
      <vt:variant>
        <vt:i4>3539060</vt:i4>
      </vt:variant>
      <vt:variant>
        <vt:i4>132</vt:i4>
      </vt:variant>
      <vt:variant>
        <vt:i4>0</vt:i4>
      </vt:variant>
      <vt:variant>
        <vt:i4>5</vt:i4>
      </vt:variant>
      <vt:variant>
        <vt:lpwstr>http://www.nevo.co.il/case/17968162</vt:lpwstr>
      </vt:variant>
      <vt:variant>
        <vt:lpwstr/>
      </vt:variant>
      <vt:variant>
        <vt:i4>4128881</vt:i4>
      </vt:variant>
      <vt:variant>
        <vt:i4>129</vt:i4>
      </vt:variant>
      <vt:variant>
        <vt:i4>0</vt:i4>
      </vt:variant>
      <vt:variant>
        <vt:i4>5</vt:i4>
      </vt:variant>
      <vt:variant>
        <vt:lpwstr>http://www.nevo.co.il/case/27309272</vt:lpwstr>
      </vt:variant>
      <vt:variant>
        <vt:lpwstr/>
      </vt:variant>
      <vt:variant>
        <vt:i4>3276919</vt:i4>
      </vt:variant>
      <vt:variant>
        <vt:i4>126</vt:i4>
      </vt:variant>
      <vt:variant>
        <vt:i4>0</vt:i4>
      </vt:variant>
      <vt:variant>
        <vt:i4>5</vt:i4>
      </vt:variant>
      <vt:variant>
        <vt:lpwstr>http://www.nevo.co.il/case/28697218</vt:lpwstr>
      </vt:variant>
      <vt:variant>
        <vt:lpwstr/>
      </vt:variant>
      <vt:variant>
        <vt:i4>3407994</vt:i4>
      </vt:variant>
      <vt:variant>
        <vt:i4>123</vt:i4>
      </vt:variant>
      <vt:variant>
        <vt:i4>0</vt:i4>
      </vt:variant>
      <vt:variant>
        <vt:i4>5</vt:i4>
      </vt:variant>
      <vt:variant>
        <vt:lpwstr>http://www.nevo.co.il/case/28243273</vt:lpwstr>
      </vt:variant>
      <vt:variant>
        <vt:lpwstr/>
      </vt:variant>
      <vt:variant>
        <vt:i4>4128881</vt:i4>
      </vt:variant>
      <vt:variant>
        <vt:i4>120</vt:i4>
      </vt:variant>
      <vt:variant>
        <vt:i4>0</vt:i4>
      </vt:variant>
      <vt:variant>
        <vt:i4>5</vt:i4>
      </vt:variant>
      <vt:variant>
        <vt:lpwstr>http://www.nevo.co.il/case/27309272</vt:lpwstr>
      </vt:variant>
      <vt:variant>
        <vt:lpwstr/>
      </vt:variant>
      <vt:variant>
        <vt:i4>3866748</vt:i4>
      </vt:variant>
      <vt:variant>
        <vt:i4>117</vt:i4>
      </vt:variant>
      <vt:variant>
        <vt:i4>0</vt:i4>
      </vt:variant>
      <vt:variant>
        <vt:i4>5</vt:i4>
      </vt:variant>
      <vt:variant>
        <vt:lpwstr>http://www.nevo.co.il/case/25544988</vt:lpwstr>
      </vt:variant>
      <vt:variant>
        <vt:lpwstr/>
      </vt:variant>
      <vt:variant>
        <vt:i4>3145849</vt:i4>
      </vt:variant>
      <vt:variant>
        <vt:i4>114</vt:i4>
      </vt:variant>
      <vt:variant>
        <vt:i4>0</vt:i4>
      </vt:variant>
      <vt:variant>
        <vt:i4>5</vt:i4>
      </vt:variant>
      <vt:variant>
        <vt:lpwstr>http://www.nevo.co.il/case/13093721</vt:lpwstr>
      </vt:variant>
      <vt:variant>
        <vt:lpwstr/>
      </vt:variant>
      <vt:variant>
        <vt:i4>393227</vt:i4>
      </vt:variant>
      <vt:variant>
        <vt:i4>111</vt:i4>
      </vt:variant>
      <vt:variant>
        <vt:i4>0</vt:i4>
      </vt:variant>
      <vt:variant>
        <vt:i4>5</vt:i4>
      </vt:variant>
      <vt:variant>
        <vt:lpwstr>http://www.nevo.co.il/law/70301/40jc</vt:lpwstr>
      </vt:variant>
      <vt:variant>
        <vt:lpwstr/>
      </vt:variant>
      <vt:variant>
        <vt:i4>6619233</vt:i4>
      </vt:variant>
      <vt:variant>
        <vt:i4>108</vt:i4>
      </vt:variant>
      <vt:variant>
        <vt:i4>0</vt:i4>
      </vt:variant>
      <vt:variant>
        <vt:i4>5</vt:i4>
      </vt:variant>
      <vt:variant>
        <vt:lpwstr>http://www.nevo.co.il/law/70301/40e</vt:lpwstr>
      </vt:variant>
      <vt:variant>
        <vt:lpwstr/>
      </vt:variant>
      <vt:variant>
        <vt:i4>6619233</vt:i4>
      </vt:variant>
      <vt:variant>
        <vt:i4>105</vt:i4>
      </vt:variant>
      <vt:variant>
        <vt:i4>0</vt:i4>
      </vt:variant>
      <vt:variant>
        <vt:i4>5</vt:i4>
      </vt:variant>
      <vt:variant>
        <vt:lpwstr>http://www.nevo.co.il/law/70301/40d</vt:lpwstr>
      </vt:variant>
      <vt:variant>
        <vt:lpwstr/>
      </vt:variant>
      <vt:variant>
        <vt:i4>7209011</vt:i4>
      </vt:variant>
      <vt:variant>
        <vt:i4>102</vt:i4>
      </vt:variant>
      <vt:variant>
        <vt:i4>0</vt:i4>
      </vt:variant>
      <vt:variant>
        <vt:i4>5</vt:i4>
      </vt:variant>
      <vt:variant>
        <vt:lpwstr>http://www.nevo.co.il/law/70301/40f;40g</vt:lpwstr>
      </vt:variant>
      <vt:variant>
        <vt:lpwstr/>
      </vt:variant>
      <vt:variant>
        <vt:i4>6619233</vt:i4>
      </vt:variant>
      <vt:variant>
        <vt:i4>99</vt:i4>
      </vt:variant>
      <vt:variant>
        <vt:i4>0</vt:i4>
      </vt:variant>
      <vt:variant>
        <vt:i4>5</vt:i4>
      </vt:variant>
      <vt:variant>
        <vt:lpwstr>http://www.nevo.co.il/law/70301/40i</vt:lpwstr>
      </vt:variant>
      <vt:variant>
        <vt:lpwstr/>
      </vt:variant>
      <vt:variant>
        <vt:i4>458763</vt:i4>
      </vt:variant>
      <vt:variant>
        <vt:i4>96</vt:i4>
      </vt:variant>
      <vt:variant>
        <vt:i4>0</vt:i4>
      </vt:variant>
      <vt:variant>
        <vt:i4>5</vt:i4>
      </vt:variant>
      <vt:variant>
        <vt:lpwstr>http://www.nevo.co.il/law/70301/40jb</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4915202</vt:i4>
      </vt:variant>
      <vt:variant>
        <vt:i4>90</vt:i4>
      </vt:variant>
      <vt:variant>
        <vt:i4>0</vt:i4>
      </vt:variant>
      <vt:variant>
        <vt:i4>5</vt:i4>
      </vt:variant>
      <vt:variant>
        <vt:lpwstr>http://www.nevo.co.il/law/70301/40c.b</vt:lpwstr>
      </vt:variant>
      <vt:variant>
        <vt:lpwstr/>
      </vt:variant>
      <vt:variant>
        <vt:i4>6619233</vt:i4>
      </vt:variant>
      <vt:variant>
        <vt:i4>87</vt:i4>
      </vt:variant>
      <vt:variant>
        <vt:i4>0</vt:i4>
      </vt:variant>
      <vt:variant>
        <vt:i4>5</vt:i4>
      </vt:variant>
      <vt:variant>
        <vt:lpwstr>http://www.nevo.co.il/law/70301/40i</vt:lpwstr>
      </vt:variant>
      <vt:variant>
        <vt:lpwstr/>
      </vt:variant>
      <vt:variant>
        <vt:i4>458763</vt:i4>
      </vt:variant>
      <vt:variant>
        <vt:i4>84</vt:i4>
      </vt:variant>
      <vt:variant>
        <vt:i4>0</vt:i4>
      </vt:variant>
      <vt:variant>
        <vt:i4>5</vt:i4>
      </vt:variant>
      <vt:variant>
        <vt:lpwstr>http://www.nevo.co.il/law/70301/40jb</vt:lpwstr>
      </vt:variant>
      <vt:variant>
        <vt:lpwstr/>
      </vt:variant>
      <vt:variant>
        <vt:i4>6619233</vt:i4>
      </vt:variant>
      <vt:variant>
        <vt:i4>81</vt:i4>
      </vt:variant>
      <vt:variant>
        <vt:i4>0</vt:i4>
      </vt:variant>
      <vt:variant>
        <vt:i4>5</vt:i4>
      </vt:variant>
      <vt:variant>
        <vt:lpwstr>http://www.nevo.co.il/law/70301/40i</vt:lpwstr>
      </vt:variant>
      <vt:variant>
        <vt:lpwstr/>
      </vt:variant>
      <vt:variant>
        <vt:i4>4915202</vt:i4>
      </vt:variant>
      <vt:variant>
        <vt:i4>78</vt:i4>
      </vt:variant>
      <vt:variant>
        <vt:i4>0</vt:i4>
      </vt:variant>
      <vt:variant>
        <vt:i4>5</vt:i4>
      </vt:variant>
      <vt:variant>
        <vt:lpwstr>http://www.nevo.co.il/law/70301/40c.a</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http://www.nevo.co.il/law/70301/40b</vt:lpwstr>
      </vt:variant>
      <vt:variant>
        <vt:lpwstr/>
      </vt:variant>
      <vt:variant>
        <vt:i4>3276922</vt:i4>
      </vt:variant>
      <vt:variant>
        <vt:i4>69</vt:i4>
      </vt:variant>
      <vt:variant>
        <vt:i4>0</vt:i4>
      </vt:variant>
      <vt:variant>
        <vt:i4>5</vt:i4>
      </vt:variant>
      <vt:variant>
        <vt:lpwstr>http://www.nevo.co.il/case/27796010</vt:lpwstr>
      </vt:variant>
      <vt:variant>
        <vt:lpwstr/>
      </vt:variant>
      <vt:variant>
        <vt:i4>7995492</vt:i4>
      </vt:variant>
      <vt:variant>
        <vt:i4>66</vt:i4>
      </vt:variant>
      <vt:variant>
        <vt:i4>0</vt:i4>
      </vt:variant>
      <vt:variant>
        <vt:i4>5</vt:i4>
      </vt:variant>
      <vt:variant>
        <vt:lpwstr>http://www.nevo.co.il/law/70301</vt:lpwstr>
      </vt:variant>
      <vt:variant>
        <vt:lpwstr/>
      </vt:variant>
      <vt:variant>
        <vt:i4>7995492</vt:i4>
      </vt:variant>
      <vt:variant>
        <vt:i4>63</vt:i4>
      </vt:variant>
      <vt:variant>
        <vt:i4>0</vt:i4>
      </vt:variant>
      <vt:variant>
        <vt:i4>5</vt:i4>
      </vt:variant>
      <vt:variant>
        <vt:lpwstr>http://www.nevo.co.il/law/70301</vt:lpwstr>
      </vt:variant>
      <vt:variant>
        <vt:lpwstr/>
      </vt:variant>
      <vt:variant>
        <vt:i4>5177424</vt:i4>
      </vt:variant>
      <vt:variant>
        <vt:i4>60</vt:i4>
      </vt:variant>
      <vt:variant>
        <vt:i4>0</vt:i4>
      </vt:variant>
      <vt:variant>
        <vt:i4>5</vt:i4>
      </vt:variant>
      <vt:variant>
        <vt:lpwstr>http://www.nevo.co.il/law/70301/144.g</vt:lpwstr>
      </vt:variant>
      <vt:variant>
        <vt:lpwstr/>
      </vt:variant>
      <vt:variant>
        <vt:i4>3211380</vt:i4>
      </vt:variant>
      <vt:variant>
        <vt:i4>57</vt:i4>
      </vt:variant>
      <vt:variant>
        <vt:i4>0</vt:i4>
      </vt:variant>
      <vt:variant>
        <vt:i4>5</vt:i4>
      </vt:variant>
      <vt:variant>
        <vt:lpwstr>http://www.nevo.co.il/case/28883087</vt:lpwstr>
      </vt:variant>
      <vt:variant>
        <vt:lpwstr/>
      </vt:variant>
      <vt:variant>
        <vt:i4>6357116</vt:i4>
      </vt:variant>
      <vt:variant>
        <vt:i4>54</vt:i4>
      </vt:variant>
      <vt:variant>
        <vt:i4>0</vt:i4>
      </vt:variant>
      <vt:variant>
        <vt:i4>5</vt:i4>
      </vt:variant>
      <vt:variant>
        <vt:lpwstr>http://www.nevo.co.il/law/70301/413d.a</vt:lpwstr>
      </vt:variant>
      <vt:variant>
        <vt:lpwstr/>
      </vt:variant>
      <vt:variant>
        <vt:i4>7995492</vt:i4>
      </vt:variant>
      <vt:variant>
        <vt:i4>51</vt:i4>
      </vt:variant>
      <vt:variant>
        <vt:i4>0</vt:i4>
      </vt:variant>
      <vt:variant>
        <vt:i4>5</vt:i4>
      </vt:variant>
      <vt:variant>
        <vt:lpwstr>http://www.nevo.co.il/law/70301</vt:lpwstr>
      </vt:variant>
      <vt:variant>
        <vt:lpwstr/>
      </vt:variant>
      <vt:variant>
        <vt:i4>7143475</vt:i4>
      </vt:variant>
      <vt:variant>
        <vt:i4>48</vt:i4>
      </vt:variant>
      <vt:variant>
        <vt:i4>0</vt:i4>
      </vt:variant>
      <vt:variant>
        <vt:i4>5</vt:i4>
      </vt:variant>
      <vt:variant>
        <vt:lpwstr>http://www.nevo.co.il/law/70301/384.a.c</vt:lpwstr>
      </vt:variant>
      <vt:variant>
        <vt:lpwstr/>
      </vt:variant>
      <vt:variant>
        <vt:i4>6357116</vt:i4>
      </vt:variant>
      <vt:variant>
        <vt:i4>45</vt:i4>
      </vt:variant>
      <vt:variant>
        <vt:i4>0</vt:i4>
      </vt:variant>
      <vt:variant>
        <vt:i4>5</vt:i4>
      </vt:variant>
      <vt:variant>
        <vt:lpwstr>http://www.nevo.co.il/law/70301/413d.a</vt:lpwstr>
      </vt:variant>
      <vt:variant>
        <vt:lpwstr/>
      </vt:variant>
      <vt:variant>
        <vt:i4>393227</vt:i4>
      </vt:variant>
      <vt:variant>
        <vt:i4>42</vt:i4>
      </vt:variant>
      <vt:variant>
        <vt:i4>0</vt:i4>
      </vt:variant>
      <vt:variant>
        <vt:i4>5</vt:i4>
      </vt:variant>
      <vt:variant>
        <vt:lpwstr>http://www.nevo.co.il/law/70301/40jc</vt:lpwstr>
      </vt:variant>
      <vt:variant>
        <vt:lpwstr/>
      </vt:variant>
      <vt:variant>
        <vt:i4>458763</vt:i4>
      </vt:variant>
      <vt:variant>
        <vt:i4>39</vt:i4>
      </vt:variant>
      <vt:variant>
        <vt:i4>0</vt:i4>
      </vt:variant>
      <vt:variant>
        <vt:i4>5</vt:i4>
      </vt:variant>
      <vt:variant>
        <vt:lpwstr>http://www.nevo.co.il/law/70301/40jb</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7143475</vt:i4>
      </vt:variant>
      <vt:variant>
        <vt:i4>33</vt:i4>
      </vt:variant>
      <vt:variant>
        <vt:i4>0</vt:i4>
      </vt:variant>
      <vt:variant>
        <vt:i4>5</vt:i4>
      </vt:variant>
      <vt:variant>
        <vt:lpwstr>http://www.nevo.co.il/law/70301/384.a.c</vt:lpwstr>
      </vt:variant>
      <vt:variant>
        <vt:lpwstr/>
      </vt:variant>
      <vt:variant>
        <vt:i4>5177424</vt:i4>
      </vt:variant>
      <vt:variant>
        <vt:i4>30</vt:i4>
      </vt:variant>
      <vt:variant>
        <vt:i4>0</vt:i4>
      </vt:variant>
      <vt:variant>
        <vt:i4>5</vt:i4>
      </vt:variant>
      <vt:variant>
        <vt:lpwstr>http://www.nevo.co.il/law/70301/144.g</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6619233</vt:i4>
      </vt:variant>
      <vt:variant>
        <vt:i4>24</vt:i4>
      </vt:variant>
      <vt:variant>
        <vt:i4>0</vt:i4>
      </vt:variant>
      <vt:variant>
        <vt:i4>5</vt:i4>
      </vt:variant>
      <vt:variant>
        <vt:lpwstr>http://www.nevo.co.il/law/70301/40h</vt:lpwstr>
      </vt:variant>
      <vt:variant>
        <vt:lpwstr/>
      </vt:variant>
      <vt:variant>
        <vt:i4>6619233</vt:i4>
      </vt:variant>
      <vt:variant>
        <vt:i4>21</vt:i4>
      </vt:variant>
      <vt:variant>
        <vt:i4>0</vt:i4>
      </vt:variant>
      <vt:variant>
        <vt:i4>5</vt:i4>
      </vt:variant>
      <vt:variant>
        <vt:lpwstr>http://www.nevo.co.il/law/70301/40g</vt:lpwstr>
      </vt:variant>
      <vt:variant>
        <vt:lpwstr/>
      </vt:variant>
      <vt:variant>
        <vt:i4>6619233</vt:i4>
      </vt:variant>
      <vt:variant>
        <vt:i4>18</vt:i4>
      </vt:variant>
      <vt:variant>
        <vt:i4>0</vt:i4>
      </vt:variant>
      <vt:variant>
        <vt:i4>5</vt:i4>
      </vt:variant>
      <vt:variant>
        <vt:lpwstr>http://www.nevo.co.il/law/70301/40f</vt:lpwstr>
      </vt:variant>
      <vt:variant>
        <vt:lpwstr/>
      </vt:variant>
      <vt:variant>
        <vt:i4>6619233</vt:i4>
      </vt:variant>
      <vt:variant>
        <vt:i4>15</vt:i4>
      </vt:variant>
      <vt:variant>
        <vt:i4>0</vt:i4>
      </vt:variant>
      <vt:variant>
        <vt:i4>5</vt:i4>
      </vt:variant>
      <vt:variant>
        <vt:lpwstr>http://www.nevo.co.il/law/70301/40e</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4915202</vt:i4>
      </vt:variant>
      <vt:variant>
        <vt:i4>9</vt:i4>
      </vt:variant>
      <vt:variant>
        <vt:i4>0</vt:i4>
      </vt:variant>
      <vt:variant>
        <vt:i4>5</vt:i4>
      </vt:variant>
      <vt:variant>
        <vt:lpwstr>http://www.nevo.co.il/law/70301/40c.b</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2025-01-19T16:48:00Z</dcterms:created>
  <dcterms:modified xsi:type="dcterms:W3CDTF">2025-01-19T16:48:00Z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67356</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גסאן עדווין</vt:lpwstr>
  </property>
  <property fmtid="{D5CDD505-2E9C-101B-9397-08002B2CF9AE}" pid="10" name="LAWYER">
    <vt:lpwstr>אריאל אילוז;עינת יריב;מחמוד רבאח</vt:lpwstr>
  </property>
  <property fmtid="{D5CDD505-2E9C-101B-9397-08002B2CF9AE}" pid="11" name="JUDGE">
    <vt:lpwstr>אלעזר נחלון</vt:lpwstr>
  </property>
  <property fmtid="{D5CDD505-2E9C-101B-9397-08002B2CF9AE}" pid="12" name="CITY">
    <vt:lpwstr>י-ם</vt:lpwstr>
  </property>
  <property fmtid="{D5CDD505-2E9C-101B-9397-08002B2CF9AE}" pid="13" name="DATE">
    <vt:lpwstr>20221219</vt:lpwstr>
  </property>
  <property fmtid="{D5CDD505-2E9C-101B-9397-08002B2CF9AE}" pid="14" name="TYPE_N_DATE">
    <vt:lpwstr>39020221219</vt:lpwstr>
  </property>
  <property fmtid="{D5CDD505-2E9C-101B-9397-08002B2CF9AE}" pid="15" name="WORDNUMPAGES">
    <vt:lpwstr>14</vt:lpwstr>
  </property>
  <property fmtid="{D5CDD505-2E9C-101B-9397-08002B2CF9AE}" pid="16" name="TYPE_ABS_DATE">
    <vt:lpwstr>390020221219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28883087;27796010;13093721;25544988:2;27309272:2;28243273;28697218;17968162;16908012;18739556;21478799;5701236;28266138:2;28660017;28452933;28643606;26194541;27571816;25836997;25834925;27019224;27654960;27943641:2;28053021;23169485;25407951;28357650</vt:lpwstr>
  </property>
  <property fmtid="{D5CDD505-2E9C-101B-9397-08002B2CF9AE}" pid="36" name="CASESLISTTMP2">
    <vt:lpwstr>18654248;28092428;22578455;20333392;20244332;25690639</vt:lpwstr>
  </property>
  <property fmtid="{D5CDD505-2E9C-101B-9397-08002B2CF9AE}" pid="37" name="LAWLISTTMP1">
    <vt:lpwstr>70301/384.a.c:2;413d.a:2;144.g:4;040b:2;040c.a:2;040i:8;40jb:4;040c.b:2;40ja:2;040f:2;040g:2;040d:2;040e:2;40jc:2;040h:2</vt:lpwstr>
  </property>
</Properties>
</file>