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627B9C" w:rsidRPr="00190D99" w14:paraId="6F461DA0" w14:textId="77777777" w:rsidTr="00190D99">
        <w:trPr>
          <w:trHeight w:hRule="exact" w:val="418"/>
          <w:jc w:val="center"/>
        </w:trPr>
        <w:tc>
          <w:tcPr>
            <w:tcW w:w="8721" w:type="dxa"/>
            <w:gridSpan w:val="2"/>
          </w:tcPr>
          <w:p w14:paraId="4B82AD7B" w14:textId="77777777" w:rsidR="00627B9C" w:rsidRPr="00190D99" w:rsidRDefault="00627B9C" w:rsidP="00251E59">
            <w:pPr>
              <w:pStyle w:val="a3"/>
              <w:jc w:val="center"/>
              <w:rPr>
                <w:rFonts w:ascii="Tahoma" w:hAnsi="Tahoma"/>
                <w:color w:val="000080"/>
                <w:rtl/>
              </w:rPr>
            </w:pPr>
            <w:bookmarkStart w:id="0" w:name="LastJudge"/>
            <w:r w:rsidRPr="00190D99">
              <w:rPr>
                <w:rFonts w:ascii="Tahoma" w:hAnsi="Tahoma"/>
                <w:b/>
                <w:bCs/>
                <w:color w:val="000080"/>
                <w:rtl/>
              </w:rPr>
              <w:t>בית המשפט המחוזי בירושלים</w:t>
            </w:r>
          </w:p>
        </w:tc>
      </w:tr>
      <w:tr w:rsidR="00627B9C" w:rsidRPr="00190D99" w14:paraId="37B68B90" w14:textId="77777777" w:rsidTr="00190D99">
        <w:trPr>
          <w:trHeight w:val="337"/>
          <w:jc w:val="center"/>
        </w:trPr>
        <w:tc>
          <w:tcPr>
            <w:tcW w:w="5058" w:type="dxa"/>
          </w:tcPr>
          <w:p w14:paraId="6FEB6A13" w14:textId="77777777" w:rsidR="00627B9C" w:rsidRPr="00190D99" w:rsidRDefault="00627B9C" w:rsidP="00251E59">
            <w:pPr>
              <w:rPr>
                <w:sz w:val="28"/>
                <w:szCs w:val="28"/>
                <w:rtl/>
              </w:rPr>
            </w:pPr>
            <w:r w:rsidRPr="00190D99">
              <w:rPr>
                <w:sz w:val="28"/>
                <w:szCs w:val="28"/>
                <w:rtl/>
              </w:rPr>
              <w:t>ת"פ</w:t>
            </w:r>
            <w:r w:rsidRPr="00190D99">
              <w:rPr>
                <w:rFonts w:hint="cs"/>
                <w:sz w:val="28"/>
                <w:szCs w:val="28"/>
                <w:rtl/>
              </w:rPr>
              <w:t xml:space="preserve"> </w:t>
            </w:r>
            <w:r w:rsidRPr="00190D99">
              <w:rPr>
                <w:sz w:val="28"/>
                <w:szCs w:val="28"/>
                <w:rtl/>
              </w:rPr>
              <w:t>8868-12-21</w:t>
            </w:r>
            <w:r w:rsidRPr="00190D99">
              <w:rPr>
                <w:rFonts w:hint="cs"/>
                <w:sz w:val="28"/>
                <w:szCs w:val="28"/>
                <w:rtl/>
              </w:rPr>
              <w:t xml:space="preserve"> </w:t>
            </w:r>
            <w:r w:rsidRPr="00190D99">
              <w:rPr>
                <w:sz w:val="28"/>
                <w:szCs w:val="28"/>
                <w:rtl/>
              </w:rPr>
              <w:t>מדינת ישראל נ' זהראן(עציר) ואח'</w:t>
            </w:r>
          </w:p>
          <w:p w14:paraId="35514AEC" w14:textId="77777777" w:rsidR="00627B9C" w:rsidRPr="00190D99" w:rsidRDefault="00627B9C" w:rsidP="00251E59">
            <w:pPr>
              <w:pStyle w:val="a3"/>
              <w:rPr>
                <w:sz w:val="12"/>
                <w:szCs w:val="12"/>
                <w:rtl/>
              </w:rPr>
            </w:pPr>
          </w:p>
        </w:tc>
        <w:tc>
          <w:tcPr>
            <w:tcW w:w="3663" w:type="dxa"/>
          </w:tcPr>
          <w:p w14:paraId="0AB4087E" w14:textId="77777777" w:rsidR="00627B9C" w:rsidRPr="00190D99" w:rsidRDefault="00627B9C" w:rsidP="00251E59">
            <w:pPr>
              <w:pStyle w:val="a3"/>
              <w:jc w:val="right"/>
              <w:rPr>
                <w:sz w:val="28"/>
                <w:szCs w:val="28"/>
                <w:rtl/>
              </w:rPr>
            </w:pPr>
          </w:p>
        </w:tc>
      </w:tr>
    </w:tbl>
    <w:p w14:paraId="7114D938" w14:textId="77777777" w:rsidR="00627B9C" w:rsidRPr="00190D99" w:rsidRDefault="00627B9C" w:rsidP="00627B9C">
      <w:pPr>
        <w:pStyle w:val="a3"/>
        <w:rPr>
          <w:sz w:val="2"/>
          <w:szCs w:val="2"/>
          <w:rtl/>
        </w:rPr>
      </w:pPr>
      <w:r w:rsidRPr="00190D99">
        <w:rPr>
          <w:rFonts w:hint="cs"/>
          <w:rtl/>
        </w:rPr>
        <w:t xml:space="preserve"> </w:t>
      </w:r>
    </w:p>
    <w:p w14:paraId="47DE253E" w14:textId="77777777" w:rsidR="00627B9C" w:rsidRPr="00190D99" w:rsidRDefault="00627B9C" w:rsidP="00627B9C">
      <w:pPr>
        <w:spacing w:line="360" w:lineRule="auto"/>
        <w:jc w:val="both"/>
        <w:rPr>
          <w:rFonts w:ascii="David" w:hAnsi="David"/>
          <w:sz w:val="6"/>
          <w:szCs w:val="6"/>
          <w:rtl/>
        </w:rPr>
      </w:pPr>
    </w:p>
    <w:p w14:paraId="30478494" w14:textId="77777777" w:rsidR="00627B9C" w:rsidRPr="00190D99" w:rsidRDefault="00627B9C" w:rsidP="00627B9C">
      <w:pPr>
        <w:spacing w:line="360" w:lineRule="auto"/>
        <w:jc w:val="both"/>
        <w:rPr>
          <w:rFonts w:ascii="David" w:hAnsi="David"/>
          <w:sz w:val="6"/>
          <w:szCs w:val="6"/>
          <w:rtl/>
        </w:rPr>
      </w:pPr>
    </w:p>
    <w:tbl>
      <w:tblPr>
        <w:bidiVisual/>
        <w:tblW w:w="8802" w:type="dxa"/>
        <w:tblInd w:w="-28" w:type="dxa"/>
        <w:tblLook w:val="01E0" w:firstRow="1" w:lastRow="1" w:firstColumn="1" w:lastColumn="1" w:noHBand="0" w:noVBand="0"/>
      </w:tblPr>
      <w:tblGrid>
        <w:gridCol w:w="2880"/>
        <w:gridCol w:w="5839"/>
        <w:gridCol w:w="83"/>
      </w:tblGrid>
      <w:tr w:rsidR="00627B9C" w:rsidRPr="00190D99" w14:paraId="5B14D462" w14:textId="77777777" w:rsidTr="00627B9C">
        <w:trPr>
          <w:gridAfter w:val="1"/>
          <w:wAfter w:w="55" w:type="dxa"/>
        </w:trPr>
        <w:tc>
          <w:tcPr>
            <w:tcW w:w="8719" w:type="dxa"/>
            <w:gridSpan w:val="2"/>
            <w:shd w:val="clear" w:color="auto" w:fill="auto"/>
          </w:tcPr>
          <w:p w14:paraId="42B5FF6D" w14:textId="77777777" w:rsidR="00627B9C" w:rsidRPr="00190D99" w:rsidRDefault="00627B9C" w:rsidP="00627B9C">
            <w:pPr>
              <w:spacing w:line="360" w:lineRule="auto"/>
              <w:jc w:val="both"/>
              <w:rPr>
                <w:rFonts w:ascii="David" w:hAnsi="David"/>
                <w:rtl/>
              </w:rPr>
            </w:pPr>
            <w:r w:rsidRPr="00190D99">
              <w:rPr>
                <w:rFonts w:ascii="David" w:hAnsi="David" w:hint="cs"/>
                <w:b/>
                <w:bCs/>
                <w:sz w:val="26"/>
                <w:szCs w:val="26"/>
                <w:rtl/>
              </w:rPr>
              <w:t>ל</w:t>
            </w:r>
            <w:r w:rsidRPr="00190D99">
              <w:rPr>
                <w:rFonts w:ascii="David" w:hAnsi="David"/>
                <w:b/>
                <w:bCs/>
                <w:sz w:val="26"/>
                <w:szCs w:val="26"/>
                <w:rtl/>
              </w:rPr>
              <w:t>פני כב' השופטת חנה מרים לומפ</w:t>
            </w:r>
          </w:p>
        </w:tc>
      </w:tr>
      <w:tr w:rsidR="00627B9C" w:rsidRPr="00190D99" w14:paraId="10221934" w14:textId="77777777" w:rsidTr="00627B9C">
        <w:tc>
          <w:tcPr>
            <w:tcW w:w="2880" w:type="dxa"/>
            <w:shd w:val="clear" w:color="auto" w:fill="auto"/>
          </w:tcPr>
          <w:p w14:paraId="4924A0FF" w14:textId="77777777" w:rsidR="00627B9C" w:rsidRPr="00190D99" w:rsidRDefault="00627B9C" w:rsidP="00627B9C">
            <w:pPr>
              <w:ind w:left="26"/>
              <w:rPr>
                <w:rFonts w:ascii="David" w:hAnsi="David"/>
                <w:b/>
                <w:bCs/>
                <w:sz w:val="26"/>
                <w:szCs w:val="26"/>
                <w:rtl/>
              </w:rPr>
            </w:pPr>
            <w:bookmarkStart w:id="1" w:name="FirstAppellant"/>
            <w:bookmarkStart w:id="2" w:name="FirstLawyer"/>
            <w:r w:rsidRPr="00190D99">
              <w:rPr>
                <w:rFonts w:ascii="David" w:hAnsi="David"/>
                <w:b/>
                <w:bCs/>
                <w:sz w:val="26"/>
                <w:szCs w:val="26"/>
                <w:rtl/>
              </w:rPr>
              <w:t>המאשימה</w:t>
            </w:r>
          </w:p>
        </w:tc>
        <w:tc>
          <w:tcPr>
            <w:tcW w:w="5922" w:type="dxa"/>
            <w:gridSpan w:val="2"/>
            <w:shd w:val="clear" w:color="auto" w:fill="auto"/>
          </w:tcPr>
          <w:p w14:paraId="1D4137F9" w14:textId="77777777" w:rsidR="00627B9C" w:rsidRPr="00190D99" w:rsidRDefault="00627B9C" w:rsidP="00251E59">
            <w:pPr>
              <w:rPr>
                <w:rFonts w:ascii="David" w:hAnsi="David"/>
                <w:rtl/>
              </w:rPr>
            </w:pPr>
            <w:r w:rsidRPr="00190D99">
              <w:rPr>
                <w:rFonts w:ascii="David" w:hAnsi="David"/>
                <w:b/>
                <w:bCs/>
                <w:sz w:val="26"/>
                <w:szCs w:val="26"/>
                <w:rtl/>
              </w:rPr>
              <w:t xml:space="preserve"> מדינת ישראל</w:t>
            </w:r>
          </w:p>
          <w:p w14:paraId="6A0CFD0F" w14:textId="77777777" w:rsidR="00627B9C" w:rsidRPr="00190D99" w:rsidRDefault="00627B9C" w:rsidP="00251E59">
            <w:pPr>
              <w:rPr>
                <w:rFonts w:ascii="David" w:hAnsi="David"/>
                <w:sz w:val="26"/>
                <w:szCs w:val="26"/>
                <w:rtl/>
              </w:rPr>
            </w:pPr>
            <w:r w:rsidRPr="00190D99">
              <w:rPr>
                <w:rFonts w:ascii="David" w:hAnsi="David" w:hint="cs"/>
                <w:b/>
                <w:bCs/>
                <w:rtl/>
              </w:rPr>
              <w:t xml:space="preserve"> </w:t>
            </w:r>
            <w:r w:rsidRPr="00190D99">
              <w:rPr>
                <w:rFonts w:ascii="David" w:hAnsi="David" w:hint="cs"/>
                <w:sz w:val="26"/>
                <w:szCs w:val="26"/>
                <w:rtl/>
              </w:rPr>
              <w:t>על ידי פרקליטות מחוז ירושלים (פלילי)</w:t>
            </w:r>
          </w:p>
          <w:p w14:paraId="0F550BBC" w14:textId="77777777" w:rsidR="00627B9C" w:rsidRPr="00190D99" w:rsidRDefault="00627B9C" w:rsidP="00251E59">
            <w:pPr>
              <w:rPr>
                <w:rFonts w:ascii="David" w:hAnsi="David"/>
                <w:sz w:val="26"/>
                <w:szCs w:val="26"/>
                <w:rtl/>
              </w:rPr>
            </w:pPr>
            <w:r w:rsidRPr="00190D99">
              <w:rPr>
                <w:rFonts w:ascii="David" w:hAnsi="David" w:hint="cs"/>
                <w:sz w:val="26"/>
                <w:szCs w:val="26"/>
                <w:rtl/>
              </w:rPr>
              <w:t xml:space="preserve"> באמצעות ב"כ עו"ד אילן אקוקה</w:t>
            </w:r>
          </w:p>
          <w:p w14:paraId="4CAFD242" w14:textId="77777777" w:rsidR="00627B9C" w:rsidRPr="00190D99" w:rsidRDefault="00627B9C" w:rsidP="00251E59">
            <w:pPr>
              <w:rPr>
                <w:rFonts w:ascii="David" w:hAnsi="David"/>
                <w:b/>
                <w:bCs/>
                <w:sz w:val="26"/>
                <w:szCs w:val="26"/>
                <w:rtl/>
              </w:rPr>
            </w:pPr>
          </w:p>
        </w:tc>
      </w:tr>
      <w:bookmarkEnd w:id="1"/>
      <w:bookmarkEnd w:id="2"/>
      <w:tr w:rsidR="00627B9C" w:rsidRPr="00190D99" w14:paraId="79A4F4EE" w14:textId="77777777" w:rsidTr="00627B9C">
        <w:tc>
          <w:tcPr>
            <w:tcW w:w="8802" w:type="dxa"/>
            <w:gridSpan w:val="3"/>
            <w:shd w:val="clear" w:color="auto" w:fill="auto"/>
          </w:tcPr>
          <w:p w14:paraId="072D9099" w14:textId="77777777" w:rsidR="00627B9C" w:rsidRPr="00190D99" w:rsidRDefault="00627B9C" w:rsidP="00627B9C">
            <w:pPr>
              <w:jc w:val="both"/>
              <w:rPr>
                <w:rFonts w:ascii="David" w:hAnsi="David"/>
                <w:b/>
                <w:bCs/>
                <w:sz w:val="26"/>
                <w:szCs w:val="26"/>
                <w:rtl/>
              </w:rPr>
            </w:pPr>
          </w:p>
          <w:p w14:paraId="7A10F39A" w14:textId="77777777" w:rsidR="00627B9C" w:rsidRPr="00190D99" w:rsidRDefault="00627B9C" w:rsidP="00627B9C">
            <w:pPr>
              <w:jc w:val="center"/>
              <w:rPr>
                <w:rFonts w:ascii="David" w:hAnsi="David"/>
                <w:b/>
                <w:bCs/>
                <w:sz w:val="26"/>
                <w:szCs w:val="26"/>
                <w:rtl/>
              </w:rPr>
            </w:pPr>
            <w:r w:rsidRPr="00190D99">
              <w:rPr>
                <w:rFonts w:ascii="David" w:hAnsi="David"/>
                <w:b/>
                <w:bCs/>
                <w:sz w:val="26"/>
                <w:szCs w:val="26"/>
                <w:rtl/>
              </w:rPr>
              <w:t>נגד</w:t>
            </w:r>
          </w:p>
          <w:p w14:paraId="775E59B9" w14:textId="77777777" w:rsidR="00627B9C" w:rsidRPr="00190D99" w:rsidRDefault="00627B9C" w:rsidP="00627B9C">
            <w:pPr>
              <w:jc w:val="center"/>
              <w:rPr>
                <w:rFonts w:ascii="David" w:hAnsi="David"/>
                <w:b/>
                <w:bCs/>
                <w:sz w:val="26"/>
                <w:szCs w:val="26"/>
                <w:rtl/>
              </w:rPr>
            </w:pPr>
          </w:p>
        </w:tc>
      </w:tr>
      <w:tr w:rsidR="00627B9C" w:rsidRPr="00190D99" w14:paraId="15B6A2B6" w14:textId="77777777" w:rsidTr="00627B9C">
        <w:tc>
          <w:tcPr>
            <w:tcW w:w="2880" w:type="dxa"/>
            <w:shd w:val="clear" w:color="auto" w:fill="auto"/>
          </w:tcPr>
          <w:p w14:paraId="48554FDD" w14:textId="77777777" w:rsidR="00627B9C" w:rsidRPr="00190D99" w:rsidRDefault="00627B9C" w:rsidP="00627B9C">
            <w:pPr>
              <w:ind w:left="26"/>
              <w:rPr>
                <w:rFonts w:ascii="David" w:hAnsi="David"/>
                <w:b/>
                <w:bCs/>
                <w:sz w:val="26"/>
                <w:szCs w:val="26"/>
              </w:rPr>
            </w:pPr>
            <w:r w:rsidRPr="00190D99">
              <w:rPr>
                <w:rFonts w:ascii="David" w:hAnsi="David"/>
                <w:b/>
                <w:bCs/>
                <w:sz w:val="26"/>
                <w:szCs w:val="26"/>
                <w:rtl/>
              </w:rPr>
              <w:t>הנאשמים</w:t>
            </w:r>
          </w:p>
        </w:tc>
        <w:tc>
          <w:tcPr>
            <w:tcW w:w="5922" w:type="dxa"/>
            <w:gridSpan w:val="2"/>
            <w:shd w:val="clear" w:color="auto" w:fill="auto"/>
          </w:tcPr>
          <w:p w14:paraId="0BE59F70" w14:textId="77777777" w:rsidR="00627B9C" w:rsidRPr="00190D99" w:rsidRDefault="00627B9C" w:rsidP="00251E59">
            <w:pPr>
              <w:rPr>
                <w:rFonts w:ascii="David" w:hAnsi="David"/>
                <w:b/>
                <w:bCs/>
                <w:sz w:val="26"/>
                <w:szCs w:val="26"/>
                <w:rtl/>
              </w:rPr>
            </w:pPr>
            <w:r w:rsidRPr="00190D99">
              <w:rPr>
                <w:rFonts w:ascii="David" w:hAnsi="David"/>
                <w:b/>
                <w:bCs/>
                <w:sz w:val="26"/>
                <w:szCs w:val="26"/>
              </w:rPr>
              <w:t>.1</w:t>
            </w:r>
            <w:r w:rsidRPr="00190D99">
              <w:rPr>
                <w:rFonts w:ascii="David" w:hAnsi="David"/>
                <w:b/>
                <w:bCs/>
                <w:sz w:val="26"/>
                <w:szCs w:val="26"/>
                <w:rtl/>
              </w:rPr>
              <w:t xml:space="preserve"> מוחמד זהארן (עציר), ת"ז </w:t>
            </w:r>
            <w:r w:rsidR="00285C7F" w:rsidRPr="00190D99">
              <w:rPr>
                <w:rFonts w:ascii="David" w:hAnsi="David"/>
                <w:b/>
                <w:bCs/>
                <w:sz w:val="26"/>
                <w:szCs w:val="26"/>
              </w:rPr>
              <w:t>xxxxxxxxx</w:t>
            </w:r>
          </w:p>
          <w:p w14:paraId="0322507A" w14:textId="77777777" w:rsidR="00627B9C" w:rsidRPr="00190D99" w:rsidRDefault="00627B9C" w:rsidP="00251E59">
            <w:pPr>
              <w:rPr>
                <w:rFonts w:ascii="David" w:hAnsi="David"/>
                <w:sz w:val="26"/>
                <w:szCs w:val="26"/>
                <w:rtl/>
              </w:rPr>
            </w:pPr>
            <w:r w:rsidRPr="00190D99">
              <w:rPr>
                <w:rFonts w:ascii="David" w:hAnsi="David" w:hint="cs"/>
                <w:sz w:val="26"/>
                <w:szCs w:val="26"/>
                <w:rtl/>
              </w:rPr>
              <w:t>באמצעות ב"כ עוה"ד דוד ברהום ויעקב ג'בר</w:t>
            </w:r>
          </w:p>
          <w:p w14:paraId="5676020E" w14:textId="77777777" w:rsidR="00627B9C" w:rsidRPr="00190D99" w:rsidRDefault="00627B9C" w:rsidP="00251E59">
            <w:pPr>
              <w:rPr>
                <w:rFonts w:ascii="David" w:hAnsi="David"/>
                <w:sz w:val="26"/>
                <w:szCs w:val="26"/>
                <w:rtl/>
              </w:rPr>
            </w:pPr>
          </w:p>
          <w:p w14:paraId="0839B39A" w14:textId="77777777" w:rsidR="00627B9C" w:rsidRPr="00190D99" w:rsidRDefault="00627B9C" w:rsidP="00251E59">
            <w:pPr>
              <w:rPr>
                <w:rFonts w:ascii="David" w:hAnsi="David"/>
                <w:b/>
                <w:bCs/>
                <w:sz w:val="26"/>
                <w:szCs w:val="26"/>
                <w:rtl/>
              </w:rPr>
            </w:pPr>
            <w:r w:rsidRPr="00190D99">
              <w:rPr>
                <w:rFonts w:ascii="David" w:hAnsi="David"/>
                <w:b/>
                <w:bCs/>
                <w:sz w:val="26"/>
                <w:szCs w:val="26"/>
              </w:rPr>
              <w:t>.2</w:t>
            </w:r>
            <w:r w:rsidRPr="00190D99">
              <w:rPr>
                <w:rFonts w:ascii="David" w:hAnsi="David"/>
                <w:b/>
                <w:bCs/>
                <w:sz w:val="26"/>
                <w:szCs w:val="26"/>
                <w:rtl/>
              </w:rPr>
              <w:t xml:space="preserve"> מואייד עליאן (עציר), ת"ז </w:t>
            </w:r>
            <w:r w:rsidR="00285C7F" w:rsidRPr="00190D99">
              <w:rPr>
                <w:rFonts w:ascii="David" w:hAnsi="David"/>
                <w:b/>
                <w:bCs/>
                <w:sz w:val="26"/>
                <w:szCs w:val="26"/>
              </w:rPr>
              <w:t>xxxxxxxxx</w:t>
            </w:r>
          </w:p>
          <w:p w14:paraId="28ABBD44" w14:textId="77777777" w:rsidR="00627B9C" w:rsidRPr="00190D99" w:rsidRDefault="00627B9C" w:rsidP="00251E59">
            <w:pPr>
              <w:pStyle w:val="12"/>
              <w:rPr>
                <w:rFonts w:ascii="David" w:hAnsi="David"/>
                <w:b w:val="0"/>
                <w:bCs w:val="0"/>
                <w:u w:val="none"/>
                <w:rtl/>
              </w:rPr>
            </w:pPr>
            <w:r w:rsidRPr="00190D99">
              <w:rPr>
                <w:rFonts w:ascii="David" w:hAnsi="David" w:hint="cs"/>
                <w:b w:val="0"/>
                <w:bCs w:val="0"/>
                <w:sz w:val="26"/>
                <w:szCs w:val="26"/>
                <w:u w:val="none"/>
                <w:rtl/>
              </w:rPr>
              <w:t xml:space="preserve">באמצעות ב"כ עו"ד </w:t>
            </w:r>
            <w:r w:rsidRPr="00190D99">
              <w:rPr>
                <w:rFonts w:ascii="David" w:hAnsi="David"/>
                <w:b w:val="0"/>
                <w:bCs w:val="0"/>
                <w:u w:val="none"/>
                <w:rtl/>
              </w:rPr>
              <w:t>ריאד סו</w:t>
            </w:r>
            <w:r w:rsidRPr="00190D99">
              <w:rPr>
                <w:rFonts w:ascii="David" w:hAnsi="David" w:hint="cs"/>
                <w:b w:val="0"/>
                <w:bCs w:val="0"/>
                <w:u w:val="none"/>
                <w:rtl/>
              </w:rPr>
              <w:t>אע</w:t>
            </w:r>
            <w:r w:rsidRPr="00190D99">
              <w:rPr>
                <w:rFonts w:ascii="David" w:hAnsi="David"/>
                <w:b w:val="0"/>
                <w:bCs w:val="0"/>
                <w:u w:val="none"/>
                <w:rtl/>
              </w:rPr>
              <w:t>ד</w:t>
            </w:r>
          </w:p>
          <w:p w14:paraId="5F889485" w14:textId="77777777" w:rsidR="00627B9C" w:rsidRPr="00190D99" w:rsidRDefault="00627B9C" w:rsidP="00251E59">
            <w:pPr>
              <w:rPr>
                <w:rFonts w:ascii="David" w:hAnsi="David"/>
                <w:b/>
                <w:bCs/>
                <w:sz w:val="26"/>
                <w:szCs w:val="26"/>
                <w:rtl/>
              </w:rPr>
            </w:pPr>
          </w:p>
        </w:tc>
      </w:tr>
    </w:tbl>
    <w:p w14:paraId="1A8CE547" w14:textId="77777777" w:rsidR="00190D99" w:rsidRDefault="00627B9C" w:rsidP="00627B9C">
      <w:pPr>
        <w:spacing w:line="360" w:lineRule="auto"/>
        <w:jc w:val="both"/>
        <w:rPr>
          <w:rFonts w:ascii="David" w:hAnsi="David"/>
          <w:sz w:val="6"/>
          <w:szCs w:val="6"/>
          <w:rtl/>
        </w:rPr>
      </w:pPr>
      <w:r w:rsidRPr="00190D99">
        <w:rPr>
          <w:rFonts w:ascii="David" w:hAnsi="David"/>
          <w:sz w:val="6"/>
          <w:szCs w:val="6"/>
          <w:rtl/>
        </w:rPr>
        <w:t>&lt;#2#&gt;</w:t>
      </w:r>
    </w:p>
    <w:p w14:paraId="2A44A15F" w14:textId="77777777" w:rsidR="00190D99" w:rsidRPr="00190D99" w:rsidRDefault="00190D99" w:rsidP="00190D99">
      <w:pPr>
        <w:spacing w:after="120" w:line="240" w:lineRule="exact"/>
        <w:ind w:left="283" w:hanging="283"/>
        <w:jc w:val="both"/>
        <w:rPr>
          <w:rFonts w:ascii="FrankRuehl" w:hAnsi="FrankRuehl" w:cs="FrankRuehl"/>
          <w:rtl/>
        </w:rPr>
      </w:pPr>
    </w:p>
    <w:p w14:paraId="25EF856A" w14:textId="77777777" w:rsidR="0054234F" w:rsidRPr="0054234F" w:rsidRDefault="0054234F" w:rsidP="0054234F">
      <w:pPr>
        <w:spacing w:before="120" w:after="120" w:line="240" w:lineRule="exact"/>
        <w:ind w:left="283" w:hanging="283"/>
        <w:jc w:val="both"/>
        <w:rPr>
          <w:rFonts w:ascii="FrankRuehl" w:hAnsi="FrankRuehl" w:cs="FrankRuehl"/>
          <w:rtl/>
        </w:rPr>
      </w:pPr>
    </w:p>
    <w:p w14:paraId="70DE0D6B" w14:textId="77777777" w:rsidR="00C0553B" w:rsidRDefault="00C0553B" w:rsidP="00C0553B">
      <w:pPr>
        <w:rPr>
          <w:rtl/>
        </w:rPr>
      </w:pPr>
      <w:bookmarkStart w:id="3" w:name="LawTable"/>
      <w:bookmarkEnd w:id="3"/>
    </w:p>
    <w:p w14:paraId="11B5C0E1" w14:textId="77777777" w:rsidR="00C0553B" w:rsidRPr="00C0553B" w:rsidRDefault="00C0553B" w:rsidP="00C0553B">
      <w:pPr>
        <w:spacing w:before="120" w:after="120" w:line="240" w:lineRule="exact"/>
        <w:ind w:left="283" w:hanging="283"/>
        <w:jc w:val="both"/>
        <w:rPr>
          <w:rFonts w:ascii="FrankRuehl" w:hAnsi="FrankRuehl" w:cs="FrankRuehl"/>
          <w:rtl/>
        </w:rPr>
      </w:pPr>
    </w:p>
    <w:p w14:paraId="04B526B9" w14:textId="77777777" w:rsidR="00C0553B" w:rsidRPr="00C0553B" w:rsidRDefault="00C0553B" w:rsidP="00C0553B">
      <w:pPr>
        <w:spacing w:before="120" w:after="120" w:line="240" w:lineRule="exact"/>
        <w:ind w:left="283" w:hanging="283"/>
        <w:jc w:val="both"/>
        <w:rPr>
          <w:rFonts w:ascii="FrankRuehl" w:hAnsi="FrankRuehl" w:cs="FrankRuehl"/>
          <w:rtl/>
        </w:rPr>
      </w:pPr>
    </w:p>
    <w:p w14:paraId="349B366A" w14:textId="77777777" w:rsidR="00C0553B" w:rsidRPr="00C0553B" w:rsidRDefault="00C0553B" w:rsidP="00C0553B">
      <w:pPr>
        <w:spacing w:before="120" w:after="120" w:line="240" w:lineRule="exact"/>
        <w:ind w:left="283" w:hanging="283"/>
        <w:jc w:val="both"/>
        <w:rPr>
          <w:rFonts w:ascii="FrankRuehl" w:hAnsi="FrankRuehl" w:cs="FrankRuehl"/>
          <w:rtl/>
        </w:rPr>
      </w:pPr>
      <w:r w:rsidRPr="00C0553B">
        <w:rPr>
          <w:rFonts w:ascii="FrankRuehl" w:hAnsi="FrankRuehl" w:cs="FrankRuehl"/>
          <w:rtl/>
        </w:rPr>
        <w:t xml:space="preserve">חקיקה שאוזכרה: </w:t>
      </w:r>
    </w:p>
    <w:p w14:paraId="4183449E" w14:textId="77777777" w:rsidR="00C0553B" w:rsidRPr="00C0553B" w:rsidRDefault="00C0553B" w:rsidP="00C0553B">
      <w:pPr>
        <w:spacing w:before="120" w:after="120" w:line="240" w:lineRule="exact"/>
        <w:ind w:left="283" w:hanging="283"/>
        <w:jc w:val="both"/>
        <w:rPr>
          <w:rFonts w:ascii="FrankRuehl" w:hAnsi="FrankRuehl" w:cs="FrankRuehl"/>
          <w:rtl/>
        </w:rPr>
      </w:pPr>
      <w:hyperlink r:id="rId7" w:history="1">
        <w:r w:rsidRPr="00C0553B">
          <w:rPr>
            <w:rFonts w:ascii="FrankRuehl" w:hAnsi="FrankRuehl" w:cs="FrankRuehl"/>
            <w:color w:val="0000FF"/>
            <w:rtl/>
          </w:rPr>
          <w:t>חוק העונשין, תשל"ז-1977</w:t>
        </w:r>
      </w:hyperlink>
      <w:r w:rsidRPr="00C0553B">
        <w:rPr>
          <w:rFonts w:ascii="FrankRuehl" w:hAnsi="FrankRuehl" w:cs="FrankRuehl"/>
          <w:rtl/>
        </w:rPr>
        <w:t xml:space="preserve">: סע'  </w:t>
      </w:r>
      <w:hyperlink r:id="rId8" w:history="1">
        <w:r w:rsidRPr="00C0553B">
          <w:rPr>
            <w:rFonts w:ascii="FrankRuehl" w:hAnsi="FrankRuehl" w:cs="FrankRuehl"/>
            <w:color w:val="0000FF"/>
            <w:rtl/>
          </w:rPr>
          <w:t>25</w:t>
        </w:r>
      </w:hyperlink>
      <w:r w:rsidRPr="00C0553B">
        <w:rPr>
          <w:rFonts w:ascii="FrankRuehl" w:hAnsi="FrankRuehl" w:cs="FrankRuehl"/>
          <w:rtl/>
        </w:rPr>
        <w:t xml:space="preserve">, </w:t>
      </w:r>
      <w:hyperlink r:id="rId9" w:history="1">
        <w:r w:rsidRPr="00C0553B">
          <w:rPr>
            <w:rFonts w:ascii="FrankRuehl" w:hAnsi="FrankRuehl" w:cs="FrankRuehl"/>
            <w:color w:val="0000FF"/>
            <w:rtl/>
          </w:rPr>
          <w:t>40ב'</w:t>
        </w:r>
      </w:hyperlink>
      <w:r w:rsidRPr="00C0553B">
        <w:rPr>
          <w:rFonts w:ascii="FrankRuehl" w:hAnsi="FrankRuehl" w:cs="FrankRuehl"/>
          <w:rtl/>
        </w:rPr>
        <w:t xml:space="preserve">, </w:t>
      </w:r>
      <w:hyperlink r:id="rId10" w:history="1">
        <w:r w:rsidRPr="00C0553B">
          <w:rPr>
            <w:rFonts w:ascii="FrankRuehl" w:hAnsi="FrankRuehl" w:cs="FrankRuehl"/>
            <w:color w:val="0000FF"/>
            <w:rtl/>
          </w:rPr>
          <w:t>12 יב'</w:t>
        </w:r>
      </w:hyperlink>
      <w:r w:rsidRPr="00C0553B">
        <w:rPr>
          <w:rFonts w:ascii="FrankRuehl" w:hAnsi="FrankRuehl" w:cs="FrankRuehl"/>
          <w:rtl/>
        </w:rPr>
        <w:t xml:space="preserve">, </w:t>
      </w:r>
      <w:hyperlink r:id="rId11" w:history="1">
        <w:r w:rsidRPr="00C0553B">
          <w:rPr>
            <w:rFonts w:ascii="FrankRuehl" w:hAnsi="FrankRuehl" w:cs="FrankRuehl"/>
            <w:color w:val="0000FF"/>
            <w:rtl/>
          </w:rPr>
          <w:t>144(א)</w:t>
        </w:r>
      </w:hyperlink>
      <w:r w:rsidRPr="00C0553B">
        <w:rPr>
          <w:rFonts w:ascii="FrankRuehl" w:hAnsi="FrankRuehl" w:cs="FrankRuehl"/>
          <w:rtl/>
        </w:rPr>
        <w:t xml:space="preserve">, </w:t>
      </w:r>
      <w:hyperlink r:id="rId12" w:history="1">
        <w:r w:rsidRPr="00C0553B">
          <w:rPr>
            <w:rFonts w:ascii="FrankRuehl" w:hAnsi="FrankRuehl" w:cs="FrankRuehl"/>
            <w:color w:val="0000FF"/>
            <w:rtl/>
          </w:rPr>
          <w:t>144(ב2)</w:t>
        </w:r>
      </w:hyperlink>
      <w:r w:rsidRPr="00C0553B">
        <w:rPr>
          <w:rFonts w:ascii="FrankRuehl" w:hAnsi="FrankRuehl" w:cs="FrankRuehl"/>
          <w:rtl/>
        </w:rPr>
        <w:t xml:space="preserve">, </w:t>
      </w:r>
      <w:hyperlink r:id="rId13" w:history="1">
        <w:r w:rsidRPr="00C0553B">
          <w:rPr>
            <w:rFonts w:ascii="FrankRuehl" w:hAnsi="FrankRuehl" w:cs="FrankRuehl"/>
            <w:color w:val="0000FF"/>
            <w:rtl/>
          </w:rPr>
          <w:t>40יב</w:t>
        </w:r>
      </w:hyperlink>
      <w:r w:rsidRPr="00C0553B">
        <w:rPr>
          <w:rFonts w:ascii="FrankRuehl" w:hAnsi="FrankRuehl" w:cs="FrankRuehl"/>
          <w:rtl/>
        </w:rPr>
        <w:t xml:space="preserve">, </w:t>
      </w:r>
      <w:hyperlink r:id="rId14" w:history="1">
        <w:r w:rsidRPr="00C0553B">
          <w:rPr>
            <w:rFonts w:ascii="FrankRuehl" w:hAnsi="FrankRuehl" w:cs="FrankRuehl"/>
            <w:color w:val="0000FF"/>
            <w:rtl/>
          </w:rPr>
          <w:t>499(א)(1)</w:t>
        </w:r>
      </w:hyperlink>
    </w:p>
    <w:p w14:paraId="63EC3F82" w14:textId="77777777" w:rsidR="00C0553B" w:rsidRPr="00C0553B" w:rsidRDefault="00C0553B" w:rsidP="00C0553B">
      <w:pPr>
        <w:spacing w:before="120" w:after="120" w:line="240" w:lineRule="exact"/>
        <w:ind w:left="283" w:hanging="283"/>
        <w:jc w:val="both"/>
        <w:rPr>
          <w:rFonts w:ascii="FrankRuehl" w:hAnsi="FrankRuehl" w:cs="FrankRuehl"/>
          <w:rtl/>
        </w:rPr>
      </w:pPr>
      <w:hyperlink r:id="rId15" w:history="1">
        <w:r w:rsidRPr="00C0553B">
          <w:rPr>
            <w:rFonts w:ascii="FrankRuehl" w:hAnsi="FrankRuehl" w:cs="FrankRuehl"/>
            <w:color w:val="0000FF"/>
            <w:rtl/>
          </w:rPr>
          <w:t>חוק סדר הדין הפלילי [נוסח משולב], תשמ"ב-1982</w:t>
        </w:r>
      </w:hyperlink>
      <w:r w:rsidRPr="00C0553B">
        <w:rPr>
          <w:rFonts w:ascii="FrankRuehl" w:hAnsi="FrankRuehl" w:cs="FrankRuehl"/>
          <w:rtl/>
        </w:rPr>
        <w:t xml:space="preserve">: סע'  </w:t>
      </w:r>
      <w:hyperlink r:id="rId16" w:history="1">
        <w:r w:rsidRPr="00C0553B">
          <w:rPr>
            <w:rFonts w:ascii="FrankRuehl" w:hAnsi="FrankRuehl" w:cs="FrankRuehl"/>
            <w:color w:val="0000FF"/>
            <w:rtl/>
          </w:rPr>
          <w:t>184</w:t>
        </w:r>
      </w:hyperlink>
    </w:p>
    <w:p w14:paraId="794D3D75" w14:textId="77777777" w:rsidR="00C0553B" w:rsidRPr="00C0553B" w:rsidRDefault="00C0553B" w:rsidP="00C0553B">
      <w:pPr>
        <w:rPr>
          <w:rtl/>
        </w:rPr>
      </w:pPr>
      <w:bookmarkStart w:id="4" w:name="LawTable_End"/>
      <w:bookmarkEnd w:id="4"/>
    </w:p>
    <w:p w14:paraId="233BAC8A" w14:textId="77777777" w:rsidR="00627B9C" w:rsidRPr="0054234F" w:rsidRDefault="00627B9C" w:rsidP="0054234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27B9C" w:rsidRPr="00190D99" w14:paraId="165751EE" w14:textId="77777777" w:rsidTr="00627B9C">
        <w:trPr>
          <w:trHeight w:val="355"/>
          <w:jc w:val="center"/>
        </w:trPr>
        <w:tc>
          <w:tcPr>
            <w:tcW w:w="8820" w:type="dxa"/>
            <w:tcBorders>
              <w:top w:val="nil"/>
              <w:left w:val="nil"/>
              <w:bottom w:val="nil"/>
              <w:right w:val="nil"/>
            </w:tcBorders>
            <w:shd w:val="clear" w:color="auto" w:fill="auto"/>
          </w:tcPr>
          <w:p w14:paraId="4356E780" w14:textId="77777777" w:rsidR="00285C7F" w:rsidRPr="00190D99" w:rsidRDefault="00285C7F" w:rsidP="00285C7F">
            <w:pPr>
              <w:jc w:val="center"/>
              <w:rPr>
                <w:rFonts w:ascii="David" w:hAnsi="David"/>
                <w:b/>
                <w:bCs/>
                <w:sz w:val="32"/>
                <w:szCs w:val="32"/>
                <w:u w:val="single"/>
                <w:rtl/>
              </w:rPr>
            </w:pPr>
            <w:bookmarkStart w:id="5" w:name="PsakDin" w:colFirst="0" w:colLast="0"/>
            <w:bookmarkEnd w:id="0"/>
            <w:r w:rsidRPr="00190D99">
              <w:rPr>
                <w:rFonts w:ascii="David" w:hAnsi="David"/>
                <w:b/>
                <w:bCs/>
                <w:sz w:val="32"/>
                <w:szCs w:val="32"/>
                <w:u w:val="single"/>
                <w:rtl/>
              </w:rPr>
              <w:t>גזר דין</w:t>
            </w:r>
          </w:p>
          <w:p w14:paraId="77FBEA45" w14:textId="77777777" w:rsidR="00627B9C" w:rsidRPr="00190D99" w:rsidRDefault="00627B9C" w:rsidP="00285C7F">
            <w:pPr>
              <w:jc w:val="center"/>
              <w:rPr>
                <w:rFonts w:ascii="David" w:hAnsi="David"/>
                <w:bCs/>
                <w:sz w:val="32"/>
                <w:szCs w:val="32"/>
                <w:u w:val="single"/>
                <w:rtl/>
              </w:rPr>
            </w:pPr>
          </w:p>
        </w:tc>
      </w:tr>
      <w:bookmarkEnd w:id="5"/>
    </w:tbl>
    <w:p w14:paraId="2EEECA7D" w14:textId="77777777" w:rsidR="00627B9C" w:rsidRPr="00190D99" w:rsidRDefault="00627B9C" w:rsidP="00627B9C">
      <w:pPr>
        <w:rPr>
          <w:b/>
          <w:bCs/>
          <w:u w:val="single"/>
          <w:rtl/>
        </w:rPr>
      </w:pPr>
    </w:p>
    <w:p w14:paraId="19DAEBA3" w14:textId="77777777" w:rsidR="00627B9C" w:rsidRPr="00190D99" w:rsidRDefault="00627B9C" w:rsidP="00627B9C">
      <w:pPr>
        <w:rPr>
          <w:b/>
          <w:bCs/>
          <w:u w:val="single"/>
          <w:rtl/>
        </w:rPr>
      </w:pPr>
      <w:r w:rsidRPr="00190D99">
        <w:rPr>
          <w:rFonts w:hint="cs"/>
          <w:b/>
          <w:bCs/>
          <w:u w:val="single"/>
          <w:rtl/>
        </w:rPr>
        <w:t>רקע</w:t>
      </w:r>
    </w:p>
    <w:p w14:paraId="7E8E97F7" w14:textId="77777777" w:rsidR="00627B9C" w:rsidRPr="00190D99" w:rsidRDefault="00627B9C" w:rsidP="00627B9C">
      <w:pPr>
        <w:rPr>
          <w:b/>
          <w:bCs/>
          <w:u w:val="single"/>
        </w:rPr>
      </w:pPr>
    </w:p>
    <w:p w14:paraId="3F68D112" w14:textId="77777777" w:rsidR="00627B9C" w:rsidRPr="00190D99" w:rsidRDefault="00627B9C" w:rsidP="00627B9C">
      <w:pPr>
        <w:pStyle w:val="a9"/>
        <w:numPr>
          <w:ilvl w:val="0"/>
          <w:numId w:val="1"/>
        </w:numPr>
        <w:ind w:left="283" w:right="0" w:hanging="283"/>
      </w:pPr>
      <w:bookmarkStart w:id="6" w:name="ABSTRACT_START"/>
      <w:bookmarkEnd w:id="6"/>
      <w:r w:rsidRPr="00190D99">
        <w:rPr>
          <w:rFonts w:hint="cs"/>
          <w:rtl/>
        </w:rPr>
        <w:t xml:space="preserve">הנאשמים הורשעו, לאחר ניהול הוכחות, בהכרעת דין מפורטת מיום 7.6.22, בשתי עבירות של קשירת קשר לפשע לפי </w:t>
      </w:r>
      <w:hyperlink r:id="rId17" w:history="1">
        <w:r w:rsidR="00190D99" w:rsidRPr="00190D99">
          <w:rPr>
            <w:rStyle w:val="Hyperlink"/>
            <w:rFonts w:hint="cs"/>
            <w:rtl/>
          </w:rPr>
          <w:t>סעיף</w:t>
        </w:r>
        <w:r w:rsidR="00190D99" w:rsidRPr="00190D99">
          <w:rPr>
            <w:rStyle w:val="Hyperlink"/>
            <w:rtl/>
          </w:rPr>
          <w:t xml:space="preserve"> 499(א)(1)</w:t>
        </w:r>
      </w:hyperlink>
      <w:r w:rsidRPr="00190D99">
        <w:rPr>
          <w:rFonts w:hint="cs"/>
          <w:rtl/>
        </w:rPr>
        <w:t xml:space="preserve"> ל</w:t>
      </w:r>
      <w:hyperlink r:id="rId18" w:history="1">
        <w:r w:rsidR="00285C7F" w:rsidRPr="00190D99">
          <w:rPr>
            <w:color w:val="0000FF"/>
            <w:u w:val="single"/>
            <w:rtl/>
          </w:rPr>
          <w:t>חוק העונשין</w:t>
        </w:r>
      </w:hyperlink>
      <w:r w:rsidRPr="00190D99">
        <w:rPr>
          <w:rFonts w:hint="cs"/>
          <w:rtl/>
        </w:rPr>
        <w:t>,</w:t>
      </w:r>
      <w:r w:rsidRPr="00190D99">
        <w:rPr>
          <w:rFonts w:hint="cs"/>
        </w:rPr>
        <w:t xml:space="preserve"> </w:t>
      </w:r>
      <w:r w:rsidRPr="00190D99">
        <w:rPr>
          <w:rFonts w:hint="cs"/>
          <w:rtl/>
        </w:rPr>
        <w:t>התשל"ז-1977 (להלן: "</w:t>
      </w:r>
      <w:r w:rsidRPr="00190D99">
        <w:rPr>
          <w:rFonts w:hint="cs"/>
          <w:b/>
          <w:bCs/>
          <w:rtl/>
        </w:rPr>
        <w:t>החוק</w:t>
      </w:r>
      <w:r w:rsidRPr="00190D99">
        <w:rPr>
          <w:rFonts w:hint="cs"/>
          <w:rtl/>
        </w:rPr>
        <w:t>"), בשל אותן נסיבות המפורטות באישומים 1 ו-2 שבכתב האישום.</w:t>
      </w:r>
      <w:r w:rsidRPr="00190D99">
        <w:rPr>
          <w:rFonts w:hint="cs"/>
          <w:b/>
          <w:bCs/>
          <w:rtl/>
        </w:rPr>
        <w:t xml:space="preserve"> </w:t>
      </w:r>
      <w:r w:rsidRPr="00190D99">
        <w:rPr>
          <w:rFonts w:hint="cs"/>
          <w:rtl/>
        </w:rPr>
        <w:t xml:space="preserve">הנאשמים זוכו, מחמת הספק, מהעבירות המיוחסות להם באישום הראשון והשני- עבירת ניסיון סחר בנשק, לפי </w:t>
      </w:r>
      <w:hyperlink r:id="rId19" w:history="1">
        <w:r w:rsidR="00190D99" w:rsidRPr="00190D99">
          <w:rPr>
            <w:rStyle w:val="Hyperlink"/>
            <w:rFonts w:hint="cs"/>
            <w:rtl/>
          </w:rPr>
          <w:t>סעיף</w:t>
        </w:r>
        <w:r w:rsidR="00190D99" w:rsidRPr="00190D99">
          <w:rPr>
            <w:rStyle w:val="Hyperlink"/>
            <w:rtl/>
          </w:rPr>
          <w:t xml:space="preserve"> 144(ב2)</w:t>
        </w:r>
      </w:hyperlink>
      <w:r w:rsidRPr="00190D99">
        <w:rPr>
          <w:rFonts w:hint="cs"/>
          <w:rtl/>
        </w:rPr>
        <w:t xml:space="preserve"> בצירוף </w:t>
      </w:r>
      <w:hyperlink r:id="rId20" w:history="1">
        <w:r w:rsidR="00190D99" w:rsidRPr="00190D99">
          <w:rPr>
            <w:rStyle w:val="Hyperlink"/>
            <w:rFonts w:hint="cs"/>
            <w:rtl/>
          </w:rPr>
          <w:t>סעיף</w:t>
        </w:r>
        <w:r w:rsidR="00190D99" w:rsidRPr="00190D99">
          <w:rPr>
            <w:rStyle w:val="Hyperlink"/>
            <w:rtl/>
          </w:rPr>
          <w:t xml:space="preserve"> 25</w:t>
        </w:r>
      </w:hyperlink>
      <w:r w:rsidRPr="00190D99">
        <w:rPr>
          <w:rFonts w:hint="cs"/>
          <w:rtl/>
        </w:rPr>
        <w:t xml:space="preserve"> לחוק, עבירת ניסיון לעסקה אחרת בנשק, לפי </w:t>
      </w:r>
      <w:hyperlink r:id="rId21" w:history="1">
        <w:r w:rsidR="00190D99" w:rsidRPr="00190D99">
          <w:rPr>
            <w:rStyle w:val="Hyperlink"/>
            <w:rFonts w:hint="cs"/>
            <w:rtl/>
          </w:rPr>
          <w:t>סעיף</w:t>
        </w:r>
        <w:r w:rsidR="00190D99" w:rsidRPr="00190D99">
          <w:rPr>
            <w:rStyle w:val="Hyperlink"/>
            <w:rtl/>
          </w:rPr>
          <w:t xml:space="preserve"> 144(ב2)</w:t>
        </w:r>
      </w:hyperlink>
      <w:r w:rsidRPr="00190D99">
        <w:rPr>
          <w:rFonts w:hint="cs"/>
          <w:rtl/>
        </w:rPr>
        <w:t xml:space="preserve"> בצירוף </w:t>
      </w:r>
      <w:hyperlink r:id="rId22" w:history="1">
        <w:r w:rsidR="00190D99" w:rsidRPr="00190D99">
          <w:rPr>
            <w:rStyle w:val="Hyperlink"/>
            <w:rFonts w:hint="cs"/>
            <w:rtl/>
          </w:rPr>
          <w:t>סעיף</w:t>
        </w:r>
        <w:r w:rsidR="00190D99" w:rsidRPr="00190D99">
          <w:rPr>
            <w:rStyle w:val="Hyperlink"/>
            <w:rtl/>
          </w:rPr>
          <w:t xml:space="preserve"> 25</w:t>
        </w:r>
      </w:hyperlink>
      <w:r w:rsidRPr="00190D99">
        <w:rPr>
          <w:rFonts w:hint="cs"/>
          <w:rtl/>
        </w:rPr>
        <w:t xml:space="preserve"> לחוק (נאשם 1) ועבירת ניסיון רכישת נשק לפי </w:t>
      </w:r>
      <w:hyperlink r:id="rId23" w:history="1">
        <w:r w:rsidR="00190D99" w:rsidRPr="00190D99">
          <w:rPr>
            <w:rStyle w:val="Hyperlink"/>
            <w:rFonts w:hint="cs"/>
            <w:rtl/>
          </w:rPr>
          <w:t>סעיף</w:t>
        </w:r>
        <w:r w:rsidR="00190D99" w:rsidRPr="00190D99">
          <w:rPr>
            <w:rStyle w:val="Hyperlink"/>
            <w:rtl/>
          </w:rPr>
          <w:t xml:space="preserve"> 144(א)</w:t>
        </w:r>
      </w:hyperlink>
      <w:r w:rsidRPr="00190D99">
        <w:rPr>
          <w:rFonts w:hint="cs"/>
          <w:rtl/>
        </w:rPr>
        <w:t xml:space="preserve"> בצירוף </w:t>
      </w:r>
      <w:hyperlink r:id="rId24" w:history="1">
        <w:r w:rsidR="00190D99" w:rsidRPr="00190D99">
          <w:rPr>
            <w:rStyle w:val="Hyperlink"/>
            <w:rFonts w:hint="cs"/>
            <w:rtl/>
          </w:rPr>
          <w:t>סעיף</w:t>
        </w:r>
        <w:r w:rsidR="00190D99" w:rsidRPr="00190D99">
          <w:rPr>
            <w:rStyle w:val="Hyperlink"/>
            <w:rtl/>
          </w:rPr>
          <w:t xml:space="preserve"> 25</w:t>
        </w:r>
      </w:hyperlink>
      <w:r w:rsidRPr="00190D99">
        <w:rPr>
          <w:rFonts w:hint="cs"/>
          <w:rtl/>
        </w:rPr>
        <w:t xml:space="preserve"> לחוק (נאשם 2). בנוסף, נאשם 1 זוכה, מחמת הספק, מעבירות המיוחסות לו באישומים השלישי והרביעי, עבירות של קשירת קשר לפשע, לפי </w:t>
      </w:r>
      <w:hyperlink r:id="rId25" w:history="1">
        <w:r w:rsidR="00190D99" w:rsidRPr="00190D99">
          <w:rPr>
            <w:rStyle w:val="Hyperlink"/>
            <w:rFonts w:hint="cs"/>
            <w:rtl/>
          </w:rPr>
          <w:t>סעיף</w:t>
        </w:r>
        <w:r w:rsidR="00190D99" w:rsidRPr="00190D99">
          <w:rPr>
            <w:rStyle w:val="Hyperlink"/>
            <w:rtl/>
          </w:rPr>
          <w:t xml:space="preserve"> 499(א)(1)</w:t>
        </w:r>
      </w:hyperlink>
      <w:r w:rsidRPr="00190D99">
        <w:rPr>
          <w:rFonts w:hint="cs"/>
          <w:rtl/>
        </w:rPr>
        <w:t xml:space="preserve"> והחזקת נשק, לפי </w:t>
      </w:r>
      <w:hyperlink r:id="rId26" w:history="1">
        <w:r w:rsidR="00190D99" w:rsidRPr="00190D99">
          <w:rPr>
            <w:rStyle w:val="Hyperlink"/>
            <w:rFonts w:hint="cs"/>
            <w:rtl/>
          </w:rPr>
          <w:t>סעיף</w:t>
        </w:r>
        <w:r w:rsidR="00190D99" w:rsidRPr="00190D99">
          <w:rPr>
            <w:rStyle w:val="Hyperlink"/>
            <w:rtl/>
          </w:rPr>
          <w:t xml:space="preserve"> 144(א)</w:t>
        </w:r>
      </w:hyperlink>
      <w:r w:rsidRPr="00190D99">
        <w:rPr>
          <w:rFonts w:hint="cs"/>
          <w:rtl/>
        </w:rPr>
        <w:t xml:space="preserve"> לחוק. </w:t>
      </w:r>
    </w:p>
    <w:p w14:paraId="33298093" w14:textId="77777777" w:rsidR="00627B9C" w:rsidRPr="00190D99" w:rsidRDefault="00627B9C" w:rsidP="00627B9C">
      <w:pPr>
        <w:pStyle w:val="a9"/>
        <w:rPr>
          <w:sz w:val="12"/>
          <w:szCs w:val="12"/>
        </w:rPr>
      </w:pPr>
    </w:p>
    <w:p w14:paraId="5A36437E" w14:textId="77777777" w:rsidR="00627B9C" w:rsidRPr="00190D99" w:rsidRDefault="00627B9C" w:rsidP="00627B9C">
      <w:pPr>
        <w:pStyle w:val="a9"/>
        <w:numPr>
          <w:ilvl w:val="0"/>
          <w:numId w:val="1"/>
        </w:numPr>
        <w:ind w:left="283" w:right="0" w:hanging="283"/>
        <w:rPr>
          <w:b/>
          <w:bCs/>
        </w:rPr>
      </w:pPr>
      <w:bookmarkStart w:id="7" w:name="ABSTRACT_END"/>
      <w:bookmarkEnd w:id="7"/>
      <w:r w:rsidRPr="00190D99">
        <w:rPr>
          <w:rFonts w:hint="cs"/>
          <w:rtl/>
        </w:rPr>
        <w:t>על פי העובדות האישום הראשון לכתב האישום, ביום</w:t>
      </w:r>
      <w:r w:rsidRPr="00190D99">
        <w:rPr>
          <w:rFonts w:hint="cs"/>
          <w:b/>
          <w:bCs/>
          <w:rtl/>
        </w:rPr>
        <w:t xml:space="preserve"> </w:t>
      </w:r>
      <w:r w:rsidRPr="00190D99">
        <w:rPr>
          <w:rFonts w:hint="cs"/>
          <w:rtl/>
        </w:rPr>
        <w:t>6.11.21</w:t>
      </w:r>
      <w:r w:rsidRPr="00190D99">
        <w:rPr>
          <w:rFonts w:hint="cs"/>
          <w:b/>
          <w:bCs/>
          <w:rtl/>
        </w:rPr>
        <w:t xml:space="preserve"> </w:t>
      </w:r>
      <w:r w:rsidRPr="00190D99">
        <w:rPr>
          <w:rFonts w:hint="cs"/>
          <w:rtl/>
        </w:rPr>
        <w:t>בסמוך לשעה 16:08, פנה נאשם 1 אל נאשם 2 באמצעות מסרון, בהצעה לרכוש אקדח, מסוג סטאר, אשר בכוחו להמית אדם, באמצעות שליחת תצלומים של האקדח משני צדדיו (להלן:</w:t>
      </w:r>
      <w:r w:rsidRPr="00190D99">
        <w:rPr>
          <w:rFonts w:hint="cs"/>
          <w:b/>
          <w:bCs/>
          <w:rtl/>
        </w:rPr>
        <w:t xml:space="preserve"> </w:t>
      </w:r>
      <w:r w:rsidRPr="00190D99">
        <w:rPr>
          <w:rFonts w:hint="cs"/>
          <w:rtl/>
        </w:rPr>
        <w:t>"</w:t>
      </w:r>
      <w:r w:rsidRPr="00190D99">
        <w:rPr>
          <w:rFonts w:hint="cs"/>
          <w:b/>
          <w:bCs/>
          <w:rtl/>
        </w:rPr>
        <w:t>האקדח</w:t>
      </w:r>
      <w:r w:rsidRPr="00190D99">
        <w:rPr>
          <w:rFonts w:hint="cs"/>
          <w:rtl/>
        </w:rPr>
        <w:t>").</w:t>
      </w:r>
      <w:r w:rsidRPr="00190D99">
        <w:rPr>
          <w:rFonts w:hint="cs"/>
          <w:b/>
          <w:bCs/>
          <w:rtl/>
        </w:rPr>
        <w:t xml:space="preserve"> </w:t>
      </w:r>
      <w:r w:rsidRPr="00190D99">
        <w:rPr>
          <w:rFonts w:hint="cs"/>
          <w:rtl/>
        </w:rPr>
        <w:t xml:space="preserve">בתגובה להצעה, התעניין נאשם 2 במחיר האקדח, ומשנענה כי המחיר הוא 27,000 ₪, אמר נאשם 2 כי הוא יקר וכי מחירו נע בד"כ בין 18,000-20,000 ₪. בהמשך, דנו הנאשמים ביחס למחיר, ונאשם 2 מסר כי הוא מוכן לשלם 20,000 ₪ על מנת שנאשם 1 ירוויח בעסקה 2,000 ₪. בהתאם, נאשם 1 עדכן כי יביא את האקדח בערב אותו היום, ונאשם 2 ביקש כי לא יגיע באותו ערב, בשל נסיעת חברו לחיפה. </w:t>
      </w:r>
    </w:p>
    <w:p w14:paraId="6EC82C89" w14:textId="77777777" w:rsidR="00627B9C" w:rsidRPr="00190D99" w:rsidRDefault="00627B9C" w:rsidP="00627B9C">
      <w:pPr>
        <w:pStyle w:val="a9"/>
        <w:ind w:left="502"/>
        <w:rPr>
          <w:b/>
          <w:bCs/>
          <w:sz w:val="12"/>
          <w:szCs w:val="12"/>
        </w:rPr>
      </w:pPr>
    </w:p>
    <w:p w14:paraId="106175F7" w14:textId="77777777" w:rsidR="00627B9C" w:rsidRPr="00190D99" w:rsidRDefault="00627B9C" w:rsidP="00627B9C">
      <w:pPr>
        <w:pStyle w:val="a9"/>
        <w:numPr>
          <w:ilvl w:val="0"/>
          <w:numId w:val="1"/>
        </w:numPr>
        <w:ind w:left="283" w:right="0" w:hanging="283"/>
        <w:rPr>
          <w:b/>
          <w:bCs/>
        </w:rPr>
      </w:pPr>
      <w:r w:rsidRPr="00190D99">
        <w:rPr>
          <w:rFonts w:hint="cs"/>
          <w:rtl/>
        </w:rPr>
        <w:t>על פי העובדות האישום השני לכתב האישום, ביום 7.11.21, בסמוך לשעה 21:08,</w:t>
      </w:r>
      <w:r w:rsidRPr="00190D99">
        <w:rPr>
          <w:rFonts w:hint="cs"/>
          <w:b/>
          <w:bCs/>
          <w:rtl/>
        </w:rPr>
        <w:t xml:space="preserve"> </w:t>
      </w:r>
      <w:r w:rsidRPr="00190D99">
        <w:rPr>
          <w:rFonts w:hint="cs"/>
          <w:rtl/>
        </w:rPr>
        <w:t xml:space="preserve">פנה נאשם 1 </w:t>
      </w:r>
      <w:r w:rsidRPr="00190D99">
        <w:rPr>
          <w:rFonts w:hint="cs"/>
        </w:rPr>
        <w:t xml:space="preserve"> </w:t>
      </w:r>
      <w:r w:rsidRPr="00190D99">
        <w:rPr>
          <w:rFonts w:hint="cs"/>
          <w:rtl/>
        </w:rPr>
        <w:t>אל נאשם 2 באמצעות מסרון, בהצעה לרכוש אקדח נוסף, מסוג סיג זוואר, אשר בכוחו להמית אדם, באמצעות שליחת תצלומים של האקדח משני צדדיו</w:t>
      </w:r>
      <w:r w:rsidRPr="00190D99">
        <w:rPr>
          <w:rFonts w:hint="cs"/>
          <w:b/>
          <w:bCs/>
          <w:rtl/>
        </w:rPr>
        <w:t xml:space="preserve"> </w:t>
      </w:r>
      <w:r w:rsidRPr="00190D99">
        <w:rPr>
          <w:rFonts w:hint="cs"/>
          <w:rtl/>
        </w:rPr>
        <w:t>(להלן:</w:t>
      </w:r>
      <w:r w:rsidRPr="00190D99">
        <w:rPr>
          <w:rFonts w:hint="cs"/>
          <w:b/>
          <w:bCs/>
          <w:rtl/>
        </w:rPr>
        <w:t xml:space="preserve"> </w:t>
      </w:r>
      <w:r w:rsidRPr="00190D99">
        <w:rPr>
          <w:rFonts w:hint="cs"/>
          <w:rtl/>
        </w:rPr>
        <w:t>"</w:t>
      </w:r>
      <w:r w:rsidRPr="00190D99">
        <w:rPr>
          <w:rFonts w:hint="cs"/>
          <w:b/>
          <w:bCs/>
          <w:rtl/>
        </w:rPr>
        <w:t>האקדח הנוסף</w:t>
      </w:r>
      <w:r w:rsidRPr="00190D99">
        <w:rPr>
          <w:rFonts w:hint="cs"/>
          <w:rtl/>
        </w:rPr>
        <w:t xml:space="preserve">"), באומרו כי מדובר במחיר הזדמנות של 38,000 ₪ במקום 45,000 ₪. בתגובה להצעה, כתב נאשם 2 כי חודש לפני כן רכש אקדח דומה ב-32,000 ₪. בהמשך כתב נאשם 1 כי האקדח צריך להימכר ב-38,000, וביקש מנאשם 2 לברר עם אדם אחר, שזהותו אינה ידועה במדויק למאשימה, האם הוא מעוניין באקדח. </w:t>
      </w:r>
    </w:p>
    <w:p w14:paraId="05F73151" w14:textId="77777777" w:rsidR="00627B9C" w:rsidRPr="00190D99" w:rsidRDefault="00627B9C" w:rsidP="00627B9C">
      <w:pPr>
        <w:pStyle w:val="a9"/>
      </w:pPr>
    </w:p>
    <w:p w14:paraId="772BA6D2" w14:textId="77777777" w:rsidR="00627B9C" w:rsidRPr="00190D99" w:rsidRDefault="00627B9C" w:rsidP="00627B9C">
      <w:pPr>
        <w:rPr>
          <w:b/>
          <w:bCs/>
          <w:u w:val="single"/>
          <w:rtl/>
        </w:rPr>
      </w:pPr>
      <w:r w:rsidRPr="00190D99">
        <w:rPr>
          <w:rFonts w:hint="cs"/>
          <w:b/>
          <w:bCs/>
          <w:u w:val="single"/>
          <w:rtl/>
        </w:rPr>
        <w:t>טענות הצדדים לעונש</w:t>
      </w:r>
    </w:p>
    <w:p w14:paraId="60ABC18B" w14:textId="77777777" w:rsidR="00627B9C" w:rsidRPr="00190D99" w:rsidRDefault="00627B9C" w:rsidP="00627B9C">
      <w:pPr>
        <w:rPr>
          <w:b/>
          <w:bCs/>
          <w:u w:val="single"/>
        </w:rPr>
      </w:pPr>
    </w:p>
    <w:p w14:paraId="382CEA0E" w14:textId="77777777" w:rsidR="00627B9C" w:rsidRPr="00190D99" w:rsidRDefault="00627B9C" w:rsidP="00627B9C">
      <w:pPr>
        <w:pStyle w:val="a9"/>
        <w:numPr>
          <w:ilvl w:val="0"/>
          <w:numId w:val="1"/>
        </w:numPr>
        <w:ind w:left="283" w:right="0" w:hanging="283"/>
      </w:pPr>
      <w:r w:rsidRPr="00190D99">
        <w:rPr>
          <w:rFonts w:hint="cs"/>
          <w:rtl/>
        </w:rPr>
        <w:t xml:space="preserve">ב"כ המאשימה ציין את הערכים המוגנים הקשורים בעבירות נשק שהן הגנה על שלום הציבור ובטחונו ושמירה על שלמות הגוף והחיים ותחושת הביטחון. ערכים אלה מתקיימים גם כאשר מדובר בעבירה של קשירת קשר. ב"כ המאשימה הפנה לנסיבות ביצוע העבירה כאשר מדובר בשני אישומים כאשר הקשר היה בהצעה לרכוש אקדחים והגיע לרמה של מחירים בעשרות אלפי שקלים. המעשים בוצעו תוך תכנון מוקדם והנזק הפוטנציאלי הוא ברור. ב"כ המאשימה הפנה לענישה נוהגת וביקש מבית המשפט אף להחמיר מענישה זו נוכח מגמת ההחמרה בעבירות הנשק בבית המשפט העליון. ב"כ המאשימה עתר להטלת מתחם עונש 1 בשני האישומים אשר ינוע בין 12 ל-24 חודשי מאסר בפועל לצד ענישה נלוות. ב"כ המאשימה סבר כי אין לאבחן בין הנאשמים בעת קביעת המתחם ויש לקבוע לגבי שניהם מתחם עונש זהה. </w:t>
      </w:r>
    </w:p>
    <w:p w14:paraId="2E1BFEE4" w14:textId="77777777" w:rsidR="00627B9C" w:rsidRPr="00190D99" w:rsidRDefault="00627B9C" w:rsidP="00627B9C">
      <w:pPr>
        <w:pStyle w:val="a9"/>
        <w:ind w:left="283" w:right="502"/>
        <w:rPr>
          <w:rtl/>
        </w:rPr>
      </w:pPr>
    </w:p>
    <w:p w14:paraId="030E4893" w14:textId="77777777" w:rsidR="00627B9C" w:rsidRPr="00190D99" w:rsidRDefault="00627B9C" w:rsidP="00627B9C">
      <w:pPr>
        <w:pStyle w:val="a9"/>
        <w:numPr>
          <w:ilvl w:val="0"/>
          <w:numId w:val="1"/>
        </w:numPr>
        <w:ind w:left="283" w:right="0" w:hanging="283"/>
      </w:pPr>
      <w:r w:rsidRPr="00190D99">
        <w:rPr>
          <w:rFonts w:hint="cs"/>
          <w:rtl/>
        </w:rPr>
        <w:t>אשר לעונש המתאים בעניינו של נאשם 1 ציין ב"כ המאשימה את העובדה שהוא נעדר עבר פלילי בעוד שנאשם 2 צבר לחובתו עבר פלילי משמעותי לרבות מאסר על תנאי ועל כן יש לתת דגש בעניינו לעניין הרתעת שיקול היחיד.</w:t>
      </w:r>
    </w:p>
    <w:p w14:paraId="5602D76A" w14:textId="77777777" w:rsidR="00627B9C" w:rsidRPr="00190D99" w:rsidRDefault="00627B9C" w:rsidP="00627B9C">
      <w:pPr>
        <w:pStyle w:val="a9"/>
        <w:ind w:left="283" w:right="502"/>
      </w:pPr>
    </w:p>
    <w:p w14:paraId="460ED733" w14:textId="77777777" w:rsidR="00627B9C" w:rsidRPr="00190D99" w:rsidRDefault="00627B9C" w:rsidP="00627B9C">
      <w:pPr>
        <w:pStyle w:val="a9"/>
        <w:numPr>
          <w:ilvl w:val="0"/>
          <w:numId w:val="1"/>
        </w:numPr>
        <w:ind w:left="283" w:right="0" w:hanging="283"/>
      </w:pPr>
      <w:r w:rsidRPr="00190D99">
        <w:rPr>
          <w:rFonts w:hint="cs"/>
          <w:rtl/>
        </w:rPr>
        <w:t xml:space="preserve">סופו של דבר עתר ב"כ המאשימה להטלת מאסר בפועל של 15 חודש בניכוי ימי מעצרו על נאשם 1 ולנאשם 2 20 חודשי מאסר מיום מעצרו, וכן ביקש להפעיל את המאסר המותנה במצטבר. עוד ביקש להטיל על הנאשמים עונש מאסר על תנאי וקנס. </w:t>
      </w:r>
    </w:p>
    <w:p w14:paraId="42629A44" w14:textId="77777777" w:rsidR="00627B9C" w:rsidRPr="00190D99" w:rsidRDefault="00627B9C" w:rsidP="00627B9C">
      <w:pPr>
        <w:pStyle w:val="a9"/>
        <w:ind w:left="283" w:right="502"/>
      </w:pPr>
    </w:p>
    <w:p w14:paraId="5BC4FB44" w14:textId="77777777" w:rsidR="00627B9C" w:rsidRPr="00190D99" w:rsidRDefault="00627B9C" w:rsidP="00627B9C">
      <w:pPr>
        <w:pStyle w:val="a9"/>
        <w:numPr>
          <w:ilvl w:val="0"/>
          <w:numId w:val="1"/>
        </w:numPr>
        <w:ind w:left="283" w:right="0" w:hanging="283"/>
      </w:pPr>
      <w:r w:rsidRPr="00190D99">
        <w:rPr>
          <w:rFonts w:hint="cs"/>
          <w:rtl/>
        </w:rPr>
        <w:t xml:space="preserve">ב"כ נאשם 1 ביקש כי בעת קביעת מתחם העונש ההולם ייתן בית משפט ביטוי  לאופן ניהול התיק לזיכוי הנאשמים ולכך שהם הורשעו בעבירות המיוחסות להם בהתאם </w:t>
      </w:r>
      <w:hyperlink r:id="rId27" w:history="1">
        <w:r w:rsidR="00190D99" w:rsidRPr="00190D99">
          <w:rPr>
            <w:rStyle w:val="Hyperlink"/>
            <w:rFonts w:hint="cs"/>
            <w:rtl/>
          </w:rPr>
          <w:t>לסעיף</w:t>
        </w:r>
        <w:r w:rsidR="00190D99" w:rsidRPr="00190D99">
          <w:rPr>
            <w:rStyle w:val="Hyperlink"/>
            <w:rtl/>
          </w:rPr>
          <w:t xml:space="preserve"> 184</w:t>
        </w:r>
      </w:hyperlink>
      <w:r w:rsidRPr="00190D99">
        <w:rPr>
          <w:rFonts w:hint="cs"/>
          <w:rtl/>
        </w:rPr>
        <w:t xml:space="preserve"> ל</w:t>
      </w:r>
      <w:hyperlink r:id="rId28" w:history="1">
        <w:r w:rsidR="00285C7F" w:rsidRPr="00190D99">
          <w:rPr>
            <w:color w:val="0000FF"/>
            <w:u w:val="single"/>
            <w:rtl/>
          </w:rPr>
          <w:t>חוק סדר הדין הפלילי</w:t>
        </w:r>
      </w:hyperlink>
      <w:r w:rsidRPr="00190D99">
        <w:rPr>
          <w:rFonts w:hint="cs"/>
          <w:rtl/>
        </w:rPr>
        <w:t xml:space="preserve"> ביוזמת בית המשפט. בעניין זה סבר כי נתונה הסמכות לבית המשפט לעשות זאת בהתאם </w:t>
      </w:r>
      <w:hyperlink r:id="rId29" w:history="1">
        <w:r w:rsidR="00190D99" w:rsidRPr="00190D99">
          <w:rPr>
            <w:rStyle w:val="Hyperlink"/>
            <w:rFonts w:hint="cs"/>
            <w:rtl/>
          </w:rPr>
          <w:t>לסעיף</w:t>
        </w:r>
        <w:r w:rsidR="00190D99" w:rsidRPr="00190D99">
          <w:rPr>
            <w:rStyle w:val="Hyperlink"/>
            <w:rtl/>
          </w:rPr>
          <w:t xml:space="preserve"> 40יב</w:t>
        </w:r>
      </w:hyperlink>
      <w:r w:rsidRPr="00190D99">
        <w:rPr>
          <w:rFonts w:hint="cs"/>
          <w:rtl/>
        </w:rPr>
        <w:t xml:space="preserve"> לחוק. אשר למדיניות הענישה הנוהגת </w:t>
      </w:r>
      <w:r w:rsidRPr="00190D99">
        <w:rPr>
          <w:rtl/>
        </w:rPr>
        <w:t>–</w:t>
      </w:r>
      <w:r w:rsidRPr="00190D99">
        <w:rPr>
          <w:rFonts w:hint="cs"/>
          <w:rtl/>
        </w:rPr>
        <w:t xml:space="preserve"> הפנה לפסיקה לתמיכה בטיעוניו וסבר שבעבירות אלה מוטלים מספר חודשי מאסר בפועל. בנסיבות תיק זה סבר שמתחם העונש ההולם נע בין מספר חודשי מאסר על תנאי ועד למספר חודשי מאסר בפועל. </w:t>
      </w:r>
    </w:p>
    <w:p w14:paraId="2EE8545E" w14:textId="77777777" w:rsidR="00627B9C" w:rsidRPr="00190D99" w:rsidRDefault="00627B9C" w:rsidP="00627B9C">
      <w:pPr>
        <w:pStyle w:val="a9"/>
        <w:ind w:left="283" w:right="502"/>
      </w:pPr>
    </w:p>
    <w:p w14:paraId="21F96CDF" w14:textId="77777777" w:rsidR="00627B9C" w:rsidRPr="00190D99" w:rsidRDefault="00627B9C" w:rsidP="00627B9C">
      <w:pPr>
        <w:pStyle w:val="a9"/>
        <w:numPr>
          <w:ilvl w:val="0"/>
          <w:numId w:val="1"/>
        </w:numPr>
        <w:ind w:left="283" w:right="0" w:hanging="283"/>
      </w:pPr>
      <w:r w:rsidRPr="00190D99">
        <w:rPr>
          <w:rFonts w:hint="cs"/>
          <w:rtl/>
        </w:rPr>
        <w:t xml:space="preserve">אשר לעונש המתאים </w:t>
      </w:r>
      <w:r w:rsidRPr="00190D99">
        <w:rPr>
          <w:rtl/>
        </w:rPr>
        <w:t>–</w:t>
      </w:r>
      <w:r w:rsidRPr="00190D99">
        <w:rPr>
          <w:rFonts w:hint="cs"/>
          <w:rtl/>
        </w:rPr>
        <w:t xml:space="preserve"> מאחר שמדובר בצעיר בן 26 נעדר עבר פלילי שזה הוא מאסרו הראשון כאשר טרם מעצרו עבד במקום עבודה מסודר בבית קפה ארומה בקניון הדר, תפקודו במעצר הוא ללא בעיות משמעת והוא עובד במגרש הרוסים. הנאשם ניהל את המשפט באופן ענייני, יריעת המחלוקת צומצמה והוא גם זוכה מהחלק הארעי של כתב האישום. על כן, ביקש להסתפק בימי מעצרו. </w:t>
      </w:r>
    </w:p>
    <w:p w14:paraId="78D26EDD" w14:textId="77777777" w:rsidR="00627B9C" w:rsidRPr="00190D99" w:rsidRDefault="00627B9C" w:rsidP="00627B9C">
      <w:pPr>
        <w:pStyle w:val="a9"/>
        <w:ind w:left="283" w:right="502"/>
      </w:pPr>
    </w:p>
    <w:p w14:paraId="3BF41BE8" w14:textId="77777777" w:rsidR="00627B9C" w:rsidRPr="00190D99" w:rsidRDefault="00627B9C" w:rsidP="00627B9C">
      <w:pPr>
        <w:pStyle w:val="a9"/>
        <w:numPr>
          <w:ilvl w:val="0"/>
          <w:numId w:val="1"/>
        </w:numPr>
        <w:ind w:left="283" w:right="0" w:hanging="283"/>
      </w:pPr>
      <w:r w:rsidRPr="00190D99">
        <w:rPr>
          <w:rFonts w:hint="cs"/>
          <w:rtl/>
        </w:rPr>
        <w:t xml:space="preserve">ב"כ נאשם 2 טען כי הפסיקה אשר אליה הפנתה המאשימה היא מחמירה במקרים חמורים יותר. ציין את חלקו המינורי של הנאשם בביצוע עבירות בעיקר בכל הנוגע לאישום 2 שם לא הציע דבר. הנאשם הוא לא היוזם, העבירות לא נעשו בתחכום והנסיבות שקשורות לביצוע העבירות הן דלות במיוחד בעניינו של נאשם 2. מאחר שהעסקה לא השתכללה הפגיעה בערכים המוגנים היא שולית ובפועל לא הייתה פגיעה כלל. ב"כ הנאשם הפנה לענישה הנוהגת מהעת האחרונה בעבירות דומות בה הוטל עונש של 6 חודשי מאסר בפועל ו-7 חודשי מאסר לריצוי בעבודות שירות. עוד הדגיש כי תיקון </w:t>
      </w:r>
      <w:hyperlink r:id="rId30" w:history="1">
        <w:r w:rsidR="00285C7F" w:rsidRPr="00190D99">
          <w:rPr>
            <w:color w:val="0000FF"/>
            <w:u w:val="single"/>
            <w:rtl/>
          </w:rPr>
          <w:t>חוק העונשין</w:t>
        </w:r>
      </w:hyperlink>
      <w:r w:rsidRPr="00190D99">
        <w:rPr>
          <w:rFonts w:hint="cs"/>
          <w:rtl/>
        </w:rPr>
        <w:t xml:space="preserve"> הקובע עונש מינימלי בעבירות בנשק נכנס לתוקף לאחר העבירות המיוחסות לנאשמים ולכן לא חל בעניינם. בנסיבות אלה, סבר שמתחם העונש ההולם נע בין מספר חודשי מאסר שירוצו בעבודות שירות ועד ל-6 חודשי מאסר בפועל ולאור תקופת המעצר הממושכת בה נתון הנאשם ולמעשה כבר הגיע לרף העליון של המתחם. עוד ביקש להתחשב בכך שלו כתב האישום היה מוגש מלכתחילה בעבירות בהן הורשעו הנאשמים, ספק אם הם היו נעצרים.</w:t>
      </w:r>
    </w:p>
    <w:p w14:paraId="1EDF646E" w14:textId="77777777" w:rsidR="00627B9C" w:rsidRPr="00190D99" w:rsidRDefault="00627B9C" w:rsidP="00627B9C">
      <w:pPr>
        <w:pStyle w:val="a9"/>
        <w:ind w:left="283" w:right="502"/>
      </w:pPr>
    </w:p>
    <w:p w14:paraId="7B1C9EEF" w14:textId="77777777" w:rsidR="00627B9C" w:rsidRPr="00190D99" w:rsidRDefault="00627B9C" w:rsidP="00627B9C">
      <w:pPr>
        <w:pStyle w:val="a9"/>
        <w:numPr>
          <w:ilvl w:val="0"/>
          <w:numId w:val="1"/>
        </w:numPr>
        <w:ind w:left="283" w:right="0" w:hanging="283"/>
        <w:rPr>
          <w:rtl/>
        </w:rPr>
      </w:pPr>
      <w:r w:rsidRPr="00190D99">
        <w:rPr>
          <w:rFonts w:hint="cs"/>
          <w:rtl/>
        </w:rPr>
        <w:t xml:space="preserve"> אשר לנסיבותיו האישיות של הנאשם </w:t>
      </w:r>
      <w:r w:rsidRPr="00190D99">
        <w:rPr>
          <w:rtl/>
        </w:rPr>
        <w:t>–</w:t>
      </w:r>
      <w:r w:rsidRPr="00190D99">
        <w:rPr>
          <w:rFonts w:hint="cs"/>
          <w:rtl/>
        </w:rPr>
        <w:t xml:space="preserve"> ציין ב"כ הנאשם כי מדובר בנאשם יליד 84', נשוי ואב לשלושה ילדים בגילאי שנתיים עד 13, טרם מעצרו התפרנס מקצבת הבטחת הכנסה בשל הקושי שלו להשתלב בשוק העבודה לאור מאסרו האחרון. החיים לא האירו לו פנים וצודקת המאשימה שהוא צבר לחובתו הרשעות קודמות אך אינן בתחום עבירות הנשק אלא בתחום הרכוש והסמים. אשר על כן, סבר שיש להטיל עליו עונש בשליש התחתון של המתחם. בהתחשב בתקופת המעצר עתר להסתפק בימי מעצרו. </w:t>
      </w:r>
    </w:p>
    <w:p w14:paraId="140A21E6" w14:textId="77777777" w:rsidR="00627B9C" w:rsidRPr="00190D99" w:rsidRDefault="00627B9C" w:rsidP="00627B9C">
      <w:pPr>
        <w:rPr>
          <w:b/>
          <w:bCs/>
          <w:u w:val="single"/>
          <w:rtl/>
        </w:rPr>
      </w:pPr>
    </w:p>
    <w:p w14:paraId="63C33DC2" w14:textId="77777777" w:rsidR="00627B9C" w:rsidRPr="00190D99" w:rsidRDefault="00627B9C" w:rsidP="00627B9C">
      <w:pPr>
        <w:rPr>
          <w:b/>
          <w:bCs/>
          <w:u w:val="single"/>
          <w:rtl/>
        </w:rPr>
      </w:pPr>
      <w:r w:rsidRPr="00190D99">
        <w:rPr>
          <w:rFonts w:hint="cs"/>
          <w:b/>
          <w:bCs/>
          <w:u w:val="single"/>
          <w:rtl/>
        </w:rPr>
        <w:t>דיון והכרעה</w:t>
      </w:r>
    </w:p>
    <w:p w14:paraId="54252713" w14:textId="77777777" w:rsidR="00627B9C" w:rsidRPr="00190D99" w:rsidRDefault="00627B9C" w:rsidP="00627B9C">
      <w:pPr>
        <w:rPr>
          <w:b/>
          <w:bCs/>
          <w:u w:val="single"/>
        </w:rPr>
      </w:pPr>
    </w:p>
    <w:p w14:paraId="3058D773" w14:textId="77777777" w:rsidR="00627B9C" w:rsidRPr="00190D99" w:rsidRDefault="00627B9C" w:rsidP="00627B9C">
      <w:pPr>
        <w:rPr>
          <w:b/>
          <w:bCs/>
          <w:u w:val="single"/>
          <w:rtl/>
        </w:rPr>
      </w:pPr>
      <w:r w:rsidRPr="00190D99">
        <w:rPr>
          <w:rFonts w:hint="cs"/>
          <w:b/>
          <w:bCs/>
          <w:u w:val="single"/>
          <w:rtl/>
        </w:rPr>
        <w:t>מתחם העונש ההולם</w:t>
      </w:r>
    </w:p>
    <w:p w14:paraId="5B4E1E8F" w14:textId="77777777" w:rsidR="00627B9C" w:rsidRPr="00190D99" w:rsidRDefault="00627B9C" w:rsidP="00627B9C">
      <w:pPr>
        <w:rPr>
          <w:b/>
          <w:bCs/>
          <w:u w:val="single"/>
          <w:rtl/>
        </w:rPr>
      </w:pPr>
    </w:p>
    <w:p w14:paraId="5EF72E3C" w14:textId="77777777" w:rsidR="00627B9C" w:rsidRPr="00190D99" w:rsidRDefault="00627B9C" w:rsidP="00627B9C">
      <w:pPr>
        <w:pStyle w:val="a9"/>
        <w:numPr>
          <w:ilvl w:val="0"/>
          <w:numId w:val="1"/>
        </w:numPr>
        <w:ind w:left="283" w:right="0" w:hanging="283"/>
        <w:rPr>
          <w:rtl/>
        </w:rPr>
      </w:pPr>
      <w:r w:rsidRPr="00190D99">
        <w:rPr>
          <w:rFonts w:hint="cs"/>
          <w:rtl/>
        </w:rPr>
        <w:t xml:space="preserve">בהתאם </w:t>
      </w:r>
      <w:hyperlink r:id="rId31" w:history="1">
        <w:r w:rsidR="00190D99" w:rsidRPr="00190D99">
          <w:rPr>
            <w:rStyle w:val="Hyperlink"/>
            <w:rFonts w:hint="cs"/>
            <w:rtl/>
          </w:rPr>
          <w:t>לסעיף</w:t>
        </w:r>
        <w:r w:rsidR="00190D99" w:rsidRPr="00190D99">
          <w:rPr>
            <w:rStyle w:val="Hyperlink"/>
            <w:rtl/>
          </w:rPr>
          <w:t xml:space="preserve"> 40ב'</w:t>
        </w:r>
      </w:hyperlink>
      <w:r w:rsidRPr="00190D99">
        <w:rPr>
          <w:rFonts w:hint="cs"/>
          <w:rtl/>
        </w:rPr>
        <w:t xml:space="preserve"> לחוק,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r w:rsidRPr="00190D99">
        <w:t>.</w:t>
      </w:r>
    </w:p>
    <w:p w14:paraId="4BB5AF47" w14:textId="77777777" w:rsidR="00627B9C" w:rsidRPr="00190D99" w:rsidRDefault="00627B9C" w:rsidP="00627B9C">
      <w:pPr>
        <w:pStyle w:val="a9"/>
        <w:ind w:left="502"/>
      </w:pPr>
    </w:p>
    <w:p w14:paraId="14121DD3" w14:textId="77777777" w:rsidR="00627B9C" w:rsidRPr="00190D99" w:rsidRDefault="00627B9C" w:rsidP="00627B9C">
      <w:pPr>
        <w:pStyle w:val="a9"/>
        <w:numPr>
          <w:ilvl w:val="0"/>
          <w:numId w:val="1"/>
        </w:numPr>
        <w:ind w:left="283" w:right="0" w:hanging="283"/>
      </w:pPr>
      <w:r w:rsidRPr="00190D99">
        <w:rPr>
          <w:rFonts w:hint="cs"/>
          <w:color w:val="000000"/>
          <w:shd w:val="clear" w:color="auto" w:fill="FFFFFF"/>
          <w:rtl/>
        </w:rPr>
        <w:t>הערכים החברתיים עליהם יש להגן מפני אלה המבצעים עבירות בנשק, ובכלל זה עבירת קשירת</w:t>
      </w:r>
      <w:r w:rsidR="00285C7F" w:rsidRPr="00190D99">
        <w:rPr>
          <w:rFonts w:hint="cs"/>
          <w:color w:val="000000"/>
          <w:shd w:val="clear" w:color="auto" w:fill="FFFFFF"/>
          <w:rtl/>
        </w:rPr>
        <w:t xml:space="preserve"> </w:t>
      </w:r>
      <w:r w:rsidRPr="00190D99">
        <w:rPr>
          <w:rFonts w:hint="cs"/>
          <w:color w:val="000000"/>
          <w:shd w:val="clear" w:color="auto" w:fill="FFFFFF"/>
          <w:rtl/>
        </w:rPr>
        <w:t>קשר</w:t>
      </w:r>
      <w:r w:rsidR="00285C7F" w:rsidRPr="00190D99">
        <w:rPr>
          <w:rFonts w:hint="cs"/>
          <w:color w:val="000000"/>
          <w:shd w:val="clear" w:color="auto" w:fill="FFFFFF"/>
          <w:rtl/>
        </w:rPr>
        <w:t xml:space="preserve"> </w:t>
      </w:r>
      <w:r w:rsidRPr="00190D99">
        <w:rPr>
          <w:rFonts w:hint="cs"/>
          <w:color w:val="000000"/>
          <w:shd w:val="clear" w:color="auto" w:fill="FFFFFF"/>
          <w:rtl/>
        </w:rPr>
        <w:t>לביצוע פשע בנשק- הם ההגנה על שלום הציבור וביטחונו, והיכולת לקיים שיגרת חיים תקינה,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עוד נפסק, כי בשל הסכנה הרבה הטמונה בעבירות הנשק, על בית המשפט לתת משקל משמעותי יותר לאינטרס הציבורי ולצורך להרתיע עבריינים מלבצע עבירות דומות, על-פני הנסיבות האישיות של העבריין</w:t>
      </w:r>
      <w:r w:rsidRPr="00190D99">
        <w:rPr>
          <w:color w:val="000000"/>
          <w:shd w:val="clear" w:color="auto" w:fill="FFFFFF"/>
        </w:rPr>
        <w:t>.</w:t>
      </w:r>
    </w:p>
    <w:p w14:paraId="160ED1C4" w14:textId="77777777" w:rsidR="00627B9C" w:rsidRPr="00190D99" w:rsidRDefault="00627B9C" w:rsidP="00627B9C">
      <w:pPr>
        <w:pStyle w:val="a9"/>
        <w:rPr>
          <w:color w:val="000000"/>
        </w:rPr>
      </w:pPr>
    </w:p>
    <w:p w14:paraId="519202D3" w14:textId="77777777" w:rsidR="00627B9C" w:rsidRPr="00190D99" w:rsidRDefault="00627B9C" w:rsidP="00627B9C">
      <w:pPr>
        <w:pStyle w:val="a9"/>
        <w:numPr>
          <w:ilvl w:val="0"/>
          <w:numId w:val="1"/>
        </w:numPr>
        <w:ind w:left="283" w:right="0" w:hanging="283"/>
        <w:rPr>
          <w:rtl/>
        </w:rPr>
      </w:pPr>
      <w:r w:rsidRPr="00190D99">
        <w:rPr>
          <w:rFonts w:hint="cs"/>
          <w:color w:val="000000"/>
          <w:rtl/>
        </w:rPr>
        <w:t xml:space="preserve">על עוצמת הערך המוגן, ניתן ללמוד מכך שהמחוקק קבע העבירה של קשירת קשר לפשע 7 שנות מאסר. </w:t>
      </w:r>
      <w:r w:rsidRPr="00190D99">
        <w:rPr>
          <w:rFonts w:hint="cs"/>
          <w:rtl/>
        </w:rPr>
        <w:t>אמנם, במסגרת</w:t>
      </w:r>
      <w:r w:rsidR="00285C7F" w:rsidRPr="00190D99">
        <w:rPr>
          <w:rFonts w:hint="cs"/>
          <w:rtl/>
        </w:rPr>
        <w:t xml:space="preserve"> </w:t>
      </w:r>
      <w:r w:rsidRPr="00190D99">
        <w:rPr>
          <w:rFonts w:hint="cs"/>
          <w:rtl/>
        </w:rPr>
        <w:t>העבירה</w:t>
      </w:r>
      <w:r w:rsidR="00285C7F" w:rsidRPr="00190D99">
        <w:rPr>
          <w:rFonts w:hint="cs"/>
          <w:rtl/>
        </w:rPr>
        <w:t xml:space="preserve"> </w:t>
      </w:r>
      <w:r w:rsidRPr="00190D99">
        <w:rPr>
          <w:rFonts w:hint="cs"/>
          <w:rtl/>
        </w:rPr>
        <w:t>של</w:t>
      </w:r>
      <w:r w:rsidR="00285C7F" w:rsidRPr="00190D99">
        <w:rPr>
          <w:rFonts w:hint="cs"/>
          <w:rtl/>
        </w:rPr>
        <w:t xml:space="preserve"> </w:t>
      </w:r>
      <w:r w:rsidRPr="00190D99">
        <w:rPr>
          <w:rFonts w:hint="cs"/>
          <w:rtl/>
        </w:rPr>
        <w:t>קשירת</w:t>
      </w:r>
      <w:r w:rsidR="00285C7F" w:rsidRPr="00190D99">
        <w:rPr>
          <w:rFonts w:hint="cs"/>
          <w:rtl/>
        </w:rPr>
        <w:t xml:space="preserve"> </w:t>
      </w:r>
      <w:r w:rsidRPr="00190D99">
        <w:rPr>
          <w:rFonts w:hint="cs"/>
          <w:rtl/>
        </w:rPr>
        <w:t>קשר, המכירה או הרכישה של הנשק לא יוצאו אל הפועל. עם זאת, קשירת הקשר כשלעצמה, שהיא החוליה הראשונה בעבירה של סחר בנשק, מקימה פוטנציאל ממשי לפגיעה בשלום הציבור ובביטחונו שכן, לא פעם הקושרים מעוניינים בהגשמת תוכניתם, והעדר מימושה נובע מנסיבות חיצוניות אשר בלעדיהן התוכנית העבריינית הייתה מתממשת, ומכאן הסיכון הרב הטמון בעבירה זו</w:t>
      </w:r>
      <w:r w:rsidRPr="00190D99">
        <w:t>.</w:t>
      </w:r>
    </w:p>
    <w:p w14:paraId="69834273" w14:textId="77777777" w:rsidR="00627B9C" w:rsidRPr="00190D99" w:rsidRDefault="00627B9C" w:rsidP="00627B9C">
      <w:pPr>
        <w:pStyle w:val="a9"/>
        <w:rPr>
          <w:color w:val="000000"/>
          <w:sz w:val="12"/>
          <w:szCs w:val="12"/>
          <w:shd w:val="clear" w:color="auto" w:fill="FFFFFF"/>
        </w:rPr>
      </w:pPr>
    </w:p>
    <w:p w14:paraId="6B9921E6" w14:textId="77777777" w:rsidR="00627B9C" w:rsidRPr="00190D99" w:rsidRDefault="00627B9C" w:rsidP="00627B9C">
      <w:pPr>
        <w:pStyle w:val="a9"/>
        <w:numPr>
          <w:ilvl w:val="0"/>
          <w:numId w:val="1"/>
        </w:numPr>
        <w:ind w:left="283" w:right="0" w:hanging="283"/>
        <w:rPr>
          <w:rtl/>
        </w:rPr>
      </w:pPr>
      <w:r w:rsidRPr="00190D99">
        <w:rPr>
          <w:rFonts w:hint="cs"/>
          <w:color w:val="000000"/>
          <w:shd w:val="clear" w:color="auto" w:fill="FFFFFF"/>
          <w:rtl/>
        </w:rPr>
        <w:t>המגמה להחמיר בענישה בעבירות נשק באה לידי ביטוי בשורה ארוכה של פסקי דין שניתנו על ידי בית משפט העליון, בין היתר</w:t>
      </w:r>
      <w:r w:rsidRPr="00190D99">
        <w:rPr>
          <w:rFonts w:hint="cs"/>
          <w:shd w:val="clear" w:color="auto" w:fill="FFFFFF"/>
          <w:rtl/>
        </w:rPr>
        <w:t>, ב</w:t>
      </w:r>
      <w:hyperlink w:history="1">
        <w:r w:rsidRPr="00190D99">
          <w:rPr>
            <w:rStyle w:val="Hyperlink"/>
            <w:rFonts w:hint="cs"/>
            <w:color w:val="000000"/>
            <w:u w:val="none"/>
            <w:shd w:val="clear" w:color="auto" w:fill="FFFFFF"/>
            <w:rtl/>
          </w:rPr>
          <w:t>ע"פ 1323/13</w:t>
        </w:r>
      </w:hyperlink>
      <w:r w:rsidRPr="00190D99">
        <w:rPr>
          <w:shd w:val="clear" w:color="auto" w:fill="FFFFFF"/>
          <w:rtl/>
        </w:rPr>
        <w:t xml:space="preserve"> </w:t>
      </w:r>
      <w:r w:rsidRPr="00190D99">
        <w:rPr>
          <w:rFonts w:hint="cs"/>
          <w:b/>
          <w:bCs/>
          <w:color w:val="000000"/>
          <w:shd w:val="clear" w:color="auto" w:fill="FFFFFF"/>
          <w:rtl/>
        </w:rPr>
        <w:t>רך חסן נגד מדינת ישראל</w:t>
      </w:r>
      <w:r w:rsidRPr="00190D99">
        <w:rPr>
          <w:rFonts w:hint="cs"/>
          <w:color w:val="000000"/>
          <w:shd w:val="clear" w:color="auto" w:fill="FFFFFF"/>
          <w:rtl/>
        </w:rPr>
        <w:t xml:space="preserve"> (ניתן ביום 5.6.13), שם קבעה כבוד השופטת ע' ארבל:</w:t>
      </w:r>
    </w:p>
    <w:p w14:paraId="6CB65283" w14:textId="77777777" w:rsidR="00627B9C" w:rsidRPr="00190D99" w:rsidRDefault="00627B9C" w:rsidP="00627B9C">
      <w:pPr>
        <w:pStyle w:val="a9"/>
        <w:rPr>
          <w:color w:val="000000"/>
          <w:shd w:val="clear" w:color="auto" w:fill="FFFFFF"/>
        </w:rPr>
      </w:pPr>
    </w:p>
    <w:p w14:paraId="29886367" w14:textId="77777777" w:rsidR="00627B9C" w:rsidRPr="00190D99" w:rsidRDefault="00627B9C" w:rsidP="00627B9C">
      <w:pPr>
        <w:pStyle w:val="a9"/>
        <w:ind w:left="567" w:right="567"/>
        <w:rPr>
          <w:b/>
          <w:bCs/>
          <w:color w:val="000000"/>
          <w:shd w:val="clear" w:color="auto" w:fill="FFFFFF"/>
        </w:rPr>
      </w:pPr>
      <w:r w:rsidRPr="00190D99">
        <w:rPr>
          <w:rFonts w:hint="cs"/>
          <w:b/>
          <w:bCs/>
          <w:color w:val="000000"/>
          <w:shd w:val="clear" w:color="auto" w:fill="FFFFFF"/>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705A2AFA" w14:textId="77777777" w:rsidR="00627B9C" w:rsidRPr="00190D99" w:rsidRDefault="00627B9C" w:rsidP="00627B9C">
      <w:pPr>
        <w:pStyle w:val="a9"/>
        <w:rPr>
          <w:color w:val="000000"/>
          <w:shd w:val="clear" w:color="auto" w:fill="FFFFFF"/>
        </w:rPr>
      </w:pPr>
    </w:p>
    <w:p w14:paraId="4E2F9A60" w14:textId="77777777" w:rsidR="00627B9C" w:rsidRPr="00190D99" w:rsidRDefault="00627B9C" w:rsidP="00627B9C">
      <w:pPr>
        <w:pStyle w:val="a9"/>
        <w:numPr>
          <w:ilvl w:val="0"/>
          <w:numId w:val="1"/>
        </w:numPr>
        <w:ind w:left="283" w:right="0" w:hanging="283"/>
        <w:rPr>
          <w:shd w:val="clear" w:color="auto" w:fill="FFFFFF"/>
          <w:rtl/>
        </w:rPr>
      </w:pPr>
      <w:r w:rsidRPr="00190D99">
        <w:rPr>
          <w:rFonts w:hint="cs"/>
          <w:shd w:val="clear" w:color="auto" w:fill="FFFFFF"/>
          <w:rtl/>
        </w:rPr>
        <w:t>זאת ועוד, מגמת ההחמרה בעבירות הנשק באה לאחרונה לידי ביטוי גם בדבריו של כב' השופט י' אלרון ב</w:t>
      </w:r>
      <w:hyperlink w:history="1">
        <w:r w:rsidRPr="00190D99">
          <w:rPr>
            <w:rStyle w:val="Hyperlink"/>
            <w:rFonts w:hint="cs"/>
            <w:color w:val="000000"/>
            <w:u w:val="none"/>
            <w:shd w:val="clear" w:color="auto" w:fill="FFFFFF"/>
            <w:rtl/>
          </w:rPr>
          <w:t>רע"פ 5613/20</w:t>
        </w:r>
      </w:hyperlink>
      <w:r w:rsidRPr="00190D99">
        <w:rPr>
          <w:shd w:val="clear" w:color="auto" w:fill="FFFFFF"/>
          <w:rtl/>
        </w:rPr>
        <w:t xml:space="preserve"> </w:t>
      </w:r>
      <w:r w:rsidRPr="00190D99">
        <w:rPr>
          <w:rFonts w:hint="cs"/>
          <w:b/>
          <w:bCs/>
          <w:shd w:val="clear" w:color="auto" w:fill="FFFFFF"/>
          <w:rtl/>
        </w:rPr>
        <w:t xml:space="preserve">אלהוזייל נ' מדינת ישראל </w:t>
      </w:r>
      <w:r w:rsidRPr="00190D99">
        <w:rPr>
          <w:rFonts w:hint="cs"/>
          <w:shd w:val="clear" w:color="auto" w:fill="FFFFFF"/>
          <w:rtl/>
        </w:rPr>
        <w:t xml:space="preserve">(25.08.20): </w:t>
      </w:r>
      <w:r w:rsidRPr="00190D99">
        <w:rPr>
          <w:rFonts w:hint="cs"/>
          <w:b/>
          <w:bCs/>
          <w:shd w:val="clear" w:color="auto" w:fill="FFFFFF"/>
          <w:rtl/>
        </w:rPr>
        <w:t xml:space="preserve">"עבירות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w:t>
      </w:r>
      <w:r w:rsidRPr="00190D99">
        <w:rPr>
          <w:rFonts w:hint="cs"/>
          <w:shd w:val="clear" w:color="auto" w:fill="FFFFFF"/>
          <w:rtl/>
        </w:rPr>
        <w:t>עוד ר' ב</w:t>
      </w:r>
      <w:hyperlink w:history="1">
        <w:r w:rsidRPr="00190D99">
          <w:rPr>
            <w:rStyle w:val="Hyperlink"/>
            <w:rFonts w:hint="cs"/>
            <w:color w:val="000000"/>
            <w:u w:val="none"/>
            <w:shd w:val="clear" w:color="auto" w:fill="FFFFFF"/>
            <w:rtl/>
          </w:rPr>
          <w:t>ע"פ 8017/20</w:t>
        </w:r>
      </w:hyperlink>
      <w:r w:rsidRPr="00190D99">
        <w:rPr>
          <w:shd w:val="clear" w:color="auto" w:fill="FFFFFF"/>
          <w:rtl/>
        </w:rPr>
        <w:t xml:space="preserve"> </w:t>
      </w:r>
      <w:r w:rsidRPr="00190D99">
        <w:rPr>
          <w:rFonts w:hint="cs"/>
          <w:b/>
          <w:bCs/>
          <w:shd w:val="clear" w:color="auto" w:fill="FFFFFF"/>
          <w:rtl/>
        </w:rPr>
        <w:t>מדינת ישראל נ' פאדי גריפאת</w:t>
      </w:r>
      <w:r w:rsidRPr="00190D99">
        <w:rPr>
          <w:rFonts w:hint="cs"/>
          <w:shd w:val="clear" w:color="auto" w:fill="FFFFFF"/>
          <w:rtl/>
        </w:rPr>
        <w:t xml:space="preserve"> (22.12.2020): </w:t>
      </w:r>
      <w:r w:rsidRPr="00190D99">
        <w:rPr>
          <w:rFonts w:hint="cs"/>
          <w:b/>
          <w:bCs/>
          <w:shd w:val="clear" w:color="auto" w:fill="FFFFFF"/>
          <w:rtl/>
        </w:rPr>
        <w:t xml:space="preserve">"בית משפט זה עמד בשורה ארוכה של פסקי דין על החומרה היתרה של עבירות הנשק ועל הסכנה הגבוהה שנשקפת מהן לשלום הציבור ולביטחונו" </w:t>
      </w:r>
      <w:r w:rsidRPr="00190D99">
        <w:rPr>
          <w:rFonts w:hint="cs"/>
          <w:shd w:val="clear" w:color="auto" w:fill="FFFFFF"/>
          <w:rtl/>
        </w:rPr>
        <w:t>(ר' גם</w:t>
      </w:r>
      <w:r w:rsidRPr="00190D99">
        <w:rPr>
          <w:rFonts w:hint="cs"/>
          <w:b/>
          <w:bCs/>
          <w:shd w:val="clear" w:color="auto" w:fill="FFFFFF"/>
          <w:rtl/>
        </w:rPr>
        <w:t xml:space="preserve"> </w:t>
      </w:r>
      <w:r w:rsidRPr="00190D99">
        <w:rPr>
          <w:rFonts w:hint="cs"/>
          <w:shd w:val="clear" w:color="auto" w:fill="FFFFFF"/>
          <w:rtl/>
        </w:rPr>
        <w:t>לאחרונה ב</w:t>
      </w:r>
      <w:hyperlink w:history="1">
        <w:r w:rsidRPr="00190D99">
          <w:rPr>
            <w:rStyle w:val="Hyperlink"/>
            <w:rFonts w:hint="cs"/>
            <w:color w:val="000000"/>
            <w:u w:val="none"/>
            <w:shd w:val="clear" w:color="auto" w:fill="FFFFFF"/>
            <w:rtl/>
          </w:rPr>
          <w:t>ע"פ 6068/21</w:t>
        </w:r>
      </w:hyperlink>
      <w:r w:rsidRPr="00190D99">
        <w:rPr>
          <w:rFonts w:hint="cs"/>
          <w:b/>
          <w:bCs/>
          <w:shd w:val="clear" w:color="auto" w:fill="FFFFFF"/>
          <w:rtl/>
        </w:rPr>
        <w:t xml:space="preserve"> מדינת ישראל נ' פקיה </w:t>
      </w:r>
      <w:r w:rsidRPr="00190D99">
        <w:rPr>
          <w:rFonts w:hint="cs"/>
          <w:shd w:val="clear" w:color="auto" w:fill="FFFFFF"/>
          <w:rtl/>
        </w:rPr>
        <w:t>(19.12.21) ו</w:t>
      </w:r>
      <w:hyperlink w:history="1">
        <w:r w:rsidRPr="00190D99">
          <w:rPr>
            <w:rStyle w:val="Hyperlink"/>
            <w:rFonts w:hint="cs"/>
            <w:color w:val="000000"/>
            <w:u w:val="none"/>
            <w:shd w:val="clear" w:color="auto" w:fill="FFFFFF"/>
            <w:rtl/>
          </w:rPr>
          <w:t>ע"פ 4456/21</w:t>
        </w:r>
      </w:hyperlink>
      <w:r w:rsidRPr="00190D99">
        <w:rPr>
          <w:shd w:val="clear" w:color="auto" w:fill="FFFFFF"/>
          <w:rtl/>
        </w:rPr>
        <w:t xml:space="preserve"> </w:t>
      </w:r>
      <w:r w:rsidRPr="00190D99">
        <w:rPr>
          <w:rFonts w:hint="cs"/>
          <w:b/>
          <w:bCs/>
          <w:shd w:val="clear" w:color="auto" w:fill="FFFFFF"/>
          <w:rtl/>
        </w:rPr>
        <w:t xml:space="preserve">מדינת ישראל נ' אבו עבסה </w:t>
      </w:r>
      <w:r w:rsidRPr="00190D99">
        <w:rPr>
          <w:rFonts w:hint="cs"/>
          <w:shd w:val="clear" w:color="auto" w:fill="FFFFFF"/>
          <w:rtl/>
        </w:rPr>
        <w:t>(23.1.22)).</w:t>
      </w:r>
    </w:p>
    <w:p w14:paraId="134241E6" w14:textId="77777777" w:rsidR="00627B9C" w:rsidRPr="00190D99" w:rsidRDefault="00627B9C" w:rsidP="00627B9C">
      <w:pPr>
        <w:pStyle w:val="a9"/>
        <w:ind w:left="502"/>
        <w:rPr>
          <w:color w:val="000000"/>
          <w:sz w:val="12"/>
          <w:szCs w:val="12"/>
          <w:shd w:val="clear" w:color="auto" w:fill="FFFFFF"/>
        </w:rPr>
      </w:pPr>
    </w:p>
    <w:p w14:paraId="6FE6D30B" w14:textId="77777777" w:rsidR="00627B9C" w:rsidRPr="00190D99" w:rsidRDefault="00627B9C" w:rsidP="00627B9C">
      <w:pPr>
        <w:pStyle w:val="a9"/>
        <w:numPr>
          <w:ilvl w:val="0"/>
          <w:numId w:val="1"/>
        </w:numPr>
        <w:ind w:left="283" w:right="0" w:hanging="283"/>
        <w:rPr>
          <w:color w:val="000000"/>
          <w:rtl/>
        </w:rPr>
      </w:pPr>
      <w:r w:rsidRPr="00190D99">
        <w:rPr>
          <w:rFonts w:hint="cs"/>
          <w:color w:val="000000"/>
          <w:rtl/>
        </w:rPr>
        <w:t xml:space="preserve">בחינת מדיניות הענישה הנהוגה מעלה, כי במקרים דומים, גם כאשר מדובר בקשירת קשר "בלבד", הוטלו על נאשמים עונשי מאסר בפועל מאחורי סורג ובריח לתקופות משתנות, כפי שיפורט להלן: </w:t>
      </w:r>
    </w:p>
    <w:p w14:paraId="053B3992" w14:textId="77777777" w:rsidR="00627B9C" w:rsidRPr="00190D99" w:rsidRDefault="00627B9C" w:rsidP="00627B9C">
      <w:pPr>
        <w:pStyle w:val="a9"/>
        <w:shd w:val="clear" w:color="auto" w:fill="FFFFFF"/>
        <w:spacing w:line="360" w:lineRule="atLeast"/>
        <w:ind w:left="502"/>
        <w:rPr>
          <w:color w:val="000000"/>
        </w:rPr>
      </w:pPr>
    </w:p>
    <w:p w14:paraId="4C1C5128" w14:textId="77777777" w:rsidR="00627B9C" w:rsidRPr="00190D99" w:rsidRDefault="00627B9C" w:rsidP="00627B9C">
      <w:pPr>
        <w:pStyle w:val="a9"/>
        <w:numPr>
          <w:ilvl w:val="0"/>
          <w:numId w:val="2"/>
        </w:numPr>
        <w:ind w:left="862" w:right="0"/>
        <w:rPr>
          <w:rtl/>
        </w:rPr>
      </w:pPr>
      <w:r w:rsidRPr="00190D99">
        <w:rPr>
          <w:rFonts w:hint="cs"/>
          <w:rtl/>
        </w:rPr>
        <w:t>ב</w:t>
      </w:r>
      <w:hyperlink r:id="rId32" w:history="1">
        <w:r w:rsidR="00285C7F" w:rsidRPr="00190D99">
          <w:rPr>
            <w:color w:val="0000FF"/>
            <w:u w:val="single"/>
            <w:rtl/>
          </w:rPr>
          <w:t>ע"פ 5295/15</w:t>
        </w:r>
      </w:hyperlink>
      <w:r w:rsidRPr="00190D99">
        <w:rPr>
          <w:rFonts w:hint="cs"/>
          <w:rtl/>
        </w:rPr>
        <w:t xml:space="preserve"> </w:t>
      </w:r>
      <w:r w:rsidRPr="00190D99">
        <w:rPr>
          <w:rFonts w:hint="cs"/>
          <w:b/>
          <w:bCs/>
          <w:rtl/>
        </w:rPr>
        <w:t>פלוני נ' מדינת ישראל</w:t>
      </w:r>
      <w:r w:rsidR="00285C7F" w:rsidRPr="00190D99">
        <w:rPr>
          <w:rFonts w:hint="cs"/>
          <w:rtl/>
        </w:rPr>
        <w:t xml:space="preserve"> </w:t>
      </w:r>
      <w:r w:rsidRPr="00190D99">
        <w:rPr>
          <w:rFonts w:hint="cs"/>
          <w:rtl/>
        </w:rPr>
        <w:t>(23.12.2015), הורשע הנאשם במסגרת</w:t>
      </w:r>
      <w:r w:rsidR="00285C7F" w:rsidRPr="00190D99">
        <w:rPr>
          <w:rFonts w:hint="cs"/>
          <w:rtl/>
        </w:rPr>
        <w:t xml:space="preserve"> </w:t>
      </w:r>
      <w:r w:rsidRPr="00190D99">
        <w:rPr>
          <w:rFonts w:hint="cs"/>
          <w:rtl/>
        </w:rPr>
        <w:t>הסדר דיוני</w:t>
      </w:r>
      <w:r w:rsidRPr="00190D99">
        <w:rPr>
          <w:rFonts w:hint="cs"/>
          <w:u w:val="single"/>
          <w:rtl/>
        </w:rPr>
        <w:t xml:space="preserve"> </w:t>
      </w:r>
      <w:r w:rsidRPr="00190D99">
        <w:rPr>
          <w:rFonts w:hint="cs"/>
          <w:rtl/>
        </w:rPr>
        <w:t>בעבירה אחת של קשירת קשר לפשע (סחר בנשק), בכך שסיכם עם נאשם אחר בפרשה כי יאתר נשק שירכוש אותו הנאשם למטרות סחר, והוא אכן איתר אקדח בעלות של 11,000 ₪. נקבע כי</w:t>
      </w:r>
      <w:r w:rsidR="00285C7F" w:rsidRPr="00190D99">
        <w:rPr>
          <w:rFonts w:hint="cs"/>
          <w:rtl/>
        </w:rPr>
        <w:t xml:space="preserve"> </w:t>
      </w:r>
      <w:r w:rsidRPr="00190D99">
        <w:rPr>
          <w:rFonts w:hint="cs"/>
          <w:rtl/>
        </w:rPr>
        <w:t>מתחם העונש נע בין 6 חודשי מאסר לבין 15 חודשי מאסר</w:t>
      </w:r>
      <w:r w:rsidR="00285C7F" w:rsidRPr="00190D99">
        <w:rPr>
          <w:rFonts w:hint="cs"/>
          <w:rtl/>
        </w:rPr>
        <w:t xml:space="preserve"> </w:t>
      </w:r>
      <w:r w:rsidRPr="00190D99">
        <w:rPr>
          <w:rFonts w:hint="cs"/>
          <w:rtl/>
        </w:rPr>
        <w:t>והוא נדון ל-8 חודשי מאסר בפועל, מאסר מותנה, וקנס. ערעורו נדחה.</w:t>
      </w:r>
    </w:p>
    <w:p w14:paraId="7562516E" w14:textId="77777777" w:rsidR="00627B9C" w:rsidRPr="00190D99" w:rsidRDefault="00627B9C" w:rsidP="00627B9C">
      <w:pPr>
        <w:pStyle w:val="a9"/>
        <w:ind w:left="862"/>
      </w:pPr>
    </w:p>
    <w:p w14:paraId="57DAEA5C" w14:textId="77777777" w:rsidR="00627B9C" w:rsidRPr="00190D99" w:rsidRDefault="00627B9C" w:rsidP="00627B9C">
      <w:pPr>
        <w:pStyle w:val="a9"/>
        <w:numPr>
          <w:ilvl w:val="0"/>
          <w:numId w:val="2"/>
        </w:numPr>
        <w:ind w:left="862" w:right="0"/>
      </w:pPr>
      <w:r w:rsidRPr="00190D99">
        <w:rPr>
          <w:rFonts w:hint="cs"/>
          <w:rtl/>
        </w:rPr>
        <w:t>ב</w:t>
      </w:r>
      <w:hyperlink r:id="rId33" w:history="1">
        <w:r w:rsidR="00285C7F" w:rsidRPr="00190D99">
          <w:rPr>
            <w:color w:val="0000FF"/>
            <w:u w:val="single"/>
            <w:rtl/>
          </w:rPr>
          <w:t>ע"פ 6985/12</w:t>
        </w:r>
      </w:hyperlink>
      <w:r w:rsidRPr="00190D99">
        <w:rPr>
          <w:rFonts w:hint="cs"/>
          <w:b/>
          <w:bCs/>
          <w:rtl/>
        </w:rPr>
        <w:t xml:space="preserve"> אחמד נגד מדינת ישראל</w:t>
      </w:r>
      <w:r w:rsidR="00285C7F" w:rsidRPr="00190D99">
        <w:rPr>
          <w:rFonts w:hint="cs"/>
          <w:rtl/>
        </w:rPr>
        <w:t xml:space="preserve"> </w:t>
      </w:r>
      <w:r w:rsidRPr="00190D99">
        <w:rPr>
          <w:rFonts w:hint="cs"/>
          <w:rtl/>
        </w:rPr>
        <w:t xml:space="preserve">(17.3.13), </w:t>
      </w:r>
      <w:r w:rsidR="00285C7F" w:rsidRPr="00190D99">
        <w:rPr>
          <w:rFonts w:hint="cs"/>
          <w:rtl/>
        </w:rPr>
        <w:t xml:space="preserve"> </w:t>
      </w:r>
      <w:r w:rsidRPr="00190D99">
        <w:rPr>
          <w:rFonts w:hint="cs"/>
          <w:rtl/>
        </w:rPr>
        <w:t>המערער הורשע על פי הודאתו</w:t>
      </w:r>
      <w:r w:rsidR="00285C7F" w:rsidRPr="00190D99">
        <w:rPr>
          <w:rFonts w:hint="cs"/>
          <w:rtl/>
        </w:rPr>
        <w:t xml:space="preserve"> </w:t>
      </w:r>
      <w:r w:rsidRPr="00190D99">
        <w:rPr>
          <w:rFonts w:hint="cs"/>
          <w:rtl/>
        </w:rPr>
        <w:t>בעבירה</w:t>
      </w:r>
      <w:r w:rsidR="00285C7F" w:rsidRPr="00190D99">
        <w:rPr>
          <w:rFonts w:hint="cs"/>
          <w:rtl/>
        </w:rPr>
        <w:t xml:space="preserve"> </w:t>
      </w:r>
      <w:r w:rsidRPr="00190D99">
        <w:rPr>
          <w:rFonts w:hint="cs"/>
          <w:rtl/>
        </w:rPr>
        <w:t>של</w:t>
      </w:r>
      <w:r w:rsidR="00285C7F" w:rsidRPr="00190D99">
        <w:rPr>
          <w:rFonts w:hint="cs"/>
          <w:rtl/>
        </w:rPr>
        <w:t xml:space="preserve"> </w:t>
      </w:r>
      <w:r w:rsidRPr="00190D99">
        <w:rPr>
          <w:rFonts w:hint="cs"/>
          <w:rtl/>
        </w:rPr>
        <w:t>קשירת</w:t>
      </w:r>
      <w:r w:rsidR="00285C7F" w:rsidRPr="00190D99">
        <w:rPr>
          <w:rFonts w:hint="cs"/>
          <w:rtl/>
        </w:rPr>
        <w:t xml:space="preserve"> </w:t>
      </w:r>
      <w:r w:rsidRPr="00190D99">
        <w:rPr>
          <w:rFonts w:hint="cs"/>
          <w:rtl/>
        </w:rPr>
        <w:t>קשר</w:t>
      </w:r>
      <w:r w:rsidR="00285C7F" w:rsidRPr="00190D99">
        <w:rPr>
          <w:rFonts w:hint="cs"/>
          <w:rtl/>
        </w:rPr>
        <w:t xml:space="preserve"> </w:t>
      </w:r>
      <w:r w:rsidRPr="00190D99">
        <w:rPr>
          <w:rFonts w:hint="cs"/>
          <w:rtl/>
        </w:rPr>
        <w:t>לביצוע</w:t>
      </w:r>
      <w:r w:rsidR="00285C7F" w:rsidRPr="00190D99">
        <w:rPr>
          <w:rFonts w:hint="cs"/>
          <w:rtl/>
        </w:rPr>
        <w:t xml:space="preserve"> </w:t>
      </w:r>
      <w:r w:rsidRPr="00190D99">
        <w:rPr>
          <w:rFonts w:hint="cs"/>
          <w:rtl/>
        </w:rPr>
        <w:t>פשע</w:t>
      </w:r>
      <w:r w:rsidR="00285C7F" w:rsidRPr="00190D99">
        <w:rPr>
          <w:rFonts w:hint="cs"/>
          <w:rtl/>
        </w:rPr>
        <w:t xml:space="preserve"> </w:t>
      </w:r>
      <w:r w:rsidRPr="00190D99">
        <w:rPr>
          <w:rFonts w:hint="cs"/>
          <w:rtl/>
        </w:rPr>
        <w:t>בכך</w:t>
      </w:r>
      <w:r w:rsidR="00285C7F" w:rsidRPr="00190D99">
        <w:rPr>
          <w:rFonts w:hint="cs"/>
          <w:rtl/>
        </w:rPr>
        <w:t xml:space="preserve"> </w:t>
      </w:r>
      <w:r w:rsidRPr="00190D99">
        <w:rPr>
          <w:rFonts w:hint="cs"/>
          <w:rtl/>
        </w:rPr>
        <w:t>שקשר</w:t>
      </w:r>
      <w:r w:rsidR="00285C7F" w:rsidRPr="00190D99">
        <w:rPr>
          <w:rFonts w:hint="cs"/>
          <w:rtl/>
        </w:rPr>
        <w:t xml:space="preserve"> </w:t>
      </w:r>
      <w:r w:rsidRPr="00190D99">
        <w:rPr>
          <w:rFonts w:hint="cs"/>
          <w:rtl/>
        </w:rPr>
        <w:t>עם אחר למכור לו אקדח תמורת סכום של 11,000 ₪. שירות המבחן נמנע מהמלצה טיפולית. על המערער, שהיה כבן 21 שנים ללא עבר פלילי, הושת עונש מאסר בפועל בן 8 חודשים. ערעור על חומרת העונש נדחה.</w:t>
      </w:r>
    </w:p>
    <w:p w14:paraId="045DBFF0" w14:textId="77777777" w:rsidR="00627B9C" w:rsidRPr="00190D99" w:rsidRDefault="00627B9C" w:rsidP="00627B9C">
      <w:pPr>
        <w:pStyle w:val="a9"/>
      </w:pPr>
    </w:p>
    <w:p w14:paraId="1B991EF9" w14:textId="77777777" w:rsidR="00627B9C" w:rsidRPr="00190D99" w:rsidRDefault="00627B9C" w:rsidP="00627B9C">
      <w:pPr>
        <w:pStyle w:val="a9"/>
        <w:numPr>
          <w:ilvl w:val="0"/>
          <w:numId w:val="2"/>
        </w:numPr>
        <w:ind w:left="862" w:right="0"/>
        <w:rPr>
          <w:rtl/>
        </w:rPr>
      </w:pPr>
      <w:r w:rsidRPr="00190D99">
        <w:rPr>
          <w:rFonts w:hint="cs"/>
          <w:rtl/>
        </w:rPr>
        <w:t>ב</w:t>
      </w:r>
      <w:hyperlink r:id="rId34" w:history="1">
        <w:r w:rsidR="00285C7F" w:rsidRPr="00190D99">
          <w:rPr>
            <w:color w:val="0000FF"/>
            <w:u w:val="single"/>
            <w:rtl/>
          </w:rPr>
          <w:t>ע"פ 3138/11</w:t>
        </w:r>
      </w:hyperlink>
      <w:r w:rsidRPr="00190D99">
        <w:rPr>
          <w:rFonts w:hint="cs"/>
          <w:rtl/>
        </w:rPr>
        <w:t xml:space="preserve"> </w:t>
      </w:r>
      <w:r w:rsidRPr="00190D99">
        <w:rPr>
          <w:rFonts w:hint="cs"/>
          <w:b/>
          <w:bCs/>
          <w:rtl/>
        </w:rPr>
        <w:t>עפיף הייבי נ' מדינת ישראל</w:t>
      </w:r>
      <w:r w:rsidRPr="00190D99">
        <w:rPr>
          <w:rFonts w:hint="cs"/>
          <w:rtl/>
        </w:rPr>
        <w:t xml:space="preserve"> (17.05.2011)‏‏, המערער הורשע על פי הודאתו</w:t>
      </w:r>
      <w:r w:rsidR="00285C7F" w:rsidRPr="00190D99">
        <w:rPr>
          <w:rFonts w:hint="cs"/>
          <w:rtl/>
        </w:rPr>
        <w:t xml:space="preserve"> </w:t>
      </w:r>
      <w:r w:rsidRPr="00190D99">
        <w:rPr>
          <w:rFonts w:hint="cs"/>
          <w:rtl/>
        </w:rPr>
        <w:t>בקשירת</w:t>
      </w:r>
      <w:r w:rsidR="00285C7F" w:rsidRPr="00190D99">
        <w:rPr>
          <w:rFonts w:hint="cs"/>
          <w:rtl/>
        </w:rPr>
        <w:t xml:space="preserve"> </w:t>
      </w:r>
      <w:r w:rsidRPr="00190D99">
        <w:rPr>
          <w:rFonts w:hint="cs"/>
          <w:rtl/>
        </w:rPr>
        <w:t>קשר</w:t>
      </w:r>
      <w:r w:rsidR="00285C7F" w:rsidRPr="00190D99">
        <w:rPr>
          <w:rFonts w:hint="cs"/>
          <w:rtl/>
        </w:rPr>
        <w:t xml:space="preserve"> </w:t>
      </w:r>
      <w:r w:rsidRPr="00190D99">
        <w:rPr>
          <w:rFonts w:hint="cs"/>
          <w:rtl/>
        </w:rPr>
        <w:t>לפשע</w:t>
      </w:r>
      <w:r w:rsidR="00285C7F" w:rsidRPr="00190D99">
        <w:rPr>
          <w:rFonts w:hint="cs"/>
          <w:rtl/>
        </w:rPr>
        <w:t xml:space="preserve"> </w:t>
      </w:r>
      <w:r w:rsidRPr="00190D99">
        <w:rPr>
          <w:rFonts w:hint="cs"/>
          <w:rtl/>
        </w:rPr>
        <w:t>ובניסיון לסחר בנשק, על רקע ניסיונו למכור</w:t>
      </w:r>
      <w:r w:rsidR="00285C7F" w:rsidRPr="00190D99">
        <w:rPr>
          <w:rFonts w:hint="cs"/>
          <w:rtl/>
        </w:rPr>
        <w:t xml:space="preserve"> </w:t>
      </w:r>
      <w:r w:rsidRPr="00190D99">
        <w:rPr>
          <w:rFonts w:hint="cs"/>
          <w:rtl/>
        </w:rPr>
        <w:t>אקדח</w:t>
      </w:r>
      <w:r w:rsidR="00285C7F" w:rsidRPr="00190D99">
        <w:rPr>
          <w:rFonts w:hint="cs"/>
          <w:rtl/>
        </w:rPr>
        <w:t xml:space="preserve"> </w:t>
      </w:r>
      <w:r w:rsidRPr="00190D99">
        <w:rPr>
          <w:rFonts w:hint="cs"/>
          <w:rtl/>
        </w:rPr>
        <w:t>לסוכן משטרתי.</w:t>
      </w:r>
      <w:r w:rsidR="00285C7F" w:rsidRPr="00190D99">
        <w:rPr>
          <w:rFonts w:hint="cs"/>
          <w:b/>
          <w:bCs/>
          <w:rtl/>
        </w:rPr>
        <w:t xml:space="preserve"> </w:t>
      </w:r>
      <w:r w:rsidRPr="00190D99">
        <w:rPr>
          <w:rFonts w:hint="cs"/>
          <w:rtl/>
        </w:rPr>
        <w:t>הושת עונש מאסר בפועל בן</w:t>
      </w:r>
      <w:r w:rsidR="00285C7F" w:rsidRPr="00190D99">
        <w:rPr>
          <w:rFonts w:hint="cs"/>
          <w:b/>
          <w:bCs/>
          <w:rtl/>
        </w:rPr>
        <w:t xml:space="preserve"> </w:t>
      </w:r>
      <w:r w:rsidRPr="00190D99">
        <w:rPr>
          <w:rFonts w:hint="cs"/>
          <w:rtl/>
        </w:rPr>
        <w:t>36 חודשים. ערעור על חומרת העונש נדחה.</w:t>
      </w:r>
    </w:p>
    <w:p w14:paraId="5C46068E" w14:textId="77777777" w:rsidR="00627B9C" w:rsidRPr="00190D99" w:rsidRDefault="00627B9C" w:rsidP="00627B9C">
      <w:pPr>
        <w:pStyle w:val="a9"/>
      </w:pPr>
    </w:p>
    <w:p w14:paraId="05765619" w14:textId="77777777" w:rsidR="00627B9C" w:rsidRPr="00190D99" w:rsidRDefault="00627B9C" w:rsidP="00627B9C">
      <w:pPr>
        <w:pStyle w:val="a9"/>
        <w:numPr>
          <w:ilvl w:val="0"/>
          <w:numId w:val="2"/>
        </w:numPr>
        <w:ind w:left="862" w:right="0"/>
        <w:rPr>
          <w:rtl/>
        </w:rPr>
      </w:pPr>
      <w:r w:rsidRPr="00190D99">
        <w:rPr>
          <w:rFonts w:hint="cs"/>
          <w:rtl/>
        </w:rPr>
        <w:t>ב</w:t>
      </w:r>
      <w:hyperlink r:id="rId35" w:history="1">
        <w:r w:rsidR="00285C7F" w:rsidRPr="00190D99">
          <w:rPr>
            <w:color w:val="0000FF"/>
            <w:u w:val="single"/>
            <w:rtl/>
          </w:rPr>
          <w:t>ע"פ 8866/11</w:t>
        </w:r>
      </w:hyperlink>
      <w:r w:rsidRPr="00190D99">
        <w:rPr>
          <w:rFonts w:hint="cs"/>
          <w:rtl/>
        </w:rPr>
        <w:t xml:space="preserve"> </w:t>
      </w:r>
      <w:r w:rsidRPr="00190D99">
        <w:rPr>
          <w:rFonts w:hint="cs"/>
          <w:b/>
          <w:bCs/>
          <w:rtl/>
        </w:rPr>
        <w:t>חמזה חאג' נ' מדינת ישראל</w:t>
      </w:r>
      <w:r w:rsidRPr="00190D99">
        <w:rPr>
          <w:rFonts w:hint="cs"/>
          <w:rtl/>
        </w:rPr>
        <w:t xml:space="preserve"> (22.03.2012)‏‏, הנאשם הורשע</w:t>
      </w:r>
      <w:r w:rsidR="00285C7F" w:rsidRPr="00190D99">
        <w:rPr>
          <w:rFonts w:hint="cs"/>
          <w:rtl/>
        </w:rPr>
        <w:t xml:space="preserve"> </w:t>
      </w:r>
      <w:r w:rsidRPr="00190D99">
        <w:rPr>
          <w:rFonts w:hint="cs"/>
          <w:rtl/>
        </w:rPr>
        <w:t>על פי הודאתו</w:t>
      </w:r>
      <w:r w:rsidR="00285C7F" w:rsidRPr="00190D99">
        <w:rPr>
          <w:rFonts w:hint="cs"/>
          <w:rtl/>
        </w:rPr>
        <w:t xml:space="preserve"> </w:t>
      </w:r>
      <w:r w:rsidRPr="00190D99">
        <w:rPr>
          <w:rFonts w:hint="cs"/>
          <w:rtl/>
        </w:rPr>
        <w:t>בקשירת קשר לפשע ובניסיון לסיוע לסחר בנשק</w:t>
      </w:r>
      <w:r w:rsidR="00285C7F" w:rsidRPr="00190D99">
        <w:rPr>
          <w:rFonts w:hint="cs"/>
          <w:rtl/>
        </w:rPr>
        <w:t xml:space="preserve"> </w:t>
      </w:r>
      <w:r w:rsidRPr="00190D99">
        <w:rPr>
          <w:rFonts w:hint="cs"/>
          <w:rtl/>
        </w:rPr>
        <w:t>שלא כדין. הנאשם נפגש עם סוכן משטרה, וסיכם עמו למכור לו רובה</w:t>
      </w:r>
      <w:r w:rsidR="00285C7F" w:rsidRPr="00190D99">
        <w:rPr>
          <w:rFonts w:hint="cs"/>
          <w:rtl/>
        </w:rPr>
        <w:t xml:space="preserve"> </w:t>
      </w:r>
      <w:r w:rsidRPr="00190D99">
        <w:t>M16</w:t>
      </w:r>
      <w:r w:rsidRPr="00190D99">
        <w:rPr>
          <w:rtl/>
        </w:rPr>
        <w:t xml:space="preserve"> </w:t>
      </w:r>
      <w:r w:rsidRPr="00190D99">
        <w:rPr>
          <w:rFonts w:hint="cs"/>
          <w:rtl/>
        </w:rPr>
        <w:t>תמורת 70,000 ₪, וכן שוחח אתו על אפשרות למכור לו כלי נשק נוספים. בית המשפט השית עליו</w:t>
      </w:r>
      <w:r w:rsidR="00285C7F" w:rsidRPr="00190D99">
        <w:rPr>
          <w:rFonts w:hint="cs"/>
          <w:rtl/>
        </w:rPr>
        <w:t xml:space="preserve"> </w:t>
      </w:r>
      <w:r w:rsidRPr="00190D99">
        <w:rPr>
          <w:rFonts w:hint="cs"/>
          <w:rtl/>
        </w:rPr>
        <w:t>עונש של 9 חודשי מאסר בפועל, מאסר מותנה, וקנס.</w:t>
      </w:r>
      <w:r w:rsidRPr="00190D99">
        <w:rPr>
          <w:rFonts w:hint="cs"/>
          <w:b/>
          <w:bCs/>
          <w:rtl/>
        </w:rPr>
        <w:t xml:space="preserve"> </w:t>
      </w:r>
      <w:r w:rsidRPr="00190D99">
        <w:rPr>
          <w:rFonts w:hint="cs"/>
          <w:rtl/>
        </w:rPr>
        <w:t>ערעור על חומרת העונש נדחה.</w:t>
      </w:r>
    </w:p>
    <w:p w14:paraId="27D1AEC3" w14:textId="77777777" w:rsidR="00627B9C" w:rsidRPr="00190D99" w:rsidRDefault="00627B9C" w:rsidP="00627B9C">
      <w:pPr>
        <w:pStyle w:val="a9"/>
      </w:pPr>
    </w:p>
    <w:p w14:paraId="322A32BA" w14:textId="77777777" w:rsidR="00627B9C" w:rsidRPr="00190D99" w:rsidRDefault="00627B9C" w:rsidP="00627B9C">
      <w:pPr>
        <w:pStyle w:val="a9"/>
        <w:numPr>
          <w:ilvl w:val="0"/>
          <w:numId w:val="2"/>
        </w:numPr>
        <w:ind w:left="862" w:right="0"/>
        <w:rPr>
          <w:rtl/>
        </w:rPr>
      </w:pPr>
      <w:r w:rsidRPr="00190D99">
        <w:rPr>
          <w:rFonts w:hint="cs"/>
          <w:rtl/>
        </w:rPr>
        <w:t>ב</w:t>
      </w:r>
      <w:hyperlink r:id="rId36" w:history="1">
        <w:r w:rsidR="00285C7F" w:rsidRPr="00190D99">
          <w:rPr>
            <w:color w:val="0000FF"/>
            <w:u w:val="single"/>
            <w:rtl/>
          </w:rPr>
          <w:t>ת"פ (מחוזי ב"ש) 44981-12-21</w:t>
        </w:r>
      </w:hyperlink>
      <w:r w:rsidRPr="00190D99">
        <w:rPr>
          <w:rFonts w:hint="cs"/>
          <w:rtl/>
        </w:rPr>
        <w:t xml:space="preserve"> </w:t>
      </w:r>
      <w:r w:rsidRPr="00190D99">
        <w:rPr>
          <w:rFonts w:hint="cs"/>
          <w:b/>
          <w:bCs/>
          <w:rtl/>
        </w:rPr>
        <w:t>מדינת ישראל נ' בילל אלנברי</w:t>
      </w:r>
      <w:r w:rsidRPr="00190D99">
        <w:rPr>
          <w:rFonts w:hint="cs"/>
          <w:rtl/>
        </w:rPr>
        <w:t xml:space="preserve"> (22.03.2022)‏‏, הנאשם הורשע במסגרת הסדר טיעון, בעבירה של קשירת קשר לפשע (ייבוא וסחר בנשק). על הנאשם הושתו 6 חודשי מאסר בפועל. </w:t>
      </w:r>
    </w:p>
    <w:p w14:paraId="17E8D2C7" w14:textId="77777777" w:rsidR="00627B9C" w:rsidRPr="00190D99" w:rsidRDefault="00627B9C" w:rsidP="00627B9C">
      <w:pPr>
        <w:pStyle w:val="a9"/>
      </w:pPr>
    </w:p>
    <w:p w14:paraId="59EAE187" w14:textId="77777777" w:rsidR="00627B9C" w:rsidRPr="00190D99" w:rsidRDefault="00627B9C" w:rsidP="00627B9C">
      <w:pPr>
        <w:pStyle w:val="a9"/>
        <w:numPr>
          <w:ilvl w:val="0"/>
          <w:numId w:val="2"/>
        </w:numPr>
        <w:ind w:left="862" w:right="0"/>
        <w:rPr>
          <w:rtl/>
        </w:rPr>
      </w:pPr>
      <w:r w:rsidRPr="00190D99">
        <w:rPr>
          <w:rFonts w:hint="cs"/>
          <w:rtl/>
        </w:rPr>
        <w:t>ב</w:t>
      </w:r>
      <w:hyperlink r:id="rId37" w:history="1">
        <w:r w:rsidR="00285C7F" w:rsidRPr="00190D99">
          <w:rPr>
            <w:color w:val="0000FF"/>
            <w:u w:val="single"/>
            <w:rtl/>
          </w:rPr>
          <w:t>ת"פ (מחוזי מרכז) 25639-03-21</w:t>
        </w:r>
      </w:hyperlink>
      <w:r w:rsidRPr="00190D99">
        <w:rPr>
          <w:rFonts w:hint="cs"/>
          <w:rtl/>
        </w:rPr>
        <w:t xml:space="preserve"> </w:t>
      </w:r>
      <w:r w:rsidRPr="00190D99">
        <w:rPr>
          <w:rFonts w:hint="cs"/>
          <w:b/>
          <w:bCs/>
          <w:rtl/>
        </w:rPr>
        <w:t>מדינת ישראל נ' קאסם תאיה</w:t>
      </w:r>
      <w:r w:rsidRPr="00190D99">
        <w:rPr>
          <w:rFonts w:hint="cs"/>
          <w:rtl/>
        </w:rPr>
        <w:t xml:space="preserve"> (25.01.2022)‏‏, הנאשם הורשע, על פי הודאתו, בשתי עבירות של</w:t>
      </w:r>
      <w:r w:rsidR="00285C7F" w:rsidRPr="00190D99">
        <w:rPr>
          <w:rFonts w:hint="cs"/>
          <w:rtl/>
        </w:rPr>
        <w:t xml:space="preserve"> </w:t>
      </w:r>
      <w:r w:rsidRPr="00190D99">
        <w:rPr>
          <w:rFonts w:hint="cs"/>
          <w:rtl/>
        </w:rPr>
        <w:t>קשירת</w:t>
      </w:r>
      <w:r w:rsidR="00285C7F" w:rsidRPr="00190D99">
        <w:rPr>
          <w:rFonts w:hint="cs"/>
          <w:rtl/>
        </w:rPr>
        <w:t xml:space="preserve"> </w:t>
      </w:r>
      <w:r w:rsidRPr="00190D99">
        <w:rPr>
          <w:rFonts w:hint="cs"/>
          <w:rtl/>
        </w:rPr>
        <w:t>קשר</w:t>
      </w:r>
      <w:r w:rsidR="00285C7F" w:rsidRPr="00190D99">
        <w:rPr>
          <w:rFonts w:hint="cs"/>
          <w:rtl/>
        </w:rPr>
        <w:t xml:space="preserve"> </w:t>
      </w:r>
      <w:r w:rsidRPr="00190D99">
        <w:rPr>
          <w:rFonts w:hint="cs"/>
          <w:rtl/>
        </w:rPr>
        <w:t>לפשע,</w:t>
      </w:r>
      <w:r w:rsidR="00285C7F" w:rsidRPr="00190D99">
        <w:t xml:space="preserve"> </w:t>
      </w:r>
      <w:r w:rsidRPr="00190D99">
        <w:rPr>
          <w:rFonts w:hint="cs"/>
          <w:rtl/>
        </w:rPr>
        <w:t>ניסיון עסקה אחרת בנשק</w:t>
      </w:r>
      <w:r w:rsidR="00285C7F" w:rsidRPr="00190D99">
        <w:rPr>
          <w:rFonts w:hint="cs"/>
          <w:rtl/>
        </w:rPr>
        <w:t xml:space="preserve">  </w:t>
      </w:r>
      <w:r w:rsidRPr="00190D99">
        <w:rPr>
          <w:rFonts w:hint="cs"/>
          <w:rtl/>
        </w:rPr>
        <w:t>והחזקת</w:t>
      </w:r>
      <w:r w:rsidR="00285C7F" w:rsidRPr="00190D99">
        <w:rPr>
          <w:rFonts w:hint="cs"/>
          <w:rtl/>
        </w:rPr>
        <w:t xml:space="preserve"> </w:t>
      </w:r>
      <w:r w:rsidRPr="00190D99">
        <w:rPr>
          <w:rFonts w:hint="cs"/>
          <w:rtl/>
        </w:rPr>
        <w:t>נשק</w:t>
      </w:r>
      <w:r w:rsidR="00285C7F" w:rsidRPr="00190D99">
        <w:rPr>
          <w:rFonts w:hint="cs"/>
          <w:rtl/>
        </w:rPr>
        <w:t xml:space="preserve"> </w:t>
      </w:r>
      <w:r w:rsidRPr="00190D99">
        <w:rPr>
          <w:rFonts w:hint="cs"/>
          <w:rtl/>
        </w:rPr>
        <w:t>אביזר ותחמושת.</w:t>
      </w:r>
      <w:r w:rsidRPr="00190D99">
        <w:rPr>
          <w:rFonts w:hint="cs"/>
          <w:b/>
          <w:bCs/>
          <w:rtl/>
        </w:rPr>
        <w:t xml:space="preserve"> </w:t>
      </w:r>
      <w:r w:rsidRPr="00190D99">
        <w:rPr>
          <w:rFonts w:hint="cs"/>
          <w:rtl/>
        </w:rPr>
        <w:t>אשר לעבירות קשירת הקשר, הנאשם קשר עם אחרים קשר להחזיק כלי נשק שונים וכי במועד מסוים קשר עם אחר לבצע עסקה אחרת בנשק באמצעות הודעות "ווטסאפ". במקרה זה לא היה כל פירוט לגבי סוג והיקף הנשקים, ואף לא לגבי טיב העסקה האחרת, מעמדו וחלקו של הנאשם בה. בנסיבות אלה בית המשפט קבע כי לצד כל אחד מהאישומים הללו ראוי להשית מתחם מתון הנע בין מספר חודשי מאסר בפועל ועד עשרה חודשי מאסר.</w:t>
      </w:r>
    </w:p>
    <w:p w14:paraId="22DACB97" w14:textId="77777777" w:rsidR="00627B9C" w:rsidRPr="00190D99" w:rsidRDefault="00627B9C" w:rsidP="00627B9C">
      <w:pPr>
        <w:pStyle w:val="a9"/>
        <w:ind w:left="862"/>
        <w:rPr>
          <w:sz w:val="12"/>
          <w:szCs w:val="12"/>
          <w:rtl/>
        </w:rPr>
      </w:pPr>
    </w:p>
    <w:p w14:paraId="3EC127A3" w14:textId="77777777" w:rsidR="00627B9C" w:rsidRPr="00190D99" w:rsidRDefault="00627B9C" w:rsidP="00627B9C">
      <w:pPr>
        <w:pStyle w:val="a9"/>
        <w:numPr>
          <w:ilvl w:val="0"/>
          <w:numId w:val="2"/>
        </w:numPr>
        <w:ind w:left="862" w:right="0"/>
        <w:rPr>
          <w:rtl/>
        </w:rPr>
      </w:pPr>
      <w:r w:rsidRPr="00190D99">
        <w:rPr>
          <w:rFonts w:hint="cs"/>
          <w:rtl/>
        </w:rPr>
        <w:t>ב</w:t>
      </w:r>
      <w:hyperlink r:id="rId38" w:history="1">
        <w:r w:rsidR="00285C7F" w:rsidRPr="00190D99">
          <w:rPr>
            <w:color w:val="0000FF"/>
            <w:u w:val="single"/>
            <w:rtl/>
          </w:rPr>
          <w:t>ת"פ (מחוזי חי') 58701-01-20</w:t>
        </w:r>
      </w:hyperlink>
      <w:r w:rsidRPr="00190D99">
        <w:rPr>
          <w:rFonts w:hint="cs"/>
          <w:rtl/>
        </w:rPr>
        <w:t xml:space="preserve"> </w:t>
      </w:r>
      <w:r w:rsidRPr="00190D99">
        <w:rPr>
          <w:rFonts w:hint="cs"/>
          <w:b/>
          <w:bCs/>
          <w:rtl/>
        </w:rPr>
        <w:t>מדינת ישראל נ' פאדי דרויש</w:t>
      </w:r>
      <w:r w:rsidRPr="00190D99">
        <w:rPr>
          <w:rFonts w:hint="cs"/>
          <w:rtl/>
        </w:rPr>
        <w:t xml:space="preserve"> (17.09.2020)‏‏, הנאשמים הורשעו, לאחר ניהול הוכחות, בעבירה של קשירת קשר לפשע (סחר בנשק). </w:t>
      </w:r>
      <w:r w:rsidRPr="00190D99">
        <w:rPr>
          <w:rFonts w:hint="cs"/>
          <w:color w:val="000000"/>
          <w:shd w:val="clear" w:color="auto" w:fill="FFFFFF"/>
          <w:rtl/>
        </w:rPr>
        <w:t>בנוסף, הורשע נאשם 2 גם בעבירה של</w:t>
      </w:r>
      <w:r w:rsidR="00285C7F" w:rsidRPr="00190D99">
        <w:rPr>
          <w:rFonts w:hint="cs"/>
          <w:color w:val="000000"/>
          <w:shd w:val="clear" w:color="auto" w:fill="FFFFFF"/>
          <w:rtl/>
        </w:rPr>
        <w:t xml:space="preserve"> </w:t>
      </w:r>
      <w:r w:rsidRPr="00190D99">
        <w:rPr>
          <w:rFonts w:hint="cs"/>
          <w:color w:val="000000"/>
          <w:shd w:val="clear" w:color="auto" w:fill="FFFFFF"/>
          <w:rtl/>
        </w:rPr>
        <w:t>החזקת נשק</w:t>
      </w:r>
      <w:r w:rsidRPr="00190D99">
        <w:rPr>
          <w:rFonts w:hint="cs"/>
          <w:rtl/>
        </w:rPr>
        <w:t>. בית המשפט קבע כי העונש ההולם את העבירה של קשירת קשר לסחר בנשק נע בין 6 ל- 15 חודשי מאסר בפועל והשית על הנאשם 1 מאסר בפועל של 9 חודשים. על הנאשם 2, צעיר, בעל קשיים כלכליים ואשר מעולם לא ריצה עונש מאסר, הושת עונש מאסר בפועל של 58 ימים.</w:t>
      </w:r>
    </w:p>
    <w:p w14:paraId="131A7282" w14:textId="77777777" w:rsidR="00627B9C" w:rsidRPr="00190D99" w:rsidRDefault="00627B9C" w:rsidP="00627B9C">
      <w:pPr>
        <w:pStyle w:val="a9"/>
        <w:ind w:left="862"/>
        <w:rPr>
          <w:sz w:val="12"/>
          <w:szCs w:val="12"/>
          <w:rtl/>
        </w:rPr>
      </w:pPr>
    </w:p>
    <w:p w14:paraId="78A793FB" w14:textId="77777777" w:rsidR="00627B9C" w:rsidRPr="00190D99" w:rsidRDefault="00285C7F" w:rsidP="00627B9C">
      <w:pPr>
        <w:pStyle w:val="a9"/>
        <w:numPr>
          <w:ilvl w:val="0"/>
          <w:numId w:val="1"/>
        </w:numPr>
        <w:ind w:left="283" w:right="0" w:hanging="283"/>
      </w:pPr>
      <w:r w:rsidRPr="00190D99">
        <w:t xml:space="preserve"> </w:t>
      </w:r>
      <w:r w:rsidR="00627B9C" w:rsidRPr="00190D99">
        <w:rPr>
          <w:rFonts w:hint="cs"/>
          <w:rtl/>
        </w:rPr>
        <w:t>אשר לנסיבות הקשורות בביצוע העבירה</w:t>
      </w:r>
      <w:r w:rsidRPr="00190D99">
        <w:rPr>
          <w:rFonts w:hint="cs"/>
          <w:b/>
          <w:bCs/>
          <w:rtl/>
        </w:rPr>
        <w:t xml:space="preserve"> </w:t>
      </w:r>
      <w:r w:rsidR="00627B9C" w:rsidRPr="00190D99">
        <w:rPr>
          <w:rFonts w:hint="cs"/>
          <w:rtl/>
        </w:rPr>
        <w:t>(סעיף</w:t>
      </w:r>
      <w:r w:rsidRPr="00190D99">
        <w:rPr>
          <w:rFonts w:hint="cs"/>
          <w:rtl/>
        </w:rPr>
        <w:t xml:space="preserve"> </w:t>
      </w:r>
      <w:hyperlink w:history="1">
        <w:r w:rsidR="00627B9C" w:rsidRPr="00190D99">
          <w:rPr>
            <w:rStyle w:val="Hyperlink"/>
            <w:color w:val="000000"/>
            <w:u w:val="none"/>
          </w:rPr>
          <w:t xml:space="preserve">40 </w:t>
        </w:r>
        <w:r w:rsidR="00627B9C" w:rsidRPr="00190D99">
          <w:rPr>
            <w:rStyle w:val="Hyperlink"/>
            <w:rFonts w:hint="cs"/>
            <w:color w:val="000000"/>
            <w:u w:val="none"/>
            <w:rtl/>
          </w:rPr>
          <w:t>ט</w:t>
        </w:r>
        <w:r w:rsidR="00627B9C" w:rsidRPr="00190D99">
          <w:rPr>
            <w:rStyle w:val="Hyperlink"/>
            <w:color w:val="000000"/>
            <w:u w:val="none"/>
          </w:rPr>
          <w:t>'</w:t>
        </w:r>
      </w:hyperlink>
      <w:r w:rsidR="00627B9C" w:rsidRPr="00190D99">
        <w:rPr>
          <w:rFonts w:hint="cs"/>
          <w:rtl/>
        </w:rPr>
        <w:t xml:space="preserve"> לחוק), יש לתת את הדעת לשיקולים הבאים: מחד גיסא, שקלתי כי העונש המרבי שנקצב בצד העבירה עומד על 7 שנות מאסר וכי על אף שלא הוכחה עסקת נשק או ניסיון לסחר בנשק ולא התרחשה פגיעה פיזית באנשים, יש להביא בחשבון את הנזק הפוטנציאלי אשר טמון בעצם קשירת קשר לביצוע עבירה חמורה כסחר בנשק</w:t>
      </w:r>
      <w:r w:rsidR="00627B9C" w:rsidRPr="00190D99">
        <w:t>.</w:t>
      </w:r>
      <w:r w:rsidR="00627B9C" w:rsidRPr="00190D99">
        <w:rPr>
          <w:rtl/>
        </w:rPr>
        <w:t xml:space="preserve"> </w:t>
      </w:r>
      <w:r w:rsidR="00627B9C" w:rsidRPr="00190D99">
        <w:rPr>
          <w:rFonts w:hint="cs"/>
          <w:rtl/>
        </w:rPr>
        <w:t>עוד יש להתחשב בכך שמדובר בשתי עבירות שבוצעו בסמיכות זמנים. מדובר בנשקים במדרג חומרה גבוה יחסית ובעלי פוטנציאל לגרימת נזק חמור, אשר בכוחם להמית אדם. במובנים אלה פוטנציאל הנזק של מעשי הנאשמים הוא משמעותי ויש לתת לכך את הדעת. מאידך גיסא, בסופו של יום הפוטנציאל לא מומש והנאשמים לא הגיעו לשלב הביצוע ולא החזיקו בנשקים. כמו כן יש ליתן משקל למעורבותם של כל אחד מהנאשמים בביצוע העבירות. נאשם 1 הוא הדומיננטי מבין שני הנאשמים, הוא היוזם, הוא בודק את האפשרות למכור נשקים בשני האישומים, בעוד שנאשם 2 מברר את אפשרות לקנות נשק באישום הראשון ומעיר אשר למחיר הנשק שהציע נאשם 1 באישום השני, ואינו מגיב להצעותיו לתווך בעסקת נשק.</w:t>
      </w:r>
    </w:p>
    <w:p w14:paraId="4FE4EB36" w14:textId="77777777" w:rsidR="00627B9C" w:rsidRPr="00190D99" w:rsidRDefault="00627B9C" w:rsidP="00627B9C">
      <w:pPr>
        <w:pStyle w:val="a9"/>
        <w:ind w:left="283" w:right="502"/>
      </w:pPr>
    </w:p>
    <w:p w14:paraId="1C20472B" w14:textId="77777777" w:rsidR="00627B9C" w:rsidRPr="00190D99" w:rsidRDefault="00627B9C" w:rsidP="00627B9C">
      <w:pPr>
        <w:pStyle w:val="a9"/>
        <w:numPr>
          <w:ilvl w:val="0"/>
          <w:numId w:val="1"/>
        </w:numPr>
        <w:ind w:left="283" w:right="0" w:hanging="283"/>
      </w:pPr>
      <w:r w:rsidRPr="00190D99">
        <w:rPr>
          <w:rFonts w:hint="cs"/>
          <w:rtl/>
        </w:rPr>
        <w:t xml:space="preserve">יוער, כי העובדה שהנאשמים זוכו מהעבירות המיוחסות להם בכתב האישום, מקבלת ביטוי בעת קביעת מתחם העונש ההולם, לאור נסיבות ביצוע העבירה, והעבירות בהן הורשעו הנאשמים, ולא מכח הוראת סעיף </w:t>
      </w:r>
      <w:hyperlink r:id="rId39" w:history="1">
        <w:r w:rsidR="00190D99" w:rsidRPr="00190D99">
          <w:rPr>
            <w:rStyle w:val="Hyperlink"/>
            <w:rtl/>
          </w:rPr>
          <w:t>12 יב'</w:t>
        </w:r>
      </w:hyperlink>
      <w:r w:rsidRPr="00190D99">
        <w:rPr>
          <w:rFonts w:hint="cs"/>
          <w:rtl/>
        </w:rPr>
        <w:t xml:space="preserve"> לחוק.</w:t>
      </w:r>
    </w:p>
    <w:p w14:paraId="1D56FA37" w14:textId="77777777" w:rsidR="00627B9C" w:rsidRPr="00190D99" w:rsidRDefault="00627B9C" w:rsidP="00627B9C">
      <w:pPr>
        <w:pStyle w:val="a9"/>
        <w:ind w:left="502"/>
        <w:rPr>
          <w:sz w:val="12"/>
          <w:szCs w:val="12"/>
        </w:rPr>
      </w:pPr>
    </w:p>
    <w:p w14:paraId="2CC9CF4C" w14:textId="77777777" w:rsidR="00627B9C" w:rsidRPr="00190D99" w:rsidRDefault="00627B9C" w:rsidP="00627B9C">
      <w:pPr>
        <w:pStyle w:val="a9"/>
        <w:numPr>
          <w:ilvl w:val="0"/>
          <w:numId w:val="1"/>
        </w:numPr>
        <w:ind w:left="283" w:right="0" w:hanging="283"/>
        <w:rPr>
          <w:rtl/>
        </w:rPr>
      </w:pPr>
      <w:r w:rsidRPr="00190D99">
        <w:rPr>
          <w:rFonts w:hint="cs"/>
          <w:rtl/>
        </w:rPr>
        <w:t>לאחר שבחנתי את הערכים המוגנים שנפגעו כתוצאה מביצוע העבירות על ידי הנאשמים, את נסיבות ביצוען, וכן נתתי דעתי למדיניות הענישה הנהוגה, ולמגמת ההחמרה בענישה בעבירות בנשק מהעת האחרונה, כאמור, הגעתי לכלל מסקנה כי מתחם העונש ההולם בתיק זה בעניינו של נאשם 1 נע בין 10 ל-20 חודשי מאסר בעוד שבעניינו של נאשם 2 נע מתחם העונש ההולם בין 6 חודשי מאסר ועד 12 חודשי מאסר.</w:t>
      </w:r>
    </w:p>
    <w:p w14:paraId="55225CBE" w14:textId="77777777" w:rsidR="00627B9C" w:rsidRPr="00190D99" w:rsidRDefault="00627B9C" w:rsidP="00627B9C">
      <w:pPr>
        <w:spacing w:line="360" w:lineRule="auto"/>
        <w:jc w:val="both"/>
        <w:rPr>
          <w:rFonts w:ascii="David" w:hAnsi="David"/>
          <w:b/>
          <w:bCs/>
          <w:u w:val="single"/>
          <w:rtl/>
        </w:rPr>
      </w:pPr>
    </w:p>
    <w:p w14:paraId="224CBF77" w14:textId="77777777" w:rsidR="00627B9C" w:rsidRPr="00190D99" w:rsidRDefault="00627B9C" w:rsidP="00627B9C">
      <w:pPr>
        <w:spacing w:line="360" w:lineRule="auto"/>
        <w:jc w:val="both"/>
        <w:rPr>
          <w:rFonts w:ascii="David" w:hAnsi="David"/>
          <w:u w:val="single"/>
          <w:rtl/>
        </w:rPr>
      </w:pPr>
      <w:r w:rsidRPr="00190D99">
        <w:rPr>
          <w:rFonts w:ascii="David" w:hAnsi="David"/>
          <w:b/>
          <w:bCs/>
          <w:u w:val="single"/>
          <w:rtl/>
        </w:rPr>
        <w:t>העונש המתאים</w:t>
      </w:r>
    </w:p>
    <w:p w14:paraId="7559F4EB" w14:textId="77777777" w:rsidR="00627B9C" w:rsidRPr="00190D99" w:rsidRDefault="00627B9C" w:rsidP="00627B9C">
      <w:pPr>
        <w:spacing w:line="360" w:lineRule="auto"/>
        <w:ind w:hanging="142"/>
        <w:jc w:val="both"/>
        <w:rPr>
          <w:rFonts w:ascii="David" w:hAnsi="David"/>
          <w:sz w:val="14"/>
          <w:szCs w:val="14"/>
          <w:u w:val="single"/>
        </w:rPr>
      </w:pPr>
    </w:p>
    <w:p w14:paraId="1715E086" w14:textId="77777777" w:rsidR="00627B9C" w:rsidRPr="00190D99" w:rsidRDefault="00627B9C" w:rsidP="00627B9C">
      <w:pPr>
        <w:pStyle w:val="a9"/>
        <w:numPr>
          <w:ilvl w:val="0"/>
          <w:numId w:val="1"/>
        </w:numPr>
        <w:ind w:left="283" w:right="0" w:hanging="283"/>
      </w:pPr>
      <w:r w:rsidRPr="00190D99">
        <w:rPr>
          <w:rtl/>
        </w:rPr>
        <w:t xml:space="preserve">בגזירת העונש המתאים לנאשם, בגדרי מתחם העונש ההולם, יש להתחשב בנסיבות שאינן קשורות בביצוע העבירה (סעיף </w:t>
      </w:r>
      <w:hyperlink w:history="1">
        <w:r w:rsidRPr="00190D99">
          <w:rPr>
            <w:color w:val="000000"/>
            <w:rtl/>
          </w:rPr>
          <w:t>40 יא'</w:t>
        </w:r>
      </w:hyperlink>
      <w:r w:rsidRPr="00190D99">
        <w:rPr>
          <w:rtl/>
        </w:rPr>
        <w:t xml:space="preserve"> ל</w:t>
      </w:r>
      <w:hyperlink r:id="rId40" w:history="1">
        <w:r w:rsidR="00285C7F" w:rsidRPr="00190D99">
          <w:rPr>
            <w:color w:val="0000FF"/>
            <w:u w:val="single"/>
            <w:rtl/>
          </w:rPr>
          <w:t>חוק העונשין</w:t>
        </w:r>
      </w:hyperlink>
      <w:r w:rsidRPr="00190D99">
        <w:rPr>
          <w:rtl/>
        </w:rPr>
        <w:t>). במסגרת זו מן הראוי לתת את הדעת לנסיבות הבאות</w:t>
      </w:r>
      <w:r w:rsidRPr="00190D99">
        <w:rPr>
          <w:rFonts w:hint="cs"/>
          <w:rtl/>
        </w:rPr>
        <w:t xml:space="preserve"> </w:t>
      </w:r>
    </w:p>
    <w:p w14:paraId="3D531F9D" w14:textId="77777777" w:rsidR="00627B9C" w:rsidRPr="00190D99" w:rsidRDefault="00627B9C" w:rsidP="00627B9C">
      <w:pPr>
        <w:pStyle w:val="a9"/>
        <w:ind w:left="283"/>
      </w:pPr>
      <w:r w:rsidRPr="00190D99">
        <w:rPr>
          <w:rFonts w:hint="cs"/>
          <w:rtl/>
        </w:rPr>
        <w:t>אשר לנאשם 1</w:t>
      </w:r>
      <w:r w:rsidRPr="00190D99">
        <w:rPr>
          <w:rtl/>
        </w:rPr>
        <w:t>:</w:t>
      </w:r>
    </w:p>
    <w:p w14:paraId="38F0A6F2" w14:textId="77777777" w:rsidR="00627B9C" w:rsidRPr="00190D99" w:rsidRDefault="00627B9C" w:rsidP="00627B9C">
      <w:pPr>
        <w:pStyle w:val="a9"/>
        <w:rPr>
          <w:sz w:val="12"/>
          <w:szCs w:val="12"/>
          <w:rtl/>
        </w:rPr>
      </w:pPr>
    </w:p>
    <w:p w14:paraId="034174C0" w14:textId="77777777" w:rsidR="00627B9C" w:rsidRPr="00190D99" w:rsidRDefault="00627B9C" w:rsidP="00627B9C">
      <w:pPr>
        <w:pStyle w:val="a9"/>
        <w:numPr>
          <w:ilvl w:val="1"/>
          <w:numId w:val="4"/>
        </w:numPr>
        <w:spacing w:after="0"/>
        <w:rPr>
          <w:sz w:val="12"/>
          <w:szCs w:val="12"/>
        </w:rPr>
      </w:pPr>
      <w:r w:rsidRPr="00190D99">
        <w:rPr>
          <w:rtl/>
        </w:rPr>
        <w:t xml:space="preserve">הפגיעה של העונש בנאשם, לרבות בשל גילו- </w:t>
      </w:r>
      <w:r w:rsidRPr="00190D99">
        <w:rPr>
          <w:rFonts w:hint="cs"/>
          <w:rtl/>
        </w:rPr>
        <w:t>ה</w:t>
      </w:r>
      <w:r w:rsidRPr="00190D99">
        <w:rPr>
          <w:rtl/>
        </w:rPr>
        <w:t>נאשם בן</w:t>
      </w:r>
      <w:r w:rsidRPr="00190D99">
        <w:rPr>
          <w:rFonts w:hint="cs"/>
          <w:rtl/>
        </w:rPr>
        <w:t xml:space="preserve">  25 רווק המתגורר בבית הוריו ועבד בעבודה מסודרת טרם מעצרו</w:t>
      </w:r>
      <w:r w:rsidRPr="00190D99">
        <w:rPr>
          <w:rtl/>
        </w:rPr>
        <w:t xml:space="preserve">. הנאשם שוהה במעצר מזה </w:t>
      </w:r>
      <w:r w:rsidRPr="00190D99">
        <w:rPr>
          <w:rFonts w:hint="cs"/>
          <w:rtl/>
        </w:rPr>
        <w:t>שישה</w:t>
      </w:r>
      <w:r w:rsidRPr="00190D99">
        <w:rPr>
          <w:rtl/>
        </w:rPr>
        <w:t xml:space="preserve"> חודשים, וזהו מאסרו הראשון. </w:t>
      </w:r>
    </w:p>
    <w:p w14:paraId="01288D45" w14:textId="77777777" w:rsidR="00627B9C" w:rsidRPr="00190D99" w:rsidRDefault="00627B9C" w:rsidP="00627B9C">
      <w:pPr>
        <w:pStyle w:val="a9"/>
        <w:spacing w:after="0"/>
        <w:ind w:left="1080"/>
        <w:rPr>
          <w:sz w:val="12"/>
          <w:szCs w:val="12"/>
        </w:rPr>
      </w:pPr>
    </w:p>
    <w:p w14:paraId="0BC0474B" w14:textId="77777777" w:rsidR="00627B9C" w:rsidRPr="00190D99" w:rsidRDefault="00627B9C" w:rsidP="00627B9C">
      <w:pPr>
        <w:pStyle w:val="a9"/>
        <w:numPr>
          <w:ilvl w:val="1"/>
          <w:numId w:val="4"/>
        </w:numPr>
        <w:spacing w:after="0"/>
      </w:pPr>
      <w:r w:rsidRPr="00190D99">
        <w:rPr>
          <w:rFonts w:hint="cs"/>
          <w:rtl/>
        </w:rPr>
        <w:t>אומנם הנאשם כפר באישומים המיוחסים לו, אך ניהל את התיק באופן ענייני וממוקד, ובכך חסך זמן שיפוטי משמעותי, ובסופו של דבר זוכה מהעבירות החמורות שייחסו לו.  עם זאת, הנאשם לא לקח אחריות למעשיו ולא הביע חרטה עליהם.</w:t>
      </w:r>
    </w:p>
    <w:p w14:paraId="6A7BCDB2" w14:textId="77777777" w:rsidR="00627B9C" w:rsidRPr="00190D99" w:rsidRDefault="00627B9C" w:rsidP="00627B9C">
      <w:pPr>
        <w:pStyle w:val="a9"/>
        <w:ind w:left="1080"/>
        <w:rPr>
          <w:sz w:val="12"/>
          <w:szCs w:val="12"/>
        </w:rPr>
      </w:pPr>
    </w:p>
    <w:p w14:paraId="2A8F215B" w14:textId="77777777" w:rsidR="00627B9C" w:rsidRPr="00190D99" w:rsidRDefault="00627B9C" w:rsidP="00627B9C">
      <w:pPr>
        <w:pStyle w:val="a9"/>
        <w:numPr>
          <w:ilvl w:val="1"/>
          <w:numId w:val="4"/>
        </w:numPr>
        <w:spacing w:after="0"/>
      </w:pPr>
      <w:r w:rsidRPr="00190D99">
        <w:rPr>
          <w:rtl/>
        </w:rPr>
        <w:t>עברו הפלילי של הנאשם או העדרו- הנאשם נעדר עבר פלילי, אין דפוסי התנהגות עבריינים, הוא עבד לפרנסתו</w:t>
      </w:r>
      <w:r w:rsidRPr="00190D99">
        <w:rPr>
          <w:rFonts w:hint="cs"/>
          <w:rtl/>
        </w:rPr>
        <w:t>, ומאחר שלא התבקש תסקיר שירות מבחן, אין אופק שיקומי טיפולי בעניינו</w:t>
      </w:r>
      <w:r w:rsidRPr="00190D99">
        <w:rPr>
          <w:rtl/>
        </w:rPr>
        <w:t>.</w:t>
      </w:r>
    </w:p>
    <w:p w14:paraId="4FFF5721" w14:textId="77777777" w:rsidR="00627B9C" w:rsidRPr="00190D99" w:rsidRDefault="00627B9C" w:rsidP="00627B9C">
      <w:pPr>
        <w:pStyle w:val="a9"/>
        <w:rPr>
          <w:rtl/>
        </w:rPr>
      </w:pPr>
    </w:p>
    <w:p w14:paraId="11BE7A3D" w14:textId="77777777" w:rsidR="00627B9C" w:rsidRPr="00190D99" w:rsidRDefault="00627B9C" w:rsidP="00627B9C">
      <w:pPr>
        <w:pStyle w:val="a9"/>
        <w:ind w:left="283"/>
      </w:pPr>
      <w:r w:rsidRPr="00190D99">
        <w:rPr>
          <w:rFonts w:hint="cs"/>
          <w:rtl/>
        </w:rPr>
        <w:t>אשר לנאשם 2</w:t>
      </w:r>
      <w:r w:rsidRPr="00190D99">
        <w:rPr>
          <w:rtl/>
        </w:rPr>
        <w:t>:</w:t>
      </w:r>
    </w:p>
    <w:p w14:paraId="53642331" w14:textId="77777777" w:rsidR="00627B9C" w:rsidRPr="00190D99" w:rsidRDefault="00627B9C" w:rsidP="00627B9C">
      <w:pPr>
        <w:pStyle w:val="a9"/>
        <w:rPr>
          <w:sz w:val="12"/>
          <w:szCs w:val="12"/>
          <w:rtl/>
        </w:rPr>
      </w:pPr>
    </w:p>
    <w:p w14:paraId="43A6EF02" w14:textId="77777777" w:rsidR="00627B9C" w:rsidRPr="00190D99" w:rsidRDefault="00627B9C" w:rsidP="00627B9C">
      <w:pPr>
        <w:pStyle w:val="a9"/>
        <w:numPr>
          <w:ilvl w:val="1"/>
          <w:numId w:val="4"/>
        </w:numPr>
        <w:spacing w:after="0"/>
        <w:rPr>
          <w:sz w:val="12"/>
          <w:szCs w:val="12"/>
        </w:rPr>
      </w:pPr>
      <w:r w:rsidRPr="00190D99">
        <w:rPr>
          <w:rtl/>
        </w:rPr>
        <w:t xml:space="preserve">הפגיעה של העונש בנאשם, לרבות בשל גילו- </w:t>
      </w:r>
      <w:r w:rsidRPr="00190D99">
        <w:rPr>
          <w:rFonts w:hint="cs"/>
          <w:rtl/>
        </w:rPr>
        <w:t>ה</w:t>
      </w:r>
      <w:r w:rsidRPr="00190D99">
        <w:rPr>
          <w:rtl/>
        </w:rPr>
        <w:t>נאשם בן</w:t>
      </w:r>
      <w:r w:rsidRPr="00190D99">
        <w:rPr>
          <w:rFonts w:hint="cs"/>
          <w:rtl/>
        </w:rPr>
        <w:t xml:space="preserve">  38 </w:t>
      </w:r>
      <w:r w:rsidRPr="00190D99">
        <w:rPr>
          <w:rtl/>
        </w:rPr>
        <w:t>נסיבות חייו</w:t>
      </w:r>
      <w:r w:rsidRPr="00190D99">
        <w:rPr>
          <w:rFonts w:hint="cs"/>
          <w:rtl/>
        </w:rPr>
        <w:t xml:space="preserve"> אינן פשוטות</w:t>
      </w:r>
      <w:r w:rsidRPr="00190D99">
        <w:rPr>
          <w:rtl/>
        </w:rPr>
        <w:t xml:space="preserve">. </w:t>
      </w:r>
      <w:r w:rsidRPr="00190D99">
        <w:rPr>
          <w:rFonts w:hint="cs"/>
          <w:rtl/>
        </w:rPr>
        <w:t>הוא נשוי ואב לשלושה ילדים, המתפרנס מהבטחת הכנסה, מאחר שאינו מצליח להשתלב בשוק העבודה.</w:t>
      </w:r>
      <w:r w:rsidRPr="00190D99">
        <w:rPr>
          <w:rtl/>
        </w:rPr>
        <w:t xml:space="preserve"> הנאשם שוהה במעצר מזה </w:t>
      </w:r>
      <w:r w:rsidRPr="00190D99">
        <w:rPr>
          <w:rFonts w:hint="cs"/>
          <w:rtl/>
        </w:rPr>
        <w:t>שישה</w:t>
      </w:r>
      <w:r w:rsidRPr="00190D99">
        <w:rPr>
          <w:rtl/>
        </w:rPr>
        <w:t xml:space="preserve"> חודשים, </w:t>
      </w:r>
      <w:r w:rsidRPr="00190D99">
        <w:rPr>
          <w:rFonts w:hint="cs"/>
          <w:rtl/>
        </w:rPr>
        <w:t>וידוע כי תנאי מעצר קשים מתנאי מעצר</w:t>
      </w:r>
      <w:r w:rsidRPr="00190D99">
        <w:rPr>
          <w:rtl/>
        </w:rPr>
        <w:t xml:space="preserve">. </w:t>
      </w:r>
    </w:p>
    <w:p w14:paraId="762C0241" w14:textId="77777777" w:rsidR="00627B9C" w:rsidRPr="00190D99" w:rsidRDefault="00627B9C" w:rsidP="00627B9C">
      <w:pPr>
        <w:pStyle w:val="a9"/>
        <w:spacing w:after="0"/>
        <w:ind w:left="1080"/>
        <w:rPr>
          <w:sz w:val="12"/>
          <w:szCs w:val="12"/>
        </w:rPr>
      </w:pPr>
    </w:p>
    <w:p w14:paraId="115F7259" w14:textId="77777777" w:rsidR="00627B9C" w:rsidRPr="00190D99" w:rsidRDefault="00627B9C" w:rsidP="00627B9C">
      <w:pPr>
        <w:pStyle w:val="a9"/>
        <w:numPr>
          <w:ilvl w:val="1"/>
          <w:numId w:val="4"/>
        </w:numPr>
        <w:spacing w:after="0"/>
      </w:pPr>
      <w:r w:rsidRPr="00190D99">
        <w:rPr>
          <w:rFonts w:hint="cs"/>
          <w:rtl/>
        </w:rPr>
        <w:t>אומנם הנאשם כפר באישומים המיוחסים לו, אך ניהל את התיק באופן ענייני וממוקד, ובכך חסך זמן שיפוטי משמעותי, ובסופו של דבר זוכה מהעבירה החמורה שייחסו לו. יחד עם זאת, הנאשם לא לקח אחריות למעשיו ולא הביע חרטה עליהם.</w:t>
      </w:r>
    </w:p>
    <w:p w14:paraId="15B28831" w14:textId="77777777" w:rsidR="00627B9C" w:rsidRPr="00190D99" w:rsidRDefault="00627B9C" w:rsidP="00627B9C">
      <w:pPr>
        <w:pStyle w:val="a9"/>
        <w:ind w:left="1080"/>
        <w:rPr>
          <w:sz w:val="12"/>
          <w:szCs w:val="12"/>
        </w:rPr>
      </w:pPr>
    </w:p>
    <w:p w14:paraId="7D1F7AB1" w14:textId="77777777" w:rsidR="00627B9C" w:rsidRPr="00190D99" w:rsidRDefault="00627B9C" w:rsidP="00627B9C">
      <w:pPr>
        <w:pStyle w:val="a9"/>
        <w:numPr>
          <w:ilvl w:val="1"/>
          <w:numId w:val="4"/>
        </w:numPr>
        <w:spacing w:after="0"/>
      </w:pPr>
      <w:r w:rsidRPr="00190D99">
        <w:rPr>
          <w:rtl/>
        </w:rPr>
        <w:t xml:space="preserve">עברו הפלילי של הנאשם או העדרו- </w:t>
      </w:r>
      <w:r w:rsidRPr="00190D99">
        <w:rPr>
          <w:rFonts w:hint="cs"/>
          <w:rtl/>
        </w:rPr>
        <w:t>לנאשם עבר פלילי משמעותי, ואף מאסר על תנאי תלוי ועומד כנגדו, אולם אין מדובר בעבירות בתחום הנשק</w:t>
      </w:r>
      <w:r w:rsidRPr="00190D99">
        <w:rPr>
          <w:rtl/>
        </w:rPr>
        <w:t xml:space="preserve">. </w:t>
      </w:r>
      <w:r w:rsidRPr="00190D99">
        <w:rPr>
          <w:rFonts w:hint="cs"/>
          <w:rtl/>
        </w:rPr>
        <w:t>מאחר שלא התבקש תסקיר שירות מבחן, אין אופק שיקומי טיפולי בעניינו</w:t>
      </w:r>
      <w:r w:rsidRPr="00190D99">
        <w:rPr>
          <w:rtl/>
        </w:rPr>
        <w:t>.</w:t>
      </w:r>
    </w:p>
    <w:p w14:paraId="3BB2CFAA" w14:textId="77777777" w:rsidR="00627B9C" w:rsidRPr="00190D99" w:rsidRDefault="00627B9C" w:rsidP="00627B9C">
      <w:pPr>
        <w:pStyle w:val="a9"/>
        <w:spacing w:after="0"/>
        <w:ind w:left="1080"/>
        <w:rPr>
          <w:sz w:val="12"/>
          <w:szCs w:val="12"/>
        </w:rPr>
      </w:pPr>
    </w:p>
    <w:p w14:paraId="55D56DDF" w14:textId="77777777" w:rsidR="00627B9C" w:rsidRPr="00190D99" w:rsidRDefault="00627B9C" w:rsidP="00627B9C">
      <w:pPr>
        <w:pStyle w:val="a9"/>
        <w:numPr>
          <w:ilvl w:val="0"/>
          <w:numId w:val="1"/>
        </w:numPr>
        <w:spacing w:after="0"/>
        <w:ind w:left="283" w:right="0" w:hanging="283"/>
      </w:pPr>
      <w:r w:rsidRPr="00190D99">
        <w:rPr>
          <w:rtl/>
        </w:rPr>
        <w:t xml:space="preserve">עוד יש לתת </w:t>
      </w:r>
      <w:r w:rsidRPr="00190D99">
        <w:rPr>
          <w:rFonts w:hint="cs"/>
          <w:rtl/>
        </w:rPr>
        <w:t>משקל</w:t>
      </w:r>
      <w:r w:rsidRPr="00190D99">
        <w:rPr>
          <w:rtl/>
        </w:rPr>
        <w:t xml:space="preserve"> לשיקולי הרתעת הרבים, כפי שהדגיש כב' השופט א' שוהם ב</w:t>
      </w:r>
      <w:hyperlink w:history="1">
        <w:r w:rsidRPr="00190D99">
          <w:rPr>
            <w:rStyle w:val="Hyperlink"/>
            <w:color w:val="000000"/>
            <w:u w:val="none"/>
            <w:rtl/>
          </w:rPr>
          <w:t>ע"פ 7502/12</w:t>
        </w:r>
      </w:hyperlink>
      <w:r w:rsidRPr="00190D99">
        <w:rPr>
          <w:rtl/>
        </w:rPr>
        <w:t xml:space="preserve"> עת חזר על ההלכה שנקבעה ב</w:t>
      </w:r>
      <w:hyperlink w:history="1">
        <w:r w:rsidRPr="00190D99">
          <w:rPr>
            <w:rStyle w:val="Hyperlink"/>
            <w:color w:val="000000"/>
            <w:u w:val="none"/>
            <w:rtl/>
          </w:rPr>
          <w:t>רע"פ 2718/04</w:t>
        </w:r>
      </w:hyperlink>
      <w:r w:rsidRPr="00190D99">
        <w:rPr>
          <w:rtl/>
        </w:rPr>
        <w:t xml:space="preserve"> </w:t>
      </w:r>
      <w:r w:rsidRPr="00190D99">
        <w:rPr>
          <w:rFonts w:hint="cs"/>
          <w:b/>
          <w:bCs/>
          <w:rtl/>
        </w:rPr>
        <w:t>אבו דאחל נ'</w:t>
      </w:r>
      <w:r w:rsidRPr="00190D99">
        <w:rPr>
          <w:rFonts w:hint="cs"/>
          <w:rtl/>
        </w:rPr>
        <w:t xml:space="preserve"> </w:t>
      </w:r>
      <w:r w:rsidRPr="00190D99">
        <w:rPr>
          <w:rFonts w:hint="cs"/>
          <w:b/>
          <w:bCs/>
          <w:rtl/>
        </w:rPr>
        <w:t>מדינת ישראל</w:t>
      </w:r>
      <w:r w:rsidRPr="00190D99">
        <w:rPr>
          <w:rFonts w:hint="cs"/>
          <w:rtl/>
        </w:rPr>
        <w:t xml:space="preserve"> :</w:t>
      </w:r>
    </w:p>
    <w:p w14:paraId="77E4D7EE" w14:textId="77777777" w:rsidR="00627B9C" w:rsidRPr="00190D99" w:rsidRDefault="00627B9C" w:rsidP="00627B9C">
      <w:pPr>
        <w:spacing w:line="360" w:lineRule="auto"/>
        <w:jc w:val="both"/>
        <w:rPr>
          <w:rFonts w:ascii="David" w:hAnsi="David"/>
          <w:sz w:val="12"/>
          <w:szCs w:val="12"/>
        </w:rPr>
      </w:pPr>
    </w:p>
    <w:p w14:paraId="213CB016" w14:textId="77777777" w:rsidR="00627B9C" w:rsidRPr="00190D99" w:rsidRDefault="00627B9C" w:rsidP="00627B9C">
      <w:pPr>
        <w:pStyle w:val="a9"/>
        <w:spacing w:after="0"/>
        <w:ind w:left="1134" w:right="1134"/>
        <w:rPr>
          <w:b/>
          <w:bCs/>
        </w:rPr>
      </w:pPr>
      <w:r w:rsidRPr="00190D99">
        <w:rPr>
          <w:b/>
          <w:bCs/>
          <w:rt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(וראו גם, </w:t>
      </w:r>
      <w:hyperlink w:history="1">
        <w:r w:rsidRPr="00190D99">
          <w:rPr>
            <w:rStyle w:val="Hyperlink"/>
            <w:color w:val="000000"/>
            <w:u w:val="none"/>
            <w:rtl/>
          </w:rPr>
          <w:t>ע"פ 6583/06</w:t>
        </w:r>
      </w:hyperlink>
      <w:r w:rsidRPr="00190D99">
        <w:rPr>
          <w:b/>
          <w:bCs/>
          <w:rtl/>
        </w:rPr>
        <w:t xml:space="preserve"> אדהאם נ' מדינת ישראל (5.12.2006); </w:t>
      </w:r>
      <w:hyperlink w:history="1">
        <w:r w:rsidRPr="00190D99">
          <w:rPr>
            <w:rStyle w:val="Hyperlink"/>
            <w:color w:val="000000"/>
            <w:u w:val="none"/>
            <w:rtl/>
          </w:rPr>
          <w:t>ע"פ 2839/05</w:t>
        </w:r>
      </w:hyperlink>
      <w:r w:rsidRPr="00190D99">
        <w:rPr>
          <w:b/>
          <w:bCs/>
          <w:rtl/>
        </w:rPr>
        <w:t xml:space="preserve"> אל קאדר נ' מדינת ישראל (17.11.2005))."</w:t>
      </w:r>
    </w:p>
    <w:p w14:paraId="303C01C0" w14:textId="77777777" w:rsidR="00627B9C" w:rsidRPr="00190D99" w:rsidRDefault="00627B9C" w:rsidP="00627B9C">
      <w:pPr>
        <w:pStyle w:val="a9"/>
        <w:ind w:left="1134" w:right="1134"/>
        <w:rPr>
          <w:b/>
          <w:bCs/>
          <w:sz w:val="12"/>
          <w:szCs w:val="12"/>
          <w:rtl/>
        </w:rPr>
      </w:pPr>
    </w:p>
    <w:p w14:paraId="091C00B7" w14:textId="77777777" w:rsidR="00627B9C" w:rsidRPr="00190D99" w:rsidRDefault="00627B9C" w:rsidP="00627B9C">
      <w:pPr>
        <w:pStyle w:val="a9"/>
        <w:numPr>
          <w:ilvl w:val="0"/>
          <w:numId w:val="1"/>
        </w:numPr>
        <w:ind w:left="283" w:right="0" w:hanging="283"/>
      </w:pPr>
      <w:r w:rsidRPr="00190D99">
        <w:rPr>
          <w:rtl/>
        </w:rPr>
        <w:t>אשר על כן, לאחר ששקלתי את הנסיבות לקולה ולחומרה, מצאתי להטיל עונש ברף הנמוך של המתחם</w:t>
      </w:r>
      <w:r w:rsidRPr="00190D99">
        <w:rPr>
          <w:rFonts w:hint="cs"/>
          <w:rtl/>
        </w:rPr>
        <w:t xml:space="preserve"> לנאשם 1 </w:t>
      </w:r>
      <w:r w:rsidRPr="00190D99">
        <w:rPr>
          <w:rtl/>
        </w:rPr>
        <w:t xml:space="preserve"> אך לא הנמוך ביותר, בשל שיקולי הרתעת היחיד והרבים,</w:t>
      </w:r>
      <w:r w:rsidRPr="00190D99">
        <w:rPr>
          <w:rFonts w:hint="cs"/>
          <w:rtl/>
        </w:rPr>
        <w:t xml:space="preserve"> ולנאשם 2 עונש ברף האמצעי של המתחם</w:t>
      </w:r>
      <w:r w:rsidRPr="00190D99">
        <w:rPr>
          <w:rtl/>
        </w:rPr>
        <w:t xml:space="preserve"> כדלהלן: </w:t>
      </w:r>
    </w:p>
    <w:p w14:paraId="1254176B" w14:textId="77777777" w:rsidR="00627B9C" w:rsidRPr="00190D99" w:rsidRDefault="00627B9C" w:rsidP="00627B9C">
      <w:pPr>
        <w:numPr>
          <w:ilvl w:val="1"/>
          <w:numId w:val="3"/>
        </w:numPr>
        <w:spacing w:line="360" w:lineRule="auto"/>
        <w:contextualSpacing/>
        <w:jc w:val="both"/>
        <w:rPr>
          <w:rFonts w:ascii="David" w:hAnsi="David"/>
        </w:rPr>
      </w:pPr>
      <w:r w:rsidRPr="00190D99">
        <w:rPr>
          <w:rFonts w:ascii="David" w:hAnsi="David" w:hint="cs"/>
          <w:rtl/>
        </w:rPr>
        <w:t>על נאשם 1- 12</w:t>
      </w:r>
      <w:r w:rsidRPr="00190D99">
        <w:rPr>
          <w:rFonts w:ascii="David" w:hAnsi="David"/>
          <w:rtl/>
        </w:rPr>
        <w:t xml:space="preserve"> חודשי מאסר אשר ירוצו מיום מעצרו </w:t>
      </w:r>
      <w:r w:rsidRPr="00190D99">
        <w:rPr>
          <w:rFonts w:ascii="David" w:hAnsi="David" w:hint="cs"/>
          <w:rtl/>
        </w:rPr>
        <w:t>14.11.21</w:t>
      </w:r>
      <w:r w:rsidRPr="00190D99">
        <w:rPr>
          <w:rFonts w:ascii="David" w:hAnsi="David"/>
          <w:rtl/>
        </w:rPr>
        <w:t>.</w:t>
      </w:r>
    </w:p>
    <w:p w14:paraId="3F131A6B" w14:textId="77777777" w:rsidR="00627B9C" w:rsidRPr="00190D99" w:rsidRDefault="00627B9C" w:rsidP="00627B9C">
      <w:pPr>
        <w:spacing w:line="360" w:lineRule="auto"/>
        <w:ind w:left="1222"/>
        <w:contextualSpacing/>
        <w:jc w:val="both"/>
        <w:rPr>
          <w:rFonts w:ascii="David" w:hAnsi="David"/>
        </w:rPr>
      </w:pPr>
      <w:r w:rsidRPr="00190D99">
        <w:rPr>
          <w:rFonts w:ascii="David" w:hAnsi="David" w:hint="cs"/>
          <w:rtl/>
        </w:rPr>
        <w:t>על נאשם 2- 9 חודשי מאסר אשר ירוצו מיום מעצרו 24.11.21.</w:t>
      </w:r>
    </w:p>
    <w:p w14:paraId="5AE95DB3" w14:textId="77777777" w:rsidR="00627B9C" w:rsidRPr="00190D99" w:rsidRDefault="00627B9C" w:rsidP="00627B9C">
      <w:pPr>
        <w:spacing w:line="360" w:lineRule="auto"/>
        <w:ind w:left="1222"/>
        <w:contextualSpacing/>
        <w:jc w:val="both"/>
        <w:rPr>
          <w:rFonts w:ascii="David" w:hAnsi="David"/>
        </w:rPr>
      </w:pPr>
    </w:p>
    <w:p w14:paraId="45BC8C45" w14:textId="77777777" w:rsidR="00627B9C" w:rsidRPr="00190D99" w:rsidRDefault="00627B9C" w:rsidP="00627B9C">
      <w:pPr>
        <w:numPr>
          <w:ilvl w:val="1"/>
          <w:numId w:val="3"/>
        </w:numPr>
        <w:spacing w:line="360" w:lineRule="auto"/>
        <w:contextualSpacing/>
        <w:jc w:val="both"/>
        <w:rPr>
          <w:rFonts w:ascii="David" w:hAnsi="David"/>
        </w:rPr>
      </w:pPr>
      <w:r w:rsidRPr="00190D99">
        <w:rPr>
          <w:rFonts w:ascii="David" w:hAnsi="David" w:hint="cs"/>
          <w:rtl/>
        </w:rPr>
        <w:t>אני מפעילה את המאסר המותנה של חודש ימים מ</w:t>
      </w:r>
      <w:hyperlink r:id="rId41" w:history="1">
        <w:r w:rsidR="00285C7F" w:rsidRPr="00190D99">
          <w:rPr>
            <w:rFonts w:ascii="David" w:hAnsi="David"/>
            <w:color w:val="0000FF"/>
            <w:u w:val="single"/>
            <w:rtl/>
          </w:rPr>
          <w:t>ת"פ 27006-05-16</w:t>
        </w:r>
      </w:hyperlink>
      <w:r w:rsidRPr="00190D99">
        <w:rPr>
          <w:rFonts w:ascii="David" w:hAnsi="David" w:hint="cs"/>
          <w:rtl/>
        </w:rPr>
        <w:t>, בחופף כך שהנאשם ירצה סך הכל 9 חודשי מאסר מיום מעצרו. החלטתי להטיל את התנאי בחופף, מאחר שעניינו קשירת קשר לעבירת רכוש, אך בשל נוסחו הרחב חל גם בעניינינו.</w:t>
      </w:r>
    </w:p>
    <w:p w14:paraId="6D5E10A6" w14:textId="77777777" w:rsidR="00627B9C" w:rsidRPr="00190D99" w:rsidRDefault="00627B9C" w:rsidP="00627B9C">
      <w:pPr>
        <w:spacing w:line="360" w:lineRule="auto"/>
        <w:ind w:left="1222"/>
        <w:contextualSpacing/>
        <w:jc w:val="both"/>
        <w:rPr>
          <w:rFonts w:ascii="David" w:hAnsi="David"/>
          <w:sz w:val="12"/>
          <w:szCs w:val="12"/>
        </w:rPr>
      </w:pPr>
    </w:p>
    <w:p w14:paraId="4CB1AB7D" w14:textId="77777777" w:rsidR="00627B9C" w:rsidRPr="00190D99" w:rsidRDefault="00627B9C" w:rsidP="00627B9C">
      <w:pPr>
        <w:numPr>
          <w:ilvl w:val="1"/>
          <w:numId w:val="3"/>
        </w:numPr>
        <w:spacing w:line="360" w:lineRule="auto"/>
        <w:contextualSpacing/>
        <w:jc w:val="both"/>
        <w:rPr>
          <w:rFonts w:ascii="David" w:hAnsi="David"/>
        </w:rPr>
      </w:pPr>
      <w:r w:rsidRPr="00190D99">
        <w:rPr>
          <w:rFonts w:ascii="David" w:hAnsi="David"/>
          <w:rtl/>
        </w:rPr>
        <w:t>9 חודשי מאסר, הנאש</w:t>
      </w:r>
      <w:r w:rsidRPr="00190D99">
        <w:rPr>
          <w:rFonts w:ascii="David" w:hAnsi="David" w:hint="cs"/>
          <w:rtl/>
        </w:rPr>
        <w:t>מי</w:t>
      </w:r>
      <w:r w:rsidRPr="00190D99">
        <w:rPr>
          <w:rFonts w:ascii="David" w:hAnsi="David"/>
          <w:rtl/>
        </w:rPr>
        <w:t>ם לא ירצ</w:t>
      </w:r>
      <w:r w:rsidRPr="00190D99">
        <w:rPr>
          <w:rFonts w:ascii="David" w:hAnsi="David" w:hint="cs"/>
          <w:rtl/>
        </w:rPr>
        <w:t>ו</w:t>
      </w:r>
      <w:r w:rsidRPr="00190D99">
        <w:rPr>
          <w:rFonts w:ascii="David" w:hAnsi="David"/>
          <w:rtl/>
        </w:rPr>
        <w:t xml:space="preserve"> עונש זה אלא אם יעבר</w:t>
      </w:r>
      <w:r w:rsidRPr="00190D99">
        <w:rPr>
          <w:rFonts w:ascii="David" w:hAnsi="David" w:hint="cs"/>
          <w:rtl/>
        </w:rPr>
        <w:t>ו</w:t>
      </w:r>
      <w:r w:rsidRPr="00190D99">
        <w:rPr>
          <w:rFonts w:ascii="David" w:hAnsi="David"/>
          <w:rtl/>
        </w:rPr>
        <w:t xml:space="preserve"> בתוך 3 שנים מיום שחרור</w:t>
      </w:r>
      <w:r w:rsidRPr="00190D99">
        <w:rPr>
          <w:rFonts w:ascii="David" w:hAnsi="David" w:hint="cs"/>
          <w:rtl/>
        </w:rPr>
        <w:t>ם</w:t>
      </w:r>
      <w:r w:rsidRPr="00190D99">
        <w:rPr>
          <w:rFonts w:ascii="David" w:hAnsi="David"/>
          <w:rtl/>
        </w:rPr>
        <w:t xml:space="preserve"> על כל עבירת נשק מסוג פשע.</w:t>
      </w:r>
    </w:p>
    <w:p w14:paraId="570CA590" w14:textId="77777777" w:rsidR="00627B9C" w:rsidRPr="00190D99" w:rsidRDefault="00627B9C" w:rsidP="00627B9C">
      <w:pPr>
        <w:spacing w:line="360" w:lineRule="auto"/>
        <w:ind w:left="1222"/>
        <w:contextualSpacing/>
        <w:jc w:val="both"/>
        <w:rPr>
          <w:rFonts w:ascii="David" w:hAnsi="David"/>
          <w:sz w:val="12"/>
          <w:szCs w:val="12"/>
        </w:rPr>
      </w:pPr>
    </w:p>
    <w:p w14:paraId="1B386646" w14:textId="77777777" w:rsidR="00627B9C" w:rsidRPr="00190D99" w:rsidRDefault="00627B9C" w:rsidP="00627B9C">
      <w:pPr>
        <w:numPr>
          <w:ilvl w:val="1"/>
          <w:numId w:val="3"/>
        </w:numPr>
        <w:spacing w:line="360" w:lineRule="auto"/>
        <w:contextualSpacing/>
        <w:jc w:val="both"/>
        <w:rPr>
          <w:rFonts w:ascii="David" w:hAnsi="David"/>
        </w:rPr>
      </w:pPr>
      <w:r w:rsidRPr="00190D99">
        <w:rPr>
          <w:rFonts w:ascii="David" w:hAnsi="David"/>
          <w:rtl/>
        </w:rPr>
        <w:t>4 חודשי מאסר, הנאש</w:t>
      </w:r>
      <w:r w:rsidRPr="00190D99">
        <w:rPr>
          <w:rFonts w:ascii="David" w:hAnsi="David" w:hint="cs"/>
          <w:rtl/>
        </w:rPr>
        <w:t>מי</w:t>
      </w:r>
      <w:r w:rsidRPr="00190D99">
        <w:rPr>
          <w:rFonts w:ascii="David" w:hAnsi="David"/>
          <w:rtl/>
        </w:rPr>
        <w:t>ם לא ירצ</w:t>
      </w:r>
      <w:r w:rsidRPr="00190D99">
        <w:rPr>
          <w:rFonts w:ascii="David" w:hAnsi="David" w:hint="cs"/>
          <w:rtl/>
        </w:rPr>
        <w:t>ו</w:t>
      </w:r>
      <w:r w:rsidRPr="00190D99">
        <w:rPr>
          <w:rFonts w:ascii="David" w:hAnsi="David"/>
          <w:rtl/>
        </w:rPr>
        <w:t xml:space="preserve"> עונש זה אלא אם יעבר</w:t>
      </w:r>
      <w:r w:rsidRPr="00190D99">
        <w:rPr>
          <w:rFonts w:ascii="David" w:hAnsi="David" w:hint="cs"/>
          <w:rtl/>
        </w:rPr>
        <w:t>ו</w:t>
      </w:r>
      <w:r w:rsidRPr="00190D99">
        <w:rPr>
          <w:rFonts w:ascii="David" w:hAnsi="David"/>
          <w:rtl/>
        </w:rPr>
        <w:t xml:space="preserve"> בתוך 3 שנים מיום שחרור</w:t>
      </w:r>
      <w:r w:rsidRPr="00190D99">
        <w:rPr>
          <w:rFonts w:ascii="David" w:hAnsi="David" w:hint="cs"/>
          <w:rtl/>
        </w:rPr>
        <w:t>ם</w:t>
      </w:r>
      <w:r w:rsidRPr="00190D99">
        <w:rPr>
          <w:rFonts w:ascii="David" w:hAnsi="David"/>
          <w:rtl/>
        </w:rPr>
        <w:t xml:space="preserve"> על כל עבירת נשק מסוג עוון.</w:t>
      </w:r>
    </w:p>
    <w:p w14:paraId="5DB8408D" w14:textId="77777777" w:rsidR="00627B9C" w:rsidRPr="00190D99" w:rsidRDefault="00627B9C" w:rsidP="00627B9C">
      <w:pPr>
        <w:spacing w:line="360" w:lineRule="auto"/>
        <w:ind w:left="1222"/>
        <w:contextualSpacing/>
        <w:jc w:val="both"/>
        <w:rPr>
          <w:rFonts w:ascii="David" w:hAnsi="David"/>
          <w:sz w:val="12"/>
          <w:szCs w:val="12"/>
        </w:rPr>
      </w:pPr>
    </w:p>
    <w:p w14:paraId="0091591D" w14:textId="77777777" w:rsidR="00627B9C" w:rsidRPr="00190D99" w:rsidRDefault="00627B9C" w:rsidP="00627B9C">
      <w:pPr>
        <w:numPr>
          <w:ilvl w:val="1"/>
          <w:numId w:val="3"/>
        </w:numPr>
        <w:spacing w:line="360" w:lineRule="auto"/>
        <w:contextualSpacing/>
        <w:jc w:val="both"/>
        <w:rPr>
          <w:rFonts w:ascii="David" w:hAnsi="David"/>
        </w:rPr>
      </w:pPr>
      <w:r w:rsidRPr="00190D99">
        <w:rPr>
          <w:rFonts w:ascii="David" w:hAnsi="David"/>
          <w:rtl/>
        </w:rPr>
        <w:t>נוכח נסיבותי</w:t>
      </w:r>
      <w:r w:rsidRPr="00190D99">
        <w:rPr>
          <w:rFonts w:ascii="David" w:hAnsi="David" w:hint="cs"/>
          <w:rtl/>
        </w:rPr>
        <w:t>הם</w:t>
      </w:r>
      <w:r w:rsidRPr="00190D99">
        <w:rPr>
          <w:rFonts w:ascii="David" w:hAnsi="David"/>
          <w:rtl/>
        </w:rPr>
        <w:t xml:space="preserve"> האישיות ונסיבות ביצוע העבירה לא מצאתי להטיל קנס.</w:t>
      </w:r>
    </w:p>
    <w:p w14:paraId="6314529F" w14:textId="77777777" w:rsidR="00627B9C" w:rsidRPr="00190D99" w:rsidRDefault="00627B9C" w:rsidP="00627B9C">
      <w:pPr>
        <w:rPr>
          <w:rFonts w:ascii="Arial" w:hAnsi="Arial"/>
          <w:b/>
          <w:bCs/>
          <w:rtl/>
        </w:rPr>
      </w:pPr>
    </w:p>
    <w:p w14:paraId="1DB29A99" w14:textId="77777777" w:rsidR="00627B9C" w:rsidRPr="00190D99" w:rsidRDefault="00285C7F" w:rsidP="00627B9C">
      <w:pPr>
        <w:rPr>
          <w:rFonts w:ascii="Arial" w:hAnsi="Arial"/>
          <w:b/>
          <w:bCs/>
          <w:rtl/>
        </w:rPr>
      </w:pPr>
      <w:r w:rsidRPr="00190D99">
        <w:rPr>
          <w:rFonts w:ascii="Arial" w:hAnsi="Arial"/>
          <w:b/>
          <w:bCs/>
          <w:color w:val="FFFFFF"/>
          <w:sz w:val="2"/>
          <w:szCs w:val="2"/>
          <w:rtl/>
        </w:rPr>
        <w:t>5129371</w:t>
      </w:r>
      <w:r w:rsidR="00627B9C" w:rsidRPr="00190D99">
        <w:rPr>
          <w:rFonts w:ascii="Arial" w:hAnsi="Arial"/>
          <w:b/>
          <w:bCs/>
          <w:rtl/>
        </w:rPr>
        <w:t>זכות ערעור לבית המשפט העליון בתוך 45 יום מהיום.</w:t>
      </w:r>
    </w:p>
    <w:p w14:paraId="67E18FAF" w14:textId="77777777" w:rsidR="00627B9C" w:rsidRPr="00190D99" w:rsidRDefault="00285C7F" w:rsidP="00627B9C">
      <w:pPr>
        <w:rPr>
          <w:rFonts w:ascii="Arial" w:hAnsi="Arial"/>
          <w:b/>
          <w:bCs/>
          <w:color w:val="FFFFFF"/>
          <w:sz w:val="2"/>
          <w:szCs w:val="2"/>
          <w:rtl/>
        </w:rPr>
      </w:pPr>
      <w:r w:rsidRPr="00190D99">
        <w:rPr>
          <w:rFonts w:ascii="Arial" w:hAnsi="Arial"/>
          <w:b/>
          <w:bCs/>
          <w:color w:val="FFFFFF"/>
          <w:sz w:val="2"/>
          <w:szCs w:val="2"/>
          <w:rtl/>
        </w:rPr>
        <w:t>54678313</w:t>
      </w:r>
    </w:p>
    <w:p w14:paraId="53521DF1" w14:textId="77777777" w:rsidR="00627B9C" w:rsidRPr="00190D99" w:rsidRDefault="00627B9C" w:rsidP="00627B9C">
      <w:pPr>
        <w:rPr>
          <w:rFonts w:ascii="Arial" w:hAnsi="Arial"/>
          <w:b/>
          <w:bCs/>
          <w:sz w:val="26"/>
          <w:szCs w:val="26"/>
          <w:rtl/>
        </w:rPr>
      </w:pPr>
    </w:p>
    <w:p w14:paraId="10537993" w14:textId="77777777" w:rsidR="00627B9C" w:rsidRPr="00190D99" w:rsidRDefault="00285C7F" w:rsidP="00627B9C">
      <w:pPr>
        <w:rPr>
          <w:rFonts w:ascii="Arial" w:hAnsi="Arial"/>
          <w:b/>
          <w:bCs/>
          <w:sz w:val="26"/>
          <w:szCs w:val="26"/>
          <w:rtl/>
        </w:rPr>
      </w:pPr>
      <w:bookmarkStart w:id="8" w:name="Nitan"/>
      <w:r w:rsidRPr="00190D99">
        <w:rPr>
          <w:rFonts w:ascii="Arial" w:hAnsi="Arial"/>
          <w:b/>
          <w:bCs/>
          <w:sz w:val="26"/>
          <w:szCs w:val="26"/>
          <w:rtl/>
        </w:rPr>
        <w:t xml:space="preserve">ניתן היום,  ט' סיוון תשפ"ב, 08 יוני 2022, בהעדר הצדדים. </w:t>
      </w:r>
      <w:bookmarkEnd w:id="8"/>
    </w:p>
    <w:p w14:paraId="6D6BB9C4" w14:textId="77777777" w:rsidR="00285C7F" w:rsidRPr="00190D99" w:rsidRDefault="00285C7F" w:rsidP="00285C7F">
      <w:pPr>
        <w:rPr>
          <w:rtl/>
        </w:rPr>
      </w:pPr>
    </w:p>
    <w:p w14:paraId="58C28B57" w14:textId="77777777" w:rsidR="00285C7F" w:rsidRPr="00190D99" w:rsidRDefault="00285C7F" w:rsidP="00285C7F">
      <w:pPr>
        <w:jc w:val="center"/>
        <w:rPr>
          <w:color w:val="0000FF"/>
          <w:u w:val="single"/>
        </w:rPr>
      </w:pPr>
      <w:hyperlink r:id="rId42" w:history="1">
        <w:r w:rsidRPr="00190D99">
          <w:rPr>
            <w:color w:val="0000FF"/>
            <w:u w:val="single"/>
            <w:rtl/>
          </w:rPr>
          <w:t>בעניין עריכה ושינויים במסמכי פסיקה, חקיקה ועוד באתר נבו – הקש כאן</w:t>
        </w:r>
      </w:hyperlink>
    </w:p>
    <w:p w14:paraId="3A685B41" w14:textId="77777777" w:rsidR="00190D99" w:rsidRPr="00190D99" w:rsidRDefault="00190D99" w:rsidP="00190D99">
      <w:pPr>
        <w:keepNext/>
        <w:rPr>
          <w:rFonts w:ascii="David" w:hAnsi="David"/>
          <w:color w:val="000000"/>
          <w:sz w:val="22"/>
          <w:szCs w:val="22"/>
          <w:rtl/>
        </w:rPr>
      </w:pPr>
    </w:p>
    <w:p w14:paraId="50818D80" w14:textId="77777777" w:rsidR="00190D99" w:rsidRPr="00190D99" w:rsidRDefault="00190D99" w:rsidP="00190D99">
      <w:pPr>
        <w:keepNext/>
        <w:rPr>
          <w:rFonts w:ascii="David" w:hAnsi="David"/>
          <w:color w:val="000000"/>
          <w:sz w:val="22"/>
          <w:szCs w:val="22"/>
          <w:rtl/>
        </w:rPr>
      </w:pPr>
      <w:r w:rsidRPr="00190D99">
        <w:rPr>
          <w:rFonts w:ascii="David" w:hAnsi="David"/>
          <w:color w:val="000000"/>
          <w:sz w:val="22"/>
          <w:szCs w:val="22"/>
          <w:rtl/>
        </w:rPr>
        <w:t>חנה מרים לומפ 54678313-/</w:t>
      </w:r>
    </w:p>
    <w:p w14:paraId="151E4CE2" w14:textId="77777777" w:rsidR="00285C7F" w:rsidRPr="00190D99" w:rsidRDefault="00190D99" w:rsidP="00190D99">
      <w:pPr>
        <w:rPr>
          <w:color w:val="0000FF"/>
          <w:u w:val="single"/>
        </w:rPr>
      </w:pPr>
      <w:r w:rsidRPr="00190D99">
        <w:rPr>
          <w:color w:val="000000"/>
          <w:u w:val="single"/>
          <w:rtl/>
        </w:rPr>
        <w:t>נוסח מסמך זה כפוף לשינויי ניסוח ועריכה</w:t>
      </w:r>
    </w:p>
    <w:sectPr w:rsidR="00285C7F" w:rsidRPr="00190D99" w:rsidSect="00190D99">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CB188" w14:textId="77777777" w:rsidR="009F25C0" w:rsidRDefault="009F25C0" w:rsidP="00A22CFA">
      <w:r>
        <w:separator/>
      </w:r>
    </w:p>
  </w:endnote>
  <w:endnote w:type="continuationSeparator" w:id="0">
    <w:p w14:paraId="25548102" w14:textId="77777777" w:rsidR="009F25C0" w:rsidRDefault="009F25C0" w:rsidP="00A22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E6AF2" w14:textId="77777777" w:rsidR="00190D99" w:rsidRDefault="00190D99" w:rsidP="00190D9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6D9B328" w14:textId="77777777" w:rsidR="00251E59" w:rsidRPr="00190D99" w:rsidRDefault="00190D99" w:rsidP="00190D99">
    <w:pPr>
      <w:pStyle w:val="a5"/>
      <w:pBdr>
        <w:top w:val="single" w:sz="4" w:space="1" w:color="auto"/>
        <w:between w:val="single" w:sz="4" w:space="0" w:color="auto"/>
      </w:pBdr>
      <w:spacing w:after="60"/>
      <w:jc w:val="center"/>
      <w:rPr>
        <w:rFonts w:ascii="FrankRuehl" w:hAnsi="FrankRuehl" w:cs="FrankRuehl"/>
        <w:color w:val="000000"/>
      </w:rPr>
    </w:pPr>
    <w:r w:rsidRPr="00190D9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659E8" w14:textId="77777777" w:rsidR="00190D99" w:rsidRDefault="00190D99" w:rsidP="00190D9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1441">
      <w:rPr>
        <w:rFonts w:ascii="FrankRuehl" w:hAnsi="FrankRuehl" w:cs="FrankRuehl"/>
        <w:noProof/>
        <w:rtl/>
      </w:rPr>
      <w:t>1</w:t>
    </w:r>
    <w:r>
      <w:rPr>
        <w:rFonts w:ascii="FrankRuehl" w:hAnsi="FrankRuehl" w:cs="FrankRuehl"/>
        <w:rtl/>
      </w:rPr>
      <w:fldChar w:fldCharType="end"/>
    </w:r>
  </w:p>
  <w:p w14:paraId="1813FA8A" w14:textId="77777777" w:rsidR="00251E59" w:rsidRPr="00190D99" w:rsidRDefault="00190D99" w:rsidP="00190D99">
    <w:pPr>
      <w:pStyle w:val="a5"/>
      <w:pBdr>
        <w:top w:val="single" w:sz="4" w:space="1" w:color="auto"/>
        <w:between w:val="single" w:sz="4" w:space="0" w:color="auto"/>
      </w:pBdr>
      <w:spacing w:after="60"/>
      <w:jc w:val="center"/>
      <w:rPr>
        <w:rFonts w:ascii="FrankRuehl" w:hAnsi="FrankRuehl" w:cs="FrankRuehl"/>
        <w:color w:val="000000"/>
      </w:rPr>
    </w:pPr>
    <w:r w:rsidRPr="00190D99">
      <w:rPr>
        <w:rFonts w:ascii="FrankRuehl" w:hAnsi="FrankRuehl" w:cs="FrankRuehl"/>
        <w:color w:val="000000"/>
      </w:rPr>
      <w:pict w14:anchorId="01913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7C859" w14:textId="77777777" w:rsidR="009F25C0" w:rsidRDefault="009F25C0" w:rsidP="00A22CFA">
      <w:r>
        <w:separator/>
      </w:r>
    </w:p>
  </w:footnote>
  <w:footnote w:type="continuationSeparator" w:id="0">
    <w:p w14:paraId="0573368E" w14:textId="77777777" w:rsidR="009F25C0" w:rsidRDefault="009F25C0" w:rsidP="00A22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D3777" w14:textId="77777777" w:rsidR="00285C7F" w:rsidRPr="00190D99" w:rsidRDefault="00190D99" w:rsidP="00190D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8868-12-21</w:t>
    </w:r>
    <w:r>
      <w:rPr>
        <w:rFonts w:ascii="David" w:hAnsi="David"/>
        <w:color w:val="000000"/>
        <w:sz w:val="22"/>
        <w:szCs w:val="22"/>
        <w:rtl/>
      </w:rPr>
      <w:tab/>
      <w:t xml:space="preserve"> מדינת ישראל נ' מוחמד זהארן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553B8" w14:textId="77777777" w:rsidR="00285C7F" w:rsidRPr="00190D99" w:rsidRDefault="00190D99" w:rsidP="00190D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8868-12-21</w:t>
    </w:r>
    <w:r>
      <w:rPr>
        <w:rFonts w:ascii="David" w:hAnsi="David"/>
        <w:color w:val="000000"/>
        <w:sz w:val="22"/>
        <w:szCs w:val="22"/>
        <w:rtl/>
      </w:rPr>
      <w:tab/>
      <w:t xml:space="preserve"> מדינת ישראל נ' מוחמד זהארן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07E36"/>
    <w:multiLevelType w:val="multilevel"/>
    <w:tmpl w:val="100C23C6"/>
    <w:lvl w:ilvl="0">
      <w:start w:val="1"/>
      <w:numFmt w:val="decimal"/>
      <w:lvlText w:val="%1."/>
      <w:lvlJc w:val="left"/>
      <w:pPr>
        <w:ind w:left="720" w:hanging="360"/>
      </w:pPr>
      <w:rPr>
        <w:rFonts w:cs="David"/>
        <w:b w:val="0"/>
        <w:bCs w:val="0"/>
      </w:rPr>
    </w:lvl>
    <w:lvl w:ilvl="1">
      <w:start w:val="1"/>
      <w:numFmt w:val="hebrew1"/>
      <w:lvlText w:val="%2."/>
      <w:lvlJc w:val="center"/>
      <w:pPr>
        <w:ind w:left="1080" w:hanging="360"/>
      </w:pPr>
      <w:rPr>
        <w:b/>
        <w:strike w:val="0"/>
        <w:dstrike w:val="0"/>
        <w:sz w:val="24"/>
        <w:szCs w:val="24"/>
        <w:u w:val="none"/>
        <w:effect w:val="none"/>
      </w:rPr>
    </w:lvl>
    <w:lvl w:ilvl="2">
      <w:start w:val="1"/>
      <w:numFmt w:val="decimal"/>
      <w:isLgl/>
      <w:lvlText w:val="%1.%2.%3"/>
      <w:lvlJc w:val="left"/>
      <w:pPr>
        <w:ind w:left="1800" w:hanging="720"/>
      </w:pPr>
      <w:rPr>
        <w:rFonts w:cs="Times New Roman"/>
        <w:b/>
        <w:u w:val="single"/>
      </w:rPr>
    </w:lvl>
    <w:lvl w:ilvl="3">
      <w:start w:val="1"/>
      <w:numFmt w:val="decimal"/>
      <w:isLgl/>
      <w:lvlText w:val="%1.%2.%3.%4"/>
      <w:lvlJc w:val="left"/>
      <w:pPr>
        <w:ind w:left="2160" w:hanging="720"/>
      </w:pPr>
      <w:rPr>
        <w:rFonts w:cs="Times New Roman"/>
        <w:b/>
        <w:u w:val="single"/>
      </w:rPr>
    </w:lvl>
    <w:lvl w:ilvl="4">
      <w:start w:val="1"/>
      <w:numFmt w:val="decimal"/>
      <w:isLgl/>
      <w:lvlText w:val="%1.%2.%3.%4.%5"/>
      <w:lvlJc w:val="left"/>
      <w:pPr>
        <w:ind w:left="2880" w:hanging="1080"/>
      </w:pPr>
      <w:rPr>
        <w:rFonts w:cs="Times New Roman"/>
        <w:b/>
        <w:u w:val="single"/>
      </w:rPr>
    </w:lvl>
    <w:lvl w:ilvl="5">
      <w:start w:val="1"/>
      <w:numFmt w:val="decimal"/>
      <w:isLgl/>
      <w:lvlText w:val="%1.%2.%3.%4.%5.%6"/>
      <w:lvlJc w:val="left"/>
      <w:pPr>
        <w:ind w:left="3240" w:hanging="1080"/>
      </w:pPr>
      <w:rPr>
        <w:rFonts w:cs="Times New Roman"/>
        <w:b/>
        <w:u w:val="single"/>
      </w:rPr>
    </w:lvl>
    <w:lvl w:ilvl="6">
      <w:start w:val="1"/>
      <w:numFmt w:val="decimal"/>
      <w:isLgl/>
      <w:lvlText w:val="%1.%2.%3.%4.%5.%6.%7"/>
      <w:lvlJc w:val="left"/>
      <w:pPr>
        <w:ind w:left="3600" w:hanging="1080"/>
      </w:pPr>
      <w:rPr>
        <w:rFonts w:cs="Times New Roman"/>
        <w:b/>
        <w:u w:val="single"/>
      </w:rPr>
    </w:lvl>
    <w:lvl w:ilvl="7">
      <w:start w:val="1"/>
      <w:numFmt w:val="decimal"/>
      <w:isLgl/>
      <w:lvlText w:val="%1.%2.%3.%4.%5.%6.%7.%8"/>
      <w:lvlJc w:val="left"/>
      <w:pPr>
        <w:ind w:left="4320" w:hanging="1440"/>
      </w:pPr>
      <w:rPr>
        <w:rFonts w:cs="Times New Roman"/>
        <w:b/>
        <w:u w:val="single"/>
      </w:rPr>
    </w:lvl>
    <w:lvl w:ilvl="8">
      <w:start w:val="1"/>
      <w:numFmt w:val="decimal"/>
      <w:isLgl/>
      <w:lvlText w:val="%1.%2.%3.%4.%5.%6.%7.%8.%9"/>
      <w:lvlJc w:val="left"/>
      <w:pPr>
        <w:ind w:left="4680" w:hanging="1440"/>
      </w:pPr>
      <w:rPr>
        <w:rFonts w:cs="Times New Roman"/>
        <w:b/>
        <w:u w:val="single"/>
      </w:rPr>
    </w:lvl>
  </w:abstractNum>
  <w:abstractNum w:abstractNumId="1" w15:restartNumberingAfterBreak="0">
    <w:nsid w:val="318C0333"/>
    <w:multiLevelType w:val="hybridMultilevel"/>
    <w:tmpl w:val="320EB4E0"/>
    <w:lvl w:ilvl="0" w:tplc="0686849E">
      <w:start w:val="1"/>
      <w:numFmt w:val="hebrew1"/>
      <w:lvlText w:val="%1."/>
      <w:lvlJc w:val="left"/>
      <w:pPr>
        <w:ind w:left="720" w:right="862" w:hanging="360"/>
      </w:pPr>
      <w:rPr>
        <w:strike w:val="0"/>
        <w:dstrike w:val="0"/>
        <w:u w:val="none"/>
        <w:effect w:val="none"/>
      </w:rPr>
    </w:lvl>
    <w:lvl w:ilvl="1" w:tplc="0560B2B2">
      <w:start w:val="1"/>
      <w:numFmt w:val="lowerLetter"/>
      <w:lvlText w:val="%2."/>
      <w:lvlJc w:val="left"/>
      <w:pPr>
        <w:ind w:left="1440" w:right="1582" w:hanging="360"/>
      </w:pPr>
    </w:lvl>
    <w:lvl w:ilvl="2" w:tplc="D19A8D58">
      <w:start w:val="1"/>
      <w:numFmt w:val="lowerRoman"/>
      <w:lvlText w:val="%3."/>
      <w:lvlJc w:val="right"/>
      <w:pPr>
        <w:ind w:left="2160" w:right="2302" w:hanging="180"/>
      </w:pPr>
    </w:lvl>
    <w:lvl w:ilvl="3" w:tplc="D9E231BE">
      <w:start w:val="1"/>
      <w:numFmt w:val="decimal"/>
      <w:lvlText w:val="%4."/>
      <w:lvlJc w:val="left"/>
      <w:pPr>
        <w:ind w:left="2880" w:right="3022" w:hanging="360"/>
      </w:pPr>
    </w:lvl>
    <w:lvl w:ilvl="4" w:tplc="942841F8">
      <w:start w:val="1"/>
      <w:numFmt w:val="lowerLetter"/>
      <w:lvlText w:val="%5."/>
      <w:lvlJc w:val="left"/>
      <w:pPr>
        <w:ind w:left="3600" w:right="3742" w:hanging="360"/>
      </w:pPr>
    </w:lvl>
    <w:lvl w:ilvl="5" w:tplc="4DDC60F6">
      <w:start w:val="1"/>
      <w:numFmt w:val="lowerRoman"/>
      <w:lvlText w:val="%6."/>
      <w:lvlJc w:val="right"/>
      <w:pPr>
        <w:ind w:left="4320" w:right="4462" w:hanging="180"/>
      </w:pPr>
    </w:lvl>
    <w:lvl w:ilvl="6" w:tplc="12C2FCF8">
      <w:start w:val="1"/>
      <w:numFmt w:val="decimal"/>
      <w:lvlText w:val="%7."/>
      <w:lvlJc w:val="left"/>
      <w:pPr>
        <w:ind w:left="5040" w:right="5182" w:hanging="360"/>
      </w:pPr>
    </w:lvl>
    <w:lvl w:ilvl="7" w:tplc="76201066">
      <w:start w:val="1"/>
      <w:numFmt w:val="lowerLetter"/>
      <w:lvlText w:val="%8."/>
      <w:lvlJc w:val="left"/>
      <w:pPr>
        <w:ind w:left="5760" w:right="5902" w:hanging="360"/>
      </w:pPr>
    </w:lvl>
    <w:lvl w:ilvl="8" w:tplc="7AF44CA8">
      <w:start w:val="1"/>
      <w:numFmt w:val="lowerRoman"/>
      <w:lvlText w:val="%9."/>
      <w:lvlJc w:val="right"/>
      <w:pPr>
        <w:ind w:left="6480" w:right="6622" w:hanging="180"/>
      </w:pPr>
    </w:lvl>
  </w:abstractNum>
  <w:abstractNum w:abstractNumId="2" w15:restartNumberingAfterBreak="0">
    <w:nsid w:val="65AA7A45"/>
    <w:multiLevelType w:val="hybridMultilevel"/>
    <w:tmpl w:val="AFA2805E"/>
    <w:lvl w:ilvl="0" w:tplc="2892DD9E">
      <w:start w:val="1"/>
      <w:numFmt w:val="decimal"/>
      <w:lvlText w:val="%1."/>
      <w:lvlJc w:val="left"/>
      <w:pPr>
        <w:ind w:left="360" w:hanging="360"/>
      </w:pPr>
      <w:rPr>
        <w:rFonts w:ascii="David" w:hAnsi="David" w:cs="David" w:hint="default"/>
        <w:b w:val="0"/>
        <w:bCs w:val="0"/>
        <w:color w:val="auto"/>
        <w:sz w:val="24"/>
        <w:szCs w:val="24"/>
      </w:rPr>
    </w:lvl>
    <w:lvl w:ilvl="1" w:tplc="18943498">
      <w:start w:val="1"/>
      <w:numFmt w:val="hebrew1"/>
      <w:lvlText w:val="%2."/>
      <w:lvlJc w:val="center"/>
      <w:pPr>
        <w:ind w:left="1222" w:hanging="360"/>
      </w:pPr>
      <w:rPr>
        <w:b w:val="0"/>
        <w:bCs w:val="0"/>
        <w:sz w:val="24"/>
        <w:szCs w:val="24"/>
      </w:rPr>
    </w:lvl>
    <w:lvl w:ilvl="2" w:tplc="C6AAF758">
      <w:start w:val="1"/>
      <w:numFmt w:val="lowerRoman"/>
      <w:lvlText w:val="%3."/>
      <w:lvlJc w:val="right"/>
      <w:pPr>
        <w:ind w:left="1942" w:hanging="180"/>
      </w:pPr>
    </w:lvl>
    <w:lvl w:ilvl="3" w:tplc="A91663F6">
      <w:start w:val="1"/>
      <w:numFmt w:val="decimal"/>
      <w:lvlText w:val="%4."/>
      <w:lvlJc w:val="left"/>
      <w:pPr>
        <w:ind w:left="2662" w:hanging="360"/>
      </w:pPr>
    </w:lvl>
    <w:lvl w:ilvl="4" w:tplc="55528E9A">
      <w:start w:val="1"/>
      <w:numFmt w:val="lowerLetter"/>
      <w:lvlText w:val="%5."/>
      <w:lvlJc w:val="left"/>
      <w:pPr>
        <w:ind w:left="3382" w:hanging="360"/>
      </w:pPr>
    </w:lvl>
    <w:lvl w:ilvl="5" w:tplc="15A0FFF0">
      <w:start w:val="1"/>
      <w:numFmt w:val="lowerRoman"/>
      <w:lvlText w:val="%6."/>
      <w:lvlJc w:val="right"/>
      <w:pPr>
        <w:ind w:left="4102" w:hanging="180"/>
      </w:pPr>
    </w:lvl>
    <w:lvl w:ilvl="6" w:tplc="34E0C82C">
      <w:start w:val="1"/>
      <w:numFmt w:val="decimal"/>
      <w:lvlText w:val="%7."/>
      <w:lvlJc w:val="left"/>
      <w:pPr>
        <w:ind w:left="4822" w:hanging="360"/>
      </w:pPr>
    </w:lvl>
    <w:lvl w:ilvl="7" w:tplc="CE80B0FA">
      <w:start w:val="1"/>
      <w:numFmt w:val="lowerLetter"/>
      <w:lvlText w:val="%8."/>
      <w:lvlJc w:val="left"/>
      <w:pPr>
        <w:ind w:left="5542" w:hanging="360"/>
      </w:pPr>
    </w:lvl>
    <w:lvl w:ilvl="8" w:tplc="E88C093A">
      <w:start w:val="1"/>
      <w:numFmt w:val="lowerRoman"/>
      <w:lvlText w:val="%9."/>
      <w:lvlJc w:val="right"/>
      <w:pPr>
        <w:ind w:left="6262" w:hanging="180"/>
      </w:pPr>
    </w:lvl>
  </w:abstractNum>
  <w:abstractNum w:abstractNumId="3" w15:restartNumberingAfterBreak="0">
    <w:nsid w:val="7A3B7F25"/>
    <w:multiLevelType w:val="hybridMultilevel"/>
    <w:tmpl w:val="22F683BE"/>
    <w:lvl w:ilvl="0" w:tplc="B4D61AC0">
      <w:start w:val="1"/>
      <w:numFmt w:val="decimal"/>
      <w:lvlText w:val="%1."/>
      <w:lvlJc w:val="left"/>
      <w:pPr>
        <w:ind w:left="360" w:right="502" w:hanging="360"/>
      </w:pPr>
      <w:rPr>
        <w:b w:val="0"/>
        <w:bCs w:val="0"/>
        <w:sz w:val="24"/>
        <w:szCs w:val="24"/>
      </w:rPr>
    </w:lvl>
    <w:lvl w:ilvl="1" w:tplc="9D684CD4">
      <w:start w:val="1"/>
      <w:numFmt w:val="lowerLetter"/>
      <w:lvlText w:val="%2."/>
      <w:lvlJc w:val="left"/>
      <w:pPr>
        <w:ind w:left="1080" w:right="1222" w:hanging="360"/>
      </w:pPr>
    </w:lvl>
    <w:lvl w:ilvl="2" w:tplc="C972B24A">
      <w:start w:val="1"/>
      <w:numFmt w:val="lowerRoman"/>
      <w:lvlText w:val="%3."/>
      <w:lvlJc w:val="right"/>
      <w:pPr>
        <w:ind w:left="1800" w:right="1942" w:hanging="180"/>
      </w:pPr>
    </w:lvl>
    <w:lvl w:ilvl="3" w:tplc="513E1410">
      <w:start w:val="1"/>
      <w:numFmt w:val="decimal"/>
      <w:lvlText w:val="%4."/>
      <w:lvlJc w:val="left"/>
      <w:pPr>
        <w:ind w:left="2520" w:right="2662" w:hanging="360"/>
      </w:pPr>
    </w:lvl>
    <w:lvl w:ilvl="4" w:tplc="158E6C1A">
      <w:start w:val="1"/>
      <w:numFmt w:val="lowerLetter"/>
      <w:lvlText w:val="%5."/>
      <w:lvlJc w:val="left"/>
      <w:pPr>
        <w:ind w:left="3240" w:right="3382" w:hanging="360"/>
      </w:pPr>
    </w:lvl>
    <w:lvl w:ilvl="5" w:tplc="BC3AB660">
      <w:start w:val="1"/>
      <w:numFmt w:val="lowerRoman"/>
      <w:lvlText w:val="%6."/>
      <w:lvlJc w:val="right"/>
      <w:pPr>
        <w:ind w:left="3960" w:right="4102" w:hanging="180"/>
      </w:pPr>
    </w:lvl>
    <w:lvl w:ilvl="6" w:tplc="3462EA68">
      <w:start w:val="1"/>
      <w:numFmt w:val="decimal"/>
      <w:lvlText w:val="%7."/>
      <w:lvlJc w:val="left"/>
      <w:pPr>
        <w:ind w:left="4680" w:right="4822" w:hanging="360"/>
      </w:pPr>
    </w:lvl>
    <w:lvl w:ilvl="7" w:tplc="59E8AB2C">
      <w:start w:val="1"/>
      <w:numFmt w:val="lowerLetter"/>
      <w:lvlText w:val="%8."/>
      <w:lvlJc w:val="left"/>
      <w:pPr>
        <w:ind w:left="5400" w:right="5542" w:hanging="360"/>
      </w:pPr>
    </w:lvl>
    <w:lvl w:ilvl="8" w:tplc="32D0CAFA">
      <w:start w:val="1"/>
      <w:numFmt w:val="lowerRoman"/>
      <w:lvlText w:val="%9."/>
      <w:lvlJc w:val="right"/>
      <w:pPr>
        <w:ind w:left="6120" w:right="6262" w:hanging="180"/>
      </w:pPr>
    </w:lvl>
  </w:abstractNum>
  <w:num w:numId="1" w16cid:durableId="5091506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43210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0641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86714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7B9C"/>
    <w:rsid w:val="000B59CC"/>
    <w:rsid w:val="00171441"/>
    <w:rsid w:val="00190D99"/>
    <w:rsid w:val="00251E59"/>
    <w:rsid w:val="00285C7F"/>
    <w:rsid w:val="0054234F"/>
    <w:rsid w:val="00627B9C"/>
    <w:rsid w:val="006D3155"/>
    <w:rsid w:val="00936206"/>
    <w:rsid w:val="009A4E4C"/>
    <w:rsid w:val="009F25C0"/>
    <w:rsid w:val="00A22CFA"/>
    <w:rsid w:val="00AD02C5"/>
    <w:rsid w:val="00C0553B"/>
    <w:rsid w:val="00C2035D"/>
    <w:rsid w:val="00D643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FCAC71"/>
  <w15:chartTrackingRefBased/>
  <w15:docId w15:val="{21D4057A-B220-49D1-A1A5-C4E7C0C7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7B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7B9C"/>
    <w:pPr>
      <w:tabs>
        <w:tab w:val="center" w:pos="4153"/>
        <w:tab w:val="right" w:pos="8306"/>
      </w:tabs>
    </w:pPr>
  </w:style>
  <w:style w:type="character" w:customStyle="1" w:styleId="a4">
    <w:name w:val="כותרת עליונה תו"/>
    <w:link w:val="a3"/>
    <w:rsid w:val="00627B9C"/>
    <w:rPr>
      <w:rFonts w:ascii="Times New Roman" w:eastAsia="Times New Roman" w:hAnsi="Times New Roman" w:cs="David"/>
      <w:sz w:val="24"/>
      <w:szCs w:val="24"/>
    </w:rPr>
  </w:style>
  <w:style w:type="paragraph" w:styleId="a5">
    <w:name w:val="footer"/>
    <w:basedOn w:val="a"/>
    <w:link w:val="a6"/>
    <w:rsid w:val="00627B9C"/>
    <w:pPr>
      <w:tabs>
        <w:tab w:val="center" w:pos="4153"/>
        <w:tab w:val="right" w:pos="8306"/>
      </w:tabs>
    </w:pPr>
  </w:style>
  <w:style w:type="character" w:customStyle="1" w:styleId="a6">
    <w:name w:val="כותרת תחתונה תו"/>
    <w:link w:val="a5"/>
    <w:rsid w:val="00627B9C"/>
    <w:rPr>
      <w:rFonts w:ascii="Times New Roman" w:eastAsia="Times New Roman" w:hAnsi="Times New Roman" w:cs="David"/>
      <w:sz w:val="24"/>
      <w:szCs w:val="24"/>
    </w:rPr>
  </w:style>
  <w:style w:type="table" w:styleId="a7">
    <w:name w:val="Table Grid"/>
    <w:basedOn w:val="a1"/>
    <w:rsid w:val="00627B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27B9C"/>
  </w:style>
  <w:style w:type="paragraph" w:customStyle="1" w:styleId="12">
    <w:name w:val="רגיל + ‏12 נק'"/>
    <w:aliases w:val="מיושר לשני הצדדים,מרווח בין שורות:  שורה וחצי"/>
    <w:basedOn w:val="a"/>
    <w:rsid w:val="00627B9C"/>
    <w:rPr>
      <w:b/>
      <w:bCs/>
      <w:u w:val="single"/>
    </w:rPr>
  </w:style>
  <w:style w:type="character" w:styleId="Hyperlink">
    <w:name w:val="Hyperlink"/>
    <w:rsid w:val="00627B9C"/>
    <w:rPr>
      <w:color w:val="0000FF"/>
      <w:u w:val="single"/>
    </w:rPr>
  </w:style>
  <w:style w:type="paragraph" w:styleId="a9">
    <w:name w:val="List Paragraph"/>
    <w:basedOn w:val="a"/>
    <w:qFormat/>
    <w:rsid w:val="00627B9C"/>
    <w:pPr>
      <w:spacing w:after="160" w:line="360" w:lineRule="auto"/>
      <w:ind w:left="720"/>
      <w:contextualSpacing/>
      <w:jc w:val="both"/>
    </w:pPr>
    <w:rPr>
      <w:rFonts w:ascii="David" w:eastAsia="Calibri"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b"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144.a" TargetMode="External"/><Relationship Id="rId39" Type="http://schemas.openxmlformats.org/officeDocument/2006/relationships/hyperlink" Target="http://www.nevo.co.il/law/70301/12jb"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case/5878120"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03/184" TargetMode="External"/><Relationship Id="rId29" Type="http://schemas.openxmlformats.org/officeDocument/2006/relationships/hyperlink" Target="http://www.nevo.co.il/law/70301/40j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law/70301/25" TargetMode="External"/><Relationship Id="rId32" Type="http://schemas.openxmlformats.org/officeDocument/2006/relationships/hyperlink" Target="http://www.nevo.co.il/case/20487019" TargetMode="External"/><Relationship Id="rId37" Type="http://schemas.openxmlformats.org/officeDocument/2006/relationships/hyperlink" Target="http://www.nevo.co.il/case/27466637"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4903"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4903" TargetMode="External"/><Relationship Id="rId36" Type="http://schemas.openxmlformats.org/officeDocument/2006/relationships/hyperlink" Target="http://www.nevo.co.il/case/28188571" TargetMode="External"/><Relationship Id="rId10" Type="http://schemas.openxmlformats.org/officeDocument/2006/relationships/hyperlink" Target="http://www.nevo.co.il/law/70301/12jb" TargetMode="External"/><Relationship Id="rId19" Type="http://schemas.openxmlformats.org/officeDocument/2006/relationships/hyperlink" Target="http://www.nevo.co.il/law/70301/144.b2" TargetMode="External"/><Relationship Id="rId31" Type="http://schemas.openxmlformats.org/officeDocument/2006/relationships/hyperlink" Target="http://www.nevo.co.il/law/70301/40b"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4903/184"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610199"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law/70301/499.a.1" TargetMode="External"/><Relationship Id="rId33" Type="http://schemas.openxmlformats.org/officeDocument/2006/relationships/hyperlink" Target="http://www.nevo.co.il/case/5598555" TargetMode="External"/><Relationship Id="rId38" Type="http://schemas.openxmlformats.org/officeDocument/2006/relationships/hyperlink" Target="http://www.nevo.co.il/case/26393925" TargetMode="External"/><Relationship Id="rId46" Type="http://schemas.openxmlformats.org/officeDocument/2006/relationships/footer" Target="footer2.xml"/><Relationship Id="rId20" Type="http://schemas.openxmlformats.org/officeDocument/2006/relationships/hyperlink" Target="http://www.nevo.co.il/law/70301/25" TargetMode="External"/><Relationship Id="rId41" Type="http://schemas.openxmlformats.org/officeDocument/2006/relationships/hyperlink" Target="http://www.nevo.co.il/case/217342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2903</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17387</CharactersWithSpaces>
  <SharedDoc>false</SharedDoc>
  <HLinks>
    <vt:vector size="216" baseType="variant">
      <vt:variant>
        <vt:i4>393283</vt:i4>
      </vt:variant>
      <vt:variant>
        <vt:i4>138</vt:i4>
      </vt:variant>
      <vt:variant>
        <vt:i4>0</vt:i4>
      </vt:variant>
      <vt:variant>
        <vt:i4>5</vt:i4>
      </vt:variant>
      <vt:variant>
        <vt:lpwstr>http://www.nevo.co.il/advertisements/nevo-100.doc</vt:lpwstr>
      </vt:variant>
      <vt:variant>
        <vt:lpwstr/>
      </vt:variant>
      <vt:variant>
        <vt:i4>3145844</vt:i4>
      </vt:variant>
      <vt:variant>
        <vt:i4>135</vt:i4>
      </vt:variant>
      <vt:variant>
        <vt:i4>0</vt:i4>
      </vt:variant>
      <vt:variant>
        <vt:i4>5</vt:i4>
      </vt:variant>
      <vt:variant>
        <vt:lpwstr>http://www.nevo.co.il/case/21734210</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327694</vt:i4>
      </vt:variant>
      <vt:variant>
        <vt:i4>114</vt:i4>
      </vt:variant>
      <vt:variant>
        <vt:i4>0</vt:i4>
      </vt:variant>
      <vt:variant>
        <vt:i4>5</vt:i4>
      </vt:variant>
      <vt:variant>
        <vt:lpwstr>http://www.nevo.co.il/law/70301/12jb</vt:lpwstr>
      </vt:variant>
      <vt:variant>
        <vt:lpwstr/>
      </vt:variant>
      <vt:variant>
        <vt:i4>3145842</vt:i4>
      </vt:variant>
      <vt:variant>
        <vt:i4>108</vt:i4>
      </vt:variant>
      <vt:variant>
        <vt:i4>0</vt:i4>
      </vt:variant>
      <vt:variant>
        <vt:i4>5</vt:i4>
      </vt:variant>
      <vt:variant>
        <vt:lpwstr>http://www.nevo.co.il/case/26393925</vt:lpwstr>
      </vt:variant>
      <vt:variant>
        <vt:lpwstr/>
      </vt:variant>
      <vt:variant>
        <vt:i4>3342451</vt:i4>
      </vt:variant>
      <vt:variant>
        <vt:i4>105</vt:i4>
      </vt:variant>
      <vt:variant>
        <vt:i4>0</vt:i4>
      </vt:variant>
      <vt:variant>
        <vt:i4>5</vt:i4>
      </vt:variant>
      <vt:variant>
        <vt:lpwstr>http://www.nevo.co.il/case/27466637</vt:lpwstr>
      </vt:variant>
      <vt:variant>
        <vt:lpwstr/>
      </vt:variant>
      <vt:variant>
        <vt:i4>3932273</vt:i4>
      </vt:variant>
      <vt:variant>
        <vt:i4>102</vt:i4>
      </vt:variant>
      <vt:variant>
        <vt:i4>0</vt:i4>
      </vt:variant>
      <vt:variant>
        <vt:i4>5</vt:i4>
      </vt:variant>
      <vt:variant>
        <vt:lpwstr>http://www.nevo.co.il/case/28188571</vt:lpwstr>
      </vt:variant>
      <vt:variant>
        <vt:lpwstr/>
      </vt:variant>
      <vt:variant>
        <vt:i4>3932283</vt:i4>
      </vt:variant>
      <vt:variant>
        <vt:i4>99</vt:i4>
      </vt:variant>
      <vt:variant>
        <vt:i4>0</vt:i4>
      </vt:variant>
      <vt:variant>
        <vt:i4>5</vt:i4>
      </vt:variant>
      <vt:variant>
        <vt:lpwstr>http://www.nevo.co.il/case/5610199</vt:lpwstr>
      </vt:variant>
      <vt:variant>
        <vt:lpwstr/>
      </vt:variant>
      <vt:variant>
        <vt:i4>3342454</vt:i4>
      </vt:variant>
      <vt:variant>
        <vt:i4>96</vt:i4>
      </vt:variant>
      <vt:variant>
        <vt:i4>0</vt:i4>
      </vt:variant>
      <vt:variant>
        <vt:i4>5</vt:i4>
      </vt:variant>
      <vt:variant>
        <vt:lpwstr>http://www.nevo.co.il/case/5878120</vt:lpwstr>
      </vt:variant>
      <vt:variant>
        <vt:lpwstr/>
      </vt:variant>
      <vt:variant>
        <vt:i4>3932284</vt:i4>
      </vt:variant>
      <vt:variant>
        <vt:i4>93</vt:i4>
      </vt:variant>
      <vt:variant>
        <vt:i4>0</vt:i4>
      </vt:variant>
      <vt:variant>
        <vt:i4>5</vt:i4>
      </vt:variant>
      <vt:variant>
        <vt:lpwstr>http://www.nevo.co.il/case/5598555</vt:lpwstr>
      </vt:variant>
      <vt:variant>
        <vt:lpwstr/>
      </vt:variant>
      <vt:variant>
        <vt:i4>3145852</vt:i4>
      </vt:variant>
      <vt:variant>
        <vt:i4>90</vt:i4>
      </vt:variant>
      <vt:variant>
        <vt:i4>0</vt:i4>
      </vt:variant>
      <vt:variant>
        <vt:i4>5</vt:i4>
      </vt:variant>
      <vt:variant>
        <vt:lpwstr>http://www.nevo.co.il/case/20487019</vt:lpwstr>
      </vt:variant>
      <vt:variant>
        <vt:lpwstr/>
      </vt:variant>
      <vt:variant>
        <vt:i4>6619233</vt:i4>
      </vt:variant>
      <vt:variant>
        <vt:i4>72</vt:i4>
      </vt:variant>
      <vt:variant>
        <vt:i4>0</vt:i4>
      </vt:variant>
      <vt:variant>
        <vt:i4>5</vt:i4>
      </vt:variant>
      <vt:variant>
        <vt:lpwstr>http://www.nevo.co.il/law/70301/40b</vt:lpwstr>
      </vt:variant>
      <vt:variant>
        <vt:lpwstr/>
      </vt:variant>
      <vt:variant>
        <vt:i4>7995492</vt:i4>
      </vt:variant>
      <vt:variant>
        <vt:i4>69</vt:i4>
      </vt:variant>
      <vt:variant>
        <vt:i4>0</vt:i4>
      </vt:variant>
      <vt:variant>
        <vt:i4>5</vt:i4>
      </vt:variant>
      <vt:variant>
        <vt:lpwstr>http://www.nevo.co.il/law/70301</vt:lpwstr>
      </vt:variant>
      <vt:variant>
        <vt:lpwstr/>
      </vt:variant>
      <vt:variant>
        <vt:i4>458763</vt:i4>
      </vt:variant>
      <vt:variant>
        <vt:i4>66</vt:i4>
      </vt:variant>
      <vt:variant>
        <vt:i4>0</vt:i4>
      </vt:variant>
      <vt:variant>
        <vt:i4>5</vt:i4>
      </vt:variant>
      <vt:variant>
        <vt:lpwstr>http://www.nevo.co.il/law/70301/40jb</vt:lpwstr>
      </vt:variant>
      <vt:variant>
        <vt:lpwstr/>
      </vt:variant>
      <vt:variant>
        <vt:i4>8257646</vt:i4>
      </vt:variant>
      <vt:variant>
        <vt:i4>63</vt:i4>
      </vt:variant>
      <vt:variant>
        <vt:i4>0</vt:i4>
      </vt:variant>
      <vt:variant>
        <vt:i4>5</vt:i4>
      </vt:variant>
      <vt:variant>
        <vt:lpwstr>http://www.nevo.co.il/law/74903</vt:lpwstr>
      </vt:variant>
      <vt:variant>
        <vt:lpwstr/>
      </vt:variant>
      <vt:variant>
        <vt:i4>6881388</vt:i4>
      </vt:variant>
      <vt:variant>
        <vt:i4>60</vt:i4>
      </vt:variant>
      <vt:variant>
        <vt:i4>0</vt:i4>
      </vt:variant>
      <vt:variant>
        <vt:i4>5</vt:i4>
      </vt:variant>
      <vt:variant>
        <vt:lpwstr>http://www.nevo.co.il/law/74903/184</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7077945</vt:i4>
      </vt:variant>
      <vt:variant>
        <vt:i4>54</vt:i4>
      </vt:variant>
      <vt:variant>
        <vt:i4>0</vt:i4>
      </vt:variant>
      <vt:variant>
        <vt:i4>5</vt:i4>
      </vt:variant>
      <vt:variant>
        <vt:lpwstr>http://www.nevo.co.il/law/70301/499.a.1</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6881388</vt:i4>
      </vt:variant>
      <vt:variant>
        <vt:i4>27</vt:i4>
      </vt:variant>
      <vt:variant>
        <vt:i4>0</vt:i4>
      </vt:variant>
      <vt:variant>
        <vt:i4>5</vt:i4>
      </vt:variant>
      <vt:variant>
        <vt:lpwstr>http://www.nevo.co.il/law/74903/184</vt:lpwstr>
      </vt:variant>
      <vt:variant>
        <vt:lpwstr/>
      </vt:variant>
      <vt:variant>
        <vt:i4>8257646</vt:i4>
      </vt:variant>
      <vt:variant>
        <vt:i4>24</vt:i4>
      </vt:variant>
      <vt:variant>
        <vt:i4>0</vt:i4>
      </vt:variant>
      <vt:variant>
        <vt:i4>5</vt:i4>
      </vt:variant>
      <vt:variant>
        <vt:lpwstr>http://www.nevo.co.il/law/74903</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458763</vt:i4>
      </vt:variant>
      <vt:variant>
        <vt:i4>18</vt:i4>
      </vt:variant>
      <vt:variant>
        <vt:i4>0</vt:i4>
      </vt:variant>
      <vt:variant>
        <vt:i4>5</vt:i4>
      </vt:variant>
      <vt:variant>
        <vt:lpwstr>http://www.nevo.co.il/law/70301/40jb</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327694</vt:i4>
      </vt:variant>
      <vt:variant>
        <vt:i4>9</vt:i4>
      </vt:variant>
      <vt:variant>
        <vt:i4>0</vt:i4>
      </vt:variant>
      <vt:variant>
        <vt:i4>5</vt:i4>
      </vt:variant>
      <vt:variant>
        <vt:lpwstr>http://www.nevo.co.il/law/70301/12jb</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2025-04-25T10:53:00Z</dcterms:created>
  <dcterms:modified xsi:type="dcterms:W3CDTF">2025-04-25T10:53:00Z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8868</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זהארן;מואייד עליאן</vt:lpwstr>
  </property>
  <property fmtid="{D5CDD505-2E9C-101B-9397-08002B2CF9AE}" pid="10" name="LAWYER">
    <vt:lpwstr>אילן אקוקה;דוד ברהום;יעקב ג'בר;ריאד סואעד</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20220608</vt:lpwstr>
  </property>
  <property fmtid="{D5CDD505-2E9C-101B-9397-08002B2CF9AE}" pid="14" name="TYPE_N_DATE">
    <vt:lpwstr>39020220608</vt:lpwstr>
  </property>
  <property fmtid="{D5CDD505-2E9C-101B-9397-08002B2CF9AE}" pid="15" name="WORDNUMPAGES">
    <vt:lpwstr>9</vt:lpwstr>
  </property>
  <property fmtid="{D5CDD505-2E9C-101B-9397-08002B2CF9AE}" pid="16" name="TYPE_ABS_DATE">
    <vt:lpwstr>390020220608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20487019;5598555;5878120;5610199;28188571;27466637;26393925;21734210</vt:lpwstr>
  </property>
  <property fmtid="{D5CDD505-2E9C-101B-9397-08002B2CF9AE}" pid="36" name="LAWLISTTMP1">
    <vt:lpwstr>70301/499.a.1:2;144.b2:2;025:3;144.a:2;40jb;040b;12jb</vt:lpwstr>
  </property>
  <property fmtid="{D5CDD505-2E9C-101B-9397-08002B2CF9AE}" pid="37" name="LAWLISTTMP2">
    <vt:lpwstr>74903/184</vt:lpwstr>
  </property>
</Properties>
</file>