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D3287" w:rsidRPr="009C5612" w14:paraId="3311B95E" w14:textId="77777777" w:rsidTr="009F3AF1">
        <w:trPr>
          <w:trHeight w:hRule="exact" w:val="418"/>
          <w:jc w:val="center"/>
        </w:trPr>
        <w:tc>
          <w:tcPr>
            <w:tcW w:w="8721" w:type="dxa"/>
            <w:gridSpan w:val="2"/>
          </w:tcPr>
          <w:p w14:paraId="36AD57E5" w14:textId="77777777" w:rsidR="00CD3287" w:rsidRPr="009C5612" w:rsidRDefault="00CD3287" w:rsidP="000E2C46">
            <w:pPr>
              <w:pStyle w:val="a3"/>
              <w:jc w:val="center"/>
              <w:rPr>
                <w:rFonts w:ascii="Tahoma" w:hAnsi="Tahoma" w:cs="Tahoma"/>
                <w:color w:val="000080"/>
                <w:rtl/>
              </w:rPr>
            </w:pPr>
            <w:bookmarkStart w:id="0" w:name="LastJudge"/>
            <w:r w:rsidRPr="009C5612">
              <w:rPr>
                <w:rFonts w:ascii="Tahoma" w:hAnsi="Tahoma" w:cs="Tahoma"/>
                <w:b/>
                <w:bCs/>
                <w:color w:val="000080"/>
                <w:rtl/>
              </w:rPr>
              <w:t>בית המשפט המחוזי בירושלים</w:t>
            </w:r>
          </w:p>
        </w:tc>
      </w:tr>
      <w:tr w:rsidR="00CD3287" w:rsidRPr="009C5612" w14:paraId="1D5605DF" w14:textId="77777777" w:rsidTr="009F3AF1">
        <w:trPr>
          <w:trHeight w:val="337"/>
          <w:jc w:val="center"/>
        </w:trPr>
        <w:tc>
          <w:tcPr>
            <w:tcW w:w="5057" w:type="dxa"/>
          </w:tcPr>
          <w:p w14:paraId="4A01286F" w14:textId="77777777" w:rsidR="00CD3287" w:rsidRPr="009C5612" w:rsidRDefault="00CD3287" w:rsidP="000E2C46">
            <w:pPr>
              <w:rPr>
                <w:rFonts w:cs="FrankRuehl"/>
                <w:sz w:val="28"/>
                <w:szCs w:val="28"/>
                <w:rtl/>
              </w:rPr>
            </w:pPr>
            <w:r w:rsidRPr="009C5612">
              <w:rPr>
                <w:rFonts w:cs="FrankRuehl"/>
                <w:sz w:val="28"/>
                <w:szCs w:val="28"/>
                <w:rtl/>
              </w:rPr>
              <w:t>ת"פ</w:t>
            </w:r>
            <w:r w:rsidRPr="009C5612">
              <w:rPr>
                <w:rFonts w:cs="FrankRuehl" w:hint="cs"/>
                <w:sz w:val="28"/>
                <w:szCs w:val="28"/>
                <w:rtl/>
              </w:rPr>
              <w:t xml:space="preserve"> </w:t>
            </w:r>
            <w:r w:rsidRPr="009C5612">
              <w:rPr>
                <w:rFonts w:cs="FrankRuehl"/>
                <w:sz w:val="28"/>
                <w:szCs w:val="28"/>
                <w:rtl/>
              </w:rPr>
              <w:t>1631-01-22</w:t>
            </w:r>
            <w:r w:rsidRPr="009C5612">
              <w:rPr>
                <w:rFonts w:cs="FrankRuehl" w:hint="cs"/>
                <w:sz w:val="28"/>
                <w:szCs w:val="28"/>
                <w:rtl/>
              </w:rPr>
              <w:t xml:space="preserve"> </w:t>
            </w:r>
            <w:r w:rsidRPr="009C5612">
              <w:rPr>
                <w:rFonts w:cs="FrankRuehl"/>
                <w:sz w:val="28"/>
                <w:szCs w:val="28"/>
                <w:rtl/>
              </w:rPr>
              <w:t>מדינת ישראל נ' חדר(עציר)</w:t>
            </w:r>
          </w:p>
          <w:p w14:paraId="297909A2" w14:textId="77777777" w:rsidR="00CD3287" w:rsidRPr="009C5612" w:rsidRDefault="00CD3287" w:rsidP="000E2C46">
            <w:pPr>
              <w:pStyle w:val="a3"/>
              <w:rPr>
                <w:rFonts w:cs="FrankRuehl"/>
                <w:sz w:val="22"/>
                <w:szCs w:val="22"/>
                <w:rtl/>
              </w:rPr>
            </w:pPr>
          </w:p>
        </w:tc>
        <w:tc>
          <w:tcPr>
            <w:tcW w:w="3664" w:type="dxa"/>
          </w:tcPr>
          <w:p w14:paraId="2373677E" w14:textId="77777777" w:rsidR="00CD3287" w:rsidRPr="009C5612" w:rsidRDefault="00CD3287" w:rsidP="000E2C46">
            <w:pPr>
              <w:pStyle w:val="a3"/>
              <w:jc w:val="right"/>
              <w:rPr>
                <w:rFonts w:cs="FrankRuehl"/>
                <w:sz w:val="28"/>
                <w:szCs w:val="28"/>
                <w:rtl/>
              </w:rPr>
            </w:pPr>
          </w:p>
        </w:tc>
      </w:tr>
    </w:tbl>
    <w:p w14:paraId="082BFF3A" w14:textId="77777777" w:rsidR="00CD3287" w:rsidRPr="009C5612" w:rsidRDefault="00CD3287" w:rsidP="00CD3287">
      <w:pPr>
        <w:pStyle w:val="a3"/>
        <w:rPr>
          <w:sz w:val="2"/>
          <w:szCs w:val="2"/>
          <w:rtl/>
        </w:rPr>
      </w:pPr>
    </w:p>
    <w:p w14:paraId="1AEB04ED" w14:textId="77777777" w:rsidR="00CD3287" w:rsidRPr="009C5612" w:rsidRDefault="00CD3287" w:rsidP="00CD3287">
      <w:pPr>
        <w:pStyle w:val="12"/>
        <w:rPr>
          <w:rFonts w:ascii="David" w:hAnsi="David"/>
          <w:b w:val="0"/>
          <w:bCs w:val="0"/>
          <w:u w:val="none"/>
          <w:rtl/>
        </w:rPr>
      </w:pPr>
    </w:p>
    <w:p w14:paraId="4528BC0F" w14:textId="77777777" w:rsidR="00CD3287" w:rsidRPr="009C5612" w:rsidRDefault="00CD3287" w:rsidP="00CD3287">
      <w:pPr>
        <w:pStyle w:val="12"/>
        <w:rPr>
          <w:rFonts w:ascii="David" w:hAnsi="David"/>
          <w:b w:val="0"/>
          <w:bCs w:val="0"/>
          <w:u w:val="none"/>
          <w:rtl/>
        </w:rPr>
      </w:pPr>
    </w:p>
    <w:tbl>
      <w:tblPr>
        <w:bidiVisual/>
        <w:tblW w:w="8802" w:type="dxa"/>
        <w:tblInd w:w="-28" w:type="dxa"/>
        <w:tblLook w:val="01E0" w:firstRow="1" w:lastRow="1" w:firstColumn="1" w:lastColumn="1" w:noHBand="0" w:noVBand="0"/>
      </w:tblPr>
      <w:tblGrid>
        <w:gridCol w:w="2880"/>
        <w:gridCol w:w="5839"/>
        <w:gridCol w:w="83"/>
      </w:tblGrid>
      <w:tr w:rsidR="00CD3287" w:rsidRPr="009C5612" w14:paraId="4F9ECA3D" w14:textId="77777777" w:rsidTr="00CD3287">
        <w:trPr>
          <w:gridAfter w:val="1"/>
          <w:wAfter w:w="55" w:type="dxa"/>
        </w:trPr>
        <w:tc>
          <w:tcPr>
            <w:tcW w:w="8719" w:type="dxa"/>
            <w:gridSpan w:val="2"/>
            <w:shd w:val="clear" w:color="auto" w:fill="auto"/>
          </w:tcPr>
          <w:p w14:paraId="46C35B9F" w14:textId="77777777" w:rsidR="00CD3287" w:rsidRPr="009C5612" w:rsidRDefault="00CD3287" w:rsidP="00CD3287">
            <w:pPr>
              <w:spacing w:line="360" w:lineRule="auto"/>
              <w:jc w:val="both"/>
              <w:rPr>
                <w:rFonts w:ascii="David" w:hAnsi="David"/>
                <w:rtl/>
              </w:rPr>
            </w:pPr>
            <w:r w:rsidRPr="009C5612">
              <w:rPr>
                <w:rFonts w:ascii="David" w:hAnsi="David" w:hint="cs"/>
                <w:b/>
                <w:bCs/>
                <w:sz w:val="26"/>
                <w:szCs w:val="26"/>
                <w:rtl/>
              </w:rPr>
              <w:t>ל</w:t>
            </w:r>
            <w:r w:rsidRPr="009C5612">
              <w:rPr>
                <w:rFonts w:ascii="David" w:hAnsi="David"/>
                <w:b/>
                <w:bCs/>
                <w:sz w:val="26"/>
                <w:szCs w:val="26"/>
                <w:rtl/>
              </w:rPr>
              <w:t>פני כב' השופטת חנה מרים לומפ</w:t>
            </w:r>
          </w:p>
        </w:tc>
      </w:tr>
      <w:tr w:rsidR="00CD3287" w:rsidRPr="009C5612" w14:paraId="20560F45" w14:textId="77777777" w:rsidTr="00CD3287">
        <w:tc>
          <w:tcPr>
            <w:tcW w:w="2880" w:type="dxa"/>
            <w:shd w:val="clear" w:color="auto" w:fill="auto"/>
          </w:tcPr>
          <w:p w14:paraId="19C15A15" w14:textId="77777777" w:rsidR="00CD3287" w:rsidRPr="009C5612" w:rsidRDefault="00CD3287" w:rsidP="00CD3287">
            <w:pPr>
              <w:ind w:left="26"/>
              <w:rPr>
                <w:rFonts w:ascii="David" w:hAnsi="David"/>
                <w:b/>
                <w:bCs/>
                <w:sz w:val="26"/>
                <w:szCs w:val="26"/>
                <w:rtl/>
              </w:rPr>
            </w:pPr>
            <w:bookmarkStart w:id="1" w:name="FirstAppellant"/>
            <w:bookmarkStart w:id="2" w:name="FirstLawyer"/>
            <w:r w:rsidRPr="009C5612">
              <w:rPr>
                <w:rFonts w:ascii="David" w:hAnsi="David"/>
                <w:b/>
                <w:bCs/>
                <w:sz w:val="26"/>
                <w:szCs w:val="26"/>
                <w:rtl/>
              </w:rPr>
              <w:t>המאשימה</w:t>
            </w:r>
          </w:p>
        </w:tc>
        <w:tc>
          <w:tcPr>
            <w:tcW w:w="5922" w:type="dxa"/>
            <w:gridSpan w:val="2"/>
            <w:shd w:val="clear" w:color="auto" w:fill="auto"/>
          </w:tcPr>
          <w:p w14:paraId="29A99BE4" w14:textId="77777777" w:rsidR="00CD3287" w:rsidRPr="009C5612" w:rsidRDefault="00CD3287" w:rsidP="000E2C46">
            <w:pPr>
              <w:rPr>
                <w:rFonts w:ascii="David" w:hAnsi="David"/>
                <w:rtl/>
              </w:rPr>
            </w:pPr>
            <w:r w:rsidRPr="009C5612">
              <w:rPr>
                <w:rFonts w:ascii="David" w:hAnsi="David"/>
                <w:b/>
                <w:bCs/>
                <w:sz w:val="26"/>
                <w:szCs w:val="26"/>
                <w:rtl/>
              </w:rPr>
              <w:t xml:space="preserve"> </w:t>
            </w:r>
            <w:r w:rsidRPr="009C5612">
              <w:rPr>
                <w:rFonts w:ascii="David" w:hAnsi="David" w:hint="cs"/>
                <w:b/>
                <w:bCs/>
                <w:sz w:val="26"/>
                <w:szCs w:val="26"/>
                <w:rtl/>
              </w:rPr>
              <w:t>מ</w:t>
            </w:r>
            <w:r w:rsidRPr="009C5612">
              <w:rPr>
                <w:rFonts w:ascii="David" w:hAnsi="David"/>
                <w:b/>
                <w:bCs/>
                <w:sz w:val="26"/>
                <w:szCs w:val="26"/>
                <w:rtl/>
              </w:rPr>
              <w:t>דינת ישראל</w:t>
            </w:r>
          </w:p>
          <w:p w14:paraId="6ACE3F82" w14:textId="77777777" w:rsidR="00CD3287" w:rsidRPr="009C5612" w:rsidRDefault="00CD3287" w:rsidP="000E2C46">
            <w:pPr>
              <w:rPr>
                <w:rFonts w:ascii="David" w:hAnsi="David"/>
                <w:sz w:val="26"/>
                <w:szCs w:val="26"/>
                <w:rtl/>
              </w:rPr>
            </w:pPr>
            <w:r w:rsidRPr="009C5612">
              <w:rPr>
                <w:rFonts w:ascii="David" w:hAnsi="David" w:hint="cs"/>
                <w:sz w:val="26"/>
                <w:szCs w:val="26"/>
                <w:rtl/>
              </w:rPr>
              <w:t>באמצעות פרקליטות מחוז ירושלים (פלילי)</w:t>
            </w:r>
          </w:p>
          <w:p w14:paraId="05675B96" w14:textId="77777777" w:rsidR="00CD3287" w:rsidRPr="009C5612" w:rsidRDefault="00CD3287" w:rsidP="000E2C46">
            <w:pPr>
              <w:rPr>
                <w:rFonts w:ascii="David" w:hAnsi="David"/>
                <w:sz w:val="26"/>
                <w:szCs w:val="26"/>
                <w:rtl/>
              </w:rPr>
            </w:pPr>
            <w:r w:rsidRPr="009C5612">
              <w:rPr>
                <w:rFonts w:ascii="David" w:hAnsi="David" w:hint="cs"/>
                <w:sz w:val="26"/>
                <w:szCs w:val="26"/>
                <w:rtl/>
              </w:rPr>
              <w:t>על ידי ב"כ עו"ד דנה חביליו</w:t>
            </w:r>
          </w:p>
          <w:p w14:paraId="6931389F" w14:textId="77777777" w:rsidR="00CD3287" w:rsidRPr="009C5612" w:rsidRDefault="00CD3287" w:rsidP="000E2C46">
            <w:pPr>
              <w:rPr>
                <w:rFonts w:ascii="David" w:hAnsi="David"/>
                <w:b/>
                <w:bCs/>
                <w:sz w:val="26"/>
                <w:szCs w:val="26"/>
                <w:rtl/>
              </w:rPr>
            </w:pPr>
          </w:p>
        </w:tc>
      </w:tr>
      <w:bookmarkEnd w:id="1"/>
      <w:bookmarkEnd w:id="2"/>
      <w:tr w:rsidR="00CD3287" w:rsidRPr="009C5612" w14:paraId="6A1C5E19" w14:textId="77777777" w:rsidTr="00CD3287">
        <w:tc>
          <w:tcPr>
            <w:tcW w:w="8802" w:type="dxa"/>
            <w:gridSpan w:val="3"/>
            <w:shd w:val="clear" w:color="auto" w:fill="auto"/>
          </w:tcPr>
          <w:p w14:paraId="209485F0" w14:textId="77777777" w:rsidR="00CD3287" w:rsidRPr="009C5612" w:rsidRDefault="00CD3287" w:rsidP="00CD3287">
            <w:pPr>
              <w:jc w:val="both"/>
              <w:rPr>
                <w:rFonts w:ascii="David" w:hAnsi="David"/>
                <w:b/>
                <w:bCs/>
                <w:sz w:val="26"/>
                <w:szCs w:val="26"/>
                <w:rtl/>
              </w:rPr>
            </w:pPr>
          </w:p>
          <w:p w14:paraId="7CE300AE" w14:textId="77777777" w:rsidR="00CD3287" w:rsidRPr="009C5612" w:rsidRDefault="00CD3287" w:rsidP="00CD3287">
            <w:pPr>
              <w:jc w:val="center"/>
              <w:rPr>
                <w:rFonts w:ascii="David" w:hAnsi="David"/>
                <w:b/>
                <w:bCs/>
                <w:sz w:val="26"/>
                <w:szCs w:val="26"/>
                <w:rtl/>
              </w:rPr>
            </w:pPr>
            <w:r w:rsidRPr="009C5612">
              <w:rPr>
                <w:rFonts w:ascii="David" w:hAnsi="David"/>
                <w:b/>
                <w:bCs/>
                <w:sz w:val="26"/>
                <w:szCs w:val="26"/>
                <w:rtl/>
              </w:rPr>
              <w:t>נגד</w:t>
            </w:r>
          </w:p>
          <w:p w14:paraId="2B9E11C4" w14:textId="77777777" w:rsidR="00CD3287" w:rsidRPr="009C5612" w:rsidRDefault="00CD3287" w:rsidP="00CD3287">
            <w:pPr>
              <w:jc w:val="center"/>
              <w:rPr>
                <w:rFonts w:ascii="David" w:hAnsi="David"/>
                <w:b/>
                <w:bCs/>
                <w:sz w:val="26"/>
                <w:szCs w:val="26"/>
                <w:rtl/>
              </w:rPr>
            </w:pPr>
          </w:p>
        </w:tc>
      </w:tr>
      <w:tr w:rsidR="00CD3287" w:rsidRPr="009C5612" w14:paraId="3ED8DD91" w14:textId="77777777" w:rsidTr="00CD3287">
        <w:tc>
          <w:tcPr>
            <w:tcW w:w="2880" w:type="dxa"/>
            <w:shd w:val="clear" w:color="auto" w:fill="auto"/>
          </w:tcPr>
          <w:p w14:paraId="5D52D360" w14:textId="77777777" w:rsidR="00CD3287" w:rsidRPr="009C5612" w:rsidRDefault="00CD3287" w:rsidP="00CD3287">
            <w:pPr>
              <w:ind w:left="26"/>
              <w:rPr>
                <w:rFonts w:ascii="David" w:hAnsi="David"/>
                <w:b/>
                <w:bCs/>
                <w:sz w:val="26"/>
                <w:szCs w:val="26"/>
              </w:rPr>
            </w:pPr>
            <w:r w:rsidRPr="009C5612">
              <w:rPr>
                <w:rFonts w:ascii="David" w:hAnsi="David"/>
                <w:b/>
                <w:bCs/>
                <w:sz w:val="26"/>
                <w:szCs w:val="26"/>
                <w:rtl/>
              </w:rPr>
              <w:t>הנאשם</w:t>
            </w:r>
          </w:p>
        </w:tc>
        <w:tc>
          <w:tcPr>
            <w:tcW w:w="5922" w:type="dxa"/>
            <w:gridSpan w:val="2"/>
            <w:shd w:val="clear" w:color="auto" w:fill="auto"/>
          </w:tcPr>
          <w:p w14:paraId="4D83F21A" w14:textId="77777777" w:rsidR="00CD3287" w:rsidRPr="009C5612" w:rsidRDefault="00CD3287" w:rsidP="000E2C46">
            <w:pPr>
              <w:rPr>
                <w:rFonts w:ascii="David" w:hAnsi="David"/>
                <w:b/>
                <w:bCs/>
                <w:sz w:val="26"/>
                <w:szCs w:val="26"/>
                <w:rtl/>
              </w:rPr>
            </w:pPr>
            <w:r w:rsidRPr="009C5612">
              <w:rPr>
                <w:rFonts w:ascii="David" w:hAnsi="David" w:hint="cs"/>
                <w:b/>
                <w:bCs/>
                <w:sz w:val="26"/>
                <w:szCs w:val="26"/>
                <w:rtl/>
              </w:rPr>
              <w:t xml:space="preserve"> </w:t>
            </w:r>
            <w:r w:rsidRPr="009C5612">
              <w:rPr>
                <w:rFonts w:ascii="David" w:hAnsi="David"/>
                <w:b/>
                <w:bCs/>
                <w:sz w:val="26"/>
                <w:szCs w:val="26"/>
                <w:rtl/>
              </w:rPr>
              <w:t xml:space="preserve">מוסה חדר (עציר), ת"ז </w:t>
            </w:r>
            <w:r w:rsidR="009C5612">
              <w:rPr>
                <w:rFonts w:ascii="David" w:hAnsi="David"/>
                <w:b/>
                <w:bCs/>
                <w:sz w:val="26"/>
                <w:szCs w:val="26"/>
              </w:rPr>
              <w:t>xxxxxxxxx</w:t>
            </w:r>
          </w:p>
          <w:p w14:paraId="59EB9C52" w14:textId="77777777" w:rsidR="00CD3287" w:rsidRPr="009C5612" w:rsidRDefault="00CD3287" w:rsidP="000E2C46">
            <w:pPr>
              <w:rPr>
                <w:rFonts w:ascii="David" w:hAnsi="David"/>
                <w:sz w:val="26"/>
                <w:szCs w:val="26"/>
                <w:rtl/>
              </w:rPr>
            </w:pPr>
            <w:r w:rsidRPr="009C5612">
              <w:rPr>
                <w:rFonts w:ascii="David" w:hAnsi="David" w:hint="cs"/>
                <w:sz w:val="26"/>
                <w:szCs w:val="26"/>
                <w:rtl/>
              </w:rPr>
              <w:t>על ידי ב"כ עו"ד עאטף פרחאת</w:t>
            </w:r>
          </w:p>
        </w:tc>
      </w:tr>
    </w:tbl>
    <w:p w14:paraId="20B8CD1C" w14:textId="77777777" w:rsidR="009F3AF1" w:rsidRPr="009F3AF1" w:rsidRDefault="009F3AF1" w:rsidP="009F3AF1">
      <w:pPr>
        <w:spacing w:before="120" w:after="120" w:line="240" w:lineRule="exact"/>
        <w:ind w:left="283" w:hanging="283"/>
        <w:jc w:val="both"/>
        <w:rPr>
          <w:rFonts w:ascii="FrankRuehl" w:hAnsi="FrankRuehl" w:cs="FrankRuehl"/>
          <w:rtl/>
        </w:rPr>
      </w:pPr>
    </w:p>
    <w:p w14:paraId="6CA15EF2" w14:textId="77777777" w:rsidR="00FD2B42" w:rsidRPr="00FD2B42" w:rsidRDefault="00FD2B42" w:rsidP="00FD2B42">
      <w:pPr>
        <w:spacing w:before="120" w:after="120" w:line="240" w:lineRule="exact"/>
        <w:ind w:left="283" w:hanging="283"/>
        <w:jc w:val="both"/>
        <w:rPr>
          <w:rFonts w:ascii="FrankRuehl" w:hAnsi="FrankRuehl" w:cs="FrankRuehl"/>
          <w:rtl/>
        </w:rPr>
      </w:pPr>
    </w:p>
    <w:p w14:paraId="05C45777" w14:textId="77777777" w:rsidR="00E61F8B" w:rsidRDefault="00E61F8B" w:rsidP="00E61F8B">
      <w:pPr>
        <w:rPr>
          <w:rFonts w:ascii="Arial" w:hAnsi="Arial"/>
          <w:sz w:val="12"/>
          <w:szCs w:val="12"/>
          <w:rtl/>
        </w:rPr>
      </w:pPr>
      <w:bookmarkStart w:id="3" w:name="LawTable"/>
      <w:bookmarkEnd w:id="3"/>
    </w:p>
    <w:p w14:paraId="585C12EC" w14:textId="77777777" w:rsidR="00E61F8B" w:rsidRPr="00E61F8B" w:rsidRDefault="00E61F8B" w:rsidP="00E61F8B">
      <w:pPr>
        <w:spacing w:before="120" w:after="120" w:line="240" w:lineRule="exact"/>
        <w:ind w:left="283" w:hanging="283"/>
        <w:jc w:val="both"/>
        <w:rPr>
          <w:rFonts w:ascii="FrankRuehl" w:hAnsi="FrankRuehl" w:cs="FrankRuehl"/>
          <w:rtl/>
        </w:rPr>
      </w:pPr>
    </w:p>
    <w:p w14:paraId="5F4EC565" w14:textId="77777777" w:rsidR="00E61F8B" w:rsidRPr="00E61F8B" w:rsidRDefault="00E61F8B" w:rsidP="00E61F8B">
      <w:pPr>
        <w:spacing w:before="120" w:after="120" w:line="240" w:lineRule="exact"/>
        <w:ind w:left="283" w:hanging="283"/>
        <w:jc w:val="both"/>
        <w:rPr>
          <w:rFonts w:ascii="FrankRuehl" w:hAnsi="FrankRuehl" w:cs="FrankRuehl"/>
          <w:rtl/>
        </w:rPr>
      </w:pPr>
    </w:p>
    <w:p w14:paraId="6BF78F7A" w14:textId="77777777" w:rsidR="00E61F8B" w:rsidRPr="00E61F8B" w:rsidRDefault="00E61F8B" w:rsidP="00E61F8B">
      <w:pPr>
        <w:spacing w:before="120" w:after="120" w:line="240" w:lineRule="exact"/>
        <w:ind w:left="283" w:hanging="283"/>
        <w:jc w:val="both"/>
        <w:rPr>
          <w:rFonts w:ascii="FrankRuehl" w:hAnsi="FrankRuehl" w:cs="FrankRuehl"/>
          <w:rtl/>
        </w:rPr>
      </w:pPr>
      <w:r w:rsidRPr="00E61F8B">
        <w:rPr>
          <w:rFonts w:ascii="FrankRuehl" w:hAnsi="FrankRuehl" w:cs="FrankRuehl"/>
          <w:rtl/>
        </w:rPr>
        <w:t xml:space="preserve">חקיקה שאוזכרה: </w:t>
      </w:r>
    </w:p>
    <w:p w14:paraId="134828B8" w14:textId="77777777" w:rsidR="00E61F8B" w:rsidRPr="00E61F8B" w:rsidRDefault="00E61F8B" w:rsidP="00E61F8B">
      <w:pPr>
        <w:spacing w:before="120" w:after="120" w:line="240" w:lineRule="exact"/>
        <w:ind w:left="283" w:hanging="283"/>
        <w:jc w:val="both"/>
        <w:rPr>
          <w:rFonts w:ascii="FrankRuehl" w:hAnsi="FrankRuehl" w:cs="FrankRuehl"/>
          <w:rtl/>
        </w:rPr>
      </w:pPr>
      <w:hyperlink r:id="rId7" w:history="1">
        <w:r w:rsidRPr="00E61F8B">
          <w:rPr>
            <w:rFonts w:ascii="FrankRuehl" w:hAnsi="FrankRuehl" w:cs="FrankRuehl"/>
            <w:color w:val="0000FF"/>
            <w:rtl/>
          </w:rPr>
          <w:t>חוק העונשין, תשל"ז-1977</w:t>
        </w:r>
      </w:hyperlink>
      <w:r w:rsidRPr="00E61F8B">
        <w:rPr>
          <w:rFonts w:ascii="FrankRuehl" w:hAnsi="FrankRuehl" w:cs="FrankRuehl"/>
          <w:rtl/>
        </w:rPr>
        <w:t xml:space="preserve">: סע'  </w:t>
      </w:r>
      <w:hyperlink r:id="rId8" w:history="1">
        <w:r w:rsidRPr="00E61F8B">
          <w:rPr>
            <w:rFonts w:ascii="FrankRuehl" w:hAnsi="FrankRuehl" w:cs="FrankRuehl"/>
            <w:color w:val="0000FF"/>
            <w:rtl/>
          </w:rPr>
          <w:t>40ט</w:t>
        </w:r>
      </w:hyperlink>
      <w:r w:rsidRPr="00E61F8B">
        <w:rPr>
          <w:rFonts w:ascii="FrankRuehl" w:hAnsi="FrankRuehl" w:cs="FrankRuehl"/>
          <w:rtl/>
        </w:rPr>
        <w:t xml:space="preserve">, </w:t>
      </w:r>
      <w:hyperlink r:id="rId9" w:history="1">
        <w:r w:rsidRPr="00E61F8B">
          <w:rPr>
            <w:rFonts w:ascii="FrankRuehl" w:hAnsi="FrankRuehl" w:cs="FrankRuehl"/>
            <w:color w:val="0000FF"/>
            <w:rtl/>
          </w:rPr>
          <w:t>144(א)</w:t>
        </w:r>
      </w:hyperlink>
      <w:r w:rsidRPr="00E61F8B">
        <w:rPr>
          <w:rFonts w:ascii="FrankRuehl" w:hAnsi="FrankRuehl" w:cs="FrankRuehl"/>
          <w:rtl/>
        </w:rPr>
        <w:t xml:space="preserve">, </w:t>
      </w:r>
      <w:hyperlink r:id="rId10" w:history="1">
        <w:r w:rsidRPr="00E61F8B">
          <w:rPr>
            <w:rFonts w:ascii="FrankRuehl" w:hAnsi="FrankRuehl" w:cs="FrankRuehl"/>
            <w:color w:val="0000FF"/>
            <w:rtl/>
          </w:rPr>
          <w:t>40 יא'</w:t>
        </w:r>
      </w:hyperlink>
    </w:p>
    <w:p w14:paraId="524ED5D0" w14:textId="77777777" w:rsidR="00E61F8B" w:rsidRPr="00E61F8B" w:rsidRDefault="00E61F8B" w:rsidP="00E61F8B">
      <w:pPr>
        <w:rPr>
          <w:rFonts w:ascii="Arial" w:hAnsi="Arial"/>
          <w:sz w:val="12"/>
          <w:szCs w:val="12"/>
          <w:rtl/>
        </w:rPr>
      </w:pPr>
      <w:bookmarkStart w:id="4" w:name="LawTable_End"/>
      <w:bookmarkEnd w:id="4"/>
    </w:p>
    <w:p w14:paraId="356D6487" w14:textId="77777777" w:rsidR="00CD3287" w:rsidRPr="00FD2B42" w:rsidRDefault="00CD3287" w:rsidP="00FD2B42">
      <w:pPr>
        <w:rPr>
          <w:rFonts w:ascii="Arial" w:hAnsi="Arial"/>
          <w:sz w:val="12"/>
          <w:szCs w:val="1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3287" w14:paraId="41C1DE8B" w14:textId="77777777" w:rsidTr="00CD3287">
        <w:trPr>
          <w:trHeight w:val="355"/>
          <w:jc w:val="center"/>
        </w:trPr>
        <w:tc>
          <w:tcPr>
            <w:tcW w:w="8820" w:type="dxa"/>
            <w:tcBorders>
              <w:top w:val="nil"/>
              <w:left w:val="nil"/>
              <w:bottom w:val="nil"/>
              <w:right w:val="nil"/>
            </w:tcBorders>
            <w:shd w:val="clear" w:color="auto" w:fill="auto"/>
          </w:tcPr>
          <w:p w14:paraId="40B67253" w14:textId="77777777" w:rsidR="009C5612" w:rsidRPr="009C5612" w:rsidRDefault="009C5612" w:rsidP="009C5612">
            <w:pPr>
              <w:jc w:val="center"/>
              <w:rPr>
                <w:rFonts w:ascii="David" w:hAnsi="David"/>
                <w:b/>
                <w:bCs/>
                <w:sz w:val="32"/>
                <w:szCs w:val="32"/>
                <w:u w:val="single"/>
                <w:rtl/>
              </w:rPr>
            </w:pPr>
            <w:bookmarkStart w:id="5" w:name="PsakDin" w:colFirst="0" w:colLast="0"/>
            <w:bookmarkEnd w:id="0"/>
            <w:r w:rsidRPr="009C5612">
              <w:rPr>
                <w:rFonts w:ascii="David" w:hAnsi="David"/>
                <w:b/>
                <w:bCs/>
                <w:sz w:val="32"/>
                <w:szCs w:val="32"/>
                <w:u w:val="single"/>
                <w:rtl/>
              </w:rPr>
              <w:t>גזר דין</w:t>
            </w:r>
          </w:p>
          <w:p w14:paraId="324CA77B" w14:textId="77777777" w:rsidR="00CD3287" w:rsidRPr="009C5612" w:rsidRDefault="00CD3287" w:rsidP="009C5612">
            <w:pPr>
              <w:jc w:val="center"/>
              <w:rPr>
                <w:rFonts w:ascii="David" w:hAnsi="David"/>
                <w:bCs/>
                <w:sz w:val="32"/>
                <w:szCs w:val="32"/>
                <w:u w:val="single"/>
                <w:rtl/>
              </w:rPr>
            </w:pPr>
          </w:p>
        </w:tc>
      </w:tr>
      <w:bookmarkEnd w:id="5"/>
    </w:tbl>
    <w:p w14:paraId="45835190" w14:textId="77777777" w:rsidR="00CD3287" w:rsidRPr="00091E2E" w:rsidRDefault="00CD3287" w:rsidP="00CD3287">
      <w:pPr>
        <w:rPr>
          <w:rFonts w:ascii="Arial" w:hAnsi="Arial"/>
          <w:b/>
          <w:bCs/>
          <w:sz w:val="12"/>
          <w:szCs w:val="12"/>
          <w:rtl/>
        </w:rPr>
      </w:pPr>
    </w:p>
    <w:p w14:paraId="59DCDDB3" w14:textId="77777777" w:rsidR="00CD3287" w:rsidRDefault="00CD3287" w:rsidP="00CD3287">
      <w:pPr>
        <w:spacing w:line="252" w:lineRule="auto"/>
        <w:rPr>
          <w:rFonts w:ascii="David" w:hAnsi="David"/>
          <w:b/>
          <w:bCs/>
          <w:u w:val="single"/>
          <w:rtl/>
        </w:rPr>
      </w:pPr>
      <w:r>
        <w:rPr>
          <w:rFonts w:ascii="David" w:hAnsi="David"/>
          <w:b/>
          <w:bCs/>
          <w:u w:val="single"/>
          <w:rtl/>
        </w:rPr>
        <w:t>רקע</w:t>
      </w:r>
    </w:p>
    <w:p w14:paraId="0931F472" w14:textId="77777777" w:rsidR="00CD3287" w:rsidRDefault="00CD3287" w:rsidP="00CD3287">
      <w:pPr>
        <w:pStyle w:val="a9"/>
        <w:spacing w:after="0" w:line="360" w:lineRule="auto"/>
        <w:ind w:left="0"/>
        <w:jc w:val="both"/>
        <w:rPr>
          <w:rFonts w:ascii="David" w:hAnsi="David" w:cs="David"/>
          <w:sz w:val="12"/>
          <w:szCs w:val="12"/>
        </w:rPr>
      </w:pPr>
    </w:p>
    <w:p w14:paraId="5C7B79C7" w14:textId="77777777" w:rsidR="00CD3287" w:rsidRDefault="00CD3287" w:rsidP="00CD3287">
      <w:pPr>
        <w:pStyle w:val="a9"/>
        <w:numPr>
          <w:ilvl w:val="0"/>
          <w:numId w:val="1"/>
        </w:numPr>
        <w:spacing w:after="0" w:line="360" w:lineRule="auto"/>
        <w:ind w:left="283" w:hanging="283"/>
        <w:jc w:val="both"/>
        <w:rPr>
          <w:rFonts w:ascii="David" w:hAnsi="David" w:cs="David"/>
          <w:sz w:val="24"/>
          <w:szCs w:val="24"/>
        </w:rPr>
      </w:pPr>
      <w:bookmarkStart w:id="6" w:name="ABSTRACT_START"/>
      <w:bookmarkEnd w:id="6"/>
      <w:r>
        <w:rPr>
          <w:rFonts w:ascii="David" w:hAnsi="David" w:cs="David"/>
          <w:sz w:val="24"/>
          <w:szCs w:val="24"/>
          <w:rtl/>
        </w:rPr>
        <w:t xml:space="preserve">הנאשם הורשע על פי הודאתו, במסגרת הסדר טיעון בכתב אישום מתוקן, בעבירה של החזקת נשק ותחמושת בלא רשות על פי דין, עבירה לפי </w:t>
      </w:r>
      <w:hyperlink r:id="rId11" w:history="1">
        <w:r w:rsidR="009F3AF1" w:rsidRPr="009F3AF1">
          <w:rPr>
            <w:rStyle w:val="Hyperlink"/>
            <w:rFonts w:ascii="David" w:hAnsi="David" w:cs="David"/>
            <w:sz w:val="24"/>
            <w:szCs w:val="24"/>
            <w:rtl/>
          </w:rPr>
          <w:t>סעיף 144(א)</w:t>
        </w:r>
      </w:hyperlink>
      <w:r>
        <w:rPr>
          <w:rFonts w:ascii="David" w:hAnsi="David" w:cs="David"/>
          <w:sz w:val="24"/>
          <w:szCs w:val="24"/>
          <w:rtl/>
        </w:rPr>
        <w:t xml:space="preserve"> רישא בצירוף סיפא ל</w:t>
      </w:r>
      <w:hyperlink r:id="rId12" w:history="1">
        <w:r w:rsidR="009C5612" w:rsidRPr="009C5612">
          <w:rPr>
            <w:rFonts w:ascii="David" w:hAnsi="David" w:cs="David"/>
            <w:color w:val="0000FF"/>
            <w:sz w:val="24"/>
            <w:szCs w:val="24"/>
            <w:u w:val="single"/>
            <w:rtl/>
          </w:rPr>
          <w:t>חוק העונשין</w:t>
        </w:r>
      </w:hyperlink>
      <w:r>
        <w:rPr>
          <w:rFonts w:ascii="David" w:hAnsi="David" w:cs="David"/>
          <w:sz w:val="24"/>
          <w:szCs w:val="24"/>
          <w:rtl/>
        </w:rPr>
        <w:t xml:space="preserve">, התשל"ז -1977 </w:t>
      </w:r>
      <w:bookmarkStart w:id="7" w:name="ABSTRACT_END"/>
      <w:bookmarkEnd w:id="7"/>
      <w:r>
        <w:rPr>
          <w:rFonts w:ascii="David" w:hAnsi="David" w:cs="David"/>
          <w:sz w:val="24"/>
          <w:szCs w:val="24"/>
          <w:rtl/>
        </w:rPr>
        <w:t>(להלן: "</w:t>
      </w:r>
      <w:r>
        <w:rPr>
          <w:rFonts w:ascii="David" w:hAnsi="David" w:cs="David"/>
          <w:b/>
          <w:bCs/>
          <w:sz w:val="24"/>
          <w:szCs w:val="24"/>
          <w:rtl/>
        </w:rPr>
        <w:t>חוק</w:t>
      </w:r>
      <w:r>
        <w:rPr>
          <w:rFonts w:ascii="David" w:hAnsi="David" w:cs="David" w:hint="cs"/>
          <w:sz w:val="24"/>
          <w:szCs w:val="24"/>
          <w:rtl/>
        </w:rPr>
        <w:t xml:space="preserve"> </w:t>
      </w:r>
      <w:r w:rsidRPr="005102F1">
        <w:rPr>
          <w:rFonts w:ascii="David" w:hAnsi="David" w:cs="David" w:hint="cs"/>
          <w:b/>
          <w:bCs/>
          <w:sz w:val="24"/>
          <w:szCs w:val="24"/>
          <w:rtl/>
        </w:rPr>
        <w:t>העונשין</w:t>
      </w:r>
      <w:r>
        <w:rPr>
          <w:rFonts w:ascii="David" w:hAnsi="David" w:cs="David"/>
          <w:sz w:val="24"/>
          <w:szCs w:val="24"/>
          <w:rtl/>
        </w:rPr>
        <w:t>").</w:t>
      </w:r>
    </w:p>
    <w:p w14:paraId="07FBA242" w14:textId="77777777" w:rsidR="00CD3287" w:rsidRPr="00861807" w:rsidRDefault="00CD3287" w:rsidP="00CD3287">
      <w:pPr>
        <w:pStyle w:val="a9"/>
        <w:spacing w:after="0" w:line="360" w:lineRule="auto"/>
        <w:ind w:left="283"/>
        <w:jc w:val="both"/>
        <w:rPr>
          <w:rFonts w:ascii="David" w:hAnsi="David" w:cs="David"/>
          <w:sz w:val="12"/>
          <w:szCs w:val="12"/>
        </w:rPr>
      </w:pPr>
    </w:p>
    <w:p w14:paraId="5B8C8515" w14:textId="77777777" w:rsidR="00CD3287" w:rsidRDefault="00CD3287" w:rsidP="00CD3287">
      <w:pPr>
        <w:pStyle w:val="a9"/>
        <w:numPr>
          <w:ilvl w:val="0"/>
          <w:numId w:val="1"/>
        </w:numPr>
        <w:spacing w:after="0" w:line="360" w:lineRule="auto"/>
        <w:ind w:left="283" w:hanging="283"/>
        <w:jc w:val="both"/>
        <w:rPr>
          <w:rFonts w:ascii="David" w:hAnsi="David" w:cs="David"/>
          <w:sz w:val="24"/>
          <w:szCs w:val="24"/>
        </w:rPr>
      </w:pPr>
      <w:r w:rsidRPr="00861807">
        <w:rPr>
          <w:rFonts w:ascii="David" w:hAnsi="David" w:cs="David"/>
          <w:sz w:val="24"/>
          <w:szCs w:val="24"/>
          <w:rtl/>
        </w:rPr>
        <w:t xml:space="preserve">במסגרת הסדר הטיעון לא הייתה הסכמה לעניין העונש וכל צד נותר חופשי בטיעוניו. </w:t>
      </w:r>
      <w:r w:rsidRPr="00861807">
        <w:rPr>
          <w:rFonts w:ascii="David" w:hAnsi="David" w:cs="David" w:hint="cs"/>
          <w:sz w:val="24"/>
          <w:szCs w:val="24"/>
          <w:rtl/>
        </w:rPr>
        <w:t>בשל גילו של הנאשם, יש חובת תסקיר בעניינו, ועל כן הטיעונים לעו</w:t>
      </w:r>
      <w:r>
        <w:rPr>
          <w:rFonts w:ascii="David" w:hAnsi="David" w:cs="David" w:hint="cs"/>
          <w:sz w:val="24"/>
          <w:szCs w:val="24"/>
          <w:rtl/>
        </w:rPr>
        <w:t xml:space="preserve">נש נקבעו לאחר קבלת תסקיר שירות </w:t>
      </w:r>
      <w:r w:rsidRPr="00861807">
        <w:rPr>
          <w:rFonts w:ascii="David" w:hAnsi="David" w:cs="David" w:hint="cs"/>
          <w:sz w:val="24"/>
          <w:szCs w:val="24"/>
          <w:rtl/>
        </w:rPr>
        <w:t xml:space="preserve">מבחן. </w:t>
      </w:r>
      <w:r>
        <w:rPr>
          <w:rFonts w:ascii="David" w:hAnsi="David" w:cs="David" w:hint="cs"/>
          <w:sz w:val="24"/>
          <w:szCs w:val="24"/>
          <w:rtl/>
        </w:rPr>
        <w:t>בנוסף, הוסכם בגדרי הסדר הטיעון, כי</w:t>
      </w:r>
      <w:r w:rsidRPr="00861807">
        <w:rPr>
          <w:rFonts w:ascii="David" w:hAnsi="David" w:cs="David"/>
          <w:sz w:val="24"/>
          <w:szCs w:val="24"/>
          <w:rtl/>
        </w:rPr>
        <w:t xml:space="preserve"> יוצגו תמונות התחמושת במסגרת הטיעונים לעונש והנאשם יוכל לטעון</w:t>
      </w:r>
      <w:r>
        <w:rPr>
          <w:rFonts w:ascii="David" w:hAnsi="David" w:cs="David" w:hint="cs"/>
          <w:sz w:val="24"/>
          <w:szCs w:val="24"/>
          <w:rtl/>
        </w:rPr>
        <w:t>,</w:t>
      </w:r>
      <w:r w:rsidRPr="00861807">
        <w:rPr>
          <w:rFonts w:ascii="David" w:hAnsi="David" w:cs="David"/>
          <w:sz w:val="24"/>
          <w:szCs w:val="24"/>
          <w:rtl/>
        </w:rPr>
        <w:t xml:space="preserve"> כי מדובר בכדורים חלודים שעולה ספק אם הם שמישים והמאשימה לא תביא ראיות לסתור זאת</w:t>
      </w:r>
      <w:r>
        <w:rPr>
          <w:rFonts w:ascii="David" w:hAnsi="David" w:cs="David" w:hint="cs"/>
          <w:sz w:val="24"/>
          <w:szCs w:val="24"/>
          <w:rtl/>
        </w:rPr>
        <w:t>,</w:t>
      </w:r>
      <w:r w:rsidRPr="00861807">
        <w:rPr>
          <w:rFonts w:ascii="David" w:hAnsi="David" w:cs="David"/>
          <w:sz w:val="24"/>
          <w:szCs w:val="24"/>
          <w:rtl/>
        </w:rPr>
        <w:t xml:space="preserve"> </w:t>
      </w:r>
      <w:r>
        <w:rPr>
          <w:rFonts w:ascii="David" w:hAnsi="David" w:cs="David" w:hint="cs"/>
          <w:sz w:val="24"/>
          <w:szCs w:val="24"/>
          <w:rtl/>
        </w:rPr>
        <w:t>אולם</w:t>
      </w:r>
      <w:r w:rsidRPr="00861807">
        <w:rPr>
          <w:rFonts w:ascii="David" w:hAnsi="David" w:cs="David"/>
          <w:sz w:val="24"/>
          <w:szCs w:val="24"/>
          <w:rtl/>
        </w:rPr>
        <w:t xml:space="preserve"> תטען כי ככלל לא נערכת חוו"ד מומחה לעניין תחמושת</w:t>
      </w:r>
      <w:r>
        <w:rPr>
          <w:rFonts w:ascii="David" w:hAnsi="David" w:cs="David" w:hint="cs"/>
          <w:sz w:val="24"/>
          <w:szCs w:val="24"/>
          <w:rtl/>
        </w:rPr>
        <w:t>,</w:t>
      </w:r>
      <w:r w:rsidRPr="00861807">
        <w:rPr>
          <w:rFonts w:ascii="David" w:hAnsi="David" w:cs="David"/>
          <w:sz w:val="24"/>
          <w:szCs w:val="24"/>
          <w:rtl/>
        </w:rPr>
        <w:t xml:space="preserve"> וכי אין ראיות לכך </w:t>
      </w:r>
      <w:r>
        <w:rPr>
          <w:rFonts w:ascii="David" w:hAnsi="David" w:cs="David" w:hint="cs"/>
          <w:sz w:val="24"/>
          <w:szCs w:val="24"/>
          <w:rtl/>
        </w:rPr>
        <w:t>ש</w:t>
      </w:r>
      <w:r w:rsidRPr="00861807">
        <w:rPr>
          <w:rFonts w:ascii="David" w:hAnsi="David" w:cs="David"/>
          <w:sz w:val="24"/>
          <w:szCs w:val="24"/>
          <w:rtl/>
        </w:rPr>
        <w:t>מדובר בתחמושת שאינה שמישה.</w:t>
      </w:r>
      <w:r>
        <w:rPr>
          <w:rFonts w:ascii="David" w:hAnsi="David" w:cs="David" w:hint="cs"/>
          <w:sz w:val="24"/>
          <w:szCs w:val="24"/>
          <w:rtl/>
        </w:rPr>
        <w:t xml:space="preserve"> בסופו של דבר, לא הוצגו תמונות לפניי.</w:t>
      </w:r>
    </w:p>
    <w:p w14:paraId="38DA5EEE" w14:textId="77777777" w:rsidR="00CD3287" w:rsidRPr="00861807" w:rsidRDefault="00CD3287" w:rsidP="00CD3287">
      <w:pPr>
        <w:pStyle w:val="a9"/>
        <w:spacing w:after="0" w:line="360" w:lineRule="auto"/>
        <w:ind w:left="283"/>
        <w:jc w:val="both"/>
        <w:rPr>
          <w:rFonts w:ascii="David" w:hAnsi="David" w:cs="David"/>
          <w:sz w:val="12"/>
          <w:szCs w:val="12"/>
        </w:rPr>
      </w:pPr>
    </w:p>
    <w:p w14:paraId="2C78A44F" w14:textId="77777777" w:rsidR="00CD3287" w:rsidRDefault="00CD3287" w:rsidP="00CD3287">
      <w:pPr>
        <w:pStyle w:val="a9"/>
        <w:numPr>
          <w:ilvl w:val="0"/>
          <w:numId w:val="1"/>
        </w:numPr>
        <w:spacing w:after="0" w:line="360" w:lineRule="auto"/>
        <w:ind w:left="283" w:hanging="283"/>
        <w:jc w:val="both"/>
        <w:rPr>
          <w:rFonts w:ascii="David" w:hAnsi="David" w:cs="David"/>
          <w:sz w:val="24"/>
          <w:szCs w:val="24"/>
          <w:rtl/>
        </w:rPr>
      </w:pPr>
      <w:r>
        <w:rPr>
          <w:rFonts w:ascii="David" w:hAnsi="David" w:cs="David"/>
          <w:sz w:val="24"/>
          <w:szCs w:val="24"/>
          <w:rtl/>
        </w:rPr>
        <w:t>על פי עובדות כתב האישום המתוקן, במועד שאינו ידוע במדויק למאשימה, מצא הנאשם במחסן נטוש, סמוך לבניין מגורים בו הוא מתגורר בשכונת עזריה, בירושלים (להלן: "</w:t>
      </w:r>
      <w:r>
        <w:rPr>
          <w:rFonts w:ascii="David" w:hAnsi="David" w:cs="David"/>
          <w:b/>
          <w:bCs/>
          <w:sz w:val="24"/>
          <w:szCs w:val="24"/>
          <w:rtl/>
        </w:rPr>
        <w:t>המחסן</w:t>
      </w:r>
      <w:r>
        <w:rPr>
          <w:rFonts w:ascii="David" w:hAnsi="David" w:cs="David"/>
          <w:sz w:val="24"/>
          <w:szCs w:val="24"/>
          <w:rtl/>
        </w:rPr>
        <w:t>"), במקום שבו נתפס, מטען חבלה מאולתר אשר בכוחו להזיק לאדם (להלן: "</w:t>
      </w:r>
      <w:r>
        <w:rPr>
          <w:rFonts w:ascii="David" w:hAnsi="David" w:cs="David"/>
          <w:b/>
          <w:bCs/>
          <w:sz w:val="24"/>
          <w:szCs w:val="24"/>
          <w:rtl/>
        </w:rPr>
        <w:t>הנשק</w:t>
      </w:r>
      <w:r>
        <w:rPr>
          <w:rFonts w:ascii="David" w:hAnsi="David" w:cs="David"/>
          <w:sz w:val="24"/>
          <w:szCs w:val="24"/>
          <w:rtl/>
        </w:rPr>
        <w:t xml:space="preserve">"). הנשק מורכב מצינור </w:t>
      </w:r>
      <w:r>
        <w:rPr>
          <w:rFonts w:ascii="David" w:hAnsi="David" w:cs="David"/>
          <w:sz w:val="24"/>
          <w:szCs w:val="24"/>
          <w:rtl/>
        </w:rPr>
        <w:lastRenderedPageBreak/>
        <w:t>מתכת ישר בקוטר צול ובאורך של כ-5.5 ס"מ אשר לקצותיו הוברגו מקטיני קוטר לקוטר 1 צול. כל אחד ממקטיני הקוטר נסגרו באמצעות פקקי מתכת בקוטר 1 צול. דרך חור באחד מפקקי המתכת הוחדר אמצעי הייזום. במטען הצינור נמצאו שיירי גופרית, דיפניל אמין, אתיל צנטרליט וכן חומר מסוג ניטרוגליצרין. עוד היו במטען לפחות שני קליעי נק"ל המשמשים כתוספת רסס בעת פיצוץ המטען שבכוחו להזיק לאדם.</w:t>
      </w:r>
    </w:p>
    <w:p w14:paraId="2B4427FE" w14:textId="77777777" w:rsidR="00CD3287" w:rsidRPr="00454965" w:rsidRDefault="00CD3287" w:rsidP="00CD3287">
      <w:pPr>
        <w:pStyle w:val="a9"/>
        <w:rPr>
          <w:rFonts w:ascii="David" w:hAnsi="David" w:cs="David"/>
          <w:sz w:val="12"/>
          <w:szCs w:val="12"/>
        </w:rPr>
      </w:pPr>
    </w:p>
    <w:p w14:paraId="70BF0513" w14:textId="77777777" w:rsidR="00CD3287" w:rsidRDefault="00CD3287" w:rsidP="00CD3287">
      <w:pPr>
        <w:pStyle w:val="a9"/>
        <w:numPr>
          <w:ilvl w:val="0"/>
          <w:numId w:val="1"/>
        </w:numPr>
        <w:spacing w:after="0" w:line="360" w:lineRule="auto"/>
        <w:ind w:left="283" w:hanging="283"/>
        <w:jc w:val="both"/>
        <w:rPr>
          <w:rFonts w:ascii="David" w:hAnsi="David" w:cs="David"/>
          <w:sz w:val="24"/>
          <w:szCs w:val="24"/>
          <w:rtl/>
        </w:rPr>
      </w:pPr>
      <w:r>
        <w:rPr>
          <w:rFonts w:ascii="David" w:hAnsi="David" w:cs="David"/>
          <w:sz w:val="24"/>
          <w:szCs w:val="24"/>
          <w:rtl/>
        </w:rPr>
        <w:t>עוד מצא הנאשם במועד הרלוונטי מספר כדורים מסוג 5.56 מ"מ ו-9 מ"מ המתאימים לכלי נשק אשר בכוחם להמית אדם (להלן: "</w:t>
      </w:r>
      <w:r>
        <w:rPr>
          <w:rFonts w:ascii="David" w:hAnsi="David" w:cs="David"/>
          <w:b/>
          <w:bCs/>
          <w:sz w:val="24"/>
          <w:szCs w:val="24"/>
          <w:rtl/>
        </w:rPr>
        <w:t>התחמושת</w:t>
      </w:r>
      <w:r>
        <w:rPr>
          <w:rFonts w:ascii="David" w:hAnsi="David" w:cs="David"/>
          <w:sz w:val="24"/>
          <w:szCs w:val="24"/>
          <w:rtl/>
        </w:rPr>
        <w:t>").</w:t>
      </w:r>
    </w:p>
    <w:p w14:paraId="6B32A6E1" w14:textId="77777777" w:rsidR="00CD3287" w:rsidRPr="00454965" w:rsidRDefault="00CD3287" w:rsidP="00CD3287">
      <w:pPr>
        <w:pStyle w:val="a9"/>
        <w:rPr>
          <w:rFonts w:ascii="David" w:hAnsi="David" w:cs="David"/>
          <w:sz w:val="12"/>
          <w:szCs w:val="12"/>
        </w:rPr>
      </w:pPr>
    </w:p>
    <w:p w14:paraId="1139050B" w14:textId="77777777" w:rsidR="00CD3287" w:rsidRPr="00067428" w:rsidRDefault="00CD3287" w:rsidP="00CD3287">
      <w:pPr>
        <w:pStyle w:val="a9"/>
        <w:numPr>
          <w:ilvl w:val="0"/>
          <w:numId w:val="1"/>
        </w:numPr>
        <w:spacing w:after="0" w:line="360" w:lineRule="auto"/>
        <w:ind w:left="283" w:hanging="283"/>
        <w:jc w:val="both"/>
        <w:rPr>
          <w:rFonts w:ascii="David" w:hAnsi="David" w:cs="David"/>
          <w:sz w:val="24"/>
          <w:szCs w:val="24"/>
          <w:rtl/>
        </w:rPr>
      </w:pPr>
      <w:r>
        <w:rPr>
          <w:rFonts w:ascii="David" w:hAnsi="David" w:cs="David"/>
          <w:sz w:val="24"/>
          <w:szCs w:val="24"/>
          <w:rtl/>
        </w:rPr>
        <w:t>במועד שאינו ידוע במדויק למאשימה ועד יום 23.12.21, החזיק הנאשם במחסן את הנשק והתחמושת.</w:t>
      </w:r>
      <w:r>
        <w:rPr>
          <w:rFonts w:ascii="David" w:hAnsi="David" w:cs="David" w:hint="cs"/>
          <w:sz w:val="24"/>
          <w:szCs w:val="24"/>
          <w:rtl/>
        </w:rPr>
        <w:t xml:space="preserve"> </w:t>
      </w:r>
      <w:r w:rsidRPr="00067428">
        <w:rPr>
          <w:rFonts w:ascii="David" w:hAnsi="David" w:cs="David"/>
          <w:sz w:val="24"/>
          <w:szCs w:val="24"/>
          <w:rtl/>
        </w:rPr>
        <w:t xml:space="preserve">במעשיו האמורים לעיל, </w:t>
      </w:r>
      <w:r>
        <w:rPr>
          <w:rFonts w:ascii="David" w:hAnsi="David" w:cs="David" w:hint="cs"/>
          <w:sz w:val="24"/>
          <w:szCs w:val="24"/>
          <w:rtl/>
        </w:rPr>
        <w:t xml:space="preserve">החזיק </w:t>
      </w:r>
      <w:r w:rsidRPr="00067428">
        <w:rPr>
          <w:rFonts w:ascii="David" w:hAnsi="David" w:cs="David"/>
          <w:sz w:val="24"/>
          <w:szCs w:val="24"/>
          <w:rtl/>
        </w:rPr>
        <w:t>הנאשם נשק ותחמושת בלא רשות על פי דין.</w:t>
      </w:r>
    </w:p>
    <w:p w14:paraId="538341D9" w14:textId="77777777" w:rsidR="00CD3287" w:rsidRDefault="00CD3287" w:rsidP="00CD3287">
      <w:pPr>
        <w:spacing w:line="360" w:lineRule="auto"/>
        <w:jc w:val="both"/>
        <w:rPr>
          <w:rFonts w:ascii="David" w:hAnsi="David"/>
          <w:b/>
          <w:bCs/>
          <w:u w:val="single"/>
          <w:rtl/>
        </w:rPr>
      </w:pPr>
    </w:p>
    <w:p w14:paraId="6D820D47" w14:textId="77777777" w:rsidR="00CD3287" w:rsidRDefault="00CD3287" w:rsidP="00CD3287">
      <w:pPr>
        <w:spacing w:line="360" w:lineRule="auto"/>
        <w:jc w:val="both"/>
        <w:rPr>
          <w:rFonts w:ascii="David" w:hAnsi="David"/>
          <w:b/>
          <w:bCs/>
          <w:u w:val="single"/>
          <w:rtl/>
        </w:rPr>
      </w:pPr>
      <w:r>
        <w:rPr>
          <w:rFonts w:ascii="David" w:hAnsi="David"/>
          <w:b/>
          <w:bCs/>
          <w:u w:val="single"/>
          <w:rtl/>
        </w:rPr>
        <w:t xml:space="preserve">תסקיר שירות המבחן </w:t>
      </w:r>
    </w:p>
    <w:p w14:paraId="314448C4" w14:textId="77777777" w:rsidR="00CD3287" w:rsidRPr="00364635" w:rsidRDefault="00CD3287" w:rsidP="00CD3287">
      <w:pPr>
        <w:spacing w:line="360" w:lineRule="auto"/>
        <w:jc w:val="both"/>
        <w:rPr>
          <w:rFonts w:ascii="David" w:hAnsi="David"/>
          <w:b/>
          <w:bCs/>
          <w:sz w:val="12"/>
          <w:szCs w:val="12"/>
          <w:u w:val="single"/>
          <w:rtl/>
        </w:rPr>
      </w:pPr>
    </w:p>
    <w:p w14:paraId="23A8574E" w14:textId="77777777" w:rsidR="00CD3287" w:rsidRDefault="00CD3287" w:rsidP="00CD3287">
      <w:pPr>
        <w:pStyle w:val="a9"/>
        <w:numPr>
          <w:ilvl w:val="0"/>
          <w:numId w:val="1"/>
        </w:numPr>
        <w:spacing w:after="0" w:line="360" w:lineRule="auto"/>
        <w:ind w:left="283" w:hanging="283"/>
        <w:jc w:val="both"/>
        <w:rPr>
          <w:rFonts w:ascii="David" w:hAnsi="David" w:cs="David"/>
          <w:color w:val="000000"/>
          <w:sz w:val="24"/>
          <w:szCs w:val="24"/>
          <w:shd w:val="clear" w:color="auto" w:fill="FFFFFF"/>
        </w:rPr>
      </w:pPr>
      <w:bookmarkStart w:id="8" w:name="_Hlk89957762"/>
      <w:r>
        <w:rPr>
          <w:rFonts w:ascii="David" w:hAnsi="David" w:cs="David"/>
          <w:color w:val="000000"/>
          <w:sz w:val="24"/>
          <w:szCs w:val="24"/>
          <w:shd w:val="clear" w:color="auto" w:fill="FFFFFF"/>
          <w:rtl/>
        </w:rPr>
        <w:t xml:space="preserve">מתסקיר שירות המבחן עולה, </w:t>
      </w:r>
      <w:bookmarkEnd w:id="8"/>
      <w:r>
        <w:rPr>
          <w:rFonts w:ascii="David" w:hAnsi="David" w:cs="David"/>
          <w:color w:val="000000"/>
          <w:sz w:val="24"/>
          <w:szCs w:val="24"/>
          <w:shd w:val="clear" w:color="auto" w:fill="FFFFFF"/>
          <w:rtl/>
        </w:rPr>
        <w:t>כי הנאשם בן 21, רווק, אשר טרם מעצרו עבד בחנות לחומרי בניין והתגורר בבית הוריו במזרח ירושלים. משפחת מוצאו כוללת זוג הורים וארבעה אחים בגילאי 11</w:t>
      </w:r>
      <w:r>
        <w:rPr>
          <w:rFonts w:ascii="David" w:hAnsi="David" w:cs="David" w:hint="cs"/>
          <w:color w:val="000000"/>
          <w:sz w:val="24"/>
          <w:szCs w:val="24"/>
          <w:shd w:val="clear" w:color="auto" w:fill="FFFFFF"/>
          <w:rtl/>
        </w:rPr>
        <w:t xml:space="preserve"> עד </w:t>
      </w:r>
      <w:r>
        <w:rPr>
          <w:rFonts w:ascii="David" w:hAnsi="David" w:cs="David"/>
          <w:color w:val="000000"/>
          <w:sz w:val="24"/>
          <w:szCs w:val="24"/>
          <w:shd w:val="clear" w:color="auto" w:fill="FFFFFF"/>
          <w:rtl/>
        </w:rPr>
        <w:t xml:space="preserve">24. בנוסף, לנאשם שני אחים קטנים מאשתו השנייה של אביו אשר מנהל מערכת יחסים פוליגמית.  אביו, בן 55, אינו עובד </w:t>
      </w:r>
      <w:r>
        <w:rPr>
          <w:rFonts w:ascii="David" w:hAnsi="David" w:cs="David" w:hint="cs"/>
          <w:color w:val="000000"/>
          <w:sz w:val="24"/>
          <w:szCs w:val="24"/>
          <w:shd w:val="clear" w:color="auto" w:fill="FFFFFF"/>
          <w:rtl/>
        </w:rPr>
        <w:t>וחולה במחלה קשה</w:t>
      </w:r>
      <w:r>
        <w:rPr>
          <w:rFonts w:ascii="David" w:hAnsi="David" w:cs="David"/>
          <w:color w:val="000000"/>
          <w:sz w:val="24"/>
          <w:szCs w:val="24"/>
          <w:shd w:val="clear" w:color="auto" w:fill="FFFFFF"/>
          <w:rtl/>
        </w:rPr>
        <w:t xml:space="preserve"> מזה כשנה ואמו עקרת בית. הנאשם תיאר יחסים תקינים וקרובים עם הוריו. הנאשם מאורס לזוגתו, בת ה-18, אותה הכיר במקום עבודתו.</w:t>
      </w:r>
    </w:p>
    <w:p w14:paraId="0C2A057C" w14:textId="77777777" w:rsidR="00CD3287" w:rsidRPr="00077D4F" w:rsidRDefault="00CD3287" w:rsidP="00CD3287">
      <w:pPr>
        <w:pStyle w:val="a9"/>
        <w:spacing w:after="0" w:line="360" w:lineRule="auto"/>
        <w:ind w:left="283"/>
        <w:jc w:val="both"/>
        <w:rPr>
          <w:rFonts w:ascii="David" w:hAnsi="David" w:cs="David"/>
          <w:color w:val="000000"/>
          <w:sz w:val="12"/>
          <w:szCs w:val="12"/>
          <w:shd w:val="clear" w:color="auto" w:fill="FFFFFF"/>
        </w:rPr>
      </w:pPr>
    </w:p>
    <w:p w14:paraId="432117B9" w14:textId="77777777" w:rsidR="00CD3287" w:rsidRPr="00364635" w:rsidRDefault="00CD3287" w:rsidP="00CD3287">
      <w:pPr>
        <w:pStyle w:val="a9"/>
        <w:numPr>
          <w:ilvl w:val="0"/>
          <w:numId w:val="1"/>
        </w:numPr>
        <w:spacing w:after="0" w:line="360" w:lineRule="auto"/>
        <w:ind w:left="283" w:hanging="283"/>
        <w:jc w:val="both"/>
        <w:rPr>
          <w:rFonts w:ascii="David" w:hAnsi="David" w:cs="David"/>
          <w:color w:val="000000"/>
          <w:sz w:val="24"/>
          <w:szCs w:val="24"/>
          <w:shd w:val="clear" w:color="auto" w:fill="FFFFFF"/>
        </w:rPr>
      </w:pPr>
      <w:r>
        <w:rPr>
          <w:rFonts w:ascii="David" w:hAnsi="David" w:cs="David"/>
          <w:color w:val="000000"/>
          <w:sz w:val="24"/>
          <w:szCs w:val="24"/>
          <w:shd w:val="clear" w:color="auto" w:fill="FFFFFF"/>
          <w:rtl/>
        </w:rPr>
        <w:t>הנאשם נשר מלימודיו לאחר 6 שנות לימוד, על רקע קשיי למידה משמעותיים וכן קשיים כלכליים. הנאשם תיאר</w:t>
      </w:r>
      <w:r>
        <w:rPr>
          <w:rFonts w:ascii="David" w:hAnsi="David" w:cs="David" w:hint="cs"/>
          <w:color w:val="000000"/>
          <w:sz w:val="24"/>
          <w:szCs w:val="24"/>
          <w:shd w:val="clear" w:color="auto" w:fill="FFFFFF"/>
          <w:rtl/>
        </w:rPr>
        <w:t>,</w:t>
      </w:r>
      <w:r>
        <w:rPr>
          <w:rFonts w:ascii="David" w:hAnsi="David" w:cs="David"/>
          <w:color w:val="000000"/>
          <w:sz w:val="24"/>
          <w:szCs w:val="24"/>
          <w:shd w:val="clear" w:color="auto" w:fill="FFFFFF"/>
          <w:rtl/>
        </w:rPr>
        <w:t xml:space="preserve"> כי אביו ניסה </w:t>
      </w:r>
      <w:r>
        <w:rPr>
          <w:rFonts w:ascii="David" w:hAnsi="David" w:cs="David" w:hint="cs"/>
          <w:color w:val="000000"/>
          <w:sz w:val="24"/>
          <w:szCs w:val="24"/>
          <w:shd w:val="clear" w:color="auto" w:fill="FFFFFF"/>
          <w:rtl/>
        </w:rPr>
        <w:t>להניעו</w:t>
      </w:r>
      <w:r>
        <w:rPr>
          <w:rFonts w:ascii="David" w:hAnsi="David" w:cs="David"/>
          <w:color w:val="000000"/>
          <w:sz w:val="24"/>
          <w:szCs w:val="24"/>
          <w:shd w:val="clear" w:color="auto" w:fill="FFFFFF"/>
          <w:rtl/>
        </w:rPr>
        <w:t xml:space="preserve"> מהחלטתו לנשור מהלימודים, ללא הצלחה. לאחר נשירתו מהלימודים, החל הנאשם לעבוד בעבודות מזדמנות כשכיר בתחום הנגרות. בהמשך השתלב בעבודתו הנוכחית, כשכיר בחנות לחומרי בניין, בה עבד </w:t>
      </w:r>
      <w:r>
        <w:rPr>
          <w:rFonts w:ascii="David" w:hAnsi="David" w:cs="David" w:hint="cs"/>
          <w:color w:val="000000"/>
          <w:sz w:val="24"/>
          <w:szCs w:val="24"/>
          <w:shd w:val="clear" w:color="auto" w:fill="FFFFFF"/>
          <w:rtl/>
        </w:rPr>
        <w:t xml:space="preserve">במשך </w:t>
      </w:r>
      <w:r>
        <w:rPr>
          <w:rFonts w:ascii="David" w:hAnsi="David" w:cs="David"/>
          <w:color w:val="000000"/>
          <w:sz w:val="24"/>
          <w:szCs w:val="24"/>
          <w:shd w:val="clear" w:color="auto" w:fill="FFFFFF"/>
          <w:rtl/>
        </w:rPr>
        <w:t xml:space="preserve">כ-5 שנים. הנאשם תיאר דוחק כלכלי במשפחתו לרבות חובות לבנקים. עוד תיאר הנאשם, כי בעקבות מעצרו וחוסר יכולתו לסייע בפרנסת המשפחה, נצבר חוב גם לבעל הדירה של הוריו. </w:t>
      </w:r>
      <w:r w:rsidRPr="00364635">
        <w:rPr>
          <w:rFonts w:ascii="David" w:hAnsi="David" w:cs="David"/>
          <w:color w:val="000000"/>
          <w:sz w:val="24"/>
          <w:szCs w:val="24"/>
          <w:shd w:val="clear" w:color="auto" w:fill="FFFFFF"/>
          <w:rtl/>
        </w:rPr>
        <w:t xml:space="preserve">עוד עולה מהתסקיר, כי הנאשם </w:t>
      </w:r>
      <w:r>
        <w:rPr>
          <w:rFonts w:ascii="David" w:hAnsi="David" w:cs="David" w:hint="cs"/>
          <w:color w:val="000000"/>
          <w:sz w:val="24"/>
          <w:szCs w:val="24"/>
          <w:shd w:val="clear" w:color="auto" w:fill="FFFFFF"/>
          <w:rtl/>
        </w:rPr>
        <w:t>נעדר עבר פלילי.</w:t>
      </w:r>
    </w:p>
    <w:p w14:paraId="6797FE74" w14:textId="77777777" w:rsidR="00CD3287" w:rsidRDefault="00CD3287" w:rsidP="00CD3287">
      <w:pPr>
        <w:pStyle w:val="a9"/>
        <w:spacing w:after="0" w:line="360" w:lineRule="auto"/>
        <w:ind w:left="360"/>
        <w:jc w:val="both"/>
        <w:rPr>
          <w:rFonts w:ascii="David" w:hAnsi="David"/>
          <w:sz w:val="12"/>
          <w:szCs w:val="12"/>
          <w:rtl/>
        </w:rPr>
      </w:pPr>
    </w:p>
    <w:p w14:paraId="4D0997B5" w14:textId="77777777" w:rsidR="00CD3287" w:rsidRDefault="00CD3287" w:rsidP="00CD3287">
      <w:pPr>
        <w:pStyle w:val="a9"/>
        <w:numPr>
          <w:ilvl w:val="0"/>
          <w:numId w:val="1"/>
        </w:numPr>
        <w:spacing w:after="0" w:line="360" w:lineRule="auto"/>
        <w:ind w:left="283" w:hanging="283"/>
        <w:jc w:val="both"/>
        <w:rPr>
          <w:rFonts w:ascii="David" w:hAnsi="David" w:cs="David"/>
          <w:sz w:val="24"/>
          <w:szCs w:val="24"/>
        </w:rPr>
      </w:pPr>
      <w:r>
        <w:rPr>
          <w:rFonts w:ascii="David" w:hAnsi="David" w:cs="David"/>
          <w:sz w:val="24"/>
          <w:szCs w:val="24"/>
          <w:rtl/>
        </w:rPr>
        <w:t>אשר לביצוע העבירות</w:t>
      </w:r>
      <w:r>
        <w:rPr>
          <w:rFonts w:ascii="David" w:hAnsi="David" w:cs="David" w:hint="cs"/>
          <w:sz w:val="24"/>
          <w:szCs w:val="24"/>
          <w:rtl/>
        </w:rPr>
        <w:t xml:space="preserve">- </w:t>
      </w:r>
      <w:r>
        <w:rPr>
          <w:rFonts w:ascii="David" w:hAnsi="David" w:cs="David"/>
          <w:sz w:val="24"/>
          <w:szCs w:val="24"/>
          <w:rtl/>
        </w:rPr>
        <w:t>הנאשם טען כי לא היה מודע לכך שמדובר בחומר נפץ. הנאשם שלל באופן מוחלט את הקשר שלו למעשה ושירות המבחן התקשה להבין באופן בהיר את תיאורו לנסיבות ביצוע העבירה. הנאשם הביע חשש</w:t>
      </w:r>
      <w:r>
        <w:rPr>
          <w:rFonts w:ascii="David" w:hAnsi="David" w:cs="David" w:hint="cs"/>
          <w:sz w:val="24"/>
          <w:szCs w:val="24"/>
          <w:rtl/>
        </w:rPr>
        <w:t>,</w:t>
      </w:r>
      <w:r>
        <w:rPr>
          <w:rFonts w:ascii="David" w:hAnsi="David" w:cs="David"/>
          <w:sz w:val="24"/>
          <w:szCs w:val="24"/>
          <w:rtl/>
        </w:rPr>
        <w:t xml:space="preserve"> כי בעקבות מעצרו יורע מצבה הכלכלי של משפחתו וכן הקשר הזוגי עם ארוסתו. </w:t>
      </w:r>
    </w:p>
    <w:p w14:paraId="040DE65B" w14:textId="77777777" w:rsidR="00CD3287" w:rsidRDefault="00CD3287" w:rsidP="00CD3287">
      <w:pPr>
        <w:spacing w:line="360" w:lineRule="auto"/>
        <w:jc w:val="both"/>
        <w:rPr>
          <w:rFonts w:ascii="David" w:hAnsi="David"/>
          <w:sz w:val="12"/>
          <w:szCs w:val="12"/>
          <w:rtl/>
        </w:rPr>
      </w:pPr>
    </w:p>
    <w:p w14:paraId="244ADE3E"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 xml:space="preserve">אשר להערכת הסיכון להישנות התנהגות עוברת חוק והסיכוי לשיקום - קצינת המבחן מסרה, כי מחד גיסא, הנאשם הודה בעבירות שיוחסו לו, והוא בעל יכולות תפקודיות, כפי שהדבר בא לידי ביטוי בכך שהתמיד בעובדתו הנוכחית </w:t>
      </w:r>
      <w:r>
        <w:rPr>
          <w:rFonts w:ascii="David" w:hAnsi="David" w:cs="David" w:hint="cs"/>
          <w:sz w:val="24"/>
          <w:szCs w:val="24"/>
          <w:rtl/>
        </w:rPr>
        <w:t xml:space="preserve">מזה </w:t>
      </w:r>
      <w:r>
        <w:rPr>
          <w:rFonts w:ascii="David" w:hAnsi="David" w:cs="David"/>
          <w:sz w:val="24"/>
          <w:szCs w:val="24"/>
          <w:rtl/>
        </w:rPr>
        <w:t xml:space="preserve">כ-5 שנים. כמו כן, מדובר בבחור צעיר אשר ביטא שאיפה לנהל אורח חיים נורמטיבי בעתיד, ללא מעורבות פלילית. מאידך גיסא, הנאשם בעל קשיים בהסתגלות ויציבות במסגרות. עוד התרשמה קצינת המבחן, כי הנאשם התייחס באופן </w:t>
      </w:r>
      <w:r>
        <w:rPr>
          <w:rFonts w:ascii="David" w:hAnsi="David" w:cs="David"/>
          <w:sz w:val="24"/>
          <w:szCs w:val="24"/>
          <w:rtl/>
        </w:rPr>
        <w:lastRenderedPageBreak/>
        <w:t>מצומצם וחלקי למעשה העבירה לצד טשטוש הנסיבות, לא לקח אחריות על מעשיו ובעל נטייה למיקוד שליטה חיצוני.</w:t>
      </w:r>
    </w:p>
    <w:p w14:paraId="673CB84D" w14:textId="77777777" w:rsidR="00CD3287" w:rsidRDefault="00CD3287" w:rsidP="00CD3287">
      <w:pPr>
        <w:spacing w:line="360" w:lineRule="auto"/>
        <w:ind w:left="360"/>
        <w:contextualSpacing/>
        <w:jc w:val="both"/>
        <w:rPr>
          <w:rFonts w:ascii="David" w:hAnsi="David"/>
          <w:sz w:val="12"/>
          <w:szCs w:val="12"/>
          <w:rtl/>
        </w:rPr>
      </w:pPr>
    </w:p>
    <w:p w14:paraId="1F7762A0"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בסופו של דבר, קצינת המבחן התרשמה מרמת סיכון בינונית עד גבוהה להישנות עבירות דומות,</w:t>
      </w:r>
      <w:r>
        <w:rPr>
          <w:rFonts w:ascii="David" w:hAnsi="David" w:cs="David" w:hint="cs"/>
          <w:sz w:val="24"/>
          <w:szCs w:val="24"/>
          <w:rtl/>
        </w:rPr>
        <w:t xml:space="preserve"> ו</w:t>
      </w:r>
      <w:r>
        <w:rPr>
          <w:rFonts w:ascii="David" w:hAnsi="David" w:cs="David"/>
          <w:sz w:val="24"/>
          <w:szCs w:val="24"/>
          <w:rtl/>
        </w:rPr>
        <w:t xml:space="preserve">נמנעה ממתן המלצה טיפולית בעניינו. </w:t>
      </w:r>
    </w:p>
    <w:p w14:paraId="420F693E" w14:textId="77777777" w:rsidR="00CD3287" w:rsidRDefault="00CD3287" w:rsidP="00CD3287">
      <w:pPr>
        <w:spacing w:line="360" w:lineRule="auto"/>
        <w:jc w:val="both"/>
        <w:rPr>
          <w:rFonts w:ascii="David" w:hAnsi="David"/>
          <w:rtl/>
        </w:rPr>
      </w:pPr>
    </w:p>
    <w:p w14:paraId="6445568C" w14:textId="77777777" w:rsidR="00CD3287" w:rsidRDefault="00CD3287" w:rsidP="00CD3287">
      <w:pPr>
        <w:spacing w:line="360" w:lineRule="auto"/>
        <w:ind w:hanging="142"/>
        <w:jc w:val="both"/>
        <w:rPr>
          <w:rFonts w:ascii="David" w:hAnsi="David"/>
          <w:b/>
          <w:bCs/>
          <w:u w:val="single"/>
          <w:rtl/>
        </w:rPr>
      </w:pPr>
      <w:r>
        <w:rPr>
          <w:rFonts w:ascii="David" w:hAnsi="David"/>
          <w:b/>
          <w:bCs/>
          <w:u w:val="single"/>
          <w:rtl/>
        </w:rPr>
        <w:t xml:space="preserve">טיעוני הצדדים לעונש </w:t>
      </w:r>
    </w:p>
    <w:p w14:paraId="53162FB2"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tl/>
        </w:rPr>
      </w:pPr>
      <w:r>
        <w:rPr>
          <w:rFonts w:ascii="David" w:hAnsi="David" w:cs="David"/>
          <w:sz w:val="24"/>
          <w:szCs w:val="24"/>
          <w:rtl/>
        </w:rPr>
        <w:t xml:space="preserve">ב"כ המאשימה ציינה, כי הערכים, העומדים בבסיס העבירות בהן הורשע הנאשם, עליהם יש להגן, הם שמירה על חיי אדם ושלמות גופם וביטחונם של מי שהיו סביב הנאשם והיו יכולים לעשות שימוש במטען החבלה. </w:t>
      </w:r>
    </w:p>
    <w:p w14:paraId="15309CA7" w14:textId="77777777" w:rsidR="00CD3287" w:rsidRDefault="00CD3287" w:rsidP="00CD3287">
      <w:pPr>
        <w:rPr>
          <w:rFonts w:ascii="David" w:hAnsi="David"/>
          <w:sz w:val="14"/>
          <w:szCs w:val="14"/>
          <w:rtl/>
        </w:rPr>
      </w:pPr>
    </w:p>
    <w:p w14:paraId="04F6761B" w14:textId="77777777" w:rsidR="00CD3287" w:rsidRPr="00CD3287" w:rsidRDefault="00CD3287" w:rsidP="00CD3287">
      <w:pPr>
        <w:pStyle w:val="a9"/>
        <w:numPr>
          <w:ilvl w:val="0"/>
          <w:numId w:val="1"/>
        </w:numPr>
        <w:spacing w:after="0" w:line="360" w:lineRule="auto"/>
        <w:ind w:left="283" w:hanging="425"/>
        <w:jc w:val="both"/>
        <w:rPr>
          <w:rFonts w:ascii="David" w:eastAsia="Calibri" w:hAnsi="David" w:cs="David"/>
          <w:sz w:val="24"/>
          <w:szCs w:val="24"/>
        </w:rPr>
      </w:pPr>
      <w:r>
        <w:rPr>
          <w:rFonts w:ascii="David" w:hAnsi="David" w:cs="David"/>
          <w:sz w:val="24"/>
          <w:szCs w:val="24"/>
          <w:rtl/>
        </w:rPr>
        <w:t>אשר לנסיבות ביצוע העבירה</w:t>
      </w:r>
      <w:r>
        <w:rPr>
          <w:rFonts w:ascii="David" w:hAnsi="David" w:cs="David" w:hint="cs"/>
          <w:sz w:val="24"/>
          <w:szCs w:val="24"/>
          <w:rtl/>
        </w:rPr>
        <w:t xml:space="preserve">- </w:t>
      </w:r>
      <w:r w:rsidRPr="00CD3287">
        <w:rPr>
          <w:rFonts w:ascii="David" w:eastAsia="Calibri" w:hAnsi="David" w:cs="David"/>
          <w:sz w:val="24"/>
          <w:szCs w:val="24"/>
          <w:rtl/>
        </w:rPr>
        <w:t>הדגישה ב"כ המאשימה את חומרת העבירות, והפנתה להנחיית פרקליט המדינה 9.6 שהותקנה אך ממש לאחרונה ונוגעת לעבירות נשק</w:t>
      </w:r>
      <w:r w:rsidRPr="00CD3287">
        <w:rPr>
          <w:rFonts w:ascii="David" w:eastAsia="Calibri" w:hAnsi="David" w:cs="David" w:hint="cs"/>
          <w:sz w:val="24"/>
          <w:szCs w:val="24"/>
          <w:rtl/>
        </w:rPr>
        <w:t>, שם צוינה החומרה היתרה בהחזקת מטענים שכל מטרתם היא פגיעה משמעותית בזולת</w:t>
      </w:r>
      <w:r w:rsidRPr="00CD3287">
        <w:rPr>
          <w:rFonts w:ascii="David" w:eastAsia="Calibri" w:hAnsi="David" w:cs="David"/>
          <w:sz w:val="24"/>
          <w:szCs w:val="24"/>
          <w:rtl/>
        </w:rPr>
        <w:t xml:space="preserve">. הנאשם החזיק במטען חבלה והחביאו במחסן. הנאשם יכול היה בכל שלב לחדול מהמעשה בכך שהיה פונה למשטרה, אך בחר שלא לעשות כן. </w:t>
      </w:r>
    </w:p>
    <w:p w14:paraId="7E1DAF90" w14:textId="77777777" w:rsidR="00CD3287" w:rsidRPr="00CD3287" w:rsidRDefault="00CD3287" w:rsidP="00CD3287">
      <w:pPr>
        <w:pStyle w:val="a9"/>
        <w:rPr>
          <w:rFonts w:ascii="David" w:eastAsia="Calibri" w:hAnsi="David" w:cs="David"/>
          <w:sz w:val="12"/>
          <w:szCs w:val="12"/>
        </w:rPr>
      </w:pPr>
    </w:p>
    <w:p w14:paraId="53E52BA3" w14:textId="77777777" w:rsidR="00CD3287" w:rsidRDefault="00CD3287" w:rsidP="00CD3287">
      <w:pPr>
        <w:pStyle w:val="a9"/>
        <w:numPr>
          <w:ilvl w:val="0"/>
          <w:numId w:val="1"/>
        </w:numPr>
        <w:spacing w:after="0" w:line="360" w:lineRule="auto"/>
        <w:ind w:left="283" w:hanging="425"/>
        <w:jc w:val="both"/>
        <w:rPr>
          <w:rFonts w:ascii="David" w:hAnsi="David" w:cs="David"/>
          <w:sz w:val="12"/>
          <w:szCs w:val="12"/>
          <w:rtl/>
        </w:rPr>
      </w:pPr>
      <w:r>
        <w:rPr>
          <w:rFonts w:ascii="David" w:hAnsi="David" w:cs="David"/>
          <w:sz w:val="24"/>
          <w:szCs w:val="24"/>
          <w:rtl/>
        </w:rPr>
        <w:t>אשר לנסיבות שאינן קשורות בעבירה- מסרה ב"כ המאשימה</w:t>
      </w:r>
      <w:r>
        <w:rPr>
          <w:rFonts w:ascii="David" w:hAnsi="David" w:cs="David" w:hint="cs"/>
          <w:sz w:val="24"/>
          <w:szCs w:val="24"/>
          <w:rtl/>
        </w:rPr>
        <w:t>,</w:t>
      </w:r>
      <w:r>
        <w:rPr>
          <w:rFonts w:ascii="David" w:hAnsi="David" w:cs="David"/>
          <w:sz w:val="24"/>
          <w:szCs w:val="24"/>
          <w:rtl/>
        </w:rPr>
        <w:t xml:space="preserve"> כי מחד גיסא, יש לשקול</w:t>
      </w:r>
      <w:r>
        <w:rPr>
          <w:rFonts w:ascii="David" w:hAnsi="David" w:cs="David" w:hint="cs"/>
          <w:sz w:val="24"/>
          <w:szCs w:val="24"/>
          <w:rtl/>
        </w:rPr>
        <w:t xml:space="preserve"> את</w:t>
      </w:r>
      <w:r>
        <w:rPr>
          <w:rFonts w:ascii="David" w:hAnsi="David" w:cs="David"/>
          <w:sz w:val="24"/>
          <w:szCs w:val="24"/>
          <w:rtl/>
        </w:rPr>
        <w:t xml:space="preserve"> הודאתו בביצוע העבירות שיוחסו לו והיעדר עבר פלילי, ומאידך גיסא, כפי שעולה מתסקיר שירות המבחן, הנאשם לא לקח אחריות למעשיו וקיים סיכום ממשי להישנות עבירות דומות בעתיד. </w:t>
      </w:r>
    </w:p>
    <w:p w14:paraId="19C7DDAA" w14:textId="77777777" w:rsidR="00CD3287" w:rsidRPr="00CD3287" w:rsidRDefault="00CD3287" w:rsidP="00CD3287">
      <w:pPr>
        <w:pStyle w:val="a9"/>
        <w:rPr>
          <w:rFonts w:ascii="David" w:eastAsia="Calibri" w:hAnsi="David"/>
          <w:sz w:val="12"/>
          <w:szCs w:val="12"/>
        </w:rPr>
      </w:pPr>
    </w:p>
    <w:p w14:paraId="238F873F" w14:textId="77777777" w:rsidR="00CD3287" w:rsidRDefault="00CD3287" w:rsidP="00CD3287">
      <w:pPr>
        <w:pStyle w:val="a9"/>
        <w:numPr>
          <w:ilvl w:val="0"/>
          <w:numId w:val="1"/>
        </w:numPr>
        <w:spacing w:after="0" w:line="360" w:lineRule="auto"/>
        <w:ind w:left="283" w:hanging="425"/>
        <w:jc w:val="both"/>
        <w:rPr>
          <w:rFonts w:ascii="David" w:hAnsi="David" w:cs="David"/>
          <w:sz w:val="12"/>
          <w:szCs w:val="12"/>
          <w:rtl/>
        </w:rPr>
      </w:pPr>
      <w:r>
        <w:rPr>
          <w:rFonts w:ascii="David" w:hAnsi="David" w:cs="David"/>
          <w:sz w:val="24"/>
          <w:szCs w:val="24"/>
          <w:rtl/>
        </w:rPr>
        <w:t xml:space="preserve">אשר לנזק הפוטנציאלי- ב"כ המאשימה עמדה על פוטנציאל מסוכנות </w:t>
      </w:r>
      <w:r>
        <w:rPr>
          <w:rFonts w:ascii="David" w:hAnsi="David" w:cs="David" w:hint="cs"/>
          <w:sz w:val="24"/>
          <w:szCs w:val="24"/>
          <w:rtl/>
        </w:rPr>
        <w:t>ה</w:t>
      </w:r>
      <w:r>
        <w:rPr>
          <w:rFonts w:ascii="David" w:hAnsi="David" w:cs="David"/>
          <w:sz w:val="24"/>
          <w:szCs w:val="24"/>
          <w:rtl/>
        </w:rPr>
        <w:t>גבוה מהחזקת מטען חבלה, זאת לאור האירועים הביטחוניים שהיו אך לאחרונה במדינה, וממחישים את הסכנה הטמונה שבשימוש בנשק. אשר לתחמושת שהחזיק הנאשם, טענה ב"כ המאשימה, כי אין חוות דעת המלמדת על תקינותה, ואולם, לדידה, יש לעמוד על החומרה הטמונה בעצם החזקת</w:t>
      </w:r>
      <w:r>
        <w:rPr>
          <w:rFonts w:ascii="David" w:hAnsi="David" w:cs="David" w:hint="cs"/>
          <w:sz w:val="24"/>
          <w:szCs w:val="24"/>
          <w:rtl/>
        </w:rPr>
        <w:t>ם</w:t>
      </w:r>
      <w:r>
        <w:rPr>
          <w:rFonts w:ascii="David" w:hAnsi="David" w:cs="David"/>
          <w:sz w:val="24"/>
          <w:szCs w:val="24"/>
          <w:rtl/>
        </w:rPr>
        <w:t xml:space="preserve"> והנזק שיכול היה להיגרם.</w:t>
      </w:r>
    </w:p>
    <w:p w14:paraId="5444301C" w14:textId="77777777" w:rsidR="00CD3287" w:rsidRDefault="00CD3287" w:rsidP="00CD3287">
      <w:pPr>
        <w:pStyle w:val="a9"/>
        <w:spacing w:after="0" w:line="360" w:lineRule="auto"/>
        <w:ind w:left="283"/>
        <w:jc w:val="both"/>
        <w:rPr>
          <w:rFonts w:ascii="David" w:hAnsi="David" w:cs="David"/>
          <w:sz w:val="12"/>
          <w:szCs w:val="12"/>
        </w:rPr>
      </w:pPr>
    </w:p>
    <w:p w14:paraId="56F6932A" w14:textId="77777777" w:rsidR="00CD3287" w:rsidRDefault="00CD3287" w:rsidP="00CD3287">
      <w:pPr>
        <w:pStyle w:val="a9"/>
        <w:numPr>
          <w:ilvl w:val="0"/>
          <w:numId w:val="1"/>
        </w:numPr>
        <w:spacing w:after="0" w:line="360" w:lineRule="auto"/>
        <w:ind w:left="283" w:hanging="425"/>
        <w:jc w:val="both"/>
        <w:rPr>
          <w:rFonts w:ascii="David" w:hAnsi="David" w:cs="David"/>
          <w:color w:val="000000"/>
          <w:sz w:val="12"/>
          <w:szCs w:val="12"/>
          <w:shd w:val="clear" w:color="auto" w:fill="FFFFFF"/>
        </w:rPr>
      </w:pPr>
      <w:r w:rsidRPr="00CD3287">
        <w:rPr>
          <w:rFonts w:ascii="David" w:eastAsia="Calibri" w:hAnsi="David" w:cs="David"/>
          <w:sz w:val="24"/>
          <w:szCs w:val="24"/>
          <w:rtl/>
        </w:rPr>
        <w:t>ב"כ המאשימה הגישה פסיקה לתמיכה בטיעוניה</w:t>
      </w:r>
      <w:r>
        <w:rPr>
          <w:rFonts w:ascii="David" w:hAnsi="David" w:cs="David"/>
          <w:sz w:val="24"/>
          <w:szCs w:val="24"/>
          <w:rtl/>
        </w:rPr>
        <w:t xml:space="preserve"> ועתרה למתחם ע</w:t>
      </w:r>
      <w:r>
        <w:rPr>
          <w:rFonts w:ascii="David" w:hAnsi="David" w:cs="David" w:hint="cs"/>
          <w:sz w:val="24"/>
          <w:szCs w:val="24"/>
          <w:rtl/>
        </w:rPr>
        <w:t>ונש הולם ה</w:t>
      </w:r>
      <w:r>
        <w:rPr>
          <w:rFonts w:ascii="David" w:hAnsi="David" w:cs="David"/>
          <w:sz w:val="24"/>
          <w:szCs w:val="24"/>
          <w:rtl/>
        </w:rPr>
        <w:t xml:space="preserve">נע בין </w:t>
      </w:r>
      <w:r>
        <w:rPr>
          <w:rFonts w:ascii="David" w:hAnsi="David" w:cs="David" w:hint="cs"/>
          <w:sz w:val="24"/>
          <w:szCs w:val="24"/>
          <w:rtl/>
        </w:rPr>
        <w:t xml:space="preserve">36 ל-72 </w:t>
      </w:r>
      <w:r>
        <w:rPr>
          <w:rFonts w:ascii="David" w:hAnsi="David" w:cs="David"/>
          <w:sz w:val="24"/>
          <w:szCs w:val="24"/>
          <w:rtl/>
        </w:rPr>
        <w:t>חודשי מאסר בפועל לעניין החזקת מטען החבלה</w:t>
      </w:r>
      <w:r>
        <w:rPr>
          <w:rFonts w:ascii="David" w:hAnsi="David" w:cs="David" w:hint="cs"/>
          <w:sz w:val="24"/>
          <w:szCs w:val="24"/>
          <w:rtl/>
        </w:rPr>
        <w:t>, ו</w:t>
      </w:r>
      <w:r>
        <w:rPr>
          <w:rFonts w:ascii="David" w:hAnsi="David" w:cs="David"/>
          <w:sz w:val="24"/>
          <w:szCs w:val="24"/>
          <w:rtl/>
        </w:rPr>
        <w:t>לעניין החזקת התחמושת עתרה למתחם</w:t>
      </w:r>
      <w:r>
        <w:rPr>
          <w:rFonts w:ascii="David" w:hAnsi="David" w:cs="David" w:hint="cs"/>
          <w:sz w:val="24"/>
          <w:szCs w:val="24"/>
          <w:rtl/>
        </w:rPr>
        <w:t xml:space="preserve"> הנע בין מאסר מותנה ו</w:t>
      </w:r>
      <w:r>
        <w:rPr>
          <w:rFonts w:ascii="David" w:hAnsi="David" w:cs="David"/>
          <w:sz w:val="24"/>
          <w:szCs w:val="24"/>
          <w:rtl/>
        </w:rPr>
        <w:t>עד</w:t>
      </w:r>
      <w:r>
        <w:rPr>
          <w:rFonts w:ascii="David" w:hAnsi="David" w:cs="David" w:hint="cs"/>
          <w:sz w:val="24"/>
          <w:szCs w:val="24"/>
          <w:rtl/>
        </w:rPr>
        <w:t xml:space="preserve"> ל-</w:t>
      </w:r>
      <w:r>
        <w:rPr>
          <w:rFonts w:ascii="David" w:hAnsi="David" w:cs="David"/>
          <w:sz w:val="24"/>
          <w:szCs w:val="24"/>
          <w:rtl/>
        </w:rPr>
        <w:t xml:space="preserve">6 חודשי </w:t>
      </w:r>
      <w:r w:rsidRPr="00CD3287">
        <w:rPr>
          <w:rFonts w:ascii="David" w:eastAsia="Calibri" w:hAnsi="David" w:cs="David"/>
          <w:sz w:val="24"/>
          <w:szCs w:val="24"/>
          <w:rtl/>
        </w:rPr>
        <w:t xml:space="preserve">מאסר </w:t>
      </w:r>
      <w:r w:rsidRPr="00CD3287">
        <w:rPr>
          <w:rFonts w:ascii="David" w:eastAsia="Calibri" w:hAnsi="David" w:cs="David" w:hint="cs"/>
          <w:sz w:val="24"/>
          <w:szCs w:val="24"/>
          <w:rtl/>
        </w:rPr>
        <w:t>בפועל</w:t>
      </w:r>
      <w:r w:rsidRPr="00CD3287">
        <w:rPr>
          <w:rFonts w:ascii="David" w:eastAsia="Calibri" w:hAnsi="David" w:cs="David"/>
          <w:sz w:val="24"/>
          <w:szCs w:val="24"/>
          <w:rtl/>
        </w:rPr>
        <w:t>. עוד טענה</w:t>
      </w:r>
      <w:r w:rsidRPr="00CD3287">
        <w:rPr>
          <w:rFonts w:ascii="David" w:eastAsia="Calibri" w:hAnsi="David" w:cs="David" w:hint="cs"/>
          <w:sz w:val="24"/>
          <w:szCs w:val="24"/>
          <w:rtl/>
        </w:rPr>
        <w:t>,</w:t>
      </w:r>
      <w:r w:rsidRPr="00CD3287">
        <w:rPr>
          <w:rFonts w:ascii="David" w:eastAsia="Calibri" w:hAnsi="David" w:cs="David"/>
          <w:sz w:val="24"/>
          <w:szCs w:val="24"/>
          <w:rtl/>
        </w:rPr>
        <w:t xml:space="preserve"> כי עניין החזקת התחמושת </w:t>
      </w:r>
      <w:r w:rsidRPr="00CD3287">
        <w:rPr>
          <w:rFonts w:ascii="David" w:eastAsia="Calibri" w:hAnsi="David" w:cs="David" w:hint="cs"/>
          <w:sz w:val="24"/>
          <w:szCs w:val="24"/>
          <w:rtl/>
        </w:rPr>
        <w:t>נבלע</w:t>
      </w:r>
      <w:r w:rsidRPr="00CD3287">
        <w:rPr>
          <w:rFonts w:ascii="David" w:eastAsia="Calibri" w:hAnsi="David" w:cs="David"/>
          <w:sz w:val="24"/>
          <w:szCs w:val="24"/>
          <w:rtl/>
        </w:rPr>
        <w:t xml:space="preserve"> בתוך המתחם של החזקת מטען החבלה, ועל כן עתרה למתחם אחד </w:t>
      </w:r>
      <w:r>
        <w:rPr>
          <w:rFonts w:ascii="David" w:hAnsi="David" w:cs="David"/>
          <w:sz w:val="24"/>
          <w:szCs w:val="24"/>
          <w:rtl/>
        </w:rPr>
        <w:t xml:space="preserve">שנע בין </w:t>
      </w:r>
      <w:r>
        <w:rPr>
          <w:rFonts w:ascii="David" w:hAnsi="David" w:cs="David" w:hint="cs"/>
          <w:sz w:val="24"/>
          <w:szCs w:val="24"/>
          <w:rtl/>
        </w:rPr>
        <w:t xml:space="preserve">72-36 </w:t>
      </w:r>
      <w:r>
        <w:rPr>
          <w:rFonts w:ascii="David" w:hAnsi="David" w:cs="David"/>
          <w:sz w:val="24"/>
          <w:szCs w:val="24"/>
          <w:rtl/>
        </w:rPr>
        <w:t>חודשי מאסר בפועל</w:t>
      </w:r>
      <w:r w:rsidRPr="00CD3287">
        <w:rPr>
          <w:rFonts w:ascii="David" w:eastAsia="Calibri" w:hAnsi="David" w:cs="David"/>
          <w:sz w:val="24"/>
          <w:szCs w:val="24"/>
          <w:rtl/>
        </w:rPr>
        <w:t xml:space="preserve">, לצד ענישה נלווית של מאסר על תנאי מרתיע והטלת קנס. לבסוף, </w:t>
      </w:r>
      <w:r w:rsidRPr="00CD3287">
        <w:rPr>
          <w:rFonts w:ascii="David" w:eastAsia="Calibri" w:hAnsi="David" w:cs="David" w:hint="cs"/>
          <w:sz w:val="24"/>
          <w:szCs w:val="24"/>
          <w:rtl/>
        </w:rPr>
        <w:t>טענה ב"כ המאשימה כי</w:t>
      </w:r>
      <w:r w:rsidRPr="00CD3287">
        <w:rPr>
          <w:rFonts w:ascii="David" w:eastAsia="Calibri" w:hAnsi="David" w:cs="David"/>
          <w:sz w:val="24"/>
          <w:szCs w:val="24"/>
          <w:rtl/>
        </w:rPr>
        <w:t xml:space="preserve"> באיזון שבין חומרת העבירה לבין נסיבותיו האישיות של הנאשם, </w:t>
      </w:r>
      <w:r w:rsidRPr="00CD3287">
        <w:rPr>
          <w:rFonts w:ascii="David" w:eastAsia="Calibri" w:hAnsi="David" w:cs="David" w:hint="cs"/>
          <w:sz w:val="24"/>
          <w:szCs w:val="24"/>
          <w:rtl/>
        </w:rPr>
        <w:t>יש למקם את העונש המתאים</w:t>
      </w:r>
      <w:r w:rsidRPr="00CD3287">
        <w:rPr>
          <w:rFonts w:ascii="David" w:eastAsia="Calibri" w:hAnsi="David" w:cs="David"/>
          <w:sz w:val="24"/>
          <w:szCs w:val="24"/>
          <w:rtl/>
        </w:rPr>
        <w:t xml:space="preserve"> בשליש התחתון</w:t>
      </w:r>
      <w:r w:rsidRPr="00CD3287">
        <w:rPr>
          <w:rFonts w:ascii="David" w:eastAsia="Calibri" w:hAnsi="David" w:cs="David" w:hint="cs"/>
          <w:sz w:val="24"/>
          <w:szCs w:val="24"/>
          <w:rtl/>
        </w:rPr>
        <w:t xml:space="preserve"> של מתחם העונש ההולם.</w:t>
      </w:r>
    </w:p>
    <w:p w14:paraId="4C7888CD" w14:textId="77777777" w:rsidR="00CD3287" w:rsidRDefault="00CD3287" w:rsidP="00CD3287">
      <w:pPr>
        <w:pStyle w:val="a9"/>
        <w:spacing w:after="0" w:line="360" w:lineRule="auto"/>
        <w:ind w:left="283"/>
        <w:jc w:val="both"/>
        <w:rPr>
          <w:rFonts w:ascii="David" w:hAnsi="David" w:cs="David"/>
          <w:color w:val="000000"/>
          <w:sz w:val="12"/>
          <w:szCs w:val="12"/>
          <w:shd w:val="clear" w:color="auto" w:fill="FFFFFF"/>
          <w:rtl/>
        </w:rPr>
      </w:pPr>
    </w:p>
    <w:p w14:paraId="4724F272"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בפתח</w:t>
      </w:r>
      <w:r>
        <w:rPr>
          <w:rFonts w:ascii="David" w:hAnsi="David" w:cs="David"/>
          <w:color w:val="000000"/>
          <w:sz w:val="24"/>
          <w:szCs w:val="24"/>
          <w:shd w:val="clear" w:color="auto" w:fill="FFFFFF"/>
          <w:rtl/>
        </w:rPr>
        <w:t xml:space="preserve"> דבריו, התייחס ב"כ הנאשם להנחיית פרקליט המדינה, אליה הפנה ב"כ המאשימה וטען</w:t>
      </w:r>
      <w:r>
        <w:rPr>
          <w:rFonts w:ascii="David" w:hAnsi="David" w:cs="David" w:hint="cs"/>
          <w:color w:val="000000"/>
          <w:sz w:val="24"/>
          <w:szCs w:val="24"/>
          <w:shd w:val="clear" w:color="auto" w:fill="FFFFFF"/>
          <w:rtl/>
        </w:rPr>
        <w:t>,</w:t>
      </w:r>
      <w:r>
        <w:rPr>
          <w:rFonts w:ascii="David" w:hAnsi="David" w:cs="David"/>
          <w:color w:val="000000"/>
          <w:sz w:val="24"/>
          <w:szCs w:val="24"/>
          <w:shd w:val="clear" w:color="auto" w:fill="FFFFFF"/>
          <w:rtl/>
        </w:rPr>
        <w:t xml:space="preserve"> כי </w:t>
      </w:r>
      <w:r>
        <w:rPr>
          <w:rFonts w:ascii="David" w:hAnsi="David" w:cs="David"/>
          <w:sz w:val="24"/>
          <w:szCs w:val="24"/>
          <w:rtl/>
        </w:rPr>
        <w:t xml:space="preserve">נסיבות ביצוע העבירה במקרה דנן </w:t>
      </w:r>
      <w:r>
        <w:rPr>
          <w:rFonts w:ascii="David" w:hAnsi="David" w:cs="David" w:hint="cs"/>
          <w:sz w:val="24"/>
          <w:szCs w:val="24"/>
          <w:rtl/>
        </w:rPr>
        <w:t>אינן מתאימות ל</w:t>
      </w:r>
      <w:r>
        <w:rPr>
          <w:rFonts w:ascii="David" w:hAnsi="David" w:cs="David"/>
          <w:sz w:val="24"/>
          <w:szCs w:val="24"/>
          <w:rtl/>
        </w:rPr>
        <w:t>הנחיה האמורה</w:t>
      </w:r>
      <w:r>
        <w:rPr>
          <w:rFonts w:ascii="David" w:hAnsi="David" w:cs="David" w:hint="cs"/>
          <w:sz w:val="24"/>
          <w:szCs w:val="24"/>
          <w:rtl/>
        </w:rPr>
        <w:t>, אלא מדברות על מי שהכין מטענים והתכוון להשתמש בהם.</w:t>
      </w:r>
      <w:r>
        <w:rPr>
          <w:rFonts w:ascii="David" w:hAnsi="David" w:cs="David"/>
          <w:sz w:val="24"/>
          <w:szCs w:val="24"/>
          <w:rtl/>
        </w:rPr>
        <w:t xml:space="preserve"> </w:t>
      </w:r>
    </w:p>
    <w:p w14:paraId="6F75CE50" w14:textId="77777777" w:rsidR="00CD3287" w:rsidRPr="00C033A6" w:rsidRDefault="00CD3287" w:rsidP="00CD3287">
      <w:pPr>
        <w:pStyle w:val="a9"/>
        <w:spacing w:after="0" w:line="360" w:lineRule="auto"/>
        <w:ind w:left="283"/>
        <w:jc w:val="both"/>
        <w:rPr>
          <w:rFonts w:ascii="David" w:hAnsi="David" w:cs="David"/>
          <w:sz w:val="12"/>
          <w:szCs w:val="12"/>
        </w:rPr>
      </w:pPr>
    </w:p>
    <w:p w14:paraId="1578B72B"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ב"כ הנאשם ציין</w:t>
      </w:r>
      <w:r>
        <w:rPr>
          <w:rFonts w:ascii="David" w:hAnsi="David" w:cs="David" w:hint="cs"/>
          <w:sz w:val="24"/>
          <w:szCs w:val="24"/>
          <w:rtl/>
        </w:rPr>
        <w:t>,</w:t>
      </w:r>
      <w:r>
        <w:rPr>
          <w:rFonts w:ascii="David" w:hAnsi="David" w:cs="David"/>
          <w:sz w:val="24"/>
          <w:szCs w:val="24"/>
          <w:rtl/>
        </w:rPr>
        <w:t xml:space="preserve"> כי הנאשם לוקח אחריות מלאה על ביצוע העבירה</w:t>
      </w:r>
      <w:r>
        <w:rPr>
          <w:rFonts w:ascii="David" w:hAnsi="David" w:cs="David" w:hint="cs"/>
          <w:sz w:val="24"/>
          <w:szCs w:val="24"/>
          <w:rtl/>
        </w:rPr>
        <w:t>, בניגוד לאמור בתסקיר שירות המבחן, והפער בין האמור בתסקיר לבין עמדתו של הנאשם בבית המשפט, נובע מכך שבשירות המבחן הוצג לו כתב האישום המקורי ולא זה המתוקן</w:t>
      </w:r>
      <w:r>
        <w:rPr>
          <w:rFonts w:ascii="David" w:hAnsi="David" w:cs="David"/>
          <w:sz w:val="24"/>
          <w:szCs w:val="24"/>
          <w:rtl/>
        </w:rPr>
        <w:t>. מנגד</w:t>
      </w:r>
      <w:r>
        <w:rPr>
          <w:rFonts w:ascii="David" w:hAnsi="David" w:cs="David" w:hint="cs"/>
          <w:sz w:val="24"/>
          <w:szCs w:val="24"/>
          <w:rtl/>
        </w:rPr>
        <w:t xml:space="preserve"> ציין</w:t>
      </w:r>
      <w:r>
        <w:rPr>
          <w:rFonts w:ascii="David" w:hAnsi="David" w:cs="David"/>
          <w:sz w:val="24"/>
          <w:szCs w:val="24"/>
          <w:rtl/>
        </w:rPr>
        <w:t xml:space="preserve">, </w:t>
      </w:r>
      <w:r>
        <w:rPr>
          <w:rFonts w:ascii="David" w:hAnsi="David" w:cs="David" w:hint="cs"/>
          <w:sz w:val="24"/>
          <w:szCs w:val="24"/>
          <w:rtl/>
        </w:rPr>
        <w:t xml:space="preserve">כי </w:t>
      </w:r>
      <w:r>
        <w:rPr>
          <w:rFonts w:ascii="David" w:hAnsi="David" w:cs="David"/>
          <w:sz w:val="24"/>
          <w:szCs w:val="24"/>
          <w:rtl/>
        </w:rPr>
        <w:t xml:space="preserve">אין חולק שהנאשם טעה </w:t>
      </w:r>
      <w:r>
        <w:rPr>
          <w:rFonts w:ascii="David" w:hAnsi="David" w:cs="David" w:hint="cs"/>
          <w:sz w:val="24"/>
          <w:szCs w:val="24"/>
          <w:rtl/>
        </w:rPr>
        <w:t>בכך</w:t>
      </w:r>
      <w:r>
        <w:rPr>
          <w:rFonts w:ascii="David" w:hAnsi="David" w:cs="David"/>
          <w:sz w:val="24"/>
          <w:szCs w:val="24"/>
          <w:rtl/>
        </w:rPr>
        <w:t xml:space="preserve"> </w:t>
      </w:r>
      <w:r>
        <w:rPr>
          <w:rFonts w:ascii="David" w:hAnsi="David" w:cs="David" w:hint="cs"/>
          <w:sz w:val="24"/>
          <w:szCs w:val="24"/>
          <w:rtl/>
        </w:rPr>
        <w:t>ש</w:t>
      </w:r>
      <w:r>
        <w:rPr>
          <w:rFonts w:ascii="David" w:hAnsi="David" w:cs="David"/>
          <w:sz w:val="24"/>
          <w:szCs w:val="24"/>
          <w:rtl/>
        </w:rPr>
        <w:t xml:space="preserve">לא התקשר למשטרה לאחר מציאת מטען החבלה, ואף המשיך להחזיק בו. </w:t>
      </w:r>
    </w:p>
    <w:p w14:paraId="5317B9DF" w14:textId="77777777" w:rsidR="00CD3287" w:rsidRPr="00933ACA" w:rsidRDefault="00CD3287" w:rsidP="00CD3287">
      <w:pPr>
        <w:pStyle w:val="a9"/>
        <w:rPr>
          <w:rFonts w:ascii="David" w:hAnsi="David" w:cs="David"/>
          <w:sz w:val="12"/>
          <w:szCs w:val="12"/>
        </w:rPr>
      </w:pPr>
    </w:p>
    <w:p w14:paraId="50428444"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tl/>
        </w:rPr>
      </w:pPr>
      <w:r>
        <w:rPr>
          <w:rFonts w:ascii="David" w:hAnsi="David" w:cs="David"/>
          <w:sz w:val="24"/>
          <w:szCs w:val="24"/>
          <w:rtl/>
        </w:rPr>
        <w:t>ב"כ הנאשם הדגיש, כי ל</w:t>
      </w:r>
      <w:r>
        <w:rPr>
          <w:rFonts w:ascii="David" w:hAnsi="David" w:cs="David" w:hint="cs"/>
          <w:sz w:val="24"/>
          <w:szCs w:val="24"/>
          <w:rtl/>
        </w:rPr>
        <w:t>אחר תיקון כתב האישום, מדובר בעבירות ברף נמוך יותר שהן בסמכותו של בית המשפט השלום, ועל כן יש</w:t>
      </w:r>
      <w:r>
        <w:rPr>
          <w:rFonts w:ascii="David" w:hAnsi="David" w:cs="David"/>
          <w:sz w:val="24"/>
          <w:szCs w:val="24"/>
          <w:rtl/>
        </w:rPr>
        <w:t xml:space="preserve"> להשית על הנאשם עונש בהתאם לרמת הענישה בעבירות דומות </w:t>
      </w:r>
      <w:r>
        <w:rPr>
          <w:rFonts w:ascii="David" w:hAnsi="David" w:cs="David" w:hint="cs"/>
          <w:sz w:val="24"/>
          <w:szCs w:val="24"/>
          <w:rtl/>
        </w:rPr>
        <w:t>הנדונות שם</w:t>
      </w:r>
      <w:r>
        <w:rPr>
          <w:rFonts w:ascii="David" w:hAnsi="David" w:cs="David"/>
          <w:sz w:val="24"/>
          <w:szCs w:val="24"/>
          <w:rtl/>
        </w:rPr>
        <w:t>.</w:t>
      </w:r>
    </w:p>
    <w:p w14:paraId="22D8FFE5" w14:textId="77777777" w:rsidR="00CD3287" w:rsidRPr="00C033A6" w:rsidRDefault="00CD3287" w:rsidP="00CD3287">
      <w:pPr>
        <w:spacing w:line="360" w:lineRule="auto"/>
        <w:jc w:val="both"/>
        <w:rPr>
          <w:rFonts w:ascii="David" w:hAnsi="David"/>
          <w:sz w:val="12"/>
          <w:szCs w:val="12"/>
          <w:rtl/>
        </w:rPr>
      </w:pPr>
    </w:p>
    <w:p w14:paraId="79DDA9D6"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ב"כ הנאשם הפנה לתסקיר שירות המבחן ממנו עולה התרשמות מרמת סיכון בינונית עד גבוהה להישנות עבירות דומות, וביקש לעמוד על טעויות שנפלו בכתיבתו. לדידו, קצינת המבחן טעתה במסקנותיה</w:t>
      </w:r>
      <w:r>
        <w:rPr>
          <w:rFonts w:ascii="David" w:hAnsi="David" w:cs="David" w:hint="cs"/>
          <w:sz w:val="24"/>
          <w:szCs w:val="24"/>
          <w:rtl/>
        </w:rPr>
        <w:t>,</w:t>
      </w:r>
      <w:r>
        <w:rPr>
          <w:rFonts w:ascii="David" w:hAnsi="David" w:cs="David"/>
          <w:sz w:val="24"/>
          <w:szCs w:val="24"/>
          <w:rtl/>
        </w:rPr>
        <w:t xml:space="preserve"> שכן היא התבססה על הנסיבות העולות מתוך כתב האישום המקורי, שעה שהיא לא נותנ</w:t>
      </w:r>
      <w:r>
        <w:rPr>
          <w:rFonts w:ascii="David" w:hAnsi="David" w:cs="David" w:hint="cs"/>
          <w:sz w:val="24"/>
          <w:szCs w:val="24"/>
          <w:rtl/>
        </w:rPr>
        <w:t>ה</w:t>
      </w:r>
      <w:r>
        <w:rPr>
          <w:rFonts w:ascii="David" w:hAnsi="David" w:cs="David"/>
          <w:sz w:val="24"/>
          <w:szCs w:val="24"/>
          <w:rtl/>
        </w:rPr>
        <w:t xml:space="preserve"> דעת</w:t>
      </w:r>
      <w:r>
        <w:rPr>
          <w:rFonts w:ascii="David" w:hAnsi="David" w:cs="David" w:hint="cs"/>
          <w:sz w:val="24"/>
          <w:szCs w:val="24"/>
          <w:rtl/>
        </w:rPr>
        <w:t>ה</w:t>
      </w:r>
      <w:r>
        <w:rPr>
          <w:rFonts w:ascii="David" w:hAnsi="David" w:cs="David"/>
          <w:sz w:val="24"/>
          <w:szCs w:val="24"/>
          <w:rtl/>
        </w:rPr>
        <w:t xml:space="preserve"> לשינויים המשמעותיים שחלו בכתב האישום המתוקן. עוד טען ב"כ הנאשם, כי </w:t>
      </w:r>
      <w:r>
        <w:rPr>
          <w:rFonts w:ascii="David" w:hAnsi="David" w:cs="David" w:hint="cs"/>
          <w:sz w:val="24"/>
          <w:szCs w:val="24"/>
          <w:rtl/>
        </w:rPr>
        <w:t>יש סתירה פנימית ב</w:t>
      </w:r>
      <w:r>
        <w:rPr>
          <w:rFonts w:ascii="David" w:hAnsi="David" w:cs="David"/>
          <w:sz w:val="24"/>
          <w:szCs w:val="24"/>
          <w:rtl/>
        </w:rPr>
        <w:t xml:space="preserve">שיקולים שמנתה קצינת המבחן במסגרת הערכת הסיכון לביצוע עבירות דומות בעתיד. כך, קצינת המבחן טענה מחד גיסא, </w:t>
      </w:r>
      <w:r>
        <w:rPr>
          <w:rFonts w:ascii="David" w:hAnsi="David" w:cs="David" w:hint="cs"/>
          <w:sz w:val="24"/>
          <w:szCs w:val="24"/>
          <w:rtl/>
        </w:rPr>
        <w:t>ש</w:t>
      </w:r>
      <w:r>
        <w:rPr>
          <w:rFonts w:ascii="David" w:hAnsi="David" w:cs="David"/>
          <w:sz w:val="24"/>
          <w:szCs w:val="24"/>
          <w:rtl/>
        </w:rPr>
        <w:t xml:space="preserve">הנאשם בעל קשיי הסתגלות ויציבות במסגרות, ומאידך גיסא, בעל יכולת להתמיד בעבודתו. </w:t>
      </w:r>
    </w:p>
    <w:p w14:paraId="47C9790B" w14:textId="77777777" w:rsidR="00CD3287" w:rsidRPr="00164C3D" w:rsidRDefault="00CD3287" w:rsidP="00CD3287">
      <w:pPr>
        <w:pStyle w:val="a9"/>
        <w:spacing w:after="0" w:line="360" w:lineRule="auto"/>
        <w:ind w:left="283"/>
        <w:jc w:val="both"/>
        <w:rPr>
          <w:rFonts w:ascii="David" w:hAnsi="David" w:cs="David"/>
          <w:sz w:val="12"/>
          <w:szCs w:val="12"/>
        </w:rPr>
      </w:pPr>
    </w:p>
    <w:p w14:paraId="1735700B"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sidRPr="00164C3D">
        <w:rPr>
          <w:rFonts w:ascii="David" w:hAnsi="David" w:cs="David"/>
          <w:sz w:val="24"/>
          <w:szCs w:val="24"/>
          <w:rtl/>
        </w:rPr>
        <w:t>אשר לנסיבות ביצוע העבירה</w:t>
      </w:r>
      <w:r w:rsidRPr="00164C3D">
        <w:rPr>
          <w:rFonts w:ascii="David" w:hAnsi="David" w:cs="David" w:hint="cs"/>
          <w:sz w:val="24"/>
          <w:szCs w:val="24"/>
          <w:rtl/>
        </w:rPr>
        <w:t>-</w:t>
      </w:r>
      <w:r w:rsidRPr="00164C3D">
        <w:rPr>
          <w:rFonts w:ascii="David" w:hAnsi="David" w:cs="David"/>
          <w:sz w:val="24"/>
          <w:szCs w:val="24"/>
          <w:rtl/>
        </w:rPr>
        <w:t xml:space="preserve"> ב"כ הנאשם ביקש להיצמד לתיקון 113 לחוק, בעניין הנסיבות הקשורות לביצוע העבירה ולעמוד על נסיבות שונות במקרה שלפנינו. כך, הנאשם מצא את מטען החבלה, להבדיל מ"רכש" או "קנה" כאמור בחוק; מטען החבלה לא הוכנס לביתו של הנאשם, אלא נמצא </w:t>
      </w:r>
      <w:r w:rsidRPr="00164C3D">
        <w:rPr>
          <w:rFonts w:ascii="David" w:hAnsi="David" w:cs="David" w:hint="cs"/>
          <w:sz w:val="24"/>
          <w:szCs w:val="24"/>
          <w:rtl/>
        </w:rPr>
        <w:t xml:space="preserve">במקרה </w:t>
      </w:r>
      <w:r w:rsidRPr="00164C3D">
        <w:rPr>
          <w:rFonts w:ascii="David" w:hAnsi="David" w:cs="David"/>
          <w:sz w:val="24"/>
          <w:szCs w:val="24"/>
          <w:rtl/>
        </w:rPr>
        <w:t>במחסן נטוש, סמוך למקום מגוריו; מטען החבלה נמצא בשכונת עזריה, להבדיל מהחזקה בתוך שטחי ישראל. עוד טען ב"כ הנאשם</w:t>
      </w:r>
      <w:r w:rsidRPr="00164C3D">
        <w:rPr>
          <w:rFonts w:ascii="David" w:hAnsi="David" w:cs="David" w:hint="cs"/>
          <w:sz w:val="24"/>
          <w:szCs w:val="24"/>
          <w:rtl/>
        </w:rPr>
        <w:t>,</w:t>
      </w:r>
      <w:r w:rsidRPr="00164C3D">
        <w:rPr>
          <w:rFonts w:ascii="David" w:hAnsi="David" w:cs="David"/>
          <w:sz w:val="24"/>
          <w:szCs w:val="24"/>
          <w:rtl/>
        </w:rPr>
        <w:t xml:space="preserve"> כי לא היה כל תכנון מוקדם בביצוע המעשה. אשר לנזק הפוטנציאלי</w:t>
      </w:r>
      <w:r w:rsidRPr="00164C3D">
        <w:rPr>
          <w:rFonts w:ascii="David" w:hAnsi="David" w:cs="David" w:hint="cs"/>
          <w:sz w:val="24"/>
          <w:szCs w:val="24"/>
          <w:rtl/>
        </w:rPr>
        <w:t>,</w:t>
      </w:r>
      <w:r w:rsidRPr="00164C3D">
        <w:rPr>
          <w:rFonts w:ascii="David" w:hAnsi="David" w:cs="David"/>
          <w:sz w:val="24"/>
          <w:szCs w:val="24"/>
          <w:rtl/>
        </w:rPr>
        <w:t xml:space="preserve"> הדגיש </w:t>
      </w:r>
      <w:r w:rsidRPr="00164C3D">
        <w:rPr>
          <w:rFonts w:ascii="David" w:hAnsi="David" w:cs="David" w:hint="cs"/>
          <w:sz w:val="24"/>
          <w:szCs w:val="24"/>
          <w:rtl/>
        </w:rPr>
        <w:t xml:space="preserve">כי </w:t>
      </w:r>
      <w:r w:rsidRPr="00164C3D">
        <w:rPr>
          <w:rFonts w:ascii="David" w:hAnsi="David" w:cs="David"/>
          <w:sz w:val="24"/>
          <w:szCs w:val="24"/>
          <w:rtl/>
        </w:rPr>
        <w:t>לא נגרם כל נזק</w:t>
      </w:r>
      <w:r w:rsidRPr="00164C3D">
        <w:rPr>
          <w:rFonts w:ascii="David" w:hAnsi="David" w:cs="David" w:hint="cs"/>
          <w:sz w:val="24"/>
          <w:szCs w:val="24"/>
          <w:rtl/>
        </w:rPr>
        <w:t xml:space="preserve">. </w:t>
      </w:r>
    </w:p>
    <w:p w14:paraId="78180FB0" w14:textId="77777777" w:rsidR="00CD3287" w:rsidRPr="00164C3D" w:rsidRDefault="00CD3287" w:rsidP="00CD3287">
      <w:pPr>
        <w:pStyle w:val="a9"/>
        <w:spacing w:after="0" w:line="360" w:lineRule="auto"/>
        <w:ind w:left="283"/>
        <w:jc w:val="both"/>
        <w:rPr>
          <w:rFonts w:ascii="David" w:hAnsi="David" w:cs="David"/>
          <w:sz w:val="12"/>
          <w:szCs w:val="12"/>
        </w:rPr>
      </w:pPr>
    </w:p>
    <w:p w14:paraId="4E1ECDE5"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color w:val="000000"/>
          <w:sz w:val="24"/>
          <w:szCs w:val="24"/>
          <w:shd w:val="clear" w:color="auto" w:fill="FFFFFF"/>
          <w:rtl/>
        </w:rPr>
        <w:t>אשר לנסיבות שאינן קשורות לביצוע העבירה</w:t>
      </w:r>
      <w:r>
        <w:rPr>
          <w:rFonts w:ascii="David" w:hAnsi="David" w:cs="David" w:hint="cs"/>
          <w:sz w:val="24"/>
          <w:szCs w:val="24"/>
          <w:rtl/>
        </w:rPr>
        <w:t>- טען</w:t>
      </w:r>
      <w:r>
        <w:rPr>
          <w:rFonts w:ascii="David" w:hAnsi="David" w:cs="David"/>
          <w:sz w:val="24"/>
          <w:szCs w:val="24"/>
          <w:rtl/>
        </w:rPr>
        <w:t xml:space="preserve"> ב"כ הנאשם את הנזק שנגרם לנאשם ולמשפחתו בעקבות מעצרו, זאת, נוכח הרקע הכלכלי הקשה</w:t>
      </w:r>
      <w:r>
        <w:rPr>
          <w:rFonts w:ascii="David" w:hAnsi="David" w:cs="David" w:hint="cs"/>
          <w:sz w:val="24"/>
          <w:szCs w:val="24"/>
          <w:rtl/>
        </w:rPr>
        <w:t>, כאשר בני משפחתו תלויים בו לפרנסתם</w:t>
      </w:r>
      <w:r>
        <w:rPr>
          <w:rFonts w:ascii="David" w:hAnsi="David" w:cs="David"/>
          <w:sz w:val="24"/>
          <w:szCs w:val="24"/>
          <w:rtl/>
        </w:rPr>
        <w:t xml:space="preserve">. בנוסף, הנאשם חושש כי בעקבות מעצרו והעונש שיוטל עליו עלול להיפגע הקשר עם ארוסתו. עוד טען ב"כ הנאשם, כי מדובר בבחור צעיר, </w:t>
      </w:r>
      <w:r>
        <w:rPr>
          <w:rFonts w:ascii="David" w:hAnsi="David" w:cs="David" w:hint="cs"/>
          <w:sz w:val="24"/>
          <w:szCs w:val="24"/>
          <w:rtl/>
        </w:rPr>
        <w:t xml:space="preserve">נעדר </w:t>
      </w:r>
      <w:r>
        <w:rPr>
          <w:rFonts w:ascii="David" w:hAnsi="David" w:cs="David"/>
          <w:sz w:val="24"/>
          <w:szCs w:val="24"/>
          <w:rtl/>
        </w:rPr>
        <w:t>עבר פלילי, אשר הודה בביצוע המיוחס לו בכתב האישום המתוקן</w:t>
      </w:r>
      <w:r>
        <w:rPr>
          <w:rFonts w:ascii="David" w:hAnsi="David" w:cs="David" w:hint="cs"/>
          <w:sz w:val="24"/>
          <w:szCs w:val="24"/>
          <w:rtl/>
        </w:rPr>
        <w:t>, אשר</w:t>
      </w:r>
      <w:r>
        <w:rPr>
          <w:rFonts w:ascii="David" w:hAnsi="David" w:cs="David"/>
          <w:sz w:val="24"/>
          <w:szCs w:val="24"/>
          <w:rtl/>
        </w:rPr>
        <w:t xml:space="preserve"> לקח אחריות </w:t>
      </w:r>
      <w:r>
        <w:rPr>
          <w:rFonts w:ascii="David" w:hAnsi="David" w:cs="David" w:hint="cs"/>
          <w:sz w:val="24"/>
          <w:szCs w:val="24"/>
          <w:rtl/>
        </w:rPr>
        <w:t>למעשיו</w:t>
      </w:r>
      <w:r>
        <w:rPr>
          <w:rFonts w:ascii="David" w:hAnsi="David" w:cs="David"/>
          <w:sz w:val="24"/>
          <w:szCs w:val="24"/>
          <w:rtl/>
        </w:rPr>
        <w:t xml:space="preserve">. כמו כן, הנאשם שיתף פעולה </w:t>
      </w:r>
      <w:r>
        <w:rPr>
          <w:rFonts w:ascii="David" w:hAnsi="David" w:cs="David" w:hint="cs"/>
          <w:sz w:val="24"/>
          <w:szCs w:val="24"/>
          <w:rtl/>
        </w:rPr>
        <w:t>עוד בעת חקירתו.</w:t>
      </w:r>
    </w:p>
    <w:p w14:paraId="0ECDA6E2" w14:textId="77777777" w:rsidR="00CD3287" w:rsidRDefault="00CD3287" w:rsidP="00CD3287">
      <w:pPr>
        <w:pStyle w:val="a9"/>
        <w:rPr>
          <w:rFonts w:ascii="David" w:hAnsi="David" w:cs="David"/>
          <w:sz w:val="12"/>
          <w:szCs w:val="12"/>
        </w:rPr>
      </w:pPr>
    </w:p>
    <w:p w14:paraId="0287D3AB"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hint="cs"/>
          <w:sz w:val="24"/>
          <w:szCs w:val="24"/>
          <w:rtl/>
        </w:rPr>
        <w:t>סופו של דבר,</w:t>
      </w:r>
      <w:r>
        <w:rPr>
          <w:rFonts w:ascii="David" w:hAnsi="David" w:cs="David"/>
          <w:sz w:val="24"/>
          <w:szCs w:val="24"/>
          <w:rtl/>
        </w:rPr>
        <w:t xml:space="preserve"> טען ב"כ הנאשם למתחם עונש </w:t>
      </w:r>
      <w:r>
        <w:rPr>
          <w:rFonts w:ascii="David" w:hAnsi="David" w:cs="David" w:hint="cs"/>
          <w:sz w:val="24"/>
          <w:szCs w:val="24"/>
          <w:rtl/>
        </w:rPr>
        <w:t xml:space="preserve">הולם </w:t>
      </w:r>
      <w:r>
        <w:rPr>
          <w:rFonts w:ascii="David" w:hAnsi="David" w:cs="David"/>
          <w:sz w:val="24"/>
          <w:szCs w:val="24"/>
          <w:rtl/>
        </w:rPr>
        <w:t>הנע בין מספר חודשי</w:t>
      </w:r>
      <w:r>
        <w:rPr>
          <w:rFonts w:ascii="David" w:hAnsi="David" w:cs="David" w:hint="cs"/>
          <w:sz w:val="24"/>
          <w:szCs w:val="24"/>
          <w:rtl/>
        </w:rPr>
        <w:t xml:space="preserve"> מאסר</w:t>
      </w:r>
      <w:r>
        <w:rPr>
          <w:rFonts w:ascii="David" w:hAnsi="David" w:cs="David"/>
          <w:sz w:val="24"/>
          <w:szCs w:val="24"/>
          <w:rtl/>
        </w:rPr>
        <w:t xml:space="preserve"> ועד </w:t>
      </w:r>
      <w:r>
        <w:rPr>
          <w:rFonts w:ascii="David" w:hAnsi="David" w:cs="David" w:hint="cs"/>
          <w:sz w:val="24"/>
          <w:szCs w:val="24"/>
          <w:rtl/>
        </w:rPr>
        <w:t>ל</w:t>
      </w:r>
      <w:r>
        <w:rPr>
          <w:rFonts w:ascii="David" w:hAnsi="David" w:cs="David"/>
          <w:sz w:val="24"/>
          <w:szCs w:val="24"/>
          <w:rtl/>
        </w:rPr>
        <w:t xml:space="preserve">שנת מאסר. ב"כ </w:t>
      </w:r>
      <w:r>
        <w:rPr>
          <w:rFonts w:ascii="David" w:hAnsi="David" w:cs="David" w:hint="cs"/>
          <w:sz w:val="24"/>
          <w:szCs w:val="24"/>
          <w:rtl/>
        </w:rPr>
        <w:t xml:space="preserve">הנאשם </w:t>
      </w:r>
      <w:r>
        <w:rPr>
          <w:rFonts w:ascii="David" w:hAnsi="David" w:cs="David"/>
          <w:sz w:val="24"/>
          <w:szCs w:val="24"/>
          <w:rtl/>
        </w:rPr>
        <w:t>עתר למק</w:t>
      </w:r>
      <w:r>
        <w:rPr>
          <w:rFonts w:ascii="David" w:hAnsi="David" w:cs="David" w:hint="cs"/>
          <w:sz w:val="24"/>
          <w:szCs w:val="24"/>
          <w:rtl/>
        </w:rPr>
        <w:t>מו</w:t>
      </w:r>
      <w:r>
        <w:rPr>
          <w:rFonts w:ascii="David" w:hAnsi="David" w:cs="David"/>
          <w:sz w:val="24"/>
          <w:szCs w:val="24"/>
          <w:rtl/>
        </w:rPr>
        <w:t xml:space="preserve"> בתחתית </w:t>
      </w:r>
      <w:r>
        <w:rPr>
          <w:rFonts w:ascii="David" w:hAnsi="David" w:cs="David" w:hint="cs"/>
          <w:sz w:val="24"/>
          <w:szCs w:val="24"/>
          <w:rtl/>
        </w:rPr>
        <w:t>ה</w:t>
      </w:r>
      <w:r>
        <w:rPr>
          <w:rFonts w:ascii="David" w:hAnsi="David" w:cs="David"/>
          <w:sz w:val="24"/>
          <w:szCs w:val="24"/>
          <w:rtl/>
        </w:rPr>
        <w:t>מתחם וביקש להסתפק בימי מעצרו.</w:t>
      </w:r>
    </w:p>
    <w:p w14:paraId="2FCFF700" w14:textId="77777777" w:rsidR="00CD3287" w:rsidRDefault="00CD3287" w:rsidP="00CD3287">
      <w:pPr>
        <w:spacing w:line="360" w:lineRule="auto"/>
        <w:jc w:val="both"/>
        <w:rPr>
          <w:rFonts w:ascii="David" w:hAnsi="David"/>
          <w:sz w:val="10"/>
          <w:szCs w:val="10"/>
          <w:rtl/>
        </w:rPr>
      </w:pPr>
    </w:p>
    <w:p w14:paraId="58439776"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 xml:space="preserve">הנאשם בדבריו האחרונים </w:t>
      </w:r>
      <w:r>
        <w:rPr>
          <w:rFonts w:ascii="David" w:hAnsi="David" w:cs="David" w:hint="cs"/>
          <w:sz w:val="24"/>
          <w:szCs w:val="24"/>
          <w:rtl/>
        </w:rPr>
        <w:t xml:space="preserve">הביע </w:t>
      </w:r>
      <w:r>
        <w:rPr>
          <w:rFonts w:ascii="David" w:hAnsi="David" w:cs="David"/>
          <w:sz w:val="24"/>
          <w:szCs w:val="24"/>
          <w:rtl/>
        </w:rPr>
        <w:t>חרט</w:t>
      </w:r>
      <w:r>
        <w:rPr>
          <w:rFonts w:ascii="David" w:hAnsi="David" w:cs="David" w:hint="cs"/>
          <w:sz w:val="24"/>
          <w:szCs w:val="24"/>
          <w:rtl/>
        </w:rPr>
        <w:t>ה</w:t>
      </w:r>
      <w:r>
        <w:rPr>
          <w:rFonts w:ascii="David" w:hAnsi="David" w:cs="David"/>
          <w:sz w:val="24"/>
          <w:szCs w:val="24"/>
          <w:rtl/>
        </w:rPr>
        <w:t xml:space="preserve"> על המעשה ו</w:t>
      </w:r>
      <w:r>
        <w:rPr>
          <w:rFonts w:ascii="David" w:hAnsi="David" w:cs="David" w:hint="cs"/>
          <w:sz w:val="24"/>
          <w:szCs w:val="24"/>
          <w:rtl/>
        </w:rPr>
        <w:t>הי</w:t>
      </w:r>
      <w:r>
        <w:rPr>
          <w:rFonts w:ascii="David" w:hAnsi="David" w:cs="David"/>
          <w:sz w:val="24"/>
          <w:szCs w:val="24"/>
          <w:rtl/>
        </w:rPr>
        <w:t>צר על</w:t>
      </w:r>
      <w:r>
        <w:rPr>
          <w:rFonts w:ascii="David" w:hAnsi="David" w:cs="David" w:hint="cs"/>
          <w:sz w:val="24"/>
          <w:szCs w:val="24"/>
          <w:rtl/>
        </w:rPr>
        <w:t>יו.</w:t>
      </w:r>
    </w:p>
    <w:p w14:paraId="34168041" w14:textId="77777777" w:rsidR="00CD3287" w:rsidRPr="002B2C75" w:rsidRDefault="00CD3287" w:rsidP="00CD3287">
      <w:pPr>
        <w:pStyle w:val="a9"/>
        <w:rPr>
          <w:rFonts w:ascii="David" w:hAnsi="David" w:cs="David"/>
          <w:sz w:val="12"/>
          <w:szCs w:val="12"/>
          <w:rtl/>
        </w:rPr>
      </w:pPr>
    </w:p>
    <w:p w14:paraId="5E431727" w14:textId="77777777" w:rsidR="00CD3287" w:rsidRPr="00AF15A3" w:rsidRDefault="00CD3287" w:rsidP="00CD3287">
      <w:pPr>
        <w:pStyle w:val="a9"/>
        <w:numPr>
          <w:ilvl w:val="0"/>
          <w:numId w:val="1"/>
        </w:numPr>
        <w:spacing w:after="0" w:line="360" w:lineRule="auto"/>
        <w:ind w:left="283" w:hanging="425"/>
        <w:jc w:val="both"/>
        <w:rPr>
          <w:rFonts w:ascii="David" w:hAnsi="David" w:cs="David"/>
          <w:sz w:val="24"/>
          <w:szCs w:val="24"/>
        </w:rPr>
      </w:pPr>
      <w:r>
        <w:rPr>
          <w:rFonts w:ascii="David" w:hAnsi="David" w:cs="David" w:hint="cs"/>
          <w:sz w:val="24"/>
          <w:szCs w:val="24"/>
          <w:rtl/>
        </w:rPr>
        <w:t>עוד העיד לעונש מטעם ההגנה מר חפיז סעיד, מעסיקו של הנאשם, שמסר כי בבעלותו</w:t>
      </w:r>
      <w:r>
        <w:rPr>
          <w:rFonts w:ascii="David" w:hAnsi="David" w:cs="David"/>
          <w:sz w:val="24"/>
          <w:szCs w:val="24"/>
          <w:rtl/>
        </w:rPr>
        <w:t xml:space="preserve"> </w:t>
      </w:r>
      <w:r w:rsidRPr="002B2C75">
        <w:rPr>
          <w:rFonts w:ascii="David" w:hAnsi="David" w:cs="David"/>
          <w:sz w:val="24"/>
          <w:szCs w:val="24"/>
          <w:rtl/>
        </w:rPr>
        <w:t xml:space="preserve">חנות </w:t>
      </w:r>
      <w:r w:rsidRPr="002B2C75">
        <w:rPr>
          <w:rFonts w:ascii="David" w:hAnsi="David" w:cs="David" w:hint="cs"/>
          <w:sz w:val="24"/>
          <w:szCs w:val="24"/>
          <w:rtl/>
        </w:rPr>
        <w:t>ל</w:t>
      </w:r>
      <w:r w:rsidRPr="002B2C75">
        <w:rPr>
          <w:rFonts w:ascii="David" w:hAnsi="David" w:cs="David"/>
          <w:sz w:val="24"/>
          <w:szCs w:val="24"/>
          <w:rtl/>
        </w:rPr>
        <w:t xml:space="preserve">חומרי בניין. </w:t>
      </w:r>
      <w:r w:rsidRPr="002B2C75">
        <w:rPr>
          <w:rFonts w:ascii="David" w:hAnsi="David" w:cs="David" w:hint="cs"/>
          <w:sz w:val="24"/>
          <w:szCs w:val="24"/>
          <w:rtl/>
        </w:rPr>
        <w:t xml:space="preserve">הוא </w:t>
      </w:r>
      <w:r w:rsidRPr="002B2C75">
        <w:rPr>
          <w:rFonts w:ascii="David" w:hAnsi="David" w:cs="David"/>
          <w:sz w:val="24"/>
          <w:szCs w:val="24"/>
          <w:rtl/>
        </w:rPr>
        <w:t xml:space="preserve"> מכיר את </w:t>
      </w:r>
      <w:r w:rsidRPr="002B2C75">
        <w:rPr>
          <w:rFonts w:ascii="David" w:hAnsi="David" w:cs="David" w:hint="cs"/>
          <w:sz w:val="24"/>
          <w:szCs w:val="24"/>
          <w:rtl/>
        </w:rPr>
        <w:t xml:space="preserve">הנאשם ואת </w:t>
      </w:r>
      <w:r w:rsidRPr="002B2C75">
        <w:rPr>
          <w:rFonts w:ascii="David" w:hAnsi="David" w:cs="David"/>
          <w:sz w:val="24"/>
          <w:szCs w:val="24"/>
          <w:rtl/>
        </w:rPr>
        <w:t>משפחתו מגיל צעיר. כ</w:t>
      </w:r>
      <w:r w:rsidRPr="002B2C75">
        <w:rPr>
          <w:rFonts w:ascii="David" w:hAnsi="David" w:cs="David" w:hint="cs"/>
          <w:sz w:val="24"/>
          <w:szCs w:val="24"/>
          <w:rtl/>
        </w:rPr>
        <w:t>א</w:t>
      </w:r>
      <w:r w:rsidRPr="002B2C75">
        <w:rPr>
          <w:rFonts w:ascii="David" w:hAnsi="David" w:cs="David"/>
          <w:sz w:val="24"/>
          <w:szCs w:val="24"/>
          <w:rtl/>
        </w:rPr>
        <w:t>ש</w:t>
      </w:r>
      <w:r w:rsidRPr="002B2C75">
        <w:rPr>
          <w:rFonts w:ascii="David" w:hAnsi="David" w:cs="David" w:hint="cs"/>
          <w:sz w:val="24"/>
          <w:szCs w:val="24"/>
          <w:rtl/>
        </w:rPr>
        <w:t xml:space="preserve">ר </w:t>
      </w:r>
      <w:r w:rsidRPr="002B2C75">
        <w:rPr>
          <w:rFonts w:ascii="David" w:hAnsi="David" w:cs="David"/>
          <w:sz w:val="24"/>
          <w:szCs w:val="24"/>
          <w:rtl/>
        </w:rPr>
        <w:t>ה</w:t>
      </w:r>
      <w:r w:rsidRPr="002B2C75">
        <w:rPr>
          <w:rFonts w:ascii="David" w:hAnsi="David" w:cs="David" w:hint="cs"/>
          <w:sz w:val="24"/>
          <w:szCs w:val="24"/>
          <w:rtl/>
        </w:rPr>
        <w:t>נאשם</w:t>
      </w:r>
      <w:r w:rsidRPr="002B2C75">
        <w:rPr>
          <w:rFonts w:ascii="David" w:hAnsi="David" w:cs="David"/>
          <w:sz w:val="24"/>
          <w:szCs w:val="24"/>
          <w:rtl/>
        </w:rPr>
        <w:t xml:space="preserve"> גדל</w:t>
      </w:r>
      <w:r w:rsidRPr="002B2C75">
        <w:rPr>
          <w:rFonts w:ascii="David" w:hAnsi="David" w:cs="David" w:hint="cs"/>
          <w:sz w:val="24"/>
          <w:szCs w:val="24"/>
          <w:rtl/>
        </w:rPr>
        <w:t>, הוא ה</w:t>
      </w:r>
      <w:r w:rsidRPr="002B2C75">
        <w:rPr>
          <w:rFonts w:ascii="David" w:hAnsi="David" w:cs="David"/>
          <w:sz w:val="24"/>
          <w:szCs w:val="24"/>
          <w:rtl/>
        </w:rPr>
        <w:t xml:space="preserve">חל לעבוד </w:t>
      </w:r>
      <w:r w:rsidRPr="002B2C75">
        <w:rPr>
          <w:rFonts w:ascii="David" w:hAnsi="David" w:cs="David" w:hint="cs"/>
          <w:sz w:val="24"/>
          <w:szCs w:val="24"/>
          <w:rtl/>
        </w:rPr>
        <w:t>עמו</w:t>
      </w:r>
      <w:r w:rsidRPr="002B2C75">
        <w:rPr>
          <w:rFonts w:ascii="David" w:hAnsi="David" w:cs="David"/>
          <w:sz w:val="24"/>
          <w:szCs w:val="24"/>
          <w:rtl/>
        </w:rPr>
        <w:t xml:space="preserve"> בחנות</w:t>
      </w:r>
      <w:r w:rsidRPr="002B2C75">
        <w:rPr>
          <w:rFonts w:ascii="David" w:hAnsi="David" w:cs="David" w:hint="cs"/>
          <w:sz w:val="24"/>
          <w:szCs w:val="24"/>
          <w:rtl/>
        </w:rPr>
        <w:t xml:space="preserve"> ומזה שנים הוא עובד עמו. עוד מסר, כי הנאשם אוהב לעזור לקונים, הוא מכבד אותם, ולא הבחין כי עשה דבר רע במהלך עבודתו, לא רב עם איש ולא היו לו בעיות עם המשטרה</w:t>
      </w:r>
      <w:r w:rsidRPr="002B2C75">
        <w:rPr>
          <w:rFonts w:ascii="David" w:hAnsi="David" w:cs="David"/>
          <w:sz w:val="24"/>
          <w:szCs w:val="24"/>
          <w:rtl/>
        </w:rPr>
        <w:t xml:space="preserve">. </w:t>
      </w:r>
      <w:r w:rsidRPr="002B2C75">
        <w:rPr>
          <w:rFonts w:ascii="David" w:hAnsi="David" w:cs="David" w:hint="cs"/>
          <w:sz w:val="24"/>
          <w:szCs w:val="24"/>
          <w:rtl/>
        </w:rPr>
        <w:t>מדובר ב</w:t>
      </w:r>
      <w:r w:rsidRPr="002B2C75">
        <w:rPr>
          <w:rFonts w:ascii="David" w:hAnsi="David" w:cs="David"/>
          <w:sz w:val="24"/>
          <w:szCs w:val="24"/>
          <w:rtl/>
        </w:rPr>
        <w:t>אדם טוב, צנוע,</w:t>
      </w:r>
      <w:r w:rsidRPr="002B2C75">
        <w:rPr>
          <w:rFonts w:ascii="David" w:hAnsi="David" w:cs="David" w:hint="cs"/>
          <w:sz w:val="24"/>
          <w:szCs w:val="24"/>
          <w:rtl/>
        </w:rPr>
        <w:t xml:space="preserve"> שהוא רואה בו כבן</w:t>
      </w:r>
      <w:r w:rsidRPr="002B2C75">
        <w:rPr>
          <w:rFonts w:ascii="David" w:hAnsi="David" w:cs="David"/>
          <w:sz w:val="24"/>
          <w:szCs w:val="24"/>
          <w:rtl/>
        </w:rPr>
        <w:t xml:space="preserve">. </w:t>
      </w:r>
      <w:r w:rsidRPr="002B2C75">
        <w:rPr>
          <w:rFonts w:ascii="David" w:hAnsi="David" w:cs="David" w:hint="cs"/>
          <w:sz w:val="24"/>
          <w:szCs w:val="24"/>
          <w:rtl/>
        </w:rPr>
        <w:t xml:space="preserve">עוד ציין, כי </w:t>
      </w:r>
      <w:r w:rsidRPr="002B2C75">
        <w:rPr>
          <w:rFonts w:ascii="David" w:hAnsi="David" w:cs="David"/>
          <w:sz w:val="24"/>
          <w:szCs w:val="24"/>
          <w:rtl/>
        </w:rPr>
        <w:t xml:space="preserve">כולם בשכונה אוהבים ומכבדים אותו. </w:t>
      </w:r>
      <w:r w:rsidRPr="002B2C75">
        <w:rPr>
          <w:rFonts w:ascii="David" w:hAnsi="David" w:cs="David" w:hint="cs"/>
          <w:sz w:val="24"/>
          <w:szCs w:val="24"/>
          <w:rtl/>
        </w:rPr>
        <w:t>לבסוף ביקש, כי בית משפט יתחשב בו על מנת</w:t>
      </w:r>
      <w:r w:rsidRPr="002B2C75">
        <w:rPr>
          <w:rFonts w:ascii="David" w:hAnsi="David" w:cs="David"/>
          <w:sz w:val="24"/>
          <w:szCs w:val="24"/>
          <w:rtl/>
        </w:rPr>
        <w:t xml:space="preserve"> </w:t>
      </w:r>
      <w:r w:rsidRPr="002B2C75">
        <w:rPr>
          <w:rFonts w:ascii="David" w:hAnsi="David" w:cs="David" w:hint="cs"/>
          <w:sz w:val="24"/>
          <w:szCs w:val="24"/>
          <w:rtl/>
        </w:rPr>
        <w:t>ש</w:t>
      </w:r>
      <w:r w:rsidRPr="002B2C75">
        <w:rPr>
          <w:rFonts w:ascii="David" w:hAnsi="David" w:cs="David"/>
          <w:sz w:val="24"/>
          <w:szCs w:val="24"/>
          <w:rtl/>
        </w:rPr>
        <w:t xml:space="preserve">יחזור </w:t>
      </w:r>
      <w:r w:rsidRPr="002B2C75">
        <w:rPr>
          <w:rFonts w:ascii="David" w:hAnsi="David" w:cs="David" w:hint="cs"/>
          <w:sz w:val="24"/>
          <w:szCs w:val="24"/>
          <w:rtl/>
        </w:rPr>
        <w:t>במהרה</w:t>
      </w:r>
      <w:r w:rsidRPr="002B2C75">
        <w:rPr>
          <w:rFonts w:ascii="David" w:hAnsi="David" w:cs="David"/>
          <w:sz w:val="24"/>
          <w:szCs w:val="24"/>
          <w:rtl/>
        </w:rPr>
        <w:t xml:space="preserve"> לעבוד</w:t>
      </w:r>
      <w:r w:rsidRPr="002B2C75">
        <w:rPr>
          <w:rFonts w:ascii="David" w:hAnsi="David" w:cs="David" w:hint="cs"/>
          <w:sz w:val="24"/>
          <w:szCs w:val="24"/>
          <w:rtl/>
        </w:rPr>
        <w:t>תו</w:t>
      </w:r>
      <w:r w:rsidRPr="002B2C75">
        <w:rPr>
          <w:rFonts w:ascii="David" w:hAnsi="David" w:cs="David"/>
          <w:sz w:val="24"/>
          <w:szCs w:val="24"/>
          <w:rtl/>
        </w:rPr>
        <w:t xml:space="preserve"> ו</w:t>
      </w:r>
      <w:r w:rsidRPr="002B2C75">
        <w:rPr>
          <w:rFonts w:ascii="David" w:hAnsi="David" w:cs="David" w:hint="cs"/>
          <w:sz w:val="24"/>
          <w:szCs w:val="24"/>
          <w:rtl/>
        </w:rPr>
        <w:t>לשגרת חייו</w:t>
      </w:r>
      <w:r>
        <w:rPr>
          <w:rFonts w:ascii="David" w:hAnsi="David" w:cs="David" w:hint="cs"/>
          <w:sz w:val="24"/>
          <w:szCs w:val="24"/>
          <w:rtl/>
        </w:rPr>
        <w:t>.</w:t>
      </w:r>
    </w:p>
    <w:p w14:paraId="4EDC0F54" w14:textId="77777777" w:rsidR="00CD3287" w:rsidRPr="00AF15A3" w:rsidRDefault="00CD3287" w:rsidP="00CD3287">
      <w:pPr>
        <w:spacing w:before="120" w:after="120" w:line="360" w:lineRule="auto"/>
        <w:jc w:val="both"/>
        <w:rPr>
          <w:rFonts w:ascii="David" w:hAnsi="David"/>
          <w:b/>
          <w:bCs/>
          <w:sz w:val="12"/>
          <w:szCs w:val="12"/>
          <w:u w:val="single"/>
          <w:rtl/>
        </w:rPr>
      </w:pPr>
    </w:p>
    <w:p w14:paraId="6B44F363" w14:textId="77777777" w:rsidR="00CD3287" w:rsidRDefault="00CD3287" w:rsidP="00CD3287">
      <w:pPr>
        <w:spacing w:before="120" w:after="120" w:line="360" w:lineRule="auto"/>
        <w:ind w:hanging="142"/>
        <w:jc w:val="both"/>
        <w:rPr>
          <w:rFonts w:ascii="David" w:hAnsi="David"/>
          <w:b/>
          <w:bCs/>
          <w:u w:val="single"/>
          <w:rtl/>
        </w:rPr>
      </w:pPr>
      <w:r>
        <w:rPr>
          <w:rFonts w:ascii="David" w:hAnsi="David"/>
          <w:b/>
          <w:bCs/>
          <w:u w:val="single"/>
          <w:rtl/>
        </w:rPr>
        <w:t>דיון והכרעה</w:t>
      </w:r>
    </w:p>
    <w:p w14:paraId="4F3A100E" w14:textId="77777777" w:rsidR="00CD3287" w:rsidRDefault="00CD3287" w:rsidP="009F3AF1">
      <w:pPr>
        <w:pStyle w:val="a9"/>
        <w:numPr>
          <w:ilvl w:val="0"/>
          <w:numId w:val="1"/>
        </w:numPr>
        <w:spacing w:after="0" w:line="360" w:lineRule="auto"/>
        <w:ind w:left="283" w:hanging="425"/>
        <w:jc w:val="both"/>
        <w:rPr>
          <w:rFonts w:ascii="David" w:hAnsi="David" w:cs="David"/>
          <w:sz w:val="24"/>
          <w:szCs w:val="24"/>
        </w:rPr>
      </w:pPr>
      <w:r>
        <w:rPr>
          <w:rFonts w:ascii="David" w:hAnsi="David" w:cs="David"/>
          <w:sz w:val="24"/>
          <w:szCs w:val="24"/>
          <w:rtl/>
        </w:rPr>
        <w:t>העיקרון המנחה בענישה בהתאם לתיקון 113 ל</w:t>
      </w:r>
      <w:hyperlink w:history="1">
        <w:r w:rsidRPr="009C5612">
          <w:rPr>
            <w:rFonts w:ascii="David" w:hAnsi="David" w:cs="David"/>
            <w:color w:val="000000"/>
            <w:sz w:val="24"/>
            <w:szCs w:val="24"/>
            <w:rtl/>
          </w:rPr>
          <w:t>חוק העונשין</w:t>
        </w:r>
      </w:hyperlink>
      <w:r>
        <w:rPr>
          <w:rFonts w:ascii="David" w:hAnsi="David" w:cs="David"/>
          <w:sz w:val="24"/>
          <w:szCs w:val="24"/>
          <w:rtl/>
        </w:rPr>
        <w:t xml:space="preserve">, הוא קיומו של יחס הולם בין חומרת מעשה העבירה בנסיבותיו ומידת אשמו של הנאשם ובין סוג ומידת העונש המוטל עליו. על בית המשפט לקבוע מתחם עונש הולם בהתאם לעקרון המנחה, תוך התחשבות בערך החברתי שנפגע מביצוע העבירה, במידת הפגיעה בו, במדיניות הענישה הנהוגה ובנסיבות הקשורות בביצוע העבירה, כאמור </w:t>
      </w:r>
      <w:hyperlink r:id="rId13" w:history="1">
        <w:r w:rsidR="009F3AF1" w:rsidRPr="009F3AF1">
          <w:rPr>
            <w:rStyle w:val="Hyperlink"/>
            <w:rFonts w:ascii="David" w:hAnsi="David" w:cs="David"/>
            <w:sz w:val="24"/>
            <w:szCs w:val="24"/>
            <w:rtl/>
          </w:rPr>
          <w:t>בסעיף 40ט</w:t>
        </w:r>
      </w:hyperlink>
      <w:r w:rsidR="009F3AF1">
        <w:rPr>
          <w:rFonts w:ascii="David" w:hAnsi="David" w:cs="David"/>
          <w:sz w:val="24"/>
          <w:szCs w:val="24"/>
          <w:rtl/>
        </w:rPr>
        <w:t xml:space="preserve"> </w:t>
      </w:r>
      <w:r w:rsidRPr="005C7C23">
        <w:rPr>
          <w:rFonts w:ascii="David" w:hAnsi="David" w:cs="David"/>
          <w:sz w:val="24"/>
          <w:szCs w:val="24"/>
          <w:rtl/>
        </w:rPr>
        <w:t>' ל</w:t>
      </w:r>
      <w:hyperlink r:id="rId14" w:history="1">
        <w:r w:rsidR="009C5612" w:rsidRPr="009C5612">
          <w:rPr>
            <w:rFonts w:ascii="David" w:hAnsi="David" w:cs="David"/>
            <w:color w:val="0000FF"/>
            <w:sz w:val="24"/>
            <w:szCs w:val="24"/>
            <w:u w:val="single"/>
            <w:rtl/>
          </w:rPr>
          <w:t>חוק העונשין</w:t>
        </w:r>
      </w:hyperlink>
      <w:r>
        <w:rPr>
          <w:rFonts w:ascii="David" w:hAnsi="David" w:cs="David"/>
          <w:sz w:val="24"/>
          <w:szCs w:val="24"/>
          <w:rtl/>
        </w:rPr>
        <w:t>.</w:t>
      </w:r>
    </w:p>
    <w:p w14:paraId="0186C2EE" w14:textId="77777777" w:rsidR="00CD3287" w:rsidRPr="005C7C23" w:rsidRDefault="00CD3287" w:rsidP="00CD3287">
      <w:pPr>
        <w:pStyle w:val="a9"/>
        <w:spacing w:after="0" w:line="360" w:lineRule="auto"/>
        <w:ind w:left="283"/>
        <w:jc w:val="both"/>
        <w:rPr>
          <w:rFonts w:ascii="David" w:hAnsi="David" w:cs="David"/>
          <w:sz w:val="12"/>
          <w:szCs w:val="12"/>
        </w:rPr>
      </w:pPr>
    </w:p>
    <w:p w14:paraId="29F0CFC5"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tl/>
        </w:rPr>
      </w:pPr>
      <w:r>
        <w:rPr>
          <w:rFonts w:ascii="David" w:hAnsi="David" w:cs="David"/>
          <w:sz w:val="24"/>
          <w:szCs w:val="24"/>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בית המשפט העליון חזר פעם אחר פעם על החומרה הגלומה בעבירות נשק ועל פוטנציאל הפגיעה בנפש וברכוש שעלולים להיגרם כתוצאה מהשימוש בו. </w:t>
      </w:r>
    </w:p>
    <w:p w14:paraId="165F91F6" w14:textId="77777777" w:rsidR="00CD3287" w:rsidRPr="003D7AB1" w:rsidRDefault="00CD3287" w:rsidP="00CD3287">
      <w:pPr>
        <w:rPr>
          <w:rFonts w:ascii="David" w:hAnsi="David"/>
          <w:sz w:val="12"/>
          <w:szCs w:val="12"/>
        </w:rPr>
      </w:pPr>
    </w:p>
    <w:p w14:paraId="6B6F3DBA" w14:textId="77777777" w:rsidR="00CD3287" w:rsidRPr="005C7C23" w:rsidRDefault="00CD3287" w:rsidP="00CD3287">
      <w:pPr>
        <w:pStyle w:val="a9"/>
        <w:numPr>
          <w:ilvl w:val="0"/>
          <w:numId w:val="1"/>
        </w:numPr>
        <w:spacing w:after="0" w:line="360" w:lineRule="auto"/>
        <w:ind w:left="283" w:hanging="425"/>
        <w:jc w:val="both"/>
        <w:rPr>
          <w:rFonts w:ascii="David" w:hAnsi="David" w:cs="David"/>
          <w:sz w:val="24"/>
          <w:szCs w:val="24"/>
          <w:rtl/>
        </w:rPr>
      </w:pPr>
      <w:r w:rsidRPr="005C7C23">
        <w:rPr>
          <w:rFonts w:ascii="David" w:hAnsi="David" w:cs="David"/>
          <w:sz w:val="24"/>
          <w:szCs w:val="24"/>
          <w:rtl/>
        </w:rPr>
        <w:t xml:space="preserve">החזקת ונשיאת נשק ללא היתר טומנת בחובה סכנה ממשית שמא אותו הנשק יגיע לידיים לא זהירות או שיעשה שימוש פלילי בנשק ובכך ייגרם נזק ממשי חמור, החל בנזק לרכוש וכלה בנזק לגוף, עד כדי גרימת מוות. זאת ועוד, עצם החזקת נשק באופן שאינו מפוקח על ידי הרשויות טומן בחובו סיכון פן המחזיק בו יתפתה לעשות בו שימוש, ולו ברגעי לחץ ופחד (ר' </w:t>
      </w:r>
      <w:hyperlink w:history="1">
        <w:r w:rsidRPr="009C5612">
          <w:rPr>
            <w:rStyle w:val="Hyperlink"/>
            <w:rFonts w:ascii="David" w:hAnsi="David" w:cs="David"/>
            <w:color w:val="000000"/>
            <w:sz w:val="24"/>
            <w:szCs w:val="24"/>
            <w:u w:val="none"/>
            <w:rtl/>
          </w:rPr>
          <w:t>ע"פ 4945/13</w:t>
        </w:r>
      </w:hyperlink>
      <w:r w:rsidRPr="005C7C23">
        <w:rPr>
          <w:rFonts w:ascii="David" w:hAnsi="David" w:cs="David"/>
          <w:sz w:val="24"/>
          <w:szCs w:val="24"/>
          <w:rtl/>
        </w:rPr>
        <w:t xml:space="preserve"> </w:t>
      </w:r>
      <w:r w:rsidRPr="005C7C23">
        <w:rPr>
          <w:rFonts w:ascii="David" w:hAnsi="David" w:cs="David"/>
          <w:b/>
          <w:bCs/>
          <w:sz w:val="24"/>
          <w:szCs w:val="24"/>
          <w:rtl/>
        </w:rPr>
        <w:t>מדינת ישראל נ' סלימאן</w:t>
      </w:r>
      <w:r w:rsidRPr="005C7C23">
        <w:rPr>
          <w:rFonts w:ascii="David" w:hAnsi="David" w:cs="David"/>
          <w:sz w:val="24"/>
          <w:szCs w:val="24"/>
          <w:rtl/>
        </w:rPr>
        <w:t xml:space="preserve"> (19.1.14); </w:t>
      </w:r>
      <w:hyperlink w:history="1">
        <w:r w:rsidRPr="009C5612">
          <w:rPr>
            <w:rStyle w:val="Hyperlink"/>
            <w:rFonts w:ascii="David" w:hAnsi="David" w:cs="David"/>
            <w:color w:val="000000"/>
            <w:sz w:val="24"/>
            <w:szCs w:val="24"/>
            <w:u w:val="none"/>
            <w:rtl/>
          </w:rPr>
          <w:t>ע"פ 3300/06</w:t>
        </w:r>
      </w:hyperlink>
      <w:r w:rsidRPr="005C7C23">
        <w:rPr>
          <w:rFonts w:ascii="David" w:hAnsi="David" w:cs="David"/>
          <w:sz w:val="24"/>
          <w:szCs w:val="24"/>
          <w:rtl/>
        </w:rPr>
        <w:t xml:space="preserve"> </w:t>
      </w:r>
      <w:r w:rsidRPr="005C7C23">
        <w:rPr>
          <w:rFonts w:ascii="David" w:hAnsi="David" w:cs="David"/>
          <w:b/>
          <w:bCs/>
          <w:sz w:val="24"/>
          <w:szCs w:val="24"/>
          <w:rtl/>
        </w:rPr>
        <w:t>אבו סנינה נ' מדינת ישראל</w:t>
      </w:r>
      <w:r w:rsidRPr="005C7C23">
        <w:rPr>
          <w:rFonts w:ascii="David" w:hAnsi="David" w:cs="David"/>
          <w:sz w:val="24"/>
          <w:szCs w:val="24"/>
          <w:rtl/>
        </w:rPr>
        <w:t xml:space="preserve"> (10.8.06)). על-כן, פוטנציאל הסיכון הנשקף מהחזקה בו מחייב הטלת ענישה מחמירה ומרתיעה, ועל בית המשפט לתת משקל משמעותי יותר לאינטרס הציבורי ולצורך להרתיע עבריינים מלבצע עבירות דומות, על-פני הנסיבות האישיות של העבריין. בית המשפט העליון חזר על כך, מפי </w:t>
      </w:r>
      <w:r w:rsidRPr="005C7C23">
        <w:rPr>
          <w:rFonts w:ascii="David" w:hAnsi="David" w:cs="David"/>
          <w:sz w:val="24"/>
          <w:szCs w:val="24"/>
          <w:rtl/>
          <w:lang w:eastAsia="he-IL"/>
        </w:rPr>
        <w:t>כב' השופט צ' זילברטל, ב</w:t>
      </w:r>
      <w:hyperlink w:history="1">
        <w:r w:rsidRPr="009C5612">
          <w:rPr>
            <w:rStyle w:val="Hyperlink"/>
            <w:rFonts w:ascii="David" w:hAnsi="David" w:cs="David"/>
            <w:color w:val="000000"/>
            <w:sz w:val="24"/>
            <w:szCs w:val="24"/>
            <w:u w:val="none"/>
            <w:rtl/>
            <w:lang w:eastAsia="he-IL"/>
          </w:rPr>
          <w:t>ע"פ 6989/13</w:t>
        </w:r>
      </w:hyperlink>
      <w:r w:rsidRPr="005C7C23">
        <w:rPr>
          <w:rFonts w:ascii="David" w:hAnsi="David" w:cs="David"/>
          <w:sz w:val="24"/>
          <w:szCs w:val="24"/>
          <w:rtl/>
          <w:lang w:eastAsia="he-IL"/>
        </w:rPr>
        <w:t xml:space="preserve"> </w:t>
      </w:r>
      <w:r w:rsidRPr="005C7C23">
        <w:rPr>
          <w:rFonts w:ascii="David" w:hAnsi="David" w:cs="David"/>
          <w:b/>
          <w:bCs/>
          <w:sz w:val="24"/>
          <w:szCs w:val="24"/>
          <w:rtl/>
          <w:lang w:eastAsia="he-IL"/>
        </w:rPr>
        <w:t xml:space="preserve">פרח נ' מדינת ישראל </w:t>
      </w:r>
      <w:r w:rsidRPr="005C7C23">
        <w:rPr>
          <w:rFonts w:ascii="David" w:hAnsi="David" w:cs="David"/>
          <w:sz w:val="24"/>
          <w:szCs w:val="24"/>
          <w:rtl/>
          <w:lang w:eastAsia="he-IL"/>
        </w:rPr>
        <w:t xml:space="preserve">(25.2.14): </w:t>
      </w:r>
    </w:p>
    <w:p w14:paraId="25A00956" w14:textId="77777777" w:rsidR="00CD3287" w:rsidRPr="007F5FF6" w:rsidRDefault="00CD3287" w:rsidP="00CD3287">
      <w:pPr>
        <w:spacing w:line="360" w:lineRule="auto"/>
        <w:ind w:left="720"/>
        <w:contextualSpacing/>
        <w:jc w:val="both"/>
        <w:rPr>
          <w:rFonts w:ascii="David" w:hAnsi="David"/>
          <w:b/>
          <w:bCs/>
          <w:sz w:val="12"/>
          <w:szCs w:val="12"/>
        </w:rPr>
      </w:pPr>
    </w:p>
    <w:p w14:paraId="0792F4BF" w14:textId="77777777" w:rsidR="00CD3287" w:rsidRPr="005C7C23" w:rsidRDefault="00CD3287" w:rsidP="00CD3287">
      <w:pPr>
        <w:spacing w:line="360" w:lineRule="auto"/>
        <w:ind w:left="566" w:right="709"/>
        <w:contextualSpacing/>
        <w:jc w:val="both"/>
        <w:rPr>
          <w:rFonts w:ascii="David" w:hAnsi="David"/>
        </w:rPr>
      </w:pPr>
      <w:r w:rsidRPr="005C7C23">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w:history="1">
        <w:r w:rsidRPr="009C5612">
          <w:rPr>
            <w:rStyle w:val="Hyperlink"/>
            <w:rFonts w:ascii="David" w:hAnsi="David"/>
            <w:b/>
            <w:bCs/>
            <w:color w:val="000000"/>
            <w:u w:val="none"/>
            <w:rtl/>
          </w:rPr>
          <w:t>ע"פ 3156/11</w:t>
        </w:r>
      </w:hyperlink>
      <w:r w:rsidRPr="005C7C23">
        <w:rPr>
          <w:rFonts w:ascii="David" w:hAnsi="David"/>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w:history="1">
        <w:r w:rsidRPr="009C5612">
          <w:rPr>
            <w:rStyle w:val="Hyperlink"/>
            <w:rFonts w:ascii="David" w:hAnsi="David"/>
            <w:b/>
            <w:bCs/>
            <w:color w:val="000000"/>
            <w:u w:val="none"/>
            <w:rtl/>
          </w:rPr>
          <w:t>ע"פ 2006/12</w:t>
        </w:r>
      </w:hyperlink>
      <w:r w:rsidRPr="005C7C23">
        <w:rPr>
          <w:rFonts w:ascii="David" w:hAnsi="David"/>
          <w:b/>
          <w:bCs/>
          <w:rtl/>
        </w:rPr>
        <w:t xml:space="preserve"> מדינת ישראל נ' אסדי (28.3.2012), (להלן: עניין אסדי); </w:t>
      </w:r>
      <w:hyperlink w:history="1">
        <w:r w:rsidRPr="009C5612">
          <w:rPr>
            <w:rStyle w:val="Hyperlink"/>
            <w:rFonts w:ascii="David" w:hAnsi="David"/>
            <w:b/>
            <w:bCs/>
            <w:color w:val="000000"/>
            <w:u w:val="none"/>
            <w:rtl/>
          </w:rPr>
          <w:t>ע"פ 7502/12</w:t>
        </w:r>
      </w:hyperlink>
      <w:r w:rsidRPr="005C7C23">
        <w:rPr>
          <w:rFonts w:ascii="David" w:hAnsi="David"/>
          <w:b/>
          <w:bCs/>
          <w:rtl/>
        </w:rPr>
        <w:t xml:space="preserve"> כוויס נ' מדינת ישראל, פסקה 6 (25.6.2013))... </w:t>
      </w:r>
      <w:r w:rsidRPr="005C7C23">
        <w:rPr>
          <w:rFonts w:ascii="David" w:hAnsi="David"/>
          <w:rtl/>
        </w:rPr>
        <w:t>"</w:t>
      </w:r>
    </w:p>
    <w:p w14:paraId="2BC40853" w14:textId="77777777" w:rsidR="00CD3287" w:rsidRPr="007F5FF6" w:rsidRDefault="00CD3287" w:rsidP="00CD3287">
      <w:pPr>
        <w:pStyle w:val="a9"/>
        <w:spacing w:after="0" w:line="360" w:lineRule="auto"/>
        <w:ind w:left="283"/>
        <w:jc w:val="both"/>
        <w:rPr>
          <w:rFonts w:ascii="David" w:hAnsi="David" w:cs="David"/>
          <w:sz w:val="10"/>
          <w:szCs w:val="10"/>
        </w:rPr>
      </w:pPr>
    </w:p>
    <w:p w14:paraId="1A800FD4" w14:textId="77777777" w:rsidR="00CD3287" w:rsidRPr="005C7C23" w:rsidRDefault="00CD3287" w:rsidP="00CD3287">
      <w:pPr>
        <w:pStyle w:val="a9"/>
        <w:numPr>
          <w:ilvl w:val="0"/>
          <w:numId w:val="1"/>
        </w:numPr>
        <w:spacing w:after="0" w:line="360" w:lineRule="auto"/>
        <w:ind w:left="283" w:hanging="425"/>
        <w:jc w:val="both"/>
        <w:rPr>
          <w:rFonts w:ascii="David" w:hAnsi="David" w:cs="David"/>
          <w:sz w:val="24"/>
          <w:szCs w:val="24"/>
          <w:rtl/>
        </w:rPr>
      </w:pPr>
      <w:r w:rsidRPr="005C7C23">
        <w:rPr>
          <w:rFonts w:ascii="David" w:hAnsi="David" w:cs="David"/>
          <w:sz w:val="24"/>
          <w:szCs w:val="24"/>
          <w:rtl/>
        </w:rPr>
        <w:t>המגמה להחמיר בענישה בעבירות נשק באה לידי ביטוי בשורה ארוכה של פסקי דין שניתנו על ידי בית משפט העליון, בין היתר, ב</w:t>
      </w:r>
      <w:hyperlink w:history="1">
        <w:r w:rsidRPr="009C5612">
          <w:rPr>
            <w:rStyle w:val="Hyperlink"/>
            <w:rFonts w:ascii="David" w:hAnsi="David" w:cs="David"/>
            <w:color w:val="000000"/>
            <w:sz w:val="24"/>
            <w:szCs w:val="24"/>
            <w:u w:val="none"/>
            <w:rtl/>
          </w:rPr>
          <w:t>ע"פ 1323/13</w:t>
        </w:r>
      </w:hyperlink>
      <w:r w:rsidRPr="005C7C23">
        <w:rPr>
          <w:rFonts w:ascii="David" w:hAnsi="David" w:cs="David"/>
          <w:sz w:val="24"/>
          <w:szCs w:val="24"/>
          <w:rtl/>
        </w:rPr>
        <w:t xml:space="preserve"> </w:t>
      </w:r>
      <w:r w:rsidRPr="005C7C23">
        <w:rPr>
          <w:rFonts w:ascii="David" w:hAnsi="David" w:cs="David"/>
          <w:b/>
          <w:bCs/>
          <w:sz w:val="24"/>
          <w:szCs w:val="24"/>
          <w:rtl/>
        </w:rPr>
        <w:t>רך חסן  נגד מדינת ישראל</w:t>
      </w:r>
      <w:r w:rsidRPr="005C7C23">
        <w:rPr>
          <w:rFonts w:ascii="David" w:hAnsi="David" w:cs="David"/>
          <w:sz w:val="24"/>
          <w:szCs w:val="24"/>
          <w:rtl/>
        </w:rPr>
        <w:t xml:space="preserve">  (5.6.13), שם קבעה כבוד השופטת ע' ארבל:</w:t>
      </w:r>
    </w:p>
    <w:p w14:paraId="3DEBE9EB" w14:textId="77777777" w:rsidR="00CD3287" w:rsidRPr="007F5FF6" w:rsidRDefault="00CD3287" w:rsidP="00CD3287">
      <w:pPr>
        <w:spacing w:after="120" w:line="360" w:lineRule="auto"/>
        <w:ind w:left="782"/>
        <w:contextualSpacing/>
        <w:jc w:val="both"/>
        <w:rPr>
          <w:rFonts w:ascii="David" w:hAnsi="David"/>
          <w:sz w:val="10"/>
          <w:szCs w:val="10"/>
        </w:rPr>
      </w:pPr>
    </w:p>
    <w:p w14:paraId="1E79B52A" w14:textId="77777777" w:rsidR="00CD3287" w:rsidRPr="005C7C23" w:rsidRDefault="00CD3287" w:rsidP="00CD3287">
      <w:pPr>
        <w:spacing w:line="360" w:lineRule="auto"/>
        <w:ind w:left="567" w:right="567"/>
        <w:contextualSpacing/>
        <w:jc w:val="both"/>
        <w:rPr>
          <w:rFonts w:ascii="David" w:hAnsi="David"/>
          <w:b/>
          <w:bCs/>
        </w:rPr>
      </w:pPr>
      <w:r w:rsidRPr="005C7C23">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3E27C91A" w14:textId="77777777" w:rsidR="00CD3287" w:rsidRPr="001F2337" w:rsidRDefault="00CD3287" w:rsidP="00CD3287">
      <w:pPr>
        <w:pStyle w:val="a9"/>
        <w:shd w:val="clear" w:color="auto" w:fill="FFFFFF"/>
        <w:spacing w:after="0" w:line="360" w:lineRule="auto"/>
        <w:ind w:left="360"/>
        <w:jc w:val="both"/>
        <w:rPr>
          <w:rFonts w:ascii="David" w:hAnsi="David" w:cs="David"/>
          <w:sz w:val="12"/>
          <w:szCs w:val="12"/>
        </w:rPr>
      </w:pPr>
    </w:p>
    <w:p w14:paraId="175AB0CE"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tl/>
        </w:rPr>
      </w:pPr>
      <w:r>
        <w:rPr>
          <w:rFonts w:ascii="David" w:hAnsi="David" w:cs="David"/>
          <w:sz w:val="24"/>
          <w:szCs w:val="24"/>
          <w:rtl/>
        </w:rPr>
        <w:t xml:space="preserve">זאת ועוד, מגמת ההחמרה בעבירות הנשק באה לידי ביטוי גם בדבריו של כב' השופט י' </w:t>
      </w:r>
      <w:r w:rsidRPr="00743497">
        <w:rPr>
          <w:rFonts w:ascii="David" w:hAnsi="David" w:cs="David"/>
          <w:sz w:val="24"/>
          <w:szCs w:val="24"/>
          <w:rtl/>
        </w:rPr>
        <w:t>אלרון ב</w:t>
      </w:r>
      <w:hyperlink w:history="1">
        <w:r w:rsidRPr="009C5612">
          <w:rPr>
            <w:rStyle w:val="Hyperlink"/>
            <w:rFonts w:ascii="David" w:hAnsi="David" w:cs="David"/>
            <w:color w:val="000000"/>
            <w:u w:val="none"/>
            <w:rtl/>
          </w:rPr>
          <w:t>רע"פ 5613/20</w:t>
        </w:r>
      </w:hyperlink>
      <w:r>
        <w:rPr>
          <w:rFonts w:ascii="David" w:hAnsi="David" w:cs="David"/>
          <w:sz w:val="24"/>
          <w:szCs w:val="24"/>
          <w:rtl/>
        </w:rPr>
        <w:t xml:space="preserve"> </w:t>
      </w:r>
      <w:r>
        <w:rPr>
          <w:rFonts w:ascii="David" w:hAnsi="David" w:cs="David" w:hint="cs"/>
          <w:b/>
          <w:bCs/>
          <w:sz w:val="24"/>
          <w:szCs w:val="24"/>
          <w:rtl/>
        </w:rPr>
        <w:t xml:space="preserve">אלהוזייל נ' מדינת ישראל </w:t>
      </w:r>
      <w:r>
        <w:rPr>
          <w:rFonts w:ascii="David" w:hAnsi="David" w:cs="David" w:hint="cs"/>
          <w:sz w:val="24"/>
          <w:szCs w:val="24"/>
          <w:rtl/>
        </w:rPr>
        <w:t xml:space="preserve">(25.08.20): </w:t>
      </w:r>
    </w:p>
    <w:p w14:paraId="0D3D97D2" w14:textId="77777777" w:rsidR="00CD3287" w:rsidRPr="00743497" w:rsidRDefault="00CD3287" w:rsidP="00CD3287">
      <w:pPr>
        <w:pStyle w:val="a9"/>
        <w:shd w:val="clear" w:color="auto" w:fill="FFFFFF"/>
        <w:spacing w:after="0" w:line="360" w:lineRule="auto"/>
        <w:ind w:left="360"/>
        <w:jc w:val="both"/>
        <w:rPr>
          <w:rFonts w:ascii="David" w:hAnsi="David" w:cs="David"/>
          <w:sz w:val="12"/>
          <w:szCs w:val="12"/>
        </w:rPr>
      </w:pPr>
    </w:p>
    <w:p w14:paraId="0EF6039F" w14:textId="77777777" w:rsidR="00CD3287" w:rsidRDefault="00CD3287" w:rsidP="00CD3287">
      <w:pPr>
        <w:spacing w:after="120" w:line="360" w:lineRule="auto"/>
        <w:ind w:left="567" w:right="567"/>
        <w:contextualSpacing/>
        <w:jc w:val="both"/>
        <w:rPr>
          <w:rFonts w:ascii="David" w:hAnsi="David"/>
          <w:rtl/>
        </w:rPr>
      </w:pP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Pr>
          <w:rFonts w:ascii="David" w:hAnsi="David"/>
          <w:rtl/>
        </w:rPr>
        <w:t xml:space="preserve"> </w:t>
      </w:r>
    </w:p>
    <w:p w14:paraId="0EF5A44F" w14:textId="77777777" w:rsidR="00CD3287" w:rsidRPr="00960D27" w:rsidRDefault="00CD3287" w:rsidP="00CD3287">
      <w:pPr>
        <w:spacing w:after="120" w:line="360" w:lineRule="auto"/>
        <w:ind w:right="567"/>
        <w:contextualSpacing/>
        <w:jc w:val="both"/>
        <w:rPr>
          <w:rFonts w:ascii="David" w:hAnsi="David"/>
          <w:sz w:val="12"/>
          <w:szCs w:val="12"/>
          <w:rtl/>
        </w:rPr>
      </w:pPr>
    </w:p>
    <w:p w14:paraId="00AD315C" w14:textId="77777777" w:rsidR="00CD3287" w:rsidRDefault="00CD3287" w:rsidP="00CD3287">
      <w:pPr>
        <w:spacing w:after="120" w:line="360" w:lineRule="auto"/>
        <w:ind w:right="567" w:firstLine="283"/>
        <w:contextualSpacing/>
        <w:jc w:val="both"/>
        <w:rPr>
          <w:rFonts w:ascii="David" w:hAnsi="David"/>
          <w:rtl/>
        </w:rPr>
      </w:pPr>
      <w:r>
        <w:rPr>
          <w:rFonts w:ascii="David" w:hAnsi="David" w:hint="cs"/>
          <w:rtl/>
        </w:rPr>
        <w:t>(ר' גם ב</w:t>
      </w:r>
      <w:hyperlink r:id="rId15" w:history="1">
        <w:r w:rsidR="009C5612" w:rsidRPr="009C5612">
          <w:rPr>
            <w:rFonts w:ascii="David" w:hAnsi="David"/>
            <w:color w:val="0000FF"/>
            <w:u w:val="single"/>
            <w:rtl/>
          </w:rPr>
          <w:t>ע"פ 4456/21</w:t>
        </w:r>
      </w:hyperlink>
      <w:r>
        <w:rPr>
          <w:rFonts w:ascii="David" w:hAnsi="David" w:hint="cs"/>
          <w:rtl/>
        </w:rPr>
        <w:t xml:space="preserve"> </w:t>
      </w:r>
      <w:r w:rsidRPr="00960D27">
        <w:rPr>
          <w:rFonts w:ascii="David" w:hAnsi="David" w:hint="cs"/>
          <w:b/>
          <w:bCs/>
          <w:rtl/>
        </w:rPr>
        <w:t>מדינת ישראל נ' אבו עבסה</w:t>
      </w:r>
      <w:r>
        <w:rPr>
          <w:rFonts w:ascii="David" w:hAnsi="David" w:hint="cs"/>
          <w:rtl/>
        </w:rPr>
        <w:t xml:space="preserve"> (23.1.22))</w:t>
      </w:r>
    </w:p>
    <w:p w14:paraId="0F4B54EA" w14:textId="77777777" w:rsidR="00CD3287" w:rsidRPr="00743497" w:rsidRDefault="00CD3287" w:rsidP="00CD3287">
      <w:pPr>
        <w:pStyle w:val="a9"/>
        <w:numPr>
          <w:ilvl w:val="0"/>
          <w:numId w:val="1"/>
        </w:numPr>
        <w:spacing w:after="0" w:line="360" w:lineRule="auto"/>
        <w:ind w:left="283" w:hanging="425"/>
        <w:jc w:val="both"/>
        <w:rPr>
          <w:rFonts w:ascii="David" w:hAnsi="David" w:cs="David"/>
          <w:sz w:val="24"/>
          <w:szCs w:val="24"/>
        </w:rPr>
      </w:pPr>
      <w:r w:rsidRPr="00743497">
        <w:rPr>
          <w:rFonts w:ascii="David" w:hAnsi="David" w:cs="David"/>
          <w:sz w:val="24"/>
          <w:szCs w:val="24"/>
          <w:rtl/>
        </w:rPr>
        <w:t>עוד יש ליתן משקל נכבד</w:t>
      </w:r>
      <w:r>
        <w:rPr>
          <w:rFonts w:ascii="David" w:hAnsi="David" w:cs="David"/>
          <w:sz w:val="24"/>
          <w:szCs w:val="24"/>
          <w:rtl/>
        </w:rPr>
        <w:t xml:space="preserve"> לכך שעסקינן בתיק שעניינו בהחזק</w:t>
      </w:r>
      <w:r>
        <w:rPr>
          <w:rFonts w:ascii="David" w:hAnsi="David" w:cs="David" w:hint="cs"/>
          <w:sz w:val="24"/>
          <w:szCs w:val="24"/>
          <w:rtl/>
        </w:rPr>
        <w:t>ת</w:t>
      </w:r>
      <w:r w:rsidRPr="00743497">
        <w:rPr>
          <w:rFonts w:ascii="David" w:hAnsi="David" w:cs="David"/>
          <w:sz w:val="24"/>
          <w:szCs w:val="24"/>
          <w:rtl/>
        </w:rPr>
        <w:t xml:space="preserve"> </w:t>
      </w:r>
      <w:r w:rsidRPr="00743497">
        <w:rPr>
          <w:rFonts w:ascii="David" w:hAnsi="David" w:cs="David"/>
          <w:b/>
          <w:sz w:val="24"/>
          <w:szCs w:val="24"/>
          <w:rtl/>
        </w:rPr>
        <w:t>מטען חבלה</w:t>
      </w:r>
      <w:r w:rsidRPr="00743497">
        <w:rPr>
          <w:rFonts w:ascii="David" w:hAnsi="David" w:cs="David"/>
          <w:sz w:val="24"/>
          <w:szCs w:val="24"/>
          <w:rtl/>
        </w:rPr>
        <w:t>. מדובר בכלי נשק התקפי ורב עוצמה שהשימוש בו יכול להביא להרג ללא הבחנה ואינו מתיישב עם מטרה אחרת כלשהי (</w:t>
      </w:r>
      <w:r w:rsidRPr="009C5612">
        <w:rPr>
          <w:rFonts w:ascii="David" w:hAnsi="David" w:cs="David"/>
          <w:color w:val="000000"/>
          <w:sz w:val="24"/>
          <w:szCs w:val="24"/>
          <w:rtl/>
        </w:rPr>
        <w:t xml:space="preserve">ע"פ 1332/04 </w:t>
      </w:r>
      <w:r w:rsidRPr="009C5612">
        <w:rPr>
          <w:rFonts w:ascii="David" w:hAnsi="David" w:cs="David"/>
          <w:b/>
          <w:bCs/>
          <w:color w:val="000000"/>
          <w:sz w:val="24"/>
          <w:szCs w:val="24"/>
          <w:rtl/>
        </w:rPr>
        <w:t>מדינת ישראל נ' פס</w:t>
      </w:r>
      <w:r w:rsidRPr="009C5612">
        <w:rPr>
          <w:rFonts w:ascii="David" w:hAnsi="David" w:cs="David"/>
          <w:color w:val="000000"/>
          <w:sz w:val="24"/>
          <w:szCs w:val="24"/>
          <w:rtl/>
        </w:rPr>
        <w:t>, פ"ד נח</w:t>
      </w:r>
      <w:r>
        <w:rPr>
          <w:rFonts w:ascii="David" w:hAnsi="David" w:cs="David"/>
          <w:sz w:val="24"/>
          <w:szCs w:val="24"/>
          <w:rtl/>
        </w:rPr>
        <w:t>(5) 541, 544 (2004)</w:t>
      </w:r>
      <w:r>
        <w:rPr>
          <w:rFonts w:ascii="David" w:hAnsi="David" w:cs="David" w:hint="cs"/>
          <w:sz w:val="24"/>
          <w:szCs w:val="24"/>
          <w:rtl/>
        </w:rPr>
        <w:t xml:space="preserve"> ו</w:t>
      </w:r>
      <w:hyperlink r:id="rId16" w:history="1">
        <w:r w:rsidR="009C5612" w:rsidRPr="009C5612">
          <w:rPr>
            <w:rFonts w:ascii="David" w:hAnsi="David" w:cs="David"/>
            <w:color w:val="0000FF"/>
            <w:sz w:val="24"/>
            <w:szCs w:val="24"/>
            <w:u w:val="single"/>
            <w:rtl/>
          </w:rPr>
          <w:t>ע"פ 8017/20</w:t>
        </w:r>
      </w:hyperlink>
      <w:r>
        <w:rPr>
          <w:rFonts w:ascii="David" w:hAnsi="David" w:cs="David" w:hint="cs"/>
          <w:sz w:val="24"/>
          <w:szCs w:val="24"/>
          <w:rtl/>
        </w:rPr>
        <w:t xml:space="preserve"> מדינת ישראל נ' גיפאת (22.12.20)). בהקשר זה הדגיש בית המשפט העליון, כי</w:t>
      </w:r>
      <w:r w:rsidRPr="00743497">
        <w:rPr>
          <w:rFonts w:ascii="David" w:hAnsi="David" w:cs="David"/>
          <w:sz w:val="24"/>
          <w:szCs w:val="24"/>
          <w:rtl/>
        </w:rPr>
        <w:t xml:space="preserve"> "</w:t>
      </w:r>
      <w:r w:rsidRPr="008D06C1">
        <w:rPr>
          <w:rFonts w:ascii="David" w:hAnsi="David" w:cs="David"/>
          <w:b/>
          <w:bCs/>
          <w:sz w:val="24"/>
          <w:szCs w:val="24"/>
          <w:rtl/>
        </w:rPr>
        <w:t>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w:t>
      </w:r>
      <w:r w:rsidRPr="00743497">
        <w:rPr>
          <w:rFonts w:ascii="David" w:hAnsi="David" w:cs="David"/>
          <w:sz w:val="24"/>
          <w:szCs w:val="24"/>
          <w:rtl/>
        </w:rPr>
        <w:t xml:space="preserve"> (</w:t>
      </w:r>
      <w:hyperlink r:id="rId17" w:history="1">
        <w:r w:rsidR="009C5612" w:rsidRPr="009C5612">
          <w:rPr>
            <w:rFonts w:ascii="David" w:hAnsi="David" w:cs="David"/>
            <w:color w:val="0000FF"/>
            <w:sz w:val="24"/>
            <w:szCs w:val="24"/>
            <w:u w:val="single"/>
            <w:rtl/>
          </w:rPr>
          <w:t>ע"פ 3491/13</w:t>
        </w:r>
      </w:hyperlink>
      <w:r w:rsidRPr="00743497">
        <w:rPr>
          <w:rFonts w:ascii="David" w:hAnsi="David" w:cs="David"/>
          <w:sz w:val="24"/>
          <w:szCs w:val="24"/>
          <w:rtl/>
        </w:rPr>
        <w:t xml:space="preserve"> </w:t>
      </w:r>
      <w:r w:rsidRPr="008D06C1">
        <w:rPr>
          <w:rFonts w:ascii="David" w:hAnsi="David" w:cs="David"/>
          <w:bCs/>
          <w:sz w:val="24"/>
          <w:szCs w:val="24"/>
          <w:rtl/>
        </w:rPr>
        <w:t>טוויק נ' מדינת ישראל</w:t>
      </w:r>
      <w:r>
        <w:rPr>
          <w:rFonts w:ascii="David" w:hAnsi="David" w:cs="David"/>
          <w:sz w:val="24"/>
          <w:szCs w:val="24"/>
          <w:rtl/>
        </w:rPr>
        <w:t>,</w:t>
      </w:r>
      <w:r w:rsidRPr="00743497">
        <w:rPr>
          <w:rFonts w:ascii="David" w:hAnsi="David" w:cs="David"/>
          <w:sz w:val="24"/>
          <w:szCs w:val="24"/>
          <w:rtl/>
        </w:rPr>
        <w:t xml:space="preserve"> פסקה 7 (15.11.13)).</w:t>
      </w:r>
    </w:p>
    <w:p w14:paraId="58055B37" w14:textId="77777777" w:rsidR="00CD3287" w:rsidRPr="00743497" w:rsidRDefault="00CD3287" w:rsidP="00CD3287">
      <w:pPr>
        <w:spacing w:after="120" w:line="360" w:lineRule="auto"/>
        <w:ind w:left="360"/>
        <w:contextualSpacing/>
        <w:jc w:val="both"/>
        <w:rPr>
          <w:rFonts w:ascii="David" w:hAnsi="David"/>
          <w:sz w:val="12"/>
          <w:szCs w:val="12"/>
        </w:rPr>
      </w:pPr>
    </w:p>
    <w:p w14:paraId="608939E3" w14:textId="77777777" w:rsidR="00CD3287" w:rsidRPr="005C7C23" w:rsidRDefault="00CD3287" w:rsidP="00CD3287">
      <w:pPr>
        <w:pStyle w:val="a9"/>
        <w:numPr>
          <w:ilvl w:val="0"/>
          <w:numId w:val="1"/>
        </w:numPr>
        <w:spacing w:after="0" w:line="360" w:lineRule="auto"/>
        <w:ind w:left="283" w:hanging="425"/>
        <w:jc w:val="both"/>
        <w:rPr>
          <w:rFonts w:ascii="David" w:hAnsi="David" w:cs="David"/>
          <w:sz w:val="24"/>
          <w:szCs w:val="24"/>
        </w:rPr>
      </w:pPr>
      <w:r w:rsidRPr="005C7C23">
        <w:rPr>
          <w:rFonts w:ascii="David" w:hAnsi="David" w:cs="David"/>
          <w:sz w:val="24"/>
          <w:szCs w:val="24"/>
          <w:rtl/>
        </w:rPr>
        <w:t>לעניין מדיניות הענישה הנהוגה, אקדים ואציין, כי לא ניתן בנקל למצוא בפסיקה מקרה הדן בנסיבות דומות של החזקת מטען חבלה, אלא למקרים חמורים יותר של נשיאה הובלה וסחר. עם זאת, ניתן להקיש לענייננו מפסיקה המתייחסת לנסיבות חמורות עם פוטנצ</w:t>
      </w:r>
      <w:r>
        <w:rPr>
          <w:rFonts w:ascii="David" w:hAnsi="David" w:cs="David"/>
          <w:sz w:val="24"/>
          <w:szCs w:val="24"/>
          <w:rtl/>
        </w:rPr>
        <w:t>יאל מסוכנות גבוה יותר. כך למשל</w:t>
      </w:r>
      <w:r>
        <w:rPr>
          <w:rFonts w:ascii="David" w:hAnsi="David" w:cs="David" w:hint="cs"/>
          <w:sz w:val="24"/>
          <w:szCs w:val="24"/>
          <w:rtl/>
        </w:rPr>
        <w:t>:</w:t>
      </w:r>
      <w:r w:rsidRPr="005C7C23">
        <w:rPr>
          <w:rFonts w:ascii="David" w:hAnsi="David" w:cs="David"/>
          <w:sz w:val="24"/>
          <w:szCs w:val="24"/>
          <w:rtl/>
        </w:rPr>
        <w:t xml:space="preserve"> </w:t>
      </w:r>
    </w:p>
    <w:p w14:paraId="0B7EA703" w14:textId="77777777" w:rsidR="00CD3287" w:rsidRPr="007F5FF6" w:rsidRDefault="00CD3287" w:rsidP="00CD3287">
      <w:pPr>
        <w:spacing w:line="360" w:lineRule="auto"/>
        <w:ind w:left="720"/>
        <w:contextualSpacing/>
        <w:jc w:val="both"/>
        <w:rPr>
          <w:rFonts w:ascii="David" w:hAnsi="David"/>
          <w:b/>
          <w:bCs/>
          <w:sz w:val="12"/>
          <w:szCs w:val="12"/>
          <w:rtl/>
        </w:rPr>
      </w:pPr>
    </w:p>
    <w:p w14:paraId="14D9E6FF" w14:textId="77777777" w:rsidR="00CD3287" w:rsidRDefault="00CD3287" w:rsidP="00CD3287">
      <w:pPr>
        <w:pStyle w:val="a9"/>
        <w:numPr>
          <w:ilvl w:val="1"/>
          <w:numId w:val="3"/>
        </w:numPr>
        <w:spacing w:after="120" w:line="360" w:lineRule="auto"/>
        <w:jc w:val="both"/>
        <w:rPr>
          <w:rFonts w:ascii="David" w:hAnsi="David" w:cs="David"/>
          <w:sz w:val="24"/>
          <w:szCs w:val="24"/>
        </w:rPr>
      </w:pPr>
      <w:r w:rsidRPr="00F57166">
        <w:rPr>
          <w:rFonts w:ascii="David" w:hAnsi="David" w:cs="David"/>
          <w:sz w:val="24"/>
          <w:szCs w:val="24"/>
          <w:rtl/>
        </w:rPr>
        <w:t>ב</w:t>
      </w:r>
      <w:hyperlink r:id="rId18" w:history="1">
        <w:r w:rsidR="009C5612" w:rsidRPr="009C5612">
          <w:rPr>
            <w:rFonts w:ascii="David" w:hAnsi="David" w:cs="David"/>
            <w:color w:val="0000FF"/>
            <w:sz w:val="24"/>
            <w:szCs w:val="24"/>
            <w:u w:val="single"/>
            <w:rtl/>
          </w:rPr>
          <w:t>ע"פ 8017/20</w:t>
        </w:r>
      </w:hyperlink>
      <w:r w:rsidRPr="00F57166">
        <w:rPr>
          <w:rFonts w:ascii="David" w:hAnsi="David" w:cs="David"/>
          <w:sz w:val="24"/>
          <w:szCs w:val="24"/>
          <w:rtl/>
        </w:rPr>
        <w:t xml:space="preserve"> </w:t>
      </w:r>
      <w:r w:rsidRPr="00F57166">
        <w:rPr>
          <w:rFonts w:ascii="David" w:hAnsi="David" w:cs="David"/>
          <w:b/>
          <w:bCs/>
          <w:sz w:val="24"/>
          <w:szCs w:val="24"/>
          <w:rtl/>
        </w:rPr>
        <w:t>מדינת ישראל נ' גיפאת</w:t>
      </w:r>
      <w:r w:rsidRPr="00F57166">
        <w:rPr>
          <w:rFonts w:ascii="David" w:hAnsi="David" w:cs="David"/>
          <w:sz w:val="24"/>
          <w:szCs w:val="24"/>
          <w:rtl/>
        </w:rPr>
        <w:t xml:space="preserve"> (22.12.20)) נדון עניינו של מי שהורשע בעבירה של הובלת נשק</w:t>
      </w:r>
      <w:r>
        <w:rPr>
          <w:rFonts w:ascii="David" w:hAnsi="David" w:cs="David" w:hint="cs"/>
          <w:sz w:val="24"/>
          <w:szCs w:val="24"/>
          <w:rtl/>
        </w:rPr>
        <w:t xml:space="preserve">, </w:t>
      </w:r>
      <w:r w:rsidRPr="00F57166">
        <w:rPr>
          <w:rFonts w:ascii="David" w:hAnsi="David" w:cs="David"/>
          <w:sz w:val="24"/>
          <w:szCs w:val="24"/>
          <w:rtl/>
        </w:rPr>
        <w:t xml:space="preserve">מטען חבלה, </w:t>
      </w:r>
      <w:r>
        <w:rPr>
          <w:rFonts w:ascii="David" w:hAnsi="David" w:cs="David"/>
          <w:sz w:val="24"/>
          <w:szCs w:val="24"/>
          <w:rtl/>
        </w:rPr>
        <w:t>כחלק מפרשה של עסקת נשק יחד עם שניים נוספים</w:t>
      </w:r>
      <w:r w:rsidRPr="00F57166">
        <w:rPr>
          <w:rFonts w:ascii="David" w:hAnsi="David" w:cs="David"/>
          <w:sz w:val="24"/>
          <w:szCs w:val="24"/>
          <w:rtl/>
        </w:rPr>
        <w:t>, כאשר חלקו בביצוע העבירה</w:t>
      </w:r>
      <w:r>
        <w:rPr>
          <w:rFonts w:ascii="David" w:hAnsi="David" w:cs="David" w:hint="cs"/>
          <w:sz w:val="24"/>
          <w:szCs w:val="24"/>
          <w:rtl/>
        </w:rPr>
        <w:t xml:space="preserve"> </w:t>
      </w:r>
      <w:r w:rsidRPr="00F57166">
        <w:rPr>
          <w:rFonts w:ascii="David" w:hAnsi="David" w:cs="David"/>
          <w:sz w:val="24"/>
          <w:szCs w:val="24"/>
          <w:rtl/>
        </w:rPr>
        <w:t xml:space="preserve">התמצה בהובלת </w:t>
      </w:r>
      <w:r>
        <w:rPr>
          <w:rFonts w:ascii="David" w:hAnsi="David" w:cs="David" w:hint="cs"/>
          <w:sz w:val="24"/>
          <w:szCs w:val="24"/>
          <w:rtl/>
        </w:rPr>
        <w:t>מעורב אחר</w:t>
      </w:r>
      <w:r w:rsidRPr="00F57166">
        <w:rPr>
          <w:rFonts w:ascii="David" w:hAnsi="David" w:cs="David"/>
          <w:sz w:val="24"/>
          <w:szCs w:val="24"/>
          <w:rtl/>
        </w:rPr>
        <w:t xml:space="preserve"> ברכב. בית משפט המחוזי קבע מתחם עונש הולם הנע בין 24-6 חודשי מאסר, </w:t>
      </w:r>
      <w:r>
        <w:rPr>
          <w:rFonts w:ascii="David" w:hAnsi="David" w:cs="David" w:hint="cs"/>
          <w:sz w:val="24"/>
          <w:szCs w:val="24"/>
          <w:rtl/>
        </w:rPr>
        <w:t xml:space="preserve">וגזר עונש של </w:t>
      </w:r>
      <w:r w:rsidRPr="00F57166">
        <w:rPr>
          <w:rFonts w:ascii="David" w:hAnsi="David" w:cs="David"/>
          <w:sz w:val="24"/>
          <w:szCs w:val="24"/>
          <w:rtl/>
        </w:rPr>
        <w:t xml:space="preserve">7 חודשי מאסר. בית המשפט העליון הדגיש את חומרת עבירות הנשק בכלל ונשיאת מטען חבלה בפרט, וכן קבע כי לא ניתן דגש מספיק לעברו הפלילי של המשיב, </w:t>
      </w:r>
      <w:r>
        <w:rPr>
          <w:rFonts w:ascii="David" w:hAnsi="David" w:cs="David" w:hint="cs"/>
          <w:sz w:val="24"/>
          <w:szCs w:val="24"/>
          <w:rtl/>
        </w:rPr>
        <w:t>לפיכך</w:t>
      </w:r>
      <w:r w:rsidRPr="00F57166">
        <w:rPr>
          <w:rFonts w:ascii="David" w:hAnsi="David" w:cs="David"/>
          <w:sz w:val="24"/>
          <w:szCs w:val="24"/>
          <w:rtl/>
        </w:rPr>
        <w:t xml:space="preserve"> קיבל את הערעור והעמיד את עונשו על 14 חודשי מאסר.</w:t>
      </w:r>
    </w:p>
    <w:p w14:paraId="067F945D" w14:textId="77777777" w:rsidR="00CD3287" w:rsidRDefault="00CD3287" w:rsidP="00CD3287">
      <w:pPr>
        <w:pStyle w:val="a9"/>
        <w:spacing w:after="120" w:line="360" w:lineRule="auto"/>
        <w:ind w:left="1222"/>
        <w:jc w:val="both"/>
        <w:rPr>
          <w:rFonts w:ascii="David" w:hAnsi="David" w:cs="David"/>
          <w:sz w:val="12"/>
          <w:szCs w:val="12"/>
          <w:rtl/>
        </w:rPr>
      </w:pPr>
    </w:p>
    <w:p w14:paraId="676B7173" w14:textId="77777777" w:rsidR="00CD3287" w:rsidRDefault="00CD3287" w:rsidP="00CD3287">
      <w:pPr>
        <w:pStyle w:val="a9"/>
        <w:numPr>
          <w:ilvl w:val="1"/>
          <w:numId w:val="3"/>
        </w:numPr>
        <w:spacing w:after="120" w:line="360" w:lineRule="auto"/>
        <w:jc w:val="both"/>
        <w:rPr>
          <w:rFonts w:ascii="David" w:hAnsi="David" w:cs="David"/>
          <w:sz w:val="24"/>
          <w:szCs w:val="24"/>
        </w:rPr>
      </w:pPr>
      <w:r w:rsidRPr="00373950">
        <w:rPr>
          <w:rFonts w:ascii="David" w:hAnsi="David" w:cs="David"/>
          <w:sz w:val="24"/>
          <w:szCs w:val="24"/>
          <w:rtl/>
        </w:rPr>
        <w:t>ב</w:t>
      </w:r>
      <w:hyperlink r:id="rId19" w:history="1">
        <w:r w:rsidR="009C5612" w:rsidRPr="009C5612">
          <w:rPr>
            <w:rFonts w:ascii="David" w:hAnsi="David" w:cs="David"/>
            <w:color w:val="0000FF"/>
            <w:sz w:val="24"/>
            <w:szCs w:val="24"/>
            <w:u w:val="single"/>
            <w:rtl/>
          </w:rPr>
          <w:t>ע"פ 3541/18</w:t>
        </w:r>
      </w:hyperlink>
      <w:r w:rsidRPr="00373950">
        <w:rPr>
          <w:rFonts w:ascii="David" w:hAnsi="David" w:cs="David"/>
          <w:sz w:val="24"/>
          <w:szCs w:val="24"/>
          <w:rtl/>
        </w:rPr>
        <w:t xml:space="preserve"> </w:t>
      </w:r>
      <w:r>
        <w:rPr>
          <w:rFonts w:ascii="David" w:hAnsi="David" w:cs="David" w:hint="cs"/>
          <w:b/>
          <w:sz w:val="24"/>
          <w:szCs w:val="24"/>
          <w:rtl/>
        </w:rPr>
        <w:t xml:space="preserve"> </w:t>
      </w:r>
      <w:r w:rsidRPr="00373950">
        <w:rPr>
          <w:rFonts w:ascii="David" w:hAnsi="David" w:cs="David"/>
          <w:bCs/>
          <w:sz w:val="24"/>
          <w:szCs w:val="24"/>
          <w:rtl/>
        </w:rPr>
        <w:t>נורי נ' מדינת ישראל</w:t>
      </w:r>
      <w:r w:rsidRPr="00373950">
        <w:rPr>
          <w:rFonts w:ascii="David" w:hAnsi="David" w:cs="David"/>
          <w:sz w:val="24"/>
          <w:szCs w:val="24"/>
          <w:rtl/>
        </w:rPr>
        <w:t xml:space="preserve"> (28.3.19), </w:t>
      </w:r>
      <w:r>
        <w:rPr>
          <w:rFonts w:ascii="David" w:hAnsi="David" w:cs="David" w:hint="cs"/>
          <w:sz w:val="24"/>
          <w:szCs w:val="24"/>
          <w:rtl/>
        </w:rPr>
        <w:t xml:space="preserve">נדון ערעורו של מי שהורשע בכך שנשא שני מטעני חבלה ונדון ל-38 חודשי מאסר בפועל. </w:t>
      </w:r>
      <w:r w:rsidRPr="00373950">
        <w:rPr>
          <w:rFonts w:ascii="David" w:hAnsi="David" w:cs="David"/>
          <w:sz w:val="24"/>
          <w:szCs w:val="24"/>
          <w:rtl/>
        </w:rPr>
        <w:t>בהמלצת בית המשפט</w:t>
      </w:r>
      <w:r>
        <w:rPr>
          <w:rFonts w:ascii="David" w:hAnsi="David" w:cs="David" w:hint="cs"/>
          <w:sz w:val="24"/>
          <w:szCs w:val="24"/>
          <w:rtl/>
        </w:rPr>
        <w:t xml:space="preserve"> העליון</w:t>
      </w:r>
      <w:r w:rsidRPr="00373950">
        <w:rPr>
          <w:rFonts w:ascii="David" w:hAnsi="David" w:cs="David"/>
          <w:sz w:val="24"/>
          <w:szCs w:val="24"/>
          <w:rtl/>
        </w:rPr>
        <w:t>, חזר בו המערער מערעורו</w:t>
      </w:r>
      <w:r>
        <w:rPr>
          <w:rFonts w:ascii="David" w:hAnsi="David" w:cs="David" w:hint="cs"/>
          <w:sz w:val="24"/>
          <w:szCs w:val="24"/>
          <w:rtl/>
        </w:rPr>
        <w:t>.</w:t>
      </w:r>
    </w:p>
    <w:p w14:paraId="1FEC356D" w14:textId="77777777" w:rsidR="00CD3287" w:rsidRPr="00AA2F21" w:rsidRDefault="00CD3287" w:rsidP="00CD3287">
      <w:pPr>
        <w:pStyle w:val="a9"/>
        <w:rPr>
          <w:rFonts w:ascii="David" w:hAnsi="David" w:cs="David"/>
          <w:sz w:val="12"/>
          <w:szCs w:val="12"/>
          <w:rtl/>
        </w:rPr>
      </w:pPr>
    </w:p>
    <w:p w14:paraId="43CA589C" w14:textId="77777777" w:rsidR="00CD3287" w:rsidRDefault="00CD3287" w:rsidP="00CD3287">
      <w:pPr>
        <w:pStyle w:val="a9"/>
        <w:numPr>
          <w:ilvl w:val="1"/>
          <w:numId w:val="3"/>
        </w:numPr>
        <w:spacing w:line="360" w:lineRule="auto"/>
        <w:jc w:val="both"/>
        <w:rPr>
          <w:rFonts w:ascii="David" w:hAnsi="David" w:cs="David"/>
          <w:sz w:val="24"/>
          <w:szCs w:val="24"/>
          <w:rtl/>
        </w:rPr>
      </w:pPr>
      <w:r w:rsidRPr="00AA2F21">
        <w:rPr>
          <w:rFonts w:ascii="David" w:hAnsi="David" w:cs="David" w:hint="cs"/>
          <w:color w:val="000000"/>
          <w:sz w:val="24"/>
          <w:szCs w:val="24"/>
          <w:rtl/>
        </w:rPr>
        <w:t>ב</w:t>
      </w:r>
      <w:hyperlink w:history="1">
        <w:r w:rsidRPr="009C5612">
          <w:rPr>
            <w:rStyle w:val="Hyperlink"/>
            <w:rFonts w:ascii="David" w:hAnsi="David" w:cs="David"/>
            <w:color w:val="000000"/>
            <w:sz w:val="24"/>
            <w:szCs w:val="24"/>
            <w:u w:val="none"/>
            <w:rtl/>
          </w:rPr>
          <w:t>ע"פ 2231/18</w:t>
        </w:r>
        <w:r w:rsidR="009C5612" w:rsidRPr="009C5612">
          <w:rPr>
            <w:rStyle w:val="Hyperlink"/>
            <w:rFonts w:ascii="David" w:hAnsi="David" w:cs="David"/>
            <w:color w:val="000000"/>
            <w:sz w:val="24"/>
            <w:szCs w:val="24"/>
            <w:u w:val="none"/>
            <w:rtl/>
          </w:rPr>
          <w:t xml:space="preserve"> </w:t>
        </w:r>
        <w:r w:rsidRPr="009C5612">
          <w:rPr>
            <w:rStyle w:val="Hyperlink"/>
            <w:rFonts w:ascii="David" w:hAnsi="David" w:cs="David"/>
            <w:color w:val="000000"/>
            <w:sz w:val="24"/>
            <w:szCs w:val="24"/>
            <w:u w:val="none"/>
            <w:rtl/>
          </w:rPr>
          <w:t>‏</w:t>
        </w:r>
      </w:hyperlink>
      <w:r>
        <w:rPr>
          <w:rFonts w:ascii="David" w:hAnsi="David" w:cs="David"/>
          <w:color w:val="000000"/>
          <w:sz w:val="24"/>
          <w:szCs w:val="24"/>
          <w:rtl/>
        </w:rPr>
        <w:t xml:space="preserve">‏ </w:t>
      </w:r>
      <w:r>
        <w:rPr>
          <w:rFonts w:ascii="David" w:hAnsi="David" w:cs="David"/>
          <w:b/>
          <w:bCs/>
          <w:color w:val="000000"/>
          <w:sz w:val="24"/>
          <w:szCs w:val="24"/>
          <w:rtl/>
        </w:rPr>
        <w:t xml:space="preserve">בדוואן נ' מדינת ישראל </w:t>
      </w:r>
      <w:r w:rsidRPr="009027C7">
        <w:rPr>
          <w:rFonts w:ascii="David" w:hAnsi="David" w:cs="David"/>
          <w:color w:val="000000"/>
          <w:sz w:val="24"/>
          <w:szCs w:val="24"/>
          <w:rtl/>
        </w:rPr>
        <w:t>(25.10.18)</w:t>
      </w:r>
      <w:r>
        <w:rPr>
          <w:rFonts w:ascii="David" w:hAnsi="David" w:cs="David"/>
          <w:color w:val="000000"/>
          <w:sz w:val="24"/>
          <w:szCs w:val="24"/>
          <w:rtl/>
        </w:rPr>
        <w:t xml:space="preserve"> </w:t>
      </w:r>
      <w:r>
        <w:rPr>
          <w:rFonts w:ascii="David" w:hAnsi="David" w:cs="David" w:hint="cs"/>
          <w:color w:val="000000"/>
          <w:sz w:val="24"/>
          <w:szCs w:val="24"/>
          <w:rtl/>
        </w:rPr>
        <w:t>נדון ערעורו של מי</w:t>
      </w:r>
      <w:r>
        <w:rPr>
          <w:rFonts w:ascii="David" w:hAnsi="David" w:cs="David"/>
          <w:color w:val="000000"/>
          <w:sz w:val="24"/>
          <w:szCs w:val="24"/>
          <w:rtl/>
        </w:rPr>
        <w:t xml:space="preserve"> </w:t>
      </w:r>
      <w:r>
        <w:rPr>
          <w:rFonts w:ascii="David" w:hAnsi="David" w:cs="David" w:hint="cs"/>
          <w:color w:val="000000"/>
          <w:sz w:val="24"/>
          <w:szCs w:val="24"/>
          <w:rtl/>
        </w:rPr>
        <w:t>ש</w:t>
      </w:r>
      <w:r>
        <w:rPr>
          <w:rFonts w:ascii="David" w:hAnsi="David" w:cs="David"/>
          <w:color w:val="000000"/>
          <w:sz w:val="24"/>
          <w:szCs w:val="24"/>
          <w:rtl/>
        </w:rPr>
        <w:t>הורשע על יסוד הודאתו בעבירות של הצתה ונשיאה והובלה של נשק. על-פי עובדות האישום השני, הרלוונטי לענייננו, המערער קיבל מאחר מטען חבלה (מטען צינור), אותו התבקש להניח בפתחו של בית עסק. המערער החזיק במטען החבלה ימים ספורים</w:t>
      </w:r>
      <w:r>
        <w:rPr>
          <w:rFonts w:ascii="David" w:hAnsi="David" w:cs="David" w:hint="cs"/>
          <w:color w:val="000000"/>
          <w:sz w:val="24"/>
          <w:szCs w:val="24"/>
          <w:rtl/>
        </w:rPr>
        <w:t>,</w:t>
      </w:r>
      <w:r>
        <w:rPr>
          <w:rFonts w:ascii="David" w:hAnsi="David" w:cs="David"/>
          <w:color w:val="000000"/>
          <w:sz w:val="24"/>
          <w:szCs w:val="24"/>
          <w:rtl/>
        </w:rPr>
        <w:t xml:space="preserve"> ואז החזירו לאחר בטענה שהמטען אינו תקין. לאחר מכן האחר עדכן את המערער</w:t>
      </w:r>
      <w:r>
        <w:rPr>
          <w:rFonts w:ascii="David" w:hAnsi="David" w:cs="David" w:hint="cs"/>
          <w:color w:val="000000"/>
          <w:sz w:val="24"/>
          <w:szCs w:val="24"/>
          <w:rtl/>
        </w:rPr>
        <w:t>,</w:t>
      </w:r>
      <w:r>
        <w:rPr>
          <w:rFonts w:ascii="David" w:hAnsi="David" w:cs="David"/>
          <w:color w:val="000000"/>
          <w:sz w:val="24"/>
          <w:szCs w:val="24"/>
          <w:rtl/>
        </w:rPr>
        <w:t xml:space="preserve"> כי המטען מוכן להפעלה, אך המערער לא הגיע לקחתו. בית המשפט המחוזי </w:t>
      </w:r>
      <w:r>
        <w:rPr>
          <w:rFonts w:ascii="David" w:hAnsi="David" w:cs="David" w:hint="cs"/>
          <w:color w:val="000000"/>
          <w:sz w:val="24"/>
          <w:szCs w:val="24"/>
          <w:rtl/>
        </w:rPr>
        <w:t xml:space="preserve">בירושלים </w:t>
      </w:r>
      <w:r>
        <w:rPr>
          <w:rFonts w:ascii="David" w:hAnsi="David" w:cs="David"/>
          <w:color w:val="000000"/>
          <w:sz w:val="24"/>
          <w:szCs w:val="24"/>
          <w:rtl/>
        </w:rPr>
        <w:t>קבע לאישום זה מתחם ע</w:t>
      </w:r>
      <w:r>
        <w:rPr>
          <w:rFonts w:ascii="David" w:hAnsi="David" w:cs="David" w:hint="cs"/>
          <w:color w:val="000000"/>
          <w:sz w:val="24"/>
          <w:szCs w:val="24"/>
          <w:rtl/>
        </w:rPr>
        <w:t>ונש הולם</w:t>
      </w:r>
      <w:r>
        <w:rPr>
          <w:rFonts w:ascii="David" w:hAnsi="David" w:cs="David"/>
          <w:color w:val="000000"/>
          <w:sz w:val="24"/>
          <w:szCs w:val="24"/>
          <w:rtl/>
        </w:rPr>
        <w:t xml:space="preserve"> </w:t>
      </w:r>
      <w:r>
        <w:rPr>
          <w:rFonts w:ascii="David" w:hAnsi="David" w:cs="David" w:hint="cs"/>
          <w:color w:val="000000"/>
          <w:sz w:val="24"/>
          <w:szCs w:val="24"/>
          <w:rtl/>
        </w:rPr>
        <w:t>ה</w:t>
      </w:r>
      <w:r>
        <w:rPr>
          <w:rFonts w:ascii="David" w:hAnsi="David" w:cs="David"/>
          <w:color w:val="000000"/>
          <w:sz w:val="24"/>
          <w:szCs w:val="24"/>
          <w:rtl/>
        </w:rPr>
        <w:t>נע בין 12 ל-30 חודשי מאסר</w:t>
      </w:r>
      <w:r>
        <w:rPr>
          <w:rFonts w:ascii="David" w:hAnsi="David" w:cs="David" w:hint="cs"/>
          <w:color w:val="000000"/>
          <w:sz w:val="24"/>
          <w:szCs w:val="24"/>
          <w:rtl/>
        </w:rPr>
        <w:t>, וגזר עונש כולל בגין שני האישומים של 32 חודשי מאסר</w:t>
      </w:r>
      <w:r>
        <w:rPr>
          <w:rFonts w:ascii="David" w:hAnsi="David" w:cs="David"/>
          <w:sz w:val="24"/>
          <w:szCs w:val="24"/>
          <w:rtl/>
        </w:rPr>
        <w:t>.</w:t>
      </w:r>
      <w:r>
        <w:rPr>
          <w:rFonts w:ascii="David" w:hAnsi="David" w:cs="David" w:hint="cs"/>
          <w:sz w:val="24"/>
          <w:szCs w:val="24"/>
          <w:rtl/>
        </w:rPr>
        <w:t xml:space="preserve"> בית המשפט העליון קיבל את הערעור והפחית את עונשו ל-26 חודשי מאסר.</w:t>
      </w:r>
    </w:p>
    <w:p w14:paraId="44B6337C" w14:textId="77777777" w:rsidR="00CD3287" w:rsidRPr="00AF2B78" w:rsidRDefault="00CD3287" w:rsidP="00CD3287">
      <w:pPr>
        <w:pStyle w:val="a9"/>
        <w:rPr>
          <w:rFonts w:ascii="David" w:hAnsi="David" w:cs="David"/>
          <w:sz w:val="12"/>
          <w:szCs w:val="12"/>
          <w:rtl/>
        </w:rPr>
      </w:pPr>
    </w:p>
    <w:p w14:paraId="1CE1FB95" w14:textId="77777777" w:rsidR="00CD3287" w:rsidRDefault="00CD3287" w:rsidP="00CD3287">
      <w:pPr>
        <w:pStyle w:val="a9"/>
        <w:numPr>
          <w:ilvl w:val="1"/>
          <w:numId w:val="3"/>
        </w:numPr>
        <w:spacing w:after="120" w:line="360" w:lineRule="auto"/>
        <w:jc w:val="both"/>
        <w:rPr>
          <w:rFonts w:ascii="David" w:hAnsi="David" w:cs="David"/>
          <w:sz w:val="24"/>
          <w:szCs w:val="24"/>
        </w:rPr>
      </w:pPr>
      <w:r w:rsidRPr="00373950">
        <w:rPr>
          <w:rFonts w:ascii="David" w:hAnsi="David" w:cs="David"/>
          <w:sz w:val="24"/>
          <w:szCs w:val="24"/>
          <w:rtl/>
        </w:rPr>
        <w:t>ב</w:t>
      </w:r>
      <w:hyperlink r:id="rId20" w:history="1">
        <w:r w:rsidR="009C5612" w:rsidRPr="009C5612">
          <w:rPr>
            <w:rFonts w:ascii="David" w:hAnsi="David" w:cs="David"/>
            <w:color w:val="0000FF"/>
            <w:sz w:val="24"/>
            <w:szCs w:val="24"/>
            <w:u w:val="single"/>
            <w:rtl/>
          </w:rPr>
          <w:t>ע"פ 5336/13</w:t>
        </w:r>
      </w:hyperlink>
      <w:r w:rsidRPr="00373950">
        <w:rPr>
          <w:rFonts w:ascii="David" w:hAnsi="David" w:cs="David"/>
          <w:sz w:val="24"/>
          <w:szCs w:val="24"/>
          <w:rtl/>
        </w:rPr>
        <w:t xml:space="preserve"> </w:t>
      </w:r>
      <w:r w:rsidRPr="00373950">
        <w:rPr>
          <w:rFonts w:ascii="David" w:hAnsi="David" w:cs="David"/>
          <w:bCs/>
          <w:sz w:val="24"/>
          <w:szCs w:val="24"/>
          <w:rtl/>
        </w:rPr>
        <w:t>צדוק נ' מדינת ישראל</w:t>
      </w:r>
      <w:r w:rsidRPr="00373950">
        <w:rPr>
          <w:rFonts w:ascii="David" w:hAnsi="David" w:cs="David"/>
          <w:sz w:val="24"/>
          <w:szCs w:val="24"/>
          <w:rtl/>
        </w:rPr>
        <w:t xml:space="preserve"> (17.11.13) נדחה ערעור</w:t>
      </w:r>
      <w:r>
        <w:rPr>
          <w:rFonts w:ascii="David" w:hAnsi="David" w:cs="David" w:hint="cs"/>
          <w:sz w:val="24"/>
          <w:szCs w:val="24"/>
          <w:rtl/>
        </w:rPr>
        <w:t>ו של מי שהורשע בכך שנשא והוביל מטען חבלה.</w:t>
      </w:r>
      <w:r w:rsidRPr="00373950">
        <w:rPr>
          <w:rFonts w:ascii="David" w:hAnsi="David" w:cs="David"/>
          <w:sz w:val="24"/>
          <w:szCs w:val="24"/>
          <w:rtl/>
        </w:rPr>
        <w:t xml:space="preserve"> </w:t>
      </w:r>
      <w:r>
        <w:rPr>
          <w:rFonts w:ascii="David" w:hAnsi="David" w:cs="David" w:hint="cs"/>
          <w:sz w:val="24"/>
          <w:szCs w:val="24"/>
          <w:rtl/>
        </w:rPr>
        <w:t xml:space="preserve">בבית המשפט המחוזי </w:t>
      </w:r>
      <w:r w:rsidRPr="00373950">
        <w:rPr>
          <w:rFonts w:ascii="David" w:hAnsi="David" w:cs="David"/>
          <w:sz w:val="24"/>
          <w:szCs w:val="24"/>
          <w:rtl/>
        </w:rPr>
        <w:t xml:space="preserve">הוטל עונש מאסר בפועל בן 20 </w:t>
      </w:r>
      <w:r>
        <w:rPr>
          <w:rFonts w:ascii="David" w:hAnsi="David" w:cs="David"/>
          <w:sz w:val="24"/>
          <w:szCs w:val="24"/>
          <w:rtl/>
        </w:rPr>
        <w:t>חודשים</w:t>
      </w:r>
      <w:r>
        <w:rPr>
          <w:rFonts w:ascii="David" w:hAnsi="David" w:cs="David" w:hint="cs"/>
          <w:sz w:val="24"/>
          <w:szCs w:val="24"/>
          <w:rtl/>
        </w:rPr>
        <w:t xml:space="preserve">, כאשר המערער </w:t>
      </w:r>
      <w:r w:rsidRPr="00373950">
        <w:rPr>
          <w:rFonts w:ascii="David" w:hAnsi="David" w:cs="David"/>
          <w:sz w:val="24"/>
          <w:szCs w:val="24"/>
          <w:rtl/>
        </w:rPr>
        <w:t>הודה</w:t>
      </w:r>
      <w:r>
        <w:rPr>
          <w:rFonts w:ascii="David" w:hAnsi="David" w:cs="David"/>
          <w:sz w:val="24"/>
          <w:szCs w:val="24"/>
          <w:rtl/>
        </w:rPr>
        <w:t xml:space="preserve"> במסגרת הסדר טיעון</w:t>
      </w:r>
      <w:r>
        <w:rPr>
          <w:rFonts w:ascii="David" w:hAnsi="David" w:cs="David" w:hint="cs"/>
          <w:sz w:val="24"/>
          <w:szCs w:val="24"/>
          <w:rtl/>
        </w:rPr>
        <w:t>, בגדרו המשיבה הגבילה עצמה לעתור</w:t>
      </w:r>
      <w:r>
        <w:rPr>
          <w:rFonts w:ascii="David" w:hAnsi="David" w:cs="David"/>
          <w:sz w:val="24"/>
          <w:szCs w:val="24"/>
          <w:rtl/>
        </w:rPr>
        <w:t xml:space="preserve"> לעונש </w:t>
      </w:r>
      <w:r>
        <w:rPr>
          <w:rFonts w:ascii="David" w:hAnsi="David" w:cs="David" w:hint="cs"/>
          <w:sz w:val="24"/>
          <w:szCs w:val="24"/>
          <w:rtl/>
        </w:rPr>
        <w:t xml:space="preserve">של </w:t>
      </w:r>
      <w:r>
        <w:rPr>
          <w:rFonts w:ascii="David" w:hAnsi="David" w:cs="David"/>
          <w:sz w:val="24"/>
          <w:szCs w:val="24"/>
          <w:rtl/>
        </w:rPr>
        <w:t>30 חודשי מאסר</w:t>
      </w:r>
      <w:r>
        <w:rPr>
          <w:rFonts w:ascii="David" w:hAnsi="David" w:cs="David" w:hint="cs"/>
          <w:sz w:val="24"/>
          <w:szCs w:val="24"/>
          <w:rtl/>
        </w:rPr>
        <w:t>.</w:t>
      </w:r>
    </w:p>
    <w:p w14:paraId="247D4D4F" w14:textId="77777777" w:rsidR="00CD3287" w:rsidRPr="00AF2B78" w:rsidRDefault="00CD3287" w:rsidP="00CD3287">
      <w:pPr>
        <w:pStyle w:val="a9"/>
        <w:spacing w:after="120" w:line="360" w:lineRule="auto"/>
        <w:ind w:left="1222"/>
        <w:jc w:val="both"/>
        <w:rPr>
          <w:rFonts w:ascii="David" w:hAnsi="David" w:cs="David"/>
          <w:sz w:val="12"/>
          <w:szCs w:val="12"/>
        </w:rPr>
      </w:pPr>
    </w:p>
    <w:p w14:paraId="760BA2CB" w14:textId="77777777" w:rsidR="00CD3287" w:rsidRDefault="00CD3287" w:rsidP="00CD3287">
      <w:pPr>
        <w:pStyle w:val="a9"/>
        <w:numPr>
          <w:ilvl w:val="1"/>
          <w:numId w:val="3"/>
        </w:numPr>
        <w:spacing w:after="120" w:line="360" w:lineRule="auto"/>
        <w:jc w:val="both"/>
        <w:rPr>
          <w:rFonts w:ascii="David" w:hAnsi="David" w:cs="David"/>
          <w:sz w:val="24"/>
          <w:szCs w:val="24"/>
        </w:rPr>
      </w:pPr>
      <w:r>
        <w:rPr>
          <w:rFonts w:hint="cs"/>
          <w:rtl/>
        </w:rPr>
        <w:t>ב</w:t>
      </w:r>
      <w:hyperlink w:history="1">
        <w:r w:rsidRPr="009C5612">
          <w:rPr>
            <w:rStyle w:val="Hyperlink"/>
            <w:rFonts w:ascii="David" w:hAnsi="David" w:cs="David"/>
            <w:color w:val="000000"/>
            <w:sz w:val="24"/>
            <w:szCs w:val="24"/>
            <w:u w:val="none"/>
            <w:rtl/>
          </w:rPr>
          <w:t>ת"פ (מחוזי ב"ש) 21139-04-17</w:t>
        </w:r>
        <w:r w:rsidR="009C5612" w:rsidRPr="009C5612">
          <w:rPr>
            <w:rStyle w:val="Hyperlink"/>
            <w:rFonts w:ascii="David" w:hAnsi="David" w:cs="David"/>
            <w:color w:val="000000"/>
            <w:sz w:val="24"/>
            <w:szCs w:val="24"/>
            <w:u w:val="none"/>
            <w:rtl/>
          </w:rPr>
          <w:t xml:space="preserve"> </w:t>
        </w:r>
        <w:r w:rsidRPr="009C5612">
          <w:rPr>
            <w:rStyle w:val="Hyperlink"/>
            <w:rFonts w:ascii="David" w:hAnsi="David" w:cs="David"/>
            <w:b/>
            <w:bCs/>
            <w:color w:val="000000"/>
            <w:sz w:val="24"/>
            <w:szCs w:val="24"/>
            <w:u w:val="none"/>
            <w:rtl/>
          </w:rPr>
          <w:t>מדינת ישראל נ' שמואל יעקב</w:t>
        </w:r>
        <w:r w:rsidR="009C5612" w:rsidRPr="009C5612">
          <w:rPr>
            <w:rStyle w:val="Hyperlink"/>
            <w:rFonts w:ascii="David" w:hAnsi="David" w:cs="David"/>
            <w:color w:val="000000"/>
            <w:sz w:val="24"/>
            <w:szCs w:val="24"/>
            <w:u w:val="none"/>
            <w:rtl/>
          </w:rPr>
          <w:t xml:space="preserve"> </w:t>
        </w:r>
        <w:r w:rsidRPr="009C5612">
          <w:rPr>
            <w:rStyle w:val="Hyperlink"/>
            <w:rFonts w:ascii="David" w:hAnsi="David" w:cs="David"/>
            <w:color w:val="000000"/>
            <w:sz w:val="24"/>
            <w:szCs w:val="24"/>
            <w:u w:val="none"/>
            <w:rtl/>
          </w:rPr>
          <w:t>(03.12.18)‏</w:t>
        </w:r>
      </w:hyperlink>
      <w:r>
        <w:rPr>
          <w:rFonts w:ascii="David" w:hAnsi="David" w:cs="David"/>
          <w:sz w:val="24"/>
          <w:szCs w:val="24"/>
          <w:rtl/>
        </w:rPr>
        <w:t>‏ הורשע הנאשם בעבירה של החזקת מטען חבלה בסמוך לביתו. על פי כתב האישום המתוקן, הנאשם החזיק, בסמוך לביתו, מטען צינור מאולתר אשר בכוחו להמית אדם, ובמועד מסוים הוא מסר את המטען לסוכן משטרתי. בנוסף לכך, הנאשם צירף שלושה תיקים של בית משפט השלום התלויים ועומדים נגדו. בנסיבותיו של מקרה זה, נקבע מתחם העונש ההולם למעשי הנאשם, בכל הקשור לעבירת הנשק, נע בין 18 ל-36 חודשי מאסר בפועל</w:t>
      </w:r>
      <w:r>
        <w:rPr>
          <w:rFonts w:ascii="David" w:hAnsi="David" w:cs="David"/>
          <w:sz w:val="24"/>
          <w:szCs w:val="24"/>
        </w:rPr>
        <w:t>.</w:t>
      </w:r>
      <w:r>
        <w:rPr>
          <w:rFonts w:ascii="David" w:hAnsi="David" w:cs="David" w:hint="cs"/>
          <w:sz w:val="24"/>
          <w:szCs w:val="24"/>
          <w:rtl/>
        </w:rPr>
        <w:t xml:space="preserve"> על הנאשם הוטל עונש כולל של 32 חודשי מאסר.</w:t>
      </w:r>
    </w:p>
    <w:p w14:paraId="37713072" w14:textId="77777777" w:rsidR="00CD3287" w:rsidRPr="009027C7" w:rsidRDefault="00CD3287" w:rsidP="00CD3287">
      <w:pPr>
        <w:pStyle w:val="a9"/>
        <w:spacing w:after="120" w:line="360" w:lineRule="auto"/>
        <w:ind w:left="1222"/>
        <w:jc w:val="both"/>
        <w:rPr>
          <w:rFonts w:ascii="David" w:hAnsi="David" w:cs="David"/>
          <w:sz w:val="12"/>
          <w:szCs w:val="12"/>
        </w:rPr>
      </w:pPr>
    </w:p>
    <w:p w14:paraId="0C5C5212" w14:textId="77777777" w:rsidR="00CD3287" w:rsidRDefault="00CD3287" w:rsidP="00CD3287">
      <w:pPr>
        <w:pStyle w:val="a9"/>
        <w:numPr>
          <w:ilvl w:val="1"/>
          <w:numId w:val="3"/>
        </w:numPr>
        <w:spacing w:after="120" w:line="360" w:lineRule="auto"/>
        <w:jc w:val="both"/>
        <w:rPr>
          <w:rFonts w:ascii="David" w:hAnsi="David" w:cs="David"/>
          <w:sz w:val="24"/>
          <w:szCs w:val="24"/>
        </w:rPr>
      </w:pPr>
      <w:r w:rsidRPr="009027C7">
        <w:rPr>
          <w:rFonts w:ascii="David" w:hAnsi="David" w:cs="David"/>
          <w:sz w:val="24"/>
          <w:szCs w:val="24"/>
          <w:rtl/>
        </w:rPr>
        <w:t>ב</w:t>
      </w:r>
      <w:hyperlink w:history="1">
        <w:r w:rsidRPr="009C5612">
          <w:rPr>
            <w:rFonts w:ascii="David" w:hAnsi="David" w:cs="David"/>
            <w:color w:val="000000"/>
            <w:sz w:val="24"/>
            <w:szCs w:val="24"/>
            <w:rtl/>
          </w:rPr>
          <w:t>ת"פ (מחוזי חי</w:t>
        </w:r>
        <w:r w:rsidRPr="009C5612">
          <w:rPr>
            <w:rFonts w:ascii="David" w:hAnsi="David" w:cs="David" w:hint="cs"/>
            <w:color w:val="000000"/>
            <w:sz w:val="24"/>
            <w:szCs w:val="24"/>
            <w:rtl/>
          </w:rPr>
          <w:t>פה</w:t>
        </w:r>
        <w:r w:rsidRPr="009C5612">
          <w:rPr>
            <w:rFonts w:ascii="David" w:hAnsi="David" w:cs="David"/>
            <w:color w:val="000000"/>
            <w:sz w:val="24"/>
            <w:szCs w:val="24"/>
            <w:rtl/>
          </w:rPr>
          <w:t>) 49995-09-17</w:t>
        </w:r>
      </w:hyperlink>
      <w:r>
        <w:rPr>
          <w:rFonts w:ascii="David" w:hAnsi="David" w:cs="David"/>
          <w:sz w:val="24"/>
          <w:szCs w:val="24"/>
          <w:rtl/>
        </w:rPr>
        <w:t xml:space="preserve"> </w:t>
      </w:r>
      <w:r>
        <w:rPr>
          <w:rFonts w:ascii="David" w:hAnsi="David" w:cs="David" w:hint="cs"/>
          <w:b/>
          <w:bCs/>
          <w:sz w:val="24"/>
          <w:szCs w:val="24"/>
          <w:rtl/>
        </w:rPr>
        <w:t xml:space="preserve">מדינת ישראל נ' עלי (04.11.18) </w:t>
      </w:r>
      <w:r>
        <w:rPr>
          <w:rFonts w:ascii="David" w:hAnsi="David" w:cs="David" w:hint="cs"/>
          <w:sz w:val="24"/>
          <w:szCs w:val="24"/>
          <w:rtl/>
        </w:rPr>
        <w:t>הורשע הנאשם בעבירות נשק, עת ייצר שלא כדין מטען-חבלה מאולתר, באמצעות זיקוקין, שפוטנציאל המסוכנות ממנו נמוך. בהמשך, הסתיר את המטען ברכבו. בית המשפט המחוזי קבע מתחם עונש הולם הנע בין 6 ל-18 חודשי מאסר. בסופו של דבר, גזר עליו בית המשפט מאסר בפועל לתקופה של ששה חודשים, שירוצו בעבודות שירות</w:t>
      </w:r>
      <w:r>
        <w:rPr>
          <w:rFonts w:ascii="David" w:hAnsi="David" w:cs="David"/>
          <w:sz w:val="24"/>
          <w:szCs w:val="24"/>
        </w:rPr>
        <w:t>.</w:t>
      </w:r>
    </w:p>
    <w:p w14:paraId="4CC5290C" w14:textId="77777777" w:rsidR="00CD3287" w:rsidRPr="007D3424" w:rsidRDefault="00CD3287" w:rsidP="00CD3287">
      <w:pPr>
        <w:pStyle w:val="a9"/>
        <w:rPr>
          <w:rFonts w:ascii="David" w:hAnsi="David"/>
          <w:b/>
          <w:bCs/>
          <w:sz w:val="12"/>
          <w:szCs w:val="12"/>
        </w:rPr>
      </w:pPr>
    </w:p>
    <w:p w14:paraId="42C48727" w14:textId="77777777" w:rsidR="00CD3287" w:rsidRDefault="00CD3287" w:rsidP="00CD3287">
      <w:pPr>
        <w:pStyle w:val="a9"/>
        <w:numPr>
          <w:ilvl w:val="1"/>
          <w:numId w:val="3"/>
        </w:numPr>
        <w:spacing w:line="360" w:lineRule="auto"/>
        <w:jc w:val="both"/>
        <w:rPr>
          <w:rFonts w:ascii="David" w:hAnsi="David" w:cs="David"/>
          <w:sz w:val="24"/>
          <w:szCs w:val="24"/>
        </w:rPr>
      </w:pPr>
      <w:r w:rsidRPr="004B43A7">
        <w:rPr>
          <w:rFonts w:ascii="David" w:hAnsi="David" w:cs="David"/>
          <w:sz w:val="24"/>
          <w:szCs w:val="24"/>
          <w:rtl/>
        </w:rPr>
        <w:t>ב</w:t>
      </w:r>
      <w:hyperlink w:history="1">
        <w:r w:rsidRPr="009C5612">
          <w:rPr>
            <w:rStyle w:val="Hyperlink"/>
            <w:rFonts w:ascii="David" w:hAnsi="David" w:cs="David"/>
            <w:color w:val="000000"/>
            <w:sz w:val="24"/>
            <w:szCs w:val="24"/>
            <w:u w:val="none"/>
            <w:rtl/>
          </w:rPr>
          <w:t>ת"פ (מחוזי י-ם) 3510-06-15‏</w:t>
        </w:r>
      </w:hyperlink>
      <w:r w:rsidRPr="004566A0">
        <w:rPr>
          <w:rFonts w:ascii="David" w:hAnsi="David" w:cs="David"/>
          <w:sz w:val="24"/>
          <w:szCs w:val="24"/>
          <w:rtl/>
        </w:rPr>
        <w:t>‏</w:t>
      </w:r>
      <w:r w:rsidRPr="004566A0">
        <w:rPr>
          <w:rFonts w:ascii="David" w:hAnsi="David" w:cs="David"/>
          <w:b/>
          <w:bCs/>
          <w:sz w:val="24"/>
          <w:szCs w:val="24"/>
          <w:rtl/>
        </w:rPr>
        <w:t xml:space="preserve"> מדינת ישראל נ' אטדגי</w:t>
      </w:r>
      <w:r w:rsidRPr="004566A0">
        <w:rPr>
          <w:rFonts w:ascii="David" w:hAnsi="David" w:cs="David"/>
          <w:sz w:val="24"/>
          <w:szCs w:val="24"/>
          <w:rtl/>
        </w:rPr>
        <w:t xml:space="preserve"> (18.11.15) הורשע הנאשם על יסוד הודאתו במסגרת הסדר טיעון בעבירה של נשיאת והובלת נשק</w:t>
      </w:r>
      <w:r>
        <w:rPr>
          <w:rFonts w:ascii="David" w:hAnsi="David" w:cs="David" w:hint="cs"/>
          <w:sz w:val="24"/>
          <w:szCs w:val="24"/>
          <w:rtl/>
        </w:rPr>
        <w:t>,</w:t>
      </w:r>
      <w:r w:rsidRPr="004566A0">
        <w:rPr>
          <w:rFonts w:ascii="David" w:hAnsi="David" w:cs="David"/>
          <w:sz w:val="24"/>
          <w:szCs w:val="24"/>
          <w:rtl/>
        </w:rPr>
        <w:t xml:space="preserve"> בכך שנשא ברכבו מטען חבלה שהורכב מלבנת חבלה שהכילה חומר נפץ ושלט רחוק, עטופים ביריעת בד עד שנעצר על ידי המשטרה. בבדיקת מרכיבי מטען החבלה, נמצא כי המטען לא יכול היה להתפוצץ, אך אם כל מרכיביו היו תקינים ומחוברים כהלכה - היה בכוחו להמית אדם. בית המשפט המחוזי קבע מתחם </w:t>
      </w:r>
      <w:r>
        <w:rPr>
          <w:rFonts w:ascii="David" w:hAnsi="David" w:cs="David" w:hint="cs"/>
          <w:sz w:val="24"/>
          <w:szCs w:val="24"/>
          <w:rtl/>
        </w:rPr>
        <w:t>עונש הולם ה</w:t>
      </w:r>
      <w:r>
        <w:rPr>
          <w:rFonts w:ascii="David" w:hAnsi="David" w:cs="David"/>
          <w:sz w:val="24"/>
          <w:szCs w:val="24"/>
          <w:rtl/>
        </w:rPr>
        <w:t>נע בין 12 ל- 36 חודשי מאסר בפו</w:t>
      </w:r>
      <w:r>
        <w:rPr>
          <w:rFonts w:ascii="David" w:hAnsi="David" w:cs="David" w:hint="cs"/>
          <w:sz w:val="24"/>
          <w:szCs w:val="24"/>
          <w:rtl/>
        </w:rPr>
        <w:t>על וגזר על הנאשם, נעדר עבר פלילי, 16 חודשי מאסר בפועל</w:t>
      </w:r>
      <w:r w:rsidRPr="004566A0">
        <w:rPr>
          <w:rFonts w:ascii="David" w:hAnsi="David" w:cs="David"/>
          <w:sz w:val="24"/>
          <w:szCs w:val="24"/>
        </w:rPr>
        <w:t>.</w:t>
      </w:r>
    </w:p>
    <w:p w14:paraId="0881BC30" w14:textId="77777777" w:rsidR="00CD3287" w:rsidRPr="007D3424" w:rsidRDefault="00CD3287" w:rsidP="00CD3287">
      <w:pPr>
        <w:pStyle w:val="a9"/>
        <w:rPr>
          <w:rFonts w:ascii="David" w:hAnsi="David" w:cs="David"/>
          <w:sz w:val="12"/>
          <w:szCs w:val="12"/>
          <w:rtl/>
        </w:rPr>
      </w:pPr>
    </w:p>
    <w:p w14:paraId="741D28D1" w14:textId="77777777" w:rsidR="00CD3287" w:rsidRDefault="00CD3287" w:rsidP="00CD3287">
      <w:pPr>
        <w:pStyle w:val="a9"/>
        <w:numPr>
          <w:ilvl w:val="1"/>
          <w:numId w:val="3"/>
        </w:numPr>
        <w:spacing w:line="360" w:lineRule="auto"/>
        <w:jc w:val="both"/>
        <w:rPr>
          <w:rFonts w:ascii="David" w:hAnsi="David" w:cs="David"/>
          <w:b/>
          <w:bCs/>
          <w:sz w:val="24"/>
          <w:szCs w:val="24"/>
          <w:rtl/>
        </w:rPr>
      </w:pPr>
      <w:r w:rsidRPr="00224C72">
        <w:rPr>
          <w:rFonts w:ascii="David" w:hAnsi="David" w:cs="David"/>
          <w:sz w:val="24"/>
          <w:szCs w:val="24"/>
          <w:rtl/>
        </w:rPr>
        <w:t>ב</w:t>
      </w:r>
      <w:hyperlink w:history="1">
        <w:r w:rsidRPr="009C5612">
          <w:rPr>
            <w:rStyle w:val="Hyperlink"/>
            <w:rFonts w:ascii="David" w:hAnsi="David" w:cs="David"/>
            <w:color w:val="000000"/>
            <w:sz w:val="24"/>
            <w:szCs w:val="24"/>
            <w:u w:val="none"/>
            <w:rtl/>
          </w:rPr>
          <w:t>ת"פ 10735-08-09</w:t>
        </w:r>
      </w:hyperlink>
      <w:r>
        <w:rPr>
          <w:rFonts w:ascii="David" w:hAnsi="David" w:cs="David"/>
          <w:sz w:val="24"/>
          <w:szCs w:val="24"/>
          <w:rtl/>
        </w:rPr>
        <w:t xml:space="preserve"> </w:t>
      </w:r>
      <w:r w:rsidRPr="00224C72">
        <w:rPr>
          <w:rFonts w:ascii="David" w:hAnsi="David" w:cs="David" w:hint="cs"/>
          <w:sz w:val="24"/>
          <w:szCs w:val="24"/>
          <w:rtl/>
        </w:rPr>
        <w:t xml:space="preserve">(מחוזי </w:t>
      </w:r>
      <w:r>
        <w:rPr>
          <w:rFonts w:ascii="David" w:hAnsi="David" w:cs="David" w:hint="cs"/>
          <w:sz w:val="24"/>
          <w:szCs w:val="24"/>
          <w:rtl/>
        </w:rPr>
        <w:t>חיפה</w:t>
      </w:r>
      <w:r w:rsidRPr="00224C72">
        <w:rPr>
          <w:rFonts w:ascii="David" w:hAnsi="David" w:cs="David" w:hint="cs"/>
          <w:sz w:val="24"/>
          <w:szCs w:val="24"/>
          <w:rtl/>
        </w:rPr>
        <w:t>)</w:t>
      </w:r>
      <w:r>
        <w:rPr>
          <w:rFonts w:ascii="David" w:hAnsi="David" w:cs="David" w:hint="cs"/>
          <w:b/>
          <w:bCs/>
          <w:sz w:val="24"/>
          <w:szCs w:val="24"/>
          <w:rtl/>
        </w:rPr>
        <w:t xml:space="preserve"> מדינת ישראל נ' דבאח </w:t>
      </w:r>
      <w:r>
        <w:rPr>
          <w:rFonts w:ascii="David" w:hAnsi="David" w:cs="David" w:hint="cs"/>
          <w:sz w:val="24"/>
          <w:szCs w:val="24"/>
          <w:rtl/>
        </w:rPr>
        <w:t>(16.3.10) הורשע הנאשם</w:t>
      </w:r>
      <w:r>
        <w:rPr>
          <w:rFonts w:ascii="David" w:hAnsi="David" w:cs="David" w:hint="cs"/>
          <w:b/>
          <w:bCs/>
          <w:sz w:val="24"/>
          <w:szCs w:val="24"/>
          <w:rtl/>
        </w:rPr>
        <w:t xml:space="preserve"> </w:t>
      </w:r>
      <w:r>
        <w:rPr>
          <w:rFonts w:ascii="David" w:hAnsi="David" w:cs="David" w:hint="cs"/>
          <w:sz w:val="24"/>
          <w:szCs w:val="24"/>
          <w:rtl/>
        </w:rPr>
        <w:t>בעבירה של החזקת נשק מסוג מטען חבלה בסמוך לביתו.</w:t>
      </w:r>
      <w:r>
        <w:rPr>
          <w:rFonts w:ascii="David" w:hAnsi="David" w:cs="David" w:hint="cs"/>
          <w:b/>
          <w:bCs/>
          <w:sz w:val="24"/>
          <w:szCs w:val="24"/>
          <w:rtl/>
        </w:rPr>
        <w:t xml:space="preserve"> </w:t>
      </w:r>
      <w:r>
        <w:rPr>
          <w:rFonts w:ascii="David" w:hAnsi="David" w:cs="David" w:hint="cs"/>
          <w:sz w:val="24"/>
          <w:szCs w:val="24"/>
          <w:rtl/>
        </w:rPr>
        <w:t>לנאשם עבר פלילי מכביד</w:t>
      </w:r>
      <w:r>
        <w:rPr>
          <w:rFonts w:ascii="David" w:hAnsi="David" w:cs="David" w:hint="cs"/>
          <w:b/>
          <w:bCs/>
          <w:sz w:val="24"/>
          <w:szCs w:val="24"/>
          <w:rtl/>
        </w:rPr>
        <w:t xml:space="preserve">, </w:t>
      </w:r>
      <w:r>
        <w:rPr>
          <w:rFonts w:ascii="David" w:hAnsi="David" w:cs="David" w:hint="cs"/>
          <w:sz w:val="24"/>
          <w:szCs w:val="24"/>
          <w:rtl/>
        </w:rPr>
        <w:t>והוא נידון ל-30 חודשי מאסר בפועל.</w:t>
      </w:r>
    </w:p>
    <w:p w14:paraId="1DB3E0A6" w14:textId="77777777" w:rsidR="00CD3287" w:rsidRPr="005C7C23" w:rsidRDefault="00CD3287" w:rsidP="00CD3287">
      <w:pPr>
        <w:pStyle w:val="a9"/>
        <w:spacing w:line="360" w:lineRule="auto"/>
        <w:ind w:left="1222"/>
        <w:jc w:val="both"/>
        <w:rPr>
          <w:rFonts w:ascii="David" w:hAnsi="David" w:cs="David"/>
          <w:sz w:val="12"/>
          <w:szCs w:val="12"/>
          <w:rtl/>
        </w:rPr>
      </w:pPr>
    </w:p>
    <w:p w14:paraId="18BE0A90" w14:textId="77777777" w:rsidR="00CD3287" w:rsidRDefault="00CD3287" w:rsidP="009F3AF1">
      <w:pPr>
        <w:pStyle w:val="a9"/>
        <w:numPr>
          <w:ilvl w:val="0"/>
          <w:numId w:val="1"/>
        </w:numPr>
        <w:spacing w:after="0" w:line="360" w:lineRule="auto"/>
        <w:ind w:left="283" w:hanging="425"/>
        <w:jc w:val="both"/>
        <w:rPr>
          <w:rFonts w:ascii="David" w:hAnsi="David" w:cs="David"/>
          <w:sz w:val="24"/>
          <w:szCs w:val="24"/>
        </w:rPr>
      </w:pPr>
      <w:r w:rsidRPr="005C7C23">
        <w:rPr>
          <w:rFonts w:ascii="David" w:hAnsi="David" w:cs="David"/>
          <w:sz w:val="24"/>
          <w:szCs w:val="24"/>
          <w:rtl/>
        </w:rPr>
        <w:t>אשר לנסיבות הקשורות בביצוע העבירה</w:t>
      </w:r>
      <w:r w:rsidRPr="005C7C23">
        <w:rPr>
          <w:rFonts w:ascii="David" w:hAnsi="David" w:cs="David"/>
          <w:b/>
          <w:bCs/>
          <w:sz w:val="24"/>
          <w:szCs w:val="24"/>
          <w:rtl/>
        </w:rPr>
        <w:t xml:space="preserve"> </w:t>
      </w:r>
      <w:r w:rsidRPr="005C7C23">
        <w:rPr>
          <w:rFonts w:ascii="David" w:hAnsi="David" w:cs="David"/>
          <w:sz w:val="24"/>
          <w:szCs w:val="24"/>
          <w:rtl/>
        </w:rPr>
        <w:t>(</w:t>
      </w:r>
      <w:hyperlink r:id="rId21" w:history="1">
        <w:r w:rsidR="009F3AF1" w:rsidRPr="009F3AF1">
          <w:rPr>
            <w:rStyle w:val="Hyperlink"/>
            <w:rFonts w:ascii="David" w:hAnsi="David" w:cs="David"/>
            <w:sz w:val="24"/>
            <w:szCs w:val="24"/>
            <w:rtl/>
          </w:rPr>
          <w:t>סעיף 40 ט'</w:t>
        </w:r>
      </w:hyperlink>
      <w:r w:rsidR="009F3AF1">
        <w:rPr>
          <w:rFonts w:ascii="David" w:hAnsi="David" w:cs="David"/>
          <w:color w:val="000000"/>
          <w:sz w:val="24"/>
          <w:szCs w:val="24"/>
          <w:rtl/>
        </w:rPr>
        <w:t xml:space="preserve"> </w:t>
      </w:r>
      <w:r w:rsidRPr="005C7C23">
        <w:rPr>
          <w:rFonts w:ascii="David" w:hAnsi="David" w:cs="David"/>
          <w:sz w:val="24"/>
          <w:szCs w:val="24"/>
          <w:rtl/>
        </w:rPr>
        <w:t xml:space="preserve"> ל</w:t>
      </w:r>
      <w:hyperlink r:id="rId22" w:history="1">
        <w:r w:rsidR="009C5612" w:rsidRPr="009C5612">
          <w:rPr>
            <w:rFonts w:ascii="David" w:hAnsi="David" w:cs="David"/>
            <w:color w:val="0000FF"/>
            <w:sz w:val="24"/>
            <w:szCs w:val="24"/>
            <w:u w:val="single"/>
            <w:rtl/>
          </w:rPr>
          <w:t>חוק העונשין</w:t>
        </w:r>
      </w:hyperlink>
      <w:r w:rsidRPr="005C7C23">
        <w:rPr>
          <w:rFonts w:ascii="David" w:hAnsi="David" w:cs="David"/>
          <w:sz w:val="24"/>
          <w:szCs w:val="24"/>
          <w:rtl/>
        </w:rPr>
        <w:t xml:space="preserve">), יש לתת את הדעת לשיקולים הבאים: מחד גיסא, החזקת נשק ללא היתר טומנת בחובה סכנה ממשית שמא אותו הנשק יגיע לידיים לא זהירות או שיעשה שימוש פלילי בנשק ובכך ייגרם נזק ממשי חמור. בנוסף, השימוש העיקרי הבא בחשבון כאשר מדובר במטען צינור, הוא שימוש עברייני, כלפי אדם או רכוש. הסיכון הכרוך בהחזקה ובשימוש במטען כזה, למי שמחזיק במטען, למי שמתעסק בו, למי שנגדו הוא מופעל ולמי שנמצא בסביבתם של אלה, חמור. עוד שקלתי את העובדה שהנאשם יכול היה להפסיק את ביצוע העבירה בכך שהיה פונה למשטרה, אך בחר להתמיד בביצוע העבירה. מאידך גיסא, יש להתחשב בכך שמדובר בעבירה של החזקת נשק שהעונש המֵרבי שנקצב בצד העבירה בכתב האישום המתוקן עומד על 7 שנות מאסר, עבירה שהיא בסמכות בית משפט שלום. עוד התחשבתי בכך שאין מדובר בעבירה שבוצעה תוך תכנון מוקדם. להיפך, הנאשם מצא באקראי את המטען והחליט להחזיק בו. כמו כן, עסקינן במטען חבלה </w:t>
      </w:r>
      <w:r w:rsidRPr="005C7C23">
        <w:rPr>
          <w:rFonts w:ascii="David" w:hAnsi="David" w:cs="David"/>
          <w:color w:val="000000"/>
          <w:sz w:val="24"/>
          <w:szCs w:val="24"/>
          <w:rtl/>
        </w:rPr>
        <w:t>מאולתר</w:t>
      </w:r>
      <w:r w:rsidRPr="005C7C23">
        <w:rPr>
          <w:rFonts w:ascii="David" w:hAnsi="David" w:cs="David"/>
          <w:sz w:val="24"/>
          <w:szCs w:val="24"/>
          <w:rtl/>
        </w:rPr>
        <w:t xml:space="preserve"> לא תיקני. אשר לתחמושת שנמצאה, מדובר במספר כדורים, כאשר הוסכם במסגרת הסדר הטיעון, שספק אם הם שמישים. כמו כן, אין </w:t>
      </w:r>
      <w:r w:rsidRPr="005C7C23">
        <w:rPr>
          <w:rFonts w:ascii="David" w:hAnsi="David" w:cs="David"/>
          <w:color w:val="000000"/>
          <w:sz w:val="24"/>
          <w:szCs w:val="24"/>
          <w:rtl/>
        </w:rPr>
        <w:t>חולק כי הנאשם לא היה אמור לקבל את המטען לידיו, וחלקו התמצה בהחזקתו לאחר שמצא אותו במקום, כפי שמצא את התחמושת.</w:t>
      </w:r>
      <w:r w:rsidRPr="005C7C23">
        <w:rPr>
          <w:rFonts w:ascii="David" w:hAnsi="David" w:cs="David"/>
          <w:sz w:val="24"/>
          <w:szCs w:val="24"/>
          <w:rtl/>
        </w:rPr>
        <w:t xml:space="preserve"> בנוסף, לא נגרם נזק מביצוע העבירה.</w:t>
      </w:r>
    </w:p>
    <w:p w14:paraId="4DA7EA03" w14:textId="77777777" w:rsidR="00CD3287" w:rsidRPr="005C7C23" w:rsidRDefault="00CD3287" w:rsidP="00CD3287">
      <w:pPr>
        <w:pStyle w:val="a9"/>
        <w:spacing w:after="0" w:line="360" w:lineRule="auto"/>
        <w:ind w:left="283"/>
        <w:jc w:val="both"/>
        <w:rPr>
          <w:rFonts w:ascii="David" w:hAnsi="David" w:cs="David"/>
          <w:sz w:val="12"/>
          <w:szCs w:val="12"/>
        </w:rPr>
      </w:pPr>
    </w:p>
    <w:p w14:paraId="3DC95BAB" w14:textId="77777777" w:rsidR="00CD3287" w:rsidRDefault="00CD3287" w:rsidP="00CD3287">
      <w:pPr>
        <w:pStyle w:val="a9"/>
        <w:numPr>
          <w:ilvl w:val="0"/>
          <w:numId w:val="1"/>
        </w:numPr>
        <w:spacing w:after="0" w:line="360" w:lineRule="auto"/>
        <w:ind w:left="283" w:hanging="425"/>
        <w:jc w:val="both"/>
        <w:rPr>
          <w:rFonts w:ascii="David" w:hAnsi="David" w:cs="David"/>
          <w:sz w:val="24"/>
          <w:szCs w:val="24"/>
          <w:rtl/>
        </w:rPr>
      </w:pPr>
      <w:r>
        <w:rPr>
          <w:rFonts w:ascii="David" w:hAnsi="David" w:cs="David"/>
          <w:sz w:val="24"/>
          <w:szCs w:val="24"/>
          <w:rtl/>
        </w:rPr>
        <w:t>לאחר שהבאתי בחשבון את הערכים החברתיים שנפגעו כתוצאה ממעשה הנאשם, את מדיניות הענישה הנוהגת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את מגמת ההחמרה הנוספת בעבירות הנשק מהעת האחרונה, </w:t>
      </w:r>
      <w:r>
        <w:rPr>
          <w:rFonts w:ascii="David" w:hAnsi="David" w:cs="David"/>
          <w:sz w:val="24"/>
          <w:szCs w:val="24"/>
          <w:rtl/>
        </w:rPr>
        <w:t xml:space="preserve">ואת הנסיבות </w:t>
      </w:r>
      <w:r>
        <w:rPr>
          <w:rFonts w:ascii="David" w:hAnsi="David" w:cs="David" w:hint="cs"/>
          <w:sz w:val="24"/>
          <w:szCs w:val="24"/>
          <w:rtl/>
        </w:rPr>
        <w:t xml:space="preserve">המיוחדות </w:t>
      </w:r>
      <w:r>
        <w:rPr>
          <w:rFonts w:ascii="David" w:hAnsi="David" w:cs="David"/>
          <w:sz w:val="24"/>
          <w:szCs w:val="24"/>
          <w:rtl/>
        </w:rPr>
        <w:t>הקשורות בעבירה</w:t>
      </w:r>
      <w:r>
        <w:rPr>
          <w:rFonts w:ascii="David" w:hAnsi="David" w:cs="David" w:hint="cs"/>
          <w:sz w:val="24"/>
          <w:szCs w:val="24"/>
          <w:rtl/>
        </w:rPr>
        <w:t xml:space="preserve"> שאינן במדרג חומרה גבוה באופן יחסי</w:t>
      </w:r>
      <w:r>
        <w:rPr>
          <w:rFonts w:ascii="David" w:hAnsi="David" w:cs="David"/>
          <w:sz w:val="24"/>
          <w:szCs w:val="24"/>
          <w:rtl/>
        </w:rPr>
        <w:t xml:space="preserve">, מצאתי לקבוע את מתחם העונש ההולם כנע בין </w:t>
      </w:r>
      <w:r>
        <w:rPr>
          <w:rFonts w:ascii="David" w:hAnsi="David" w:cs="David" w:hint="cs"/>
          <w:sz w:val="24"/>
          <w:szCs w:val="24"/>
          <w:rtl/>
        </w:rPr>
        <w:t>10</w:t>
      </w:r>
      <w:r>
        <w:rPr>
          <w:rFonts w:ascii="David" w:hAnsi="David" w:cs="David"/>
          <w:sz w:val="24"/>
          <w:szCs w:val="24"/>
          <w:rtl/>
        </w:rPr>
        <w:t xml:space="preserve"> ועד </w:t>
      </w:r>
      <w:r>
        <w:rPr>
          <w:rFonts w:ascii="David" w:hAnsi="David" w:cs="David" w:hint="cs"/>
          <w:sz w:val="24"/>
          <w:szCs w:val="24"/>
          <w:rtl/>
        </w:rPr>
        <w:t>30</w:t>
      </w:r>
      <w:r>
        <w:rPr>
          <w:rFonts w:ascii="David" w:hAnsi="David" w:cs="David"/>
          <w:sz w:val="24"/>
          <w:szCs w:val="24"/>
          <w:rtl/>
        </w:rPr>
        <w:t xml:space="preserve"> חודשי מאסר. </w:t>
      </w:r>
      <w:r w:rsidR="009C5612">
        <w:rPr>
          <w:rFonts w:ascii="David" w:hAnsi="David" w:cs="David"/>
          <w:sz w:val="24"/>
          <w:szCs w:val="24"/>
          <w:rtl/>
        </w:rPr>
        <w:t xml:space="preserve"> </w:t>
      </w:r>
      <w:r>
        <w:rPr>
          <w:rFonts w:ascii="David" w:hAnsi="David" w:cs="David"/>
          <w:sz w:val="24"/>
          <w:szCs w:val="24"/>
          <w:rtl/>
        </w:rPr>
        <w:t xml:space="preserve"> </w:t>
      </w:r>
    </w:p>
    <w:p w14:paraId="70CE7C25" w14:textId="77777777" w:rsidR="00CD3287" w:rsidRDefault="00CD3287" w:rsidP="00CD3287">
      <w:pPr>
        <w:pStyle w:val="a9"/>
        <w:rPr>
          <w:rFonts w:ascii="David" w:hAnsi="David" w:cs="David"/>
          <w:b/>
          <w:bCs/>
          <w:sz w:val="24"/>
          <w:szCs w:val="24"/>
        </w:rPr>
      </w:pPr>
    </w:p>
    <w:p w14:paraId="3C7D8D28" w14:textId="77777777" w:rsidR="00CD3287" w:rsidRPr="00E27A20" w:rsidRDefault="00CD3287" w:rsidP="00CD3287">
      <w:pPr>
        <w:spacing w:line="360" w:lineRule="auto"/>
        <w:ind w:hanging="142"/>
        <w:jc w:val="both"/>
        <w:rPr>
          <w:rFonts w:ascii="David" w:hAnsi="David"/>
          <w:u w:val="single"/>
        </w:rPr>
      </w:pPr>
      <w:r w:rsidRPr="00E27A20">
        <w:rPr>
          <w:rFonts w:ascii="David" w:hAnsi="David"/>
          <w:b/>
          <w:bCs/>
          <w:u w:val="single"/>
          <w:rtl/>
        </w:rPr>
        <w:t>העונש המתאים</w:t>
      </w:r>
    </w:p>
    <w:p w14:paraId="379CF8CB" w14:textId="77777777" w:rsidR="00CD3287" w:rsidRPr="007D3424" w:rsidRDefault="00CD3287" w:rsidP="009F3AF1">
      <w:pPr>
        <w:pStyle w:val="a9"/>
        <w:numPr>
          <w:ilvl w:val="0"/>
          <w:numId w:val="1"/>
        </w:numPr>
        <w:spacing w:after="0" w:line="360" w:lineRule="auto"/>
        <w:ind w:left="283" w:hanging="425"/>
        <w:jc w:val="both"/>
        <w:rPr>
          <w:rFonts w:ascii="David" w:hAnsi="David" w:cs="David"/>
          <w:sz w:val="24"/>
          <w:szCs w:val="24"/>
          <w:rtl/>
        </w:rPr>
      </w:pPr>
      <w:r w:rsidRPr="00CE2488">
        <w:rPr>
          <w:rFonts w:ascii="David" w:hAnsi="David" w:cs="David"/>
          <w:sz w:val="24"/>
          <w:szCs w:val="24"/>
          <w:rtl/>
        </w:rPr>
        <w:t xml:space="preserve">בגזירת העונש המתאים לנאשם, בגדרי מתחם העונש ההולם, יש להתחשב </w:t>
      </w:r>
      <w:r w:rsidRPr="007D3424">
        <w:rPr>
          <w:rFonts w:ascii="David" w:hAnsi="David" w:cs="David"/>
          <w:sz w:val="24"/>
          <w:szCs w:val="24"/>
          <w:rtl/>
        </w:rPr>
        <w:t>בנסיבות שאינן קשורות בביצוע העבירה (</w:t>
      </w:r>
      <w:hyperlink r:id="rId23" w:history="1">
        <w:r w:rsidR="009F3AF1" w:rsidRPr="009F3AF1">
          <w:rPr>
            <w:rStyle w:val="Hyperlink"/>
            <w:rFonts w:ascii="David" w:hAnsi="David" w:cs="David"/>
            <w:sz w:val="24"/>
            <w:szCs w:val="24"/>
            <w:rtl/>
          </w:rPr>
          <w:t>סעיף 40 יא'</w:t>
        </w:r>
      </w:hyperlink>
      <w:r w:rsidR="009F3AF1">
        <w:rPr>
          <w:rFonts w:ascii="David" w:hAnsi="David" w:cs="David"/>
          <w:sz w:val="24"/>
          <w:szCs w:val="24"/>
          <w:rtl/>
        </w:rPr>
        <w:t xml:space="preserve"> </w:t>
      </w:r>
      <w:r w:rsidRPr="007D3424">
        <w:rPr>
          <w:rFonts w:ascii="David" w:hAnsi="David" w:cs="David" w:hint="cs"/>
          <w:sz w:val="24"/>
          <w:szCs w:val="24"/>
          <w:rtl/>
        </w:rPr>
        <w:t xml:space="preserve"> ל</w:t>
      </w:r>
      <w:hyperlink r:id="rId24" w:history="1">
        <w:r w:rsidR="009C5612" w:rsidRPr="009C5612">
          <w:rPr>
            <w:rFonts w:ascii="David" w:hAnsi="David" w:cs="David"/>
            <w:color w:val="0000FF"/>
            <w:sz w:val="24"/>
            <w:szCs w:val="24"/>
            <w:u w:val="single"/>
            <w:rtl/>
          </w:rPr>
          <w:t>חוק העונשין</w:t>
        </w:r>
      </w:hyperlink>
      <w:r w:rsidRPr="007D3424">
        <w:rPr>
          <w:rFonts w:ascii="David" w:hAnsi="David" w:cs="David"/>
          <w:sz w:val="24"/>
          <w:szCs w:val="24"/>
          <w:rtl/>
        </w:rPr>
        <w:t>). במסגרת זו מן הראוי לתת את הדעת לנסיבות הבאות:</w:t>
      </w:r>
    </w:p>
    <w:p w14:paraId="1C01659B" w14:textId="77777777" w:rsidR="00CD3287" w:rsidRPr="007D3424" w:rsidRDefault="00CD3287" w:rsidP="00CD3287">
      <w:pPr>
        <w:pStyle w:val="a9"/>
        <w:spacing w:line="360" w:lineRule="auto"/>
        <w:jc w:val="both"/>
        <w:rPr>
          <w:rFonts w:ascii="David" w:hAnsi="David" w:cs="David"/>
          <w:sz w:val="12"/>
          <w:szCs w:val="12"/>
        </w:rPr>
      </w:pPr>
    </w:p>
    <w:p w14:paraId="7CA3A753" w14:textId="77777777" w:rsidR="00CD3287" w:rsidRDefault="00CD3287" w:rsidP="00CD3287">
      <w:pPr>
        <w:pStyle w:val="a9"/>
        <w:numPr>
          <w:ilvl w:val="1"/>
          <w:numId w:val="2"/>
        </w:numPr>
        <w:spacing w:after="0" w:line="360" w:lineRule="auto"/>
        <w:jc w:val="both"/>
        <w:rPr>
          <w:rFonts w:ascii="David" w:hAnsi="David" w:cs="David"/>
          <w:sz w:val="12"/>
          <w:szCs w:val="12"/>
        </w:rPr>
      </w:pPr>
      <w:r w:rsidRPr="0092751C">
        <w:rPr>
          <w:rFonts w:ascii="David" w:hAnsi="David" w:cs="David"/>
          <w:sz w:val="24"/>
          <w:szCs w:val="24"/>
          <w:rtl/>
        </w:rPr>
        <w:t>הפגיעה של העונש בנאשם, לרבות בשל גילו</w:t>
      </w:r>
      <w:r w:rsidRPr="0092751C">
        <w:rPr>
          <w:rFonts w:ascii="David" w:hAnsi="David" w:cs="David" w:hint="cs"/>
          <w:sz w:val="24"/>
          <w:szCs w:val="24"/>
          <w:rtl/>
        </w:rPr>
        <w:t>-</w:t>
      </w:r>
      <w:r w:rsidRPr="0092751C">
        <w:rPr>
          <w:rFonts w:ascii="David" w:hAnsi="David" w:cs="David"/>
          <w:sz w:val="24"/>
          <w:szCs w:val="24"/>
          <w:rtl/>
        </w:rPr>
        <w:t xml:space="preserve"> נאשם בן 21</w:t>
      </w:r>
      <w:r w:rsidRPr="0092751C">
        <w:rPr>
          <w:rFonts w:ascii="David" w:hAnsi="David" w:cs="David" w:hint="cs"/>
          <w:sz w:val="24"/>
          <w:szCs w:val="24"/>
          <w:rtl/>
        </w:rPr>
        <w:t>.</w:t>
      </w:r>
      <w:r w:rsidRPr="0092751C">
        <w:rPr>
          <w:rFonts w:ascii="David" w:hAnsi="David" w:cs="David"/>
          <w:sz w:val="24"/>
          <w:szCs w:val="24"/>
          <w:rtl/>
        </w:rPr>
        <w:t xml:space="preserve"> </w:t>
      </w:r>
      <w:r w:rsidRPr="0092751C">
        <w:rPr>
          <w:rFonts w:ascii="David" w:hAnsi="David" w:cs="David" w:hint="cs"/>
          <w:sz w:val="24"/>
          <w:szCs w:val="24"/>
          <w:rtl/>
        </w:rPr>
        <w:t xml:space="preserve">כאמור בתסקיר שירות המבחן, </w:t>
      </w:r>
      <w:r w:rsidRPr="0092751C">
        <w:rPr>
          <w:rFonts w:ascii="David" w:hAnsi="David" w:cs="David"/>
          <w:sz w:val="24"/>
          <w:szCs w:val="24"/>
          <w:rtl/>
        </w:rPr>
        <w:t xml:space="preserve">נסיבות </w:t>
      </w:r>
      <w:r w:rsidRPr="0092751C">
        <w:rPr>
          <w:rFonts w:ascii="David" w:hAnsi="David" w:cs="David" w:hint="cs"/>
          <w:sz w:val="24"/>
          <w:szCs w:val="24"/>
          <w:rtl/>
        </w:rPr>
        <w:t xml:space="preserve">חייו </w:t>
      </w:r>
      <w:r w:rsidRPr="0092751C">
        <w:rPr>
          <w:rFonts w:ascii="David" w:hAnsi="David" w:cs="David"/>
          <w:sz w:val="24"/>
          <w:szCs w:val="24"/>
          <w:rtl/>
        </w:rPr>
        <w:t>אינן פשוטות</w:t>
      </w:r>
      <w:r w:rsidRPr="0092751C">
        <w:rPr>
          <w:rFonts w:ascii="David" w:hAnsi="David" w:cs="David" w:hint="cs"/>
          <w:sz w:val="24"/>
          <w:szCs w:val="24"/>
          <w:rtl/>
        </w:rPr>
        <w:t>.</w:t>
      </w:r>
      <w:r w:rsidRPr="0092751C">
        <w:rPr>
          <w:rFonts w:ascii="David" w:hAnsi="David" w:cs="David"/>
          <w:sz w:val="24"/>
          <w:szCs w:val="24"/>
          <w:rtl/>
        </w:rPr>
        <w:t xml:space="preserve"> טרם מעצרו עבד לפרנסת משפחתו</w:t>
      </w:r>
      <w:r w:rsidRPr="0092751C">
        <w:rPr>
          <w:rFonts w:ascii="David" w:hAnsi="David" w:cs="David" w:hint="cs"/>
          <w:sz w:val="24"/>
          <w:szCs w:val="24"/>
          <w:rtl/>
        </w:rPr>
        <w:t>, שתלויה ב</w:t>
      </w:r>
      <w:r>
        <w:rPr>
          <w:rFonts w:ascii="David" w:hAnsi="David" w:cs="David" w:hint="cs"/>
          <w:sz w:val="24"/>
          <w:szCs w:val="24"/>
          <w:rtl/>
        </w:rPr>
        <w:t>ו</w:t>
      </w:r>
      <w:r w:rsidRPr="0092751C">
        <w:rPr>
          <w:rFonts w:ascii="David" w:hAnsi="David" w:cs="David" w:hint="cs"/>
          <w:sz w:val="24"/>
          <w:szCs w:val="24"/>
          <w:rtl/>
        </w:rPr>
        <w:t>,</w:t>
      </w:r>
      <w:r w:rsidRPr="0092751C">
        <w:rPr>
          <w:rFonts w:ascii="David" w:hAnsi="David" w:cs="David"/>
          <w:sz w:val="24"/>
          <w:szCs w:val="24"/>
          <w:rtl/>
        </w:rPr>
        <w:t xml:space="preserve"> </w:t>
      </w:r>
      <w:r w:rsidRPr="0092751C">
        <w:rPr>
          <w:rFonts w:ascii="David" w:hAnsi="David" w:cs="David" w:hint="cs"/>
          <w:sz w:val="24"/>
          <w:szCs w:val="24"/>
          <w:rtl/>
        </w:rPr>
        <w:t>מאז שמלאו לו</w:t>
      </w:r>
      <w:r w:rsidRPr="0092751C">
        <w:rPr>
          <w:rFonts w:ascii="David" w:hAnsi="David" w:cs="David"/>
          <w:sz w:val="24"/>
          <w:szCs w:val="24"/>
          <w:rtl/>
        </w:rPr>
        <w:t xml:space="preserve"> 11</w:t>
      </w:r>
      <w:r w:rsidRPr="0092751C">
        <w:rPr>
          <w:rFonts w:ascii="David" w:hAnsi="David" w:cs="David" w:hint="cs"/>
          <w:sz w:val="24"/>
          <w:szCs w:val="24"/>
          <w:rtl/>
        </w:rPr>
        <w:t xml:space="preserve"> שנים</w:t>
      </w:r>
      <w:r w:rsidRPr="0092751C">
        <w:rPr>
          <w:rFonts w:ascii="David" w:hAnsi="David" w:cs="David"/>
          <w:sz w:val="24"/>
          <w:szCs w:val="24"/>
          <w:rtl/>
        </w:rPr>
        <w:t xml:space="preserve">. </w:t>
      </w:r>
      <w:r w:rsidRPr="0092751C">
        <w:rPr>
          <w:rFonts w:ascii="David" w:hAnsi="David" w:cs="David" w:hint="cs"/>
          <w:sz w:val="24"/>
          <w:szCs w:val="24"/>
          <w:rtl/>
        </w:rPr>
        <w:t xml:space="preserve">הנאשם מאורס ומתעתד להתחתן עם שחרורו. </w:t>
      </w:r>
      <w:r w:rsidRPr="0092751C">
        <w:rPr>
          <w:rFonts w:ascii="David" w:hAnsi="David" w:cs="David"/>
          <w:sz w:val="24"/>
          <w:szCs w:val="24"/>
          <w:rtl/>
        </w:rPr>
        <w:t>הנאשם ש</w:t>
      </w:r>
      <w:r>
        <w:rPr>
          <w:rFonts w:ascii="David" w:hAnsi="David" w:cs="David" w:hint="cs"/>
          <w:sz w:val="24"/>
          <w:szCs w:val="24"/>
          <w:rtl/>
        </w:rPr>
        <w:t>ו</w:t>
      </w:r>
      <w:r w:rsidRPr="0092751C">
        <w:rPr>
          <w:rFonts w:ascii="David" w:hAnsi="David" w:cs="David"/>
          <w:sz w:val="24"/>
          <w:szCs w:val="24"/>
          <w:rtl/>
        </w:rPr>
        <w:t xml:space="preserve">הה במעצר מזה חמישה חודשים, וזהו מאסרו הראשון. </w:t>
      </w:r>
    </w:p>
    <w:p w14:paraId="2D5707F3" w14:textId="77777777" w:rsidR="00CD3287" w:rsidRPr="0092751C" w:rsidRDefault="00CD3287" w:rsidP="00CD3287">
      <w:pPr>
        <w:pStyle w:val="a9"/>
        <w:spacing w:after="0" w:line="360" w:lineRule="auto"/>
        <w:ind w:left="1080"/>
        <w:jc w:val="both"/>
        <w:rPr>
          <w:rFonts w:ascii="David" w:hAnsi="David" w:cs="David"/>
          <w:sz w:val="12"/>
          <w:szCs w:val="12"/>
        </w:rPr>
      </w:pPr>
    </w:p>
    <w:p w14:paraId="7ED8C539" w14:textId="77777777" w:rsidR="00CD3287" w:rsidRDefault="00CD3287" w:rsidP="00CD3287">
      <w:pPr>
        <w:pStyle w:val="a9"/>
        <w:numPr>
          <w:ilvl w:val="1"/>
          <w:numId w:val="2"/>
        </w:numPr>
        <w:spacing w:after="0" w:line="360" w:lineRule="auto"/>
        <w:jc w:val="both"/>
        <w:rPr>
          <w:rFonts w:ascii="David" w:hAnsi="David" w:cs="David"/>
          <w:sz w:val="24"/>
          <w:szCs w:val="24"/>
        </w:rPr>
      </w:pPr>
      <w:r>
        <w:rPr>
          <w:rFonts w:ascii="David" w:hAnsi="David" w:cs="David"/>
          <w:sz w:val="24"/>
          <w:szCs w:val="24"/>
          <w:rtl/>
        </w:rPr>
        <w:t xml:space="preserve">נטילת האחריות של הנאשם </w:t>
      </w:r>
      <w:r w:rsidRPr="00E27A20">
        <w:rPr>
          <w:rFonts w:ascii="David" w:hAnsi="David" w:cs="David"/>
          <w:sz w:val="24"/>
          <w:szCs w:val="24"/>
          <w:rtl/>
        </w:rPr>
        <w:t>למעשיו, וחזרתו למוטב או מאמציו לחזור למוטב</w:t>
      </w:r>
      <w:r w:rsidRPr="00E27A20">
        <w:rPr>
          <w:rFonts w:ascii="David" w:hAnsi="David" w:cs="David" w:hint="cs"/>
          <w:sz w:val="24"/>
          <w:szCs w:val="24"/>
          <w:rtl/>
        </w:rPr>
        <w:t>-</w:t>
      </w:r>
      <w:r>
        <w:rPr>
          <w:rFonts w:ascii="David" w:hAnsi="David" w:cs="David"/>
          <w:b/>
          <w:bCs/>
          <w:sz w:val="24"/>
          <w:szCs w:val="24"/>
          <w:rtl/>
        </w:rPr>
        <w:t xml:space="preserve"> </w:t>
      </w:r>
      <w:r>
        <w:rPr>
          <w:rFonts w:ascii="David" w:hAnsi="David" w:cs="David"/>
          <w:sz w:val="24"/>
          <w:szCs w:val="24"/>
          <w:rtl/>
        </w:rPr>
        <w:t xml:space="preserve">הנאשם לקח אחריות למעשיו לפני בית המשפט, וחסך זמן שיפוטי. </w:t>
      </w:r>
      <w:r>
        <w:rPr>
          <w:rFonts w:ascii="David" w:hAnsi="David" w:cs="David" w:hint="cs"/>
          <w:sz w:val="24"/>
          <w:szCs w:val="24"/>
          <w:rtl/>
        </w:rPr>
        <w:t>בנוסף, הנאשם לקח אחריות למעשיו עוד בשלב החקירה.</w:t>
      </w:r>
    </w:p>
    <w:p w14:paraId="5D1314A4" w14:textId="77777777" w:rsidR="00CD3287" w:rsidRPr="00E27A20" w:rsidRDefault="00CD3287" w:rsidP="00CD3287">
      <w:pPr>
        <w:pStyle w:val="a9"/>
        <w:spacing w:line="360" w:lineRule="auto"/>
        <w:ind w:left="1080"/>
        <w:jc w:val="both"/>
        <w:rPr>
          <w:rFonts w:ascii="David" w:hAnsi="David" w:cs="David"/>
          <w:sz w:val="12"/>
          <w:szCs w:val="12"/>
        </w:rPr>
      </w:pPr>
    </w:p>
    <w:p w14:paraId="400BB803" w14:textId="77777777" w:rsidR="00CD3287" w:rsidRDefault="00CD3287" w:rsidP="00CD3287">
      <w:pPr>
        <w:pStyle w:val="a9"/>
        <w:numPr>
          <w:ilvl w:val="1"/>
          <w:numId w:val="2"/>
        </w:numPr>
        <w:spacing w:after="0" w:line="360" w:lineRule="auto"/>
        <w:jc w:val="both"/>
        <w:rPr>
          <w:rFonts w:ascii="David" w:hAnsi="David" w:cs="David"/>
          <w:sz w:val="24"/>
          <w:szCs w:val="24"/>
        </w:rPr>
      </w:pPr>
      <w:r w:rsidRPr="0092751C">
        <w:rPr>
          <w:rFonts w:ascii="David" w:hAnsi="David" w:cs="David"/>
          <w:sz w:val="24"/>
          <w:szCs w:val="24"/>
          <w:rtl/>
        </w:rPr>
        <w:t>עברו הפלילי של הנאשם או העדרו</w:t>
      </w:r>
      <w:r w:rsidRPr="0092751C">
        <w:rPr>
          <w:rFonts w:ascii="David" w:hAnsi="David" w:cs="David" w:hint="cs"/>
          <w:sz w:val="24"/>
          <w:szCs w:val="24"/>
          <w:rtl/>
        </w:rPr>
        <w:t>-</w:t>
      </w:r>
      <w:r w:rsidRPr="0092751C">
        <w:rPr>
          <w:rFonts w:ascii="David" w:hAnsi="David" w:cs="David"/>
          <w:sz w:val="24"/>
          <w:szCs w:val="24"/>
          <w:rtl/>
        </w:rPr>
        <w:t xml:space="preserve"> </w:t>
      </w:r>
      <w:r>
        <w:rPr>
          <w:rFonts w:ascii="David" w:hAnsi="David" w:cs="David"/>
          <w:sz w:val="24"/>
          <w:szCs w:val="24"/>
          <w:rtl/>
        </w:rPr>
        <w:t>הנאשם נעדר עבר פלילי</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לנאשם אין דפוסי התנהגות עבריינים, הוא עבד לפרנסתו, מעסיקו מעריך אותו מאוד וציין את תכונותיו הטובות. מנגד, שירות המבחן ציין כי המסוכנות הנלמדת ממנו היא בינונית-גבוה, ולא בא בהמלצה טיפולית בעניינו. מכאן, שיש לתת משקל גם לשיקולי הרתעת היחיד.</w:t>
      </w:r>
    </w:p>
    <w:p w14:paraId="1C9F1C2A" w14:textId="77777777" w:rsidR="00CD3287" w:rsidRPr="00407F8A" w:rsidRDefault="00CD3287" w:rsidP="00CD3287">
      <w:pPr>
        <w:pStyle w:val="a9"/>
        <w:spacing w:after="0" w:line="360" w:lineRule="auto"/>
        <w:ind w:left="283"/>
        <w:jc w:val="both"/>
        <w:rPr>
          <w:rFonts w:ascii="David" w:hAnsi="David" w:cs="David"/>
          <w:sz w:val="12"/>
          <w:szCs w:val="12"/>
        </w:rPr>
      </w:pPr>
    </w:p>
    <w:p w14:paraId="1F083F44" w14:textId="77777777" w:rsidR="00CD3287" w:rsidRPr="00407F8A" w:rsidRDefault="00CD3287" w:rsidP="00CD3287">
      <w:pPr>
        <w:pStyle w:val="a9"/>
        <w:numPr>
          <w:ilvl w:val="0"/>
          <w:numId w:val="1"/>
        </w:numPr>
        <w:spacing w:after="0" w:line="360" w:lineRule="auto"/>
        <w:ind w:left="283" w:hanging="425"/>
        <w:jc w:val="both"/>
        <w:rPr>
          <w:rFonts w:ascii="David" w:hAnsi="David" w:cs="David"/>
          <w:sz w:val="24"/>
          <w:szCs w:val="24"/>
        </w:rPr>
      </w:pPr>
      <w:r w:rsidRPr="00407F8A">
        <w:rPr>
          <w:rFonts w:ascii="David" w:hAnsi="David" w:cs="David"/>
          <w:sz w:val="24"/>
          <w:szCs w:val="24"/>
          <w:rtl/>
        </w:rPr>
        <w:t>עוד יש לתת דגש לשיקולי הרתעת הרבים, כפי שהדגיש כב' השופט א' שוהם ב</w:t>
      </w:r>
      <w:hyperlink w:history="1">
        <w:r w:rsidRPr="009C5612">
          <w:rPr>
            <w:rStyle w:val="Hyperlink"/>
            <w:rFonts w:ascii="David" w:hAnsi="David" w:cs="David"/>
            <w:color w:val="000000"/>
            <w:sz w:val="24"/>
            <w:szCs w:val="24"/>
            <w:u w:val="none"/>
            <w:rtl/>
          </w:rPr>
          <w:t>ע"פ 7502/12</w:t>
        </w:r>
      </w:hyperlink>
      <w:r w:rsidRPr="00407F8A">
        <w:rPr>
          <w:rFonts w:ascii="David" w:hAnsi="David" w:cs="David"/>
          <w:sz w:val="24"/>
          <w:szCs w:val="24"/>
          <w:rtl/>
        </w:rPr>
        <w:t xml:space="preserve"> עת חזר על ההלכה שנקבעה ב</w:t>
      </w:r>
      <w:hyperlink w:history="1">
        <w:r w:rsidRPr="009C5612">
          <w:rPr>
            <w:rStyle w:val="Hyperlink"/>
            <w:rFonts w:ascii="David" w:hAnsi="David" w:cs="David"/>
            <w:color w:val="000000"/>
            <w:sz w:val="24"/>
            <w:szCs w:val="24"/>
            <w:u w:val="none"/>
            <w:rtl/>
          </w:rPr>
          <w:t>רע"פ 2718/04</w:t>
        </w:r>
      </w:hyperlink>
      <w:r w:rsidRPr="00407F8A">
        <w:rPr>
          <w:rFonts w:ascii="David" w:hAnsi="David" w:cs="David"/>
          <w:sz w:val="24"/>
          <w:szCs w:val="24"/>
          <w:rtl/>
        </w:rPr>
        <w:t xml:space="preserve"> </w:t>
      </w:r>
      <w:r w:rsidRPr="00407F8A">
        <w:rPr>
          <w:rFonts w:ascii="David" w:hAnsi="David" w:cs="David"/>
          <w:b/>
          <w:bCs/>
          <w:sz w:val="24"/>
          <w:szCs w:val="24"/>
          <w:rtl/>
        </w:rPr>
        <w:t>אבו דאחל נ'</w:t>
      </w:r>
      <w:r w:rsidRPr="00407F8A">
        <w:rPr>
          <w:rFonts w:ascii="David" w:hAnsi="David" w:cs="David"/>
          <w:sz w:val="24"/>
          <w:szCs w:val="24"/>
          <w:rtl/>
        </w:rPr>
        <w:t xml:space="preserve"> </w:t>
      </w:r>
      <w:r w:rsidRPr="00407F8A">
        <w:rPr>
          <w:rFonts w:ascii="David" w:hAnsi="David" w:cs="David"/>
          <w:b/>
          <w:bCs/>
          <w:sz w:val="24"/>
          <w:szCs w:val="24"/>
          <w:rtl/>
        </w:rPr>
        <w:t>מדינת ישראל</w:t>
      </w:r>
      <w:r w:rsidRPr="00407F8A">
        <w:rPr>
          <w:rFonts w:ascii="David" w:hAnsi="David" w:cs="David"/>
          <w:sz w:val="24"/>
          <w:szCs w:val="24"/>
          <w:rtl/>
        </w:rPr>
        <w:t xml:space="preserve"> :</w:t>
      </w:r>
    </w:p>
    <w:p w14:paraId="1A6FDC89" w14:textId="77777777" w:rsidR="00CD3287" w:rsidRPr="00407F8A" w:rsidRDefault="00CD3287" w:rsidP="00CD3287">
      <w:pPr>
        <w:spacing w:line="360" w:lineRule="auto"/>
        <w:jc w:val="both"/>
        <w:rPr>
          <w:rFonts w:ascii="David" w:hAnsi="David"/>
          <w:sz w:val="12"/>
          <w:szCs w:val="12"/>
        </w:rPr>
      </w:pPr>
    </w:p>
    <w:p w14:paraId="506C3C86" w14:textId="77777777" w:rsidR="00CD3287" w:rsidRDefault="00CD3287" w:rsidP="00CD3287">
      <w:pPr>
        <w:pStyle w:val="a9"/>
        <w:spacing w:line="360" w:lineRule="auto"/>
        <w:ind w:left="1134" w:right="1134"/>
        <w:jc w:val="both"/>
        <w:rPr>
          <w:rFonts w:ascii="David" w:hAnsi="David" w:cs="David"/>
          <w:b/>
          <w:bCs/>
          <w:sz w:val="24"/>
          <w:szCs w:val="24"/>
          <w:rtl/>
        </w:rPr>
      </w:pPr>
      <w:r>
        <w:rPr>
          <w:rFonts w:ascii="David" w:hAnsi="David" w:cs="David"/>
          <w:b/>
          <w:bCs/>
          <w:sz w:val="24"/>
          <w:szCs w:val="24"/>
          <w:rtl/>
        </w:rPr>
        <w:t>"</w:t>
      </w:r>
      <w:r w:rsidRPr="00C31FD4">
        <w:rPr>
          <w:rFonts w:ascii="David" w:hAnsi="David" w:cs="David"/>
          <w:b/>
          <w:bCs/>
          <w:sz w:val="24"/>
          <w:szCs w:val="24"/>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w:history="1">
        <w:r w:rsidRPr="009C5612">
          <w:rPr>
            <w:rStyle w:val="Hyperlink"/>
            <w:rFonts w:ascii="David" w:hAnsi="David" w:cs="David"/>
            <w:color w:val="000000"/>
            <w:sz w:val="24"/>
            <w:szCs w:val="24"/>
            <w:u w:val="none"/>
            <w:rtl/>
          </w:rPr>
          <w:t>ע"פ 6583/06</w:t>
        </w:r>
      </w:hyperlink>
      <w:r w:rsidRPr="00C31FD4">
        <w:rPr>
          <w:rFonts w:ascii="David" w:hAnsi="David" w:cs="David"/>
          <w:b/>
          <w:bCs/>
          <w:sz w:val="24"/>
          <w:szCs w:val="24"/>
          <w:rtl/>
        </w:rPr>
        <w:t xml:space="preserve"> אדהאם נ' מדינת ישראל (5.12.2006); </w:t>
      </w:r>
      <w:hyperlink w:history="1">
        <w:r w:rsidRPr="009C5612">
          <w:rPr>
            <w:rStyle w:val="Hyperlink"/>
            <w:rFonts w:ascii="David" w:hAnsi="David" w:cs="David"/>
            <w:color w:val="000000"/>
            <w:sz w:val="24"/>
            <w:szCs w:val="24"/>
            <w:u w:val="none"/>
            <w:rtl/>
          </w:rPr>
          <w:t>ע"פ 2839/05</w:t>
        </w:r>
      </w:hyperlink>
      <w:r w:rsidRPr="00C31FD4">
        <w:rPr>
          <w:rFonts w:ascii="David" w:hAnsi="David" w:cs="David"/>
          <w:b/>
          <w:bCs/>
          <w:sz w:val="24"/>
          <w:szCs w:val="24"/>
          <w:rtl/>
        </w:rPr>
        <w:t xml:space="preserve"> אל קאדר נ' מדינת ישראל (17.11.2005))."</w:t>
      </w:r>
    </w:p>
    <w:p w14:paraId="635AC8D4" w14:textId="77777777" w:rsidR="00CD3287" w:rsidRPr="00407F8A" w:rsidRDefault="00CD3287" w:rsidP="00CD3287">
      <w:pPr>
        <w:pStyle w:val="a9"/>
        <w:spacing w:line="360" w:lineRule="auto"/>
        <w:ind w:left="1134" w:right="1134"/>
        <w:jc w:val="both"/>
        <w:rPr>
          <w:rFonts w:ascii="David" w:hAnsi="David" w:cs="David"/>
          <w:b/>
          <w:bCs/>
          <w:sz w:val="12"/>
          <w:szCs w:val="12"/>
        </w:rPr>
      </w:pPr>
    </w:p>
    <w:p w14:paraId="2CD7594A" w14:textId="77777777" w:rsidR="00CD3287" w:rsidRPr="00407F8A" w:rsidRDefault="00CD3287" w:rsidP="00CD3287">
      <w:pPr>
        <w:pStyle w:val="a9"/>
        <w:numPr>
          <w:ilvl w:val="0"/>
          <w:numId w:val="1"/>
        </w:numPr>
        <w:spacing w:line="360" w:lineRule="auto"/>
        <w:jc w:val="both"/>
        <w:rPr>
          <w:rFonts w:ascii="David" w:hAnsi="David" w:cs="David"/>
          <w:sz w:val="24"/>
          <w:szCs w:val="24"/>
        </w:rPr>
      </w:pPr>
      <w:r w:rsidRPr="00407F8A">
        <w:rPr>
          <w:rFonts w:ascii="David" w:hAnsi="David" w:cs="David"/>
          <w:sz w:val="24"/>
          <w:szCs w:val="24"/>
          <w:rtl/>
        </w:rPr>
        <w:t>אשר על כן כאשר, לאחר ששקלתי את הנסיבות לקולה ולחומרה, ובשים לב לכך שמדובר במאסר הראשון</w:t>
      </w:r>
      <w:r>
        <w:rPr>
          <w:rFonts w:ascii="David" w:hAnsi="David" w:cs="David" w:hint="cs"/>
          <w:sz w:val="24"/>
          <w:szCs w:val="24"/>
          <w:rtl/>
        </w:rPr>
        <w:t xml:space="preserve"> של הנאשם</w:t>
      </w:r>
      <w:r w:rsidRPr="00407F8A">
        <w:rPr>
          <w:rFonts w:ascii="David" w:hAnsi="David" w:cs="David"/>
          <w:sz w:val="24"/>
          <w:szCs w:val="24"/>
          <w:rtl/>
        </w:rPr>
        <w:t xml:space="preserve">, מצאתי להטיל עונש ברף הנמוך של המתחם, אך לא הנמוך ביותר, בשל שיקולי הרתעת היחיד והרבים, כדלהלן: </w:t>
      </w:r>
    </w:p>
    <w:p w14:paraId="5C89316A" w14:textId="77777777" w:rsidR="00CD3287" w:rsidRDefault="00CD3287" w:rsidP="00CD3287">
      <w:pPr>
        <w:numPr>
          <w:ilvl w:val="1"/>
          <w:numId w:val="1"/>
        </w:numPr>
        <w:spacing w:line="360" w:lineRule="auto"/>
        <w:contextualSpacing/>
        <w:jc w:val="both"/>
        <w:rPr>
          <w:rFonts w:ascii="David" w:hAnsi="David"/>
        </w:rPr>
      </w:pPr>
      <w:r>
        <w:rPr>
          <w:rFonts w:ascii="David" w:hAnsi="David" w:hint="cs"/>
          <w:rtl/>
        </w:rPr>
        <w:t>12 חודשי מאסר אשר ירוצו מיום מעצרו 23.12.21.</w:t>
      </w:r>
    </w:p>
    <w:p w14:paraId="16399EEE" w14:textId="77777777" w:rsidR="00CD3287" w:rsidRPr="00245CBE" w:rsidRDefault="00CD3287" w:rsidP="00CD3287">
      <w:pPr>
        <w:spacing w:line="360" w:lineRule="auto"/>
        <w:ind w:left="1222"/>
        <w:contextualSpacing/>
        <w:jc w:val="both"/>
        <w:rPr>
          <w:rFonts w:ascii="David" w:hAnsi="David"/>
          <w:sz w:val="12"/>
          <w:szCs w:val="12"/>
        </w:rPr>
      </w:pPr>
    </w:p>
    <w:p w14:paraId="3B92C7C2" w14:textId="77777777" w:rsidR="00CD3287" w:rsidRDefault="00CD3287" w:rsidP="00CD3287">
      <w:pPr>
        <w:numPr>
          <w:ilvl w:val="1"/>
          <w:numId w:val="1"/>
        </w:numPr>
        <w:spacing w:line="360" w:lineRule="auto"/>
        <w:contextualSpacing/>
        <w:jc w:val="both"/>
        <w:rPr>
          <w:rFonts w:ascii="David" w:hAnsi="David"/>
        </w:rPr>
      </w:pPr>
      <w:r>
        <w:rPr>
          <w:rFonts w:ascii="David" w:hAnsi="David" w:hint="cs"/>
          <w:rtl/>
        </w:rPr>
        <w:t>9 חודשי מאסר, הנאשם לא ירצה עונש זה אלא אם יעבור בתוך 3 שנים מיום שחרורו על כל עבירת נשק מסוג פשע.</w:t>
      </w:r>
    </w:p>
    <w:p w14:paraId="09063944" w14:textId="77777777" w:rsidR="00CD3287" w:rsidRPr="00245CBE" w:rsidRDefault="00CD3287" w:rsidP="00CD3287">
      <w:pPr>
        <w:spacing w:line="360" w:lineRule="auto"/>
        <w:ind w:left="1222"/>
        <w:contextualSpacing/>
        <w:jc w:val="both"/>
        <w:rPr>
          <w:rFonts w:ascii="David" w:hAnsi="David"/>
          <w:sz w:val="12"/>
          <w:szCs w:val="12"/>
        </w:rPr>
      </w:pPr>
    </w:p>
    <w:p w14:paraId="4ECFACBC" w14:textId="77777777" w:rsidR="00CD3287" w:rsidRDefault="00CD3287" w:rsidP="00CD3287">
      <w:pPr>
        <w:numPr>
          <w:ilvl w:val="1"/>
          <w:numId w:val="1"/>
        </w:numPr>
        <w:spacing w:line="360" w:lineRule="auto"/>
        <w:contextualSpacing/>
        <w:jc w:val="both"/>
        <w:rPr>
          <w:rFonts w:ascii="David" w:hAnsi="David"/>
        </w:rPr>
      </w:pPr>
      <w:r>
        <w:rPr>
          <w:rFonts w:ascii="David" w:hAnsi="David" w:hint="cs"/>
          <w:rtl/>
        </w:rPr>
        <w:t>4 חודשי מאסר, הנאשם לא ירצה עונש זה אלא אם יעבור בתוך 3 שנים מיום שחרורו על כל עבירת נשק מסוג עוון.</w:t>
      </w:r>
    </w:p>
    <w:p w14:paraId="102289A2" w14:textId="77777777" w:rsidR="00CD3287" w:rsidRPr="00245CBE" w:rsidRDefault="00CD3287" w:rsidP="00CD3287">
      <w:pPr>
        <w:spacing w:line="360" w:lineRule="auto"/>
        <w:ind w:left="1222"/>
        <w:contextualSpacing/>
        <w:jc w:val="both"/>
        <w:rPr>
          <w:rFonts w:ascii="David" w:hAnsi="David"/>
          <w:sz w:val="12"/>
          <w:szCs w:val="12"/>
        </w:rPr>
      </w:pPr>
    </w:p>
    <w:p w14:paraId="1806BD75" w14:textId="77777777" w:rsidR="00CD3287" w:rsidRDefault="00CD3287" w:rsidP="00CD3287">
      <w:pPr>
        <w:numPr>
          <w:ilvl w:val="1"/>
          <w:numId w:val="1"/>
        </w:numPr>
        <w:spacing w:line="360" w:lineRule="auto"/>
        <w:contextualSpacing/>
        <w:jc w:val="both"/>
        <w:rPr>
          <w:rFonts w:ascii="David" w:hAnsi="David"/>
        </w:rPr>
      </w:pPr>
      <w:r>
        <w:rPr>
          <w:rFonts w:ascii="David" w:hAnsi="David" w:hint="cs"/>
          <w:rtl/>
        </w:rPr>
        <w:t>נוכח נסיבותיו האישיות ונסיבות ביצוע העבירה לא מצאתי להטיל קנס.</w:t>
      </w:r>
    </w:p>
    <w:p w14:paraId="559EEE6B" w14:textId="77777777" w:rsidR="00CD3287" w:rsidRPr="00BD4572" w:rsidRDefault="00CD3287" w:rsidP="00CD3287">
      <w:pPr>
        <w:pStyle w:val="a9"/>
        <w:spacing w:after="0" w:line="360" w:lineRule="auto"/>
        <w:ind w:left="283"/>
        <w:jc w:val="both"/>
        <w:rPr>
          <w:rFonts w:ascii="David" w:hAnsi="David" w:cs="David"/>
          <w:b/>
          <w:bCs/>
          <w:sz w:val="12"/>
          <w:szCs w:val="12"/>
        </w:rPr>
      </w:pPr>
    </w:p>
    <w:p w14:paraId="4D2D728F" w14:textId="77777777" w:rsidR="00CD3287" w:rsidRDefault="009C5612" w:rsidP="00CD3287">
      <w:pPr>
        <w:rPr>
          <w:rFonts w:ascii="Arial" w:hAnsi="Arial"/>
          <w:b/>
          <w:bCs/>
          <w:rtl/>
        </w:rPr>
      </w:pPr>
      <w:r w:rsidRPr="009C5612">
        <w:rPr>
          <w:rFonts w:ascii="Arial" w:hAnsi="Arial"/>
          <w:b/>
          <w:bCs/>
          <w:color w:val="FFFFFF"/>
          <w:sz w:val="2"/>
          <w:szCs w:val="2"/>
          <w:rtl/>
        </w:rPr>
        <w:t>5129371</w:t>
      </w:r>
      <w:r w:rsidR="00CD3287" w:rsidRPr="00BD4572">
        <w:rPr>
          <w:rFonts w:ascii="Arial" w:hAnsi="Arial" w:hint="cs"/>
          <w:b/>
          <w:bCs/>
          <w:rtl/>
        </w:rPr>
        <w:t>העתק גזר הדין ישלח לשירות המבחן.</w:t>
      </w:r>
    </w:p>
    <w:p w14:paraId="6390C32B" w14:textId="77777777" w:rsidR="00CD3287" w:rsidRPr="009C5612" w:rsidRDefault="009C5612" w:rsidP="00CD3287">
      <w:pPr>
        <w:rPr>
          <w:rFonts w:ascii="Arial" w:hAnsi="Arial"/>
          <w:b/>
          <w:bCs/>
          <w:color w:val="FFFFFF"/>
          <w:sz w:val="2"/>
          <w:szCs w:val="2"/>
          <w:rtl/>
        </w:rPr>
      </w:pPr>
      <w:r w:rsidRPr="009C5612">
        <w:rPr>
          <w:rFonts w:ascii="Arial" w:hAnsi="Arial"/>
          <w:b/>
          <w:bCs/>
          <w:color w:val="FFFFFF"/>
          <w:sz w:val="2"/>
          <w:szCs w:val="2"/>
          <w:rtl/>
        </w:rPr>
        <w:t>54678313</w:t>
      </w:r>
    </w:p>
    <w:p w14:paraId="439C460D" w14:textId="77777777" w:rsidR="00CD3287" w:rsidRPr="007F5FF6" w:rsidRDefault="00CD3287" w:rsidP="00CD3287">
      <w:pPr>
        <w:rPr>
          <w:rFonts w:ascii="Arial" w:hAnsi="Arial"/>
          <w:b/>
          <w:bCs/>
          <w:rtl/>
        </w:rPr>
      </w:pPr>
      <w:r w:rsidRPr="007F5FF6">
        <w:rPr>
          <w:rFonts w:ascii="Arial" w:hAnsi="Arial" w:hint="cs"/>
          <w:b/>
          <w:bCs/>
          <w:rtl/>
        </w:rPr>
        <w:t>זכות ערעור לבית המשפט העליון בתוך 45 יום מהיום.</w:t>
      </w:r>
    </w:p>
    <w:p w14:paraId="5D383D1C" w14:textId="77777777" w:rsidR="00CD3287" w:rsidRPr="00BD4572" w:rsidRDefault="00CD3287" w:rsidP="00CD3287">
      <w:pPr>
        <w:rPr>
          <w:rFonts w:ascii="Arial" w:hAnsi="Arial"/>
          <w:b/>
          <w:bCs/>
          <w:rtl/>
        </w:rPr>
      </w:pPr>
    </w:p>
    <w:p w14:paraId="518D3396" w14:textId="77777777" w:rsidR="00CD3287" w:rsidRPr="000F2247" w:rsidRDefault="009C5612" w:rsidP="009C5612">
      <w:pPr>
        <w:jc w:val="center"/>
      </w:pPr>
      <w:bookmarkStart w:id="9" w:name="Nitan"/>
      <w:r>
        <w:rPr>
          <w:rFonts w:ascii="Arial" w:hAnsi="Arial"/>
          <w:b/>
          <w:bCs/>
          <w:rtl/>
        </w:rPr>
        <w:t xml:space="preserve">ניתן היום,  א' סיוון תשפ"ב, 31 מאי 2022, במעמד ב"כ הצדדים והנאשם. </w:t>
      </w:r>
      <w:bookmarkEnd w:id="9"/>
      <w:r w:rsidR="00CD3287" w:rsidRPr="000F2247">
        <w:rPr>
          <w:rFonts w:ascii="Arial" w:hAnsi="Arial"/>
          <w:b/>
          <w:bCs/>
          <w:sz w:val="26"/>
          <w:szCs w:val="26"/>
          <w:rtl/>
        </w:rPr>
        <w:t xml:space="preserve">   </w:t>
      </w:r>
      <w:r w:rsidR="00CD3287" w:rsidRPr="000F2247">
        <w:rPr>
          <w:rFonts w:ascii="Arial" w:hAnsi="Arial"/>
          <w:b/>
          <w:bCs/>
          <w:sz w:val="26"/>
          <w:szCs w:val="26"/>
          <w:rtl/>
        </w:rPr>
        <w:tab/>
      </w:r>
      <w:r w:rsidR="00CD3287" w:rsidRPr="000F2247">
        <w:rPr>
          <w:rFonts w:ascii="Arial" w:hAnsi="Arial"/>
          <w:b/>
          <w:bCs/>
          <w:sz w:val="26"/>
          <w:szCs w:val="26"/>
          <w:rtl/>
        </w:rPr>
        <w:tab/>
      </w:r>
      <w:r w:rsidR="00CD3287" w:rsidRPr="000F2247">
        <w:rPr>
          <w:rFonts w:ascii="Arial" w:hAnsi="Arial"/>
          <w:b/>
          <w:bCs/>
          <w:sz w:val="26"/>
          <w:szCs w:val="26"/>
          <w:rtl/>
        </w:rPr>
        <w:tab/>
      </w:r>
      <w:r w:rsidR="00CD3287" w:rsidRPr="000F2247">
        <w:rPr>
          <w:rFonts w:ascii="Arial" w:hAnsi="Arial"/>
          <w:b/>
          <w:bCs/>
          <w:sz w:val="26"/>
          <w:szCs w:val="26"/>
          <w:rtl/>
        </w:rPr>
        <w:tab/>
      </w:r>
      <w:r w:rsidR="00CD3287" w:rsidRPr="000F2247">
        <w:rPr>
          <w:rFonts w:ascii="Arial" w:hAnsi="Arial"/>
          <w:b/>
          <w:bCs/>
          <w:sz w:val="26"/>
          <w:szCs w:val="26"/>
          <w:rtl/>
        </w:rPr>
        <w:tab/>
      </w:r>
    </w:p>
    <w:p w14:paraId="3100E838" w14:textId="77777777" w:rsidR="00CD3287" w:rsidRPr="009F3AF1" w:rsidRDefault="009F3AF1" w:rsidP="00CD3287">
      <w:pPr>
        <w:jc w:val="center"/>
        <w:rPr>
          <w:rFonts w:ascii="Arial" w:hAnsi="Arial"/>
          <w:b/>
          <w:bCs/>
          <w:color w:val="FFFFFF"/>
          <w:sz w:val="2"/>
          <w:szCs w:val="2"/>
          <w:rtl/>
        </w:rPr>
      </w:pPr>
      <w:r w:rsidRPr="009F3AF1">
        <w:rPr>
          <w:rFonts w:ascii="Arial" w:hAnsi="Arial"/>
          <w:b/>
          <w:bCs/>
          <w:color w:val="FFFFFF"/>
          <w:sz w:val="2"/>
          <w:szCs w:val="2"/>
          <w:rtl/>
        </w:rPr>
        <w:t>5129371</w:t>
      </w:r>
    </w:p>
    <w:p w14:paraId="0AD9874F" w14:textId="77777777" w:rsidR="00620046" w:rsidRPr="009F3AF1" w:rsidRDefault="009F3AF1" w:rsidP="009C5612">
      <w:pPr>
        <w:keepNext/>
        <w:rPr>
          <w:rFonts w:ascii="David" w:hAnsi="David"/>
          <w:color w:val="FFFFFF"/>
          <w:sz w:val="2"/>
          <w:szCs w:val="2"/>
          <w:rtl/>
        </w:rPr>
      </w:pPr>
      <w:r w:rsidRPr="009F3AF1">
        <w:rPr>
          <w:rFonts w:ascii="David" w:hAnsi="David"/>
          <w:color w:val="FFFFFF"/>
          <w:sz w:val="2"/>
          <w:szCs w:val="2"/>
          <w:rtl/>
        </w:rPr>
        <w:t>54678313</w:t>
      </w:r>
    </w:p>
    <w:p w14:paraId="5628A8CE" w14:textId="77777777" w:rsidR="009C5612" w:rsidRPr="009C5612" w:rsidRDefault="009C5612" w:rsidP="009C5612">
      <w:pPr>
        <w:keepNext/>
        <w:rPr>
          <w:rFonts w:ascii="David" w:hAnsi="David"/>
          <w:color w:val="000000"/>
          <w:sz w:val="22"/>
          <w:szCs w:val="22"/>
          <w:rtl/>
        </w:rPr>
      </w:pPr>
      <w:r w:rsidRPr="009C5612">
        <w:rPr>
          <w:rFonts w:ascii="David" w:hAnsi="David"/>
          <w:color w:val="000000"/>
          <w:sz w:val="22"/>
          <w:szCs w:val="22"/>
          <w:rtl/>
        </w:rPr>
        <w:t>חנה מרים לומפ 54678313</w:t>
      </w:r>
    </w:p>
    <w:p w14:paraId="70E0CF22" w14:textId="77777777" w:rsidR="009C5612" w:rsidRDefault="009C5612" w:rsidP="009C5612">
      <w:r w:rsidRPr="009C5612">
        <w:rPr>
          <w:color w:val="000000"/>
          <w:rtl/>
        </w:rPr>
        <w:t>נוסח מסמך זה כפוף לשינויי ניסוח ועריכה</w:t>
      </w:r>
    </w:p>
    <w:p w14:paraId="7B77458E" w14:textId="77777777" w:rsidR="009C5612" w:rsidRDefault="009C5612" w:rsidP="009C5612">
      <w:pPr>
        <w:rPr>
          <w:rtl/>
        </w:rPr>
      </w:pPr>
    </w:p>
    <w:p w14:paraId="29B462AE" w14:textId="77777777" w:rsidR="009C5612" w:rsidRDefault="009C5612" w:rsidP="009C5612">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83A7E10" w14:textId="77777777" w:rsidR="009F3AF1" w:rsidRPr="009F3AF1" w:rsidRDefault="009F3AF1" w:rsidP="009F3AF1">
      <w:pPr>
        <w:keepNext/>
        <w:rPr>
          <w:rFonts w:ascii="David" w:hAnsi="David"/>
          <w:color w:val="000000"/>
          <w:sz w:val="22"/>
          <w:szCs w:val="22"/>
          <w:rtl/>
        </w:rPr>
      </w:pPr>
    </w:p>
    <w:sectPr w:rsidR="009F3AF1" w:rsidRPr="009F3AF1" w:rsidSect="009F3AF1">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BB5FB" w14:textId="77777777" w:rsidR="009A75FA" w:rsidRDefault="009A75FA" w:rsidP="00CD1EED">
      <w:r>
        <w:separator/>
      </w:r>
    </w:p>
  </w:endnote>
  <w:endnote w:type="continuationSeparator" w:id="0">
    <w:p w14:paraId="17C5F3DD" w14:textId="77777777" w:rsidR="009A75FA" w:rsidRDefault="009A75FA" w:rsidP="00CD1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5B561" w14:textId="77777777" w:rsidR="009F3AF1" w:rsidRDefault="009F3AF1" w:rsidP="009F3A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2AC2C66" w14:textId="77777777" w:rsidR="000E2C46" w:rsidRPr="009F3AF1" w:rsidRDefault="009F3AF1" w:rsidP="009F3AF1">
    <w:pPr>
      <w:pStyle w:val="a5"/>
      <w:pBdr>
        <w:top w:val="single" w:sz="4" w:space="1" w:color="auto"/>
        <w:between w:val="single" w:sz="4" w:space="0" w:color="auto"/>
      </w:pBdr>
      <w:spacing w:after="60"/>
      <w:jc w:val="center"/>
      <w:rPr>
        <w:rFonts w:ascii="FrankRuehl" w:hAnsi="FrankRuehl" w:cs="FrankRuehl"/>
        <w:color w:val="000000"/>
      </w:rPr>
    </w:pPr>
    <w:r w:rsidRPr="009F3A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38E72" w14:textId="77777777" w:rsidR="009F3AF1" w:rsidRDefault="009F3AF1" w:rsidP="009F3A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0127">
      <w:rPr>
        <w:rFonts w:ascii="FrankRuehl" w:hAnsi="FrankRuehl" w:cs="FrankRuehl"/>
        <w:noProof/>
        <w:rtl/>
      </w:rPr>
      <w:t>1</w:t>
    </w:r>
    <w:r>
      <w:rPr>
        <w:rFonts w:ascii="FrankRuehl" w:hAnsi="FrankRuehl" w:cs="FrankRuehl"/>
        <w:rtl/>
      </w:rPr>
      <w:fldChar w:fldCharType="end"/>
    </w:r>
  </w:p>
  <w:p w14:paraId="7A4C6D7F" w14:textId="77777777" w:rsidR="000E2C46" w:rsidRPr="009F3AF1" w:rsidRDefault="009F3AF1" w:rsidP="009F3AF1">
    <w:pPr>
      <w:pStyle w:val="a5"/>
      <w:pBdr>
        <w:top w:val="single" w:sz="4" w:space="1" w:color="auto"/>
        <w:between w:val="single" w:sz="4" w:space="0" w:color="auto"/>
      </w:pBdr>
      <w:spacing w:after="60"/>
      <w:jc w:val="center"/>
      <w:rPr>
        <w:rFonts w:ascii="FrankRuehl" w:hAnsi="FrankRuehl" w:cs="FrankRuehl"/>
        <w:color w:val="000000"/>
      </w:rPr>
    </w:pPr>
    <w:r w:rsidRPr="009F3AF1">
      <w:rPr>
        <w:rFonts w:ascii="FrankRuehl" w:hAnsi="FrankRuehl" w:cs="FrankRuehl"/>
        <w:color w:val="000000"/>
      </w:rPr>
      <w:pict w14:anchorId="4CDD2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E8C33" w14:textId="77777777" w:rsidR="009A75FA" w:rsidRDefault="009A75FA" w:rsidP="00CD1EED">
      <w:r>
        <w:separator/>
      </w:r>
    </w:p>
  </w:footnote>
  <w:footnote w:type="continuationSeparator" w:id="0">
    <w:p w14:paraId="692DD708" w14:textId="77777777" w:rsidR="009A75FA" w:rsidRDefault="009A75FA" w:rsidP="00CD1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C646F" w14:textId="77777777" w:rsidR="009C5612" w:rsidRPr="009F3AF1" w:rsidRDefault="009F3AF1" w:rsidP="009F3A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1631-01-22</w:t>
    </w:r>
    <w:r>
      <w:rPr>
        <w:rFonts w:ascii="David" w:hAnsi="David"/>
        <w:color w:val="000000"/>
        <w:sz w:val="22"/>
        <w:szCs w:val="22"/>
        <w:rtl/>
      </w:rPr>
      <w:tab/>
      <w:t xml:space="preserve"> מדינת ישראל נ' מוסה חדר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41CE4" w14:textId="77777777" w:rsidR="009C5612" w:rsidRPr="009F3AF1" w:rsidRDefault="009F3AF1" w:rsidP="009F3A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1631-01-22</w:t>
    </w:r>
    <w:r>
      <w:rPr>
        <w:rFonts w:ascii="David" w:hAnsi="David"/>
        <w:color w:val="000000"/>
        <w:sz w:val="22"/>
        <w:szCs w:val="22"/>
        <w:rtl/>
      </w:rPr>
      <w:tab/>
      <w:t xml:space="preserve"> מדינת ישראל נ' מוסה חדר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62E81EB1"/>
    <w:multiLevelType w:val="hybridMultilevel"/>
    <w:tmpl w:val="8FB801B4"/>
    <w:lvl w:ilvl="0" w:tplc="9C96CCDE">
      <w:start w:val="1"/>
      <w:numFmt w:val="decimal"/>
      <w:lvlText w:val="%1."/>
      <w:lvlJc w:val="left"/>
      <w:pPr>
        <w:ind w:left="360" w:hanging="360"/>
      </w:pPr>
      <w:rPr>
        <w:rFonts w:ascii="David" w:hAnsi="David" w:cs="David" w:hint="default"/>
        <w:b w:val="0"/>
        <w:bCs w:val="0"/>
        <w:color w:val="auto"/>
        <w:sz w:val="24"/>
        <w:szCs w:val="24"/>
      </w:rPr>
    </w:lvl>
    <w:lvl w:ilvl="1" w:tplc="18943498">
      <w:start w:val="1"/>
      <w:numFmt w:val="hebrew1"/>
      <w:lvlText w:val="%2."/>
      <w:lvlJc w:val="center"/>
      <w:pPr>
        <w:ind w:left="1222" w:hanging="360"/>
      </w:pPr>
      <w:rPr>
        <w:b w:val="0"/>
        <w:bCs w:val="0"/>
        <w:sz w:val="24"/>
        <w:szCs w:val="24"/>
      </w:rPr>
    </w:lvl>
    <w:lvl w:ilvl="2" w:tplc="C6AAF758">
      <w:start w:val="1"/>
      <w:numFmt w:val="lowerRoman"/>
      <w:lvlText w:val="%3."/>
      <w:lvlJc w:val="right"/>
      <w:pPr>
        <w:ind w:left="1942" w:hanging="180"/>
      </w:pPr>
    </w:lvl>
    <w:lvl w:ilvl="3" w:tplc="A91663F6">
      <w:start w:val="1"/>
      <w:numFmt w:val="decimal"/>
      <w:lvlText w:val="%4."/>
      <w:lvlJc w:val="left"/>
      <w:pPr>
        <w:ind w:left="2662" w:hanging="360"/>
      </w:pPr>
    </w:lvl>
    <w:lvl w:ilvl="4" w:tplc="55528E9A">
      <w:start w:val="1"/>
      <w:numFmt w:val="lowerLetter"/>
      <w:lvlText w:val="%5."/>
      <w:lvlJc w:val="left"/>
      <w:pPr>
        <w:ind w:left="3382" w:hanging="360"/>
      </w:pPr>
    </w:lvl>
    <w:lvl w:ilvl="5" w:tplc="15A0FFF0">
      <w:start w:val="1"/>
      <w:numFmt w:val="lowerRoman"/>
      <w:lvlText w:val="%6."/>
      <w:lvlJc w:val="right"/>
      <w:pPr>
        <w:ind w:left="4102" w:hanging="180"/>
      </w:pPr>
    </w:lvl>
    <w:lvl w:ilvl="6" w:tplc="34E0C82C">
      <w:start w:val="1"/>
      <w:numFmt w:val="decimal"/>
      <w:lvlText w:val="%7."/>
      <w:lvlJc w:val="left"/>
      <w:pPr>
        <w:ind w:left="4822" w:hanging="360"/>
      </w:pPr>
    </w:lvl>
    <w:lvl w:ilvl="7" w:tplc="CE80B0FA">
      <w:start w:val="1"/>
      <w:numFmt w:val="lowerLetter"/>
      <w:lvlText w:val="%8."/>
      <w:lvlJc w:val="left"/>
      <w:pPr>
        <w:ind w:left="5542" w:hanging="360"/>
      </w:pPr>
    </w:lvl>
    <w:lvl w:ilvl="8" w:tplc="E88C093A">
      <w:start w:val="1"/>
      <w:numFmt w:val="lowerRoman"/>
      <w:lvlText w:val="%9."/>
      <w:lvlJc w:val="right"/>
      <w:pPr>
        <w:ind w:left="6262" w:hanging="180"/>
      </w:pPr>
    </w:lvl>
  </w:abstractNum>
  <w:abstractNum w:abstractNumId="2" w15:restartNumberingAfterBreak="0">
    <w:nsid w:val="65AA7A45"/>
    <w:multiLevelType w:val="hybridMultilevel"/>
    <w:tmpl w:val="AFA2805E"/>
    <w:lvl w:ilvl="0" w:tplc="2892DD9E">
      <w:start w:val="1"/>
      <w:numFmt w:val="decimal"/>
      <w:lvlText w:val="%1."/>
      <w:lvlJc w:val="left"/>
      <w:pPr>
        <w:ind w:left="360" w:hanging="360"/>
      </w:pPr>
      <w:rPr>
        <w:rFonts w:ascii="David" w:hAnsi="David" w:cs="David" w:hint="default"/>
        <w:b w:val="0"/>
        <w:bCs w:val="0"/>
        <w:color w:val="auto"/>
        <w:sz w:val="24"/>
        <w:szCs w:val="24"/>
      </w:rPr>
    </w:lvl>
    <w:lvl w:ilvl="1" w:tplc="18943498">
      <w:start w:val="1"/>
      <w:numFmt w:val="hebrew1"/>
      <w:lvlText w:val="%2."/>
      <w:lvlJc w:val="center"/>
      <w:pPr>
        <w:ind w:left="1222" w:hanging="360"/>
      </w:pPr>
      <w:rPr>
        <w:b w:val="0"/>
        <w:bCs w:val="0"/>
        <w:sz w:val="24"/>
        <w:szCs w:val="24"/>
      </w:rPr>
    </w:lvl>
    <w:lvl w:ilvl="2" w:tplc="C6AAF758">
      <w:start w:val="1"/>
      <w:numFmt w:val="lowerRoman"/>
      <w:lvlText w:val="%3."/>
      <w:lvlJc w:val="right"/>
      <w:pPr>
        <w:ind w:left="1942" w:hanging="180"/>
      </w:pPr>
    </w:lvl>
    <w:lvl w:ilvl="3" w:tplc="A91663F6">
      <w:start w:val="1"/>
      <w:numFmt w:val="decimal"/>
      <w:lvlText w:val="%4."/>
      <w:lvlJc w:val="left"/>
      <w:pPr>
        <w:ind w:left="2662" w:hanging="360"/>
      </w:pPr>
    </w:lvl>
    <w:lvl w:ilvl="4" w:tplc="55528E9A">
      <w:start w:val="1"/>
      <w:numFmt w:val="lowerLetter"/>
      <w:lvlText w:val="%5."/>
      <w:lvlJc w:val="left"/>
      <w:pPr>
        <w:ind w:left="3382" w:hanging="360"/>
      </w:pPr>
    </w:lvl>
    <w:lvl w:ilvl="5" w:tplc="15A0FFF0">
      <w:start w:val="1"/>
      <w:numFmt w:val="lowerRoman"/>
      <w:lvlText w:val="%6."/>
      <w:lvlJc w:val="right"/>
      <w:pPr>
        <w:ind w:left="4102" w:hanging="180"/>
      </w:pPr>
    </w:lvl>
    <w:lvl w:ilvl="6" w:tplc="34E0C82C">
      <w:start w:val="1"/>
      <w:numFmt w:val="decimal"/>
      <w:lvlText w:val="%7."/>
      <w:lvlJc w:val="left"/>
      <w:pPr>
        <w:ind w:left="4822" w:hanging="360"/>
      </w:pPr>
    </w:lvl>
    <w:lvl w:ilvl="7" w:tplc="CE80B0FA">
      <w:start w:val="1"/>
      <w:numFmt w:val="lowerLetter"/>
      <w:lvlText w:val="%8."/>
      <w:lvlJc w:val="left"/>
      <w:pPr>
        <w:ind w:left="5542" w:hanging="360"/>
      </w:pPr>
    </w:lvl>
    <w:lvl w:ilvl="8" w:tplc="E88C093A">
      <w:start w:val="1"/>
      <w:numFmt w:val="lowerRoman"/>
      <w:lvlText w:val="%9."/>
      <w:lvlJc w:val="right"/>
      <w:pPr>
        <w:ind w:left="6262" w:hanging="180"/>
      </w:pPr>
    </w:lvl>
  </w:abstractNum>
  <w:num w:numId="1" w16cid:durableId="384722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1824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5437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3287"/>
    <w:rsid w:val="000E2C46"/>
    <w:rsid w:val="001B5A3B"/>
    <w:rsid w:val="00420127"/>
    <w:rsid w:val="00620046"/>
    <w:rsid w:val="00726844"/>
    <w:rsid w:val="008F21FB"/>
    <w:rsid w:val="009A75FA"/>
    <w:rsid w:val="009C5612"/>
    <w:rsid w:val="009F3AF1"/>
    <w:rsid w:val="00C038F4"/>
    <w:rsid w:val="00C71024"/>
    <w:rsid w:val="00CD1EED"/>
    <w:rsid w:val="00CD3287"/>
    <w:rsid w:val="00D302F6"/>
    <w:rsid w:val="00E61F8B"/>
    <w:rsid w:val="00F64DB0"/>
    <w:rsid w:val="00FD2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E8850B"/>
  <w15:chartTrackingRefBased/>
  <w15:docId w15:val="{3E1BDBF8-4E75-4171-B029-B111C5CF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32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3287"/>
    <w:pPr>
      <w:tabs>
        <w:tab w:val="center" w:pos="4153"/>
        <w:tab w:val="right" w:pos="8306"/>
      </w:tabs>
    </w:pPr>
  </w:style>
  <w:style w:type="character" w:customStyle="1" w:styleId="a4">
    <w:name w:val="כותרת עליונה תו"/>
    <w:link w:val="a3"/>
    <w:rsid w:val="00CD3287"/>
    <w:rPr>
      <w:rFonts w:ascii="Times New Roman" w:eastAsia="Times New Roman" w:hAnsi="Times New Roman" w:cs="David"/>
      <w:sz w:val="24"/>
      <w:szCs w:val="24"/>
    </w:rPr>
  </w:style>
  <w:style w:type="paragraph" w:styleId="a5">
    <w:name w:val="footer"/>
    <w:basedOn w:val="a"/>
    <w:link w:val="a6"/>
    <w:rsid w:val="00CD3287"/>
    <w:pPr>
      <w:tabs>
        <w:tab w:val="center" w:pos="4153"/>
        <w:tab w:val="right" w:pos="8306"/>
      </w:tabs>
    </w:pPr>
  </w:style>
  <w:style w:type="character" w:customStyle="1" w:styleId="a6">
    <w:name w:val="כותרת תחתונה תו"/>
    <w:link w:val="a5"/>
    <w:rsid w:val="00CD3287"/>
    <w:rPr>
      <w:rFonts w:ascii="Times New Roman" w:eastAsia="Times New Roman" w:hAnsi="Times New Roman" w:cs="David"/>
      <w:sz w:val="24"/>
      <w:szCs w:val="24"/>
    </w:rPr>
  </w:style>
  <w:style w:type="table" w:styleId="a7">
    <w:name w:val="Table Grid"/>
    <w:basedOn w:val="a1"/>
    <w:rsid w:val="00CD32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3287"/>
  </w:style>
  <w:style w:type="character" w:styleId="Hyperlink">
    <w:name w:val="Hyperlink"/>
    <w:rsid w:val="00CD3287"/>
    <w:rPr>
      <w:color w:val="0000FF"/>
      <w:u w:val="single"/>
    </w:rPr>
  </w:style>
  <w:style w:type="paragraph" w:styleId="a9">
    <w:name w:val="List Paragraph"/>
    <w:basedOn w:val="a"/>
    <w:qFormat/>
    <w:rsid w:val="00CD3287"/>
    <w:pPr>
      <w:spacing w:after="160" w:line="252" w:lineRule="auto"/>
      <w:ind w:left="720"/>
      <w:contextualSpacing/>
    </w:pPr>
    <w:rPr>
      <w:rFonts w:ascii="Calibri" w:hAnsi="Calibri" w:cs="Arial"/>
      <w:sz w:val="22"/>
      <w:szCs w:val="22"/>
    </w:rPr>
  </w:style>
  <w:style w:type="paragraph" w:customStyle="1" w:styleId="12">
    <w:name w:val="רגיל + ‏12 נק'"/>
    <w:aliases w:val="מיושר לשני הצדדים,מרווח בין שורות:  שורה וחצי"/>
    <w:basedOn w:val="a"/>
    <w:rsid w:val="00CD3287"/>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40i" TargetMode="External"/><Relationship Id="rId18" Type="http://schemas.openxmlformats.org/officeDocument/2006/relationships/hyperlink" Target="http://www.nevo.co.il/case/2717136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i"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0485615"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7171364" TargetMode="External"/><Relationship Id="rId20" Type="http://schemas.openxmlformats.org/officeDocument/2006/relationships/hyperlink" Target="http://www.nevo.co.il/case/7821883"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7734980" TargetMode="External"/><Relationship Id="rId23" Type="http://schemas.openxmlformats.org/officeDocument/2006/relationships/hyperlink" Target="http://www.nevo.co.il/law/70301/40ja" TargetMode="External"/><Relationship Id="rId28"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2415259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3349</Words>
  <Characters>16746</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20055</CharactersWithSpaces>
  <SharedDoc>false</SharedDoc>
  <HLinks>
    <vt:vector size="114"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http://www.nevo.co.il/law/70301/40i</vt:lpwstr>
      </vt:variant>
      <vt:variant>
        <vt:lpwstr/>
      </vt:variant>
      <vt:variant>
        <vt:i4>4063349</vt:i4>
      </vt:variant>
      <vt:variant>
        <vt:i4>69</vt:i4>
      </vt:variant>
      <vt:variant>
        <vt:i4>0</vt:i4>
      </vt:variant>
      <vt:variant>
        <vt:i4>5</vt:i4>
      </vt:variant>
      <vt:variant>
        <vt:lpwstr>http://www.nevo.co.il/case/7821883</vt:lpwstr>
      </vt:variant>
      <vt:variant>
        <vt:lpwstr/>
      </vt:variant>
      <vt:variant>
        <vt:i4>3670128</vt:i4>
      </vt:variant>
      <vt:variant>
        <vt:i4>63</vt:i4>
      </vt:variant>
      <vt:variant>
        <vt:i4>0</vt:i4>
      </vt:variant>
      <vt:variant>
        <vt:i4>5</vt:i4>
      </vt:variant>
      <vt:variant>
        <vt:lpwstr>http://www.nevo.co.il/case/24152593</vt:lpwstr>
      </vt:variant>
      <vt:variant>
        <vt:lpwstr/>
      </vt:variant>
      <vt:variant>
        <vt:i4>3407991</vt:i4>
      </vt:variant>
      <vt:variant>
        <vt:i4>60</vt:i4>
      </vt:variant>
      <vt:variant>
        <vt:i4>0</vt:i4>
      </vt:variant>
      <vt:variant>
        <vt:i4>5</vt:i4>
      </vt:variant>
      <vt:variant>
        <vt:lpwstr>http://www.nevo.co.il/case/27171364</vt:lpwstr>
      </vt:variant>
      <vt:variant>
        <vt:lpwstr/>
      </vt:variant>
      <vt:variant>
        <vt:i4>3211386</vt:i4>
      </vt:variant>
      <vt:variant>
        <vt:i4>57</vt:i4>
      </vt:variant>
      <vt:variant>
        <vt:i4>0</vt:i4>
      </vt:variant>
      <vt:variant>
        <vt:i4>5</vt:i4>
      </vt:variant>
      <vt:variant>
        <vt:lpwstr>http://www.nevo.co.il/case/10485615</vt:lpwstr>
      </vt:variant>
      <vt:variant>
        <vt:lpwstr/>
      </vt:variant>
      <vt:variant>
        <vt:i4>3407991</vt:i4>
      </vt:variant>
      <vt:variant>
        <vt:i4>54</vt:i4>
      </vt:variant>
      <vt:variant>
        <vt:i4>0</vt:i4>
      </vt:variant>
      <vt:variant>
        <vt:i4>5</vt:i4>
      </vt:variant>
      <vt:variant>
        <vt:lpwstr>http://www.nevo.co.il/case/27171364</vt:lpwstr>
      </vt:variant>
      <vt:variant>
        <vt:lpwstr/>
      </vt:variant>
      <vt:variant>
        <vt:i4>3735673</vt:i4>
      </vt:variant>
      <vt:variant>
        <vt:i4>51</vt:i4>
      </vt:variant>
      <vt:variant>
        <vt:i4>0</vt:i4>
      </vt:variant>
      <vt:variant>
        <vt:i4>5</vt:i4>
      </vt:variant>
      <vt:variant>
        <vt:lpwstr>http://www.nevo.co.il/case/27734980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1631</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מוסה חדר</vt:lpwstr>
  </property>
  <property fmtid="{D5CDD505-2E9C-101B-9397-08002B2CF9AE}" pid="10" name="LAWYER">
    <vt:lpwstr>דנה חביליו;עאטף פרחאת</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20220531</vt:lpwstr>
  </property>
  <property fmtid="{D5CDD505-2E9C-101B-9397-08002B2CF9AE}" pid="14" name="TYPE_N_DATE">
    <vt:lpwstr>39020220531</vt:lpwstr>
  </property>
  <property fmtid="{D5CDD505-2E9C-101B-9397-08002B2CF9AE}" pid="15" name="WORDNUMPAGES">
    <vt:lpwstr>10</vt:lpwstr>
  </property>
  <property fmtid="{D5CDD505-2E9C-101B-9397-08002B2CF9AE}" pid="16" name="TYPE_ABS_DATE">
    <vt:lpwstr>390020220531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27734980;27171364:2;10485615;24152593;7821883</vt:lpwstr>
  </property>
  <property fmtid="{D5CDD505-2E9C-101B-9397-08002B2CF9AE}" pid="36" name="LAWLISTTMP1">
    <vt:lpwstr>70301/144.a;040i:2;40ja</vt:lpwstr>
  </property>
</Properties>
</file>