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62E5" w:rsidRPr="0086372B" w14:paraId="4710125F" w14:textId="77777777" w:rsidTr="0054408E">
        <w:trPr>
          <w:trHeight w:hRule="exact" w:val="418"/>
          <w:jc w:val="center"/>
        </w:trPr>
        <w:tc>
          <w:tcPr>
            <w:tcW w:w="8721" w:type="dxa"/>
            <w:gridSpan w:val="2"/>
          </w:tcPr>
          <w:p w14:paraId="4D3D631C" w14:textId="77777777" w:rsidR="00FE62E5" w:rsidRPr="0086372B" w:rsidRDefault="00FE62E5" w:rsidP="006C678F">
            <w:pPr>
              <w:pStyle w:val="a3"/>
              <w:jc w:val="center"/>
              <w:rPr>
                <w:rFonts w:ascii="Tahoma" w:hAnsi="Tahoma" w:cs="Tahoma"/>
                <w:color w:val="000080"/>
                <w:rtl/>
              </w:rPr>
            </w:pPr>
            <w:bookmarkStart w:id="0" w:name="LastJudge"/>
            <w:r w:rsidRPr="0086372B">
              <w:rPr>
                <w:rFonts w:ascii="Tahoma" w:hAnsi="Tahoma" w:cs="Tahoma"/>
                <w:b/>
                <w:bCs/>
                <w:color w:val="000080"/>
                <w:rtl/>
              </w:rPr>
              <w:t>בית המשפט המחוזי בירושלים</w:t>
            </w:r>
          </w:p>
        </w:tc>
      </w:tr>
      <w:tr w:rsidR="00FE62E5" w:rsidRPr="0086372B" w14:paraId="7F6CDC39" w14:textId="77777777" w:rsidTr="0054408E">
        <w:trPr>
          <w:trHeight w:val="337"/>
          <w:jc w:val="center"/>
        </w:trPr>
        <w:tc>
          <w:tcPr>
            <w:tcW w:w="5054" w:type="dxa"/>
          </w:tcPr>
          <w:p w14:paraId="4E9DA140" w14:textId="77777777" w:rsidR="00FE62E5" w:rsidRPr="0086372B" w:rsidRDefault="00FE62E5" w:rsidP="006C678F">
            <w:pPr>
              <w:rPr>
                <w:rFonts w:cs="FrankRuehl"/>
                <w:sz w:val="28"/>
                <w:szCs w:val="28"/>
                <w:rtl/>
              </w:rPr>
            </w:pPr>
            <w:r w:rsidRPr="0086372B">
              <w:rPr>
                <w:rFonts w:cs="FrankRuehl"/>
                <w:sz w:val="28"/>
                <w:szCs w:val="28"/>
                <w:rtl/>
              </w:rPr>
              <w:t>ת"פ</w:t>
            </w:r>
            <w:r w:rsidRPr="0086372B">
              <w:rPr>
                <w:rFonts w:cs="FrankRuehl" w:hint="cs"/>
                <w:sz w:val="28"/>
                <w:szCs w:val="28"/>
                <w:rtl/>
              </w:rPr>
              <w:t xml:space="preserve"> </w:t>
            </w:r>
            <w:r w:rsidRPr="0086372B">
              <w:rPr>
                <w:rFonts w:cs="FrankRuehl"/>
                <w:sz w:val="28"/>
                <w:szCs w:val="28"/>
                <w:rtl/>
              </w:rPr>
              <w:t>31216-01-22</w:t>
            </w:r>
            <w:r w:rsidRPr="0086372B">
              <w:rPr>
                <w:rFonts w:cs="FrankRuehl" w:hint="cs"/>
                <w:sz w:val="28"/>
                <w:szCs w:val="28"/>
                <w:rtl/>
              </w:rPr>
              <w:t xml:space="preserve"> </w:t>
            </w:r>
            <w:r w:rsidRPr="0086372B">
              <w:rPr>
                <w:rFonts w:cs="FrankRuehl"/>
                <w:sz w:val="28"/>
                <w:szCs w:val="28"/>
                <w:rtl/>
              </w:rPr>
              <w:t>מדינת ישראל נ' נגאר</w:t>
            </w:r>
          </w:p>
        </w:tc>
        <w:tc>
          <w:tcPr>
            <w:tcW w:w="3667" w:type="dxa"/>
          </w:tcPr>
          <w:p w14:paraId="103FECD2" w14:textId="77777777" w:rsidR="00FE62E5" w:rsidRPr="0086372B" w:rsidRDefault="00FE62E5" w:rsidP="006C678F">
            <w:pPr>
              <w:pStyle w:val="a3"/>
              <w:jc w:val="right"/>
              <w:rPr>
                <w:rFonts w:cs="FrankRuehl"/>
                <w:sz w:val="28"/>
                <w:szCs w:val="28"/>
                <w:rtl/>
              </w:rPr>
            </w:pPr>
          </w:p>
        </w:tc>
      </w:tr>
    </w:tbl>
    <w:p w14:paraId="0E496FCB" w14:textId="77777777" w:rsidR="00FE62E5" w:rsidRPr="0086372B" w:rsidRDefault="00FE62E5" w:rsidP="00FE62E5">
      <w:pPr>
        <w:pStyle w:val="a3"/>
        <w:rPr>
          <w:rtl/>
        </w:rPr>
      </w:pPr>
      <w:r w:rsidRPr="0086372B">
        <w:rPr>
          <w:rFonts w:hint="cs"/>
          <w:rtl/>
        </w:rPr>
        <w:t xml:space="preserve"> </w:t>
      </w:r>
    </w:p>
    <w:p w14:paraId="3252869A" w14:textId="77777777" w:rsidR="00FE62E5" w:rsidRPr="0086372B" w:rsidRDefault="00FE62E5" w:rsidP="00FE62E5">
      <w:pPr>
        <w:rPr>
          <w:rFonts w:ascii="FrankRuehl" w:hAnsi="FrankRuehl" w:cs="FrankRuehl"/>
          <w:sz w:val="30"/>
          <w:szCs w:val="30"/>
          <w:rtl/>
        </w:rPr>
      </w:pPr>
    </w:p>
    <w:p w14:paraId="2302A334" w14:textId="77777777" w:rsidR="00FE62E5" w:rsidRPr="0086372B" w:rsidRDefault="00FE62E5" w:rsidP="00FE62E5">
      <w:pPr>
        <w:rPr>
          <w:rFonts w:ascii="FrankRuehl" w:hAnsi="FrankRuehl"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476"/>
        <w:gridCol w:w="1421"/>
      </w:tblGrid>
      <w:tr w:rsidR="00FE62E5" w:rsidRPr="0086372B" w14:paraId="1C57A9D4" w14:textId="77777777" w:rsidTr="00FE62E5">
        <w:trPr>
          <w:trHeight w:val="295"/>
          <w:jc w:val="center"/>
        </w:trPr>
        <w:tc>
          <w:tcPr>
            <w:tcW w:w="923" w:type="dxa"/>
            <w:tcBorders>
              <w:top w:val="nil"/>
              <w:left w:val="nil"/>
              <w:bottom w:val="nil"/>
              <w:right w:val="nil"/>
            </w:tcBorders>
            <w:shd w:val="clear" w:color="auto" w:fill="auto"/>
          </w:tcPr>
          <w:p w14:paraId="373BD2E4" w14:textId="77777777" w:rsidR="00FE62E5" w:rsidRPr="0086372B" w:rsidRDefault="00FE62E5" w:rsidP="00FE62E5">
            <w:pPr>
              <w:jc w:val="both"/>
              <w:rPr>
                <w:rFonts w:ascii="FrankRuehl" w:hAnsi="FrankRuehl" w:cs="FrankRuehl"/>
                <w:sz w:val="30"/>
                <w:szCs w:val="30"/>
              </w:rPr>
            </w:pPr>
            <w:r w:rsidRPr="0086372B">
              <w:rPr>
                <w:rFonts w:ascii="FrankRuehl" w:hAnsi="FrankRuehl" w:cs="FrankRuehl"/>
                <w:sz w:val="30"/>
                <w:szCs w:val="30"/>
                <w:rtl/>
              </w:rPr>
              <w:t xml:space="preserve">בפני </w:t>
            </w:r>
          </w:p>
        </w:tc>
        <w:tc>
          <w:tcPr>
            <w:tcW w:w="7897" w:type="dxa"/>
            <w:gridSpan w:val="2"/>
            <w:tcBorders>
              <w:top w:val="nil"/>
              <w:left w:val="nil"/>
              <w:bottom w:val="nil"/>
              <w:right w:val="nil"/>
            </w:tcBorders>
            <w:shd w:val="clear" w:color="auto" w:fill="auto"/>
          </w:tcPr>
          <w:p w14:paraId="0D1635DF" w14:textId="77777777" w:rsidR="00FE62E5" w:rsidRPr="0086372B" w:rsidRDefault="00FE62E5" w:rsidP="006C678F">
            <w:pPr>
              <w:rPr>
                <w:rFonts w:ascii="FrankRuehl" w:hAnsi="FrankRuehl" w:cs="FrankRuehl"/>
                <w:b/>
                <w:bCs/>
                <w:sz w:val="30"/>
                <w:szCs w:val="30"/>
                <w:rtl/>
              </w:rPr>
            </w:pPr>
            <w:r w:rsidRPr="0086372B">
              <w:rPr>
                <w:rFonts w:ascii="FrankRuehl" w:hAnsi="FrankRuehl" w:cs="FrankRuehl"/>
                <w:b/>
                <w:bCs/>
                <w:sz w:val="30"/>
                <w:szCs w:val="30"/>
                <w:rtl/>
              </w:rPr>
              <w:t>כב</w:t>
            </w:r>
            <w:r w:rsidRPr="0086372B">
              <w:rPr>
                <w:rFonts w:ascii="FrankRuehl" w:hAnsi="FrankRuehl" w:cs="FrankRuehl" w:hint="cs"/>
                <w:b/>
                <w:bCs/>
                <w:sz w:val="30"/>
                <w:szCs w:val="30"/>
                <w:rtl/>
              </w:rPr>
              <w:t>'</w:t>
            </w:r>
            <w:r w:rsidRPr="0086372B">
              <w:rPr>
                <w:rFonts w:ascii="FrankRuehl" w:hAnsi="FrankRuehl" w:cs="FrankRuehl"/>
                <w:b/>
                <w:bCs/>
                <w:sz w:val="30"/>
                <w:szCs w:val="30"/>
                <w:rtl/>
              </w:rPr>
              <w:t xml:space="preserve"> השופט  אילן סלע</w:t>
            </w:r>
          </w:p>
          <w:p w14:paraId="281D529A" w14:textId="77777777" w:rsidR="00FE62E5" w:rsidRPr="0086372B" w:rsidRDefault="00FE62E5" w:rsidP="006C678F">
            <w:pPr>
              <w:rPr>
                <w:rFonts w:ascii="FrankRuehl" w:hAnsi="FrankRuehl" w:cs="FrankRuehl"/>
                <w:sz w:val="30"/>
                <w:szCs w:val="30"/>
                <w:rtl/>
              </w:rPr>
            </w:pPr>
          </w:p>
          <w:p w14:paraId="07F6A654" w14:textId="77777777" w:rsidR="00FE62E5" w:rsidRPr="0086372B" w:rsidRDefault="00FE62E5" w:rsidP="00FE62E5">
            <w:pPr>
              <w:jc w:val="both"/>
              <w:rPr>
                <w:rFonts w:ascii="FrankRuehl" w:hAnsi="FrankRuehl" w:cs="FrankRuehl"/>
                <w:sz w:val="30"/>
                <w:szCs w:val="30"/>
              </w:rPr>
            </w:pPr>
          </w:p>
        </w:tc>
      </w:tr>
      <w:tr w:rsidR="00FE62E5" w:rsidRPr="0086372B" w14:paraId="71E474D8" w14:textId="77777777" w:rsidTr="00FE62E5">
        <w:trPr>
          <w:trHeight w:val="355"/>
          <w:jc w:val="center"/>
        </w:trPr>
        <w:tc>
          <w:tcPr>
            <w:tcW w:w="923" w:type="dxa"/>
            <w:tcBorders>
              <w:top w:val="nil"/>
              <w:left w:val="nil"/>
              <w:bottom w:val="nil"/>
              <w:right w:val="nil"/>
            </w:tcBorders>
            <w:shd w:val="clear" w:color="auto" w:fill="auto"/>
          </w:tcPr>
          <w:p w14:paraId="6A1ADE2A" w14:textId="77777777" w:rsidR="00FE62E5" w:rsidRPr="0086372B" w:rsidRDefault="00FE62E5" w:rsidP="00FE62E5">
            <w:pPr>
              <w:jc w:val="both"/>
              <w:rPr>
                <w:rFonts w:ascii="FrankRuehl" w:hAnsi="FrankRuehl" w:cs="FrankRuehl"/>
                <w:sz w:val="30"/>
                <w:szCs w:val="30"/>
              </w:rPr>
            </w:pPr>
            <w:bookmarkStart w:id="1" w:name="FirstAppellant"/>
            <w:r w:rsidRPr="0086372B">
              <w:rPr>
                <w:rFonts w:ascii="FrankRuehl" w:hAnsi="FrankRuehl" w:cs="FrankRuehl"/>
                <w:sz w:val="30"/>
                <w:szCs w:val="30"/>
                <w:rtl/>
              </w:rPr>
              <w:t>בעניין:</w:t>
            </w:r>
          </w:p>
        </w:tc>
        <w:tc>
          <w:tcPr>
            <w:tcW w:w="6476" w:type="dxa"/>
            <w:tcBorders>
              <w:top w:val="nil"/>
              <w:left w:val="nil"/>
              <w:bottom w:val="nil"/>
              <w:right w:val="nil"/>
            </w:tcBorders>
            <w:shd w:val="clear" w:color="auto" w:fill="auto"/>
          </w:tcPr>
          <w:p w14:paraId="23C9DB49" w14:textId="77777777" w:rsidR="00FE62E5" w:rsidRPr="0086372B" w:rsidRDefault="00FE62E5" w:rsidP="00FE62E5">
            <w:pPr>
              <w:suppressLineNumbers/>
              <w:rPr>
                <w:rFonts w:ascii="FrankRuehl" w:hAnsi="FrankRuehl" w:cs="FrankRuehl"/>
                <w:b/>
                <w:bCs/>
                <w:sz w:val="30"/>
                <w:szCs w:val="30"/>
                <w:rtl/>
              </w:rPr>
            </w:pPr>
            <w:r w:rsidRPr="0086372B">
              <w:rPr>
                <w:rFonts w:ascii="FrankRuehl" w:hAnsi="FrankRuehl" w:cs="FrankRuehl" w:hint="cs"/>
                <w:b/>
                <w:bCs/>
                <w:sz w:val="30"/>
                <w:szCs w:val="30"/>
                <w:rtl/>
              </w:rPr>
              <w:t>מדינת ישראל</w:t>
            </w:r>
          </w:p>
          <w:p w14:paraId="11EE33D3" w14:textId="77777777" w:rsidR="00FE62E5" w:rsidRPr="0086372B" w:rsidRDefault="00FE62E5" w:rsidP="00FE62E5">
            <w:pPr>
              <w:suppressLineNumbers/>
              <w:rPr>
                <w:rFonts w:ascii="FrankRuehl" w:hAnsi="FrankRuehl" w:cs="FrankRuehl"/>
                <w:b/>
                <w:bCs/>
                <w:sz w:val="30"/>
                <w:szCs w:val="30"/>
                <w:rtl/>
              </w:rPr>
            </w:pPr>
            <w:r w:rsidRPr="0086372B">
              <w:rPr>
                <w:rFonts w:ascii="FrankRuehl" w:hAnsi="FrankRuehl" w:cs="FrankRuehl" w:hint="cs"/>
                <w:b/>
                <w:bCs/>
                <w:sz w:val="30"/>
                <w:szCs w:val="30"/>
                <w:rtl/>
              </w:rPr>
              <w:t>באמצעות פרקליטות מחוז ירושלים (פלילי),</w:t>
            </w:r>
          </w:p>
          <w:p w14:paraId="7A46D0E2" w14:textId="77777777" w:rsidR="00FE62E5" w:rsidRPr="0086372B" w:rsidRDefault="00FE62E5" w:rsidP="00FE62E5">
            <w:pPr>
              <w:suppressLineNumbers/>
              <w:rPr>
                <w:rFonts w:ascii="FrankRuehl" w:hAnsi="FrankRuehl" w:cs="FrankRuehl"/>
                <w:sz w:val="30"/>
                <w:szCs w:val="30"/>
              </w:rPr>
            </w:pPr>
            <w:r w:rsidRPr="0086372B">
              <w:rPr>
                <w:rFonts w:ascii="FrankRuehl" w:hAnsi="FrankRuehl" w:cs="FrankRuehl" w:hint="cs"/>
                <w:b/>
                <w:bCs/>
                <w:sz w:val="30"/>
                <w:szCs w:val="30"/>
                <w:rtl/>
              </w:rPr>
              <w:t>ע"י עו"ד</w:t>
            </w:r>
            <w:r w:rsidRPr="0086372B">
              <w:rPr>
                <w:rFonts w:ascii="FrankRuehl" w:hAnsi="FrankRuehl" w:cs="FrankRuehl" w:hint="cs"/>
                <w:sz w:val="30"/>
                <w:szCs w:val="30"/>
                <w:rtl/>
              </w:rPr>
              <w:t xml:space="preserve"> </w:t>
            </w:r>
            <w:r w:rsidRPr="0086372B">
              <w:rPr>
                <w:rFonts w:ascii="FrankRuehl" w:hAnsi="FrankRuehl" w:cs="FrankRuehl" w:hint="cs"/>
                <w:b/>
                <w:bCs/>
                <w:sz w:val="30"/>
                <w:szCs w:val="30"/>
                <w:rtl/>
              </w:rPr>
              <w:t>אהוביה שטרן</w:t>
            </w:r>
          </w:p>
        </w:tc>
        <w:tc>
          <w:tcPr>
            <w:tcW w:w="1421" w:type="dxa"/>
            <w:tcBorders>
              <w:top w:val="nil"/>
              <w:left w:val="nil"/>
              <w:bottom w:val="nil"/>
              <w:right w:val="nil"/>
            </w:tcBorders>
            <w:shd w:val="clear" w:color="auto" w:fill="auto"/>
            <w:vAlign w:val="center"/>
          </w:tcPr>
          <w:p w14:paraId="09C866E4" w14:textId="77777777" w:rsidR="00FE62E5" w:rsidRPr="0086372B" w:rsidRDefault="00FE62E5" w:rsidP="00FE62E5">
            <w:pPr>
              <w:suppressLineNumbers/>
              <w:rPr>
                <w:rFonts w:ascii="FrankRuehl" w:hAnsi="FrankRuehl" w:cs="FrankRuehl"/>
                <w:b/>
                <w:bCs/>
                <w:sz w:val="30"/>
                <w:szCs w:val="30"/>
                <w:rtl/>
              </w:rPr>
            </w:pPr>
          </w:p>
          <w:p w14:paraId="681FE4CF" w14:textId="77777777" w:rsidR="00FE62E5" w:rsidRPr="0086372B" w:rsidRDefault="00FE62E5" w:rsidP="00FE62E5">
            <w:pPr>
              <w:suppressLineNumbers/>
              <w:rPr>
                <w:rFonts w:ascii="FrankRuehl" w:hAnsi="FrankRuehl" w:cs="FrankRuehl"/>
                <w:b/>
                <w:bCs/>
                <w:sz w:val="30"/>
                <w:szCs w:val="30"/>
                <w:rtl/>
              </w:rPr>
            </w:pPr>
          </w:p>
          <w:p w14:paraId="2A99CAF1" w14:textId="77777777" w:rsidR="00FE62E5" w:rsidRPr="0086372B" w:rsidRDefault="00FE62E5" w:rsidP="00FE62E5">
            <w:pPr>
              <w:suppressLineNumbers/>
              <w:rPr>
                <w:rFonts w:ascii="FrankRuehl" w:hAnsi="FrankRuehl" w:cs="FrankRuehl"/>
                <w:sz w:val="30"/>
                <w:szCs w:val="30"/>
              </w:rPr>
            </w:pPr>
            <w:r w:rsidRPr="0086372B">
              <w:rPr>
                <w:rFonts w:ascii="FrankRuehl" w:hAnsi="FrankRuehl" w:cs="FrankRuehl" w:hint="cs"/>
                <w:b/>
                <w:bCs/>
                <w:sz w:val="30"/>
                <w:szCs w:val="30"/>
                <w:rtl/>
              </w:rPr>
              <w:t>המאשימה</w:t>
            </w:r>
          </w:p>
          <w:p w14:paraId="690B4F0C" w14:textId="77777777" w:rsidR="00FE62E5" w:rsidRPr="0086372B" w:rsidRDefault="00FE62E5" w:rsidP="006C678F">
            <w:pPr>
              <w:rPr>
                <w:rFonts w:ascii="FrankRuehl" w:hAnsi="FrankRuehl" w:cs="FrankRuehl"/>
                <w:sz w:val="30"/>
                <w:szCs w:val="30"/>
              </w:rPr>
            </w:pPr>
          </w:p>
        </w:tc>
      </w:tr>
      <w:bookmarkEnd w:id="1"/>
      <w:tr w:rsidR="00FE62E5" w:rsidRPr="0086372B" w14:paraId="71A0BDE5" w14:textId="77777777" w:rsidTr="00FE62E5">
        <w:trPr>
          <w:trHeight w:val="355"/>
          <w:jc w:val="center"/>
        </w:trPr>
        <w:tc>
          <w:tcPr>
            <w:tcW w:w="923" w:type="dxa"/>
            <w:tcBorders>
              <w:top w:val="nil"/>
              <w:left w:val="nil"/>
              <w:bottom w:val="nil"/>
              <w:right w:val="nil"/>
            </w:tcBorders>
            <w:shd w:val="clear" w:color="auto" w:fill="auto"/>
          </w:tcPr>
          <w:p w14:paraId="64637B7A" w14:textId="77777777" w:rsidR="00FE62E5" w:rsidRPr="0086372B" w:rsidRDefault="00FE62E5" w:rsidP="00FE62E5">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5784DEA5" w14:textId="77777777" w:rsidR="00FE62E5" w:rsidRPr="0086372B" w:rsidRDefault="00FE62E5" w:rsidP="00FE62E5">
            <w:pPr>
              <w:jc w:val="center"/>
              <w:rPr>
                <w:rFonts w:ascii="FrankRuehl" w:hAnsi="FrankRuehl" w:cs="FrankRuehl"/>
                <w:b/>
                <w:bCs/>
                <w:sz w:val="30"/>
                <w:szCs w:val="30"/>
                <w:rtl/>
              </w:rPr>
            </w:pPr>
          </w:p>
          <w:p w14:paraId="1F5E4C4A" w14:textId="77777777" w:rsidR="00FE62E5" w:rsidRPr="0086372B" w:rsidRDefault="00FE62E5" w:rsidP="00FE62E5">
            <w:pPr>
              <w:jc w:val="center"/>
              <w:rPr>
                <w:rFonts w:ascii="FrankRuehl" w:hAnsi="FrankRuehl" w:cs="FrankRuehl"/>
                <w:b/>
                <w:bCs/>
                <w:sz w:val="30"/>
                <w:szCs w:val="30"/>
                <w:rtl/>
              </w:rPr>
            </w:pPr>
            <w:r w:rsidRPr="0086372B">
              <w:rPr>
                <w:rFonts w:ascii="FrankRuehl" w:hAnsi="FrankRuehl" w:cs="FrankRuehl"/>
                <w:b/>
                <w:bCs/>
                <w:sz w:val="30"/>
                <w:szCs w:val="30"/>
                <w:rtl/>
              </w:rPr>
              <w:t>נגד</w:t>
            </w:r>
          </w:p>
          <w:p w14:paraId="7FA17F62" w14:textId="77777777" w:rsidR="00FE62E5" w:rsidRPr="0086372B" w:rsidRDefault="00FE62E5" w:rsidP="00FE62E5">
            <w:pPr>
              <w:jc w:val="both"/>
              <w:rPr>
                <w:rFonts w:ascii="FrankRuehl" w:hAnsi="FrankRuehl" w:cs="FrankRuehl"/>
                <w:sz w:val="30"/>
                <w:szCs w:val="30"/>
              </w:rPr>
            </w:pPr>
          </w:p>
        </w:tc>
      </w:tr>
      <w:tr w:rsidR="00FE62E5" w:rsidRPr="0086372B" w14:paraId="7FD881A3" w14:textId="77777777" w:rsidTr="00FE62E5">
        <w:trPr>
          <w:trHeight w:val="355"/>
          <w:jc w:val="center"/>
        </w:trPr>
        <w:tc>
          <w:tcPr>
            <w:tcW w:w="923" w:type="dxa"/>
            <w:tcBorders>
              <w:top w:val="nil"/>
              <w:left w:val="nil"/>
              <w:bottom w:val="nil"/>
              <w:right w:val="nil"/>
            </w:tcBorders>
            <w:shd w:val="clear" w:color="auto" w:fill="auto"/>
          </w:tcPr>
          <w:p w14:paraId="3EA1FE97" w14:textId="77777777" w:rsidR="00FE62E5" w:rsidRPr="0086372B" w:rsidRDefault="00FE62E5" w:rsidP="006C678F">
            <w:pPr>
              <w:rPr>
                <w:rFonts w:ascii="FrankRuehl" w:hAnsi="FrankRuehl" w:cs="FrankRuehl"/>
                <w:sz w:val="30"/>
                <w:szCs w:val="30"/>
                <w:rtl/>
              </w:rPr>
            </w:pPr>
            <w:bookmarkStart w:id="2" w:name="FirstLawyer"/>
          </w:p>
        </w:tc>
        <w:tc>
          <w:tcPr>
            <w:tcW w:w="6476" w:type="dxa"/>
            <w:tcBorders>
              <w:top w:val="nil"/>
              <w:left w:val="nil"/>
              <w:bottom w:val="nil"/>
              <w:right w:val="nil"/>
            </w:tcBorders>
            <w:shd w:val="clear" w:color="auto" w:fill="auto"/>
          </w:tcPr>
          <w:p w14:paraId="67B0BF32" w14:textId="77777777" w:rsidR="00FE62E5" w:rsidRPr="0086372B" w:rsidRDefault="00FE62E5" w:rsidP="006C678F">
            <w:pPr>
              <w:rPr>
                <w:rFonts w:ascii="FrankRuehl" w:hAnsi="FrankRuehl" w:cs="FrankRuehl"/>
                <w:b/>
                <w:bCs/>
                <w:sz w:val="30"/>
                <w:szCs w:val="30"/>
                <w:rtl/>
              </w:rPr>
            </w:pPr>
            <w:r w:rsidRPr="0086372B">
              <w:rPr>
                <w:rFonts w:ascii="FrankRuehl" w:hAnsi="FrankRuehl" w:cs="FrankRuehl" w:hint="cs"/>
                <w:b/>
                <w:bCs/>
                <w:sz w:val="30"/>
                <w:szCs w:val="30"/>
                <w:rtl/>
              </w:rPr>
              <w:t>מונזר נגאר</w:t>
            </w:r>
          </w:p>
          <w:p w14:paraId="02A3C0ED" w14:textId="77777777" w:rsidR="00FE62E5" w:rsidRPr="0086372B" w:rsidRDefault="00FE62E5" w:rsidP="006C678F">
            <w:pPr>
              <w:rPr>
                <w:rFonts w:ascii="FrankRuehl" w:hAnsi="FrankRuehl" w:cs="FrankRuehl"/>
                <w:b/>
                <w:bCs/>
                <w:sz w:val="30"/>
                <w:szCs w:val="30"/>
                <w:rtl/>
              </w:rPr>
            </w:pPr>
            <w:r w:rsidRPr="0086372B">
              <w:rPr>
                <w:rFonts w:ascii="FrankRuehl" w:hAnsi="FrankRuehl" w:cs="FrankRuehl" w:hint="cs"/>
                <w:b/>
                <w:bCs/>
                <w:sz w:val="30"/>
                <w:szCs w:val="30"/>
                <w:rtl/>
              </w:rPr>
              <w:t>ע"י ב"כ עו"ד היבא קדומי</w:t>
            </w:r>
          </w:p>
        </w:tc>
        <w:tc>
          <w:tcPr>
            <w:tcW w:w="1421" w:type="dxa"/>
            <w:tcBorders>
              <w:top w:val="nil"/>
              <w:left w:val="nil"/>
              <w:bottom w:val="nil"/>
              <w:right w:val="nil"/>
            </w:tcBorders>
            <w:shd w:val="clear" w:color="auto" w:fill="auto"/>
            <w:vAlign w:val="center"/>
          </w:tcPr>
          <w:p w14:paraId="5F2CFCD1" w14:textId="77777777" w:rsidR="00FE62E5" w:rsidRPr="0086372B" w:rsidRDefault="00FE62E5" w:rsidP="00FE62E5">
            <w:pPr>
              <w:suppressLineNumbers/>
              <w:rPr>
                <w:rFonts w:ascii="FrankRuehl" w:hAnsi="FrankRuehl" w:cs="FrankRuehl"/>
                <w:b/>
                <w:bCs/>
                <w:sz w:val="30"/>
                <w:szCs w:val="30"/>
                <w:rtl/>
              </w:rPr>
            </w:pPr>
          </w:p>
          <w:p w14:paraId="5BEBCB06" w14:textId="77777777" w:rsidR="00FE62E5" w:rsidRPr="0086372B" w:rsidRDefault="00FE62E5" w:rsidP="00FE62E5">
            <w:pPr>
              <w:suppressLineNumbers/>
              <w:rPr>
                <w:rFonts w:ascii="FrankRuehl" w:hAnsi="FrankRuehl" w:cs="FrankRuehl"/>
                <w:b/>
                <w:bCs/>
                <w:sz w:val="30"/>
                <w:szCs w:val="30"/>
              </w:rPr>
            </w:pPr>
            <w:r w:rsidRPr="0086372B">
              <w:rPr>
                <w:rFonts w:ascii="FrankRuehl" w:hAnsi="FrankRuehl" w:cs="FrankRuehl" w:hint="cs"/>
                <w:b/>
                <w:bCs/>
                <w:sz w:val="30"/>
                <w:szCs w:val="30"/>
                <w:rtl/>
              </w:rPr>
              <w:t>הנאשם</w:t>
            </w:r>
          </w:p>
        </w:tc>
      </w:tr>
      <w:bookmarkEnd w:id="2"/>
    </w:tbl>
    <w:p w14:paraId="2FF24FF7" w14:textId="77777777" w:rsidR="0086372B" w:rsidRPr="0086372B" w:rsidRDefault="0086372B" w:rsidP="0086372B">
      <w:pPr>
        <w:spacing w:before="120" w:after="120" w:line="240" w:lineRule="exact"/>
        <w:ind w:left="283" w:hanging="283"/>
        <w:jc w:val="both"/>
        <w:rPr>
          <w:rFonts w:ascii="FrankRuehl" w:hAnsi="FrankRuehl" w:cs="FrankRuehl"/>
          <w:rtl/>
        </w:rPr>
      </w:pPr>
    </w:p>
    <w:p w14:paraId="7DF2730B" w14:textId="77777777" w:rsidR="004A4B6E" w:rsidRPr="004A4B6E" w:rsidRDefault="004A4B6E" w:rsidP="004A4B6E">
      <w:pPr>
        <w:spacing w:before="120" w:after="120" w:line="240" w:lineRule="exact"/>
        <w:ind w:left="283" w:hanging="283"/>
        <w:jc w:val="both"/>
        <w:rPr>
          <w:rFonts w:ascii="FrankRuehl" w:hAnsi="FrankRuehl" w:cs="FrankRuehl"/>
          <w:rtl/>
        </w:rPr>
      </w:pPr>
    </w:p>
    <w:p w14:paraId="593475AA" w14:textId="77777777" w:rsidR="0059676B" w:rsidRDefault="0059676B" w:rsidP="0059676B">
      <w:pPr>
        <w:rPr>
          <w:rFonts w:ascii="Arial" w:hAnsi="Arial"/>
          <w:sz w:val="26"/>
          <w:szCs w:val="26"/>
          <w:rtl/>
        </w:rPr>
      </w:pPr>
      <w:bookmarkStart w:id="3" w:name="LawTable"/>
      <w:bookmarkEnd w:id="3"/>
    </w:p>
    <w:p w14:paraId="4C92E096" w14:textId="77777777" w:rsidR="0059676B" w:rsidRPr="0059676B" w:rsidRDefault="0059676B" w:rsidP="0059676B">
      <w:pPr>
        <w:spacing w:before="120" w:after="120" w:line="240" w:lineRule="exact"/>
        <w:ind w:left="283" w:hanging="283"/>
        <w:jc w:val="both"/>
        <w:rPr>
          <w:rFonts w:ascii="FrankRuehl" w:hAnsi="FrankRuehl" w:cs="FrankRuehl"/>
          <w:rtl/>
        </w:rPr>
      </w:pPr>
    </w:p>
    <w:p w14:paraId="39BEAE90" w14:textId="77777777" w:rsidR="0059676B" w:rsidRPr="0059676B" w:rsidRDefault="0059676B" w:rsidP="0059676B">
      <w:pPr>
        <w:spacing w:before="120" w:after="120" w:line="240" w:lineRule="exact"/>
        <w:ind w:left="283" w:hanging="283"/>
        <w:jc w:val="both"/>
        <w:rPr>
          <w:rFonts w:ascii="FrankRuehl" w:hAnsi="FrankRuehl" w:cs="FrankRuehl"/>
          <w:rtl/>
        </w:rPr>
      </w:pPr>
    </w:p>
    <w:p w14:paraId="633B9C82" w14:textId="77777777" w:rsidR="0059676B" w:rsidRPr="0059676B" w:rsidRDefault="0059676B" w:rsidP="0059676B">
      <w:pPr>
        <w:spacing w:before="120" w:after="120" w:line="240" w:lineRule="exact"/>
        <w:ind w:left="283" w:hanging="283"/>
        <w:jc w:val="both"/>
        <w:rPr>
          <w:rFonts w:ascii="FrankRuehl" w:hAnsi="FrankRuehl" w:cs="FrankRuehl"/>
          <w:rtl/>
        </w:rPr>
      </w:pPr>
      <w:r w:rsidRPr="0059676B">
        <w:rPr>
          <w:rFonts w:ascii="FrankRuehl" w:hAnsi="FrankRuehl" w:cs="FrankRuehl"/>
          <w:rtl/>
        </w:rPr>
        <w:t xml:space="preserve">חקיקה שאוזכרה: </w:t>
      </w:r>
    </w:p>
    <w:p w14:paraId="00F00B09" w14:textId="77777777" w:rsidR="0059676B" w:rsidRPr="0059676B" w:rsidRDefault="0059676B" w:rsidP="0059676B">
      <w:pPr>
        <w:spacing w:before="120" w:after="120" w:line="240" w:lineRule="exact"/>
        <w:ind w:left="283" w:hanging="283"/>
        <w:jc w:val="both"/>
        <w:rPr>
          <w:rFonts w:ascii="FrankRuehl" w:hAnsi="FrankRuehl" w:cs="FrankRuehl"/>
          <w:rtl/>
        </w:rPr>
      </w:pPr>
      <w:hyperlink r:id="rId7" w:history="1">
        <w:r w:rsidRPr="0059676B">
          <w:rPr>
            <w:rFonts w:ascii="FrankRuehl" w:hAnsi="FrankRuehl" w:cs="FrankRuehl"/>
            <w:color w:val="0000FF"/>
            <w:rtl/>
          </w:rPr>
          <w:t>חוק העונשין, תשל"ז-1977</w:t>
        </w:r>
      </w:hyperlink>
      <w:r w:rsidRPr="0059676B">
        <w:rPr>
          <w:rFonts w:ascii="FrankRuehl" w:hAnsi="FrankRuehl" w:cs="FrankRuehl"/>
          <w:rtl/>
        </w:rPr>
        <w:t xml:space="preserve">: סע'  </w:t>
      </w:r>
      <w:hyperlink r:id="rId8" w:history="1">
        <w:r w:rsidRPr="0059676B">
          <w:rPr>
            <w:rFonts w:ascii="FrankRuehl" w:hAnsi="FrankRuehl" w:cs="FrankRuehl"/>
            <w:color w:val="0000FF"/>
            <w:rtl/>
          </w:rPr>
          <w:t>25</w:t>
        </w:r>
      </w:hyperlink>
      <w:r w:rsidRPr="0059676B">
        <w:rPr>
          <w:rFonts w:ascii="FrankRuehl" w:hAnsi="FrankRuehl" w:cs="FrankRuehl"/>
          <w:rtl/>
        </w:rPr>
        <w:t xml:space="preserve">, </w:t>
      </w:r>
      <w:hyperlink r:id="rId9" w:history="1">
        <w:r w:rsidRPr="0059676B">
          <w:rPr>
            <w:rFonts w:ascii="FrankRuehl" w:hAnsi="FrankRuehl" w:cs="FrankRuehl"/>
            <w:color w:val="0000FF"/>
            <w:rtl/>
          </w:rPr>
          <w:t>144(ב2)</w:t>
        </w:r>
      </w:hyperlink>
      <w:r w:rsidRPr="0059676B">
        <w:rPr>
          <w:rFonts w:ascii="FrankRuehl" w:hAnsi="FrankRuehl" w:cs="FrankRuehl"/>
          <w:rtl/>
        </w:rPr>
        <w:t xml:space="preserve">, </w:t>
      </w:r>
      <w:hyperlink r:id="rId10" w:history="1">
        <w:r w:rsidRPr="0059676B">
          <w:rPr>
            <w:rFonts w:ascii="FrankRuehl" w:hAnsi="FrankRuehl" w:cs="FrankRuehl"/>
            <w:color w:val="0000FF"/>
            <w:rtl/>
          </w:rPr>
          <w:t>152</w:t>
        </w:r>
      </w:hyperlink>
      <w:r w:rsidRPr="0059676B">
        <w:rPr>
          <w:rFonts w:ascii="FrankRuehl" w:hAnsi="FrankRuehl" w:cs="FrankRuehl"/>
          <w:rtl/>
        </w:rPr>
        <w:t xml:space="preserve">, </w:t>
      </w:r>
      <w:hyperlink r:id="rId11" w:history="1">
        <w:r w:rsidRPr="0059676B">
          <w:rPr>
            <w:rFonts w:ascii="FrankRuehl" w:hAnsi="FrankRuehl" w:cs="FrankRuehl"/>
            <w:color w:val="0000FF"/>
            <w:rtl/>
          </w:rPr>
          <w:t>274(1)</w:t>
        </w:r>
      </w:hyperlink>
      <w:r w:rsidRPr="0059676B">
        <w:rPr>
          <w:rFonts w:ascii="FrankRuehl" w:hAnsi="FrankRuehl" w:cs="FrankRuehl"/>
          <w:rtl/>
        </w:rPr>
        <w:t xml:space="preserve">, </w:t>
      </w:r>
      <w:hyperlink r:id="rId12" w:history="1">
        <w:r w:rsidRPr="0059676B">
          <w:rPr>
            <w:rFonts w:ascii="FrankRuehl" w:hAnsi="FrankRuehl" w:cs="FrankRuehl"/>
            <w:color w:val="0000FF"/>
            <w:rtl/>
          </w:rPr>
          <w:t>274(2)</w:t>
        </w:r>
      </w:hyperlink>
      <w:r w:rsidRPr="0059676B">
        <w:rPr>
          <w:rFonts w:ascii="FrankRuehl" w:hAnsi="FrankRuehl" w:cs="FrankRuehl"/>
          <w:rtl/>
        </w:rPr>
        <w:t xml:space="preserve">, </w:t>
      </w:r>
      <w:hyperlink r:id="rId13" w:history="1">
        <w:r w:rsidRPr="0059676B">
          <w:rPr>
            <w:rFonts w:ascii="FrankRuehl" w:hAnsi="FrankRuehl" w:cs="FrankRuehl"/>
            <w:color w:val="0000FF"/>
            <w:rtl/>
          </w:rPr>
          <w:t>274(3)</w:t>
        </w:r>
      </w:hyperlink>
      <w:r w:rsidRPr="0059676B">
        <w:rPr>
          <w:rFonts w:ascii="FrankRuehl" w:hAnsi="FrankRuehl" w:cs="FrankRuehl"/>
          <w:rtl/>
        </w:rPr>
        <w:t xml:space="preserve">, </w:t>
      </w:r>
      <w:hyperlink r:id="rId14" w:history="1">
        <w:r w:rsidRPr="0059676B">
          <w:rPr>
            <w:rFonts w:ascii="FrankRuehl" w:hAnsi="FrankRuehl" w:cs="FrankRuehl"/>
            <w:color w:val="0000FF"/>
            <w:rtl/>
          </w:rPr>
          <w:t>338(א)(3)</w:t>
        </w:r>
      </w:hyperlink>
    </w:p>
    <w:p w14:paraId="13E409A6" w14:textId="77777777" w:rsidR="0059676B" w:rsidRPr="0059676B" w:rsidRDefault="0059676B" w:rsidP="0059676B">
      <w:pPr>
        <w:rPr>
          <w:rFonts w:ascii="Arial" w:hAnsi="Arial"/>
          <w:sz w:val="26"/>
          <w:szCs w:val="26"/>
          <w:rtl/>
        </w:rPr>
      </w:pPr>
      <w:bookmarkStart w:id="4" w:name="LawTable_End"/>
      <w:bookmarkEnd w:id="4"/>
    </w:p>
    <w:p w14:paraId="2E52F3AF" w14:textId="77777777" w:rsidR="00FE62E5" w:rsidRPr="004A4B6E" w:rsidRDefault="00FE62E5" w:rsidP="004A4B6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62E5" w:rsidRPr="006E57F0" w14:paraId="433CAE7B" w14:textId="77777777" w:rsidTr="00FE62E5">
        <w:trPr>
          <w:trHeight w:val="355"/>
          <w:jc w:val="center"/>
        </w:trPr>
        <w:tc>
          <w:tcPr>
            <w:tcW w:w="8820" w:type="dxa"/>
            <w:tcBorders>
              <w:top w:val="nil"/>
              <w:left w:val="nil"/>
              <w:bottom w:val="nil"/>
              <w:right w:val="nil"/>
            </w:tcBorders>
            <w:shd w:val="clear" w:color="auto" w:fill="auto"/>
          </w:tcPr>
          <w:p w14:paraId="3F5B3F67" w14:textId="77777777" w:rsidR="0086372B" w:rsidRPr="0086372B" w:rsidRDefault="0086372B" w:rsidP="0086372B">
            <w:pPr>
              <w:jc w:val="center"/>
              <w:rPr>
                <w:rFonts w:ascii="FrankRuehl" w:hAnsi="FrankRuehl" w:cs="FrankRuehl"/>
                <w:b/>
                <w:bCs/>
                <w:sz w:val="36"/>
                <w:szCs w:val="36"/>
                <w:u w:val="single"/>
                <w:rtl/>
              </w:rPr>
            </w:pPr>
            <w:bookmarkStart w:id="5" w:name="PsakDin" w:colFirst="0" w:colLast="0"/>
            <w:bookmarkEnd w:id="0"/>
            <w:r w:rsidRPr="0086372B">
              <w:rPr>
                <w:rFonts w:ascii="FrankRuehl" w:hAnsi="FrankRuehl" w:cs="FrankRuehl"/>
                <w:b/>
                <w:bCs/>
                <w:sz w:val="36"/>
                <w:szCs w:val="36"/>
                <w:u w:val="single"/>
                <w:rtl/>
              </w:rPr>
              <w:t>גזר דין</w:t>
            </w:r>
          </w:p>
          <w:p w14:paraId="2A9C24CE" w14:textId="77777777" w:rsidR="00FE62E5" w:rsidRPr="0086372B" w:rsidRDefault="00FE62E5" w:rsidP="0086372B">
            <w:pPr>
              <w:jc w:val="center"/>
              <w:rPr>
                <w:rFonts w:ascii="FrankRuehl" w:hAnsi="FrankRuehl" w:cs="FrankRuehl"/>
                <w:bCs/>
                <w:sz w:val="36"/>
                <w:szCs w:val="36"/>
                <w:u w:val="single"/>
                <w:rtl/>
              </w:rPr>
            </w:pPr>
          </w:p>
        </w:tc>
      </w:tr>
      <w:bookmarkEnd w:id="5"/>
    </w:tbl>
    <w:p w14:paraId="09FE6EA4" w14:textId="77777777" w:rsidR="00FE62E5" w:rsidRPr="000F2247" w:rsidRDefault="00FE62E5" w:rsidP="00FE62E5">
      <w:pPr>
        <w:rPr>
          <w:rFonts w:ascii="Arial" w:hAnsi="Arial"/>
          <w:b/>
          <w:bCs/>
          <w:sz w:val="26"/>
          <w:szCs w:val="26"/>
          <w:rtl/>
        </w:rPr>
      </w:pPr>
    </w:p>
    <w:p w14:paraId="00E747C6" w14:textId="77777777" w:rsidR="00FE62E5" w:rsidRPr="000F2247" w:rsidRDefault="00FE62E5" w:rsidP="00FE62E5">
      <w:pPr>
        <w:rPr>
          <w:rFonts w:ascii="Arial" w:hAnsi="Arial"/>
          <w:b/>
          <w:bCs/>
          <w:sz w:val="26"/>
          <w:szCs w:val="26"/>
          <w:rtl/>
        </w:rPr>
      </w:pPr>
    </w:p>
    <w:p w14:paraId="43B92144" w14:textId="77777777" w:rsidR="00FE62E5" w:rsidRDefault="00FE62E5" w:rsidP="00FE62E5">
      <w:pPr>
        <w:rPr>
          <w:rFonts w:ascii="FrankRuehl" w:hAnsi="FrankRuehl" w:cs="FrankRuehl"/>
          <w:b/>
          <w:bCs/>
          <w:sz w:val="28"/>
          <w:szCs w:val="28"/>
          <w:u w:val="single"/>
        </w:rPr>
      </w:pPr>
      <w:r>
        <w:rPr>
          <w:rFonts w:ascii="FrankRuehl" w:hAnsi="FrankRuehl" w:cs="FrankRuehl"/>
          <w:b/>
          <w:bCs/>
          <w:sz w:val="28"/>
          <w:szCs w:val="28"/>
          <w:u w:val="single"/>
          <w:rtl/>
        </w:rPr>
        <w:t>הכרעת הדין</w:t>
      </w:r>
    </w:p>
    <w:p w14:paraId="303DF93C" w14:textId="77777777" w:rsidR="00FE62E5" w:rsidRDefault="00FE62E5" w:rsidP="00FE62E5">
      <w:pPr>
        <w:rPr>
          <w:rFonts w:ascii="FrankRuehl" w:hAnsi="FrankRuehl" w:cs="FrankRuehl"/>
          <w:b/>
          <w:bCs/>
          <w:sz w:val="28"/>
          <w:szCs w:val="28"/>
          <w:u w:val="single"/>
          <w:rtl/>
        </w:rPr>
      </w:pPr>
    </w:p>
    <w:p w14:paraId="548F3555"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Pr>
          <w:rFonts w:ascii="FrankRuehl" w:hAnsi="FrankRuehl" w:cs="FrankRuehl"/>
          <w:sz w:val="28"/>
          <w:szCs w:val="28"/>
          <w:rtl/>
        </w:rPr>
        <w:t>הנאשם הורשע על פי הודאתו, שניתנה במסגרת הסדר טיעון</w:t>
      </w:r>
      <w:r>
        <w:rPr>
          <w:rFonts w:ascii="FrankRuehl" w:hAnsi="FrankRuehl" w:cs="FrankRuehl" w:hint="cs"/>
          <w:sz w:val="28"/>
          <w:szCs w:val="28"/>
          <w:rtl/>
        </w:rPr>
        <w:t>,</w:t>
      </w:r>
      <w:r>
        <w:rPr>
          <w:rFonts w:ascii="FrankRuehl" w:hAnsi="FrankRuehl" w:cs="FrankRuehl"/>
          <w:sz w:val="28"/>
          <w:szCs w:val="28"/>
          <w:rtl/>
        </w:rPr>
        <w:t xml:space="preserve"> בעבירות שיוחסו לו בכתב האישום המתוקן, שכלל שני אישומים: באישום הראשון, עבירה של התפרעות לפי </w:t>
      </w:r>
      <w:hyperlink r:id="rId15" w:history="1">
        <w:r w:rsidR="0054408E" w:rsidRPr="0054408E">
          <w:rPr>
            <w:rStyle w:val="Hyperlink"/>
            <w:rFonts w:ascii="FrankRuehl" w:hAnsi="FrankRuehl" w:cs="FrankRuehl"/>
            <w:sz w:val="28"/>
            <w:szCs w:val="28"/>
            <w:rtl/>
          </w:rPr>
          <w:t>סעיף 152</w:t>
        </w:r>
      </w:hyperlink>
      <w:r>
        <w:rPr>
          <w:rFonts w:ascii="FrankRuehl" w:hAnsi="FrankRuehl" w:cs="FrankRuehl"/>
          <w:sz w:val="28"/>
          <w:szCs w:val="28"/>
          <w:rtl/>
        </w:rPr>
        <w:t xml:space="preserve"> ל</w:t>
      </w:r>
      <w:hyperlink r:id="rId16" w:history="1">
        <w:r w:rsidR="0086372B" w:rsidRPr="0086372B">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w:t>
      </w:r>
      <w:r>
        <w:rPr>
          <w:rFonts w:ascii="FrankRuehl" w:hAnsi="FrankRuehl" w:cs="FrankRuehl" w:hint="cs"/>
          <w:sz w:val="28"/>
          <w:szCs w:val="28"/>
          <w:rtl/>
        </w:rPr>
        <w:t>-</w:t>
      </w:r>
      <w:r>
        <w:rPr>
          <w:rFonts w:ascii="FrankRuehl" w:hAnsi="FrankRuehl" w:cs="FrankRuehl"/>
          <w:sz w:val="28"/>
          <w:szCs w:val="28"/>
          <w:rtl/>
        </w:rPr>
        <w:t>1977</w:t>
      </w:r>
      <w:r>
        <w:rPr>
          <w:rFonts w:ascii="FrankRuehl" w:hAnsi="FrankRuehl" w:cs="FrankRuehl" w:hint="cs"/>
          <w:sz w:val="28"/>
          <w:szCs w:val="28"/>
          <w:rtl/>
        </w:rPr>
        <w:t xml:space="preserve"> </w:t>
      </w:r>
      <w:r>
        <w:rPr>
          <w:rFonts w:ascii="FrankRuehl" w:hAnsi="FrankRuehl" w:cs="FrankRuehl"/>
          <w:sz w:val="28"/>
          <w:szCs w:val="28"/>
          <w:rtl/>
        </w:rPr>
        <w:t>(להלן:</w:t>
      </w:r>
      <w:r>
        <w:rPr>
          <w:rFonts w:ascii="FrankRuehl" w:hAnsi="FrankRuehl" w:cs="FrankRuehl" w:hint="cs"/>
          <w:sz w:val="28"/>
          <w:szCs w:val="28"/>
          <w:rtl/>
        </w:rPr>
        <w:t xml:space="preserve"> </w:t>
      </w:r>
      <w:r>
        <w:rPr>
          <w:rFonts w:ascii="FrankRuehl" w:hAnsi="FrankRuehl" w:cs="FrankRuehl"/>
          <w:sz w:val="28"/>
          <w:szCs w:val="28"/>
          <w:rtl/>
        </w:rPr>
        <w:t xml:space="preserve">"החוק"); עבירה של פזיזות ורשלנות לפי </w:t>
      </w:r>
      <w:hyperlink r:id="rId17" w:history="1">
        <w:r w:rsidR="0054408E" w:rsidRPr="0054408E">
          <w:rPr>
            <w:rStyle w:val="Hyperlink"/>
            <w:rFonts w:ascii="FrankRuehl" w:hAnsi="FrankRuehl" w:cs="FrankRuehl"/>
            <w:sz w:val="28"/>
            <w:szCs w:val="28"/>
            <w:rtl/>
          </w:rPr>
          <w:t>סעיף 338(א)(3)</w:t>
        </w:r>
      </w:hyperlink>
      <w:r>
        <w:rPr>
          <w:rFonts w:ascii="FrankRuehl" w:hAnsi="FrankRuehl" w:cs="FrankRuehl"/>
          <w:sz w:val="28"/>
          <w:szCs w:val="28"/>
          <w:rtl/>
        </w:rPr>
        <w:t xml:space="preserve"> לחוק; ועבירה של ניסיון תקיפת שוטר בנסיבות מחמירות לפי </w:t>
      </w:r>
      <w:hyperlink r:id="rId18" w:history="1">
        <w:r w:rsidR="0054408E" w:rsidRPr="0054408E">
          <w:rPr>
            <w:rStyle w:val="Hyperlink"/>
            <w:rFonts w:ascii="FrankRuehl" w:hAnsi="FrankRuehl" w:cs="FrankRuehl"/>
            <w:sz w:val="28"/>
            <w:szCs w:val="28"/>
            <w:rtl/>
          </w:rPr>
          <w:t>סעיף 274(1)</w:t>
        </w:r>
      </w:hyperlink>
      <w:r>
        <w:rPr>
          <w:rFonts w:ascii="FrankRuehl" w:hAnsi="FrankRuehl" w:cs="FrankRuehl"/>
          <w:sz w:val="28"/>
          <w:szCs w:val="28"/>
          <w:rtl/>
        </w:rPr>
        <w:t xml:space="preserve">, </w:t>
      </w:r>
      <w:hyperlink r:id="rId19" w:history="1">
        <w:r w:rsidR="0054408E" w:rsidRPr="0054408E">
          <w:rPr>
            <w:rStyle w:val="Hyperlink"/>
            <w:rFonts w:ascii="FrankRuehl" w:hAnsi="FrankRuehl" w:cs="FrankRuehl"/>
            <w:sz w:val="28"/>
            <w:szCs w:val="28"/>
            <w:rtl/>
          </w:rPr>
          <w:t>274(2)</w:t>
        </w:r>
      </w:hyperlink>
      <w:r>
        <w:rPr>
          <w:rFonts w:ascii="FrankRuehl" w:hAnsi="FrankRuehl" w:cs="FrankRuehl"/>
          <w:sz w:val="28"/>
          <w:szCs w:val="28"/>
          <w:rtl/>
        </w:rPr>
        <w:t xml:space="preserve">, </w:t>
      </w:r>
      <w:hyperlink r:id="rId20" w:history="1">
        <w:r w:rsidR="0054408E" w:rsidRPr="0054408E">
          <w:rPr>
            <w:rStyle w:val="Hyperlink"/>
            <w:rFonts w:ascii="FrankRuehl" w:hAnsi="FrankRuehl" w:cs="FrankRuehl"/>
            <w:sz w:val="28"/>
            <w:szCs w:val="28"/>
            <w:rtl/>
          </w:rPr>
          <w:t>274(3)</w:t>
        </w:r>
      </w:hyperlink>
      <w:r>
        <w:rPr>
          <w:rFonts w:ascii="FrankRuehl" w:hAnsi="FrankRuehl" w:cs="FrankRuehl"/>
          <w:sz w:val="28"/>
          <w:szCs w:val="28"/>
          <w:rtl/>
        </w:rPr>
        <w:t xml:space="preserve"> בצירוף </w:t>
      </w:r>
      <w:hyperlink r:id="rId21" w:history="1">
        <w:r w:rsidR="0054408E" w:rsidRPr="0054408E">
          <w:rPr>
            <w:rStyle w:val="Hyperlink"/>
            <w:rFonts w:ascii="FrankRuehl" w:hAnsi="FrankRuehl" w:cs="FrankRuehl"/>
            <w:sz w:val="28"/>
            <w:szCs w:val="28"/>
            <w:rtl/>
          </w:rPr>
          <w:t>סעיף 25</w:t>
        </w:r>
      </w:hyperlink>
      <w:r>
        <w:rPr>
          <w:rFonts w:ascii="FrankRuehl" w:hAnsi="FrankRuehl" w:cs="FrankRuehl"/>
          <w:sz w:val="28"/>
          <w:szCs w:val="28"/>
          <w:rtl/>
        </w:rPr>
        <w:t xml:space="preserve"> לחוק. באישום השני, עבירה של ייצור נשק לפי </w:t>
      </w:r>
      <w:hyperlink r:id="rId22" w:history="1">
        <w:r w:rsidR="0054408E" w:rsidRPr="0054408E">
          <w:rPr>
            <w:rStyle w:val="Hyperlink"/>
            <w:rFonts w:ascii="FrankRuehl" w:hAnsi="FrankRuehl" w:cs="FrankRuehl"/>
            <w:sz w:val="28"/>
            <w:szCs w:val="28"/>
            <w:rtl/>
          </w:rPr>
          <w:t>סעיף 144(ב2)</w:t>
        </w:r>
      </w:hyperlink>
      <w:r>
        <w:rPr>
          <w:rFonts w:ascii="FrankRuehl" w:hAnsi="FrankRuehl" w:cs="FrankRuehl"/>
          <w:sz w:val="28"/>
          <w:szCs w:val="28"/>
          <w:rtl/>
        </w:rPr>
        <w:t xml:space="preserve"> לחוק.</w:t>
      </w:r>
      <w:bookmarkStart w:id="7" w:name="ABSTRACT_END"/>
      <w:bookmarkEnd w:id="7"/>
    </w:p>
    <w:p w14:paraId="14FDE31C" w14:textId="77777777" w:rsidR="00FE62E5" w:rsidRDefault="00FE62E5" w:rsidP="00FE62E5">
      <w:pPr>
        <w:spacing w:line="360" w:lineRule="auto"/>
        <w:jc w:val="both"/>
        <w:rPr>
          <w:rFonts w:ascii="FrankRuehl" w:hAnsi="FrankRuehl" w:cs="FrankRuehl"/>
          <w:sz w:val="28"/>
          <w:szCs w:val="28"/>
          <w:rtl/>
        </w:rPr>
      </w:pPr>
    </w:p>
    <w:p w14:paraId="6AFE6BDB"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2.</w:t>
      </w:r>
      <w:r>
        <w:rPr>
          <w:rFonts w:ascii="FrankRuehl" w:hAnsi="FrankRuehl" w:cs="FrankRuehl" w:hint="cs"/>
          <w:sz w:val="28"/>
          <w:szCs w:val="28"/>
          <w:rtl/>
        </w:rPr>
        <w:tab/>
        <w:t xml:space="preserve">שני האישומים אירעו </w:t>
      </w:r>
      <w:r>
        <w:rPr>
          <w:rFonts w:ascii="FrankRuehl" w:hAnsi="FrankRuehl" w:cs="FrankRuehl"/>
          <w:sz w:val="28"/>
          <w:szCs w:val="28"/>
          <w:rtl/>
        </w:rPr>
        <w:t>במהלך חודש הרמד</w:t>
      </w:r>
      <w:r>
        <w:rPr>
          <w:rFonts w:ascii="FrankRuehl" w:hAnsi="FrankRuehl" w:cs="FrankRuehl" w:hint="cs"/>
          <w:sz w:val="28"/>
          <w:szCs w:val="28"/>
          <w:rtl/>
        </w:rPr>
        <w:t>א</w:t>
      </w:r>
      <w:r>
        <w:rPr>
          <w:rFonts w:ascii="FrankRuehl" w:hAnsi="FrankRuehl" w:cs="FrankRuehl"/>
          <w:sz w:val="28"/>
          <w:szCs w:val="28"/>
          <w:rtl/>
        </w:rPr>
        <w:t xml:space="preserve">ן 2021, </w:t>
      </w:r>
      <w:r>
        <w:rPr>
          <w:rFonts w:ascii="FrankRuehl" w:hAnsi="FrankRuehl" w:cs="FrankRuehl" w:hint="cs"/>
          <w:sz w:val="28"/>
          <w:szCs w:val="28"/>
          <w:rtl/>
        </w:rPr>
        <w:t xml:space="preserve">במסגרתו </w:t>
      </w:r>
      <w:r>
        <w:rPr>
          <w:rFonts w:ascii="FrankRuehl" w:hAnsi="FrankRuehl" w:cs="FrankRuehl"/>
          <w:sz w:val="28"/>
          <w:szCs w:val="28"/>
          <w:rtl/>
        </w:rPr>
        <w:t>התרחשו ברחבי הארץ ובייחוד בירושלים, התפרעויות ותקיפות שכללו אלימות זריקת אבנים וחפצים לעבר אנשים וכלי רכב בעלי חזות או סממנים יהודיים, מתוך מניע גזעני, כמו גם התפרעויות ותקיפות על רקע לאומני נגד כוחות המשטרה והביטחון</w:t>
      </w:r>
      <w:r>
        <w:rPr>
          <w:rFonts w:ascii="FrankRuehl" w:hAnsi="FrankRuehl" w:cs="FrankRuehl" w:hint="cs"/>
          <w:sz w:val="28"/>
          <w:szCs w:val="28"/>
          <w:rtl/>
        </w:rPr>
        <w:t>. האישומים גם אירעו במהלך המבצע הצבאי "שומר החומות" שה</w:t>
      </w:r>
      <w:r>
        <w:rPr>
          <w:rFonts w:ascii="FrankRuehl" w:hAnsi="FrankRuehl" w:cs="FrankRuehl"/>
          <w:sz w:val="28"/>
          <w:szCs w:val="28"/>
          <w:rtl/>
        </w:rPr>
        <w:t xml:space="preserve">חל </w:t>
      </w:r>
      <w:r>
        <w:rPr>
          <w:rFonts w:ascii="FrankRuehl" w:hAnsi="FrankRuehl" w:cs="FrankRuehl" w:hint="cs"/>
          <w:sz w:val="28"/>
          <w:szCs w:val="28"/>
          <w:rtl/>
        </w:rPr>
        <w:t>ב</w:t>
      </w:r>
      <w:r>
        <w:rPr>
          <w:rFonts w:ascii="FrankRuehl" w:hAnsi="FrankRuehl" w:cs="FrankRuehl"/>
          <w:sz w:val="28"/>
          <w:szCs w:val="28"/>
          <w:rtl/>
        </w:rPr>
        <w:t xml:space="preserve">יום 10.05.21 לאחר ירי רקטות מסיבי לעבר אזור ירושלים, המרכז ועוטף עזה, </w:t>
      </w:r>
      <w:r>
        <w:rPr>
          <w:rFonts w:ascii="FrankRuehl" w:hAnsi="FrankRuehl" w:cs="FrankRuehl" w:hint="cs"/>
          <w:sz w:val="28"/>
          <w:szCs w:val="28"/>
          <w:rtl/>
        </w:rPr>
        <w:t xml:space="preserve">ובמהלכו </w:t>
      </w:r>
      <w:r>
        <w:rPr>
          <w:rFonts w:ascii="FrankRuehl" w:hAnsi="FrankRuehl" w:cs="FrankRuehl"/>
          <w:sz w:val="28"/>
          <w:szCs w:val="28"/>
          <w:rtl/>
        </w:rPr>
        <w:t xml:space="preserve">המשיכו הפרות </w:t>
      </w:r>
      <w:r>
        <w:rPr>
          <w:rFonts w:ascii="FrankRuehl" w:hAnsi="FrankRuehl" w:cs="FrankRuehl" w:hint="cs"/>
          <w:sz w:val="28"/>
          <w:szCs w:val="28"/>
          <w:rtl/>
        </w:rPr>
        <w:t>ה</w:t>
      </w:r>
      <w:r>
        <w:rPr>
          <w:rFonts w:ascii="FrankRuehl" w:hAnsi="FrankRuehl" w:cs="FrankRuehl"/>
          <w:sz w:val="28"/>
          <w:szCs w:val="28"/>
          <w:rtl/>
        </w:rPr>
        <w:t>סדר ברחבי הארץ ובירושלים</w:t>
      </w:r>
      <w:r>
        <w:rPr>
          <w:rFonts w:ascii="FrankRuehl" w:hAnsi="FrankRuehl" w:cs="FrankRuehl" w:hint="cs"/>
          <w:sz w:val="28"/>
          <w:szCs w:val="28"/>
          <w:rtl/>
        </w:rPr>
        <w:t>.</w:t>
      </w:r>
    </w:p>
    <w:p w14:paraId="3D7CA3B9" w14:textId="77777777" w:rsidR="00FE62E5" w:rsidRDefault="00FE62E5" w:rsidP="00FE62E5">
      <w:pPr>
        <w:spacing w:line="360" w:lineRule="auto"/>
        <w:jc w:val="both"/>
        <w:rPr>
          <w:rFonts w:ascii="FrankRuehl" w:hAnsi="FrankRuehl" w:cs="FrankRuehl"/>
          <w:sz w:val="28"/>
          <w:szCs w:val="28"/>
          <w:u w:val="single"/>
          <w:rtl/>
        </w:rPr>
      </w:pPr>
    </w:p>
    <w:p w14:paraId="71A1D116"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Pr>
          <w:rFonts w:ascii="FrankRuehl" w:hAnsi="FrankRuehl" w:cs="FrankRuehl"/>
          <w:sz w:val="28"/>
          <w:szCs w:val="28"/>
          <w:rtl/>
        </w:rPr>
        <w:t xml:space="preserve">לפי </w:t>
      </w:r>
      <w:r>
        <w:rPr>
          <w:rFonts w:ascii="FrankRuehl" w:hAnsi="FrankRuehl" w:cs="FrankRuehl" w:hint="cs"/>
          <w:sz w:val="28"/>
          <w:szCs w:val="28"/>
          <w:rtl/>
        </w:rPr>
        <w:t>המתואר ב</w:t>
      </w:r>
      <w:r>
        <w:rPr>
          <w:rFonts w:ascii="FrankRuehl" w:hAnsi="FrankRuehl" w:cs="FrankRuehl"/>
          <w:sz w:val="28"/>
          <w:szCs w:val="28"/>
          <w:rtl/>
        </w:rPr>
        <w:t>כתב האישום המתוקן</w:t>
      </w:r>
      <w:r>
        <w:rPr>
          <w:rFonts w:ascii="FrankRuehl" w:hAnsi="FrankRuehl" w:cs="FrankRuehl" w:hint="cs"/>
          <w:sz w:val="28"/>
          <w:szCs w:val="28"/>
          <w:rtl/>
        </w:rPr>
        <w:t>,</w:t>
      </w:r>
      <w:r>
        <w:rPr>
          <w:rFonts w:ascii="FrankRuehl" w:hAnsi="FrankRuehl" w:cs="FrankRuehl"/>
          <w:sz w:val="28"/>
          <w:szCs w:val="28"/>
          <w:rtl/>
        </w:rPr>
        <w:t xml:space="preserve"> ביום 12.05.21 בשעות הערב, שהה הנאשם בסמוך לביתו במחנה הפליטים שועפט</w:t>
      </w:r>
      <w:r>
        <w:rPr>
          <w:rFonts w:ascii="FrankRuehl" w:hAnsi="FrankRuehl" w:cs="FrankRuehl" w:hint="cs"/>
          <w:sz w:val="28"/>
          <w:szCs w:val="28"/>
          <w:rtl/>
        </w:rPr>
        <w:t xml:space="preserve"> </w:t>
      </w:r>
      <w:r>
        <w:rPr>
          <w:rFonts w:ascii="FrankRuehl" w:hAnsi="FrankRuehl" w:cs="FrankRuehl"/>
          <w:sz w:val="28"/>
          <w:szCs w:val="28"/>
          <w:rtl/>
        </w:rPr>
        <w:t>(להלן:</w:t>
      </w:r>
      <w:r>
        <w:rPr>
          <w:rFonts w:ascii="FrankRuehl" w:hAnsi="FrankRuehl" w:cs="FrankRuehl" w:hint="cs"/>
          <w:sz w:val="28"/>
          <w:szCs w:val="28"/>
          <w:rtl/>
        </w:rPr>
        <w:t xml:space="preserve"> </w:t>
      </w:r>
      <w:r>
        <w:rPr>
          <w:rFonts w:ascii="FrankRuehl" w:hAnsi="FrankRuehl" w:cs="FrankRuehl"/>
          <w:sz w:val="28"/>
          <w:szCs w:val="28"/>
          <w:rtl/>
        </w:rPr>
        <w:t>"המחנה"). הנאשם שמע קולות שהעידו, כי במחסום המשטרתי בכניסה למחנה, הסמוך לביתו, התקיימו עימותים עם כוחות הביטחון. נוכח האמור, גמלה בליבו החלטה, להצטרף לעימותים.</w:t>
      </w:r>
      <w:r>
        <w:rPr>
          <w:rFonts w:ascii="FrankRuehl" w:hAnsi="FrankRuehl" w:cs="FrankRuehl" w:hint="cs"/>
          <w:sz w:val="28"/>
          <w:szCs w:val="28"/>
          <w:rtl/>
        </w:rPr>
        <w:t xml:space="preserve"> </w:t>
      </w:r>
      <w:r>
        <w:rPr>
          <w:rFonts w:ascii="FrankRuehl" w:hAnsi="FrankRuehl" w:cs="FrankRuehl"/>
          <w:sz w:val="28"/>
          <w:szCs w:val="28"/>
          <w:rtl/>
        </w:rPr>
        <w:t>הנאשם הלך לעבר המחסום והבחין בעשרות רעולי פנים שהתפרעו, יידו אבנים וירו זיקוקים לעבר השוטרים שעמדו בעמדה במחסום. או אז, הוא יידה מספר אבנים לעבר כוחות הב</w:t>
      </w:r>
      <w:r>
        <w:rPr>
          <w:rFonts w:ascii="FrankRuehl" w:hAnsi="FrankRuehl" w:cs="FrankRuehl" w:hint="cs"/>
          <w:sz w:val="28"/>
          <w:szCs w:val="28"/>
          <w:rtl/>
        </w:rPr>
        <w:t>י</w:t>
      </w:r>
      <w:r>
        <w:rPr>
          <w:rFonts w:ascii="FrankRuehl" w:hAnsi="FrankRuehl" w:cs="FrankRuehl"/>
          <w:sz w:val="28"/>
          <w:szCs w:val="28"/>
          <w:rtl/>
        </w:rPr>
        <w:t>טחון, ממרחק של כ-15 מטרים.</w:t>
      </w:r>
      <w:r>
        <w:rPr>
          <w:rFonts w:ascii="FrankRuehl" w:hAnsi="FrankRuehl" w:cs="FrankRuehl" w:hint="cs"/>
          <w:sz w:val="28"/>
          <w:szCs w:val="28"/>
          <w:rtl/>
        </w:rPr>
        <w:t xml:space="preserve"> </w:t>
      </w:r>
      <w:r>
        <w:rPr>
          <w:rFonts w:ascii="FrankRuehl" w:hAnsi="FrankRuehl" w:cs="FrankRuehl"/>
          <w:sz w:val="28"/>
          <w:szCs w:val="28"/>
          <w:rtl/>
        </w:rPr>
        <w:t>בהמשך, הגיע להתפרעות א</w:t>
      </w:r>
      <w:r>
        <w:rPr>
          <w:rFonts w:ascii="FrankRuehl" w:hAnsi="FrankRuehl" w:cs="FrankRuehl" w:hint="cs"/>
          <w:sz w:val="28"/>
          <w:szCs w:val="28"/>
          <w:rtl/>
        </w:rPr>
        <w:t>דם נוסף ש</w:t>
      </w:r>
      <w:r>
        <w:rPr>
          <w:rFonts w:ascii="FrankRuehl" w:hAnsi="FrankRuehl" w:cs="FrankRuehl"/>
          <w:sz w:val="28"/>
          <w:szCs w:val="28"/>
          <w:rtl/>
        </w:rPr>
        <w:t xml:space="preserve">החל לחלק זיקוקים למתפרעים. הנאשם לקח </w:t>
      </w:r>
      <w:r>
        <w:rPr>
          <w:rFonts w:ascii="FrankRuehl" w:hAnsi="FrankRuehl" w:cs="FrankRuehl" w:hint="cs"/>
          <w:sz w:val="28"/>
          <w:szCs w:val="28"/>
          <w:rtl/>
        </w:rPr>
        <w:t xml:space="preserve">מאותו אדם </w:t>
      </w:r>
      <w:r>
        <w:rPr>
          <w:rFonts w:ascii="FrankRuehl" w:hAnsi="FrankRuehl" w:cs="FrankRuehl"/>
          <w:sz w:val="28"/>
          <w:szCs w:val="28"/>
          <w:rtl/>
        </w:rPr>
        <w:t>זיקוקים, הצית זיקוק וירה אותו לעבר כוחות הביטחון ממרחק של כ-15 מטרים</w:t>
      </w:r>
      <w:r>
        <w:rPr>
          <w:rFonts w:ascii="FrankRuehl" w:hAnsi="FrankRuehl" w:cs="FrankRuehl" w:hint="cs"/>
          <w:sz w:val="28"/>
          <w:szCs w:val="28"/>
          <w:rtl/>
        </w:rPr>
        <w:t xml:space="preserve"> (להלן: האישום הראשון")</w:t>
      </w:r>
      <w:r>
        <w:rPr>
          <w:rFonts w:ascii="FrankRuehl" w:hAnsi="FrankRuehl" w:cs="FrankRuehl"/>
          <w:sz w:val="28"/>
          <w:szCs w:val="28"/>
          <w:rtl/>
        </w:rPr>
        <w:t xml:space="preserve">. </w:t>
      </w:r>
    </w:p>
    <w:p w14:paraId="67DF33DF" w14:textId="77777777" w:rsidR="00FE62E5" w:rsidRDefault="00FE62E5" w:rsidP="00FE62E5">
      <w:pPr>
        <w:spacing w:line="360" w:lineRule="auto"/>
        <w:jc w:val="both"/>
        <w:rPr>
          <w:rFonts w:ascii="FrankRuehl" w:hAnsi="FrankRuehl" w:cs="FrankRuehl"/>
          <w:sz w:val="28"/>
          <w:szCs w:val="28"/>
          <w:rtl/>
        </w:rPr>
      </w:pPr>
    </w:p>
    <w:p w14:paraId="78D5EE04"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 xml:space="preserve">בנוסף, </w:t>
      </w:r>
      <w:r>
        <w:rPr>
          <w:rFonts w:ascii="FrankRuehl" w:hAnsi="FrankRuehl" w:cs="FrankRuehl"/>
          <w:sz w:val="28"/>
          <w:szCs w:val="28"/>
          <w:rtl/>
        </w:rPr>
        <w:t>ביום 18.05.21 בשעות הצהריים, החליטו הנאשם ואחרים להכין מספר בקבוקי תבערה כדי ליידות אותם בעימותים. הנאשם והאחרים התכנסו בבית הספר "אלוקאלה" במחנה, אספו מספר בקבוקי זכוכית מילאו אותם בבנזין וה</w:t>
      </w:r>
      <w:r>
        <w:rPr>
          <w:rFonts w:ascii="FrankRuehl" w:hAnsi="FrankRuehl" w:cs="FrankRuehl" w:hint="cs"/>
          <w:sz w:val="28"/>
          <w:szCs w:val="28"/>
          <w:rtl/>
        </w:rPr>
        <w:t>כ</w:t>
      </w:r>
      <w:r>
        <w:rPr>
          <w:rFonts w:ascii="FrankRuehl" w:hAnsi="FrankRuehl" w:cs="FrankRuehl"/>
          <w:sz w:val="28"/>
          <w:szCs w:val="28"/>
          <w:rtl/>
        </w:rPr>
        <w:t>ניסו לתוכם פיסות סמרטוטים, וכך ייצרו בקבוקי תבערה.</w:t>
      </w:r>
      <w:r>
        <w:rPr>
          <w:rFonts w:ascii="FrankRuehl" w:hAnsi="FrankRuehl" w:cs="FrankRuehl" w:hint="cs"/>
          <w:sz w:val="28"/>
          <w:szCs w:val="28"/>
          <w:rtl/>
        </w:rPr>
        <w:t xml:space="preserve"> </w:t>
      </w:r>
      <w:r>
        <w:rPr>
          <w:rFonts w:ascii="FrankRuehl" w:hAnsi="FrankRuehl" w:cs="FrankRuehl"/>
          <w:sz w:val="28"/>
          <w:szCs w:val="28"/>
          <w:rtl/>
        </w:rPr>
        <w:t>בהמשך אותו היום, בשעות הערב, החלה התפרעות כנגד שוטרים בכניסה למחנה, בה ייודו בקבוקי התעברה אותם ייצרו הנאשם והאחרים, לעבר כוחות הביטחון.</w:t>
      </w:r>
    </w:p>
    <w:p w14:paraId="421900E5" w14:textId="77777777" w:rsidR="00FE62E5" w:rsidRDefault="00FE62E5" w:rsidP="00FE62E5">
      <w:pPr>
        <w:spacing w:line="360" w:lineRule="auto"/>
        <w:jc w:val="both"/>
        <w:rPr>
          <w:rFonts w:ascii="FrankRuehl" w:hAnsi="FrankRuehl" w:cs="FrankRuehl"/>
          <w:b/>
          <w:bCs/>
          <w:sz w:val="28"/>
          <w:szCs w:val="28"/>
          <w:u w:val="single"/>
          <w:rtl/>
        </w:rPr>
      </w:pPr>
    </w:p>
    <w:p w14:paraId="54442B54" w14:textId="77777777" w:rsidR="00FE62E5" w:rsidRDefault="00FE62E5" w:rsidP="00FE62E5">
      <w:pPr>
        <w:spacing w:line="360" w:lineRule="auto"/>
        <w:jc w:val="both"/>
        <w:rPr>
          <w:rFonts w:ascii="David" w:hAnsi="David"/>
          <w:b/>
          <w:bCs/>
          <w:u w:val="single"/>
          <w:rtl/>
        </w:rPr>
      </w:pPr>
      <w:r>
        <w:rPr>
          <w:rFonts w:ascii="FrankRuehl" w:hAnsi="FrankRuehl" w:cs="FrankRuehl"/>
          <w:b/>
          <w:bCs/>
          <w:sz w:val="28"/>
          <w:szCs w:val="28"/>
          <w:u w:val="single"/>
          <w:rtl/>
        </w:rPr>
        <w:t>הטיעונים לעונש</w:t>
      </w:r>
      <w:r>
        <w:rPr>
          <w:rFonts w:ascii="David" w:hAnsi="David"/>
          <w:b/>
          <w:bCs/>
          <w:u w:val="single"/>
          <w:rtl/>
        </w:rPr>
        <w:t xml:space="preserve"> </w:t>
      </w:r>
    </w:p>
    <w:p w14:paraId="563F230F"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t>ב"כ המאשימה עמד על הערכים המוגנים בעבירות בהן הורשע הנאשם וכן על נסיבות ביצוע העבירות, בכללן הנזק שיכול היה להיגרם ממעשים אלו והפגיעה הקשה בסדר הציבורי. בין הנסיבות הדורשות החמרה בענישה הוא הצביע על כך ש</w:t>
      </w:r>
      <w:r>
        <w:rPr>
          <w:rFonts w:ascii="FrankRuehl" w:hAnsi="FrankRuehl" w:cs="FrankRuehl"/>
          <w:sz w:val="28"/>
          <w:szCs w:val="28"/>
          <w:rtl/>
        </w:rPr>
        <w:t xml:space="preserve">שני האירועים </w:t>
      </w:r>
      <w:r>
        <w:rPr>
          <w:rFonts w:ascii="FrankRuehl" w:hAnsi="FrankRuehl" w:cs="FrankRuehl" w:hint="cs"/>
          <w:sz w:val="28"/>
          <w:szCs w:val="28"/>
          <w:rtl/>
        </w:rPr>
        <w:t xml:space="preserve">בהם הורשע </w:t>
      </w:r>
      <w:r>
        <w:rPr>
          <w:rFonts w:ascii="FrankRuehl" w:hAnsi="FrankRuehl" w:cs="FrankRuehl"/>
          <w:sz w:val="28"/>
          <w:szCs w:val="28"/>
          <w:rtl/>
        </w:rPr>
        <w:t>הנאשם, אירעו במהלך מבצע שומר החומות</w:t>
      </w:r>
      <w:r>
        <w:rPr>
          <w:rFonts w:ascii="FrankRuehl" w:hAnsi="FrankRuehl" w:cs="FrankRuehl" w:hint="cs"/>
          <w:sz w:val="28"/>
          <w:szCs w:val="28"/>
          <w:rtl/>
        </w:rPr>
        <w:t xml:space="preserve">, ועל כך שמדובר במכת מדינה, בעיקר מכת עיר, ובפרט בשכונה בה בוצעו העבירות. </w:t>
      </w:r>
    </w:p>
    <w:p w14:paraId="4F30E5B8" w14:textId="77777777" w:rsidR="00FE62E5" w:rsidRDefault="00FE62E5" w:rsidP="00FE62E5">
      <w:pPr>
        <w:spacing w:line="360" w:lineRule="auto"/>
        <w:jc w:val="both"/>
        <w:rPr>
          <w:rFonts w:ascii="FrankRuehl" w:hAnsi="FrankRuehl" w:cs="FrankRuehl"/>
          <w:sz w:val="28"/>
          <w:szCs w:val="28"/>
          <w:rtl/>
        </w:rPr>
      </w:pPr>
    </w:p>
    <w:p w14:paraId="21E99392"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6.</w:t>
      </w:r>
      <w:r>
        <w:rPr>
          <w:rFonts w:ascii="FrankRuehl" w:hAnsi="FrankRuehl" w:cs="FrankRuehl" w:hint="cs"/>
          <w:sz w:val="28"/>
          <w:szCs w:val="28"/>
          <w:rtl/>
        </w:rPr>
        <w:tab/>
        <w:t>לטענת המאשימה, מדובר ב</w:t>
      </w:r>
      <w:r>
        <w:rPr>
          <w:rFonts w:ascii="FrankRuehl" w:hAnsi="FrankRuehl" w:cs="FrankRuehl"/>
          <w:sz w:val="28"/>
          <w:szCs w:val="28"/>
          <w:rtl/>
        </w:rPr>
        <w:t>אישומים נפרדים, השונים באופיים</w:t>
      </w:r>
      <w:r>
        <w:rPr>
          <w:rFonts w:ascii="FrankRuehl" w:hAnsi="FrankRuehl" w:cs="FrankRuehl" w:hint="cs"/>
          <w:sz w:val="28"/>
          <w:szCs w:val="28"/>
          <w:rtl/>
        </w:rPr>
        <w:t xml:space="preserve">, ועל כן יש לקבוע מתחם נפרד לכל אחד מהם. במסגרת זו הוא עתר למתחם עונש הולם הנע מ-12 ועד 24 חודשים באישום הראשון, ומ-30 עד 50 באישום השני, לצד עונשים נלווים. ב"כ המאשימה תמך את טיעוניו בפסיקה. </w:t>
      </w:r>
    </w:p>
    <w:p w14:paraId="18CF05B5" w14:textId="77777777" w:rsidR="00FE62E5" w:rsidRDefault="00FE62E5" w:rsidP="00FE62E5">
      <w:pPr>
        <w:spacing w:line="360" w:lineRule="auto"/>
        <w:jc w:val="both"/>
        <w:rPr>
          <w:rFonts w:ascii="FrankRuehl" w:hAnsi="FrankRuehl" w:cs="FrankRuehl"/>
          <w:sz w:val="28"/>
          <w:szCs w:val="28"/>
          <w:rtl/>
        </w:rPr>
      </w:pPr>
    </w:p>
    <w:p w14:paraId="591AB709" w14:textId="77777777" w:rsidR="00FE62E5" w:rsidRDefault="00FE62E5" w:rsidP="00FE62E5">
      <w:pPr>
        <w:spacing w:line="360" w:lineRule="auto"/>
        <w:jc w:val="both"/>
        <w:rPr>
          <w:rFonts w:ascii="David" w:hAnsi="David"/>
          <w:rtl/>
        </w:rPr>
      </w:pPr>
      <w:r>
        <w:rPr>
          <w:rFonts w:ascii="FrankRuehl" w:hAnsi="FrankRuehl" w:cs="FrankRuehl" w:hint="cs"/>
          <w:sz w:val="28"/>
          <w:szCs w:val="28"/>
          <w:rtl/>
        </w:rPr>
        <w:t>7.</w:t>
      </w:r>
      <w:r>
        <w:rPr>
          <w:rFonts w:ascii="FrankRuehl" w:hAnsi="FrankRuehl" w:cs="FrankRuehl" w:hint="cs"/>
          <w:sz w:val="28"/>
          <w:szCs w:val="28"/>
          <w:rtl/>
        </w:rPr>
        <w:tab/>
        <w:t xml:space="preserve">באשר לעונשו של הנאשם בתוך המתחמים, ציין ב"כ המאשימה לחובתו את עברו הפלילי הרלוונטי של הנאשם, ומאידך, לזכותו, את הודאתו במיוחס לו. בשל כך, נתבקש לגזור את עונשו </w:t>
      </w:r>
      <w:r>
        <w:rPr>
          <w:rFonts w:ascii="FrankRuehl" w:hAnsi="FrankRuehl" w:cs="FrankRuehl"/>
          <w:sz w:val="28"/>
          <w:szCs w:val="28"/>
          <w:rtl/>
        </w:rPr>
        <w:t xml:space="preserve">בשליש התחתון של המתחמים. ב"כ המאשימה, </w:t>
      </w:r>
      <w:r>
        <w:rPr>
          <w:rFonts w:ascii="FrankRuehl" w:hAnsi="FrankRuehl" w:cs="FrankRuehl" w:hint="cs"/>
          <w:sz w:val="28"/>
          <w:szCs w:val="28"/>
          <w:rtl/>
        </w:rPr>
        <w:t xml:space="preserve">עתר אפוא לעונש של </w:t>
      </w:r>
      <w:r>
        <w:rPr>
          <w:rFonts w:ascii="FrankRuehl" w:hAnsi="FrankRuehl" w:cs="FrankRuehl"/>
          <w:sz w:val="28"/>
          <w:szCs w:val="28"/>
          <w:rtl/>
        </w:rPr>
        <w:t>14 חודשי מאסר ו</w:t>
      </w:r>
      <w:r>
        <w:rPr>
          <w:rFonts w:ascii="FrankRuehl" w:hAnsi="FrankRuehl" w:cs="FrankRuehl" w:hint="cs"/>
          <w:sz w:val="28"/>
          <w:szCs w:val="28"/>
          <w:rtl/>
        </w:rPr>
        <w:t>בגין האישום הראשון ושל</w:t>
      </w:r>
      <w:r>
        <w:rPr>
          <w:rFonts w:ascii="FrankRuehl" w:hAnsi="FrankRuehl" w:cs="FrankRuehl"/>
          <w:sz w:val="28"/>
          <w:szCs w:val="28"/>
          <w:rtl/>
        </w:rPr>
        <w:t xml:space="preserve"> 36 חודשי מאסר</w:t>
      </w:r>
      <w:r>
        <w:rPr>
          <w:rFonts w:ascii="FrankRuehl" w:hAnsi="FrankRuehl" w:cs="FrankRuehl" w:hint="cs"/>
          <w:sz w:val="28"/>
          <w:szCs w:val="28"/>
          <w:rtl/>
        </w:rPr>
        <w:t xml:space="preserve"> בגין האישום השני, ולאחר חפיפה מסוימת ביניהם להשית עליו עונש של </w:t>
      </w:r>
      <w:r>
        <w:rPr>
          <w:rFonts w:ascii="FrankRuehl" w:hAnsi="FrankRuehl" w:cs="FrankRuehl"/>
          <w:sz w:val="28"/>
          <w:szCs w:val="28"/>
          <w:rtl/>
        </w:rPr>
        <w:t>42 חודשי</w:t>
      </w:r>
      <w:r>
        <w:rPr>
          <w:rFonts w:ascii="FrankRuehl" w:hAnsi="FrankRuehl" w:cs="FrankRuehl" w:hint="cs"/>
          <w:sz w:val="28"/>
          <w:szCs w:val="28"/>
          <w:rtl/>
        </w:rPr>
        <w:t xml:space="preserve"> מאסר, לצד </w:t>
      </w:r>
      <w:r>
        <w:rPr>
          <w:rFonts w:ascii="FrankRuehl" w:hAnsi="FrankRuehl" w:cs="FrankRuehl"/>
          <w:sz w:val="28"/>
          <w:szCs w:val="28"/>
          <w:rtl/>
        </w:rPr>
        <w:t xml:space="preserve">מאסר על תנאי וקנס. </w:t>
      </w:r>
    </w:p>
    <w:p w14:paraId="70ECBCA4" w14:textId="77777777" w:rsidR="00FE62E5" w:rsidRDefault="00FE62E5" w:rsidP="00FE62E5">
      <w:pPr>
        <w:spacing w:line="360" w:lineRule="auto"/>
        <w:jc w:val="both"/>
        <w:rPr>
          <w:rFonts w:ascii="FrankRuehl" w:hAnsi="FrankRuehl" w:cs="FrankRuehl"/>
          <w:sz w:val="28"/>
          <w:szCs w:val="28"/>
          <w:rtl/>
        </w:rPr>
      </w:pPr>
    </w:p>
    <w:p w14:paraId="450DE0C1"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Pr>
          <w:rFonts w:ascii="FrankRuehl" w:hAnsi="FrankRuehl" w:cs="FrankRuehl"/>
          <w:sz w:val="28"/>
          <w:szCs w:val="28"/>
          <w:rtl/>
        </w:rPr>
        <w:t xml:space="preserve">מנגד, </w:t>
      </w:r>
      <w:r>
        <w:rPr>
          <w:rFonts w:ascii="FrankRuehl" w:hAnsi="FrankRuehl" w:cs="FrankRuehl" w:hint="cs"/>
          <w:sz w:val="28"/>
          <w:szCs w:val="28"/>
          <w:rtl/>
        </w:rPr>
        <w:t xml:space="preserve">עמדה </w:t>
      </w:r>
      <w:r>
        <w:rPr>
          <w:rFonts w:ascii="FrankRuehl" w:hAnsi="FrankRuehl" w:cs="FrankRuehl"/>
          <w:sz w:val="28"/>
          <w:szCs w:val="28"/>
          <w:rtl/>
        </w:rPr>
        <w:t xml:space="preserve">ב"כ הנאשם </w:t>
      </w:r>
      <w:r>
        <w:rPr>
          <w:rFonts w:ascii="FrankRuehl" w:hAnsi="FrankRuehl" w:cs="FrankRuehl" w:hint="cs"/>
          <w:sz w:val="28"/>
          <w:szCs w:val="28"/>
          <w:rtl/>
        </w:rPr>
        <w:t>על כך ש</w:t>
      </w:r>
      <w:r>
        <w:rPr>
          <w:rFonts w:ascii="FrankRuehl" w:hAnsi="FrankRuehl" w:cs="FrankRuehl"/>
          <w:sz w:val="28"/>
          <w:szCs w:val="28"/>
          <w:rtl/>
        </w:rPr>
        <w:t xml:space="preserve">הנאשם לא </w:t>
      </w:r>
      <w:r>
        <w:rPr>
          <w:rFonts w:ascii="FrankRuehl" w:hAnsi="FrankRuehl" w:cs="FrankRuehl" w:hint="cs"/>
          <w:sz w:val="28"/>
          <w:szCs w:val="28"/>
          <w:rtl/>
        </w:rPr>
        <w:t xml:space="preserve">היה ממתכנני האירוע שבאישום הראשון. הוא </w:t>
      </w:r>
      <w:r>
        <w:rPr>
          <w:rFonts w:ascii="FrankRuehl" w:hAnsi="FrankRuehl" w:cs="FrankRuehl"/>
          <w:sz w:val="28"/>
          <w:szCs w:val="28"/>
          <w:rtl/>
        </w:rPr>
        <w:t>שמע קולות ויצא לה</w:t>
      </w:r>
      <w:r>
        <w:rPr>
          <w:rFonts w:ascii="FrankRuehl" w:hAnsi="FrankRuehl" w:cs="FrankRuehl" w:hint="cs"/>
          <w:sz w:val="28"/>
          <w:szCs w:val="28"/>
          <w:rtl/>
        </w:rPr>
        <w:t xml:space="preserve">צטרף אל המשתתפים </w:t>
      </w:r>
      <w:r>
        <w:rPr>
          <w:rFonts w:ascii="FrankRuehl" w:hAnsi="FrankRuehl" w:cs="FrankRuehl"/>
          <w:sz w:val="28"/>
          <w:szCs w:val="28"/>
          <w:rtl/>
        </w:rPr>
        <w:t>בעימותים</w:t>
      </w:r>
      <w:r>
        <w:rPr>
          <w:rFonts w:ascii="FrankRuehl" w:hAnsi="FrankRuehl" w:cs="FrankRuehl" w:hint="cs"/>
          <w:sz w:val="28"/>
          <w:szCs w:val="28"/>
          <w:rtl/>
        </w:rPr>
        <w:t xml:space="preserve">. הוא </w:t>
      </w:r>
      <w:r>
        <w:rPr>
          <w:rFonts w:ascii="FrankRuehl" w:hAnsi="FrankRuehl" w:cs="FrankRuehl"/>
          <w:sz w:val="28"/>
          <w:szCs w:val="28"/>
          <w:rtl/>
        </w:rPr>
        <w:t xml:space="preserve">לא היה רעול פנים </w:t>
      </w:r>
      <w:r>
        <w:rPr>
          <w:rFonts w:ascii="FrankRuehl" w:hAnsi="FrankRuehl" w:cs="FrankRuehl" w:hint="cs"/>
          <w:sz w:val="28"/>
          <w:szCs w:val="28"/>
          <w:rtl/>
        </w:rPr>
        <w:t>וזרק בעצמו שתי אב</w:t>
      </w:r>
      <w:r>
        <w:rPr>
          <w:rFonts w:ascii="FrankRuehl" w:hAnsi="FrankRuehl" w:cs="FrankRuehl"/>
          <w:sz w:val="28"/>
          <w:szCs w:val="28"/>
          <w:rtl/>
        </w:rPr>
        <w:t>נים</w:t>
      </w:r>
      <w:r>
        <w:rPr>
          <w:rFonts w:ascii="FrankRuehl" w:hAnsi="FrankRuehl" w:cs="FrankRuehl" w:hint="cs"/>
          <w:sz w:val="28"/>
          <w:szCs w:val="28"/>
          <w:rtl/>
        </w:rPr>
        <w:t xml:space="preserve"> וזיקוק אחד בלבד, </w:t>
      </w:r>
      <w:r>
        <w:rPr>
          <w:rFonts w:ascii="FrankRuehl" w:hAnsi="FrankRuehl" w:cs="FrankRuehl"/>
          <w:sz w:val="28"/>
          <w:szCs w:val="28"/>
          <w:rtl/>
        </w:rPr>
        <w:t>ממרחק ש</w:t>
      </w:r>
      <w:r>
        <w:rPr>
          <w:rFonts w:ascii="FrankRuehl" w:hAnsi="FrankRuehl" w:cs="FrankRuehl" w:hint="cs"/>
          <w:sz w:val="28"/>
          <w:szCs w:val="28"/>
          <w:rtl/>
        </w:rPr>
        <w:t>אינו</w:t>
      </w:r>
      <w:r>
        <w:rPr>
          <w:rFonts w:ascii="FrankRuehl" w:hAnsi="FrankRuehl" w:cs="FrankRuehl"/>
          <w:sz w:val="28"/>
          <w:szCs w:val="28"/>
          <w:rtl/>
        </w:rPr>
        <w:t xml:space="preserve"> יכול לגרום נזק. </w:t>
      </w:r>
      <w:r>
        <w:rPr>
          <w:rFonts w:ascii="FrankRuehl" w:hAnsi="FrankRuehl" w:cs="FrankRuehl" w:hint="cs"/>
          <w:sz w:val="28"/>
          <w:szCs w:val="28"/>
          <w:rtl/>
        </w:rPr>
        <w:t>באירוע שבאי</w:t>
      </w:r>
      <w:r>
        <w:rPr>
          <w:rFonts w:ascii="FrankRuehl" w:hAnsi="FrankRuehl" w:cs="FrankRuehl"/>
          <w:sz w:val="28"/>
          <w:szCs w:val="28"/>
          <w:rtl/>
        </w:rPr>
        <w:t>שום השני, הנאשם אמנם ייצר בקבוקי תעברה</w:t>
      </w:r>
      <w:r>
        <w:rPr>
          <w:rFonts w:ascii="FrankRuehl" w:hAnsi="FrankRuehl" w:cs="FrankRuehl" w:hint="cs"/>
          <w:sz w:val="28"/>
          <w:szCs w:val="28"/>
          <w:rtl/>
        </w:rPr>
        <w:t xml:space="preserve">, אך הוא לא נטל חלק </w:t>
      </w:r>
      <w:r>
        <w:rPr>
          <w:rFonts w:ascii="FrankRuehl" w:hAnsi="FrankRuehl" w:cs="FrankRuehl"/>
          <w:sz w:val="28"/>
          <w:szCs w:val="28"/>
          <w:rtl/>
        </w:rPr>
        <w:t xml:space="preserve">באירוע בו יודו הבקבוקים. </w:t>
      </w:r>
      <w:r>
        <w:rPr>
          <w:rFonts w:ascii="FrankRuehl" w:hAnsi="FrankRuehl" w:cs="FrankRuehl" w:hint="cs"/>
          <w:sz w:val="28"/>
          <w:szCs w:val="28"/>
          <w:rtl/>
        </w:rPr>
        <w:t xml:space="preserve">לטענת ב"כ הנאשם, יש לקבוע מתחם עונש אחד לשני האישומים, בשים לב לכך, שהם התרחשו בסמיכות זמנים, הנע משבעה חודשי מאסר ועד ל-18 חודשי מאסר בפועל. גם היא תמכה את טיעוניה בפסיקה. </w:t>
      </w:r>
    </w:p>
    <w:p w14:paraId="40742BA6" w14:textId="77777777" w:rsidR="00FE62E5" w:rsidRDefault="00FE62E5" w:rsidP="00FE62E5">
      <w:pPr>
        <w:spacing w:line="360" w:lineRule="auto"/>
        <w:jc w:val="both"/>
        <w:rPr>
          <w:rFonts w:ascii="FrankRuehl" w:hAnsi="FrankRuehl" w:cs="FrankRuehl"/>
          <w:sz w:val="28"/>
          <w:szCs w:val="28"/>
          <w:rtl/>
        </w:rPr>
      </w:pPr>
    </w:p>
    <w:p w14:paraId="43BB497C"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אשר לנאשם</w:t>
      </w:r>
      <w:r>
        <w:rPr>
          <w:rFonts w:ascii="FrankRuehl" w:hAnsi="FrankRuehl" w:cs="FrankRuehl" w:hint="cs"/>
          <w:sz w:val="28"/>
          <w:szCs w:val="28"/>
          <w:rtl/>
        </w:rPr>
        <w:t xml:space="preserve">, היא הצביעה על כך שמדובר באדם צעיר, כבן 25. אמנם, יש לו עבר פלילי, אך מלפני חמש שנים. בנוסף, הצביעה על כך, כי ממועד ביצוע העבירות בחודש מאי 2021 ועד למעצרו בסוף אותה שנה הוא לא ביצע כל עבירה. עד למעצרו, הנאשם חי חיים נורמטיביים ועבד </w:t>
      </w:r>
      <w:r>
        <w:rPr>
          <w:rFonts w:ascii="FrankRuehl" w:hAnsi="FrankRuehl" w:cs="FrankRuehl"/>
          <w:sz w:val="28"/>
          <w:szCs w:val="28"/>
          <w:rtl/>
        </w:rPr>
        <w:t xml:space="preserve">בעיריית ירושלים. </w:t>
      </w:r>
      <w:r>
        <w:rPr>
          <w:rFonts w:ascii="FrankRuehl" w:hAnsi="FrankRuehl" w:cs="FrankRuehl" w:hint="cs"/>
          <w:sz w:val="28"/>
          <w:szCs w:val="28"/>
          <w:rtl/>
        </w:rPr>
        <w:t>לזכותו יש לזקוף גם את עובדתו הודאתו ב</w:t>
      </w:r>
      <w:r>
        <w:rPr>
          <w:rFonts w:ascii="FrankRuehl" w:hAnsi="FrankRuehl" w:cs="FrankRuehl"/>
          <w:sz w:val="28"/>
          <w:szCs w:val="28"/>
          <w:rtl/>
        </w:rPr>
        <w:t>הזדמנות הראשונה ו</w:t>
      </w:r>
      <w:r>
        <w:rPr>
          <w:rFonts w:ascii="FrankRuehl" w:hAnsi="FrankRuehl" w:cs="FrankRuehl" w:hint="cs"/>
          <w:sz w:val="28"/>
          <w:szCs w:val="28"/>
          <w:rtl/>
        </w:rPr>
        <w:t>נטילת הא</w:t>
      </w:r>
      <w:r>
        <w:rPr>
          <w:rFonts w:ascii="FrankRuehl" w:hAnsi="FrankRuehl" w:cs="FrankRuehl"/>
          <w:sz w:val="28"/>
          <w:szCs w:val="28"/>
          <w:rtl/>
        </w:rPr>
        <w:t>חריות על מעשיו.</w:t>
      </w:r>
      <w:r>
        <w:rPr>
          <w:rFonts w:ascii="FrankRuehl" w:hAnsi="FrankRuehl" w:cs="FrankRuehl" w:hint="cs"/>
          <w:sz w:val="28"/>
          <w:szCs w:val="28"/>
          <w:rtl/>
        </w:rPr>
        <w:t xml:space="preserve"> בשים לב לאמור היא ביקשה להסתפק בעונש של</w:t>
      </w:r>
      <w:r>
        <w:rPr>
          <w:rFonts w:ascii="FrankRuehl" w:hAnsi="FrankRuehl" w:cs="FrankRuehl"/>
          <w:sz w:val="28"/>
          <w:szCs w:val="28"/>
          <w:rtl/>
        </w:rPr>
        <w:t xml:space="preserve"> 14 חודשי מאסר בפועל.</w:t>
      </w:r>
    </w:p>
    <w:p w14:paraId="02FEED25" w14:textId="77777777" w:rsidR="00FE62E5" w:rsidRDefault="00FE62E5" w:rsidP="00FE62E5">
      <w:pPr>
        <w:spacing w:line="360" w:lineRule="auto"/>
        <w:jc w:val="both"/>
        <w:rPr>
          <w:rFonts w:ascii="David" w:hAnsi="David"/>
          <w:rtl/>
        </w:rPr>
      </w:pPr>
    </w:p>
    <w:p w14:paraId="08DC68C8"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 xml:space="preserve">הנאשם הביע חרטה על מעשיו והוסיף  כי נסחף לבצע את העבירות. הוא הוסיף כי המעצר הארוך בו שהה לימד אותו לקח וכל שהוא מבקש </w:t>
      </w:r>
      <w:r>
        <w:rPr>
          <w:rFonts w:ascii="FrankRuehl" w:hAnsi="FrankRuehl" w:cs="FrankRuehl" w:hint="cs"/>
          <w:sz w:val="28"/>
          <w:szCs w:val="28"/>
          <w:rtl/>
        </w:rPr>
        <w:t xml:space="preserve">הוא </w:t>
      </w:r>
      <w:r>
        <w:rPr>
          <w:rFonts w:ascii="FrankRuehl" w:hAnsi="FrankRuehl" w:cs="FrankRuehl"/>
          <w:sz w:val="28"/>
          <w:szCs w:val="28"/>
          <w:rtl/>
        </w:rPr>
        <w:t xml:space="preserve">לא לשוב לכלא, </w:t>
      </w:r>
      <w:r>
        <w:rPr>
          <w:rFonts w:ascii="FrankRuehl" w:hAnsi="FrankRuehl" w:cs="FrankRuehl" w:hint="cs"/>
          <w:sz w:val="28"/>
          <w:szCs w:val="28"/>
          <w:rtl/>
        </w:rPr>
        <w:t xml:space="preserve">כי אם </w:t>
      </w:r>
      <w:r>
        <w:rPr>
          <w:rFonts w:ascii="FrankRuehl" w:hAnsi="FrankRuehl" w:cs="FrankRuehl"/>
          <w:sz w:val="28"/>
          <w:szCs w:val="28"/>
          <w:rtl/>
        </w:rPr>
        <w:t>למשפחתו</w:t>
      </w:r>
      <w:r>
        <w:rPr>
          <w:rFonts w:ascii="FrankRuehl" w:hAnsi="FrankRuehl" w:cs="FrankRuehl" w:hint="cs"/>
          <w:sz w:val="28"/>
          <w:szCs w:val="28"/>
          <w:rtl/>
        </w:rPr>
        <w:t>,</w:t>
      </w:r>
      <w:r>
        <w:rPr>
          <w:rFonts w:ascii="FrankRuehl" w:hAnsi="FrankRuehl" w:cs="FrankRuehl"/>
          <w:sz w:val="28"/>
          <w:szCs w:val="28"/>
          <w:rtl/>
        </w:rPr>
        <w:t xml:space="preserve"> לדאוג לאביו ולאמו</w:t>
      </w:r>
      <w:r>
        <w:rPr>
          <w:rFonts w:ascii="FrankRuehl" w:hAnsi="FrankRuehl" w:cs="FrankRuehl" w:hint="cs"/>
          <w:sz w:val="28"/>
          <w:szCs w:val="28"/>
          <w:rtl/>
        </w:rPr>
        <w:t>,</w:t>
      </w:r>
      <w:r>
        <w:rPr>
          <w:rFonts w:ascii="FrankRuehl" w:hAnsi="FrankRuehl" w:cs="FrankRuehl"/>
          <w:sz w:val="28"/>
          <w:szCs w:val="28"/>
          <w:rtl/>
        </w:rPr>
        <w:t xml:space="preserve"> להתחתן</w:t>
      </w:r>
      <w:r>
        <w:rPr>
          <w:rFonts w:ascii="FrankRuehl" w:hAnsi="FrankRuehl" w:cs="FrankRuehl" w:hint="cs"/>
          <w:sz w:val="28"/>
          <w:szCs w:val="28"/>
          <w:rtl/>
        </w:rPr>
        <w:t xml:space="preserve"> ולהתחיל חיים חדשים</w:t>
      </w:r>
      <w:r>
        <w:rPr>
          <w:rFonts w:ascii="FrankRuehl" w:hAnsi="FrankRuehl" w:cs="FrankRuehl"/>
          <w:sz w:val="28"/>
          <w:szCs w:val="28"/>
          <w:rtl/>
        </w:rPr>
        <w:t>.</w:t>
      </w:r>
    </w:p>
    <w:p w14:paraId="0AAC66F3" w14:textId="77777777" w:rsidR="00FE62E5" w:rsidRDefault="00FE62E5" w:rsidP="00FE62E5">
      <w:pPr>
        <w:spacing w:line="360" w:lineRule="auto"/>
        <w:jc w:val="both"/>
        <w:rPr>
          <w:rFonts w:ascii="David" w:hAnsi="David"/>
          <w:rtl/>
        </w:rPr>
      </w:pPr>
    </w:p>
    <w:p w14:paraId="12F63BC8" w14:textId="77777777" w:rsidR="00FE62E5" w:rsidRDefault="00FE62E5" w:rsidP="00FE62E5">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דיון והכרעה</w:t>
      </w:r>
    </w:p>
    <w:p w14:paraId="0B602521" w14:textId="77777777" w:rsidR="00FE62E5" w:rsidRDefault="00FE62E5" w:rsidP="00FE62E5">
      <w:pPr>
        <w:spacing w:line="360" w:lineRule="auto"/>
        <w:jc w:val="both"/>
        <w:rPr>
          <w:rFonts w:ascii="Century" w:hAnsi="Century" w:cs="FrankRuehl"/>
          <w:spacing w:val="6"/>
          <w:szCs w:val="28"/>
          <w:rtl/>
        </w:rPr>
      </w:pPr>
      <w:r>
        <w:rPr>
          <w:rFonts w:ascii="Century" w:hAnsi="Century" w:cs="FrankRuehl" w:hint="cs"/>
          <w:spacing w:val="6"/>
          <w:szCs w:val="28"/>
          <w:rtl/>
        </w:rPr>
        <w:t>11.</w:t>
      </w:r>
      <w:r>
        <w:rPr>
          <w:rFonts w:ascii="Century" w:hAnsi="Century" w:cs="FrankRuehl" w:hint="cs"/>
          <w:spacing w:val="6"/>
          <w:szCs w:val="28"/>
          <w:rtl/>
        </w:rPr>
        <w:tab/>
        <w:t>במקרה זה, שני האירועים ב</w:t>
      </w:r>
      <w:r>
        <w:rPr>
          <w:rFonts w:ascii="Century" w:hAnsi="Century" w:cs="FrankRuehl"/>
          <w:spacing w:val="6"/>
          <w:szCs w:val="28"/>
          <w:rtl/>
        </w:rPr>
        <w:t>וצעו בסמיכות זמנים</w:t>
      </w:r>
      <w:r>
        <w:rPr>
          <w:rFonts w:ascii="Century" w:hAnsi="Century" w:cs="FrankRuehl" w:hint="cs"/>
          <w:spacing w:val="6"/>
          <w:szCs w:val="28"/>
          <w:rtl/>
        </w:rPr>
        <w:t xml:space="preserve">, </w:t>
      </w:r>
      <w:r>
        <w:rPr>
          <w:rFonts w:ascii="Century" w:hAnsi="Century" w:cs="FrankRuehl"/>
          <w:spacing w:val="6"/>
          <w:szCs w:val="28"/>
          <w:rtl/>
        </w:rPr>
        <w:t>כחלק מהמהומות שפרצו במהלך חודש הרמד</w:t>
      </w:r>
      <w:r>
        <w:rPr>
          <w:rFonts w:ascii="Century" w:hAnsi="Century" w:cs="FrankRuehl" w:hint="cs"/>
          <w:spacing w:val="6"/>
          <w:szCs w:val="28"/>
          <w:rtl/>
        </w:rPr>
        <w:t>א</w:t>
      </w:r>
      <w:r>
        <w:rPr>
          <w:rFonts w:ascii="Century" w:hAnsi="Century" w:cs="FrankRuehl"/>
          <w:spacing w:val="6"/>
          <w:szCs w:val="28"/>
          <w:rtl/>
        </w:rPr>
        <w:t xml:space="preserve">ן של שנת 2021 </w:t>
      </w:r>
      <w:r>
        <w:rPr>
          <w:rFonts w:ascii="Century" w:hAnsi="Century" w:cs="FrankRuehl" w:hint="cs"/>
          <w:spacing w:val="6"/>
          <w:szCs w:val="28"/>
          <w:rtl/>
        </w:rPr>
        <w:t>והמשיכו על רקע מבצע "שומר החומות". עובדה זו מהווה כאמור נסיבה לחומרה, אך בד בבד היא גם מצדיקה להתבונן על שני האירועים כמקשה אחת, ולקבוע להם מתחם עונש הולם אחד, בהתאם להלכה שנקבעה בעניין ג'אבר (</w:t>
      </w:r>
      <w:hyperlink r:id="rId23" w:history="1">
        <w:r w:rsidR="0086372B" w:rsidRPr="0086372B">
          <w:rPr>
            <w:rFonts w:ascii="Century" w:hAnsi="Century" w:cs="FrankRuehl" w:hint="eastAsia"/>
            <w:color w:val="0000FF"/>
            <w:spacing w:val="6"/>
            <w:szCs w:val="28"/>
            <w:u w:val="single"/>
            <w:rtl/>
          </w:rPr>
          <w:t>ע</w:t>
        </w:r>
        <w:r w:rsidR="0086372B" w:rsidRPr="0086372B">
          <w:rPr>
            <w:rFonts w:ascii="Century" w:hAnsi="Century" w:cs="FrankRuehl"/>
            <w:color w:val="0000FF"/>
            <w:spacing w:val="6"/>
            <w:szCs w:val="28"/>
            <w:u w:val="single"/>
            <w:rtl/>
          </w:rPr>
          <w:t>"</w:t>
        </w:r>
        <w:r w:rsidR="0086372B" w:rsidRPr="0086372B">
          <w:rPr>
            <w:rFonts w:ascii="Century" w:hAnsi="Century" w:cs="FrankRuehl" w:hint="eastAsia"/>
            <w:color w:val="0000FF"/>
            <w:spacing w:val="6"/>
            <w:szCs w:val="28"/>
            <w:u w:val="single"/>
            <w:rtl/>
          </w:rPr>
          <w:t>פ</w:t>
        </w:r>
        <w:r w:rsidR="0086372B" w:rsidRPr="0086372B">
          <w:rPr>
            <w:rFonts w:ascii="Century" w:hAnsi="Century" w:cs="FrankRuehl"/>
            <w:color w:val="0000FF"/>
            <w:spacing w:val="6"/>
            <w:szCs w:val="28"/>
            <w:u w:val="single"/>
            <w:rtl/>
          </w:rPr>
          <w:t xml:space="preserve"> 4910/13</w:t>
        </w:r>
      </w:hyperlink>
      <w:r>
        <w:rPr>
          <w:rFonts w:ascii="Century" w:hAnsi="Century" w:cs="FrankRuehl"/>
          <w:spacing w:val="6"/>
          <w:szCs w:val="28"/>
          <w:rtl/>
        </w:rPr>
        <w:t xml:space="preserve"> </w:t>
      </w:r>
      <w:r>
        <w:rPr>
          <w:rFonts w:ascii="Century" w:hAnsi="Century" w:cs="FrankRuehl"/>
          <w:b/>
          <w:bCs/>
          <w:spacing w:val="6"/>
          <w:szCs w:val="28"/>
          <w:rtl/>
        </w:rPr>
        <w:t>ג'אבר נ' מדינת ישראל</w:t>
      </w:r>
      <w:r>
        <w:rPr>
          <w:rFonts w:ascii="Century" w:hAnsi="Century" w:cs="FrankRuehl" w:hint="cs"/>
          <w:spacing w:val="6"/>
          <w:szCs w:val="28"/>
          <w:rtl/>
        </w:rPr>
        <w:t xml:space="preserve"> </w:t>
      </w:r>
      <w:r>
        <w:rPr>
          <w:rFonts w:ascii="Century" w:hAnsi="Century" w:cs="FrankRuehl"/>
          <w:spacing w:val="6"/>
          <w:szCs w:val="28"/>
          <w:rtl/>
        </w:rPr>
        <w:t>(29.10.14))</w:t>
      </w:r>
      <w:r>
        <w:rPr>
          <w:rFonts w:ascii="Century" w:hAnsi="Century" w:cs="FrankRuehl" w:hint="cs"/>
          <w:spacing w:val="6"/>
          <w:szCs w:val="28"/>
          <w:rtl/>
        </w:rPr>
        <w:t xml:space="preserve">. </w:t>
      </w:r>
    </w:p>
    <w:p w14:paraId="027D1BCA" w14:textId="77777777" w:rsidR="00FE62E5" w:rsidRDefault="00FE62E5" w:rsidP="00FE62E5">
      <w:pPr>
        <w:spacing w:line="360" w:lineRule="auto"/>
        <w:jc w:val="both"/>
        <w:rPr>
          <w:rFonts w:ascii="Century" w:hAnsi="Century" w:cs="FrankRuehl"/>
          <w:spacing w:val="6"/>
          <w:szCs w:val="28"/>
          <w:rtl/>
        </w:rPr>
      </w:pPr>
    </w:p>
    <w:p w14:paraId="149FBBB9"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Pr>
          <w:rFonts w:ascii="FrankRuehl" w:hAnsi="FrankRuehl" w:cs="FrankRuehl"/>
          <w:sz w:val="28"/>
          <w:szCs w:val="28"/>
          <w:rtl/>
        </w:rPr>
        <w:t>הערכים המוגנים שנפגעו כתוצאה ממעשיו של הנאשם הם שלמות הגוף שלומו ובטחונו ורווחתו של הפרט. כן נפגעו הערכים הנוגעים לשלום הציבור ובטחונו והערכים הנוגעים לפגיעה בסדר הציבורי. לא ניתן להפריז, בחומרת מעשיו של הנאשם הן באישום הראשון והן באישום השני. בית המשפט עמד לא אחת על החומרה היתרה, הגלומה בעבירות של התפרעות המונית, הנובעת בין היתר מריבוי המשתתפים והמניע הגזעני, ואשר מציבות סכנה ישירה וממשית לחיי אדם ועלולות להוביל לפגיעה בגופו של אדם וברכושו. נקבע</w:t>
      </w:r>
      <w:r>
        <w:rPr>
          <w:rFonts w:ascii="FrankRuehl" w:hAnsi="FrankRuehl" w:cs="FrankRuehl" w:hint="cs"/>
          <w:sz w:val="28"/>
          <w:szCs w:val="28"/>
          <w:rtl/>
        </w:rPr>
        <w:t>,</w:t>
      </w:r>
      <w:r>
        <w:rPr>
          <w:rFonts w:ascii="FrankRuehl" w:hAnsi="FrankRuehl" w:cs="FrankRuehl"/>
          <w:sz w:val="28"/>
          <w:szCs w:val="28"/>
          <w:rtl/>
        </w:rPr>
        <w:t xml:space="preserve"> כי יש לנקוט במדינות ענישה שתביא לריסון והרתעה על מנת למנוע את התגברותן. בית המשפט אף מצא לקבוע כי כאשר העבירות בוצעו ממניעים גזעניים, נדחים אף שיקולים הקשורים הנסיבות אישיות או שיקולי שיקום</w:t>
      </w:r>
      <w:r>
        <w:rPr>
          <w:rFonts w:ascii="FrankRuehl" w:hAnsi="FrankRuehl" w:cs="FrankRuehl" w:hint="cs"/>
          <w:sz w:val="28"/>
          <w:szCs w:val="28"/>
          <w:rtl/>
        </w:rPr>
        <w:t xml:space="preserve"> </w:t>
      </w:r>
      <w:r>
        <w:rPr>
          <w:rFonts w:ascii="FrankRuehl" w:hAnsi="FrankRuehl" w:cs="FrankRuehl"/>
          <w:sz w:val="28"/>
          <w:szCs w:val="28"/>
          <w:rtl/>
        </w:rPr>
        <w:t>(</w:t>
      </w:r>
      <w:hyperlink r:id="rId24" w:history="1">
        <w:r w:rsidR="0086372B" w:rsidRPr="0086372B">
          <w:rPr>
            <w:rFonts w:ascii="FrankRuehl" w:hAnsi="FrankRuehl" w:cs="FrankRuehl"/>
            <w:color w:val="0000FF"/>
            <w:sz w:val="28"/>
            <w:szCs w:val="28"/>
            <w:u w:val="single"/>
            <w:rtl/>
          </w:rPr>
          <w:t>ע"פ 3793/18</w:t>
        </w:r>
      </w:hyperlink>
      <w:r>
        <w:rPr>
          <w:rFonts w:ascii="FrankRuehl" w:hAnsi="FrankRuehl" w:cs="FrankRuehl"/>
          <w:sz w:val="28"/>
          <w:szCs w:val="28"/>
          <w:rtl/>
        </w:rPr>
        <w:t xml:space="preserve"> </w:t>
      </w:r>
      <w:r>
        <w:rPr>
          <w:rFonts w:ascii="FrankRuehl" w:hAnsi="FrankRuehl" w:cs="FrankRuehl"/>
          <w:b/>
          <w:bCs/>
          <w:sz w:val="28"/>
          <w:szCs w:val="28"/>
          <w:rtl/>
        </w:rPr>
        <w:t>פלוני נ' מדינת ישראל</w:t>
      </w:r>
      <w:r>
        <w:rPr>
          <w:rFonts w:ascii="FrankRuehl" w:hAnsi="FrankRuehl" w:cs="FrankRuehl" w:hint="cs"/>
          <w:b/>
          <w:bCs/>
          <w:sz w:val="28"/>
          <w:szCs w:val="28"/>
          <w:rtl/>
        </w:rPr>
        <w:t xml:space="preserve"> </w:t>
      </w:r>
      <w:r>
        <w:rPr>
          <w:rFonts w:ascii="FrankRuehl" w:hAnsi="FrankRuehl" w:cs="FrankRuehl"/>
          <w:sz w:val="28"/>
          <w:szCs w:val="28"/>
          <w:rtl/>
        </w:rPr>
        <w:t xml:space="preserve">(3.05.20); </w:t>
      </w:r>
      <w:hyperlink r:id="rId25" w:history="1">
        <w:r w:rsidR="0086372B" w:rsidRPr="0086372B">
          <w:rPr>
            <w:rFonts w:ascii="FrankRuehl" w:hAnsi="FrankRuehl" w:cs="FrankRuehl"/>
            <w:color w:val="0000FF"/>
            <w:sz w:val="28"/>
            <w:szCs w:val="28"/>
            <w:u w:val="single"/>
            <w:rtl/>
          </w:rPr>
          <w:t>ע"פ 901/22</w:t>
        </w:r>
      </w:hyperlink>
      <w:r>
        <w:rPr>
          <w:rFonts w:ascii="FrankRuehl" w:hAnsi="FrankRuehl" w:cs="FrankRuehl"/>
          <w:sz w:val="28"/>
          <w:szCs w:val="28"/>
          <w:rtl/>
        </w:rPr>
        <w:t xml:space="preserve"> </w:t>
      </w:r>
      <w:r>
        <w:rPr>
          <w:rFonts w:ascii="FrankRuehl" w:hAnsi="FrankRuehl" w:cs="FrankRuehl"/>
          <w:b/>
          <w:bCs/>
          <w:sz w:val="28"/>
          <w:szCs w:val="28"/>
          <w:rtl/>
        </w:rPr>
        <w:t>מדינת ישראל נ' אסווד</w:t>
      </w:r>
      <w:r>
        <w:rPr>
          <w:rFonts w:ascii="FrankRuehl" w:hAnsi="FrankRuehl" w:cs="FrankRuehl" w:hint="cs"/>
          <w:b/>
          <w:bCs/>
          <w:sz w:val="28"/>
          <w:szCs w:val="28"/>
          <w:rtl/>
        </w:rPr>
        <w:t xml:space="preserve"> </w:t>
      </w:r>
      <w:r>
        <w:rPr>
          <w:rFonts w:ascii="FrankRuehl" w:hAnsi="FrankRuehl" w:cs="FrankRuehl"/>
          <w:sz w:val="28"/>
          <w:szCs w:val="28"/>
          <w:rtl/>
        </w:rPr>
        <w:t>(24.02.22)). יתרה מזאת, במצבים אלה אחריותו של הנאשם, אינה נקבעת אך על פי תרומתו הישירה לאירוע, אלא מתוך ראיה רחבה יותר של מטרתו של ההמון שהוא היה חלק ממנו</w:t>
      </w:r>
      <w:r>
        <w:rPr>
          <w:rFonts w:ascii="FrankRuehl" w:hAnsi="FrankRuehl" w:cs="FrankRuehl" w:hint="cs"/>
          <w:sz w:val="28"/>
          <w:szCs w:val="28"/>
          <w:rtl/>
        </w:rPr>
        <w:t xml:space="preserve"> </w:t>
      </w:r>
      <w:r>
        <w:rPr>
          <w:rFonts w:ascii="FrankRuehl" w:hAnsi="FrankRuehl" w:cs="FrankRuehl"/>
          <w:sz w:val="28"/>
          <w:szCs w:val="28"/>
          <w:rtl/>
        </w:rPr>
        <w:t>(</w:t>
      </w:r>
      <w:hyperlink r:id="rId26" w:history="1">
        <w:r w:rsidR="0086372B" w:rsidRPr="0086372B">
          <w:rPr>
            <w:rFonts w:ascii="FrankRuehl" w:hAnsi="FrankRuehl" w:cs="FrankRuehl"/>
            <w:color w:val="0000FF"/>
            <w:sz w:val="28"/>
            <w:szCs w:val="28"/>
            <w:u w:val="single"/>
            <w:rtl/>
          </w:rPr>
          <w:t>ע"פ 10423/07</w:t>
        </w:r>
      </w:hyperlink>
      <w:r>
        <w:rPr>
          <w:rFonts w:ascii="FrankRuehl" w:hAnsi="FrankRuehl" w:cs="FrankRuehl"/>
          <w:sz w:val="28"/>
          <w:szCs w:val="28"/>
          <w:rtl/>
        </w:rPr>
        <w:t xml:space="preserve"> </w:t>
      </w:r>
      <w:r>
        <w:rPr>
          <w:rFonts w:ascii="FrankRuehl" w:hAnsi="FrankRuehl" w:cs="FrankRuehl"/>
          <w:b/>
          <w:bCs/>
          <w:sz w:val="28"/>
          <w:szCs w:val="28"/>
          <w:rtl/>
        </w:rPr>
        <w:t>מדינת ישראל נ' סיטרין</w:t>
      </w:r>
      <w:r>
        <w:rPr>
          <w:rFonts w:ascii="FrankRuehl" w:hAnsi="FrankRuehl" w:cs="FrankRuehl" w:hint="cs"/>
          <w:b/>
          <w:bCs/>
          <w:sz w:val="28"/>
          <w:szCs w:val="28"/>
          <w:rtl/>
        </w:rPr>
        <w:t xml:space="preserve"> </w:t>
      </w:r>
      <w:r>
        <w:rPr>
          <w:rFonts w:ascii="FrankRuehl" w:hAnsi="FrankRuehl" w:cs="FrankRuehl"/>
          <w:sz w:val="28"/>
          <w:szCs w:val="28"/>
          <w:rtl/>
        </w:rPr>
        <w:t>(11.06.08)).</w:t>
      </w:r>
    </w:p>
    <w:p w14:paraId="4EF1698C" w14:textId="77777777" w:rsidR="00FE62E5" w:rsidRDefault="00FE62E5" w:rsidP="00FE62E5">
      <w:pPr>
        <w:spacing w:line="360" w:lineRule="auto"/>
        <w:jc w:val="both"/>
        <w:rPr>
          <w:rFonts w:ascii="FrankRuehl" w:hAnsi="FrankRuehl" w:cs="FrankRuehl"/>
          <w:sz w:val="28"/>
          <w:szCs w:val="28"/>
          <w:rtl/>
        </w:rPr>
      </w:pPr>
    </w:p>
    <w:p w14:paraId="1E6AF953" w14:textId="77777777" w:rsidR="00FE62E5" w:rsidRPr="00FE62E5" w:rsidRDefault="00FE62E5" w:rsidP="00FE62E5">
      <w:pPr>
        <w:spacing w:line="360" w:lineRule="auto"/>
        <w:jc w:val="both"/>
        <w:rPr>
          <w:rFonts w:ascii="Century" w:eastAsia="Calibri" w:hAnsi="Century" w:cs="FrankRuehl"/>
          <w:spacing w:val="6"/>
          <w:sz w:val="22"/>
          <w:szCs w:val="28"/>
          <w:rtl/>
        </w:rPr>
      </w:pPr>
      <w:r>
        <w:rPr>
          <w:rFonts w:ascii="FrankRuehl" w:hAnsi="FrankRuehl" w:cs="FrankRuehl" w:hint="cs"/>
          <w:sz w:val="28"/>
          <w:szCs w:val="28"/>
          <w:rtl/>
        </w:rPr>
        <w:t>13.</w:t>
      </w:r>
      <w:r>
        <w:rPr>
          <w:rFonts w:ascii="FrankRuehl" w:hAnsi="FrankRuehl" w:cs="FrankRuehl" w:hint="cs"/>
          <w:sz w:val="28"/>
          <w:szCs w:val="28"/>
          <w:rtl/>
        </w:rPr>
        <w:tab/>
      </w:r>
      <w:r>
        <w:rPr>
          <w:rFonts w:ascii="FrankRuehl" w:hAnsi="FrankRuehl" w:cs="FrankRuehl"/>
          <w:sz w:val="28"/>
          <w:szCs w:val="28"/>
          <w:rtl/>
        </w:rPr>
        <w:t xml:space="preserve">אשר לאישום השני, בית המשפט עמד לא פעם על הסכנה הרבה הגלומה בייצור בקבוקי תבערה והשימוש בהם ואת הצורך בהחמרת ההרתעה בכל הנוגע לעבירות מעין אלו (ראו אך למשל: </w:t>
      </w:r>
      <w:hyperlink r:id="rId27" w:history="1">
        <w:r w:rsidR="0086372B" w:rsidRPr="0086372B">
          <w:rPr>
            <w:rFonts w:ascii="FrankRuehl" w:hAnsi="FrankRuehl" w:cs="FrankRuehl"/>
            <w:color w:val="0000FF"/>
            <w:sz w:val="28"/>
            <w:szCs w:val="28"/>
            <w:u w:val="single"/>
            <w:rtl/>
          </w:rPr>
          <w:t>ע"פ 2337/13</w:t>
        </w:r>
      </w:hyperlink>
      <w:r>
        <w:rPr>
          <w:rFonts w:ascii="FrankRuehl" w:hAnsi="FrankRuehl" w:cs="FrankRuehl"/>
          <w:sz w:val="28"/>
          <w:szCs w:val="28"/>
          <w:rtl/>
        </w:rPr>
        <w:t xml:space="preserve"> </w:t>
      </w:r>
      <w:r>
        <w:rPr>
          <w:rFonts w:ascii="FrankRuehl" w:hAnsi="FrankRuehl" w:cs="FrankRuehl"/>
          <w:b/>
          <w:bCs/>
          <w:sz w:val="28"/>
          <w:szCs w:val="28"/>
          <w:rtl/>
        </w:rPr>
        <w:t xml:space="preserve">קוואסמה נ' מדינת ישראל </w:t>
      </w:r>
      <w:r>
        <w:rPr>
          <w:rFonts w:ascii="FrankRuehl" w:hAnsi="FrankRuehl" w:cs="FrankRuehl"/>
          <w:sz w:val="28"/>
          <w:szCs w:val="28"/>
          <w:rtl/>
        </w:rPr>
        <w:t>(16.09.13) והאסמכתאות שם).</w:t>
      </w:r>
      <w:r>
        <w:rPr>
          <w:rFonts w:ascii="Century" w:hAnsi="Century" w:cs="FrankRuehl"/>
          <w:spacing w:val="6"/>
          <w:szCs w:val="28"/>
          <w:rtl/>
        </w:rPr>
        <w:t xml:space="preserve"> </w:t>
      </w:r>
      <w:r>
        <w:rPr>
          <w:rFonts w:ascii="Century" w:hAnsi="Century" w:cs="FrankRuehl" w:hint="cs"/>
          <w:spacing w:val="6"/>
          <w:szCs w:val="28"/>
          <w:rtl/>
        </w:rPr>
        <w:t xml:space="preserve">בפרט, </w:t>
      </w:r>
      <w:r>
        <w:rPr>
          <w:rFonts w:ascii="Century" w:hAnsi="Century" w:cs="FrankRuehl"/>
          <w:spacing w:val="6"/>
          <w:szCs w:val="28"/>
          <w:rtl/>
        </w:rPr>
        <w:t>עמד בית המשפט על החומרה היתרה הגלומה במעשה כאשר השימוש בהם נעשה על רקע לאומני</w:t>
      </w:r>
      <w:r>
        <w:rPr>
          <w:rFonts w:ascii="Century" w:hAnsi="Century" w:cs="FrankRuehl" w:hint="cs"/>
          <w:spacing w:val="6"/>
          <w:szCs w:val="28"/>
          <w:rtl/>
        </w:rPr>
        <w:t xml:space="preserve"> </w:t>
      </w:r>
      <w:r>
        <w:rPr>
          <w:rFonts w:ascii="Century" w:hAnsi="Century" w:cs="FrankRuehl"/>
          <w:spacing w:val="6"/>
          <w:szCs w:val="28"/>
          <w:rtl/>
        </w:rPr>
        <w:t>(</w:t>
      </w:r>
      <w:hyperlink r:id="rId28" w:history="1">
        <w:r w:rsidR="0086372B" w:rsidRPr="0086372B">
          <w:rPr>
            <w:rFonts w:ascii="Century" w:hAnsi="Century" w:cs="FrankRuehl" w:hint="eastAsia"/>
            <w:color w:val="0000FF"/>
            <w:spacing w:val="6"/>
            <w:szCs w:val="28"/>
            <w:u w:val="single"/>
            <w:rtl/>
          </w:rPr>
          <w:t>ע</w:t>
        </w:r>
        <w:r w:rsidR="0086372B" w:rsidRPr="0086372B">
          <w:rPr>
            <w:rFonts w:ascii="Century" w:hAnsi="Century" w:cs="FrankRuehl"/>
            <w:color w:val="0000FF"/>
            <w:spacing w:val="6"/>
            <w:szCs w:val="28"/>
            <w:u w:val="single"/>
            <w:rtl/>
          </w:rPr>
          <w:t>"</w:t>
        </w:r>
        <w:r w:rsidR="0086372B" w:rsidRPr="0086372B">
          <w:rPr>
            <w:rFonts w:ascii="Century" w:hAnsi="Century" w:cs="FrankRuehl" w:hint="eastAsia"/>
            <w:color w:val="0000FF"/>
            <w:spacing w:val="6"/>
            <w:szCs w:val="28"/>
            <w:u w:val="single"/>
            <w:rtl/>
          </w:rPr>
          <w:t>פ</w:t>
        </w:r>
        <w:r w:rsidR="0086372B" w:rsidRPr="0086372B">
          <w:rPr>
            <w:rFonts w:ascii="Century" w:hAnsi="Century" w:cs="FrankRuehl"/>
            <w:color w:val="0000FF"/>
            <w:spacing w:val="6"/>
            <w:szCs w:val="28"/>
            <w:u w:val="single"/>
            <w:rtl/>
          </w:rPr>
          <w:t xml:space="preserve"> 292/22</w:t>
        </w:r>
      </w:hyperlink>
      <w:r>
        <w:rPr>
          <w:rFonts w:ascii="Century" w:hAnsi="Century" w:cs="FrankRuehl"/>
          <w:spacing w:val="6"/>
          <w:szCs w:val="28"/>
          <w:rtl/>
        </w:rPr>
        <w:t xml:space="preserve"> </w:t>
      </w:r>
      <w:r>
        <w:rPr>
          <w:rFonts w:ascii="Century" w:hAnsi="Century" w:cs="FrankRuehl"/>
          <w:b/>
          <w:bCs/>
          <w:spacing w:val="6"/>
          <w:szCs w:val="28"/>
          <w:rtl/>
        </w:rPr>
        <w:t>מדינת ישראל נ' חליל</w:t>
      </w:r>
      <w:r>
        <w:rPr>
          <w:rFonts w:ascii="Century" w:hAnsi="Century" w:cs="FrankRuehl" w:hint="cs"/>
          <w:b/>
          <w:bCs/>
          <w:spacing w:val="6"/>
          <w:szCs w:val="28"/>
          <w:rtl/>
        </w:rPr>
        <w:t xml:space="preserve"> </w:t>
      </w:r>
      <w:r>
        <w:rPr>
          <w:rFonts w:ascii="Century" w:hAnsi="Century" w:cs="FrankRuehl"/>
          <w:spacing w:val="6"/>
          <w:szCs w:val="28"/>
          <w:rtl/>
        </w:rPr>
        <w:t xml:space="preserve">(29.05.22); </w:t>
      </w:r>
      <w:hyperlink r:id="rId29" w:history="1">
        <w:r w:rsidR="0086372B" w:rsidRPr="0086372B">
          <w:rPr>
            <w:rFonts w:ascii="Century" w:hAnsi="Century" w:cs="FrankRuehl" w:hint="eastAsia"/>
            <w:color w:val="0000FF"/>
            <w:spacing w:val="6"/>
            <w:szCs w:val="28"/>
            <w:u w:val="single"/>
            <w:rtl/>
          </w:rPr>
          <w:t>בש</w:t>
        </w:r>
        <w:r w:rsidR="0086372B" w:rsidRPr="0086372B">
          <w:rPr>
            <w:rFonts w:ascii="Century" w:hAnsi="Century" w:cs="FrankRuehl"/>
            <w:color w:val="0000FF"/>
            <w:spacing w:val="6"/>
            <w:szCs w:val="28"/>
            <w:u w:val="single"/>
            <w:rtl/>
          </w:rPr>
          <w:t>"</w:t>
        </w:r>
        <w:r w:rsidR="0086372B" w:rsidRPr="0086372B">
          <w:rPr>
            <w:rFonts w:ascii="Century" w:hAnsi="Century" w:cs="FrankRuehl" w:hint="eastAsia"/>
            <w:color w:val="0000FF"/>
            <w:spacing w:val="6"/>
            <w:szCs w:val="28"/>
            <w:u w:val="single"/>
            <w:rtl/>
          </w:rPr>
          <w:t>פ</w:t>
        </w:r>
        <w:r w:rsidR="0086372B" w:rsidRPr="0086372B">
          <w:rPr>
            <w:rFonts w:ascii="Century" w:hAnsi="Century" w:cs="FrankRuehl"/>
            <w:color w:val="0000FF"/>
            <w:spacing w:val="6"/>
            <w:szCs w:val="28"/>
            <w:u w:val="single"/>
            <w:rtl/>
          </w:rPr>
          <w:t xml:space="preserve"> 5688/12</w:t>
        </w:r>
      </w:hyperlink>
      <w:r>
        <w:rPr>
          <w:rFonts w:ascii="Century" w:hAnsi="Century" w:cs="FrankRuehl"/>
          <w:spacing w:val="6"/>
          <w:szCs w:val="28"/>
          <w:rtl/>
        </w:rPr>
        <w:t xml:space="preserve"> </w:t>
      </w:r>
      <w:r>
        <w:rPr>
          <w:rFonts w:ascii="Century" w:hAnsi="Century" w:cs="FrankRuehl"/>
          <w:b/>
          <w:bCs/>
          <w:spacing w:val="6"/>
          <w:szCs w:val="28"/>
          <w:rtl/>
        </w:rPr>
        <w:t>אלהדי נ' מדינת ישראל</w:t>
      </w:r>
      <w:r>
        <w:rPr>
          <w:rFonts w:ascii="Century" w:hAnsi="Century" w:cs="FrankRuehl" w:hint="cs"/>
          <w:spacing w:val="6"/>
          <w:szCs w:val="28"/>
          <w:rtl/>
        </w:rPr>
        <w:t xml:space="preserve"> </w:t>
      </w:r>
      <w:r>
        <w:rPr>
          <w:rFonts w:ascii="Century" w:hAnsi="Century" w:cs="FrankRuehl"/>
          <w:spacing w:val="6"/>
          <w:szCs w:val="28"/>
          <w:rtl/>
        </w:rPr>
        <w:t>(8.08.12)).</w:t>
      </w:r>
    </w:p>
    <w:p w14:paraId="08EBBA59" w14:textId="77777777" w:rsidR="00FE62E5" w:rsidRDefault="00FE62E5" w:rsidP="00FE62E5">
      <w:pPr>
        <w:spacing w:line="360" w:lineRule="auto"/>
        <w:jc w:val="both"/>
        <w:rPr>
          <w:rFonts w:ascii="Century" w:hAnsi="Century" w:cs="FrankRuehl"/>
          <w:spacing w:val="6"/>
          <w:szCs w:val="28"/>
          <w:rtl/>
        </w:rPr>
      </w:pPr>
    </w:p>
    <w:p w14:paraId="5658AFF6"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r>
      <w:r>
        <w:rPr>
          <w:rFonts w:ascii="FrankRuehl" w:hAnsi="FrankRuehl" w:cs="FrankRuehl"/>
          <w:sz w:val="28"/>
          <w:szCs w:val="28"/>
          <w:rtl/>
        </w:rPr>
        <w:t>לא בכדי, הורה המחוקק במסגרת תיקון 140</w:t>
      </w:r>
      <w:r>
        <w:rPr>
          <w:rFonts w:ascii="FrankRuehl" w:hAnsi="FrankRuehl" w:cs="FrankRuehl" w:hint="cs"/>
          <w:sz w:val="28"/>
          <w:szCs w:val="28"/>
          <w:rtl/>
        </w:rPr>
        <w:t xml:space="preserve"> </w:t>
      </w:r>
      <w:r>
        <w:rPr>
          <w:rFonts w:ascii="FrankRuehl" w:hAnsi="FrankRuehl" w:cs="FrankRuehl"/>
          <w:sz w:val="28"/>
          <w:szCs w:val="28"/>
          <w:rtl/>
        </w:rPr>
        <w:t>(הוראת שעה) ל</w:t>
      </w:r>
      <w:hyperlink r:id="rId30" w:history="1">
        <w:r w:rsidR="0086372B" w:rsidRPr="0086372B">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על עונש מינימום בעבירות נשק, שלא יפחת מרבע העונש המרבי שנקבע לאותה עבירה. בדברי ההסבר נאמר כי:</w:t>
      </w:r>
    </w:p>
    <w:p w14:paraId="23636316" w14:textId="77777777" w:rsidR="00FE62E5" w:rsidRDefault="00FE62E5" w:rsidP="00FE62E5">
      <w:pPr>
        <w:spacing w:line="360" w:lineRule="auto"/>
        <w:ind w:left="567" w:right="567"/>
        <w:jc w:val="both"/>
        <w:rPr>
          <w:rFonts w:ascii="Miriam" w:hAnsi="Miriam" w:cs="Miriam"/>
          <w:rtl/>
        </w:rPr>
      </w:pPr>
      <w:r>
        <w:rPr>
          <w:rFonts w:ascii="Miriam" w:hAnsi="Miriam" w:cs="Miriam"/>
          <w:rtl/>
        </w:rPr>
        <w:t xml:space="preserve">...למרות העונש הכבד הקבוע בצידה של עבירה זו והחמרת הענישה על ידי בתי המשפט בשלוש השנים האחרונות, עלה מספר העבירות הקשורות לעבירה זו... בהתאם לכך נרשמה עלייה במספר תיקי האלימות שבהם היה שימוש בנשק, ומספר הקורבנות בנפש, בפרט בחברה הערבית, גדל אף הוא. נוסף על הנזק הישיר של עבירות נשק, השימוש הנרחב בנשק ובאמצעי ליממה בלתי חוקיים והימצאותם בחברה האזרחית פוגעים בתחושת הביטחון של הציבור ותורמים לעליית הביקוש לנשק בלתי חוקי. </w:t>
      </w:r>
    </w:p>
    <w:p w14:paraId="36DCF9FE" w14:textId="77777777" w:rsidR="00FE62E5" w:rsidRDefault="00FE62E5" w:rsidP="00FE62E5">
      <w:pPr>
        <w:spacing w:line="360" w:lineRule="auto"/>
        <w:jc w:val="both"/>
        <w:rPr>
          <w:rFonts w:ascii="FrankRuehl" w:hAnsi="FrankRuehl" w:cs="FrankRuehl"/>
          <w:sz w:val="28"/>
          <w:szCs w:val="28"/>
          <w:rtl/>
        </w:rPr>
      </w:pPr>
    </w:p>
    <w:p w14:paraId="566F4530"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sz w:val="28"/>
          <w:szCs w:val="28"/>
          <w:rtl/>
        </w:rPr>
        <w:t>מאז כניסת התיקון לתוקף, הוא היווה עבור בתי המשפט, בסיס למגמת החמרה נוספת של הענישה בעבירות אלו, אף באותם מקרים שהוראת התיקון לא חלה עליהם</w:t>
      </w:r>
      <w:r>
        <w:rPr>
          <w:rFonts w:ascii="FrankRuehl" w:hAnsi="FrankRuehl" w:cs="FrankRuehl" w:hint="cs"/>
          <w:sz w:val="28"/>
          <w:szCs w:val="28"/>
          <w:rtl/>
        </w:rPr>
        <w:t>, כבמקרה זה</w:t>
      </w:r>
      <w:r>
        <w:rPr>
          <w:rFonts w:ascii="FrankRuehl" w:hAnsi="FrankRuehl" w:cs="FrankRuehl"/>
          <w:sz w:val="28"/>
          <w:szCs w:val="28"/>
          <w:rtl/>
        </w:rPr>
        <w:t xml:space="preserve"> (ראו אך למשל: </w:t>
      </w:r>
      <w:hyperlink r:id="rId31" w:history="1">
        <w:r w:rsidR="0086372B" w:rsidRPr="0086372B">
          <w:rPr>
            <w:rFonts w:ascii="FrankRuehl" w:hAnsi="FrankRuehl" w:cs="FrankRuehl"/>
            <w:color w:val="0000FF"/>
            <w:sz w:val="28"/>
            <w:szCs w:val="28"/>
            <w:u w:val="single"/>
            <w:rtl/>
          </w:rPr>
          <w:t>ע"פ 4456/21</w:t>
        </w:r>
      </w:hyperlink>
      <w:r>
        <w:rPr>
          <w:rFonts w:ascii="FrankRuehl" w:hAnsi="FrankRuehl" w:cs="FrankRuehl"/>
          <w:sz w:val="28"/>
          <w:szCs w:val="28"/>
          <w:rtl/>
        </w:rPr>
        <w:t xml:space="preserve"> </w:t>
      </w:r>
      <w:r>
        <w:rPr>
          <w:rFonts w:ascii="FrankRuehl" w:hAnsi="FrankRuehl" w:cs="FrankRuehl"/>
          <w:b/>
          <w:bCs/>
          <w:sz w:val="28"/>
          <w:szCs w:val="28"/>
          <w:rtl/>
        </w:rPr>
        <w:t>מדינת ישראל נ' אבו עבסה</w:t>
      </w:r>
      <w:r>
        <w:rPr>
          <w:rFonts w:ascii="FrankRuehl" w:hAnsi="FrankRuehl" w:cs="FrankRuehl"/>
          <w:sz w:val="28"/>
          <w:szCs w:val="28"/>
          <w:rtl/>
        </w:rPr>
        <w:t xml:space="preserve"> (23.01.22); </w:t>
      </w:r>
      <w:hyperlink r:id="rId32" w:history="1">
        <w:r w:rsidR="0086372B" w:rsidRPr="0086372B">
          <w:rPr>
            <w:rFonts w:ascii="FrankRuehl" w:hAnsi="FrankRuehl" w:cs="FrankRuehl"/>
            <w:color w:val="0000FF"/>
            <w:sz w:val="28"/>
            <w:szCs w:val="28"/>
            <w:u w:val="single"/>
            <w:rtl/>
          </w:rPr>
          <w:t>ע"פ 8869/21</w:t>
        </w:r>
      </w:hyperlink>
      <w:r>
        <w:rPr>
          <w:rFonts w:ascii="FrankRuehl" w:hAnsi="FrankRuehl" w:cs="FrankRuehl"/>
          <w:sz w:val="28"/>
          <w:szCs w:val="28"/>
          <w:rtl/>
        </w:rPr>
        <w:t xml:space="preserve"> </w:t>
      </w:r>
      <w:r>
        <w:rPr>
          <w:rFonts w:ascii="FrankRuehl" w:hAnsi="FrankRuehl" w:cs="FrankRuehl"/>
          <w:b/>
          <w:bCs/>
          <w:sz w:val="28"/>
          <w:szCs w:val="28"/>
          <w:rtl/>
        </w:rPr>
        <w:t>מדינת ישראל נ' קואסמה</w:t>
      </w:r>
      <w:r>
        <w:rPr>
          <w:rFonts w:ascii="FrankRuehl" w:hAnsi="FrankRuehl" w:cs="FrankRuehl"/>
          <w:sz w:val="28"/>
          <w:szCs w:val="28"/>
          <w:rtl/>
        </w:rPr>
        <w:t xml:space="preserve"> (13.03.22); </w:t>
      </w:r>
      <w:hyperlink r:id="rId33" w:history="1">
        <w:r w:rsidR="0086372B" w:rsidRPr="0086372B">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FrankRuehl" w:hAnsi="FrankRuehl" w:cs="FrankRuehl"/>
          <w:b/>
          <w:bCs/>
          <w:sz w:val="28"/>
          <w:szCs w:val="28"/>
          <w:rtl/>
        </w:rPr>
        <w:t>פלוני נ' מדינת ישראל</w:t>
      </w:r>
      <w:r>
        <w:rPr>
          <w:rFonts w:ascii="FrankRuehl" w:hAnsi="FrankRuehl" w:cs="FrankRuehl"/>
          <w:sz w:val="28"/>
          <w:szCs w:val="28"/>
          <w:rtl/>
        </w:rPr>
        <w:t xml:space="preserve"> (28.07.22); ובפרט לאחרונה </w:t>
      </w:r>
      <w:hyperlink r:id="rId34" w:history="1">
        <w:r w:rsidR="0086372B" w:rsidRPr="0086372B">
          <w:rPr>
            <w:rFonts w:ascii="FrankRuehl" w:hAnsi="FrankRuehl" w:cs="FrankRuehl"/>
            <w:color w:val="0000FF"/>
            <w:sz w:val="28"/>
            <w:szCs w:val="28"/>
            <w:u w:val="single"/>
            <w:rtl/>
          </w:rPr>
          <w:t>ע"פ 5602/22</w:t>
        </w:r>
      </w:hyperlink>
      <w:r>
        <w:rPr>
          <w:rFonts w:ascii="FrankRuehl" w:hAnsi="FrankRuehl" w:cs="FrankRuehl"/>
          <w:sz w:val="28"/>
          <w:szCs w:val="28"/>
          <w:rtl/>
        </w:rPr>
        <w:t xml:space="preserve">  </w:t>
      </w:r>
      <w:r>
        <w:rPr>
          <w:rFonts w:ascii="FrankRuehl" w:hAnsi="FrankRuehl" w:cs="FrankRuehl"/>
          <w:b/>
          <w:bCs/>
          <w:sz w:val="28"/>
          <w:szCs w:val="28"/>
          <w:rtl/>
        </w:rPr>
        <w:t>מדינת ישראל נ' פלוני</w:t>
      </w:r>
      <w:r>
        <w:rPr>
          <w:rFonts w:ascii="FrankRuehl" w:hAnsi="FrankRuehl" w:cs="FrankRuehl"/>
          <w:sz w:val="28"/>
          <w:szCs w:val="28"/>
          <w:rtl/>
        </w:rPr>
        <w:t xml:space="preserve"> (14.09.22)). </w:t>
      </w:r>
    </w:p>
    <w:p w14:paraId="05BE19F5" w14:textId="77777777" w:rsidR="00FE62E5" w:rsidRDefault="00FE62E5" w:rsidP="00FE62E5">
      <w:pPr>
        <w:spacing w:line="360" w:lineRule="auto"/>
        <w:jc w:val="both"/>
        <w:rPr>
          <w:rFonts w:ascii="FrankRuehl" w:hAnsi="FrankRuehl" w:cs="FrankRuehl"/>
          <w:sz w:val="28"/>
          <w:szCs w:val="28"/>
          <w:rtl/>
        </w:rPr>
      </w:pPr>
    </w:p>
    <w:p w14:paraId="68F68579"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t xml:space="preserve">בחינת </w:t>
      </w:r>
      <w:r>
        <w:rPr>
          <w:rFonts w:ascii="FrankRuehl" w:hAnsi="FrankRuehl" w:cs="FrankRuehl"/>
          <w:sz w:val="28"/>
          <w:szCs w:val="28"/>
          <w:rtl/>
        </w:rPr>
        <w:t xml:space="preserve">מדינות הענישה הנוהגת, </w:t>
      </w:r>
      <w:r>
        <w:rPr>
          <w:rFonts w:ascii="FrankRuehl" w:hAnsi="FrankRuehl" w:cs="FrankRuehl" w:hint="cs"/>
          <w:sz w:val="28"/>
          <w:szCs w:val="28"/>
          <w:rtl/>
        </w:rPr>
        <w:t xml:space="preserve">מלמדת על מגמת ההחמרה בעבירות מסוג זה. לא פעם נקבעו מתחמי ענישה חמורים, הן לעבירות של השתתפות בהתפרעות שכללה יידוי אבני וירי זיקוקים לעבר כוחות הביטחון והן לעבירות של ייצור בקבוקי תבערה אשר שימשו לאחר מכן כנגד כוחות הביטחון.  </w:t>
      </w:r>
    </w:p>
    <w:p w14:paraId="546B5902" w14:textId="77777777" w:rsidR="00FE62E5" w:rsidRDefault="00FE62E5" w:rsidP="00FE62E5">
      <w:pPr>
        <w:spacing w:line="360" w:lineRule="auto"/>
        <w:jc w:val="both"/>
        <w:rPr>
          <w:rFonts w:ascii="FrankRuehl" w:hAnsi="FrankRuehl" w:cs="FrankRuehl"/>
          <w:sz w:val="28"/>
          <w:szCs w:val="28"/>
          <w:rtl/>
        </w:rPr>
      </w:pPr>
    </w:p>
    <w:p w14:paraId="35428AB4"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 xml:space="preserve">פסקי הדין רבים ודי לציין כמה מהם. </w:t>
      </w:r>
    </w:p>
    <w:p w14:paraId="54CFE139" w14:textId="77777777" w:rsidR="00FE62E5" w:rsidRDefault="00FE62E5" w:rsidP="00FE62E5">
      <w:pPr>
        <w:spacing w:line="360" w:lineRule="auto"/>
        <w:jc w:val="both"/>
        <w:rPr>
          <w:rFonts w:ascii="FrankRuehl" w:hAnsi="FrankRuehl" w:cs="FrankRuehl"/>
          <w:sz w:val="28"/>
          <w:szCs w:val="28"/>
          <w:rtl/>
        </w:rPr>
      </w:pPr>
    </w:p>
    <w:p w14:paraId="46002CA3" w14:textId="77777777" w:rsidR="00FE62E5" w:rsidRPr="00CD2328" w:rsidRDefault="00FE62E5" w:rsidP="00FE62E5">
      <w:pPr>
        <w:pStyle w:val="a9"/>
        <w:numPr>
          <w:ilvl w:val="0"/>
          <w:numId w:val="1"/>
        </w:numPr>
        <w:shd w:val="clear" w:color="auto" w:fill="FFFFFF"/>
        <w:spacing w:line="360" w:lineRule="auto"/>
        <w:jc w:val="both"/>
        <w:rPr>
          <w:rFonts w:ascii="FrankRuehl" w:hAnsi="FrankRuehl" w:cs="FrankRuehl"/>
          <w:sz w:val="28"/>
          <w:szCs w:val="28"/>
          <w:rtl/>
        </w:rPr>
      </w:pPr>
      <w:r w:rsidRPr="00CD2328">
        <w:rPr>
          <w:rFonts w:ascii="FrankRuehl" w:hAnsi="FrankRuehl" w:cs="FrankRuehl"/>
          <w:color w:val="000000"/>
          <w:sz w:val="28"/>
          <w:szCs w:val="28"/>
          <w:rtl/>
        </w:rPr>
        <w:t>ב</w:t>
      </w:r>
      <w:hyperlink r:id="rId35" w:history="1">
        <w:r w:rsidR="0086372B" w:rsidRPr="0086372B">
          <w:rPr>
            <w:rFonts w:ascii="FrankRuehl" w:hAnsi="FrankRuehl" w:cs="FrankRuehl"/>
            <w:color w:val="0000FF"/>
            <w:sz w:val="28"/>
            <w:szCs w:val="28"/>
            <w:u w:val="single"/>
            <w:rtl/>
          </w:rPr>
          <w:t>ע"פ 4324/16</w:t>
        </w:r>
      </w:hyperlink>
      <w:r w:rsidRPr="00CD2328">
        <w:rPr>
          <w:rFonts w:ascii="FrankRuehl" w:hAnsi="FrankRuehl" w:cs="FrankRuehl"/>
          <w:color w:val="000000"/>
          <w:sz w:val="28"/>
          <w:szCs w:val="28"/>
          <w:rtl/>
        </w:rPr>
        <w:t xml:space="preserve"> </w:t>
      </w:r>
      <w:r w:rsidRPr="00CD2328">
        <w:rPr>
          <w:rFonts w:ascii="FrankRuehl" w:hAnsi="FrankRuehl" w:cs="FrankRuehl"/>
          <w:b/>
          <w:bCs/>
          <w:color w:val="000000"/>
          <w:sz w:val="28"/>
          <w:szCs w:val="28"/>
          <w:rtl/>
        </w:rPr>
        <w:t>נגאר נ' מדינת ישראל</w:t>
      </w:r>
      <w:r w:rsidRPr="00CD2328">
        <w:rPr>
          <w:rFonts w:ascii="FrankRuehl" w:hAnsi="FrankRuehl" w:cs="FrankRuehl"/>
          <w:color w:val="000000"/>
          <w:sz w:val="28"/>
          <w:szCs w:val="28"/>
          <w:rtl/>
        </w:rPr>
        <w:t xml:space="preserve"> (31.07.16)</w:t>
      </w:r>
      <w:r w:rsidRPr="00CD2328">
        <w:rPr>
          <w:rFonts w:ascii="FrankRuehl" w:hAnsi="FrankRuehl" w:cs="FrankRuehl" w:hint="cs"/>
          <w:color w:val="000000"/>
          <w:sz w:val="28"/>
          <w:szCs w:val="28"/>
          <w:rtl/>
        </w:rPr>
        <w:t xml:space="preserve"> נידון גזר דין של בית המשפט המחוזי שהשית עונש של 28 חודשי מאסר על </w:t>
      </w:r>
      <w:r w:rsidRPr="00CD2328">
        <w:rPr>
          <w:rFonts w:ascii="FrankRuehl" w:hAnsi="FrankRuehl" w:cs="FrankRuehl"/>
          <w:sz w:val="28"/>
          <w:szCs w:val="28"/>
          <w:rtl/>
        </w:rPr>
        <w:t>נאשם שהורשע בשני אישומים</w:t>
      </w:r>
      <w:r w:rsidRPr="00CD2328">
        <w:rPr>
          <w:rFonts w:ascii="FrankRuehl" w:hAnsi="FrankRuehl" w:cs="FrankRuehl" w:hint="cs"/>
          <w:sz w:val="28"/>
          <w:szCs w:val="28"/>
          <w:rtl/>
        </w:rPr>
        <w:t xml:space="preserve">, שכללו השתתפות </w:t>
      </w:r>
      <w:r w:rsidRPr="00CD2328">
        <w:rPr>
          <w:rFonts w:ascii="FrankRuehl" w:hAnsi="FrankRuehl" w:cs="FrankRuehl"/>
          <w:sz w:val="28"/>
          <w:szCs w:val="28"/>
          <w:rtl/>
        </w:rPr>
        <w:t>בהפרות סדר, ויי</w:t>
      </w:r>
      <w:r w:rsidRPr="00CD2328">
        <w:rPr>
          <w:rFonts w:ascii="FrankRuehl" w:hAnsi="FrankRuehl" w:cs="FrankRuehl" w:hint="cs"/>
          <w:sz w:val="28"/>
          <w:szCs w:val="28"/>
          <w:rtl/>
        </w:rPr>
        <w:t>דוי</w:t>
      </w:r>
      <w:r w:rsidRPr="00CD2328">
        <w:rPr>
          <w:rFonts w:ascii="FrankRuehl" w:hAnsi="FrankRuehl" w:cs="FrankRuehl"/>
          <w:sz w:val="28"/>
          <w:szCs w:val="28"/>
          <w:rtl/>
        </w:rPr>
        <w:t xml:space="preserve"> אבנים לעבר שוטרים</w:t>
      </w:r>
      <w:r w:rsidRPr="00CD2328">
        <w:rPr>
          <w:rFonts w:ascii="FrankRuehl" w:hAnsi="FrankRuehl" w:cs="FrankRuehl" w:hint="cs"/>
          <w:sz w:val="28"/>
          <w:szCs w:val="28"/>
          <w:rtl/>
        </w:rPr>
        <w:t xml:space="preserve">, </w:t>
      </w:r>
      <w:r w:rsidRPr="00CD2328">
        <w:rPr>
          <w:rFonts w:ascii="FrankRuehl" w:hAnsi="FrankRuehl" w:cs="FrankRuehl"/>
          <w:sz w:val="28"/>
          <w:szCs w:val="28"/>
          <w:rtl/>
        </w:rPr>
        <w:t>ניסיון תקיפת שוטר בנסיבות מחמירות.</w:t>
      </w:r>
      <w:r w:rsidRPr="00CD2328">
        <w:rPr>
          <w:rFonts w:ascii="FrankRuehl" w:hAnsi="FrankRuehl" w:cs="FrankRuehl" w:hint="cs"/>
          <w:sz w:val="28"/>
          <w:szCs w:val="28"/>
          <w:rtl/>
        </w:rPr>
        <w:t xml:space="preserve"> הערעור נדחה. </w:t>
      </w:r>
    </w:p>
    <w:p w14:paraId="0FBD3665" w14:textId="77777777" w:rsidR="00FE62E5" w:rsidRPr="00CD2328" w:rsidRDefault="00FE62E5" w:rsidP="00FE62E5">
      <w:pPr>
        <w:pStyle w:val="a9"/>
        <w:numPr>
          <w:ilvl w:val="0"/>
          <w:numId w:val="1"/>
        </w:numPr>
        <w:shd w:val="clear" w:color="auto" w:fill="FFFFFF"/>
        <w:spacing w:line="360" w:lineRule="auto"/>
        <w:jc w:val="both"/>
        <w:rPr>
          <w:rFonts w:ascii="FrankRuehl" w:hAnsi="FrankRuehl" w:cs="FrankRuehl"/>
          <w:sz w:val="28"/>
          <w:szCs w:val="28"/>
          <w:rtl/>
        </w:rPr>
      </w:pPr>
      <w:r w:rsidRPr="00CD2328">
        <w:rPr>
          <w:rFonts w:ascii="FrankRuehl" w:hAnsi="FrankRuehl" w:cs="FrankRuehl"/>
          <w:sz w:val="28"/>
          <w:szCs w:val="28"/>
          <w:rtl/>
        </w:rPr>
        <w:t>ב</w:t>
      </w:r>
      <w:hyperlink r:id="rId36" w:history="1">
        <w:r w:rsidR="0086372B" w:rsidRPr="0086372B">
          <w:rPr>
            <w:rFonts w:ascii="FrankRuehl" w:hAnsi="FrankRuehl" w:cs="FrankRuehl"/>
            <w:color w:val="0000FF"/>
            <w:sz w:val="28"/>
            <w:szCs w:val="28"/>
            <w:u w:val="single"/>
            <w:rtl/>
          </w:rPr>
          <w:t>ת"פ (מחוזי י-ם) 16050-08-15</w:t>
        </w:r>
      </w:hyperlink>
      <w:r w:rsidRPr="00CD2328">
        <w:rPr>
          <w:rFonts w:ascii="FrankRuehl" w:hAnsi="FrankRuehl" w:cs="FrankRuehl"/>
          <w:color w:val="000000"/>
          <w:sz w:val="28"/>
          <w:szCs w:val="28"/>
          <w:rtl/>
        </w:rPr>
        <w:t xml:space="preserve"> </w:t>
      </w:r>
      <w:r w:rsidRPr="00CD2328">
        <w:rPr>
          <w:rFonts w:ascii="FrankRuehl" w:hAnsi="FrankRuehl" w:cs="FrankRuehl"/>
          <w:b/>
          <w:bCs/>
          <w:color w:val="000000"/>
          <w:sz w:val="28"/>
          <w:szCs w:val="28"/>
          <w:rtl/>
        </w:rPr>
        <w:t>מדינת ישראל נ' עבאסי</w:t>
      </w:r>
      <w:r w:rsidRPr="00CD2328">
        <w:rPr>
          <w:rFonts w:ascii="FrankRuehl" w:hAnsi="FrankRuehl" w:cs="FrankRuehl"/>
          <w:color w:val="000000"/>
          <w:sz w:val="28"/>
          <w:szCs w:val="28"/>
          <w:rtl/>
        </w:rPr>
        <w:t xml:space="preserve"> (15.05.16)‏</w:t>
      </w:r>
      <w:r w:rsidRPr="00CD2328">
        <w:rPr>
          <w:rFonts w:ascii="FrankRuehl" w:hAnsi="FrankRuehl" w:cs="FrankRuehl" w:hint="cs"/>
          <w:color w:val="000000"/>
          <w:sz w:val="28"/>
          <w:szCs w:val="28"/>
          <w:rtl/>
        </w:rPr>
        <w:t xml:space="preserve"> נקבע מתחם של 24 עד 48 חודשי מאסר במקרה בו</w:t>
      </w:r>
      <w:r w:rsidRPr="00CD2328">
        <w:rPr>
          <w:rFonts w:ascii="FrankRuehl" w:hAnsi="FrankRuehl" w:cs="FrankRuehl"/>
          <w:sz w:val="28"/>
          <w:szCs w:val="28"/>
          <w:rtl/>
        </w:rPr>
        <w:t>‏ במהלך ההתפרעות בשכונת סילוואן יודו בקבוקי תבערה ואבנים ונורו זיקוקים לעבר כוחות הביטחון</w:t>
      </w:r>
      <w:r w:rsidRPr="00CD2328">
        <w:rPr>
          <w:rFonts w:ascii="FrankRuehl" w:hAnsi="FrankRuehl" w:cs="FrankRuehl" w:hint="cs"/>
          <w:sz w:val="28"/>
          <w:szCs w:val="28"/>
          <w:rtl/>
        </w:rPr>
        <w:t>, כשה</w:t>
      </w:r>
      <w:r w:rsidRPr="00CD2328">
        <w:rPr>
          <w:rFonts w:ascii="FrankRuehl" w:hAnsi="FrankRuehl" w:cs="FrankRuehl"/>
          <w:sz w:val="28"/>
          <w:szCs w:val="28"/>
          <w:rtl/>
        </w:rPr>
        <w:t>נאשם, שהיה רעול פנים, יידה מספר אבנים לעבר כוחות המשטרה במקום</w:t>
      </w:r>
      <w:r w:rsidRPr="00CD2328">
        <w:rPr>
          <w:rFonts w:ascii="FrankRuehl" w:hAnsi="FrankRuehl" w:cs="FrankRuehl" w:hint="cs"/>
          <w:sz w:val="28"/>
          <w:szCs w:val="28"/>
          <w:rtl/>
        </w:rPr>
        <w:t>.</w:t>
      </w:r>
    </w:p>
    <w:p w14:paraId="68DC779D" w14:textId="77777777" w:rsidR="00FE62E5" w:rsidRPr="00CD2328" w:rsidRDefault="00FE62E5" w:rsidP="00FE62E5">
      <w:pPr>
        <w:pStyle w:val="a9"/>
        <w:numPr>
          <w:ilvl w:val="0"/>
          <w:numId w:val="1"/>
        </w:numPr>
        <w:shd w:val="clear" w:color="auto" w:fill="FFFFFF"/>
        <w:spacing w:line="360" w:lineRule="auto"/>
        <w:jc w:val="both"/>
        <w:rPr>
          <w:rFonts w:ascii="FrankRuehl" w:hAnsi="FrankRuehl" w:cs="FrankRuehl"/>
          <w:sz w:val="28"/>
          <w:szCs w:val="28"/>
          <w:rtl/>
        </w:rPr>
      </w:pPr>
      <w:r w:rsidRPr="00CD2328">
        <w:rPr>
          <w:rFonts w:ascii="FrankRuehl" w:hAnsi="FrankRuehl" w:cs="FrankRuehl"/>
          <w:sz w:val="28"/>
          <w:szCs w:val="28"/>
          <w:rtl/>
        </w:rPr>
        <w:t>ב</w:t>
      </w:r>
      <w:hyperlink r:id="rId37" w:history="1">
        <w:r w:rsidR="0086372B" w:rsidRPr="0086372B">
          <w:rPr>
            <w:rFonts w:ascii="FrankRuehl" w:hAnsi="FrankRuehl" w:cs="FrankRuehl"/>
            <w:color w:val="0000FF"/>
            <w:sz w:val="28"/>
            <w:szCs w:val="28"/>
            <w:u w:val="single"/>
            <w:rtl/>
          </w:rPr>
          <w:t>ת"פ (מחוזי-י-ם) 37387-04-18</w:t>
        </w:r>
      </w:hyperlink>
      <w:r w:rsidRPr="00CD2328">
        <w:rPr>
          <w:rFonts w:ascii="FrankRuehl" w:hAnsi="FrankRuehl" w:cs="FrankRuehl"/>
          <w:sz w:val="28"/>
          <w:szCs w:val="28"/>
          <w:rtl/>
        </w:rPr>
        <w:t xml:space="preserve"> </w:t>
      </w:r>
      <w:r w:rsidRPr="00CD2328">
        <w:rPr>
          <w:rFonts w:ascii="FrankRuehl" w:hAnsi="FrankRuehl" w:cs="FrankRuehl"/>
          <w:b/>
          <w:bCs/>
          <w:sz w:val="28"/>
          <w:szCs w:val="28"/>
          <w:rtl/>
        </w:rPr>
        <w:t xml:space="preserve">מדינת ישראל נ' דחל אללה </w:t>
      </w:r>
      <w:r w:rsidRPr="00CD2328">
        <w:rPr>
          <w:rFonts w:ascii="FrankRuehl" w:hAnsi="FrankRuehl" w:cs="FrankRuehl"/>
          <w:sz w:val="28"/>
          <w:szCs w:val="28"/>
          <w:rtl/>
        </w:rPr>
        <w:t xml:space="preserve">(18.02.19) נדון עניינו של נאשם שהורשע בשתי עבירות של ייצור נשק, בעבירת נשיאת נשק ובשתי עבירות של ניסיון הצתה, שביצע יחד עם אחרים, לאחר שהכין איתם בקבוקי תבערה ואך יידה אותם יחד עם האחרים לעבר בית החולים הדסה הר הצופים. בית המשפט קבע מתחם עונש הנע בין 18 ל-36 חודשי מאסר בפועל. על הנאשם, הנעדר הרשעות קודמות, הושת עונש מאסר בפועל למשך 20 חודש ומאסר מותנה.  </w:t>
      </w:r>
    </w:p>
    <w:p w14:paraId="6CE5A157" w14:textId="77777777" w:rsidR="00FE62E5" w:rsidRPr="00CD2328" w:rsidRDefault="00FE62E5" w:rsidP="00FE62E5">
      <w:pPr>
        <w:pStyle w:val="a9"/>
        <w:numPr>
          <w:ilvl w:val="0"/>
          <w:numId w:val="1"/>
        </w:numPr>
        <w:spacing w:line="360" w:lineRule="auto"/>
        <w:jc w:val="both"/>
        <w:rPr>
          <w:rFonts w:ascii="FrankRuehl" w:hAnsi="FrankRuehl" w:cs="FrankRuehl"/>
          <w:sz w:val="28"/>
          <w:szCs w:val="28"/>
          <w:rtl/>
        </w:rPr>
      </w:pPr>
      <w:r w:rsidRPr="00CD2328">
        <w:rPr>
          <w:rFonts w:ascii="FrankRuehl" w:hAnsi="FrankRuehl" w:cs="FrankRuehl" w:hint="cs"/>
          <w:sz w:val="28"/>
          <w:szCs w:val="28"/>
          <w:rtl/>
        </w:rPr>
        <w:t>ב</w:t>
      </w:r>
      <w:r w:rsidRPr="00CD2328">
        <w:rPr>
          <w:rFonts w:ascii="FrankRuehl" w:hAnsi="FrankRuehl" w:cs="FrankRuehl"/>
          <w:sz w:val="28"/>
          <w:szCs w:val="28"/>
          <w:rtl/>
        </w:rPr>
        <w:t xml:space="preserve">ת"פ (מחוזי-י-ם) </w:t>
      </w:r>
      <w:hyperlink r:id="rId38" w:history="1">
        <w:r w:rsidR="004A4B6E" w:rsidRPr="004A4B6E">
          <w:rPr>
            <w:rFonts w:ascii="FrankRuehl" w:hAnsi="FrankRuehl" w:cs="FrankRuehl"/>
            <w:color w:val="0000FF"/>
            <w:sz w:val="28"/>
            <w:szCs w:val="28"/>
            <w:u w:val="single"/>
            <w:rtl/>
          </w:rPr>
          <w:t xml:space="preserve">32585-03-21 </w:t>
        </w:r>
      </w:hyperlink>
      <w:r w:rsidR="0086372B">
        <w:rPr>
          <w:rFonts w:ascii="FrankRuehl" w:hAnsi="FrankRuehl" w:cs="FrankRuehl"/>
          <w:sz w:val="28"/>
          <w:szCs w:val="28"/>
          <w:rtl/>
        </w:rPr>
        <w:t xml:space="preserve"> </w:t>
      </w:r>
      <w:r w:rsidRPr="00CD2328">
        <w:rPr>
          <w:rFonts w:ascii="FrankRuehl" w:hAnsi="FrankRuehl" w:cs="FrankRuehl"/>
          <w:b/>
          <w:bCs/>
          <w:sz w:val="28"/>
          <w:szCs w:val="28"/>
          <w:rtl/>
        </w:rPr>
        <w:t>מדינת ישראל נ' קוואסמה</w:t>
      </w:r>
      <w:r w:rsidR="0086372B">
        <w:rPr>
          <w:rFonts w:ascii="FrankRuehl" w:hAnsi="FrankRuehl" w:cs="FrankRuehl"/>
          <w:b/>
          <w:bCs/>
          <w:sz w:val="28"/>
          <w:szCs w:val="28"/>
          <w:rtl/>
        </w:rPr>
        <w:t xml:space="preserve"> </w:t>
      </w:r>
      <w:r w:rsidRPr="00CD2328">
        <w:rPr>
          <w:rFonts w:ascii="FrankRuehl" w:hAnsi="FrankRuehl" w:cs="FrankRuehl"/>
          <w:b/>
          <w:bCs/>
          <w:sz w:val="28"/>
          <w:szCs w:val="28"/>
          <w:rtl/>
        </w:rPr>
        <w:t>(</w:t>
      </w:r>
      <w:r w:rsidRPr="00CD2328">
        <w:rPr>
          <w:rFonts w:ascii="FrankRuehl" w:hAnsi="FrankRuehl" w:cs="FrankRuehl"/>
          <w:sz w:val="28"/>
          <w:szCs w:val="28"/>
          <w:rtl/>
        </w:rPr>
        <w:t>10.09.21), נקבע מתחם שנע בין</w:t>
      </w:r>
      <w:r w:rsidRPr="00CD2328">
        <w:rPr>
          <w:rFonts w:ascii="FrankRuehl" w:hAnsi="FrankRuehl" w:cs="FrankRuehl" w:hint="cs"/>
          <w:sz w:val="28"/>
          <w:szCs w:val="28"/>
          <w:rtl/>
        </w:rPr>
        <w:t xml:space="preserve"> 10 ל-18 </w:t>
      </w:r>
      <w:r w:rsidRPr="00CD2328">
        <w:rPr>
          <w:rFonts w:ascii="FrankRuehl" w:hAnsi="FrankRuehl" w:cs="FrankRuehl"/>
          <w:sz w:val="28"/>
          <w:szCs w:val="28"/>
          <w:rtl/>
        </w:rPr>
        <w:t>חודשי מאסר בפועל, במקרה בו השליכו הנאשמים בקבוקי תבערה, אבנים וזיקוקים אל עבר שער הכניסה למחנה הפליטים שועפט, זאת בשים לב לעובדה כי בקבוקי התבערה והאבנים הושלכו אל עבר השער במטרה למנוע מעבר של כוחות הביטחון, אך לא אל עבר כוחות הביטחון עצמם.</w:t>
      </w:r>
    </w:p>
    <w:p w14:paraId="406B889B" w14:textId="77777777" w:rsidR="00FE62E5" w:rsidRPr="00CD2328" w:rsidRDefault="00FE62E5" w:rsidP="00FE62E5">
      <w:pPr>
        <w:pStyle w:val="a9"/>
        <w:numPr>
          <w:ilvl w:val="0"/>
          <w:numId w:val="1"/>
        </w:numPr>
        <w:spacing w:line="360" w:lineRule="auto"/>
        <w:jc w:val="both"/>
        <w:rPr>
          <w:rFonts w:ascii="FrankRuehl" w:hAnsi="FrankRuehl" w:cs="FrankRuehl"/>
          <w:sz w:val="28"/>
          <w:szCs w:val="28"/>
          <w:rtl/>
        </w:rPr>
      </w:pPr>
      <w:r w:rsidRPr="00CD2328">
        <w:rPr>
          <w:rFonts w:ascii="FrankRuehl" w:hAnsi="FrankRuehl" w:cs="FrankRuehl" w:hint="cs"/>
          <w:sz w:val="28"/>
          <w:szCs w:val="28"/>
          <w:rtl/>
        </w:rPr>
        <w:t>ב</w:t>
      </w:r>
      <w:hyperlink r:id="rId39" w:history="1">
        <w:r w:rsidR="0086372B" w:rsidRPr="0086372B">
          <w:rPr>
            <w:rFonts w:ascii="FrankRuehl" w:hAnsi="FrankRuehl" w:cs="FrankRuehl"/>
            <w:color w:val="0000FF"/>
            <w:sz w:val="28"/>
            <w:szCs w:val="28"/>
            <w:u w:val="single"/>
            <w:rtl/>
          </w:rPr>
          <w:t>ע"פ 9821/16</w:t>
        </w:r>
      </w:hyperlink>
      <w:r w:rsidRPr="00CD2328">
        <w:rPr>
          <w:rFonts w:ascii="FrankRuehl" w:hAnsi="FrankRuehl" w:cs="FrankRuehl" w:hint="cs"/>
          <w:sz w:val="28"/>
          <w:szCs w:val="28"/>
          <w:rtl/>
        </w:rPr>
        <w:t xml:space="preserve"> </w:t>
      </w:r>
      <w:r w:rsidRPr="00CD2328">
        <w:rPr>
          <w:rFonts w:ascii="FrankRuehl" w:hAnsi="FrankRuehl" w:cs="FrankRuehl" w:hint="cs"/>
          <w:b/>
          <w:bCs/>
          <w:sz w:val="28"/>
          <w:szCs w:val="28"/>
          <w:rtl/>
        </w:rPr>
        <w:t>פלוני נ' מדינת ישראל</w:t>
      </w:r>
      <w:r w:rsidRPr="00CD2328">
        <w:rPr>
          <w:rFonts w:ascii="FrankRuehl" w:hAnsi="FrankRuehl" w:cs="FrankRuehl" w:hint="cs"/>
          <w:sz w:val="28"/>
          <w:szCs w:val="28"/>
          <w:rtl/>
        </w:rPr>
        <w:t xml:space="preserve"> (30.11.17) </w:t>
      </w:r>
      <w:r w:rsidRPr="00CD2328">
        <w:rPr>
          <w:rFonts w:ascii="FrankRuehl" w:hAnsi="FrankRuehl" w:cs="FrankRuehl"/>
          <w:sz w:val="28"/>
          <w:szCs w:val="28"/>
          <w:rtl/>
        </w:rPr>
        <w:t>נקבע במסגרת גזר הדין מתחם שנע בין 3 ועד ל-6 שנות מאסר</w:t>
      </w:r>
      <w:r w:rsidRPr="00CD2328">
        <w:rPr>
          <w:rFonts w:ascii="FrankRuehl" w:hAnsi="FrankRuehl" w:cs="FrankRuehl" w:hint="cs"/>
          <w:sz w:val="28"/>
          <w:szCs w:val="28"/>
          <w:rtl/>
        </w:rPr>
        <w:t xml:space="preserve">, מקום בו </w:t>
      </w:r>
      <w:r w:rsidRPr="00CD2328">
        <w:rPr>
          <w:rFonts w:ascii="FrankRuehl" w:hAnsi="FrankRuehl" w:cs="FrankRuehl"/>
          <w:sz w:val="28"/>
          <w:szCs w:val="28"/>
          <w:rtl/>
        </w:rPr>
        <w:t>הורשעו נאשמים על פי הודאותיהם במסגרת הסדר טיעון בעבירות של יידוי אבנים, בקבוקי תבערה, ובעבירה חמורה יותר של ייצור נשק</w:t>
      </w:r>
      <w:r w:rsidRPr="00CD2328">
        <w:rPr>
          <w:rFonts w:ascii="FrankRuehl" w:hAnsi="FrankRuehl" w:cs="FrankRuehl" w:hint="cs"/>
          <w:sz w:val="28"/>
          <w:szCs w:val="28"/>
          <w:rtl/>
        </w:rPr>
        <w:t>.</w:t>
      </w:r>
    </w:p>
    <w:p w14:paraId="786481D7" w14:textId="77777777" w:rsidR="00FE62E5" w:rsidRPr="00B52A7C" w:rsidRDefault="00FE62E5" w:rsidP="00FE62E5">
      <w:pPr>
        <w:spacing w:after="160" w:line="360" w:lineRule="atLeast"/>
        <w:jc w:val="both"/>
        <w:rPr>
          <w:rFonts w:cs="Times New Roman"/>
          <w:color w:val="000000"/>
          <w:sz w:val="27"/>
          <w:szCs w:val="27"/>
          <w:rtl/>
        </w:rPr>
      </w:pPr>
    </w:p>
    <w:p w14:paraId="42D605A6" w14:textId="77777777" w:rsidR="00FE62E5" w:rsidRPr="00167825" w:rsidRDefault="00FE62E5" w:rsidP="00FE62E5">
      <w:pPr>
        <w:spacing w:line="360" w:lineRule="auto"/>
        <w:jc w:val="both"/>
        <w:rPr>
          <w:rFonts w:ascii="FrankRuehl" w:hAnsi="FrankRuehl" w:cs="FrankRuehl"/>
          <w:sz w:val="28"/>
          <w:szCs w:val="28"/>
          <w:rtl/>
        </w:rPr>
      </w:pPr>
      <w:r>
        <w:rPr>
          <w:rFonts w:ascii="FrankRuehl" w:hAnsi="FrankRuehl" w:cs="FrankRuehl" w:hint="cs"/>
          <w:color w:val="000000"/>
          <w:sz w:val="28"/>
          <w:szCs w:val="28"/>
          <w:rtl/>
        </w:rPr>
        <w:t>16.</w:t>
      </w:r>
      <w:r>
        <w:rPr>
          <w:rFonts w:ascii="FrankRuehl" w:hAnsi="FrankRuehl" w:cs="FrankRuehl" w:hint="cs"/>
          <w:color w:val="000000"/>
          <w:sz w:val="28"/>
          <w:szCs w:val="28"/>
          <w:rtl/>
        </w:rPr>
        <w:tab/>
        <w:t>ה</w:t>
      </w:r>
      <w:r>
        <w:rPr>
          <w:rFonts w:ascii="FrankRuehl" w:hAnsi="FrankRuehl" w:cs="FrankRuehl"/>
          <w:color w:val="000000"/>
          <w:sz w:val="28"/>
          <w:szCs w:val="28"/>
          <w:rtl/>
        </w:rPr>
        <w:t>פסיקה הנזכרת עוסקת בעבירות של יידוי בקבוקי תבערה ואבנים במהלך התפרעויות ובמקרים בהם הדבר נעשה למטרות טרור וכמעשה טרור כמשמעותם בחוק המאבק בטרור. אך במקרה זה ישנה חומרה יתרה נוספת ב</w:t>
      </w:r>
      <w:r>
        <w:rPr>
          <w:rFonts w:ascii="FrankRuehl" w:hAnsi="FrankRuehl" w:cs="FrankRuehl" w:hint="cs"/>
          <w:sz w:val="28"/>
          <w:szCs w:val="28"/>
          <w:rtl/>
        </w:rPr>
        <w:t xml:space="preserve">ועל כל האמור, </w:t>
      </w:r>
      <w:r w:rsidRPr="00167825">
        <w:rPr>
          <w:rFonts w:ascii="FrankRuehl" w:hAnsi="FrankRuehl" w:cs="FrankRuehl"/>
          <w:sz w:val="28"/>
          <w:szCs w:val="28"/>
          <w:rtl/>
        </w:rPr>
        <w:t>במקרה זה ישנה חומרה יתרה נוספת בשל כך שהמעשים נעשו במסגרת גל התפרעויות אלימות והפרות סדר קשות על רקע לאומני וגזעני שנעשו על ידי תושבים מבית, תוך כדי שמדינת ישראל מצויה בלחימה ותחת ירי רקטות מסיבי לעבר אזרחיה, כמעין חזית פנימית נגד המדינה.</w:t>
      </w:r>
      <w:r>
        <w:rPr>
          <w:rFonts w:ascii="FrankRuehl" w:hAnsi="FrankRuehl" w:cs="FrankRuehl"/>
          <w:sz w:val="28"/>
          <w:szCs w:val="28"/>
          <w:rtl/>
        </w:rPr>
        <w:t xml:space="preserve"> בית המשפט התייחס לא פעם לחומרת</w:t>
      </w:r>
      <w:r>
        <w:rPr>
          <w:rFonts w:ascii="FrankRuehl" w:hAnsi="FrankRuehl" w:cs="FrankRuehl" w:hint="cs"/>
          <w:sz w:val="28"/>
          <w:szCs w:val="28"/>
          <w:rtl/>
        </w:rPr>
        <w:t>ן</w:t>
      </w:r>
      <w:r w:rsidRPr="00167825">
        <w:rPr>
          <w:rFonts w:ascii="FrankRuehl" w:hAnsi="FrankRuehl" w:cs="FrankRuehl"/>
          <w:sz w:val="28"/>
          <w:szCs w:val="28"/>
          <w:rtl/>
        </w:rPr>
        <w:t xml:space="preserve"> של עבירות פחותות מאלו שביצע הנאשם, דוגמת עבירות רכוש,</w:t>
      </w:r>
      <w:r w:rsidR="0086372B">
        <w:rPr>
          <w:rFonts w:ascii="FrankRuehl" w:hAnsi="FrankRuehl" w:cs="FrankRuehl"/>
          <w:sz w:val="28"/>
          <w:szCs w:val="28"/>
          <w:rtl/>
        </w:rPr>
        <w:t xml:space="preserve"> </w:t>
      </w:r>
      <w:r w:rsidRPr="00167825">
        <w:rPr>
          <w:rFonts w:ascii="FrankRuehl" w:hAnsi="FrankRuehl" w:cs="FrankRuehl"/>
          <w:sz w:val="28"/>
          <w:szCs w:val="28"/>
          <w:rtl/>
        </w:rPr>
        <w:t>בזמן מלחמה, כינה אותם כ"התנהגות חסרת מצפון", וראה בכך נסיבה מחמירה (ראו למשל:</w:t>
      </w:r>
      <w:r>
        <w:rPr>
          <w:rFonts w:ascii="FrankRuehl" w:hAnsi="FrankRuehl" w:cs="FrankRuehl" w:hint="cs"/>
          <w:sz w:val="28"/>
          <w:szCs w:val="28"/>
          <w:rtl/>
        </w:rPr>
        <w:t xml:space="preserve"> </w:t>
      </w:r>
      <w:hyperlink r:id="rId40" w:history="1">
        <w:r w:rsidR="0086372B" w:rsidRPr="0086372B">
          <w:rPr>
            <w:rFonts w:ascii="FrankRuehl" w:hAnsi="FrankRuehl" w:cs="FrankRuehl"/>
            <w:color w:val="0000FF"/>
            <w:sz w:val="28"/>
            <w:szCs w:val="28"/>
            <w:u w:val="single"/>
            <w:rtl/>
          </w:rPr>
          <w:t>בש"פ 6725/06</w:t>
        </w:r>
      </w:hyperlink>
      <w:r w:rsidR="0086372B">
        <w:rPr>
          <w:rFonts w:ascii="FrankRuehl" w:hAnsi="FrankRuehl" w:cs="FrankRuehl"/>
          <w:sz w:val="28"/>
          <w:szCs w:val="28"/>
          <w:rtl/>
        </w:rPr>
        <w:t xml:space="preserve"> </w:t>
      </w:r>
      <w:r w:rsidRPr="00167825">
        <w:rPr>
          <w:rFonts w:ascii="FrankRuehl" w:hAnsi="FrankRuehl" w:cs="FrankRuehl"/>
          <w:b/>
          <w:bCs/>
          <w:sz w:val="28"/>
          <w:szCs w:val="28"/>
          <w:rtl/>
        </w:rPr>
        <w:t>מוזס נ' מדינת ישראל</w:t>
      </w:r>
      <w:r w:rsidR="0086372B">
        <w:rPr>
          <w:rFonts w:ascii="FrankRuehl" w:hAnsi="FrankRuehl" w:cs="FrankRuehl"/>
          <w:sz w:val="28"/>
          <w:szCs w:val="28"/>
          <w:rtl/>
        </w:rPr>
        <w:t xml:space="preserve"> </w:t>
      </w:r>
      <w:r w:rsidRPr="00167825">
        <w:rPr>
          <w:rFonts w:ascii="FrankRuehl" w:hAnsi="FrankRuehl" w:cs="FrankRuehl"/>
          <w:sz w:val="28"/>
          <w:szCs w:val="28"/>
          <w:rtl/>
        </w:rPr>
        <w:t>(27.08.06)). על אחת כמה וכמה, בעבירות מסוג זה שביצע הנאשם כנגד כוחות הביטחון, קיימת חומרה מיוחדת בביצועם בזמן לחימה.</w:t>
      </w:r>
      <w:r w:rsidR="0086372B">
        <w:rPr>
          <w:rFonts w:ascii="FrankRuehl" w:hAnsi="FrankRuehl" w:cs="FrankRuehl"/>
          <w:sz w:val="28"/>
          <w:szCs w:val="28"/>
          <w:rtl/>
        </w:rPr>
        <w:t xml:space="preserve"> </w:t>
      </w:r>
      <w:r w:rsidRPr="00167825">
        <w:rPr>
          <w:rFonts w:ascii="FrankRuehl" w:hAnsi="FrankRuehl" w:cs="FrankRuehl"/>
          <w:sz w:val="28"/>
          <w:szCs w:val="28"/>
          <w:rtl/>
        </w:rPr>
        <w:t>לא זו בלבד שבשל מעשים אלו יש צורך להפנות כוחות בטחון מעיסוקם כנגד האויב מבחוץ לפעולות בטחון פנים, אלא שבמצב דברים זה תוצאת המעשים אינה מוגבלת לאנשי כוחות הביטחון שכנגדם הופנו המעשים האלימים, אלא כנגד הציבור כולו, שכן יש בו להוסיף על הפחד והבהלה שהייתה נחלתו בשל הלחימה מבחוץ והרקטות הרבות שנפלו בישראל. אם במצבי שגרה "עוצמת הפגיעה של הטרור באה לידי ביטוי בכך שמלבד הפגיעה הישירה שהוא מסב לחיי אדם ולשלמות הגוף, יוצר הטרור אפקט פסיכולוגי של פחד ותחושת איום בקרב הציבור כולו ומערער את שגרת חייו של הציבור לאורך זמן" (דברי ההסבר להצעת חוק המאבק בטרור, התשע"ה-2015, ה"ח הממשלה 1066), הרי שבשעה שהדבר נעשה בשעת לחימה ועת שהציבור נמצא תחת התקפת טילים מסיבית מחוץ, אפקט הפחד ותחושת האיום מתעצמת פי כמה. בכך יש כדי להטיל מורך ולפגוע בחוסן הלאומי, וככל שהחוסן הלאומי ילך וייסדק כך ייפגע גם הביטחון הלאומי. גם אם במקרה זה לא היו תוצאות הרות גורל למעשים אלו בהשפעתם על המאמץ הצבאי כלפי חוץ, יש להבטיח שמעשים מעין אלו, של מעשי טרור כנגד כוחות הביטחון בזמן מבצע צבאי, לא ישנו בעתיד, ויובילו חלילה לתוצאות חמורות.</w:t>
      </w:r>
    </w:p>
    <w:p w14:paraId="27A3848D" w14:textId="77777777" w:rsidR="00FE62E5" w:rsidRDefault="00FE62E5" w:rsidP="00FE62E5">
      <w:pPr>
        <w:spacing w:line="360" w:lineRule="auto"/>
        <w:jc w:val="both"/>
        <w:rPr>
          <w:rFonts w:ascii="FrankRuehl" w:hAnsi="FrankRuehl" w:cs="FrankRuehl"/>
          <w:sz w:val="28"/>
          <w:szCs w:val="28"/>
          <w:rtl/>
        </w:rPr>
      </w:pPr>
    </w:p>
    <w:p w14:paraId="4720E77E"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בהקשר זה נוכן לציין את פסקי הדין הבאים:</w:t>
      </w:r>
    </w:p>
    <w:p w14:paraId="545DB78C" w14:textId="77777777" w:rsidR="00FE62E5" w:rsidRPr="00CD2328" w:rsidRDefault="00FE62E5" w:rsidP="00FE62E5">
      <w:pPr>
        <w:spacing w:line="360" w:lineRule="auto"/>
        <w:jc w:val="both"/>
        <w:rPr>
          <w:rFonts w:ascii="FrankRuehl" w:hAnsi="FrankRuehl" w:cs="FrankRuehl"/>
          <w:sz w:val="4"/>
          <w:szCs w:val="4"/>
          <w:rtl/>
        </w:rPr>
      </w:pPr>
    </w:p>
    <w:p w14:paraId="2A57497B" w14:textId="77777777" w:rsidR="00FE62E5" w:rsidRPr="00CD2328" w:rsidRDefault="00FE62E5" w:rsidP="00FE62E5">
      <w:pPr>
        <w:pStyle w:val="a9"/>
        <w:numPr>
          <w:ilvl w:val="0"/>
          <w:numId w:val="1"/>
        </w:numPr>
        <w:spacing w:line="360" w:lineRule="auto"/>
        <w:jc w:val="both"/>
        <w:rPr>
          <w:rFonts w:ascii="FrankRuehl" w:hAnsi="FrankRuehl" w:cs="FrankRuehl"/>
          <w:sz w:val="28"/>
          <w:szCs w:val="28"/>
          <w:rtl/>
        </w:rPr>
      </w:pPr>
      <w:r w:rsidRPr="00CD2328">
        <w:rPr>
          <w:rFonts w:ascii="FrankRuehl" w:hAnsi="FrankRuehl" w:cs="FrankRuehl"/>
          <w:sz w:val="28"/>
          <w:szCs w:val="28"/>
          <w:rtl/>
        </w:rPr>
        <w:t>ב</w:t>
      </w:r>
      <w:hyperlink r:id="rId41" w:history="1">
        <w:r w:rsidR="0086372B" w:rsidRPr="0086372B">
          <w:rPr>
            <w:rFonts w:ascii="FrankRuehl" w:hAnsi="FrankRuehl" w:cs="FrankRuehl"/>
            <w:color w:val="0000FF"/>
            <w:sz w:val="28"/>
            <w:szCs w:val="28"/>
            <w:u w:val="single"/>
            <w:rtl/>
          </w:rPr>
          <w:t>ע"פ 292/22</w:t>
        </w:r>
      </w:hyperlink>
      <w:r w:rsidRPr="00CD2328">
        <w:rPr>
          <w:rFonts w:ascii="FrankRuehl" w:hAnsi="FrankRuehl" w:cs="FrankRuehl"/>
          <w:color w:val="FF0000"/>
          <w:sz w:val="28"/>
          <w:szCs w:val="28"/>
          <w:rtl/>
        </w:rPr>
        <w:t xml:space="preserve"> </w:t>
      </w:r>
      <w:r w:rsidRPr="00CD2328">
        <w:rPr>
          <w:rFonts w:ascii="FrankRuehl" w:hAnsi="FrankRuehl" w:cs="FrankRuehl"/>
          <w:sz w:val="28"/>
          <w:szCs w:val="28"/>
          <w:rtl/>
        </w:rPr>
        <w:t xml:space="preserve"> </w:t>
      </w:r>
      <w:r w:rsidRPr="00CD2328">
        <w:rPr>
          <w:rFonts w:ascii="FrankRuehl" w:hAnsi="FrankRuehl" w:cs="FrankRuehl"/>
          <w:b/>
          <w:bCs/>
          <w:sz w:val="28"/>
          <w:szCs w:val="28"/>
          <w:rtl/>
        </w:rPr>
        <w:t xml:space="preserve">מדינת ישראל נ' חליל </w:t>
      </w:r>
      <w:r w:rsidRPr="00CD2328">
        <w:rPr>
          <w:rFonts w:ascii="FrankRuehl" w:hAnsi="FrankRuehl" w:cs="FrankRuehl"/>
          <w:sz w:val="28"/>
          <w:szCs w:val="28"/>
          <w:rtl/>
        </w:rPr>
        <w:t>(29.</w:t>
      </w:r>
      <w:r w:rsidRPr="00CD2328">
        <w:rPr>
          <w:rFonts w:ascii="FrankRuehl" w:hAnsi="FrankRuehl" w:cs="FrankRuehl" w:hint="cs"/>
          <w:sz w:val="28"/>
          <w:szCs w:val="28"/>
          <w:rtl/>
        </w:rPr>
        <w:t>0</w:t>
      </w:r>
      <w:r w:rsidRPr="00CD2328">
        <w:rPr>
          <w:rFonts w:ascii="FrankRuehl" w:hAnsi="FrankRuehl" w:cs="FrankRuehl"/>
          <w:sz w:val="28"/>
          <w:szCs w:val="28"/>
          <w:rtl/>
        </w:rPr>
        <w:t>5.22)</w:t>
      </w:r>
      <w:r w:rsidRPr="00CD2328">
        <w:rPr>
          <w:rFonts w:ascii="FrankRuehl" w:hAnsi="FrankRuehl" w:cs="FrankRuehl" w:hint="cs"/>
          <w:sz w:val="28"/>
          <w:szCs w:val="28"/>
          <w:rtl/>
        </w:rPr>
        <w:t xml:space="preserve"> נדון עניינו של נאשם שהורשע בע</w:t>
      </w:r>
      <w:r w:rsidRPr="00CD2328">
        <w:rPr>
          <w:rFonts w:ascii="FrankRuehl" w:hAnsi="FrankRuehl" w:cs="FrankRuehl"/>
          <w:sz w:val="28"/>
          <w:szCs w:val="28"/>
          <w:rtl/>
        </w:rPr>
        <w:t>בירות של התפרעות, הפרעה לשוטר, מעשה פזיזות ורשלנות, ייצור נשק והחזקת נשק, כאשר הנשק היה בקבוקי תבערה</w:t>
      </w:r>
      <w:r w:rsidRPr="00CD2328">
        <w:rPr>
          <w:rFonts w:ascii="FrankRuehl" w:hAnsi="FrankRuehl" w:cs="FrankRuehl" w:hint="cs"/>
          <w:sz w:val="28"/>
          <w:szCs w:val="28"/>
          <w:rtl/>
        </w:rPr>
        <w:t xml:space="preserve">. </w:t>
      </w:r>
      <w:r w:rsidRPr="00CD2328">
        <w:rPr>
          <w:rFonts w:ascii="FrankRuehl" w:hAnsi="FrankRuehl" w:cs="FrankRuehl"/>
          <w:sz w:val="28"/>
          <w:szCs w:val="28"/>
          <w:rtl/>
        </w:rPr>
        <w:t xml:space="preserve">בבית המשפט המחוזי </w:t>
      </w:r>
      <w:r w:rsidRPr="00CD2328">
        <w:rPr>
          <w:rFonts w:ascii="FrankRuehl" w:hAnsi="FrankRuehl" w:cs="FrankRuehl" w:hint="cs"/>
          <w:sz w:val="28"/>
          <w:szCs w:val="28"/>
          <w:rtl/>
        </w:rPr>
        <w:t xml:space="preserve">נקבע </w:t>
      </w:r>
      <w:r w:rsidRPr="00CD2328">
        <w:rPr>
          <w:rFonts w:ascii="FrankRuehl" w:hAnsi="FrankRuehl" w:cs="FrankRuehl"/>
          <w:sz w:val="28"/>
          <w:szCs w:val="28"/>
          <w:rtl/>
        </w:rPr>
        <w:t>מתחם עונש הולם של</w:t>
      </w:r>
      <w:r w:rsidRPr="00CD2328">
        <w:rPr>
          <w:rFonts w:ascii="FrankRuehl" w:hAnsi="FrankRuehl" w:cs="FrankRuehl" w:hint="cs"/>
          <w:sz w:val="28"/>
          <w:szCs w:val="28"/>
          <w:rtl/>
        </w:rPr>
        <w:t xml:space="preserve"> 22 עד 48 </w:t>
      </w:r>
      <w:r w:rsidRPr="00CD2328">
        <w:rPr>
          <w:rFonts w:ascii="FrankRuehl" w:hAnsi="FrankRuehl" w:cs="FrankRuehl"/>
          <w:sz w:val="28"/>
          <w:szCs w:val="28"/>
          <w:rtl/>
        </w:rPr>
        <w:t>חודשי מאסר בפועל, ו</w:t>
      </w:r>
      <w:r w:rsidRPr="00CD2328">
        <w:rPr>
          <w:rFonts w:ascii="FrankRuehl" w:hAnsi="FrankRuehl" w:cs="FrankRuehl" w:hint="cs"/>
          <w:sz w:val="28"/>
          <w:szCs w:val="28"/>
          <w:rtl/>
        </w:rPr>
        <w:t xml:space="preserve">על הנאשם </w:t>
      </w:r>
      <w:r w:rsidRPr="00CD2328">
        <w:rPr>
          <w:rFonts w:ascii="FrankRuehl" w:hAnsi="FrankRuehl" w:cs="FrankRuehl"/>
          <w:sz w:val="28"/>
          <w:szCs w:val="28"/>
          <w:rtl/>
        </w:rPr>
        <w:t xml:space="preserve">נגזרו 20 חודשי מאסר. </w:t>
      </w:r>
      <w:r w:rsidRPr="00CD2328">
        <w:rPr>
          <w:rFonts w:ascii="FrankRuehl" w:hAnsi="FrankRuehl" w:cs="FrankRuehl" w:hint="cs"/>
          <w:sz w:val="28"/>
          <w:szCs w:val="28"/>
          <w:rtl/>
        </w:rPr>
        <w:t>ב</w:t>
      </w:r>
      <w:r w:rsidRPr="00CD2328">
        <w:rPr>
          <w:rFonts w:ascii="FrankRuehl" w:hAnsi="FrankRuehl" w:cs="FrankRuehl"/>
          <w:sz w:val="28"/>
          <w:szCs w:val="28"/>
          <w:rtl/>
        </w:rPr>
        <w:t xml:space="preserve">ערעור, </w:t>
      </w:r>
      <w:r w:rsidRPr="00CD2328">
        <w:rPr>
          <w:rFonts w:ascii="FrankRuehl" w:hAnsi="FrankRuehl" w:cs="FrankRuehl" w:hint="cs"/>
          <w:sz w:val="28"/>
          <w:szCs w:val="28"/>
          <w:rtl/>
        </w:rPr>
        <w:t xml:space="preserve">החמיר </w:t>
      </w:r>
      <w:r w:rsidRPr="00CD2328">
        <w:rPr>
          <w:rFonts w:ascii="FrankRuehl" w:hAnsi="FrankRuehl" w:cs="FrankRuehl"/>
          <w:sz w:val="28"/>
          <w:szCs w:val="28"/>
          <w:rtl/>
        </w:rPr>
        <w:t>בית המשפט העליון בעונשו של הנאשם והתווספו לעונש שנגזר 12 חודשי מאסר</w:t>
      </w:r>
      <w:r w:rsidRPr="00CD2328">
        <w:rPr>
          <w:rFonts w:ascii="FrankRuehl" w:hAnsi="FrankRuehl" w:cs="FrankRuehl" w:hint="cs"/>
          <w:sz w:val="28"/>
          <w:szCs w:val="28"/>
          <w:rtl/>
        </w:rPr>
        <w:t>, כשהוא ציין את העובדה ש</w:t>
      </w:r>
      <w:r w:rsidRPr="00CD2328">
        <w:rPr>
          <w:rFonts w:ascii="FrankRuehl" w:hAnsi="FrankRuehl" w:cs="FrankRuehl"/>
          <w:sz w:val="28"/>
          <w:szCs w:val="28"/>
          <w:rtl/>
        </w:rPr>
        <w:t>ערכאת הערעור אינה ממצה את הדין</w:t>
      </w:r>
      <w:r w:rsidRPr="00CD2328">
        <w:rPr>
          <w:rFonts w:ascii="FrankRuehl" w:hAnsi="FrankRuehl" w:cs="FrankRuehl" w:hint="cs"/>
          <w:sz w:val="28"/>
          <w:szCs w:val="28"/>
          <w:rtl/>
        </w:rPr>
        <w:t xml:space="preserve">, גם במקום הו היא רואה להחמיר בעונש. </w:t>
      </w:r>
    </w:p>
    <w:p w14:paraId="71AAC26E" w14:textId="77777777" w:rsidR="00FE62E5" w:rsidRPr="00CD2328" w:rsidRDefault="00FE62E5" w:rsidP="00FE62E5">
      <w:pPr>
        <w:pStyle w:val="a9"/>
        <w:numPr>
          <w:ilvl w:val="0"/>
          <w:numId w:val="1"/>
        </w:numPr>
        <w:spacing w:line="360" w:lineRule="auto"/>
        <w:jc w:val="both"/>
        <w:rPr>
          <w:rFonts w:ascii="FrankRuehl" w:hAnsi="FrankRuehl" w:cs="FrankRuehl"/>
          <w:sz w:val="28"/>
          <w:szCs w:val="28"/>
          <w:rtl/>
        </w:rPr>
      </w:pPr>
      <w:r w:rsidRPr="00CD2328">
        <w:rPr>
          <w:rFonts w:ascii="FrankRuehl" w:hAnsi="FrankRuehl" w:cs="FrankRuehl"/>
          <w:sz w:val="28"/>
          <w:szCs w:val="28"/>
          <w:rtl/>
        </w:rPr>
        <w:t>ב</w:t>
      </w:r>
      <w:hyperlink r:id="rId42" w:history="1">
        <w:r w:rsidR="0086372B" w:rsidRPr="0086372B">
          <w:rPr>
            <w:rFonts w:ascii="FrankRuehl" w:hAnsi="FrankRuehl" w:cs="FrankRuehl"/>
            <w:color w:val="0000FF"/>
            <w:sz w:val="28"/>
            <w:szCs w:val="28"/>
            <w:u w:val="single"/>
            <w:rtl/>
          </w:rPr>
          <w:t>ע"פ 901/22</w:t>
        </w:r>
      </w:hyperlink>
      <w:r w:rsidRPr="00CD2328">
        <w:rPr>
          <w:rFonts w:ascii="FrankRuehl" w:hAnsi="FrankRuehl" w:cs="FrankRuehl" w:hint="cs"/>
          <w:sz w:val="28"/>
          <w:szCs w:val="28"/>
          <w:rtl/>
        </w:rPr>
        <w:t xml:space="preserve"> בעניין </w:t>
      </w:r>
      <w:r w:rsidRPr="00CD2328">
        <w:rPr>
          <w:rFonts w:ascii="FrankRuehl" w:hAnsi="FrankRuehl" w:cs="FrankRuehl"/>
          <w:b/>
          <w:bCs/>
          <w:sz w:val="28"/>
          <w:szCs w:val="28"/>
          <w:rtl/>
        </w:rPr>
        <w:t>אסווד</w:t>
      </w:r>
      <w:r w:rsidRPr="00CD2328">
        <w:rPr>
          <w:rFonts w:ascii="FrankRuehl" w:hAnsi="FrankRuehl" w:cs="FrankRuehl"/>
          <w:sz w:val="28"/>
          <w:szCs w:val="28"/>
          <w:rtl/>
        </w:rPr>
        <w:t xml:space="preserve"> החמ</w:t>
      </w:r>
      <w:r w:rsidRPr="00CD2328">
        <w:rPr>
          <w:rFonts w:ascii="FrankRuehl" w:hAnsi="FrankRuehl" w:cs="FrankRuehl" w:hint="cs"/>
          <w:sz w:val="28"/>
          <w:szCs w:val="28"/>
          <w:rtl/>
        </w:rPr>
        <w:t>י</w:t>
      </w:r>
      <w:r w:rsidRPr="00CD2328">
        <w:rPr>
          <w:rFonts w:ascii="FrankRuehl" w:hAnsi="FrankRuehl" w:cs="FrankRuehl"/>
          <w:sz w:val="28"/>
          <w:szCs w:val="28"/>
          <w:rtl/>
        </w:rPr>
        <w:t>ר</w:t>
      </w:r>
      <w:r w:rsidRPr="00CD2328">
        <w:rPr>
          <w:rFonts w:ascii="FrankRuehl" w:hAnsi="FrankRuehl" w:cs="FrankRuehl" w:hint="cs"/>
          <w:sz w:val="28"/>
          <w:szCs w:val="28"/>
          <w:rtl/>
        </w:rPr>
        <w:t xml:space="preserve"> בית המשפט העליון ב</w:t>
      </w:r>
      <w:r w:rsidRPr="00CD2328">
        <w:rPr>
          <w:rFonts w:ascii="FrankRuehl" w:hAnsi="FrankRuehl" w:cs="FrankRuehl"/>
          <w:sz w:val="28"/>
          <w:szCs w:val="28"/>
          <w:rtl/>
        </w:rPr>
        <w:t xml:space="preserve">עונשו של נאשם אשר הורשע בבית המשפט המחוזי במסגרת הסדר טיעון בעבירות של התפרעות שסופה נזק ממניע גזעני; הסגת גבול כדי לעבור עבירה ממניע גזעני; היזק בזדון ממניע גזעני; </w:t>
      </w:r>
      <w:r w:rsidRPr="00CD2328">
        <w:rPr>
          <w:rFonts w:ascii="FrankRuehl" w:hAnsi="FrankRuehl" w:cs="FrankRuehl" w:hint="cs"/>
          <w:sz w:val="28"/>
          <w:szCs w:val="28"/>
          <w:rtl/>
        </w:rPr>
        <w:t>ו</w:t>
      </w:r>
      <w:r w:rsidRPr="00CD2328">
        <w:rPr>
          <w:rFonts w:ascii="FrankRuehl" w:hAnsi="FrankRuehl" w:cs="FrankRuehl"/>
          <w:sz w:val="28"/>
          <w:szCs w:val="28"/>
          <w:rtl/>
        </w:rPr>
        <w:t>התפרעות. בית המשפט המחוזי בחיפה</w:t>
      </w:r>
      <w:r w:rsidRPr="00CD2328">
        <w:rPr>
          <w:rFonts w:ascii="FrankRuehl" w:hAnsi="FrankRuehl" w:cs="FrankRuehl" w:hint="cs"/>
          <w:sz w:val="28"/>
          <w:szCs w:val="28"/>
          <w:rtl/>
        </w:rPr>
        <w:t xml:space="preserve"> השית על הנאשם </w:t>
      </w:r>
      <w:r w:rsidRPr="00CD2328">
        <w:rPr>
          <w:rFonts w:ascii="FrankRuehl" w:hAnsi="FrankRuehl" w:cs="FrankRuehl"/>
          <w:sz w:val="28"/>
          <w:szCs w:val="28"/>
          <w:rtl/>
        </w:rPr>
        <w:t>12 חודשי מאסר בפועל</w:t>
      </w:r>
      <w:r w:rsidRPr="00CD2328">
        <w:rPr>
          <w:rFonts w:ascii="FrankRuehl" w:hAnsi="FrankRuehl" w:cs="FrankRuehl" w:hint="cs"/>
          <w:sz w:val="28"/>
          <w:szCs w:val="28"/>
          <w:rtl/>
        </w:rPr>
        <w:t xml:space="preserve">, ובית העליון החמיר בעונש והעמידו </w:t>
      </w:r>
      <w:r w:rsidRPr="00CD2328">
        <w:rPr>
          <w:rFonts w:ascii="FrankRuehl" w:hAnsi="FrankRuehl" w:cs="FrankRuehl"/>
          <w:sz w:val="28"/>
          <w:szCs w:val="28"/>
          <w:rtl/>
        </w:rPr>
        <w:t>על 22 חודשי מאסר</w:t>
      </w:r>
      <w:r w:rsidRPr="00CD2328">
        <w:rPr>
          <w:rFonts w:ascii="FrankRuehl" w:hAnsi="FrankRuehl" w:cs="FrankRuehl" w:hint="cs"/>
          <w:sz w:val="28"/>
          <w:szCs w:val="28"/>
          <w:rtl/>
        </w:rPr>
        <w:t>.</w:t>
      </w:r>
    </w:p>
    <w:p w14:paraId="3EF1F27E" w14:textId="77777777" w:rsidR="00FE62E5" w:rsidRDefault="00FE62E5" w:rsidP="00FE62E5">
      <w:pPr>
        <w:spacing w:line="360" w:lineRule="auto"/>
        <w:jc w:val="both"/>
        <w:rPr>
          <w:rFonts w:ascii="FrankRuehl" w:hAnsi="FrankRuehl" w:cs="FrankRuehl"/>
          <w:sz w:val="28"/>
          <w:szCs w:val="28"/>
          <w:rtl/>
        </w:rPr>
      </w:pPr>
    </w:p>
    <w:p w14:paraId="62F0A16A" w14:textId="77777777" w:rsidR="00FE62E5" w:rsidRPr="0016782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sidRPr="00167825">
        <w:rPr>
          <w:rFonts w:ascii="FrankRuehl" w:hAnsi="FrankRuehl" w:cs="FrankRuehl"/>
          <w:sz w:val="28"/>
          <w:szCs w:val="28"/>
          <w:rtl/>
        </w:rPr>
        <w:t>בשים לב לאמור</w:t>
      </w:r>
      <w:r>
        <w:rPr>
          <w:rFonts w:ascii="FrankRuehl" w:hAnsi="FrankRuehl" w:cs="FrankRuehl"/>
          <w:sz w:val="28"/>
          <w:szCs w:val="28"/>
          <w:rtl/>
        </w:rPr>
        <w:t xml:space="preserve">, אני סבור כי מתחם העונש ההולם </w:t>
      </w:r>
      <w:r w:rsidRPr="00167825">
        <w:rPr>
          <w:rFonts w:ascii="FrankRuehl" w:hAnsi="FrankRuehl" w:cs="FrankRuehl"/>
          <w:sz w:val="28"/>
          <w:szCs w:val="28"/>
          <w:rtl/>
        </w:rPr>
        <w:t>מקרה זה</w:t>
      </w:r>
      <w:r>
        <w:rPr>
          <w:rFonts w:ascii="FrankRuehl" w:hAnsi="FrankRuehl" w:cs="FrankRuehl" w:hint="cs"/>
          <w:sz w:val="28"/>
          <w:szCs w:val="28"/>
          <w:rtl/>
        </w:rPr>
        <w:t xml:space="preserve"> בנסיבותיו, לשני האישום כאחד,</w:t>
      </w:r>
      <w:r w:rsidRPr="00167825">
        <w:rPr>
          <w:rFonts w:ascii="FrankRuehl" w:hAnsi="FrankRuehl" w:cs="FrankRuehl"/>
          <w:sz w:val="28"/>
          <w:szCs w:val="28"/>
          <w:rtl/>
        </w:rPr>
        <w:t xml:space="preserve"> נע בין </w:t>
      </w:r>
      <w:r>
        <w:rPr>
          <w:rFonts w:ascii="FrankRuehl" w:hAnsi="FrankRuehl" w:cs="FrankRuehl" w:hint="cs"/>
          <w:sz w:val="28"/>
          <w:szCs w:val="28"/>
          <w:rtl/>
        </w:rPr>
        <w:t>28</w:t>
      </w:r>
      <w:r>
        <w:rPr>
          <w:rFonts w:ascii="FrankRuehl" w:hAnsi="FrankRuehl" w:cs="FrankRuehl"/>
          <w:sz w:val="28"/>
          <w:szCs w:val="28"/>
          <w:rtl/>
        </w:rPr>
        <w:t xml:space="preserve"> ועד ל-</w:t>
      </w:r>
      <w:r>
        <w:rPr>
          <w:rFonts w:ascii="FrankRuehl" w:hAnsi="FrankRuehl" w:cs="FrankRuehl" w:hint="cs"/>
          <w:sz w:val="28"/>
          <w:szCs w:val="28"/>
          <w:rtl/>
        </w:rPr>
        <w:t>48 ח</w:t>
      </w:r>
      <w:r w:rsidRPr="00167825">
        <w:rPr>
          <w:rFonts w:ascii="FrankRuehl" w:hAnsi="FrankRuehl" w:cs="FrankRuehl"/>
          <w:sz w:val="28"/>
          <w:szCs w:val="28"/>
          <w:rtl/>
        </w:rPr>
        <w:t>ודשי מאסר בפועל.</w:t>
      </w:r>
    </w:p>
    <w:p w14:paraId="446D50F3" w14:textId="77777777" w:rsidR="00FE62E5" w:rsidRDefault="00FE62E5" w:rsidP="00FE62E5">
      <w:pPr>
        <w:spacing w:line="360" w:lineRule="auto"/>
        <w:jc w:val="both"/>
        <w:rPr>
          <w:rFonts w:ascii="FrankRuehl" w:hAnsi="FrankRuehl" w:cs="FrankRuehl"/>
          <w:sz w:val="28"/>
          <w:szCs w:val="28"/>
          <w:rtl/>
        </w:rPr>
      </w:pPr>
    </w:p>
    <w:p w14:paraId="30C75444"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sz w:val="28"/>
          <w:szCs w:val="28"/>
          <w:rtl/>
        </w:rPr>
        <w:t>מכאן לנאשם.</w:t>
      </w:r>
    </w:p>
    <w:p w14:paraId="69F8944F" w14:textId="77777777" w:rsidR="00FE62E5" w:rsidRDefault="00FE62E5" w:rsidP="00FE62E5">
      <w:pPr>
        <w:spacing w:line="360" w:lineRule="auto"/>
        <w:jc w:val="both"/>
        <w:rPr>
          <w:rFonts w:ascii="FrankRuehl" w:hAnsi="FrankRuehl" w:cs="FrankRuehl"/>
          <w:sz w:val="28"/>
          <w:szCs w:val="28"/>
          <w:rtl/>
        </w:rPr>
      </w:pPr>
    </w:p>
    <w:p w14:paraId="005E9237"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r>
      <w:r>
        <w:rPr>
          <w:rFonts w:ascii="FrankRuehl" w:hAnsi="FrankRuehl" w:cs="FrankRuehl"/>
          <w:sz w:val="28"/>
          <w:szCs w:val="28"/>
          <w:rtl/>
        </w:rPr>
        <w:t>הנאשם יליד 1997</w:t>
      </w:r>
      <w:r>
        <w:rPr>
          <w:rFonts w:ascii="FrankRuehl" w:hAnsi="FrankRuehl" w:cs="FrankRuehl" w:hint="cs"/>
          <w:sz w:val="28"/>
          <w:szCs w:val="28"/>
          <w:rtl/>
        </w:rPr>
        <w:t>,</w:t>
      </w:r>
      <w:r>
        <w:rPr>
          <w:rFonts w:ascii="FrankRuehl" w:hAnsi="FrankRuehl" w:cs="FrankRuehl"/>
          <w:sz w:val="28"/>
          <w:szCs w:val="28"/>
          <w:rtl/>
        </w:rPr>
        <w:t xml:space="preserve"> כיום בן 25</w:t>
      </w:r>
      <w:r>
        <w:rPr>
          <w:rFonts w:ascii="FrankRuehl" w:hAnsi="FrankRuehl" w:cs="FrankRuehl" w:hint="cs"/>
          <w:sz w:val="28"/>
          <w:szCs w:val="28"/>
          <w:rtl/>
        </w:rPr>
        <w:t xml:space="preserve">, בעברו </w:t>
      </w:r>
      <w:r>
        <w:rPr>
          <w:rFonts w:ascii="FrankRuehl" w:hAnsi="FrankRuehl" w:cs="FrankRuehl"/>
          <w:sz w:val="28"/>
          <w:szCs w:val="28"/>
          <w:rtl/>
        </w:rPr>
        <w:t>הרשעה משנת 2017 בעבירות של השתתפות בהתפרעות; ניסיון תקיפת שוטר כשהתוקף מזויין בנשק חם</w:t>
      </w:r>
      <w:r>
        <w:rPr>
          <w:rFonts w:ascii="FrankRuehl" w:hAnsi="FrankRuehl" w:cs="FrankRuehl" w:hint="cs"/>
          <w:sz w:val="28"/>
          <w:szCs w:val="28"/>
          <w:rtl/>
        </w:rPr>
        <w:t xml:space="preserve"> או </w:t>
      </w:r>
      <w:r>
        <w:rPr>
          <w:rFonts w:ascii="FrankRuehl" w:hAnsi="FrankRuehl" w:cs="FrankRuehl"/>
          <w:sz w:val="28"/>
          <w:szCs w:val="28"/>
          <w:rtl/>
        </w:rPr>
        <w:t xml:space="preserve">קר; ניסיון לתקיפת שוטר על ידי שלושה או יותר; </w:t>
      </w:r>
      <w:r>
        <w:rPr>
          <w:rFonts w:ascii="FrankRuehl" w:hAnsi="FrankRuehl" w:cs="FrankRuehl" w:hint="cs"/>
          <w:sz w:val="28"/>
          <w:szCs w:val="28"/>
          <w:rtl/>
        </w:rPr>
        <w:t>ו</w:t>
      </w:r>
      <w:r>
        <w:rPr>
          <w:rFonts w:ascii="FrankRuehl" w:hAnsi="FrankRuehl" w:cs="FrankRuehl"/>
          <w:sz w:val="28"/>
          <w:szCs w:val="28"/>
          <w:rtl/>
        </w:rPr>
        <w:t>ניסיון לתקיפת שוטר כדי להכשילו בתפקידו. בגין עבירות אלה הוא נשא עונש מאסר בפועל לתקופה של 6 חודשי</w:t>
      </w:r>
      <w:r>
        <w:rPr>
          <w:rFonts w:ascii="FrankRuehl" w:hAnsi="FrankRuehl" w:cs="FrankRuehl" w:hint="cs"/>
          <w:sz w:val="28"/>
          <w:szCs w:val="28"/>
          <w:rtl/>
        </w:rPr>
        <w:t>ם</w:t>
      </w:r>
      <w:r>
        <w:rPr>
          <w:rFonts w:ascii="FrankRuehl" w:hAnsi="FrankRuehl" w:cs="FrankRuehl"/>
          <w:sz w:val="28"/>
          <w:szCs w:val="28"/>
          <w:rtl/>
        </w:rPr>
        <w:t xml:space="preserve">. </w:t>
      </w:r>
      <w:r>
        <w:rPr>
          <w:rFonts w:ascii="FrankRuehl" w:hAnsi="FrankRuehl" w:cs="FrankRuehl" w:hint="cs"/>
          <w:sz w:val="28"/>
          <w:szCs w:val="28"/>
          <w:rtl/>
        </w:rPr>
        <w:t xml:space="preserve">הדבר לא הרתיע אותו מלשוב ולעשות מעשים חמורים יותר עתה. לצד זאת, יש לזקוף לזכותו את הודאתו. </w:t>
      </w:r>
    </w:p>
    <w:p w14:paraId="471BF097" w14:textId="77777777" w:rsidR="00FE62E5" w:rsidRDefault="00FE62E5" w:rsidP="00FE62E5">
      <w:pPr>
        <w:spacing w:line="360" w:lineRule="auto"/>
        <w:jc w:val="both"/>
        <w:rPr>
          <w:rFonts w:ascii="FrankRuehl" w:hAnsi="FrankRuehl" w:cs="FrankRuehl"/>
          <w:sz w:val="28"/>
          <w:szCs w:val="28"/>
          <w:rtl/>
        </w:rPr>
      </w:pPr>
    </w:p>
    <w:p w14:paraId="15E9BBEF" w14:textId="77777777" w:rsidR="00FE62E5" w:rsidRDefault="00FE62E5" w:rsidP="00FE62E5">
      <w:pPr>
        <w:spacing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r>
      <w:r>
        <w:rPr>
          <w:rFonts w:ascii="FrankRuehl" w:hAnsi="FrankRuehl" w:cs="FrankRuehl"/>
          <w:sz w:val="28"/>
          <w:szCs w:val="28"/>
          <w:rtl/>
        </w:rPr>
        <w:t>סופו של יום ולאחר שנתתי דעתי על מכלול הנסיבות, אני משית על הנאשם את העונשים הבאים:</w:t>
      </w:r>
    </w:p>
    <w:p w14:paraId="42DB70FA" w14:textId="77777777" w:rsidR="00FE62E5" w:rsidRPr="0024065A" w:rsidRDefault="00FE62E5" w:rsidP="00FE62E5">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א. </w:t>
      </w:r>
      <w:r>
        <w:rPr>
          <w:rFonts w:ascii="FrankRuehl" w:hAnsi="FrankRuehl" w:cs="FrankRuehl"/>
          <w:sz w:val="28"/>
          <w:szCs w:val="28"/>
          <w:rtl/>
        </w:rPr>
        <w:tab/>
      </w:r>
      <w:r>
        <w:rPr>
          <w:rFonts w:ascii="FrankRuehl" w:hAnsi="FrankRuehl" w:cs="FrankRuehl" w:hint="cs"/>
          <w:sz w:val="28"/>
          <w:szCs w:val="28"/>
          <w:rtl/>
        </w:rPr>
        <w:t xml:space="preserve">36 </w:t>
      </w:r>
      <w:r>
        <w:rPr>
          <w:rFonts w:ascii="FrankRuehl" w:hAnsi="FrankRuehl" w:cs="FrankRuehl"/>
          <w:sz w:val="28"/>
          <w:szCs w:val="28"/>
          <w:rtl/>
        </w:rPr>
        <w:t>חודשי מאסר בפועל שיימנו החל מיום מעצרו 4.12.21.</w:t>
      </w:r>
    </w:p>
    <w:p w14:paraId="778A06A7" w14:textId="77777777" w:rsidR="00FE62E5" w:rsidRPr="0024065A" w:rsidRDefault="00FE62E5" w:rsidP="00FE62E5">
      <w:pPr>
        <w:spacing w:line="360" w:lineRule="auto"/>
        <w:ind w:left="1440" w:hanging="720"/>
        <w:jc w:val="both"/>
        <w:rPr>
          <w:rFonts w:ascii="FrankRuehl" w:hAnsi="FrankRuehl" w:cs="FrankRuehl"/>
          <w:sz w:val="28"/>
          <w:szCs w:val="28"/>
          <w:rtl/>
        </w:rPr>
      </w:pPr>
      <w:r>
        <w:rPr>
          <w:rFonts w:ascii="FrankRuehl" w:hAnsi="FrankRuehl" w:cs="FrankRuehl"/>
          <w:sz w:val="28"/>
          <w:szCs w:val="28"/>
          <w:rtl/>
        </w:rPr>
        <w:t xml:space="preserve">ב. </w:t>
      </w:r>
      <w:r>
        <w:rPr>
          <w:rFonts w:ascii="FrankRuehl" w:hAnsi="FrankRuehl" w:cs="FrankRuehl"/>
          <w:sz w:val="28"/>
          <w:szCs w:val="28"/>
          <w:rtl/>
        </w:rPr>
        <w:tab/>
      </w:r>
      <w:r>
        <w:rPr>
          <w:rFonts w:ascii="FrankRuehl" w:hAnsi="FrankRuehl" w:cs="FrankRuehl" w:hint="cs"/>
          <w:sz w:val="28"/>
          <w:szCs w:val="28"/>
          <w:rtl/>
        </w:rPr>
        <w:t xml:space="preserve">9 </w:t>
      </w:r>
      <w:r>
        <w:rPr>
          <w:rFonts w:ascii="FrankRuehl" w:hAnsi="FrankRuehl" w:cs="FrankRuehl"/>
          <w:sz w:val="28"/>
          <w:szCs w:val="28"/>
          <w:rtl/>
        </w:rPr>
        <w:t>חודשי מאסר על תנאי, שלא ירוצו אלא אם כן, יעבור הנאשם עבירה מן העבירות בהן הורשע בתקופה של 3 שנים ממועד שחרורו ממאסר</w:t>
      </w:r>
      <w:r>
        <w:rPr>
          <w:rFonts w:ascii="FrankRuehl" w:hAnsi="FrankRuehl" w:cs="FrankRuehl" w:hint="cs"/>
          <w:sz w:val="28"/>
          <w:szCs w:val="28"/>
          <w:rtl/>
        </w:rPr>
        <w:t xml:space="preserve">. </w:t>
      </w:r>
    </w:p>
    <w:p w14:paraId="052E1AB9" w14:textId="77777777" w:rsidR="00FE62E5" w:rsidRPr="0086372B" w:rsidRDefault="0086372B" w:rsidP="00FE62E5">
      <w:pPr>
        <w:spacing w:line="360" w:lineRule="auto"/>
        <w:jc w:val="both"/>
        <w:rPr>
          <w:rFonts w:ascii="FrankRuehl" w:hAnsi="FrankRuehl" w:cs="FrankRuehl"/>
          <w:color w:val="FFFFFF"/>
          <w:sz w:val="2"/>
          <w:szCs w:val="2"/>
          <w:rtl/>
        </w:rPr>
      </w:pPr>
      <w:r w:rsidRPr="0086372B">
        <w:rPr>
          <w:rFonts w:ascii="FrankRuehl" w:hAnsi="FrankRuehl" w:cs="FrankRuehl"/>
          <w:color w:val="FFFFFF"/>
          <w:sz w:val="2"/>
          <w:szCs w:val="2"/>
          <w:rtl/>
        </w:rPr>
        <w:t>5129371</w:t>
      </w:r>
    </w:p>
    <w:p w14:paraId="54C3EDF8" w14:textId="77777777" w:rsidR="00FE62E5" w:rsidRDefault="0086372B" w:rsidP="00FE62E5">
      <w:pPr>
        <w:spacing w:line="360" w:lineRule="auto"/>
        <w:jc w:val="both"/>
        <w:rPr>
          <w:rFonts w:ascii="FrankRuehl" w:hAnsi="FrankRuehl" w:cs="FrankRuehl"/>
          <w:sz w:val="28"/>
          <w:szCs w:val="28"/>
          <w:rtl/>
        </w:rPr>
      </w:pPr>
      <w:r w:rsidRPr="0086372B">
        <w:rPr>
          <w:rFonts w:ascii="FrankRuehl" w:hAnsi="FrankRuehl" w:cs="FrankRuehl"/>
          <w:color w:val="FFFFFF"/>
          <w:sz w:val="2"/>
          <w:szCs w:val="2"/>
          <w:rtl/>
        </w:rPr>
        <w:t>54678313</w:t>
      </w:r>
      <w:r w:rsidR="00FE62E5">
        <w:rPr>
          <w:rFonts w:ascii="FrankRuehl" w:hAnsi="FrankRuehl" w:cs="FrankRuehl" w:hint="cs"/>
          <w:sz w:val="28"/>
          <w:szCs w:val="28"/>
          <w:rtl/>
        </w:rPr>
        <w:t xml:space="preserve">זכות ערעור לבית המשפט העליון בתוך 45 יום מהיום. </w:t>
      </w:r>
    </w:p>
    <w:p w14:paraId="7B8D16DC" w14:textId="77777777" w:rsidR="00FE62E5" w:rsidRPr="00CD2328" w:rsidRDefault="00FE62E5" w:rsidP="00FE62E5">
      <w:pPr>
        <w:spacing w:line="360" w:lineRule="auto"/>
        <w:jc w:val="both"/>
        <w:rPr>
          <w:rFonts w:ascii="FrankRuehl" w:hAnsi="FrankRuehl" w:cs="FrankRuehl"/>
          <w:sz w:val="8"/>
          <w:szCs w:val="8"/>
          <w:rtl/>
        </w:rPr>
      </w:pPr>
    </w:p>
    <w:p w14:paraId="6EB2F8F8" w14:textId="77777777" w:rsidR="00FE62E5" w:rsidRPr="000F2247" w:rsidRDefault="0086372B" w:rsidP="00FE62E5">
      <w:pPr>
        <w:rPr>
          <w:rFonts w:ascii="Arial" w:hAnsi="Arial"/>
          <w:b/>
          <w:bCs/>
          <w:sz w:val="26"/>
          <w:szCs w:val="26"/>
          <w:rtl/>
        </w:rPr>
      </w:pPr>
      <w:bookmarkStart w:id="8" w:name="Nitan"/>
      <w:r>
        <w:rPr>
          <w:rFonts w:ascii="FrankRuehl" w:hAnsi="FrankRuehl" w:cs="FrankRuehl"/>
          <w:sz w:val="28"/>
          <w:szCs w:val="28"/>
          <w:rtl/>
        </w:rPr>
        <w:t xml:space="preserve">ניתן היום,  כ"ד תשרי תשפ"ג, 19 אוקטובר 2022, במעמד המתייצבים. </w:t>
      </w:r>
      <w:bookmarkEnd w:id="8"/>
    </w:p>
    <w:p w14:paraId="63063675" w14:textId="77777777" w:rsidR="00FE62E5" w:rsidRPr="000F2247" w:rsidRDefault="00FE62E5" w:rsidP="0086372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6403CB" w14:textId="77777777" w:rsidR="00FE62E5" w:rsidRPr="0054408E" w:rsidRDefault="0054408E" w:rsidP="00FE62E5">
      <w:pPr>
        <w:jc w:val="center"/>
        <w:rPr>
          <w:rFonts w:ascii="Arial" w:hAnsi="Arial"/>
          <w:b/>
          <w:bCs/>
          <w:color w:val="FFFFFF"/>
          <w:sz w:val="2"/>
          <w:szCs w:val="2"/>
          <w:rtl/>
        </w:rPr>
      </w:pPr>
      <w:r w:rsidRPr="0054408E">
        <w:rPr>
          <w:rFonts w:ascii="Arial" w:hAnsi="Arial"/>
          <w:b/>
          <w:bCs/>
          <w:color w:val="FFFFFF"/>
          <w:sz w:val="2"/>
          <w:szCs w:val="2"/>
          <w:rtl/>
        </w:rPr>
        <w:t>5129371</w:t>
      </w:r>
    </w:p>
    <w:p w14:paraId="17F23BB2" w14:textId="77777777" w:rsidR="007A00FB" w:rsidRPr="0054408E" w:rsidRDefault="0054408E" w:rsidP="0086372B">
      <w:pPr>
        <w:keepNext/>
        <w:rPr>
          <w:rFonts w:ascii="David" w:hAnsi="David"/>
          <w:color w:val="FFFFFF"/>
          <w:sz w:val="2"/>
          <w:szCs w:val="2"/>
          <w:rtl/>
        </w:rPr>
      </w:pPr>
      <w:r w:rsidRPr="0054408E">
        <w:rPr>
          <w:rFonts w:ascii="David" w:hAnsi="David"/>
          <w:color w:val="FFFFFF"/>
          <w:sz w:val="2"/>
          <w:szCs w:val="2"/>
          <w:rtl/>
        </w:rPr>
        <w:t>54678313</w:t>
      </w:r>
    </w:p>
    <w:p w14:paraId="42E8D0F1" w14:textId="77777777" w:rsidR="0086372B" w:rsidRPr="0086372B" w:rsidRDefault="0086372B" w:rsidP="0086372B">
      <w:pPr>
        <w:keepNext/>
        <w:rPr>
          <w:rFonts w:ascii="David" w:hAnsi="David"/>
          <w:color w:val="000000"/>
          <w:sz w:val="22"/>
          <w:szCs w:val="22"/>
          <w:rtl/>
        </w:rPr>
      </w:pPr>
      <w:r w:rsidRPr="0086372B">
        <w:rPr>
          <w:rFonts w:ascii="David" w:hAnsi="David"/>
          <w:color w:val="000000"/>
          <w:sz w:val="22"/>
          <w:szCs w:val="22"/>
          <w:rtl/>
        </w:rPr>
        <w:t>אילן סלע 54678313</w:t>
      </w:r>
    </w:p>
    <w:p w14:paraId="78A47503" w14:textId="77777777" w:rsidR="0086372B" w:rsidRDefault="0086372B" w:rsidP="0086372B">
      <w:r w:rsidRPr="0086372B">
        <w:rPr>
          <w:color w:val="000000"/>
          <w:rtl/>
        </w:rPr>
        <w:t>נוסח מסמך זה כפוף לשינויי ניסוח ועריכה</w:t>
      </w:r>
    </w:p>
    <w:p w14:paraId="5829E0BC" w14:textId="77777777" w:rsidR="0086372B" w:rsidRDefault="0086372B" w:rsidP="0086372B">
      <w:pPr>
        <w:rPr>
          <w:rtl/>
        </w:rPr>
      </w:pPr>
    </w:p>
    <w:p w14:paraId="599F74D2" w14:textId="77777777" w:rsidR="0086372B" w:rsidRDefault="0086372B" w:rsidP="0086372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sectPr w:rsidR="0086372B" w:rsidSect="0054408E">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56FCF" w14:textId="77777777" w:rsidR="00DC708B" w:rsidRDefault="00DC708B" w:rsidP="00FF5CFF">
      <w:r>
        <w:separator/>
      </w:r>
    </w:p>
  </w:endnote>
  <w:endnote w:type="continuationSeparator" w:id="0">
    <w:p w14:paraId="330EC904" w14:textId="77777777" w:rsidR="00DC708B" w:rsidRDefault="00DC708B" w:rsidP="00FF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2C461" w14:textId="77777777" w:rsidR="0054408E" w:rsidRDefault="0054408E" w:rsidP="0054408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148625" w14:textId="77777777" w:rsidR="006C678F" w:rsidRPr="0054408E" w:rsidRDefault="0054408E" w:rsidP="0054408E">
    <w:pPr>
      <w:pStyle w:val="a5"/>
      <w:pBdr>
        <w:top w:val="single" w:sz="4" w:space="1" w:color="auto"/>
        <w:between w:val="single" w:sz="4" w:space="0" w:color="auto"/>
      </w:pBdr>
      <w:spacing w:after="60"/>
      <w:jc w:val="center"/>
      <w:rPr>
        <w:rFonts w:ascii="FrankRuehl" w:hAnsi="FrankRuehl" w:cs="FrankRuehl"/>
        <w:color w:val="000000"/>
      </w:rPr>
    </w:pPr>
    <w:r w:rsidRPr="005440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744A" w14:textId="77777777" w:rsidR="0054408E" w:rsidRDefault="0054408E" w:rsidP="0054408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018C">
      <w:rPr>
        <w:rFonts w:ascii="FrankRuehl" w:hAnsi="FrankRuehl" w:cs="FrankRuehl"/>
        <w:noProof/>
        <w:rtl/>
      </w:rPr>
      <w:t>1</w:t>
    </w:r>
    <w:r>
      <w:rPr>
        <w:rFonts w:ascii="FrankRuehl" w:hAnsi="FrankRuehl" w:cs="FrankRuehl"/>
        <w:rtl/>
      </w:rPr>
      <w:fldChar w:fldCharType="end"/>
    </w:r>
  </w:p>
  <w:p w14:paraId="7EB90129" w14:textId="77777777" w:rsidR="006C678F" w:rsidRPr="0054408E" w:rsidRDefault="0054408E" w:rsidP="0054408E">
    <w:pPr>
      <w:pStyle w:val="a5"/>
      <w:pBdr>
        <w:top w:val="single" w:sz="4" w:space="1" w:color="auto"/>
        <w:between w:val="single" w:sz="4" w:space="0" w:color="auto"/>
      </w:pBdr>
      <w:spacing w:after="60"/>
      <w:jc w:val="center"/>
      <w:rPr>
        <w:rFonts w:ascii="FrankRuehl" w:hAnsi="FrankRuehl" w:cs="FrankRuehl"/>
        <w:color w:val="000000"/>
      </w:rPr>
    </w:pPr>
    <w:r w:rsidRPr="0054408E">
      <w:rPr>
        <w:rFonts w:ascii="FrankRuehl" w:hAnsi="FrankRuehl" w:cs="FrankRuehl"/>
        <w:color w:val="000000"/>
      </w:rPr>
      <w:pict w14:anchorId="4BAB4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9A7ED" w14:textId="77777777" w:rsidR="00DC708B" w:rsidRDefault="00DC708B" w:rsidP="00FF5CFF">
      <w:r>
        <w:separator/>
      </w:r>
    </w:p>
  </w:footnote>
  <w:footnote w:type="continuationSeparator" w:id="0">
    <w:p w14:paraId="1E93AA99" w14:textId="77777777" w:rsidR="00DC708B" w:rsidRDefault="00DC708B" w:rsidP="00FF5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5D04D" w14:textId="77777777" w:rsidR="0086372B" w:rsidRPr="0054408E" w:rsidRDefault="0054408E" w:rsidP="005440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31216-01-22</w:t>
    </w:r>
    <w:r>
      <w:rPr>
        <w:rFonts w:ascii="David" w:hAnsi="David"/>
        <w:color w:val="000000"/>
        <w:sz w:val="22"/>
        <w:szCs w:val="22"/>
        <w:rtl/>
      </w:rPr>
      <w:tab/>
      <w:t xml:space="preserve"> מדינת ישראל נ' מונזר נגאר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0EC2F" w14:textId="77777777" w:rsidR="0086372B" w:rsidRPr="0054408E" w:rsidRDefault="0054408E" w:rsidP="005440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31216-01-22</w:t>
    </w:r>
    <w:r>
      <w:rPr>
        <w:rFonts w:ascii="David" w:hAnsi="David"/>
        <w:color w:val="000000"/>
        <w:sz w:val="22"/>
        <w:szCs w:val="22"/>
        <w:rtl/>
      </w:rPr>
      <w:tab/>
      <w:t xml:space="preserve"> מדינת ישראל נ' מונזר נגאר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03AC7"/>
    <w:multiLevelType w:val="hybridMultilevel"/>
    <w:tmpl w:val="51022654"/>
    <w:lvl w:ilvl="0" w:tplc="0038AEA4">
      <w:start w:val="15"/>
      <w:numFmt w:val="bullet"/>
      <w:lvlText w:val=""/>
      <w:lvlJc w:val="left"/>
      <w:pPr>
        <w:ind w:left="390" w:hanging="360"/>
      </w:pPr>
      <w:rPr>
        <w:rFonts w:ascii="Symbol" w:eastAsia="Times New Roman" w:hAnsi="Symbol" w:cs="FrankRuehl" w:hint="default"/>
        <w:b/>
        <w:color w:val="00000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16cid:durableId="166974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62E5"/>
    <w:rsid w:val="000706E7"/>
    <w:rsid w:val="001B5A3B"/>
    <w:rsid w:val="004A4B6E"/>
    <w:rsid w:val="0054408E"/>
    <w:rsid w:val="0059676B"/>
    <w:rsid w:val="006718DC"/>
    <w:rsid w:val="0068314D"/>
    <w:rsid w:val="006C678F"/>
    <w:rsid w:val="007A00FB"/>
    <w:rsid w:val="007D4975"/>
    <w:rsid w:val="0086372B"/>
    <w:rsid w:val="00935F26"/>
    <w:rsid w:val="00C14822"/>
    <w:rsid w:val="00DC708B"/>
    <w:rsid w:val="00E5018C"/>
    <w:rsid w:val="00FE62E5"/>
    <w:rsid w:val="00FF5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B419E5"/>
  <w15:chartTrackingRefBased/>
  <w15:docId w15:val="{7BC5A112-0992-4537-A563-6BDD5391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62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62E5"/>
    <w:pPr>
      <w:tabs>
        <w:tab w:val="center" w:pos="4153"/>
        <w:tab w:val="right" w:pos="8306"/>
      </w:tabs>
    </w:pPr>
  </w:style>
  <w:style w:type="character" w:customStyle="1" w:styleId="a4">
    <w:name w:val="כותרת עליונה תו"/>
    <w:link w:val="a3"/>
    <w:rsid w:val="00FE62E5"/>
    <w:rPr>
      <w:rFonts w:ascii="Times New Roman" w:eastAsia="Times New Roman" w:hAnsi="Times New Roman" w:cs="David"/>
      <w:sz w:val="24"/>
      <w:szCs w:val="24"/>
    </w:rPr>
  </w:style>
  <w:style w:type="paragraph" w:styleId="a5">
    <w:name w:val="footer"/>
    <w:basedOn w:val="a"/>
    <w:link w:val="a6"/>
    <w:rsid w:val="00FE62E5"/>
    <w:pPr>
      <w:tabs>
        <w:tab w:val="center" w:pos="4153"/>
        <w:tab w:val="right" w:pos="8306"/>
      </w:tabs>
    </w:pPr>
  </w:style>
  <w:style w:type="character" w:customStyle="1" w:styleId="a6">
    <w:name w:val="כותרת תחתונה תו"/>
    <w:link w:val="a5"/>
    <w:rsid w:val="00FE62E5"/>
    <w:rPr>
      <w:rFonts w:ascii="Times New Roman" w:eastAsia="Times New Roman" w:hAnsi="Times New Roman" w:cs="David"/>
      <w:sz w:val="24"/>
      <w:szCs w:val="24"/>
    </w:rPr>
  </w:style>
  <w:style w:type="table" w:styleId="a7">
    <w:name w:val="Table Grid"/>
    <w:basedOn w:val="a1"/>
    <w:rsid w:val="00FE62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62E5"/>
  </w:style>
  <w:style w:type="paragraph" w:styleId="a9">
    <w:name w:val="List Paragraph"/>
    <w:basedOn w:val="a"/>
    <w:qFormat/>
    <w:rsid w:val="00FE62E5"/>
    <w:pPr>
      <w:ind w:left="720"/>
      <w:contextualSpacing/>
    </w:pPr>
  </w:style>
  <w:style w:type="character" w:styleId="Hyperlink">
    <w:name w:val="Hyperlink"/>
    <w:rsid w:val="00863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4.3" TargetMode="External"/><Relationship Id="rId18" Type="http://schemas.openxmlformats.org/officeDocument/2006/relationships/hyperlink" Target="http://www.nevo.co.il/law/70301/274.1" TargetMode="External"/><Relationship Id="rId26" Type="http://schemas.openxmlformats.org/officeDocument/2006/relationships/hyperlink" Target="http://www.nevo.co.il/case/6169945" TargetMode="External"/><Relationship Id="rId39" Type="http://schemas.openxmlformats.org/officeDocument/2006/relationships/hyperlink" Target="http://www.nevo.co.il/case/23506710" TargetMode="External"/><Relationship Id="rId21" Type="http://schemas.openxmlformats.org/officeDocument/2006/relationships/hyperlink" Target="http://www.nevo.co.il/law/70301/25" TargetMode="External"/><Relationship Id="rId34" Type="http://schemas.openxmlformats.org/officeDocument/2006/relationships/hyperlink" Target="http://www.nevo.co.il/case/28883087" TargetMode="External"/><Relationship Id="rId42" Type="http://schemas.openxmlformats.org/officeDocument/2006/relationships/hyperlink" Target="http://www.nevo.co.il/case/28296934"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246532" TargetMode="External"/><Relationship Id="rId11" Type="http://schemas.openxmlformats.org/officeDocument/2006/relationships/hyperlink" Target="http://www.nevo.co.il/law/70301/274.1" TargetMode="External"/><Relationship Id="rId24" Type="http://schemas.openxmlformats.org/officeDocument/2006/relationships/hyperlink" Target="http://www.nevo.co.il/case/24263086" TargetMode="External"/><Relationship Id="rId32" Type="http://schemas.openxmlformats.org/officeDocument/2006/relationships/hyperlink" Target="http://www.nevo.co.il/case/28200855" TargetMode="External"/><Relationship Id="rId37" Type="http://schemas.openxmlformats.org/officeDocument/2006/relationships/hyperlink" Target="http://www.nevo.co.il/case/23879124" TargetMode="External"/><Relationship Id="rId40" Type="http://schemas.openxmlformats.org/officeDocument/2006/relationships/hyperlink" Target="http://www.nevo.co.il/case/608066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52"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8243256" TargetMode="External"/><Relationship Id="rId36" Type="http://schemas.openxmlformats.org/officeDocument/2006/relationships/hyperlink" Target="http://www.nevo.co.il/case/20494220" TargetMode="External"/><Relationship Id="rId49" Type="http://schemas.openxmlformats.org/officeDocument/2006/relationships/theme" Target="theme/theme1.xml"/><Relationship Id="rId10" Type="http://schemas.openxmlformats.org/officeDocument/2006/relationships/hyperlink" Target="http://www.nevo.co.il/law/70301/152" TargetMode="External"/><Relationship Id="rId19" Type="http://schemas.openxmlformats.org/officeDocument/2006/relationships/hyperlink" Target="http://www.nevo.co.il/law/70301/274.2" TargetMode="External"/><Relationship Id="rId31" Type="http://schemas.openxmlformats.org/officeDocument/2006/relationships/hyperlink" Target="http://www.nevo.co.il/case/2773498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338.a.3"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case/685957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47481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274.2" TargetMode="External"/><Relationship Id="rId17" Type="http://schemas.openxmlformats.org/officeDocument/2006/relationships/hyperlink" Target="http://www.nevo.co.il/law/70301/338.a.3" TargetMode="External"/><Relationship Id="rId25" Type="http://schemas.openxmlformats.org/officeDocument/2006/relationships/hyperlink" Target="http://www.nevo.co.il/case/28296934" TargetMode="External"/><Relationship Id="rId33" Type="http://schemas.openxmlformats.org/officeDocument/2006/relationships/hyperlink" Target="http://www.nevo.co.il/case/28697227" TargetMode="External"/><Relationship Id="rId38" Type="http://schemas.openxmlformats.org/officeDocument/2006/relationships/hyperlink" Target="http://www.nevo.co.il/case/29101860" TargetMode="External"/><Relationship Id="rId46" Type="http://schemas.openxmlformats.org/officeDocument/2006/relationships/footer" Target="footer1.xml"/><Relationship Id="rId20" Type="http://schemas.openxmlformats.org/officeDocument/2006/relationships/hyperlink" Target="http://www.nevo.co.il/law/70301/274.3" TargetMode="External"/><Relationship Id="rId41" Type="http://schemas.openxmlformats.org/officeDocument/2006/relationships/hyperlink" Target="http://www.nevo.co.il/case/2824325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2381</Words>
  <Characters>11908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14261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3473532</vt:i4>
      </vt:variant>
      <vt:variant>
        <vt:i4>105</vt:i4>
      </vt:variant>
      <vt:variant>
        <vt:i4>0</vt:i4>
      </vt:variant>
      <vt:variant>
        <vt:i4>5</vt:i4>
      </vt:variant>
      <vt:variant>
        <vt:lpwstr>http://www.nevo.co.il/case/28296934</vt:lpwstr>
      </vt:variant>
      <vt:variant>
        <vt:lpwstr/>
      </vt:variant>
      <vt:variant>
        <vt:i4>3539066</vt:i4>
      </vt:variant>
      <vt:variant>
        <vt:i4>102</vt:i4>
      </vt:variant>
      <vt:variant>
        <vt:i4>0</vt:i4>
      </vt:variant>
      <vt:variant>
        <vt:i4>5</vt:i4>
      </vt:variant>
      <vt:variant>
        <vt:lpwstr>http://www.nevo.co.il/case/28243256</vt:lpwstr>
      </vt:variant>
      <vt:variant>
        <vt:lpwstr/>
      </vt:variant>
      <vt:variant>
        <vt:i4>3735666</vt:i4>
      </vt:variant>
      <vt:variant>
        <vt:i4>99</vt:i4>
      </vt:variant>
      <vt:variant>
        <vt:i4>0</vt:i4>
      </vt:variant>
      <vt:variant>
        <vt:i4>5</vt:i4>
      </vt:variant>
      <vt:variant>
        <vt:lpwstr>http://www.nevo.co.il/case/6080661</vt:lpwstr>
      </vt:variant>
      <vt:variant>
        <vt:lpwstr/>
      </vt:variant>
      <vt:variant>
        <vt:i4>3145840</vt:i4>
      </vt:variant>
      <vt:variant>
        <vt:i4>96</vt:i4>
      </vt:variant>
      <vt:variant>
        <vt:i4>0</vt:i4>
      </vt:variant>
      <vt:variant>
        <vt:i4>5</vt:i4>
      </vt:variant>
      <vt:variant>
        <vt:lpwstr>http://www.nevo.co.il/case/23506710</vt:lpwstr>
      </vt:variant>
      <vt:variant>
        <vt:lpwstr/>
      </vt:variant>
      <vt:variant>
        <vt:i4>3407989</vt:i4>
      </vt:variant>
      <vt:variant>
        <vt:i4>93</vt:i4>
      </vt:variant>
      <vt:variant>
        <vt:i4>0</vt:i4>
      </vt:variant>
      <vt:variant>
        <vt:i4>5</vt:i4>
      </vt:variant>
      <vt:variant>
        <vt:lpwstr>http://www.nevo.co.il/case/29101860</vt:lpwstr>
      </vt:variant>
      <vt:variant>
        <vt:lpwstr/>
      </vt:variant>
      <vt:variant>
        <vt:i4>3211377</vt:i4>
      </vt:variant>
      <vt:variant>
        <vt:i4>90</vt:i4>
      </vt:variant>
      <vt:variant>
        <vt:i4>0</vt:i4>
      </vt:variant>
      <vt:variant>
        <vt:i4>5</vt:i4>
      </vt:variant>
      <vt:variant>
        <vt:lpwstr>http://www.nevo.co.il/case/23879124</vt:lpwstr>
      </vt:variant>
      <vt:variant>
        <vt:lpwstr/>
      </vt:variant>
      <vt:variant>
        <vt:i4>3145855</vt:i4>
      </vt:variant>
      <vt:variant>
        <vt:i4>87</vt:i4>
      </vt:variant>
      <vt:variant>
        <vt:i4>0</vt:i4>
      </vt:variant>
      <vt:variant>
        <vt:i4>5</vt:i4>
      </vt:variant>
      <vt:variant>
        <vt:lpwstr>http://www.nevo.co.il/case/20494220</vt:lpwstr>
      </vt:variant>
      <vt:variant>
        <vt:lpwstr/>
      </vt:variant>
      <vt:variant>
        <vt:i4>3342458</vt:i4>
      </vt:variant>
      <vt:variant>
        <vt:i4>84</vt:i4>
      </vt:variant>
      <vt:variant>
        <vt:i4>0</vt:i4>
      </vt:variant>
      <vt:variant>
        <vt:i4>5</vt:i4>
      </vt:variant>
      <vt:variant>
        <vt:lpwstr>http://www.nevo.co.il/case/21474812</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3211383</vt:i4>
      </vt:variant>
      <vt:variant>
        <vt:i4>78</vt:i4>
      </vt:variant>
      <vt:variant>
        <vt:i4>0</vt:i4>
      </vt:variant>
      <vt:variant>
        <vt:i4>5</vt:i4>
      </vt:variant>
      <vt:variant>
        <vt:lpwstr>http://www.nevo.co.il/case/28697227</vt:lpwstr>
      </vt:variant>
      <vt:variant>
        <vt:lpwstr/>
      </vt:variant>
      <vt:variant>
        <vt:i4>3473524</vt:i4>
      </vt:variant>
      <vt:variant>
        <vt:i4>75</vt:i4>
      </vt:variant>
      <vt:variant>
        <vt:i4>0</vt:i4>
      </vt:variant>
      <vt:variant>
        <vt:i4>5</vt:i4>
      </vt:variant>
      <vt:variant>
        <vt:lpwstr>http://www.nevo.co.il/case/28200855</vt:lpwstr>
      </vt:variant>
      <vt:variant>
        <vt:lpwstr/>
      </vt:variant>
      <vt:variant>
        <vt:i4>3735673</vt:i4>
      </vt:variant>
      <vt:variant>
        <vt:i4>72</vt:i4>
      </vt:variant>
      <vt:variant>
        <vt:i4>0</vt:i4>
      </vt:variant>
      <vt:variant>
        <vt:i4>5</vt:i4>
      </vt:variant>
      <vt:variant>
        <vt:lpwstr>http://www.nevo.co.il/case/27734980</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3473523</vt:i4>
      </vt:variant>
      <vt:variant>
        <vt:i4>66</vt:i4>
      </vt:variant>
      <vt:variant>
        <vt:i4>0</vt:i4>
      </vt:variant>
      <vt:variant>
        <vt:i4>5</vt:i4>
      </vt:variant>
      <vt:variant>
        <vt:lpwstr>http://www.nevo.co.il/case/6246532</vt:lpwstr>
      </vt:variant>
      <vt:variant>
        <vt:lpwstr/>
      </vt:variant>
      <vt:variant>
        <vt:i4>3539066</vt:i4>
      </vt:variant>
      <vt:variant>
        <vt:i4>63</vt:i4>
      </vt:variant>
      <vt:variant>
        <vt:i4>0</vt:i4>
      </vt:variant>
      <vt:variant>
        <vt:i4>5</vt:i4>
      </vt:variant>
      <vt:variant>
        <vt:lpwstr>http://www.nevo.co.il/case/28243256</vt:lpwstr>
      </vt:variant>
      <vt:variant>
        <vt:lpwstr/>
      </vt:variant>
      <vt:variant>
        <vt:i4>4128882</vt:i4>
      </vt:variant>
      <vt:variant>
        <vt:i4>60</vt:i4>
      </vt:variant>
      <vt:variant>
        <vt:i4>0</vt:i4>
      </vt:variant>
      <vt:variant>
        <vt:i4>5</vt:i4>
      </vt:variant>
      <vt:variant>
        <vt:lpwstr>http://www.nevo.co.il/case/6859579</vt:lpwstr>
      </vt:variant>
      <vt:variant>
        <vt:lpwstr/>
      </vt:variant>
      <vt:variant>
        <vt:i4>3932280</vt:i4>
      </vt:variant>
      <vt:variant>
        <vt:i4>57</vt:i4>
      </vt:variant>
      <vt:variant>
        <vt:i4>0</vt:i4>
      </vt:variant>
      <vt:variant>
        <vt:i4>5</vt:i4>
      </vt:variant>
      <vt:variant>
        <vt:lpwstr>http://www.nevo.co.il/case/6169945</vt:lpwstr>
      </vt:variant>
      <vt:variant>
        <vt:lpwstr/>
      </vt:variant>
      <vt:variant>
        <vt:i4>3473532</vt:i4>
      </vt:variant>
      <vt:variant>
        <vt:i4>54</vt:i4>
      </vt:variant>
      <vt:variant>
        <vt:i4>0</vt:i4>
      </vt:variant>
      <vt:variant>
        <vt:i4>5</vt:i4>
      </vt:variant>
      <vt:variant>
        <vt:lpwstr>http://www.nevo.co.il/case/28296934</vt:lpwstr>
      </vt:variant>
      <vt:variant>
        <vt:lpwstr/>
      </vt:variant>
      <vt:variant>
        <vt:i4>3866742</vt:i4>
      </vt:variant>
      <vt:variant>
        <vt:i4>51</vt:i4>
      </vt:variant>
      <vt:variant>
        <vt:i4>0</vt:i4>
      </vt:variant>
      <vt:variant>
        <vt:i4>5</vt:i4>
      </vt:variant>
      <vt:variant>
        <vt:lpwstr>http://www.nevo.co.il/case/24263086</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4980819</vt:i4>
      </vt:variant>
      <vt:variant>
        <vt:i4>39</vt:i4>
      </vt:variant>
      <vt:variant>
        <vt:i4>0</vt:i4>
      </vt:variant>
      <vt:variant>
        <vt:i4>5</vt:i4>
      </vt:variant>
      <vt:variant>
        <vt:lpwstr>http://www.nevo.co.il/law/70301/274.3</vt:lpwstr>
      </vt:variant>
      <vt:variant>
        <vt:lpwstr/>
      </vt:variant>
      <vt:variant>
        <vt:i4>4980819</vt:i4>
      </vt:variant>
      <vt:variant>
        <vt:i4>36</vt:i4>
      </vt:variant>
      <vt:variant>
        <vt:i4>0</vt:i4>
      </vt:variant>
      <vt:variant>
        <vt:i4>5</vt:i4>
      </vt:variant>
      <vt:variant>
        <vt:lpwstr>http://www.nevo.co.il/law/70301/274.2</vt:lpwstr>
      </vt:variant>
      <vt:variant>
        <vt:lpwstr/>
      </vt:variant>
      <vt:variant>
        <vt:i4>4980819</vt:i4>
      </vt:variant>
      <vt:variant>
        <vt:i4>33</vt:i4>
      </vt:variant>
      <vt:variant>
        <vt:i4>0</vt:i4>
      </vt:variant>
      <vt:variant>
        <vt:i4>5</vt:i4>
      </vt:variant>
      <vt:variant>
        <vt:lpwstr>http://www.nevo.co.il/law/70301/274.1</vt:lpwstr>
      </vt:variant>
      <vt:variant>
        <vt:lpwstr/>
      </vt:variant>
      <vt:variant>
        <vt:i4>6684735</vt:i4>
      </vt:variant>
      <vt:variant>
        <vt:i4>30</vt:i4>
      </vt:variant>
      <vt:variant>
        <vt:i4>0</vt:i4>
      </vt:variant>
      <vt:variant>
        <vt:i4>5</vt:i4>
      </vt:variant>
      <vt:variant>
        <vt:lpwstr>http://www.nevo.co.il/law/70301/338.a.3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6291556</vt:i4>
      </vt:variant>
      <vt:variant>
        <vt:i4>24</vt:i4>
      </vt:variant>
      <vt:variant>
        <vt:i4>0</vt:i4>
      </vt:variant>
      <vt:variant>
        <vt:i4>5</vt:i4>
      </vt:variant>
      <vt:variant>
        <vt:lpwstr>http://www.nevo.co.il/law/70301/152</vt:lpwstr>
      </vt:variant>
      <vt:variant>
        <vt:lpwstr/>
      </vt:variant>
      <vt:variant>
        <vt:i4>6684735</vt:i4>
      </vt:variant>
      <vt:variant>
        <vt:i4>21</vt:i4>
      </vt:variant>
      <vt:variant>
        <vt:i4>0</vt:i4>
      </vt:variant>
      <vt:variant>
        <vt:i4>5</vt:i4>
      </vt:variant>
      <vt:variant>
        <vt:lpwstr>http://www.nevo.co.il/law/70301/338.a.3</vt:lpwstr>
      </vt:variant>
      <vt:variant>
        <vt:lpwstr/>
      </vt:variant>
      <vt:variant>
        <vt:i4>4980819</vt:i4>
      </vt:variant>
      <vt:variant>
        <vt:i4>18</vt:i4>
      </vt:variant>
      <vt:variant>
        <vt:i4>0</vt:i4>
      </vt:variant>
      <vt:variant>
        <vt:i4>5</vt:i4>
      </vt:variant>
      <vt:variant>
        <vt:lpwstr>http://www.nevo.co.il/law/70301/274.3</vt:lpwstr>
      </vt:variant>
      <vt:variant>
        <vt:lpwstr/>
      </vt:variant>
      <vt:variant>
        <vt:i4>4980819</vt:i4>
      </vt:variant>
      <vt:variant>
        <vt:i4>15</vt:i4>
      </vt:variant>
      <vt:variant>
        <vt:i4>0</vt:i4>
      </vt:variant>
      <vt:variant>
        <vt:i4>5</vt:i4>
      </vt:variant>
      <vt:variant>
        <vt:lpwstr>http://www.nevo.co.il/law/70301/274.2</vt:lpwstr>
      </vt:variant>
      <vt:variant>
        <vt:lpwstr/>
      </vt:variant>
      <vt:variant>
        <vt:i4>4980819</vt:i4>
      </vt:variant>
      <vt:variant>
        <vt:i4>12</vt:i4>
      </vt:variant>
      <vt:variant>
        <vt:i4>0</vt:i4>
      </vt:variant>
      <vt:variant>
        <vt:i4>5</vt:i4>
      </vt:variant>
      <vt:variant>
        <vt:lpwstr>http://www.nevo.co.il/law/70301/274.1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31216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מונזר נגאר</vt:lpwstr>
  </property>
  <property fmtid="{D5CDD505-2E9C-101B-9397-08002B2CF9AE}" pid="10" name="LAWYER">
    <vt:lpwstr>היבא קדומי;אהוביה שטרן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20221019</vt:lpwstr>
  </property>
  <property fmtid="{D5CDD505-2E9C-101B-9397-08002B2CF9AE}" pid="14" name="TYPE_N_DATE">
    <vt:lpwstr>39020221019</vt:lpwstr>
  </property>
  <property fmtid="{D5CDD505-2E9C-101B-9397-08002B2CF9AE}" pid="15" name="WORDNUMPAGES">
    <vt:lpwstr>8</vt:lpwstr>
  </property>
  <property fmtid="{D5CDD505-2E9C-101B-9397-08002B2CF9AE}" pid="16" name="TYPE_ABS_DATE">
    <vt:lpwstr>390020221019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13093721;24263086;28296934:2;6169945;6859579;28243256:2;6246532;27734980;28200855;28697227;28883087;21474812;20494220;23879124;29101860;23506710;6080661</vt:lpwstr>
  </property>
  <property fmtid="{D5CDD505-2E9C-101B-9397-08002B2CF9AE}" pid="36" name="LAWLISTTMP1">
    <vt:lpwstr>70301/152;338.a.3;274.1;274.2;274.3;025;144.b2</vt:lpwstr>
  </property>
</Properties>
</file>