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61661" w:rsidRPr="00B3021F" w14:paraId="6F0B9601" w14:textId="77777777" w:rsidTr="00072556">
        <w:trPr>
          <w:trHeight w:hRule="exact" w:val="418"/>
          <w:jc w:val="center"/>
        </w:trPr>
        <w:tc>
          <w:tcPr>
            <w:tcW w:w="8721" w:type="dxa"/>
            <w:gridSpan w:val="2"/>
          </w:tcPr>
          <w:p w14:paraId="459E901E" w14:textId="77777777" w:rsidR="00261661" w:rsidRPr="00B3021F" w:rsidRDefault="00261661" w:rsidP="000019CC">
            <w:pPr>
              <w:pStyle w:val="a3"/>
              <w:jc w:val="center"/>
              <w:rPr>
                <w:rFonts w:ascii="Tahoma" w:hAnsi="Tahoma" w:cs="Tahoma"/>
                <w:color w:val="000080"/>
                <w:rtl/>
              </w:rPr>
            </w:pPr>
            <w:bookmarkStart w:id="0" w:name="LastJudge"/>
            <w:r w:rsidRPr="00B3021F">
              <w:rPr>
                <w:rFonts w:ascii="Tahoma" w:hAnsi="Tahoma" w:cs="Tahoma"/>
                <w:b/>
                <w:bCs/>
                <w:color w:val="000080"/>
                <w:rtl/>
              </w:rPr>
              <w:t>בית המשפט המחוזי בירושלים</w:t>
            </w:r>
          </w:p>
        </w:tc>
      </w:tr>
      <w:tr w:rsidR="00261661" w:rsidRPr="00B3021F" w14:paraId="2ECAC9C0" w14:textId="77777777" w:rsidTr="00072556">
        <w:trPr>
          <w:trHeight w:val="337"/>
          <w:jc w:val="center"/>
        </w:trPr>
        <w:tc>
          <w:tcPr>
            <w:tcW w:w="5054" w:type="dxa"/>
          </w:tcPr>
          <w:p w14:paraId="2A868CAA" w14:textId="77777777" w:rsidR="00261661" w:rsidRPr="00B3021F" w:rsidRDefault="00261661" w:rsidP="000019CC">
            <w:pPr>
              <w:rPr>
                <w:rFonts w:cs="FrankRuehl"/>
                <w:sz w:val="28"/>
                <w:szCs w:val="28"/>
                <w:rtl/>
              </w:rPr>
            </w:pPr>
            <w:r w:rsidRPr="00B3021F">
              <w:rPr>
                <w:rFonts w:cs="FrankRuehl"/>
                <w:sz w:val="28"/>
                <w:szCs w:val="28"/>
                <w:rtl/>
              </w:rPr>
              <w:t>ת"פ</w:t>
            </w:r>
            <w:r w:rsidRPr="00B3021F">
              <w:rPr>
                <w:rFonts w:cs="FrankRuehl" w:hint="cs"/>
                <w:sz w:val="28"/>
                <w:szCs w:val="28"/>
                <w:rtl/>
              </w:rPr>
              <w:t xml:space="preserve"> </w:t>
            </w:r>
            <w:r w:rsidRPr="00B3021F">
              <w:rPr>
                <w:rFonts w:cs="FrankRuehl"/>
                <w:sz w:val="28"/>
                <w:szCs w:val="28"/>
                <w:rtl/>
              </w:rPr>
              <w:t>36287-01-22</w:t>
            </w:r>
            <w:r w:rsidRPr="00B3021F">
              <w:rPr>
                <w:rFonts w:cs="FrankRuehl" w:hint="cs"/>
                <w:sz w:val="28"/>
                <w:szCs w:val="28"/>
                <w:rtl/>
              </w:rPr>
              <w:t xml:space="preserve"> </w:t>
            </w:r>
            <w:r w:rsidRPr="00B3021F">
              <w:rPr>
                <w:rFonts w:cs="FrankRuehl"/>
                <w:sz w:val="28"/>
                <w:szCs w:val="28"/>
                <w:rtl/>
              </w:rPr>
              <w:t>מדינת ישראל נ' מחמד</w:t>
            </w:r>
            <w:r w:rsidRPr="00B3021F">
              <w:rPr>
                <w:rFonts w:cs="FrankRuehl" w:hint="cs"/>
                <w:sz w:val="28"/>
                <w:szCs w:val="28"/>
                <w:rtl/>
              </w:rPr>
              <w:t xml:space="preserve"> מדחת</w:t>
            </w:r>
          </w:p>
          <w:p w14:paraId="06CF299B" w14:textId="77777777" w:rsidR="00261661" w:rsidRPr="00B3021F" w:rsidRDefault="00261661" w:rsidP="000019CC">
            <w:pPr>
              <w:pStyle w:val="a3"/>
              <w:rPr>
                <w:rFonts w:cs="FrankRuehl"/>
                <w:sz w:val="28"/>
                <w:szCs w:val="28"/>
                <w:rtl/>
              </w:rPr>
            </w:pPr>
          </w:p>
        </w:tc>
        <w:tc>
          <w:tcPr>
            <w:tcW w:w="3667" w:type="dxa"/>
          </w:tcPr>
          <w:p w14:paraId="547BDC99" w14:textId="77777777" w:rsidR="00261661" w:rsidRPr="00B3021F" w:rsidRDefault="00261661" w:rsidP="000019CC">
            <w:pPr>
              <w:pStyle w:val="a3"/>
              <w:jc w:val="right"/>
              <w:rPr>
                <w:rFonts w:cs="FrankRuehl"/>
                <w:sz w:val="28"/>
                <w:szCs w:val="28"/>
                <w:rtl/>
              </w:rPr>
            </w:pPr>
          </w:p>
        </w:tc>
      </w:tr>
    </w:tbl>
    <w:p w14:paraId="34AAA15E" w14:textId="77777777" w:rsidR="00261661" w:rsidRPr="00B3021F" w:rsidRDefault="00261661" w:rsidP="00261661">
      <w:pPr>
        <w:pStyle w:val="a3"/>
        <w:rPr>
          <w:rtl/>
        </w:rPr>
      </w:pPr>
      <w:r w:rsidRPr="00B3021F">
        <w:rPr>
          <w:rFonts w:hint="cs"/>
          <w:rtl/>
        </w:rPr>
        <w:t xml:space="preserve"> </w:t>
      </w:r>
    </w:p>
    <w:p w14:paraId="10FD6C17" w14:textId="77777777" w:rsidR="00261661" w:rsidRPr="00B3021F" w:rsidRDefault="00261661" w:rsidP="00261661">
      <w:pPr>
        <w:rPr>
          <w:rtl/>
        </w:rPr>
      </w:pPr>
    </w:p>
    <w:p w14:paraId="65287922" w14:textId="77777777" w:rsidR="00261661" w:rsidRPr="00B3021F" w:rsidRDefault="00261661" w:rsidP="0026166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211"/>
        <w:gridCol w:w="4664"/>
      </w:tblGrid>
      <w:tr w:rsidR="00261661" w:rsidRPr="00B3021F" w14:paraId="33983B40" w14:textId="77777777" w:rsidTr="00072556">
        <w:trPr>
          <w:trHeight w:val="295"/>
          <w:jc w:val="center"/>
        </w:trPr>
        <w:tc>
          <w:tcPr>
            <w:tcW w:w="945" w:type="dxa"/>
            <w:tcBorders>
              <w:top w:val="nil"/>
              <w:left w:val="nil"/>
              <w:bottom w:val="nil"/>
              <w:right w:val="nil"/>
            </w:tcBorders>
            <w:shd w:val="clear" w:color="auto" w:fill="auto"/>
          </w:tcPr>
          <w:p w14:paraId="5CBBF1D4" w14:textId="77777777" w:rsidR="00261661" w:rsidRPr="00B3021F" w:rsidRDefault="00261661" w:rsidP="00261661">
            <w:pPr>
              <w:jc w:val="both"/>
              <w:rPr>
                <w:rFonts w:ascii="David" w:hAnsi="David"/>
                <w:b/>
                <w:bCs/>
                <w:sz w:val="28"/>
                <w:szCs w:val="28"/>
              </w:rPr>
            </w:pPr>
            <w:r w:rsidRPr="00B3021F">
              <w:rPr>
                <w:rFonts w:ascii="David" w:hAnsi="David" w:hint="cs"/>
                <w:b/>
                <w:bCs/>
                <w:sz w:val="28"/>
                <w:szCs w:val="28"/>
                <w:rtl/>
              </w:rPr>
              <w:t>ל</w:t>
            </w:r>
            <w:r w:rsidRPr="00B3021F">
              <w:rPr>
                <w:rFonts w:ascii="David" w:hAnsi="David"/>
                <w:b/>
                <w:bCs/>
                <w:sz w:val="28"/>
                <w:szCs w:val="28"/>
                <w:rtl/>
              </w:rPr>
              <w:t xml:space="preserve">פני </w:t>
            </w:r>
          </w:p>
        </w:tc>
        <w:tc>
          <w:tcPr>
            <w:tcW w:w="7875" w:type="dxa"/>
            <w:gridSpan w:val="2"/>
            <w:tcBorders>
              <w:top w:val="nil"/>
              <w:left w:val="nil"/>
              <w:bottom w:val="nil"/>
              <w:right w:val="nil"/>
            </w:tcBorders>
            <w:shd w:val="clear" w:color="auto" w:fill="auto"/>
          </w:tcPr>
          <w:p w14:paraId="3139421C" w14:textId="77777777" w:rsidR="00261661" w:rsidRPr="00B3021F" w:rsidRDefault="00261661" w:rsidP="000019CC">
            <w:pPr>
              <w:rPr>
                <w:rFonts w:ascii="David" w:hAnsi="David"/>
                <w:b/>
                <w:bCs/>
                <w:sz w:val="28"/>
                <w:szCs w:val="28"/>
                <w:rtl/>
              </w:rPr>
            </w:pPr>
            <w:r w:rsidRPr="00B3021F">
              <w:rPr>
                <w:rFonts w:ascii="David" w:hAnsi="David"/>
                <w:b/>
                <w:bCs/>
                <w:sz w:val="28"/>
                <w:szCs w:val="28"/>
                <w:rtl/>
              </w:rPr>
              <w:t>כבוד השופט  אברהם רובין</w:t>
            </w:r>
          </w:p>
          <w:p w14:paraId="7CA9FBD1" w14:textId="77777777" w:rsidR="00261661" w:rsidRPr="00B3021F" w:rsidRDefault="00261661" w:rsidP="000019CC">
            <w:pPr>
              <w:rPr>
                <w:rFonts w:ascii="David" w:hAnsi="David"/>
                <w:b/>
                <w:bCs/>
                <w:sz w:val="28"/>
                <w:szCs w:val="28"/>
                <w:rtl/>
              </w:rPr>
            </w:pPr>
          </w:p>
          <w:p w14:paraId="202E845A" w14:textId="77777777" w:rsidR="00261661" w:rsidRPr="00B3021F" w:rsidRDefault="00261661" w:rsidP="00261661">
            <w:pPr>
              <w:jc w:val="both"/>
              <w:rPr>
                <w:rFonts w:ascii="David" w:hAnsi="David"/>
                <w:b/>
                <w:bCs/>
                <w:sz w:val="28"/>
                <w:szCs w:val="28"/>
              </w:rPr>
            </w:pPr>
          </w:p>
        </w:tc>
      </w:tr>
      <w:tr w:rsidR="00261661" w:rsidRPr="00B3021F" w14:paraId="4631D051" w14:textId="77777777" w:rsidTr="00072556">
        <w:trPr>
          <w:trHeight w:val="355"/>
          <w:jc w:val="center"/>
        </w:trPr>
        <w:tc>
          <w:tcPr>
            <w:tcW w:w="945" w:type="dxa"/>
            <w:tcBorders>
              <w:top w:val="nil"/>
              <w:left w:val="nil"/>
              <w:bottom w:val="nil"/>
              <w:right w:val="nil"/>
            </w:tcBorders>
            <w:shd w:val="clear" w:color="auto" w:fill="auto"/>
          </w:tcPr>
          <w:p w14:paraId="7225D5D2" w14:textId="77777777" w:rsidR="00261661" w:rsidRPr="00B3021F" w:rsidRDefault="00261661" w:rsidP="00261661">
            <w:pPr>
              <w:jc w:val="both"/>
              <w:rPr>
                <w:rFonts w:ascii="David" w:hAnsi="David"/>
                <w:b/>
                <w:bCs/>
                <w:sz w:val="28"/>
                <w:szCs w:val="28"/>
              </w:rPr>
            </w:pPr>
            <w:bookmarkStart w:id="1" w:name="FirstAppellant"/>
            <w:r w:rsidRPr="00B3021F">
              <w:rPr>
                <w:rFonts w:ascii="David" w:hAnsi="David"/>
                <w:b/>
                <w:bCs/>
                <w:sz w:val="28"/>
                <w:szCs w:val="28"/>
                <w:rtl/>
              </w:rPr>
              <w:t>בעניין:</w:t>
            </w:r>
          </w:p>
        </w:tc>
        <w:tc>
          <w:tcPr>
            <w:tcW w:w="3211" w:type="dxa"/>
            <w:tcBorders>
              <w:top w:val="nil"/>
              <w:left w:val="nil"/>
              <w:bottom w:val="nil"/>
              <w:right w:val="nil"/>
            </w:tcBorders>
            <w:shd w:val="clear" w:color="auto" w:fill="auto"/>
          </w:tcPr>
          <w:p w14:paraId="3088D5BF" w14:textId="77777777" w:rsidR="00261661" w:rsidRPr="00B3021F" w:rsidRDefault="00261661" w:rsidP="00261661">
            <w:pPr>
              <w:suppressLineNumbers/>
              <w:rPr>
                <w:b/>
                <w:bCs/>
                <w:sz w:val="28"/>
                <w:szCs w:val="28"/>
              </w:rPr>
            </w:pPr>
            <w:r w:rsidRPr="00B3021F">
              <w:rPr>
                <w:rFonts w:ascii="Arial" w:hAnsi="Arial" w:hint="cs"/>
                <w:b/>
                <w:bCs/>
                <w:sz w:val="28"/>
                <w:szCs w:val="28"/>
                <w:rtl/>
              </w:rPr>
              <w:t>ה</w:t>
            </w:r>
            <w:r w:rsidRPr="00B3021F">
              <w:rPr>
                <w:rFonts w:ascii="Arial" w:hAnsi="Arial"/>
                <w:b/>
                <w:bCs/>
                <w:sz w:val="28"/>
                <w:szCs w:val="28"/>
                <w:rtl/>
              </w:rPr>
              <w:t>מאשימה</w:t>
            </w:r>
          </w:p>
          <w:p w14:paraId="0C7CCEFD" w14:textId="77777777" w:rsidR="00261661" w:rsidRPr="00B3021F" w:rsidRDefault="00261661" w:rsidP="000019CC">
            <w:pPr>
              <w:rPr>
                <w:rFonts w:ascii="David" w:hAnsi="David"/>
                <w:b/>
                <w:bCs/>
                <w:sz w:val="28"/>
                <w:szCs w:val="28"/>
              </w:rPr>
            </w:pPr>
          </w:p>
        </w:tc>
        <w:tc>
          <w:tcPr>
            <w:tcW w:w="4664" w:type="dxa"/>
            <w:tcBorders>
              <w:top w:val="nil"/>
              <w:left w:val="nil"/>
              <w:bottom w:val="nil"/>
              <w:right w:val="nil"/>
            </w:tcBorders>
            <w:shd w:val="clear" w:color="auto" w:fill="auto"/>
            <w:vAlign w:val="center"/>
          </w:tcPr>
          <w:p w14:paraId="2B1D8825" w14:textId="77777777" w:rsidR="00261661" w:rsidRPr="00B3021F" w:rsidRDefault="00261661" w:rsidP="00261661">
            <w:pPr>
              <w:suppressLineNumbers/>
              <w:rPr>
                <w:b/>
                <w:bCs/>
                <w:sz w:val="28"/>
                <w:szCs w:val="28"/>
              </w:rPr>
            </w:pPr>
            <w:r w:rsidRPr="00B3021F">
              <w:rPr>
                <w:rFonts w:ascii="Arial" w:hAnsi="Arial"/>
                <w:b/>
                <w:bCs/>
                <w:sz w:val="28"/>
                <w:szCs w:val="28"/>
                <w:rtl/>
              </w:rPr>
              <w:t>מדינת ישראל</w:t>
            </w:r>
            <w:r w:rsidRPr="00B3021F">
              <w:rPr>
                <w:rFonts w:ascii="Arial" w:hAnsi="Arial" w:hint="cs"/>
                <w:b/>
                <w:bCs/>
                <w:sz w:val="28"/>
                <w:szCs w:val="28"/>
                <w:rtl/>
              </w:rPr>
              <w:t xml:space="preserve"> </w:t>
            </w:r>
          </w:p>
          <w:p w14:paraId="26FCAAD1" w14:textId="77777777" w:rsidR="00261661" w:rsidRPr="00B3021F" w:rsidRDefault="00261661" w:rsidP="000019CC">
            <w:pPr>
              <w:rPr>
                <w:rFonts w:ascii="David" w:hAnsi="David"/>
                <w:b/>
                <w:bCs/>
                <w:sz w:val="28"/>
                <w:szCs w:val="28"/>
              </w:rPr>
            </w:pPr>
          </w:p>
        </w:tc>
      </w:tr>
      <w:bookmarkEnd w:id="1"/>
      <w:tr w:rsidR="00261661" w:rsidRPr="00B3021F" w14:paraId="41EACBC9" w14:textId="77777777" w:rsidTr="00072556">
        <w:trPr>
          <w:trHeight w:val="355"/>
          <w:jc w:val="center"/>
        </w:trPr>
        <w:tc>
          <w:tcPr>
            <w:tcW w:w="945" w:type="dxa"/>
            <w:tcBorders>
              <w:top w:val="nil"/>
              <w:left w:val="nil"/>
              <w:bottom w:val="nil"/>
              <w:right w:val="nil"/>
            </w:tcBorders>
            <w:shd w:val="clear" w:color="auto" w:fill="auto"/>
          </w:tcPr>
          <w:p w14:paraId="00119CB4" w14:textId="77777777" w:rsidR="00261661" w:rsidRPr="00B3021F" w:rsidRDefault="00261661" w:rsidP="00261661">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3EB560BC" w14:textId="77777777" w:rsidR="00261661" w:rsidRPr="00B3021F" w:rsidRDefault="00261661" w:rsidP="00261661">
            <w:pPr>
              <w:jc w:val="center"/>
              <w:rPr>
                <w:rFonts w:ascii="David" w:hAnsi="David"/>
                <w:b/>
                <w:bCs/>
                <w:sz w:val="28"/>
                <w:szCs w:val="28"/>
                <w:rtl/>
              </w:rPr>
            </w:pPr>
          </w:p>
          <w:p w14:paraId="4F4CE0BE" w14:textId="77777777" w:rsidR="00261661" w:rsidRPr="00B3021F" w:rsidRDefault="00261661" w:rsidP="00261661">
            <w:pPr>
              <w:jc w:val="center"/>
              <w:rPr>
                <w:rFonts w:ascii="David" w:hAnsi="David"/>
                <w:b/>
                <w:bCs/>
                <w:sz w:val="28"/>
                <w:szCs w:val="28"/>
                <w:rtl/>
              </w:rPr>
            </w:pPr>
            <w:r w:rsidRPr="00B3021F">
              <w:rPr>
                <w:rFonts w:ascii="David" w:hAnsi="David"/>
                <w:b/>
                <w:bCs/>
                <w:sz w:val="28"/>
                <w:szCs w:val="28"/>
                <w:rtl/>
              </w:rPr>
              <w:t>נגד</w:t>
            </w:r>
          </w:p>
          <w:p w14:paraId="5356B556" w14:textId="77777777" w:rsidR="00261661" w:rsidRPr="00B3021F" w:rsidRDefault="00261661" w:rsidP="00261661">
            <w:pPr>
              <w:jc w:val="center"/>
              <w:rPr>
                <w:rFonts w:ascii="David" w:hAnsi="David"/>
                <w:b/>
                <w:bCs/>
                <w:sz w:val="28"/>
                <w:szCs w:val="28"/>
                <w:rtl/>
              </w:rPr>
            </w:pPr>
          </w:p>
          <w:p w14:paraId="407775B1" w14:textId="77777777" w:rsidR="00261661" w:rsidRPr="00B3021F" w:rsidRDefault="00261661" w:rsidP="00261661">
            <w:pPr>
              <w:jc w:val="both"/>
              <w:rPr>
                <w:rFonts w:ascii="David" w:hAnsi="David"/>
                <w:b/>
                <w:bCs/>
                <w:sz w:val="28"/>
                <w:szCs w:val="28"/>
              </w:rPr>
            </w:pPr>
          </w:p>
        </w:tc>
      </w:tr>
      <w:tr w:rsidR="00261661" w:rsidRPr="00B3021F" w14:paraId="71C456FF" w14:textId="77777777" w:rsidTr="00072556">
        <w:trPr>
          <w:trHeight w:val="355"/>
          <w:jc w:val="center"/>
        </w:trPr>
        <w:tc>
          <w:tcPr>
            <w:tcW w:w="945" w:type="dxa"/>
            <w:tcBorders>
              <w:top w:val="nil"/>
              <w:left w:val="nil"/>
              <w:bottom w:val="nil"/>
              <w:right w:val="nil"/>
            </w:tcBorders>
            <w:shd w:val="clear" w:color="auto" w:fill="auto"/>
          </w:tcPr>
          <w:p w14:paraId="6798B89B" w14:textId="77777777" w:rsidR="00261661" w:rsidRPr="00B3021F" w:rsidRDefault="00261661" w:rsidP="000019CC">
            <w:pPr>
              <w:rPr>
                <w:rFonts w:ascii="David" w:hAnsi="David"/>
                <w:b/>
                <w:bCs/>
                <w:sz w:val="28"/>
                <w:szCs w:val="28"/>
                <w:rtl/>
              </w:rPr>
            </w:pPr>
          </w:p>
        </w:tc>
        <w:tc>
          <w:tcPr>
            <w:tcW w:w="3211" w:type="dxa"/>
            <w:tcBorders>
              <w:top w:val="nil"/>
              <w:left w:val="nil"/>
              <w:bottom w:val="nil"/>
              <w:right w:val="nil"/>
            </w:tcBorders>
            <w:shd w:val="clear" w:color="auto" w:fill="auto"/>
          </w:tcPr>
          <w:p w14:paraId="68EF034C" w14:textId="77777777" w:rsidR="00261661" w:rsidRPr="00B3021F" w:rsidRDefault="00261661" w:rsidP="000019CC">
            <w:pPr>
              <w:rPr>
                <w:rFonts w:ascii="Arial" w:hAnsi="Arial"/>
                <w:b/>
                <w:bCs/>
                <w:sz w:val="28"/>
                <w:szCs w:val="28"/>
                <w:rtl/>
              </w:rPr>
            </w:pPr>
            <w:r w:rsidRPr="00B3021F">
              <w:rPr>
                <w:rFonts w:ascii="Arial" w:hAnsi="Arial"/>
                <w:b/>
                <w:bCs/>
                <w:sz w:val="28"/>
                <w:szCs w:val="28"/>
                <w:rtl/>
              </w:rPr>
              <w:t>הנאשם</w:t>
            </w:r>
          </w:p>
        </w:tc>
        <w:tc>
          <w:tcPr>
            <w:tcW w:w="4664" w:type="dxa"/>
            <w:tcBorders>
              <w:top w:val="nil"/>
              <w:left w:val="nil"/>
              <w:bottom w:val="nil"/>
              <w:right w:val="nil"/>
            </w:tcBorders>
            <w:shd w:val="clear" w:color="auto" w:fill="auto"/>
            <w:vAlign w:val="center"/>
          </w:tcPr>
          <w:p w14:paraId="345E7784" w14:textId="77777777" w:rsidR="00261661" w:rsidRPr="00B3021F" w:rsidRDefault="00261661" w:rsidP="00261661">
            <w:pPr>
              <w:suppressLineNumbers/>
              <w:rPr>
                <w:b/>
                <w:bCs/>
                <w:sz w:val="28"/>
                <w:szCs w:val="28"/>
              </w:rPr>
            </w:pPr>
            <w:r w:rsidRPr="00B3021F">
              <w:rPr>
                <w:rFonts w:ascii="Arial" w:hAnsi="Arial"/>
                <w:b/>
                <w:bCs/>
                <w:sz w:val="28"/>
                <w:szCs w:val="28"/>
                <w:rtl/>
              </w:rPr>
              <w:t xml:space="preserve">מחמד מדחת </w:t>
            </w:r>
            <w:r w:rsidRPr="00B3021F">
              <w:rPr>
                <w:rFonts w:ascii="Arial" w:hAnsi="Arial" w:hint="cs"/>
                <w:b/>
                <w:bCs/>
                <w:sz w:val="28"/>
                <w:szCs w:val="28"/>
                <w:rtl/>
              </w:rPr>
              <w:t xml:space="preserve">ת.ז. </w:t>
            </w:r>
            <w:r w:rsidR="00B3021F">
              <w:rPr>
                <w:rFonts w:ascii="Arial" w:hAnsi="Arial"/>
                <w:b/>
                <w:bCs/>
                <w:sz w:val="28"/>
                <w:szCs w:val="28"/>
              </w:rPr>
              <w:t>xxxxxxxxx</w:t>
            </w:r>
          </w:p>
          <w:p w14:paraId="271BD4ED" w14:textId="77777777" w:rsidR="00261661" w:rsidRPr="00B3021F" w:rsidRDefault="00261661" w:rsidP="000019CC">
            <w:pPr>
              <w:rPr>
                <w:rFonts w:ascii="David" w:hAnsi="David"/>
                <w:b/>
                <w:bCs/>
                <w:sz w:val="28"/>
                <w:szCs w:val="28"/>
              </w:rPr>
            </w:pPr>
          </w:p>
        </w:tc>
      </w:tr>
    </w:tbl>
    <w:p w14:paraId="144A58BE" w14:textId="77777777" w:rsidR="00B3021F" w:rsidRPr="00B3021F" w:rsidRDefault="00B3021F" w:rsidP="00B3021F">
      <w:pPr>
        <w:spacing w:before="120" w:after="120" w:line="240" w:lineRule="exact"/>
        <w:ind w:left="283" w:hanging="283"/>
        <w:jc w:val="both"/>
        <w:rPr>
          <w:rFonts w:ascii="FrankRuehl" w:hAnsi="FrankRuehl" w:cs="FrankRuehl"/>
          <w:rtl/>
        </w:rPr>
      </w:pPr>
    </w:p>
    <w:p w14:paraId="033B3E47" w14:textId="77777777" w:rsidR="00A55D22" w:rsidRPr="00A55D22" w:rsidRDefault="00A55D22" w:rsidP="00A55D22">
      <w:pPr>
        <w:spacing w:before="120" w:after="120" w:line="240" w:lineRule="exact"/>
        <w:ind w:left="283" w:hanging="283"/>
        <w:jc w:val="both"/>
        <w:rPr>
          <w:rFonts w:ascii="FrankRuehl" w:hAnsi="FrankRuehl" w:cs="FrankRuehl"/>
          <w:rtl/>
        </w:rPr>
      </w:pPr>
    </w:p>
    <w:p w14:paraId="12D0E7B0" w14:textId="77777777" w:rsidR="000C76DB" w:rsidRDefault="000C76DB" w:rsidP="000C76DB">
      <w:pPr>
        <w:rPr>
          <w:sz w:val="28"/>
          <w:szCs w:val="28"/>
          <w:rtl/>
        </w:rPr>
      </w:pPr>
      <w:bookmarkStart w:id="2" w:name="LawTable"/>
      <w:bookmarkEnd w:id="2"/>
    </w:p>
    <w:p w14:paraId="7354FFC3" w14:textId="77777777" w:rsidR="000C76DB" w:rsidRPr="000C76DB" w:rsidRDefault="000C76DB" w:rsidP="000C76DB">
      <w:pPr>
        <w:spacing w:before="120" w:after="120" w:line="240" w:lineRule="exact"/>
        <w:ind w:left="283" w:hanging="283"/>
        <w:jc w:val="both"/>
        <w:rPr>
          <w:rFonts w:ascii="FrankRuehl" w:hAnsi="FrankRuehl" w:cs="FrankRuehl"/>
          <w:rtl/>
        </w:rPr>
      </w:pPr>
    </w:p>
    <w:p w14:paraId="1EE4CEDB" w14:textId="77777777" w:rsidR="000C76DB" w:rsidRPr="000C76DB" w:rsidRDefault="000C76DB" w:rsidP="000C76DB">
      <w:pPr>
        <w:spacing w:before="120" w:after="120" w:line="240" w:lineRule="exact"/>
        <w:ind w:left="283" w:hanging="283"/>
        <w:jc w:val="both"/>
        <w:rPr>
          <w:rFonts w:ascii="FrankRuehl" w:hAnsi="FrankRuehl" w:cs="FrankRuehl"/>
          <w:rtl/>
        </w:rPr>
      </w:pPr>
    </w:p>
    <w:p w14:paraId="4AE07A81" w14:textId="77777777" w:rsidR="000C76DB" w:rsidRPr="000C76DB" w:rsidRDefault="000C76DB" w:rsidP="000C76DB">
      <w:pPr>
        <w:spacing w:before="120" w:after="120" w:line="240" w:lineRule="exact"/>
        <w:ind w:left="283" w:hanging="283"/>
        <w:jc w:val="both"/>
        <w:rPr>
          <w:rFonts w:ascii="FrankRuehl" w:hAnsi="FrankRuehl" w:cs="FrankRuehl"/>
          <w:rtl/>
        </w:rPr>
      </w:pPr>
      <w:r w:rsidRPr="000C76DB">
        <w:rPr>
          <w:rFonts w:ascii="FrankRuehl" w:hAnsi="FrankRuehl" w:cs="FrankRuehl"/>
          <w:rtl/>
        </w:rPr>
        <w:t xml:space="preserve">חקיקה שאוזכרה: </w:t>
      </w:r>
    </w:p>
    <w:p w14:paraId="20C883A0" w14:textId="77777777" w:rsidR="000C76DB" w:rsidRPr="000C76DB" w:rsidRDefault="000C76DB" w:rsidP="000C76DB">
      <w:pPr>
        <w:spacing w:before="120" w:after="120" w:line="240" w:lineRule="exact"/>
        <w:ind w:left="283" w:hanging="283"/>
        <w:jc w:val="both"/>
        <w:rPr>
          <w:rFonts w:ascii="FrankRuehl" w:hAnsi="FrankRuehl" w:cs="FrankRuehl"/>
          <w:rtl/>
        </w:rPr>
      </w:pPr>
      <w:hyperlink r:id="rId7" w:history="1">
        <w:r w:rsidRPr="000C76DB">
          <w:rPr>
            <w:rFonts w:ascii="FrankRuehl" w:hAnsi="FrankRuehl" w:cs="FrankRuehl"/>
            <w:color w:val="0000FF"/>
            <w:rtl/>
          </w:rPr>
          <w:t>חוק המאבק בטרור, תשע"ו-2016</w:t>
        </w:r>
      </w:hyperlink>
      <w:r w:rsidRPr="000C76DB">
        <w:rPr>
          <w:rFonts w:ascii="FrankRuehl" w:hAnsi="FrankRuehl" w:cs="FrankRuehl"/>
          <w:rtl/>
        </w:rPr>
        <w:t xml:space="preserve">: סע'  </w:t>
      </w:r>
      <w:hyperlink r:id="rId8" w:history="1">
        <w:r w:rsidRPr="000C76DB">
          <w:rPr>
            <w:rFonts w:ascii="FrankRuehl" w:hAnsi="FrankRuehl" w:cs="FrankRuehl"/>
            <w:color w:val="0000FF"/>
            <w:rtl/>
          </w:rPr>
          <w:t>23</w:t>
        </w:r>
      </w:hyperlink>
    </w:p>
    <w:p w14:paraId="476E6605" w14:textId="77777777" w:rsidR="000C76DB" w:rsidRPr="000C76DB" w:rsidRDefault="000C76DB" w:rsidP="000C76DB">
      <w:pPr>
        <w:spacing w:before="120" w:after="120" w:line="240" w:lineRule="exact"/>
        <w:ind w:left="283" w:hanging="283"/>
        <w:jc w:val="both"/>
        <w:rPr>
          <w:rFonts w:ascii="FrankRuehl" w:hAnsi="FrankRuehl" w:cs="FrankRuehl"/>
          <w:rtl/>
        </w:rPr>
      </w:pPr>
      <w:hyperlink r:id="rId9" w:history="1">
        <w:r w:rsidRPr="000C76DB">
          <w:rPr>
            <w:rFonts w:ascii="FrankRuehl" w:hAnsi="FrankRuehl" w:cs="FrankRuehl"/>
            <w:color w:val="0000FF"/>
            <w:rtl/>
          </w:rPr>
          <w:t>חוק העונשין, תשל"ז-1977</w:t>
        </w:r>
      </w:hyperlink>
      <w:r w:rsidRPr="000C76DB">
        <w:rPr>
          <w:rFonts w:ascii="FrankRuehl" w:hAnsi="FrankRuehl" w:cs="FrankRuehl"/>
          <w:rtl/>
        </w:rPr>
        <w:t xml:space="preserve">: סע'  </w:t>
      </w:r>
      <w:hyperlink r:id="rId10" w:history="1">
        <w:r w:rsidRPr="000C76DB">
          <w:rPr>
            <w:rFonts w:ascii="FrankRuehl" w:hAnsi="FrankRuehl" w:cs="FrankRuehl"/>
            <w:color w:val="0000FF"/>
            <w:rtl/>
          </w:rPr>
          <w:t>40ה'</w:t>
        </w:r>
      </w:hyperlink>
      <w:r w:rsidRPr="000C76DB">
        <w:rPr>
          <w:rFonts w:ascii="FrankRuehl" w:hAnsi="FrankRuehl" w:cs="FrankRuehl"/>
          <w:rtl/>
        </w:rPr>
        <w:t xml:space="preserve">, </w:t>
      </w:r>
      <w:hyperlink r:id="rId11" w:history="1">
        <w:r w:rsidRPr="000C76DB">
          <w:rPr>
            <w:rFonts w:ascii="FrankRuehl" w:hAnsi="FrankRuehl" w:cs="FrankRuehl"/>
            <w:color w:val="0000FF"/>
            <w:rtl/>
          </w:rPr>
          <w:t>40ו'</w:t>
        </w:r>
      </w:hyperlink>
      <w:r w:rsidRPr="000C76DB">
        <w:rPr>
          <w:rFonts w:ascii="FrankRuehl" w:hAnsi="FrankRuehl" w:cs="FrankRuehl"/>
          <w:rtl/>
        </w:rPr>
        <w:t xml:space="preserve">, </w:t>
      </w:r>
      <w:hyperlink r:id="rId12" w:history="1">
        <w:r w:rsidRPr="000C76DB">
          <w:rPr>
            <w:rFonts w:ascii="FrankRuehl" w:hAnsi="FrankRuehl" w:cs="FrankRuehl"/>
            <w:color w:val="0000FF"/>
            <w:rtl/>
          </w:rPr>
          <w:t>40ז'</w:t>
        </w:r>
      </w:hyperlink>
      <w:r w:rsidRPr="000C76DB">
        <w:rPr>
          <w:rFonts w:ascii="FrankRuehl" w:hAnsi="FrankRuehl" w:cs="FrankRuehl"/>
          <w:rtl/>
        </w:rPr>
        <w:t xml:space="preserve">, </w:t>
      </w:r>
      <w:hyperlink r:id="rId13" w:history="1">
        <w:r w:rsidRPr="000C76DB">
          <w:rPr>
            <w:rFonts w:ascii="FrankRuehl" w:hAnsi="FrankRuehl" w:cs="FrankRuehl"/>
            <w:color w:val="0000FF"/>
            <w:rtl/>
          </w:rPr>
          <w:t>144(א)</w:t>
        </w:r>
      </w:hyperlink>
      <w:r w:rsidRPr="000C76DB">
        <w:rPr>
          <w:rFonts w:ascii="FrankRuehl" w:hAnsi="FrankRuehl" w:cs="FrankRuehl"/>
          <w:rtl/>
        </w:rPr>
        <w:t xml:space="preserve">, </w:t>
      </w:r>
      <w:hyperlink r:id="rId14" w:history="1">
        <w:r w:rsidRPr="000C76DB">
          <w:rPr>
            <w:rFonts w:ascii="FrankRuehl" w:hAnsi="FrankRuehl" w:cs="FrankRuehl"/>
            <w:color w:val="0000FF"/>
            <w:rtl/>
          </w:rPr>
          <w:t>144(ב)</w:t>
        </w:r>
      </w:hyperlink>
      <w:r w:rsidRPr="000C76DB">
        <w:rPr>
          <w:rFonts w:ascii="FrankRuehl" w:hAnsi="FrankRuehl" w:cs="FrankRuehl"/>
          <w:rtl/>
        </w:rPr>
        <w:t xml:space="preserve">, </w:t>
      </w:r>
      <w:hyperlink r:id="rId15" w:history="1">
        <w:r w:rsidRPr="000C76DB">
          <w:rPr>
            <w:rFonts w:ascii="FrankRuehl" w:hAnsi="FrankRuehl" w:cs="FrankRuehl"/>
            <w:color w:val="0000FF"/>
            <w:rtl/>
          </w:rPr>
          <w:t>144(ב2)</w:t>
        </w:r>
      </w:hyperlink>
    </w:p>
    <w:p w14:paraId="714C9FEF" w14:textId="77777777" w:rsidR="000C76DB" w:rsidRPr="000C76DB" w:rsidRDefault="000C76DB" w:rsidP="000C76DB">
      <w:pPr>
        <w:rPr>
          <w:sz w:val="28"/>
          <w:szCs w:val="28"/>
          <w:rtl/>
        </w:rPr>
      </w:pPr>
      <w:bookmarkStart w:id="3" w:name="LawTable_End"/>
      <w:bookmarkEnd w:id="3"/>
    </w:p>
    <w:p w14:paraId="23A09707" w14:textId="77777777" w:rsidR="00261661" w:rsidRPr="00A55D22" w:rsidRDefault="00261661" w:rsidP="00A55D22">
      <w:pPr>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1661" w:rsidRPr="00D00412" w14:paraId="43ED89BD" w14:textId="77777777" w:rsidTr="00261661">
        <w:trPr>
          <w:trHeight w:val="355"/>
          <w:jc w:val="center"/>
        </w:trPr>
        <w:tc>
          <w:tcPr>
            <w:tcW w:w="8820" w:type="dxa"/>
            <w:tcBorders>
              <w:top w:val="nil"/>
              <w:left w:val="nil"/>
              <w:bottom w:val="nil"/>
              <w:right w:val="nil"/>
            </w:tcBorders>
            <w:shd w:val="clear" w:color="auto" w:fill="auto"/>
          </w:tcPr>
          <w:p w14:paraId="62CE9D1D" w14:textId="77777777" w:rsidR="00B3021F" w:rsidRPr="00B3021F" w:rsidRDefault="00B3021F" w:rsidP="00B3021F">
            <w:pPr>
              <w:jc w:val="center"/>
              <w:rPr>
                <w:rFonts w:ascii="David" w:hAnsi="David"/>
                <w:b/>
                <w:bCs/>
                <w:sz w:val="28"/>
                <w:szCs w:val="28"/>
                <w:u w:val="single"/>
                <w:rtl/>
              </w:rPr>
            </w:pPr>
            <w:bookmarkStart w:id="4" w:name="PsakDin" w:colFirst="0" w:colLast="0"/>
            <w:bookmarkEnd w:id="0"/>
            <w:r w:rsidRPr="00B3021F">
              <w:rPr>
                <w:rFonts w:ascii="David" w:hAnsi="David"/>
                <w:b/>
                <w:bCs/>
                <w:sz w:val="28"/>
                <w:szCs w:val="28"/>
                <w:u w:val="single"/>
                <w:rtl/>
              </w:rPr>
              <w:t>גזר דין</w:t>
            </w:r>
          </w:p>
          <w:p w14:paraId="2B6E5CDE" w14:textId="77777777" w:rsidR="00261661" w:rsidRPr="00B3021F" w:rsidRDefault="00261661" w:rsidP="00B3021F">
            <w:pPr>
              <w:jc w:val="center"/>
              <w:rPr>
                <w:rFonts w:ascii="David" w:hAnsi="David"/>
                <w:b/>
                <w:bCs/>
                <w:sz w:val="28"/>
                <w:szCs w:val="28"/>
                <w:u w:val="single"/>
                <w:rtl/>
              </w:rPr>
            </w:pPr>
          </w:p>
        </w:tc>
      </w:tr>
      <w:bookmarkEnd w:id="4"/>
    </w:tbl>
    <w:p w14:paraId="0AC9F061" w14:textId="77777777" w:rsidR="00261661" w:rsidRDefault="00261661" w:rsidP="00261661">
      <w:pPr>
        <w:spacing w:line="360" w:lineRule="auto"/>
        <w:jc w:val="both"/>
        <w:rPr>
          <w:rFonts w:ascii="Arial" w:hAnsi="Arial"/>
          <w:rtl/>
        </w:rPr>
      </w:pPr>
    </w:p>
    <w:p w14:paraId="00176F1E" w14:textId="77777777" w:rsidR="00261661" w:rsidRPr="00CA5776" w:rsidRDefault="00261661" w:rsidP="00261661">
      <w:pPr>
        <w:numPr>
          <w:ilvl w:val="0"/>
          <w:numId w:val="1"/>
        </w:numPr>
        <w:spacing w:after="160" w:line="360" w:lineRule="auto"/>
        <w:contextualSpacing/>
        <w:jc w:val="both"/>
        <w:rPr>
          <w:rFonts w:ascii="David" w:eastAsia="Calibri" w:hAnsi="David"/>
          <w:b/>
          <w:bCs/>
          <w:u w:val="single"/>
        </w:rPr>
      </w:pPr>
      <w:r w:rsidRPr="00CA5776">
        <w:rPr>
          <w:rFonts w:ascii="David" w:eastAsia="Calibri" w:hAnsi="David" w:hint="cs"/>
          <w:b/>
          <w:bCs/>
          <w:u w:val="single"/>
          <w:rtl/>
        </w:rPr>
        <w:t>העבירות בהן הורשע הנאשם</w:t>
      </w:r>
    </w:p>
    <w:p w14:paraId="1E0E7604" w14:textId="77777777" w:rsidR="00261661" w:rsidRPr="00CA5776" w:rsidRDefault="00261661" w:rsidP="00261661">
      <w:pPr>
        <w:spacing w:after="160" w:line="360" w:lineRule="auto"/>
        <w:ind w:left="720"/>
        <w:contextualSpacing/>
        <w:jc w:val="both"/>
        <w:rPr>
          <w:rFonts w:ascii="David" w:eastAsia="Calibri" w:hAnsi="David"/>
          <w:rtl/>
        </w:rPr>
      </w:pPr>
      <w:bookmarkStart w:id="5" w:name="ABSTRACT_START"/>
      <w:bookmarkEnd w:id="5"/>
      <w:r w:rsidRPr="00CA5776">
        <w:rPr>
          <w:rFonts w:ascii="David" w:eastAsia="Calibri" w:hAnsi="David" w:hint="cs"/>
          <w:rtl/>
        </w:rPr>
        <w:t xml:space="preserve">הנאשם הורשע על יסוד הודאתו בעובדות כתב אישום מתוקן, במסגרת הסדר טיעון, בביצוע העבירות שלהלן: מתן שירות לארגון טרור </w:t>
      </w:r>
      <w:r w:rsidRPr="00CA5776">
        <w:rPr>
          <w:rFonts w:ascii="David" w:eastAsia="Calibri" w:hAnsi="David"/>
          <w:rtl/>
        </w:rPr>
        <w:t>–</w:t>
      </w:r>
      <w:r w:rsidRPr="00CA5776">
        <w:rPr>
          <w:rFonts w:ascii="David" w:eastAsia="Calibri" w:hAnsi="David" w:hint="cs"/>
          <w:rtl/>
        </w:rPr>
        <w:t xml:space="preserve"> עבירה</w:t>
      </w:r>
      <w:r>
        <w:rPr>
          <w:rFonts w:ascii="David" w:eastAsia="Calibri" w:hAnsi="David" w:hint="cs"/>
          <w:rtl/>
        </w:rPr>
        <w:t xml:space="preserve"> לפי </w:t>
      </w:r>
      <w:hyperlink r:id="rId16" w:history="1">
        <w:r w:rsidR="00072556" w:rsidRPr="00072556">
          <w:rPr>
            <w:rStyle w:val="Hyperlink"/>
            <w:rFonts w:ascii="David" w:eastAsia="Calibri" w:hAnsi="David" w:hint="eastAsia"/>
            <w:rtl/>
          </w:rPr>
          <w:t>סעיף</w:t>
        </w:r>
        <w:r w:rsidR="00072556" w:rsidRPr="00072556">
          <w:rPr>
            <w:rStyle w:val="Hyperlink"/>
            <w:rFonts w:ascii="David" w:eastAsia="Calibri" w:hAnsi="David"/>
            <w:rtl/>
          </w:rPr>
          <w:t xml:space="preserve"> 23</w:t>
        </w:r>
      </w:hyperlink>
      <w:r>
        <w:rPr>
          <w:rFonts w:ascii="David" w:eastAsia="Calibri" w:hAnsi="David" w:hint="cs"/>
          <w:rtl/>
        </w:rPr>
        <w:t xml:space="preserve"> ל</w:t>
      </w:r>
      <w:hyperlink r:id="rId17" w:history="1">
        <w:r w:rsidR="00B3021F" w:rsidRPr="00B3021F">
          <w:rPr>
            <w:rFonts w:ascii="David" w:eastAsia="Calibri" w:hAnsi="David"/>
            <w:color w:val="0000FF"/>
            <w:u w:val="single"/>
            <w:rtl/>
          </w:rPr>
          <w:t>חוק המאבק בטרור, תשע"ו-2016</w:t>
        </w:r>
      </w:hyperlink>
      <w:r w:rsidRPr="00CA5776">
        <w:rPr>
          <w:rFonts w:ascii="David" w:eastAsia="Calibri" w:hAnsi="David" w:hint="cs"/>
          <w:rtl/>
        </w:rPr>
        <w:t xml:space="preserve"> (להלן: "</w:t>
      </w:r>
      <w:r w:rsidRPr="00CA5776">
        <w:rPr>
          <w:rFonts w:ascii="David" w:eastAsia="Calibri" w:hAnsi="David" w:hint="cs"/>
          <w:b/>
          <w:bCs/>
          <w:rtl/>
        </w:rPr>
        <w:t>חוק המאבק בטרור</w:t>
      </w:r>
      <w:r>
        <w:rPr>
          <w:rFonts w:ascii="David" w:eastAsia="Calibri" w:hAnsi="David" w:hint="cs"/>
          <w:rtl/>
        </w:rPr>
        <w:t>");</w:t>
      </w:r>
      <w:r w:rsidRPr="00CA5776">
        <w:rPr>
          <w:rFonts w:ascii="David" w:eastAsia="Calibri" w:hAnsi="David" w:hint="cs"/>
          <w:rtl/>
        </w:rPr>
        <w:t xml:space="preserve"> החזקת נשק ואביזרי נשק ותחמושת </w:t>
      </w:r>
      <w:r w:rsidRPr="00CA5776">
        <w:rPr>
          <w:rFonts w:ascii="David" w:eastAsia="Calibri" w:hAnsi="David"/>
          <w:rtl/>
        </w:rPr>
        <w:t>–</w:t>
      </w:r>
      <w:r w:rsidRPr="00CA5776">
        <w:rPr>
          <w:rFonts w:ascii="David" w:eastAsia="Calibri" w:hAnsi="David" w:hint="cs"/>
          <w:rtl/>
        </w:rPr>
        <w:t xml:space="preserve"> עבירה לפי </w:t>
      </w:r>
      <w:hyperlink r:id="rId18" w:history="1">
        <w:r w:rsidR="00072556" w:rsidRPr="00072556">
          <w:rPr>
            <w:rStyle w:val="Hyperlink"/>
            <w:rFonts w:ascii="David" w:eastAsia="Calibri" w:hAnsi="David" w:hint="eastAsia"/>
            <w:rtl/>
          </w:rPr>
          <w:t>סעיף</w:t>
        </w:r>
        <w:r w:rsidR="00072556" w:rsidRPr="00072556">
          <w:rPr>
            <w:rStyle w:val="Hyperlink"/>
            <w:rFonts w:ascii="David" w:eastAsia="Calibri" w:hAnsi="David"/>
            <w:rtl/>
          </w:rPr>
          <w:t xml:space="preserve"> 144(א)</w:t>
        </w:r>
      </w:hyperlink>
      <w:r w:rsidRPr="00CA5776">
        <w:rPr>
          <w:rFonts w:ascii="David" w:eastAsia="Calibri" w:hAnsi="David" w:hint="cs"/>
          <w:rtl/>
        </w:rPr>
        <w:t xml:space="preserve"> רישא וסיפא ל</w:t>
      </w:r>
      <w:hyperlink r:id="rId19" w:history="1">
        <w:r w:rsidR="00B3021F" w:rsidRPr="00B3021F">
          <w:rPr>
            <w:rFonts w:ascii="David" w:eastAsia="Calibri" w:hAnsi="David"/>
            <w:color w:val="0000FF"/>
            <w:u w:val="single"/>
            <w:rtl/>
          </w:rPr>
          <w:t>חוק העונשין</w:t>
        </w:r>
      </w:hyperlink>
      <w:r w:rsidRPr="00CA5776">
        <w:rPr>
          <w:rFonts w:ascii="David" w:eastAsia="Calibri" w:hAnsi="David" w:hint="cs"/>
          <w:rtl/>
        </w:rPr>
        <w:t>, תשל"ז-1977 (להלן: "</w:t>
      </w:r>
      <w:r w:rsidRPr="00CA5776">
        <w:rPr>
          <w:rFonts w:ascii="David" w:eastAsia="Calibri" w:hAnsi="David" w:hint="cs"/>
          <w:b/>
          <w:bCs/>
          <w:rtl/>
        </w:rPr>
        <w:t>חוק העונשין</w:t>
      </w:r>
      <w:r>
        <w:rPr>
          <w:rFonts w:ascii="David" w:eastAsia="Calibri" w:hAnsi="David" w:hint="cs"/>
          <w:rtl/>
        </w:rPr>
        <w:t>");</w:t>
      </w:r>
      <w:r w:rsidRPr="00CA5776">
        <w:rPr>
          <w:rFonts w:ascii="David" w:eastAsia="Calibri" w:hAnsi="David" w:hint="cs"/>
          <w:rtl/>
        </w:rPr>
        <w:t xml:space="preserve"> נשיאה והובלת נשק ואביזר נשק ותחמושת </w:t>
      </w:r>
      <w:r w:rsidRPr="00CA5776">
        <w:rPr>
          <w:rFonts w:ascii="David" w:eastAsia="Calibri" w:hAnsi="David"/>
          <w:rtl/>
        </w:rPr>
        <w:t>–</w:t>
      </w:r>
      <w:r w:rsidRPr="00CA5776">
        <w:rPr>
          <w:rFonts w:ascii="David" w:eastAsia="Calibri" w:hAnsi="David" w:hint="cs"/>
          <w:rtl/>
        </w:rPr>
        <w:t xml:space="preserve"> עבירה לפי </w:t>
      </w:r>
      <w:hyperlink r:id="rId20" w:history="1">
        <w:r w:rsidR="00072556" w:rsidRPr="00072556">
          <w:rPr>
            <w:rStyle w:val="Hyperlink"/>
            <w:rFonts w:ascii="David" w:eastAsia="Calibri" w:hAnsi="David" w:hint="eastAsia"/>
            <w:rtl/>
          </w:rPr>
          <w:t>סעיף</w:t>
        </w:r>
        <w:r w:rsidR="00072556" w:rsidRPr="00072556">
          <w:rPr>
            <w:rStyle w:val="Hyperlink"/>
            <w:rFonts w:ascii="David" w:eastAsia="Calibri" w:hAnsi="David"/>
            <w:rtl/>
          </w:rPr>
          <w:t xml:space="preserve"> 144(ב)</w:t>
        </w:r>
      </w:hyperlink>
      <w:r w:rsidRPr="00CA5776">
        <w:rPr>
          <w:rFonts w:ascii="David" w:eastAsia="Calibri" w:hAnsi="David" w:hint="cs"/>
          <w:rtl/>
        </w:rPr>
        <w:t xml:space="preserve"> רישא וסיפא לחוק העונשין</w:t>
      </w:r>
      <w:r>
        <w:rPr>
          <w:rFonts w:ascii="David" w:eastAsia="Calibri" w:hAnsi="David" w:hint="cs"/>
          <w:rtl/>
        </w:rPr>
        <w:t xml:space="preserve">; </w:t>
      </w:r>
      <w:r w:rsidRPr="00CA5776">
        <w:rPr>
          <w:rFonts w:ascii="David" w:eastAsia="Calibri" w:hAnsi="David" w:hint="cs"/>
          <w:rtl/>
        </w:rPr>
        <w:t xml:space="preserve">עסקה אחרת בנשק </w:t>
      </w:r>
      <w:r w:rsidRPr="00CA5776">
        <w:rPr>
          <w:rFonts w:ascii="David" w:eastAsia="Calibri" w:hAnsi="David"/>
          <w:rtl/>
        </w:rPr>
        <w:t>–</w:t>
      </w:r>
      <w:r w:rsidRPr="00CA5776">
        <w:rPr>
          <w:rFonts w:ascii="David" w:eastAsia="Calibri" w:hAnsi="David" w:hint="cs"/>
          <w:rtl/>
        </w:rPr>
        <w:t xml:space="preserve"> עבירה לפי </w:t>
      </w:r>
      <w:hyperlink r:id="rId21" w:history="1">
        <w:r w:rsidR="00072556" w:rsidRPr="00072556">
          <w:rPr>
            <w:rStyle w:val="Hyperlink"/>
            <w:rFonts w:ascii="David" w:eastAsia="Calibri" w:hAnsi="David" w:hint="eastAsia"/>
            <w:rtl/>
          </w:rPr>
          <w:t>סעיף</w:t>
        </w:r>
        <w:r w:rsidR="00072556" w:rsidRPr="00072556">
          <w:rPr>
            <w:rStyle w:val="Hyperlink"/>
            <w:rFonts w:ascii="David" w:eastAsia="Calibri" w:hAnsi="David"/>
            <w:rtl/>
          </w:rPr>
          <w:t xml:space="preserve"> 144(ב2)</w:t>
        </w:r>
      </w:hyperlink>
      <w:r w:rsidRPr="00CA5776">
        <w:rPr>
          <w:rFonts w:ascii="David" w:eastAsia="Calibri" w:hAnsi="David" w:hint="cs"/>
          <w:rtl/>
        </w:rPr>
        <w:t xml:space="preserve"> לחוק העונשין. </w:t>
      </w:r>
    </w:p>
    <w:p w14:paraId="2BD24010" w14:textId="77777777" w:rsidR="00261661" w:rsidRPr="00CA5776" w:rsidRDefault="00261661" w:rsidP="00261661">
      <w:pPr>
        <w:spacing w:after="160" w:line="360" w:lineRule="auto"/>
        <w:ind w:left="720"/>
        <w:contextualSpacing/>
        <w:jc w:val="both"/>
        <w:rPr>
          <w:rFonts w:ascii="David" w:eastAsia="Calibri" w:hAnsi="David"/>
          <w:rtl/>
        </w:rPr>
      </w:pPr>
    </w:p>
    <w:p w14:paraId="3BF0674D" w14:textId="77777777" w:rsidR="00261661" w:rsidRDefault="00261661" w:rsidP="00261661">
      <w:pPr>
        <w:numPr>
          <w:ilvl w:val="0"/>
          <w:numId w:val="1"/>
        </w:numPr>
        <w:spacing w:after="160" w:line="360" w:lineRule="auto"/>
        <w:contextualSpacing/>
        <w:jc w:val="both"/>
        <w:rPr>
          <w:rFonts w:ascii="David" w:eastAsia="Calibri" w:hAnsi="David"/>
        </w:rPr>
      </w:pPr>
      <w:bookmarkStart w:id="6" w:name="ABSTRACT_END"/>
      <w:bookmarkEnd w:id="6"/>
      <w:r w:rsidRPr="00CA5776">
        <w:rPr>
          <w:rFonts w:ascii="David" w:eastAsia="Calibri" w:hAnsi="David" w:hint="cs"/>
          <w:rtl/>
        </w:rPr>
        <w:lastRenderedPageBreak/>
        <w:t xml:space="preserve">על פי </w:t>
      </w:r>
      <w:r>
        <w:rPr>
          <w:rFonts w:ascii="David" w:eastAsia="Calibri" w:hAnsi="David" w:hint="cs"/>
          <w:rtl/>
        </w:rPr>
        <w:t>האמור ב</w:t>
      </w:r>
      <w:r w:rsidRPr="00CA5776">
        <w:rPr>
          <w:rFonts w:ascii="David" w:eastAsia="Calibri" w:hAnsi="David" w:hint="cs"/>
          <w:rtl/>
        </w:rPr>
        <w:t xml:space="preserve">חלק הכללי של כתב האישום, הנאשם תושב ישראל ורשום במרשם </w:t>
      </w:r>
      <w:r>
        <w:rPr>
          <w:rFonts w:ascii="David" w:eastAsia="Calibri" w:hAnsi="David" w:hint="cs"/>
          <w:rtl/>
        </w:rPr>
        <w:t>האוכלוסין</w:t>
      </w:r>
      <w:r w:rsidRPr="00CA5776">
        <w:rPr>
          <w:rFonts w:ascii="David" w:eastAsia="Calibri" w:hAnsi="David" w:hint="cs"/>
          <w:rtl/>
        </w:rPr>
        <w:t>.</w:t>
      </w:r>
    </w:p>
    <w:p w14:paraId="10B7C560" w14:textId="77777777" w:rsidR="00261661" w:rsidRPr="00CA5776" w:rsidRDefault="00261661" w:rsidP="00261661">
      <w:pPr>
        <w:spacing w:after="160" w:line="360" w:lineRule="auto"/>
        <w:ind w:left="720"/>
        <w:contextualSpacing/>
        <w:jc w:val="both"/>
        <w:rPr>
          <w:rFonts w:ascii="David" w:eastAsia="Calibri" w:hAnsi="David"/>
        </w:rPr>
      </w:pPr>
      <w:r w:rsidRPr="00CA5776">
        <w:rPr>
          <w:rFonts w:ascii="David" w:eastAsia="Calibri" w:hAnsi="David" w:hint="cs"/>
          <w:rtl/>
        </w:rPr>
        <w:t>ביום 14.12.87 נוסד ארגון החמאס</w:t>
      </w:r>
      <w:r>
        <w:rPr>
          <w:rFonts w:ascii="David" w:eastAsia="Calibri" w:hAnsi="David" w:hint="cs"/>
          <w:rtl/>
        </w:rPr>
        <w:t xml:space="preserve"> (להלן: </w:t>
      </w:r>
      <w:r w:rsidRPr="00277369">
        <w:rPr>
          <w:rFonts w:ascii="David" w:eastAsia="Calibri" w:hAnsi="David" w:hint="cs"/>
          <w:b/>
          <w:bCs/>
          <w:rtl/>
        </w:rPr>
        <w:t>"החמאס"</w:t>
      </w:r>
      <w:r>
        <w:rPr>
          <w:rFonts w:ascii="David" w:eastAsia="Calibri" w:hAnsi="David" w:hint="cs"/>
          <w:rtl/>
        </w:rPr>
        <w:t>),</w:t>
      </w:r>
      <w:r w:rsidRPr="00CA5776">
        <w:rPr>
          <w:rFonts w:ascii="David" w:eastAsia="Calibri" w:hAnsi="David" w:hint="cs"/>
          <w:rtl/>
        </w:rPr>
        <w:t xml:space="preserve"> אשר הו</w:t>
      </w:r>
      <w:r>
        <w:rPr>
          <w:rFonts w:ascii="David" w:eastAsia="Calibri" w:hAnsi="David" w:hint="cs"/>
          <w:rtl/>
        </w:rPr>
        <w:t>כרז</w:t>
      </w:r>
      <w:r w:rsidRPr="00CA5776">
        <w:rPr>
          <w:rFonts w:ascii="David" w:eastAsia="Calibri" w:hAnsi="David" w:hint="cs"/>
          <w:rtl/>
        </w:rPr>
        <w:t xml:space="preserve"> על ידי ממשלת ישראל כארגון טרור</w:t>
      </w:r>
      <w:r>
        <w:rPr>
          <w:rFonts w:ascii="David" w:eastAsia="Calibri" w:hAnsi="David" w:hint="cs"/>
          <w:rtl/>
        </w:rPr>
        <w:t xml:space="preserve">, בין היתר </w:t>
      </w:r>
      <w:r w:rsidRPr="00CA5776">
        <w:rPr>
          <w:rFonts w:ascii="David" w:eastAsia="Calibri" w:hAnsi="David" w:hint="cs"/>
          <w:rtl/>
        </w:rPr>
        <w:t>מכוח חוק המאבק בטרור.</w:t>
      </w:r>
    </w:p>
    <w:p w14:paraId="751BA387" w14:textId="77777777" w:rsidR="00261661" w:rsidRPr="00CA5776" w:rsidRDefault="00261661" w:rsidP="00261661">
      <w:pPr>
        <w:spacing w:after="160" w:line="360" w:lineRule="auto"/>
        <w:ind w:left="720"/>
        <w:contextualSpacing/>
        <w:jc w:val="both"/>
        <w:rPr>
          <w:rFonts w:ascii="David" w:eastAsia="Calibri" w:hAnsi="David"/>
          <w:rtl/>
        </w:rPr>
      </w:pPr>
      <w:r w:rsidRPr="00CA5776">
        <w:rPr>
          <w:rFonts w:ascii="David" w:eastAsia="Calibri" w:hAnsi="David" w:hint="cs"/>
          <w:rtl/>
        </w:rPr>
        <w:t>ראיד סלאח הינו מנהיג הפלג הצפוני של התנועה האסלאמית, ארגון ש</w:t>
      </w:r>
      <w:r>
        <w:rPr>
          <w:rFonts w:ascii="David" w:eastAsia="Calibri" w:hAnsi="David" w:hint="cs"/>
          <w:rtl/>
        </w:rPr>
        <w:t xml:space="preserve">גם הוא </w:t>
      </w:r>
      <w:r w:rsidRPr="00CA5776">
        <w:rPr>
          <w:rFonts w:ascii="David" w:eastAsia="Calibri" w:hAnsi="David" w:hint="cs"/>
          <w:rtl/>
        </w:rPr>
        <w:t xml:space="preserve">הוכרז </w:t>
      </w:r>
      <w:r>
        <w:rPr>
          <w:rFonts w:ascii="David" w:eastAsia="Calibri" w:hAnsi="David" w:hint="cs"/>
          <w:rtl/>
        </w:rPr>
        <w:t>על ידי ממשלת ישראל תחילה כהתאחדות בלתי מותרת, ו</w:t>
      </w:r>
      <w:r w:rsidRPr="00CA5776">
        <w:rPr>
          <w:rFonts w:ascii="David" w:eastAsia="Calibri" w:hAnsi="David" w:hint="cs"/>
          <w:rtl/>
        </w:rPr>
        <w:t>החל מיום 1.11.16 כארגון טרור מכוח חוק המאבק בטרור. ראיד סלאח שוחרר מבית הסוהר ביום 13.12.21.</w:t>
      </w:r>
    </w:p>
    <w:p w14:paraId="405D5FF7" w14:textId="77777777" w:rsidR="00261661" w:rsidRPr="00CA5776" w:rsidRDefault="00261661" w:rsidP="00261661">
      <w:pPr>
        <w:spacing w:after="160" w:line="360" w:lineRule="auto"/>
        <w:ind w:left="720"/>
        <w:contextualSpacing/>
        <w:jc w:val="both"/>
        <w:rPr>
          <w:rFonts w:ascii="David" w:eastAsia="Calibri" w:hAnsi="David"/>
          <w:rtl/>
        </w:rPr>
      </w:pPr>
    </w:p>
    <w:p w14:paraId="59374C30" w14:textId="77777777" w:rsidR="00261661" w:rsidRDefault="00261661" w:rsidP="00261661">
      <w:pPr>
        <w:numPr>
          <w:ilvl w:val="0"/>
          <w:numId w:val="1"/>
        </w:numPr>
        <w:spacing w:after="160" w:line="360" w:lineRule="auto"/>
        <w:contextualSpacing/>
        <w:jc w:val="both"/>
        <w:rPr>
          <w:rFonts w:ascii="David" w:eastAsia="Calibri" w:hAnsi="David"/>
        </w:rPr>
      </w:pPr>
      <w:r w:rsidRPr="00CA5776">
        <w:rPr>
          <w:rFonts w:ascii="David" w:eastAsia="Calibri" w:hAnsi="David" w:hint="cs"/>
          <w:rtl/>
        </w:rPr>
        <w:t>על פי האמור באישום הראשון, סמוך ליום 12.12.21, תכנן הנאשם</w:t>
      </w:r>
      <w:r>
        <w:rPr>
          <w:rFonts w:ascii="David" w:eastAsia="Calibri" w:hAnsi="David" w:hint="cs"/>
          <w:rtl/>
        </w:rPr>
        <w:t>,</w:t>
      </w:r>
      <w:r w:rsidRPr="00CA5776">
        <w:rPr>
          <w:rFonts w:ascii="David" w:eastAsia="Calibri" w:hAnsi="David" w:hint="cs"/>
          <w:rtl/>
        </w:rPr>
        <w:t xml:space="preserve"> לבקשת נציג חמאס</w:t>
      </w:r>
      <w:r>
        <w:rPr>
          <w:rFonts w:ascii="David" w:eastAsia="Calibri" w:hAnsi="David" w:hint="cs"/>
          <w:rtl/>
        </w:rPr>
        <w:t>,</w:t>
      </w:r>
      <w:r w:rsidRPr="00CA5776">
        <w:rPr>
          <w:rFonts w:ascii="David" w:eastAsia="Calibri" w:hAnsi="David" w:hint="cs"/>
          <w:rtl/>
        </w:rPr>
        <w:t xml:space="preserve"> לאסוף מנדאם אבו רמוז (להלן: "</w:t>
      </w:r>
      <w:r w:rsidRPr="00CA5776">
        <w:rPr>
          <w:rFonts w:ascii="David" w:eastAsia="Calibri" w:hAnsi="David" w:hint="cs"/>
          <w:b/>
          <w:bCs/>
          <w:rtl/>
        </w:rPr>
        <w:t>נדאם</w:t>
      </w:r>
      <w:r w:rsidRPr="00CA5776">
        <w:rPr>
          <w:rFonts w:ascii="David" w:eastAsia="Calibri" w:hAnsi="David" w:hint="cs"/>
          <w:rtl/>
        </w:rPr>
        <w:t>")</w:t>
      </w:r>
      <w:r w:rsidRPr="003A3E00">
        <w:rPr>
          <w:rFonts w:ascii="David" w:eastAsia="Calibri" w:hAnsi="David" w:hint="cs"/>
          <w:rtl/>
        </w:rPr>
        <w:t>,</w:t>
      </w:r>
      <w:r w:rsidRPr="00CA5776">
        <w:rPr>
          <w:rFonts w:ascii="David" w:eastAsia="Calibri" w:hAnsi="David" w:hint="cs"/>
          <w:rtl/>
        </w:rPr>
        <w:t xml:space="preserve"> </w:t>
      </w:r>
      <w:r w:rsidRPr="003A3E00">
        <w:rPr>
          <w:rFonts w:ascii="David" w:eastAsia="Calibri" w:hAnsi="David" w:hint="cs"/>
          <w:rtl/>
        </w:rPr>
        <w:t xml:space="preserve">בכפר עקב, </w:t>
      </w:r>
      <w:r w:rsidRPr="00CA5776">
        <w:rPr>
          <w:rFonts w:ascii="David" w:eastAsia="Calibri" w:hAnsi="David" w:hint="cs"/>
          <w:rtl/>
        </w:rPr>
        <w:t>ציוד, דגלי חמאס ושל</w:t>
      </w:r>
      <w:r w:rsidRPr="003A3E00">
        <w:rPr>
          <w:rFonts w:ascii="David" w:eastAsia="Calibri" w:hAnsi="David" w:hint="cs"/>
          <w:rtl/>
        </w:rPr>
        <w:t>טים של השייח' ראיד סלאח</w:t>
      </w:r>
      <w:r w:rsidRPr="00CA5776">
        <w:rPr>
          <w:rFonts w:ascii="David" w:eastAsia="Calibri" w:hAnsi="David" w:hint="cs"/>
          <w:rtl/>
        </w:rPr>
        <w:t xml:space="preserve"> (להלן: "</w:t>
      </w:r>
      <w:r w:rsidRPr="00CA5776">
        <w:rPr>
          <w:rFonts w:ascii="David" w:eastAsia="Calibri" w:hAnsi="David" w:hint="cs"/>
          <w:b/>
          <w:bCs/>
          <w:rtl/>
        </w:rPr>
        <w:t>הציוד</w:t>
      </w:r>
      <w:r w:rsidRPr="003A3E00">
        <w:rPr>
          <w:rFonts w:ascii="David" w:eastAsia="Calibri" w:hAnsi="David" w:hint="cs"/>
          <w:rtl/>
        </w:rPr>
        <w:t xml:space="preserve">"), </w:t>
      </w:r>
      <w:r w:rsidRPr="00CA5776">
        <w:rPr>
          <w:rFonts w:ascii="David" w:eastAsia="Calibri" w:hAnsi="David" w:hint="cs"/>
          <w:rtl/>
        </w:rPr>
        <w:t xml:space="preserve">זאת לצורך הפצתם ותלייתם בשכונות במזרח ירושלים כמפורט בהמשך. בו ביום, לאחר תיאום מוקדם עם נדאם, נסע הנאשם </w:t>
      </w:r>
      <w:r>
        <w:rPr>
          <w:rFonts w:ascii="David" w:eastAsia="Calibri" w:hAnsi="David" w:hint="cs"/>
          <w:rtl/>
        </w:rPr>
        <w:t xml:space="preserve">ברכב </w:t>
      </w:r>
      <w:r w:rsidRPr="00CA5776">
        <w:rPr>
          <w:rFonts w:ascii="David" w:eastAsia="Calibri" w:hAnsi="David" w:hint="cs"/>
          <w:rtl/>
        </w:rPr>
        <w:t xml:space="preserve">לכפר עקב יחד עם שניים נוספים </w:t>
      </w:r>
      <w:r w:rsidRPr="003A3E00">
        <w:rPr>
          <w:rFonts w:ascii="David" w:eastAsia="Calibri" w:hAnsi="David" w:hint="cs"/>
          <w:rtl/>
        </w:rPr>
        <w:t>-</w:t>
      </w:r>
      <w:r w:rsidRPr="00CA5776">
        <w:rPr>
          <w:rFonts w:ascii="David" w:eastAsia="Calibri" w:hAnsi="David" w:hint="cs"/>
          <w:rtl/>
        </w:rPr>
        <w:t xml:space="preserve"> וא</w:t>
      </w:r>
      <w:r w:rsidRPr="003A3E00">
        <w:rPr>
          <w:rFonts w:ascii="David" w:eastAsia="Calibri" w:hAnsi="David" w:hint="cs"/>
          <w:rtl/>
        </w:rPr>
        <w:t>יל סבאתה ועמיד עביד (להלן</w:t>
      </w:r>
      <w:r w:rsidRPr="00CA5776">
        <w:rPr>
          <w:rFonts w:ascii="David" w:eastAsia="Calibri" w:hAnsi="David" w:hint="cs"/>
          <w:rtl/>
        </w:rPr>
        <w:t>: "</w:t>
      </w:r>
      <w:r w:rsidRPr="00CA5776">
        <w:rPr>
          <w:rFonts w:ascii="David" w:eastAsia="Calibri" w:hAnsi="David" w:hint="cs"/>
          <w:b/>
          <w:bCs/>
          <w:rtl/>
        </w:rPr>
        <w:t>ואיל</w:t>
      </w:r>
      <w:r w:rsidRPr="00CA5776">
        <w:rPr>
          <w:rFonts w:ascii="David" w:eastAsia="Calibri" w:hAnsi="David" w:hint="cs"/>
          <w:rtl/>
        </w:rPr>
        <w:t>",</w:t>
      </w:r>
      <w:r w:rsidRPr="003A3E00">
        <w:rPr>
          <w:rFonts w:ascii="David" w:eastAsia="Calibri" w:hAnsi="David" w:hint="cs"/>
          <w:rtl/>
        </w:rPr>
        <w:t xml:space="preserve"> ו-</w:t>
      </w:r>
      <w:r w:rsidRPr="00CA5776">
        <w:rPr>
          <w:rFonts w:ascii="David" w:eastAsia="Calibri" w:hAnsi="David" w:hint="cs"/>
          <w:rtl/>
        </w:rPr>
        <w:t xml:space="preserve"> "</w:t>
      </w:r>
      <w:r w:rsidRPr="00CA5776">
        <w:rPr>
          <w:rFonts w:ascii="David" w:eastAsia="Calibri" w:hAnsi="David" w:hint="cs"/>
          <w:b/>
          <w:bCs/>
          <w:rtl/>
        </w:rPr>
        <w:t>עמיד</w:t>
      </w:r>
      <w:r w:rsidRPr="00CA5776">
        <w:rPr>
          <w:rFonts w:ascii="David" w:eastAsia="Calibri" w:hAnsi="David" w:hint="cs"/>
          <w:rtl/>
        </w:rPr>
        <w:t xml:space="preserve">"). בסמוך לשעה 01:13 </w:t>
      </w:r>
      <w:r w:rsidRPr="003A3E00">
        <w:rPr>
          <w:rFonts w:ascii="David" w:eastAsia="Calibri" w:hAnsi="David" w:hint="cs"/>
          <w:rtl/>
        </w:rPr>
        <w:t xml:space="preserve">פגשו הנאשם וחבריו בנדאם, אשר הוריד מרכבו </w:t>
      </w:r>
      <w:r>
        <w:rPr>
          <w:rFonts w:ascii="David" w:eastAsia="Calibri" w:hAnsi="David" w:hint="cs"/>
          <w:rtl/>
        </w:rPr>
        <w:t xml:space="preserve">שתי שקיות </w:t>
      </w:r>
      <w:r w:rsidRPr="00CA5776">
        <w:rPr>
          <w:rFonts w:ascii="David" w:eastAsia="Calibri" w:hAnsi="David" w:hint="cs"/>
          <w:rtl/>
        </w:rPr>
        <w:t xml:space="preserve">בהן הציוד, </w:t>
      </w:r>
      <w:r w:rsidRPr="003A3E00">
        <w:rPr>
          <w:rFonts w:ascii="David" w:eastAsia="Calibri" w:hAnsi="David" w:hint="cs"/>
          <w:rtl/>
        </w:rPr>
        <w:t>ו</w:t>
      </w:r>
      <w:r w:rsidRPr="00CA5776">
        <w:rPr>
          <w:rFonts w:ascii="David" w:eastAsia="Calibri" w:hAnsi="David" w:hint="cs"/>
          <w:rtl/>
        </w:rPr>
        <w:t>העבירן לידי הנאשם באמצעות ואיל</w:t>
      </w:r>
      <w:r w:rsidRPr="003A3E00">
        <w:rPr>
          <w:rFonts w:ascii="David" w:eastAsia="Calibri" w:hAnsi="David" w:hint="cs"/>
          <w:rtl/>
        </w:rPr>
        <w:t>.</w:t>
      </w:r>
      <w:r w:rsidRPr="00CA5776">
        <w:rPr>
          <w:rFonts w:ascii="David" w:eastAsia="Calibri" w:hAnsi="David" w:hint="cs"/>
          <w:rtl/>
        </w:rPr>
        <w:t xml:space="preserve"> </w:t>
      </w:r>
      <w:r w:rsidRPr="003A3E00">
        <w:rPr>
          <w:rFonts w:ascii="David" w:eastAsia="Calibri" w:hAnsi="David" w:hint="cs"/>
          <w:rtl/>
        </w:rPr>
        <w:t xml:space="preserve">לאחר מכן נסע נדאם מהמקום, ואילו ואיל הכניס את השקיות לרכבו של הנאשם. הציוד שהיה בשקיות </w:t>
      </w:r>
      <w:r w:rsidRPr="00CA5776">
        <w:rPr>
          <w:rFonts w:ascii="David" w:eastAsia="Calibri" w:hAnsi="David" w:hint="cs"/>
          <w:rtl/>
        </w:rPr>
        <w:t>יועד להפצה ביום</w:t>
      </w:r>
      <w:r>
        <w:rPr>
          <w:rFonts w:ascii="David" w:eastAsia="Calibri" w:hAnsi="David" w:hint="cs"/>
          <w:rtl/>
        </w:rPr>
        <w:t xml:space="preserve"> יסוד החמאס שחל בתאריך 14.12.21, </w:t>
      </w:r>
      <w:r w:rsidRPr="00CA5776">
        <w:rPr>
          <w:rFonts w:ascii="David" w:eastAsia="Calibri" w:hAnsi="David" w:hint="cs"/>
          <w:rtl/>
        </w:rPr>
        <w:t>וכן ביום שחרור השייח' ראיד ס</w:t>
      </w:r>
      <w:r>
        <w:rPr>
          <w:rFonts w:ascii="David" w:eastAsia="Calibri" w:hAnsi="David" w:hint="cs"/>
          <w:rtl/>
        </w:rPr>
        <w:t>לאח שחל ביום 13.12.2. הציוד כלל</w:t>
      </w:r>
      <w:r w:rsidRPr="00CA5776">
        <w:rPr>
          <w:rFonts w:ascii="David" w:eastAsia="Calibri" w:hAnsi="David" w:hint="cs"/>
          <w:rtl/>
        </w:rPr>
        <w:t xml:space="preserve"> שקית </w:t>
      </w:r>
      <w:r>
        <w:rPr>
          <w:rFonts w:ascii="David" w:eastAsia="Calibri" w:hAnsi="David" w:hint="cs"/>
          <w:rtl/>
        </w:rPr>
        <w:t>שה</w:t>
      </w:r>
      <w:r w:rsidRPr="00CA5776">
        <w:rPr>
          <w:rFonts w:ascii="David" w:eastAsia="Calibri" w:hAnsi="David" w:hint="cs"/>
          <w:rtl/>
        </w:rPr>
        <w:t xml:space="preserve">כילה 20 דגלים ירוקים המזוהים </w:t>
      </w:r>
      <w:r>
        <w:rPr>
          <w:rFonts w:ascii="David" w:eastAsia="Calibri" w:hAnsi="David" w:hint="cs"/>
          <w:rtl/>
        </w:rPr>
        <w:t xml:space="preserve">גם </w:t>
      </w:r>
      <w:r w:rsidRPr="00CA5776">
        <w:rPr>
          <w:rFonts w:ascii="David" w:eastAsia="Calibri" w:hAnsi="David" w:hint="cs"/>
          <w:rtl/>
        </w:rPr>
        <w:t>עם החמאס</w:t>
      </w:r>
      <w:r>
        <w:rPr>
          <w:rFonts w:ascii="David" w:eastAsia="Calibri" w:hAnsi="David" w:hint="cs"/>
          <w:rtl/>
        </w:rPr>
        <w:t>,</w:t>
      </w:r>
      <w:r w:rsidRPr="00CA5776">
        <w:rPr>
          <w:rFonts w:ascii="David" w:eastAsia="Calibri" w:hAnsi="David" w:hint="cs"/>
          <w:rtl/>
        </w:rPr>
        <w:t xml:space="preserve"> ו-11 שלטים בהם הופיעו כיתובים אודות תנועת החמאס ו</w:t>
      </w:r>
      <w:r>
        <w:rPr>
          <w:rFonts w:ascii="David" w:eastAsia="Calibri" w:hAnsi="David" w:hint="cs"/>
          <w:rtl/>
        </w:rPr>
        <w:t>תמונות</w:t>
      </w:r>
      <w:r w:rsidRPr="00CA5776">
        <w:rPr>
          <w:rFonts w:ascii="David" w:eastAsia="Calibri" w:hAnsi="David" w:hint="cs"/>
          <w:rtl/>
        </w:rPr>
        <w:t xml:space="preserve"> שונות של </w:t>
      </w:r>
      <w:r>
        <w:rPr>
          <w:rFonts w:ascii="David" w:eastAsia="Calibri" w:hAnsi="David" w:hint="cs"/>
          <w:rtl/>
        </w:rPr>
        <w:t xml:space="preserve">פעילי טרור, חלקם אסירים חלקם אינם בין החיים, אשר </w:t>
      </w:r>
      <w:r w:rsidRPr="00CA5776">
        <w:rPr>
          <w:rFonts w:ascii="David" w:eastAsia="Calibri" w:hAnsi="David" w:hint="cs"/>
          <w:rtl/>
        </w:rPr>
        <w:t>ביצעו פיגועי</w:t>
      </w:r>
      <w:r>
        <w:rPr>
          <w:rFonts w:ascii="David" w:eastAsia="Calibri" w:hAnsi="David" w:hint="cs"/>
          <w:rtl/>
        </w:rPr>
        <w:t xml:space="preserve"> דמים</w:t>
      </w:r>
      <w:r w:rsidRPr="00CA5776">
        <w:rPr>
          <w:rFonts w:ascii="David" w:eastAsia="Calibri" w:hAnsi="David" w:hint="cs"/>
          <w:rtl/>
        </w:rPr>
        <w:t xml:space="preserve"> בישראל</w:t>
      </w:r>
      <w:r>
        <w:rPr>
          <w:rFonts w:ascii="David" w:eastAsia="Calibri" w:hAnsi="David" w:hint="cs"/>
          <w:rtl/>
        </w:rPr>
        <w:t xml:space="preserve"> החל משנות ה-90 ועד לימינו. פירוט השלטים נכלל</w:t>
      </w:r>
      <w:r w:rsidRPr="00CA5776">
        <w:rPr>
          <w:rFonts w:ascii="David" w:eastAsia="Calibri" w:hAnsi="David" w:hint="cs"/>
          <w:rtl/>
        </w:rPr>
        <w:t xml:space="preserve"> בסעיף 5 לכתב האישום המתוקן. בסמוך למתואר לעיל נתפס רכבו של הנאשם ובו הציוד במחסום א-זעים. </w:t>
      </w:r>
    </w:p>
    <w:p w14:paraId="3972B5E3" w14:textId="77777777" w:rsidR="00261661" w:rsidRPr="00CA5776" w:rsidRDefault="00261661" w:rsidP="00261661">
      <w:pPr>
        <w:spacing w:after="160" w:line="360" w:lineRule="auto"/>
        <w:ind w:left="720"/>
        <w:contextualSpacing/>
        <w:jc w:val="both"/>
        <w:rPr>
          <w:rFonts w:ascii="David" w:eastAsia="Calibri" w:hAnsi="David"/>
          <w:rtl/>
        </w:rPr>
      </w:pPr>
      <w:r>
        <w:rPr>
          <w:rFonts w:ascii="David" w:eastAsia="Calibri" w:hAnsi="David" w:hint="cs"/>
          <w:rtl/>
        </w:rPr>
        <w:t>בגין מעשה זה הורשע הנאשם על יסוד הודאתו בעבירה של מתן שירות לארגון טרור.</w:t>
      </w:r>
    </w:p>
    <w:p w14:paraId="00B8A740" w14:textId="77777777" w:rsidR="00261661" w:rsidRPr="00CA5776" w:rsidRDefault="00261661" w:rsidP="00261661">
      <w:pPr>
        <w:spacing w:after="160" w:line="360" w:lineRule="auto"/>
        <w:ind w:left="720"/>
        <w:contextualSpacing/>
        <w:jc w:val="both"/>
        <w:rPr>
          <w:rFonts w:ascii="David" w:eastAsia="Calibri" w:hAnsi="David"/>
          <w:rtl/>
        </w:rPr>
      </w:pPr>
    </w:p>
    <w:p w14:paraId="46F4F74D" w14:textId="77777777" w:rsidR="00261661" w:rsidRDefault="00261661" w:rsidP="00261661">
      <w:pPr>
        <w:numPr>
          <w:ilvl w:val="0"/>
          <w:numId w:val="1"/>
        </w:numPr>
        <w:spacing w:after="160" w:line="360" w:lineRule="auto"/>
        <w:contextualSpacing/>
        <w:jc w:val="both"/>
        <w:rPr>
          <w:rFonts w:ascii="David" w:eastAsia="Calibri" w:hAnsi="David"/>
        </w:rPr>
      </w:pPr>
      <w:r w:rsidRPr="00CA5776">
        <w:rPr>
          <w:rFonts w:ascii="David" w:eastAsia="Calibri" w:hAnsi="David" w:hint="cs"/>
          <w:rtl/>
        </w:rPr>
        <w:t xml:space="preserve">על </w:t>
      </w:r>
      <w:r w:rsidRPr="0043418C">
        <w:rPr>
          <w:rFonts w:ascii="David" w:eastAsia="Calibri" w:hAnsi="David" w:hint="cs"/>
          <w:rtl/>
        </w:rPr>
        <w:t>פי האמור ב</w:t>
      </w:r>
      <w:r w:rsidRPr="00CA5776">
        <w:rPr>
          <w:rFonts w:ascii="David" w:eastAsia="Calibri" w:hAnsi="David" w:hint="cs"/>
          <w:rtl/>
        </w:rPr>
        <w:t xml:space="preserve">אישום השני, החל במועד לא ידוע החזיק הנאשם </w:t>
      </w:r>
      <w:r w:rsidRPr="0043418C">
        <w:rPr>
          <w:rFonts w:ascii="David" w:eastAsia="Calibri" w:hAnsi="David" w:hint="cs"/>
          <w:rtl/>
        </w:rPr>
        <w:t>בביתו נשק מאולתר מסוג קרלו שחור</w:t>
      </w:r>
      <w:r w:rsidRPr="00CA5776">
        <w:rPr>
          <w:rFonts w:ascii="David" w:eastAsia="Calibri" w:hAnsi="David" w:hint="cs"/>
          <w:rtl/>
        </w:rPr>
        <w:t xml:space="preserve"> (להלן: "</w:t>
      </w:r>
      <w:r w:rsidRPr="00CA5776">
        <w:rPr>
          <w:rFonts w:ascii="David" w:eastAsia="Calibri" w:hAnsi="David" w:hint="cs"/>
          <w:b/>
          <w:bCs/>
          <w:rtl/>
        </w:rPr>
        <w:t>הקרלו הראשון</w:t>
      </w:r>
      <w:r w:rsidRPr="00CA5776">
        <w:rPr>
          <w:rFonts w:ascii="David" w:eastAsia="Calibri" w:hAnsi="David" w:hint="cs"/>
          <w:rtl/>
        </w:rPr>
        <w:t>"), מחסנית התואמת את הנשק, וכן 28 כדורי 9 מ"מ התואמים לקרלו.</w:t>
      </w:r>
    </w:p>
    <w:p w14:paraId="3EC00F87" w14:textId="77777777" w:rsidR="00261661" w:rsidRPr="00CA5776" w:rsidRDefault="00261661" w:rsidP="00261661">
      <w:pPr>
        <w:spacing w:after="160" w:line="360" w:lineRule="auto"/>
        <w:ind w:left="720"/>
        <w:contextualSpacing/>
        <w:jc w:val="both"/>
        <w:rPr>
          <w:rFonts w:ascii="David" w:eastAsia="Calibri" w:hAnsi="David"/>
          <w:rtl/>
        </w:rPr>
      </w:pPr>
      <w:r>
        <w:rPr>
          <w:rFonts w:ascii="David" w:eastAsia="Calibri" w:hAnsi="David" w:hint="cs"/>
          <w:rtl/>
        </w:rPr>
        <w:t xml:space="preserve">בלי קשר לאמור לעיל, </w:t>
      </w:r>
      <w:r w:rsidRPr="0043418C">
        <w:rPr>
          <w:rFonts w:ascii="David" w:eastAsia="Calibri" w:hAnsi="David" w:hint="cs"/>
          <w:rtl/>
        </w:rPr>
        <w:t>ב</w:t>
      </w:r>
      <w:r w:rsidRPr="00CA5776">
        <w:rPr>
          <w:rFonts w:ascii="David" w:eastAsia="Calibri" w:hAnsi="David" w:hint="cs"/>
          <w:rtl/>
        </w:rPr>
        <w:t>מהלך חודש ספטמבר 2021,</w:t>
      </w:r>
      <w:r w:rsidRPr="0043418C">
        <w:rPr>
          <w:rFonts w:ascii="David" w:eastAsia="Calibri" w:hAnsi="David" w:hint="cs"/>
          <w:rtl/>
        </w:rPr>
        <w:t xml:space="preserve"> </w:t>
      </w:r>
      <w:r>
        <w:rPr>
          <w:rFonts w:ascii="David" w:eastAsia="Calibri" w:hAnsi="David" w:hint="cs"/>
          <w:rtl/>
        </w:rPr>
        <w:t xml:space="preserve">בשלוש הזדמנויות, </w:t>
      </w:r>
      <w:r w:rsidRPr="0043418C">
        <w:rPr>
          <w:rFonts w:ascii="David" w:eastAsia="Calibri" w:hAnsi="David" w:hint="cs"/>
          <w:rtl/>
        </w:rPr>
        <w:t>אחת מהן ביום 8.9.21,</w:t>
      </w:r>
      <w:r w:rsidRPr="00CA5776">
        <w:rPr>
          <w:rFonts w:ascii="David" w:eastAsia="Calibri" w:hAnsi="David" w:hint="cs"/>
          <w:rtl/>
        </w:rPr>
        <w:t xml:space="preserve"> ביצע</w:t>
      </w:r>
      <w:r w:rsidRPr="0043418C">
        <w:rPr>
          <w:rFonts w:ascii="David" w:eastAsia="Calibri" w:hAnsi="David" w:hint="cs"/>
          <w:rtl/>
        </w:rPr>
        <w:t xml:space="preserve"> פעיל טרור בשם </w:t>
      </w:r>
      <w:r w:rsidRPr="00CA5776">
        <w:rPr>
          <w:rFonts w:ascii="David" w:eastAsia="Calibri" w:hAnsi="David" w:hint="cs"/>
          <w:rtl/>
        </w:rPr>
        <w:t>קוסאי שלושה פיגועי יר</w:t>
      </w:r>
      <w:r w:rsidRPr="0043418C">
        <w:rPr>
          <w:rFonts w:ascii="David" w:eastAsia="Calibri" w:hAnsi="David" w:hint="cs"/>
          <w:rtl/>
        </w:rPr>
        <w:t xml:space="preserve">י באמצעות רובה מאולתר מסוג קרלו, בעל ידית אחיזה שבורה (להלן </w:t>
      </w:r>
      <w:r w:rsidRPr="0043418C">
        <w:rPr>
          <w:rFonts w:ascii="David" w:eastAsia="Calibri" w:hAnsi="David"/>
          <w:rtl/>
        </w:rPr>
        <w:t>–</w:t>
      </w:r>
      <w:r w:rsidRPr="0043418C">
        <w:rPr>
          <w:rFonts w:ascii="David" w:eastAsia="Calibri" w:hAnsi="David" w:hint="cs"/>
          <w:rtl/>
        </w:rPr>
        <w:t xml:space="preserve"> </w:t>
      </w:r>
      <w:r w:rsidRPr="0043418C">
        <w:rPr>
          <w:rFonts w:ascii="David" w:eastAsia="Calibri" w:hAnsi="David" w:hint="cs"/>
          <w:b/>
          <w:bCs/>
          <w:rtl/>
        </w:rPr>
        <w:t>"הקרלו השני"</w:t>
      </w:r>
      <w:r w:rsidRPr="0043418C">
        <w:rPr>
          <w:rFonts w:ascii="David" w:eastAsia="Calibri" w:hAnsi="David" w:hint="cs"/>
          <w:rtl/>
        </w:rPr>
        <w:t>).</w:t>
      </w:r>
      <w:r w:rsidRPr="00CA5776">
        <w:rPr>
          <w:rFonts w:ascii="David" w:eastAsia="Calibri" w:hAnsi="David" w:hint="cs"/>
          <w:rtl/>
        </w:rPr>
        <w:t xml:space="preserve"> </w:t>
      </w:r>
      <w:r w:rsidRPr="0043418C">
        <w:rPr>
          <w:rFonts w:ascii="David" w:eastAsia="Calibri" w:hAnsi="David" w:hint="cs"/>
          <w:rtl/>
        </w:rPr>
        <w:t xml:space="preserve">בין היתר ירה קוסאי </w:t>
      </w:r>
      <w:r w:rsidRPr="00CA5776">
        <w:rPr>
          <w:rFonts w:ascii="David" w:eastAsia="Calibri" w:hAnsi="David" w:hint="cs"/>
          <w:rtl/>
        </w:rPr>
        <w:t>לעבר שוטרים תוך כדי התפרעויות אלימות אשר התרחשו בשכונת עיסאוויה בירושלים</w:t>
      </w:r>
      <w:r>
        <w:rPr>
          <w:rFonts w:ascii="David" w:eastAsia="Calibri" w:hAnsi="David" w:hint="cs"/>
          <w:rtl/>
        </w:rPr>
        <w:t>, וכוונו נגד כוחות הביטחון</w:t>
      </w:r>
      <w:r w:rsidRPr="00CA5776">
        <w:rPr>
          <w:rFonts w:ascii="David" w:eastAsia="Calibri" w:hAnsi="David" w:hint="cs"/>
          <w:rtl/>
        </w:rPr>
        <w:t>.</w:t>
      </w:r>
      <w:r w:rsidRPr="0043418C">
        <w:rPr>
          <w:rFonts w:ascii="David" w:eastAsia="Calibri" w:hAnsi="David" w:hint="cs"/>
          <w:rtl/>
        </w:rPr>
        <w:t xml:space="preserve"> לאחר שביצע קוסאי את פיגועים האמורים הוא </w:t>
      </w:r>
      <w:r w:rsidRPr="00CA5776">
        <w:rPr>
          <w:rFonts w:ascii="David" w:eastAsia="Calibri" w:hAnsi="David" w:hint="cs"/>
          <w:rtl/>
        </w:rPr>
        <w:t>ניסה לירות שוב בקרלו השני,</w:t>
      </w:r>
      <w:r w:rsidRPr="0043418C">
        <w:rPr>
          <w:rFonts w:ascii="David" w:eastAsia="Calibri" w:hAnsi="David" w:hint="cs"/>
          <w:rtl/>
        </w:rPr>
        <w:t xml:space="preserve"> אך הוא גילה כי</w:t>
      </w:r>
      <w:r w:rsidRPr="00CA5776">
        <w:rPr>
          <w:rFonts w:ascii="David" w:eastAsia="Calibri" w:hAnsi="David" w:hint="cs"/>
          <w:rtl/>
        </w:rPr>
        <w:t xml:space="preserve"> קיימת תקלה הגורמת למעצור בנשק</w:t>
      </w:r>
      <w:r w:rsidRPr="0043418C">
        <w:rPr>
          <w:rFonts w:ascii="David" w:eastAsia="Calibri" w:hAnsi="David" w:hint="cs"/>
          <w:rtl/>
        </w:rPr>
        <w:t xml:space="preserve">. כיוון שכך, גמלה בליבו של קוסאי החלטה </w:t>
      </w:r>
      <w:r w:rsidRPr="00CA5776">
        <w:rPr>
          <w:rFonts w:ascii="David" w:eastAsia="Calibri" w:hAnsi="David" w:hint="cs"/>
          <w:rtl/>
        </w:rPr>
        <w:t xml:space="preserve"> לתקן את הנשק.</w:t>
      </w:r>
      <w:r w:rsidRPr="0043418C">
        <w:rPr>
          <w:rFonts w:ascii="David" w:eastAsia="Calibri" w:hAnsi="David" w:hint="cs"/>
          <w:rtl/>
        </w:rPr>
        <w:t xml:space="preserve"> </w:t>
      </w:r>
      <w:r w:rsidRPr="00CA5776">
        <w:rPr>
          <w:rFonts w:ascii="David" w:eastAsia="Calibri" w:hAnsi="David" w:hint="cs"/>
          <w:rtl/>
        </w:rPr>
        <w:t>במועד בלתי ידוע נפגש קוסאי עם הנאשם, סיפר לו על הפיגוע שביצע ביום 8.9.21 באמצעות הקרלו השני</w:t>
      </w:r>
      <w:r w:rsidRPr="0043418C">
        <w:rPr>
          <w:rFonts w:ascii="David" w:eastAsia="Calibri" w:hAnsi="David" w:hint="cs"/>
          <w:rtl/>
        </w:rPr>
        <w:t>,</w:t>
      </w:r>
      <w:r w:rsidRPr="00CA5776">
        <w:rPr>
          <w:rFonts w:ascii="David" w:eastAsia="Calibri" w:hAnsi="David" w:hint="cs"/>
          <w:rtl/>
        </w:rPr>
        <w:t xml:space="preserve"> וביקש ממנו לקחת אותו </w:t>
      </w:r>
      <w:r w:rsidRPr="0043418C">
        <w:rPr>
          <w:rFonts w:ascii="David" w:eastAsia="Calibri" w:hAnsi="David" w:hint="cs"/>
          <w:rtl/>
        </w:rPr>
        <w:t xml:space="preserve">ממנו על מנת </w:t>
      </w:r>
      <w:r w:rsidRPr="00CA5776">
        <w:rPr>
          <w:rFonts w:ascii="David" w:eastAsia="Calibri" w:hAnsi="David" w:hint="cs"/>
          <w:rtl/>
        </w:rPr>
        <w:t xml:space="preserve">לתקנו. </w:t>
      </w:r>
      <w:r w:rsidRPr="00CA5776">
        <w:rPr>
          <w:rFonts w:ascii="David" w:eastAsia="Calibri" w:hAnsi="David" w:hint="cs"/>
          <w:rtl/>
        </w:rPr>
        <w:lastRenderedPageBreak/>
        <w:t>הנאשם הסכים</w:t>
      </w:r>
      <w:r>
        <w:rPr>
          <w:rFonts w:ascii="David" w:eastAsia="Calibri" w:hAnsi="David" w:hint="cs"/>
          <w:rtl/>
        </w:rPr>
        <w:t xml:space="preserve">, ובהמשך לכך הוא </w:t>
      </w:r>
      <w:r w:rsidRPr="00CA5776">
        <w:rPr>
          <w:rFonts w:ascii="David" w:eastAsia="Calibri" w:hAnsi="David" w:hint="cs"/>
          <w:rtl/>
        </w:rPr>
        <w:t>לקח מקוסאי את הקרלו השני וכן מחסנית התואמת לו והחזיקם בביתו.</w:t>
      </w:r>
    </w:p>
    <w:p w14:paraId="69208914" w14:textId="77777777" w:rsidR="00261661" w:rsidRDefault="00261661" w:rsidP="00261661">
      <w:pPr>
        <w:spacing w:after="160" w:line="360" w:lineRule="auto"/>
        <w:ind w:left="720"/>
        <w:contextualSpacing/>
        <w:jc w:val="both"/>
        <w:rPr>
          <w:rFonts w:ascii="David" w:eastAsia="Calibri" w:hAnsi="David"/>
          <w:rtl/>
        </w:rPr>
      </w:pPr>
      <w:r w:rsidRPr="00CA5776">
        <w:rPr>
          <w:rFonts w:ascii="David" w:eastAsia="Calibri" w:hAnsi="David" w:hint="cs"/>
          <w:rtl/>
        </w:rPr>
        <w:t xml:space="preserve">במועד בלתי ידוע </w:t>
      </w:r>
      <w:r>
        <w:rPr>
          <w:rFonts w:ascii="David" w:eastAsia="Calibri" w:hAnsi="David" w:hint="cs"/>
          <w:rtl/>
        </w:rPr>
        <w:t xml:space="preserve">נשא הנאשם את הקרלו הראשון והשני, </w:t>
      </w:r>
      <w:r w:rsidRPr="00CA5776">
        <w:rPr>
          <w:rFonts w:ascii="David" w:eastAsia="Calibri" w:hAnsi="David" w:hint="cs"/>
          <w:rtl/>
        </w:rPr>
        <w:t xml:space="preserve">יחד עם 3 מחסניות התואמות לנשק מסוג </w:t>
      </w:r>
      <w:r w:rsidRPr="00CA5776">
        <w:rPr>
          <w:rFonts w:ascii="David" w:eastAsia="Calibri" w:hAnsi="David"/>
        </w:rPr>
        <w:t>M16</w:t>
      </w:r>
      <w:r w:rsidRPr="00CA5776">
        <w:rPr>
          <w:rFonts w:ascii="David" w:eastAsia="Calibri" w:hAnsi="David" w:hint="cs"/>
          <w:rtl/>
        </w:rPr>
        <w:t>, 2 מחסניו</w:t>
      </w:r>
      <w:r>
        <w:rPr>
          <w:rFonts w:ascii="David" w:eastAsia="Calibri" w:hAnsi="David" w:hint="cs"/>
          <w:rtl/>
        </w:rPr>
        <w:t xml:space="preserve">ת התואמות לנשק מסוג קרלו וקופסה שהכילה </w:t>
      </w:r>
      <w:r w:rsidRPr="00CA5776">
        <w:rPr>
          <w:rFonts w:ascii="David" w:eastAsia="Calibri" w:hAnsi="David" w:hint="cs"/>
          <w:rtl/>
        </w:rPr>
        <w:t>28 כדורי 9 מ"מ (להלן: "</w:t>
      </w:r>
      <w:r w:rsidRPr="00CA5776">
        <w:rPr>
          <w:rFonts w:ascii="David" w:eastAsia="Calibri" w:hAnsi="David" w:hint="cs"/>
          <w:b/>
          <w:bCs/>
          <w:rtl/>
        </w:rPr>
        <w:t>הנשקים והתחמושת</w:t>
      </w:r>
      <w:r w:rsidRPr="00CA5776">
        <w:rPr>
          <w:rFonts w:ascii="David" w:eastAsia="Calibri" w:hAnsi="David" w:hint="cs"/>
          <w:rtl/>
        </w:rPr>
        <w:t>")</w:t>
      </w:r>
      <w:r>
        <w:rPr>
          <w:rFonts w:ascii="David" w:eastAsia="Calibri" w:hAnsi="David" w:hint="cs"/>
          <w:rtl/>
        </w:rPr>
        <w:t>,</w:t>
      </w:r>
      <w:r w:rsidRPr="00CA5776">
        <w:rPr>
          <w:rFonts w:ascii="David" w:eastAsia="Calibri" w:hAnsi="David" w:hint="cs"/>
          <w:rtl/>
        </w:rPr>
        <w:t xml:space="preserve"> והעביר</w:t>
      </w:r>
      <w:r>
        <w:rPr>
          <w:rFonts w:ascii="David" w:eastAsia="Calibri" w:hAnsi="David" w:hint="cs"/>
          <w:rtl/>
        </w:rPr>
        <w:t xml:space="preserve"> אותם</w:t>
      </w:r>
      <w:r w:rsidRPr="00CA5776">
        <w:rPr>
          <w:rFonts w:ascii="David" w:eastAsia="Calibri" w:hAnsi="David" w:hint="cs"/>
          <w:rtl/>
        </w:rPr>
        <w:t xml:space="preserve"> ברכבו ל</w:t>
      </w:r>
      <w:r>
        <w:rPr>
          <w:rFonts w:ascii="David" w:eastAsia="Calibri" w:hAnsi="David" w:hint="cs"/>
          <w:rtl/>
        </w:rPr>
        <w:t xml:space="preserve">אדם בשם מ.מ, זאת </w:t>
      </w:r>
      <w:r w:rsidRPr="00CA5776">
        <w:rPr>
          <w:rFonts w:ascii="David" w:eastAsia="Calibri" w:hAnsi="David" w:hint="cs"/>
          <w:rtl/>
        </w:rPr>
        <w:t xml:space="preserve">במטרה להעביר אליו את החזקה </w:t>
      </w:r>
      <w:r>
        <w:rPr>
          <w:rFonts w:ascii="David" w:eastAsia="Calibri" w:hAnsi="David" w:hint="cs"/>
          <w:rtl/>
        </w:rPr>
        <w:t>בהם</w:t>
      </w:r>
      <w:r w:rsidRPr="00CA5776">
        <w:rPr>
          <w:rFonts w:ascii="David" w:eastAsia="Calibri" w:hAnsi="David" w:hint="cs"/>
          <w:rtl/>
        </w:rPr>
        <w:t>. מ.מ. נטל את הנשקים והתחמושת מהנאשם ללא תמורה</w:t>
      </w:r>
      <w:r>
        <w:rPr>
          <w:rFonts w:ascii="David" w:eastAsia="Calibri" w:hAnsi="David" w:hint="cs"/>
          <w:rtl/>
        </w:rPr>
        <w:t>,</w:t>
      </w:r>
      <w:r w:rsidRPr="00CA5776">
        <w:rPr>
          <w:rFonts w:ascii="David" w:eastAsia="Calibri" w:hAnsi="David" w:hint="cs"/>
          <w:rtl/>
        </w:rPr>
        <w:t xml:space="preserve"> והחזיקם בחזקתו. </w:t>
      </w:r>
    </w:p>
    <w:p w14:paraId="2037B8B5" w14:textId="77777777" w:rsidR="00261661" w:rsidRPr="00CA5776" w:rsidRDefault="00261661" w:rsidP="00261661">
      <w:pPr>
        <w:spacing w:after="160" w:line="360" w:lineRule="auto"/>
        <w:ind w:left="720"/>
        <w:contextualSpacing/>
        <w:jc w:val="both"/>
        <w:rPr>
          <w:rFonts w:ascii="David" w:eastAsia="Calibri" w:hAnsi="David"/>
          <w:rtl/>
        </w:rPr>
      </w:pPr>
      <w:r>
        <w:rPr>
          <w:rFonts w:ascii="David" w:eastAsia="Calibri" w:hAnsi="David" w:hint="cs"/>
          <w:rtl/>
        </w:rPr>
        <w:t>בגין המעשים האמורים הורשע הנאשם על יסוד הודאתו, בעבירות של החזקת נשק, נשיאת נשק, וביצוע עסקה אחרת בנשק.</w:t>
      </w:r>
    </w:p>
    <w:p w14:paraId="14B5B593" w14:textId="77777777" w:rsidR="00261661" w:rsidRPr="00CA5776" w:rsidRDefault="00261661" w:rsidP="00261661">
      <w:pPr>
        <w:spacing w:after="160" w:line="360" w:lineRule="auto"/>
        <w:ind w:left="720"/>
        <w:contextualSpacing/>
        <w:jc w:val="both"/>
        <w:rPr>
          <w:rFonts w:ascii="David" w:eastAsia="Calibri" w:hAnsi="David"/>
          <w:rtl/>
        </w:rPr>
      </w:pPr>
    </w:p>
    <w:p w14:paraId="1A037643" w14:textId="77777777" w:rsidR="00261661" w:rsidRPr="00CA5776" w:rsidRDefault="00261661" w:rsidP="00261661">
      <w:pPr>
        <w:numPr>
          <w:ilvl w:val="0"/>
          <w:numId w:val="1"/>
        </w:numPr>
        <w:spacing w:after="160" w:line="360" w:lineRule="auto"/>
        <w:contextualSpacing/>
        <w:jc w:val="both"/>
        <w:rPr>
          <w:rFonts w:ascii="David" w:eastAsia="Calibri" w:hAnsi="David"/>
        </w:rPr>
      </w:pPr>
      <w:r>
        <w:rPr>
          <w:rFonts w:ascii="David" w:eastAsia="Calibri" w:hAnsi="David" w:hint="cs"/>
          <w:b/>
          <w:bCs/>
          <w:u w:val="single"/>
          <w:rtl/>
        </w:rPr>
        <w:t>ראיות ו</w:t>
      </w:r>
      <w:r w:rsidRPr="00CA5776">
        <w:rPr>
          <w:rFonts w:ascii="David" w:eastAsia="Calibri" w:hAnsi="David" w:hint="cs"/>
          <w:b/>
          <w:bCs/>
          <w:u w:val="single"/>
          <w:rtl/>
        </w:rPr>
        <w:t>טענות המאשימה לעונש</w:t>
      </w:r>
    </w:p>
    <w:p w14:paraId="11DCA21D"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במסגרת טיעוניו לעונש הגיש ב"כ המאשימה</w:t>
      </w:r>
      <w:r w:rsidRPr="00CA5776">
        <w:rPr>
          <w:rFonts w:ascii="David" w:eastAsia="Calibri" w:hAnsi="David" w:hint="cs"/>
          <w:rtl/>
        </w:rPr>
        <w:t xml:space="preserve"> את גיליון הרישום הפלילי של הנאשם, הכולל שבע הרשעות קודמות</w:t>
      </w:r>
      <w:r>
        <w:rPr>
          <w:rFonts w:ascii="David" w:eastAsia="Calibri" w:hAnsi="David" w:hint="cs"/>
          <w:rtl/>
        </w:rPr>
        <w:t>, עליהן נעמוד בהמשך.</w:t>
      </w:r>
    </w:p>
    <w:p w14:paraId="5843E7BC"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ב"כ המאשימה טען כי יש לקבוע מתחם נפרד לכל אחד מהאישומים.</w:t>
      </w:r>
    </w:p>
    <w:p w14:paraId="401DEFCA"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 xml:space="preserve">ב"כ המאשימה טען כי במעשיו פגע הנאשם בערכים המוגנים שעניינם </w:t>
      </w:r>
      <w:r w:rsidRPr="00CA5776">
        <w:rPr>
          <w:rFonts w:ascii="David" w:eastAsia="Calibri" w:hAnsi="David" w:hint="cs"/>
          <w:rtl/>
        </w:rPr>
        <w:t xml:space="preserve">ביטחון מדינת ישראל ואזרחיה. </w:t>
      </w:r>
      <w:r>
        <w:rPr>
          <w:rFonts w:ascii="David" w:eastAsia="Calibri" w:hAnsi="David" w:hint="cs"/>
          <w:rtl/>
        </w:rPr>
        <w:t xml:space="preserve">לגבי עבירות הנשק הדגיש ב"כ המאשימה, כי הנאשם ביצע אותן, בין היתר, תוך שהוא היה מודע לכך שהקרלו השני שימש לירי על כוחות הביטחון ובמטרה לתקנו. לטענת ב"כ המאשימה: </w:t>
      </w:r>
      <w:r w:rsidRPr="000401B9">
        <w:rPr>
          <w:rFonts w:ascii="David" w:eastAsia="Calibri" w:hAnsi="David" w:hint="cs"/>
          <w:b/>
          <w:bCs/>
          <w:rtl/>
        </w:rPr>
        <w:t>"ניתן לשער בהתאם מה היה ייעודו של הנשק לאחר התיקון המבוקש"</w:t>
      </w:r>
      <w:r>
        <w:rPr>
          <w:rFonts w:ascii="David" w:eastAsia="Calibri" w:hAnsi="David" w:hint="cs"/>
          <w:rtl/>
        </w:rPr>
        <w:t xml:space="preserve"> (סעיף ד' 6 לעיקרי הטיעון מטעם המאשימה). </w:t>
      </w:r>
    </w:p>
    <w:p w14:paraId="5784DFB7" w14:textId="77777777" w:rsidR="00261661" w:rsidRPr="00CA5776" w:rsidRDefault="00261661" w:rsidP="00261661">
      <w:pPr>
        <w:spacing w:after="160" w:line="360" w:lineRule="auto"/>
        <w:ind w:left="720"/>
        <w:contextualSpacing/>
        <w:jc w:val="both"/>
        <w:rPr>
          <w:rFonts w:ascii="David" w:eastAsia="Calibri" w:hAnsi="David"/>
        </w:rPr>
      </w:pPr>
      <w:r>
        <w:rPr>
          <w:rFonts w:ascii="David" w:eastAsia="Calibri" w:hAnsi="David" w:hint="cs"/>
          <w:rtl/>
        </w:rPr>
        <w:t>לגבי העבירה של מתן שירות לארגון טרור, הדגיש ב"כ המאשימה את פוטנציאל ההסתה שהיה טמון הדגלים ובשלטים, בשים לב לכך שהם נועדו להפצה במועדים רגישים  בהם חלו יום החמאס ויום שחרורו של ראיד סלאח.</w:t>
      </w:r>
    </w:p>
    <w:p w14:paraId="1F874653" w14:textId="77777777" w:rsidR="00261661" w:rsidRDefault="00261661" w:rsidP="00261661">
      <w:pPr>
        <w:spacing w:after="160" w:line="360" w:lineRule="auto"/>
        <w:ind w:left="720"/>
        <w:contextualSpacing/>
        <w:jc w:val="both"/>
        <w:rPr>
          <w:rFonts w:ascii="David" w:eastAsia="Calibri" w:hAnsi="David"/>
          <w:rtl/>
        </w:rPr>
      </w:pPr>
      <w:r w:rsidRPr="00CA5776">
        <w:rPr>
          <w:rFonts w:ascii="David" w:eastAsia="Calibri" w:hAnsi="David" w:hint="cs"/>
          <w:rtl/>
        </w:rPr>
        <w:t>ב"כ המאשימה הפנ</w:t>
      </w:r>
      <w:r>
        <w:rPr>
          <w:rFonts w:ascii="David" w:eastAsia="Calibri" w:hAnsi="David" w:hint="cs"/>
          <w:rtl/>
        </w:rPr>
        <w:t>ה</w:t>
      </w:r>
      <w:r w:rsidRPr="00CA5776">
        <w:rPr>
          <w:rFonts w:ascii="David" w:eastAsia="Calibri" w:hAnsi="David" w:hint="cs"/>
          <w:rtl/>
        </w:rPr>
        <w:t xml:space="preserve"> לפסקי דין </w:t>
      </w:r>
      <w:r>
        <w:rPr>
          <w:rFonts w:ascii="David" w:eastAsia="Calibri" w:hAnsi="David" w:hint="cs"/>
          <w:rtl/>
        </w:rPr>
        <w:t xml:space="preserve">הממחישים לשיטתו את </w:t>
      </w:r>
      <w:r w:rsidRPr="00CA5776">
        <w:rPr>
          <w:rFonts w:ascii="David" w:eastAsia="Calibri" w:hAnsi="David" w:hint="cs"/>
          <w:rtl/>
        </w:rPr>
        <w:t>מדיניות הענישה ה</w:t>
      </w:r>
      <w:r>
        <w:rPr>
          <w:rFonts w:ascii="David" w:eastAsia="Calibri" w:hAnsi="David" w:hint="cs"/>
          <w:rtl/>
        </w:rPr>
        <w:t>נוהגת</w:t>
      </w:r>
      <w:r w:rsidRPr="00CA5776">
        <w:rPr>
          <w:rFonts w:ascii="David" w:eastAsia="Calibri" w:hAnsi="David" w:hint="cs"/>
          <w:rtl/>
        </w:rPr>
        <w:t xml:space="preserve"> </w:t>
      </w:r>
      <w:r>
        <w:rPr>
          <w:rFonts w:ascii="David" w:eastAsia="Calibri" w:hAnsi="David" w:hint="cs"/>
          <w:rtl/>
        </w:rPr>
        <w:t xml:space="preserve">בנוגע </w:t>
      </w:r>
      <w:r w:rsidRPr="00CA5776">
        <w:rPr>
          <w:rFonts w:ascii="David" w:eastAsia="Calibri" w:hAnsi="David" w:hint="cs"/>
          <w:rtl/>
        </w:rPr>
        <w:t xml:space="preserve">לשני האישומים, </w:t>
      </w:r>
      <w:r>
        <w:rPr>
          <w:rFonts w:ascii="David" w:eastAsia="Calibri" w:hAnsi="David" w:hint="cs"/>
          <w:rtl/>
        </w:rPr>
        <w:t xml:space="preserve">תוך שהדגיש כי לשיטת המאשימה </w:t>
      </w:r>
      <w:r w:rsidRPr="00CA5776">
        <w:rPr>
          <w:rFonts w:ascii="David" w:eastAsia="Calibri" w:hAnsi="David" w:hint="cs"/>
          <w:rtl/>
        </w:rPr>
        <w:t xml:space="preserve">נסיבות </w:t>
      </w:r>
      <w:r>
        <w:rPr>
          <w:rFonts w:ascii="David" w:eastAsia="Calibri" w:hAnsi="David" w:hint="cs"/>
          <w:rtl/>
        </w:rPr>
        <w:t xml:space="preserve">האישום השני בו הודה הנאשם </w:t>
      </w:r>
      <w:r w:rsidRPr="00CA5776">
        <w:rPr>
          <w:rFonts w:ascii="David" w:eastAsia="Calibri" w:hAnsi="David" w:hint="cs"/>
          <w:rtl/>
        </w:rPr>
        <w:t xml:space="preserve">חמורות </w:t>
      </w:r>
      <w:r>
        <w:rPr>
          <w:rFonts w:ascii="David" w:eastAsia="Calibri" w:hAnsi="David" w:hint="cs"/>
          <w:rtl/>
        </w:rPr>
        <w:t xml:space="preserve">מנסיבותיהם של פסקי הדין האמורים. ב"כ המאשימה גם הפנה לכך שהמחוקק קבע במסגרת </w:t>
      </w:r>
      <w:r w:rsidRPr="00CA5776">
        <w:rPr>
          <w:rFonts w:ascii="David" w:eastAsia="Calibri" w:hAnsi="David" w:hint="cs"/>
          <w:rtl/>
        </w:rPr>
        <w:t>תיקון 140 ל</w:t>
      </w:r>
      <w:hyperlink r:id="rId22" w:history="1">
        <w:r w:rsidR="00B3021F" w:rsidRPr="00B3021F">
          <w:rPr>
            <w:rFonts w:ascii="David" w:eastAsia="Calibri" w:hAnsi="David"/>
            <w:color w:val="0000FF"/>
            <w:u w:val="single"/>
            <w:rtl/>
          </w:rPr>
          <w:t>חוק העונשין</w:t>
        </w:r>
      </w:hyperlink>
      <w:r w:rsidRPr="00CA5776">
        <w:rPr>
          <w:rFonts w:ascii="David" w:eastAsia="Calibri" w:hAnsi="David" w:hint="cs"/>
          <w:rtl/>
        </w:rPr>
        <w:t xml:space="preserve"> עונש</w:t>
      </w:r>
      <w:r>
        <w:rPr>
          <w:rFonts w:ascii="David" w:eastAsia="Calibri" w:hAnsi="David" w:hint="cs"/>
          <w:rtl/>
        </w:rPr>
        <w:t>י מינימום</w:t>
      </w:r>
      <w:r w:rsidRPr="00CA5776">
        <w:rPr>
          <w:rFonts w:ascii="David" w:eastAsia="Calibri" w:hAnsi="David" w:hint="cs"/>
          <w:rtl/>
        </w:rPr>
        <w:t xml:space="preserve"> </w:t>
      </w:r>
      <w:r>
        <w:rPr>
          <w:rFonts w:ascii="David" w:eastAsia="Calibri" w:hAnsi="David" w:hint="cs"/>
          <w:rtl/>
        </w:rPr>
        <w:t>של 21 חודשי מאסר</w:t>
      </w:r>
      <w:r w:rsidRPr="00CA5776">
        <w:rPr>
          <w:rFonts w:ascii="David" w:eastAsia="Calibri" w:hAnsi="David" w:hint="cs"/>
          <w:rtl/>
        </w:rPr>
        <w:t xml:space="preserve"> ביחס לעביר</w:t>
      </w:r>
      <w:r>
        <w:rPr>
          <w:rFonts w:ascii="David" w:eastAsia="Calibri" w:hAnsi="David" w:hint="cs"/>
          <w:rtl/>
        </w:rPr>
        <w:t>ה של</w:t>
      </w:r>
      <w:r w:rsidRPr="00CA5776">
        <w:rPr>
          <w:rFonts w:ascii="David" w:eastAsia="Calibri" w:hAnsi="David" w:hint="cs"/>
          <w:rtl/>
        </w:rPr>
        <w:t xml:space="preserve"> החזקת נשק, 30 חודשי</w:t>
      </w:r>
      <w:r>
        <w:rPr>
          <w:rFonts w:ascii="David" w:eastAsia="Calibri" w:hAnsi="David" w:hint="cs"/>
          <w:rtl/>
        </w:rPr>
        <w:t xml:space="preserve"> מאסר ביחס לעבירה של</w:t>
      </w:r>
      <w:r w:rsidRPr="00CA5776">
        <w:rPr>
          <w:rFonts w:ascii="David" w:eastAsia="Calibri" w:hAnsi="David" w:hint="cs"/>
          <w:rtl/>
        </w:rPr>
        <w:t xml:space="preserve"> נשיאת נשק</w:t>
      </w:r>
      <w:r>
        <w:rPr>
          <w:rFonts w:ascii="David" w:eastAsia="Calibri" w:hAnsi="David" w:hint="cs"/>
          <w:rtl/>
        </w:rPr>
        <w:t>, ו- 25 חודשי מאסר ביחס לעבירה של</w:t>
      </w:r>
      <w:r w:rsidRPr="00CA5776">
        <w:rPr>
          <w:rFonts w:ascii="David" w:eastAsia="Calibri" w:hAnsi="David" w:hint="cs"/>
          <w:rtl/>
        </w:rPr>
        <w:t xml:space="preserve"> עסקה אחרת בנשק.</w:t>
      </w:r>
      <w:r>
        <w:rPr>
          <w:rFonts w:ascii="David" w:eastAsia="Calibri" w:hAnsi="David" w:hint="cs"/>
          <w:rtl/>
        </w:rPr>
        <w:t xml:space="preserve"> ב"כ הנאשם טען כי רוחו של התיקון צריכה לחול בעניינו של הנאשם.</w:t>
      </w:r>
    </w:p>
    <w:p w14:paraId="23A1A5A3" w14:textId="77777777" w:rsidR="00261661" w:rsidRPr="00CA5776" w:rsidRDefault="00261661" w:rsidP="00261661">
      <w:pPr>
        <w:spacing w:after="160" w:line="360" w:lineRule="auto"/>
        <w:ind w:left="720"/>
        <w:contextualSpacing/>
        <w:jc w:val="both"/>
        <w:rPr>
          <w:rFonts w:ascii="David" w:eastAsia="Calibri" w:hAnsi="David"/>
          <w:rtl/>
        </w:rPr>
      </w:pPr>
      <w:r>
        <w:rPr>
          <w:rFonts w:ascii="David" w:eastAsia="Calibri" w:hAnsi="David" w:hint="cs"/>
          <w:rtl/>
        </w:rPr>
        <w:t>לנוכח האמור עתר ב"כ המאשימה לקביעת מתחם של 6 עד 10 שנות מאסר בנוגע לשני האישומים, וטען כי לנוכח עברו הפלילי של הנאשם יש למקם את עונשו בחלק העליון של המתחם, ולגזור עליו עונש של 10 שנות מאסר.</w:t>
      </w:r>
      <w:r w:rsidRPr="00CA5776">
        <w:rPr>
          <w:rFonts w:ascii="David" w:eastAsia="Calibri" w:hAnsi="David" w:hint="cs"/>
          <w:rtl/>
        </w:rPr>
        <w:t xml:space="preserve"> </w:t>
      </w:r>
      <w:r>
        <w:rPr>
          <w:rFonts w:ascii="David" w:eastAsia="Calibri" w:hAnsi="David" w:hint="cs"/>
          <w:rtl/>
        </w:rPr>
        <w:t>ב"כ המאשימה ציין כי העונש המבוקש כולל חפיפה מסוימת של העונשים בגין כל אחד מהאישומים, והדגיש כי אלמלא הודאתו של הנאשם הייתה המאשימה מבקשת מבית המשפט לחרוג כלפי מעלה ממתחם העונש ההולם, זאת מנימוקי הרתעה. ב"כ המאשימה טען כי בנוסף יש לגזור על הנאשם קנס מרתיע.</w:t>
      </w:r>
    </w:p>
    <w:p w14:paraId="0B5C1CA2" w14:textId="77777777" w:rsidR="00261661" w:rsidRPr="00CA5776" w:rsidRDefault="00261661" w:rsidP="00261661">
      <w:pPr>
        <w:spacing w:after="160" w:line="360" w:lineRule="auto"/>
        <w:ind w:left="720"/>
        <w:contextualSpacing/>
        <w:jc w:val="both"/>
        <w:rPr>
          <w:rFonts w:ascii="David" w:eastAsia="Calibri" w:hAnsi="David"/>
          <w:rtl/>
        </w:rPr>
      </w:pPr>
    </w:p>
    <w:p w14:paraId="67C33217" w14:textId="77777777" w:rsidR="00261661" w:rsidRPr="00CA5776" w:rsidRDefault="00261661" w:rsidP="00261661">
      <w:pPr>
        <w:numPr>
          <w:ilvl w:val="0"/>
          <w:numId w:val="1"/>
        </w:numPr>
        <w:spacing w:after="160" w:line="360" w:lineRule="auto"/>
        <w:contextualSpacing/>
        <w:jc w:val="both"/>
        <w:rPr>
          <w:rFonts w:ascii="David" w:eastAsia="Calibri" w:hAnsi="David"/>
        </w:rPr>
      </w:pPr>
      <w:r w:rsidRPr="00CA5776">
        <w:rPr>
          <w:rFonts w:ascii="David" w:eastAsia="Calibri" w:hAnsi="David" w:hint="cs"/>
          <w:b/>
          <w:bCs/>
          <w:u w:val="single"/>
          <w:rtl/>
        </w:rPr>
        <w:t>טענות הנאשם לעונש</w:t>
      </w:r>
    </w:p>
    <w:p w14:paraId="466581E2"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 xml:space="preserve">בשם הנאשם טענו לעונש שני סניגורים </w:t>
      </w:r>
      <w:r>
        <w:rPr>
          <w:rFonts w:ascii="David" w:eastAsia="Calibri" w:hAnsi="David"/>
          <w:rtl/>
        </w:rPr>
        <w:t>–</w:t>
      </w:r>
      <w:r>
        <w:rPr>
          <w:rFonts w:ascii="David" w:eastAsia="Calibri" w:hAnsi="David" w:hint="cs"/>
          <w:rtl/>
        </w:rPr>
        <w:t xml:space="preserve"> עו"ד לאה צמל ועו"ד מוחמד מחמוד.</w:t>
      </w:r>
    </w:p>
    <w:p w14:paraId="3F3499A9"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ב"כ הנאשמים טענו כי יש לקבוע מתחם אחד לשני האישומים.</w:t>
      </w:r>
    </w:p>
    <w:p w14:paraId="5FF7CB13" w14:textId="77777777" w:rsidR="00261661" w:rsidRDefault="00261661" w:rsidP="00261661">
      <w:pPr>
        <w:spacing w:after="160" w:line="360" w:lineRule="auto"/>
        <w:ind w:left="720"/>
        <w:contextualSpacing/>
        <w:jc w:val="both"/>
        <w:rPr>
          <w:rFonts w:ascii="David" w:eastAsia="Calibri" w:hAnsi="David"/>
          <w:rtl/>
        </w:rPr>
      </w:pPr>
      <w:r w:rsidRPr="00CA5776">
        <w:rPr>
          <w:rFonts w:ascii="David" w:eastAsia="Calibri" w:hAnsi="David" w:hint="cs"/>
          <w:rtl/>
        </w:rPr>
        <w:t xml:space="preserve">ב"כ הנאשם הדגישו </w:t>
      </w:r>
      <w:r>
        <w:rPr>
          <w:rFonts w:ascii="David" w:eastAsia="Calibri" w:hAnsi="David" w:hint="cs"/>
          <w:rtl/>
        </w:rPr>
        <w:t xml:space="preserve">כי על אף שהנאשם הסכים להעביר את השלטים הנזכרים באישום הראשון, הרי שאין טענה לפיה הוא היה מודע לפעילותו של כל אחד מאלו שתמונותיהם התנוססו על השלטים. </w:t>
      </w:r>
      <w:r w:rsidRPr="00CA5776">
        <w:rPr>
          <w:rFonts w:ascii="David" w:eastAsia="Calibri" w:hAnsi="David" w:hint="cs"/>
          <w:rtl/>
        </w:rPr>
        <w:t>עוד</w:t>
      </w:r>
      <w:r>
        <w:rPr>
          <w:rFonts w:ascii="David" w:eastAsia="Calibri" w:hAnsi="David" w:hint="cs"/>
          <w:rtl/>
        </w:rPr>
        <w:t xml:space="preserve"> נטען</w:t>
      </w:r>
      <w:r w:rsidRPr="00CA5776">
        <w:rPr>
          <w:rFonts w:ascii="David" w:eastAsia="Calibri" w:hAnsi="David" w:hint="cs"/>
          <w:rtl/>
        </w:rPr>
        <w:t xml:space="preserve">, </w:t>
      </w:r>
      <w:r>
        <w:rPr>
          <w:rFonts w:ascii="David" w:eastAsia="Calibri" w:hAnsi="David" w:hint="cs"/>
          <w:rtl/>
        </w:rPr>
        <w:t xml:space="preserve">כי </w:t>
      </w:r>
      <w:r w:rsidRPr="00CA5776">
        <w:rPr>
          <w:rFonts w:ascii="David" w:eastAsia="Calibri" w:hAnsi="David" w:hint="cs"/>
          <w:rtl/>
        </w:rPr>
        <w:t xml:space="preserve">מחומר הראיות עולה </w:t>
      </w:r>
      <w:r>
        <w:rPr>
          <w:rFonts w:ascii="David" w:eastAsia="Calibri" w:hAnsi="David" w:hint="cs"/>
          <w:rtl/>
        </w:rPr>
        <w:t>ש</w:t>
      </w:r>
      <w:r w:rsidRPr="00CA5776">
        <w:rPr>
          <w:rFonts w:ascii="David" w:eastAsia="Calibri" w:hAnsi="David" w:hint="cs"/>
          <w:rtl/>
        </w:rPr>
        <w:t xml:space="preserve">הנאשם ראה רק </w:t>
      </w:r>
      <w:r>
        <w:rPr>
          <w:rFonts w:ascii="David" w:eastAsia="Calibri" w:hAnsi="David" w:hint="cs"/>
          <w:rtl/>
        </w:rPr>
        <w:t>אחד מהשלטים שהיו בשקיות שנמסרו לו. לנוכח טיעון זה שאל בית המשפט את באי כוח הנאשם האם הנאשם מבקש לחזור בו מהודאתו, ואלו השיבו בשלילה, תוך שהסבירו כי הנאשם עומד על הודאתו לפיה הוא היה מודע לכך שהשלטים הם לטובת ארגון החמאס, ושהוא עושה שירות למען החמאס (עמ' 17 ש' 27-18). ב"כ הנאשם הדגישו כי הדגלים והשלטים נתפסו בטרם נעשה בהם שימוש כלשהו.</w:t>
      </w:r>
    </w:p>
    <w:p w14:paraId="40367A35"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 xml:space="preserve"> אשר לאישום השני, ב"כ הנאשם טענו כי את הקרלו הראשון החזיק הנאשם ברשותו שנים רבות, וכי גורמי הביטחון ידעו על כך (עמ' 18 ש' 7-1). את הקרלו השני נטל הנאשם לפי הטענה מקוסאי הנ"ל במטרה למנוע ממנו להשתמש בו לצורך ביצוע פיגוע נוסף. לטענת באי כוח הנאשם לאחר שהנאשם מסר את הקרלו השני לאדם השלישי הנזכר בכתב האישום, הוא </w:t>
      </w:r>
      <w:r>
        <w:rPr>
          <w:rFonts w:ascii="David" w:eastAsia="Calibri" w:hAnsi="David"/>
          <w:rtl/>
        </w:rPr>
        <w:t>–</w:t>
      </w:r>
      <w:r>
        <w:rPr>
          <w:rFonts w:ascii="David" w:eastAsia="Calibri" w:hAnsi="David" w:hint="cs"/>
          <w:rtl/>
        </w:rPr>
        <w:t xml:space="preserve"> הנאשם - הוביל את אנשי המשטרה למקום בו הוחזק הנשק (עמ' 18 ש' 11-10). יאמר כבר עתה, כי לטענות אלו אין זכר בכתב האישום המתוקן, ועל כן לפי הסדר הטיעון הנאשם מנוע מלטעון אותן. מכל מקום לטענות אלה גם לא הונחה תשתית מינימלית, ולכן לא ניתן לקבלן.</w:t>
      </w:r>
    </w:p>
    <w:p w14:paraId="04FB2916"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לעניין הרישום הפלילי טענו ב"כ הנאשם, כי לא הוגשו כל ראיות דבר נסיבות ביצוע העבירות הקודמות על ידי הנאשם, ועל כן ניתן הביא בחשבון רק את סעיפי החוק בהם הורשע הנאשם ואת העונשים שנגזרו עליו. כפי שנראה בהמשך, די בסעיפי העבירות ובעונשי המאסר הארוכים שנגזרו על הנאשם כדי ללמד על עומק מעורבותו בעבירות ביטחון.</w:t>
      </w:r>
    </w:p>
    <w:p w14:paraId="3263DEB3"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 xml:space="preserve">לעניין העונש לו טענה המאשימה בגין האישום הראשון, הפנו ב"כ הנאשם לעובדה כי על האדם שמסר לנאשם את הדגלים והשלטים (נדאם אבו רמוז) נגזרו בהסכמה 5 חודשי מאסר, בעוד המאשימה מבקשת כי על הנאשם ייגזרו 35 חודשי מאסר בגין האישום הראשון. לעניין האישום השני טענו ב"כ הנאשם כי על האדם </w:t>
      </w:r>
      <w:r>
        <w:rPr>
          <w:rFonts w:ascii="David" w:eastAsia="Calibri" w:hAnsi="David"/>
          <w:rtl/>
        </w:rPr>
        <w:t>–</w:t>
      </w:r>
      <w:r>
        <w:rPr>
          <w:rFonts w:ascii="David" w:eastAsia="Calibri" w:hAnsi="David" w:hint="cs"/>
          <w:rtl/>
        </w:rPr>
        <w:t xml:space="preserve"> פאדי עליאן -  שסיפק את הקרלו השני לקוסאי לפני ביצוע הפיגועים, נגזר בהסכמה עונש של 3 שנות מאסר למרות קיומו של עבר פלילי בטחוני, ועל כן אין כל הצדקה לדרוש כי על הנאשם ייגזר עונש של 10 שנות מאסר. עוד נטען, כי מי שקיבל את הקרלו השני מהנאשם </w:t>
      </w:r>
      <w:r>
        <w:rPr>
          <w:rFonts w:ascii="David" w:eastAsia="Calibri" w:hAnsi="David"/>
          <w:rtl/>
        </w:rPr>
        <w:t>–</w:t>
      </w:r>
      <w:r>
        <w:rPr>
          <w:rFonts w:ascii="David" w:eastAsia="Calibri" w:hAnsi="David" w:hint="cs"/>
          <w:rtl/>
        </w:rPr>
        <w:t xml:space="preserve"> אדם בשם זידאן </w:t>
      </w:r>
      <w:r>
        <w:rPr>
          <w:rFonts w:ascii="David" w:eastAsia="Calibri" w:hAnsi="David"/>
          <w:rtl/>
        </w:rPr>
        <w:t>–</w:t>
      </w:r>
      <w:r>
        <w:rPr>
          <w:rFonts w:ascii="David" w:eastAsia="Calibri" w:hAnsi="David" w:hint="cs"/>
          <w:rtl/>
        </w:rPr>
        <w:t xml:space="preserve"> ברח מהמשטרה כאשר הגיעו לעצור אותו, ובסופו של דבר לאחר שהוא נתפס והורשע נגזר עליו עונש של 22 חודשי מאסר.</w:t>
      </w:r>
    </w:p>
    <w:p w14:paraId="3C634B39" w14:textId="77777777" w:rsidR="00261661" w:rsidRPr="00CA5776" w:rsidRDefault="00261661" w:rsidP="00261661">
      <w:pPr>
        <w:spacing w:after="160" w:line="360" w:lineRule="auto"/>
        <w:ind w:left="720"/>
        <w:contextualSpacing/>
        <w:jc w:val="both"/>
        <w:rPr>
          <w:rFonts w:ascii="David" w:eastAsia="Calibri" w:hAnsi="David"/>
          <w:rtl/>
        </w:rPr>
      </w:pPr>
      <w:r>
        <w:rPr>
          <w:rFonts w:ascii="David" w:eastAsia="Calibri" w:hAnsi="David" w:hint="cs"/>
          <w:rtl/>
        </w:rPr>
        <w:t>ב"כ הנאשם הדגישו כי שני כלי הנשק הוסגרו למשטרה.</w:t>
      </w:r>
    </w:p>
    <w:p w14:paraId="4849AD83" w14:textId="77777777" w:rsidR="00261661" w:rsidRPr="00CA5776" w:rsidRDefault="00261661" w:rsidP="00261661">
      <w:pPr>
        <w:spacing w:after="160" w:line="360" w:lineRule="auto"/>
        <w:ind w:left="720"/>
        <w:contextualSpacing/>
        <w:jc w:val="both"/>
        <w:rPr>
          <w:rFonts w:ascii="David" w:eastAsia="Calibri" w:hAnsi="David"/>
          <w:rtl/>
        </w:rPr>
      </w:pPr>
    </w:p>
    <w:p w14:paraId="4D925255" w14:textId="77777777" w:rsidR="00261661" w:rsidRPr="00CA5776" w:rsidRDefault="00261661" w:rsidP="00261661">
      <w:pPr>
        <w:numPr>
          <w:ilvl w:val="0"/>
          <w:numId w:val="1"/>
        </w:numPr>
        <w:spacing w:after="160" w:line="360" w:lineRule="auto"/>
        <w:contextualSpacing/>
        <w:jc w:val="both"/>
        <w:rPr>
          <w:rFonts w:ascii="David" w:eastAsia="Calibri" w:hAnsi="David"/>
        </w:rPr>
      </w:pPr>
      <w:r w:rsidRPr="00CA5776">
        <w:rPr>
          <w:rFonts w:ascii="David" w:eastAsia="Calibri" w:hAnsi="David" w:hint="cs"/>
          <w:b/>
          <w:bCs/>
          <w:u w:val="single"/>
          <w:rtl/>
        </w:rPr>
        <w:t>דברי הנאשם</w:t>
      </w:r>
    </w:p>
    <w:p w14:paraId="016D5542"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בתום שמיעת טיעוני ב"כ הצדדים מסר הנאשם את דבריו.</w:t>
      </w:r>
    </w:p>
    <w:p w14:paraId="5A6C784D" w14:textId="77777777" w:rsidR="00261661" w:rsidRDefault="00261661" w:rsidP="00261661">
      <w:pPr>
        <w:spacing w:after="160" w:line="360" w:lineRule="auto"/>
        <w:ind w:left="720"/>
        <w:contextualSpacing/>
        <w:jc w:val="both"/>
        <w:rPr>
          <w:rFonts w:ascii="David" w:eastAsia="Calibri" w:hAnsi="David"/>
          <w:rtl/>
        </w:rPr>
      </w:pPr>
      <w:r w:rsidRPr="00CA5776">
        <w:rPr>
          <w:rFonts w:ascii="David" w:eastAsia="Calibri" w:hAnsi="David" w:hint="cs"/>
          <w:rtl/>
        </w:rPr>
        <w:t xml:space="preserve">הנאשם אמר כי על אף שיש לו עבר פלילי כבד, </w:t>
      </w:r>
      <w:r>
        <w:rPr>
          <w:rFonts w:ascii="David" w:eastAsia="Calibri" w:hAnsi="David" w:hint="cs"/>
          <w:rtl/>
        </w:rPr>
        <w:t>ה</w:t>
      </w:r>
      <w:r w:rsidRPr="00CA5776">
        <w:rPr>
          <w:rFonts w:ascii="David" w:eastAsia="Calibri" w:hAnsi="David" w:hint="cs"/>
          <w:rtl/>
        </w:rPr>
        <w:t xml:space="preserve">עבירות </w:t>
      </w:r>
      <w:r>
        <w:rPr>
          <w:rFonts w:ascii="David" w:eastAsia="Calibri" w:hAnsi="David" w:hint="cs"/>
          <w:rtl/>
        </w:rPr>
        <w:t xml:space="preserve">שביצע בעבר לא כללו אלימות כלפי בני אדם או רכוש, וכי היו </w:t>
      </w:r>
      <w:r w:rsidRPr="00C75B6B">
        <w:rPr>
          <w:rFonts w:ascii="David" w:eastAsia="Calibri" w:hAnsi="David" w:hint="cs"/>
          <w:b/>
          <w:bCs/>
          <w:rtl/>
        </w:rPr>
        <w:t>"</w:t>
      </w:r>
      <w:r>
        <w:rPr>
          <w:rFonts w:ascii="David" w:eastAsia="Calibri" w:hAnsi="David" w:hint="cs"/>
          <w:b/>
          <w:bCs/>
          <w:rtl/>
        </w:rPr>
        <w:t>דברים גבוליים</w:t>
      </w:r>
      <w:r w:rsidRPr="00C75B6B">
        <w:rPr>
          <w:rFonts w:ascii="David" w:eastAsia="Calibri" w:hAnsi="David" w:hint="cs"/>
          <w:b/>
          <w:bCs/>
          <w:rtl/>
        </w:rPr>
        <w:t>"</w:t>
      </w:r>
      <w:r>
        <w:rPr>
          <w:rFonts w:ascii="David" w:eastAsia="Calibri" w:hAnsi="David" w:hint="cs"/>
          <w:rtl/>
        </w:rPr>
        <w:t xml:space="preserve"> כלשונו. הנאשם אמר כי לאחר שהשתחרר מ</w:t>
      </w:r>
      <w:r w:rsidRPr="00CA5776">
        <w:rPr>
          <w:rFonts w:ascii="David" w:eastAsia="Calibri" w:hAnsi="David" w:hint="cs"/>
          <w:rtl/>
        </w:rPr>
        <w:t>מאסר</w:t>
      </w:r>
      <w:r>
        <w:rPr>
          <w:rFonts w:ascii="David" w:eastAsia="Calibri" w:hAnsi="David" w:hint="cs"/>
          <w:rtl/>
        </w:rPr>
        <w:t xml:space="preserve">ו האחרון - ביום 21.7.21 </w:t>
      </w:r>
      <w:r>
        <w:rPr>
          <w:rFonts w:ascii="David" w:eastAsia="Calibri" w:hAnsi="David"/>
          <w:rtl/>
        </w:rPr>
        <w:t>–</w:t>
      </w:r>
      <w:r>
        <w:rPr>
          <w:rFonts w:ascii="David" w:eastAsia="Calibri" w:hAnsi="David" w:hint="cs"/>
          <w:rtl/>
        </w:rPr>
        <w:t xml:space="preserve"> הוא הוזמן לפגישה בשב"כ, במהלכה מתוך רצון לפתוח דף חדש הוא </w:t>
      </w:r>
      <w:r w:rsidRPr="00CA5776">
        <w:rPr>
          <w:rFonts w:ascii="David" w:eastAsia="Calibri" w:hAnsi="David" w:hint="cs"/>
          <w:rtl/>
        </w:rPr>
        <w:t>התוודה</w:t>
      </w:r>
      <w:r>
        <w:rPr>
          <w:rFonts w:ascii="David" w:eastAsia="Calibri" w:hAnsi="David" w:hint="cs"/>
          <w:rtl/>
        </w:rPr>
        <w:t>:</w:t>
      </w:r>
      <w:r w:rsidRPr="00CA5776">
        <w:rPr>
          <w:rFonts w:ascii="David" w:eastAsia="Calibri" w:hAnsi="David" w:hint="cs"/>
          <w:rtl/>
        </w:rPr>
        <w:t xml:space="preserve"> </w:t>
      </w:r>
      <w:r w:rsidRPr="00C75B6B">
        <w:rPr>
          <w:rFonts w:ascii="David" w:eastAsia="Calibri" w:hAnsi="David" w:hint="cs"/>
          <w:b/>
          <w:bCs/>
          <w:rtl/>
        </w:rPr>
        <w:t>"שאני מחזיק בנשק מאולתר וגם לא מאולתר ואני רוצה להחזיר אותו"</w:t>
      </w:r>
      <w:r>
        <w:rPr>
          <w:rFonts w:ascii="David" w:eastAsia="Calibri" w:hAnsi="David" w:hint="cs"/>
          <w:rtl/>
        </w:rPr>
        <w:t xml:space="preserve"> (עמ' 20 ש' 32-28). לטענת הנאשם איש מכוחות הביטחון לא יצר עמו קשר בעקבות התוודותו, עד שהוא נעצר בחודש דצמבר 2021. הנאשם מסר כי הוא נטל את הנשק מקוסאי בחודש ספטמבר במטרה למנוע ממנו להשתמש בו שוב, ועובדה, כך לדברי הנאשם, שלא נעשה שימוש בנשק מאז שהוא נטל אותו מקוסאי. לטענת הנאשם בשלב מסוים הייתה הסכמה לפיה הוא יקבל עונש של שנת מאסר אחת בגלל שלא דיווח על הימצאות הנשקים אצלו. הנאשם גם ציין כי יש לו ילדה בת 12 ואמא חולה בסרטן. </w:t>
      </w:r>
    </w:p>
    <w:p w14:paraId="0E500C13" w14:textId="77777777" w:rsidR="00261661" w:rsidRDefault="00261661" w:rsidP="00261661">
      <w:pPr>
        <w:spacing w:after="160" w:line="360" w:lineRule="auto"/>
        <w:ind w:left="720"/>
        <w:contextualSpacing/>
        <w:jc w:val="both"/>
        <w:rPr>
          <w:rFonts w:ascii="David" w:eastAsia="Calibri" w:hAnsi="David"/>
          <w:rtl/>
        </w:rPr>
      </w:pPr>
    </w:p>
    <w:p w14:paraId="2FEBFBA3" w14:textId="77777777" w:rsidR="00261661" w:rsidRDefault="00261661" w:rsidP="00261661">
      <w:pPr>
        <w:spacing w:after="160" w:line="360" w:lineRule="auto"/>
        <w:contextualSpacing/>
        <w:jc w:val="both"/>
        <w:rPr>
          <w:rFonts w:ascii="David" w:eastAsia="Calibri" w:hAnsi="David"/>
          <w:rtl/>
        </w:rPr>
      </w:pPr>
    </w:p>
    <w:p w14:paraId="0B2161AD" w14:textId="77777777" w:rsidR="00261661" w:rsidRDefault="00261661" w:rsidP="00261661">
      <w:pPr>
        <w:spacing w:after="160" w:line="360" w:lineRule="auto"/>
        <w:contextualSpacing/>
        <w:jc w:val="both"/>
        <w:rPr>
          <w:rFonts w:ascii="David" w:eastAsia="Calibri" w:hAnsi="David"/>
          <w:rtl/>
        </w:rPr>
      </w:pPr>
    </w:p>
    <w:p w14:paraId="1AACEBF0" w14:textId="77777777" w:rsidR="00261661" w:rsidRDefault="00261661" w:rsidP="00261661">
      <w:pPr>
        <w:spacing w:after="160" w:line="360" w:lineRule="auto"/>
        <w:ind w:left="720"/>
        <w:contextualSpacing/>
        <w:jc w:val="both"/>
        <w:rPr>
          <w:rFonts w:ascii="David" w:eastAsia="Calibri" w:hAnsi="David"/>
          <w:b/>
          <w:bCs/>
          <w:u w:val="single"/>
          <w:rtl/>
        </w:rPr>
      </w:pPr>
      <w:r w:rsidRPr="00CA5776">
        <w:rPr>
          <w:rFonts w:ascii="David" w:eastAsia="Calibri" w:hAnsi="David" w:hint="cs"/>
          <w:b/>
          <w:bCs/>
          <w:u w:val="single"/>
          <w:rtl/>
        </w:rPr>
        <w:t>דיון והכרעה</w:t>
      </w:r>
    </w:p>
    <w:p w14:paraId="76E4119A" w14:textId="77777777" w:rsidR="00261661" w:rsidRPr="00CA5776" w:rsidRDefault="00261661" w:rsidP="00261661">
      <w:pPr>
        <w:spacing w:after="160" w:line="360" w:lineRule="auto"/>
        <w:ind w:left="720"/>
        <w:contextualSpacing/>
        <w:jc w:val="both"/>
        <w:rPr>
          <w:rFonts w:ascii="David" w:eastAsia="Calibri" w:hAnsi="David"/>
          <w:b/>
          <w:bCs/>
          <w:u w:val="single"/>
          <w:rtl/>
        </w:rPr>
      </w:pPr>
    </w:p>
    <w:p w14:paraId="268442B9" w14:textId="77777777" w:rsidR="00261661" w:rsidRPr="006064A6" w:rsidRDefault="00261661" w:rsidP="00261661">
      <w:pPr>
        <w:numPr>
          <w:ilvl w:val="0"/>
          <w:numId w:val="1"/>
        </w:numPr>
        <w:spacing w:after="160" w:line="360" w:lineRule="auto"/>
        <w:contextualSpacing/>
        <w:jc w:val="both"/>
        <w:rPr>
          <w:rFonts w:ascii="David" w:eastAsia="Calibri" w:hAnsi="David"/>
          <w:b/>
          <w:bCs/>
          <w:u w:val="single"/>
        </w:rPr>
      </w:pPr>
      <w:r w:rsidRPr="006064A6">
        <w:rPr>
          <w:rFonts w:ascii="David" w:eastAsia="Calibri" w:hAnsi="David" w:hint="cs"/>
          <w:b/>
          <w:bCs/>
          <w:u w:val="single"/>
          <w:rtl/>
        </w:rPr>
        <w:t>אירוע אחד או שני אירועים</w:t>
      </w:r>
      <w:r>
        <w:rPr>
          <w:rFonts w:ascii="David" w:eastAsia="Calibri" w:hAnsi="David" w:hint="cs"/>
          <w:b/>
          <w:bCs/>
          <w:u w:val="single"/>
          <w:rtl/>
        </w:rPr>
        <w:t>?</w:t>
      </w:r>
    </w:p>
    <w:p w14:paraId="3B007DC3" w14:textId="77777777" w:rsidR="00261661" w:rsidRDefault="00261661" w:rsidP="00261661">
      <w:pPr>
        <w:spacing w:after="160" w:line="360" w:lineRule="auto"/>
        <w:ind w:left="720"/>
        <w:contextualSpacing/>
        <w:jc w:val="both"/>
        <w:rPr>
          <w:rFonts w:ascii="David" w:eastAsia="Calibri" w:hAnsi="David"/>
        </w:rPr>
      </w:pPr>
      <w:r>
        <w:rPr>
          <w:rFonts w:ascii="David" w:eastAsia="Calibri" w:hAnsi="David" w:hint="cs"/>
          <w:rtl/>
        </w:rPr>
        <w:t>האם לצורך קביעת מתחם העונש ההולם יש להתייחס לשני האישומים כאל אירוע אחד, כטענת ב"כ הנאשם, או כאל שני אירועים, כטענת המאשימה? אכן מדובר בשתי עבירות שבמהותן הן עבירות בטחון. ואולם, אין קשר בין שני האישומים מבחינת עיתוי ביצוע העבירות, מקום ביצוען או מהותן. כיוון שכך, סבורני שלא מדובר באירוע אחד, ועל כן ייקבע מתחם אחד לכל אחד מהאישומים. יוער בהקשר זה, כי המאשימה טענה שיש לקבוע מתחם נפרד לכל אחת מהעבירות המיוחסות לנאשם באישום השני. טענה זו לא מקובלת עלי. האישום השני מתאר מסכת עבריינית אחת, במסגרתה החזיק והוביל הנאשם את שני הנשקים. עם זאת, כמובן שבמסגרת קביעת מתחם העונש ההולם בגין האישום השני אביא בחשבון את העובדה שבמסגרת המתואר באישום זה ביצע הנאשם מספר עבירות.</w:t>
      </w:r>
    </w:p>
    <w:p w14:paraId="1CE5716B" w14:textId="77777777" w:rsidR="00261661" w:rsidRDefault="00261661" w:rsidP="00261661">
      <w:pPr>
        <w:spacing w:after="160" w:line="360" w:lineRule="auto"/>
        <w:ind w:left="720"/>
        <w:contextualSpacing/>
        <w:jc w:val="both"/>
        <w:rPr>
          <w:rFonts w:ascii="David" w:eastAsia="Calibri" w:hAnsi="David"/>
        </w:rPr>
      </w:pPr>
      <w:r>
        <w:rPr>
          <w:rFonts w:ascii="David" w:eastAsia="Calibri" w:hAnsi="David" w:hint="cs"/>
          <w:rtl/>
        </w:rPr>
        <w:t xml:space="preserve"> </w:t>
      </w:r>
    </w:p>
    <w:p w14:paraId="293CC59A" w14:textId="77777777" w:rsidR="00261661" w:rsidRPr="006064A6" w:rsidRDefault="00261661" w:rsidP="00261661">
      <w:pPr>
        <w:numPr>
          <w:ilvl w:val="0"/>
          <w:numId w:val="1"/>
        </w:numPr>
        <w:spacing w:after="160" w:line="360" w:lineRule="auto"/>
        <w:contextualSpacing/>
        <w:jc w:val="both"/>
        <w:rPr>
          <w:rFonts w:ascii="David" w:eastAsia="Calibri" w:hAnsi="David"/>
          <w:b/>
          <w:bCs/>
          <w:u w:val="single"/>
        </w:rPr>
      </w:pPr>
      <w:r w:rsidRPr="006064A6">
        <w:rPr>
          <w:rFonts w:ascii="David" w:eastAsia="Calibri" w:hAnsi="David" w:hint="cs"/>
          <w:b/>
          <w:bCs/>
          <w:u w:val="single"/>
          <w:rtl/>
        </w:rPr>
        <w:t>הערכים המוגנים ומידת הפגיעה בהם</w:t>
      </w:r>
    </w:p>
    <w:p w14:paraId="1B757379" w14:textId="77777777" w:rsidR="00261661" w:rsidRDefault="00261661" w:rsidP="00261661">
      <w:pPr>
        <w:spacing w:after="160" w:line="360" w:lineRule="auto"/>
        <w:ind w:left="720"/>
        <w:contextualSpacing/>
        <w:jc w:val="both"/>
        <w:rPr>
          <w:rFonts w:ascii="David" w:eastAsia="Calibri" w:hAnsi="David"/>
        </w:rPr>
      </w:pPr>
      <w:r>
        <w:rPr>
          <w:rFonts w:ascii="David" w:eastAsia="Calibri" w:hAnsi="David" w:hint="cs"/>
          <w:rtl/>
        </w:rPr>
        <w:t xml:space="preserve">המשותף לעבירות שעבר הנאשם במסגרת שני האישומים בהם הוא הודה, הוא הפגיעה בערך המוגן שעניינו בטחון המדינה. העובדות המפורטות באישום הראשון מלמדות על כך שהנאשם נתן שירות לארגוני טרור </w:t>
      </w:r>
      <w:r>
        <w:rPr>
          <w:rFonts w:ascii="David" w:eastAsia="Calibri" w:hAnsi="David"/>
          <w:rtl/>
        </w:rPr>
        <w:t>–</w:t>
      </w:r>
      <w:r>
        <w:rPr>
          <w:rFonts w:ascii="David" w:eastAsia="Calibri" w:hAnsi="David" w:hint="cs"/>
          <w:rtl/>
        </w:rPr>
        <w:t xml:space="preserve"> ארגון החמאס והפלג הצפוני של התנועה האסלמית. חומרת הפגיעה בביטחון המדינה בכל הנוגע לאישום הראשון איננה ברמה הקיצונית, זאת לנוכח העובדה שהשירות שנתן הנאשם התמצה בהעברת דגלים ושלטים. שונים פני הדברים בכל הנוגע לאישום השני. על פי האישום השני החזיק בידיו הנאשם שני כלי נשק התקפיים מסוג קרלו, ביודעו שבאמצעות אחד מהם בוצע פיגוע ירי לעבר כוחות הביטחון. מעשה זה מגלם פגיעה חמורה בביטחון המדינה, זאת בנוסף לפגיעה ה"רגילה" שנגרמת לערך של שלום הציבור ובטחונו בשל החזקת נשק ונשיאתו בנסיבות שאינן כרוכות בסיכון בטחון המדינה. מידת הפגיעה שפגע הנאשם בערכים המוגנים בשל המעשים המנויים באישום השני, גבוהה אפוא.</w:t>
      </w:r>
    </w:p>
    <w:p w14:paraId="03DBAA39" w14:textId="77777777" w:rsidR="00261661" w:rsidRDefault="00261661" w:rsidP="00261661">
      <w:pPr>
        <w:spacing w:after="160" w:line="360" w:lineRule="auto"/>
        <w:ind w:left="720"/>
        <w:contextualSpacing/>
        <w:jc w:val="both"/>
        <w:rPr>
          <w:rFonts w:ascii="David" w:eastAsia="Calibri" w:hAnsi="David"/>
        </w:rPr>
      </w:pPr>
    </w:p>
    <w:p w14:paraId="1D1E0834" w14:textId="77777777" w:rsidR="00261661" w:rsidRPr="006064A6" w:rsidRDefault="00261661" w:rsidP="00261661">
      <w:pPr>
        <w:numPr>
          <w:ilvl w:val="0"/>
          <w:numId w:val="1"/>
        </w:numPr>
        <w:spacing w:after="160" w:line="360" w:lineRule="auto"/>
        <w:contextualSpacing/>
        <w:jc w:val="both"/>
        <w:rPr>
          <w:rFonts w:ascii="David" w:eastAsia="Calibri" w:hAnsi="David"/>
          <w:b/>
          <w:bCs/>
          <w:u w:val="single"/>
        </w:rPr>
      </w:pPr>
      <w:r w:rsidRPr="006064A6">
        <w:rPr>
          <w:rFonts w:ascii="David" w:eastAsia="Calibri" w:hAnsi="David" w:hint="cs"/>
          <w:b/>
          <w:bCs/>
          <w:u w:val="single"/>
          <w:rtl/>
        </w:rPr>
        <w:t>הנסיבות הקשורות בביצוע העבירה</w:t>
      </w:r>
    </w:p>
    <w:p w14:paraId="242D6EE9"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 xml:space="preserve">הנסיבות הקשורות בביצוע העבירה מושא האישום הראשון מלמדות על חומרה הגלומה במעשהו של הנאשם, אך לא על חומרה בדרגה גבוהה כגון זו הגלומה באירועים שעניינם מתן שירותים משמעותיים יותר לארגוני טרור, לדוגמה - מכירת מוצרים לארגון טרור (השוו </w:t>
      </w:r>
      <w:r>
        <w:rPr>
          <w:rFonts w:ascii="David" w:eastAsia="Calibri" w:hAnsi="David"/>
          <w:rtl/>
        </w:rPr>
        <w:t>–</w:t>
      </w:r>
      <w:r>
        <w:rPr>
          <w:rFonts w:ascii="David" w:eastAsia="Calibri" w:hAnsi="David" w:hint="cs"/>
          <w:rtl/>
        </w:rPr>
        <w:t xml:space="preserve"> </w:t>
      </w:r>
      <w:hyperlink r:id="rId23" w:history="1">
        <w:r w:rsidR="00B3021F" w:rsidRPr="00B3021F">
          <w:rPr>
            <w:rFonts w:ascii="David" w:eastAsia="Calibri" w:hAnsi="David"/>
            <w:color w:val="0000FF"/>
            <w:u w:val="single"/>
            <w:rtl/>
          </w:rPr>
          <w:t>ע"פ 6434/15</w:t>
        </w:r>
      </w:hyperlink>
      <w:r w:rsidRPr="00016BA6">
        <w:rPr>
          <w:rFonts w:ascii="David" w:eastAsia="Calibri" w:hAnsi="David"/>
          <w:rtl/>
        </w:rPr>
        <w:t xml:space="preserve"> </w:t>
      </w:r>
      <w:r w:rsidRPr="00016BA6">
        <w:rPr>
          <w:rFonts w:ascii="David" w:eastAsia="Calibri" w:hAnsi="David"/>
          <w:b/>
          <w:bCs/>
          <w:rtl/>
        </w:rPr>
        <w:t>מדינת ישראל נ' עבד אל חכים שביר</w:t>
      </w:r>
      <w:r>
        <w:rPr>
          <w:rFonts w:ascii="David" w:eastAsia="Calibri" w:hAnsi="David" w:hint="cs"/>
          <w:rtl/>
        </w:rPr>
        <w:t xml:space="preserve"> (4.7.17)), או העברת מסרים בין אסירים של ארגון טרור או בינם לבין חברי ארגון הטרור שאינם אסורים (ראו - </w:t>
      </w:r>
      <w:hyperlink r:id="rId24" w:history="1">
        <w:r w:rsidR="00B3021F" w:rsidRPr="00B3021F">
          <w:rPr>
            <w:rFonts w:ascii="David" w:eastAsia="Calibri" w:hAnsi="David"/>
            <w:color w:val="0000FF"/>
            <w:u w:val="single"/>
            <w:rtl/>
          </w:rPr>
          <w:t>ע"פ 4143/17</w:t>
        </w:r>
      </w:hyperlink>
      <w:r>
        <w:rPr>
          <w:rFonts w:ascii="David" w:eastAsia="Calibri" w:hAnsi="David"/>
          <w:rtl/>
        </w:rPr>
        <w:t xml:space="preserve"> </w:t>
      </w:r>
      <w:r w:rsidRPr="00CC029F">
        <w:rPr>
          <w:rFonts w:ascii="David" w:eastAsia="Calibri" w:hAnsi="David"/>
          <w:b/>
          <w:bCs/>
          <w:rtl/>
        </w:rPr>
        <w:t>מחמד עאבד נ' מדינת ישראל</w:t>
      </w:r>
      <w:r>
        <w:rPr>
          <w:rFonts w:ascii="David" w:eastAsia="Calibri" w:hAnsi="David" w:hint="cs"/>
          <w:rtl/>
        </w:rPr>
        <w:t xml:space="preserve"> (13.8.18)). השירות שנתן הנאשם לארגוני הטרור האמורים הוא שירות של העברת דגלים ושלטים. אין לזלזל בפוטנציאל הנזק שעלול היה להיגרם אם השלטים והדגלים היו מגיעים ליעדם ומשמשים את תומכי הארגונים האמורים במועדים הרגישים של יום ייסוד החמאס ויום שחרורו של ראיד סלאח, ולראייה הטרחה שטרחו הארגונים האמורים בהכנת השלטים ובניסיון להעביר אותם מבעוד מועד לאתרים השונים במזרח ירושלים. רוב השלטים כללו תמונות של מפגעים שידיהם דמים מלאו. מן הסתם הם נועדו לעורר הזדהות עם מעשיהם של אלו, אם לא למעלה מכך, ומכאן פוטנציאל הנזק שלהם. ואולם, מבלי לגרוע מהאמור לעיל יש להביא בחשבון כי במקרה זה הנזק הפוטנציאלי לא התממש, כיוון שהנאשם נתפס עם הדגלים והשלטים בטרם הספיק להעביר אותם ליעדם. משקלו של שיקול זה מוגבל לנוכח העובדה שאילו הדבר היה תלוי בנאשם אזי העברת הדגלים והשלטים הייתה מבוצעת עד תום.</w:t>
      </w:r>
    </w:p>
    <w:p w14:paraId="7E04A713"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לעבירה שביצע הנאשם קדמו תכנון ותיאום מוקדמים, כאמור בסעיפים 2-1 לאישום הראשון.</w:t>
      </w:r>
    </w:p>
    <w:p w14:paraId="138A7A38" w14:textId="77777777" w:rsidR="00261661" w:rsidRDefault="00261661" w:rsidP="00261661">
      <w:pPr>
        <w:spacing w:after="160" w:line="360" w:lineRule="auto"/>
        <w:ind w:left="720"/>
        <w:contextualSpacing/>
        <w:jc w:val="both"/>
        <w:rPr>
          <w:rFonts w:ascii="David" w:eastAsia="Calibri" w:hAnsi="David"/>
        </w:rPr>
      </w:pPr>
      <w:r>
        <w:rPr>
          <w:rFonts w:ascii="David" w:eastAsia="Calibri" w:hAnsi="David" w:hint="cs"/>
          <w:rtl/>
        </w:rPr>
        <w:t>הסיבה שהביאה את הנאשם לבצע את העבירה מושא האישום הראשון לא פורטה בכתב האישום, ברם נכתב בסעיף 1 לאישום הראשון, כי הנאשם החליט להעביר את הדגלים והשלטים "לבקשת נציג חמאס". מכאן, ומעצם טיבה של העבירה, ניתן להסיק כי הנאשם ביצע את העבירה מתוך רצון חופשי להעניק שירות לארגון טרור, ולא מתוך לחץ, או מצוקה כלשהם, או בשל חולשת דעת רגעית.</w:t>
      </w:r>
    </w:p>
    <w:p w14:paraId="427F62A0" w14:textId="77777777" w:rsidR="00261661" w:rsidRDefault="00261661" w:rsidP="00261661">
      <w:pPr>
        <w:spacing w:after="160" w:line="360" w:lineRule="auto"/>
        <w:ind w:left="720"/>
        <w:contextualSpacing/>
        <w:jc w:val="both"/>
        <w:rPr>
          <w:rFonts w:ascii="David" w:eastAsia="Calibri" w:hAnsi="David"/>
        </w:rPr>
      </w:pPr>
    </w:p>
    <w:p w14:paraId="2BF77B61" w14:textId="77777777" w:rsidR="00261661" w:rsidRDefault="00261661" w:rsidP="00261661">
      <w:pPr>
        <w:numPr>
          <w:ilvl w:val="0"/>
          <w:numId w:val="1"/>
        </w:numPr>
        <w:spacing w:after="160" w:line="360" w:lineRule="auto"/>
        <w:contextualSpacing/>
        <w:jc w:val="both"/>
        <w:rPr>
          <w:rFonts w:ascii="David" w:eastAsia="Calibri" w:hAnsi="David"/>
        </w:rPr>
      </w:pPr>
      <w:r w:rsidRPr="00EB289F">
        <w:rPr>
          <w:rFonts w:ascii="David" w:eastAsia="Calibri" w:hAnsi="David" w:hint="cs"/>
          <w:rtl/>
        </w:rPr>
        <w:t>הנסיבות הקשורות בביצוע העבירות מושא האישום השני מלמדות על חומרה ניכרת, זאת מכמה וכמה בחינות.</w:t>
      </w:r>
    </w:p>
    <w:p w14:paraId="5044F741" w14:textId="77777777" w:rsidR="00261661" w:rsidRDefault="00261661" w:rsidP="00261661">
      <w:pPr>
        <w:spacing w:after="160" w:line="360" w:lineRule="auto"/>
        <w:ind w:left="720"/>
        <w:contextualSpacing/>
        <w:jc w:val="both"/>
        <w:rPr>
          <w:rFonts w:ascii="David" w:eastAsia="Calibri" w:hAnsi="David"/>
          <w:rtl/>
        </w:rPr>
      </w:pPr>
      <w:r w:rsidRPr="00EB289F">
        <w:rPr>
          <w:rFonts w:ascii="David" w:eastAsia="Calibri" w:hAnsi="David" w:hint="cs"/>
          <w:rtl/>
        </w:rPr>
        <w:t>לא מדובר בעבירות שבוצעו באופן ספונטאני</w:t>
      </w:r>
      <w:r>
        <w:rPr>
          <w:rFonts w:ascii="David" w:eastAsia="Calibri" w:hAnsi="David" w:hint="cs"/>
          <w:rtl/>
        </w:rPr>
        <w:t>,</w:t>
      </w:r>
      <w:r w:rsidRPr="00EB289F">
        <w:rPr>
          <w:rFonts w:ascii="David" w:eastAsia="Calibri" w:hAnsi="David" w:hint="cs"/>
          <w:rtl/>
        </w:rPr>
        <w:t xml:space="preserve"> אלא קדמה להן החלטה מודעת של הנאשם להחזיק בכלי הנשק. מדובר בהחזקה ובנשיאה של </w:t>
      </w:r>
      <w:r w:rsidRPr="00C76F1D">
        <w:rPr>
          <w:rFonts w:ascii="David" w:eastAsia="Calibri" w:hAnsi="David" w:hint="cs"/>
          <w:b/>
          <w:bCs/>
          <w:rtl/>
        </w:rPr>
        <w:t>שני</w:t>
      </w:r>
      <w:r w:rsidRPr="00EB289F">
        <w:rPr>
          <w:rFonts w:ascii="David" w:eastAsia="Calibri" w:hAnsi="David" w:hint="cs"/>
          <w:rtl/>
        </w:rPr>
        <w:t xml:space="preserve"> כלי נשק אשר הגיעו לידי הנאשם </w:t>
      </w:r>
      <w:r w:rsidRPr="00C76F1D">
        <w:rPr>
          <w:rFonts w:ascii="David" w:eastAsia="Calibri" w:hAnsi="David" w:hint="cs"/>
          <w:b/>
          <w:bCs/>
          <w:rtl/>
        </w:rPr>
        <w:t xml:space="preserve">בשתי </w:t>
      </w:r>
      <w:r w:rsidRPr="00EB289F">
        <w:rPr>
          <w:rFonts w:ascii="David" w:eastAsia="Calibri" w:hAnsi="David" w:hint="cs"/>
          <w:rtl/>
        </w:rPr>
        <w:t xml:space="preserve">הזדמנויות שונות. מדובר בכלי נשק </w:t>
      </w:r>
      <w:r>
        <w:rPr>
          <w:rFonts w:ascii="David" w:eastAsia="Calibri" w:hAnsi="David" w:hint="cs"/>
          <w:rtl/>
        </w:rPr>
        <w:t xml:space="preserve">"התקפי" </w:t>
      </w:r>
      <w:r w:rsidRPr="00EB289F">
        <w:rPr>
          <w:rFonts w:ascii="David" w:eastAsia="Calibri" w:hAnsi="David" w:hint="cs"/>
          <w:rtl/>
        </w:rPr>
        <w:t>מסוג קרלו ולא באקדחים.</w:t>
      </w:r>
      <w:r>
        <w:rPr>
          <w:rFonts w:ascii="David" w:eastAsia="Calibri" w:hAnsi="David" w:hint="cs"/>
          <w:rtl/>
        </w:rPr>
        <w:t xml:space="preserve"> הנאשם החזיק את שני הנשקים במשך תקופה לא קצרה.</w:t>
      </w:r>
    </w:p>
    <w:p w14:paraId="00CE493E" w14:textId="77777777" w:rsidR="00261661" w:rsidRDefault="00261661" w:rsidP="00261661">
      <w:pPr>
        <w:spacing w:after="160" w:line="360" w:lineRule="auto"/>
        <w:ind w:left="720"/>
        <w:contextualSpacing/>
        <w:jc w:val="both"/>
        <w:rPr>
          <w:rFonts w:ascii="David" w:eastAsia="Calibri" w:hAnsi="David"/>
          <w:rtl/>
        </w:rPr>
      </w:pPr>
      <w:r w:rsidRPr="00EB289F">
        <w:rPr>
          <w:rFonts w:ascii="David" w:eastAsia="Calibri" w:hAnsi="David" w:hint="cs"/>
          <w:rtl/>
        </w:rPr>
        <w:t xml:space="preserve">יש להביא בחשבון, לקולה, את העובדה שמדובר בשני כלי נשק מאולתרים. ואולם, לנוכח אופי כלי הנשק בהם מדובר, ולנוכח יתר נסיבות העניין, לנסיבה זו לא יינתן משקל מכריע. הנאשם נטל לידיו את הקרלו השני למרות שידע כי </w:t>
      </w:r>
      <w:r>
        <w:rPr>
          <w:rFonts w:ascii="David" w:eastAsia="Calibri" w:hAnsi="David" w:hint="cs"/>
          <w:rtl/>
        </w:rPr>
        <w:t xml:space="preserve">בוצע </w:t>
      </w:r>
      <w:r w:rsidRPr="00EB289F">
        <w:rPr>
          <w:rFonts w:ascii="David" w:eastAsia="Calibri" w:hAnsi="David" w:hint="cs"/>
          <w:rtl/>
        </w:rPr>
        <w:t>באמצעותו פיגוע ירי נגד כוחות הביטחון.</w:t>
      </w:r>
    </w:p>
    <w:p w14:paraId="04DC6DB9" w14:textId="77777777" w:rsidR="00261661" w:rsidRPr="00EB289F" w:rsidRDefault="00261661" w:rsidP="00261661">
      <w:pPr>
        <w:spacing w:after="160" w:line="360" w:lineRule="auto"/>
        <w:ind w:left="720"/>
        <w:contextualSpacing/>
        <w:jc w:val="both"/>
        <w:rPr>
          <w:rFonts w:ascii="David" w:eastAsia="Calibri" w:hAnsi="David"/>
        </w:rPr>
      </w:pPr>
      <w:r w:rsidRPr="00EB289F">
        <w:rPr>
          <w:rFonts w:ascii="David" w:eastAsia="Calibri" w:hAnsi="David" w:hint="cs"/>
          <w:rtl/>
        </w:rPr>
        <w:t>על הנזק הפוטנציאלי הגלום בעבירות הנשק עמד בית המשפט לא פעם</w:t>
      </w:r>
      <w:r>
        <w:rPr>
          <w:rFonts w:ascii="David" w:eastAsia="Calibri" w:hAnsi="David" w:hint="cs"/>
          <w:rtl/>
        </w:rPr>
        <w:t>, ושוב עמד לאחרונה בציינו כי:</w:t>
      </w:r>
      <w:r w:rsidRPr="00EB289F">
        <w:rPr>
          <w:rFonts w:ascii="David" w:eastAsia="Calibri" w:hAnsi="David" w:hint="cs"/>
          <w:rtl/>
        </w:rPr>
        <w:t xml:space="preserve"> </w:t>
      </w:r>
      <w:r w:rsidRPr="00EB289F">
        <w:rPr>
          <w:rFonts w:ascii="David" w:eastAsia="Calibri" w:hAnsi="David" w:hint="cs"/>
          <w:b/>
          <w:bCs/>
          <w:rtl/>
        </w:rPr>
        <w:t>"</w:t>
      </w:r>
      <w:r w:rsidRPr="00EB289F">
        <w:rPr>
          <w:rFonts w:ascii="David" w:eastAsia="Calibri" w:hAnsi="David"/>
          <w:b/>
          <w:bCs/>
          <w:rtl/>
        </w:rPr>
        <w:t>אל לנו להתעלם מהמציאות הקשה שבה נשק קטלני ורב עוצמה זמין בתפוצה רחבה, על הסיכון הרב לחיי אדם חפים מפשע ולפעילות עבריינית שהדבר נושא עמו</w:t>
      </w:r>
      <w:r w:rsidRPr="00EB289F">
        <w:rPr>
          <w:rFonts w:ascii="David" w:eastAsia="Calibri" w:hAnsi="David" w:hint="cs"/>
          <w:b/>
          <w:bCs/>
          <w:rtl/>
        </w:rPr>
        <w:t>"</w:t>
      </w:r>
      <w:r w:rsidRPr="00EB289F">
        <w:rPr>
          <w:rFonts w:ascii="David" w:eastAsia="Calibri" w:hAnsi="David" w:hint="cs"/>
          <w:rtl/>
        </w:rPr>
        <w:t xml:space="preserve"> ( </w:t>
      </w:r>
      <w:hyperlink r:id="rId25" w:history="1">
        <w:r w:rsidR="00B3021F" w:rsidRPr="00B3021F">
          <w:rPr>
            <w:rFonts w:ascii="David" w:eastAsia="Calibri" w:hAnsi="David"/>
            <w:color w:val="0000FF"/>
            <w:u w:val="single"/>
            <w:rtl/>
          </w:rPr>
          <w:t>ע"פ 6235/22</w:t>
        </w:r>
      </w:hyperlink>
      <w:r w:rsidRPr="00EB289F">
        <w:rPr>
          <w:rFonts w:ascii="David" w:eastAsia="Calibri" w:hAnsi="David" w:hint="cs"/>
          <w:rtl/>
        </w:rPr>
        <w:t xml:space="preserve"> </w:t>
      </w:r>
      <w:r w:rsidRPr="00EB289F">
        <w:rPr>
          <w:rFonts w:ascii="David" w:eastAsia="Calibri" w:hAnsi="David"/>
          <w:b/>
          <w:bCs/>
          <w:rtl/>
        </w:rPr>
        <w:t>מדינת ישראל נ' מחמד חסארמה</w:t>
      </w:r>
      <w:r w:rsidRPr="00EB289F">
        <w:rPr>
          <w:rFonts w:ascii="David" w:eastAsia="Calibri" w:hAnsi="David" w:hint="cs"/>
          <w:rtl/>
        </w:rPr>
        <w:t xml:space="preserve"> (21.6.23)). </w:t>
      </w:r>
      <w:r>
        <w:rPr>
          <w:rFonts w:ascii="David" w:eastAsia="Calibri" w:hAnsi="David" w:hint="cs"/>
          <w:rtl/>
        </w:rPr>
        <w:t xml:space="preserve">במישור הנזק שעלול היה להיגרם כתוצאה ממעשיו של הנאשם, ובמישור הנזק שנגרם בפועל, יש להביא בחשבון כי הנאשם לא עשה שימוש בכלי הנשק, אם כי הוא העבירם לגורם שלישי שעליו לא הייתה לו שליטה מלאה. לזכות הנאשם יש לזקוף את העובדה שכלי הנשק הוסגרו על ידי הנאשם לידי המשטרה. </w:t>
      </w:r>
    </w:p>
    <w:p w14:paraId="176A0D68"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 xml:space="preserve">הנאשם נטל את הקרלו השני לידיו בשעה שזה היה תקול. כאן המקום לעמוד על טענות הנאשם בנוגע לסיבה שהביאה אותו ליטול לידיו את הקרלו השני. הנאשם טען כי נטל לידיו את הקרלו כדי למנוע מקוסאי לבצע באמצעותו פיגוע נוסף. טענה זו לא נתמכת בעובדות כתב האישום, ולכן לא ניתן לקבלה. עם זאת ראוי לציין, כי בכתב האישום לא נכתב במפורש שהנאשם נטל את הקרלו השני מקוסאי במטרה לתקנו ולהחזירו אליו. הנה כך, בסעיף 3 לאישום השני נכתב כי גמלה בליבו של קוסאי ההחלטה לתקן את הקרלו, ובסעיף 4 לאישום השני נכתב כי הנאשם </w:t>
      </w:r>
      <w:r w:rsidRPr="00D249B2">
        <w:rPr>
          <w:rFonts w:ascii="David" w:eastAsia="Calibri" w:hAnsi="David" w:hint="cs"/>
          <w:b/>
          <w:bCs/>
          <w:rtl/>
        </w:rPr>
        <w:t>"הסכים ולקח מקוסאי את הקרלו השני..."</w:t>
      </w:r>
      <w:r>
        <w:rPr>
          <w:rFonts w:ascii="David" w:eastAsia="Calibri" w:hAnsi="David" w:hint="cs"/>
          <w:rtl/>
        </w:rPr>
        <w:t xml:space="preserve">. לא נכתב בסעיף 4 לאישום השני כי הנאשם נטל את הנשק כדי לפעול לתיקונו, ובהמשך סעיפי האישום השני לא נכתב כי הנאשם נקט פעולה ממשית כדי לתקן את הקרלו. אכן, בסעיף 5 לאישום השני נכתב כי הנאשם העביר את הקרלו השני לאדם בשם מ.מ., אך לא נכתב כי הוא העביר אותו לידיו לצורך תיקונו. זאת ועוד, בסעיף 5 לכתב האישום נכתב כי הנאשם העביר את </w:t>
      </w:r>
      <w:r w:rsidRPr="00B527C9">
        <w:rPr>
          <w:rFonts w:ascii="David" w:eastAsia="Calibri" w:hAnsi="David" w:hint="cs"/>
          <w:b/>
          <w:bCs/>
          <w:rtl/>
        </w:rPr>
        <w:t>שני</w:t>
      </w:r>
      <w:r>
        <w:rPr>
          <w:rFonts w:ascii="David" w:eastAsia="Calibri" w:hAnsi="David" w:hint="cs"/>
          <w:rtl/>
        </w:rPr>
        <w:t xml:space="preserve"> כלי הנשק שהיו ברשותו לאותו מ.מ., ובמצב דברים זה נשאלת השאלה מדוע הנאשם העביר אל מ.מ. גם את הקרלו הראשון שהיה תקין. בהעדר הבהרה בעניין זה בכתב האישום לא ניתן לקבוע כי העברת הנשקים לאותו מ.מ. נעשתה במטרה להשמיש את הקרלו השני. יוצא אם כן, כי הגם שלא ניתן לקבל את טענת הנאשם לפיה הוא נטל את הקרלו השני לידיו רק כדי למנוע מקוסאי לבצע באמצעותו עוד פיגוע, הרי שיש לקבל את טענתו לפיה הוא לא פעל באופן אקטיבי לתיקון הנשק עד שהסגיר אותו לידי המשטרה.</w:t>
      </w:r>
    </w:p>
    <w:p w14:paraId="5A90FA6C" w14:textId="77777777" w:rsidR="00261661" w:rsidRDefault="00261661" w:rsidP="00261661">
      <w:pPr>
        <w:spacing w:after="160" w:line="360" w:lineRule="auto"/>
        <w:ind w:left="720"/>
        <w:contextualSpacing/>
        <w:jc w:val="both"/>
        <w:rPr>
          <w:rFonts w:ascii="David" w:eastAsia="Calibri" w:hAnsi="David"/>
        </w:rPr>
      </w:pPr>
      <w:r>
        <w:rPr>
          <w:rFonts w:ascii="David" w:eastAsia="Calibri" w:hAnsi="David" w:hint="cs"/>
          <w:rtl/>
        </w:rPr>
        <w:t xml:space="preserve"> </w:t>
      </w:r>
    </w:p>
    <w:p w14:paraId="06E3DF2E" w14:textId="77777777" w:rsidR="00261661" w:rsidRPr="001C1790" w:rsidRDefault="00261661" w:rsidP="00261661">
      <w:pPr>
        <w:numPr>
          <w:ilvl w:val="0"/>
          <w:numId w:val="1"/>
        </w:numPr>
        <w:spacing w:after="160" w:line="360" w:lineRule="auto"/>
        <w:contextualSpacing/>
        <w:jc w:val="both"/>
        <w:rPr>
          <w:rFonts w:ascii="David" w:eastAsia="Calibri" w:hAnsi="David"/>
          <w:b/>
          <w:bCs/>
          <w:u w:val="single"/>
        </w:rPr>
      </w:pPr>
      <w:r w:rsidRPr="001C1790">
        <w:rPr>
          <w:rFonts w:ascii="David" w:eastAsia="Calibri" w:hAnsi="David" w:hint="cs"/>
          <w:b/>
          <w:bCs/>
          <w:u w:val="single"/>
          <w:rtl/>
        </w:rPr>
        <w:t>הענישה הנוהגת</w:t>
      </w:r>
    </w:p>
    <w:p w14:paraId="6EF59A83" w14:textId="77777777" w:rsidR="00261661" w:rsidRDefault="00261661" w:rsidP="00261661">
      <w:pPr>
        <w:spacing w:after="160" w:line="360" w:lineRule="auto"/>
        <w:ind w:left="720"/>
        <w:contextualSpacing/>
        <w:jc w:val="both"/>
        <w:rPr>
          <w:rFonts w:ascii="David" w:eastAsia="Calibri" w:hAnsi="David"/>
        </w:rPr>
      </w:pPr>
      <w:r>
        <w:rPr>
          <w:rFonts w:ascii="David" w:eastAsia="Calibri" w:hAnsi="David" w:hint="cs"/>
          <w:rtl/>
        </w:rPr>
        <w:t>הענישה הנוהגת בעבירות נשק מחמירה, כיאה לחומרה הגלומה בעבירות הנשק, וכמתחייב מכך שהן הפכו להיות "מכת מדינה":</w:t>
      </w:r>
    </w:p>
    <w:p w14:paraId="5F357346" w14:textId="77777777" w:rsidR="00261661" w:rsidRDefault="00261661" w:rsidP="00261661">
      <w:pPr>
        <w:spacing w:after="160" w:line="360" w:lineRule="auto"/>
        <w:contextualSpacing/>
        <w:jc w:val="both"/>
        <w:rPr>
          <w:rFonts w:ascii="David" w:eastAsia="Calibri" w:hAnsi="David"/>
          <w:rtl/>
        </w:rPr>
      </w:pPr>
    </w:p>
    <w:p w14:paraId="20941C9F" w14:textId="77777777" w:rsidR="00261661" w:rsidRPr="00E43BFD" w:rsidRDefault="00261661" w:rsidP="00261661">
      <w:pPr>
        <w:spacing w:after="160" w:line="360" w:lineRule="auto"/>
        <w:ind w:left="1417" w:right="851"/>
        <w:contextualSpacing/>
        <w:jc w:val="both"/>
        <w:rPr>
          <w:rFonts w:ascii="David" w:eastAsia="Calibri" w:hAnsi="David"/>
          <w:b/>
          <w:bCs/>
          <w:rtl/>
        </w:rPr>
      </w:pPr>
      <w:r w:rsidRPr="00E43BFD">
        <w:rPr>
          <w:rFonts w:ascii="David" w:eastAsia="Calibri" w:hAnsi="David" w:hint="cs"/>
          <w:b/>
          <w:bCs/>
          <w:rtl/>
        </w:rPr>
        <w:t>"</w:t>
      </w:r>
      <w:r w:rsidRPr="00E43BFD">
        <w:rPr>
          <w:rFonts w:ascii="David" w:eastAsia="Calibri" w:hAnsi="David"/>
          <w:b/>
          <w:bCs/>
          <w:rtl/>
        </w:rPr>
        <w:t>על חומרתן הרבה של עבירות הנשק עמד בית משפט זה פעם אחר פעם. עבירות אלו הפכו זה מכבר ל"מכת מדינה" בחברה הישראלית</w:t>
      </w:r>
      <w:r w:rsidRPr="00E43BFD">
        <w:rPr>
          <w:rFonts w:ascii="David" w:eastAsia="Calibri" w:hAnsi="David" w:hint="cs"/>
          <w:b/>
          <w:bCs/>
          <w:rtl/>
        </w:rPr>
        <w:t>...</w:t>
      </w:r>
      <w:r w:rsidRPr="00E43BFD">
        <w:rPr>
          <w:rFonts w:ascii="David" w:eastAsia="Calibri" w:hAnsi="David"/>
          <w:b/>
          <w:bCs/>
          <w:rtl/>
        </w:rPr>
        <w:t xml:space="preserve"> הן מסכנות את שלום הציבור, גם בהיותן "קרקע פורייה" לביצוע עבירות אחרות – החל מעבירות איומים וכלה בעבירות המתה, ובשל יכולתן לגרום לפגיעות בגוף ובנפש</w:t>
      </w:r>
      <w:r w:rsidRPr="00E43BFD">
        <w:rPr>
          <w:rFonts w:ascii="David" w:eastAsia="Calibri" w:hAnsi="David" w:hint="cs"/>
          <w:b/>
          <w:bCs/>
          <w:rtl/>
        </w:rPr>
        <w:t>...</w:t>
      </w:r>
    </w:p>
    <w:p w14:paraId="6D1AD195" w14:textId="77777777" w:rsidR="00261661" w:rsidRPr="00E43BFD" w:rsidRDefault="00261661" w:rsidP="00261661">
      <w:pPr>
        <w:spacing w:after="160" w:line="360" w:lineRule="auto"/>
        <w:ind w:left="1417" w:right="851"/>
        <w:contextualSpacing/>
        <w:jc w:val="both"/>
        <w:rPr>
          <w:rFonts w:ascii="David" w:eastAsia="Calibri" w:hAnsi="David"/>
          <w:b/>
          <w:bCs/>
          <w:rtl/>
        </w:rPr>
      </w:pPr>
      <w:r w:rsidRPr="00E43BFD">
        <w:rPr>
          <w:rFonts w:ascii="David" w:eastAsia="Calibri" w:hAnsi="David"/>
          <w:b/>
          <w:bCs/>
          <w:rtl/>
        </w:rPr>
        <w:tab/>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w:t>
      </w:r>
      <w:r w:rsidRPr="00E43BFD">
        <w:rPr>
          <w:rFonts w:ascii="David" w:eastAsia="Calibri" w:hAnsi="David" w:hint="cs"/>
          <w:b/>
          <w:bCs/>
          <w:rtl/>
        </w:rPr>
        <w:t>....</w:t>
      </w:r>
      <w:r w:rsidRPr="00E43BFD">
        <w:rPr>
          <w:rFonts w:ascii="David" w:eastAsia="Calibri" w:hAnsi="David"/>
          <w:b/>
          <w:bCs/>
          <w:rtl/>
        </w:rPr>
        <w:t xml:space="preserve"> כן נקבע, כי עונש מאסר בפועל לתקופה של 3 שנים בגין עבירות הקשורות לנשק התקפי הוא ברף הנמוך של הענישה הראויה</w:t>
      </w:r>
      <w:r w:rsidRPr="00E43BFD">
        <w:rPr>
          <w:rFonts w:ascii="David" w:eastAsia="Calibri" w:hAnsi="David" w:hint="cs"/>
          <w:b/>
          <w:bCs/>
          <w:rtl/>
        </w:rPr>
        <w:t>....</w:t>
      </w:r>
      <w:r w:rsidRPr="00E43BFD">
        <w:rPr>
          <w:rFonts w:ascii="David" w:eastAsia="Calibri" w:hAnsi="David"/>
          <w:b/>
          <w:bCs/>
          <w:rtl/>
        </w:rPr>
        <w:t xml:space="preserve"> וכפי שקבעתי בעבר, המסר העונשי הנגזר ממדיניות הענישה האמורה הוא כי "שומר נפשו ושלומו – ירחק מעבירות הנשק באשר הן, קלות כחמורות" (</w:t>
      </w:r>
      <w:hyperlink r:id="rId26" w:history="1">
        <w:r w:rsidR="00B3021F" w:rsidRPr="00B3021F">
          <w:rPr>
            <w:rFonts w:ascii="David" w:eastAsia="Calibri" w:hAnsi="David"/>
            <w:b/>
            <w:bCs/>
            <w:color w:val="0000FF"/>
            <w:u w:val="single"/>
            <w:rtl/>
          </w:rPr>
          <w:t>ע"פ 78/21</w:t>
        </w:r>
      </w:hyperlink>
      <w:r w:rsidRPr="00E43BFD">
        <w:rPr>
          <w:rFonts w:ascii="David" w:eastAsia="Calibri" w:hAnsi="David"/>
          <w:b/>
          <w:bCs/>
          <w:rtl/>
        </w:rPr>
        <w:t xml:space="preserve"> פלוני נ' מדינת ישראל</w:t>
      </w:r>
      <w:r>
        <w:rPr>
          <w:rFonts w:ascii="David" w:eastAsia="Calibri" w:hAnsi="David"/>
          <w:b/>
          <w:bCs/>
          <w:rtl/>
        </w:rPr>
        <w:t>, פסקה 10</w:t>
      </w:r>
      <w:r w:rsidRPr="00E43BFD">
        <w:rPr>
          <w:rFonts w:ascii="David" w:eastAsia="Calibri" w:hAnsi="David"/>
          <w:b/>
          <w:bCs/>
          <w:rtl/>
        </w:rPr>
        <w:t xml:space="preserve"> (26.7.2022)).</w:t>
      </w:r>
    </w:p>
    <w:p w14:paraId="38E72875" w14:textId="77777777" w:rsidR="00261661" w:rsidRDefault="00261661" w:rsidP="00261661">
      <w:pPr>
        <w:spacing w:after="160" w:line="360" w:lineRule="auto"/>
        <w:ind w:left="1417" w:right="851"/>
        <w:contextualSpacing/>
        <w:jc w:val="both"/>
        <w:rPr>
          <w:rFonts w:ascii="David" w:eastAsia="Calibri" w:hAnsi="David"/>
          <w:rtl/>
        </w:rPr>
      </w:pPr>
      <w:r w:rsidRPr="00E43BFD">
        <w:rPr>
          <w:rFonts w:ascii="David" w:eastAsia="Calibri" w:hAnsi="David"/>
          <w:b/>
          <w:bCs/>
          <w:rtl/>
        </w:rPr>
        <w:tab/>
        <w:t>זאת ועוד, מדיניות הענישה המחמירה חלה על "כל חולי</w:t>
      </w:r>
      <w:r>
        <w:rPr>
          <w:rFonts w:ascii="David" w:eastAsia="Calibri" w:hAnsi="David" w:hint="cs"/>
          <w:b/>
          <w:bCs/>
          <w:rtl/>
        </w:rPr>
        <w:t>ו</w:t>
      </w:r>
      <w:r w:rsidRPr="00E43BFD">
        <w:rPr>
          <w:rFonts w:ascii="David" w:eastAsia="Calibri" w:hAnsi="David"/>
          <w:b/>
          <w:bCs/>
          <w:rtl/>
        </w:rPr>
        <w:t>ת השרשרת העבריינית" בעבירות הנשק, החל ממי שסוחר בנשק לא חוקי או רכיביו, ועד למי שנוטל אותו לידו ועושה בו שימוש לא חוקי</w:t>
      </w:r>
      <w:r w:rsidRPr="00E43BFD">
        <w:rPr>
          <w:rFonts w:ascii="David" w:eastAsia="Calibri" w:hAnsi="David" w:hint="cs"/>
          <w:b/>
          <w:bCs/>
          <w:rtl/>
        </w:rPr>
        <w:t>....."</w:t>
      </w:r>
      <w:r>
        <w:rPr>
          <w:rFonts w:ascii="David" w:eastAsia="Calibri" w:hAnsi="David" w:hint="cs"/>
          <w:rtl/>
        </w:rPr>
        <w:t>.</w:t>
      </w:r>
    </w:p>
    <w:p w14:paraId="1707D691" w14:textId="77777777" w:rsidR="00261661" w:rsidRDefault="00261661" w:rsidP="00261661">
      <w:pPr>
        <w:spacing w:after="160" w:line="360" w:lineRule="auto"/>
        <w:ind w:left="1417" w:right="851"/>
        <w:contextualSpacing/>
        <w:jc w:val="both"/>
        <w:rPr>
          <w:rFonts w:ascii="David" w:eastAsia="Calibri" w:hAnsi="David"/>
          <w:rtl/>
        </w:rPr>
      </w:pPr>
      <w:r>
        <w:rPr>
          <w:rFonts w:ascii="David" w:eastAsia="Calibri" w:hAnsi="David" w:hint="cs"/>
          <w:rtl/>
        </w:rPr>
        <w:t>(</w:t>
      </w:r>
      <w:hyperlink r:id="rId27" w:history="1">
        <w:r w:rsidR="00B3021F" w:rsidRPr="00B3021F">
          <w:rPr>
            <w:rFonts w:ascii="David" w:eastAsia="Calibri" w:hAnsi="David"/>
            <w:color w:val="0000FF"/>
            <w:u w:val="single"/>
            <w:rtl/>
          </w:rPr>
          <w:t>ע"פ 2165/23</w:t>
        </w:r>
      </w:hyperlink>
      <w:r>
        <w:rPr>
          <w:rFonts w:ascii="David" w:eastAsia="Calibri" w:hAnsi="David"/>
          <w:rtl/>
        </w:rPr>
        <w:t xml:space="preserve"> </w:t>
      </w:r>
      <w:r w:rsidRPr="00E43BFD">
        <w:rPr>
          <w:rFonts w:ascii="David" w:eastAsia="Calibri" w:hAnsi="David"/>
          <w:b/>
          <w:bCs/>
          <w:rtl/>
        </w:rPr>
        <w:t>מדינת ישראל נ' פלאח בלאל</w:t>
      </w:r>
      <w:r>
        <w:rPr>
          <w:rFonts w:ascii="David" w:eastAsia="Calibri" w:hAnsi="David" w:hint="cs"/>
          <w:rtl/>
        </w:rPr>
        <w:t xml:space="preserve"> (4.5.23)).</w:t>
      </w:r>
      <w:r w:rsidRPr="00E43BFD">
        <w:rPr>
          <w:rFonts w:ascii="David" w:eastAsia="Calibri" w:hAnsi="David"/>
          <w:rtl/>
        </w:rPr>
        <w:t xml:space="preserve"> </w:t>
      </w:r>
    </w:p>
    <w:p w14:paraId="22BF25C9" w14:textId="77777777" w:rsidR="00261661" w:rsidRDefault="00261661" w:rsidP="00261661">
      <w:pPr>
        <w:spacing w:after="160" w:line="360" w:lineRule="auto"/>
        <w:ind w:left="1417" w:right="851"/>
        <w:contextualSpacing/>
        <w:jc w:val="both"/>
        <w:rPr>
          <w:rFonts w:ascii="David" w:eastAsia="Calibri" w:hAnsi="David"/>
          <w:rtl/>
        </w:rPr>
      </w:pPr>
    </w:p>
    <w:p w14:paraId="1A1950D6"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ויודגש, הענישה הנוהגת מחמירה גם בעבירות של נשיאת נשק (</w:t>
      </w:r>
      <w:hyperlink r:id="rId28" w:history="1">
        <w:r w:rsidR="00B3021F" w:rsidRPr="00B3021F">
          <w:rPr>
            <w:rFonts w:ascii="David" w:eastAsia="Calibri" w:hAnsi="David"/>
            <w:color w:val="0000FF"/>
            <w:u w:val="single"/>
            <w:rtl/>
          </w:rPr>
          <w:t>ע"פ 5602/22</w:t>
        </w:r>
      </w:hyperlink>
      <w:r>
        <w:rPr>
          <w:rFonts w:ascii="David" w:eastAsia="Calibri" w:hAnsi="David" w:hint="cs"/>
          <w:rtl/>
        </w:rPr>
        <w:t xml:space="preserve"> </w:t>
      </w:r>
      <w:r w:rsidRPr="009717B8">
        <w:rPr>
          <w:rFonts w:ascii="David" w:eastAsia="Calibri" w:hAnsi="David" w:hint="cs"/>
          <w:b/>
          <w:bCs/>
          <w:rtl/>
        </w:rPr>
        <w:t>מדינת ישראל נ' פלוני</w:t>
      </w:r>
      <w:r>
        <w:rPr>
          <w:rFonts w:ascii="David" w:eastAsia="Calibri" w:hAnsi="David" w:hint="cs"/>
          <w:rtl/>
        </w:rPr>
        <w:t xml:space="preserve"> (14.9.22)).  הענישה המחמירה מתחייבת מהוראות תיקון 140 ל</w:t>
      </w:r>
      <w:hyperlink r:id="rId29" w:history="1">
        <w:r w:rsidR="00B3021F" w:rsidRPr="00B3021F">
          <w:rPr>
            <w:rFonts w:ascii="David" w:eastAsia="Calibri" w:hAnsi="David"/>
            <w:color w:val="0000FF"/>
            <w:u w:val="single"/>
            <w:rtl/>
          </w:rPr>
          <w:t>חוק העונשין</w:t>
        </w:r>
      </w:hyperlink>
      <w:r>
        <w:rPr>
          <w:rFonts w:ascii="David" w:eastAsia="Calibri" w:hAnsi="David" w:hint="cs"/>
          <w:rtl/>
        </w:rPr>
        <w:t>, בגדרן נקבעו עונשי מינימום של 21 חודשי מאסר בגין עבירה של החזקת נשק, 30 חודשי מאסר בגין עבירה של נשיאת נשק, ו-45 חודשי מאסר בגין עבירה של עסקה אחרת בנשק. במסגרת פסקי הדין המתווים את מדיניות הענישה הנוהגת גם נקבע כי בעבירות נשק לנסיבות האישיות של הנאשם ולהודאתו יש משקל מוגבל בהשוואה לשיקולי ההרתעה וההגנה על שלום הציבור (</w:t>
      </w:r>
      <w:hyperlink r:id="rId30" w:history="1">
        <w:r w:rsidR="00B3021F" w:rsidRPr="00B3021F">
          <w:rPr>
            <w:rFonts w:ascii="David" w:eastAsia="Calibri" w:hAnsi="David"/>
            <w:color w:val="0000FF"/>
            <w:u w:val="single"/>
            <w:rtl/>
          </w:rPr>
          <w:t>ע"פ 6235/22</w:t>
        </w:r>
      </w:hyperlink>
      <w:r w:rsidRPr="00A558DC">
        <w:rPr>
          <w:rFonts w:ascii="David" w:eastAsia="Calibri" w:hAnsi="David"/>
          <w:rtl/>
        </w:rPr>
        <w:t xml:space="preserve"> </w:t>
      </w:r>
      <w:r w:rsidRPr="00A558DC">
        <w:rPr>
          <w:rFonts w:ascii="David" w:eastAsia="Calibri" w:hAnsi="David"/>
          <w:b/>
          <w:bCs/>
          <w:rtl/>
        </w:rPr>
        <w:t>מדינת ישראל נ' מחמד חסארמה</w:t>
      </w:r>
      <w:r>
        <w:rPr>
          <w:rFonts w:ascii="David" w:eastAsia="Calibri" w:hAnsi="David" w:hint="cs"/>
          <w:rtl/>
        </w:rPr>
        <w:t xml:space="preserve"> (21.6.23)). עם זאת, גזירת העונש נעשית תמיד, ובכלל זה בעבירות נשק, תוך התחשבות בנסיבות הקונקרטיות של כל מקרה ומקרה,  ותוך התאמת העונש לנסיבותיו אינדיבידואליות של  כל נאשם ונאשם (</w:t>
      </w:r>
      <w:hyperlink r:id="rId31" w:history="1">
        <w:r w:rsidR="00B3021F" w:rsidRPr="00B3021F">
          <w:rPr>
            <w:rFonts w:ascii="David" w:eastAsia="Calibri" w:hAnsi="David"/>
            <w:color w:val="0000FF"/>
            <w:u w:val="single"/>
            <w:rtl/>
          </w:rPr>
          <w:t>ע"פ 6383/21</w:t>
        </w:r>
      </w:hyperlink>
      <w:r>
        <w:rPr>
          <w:rFonts w:ascii="David" w:eastAsia="Calibri" w:hAnsi="David" w:hint="cs"/>
          <w:rtl/>
        </w:rPr>
        <w:t xml:space="preserve"> </w:t>
      </w:r>
      <w:r w:rsidRPr="006F29D2">
        <w:rPr>
          <w:rFonts w:ascii="David" w:eastAsia="Calibri" w:hAnsi="David" w:hint="cs"/>
          <w:b/>
          <w:bCs/>
          <w:rtl/>
        </w:rPr>
        <w:t>קריף נ' מדינת ישראל</w:t>
      </w:r>
      <w:r>
        <w:rPr>
          <w:rFonts w:ascii="David" w:eastAsia="Calibri" w:hAnsi="David" w:hint="cs"/>
          <w:rtl/>
        </w:rPr>
        <w:t xml:space="preserve"> (13.2.22)).</w:t>
      </w:r>
    </w:p>
    <w:p w14:paraId="583ED9CA" w14:textId="77777777" w:rsidR="00261661" w:rsidRDefault="00261661" w:rsidP="00261661">
      <w:pPr>
        <w:spacing w:after="160" w:line="360" w:lineRule="auto"/>
        <w:ind w:left="720"/>
        <w:contextualSpacing/>
        <w:jc w:val="both"/>
        <w:rPr>
          <w:rFonts w:ascii="David" w:eastAsia="Calibri" w:hAnsi="David"/>
        </w:rPr>
      </w:pPr>
      <w:r>
        <w:rPr>
          <w:rFonts w:ascii="David" w:eastAsia="Calibri" w:hAnsi="David" w:hint="cs"/>
          <w:rtl/>
        </w:rPr>
        <w:t xml:space="preserve"> </w:t>
      </w:r>
    </w:p>
    <w:p w14:paraId="7E35EF20" w14:textId="77777777" w:rsidR="00261661" w:rsidRDefault="00261661" w:rsidP="00261661">
      <w:pPr>
        <w:numPr>
          <w:ilvl w:val="0"/>
          <w:numId w:val="1"/>
        </w:numPr>
        <w:spacing w:after="160" w:line="360" w:lineRule="auto"/>
        <w:contextualSpacing/>
        <w:jc w:val="both"/>
        <w:rPr>
          <w:rFonts w:ascii="David" w:eastAsia="Calibri" w:hAnsi="David"/>
        </w:rPr>
      </w:pPr>
      <w:r>
        <w:rPr>
          <w:rFonts w:ascii="David" w:eastAsia="Calibri" w:hAnsi="David" w:hint="cs"/>
          <w:rtl/>
        </w:rPr>
        <w:t>לעניין האישום הראשון הפנתה המאשימה בטיעוניה לגזרי דין במסגרתם נגזרו עונשים של 4 שנות מאסר (</w:t>
      </w:r>
      <w:hyperlink r:id="rId32" w:history="1">
        <w:r w:rsidR="00B3021F" w:rsidRPr="00B3021F">
          <w:rPr>
            <w:rFonts w:ascii="David" w:eastAsia="Calibri" w:hAnsi="David"/>
            <w:color w:val="0000FF"/>
            <w:u w:val="single"/>
            <w:rtl/>
          </w:rPr>
          <w:t>ע"פ 3827/06</w:t>
        </w:r>
      </w:hyperlink>
      <w:r>
        <w:rPr>
          <w:rFonts w:ascii="David" w:eastAsia="Calibri" w:hAnsi="David" w:hint="cs"/>
          <w:rtl/>
        </w:rPr>
        <w:t xml:space="preserve"> </w:t>
      </w:r>
      <w:r w:rsidRPr="00E95074">
        <w:rPr>
          <w:rFonts w:ascii="David" w:eastAsia="Calibri" w:hAnsi="David" w:hint="cs"/>
          <w:b/>
          <w:bCs/>
          <w:rtl/>
        </w:rPr>
        <w:t>פלוני נ' מדינת ישראל</w:t>
      </w:r>
      <w:r>
        <w:rPr>
          <w:rFonts w:ascii="David" w:eastAsia="Calibri" w:hAnsi="David" w:hint="cs"/>
          <w:rtl/>
        </w:rPr>
        <w:t xml:space="preserve"> (27.3.07)), 20 חודשי מאסר (</w:t>
      </w:r>
      <w:hyperlink r:id="rId33" w:history="1">
        <w:r w:rsidR="00B3021F" w:rsidRPr="00B3021F">
          <w:rPr>
            <w:rFonts w:ascii="David" w:eastAsia="Calibri" w:hAnsi="David"/>
            <w:color w:val="0000FF"/>
            <w:u w:val="single"/>
            <w:rtl/>
          </w:rPr>
          <w:t>ע"פ 2891/12</w:t>
        </w:r>
      </w:hyperlink>
      <w:r>
        <w:rPr>
          <w:rFonts w:ascii="David" w:eastAsia="Calibri" w:hAnsi="David" w:hint="cs"/>
          <w:rtl/>
        </w:rPr>
        <w:t xml:space="preserve"> </w:t>
      </w:r>
      <w:r w:rsidRPr="00E95074">
        <w:rPr>
          <w:rFonts w:ascii="David" w:eastAsia="Calibri" w:hAnsi="David" w:hint="cs"/>
          <w:b/>
          <w:bCs/>
          <w:rtl/>
        </w:rPr>
        <w:t>מדינת ישראל נ' רבעא</w:t>
      </w:r>
      <w:r>
        <w:rPr>
          <w:rFonts w:ascii="David" w:eastAsia="Calibri" w:hAnsi="David" w:hint="cs"/>
          <w:rtl/>
        </w:rPr>
        <w:t xml:space="preserve"> (15.7.12)), ו-30 חודשי מאסר (</w:t>
      </w:r>
      <w:hyperlink r:id="rId34" w:history="1">
        <w:r w:rsidR="00B3021F" w:rsidRPr="00B3021F">
          <w:rPr>
            <w:rFonts w:ascii="David" w:eastAsia="Calibri" w:hAnsi="David"/>
            <w:color w:val="0000FF"/>
            <w:u w:val="single"/>
            <w:rtl/>
          </w:rPr>
          <w:t>ע"פ 1784/14</w:t>
        </w:r>
      </w:hyperlink>
      <w:r>
        <w:rPr>
          <w:rFonts w:ascii="David" w:eastAsia="Calibri" w:hAnsi="David" w:hint="cs"/>
          <w:rtl/>
        </w:rPr>
        <w:t xml:space="preserve"> </w:t>
      </w:r>
      <w:r w:rsidRPr="000963C9">
        <w:rPr>
          <w:rFonts w:ascii="David" w:eastAsia="Calibri" w:hAnsi="David" w:hint="cs"/>
          <w:b/>
          <w:bCs/>
          <w:rtl/>
        </w:rPr>
        <w:t>עאשור נ' מדינת ישראל</w:t>
      </w:r>
      <w:r>
        <w:rPr>
          <w:rFonts w:ascii="David" w:eastAsia="Calibri" w:hAnsi="David" w:hint="cs"/>
          <w:rtl/>
        </w:rPr>
        <w:t xml:space="preserve"> (3.9.15)). אין בגזרי דין אלו כדי ללמד על ענייננו כיוון שנסיבות אותם פסקי דין שונות מהותית מעניינו של הנאשם שלפניי. כך, בעניין </w:t>
      </w:r>
      <w:r w:rsidRPr="000963C9">
        <w:rPr>
          <w:rFonts w:ascii="David" w:eastAsia="Calibri" w:hAnsi="David" w:hint="cs"/>
          <w:b/>
          <w:bCs/>
          <w:rtl/>
        </w:rPr>
        <w:t>פלוני</w:t>
      </w:r>
      <w:r>
        <w:rPr>
          <w:rFonts w:ascii="David" w:eastAsia="Calibri" w:hAnsi="David" w:hint="cs"/>
          <w:rtl/>
        </w:rPr>
        <w:t xml:space="preserve"> דובר במי שהעביר מחו"ל, בהזדמנויות רבות, סכומי כסף שונים לחמאס בהיקף של כ- 200,000 דולר, זאת תמורת תשלום שקיבל; בעניין </w:t>
      </w:r>
      <w:r w:rsidRPr="001E6358">
        <w:rPr>
          <w:rFonts w:ascii="David" w:eastAsia="Calibri" w:hAnsi="David" w:hint="cs"/>
          <w:b/>
          <w:bCs/>
          <w:rtl/>
        </w:rPr>
        <w:t>רבעא</w:t>
      </w:r>
      <w:r>
        <w:rPr>
          <w:rFonts w:ascii="David" w:eastAsia="Calibri" w:hAnsi="David" w:hint="cs"/>
          <w:rtl/>
        </w:rPr>
        <w:t xml:space="preserve"> דובר במי שהורשע בנוסף לעבירה של מתן שירות לארגון טרור גם בעבירות של קשירת קשר והכנסת חפץ אסור למתקן כליאה, זאת לאחר שניסה להבריח לאסירים ביטחוניים בכלא קציעות 50 מכשירי טלפון סלולאריים סוללות ומטענים, תמורת 150,000 ₪ שהובטחו לו; ובעניין </w:t>
      </w:r>
      <w:r w:rsidRPr="001C1790">
        <w:rPr>
          <w:rFonts w:ascii="David" w:eastAsia="Calibri" w:hAnsi="David" w:hint="cs"/>
          <w:b/>
          <w:bCs/>
          <w:rtl/>
        </w:rPr>
        <w:t>עאשור</w:t>
      </w:r>
      <w:r>
        <w:rPr>
          <w:rFonts w:ascii="David" w:eastAsia="Calibri" w:hAnsi="David" w:hint="cs"/>
          <w:rtl/>
        </w:rPr>
        <w:t xml:space="preserve"> דובר בנאשמים שהורשעו בין היתר בעבירות של חברות בארגון טרור ובעבירות נוספות, זאת לאחר שהיו מעורבים ב</w:t>
      </w:r>
      <w:r w:rsidRPr="00ED5E02">
        <w:rPr>
          <w:rFonts w:ascii="David" w:eastAsia="Calibri" w:hAnsi="David"/>
          <w:rtl/>
        </w:rPr>
        <w:t>פעולות הקשורות למימון ולניהול פעילותו האזרח</w:t>
      </w:r>
      <w:r>
        <w:rPr>
          <w:rFonts w:ascii="David" w:eastAsia="Calibri" w:hAnsi="David"/>
          <w:rtl/>
        </w:rPr>
        <w:t>ית של ארגון החמאס במזרח ירושלים</w:t>
      </w:r>
      <w:r>
        <w:rPr>
          <w:rFonts w:ascii="David" w:eastAsia="Calibri" w:hAnsi="David" w:hint="cs"/>
          <w:rtl/>
        </w:rPr>
        <w:t>.</w:t>
      </w:r>
    </w:p>
    <w:p w14:paraId="7623892C"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לעניין עבירות הנשק הפנתה המאשימה ל</w:t>
      </w:r>
      <w:hyperlink r:id="rId35" w:history="1">
        <w:r w:rsidR="00B3021F" w:rsidRPr="00B3021F">
          <w:rPr>
            <w:rFonts w:ascii="David" w:eastAsia="Calibri" w:hAnsi="David"/>
            <w:color w:val="0000FF"/>
            <w:u w:val="single"/>
            <w:rtl/>
          </w:rPr>
          <w:t>ע"פ 4077/22</w:t>
        </w:r>
      </w:hyperlink>
      <w:r>
        <w:rPr>
          <w:rFonts w:ascii="David" w:eastAsia="Calibri" w:hAnsi="David" w:hint="cs"/>
          <w:rtl/>
        </w:rPr>
        <w:t xml:space="preserve"> </w:t>
      </w:r>
      <w:r w:rsidRPr="00CD46A3">
        <w:rPr>
          <w:rFonts w:ascii="David" w:eastAsia="Calibri" w:hAnsi="David" w:hint="cs"/>
          <w:b/>
          <w:bCs/>
          <w:rtl/>
        </w:rPr>
        <w:t>מדינת ישראל נ' פלוני</w:t>
      </w:r>
      <w:r>
        <w:rPr>
          <w:rFonts w:ascii="David" w:eastAsia="Calibri" w:hAnsi="David" w:hint="cs"/>
          <w:rtl/>
        </w:rPr>
        <w:t xml:space="preserve"> (28.7.22), שם נגזרו עונשים של 25 עד 46 חודשי מאסר על המשיבים שהורשעו בעבירות של סחר בנשק. לענייננו רלוונטי העונש של 36 חודשי מאסר אשר נגזר על א' שהורשע בעבירה אחת של סחר בנשק ובעבירה אחת של החזקה נשיאה והובלת נשק. יצוין, כי המשיבים שעליהם נגזרו באותו עניין עונשים חמורים יותר הורשעו בשתי עבירות של סחר בנשק.</w:t>
      </w:r>
    </w:p>
    <w:p w14:paraId="4C524236"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כמו כן הפנתה המאשימה ל</w:t>
      </w:r>
      <w:hyperlink r:id="rId36" w:history="1">
        <w:r w:rsidR="00B3021F" w:rsidRPr="00B3021F">
          <w:rPr>
            <w:rFonts w:ascii="David" w:eastAsia="Calibri" w:hAnsi="David"/>
            <w:color w:val="0000FF"/>
            <w:u w:val="single"/>
            <w:rtl/>
          </w:rPr>
          <w:t>ע"פ 5602/22</w:t>
        </w:r>
      </w:hyperlink>
      <w:r>
        <w:rPr>
          <w:rFonts w:ascii="David" w:eastAsia="Calibri" w:hAnsi="David" w:hint="cs"/>
          <w:rtl/>
        </w:rPr>
        <w:t xml:space="preserve"> </w:t>
      </w:r>
      <w:r w:rsidRPr="00D14CFA">
        <w:rPr>
          <w:rFonts w:ascii="David" w:eastAsia="Calibri" w:hAnsi="David" w:hint="cs"/>
          <w:b/>
          <w:bCs/>
          <w:rtl/>
        </w:rPr>
        <w:t>מדינת ישראל נ' פלוני</w:t>
      </w:r>
      <w:r>
        <w:rPr>
          <w:rFonts w:ascii="David" w:eastAsia="Calibri" w:hAnsi="David" w:hint="cs"/>
          <w:rtl/>
        </w:rPr>
        <w:t xml:space="preserve"> (14.9.22), שם נגזר עונש של 28 חודשי מאסר על המשיב שהורשע בעבירות של נשיאת נשק, כניסה לישראל שלא כדין והפרעה לשוטר.</w:t>
      </w:r>
    </w:p>
    <w:p w14:paraId="0AC2FABF"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וב</w:t>
      </w:r>
      <w:hyperlink r:id="rId37" w:history="1">
        <w:r w:rsidR="00B3021F" w:rsidRPr="00B3021F">
          <w:rPr>
            <w:rFonts w:ascii="David" w:eastAsia="Calibri" w:hAnsi="David"/>
            <w:color w:val="0000FF"/>
            <w:u w:val="single"/>
            <w:rtl/>
          </w:rPr>
          <w:t>ע"פ 500/21</w:t>
        </w:r>
      </w:hyperlink>
      <w:r>
        <w:rPr>
          <w:rFonts w:ascii="David" w:eastAsia="Calibri" w:hAnsi="David" w:hint="cs"/>
          <w:rtl/>
        </w:rPr>
        <w:t xml:space="preserve"> </w:t>
      </w:r>
      <w:r w:rsidRPr="00381BB8">
        <w:rPr>
          <w:rFonts w:ascii="David" w:eastAsia="Calibri" w:hAnsi="David" w:hint="cs"/>
          <w:b/>
          <w:bCs/>
          <w:rtl/>
        </w:rPr>
        <w:t>פלוני נ' מדינת ישראל</w:t>
      </w:r>
      <w:r>
        <w:rPr>
          <w:rFonts w:ascii="David" w:eastAsia="Calibri" w:hAnsi="David" w:hint="cs"/>
          <w:b/>
          <w:bCs/>
          <w:rtl/>
        </w:rPr>
        <w:t xml:space="preserve"> </w:t>
      </w:r>
      <w:r w:rsidRPr="00381BB8">
        <w:rPr>
          <w:rFonts w:ascii="David" w:eastAsia="Calibri" w:hAnsi="David" w:hint="cs"/>
          <w:rtl/>
        </w:rPr>
        <w:t>(</w:t>
      </w:r>
      <w:r>
        <w:rPr>
          <w:rFonts w:ascii="David" w:eastAsia="Calibri" w:hAnsi="David" w:hint="cs"/>
          <w:rtl/>
        </w:rPr>
        <w:t>31.5.21), נגזר עונש של 50 חודשי מאסר על המערער שהורשע בשתי עבירות של סחר בנשק.</w:t>
      </w:r>
    </w:p>
    <w:p w14:paraId="751A1ECA" w14:textId="77777777" w:rsidR="00261661" w:rsidRDefault="00261661" w:rsidP="00261661">
      <w:pPr>
        <w:spacing w:after="160" w:line="360" w:lineRule="auto"/>
        <w:ind w:left="720"/>
        <w:contextualSpacing/>
        <w:jc w:val="both"/>
        <w:rPr>
          <w:rFonts w:ascii="David" w:eastAsia="Calibri" w:hAnsi="David"/>
        </w:rPr>
      </w:pPr>
    </w:p>
    <w:p w14:paraId="061C2E70" w14:textId="77777777" w:rsidR="00261661" w:rsidRDefault="00261661" w:rsidP="00261661">
      <w:pPr>
        <w:numPr>
          <w:ilvl w:val="0"/>
          <w:numId w:val="1"/>
        </w:numPr>
        <w:spacing w:after="160" w:line="360" w:lineRule="auto"/>
        <w:contextualSpacing/>
        <w:jc w:val="both"/>
        <w:rPr>
          <w:rFonts w:ascii="David" w:eastAsia="Calibri" w:hAnsi="David"/>
        </w:rPr>
      </w:pPr>
      <w:r>
        <w:rPr>
          <w:rFonts w:ascii="David" w:eastAsia="Calibri" w:hAnsi="David" w:hint="cs"/>
          <w:rtl/>
        </w:rPr>
        <w:t>ב"כ הנאשם הפנו בטיעוניהם ל</w:t>
      </w:r>
      <w:hyperlink r:id="rId38" w:history="1">
        <w:r w:rsidR="00B3021F" w:rsidRPr="00B3021F">
          <w:rPr>
            <w:rFonts w:ascii="David" w:eastAsia="Calibri" w:hAnsi="David"/>
            <w:color w:val="0000FF"/>
            <w:u w:val="single"/>
            <w:rtl/>
          </w:rPr>
          <w:t>ת"פ (י-ם) 34737-09-21</w:t>
        </w:r>
      </w:hyperlink>
      <w:r>
        <w:rPr>
          <w:rFonts w:ascii="David" w:eastAsia="Calibri" w:hAnsi="David" w:hint="cs"/>
          <w:rtl/>
        </w:rPr>
        <w:t xml:space="preserve"> </w:t>
      </w:r>
      <w:r w:rsidRPr="00741FA2">
        <w:rPr>
          <w:rFonts w:ascii="David" w:eastAsia="Calibri" w:hAnsi="David" w:hint="cs"/>
          <w:b/>
          <w:bCs/>
          <w:rtl/>
        </w:rPr>
        <w:t>מדינת ישראל נ' אבו עסב</w:t>
      </w:r>
      <w:r>
        <w:rPr>
          <w:rFonts w:ascii="David" w:eastAsia="Calibri" w:hAnsi="David" w:hint="cs"/>
          <w:rtl/>
        </w:rPr>
        <w:t xml:space="preserve"> (8.3.22), במסגרתו נגזר עונש של 12 חודשי מאסר על נאשם שהורשע בביצוע עבירה אחת של נשיאת נשק. נסיבותיו של גזר דין זה קלות מנסיבות העניין שלפניינו, שכן הנאשם שלפניי הורשע בנוסף גם בעבירה של עסקה אחרת בנשק, שעונשה 15 שנות מאסר, בעוד שהעונש בגין עבירה של  נשיאת נשק עומד על 10 שנות מאסר.</w:t>
      </w:r>
    </w:p>
    <w:p w14:paraId="022E2654"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כמו כן הפנו ב"כ הנאשם לגזר הדין שניתן בעניינו של פאדי עליאן אשר הוא זה שמסר את הקרלו השני למשמורתו של קוסאי הנ"ל אשר ביצע בו, ללא ידיעת פאדי, את פיגוע הירי נגד כוחות הביטחון (</w:t>
      </w:r>
      <w:hyperlink r:id="rId39" w:history="1">
        <w:r w:rsidR="00B3021F" w:rsidRPr="00B3021F">
          <w:rPr>
            <w:rFonts w:ascii="David" w:eastAsia="Calibri" w:hAnsi="David"/>
            <w:color w:val="0000FF"/>
            <w:u w:val="single"/>
            <w:rtl/>
          </w:rPr>
          <w:t>ת"פ 30276-01-22</w:t>
        </w:r>
      </w:hyperlink>
      <w:r>
        <w:rPr>
          <w:rFonts w:ascii="David" w:eastAsia="Calibri" w:hAnsi="David" w:hint="cs"/>
          <w:rtl/>
        </w:rPr>
        <w:t xml:space="preserve"> </w:t>
      </w:r>
      <w:r w:rsidRPr="00B872EB">
        <w:rPr>
          <w:rFonts w:ascii="David" w:eastAsia="Calibri" w:hAnsi="David" w:hint="cs"/>
          <w:b/>
          <w:bCs/>
          <w:rtl/>
        </w:rPr>
        <w:t>מדינת ישראל נ' עליאן</w:t>
      </w:r>
      <w:r>
        <w:rPr>
          <w:rFonts w:ascii="David" w:eastAsia="Calibri" w:hAnsi="David" w:hint="cs"/>
          <w:rtl/>
        </w:rPr>
        <w:t xml:space="preserve"> (16.6.22)). פאדי הורשע בביצוע עבירות של רכישה והחזקת נשק ונשיאה והובלת נשק, ונגזר עליו במסגרת הסדר טיעון סגור עונש של 3 שנות מאסר. יצוין כי לחובתו של פאדי עמדו 5 הרשעות קודמות, בין היתר "בעבירות ממן העניין" - כלשון בית המשפט.</w:t>
      </w:r>
    </w:p>
    <w:p w14:paraId="3F811B5D"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 xml:space="preserve">כמו כן הפנו ב"כ הנאשם, לעניין האישום הראשון, ל- ת"פ (י-ם) </w:t>
      </w:r>
      <w:r w:rsidRPr="00737425">
        <w:rPr>
          <w:rFonts w:ascii="David" w:eastAsia="Calibri" w:hAnsi="David" w:hint="cs"/>
          <w:b/>
          <w:bCs/>
          <w:rtl/>
        </w:rPr>
        <w:t>מדינת ישראל נ' אבו רמוז</w:t>
      </w:r>
      <w:r>
        <w:rPr>
          <w:rFonts w:ascii="David" w:eastAsia="Calibri" w:hAnsi="David" w:hint="cs"/>
          <w:rtl/>
        </w:rPr>
        <w:t xml:space="preserve"> (6.4.22), במסגרתו נגזר, בהתאם להסדר טיעון סגור, עונש של 5 חודשי מאסר על מי שמסר לנאשם שלפניי את הדגלים והשלטים. יצוין כי לחובתו של אבו רמוז עבר פלילי קודם.</w:t>
      </w:r>
    </w:p>
    <w:p w14:paraId="57039720" w14:textId="77777777" w:rsidR="00261661" w:rsidRDefault="00261661" w:rsidP="00261661">
      <w:pPr>
        <w:spacing w:after="160" w:line="360" w:lineRule="auto"/>
        <w:ind w:left="720"/>
        <w:contextualSpacing/>
        <w:jc w:val="both"/>
        <w:rPr>
          <w:rFonts w:ascii="David" w:eastAsia="Calibri" w:hAnsi="David"/>
          <w:rtl/>
        </w:rPr>
      </w:pPr>
    </w:p>
    <w:p w14:paraId="3FC99D63" w14:textId="77777777" w:rsidR="00261661" w:rsidRPr="00D17189" w:rsidRDefault="00261661" w:rsidP="00261661">
      <w:pPr>
        <w:numPr>
          <w:ilvl w:val="0"/>
          <w:numId w:val="1"/>
        </w:numPr>
        <w:spacing w:after="160" w:line="360" w:lineRule="auto"/>
        <w:contextualSpacing/>
        <w:jc w:val="both"/>
        <w:rPr>
          <w:rFonts w:ascii="David" w:eastAsia="Calibri" w:hAnsi="David"/>
          <w:b/>
          <w:bCs/>
          <w:u w:val="single"/>
        </w:rPr>
      </w:pPr>
      <w:r w:rsidRPr="00D17189">
        <w:rPr>
          <w:rFonts w:ascii="David" w:eastAsia="Calibri" w:hAnsi="David" w:hint="cs"/>
          <w:b/>
          <w:bCs/>
          <w:u w:val="single"/>
          <w:rtl/>
        </w:rPr>
        <w:t>מתחם העונש ההולם</w:t>
      </w:r>
    </w:p>
    <w:p w14:paraId="34A7B4FC" w14:textId="77777777" w:rsidR="00261661" w:rsidRDefault="00261661" w:rsidP="00261661">
      <w:pPr>
        <w:spacing w:after="160" w:line="360" w:lineRule="auto"/>
        <w:ind w:left="720"/>
        <w:contextualSpacing/>
        <w:jc w:val="both"/>
        <w:rPr>
          <w:rFonts w:ascii="David" w:eastAsia="Calibri" w:hAnsi="David"/>
        </w:rPr>
      </w:pPr>
      <w:r>
        <w:rPr>
          <w:rFonts w:ascii="David" w:eastAsia="Calibri" w:hAnsi="David" w:hint="cs"/>
          <w:rtl/>
        </w:rPr>
        <w:t>בהמשך לכל האמור לעיל, אני קובע כי מתחם העונש ההולם בגין האישום הראשון עומד על מספר חודשי מאסר לריצוי בעבודות שירות עד 12 חודשי מאסר בפועל, וכי מתחם העונש ההולם בגין העבירות בהן הורשע הנאשם במסגרת האישום השני עומד על 4 שנות מאסר בפועל עד 7 שנות מאסר בפועל. בקביעת מתחם העונש ההולם בגין האישום השני הבאתי בחשבון כי בגין אישום זה הורשע הנאשם במספר עבירות.</w:t>
      </w:r>
    </w:p>
    <w:p w14:paraId="20D6EF1B" w14:textId="77777777" w:rsidR="00261661" w:rsidRDefault="00261661" w:rsidP="00261661">
      <w:pPr>
        <w:spacing w:after="160" w:line="360" w:lineRule="auto"/>
        <w:ind w:left="720"/>
        <w:contextualSpacing/>
        <w:jc w:val="both"/>
        <w:rPr>
          <w:rFonts w:ascii="David" w:eastAsia="Calibri" w:hAnsi="David"/>
        </w:rPr>
      </w:pPr>
    </w:p>
    <w:p w14:paraId="709FA431" w14:textId="77777777" w:rsidR="00261661" w:rsidRPr="00D17189" w:rsidRDefault="00261661" w:rsidP="00261661">
      <w:pPr>
        <w:numPr>
          <w:ilvl w:val="0"/>
          <w:numId w:val="1"/>
        </w:numPr>
        <w:spacing w:after="160" w:line="360" w:lineRule="auto"/>
        <w:contextualSpacing/>
        <w:jc w:val="both"/>
        <w:rPr>
          <w:rFonts w:ascii="David" w:eastAsia="Calibri" w:hAnsi="David"/>
          <w:b/>
          <w:bCs/>
          <w:u w:val="single"/>
        </w:rPr>
      </w:pPr>
      <w:r w:rsidRPr="00D17189">
        <w:rPr>
          <w:rFonts w:ascii="David" w:eastAsia="Calibri" w:hAnsi="David" w:hint="cs"/>
          <w:b/>
          <w:bCs/>
          <w:u w:val="single"/>
          <w:rtl/>
        </w:rPr>
        <w:t xml:space="preserve">הנסיבות </w:t>
      </w:r>
      <w:r>
        <w:rPr>
          <w:rFonts w:ascii="David" w:eastAsia="Calibri" w:hAnsi="David" w:hint="cs"/>
          <w:b/>
          <w:bCs/>
          <w:u w:val="single"/>
          <w:rtl/>
        </w:rPr>
        <w:t>שאינן קשורות בביצוע העביר</w:t>
      </w:r>
      <w:r w:rsidRPr="00D17189">
        <w:rPr>
          <w:rFonts w:ascii="David" w:eastAsia="Calibri" w:hAnsi="David" w:hint="cs"/>
          <w:b/>
          <w:bCs/>
          <w:u w:val="single"/>
          <w:rtl/>
        </w:rPr>
        <w:t>ה</w:t>
      </w:r>
    </w:p>
    <w:p w14:paraId="376ACD49" w14:textId="77777777" w:rsidR="00261661" w:rsidRPr="00E07150" w:rsidRDefault="00261661" w:rsidP="00261661">
      <w:pPr>
        <w:spacing w:after="160" w:line="360" w:lineRule="auto"/>
        <w:ind w:left="720"/>
        <w:contextualSpacing/>
        <w:jc w:val="both"/>
        <w:rPr>
          <w:rFonts w:ascii="David" w:eastAsia="Calibri" w:hAnsi="David"/>
          <w:rtl/>
        </w:rPr>
      </w:pPr>
      <w:r w:rsidRPr="00E07150">
        <w:rPr>
          <w:rFonts w:ascii="David" w:eastAsia="Calibri" w:hAnsi="David" w:hint="cs"/>
          <w:rtl/>
        </w:rPr>
        <w:t xml:space="preserve">במסגרת בחינת הנסיבות שאינן קשורות בביצוע עבירות יש להביא בחשבון את הודאת הנאשם במיוחס לו, אשר חסכה מזמנה של המאשימה ומזמנו של בית המשפט. ההודאה משקפת גם קבלת אחריות מצדו של הנאשם על העבירות שביצע. לזכות הנאשם יש לזקוף </w:t>
      </w:r>
      <w:r>
        <w:rPr>
          <w:rFonts w:ascii="David" w:eastAsia="Calibri" w:hAnsi="David" w:hint="cs"/>
          <w:rtl/>
        </w:rPr>
        <w:t xml:space="preserve">גם את </w:t>
      </w:r>
      <w:r w:rsidRPr="00E07150">
        <w:rPr>
          <w:rFonts w:ascii="David" w:eastAsia="Calibri" w:hAnsi="David" w:hint="cs"/>
          <w:rtl/>
        </w:rPr>
        <w:t>שיתוף הפעולה שלו עם רשויות החקירה, במסגרתו הוא התוודה על העובדה שהנשקים היו ברשותו, ואף סייע בהסגרתם לידי המשטרה.</w:t>
      </w:r>
    </w:p>
    <w:p w14:paraId="17522923" w14:textId="77777777" w:rsidR="00261661" w:rsidRDefault="00261661" w:rsidP="00261661">
      <w:pPr>
        <w:spacing w:after="160" w:line="360" w:lineRule="auto"/>
        <w:ind w:left="720"/>
        <w:contextualSpacing/>
        <w:jc w:val="both"/>
        <w:rPr>
          <w:rFonts w:ascii="David" w:eastAsia="Calibri" w:hAnsi="David"/>
          <w:rtl/>
        </w:rPr>
      </w:pPr>
      <w:r>
        <w:rPr>
          <w:rFonts w:ascii="David" w:eastAsia="Calibri" w:hAnsi="David" w:hint="cs"/>
          <w:rtl/>
        </w:rPr>
        <w:t xml:space="preserve">מנגד יש להביא בחשבון, לחומרה, את עברו הפלילי של הנאשם, הכולל 7 הרשעות קודמות בעבירות ממן העניין, הרשעות בגינן נגזרו עליו עונשי מאסר המסתכמים בתקופה מצטברת של לא פחות מ-23 שנים ו- 10 חודשים (ראו </w:t>
      </w:r>
      <w:r>
        <w:rPr>
          <w:rFonts w:ascii="David" w:eastAsia="Calibri" w:hAnsi="David"/>
          <w:rtl/>
        </w:rPr>
        <w:t>–</w:t>
      </w:r>
      <w:r>
        <w:rPr>
          <w:rFonts w:ascii="David" w:eastAsia="Calibri" w:hAnsi="David" w:hint="cs"/>
          <w:rtl/>
        </w:rPr>
        <w:t xml:space="preserve"> הרישום הפלילי תע/1). מבלי למצות את כל ההרשעות הקודמות נפנה לכך שבשנת 2018 נגזר על הנאשם עונש של 7 שנות מאסר לאחר שהוא הורשע בעבירות של איסור פעולה ברכוש טרור, מתן שירות להתאחדות לא מותרת ומגע עם סוכן חוץ; בשנת 2013 נגזר על הנאשם עונש של 2 שנות מאסר בגין הרשעתו בעבירה של השתייכות לארגון טרור; בשנת 2012 נגזר על הנאשם עונש של 11 חודשי מאסר בגין הרשעתו בעבירה של איסור פעולה ברכוש טרור; בשנת 2003 נגזר על הנאשם עונש של 8 שנות מאסר בגין הרשעתו בעבירות של סיוע לאויב במלחמה, השתייכות לארגון טרור וקשירת קשר לביצוע פשע; ובשנת 1993 נגזר על הנאשם בבית דין צבאי עונש של 52 חודשי מאסר בפועל לאחר שהוא הורשע בביצוע עבירות של חברות בהתאחדות בלתי חוקית, החזקת כלי ירייה ובביצוע עבירות נגד הסדר הציבורי. לנוכח עברו הפלילי של הנאשם אין מנוס מהמסקנה לפיה רגליו נטועות עמוק בעולם עבירות הביטחון, וכי העונשים הכבדים שנגזרו עליו עד כה לא הרתיעו אותו מלהמשיך ולבצע עבירות נגד ביטחון המדינה. לנוכח מצב דברים זה שיקולי ההלימה, ההרתעה והגמול הם שתופסים את הבכורה בעניינו של הנאשם, אף שאין בהן כדי להעלים כליל את משקלם של הודאת הנאשם והסיוע שהוא הושיט בהעברת הנשקים לידי המשטרה. יובהר על כן, כי אלמלא הודה הנאשם במיוחס לו, ואלמלא סייע בהסגרת הנשקים הרי שעונשו היה ממוקם בחלק העליון של השליש העליון של מתחם העונש ההולם, כמתחייב בין היתר </w:t>
      </w:r>
      <w:hyperlink r:id="rId40" w:history="1">
        <w:r w:rsidR="00072556" w:rsidRPr="00072556">
          <w:rPr>
            <w:rStyle w:val="Hyperlink"/>
            <w:rFonts w:ascii="David" w:eastAsia="Calibri" w:hAnsi="David" w:hint="eastAsia"/>
            <w:rtl/>
          </w:rPr>
          <w:t>מסעיפים</w:t>
        </w:r>
        <w:r w:rsidR="00072556" w:rsidRPr="00072556">
          <w:rPr>
            <w:rStyle w:val="Hyperlink"/>
            <w:rFonts w:ascii="David" w:eastAsia="Calibri" w:hAnsi="David"/>
            <w:rtl/>
          </w:rPr>
          <w:t xml:space="preserve"> 40ו'</w:t>
        </w:r>
      </w:hyperlink>
      <w:r>
        <w:rPr>
          <w:rFonts w:ascii="David" w:eastAsia="Calibri" w:hAnsi="David" w:hint="cs"/>
          <w:rtl/>
        </w:rPr>
        <w:t xml:space="preserve"> ו-</w:t>
      </w:r>
      <w:hyperlink r:id="rId41" w:history="1">
        <w:r w:rsidR="00072556" w:rsidRPr="00072556">
          <w:rPr>
            <w:rStyle w:val="Hyperlink"/>
            <w:rFonts w:ascii="David" w:eastAsia="Calibri" w:hAnsi="David"/>
            <w:rtl/>
          </w:rPr>
          <w:t>40ז'</w:t>
        </w:r>
      </w:hyperlink>
      <w:r>
        <w:rPr>
          <w:rFonts w:ascii="David" w:eastAsia="Calibri" w:hAnsi="David" w:hint="cs"/>
          <w:rtl/>
        </w:rPr>
        <w:t xml:space="preserve"> ל</w:t>
      </w:r>
      <w:hyperlink r:id="rId42" w:history="1">
        <w:r w:rsidR="00B3021F" w:rsidRPr="00B3021F">
          <w:rPr>
            <w:rFonts w:ascii="David" w:eastAsia="Calibri" w:hAnsi="David"/>
            <w:color w:val="0000FF"/>
            <w:u w:val="single"/>
            <w:rtl/>
          </w:rPr>
          <w:t>חוק העונשין</w:t>
        </w:r>
      </w:hyperlink>
      <w:r>
        <w:rPr>
          <w:rFonts w:ascii="David" w:eastAsia="Calibri" w:hAnsi="David" w:hint="cs"/>
          <w:rtl/>
        </w:rPr>
        <w:t xml:space="preserve">, וכפי שציין ב"כ המאשימה יתכן ואף היה מקום לחרוג ממתחם העונש ההולם משיקולי הגנה על שלום הציבור בהתאם להוראת </w:t>
      </w:r>
      <w:hyperlink r:id="rId43" w:history="1">
        <w:r w:rsidR="00072556" w:rsidRPr="00072556">
          <w:rPr>
            <w:rStyle w:val="Hyperlink"/>
            <w:rFonts w:ascii="David" w:eastAsia="Calibri" w:hAnsi="David" w:hint="eastAsia"/>
            <w:rtl/>
          </w:rPr>
          <w:t>סעיף</w:t>
        </w:r>
        <w:r w:rsidR="00072556" w:rsidRPr="00072556">
          <w:rPr>
            <w:rStyle w:val="Hyperlink"/>
            <w:rFonts w:ascii="David" w:eastAsia="Calibri" w:hAnsi="David"/>
            <w:rtl/>
          </w:rPr>
          <w:t xml:space="preserve">  40ה'</w:t>
        </w:r>
      </w:hyperlink>
      <w:r>
        <w:rPr>
          <w:rFonts w:ascii="David" w:eastAsia="Calibri" w:hAnsi="David" w:hint="cs"/>
          <w:rtl/>
        </w:rPr>
        <w:t xml:space="preserve"> לחוק העונשין. הודאת הנאשם ושיתוף הפעולה שלו, בשילוב עם העונשים שנגזרו במסגרת הסדרי טיעון על יתר המעורבים בשני האישומים,  מביאים לכך שעונשו של הנאשם לא ימוקם בחלק העליון של השליש העליון של מתחם העונש ההולם.</w:t>
      </w:r>
    </w:p>
    <w:p w14:paraId="4600DF5C" w14:textId="77777777" w:rsidR="00261661" w:rsidRDefault="00261661" w:rsidP="00261661">
      <w:pPr>
        <w:spacing w:after="160" w:line="360" w:lineRule="auto"/>
        <w:ind w:left="720"/>
        <w:contextualSpacing/>
        <w:jc w:val="both"/>
        <w:rPr>
          <w:rFonts w:ascii="David" w:eastAsia="Calibri" w:hAnsi="David"/>
        </w:rPr>
      </w:pPr>
    </w:p>
    <w:p w14:paraId="2A859661" w14:textId="77777777" w:rsidR="00261661" w:rsidRDefault="00261661" w:rsidP="00261661">
      <w:pPr>
        <w:numPr>
          <w:ilvl w:val="0"/>
          <w:numId w:val="1"/>
        </w:numPr>
        <w:spacing w:after="160" w:line="360" w:lineRule="auto"/>
        <w:contextualSpacing/>
        <w:jc w:val="both"/>
        <w:rPr>
          <w:rFonts w:ascii="David" w:eastAsia="Calibri" w:hAnsi="David"/>
        </w:rPr>
      </w:pPr>
      <w:r>
        <w:rPr>
          <w:rFonts w:ascii="David" w:eastAsia="Calibri" w:hAnsi="David" w:hint="cs"/>
          <w:rtl/>
        </w:rPr>
        <w:t>לנוכח כל האמור לעיל אני גוזר על הנאשם בגין כל העבירות שביצע את העונשים שלהלן:</w:t>
      </w:r>
    </w:p>
    <w:p w14:paraId="61E6C56D" w14:textId="77777777" w:rsidR="00261661" w:rsidRDefault="00261661" w:rsidP="00261661">
      <w:pPr>
        <w:pStyle w:val="a9"/>
        <w:numPr>
          <w:ilvl w:val="0"/>
          <w:numId w:val="2"/>
        </w:numPr>
        <w:spacing w:after="160" w:line="360" w:lineRule="auto"/>
        <w:jc w:val="both"/>
        <w:rPr>
          <w:rFonts w:ascii="David" w:eastAsia="Calibri" w:hAnsi="David"/>
        </w:rPr>
      </w:pPr>
      <w:r>
        <w:rPr>
          <w:rFonts w:ascii="David" w:eastAsia="Calibri" w:hAnsi="David" w:hint="cs"/>
          <w:rtl/>
        </w:rPr>
        <w:t>6 שנות מאסר בפועל בניכוי ימי מעצרו של הנאשם לפי רישומי שב</w:t>
      </w:r>
      <w:r>
        <w:rPr>
          <w:rFonts w:ascii="David" w:eastAsia="Calibri" w:hAnsi="David"/>
        </w:rPr>
        <w:t>"</w:t>
      </w:r>
      <w:r>
        <w:rPr>
          <w:rFonts w:ascii="David" w:eastAsia="Calibri" w:hAnsi="David" w:hint="cs"/>
          <w:rtl/>
        </w:rPr>
        <w:t>ס.</w:t>
      </w:r>
    </w:p>
    <w:p w14:paraId="6D30DDA8" w14:textId="77777777" w:rsidR="00261661" w:rsidRDefault="00261661" w:rsidP="00261661">
      <w:pPr>
        <w:pStyle w:val="a9"/>
        <w:numPr>
          <w:ilvl w:val="0"/>
          <w:numId w:val="2"/>
        </w:numPr>
        <w:spacing w:after="160" w:line="360" w:lineRule="auto"/>
        <w:jc w:val="both"/>
        <w:rPr>
          <w:rFonts w:ascii="David" w:eastAsia="Calibri" w:hAnsi="David"/>
        </w:rPr>
      </w:pPr>
      <w:r>
        <w:rPr>
          <w:rFonts w:ascii="David" w:eastAsia="Calibri" w:hAnsi="David" w:hint="cs"/>
          <w:rtl/>
        </w:rPr>
        <w:t>12 חודשי מאסר על תנאי אותם ירצה הנאשם בפועל אם בתוך 3 שנים מיום שחרורו מהכלא הוא יבצע עבירה מהעבירות בהן הוא הורשע לפניי, או עבירה נגד בטחון המדינה.</w:t>
      </w:r>
    </w:p>
    <w:p w14:paraId="06B467ED" w14:textId="77777777" w:rsidR="00261661" w:rsidRDefault="00261661" w:rsidP="00261661">
      <w:pPr>
        <w:pStyle w:val="a9"/>
        <w:numPr>
          <w:ilvl w:val="0"/>
          <w:numId w:val="2"/>
        </w:numPr>
        <w:spacing w:after="160" w:line="360" w:lineRule="auto"/>
        <w:jc w:val="both"/>
        <w:rPr>
          <w:rFonts w:ascii="David" w:eastAsia="Calibri" w:hAnsi="David"/>
        </w:rPr>
      </w:pPr>
      <w:r>
        <w:rPr>
          <w:rFonts w:ascii="David" w:eastAsia="Calibri" w:hAnsi="David" w:hint="cs"/>
          <w:rtl/>
        </w:rPr>
        <w:t>לנוכח עונש</w:t>
      </w:r>
      <w:r w:rsidRPr="00B17ABF">
        <w:rPr>
          <w:rFonts w:ascii="David" w:eastAsia="Calibri" w:hAnsi="David" w:hint="cs"/>
          <w:rtl/>
        </w:rPr>
        <w:t xml:space="preserve"> המאסר הכבד</w:t>
      </w:r>
      <w:r>
        <w:rPr>
          <w:rFonts w:ascii="David" w:eastAsia="Calibri" w:hAnsi="David" w:hint="cs"/>
          <w:rtl/>
        </w:rPr>
        <w:t xml:space="preserve"> שעתיד לרצות הנאשם</w:t>
      </w:r>
      <w:r w:rsidRPr="00B17ABF">
        <w:rPr>
          <w:rFonts w:ascii="David" w:eastAsia="Calibri" w:hAnsi="David" w:hint="cs"/>
          <w:rtl/>
        </w:rPr>
        <w:t xml:space="preserve">, ולנוכח מהות העבירות בהן הוא הורשע, לא ראיתי לנכון לגזור על הנאשם קנס. </w:t>
      </w:r>
    </w:p>
    <w:p w14:paraId="5203A62B" w14:textId="77777777" w:rsidR="00261661" w:rsidRPr="00B17ABF" w:rsidRDefault="00261661" w:rsidP="00261661">
      <w:pPr>
        <w:pStyle w:val="a9"/>
        <w:spacing w:after="160" w:line="360" w:lineRule="auto"/>
        <w:ind w:left="1080"/>
        <w:jc w:val="both"/>
        <w:rPr>
          <w:rFonts w:ascii="David" w:eastAsia="Calibri" w:hAnsi="David"/>
        </w:rPr>
      </w:pPr>
    </w:p>
    <w:p w14:paraId="710AACDD" w14:textId="77777777" w:rsidR="00261661" w:rsidRPr="00497094" w:rsidRDefault="00B3021F" w:rsidP="00261661">
      <w:pPr>
        <w:numPr>
          <w:ilvl w:val="0"/>
          <w:numId w:val="1"/>
        </w:numPr>
        <w:spacing w:after="160" w:line="360" w:lineRule="auto"/>
        <w:contextualSpacing/>
        <w:jc w:val="both"/>
        <w:rPr>
          <w:rFonts w:ascii="David" w:eastAsia="Calibri" w:hAnsi="David"/>
          <w:rtl/>
        </w:rPr>
      </w:pPr>
      <w:r w:rsidRPr="00B3021F">
        <w:rPr>
          <w:rFonts w:ascii="David" w:eastAsia="Calibri" w:hAnsi="David"/>
          <w:color w:val="FFFFFF"/>
          <w:sz w:val="2"/>
          <w:szCs w:val="2"/>
          <w:rtl/>
        </w:rPr>
        <w:t>5129371</w:t>
      </w:r>
      <w:r w:rsidR="00261661">
        <w:rPr>
          <w:rFonts w:ascii="David" w:eastAsia="Calibri" w:hAnsi="David" w:hint="cs"/>
          <w:rtl/>
        </w:rPr>
        <w:t>אני מורה על חילוט או השמדת כלי הנשק והתחמושת שנתפסו בתיק זה, לפי שיקול דעתו של קצין החקירות המוסמך לעניין זה.</w:t>
      </w:r>
    </w:p>
    <w:p w14:paraId="4196940B" w14:textId="77777777" w:rsidR="00261661" w:rsidRPr="00B3021F" w:rsidRDefault="00B3021F" w:rsidP="00261661">
      <w:pPr>
        <w:rPr>
          <w:rFonts w:ascii="Arial" w:hAnsi="Arial"/>
          <w:b/>
          <w:bCs/>
          <w:color w:val="FFFFFF"/>
          <w:sz w:val="2"/>
          <w:szCs w:val="2"/>
          <w:rtl/>
        </w:rPr>
      </w:pPr>
      <w:r w:rsidRPr="00B3021F">
        <w:rPr>
          <w:rFonts w:ascii="Arial" w:hAnsi="Arial"/>
          <w:b/>
          <w:bCs/>
          <w:color w:val="FFFFFF"/>
          <w:sz w:val="2"/>
          <w:szCs w:val="2"/>
          <w:rtl/>
        </w:rPr>
        <w:t>54678313</w:t>
      </w:r>
    </w:p>
    <w:p w14:paraId="48BA4A47" w14:textId="77777777" w:rsidR="00261661" w:rsidRPr="000F2247" w:rsidRDefault="00261661" w:rsidP="00261661">
      <w:pPr>
        <w:rPr>
          <w:rFonts w:ascii="Arial" w:hAnsi="Arial"/>
          <w:b/>
          <w:bCs/>
          <w:sz w:val="26"/>
          <w:szCs w:val="26"/>
          <w:rtl/>
        </w:rPr>
      </w:pPr>
    </w:p>
    <w:p w14:paraId="2DC06F4B" w14:textId="77777777" w:rsidR="00261661" w:rsidRPr="000F2247" w:rsidRDefault="00B3021F" w:rsidP="00261661">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ט"ז תמוז תשפ"ג, 05 יולי 2023, בנוכחות הצדדים. </w:t>
      </w:r>
      <w:bookmarkEnd w:id="7"/>
      <w:r w:rsidR="00261661">
        <w:rPr>
          <w:rFonts w:ascii="Arial" w:hAnsi="Arial"/>
          <w:b/>
          <w:bCs/>
          <w:sz w:val="26"/>
          <w:szCs w:val="26"/>
          <w:rtl/>
        </w:rPr>
        <w:tab/>
      </w:r>
      <w:r w:rsidR="00261661">
        <w:rPr>
          <w:rFonts w:ascii="Arial" w:hAnsi="Arial"/>
          <w:b/>
          <w:bCs/>
          <w:sz w:val="26"/>
          <w:szCs w:val="26"/>
          <w:rtl/>
        </w:rPr>
        <w:tab/>
      </w:r>
      <w:r w:rsidR="00261661">
        <w:rPr>
          <w:rFonts w:ascii="Arial" w:hAnsi="Arial"/>
          <w:b/>
          <w:bCs/>
          <w:sz w:val="26"/>
          <w:szCs w:val="26"/>
          <w:rtl/>
        </w:rPr>
        <w:tab/>
      </w:r>
      <w:r w:rsidR="00261661">
        <w:rPr>
          <w:rFonts w:ascii="Arial" w:hAnsi="Arial"/>
          <w:b/>
          <w:bCs/>
          <w:sz w:val="26"/>
          <w:szCs w:val="26"/>
          <w:rtl/>
        </w:rPr>
        <w:tab/>
      </w:r>
      <w:r w:rsidR="00261661">
        <w:rPr>
          <w:rFonts w:ascii="Arial" w:hAnsi="Arial"/>
          <w:b/>
          <w:bCs/>
          <w:sz w:val="26"/>
          <w:szCs w:val="26"/>
          <w:rtl/>
        </w:rPr>
        <w:tab/>
      </w:r>
      <w:r w:rsidR="00261661">
        <w:rPr>
          <w:rFonts w:ascii="Arial" w:hAnsi="Arial"/>
          <w:b/>
          <w:bCs/>
          <w:sz w:val="26"/>
          <w:szCs w:val="26"/>
          <w:rtl/>
        </w:rPr>
        <w:tab/>
      </w:r>
      <w:r w:rsidR="00261661">
        <w:rPr>
          <w:rFonts w:ascii="Arial" w:hAnsi="Arial"/>
          <w:b/>
          <w:bCs/>
          <w:sz w:val="26"/>
          <w:szCs w:val="26"/>
          <w:rtl/>
        </w:rPr>
        <w:tab/>
      </w:r>
      <w:r w:rsidR="00261661">
        <w:rPr>
          <w:rFonts w:ascii="Arial" w:hAnsi="Arial" w:hint="cs"/>
          <w:b/>
          <w:bCs/>
          <w:sz w:val="26"/>
          <w:szCs w:val="26"/>
          <w:rtl/>
        </w:rPr>
        <w:t xml:space="preserve">         </w:t>
      </w:r>
    </w:p>
    <w:p w14:paraId="4A7A607E" w14:textId="77777777" w:rsidR="00261661" w:rsidRPr="000F2247" w:rsidRDefault="00261661" w:rsidP="00B3021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3D4B038" w14:textId="77777777" w:rsidR="00261661" w:rsidRPr="000F2247" w:rsidRDefault="00261661" w:rsidP="00261661">
      <w:pPr>
        <w:jc w:val="center"/>
        <w:rPr>
          <w:rFonts w:ascii="Arial" w:hAnsi="Arial"/>
          <w:b/>
          <w:bCs/>
          <w:sz w:val="26"/>
          <w:szCs w:val="26"/>
          <w:rtl/>
        </w:rPr>
      </w:pPr>
    </w:p>
    <w:p w14:paraId="21792425" w14:textId="77777777" w:rsidR="001239BD" w:rsidRPr="00B3021F" w:rsidRDefault="001239BD" w:rsidP="00B3021F">
      <w:pPr>
        <w:keepNext/>
        <w:rPr>
          <w:rFonts w:ascii="David" w:hAnsi="David"/>
          <w:color w:val="000000"/>
          <w:sz w:val="22"/>
          <w:szCs w:val="22"/>
          <w:rtl/>
        </w:rPr>
      </w:pPr>
    </w:p>
    <w:p w14:paraId="3F6C6413" w14:textId="77777777" w:rsidR="00B3021F" w:rsidRPr="00B3021F" w:rsidRDefault="00B3021F" w:rsidP="00B3021F">
      <w:pPr>
        <w:keepNext/>
        <w:rPr>
          <w:rFonts w:ascii="David" w:hAnsi="David"/>
          <w:color w:val="000000"/>
          <w:sz w:val="22"/>
          <w:szCs w:val="22"/>
          <w:rtl/>
        </w:rPr>
      </w:pPr>
      <w:r w:rsidRPr="00B3021F">
        <w:rPr>
          <w:rFonts w:ascii="David" w:hAnsi="David"/>
          <w:color w:val="000000"/>
          <w:sz w:val="22"/>
          <w:szCs w:val="22"/>
          <w:rtl/>
        </w:rPr>
        <w:t>אברהם רובין 54678313</w:t>
      </w:r>
    </w:p>
    <w:p w14:paraId="3C48156E" w14:textId="77777777" w:rsidR="00B3021F" w:rsidRDefault="00B3021F" w:rsidP="00B3021F">
      <w:r w:rsidRPr="00B3021F">
        <w:rPr>
          <w:color w:val="000000"/>
          <w:rtl/>
        </w:rPr>
        <w:t>נוסח מסמך זה כפוף לשינויי ניסוח ועריכה</w:t>
      </w:r>
    </w:p>
    <w:p w14:paraId="346ADF59" w14:textId="77777777" w:rsidR="00B3021F" w:rsidRDefault="00B3021F" w:rsidP="00B3021F">
      <w:pPr>
        <w:rPr>
          <w:rtl/>
        </w:rPr>
      </w:pPr>
    </w:p>
    <w:p w14:paraId="030730A1" w14:textId="77777777" w:rsidR="00B3021F" w:rsidRDefault="00B3021F" w:rsidP="00B3021F">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5E1350E" w14:textId="77777777" w:rsidR="00B3021F" w:rsidRPr="00B3021F" w:rsidRDefault="00B3021F" w:rsidP="00B3021F">
      <w:pPr>
        <w:jc w:val="center"/>
        <w:rPr>
          <w:color w:val="0000FF"/>
          <w:u w:val="single"/>
        </w:rPr>
      </w:pPr>
    </w:p>
    <w:sectPr w:rsidR="00B3021F" w:rsidRPr="00B3021F" w:rsidSect="00B3021F">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B931D" w14:textId="77777777" w:rsidR="00E63451" w:rsidRDefault="00E63451" w:rsidP="00C52BF7">
      <w:r>
        <w:separator/>
      </w:r>
    </w:p>
  </w:endnote>
  <w:endnote w:type="continuationSeparator" w:id="0">
    <w:p w14:paraId="6E0006EF" w14:textId="77777777" w:rsidR="00E63451" w:rsidRDefault="00E63451" w:rsidP="00C5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2B681" w14:textId="77777777" w:rsidR="00B3021F" w:rsidRDefault="00B3021F" w:rsidP="00B3021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C03074" w14:textId="77777777" w:rsidR="000019CC" w:rsidRPr="00B3021F" w:rsidRDefault="00B3021F" w:rsidP="00B3021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BB96B" w14:textId="77777777" w:rsidR="00B3021F" w:rsidRDefault="00B3021F" w:rsidP="00B3021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17B1">
      <w:rPr>
        <w:rFonts w:ascii="FrankRuehl" w:hAnsi="FrankRuehl" w:cs="FrankRuehl"/>
        <w:noProof/>
        <w:rtl/>
      </w:rPr>
      <w:t>1</w:t>
    </w:r>
    <w:r>
      <w:rPr>
        <w:rFonts w:ascii="FrankRuehl" w:hAnsi="FrankRuehl" w:cs="FrankRuehl"/>
        <w:rtl/>
      </w:rPr>
      <w:fldChar w:fldCharType="end"/>
    </w:r>
  </w:p>
  <w:p w14:paraId="51D53EAC" w14:textId="77777777" w:rsidR="000019CC" w:rsidRPr="00B3021F" w:rsidRDefault="00B3021F" w:rsidP="00B3021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283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D0B91" w14:textId="77777777" w:rsidR="00E63451" w:rsidRDefault="00E63451" w:rsidP="00C52BF7">
      <w:r>
        <w:separator/>
      </w:r>
    </w:p>
  </w:footnote>
  <w:footnote w:type="continuationSeparator" w:id="0">
    <w:p w14:paraId="09619E3A" w14:textId="77777777" w:rsidR="00E63451" w:rsidRDefault="00E63451" w:rsidP="00C52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2CDFC" w14:textId="77777777" w:rsidR="00B3021F" w:rsidRPr="00B3021F" w:rsidRDefault="00B3021F" w:rsidP="00B302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36287-01-22</w:t>
    </w:r>
    <w:r>
      <w:rPr>
        <w:rFonts w:ascii="David" w:hAnsi="David"/>
        <w:color w:val="000000"/>
        <w:sz w:val="22"/>
        <w:szCs w:val="22"/>
        <w:rtl/>
      </w:rPr>
      <w:tab/>
      <w:t xml:space="preserve"> מדינת ישראל נ' מחמד מדחת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76C91" w14:textId="77777777" w:rsidR="00B3021F" w:rsidRPr="00B3021F" w:rsidRDefault="00B3021F" w:rsidP="00B302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36287-01-22</w:t>
    </w:r>
    <w:r>
      <w:rPr>
        <w:rFonts w:ascii="David" w:hAnsi="David"/>
        <w:color w:val="000000"/>
        <w:sz w:val="22"/>
        <w:szCs w:val="22"/>
        <w:rtl/>
      </w:rPr>
      <w:tab/>
      <w:t xml:space="preserve"> מדינת ישראל נ' מחמד מדחת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6F4C"/>
    <w:multiLevelType w:val="hybridMultilevel"/>
    <w:tmpl w:val="92E00EB6"/>
    <w:lvl w:ilvl="0" w:tplc="831AF820">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C057A0"/>
    <w:multiLevelType w:val="hybridMultilevel"/>
    <w:tmpl w:val="BAB0685A"/>
    <w:lvl w:ilvl="0" w:tplc="A88C8A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788677">
    <w:abstractNumId w:val="1"/>
  </w:num>
  <w:num w:numId="2" w16cid:durableId="180153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1661"/>
    <w:rsid w:val="000019CC"/>
    <w:rsid w:val="00072556"/>
    <w:rsid w:val="000C76DB"/>
    <w:rsid w:val="001239BD"/>
    <w:rsid w:val="001B5A3B"/>
    <w:rsid w:val="00261661"/>
    <w:rsid w:val="00300EA0"/>
    <w:rsid w:val="004C0AD3"/>
    <w:rsid w:val="00A5566A"/>
    <w:rsid w:val="00A55D22"/>
    <w:rsid w:val="00A80B60"/>
    <w:rsid w:val="00A94F45"/>
    <w:rsid w:val="00B3021F"/>
    <w:rsid w:val="00C27E27"/>
    <w:rsid w:val="00C52BF7"/>
    <w:rsid w:val="00CE17B1"/>
    <w:rsid w:val="00E634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A622FF"/>
  <w15:chartTrackingRefBased/>
  <w15:docId w15:val="{9D38A68F-CCD8-40B4-BDF5-04F95135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166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1661"/>
    <w:pPr>
      <w:tabs>
        <w:tab w:val="center" w:pos="4153"/>
        <w:tab w:val="right" w:pos="8306"/>
      </w:tabs>
    </w:pPr>
  </w:style>
  <w:style w:type="character" w:customStyle="1" w:styleId="a4">
    <w:name w:val="כותרת עליונה תו"/>
    <w:link w:val="a3"/>
    <w:rsid w:val="00261661"/>
    <w:rPr>
      <w:rFonts w:ascii="Times New Roman" w:eastAsia="Times New Roman" w:hAnsi="Times New Roman" w:cs="David"/>
      <w:sz w:val="24"/>
      <w:szCs w:val="24"/>
    </w:rPr>
  </w:style>
  <w:style w:type="paragraph" w:styleId="a5">
    <w:name w:val="footer"/>
    <w:basedOn w:val="a"/>
    <w:link w:val="a6"/>
    <w:rsid w:val="00261661"/>
    <w:pPr>
      <w:tabs>
        <w:tab w:val="center" w:pos="4153"/>
        <w:tab w:val="right" w:pos="8306"/>
      </w:tabs>
    </w:pPr>
  </w:style>
  <w:style w:type="character" w:customStyle="1" w:styleId="a6">
    <w:name w:val="כותרת תחתונה תו"/>
    <w:link w:val="a5"/>
    <w:rsid w:val="00261661"/>
    <w:rPr>
      <w:rFonts w:ascii="Times New Roman" w:eastAsia="Times New Roman" w:hAnsi="Times New Roman" w:cs="David"/>
      <w:sz w:val="24"/>
      <w:szCs w:val="24"/>
    </w:rPr>
  </w:style>
  <w:style w:type="table" w:styleId="a7">
    <w:name w:val="Table Grid"/>
    <w:basedOn w:val="a1"/>
    <w:rsid w:val="0026166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61661"/>
  </w:style>
  <w:style w:type="paragraph" w:styleId="a9">
    <w:name w:val="List Paragraph"/>
    <w:basedOn w:val="a"/>
    <w:qFormat/>
    <w:rsid w:val="00261661"/>
    <w:pPr>
      <w:ind w:left="720"/>
      <w:contextualSpacing/>
    </w:pPr>
  </w:style>
  <w:style w:type="character" w:styleId="Hyperlink">
    <w:name w:val="Hyperlink"/>
    <w:rsid w:val="00261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7305799" TargetMode="External"/><Relationship Id="rId39" Type="http://schemas.openxmlformats.org/officeDocument/2006/relationships/hyperlink" Target="http://www.nevo.co.il/case/28245380"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13038775" TargetMode="External"/><Relationship Id="rId42" Type="http://schemas.openxmlformats.org/officeDocument/2006/relationships/hyperlink" Target="http://www.nevo.co.il/law/70301"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141771" TargetMode="External"/><Relationship Id="rId2" Type="http://schemas.openxmlformats.org/officeDocument/2006/relationships/styles" Target="styles.xml"/><Relationship Id="rId16" Type="http://schemas.openxmlformats.org/officeDocument/2006/relationships/hyperlink" Target="http://www.nevo.co.il/law/141771/2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f" TargetMode="External"/><Relationship Id="rId24" Type="http://schemas.openxmlformats.org/officeDocument/2006/relationships/hyperlink" Target="http://www.nevo.co.il/case/22690326" TargetMode="External"/><Relationship Id="rId32" Type="http://schemas.openxmlformats.org/officeDocument/2006/relationships/hyperlink" Target="http://www.nevo.co.il/case/6216271" TargetMode="External"/><Relationship Id="rId37" Type="http://schemas.openxmlformats.org/officeDocument/2006/relationships/hyperlink" Target="http://www.nevo.co.il/case/27347604" TargetMode="External"/><Relationship Id="rId40" Type="http://schemas.openxmlformats.org/officeDocument/2006/relationships/hyperlink" Target="http://www.nevo.co.il/law/70301/40f"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144.b2" TargetMode="External"/><Relationship Id="rId23" Type="http://schemas.openxmlformats.org/officeDocument/2006/relationships/hyperlink" Target="http://www.nevo.co.il/case/20593844" TargetMode="External"/><Relationship Id="rId28" Type="http://schemas.openxmlformats.org/officeDocument/2006/relationships/hyperlink" Target="http://www.nevo.co.il/case/28883087" TargetMode="External"/><Relationship Id="rId36" Type="http://schemas.openxmlformats.org/officeDocument/2006/relationships/hyperlink" Target="http://www.nevo.co.il/case/28883087" TargetMode="External"/><Relationship Id="rId49" Type="http://schemas.openxmlformats.org/officeDocument/2006/relationships/fontTable" Target="fontTable.xml"/><Relationship Id="rId10" Type="http://schemas.openxmlformats.org/officeDocument/2006/relationships/hyperlink" Target="http://www.nevo.co.il/law/70301/40e"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7925239"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9486731" TargetMode="External"/><Relationship Id="rId30" Type="http://schemas.openxmlformats.org/officeDocument/2006/relationships/hyperlink" Target="http://www.nevo.co.il/case/28952848" TargetMode="External"/><Relationship Id="rId35" Type="http://schemas.openxmlformats.org/officeDocument/2006/relationships/hyperlink" Target="http://www.nevo.co.il/case/28697227" TargetMode="External"/><Relationship Id="rId43" Type="http://schemas.openxmlformats.org/officeDocument/2006/relationships/hyperlink" Target="http://www.nevo.co.il/law/70301/40e" TargetMode="External"/><Relationship Id="rId48" Type="http://schemas.openxmlformats.org/officeDocument/2006/relationships/footer" Target="footer2.xml"/><Relationship Id="rId8" Type="http://schemas.openxmlformats.org/officeDocument/2006/relationships/hyperlink" Target="http://www.nevo.co.il/law/141771/23" TargetMode="External"/><Relationship Id="rId3" Type="http://schemas.openxmlformats.org/officeDocument/2006/relationships/settings" Target="settings.xml"/><Relationship Id="rId12" Type="http://schemas.openxmlformats.org/officeDocument/2006/relationships/hyperlink" Target="http://www.nevo.co.il/law/70301/40g" TargetMode="External"/><Relationship Id="rId17" Type="http://schemas.openxmlformats.org/officeDocument/2006/relationships/hyperlink" Target="http://www.nevo.co.il/law/141771" TargetMode="External"/><Relationship Id="rId25" Type="http://schemas.openxmlformats.org/officeDocument/2006/relationships/hyperlink" Target="http://www.nevo.co.il/case/28952848" TargetMode="External"/><Relationship Id="rId33" Type="http://schemas.openxmlformats.org/officeDocument/2006/relationships/hyperlink" Target="http://www.nevo.co.il/case/5581438" TargetMode="External"/><Relationship Id="rId38" Type="http://schemas.openxmlformats.org/officeDocument/2006/relationships/hyperlink" Target="http://www.nevo.co.il/case/28020687" TargetMode="External"/><Relationship Id="rId46" Type="http://schemas.openxmlformats.org/officeDocument/2006/relationships/header" Target="header2.xml"/><Relationship Id="rId20" Type="http://schemas.openxmlformats.org/officeDocument/2006/relationships/hyperlink" Target="http://www.nevo.co.il/law/70301/144.b" TargetMode="External"/><Relationship Id="rId41" Type="http://schemas.openxmlformats.org/officeDocument/2006/relationships/hyperlink" Target="http://www.nevo.co.il/law/70301/40g"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3924</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23499</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6619233</vt:i4>
      </vt:variant>
      <vt:variant>
        <vt:i4>108</vt:i4>
      </vt:variant>
      <vt:variant>
        <vt:i4>0</vt:i4>
      </vt:variant>
      <vt:variant>
        <vt:i4>5</vt:i4>
      </vt:variant>
      <vt:variant>
        <vt:lpwstr>http://www.nevo.co.il/law/70301/40e</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http://www.nevo.co.il/law/70301/40g</vt:lpwstr>
      </vt:variant>
      <vt:variant>
        <vt:lpwstr/>
      </vt:variant>
      <vt:variant>
        <vt:i4>6619233</vt:i4>
      </vt:variant>
      <vt:variant>
        <vt:i4>99</vt:i4>
      </vt:variant>
      <vt:variant>
        <vt:i4>0</vt:i4>
      </vt:variant>
      <vt:variant>
        <vt:i4>5</vt:i4>
      </vt:variant>
      <vt:variant>
        <vt:lpwstr>http://www.nevo.co.il/law/70301/40f</vt:lpwstr>
      </vt:variant>
      <vt:variant>
        <vt:lpwstr/>
      </vt:variant>
      <vt:variant>
        <vt:i4>3997819</vt:i4>
      </vt:variant>
      <vt:variant>
        <vt:i4>96</vt:i4>
      </vt:variant>
      <vt:variant>
        <vt:i4>0</vt:i4>
      </vt:variant>
      <vt:variant>
        <vt:i4>5</vt:i4>
      </vt:variant>
      <vt:variant>
        <vt:lpwstr>http://www.nevo.co.il/case/28245380</vt:lpwstr>
      </vt:variant>
      <vt:variant>
        <vt:lpwstr/>
      </vt:variant>
      <vt:variant>
        <vt:i4>3801208</vt:i4>
      </vt:variant>
      <vt:variant>
        <vt:i4>93</vt:i4>
      </vt:variant>
      <vt:variant>
        <vt:i4>0</vt:i4>
      </vt:variant>
      <vt:variant>
        <vt:i4>5</vt:i4>
      </vt:variant>
      <vt:variant>
        <vt:lpwstr>http://www.nevo.co.il/case/28020687</vt:lpwstr>
      </vt:variant>
      <vt:variant>
        <vt:lpwstr/>
      </vt:variant>
      <vt:variant>
        <vt:i4>3539057</vt:i4>
      </vt:variant>
      <vt:variant>
        <vt:i4>90</vt:i4>
      </vt:variant>
      <vt:variant>
        <vt:i4>0</vt:i4>
      </vt:variant>
      <vt:variant>
        <vt:i4>5</vt:i4>
      </vt:variant>
      <vt:variant>
        <vt:lpwstr>http://www.nevo.co.il/case/27347604</vt:lpwstr>
      </vt:variant>
      <vt:variant>
        <vt:lpwstr/>
      </vt:variant>
      <vt:variant>
        <vt:i4>3211380</vt:i4>
      </vt:variant>
      <vt:variant>
        <vt:i4>87</vt:i4>
      </vt:variant>
      <vt:variant>
        <vt:i4>0</vt:i4>
      </vt:variant>
      <vt:variant>
        <vt:i4>5</vt:i4>
      </vt:variant>
      <vt:variant>
        <vt:lpwstr>http://www.nevo.co.il/case/28883087</vt:lpwstr>
      </vt:variant>
      <vt:variant>
        <vt:lpwstr/>
      </vt:variant>
      <vt:variant>
        <vt:i4>3211383</vt:i4>
      </vt:variant>
      <vt:variant>
        <vt:i4>84</vt:i4>
      </vt:variant>
      <vt:variant>
        <vt:i4>0</vt:i4>
      </vt:variant>
      <vt:variant>
        <vt:i4>5</vt:i4>
      </vt:variant>
      <vt:variant>
        <vt:lpwstr>http://www.nevo.co.il/case/28697227</vt:lpwstr>
      </vt:variant>
      <vt:variant>
        <vt:lpwstr/>
      </vt:variant>
      <vt:variant>
        <vt:i4>4063347</vt:i4>
      </vt:variant>
      <vt:variant>
        <vt:i4>81</vt:i4>
      </vt:variant>
      <vt:variant>
        <vt:i4>0</vt:i4>
      </vt:variant>
      <vt:variant>
        <vt:i4>5</vt:i4>
      </vt:variant>
      <vt:variant>
        <vt:lpwstr>http://www.nevo.co.il/case/13038775</vt:lpwstr>
      </vt:variant>
      <vt:variant>
        <vt:lpwstr/>
      </vt:variant>
      <vt:variant>
        <vt:i4>3211379</vt:i4>
      </vt:variant>
      <vt:variant>
        <vt:i4>78</vt:i4>
      </vt:variant>
      <vt:variant>
        <vt:i4>0</vt:i4>
      </vt:variant>
      <vt:variant>
        <vt:i4>5</vt:i4>
      </vt:variant>
      <vt:variant>
        <vt:lpwstr>http://www.nevo.co.il/case/5581438</vt:lpwstr>
      </vt:variant>
      <vt:variant>
        <vt:lpwstr/>
      </vt:variant>
      <vt:variant>
        <vt:i4>3407991</vt:i4>
      </vt:variant>
      <vt:variant>
        <vt:i4>75</vt:i4>
      </vt:variant>
      <vt:variant>
        <vt:i4>0</vt:i4>
      </vt:variant>
      <vt:variant>
        <vt:i4>5</vt:i4>
      </vt:variant>
      <vt:variant>
        <vt:lpwstr>http://www.nevo.co.il/case/6216271</vt:lpwstr>
      </vt:variant>
      <vt:variant>
        <vt:lpwstr/>
      </vt:variant>
      <vt:variant>
        <vt:i4>3997811</vt:i4>
      </vt:variant>
      <vt:variant>
        <vt:i4>72</vt:i4>
      </vt:variant>
      <vt:variant>
        <vt:i4>0</vt:i4>
      </vt:variant>
      <vt:variant>
        <vt:i4>5</vt:i4>
      </vt:variant>
      <vt:variant>
        <vt:lpwstr>http://www.nevo.co.il/case/27925239</vt:lpwstr>
      </vt:variant>
      <vt:variant>
        <vt:lpwstr/>
      </vt:variant>
      <vt:variant>
        <vt:i4>3997809</vt:i4>
      </vt:variant>
      <vt:variant>
        <vt:i4>69</vt:i4>
      </vt:variant>
      <vt:variant>
        <vt:i4>0</vt:i4>
      </vt:variant>
      <vt:variant>
        <vt:i4>5</vt:i4>
      </vt:variant>
      <vt:variant>
        <vt:lpwstr>http://www.nevo.co.il/case/28952848</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3211380</vt:i4>
      </vt:variant>
      <vt:variant>
        <vt:i4>63</vt:i4>
      </vt:variant>
      <vt:variant>
        <vt:i4>0</vt:i4>
      </vt:variant>
      <vt:variant>
        <vt:i4>5</vt:i4>
      </vt:variant>
      <vt:variant>
        <vt:lpwstr>http://www.nevo.co.il/case/28883087</vt:lpwstr>
      </vt:variant>
      <vt:variant>
        <vt:lpwstr/>
      </vt:variant>
      <vt:variant>
        <vt:i4>3342450</vt:i4>
      </vt:variant>
      <vt:variant>
        <vt:i4>60</vt:i4>
      </vt:variant>
      <vt:variant>
        <vt:i4>0</vt:i4>
      </vt:variant>
      <vt:variant>
        <vt:i4>5</vt:i4>
      </vt:variant>
      <vt:variant>
        <vt:lpwstr>http://www.nevo.co.il/case/29486731</vt:lpwstr>
      </vt:variant>
      <vt:variant>
        <vt:lpwstr/>
      </vt:variant>
      <vt:variant>
        <vt:i4>3997812</vt:i4>
      </vt:variant>
      <vt:variant>
        <vt:i4>57</vt:i4>
      </vt:variant>
      <vt:variant>
        <vt:i4>0</vt:i4>
      </vt:variant>
      <vt:variant>
        <vt:i4>5</vt:i4>
      </vt:variant>
      <vt:variant>
        <vt:lpwstr>http://www.nevo.co.il/case/27305799</vt:lpwstr>
      </vt:variant>
      <vt:variant>
        <vt:lpwstr/>
      </vt:variant>
      <vt:variant>
        <vt:i4>3997809</vt:i4>
      </vt:variant>
      <vt:variant>
        <vt:i4>54</vt:i4>
      </vt:variant>
      <vt:variant>
        <vt:i4>0</vt:i4>
      </vt:variant>
      <vt:variant>
        <vt:i4>5</vt:i4>
      </vt:variant>
      <vt:variant>
        <vt:lpwstr>http://www.nevo.co.il/case/28952848</vt:lpwstr>
      </vt:variant>
      <vt:variant>
        <vt:lpwstr/>
      </vt:variant>
      <vt:variant>
        <vt:i4>3539068</vt:i4>
      </vt:variant>
      <vt:variant>
        <vt:i4>51</vt:i4>
      </vt:variant>
      <vt:variant>
        <vt:i4>0</vt:i4>
      </vt:variant>
      <vt:variant>
        <vt:i4>5</vt:i4>
      </vt:variant>
      <vt:variant>
        <vt:lpwstr>http://www.nevo.co.il/case/22690326</vt:lpwstr>
      </vt:variant>
      <vt:variant>
        <vt:lpwstr/>
      </vt:variant>
      <vt:variant>
        <vt:i4>3145845</vt:i4>
      </vt:variant>
      <vt:variant>
        <vt:i4>48</vt:i4>
      </vt:variant>
      <vt:variant>
        <vt:i4>0</vt:i4>
      </vt:variant>
      <vt:variant>
        <vt:i4>5</vt:i4>
      </vt:variant>
      <vt:variant>
        <vt:lpwstr>http://www.nevo.co.il/case/20593844</vt:lpwstr>
      </vt:variant>
      <vt:variant>
        <vt:lpwstr/>
      </vt:variant>
      <vt:variant>
        <vt:i4>7995492</vt:i4>
      </vt:variant>
      <vt:variant>
        <vt:i4>45</vt:i4>
      </vt:variant>
      <vt:variant>
        <vt:i4>0</vt:i4>
      </vt:variant>
      <vt:variant>
        <vt:i4>5</vt:i4>
      </vt:variant>
      <vt:variant>
        <vt:lpwstr>http://www.nevo.co.il/law/70301</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4718679</vt:i4>
      </vt:variant>
      <vt:variant>
        <vt:i4>30</vt:i4>
      </vt:variant>
      <vt:variant>
        <vt:i4>0</vt:i4>
      </vt:variant>
      <vt:variant>
        <vt:i4>5</vt:i4>
      </vt:variant>
      <vt:variant>
        <vt:lpwstr>http://www.nevo.co.il/law/141771</vt:lpwstr>
      </vt:variant>
      <vt:variant>
        <vt:lpwstr/>
      </vt:variant>
      <vt:variant>
        <vt:i4>7995512</vt:i4>
      </vt:variant>
      <vt:variant>
        <vt:i4>27</vt:i4>
      </vt:variant>
      <vt:variant>
        <vt:i4>0</vt:i4>
      </vt:variant>
      <vt:variant>
        <vt:i4>5</vt:i4>
      </vt:variant>
      <vt:variant>
        <vt:lpwstr>http://www.nevo.co.il/law/141771/23</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7995512</vt:i4>
      </vt:variant>
      <vt:variant>
        <vt:i4>3</vt:i4>
      </vt:variant>
      <vt:variant>
        <vt:i4>0</vt:i4>
      </vt:variant>
      <vt:variant>
        <vt:i4>5</vt:i4>
      </vt:variant>
      <vt:variant>
        <vt:lpwstr>http://www.nevo.co.il/law/141771/23</vt:lpwstr>
      </vt:variant>
      <vt:variant>
        <vt:lpwstr/>
      </vt:variant>
      <vt:variant>
        <vt:i4>4718679</vt:i4>
      </vt:variant>
      <vt:variant>
        <vt:i4>0</vt:i4>
      </vt:variant>
      <vt:variant>
        <vt:i4>0</vt:i4>
      </vt:variant>
      <vt:variant>
        <vt:i4>5</vt:i4>
      </vt:variant>
      <vt:variant>
        <vt:lpwstr>http://www.nevo.co.il/law/141771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2025-01-19T16:49:00Z</dcterms:created>
  <dcterms:modified xsi:type="dcterms:W3CDTF">2025-01-19T16:49:00Z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36287</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מדחת</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20230705</vt:lpwstr>
  </property>
  <property fmtid="{D5CDD505-2E9C-101B-9397-08002B2CF9AE}" pid="13" name="TYPE_N_DATE">
    <vt:lpwstr>39020230705</vt:lpwstr>
  </property>
  <property fmtid="{D5CDD505-2E9C-101B-9397-08002B2CF9AE}" pid="14" name="WORDNUMPAGES">
    <vt:lpwstr>11</vt:lpwstr>
  </property>
  <property fmtid="{D5CDD505-2E9C-101B-9397-08002B2CF9AE}" pid="15" name="TYPE_ABS_DATE">
    <vt:lpwstr>390020230705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20593844;22690326;28952848:2;27305799;29486731;28883087:2;27925239;6216271;5581438;13038775;28697227;27347604;28020687;28245380</vt:lpwstr>
  </property>
  <property fmtid="{D5CDD505-2E9C-101B-9397-08002B2CF9AE}" pid="36" name="LAWLISTTMP1">
    <vt:lpwstr>141771/023</vt:lpwstr>
  </property>
  <property fmtid="{D5CDD505-2E9C-101B-9397-08002B2CF9AE}" pid="37" name="LAWLISTTMP2">
    <vt:lpwstr>70301/144.a;144.b;144.b2;040f;040g;040e</vt:lpwstr>
  </property>
</Properties>
</file>