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865"/>
        <w:gridCol w:w="398"/>
        <w:gridCol w:w="3263"/>
        <w:gridCol w:w="99"/>
      </w:tblGrid>
      <w:tr w:rsidR="00831ECF" w:rsidRPr="002839EE" w14:paraId="1F082A07" w14:textId="77777777" w:rsidTr="00B86E3A">
        <w:trPr>
          <w:gridAfter w:val="1"/>
          <w:wAfter w:w="99" w:type="dxa"/>
          <w:trHeight w:hRule="exact" w:val="418"/>
          <w:jc w:val="center"/>
        </w:trPr>
        <w:tc>
          <w:tcPr>
            <w:tcW w:w="8721" w:type="dxa"/>
            <w:gridSpan w:val="4"/>
          </w:tcPr>
          <w:p w14:paraId="21002E97" w14:textId="77777777" w:rsidR="00831ECF" w:rsidRPr="002839EE" w:rsidRDefault="00831ECF" w:rsidP="00D710EE">
            <w:pPr>
              <w:pStyle w:val="a3"/>
              <w:jc w:val="center"/>
              <w:rPr>
                <w:rFonts w:ascii="Tahoma" w:hAnsi="Tahoma"/>
                <w:color w:val="000080"/>
                <w:sz w:val="32"/>
                <w:szCs w:val="32"/>
                <w:rtl/>
              </w:rPr>
            </w:pPr>
            <w:bookmarkStart w:id="0" w:name="LastJudge"/>
            <w:r w:rsidRPr="002839EE">
              <w:rPr>
                <w:rFonts w:ascii="Tahoma" w:hAnsi="Tahoma"/>
                <w:b/>
                <w:bCs/>
                <w:color w:val="000080"/>
                <w:sz w:val="32"/>
                <w:szCs w:val="32"/>
                <w:rtl/>
              </w:rPr>
              <w:t>בית המשפט המחוזי בתל אביב - יפו</w:t>
            </w:r>
          </w:p>
        </w:tc>
      </w:tr>
      <w:tr w:rsidR="00831ECF" w:rsidRPr="002839EE" w14:paraId="12F0CE2E" w14:textId="77777777" w:rsidTr="00B86E3A">
        <w:trPr>
          <w:gridAfter w:val="1"/>
          <w:wAfter w:w="99" w:type="dxa"/>
          <w:trHeight w:val="337"/>
          <w:jc w:val="center"/>
        </w:trPr>
        <w:tc>
          <w:tcPr>
            <w:tcW w:w="5060" w:type="dxa"/>
            <w:gridSpan w:val="2"/>
          </w:tcPr>
          <w:p w14:paraId="174119D9" w14:textId="77777777" w:rsidR="00831ECF" w:rsidRPr="002839EE" w:rsidRDefault="00831ECF" w:rsidP="00D710EE">
            <w:pPr>
              <w:rPr>
                <w:sz w:val="26"/>
                <w:szCs w:val="26"/>
                <w:rtl/>
              </w:rPr>
            </w:pPr>
            <w:r w:rsidRPr="002839EE">
              <w:rPr>
                <w:sz w:val="26"/>
                <w:szCs w:val="26"/>
                <w:rtl/>
              </w:rPr>
              <w:t>ת"פ</w:t>
            </w:r>
            <w:r w:rsidRPr="002839EE">
              <w:rPr>
                <w:rFonts w:hint="cs"/>
                <w:sz w:val="26"/>
                <w:szCs w:val="26"/>
                <w:rtl/>
              </w:rPr>
              <w:t xml:space="preserve"> </w:t>
            </w:r>
            <w:r w:rsidRPr="002839EE">
              <w:rPr>
                <w:sz w:val="26"/>
                <w:szCs w:val="26"/>
                <w:rtl/>
              </w:rPr>
              <w:t>4031-01-22</w:t>
            </w:r>
            <w:r w:rsidRPr="002839EE">
              <w:rPr>
                <w:rFonts w:hint="cs"/>
                <w:sz w:val="26"/>
                <w:szCs w:val="26"/>
                <w:rtl/>
              </w:rPr>
              <w:t xml:space="preserve"> </w:t>
            </w:r>
            <w:r w:rsidRPr="002839EE">
              <w:rPr>
                <w:sz w:val="26"/>
                <w:szCs w:val="26"/>
                <w:rtl/>
              </w:rPr>
              <w:t>מדינת ישראל נ' יחזקאל(עציר) ואח'</w:t>
            </w:r>
          </w:p>
          <w:p w14:paraId="3789625D" w14:textId="77777777" w:rsidR="00831ECF" w:rsidRPr="002839EE" w:rsidRDefault="00831ECF" w:rsidP="00D710EE">
            <w:pPr>
              <w:pStyle w:val="a3"/>
              <w:rPr>
                <w:rFonts w:cs="FrankRuehl"/>
                <w:sz w:val="28"/>
                <w:szCs w:val="28"/>
                <w:rtl/>
              </w:rPr>
            </w:pPr>
          </w:p>
        </w:tc>
        <w:tc>
          <w:tcPr>
            <w:tcW w:w="3661" w:type="dxa"/>
            <w:gridSpan w:val="2"/>
          </w:tcPr>
          <w:p w14:paraId="2C8F5D08" w14:textId="77777777" w:rsidR="00831ECF" w:rsidRPr="002839EE" w:rsidRDefault="00831ECF" w:rsidP="00D710EE">
            <w:pPr>
              <w:pStyle w:val="a3"/>
              <w:jc w:val="right"/>
              <w:rPr>
                <w:rFonts w:cs="FrankRuehl"/>
                <w:sz w:val="28"/>
                <w:szCs w:val="28"/>
                <w:rtl/>
              </w:rPr>
            </w:pPr>
          </w:p>
        </w:tc>
      </w:tr>
      <w:tr w:rsidR="00831ECF" w:rsidRPr="002839EE" w14:paraId="2F2FFBDA" w14:textId="77777777" w:rsidTr="00B86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195" w:type="dxa"/>
            <w:tcBorders>
              <w:top w:val="nil"/>
              <w:left w:val="nil"/>
              <w:bottom w:val="nil"/>
              <w:right w:val="nil"/>
            </w:tcBorders>
            <w:shd w:val="clear" w:color="auto" w:fill="auto"/>
          </w:tcPr>
          <w:p w14:paraId="3B227F1F" w14:textId="77777777" w:rsidR="00831ECF" w:rsidRPr="002839EE" w:rsidRDefault="00831ECF" w:rsidP="00831ECF">
            <w:pPr>
              <w:jc w:val="both"/>
              <w:rPr>
                <w:rFonts w:ascii="Arial" w:hAnsi="Arial"/>
                <w:b/>
                <w:bCs/>
                <w:sz w:val="26"/>
                <w:szCs w:val="26"/>
              </w:rPr>
            </w:pPr>
            <w:r w:rsidRPr="002839EE">
              <w:rPr>
                <w:rFonts w:hint="cs"/>
                <w:rtl/>
              </w:rPr>
              <w:t xml:space="preserve"> </w:t>
            </w:r>
            <w:r w:rsidRPr="002839EE">
              <w:rPr>
                <w:rFonts w:ascii="Arial" w:hAnsi="Arial" w:hint="cs"/>
                <w:b/>
                <w:bCs/>
                <w:sz w:val="26"/>
                <w:szCs w:val="26"/>
                <w:rtl/>
              </w:rPr>
              <w:t>ב</w:t>
            </w:r>
            <w:r w:rsidRPr="002839EE">
              <w:rPr>
                <w:rFonts w:ascii="Arial" w:hAnsi="Arial"/>
                <w:b/>
                <w:bCs/>
                <w:sz w:val="26"/>
                <w:szCs w:val="26"/>
                <w:rtl/>
              </w:rPr>
              <w:t xml:space="preserve">פני </w:t>
            </w:r>
          </w:p>
        </w:tc>
        <w:tc>
          <w:tcPr>
            <w:tcW w:w="7625" w:type="dxa"/>
            <w:gridSpan w:val="4"/>
            <w:tcBorders>
              <w:top w:val="nil"/>
              <w:left w:val="nil"/>
              <w:bottom w:val="nil"/>
              <w:right w:val="nil"/>
            </w:tcBorders>
            <w:shd w:val="clear" w:color="auto" w:fill="auto"/>
          </w:tcPr>
          <w:p w14:paraId="35739BE2" w14:textId="77777777" w:rsidR="00831ECF" w:rsidRPr="002839EE" w:rsidRDefault="00831ECF" w:rsidP="00831ECF">
            <w:pPr>
              <w:jc w:val="both"/>
              <w:rPr>
                <w:rFonts w:ascii="Arial" w:hAnsi="Arial"/>
                <w:sz w:val="26"/>
                <w:szCs w:val="26"/>
              </w:rPr>
            </w:pPr>
            <w:r w:rsidRPr="002839EE">
              <w:rPr>
                <w:rFonts w:ascii="Arial" w:hAnsi="Arial"/>
                <w:b/>
                <w:bCs/>
                <w:sz w:val="26"/>
                <w:szCs w:val="26"/>
                <w:rtl/>
              </w:rPr>
              <w:t>כב' השופטת הבכירה, גיליה רביד</w:t>
            </w:r>
          </w:p>
        </w:tc>
      </w:tr>
      <w:tr w:rsidR="00831ECF" w:rsidRPr="002839EE" w14:paraId="5F9AAFF7" w14:textId="77777777" w:rsidTr="00B86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5EDDB05C" w14:textId="77777777" w:rsidR="00831ECF" w:rsidRPr="002839EE" w:rsidRDefault="00831ECF" w:rsidP="00831ECF">
            <w:pPr>
              <w:jc w:val="both"/>
              <w:rPr>
                <w:rFonts w:ascii="Arial" w:hAnsi="Arial"/>
                <w:b/>
                <w:bCs/>
                <w:sz w:val="26"/>
                <w:szCs w:val="26"/>
              </w:rPr>
            </w:pPr>
            <w:bookmarkStart w:id="1" w:name="FirstAppellant"/>
            <w:r w:rsidRPr="002839EE">
              <w:rPr>
                <w:rFonts w:ascii="Arial" w:hAnsi="Arial" w:hint="cs"/>
                <w:sz w:val="26"/>
                <w:szCs w:val="26"/>
                <w:rtl/>
              </w:rPr>
              <w:t>ה</w:t>
            </w:r>
            <w:r w:rsidRPr="002839EE">
              <w:rPr>
                <w:rFonts w:ascii="Arial" w:hAnsi="Arial"/>
                <w:sz w:val="26"/>
                <w:szCs w:val="26"/>
                <w:rtl/>
              </w:rPr>
              <w:t>מאשימה</w:t>
            </w:r>
          </w:p>
        </w:tc>
        <w:tc>
          <w:tcPr>
            <w:tcW w:w="4263" w:type="dxa"/>
            <w:gridSpan w:val="2"/>
            <w:tcBorders>
              <w:top w:val="nil"/>
              <w:left w:val="nil"/>
              <w:bottom w:val="nil"/>
              <w:right w:val="nil"/>
            </w:tcBorders>
            <w:shd w:val="clear" w:color="auto" w:fill="auto"/>
          </w:tcPr>
          <w:p w14:paraId="79C3B546" w14:textId="77777777" w:rsidR="00831ECF" w:rsidRPr="002839EE" w:rsidRDefault="00831ECF" w:rsidP="00D710EE">
            <w:pPr>
              <w:rPr>
                <w:sz w:val="26"/>
                <w:szCs w:val="26"/>
                <w:rtl/>
              </w:rPr>
            </w:pPr>
            <w:r w:rsidRPr="002839EE">
              <w:rPr>
                <w:rFonts w:ascii="Arial" w:hAnsi="Arial"/>
                <w:sz w:val="26"/>
                <w:szCs w:val="26"/>
                <w:rtl/>
              </w:rPr>
              <w:t>מדינת ישראל</w:t>
            </w:r>
          </w:p>
          <w:p w14:paraId="640E484C" w14:textId="77777777" w:rsidR="00831ECF" w:rsidRPr="002839EE" w:rsidRDefault="00831ECF" w:rsidP="00D710EE">
            <w:pPr>
              <w:rPr>
                <w:sz w:val="26"/>
                <w:szCs w:val="26"/>
              </w:rPr>
            </w:pPr>
            <w:r w:rsidRPr="002839EE">
              <w:rPr>
                <w:rFonts w:hint="cs"/>
                <w:sz w:val="26"/>
                <w:szCs w:val="26"/>
                <w:rtl/>
              </w:rPr>
              <w:t>ע"י ב"כ עו"ד</w:t>
            </w:r>
          </w:p>
        </w:tc>
        <w:tc>
          <w:tcPr>
            <w:tcW w:w="3362" w:type="dxa"/>
            <w:gridSpan w:val="2"/>
            <w:tcBorders>
              <w:top w:val="nil"/>
              <w:left w:val="nil"/>
              <w:bottom w:val="nil"/>
              <w:right w:val="nil"/>
            </w:tcBorders>
            <w:shd w:val="clear" w:color="auto" w:fill="auto"/>
          </w:tcPr>
          <w:p w14:paraId="12F86DD8" w14:textId="77777777" w:rsidR="00831ECF" w:rsidRPr="002839EE" w:rsidRDefault="00831ECF" w:rsidP="00831ECF">
            <w:pPr>
              <w:jc w:val="both"/>
              <w:rPr>
                <w:rFonts w:ascii="Arial" w:hAnsi="Arial"/>
                <w:sz w:val="26"/>
                <w:szCs w:val="26"/>
              </w:rPr>
            </w:pPr>
          </w:p>
        </w:tc>
      </w:tr>
      <w:bookmarkEnd w:id="1"/>
      <w:tr w:rsidR="00831ECF" w:rsidRPr="002839EE" w14:paraId="2BB999FE" w14:textId="77777777" w:rsidTr="00B86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4C5D6EEC" w14:textId="77777777" w:rsidR="00831ECF" w:rsidRPr="002839EE" w:rsidRDefault="00831ECF" w:rsidP="00831ECF">
            <w:pPr>
              <w:jc w:val="both"/>
              <w:rPr>
                <w:rFonts w:ascii="Arial" w:hAnsi="Arial"/>
                <w:sz w:val="26"/>
                <w:szCs w:val="26"/>
                <w:rtl/>
              </w:rPr>
            </w:pPr>
          </w:p>
        </w:tc>
        <w:tc>
          <w:tcPr>
            <w:tcW w:w="4263" w:type="dxa"/>
            <w:gridSpan w:val="2"/>
            <w:tcBorders>
              <w:top w:val="nil"/>
              <w:left w:val="nil"/>
              <w:bottom w:val="nil"/>
              <w:right w:val="nil"/>
            </w:tcBorders>
            <w:shd w:val="clear" w:color="auto" w:fill="auto"/>
          </w:tcPr>
          <w:p w14:paraId="3775258F" w14:textId="77777777" w:rsidR="00831ECF" w:rsidRPr="002839EE" w:rsidRDefault="00831ECF" w:rsidP="00D710EE">
            <w:pPr>
              <w:rPr>
                <w:rFonts w:ascii="Arial" w:hAnsi="Arial"/>
                <w:sz w:val="26"/>
                <w:szCs w:val="26"/>
                <w:rtl/>
              </w:rPr>
            </w:pPr>
          </w:p>
        </w:tc>
        <w:tc>
          <w:tcPr>
            <w:tcW w:w="3362" w:type="dxa"/>
            <w:gridSpan w:val="2"/>
            <w:tcBorders>
              <w:top w:val="nil"/>
              <w:left w:val="nil"/>
              <w:bottom w:val="nil"/>
              <w:right w:val="nil"/>
            </w:tcBorders>
            <w:shd w:val="clear" w:color="auto" w:fill="auto"/>
          </w:tcPr>
          <w:p w14:paraId="242E9FEA" w14:textId="77777777" w:rsidR="00831ECF" w:rsidRPr="002839EE" w:rsidRDefault="00831ECF" w:rsidP="00831ECF">
            <w:pPr>
              <w:jc w:val="right"/>
              <w:rPr>
                <w:rFonts w:ascii="Arial" w:hAnsi="Arial"/>
                <w:sz w:val="26"/>
                <w:szCs w:val="26"/>
                <w:rtl/>
              </w:rPr>
            </w:pPr>
          </w:p>
        </w:tc>
      </w:tr>
      <w:tr w:rsidR="00831ECF" w:rsidRPr="002839EE" w14:paraId="049000B2" w14:textId="77777777" w:rsidTr="00B86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0A5571C7" w14:textId="77777777" w:rsidR="00831ECF" w:rsidRPr="002839EE" w:rsidRDefault="00831ECF" w:rsidP="00831ECF">
            <w:pPr>
              <w:jc w:val="both"/>
              <w:rPr>
                <w:rFonts w:ascii="Arial" w:hAnsi="Arial"/>
                <w:sz w:val="26"/>
                <w:szCs w:val="26"/>
                <w:rtl/>
              </w:rPr>
            </w:pPr>
          </w:p>
        </w:tc>
        <w:tc>
          <w:tcPr>
            <w:tcW w:w="7625" w:type="dxa"/>
            <w:gridSpan w:val="4"/>
            <w:tcBorders>
              <w:top w:val="nil"/>
              <w:left w:val="nil"/>
              <w:bottom w:val="nil"/>
              <w:right w:val="nil"/>
            </w:tcBorders>
            <w:shd w:val="clear" w:color="auto" w:fill="auto"/>
          </w:tcPr>
          <w:p w14:paraId="0AFAA43B" w14:textId="77777777" w:rsidR="00831ECF" w:rsidRPr="002839EE" w:rsidRDefault="00831ECF" w:rsidP="00831ECF">
            <w:pPr>
              <w:jc w:val="center"/>
              <w:rPr>
                <w:rFonts w:ascii="Arial" w:hAnsi="Arial"/>
                <w:b/>
                <w:bCs/>
                <w:sz w:val="26"/>
                <w:szCs w:val="26"/>
                <w:rtl/>
              </w:rPr>
            </w:pPr>
          </w:p>
          <w:p w14:paraId="4C7B231B" w14:textId="77777777" w:rsidR="00831ECF" w:rsidRPr="002839EE" w:rsidRDefault="00831ECF" w:rsidP="00831ECF">
            <w:pPr>
              <w:jc w:val="center"/>
              <w:rPr>
                <w:rFonts w:ascii="Arial" w:hAnsi="Arial"/>
                <w:b/>
                <w:bCs/>
                <w:sz w:val="26"/>
                <w:szCs w:val="26"/>
                <w:rtl/>
              </w:rPr>
            </w:pPr>
            <w:r w:rsidRPr="002839EE">
              <w:rPr>
                <w:rFonts w:ascii="Arial" w:hAnsi="Arial"/>
                <w:b/>
                <w:bCs/>
                <w:sz w:val="26"/>
                <w:szCs w:val="26"/>
                <w:rtl/>
              </w:rPr>
              <w:t>נגד</w:t>
            </w:r>
          </w:p>
          <w:p w14:paraId="2AFE9B13" w14:textId="77777777" w:rsidR="00831ECF" w:rsidRPr="002839EE" w:rsidRDefault="00831ECF" w:rsidP="00831ECF">
            <w:pPr>
              <w:jc w:val="both"/>
              <w:rPr>
                <w:rFonts w:ascii="Arial" w:hAnsi="Arial"/>
                <w:sz w:val="26"/>
                <w:szCs w:val="26"/>
              </w:rPr>
            </w:pPr>
          </w:p>
        </w:tc>
      </w:tr>
      <w:tr w:rsidR="00831ECF" w:rsidRPr="002839EE" w14:paraId="231CCFCC" w14:textId="77777777" w:rsidTr="00B86E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23776982" w14:textId="77777777" w:rsidR="00831ECF" w:rsidRPr="002839EE" w:rsidRDefault="00831ECF" w:rsidP="00D710EE">
            <w:pPr>
              <w:rPr>
                <w:rFonts w:ascii="Arial" w:hAnsi="Arial"/>
                <w:sz w:val="26"/>
                <w:szCs w:val="26"/>
                <w:rtl/>
              </w:rPr>
            </w:pPr>
            <w:bookmarkStart w:id="2" w:name="FirstLawyer"/>
            <w:r w:rsidRPr="002839EE">
              <w:rPr>
                <w:rFonts w:ascii="Arial" w:hAnsi="Arial" w:hint="cs"/>
                <w:sz w:val="26"/>
                <w:szCs w:val="26"/>
                <w:rtl/>
              </w:rPr>
              <w:t>ה</w:t>
            </w:r>
            <w:r w:rsidRPr="002839EE">
              <w:rPr>
                <w:rFonts w:ascii="Arial" w:hAnsi="Arial"/>
                <w:sz w:val="26"/>
                <w:szCs w:val="26"/>
                <w:rtl/>
              </w:rPr>
              <w:t>נאשמים</w:t>
            </w:r>
          </w:p>
        </w:tc>
        <w:tc>
          <w:tcPr>
            <w:tcW w:w="4263" w:type="dxa"/>
            <w:gridSpan w:val="2"/>
            <w:tcBorders>
              <w:top w:val="nil"/>
              <w:left w:val="nil"/>
              <w:bottom w:val="nil"/>
              <w:right w:val="nil"/>
            </w:tcBorders>
            <w:shd w:val="clear" w:color="auto" w:fill="auto"/>
          </w:tcPr>
          <w:p w14:paraId="37176696" w14:textId="77777777" w:rsidR="00831ECF" w:rsidRPr="002839EE" w:rsidRDefault="00831ECF" w:rsidP="00D710EE">
            <w:pPr>
              <w:rPr>
                <w:b/>
                <w:bCs/>
                <w:sz w:val="26"/>
                <w:szCs w:val="26"/>
                <w:rtl/>
              </w:rPr>
            </w:pPr>
            <w:r w:rsidRPr="002839EE">
              <w:rPr>
                <w:rFonts w:ascii="Arial" w:hAnsi="Arial"/>
                <w:b/>
                <w:bCs/>
                <w:sz w:val="26"/>
                <w:szCs w:val="26"/>
                <w:rtl/>
              </w:rPr>
              <w:t>1</w:t>
            </w:r>
            <w:r w:rsidRPr="002839EE">
              <w:rPr>
                <w:rFonts w:ascii="Arial" w:hAnsi="Arial" w:hint="cs"/>
                <w:b/>
                <w:bCs/>
                <w:sz w:val="26"/>
                <w:szCs w:val="26"/>
                <w:rtl/>
              </w:rPr>
              <w:t>.</w:t>
            </w:r>
            <w:r w:rsidRPr="002839EE">
              <w:rPr>
                <w:rFonts w:ascii="Arial" w:hAnsi="Arial"/>
                <w:b/>
                <w:bCs/>
                <w:sz w:val="26"/>
                <w:szCs w:val="26"/>
                <w:rtl/>
              </w:rPr>
              <w:t>רן יחזקאל (עציר)</w:t>
            </w:r>
          </w:p>
          <w:p w14:paraId="17C7517A" w14:textId="77777777" w:rsidR="00831ECF" w:rsidRPr="002839EE" w:rsidRDefault="00831ECF" w:rsidP="00D710EE">
            <w:pPr>
              <w:rPr>
                <w:sz w:val="26"/>
                <w:szCs w:val="26"/>
                <w:rtl/>
              </w:rPr>
            </w:pPr>
            <w:r w:rsidRPr="002839EE">
              <w:rPr>
                <w:rFonts w:hint="cs"/>
                <w:sz w:val="26"/>
                <w:szCs w:val="26"/>
                <w:rtl/>
              </w:rPr>
              <w:t>ע"י ב"כ עו"ד סננס</w:t>
            </w:r>
          </w:p>
          <w:p w14:paraId="548D65A6" w14:textId="77777777" w:rsidR="00831ECF" w:rsidRPr="002839EE" w:rsidRDefault="00831ECF" w:rsidP="00D710EE">
            <w:pPr>
              <w:rPr>
                <w:b/>
                <w:bCs/>
                <w:sz w:val="26"/>
                <w:szCs w:val="26"/>
                <w:rtl/>
              </w:rPr>
            </w:pPr>
            <w:r w:rsidRPr="002839EE">
              <w:rPr>
                <w:rFonts w:ascii="Arial" w:hAnsi="Arial"/>
                <w:b/>
                <w:bCs/>
                <w:sz w:val="26"/>
                <w:szCs w:val="26"/>
                <w:rtl/>
              </w:rPr>
              <w:t>2</w:t>
            </w:r>
            <w:r w:rsidRPr="002839EE">
              <w:rPr>
                <w:rFonts w:ascii="Arial" w:hAnsi="Arial" w:hint="cs"/>
                <w:b/>
                <w:bCs/>
                <w:sz w:val="26"/>
                <w:szCs w:val="26"/>
                <w:rtl/>
              </w:rPr>
              <w:t>.</w:t>
            </w:r>
            <w:r w:rsidRPr="002839EE">
              <w:rPr>
                <w:rFonts w:ascii="Arial" w:hAnsi="Arial"/>
                <w:b/>
                <w:bCs/>
                <w:sz w:val="26"/>
                <w:szCs w:val="26"/>
                <w:rtl/>
              </w:rPr>
              <w:t>רונן ירמיהו (עציר)</w:t>
            </w:r>
          </w:p>
          <w:p w14:paraId="4F817136" w14:textId="77777777" w:rsidR="00831ECF" w:rsidRPr="002839EE" w:rsidRDefault="00831ECF" w:rsidP="00D710EE">
            <w:pPr>
              <w:rPr>
                <w:sz w:val="26"/>
                <w:szCs w:val="26"/>
                <w:rtl/>
              </w:rPr>
            </w:pPr>
            <w:r w:rsidRPr="002839EE">
              <w:rPr>
                <w:rFonts w:hint="cs"/>
                <w:sz w:val="26"/>
                <w:szCs w:val="26"/>
                <w:rtl/>
              </w:rPr>
              <w:t>ע"י ב"כ עו"ד דרחי</w:t>
            </w:r>
          </w:p>
          <w:p w14:paraId="33E111A4" w14:textId="77777777" w:rsidR="00831ECF" w:rsidRPr="002839EE" w:rsidRDefault="00831ECF" w:rsidP="00D710EE">
            <w:pPr>
              <w:rPr>
                <w:b/>
                <w:bCs/>
                <w:sz w:val="26"/>
                <w:szCs w:val="26"/>
                <w:rtl/>
              </w:rPr>
            </w:pPr>
            <w:r w:rsidRPr="002839EE">
              <w:rPr>
                <w:rFonts w:ascii="Arial" w:hAnsi="Arial"/>
                <w:b/>
                <w:bCs/>
                <w:sz w:val="26"/>
                <w:szCs w:val="26"/>
                <w:rtl/>
              </w:rPr>
              <w:t>3</w:t>
            </w:r>
            <w:r w:rsidRPr="002839EE">
              <w:rPr>
                <w:rFonts w:ascii="Arial" w:hAnsi="Arial" w:hint="cs"/>
                <w:b/>
                <w:bCs/>
                <w:sz w:val="26"/>
                <w:szCs w:val="26"/>
                <w:rtl/>
              </w:rPr>
              <w:t>.</w:t>
            </w:r>
            <w:r w:rsidRPr="002839EE">
              <w:rPr>
                <w:rFonts w:ascii="Arial" w:hAnsi="Arial"/>
                <w:b/>
                <w:bCs/>
                <w:sz w:val="26"/>
                <w:szCs w:val="26"/>
                <w:rtl/>
              </w:rPr>
              <w:t>דניאל ארונבייב (עציר)</w:t>
            </w:r>
          </w:p>
          <w:p w14:paraId="5C6E7F11" w14:textId="77777777" w:rsidR="00831ECF" w:rsidRPr="002839EE" w:rsidRDefault="00831ECF" w:rsidP="00D710EE">
            <w:pPr>
              <w:rPr>
                <w:sz w:val="26"/>
                <w:szCs w:val="26"/>
                <w:rtl/>
              </w:rPr>
            </w:pPr>
            <w:r w:rsidRPr="002839EE">
              <w:rPr>
                <w:rFonts w:hint="cs"/>
                <w:sz w:val="26"/>
                <w:szCs w:val="26"/>
                <w:rtl/>
              </w:rPr>
              <w:t>ע"י ב"כ עו"ד  נעמה אלחדד</w:t>
            </w:r>
          </w:p>
        </w:tc>
        <w:tc>
          <w:tcPr>
            <w:tcW w:w="3362" w:type="dxa"/>
            <w:gridSpan w:val="2"/>
            <w:tcBorders>
              <w:top w:val="nil"/>
              <w:left w:val="nil"/>
              <w:bottom w:val="nil"/>
              <w:right w:val="nil"/>
            </w:tcBorders>
            <w:shd w:val="clear" w:color="auto" w:fill="auto"/>
          </w:tcPr>
          <w:p w14:paraId="160D9BC0" w14:textId="77777777" w:rsidR="00831ECF" w:rsidRPr="002839EE" w:rsidRDefault="00831ECF" w:rsidP="00831ECF">
            <w:pPr>
              <w:jc w:val="right"/>
              <w:rPr>
                <w:rFonts w:ascii="Arial" w:hAnsi="Arial"/>
                <w:sz w:val="26"/>
                <w:szCs w:val="26"/>
              </w:rPr>
            </w:pPr>
          </w:p>
        </w:tc>
      </w:tr>
      <w:bookmarkEnd w:id="2"/>
    </w:tbl>
    <w:p w14:paraId="235C7DAF" w14:textId="77777777" w:rsidR="00B86E3A" w:rsidRDefault="00B86E3A" w:rsidP="002839EE">
      <w:pPr>
        <w:rPr>
          <w:rtl/>
        </w:rPr>
      </w:pPr>
    </w:p>
    <w:p w14:paraId="2E4E5B5F" w14:textId="77777777" w:rsidR="00B86E3A" w:rsidRPr="00B86E3A" w:rsidRDefault="00B86E3A" w:rsidP="00B86E3A">
      <w:pPr>
        <w:spacing w:after="120" w:line="240" w:lineRule="exact"/>
        <w:ind w:left="283" w:hanging="283"/>
        <w:jc w:val="both"/>
        <w:rPr>
          <w:rFonts w:ascii="FrankRuehl" w:hAnsi="FrankRuehl" w:cs="FrankRuehl"/>
          <w:rtl/>
        </w:rPr>
      </w:pPr>
    </w:p>
    <w:p w14:paraId="0F141937" w14:textId="77777777" w:rsidR="00C26EB4" w:rsidRPr="00C26EB4" w:rsidRDefault="00C26EB4" w:rsidP="00C26EB4">
      <w:pPr>
        <w:spacing w:before="120" w:after="120" w:line="240" w:lineRule="exact"/>
        <w:ind w:left="283" w:hanging="283"/>
        <w:jc w:val="both"/>
        <w:rPr>
          <w:rFonts w:ascii="FrankRuehl" w:hAnsi="FrankRuehl" w:cs="FrankRuehl"/>
          <w:rtl/>
        </w:rPr>
      </w:pPr>
    </w:p>
    <w:p w14:paraId="11181452" w14:textId="77777777" w:rsidR="00C72ED2" w:rsidRDefault="00C72ED2" w:rsidP="00C72ED2">
      <w:pPr>
        <w:rPr>
          <w:rtl/>
        </w:rPr>
      </w:pPr>
      <w:bookmarkStart w:id="3" w:name="LawTable"/>
      <w:bookmarkEnd w:id="3"/>
    </w:p>
    <w:p w14:paraId="63D05040" w14:textId="77777777" w:rsidR="00C72ED2" w:rsidRPr="00C72ED2" w:rsidRDefault="00C72ED2" w:rsidP="00C72ED2">
      <w:pPr>
        <w:spacing w:before="120" w:after="120" w:line="240" w:lineRule="exact"/>
        <w:ind w:left="283" w:hanging="283"/>
        <w:jc w:val="both"/>
        <w:rPr>
          <w:rFonts w:ascii="FrankRuehl" w:hAnsi="FrankRuehl" w:cs="FrankRuehl"/>
          <w:rtl/>
        </w:rPr>
      </w:pPr>
    </w:p>
    <w:p w14:paraId="49A38582" w14:textId="77777777" w:rsidR="00C72ED2" w:rsidRPr="00C72ED2" w:rsidRDefault="00C72ED2" w:rsidP="00C72ED2">
      <w:pPr>
        <w:spacing w:before="120" w:after="120" w:line="240" w:lineRule="exact"/>
        <w:ind w:left="283" w:hanging="283"/>
        <w:jc w:val="both"/>
        <w:rPr>
          <w:rFonts w:ascii="FrankRuehl" w:hAnsi="FrankRuehl" w:cs="FrankRuehl"/>
          <w:rtl/>
        </w:rPr>
      </w:pPr>
    </w:p>
    <w:p w14:paraId="2145B966" w14:textId="77777777" w:rsidR="00C72ED2" w:rsidRPr="00C72ED2" w:rsidRDefault="00C72ED2" w:rsidP="00C72ED2">
      <w:pPr>
        <w:spacing w:before="120" w:after="120" w:line="240" w:lineRule="exact"/>
        <w:ind w:left="283" w:hanging="283"/>
        <w:jc w:val="both"/>
        <w:rPr>
          <w:rFonts w:ascii="FrankRuehl" w:hAnsi="FrankRuehl" w:cs="FrankRuehl"/>
          <w:rtl/>
        </w:rPr>
      </w:pPr>
      <w:r w:rsidRPr="00C72ED2">
        <w:rPr>
          <w:rFonts w:ascii="FrankRuehl" w:hAnsi="FrankRuehl" w:cs="FrankRuehl"/>
          <w:rtl/>
        </w:rPr>
        <w:t xml:space="preserve">חקיקה שאוזכרה: </w:t>
      </w:r>
    </w:p>
    <w:p w14:paraId="0AE64A7C" w14:textId="77777777" w:rsidR="00C72ED2" w:rsidRPr="00C72ED2" w:rsidRDefault="00C72ED2" w:rsidP="00C72ED2">
      <w:pPr>
        <w:spacing w:before="120" w:after="120" w:line="240" w:lineRule="exact"/>
        <w:ind w:left="283" w:hanging="283"/>
        <w:jc w:val="both"/>
        <w:rPr>
          <w:rFonts w:ascii="FrankRuehl" w:hAnsi="FrankRuehl" w:cs="FrankRuehl"/>
          <w:rtl/>
        </w:rPr>
      </w:pPr>
      <w:hyperlink r:id="rId7" w:history="1">
        <w:r w:rsidRPr="00C72ED2">
          <w:rPr>
            <w:rFonts w:ascii="FrankRuehl" w:hAnsi="FrankRuehl" w:cs="FrankRuehl"/>
            <w:color w:val="0000FF"/>
            <w:rtl/>
          </w:rPr>
          <w:t>חוק העונשין, תשל"ז-1977</w:t>
        </w:r>
      </w:hyperlink>
      <w:r w:rsidRPr="00C72ED2">
        <w:rPr>
          <w:rFonts w:ascii="FrankRuehl" w:hAnsi="FrankRuehl" w:cs="FrankRuehl"/>
          <w:rtl/>
        </w:rPr>
        <w:t xml:space="preserve">: סע'  </w:t>
      </w:r>
      <w:hyperlink r:id="rId8" w:history="1">
        <w:r w:rsidRPr="00C72ED2">
          <w:rPr>
            <w:rFonts w:ascii="FrankRuehl" w:hAnsi="FrankRuehl" w:cs="FrankRuehl"/>
            <w:color w:val="0000FF"/>
            <w:rtl/>
          </w:rPr>
          <w:t>29</w:t>
        </w:r>
      </w:hyperlink>
      <w:r w:rsidRPr="00C72ED2">
        <w:rPr>
          <w:rFonts w:ascii="FrankRuehl" w:hAnsi="FrankRuehl" w:cs="FrankRuehl"/>
          <w:rtl/>
        </w:rPr>
        <w:t xml:space="preserve">, </w:t>
      </w:r>
      <w:hyperlink r:id="rId9" w:history="1">
        <w:r w:rsidRPr="00C72ED2">
          <w:rPr>
            <w:rFonts w:ascii="FrankRuehl" w:hAnsi="FrankRuehl" w:cs="FrankRuehl"/>
            <w:color w:val="0000FF"/>
            <w:rtl/>
          </w:rPr>
          <w:t>31</w:t>
        </w:r>
      </w:hyperlink>
      <w:r w:rsidRPr="00C72ED2">
        <w:rPr>
          <w:rFonts w:ascii="FrankRuehl" w:hAnsi="FrankRuehl" w:cs="FrankRuehl"/>
          <w:rtl/>
        </w:rPr>
        <w:t xml:space="preserve">, </w:t>
      </w:r>
      <w:hyperlink r:id="rId10" w:history="1">
        <w:r w:rsidRPr="00C72ED2">
          <w:rPr>
            <w:rFonts w:ascii="FrankRuehl" w:hAnsi="FrankRuehl" w:cs="FrankRuehl"/>
            <w:color w:val="0000FF"/>
            <w:rtl/>
          </w:rPr>
          <w:t>144</w:t>
        </w:r>
      </w:hyperlink>
      <w:r w:rsidRPr="00C72ED2">
        <w:rPr>
          <w:rFonts w:ascii="FrankRuehl" w:hAnsi="FrankRuehl" w:cs="FrankRuehl"/>
          <w:rtl/>
        </w:rPr>
        <w:t xml:space="preserve">, </w:t>
      </w:r>
      <w:hyperlink r:id="rId11" w:history="1">
        <w:r w:rsidRPr="00C72ED2">
          <w:rPr>
            <w:rFonts w:ascii="FrankRuehl" w:hAnsi="FrankRuehl" w:cs="FrankRuehl"/>
            <w:color w:val="0000FF"/>
            <w:rtl/>
          </w:rPr>
          <w:t>144.א.</w:t>
        </w:r>
      </w:hyperlink>
      <w:r w:rsidRPr="00C72ED2">
        <w:rPr>
          <w:rFonts w:ascii="FrankRuehl" w:hAnsi="FrankRuehl" w:cs="FrankRuehl"/>
          <w:rtl/>
        </w:rPr>
        <w:t xml:space="preserve">, </w:t>
      </w:r>
      <w:hyperlink r:id="rId12" w:history="1">
        <w:r w:rsidRPr="00C72ED2">
          <w:rPr>
            <w:rFonts w:ascii="FrankRuehl" w:hAnsi="FrankRuehl" w:cs="FrankRuehl"/>
            <w:color w:val="0000FF"/>
            <w:rtl/>
          </w:rPr>
          <w:t>242</w:t>
        </w:r>
      </w:hyperlink>
      <w:r w:rsidRPr="00C72ED2">
        <w:rPr>
          <w:rFonts w:ascii="FrankRuehl" w:hAnsi="FrankRuehl" w:cs="FrankRuehl"/>
          <w:rtl/>
        </w:rPr>
        <w:t xml:space="preserve">, </w:t>
      </w:r>
      <w:hyperlink r:id="rId13" w:history="1">
        <w:r w:rsidRPr="00C72ED2">
          <w:rPr>
            <w:rFonts w:ascii="FrankRuehl" w:hAnsi="FrankRuehl" w:cs="FrankRuehl"/>
            <w:color w:val="0000FF"/>
            <w:rtl/>
          </w:rPr>
          <w:t>244</w:t>
        </w:r>
      </w:hyperlink>
      <w:r w:rsidRPr="00C72ED2">
        <w:rPr>
          <w:rFonts w:ascii="FrankRuehl" w:hAnsi="FrankRuehl" w:cs="FrankRuehl"/>
          <w:rtl/>
        </w:rPr>
        <w:t xml:space="preserve">, </w:t>
      </w:r>
      <w:hyperlink r:id="rId14" w:history="1">
        <w:r w:rsidRPr="00C72ED2">
          <w:rPr>
            <w:rFonts w:ascii="FrankRuehl" w:hAnsi="FrankRuehl" w:cs="FrankRuehl"/>
            <w:color w:val="0000FF"/>
            <w:rtl/>
          </w:rPr>
          <w:t>413.ט.</w:t>
        </w:r>
      </w:hyperlink>
      <w:r w:rsidRPr="00C72ED2">
        <w:rPr>
          <w:rFonts w:ascii="FrankRuehl" w:hAnsi="FrankRuehl" w:cs="FrankRuehl"/>
          <w:rtl/>
        </w:rPr>
        <w:t xml:space="preserve">, </w:t>
      </w:r>
      <w:hyperlink r:id="rId15" w:history="1">
        <w:r w:rsidRPr="00C72ED2">
          <w:rPr>
            <w:rFonts w:ascii="FrankRuehl" w:hAnsi="FrankRuehl" w:cs="FrankRuehl"/>
            <w:color w:val="0000FF"/>
            <w:rtl/>
          </w:rPr>
          <w:t>413ט</w:t>
        </w:r>
      </w:hyperlink>
      <w:r w:rsidRPr="00C72ED2">
        <w:rPr>
          <w:rFonts w:ascii="FrankRuehl" w:hAnsi="FrankRuehl" w:cs="FrankRuehl"/>
          <w:rtl/>
        </w:rPr>
        <w:t xml:space="preserve">, </w:t>
      </w:r>
      <w:hyperlink r:id="rId16" w:history="1">
        <w:r w:rsidRPr="00C72ED2">
          <w:rPr>
            <w:rFonts w:ascii="FrankRuehl" w:hAnsi="FrankRuehl" w:cs="FrankRuehl"/>
            <w:color w:val="0000FF"/>
            <w:rtl/>
          </w:rPr>
          <w:t>499</w:t>
        </w:r>
      </w:hyperlink>
      <w:r w:rsidRPr="00C72ED2">
        <w:rPr>
          <w:rFonts w:ascii="FrankRuehl" w:hAnsi="FrankRuehl" w:cs="FrankRuehl"/>
          <w:rtl/>
        </w:rPr>
        <w:t xml:space="preserve">, </w:t>
      </w:r>
      <w:hyperlink r:id="rId17" w:history="1">
        <w:r w:rsidRPr="00C72ED2">
          <w:rPr>
            <w:rFonts w:ascii="FrankRuehl" w:hAnsi="FrankRuehl" w:cs="FrankRuehl"/>
            <w:color w:val="0000FF"/>
            <w:rtl/>
          </w:rPr>
          <w:t>499(א)(1)</w:t>
        </w:r>
      </w:hyperlink>
    </w:p>
    <w:p w14:paraId="3FC43503" w14:textId="77777777" w:rsidR="00C72ED2" w:rsidRPr="00C72ED2" w:rsidRDefault="00C72ED2" w:rsidP="00C72ED2">
      <w:pPr>
        <w:rPr>
          <w:rtl/>
        </w:rPr>
      </w:pPr>
      <w:bookmarkStart w:id="4" w:name="LawTable_End"/>
      <w:bookmarkEnd w:id="4"/>
    </w:p>
    <w:p w14:paraId="6532963E" w14:textId="77777777" w:rsidR="00831ECF" w:rsidRPr="00C26EB4" w:rsidRDefault="00831ECF" w:rsidP="00C26EB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1ECF" w14:paraId="604CB7C1" w14:textId="77777777" w:rsidTr="00831ECF">
        <w:trPr>
          <w:trHeight w:val="355"/>
          <w:jc w:val="center"/>
        </w:trPr>
        <w:tc>
          <w:tcPr>
            <w:tcW w:w="8820" w:type="dxa"/>
            <w:tcBorders>
              <w:top w:val="nil"/>
              <w:left w:val="nil"/>
              <w:bottom w:val="nil"/>
              <w:right w:val="nil"/>
            </w:tcBorders>
            <w:shd w:val="clear" w:color="auto" w:fill="auto"/>
          </w:tcPr>
          <w:p w14:paraId="60BAC6C7" w14:textId="77777777" w:rsidR="002839EE" w:rsidRPr="002839EE" w:rsidRDefault="002839EE" w:rsidP="002839EE">
            <w:pPr>
              <w:jc w:val="center"/>
              <w:rPr>
                <w:rFonts w:ascii="Arial" w:hAnsi="Arial"/>
                <w:b/>
                <w:bCs/>
                <w:sz w:val="28"/>
                <w:szCs w:val="28"/>
                <w:u w:val="single"/>
                <w:rtl/>
              </w:rPr>
            </w:pPr>
            <w:bookmarkStart w:id="5" w:name="PsakDin" w:colFirst="0" w:colLast="0"/>
            <w:bookmarkEnd w:id="0"/>
            <w:r w:rsidRPr="002839EE">
              <w:rPr>
                <w:rFonts w:ascii="Arial" w:hAnsi="Arial"/>
                <w:b/>
                <w:bCs/>
                <w:sz w:val="28"/>
                <w:szCs w:val="28"/>
                <w:u w:val="single"/>
                <w:rtl/>
              </w:rPr>
              <w:t>גזר דין</w:t>
            </w:r>
          </w:p>
          <w:p w14:paraId="78689C9A" w14:textId="77777777" w:rsidR="00831ECF" w:rsidRPr="002839EE" w:rsidRDefault="00831ECF" w:rsidP="002839EE">
            <w:pPr>
              <w:jc w:val="center"/>
              <w:rPr>
                <w:rFonts w:ascii="Arial" w:hAnsi="Arial"/>
                <w:bCs/>
                <w:sz w:val="28"/>
                <w:szCs w:val="28"/>
                <w:u w:val="single"/>
                <w:rtl/>
              </w:rPr>
            </w:pPr>
          </w:p>
        </w:tc>
      </w:tr>
      <w:bookmarkEnd w:id="5"/>
    </w:tbl>
    <w:p w14:paraId="7A325208" w14:textId="77777777" w:rsidR="00831ECF" w:rsidRPr="00B05847" w:rsidRDefault="00831ECF" w:rsidP="00831ECF">
      <w:pPr>
        <w:rPr>
          <w:rFonts w:ascii="Arial" w:hAnsi="Arial"/>
          <w:rtl/>
        </w:rPr>
      </w:pPr>
    </w:p>
    <w:p w14:paraId="778204D3" w14:textId="77777777" w:rsidR="00831ECF" w:rsidRDefault="00831ECF" w:rsidP="00831ECF">
      <w:pPr>
        <w:rPr>
          <w:rFonts w:ascii="David" w:hAnsi="David"/>
          <w:rtl/>
        </w:rPr>
      </w:pPr>
    </w:p>
    <w:p w14:paraId="51FFFFAC" w14:textId="77777777" w:rsidR="00831ECF" w:rsidRPr="00EF1D04" w:rsidRDefault="00831ECF" w:rsidP="00831ECF">
      <w:pPr>
        <w:jc w:val="both"/>
        <w:rPr>
          <w:rFonts w:ascii="David" w:hAnsi="David"/>
          <w:b/>
          <w:bCs/>
          <w:u w:val="single"/>
          <w:rtl/>
        </w:rPr>
      </w:pPr>
      <w:r>
        <w:rPr>
          <w:rFonts w:ascii="David" w:hAnsi="David"/>
          <w:b/>
          <w:bCs/>
          <w:u w:val="single"/>
          <w:rtl/>
        </w:rPr>
        <w:t>כללי</w:t>
      </w:r>
    </w:p>
    <w:p w14:paraId="65004E69" w14:textId="77777777" w:rsidR="00831ECF" w:rsidRDefault="00831ECF" w:rsidP="00831ECF">
      <w:pPr>
        <w:rPr>
          <w:rFonts w:ascii="David" w:hAnsi="David"/>
          <w:rtl/>
        </w:rPr>
      </w:pPr>
    </w:p>
    <w:p w14:paraId="57CD05AF" w14:textId="77777777" w:rsidR="00831ECF" w:rsidRDefault="00831ECF" w:rsidP="00831ECF">
      <w:pPr>
        <w:spacing w:line="360" w:lineRule="auto"/>
        <w:jc w:val="both"/>
        <w:rPr>
          <w:rFonts w:ascii="David" w:hAnsi="David"/>
          <w:rtl/>
        </w:rPr>
      </w:pPr>
      <w:bookmarkStart w:id="6" w:name="ABSTRACT_START"/>
      <w:bookmarkEnd w:id="6"/>
      <w:r>
        <w:rPr>
          <w:rFonts w:ascii="David" w:hAnsi="David" w:hint="cs"/>
          <w:rtl/>
        </w:rPr>
        <w:t>הנ</w:t>
      </w:r>
      <w:r>
        <w:rPr>
          <w:rFonts w:ascii="David" w:hAnsi="David"/>
          <w:rtl/>
        </w:rPr>
        <w:t>אשמי</w:t>
      </w:r>
      <w:r>
        <w:rPr>
          <w:rFonts w:ascii="David" w:hAnsi="David" w:hint="cs"/>
          <w:rtl/>
        </w:rPr>
        <w:t xml:space="preserve">ם </w:t>
      </w:r>
      <w:r>
        <w:rPr>
          <w:rFonts w:ascii="David" w:hAnsi="David"/>
          <w:rtl/>
        </w:rPr>
        <w:t>הורשעו על פי הודאתם בעובדות כתב האישום המתוקן שהוגש במסגרת הסדר טיעון</w:t>
      </w:r>
      <w:r>
        <w:rPr>
          <w:rFonts w:ascii="David" w:hAnsi="David" w:hint="cs"/>
          <w:rtl/>
        </w:rPr>
        <w:t xml:space="preserve">  </w:t>
      </w:r>
      <w:r>
        <w:rPr>
          <w:rFonts w:ascii="David" w:hAnsi="David"/>
          <w:rtl/>
        </w:rPr>
        <w:t xml:space="preserve">כדלקמן: </w:t>
      </w:r>
    </w:p>
    <w:p w14:paraId="6F5FE7DB" w14:textId="77777777" w:rsidR="00831ECF" w:rsidRDefault="00831ECF" w:rsidP="00831ECF">
      <w:pPr>
        <w:spacing w:line="360" w:lineRule="auto"/>
        <w:jc w:val="both"/>
        <w:rPr>
          <w:rFonts w:ascii="David" w:hAnsi="David"/>
          <w:rtl/>
        </w:rPr>
      </w:pPr>
      <w:r>
        <w:rPr>
          <w:rFonts w:ascii="David" w:hAnsi="David"/>
          <w:b/>
          <w:bCs/>
          <w:rtl/>
        </w:rPr>
        <w:t>נאשמים 1 ו-2</w:t>
      </w:r>
      <w:r>
        <w:rPr>
          <w:rFonts w:ascii="David" w:hAnsi="David"/>
          <w:rtl/>
        </w:rPr>
        <w:t xml:space="preserve">  בביצוע העבירות: קשירת קשר לביצוע פשע, לפי </w:t>
      </w:r>
      <w:hyperlink r:id="rId18" w:history="1">
        <w:r w:rsidR="00B86E3A" w:rsidRPr="00B86E3A">
          <w:rPr>
            <w:rStyle w:val="Hyperlink"/>
            <w:rFonts w:ascii="David" w:hAnsi="David"/>
            <w:rtl/>
          </w:rPr>
          <w:t>סעיף 499(א)(1)</w:t>
        </w:r>
      </w:hyperlink>
      <w:r>
        <w:rPr>
          <w:rFonts w:ascii="David" w:hAnsi="David"/>
          <w:rtl/>
        </w:rPr>
        <w:t xml:space="preserve"> ל</w:t>
      </w:r>
      <w:hyperlink r:id="rId19" w:history="1">
        <w:r w:rsidR="002839EE" w:rsidRPr="002839EE">
          <w:rPr>
            <w:rFonts w:ascii="David" w:hAnsi="David"/>
            <w:color w:val="0000FF"/>
            <w:u w:val="single"/>
            <w:rtl/>
          </w:rPr>
          <w:t>חוק העונשין</w:t>
        </w:r>
      </w:hyperlink>
      <w:r>
        <w:rPr>
          <w:rFonts w:ascii="David" w:hAnsi="David"/>
          <w:rtl/>
        </w:rPr>
        <w:t xml:space="preserve"> תשל"ז-1977, החזקת נשק לפי </w:t>
      </w:r>
      <w:hyperlink r:id="rId20" w:history="1">
        <w:r w:rsidR="00B86E3A" w:rsidRPr="00B86E3A">
          <w:rPr>
            <w:rStyle w:val="Hyperlink"/>
            <w:rFonts w:ascii="David" w:hAnsi="David"/>
            <w:rtl/>
          </w:rPr>
          <w:t>סעיף 144(א)+29</w:t>
        </w:r>
      </w:hyperlink>
      <w:r>
        <w:rPr>
          <w:rFonts w:ascii="David" w:hAnsi="David"/>
          <w:rtl/>
        </w:rPr>
        <w:t xml:space="preserve"> לחוק, שיבוש מהלכי משפט לפי סעיף </w:t>
      </w:r>
      <w:hyperlink r:id="rId21" w:history="1">
        <w:r w:rsidR="00B86E3A" w:rsidRPr="00B86E3A">
          <w:rPr>
            <w:rStyle w:val="Hyperlink"/>
            <w:rFonts w:ascii="David" w:hAnsi="David"/>
            <w:rtl/>
          </w:rPr>
          <w:t>244 +29</w:t>
        </w:r>
      </w:hyperlink>
      <w:r>
        <w:rPr>
          <w:rFonts w:ascii="David" w:hAnsi="David"/>
          <w:rtl/>
        </w:rPr>
        <w:t xml:space="preserve"> לחוק , השמדת ראיה לפי </w:t>
      </w:r>
      <w:hyperlink r:id="rId22" w:history="1">
        <w:r w:rsidR="00B86E3A" w:rsidRPr="00B86E3A">
          <w:rPr>
            <w:rStyle w:val="Hyperlink"/>
            <w:rFonts w:ascii="David" w:hAnsi="David"/>
            <w:rtl/>
          </w:rPr>
          <w:t>סעיף 242+29</w:t>
        </w:r>
      </w:hyperlink>
      <w:r>
        <w:rPr>
          <w:rFonts w:ascii="David" w:hAnsi="David"/>
          <w:rtl/>
        </w:rPr>
        <w:t xml:space="preserve"> לחוק ושינוי זהות של רכב לפי </w:t>
      </w:r>
      <w:hyperlink r:id="rId23" w:history="1">
        <w:r w:rsidR="00B86E3A" w:rsidRPr="00B86E3A">
          <w:rPr>
            <w:rStyle w:val="Hyperlink"/>
            <w:rFonts w:ascii="David" w:hAnsi="David"/>
            <w:rtl/>
          </w:rPr>
          <w:t>סעיף 413ט'+29</w:t>
        </w:r>
      </w:hyperlink>
      <w:r>
        <w:rPr>
          <w:rFonts w:ascii="David" w:hAnsi="David"/>
          <w:rtl/>
        </w:rPr>
        <w:t xml:space="preserve"> לחוק.</w:t>
      </w:r>
    </w:p>
    <w:p w14:paraId="4D4EC23B" w14:textId="77777777" w:rsidR="00831ECF" w:rsidRDefault="00831ECF" w:rsidP="00831ECF">
      <w:pPr>
        <w:spacing w:line="360" w:lineRule="auto"/>
        <w:jc w:val="both"/>
        <w:rPr>
          <w:rFonts w:ascii="David" w:hAnsi="David"/>
          <w:rtl/>
        </w:rPr>
      </w:pPr>
      <w:r>
        <w:rPr>
          <w:rFonts w:ascii="David" w:hAnsi="David"/>
          <w:b/>
          <w:bCs/>
          <w:rtl/>
        </w:rPr>
        <w:t xml:space="preserve">נאשם 3: </w:t>
      </w:r>
      <w:r>
        <w:rPr>
          <w:rFonts w:ascii="David" w:hAnsi="David"/>
          <w:rtl/>
        </w:rPr>
        <w:t xml:space="preserve">בביצוע העבירות: קשירת קשר לביצוע פשע, לפי </w:t>
      </w:r>
      <w:hyperlink r:id="rId24" w:history="1">
        <w:r w:rsidR="00B86E3A" w:rsidRPr="00B86E3A">
          <w:rPr>
            <w:rStyle w:val="Hyperlink"/>
            <w:rFonts w:ascii="David" w:hAnsi="David"/>
            <w:rtl/>
          </w:rPr>
          <w:t>סעיף 499(א)(1)</w:t>
        </w:r>
      </w:hyperlink>
      <w:r>
        <w:rPr>
          <w:rFonts w:ascii="David" w:hAnsi="David"/>
          <w:rtl/>
        </w:rPr>
        <w:t xml:space="preserve"> לחוק, סיוע להחזקת נשק לפי </w:t>
      </w:r>
      <w:hyperlink r:id="rId25" w:history="1">
        <w:r w:rsidR="00B86E3A" w:rsidRPr="00B86E3A">
          <w:rPr>
            <w:rStyle w:val="Hyperlink"/>
            <w:rFonts w:ascii="David" w:hAnsi="David"/>
            <w:rtl/>
          </w:rPr>
          <w:t>סעיף 144(א)+31+29</w:t>
        </w:r>
      </w:hyperlink>
      <w:r>
        <w:rPr>
          <w:rFonts w:ascii="David" w:hAnsi="David" w:hint="cs"/>
          <w:rtl/>
        </w:rPr>
        <w:t xml:space="preserve"> </w:t>
      </w:r>
      <w:r>
        <w:rPr>
          <w:rFonts w:ascii="David" w:hAnsi="David"/>
          <w:rtl/>
        </w:rPr>
        <w:t xml:space="preserve">לחוק, שיבוש מהלכי משפט לפי </w:t>
      </w:r>
      <w:hyperlink r:id="rId26" w:history="1">
        <w:r w:rsidR="00B86E3A" w:rsidRPr="00B86E3A">
          <w:rPr>
            <w:rStyle w:val="Hyperlink"/>
            <w:rFonts w:ascii="David" w:hAnsi="David"/>
            <w:rtl/>
          </w:rPr>
          <w:t>סעיף 244</w:t>
        </w:r>
      </w:hyperlink>
      <w:r>
        <w:rPr>
          <w:rFonts w:ascii="David" w:hAnsi="David"/>
          <w:rtl/>
        </w:rPr>
        <w:t xml:space="preserve"> +</w:t>
      </w:r>
      <w:hyperlink r:id="rId27" w:history="1">
        <w:r w:rsidR="00B86E3A" w:rsidRPr="00B86E3A">
          <w:rPr>
            <w:rStyle w:val="Hyperlink"/>
            <w:rFonts w:ascii="David" w:hAnsi="David"/>
            <w:rtl/>
          </w:rPr>
          <w:t>29</w:t>
        </w:r>
      </w:hyperlink>
      <w:r>
        <w:rPr>
          <w:rFonts w:ascii="David" w:hAnsi="David"/>
          <w:rtl/>
        </w:rPr>
        <w:t xml:space="preserve"> לחוק , השמדת ראיה לפי </w:t>
      </w:r>
      <w:hyperlink r:id="rId28" w:history="1">
        <w:r w:rsidR="00B86E3A" w:rsidRPr="00B86E3A">
          <w:rPr>
            <w:rStyle w:val="Hyperlink"/>
            <w:rFonts w:ascii="David" w:hAnsi="David"/>
            <w:rtl/>
          </w:rPr>
          <w:t>סעיף 242+29</w:t>
        </w:r>
      </w:hyperlink>
      <w:r>
        <w:rPr>
          <w:rFonts w:ascii="David" w:hAnsi="David"/>
          <w:rtl/>
        </w:rPr>
        <w:t xml:space="preserve"> לחוק ושינוי זהות של רכב לפי </w:t>
      </w:r>
      <w:hyperlink r:id="rId29" w:history="1">
        <w:r w:rsidR="00B86E3A" w:rsidRPr="00B86E3A">
          <w:rPr>
            <w:rStyle w:val="Hyperlink"/>
            <w:rFonts w:ascii="David" w:hAnsi="David"/>
            <w:rtl/>
          </w:rPr>
          <w:t>סעיף 413ט+29</w:t>
        </w:r>
      </w:hyperlink>
      <w:r>
        <w:rPr>
          <w:rFonts w:ascii="David" w:hAnsi="David"/>
          <w:rtl/>
        </w:rPr>
        <w:t xml:space="preserve"> לחוק.</w:t>
      </w:r>
    </w:p>
    <w:p w14:paraId="617E2D12" w14:textId="77777777" w:rsidR="00831ECF" w:rsidRDefault="00831ECF" w:rsidP="00831ECF">
      <w:pPr>
        <w:spacing w:line="360" w:lineRule="auto"/>
        <w:jc w:val="both"/>
        <w:rPr>
          <w:rFonts w:ascii="David" w:hAnsi="David"/>
          <w:rtl/>
        </w:rPr>
      </w:pPr>
    </w:p>
    <w:p w14:paraId="4093EAFF" w14:textId="77777777" w:rsidR="00831ECF" w:rsidRDefault="00831ECF" w:rsidP="00831ECF">
      <w:pPr>
        <w:spacing w:line="360" w:lineRule="auto"/>
        <w:jc w:val="both"/>
        <w:rPr>
          <w:rFonts w:ascii="David" w:hAnsi="David"/>
          <w:rtl/>
        </w:rPr>
      </w:pPr>
      <w:bookmarkStart w:id="7" w:name="ABSTRACT_END"/>
      <w:bookmarkEnd w:id="7"/>
      <w:r>
        <w:rPr>
          <w:rFonts w:ascii="David" w:hAnsi="David"/>
          <w:rtl/>
        </w:rPr>
        <w:lastRenderedPageBreak/>
        <w:t>בהתאם לעובדות כתב האישום המתוקן, במועד לא ידוע עובר ליום 5.12.21 ובמהלך יום 6.12.21</w:t>
      </w:r>
      <w:r>
        <w:rPr>
          <w:rFonts w:ascii="David" w:hAnsi="David" w:hint="cs"/>
          <w:rtl/>
        </w:rPr>
        <w:t>,</w:t>
      </w:r>
      <w:r>
        <w:rPr>
          <w:rFonts w:ascii="David" w:hAnsi="David"/>
          <w:rtl/>
        </w:rPr>
        <w:t xml:space="preserve"> קשרו הנאשמים יחד עם אחרים קשר פלילי (להלן: "הקשר"), לפגוע באדם שזהותו איננה ידועה למאשימה (להלן: "היעד") . לצורך ביצוע הקשר הוסכם כי חלק מהקושרים יעקבו ויתצפתו אחר היעד וידווחו לנאשמים לגבי מיקומו, זאת כאשר הנאשמים ממתינים במקום אחר כשהם מצוידים בנשק. הוסכם, כי עם קבלת ההודעה לגבי מיקום היעד, הנאשמים יגיעו למקום המיועד ויפגעו ביעד. במסגרת הקשר הצטיידו הנאשמים במכשירי טלפון לא מזוהים וכן ברכב גנוב מסוג מאזדה שעליו הרכיבו לוחיות זיהוי גנובות (להלן: "המאזדה"). במסגרת הקשר, החזיקו נאשמים 1 ו-2 בסיועו של נאשם 3 ללא רשות כדין בשני אקדחים</w:t>
      </w:r>
      <w:r>
        <w:rPr>
          <w:rFonts w:ascii="David" w:hAnsi="David" w:hint="cs"/>
          <w:rtl/>
        </w:rPr>
        <w:t>,</w:t>
      </w:r>
      <w:r>
        <w:rPr>
          <w:rFonts w:ascii="David" w:hAnsi="David"/>
          <w:rtl/>
        </w:rPr>
        <w:t xml:space="preserve"> שפרטיהם בכתב האישום, ו</w:t>
      </w:r>
      <w:r>
        <w:rPr>
          <w:rFonts w:ascii="David" w:hAnsi="David" w:hint="cs"/>
          <w:rtl/>
        </w:rPr>
        <w:t xml:space="preserve">כן </w:t>
      </w:r>
      <w:r>
        <w:rPr>
          <w:rFonts w:ascii="David" w:hAnsi="David"/>
          <w:rtl/>
        </w:rPr>
        <w:t>בתחמושת.</w:t>
      </w:r>
    </w:p>
    <w:p w14:paraId="05AB2237" w14:textId="77777777" w:rsidR="00831ECF" w:rsidRDefault="00831ECF" w:rsidP="00831ECF">
      <w:pPr>
        <w:spacing w:line="360" w:lineRule="auto"/>
        <w:jc w:val="both"/>
        <w:rPr>
          <w:rFonts w:ascii="David" w:hAnsi="David"/>
          <w:rtl/>
        </w:rPr>
      </w:pPr>
      <w:r>
        <w:rPr>
          <w:rFonts w:ascii="David" w:hAnsi="David"/>
          <w:rtl/>
        </w:rPr>
        <w:t xml:space="preserve">בהמשך, כך על פי עובדות כתב האישום, בתאריך 6.12.21, בסמוך לשעה 17:10, נסעו הנאשמים לחניון ברח' הלוחמים 21 בחולון, לשם הובילו את רכב המאזדה שנשא לוחיות זיהוי גנובות ובתוכו הניחו 3 קסדות ומיכל בנזין. האקדחים והתחמושת הוסתרו בין </w:t>
      </w:r>
      <w:r>
        <w:rPr>
          <w:rFonts w:ascii="David" w:hAnsi="David" w:hint="cs"/>
          <w:rtl/>
        </w:rPr>
        <w:t>ה</w:t>
      </w:r>
      <w:r>
        <w:rPr>
          <w:rFonts w:ascii="David" w:hAnsi="David"/>
          <w:rtl/>
        </w:rPr>
        <w:t>שיחים בסמוך לרכב המאזדה. הנאשמים עצמם התמקמו ברכב טויוטה שחנה בקרבת מקום ובתוכו החזיקו</w:t>
      </w:r>
      <w:r>
        <w:rPr>
          <w:rFonts w:ascii="David" w:hAnsi="David" w:hint="cs"/>
          <w:rtl/>
        </w:rPr>
        <w:t xml:space="preserve">, כדי להקשות על זיהוים, </w:t>
      </w:r>
      <w:r>
        <w:rPr>
          <w:rFonts w:ascii="David" w:hAnsi="David"/>
          <w:rtl/>
        </w:rPr>
        <w:t>בששה טלפונים מבצעיים, כרטיסי סים, פרטי לבוש חלופיים, כובעים ושלושה זוגות נעליים</w:t>
      </w:r>
      <w:r>
        <w:rPr>
          <w:rFonts w:ascii="David" w:hAnsi="David" w:hint="cs"/>
          <w:rtl/>
        </w:rPr>
        <w:t xml:space="preserve">. במהלך שהייתם ברכב הטויוטה, </w:t>
      </w:r>
      <w:r>
        <w:rPr>
          <w:rFonts w:ascii="David" w:hAnsi="David"/>
          <w:rtl/>
        </w:rPr>
        <w:t xml:space="preserve">עמדו </w:t>
      </w:r>
      <w:r>
        <w:rPr>
          <w:rFonts w:ascii="David" w:hAnsi="David" w:hint="cs"/>
          <w:rtl/>
        </w:rPr>
        <w:t xml:space="preserve">הנאשמים </w:t>
      </w:r>
      <w:r>
        <w:rPr>
          <w:rFonts w:ascii="David" w:hAnsi="David"/>
          <w:rtl/>
        </w:rPr>
        <w:t xml:space="preserve">בקשר עם המתצפתים </w:t>
      </w:r>
      <w:r>
        <w:rPr>
          <w:rFonts w:ascii="David" w:hAnsi="David" w:hint="cs"/>
          <w:rtl/>
        </w:rPr>
        <w:t xml:space="preserve">במטרה לקבל </w:t>
      </w:r>
      <w:r>
        <w:rPr>
          <w:rFonts w:ascii="David" w:hAnsi="David"/>
          <w:rtl/>
        </w:rPr>
        <w:t>דיווח לגבי מיקומו של היעד.</w:t>
      </w:r>
    </w:p>
    <w:p w14:paraId="114C48D6" w14:textId="77777777" w:rsidR="00831ECF" w:rsidRDefault="00831ECF" w:rsidP="00831ECF">
      <w:pPr>
        <w:spacing w:line="360" w:lineRule="auto"/>
        <w:jc w:val="both"/>
        <w:rPr>
          <w:rFonts w:ascii="David" w:hAnsi="David"/>
          <w:rtl/>
        </w:rPr>
      </w:pPr>
      <w:r>
        <w:rPr>
          <w:rFonts w:ascii="David" w:hAnsi="David"/>
          <w:rtl/>
        </w:rPr>
        <w:t>בסמוך לשעה 20:12 הגיעו למקום כוחות משטרה</w:t>
      </w:r>
      <w:r>
        <w:rPr>
          <w:rFonts w:ascii="David" w:hAnsi="David" w:hint="cs"/>
          <w:rtl/>
        </w:rPr>
        <w:t xml:space="preserve">, זאת </w:t>
      </w:r>
      <w:r>
        <w:rPr>
          <w:rFonts w:ascii="David" w:hAnsi="David"/>
          <w:rtl/>
        </w:rPr>
        <w:t xml:space="preserve"> לאחר קבלת דיווח על פעילות חשודה במקום</w:t>
      </w:r>
      <w:r>
        <w:rPr>
          <w:rFonts w:ascii="David" w:hAnsi="David" w:hint="cs"/>
          <w:rtl/>
        </w:rPr>
        <w:t>,</w:t>
      </w:r>
      <w:r>
        <w:rPr>
          <w:rFonts w:ascii="David" w:hAnsi="David"/>
          <w:rtl/>
        </w:rPr>
        <w:t xml:space="preserve"> ואז הנאשמים מחקו את המסרונים </w:t>
      </w:r>
      <w:r>
        <w:rPr>
          <w:rFonts w:ascii="David" w:hAnsi="David" w:hint="cs"/>
          <w:rtl/>
        </w:rPr>
        <w:t>מתוך ה</w:t>
      </w:r>
      <w:r>
        <w:rPr>
          <w:rFonts w:ascii="David" w:hAnsi="David"/>
          <w:rtl/>
        </w:rPr>
        <w:t xml:space="preserve">טלפון המבצעי </w:t>
      </w:r>
      <w:r>
        <w:rPr>
          <w:rFonts w:ascii="David" w:hAnsi="David" w:hint="cs"/>
          <w:rtl/>
        </w:rPr>
        <w:t xml:space="preserve">אשר באמצעותו עמדו </w:t>
      </w:r>
      <w:r>
        <w:rPr>
          <w:rFonts w:ascii="David" w:hAnsi="David"/>
          <w:rtl/>
        </w:rPr>
        <w:t>בקשר עם המתצפתים, יצאו מהרכב והשליכו את הטלפון המחוק ואת מפתחות המאזדה</w:t>
      </w:r>
      <w:r>
        <w:rPr>
          <w:rFonts w:ascii="David" w:hAnsi="David" w:hint="cs"/>
          <w:rtl/>
        </w:rPr>
        <w:t>, הכל</w:t>
      </w:r>
      <w:r>
        <w:rPr>
          <w:rFonts w:ascii="David" w:hAnsi="David"/>
          <w:rtl/>
        </w:rPr>
        <w:t xml:space="preserve"> כדי למנוע או להכשיל הליך שיפוטי</w:t>
      </w:r>
      <w:r>
        <w:rPr>
          <w:rFonts w:ascii="David" w:hAnsi="David" w:hint="cs"/>
          <w:rtl/>
        </w:rPr>
        <w:t>,</w:t>
      </w:r>
      <w:r>
        <w:rPr>
          <w:rFonts w:ascii="David" w:hAnsi="David"/>
          <w:rtl/>
        </w:rPr>
        <w:t xml:space="preserve"> או להביא לעיוות דין בהעלמת ראיות.</w:t>
      </w:r>
    </w:p>
    <w:p w14:paraId="3692FDB4" w14:textId="77777777" w:rsidR="00831ECF" w:rsidRDefault="00831ECF" w:rsidP="00831ECF">
      <w:pPr>
        <w:spacing w:line="360" w:lineRule="auto"/>
        <w:jc w:val="both"/>
        <w:rPr>
          <w:rFonts w:ascii="David" w:hAnsi="David"/>
          <w:rtl/>
        </w:rPr>
      </w:pPr>
    </w:p>
    <w:p w14:paraId="401BB290" w14:textId="77777777" w:rsidR="00831ECF" w:rsidRDefault="00831ECF" w:rsidP="00831ECF">
      <w:pPr>
        <w:spacing w:line="360" w:lineRule="auto"/>
        <w:jc w:val="both"/>
        <w:rPr>
          <w:rFonts w:ascii="David" w:hAnsi="David"/>
          <w:b/>
          <w:bCs/>
          <w:rtl/>
        </w:rPr>
      </w:pPr>
      <w:r w:rsidRPr="00EF1D04">
        <w:rPr>
          <w:rFonts w:ascii="David" w:hAnsi="David"/>
          <w:b/>
          <w:bCs/>
          <w:u w:val="single"/>
          <w:rtl/>
        </w:rPr>
        <w:t>הסדר הטיעון</w:t>
      </w:r>
    </w:p>
    <w:p w14:paraId="019E25CB" w14:textId="77777777" w:rsidR="00831ECF" w:rsidRPr="00EF1D04" w:rsidRDefault="00831ECF" w:rsidP="00831ECF">
      <w:pPr>
        <w:spacing w:line="360" w:lineRule="auto"/>
        <w:jc w:val="both"/>
        <w:rPr>
          <w:rFonts w:ascii="David" w:hAnsi="David"/>
          <w:b/>
          <w:bCs/>
          <w:rtl/>
        </w:rPr>
      </w:pPr>
    </w:p>
    <w:p w14:paraId="2B1C8A4E" w14:textId="77777777" w:rsidR="00831ECF" w:rsidRDefault="00831ECF" w:rsidP="00831ECF">
      <w:pPr>
        <w:spacing w:line="360" w:lineRule="auto"/>
        <w:jc w:val="both"/>
        <w:rPr>
          <w:rFonts w:ascii="David" w:hAnsi="David"/>
          <w:rtl/>
        </w:rPr>
      </w:pPr>
      <w:r>
        <w:rPr>
          <w:rFonts w:ascii="David" w:hAnsi="David"/>
          <w:rtl/>
        </w:rPr>
        <w:t xml:space="preserve">כאמור, הצדדים הודו והורשעו במסגרת הסדר טיעון (מסמך במ/2) שגובש לאחר </w:t>
      </w:r>
      <w:r>
        <w:rPr>
          <w:rFonts w:ascii="David" w:hAnsi="David" w:hint="cs"/>
          <w:rtl/>
        </w:rPr>
        <w:t>מו"מ ממושך</w:t>
      </w:r>
      <w:r>
        <w:rPr>
          <w:rFonts w:ascii="David" w:hAnsi="David"/>
          <w:rtl/>
        </w:rPr>
        <w:t xml:space="preserve"> ובסיועו של שופט מגשר. </w:t>
      </w:r>
      <w:r>
        <w:rPr>
          <w:rFonts w:ascii="David" w:hAnsi="David" w:hint="cs"/>
          <w:rtl/>
        </w:rPr>
        <w:t>בהתאם להסדר הטיעון, הצדדים</w:t>
      </w:r>
      <w:r>
        <w:rPr>
          <w:rFonts w:ascii="David" w:hAnsi="David"/>
          <w:rtl/>
        </w:rPr>
        <w:t xml:space="preserve"> יעתרו במשותף להטיל על </w:t>
      </w:r>
      <w:r>
        <w:rPr>
          <w:rFonts w:ascii="David" w:hAnsi="David" w:hint="cs"/>
          <w:rtl/>
        </w:rPr>
        <w:t xml:space="preserve">נאשם 1 עונש מאסר בפועל של 3.5 שנים כולל הפעלת מאסר מותנה בן ששה חודשים וכן מאסר מותנה; על נאשם 2 עונש מאסר של 3 שנים ומאסר מותנה; </w:t>
      </w:r>
      <w:r>
        <w:rPr>
          <w:rFonts w:ascii="David" w:hAnsi="David"/>
          <w:rtl/>
        </w:rPr>
        <w:t xml:space="preserve">על נאשם 3 מאסר בפועל למשך 22 חודשים </w:t>
      </w:r>
      <w:r>
        <w:rPr>
          <w:rFonts w:ascii="David" w:hAnsi="David" w:hint="cs"/>
          <w:rtl/>
        </w:rPr>
        <w:t>ומאסר מותנה. העונשים יחולו מיום מעצרם של הנאשמים, דהיינו  6.12.21.</w:t>
      </w:r>
    </w:p>
    <w:p w14:paraId="00F2969A" w14:textId="77777777" w:rsidR="00831ECF" w:rsidRDefault="00831ECF" w:rsidP="00831ECF">
      <w:pPr>
        <w:spacing w:line="360" w:lineRule="auto"/>
        <w:jc w:val="both"/>
        <w:rPr>
          <w:rFonts w:ascii="David" w:hAnsi="David"/>
          <w:rtl/>
        </w:rPr>
      </w:pPr>
      <w:r>
        <w:rPr>
          <w:rFonts w:ascii="David" w:hAnsi="David" w:hint="cs"/>
          <w:rtl/>
        </w:rPr>
        <w:t>בנוסף, הצדדים הסכימו, כי רכב המאזדה יחולט ואילו רכב הטויוטה יוחזר לבעליו הרשום, מר דניאל ימיני.</w:t>
      </w:r>
    </w:p>
    <w:p w14:paraId="75883CC4" w14:textId="77777777" w:rsidR="00831ECF" w:rsidRDefault="00831ECF" w:rsidP="00831ECF">
      <w:pPr>
        <w:spacing w:line="360" w:lineRule="auto"/>
        <w:jc w:val="both"/>
        <w:rPr>
          <w:rFonts w:ascii="David" w:hAnsi="David"/>
          <w:rtl/>
        </w:rPr>
      </w:pPr>
    </w:p>
    <w:p w14:paraId="069010D9" w14:textId="77777777" w:rsidR="00831ECF" w:rsidRDefault="00831ECF" w:rsidP="00831ECF">
      <w:pPr>
        <w:spacing w:line="360" w:lineRule="auto"/>
        <w:jc w:val="both"/>
        <w:rPr>
          <w:rFonts w:ascii="David" w:hAnsi="David"/>
          <w:b/>
          <w:bCs/>
          <w:u w:val="single"/>
          <w:rtl/>
        </w:rPr>
      </w:pPr>
      <w:r w:rsidRPr="00EF1D04">
        <w:rPr>
          <w:rFonts w:ascii="David" w:hAnsi="David"/>
          <w:b/>
          <w:bCs/>
          <w:u w:val="single"/>
          <w:rtl/>
        </w:rPr>
        <w:t>ראיות לעונש</w:t>
      </w:r>
    </w:p>
    <w:p w14:paraId="5FE30FCD" w14:textId="77777777" w:rsidR="00831ECF" w:rsidRPr="00EF1D04" w:rsidRDefault="00831ECF" w:rsidP="00831ECF">
      <w:pPr>
        <w:spacing w:line="360" w:lineRule="auto"/>
        <w:jc w:val="both"/>
        <w:rPr>
          <w:rFonts w:ascii="David" w:hAnsi="David"/>
          <w:b/>
          <w:bCs/>
          <w:u w:val="single"/>
          <w:rtl/>
        </w:rPr>
      </w:pPr>
    </w:p>
    <w:p w14:paraId="24E20371" w14:textId="77777777" w:rsidR="00831ECF" w:rsidRDefault="00831ECF" w:rsidP="00831ECF">
      <w:pPr>
        <w:spacing w:line="360" w:lineRule="auto"/>
        <w:jc w:val="both"/>
        <w:rPr>
          <w:rFonts w:ascii="David" w:hAnsi="David"/>
          <w:rtl/>
        </w:rPr>
      </w:pPr>
      <w:r>
        <w:rPr>
          <w:rFonts w:ascii="David" w:hAnsi="David" w:hint="cs"/>
          <w:rtl/>
        </w:rPr>
        <w:t>מטעם המאשימה הוגשו תדפיסי רישום פלילי של שלושת הנאשמים, כפי שיפורט להלן, וכן עותק מגזר דין ב</w:t>
      </w:r>
      <w:hyperlink r:id="rId30" w:history="1">
        <w:r w:rsidR="002839EE" w:rsidRPr="002839EE">
          <w:rPr>
            <w:rFonts w:ascii="David" w:hAnsi="David"/>
            <w:color w:val="0000FF"/>
            <w:u w:val="single"/>
            <w:rtl/>
          </w:rPr>
          <w:t>ת"פ 7617-12-19</w:t>
        </w:r>
      </w:hyperlink>
      <w:r>
        <w:rPr>
          <w:rFonts w:ascii="David" w:hAnsi="David" w:hint="cs"/>
          <w:rtl/>
        </w:rPr>
        <w:t xml:space="preserve"> נגד נאשם 1 שבו הוטל עליו מאסר על תנאי של 6 חודשים.</w:t>
      </w:r>
    </w:p>
    <w:p w14:paraId="0DAAC2F9" w14:textId="77777777" w:rsidR="00831ECF" w:rsidRDefault="00831ECF" w:rsidP="00831ECF">
      <w:pPr>
        <w:spacing w:line="360" w:lineRule="auto"/>
        <w:jc w:val="both"/>
        <w:rPr>
          <w:rFonts w:ascii="David" w:hAnsi="David"/>
          <w:rtl/>
        </w:rPr>
      </w:pPr>
    </w:p>
    <w:p w14:paraId="6B06716B" w14:textId="77777777" w:rsidR="00831ECF" w:rsidRDefault="00831ECF" w:rsidP="00831ECF">
      <w:pPr>
        <w:spacing w:line="360" w:lineRule="auto"/>
        <w:jc w:val="both"/>
        <w:rPr>
          <w:rFonts w:ascii="David" w:hAnsi="David"/>
          <w:rtl/>
        </w:rPr>
      </w:pPr>
      <w:r>
        <w:rPr>
          <w:rFonts w:ascii="David" w:hAnsi="David" w:hint="cs"/>
          <w:rtl/>
        </w:rPr>
        <w:lastRenderedPageBreak/>
        <w:t>מתדפיסי הרישום הפלילי עולה כי:</w:t>
      </w:r>
    </w:p>
    <w:p w14:paraId="713A0117" w14:textId="77777777" w:rsidR="00831ECF" w:rsidRDefault="00831ECF" w:rsidP="00831ECF">
      <w:pPr>
        <w:spacing w:line="360" w:lineRule="auto"/>
        <w:jc w:val="both"/>
        <w:rPr>
          <w:rFonts w:ascii="David" w:hAnsi="David"/>
          <w:rtl/>
        </w:rPr>
      </w:pPr>
      <w:r w:rsidRPr="001C05E3">
        <w:rPr>
          <w:rFonts w:ascii="David" w:hAnsi="David" w:hint="cs"/>
          <w:rtl/>
        </w:rPr>
        <w:t>1.</w:t>
      </w:r>
      <w:r>
        <w:rPr>
          <w:rFonts w:ascii="David" w:hAnsi="David" w:hint="cs"/>
          <w:rtl/>
        </w:rPr>
        <w:tab/>
      </w:r>
      <w:r w:rsidRPr="001C05E3">
        <w:rPr>
          <w:rFonts w:ascii="David" w:hAnsi="David" w:hint="cs"/>
          <w:rtl/>
        </w:rPr>
        <w:t xml:space="preserve">נאשם </w:t>
      </w:r>
      <w:r>
        <w:rPr>
          <w:rFonts w:ascii="David" w:hAnsi="David" w:hint="cs"/>
          <w:rtl/>
        </w:rPr>
        <w:t xml:space="preserve">1 </w:t>
      </w:r>
      <w:r w:rsidRPr="001C05E3">
        <w:rPr>
          <w:rFonts w:ascii="David" w:hAnsi="David" w:hint="cs"/>
          <w:rtl/>
        </w:rPr>
        <w:t xml:space="preserve">צבר לחובתו הרשעות קודמות </w:t>
      </w:r>
      <w:r>
        <w:rPr>
          <w:rFonts w:ascii="David" w:hAnsi="David" w:hint="cs"/>
          <w:rtl/>
        </w:rPr>
        <w:t xml:space="preserve">ב- 6 תיקים שונים שבגינם הורשע </w:t>
      </w:r>
      <w:r w:rsidRPr="001C05E3">
        <w:rPr>
          <w:rFonts w:ascii="David" w:hAnsi="David" w:hint="cs"/>
          <w:rtl/>
        </w:rPr>
        <w:t xml:space="preserve">ביצוע עבירות </w:t>
      </w:r>
      <w:r>
        <w:rPr>
          <w:rFonts w:ascii="David" w:hAnsi="David"/>
          <w:rtl/>
        </w:rPr>
        <w:tab/>
      </w:r>
      <w:r w:rsidRPr="001C05E3">
        <w:rPr>
          <w:rFonts w:ascii="David" w:hAnsi="David" w:hint="cs"/>
          <w:rtl/>
        </w:rPr>
        <w:t>אלימות</w:t>
      </w:r>
      <w:r>
        <w:rPr>
          <w:rFonts w:ascii="David" w:hAnsi="David" w:hint="cs"/>
          <w:rtl/>
        </w:rPr>
        <w:t xml:space="preserve">, סמים </w:t>
      </w:r>
      <w:r w:rsidRPr="001C05E3">
        <w:rPr>
          <w:rFonts w:ascii="David" w:hAnsi="David" w:hint="cs"/>
          <w:rtl/>
        </w:rPr>
        <w:t xml:space="preserve"> ורכוש ואף ריצה </w:t>
      </w:r>
      <w:r>
        <w:rPr>
          <w:rFonts w:ascii="David" w:hAnsi="David"/>
          <w:rtl/>
        </w:rPr>
        <w:tab/>
      </w:r>
      <w:r w:rsidRPr="001C05E3">
        <w:rPr>
          <w:rFonts w:ascii="David" w:hAnsi="David" w:hint="cs"/>
          <w:rtl/>
        </w:rPr>
        <w:t xml:space="preserve">מספר עונשי מאסר בפועל </w:t>
      </w:r>
      <w:r>
        <w:rPr>
          <w:rFonts w:ascii="David" w:hAnsi="David" w:hint="cs"/>
          <w:rtl/>
        </w:rPr>
        <w:t>,</w:t>
      </w:r>
      <w:r w:rsidRPr="001C05E3">
        <w:rPr>
          <w:rFonts w:ascii="David" w:hAnsi="David" w:hint="cs"/>
          <w:rtl/>
        </w:rPr>
        <w:t xml:space="preserve"> האחרון שבהם בשנת 2021.</w:t>
      </w:r>
    </w:p>
    <w:p w14:paraId="5948CCDC" w14:textId="77777777" w:rsidR="00831ECF" w:rsidRPr="00751594" w:rsidRDefault="00831ECF" w:rsidP="00831ECF">
      <w:pPr>
        <w:spacing w:line="360" w:lineRule="auto"/>
        <w:jc w:val="both"/>
        <w:rPr>
          <w:rFonts w:ascii="David" w:hAnsi="David"/>
          <w:rtl/>
        </w:rPr>
      </w:pPr>
    </w:p>
    <w:p w14:paraId="58E7F75A" w14:textId="77777777" w:rsidR="00831ECF" w:rsidRDefault="00831ECF" w:rsidP="00831ECF">
      <w:pPr>
        <w:spacing w:line="360" w:lineRule="auto"/>
        <w:rPr>
          <w:rtl/>
        </w:rPr>
      </w:pPr>
      <w:r>
        <w:rPr>
          <w:rFonts w:hint="cs"/>
          <w:rtl/>
        </w:rPr>
        <w:t>2.</w:t>
      </w:r>
      <w:r>
        <w:rPr>
          <w:rFonts w:hint="cs"/>
          <w:rtl/>
        </w:rPr>
        <w:tab/>
        <w:t xml:space="preserve">נאשם 2 צבר לחובתו הרשעות קודמות רבות, בעשרות תיקים שונים, חלקם בבית משפט </w:t>
      </w:r>
      <w:r>
        <w:rPr>
          <w:rtl/>
        </w:rPr>
        <w:tab/>
      </w:r>
      <w:r>
        <w:rPr>
          <w:rFonts w:hint="cs"/>
          <w:rtl/>
        </w:rPr>
        <w:t>לנוער שבגינם הורשע בביצוע עבירות אלימות, סמים ורכוש  והוא ריצה עונשי מאסר בפועל.</w:t>
      </w:r>
    </w:p>
    <w:p w14:paraId="560912F5" w14:textId="77777777" w:rsidR="00831ECF" w:rsidRDefault="00831ECF" w:rsidP="00831ECF">
      <w:pPr>
        <w:spacing w:line="360" w:lineRule="auto"/>
        <w:rPr>
          <w:rtl/>
        </w:rPr>
      </w:pPr>
    </w:p>
    <w:p w14:paraId="352923FC" w14:textId="77777777" w:rsidR="00831ECF" w:rsidRDefault="00831ECF" w:rsidP="00831ECF">
      <w:pPr>
        <w:spacing w:line="360" w:lineRule="auto"/>
        <w:rPr>
          <w:rtl/>
        </w:rPr>
      </w:pPr>
      <w:r>
        <w:rPr>
          <w:rFonts w:hint="cs"/>
          <w:rtl/>
        </w:rPr>
        <w:t>3.</w:t>
      </w:r>
      <w:r>
        <w:rPr>
          <w:rtl/>
        </w:rPr>
        <w:tab/>
      </w:r>
      <w:r>
        <w:rPr>
          <w:rFonts w:hint="cs"/>
          <w:rtl/>
        </w:rPr>
        <w:t xml:space="preserve">נאשם 3 צבר לחובתו הרשעה קודמת אחת בעבירה של החזקת אגרופן או סכין שבגינה נדון  </w:t>
      </w:r>
      <w:r>
        <w:rPr>
          <w:rtl/>
        </w:rPr>
        <w:tab/>
      </w:r>
      <w:r>
        <w:rPr>
          <w:rFonts w:hint="cs"/>
          <w:rtl/>
        </w:rPr>
        <w:t xml:space="preserve">למאסר </w:t>
      </w:r>
      <w:r>
        <w:rPr>
          <w:rtl/>
        </w:rPr>
        <w:tab/>
      </w:r>
      <w:r>
        <w:rPr>
          <w:rFonts w:hint="cs"/>
          <w:rtl/>
        </w:rPr>
        <w:t>מותנה.</w:t>
      </w:r>
    </w:p>
    <w:p w14:paraId="0656525E" w14:textId="77777777" w:rsidR="00831ECF" w:rsidRDefault="00831ECF" w:rsidP="00831ECF">
      <w:pPr>
        <w:spacing w:line="360" w:lineRule="auto"/>
        <w:rPr>
          <w:rtl/>
        </w:rPr>
      </w:pPr>
      <w:r>
        <w:rPr>
          <w:rFonts w:hint="cs"/>
          <w:rtl/>
        </w:rPr>
        <w:tab/>
      </w:r>
    </w:p>
    <w:p w14:paraId="38A28F21" w14:textId="77777777" w:rsidR="00831ECF" w:rsidRDefault="00831ECF" w:rsidP="00831ECF">
      <w:pPr>
        <w:spacing w:line="360" w:lineRule="auto"/>
        <w:rPr>
          <w:b/>
          <w:bCs/>
          <w:u w:val="single"/>
          <w:rtl/>
        </w:rPr>
      </w:pPr>
      <w:r w:rsidRPr="00EF1D04">
        <w:rPr>
          <w:rFonts w:hint="cs"/>
          <w:b/>
          <w:bCs/>
          <w:u w:val="single"/>
          <w:rtl/>
        </w:rPr>
        <w:t>טיעוני הצדדים</w:t>
      </w:r>
    </w:p>
    <w:p w14:paraId="4F59BA8E" w14:textId="77777777" w:rsidR="00831ECF" w:rsidRPr="00EF1D04" w:rsidRDefault="00831ECF" w:rsidP="00831ECF">
      <w:pPr>
        <w:spacing w:line="360" w:lineRule="auto"/>
        <w:rPr>
          <w:b/>
          <w:bCs/>
          <w:u w:val="single"/>
          <w:rtl/>
        </w:rPr>
      </w:pPr>
    </w:p>
    <w:p w14:paraId="4056C40F" w14:textId="77777777" w:rsidR="00831ECF" w:rsidRDefault="00831ECF" w:rsidP="00831ECF">
      <w:pPr>
        <w:spacing w:line="360" w:lineRule="auto"/>
        <w:jc w:val="both"/>
        <w:rPr>
          <w:rtl/>
        </w:rPr>
      </w:pPr>
      <w:r>
        <w:rPr>
          <w:rFonts w:hint="cs"/>
          <w:rtl/>
        </w:rPr>
        <w:t xml:space="preserve">המאשימה אישרה, שעל רקע נסיבות המקרה המצויות ברף חומרה גבוה, העונשים המוצעים על פי ההסדר סוטים לקולא מרמת הענישה הנוהגת, בעיקר בהתייחס לעבירות של החזקת נשק, וממדיניות הענישה הקוראת להחמרה בסוג זה של עבירות. </w:t>
      </w:r>
    </w:p>
    <w:p w14:paraId="5BAC518F" w14:textId="77777777" w:rsidR="00831ECF" w:rsidRDefault="00831ECF" w:rsidP="00831ECF">
      <w:pPr>
        <w:spacing w:line="360" w:lineRule="auto"/>
        <w:jc w:val="both"/>
        <w:rPr>
          <w:rtl/>
        </w:rPr>
      </w:pPr>
      <w:r>
        <w:rPr>
          <w:rFonts w:hint="cs"/>
          <w:rtl/>
        </w:rPr>
        <w:t>עם זאת, לגישת המאשימה, קיימים נימוקים מיוחדים שעמדו לנגד עיניה בהגיעה  להסדר הטיעון. ב"כ המאשימה הסבירה, שכנגד נאשמים 1-2 תלוי ועומד הליך פלילי נוסף שבגדרו הואשמו בעבירה של רצח. המאשימה סברה, כי בנסיבות אלה נכון יהיה לסיים בהסדר טיעון את התיק הנוכחי, כדי שהצדדים יתרכזו בניהול תיק הרצח שהוא התיק המרכזי בפרשה ואשר כתוצאה ממנו צפויים כנראה הנאשמים לרצות עונש של מאסר עולם. אשר לנאשם 3, בהינתן שבתיק זה מיוחסת לו עבירה של סיוע בלבד וגם עברו הפלילי מינורי יחסית,  נטען כי ההסדר הולם את מצבו באופן פרופורציוני.</w:t>
      </w:r>
    </w:p>
    <w:p w14:paraId="7CC1BA2E" w14:textId="77777777" w:rsidR="00831ECF" w:rsidRDefault="00831ECF" w:rsidP="00831ECF">
      <w:pPr>
        <w:spacing w:line="360" w:lineRule="auto"/>
        <w:jc w:val="both"/>
        <w:rPr>
          <w:rtl/>
        </w:rPr>
      </w:pPr>
      <w:r>
        <w:rPr>
          <w:rFonts w:hint="cs"/>
          <w:rtl/>
        </w:rPr>
        <w:t xml:space="preserve">באי כוח הנאשמים עתרו אף הם לכבד את הסדר הטיעון בהדגישם כי מדובר בהסדר ראוי, שהנמקה רלוונטית ותכליתית בצדו. ב"כ נאשם 1 עמד על הודאתו של הנאשם והחיסכון בזמן השיפוטי כמו גם על העובדה שהנאשם עצור זה למעלה משנה בתנאי מעצר שהם מכבידים יותר מתנאי מאסר. </w:t>
      </w:r>
    </w:p>
    <w:p w14:paraId="2F1071BF" w14:textId="77777777" w:rsidR="00831ECF" w:rsidRDefault="00831ECF" w:rsidP="00831ECF">
      <w:pPr>
        <w:spacing w:line="360" w:lineRule="auto"/>
        <w:jc w:val="both"/>
        <w:rPr>
          <w:rtl/>
        </w:rPr>
      </w:pPr>
      <w:r>
        <w:rPr>
          <w:rFonts w:hint="cs"/>
          <w:rtl/>
        </w:rPr>
        <w:t xml:space="preserve">ב"כ נאשם 2 עמד על כך שבמסגרת ההסדר תוקנו עובדות כתב האישום כך שהעבירה המקורית של קשירת קשר לבצוע רצח תוקנה לקשירת קשר לפשע. כמו כן נמחקה העבירה של נשיאה והובלה של נשק. לדבריו, מדובר בהסדר שגם אם הוא מקל אין הוא מסוג ההסדרים שחורגים באופן קיצוני מנורמות הענישה באופן שמצדיק התערבות. </w:t>
      </w:r>
    </w:p>
    <w:p w14:paraId="24E869C1" w14:textId="77777777" w:rsidR="00831ECF" w:rsidRDefault="00831ECF" w:rsidP="00831ECF">
      <w:pPr>
        <w:spacing w:line="360" w:lineRule="auto"/>
        <w:jc w:val="both"/>
        <w:rPr>
          <w:rtl/>
        </w:rPr>
      </w:pPr>
      <w:r>
        <w:rPr>
          <w:rFonts w:hint="cs"/>
          <w:rtl/>
        </w:rPr>
        <w:t>ב"כ נאשם 3 הדגישה כי מדובר בהסדר טיעון שגובש לאחר הליך גישור בפני כב' השופט שגיא. עוד עמדה על גילו הצעיר יחסית של נאשם 3, עברו הלא מכביד ותקופת המעצר הממושכת בה שהה.</w:t>
      </w:r>
    </w:p>
    <w:p w14:paraId="032DE1E4" w14:textId="77777777" w:rsidR="00831ECF" w:rsidRDefault="00831ECF" w:rsidP="00831ECF">
      <w:pPr>
        <w:spacing w:line="360" w:lineRule="auto"/>
        <w:jc w:val="both"/>
        <w:rPr>
          <w:rtl/>
        </w:rPr>
      </w:pPr>
    </w:p>
    <w:p w14:paraId="123F93F7" w14:textId="77777777" w:rsidR="00831ECF" w:rsidRDefault="00831ECF" w:rsidP="00831ECF">
      <w:pPr>
        <w:spacing w:line="360" w:lineRule="auto"/>
        <w:jc w:val="both"/>
        <w:rPr>
          <w:b/>
          <w:bCs/>
          <w:rtl/>
        </w:rPr>
      </w:pPr>
      <w:r w:rsidRPr="00EF1D04">
        <w:rPr>
          <w:rFonts w:hint="cs"/>
          <w:b/>
          <w:bCs/>
          <w:u w:val="single"/>
          <w:rtl/>
        </w:rPr>
        <w:t>גזירת הדין</w:t>
      </w:r>
    </w:p>
    <w:p w14:paraId="2C1C1DB0" w14:textId="77777777" w:rsidR="00831ECF" w:rsidRPr="00EF1D04" w:rsidRDefault="00831ECF" w:rsidP="00831ECF">
      <w:pPr>
        <w:spacing w:line="360" w:lineRule="auto"/>
        <w:jc w:val="both"/>
        <w:rPr>
          <w:b/>
          <w:bCs/>
          <w:rtl/>
        </w:rPr>
      </w:pPr>
    </w:p>
    <w:p w14:paraId="4DABA0D5" w14:textId="77777777" w:rsidR="00831ECF" w:rsidRDefault="00831ECF" w:rsidP="00831ECF">
      <w:pPr>
        <w:spacing w:line="360" w:lineRule="auto"/>
        <w:jc w:val="both"/>
        <w:rPr>
          <w:rtl/>
        </w:rPr>
      </w:pPr>
      <w:r>
        <w:rPr>
          <w:rFonts w:hint="cs"/>
          <w:rtl/>
        </w:rPr>
        <w:t>עובדות כתב האישום המתוקן שבו הודו הנאשמים מתאר מסכת עובדתית חמורה. לא זו בלבד שעבירות של החזקת אמל"ח הן חמורות בהגדרה, אלא שלא ניתן להתעלם מנסיבות הרקע של המקרה המלמדות על תכנית עבריינית מאורגנת, מתוכננת בקפידה, חלק מקשירת קשר לפגוע באדם אחר.  על כך יש להוסיף את הניסיונות לשבש ולהעלים ראיות.</w:t>
      </w:r>
    </w:p>
    <w:p w14:paraId="4C45F88D" w14:textId="77777777" w:rsidR="00831ECF" w:rsidRDefault="00831ECF" w:rsidP="00831ECF">
      <w:pPr>
        <w:spacing w:line="360" w:lineRule="auto"/>
        <w:jc w:val="both"/>
        <w:rPr>
          <w:rtl/>
        </w:rPr>
      </w:pPr>
    </w:p>
    <w:p w14:paraId="335D05A7" w14:textId="77777777" w:rsidR="00831ECF" w:rsidRDefault="00831ECF" w:rsidP="00831ECF">
      <w:pPr>
        <w:spacing w:line="360" w:lineRule="auto"/>
        <w:jc w:val="both"/>
        <w:rPr>
          <w:rtl/>
        </w:rPr>
      </w:pPr>
      <w:r>
        <w:rPr>
          <w:rFonts w:hint="cs"/>
          <w:rtl/>
        </w:rPr>
        <w:t>הצדדים לא טענו בהתאם לתיקון 113, הבניית הענישה, ולא הפנו לפסיקה רלוונטית. נדמה שאין חולק, כפי שהצהירה ב"כ המאשימה, שעסקינן בהסדר עונשי שסוטה לקולא מרמת הענישה הנוהגת, וכי אלמלא הודאת הנאשמים במסגרת ההסדר, היה נכון להטיל על הנאשמים עונש חמור יותר.</w:t>
      </w:r>
    </w:p>
    <w:p w14:paraId="12AE95A3" w14:textId="77777777" w:rsidR="00831ECF" w:rsidRDefault="00831ECF" w:rsidP="00831ECF">
      <w:pPr>
        <w:spacing w:line="360" w:lineRule="auto"/>
        <w:jc w:val="both"/>
        <w:rPr>
          <w:rtl/>
        </w:rPr>
      </w:pPr>
    </w:p>
    <w:p w14:paraId="4EAF4A02" w14:textId="77777777" w:rsidR="00831ECF" w:rsidRDefault="00831ECF" w:rsidP="00831ECF">
      <w:pPr>
        <w:spacing w:line="360" w:lineRule="auto"/>
        <w:jc w:val="both"/>
        <w:rPr>
          <w:rtl/>
        </w:rPr>
      </w:pPr>
      <w:r>
        <w:rPr>
          <w:rFonts w:hint="cs"/>
          <w:rtl/>
        </w:rPr>
        <w:t xml:space="preserve">כידוע, בהתאם לפסיקה הנוהגת, הסדרי טיעון יש בדרך כלל  לכבד, לא כל שכן מקום שבו ההסדר הוא פרי הליך גישור בפני שופט מגשר. שמעתי את הסברי הצדדים והנמקותיהם לטובת כיבוד הסדר הטיעון, ובמכלול השיקולים והאיזונים, נחה דעתי שלא מדובר בהסדר לא ראוי שחורג באופן קיצוני מהסבירות או  מהאינטרס הציבורי. יש משמעות להודאת הנאשמים ולחיסכון בזמן שיפוטי, זאת במיוחד במצב שבו שכנגד נאשמים 1 ו-2  מתקיים במקביל הליך פלילי נוסף בגין עבירה של רצח, שהוא ההליך המוביל והעיקרי .  </w:t>
      </w:r>
    </w:p>
    <w:p w14:paraId="35B7069E" w14:textId="77777777" w:rsidR="00831ECF" w:rsidRDefault="00831ECF" w:rsidP="00831ECF">
      <w:pPr>
        <w:spacing w:line="360" w:lineRule="auto"/>
        <w:jc w:val="both"/>
        <w:rPr>
          <w:rtl/>
        </w:rPr>
      </w:pPr>
    </w:p>
    <w:p w14:paraId="4985B7B6" w14:textId="77777777" w:rsidR="00831ECF" w:rsidRDefault="00831ECF" w:rsidP="00831ECF">
      <w:pPr>
        <w:spacing w:line="360" w:lineRule="auto"/>
        <w:jc w:val="both"/>
        <w:rPr>
          <w:rtl/>
        </w:rPr>
      </w:pPr>
      <w:r>
        <w:rPr>
          <w:rFonts w:hint="cs"/>
          <w:rtl/>
        </w:rPr>
        <w:t>לאור כל האמור לעיל אני מחליטה לכבד את הסדר הטיעון ואני מטילה על הנאשמים את העונשים הבאים:</w:t>
      </w:r>
    </w:p>
    <w:p w14:paraId="29E59291" w14:textId="77777777" w:rsidR="00831ECF" w:rsidRDefault="00831ECF" w:rsidP="00831ECF">
      <w:pPr>
        <w:spacing w:line="360" w:lineRule="auto"/>
        <w:jc w:val="both"/>
        <w:rPr>
          <w:rtl/>
        </w:rPr>
      </w:pPr>
    </w:p>
    <w:p w14:paraId="67348928" w14:textId="77777777" w:rsidR="00831ECF" w:rsidRPr="00EF1D04" w:rsidRDefault="00831ECF" w:rsidP="00831ECF">
      <w:pPr>
        <w:spacing w:line="360" w:lineRule="auto"/>
        <w:jc w:val="both"/>
        <w:rPr>
          <w:b/>
          <w:bCs/>
          <w:rtl/>
        </w:rPr>
      </w:pPr>
      <w:r w:rsidRPr="00EF1D04">
        <w:rPr>
          <w:rFonts w:hint="cs"/>
          <w:b/>
          <w:bCs/>
          <w:u w:val="single"/>
          <w:rtl/>
        </w:rPr>
        <w:t>נאשם 1</w:t>
      </w:r>
    </w:p>
    <w:p w14:paraId="657EC47B" w14:textId="77777777" w:rsidR="00831ECF" w:rsidRDefault="00831ECF" w:rsidP="00831ECF">
      <w:pPr>
        <w:pStyle w:val="a9"/>
        <w:numPr>
          <w:ilvl w:val="0"/>
          <w:numId w:val="1"/>
        </w:numPr>
        <w:spacing w:line="360" w:lineRule="auto"/>
        <w:jc w:val="both"/>
      </w:pPr>
      <w:r>
        <w:rPr>
          <w:rFonts w:hint="cs"/>
          <w:rtl/>
        </w:rPr>
        <w:t>מאסר בפועל של. 3.5  שנים החל מיום מעצרו של הנאשם, 6.12.21.</w:t>
      </w:r>
    </w:p>
    <w:p w14:paraId="4B4493AD" w14:textId="77777777" w:rsidR="00831ECF" w:rsidRDefault="00831ECF" w:rsidP="00831ECF">
      <w:pPr>
        <w:pStyle w:val="a9"/>
        <w:numPr>
          <w:ilvl w:val="0"/>
          <w:numId w:val="1"/>
        </w:numPr>
        <w:spacing w:line="360" w:lineRule="auto"/>
        <w:jc w:val="both"/>
      </w:pPr>
      <w:r>
        <w:rPr>
          <w:rFonts w:hint="cs"/>
          <w:rtl/>
        </w:rPr>
        <w:t>מופעל מאסר על תנאי בן 6 חודשים שהוטל ב</w:t>
      </w:r>
      <w:hyperlink r:id="rId31" w:history="1">
        <w:r w:rsidR="002839EE" w:rsidRPr="002839EE">
          <w:rPr>
            <w:color w:val="0000FF"/>
            <w:u w:val="single"/>
            <w:rtl/>
          </w:rPr>
          <w:t>ת"פ 7617-12-19</w:t>
        </w:r>
      </w:hyperlink>
      <w:r>
        <w:rPr>
          <w:rFonts w:hint="cs"/>
          <w:rtl/>
        </w:rPr>
        <w:t xml:space="preserve"> של בית משפט השלום בפתח תקווה.  המאסר ירוצה בחופף לעונש המאסר בפועל.</w:t>
      </w:r>
    </w:p>
    <w:p w14:paraId="20E22A64" w14:textId="77777777" w:rsidR="00831ECF" w:rsidRDefault="00831ECF" w:rsidP="00831ECF">
      <w:pPr>
        <w:pStyle w:val="a9"/>
        <w:numPr>
          <w:ilvl w:val="0"/>
          <w:numId w:val="1"/>
        </w:numPr>
        <w:spacing w:line="360" w:lineRule="auto"/>
        <w:jc w:val="both"/>
      </w:pPr>
      <w:r>
        <w:rPr>
          <w:rFonts w:hint="cs"/>
          <w:rtl/>
        </w:rPr>
        <w:t xml:space="preserve">מאסר על תנאי של 12 חודשים שהנאשם לא יעבור בתוך 3 שנים מיום שחרורו ממאסר עבירות לפי סעיפים </w:t>
      </w:r>
      <w:hyperlink r:id="rId32" w:history="1">
        <w:r w:rsidR="00B86E3A" w:rsidRPr="00B86E3A">
          <w:rPr>
            <w:rStyle w:val="Hyperlink"/>
            <w:rtl/>
          </w:rPr>
          <w:t>144, 499, 244, 242 ו-413ט</w:t>
        </w:r>
      </w:hyperlink>
      <w:r>
        <w:rPr>
          <w:rFonts w:hint="cs"/>
          <w:rtl/>
        </w:rPr>
        <w:t xml:space="preserve"> ל</w:t>
      </w:r>
      <w:hyperlink r:id="rId33" w:history="1">
        <w:r w:rsidR="002839EE" w:rsidRPr="002839EE">
          <w:rPr>
            <w:color w:val="0000FF"/>
            <w:u w:val="single"/>
            <w:rtl/>
          </w:rPr>
          <w:t>חוק העונשין</w:t>
        </w:r>
      </w:hyperlink>
      <w:r>
        <w:rPr>
          <w:rFonts w:hint="cs"/>
          <w:rtl/>
        </w:rPr>
        <w:t>.</w:t>
      </w:r>
    </w:p>
    <w:p w14:paraId="1F81104D" w14:textId="77777777" w:rsidR="00831ECF" w:rsidRDefault="00831ECF" w:rsidP="00831ECF">
      <w:pPr>
        <w:pStyle w:val="a9"/>
        <w:spacing w:line="360" w:lineRule="auto"/>
        <w:jc w:val="both"/>
        <w:rPr>
          <w:rtl/>
        </w:rPr>
      </w:pPr>
    </w:p>
    <w:p w14:paraId="355B28E0" w14:textId="77777777" w:rsidR="00831ECF" w:rsidRDefault="00831ECF" w:rsidP="00831ECF">
      <w:pPr>
        <w:pStyle w:val="a9"/>
        <w:spacing w:line="360" w:lineRule="auto"/>
        <w:jc w:val="both"/>
      </w:pPr>
    </w:p>
    <w:p w14:paraId="053BD71F" w14:textId="77777777" w:rsidR="00831ECF" w:rsidRPr="00EF1D04" w:rsidRDefault="00831ECF" w:rsidP="00831ECF">
      <w:pPr>
        <w:spacing w:line="360" w:lineRule="auto"/>
        <w:jc w:val="both"/>
        <w:rPr>
          <w:b/>
          <w:bCs/>
          <w:rtl/>
        </w:rPr>
      </w:pPr>
      <w:r w:rsidRPr="00EF1D04">
        <w:rPr>
          <w:rFonts w:hint="cs"/>
          <w:b/>
          <w:bCs/>
          <w:u w:val="single"/>
          <w:rtl/>
        </w:rPr>
        <w:t>נאשם 2</w:t>
      </w:r>
    </w:p>
    <w:p w14:paraId="63B86726" w14:textId="77777777" w:rsidR="00831ECF" w:rsidRDefault="00831ECF" w:rsidP="00831ECF">
      <w:pPr>
        <w:pStyle w:val="a9"/>
        <w:numPr>
          <w:ilvl w:val="0"/>
          <w:numId w:val="2"/>
        </w:numPr>
        <w:spacing w:line="360" w:lineRule="auto"/>
        <w:jc w:val="both"/>
      </w:pPr>
      <w:r>
        <w:rPr>
          <w:rFonts w:hint="cs"/>
          <w:rtl/>
        </w:rPr>
        <w:t>מאסר בפועל של 3 שנים החל מיום מעצרו של הנאשם, 6.12.21.</w:t>
      </w:r>
    </w:p>
    <w:p w14:paraId="345A010F" w14:textId="77777777" w:rsidR="00831ECF" w:rsidRDefault="00831ECF" w:rsidP="00831ECF">
      <w:pPr>
        <w:pStyle w:val="a9"/>
        <w:numPr>
          <w:ilvl w:val="0"/>
          <w:numId w:val="2"/>
        </w:numPr>
        <w:spacing w:line="360" w:lineRule="auto"/>
        <w:jc w:val="both"/>
      </w:pPr>
      <w:r>
        <w:rPr>
          <w:rFonts w:hint="cs"/>
          <w:rtl/>
        </w:rPr>
        <w:t xml:space="preserve">מאסר על תנאי של 12 חודשים שהנאשם לא יעבור בתוך 3 שנים מיום שחרורו ממאסר עבירות לפי סעיפים </w:t>
      </w:r>
      <w:hyperlink r:id="rId34" w:history="1">
        <w:r w:rsidR="00B86E3A" w:rsidRPr="00B86E3A">
          <w:rPr>
            <w:rStyle w:val="Hyperlink"/>
            <w:rtl/>
          </w:rPr>
          <w:t>144, 499, 244, 242  ו-413ט</w:t>
        </w:r>
      </w:hyperlink>
      <w:r>
        <w:rPr>
          <w:rFonts w:hint="cs"/>
          <w:rtl/>
        </w:rPr>
        <w:t xml:space="preserve"> ל</w:t>
      </w:r>
      <w:hyperlink r:id="rId35" w:history="1">
        <w:r w:rsidR="002839EE" w:rsidRPr="002839EE">
          <w:rPr>
            <w:color w:val="0000FF"/>
            <w:u w:val="single"/>
            <w:rtl/>
          </w:rPr>
          <w:t>חוק העונשין</w:t>
        </w:r>
      </w:hyperlink>
      <w:r>
        <w:rPr>
          <w:rFonts w:hint="cs"/>
          <w:rtl/>
        </w:rPr>
        <w:t>.</w:t>
      </w:r>
    </w:p>
    <w:p w14:paraId="7BE777A2" w14:textId="77777777" w:rsidR="00831ECF" w:rsidRDefault="00831ECF" w:rsidP="00831ECF">
      <w:pPr>
        <w:spacing w:line="360" w:lineRule="auto"/>
        <w:jc w:val="both"/>
        <w:rPr>
          <w:rtl/>
        </w:rPr>
      </w:pPr>
    </w:p>
    <w:p w14:paraId="79E58439" w14:textId="77777777" w:rsidR="00831ECF" w:rsidRPr="00FB4876" w:rsidRDefault="00831ECF" w:rsidP="00831ECF">
      <w:pPr>
        <w:spacing w:line="360" w:lineRule="auto"/>
        <w:jc w:val="both"/>
        <w:rPr>
          <w:rtl/>
        </w:rPr>
      </w:pPr>
    </w:p>
    <w:p w14:paraId="750E8101" w14:textId="77777777" w:rsidR="00831ECF" w:rsidRPr="00260ED3" w:rsidRDefault="00831ECF" w:rsidP="00831ECF">
      <w:pPr>
        <w:spacing w:line="360" w:lineRule="auto"/>
        <w:jc w:val="both"/>
        <w:rPr>
          <w:u w:val="single"/>
          <w:rtl/>
        </w:rPr>
      </w:pPr>
      <w:r w:rsidRPr="00260ED3">
        <w:rPr>
          <w:rFonts w:hint="cs"/>
          <w:u w:val="single"/>
          <w:rtl/>
        </w:rPr>
        <w:t xml:space="preserve">נאשם 3 </w:t>
      </w:r>
    </w:p>
    <w:p w14:paraId="4877FEC5" w14:textId="77777777" w:rsidR="00831ECF" w:rsidRDefault="00831ECF" w:rsidP="00831ECF">
      <w:pPr>
        <w:pStyle w:val="a9"/>
        <w:numPr>
          <w:ilvl w:val="0"/>
          <w:numId w:val="3"/>
        </w:numPr>
        <w:spacing w:line="360" w:lineRule="auto"/>
        <w:jc w:val="both"/>
      </w:pPr>
      <w:r>
        <w:rPr>
          <w:rFonts w:hint="cs"/>
          <w:rtl/>
        </w:rPr>
        <w:t>מאסר בפועל של 22 חודשים החל מיום מעצרו של הנאשם 6.12.21</w:t>
      </w:r>
    </w:p>
    <w:p w14:paraId="3E75ABB3" w14:textId="77777777" w:rsidR="00831ECF" w:rsidRDefault="00831ECF" w:rsidP="00831ECF">
      <w:pPr>
        <w:pStyle w:val="a9"/>
        <w:numPr>
          <w:ilvl w:val="0"/>
          <w:numId w:val="3"/>
        </w:numPr>
        <w:spacing w:line="360" w:lineRule="auto"/>
        <w:jc w:val="both"/>
        <w:rPr>
          <w:rtl/>
        </w:rPr>
      </w:pPr>
      <w:r>
        <w:rPr>
          <w:rFonts w:hint="cs"/>
          <w:rtl/>
        </w:rPr>
        <w:t xml:space="preserve">מאסר על תנאי של 10 חודשים שהנאשם לא יעבור בתוך 3 שנים מיום שחרורו ממאסר עבירות לפי סעיפים </w:t>
      </w:r>
      <w:hyperlink r:id="rId36" w:history="1">
        <w:r w:rsidR="00B86E3A" w:rsidRPr="00B86E3A">
          <w:rPr>
            <w:rStyle w:val="Hyperlink"/>
            <w:rtl/>
          </w:rPr>
          <w:t>144, 499, 244, 242  ו-413ט</w:t>
        </w:r>
      </w:hyperlink>
      <w:r>
        <w:rPr>
          <w:rFonts w:hint="cs"/>
          <w:rtl/>
        </w:rPr>
        <w:t xml:space="preserve"> ל</w:t>
      </w:r>
      <w:hyperlink r:id="rId37" w:history="1">
        <w:r w:rsidR="002839EE" w:rsidRPr="002839EE">
          <w:rPr>
            <w:color w:val="0000FF"/>
            <w:u w:val="single"/>
            <w:rtl/>
          </w:rPr>
          <w:t>חוק העונשין</w:t>
        </w:r>
      </w:hyperlink>
      <w:r>
        <w:rPr>
          <w:rFonts w:hint="cs"/>
          <w:rtl/>
        </w:rPr>
        <w:t>.</w:t>
      </w:r>
    </w:p>
    <w:p w14:paraId="4348CD97" w14:textId="77777777" w:rsidR="00831ECF" w:rsidRDefault="00831ECF" w:rsidP="00831ECF">
      <w:pPr>
        <w:pStyle w:val="a9"/>
        <w:spacing w:line="360" w:lineRule="auto"/>
        <w:ind w:hanging="720"/>
        <w:jc w:val="both"/>
        <w:rPr>
          <w:rtl/>
        </w:rPr>
      </w:pPr>
      <w:r>
        <w:rPr>
          <w:rFonts w:hint="cs"/>
          <w:rtl/>
        </w:rPr>
        <w:t>ניתן צו לחלט רכב מאזדה מס' 22-486-30.</w:t>
      </w:r>
    </w:p>
    <w:p w14:paraId="5B03F258" w14:textId="77777777" w:rsidR="00831ECF" w:rsidRDefault="00831ECF" w:rsidP="00831ECF">
      <w:pPr>
        <w:pStyle w:val="a9"/>
        <w:spacing w:line="360" w:lineRule="auto"/>
        <w:ind w:hanging="720"/>
        <w:jc w:val="both"/>
        <w:rPr>
          <w:rtl/>
        </w:rPr>
      </w:pPr>
      <w:r>
        <w:rPr>
          <w:rFonts w:hint="cs"/>
          <w:rtl/>
        </w:rPr>
        <w:t>רכב טויוטה מס' 65-244-30 יוחזר לבעליו דניאל ימיני ת.ז.</w:t>
      </w:r>
      <w:r w:rsidR="002839EE">
        <w:t>xxxxxxxxx</w:t>
      </w:r>
      <w:r>
        <w:rPr>
          <w:rFonts w:hint="cs"/>
          <w:rtl/>
        </w:rPr>
        <w:t>.</w:t>
      </w:r>
    </w:p>
    <w:p w14:paraId="417507AA" w14:textId="77777777" w:rsidR="00831ECF" w:rsidRPr="003F4EBD" w:rsidRDefault="00831ECF" w:rsidP="00831ECF">
      <w:pPr>
        <w:spacing w:line="360" w:lineRule="auto"/>
        <w:jc w:val="both"/>
        <w:rPr>
          <w:rFonts w:ascii="David" w:hAnsi="David"/>
          <w:rtl/>
        </w:rPr>
      </w:pPr>
    </w:p>
    <w:p w14:paraId="41B3DB9A" w14:textId="77777777" w:rsidR="00831ECF" w:rsidRPr="00EF1D04" w:rsidRDefault="00831ECF" w:rsidP="00831ECF">
      <w:pPr>
        <w:rPr>
          <w:b/>
          <w:bCs/>
          <w:rtl/>
        </w:rPr>
      </w:pPr>
      <w:r w:rsidRPr="00EF1D04">
        <w:rPr>
          <w:rFonts w:hint="cs"/>
          <w:b/>
          <w:bCs/>
          <w:rtl/>
        </w:rPr>
        <w:t>זכות ערעור 45 יום מהיום.</w:t>
      </w:r>
    </w:p>
    <w:p w14:paraId="2BFC6A6E" w14:textId="77777777" w:rsidR="00831ECF" w:rsidRPr="00B05847" w:rsidRDefault="00831ECF" w:rsidP="00831ECF">
      <w:pPr>
        <w:rPr>
          <w:rtl/>
        </w:rPr>
      </w:pPr>
    </w:p>
    <w:p w14:paraId="0D8BBC61" w14:textId="77777777" w:rsidR="00831ECF" w:rsidRPr="00250B83" w:rsidRDefault="002839EE" w:rsidP="00831ECF">
      <w:pPr>
        <w:rPr>
          <w:rtl/>
        </w:rPr>
      </w:pPr>
      <w:bookmarkStart w:id="8" w:name="Nitan"/>
      <w:r>
        <w:rPr>
          <w:rFonts w:ascii="Arial" w:hAnsi="Arial"/>
          <w:rtl/>
        </w:rPr>
        <w:t xml:space="preserve">ניתן היום,  ז' שבט תשפ"ג, 29 ינואר 2023, במעמד הצדדים. </w:t>
      </w:r>
      <w:bookmarkEnd w:id="8"/>
    </w:p>
    <w:p w14:paraId="44C6947A" w14:textId="77777777" w:rsidR="00831ECF" w:rsidRPr="002839EE" w:rsidRDefault="002839EE" w:rsidP="00831ECF">
      <w:pPr>
        <w:rPr>
          <w:color w:val="FFFFFF"/>
          <w:sz w:val="2"/>
          <w:szCs w:val="2"/>
          <w:rtl/>
        </w:rPr>
      </w:pPr>
      <w:r w:rsidRPr="002839EE">
        <w:rPr>
          <w:color w:val="FFFFFF"/>
          <w:sz w:val="2"/>
          <w:szCs w:val="2"/>
          <w:rtl/>
        </w:rPr>
        <w:t>5129371</w:t>
      </w:r>
    </w:p>
    <w:tbl>
      <w:tblPr>
        <w:bidiVisual/>
        <w:tblW w:w="3186" w:type="dxa"/>
        <w:tblInd w:w="5652" w:type="dxa"/>
        <w:tblLook w:val="01E0" w:firstRow="1" w:lastRow="1" w:firstColumn="1" w:lastColumn="1" w:noHBand="0" w:noVBand="0"/>
      </w:tblPr>
      <w:tblGrid>
        <w:gridCol w:w="3186"/>
      </w:tblGrid>
      <w:tr w:rsidR="00831ECF" w14:paraId="1D5CF065" w14:textId="77777777" w:rsidTr="00831ECF">
        <w:tc>
          <w:tcPr>
            <w:tcW w:w="3186" w:type="dxa"/>
            <w:tcBorders>
              <w:top w:val="nil"/>
              <w:left w:val="nil"/>
              <w:bottom w:val="single" w:sz="4" w:space="0" w:color="auto"/>
              <w:right w:val="nil"/>
            </w:tcBorders>
            <w:shd w:val="clear" w:color="auto" w:fill="auto"/>
            <w:vAlign w:val="center"/>
          </w:tcPr>
          <w:p w14:paraId="113AF1DA" w14:textId="77777777" w:rsidR="00831ECF" w:rsidRPr="002839EE" w:rsidRDefault="002839EE" w:rsidP="00831ECF">
            <w:pPr>
              <w:jc w:val="right"/>
              <w:rPr>
                <w:rFonts w:ascii="Courier New" w:hAnsi="Courier New"/>
                <w:b/>
                <w:bCs/>
                <w:color w:val="FFFFFF"/>
                <w:sz w:val="2"/>
                <w:szCs w:val="2"/>
              </w:rPr>
            </w:pPr>
            <w:r w:rsidRPr="002839EE">
              <w:rPr>
                <w:rFonts w:ascii="Courier New" w:hAnsi="Courier New"/>
                <w:b/>
                <w:bCs/>
                <w:color w:val="FFFFFF"/>
                <w:sz w:val="2"/>
                <w:szCs w:val="2"/>
                <w:rtl/>
              </w:rPr>
              <w:t>54678313</w:t>
            </w:r>
          </w:p>
        </w:tc>
      </w:tr>
      <w:tr w:rsidR="00831ECF" w14:paraId="1FA7F2BC" w14:textId="77777777" w:rsidTr="00831ECF">
        <w:tc>
          <w:tcPr>
            <w:tcW w:w="3186" w:type="dxa"/>
            <w:tcBorders>
              <w:top w:val="single" w:sz="4" w:space="0" w:color="auto"/>
              <w:left w:val="nil"/>
              <w:bottom w:val="nil"/>
              <w:right w:val="nil"/>
            </w:tcBorders>
            <w:shd w:val="clear" w:color="auto" w:fill="auto"/>
          </w:tcPr>
          <w:p w14:paraId="117F0F03" w14:textId="77777777" w:rsidR="00831ECF" w:rsidRPr="00831ECF" w:rsidRDefault="00831ECF" w:rsidP="00831ECF">
            <w:pPr>
              <w:jc w:val="right"/>
              <w:rPr>
                <w:rFonts w:ascii="Courier New" w:hAnsi="Courier New"/>
                <w:b/>
                <w:bCs/>
                <w:rtl/>
              </w:rPr>
            </w:pPr>
            <w:r w:rsidRPr="00831ECF">
              <w:rPr>
                <w:rFonts w:ascii="Courier New" w:hAnsi="Courier New"/>
                <w:b/>
                <w:bCs/>
                <w:rtl/>
              </w:rPr>
              <w:t>גיליה רביד, שופטת בכירה, אב"ד</w:t>
            </w:r>
          </w:p>
          <w:p w14:paraId="526FA208" w14:textId="77777777" w:rsidR="00831ECF" w:rsidRPr="00831ECF" w:rsidRDefault="00831ECF" w:rsidP="00831ECF">
            <w:pPr>
              <w:jc w:val="right"/>
              <w:rPr>
                <w:rFonts w:ascii="Courier New" w:hAnsi="Courier New"/>
                <w:b/>
                <w:bCs/>
              </w:rPr>
            </w:pPr>
          </w:p>
        </w:tc>
      </w:tr>
    </w:tbl>
    <w:p w14:paraId="0917EA5F" w14:textId="77777777" w:rsidR="00831ECF" w:rsidRDefault="00831ECF" w:rsidP="00831ECF">
      <w:pPr>
        <w:ind w:left="5652"/>
        <w:jc w:val="right"/>
      </w:pPr>
    </w:p>
    <w:p w14:paraId="7586EA58" w14:textId="77777777" w:rsidR="00831ECF" w:rsidRPr="00EF1D04" w:rsidRDefault="00831ECF" w:rsidP="00831ECF">
      <w:pPr>
        <w:ind w:left="5652"/>
        <w:jc w:val="right"/>
        <w:rPr>
          <w:rtl/>
        </w:rPr>
      </w:pPr>
    </w:p>
    <w:p w14:paraId="53D915C6" w14:textId="77777777" w:rsidR="00831ECF" w:rsidRPr="00B86E3A" w:rsidRDefault="00B86E3A" w:rsidP="00831ECF">
      <w:pPr>
        <w:pStyle w:val="a3"/>
        <w:ind w:left="5652"/>
        <w:jc w:val="right"/>
        <w:rPr>
          <w:color w:val="FFFFFF"/>
          <w:sz w:val="2"/>
          <w:szCs w:val="2"/>
          <w:rtl/>
        </w:rPr>
      </w:pPr>
      <w:r w:rsidRPr="00B86E3A">
        <w:rPr>
          <w:color w:val="FFFFFF"/>
          <w:sz w:val="2"/>
          <w:szCs w:val="2"/>
          <w:rtl/>
        </w:rPr>
        <w:t>5129371</w:t>
      </w:r>
    </w:p>
    <w:p w14:paraId="4A2524AC" w14:textId="77777777" w:rsidR="002839EE" w:rsidRDefault="00B86E3A" w:rsidP="002839EE">
      <w:r w:rsidRPr="00B86E3A">
        <w:rPr>
          <w:rFonts w:ascii="David" w:hAnsi="David"/>
          <w:color w:val="FFFFFF"/>
          <w:sz w:val="2"/>
          <w:szCs w:val="2"/>
          <w:rtl/>
        </w:rPr>
        <w:t>54678313</w:t>
      </w:r>
    </w:p>
    <w:p w14:paraId="0DFCA8DD" w14:textId="77777777" w:rsidR="002839EE" w:rsidRDefault="002839EE" w:rsidP="002839EE">
      <w:pPr>
        <w:rPr>
          <w:rtl/>
        </w:rPr>
      </w:pPr>
    </w:p>
    <w:p w14:paraId="30E6D99D" w14:textId="77777777" w:rsidR="002839EE" w:rsidRDefault="002839EE" w:rsidP="002839E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3371FC6" w14:textId="77777777" w:rsidR="00B86E3A" w:rsidRPr="00B86E3A" w:rsidRDefault="00B86E3A" w:rsidP="00B86E3A">
      <w:pPr>
        <w:keepNext/>
        <w:rPr>
          <w:rFonts w:ascii="David" w:hAnsi="David"/>
          <w:color w:val="000000"/>
          <w:sz w:val="22"/>
          <w:szCs w:val="22"/>
          <w:rtl/>
        </w:rPr>
      </w:pPr>
    </w:p>
    <w:p w14:paraId="14CAAA33" w14:textId="77777777" w:rsidR="00B86E3A" w:rsidRPr="00B86E3A" w:rsidRDefault="00B86E3A" w:rsidP="00B86E3A">
      <w:pPr>
        <w:keepNext/>
        <w:rPr>
          <w:rFonts w:ascii="David" w:hAnsi="David"/>
          <w:color w:val="000000"/>
          <w:sz w:val="22"/>
          <w:szCs w:val="22"/>
          <w:rtl/>
        </w:rPr>
      </w:pPr>
      <w:r w:rsidRPr="00B86E3A">
        <w:rPr>
          <w:rFonts w:ascii="David" w:hAnsi="David"/>
          <w:color w:val="000000"/>
          <w:sz w:val="22"/>
          <w:szCs w:val="22"/>
          <w:rtl/>
        </w:rPr>
        <w:t>גיליה רביד 54678313-/</w:t>
      </w:r>
    </w:p>
    <w:p w14:paraId="3DF03401" w14:textId="77777777" w:rsidR="002839EE" w:rsidRPr="002839EE" w:rsidRDefault="00B86E3A" w:rsidP="00B86E3A">
      <w:pPr>
        <w:rPr>
          <w:color w:val="0000FF"/>
          <w:u w:val="single"/>
        </w:rPr>
      </w:pPr>
      <w:r w:rsidRPr="00B86E3A">
        <w:rPr>
          <w:color w:val="000000"/>
          <w:u w:val="single"/>
          <w:rtl/>
        </w:rPr>
        <w:t>נוסח מסמך זה כפוף לשינויי ניסוח ועריכה</w:t>
      </w:r>
    </w:p>
    <w:sectPr w:rsidR="002839EE" w:rsidRPr="002839EE" w:rsidSect="00B86E3A">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BD7F0" w14:textId="77777777" w:rsidR="00A8551F" w:rsidRDefault="00A8551F" w:rsidP="00D6038E">
      <w:r>
        <w:separator/>
      </w:r>
    </w:p>
  </w:endnote>
  <w:endnote w:type="continuationSeparator" w:id="0">
    <w:p w14:paraId="274072FA" w14:textId="77777777" w:rsidR="00A8551F" w:rsidRDefault="00A8551F" w:rsidP="00D60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DAF13" w14:textId="77777777" w:rsidR="00B86E3A" w:rsidRDefault="00B86E3A" w:rsidP="00B86E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B21B2F" w14:textId="77777777" w:rsidR="00D710EE" w:rsidRPr="00B86E3A" w:rsidRDefault="00B86E3A" w:rsidP="00B86E3A">
    <w:pPr>
      <w:pStyle w:val="a5"/>
      <w:pBdr>
        <w:top w:val="single" w:sz="4" w:space="1" w:color="auto"/>
        <w:between w:val="single" w:sz="4" w:space="0" w:color="auto"/>
      </w:pBdr>
      <w:spacing w:after="60"/>
      <w:jc w:val="center"/>
      <w:rPr>
        <w:rFonts w:ascii="FrankRuehl" w:hAnsi="FrankRuehl" w:cs="FrankRuehl"/>
        <w:color w:val="000000"/>
      </w:rPr>
    </w:pPr>
    <w:r w:rsidRPr="00B86E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1A329" w14:textId="77777777" w:rsidR="00B86E3A" w:rsidRDefault="00B86E3A" w:rsidP="00B86E3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4473">
      <w:rPr>
        <w:rFonts w:ascii="FrankRuehl" w:hAnsi="FrankRuehl" w:cs="FrankRuehl"/>
        <w:noProof/>
        <w:rtl/>
      </w:rPr>
      <w:t>1</w:t>
    </w:r>
    <w:r>
      <w:rPr>
        <w:rFonts w:ascii="FrankRuehl" w:hAnsi="FrankRuehl" w:cs="FrankRuehl"/>
        <w:rtl/>
      </w:rPr>
      <w:fldChar w:fldCharType="end"/>
    </w:r>
  </w:p>
  <w:p w14:paraId="3B6D1524" w14:textId="77777777" w:rsidR="00D710EE" w:rsidRPr="00B86E3A" w:rsidRDefault="00B86E3A" w:rsidP="00B86E3A">
    <w:pPr>
      <w:pStyle w:val="a5"/>
      <w:pBdr>
        <w:top w:val="single" w:sz="4" w:space="1" w:color="auto"/>
        <w:between w:val="single" w:sz="4" w:space="0" w:color="auto"/>
      </w:pBdr>
      <w:spacing w:after="60"/>
      <w:jc w:val="center"/>
      <w:rPr>
        <w:rFonts w:ascii="FrankRuehl" w:hAnsi="FrankRuehl" w:cs="FrankRuehl"/>
        <w:color w:val="000000"/>
      </w:rPr>
    </w:pPr>
    <w:r w:rsidRPr="00B86E3A">
      <w:rPr>
        <w:rFonts w:ascii="FrankRuehl" w:hAnsi="FrankRuehl" w:cs="FrankRuehl"/>
        <w:color w:val="000000"/>
      </w:rPr>
      <w:pict w14:anchorId="5091E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C3CB9" w14:textId="77777777" w:rsidR="00A8551F" w:rsidRDefault="00A8551F" w:rsidP="00D6038E">
      <w:r>
        <w:separator/>
      </w:r>
    </w:p>
  </w:footnote>
  <w:footnote w:type="continuationSeparator" w:id="0">
    <w:p w14:paraId="2073DD8F" w14:textId="77777777" w:rsidR="00A8551F" w:rsidRDefault="00A8551F" w:rsidP="00D60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7D723" w14:textId="77777777" w:rsidR="002839EE" w:rsidRPr="00B86E3A" w:rsidRDefault="00B86E3A" w:rsidP="00B86E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4031-01-22</w:t>
    </w:r>
    <w:r>
      <w:rPr>
        <w:rFonts w:ascii="David" w:hAnsi="David"/>
        <w:color w:val="000000"/>
        <w:sz w:val="22"/>
        <w:szCs w:val="22"/>
        <w:rtl/>
      </w:rPr>
      <w:tab/>
      <w:t xml:space="preserve"> מדינת ישראל נ' רן יחזקאל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AF65C" w14:textId="77777777" w:rsidR="002839EE" w:rsidRPr="00B86E3A" w:rsidRDefault="00B86E3A" w:rsidP="00B86E3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4031-01-22</w:t>
    </w:r>
    <w:r>
      <w:rPr>
        <w:rFonts w:ascii="David" w:hAnsi="David"/>
        <w:color w:val="000000"/>
        <w:sz w:val="22"/>
        <w:szCs w:val="22"/>
        <w:rtl/>
      </w:rPr>
      <w:tab/>
      <w:t xml:space="preserve"> מדינת ישראל נ' רן יחזקאל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53D2"/>
    <w:multiLevelType w:val="hybridMultilevel"/>
    <w:tmpl w:val="544A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E7705"/>
    <w:multiLevelType w:val="hybridMultilevel"/>
    <w:tmpl w:val="F038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00548"/>
    <w:multiLevelType w:val="hybridMultilevel"/>
    <w:tmpl w:val="07A6B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0057637">
    <w:abstractNumId w:val="0"/>
  </w:num>
  <w:num w:numId="2" w16cid:durableId="1322276024">
    <w:abstractNumId w:val="2"/>
  </w:num>
  <w:num w:numId="3" w16cid:durableId="1307588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1ECF"/>
    <w:rsid w:val="00155EDF"/>
    <w:rsid w:val="001B5A3B"/>
    <w:rsid w:val="00204473"/>
    <w:rsid w:val="002839EE"/>
    <w:rsid w:val="004937F4"/>
    <w:rsid w:val="005D4A84"/>
    <w:rsid w:val="0077711F"/>
    <w:rsid w:val="00831ECF"/>
    <w:rsid w:val="008C6CF8"/>
    <w:rsid w:val="00A8551F"/>
    <w:rsid w:val="00B86E3A"/>
    <w:rsid w:val="00C26EB4"/>
    <w:rsid w:val="00C53FBE"/>
    <w:rsid w:val="00C72ED2"/>
    <w:rsid w:val="00D6038E"/>
    <w:rsid w:val="00D71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F11F37"/>
  <w15:chartTrackingRefBased/>
  <w15:docId w15:val="{F26265B4-3CC1-4109-9B5B-5F45FB5C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1EC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1ECF"/>
    <w:pPr>
      <w:tabs>
        <w:tab w:val="center" w:pos="4153"/>
        <w:tab w:val="right" w:pos="8306"/>
      </w:tabs>
    </w:pPr>
  </w:style>
  <w:style w:type="character" w:customStyle="1" w:styleId="a4">
    <w:name w:val="כותרת עליונה תו"/>
    <w:link w:val="a3"/>
    <w:rsid w:val="00831ECF"/>
    <w:rPr>
      <w:rFonts w:ascii="Times New Roman" w:eastAsia="Times New Roman" w:hAnsi="Times New Roman" w:cs="David"/>
      <w:sz w:val="24"/>
      <w:szCs w:val="24"/>
    </w:rPr>
  </w:style>
  <w:style w:type="paragraph" w:styleId="a5">
    <w:name w:val="footer"/>
    <w:basedOn w:val="a"/>
    <w:link w:val="a6"/>
    <w:rsid w:val="00831ECF"/>
    <w:pPr>
      <w:tabs>
        <w:tab w:val="center" w:pos="4153"/>
        <w:tab w:val="right" w:pos="8306"/>
      </w:tabs>
    </w:pPr>
  </w:style>
  <w:style w:type="character" w:customStyle="1" w:styleId="a6">
    <w:name w:val="כותרת תחתונה תו"/>
    <w:link w:val="a5"/>
    <w:rsid w:val="00831ECF"/>
    <w:rPr>
      <w:rFonts w:ascii="Times New Roman" w:eastAsia="Times New Roman" w:hAnsi="Times New Roman" w:cs="David"/>
      <w:sz w:val="24"/>
      <w:szCs w:val="24"/>
    </w:rPr>
  </w:style>
  <w:style w:type="table" w:styleId="a7">
    <w:name w:val="Table Grid"/>
    <w:basedOn w:val="a1"/>
    <w:rsid w:val="00831EC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1ECF"/>
  </w:style>
  <w:style w:type="paragraph" w:styleId="a9">
    <w:name w:val="List Paragraph"/>
    <w:basedOn w:val="a"/>
    <w:qFormat/>
    <w:rsid w:val="00831ECF"/>
    <w:pPr>
      <w:ind w:left="720"/>
      <w:contextualSpacing/>
    </w:pPr>
  </w:style>
  <w:style w:type="character" w:styleId="Hyperlink">
    <w:name w:val="Hyperlink"/>
    <w:rsid w:val="00283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244" TargetMode="External"/><Relationship Id="rId39" Type="http://schemas.openxmlformats.org/officeDocument/2006/relationships/header" Target="header1.xml"/><Relationship Id="rId21" Type="http://schemas.openxmlformats.org/officeDocument/2006/relationships/hyperlink" Target="http://www.nevo.co.il/law/70301/244;29" TargetMode="External"/><Relationship Id="rId34" Type="http://schemas.openxmlformats.org/officeDocument/2006/relationships/hyperlink" Target="http://www.nevo.co.il/law/70301/144;499;244;242;413.i"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 TargetMode="External"/><Relationship Id="rId20" Type="http://schemas.openxmlformats.org/officeDocument/2006/relationships/hyperlink" Target="http://www.nevo.co.il/law/70301/144.a.;29" TargetMode="External"/><Relationship Id="rId29" Type="http://schemas.openxmlformats.org/officeDocument/2006/relationships/hyperlink" Target="http://www.nevo.co.il/law/70301/413.i.;29"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law/70301/144;499;244;242;413.i"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13i" TargetMode="External"/><Relationship Id="rId23" Type="http://schemas.openxmlformats.org/officeDocument/2006/relationships/hyperlink" Target="http://www.nevo.co.il/law/70301/413i;29" TargetMode="External"/><Relationship Id="rId28" Type="http://schemas.openxmlformats.org/officeDocument/2006/relationships/hyperlink" Target="http://www.nevo.co.il/law/70301/29;242" TargetMode="External"/><Relationship Id="rId36" Type="http://schemas.openxmlformats.org/officeDocument/2006/relationships/hyperlink" Target="http://www.nevo.co.il/law/70301/144;499;244;242;413.i" TargetMode="External"/><Relationship Id="rId10" Type="http://schemas.openxmlformats.org/officeDocument/2006/relationships/hyperlink" Target="http://www.nevo.co.il/law/70301/144"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623977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413.i." TargetMode="External"/><Relationship Id="rId22" Type="http://schemas.openxmlformats.org/officeDocument/2006/relationships/hyperlink" Target="http://www.nevo.co.il/law/70301/29;242" TargetMode="External"/><Relationship Id="rId27" Type="http://schemas.openxmlformats.org/officeDocument/2006/relationships/hyperlink" Target="http://www.nevo.co.il/law/70301/29" TargetMode="External"/><Relationship Id="rId30" Type="http://schemas.openxmlformats.org/officeDocument/2006/relationships/hyperlink" Target="http://www.nevo.co.il/case/26239774"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242"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144.a.;29;31"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1498</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8974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4653148</vt:i4>
      </vt:variant>
      <vt:variant>
        <vt:i4>87</vt:i4>
      </vt:variant>
      <vt:variant>
        <vt:i4>0</vt:i4>
      </vt:variant>
      <vt:variant>
        <vt:i4>5</vt:i4>
      </vt:variant>
      <vt:variant>
        <vt:lpwstr>http://www.nevo.co.il/law/70301/144;499;244;242;413.i</vt:lpwstr>
      </vt:variant>
      <vt:variant>
        <vt:lpwstr/>
      </vt:variant>
      <vt:variant>
        <vt:i4>7995492</vt:i4>
      </vt:variant>
      <vt:variant>
        <vt:i4>84</vt:i4>
      </vt:variant>
      <vt:variant>
        <vt:i4>0</vt:i4>
      </vt:variant>
      <vt:variant>
        <vt:i4>5</vt:i4>
      </vt:variant>
      <vt:variant>
        <vt:lpwstr>http://www.nevo.co.il/law/70301</vt:lpwstr>
      </vt:variant>
      <vt:variant>
        <vt:lpwstr/>
      </vt:variant>
      <vt:variant>
        <vt:i4>4653148</vt:i4>
      </vt:variant>
      <vt:variant>
        <vt:i4>81</vt:i4>
      </vt:variant>
      <vt:variant>
        <vt:i4>0</vt:i4>
      </vt:variant>
      <vt:variant>
        <vt:i4>5</vt:i4>
      </vt:variant>
      <vt:variant>
        <vt:lpwstr>http://www.nevo.co.il/law/70301/144;499;244;242;413.i</vt:lpwstr>
      </vt:variant>
      <vt:variant>
        <vt:lpwstr/>
      </vt:variant>
      <vt:variant>
        <vt:i4>7995492</vt:i4>
      </vt:variant>
      <vt:variant>
        <vt:i4>78</vt:i4>
      </vt:variant>
      <vt:variant>
        <vt:i4>0</vt:i4>
      </vt:variant>
      <vt:variant>
        <vt:i4>5</vt:i4>
      </vt:variant>
      <vt:variant>
        <vt:lpwstr>http://www.nevo.co.il/law/70301</vt:lpwstr>
      </vt:variant>
      <vt:variant>
        <vt:lpwstr/>
      </vt:variant>
      <vt:variant>
        <vt:i4>4653148</vt:i4>
      </vt:variant>
      <vt:variant>
        <vt:i4>75</vt:i4>
      </vt:variant>
      <vt:variant>
        <vt:i4>0</vt:i4>
      </vt:variant>
      <vt:variant>
        <vt:i4>5</vt:i4>
      </vt:variant>
      <vt:variant>
        <vt:lpwstr>http://www.nevo.co.il/law/70301/144;499;244;242;413.i</vt:lpwstr>
      </vt:variant>
      <vt:variant>
        <vt:lpwstr/>
      </vt:variant>
      <vt:variant>
        <vt:i4>4063350</vt:i4>
      </vt:variant>
      <vt:variant>
        <vt:i4>72</vt:i4>
      </vt:variant>
      <vt:variant>
        <vt:i4>0</vt:i4>
      </vt:variant>
      <vt:variant>
        <vt:i4>5</vt:i4>
      </vt:variant>
      <vt:variant>
        <vt:lpwstr>http://www.nevo.co.il/case/26239774</vt:lpwstr>
      </vt:variant>
      <vt:variant>
        <vt:lpwstr/>
      </vt:variant>
      <vt:variant>
        <vt:i4>4063350</vt:i4>
      </vt:variant>
      <vt:variant>
        <vt:i4>69</vt:i4>
      </vt:variant>
      <vt:variant>
        <vt:i4>0</vt:i4>
      </vt:variant>
      <vt:variant>
        <vt:i4>5</vt:i4>
      </vt:variant>
      <vt:variant>
        <vt:lpwstr>http://www.nevo.co.il/case/26239774</vt:lpwstr>
      </vt:variant>
      <vt:variant>
        <vt:lpwstr/>
      </vt:variant>
      <vt:variant>
        <vt:i4>5636096</vt:i4>
      </vt:variant>
      <vt:variant>
        <vt:i4>66</vt:i4>
      </vt:variant>
      <vt:variant>
        <vt:i4>0</vt:i4>
      </vt:variant>
      <vt:variant>
        <vt:i4>5</vt:i4>
      </vt:variant>
      <vt:variant>
        <vt:lpwstr>http://www.nevo.co.il/law/70301/413.i.;29</vt:lpwstr>
      </vt:variant>
      <vt:variant>
        <vt:lpwstr/>
      </vt:variant>
      <vt:variant>
        <vt:i4>7077992</vt:i4>
      </vt:variant>
      <vt:variant>
        <vt:i4>63</vt:i4>
      </vt:variant>
      <vt:variant>
        <vt:i4>0</vt:i4>
      </vt:variant>
      <vt:variant>
        <vt:i4>5</vt:i4>
      </vt:variant>
      <vt:variant>
        <vt:lpwstr>http://www.nevo.co.il/law/70301/29;242</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5832704</vt:i4>
      </vt:variant>
      <vt:variant>
        <vt:i4>54</vt:i4>
      </vt:variant>
      <vt:variant>
        <vt:i4>0</vt:i4>
      </vt:variant>
      <vt:variant>
        <vt:i4>5</vt:i4>
      </vt:variant>
      <vt:variant>
        <vt:lpwstr>http://www.nevo.co.il/law/70301/144.a.;29;31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4128873</vt:i4>
      </vt:variant>
      <vt:variant>
        <vt:i4>48</vt:i4>
      </vt:variant>
      <vt:variant>
        <vt:i4>0</vt:i4>
      </vt:variant>
      <vt:variant>
        <vt:i4>5</vt:i4>
      </vt:variant>
      <vt:variant>
        <vt:lpwstr>http://www.nevo.co.il/law/70301/413i;29</vt:lpwstr>
      </vt:variant>
      <vt:variant>
        <vt:lpwstr/>
      </vt:variant>
      <vt:variant>
        <vt:i4>7077992</vt:i4>
      </vt:variant>
      <vt:variant>
        <vt:i4>45</vt:i4>
      </vt:variant>
      <vt:variant>
        <vt:i4>0</vt:i4>
      </vt:variant>
      <vt:variant>
        <vt:i4>5</vt:i4>
      </vt:variant>
      <vt:variant>
        <vt:lpwstr>http://www.nevo.co.il/law/70301/29;242</vt:lpwstr>
      </vt:variant>
      <vt:variant>
        <vt:lpwstr/>
      </vt:variant>
      <vt:variant>
        <vt:i4>6488161</vt:i4>
      </vt:variant>
      <vt:variant>
        <vt:i4>42</vt:i4>
      </vt:variant>
      <vt:variant>
        <vt:i4>0</vt:i4>
      </vt:variant>
      <vt:variant>
        <vt:i4>5</vt:i4>
      </vt:variant>
      <vt:variant>
        <vt:lpwstr>http://www.nevo.co.il/law/70301/244;29</vt:lpwstr>
      </vt:variant>
      <vt:variant>
        <vt:lpwstr/>
      </vt:variant>
      <vt:variant>
        <vt:i4>5439498</vt:i4>
      </vt:variant>
      <vt:variant>
        <vt:i4>39</vt:i4>
      </vt:variant>
      <vt:variant>
        <vt:i4>0</vt:i4>
      </vt:variant>
      <vt:variant>
        <vt:i4>5</vt:i4>
      </vt:variant>
      <vt:variant>
        <vt:lpwstr>http://www.nevo.co.il/law/70301/144.a.;29</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7077985</vt:i4>
      </vt:variant>
      <vt:variant>
        <vt:i4>27</vt:i4>
      </vt:variant>
      <vt:variant>
        <vt:i4>0</vt:i4>
      </vt:variant>
      <vt:variant>
        <vt:i4>5</vt:i4>
      </vt:variant>
      <vt:variant>
        <vt:lpwstr>http://www.nevo.co.il/law/70301/499</vt:lpwstr>
      </vt:variant>
      <vt:variant>
        <vt:lpwstr/>
      </vt:variant>
      <vt:variant>
        <vt:i4>852050</vt:i4>
      </vt:variant>
      <vt:variant>
        <vt:i4>24</vt:i4>
      </vt:variant>
      <vt:variant>
        <vt:i4>0</vt:i4>
      </vt:variant>
      <vt:variant>
        <vt:i4>5</vt:i4>
      </vt:variant>
      <vt:variant>
        <vt:lpwstr>http://www.nevo.co.il/law/70301/413i</vt:lpwstr>
      </vt:variant>
      <vt:variant>
        <vt:lpwstr/>
      </vt:variant>
      <vt:variant>
        <vt:i4>6553659</vt:i4>
      </vt:variant>
      <vt:variant>
        <vt:i4>21</vt:i4>
      </vt:variant>
      <vt:variant>
        <vt:i4>0</vt:i4>
      </vt:variant>
      <vt:variant>
        <vt:i4>5</vt:i4>
      </vt:variant>
      <vt:variant>
        <vt:lpwstr>http://www.nevo.co.il/law/70301/413.i.</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6357095</vt:i4>
      </vt:variant>
      <vt:variant>
        <vt:i4>15</vt:i4>
      </vt:variant>
      <vt:variant>
        <vt:i4>0</vt:i4>
      </vt:variant>
      <vt:variant>
        <vt:i4>5</vt:i4>
      </vt:variant>
      <vt:variant>
        <vt:lpwstr>http://www.nevo.co.il/law/70301/242</vt:lpwstr>
      </vt:variant>
      <vt:variant>
        <vt:lpwstr/>
      </vt:variant>
      <vt:variant>
        <vt:i4>6357041</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4031</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רן יחזקאל;רונן ירמיהו;דניאל ארונבייב</vt:lpwstr>
  </property>
  <property fmtid="{D5CDD505-2E9C-101B-9397-08002B2CF9AE}" pid="10" name="LAWYER">
    <vt:lpwstr/>
  </property>
  <property fmtid="{D5CDD505-2E9C-101B-9397-08002B2CF9AE}" pid="11" name="JUDGE">
    <vt:lpwstr>גיליה רביד</vt:lpwstr>
  </property>
  <property fmtid="{D5CDD505-2E9C-101B-9397-08002B2CF9AE}" pid="12" name="CITY">
    <vt:lpwstr>ת"א</vt:lpwstr>
  </property>
  <property fmtid="{D5CDD505-2E9C-101B-9397-08002B2CF9AE}" pid="13" name="DATE">
    <vt:lpwstr>20230129</vt:lpwstr>
  </property>
  <property fmtid="{D5CDD505-2E9C-101B-9397-08002B2CF9AE}" pid="14" name="TYPE_N_DATE">
    <vt:lpwstr>39020230129</vt:lpwstr>
  </property>
  <property fmtid="{D5CDD505-2E9C-101B-9397-08002B2CF9AE}" pid="15" name="WORDNUMPAGES">
    <vt:lpwstr>5</vt:lpwstr>
  </property>
  <property fmtid="{D5CDD505-2E9C-101B-9397-08002B2CF9AE}" pid="16" name="TYPE_ABS_DATE">
    <vt:lpwstr>390020230129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26239774:2</vt:lpwstr>
  </property>
  <property fmtid="{D5CDD505-2E9C-101B-9397-08002B2CF9AE}" pid="36" name="LAWLISTTMP1">
    <vt:lpwstr>70301/499.a.1:2;144.a:2;029:8;244:5;242:5;413i;031;413.i:4;144:3;499:3</vt:lpwstr>
  </property>
</Properties>
</file>