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81ECC" w:rsidRPr="005551E0" w14:paraId="1FF7157F" w14:textId="77777777" w:rsidTr="00090FA5">
        <w:trPr>
          <w:gridAfter w:val="1"/>
          <w:wAfter w:w="99" w:type="dxa"/>
          <w:trHeight w:hRule="exact" w:val="418"/>
          <w:jc w:val="center"/>
        </w:trPr>
        <w:tc>
          <w:tcPr>
            <w:tcW w:w="8721" w:type="dxa"/>
            <w:gridSpan w:val="4"/>
          </w:tcPr>
          <w:p w14:paraId="18195C50" w14:textId="77777777" w:rsidR="00681ECC" w:rsidRPr="005551E0" w:rsidRDefault="00681ECC" w:rsidP="007D6C29">
            <w:pPr>
              <w:pStyle w:val="a3"/>
              <w:jc w:val="center"/>
              <w:rPr>
                <w:rFonts w:ascii="Tahoma" w:hAnsi="Tahoma" w:cs="Tahoma"/>
                <w:color w:val="000080"/>
                <w:rtl/>
              </w:rPr>
            </w:pPr>
            <w:bookmarkStart w:id="0" w:name="LastJudge"/>
            <w:r w:rsidRPr="005551E0">
              <w:rPr>
                <w:rFonts w:ascii="Tahoma" w:hAnsi="Tahoma" w:cs="Tahoma"/>
                <w:b/>
                <w:bCs/>
                <w:color w:val="000080"/>
                <w:rtl/>
              </w:rPr>
              <w:t>בית המשפט המחוזי מרכז-לוד</w:t>
            </w:r>
          </w:p>
        </w:tc>
      </w:tr>
      <w:tr w:rsidR="00681ECC" w:rsidRPr="005551E0" w14:paraId="7CBF0CAC" w14:textId="77777777" w:rsidTr="00090FA5">
        <w:trPr>
          <w:gridAfter w:val="1"/>
          <w:wAfter w:w="99" w:type="dxa"/>
          <w:trHeight w:val="337"/>
          <w:jc w:val="center"/>
        </w:trPr>
        <w:tc>
          <w:tcPr>
            <w:tcW w:w="5054" w:type="dxa"/>
            <w:gridSpan w:val="3"/>
          </w:tcPr>
          <w:p w14:paraId="650077F6" w14:textId="77777777" w:rsidR="00681ECC" w:rsidRPr="005551E0" w:rsidRDefault="00681ECC" w:rsidP="007D6C29">
            <w:pPr>
              <w:rPr>
                <w:rFonts w:cs="FrankRuehl"/>
                <w:sz w:val="28"/>
                <w:szCs w:val="28"/>
                <w:rtl/>
              </w:rPr>
            </w:pPr>
            <w:r w:rsidRPr="005551E0">
              <w:rPr>
                <w:rFonts w:cs="FrankRuehl"/>
                <w:sz w:val="28"/>
                <w:szCs w:val="28"/>
                <w:rtl/>
              </w:rPr>
              <w:t>ת"פ</w:t>
            </w:r>
            <w:r w:rsidRPr="005551E0">
              <w:rPr>
                <w:rFonts w:cs="FrankRuehl" w:hint="cs"/>
                <w:sz w:val="28"/>
                <w:szCs w:val="28"/>
                <w:rtl/>
              </w:rPr>
              <w:t xml:space="preserve"> </w:t>
            </w:r>
            <w:r w:rsidRPr="005551E0">
              <w:rPr>
                <w:rFonts w:cs="FrankRuehl"/>
                <w:sz w:val="28"/>
                <w:szCs w:val="28"/>
                <w:rtl/>
              </w:rPr>
              <w:t>42106-01-22</w:t>
            </w:r>
            <w:r w:rsidRPr="005551E0">
              <w:rPr>
                <w:rFonts w:cs="FrankRuehl" w:hint="cs"/>
                <w:sz w:val="28"/>
                <w:szCs w:val="28"/>
                <w:rtl/>
              </w:rPr>
              <w:t xml:space="preserve"> </w:t>
            </w:r>
            <w:r w:rsidRPr="005551E0">
              <w:rPr>
                <w:rFonts w:cs="FrankRuehl"/>
                <w:sz w:val="28"/>
                <w:szCs w:val="28"/>
                <w:rtl/>
              </w:rPr>
              <w:t>מדינת ישראל נ' וחידי</w:t>
            </w:r>
          </w:p>
          <w:p w14:paraId="5E06F580" w14:textId="77777777" w:rsidR="00681ECC" w:rsidRPr="005551E0" w:rsidRDefault="00681ECC" w:rsidP="007D6C29">
            <w:pPr>
              <w:pStyle w:val="a3"/>
              <w:rPr>
                <w:rFonts w:cs="FrankRuehl"/>
                <w:sz w:val="28"/>
                <w:szCs w:val="28"/>
                <w:rtl/>
              </w:rPr>
            </w:pPr>
          </w:p>
        </w:tc>
        <w:tc>
          <w:tcPr>
            <w:tcW w:w="3667" w:type="dxa"/>
          </w:tcPr>
          <w:p w14:paraId="4C05273C" w14:textId="77777777" w:rsidR="00681ECC" w:rsidRPr="005551E0" w:rsidRDefault="00681ECC" w:rsidP="007D6C29">
            <w:pPr>
              <w:pStyle w:val="a3"/>
              <w:jc w:val="right"/>
              <w:rPr>
                <w:rFonts w:cs="FrankRuehl"/>
                <w:sz w:val="28"/>
                <w:szCs w:val="28"/>
                <w:rtl/>
              </w:rPr>
            </w:pPr>
          </w:p>
        </w:tc>
      </w:tr>
      <w:tr w:rsidR="00681ECC" w:rsidRPr="005551E0" w14:paraId="33721F5F" w14:textId="77777777" w:rsidTr="00090F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856278F" w14:textId="77777777" w:rsidR="00681ECC" w:rsidRPr="005551E0" w:rsidRDefault="00681ECC" w:rsidP="00681ECC">
            <w:pPr>
              <w:jc w:val="both"/>
              <w:rPr>
                <w:rFonts w:ascii="David" w:hAnsi="David"/>
                <w:sz w:val="26"/>
                <w:szCs w:val="26"/>
              </w:rPr>
            </w:pPr>
            <w:r w:rsidRPr="005551E0">
              <w:rPr>
                <w:rFonts w:hint="cs"/>
                <w:rtl/>
              </w:rPr>
              <w:t xml:space="preserve"> </w:t>
            </w:r>
            <w:r w:rsidRPr="005551E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C386334" w14:textId="77777777" w:rsidR="00681ECC" w:rsidRPr="005551E0" w:rsidRDefault="00681ECC" w:rsidP="007D6C29">
            <w:pPr>
              <w:rPr>
                <w:rFonts w:ascii="David" w:hAnsi="David"/>
                <w:b/>
                <w:bCs/>
                <w:sz w:val="26"/>
                <w:szCs w:val="26"/>
                <w:rtl/>
              </w:rPr>
            </w:pPr>
            <w:r w:rsidRPr="005551E0">
              <w:rPr>
                <w:rFonts w:ascii="David" w:hAnsi="David"/>
                <w:b/>
                <w:bCs/>
                <w:sz w:val="26"/>
                <w:szCs w:val="26"/>
                <w:rtl/>
              </w:rPr>
              <w:t>כבוד השופטת  מרב גרינברג</w:t>
            </w:r>
          </w:p>
          <w:p w14:paraId="0A429BF5" w14:textId="77777777" w:rsidR="00681ECC" w:rsidRPr="005551E0" w:rsidRDefault="00681ECC" w:rsidP="007D6C29">
            <w:pPr>
              <w:rPr>
                <w:rFonts w:ascii="David" w:hAnsi="David"/>
                <w:sz w:val="26"/>
                <w:szCs w:val="26"/>
                <w:rtl/>
              </w:rPr>
            </w:pPr>
          </w:p>
          <w:p w14:paraId="3865C638" w14:textId="77777777" w:rsidR="00681ECC" w:rsidRPr="005551E0" w:rsidRDefault="00681ECC" w:rsidP="00681ECC">
            <w:pPr>
              <w:jc w:val="both"/>
              <w:rPr>
                <w:rFonts w:ascii="David" w:hAnsi="David"/>
                <w:sz w:val="26"/>
                <w:szCs w:val="26"/>
              </w:rPr>
            </w:pPr>
          </w:p>
        </w:tc>
      </w:tr>
      <w:tr w:rsidR="00681ECC" w:rsidRPr="005551E0" w14:paraId="48F7CC8F" w14:textId="77777777" w:rsidTr="00090F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2A4EDD" w14:textId="77777777" w:rsidR="00681ECC" w:rsidRPr="005551E0" w:rsidRDefault="00681ECC" w:rsidP="00681ECC">
            <w:pPr>
              <w:jc w:val="both"/>
              <w:rPr>
                <w:rFonts w:ascii="David" w:hAnsi="David"/>
                <w:sz w:val="26"/>
                <w:szCs w:val="26"/>
              </w:rPr>
            </w:pPr>
            <w:bookmarkStart w:id="1" w:name="FirstAppellant"/>
            <w:bookmarkStart w:id="2" w:name="FirstLawyer"/>
            <w:r w:rsidRPr="005551E0">
              <w:rPr>
                <w:rFonts w:ascii="David" w:hAnsi="David"/>
                <w:sz w:val="26"/>
                <w:szCs w:val="26"/>
                <w:rtl/>
              </w:rPr>
              <w:t>בעניין:</w:t>
            </w:r>
          </w:p>
        </w:tc>
        <w:tc>
          <w:tcPr>
            <w:tcW w:w="3219" w:type="dxa"/>
            <w:tcBorders>
              <w:top w:val="nil"/>
              <w:left w:val="nil"/>
              <w:bottom w:val="nil"/>
              <w:right w:val="nil"/>
            </w:tcBorders>
            <w:shd w:val="clear" w:color="auto" w:fill="auto"/>
          </w:tcPr>
          <w:p w14:paraId="3E203579" w14:textId="77777777" w:rsidR="00681ECC" w:rsidRPr="005551E0" w:rsidRDefault="00681ECC" w:rsidP="00681ECC">
            <w:pPr>
              <w:suppressLineNumbers/>
            </w:pPr>
            <w:r w:rsidRPr="005551E0">
              <w:rPr>
                <w:rFonts w:ascii="Arial" w:hAnsi="Arial" w:hint="cs"/>
                <w:b/>
                <w:bCs/>
                <w:sz w:val="26"/>
                <w:szCs w:val="26"/>
                <w:rtl/>
              </w:rPr>
              <w:t>ה</w:t>
            </w:r>
            <w:r w:rsidRPr="005551E0">
              <w:rPr>
                <w:rFonts w:ascii="Arial" w:hAnsi="Arial"/>
                <w:b/>
                <w:bCs/>
                <w:sz w:val="26"/>
                <w:szCs w:val="26"/>
                <w:rtl/>
              </w:rPr>
              <w:t>מאשימה</w:t>
            </w:r>
          </w:p>
          <w:p w14:paraId="74B03DD8" w14:textId="77777777" w:rsidR="00681ECC" w:rsidRPr="005551E0" w:rsidRDefault="00681ECC" w:rsidP="007D6C2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8416DF9" w14:textId="77777777" w:rsidR="00681ECC" w:rsidRPr="005551E0" w:rsidRDefault="00681ECC" w:rsidP="00681ECC">
            <w:pPr>
              <w:suppressLineNumbers/>
              <w:rPr>
                <w:rFonts w:ascii="Arial" w:hAnsi="Arial"/>
                <w:b/>
                <w:bCs/>
                <w:sz w:val="26"/>
                <w:szCs w:val="26"/>
                <w:rtl/>
              </w:rPr>
            </w:pPr>
            <w:r w:rsidRPr="005551E0">
              <w:rPr>
                <w:rFonts w:ascii="Arial" w:hAnsi="Arial"/>
                <w:b/>
                <w:bCs/>
                <w:sz w:val="26"/>
                <w:szCs w:val="26"/>
                <w:rtl/>
              </w:rPr>
              <w:t>מדינת ישראל</w:t>
            </w:r>
            <w:r w:rsidRPr="005551E0">
              <w:rPr>
                <w:rFonts w:ascii="Arial" w:hAnsi="Arial" w:hint="cs"/>
                <w:b/>
                <w:bCs/>
                <w:sz w:val="26"/>
                <w:szCs w:val="26"/>
                <w:rtl/>
              </w:rPr>
              <w:t xml:space="preserve"> </w:t>
            </w:r>
          </w:p>
          <w:p w14:paraId="7124AF83" w14:textId="77777777" w:rsidR="00681ECC" w:rsidRPr="005551E0" w:rsidRDefault="00681ECC" w:rsidP="00681ECC">
            <w:pPr>
              <w:suppressLineNumbers/>
              <w:rPr>
                <w:rFonts w:ascii="Arial" w:hAnsi="Arial"/>
                <w:b/>
                <w:bCs/>
                <w:sz w:val="26"/>
                <w:szCs w:val="26"/>
              </w:rPr>
            </w:pPr>
            <w:r w:rsidRPr="005551E0">
              <w:rPr>
                <w:rFonts w:ascii="Arial" w:hAnsi="Arial"/>
                <w:b/>
                <w:bCs/>
                <w:sz w:val="26"/>
                <w:szCs w:val="26"/>
                <w:rtl/>
              </w:rPr>
              <w:t>ע"י ב"כ עוה"ד</w:t>
            </w:r>
            <w:r w:rsidRPr="005551E0">
              <w:rPr>
                <w:rFonts w:ascii="Arial" w:hAnsi="Arial" w:hint="cs"/>
                <w:b/>
                <w:bCs/>
                <w:sz w:val="26"/>
                <w:szCs w:val="26"/>
                <w:rtl/>
              </w:rPr>
              <w:t xml:space="preserve"> ליטל שירי</w:t>
            </w:r>
          </w:p>
          <w:p w14:paraId="276E2E6D" w14:textId="77777777" w:rsidR="00681ECC" w:rsidRPr="005551E0" w:rsidRDefault="00681ECC" w:rsidP="007D6C29">
            <w:pPr>
              <w:rPr>
                <w:rFonts w:ascii="David" w:hAnsi="David"/>
                <w:sz w:val="26"/>
                <w:szCs w:val="26"/>
              </w:rPr>
            </w:pPr>
          </w:p>
        </w:tc>
      </w:tr>
      <w:bookmarkEnd w:id="1"/>
      <w:bookmarkEnd w:id="2"/>
      <w:tr w:rsidR="00681ECC" w:rsidRPr="005551E0" w14:paraId="74DAE720" w14:textId="77777777" w:rsidTr="00090F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6F764B" w14:textId="77777777" w:rsidR="00681ECC" w:rsidRPr="005551E0" w:rsidRDefault="00681ECC" w:rsidP="00681EC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01A0E1E" w14:textId="77777777" w:rsidR="00681ECC" w:rsidRPr="005551E0" w:rsidRDefault="00681ECC" w:rsidP="00681ECC">
            <w:pPr>
              <w:jc w:val="center"/>
              <w:rPr>
                <w:rFonts w:ascii="David" w:hAnsi="David"/>
                <w:b/>
                <w:bCs/>
                <w:sz w:val="26"/>
                <w:szCs w:val="26"/>
                <w:rtl/>
              </w:rPr>
            </w:pPr>
          </w:p>
          <w:p w14:paraId="029C3379" w14:textId="77777777" w:rsidR="00681ECC" w:rsidRPr="005551E0" w:rsidRDefault="00681ECC" w:rsidP="00681ECC">
            <w:pPr>
              <w:jc w:val="center"/>
              <w:rPr>
                <w:rFonts w:ascii="David" w:hAnsi="David"/>
                <w:b/>
                <w:bCs/>
                <w:sz w:val="26"/>
                <w:szCs w:val="26"/>
                <w:rtl/>
              </w:rPr>
            </w:pPr>
            <w:r w:rsidRPr="005551E0">
              <w:rPr>
                <w:rFonts w:ascii="David" w:hAnsi="David"/>
                <w:b/>
                <w:bCs/>
                <w:sz w:val="26"/>
                <w:szCs w:val="26"/>
                <w:rtl/>
              </w:rPr>
              <w:t>נגד</w:t>
            </w:r>
          </w:p>
          <w:p w14:paraId="3D6F60A1" w14:textId="77777777" w:rsidR="00681ECC" w:rsidRPr="005551E0" w:rsidRDefault="00681ECC" w:rsidP="00681ECC">
            <w:pPr>
              <w:jc w:val="both"/>
              <w:rPr>
                <w:rFonts w:ascii="David" w:hAnsi="David"/>
                <w:sz w:val="26"/>
                <w:szCs w:val="26"/>
              </w:rPr>
            </w:pPr>
          </w:p>
        </w:tc>
      </w:tr>
      <w:tr w:rsidR="00681ECC" w:rsidRPr="005551E0" w14:paraId="21E1B6D9" w14:textId="77777777" w:rsidTr="00090F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E1B110" w14:textId="77777777" w:rsidR="00681ECC" w:rsidRPr="005551E0" w:rsidRDefault="00681ECC" w:rsidP="007D6C29">
            <w:pPr>
              <w:rPr>
                <w:rFonts w:ascii="David" w:hAnsi="David"/>
                <w:sz w:val="26"/>
                <w:szCs w:val="26"/>
                <w:rtl/>
              </w:rPr>
            </w:pPr>
          </w:p>
        </w:tc>
        <w:tc>
          <w:tcPr>
            <w:tcW w:w="3219" w:type="dxa"/>
            <w:tcBorders>
              <w:top w:val="nil"/>
              <w:left w:val="nil"/>
              <w:bottom w:val="nil"/>
              <w:right w:val="nil"/>
            </w:tcBorders>
            <w:shd w:val="clear" w:color="auto" w:fill="auto"/>
          </w:tcPr>
          <w:p w14:paraId="49525ECC" w14:textId="77777777" w:rsidR="00681ECC" w:rsidRPr="005551E0" w:rsidRDefault="00681ECC" w:rsidP="007D6C29">
            <w:pPr>
              <w:rPr>
                <w:rFonts w:ascii="Arial" w:hAnsi="Arial"/>
                <w:b/>
                <w:bCs/>
                <w:sz w:val="26"/>
                <w:szCs w:val="26"/>
                <w:rtl/>
              </w:rPr>
            </w:pPr>
            <w:r w:rsidRPr="005551E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80B837C" w14:textId="77777777" w:rsidR="00681ECC" w:rsidRPr="005551E0" w:rsidRDefault="00681ECC" w:rsidP="00681ECC">
            <w:pPr>
              <w:suppressLineNumbers/>
              <w:rPr>
                <w:rFonts w:ascii="Arial" w:hAnsi="Arial"/>
                <w:b/>
                <w:bCs/>
                <w:sz w:val="26"/>
                <w:szCs w:val="26"/>
              </w:rPr>
            </w:pPr>
            <w:r w:rsidRPr="005551E0">
              <w:rPr>
                <w:rFonts w:ascii="Arial" w:hAnsi="Arial"/>
                <w:b/>
                <w:bCs/>
                <w:sz w:val="26"/>
                <w:szCs w:val="26"/>
                <w:rtl/>
              </w:rPr>
              <w:t>עבדאללה וחידי</w:t>
            </w:r>
            <w:r w:rsidRPr="005551E0">
              <w:rPr>
                <w:rFonts w:ascii="Arial" w:hAnsi="Arial"/>
                <w:b/>
                <w:bCs/>
                <w:sz w:val="26"/>
                <w:szCs w:val="26"/>
                <w:rtl/>
              </w:rPr>
              <w:br/>
            </w:r>
            <w:r w:rsidRPr="005551E0">
              <w:rPr>
                <w:rFonts w:ascii="Arial" w:hAnsi="Arial" w:hint="cs"/>
                <w:b/>
                <w:bCs/>
                <w:sz w:val="26"/>
                <w:szCs w:val="26"/>
                <w:rtl/>
              </w:rPr>
              <w:t xml:space="preserve"> </w:t>
            </w:r>
            <w:r w:rsidRPr="005551E0">
              <w:rPr>
                <w:rFonts w:ascii="Arial" w:hAnsi="Arial"/>
                <w:b/>
                <w:bCs/>
                <w:sz w:val="26"/>
                <w:szCs w:val="26"/>
                <w:rtl/>
              </w:rPr>
              <w:t>ע"י ב"כ עוה"ד</w:t>
            </w:r>
            <w:r w:rsidRPr="005551E0">
              <w:rPr>
                <w:rFonts w:ascii="Arial" w:hAnsi="Arial" w:hint="cs"/>
                <w:b/>
                <w:bCs/>
                <w:sz w:val="26"/>
                <w:szCs w:val="26"/>
                <w:rtl/>
              </w:rPr>
              <w:t xml:space="preserve"> עמית שלף ועו"ד שרון רבינוביץ'</w:t>
            </w:r>
          </w:p>
          <w:p w14:paraId="6CC021E8" w14:textId="77777777" w:rsidR="00681ECC" w:rsidRPr="005551E0" w:rsidRDefault="00681ECC" w:rsidP="007D6C29">
            <w:pPr>
              <w:rPr>
                <w:rFonts w:ascii="David" w:hAnsi="David"/>
                <w:sz w:val="26"/>
                <w:szCs w:val="26"/>
              </w:rPr>
            </w:pPr>
          </w:p>
        </w:tc>
      </w:tr>
    </w:tbl>
    <w:p w14:paraId="6B305628" w14:textId="77777777" w:rsidR="00090FA5" w:rsidRDefault="00090FA5" w:rsidP="005551E0">
      <w:pPr>
        <w:jc w:val="center"/>
        <w:rPr>
          <w:rFonts w:ascii="David" w:hAnsi="David"/>
          <w:sz w:val="32"/>
          <w:szCs w:val="32"/>
          <w:rtl/>
        </w:rPr>
      </w:pPr>
    </w:p>
    <w:p w14:paraId="386626A1" w14:textId="77777777" w:rsidR="00090FA5" w:rsidRPr="00090FA5" w:rsidRDefault="00090FA5" w:rsidP="00090FA5">
      <w:pPr>
        <w:spacing w:after="120" w:line="240" w:lineRule="exact"/>
        <w:ind w:left="283" w:hanging="283"/>
        <w:jc w:val="both"/>
        <w:rPr>
          <w:rFonts w:ascii="FrankRuehl" w:hAnsi="FrankRuehl" w:cs="FrankRuehl"/>
          <w:rtl/>
        </w:rPr>
      </w:pPr>
    </w:p>
    <w:p w14:paraId="41E4D01F" w14:textId="77777777" w:rsidR="00190D71" w:rsidRPr="00190D71" w:rsidRDefault="00190D71" w:rsidP="00190D71">
      <w:pPr>
        <w:spacing w:before="120" w:after="120" w:line="240" w:lineRule="exact"/>
        <w:ind w:left="283" w:hanging="283"/>
        <w:jc w:val="both"/>
        <w:rPr>
          <w:rFonts w:ascii="FrankRuehl" w:hAnsi="FrankRuehl" w:cs="FrankRuehl"/>
          <w:rtl/>
        </w:rPr>
      </w:pPr>
    </w:p>
    <w:p w14:paraId="021102BE" w14:textId="77777777" w:rsidR="00823DE7" w:rsidRDefault="00823DE7" w:rsidP="00823DE7">
      <w:pPr>
        <w:jc w:val="center"/>
        <w:rPr>
          <w:rFonts w:ascii="David" w:hAnsi="David"/>
          <w:sz w:val="32"/>
          <w:szCs w:val="32"/>
          <w:rtl/>
        </w:rPr>
      </w:pPr>
      <w:bookmarkStart w:id="3" w:name="LawTable"/>
      <w:bookmarkEnd w:id="3"/>
    </w:p>
    <w:p w14:paraId="61A2DF74" w14:textId="77777777" w:rsidR="00823DE7" w:rsidRPr="00823DE7" w:rsidRDefault="00823DE7" w:rsidP="00823DE7">
      <w:pPr>
        <w:spacing w:before="120" w:after="120" w:line="240" w:lineRule="exact"/>
        <w:ind w:left="283" w:hanging="283"/>
        <w:jc w:val="both"/>
        <w:rPr>
          <w:rFonts w:ascii="FrankRuehl" w:hAnsi="FrankRuehl" w:cs="FrankRuehl"/>
          <w:rtl/>
        </w:rPr>
      </w:pPr>
    </w:p>
    <w:p w14:paraId="40635A55" w14:textId="77777777" w:rsidR="00823DE7" w:rsidRPr="00823DE7" w:rsidRDefault="00823DE7" w:rsidP="00823DE7">
      <w:pPr>
        <w:spacing w:before="120" w:after="120" w:line="240" w:lineRule="exact"/>
        <w:ind w:left="283" w:hanging="283"/>
        <w:jc w:val="both"/>
        <w:rPr>
          <w:rFonts w:ascii="FrankRuehl" w:hAnsi="FrankRuehl" w:cs="FrankRuehl"/>
          <w:rtl/>
        </w:rPr>
      </w:pPr>
    </w:p>
    <w:p w14:paraId="3E8D3CA8" w14:textId="77777777" w:rsidR="00823DE7" w:rsidRPr="00823DE7" w:rsidRDefault="00823DE7" w:rsidP="00823DE7">
      <w:pPr>
        <w:spacing w:before="120" w:after="120" w:line="240" w:lineRule="exact"/>
        <w:ind w:left="283" w:hanging="283"/>
        <w:jc w:val="both"/>
        <w:rPr>
          <w:rFonts w:ascii="FrankRuehl" w:hAnsi="FrankRuehl" w:cs="FrankRuehl"/>
          <w:rtl/>
        </w:rPr>
      </w:pPr>
      <w:r w:rsidRPr="00823DE7">
        <w:rPr>
          <w:rFonts w:ascii="FrankRuehl" w:hAnsi="FrankRuehl" w:cs="FrankRuehl"/>
          <w:rtl/>
        </w:rPr>
        <w:t xml:space="preserve">חקיקה שאוזכרה: </w:t>
      </w:r>
    </w:p>
    <w:p w14:paraId="4B5CC156" w14:textId="77777777" w:rsidR="00823DE7" w:rsidRPr="00823DE7" w:rsidRDefault="00823DE7" w:rsidP="00823DE7">
      <w:pPr>
        <w:spacing w:before="120" w:after="120" w:line="240" w:lineRule="exact"/>
        <w:ind w:left="283" w:hanging="283"/>
        <w:jc w:val="both"/>
        <w:rPr>
          <w:rFonts w:ascii="FrankRuehl" w:hAnsi="FrankRuehl" w:cs="FrankRuehl"/>
          <w:rtl/>
        </w:rPr>
      </w:pPr>
      <w:hyperlink r:id="rId7" w:history="1">
        <w:r w:rsidRPr="00823DE7">
          <w:rPr>
            <w:rFonts w:ascii="FrankRuehl" w:hAnsi="FrankRuehl" w:cs="FrankRuehl"/>
            <w:color w:val="0000FF"/>
            <w:rtl/>
          </w:rPr>
          <w:t>חוק העונשין, תשל"ז-1977</w:t>
        </w:r>
      </w:hyperlink>
      <w:r w:rsidRPr="00823DE7">
        <w:rPr>
          <w:rFonts w:ascii="FrankRuehl" w:hAnsi="FrankRuehl" w:cs="FrankRuehl"/>
          <w:rtl/>
        </w:rPr>
        <w:t xml:space="preserve">: סע'  </w:t>
      </w:r>
      <w:hyperlink r:id="rId8" w:history="1">
        <w:r w:rsidRPr="00823DE7">
          <w:rPr>
            <w:rFonts w:ascii="FrankRuehl" w:hAnsi="FrankRuehl" w:cs="FrankRuehl"/>
            <w:color w:val="0000FF"/>
            <w:rtl/>
          </w:rPr>
          <w:t>144(א)</w:t>
        </w:r>
      </w:hyperlink>
    </w:p>
    <w:p w14:paraId="4071E4F2" w14:textId="77777777" w:rsidR="00823DE7" w:rsidRPr="00823DE7" w:rsidRDefault="00823DE7" w:rsidP="00823DE7">
      <w:pPr>
        <w:jc w:val="center"/>
        <w:rPr>
          <w:rFonts w:ascii="David" w:hAnsi="David"/>
          <w:sz w:val="32"/>
          <w:szCs w:val="32"/>
          <w:rtl/>
        </w:rPr>
      </w:pPr>
      <w:bookmarkStart w:id="4" w:name="LawTable_End"/>
      <w:bookmarkEnd w:id="4"/>
    </w:p>
    <w:p w14:paraId="6C68F68C" w14:textId="77777777" w:rsidR="00090FA5" w:rsidRPr="00190D71" w:rsidRDefault="00090FA5" w:rsidP="00190D71">
      <w:pPr>
        <w:jc w:val="center"/>
        <w:rPr>
          <w:rFonts w:ascii="David" w:hAnsi="David"/>
          <w:sz w:val="32"/>
          <w:szCs w:val="32"/>
          <w:rtl/>
        </w:rPr>
      </w:pPr>
    </w:p>
    <w:p w14:paraId="11C74283" w14:textId="77777777" w:rsidR="00090FA5" w:rsidRPr="005551E0" w:rsidRDefault="00090FA5" w:rsidP="005551E0">
      <w:pPr>
        <w:jc w:val="center"/>
        <w:rPr>
          <w:rFonts w:ascii="David" w:hAnsi="David"/>
          <w:b/>
          <w:bCs/>
          <w:sz w:val="32"/>
          <w:szCs w:val="32"/>
          <w:u w:val="single"/>
          <w:rtl/>
        </w:rPr>
      </w:pPr>
      <w:bookmarkStart w:id="5" w:name="PsakDin"/>
      <w:r w:rsidRPr="005551E0">
        <w:rPr>
          <w:rFonts w:ascii="David" w:hAnsi="David"/>
          <w:b/>
          <w:bCs/>
          <w:sz w:val="32"/>
          <w:szCs w:val="32"/>
          <w:u w:val="single"/>
          <w:rtl/>
        </w:rPr>
        <w:t>גזר דין</w:t>
      </w:r>
    </w:p>
    <w:bookmarkEnd w:id="5"/>
    <w:p w14:paraId="244F5390" w14:textId="77777777" w:rsidR="00090FA5" w:rsidRPr="00681ECC" w:rsidRDefault="00090FA5" w:rsidP="00681ECC">
      <w:pPr>
        <w:jc w:val="center"/>
        <w:rPr>
          <w:rFonts w:ascii="David" w:hAnsi="David"/>
          <w:sz w:val="32"/>
          <w:szCs w:val="32"/>
          <w:u w:val="single"/>
          <w:rtl/>
        </w:rPr>
      </w:pPr>
    </w:p>
    <w:p w14:paraId="12458917" w14:textId="77777777" w:rsidR="00681ECC" w:rsidRDefault="00681ECC" w:rsidP="00681ECC">
      <w:pPr>
        <w:numPr>
          <w:ilvl w:val="0"/>
          <w:numId w:val="1"/>
        </w:numPr>
        <w:spacing w:line="360" w:lineRule="auto"/>
        <w:contextualSpacing/>
        <w:jc w:val="both"/>
        <w:rPr>
          <w:rFonts w:ascii="David" w:eastAsia="David" w:hAnsi="David"/>
          <w:rtl/>
        </w:rPr>
      </w:pPr>
      <w:bookmarkStart w:id="6" w:name="ABSTRACT_START"/>
      <w:bookmarkEnd w:id="0"/>
      <w:bookmarkEnd w:id="6"/>
      <w:r>
        <w:rPr>
          <w:rFonts w:ascii="David" w:eastAsia="David" w:hAnsi="David"/>
          <w:rtl/>
        </w:rPr>
        <w:t xml:space="preserve">הנאשם הורשע, במסגרת הסדר דיוני, בעובדות כתב אישום מתוקן בעבירת </w:t>
      </w:r>
      <w:r>
        <w:rPr>
          <w:rFonts w:ascii="David" w:eastAsia="David" w:hAnsi="David"/>
          <w:b/>
          <w:bCs/>
          <w:rtl/>
        </w:rPr>
        <w:t xml:space="preserve">החזקת נשק, אביזר נשק ותחמושת שלא כדין, לפי </w:t>
      </w:r>
      <w:hyperlink r:id="rId9" w:history="1">
        <w:r w:rsidR="00090FA5" w:rsidRPr="00090FA5">
          <w:rPr>
            <w:rStyle w:val="Hyperlink"/>
            <w:rFonts w:ascii="David" w:eastAsia="David" w:hAnsi="David"/>
            <w:b/>
            <w:bCs/>
            <w:rtl/>
          </w:rPr>
          <w:t>סעיף 144(א)</w:t>
        </w:r>
      </w:hyperlink>
      <w:r>
        <w:rPr>
          <w:rFonts w:ascii="David" w:eastAsia="David" w:hAnsi="David"/>
          <w:b/>
          <w:bCs/>
          <w:rtl/>
        </w:rPr>
        <w:t xml:space="preserve"> רישא וסיפא ל</w:t>
      </w:r>
      <w:hyperlink r:id="rId10" w:history="1">
        <w:r w:rsidR="005551E0" w:rsidRPr="005551E0">
          <w:rPr>
            <w:rFonts w:ascii="David" w:eastAsia="David" w:hAnsi="David"/>
            <w:b/>
            <w:bCs/>
            <w:color w:val="0000FF"/>
            <w:u w:val="single"/>
            <w:rtl/>
          </w:rPr>
          <w:t>חוק העונשין</w:t>
        </w:r>
      </w:hyperlink>
      <w:r>
        <w:rPr>
          <w:rFonts w:ascii="David" w:eastAsia="David" w:hAnsi="David"/>
          <w:b/>
          <w:bCs/>
          <w:rtl/>
        </w:rPr>
        <w:t>, תשל"ז-1977</w:t>
      </w:r>
      <w:r>
        <w:rPr>
          <w:rFonts w:ascii="David" w:eastAsia="David" w:hAnsi="David"/>
          <w:rtl/>
        </w:rPr>
        <w:t xml:space="preserve"> (להלן:</w:t>
      </w:r>
      <w:r>
        <w:rPr>
          <w:rFonts w:ascii="David" w:eastAsia="David" w:hAnsi="David" w:hint="cs"/>
          <w:rtl/>
        </w:rPr>
        <w:t xml:space="preserve"> </w:t>
      </w:r>
      <w:r>
        <w:rPr>
          <w:rFonts w:ascii="David" w:eastAsia="David" w:hAnsi="David"/>
          <w:rtl/>
        </w:rPr>
        <w:t>"החוק").</w:t>
      </w:r>
      <w:r>
        <w:rPr>
          <w:rFonts w:ascii="David" w:eastAsia="David" w:hAnsi="David" w:hint="cs"/>
          <w:rtl/>
        </w:rPr>
        <w:t xml:space="preserve"> </w:t>
      </w:r>
    </w:p>
    <w:p w14:paraId="10A8FFAA" w14:textId="77777777" w:rsidR="00681ECC" w:rsidRDefault="00681ECC" w:rsidP="00681ECC">
      <w:pPr>
        <w:spacing w:line="360" w:lineRule="auto"/>
        <w:ind w:left="720"/>
        <w:contextualSpacing/>
        <w:jc w:val="both"/>
        <w:rPr>
          <w:rFonts w:ascii="David" w:eastAsia="David" w:hAnsi="David"/>
        </w:rPr>
      </w:pPr>
    </w:p>
    <w:p w14:paraId="3E64DB19" w14:textId="77777777" w:rsidR="00681ECC" w:rsidRDefault="00681ECC" w:rsidP="00681ECC">
      <w:pPr>
        <w:numPr>
          <w:ilvl w:val="0"/>
          <w:numId w:val="1"/>
        </w:numPr>
        <w:spacing w:line="360" w:lineRule="auto"/>
        <w:contextualSpacing/>
        <w:jc w:val="both"/>
        <w:rPr>
          <w:rFonts w:ascii="David" w:eastAsia="David" w:hAnsi="David"/>
          <w:rtl/>
        </w:rPr>
      </w:pPr>
      <w:r>
        <w:rPr>
          <w:rFonts w:ascii="David" w:eastAsia="David" w:hAnsi="David"/>
          <w:rtl/>
        </w:rPr>
        <w:t xml:space="preserve">כמפורט בעובדות כתב האישום המתוקן, עובר ליום 7.12.21 בנסיבות שאינן ידועות למאשימה במדוייק, הגיע לחזקתו של הנאשם רובה ארוך עם קת מסוג </w:t>
      </w:r>
      <w:r>
        <w:rPr>
          <w:rFonts w:ascii="David" w:eastAsia="David" w:hAnsi="David"/>
        </w:rPr>
        <w:t>MP5</w:t>
      </w:r>
      <w:r>
        <w:rPr>
          <w:rFonts w:ascii="David" w:eastAsia="David" w:hAnsi="David"/>
          <w:rtl/>
        </w:rPr>
        <w:t xml:space="preserve"> ומחסנית תואמת, אותו החזיק מוסלק ברצפת מכולה הסמוכה לביתו. </w:t>
      </w:r>
    </w:p>
    <w:p w14:paraId="3E362CB8" w14:textId="77777777" w:rsidR="00681ECC" w:rsidRDefault="00681ECC" w:rsidP="00681ECC">
      <w:pPr>
        <w:pStyle w:val="a9"/>
        <w:rPr>
          <w:rFonts w:ascii="David" w:eastAsia="David" w:hAnsi="David" w:cs="David"/>
          <w:sz w:val="24"/>
          <w:szCs w:val="24"/>
        </w:rPr>
      </w:pPr>
      <w:bookmarkStart w:id="7" w:name="ABSTRACT_END"/>
      <w:bookmarkEnd w:id="7"/>
    </w:p>
    <w:p w14:paraId="3F5E5221" w14:textId="77777777" w:rsidR="00681ECC" w:rsidRDefault="00681ECC" w:rsidP="00681ECC">
      <w:pPr>
        <w:numPr>
          <w:ilvl w:val="0"/>
          <w:numId w:val="1"/>
        </w:numPr>
        <w:spacing w:line="360" w:lineRule="auto"/>
        <w:contextualSpacing/>
        <w:jc w:val="both"/>
        <w:rPr>
          <w:rFonts w:ascii="David" w:eastAsia="David" w:hAnsi="David"/>
          <w:rtl/>
        </w:rPr>
      </w:pPr>
      <w:r>
        <w:rPr>
          <w:rFonts w:ascii="David" w:eastAsia="David" w:hAnsi="David"/>
          <w:rtl/>
        </w:rPr>
        <w:t xml:space="preserve">בהמשך להסכמות הצדדים, ומפאת גילו, התקבל בעניינו תסקיר חיובי בעיקרו. לפיו הנאשם בן 21, ללא עבר פלילי, בן למשפחה נורמטיבית ותומכת שגינתה בתוקף את מעשיו. הנאשם סיים לימודי מקצוע כרתך, עובד ואמור היה להינשא לבת זוגו אך נוכח הסתבכותו בתיק, </w:t>
      </w:r>
      <w:r>
        <w:rPr>
          <w:rFonts w:ascii="David" w:eastAsia="David" w:hAnsi="David"/>
          <w:rtl/>
        </w:rPr>
        <w:lastRenderedPageBreak/>
        <w:t xml:space="preserve">נותק הקשר ביניהם. הנאשם נטל אחריות על מעשיו והביע צער וחרטה, לדבריו שמר את הנשק בתשלום עבור אחד מחבריו מתוך רצון לרצותו ולהשתלב מבחינה חברתית. אף להערכת שירות המבחן, ביצע את מעשיו נוכח דימוי עצמי נמוך, ביסוס תדמית גברית ורצון לתחושת שייכות. עוד העריכו כי הסיכון הנשקף ממנו נמוך, הנאשם הביע נכונות להשתלב בקבוצה טיפולית אך זו טרם נפתחה. לסיכום, משזו לו מעורבות פלילית יחידה, נוכח חששו ממאסר והבנה של חומרת מעשיו, בא שירות המבחן בהמלצה להסתפק בעבודות שירות לצד צו מבחן. </w:t>
      </w:r>
    </w:p>
    <w:p w14:paraId="20819A2D" w14:textId="77777777" w:rsidR="00681ECC" w:rsidRDefault="00681ECC" w:rsidP="00681ECC">
      <w:pPr>
        <w:spacing w:line="360" w:lineRule="auto"/>
        <w:ind w:left="720"/>
        <w:contextualSpacing/>
        <w:jc w:val="both"/>
        <w:rPr>
          <w:rFonts w:ascii="David" w:eastAsia="David" w:hAnsi="David"/>
          <w:rtl/>
        </w:rPr>
      </w:pPr>
    </w:p>
    <w:p w14:paraId="27047030" w14:textId="77777777" w:rsidR="00681ECC" w:rsidRDefault="00681ECC" w:rsidP="00681ECC">
      <w:pPr>
        <w:spacing w:line="360" w:lineRule="auto"/>
        <w:ind w:left="720"/>
        <w:contextualSpacing/>
        <w:jc w:val="both"/>
        <w:rPr>
          <w:rFonts w:ascii="David" w:eastAsia="David" w:hAnsi="David"/>
          <w:rtl/>
        </w:rPr>
      </w:pPr>
    </w:p>
    <w:p w14:paraId="7050B1FC" w14:textId="77777777" w:rsidR="00681ECC" w:rsidRDefault="00681ECC" w:rsidP="00681ECC">
      <w:pPr>
        <w:spacing w:line="360" w:lineRule="auto"/>
        <w:ind w:left="720"/>
        <w:contextualSpacing/>
        <w:jc w:val="both"/>
        <w:rPr>
          <w:rFonts w:ascii="David" w:eastAsia="David" w:hAnsi="David"/>
        </w:rPr>
      </w:pPr>
    </w:p>
    <w:p w14:paraId="62C8F480" w14:textId="77777777" w:rsidR="00681ECC" w:rsidRDefault="00681ECC" w:rsidP="00681ECC">
      <w:pPr>
        <w:spacing w:line="360" w:lineRule="auto"/>
        <w:ind w:firstLine="360"/>
        <w:jc w:val="both"/>
        <w:rPr>
          <w:rFonts w:ascii="David" w:eastAsia="David" w:hAnsi="David"/>
          <w:b/>
          <w:bCs/>
          <w:u w:val="single"/>
          <w:rtl/>
        </w:rPr>
      </w:pPr>
      <w:r>
        <w:rPr>
          <w:rFonts w:ascii="David" w:eastAsia="David" w:hAnsi="David"/>
          <w:b/>
          <w:bCs/>
          <w:u w:val="single"/>
          <w:rtl/>
        </w:rPr>
        <w:t>תמצית הטיעונים לעונש</w:t>
      </w:r>
    </w:p>
    <w:p w14:paraId="5258B854" w14:textId="77777777" w:rsidR="00681ECC" w:rsidRDefault="00681ECC" w:rsidP="00681ECC">
      <w:pPr>
        <w:numPr>
          <w:ilvl w:val="0"/>
          <w:numId w:val="1"/>
        </w:numPr>
        <w:spacing w:line="360" w:lineRule="auto"/>
        <w:contextualSpacing/>
        <w:jc w:val="both"/>
        <w:rPr>
          <w:rFonts w:ascii="David" w:eastAsia="David" w:hAnsi="David"/>
          <w:rtl/>
        </w:rPr>
      </w:pPr>
      <w:r>
        <w:rPr>
          <w:rFonts w:ascii="David" w:eastAsia="David" w:hAnsi="David"/>
          <w:rtl/>
        </w:rPr>
        <w:t xml:space="preserve">ב"כ המאשימה, עו"ד ליטל שירי, עמדה בטיעוניה על חומרת עבירות הנשק, הפגיעה בערכים המוגנים ופוטנציאל הנזק שעלול היה להיגרם מהחזקת נשק בלתי חוקי. עוד הדגיש לחומרה את העובדה שהנשק נתפס כשלצדו מחסנית. באשר למדיניות הענישה הנוהגת, עמדה המאשימה על מגמת ההחמרה בענישה בעבירות נשק, ועל כך שביצע את המעשה על סף כניסת הוראת השעה, בה נקבעו עונשי מינימום בעבירות נשק. המאשימה עתרה למתחם ענישה שנע בין 24- 56 חודשי מאסר ואיננה סבורה כי יש מקום לסטות בעניינו מטעמי שיקום. נוכח גילו הצעיר ונסיבותיו החיוביות ביקשה למקמו בתחתית המתחם לצד ענישה נלווית. </w:t>
      </w:r>
    </w:p>
    <w:p w14:paraId="30A44296" w14:textId="77777777" w:rsidR="00681ECC" w:rsidRDefault="00681ECC" w:rsidP="00681ECC">
      <w:pPr>
        <w:spacing w:line="360" w:lineRule="auto"/>
        <w:ind w:left="720"/>
        <w:contextualSpacing/>
        <w:jc w:val="both"/>
        <w:rPr>
          <w:rFonts w:ascii="David" w:eastAsia="David" w:hAnsi="David"/>
        </w:rPr>
      </w:pPr>
    </w:p>
    <w:p w14:paraId="289B46B1" w14:textId="77777777" w:rsidR="00681ECC" w:rsidRDefault="00681ECC" w:rsidP="00681ECC">
      <w:pPr>
        <w:numPr>
          <w:ilvl w:val="0"/>
          <w:numId w:val="1"/>
        </w:numPr>
        <w:spacing w:line="360" w:lineRule="auto"/>
        <w:contextualSpacing/>
        <w:jc w:val="both"/>
        <w:rPr>
          <w:rFonts w:ascii="David" w:eastAsia="David" w:hAnsi="David"/>
          <w:rtl/>
        </w:rPr>
      </w:pPr>
      <w:r>
        <w:rPr>
          <w:rFonts w:ascii="David" w:eastAsia="David" w:hAnsi="David"/>
          <w:rtl/>
        </w:rPr>
        <w:t xml:space="preserve">מנגד עתר ב"כ הנאשם, עו"ד עמית שלף, למתחם מתון יותר שמאפשר להסתפק בעבודות שירות או לחילופין לחריגה ממתחם הענישה לצרכי שיקום. ב"כ הנאשם הדגיש כי מדובר בהחזקה בתוך מכולה ולא באופן המלמד על שימוש מיידי וכן שהנשק לא היה טעון. עוד עמד על המחירים האישיים הכבדים ששילם הנאשם, משפחתו כועסת עליו ולא סומכת עליו וארוסתו עזבה אותו. לדבריו, הסתבכותו בתיק עצרה את התדרדרותו, הנאשם שיתף פעולה עם שירות המבחן, מסוכנותו הוערכה כנמוכה, מגלה מוטיבציה טיפולית וללא עבר, וסבור כי יש בכל אלו כדי לשמש טעמים לחרוג ממתחם מאסר ממש. עוד הפנה לאסופת פסיקה שבה נקבעו מתחמים נמוכים יותר ועונשי עבודות שירות. </w:t>
      </w:r>
    </w:p>
    <w:p w14:paraId="67F3B1BD" w14:textId="77777777" w:rsidR="00681ECC" w:rsidRDefault="00681ECC" w:rsidP="00681ECC">
      <w:pPr>
        <w:pStyle w:val="a9"/>
        <w:rPr>
          <w:rFonts w:ascii="David" w:eastAsia="David" w:hAnsi="David" w:cs="David"/>
          <w:sz w:val="24"/>
          <w:szCs w:val="24"/>
        </w:rPr>
      </w:pPr>
    </w:p>
    <w:p w14:paraId="0AF69DC5" w14:textId="77777777" w:rsidR="00681ECC" w:rsidRDefault="00681ECC" w:rsidP="00681ECC">
      <w:pPr>
        <w:numPr>
          <w:ilvl w:val="0"/>
          <w:numId w:val="1"/>
        </w:numPr>
        <w:contextualSpacing/>
        <w:jc w:val="both"/>
        <w:rPr>
          <w:rFonts w:ascii="David" w:eastAsia="David" w:hAnsi="David"/>
          <w:b/>
          <w:bCs/>
          <w:u w:val="single"/>
          <w:rtl/>
        </w:rPr>
      </w:pPr>
      <w:r>
        <w:rPr>
          <w:rFonts w:ascii="David" w:eastAsia="David" w:hAnsi="David"/>
          <w:b/>
          <w:bCs/>
          <w:rtl/>
        </w:rPr>
        <w:t>הנאשם בדברו האחרון</w:t>
      </w:r>
      <w:r>
        <w:rPr>
          <w:rFonts w:ascii="David" w:eastAsia="David" w:hAnsi="David"/>
          <w:rtl/>
        </w:rPr>
        <w:t xml:space="preserve"> הודה שטעה והוסיף כי חושש ממאסר. </w:t>
      </w:r>
    </w:p>
    <w:p w14:paraId="320F3694" w14:textId="77777777" w:rsidR="00681ECC" w:rsidRDefault="00681ECC" w:rsidP="00681ECC">
      <w:pPr>
        <w:spacing w:line="360" w:lineRule="auto"/>
        <w:ind w:left="720"/>
        <w:contextualSpacing/>
        <w:jc w:val="both"/>
        <w:rPr>
          <w:rFonts w:ascii="David" w:eastAsia="David" w:hAnsi="David"/>
          <w:b/>
          <w:bCs/>
          <w:u w:val="single"/>
          <w:rtl/>
        </w:rPr>
      </w:pPr>
    </w:p>
    <w:p w14:paraId="0CADA575" w14:textId="77777777" w:rsidR="00681ECC" w:rsidRDefault="00681ECC" w:rsidP="00681ECC">
      <w:pPr>
        <w:spacing w:line="360" w:lineRule="auto"/>
        <w:ind w:left="720"/>
        <w:contextualSpacing/>
        <w:jc w:val="both"/>
        <w:rPr>
          <w:rFonts w:ascii="David" w:eastAsia="David" w:hAnsi="David"/>
          <w:b/>
          <w:bCs/>
          <w:u w:val="single"/>
          <w:rtl/>
        </w:rPr>
      </w:pPr>
      <w:r>
        <w:rPr>
          <w:rFonts w:ascii="David" w:eastAsia="David" w:hAnsi="David"/>
          <w:b/>
          <w:bCs/>
          <w:u w:val="single"/>
          <w:rtl/>
        </w:rPr>
        <w:t>דיון והכרעה</w:t>
      </w:r>
    </w:p>
    <w:p w14:paraId="7CB13D3C" w14:textId="77777777" w:rsidR="00681ECC" w:rsidRDefault="00681ECC" w:rsidP="00681ECC">
      <w:pPr>
        <w:spacing w:line="360" w:lineRule="auto"/>
        <w:ind w:left="720"/>
        <w:contextualSpacing/>
        <w:jc w:val="both"/>
        <w:rPr>
          <w:rFonts w:ascii="David" w:eastAsia="David" w:hAnsi="David"/>
          <w:b/>
          <w:bCs/>
          <w:u w:val="single"/>
          <w:rtl/>
        </w:rPr>
      </w:pPr>
      <w:r>
        <w:rPr>
          <w:rFonts w:ascii="David" w:eastAsia="David" w:hAnsi="David"/>
          <w:b/>
          <w:bCs/>
          <w:u w:val="single"/>
          <w:rtl/>
        </w:rPr>
        <w:t>מתחם העונש ההולם</w:t>
      </w:r>
    </w:p>
    <w:p w14:paraId="36872ECB" w14:textId="77777777" w:rsidR="00681ECC" w:rsidRDefault="00681ECC" w:rsidP="00681ECC">
      <w:pPr>
        <w:ind w:left="720"/>
        <w:contextualSpacing/>
        <w:rPr>
          <w:rtl/>
        </w:rPr>
      </w:pPr>
    </w:p>
    <w:p w14:paraId="7B1AEF4B" w14:textId="77777777" w:rsidR="00681ECC" w:rsidRDefault="00681ECC" w:rsidP="00681ECC">
      <w:pPr>
        <w:numPr>
          <w:ilvl w:val="0"/>
          <w:numId w:val="1"/>
        </w:numPr>
        <w:spacing w:after="120" w:line="360" w:lineRule="auto"/>
        <w:contextualSpacing/>
        <w:jc w:val="both"/>
        <w:rPr>
          <w:rFonts w:ascii="David" w:eastAsia="David" w:hAnsi="David"/>
          <w:rtl/>
        </w:rPr>
      </w:pPr>
      <w:r w:rsidRPr="00C9491C">
        <w:rPr>
          <w:rFonts w:ascii="David" w:eastAsia="David" w:hAnsi="David"/>
          <w:rtl/>
        </w:rPr>
        <w:t>עבירות הנשק הפכו זה מכבר למכת מדינה</w:t>
      </w:r>
      <w:r>
        <w:rPr>
          <w:rFonts w:ascii="David" w:eastAsia="David" w:hAnsi="David"/>
          <w:rtl/>
        </w:rPr>
        <w:t xml:space="preserve"> ומגלמות סכנה ממשית לשלום הציבור ולביטחונו</w:t>
      </w:r>
      <w:r w:rsidRPr="00C9491C">
        <w:rPr>
          <w:rFonts w:ascii="David" w:eastAsia="David" w:hAnsi="David"/>
          <w:rtl/>
        </w:rPr>
        <w:t>. חומרתן היתרה של עבירות אלה</w:t>
      </w:r>
      <w:r>
        <w:rPr>
          <w:rFonts w:ascii="David" w:eastAsia="David" w:hAnsi="David"/>
          <w:rtl/>
        </w:rPr>
        <w:t xml:space="preserve"> אינה מתמצה אך בעבירות גופן, אלא </w:t>
      </w:r>
      <w:r>
        <w:rPr>
          <w:rFonts w:ascii="David" w:eastAsia="David" w:hAnsi="David"/>
          <w:rtl/>
        </w:rPr>
        <w:lastRenderedPageBreak/>
        <w:t>בפוטנציאל הנזק הנובע מהן</w:t>
      </w:r>
      <w:r w:rsidRPr="00C9491C">
        <w:rPr>
          <w:rFonts w:ascii="David" w:eastAsia="David" w:hAnsi="David"/>
          <w:rtl/>
        </w:rPr>
        <w:t xml:space="preserve">. פגיעתן הקשה והשפעתן על תחושת הביטחון של כלל אזרחי המדינה, זכו להתייחסות נרחבת בפסקי דין רבים של בית משפט העליון. </w:t>
      </w:r>
      <w:r>
        <w:rPr>
          <w:rFonts w:ascii="David" w:eastAsia="David" w:hAnsi="David"/>
          <w:rtl/>
        </w:rPr>
        <w:t>מגמת הפסיקה בשנים האחרונות מלמדת על החמרה בענישה לצורך מיגור עבירות אלו, תוך מתן משקל לשיקולי הרתעה. מגמה זו אחידה ועקבית ביחס לכלל עברייני הנשק, אף כשהם נעדרי עבר פלילי, והאירוע הוא בגדר חריג בנוף חייהם הנורמטיבי (</w:t>
      </w:r>
      <w:hyperlink r:id="rId11" w:history="1">
        <w:r w:rsidR="005551E0" w:rsidRPr="005551E0">
          <w:rPr>
            <w:rFonts w:ascii="David" w:eastAsia="David" w:hAnsi="David"/>
            <w:color w:val="0000FF"/>
            <w:u w:val="single"/>
            <w:rtl/>
          </w:rPr>
          <w:t>ע"פ 5813/21</w:t>
        </w:r>
      </w:hyperlink>
      <w:r>
        <w:rPr>
          <w:rFonts w:ascii="David" w:eastAsia="David" w:hAnsi="David"/>
          <w:rtl/>
        </w:rPr>
        <w:t xml:space="preserve"> </w:t>
      </w:r>
      <w:r>
        <w:rPr>
          <w:rFonts w:ascii="David" w:eastAsia="David" w:hAnsi="David"/>
          <w:b/>
          <w:bCs/>
          <w:rtl/>
        </w:rPr>
        <w:t>מוחמד ג'בארין נ' מדינת ישראל</w:t>
      </w:r>
      <w:r>
        <w:rPr>
          <w:rFonts w:ascii="David" w:eastAsia="David" w:hAnsi="David"/>
          <w:rtl/>
        </w:rPr>
        <w:t>, פס' 14</w:t>
      </w:r>
      <w:r>
        <w:rPr>
          <w:rFonts w:ascii="David" w:eastAsia="David" w:hAnsi="David"/>
          <w:b/>
          <w:bCs/>
          <w:rtl/>
        </w:rPr>
        <w:t xml:space="preserve"> </w:t>
      </w:r>
      <w:r>
        <w:rPr>
          <w:rFonts w:ascii="David" w:eastAsia="David" w:hAnsi="David"/>
          <w:rtl/>
        </w:rPr>
        <w:t>(31.5.2022); ב</w:t>
      </w:r>
      <w:hyperlink r:id="rId12" w:history="1">
        <w:r w:rsidR="005551E0" w:rsidRPr="005551E0">
          <w:rPr>
            <w:rFonts w:ascii="David" w:eastAsia="David" w:hAnsi="David"/>
            <w:color w:val="0000FF"/>
            <w:u w:val="single"/>
            <w:rtl/>
          </w:rPr>
          <w:t>ע"פ 6011/21</w:t>
        </w:r>
      </w:hyperlink>
      <w:r>
        <w:rPr>
          <w:rFonts w:ascii="David" w:eastAsia="David" w:hAnsi="David"/>
          <w:rtl/>
        </w:rPr>
        <w:t xml:space="preserve"> </w:t>
      </w:r>
      <w:r>
        <w:rPr>
          <w:rFonts w:ascii="David" w:eastAsia="David" w:hAnsi="David"/>
          <w:b/>
          <w:bCs/>
          <w:rtl/>
        </w:rPr>
        <w:t>חאלד דסוקי נ' מדנית ישראל</w:t>
      </w:r>
      <w:r>
        <w:rPr>
          <w:rFonts w:ascii="David" w:eastAsia="David" w:hAnsi="David"/>
          <w:rtl/>
        </w:rPr>
        <w:t xml:space="preserve">  (25.11.2021); </w:t>
      </w:r>
      <w:hyperlink r:id="rId13" w:history="1">
        <w:r w:rsidR="005551E0" w:rsidRPr="005551E0">
          <w:rPr>
            <w:rFonts w:ascii="David" w:eastAsia="David" w:hAnsi="David"/>
            <w:color w:val="0000FF"/>
            <w:spacing w:val="10"/>
            <w:sz w:val="20"/>
            <w:u w:val="single"/>
            <w:shd w:val="clear" w:color="auto" w:fill="FFFFFF"/>
            <w:rtl/>
          </w:rPr>
          <w:t>ע"פ 8320/21</w:t>
        </w:r>
      </w:hyperlink>
      <w:r>
        <w:rPr>
          <w:rFonts w:ascii="David" w:eastAsia="David" w:hAnsi="David"/>
          <w:spacing w:val="10"/>
          <w:sz w:val="20"/>
          <w:shd w:val="clear" w:color="auto" w:fill="FFFFFF"/>
          <w:rtl/>
        </w:rPr>
        <w:t xml:space="preserve"> </w:t>
      </w:r>
      <w:r>
        <w:rPr>
          <w:rFonts w:ascii="David" w:eastAsia="David" w:hAnsi="David"/>
          <w:b/>
          <w:bCs/>
          <w:spacing w:val="10"/>
          <w:sz w:val="20"/>
          <w:shd w:val="clear" w:color="auto" w:fill="FFFFFF"/>
          <w:rtl/>
        </w:rPr>
        <w:t>מדינת ישראל נ' מחמד בסילה</w:t>
      </w:r>
      <w:r>
        <w:rPr>
          <w:rFonts w:ascii="David" w:eastAsia="David" w:hAnsi="David"/>
          <w:spacing w:val="10"/>
          <w:sz w:val="20"/>
          <w:shd w:val="clear" w:color="auto" w:fill="FFFFFF"/>
          <w:rtl/>
        </w:rPr>
        <w:t>, פס' 10 (28.12.2021)</w:t>
      </w:r>
      <w:r>
        <w:rPr>
          <w:rFonts w:ascii="David" w:eastAsia="David" w:hAnsi="David"/>
          <w:rtl/>
        </w:rPr>
        <w:t xml:space="preserve">; </w:t>
      </w:r>
      <w:hyperlink r:id="rId14" w:history="1">
        <w:r w:rsidR="005551E0" w:rsidRPr="005551E0">
          <w:rPr>
            <w:rFonts w:ascii="David" w:eastAsia="David" w:hAnsi="David"/>
            <w:color w:val="0000FF"/>
            <w:u w:val="single"/>
            <w:rtl/>
          </w:rPr>
          <w:t>ע"פ 2283/22</w:t>
        </w:r>
      </w:hyperlink>
      <w:r>
        <w:rPr>
          <w:rFonts w:ascii="David" w:eastAsia="David" w:hAnsi="David"/>
          <w:rtl/>
        </w:rPr>
        <w:t xml:space="preserve"> </w:t>
      </w:r>
      <w:r>
        <w:rPr>
          <w:rFonts w:ascii="David" w:eastAsia="David" w:hAnsi="David"/>
          <w:b/>
          <w:bCs/>
          <w:rtl/>
        </w:rPr>
        <w:t>אל נבארי נ' מדינת ישראל</w:t>
      </w:r>
      <w:r>
        <w:rPr>
          <w:rFonts w:ascii="David" w:eastAsia="David" w:hAnsi="David"/>
          <w:rtl/>
        </w:rPr>
        <w:t xml:space="preserve"> (31.7.2022); </w:t>
      </w:r>
      <w:hyperlink r:id="rId15" w:history="1">
        <w:r w:rsidR="005551E0" w:rsidRPr="005551E0">
          <w:rPr>
            <w:rFonts w:ascii="David" w:eastAsia="David" w:hAnsi="David"/>
            <w:color w:val="0000FF"/>
            <w:u w:val="single"/>
            <w:rtl/>
          </w:rPr>
          <w:t>ע"פ 78/21</w:t>
        </w:r>
      </w:hyperlink>
      <w:r>
        <w:rPr>
          <w:rFonts w:ascii="David" w:eastAsia="David" w:hAnsi="David"/>
          <w:rtl/>
        </w:rPr>
        <w:t xml:space="preserve"> </w:t>
      </w:r>
      <w:r>
        <w:rPr>
          <w:rFonts w:ascii="David" w:eastAsia="David" w:hAnsi="David"/>
          <w:b/>
          <w:bCs/>
          <w:rtl/>
        </w:rPr>
        <w:t>פלוני נ' מדינת</w:t>
      </w:r>
      <w:r>
        <w:rPr>
          <w:rFonts w:ascii="David" w:eastAsia="David" w:hAnsi="David"/>
          <w:rtl/>
        </w:rPr>
        <w:t xml:space="preserve"> </w:t>
      </w:r>
      <w:r>
        <w:rPr>
          <w:rFonts w:ascii="David" w:eastAsia="David" w:hAnsi="David"/>
          <w:b/>
          <w:bCs/>
          <w:rtl/>
        </w:rPr>
        <w:t>ישראל</w:t>
      </w:r>
      <w:r>
        <w:rPr>
          <w:rFonts w:ascii="David" w:eastAsia="David" w:hAnsi="David"/>
          <w:rtl/>
        </w:rPr>
        <w:t xml:space="preserve"> (26.7.2022); </w:t>
      </w:r>
      <w:hyperlink r:id="rId16" w:history="1">
        <w:r w:rsidR="005551E0" w:rsidRPr="005551E0">
          <w:rPr>
            <w:rFonts w:eastAsia="David"/>
            <w:color w:val="0000FF"/>
            <w:u w:val="single"/>
            <w:rtl/>
          </w:rPr>
          <w:t>ע"פ 116/13</w:t>
        </w:r>
      </w:hyperlink>
      <w:r w:rsidR="005551E0">
        <w:rPr>
          <w:rFonts w:ascii="David" w:eastAsia="David" w:hAnsi="David"/>
          <w:rtl/>
        </w:rPr>
        <w:t xml:space="preserve"> </w:t>
      </w:r>
      <w:r>
        <w:rPr>
          <w:rFonts w:ascii="David" w:eastAsia="David" w:hAnsi="David"/>
          <w:b/>
          <w:bCs/>
          <w:rtl/>
        </w:rPr>
        <w:t>וקנין נ' מדינת ישראל</w:t>
      </w:r>
      <w:r>
        <w:rPr>
          <w:rFonts w:ascii="David" w:eastAsia="David" w:hAnsi="David"/>
          <w:rtl/>
        </w:rPr>
        <w:t>,</w:t>
      </w:r>
      <w:r w:rsidR="005551E0">
        <w:rPr>
          <w:rFonts w:ascii="David" w:eastAsia="David" w:hAnsi="David"/>
          <w:rtl/>
        </w:rPr>
        <w:t xml:space="preserve"> </w:t>
      </w:r>
      <w:r>
        <w:rPr>
          <w:rFonts w:ascii="David" w:eastAsia="David" w:hAnsi="David"/>
          <w:rtl/>
        </w:rPr>
        <w:t xml:space="preserve">פס' 7 (31.7.2013)). </w:t>
      </w:r>
    </w:p>
    <w:p w14:paraId="535B105F" w14:textId="77777777" w:rsidR="00681ECC" w:rsidRDefault="00681ECC" w:rsidP="00681ECC">
      <w:pPr>
        <w:spacing w:line="360" w:lineRule="auto"/>
        <w:ind w:left="720"/>
        <w:contextualSpacing/>
        <w:jc w:val="both"/>
        <w:rPr>
          <w:rFonts w:ascii="David" w:eastAsia="Calibri" w:hAnsi="David"/>
          <w:rtl/>
        </w:rPr>
      </w:pPr>
    </w:p>
    <w:p w14:paraId="678FFDBA" w14:textId="77777777" w:rsidR="00681ECC" w:rsidRDefault="00681ECC" w:rsidP="00681ECC">
      <w:pPr>
        <w:numPr>
          <w:ilvl w:val="0"/>
          <w:numId w:val="1"/>
        </w:numPr>
        <w:spacing w:line="360" w:lineRule="auto"/>
        <w:contextualSpacing/>
        <w:jc w:val="both"/>
        <w:rPr>
          <w:rFonts w:ascii="David" w:eastAsia="David" w:hAnsi="David"/>
          <w:rtl/>
        </w:rPr>
      </w:pPr>
      <w:r w:rsidRPr="00C9491C">
        <w:rPr>
          <w:rFonts w:ascii="David" w:eastAsia="David" w:hAnsi="David"/>
          <w:rtl/>
        </w:rPr>
        <w:t xml:space="preserve">מגמה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התיקון נכנס לתוקף, ביום 8.12.21, יום למחרת  מועד ביצוע העבירה אך רוחו שורה גם על המקרה שבפנינו.  </w:t>
      </w:r>
    </w:p>
    <w:p w14:paraId="1A05B405" w14:textId="77777777" w:rsidR="00681ECC" w:rsidRDefault="00681ECC" w:rsidP="00681ECC">
      <w:pPr>
        <w:spacing w:line="360" w:lineRule="auto"/>
        <w:ind w:left="720"/>
        <w:contextualSpacing/>
        <w:jc w:val="both"/>
        <w:rPr>
          <w:rFonts w:ascii="David" w:eastAsia="David" w:hAnsi="David"/>
        </w:rPr>
      </w:pPr>
    </w:p>
    <w:p w14:paraId="67D7E96C" w14:textId="77777777" w:rsidR="00681ECC" w:rsidRDefault="00681ECC" w:rsidP="00681ECC">
      <w:pPr>
        <w:numPr>
          <w:ilvl w:val="0"/>
          <w:numId w:val="1"/>
        </w:numPr>
        <w:overflowPunct w:val="0"/>
        <w:autoSpaceDE w:val="0"/>
        <w:autoSpaceDN w:val="0"/>
        <w:adjustRightInd w:val="0"/>
        <w:spacing w:line="360" w:lineRule="auto"/>
        <w:ind w:left="714" w:hanging="357"/>
        <w:contextualSpacing/>
        <w:jc w:val="both"/>
        <w:textAlignment w:val="baseline"/>
        <w:rPr>
          <w:rtl/>
        </w:rPr>
      </w:pPr>
      <w:r>
        <w:rPr>
          <w:rFonts w:ascii="David" w:eastAsia="David" w:hAnsi="David"/>
          <w:rtl/>
        </w:rPr>
        <w:t xml:space="preserve">לגופו, הנאשם החזיק ברובה ארוך ולצדו מחסנית תואמת, את הנשק החביא במכוון במכולה ליד ביתו. אין לדעת את משך התקופה בה הוחזק הנשק. לדברי הנאשם בתסקירו, הנשק שייך לחברו והוא החזיקו תמורת תשלום. את המעשה ביצע מסיבות חברתיות ומתוך מניע כלכלי. כך או אחרת, הנאשם לא סיפק מידע אשר לאותו חבר אלמוני, ומשכך האחריות כולה להחזקת הנשק מוטלת על כתפיו. </w:t>
      </w:r>
      <w:r>
        <w:rPr>
          <w:rtl/>
        </w:rPr>
        <w:t xml:space="preserve">עוד יש לתת את הדעת לסוג הנשק שהחזיק הנאשם, רובה ארוך, שפוטנציאל הנזק ממנו רב. </w:t>
      </w:r>
    </w:p>
    <w:p w14:paraId="6122CA9F" w14:textId="77777777" w:rsidR="00681ECC" w:rsidRDefault="00681ECC" w:rsidP="00681ECC">
      <w:pPr>
        <w:ind w:left="720"/>
        <w:contextualSpacing/>
      </w:pPr>
    </w:p>
    <w:p w14:paraId="0EC40F4E" w14:textId="77777777" w:rsidR="00681ECC" w:rsidRDefault="00681ECC" w:rsidP="00681ECC">
      <w:pPr>
        <w:numPr>
          <w:ilvl w:val="0"/>
          <w:numId w:val="1"/>
        </w:numPr>
        <w:spacing w:after="120" w:line="360" w:lineRule="auto"/>
        <w:contextualSpacing/>
        <w:jc w:val="both"/>
        <w:textAlignment w:val="baseline"/>
        <w:rPr>
          <w:rtl/>
        </w:rPr>
      </w:pPr>
      <w:r>
        <w:rPr>
          <w:rtl/>
        </w:rPr>
        <w:t xml:space="preserve">בחינת מידת פגיעת מעשי הנאשם בערך המוגן מובילה למסקנה כי הפגיעה היא </w:t>
      </w:r>
      <w:r>
        <w:rPr>
          <w:b/>
          <w:bCs/>
          <w:rtl/>
        </w:rPr>
        <w:t>ברף נמוך-בינוני</w:t>
      </w:r>
      <w:r>
        <w:rPr>
          <w:rtl/>
        </w:rPr>
        <w:t xml:space="preserve">. בהקשר זה נתתי דעתי לכך שמדובר ברובה ארוך ולנסיבות ביצוע העבירה. בצד זאת, התחשבתי בכך שהנשק לא היה טעון ולא נמצאו לצדו קליעים וכן לכך שאין אינדיקציה לשימוש בנשק או לתכנון עבירה פלילית באמצעותו. </w:t>
      </w:r>
    </w:p>
    <w:p w14:paraId="128BD923" w14:textId="77777777" w:rsidR="00681ECC" w:rsidRDefault="00681ECC" w:rsidP="00681ECC">
      <w:pPr>
        <w:spacing w:after="120" w:line="360" w:lineRule="auto"/>
        <w:ind w:left="720"/>
        <w:contextualSpacing/>
        <w:jc w:val="both"/>
        <w:textAlignment w:val="baseline"/>
        <w:rPr>
          <w:rtl/>
        </w:rPr>
      </w:pPr>
    </w:p>
    <w:p w14:paraId="1A15D73A" w14:textId="77777777" w:rsidR="00681ECC" w:rsidRDefault="00681ECC" w:rsidP="00681ECC">
      <w:pPr>
        <w:numPr>
          <w:ilvl w:val="0"/>
          <w:numId w:val="1"/>
        </w:numPr>
        <w:spacing w:line="360" w:lineRule="auto"/>
        <w:contextualSpacing/>
        <w:jc w:val="both"/>
        <w:rPr>
          <w:rFonts w:ascii="David" w:eastAsia="David" w:hAnsi="David"/>
          <w:b/>
          <w:bCs/>
          <w:rtl/>
        </w:rPr>
      </w:pPr>
      <w:r>
        <w:rPr>
          <w:rFonts w:ascii="David" w:eastAsia="David" w:hAnsi="David"/>
          <w:rtl/>
        </w:rPr>
        <w:t>על דרך הכלל, דינם של מחזיקי הנשק, לרבות אלו שעברם נקי והתקבל בעניינם תסקיר חיובי, למאסר ממש שאינו קצר:</w:t>
      </w:r>
    </w:p>
    <w:p w14:paraId="52EE98CC" w14:textId="77777777" w:rsidR="00681ECC" w:rsidRDefault="00681ECC" w:rsidP="00681ECC">
      <w:pPr>
        <w:ind w:left="720"/>
        <w:contextualSpacing/>
        <w:rPr>
          <w:rFonts w:ascii="David" w:eastAsia="David" w:hAnsi="David"/>
          <w:b/>
          <w:bCs/>
        </w:rPr>
      </w:pPr>
    </w:p>
    <w:p w14:paraId="2668A3F3" w14:textId="77777777" w:rsidR="00681ECC" w:rsidRDefault="005551E0" w:rsidP="00681ECC">
      <w:pPr>
        <w:numPr>
          <w:ilvl w:val="0"/>
          <w:numId w:val="2"/>
        </w:numPr>
        <w:spacing w:after="120" w:line="360" w:lineRule="auto"/>
        <w:contextualSpacing/>
        <w:jc w:val="both"/>
        <w:rPr>
          <w:rtl/>
        </w:rPr>
      </w:pPr>
      <w:hyperlink r:id="rId17" w:history="1">
        <w:r w:rsidRPr="005551E0">
          <w:rPr>
            <w:rFonts w:ascii="David" w:eastAsia="David" w:hAnsi="David"/>
            <w:color w:val="0000FF"/>
            <w:u w:val="single"/>
            <w:rtl/>
          </w:rPr>
          <w:t>ע"פ 2482/22</w:t>
        </w:r>
      </w:hyperlink>
      <w:r w:rsidR="00681ECC">
        <w:rPr>
          <w:rFonts w:ascii="David" w:eastAsia="David" w:hAnsi="David"/>
          <w:rtl/>
        </w:rPr>
        <w:t xml:space="preserve"> </w:t>
      </w:r>
      <w:r w:rsidR="00681ECC">
        <w:rPr>
          <w:rFonts w:ascii="David" w:eastAsia="David" w:hAnsi="David" w:hint="cs"/>
          <w:b/>
          <w:bCs/>
          <w:rtl/>
        </w:rPr>
        <w:t xml:space="preserve">מדינת ישראל נ' קדורה </w:t>
      </w:r>
      <w:r w:rsidR="00681ECC">
        <w:rPr>
          <w:rFonts w:ascii="David" w:eastAsia="David" w:hAnsi="David" w:hint="cs"/>
          <w:rtl/>
        </w:rPr>
        <w:t xml:space="preserve">(מיום 14.4.2022) –הורשע נאשם, על פי הודאתו, בעבירת החזקת נשק בצוותא עם אחר – אקדח "גלוק", מחסנית, כדורים ורימון הלם אותם החזיק בביתו לתקופה קצרה. בית המשפט המחוזי קבע מתחם עונש הנע בין 36-10 חודשי מאסר </w:t>
      </w:r>
      <w:r w:rsidR="00681ECC" w:rsidRPr="009A3DF8">
        <w:rPr>
          <w:rFonts w:ascii="David" w:eastAsia="David" w:hAnsi="David" w:hint="cs"/>
          <w:rtl/>
        </w:rPr>
        <w:t>וגזר על</w:t>
      </w:r>
      <w:r w:rsidR="00681ECC">
        <w:rPr>
          <w:rFonts w:ascii="David" w:eastAsia="David" w:hAnsi="David" w:hint="cs"/>
          <w:b/>
          <w:bCs/>
          <w:rtl/>
        </w:rPr>
        <w:t xml:space="preserve"> </w:t>
      </w:r>
      <w:r w:rsidR="00681ECC">
        <w:rPr>
          <w:rFonts w:ascii="David" w:eastAsia="David" w:hAnsi="David" w:hint="cs"/>
          <w:rtl/>
        </w:rPr>
        <w:t>הנאשם, בן 19 וללא הרשעות קודמות, 10 חודשי מאסר</w:t>
      </w:r>
      <w:r w:rsidR="00681ECC">
        <w:rPr>
          <w:rFonts w:ascii="David" w:eastAsia="David" w:hAnsi="David" w:hint="cs"/>
          <w:b/>
          <w:bCs/>
          <w:rtl/>
        </w:rPr>
        <w:t>.</w:t>
      </w:r>
      <w:r w:rsidR="00681ECC">
        <w:rPr>
          <w:rFonts w:ascii="David" w:eastAsia="David" w:hAnsi="David" w:hint="cs"/>
          <w:rtl/>
        </w:rPr>
        <w:t xml:space="preserve"> בית המשפט העליון קיבל את ערעור המדינה ו</w:t>
      </w:r>
      <w:r w:rsidR="00681ECC">
        <w:rPr>
          <w:rFonts w:ascii="David" w:eastAsia="David" w:hAnsi="David" w:hint="cs"/>
          <w:b/>
          <w:bCs/>
          <w:rtl/>
        </w:rPr>
        <w:t>החמיר עונשו ל-18 חודשים</w:t>
      </w:r>
      <w:r w:rsidR="00681ECC">
        <w:rPr>
          <w:rFonts w:ascii="David" w:eastAsia="David" w:hAnsi="David" w:hint="cs"/>
          <w:rtl/>
        </w:rPr>
        <w:t>;</w:t>
      </w:r>
    </w:p>
    <w:p w14:paraId="176672F4" w14:textId="77777777" w:rsidR="00681ECC" w:rsidRDefault="00681ECC" w:rsidP="00681ECC">
      <w:pPr>
        <w:spacing w:after="120" w:line="360" w:lineRule="auto"/>
        <w:ind w:left="720"/>
        <w:contextualSpacing/>
        <w:jc w:val="both"/>
      </w:pPr>
    </w:p>
    <w:p w14:paraId="5054ADAB" w14:textId="77777777" w:rsidR="00681ECC" w:rsidRDefault="005551E0" w:rsidP="00681ECC">
      <w:pPr>
        <w:numPr>
          <w:ilvl w:val="0"/>
          <w:numId w:val="2"/>
        </w:numPr>
        <w:spacing w:after="120" w:line="360" w:lineRule="auto"/>
        <w:contextualSpacing/>
        <w:jc w:val="both"/>
        <w:rPr>
          <w:rtl/>
        </w:rPr>
      </w:pPr>
      <w:hyperlink r:id="rId18" w:history="1">
        <w:r w:rsidRPr="005551E0">
          <w:rPr>
            <w:rFonts w:ascii="David" w:eastAsia="David" w:hAnsi="David"/>
            <w:color w:val="0000FF"/>
            <w:u w:val="single"/>
            <w:rtl/>
          </w:rPr>
          <w:t>ע"פ 2015/21</w:t>
        </w:r>
      </w:hyperlink>
      <w:r w:rsidR="00681ECC">
        <w:rPr>
          <w:rFonts w:ascii="David" w:eastAsia="David" w:hAnsi="David"/>
          <w:rtl/>
        </w:rPr>
        <w:t xml:space="preserve"> </w:t>
      </w:r>
      <w:r w:rsidR="00681ECC">
        <w:rPr>
          <w:rFonts w:ascii="David" w:eastAsia="David" w:hAnsi="David"/>
          <w:b/>
          <w:bCs/>
          <w:rtl/>
        </w:rPr>
        <w:t>אזברגה נ' מדינת ישראל</w:t>
      </w:r>
      <w:r w:rsidR="00681ECC">
        <w:rPr>
          <w:rFonts w:ascii="David" w:eastAsia="David" w:hAnsi="David"/>
          <w:rtl/>
        </w:rPr>
        <w:t xml:space="preserve"> (מיום 9.12.2021) – נדחה ערעורו של נאשם בעל עבר שאינו מכביד שהורשע בהחזקת שני אקדחים ברכבו, שירות המבחן המליץ להסתפק בעניינו בענישה שיקומית של עבודות שירות. </w:t>
      </w:r>
      <w:r w:rsidR="00681ECC">
        <w:rPr>
          <w:rFonts w:ascii="David" w:eastAsia="David" w:hAnsi="David"/>
          <w:b/>
          <w:bCs/>
          <w:rtl/>
        </w:rPr>
        <w:t>נקבע בעניינו מתחם שנע בין 12-36 חודשי מאסר ונגזרו עליו 16 חודשי מאסר.</w:t>
      </w:r>
      <w:r w:rsidR="00681ECC">
        <w:rPr>
          <w:rFonts w:ascii="David" w:eastAsia="David" w:hAnsi="David"/>
          <w:rtl/>
        </w:rPr>
        <w:t xml:space="preserve"> בית המשפט העליון התייחס בהחלטתו לשיקולי השיקום אך נתן משקל בכורה למדיניות הענישה המחמירה בעבירות נשק;</w:t>
      </w:r>
    </w:p>
    <w:p w14:paraId="5B974758" w14:textId="77777777" w:rsidR="00681ECC" w:rsidRDefault="00681ECC" w:rsidP="00681ECC">
      <w:pPr>
        <w:ind w:left="720"/>
        <w:contextualSpacing/>
      </w:pPr>
    </w:p>
    <w:p w14:paraId="5598ED15" w14:textId="77777777" w:rsidR="00681ECC" w:rsidRDefault="00681ECC" w:rsidP="00681ECC">
      <w:pPr>
        <w:ind w:left="720"/>
        <w:contextualSpacing/>
        <w:rPr>
          <w:rtl/>
        </w:rPr>
      </w:pPr>
    </w:p>
    <w:p w14:paraId="66CC30F8" w14:textId="77777777" w:rsidR="00681ECC" w:rsidRDefault="005551E0" w:rsidP="00681ECC">
      <w:pPr>
        <w:numPr>
          <w:ilvl w:val="0"/>
          <w:numId w:val="2"/>
        </w:numPr>
        <w:spacing w:after="120" w:line="360" w:lineRule="auto"/>
        <w:contextualSpacing/>
        <w:jc w:val="both"/>
        <w:rPr>
          <w:rtl/>
        </w:rPr>
      </w:pPr>
      <w:hyperlink r:id="rId19" w:history="1">
        <w:r w:rsidRPr="005551E0">
          <w:rPr>
            <w:color w:val="0000FF"/>
            <w:u w:val="single"/>
            <w:rtl/>
          </w:rPr>
          <w:t>ע"פ 8320/21</w:t>
        </w:r>
      </w:hyperlink>
      <w:r w:rsidR="00681ECC">
        <w:rPr>
          <w:rtl/>
        </w:rPr>
        <w:t xml:space="preserve"> </w:t>
      </w:r>
      <w:r w:rsidR="00681ECC">
        <w:rPr>
          <w:b/>
          <w:bCs/>
          <w:rtl/>
        </w:rPr>
        <w:t>מדינת ישראל נ' בסילה</w:t>
      </w:r>
      <w:r w:rsidR="00681ECC">
        <w:rPr>
          <w:rtl/>
        </w:rPr>
        <w:t xml:space="preserve"> (מיום 28.12.2021 )-  הנאשם הורשע בכך שהחזיק רובה סער דמוי </w:t>
      </w:r>
      <w:r w:rsidR="00681ECC">
        <w:t>M-16</w:t>
      </w:r>
      <w:r w:rsidR="00681ECC">
        <w:rPr>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427F7AFA" w14:textId="77777777" w:rsidR="00681ECC" w:rsidRDefault="00681ECC" w:rsidP="00681ECC">
      <w:pPr>
        <w:ind w:left="720"/>
        <w:contextualSpacing/>
      </w:pPr>
    </w:p>
    <w:p w14:paraId="2F9D9D57" w14:textId="77777777" w:rsidR="00681ECC" w:rsidRDefault="005551E0" w:rsidP="00681ECC">
      <w:pPr>
        <w:numPr>
          <w:ilvl w:val="0"/>
          <w:numId w:val="2"/>
        </w:numPr>
        <w:spacing w:after="120" w:line="360" w:lineRule="auto"/>
        <w:contextualSpacing/>
        <w:jc w:val="both"/>
        <w:rPr>
          <w:rtl/>
        </w:rPr>
      </w:pPr>
      <w:hyperlink r:id="rId20" w:history="1">
        <w:r w:rsidRPr="005551E0">
          <w:rPr>
            <w:color w:val="0000FF"/>
            <w:u w:val="single"/>
            <w:rtl/>
          </w:rPr>
          <w:t>ע"פ 1826/19</w:t>
        </w:r>
      </w:hyperlink>
      <w:r w:rsidR="00681ECC">
        <w:rPr>
          <w:rtl/>
        </w:rPr>
        <w:t xml:space="preserve"> </w:t>
      </w:r>
      <w:r w:rsidR="00681ECC">
        <w:rPr>
          <w:b/>
          <w:bCs/>
          <w:rtl/>
        </w:rPr>
        <w:t>אבו עסא נ' מדינת ישראל</w:t>
      </w:r>
      <w:r w:rsidR="00681ECC">
        <w:rPr>
          <w:rtl/>
        </w:rPr>
        <w:t xml:space="preserve"> (מיום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4CA9E840" w14:textId="77777777" w:rsidR="00681ECC" w:rsidRDefault="00681ECC" w:rsidP="00681ECC">
      <w:pPr>
        <w:ind w:left="720"/>
        <w:contextualSpacing/>
      </w:pPr>
    </w:p>
    <w:p w14:paraId="2D3FAA54" w14:textId="77777777" w:rsidR="00681ECC" w:rsidRDefault="00681ECC" w:rsidP="00681ECC">
      <w:pPr>
        <w:ind w:left="720"/>
        <w:contextualSpacing/>
        <w:rPr>
          <w:rtl/>
        </w:rPr>
      </w:pPr>
    </w:p>
    <w:p w14:paraId="7E763280" w14:textId="77777777" w:rsidR="00681ECC" w:rsidRDefault="005551E0" w:rsidP="00681ECC">
      <w:pPr>
        <w:numPr>
          <w:ilvl w:val="0"/>
          <w:numId w:val="2"/>
        </w:numPr>
        <w:spacing w:after="120" w:line="360" w:lineRule="auto"/>
        <w:contextualSpacing/>
        <w:jc w:val="both"/>
        <w:rPr>
          <w:rtl/>
        </w:rPr>
      </w:pPr>
      <w:hyperlink r:id="rId21" w:history="1">
        <w:r w:rsidRPr="005551E0">
          <w:rPr>
            <w:color w:val="0000FF"/>
            <w:u w:val="single"/>
            <w:rtl/>
          </w:rPr>
          <w:t>ע"פ 3288/14</w:t>
        </w:r>
      </w:hyperlink>
      <w:r w:rsidR="00681ECC">
        <w:rPr>
          <w:rtl/>
        </w:rPr>
        <w:t xml:space="preserve"> </w:t>
      </w:r>
      <w:r w:rsidR="00681ECC">
        <w:rPr>
          <w:b/>
          <w:bCs/>
          <w:rtl/>
        </w:rPr>
        <w:t xml:space="preserve">מדינת ישראל נ' קריספיל </w:t>
      </w:r>
      <w:r w:rsidR="00681ECC">
        <w:rPr>
          <w:rFonts w:hint="cs"/>
          <w:rtl/>
        </w:rPr>
        <w:t xml:space="preserve">(מיום </w:t>
      </w:r>
      <w:r w:rsidR="00681ECC">
        <w:rPr>
          <w:rtl/>
        </w:rPr>
        <w:t xml:space="preserve">24.8.2014) – הנאשם הורשע בעבירה החזקת אקדח טעון ומשתיק קול. נקבע מתחם ענישה הנע בין 22-6 חודשי מאסר, והנאשם, בעל עבר פלילי, נדון ל-9 חודשי מאסר בפועל. בית המשפט העליון קיבל את ערעור המדינה והחמיר עונשו ל-18 חודשים. </w:t>
      </w:r>
    </w:p>
    <w:p w14:paraId="177C5E79" w14:textId="77777777" w:rsidR="00681ECC" w:rsidRDefault="00681ECC" w:rsidP="00681ECC">
      <w:pPr>
        <w:spacing w:line="360" w:lineRule="auto"/>
        <w:ind w:left="720"/>
        <w:contextualSpacing/>
        <w:jc w:val="both"/>
        <w:rPr>
          <w:rFonts w:ascii="David" w:eastAsia="David" w:hAnsi="David"/>
        </w:rPr>
      </w:pPr>
    </w:p>
    <w:p w14:paraId="1941191B" w14:textId="77777777" w:rsidR="00681ECC" w:rsidRDefault="00681ECC" w:rsidP="00681ECC">
      <w:pPr>
        <w:spacing w:line="360" w:lineRule="auto"/>
        <w:ind w:left="720"/>
        <w:contextualSpacing/>
        <w:jc w:val="both"/>
        <w:rPr>
          <w:rFonts w:ascii="David" w:eastAsia="David" w:hAnsi="David"/>
          <w:highlight w:val="yellow"/>
          <w:rtl/>
        </w:rPr>
      </w:pPr>
      <w:r>
        <w:rPr>
          <w:rFonts w:ascii="David" w:eastAsia="David" w:hAnsi="David"/>
          <w:rtl/>
        </w:rPr>
        <w:t>ההגנה הפנתה לפסיקה הכוללת מתחמי מאסר מתונים יותר ובין היתר ל</w:t>
      </w:r>
      <w:hyperlink r:id="rId22" w:history="1">
        <w:r w:rsidR="005551E0" w:rsidRPr="005551E0">
          <w:rPr>
            <w:rFonts w:ascii="David" w:eastAsia="David" w:hAnsi="David"/>
            <w:color w:val="0000FF"/>
            <w:u w:val="single"/>
            <w:rtl/>
          </w:rPr>
          <w:t>ת"פ (מח' מרכז) 52256-03-20</w:t>
        </w:r>
      </w:hyperlink>
      <w:r>
        <w:rPr>
          <w:rFonts w:ascii="David" w:eastAsia="David" w:hAnsi="David"/>
          <w:rtl/>
        </w:rPr>
        <w:t xml:space="preserve"> </w:t>
      </w:r>
      <w:r>
        <w:rPr>
          <w:rFonts w:ascii="David" w:eastAsia="David" w:hAnsi="David"/>
          <w:b/>
          <w:bCs/>
          <w:rtl/>
        </w:rPr>
        <w:t>מדינת ישראל י' אזברגה</w:t>
      </w:r>
      <w:r>
        <w:rPr>
          <w:rFonts w:ascii="David" w:eastAsia="David" w:hAnsi="David"/>
          <w:rtl/>
        </w:rPr>
        <w:t xml:space="preserve"> (12.4.22), שבו הורשע הנאשם בהחזקת אקדח ומחסנית ריקה, נקבע מתחם הנע בין 24-10 חודשי מאסר וחריגה מטעמי לשיקום לעונש של תשעה חודשי עבודות שירות (לא הוגש ערעור) ולתיקים שבהם נקבע מתחם המתחיל מ-12 חודשי מאסר (</w:t>
      </w:r>
      <w:hyperlink r:id="rId23" w:history="1">
        <w:r w:rsidR="005551E0" w:rsidRPr="005551E0">
          <w:rPr>
            <w:rFonts w:ascii="David" w:eastAsia="David" w:hAnsi="David"/>
            <w:color w:val="0000FF"/>
            <w:u w:val="single"/>
            <w:rtl/>
          </w:rPr>
          <w:t>ת"פ (מח-י-ם) 15387-01-21</w:t>
        </w:r>
      </w:hyperlink>
      <w:r>
        <w:rPr>
          <w:rFonts w:ascii="David" w:eastAsia="David" w:hAnsi="David"/>
          <w:rtl/>
        </w:rPr>
        <w:t xml:space="preserve"> </w:t>
      </w:r>
      <w:r>
        <w:rPr>
          <w:rFonts w:ascii="David" w:eastAsia="David" w:hAnsi="David"/>
          <w:b/>
          <w:bCs/>
          <w:rtl/>
        </w:rPr>
        <w:t>מדינת ישראל נ' שוויקי</w:t>
      </w:r>
      <w:r>
        <w:rPr>
          <w:rFonts w:ascii="David" w:eastAsia="David" w:hAnsi="David"/>
          <w:rtl/>
        </w:rPr>
        <w:t xml:space="preserve"> (13.1.22); </w:t>
      </w:r>
      <w:hyperlink r:id="rId24" w:history="1">
        <w:r w:rsidR="005551E0" w:rsidRPr="005551E0">
          <w:rPr>
            <w:rFonts w:ascii="David" w:eastAsia="David" w:hAnsi="David"/>
            <w:color w:val="0000FF"/>
            <w:u w:val="single"/>
            <w:rtl/>
          </w:rPr>
          <w:t>ת"פ (מח י-ם) 34694-09-21</w:t>
        </w:r>
      </w:hyperlink>
      <w:r>
        <w:rPr>
          <w:rFonts w:ascii="David" w:eastAsia="David" w:hAnsi="David"/>
          <w:rtl/>
        </w:rPr>
        <w:t xml:space="preserve"> </w:t>
      </w:r>
      <w:r>
        <w:rPr>
          <w:rFonts w:ascii="David" w:eastAsia="David" w:hAnsi="David"/>
          <w:b/>
          <w:bCs/>
          <w:rtl/>
        </w:rPr>
        <w:t>מדינת ישראל נ' זהרה</w:t>
      </w:r>
      <w:r>
        <w:rPr>
          <w:rFonts w:ascii="David" w:eastAsia="David" w:hAnsi="David"/>
          <w:rtl/>
        </w:rPr>
        <w:t xml:space="preserve"> (26.4.22). </w:t>
      </w:r>
    </w:p>
    <w:p w14:paraId="716CEFC8" w14:textId="77777777" w:rsidR="00681ECC" w:rsidRDefault="00681ECC" w:rsidP="00681ECC">
      <w:pPr>
        <w:spacing w:line="360" w:lineRule="auto"/>
        <w:ind w:left="720"/>
        <w:contextualSpacing/>
        <w:jc w:val="both"/>
        <w:rPr>
          <w:rFonts w:ascii="David" w:eastAsia="David" w:hAnsi="David"/>
          <w:highlight w:val="yellow"/>
          <w:rtl/>
        </w:rPr>
      </w:pPr>
    </w:p>
    <w:p w14:paraId="7B37B6BA" w14:textId="77777777" w:rsidR="00681ECC" w:rsidRDefault="00681ECC" w:rsidP="00681ECC">
      <w:pPr>
        <w:spacing w:line="360" w:lineRule="auto"/>
        <w:ind w:left="720"/>
        <w:contextualSpacing/>
        <w:jc w:val="both"/>
        <w:rPr>
          <w:rFonts w:ascii="David" w:eastAsia="David" w:hAnsi="David"/>
        </w:rPr>
      </w:pPr>
      <w:r>
        <w:rPr>
          <w:rFonts w:ascii="David" w:eastAsia="David" w:hAnsi="David"/>
          <w:rtl/>
        </w:rPr>
        <w:t xml:space="preserve">התמונה העונשית המשתקפת בפסיקה ברורה וכוללת עונשי מאסר ממש, בבחינת  </w:t>
      </w:r>
      <w:r>
        <w:rPr>
          <w:rFonts w:ascii="David" w:eastAsia="David" w:hAnsi="David"/>
          <w:b/>
          <w:bCs/>
          <w:rtl/>
        </w:rPr>
        <w:t>"אם מחזיקים- למאסר נשלחים</w:t>
      </w:r>
      <w:r>
        <w:rPr>
          <w:rFonts w:ascii="David" w:eastAsia="David" w:hAnsi="David"/>
          <w:rtl/>
        </w:rPr>
        <w:t xml:space="preserve">" (כב' השופט עמית, </w:t>
      </w:r>
      <w:hyperlink r:id="rId25" w:history="1">
        <w:r w:rsidR="005551E0" w:rsidRPr="005551E0">
          <w:rPr>
            <w:rFonts w:ascii="David" w:eastAsia="David" w:hAnsi="David"/>
            <w:color w:val="0000FF"/>
            <w:u w:val="single"/>
            <w:rtl/>
          </w:rPr>
          <w:t>ע"פ 2482/22</w:t>
        </w:r>
      </w:hyperlink>
      <w:r>
        <w:rPr>
          <w:rFonts w:ascii="David" w:eastAsia="David" w:hAnsi="David"/>
          <w:rtl/>
        </w:rPr>
        <w:t xml:space="preserve"> </w:t>
      </w:r>
      <w:r>
        <w:rPr>
          <w:rFonts w:ascii="David" w:eastAsia="David" w:hAnsi="David"/>
          <w:b/>
          <w:bCs/>
          <w:rtl/>
        </w:rPr>
        <w:t xml:space="preserve">מדינת ישראל נ' קדורה, </w:t>
      </w:r>
      <w:r>
        <w:rPr>
          <w:rFonts w:ascii="David" w:eastAsia="David" w:hAnsi="David"/>
          <w:rtl/>
        </w:rPr>
        <w:t xml:space="preserve">פ' 6 (מיום 14.04.2022)).  </w:t>
      </w:r>
    </w:p>
    <w:p w14:paraId="2369ED24" w14:textId="77777777" w:rsidR="00681ECC" w:rsidRDefault="00681ECC" w:rsidP="00681ECC">
      <w:pPr>
        <w:spacing w:line="360" w:lineRule="auto"/>
        <w:ind w:left="720"/>
        <w:contextualSpacing/>
        <w:jc w:val="both"/>
        <w:rPr>
          <w:rFonts w:ascii="David" w:eastAsia="David" w:hAnsi="David"/>
        </w:rPr>
      </w:pPr>
    </w:p>
    <w:p w14:paraId="31BB4363" w14:textId="77777777" w:rsidR="00681ECC" w:rsidRDefault="00681ECC" w:rsidP="00681ECC">
      <w:pPr>
        <w:numPr>
          <w:ilvl w:val="0"/>
          <w:numId w:val="1"/>
        </w:numPr>
        <w:spacing w:line="360" w:lineRule="auto"/>
        <w:contextualSpacing/>
        <w:jc w:val="both"/>
        <w:rPr>
          <w:rFonts w:ascii="David" w:eastAsia="David" w:hAnsi="David"/>
          <w:rtl/>
        </w:rPr>
      </w:pPr>
      <w:r>
        <w:rPr>
          <w:rFonts w:ascii="David" w:eastAsia="David" w:hAnsi="David"/>
          <w:rtl/>
        </w:rPr>
        <w:t xml:space="preserve">לאחר שבחנתי את נסיבות ביצוע העבירה ומדיניות הענישה, אני קובעת מתחם ענישה שנע </w:t>
      </w:r>
      <w:r>
        <w:rPr>
          <w:rFonts w:ascii="David" w:eastAsia="David" w:hAnsi="David"/>
          <w:b/>
          <w:bCs/>
          <w:rtl/>
        </w:rPr>
        <w:t xml:space="preserve">בין 15-30 חודשי מאסר. </w:t>
      </w:r>
      <w:r>
        <w:rPr>
          <w:rFonts w:ascii="David" w:eastAsia="David" w:hAnsi="David"/>
          <w:rtl/>
        </w:rPr>
        <w:t xml:space="preserve"> ענישה בדרך של עבודות שירות בגין עבירת נשק חריגה ואפשרית, אם בכלל, רק במקרי שיקום מובהקים, </w:t>
      </w:r>
      <w:r>
        <w:rPr>
          <w:rFonts w:ascii="David" w:eastAsia="David" w:hAnsi="David"/>
          <w:color w:val="000000"/>
          <w:spacing w:val="10"/>
          <w:rtl/>
        </w:rPr>
        <w:t>"</w:t>
      </w:r>
      <w:r>
        <w:rPr>
          <w:rFonts w:ascii="David" w:eastAsia="David" w:hAnsi="David"/>
          <w:b/>
          <w:bCs/>
          <w:color w:val="000000"/>
          <w:spacing w:val="10"/>
          <w:rtl/>
        </w:rPr>
        <w:t>עבירה של החזקת נשק..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 בו</w:t>
      </w:r>
      <w:r>
        <w:rPr>
          <w:rFonts w:ascii="David" w:eastAsia="David" w:hAnsi="David"/>
          <w:color w:val="000000"/>
          <w:spacing w:val="10"/>
          <w:rtl/>
        </w:rPr>
        <w:t>"(</w:t>
      </w:r>
      <w:r>
        <w:rPr>
          <w:rtl/>
        </w:rPr>
        <w:t xml:space="preserve"> </w:t>
      </w:r>
      <w:hyperlink r:id="rId26" w:history="1">
        <w:r w:rsidR="005551E0" w:rsidRPr="005551E0">
          <w:rPr>
            <w:color w:val="0000FF"/>
            <w:u w:val="single"/>
            <w:rtl/>
          </w:rPr>
          <w:t>רע"פ 6265/20</w:t>
        </w:r>
      </w:hyperlink>
      <w:r>
        <w:rPr>
          <w:rtl/>
        </w:rPr>
        <w:t xml:space="preserve"> </w:t>
      </w:r>
      <w:r>
        <w:rPr>
          <w:b/>
          <w:bCs/>
          <w:rtl/>
        </w:rPr>
        <w:t>אלקיעאן נ' מדינת ישראל (</w:t>
      </w:r>
      <w:r>
        <w:rPr>
          <w:rtl/>
        </w:rPr>
        <w:t>מיום 15.9.2020)</w:t>
      </w:r>
      <w:r>
        <w:rPr>
          <w:rFonts w:ascii="David" w:eastAsia="David" w:hAnsi="David"/>
          <w:rtl/>
        </w:rPr>
        <w:t>.</w:t>
      </w:r>
    </w:p>
    <w:p w14:paraId="7815077A" w14:textId="77777777" w:rsidR="00681ECC" w:rsidRDefault="00681ECC" w:rsidP="00681ECC">
      <w:pPr>
        <w:pStyle w:val="a9"/>
        <w:rPr>
          <w:rFonts w:ascii="David" w:eastAsia="David" w:hAnsi="David" w:cs="David"/>
          <w:sz w:val="24"/>
          <w:szCs w:val="24"/>
          <w:rtl/>
        </w:rPr>
      </w:pPr>
    </w:p>
    <w:p w14:paraId="59CCBD58" w14:textId="77777777" w:rsidR="00681ECC" w:rsidRDefault="00681ECC" w:rsidP="00681ECC">
      <w:pPr>
        <w:pStyle w:val="a9"/>
        <w:rPr>
          <w:rFonts w:ascii="David" w:eastAsia="David" w:hAnsi="David" w:cs="David"/>
          <w:sz w:val="24"/>
          <w:szCs w:val="24"/>
          <w:rtl/>
        </w:rPr>
      </w:pPr>
    </w:p>
    <w:p w14:paraId="1E88B3B6" w14:textId="77777777" w:rsidR="00681ECC" w:rsidRDefault="00681ECC" w:rsidP="00681ECC">
      <w:pPr>
        <w:pStyle w:val="a9"/>
        <w:rPr>
          <w:rFonts w:ascii="David" w:eastAsia="David" w:hAnsi="David" w:cs="David"/>
          <w:sz w:val="24"/>
          <w:szCs w:val="24"/>
        </w:rPr>
      </w:pPr>
    </w:p>
    <w:p w14:paraId="7D62FF51" w14:textId="77777777" w:rsidR="00681ECC" w:rsidRDefault="00681ECC" w:rsidP="00681ECC">
      <w:pPr>
        <w:spacing w:line="360" w:lineRule="auto"/>
        <w:jc w:val="both"/>
        <w:rPr>
          <w:rFonts w:ascii="David" w:eastAsia="David" w:hAnsi="David"/>
          <w:b/>
          <w:bCs/>
          <w:u w:val="single"/>
          <w:rtl/>
        </w:rPr>
      </w:pPr>
      <w:r>
        <w:rPr>
          <w:rFonts w:ascii="David" w:eastAsia="David" w:hAnsi="David"/>
          <w:b/>
          <w:bCs/>
          <w:u w:val="single"/>
          <w:rtl/>
        </w:rPr>
        <w:t>גזירת העונש המתאים לנאשם</w:t>
      </w:r>
    </w:p>
    <w:p w14:paraId="59E9BB16" w14:textId="77777777" w:rsidR="00681ECC" w:rsidRDefault="00681ECC" w:rsidP="00681ECC">
      <w:pPr>
        <w:numPr>
          <w:ilvl w:val="0"/>
          <w:numId w:val="1"/>
        </w:numPr>
        <w:spacing w:line="360" w:lineRule="auto"/>
        <w:contextualSpacing/>
        <w:jc w:val="both"/>
        <w:rPr>
          <w:rFonts w:ascii="David" w:eastAsia="David" w:hAnsi="David"/>
        </w:rPr>
      </w:pPr>
      <w:r>
        <w:rPr>
          <w:rFonts w:ascii="David" w:eastAsia="David" w:hAnsi="David"/>
          <w:rtl/>
        </w:rPr>
        <w:t xml:space="preserve">הנאשם צעיר, בן למשפחה טובה, עובד לפרנסתו ובשל הסתבכותו בתיק שילם מחירים אישיים קשים. נתוניו של הנאשם- והדברים נאמרים בצער רב -אינם שונים מנתוניהם של עברייני הנשק של השנים האחרונות, רובם צעירים, בנים למשפחות נורמטיביות, שמבצעים את העבירות על רקע צורך לשפר את תדמיתם בעיני החברה הסובבת אותם. הנשק הפך סמל סטטוס, החזקתו לנורמה שהשתרשה במגזר וזו סוחפת אחריה גם את הטובים שבבנים. </w:t>
      </w:r>
    </w:p>
    <w:p w14:paraId="76BB3426" w14:textId="77777777" w:rsidR="00681ECC" w:rsidRDefault="00681ECC" w:rsidP="00681ECC">
      <w:pPr>
        <w:spacing w:line="360" w:lineRule="auto"/>
        <w:ind w:left="720"/>
        <w:contextualSpacing/>
        <w:jc w:val="both"/>
        <w:rPr>
          <w:rFonts w:ascii="David" w:eastAsia="David" w:hAnsi="David"/>
        </w:rPr>
      </w:pPr>
    </w:p>
    <w:p w14:paraId="06CC8AFF" w14:textId="77777777" w:rsidR="00681ECC" w:rsidRDefault="00681ECC" w:rsidP="00681ECC">
      <w:pPr>
        <w:pStyle w:val="a9"/>
        <w:numPr>
          <w:ilvl w:val="0"/>
          <w:numId w:val="1"/>
        </w:numPr>
        <w:spacing w:after="0" w:line="360" w:lineRule="auto"/>
        <w:jc w:val="both"/>
        <w:rPr>
          <w:rFonts w:ascii="David" w:eastAsia="David" w:hAnsi="David" w:cs="David"/>
          <w:sz w:val="24"/>
          <w:szCs w:val="24"/>
        </w:rPr>
      </w:pPr>
      <w:r>
        <w:rPr>
          <w:rFonts w:ascii="David" w:eastAsia="David" w:hAnsi="David" w:cs="David"/>
          <w:sz w:val="24"/>
          <w:szCs w:val="24"/>
          <w:rtl/>
        </w:rPr>
        <w:t>שירות המבחן העריך כי הסיכון שנשקף מהנאשם נמוך, ונראה אכן כי מדובר בכשלון יחיד שהנאשם למד ממנו את לקחו ויימנע מביצוע עבירות נוספות. אלא שהמלצת התסקיר  להסתפק בענישת עבודות שירות אינה שיקומית, הנאשם אף לא עבר הליך טיפולי ומבוססת בעיקר על עברו הנקי וחששו המובן מפני שליחתו למאסר. כפי שהובהר, ענישה שיקומית בעבירות נשק, אפשרית אך רק במקרים חריגים שבחריגים ובנסיבות מיוחדות ויוצאות דופן (</w:t>
      </w:r>
      <w:hyperlink r:id="rId27" w:history="1">
        <w:r w:rsidR="005551E0" w:rsidRPr="005551E0">
          <w:rPr>
            <w:rFonts w:ascii="Times New Roman" w:eastAsia="David" w:hAnsi="Times New Roman" w:cs="David"/>
            <w:color w:val="0000FF"/>
            <w:sz w:val="24"/>
            <w:szCs w:val="24"/>
            <w:u w:val="single"/>
            <w:rtl/>
          </w:rPr>
          <w:t>ע"פ 5807/20</w:t>
        </w:r>
      </w:hyperlink>
      <w:r>
        <w:rPr>
          <w:rFonts w:ascii="Times New Roman" w:eastAsia="David" w:hAnsi="Times New Roman" w:cs="David"/>
          <w:sz w:val="24"/>
          <w:szCs w:val="24"/>
          <w:rtl/>
        </w:rPr>
        <w:t xml:space="preserve"> </w:t>
      </w:r>
      <w:r>
        <w:rPr>
          <w:rFonts w:ascii="Times New Roman" w:eastAsia="David" w:hAnsi="Times New Roman" w:cs="David"/>
          <w:b/>
          <w:bCs/>
          <w:sz w:val="24"/>
          <w:szCs w:val="24"/>
          <w:rtl/>
        </w:rPr>
        <w:t>מוחמד שיבלי נ' מדינת ישראל</w:t>
      </w:r>
      <w:r>
        <w:rPr>
          <w:rFonts w:ascii="Times New Roman" w:eastAsia="David" w:hAnsi="Times New Roman" w:cs="David"/>
          <w:sz w:val="24"/>
          <w:szCs w:val="24"/>
          <w:rtl/>
        </w:rPr>
        <w:t xml:space="preserve"> (30.12.20)),</w:t>
      </w:r>
      <w:r>
        <w:rPr>
          <w:rFonts w:ascii="David" w:eastAsia="David" w:hAnsi="David" w:cs="David"/>
          <w:sz w:val="24"/>
          <w:szCs w:val="24"/>
          <w:rtl/>
        </w:rPr>
        <w:t xml:space="preserve"> המקרה שלפנינו אינו נמנה בין אלו. עוד מורה הפסיקה ליתן בעבירות אלו משקל בכורה לשיקולי ההרתעה. </w:t>
      </w:r>
    </w:p>
    <w:p w14:paraId="6FFD0F68" w14:textId="77777777" w:rsidR="00681ECC" w:rsidRDefault="00681ECC" w:rsidP="00681ECC">
      <w:pPr>
        <w:ind w:left="720"/>
        <w:contextualSpacing/>
        <w:rPr>
          <w:rFonts w:ascii="David" w:eastAsia="David" w:hAnsi="David"/>
          <w:rtl/>
        </w:rPr>
      </w:pPr>
    </w:p>
    <w:p w14:paraId="5A450084" w14:textId="77777777" w:rsidR="00681ECC" w:rsidRDefault="00681ECC" w:rsidP="00681ECC">
      <w:pPr>
        <w:numPr>
          <w:ilvl w:val="0"/>
          <w:numId w:val="1"/>
        </w:numPr>
        <w:spacing w:line="360" w:lineRule="auto"/>
        <w:contextualSpacing/>
        <w:jc w:val="both"/>
        <w:rPr>
          <w:rFonts w:ascii="David" w:eastAsia="David" w:hAnsi="David"/>
          <w:rtl/>
        </w:rPr>
      </w:pPr>
      <w:r>
        <w:rPr>
          <w:rFonts w:ascii="David" w:eastAsia="David" w:hAnsi="David"/>
          <w:rtl/>
        </w:rPr>
        <w:t xml:space="preserve">נוכח נסיבותיו הטובות של הנאשם אמקם עונשו בתחתית המתחם ואטיל עליו קנס מרתיע.  </w:t>
      </w:r>
    </w:p>
    <w:p w14:paraId="2431ABFC" w14:textId="77777777" w:rsidR="00681ECC" w:rsidRDefault="00681ECC" w:rsidP="00681ECC">
      <w:pPr>
        <w:pStyle w:val="a9"/>
        <w:rPr>
          <w:rFonts w:ascii="David" w:eastAsia="David" w:hAnsi="David" w:cs="David"/>
          <w:sz w:val="24"/>
          <w:szCs w:val="24"/>
        </w:rPr>
      </w:pPr>
    </w:p>
    <w:p w14:paraId="209FA8D5" w14:textId="77777777" w:rsidR="00681ECC" w:rsidRDefault="00681ECC" w:rsidP="00681ECC">
      <w:pPr>
        <w:numPr>
          <w:ilvl w:val="0"/>
          <w:numId w:val="1"/>
        </w:numPr>
        <w:spacing w:line="360" w:lineRule="auto"/>
        <w:contextualSpacing/>
        <w:jc w:val="both"/>
        <w:rPr>
          <w:rFonts w:ascii="David" w:eastAsia="David" w:hAnsi="David"/>
          <w:rtl/>
        </w:rPr>
      </w:pPr>
      <w:r>
        <w:rPr>
          <w:rFonts w:ascii="David" w:eastAsia="David" w:hAnsi="David"/>
          <w:b/>
          <w:bCs/>
          <w:rtl/>
        </w:rPr>
        <w:t xml:space="preserve">לאור האמור לעיל, ולאחר ששקלתי את כלל השיקולים, אני גוזרת על הנאשם את העונשים הבאים: </w:t>
      </w:r>
    </w:p>
    <w:p w14:paraId="281CB564" w14:textId="77777777" w:rsidR="00681ECC" w:rsidRDefault="00681ECC" w:rsidP="00681ECC">
      <w:pPr>
        <w:ind w:left="720"/>
        <w:contextualSpacing/>
        <w:rPr>
          <w:rFonts w:ascii="David" w:eastAsia="David" w:hAnsi="David"/>
        </w:rPr>
      </w:pPr>
    </w:p>
    <w:p w14:paraId="70679823" w14:textId="77777777" w:rsidR="00681ECC" w:rsidRDefault="00681ECC" w:rsidP="00681ECC">
      <w:pPr>
        <w:numPr>
          <w:ilvl w:val="0"/>
          <w:numId w:val="3"/>
        </w:numPr>
        <w:spacing w:line="360" w:lineRule="auto"/>
        <w:contextualSpacing/>
        <w:jc w:val="both"/>
        <w:rPr>
          <w:rFonts w:ascii="David" w:eastAsia="David" w:hAnsi="David"/>
          <w:rtl/>
        </w:rPr>
      </w:pPr>
      <w:r>
        <w:rPr>
          <w:rFonts w:ascii="David" w:eastAsia="David" w:hAnsi="David"/>
          <w:b/>
          <w:bCs/>
          <w:rtl/>
        </w:rPr>
        <w:t xml:space="preserve">15 חודשי מאסר בפועל </w:t>
      </w:r>
      <w:r>
        <w:rPr>
          <w:rFonts w:ascii="David" w:eastAsia="David" w:hAnsi="David"/>
          <w:rtl/>
        </w:rPr>
        <w:t xml:space="preserve">בניכוי ימי מעצרו החל מיום 3.1.22 ועד ליום 14.3.22. </w:t>
      </w:r>
    </w:p>
    <w:p w14:paraId="51447C9C" w14:textId="77777777" w:rsidR="00681ECC" w:rsidRDefault="00681ECC" w:rsidP="00681ECC">
      <w:pPr>
        <w:numPr>
          <w:ilvl w:val="0"/>
          <w:numId w:val="3"/>
        </w:numPr>
        <w:spacing w:line="360" w:lineRule="auto"/>
        <w:contextualSpacing/>
        <w:jc w:val="both"/>
        <w:rPr>
          <w:rFonts w:ascii="David" w:eastAsia="David" w:hAnsi="David"/>
        </w:rPr>
      </w:pPr>
      <w:r>
        <w:rPr>
          <w:rFonts w:ascii="David" w:eastAsia="David" w:hAnsi="David"/>
          <w:rtl/>
        </w:rPr>
        <w:t xml:space="preserve">מאסר על תנאי בן 10 חודשים לבל יעבור הנאשם עבירת נשק מסוג פשע תוך 3 שנים מיום שחרורו. </w:t>
      </w:r>
    </w:p>
    <w:p w14:paraId="4B6D5D4A" w14:textId="77777777" w:rsidR="00681ECC" w:rsidRDefault="00681ECC" w:rsidP="00681ECC">
      <w:pPr>
        <w:numPr>
          <w:ilvl w:val="0"/>
          <w:numId w:val="3"/>
        </w:numPr>
        <w:spacing w:line="360" w:lineRule="auto"/>
        <w:contextualSpacing/>
        <w:jc w:val="both"/>
        <w:rPr>
          <w:rFonts w:ascii="David" w:eastAsia="David" w:hAnsi="David"/>
        </w:rPr>
      </w:pPr>
      <w:r>
        <w:rPr>
          <w:rFonts w:ascii="David" w:eastAsia="David" w:hAnsi="David"/>
          <w:rtl/>
        </w:rPr>
        <w:t>קנס בסך 5,000 ₪ או 30 ימי מאסר. הקנס ישולם בחמישה תשלומים שווים ורצופים החל מיום 1.4.23.</w:t>
      </w:r>
    </w:p>
    <w:p w14:paraId="3DA0B9F2" w14:textId="77777777" w:rsidR="00681ECC" w:rsidRDefault="005551E0" w:rsidP="00681ECC">
      <w:pPr>
        <w:pStyle w:val="a9"/>
        <w:numPr>
          <w:ilvl w:val="0"/>
          <w:numId w:val="3"/>
        </w:numPr>
        <w:spacing w:line="360" w:lineRule="auto"/>
        <w:jc w:val="both"/>
        <w:rPr>
          <w:rFonts w:ascii="David" w:eastAsia="David" w:hAnsi="David" w:cs="David"/>
          <w:sz w:val="24"/>
          <w:szCs w:val="24"/>
        </w:rPr>
      </w:pPr>
      <w:r w:rsidRPr="005551E0">
        <w:rPr>
          <w:rFonts w:ascii="David" w:eastAsia="David" w:hAnsi="David" w:cs="David"/>
          <w:color w:val="FFFFFF"/>
          <w:sz w:val="2"/>
          <w:szCs w:val="2"/>
          <w:rtl/>
        </w:rPr>
        <w:t>5129371</w:t>
      </w:r>
      <w:r w:rsidR="00681ECC">
        <w:rPr>
          <w:rFonts w:ascii="David" w:eastAsia="David" w:hAnsi="David" w:cs="David"/>
          <w:sz w:val="24"/>
          <w:szCs w:val="24"/>
          <w:rtl/>
        </w:rPr>
        <w:t xml:space="preserve">הנאשם יתייצב לריצוי מאסרו ביום 6.3.23 עד השעה 10:00 בבית מעצר "הדרים". לצורך הבטחת התייצבותו יעמדו הערבויות שהופקדו בהליך המעצר, צו עיכוב יציאה מהארץ יוותר על כנו. </w:t>
      </w:r>
    </w:p>
    <w:p w14:paraId="5A0A5F7D" w14:textId="77777777" w:rsidR="00681ECC" w:rsidRDefault="005551E0" w:rsidP="00681ECC">
      <w:pPr>
        <w:spacing w:line="360" w:lineRule="auto"/>
        <w:jc w:val="both"/>
        <w:rPr>
          <w:rFonts w:ascii="David" w:eastAsia="David" w:hAnsi="David"/>
          <w:rtl/>
        </w:rPr>
      </w:pPr>
      <w:r w:rsidRPr="005551E0">
        <w:rPr>
          <w:rFonts w:ascii="David" w:eastAsia="David" w:hAnsi="David"/>
          <w:color w:val="FFFFFF"/>
          <w:sz w:val="2"/>
          <w:szCs w:val="2"/>
          <w:rtl/>
        </w:rPr>
        <w:t>54678313</w:t>
      </w:r>
      <w:r w:rsidR="00681ECC">
        <w:rPr>
          <w:rFonts w:ascii="David" w:eastAsia="David" w:hAnsi="David"/>
          <w:rtl/>
        </w:rPr>
        <w:t>הנשק והתחמושת יושמדו.</w:t>
      </w:r>
    </w:p>
    <w:p w14:paraId="5AFE31CC" w14:textId="77777777" w:rsidR="00681ECC" w:rsidRDefault="00681ECC" w:rsidP="00681ECC">
      <w:pPr>
        <w:spacing w:line="360" w:lineRule="auto"/>
        <w:jc w:val="both"/>
        <w:rPr>
          <w:rFonts w:ascii="David" w:eastAsia="David" w:hAnsi="David"/>
          <w:b/>
          <w:bCs/>
          <w:rtl/>
        </w:rPr>
      </w:pPr>
      <w:r>
        <w:rPr>
          <w:rFonts w:ascii="David" w:eastAsia="David" w:hAnsi="David"/>
          <w:b/>
          <w:bCs/>
          <w:rtl/>
        </w:rPr>
        <w:t>זכות ערעור לבית המשפט העליון תוך 45 יום.</w:t>
      </w:r>
    </w:p>
    <w:p w14:paraId="64C954D2" w14:textId="77777777" w:rsidR="00681ECC" w:rsidRPr="000F2247" w:rsidRDefault="005551E0" w:rsidP="00681EC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כ"ב שבט תשפ"ג, 13 פברואר 2023, במעמד הצדדים. </w:t>
      </w:r>
      <w:bookmarkEnd w:id="8"/>
      <w:r w:rsidR="00681ECC">
        <w:rPr>
          <w:rFonts w:ascii="Arial" w:hAnsi="Arial"/>
          <w:b/>
          <w:bCs/>
          <w:sz w:val="26"/>
          <w:szCs w:val="26"/>
          <w:rtl/>
        </w:rPr>
        <w:tab/>
      </w:r>
      <w:r w:rsidR="00681ECC">
        <w:rPr>
          <w:rFonts w:ascii="Arial" w:hAnsi="Arial"/>
          <w:b/>
          <w:bCs/>
          <w:sz w:val="26"/>
          <w:szCs w:val="26"/>
          <w:rtl/>
        </w:rPr>
        <w:tab/>
      </w:r>
      <w:r w:rsidR="00681ECC">
        <w:rPr>
          <w:rFonts w:ascii="Arial" w:hAnsi="Arial"/>
          <w:b/>
          <w:bCs/>
          <w:sz w:val="26"/>
          <w:szCs w:val="26"/>
          <w:rtl/>
        </w:rPr>
        <w:tab/>
      </w:r>
      <w:r w:rsidR="00681ECC">
        <w:rPr>
          <w:rFonts w:ascii="Arial" w:hAnsi="Arial"/>
          <w:b/>
          <w:bCs/>
          <w:sz w:val="26"/>
          <w:szCs w:val="26"/>
          <w:rtl/>
        </w:rPr>
        <w:tab/>
      </w:r>
      <w:r w:rsidR="00681ECC">
        <w:rPr>
          <w:rFonts w:ascii="Arial" w:hAnsi="Arial"/>
          <w:b/>
          <w:bCs/>
          <w:sz w:val="26"/>
          <w:szCs w:val="26"/>
          <w:rtl/>
        </w:rPr>
        <w:tab/>
      </w:r>
      <w:r w:rsidR="00681ECC">
        <w:rPr>
          <w:rFonts w:ascii="Arial" w:hAnsi="Arial"/>
          <w:b/>
          <w:bCs/>
          <w:sz w:val="26"/>
          <w:szCs w:val="26"/>
          <w:rtl/>
        </w:rPr>
        <w:tab/>
      </w:r>
      <w:r w:rsidR="00681ECC">
        <w:rPr>
          <w:rFonts w:ascii="Arial" w:hAnsi="Arial"/>
          <w:b/>
          <w:bCs/>
          <w:sz w:val="26"/>
          <w:szCs w:val="26"/>
          <w:rtl/>
        </w:rPr>
        <w:tab/>
      </w:r>
      <w:r w:rsidR="00681ECC">
        <w:rPr>
          <w:rFonts w:ascii="Arial" w:hAnsi="Arial" w:hint="cs"/>
          <w:b/>
          <w:bCs/>
          <w:sz w:val="26"/>
          <w:szCs w:val="26"/>
          <w:rtl/>
        </w:rPr>
        <w:t xml:space="preserve">         </w:t>
      </w:r>
    </w:p>
    <w:p w14:paraId="1AC7E3D8" w14:textId="77777777" w:rsidR="00681ECC" w:rsidRPr="000F2247" w:rsidRDefault="00681ECC" w:rsidP="005551E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17C89FF" w14:textId="77777777" w:rsidR="00681ECC" w:rsidRPr="00090FA5" w:rsidRDefault="00090FA5" w:rsidP="00681ECC">
      <w:pPr>
        <w:jc w:val="center"/>
        <w:rPr>
          <w:rFonts w:ascii="Arial" w:hAnsi="Arial"/>
          <w:b/>
          <w:bCs/>
          <w:color w:val="FFFFFF"/>
          <w:sz w:val="2"/>
          <w:szCs w:val="2"/>
          <w:rtl/>
        </w:rPr>
      </w:pPr>
      <w:r w:rsidRPr="00090FA5">
        <w:rPr>
          <w:rFonts w:ascii="Arial" w:hAnsi="Arial"/>
          <w:b/>
          <w:bCs/>
          <w:color w:val="FFFFFF"/>
          <w:sz w:val="2"/>
          <w:szCs w:val="2"/>
          <w:rtl/>
        </w:rPr>
        <w:t>5129371</w:t>
      </w:r>
    </w:p>
    <w:p w14:paraId="21C6BBC7" w14:textId="77777777" w:rsidR="000C2BA3" w:rsidRPr="00090FA5" w:rsidRDefault="00090FA5" w:rsidP="005551E0">
      <w:pPr>
        <w:keepNext/>
        <w:rPr>
          <w:rFonts w:ascii="David" w:hAnsi="David"/>
          <w:color w:val="FFFFFF"/>
          <w:sz w:val="2"/>
          <w:szCs w:val="2"/>
          <w:rtl/>
        </w:rPr>
      </w:pPr>
      <w:r w:rsidRPr="00090FA5">
        <w:rPr>
          <w:rFonts w:ascii="David" w:hAnsi="David"/>
          <w:color w:val="FFFFFF"/>
          <w:sz w:val="2"/>
          <w:szCs w:val="2"/>
          <w:rtl/>
        </w:rPr>
        <w:t>54678313</w:t>
      </w:r>
    </w:p>
    <w:p w14:paraId="601E875A" w14:textId="77777777" w:rsidR="005551E0" w:rsidRDefault="005551E0" w:rsidP="005551E0">
      <w:pPr>
        <w:rPr>
          <w:rtl/>
        </w:rPr>
      </w:pPr>
    </w:p>
    <w:p w14:paraId="0E3B66AC" w14:textId="77777777" w:rsidR="005551E0" w:rsidRDefault="005551E0" w:rsidP="005551E0">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7DE7D8C" w14:textId="77777777" w:rsidR="00090FA5" w:rsidRPr="00090FA5" w:rsidRDefault="00090FA5" w:rsidP="00090FA5">
      <w:pPr>
        <w:keepNext/>
        <w:rPr>
          <w:rFonts w:ascii="David" w:hAnsi="David"/>
          <w:color w:val="000000"/>
          <w:sz w:val="22"/>
          <w:szCs w:val="22"/>
          <w:rtl/>
        </w:rPr>
      </w:pPr>
    </w:p>
    <w:p w14:paraId="4D832C04" w14:textId="77777777" w:rsidR="00090FA5" w:rsidRPr="00090FA5" w:rsidRDefault="00090FA5" w:rsidP="00090FA5">
      <w:pPr>
        <w:keepNext/>
        <w:rPr>
          <w:rFonts w:ascii="David" w:hAnsi="David"/>
          <w:color w:val="000000"/>
          <w:sz w:val="22"/>
          <w:szCs w:val="22"/>
          <w:rtl/>
        </w:rPr>
      </w:pPr>
      <w:r w:rsidRPr="00090FA5">
        <w:rPr>
          <w:rFonts w:ascii="David" w:hAnsi="David"/>
          <w:color w:val="000000"/>
          <w:sz w:val="22"/>
          <w:szCs w:val="22"/>
          <w:rtl/>
        </w:rPr>
        <w:t>מרב גרינברג 54678313-/</w:t>
      </w:r>
    </w:p>
    <w:p w14:paraId="3C3C6C38" w14:textId="77777777" w:rsidR="005551E0" w:rsidRPr="005551E0" w:rsidRDefault="00090FA5" w:rsidP="00090FA5">
      <w:pPr>
        <w:rPr>
          <w:color w:val="0000FF"/>
          <w:u w:val="single"/>
        </w:rPr>
      </w:pPr>
      <w:r w:rsidRPr="00090FA5">
        <w:rPr>
          <w:color w:val="000000"/>
          <w:u w:val="single"/>
          <w:rtl/>
        </w:rPr>
        <w:t>נוסח מסמך זה כפוף לשינויי ניסוח ועריכה</w:t>
      </w:r>
    </w:p>
    <w:sectPr w:rsidR="005551E0" w:rsidRPr="005551E0" w:rsidSect="00090FA5">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0CFFB" w14:textId="77777777" w:rsidR="00043D55" w:rsidRDefault="00043D55" w:rsidP="00F5736A">
      <w:r>
        <w:separator/>
      </w:r>
    </w:p>
  </w:endnote>
  <w:endnote w:type="continuationSeparator" w:id="0">
    <w:p w14:paraId="33BEDD4A" w14:textId="77777777" w:rsidR="00043D55" w:rsidRDefault="00043D55" w:rsidP="00F5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1E50B" w14:textId="77777777" w:rsidR="00090FA5" w:rsidRDefault="00090FA5" w:rsidP="00090FA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BCAD77" w14:textId="77777777" w:rsidR="007D6C29" w:rsidRPr="00090FA5" w:rsidRDefault="00090FA5" w:rsidP="00090FA5">
    <w:pPr>
      <w:pStyle w:val="a5"/>
      <w:pBdr>
        <w:top w:val="single" w:sz="4" w:space="1" w:color="auto"/>
        <w:between w:val="single" w:sz="4" w:space="0" w:color="auto"/>
      </w:pBdr>
      <w:spacing w:after="60"/>
      <w:jc w:val="center"/>
      <w:rPr>
        <w:rFonts w:ascii="FrankRuehl" w:hAnsi="FrankRuehl" w:cs="FrankRuehl"/>
        <w:color w:val="000000"/>
      </w:rPr>
    </w:pPr>
    <w:r w:rsidRPr="00090F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C5D1" w14:textId="77777777" w:rsidR="00090FA5" w:rsidRDefault="00090FA5" w:rsidP="00090FA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4583">
      <w:rPr>
        <w:rFonts w:ascii="FrankRuehl" w:hAnsi="FrankRuehl" w:cs="FrankRuehl"/>
        <w:noProof/>
        <w:rtl/>
      </w:rPr>
      <w:t>1</w:t>
    </w:r>
    <w:r>
      <w:rPr>
        <w:rFonts w:ascii="FrankRuehl" w:hAnsi="FrankRuehl" w:cs="FrankRuehl"/>
        <w:rtl/>
      </w:rPr>
      <w:fldChar w:fldCharType="end"/>
    </w:r>
  </w:p>
  <w:p w14:paraId="60FBC6A8" w14:textId="77777777" w:rsidR="007D6C29" w:rsidRPr="00090FA5" w:rsidRDefault="00090FA5" w:rsidP="00090FA5">
    <w:pPr>
      <w:pStyle w:val="a5"/>
      <w:pBdr>
        <w:top w:val="single" w:sz="4" w:space="1" w:color="auto"/>
        <w:between w:val="single" w:sz="4" w:space="0" w:color="auto"/>
      </w:pBdr>
      <w:spacing w:after="60"/>
      <w:jc w:val="center"/>
      <w:rPr>
        <w:rFonts w:ascii="FrankRuehl" w:hAnsi="FrankRuehl" w:cs="FrankRuehl"/>
        <w:color w:val="000000"/>
      </w:rPr>
    </w:pPr>
    <w:r w:rsidRPr="00090FA5">
      <w:rPr>
        <w:rFonts w:ascii="FrankRuehl" w:hAnsi="FrankRuehl" w:cs="FrankRuehl"/>
        <w:color w:val="000000"/>
      </w:rPr>
      <w:pict w14:anchorId="1DE76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0583F" w14:textId="77777777" w:rsidR="00043D55" w:rsidRDefault="00043D55" w:rsidP="00F5736A">
      <w:r>
        <w:separator/>
      </w:r>
    </w:p>
  </w:footnote>
  <w:footnote w:type="continuationSeparator" w:id="0">
    <w:p w14:paraId="258FD9CD" w14:textId="77777777" w:rsidR="00043D55" w:rsidRDefault="00043D55" w:rsidP="00F57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C6628" w14:textId="77777777" w:rsidR="005551E0" w:rsidRPr="00090FA5" w:rsidRDefault="00090FA5" w:rsidP="00090FA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42106-01-22</w:t>
    </w:r>
    <w:r>
      <w:rPr>
        <w:rFonts w:ascii="David" w:hAnsi="David"/>
        <w:color w:val="000000"/>
        <w:sz w:val="22"/>
        <w:szCs w:val="22"/>
        <w:rtl/>
      </w:rPr>
      <w:tab/>
      <w:t xml:space="preserve"> מדינת ישראל נ' עבדאללה וחידי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12831" w14:textId="77777777" w:rsidR="005551E0" w:rsidRPr="00090FA5" w:rsidRDefault="00090FA5" w:rsidP="00090FA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42106-01-22</w:t>
    </w:r>
    <w:r>
      <w:rPr>
        <w:rFonts w:ascii="David" w:hAnsi="David"/>
        <w:color w:val="000000"/>
        <w:sz w:val="22"/>
        <w:szCs w:val="22"/>
        <w:rtl/>
      </w:rPr>
      <w:tab/>
      <w:t xml:space="preserve"> מדינת ישראל נ' עבדאללה וחידי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22E248F"/>
    <w:multiLevelType w:val="hybridMultilevel"/>
    <w:tmpl w:val="68E8ED88"/>
    <w:lvl w:ilvl="0" w:tplc="443059FE">
      <w:start w:val="1"/>
      <w:numFmt w:val="hebrew1"/>
      <w:lvlText w:val="%1."/>
      <w:lvlJc w:val="left"/>
      <w:pPr>
        <w:ind w:left="720" w:hanging="360"/>
      </w:pPr>
      <w:rPr>
        <w:rFonts w:ascii="David" w:eastAsia="Calibri" w:hAnsi="David" w:cs="David" w:hint="default"/>
        <w:sz w:val="22"/>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EC356E9"/>
    <w:multiLevelType w:val="hybridMultilevel"/>
    <w:tmpl w:val="62105F5C"/>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919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680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6029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1ECC"/>
    <w:rsid w:val="00042227"/>
    <w:rsid w:val="00043D55"/>
    <w:rsid w:val="00090FA5"/>
    <w:rsid w:val="000B4583"/>
    <w:rsid w:val="000C2BA3"/>
    <w:rsid w:val="00190D71"/>
    <w:rsid w:val="001B5A3B"/>
    <w:rsid w:val="004521AC"/>
    <w:rsid w:val="005551E0"/>
    <w:rsid w:val="00602A30"/>
    <w:rsid w:val="00681ECC"/>
    <w:rsid w:val="007D6C29"/>
    <w:rsid w:val="00823DE7"/>
    <w:rsid w:val="0097535A"/>
    <w:rsid w:val="00A14C6D"/>
    <w:rsid w:val="00F573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DE6C63"/>
  <w15:chartTrackingRefBased/>
  <w15:docId w15:val="{CF883054-15FA-4EE1-BCAB-9A135760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1E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1ECC"/>
    <w:pPr>
      <w:tabs>
        <w:tab w:val="center" w:pos="4153"/>
        <w:tab w:val="right" w:pos="8306"/>
      </w:tabs>
    </w:pPr>
  </w:style>
  <w:style w:type="character" w:customStyle="1" w:styleId="a4">
    <w:name w:val="כותרת עליונה תו"/>
    <w:link w:val="a3"/>
    <w:rsid w:val="00681ECC"/>
    <w:rPr>
      <w:rFonts w:ascii="Times New Roman" w:eastAsia="Times New Roman" w:hAnsi="Times New Roman" w:cs="David"/>
      <w:sz w:val="24"/>
      <w:szCs w:val="24"/>
    </w:rPr>
  </w:style>
  <w:style w:type="paragraph" w:styleId="a5">
    <w:name w:val="footer"/>
    <w:basedOn w:val="a"/>
    <w:link w:val="a6"/>
    <w:rsid w:val="00681ECC"/>
    <w:pPr>
      <w:tabs>
        <w:tab w:val="center" w:pos="4153"/>
        <w:tab w:val="right" w:pos="8306"/>
      </w:tabs>
    </w:pPr>
  </w:style>
  <w:style w:type="character" w:customStyle="1" w:styleId="a6">
    <w:name w:val="כותרת תחתונה תו"/>
    <w:link w:val="a5"/>
    <w:rsid w:val="00681ECC"/>
    <w:rPr>
      <w:rFonts w:ascii="Times New Roman" w:eastAsia="Times New Roman" w:hAnsi="Times New Roman" w:cs="David"/>
      <w:sz w:val="24"/>
      <w:szCs w:val="24"/>
    </w:rPr>
  </w:style>
  <w:style w:type="table" w:styleId="a7">
    <w:name w:val="Table Grid"/>
    <w:basedOn w:val="a1"/>
    <w:rsid w:val="00681E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81ECC"/>
  </w:style>
  <w:style w:type="paragraph" w:styleId="a9">
    <w:name w:val="List Paragraph"/>
    <w:basedOn w:val="a"/>
    <w:qFormat/>
    <w:rsid w:val="00681ECC"/>
    <w:pPr>
      <w:spacing w:after="160" w:line="256" w:lineRule="auto"/>
      <w:ind w:left="720"/>
      <w:contextualSpacing/>
    </w:pPr>
    <w:rPr>
      <w:rFonts w:ascii="Calibri" w:eastAsia="Calibri" w:hAnsi="Calibri" w:cs="Arial"/>
      <w:sz w:val="22"/>
      <w:szCs w:val="22"/>
    </w:rPr>
  </w:style>
  <w:style w:type="character" w:styleId="Hyperlink">
    <w:name w:val="Hyperlink"/>
    <w:rsid w:val="00555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152132" TargetMode="External"/><Relationship Id="rId18" Type="http://schemas.openxmlformats.org/officeDocument/2006/relationships/hyperlink" Target="http://www.nevo.co.il/case/27491153" TargetMode="External"/><Relationship Id="rId26" Type="http://schemas.openxmlformats.org/officeDocument/2006/relationships/hyperlink" Target="http://www.nevo.co.il/case/26986974" TargetMode="External"/><Relationship Id="rId3" Type="http://schemas.openxmlformats.org/officeDocument/2006/relationships/settings" Target="settings.xml"/><Relationship Id="rId21" Type="http://schemas.openxmlformats.org/officeDocument/2006/relationships/hyperlink" Target="http://www.nevo.co.il/case/16913730"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case/27911638"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case/2851382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568354" TargetMode="External"/><Relationship Id="rId20" Type="http://schemas.openxmlformats.org/officeDocument/2006/relationships/hyperlink" Target="http://www.nevo.co.il/case/25528737"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yperlink" Target="http://www.nevo.co.il/case/28020685"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305799" TargetMode="External"/><Relationship Id="rId23" Type="http://schemas.openxmlformats.org/officeDocument/2006/relationships/hyperlink" Target="http://www.nevo.co.il/case/27311262"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815213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case/26568237" TargetMode="External"/><Relationship Id="rId27" Type="http://schemas.openxmlformats.org/officeDocument/2006/relationships/hyperlink" Target="http://www.nevo.co.il/case/26934681" TargetMode="External"/><Relationship Id="rId30" Type="http://schemas.openxmlformats.org/officeDocument/2006/relationships/header" Target="header2.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1692</Words>
  <Characters>8465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10137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3604599</vt:i4>
      </vt:variant>
      <vt:variant>
        <vt:i4>60</vt:i4>
      </vt:variant>
      <vt:variant>
        <vt:i4>0</vt:i4>
      </vt:variant>
      <vt:variant>
        <vt:i4>5</vt:i4>
      </vt:variant>
      <vt:variant>
        <vt:lpwstr>http://www.nevo.co.il/case/26934681</vt:lpwstr>
      </vt:variant>
      <vt:variant>
        <vt:lpwstr/>
      </vt:variant>
      <vt:variant>
        <vt:i4>3801203</vt:i4>
      </vt:variant>
      <vt:variant>
        <vt:i4>57</vt:i4>
      </vt:variant>
      <vt:variant>
        <vt:i4>0</vt:i4>
      </vt:variant>
      <vt:variant>
        <vt:i4>5</vt:i4>
      </vt:variant>
      <vt:variant>
        <vt:lpwstr>http://www.nevo.co.il/case/26986974</vt:lpwstr>
      </vt:variant>
      <vt:variant>
        <vt:lpwstr/>
      </vt:variant>
      <vt:variant>
        <vt:i4>3539061</vt:i4>
      </vt:variant>
      <vt:variant>
        <vt:i4>54</vt:i4>
      </vt:variant>
      <vt:variant>
        <vt:i4>0</vt:i4>
      </vt:variant>
      <vt:variant>
        <vt:i4>5</vt:i4>
      </vt:variant>
      <vt:variant>
        <vt:lpwstr>http://www.nevo.co.il/case/28513828</vt:lpwstr>
      </vt:variant>
      <vt:variant>
        <vt:lpwstr/>
      </vt:variant>
      <vt:variant>
        <vt:i4>3801208</vt:i4>
      </vt:variant>
      <vt:variant>
        <vt:i4>51</vt:i4>
      </vt:variant>
      <vt:variant>
        <vt:i4>0</vt:i4>
      </vt:variant>
      <vt:variant>
        <vt:i4>5</vt:i4>
      </vt:variant>
      <vt:variant>
        <vt:lpwstr>http://www.nevo.co.il/case/28020685</vt:lpwstr>
      </vt:variant>
      <vt:variant>
        <vt:lpwstr/>
      </vt:variant>
      <vt:variant>
        <vt:i4>3539056</vt:i4>
      </vt:variant>
      <vt:variant>
        <vt:i4>48</vt:i4>
      </vt:variant>
      <vt:variant>
        <vt:i4>0</vt:i4>
      </vt:variant>
      <vt:variant>
        <vt:i4>5</vt:i4>
      </vt:variant>
      <vt:variant>
        <vt:lpwstr>http://www.nevo.co.il/case/27311262</vt:lpwstr>
      </vt:variant>
      <vt:variant>
        <vt:lpwstr/>
      </vt:variant>
      <vt:variant>
        <vt:i4>3932278</vt:i4>
      </vt:variant>
      <vt:variant>
        <vt:i4>45</vt:i4>
      </vt:variant>
      <vt:variant>
        <vt:i4>0</vt:i4>
      </vt:variant>
      <vt:variant>
        <vt:i4>5</vt:i4>
      </vt:variant>
      <vt:variant>
        <vt:lpwstr>http://www.nevo.co.il/case/26568237</vt:lpwstr>
      </vt:variant>
      <vt:variant>
        <vt:lpwstr/>
      </vt:variant>
      <vt:variant>
        <vt:i4>3670132</vt:i4>
      </vt:variant>
      <vt:variant>
        <vt:i4>42</vt:i4>
      </vt:variant>
      <vt:variant>
        <vt:i4>0</vt:i4>
      </vt:variant>
      <vt:variant>
        <vt:i4>5</vt:i4>
      </vt:variant>
      <vt:variant>
        <vt:lpwstr>http://www.nevo.co.il/case/16913730</vt:lpwstr>
      </vt:variant>
      <vt:variant>
        <vt:lpwstr/>
      </vt:variant>
      <vt:variant>
        <vt:i4>3932276</vt:i4>
      </vt:variant>
      <vt:variant>
        <vt:i4>39</vt:i4>
      </vt:variant>
      <vt:variant>
        <vt:i4>0</vt:i4>
      </vt:variant>
      <vt:variant>
        <vt:i4>5</vt:i4>
      </vt:variant>
      <vt:variant>
        <vt:lpwstr>http://www.nevo.co.il/case/25528737</vt:lpwstr>
      </vt:variant>
      <vt:variant>
        <vt:lpwstr/>
      </vt:variant>
      <vt:variant>
        <vt:i4>3276920</vt:i4>
      </vt:variant>
      <vt:variant>
        <vt:i4>36</vt:i4>
      </vt:variant>
      <vt:variant>
        <vt:i4>0</vt:i4>
      </vt:variant>
      <vt:variant>
        <vt:i4>5</vt:i4>
      </vt:variant>
      <vt:variant>
        <vt:lpwstr>http://www.nevo.co.il/case/28152132</vt:lpwstr>
      </vt:variant>
      <vt:variant>
        <vt:lpwstr/>
      </vt:variant>
      <vt:variant>
        <vt:i4>3276923</vt:i4>
      </vt:variant>
      <vt:variant>
        <vt:i4>33</vt:i4>
      </vt:variant>
      <vt:variant>
        <vt:i4>0</vt:i4>
      </vt:variant>
      <vt:variant>
        <vt:i4>5</vt:i4>
      </vt:variant>
      <vt:variant>
        <vt:lpwstr>http://www.nevo.co.il/case/27491153</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3407996</vt:i4>
      </vt:variant>
      <vt:variant>
        <vt:i4>27</vt:i4>
      </vt:variant>
      <vt:variant>
        <vt:i4>0</vt:i4>
      </vt:variant>
      <vt:variant>
        <vt:i4>5</vt:i4>
      </vt:variant>
      <vt:variant>
        <vt:lpwstr>http://www.nevo.co.il/case/5568354</vt:lpwstr>
      </vt:variant>
      <vt:variant>
        <vt:lpwstr/>
      </vt:variant>
      <vt:variant>
        <vt:i4>3997812</vt:i4>
      </vt:variant>
      <vt:variant>
        <vt:i4>24</vt:i4>
      </vt:variant>
      <vt:variant>
        <vt:i4>0</vt:i4>
      </vt:variant>
      <vt:variant>
        <vt:i4>5</vt:i4>
      </vt:variant>
      <vt:variant>
        <vt:lpwstr>http://www.nevo.co.il/case/27305799</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2025-01-19T16:49:00Z</dcterms:created>
  <dcterms:modified xsi:type="dcterms:W3CDTF">2025-01-19T16:49:00Z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42106</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עבדאללה וחידי</vt:lpwstr>
  </property>
  <property fmtid="{D5CDD505-2E9C-101B-9397-08002B2CF9AE}" pid="10" name="LAWYER">
    <vt:lpwstr>ליטל שירי;עמית שלף;שרון רבינוביץ'</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20230213</vt:lpwstr>
  </property>
  <property fmtid="{D5CDD505-2E9C-101B-9397-08002B2CF9AE}" pid="14" name="TYPE_N_DATE">
    <vt:lpwstr>39020230213</vt:lpwstr>
  </property>
  <property fmtid="{D5CDD505-2E9C-101B-9397-08002B2CF9AE}" pid="15" name="WORDNUMPAGES">
    <vt:lpwstr>6</vt:lpwstr>
  </property>
  <property fmtid="{D5CDD505-2E9C-101B-9397-08002B2CF9AE}" pid="16" name="TYPE_ABS_DATE">
    <vt:lpwstr>390020230213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27894608;27911638;28152132:2;28452933;27305799;5568354;28513828:2;27491153;25528737;16913730;26568237;27311262;28020685;26986974;26934681</vt:lpwstr>
  </property>
  <property fmtid="{D5CDD505-2E9C-101B-9397-08002B2CF9AE}" pid="36" name="LAWLISTTMP1">
    <vt:lpwstr>70301/144.a</vt:lpwstr>
  </property>
</Properties>
</file>