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28"/>
        <w:gridCol w:w="2852"/>
        <w:gridCol w:w="2279"/>
        <w:gridCol w:w="3559"/>
        <w:gridCol w:w="84"/>
        <w:gridCol w:w="87"/>
      </w:tblGrid>
      <w:tr w:rsidR="008A5C37" w:rsidRPr="00C16C4C" w14:paraId="751E99EA" w14:textId="77777777" w:rsidTr="00121052">
        <w:trPr>
          <w:gridBefore w:val="1"/>
          <w:wBefore w:w="28" w:type="dxa"/>
          <w:trHeight w:hRule="exact" w:val="418"/>
          <w:jc w:val="center"/>
        </w:trPr>
        <w:tc>
          <w:tcPr>
            <w:tcW w:w="8861" w:type="dxa"/>
            <w:gridSpan w:val="5"/>
          </w:tcPr>
          <w:p w14:paraId="54A5BBB3" w14:textId="77777777" w:rsidR="008A5C37" w:rsidRPr="00C16C4C" w:rsidRDefault="008A5C37" w:rsidP="007218B1">
            <w:pPr>
              <w:pStyle w:val="a3"/>
              <w:jc w:val="center"/>
              <w:rPr>
                <w:rFonts w:ascii="Tahoma" w:hAnsi="Tahoma" w:cs="Tahoma"/>
                <w:color w:val="000080"/>
                <w:rtl/>
              </w:rPr>
            </w:pPr>
            <w:r w:rsidRPr="00C16C4C">
              <w:rPr>
                <w:rFonts w:ascii="Tahoma" w:hAnsi="Tahoma" w:cs="Tahoma"/>
                <w:b/>
                <w:bCs/>
                <w:color w:val="000080"/>
                <w:rtl/>
              </w:rPr>
              <w:t>בית המשפט המחוזי בחיפה</w:t>
            </w:r>
          </w:p>
        </w:tc>
      </w:tr>
      <w:tr w:rsidR="008A5C37" w:rsidRPr="00C16C4C" w14:paraId="1D720159" w14:textId="77777777" w:rsidTr="00121052">
        <w:trPr>
          <w:gridBefore w:val="1"/>
          <w:wBefore w:w="28" w:type="dxa"/>
          <w:trHeight w:val="337"/>
          <w:jc w:val="center"/>
        </w:trPr>
        <w:tc>
          <w:tcPr>
            <w:tcW w:w="5131" w:type="dxa"/>
            <w:gridSpan w:val="2"/>
          </w:tcPr>
          <w:p w14:paraId="3203A8AF" w14:textId="77777777" w:rsidR="008A5C37" w:rsidRPr="00C16C4C" w:rsidRDefault="008A5C37" w:rsidP="007218B1">
            <w:pPr>
              <w:rPr>
                <w:rFonts w:cs="FrankRuehl"/>
                <w:sz w:val="28"/>
                <w:szCs w:val="28"/>
                <w:rtl/>
              </w:rPr>
            </w:pPr>
            <w:r w:rsidRPr="00C16C4C">
              <w:rPr>
                <w:rFonts w:cs="FrankRuehl"/>
                <w:sz w:val="28"/>
                <w:szCs w:val="28"/>
                <w:rtl/>
              </w:rPr>
              <w:t>ת"פ</w:t>
            </w:r>
            <w:r w:rsidRPr="00C16C4C">
              <w:rPr>
                <w:rFonts w:cs="FrankRuehl" w:hint="cs"/>
                <w:sz w:val="28"/>
                <w:szCs w:val="28"/>
                <w:rtl/>
              </w:rPr>
              <w:t xml:space="preserve"> </w:t>
            </w:r>
            <w:r w:rsidRPr="00C16C4C">
              <w:rPr>
                <w:rFonts w:cs="FrankRuehl"/>
                <w:sz w:val="28"/>
                <w:szCs w:val="28"/>
                <w:rtl/>
              </w:rPr>
              <w:t>44620-01-22</w:t>
            </w:r>
            <w:r w:rsidRPr="00C16C4C">
              <w:rPr>
                <w:rFonts w:cs="FrankRuehl" w:hint="cs"/>
                <w:sz w:val="28"/>
                <w:szCs w:val="28"/>
                <w:rtl/>
              </w:rPr>
              <w:t xml:space="preserve"> </w:t>
            </w:r>
            <w:r w:rsidRPr="00C16C4C">
              <w:rPr>
                <w:rFonts w:cs="FrankRuehl"/>
                <w:sz w:val="28"/>
                <w:szCs w:val="28"/>
                <w:rtl/>
              </w:rPr>
              <w:t>מדינת ישראל נ' היב(עצור/אסיר בפיקוח)</w:t>
            </w:r>
          </w:p>
          <w:p w14:paraId="516B1305" w14:textId="77777777" w:rsidR="008A5C37" w:rsidRPr="00C16C4C" w:rsidRDefault="008A5C37" w:rsidP="007218B1">
            <w:pPr>
              <w:pStyle w:val="a3"/>
              <w:rPr>
                <w:rFonts w:cs="FrankRuehl"/>
                <w:sz w:val="28"/>
                <w:szCs w:val="28"/>
                <w:rtl/>
              </w:rPr>
            </w:pPr>
          </w:p>
        </w:tc>
        <w:tc>
          <w:tcPr>
            <w:tcW w:w="3730" w:type="dxa"/>
            <w:gridSpan w:val="3"/>
          </w:tcPr>
          <w:p w14:paraId="13C591AB" w14:textId="77777777" w:rsidR="008A5C37" w:rsidRPr="00C16C4C" w:rsidRDefault="008A5C37" w:rsidP="007218B1">
            <w:pPr>
              <w:pStyle w:val="a3"/>
              <w:jc w:val="right"/>
              <w:rPr>
                <w:rFonts w:cs="FrankRuehl"/>
                <w:sz w:val="28"/>
                <w:szCs w:val="28"/>
                <w:rtl/>
              </w:rPr>
            </w:pPr>
          </w:p>
        </w:tc>
      </w:tr>
      <w:tr w:rsidR="008A5C37" w:rsidRPr="00C16C4C" w14:paraId="5CAF1CE8" w14:textId="77777777" w:rsidTr="00121052">
        <w:tblPrEx>
          <w:jc w:val="left"/>
          <w:tblInd w:w="-28" w:type="dxa"/>
          <w:tblLook w:val="01E0" w:firstRow="1" w:lastRow="1" w:firstColumn="1" w:lastColumn="1" w:noHBand="0" w:noVBand="0"/>
        </w:tblPrEx>
        <w:trPr>
          <w:gridAfter w:val="2"/>
          <w:wAfter w:w="171" w:type="dxa"/>
        </w:trPr>
        <w:tc>
          <w:tcPr>
            <w:tcW w:w="8718" w:type="dxa"/>
            <w:gridSpan w:val="4"/>
            <w:shd w:val="clear" w:color="auto" w:fill="auto"/>
          </w:tcPr>
          <w:p w14:paraId="39AA7DF6" w14:textId="77777777" w:rsidR="008A5C37" w:rsidRPr="00C16C4C" w:rsidRDefault="008A5C37" w:rsidP="008A5C37">
            <w:pPr>
              <w:jc w:val="both"/>
              <w:rPr>
                <w:b/>
                <w:bCs/>
                <w:sz w:val="26"/>
                <w:szCs w:val="26"/>
                <w:rtl/>
              </w:rPr>
            </w:pPr>
            <w:r w:rsidRPr="00C16C4C">
              <w:rPr>
                <w:rFonts w:hint="cs"/>
                <w:rtl/>
              </w:rPr>
              <w:t xml:space="preserve"> </w:t>
            </w:r>
            <w:r w:rsidRPr="00C16C4C">
              <w:rPr>
                <w:rFonts w:hint="cs"/>
                <w:b/>
                <w:bCs/>
                <w:sz w:val="26"/>
                <w:szCs w:val="26"/>
                <w:rtl/>
              </w:rPr>
              <w:t>לפני כבוד השופטת דיאנה סלע</w:t>
            </w:r>
            <w:r w:rsidRPr="00C16C4C">
              <w:rPr>
                <w:rStyle w:val="TimesNewRomanTimesNewRoman"/>
                <w:rFonts w:hint="cs"/>
                <w:rtl/>
              </w:rPr>
              <w:t>, סגנית נשיא</w:t>
            </w:r>
          </w:p>
        </w:tc>
      </w:tr>
      <w:tr w:rsidR="008A5C37" w:rsidRPr="00C16C4C" w14:paraId="2E964931" w14:textId="77777777" w:rsidTr="00121052">
        <w:tblPrEx>
          <w:jc w:val="left"/>
          <w:tblInd w:w="-28" w:type="dxa"/>
          <w:tblLook w:val="01E0" w:firstRow="1" w:lastRow="1" w:firstColumn="1" w:lastColumn="1" w:noHBand="0" w:noVBand="0"/>
        </w:tblPrEx>
        <w:trPr>
          <w:gridAfter w:val="1"/>
          <w:wAfter w:w="87" w:type="dxa"/>
          <w:cantSplit/>
          <w:trHeight w:val="145"/>
        </w:trPr>
        <w:tc>
          <w:tcPr>
            <w:tcW w:w="2880" w:type="dxa"/>
            <w:gridSpan w:val="2"/>
            <w:shd w:val="clear" w:color="auto" w:fill="auto"/>
          </w:tcPr>
          <w:p w14:paraId="44F4E89E" w14:textId="77777777" w:rsidR="008A5C37" w:rsidRPr="00C16C4C" w:rsidRDefault="008A5C37" w:rsidP="008A5C37">
            <w:pPr>
              <w:ind w:left="26"/>
              <w:jc w:val="both"/>
              <w:rPr>
                <w:b/>
                <w:bCs/>
                <w:sz w:val="26"/>
                <w:szCs w:val="26"/>
                <w:rtl/>
              </w:rPr>
            </w:pPr>
            <w:bookmarkStart w:id="0" w:name="FirstAppellant"/>
            <w:bookmarkStart w:id="1" w:name="LastJudge"/>
            <w:bookmarkEnd w:id="1"/>
          </w:p>
          <w:p w14:paraId="028CC44D" w14:textId="77777777" w:rsidR="008A5C37" w:rsidRPr="00C16C4C" w:rsidRDefault="008A5C37" w:rsidP="008A5C37">
            <w:pPr>
              <w:ind w:left="26"/>
              <w:jc w:val="both"/>
              <w:rPr>
                <w:b/>
                <w:bCs/>
                <w:sz w:val="26"/>
                <w:szCs w:val="26"/>
                <w:rtl/>
              </w:rPr>
            </w:pPr>
            <w:r w:rsidRPr="00C16C4C">
              <w:rPr>
                <w:rFonts w:hint="cs"/>
                <w:b/>
                <w:bCs/>
                <w:sz w:val="26"/>
                <w:szCs w:val="26"/>
                <w:rtl/>
              </w:rPr>
              <w:t>המאשימה</w:t>
            </w:r>
          </w:p>
        </w:tc>
        <w:tc>
          <w:tcPr>
            <w:tcW w:w="5922" w:type="dxa"/>
            <w:gridSpan w:val="3"/>
            <w:shd w:val="clear" w:color="auto" w:fill="auto"/>
          </w:tcPr>
          <w:p w14:paraId="6D537BB6" w14:textId="77777777" w:rsidR="008A5C37" w:rsidRPr="00C16C4C" w:rsidRDefault="008A5C37" w:rsidP="008A5C37">
            <w:pPr>
              <w:jc w:val="both"/>
              <w:rPr>
                <w:rtl/>
              </w:rPr>
            </w:pPr>
          </w:p>
          <w:p w14:paraId="36BDE8BC" w14:textId="77777777" w:rsidR="008A5C37" w:rsidRPr="00C16C4C" w:rsidRDefault="008A5C37" w:rsidP="008A5C37">
            <w:pPr>
              <w:jc w:val="both"/>
              <w:rPr>
                <w:b/>
                <w:bCs/>
                <w:sz w:val="26"/>
                <w:szCs w:val="26"/>
                <w:rtl/>
              </w:rPr>
            </w:pPr>
            <w:r w:rsidRPr="00C16C4C">
              <w:rPr>
                <w:rFonts w:hint="cs"/>
                <w:b/>
                <w:bCs/>
                <w:sz w:val="26"/>
                <w:szCs w:val="26"/>
                <w:rtl/>
              </w:rPr>
              <w:t>מדינת ישראל</w:t>
            </w:r>
            <w:r w:rsidRPr="00C16C4C">
              <w:rPr>
                <w:b/>
                <w:bCs/>
                <w:sz w:val="26"/>
                <w:szCs w:val="26"/>
                <w:rtl/>
              </w:rPr>
              <w:t xml:space="preserve"> </w:t>
            </w:r>
          </w:p>
        </w:tc>
      </w:tr>
      <w:bookmarkEnd w:id="0"/>
      <w:tr w:rsidR="008A5C37" w:rsidRPr="00C16C4C" w14:paraId="0AE2A812" w14:textId="77777777" w:rsidTr="00121052">
        <w:tblPrEx>
          <w:jc w:val="left"/>
          <w:tblInd w:w="-28" w:type="dxa"/>
          <w:tblLook w:val="01E0" w:firstRow="1" w:lastRow="1" w:firstColumn="1" w:lastColumn="1" w:noHBand="0" w:noVBand="0"/>
        </w:tblPrEx>
        <w:trPr>
          <w:gridAfter w:val="1"/>
          <w:wAfter w:w="87" w:type="dxa"/>
        </w:trPr>
        <w:tc>
          <w:tcPr>
            <w:tcW w:w="8802" w:type="dxa"/>
            <w:gridSpan w:val="5"/>
            <w:shd w:val="clear" w:color="auto" w:fill="auto"/>
            <w:vAlign w:val="center"/>
          </w:tcPr>
          <w:p w14:paraId="5682AEEC" w14:textId="77777777" w:rsidR="008A5C37" w:rsidRPr="00C16C4C" w:rsidRDefault="008A5C37" w:rsidP="008A5C37">
            <w:pPr>
              <w:jc w:val="center"/>
              <w:rPr>
                <w:rFonts w:ascii="Arial" w:hAnsi="Arial"/>
                <w:b/>
                <w:bCs/>
                <w:sz w:val="14"/>
                <w:szCs w:val="14"/>
                <w:rtl/>
              </w:rPr>
            </w:pPr>
          </w:p>
          <w:p w14:paraId="6E7D7091" w14:textId="77777777" w:rsidR="008A5C37" w:rsidRPr="00C16C4C" w:rsidRDefault="008A5C37" w:rsidP="008A5C37">
            <w:pPr>
              <w:jc w:val="center"/>
              <w:rPr>
                <w:rFonts w:ascii="Arial" w:hAnsi="Arial"/>
                <w:b/>
                <w:bCs/>
                <w:sz w:val="26"/>
                <w:szCs w:val="26"/>
                <w:rtl/>
              </w:rPr>
            </w:pPr>
            <w:r w:rsidRPr="00C16C4C">
              <w:rPr>
                <w:rFonts w:ascii="Arial" w:hAnsi="Arial" w:hint="cs"/>
                <w:b/>
                <w:bCs/>
                <w:sz w:val="26"/>
                <w:szCs w:val="26"/>
                <w:rtl/>
              </w:rPr>
              <w:t>נגד</w:t>
            </w:r>
          </w:p>
          <w:p w14:paraId="5D546CE6" w14:textId="77777777" w:rsidR="008A5C37" w:rsidRPr="00C16C4C" w:rsidRDefault="008A5C37" w:rsidP="007218B1">
            <w:pPr>
              <w:rPr>
                <w:rFonts w:ascii="Arial" w:hAnsi="Arial"/>
                <w:b/>
                <w:bCs/>
                <w:sz w:val="26"/>
                <w:szCs w:val="26"/>
                <w:rtl/>
              </w:rPr>
            </w:pPr>
          </w:p>
        </w:tc>
      </w:tr>
      <w:tr w:rsidR="008A5C37" w:rsidRPr="00C16C4C" w14:paraId="676F6EC1" w14:textId="77777777" w:rsidTr="00121052">
        <w:tblPrEx>
          <w:jc w:val="left"/>
          <w:tblInd w:w="-28" w:type="dxa"/>
          <w:tblLook w:val="01E0" w:firstRow="1" w:lastRow="1" w:firstColumn="1" w:lastColumn="1" w:noHBand="0" w:noVBand="0"/>
        </w:tblPrEx>
        <w:trPr>
          <w:gridAfter w:val="1"/>
          <w:wAfter w:w="87" w:type="dxa"/>
        </w:trPr>
        <w:tc>
          <w:tcPr>
            <w:tcW w:w="2880" w:type="dxa"/>
            <w:gridSpan w:val="2"/>
            <w:shd w:val="clear" w:color="auto" w:fill="auto"/>
          </w:tcPr>
          <w:p w14:paraId="34567F53" w14:textId="77777777" w:rsidR="008A5C37" w:rsidRPr="00C16C4C" w:rsidRDefault="008A5C37" w:rsidP="008A5C37">
            <w:pPr>
              <w:ind w:left="26"/>
              <w:jc w:val="both"/>
              <w:rPr>
                <w:b/>
                <w:bCs/>
                <w:sz w:val="26"/>
                <w:szCs w:val="26"/>
                <w:rtl/>
              </w:rPr>
            </w:pPr>
            <w:r w:rsidRPr="00C16C4C">
              <w:rPr>
                <w:rFonts w:hint="cs"/>
                <w:b/>
                <w:bCs/>
                <w:sz w:val="26"/>
                <w:szCs w:val="26"/>
                <w:rtl/>
              </w:rPr>
              <w:t>הנאשם</w:t>
            </w:r>
          </w:p>
        </w:tc>
        <w:tc>
          <w:tcPr>
            <w:tcW w:w="5922" w:type="dxa"/>
            <w:gridSpan w:val="3"/>
            <w:shd w:val="clear" w:color="auto" w:fill="auto"/>
          </w:tcPr>
          <w:p w14:paraId="755F633F" w14:textId="77777777" w:rsidR="008A5C37" w:rsidRPr="00C16C4C" w:rsidRDefault="008A5C37" w:rsidP="008A5C37">
            <w:pPr>
              <w:jc w:val="both"/>
              <w:rPr>
                <w:b/>
                <w:bCs/>
                <w:sz w:val="26"/>
                <w:szCs w:val="26"/>
                <w:rtl/>
              </w:rPr>
            </w:pPr>
            <w:r w:rsidRPr="00C16C4C">
              <w:rPr>
                <w:rFonts w:hint="cs"/>
                <w:b/>
                <w:bCs/>
                <w:sz w:val="26"/>
                <w:szCs w:val="26"/>
                <w:rtl/>
              </w:rPr>
              <w:t>מוחמד היב,</w:t>
            </w:r>
            <w:r w:rsidRPr="00C16C4C">
              <w:rPr>
                <w:rtl/>
              </w:rPr>
              <w:t xml:space="preserve"> </w:t>
            </w:r>
            <w:r w:rsidRPr="00C16C4C">
              <w:rPr>
                <w:rFonts w:ascii="David" w:hAnsi="David" w:hint="cs"/>
                <w:b/>
                <w:bCs/>
                <w:sz w:val="26"/>
                <w:szCs w:val="26"/>
                <w:rtl/>
              </w:rPr>
              <w:t xml:space="preserve">ת"ז </w:t>
            </w:r>
            <w:r w:rsidR="00C16C4C">
              <w:rPr>
                <w:rFonts w:ascii="David" w:hAnsi="David"/>
                <w:b/>
                <w:bCs/>
                <w:sz w:val="26"/>
                <w:szCs w:val="26"/>
              </w:rPr>
              <w:t>xxxxxxxxxx</w:t>
            </w:r>
            <w:r w:rsidRPr="00C16C4C">
              <w:rPr>
                <w:rFonts w:hint="cs"/>
                <w:b/>
                <w:bCs/>
                <w:sz w:val="26"/>
                <w:szCs w:val="26"/>
                <w:rtl/>
              </w:rPr>
              <w:t>(עצור בפיקוח)</w:t>
            </w:r>
          </w:p>
        </w:tc>
      </w:tr>
    </w:tbl>
    <w:p w14:paraId="38F8E085" w14:textId="77777777" w:rsidR="00121052" w:rsidRDefault="00121052" w:rsidP="00C16C4C">
      <w:pPr>
        <w:rPr>
          <w:rFonts w:ascii="Arial" w:hAnsi="Arial"/>
          <w:sz w:val="26"/>
          <w:szCs w:val="26"/>
          <w:rtl/>
        </w:rPr>
      </w:pPr>
    </w:p>
    <w:p w14:paraId="3ECA1234" w14:textId="77777777" w:rsidR="00121052" w:rsidRPr="00121052" w:rsidRDefault="00121052" w:rsidP="00121052">
      <w:pPr>
        <w:spacing w:after="120" w:line="240" w:lineRule="exact"/>
        <w:ind w:left="283" w:hanging="283"/>
        <w:jc w:val="both"/>
        <w:rPr>
          <w:rFonts w:ascii="FrankRuehl" w:hAnsi="FrankRuehl" w:cs="FrankRuehl"/>
          <w:rtl/>
        </w:rPr>
      </w:pPr>
    </w:p>
    <w:p w14:paraId="69291E18" w14:textId="77777777" w:rsidR="006E2E59" w:rsidRPr="006E2E59" w:rsidRDefault="006E2E59" w:rsidP="006E2E59">
      <w:pPr>
        <w:spacing w:before="120" w:after="120" w:line="240" w:lineRule="exact"/>
        <w:ind w:left="283" w:hanging="283"/>
        <w:jc w:val="both"/>
        <w:rPr>
          <w:rFonts w:ascii="FrankRuehl" w:hAnsi="FrankRuehl" w:cs="FrankRuehl"/>
          <w:rtl/>
        </w:rPr>
      </w:pPr>
    </w:p>
    <w:p w14:paraId="69746A50" w14:textId="77777777" w:rsidR="00F9369C" w:rsidRDefault="00F9369C" w:rsidP="00F9369C">
      <w:pPr>
        <w:rPr>
          <w:rFonts w:ascii="Arial" w:hAnsi="Arial"/>
          <w:sz w:val="26"/>
          <w:szCs w:val="26"/>
          <w:rtl/>
        </w:rPr>
      </w:pPr>
      <w:bookmarkStart w:id="2" w:name="LawTable"/>
      <w:bookmarkEnd w:id="2"/>
    </w:p>
    <w:p w14:paraId="321F78F9" w14:textId="77777777" w:rsidR="00F9369C" w:rsidRPr="00F9369C" w:rsidRDefault="00F9369C" w:rsidP="00F9369C">
      <w:pPr>
        <w:spacing w:before="120" w:after="120" w:line="240" w:lineRule="exact"/>
        <w:ind w:left="283" w:hanging="283"/>
        <w:jc w:val="both"/>
        <w:rPr>
          <w:rFonts w:ascii="FrankRuehl" w:hAnsi="FrankRuehl" w:cs="FrankRuehl"/>
          <w:rtl/>
        </w:rPr>
      </w:pPr>
    </w:p>
    <w:p w14:paraId="7C70B03C" w14:textId="77777777" w:rsidR="00F9369C" w:rsidRPr="00F9369C" w:rsidRDefault="00F9369C" w:rsidP="00F9369C">
      <w:pPr>
        <w:spacing w:before="120" w:after="120" w:line="240" w:lineRule="exact"/>
        <w:ind w:left="283" w:hanging="283"/>
        <w:jc w:val="both"/>
        <w:rPr>
          <w:rFonts w:ascii="FrankRuehl" w:hAnsi="FrankRuehl" w:cs="FrankRuehl"/>
          <w:rtl/>
        </w:rPr>
      </w:pPr>
    </w:p>
    <w:p w14:paraId="0A25EE74" w14:textId="77777777" w:rsidR="00F9369C" w:rsidRPr="00F9369C" w:rsidRDefault="00F9369C" w:rsidP="00F9369C">
      <w:pPr>
        <w:spacing w:before="120" w:after="120" w:line="240" w:lineRule="exact"/>
        <w:ind w:left="283" w:hanging="283"/>
        <w:jc w:val="both"/>
        <w:rPr>
          <w:rFonts w:ascii="FrankRuehl" w:hAnsi="FrankRuehl" w:cs="FrankRuehl"/>
          <w:rtl/>
        </w:rPr>
      </w:pPr>
      <w:r w:rsidRPr="00F9369C">
        <w:rPr>
          <w:rFonts w:ascii="FrankRuehl" w:hAnsi="FrankRuehl" w:cs="FrankRuehl"/>
          <w:rtl/>
        </w:rPr>
        <w:t xml:space="preserve">חקיקה שאוזכרה: </w:t>
      </w:r>
    </w:p>
    <w:p w14:paraId="6C3986F8" w14:textId="77777777" w:rsidR="00F9369C" w:rsidRPr="00F9369C" w:rsidRDefault="00F9369C" w:rsidP="00F9369C">
      <w:pPr>
        <w:spacing w:before="120" w:after="120" w:line="240" w:lineRule="exact"/>
        <w:ind w:left="283" w:hanging="283"/>
        <w:jc w:val="both"/>
        <w:rPr>
          <w:rFonts w:ascii="FrankRuehl" w:hAnsi="FrankRuehl" w:cs="FrankRuehl"/>
          <w:rtl/>
        </w:rPr>
      </w:pPr>
      <w:hyperlink r:id="rId6" w:history="1">
        <w:r w:rsidRPr="00F9369C">
          <w:rPr>
            <w:rFonts w:ascii="FrankRuehl" w:hAnsi="FrankRuehl" w:cs="FrankRuehl"/>
            <w:color w:val="0000FF"/>
            <w:rtl/>
          </w:rPr>
          <w:t>חוק העונשין, תשל"ז-1977</w:t>
        </w:r>
      </w:hyperlink>
      <w:r w:rsidRPr="00F9369C">
        <w:rPr>
          <w:rFonts w:ascii="FrankRuehl" w:hAnsi="FrankRuehl" w:cs="FrankRuehl"/>
          <w:rtl/>
        </w:rPr>
        <w:t xml:space="preserve">: סע'  </w:t>
      </w:r>
      <w:hyperlink r:id="rId7" w:history="1">
        <w:r w:rsidRPr="00F9369C">
          <w:rPr>
            <w:rFonts w:ascii="FrankRuehl" w:hAnsi="FrankRuehl" w:cs="FrankRuehl"/>
            <w:color w:val="0000FF"/>
            <w:rtl/>
          </w:rPr>
          <w:t>29</w:t>
        </w:r>
      </w:hyperlink>
      <w:r w:rsidRPr="00F9369C">
        <w:rPr>
          <w:rFonts w:ascii="FrankRuehl" w:hAnsi="FrankRuehl" w:cs="FrankRuehl"/>
          <w:rtl/>
        </w:rPr>
        <w:t xml:space="preserve">, </w:t>
      </w:r>
      <w:hyperlink r:id="rId8" w:history="1">
        <w:r w:rsidRPr="00F9369C">
          <w:rPr>
            <w:rFonts w:ascii="FrankRuehl" w:hAnsi="FrankRuehl" w:cs="FrankRuehl"/>
            <w:color w:val="0000FF"/>
            <w:rtl/>
          </w:rPr>
          <w:t>40</w:t>
        </w:r>
      </w:hyperlink>
      <w:r w:rsidRPr="00F9369C">
        <w:rPr>
          <w:rFonts w:ascii="FrankRuehl" w:hAnsi="FrankRuehl" w:cs="FrankRuehl"/>
          <w:rtl/>
        </w:rPr>
        <w:t xml:space="preserve">, </w:t>
      </w:r>
      <w:hyperlink r:id="rId9" w:history="1">
        <w:r w:rsidRPr="00F9369C">
          <w:rPr>
            <w:rFonts w:ascii="FrankRuehl" w:hAnsi="FrankRuehl" w:cs="FrankRuehl"/>
            <w:color w:val="0000FF"/>
            <w:rtl/>
          </w:rPr>
          <w:t>40ג</w:t>
        </w:r>
      </w:hyperlink>
      <w:r w:rsidRPr="00F9369C">
        <w:rPr>
          <w:rFonts w:ascii="FrankRuehl" w:hAnsi="FrankRuehl" w:cs="FrankRuehl"/>
          <w:rtl/>
        </w:rPr>
        <w:t xml:space="preserve">, </w:t>
      </w:r>
      <w:hyperlink r:id="rId10" w:history="1">
        <w:r w:rsidRPr="00F9369C">
          <w:rPr>
            <w:rFonts w:ascii="FrankRuehl" w:hAnsi="FrankRuehl" w:cs="FrankRuehl"/>
            <w:color w:val="0000FF"/>
            <w:rtl/>
          </w:rPr>
          <w:t>40ז</w:t>
        </w:r>
      </w:hyperlink>
      <w:r w:rsidRPr="00F9369C">
        <w:rPr>
          <w:rFonts w:ascii="FrankRuehl" w:hAnsi="FrankRuehl" w:cs="FrankRuehl"/>
          <w:rtl/>
        </w:rPr>
        <w:t xml:space="preserve">, </w:t>
      </w:r>
      <w:hyperlink r:id="rId11" w:history="1">
        <w:r w:rsidRPr="00F9369C">
          <w:rPr>
            <w:rFonts w:ascii="FrankRuehl" w:hAnsi="FrankRuehl" w:cs="FrankRuehl"/>
            <w:color w:val="0000FF"/>
            <w:rtl/>
          </w:rPr>
          <w:t>40ט</w:t>
        </w:r>
      </w:hyperlink>
      <w:r w:rsidRPr="00F9369C">
        <w:rPr>
          <w:rFonts w:ascii="FrankRuehl" w:hAnsi="FrankRuehl" w:cs="FrankRuehl"/>
          <w:rtl/>
        </w:rPr>
        <w:t xml:space="preserve">, </w:t>
      </w:r>
      <w:hyperlink r:id="rId12" w:history="1">
        <w:r w:rsidRPr="00F9369C">
          <w:rPr>
            <w:rFonts w:ascii="FrankRuehl" w:hAnsi="FrankRuehl" w:cs="FrankRuehl"/>
            <w:color w:val="0000FF"/>
            <w:rtl/>
          </w:rPr>
          <w:t>40ט(א)</w:t>
        </w:r>
      </w:hyperlink>
      <w:r w:rsidRPr="00F9369C">
        <w:rPr>
          <w:rFonts w:ascii="FrankRuehl" w:hAnsi="FrankRuehl" w:cs="FrankRuehl"/>
          <w:rtl/>
        </w:rPr>
        <w:t xml:space="preserve">, </w:t>
      </w:r>
      <w:hyperlink r:id="rId13" w:history="1">
        <w:r w:rsidRPr="00F9369C">
          <w:rPr>
            <w:rFonts w:ascii="FrankRuehl" w:hAnsi="FrankRuehl" w:cs="FrankRuehl"/>
            <w:color w:val="0000FF"/>
            <w:rtl/>
          </w:rPr>
          <w:t>144(א)</w:t>
        </w:r>
      </w:hyperlink>
      <w:r w:rsidRPr="00F9369C">
        <w:rPr>
          <w:rFonts w:ascii="FrankRuehl" w:hAnsi="FrankRuehl" w:cs="FrankRuehl"/>
          <w:rtl/>
        </w:rPr>
        <w:t xml:space="preserve">, </w:t>
      </w:r>
      <w:hyperlink r:id="rId14" w:history="1">
        <w:r w:rsidRPr="00F9369C">
          <w:rPr>
            <w:rFonts w:ascii="FrankRuehl" w:hAnsi="FrankRuehl" w:cs="FrankRuehl"/>
            <w:color w:val="0000FF"/>
            <w:rtl/>
          </w:rPr>
          <w:t>144(ב)</w:t>
        </w:r>
      </w:hyperlink>
      <w:r w:rsidRPr="00F9369C">
        <w:rPr>
          <w:rFonts w:ascii="FrankRuehl" w:hAnsi="FrankRuehl" w:cs="FrankRuehl"/>
          <w:rtl/>
        </w:rPr>
        <w:t xml:space="preserve">, </w:t>
      </w:r>
      <w:hyperlink r:id="rId15" w:history="1">
        <w:r w:rsidRPr="00F9369C">
          <w:rPr>
            <w:rFonts w:ascii="FrankRuehl" w:hAnsi="FrankRuehl" w:cs="FrankRuehl"/>
            <w:color w:val="0000FF"/>
            <w:rtl/>
          </w:rPr>
          <w:t>340א</w:t>
        </w:r>
      </w:hyperlink>
      <w:r w:rsidRPr="00F9369C">
        <w:rPr>
          <w:rFonts w:ascii="FrankRuehl" w:hAnsi="FrankRuehl" w:cs="FrankRuehl"/>
          <w:rtl/>
        </w:rPr>
        <w:t xml:space="preserve">, </w:t>
      </w:r>
      <w:hyperlink r:id="rId16" w:history="1">
        <w:r w:rsidRPr="00F9369C">
          <w:rPr>
            <w:rFonts w:ascii="FrankRuehl" w:hAnsi="FrankRuehl" w:cs="FrankRuehl"/>
            <w:color w:val="0000FF"/>
            <w:rtl/>
          </w:rPr>
          <w:t>340א(א)</w:t>
        </w:r>
      </w:hyperlink>
      <w:r w:rsidRPr="00F9369C">
        <w:rPr>
          <w:rFonts w:ascii="FrankRuehl" w:hAnsi="FrankRuehl" w:cs="FrankRuehl"/>
          <w:rtl/>
        </w:rPr>
        <w:t xml:space="preserve">, </w:t>
      </w:r>
      <w:hyperlink r:id="rId17" w:history="1">
        <w:r w:rsidRPr="00F9369C">
          <w:rPr>
            <w:rFonts w:ascii="FrankRuehl" w:hAnsi="FrankRuehl" w:cs="FrankRuehl"/>
            <w:color w:val="0000FF"/>
            <w:rtl/>
          </w:rPr>
          <w:t>340א(ב)</w:t>
        </w:r>
      </w:hyperlink>
      <w:r w:rsidRPr="00F9369C">
        <w:rPr>
          <w:rFonts w:ascii="FrankRuehl" w:hAnsi="FrankRuehl" w:cs="FrankRuehl"/>
          <w:rtl/>
        </w:rPr>
        <w:t xml:space="preserve">, </w:t>
      </w:r>
      <w:hyperlink r:id="rId18" w:history="1">
        <w:r w:rsidRPr="00F9369C">
          <w:rPr>
            <w:rFonts w:ascii="FrankRuehl" w:hAnsi="FrankRuehl" w:cs="FrankRuehl"/>
            <w:color w:val="0000FF"/>
            <w:rtl/>
          </w:rPr>
          <w:t>340א(ב)(1))</w:t>
        </w:r>
      </w:hyperlink>
      <w:r w:rsidRPr="00F9369C">
        <w:rPr>
          <w:rFonts w:ascii="FrankRuehl" w:hAnsi="FrankRuehl" w:cs="FrankRuehl"/>
          <w:rtl/>
        </w:rPr>
        <w:t xml:space="preserve">, </w:t>
      </w:r>
      <w:hyperlink r:id="rId19" w:history="1">
        <w:r w:rsidRPr="00F9369C">
          <w:rPr>
            <w:rFonts w:ascii="FrankRuehl" w:hAnsi="FrankRuehl" w:cs="FrankRuehl"/>
            <w:color w:val="0000FF"/>
            <w:rtl/>
          </w:rPr>
          <w:t>340א(ב(2))</w:t>
        </w:r>
      </w:hyperlink>
    </w:p>
    <w:p w14:paraId="75FBC616" w14:textId="77777777" w:rsidR="00F9369C" w:rsidRPr="00F9369C" w:rsidRDefault="00F9369C" w:rsidP="00F9369C">
      <w:pPr>
        <w:rPr>
          <w:rFonts w:ascii="Arial" w:hAnsi="Arial"/>
          <w:sz w:val="26"/>
          <w:szCs w:val="26"/>
          <w:rtl/>
        </w:rPr>
      </w:pPr>
      <w:bookmarkStart w:id="3" w:name="LawTable_End"/>
      <w:bookmarkEnd w:id="3"/>
    </w:p>
    <w:p w14:paraId="56EB2CB5" w14:textId="77777777" w:rsidR="008A5C37" w:rsidRPr="006E2E59" w:rsidRDefault="008A5C37" w:rsidP="006E2E59">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A5C37" w14:paraId="3A1073F8" w14:textId="77777777" w:rsidTr="008A5C37">
        <w:trPr>
          <w:trHeight w:val="355"/>
          <w:jc w:val="center"/>
        </w:trPr>
        <w:tc>
          <w:tcPr>
            <w:tcW w:w="8820" w:type="dxa"/>
            <w:tcBorders>
              <w:top w:val="nil"/>
              <w:left w:val="nil"/>
              <w:bottom w:val="nil"/>
              <w:right w:val="nil"/>
            </w:tcBorders>
            <w:shd w:val="clear" w:color="auto" w:fill="auto"/>
          </w:tcPr>
          <w:p w14:paraId="171EF931" w14:textId="77777777" w:rsidR="00C16C4C" w:rsidRPr="00C16C4C" w:rsidRDefault="00C16C4C" w:rsidP="00C16C4C">
            <w:pPr>
              <w:jc w:val="center"/>
              <w:rPr>
                <w:rFonts w:ascii="David" w:hAnsi="David"/>
                <w:b/>
                <w:bCs/>
                <w:sz w:val="32"/>
                <w:szCs w:val="32"/>
                <w:u w:val="single"/>
                <w:rtl/>
              </w:rPr>
            </w:pPr>
            <w:bookmarkStart w:id="4" w:name="PsakDin" w:colFirst="0" w:colLast="0"/>
            <w:r w:rsidRPr="00C16C4C">
              <w:rPr>
                <w:rFonts w:ascii="David" w:hAnsi="David"/>
                <w:b/>
                <w:bCs/>
                <w:sz w:val="32"/>
                <w:szCs w:val="32"/>
                <w:u w:val="single"/>
                <w:rtl/>
              </w:rPr>
              <w:t>גזר דין</w:t>
            </w:r>
          </w:p>
          <w:p w14:paraId="1A4A93B0" w14:textId="77777777" w:rsidR="008A5C37" w:rsidRPr="00C16C4C" w:rsidRDefault="008A5C37" w:rsidP="00C16C4C">
            <w:pPr>
              <w:jc w:val="center"/>
              <w:rPr>
                <w:rFonts w:ascii="David" w:hAnsi="David"/>
                <w:bCs/>
                <w:sz w:val="32"/>
                <w:szCs w:val="32"/>
                <w:u w:val="single"/>
                <w:rtl/>
              </w:rPr>
            </w:pPr>
          </w:p>
        </w:tc>
      </w:tr>
      <w:bookmarkEnd w:id="4"/>
    </w:tbl>
    <w:p w14:paraId="243DD14E" w14:textId="77777777" w:rsidR="008A5C37" w:rsidRPr="000F2247" w:rsidRDefault="008A5C37" w:rsidP="008A5C37">
      <w:pPr>
        <w:rPr>
          <w:rFonts w:ascii="Arial" w:hAnsi="Arial"/>
          <w:b/>
          <w:bCs/>
          <w:sz w:val="26"/>
          <w:szCs w:val="26"/>
          <w:rtl/>
        </w:rPr>
      </w:pPr>
    </w:p>
    <w:p w14:paraId="72935980" w14:textId="77777777" w:rsidR="008A5C37" w:rsidRDefault="008A5C37" w:rsidP="008A5C37">
      <w:pPr>
        <w:rPr>
          <w:rFonts w:ascii="Arial" w:hAnsi="Arial"/>
          <w:b/>
          <w:bCs/>
          <w:sz w:val="16"/>
          <w:szCs w:val="16"/>
        </w:rPr>
      </w:pPr>
      <w:bookmarkStart w:id="5" w:name="ABSTRACT_START"/>
      <w:bookmarkEnd w:id="5"/>
    </w:p>
    <w:p w14:paraId="19DD7E3C" w14:textId="77777777" w:rsidR="008A5C37" w:rsidRDefault="008A5C37" w:rsidP="008A5C37">
      <w:pPr>
        <w:spacing w:line="360" w:lineRule="auto"/>
        <w:ind w:left="720" w:hanging="720"/>
        <w:jc w:val="both"/>
        <w:rPr>
          <w:rFonts w:ascii="David" w:hAnsi="David"/>
          <w:rtl/>
        </w:rPr>
      </w:pPr>
      <w:r>
        <w:rPr>
          <w:b/>
          <w:bCs/>
          <w:rtl/>
        </w:rPr>
        <w:t>1</w:t>
      </w:r>
      <w:r>
        <w:rPr>
          <w:rtl/>
        </w:rPr>
        <w:t>.</w:t>
      </w:r>
      <w:r>
        <w:rPr>
          <w:rtl/>
        </w:rPr>
        <w:tab/>
        <w:t xml:space="preserve">הנאשם, יליד 1/10/91, הורשע על יסוד הודייתו בעובדות כתב האישום, אשר תוקן במסגרת הסדר טיעון, בעבירות בנשק </w:t>
      </w:r>
      <w:r>
        <w:rPr>
          <w:rFonts w:ascii="David" w:hAnsi="David"/>
          <w:b/>
          <w:bCs/>
          <w:rtl/>
        </w:rPr>
        <w:t xml:space="preserve">– </w:t>
      </w:r>
      <w:r>
        <w:rPr>
          <w:rFonts w:ascii="David" w:hAnsi="David"/>
          <w:rtl/>
        </w:rPr>
        <w:t xml:space="preserve">לפי </w:t>
      </w:r>
      <w:hyperlink r:id="rId20" w:history="1">
        <w:r w:rsidR="00121052" w:rsidRPr="00121052">
          <w:rPr>
            <w:rStyle w:val="Hyperlink"/>
            <w:rFonts w:ascii="David" w:hAnsi="David"/>
            <w:rtl/>
          </w:rPr>
          <w:t>סעיף 144(א)</w:t>
        </w:r>
      </w:hyperlink>
      <w:r>
        <w:rPr>
          <w:rFonts w:ascii="David" w:hAnsi="David"/>
          <w:rtl/>
        </w:rPr>
        <w:t xml:space="preserve"> (רישא וסיפא) + </w:t>
      </w:r>
      <w:hyperlink r:id="rId21" w:history="1">
        <w:r w:rsidR="00121052" w:rsidRPr="00121052">
          <w:rPr>
            <w:rStyle w:val="Hyperlink"/>
            <w:rFonts w:ascii="David" w:hAnsi="David"/>
            <w:rtl/>
          </w:rPr>
          <w:t>סעיף 144(ב)</w:t>
        </w:r>
      </w:hyperlink>
      <w:r>
        <w:rPr>
          <w:rFonts w:ascii="David" w:hAnsi="David"/>
          <w:rtl/>
        </w:rPr>
        <w:t xml:space="preserve"> (רישא וסיפא) ל</w:t>
      </w:r>
      <w:hyperlink r:id="rId22" w:history="1">
        <w:r w:rsidR="00C16C4C" w:rsidRPr="00C16C4C">
          <w:rPr>
            <w:rFonts w:ascii="David" w:hAnsi="David"/>
            <w:color w:val="0000FF"/>
            <w:u w:val="single"/>
            <w:rtl/>
          </w:rPr>
          <w:t>חוק העונשין</w:t>
        </w:r>
      </w:hyperlink>
      <w:r>
        <w:rPr>
          <w:rFonts w:ascii="David" w:hAnsi="David"/>
          <w:rtl/>
        </w:rPr>
        <w:t xml:space="preserve"> התשל"ז-1977 (2 מקרים; להלן: חוק העונשין), ו</w:t>
      </w:r>
      <w:r>
        <w:rPr>
          <w:rFonts w:ascii="David" w:hAnsi="David"/>
          <w:b/>
          <w:bCs/>
          <w:rtl/>
        </w:rPr>
        <w:t>ירי מנשק חם</w:t>
      </w:r>
      <w:r>
        <w:rPr>
          <w:rFonts w:ascii="David" w:hAnsi="David"/>
          <w:rtl/>
        </w:rPr>
        <w:t xml:space="preserve"> – עבירה לפי </w:t>
      </w:r>
      <w:hyperlink r:id="rId23" w:history="1">
        <w:r w:rsidR="00121052" w:rsidRPr="00121052">
          <w:rPr>
            <w:rStyle w:val="Hyperlink"/>
            <w:rFonts w:ascii="David" w:hAnsi="David"/>
            <w:rtl/>
          </w:rPr>
          <w:t>סעיף 340א(א)</w:t>
        </w:r>
      </w:hyperlink>
      <w:r>
        <w:rPr>
          <w:rFonts w:ascii="David" w:hAnsi="David"/>
          <w:rtl/>
        </w:rPr>
        <w:t xml:space="preserve"> לחוק העונשין (2 מקרים). </w:t>
      </w:r>
    </w:p>
    <w:p w14:paraId="61408BA7" w14:textId="77777777" w:rsidR="008A5C37" w:rsidRPr="008A5C37" w:rsidRDefault="008A5C37" w:rsidP="008A5C37">
      <w:pPr>
        <w:spacing w:line="360" w:lineRule="auto"/>
        <w:ind w:left="720" w:hanging="720"/>
        <w:jc w:val="both"/>
        <w:rPr>
          <w:rFonts w:ascii="Calibri" w:hAnsi="Calibri"/>
          <w:sz w:val="22"/>
          <w:szCs w:val="22"/>
          <w:rtl/>
        </w:rPr>
      </w:pPr>
      <w:bookmarkStart w:id="6" w:name="ABSTRACT_END"/>
      <w:bookmarkEnd w:id="6"/>
    </w:p>
    <w:p w14:paraId="043A66EE" w14:textId="77777777" w:rsidR="008A5C37" w:rsidRDefault="008A5C37" w:rsidP="008A5C37">
      <w:pPr>
        <w:spacing w:line="360" w:lineRule="auto"/>
        <w:ind w:left="720" w:hanging="720"/>
        <w:jc w:val="both"/>
        <w:rPr>
          <w:rtl/>
        </w:rPr>
      </w:pPr>
      <w:r>
        <w:rPr>
          <w:b/>
          <w:bCs/>
          <w:rtl/>
        </w:rPr>
        <w:t>2</w:t>
      </w:r>
      <w:r>
        <w:rPr>
          <w:rtl/>
        </w:rPr>
        <w:t>.</w:t>
      </w:r>
      <w:r>
        <w:rPr>
          <w:rtl/>
        </w:rPr>
        <w:tab/>
      </w:r>
      <w:r>
        <w:rPr>
          <w:b/>
          <w:bCs/>
          <w:u w:val="single"/>
          <w:rtl/>
        </w:rPr>
        <w:t>עובדות כתב האישום המתוקן הן כדלהלן:</w:t>
      </w:r>
    </w:p>
    <w:p w14:paraId="4F8B6318" w14:textId="77777777" w:rsidR="008A5C37" w:rsidRDefault="008A5C37" w:rsidP="008A5C37">
      <w:pPr>
        <w:spacing w:line="360" w:lineRule="auto"/>
        <w:ind w:left="720" w:hanging="720"/>
        <w:jc w:val="both"/>
        <w:rPr>
          <w:rtl/>
        </w:rPr>
      </w:pPr>
      <w:r>
        <w:rPr>
          <w:rtl/>
        </w:rPr>
        <w:tab/>
      </w:r>
      <w:r>
        <w:rPr>
          <w:b/>
          <w:bCs/>
          <w:rtl/>
        </w:rPr>
        <w:t xml:space="preserve">א. </w:t>
      </w:r>
      <w:r>
        <w:rPr>
          <w:rtl/>
        </w:rPr>
        <w:t xml:space="preserve">מוחמד בן עומר היב הוא בן דודו של הנאשם (להלן: מוחמד). בזמנים הרלבנטיים לכתב האישום המתוקן, שירת מוחמד כחייל בצבא ההגנה לישראל ובמסגרת שירותו זה, החזיק כדין ברובה סער מסוג "תבור" (להלן: הרובה). הרובה הוא כלי שמסוגל לירות כדור או קליע שבכוחם להמית אדם. </w:t>
      </w:r>
    </w:p>
    <w:p w14:paraId="3165771F" w14:textId="77777777" w:rsidR="008A5C37" w:rsidRDefault="008A5C37" w:rsidP="008A5C37">
      <w:pPr>
        <w:spacing w:line="360" w:lineRule="auto"/>
        <w:ind w:left="720" w:hanging="720"/>
        <w:jc w:val="both"/>
        <w:rPr>
          <w:sz w:val="18"/>
          <w:szCs w:val="18"/>
          <w:rtl/>
        </w:rPr>
      </w:pPr>
    </w:p>
    <w:p w14:paraId="1C97AD37" w14:textId="77777777" w:rsidR="008A5C37" w:rsidRDefault="008A5C37" w:rsidP="008A5C37">
      <w:pPr>
        <w:spacing w:line="360" w:lineRule="auto"/>
        <w:ind w:left="720"/>
        <w:jc w:val="both"/>
        <w:rPr>
          <w:rtl/>
        </w:rPr>
      </w:pPr>
      <w:r>
        <w:rPr>
          <w:b/>
          <w:bCs/>
          <w:rtl/>
        </w:rPr>
        <w:t xml:space="preserve">ב. </w:t>
      </w:r>
      <w:r>
        <w:rPr>
          <w:rtl/>
        </w:rPr>
        <w:t xml:space="preserve">ביום 20/8/21 בשעה 19:10 לערך או סמוך לפני כן, הגיעו הנאשם ומוחמד אל אזור שמורת הטבע אלוני אבא (להלן: השמורה), כשברשות מוחמד הרובה וכן מחסנית מתאימה, טעונה בכדורים התואמים לרובה (להלן: התחמושת). במעמד זה, בהיותם בשמורה, הנאשם החזיק ונשא את הרובה, המחסנית והתחמושת, בלא היתר כדין לעשות כן וירה מספר כדורים, באמצעות הרובה, שלא כדין. </w:t>
      </w:r>
    </w:p>
    <w:p w14:paraId="01DCDF5E" w14:textId="77777777" w:rsidR="008A5C37" w:rsidRDefault="008A5C37" w:rsidP="008A5C37">
      <w:pPr>
        <w:spacing w:line="360" w:lineRule="auto"/>
        <w:ind w:left="720" w:hanging="720"/>
        <w:jc w:val="both"/>
        <w:rPr>
          <w:sz w:val="18"/>
          <w:szCs w:val="18"/>
          <w:rtl/>
        </w:rPr>
      </w:pPr>
    </w:p>
    <w:p w14:paraId="1171B819" w14:textId="77777777" w:rsidR="008A5C37" w:rsidRDefault="008A5C37" w:rsidP="008A5C37">
      <w:pPr>
        <w:spacing w:line="360" w:lineRule="auto"/>
        <w:ind w:left="720"/>
        <w:jc w:val="both"/>
        <w:rPr>
          <w:rtl/>
        </w:rPr>
      </w:pPr>
      <w:r>
        <w:rPr>
          <w:b/>
          <w:bCs/>
          <w:rtl/>
        </w:rPr>
        <w:t xml:space="preserve">ג. </w:t>
      </w:r>
      <w:r>
        <w:rPr>
          <w:rtl/>
        </w:rPr>
        <w:t xml:space="preserve">ביום 17/9/21 בשעה 19:40 לערך או סמוך לפני כן, הגיעו הנאשם ומוחמד אל השמורה, כשברשות מוחמד הרובה וכן מחסנית מתאימה, טעונה בכדורים התואמים לרובה (להלן: התחמושת הנוספת). </w:t>
      </w:r>
      <w:r>
        <w:rPr>
          <w:rtl/>
        </w:rPr>
        <w:lastRenderedPageBreak/>
        <w:t xml:space="preserve">במעמד זה, בהיותם בשמורה, הנאשם החזיק ונשא את הרובה, המחסנית והתחמושת הנוספת, בלא היתר כדין לעשות כן וירה מספר כדורים, באמצעות הרובה שלא כדין. </w:t>
      </w:r>
    </w:p>
    <w:p w14:paraId="52B04B3C" w14:textId="77777777" w:rsidR="008A5C37" w:rsidRDefault="008A5C37" w:rsidP="008A5C37">
      <w:pPr>
        <w:spacing w:line="360" w:lineRule="auto"/>
        <w:ind w:left="720" w:hanging="720"/>
        <w:jc w:val="both"/>
        <w:rPr>
          <w:sz w:val="18"/>
          <w:szCs w:val="18"/>
          <w:rtl/>
        </w:rPr>
      </w:pPr>
    </w:p>
    <w:p w14:paraId="50431776" w14:textId="77777777" w:rsidR="008A5C37" w:rsidRDefault="008A5C37" w:rsidP="008A5C37">
      <w:pPr>
        <w:spacing w:line="360" w:lineRule="auto"/>
        <w:ind w:left="720" w:hanging="720"/>
        <w:jc w:val="both"/>
        <w:rPr>
          <w:rtl/>
        </w:rPr>
      </w:pPr>
      <w:r>
        <w:rPr>
          <w:rtl/>
        </w:rPr>
        <w:tab/>
      </w:r>
      <w:r>
        <w:rPr>
          <w:b/>
          <w:bCs/>
          <w:rtl/>
        </w:rPr>
        <w:t xml:space="preserve">ד. </w:t>
      </w:r>
      <w:r>
        <w:rPr>
          <w:rtl/>
        </w:rPr>
        <w:t xml:space="preserve">במעשיו המתוארים לעיל בשני מועדים שונים, החזיק ונשא הנאשם נשק, אביזר לנשק, תחמושת ותחמושת נוספת, בלא רשות על פי דין; בשני מועדים שונים, ירה הנאשם מנשק חם, שלא כדין. </w:t>
      </w:r>
    </w:p>
    <w:p w14:paraId="38E7DB77" w14:textId="77777777" w:rsidR="008A5C37" w:rsidRDefault="008A5C37" w:rsidP="008A5C37">
      <w:pPr>
        <w:spacing w:line="360" w:lineRule="auto"/>
        <w:jc w:val="both"/>
        <w:rPr>
          <w:sz w:val="16"/>
          <w:szCs w:val="16"/>
          <w:rtl/>
        </w:rPr>
      </w:pPr>
    </w:p>
    <w:p w14:paraId="31DB36A7" w14:textId="77777777" w:rsidR="008A5C37" w:rsidRDefault="008A5C37" w:rsidP="008A5C37">
      <w:pPr>
        <w:spacing w:line="360" w:lineRule="auto"/>
        <w:jc w:val="both"/>
        <w:rPr>
          <w:rtl/>
        </w:rPr>
      </w:pPr>
      <w:r>
        <w:rPr>
          <w:b/>
          <w:bCs/>
          <w:rtl/>
        </w:rPr>
        <w:t>3</w:t>
      </w:r>
      <w:r>
        <w:rPr>
          <w:rtl/>
        </w:rPr>
        <w:t>.</w:t>
      </w:r>
      <w:r>
        <w:rPr>
          <w:rtl/>
        </w:rPr>
        <w:tab/>
      </w:r>
      <w:r>
        <w:rPr>
          <w:b/>
          <w:bCs/>
          <w:u w:val="single"/>
          <w:rtl/>
        </w:rPr>
        <w:t>הסדר הטיעון</w:t>
      </w:r>
      <w:r>
        <w:rPr>
          <w:rtl/>
        </w:rPr>
        <w:t xml:space="preserve"> </w:t>
      </w:r>
    </w:p>
    <w:p w14:paraId="41CC7704" w14:textId="77777777" w:rsidR="008A5C37" w:rsidRDefault="008A5C37" w:rsidP="008A5C37">
      <w:pPr>
        <w:spacing w:line="360" w:lineRule="auto"/>
        <w:ind w:left="720"/>
        <w:jc w:val="both"/>
        <w:rPr>
          <w:rtl/>
        </w:rPr>
      </w:pPr>
      <w:r>
        <w:rPr>
          <w:rtl/>
        </w:rPr>
        <w:t xml:space="preserve">בתאריך 10/5/22, בטרם הוחל בשמיעת הראיות התיק, הגיעו הצדדים להסדר טיעון לפיו הנאשם יחזור בו מכפירתו, ויודה בעובדות כתב האישום המתוקן, למעט בכך שירה מספר כדורים באירוע המתואר בסעיף 4 לכתב האישום המתוקן (סעיף 2(ב) דלעיל), משמעמד על גרסתו כי באירוע זה ירה כדור אחד בלבד. </w:t>
      </w:r>
    </w:p>
    <w:p w14:paraId="5BFE9FD4" w14:textId="77777777" w:rsidR="008A5C37" w:rsidRDefault="008A5C37" w:rsidP="008A5C37">
      <w:pPr>
        <w:spacing w:line="360" w:lineRule="auto"/>
        <w:ind w:left="720"/>
        <w:jc w:val="both"/>
        <w:rPr>
          <w:rtl/>
        </w:rPr>
      </w:pPr>
      <w:r>
        <w:rPr>
          <w:rtl/>
        </w:rPr>
        <w:t>הוסכם כי משיקולים של עניין ציבורי וחיסכון בזמן שיפוטי, תוותר המאשימה על הוכחת הפער בין כדור אחד למספר כדורים, תסתפק בהודאתו של הנאשם כי ירה כדור אחד באירוע המתואר בסעיף 2ב. דלעיל, ותסכים כי הנאשם יורשע על פי הודייתו זו.</w:t>
      </w:r>
    </w:p>
    <w:p w14:paraId="52467DE1" w14:textId="77777777" w:rsidR="008A5C37" w:rsidRDefault="008A5C37" w:rsidP="008A5C37">
      <w:pPr>
        <w:spacing w:line="360" w:lineRule="auto"/>
        <w:ind w:left="720"/>
        <w:jc w:val="both"/>
        <w:rPr>
          <w:sz w:val="2"/>
          <w:szCs w:val="2"/>
          <w:rtl/>
        </w:rPr>
      </w:pPr>
    </w:p>
    <w:p w14:paraId="7557EFDC" w14:textId="77777777" w:rsidR="008A5C37" w:rsidRDefault="008A5C37" w:rsidP="008A5C37">
      <w:pPr>
        <w:pStyle w:val="David"/>
        <w:ind w:left="720"/>
        <w:rPr>
          <w:rtl/>
        </w:rPr>
      </w:pPr>
      <w:r>
        <w:rPr>
          <w:rtl/>
        </w:rPr>
        <w:t xml:space="preserve">כן הוסכם כי הגנה תעתור לקבלת תסקיר של שירות המבחן בעניינו של הנאשם, כי המאשימה תשאיר החלטה זו לשיקול דעתו של בית המשפט, כאשר ההמלצות – ככל שבית המשפט יחליט לקבל תסקיר בעניינו של הנאשם - לא יחייבו איש מהצדדים. </w:t>
      </w:r>
    </w:p>
    <w:p w14:paraId="4999C3EE" w14:textId="77777777" w:rsidR="008A5C37" w:rsidRDefault="008A5C37" w:rsidP="008A5C37">
      <w:pPr>
        <w:pStyle w:val="David"/>
        <w:ind w:left="720"/>
        <w:rPr>
          <w:sz w:val="10"/>
          <w:szCs w:val="10"/>
          <w:rtl/>
        </w:rPr>
      </w:pPr>
    </w:p>
    <w:p w14:paraId="2AFE68CA" w14:textId="77777777" w:rsidR="008A5C37" w:rsidRDefault="008A5C37" w:rsidP="008A5C37">
      <w:pPr>
        <w:spacing w:line="360" w:lineRule="auto"/>
        <w:ind w:left="720"/>
        <w:jc w:val="both"/>
        <w:rPr>
          <w:rtl/>
        </w:rPr>
      </w:pPr>
      <w:r>
        <w:rPr>
          <w:rtl/>
        </w:rPr>
        <w:t>בנסיבות אלו, הודה הנאשם בעובדות כתב האישום המתוקן והורשע בעבירות שיוחסו לו במסגרתו, בכפוף למוסכם על הצדדים, כמפורט לעיל, ושירות המבחן התבקש לערוך תסקיר בעניינו.</w:t>
      </w:r>
    </w:p>
    <w:p w14:paraId="7D06D35D" w14:textId="77777777" w:rsidR="008A5C37" w:rsidRDefault="008A5C37" w:rsidP="008A5C37">
      <w:pPr>
        <w:spacing w:line="360" w:lineRule="auto"/>
        <w:ind w:left="720"/>
        <w:jc w:val="both"/>
        <w:rPr>
          <w:sz w:val="20"/>
          <w:szCs w:val="20"/>
          <w:rtl/>
        </w:rPr>
      </w:pPr>
    </w:p>
    <w:p w14:paraId="09E789A7" w14:textId="77777777" w:rsidR="008A5C37" w:rsidRDefault="008A5C37" w:rsidP="008A5C37">
      <w:pPr>
        <w:spacing w:line="360" w:lineRule="auto"/>
        <w:ind w:left="720"/>
        <w:jc w:val="both"/>
        <w:rPr>
          <w:b/>
          <w:bCs/>
          <w:u w:val="single"/>
          <w:rtl/>
        </w:rPr>
      </w:pPr>
      <w:r>
        <w:rPr>
          <w:b/>
          <w:bCs/>
          <w:u w:val="single"/>
          <w:rtl/>
        </w:rPr>
        <w:t>ראיות לעונש</w:t>
      </w:r>
    </w:p>
    <w:p w14:paraId="129890AE" w14:textId="77777777" w:rsidR="008A5C37" w:rsidRDefault="008A5C37" w:rsidP="008A5C37">
      <w:pPr>
        <w:spacing w:line="360" w:lineRule="auto"/>
        <w:jc w:val="both"/>
        <w:rPr>
          <w:rFonts w:ascii="David" w:hAnsi="David"/>
          <w:rtl/>
        </w:rPr>
      </w:pPr>
      <w:r>
        <w:rPr>
          <w:rFonts w:ascii="David" w:hAnsi="David"/>
          <w:b/>
          <w:bCs/>
          <w:rtl/>
        </w:rPr>
        <w:t>4.</w:t>
      </w:r>
      <w:r>
        <w:rPr>
          <w:rFonts w:ascii="David" w:hAnsi="David"/>
          <w:b/>
          <w:bCs/>
          <w:rtl/>
        </w:rPr>
        <w:tab/>
      </w:r>
      <w:r>
        <w:rPr>
          <w:rFonts w:ascii="David" w:hAnsi="David"/>
          <w:rtl/>
        </w:rPr>
        <w:t xml:space="preserve">הנאשם נעדר הרשעות קודמות. </w:t>
      </w:r>
    </w:p>
    <w:p w14:paraId="01F321DB" w14:textId="77777777" w:rsidR="008A5C37" w:rsidRDefault="008A5C37" w:rsidP="008A5C37">
      <w:pPr>
        <w:spacing w:line="360" w:lineRule="auto"/>
        <w:jc w:val="both"/>
        <w:rPr>
          <w:rFonts w:ascii="David" w:hAnsi="David"/>
          <w:b/>
          <w:bCs/>
          <w:sz w:val="10"/>
          <w:szCs w:val="10"/>
          <w:rtl/>
        </w:rPr>
      </w:pPr>
    </w:p>
    <w:p w14:paraId="67667C56" w14:textId="77777777" w:rsidR="008A5C37" w:rsidRDefault="008A5C37" w:rsidP="008A5C37">
      <w:pPr>
        <w:spacing w:line="360" w:lineRule="auto"/>
        <w:jc w:val="both"/>
        <w:rPr>
          <w:rFonts w:ascii="David" w:hAnsi="David"/>
          <w:b/>
          <w:bCs/>
          <w:rtl/>
        </w:rPr>
      </w:pPr>
      <w:r>
        <w:rPr>
          <w:rFonts w:ascii="David" w:hAnsi="David"/>
          <w:b/>
          <w:bCs/>
          <w:rtl/>
        </w:rPr>
        <w:t>5.</w:t>
      </w:r>
      <w:r>
        <w:rPr>
          <w:rFonts w:ascii="David" w:hAnsi="David"/>
          <w:b/>
          <w:bCs/>
          <w:rtl/>
        </w:rPr>
        <w:tab/>
      </w:r>
      <w:r>
        <w:rPr>
          <w:rFonts w:ascii="David" w:hAnsi="David"/>
          <w:b/>
          <w:bCs/>
          <w:u w:val="single"/>
          <w:rtl/>
        </w:rPr>
        <w:t xml:space="preserve">תסקיר שירות המבחן. </w:t>
      </w:r>
    </w:p>
    <w:p w14:paraId="61BCEEC5" w14:textId="77777777" w:rsidR="008A5C37" w:rsidRDefault="008A5C37" w:rsidP="008A5C37">
      <w:pPr>
        <w:spacing w:line="360" w:lineRule="auto"/>
        <w:ind w:left="720"/>
        <w:jc w:val="both"/>
        <w:rPr>
          <w:rFonts w:ascii="David" w:hAnsi="David"/>
          <w:rtl/>
        </w:rPr>
      </w:pPr>
      <w:r>
        <w:rPr>
          <w:rFonts w:ascii="David" w:hAnsi="David"/>
          <w:b/>
          <w:bCs/>
          <w:rtl/>
        </w:rPr>
        <w:t>שירות המבחן נמנע מהמלצה טיפולית בעניינו של הנאשם</w:t>
      </w:r>
      <w:r>
        <w:rPr>
          <w:rFonts w:ascii="David" w:hAnsi="David"/>
          <w:rtl/>
        </w:rPr>
        <w:t>; זאת לאחר שבחן את מכלול הנסיבות הרלוונטיות בנדון, ובא לכלל מסקנה כי קיים בעניינו של הנאשם סיכון להישנות עבירות דומות בעתיד. עם זאת, המליץ על הטלת ענישה מוחשית מרתיעה ומצ</w:t>
      </w:r>
      <w:r>
        <w:rPr>
          <w:rFonts w:ascii="David" w:hAnsi="David" w:hint="cs"/>
          <w:rtl/>
        </w:rPr>
        <w:t>י</w:t>
      </w:r>
      <w:r>
        <w:rPr>
          <w:rFonts w:ascii="David" w:hAnsi="David"/>
          <w:rtl/>
        </w:rPr>
        <w:t xml:space="preserve">בת גבולות ברורים בדמות מאסר בעבודות שירות, לצד מאסר מותנה. </w:t>
      </w:r>
    </w:p>
    <w:p w14:paraId="2820F241" w14:textId="77777777" w:rsidR="008A5C37" w:rsidRDefault="008A5C37" w:rsidP="008A5C37">
      <w:pPr>
        <w:spacing w:line="360" w:lineRule="auto"/>
        <w:ind w:left="720"/>
        <w:jc w:val="both"/>
        <w:rPr>
          <w:rFonts w:ascii="David" w:hAnsi="David"/>
          <w:sz w:val="8"/>
          <w:szCs w:val="8"/>
          <w:rtl/>
        </w:rPr>
      </w:pPr>
    </w:p>
    <w:p w14:paraId="12FA76AA" w14:textId="77777777" w:rsidR="008A5C37" w:rsidRDefault="008A5C37" w:rsidP="008A5C37">
      <w:pPr>
        <w:spacing w:line="360" w:lineRule="auto"/>
        <w:ind w:left="720"/>
        <w:jc w:val="both"/>
        <w:rPr>
          <w:rFonts w:ascii="David" w:hAnsi="David"/>
          <w:sz w:val="2"/>
          <w:szCs w:val="2"/>
          <w:rtl/>
        </w:rPr>
      </w:pPr>
      <w:r>
        <w:rPr>
          <w:rFonts w:ascii="David" w:hAnsi="David"/>
          <w:b/>
          <w:bCs/>
          <w:rtl/>
        </w:rPr>
        <w:t xml:space="preserve">א. </w:t>
      </w:r>
      <w:r>
        <w:rPr>
          <w:rFonts w:ascii="David" w:hAnsi="David"/>
          <w:rtl/>
        </w:rPr>
        <w:t xml:space="preserve">קצינת מבחן סקרה את נסיבותיו האישיות של הנאשם, בן 31, נשוי ואב לשני ילדים בגילאים שלוש ושנתיים, מתגורר עם משפחתו בבסמת טבעון, ושוהה במעצר באזוק אלקטרוני. הנאשם הוא בן בכור להורים, אשר להם 7 ילדים, בגילאי 31-13, והמנהלים אורח חיים נורמטיבי; הוא סיים 12 שנות לימוד, עבד בתחום המכונאות והחשמל, נהג מלגזה, </w:t>
      </w:r>
      <w:r w:rsidRPr="004B2DA1">
        <w:rPr>
          <w:rFonts w:ascii="David" w:hAnsi="David"/>
          <w:rtl/>
        </w:rPr>
        <w:t>ועד</w:t>
      </w:r>
      <w:r w:rsidRPr="004B2DA1">
        <w:rPr>
          <w:rFonts w:ascii="David" w:hAnsi="David" w:hint="cs"/>
          <w:rtl/>
        </w:rPr>
        <w:t xml:space="preserve"> למעצרו</w:t>
      </w:r>
      <w:r w:rsidRPr="004B2DA1">
        <w:rPr>
          <w:rFonts w:ascii="David" w:hAnsi="David"/>
          <w:rtl/>
        </w:rPr>
        <w:t xml:space="preserve"> </w:t>
      </w:r>
      <w:r w:rsidRPr="004B2DA1">
        <w:rPr>
          <w:rFonts w:ascii="David" w:hAnsi="David" w:hint="cs"/>
          <w:rtl/>
        </w:rPr>
        <w:t xml:space="preserve">בתיק זה </w:t>
      </w:r>
      <w:r w:rsidRPr="004B2DA1">
        <w:rPr>
          <w:rFonts w:ascii="David" w:hAnsi="David"/>
          <w:rtl/>
        </w:rPr>
        <w:t>עבר בת</w:t>
      </w:r>
      <w:r>
        <w:rPr>
          <w:rFonts w:ascii="David" w:hAnsi="David"/>
          <w:rtl/>
        </w:rPr>
        <w:t>חום ההובלות כנהג משאית. לדבריו, הוא סובל מלחץ דם גבוה ונוטל טיפול תרופתי באופן יומיומי.</w:t>
      </w:r>
    </w:p>
    <w:p w14:paraId="2DA72370" w14:textId="77777777" w:rsidR="008A5C37" w:rsidRDefault="008A5C37" w:rsidP="008A5C37">
      <w:pPr>
        <w:spacing w:line="360" w:lineRule="auto"/>
        <w:ind w:left="720"/>
        <w:jc w:val="both"/>
        <w:rPr>
          <w:rFonts w:ascii="David" w:hAnsi="David"/>
          <w:sz w:val="2"/>
          <w:szCs w:val="2"/>
          <w:rtl/>
        </w:rPr>
      </w:pPr>
    </w:p>
    <w:p w14:paraId="000744B3" w14:textId="77777777" w:rsidR="008A5C37" w:rsidRDefault="008A5C37" w:rsidP="008A5C37">
      <w:pPr>
        <w:spacing w:line="360" w:lineRule="auto"/>
        <w:ind w:left="720"/>
        <w:jc w:val="both"/>
        <w:rPr>
          <w:rFonts w:ascii="David" w:hAnsi="David"/>
          <w:sz w:val="2"/>
          <w:szCs w:val="2"/>
          <w:rtl/>
        </w:rPr>
      </w:pPr>
    </w:p>
    <w:p w14:paraId="31E345AB" w14:textId="77777777" w:rsidR="008A5C37" w:rsidRDefault="008A5C37" w:rsidP="008A5C37">
      <w:pPr>
        <w:spacing w:line="360" w:lineRule="auto"/>
        <w:ind w:left="720"/>
        <w:jc w:val="both"/>
        <w:rPr>
          <w:rFonts w:ascii="David" w:hAnsi="David"/>
          <w:sz w:val="2"/>
          <w:szCs w:val="2"/>
          <w:rtl/>
        </w:rPr>
      </w:pPr>
    </w:p>
    <w:p w14:paraId="76F48544" w14:textId="77777777" w:rsidR="008A5C37" w:rsidRDefault="008A5C37" w:rsidP="008A5C37">
      <w:pPr>
        <w:spacing w:line="360" w:lineRule="auto"/>
        <w:ind w:left="720"/>
        <w:jc w:val="both"/>
        <w:rPr>
          <w:rFonts w:ascii="David" w:hAnsi="David"/>
          <w:sz w:val="2"/>
          <w:szCs w:val="2"/>
          <w:rtl/>
        </w:rPr>
      </w:pPr>
    </w:p>
    <w:p w14:paraId="1DA96882" w14:textId="77777777" w:rsidR="008A5C37" w:rsidRDefault="008A5C37" w:rsidP="008A5C37">
      <w:pPr>
        <w:spacing w:line="360" w:lineRule="auto"/>
        <w:ind w:left="720"/>
        <w:jc w:val="both"/>
        <w:rPr>
          <w:rFonts w:ascii="David" w:hAnsi="David"/>
          <w:sz w:val="2"/>
          <w:szCs w:val="2"/>
          <w:rtl/>
        </w:rPr>
      </w:pPr>
    </w:p>
    <w:p w14:paraId="071AFECC" w14:textId="77777777" w:rsidR="008A5C37" w:rsidRDefault="008A5C37" w:rsidP="008A5C37">
      <w:pPr>
        <w:spacing w:line="360" w:lineRule="auto"/>
        <w:ind w:left="720"/>
        <w:jc w:val="both"/>
        <w:rPr>
          <w:rFonts w:ascii="David" w:hAnsi="David"/>
          <w:sz w:val="2"/>
          <w:szCs w:val="2"/>
          <w:rtl/>
        </w:rPr>
      </w:pPr>
    </w:p>
    <w:p w14:paraId="31AD9B19" w14:textId="77777777" w:rsidR="008A5C37" w:rsidRDefault="008A5C37" w:rsidP="008A5C37">
      <w:pPr>
        <w:spacing w:line="360" w:lineRule="auto"/>
        <w:ind w:left="720"/>
        <w:jc w:val="both"/>
        <w:rPr>
          <w:rFonts w:ascii="David" w:hAnsi="David"/>
          <w:sz w:val="2"/>
          <w:szCs w:val="2"/>
          <w:rtl/>
        </w:rPr>
      </w:pPr>
    </w:p>
    <w:p w14:paraId="6C23D064" w14:textId="77777777" w:rsidR="008A5C37" w:rsidRDefault="008A5C37" w:rsidP="008A5C37">
      <w:pPr>
        <w:spacing w:line="360" w:lineRule="auto"/>
        <w:ind w:left="720"/>
        <w:jc w:val="both"/>
        <w:rPr>
          <w:rFonts w:ascii="David" w:hAnsi="David"/>
          <w:sz w:val="2"/>
          <w:szCs w:val="2"/>
          <w:rtl/>
        </w:rPr>
      </w:pPr>
    </w:p>
    <w:p w14:paraId="34FE8304" w14:textId="77777777" w:rsidR="008A5C37" w:rsidRDefault="008A5C37" w:rsidP="008A5C37">
      <w:pPr>
        <w:spacing w:line="360" w:lineRule="auto"/>
        <w:ind w:left="720"/>
        <w:jc w:val="both"/>
        <w:rPr>
          <w:rFonts w:ascii="David" w:hAnsi="David"/>
          <w:rtl/>
        </w:rPr>
      </w:pPr>
      <w:r>
        <w:rPr>
          <w:rFonts w:ascii="David" w:hAnsi="David"/>
          <w:rtl/>
        </w:rPr>
        <w:t>קצינת המבחן</w:t>
      </w:r>
      <w:r>
        <w:rPr>
          <w:rFonts w:ascii="David" w:hAnsi="David"/>
          <w:b/>
          <w:bCs/>
          <w:rtl/>
        </w:rPr>
        <w:t xml:space="preserve"> </w:t>
      </w:r>
      <w:r>
        <w:rPr>
          <w:rFonts w:ascii="David" w:hAnsi="David"/>
          <w:rtl/>
        </w:rPr>
        <w:t>התייחסה לעברו הנקי של הנאשם, אך ציינה כי תלוי ועומד נגד</w:t>
      </w:r>
      <w:r>
        <w:rPr>
          <w:rFonts w:ascii="David" w:hAnsi="David" w:hint="cs"/>
          <w:rtl/>
        </w:rPr>
        <w:t>ו</w:t>
      </w:r>
      <w:r>
        <w:rPr>
          <w:rFonts w:ascii="David" w:hAnsi="David"/>
          <w:rtl/>
        </w:rPr>
        <w:t xml:space="preserve"> כתב אישום בתיק תעבורה, מיום 20/1/22, בגין </w:t>
      </w:r>
      <w:r>
        <w:rPr>
          <w:rFonts w:ascii="David" w:hAnsi="David" w:hint="cs"/>
          <w:rtl/>
        </w:rPr>
        <w:t>"</w:t>
      </w:r>
      <w:r>
        <w:rPr>
          <w:rFonts w:ascii="David" w:hAnsi="David"/>
          <w:rtl/>
        </w:rPr>
        <w:t>נהיגה תחת השפעת סמים" ביום 8/1/22 - מועד מעצרו בתיק זה; הנאשם שלל שימוש בחומרים פסיכו-אקטיביים, ותלה את תוצאות הבדיקה שנערכה לו בכך שייתכן שהושפע משאיפה של עישון סביבתי.</w:t>
      </w:r>
    </w:p>
    <w:p w14:paraId="22F4FF81" w14:textId="77777777" w:rsidR="008A5C37" w:rsidRDefault="008A5C37" w:rsidP="008A5C37">
      <w:pPr>
        <w:spacing w:line="360" w:lineRule="auto"/>
        <w:ind w:left="720"/>
        <w:jc w:val="both"/>
        <w:rPr>
          <w:rFonts w:ascii="David" w:hAnsi="David"/>
          <w:b/>
          <w:bCs/>
          <w:sz w:val="12"/>
          <w:szCs w:val="12"/>
          <w:rtl/>
        </w:rPr>
      </w:pPr>
    </w:p>
    <w:p w14:paraId="2BFAC38B" w14:textId="77777777" w:rsidR="008A5C37" w:rsidRDefault="008A5C37" w:rsidP="008A5C37">
      <w:pPr>
        <w:spacing w:line="360" w:lineRule="auto"/>
        <w:ind w:left="720"/>
        <w:jc w:val="both"/>
        <w:rPr>
          <w:rFonts w:ascii="David" w:hAnsi="David"/>
          <w:rtl/>
        </w:rPr>
      </w:pPr>
      <w:r>
        <w:rPr>
          <w:rFonts w:ascii="David" w:hAnsi="David"/>
          <w:b/>
          <w:bCs/>
          <w:rtl/>
        </w:rPr>
        <w:lastRenderedPageBreak/>
        <w:t>ב. אשר לעבירות שבגינן הורשע,</w:t>
      </w:r>
      <w:r>
        <w:rPr>
          <w:rFonts w:ascii="David" w:hAnsi="David"/>
          <w:rtl/>
        </w:rPr>
        <w:t xml:space="preserve"> הנאשם סיפר כי נהג לצעוד עם בן דודו החייל, שהסתובב עם נשקו הצה"לי עליו, התקשה להסביר מה הובילו לביצוע העבירות, וסבר כי היה נלהב מנוכחותו של הנשק ורצה לנסות לירות בו, תוך שתלה זאת בשיקול דעת מוטעה שלו. קצינת המבחן התרשמה כי אף שהנאשם הודה בביצוע העבירות נושא תיק זה, התקשה לקחת אחריות מלאה על ביצוען, ולא מסר מידע קוהרנטי בנוגע לרמת מעורבותו ואופן התנהלותו בביצוע העבירות. להערכתה, הבעת הצער על הסתבכותו בעבירות הנדונות יוחסה בעיקר למחיר האישי שהוא משלם בגינה, לרבות הפגיעה הכלכלית הקשה שחווה בעקבות מעצרו באזוק אלקטרוני, תוך שלא הצליח לחבר את הצער לחומרת העבירות, למשמעותן, לסיכון החמור הטמון בעבירות מסוג זה, לרבות פגיעה פוטנציאלית באחר. </w:t>
      </w:r>
    </w:p>
    <w:p w14:paraId="4E2C7081" w14:textId="77777777" w:rsidR="008A5C37" w:rsidRDefault="008A5C37" w:rsidP="008A5C37">
      <w:pPr>
        <w:spacing w:line="360" w:lineRule="auto"/>
        <w:ind w:left="720"/>
        <w:jc w:val="both"/>
        <w:rPr>
          <w:rFonts w:ascii="David" w:hAnsi="David"/>
          <w:sz w:val="12"/>
          <w:szCs w:val="12"/>
          <w:rtl/>
        </w:rPr>
      </w:pPr>
    </w:p>
    <w:p w14:paraId="19E4E9DF" w14:textId="77777777" w:rsidR="008A5C37" w:rsidRDefault="008A5C37" w:rsidP="008A5C37">
      <w:pPr>
        <w:spacing w:line="360" w:lineRule="auto"/>
        <w:ind w:left="720"/>
        <w:jc w:val="both"/>
        <w:rPr>
          <w:rFonts w:ascii="David" w:hAnsi="David"/>
          <w:rtl/>
        </w:rPr>
      </w:pPr>
      <w:r>
        <w:rPr>
          <w:rFonts w:ascii="David" w:hAnsi="David"/>
          <w:rtl/>
        </w:rPr>
        <w:t xml:space="preserve">קצינת המבחן ציינה כי הנאשם הצהיר מילולית שהוא מוכן לנסות להשתלב בהליך טיפולי בשירות המבחן, אך  משניסתה לבחון עמו את מוקדי הטיפול, ביקש לשנותם, ולא התחבר לצורך טיפולי בקרבו. אף על פי כן שקל שירות המבחן לבחון את התאמתו לקבוצה ייעודית העוסקת בעבירות נשק; הנאשם התבקש להתייצב לראיון התאמה לקבוצה עם מנחות הקבוצה, לאחר תיאום מראש, אך איחר, ומסר מידע כוזב ובלתי מהימן לגבי סיבת איחורו לראיון, כפי שנמצא לאחר בדיקה. משכך, נערך לו בירור מול היחידה לפיקוח אלקטרוני, בין היתר עקב איחור בקשר ל"חלון" שנפתח לו, נרשמה לו הפרה מהותית והוא הוזמן לשימוע. עוד צוין כי החל מפברואר 2022  מיוחסות לנאשם 3 הפרות נוספות קודמות. </w:t>
      </w:r>
    </w:p>
    <w:p w14:paraId="7DECBDCA" w14:textId="77777777" w:rsidR="008A5C37" w:rsidRDefault="008A5C37" w:rsidP="008A5C37">
      <w:pPr>
        <w:spacing w:line="360" w:lineRule="auto"/>
        <w:ind w:left="720"/>
        <w:jc w:val="both"/>
        <w:rPr>
          <w:rFonts w:ascii="David" w:hAnsi="David"/>
          <w:sz w:val="10"/>
          <w:szCs w:val="10"/>
          <w:rtl/>
        </w:rPr>
      </w:pPr>
    </w:p>
    <w:p w14:paraId="7E39EDE8" w14:textId="77777777" w:rsidR="008A5C37" w:rsidRDefault="008A5C37" w:rsidP="008A5C37">
      <w:pPr>
        <w:spacing w:line="360" w:lineRule="auto"/>
        <w:ind w:left="720"/>
        <w:jc w:val="both"/>
        <w:rPr>
          <w:rFonts w:ascii="David" w:hAnsi="David"/>
          <w:rtl/>
        </w:rPr>
      </w:pPr>
      <w:r>
        <w:rPr>
          <w:rFonts w:ascii="David" w:hAnsi="David"/>
          <w:b/>
          <w:bCs/>
          <w:rtl/>
        </w:rPr>
        <w:t xml:space="preserve">ג. בבואו להעריך את סיכוי הסיכון לעבריינות וסיכויי השיקום, </w:t>
      </w:r>
      <w:r>
        <w:rPr>
          <w:rFonts w:ascii="David" w:hAnsi="David"/>
          <w:rtl/>
        </w:rPr>
        <w:t xml:space="preserve">ציין שירות המבחן כי במסגרת </w:t>
      </w:r>
      <w:r>
        <w:rPr>
          <w:rFonts w:ascii="David" w:hAnsi="David"/>
          <w:u w:val="single"/>
          <w:rtl/>
        </w:rPr>
        <w:t>גורמי הסיכוי</w:t>
      </w:r>
      <w:r>
        <w:rPr>
          <w:rFonts w:ascii="David" w:hAnsi="David"/>
          <w:rtl/>
        </w:rPr>
        <w:t xml:space="preserve"> נלקחו בחשבון ההתרשמות כי מדובר באדם</w:t>
      </w:r>
      <w:r>
        <w:rPr>
          <w:rFonts w:ascii="David" w:hAnsi="David"/>
          <w:b/>
          <w:bCs/>
          <w:rtl/>
        </w:rPr>
        <w:t xml:space="preserve"> </w:t>
      </w:r>
      <w:r>
        <w:rPr>
          <w:rFonts w:ascii="David" w:hAnsi="David"/>
          <w:rtl/>
        </w:rPr>
        <w:t xml:space="preserve">בעל יכולות קוגניטיביות וורבליות בינוניות, ללא הרשעות קודמות; הנאשם הציג תדמית מתפקדת, חיובית, תוך שמירה על יציבות תעסוקתית טרם מעצרו באזוק אלקטרוני, ויש לו מערכת יחסים חיובית וקרובה עם הוריו ומשפחתו, המהווים עבורו גורם תמיכה ומקור לתחושת בטחון. </w:t>
      </w:r>
    </w:p>
    <w:p w14:paraId="0F68E37B" w14:textId="77777777" w:rsidR="008A5C37" w:rsidRDefault="008A5C37" w:rsidP="008A5C37">
      <w:pPr>
        <w:spacing w:line="360" w:lineRule="auto"/>
        <w:ind w:left="720"/>
        <w:jc w:val="both"/>
        <w:rPr>
          <w:rFonts w:ascii="David" w:hAnsi="David"/>
          <w:sz w:val="12"/>
          <w:szCs w:val="12"/>
          <w:rtl/>
        </w:rPr>
      </w:pPr>
    </w:p>
    <w:p w14:paraId="45EBA573" w14:textId="77777777" w:rsidR="008A5C37" w:rsidRDefault="008A5C37" w:rsidP="008A5C37">
      <w:pPr>
        <w:spacing w:line="360" w:lineRule="auto"/>
        <w:ind w:left="720"/>
        <w:jc w:val="both"/>
        <w:rPr>
          <w:rFonts w:ascii="David" w:hAnsi="David"/>
          <w:u w:val="single"/>
          <w:rtl/>
        </w:rPr>
      </w:pPr>
      <w:r>
        <w:rPr>
          <w:rFonts w:ascii="David" w:hAnsi="David"/>
          <w:u w:val="single"/>
          <w:rtl/>
        </w:rPr>
        <w:t>אשר לגורמי הסיכון</w:t>
      </w:r>
      <w:r>
        <w:rPr>
          <w:rFonts w:ascii="David" w:hAnsi="David"/>
          <w:rtl/>
        </w:rPr>
        <w:t xml:space="preserve">, שירות המבחן התרשם כי בהיות הנאשם בן בכור ויחיד במשפחתו, על לחציה הכלכליים, הוא נטה לנוקשות, הדחיק את רצונותיו בבית, והוא עלול לפעול באופן בלתי בשל, תוך התנהגות פורצת גבולות מחוץ לכותלי הבית. השימוש בנשק עבורו קשור בתפיסות גבריות, שליטה וכוח וביטחון עצמי. כן העריך כי חרף הודאתו, הנאשם התקשה לקחת אחריות מלאה על מעשיו העברייניים, חומרתם והסיכון הנוגע מהם, ולהתבונן בכשליו באופן ביקורתי ובלתי מתגונן. שירות המבחן התרשם כי לנאשם נטייה למניפולטיביות מולו, תוך נטייתו למסור מידע לא מהימן. לשיטתו, עיון בגיליון התנהגותו של הנאשם במהלך תקופת הפיקוח, החל מפברואר 2022, מעלה כי </w:t>
      </w:r>
      <w:r>
        <w:rPr>
          <w:rFonts w:ascii="David" w:hAnsi="David"/>
          <w:u w:val="single"/>
          <w:rtl/>
        </w:rPr>
        <w:t>הנאשם מתקשה בעמידה בגבולות חיצוניים ונוטה להתנהל באופן הגנתי מול דמויות סמכות</w:t>
      </w:r>
      <w:r>
        <w:rPr>
          <w:rFonts w:ascii="David" w:hAnsi="David"/>
          <w:rtl/>
        </w:rPr>
        <w:t>.</w:t>
      </w:r>
      <w:r>
        <w:rPr>
          <w:rFonts w:ascii="David" w:hAnsi="David"/>
          <w:u w:val="single"/>
          <w:rtl/>
        </w:rPr>
        <w:t xml:space="preserve"> </w:t>
      </w:r>
    </w:p>
    <w:p w14:paraId="7C36F65B" w14:textId="77777777" w:rsidR="008A5C37" w:rsidRDefault="008A5C37" w:rsidP="008A5C37">
      <w:pPr>
        <w:spacing w:line="360" w:lineRule="auto"/>
        <w:ind w:left="720"/>
        <w:jc w:val="both"/>
        <w:rPr>
          <w:rFonts w:ascii="David" w:hAnsi="David"/>
          <w:sz w:val="16"/>
          <w:szCs w:val="16"/>
          <w:rtl/>
        </w:rPr>
      </w:pPr>
    </w:p>
    <w:p w14:paraId="6395E922" w14:textId="77777777" w:rsidR="008A5C37" w:rsidRDefault="008A5C37" w:rsidP="008A5C37">
      <w:pPr>
        <w:spacing w:line="360" w:lineRule="auto"/>
        <w:ind w:left="720"/>
        <w:jc w:val="both"/>
        <w:rPr>
          <w:rFonts w:ascii="David" w:hAnsi="David"/>
          <w:rtl/>
        </w:rPr>
      </w:pPr>
      <w:r>
        <w:rPr>
          <w:rFonts w:ascii="David" w:hAnsi="David"/>
          <w:b/>
          <w:bCs/>
          <w:rtl/>
        </w:rPr>
        <w:t xml:space="preserve">ד. לסיכום, </w:t>
      </w:r>
      <w:r>
        <w:rPr>
          <w:rFonts w:ascii="David" w:hAnsi="David"/>
          <w:rtl/>
        </w:rPr>
        <w:t xml:space="preserve">לאחר בחינת מכלול השיקולים, העריך שירות המבחן </w:t>
      </w:r>
      <w:r>
        <w:rPr>
          <w:rFonts w:ascii="David" w:hAnsi="David"/>
          <w:b/>
          <w:bCs/>
          <w:rtl/>
        </w:rPr>
        <w:t>כי גורמי הסיכון להישנות עבירות בעתיד עולים על גורמי הסיכוי לשיקומו.</w:t>
      </w:r>
      <w:r>
        <w:rPr>
          <w:rFonts w:ascii="David" w:hAnsi="David"/>
          <w:rtl/>
        </w:rPr>
        <w:t xml:space="preserve"> נוכח כל האמור לעיל, לרבות התרשמותו מהיעדר לקיחת אחריות מלאה של הנאשם על המיוחס לו ומחוסר ערנותו למצבי הסיכון בהתנהלותו - המשמר את הערכת הסיכון להישנות עבירות דומות בעתיד - נמנע שירות המבחן מהמלצה טיפולית/שיקומית בעניינו.  השירות העריך</w:t>
      </w:r>
      <w:r>
        <w:rPr>
          <w:rFonts w:ascii="David" w:hAnsi="David" w:hint="cs"/>
          <w:rtl/>
        </w:rPr>
        <w:t xml:space="preserve"> כאמור</w:t>
      </w:r>
      <w:r>
        <w:rPr>
          <w:rFonts w:ascii="David" w:hAnsi="David"/>
          <w:rtl/>
        </w:rPr>
        <w:t xml:space="preserve"> כי יש מקום להטלת ענישה מוחשית, מרתיעה ומציבת גבולות ברורים בדמות מאסר בעבודות שירות, לצד מאסר מותנה, כדי לחדד עבור הנאשם את הגבולות בין המותר לאסור ואת המחיר הכרוך בביצוע עבירות מסוג זה. </w:t>
      </w:r>
    </w:p>
    <w:p w14:paraId="091DA2BC" w14:textId="77777777" w:rsidR="008A5C37" w:rsidRDefault="008A5C37" w:rsidP="008A5C37">
      <w:pPr>
        <w:spacing w:line="360" w:lineRule="auto"/>
        <w:ind w:left="720"/>
        <w:jc w:val="both"/>
        <w:rPr>
          <w:rFonts w:ascii="David" w:hAnsi="David"/>
          <w:sz w:val="18"/>
          <w:szCs w:val="18"/>
          <w:rtl/>
        </w:rPr>
      </w:pPr>
    </w:p>
    <w:p w14:paraId="50F8B08E" w14:textId="77777777" w:rsidR="008A5C37" w:rsidRDefault="008A5C37" w:rsidP="008A5C37">
      <w:pPr>
        <w:spacing w:line="360" w:lineRule="auto"/>
        <w:ind w:left="720"/>
        <w:jc w:val="both"/>
        <w:rPr>
          <w:rFonts w:ascii="David" w:hAnsi="David"/>
          <w:b/>
          <w:bCs/>
          <w:u w:val="single"/>
          <w:rtl/>
        </w:rPr>
      </w:pPr>
      <w:r>
        <w:rPr>
          <w:rFonts w:ascii="David" w:hAnsi="David"/>
          <w:b/>
          <w:bCs/>
          <w:u w:val="single"/>
          <w:rtl/>
        </w:rPr>
        <w:t>טיעוני הצדדים לעונש</w:t>
      </w:r>
    </w:p>
    <w:p w14:paraId="6F9A2282" w14:textId="77777777" w:rsidR="008A5C37" w:rsidRDefault="008A5C37" w:rsidP="008A5C37">
      <w:pPr>
        <w:spacing w:line="360" w:lineRule="auto"/>
        <w:jc w:val="both"/>
        <w:rPr>
          <w:rFonts w:ascii="David" w:hAnsi="David"/>
          <w:b/>
          <w:bCs/>
          <w:u w:val="single"/>
          <w:rtl/>
        </w:rPr>
      </w:pPr>
      <w:r>
        <w:rPr>
          <w:rFonts w:ascii="David" w:hAnsi="David"/>
          <w:b/>
          <w:bCs/>
          <w:rtl/>
        </w:rPr>
        <w:t>6.</w:t>
      </w:r>
      <w:r>
        <w:rPr>
          <w:rFonts w:ascii="David" w:hAnsi="David"/>
          <w:b/>
          <w:bCs/>
          <w:rtl/>
        </w:rPr>
        <w:tab/>
      </w:r>
      <w:r>
        <w:rPr>
          <w:rFonts w:ascii="David" w:hAnsi="David"/>
          <w:b/>
          <w:bCs/>
          <w:u w:val="single"/>
          <w:rtl/>
        </w:rPr>
        <w:t>טיעוני המאשימה</w:t>
      </w:r>
    </w:p>
    <w:p w14:paraId="072AB6C9" w14:textId="77777777" w:rsidR="008A5C37" w:rsidRDefault="008A5C37" w:rsidP="008A5C37">
      <w:pPr>
        <w:spacing w:line="360" w:lineRule="auto"/>
        <w:ind w:left="720"/>
        <w:jc w:val="both"/>
        <w:rPr>
          <w:rFonts w:ascii="David" w:hAnsi="David"/>
          <w:rtl/>
        </w:rPr>
      </w:pPr>
      <w:r>
        <w:rPr>
          <w:rFonts w:ascii="David" w:hAnsi="David"/>
          <w:rtl/>
        </w:rPr>
        <w:t xml:space="preserve">המאשימה עתרה להשית על הנאשם מאסר בפועל ברף האמצעי של מתחם העונש ההולם, הנע לשיטתה במקרה הנדון בטווח שבין 2.5 ל- 5 שנות מאסר בפועל, מאסר על תנאי ממושך וקנס. </w:t>
      </w:r>
    </w:p>
    <w:p w14:paraId="0CB303AE" w14:textId="77777777" w:rsidR="008A5C37" w:rsidRPr="007D1951" w:rsidRDefault="008A5C37" w:rsidP="008A5C37">
      <w:pPr>
        <w:spacing w:line="360" w:lineRule="auto"/>
        <w:ind w:left="720"/>
        <w:jc w:val="both"/>
        <w:rPr>
          <w:rFonts w:ascii="David" w:hAnsi="David"/>
          <w:sz w:val="10"/>
          <w:szCs w:val="10"/>
          <w:rtl/>
        </w:rPr>
      </w:pPr>
    </w:p>
    <w:p w14:paraId="4AA0E8B3" w14:textId="77777777" w:rsidR="008A5C37" w:rsidRDefault="008A5C37" w:rsidP="008A5C37">
      <w:pPr>
        <w:spacing w:line="360" w:lineRule="auto"/>
        <w:ind w:left="720"/>
        <w:jc w:val="both"/>
        <w:rPr>
          <w:rFonts w:ascii="David" w:hAnsi="David"/>
          <w:rtl/>
        </w:rPr>
      </w:pPr>
      <w:r>
        <w:rPr>
          <w:rFonts w:ascii="David" w:hAnsi="David"/>
          <w:b/>
          <w:bCs/>
          <w:rtl/>
        </w:rPr>
        <w:t>א.</w:t>
      </w:r>
      <w:r>
        <w:rPr>
          <w:rFonts w:ascii="David" w:hAnsi="David"/>
          <w:rtl/>
        </w:rPr>
        <w:t xml:space="preserve"> בחזרה על עובדות כתב האישום המתוקן שבהן הודה הנאשם, הדגישה ב"כ המאשימה את החומרה הרבה ואת הסכנות הגלומות בביצוע עבירות בנשק, המחייבות הטלת ענישה מחמירה מאחורי סורג ובריח, לשם הרתעת היחיד והרבים. לטענתה, גם במקרים שבהם הנשק אינו מוחזק למטרת ביצוען של עבירות אחרות, קיים סיכון רב בהחזקתו שלא כדין, מקל וחומר על ידי מי שאינו מיומן בו. </w:t>
      </w:r>
    </w:p>
    <w:p w14:paraId="1A0C079A" w14:textId="77777777" w:rsidR="008A5C37" w:rsidRDefault="008A5C37" w:rsidP="008A5C37">
      <w:pPr>
        <w:spacing w:line="360" w:lineRule="auto"/>
        <w:ind w:left="720"/>
        <w:jc w:val="both"/>
        <w:rPr>
          <w:rFonts w:ascii="David" w:hAnsi="David"/>
          <w:sz w:val="14"/>
          <w:szCs w:val="14"/>
          <w:rtl/>
        </w:rPr>
      </w:pPr>
    </w:p>
    <w:p w14:paraId="5A8C59FD" w14:textId="77777777" w:rsidR="008A5C37" w:rsidRDefault="008A5C37" w:rsidP="008A5C37">
      <w:pPr>
        <w:spacing w:line="360" w:lineRule="auto"/>
        <w:ind w:left="720"/>
        <w:jc w:val="both"/>
        <w:rPr>
          <w:rFonts w:ascii="David" w:hAnsi="David"/>
          <w:rtl/>
        </w:rPr>
      </w:pPr>
      <w:r>
        <w:rPr>
          <w:rFonts w:ascii="David" w:hAnsi="David"/>
          <w:b/>
          <w:bCs/>
          <w:rtl/>
        </w:rPr>
        <w:t xml:space="preserve">ב. אשר לנסיבות ביצוע העבירות, </w:t>
      </w:r>
      <w:r>
        <w:rPr>
          <w:rFonts w:ascii="David" w:hAnsi="David"/>
          <w:rtl/>
        </w:rPr>
        <w:t xml:space="preserve">בהפנותה </w:t>
      </w:r>
      <w:hyperlink r:id="rId24" w:history="1">
        <w:r w:rsidR="00121052" w:rsidRPr="00121052">
          <w:rPr>
            <w:rStyle w:val="Hyperlink"/>
            <w:rFonts w:ascii="David" w:hAnsi="David"/>
            <w:rtl/>
          </w:rPr>
          <w:t>לסעיף 40ט(א)</w:t>
        </w:r>
      </w:hyperlink>
      <w:r>
        <w:rPr>
          <w:rFonts w:ascii="David" w:hAnsi="David"/>
          <w:rtl/>
        </w:rPr>
        <w:t xml:space="preserve"> ל</w:t>
      </w:r>
      <w:hyperlink r:id="rId25" w:history="1">
        <w:r w:rsidR="00C16C4C" w:rsidRPr="00C16C4C">
          <w:rPr>
            <w:rFonts w:ascii="David" w:hAnsi="David"/>
            <w:color w:val="0000FF"/>
            <w:u w:val="single"/>
            <w:rtl/>
          </w:rPr>
          <w:t>חוק העונשין</w:t>
        </w:r>
      </w:hyperlink>
      <w:r>
        <w:rPr>
          <w:rFonts w:ascii="David" w:hAnsi="David"/>
          <w:rtl/>
        </w:rPr>
        <w:t xml:space="preserve">, טענה כי קיימות בענייננו נסיבות מחמירות רבות במעשיו של הנאשם. לשיטתה מדובר בעבירות המצויות ברף חומרה גבוה, שכן הגם שבשני המקרים הנשיאה הייתה קצרה, רגעית ולא מתמשכת מבחינתו של הנאשם, הרי שמדובר בנשיאה וביצוע ירי בנשק צה"לי, נשק שניתן לחיילי צה"ל לשם שימוש במסגרת השירות הצבאי, תחת הוראות ותנאים קפדניים, ולא ככלי משחק לאחרים. הנאשם, שאינו חייל החזיק בנשק ונשא אותו בשתי הזדמנויות שונות, ואף ביצע ירי באמצעותו. </w:t>
      </w:r>
    </w:p>
    <w:p w14:paraId="55651DD8" w14:textId="77777777" w:rsidR="008A5C37" w:rsidRPr="007D1951" w:rsidRDefault="008A5C37" w:rsidP="008A5C37">
      <w:pPr>
        <w:spacing w:line="360" w:lineRule="auto"/>
        <w:ind w:left="720"/>
        <w:jc w:val="both"/>
        <w:rPr>
          <w:rFonts w:ascii="David" w:hAnsi="David"/>
          <w:sz w:val="12"/>
          <w:szCs w:val="12"/>
          <w:rtl/>
        </w:rPr>
      </w:pPr>
    </w:p>
    <w:p w14:paraId="2336C6A1" w14:textId="77777777" w:rsidR="008A5C37" w:rsidRDefault="008A5C37" w:rsidP="008A5C37">
      <w:pPr>
        <w:spacing w:line="360" w:lineRule="auto"/>
        <w:ind w:left="720"/>
        <w:jc w:val="both"/>
        <w:rPr>
          <w:rFonts w:ascii="David" w:hAnsi="David"/>
          <w:rtl/>
        </w:rPr>
      </w:pPr>
      <w:r>
        <w:rPr>
          <w:rFonts w:ascii="David" w:hAnsi="David"/>
          <w:rtl/>
        </w:rPr>
        <w:t xml:space="preserve">מעשיו של הנאשם לא גרמו לנזק למרבה המזל, אך </w:t>
      </w:r>
      <w:r>
        <w:rPr>
          <w:rFonts w:ascii="David" w:hAnsi="David"/>
          <w:b/>
          <w:bCs/>
          <w:rtl/>
        </w:rPr>
        <w:t>הפוטנציאל לסיכון ולנזק כתוצאה מהירי הוא הרסני וגבוה</w:t>
      </w:r>
      <w:r>
        <w:rPr>
          <w:rFonts w:ascii="David" w:hAnsi="David"/>
          <w:rtl/>
        </w:rPr>
        <w:t xml:space="preserve">, לעצמו, לבן דודו ולאחרים בטווח. מדובר בנאשם </w:t>
      </w:r>
      <w:r>
        <w:rPr>
          <w:rFonts w:ascii="David" w:hAnsi="David"/>
          <w:b/>
          <w:bCs/>
          <w:rtl/>
        </w:rPr>
        <w:t>בגיר אשר יכול היה להבין את הפסול שבמעשיו</w:t>
      </w:r>
      <w:r>
        <w:rPr>
          <w:rFonts w:ascii="David" w:hAnsi="David"/>
          <w:rtl/>
        </w:rPr>
        <w:t xml:space="preserve">, ולהימנע מביצועם בכל רגע נתון. </w:t>
      </w:r>
    </w:p>
    <w:p w14:paraId="076EDC31" w14:textId="77777777" w:rsidR="008A5C37" w:rsidRDefault="008A5C37" w:rsidP="008A5C37">
      <w:pPr>
        <w:spacing w:line="360" w:lineRule="auto"/>
        <w:ind w:left="720"/>
        <w:jc w:val="both"/>
        <w:rPr>
          <w:rFonts w:ascii="David" w:hAnsi="David"/>
          <w:sz w:val="12"/>
          <w:szCs w:val="12"/>
          <w:rtl/>
        </w:rPr>
      </w:pPr>
    </w:p>
    <w:p w14:paraId="43020523" w14:textId="77777777" w:rsidR="008A5C37" w:rsidRDefault="008A5C37" w:rsidP="008A5C37">
      <w:pPr>
        <w:spacing w:line="360" w:lineRule="auto"/>
        <w:ind w:left="720"/>
        <w:jc w:val="both"/>
        <w:rPr>
          <w:rFonts w:ascii="David" w:hAnsi="David"/>
          <w:rtl/>
        </w:rPr>
      </w:pPr>
      <w:r>
        <w:rPr>
          <w:rFonts w:ascii="David" w:hAnsi="David"/>
          <w:rtl/>
        </w:rPr>
        <w:t xml:space="preserve">כן נטען כי יש לייחס חומרה נוספת לכך שמדובר </w:t>
      </w:r>
      <w:r>
        <w:rPr>
          <w:rFonts w:ascii="David" w:hAnsi="David"/>
          <w:b/>
          <w:bCs/>
          <w:rtl/>
        </w:rPr>
        <w:t>בביצוע עבירות בשתי הזדמנויות שונות</w:t>
      </w:r>
      <w:r>
        <w:rPr>
          <w:rFonts w:ascii="David" w:hAnsi="David"/>
          <w:rtl/>
        </w:rPr>
        <w:t xml:space="preserve">, כאשר הנאשם חזר פעם נוספת אל השמורה וביצע ירי נוסף באמצעות הנשק. ללמדנו כי הנאשם לא נרתע ולא חשש מפני ההשלכות הצפויות ממעשיו או ממידת הסיכון הנשקפת לו ולאחרים. עוד התבקש בית המשפט ליתן משקל </w:t>
      </w:r>
      <w:r>
        <w:rPr>
          <w:rFonts w:ascii="David" w:hAnsi="David"/>
          <w:b/>
          <w:bCs/>
          <w:rtl/>
        </w:rPr>
        <w:t>לשיקולים של הרתעה אישית והרתעת הרבים</w:t>
      </w:r>
      <w:r>
        <w:rPr>
          <w:rFonts w:ascii="David" w:hAnsi="David"/>
          <w:rtl/>
        </w:rPr>
        <w:t xml:space="preserve"> (כמפורט </w:t>
      </w:r>
      <w:hyperlink r:id="rId26" w:history="1">
        <w:r w:rsidR="00121052" w:rsidRPr="00121052">
          <w:rPr>
            <w:rStyle w:val="Hyperlink"/>
            <w:rFonts w:ascii="David" w:hAnsi="David"/>
            <w:rtl/>
          </w:rPr>
          <w:t>בסעיפים 40</w:t>
        </w:r>
      </w:hyperlink>
      <w:r>
        <w:rPr>
          <w:rFonts w:ascii="David" w:hAnsi="David"/>
          <w:rtl/>
        </w:rPr>
        <w:t xml:space="preserve"> ו ו- </w:t>
      </w:r>
      <w:hyperlink r:id="rId27" w:history="1">
        <w:r w:rsidR="00121052" w:rsidRPr="00121052">
          <w:rPr>
            <w:rStyle w:val="Hyperlink"/>
            <w:rFonts w:ascii="David" w:hAnsi="David"/>
            <w:rtl/>
          </w:rPr>
          <w:t>40ז</w:t>
        </w:r>
      </w:hyperlink>
      <w:r>
        <w:rPr>
          <w:rFonts w:ascii="David" w:hAnsi="David"/>
          <w:rtl/>
        </w:rPr>
        <w:t xml:space="preserve"> ל</w:t>
      </w:r>
      <w:hyperlink r:id="rId28" w:history="1">
        <w:r w:rsidR="00C16C4C" w:rsidRPr="00C16C4C">
          <w:rPr>
            <w:rFonts w:ascii="David" w:hAnsi="David"/>
            <w:color w:val="0000FF"/>
            <w:u w:val="single"/>
            <w:rtl/>
          </w:rPr>
          <w:t>חוק העונשין</w:t>
        </w:r>
      </w:hyperlink>
      <w:r>
        <w:rPr>
          <w:rFonts w:ascii="David" w:hAnsi="David"/>
          <w:rtl/>
        </w:rPr>
        <w:t xml:space="preserve">). לטענת ב"כ המאשימה, דווקא במקרה זה קיימת חשיבות למתן עונש ממשי ומוחשי שיהווה גורם מרתיע לכל מי שישקול לעשות שימוש בנשק צהלי או בנשק בכלל. מתן עונש מקל יעביר מסר שגוי לציבור ולנאשם עצמו כי נשקי צה"ל הם כלי משחק, שניתן לעשות בהם שימוש ולהתאמן, ללא השלכות או סיכון ממשי, ויחטא למטרת הרתעת הרבים והיחיד מפני ביצוע עבירות דומות. לפיכך, עתרה להחמיר בדינו של הנאשם, אף משיקול זה. </w:t>
      </w:r>
    </w:p>
    <w:p w14:paraId="3F8BF88A" w14:textId="77777777" w:rsidR="008A5C37" w:rsidRDefault="008A5C37" w:rsidP="008A5C37">
      <w:pPr>
        <w:spacing w:line="360" w:lineRule="auto"/>
        <w:ind w:left="720"/>
        <w:jc w:val="both"/>
        <w:rPr>
          <w:rFonts w:ascii="David" w:hAnsi="David"/>
          <w:sz w:val="12"/>
          <w:szCs w:val="12"/>
          <w:rtl/>
        </w:rPr>
      </w:pPr>
    </w:p>
    <w:p w14:paraId="77CAA464" w14:textId="77777777" w:rsidR="008A5C37" w:rsidRDefault="008A5C37" w:rsidP="008A5C37">
      <w:pPr>
        <w:spacing w:line="360" w:lineRule="auto"/>
        <w:ind w:left="720"/>
        <w:jc w:val="both"/>
        <w:rPr>
          <w:rFonts w:ascii="David" w:hAnsi="David"/>
          <w:rtl/>
        </w:rPr>
      </w:pPr>
      <w:r>
        <w:rPr>
          <w:rFonts w:ascii="David" w:hAnsi="David"/>
          <w:b/>
          <w:bCs/>
          <w:rtl/>
        </w:rPr>
        <w:t>ג.</w:t>
      </w:r>
      <w:r>
        <w:rPr>
          <w:rFonts w:ascii="David" w:hAnsi="David"/>
          <w:rtl/>
        </w:rPr>
        <w:t xml:space="preserve"> מעשיו של הנאשם פגעו </w:t>
      </w:r>
      <w:r>
        <w:rPr>
          <w:rFonts w:ascii="David" w:hAnsi="David"/>
          <w:b/>
          <w:bCs/>
          <w:rtl/>
        </w:rPr>
        <w:t>בערכים החברתיים המוגנים</w:t>
      </w:r>
      <w:r>
        <w:rPr>
          <w:rFonts w:ascii="David" w:hAnsi="David"/>
          <w:rtl/>
        </w:rPr>
        <w:t xml:space="preserve"> של הבטחת שלום הציבור, וההגנה על חיי אדם מפני הפגיעה הנגרמת כתוצאה משימוש פוגעני, בלתי מורשה ובלתי מיומן בנשק. לעניין זה הוסיפה כי בית המשפט העליון קבע לא אחת כי עבירות בנשק מקימות סיכון ממשי וחמור לציבור ויוצרות פוטנציאל להסלמה עבריינית. </w:t>
      </w:r>
    </w:p>
    <w:p w14:paraId="34117D80" w14:textId="77777777" w:rsidR="008A5C37" w:rsidRPr="007D1951" w:rsidRDefault="008A5C37" w:rsidP="008A5C37">
      <w:pPr>
        <w:spacing w:line="360" w:lineRule="auto"/>
        <w:ind w:left="720"/>
        <w:jc w:val="both"/>
        <w:rPr>
          <w:rFonts w:ascii="David" w:hAnsi="David"/>
          <w:sz w:val="12"/>
          <w:szCs w:val="12"/>
          <w:rtl/>
        </w:rPr>
      </w:pPr>
    </w:p>
    <w:p w14:paraId="1E086401" w14:textId="77777777" w:rsidR="008A5C37" w:rsidRDefault="008A5C37" w:rsidP="008A5C37">
      <w:pPr>
        <w:spacing w:line="360" w:lineRule="auto"/>
        <w:ind w:left="720"/>
        <w:jc w:val="both"/>
        <w:rPr>
          <w:rFonts w:ascii="David" w:hAnsi="David"/>
          <w:rtl/>
        </w:rPr>
      </w:pPr>
      <w:r>
        <w:rPr>
          <w:rFonts w:ascii="David" w:hAnsi="David"/>
          <w:b/>
          <w:bCs/>
          <w:rtl/>
        </w:rPr>
        <w:t xml:space="preserve">ד. במסגרת הנסיבות לחומרה כמפורט לעיל </w:t>
      </w:r>
      <w:r>
        <w:rPr>
          <w:rFonts w:ascii="David" w:hAnsi="David"/>
          <w:rtl/>
        </w:rPr>
        <w:t>הפנתה למדיניות הענישה הנוהגת, לשיטתה, במקרים דומים -  בהדגישה כי מדיניות הענישה הנוהגת מהווה רק שיקול אחד ממכלול השיקולים המובאים בעת קביעת מחתם העונש ההולם- ועתרה להעמיד את מתחם העונש ההולם על טווח שבין 2.5 ל- 5 שנות מאסר בפועל, כאמור.</w:t>
      </w:r>
    </w:p>
    <w:p w14:paraId="42F13F4C" w14:textId="77777777" w:rsidR="008A5C37" w:rsidRPr="007D1951" w:rsidRDefault="008A5C37" w:rsidP="008A5C37">
      <w:pPr>
        <w:spacing w:line="360" w:lineRule="auto"/>
        <w:ind w:left="720"/>
        <w:jc w:val="both"/>
        <w:rPr>
          <w:rFonts w:ascii="David" w:hAnsi="David"/>
          <w:sz w:val="10"/>
          <w:szCs w:val="10"/>
          <w:rtl/>
        </w:rPr>
      </w:pPr>
    </w:p>
    <w:p w14:paraId="3C1624A5" w14:textId="77777777" w:rsidR="008A5C37" w:rsidRDefault="008A5C37" w:rsidP="008A5C37">
      <w:pPr>
        <w:spacing w:line="360" w:lineRule="auto"/>
        <w:ind w:left="720"/>
        <w:jc w:val="both"/>
        <w:rPr>
          <w:rFonts w:ascii="David" w:hAnsi="David"/>
          <w:rtl/>
        </w:rPr>
      </w:pPr>
      <w:r>
        <w:rPr>
          <w:rFonts w:ascii="David" w:hAnsi="David"/>
          <w:b/>
          <w:bCs/>
          <w:rtl/>
        </w:rPr>
        <w:t xml:space="preserve">ה. אשר לנסיבות שאינן קשורות בביצוע העבירות, </w:t>
      </w:r>
      <w:r>
        <w:rPr>
          <w:rFonts w:ascii="David" w:hAnsi="David"/>
          <w:rtl/>
        </w:rPr>
        <w:t xml:space="preserve">ציינה ב"כ המאשימה לקולה כי מדובר בנאשם בן 31, נעדר עבר פלילי, אשר הורשע על יסוד הודייתו. עם זאת, ציינה כי נסיבות אלה ייזקפו לזכותו בעונש שייקבע בתוך המתחם המבוקש ולא מחוצה לו. לשיטתה, אין בנסיבותיו האישיות משום סיבה לחרוג לקולה מהמתחם, זאת בהעדר שיקולי שיקום ובהעדר קרבה כלשהי לסייג, כאשר לדידה, תסקיר שירות המבחן מחזק את עמדת המאשימה בדבר הצורך בהשתת ענישה מחמירה ומוחשית במקרה הנדון. לעניין זה הדגישה את התרשמותו של השירות כי הנאשם אינו נוטל אחריות למעשיו, התקשה למסור מידע קוהרנטי בנוגע לרמת מעורבותו, כאמור, ואופן התנהלותו בביצוע העבירות. נוסף על כך, הצהרתו המילולית בדבר נכונותו לבצע הליך טיפולי, לא עלתה בקנה אחד עם התנהגותו המניפולטיבית כאשר התבקש להתייצב לראיון התאמה, ועם מסירת מידע כוזב באשר לגבי סיבת איחורו. כן הדגישה את התרשמותו של השירות כי גורמי הסיכון בעניינו עולים על גורמי הסיכוי, בדבר העדר לקיחת אחריות מלאה וחוסר ערנותו של הנאשם למצבי סיכון - מה שמשמר את הסיכון להישנות עבירות דומות בעתיד, ואת החלטתו להימנע מלבוא בהמלצה טיפולית בעניינו. בנסיבות אלו הביעה ב"כ המאשימה תמיהה על המלצתו של שירות המבחן להשתת ענישה מוחשית בדמות עבודות שירות, בטענה כי אין היא תואמת את האמור בגוף התסקיר, ואף אינה תואמת את רמת הענישה המתחייבת בעבירות מהסוג הנדון בכלל ובמקרה הספציפי בפרט. </w:t>
      </w:r>
    </w:p>
    <w:p w14:paraId="3888A635" w14:textId="77777777" w:rsidR="008A5C37" w:rsidRDefault="008A5C37" w:rsidP="008A5C37">
      <w:pPr>
        <w:spacing w:line="360" w:lineRule="auto"/>
        <w:ind w:left="720"/>
        <w:jc w:val="both"/>
        <w:rPr>
          <w:rFonts w:ascii="David" w:hAnsi="David"/>
          <w:sz w:val="12"/>
          <w:szCs w:val="12"/>
          <w:rtl/>
        </w:rPr>
      </w:pPr>
    </w:p>
    <w:p w14:paraId="6D5D180B" w14:textId="77777777" w:rsidR="008A5C37" w:rsidRDefault="008A5C37" w:rsidP="008A5C37">
      <w:pPr>
        <w:spacing w:line="360" w:lineRule="auto"/>
        <w:ind w:left="720"/>
        <w:jc w:val="both"/>
        <w:rPr>
          <w:rFonts w:ascii="David" w:hAnsi="David"/>
          <w:rtl/>
        </w:rPr>
      </w:pPr>
      <w:r>
        <w:rPr>
          <w:rFonts w:ascii="David" w:hAnsi="David"/>
          <w:b/>
          <w:bCs/>
          <w:rtl/>
        </w:rPr>
        <w:t>ו.</w:t>
      </w:r>
      <w:r>
        <w:rPr>
          <w:rFonts w:ascii="David" w:hAnsi="David"/>
          <w:rtl/>
        </w:rPr>
        <w:t xml:space="preserve"> לפיכך, עתרה ב"כ המאשימה להשית על הנאשם עונש מאסר מאחורי סורג ובריח, המצוי כאמור ברף האמצעי של המתחם המבוקש על ידה; זאת לצד עונשים נלווים כמפורט לעיל.</w:t>
      </w:r>
    </w:p>
    <w:p w14:paraId="27704134" w14:textId="77777777" w:rsidR="008A5C37" w:rsidRDefault="008A5C37" w:rsidP="008A5C37">
      <w:pPr>
        <w:spacing w:line="360" w:lineRule="auto"/>
        <w:ind w:left="720"/>
        <w:jc w:val="both"/>
        <w:rPr>
          <w:rFonts w:ascii="David" w:hAnsi="David"/>
          <w:sz w:val="12"/>
          <w:szCs w:val="12"/>
          <w:rtl/>
        </w:rPr>
      </w:pPr>
    </w:p>
    <w:p w14:paraId="18822E40" w14:textId="77777777" w:rsidR="008A5C37" w:rsidRDefault="008A5C37" w:rsidP="008A5C37">
      <w:pPr>
        <w:spacing w:line="360" w:lineRule="auto"/>
        <w:ind w:left="720"/>
        <w:jc w:val="both"/>
        <w:rPr>
          <w:rFonts w:ascii="David" w:hAnsi="David"/>
          <w:sz w:val="2"/>
          <w:szCs w:val="2"/>
          <w:rtl/>
        </w:rPr>
      </w:pPr>
    </w:p>
    <w:p w14:paraId="5535163B" w14:textId="77777777" w:rsidR="008A5C37" w:rsidRDefault="008A5C37" w:rsidP="008A5C37">
      <w:pPr>
        <w:spacing w:line="360" w:lineRule="auto"/>
        <w:jc w:val="both"/>
        <w:rPr>
          <w:rFonts w:ascii="David" w:hAnsi="David"/>
          <w:b/>
          <w:bCs/>
          <w:u w:val="single"/>
          <w:rtl/>
        </w:rPr>
      </w:pPr>
      <w:r>
        <w:rPr>
          <w:rFonts w:ascii="David" w:hAnsi="David"/>
          <w:b/>
          <w:bCs/>
          <w:rtl/>
        </w:rPr>
        <w:t>7.</w:t>
      </w:r>
      <w:r>
        <w:rPr>
          <w:rFonts w:ascii="David" w:hAnsi="David"/>
          <w:b/>
          <w:bCs/>
          <w:rtl/>
        </w:rPr>
        <w:tab/>
      </w:r>
      <w:r>
        <w:rPr>
          <w:rFonts w:ascii="David" w:hAnsi="David"/>
          <w:b/>
          <w:bCs/>
          <w:u w:val="single"/>
          <w:rtl/>
        </w:rPr>
        <w:t>טיעוני ההגנה</w:t>
      </w:r>
    </w:p>
    <w:p w14:paraId="70A2AC1F" w14:textId="77777777" w:rsidR="008A5C37" w:rsidRDefault="008A5C37" w:rsidP="008A5C37">
      <w:pPr>
        <w:spacing w:line="360" w:lineRule="auto"/>
        <w:ind w:left="720"/>
        <w:jc w:val="both"/>
        <w:rPr>
          <w:rFonts w:ascii="David" w:hAnsi="David"/>
          <w:rtl/>
        </w:rPr>
      </w:pPr>
      <w:r>
        <w:rPr>
          <w:rFonts w:ascii="David" w:hAnsi="David"/>
          <w:rtl/>
        </w:rPr>
        <w:t>הסנגור עתר שלא למצות את הדין עם הנאשם, ולאמץ בעניינו את המלצת שירות המבחן העומדת בהלימה למתחם העונש ההולם הנע לשיטתו בטווח שבין מספר חודשי מאסר שיכול וירוצו בעבודות שירות לבין 18 חודשי מאסר.</w:t>
      </w:r>
    </w:p>
    <w:p w14:paraId="2BB22789" w14:textId="77777777" w:rsidR="008A5C37" w:rsidRDefault="008A5C37" w:rsidP="008A5C37">
      <w:pPr>
        <w:spacing w:line="360" w:lineRule="auto"/>
        <w:ind w:left="720"/>
        <w:jc w:val="both"/>
        <w:rPr>
          <w:rFonts w:ascii="David" w:hAnsi="David"/>
          <w:sz w:val="10"/>
          <w:szCs w:val="10"/>
          <w:rtl/>
        </w:rPr>
      </w:pPr>
    </w:p>
    <w:p w14:paraId="6CA3796D" w14:textId="77777777" w:rsidR="008A5C37" w:rsidRDefault="008A5C37" w:rsidP="008A5C37">
      <w:pPr>
        <w:spacing w:line="360" w:lineRule="auto"/>
        <w:ind w:left="720"/>
        <w:jc w:val="both"/>
        <w:rPr>
          <w:rFonts w:ascii="David" w:hAnsi="David"/>
          <w:rtl/>
        </w:rPr>
      </w:pPr>
      <w:r>
        <w:rPr>
          <w:rFonts w:ascii="David" w:hAnsi="David"/>
          <w:b/>
          <w:bCs/>
          <w:rtl/>
        </w:rPr>
        <w:t>א.</w:t>
      </w:r>
      <w:r>
        <w:rPr>
          <w:rFonts w:ascii="David" w:hAnsi="David"/>
          <w:rtl/>
        </w:rPr>
        <w:t xml:space="preserve"> בפתח טיעוניו – לאחר שהנאשם חזר ועמד על הודייתו בעובדות כתב האישום המתוקן, כמפורט לעיל - תאר הסניגור את הנסיבות שהביאו למעצרו של הנאשם, אשר התבקש על ידי ניידת לעצור את רכבו "כדי לבדוק משהו תעבורתי"; השוטר ראה  תמונה של הנשק הצה"לי על מסך הטלפון שלו, ולאחר שנעצר נמצאו אצלו שני סרטונים הנוגעים לאירועים נשוא כתב האישום המתוקן.  </w:t>
      </w:r>
    </w:p>
    <w:p w14:paraId="56762F73" w14:textId="77777777" w:rsidR="008A5C37" w:rsidRDefault="008A5C37" w:rsidP="008A5C37">
      <w:pPr>
        <w:spacing w:line="360" w:lineRule="auto"/>
        <w:ind w:left="720"/>
        <w:jc w:val="both"/>
        <w:rPr>
          <w:rFonts w:ascii="David" w:hAnsi="David"/>
          <w:sz w:val="10"/>
          <w:szCs w:val="10"/>
          <w:rtl/>
        </w:rPr>
      </w:pPr>
    </w:p>
    <w:p w14:paraId="0F073B80" w14:textId="77777777" w:rsidR="008A5C37" w:rsidRDefault="008A5C37" w:rsidP="008A5C37">
      <w:pPr>
        <w:spacing w:line="360" w:lineRule="auto"/>
        <w:ind w:left="720"/>
        <w:jc w:val="both"/>
        <w:rPr>
          <w:rFonts w:ascii="David" w:hAnsi="David"/>
          <w:b/>
          <w:bCs/>
          <w:u w:val="single"/>
          <w:rtl/>
        </w:rPr>
      </w:pPr>
      <w:r>
        <w:rPr>
          <w:rFonts w:ascii="David" w:hAnsi="David"/>
          <w:rtl/>
        </w:rPr>
        <w:t>הסנגור טען כי טיעוני המאשימה אינם עומדים בהלימה לעבירה שביצע הנאשם, וכי מדובר</w:t>
      </w:r>
      <w:r>
        <w:rPr>
          <w:rFonts w:ascii="David" w:hAnsi="David" w:hint="cs"/>
          <w:rtl/>
        </w:rPr>
        <w:t xml:space="preserve"> בענייננו</w:t>
      </w:r>
      <w:r>
        <w:rPr>
          <w:rFonts w:ascii="David" w:hAnsi="David"/>
          <w:rtl/>
        </w:rPr>
        <w:t xml:space="preserve"> במקרה חריג, השונה בנסיבותיו מעבירות בנשק הבאות לפתחם של בתי המשפט.</w:t>
      </w:r>
    </w:p>
    <w:p w14:paraId="2382667B" w14:textId="77777777" w:rsidR="008A5C37" w:rsidRDefault="008A5C37" w:rsidP="008A5C37">
      <w:pPr>
        <w:spacing w:line="360" w:lineRule="auto"/>
        <w:ind w:left="720"/>
        <w:jc w:val="both"/>
        <w:rPr>
          <w:rFonts w:ascii="David" w:hAnsi="David"/>
          <w:b/>
          <w:bCs/>
          <w:sz w:val="12"/>
          <w:szCs w:val="12"/>
          <w:u w:val="single"/>
          <w:rtl/>
        </w:rPr>
      </w:pPr>
    </w:p>
    <w:p w14:paraId="5CA25360" w14:textId="77777777" w:rsidR="008A5C37" w:rsidRDefault="008A5C37" w:rsidP="008A5C37">
      <w:pPr>
        <w:spacing w:line="360" w:lineRule="auto"/>
        <w:ind w:left="720"/>
        <w:jc w:val="both"/>
        <w:rPr>
          <w:rFonts w:ascii="David" w:hAnsi="David"/>
          <w:rtl/>
        </w:rPr>
      </w:pPr>
      <w:r>
        <w:rPr>
          <w:rFonts w:ascii="David" w:hAnsi="David"/>
          <w:b/>
          <w:bCs/>
          <w:rtl/>
        </w:rPr>
        <w:t xml:space="preserve">ב. אשר לנסיבות ביצוע העבירות, </w:t>
      </w:r>
      <w:r>
        <w:rPr>
          <w:rFonts w:ascii="David" w:hAnsi="David" w:hint="cs"/>
          <w:rtl/>
        </w:rPr>
        <w:t xml:space="preserve">בציינו </w:t>
      </w:r>
      <w:r>
        <w:rPr>
          <w:rFonts w:ascii="David" w:hAnsi="David"/>
          <w:rtl/>
        </w:rPr>
        <w:t>כי ההגנה אינה מקלה ראש בחומרת המעשים וערה למגמת ההחמרה בפסיקת בית המשפט העליון כלפי מבצעי עבירות בנשק,</w:t>
      </w:r>
      <w:r>
        <w:rPr>
          <w:rFonts w:ascii="David" w:hAnsi="David"/>
          <w:b/>
          <w:bCs/>
          <w:rtl/>
        </w:rPr>
        <w:t xml:space="preserve"> </w:t>
      </w:r>
      <w:r>
        <w:rPr>
          <w:rFonts w:ascii="David" w:hAnsi="David"/>
          <w:rtl/>
        </w:rPr>
        <w:t xml:space="preserve">חזר וטען הסנגור כי אין מדובר בענייננו בתיק נשק קלאסי, והפנה להחלטתו של כב' הש' סילמן מיום 2/2/22 בבקשת המאשימה למעצרו של הנאשם עד לתום ההליכים, שבמסגרתה הורה באופן חריג על מעצרו של הנאשם באזוק אלקטרוני, אף ללא תסקיר מעצר. לשיטתו, </w:t>
      </w:r>
      <w:r>
        <w:rPr>
          <w:rtl/>
        </w:rPr>
        <w:t xml:space="preserve">המסוכנות עולה משאלת הנגישות לנשק ולכוונת השימוש בו, בין אם לפעילות עבריינית או פעילות ביטחונית. בענייננו, מדובר בבני משפחה אשר גילו זילות בחובה לשמור על הנשק ולהרחיקו, אך מקור הנשק ברור וידוע, ועל פני הדברים אין מדובר בכוונה עבריינית או בכוונה לפגוע בביטחון המדינה, אלא "במשובה שראוי שלא הייתה באה לעולם". </w:t>
      </w:r>
      <w:r>
        <w:rPr>
          <w:rFonts w:ascii="David" w:hAnsi="David"/>
          <w:rtl/>
        </w:rPr>
        <w:t xml:space="preserve">לטענת הסנגור הגם שהדברים נאמרו במסגרת הליכי המעצר, כוחם יפה ביתר שאת לעניין הטיעונים לעונש. </w:t>
      </w:r>
    </w:p>
    <w:p w14:paraId="5A6569C8" w14:textId="77777777" w:rsidR="008A5C37" w:rsidRPr="008A5C37" w:rsidRDefault="008A5C37" w:rsidP="008A5C37">
      <w:pPr>
        <w:spacing w:line="360" w:lineRule="auto"/>
        <w:ind w:left="720"/>
        <w:jc w:val="both"/>
        <w:rPr>
          <w:rFonts w:ascii="Calibri" w:hAnsi="Calibri" w:cs="Arial"/>
          <w:sz w:val="14"/>
          <w:szCs w:val="14"/>
          <w:rtl/>
        </w:rPr>
      </w:pPr>
    </w:p>
    <w:p w14:paraId="7F980AAC" w14:textId="77777777" w:rsidR="008A5C37" w:rsidRDefault="008A5C37" w:rsidP="008A5C37">
      <w:pPr>
        <w:spacing w:line="360" w:lineRule="auto"/>
        <w:ind w:left="720"/>
        <w:jc w:val="both"/>
        <w:rPr>
          <w:rFonts w:ascii="David" w:hAnsi="David"/>
          <w:rtl/>
        </w:rPr>
      </w:pPr>
      <w:r>
        <w:rPr>
          <w:rFonts w:ascii="David" w:hAnsi="David"/>
          <w:rtl/>
        </w:rPr>
        <w:t>הסנגור טען כי כתב האישום הוגש לבית המשפט המחוזי מפני שמדובר בהרשעה בעבירה "הטכנית", לשיטתו, של נשיאת נשק המהווה חלק עובדתי בשרשרת העובדתית של כל ביצוע ירי. יחד עם זאת, יש לטענתו ליתן משקל לכך ש</w:t>
      </w:r>
      <w:r>
        <w:rPr>
          <w:rFonts w:ascii="David" w:hAnsi="David"/>
          <w:b/>
          <w:bCs/>
          <w:rtl/>
        </w:rPr>
        <w:t>בשני המקרים מדובר כאמור בנשיאה רגעית בלבד</w:t>
      </w:r>
      <w:r>
        <w:rPr>
          <w:rFonts w:ascii="David" w:hAnsi="David"/>
          <w:rtl/>
        </w:rPr>
        <w:t>, כאשר הצדדים הגיעו, בסיועו של בית המשפט, להסכמה שקיבלה גם ביטוי בכתב האישום המתוקן כי "</w:t>
      </w:r>
      <w:r>
        <w:rPr>
          <w:rFonts w:ascii="David" w:hAnsi="David"/>
          <w:b/>
          <w:bCs/>
          <w:rtl/>
        </w:rPr>
        <w:t>במהלך הנסיעה ועד הגעת הנאשם ומוחמד היב למקום, הנשק היה ברשות מוחמד היב בלבד. מוסכם כי הנשיאה של הנאשם בנשק הייתה במעמד הירי בלבד</w:t>
      </w:r>
      <w:r>
        <w:rPr>
          <w:rFonts w:ascii="David" w:hAnsi="David"/>
          <w:rtl/>
        </w:rPr>
        <w:t>" (פרוטוקול מיום 10/5/22, ש' 15-18).</w:t>
      </w:r>
    </w:p>
    <w:p w14:paraId="06DE73B4" w14:textId="77777777" w:rsidR="008A5C37" w:rsidRDefault="008A5C37" w:rsidP="008A5C37">
      <w:pPr>
        <w:spacing w:line="360" w:lineRule="auto"/>
        <w:ind w:left="720"/>
        <w:jc w:val="both"/>
        <w:rPr>
          <w:rFonts w:ascii="David" w:hAnsi="David"/>
          <w:sz w:val="14"/>
          <w:szCs w:val="14"/>
          <w:rtl/>
        </w:rPr>
      </w:pPr>
    </w:p>
    <w:p w14:paraId="1F0986C0" w14:textId="77777777" w:rsidR="008A5C37" w:rsidRDefault="008A5C37" w:rsidP="008A5C37">
      <w:pPr>
        <w:spacing w:line="360" w:lineRule="auto"/>
        <w:ind w:left="720"/>
        <w:jc w:val="both"/>
        <w:rPr>
          <w:rFonts w:ascii="David" w:hAnsi="David"/>
          <w:rtl/>
        </w:rPr>
      </w:pPr>
      <w:r>
        <w:rPr>
          <w:rFonts w:ascii="David" w:hAnsi="David"/>
          <w:rtl/>
        </w:rPr>
        <w:t xml:space="preserve">לטענתו, </w:t>
      </w:r>
      <w:r>
        <w:rPr>
          <w:rFonts w:ascii="David" w:hAnsi="David"/>
          <w:b/>
          <w:bCs/>
          <w:rtl/>
        </w:rPr>
        <w:t>במקרה הנדון עבירת הירי מנשק חם מצויה ברף הנמוך של החומרה</w:t>
      </w:r>
      <w:r>
        <w:rPr>
          <w:rFonts w:ascii="David" w:hAnsi="David"/>
          <w:rtl/>
        </w:rPr>
        <w:t xml:space="preserve">, שכן לנאשם יוחסה עבירת ירי לפי </w:t>
      </w:r>
      <w:hyperlink r:id="rId29" w:history="1">
        <w:r w:rsidR="00121052" w:rsidRPr="00121052">
          <w:rPr>
            <w:rStyle w:val="Hyperlink"/>
            <w:rFonts w:ascii="David" w:hAnsi="David"/>
            <w:rtl/>
          </w:rPr>
          <w:t>סעיף 340א(א)</w:t>
        </w:r>
      </w:hyperlink>
      <w:r>
        <w:rPr>
          <w:rFonts w:ascii="David" w:hAnsi="David"/>
          <w:rtl/>
        </w:rPr>
        <w:t xml:space="preserve"> מסוג עוון, להבדיל מעבירת ירי מסוג פשע המנויה </w:t>
      </w:r>
      <w:hyperlink r:id="rId30" w:history="1">
        <w:r w:rsidR="00121052" w:rsidRPr="00121052">
          <w:rPr>
            <w:rStyle w:val="Hyperlink"/>
            <w:rFonts w:ascii="David" w:hAnsi="David"/>
            <w:rtl/>
          </w:rPr>
          <w:t>בסעיף 340א(ב)</w:t>
        </w:r>
      </w:hyperlink>
      <w:r>
        <w:rPr>
          <w:rFonts w:ascii="David" w:hAnsi="David"/>
          <w:rtl/>
        </w:rPr>
        <w:t xml:space="preserve">, הטומנת בחובה סיכון לחיי אדם. עצם העובדה שהמאשימה לא ייחסה לנאשם עבירה שבצידה יש סיכון, מלמדת כי גם לשיטתה הירי שבוצע על ידי הנאשם לא גרם לסיכון. שאם לא כן חזקה עליה כי הייתה עומדת על הרשעתו לפי </w:t>
      </w:r>
      <w:hyperlink r:id="rId31" w:history="1">
        <w:r w:rsidR="00121052" w:rsidRPr="00121052">
          <w:rPr>
            <w:rStyle w:val="Hyperlink"/>
            <w:rFonts w:ascii="David" w:hAnsi="David"/>
            <w:rtl/>
          </w:rPr>
          <w:t>סעיף 340א(ב).</w:t>
        </w:r>
      </w:hyperlink>
      <w:r>
        <w:rPr>
          <w:rFonts w:ascii="David" w:hAnsi="David"/>
          <w:rtl/>
        </w:rPr>
        <w:t xml:space="preserve"> הוא הלין על כך שהמאשימה עתרה בטיעוניה להתחשב לחומרה בסיכון שיצר הנאשם במעשיו, נסיבה שלא קיבלה לדבריו ביטוי בעובדות כתב האישום המתוקן וכאמור כלל לא יוחסה לנאשם.</w:t>
      </w:r>
    </w:p>
    <w:p w14:paraId="4B833CBB" w14:textId="77777777" w:rsidR="008A5C37" w:rsidRDefault="008A5C37" w:rsidP="008A5C37">
      <w:pPr>
        <w:spacing w:line="360" w:lineRule="auto"/>
        <w:ind w:left="720"/>
        <w:jc w:val="both"/>
        <w:rPr>
          <w:rFonts w:ascii="David" w:hAnsi="David"/>
          <w:sz w:val="14"/>
          <w:szCs w:val="14"/>
          <w:rtl/>
        </w:rPr>
      </w:pPr>
    </w:p>
    <w:p w14:paraId="04BDA8A1" w14:textId="77777777" w:rsidR="008A5C37" w:rsidRDefault="008A5C37" w:rsidP="008A5C37">
      <w:pPr>
        <w:spacing w:line="360" w:lineRule="auto"/>
        <w:ind w:left="720"/>
        <w:jc w:val="both"/>
        <w:rPr>
          <w:rFonts w:ascii="David" w:hAnsi="David"/>
        </w:rPr>
      </w:pPr>
      <w:r>
        <w:rPr>
          <w:rFonts w:ascii="David" w:hAnsi="David"/>
          <w:rtl/>
        </w:rPr>
        <w:t xml:space="preserve">כן ביקש הסנגור להתחשב לקולה בכך </w:t>
      </w:r>
      <w:r>
        <w:rPr>
          <w:rFonts w:ascii="David" w:hAnsi="David"/>
          <w:b/>
          <w:bCs/>
          <w:rtl/>
        </w:rPr>
        <w:t>שמדובר בנשק צהלי תקני, שמקורו ידוע ושהוחזק כדין על ידי בן דודו החייל של הנאשם.</w:t>
      </w:r>
      <w:r>
        <w:rPr>
          <w:rFonts w:ascii="David" w:hAnsi="David"/>
          <w:rtl/>
        </w:rPr>
        <w:t xml:space="preserve"> לנאשם לא הייתה שליטה על הנשק, מלבד בשני המקרים הספציפיים שבנסיבותיהן הודה, וההחזקה בנשק הייתה בעת ביצוע הירי בלבד. משמע, במקרה הנדון, בשונה מהתופעה הגואה של ביצוע עבירות בנשק בחברה הערבית, אין עסקינן בהחזקה של נשק מאולתר בידי עבריינים במסגרת פעילות פלילית או ביטחונית. כן הדגיש, כפי שסוכם בפרוטוקול הדיון מיום 10/5/22 במסגרתו הוצג הסדר הטיעון, כי הנאשם הודה כי ירה כדור אחד בלבד באירוע הראשון וארבעה כדורים באירוע השני.</w:t>
      </w:r>
    </w:p>
    <w:p w14:paraId="7AFAE208" w14:textId="77777777" w:rsidR="008A5C37" w:rsidRDefault="008A5C37" w:rsidP="008A5C37">
      <w:pPr>
        <w:spacing w:line="360" w:lineRule="auto"/>
        <w:ind w:left="720"/>
        <w:jc w:val="both"/>
        <w:rPr>
          <w:rFonts w:ascii="David" w:hAnsi="David"/>
          <w:sz w:val="12"/>
          <w:szCs w:val="12"/>
          <w:rtl/>
        </w:rPr>
      </w:pPr>
    </w:p>
    <w:p w14:paraId="05BE39EE" w14:textId="77777777" w:rsidR="008A5C37" w:rsidRDefault="008A5C37" w:rsidP="008A5C37">
      <w:pPr>
        <w:spacing w:line="360" w:lineRule="auto"/>
        <w:ind w:left="720"/>
        <w:jc w:val="both"/>
        <w:rPr>
          <w:rFonts w:ascii="David" w:hAnsi="David"/>
          <w:rtl/>
        </w:rPr>
      </w:pPr>
      <w:r>
        <w:rPr>
          <w:rFonts w:ascii="David" w:hAnsi="David"/>
          <w:b/>
          <w:bCs/>
          <w:rtl/>
        </w:rPr>
        <w:t xml:space="preserve">ג. </w:t>
      </w:r>
      <w:r>
        <w:rPr>
          <w:rFonts w:ascii="David" w:hAnsi="David"/>
          <w:rtl/>
        </w:rPr>
        <w:t xml:space="preserve">אשר </w:t>
      </w:r>
      <w:r>
        <w:rPr>
          <w:rFonts w:ascii="David" w:hAnsi="David"/>
          <w:b/>
          <w:bCs/>
          <w:rtl/>
        </w:rPr>
        <w:t xml:space="preserve">לסיבות שהביאו את הנאשם לבצע את העבירות, </w:t>
      </w:r>
      <w:r>
        <w:rPr>
          <w:rFonts w:ascii="David" w:hAnsi="David"/>
          <w:rtl/>
        </w:rPr>
        <w:t>הפנה הסנגור לדברי הנאשם בפני קצינת המבחן כי המניע למעשיו היה "ההתלהבות שלו לירות", וטען כי לאחר הירי השני לא ביצע הנאשם ירי נוסף, כאשר הנאשם נעצר בחודש ינואר 22', בחלוף כ- 4 חודשים מהמקרה השני של הירי.</w:t>
      </w:r>
    </w:p>
    <w:p w14:paraId="6DC11E06" w14:textId="77777777" w:rsidR="008A5C37" w:rsidRDefault="008A5C37" w:rsidP="008A5C37">
      <w:pPr>
        <w:spacing w:line="360" w:lineRule="auto"/>
        <w:ind w:left="720"/>
        <w:jc w:val="both"/>
        <w:rPr>
          <w:rFonts w:ascii="David" w:hAnsi="David"/>
          <w:sz w:val="14"/>
          <w:szCs w:val="14"/>
          <w:rtl/>
        </w:rPr>
      </w:pPr>
    </w:p>
    <w:p w14:paraId="24A9BFB9" w14:textId="77777777" w:rsidR="008A5C37" w:rsidRDefault="008A5C37" w:rsidP="008A5C37">
      <w:pPr>
        <w:spacing w:line="360" w:lineRule="auto"/>
        <w:ind w:left="720"/>
        <w:jc w:val="both"/>
        <w:rPr>
          <w:rFonts w:ascii="David" w:hAnsi="David"/>
          <w:b/>
          <w:bCs/>
          <w:rtl/>
        </w:rPr>
      </w:pPr>
      <w:r>
        <w:rPr>
          <w:rFonts w:ascii="David" w:hAnsi="David"/>
          <w:b/>
          <w:bCs/>
          <w:rtl/>
        </w:rPr>
        <w:t xml:space="preserve">ד. </w:t>
      </w:r>
      <w:r>
        <w:rPr>
          <w:rFonts w:ascii="David" w:hAnsi="David"/>
          <w:rtl/>
        </w:rPr>
        <w:t>בנסיבות העניין - בהדגישו כי הפסיקה אליה הפנתה המאשימה בטיעוניה אינה רלוונטית בהיותה מתייחסת לפעילות עבריינית, ובהפנותו לפסיקה המתיישבת יותר עם עמדתו, על אף שמדובר במקרה חריג ויש קושי למצוא פסקי דין הדומים לנסיבותיו- עתר כאמור להעמיד את מתחם הענישה על טווח שבין מספר חודשי מאסר שיכול שירוצו בעבודות שירות לבין 18 חודשי מאסר בפועל.</w:t>
      </w:r>
      <w:r>
        <w:rPr>
          <w:rFonts w:ascii="David" w:hAnsi="David"/>
          <w:b/>
          <w:bCs/>
          <w:rtl/>
        </w:rPr>
        <w:t xml:space="preserve"> </w:t>
      </w:r>
    </w:p>
    <w:p w14:paraId="1F2CD348" w14:textId="77777777" w:rsidR="008A5C37" w:rsidRPr="007D1951" w:rsidRDefault="008A5C37" w:rsidP="008A5C37">
      <w:pPr>
        <w:spacing w:line="360" w:lineRule="auto"/>
        <w:ind w:left="720"/>
        <w:jc w:val="both"/>
        <w:rPr>
          <w:rFonts w:ascii="David" w:hAnsi="David"/>
          <w:b/>
          <w:bCs/>
          <w:sz w:val="14"/>
          <w:szCs w:val="14"/>
          <w:rtl/>
        </w:rPr>
      </w:pPr>
    </w:p>
    <w:p w14:paraId="15B2380B" w14:textId="77777777" w:rsidR="008A5C37" w:rsidRDefault="008A5C37" w:rsidP="008A5C37">
      <w:pPr>
        <w:spacing w:line="360" w:lineRule="auto"/>
        <w:ind w:left="720"/>
        <w:jc w:val="both"/>
        <w:rPr>
          <w:rFonts w:ascii="David" w:hAnsi="David"/>
          <w:rtl/>
        </w:rPr>
      </w:pPr>
      <w:r>
        <w:rPr>
          <w:rFonts w:ascii="David" w:hAnsi="David"/>
          <w:b/>
          <w:bCs/>
          <w:rtl/>
        </w:rPr>
        <w:t>ה. אשר לנסיבות שאינן קשורות בביצוע העבירות</w:t>
      </w:r>
      <w:r>
        <w:rPr>
          <w:rFonts w:ascii="David" w:hAnsi="David"/>
          <w:rtl/>
        </w:rPr>
        <w:t>, ביקש הסנגור ליתן משקל להודייתו של הנאשם בהזדמנות הראשונה במשטרה, לשיתוף הפעולה עם חוקריו, להודייתו בעובדות כתב האישום המתוקן, לאחריות שנטל למעשיו, ולצער והחרטה שהביע בגינם.</w:t>
      </w:r>
      <w:r>
        <w:rPr>
          <w:rFonts w:ascii="David" w:hAnsi="David"/>
          <w:b/>
          <w:bCs/>
          <w:rtl/>
        </w:rPr>
        <w:t xml:space="preserve"> </w:t>
      </w:r>
      <w:r>
        <w:rPr>
          <w:rFonts w:ascii="David" w:hAnsi="David"/>
          <w:rtl/>
        </w:rPr>
        <w:t xml:space="preserve">כן ביקש להתחשב בעברו הנקי של הנאשם, ובנסיבותיו האישיות כפי שפורטו בתסקיר שירות המבחן, שממנו עולה כי עסקינן באדם נורמטיבי, נעדר דפוסים עברייניים, אשר "התלהב ועשה טעות הוא והבן דוד שלו, פעמיים אך לפני ואחרי לא מעד". מדובר באדם נשוי ואב לשני ילדים קטנים, אשר עבד כל חייו, בעל מוסר עבודה גבוה, ואשר עזר גם בפרנסת הוריו ואחיותיו. הוא ביקש להתגייס לצבא, אך לא התקבל בשל היותו "בן יחיד". הסנגור הפנה גם לבעיות הרפואיות מהן סובל הנאשם לדבריו ועליהן דיווח בפני שירות המבחן. </w:t>
      </w:r>
    </w:p>
    <w:p w14:paraId="711CAB06" w14:textId="77777777" w:rsidR="008A5C37" w:rsidRDefault="008A5C37" w:rsidP="008A5C37">
      <w:pPr>
        <w:spacing w:line="360" w:lineRule="auto"/>
        <w:ind w:left="720"/>
        <w:jc w:val="both"/>
        <w:rPr>
          <w:rFonts w:ascii="David" w:hAnsi="David"/>
          <w:sz w:val="10"/>
          <w:szCs w:val="10"/>
          <w:rtl/>
        </w:rPr>
      </w:pPr>
    </w:p>
    <w:p w14:paraId="73DA0BC0" w14:textId="77777777" w:rsidR="008A5C37" w:rsidRDefault="008A5C37" w:rsidP="008A5C37">
      <w:pPr>
        <w:spacing w:line="360" w:lineRule="auto"/>
        <w:ind w:left="720"/>
        <w:jc w:val="both"/>
        <w:rPr>
          <w:rFonts w:ascii="David" w:hAnsi="David"/>
          <w:rtl/>
        </w:rPr>
      </w:pPr>
      <w:r>
        <w:rPr>
          <w:rFonts w:ascii="David" w:hAnsi="David"/>
          <w:rtl/>
        </w:rPr>
        <w:t>הסנגור עתר להקל בעונשו של הנאשם בטענו לאפליה, מפני שנגד בן הדוד לא ננקט כל הליך משפטי; זאת, לטענתו, על אף שחלקו של האחרון אינו פחות מחלקו של הנאשם; בן הדוד הוא החייל שהיה אחראי על הנשק הצהלי, ואת הטענות בדבר השימוש הבלתי חוקי בנשק יש להפנות גם כלפיו. המדינה בחרה שלא להעמידו לדין, ומנגד הגישה כתב אישום כנגד הנאשם ועתרה לעצור אותו עד תום ההליכים. הנאשם היה עצור במשך חודש ימים ולאחר מכן שוחרר למעצר באזוק אלקטרוני. זאת בעוד בן הדוד חופשי ומשוחרר. (יצוין כי במעמד זה הודיעה ב"כ המאשימה כי פנתה לגורם המטפל בעניינו של בן הדוד במצ"ח וכי תודיע תשובתה לעניין זה בכתב).</w:t>
      </w:r>
    </w:p>
    <w:p w14:paraId="0F01A749" w14:textId="77777777" w:rsidR="008A5C37" w:rsidRDefault="008A5C37" w:rsidP="008A5C37">
      <w:pPr>
        <w:spacing w:line="360" w:lineRule="auto"/>
        <w:ind w:left="720"/>
        <w:jc w:val="both"/>
        <w:rPr>
          <w:rFonts w:ascii="David" w:hAnsi="David"/>
          <w:sz w:val="12"/>
          <w:szCs w:val="12"/>
          <w:rtl/>
        </w:rPr>
      </w:pPr>
    </w:p>
    <w:p w14:paraId="4D7B499A" w14:textId="77777777" w:rsidR="008A5C37" w:rsidRDefault="008A5C37" w:rsidP="008A5C37">
      <w:pPr>
        <w:spacing w:line="360" w:lineRule="auto"/>
        <w:ind w:left="720"/>
        <w:jc w:val="both"/>
        <w:rPr>
          <w:rFonts w:ascii="David" w:hAnsi="David"/>
          <w:rtl/>
        </w:rPr>
      </w:pPr>
      <w:r>
        <w:rPr>
          <w:rFonts w:ascii="David" w:hAnsi="David"/>
          <w:rtl/>
        </w:rPr>
        <w:t>עוד לטענת הסנגור, לא בכדי המליץ שירות המבחן להשית על הנאשם עונש לריצוי בעבודות שירות, שכן דווקא בעניינו של הנאשם הנדון דידן ענישה זו כלל אינה מקלה מבחינתו, ולטענת הסנגור יש לה "אפקט כפול". שכן, הנאשם נקלע לבעיות כלכליות עקב מעצרו משנבצר ממנו לעבוד, ושליחתו לעבודות שירות תגרום לו להרגיש עוד יותר את הענישה "על בשרו".</w:t>
      </w:r>
    </w:p>
    <w:p w14:paraId="0DC367A0" w14:textId="77777777" w:rsidR="008A5C37" w:rsidRDefault="008A5C37" w:rsidP="008A5C37">
      <w:pPr>
        <w:spacing w:line="360" w:lineRule="auto"/>
        <w:ind w:left="720"/>
        <w:jc w:val="both"/>
        <w:rPr>
          <w:rFonts w:ascii="David" w:hAnsi="David"/>
          <w:rtl/>
        </w:rPr>
      </w:pPr>
      <w:r>
        <w:rPr>
          <w:rFonts w:ascii="David" w:hAnsi="David"/>
          <w:b/>
          <w:bCs/>
          <w:rtl/>
        </w:rPr>
        <w:t xml:space="preserve">ו. </w:t>
      </w:r>
      <w:r>
        <w:rPr>
          <w:rFonts w:ascii="David" w:hAnsi="David"/>
          <w:rtl/>
        </w:rPr>
        <w:t xml:space="preserve">נוכח האמור לעיל, עתר הסנגור לאמץ את המלצת שירות המבחן בעניינו של הנאשם, שמשמעותה למעשה היא השתת עונש המצוי ברף התחתון של מתחם הענישה המבוקש על ידו. </w:t>
      </w:r>
    </w:p>
    <w:p w14:paraId="1C6B0DF7" w14:textId="77777777" w:rsidR="008A5C37" w:rsidRPr="007D1951" w:rsidRDefault="008A5C37" w:rsidP="008A5C37">
      <w:pPr>
        <w:spacing w:line="360" w:lineRule="auto"/>
        <w:ind w:left="720"/>
        <w:jc w:val="both"/>
        <w:rPr>
          <w:rFonts w:ascii="David" w:hAnsi="David"/>
          <w:sz w:val="14"/>
          <w:szCs w:val="14"/>
          <w:rtl/>
        </w:rPr>
      </w:pPr>
    </w:p>
    <w:p w14:paraId="52036FFB" w14:textId="77777777" w:rsidR="008A5C37" w:rsidRDefault="008A5C37" w:rsidP="008A5C37">
      <w:pPr>
        <w:spacing w:line="360" w:lineRule="auto"/>
        <w:ind w:left="720"/>
        <w:jc w:val="both"/>
        <w:rPr>
          <w:rFonts w:ascii="David" w:hAnsi="David"/>
          <w:sz w:val="2"/>
          <w:szCs w:val="2"/>
          <w:rtl/>
        </w:rPr>
      </w:pPr>
      <w:r>
        <w:rPr>
          <w:rFonts w:ascii="David" w:hAnsi="David"/>
          <w:rtl/>
        </w:rPr>
        <w:t xml:space="preserve">  </w:t>
      </w:r>
      <w:r>
        <w:rPr>
          <w:rFonts w:ascii="David" w:hAnsi="David"/>
          <w:b/>
          <w:bCs/>
          <w:rtl/>
        </w:rPr>
        <w:t xml:space="preserve"> </w:t>
      </w:r>
    </w:p>
    <w:p w14:paraId="68EBD350" w14:textId="77777777" w:rsidR="008A5C37" w:rsidRDefault="008A5C37" w:rsidP="008A5C37">
      <w:pPr>
        <w:spacing w:line="360" w:lineRule="auto"/>
        <w:jc w:val="both"/>
        <w:rPr>
          <w:rFonts w:ascii="David" w:hAnsi="David"/>
          <w:rtl/>
        </w:rPr>
      </w:pPr>
      <w:r>
        <w:rPr>
          <w:rFonts w:ascii="David" w:hAnsi="David"/>
          <w:b/>
          <w:bCs/>
          <w:rtl/>
        </w:rPr>
        <w:t>8.</w:t>
      </w:r>
      <w:r>
        <w:rPr>
          <w:rFonts w:ascii="David" w:hAnsi="David"/>
          <w:b/>
          <w:bCs/>
          <w:rtl/>
        </w:rPr>
        <w:tab/>
      </w:r>
      <w:r>
        <w:rPr>
          <w:rFonts w:ascii="David" w:hAnsi="David"/>
          <w:b/>
          <w:bCs/>
          <w:u w:val="single"/>
          <w:rtl/>
        </w:rPr>
        <w:t>דברי הנאשם</w:t>
      </w:r>
      <w:r>
        <w:rPr>
          <w:rFonts w:ascii="David" w:hAnsi="David"/>
          <w:rtl/>
        </w:rPr>
        <w:t xml:space="preserve"> </w:t>
      </w:r>
    </w:p>
    <w:p w14:paraId="3A1689D1" w14:textId="77777777" w:rsidR="008A5C37" w:rsidRDefault="008A5C37" w:rsidP="008A5C37">
      <w:pPr>
        <w:spacing w:line="360" w:lineRule="auto"/>
        <w:ind w:left="720"/>
        <w:jc w:val="both"/>
        <w:rPr>
          <w:rFonts w:ascii="David" w:hAnsi="David"/>
          <w:rtl/>
        </w:rPr>
      </w:pPr>
      <w:r>
        <w:rPr>
          <w:rFonts w:ascii="David" w:hAnsi="David"/>
          <w:rtl/>
        </w:rPr>
        <w:t>"אני לא בכוונה עשיתי את זה, אני מצטער על הכול... אנחנו גרים ליד היער, אני לא יודע איך קרתה הפעם השנייה. בן הדוד שלי משרת בגדס"ר, יחידת הגששים. אנחנו לא תכננו את זה ולא אעשה את זה. אני יודע שזו טעות אבל בחיים שלי לא אחזור על הטעות הזו. אני לא ילד קטן. יש לי ילדים ומשפחה ויש לי פרנסה, ומאוד קשה לי" (עמ' 41 לפרוט', ש' 28-32).</w:t>
      </w:r>
    </w:p>
    <w:p w14:paraId="0DB1E408" w14:textId="77777777" w:rsidR="008A5C37" w:rsidRPr="007D1951" w:rsidRDefault="008A5C37" w:rsidP="008A5C37">
      <w:pPr>
        <w:spacing w:line="360" w:lineRule="auto"/>
        <w:ind w:left="720"/>
        <w:jc w:val="both"/>
        <w:rPr>
          <w:rFonts w:ascii="David" w:hAnsi="David"/>
          <w:sz w:val="6"/>
          <w:szCs w:val="6"/>
          <w:rtl/>
        </w:rPr>
      </w:pPr>
    </w:p>
    <w:p w14:paraId="7C85B6DB" w14:textId="77777777" w:rsidR="008A5C37" w:rsidRDefault="008A5C37" w:rsidP="008A5C37">
      <w:pPr>
        <w:spacing w:line="360" w:lineRule="auto"/>
        <w:ind w:left="720"/>
        <w:jc w:val="both"/>
        <w:rPr>
          <w:rFonts w:ascii="David" w:hAnsi="David"/>
          <w:sz w:val="2"/>
          <w:szCs w:val="2"/>
          <w:rtl/>
        </w:rPr>
      </w:pPr>
      <w:r>
        <w:rPr>
          <w:rFonts w:ascii="David" w:hAnsi="David"/>
          <w:rtl/>
        </w:rPr>
        <w:t xml:space="preserve"> </w:t>
      </w:r>
    </w:p>
    <w:p w14:paraId="30C4F95A" w14:textId="77777777" w:rsidR="008A5C37" w:rsidRDefault="008A5C37" w:rsidP="008A5C37">
      <w:pPr>
        <w:spacing w:line="360" w:lineRule="auto"/>
        <w:ind w:left="720"/>
        <w:jc w:val="both"/>
        <w:rPr>
          <w:rFonts w:ascii="David" w:hAnsi="David"/>
          <w:sz w:val="2"/>
          <w:szCs w:val="2"/>
          <w:rtl/>
        </w:rPr>
      </w:pPr>
    </w:p>
    <w:p w14:paraId="0F9ECD09" w14:textId="77777777" w:rsidR="008A5C37" w:rsidRDefault="008A5C37" w:rsidP="008A5C37">
      <w:pPr>
        <w:spacing w:line="360" w:lineRule="auto"/>
        <w:ind w:left="720"/>
        <w:jc w:val="both"/>
        <w:rPr>
          <w:rFonts w:ascii="David" w:hAnsi="David"/>
          <w:sz w:val="2"/>
          <w:szCs w:val="2"/>
          <w:rtl/>
        </w:rPr>
      </w:pPr>
    </w:p>
    <w:p w14:paraId="5A2C95DB" w14:textId="77777777" w:rsidR="008A5C37" w:rsidRDefault="008A5C37" w:rsidP="008A5C37">
      <w:pPr>
        <w:spacing w:line="360" w:lineRule="auto"/>
        <w:ind w:left="720"/>
        <w:jc w:val="both"/>
        <w:rPr>
          <w:rFonts w:ascii="David" w:hAnsi="David"/>
          <w:sz w:val="2"/>
          <w:szCs w:val="2"/>
          <w:rtl/>
        </w:rPr>
      </w:pPr>
    </w:p>
    <w:p w14:paraId="7B7DC640" w14:textId="77777777" w:rsidR="008A5C37" w:rsidRDefault="008A5C37" w:rsidP="008A5C37">
      <w:pPr>
        <w:spacing w:line="360" w:lineRule="auto"/>
        <w:ind w:left="720"/>
        <w:jc w:val="both"/>
        <w:rPr>
          <w:rFonts w:ascii="David" w:hAnsi="David"/>
          <w:sz w:val="2"/>
          <w:szCs w:val="2"/>
          <w:rtl/>
        </w:rPr>
      </w:pPr>
    </w:p>
    <w:p w14:paraId="232B8155" w14:textId="77777777" w:rsidR="008A5C37" w:rsidRDefault="008A5C37" w:rsidP="008A5C37">
      <w:pPr>
        <w:spacing w:line="360" w:lineRule="auto"/>
        <w:ind w:left="720" w:hanging="720"/>
        <w:jc w:val="both"/>
        <w:rPr>
          <w:rFonts w:ascii="David" w:hAnsi="David"/>
          <w:b/>
          <w:bCs/>
          <w:rtl/>
        </w:rPr>
      </w:pPr>
      <w:r>
        <w:rPr>
          <w:rFonts w:ascii="David" w:hAnsi="David"/>
          <w:b/>
          <w:bCs/>
          <w:rtl/>
        </w:rPr>
        <w:t>9.</w:t>
      </w:r>
      <w:r>
        <w:rPr>
          <w:rFonts w:ascii="David" w:hAnsi="David"/>
          <w:rtl/>
        </w:rPr>
        <w:tab/>
      </w:r>
      <w:r>
        <w:rPr>
          <w:rFonts w:ascii="David" w:hAnsi="David"/>
          <w:b/>
          <w:bCs/>
          <w:rtl/>
        </w:rPr>
        <w:t xml:space="preserve">א. </w:t>
      </w:r>
      <w:r>
        <w:rPr>
          <w:rFonts w:ascii="David" w:hAnsi="David"/>
          <w:rtl/>
        </w:rPr>
        <w:t>לאחר דברים אלה, הורה בית המשפט למאשימה לברר את עניינו של בן הדוד, ולהשלים טיעוניה. ביום 22/9/22 הגישה המאשימה הודעה בכתב, שלפיה בעקבות פנייתה, הודיעה לה הפרקליטות הצבאית, כי בימים הקרובים היא מתכוונת להגיש כתב אישום נגד החייל מוחמד היב, בן דודו של הנאשם. להודעתה צירפה מכתב מאת התובעת הצבאית ב"פרקליטות דרום חיל האוויר וחיל הים" מתאריך 20/9/22, שבו נכתב: "...</w:t>
      </w:r>
      <w:r>
        <w:rPr>
          <w:rFonts w:ascii="David" w:hAnsi="David"/>
          <w:b/>
          <w:bCs/>
          <w:rtl/>
        </w:rPr>
        <w:t xml:space="preserve">2. בעקבות חקירת משטרת ישראל בעניינו של האזרח </w:t>
      </w:r>
      <w:r>
        <w:rPr>
          <w:rFonts w:ascii="David" w:hAnsi="David"/>
          <w:rtl/>
        </w:rPr>
        <w:t>(הנאשם דכאן- ד.ס)</w:t>
      </w:r>
      <w:r>
        <w:rPr>
          <w:rFonts w:ascii="David" w:hAnsi="David"/>
          <w:b/>
          <w:bCs/>
          <w:rtl/>
        </w:rPr>
        <w:t>, נפתחה חקירת מצח כנגד החייל שבנדון, בן דודו, בבסיס חקירות באשר שבע (מספרו...).</w:t>
      </w:r>
    </w:p>
    <w:p w14:paraId="570D6BED" w14:textId="77777777" w:rsidR="008A5C37" w:rsidRDefault="008A5C37" w:rsidP="008A5C37">
      <w:pPr>
        <w:spacing w:line="360" w:lineRule="auto"/>
        <w:ind w:left="720"/>
        <w:jc w:val="both"/>
        <w:rPr>
          <w:rFonts w:ascii="David" w:hAnsi="David"/>
          <w:rtl/>
        </w:rPr>
      </w:pPr>
      <w:r>
        <w:rPr>
          <w:rFonts w:ascii="David" w:hAnsi="David"/>
          <w:b/>
          <w:bCs/>
          <w:rtl/>
        </w:rPr>
        <w:t>3. נבקש לעדכן כי בכוונתנו להגיש בימים הקרובים כתב אישום כנגד החייל שבנדון בגין עבירות של שימוש בלתי חוקי בנשק והתנהגות שאינה הולמת"</w:t>
      </w:r>
      <w:r>
        <w:rPr>
          <w:rFonts w:ascii="David" w:hAnsi="David"/>
          <w:rtl/>
        </w:rPr>
        <w:t xml:space="preserve">. </w:t>
      </w:r>
    </w:p>
    <w:p w14:paraId="38F238F7" w14:textId="77777777" w:rsidR="008A5C37" w:rsidRDefault="008A5C37" w:rsidP="008A5C37">
      <w:pPr>
        <w:spacing w:line="360" w:lineRule="auto"/>
        <w:ind w:left="720"/>
        <w:jc w:val="both"/>
        <w:rPr>
          <w:rFonts w:ascii="David" w:hAnsi="David"/>
          <w:sz w:val="12"/>
          <w:szCs w:val="12"/>
          <w:rtl/>
        </w:rPr>
      </w:pPr>
    </w:p>
    <w:p w14:paraId="3F803BB7" w14:textId="77777777" w:rsidR="008A5C37" w:rsidRDefault="008A5C37" w:rsidP="008A5C37">
      <w:pPr>
        <w:spacing w:line="360" w:lineRule="auto"/>
        <w:ind w:left="720" w:hanging="720"/>
        <w:jc w:val="both"/>
        <w:rPr>
          <w:rFonts w:ascii="David" w:hAnsi="David"/>
          <w:rtl/>
        </w:rPr>
      </w:pPr>
      <w:r>
        <w:rPr>
          <w:rFonts w:ascii="David" w:hAnsi="David"/>
          <w:rtl/>
        </w:rPr>
        <w:tab/>
        <w:t xml:space="preserve">משכך, סברה המאשימה כי אין מקום לקבל את טענת ההגנה שלפיה יש להקל בעונשו של הנאשם בשל אי נקיטת הליך משפטי נגד החייל. </w:t>
      </w:r>
    </w:p>
    <w:p w14:paraId="357FA91B" w14:textId="77777777" w:rsidR="008A5C37" w:rsidRDefault="008A5C37" w:rsidP="008A5C37">
      <w:pPr>
        <w:spacing w:line="360" w:lineRule="auto"/>
        <w:ind w:left="720" w:hanging="720"/>
        <w:jc w:val="both"/>
        <w:rPr>
          <w:rFonts w:ascii="David" w:hAnsi="David"/>
          <w:sz w:val="8"/>
          <w:szCs w:val="8"/>
          <w:rtl/>
        </w:rPr>
      </w:pPr>
    </w:p>
    <w:p w14:paraId="7D87518A" w14:textId="77777777" w:rsidR="008A5C37" w:rsidRDefault="008A5C37" w:rsidP="008A5C37">
      <w:pPr>
        <w:spacing w:line="360" w:lineRule="auto"/>
        <w:ind w:left="720" w:hanging="720"/>
        <w:jc w:val="both"/>
        <w:rPr>
          <w:rFonts w:ascii="David" w:hAnsi="David"/>
          <w:sz w:val="8"/>
          <w:szCs w:val="8"/>
          <w:rtl/>
        </w:rPr>
      </w:pPr>
    </w:p>
    <w:p w14:paraId="4B500814" w14:textId="77777777" w:rsidR="008A5C37" w:rsidRDefault="008A5C37" w:rsidP="008A5C37">
      <w:pPr>
        <w:spacing w:line="360" w:lineRule="auto"/>
        <w:ind w:left="720" w:hanging="720"/>
        <w:jc w:val="both"/>
        <w:rPr>
          <w:rFonts w:ascii="David" w:hAnsi="David"/>
          <w:rtl/>
        </w:rPr>
      </w:pPr>
      <w:r>
        <w:rPr>
          <w:rFonts w:ascii="David" w:hAnsi="David"/>
          <w:rtl/>
        </w:rPr>
        <w:tab/>
      </w:r>
      <w:r>
        <w:rPr>
          <w:rFonts w:ascii="David" w:hAnsi="David"/>
          <w:b/>
          <w:bCs/>
          <w:rtl/>
        </w:rPr>
        <w:t xml:space="preserve">ב. </w:t>
      </w:r>
      <w:r>
        <w:rPr>
          <w:rFonts w:ascii="David" w:hAnsi="David"/>
          <w:rtl/>
        </w:rPr>
        <w:t xml:space="preserve">בתגובתו מיום 28/9/22, חזר הסנגור על טענתו ל"אפליה ברורה" שנקטה המדינה ועדיין נוקטת בין הנאשם לבין בן דודו החייל. לשיטתו, אין בהודעת הפרקליטות הצבאית בדבר כוונתה להגיש כנגד החייל כתב אישום "בימים הקרובים", כדי לרפא את הפגם שדבק בהתנהלותה של המדינה, ולהפחית ממשקלה של טענת האפליה והשלכותיה על עונשו של הנאשם. הוא חזר וטען כי חלקו של בן דודו של הנאשם באירוע נושא כתב האישום אינו נופל מחלקו של הנאשם, במיוחד שעבירת הנשיאה במקרה דנן הייתה משנית לעבירת הירי, שלה היה החייל שותף באופן מלא. ועוד, הנאשם היה עצור בפועל משך חודש ימים, ועצור באזוק מיום 2/2/22 ועד היום. לטענתו, בהתנהלותה זו מדברת המדינה בשני קולות ונוהגת באפליה פסולה, כאשר מחד גיסא מיצתה את כל ההליכים שברשותה, לרבות הליכי מעצר "דורסניים" כנגד הנאשם, בנימוק של  חומרת האירוע, ומאידך גיסא היא מתנהלת על מי מנוחות ביחס לחייל. לשיטתו, הדבר מכרסם באופן משמעותי בטיעוני המדינה לחומרה כנגד הנאשם, באופן המנוגד ל"עקרון אחידות הענישה" והוא זכאי ל"הגנה מן הצדק".  </w:t>
      </w:r>
    </w:p>
    <w:p w14:paraId="5852C54D" w14:textId="77777777" w:rsidR="008A5C37" w:rsidRDefault="008A5C37" w:rsidP="008A5C37">
      <w:pPr>
        <w:spacing w:line="360" w:lineRule="auto"/>
        <w:ind w:left="720" w:hanging="720"/>
        <w:jc w:val="both"/>
        <w:rPr>
          <w:rFonts w:ascii="David" w:hAnsi="David"/>
          <w:sz w:val="16"/>
          <w:szCs w:val="16"/>
          <w:rtl/>
        </w:rPr>
      </w:pPr>
    </w:p>
    <w:p w14:paraId="7A67F33C" w14:textId="77777777" w:rsidR="008A5C37" w:rsidRPr="007D1951" w:rsidRDefault="008A5C37" w:rsidP="008A5C37">
      <w:pPr>
        <w:spacing w:line="360" w:lineRule="auto"/>
        <w:ind w:left="720"/>
        <w:jc w:val="both"/>
        <w:rPr>
          <w:rFonts w:ascii="David" w:hAnsi="David"/>
          <w:b/>
          <w:bCs/>
          <w:sz w:val="26"/>
          <w:szCs w:val="26"/>
          <w:u w:val="single"/>
          <w:rtl/>
        </w:rPr>
      </w:pPr>
      <w:r w:rsidRPr="007D1951">
        <w:rPr>
          <w:rFonts w:ascii="David" w:hAnsi="David"/>
          <w:b/>
          <w:bCs/>
          <w:sz w:val="26"/>
          <w:szCs w:val="26"/>
          <w:u w:val="single"/>
          <w:rtl/>
        </w:rPr>
        <w:t>דיון והכרעה</w:t>
      </w:r>
    </w:p>
    <w:p w14:paraId="00EB43F4" w14:textId="77777777" w:rsidR="008A5C37" w:rsidRDefault="008A5C37" w:rsidP="008A5C37">
      <w:pPr>
        <w:spacing w:line="360" w:lineRule="auto"/>
        <w:ind w:left="720" w:hanging="720"/>
        <w:jc w:val="both"/>
        <w:rPr>
          <w:rFonts w:ascii="David" w:hAnsi="David"/>
          <w:rtl/>
        </w:rPr>
      </w:pPr>
      <w:r>
        <w:rPr>
          <w:rFonts w:ascii="David" w:hAnsi="David"/>
          <w:b/>
          <w:bCs/>
          <w:rtl/>
        </w:rPr>
        <w:t>10</w:t>
      </w:r>
      <w:r>
        <w:rPr>
          <w:rFonts w:ascii="David" w:hAnsi="David"/>
          <w:rtl/>
        </w:rPr>
        <w:t>.</w:t>
      </w:r>
      <w:r>
        <w:rPr>
          <w:rFonts w:ascii="David" w:hAnsi="David"/>
          <w:rtl/>
        </w:rPr>
        <w:tab/>
        <w:t>העיקרון המנחה את בתי המשפט בעת גזירת העונש הוא עקרון ההלימה</w:t>
      </w:r>
      <w:r>
        <w:rPr>
          <w:rFonts w:ascii="David" w:hAnsi="David"/>
        </w:rPr>
        <w:t>;</w:t>
      </w:r>
      <w:r>
        <w:rPr>
          <w:rFonts w:ascii="David" w:hAnsi="David"/>
          <w:rtl/>
        </w:rPr>
        <w:t xml:space="preserve"> דהיינו יחס הולם בין החומרה של מעשה העבירה בנסיבותיו ומידת אשמתו של הנאשם, לבין סוג העונש המוטל עליו ומידתו (</w:t>
      </w:r>
      <w:hyperlink r:id="rId32" w:history="1">
        <w:r w:rsidR="00121052" w:rsidRPr="00121052">
          <w:rPr>
            <w:rStyle w:val="Hyperlink"/>
            <w:rFonts w:ascii="David" w:hAnsi="David"/>
            <w:rtl/>
          </w:rPr>
          <w:t>סעיף 40</w:t>
        </w:r>
      </w:hyperlink>
      <w:r>
        <w:rPr>
          <w:rFonts w:ascii="David" w:hAnsi="David"/>
          <w:rtl/>
        </w:rPr>
        <w:t xml:space="preserve"> ל</w:t>
      </w:r>
      <w:hyperlink r:id="rId33" w:history="1">
        <w:r w:rsidR="00C16C4C" w:rsidRPr="00C16C4C">
          <w:rPr>
            <w:rFonts w:ascii="David" w:hAnsi="David"/>
            <w:color w:val="0000FF"/>
            <w:u w:val="single"/>
            <w:rtl/>
          </w:rPr>
          <w:t>חוק העונשין</w:t>
        </w:r>
      </w:hyperlink>
      <w:r>
        <w:rPr>
          <w:rFonts w:ascii="David" w:hAnsi="David"/>
          <w:rtl/>
        </w:rPr>
        <w:t>). טרם גזירת העונש על הנאשם, על בית המשפט לקבוע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w:t>
      </w:r>
      <w:hyperlink r:id="rId34" w:history="1">
        <w:r w:rsidR="00121052" w:rsidRPr="00121052">
          <w:rPr>
            <w:rStyle w:val="Hyperlink"/>
            <w:rFonts w:ascii="David" w:hAnsi="David"/>
            <w:rtl/>
          </w:rPr>
          <w:t>סעיפים 40ג</w:t>
        </w:r>
      </w:hyperlink>
      <w:r>
        <w:rPr>
          <w:rFonts w:ascii="David" w:hAnsi="David"/>
          <w:rtl/>
        </w:rPr>
        <w:t xml:space="preserve"> ו-</w:t>
      </w:r>
      <w:hyperlink r:id="rId35" w:history="1">
        <w:r w:rsidR="00121052" w:rsidRPr="00121052">
          <w:rPr>
            <w:rStyle w:val="Hyperlink"/>
            <w:rFonts w:ascii="David" w:hAnsi="David"/>
            <w:rtl/>
          </w:rPr>
          <w:t>40ט</w:t>
        </w:r>
      </w:hyperlink>
      <w:r>
        <w:rPr>
          <w:rFonts w:ascii="David" w:hAnsi="David"/>
          <w:rtl/>
        </w:rPr>
        <w:t xml:space="preserve"> ל</w:t>
      </w:r>
      <w:hyperlink r:id="rId36" w:history="1">
        <w:r w:rsidR="00C16C4C" w:rsidRPr="00C16C4C">
          <w:rPr>
            <w:rFonts w:ascii="David" w:hAnsi="David"/>
            <w:color w:val="0000FF"/>
            <w:u w:val="single"/>
            <w:rtl/>
          </w:rPr>
          <w:t>חוק העונשין</w:t>
        </w:r>
      </w:hyperlink>
      <w:r>
        <w:rPr>
          <w:rFonts w:ascii="David" w:hAnsi="David"/>
          <w:rtl/>
        </w:rPr>
        <w:t>). יחד עם</w:t>
      </w:r>
    </w:p>
    <w:p w14:paraId="5C9AA48E" w14:textId="77777777" w:rsidR="008A5C37" w:rsidRDefault="008A5C37" w:rsidP="008A5C37">
      <w:pPr>
        <w:spacing w:line="360" w:lineRule="auto"/>
        <w:ind w:left="720"/>
        <w:jc w:val="both"/>
        <w:rPr>
          <w:rFonts w:ascii="David" w:hAnsi="David"/>
          <w:rtl/>
        </w:rPr>
      </w:pPr>
      <w:r>
        <w:rPr>
          <w:rFonts w:ascii="David" w:hAnsi="David"/>
          <w:rtl/>
        </w:rPr>
        <w:t xml:space="preserve">זאת, כל ענישה היא אינדיבידואלית, ובמסגרת הענישה ההולמת על בית המשפט לאזן בין מספר אינטרסים שונים: נסיבות ביצוע העבירה, תדירות העבירות, חומרתן, אופן ומידת ההשפעה שלהן על החברה מחד גיסא, ומאידך גיסא נסיבותיו האישיות של מבצע העבירה, עברו הפלילי, גילו, אפשרויות שיקום ועוד. </w:t>
      </w:r>
    </w:p>
    <w:p w14:paraId="33A7CF47" w14:textId="77777777" w:rsidR="008A5C37" w:rsidRPr="007D1951" w:rsidRDefault="008A5C37" w:rsidP="008A5C37">
      <w:pPr>
        <w:spacing w:line="360" w:lineRule="auto"/>
        <w:ind w:left="720" w:hanging="720"/>
        <w:jc w:val="both"/>
        <w:rPr>
          <w:rFonts w:ascii="David" w:hAnsi="David"/>
          <w:sz w:val="16"/>
          <w:szCs w:val="16"/>
          <w:rtl/>
        </w:rPr>
      </w:pPr>
    </w:p>
    <w:p w14:paraId="47C7A71E" w14:textId="77777777" w:rsidR="008A5C37" w:rsidRDefault="008A5C37" w:rsidP="008A5C37">
      <w:pPr>
        <w:spacing w:line="360" w:lineRule="auto"/>
        <w:ind w:left="720"/>
        <w:jc w:val="both"/>
        <w:rPr>
          <w:rFonts w:ascii="David" w:hAnsi="David"/>
          <w:b/>
          <w:bCs/>
          <w:u w:val="single"/>
          <w:rtl/>
        </w:rPr>
      </w:pPr>
      <w:r>
        <w:rPr>
          <w:rFonts w:ascii="David" w:hAnsi="David"/>
          <w:b/>
          <w:bCs/>
          <w:u w:val="single"/>
          <w:rtl/>
        </w:rPr>
        <w:t>חומרת העבירות והערכים החברתיים שנפגעו</w:t>
      </w:r>
    </w:p>
    <w:p w14:paraId="5162F8F2" w14:textId="77777777" w:rsidR="008A5C37" w:rsidRDefault="008A5C37" w:rsidP="008A5C37">
      <w:pPr>
        <w:spacing w:line="360" w:lineRule="auto"/>
        <w:ind w:left="720" w:hanging="720"/>
        <w:jc w:val="both"/>
        <w:rPr>
          <w:rFonts w:ascii="David" w:hAnsi="David"/>
          <w:b/>
          <w:bCs/>
          <w:sz w:val="2"/>
          <w:szCs w:val="2"/>
          <w:rtl/>
        </w:rPr>
      </w:pPr>
      <w:r>
        <w:rPr>
          <w:rFonts w:ascii="David" w:hAnsi="David"/>
          <w:b/>
          <w:bCs/>
          <w:rtl/>
        </w:rPr>
        <w:t>11.</w:t>
      </w:r>
      <w:r>
        <w:rPr>
          <w:rFonts w:ascii="David" w:hAnsi="David"/>
          <w:b/>
          <w:bCs/>
          <w:rtl/>
        </w:rPr>
        <w:tab/>
      </w:r>
      <w:r>
        <w:rPr>
          <w:rFonts w:ascii="David" w:hAnsi="David"/>
          <w:rtl/>
        </w:rPr>
        <w:t xml:space="preserve">אין צורך להכביר מילים על אודות חומרת מעשיו של הנאשם אשר בשני מועדים שונים הגיע ביחד עם בן דודו החייל לשמורת אלוני אבא, כשברשותו של בן הדוד רובה צהלי וכן מחסנית טעונה בכדורים מתאימים, ובמעמד זה החזיק ונשא הנאשם את הנשק, המחסנית והתחמושת, בלא רשות על פי דין, כאשר במועד הראשון ירה הנאשם באמצעות הרובה כדור אחד ובמועד השני ירה ארבעה כדורים.  </w:t>
      </w:r>
    </w:p>
    <w:p w14:paraId="5CF54DF4" w14:textId="77777777" w:rsidR="008A5C37" w:rsidRDefault="008A5C37" w:rsidP="008A5C37">
      <w:pPr>
        <w:spacing w:line="360" w:lineRule="auto"/>
        <w:ind w:left="720" w:hanging="720"/>
        <w:jc w:val="both"/>
        <w:rPr>
          <w:rFonts w:ascii="David" w:hAnsi="David"/>
          <w:b/>
          <w:bCs/>
          <w:sz w:val="2"/>
          <w:szCs w:val="2"/>
          <w:rtl/>
        </w:rPr>
      </w:pPr>
    </w:p>
    <w:p w14:paraId="49BC7503" w14:textId="77777777" w:rsidR="008A5C37" w:rsidRDefault="008A5C37" w:rsidP="008A5C37">
      <w:pPr>
        <w:spacing w:line="360" w:lineRule="auto"/>
        <w:ind w:left="720" w:hanging="720"/>
        <w:jc w:val="both"/>
        <w:rPr>
          <w:rFonts w:ascii="David" w:hAnsi="David"/>
          <w:b/>
          <w:bCs/>
          <w:sz w:val="2"/>
          <w:szCs w:val="2"/>
          <w:rtl/>
        </w:rPr>
      </w:pPr>
    </w:p>
    <w:p w14:paraId="5DE1D917" w14:textId="77777777" w:rsidR="008A5C37" w:rsidRDefault="008A5C37" w:rsidP="008A5C37">
      <w:pPr>
        <w:spacing w:line="360" w:lineRule="auto"/>
        <w:ind w:left="720" w:hanging="720"/>
        <w:jc w:val="both"/>
        <w:rPr>
          <w:rFonts w:ascii="David" w:hAnsi="David"/>
          <w:b/>
          <w:bCs/>
          <w:sz w:val="2"/>
          <w:szCs w:val="2"/>
          <w:rtl/>
        </w:rPr>
      </w:pPr>
    </w:p>
    <w:p w14:paraId="3C5241DD" w14:textId="77777777" w:rsidR="008A5C37" w:rsidRDefault="008A5C37" w:rsidP="008A5C37">
      <w:pPr>
        <w:spacing w:line="360" w:lineRule="auto"/>
        <w:ind w:left="720" w:hanging="720"/>
        <w:jc w:val="both"/>
        <w:rPr>
          <w:rFonts w:ascii="David" w:hAnsi="David"/>
          <w:b/>
          <w:bCs/>
          <w:sz w:val="2"/>
          <w:szCs w:val="2"/>
          <w:rtl/>
        </w:rPr>
      </w:pPr>
    </w:p>
    <w:p w14:paraId="3AB59473" w14:textId="77777777" w:rsidR="008A5C37" w:rsidRDefault="008A5C37" w:rsidP="008A5C37">
      <w:pPr>
        <w:spacing w:line="360" w:lineRule="auto"/>
        <w:ind w:left="720" w:hanging="720"/>
        <w:jc w:val="both"/>
        <w:rPr>
          <w:rFonts w:ascii="David" w:hAnsi="David"/>
          <w:b/>
          <w:bCs/>
          <w:sz w:val="2"/>
          <w:szCs w:val="2"/>
          <w:rtl/>
        </w:rPr>
      </w:pPr>
    </w:p>
    <w:p w14:paraId="630CDF75" w14:textId="77777777" w:rsidR="008A5C37" w:rsidRDefault="008A5C37" w:rsidP="008A5C37">
      <w:pPr>
        <w:spacing w:line="360" w:lineRule="auto"/>
        <w:ind w:left="720" w:hanging="720"/>
        <w:jc w:val="both"/>
        <w:rPr>
          <w:rFonts w:ascii="David" w:hAnsi="David"/>
          <w:b/>
          <w:bCs/>
          <w:sz w:val="2"/>
          <w:szCs w:val="2"/>
          <w:rtl/>
        </w:rPr>
      </w:pPr>
    </w:p>
    <w:p w14:paraId="7FE589FB" w14:textId="77777777" w:rsidR="008A5C37" w:rsidRDefault="008A5C37" w:rsidP="008A5C37">
      <w:pPr>
        <w:spacing w:line="360" w:lineRule="auto"/>
        <w:ind w:left="720" w:hanging="720"/>
        <w:jc w:val="both"/>
        <w:rPr>
          <w:rFonts w:ascii="David" w:hAnsi="David"/>
          <w:b/>
          <w:bCs/>
          <w:sz w:val="2"/>
          <w:szCs w:val="2"/>
          <w:rtl/>
        </w:rPr>
      </w:pPr>
    </w:p>
    <w:p w14:paraId="23EB5367" w14:textId="77777777" w:rsidR="008A5C37" w:rsidRDefault="008A5C37" w:rsidP="008A5C37">
      <w:pPr>
        <w:spacing w:after="160" w:line="360" w:lineRule="auto"/>
        <w:ind w:left="720"/>
        <w:jc w:val="both"/>
        <w:rPr>
          <w:rFonts w:ascii="David" w:hAnsi="David"/>
          <w:rtl/>
        </w:rPr>
      </w:pPr>
      <w:r>
        <w:rPr>
          <w:rFonts w:ascii="David" w:hAnsi="David"/>
          <w:rtl/>
        </w:rPr>
        <w:t>על הסיכון הגלום בעבירות בנשק ראו דבריה של כב' הש' ארבל ב</w:t>
      </w:r>
      <w:hyperlink r:id="rId37" w:history="1">
        <w:r w:rsidR="00C16C4C" w:rsidRPr="00C16C4C">
          <w:rPr>
            <w:rFonts w:ascii="David" w:hAnsi="David"/>
            <w:color w:val="0000FF"/>
            <w:u w:val="single"/>
            <w:rtl/>
          </w:rPr>
          <w:t>ע"פ 4945/13</w:t>
        </w:r>
      </w:hyperlink>
      <w:r>
        <w:rPr>
          <w:rFonts w:ascii="David" w:hAnsi="David"/>
          <w:rtl/>
        </w:rPr>
        <w:t xml:space="preserve"> </w:t>
      </w:r>
      <w:r>
        <w:rPr>
          <w:rFonts w:ascii="David" w:hAnsi="David"/>
          <w:b/>
          <w:bCs/>
          <w:rtl/>
        </w:rPr>
        <w:t xml:space="preserve">מדינת ישראל נ' סלימאן </w:t>
      </w:r>
      <w:r>
        <w:rPr>
          <w:rFonts w:ascii="David" w:hAnsi="David"/>
          <w:rtl/>
        </w:rPr>
        <w:t>(19/1/14):</w:t>
      </w:r>
    </w:p>
    <w:p w14:paraId="15EB5B94" w14:textId="77777777" w:rsidR="008A5C37" w:rsidRPr="008A5C37" w:rsidRDefault="008A5C37" w:rsidP="008A5C37">
      <w:pPr>
        <w:spacing w:after="160" w:line="360" w:lineRule="auto"/>
        <w:ind w:left="1440"/>
        <w:jc w:val="both"/>
        <w:rPr>
          <w:rFonts w:ascii="Arial" w:hAnsi="Arial" w:cs="Arial"/>
          <w:sz w:val="22"/>
          <w:szCs w:val="22"/>
          <w:rtl/>
        </w:rPr>
      </w:pPr>
      <w:r w:rsidRPr="008A5C37">
        <w:rPr>
          <w:rFonts w:ascii="Arial" w:hAnsi="Arial"/>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01250959" w14:textId="77777777" w:rsidR="008A5C37" w:rsidRDefault="008A5C37" w:rsidP="008A5C37">
      <w:pPr>
        <w:spacing w:after="160" w:line="360" w:lineRule="auto"/>
        <w:ind w:left="720"/>
        <w:jc w:val="both"/>
        <w:rPr>
          <w:rFonts w:ascii="David" w:hAnsi="David"/>
          <w:color w:val="000000"/>
          <w:sz w:val="2"/>
          <w:szCs w:val="2"/>
        </w:rPr>
      </w:pPr>
      <w:r>
        <w:rPr>
          <w:rFonts w:ascii="David" w:hAnsi="David"/>
          <w:color w:val="000000"/>
          <w:rtl/>
        </w:rPr>
        <w:t>עבירות הנשק, ובכללם החזקה, הובלה ונשיאת נשק שלא כדין, הפכו למרבה הצער ל"מכת מדינה" של ממש; ראו לעניין זה דבריו של כב' הש' אלרון ב</w:t>
      </w:r>
      <w:hyperlink r:id="rId38" w:history="1">
        <w:r w:rsidR="00C16C4C" w:rsidRPr="00C16C4C">
          <w:rPr>
            <w:rFonts w:ascii="David" w:hAnsi="David"/>
            <w:color w:val="0000FF"/>
            <w:u w:val="single"/>
            <w:rtl/>
          </w:rPr>
          <w:t>רע"פ 5613/20</w:t>
        </w:r>
      </w:hyperlink>
      <w:r>
        <w:rPr>
          <w:rFonts w:ascii="David" w:hAnsi="David"/>
          <w:b/>
          <w:bCs/>
          <w:color w:val="000000"/>
          <w:rtl/>
        </w:rPr>
        <w:t xml:space="preserve"> אלהוזייל </w:t>
      </w:r>
      <w:r>
        <w:rPr>
          <w:rFonts w:ascii="David" w:hAnsi="David"/>
          <w:color w:val="000000"/>
          <w:rtl/>
        </w:rPr>
        <w:t>(25/8/20), כדלהלן:</w:t>
      </w:r>
      <w:r>
        <w:rPr>
          <w:rFonts w:ascii="David" w:hAnsi="David"/>
          <w:b/>
          <w:bCs/>
          <w:color w:val="000000"/>
          <w:rtl/>
        </w:rPr>
        <w:t xml:space="preserve"> </w:t>
      </w:r>
    </w:p>
    <w:p w14:paraId="04E440E0" w14:textId="77777777" w:rsidR="008A5C37" w:rsidRPr="008A5C37" w:rsidRDefault="008A5C37" w:rsidP="008A5C37">
      <w:pPr>
        <w:shd w:val="clear" w:color="auto" w:fill="FFFFFF"/>
        <w:spacing w:after="160" w:line="360" w:lineRule="auto"/>
        <w:ind w:left="1440"/>
        <w:jc w:val="both"/>
        <w:rPr>
          <w:rFonts w:ascii="Arial" w:hAnsi="Arial"/>
          <w:color w:val="000000"/>
          <w:sz w:val="2"/>
          <w:szCs w:val="2"/>
          <w:rtl/>
        </w:rPr>
      </w:pPr>
      <w:r w:rsidRPr="008A5C37">
        <w:rPr>
          <w:rFonts w:ascii="Arial" w:hAnsi="Arial"/>
          <w:color w:val="000000"/>
          <w:rtl/>
        </w:rPr>
        <w:t>"לגופם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39" w:history="1">
        <w:r w:rsidR="00C16C4C" w:rsidRPr="00C16C4C">
          <w:rPr>
            <w:rFonts w:ascii="Arial" w:hAnsi="Arial"/>
            <w:color w:val="0000FF"/>
            <w:u w:val="single"/>
            <w:rtl/>
          </w:rPr>
          <w:t>ע"פ  4406/19</w:t>
        </w:r>
      </w:hyperlink>
      <w:r w:rsidR="00C16C4C">
        <w:rPr>
          <w:rFonts w:ascii="Arial" w:hAnsi="Arial"/>
          <w:color w:val="000000"/>
          <w:rtl/>
        </w:rPr>
        <w:t xml:space="preserve"> </w:t>
      </w:r>
      <w:r w:rsidRPr="008A5C37">
        <w:rPr>
          <w:rFonts w:ascii="Arial" w:hAnsi="Arial"/>
          <w:color w:val="000000"/>
          <w:rtl/>
        </w:rPr>
        <w:t xml:space="preserve">מדינת ישראל נ' סובח, פסקאות 16–17 לחוות דעתי (5.11.2019); </w:t>
      </w:r>
      <w:hyperlink r:id="rId40" w:history="1">
        <w:r w:rsidR="00C16C4C" w:rsidRPr="00C16C4C">
          <w:rPr>
            <w:rFonts w:ascii="Arial" w:hAnsi="Arial"/>
            <w:color w:val="0000FF"/>
            <w:u w:val="single"/>
            <w:rtl/>
          </w:rPr>
          <w:t>רע"פ 7344/18</w:t>
        </w:r>
      </w:hyperlink>
      <w:r w:rsidR="00C16C4C">
        <w:rPr>
          <w:rFonts w:ascii="Arial" w:hAnsi="Arial"/>
          <w:color w:val="000000"/>
          <w:rtl/>
        </w:rPr>
        <w:t xml:space="preserve"> </w:t>
      </w:r>
      <w:r w:rsidRPr="008A5C37">
        <w:rPr>
          <w:rFonts w:ascii="Arial" w:hAnsi="Arial"/>
          <w:color w:val="000000"/>
          <w:rtl/>
        </w:rPr>
        <w:t xml:space="preserve">מג'יד נ' מדינת ישראל, פסקה 10 (21.10.2018))." </w:t>
      </w:r>
    </w:p>
    <w:p w14:paraId="439984ED" w14:textId="77777777" w:rsidR="008A5C37" w:rsidRPr="008A5C37" w:rsidRDefault="008A5C37" w:rsidP="008A5C37">
      <w:pPr>
        <w:spacing w:after="160" w:line="360" w:lineRule="auto"/>
        <w:ind w:left="720"/>
        <w:jc w:val="both"/>
        <w:rPr>
          <w:rFonts w:ascii="Arial" w:hAnsi="Arial"/>
          <w:sz w:val="2"/>
          <w:szCs w:val="2"/>
          <w:rtl/>
        </w:rPr>
      </w:pPr>
      <w:r>
        <w:rPr>
          <w:rFonts w:ascii="David" w:hAnsi="David"/>
          <w:rtl/>
        </w:rPr>
        <w:t>כן ראו דבריו של כב' הש' סולברג ב</w:t>
      </w:r>
      <w:hyperlink r:id="rId41" w:history="1">
        <w:r w:rsidR="00C16C4C" w:rsidRPr="00C16C4C">
          <w:rPr>
            <w:rFonts w:ascii="David" w:hAnsi="David"/>
            <w:color w:val="0000FF"/>
            <w:u w:val="single"/>
            <w:rtl/>
          </w:rPr>
          <w:t>ע"פ 9830/17</w:t>
        </w:r>
      </w:hyperlink>
      <w:r>
        <w:rPr>
          <w:rFonts w:ascii="David" w:hAnsi="David"/>
          <w:rtl/>
        </w:rPr>
        <w:t xml:space="preserve"> </w:t>
      </w:r>
      <w:r>
        <w:rPr>
          <w:rFonts w:ascii="David" w:hAnsi="David"/>
          <w:b/>
          <w:bCs/>
          <w:rtl/>
        </w:rPr>
        <w:t>חמודה  נ' מדינת ישראל</w:t>
      </w:r>
      <w:r>
        <w:rPr>
          <w:rFonts w:ascii="David" w:hAnsi="David"/>
          <w:rtl/>
        </w:rPr>
        <w:t xml:space="preserve"> (8/3/18; להלן: </w:t>
      </w:r>
      <w:r>
        <w:rPr>
          <w:rFonts w:ascii="David" w:hAnsi="David"/>
          <w:b/>
          <w:bCs/>
          <w:rtl/>
        </w:rPr>
        <w:t>עניין חמודה</w:t>
      </w:r>
      <w:r>
        <w:rPr>
          <w:rFonts w:ascii="David" w:hAnsi="David"/>
          <w:rtl/>
        </w:rPr>
        <w:t>), כדלהלן:</w:t>
      </w:r>
    </w:p>
    <w:p w14:paraId="738D5C3B" w14:textId="77777777" w:rsidR="008A5C37" w:rsidRDefault="008A5C37" w:rsidP="008A5C37">
      <w:pPr>
        <w:spacing w:after="160" w:line="360" w:lineRule="auto"/>
        <w:ind w:left="1440"/>
        <w:jc w:val="both"/>
        <w:rPr>
          <w:rFonts w:ascii="David" w:hAnsi="David"/>
          <w:sz w:val="2"/>
          <w:szCs w:val="2"/>
          <w:rtl/>
        </w:rPr>
      </w:pPr>
      <w:r w:rsidRPr="008A5C37">
        <w:rPr>
          <w:rFonts w:ascii="Arial" w:hAnsi="Arial"/>
          <w:rtl/>
        </w:rPr>
        <w:t>"בית משפט זה עמד לא אחת על חומרתן של עבירות הנשק, ועל הסכנה הרבה הטמונה בביצוען, וזאת "בעיקר בשל כך שעבירות מסוג זה מקימות פוטנציאל להסלמה עבריינית ויוצרות סיכון ממשי וחמור לשלום הציבור וביטחונו" (</w:t>
      </w:r>
      <w:hyperlink r:id="rId42" w:history="1">
        <w:r w:rsidR="00C16C4C" w:rsidRPr="00C16C4C">
          <w:rPr>
            <w:rFonts w:ascii="Arial" w:hAnsi="Arial"/>
            <w:color w:val="0000FF"/>
            <w:u w:val="single"/>
            <w:rtl/>
          </w:rPr>
          <w:t>ע"פ 3156/11</w:t>
        </w:r>
      </w:hyperlink>
      <w:r w:rsidRPr="008A5C37">
        <w:rPr>
          <w:rFonts w:ascii="Arial" w:hAnsi="Arial"/>
          <w:rtl/>
        </w:rPr>
        <w:t xml:space="preserve"> זראיעה נ' מדינת ישראל, פסקה 5 (21.2.2012); ראו גם: </w:t>
      </w:r>
      <w:hyperlink r:id="rId43" w:history="1">
        <w:r w:rsidR="00C16C4C" w:rsidRPr="00C16C4C">
          <w:rPr>
            <w:rFonts w:ascii="Arial" w:hAnsi="Arial"/>
            <w:color w:val="0000FF"/>
            <w:u w:val="single"/>
            <w:rtl/>
          </w:rPr>
          <w:t>ע"פ 27/17</w:t>
        </w:r>
      </w:hyperlink>
      <w:r w:rsidRPr="008A5C37">
        <w:rPr>
          <w:rFonts w:ascii="Arial" w:hAnsi="Arial"/>
          <w:rtl/>
        </w:rPr>
        <w:t xml:space="preserve"> בסל נ' מדינת ישראל (פסקה 1 (12.12.2017)). בהתאם לכך, "מדיניות הענישה הנהוגה בעבירות אלה היא מדיניות של ענישה מחמירה, המחייבת בדרך כלל הטלת עונשי מאסר לריצוי בפועל גם על מי שזו הרשעתו הראשונה" (</w:t>
      </w:r>
      <w:hyperlink r:id="rId44" w:history="1">
        <w:r w:rsidR="00C16C4C" w:rsidRPr="00C16C4C">
          <w:rPr>
            <w:rFonts w:ascii="Arial" w:hAnsi="Arial"/>
            <w:color w:val="0000FF"/>
            <w:u w:val="single"/>
            <w:rtl/>
          </w:rPr>
          <w:t>ע"פ 6989/13</w:t>
        </w:r>
      </w:hyperlink>
      <w:r w:rsidRPr="008A5C37">
        <w:rPr>
          <w:rFonts w:ascii="Arial" w:hAnsi="Arial"/>
          <w:rtl/>
        </w:rPr>
        <w:t xml:space="preserve"> פרח נ' מדינת ישראל, פסקה 13 (25.2.2014))". </w:t>
      </w:r>
      <w:r>
        <w:rPr>
          <w:rFonts w:ascii="David" w:hAnsi="David"/>
          <w:rtl/>
        </w:rPr>
        <w:t xml:space="preserve">(ראו גם </w:t>
      </w:r>
      <w:hyperlink r:id="rId45" w:history="1">
        <w:r w:rsidR="00C16C4C" w:rsidRPr="00C16C4C">
          <w:rPr>
            <w:rFonts w:ascii="David" w:hAnsi="David"/>
            <w:color w:val="0000FF"/>
            <w:u w:val="single"/>
            <w:rtl/>
          </w:rPr>
          <w:t>ע"פ 2564/19</w:t>
        </w:r>
      </w:hyperlink>
      <w:r>
        <w:rPr>
          <w:rFonts w:ascii="David" w:hAnsi="David"/>
          <w:rtl/>
        </w:rPr>
        <w:t xml:space="preserve"> </w:t>
      </w:r>
      <w:r>
        <w:rPr>
          <w:rFonts w:ascii="David" w:hAnsi="David"/>
          <w:b/>
          <w:bCs/>
          <w:rtl/>
        </w:rPr>
        <w:t>אזברגה נ' מדינת ישראל</w:t>
      </w:r>
      <w:r>
        <w:rPr>
          <w:rFonts w:ascii="David" w:hAnsi="David"/>
          <w:rtl/>
        </w:rPr>
        <w:t xml:space="preserve"> (18/7/19) והמובאות שם; </w:t>
      </w:r>
      <w:hyperlink r:id="rId46" w:history="1">
        <w:r w:rsidR="00C16C4C" w:rsidRPr="00C16C4C">
          <w:rPr>
            <w:rFonts w:ascii="David" w:hAnsi="David"/>
            <w:color w:val="0000FF"/>
            <w:u w:val="single"/>
            <w:rtl/>
          </w:rPr>
          <w:t>ע"פ 8207/19</w:t>
        </w:r>
      </w:hyperlink>
      <w:r>
        <w:rPr>
          <w:rFonts w:ascii="David" w:hAnsi="David"/>
          <w:rtl/>
        </w:rPr>
        <w:t xml:space="preserve"> </w:t>
      </w:r>
      <w:r>
        <w:rPr>
          <w:rFonts w:ascii="David" w:hAnsi="David"/>
          <w:b/>
          <w:bCs/>
          <w:rtl/>
        </w:rPr>
        <w:t>אליהו נ' מדינת ישראל</w:t>
      </w:r>
      <w:r>
        <w:rPr>
          <w:rFonts w:ascii="David" w:hAnsi="David"/>
          <w:rtl/>
        </w:rPr>
        <w:t xml:space="preserve"> (13/7/20, שניהם מפי כב' הש' סולברג; </w:t>
      </w:r>
      <w:hyperlink r:id="rId47" w:history="1">
        <w:r w:rsidR="00C16C4C" w:rsidRPr="00C16C4C">
          <w:rPr>
            <w:rFonts w:ascii="David" w:hAnsi="David"/>
            <w:color w:val="0000FF"/>
            <w:u w:val="single"/>
            <w:rtl/>
          </w:rPr>
          <w:t>ע"פ 2398/14</w:t>
        </w:r>
      </w:hyperlink>
      <w:r>
        <w:rPr>
          <w:rFonts w:ascii="David" w:hAnsi="David"/>
          <w:rtl/>
        </w:rPr>
        <w:t xml:space="preserve"> </w:t>
      </w:r>
      <w:r>
        <w:rPr>
          <w:rFonts w:ascii="David" w:hAnsi="David"/>
          <w:b/>
          <w:bCs/>
          <w:rtl/>
        </w:rPr>
        <w:t>אלהוייזל נ' מדינת ישראל</w:t>
      </w:r>
      <w:r>
        <w:rPr>
          <w:rFonts w:ascii="David" w:hAnsi="David"/>
          <w:rtl/>
        </w:rPr>
        <w:t xml:space="preserve"> (8/7/14), מפי כב' הש' עמית; </w:t>
      </w:r>
      <w:hyperlink r:id="rId48" w:history="1">
        <w:r w:rsidR="00C16C4C" w:rsidRPr="00C16C4C">
          <w:rPr>
            <w:rFonts w:ascii="David" w:hAnsi="David"/>
            <w:color w:val="0000FF"/>
            <w:u w:val="single"/>
            <w:rtl/>
          </w:rPr>
          <w:t>ע"פ 8416/09</w:t>
        </w:r>
      </w:hyperlink>
      <w:r>
        <w:rPr>
          <w:rFonts w:ascii="David" w:hAnsi="David"/>
          <w:rtl/>
        </w:rPr>
        <w:t xml:space="preserve"> </w:t>
      </w:r>
      <w:r>
        <w:rPr>
          <w:rFonts w:ascii="David" w:hAnsi="David"/>
          <w:b/>
          <w:bCs/>
          <w:rtl/>
        </w:rPr>
        <w:t>מדינת ישראל נ' חרבוש ואח'</w:t>
      </w:r>
      <w:r>
        <w:rPr>
          <w:rFonts w:ascii="David" w:hAnsi="David"/>
          <w:rtl/>
        </w:rPr>
        <w:t xml:space="preserve"> (9/6/10), מפי כב' הש' פוגלמן; ועוד). </w:t>
      </w:r>
    </w:p>
    <w:p w14:paraId="1118461D" w14:textId="77777777" w:rsidR="008A5C37" w:rsidRPr="00E1627C" w:rsidRDefault="008A5C37" w:rsidP="008A5C37">
      <w:pPr>
        <w:spacing w:after="160" w:line="360" w:lineRule="auto"/>
        <w:ind w:left="1440"/>
        <w:jc w:val="both"/>
        <w:rPr>
          <w:rFonts w:ascii="David" w:hAnsi="David"/>
          <w:sz w:val="2"/>
          <w:szCs w:val="2"/>
          <w:rtl/>
        </w:rPr>
      </w:pPr>
    </w:p>
    <w:p w14:paraId="6B46719E" w14:textId="77777777" w:rsidR="008A5C37" w:rsidRDefault="008A5C37" w:rsidP="008A5C37">
      <w:pPr>
        <w:spacing w:line="360" w:lineRule="auto"/>
        <w:ind w:left="720" w:hanging="720"/>
        <w:jc w:val="both"/>
        <w:rPr>
          <w:rFonts w:ascii="David" w:hAnsi="David"/>
          <w:rtl/>
        </w:rPr>
      </w:pPr>
      <w:r>
        <w:rPr>
          <w:rFonts w:ascii="David" w:hAnsi="David"/>
          <w:b/>
          <w:bCs/>
          <w:rtl/>
        </w:rPr>
        <w:t>12.</w:t>
      </w:r>
      <w:r>
        <w:rPr>
          <w:rFonts w:ascii="David" w:hAnsi="David"/>
          <w:b/>
          <w:bCs/>
          <w:rtl/>
        </w:rPr>
        <w:tab/>
        <w:t xml:space="preserve">אשר לנסיבות הקשורות בביצוע העבירות, </w:t>
      </w:r>
      <w:r>
        <w:rPr>
          <w:rFonts w:ascii="David" w:hAnsi="David"/>
          <w:rtl/>
        </w:rPr>
        <w:t xml:space="preserve">יש להתחשב לחומרה בכך שאין מדובר באירועים ספונטניים אליהם נקלע הנאשם שלא בטובתו, אלא במעשים אשר תוכננו על ידו מראש, זאת בניגוד לדבריו האחרונים בבית המשפט. מעובדות כתב האישום המתוקן בהן הודה הנאשם, עולה כי הנאשם הגיע לשמורת אלוני אבא ביחד עם בן דודו – כשברשותו של האחרון רובה וכן מחסנית המכילה תחמושת מתאימה, שהופקדו בידיו על ידי צבא ההגנה לישראל - כאשר תכלית הגעתם לחורשה היא כי הנאשם יבצע ירי באמצאות הרובה. כך עשה כאמור במועד הראשון במעמד היותם בחורשה, עת קיבל לידיו את הרובה הצהלי, החזיק ונשא אותו כשהוא טעון וירה באמצעותו כדור אחד שלא כדין. דא עקא שהנאשם לא הסתפק בכך, וכעבור כחודש ימים, הגיעו שוב הוא ובן דודו לחורשה כשהאחרון מחזיק בנשקו הצהלי המחסנית והתחמושת, ובמעמד זה החזיק הנאשם ונשא את הרובה הטעון בכדורים וירה באמצעותו ארבעה כדורים שלא כדין. </w:t>
      </w:r>
    </w:p>
    <w:p w14:paraId="0881A540" w14:textId="77777777" w:rsidR="008A5C37" w:rsidRPr="00E1627C" w:rsidRDefault="008A5C37" w:rsidP="008A5C37">
      <w:pPr>
        <w:spacing w:line="360" w:lineRule="auto"/>
        <w:ind w:left="720" w:hanging="720"/>
        <w:jc w:val="both"/>
        <w:rPr>
          <w:rFonts w:ascii="David" w:hAnsi="David"/>
          <w:sz w:val="10"/>
          <w:szCs w:val="10"/>
          <w:rtl/>
        </w:rPr>
      </w:pPr>
    </w:p>
    <w:p w14:paraId="70AD3C9F" w14:textId="77777777" w:rsidR="008A5C37" w:rsidRDefault="008A5C37" w:rsidP="008A5C37">
      <w:pPr>
        <w:spacing w:line="360" w:lineRule="auto"/>
        <w:ind w:left="720" w:hanging="720"/>
        <w:jc w:val="both"/>
        <w:rPr>
          <w:rFonts w:ascii="David" w:hAnsi="David"/>
          <w:rtl/>
        </w:rPr>
      </w:pPr>
      <w:r>
        <w:rPr>
          <w:rFonts w:ascii="David" w:hAnsi="David"/>
          <w:b/>
          <w:bCs/>
          <w:rtl/>
        </w:rPr>
        <w:tab/>
      </w:r>
      <w:r>
        <w:rPr>
          <w:rFonts w:ascii="David" w:hAnsi="David"/>
          <w:rtl/>
        </w:rPr>
        <w:t xml:space="preserve">לקולה </w:t>
      </w:r>
      <w:r>
        <w:rPr>
          <w:rFonts w:ascii="David" w:hAnsi="David" w:hint="cs"/>
          <w:rtl/>
        </w:rPr>
        <w:t>יש להביא בחשבון כי ב</w:t>
      </w:r>
      <w:r>
        <w:rPr>
          <w:rFonts w:ascii="David" w:hAnsi="David"/>
          <w:rtl/>
        </w:rPr>
        <w:t xml:space="preserve">שני האירועים החזיק ונשא את הרובה, וכך גם את המחסנית והתחמושת, על פני רגעים קצרים בלבד. </w:t>
      </w:r>
      <w:r>
        <w:rPr>
          <w:rFonts w:ascii="David" w:hAnsi="David" w:hint="cs"/>
          <w:rtl/>
        </w:rPr>
        <w:t xml:space="preserve">עם זאת, יודגש כי </w:t>
      </w:r>
      <w:r>
        <w:rPr>
          <w:rFonts w:ascii="David" w:hAnsi="David"/>
          <w:rtl/>
        </w:rPr>
        <w:t xml:space="preserve">עבירות אלו בוצעו לשם ביצוע ירי שלא כדין על ידי הנאשם. </w:t>
      </w:r>
    </w:p>
    <w:p w14:paraId="40FB9EB1" w14:textId="77777777" w:rsidR="008A5C37" w:rsidRDefault="008A5C37" w:rsidP="008A5C37">
      <w:pPr>
        <w:spacing w:line="360" w:lineRule="auto"/>
        <w:ind w:left="720" w:hanging="720"/>
        <w:jc w:val="both"/>
        <w:rPr>
          <w:rFonts w:ascii="David" w:hAnsi="David"/>
          <w:sz w:val="14"/>
          <w:szCs w:val="14"/>
          <w:rtl/>
        </w:rPr>
      </w:pPr>
    </w:p>
    <w:p w14:paraId="1003BAC1" w14:textId="77777777" w:rsidR="008A5C37" w:rsidRDefault="008A5C37" w:rsidP="008A5C37">
      <w:pPr>
        <w:spacing w:line="360" w:lineRule="auto"/>
        <w:ind w:left="720"/>
        <w:jc w:val="both"/>
        <w:rPr>
          <w:rFonts w:ascii="David" w:hAnsi="David"/>
          <w:rtl/>
        </w:rPr>
      </w:pPr>
      <w:r>
        <w:rPr>
          <w:rFonts w:ascii="David" w:hAnsi="David" w:hint="cs"/>
          <w:rtl/>
        </w:rPr>
        <w:t xml:space="preserve">עוד אין חולק </w:t>
      </w:r>
      <w:r>
        <w:rPr>
          <w:rFonts w:ascii="David" w:hAnsi="David"/>
          <w:rtl/>
        </w:rPr>
        <w:t>כי אין מדובר במקרה בו בוצעו העבירות ממניעים עברייניים מובהקים -  במובן זה שהירי לא נעשה על רקע סכסוך כלשהו ולא כוון לעבר אחר - וכי גם מניעים ביטחוניים לא עמדו בבסיסם של המעשים. עם זאת, "נלהבותו" של הנאשם לירות ברובה , כדבריו בפני קצינת המבחן, אינה יכולה לשמש הצדקה כלשהי למעשיו החמורים. אין צריך לומר כי הרובה הצהלי שהופקד כאמור בידי בן הדוד לשם שמירה על בטחון המדינה, מתוקף שירותו הצבאי, אינו יכול לשמש "כלי משחק", כטענת המאשימה, ויש להתייחס לחומרה לבחירתו של הנאשם להחזיק בנשק, לשאת אותו – גם אם באופן רגעי – ובעיקר לבצע באמצעותו ירי בחורשה.</w:t>
      </w:r>
    </w:p>
    <w:p w14:paraId="7A203867" w14:textId="77777777" w:rsidR="008A5C37" w:rsidRDefault="008A5C37" w:rsidP="008A5C37">
      <w:pPr>
        <w:spacing w:line="360" w:lineRule="auto"/>
        <w:ind w:left="720"/>
        <w:jc w:val="both"/>
        <w:rPr>
          <w:rFonts w:ascii="David" w:hAnsi="David"/>
          <w:sz w:val="10"/>
          <w:szCs w:val="10"/>
          <w:rtl/>
        </w:rPr>
      </w:pPr>
    </w:p>
    <w:p w14:paraId="4120D3C2" w14:textId="77777777" w:rsidR="008A5C37" w:rsidRDefault="008A5C37" w:rsidP="008A5C37">
      <w:pPr>
        <w:spacing w:line="360" w:lineRule="auto"/>
        <w:ind w:left="720"/>
        <w:jc w:val="both"/>
        <w:rPr>
          <w:rFonts w:ascii="David" w:hAnsi="David"/>
          <w:rtl/>
        </w:rPr>
      </w:pPr>
      <w:r>
        <w:rPr>
          <w:rFonts w:ascii="David" w:hAnsi="David"/>
          <w:b/>
          <w:bCs/>
          <w:rtl/>
        </w:rPr>
        <w:t xml:space="preserve">חלקו של הנאשם בביצוע העבירות </w:t>
      </w:r>
      <w:r>
        <w:rPr>
          <w:rFonts w:ascii="David" w:hAnsi="David"/>
          <w:rtl/>
        </w:rPr>
        <w:t xml:space="preserve">שבהן הורשע על יסוד הודייתו על יסוד הודייתו הוא </w:t>
      </w:r>
      <w:r>
        <w:rPr>
          <w:rFonts w:ascii="David" w:hAnsi="David"/>
          <w:b/>
          <w:bCs/>
          <w:rtl/>
        </w:rPr>
        <w:t>מוחלט</w:t>
      </w:r>
      <w:r>
        <w:rPr>
          <w:rFonts w:ascii="David" w:hAnsi="David"/>
          <w:rtl/>
        </w:rPr>
        <w:t xml:space="preserve">, למן רגע קבלת הרובה הטעון לידיו ועד לאחר ביצוע הירי והשבתו לבן הדוד, אף שגם לבן הדוד יש חלק באירוע, משאפשר את המעשים בנשק הצהלי שהחזיק. כך בשני האירועים המתוארים בכתב האישום המתוקן. הנאשם הינו </w:t>
      </w:r>
      <w:r>
        <w:rPr>
          <w:rFonts w:ascii="David" w:hAnsi="David"/>
          <w:b/>
          <w:bCs/>
          <w:rtl/>
        </w:rPr>
        <w:t>בגיר אשר היה מודע לחומרת מעשיו ולפסול שבהם</w:t>
      </w:r>
      <w:r>
        <w:rPr>
          <w:rFonts w:ascii="David" w:hAnsi="David"/>
          <w:rtl/>
        </w:rPr>
        <w:t>, ויכול היה להימנע מביצועם ולמצער לחדול ממעשיו לאחר הירי הראשון שבוצע על ידו.</w:t>
      </w:r>
    </w:p>
    <w:p w14:paraId="23689B8F" w14:textId="77777777" w:rsidR="008A5C37" w:rsidRDefault="008A5C37" w:rsidP="008A5C37">
      <w:pPr>
        <w:spacing w:line="360" w:lineRule="auto"/>
        <w:ind w:left="720"/>
        <w:jc w:val="both"/>
        <w:rPr>
          <w:rFonts w:ascii="David" w:hAnsi="David"/>
          <w:sz w:val="14"/>
          <w:szCs w:val="14"/>
          <w:rtl/>
        </w:rPr>
      </w:pPr>
    </w:p>
    <w:p w14:paraId="7F248DDE" w14:textId="77777777" w:rsidR="008A5C37" w:rsidRDefault="008A5C37" w:rsidP="008A5C37">
      <w:pPr>
        <w:spacing w:line="360" w:lineRule="auto"/>
        <w:ind w:left="720"/>
        <w:jc w:val="both"/>
        <w:rPr>
          <w:rFonts w:ascii="David" w:hAnsi="David"/>
          <w:rtl/>
        </w:rPr>
      </w:pPr>
      <w:r>
        <w:rPr>
          <w:rFonts w:ascii="David" w:hAnsi="David"/>
          <w:rtl/>
        </w:rPr>
        <w:t xml:space="preserve">משקל לקולה יינתן גם לכך </w:t>
      </w:r>
      <w:r>
        <w:rPr>
          <w:rFonts w:ascii="David" w:hAnsi="David" w:hint="cs"/>
          <w:rtl/>
        </w:rPr>
        <w:t>ש</w:t>
      </w:r>
      <w:r>
        <w:rPr>
          <w:rFonts w:ascii="David" w:hAnsi="David"/>
          <w:rtl/>
        </w:rPr>
        <w:t xml:space="preserve">העבירות שביצע הנאשם </w:t>
      </w:r>
      <w:r>
        <w:rPr>
          <w:rFonts w:ascii="David" w:hAnsi="David"/>
          <w:b/>
          <w:bCs/>
          <w:rtl/>
        </w:rPr>
        <w:t>לא גרמו לנזק</w:t>
      </w:r>
      <w:r>
        <w:rPr>
          <w:rFonts w:ascii="David" w:hAnsi="David"/>
          <w:rtl/>
        </w:rPr>
        <w:t xml:space="preserve">. </w:t>
      </w:r>
      <w:r>
        <w:rPr>
          <w:rFonts w:ascii="David" w:hAnsi="David"/>
          <w:b/>
          <w:bCs/>
          <w:rtl/>
        </w:rPr>
        <w:t>אשר לפוטנציאל הנזק שיכול היה להיגרם מביצוע העבירות</w:t>
      </w:r>
      <w:r>
        <w:rPr>
          <w:rFonts w:ascii="David" w:hAnsi="David"/>
          <w:rtl/>
        </w:rPr>
        <w:t xml:space="preserve">, איני רואה לקבל את טענת ההגנה כי לא נשקף כל סיכון ממעשיו של הנאשם. נפסק לא אחת כי החזקה ונשיאה של נשק-  גם אם רגעית - לכשעצמה יוצרת סיכון, מקל וחומר כאשר העבירות מבוצעות על ידי מי שאינו מורשה על פי דין ואינו מיומן בהחזקה ונשיאה של נשק בעל פוטנציאל קטילה. והדברים מקבלים משנה תוקף כאשר מדובר ברובה הטעון בכדורים ומוכן לירי. </w:t>
      </w:r>
    </w:p>
    <w:p w14:paraId="38638472" w14:textId="77777777" w:rsidR="008A5C37" w:rsidRDefault="008A5C37" w:rsidP="008A5C37">
      <w:pPr>
        <w:spacing w:line="360" w:lineRule="auto"/>
        <w:ind w:left="720"/>
        <w:jc w:val="both"/>
        <w:rPr>
          <w:rFonts w:ascii="David" w:hAnsi="David"/>
          <w:sz w:val="18"/>
          <w:szCs w:val="18"/>
          <w:rtl/>
        </w:rPr>
      </w:pPr>
    </w:p>
    <w:p w14:paraId="5CDCDA8F" w14:textId="77777777" w:rsidR="008A5C37" w:rsidRDefault="008A5C37" w:rsidP="008A5C37">
      <w:pPr>
        <w:spacing w:line="360" w:lineRule="auto"/>
        <w:ind w:left="720"/>
        <w:jc w:val="both"/>
        <w:rPr>
          <w:rFonts w:ascii="David" w:hAnsi="David"/>
          <w:sz w:val="16"/>
          <w:szCs w:val="16"/>
          <w:rtl/>
        </w:rPr>
      </w:pPr>
      <w:r>
        <w:rPr>
          <w:rFonts w:ascii="David" w:hAnsi="David" w:hint="cs"/>
          <w:rtl/>
        </w:rPr>
        <w:t xml:space="preserve">אכן, </w:t>
      </w:r>
      <w:r>
        <w:rPr>
          <w:rFonts w:ascii="David" w:hAnsi="David"/>
          <w:rtl/>
        </w:rPr>
        <w:t>הנאשם ביצע את הירי בחורשה - להבדיל מ</w:t>
      </w:r>
      <w:r>
        <w:rPr>
          <w:rFonts w:ascii="David" w:hAnsi="David" w:hint="cs"/>
          <w:rtl/>
        </w:rPr>
        <w:t>ירי ב</w:t>
      </w:r>
      <w:r>
        <w:rPr>
          <w:rFonts w:ascii="David" w:hAnsi="David"/>
          <w:rtl/>
        </w:rPr>
        <w:t xml:space="preserve">אזור מגורים - באופן שיש בו כדי להפחית את פוטנציאל הסיכון שהעשוי להיגרם ממעשיו. ויובהר כי העובדה שהנאשם הואשם בחלופה המקלה המנויה </w:t>
      </w:r>
      <w:hyperlink r:id="rId49" w:history="1">
        <w:r w:rsidR="00121052" w:rsidRPr="00121052">
          <w:rPr>
            <w:rStyle w:val="Hyperlink"/>
            <w:rFonts w:ascii="David" w:hAnsi="David"/>
            <w:rtl/>
          </w:rPr>
          <w:t>בסעיף 340א</w:t>
        </w:r>
      </w:hyperlink>
      <w:r>
        <w:rPr>
          <w:rFonts w:ascii="David" w:hAnsi="David"/>
          <w:rtl/>
        </w:rPr>
        <w:t xml:space="preserve"> ל</w:t>
      </w:r>
      <w:hyperlink r:id="rId50" w:history="1">
        <w:r w:rsidR="00C16C4C" w:rsidRPr="00C16C4C">
          <w:rPr>
            <w:rFonts w:ascii="David" w:hAnsi="David"/>
            <w:color w:val="0000FF"/>
            <w:u w:val="single"/>
            <w:rtl/>
          </w:rPr>
          <w:t>חוק העונשין</w:t>
        </w:r>
      </w:hyperlink>
      <w:r>
        <w:rPr>
          <w:rFonts w:ascii="David" w:hAnsi="David"/>
          <w:rtl/>
        </w:rPr>
        <w:t xml:space="preserve">, אין בה כדי ללמד כי מדובר בעבירה "שאין בצידה סיכון" כלל, כטענת ההגנה. אין צריך לומר כי כל ירי מנשק חם טומן בחובו סיכון, אלא שהסכנה הנשקפת מהחלופה המקלה - </w:t>
      </w:r>
      <w:hyperlink r:id="rId51" w:history="1">
        <w:r w:rsidR="00121052" w:rsidRPr="00121052">
          <w:rPr>
            <w:rStyle w:val="Hyperlink"/>
            <w:rFonts w:ascii="David" w:hAnsi="David"/>
            <w:rtl/>
          </w:rPr>
          <w:t>סעיף 340א(א)</w:t>
        </w:r>
      </w:hyperlink>
      <w:r>
        <w:rPr>
          <w:rFonts w:ascii="David" w:hAnsi="David"/>
          <w:rtl/>
        </w:rPr>
        <w:t xml:space="preserve">, אשר העונש הקבוע בצידה עומד כאמור על שנתיים מאסר- </w:t>
      </w:r>
      <w:r>
        <w:rPr>
          <w:rFonts w:ascii="David" w:hAnsi="David"/>
          <w:u w:val="single"/>
          <w:rtl/>
        </w:rPr>
        <w:t>פחותה יחסית</w:t>
      </w:r>
      <w:r>
        <w:rPr>
          <w:rFonts w:ascii="David" w:hAnsi="David"/>
          <w:rtl/>
        </w:rPr>
        <w:t xml:space="preserve">  מזו הנשקפת מביצוע ירי מנשק חם "באזור מגורים או במקום שיש בו כדי לסכן חיי אדם" (</w:t>
      </w:r>
      <w:hyperlink r:id="rId52" w:history="1">
        <w:r w:rsidR="00121052" w:rsidRPr="00121052">
          <w:rPr>
            <w:rStyle w:val="Hyperlink"/>
            <w:rFonts w:ascii="David" w:hAnsi="David"/>
            <w:rtl/>
          </w:rPr>
          <w:t>סעיף 340א(ב)(1))</w:t>
        </w:r>
      </w:hyperlink>
      <w:r>
        <w:rPr>
          <w:rFonts w:ascii="David" w:hAnsi="David"/>
          <w:rtl/>
        </w:rPr>
        <w:t xml:space="preserve"> וירי המבוצע "באופן שיש בו לסכן חיי אדם" (</w:t>
      </w:r>
      <w:hyperlink r:id="rId53" w:history="1">
        <w:r w:rsidR="00121052" w:rsidRPr="00121052">
          <w:rPr>
            <w:rStyle w:val="Hyperlink"/>
            <w:rFonts w:ascii="David" w:hAnsi="David"/>
            <w:rtl/>
          </w:rPr>
          <w:t>סעיף 340א(ב(2))</w:t>
        </w:r>
      </w:hyperlink>
      <w:r>
        <w:rPr>
          <w:rFonts w:ascii="David" w:hAnsi="David"/>
          <w:rtl/>
        </w:rPr>
        <w:t xml:space="preserve"> – שהעונש הקבוע בצדן עומד על חמש שנות מאסר. </w:t>
      </w:r>
      <w:r>
        <w:rPr>
          <w:rFonts w:ascii="David" w:hAnsi="David" w:hint="cs"/>
          <w:rtl/>
        </w:rPr>
        <w:t xml:space="preserve"> </w:t>
      </w:r>
      <w:r>
        <w:rPr>
          <w:rFonts w:ascii="David" w:hAnsi="David"/>
          <w:rtl/>
        </w:rPr>
        <w:t xml:space="preserve"> </w:t>
      </w:r>
    </w:p>
    <w:p w14:paraId="1FB9954A" w14:textId="77777777" w:rsidR="008A5C37" w:rsidRDefault="008A5C37" w:rsidP="008A5C37">
      <w:pPr>
        <w:spacing w:line="360" w:lineRule="auto"/>
        <w:ind w:left="720"/>
        <w:jc w:val="both"/>
        <w:rPr>
          <w:rFonts w:ascii="David" w:hAnsi="David"/>
          <w:sz w:val="16"/>
          <w:szCs w:val="16"/>
          <w:rtl/>
        </w:rPr>
      </w:pPr>
    </w:p>
    <w:p w14:paraId="2DA0FC98" w14:textId="77777777" w:rsidR="008A5C37" w:rsidRDefault="008A5C37" w:rsidP="008A5C37">
      <w:pPr>
        <w:spacing w:line="360" w:lineRule="auto"/>
        <w:ind w:left="720"/>
        <w:jc w:val="both"/>
        <w:rPr>
          <w:rFonts w:ascii="David" w:hAnsi="David"/>
          <w:rtl/>
        </w:rPr>
      </w:pPr>
      <w:r>
        <w:rPr>
          <w:rFonts w:ascii="David" w:hAnsi="David"/>
          <w:rtl/>
        </w:rPr>
        <w:t xml:space="preserve">עם זאת, </w:t>
      </w:r>
      <w:r>
        <w:rPr>
          <w:rFonts w:ascii="David" w:hAnsi="David"/>
          <w:b/>
          <w:bCs/>
          <w:rtl/>
        </w:rPr>
        <w:t>פוטנציאל הנזק מביצוע העבירות על ידי הנאשם בשני האירועים הוא בלתי מבוטל</w:t>
      </w:r>
      <w:r>
        <w:rPr>
          <w:rFonts w:ascii="David" w:hAnsi="David"/>
          <w:rtl/>
        </w:rPr>
        <w:t xml:space="preserve">, בראש ובראשונה לנאשם עצמו ולבן דודו, נוכח חוסר מיומנותו של הנאשם בירי, אשר בוצע על ידו כאמור שלא כדין. יתירה מכך, מדובר בירי שבוצע בשתי הזדמנויות בשעות ערב (19:10 ו-  19:40), בחורשה המהווה שמורת טבע המוגדרת, בין השאר, כאתר תיירותי חינוכי המשמש לטיולים. כשם שהנאשם ובן דודו הגיעו לשמורה - מסיבותיהם הבלתי כשרות - לא ניתן לשלול מצב דברים לפיו ישהו בשמורה אחרים לשם טיול (גם אם בשעות שאינן מוגדרות כשעות פעילותה המוכרזות), והירי שביצע הנאשם בכל אחת מההזדמנויות עשוי היה להעמידם בסיכון, וכך גם עוברי אורח תמימים שעשויים היו לשהות סמוך לחורשה ובסביבתה.  </w:t>
      </w:r>
    </w:p>
    <w:p w14:paraId="14071C5A" w14:textId="77777777" w:rsidR="008A5C37" w:rsidRDefault="008A5C37" w:rsidP="008A5C37">
      <w:pPr>
        <w:spacing w:line="360" w:lineRule="auto"/>
        <w:ind w:left="720"/>
        <w:jc w:val="both"/>
        <w:rPr>
          <w:rFonts w:ascii="David" w:hAnsi="David"/>
          <w:sz w:val="16"/>
          <w:szCs w:val="16"/>
          <w:rtl/>
        </w:rPr>
      </w:pPr>
    </w:p>
    <w:p w14:paraId="6FD766F5" w14:textId="77777777" w:rsidR="008A5C37" w:rsidRDefault="008A5C37" w:rsidP="008A5C37">
      <w:pPr>
        <w:spacing w:line="360" w:lineRule="auto"/>
        <w:ind w:left="720" w:hanging="720"/>
        <w:jc w:val="both"/>
        <w:rPr>
          <w:rFonts w:ascii="David" w:hAnsi="David"/>
          <w:rtl/>
        </w:rPr>
      </w:pPr>
      <w:r>
        <w:rPr>
          <w:rFonts w:ascii="David" w:hAnsi="David"/>
          <w:b/>
          <w:bCs/>
          <w:rtl/>
        </w:rPr>
        <w:t>13.</w:t>
      </w:r>
      <w:r>
        <w:rPr>
          <w:rFonts w:ascii="David" w:hAnsi="David"/>
          <w:b/>
          <w:bCs/>
          <w:rtl/>
        </w:rPr>
        <w:tab/>
        <w:t xml:space="preserve">הערכים החברתיים </w:t>
      </w:r>
      <w:r>
        <w:rPr>
          <w:rFonts w:ascii="David" w:hAnsi="David"/>
          <w:rtl/>
        </w:rPr>
        <w:t xml:space="preserve">שנפגעו כתוצאה מהעבירות שבוצעו על ידי הנאשם הם שלום הציבור ובטחונו, שלמות גופו וחייו. מידת הפגיעה בערכים המוגנים הינה משמעותית, נוכח פוטנציאל הנזק הטמון בביצוע העבירות, כאמור לעיל, ובשים לב לכך שהמדובר בעבירות שבוצעו על ידי הנאשם  פעמיים, בשני מועדים שונים. בנסיבות העניין ובשים לב למגמת ההחמרה בענישה בעבירות שביצע הנאשם, ראויים מעשיו החמורים לתגובה עונשית הולמת.  </w:t>
      </w:r>
    </w:p>
    <w:p w14:paraId="3595C309" w14:textId="77777777" w:rsidR="008A5C37" w:rsidRPr="00E1627C" w:rsidRDefault="008A5C37" w:rsidP="008A5C37">
      <w:pPr>
        <w:spacing w:line="360" w:lineRule="auto"/>
        <w:ind w:left="720"/>
        <w:jc w:val="both"/>
        <w:rPr>
          <w:rFonts w:ascii="David" w:hAnsi="David"/>
          <w:sz w:val="14"/>
          <w:szCs w:val="14"/>
          <w:rtl/>
        </w:rPr>
      </w:pPr>
    </w:p>
    <w:p w14:paraId="4D67F7D3" w14:textId="77777777" w:rsidR="008A5C37" w:rsidRDefault="008A5C37" w:rsidP="008A5C37">
      <w:pPr>
        <w:spacing w:line="360" w:lineRule="auto"/>
        <w:ind w:left="720"/>
        <w:jc w:val="both"/>
        <w:rPr>
          <w:rFonts w:ascii="David" w:hAnsi="David"/>
          <w:b/>
          <w:bCs/>
          <w:u w:val="single"/>
          <w:rtl/>
        </w:rPr>
      </w:pPr>
      <w:r>
        <w:rPr>
          <w:rFonts w:ascii="David" w:hAnsi="David"/>
          <w:b/>
          <w:bCs/>
          <w:u w:val="single"/>
          <w:rtl/>
        </w:rPr>
        <w:t>מתחם הענישה</w:t>
      </w:r>
    </w:p>
    <w:p w14:paraId="289B4567" w14:textId="77777777" w:rsidR="008A5C37" w:rsidRDefault="008A5C37" w:rsidP="008A5C37">
      <w:pPr>
        <w:spacing w:line="360" w:lineRule="auto"/>
        <w:ind w:left="720" w:hanging="720"/>
        <w:jc w:val="both"/>
        <w:rPr>
          <w:rFonts w:ascii="David" w:hAnsi="David"/>
          <w:rtl/>
        </w:rPr>
      </w:pPr>
      <w:r>
        <w:rPr>
          <w:rFonts w:ascii="David" w:hAnsi="David"/>
          <w:b/>
          <w:bCs/>
          <w:rtl/>
        </w:rPr>
        <w:t>14.</w:t>
      </w:r>
      <w:r>
        <w:rPr>
          <w:rFonts w:ascii="David" w:hAnsi="David"/>
          <w:b/>
          <w:bCs/>
          <w:rtl/>
        </w:rPr>
        <w:tab/>
        <w:t xml:space="preserve">א. </w:t>
      </w:r>
      <w:r>
        <w:rPr>
          <w:rFonts w:ascii="David" w:hAnsi="David"/>
          <w:rtl/>
        </w:rPr>
        <w:t>העונש המרבי הקבוע ב</w:t>
      </w:r>
      <w:hyperlink r:id="rId54" w:history="1">
        <w:r w:rsidR="00C16C4C" w:rsidRPr="00C16C4C">
          <w:rPr>
            <w:rFonts w:ascii="David" w:hAnsi="David"/>
            <w:color w:val="0000FF"/>
            <w:u w:val="single"/>
            <w:rtl/>
          </w:rPr>
          <w:t>חוק העונשין</w:t>
        </w:r>
      </w:hyperlink>
      <w:r>
        <w:rPr>
          <w:rFonts w:ascii="David" w:hAnsi="David"/>
          <w:rtl/>
        </w:rPr>
        <w:t xml:space="preserve"> בצדה של עבירה של נשיאת נשק הוא </w:t>
      </w:r>
      <w:r>
        <w:rPr>
          <w:rFonts w:ascii="David" w:hAnsi="David"/>
          <w:b/>
          <w:bCs/>
          <w:rtl/>
        </w:rPr>
        <w:t>10 שנות מאסר</w:t>
      </w:r>
      <w:r>
        <w:rPr>
          <w:rFonts w:ascii="David" w:hAnsi="David"/>
          <w:rtl/>
        </w:rPr>
        <w:t xml:space="preserve"> (</w:t>
      </w:r>
      <w:hyperlink r:id="rId55" w:history="1">
        <w:r w:rsidR="00121052" w:rsidRPr="00121052">
          <w:rPr>
            <w:rStyle w:val="Hyperlink"/>
            <w:rFonts w:ascii="David" w:hAnsi="David"/>
            <w:rtl/>
          </w:rPr>
          <w:t>סעיף 144(ב)</w:t>
        </w:r>
      </w:hyperlink>
      <w:r>
        <w:rPr>
          <w:rFonts w:ascii="David" w:hAnsi="David"/>
          <w:rtl/>
        </w:rPr>
        <w:t xml:space="preserve"> רישא) ובצידה של עבירת החזקת נשק הוא </w:t>
      </w:r>
      <w:r>
        <w:rPr>
          <w:rFonts w:ascii="David" w:hAnsi="David"/>
          <w:b/>
          <w:bCs/>
          <w:rtl/>
        </w:rPr>
        <w:t>7 שנות מאסר</w:t>
      </w:r>
      <w:r>
        <w:rPr>
          <w:rFonts w:ascii="David" w:hAnsi="David"/>
          <w:rtl/>
        </w:rPr>
        <w:t xml:space="preserve"> (</w:t>
      </w:r>
      <w:hyperlink r:id="rId56" w:history="1">
        <w:r w:rsidR="00121052" w:rsidRPr="00121052">
          <w:rPr>
            <w:rStyle w:val="Hyperlink"/>
            <w:rFonts w:ascii="David" w:hAnsi="David"/>
            <w:rtl/>
          </w:rPr>
          <w:t>סעיף 144(א)</w:t>
        </w:r>
      </w:hyperlink>
      <w:r>
        <w:rPr>
          <w:rFonts w:ascii="David" w:hAnsi="David"/>
          <w:rtl/>
        </w:rPr>
        <w:t xml:space="preserve"> רישא); העונש המרבי הקבוע בצידה של נשיאה והחזקה של אביזר או תחמושת הוא </w:t>
      </w:r>
      <w:r>
        <w:rPr>
          <w:rFonts w:ascii="David" w:hAnsi="David"/>
          <w:b/>
          <w:bCs/>
          <w:rtl/>
        </w:rPr>
        <w:t>3 שנות מאסר</w:t>
      </w:r>
      <w:r>
        <w:rPr>
          <w:rFonts w:ascii="David" w:hAnsi="David"/>
          <w:rtl/>
        </w:rPr>
        <w:t xml:space="preserve"> (</w:t>
      </w:r>
      <w:hyperlink r:id="rId57" w:history="1">
        <w:r w:rsidR="00121052" w:rsidRPr="00121052">
          <w:rPr>
            <w:rStyle w:val="Hyperlink"/>
            <w:rFonts w:ascii="David" w:hAnsi="David"/>
            <w:rtl/>
          </w:rPr>
          <w:t>סעיפים 144(א)</w:t>
        </w:r>
      </w:hyperlink>
      <w:r>
        <w:rPr>
          <w:rFonts w:ascii="David" w:hAnsi="David"/>
          <w:rtl/>
        </w:rPr>
        <w:t xml:space="preserve"> סיפא, ו- 144(ב) סיפא)). בנוסף לכך, העונש המרבי הקבוע בצידה של עבירה של ירי בנשק חם הוא </w:t>
      </w:r>
      <w:r>
        <w:rPr>
          <w:rFonts w:ascii="David" w:hAnsi="David"/>
          <w:b/>
          <w:bCs/>
          <w:rtl/>
        </w:rPr>
        <w:t>2 שנות מאסר</w:t>
      </w:r>
      <w:r>
        <w:rPr>
          <w:rFonts w:ascii="David" w:hAnsi="David"/>
          <w:rtl/>
        </w:rPr>
        <w:t xml:space="preserve">  (סעיף </w:t>
      </w:r>
      <w:hyperlink r:id="rId58" w:history="1">
        <w:r w:rsidR="00121052" w:rsidRPr="00121052">
          <w:rPr>
            <w:rStyle w:val="Hyperlink"/>
            <w:rFonts w:ascii="David" w:hAnsi="David"/>
            <w:rtl/>
          </w:rPr>
          <w:t>340 א(א)).</w:t>
        </w:r>
      </w:hyperlink>
      <w:r>
        <w:rPr>
          <w:rFonts w:ascii="David" w:hAnsi="David"/>
          <w:rtl/>
        </w:rPr>
        <w:t xml:space="preserve"> כאמור, במקרה הנדון ביצע הנאשם כל אחת מהעבירות הנ"ל בשתי הזדמנויות שונות.</w:t>
      </w:r>
    </w:p>
    <w:p w14:paraId="67C23B89" w14:textId="77777777" w:rsidR="008A5C37" w:rsidRDefault="008A5C37" w:rsidP="008A5C37">
      <w:pPr>
        <w:spacing w:line="360" w:lineRule="auto"/>
        <w:ind w:left="720" w:hanging="720"/>
        <w:jc w:val="both"/>
        <w:rPr>
          <w:rFonts w:ascii="David" w:hAnsi="David"/>
          <w:sz w:val="14"/>
          <w:szCs w:val="14"/>
          <w:rtl/>
        </w:rPr>
      </w:pPr>
    </w:p>
    <w:p w14:paraId="2172DCAD" w14:textId="77777777" w:rsidR="008A5C37" w:rsidRDefault="008A5C37" w:rsidP="008A5C37">
      <w:pPr>
        <w:overflowPunct w:val="0"/>
        <w:autoSpaceDE w:val="0"/>
        <w:autoSpaceDN w:val="0"/>
        <w:adjustRightInd w:val="0"/>
        <w:spacing w:line="360" w:lineRule="auto"/>
        <w:ind w:left="720"/>
        <w:jc w:val="both"/>
        <w:textAlignment w:val="baseline"/>
        <w:rPr>
          <w:rFonts w:ascii="David" w:hAnsi="David"/>
          <w:rtl/>
        </w:rPr>
      </w:pPr>
      <w:r>
        <w:rPr>
          <w:rFonts w:ascii="David" w:hAnsi="David"/>
          <w:b/>
          <w:bCs/>
          <w:rtl/>
        </w:rPr>
        <w:t>ב.</w:t>
      </w:r>
      <w:r>
        <w:rPr>
          <w:rFonts w:ascii="David" w:hAnsi="David"/>
          <w:rtl/>
        </w:rPr>
        <w:t xml:space="preserve"> "</w:t>
      </w:r>
      <w:r>
        <w:rPr>
          <w:rFonts w:ascii="David" w:hAnsi="David"/>
          <w:b/>
          <w:bCs/>
          <w:rtl/>
        </w:rPr>
        <w:t>אירוע אחד</w:t>
      </w:r>
      <w:r>
        <w:rPr>
          <w:rFonts w:ascii="David" w:hAnsi="David"/>
          <w:rtl/>
        </w:rPr>
        <w:t>"- באי כוח הצדדים לא התייחסו במפורש לשאלה האם מדובר בעבירות שבוצעו במסגרת "אירוע אחד" או בשני אירועים נפרדים, אך מאופי טיעוניהם לעניין מתחם הענישה לו עתרו משתמע כי הם תמימי דעים שעסקינן ב"אירוע אחד". בנסיבות העניין, נוכח הדמיון הרב בין נסיבות ביצוע העבירות בכל אחד מהאירועים המפורטים בכתב האישום המתוקן, סמיכות הזמנים ביניהם, וכן העובדה כי מדובר בהחזקה, נשיאה וירי של אותו נשק, ובאותם מבצעים (הנאשם ובן דודו החייל), אני רואה ל</w:t>
      </w:r>
      <w:r>
        <w:rPr>
          <w:rFonts w:ascii="David" w:hAnsi="David" w:hint="cs"/>
          <w:rtl/>
        </w:rPr>
        <w:t>הניח כי המסקנה נוטה לקביעה ש</w:t>
      </w:r>
      <w:r>
        <w:rPr>
          <w:rFonts w:ascii="David" w:hAnsi="David"/>
          <w:rtl/>
        </w:rPr>
        <w:t>מדובר ב"אירוע אחד"</w:t>
      </w:r>
      <w:r>
        <w:rPr>
          <w:rFonts w:ascii="David" w:hAnsi="David" w:hint="cs"/>
          <w:rtl/>
        </w:rPr>
        <w:t>,</w:t>
      </w:r>
      <w:r>
        <w:rPr>
          <w:rFonts w:ascii="David" w:hAnsi="David"/>
          <w:rtl/>
        </w:rPr>
        <w:t xml:space="preserve"> ובהתאמה </w:t>
      </w:r>
      <w:r>
        <w:rPr>
          <w:rFonts w:ascii="David" w:hAnsi="David" w:hint="cs"/>
          <w:rtl/>
        </w:rPr>
        <w:t xml:space="preserve">- </w:t>
      </w:r>
      <w:r>
        <w:rPr>
          <w:rFonts w:ascii="David" w:hAnsi="David"/>
          <w:rtl/>
        </w:rPr>
        <w:t xml:space="preserve">מתחם עונש הולם אחד בגין מכלול העבירות שביצע הנאשם.    </w:t>
      </w:r>
    </w:p>
    <w:p w14:paraId="4E888D86" w14:textId="77777777" w:rsidR="008A5C37" w:rsidRPr="00A74883" w:rsidRDefault="008A5C37" w:rsidP="008A5C37">
      <w:pPr>
        <w:spacing w:line="360" w:lineRule="auto"/>
        <w:ind w:left="720"/>
        <w:jc w:val="both"/>
        <w:rPr>
          <w:rFonts w:ascii="David" w:hAnsi="David"/>
          <w:b/>
          <w:bCs/>
          <w:sz w:val="14"/>
          <w:szCs w:val="14"/>
          <w:rtl/>
        </w:rPr>
      </w:pPr>
    </w:p>
    <w:p w14:paraId="67AA1BC1" w14:textId="77777777" w:rsidR="008A5C37" w:rsidRDefault="008A5C37" w:rsidP="008A5C37">
      <w:pPr>
        <w:spacing w:line="360" w:lineRule="auto"/>
        <w:ind w:left="720"/>
        <w:jc w:val="both"/>
        <w:rPr>
          <w:rFonts w:ascii="David" w:hAnsi="David"/>
          <w:rtl/>
        </w:rPr>
      </w:pPr>
      <w:r>
        <w:rPr>
          <w:rFonts w:ascii="David" w:hAnsi="David"/>
          <w:b/>
          <w:bCs/>
          <w:rtl/>
        </w:rPr>
        <w:t xml:space="preserve">ג. </w:t>
      </w:r>
      <w:r>
        <w:rPr>
          <w:rFonts w:ascii="David" w:hAnsi="David"/>
          <w:rtl/>
        </w:rPr>
        <w:t xml:space="preserve">באי כוח הצדדים, החלוקים בשאלת מתחם העונש ההולם את המקרה הנדון, הפנו לפסקי דין התומכים </w:t>
      </w:r>
    </w:p>
    <w:p w14:paraId="03F79F4C" w14:textId="77777777" w:rsidR="008A5C37" w:rsidRDefault="008A5C37" w:rsidP="008A5C37">
      <w:pPr>
        <w:spacing w:line="360" w:lineRule="auto"/>
        <w:ind w:left="720"/>
        <w:jc w:val="both"/>
        <w:rPr>
          <w:rFonts w:ascii="David" w:hAnsi="David"/>
          <w:rtl/>
        </w:rPr>
      </w:pPr>
      <w:r>
        <w:rPr>
          <w:rFonts w:ascii="David" w:hAnsi="David"/>
          <w:rtl/>
        </w:rPr>
        <w:t>בעמדתם, זו בכה וזה בכה, כאשר כל אחד מהם הפנה למקרים חמורים יותר וחמורים פחות מהמקרה דנן, וביקש לאבחן את פסקי הדין אליהם הפנה הצד שכנגד או חלקם.</w:t>
      </w:r>
    </w:p>
    <w:p w14:paraId="4DA6D477" w14:textId="77777777" w:rsidR="008A5C37" w:rsidRDefault="008A5C37" w:rsidP="008A5C37">
      <w:pPr>
        <w:spacing w:line="360" w:lineRule="auto"/>
        <w:ind w:left="720" w:hanging="720"/>
        <w:jc w:val="both"/>
        <w:rPr>
          <w:rFonts w:ascii="David" w:hAnsi="David"/>
          <w:rtl/>
        </w:rPr>
      </w:pPr>
      <w:r>
        <w:rPr>
          <w:rFonts w:ascii="David" w:hAnsi="David"/>
          <w:b/>
          <w:bCs/>
          <w:rtl/>
        </w:rPr>
        <w:t>15.</w:t>
      </w:r>
      <w:r>
        <w:rPr>
          <w:rFonts w:ascii="David" w:hAnsi="David"/>
          <w:b/>
          <w:bCs/>
          <w:rtl/>
        </w:rPr>
        <w:tab/>
        <w:t>המאשימה</w:t>
      </w:r>
      <w:r>
        <w:rPr>
          <w:rFonts w:ascii="David" w:hAnsi="David"/>
          <w:rtl/>
        </w:rPr>
        <w:t xml:space="preserve"> אשר עתרה להעמיד במקרה הנדון את מתחם הענישה בטווח שבין 2.5 ל- 5 שנות מאסר בפועל, הפנתה לפסקי דין המשקפים לשיטתה את מדיניות הענישה בעבירות דומות, כדלהלן: </w:t>
      </w:r>
    </w:p>
    <w:p w14:paraId="1431B95E" w14:textId="77777777" w:rsidR="008A5C37" w:rsidRDefault="008A5C37" w:rsidP="008A5C37">
      <w:pPr>
        <w:spacing w:line="360" w:lineRule="auto"/>
        <w:ind w:left="720" w:hanging="720"/>
        <w:jc w:val="both"/>
        <w:rPr>
          <w:rFonts w:ascii="David" w:hAnsi="David"/>
          <w:sz w:val="10"/>
          <w:szCs w:val="10"/>
          <w:rtl/>
        </w:rPr>
      </w:pPr>
    </w:p>
    <w:p w14:paraId="52A10059" w14:textId="77777777" w:rsidR="008A5C37" w:rsidRDefault="008A5C37" w:rsidP="008A5C37">
      <w:pPr>
        <w:spacing w:line="360" w:lineRule="auto"/>
        <w:ind w:left="720"/>
        <w:jc w:val="both"/>
        <w:rPr>
          <w:rFonts w:ascii="David" w:hAnsi="David"/>
          <w:rtl/>
        </w:rPr>
      </w:pPr>
      <w:r>
        <w:rPr>
          <w:rFonts w:ascii="David" w:hAnsi="David"/>
          <w:b/>
          <w:bCs/>
          <w:rtl/>
        </w:rPr>
        <w:t xml:space="preserve">א. </w:t>
      </w:r>
      <w:r>
        <w:rPr>
          <w:rFonts w:ascii="David" w:hAnsi="David"/>
          <w:rtl/>
        </w:rPr>
        <w:t>ב</w:t>
      </w:r>
      <w:hyperlink r:id="rId59" w:history="1">
        <w:r w:rsidR="00C16C4C" w:rsidRPr="00C16C4C">
          <w:rPr>
            <w:rFonts w:ascii="David" w:hAnsi="David"/>
            <w:color w:val="0000FF"/>
            <w:u w:val="single"/>
            <w:rtl/>
          </w:rPr>
          <w:t>ע"פ 1059/21</w:t>
        </w:r>
      </w:hyperlink>
      <w:r>
        <w:rPr>
          <w:rFonts w:ascii="David" w:hAnsi="David"/>
          <w:rtl/>
        </w:rPr>
        <w:t xml:space="preserve"> </w:t>
      </w:r>
      <w:r>
        <w:rPr>
          <w:rFonts w:ascii="David" w:hAnsi="David"/>
          <w:b/>
          <w:bCs/>
          <w:rtl/>
        </w:rPr>
        <w:t>פלוני נ' מדינת ישראל</w:t>
      </w:r>
      <w:r>
        <w:rPr>
          <w:rFonts w:ascii="David" w:hAnsi="David"/>
          <w:rtl/>
        </w:rPr>
        <w:t xml:space="preserve"> (29/4/21), מפי כב' הש' מזוז, נדחה ערעורו של נאשם </w:t>
      </w:r>
      <w:r>
        <w:rPr>
          <w:rFonts w:ascii="David" w:hAnsi="David" w:hint="cs"/>
          <w:rtl/>
        </w:rPr>
        <w:t xml:space="preserve">אשר </w:t>
      </w:r>
      <w:r>
        <w:rPr>
          <w:rFonts w:ascii="David" w:hAnsi="David"/>
          <w:rtl/>
        </w:rPr>
        <w:t>הורשע על פי הודייתו במסגרת הסדר טיעון</w:t>
      </w:r>
      <w:r>
        <w:rPr>
          <w:rFonts w:ascii="David" w:hAnsi="David" w:hint="cs"/>
          <w:rtl/>
        </w:rPr>
        <w:t xml:space="preserve">, </w:t>
      </w:r>
      <w:r>
        <w:rPr>
          <w:rFonts w:ascii="David" w:hAnsi="David" w:hint="cs"/>
          <w:b/>
          <w:bCs/>
          <w:rtl/>
        </w:rPr>
        <w:t>ב</w:t>
      </w:r>
      <w:r>
        <w:rPr>
          <w:rFonts w:ascii="David" w:hAnsi="David"/>
          <w:b/>
          <w:bCs/>
          <w:rtl/>
        </w:rPr>
        <w:t>החזקת נשק ואביזר תחמושת</w:t>
      </w:r>
      <w:r>
        <w:rPr>
          <w:rFonts w:ascii="David" w:hAnsi="David"/>
          <w:rtl/>
        </w:rPr>
        <w:t xml:space="preserve"> - לפי </w:t>
      </w:r>
      <w:hyperlink r:id="rId60" w:history="1">
        <w:r w:rsidR="00121052" w:rsidRPr="00121052">
          <w:rPr>
            <w:rStyle w:val="Hyperlink"/>
            <w:rFonts w:ascii="David" w:hAnsi="David"/>
            <w:rtl/>
          </w:rPr>
          <w:t>סעיף 144(א)</w:t>
        </w:r>
      </w:hyperlink>
      <w:r>
        <w:rPr>
          <w:rFonts w:ascii="David" w:hAnsi="David"/>
          <w:rtl/>
        </w:rPr>
        <w:t xml:space="preserve"> רישא וסיפא ל</w:t>
      </w:r>
      <w:hyperlink r:id="rId61" w:history="1">
        <w:r w:rsidR="00C16C4C" w:rsidRPr="00C16C4C">
          <w:rPr>
            <w:rFonts w:ascii="David" w:hAnsi="David"/>
            <w:color w:val="0000FF"/>
            <w:u w:val="single"/>
            <w:rtl/>
          </w:rPr>
          <w:t>חוק העונשין</w:t>
        </w:r>
      </w:hyperlink>
      <w:r>
        <w:rPr>
          <w:rFonts w:ascii="David" w:hAnsi="David"/>
          <w:rtl/>
        </w:rPr>
        <w:t xml:space="preserve">, </w:t>
      </w:r>
      <w:r>
        <w:rPr>
          <w:rFonts w:ascii="David" w:hAnsi="David" w:hint="cs"/>
          <w:b/>
          <w:bCs/>
          <w:rtl/>
        </w:rPr>
        <w:t>ב</w:t>
      </w:r>
      <w:r>
        <w:rPr>
          <w:rFonts w:ascii="David" w:hAnsi="David"/>
          <w:b/>
          <w:bCs/>
          <w:rtl/>
        </w:rPr>
        <w:t>ירי מנשק חם</w:t>
      </w:r>
      <w:r>
        <w:rPr>
          <w:rFonts w:ascii="David" w:hAnsi="David"/>
          <w:rtl/>
        </w:rPr>
        <w:t xml:space="preserve"> - לפי </w:t>
      </w:r>
      <w:hyperlink r:id="rId62" w:history="1">
        <w:r w:rsidR="00121052" w:rsidRPr="00121052">
          <w:rPr>
            <w:rStyle w:val="Hyperlink"/>
            <w:rFonts w:ascii="David" w:hAnsi="David"/>
            <w:rtl/>
          </w:rPr>
          <w:t>סעיף 340א(א)</w:t>
        </w:r>
      </w:hyperlink>
      <w:r>
        <w:rPr>
          <w:rFonts w:ascii="David" w:hAnsi="David"/>
          <w:rtl/>
        </w:rPr>
        <w:t xml:space="preserve"> לחוק, </w:t>
      </w:r>
      <w:r>
        <w:rPr>
          <w:rFonts w:ascii="David" w:hAnsi="David" w:hint="cs"/>
          <w:b/>
          <w:bCs/>
          <w:rtl/>
        </w:rPr>
        <w:t>וב</w:t>
      </w:r>
      <w:r>
        <w:rPr>
          <w:rFonts w:ascii="David" w:hAnsi="David"/>
          <w:b/>
          <w:bCs/>
          <w:rtl/>
        </w:rPr>
        <w:t>איומים והפרעה לשוטר במילוי תפקידו</w:t>
      </w:r>
      <w:r>
        <w:rPr>
          <w:rFonts w:ascii="David" w:hAnsi="David"/>
          <w:rtl/>
        </w:rPr>
        <w:t>. הנאשם החזיק משך מספר חודשים באקדח חצי אוטומטי גנוב מסוג גלוק. לאחר חילופי דברים ודחיפות בין הנאשם לבין אח</w:t>
      </w:r>
      <w:r>
        <w:rPr>
          <w:rFonts w:ascii="David" w:hAnsi="David" w:hint="cs"/>
          <w:rtl/>
        </w:rPr>
        <w:t>ד</w:t>
      </w:r>
      <w:r>
        <w:rPr>
          <w:rFonts w:ascii="David" w:hAnsi="David"/>
          <w:rtl/>
        </w:rPr>
        <w:t xml:space="preserve"> קטין, </w:t>
      </w:r>
      <w:r>
        <w:rPr>
          <w:rFonts w:ascii="David" w:hAnsi="David" w:hint="cs"/>
          <w:rtl/>
        </w:rPr>
        <w:t xml:space="preserve">ירה </w:t>
      </w:r>
      <w:r>
        <w:rPr>
          <w:rFonts w:ascii="David" w:hAnsi="David"/>
          <w:rtl/>
        </w:rPr>
        <w:t xml:space="preserve">הנאשם </w:t>
      </w:r>
      <w:r>
        <w:rPr>
          <w:rFonts w:ascii="David" w:hAnsi="David" w:hint="cs"/>
          <w:rtl/>
        </w:rPr>
        <w:t xml:space="preserve">באקדח </w:t>
      </w:r>
      <w:r>
        <w:rPr>
          <w:rFonts w:ascii="David" w:hAnsi="David"/>
          <w:rtl/>
        </w:rPr>
        <w:t>שתי יריות באוויר, הקטין ניסה להימלט מהמקום</w:t>
      </w:r>
      <w:r>
        <w:rPr>
          <w:rFonts w:ascii="David" w:hAnsi="David" w:hint="cs"/>
          <w:rtl/>
        </w:rPr>
        <w:t>,</w:t>
      </w:r>
      <w:r>
        <w:rPr>
          <w:rFonts w:ascii="David" w:hAnsi="David"/>
          <w:rtl/>
        </w:rPr>
        <w:t xml:space="preserve"> הנאשם ירה מספר יריות נוספות. הקטין הצליח להימלט, </w:t>
      </w:r>
      <w:r>
        <w:rPr>
          <w:rFonts w:ascii="David" w:hAnsi="David" w:hint="cs"/>
          <w:rtl/>
        </w:rPr>
        <w:t xml:space="preserve">משהחלה </w:t>
      </w:r>
      <w:r>
        <w:rPr>
          <w:rFonts w:ascii="David" w:hAnsi="David"/>
          <w:rtl/>
        </w:rPr>
        <w:t>התקהלות במקום. משהבחין הנאשם בכוחות ביטחון שהגיעו לביתו כדי לעצרו, נמלט</w:t>
      </w:r>
      <w:r>
        <w:rPr>
          <w:rFonts w:ascii="David" w:hAnsi="David" w:hint="cs"/>
          <w:rtl/>
        </w:rPr>
        <w:t xml:space="preserve">, </w:t>
      </w:r>
      <w:r>
        <w:rPr>
          <w:rFonts w:ascii="David" w:hAnsi="David"/>
          <w:rtl/>
        </w:rPr>
        <w:t xml:space="preserve">השליך מהחלון תיק ובו האקדח, </w:t>
      </w:r>
      <w:r>
        <w:rPr>
          <w:rFonts w:ascii="David" w:hAnsi="David" w:hint="cs"/>
          <w:rtl/>
        </w:rPr>
        <w:t>שה</w:t>
      </w:r>
      <w:r>
        <w:rPr>
          <w:rFonts w:ascii="David" w:hAnsi="David"/>
          <w:rtl/>
        </w:rPr>
        <w:t>יה טעון במחסנית מלאה בכדורים, שתי מחסניות נוספות מלאות וכסף מזומן</w:t>
      </w:r>
      <w:r>
        <w:rPr>
          <w:rFonts w:ascii="David" w:hAnsi="David" w:hint="cs"/>
          <w:rtl/>
        </w:rPr>
        <w:t xml:space="preserve">, </w:t>
      </w:r>
      <w:r>
        <w:rPr>
          <w:rFonts w:ascii="David" w:hAnsi="David"/>
          <w:rtl/>
        </w:rPr>
        <w:t>הטמי</w:t>
      </w:r>
      <w:r>
        <w:rPr>
          <w:rFonts w:ascii="David" w:hAnsi="David" w:hint="cs"/>
          <w:rtl/>
        </w:rPr>
        <w:t xml:space="preserve">ן את התיק </w:t>
      </w:r>
      <w:r>
        <w:rPr>
          <w:rFonts w:ascii="David" w:hAnsi="David"/>
          <w:rtl/>
        </w:rPr>
        <w:t xml:space="preserve">בחצר הסמוכה לביתו והמשיך במנוסתו עד שנעצר על ידי כוחות הביטחון. </w:t>
      </w:r>
      <w:r>
        <w:rPr>
          <w:rFonts w:ascii="David" w:hAnsi="David"/>
          <w:b/>
          <w:bCs/>
          <w:rtl/>
        </w:rPr>
        <w:t>בית המשפט המחוזי קבע מתחם ענישה הנע בין 3 ל – 5 שנות מאסר בפועל</w:t>
      </w:r>
      <w:r>
        <w:rPr>
          <w:rFonts w:ascii="David" w:hAnsi="David"/>
          <w:rtl/>
        </w:rPr>
        <w:t>,</w:t>
      </w:r>
      <w:r>
        <w:rPr>
          <w:rFonts w:ascii="David" w:hAnsi="David"/>
          <w:b/>
          <w:bCs/>
          <w:rtl/>
        </w:rPr>
        <w:t xml:space="preserve"> </w:t>
      </w:r>
      <w:r>
        <w:rPr>
          <w:rFonts w:ascii="David" w:hAnsi="David"/>
          <w:rtl/>
        </w:rPr>
        <w:t xml:space="preserve">והשית על הנאשם -  </w:t>
      </w:r>
      <w:r>
        <w:rPr>
          <w:rFonts w:ascii="David" w:hAnsi="David"/>
          <w:spacing w:val="10"/>
          <w:rtl/>
        </w:rPr>
        <w:t>בעל עבר פלילי- 42 חודשי מאסר, לצד עונשים נלווים.</w:t>
      </w:r>
      <w:r>
        <w:rPr>
          <w:rFonts w:ascii="Century" w:hAnsi="Century" w:cs="FrankRuehl"/>
          <w:spacing w:val="10"/>
          <w:szCs w:val="28"/>
          <w:rtl/>
        </w:rPr>
        <w:t xml:space="preserve"> </w:t>
      </w:r>
    </w:p>
    <w:p w14:paraId="05972ED4" w14:textId="77777777" w:rsidR="008A5C37" w:rsidRPr="00A74883" w:rsidRDefault="008A5C37" w:rsidP="008A5C37">
      <w:pPr>
        <w:spacing w:line="360" w:lineRule="auto"/>
        <w:ind w:left="720"/>
        <w:jc w:val="both"/>
        <w:rPr>
          <w:rFonts w:ascii="David" w:hAnsi="David"/>
          <w:sz w:val="14"/>
          <w:szCs w:val="14"/>
          <w:rtl/>
        </w:rPr>
      </w:pPr>
    </w:p>
    <w:p w14:paraId="13EC1BFD" w14:textId="77777777" w:rsidR="008A5C37" w:rsidRDefault="008A5C37" w:rsidP="008A5C37">
      <w:pPr>
        <w:spacing w:line="360" w:lineRule="auto"/>
        <w:ind w:left="720"/>
        <w:jc w:val="both"/>
        <w:rPr>
          <w:rFonts w:ascii="David" w:hAnsi="David"/>
          <w:rtl/>
        </w:rPr>
      </w:pPr>
      <w:r>
        <w:rPr>
          <w:rFonts w:ascii="David" w:hAnsi="David"/>
          <w:rtl/>
        </w:rPr>
        <w:t xml:space="preserve"> </w:t>
      </w:r>
      <w:r>
        <w:rPr>
          <w:rFonts w:ascii="David" w:hAnsi="David"/>
          <w:b/>
          <w:bCs/>
          <w:rtl/>
        </w:rPr>
        <w:t>ב. בעניין</w:t>
      </w:r>
      <w:r>
        <w:rPr>
          <w:rFonts w:ascii="David" w:hAnsi="David"/>
          <w:rtl/>
        </w:rPr>
        <w:t xml:space="preserve"> </w:t>
      </w:r>
      <w:r>
        <w:rPr>
          <w:rFonts w:ascii="David" w:hAnsi="David"/>
          <w:b/>
          <w:bCs/>
          <w:rtl/>
        </w:rPr>
        <w:t xml:space="preserve">חמודה </w:t>
      </w:r>
      <w:r>
        <w:rPr>
          <w:rFonts w:ascii="David" w:hAnsi="David"/>
          <w:rtl/>
        </w:rPr>
        <w:t xml:space="preserve">הנ"ל (8/3/18), מפי כב' הש' סולברג, נדחה ערעורו של נאשם, אשר הורשע על יסוד הודייתו, בעבירות של </w:t>
      </w:r>
      <w:r>
        <w:rPr>
          <w:rFonts w:ascii="David" w:hAnsi="David"/>
          <w:b/>
          <w:bCs/>
          <w:rtl/>
        </w:rPr>
        <w:t>נשיאת נשק</w:t>
      </w:r>
      <w:r>
        <w:rPr>
          <w:rFonts w:ascii="David" w:hAnsi="David"/>
          <w:rtl/>
        </w:rPr>
        <w:t xml:space="preserve"> (</w:t>
      </w:r>
      <w:hyperlink r:id="rId63" w:history="1">
        <w:r w:rsidR="00121052" w:rsidRPr="00121052">
          <w:rPr>
            <w:rStyle w:val="Hyperlink"/>
            <w:rFonts w:ascii="David" w:hAnsi="David"/>
            <w:rtl/>
          </w:rPr>
          <w:t>סעיף 144(ב)</w:t>
        </w:r>
      </w:hyperlink>
      <w:r>
        <w:rPr>
          <w:rFonts w:ascii="David" w:hAnsi="David"/>
          <w:rtl/>
        </w:rPr>
        <w:t xml:space="preserve"> רישא), ירי באזור מגורים (</w:t>
      </w:r>
      <w:hyperlink r:id="rId64" w:history="1">
        <w:r w:rsidR="00121052" w:rsidRPr="00121052">
          <w:rPr>
            <w:rStyle w:val="Hyperlink"/>
            <w:rFonts w:ascii="David" w:hAnsi="David"/>
            <w:rtl/>
          </w:rPr>
          <w:t>סעיף 340א)</w:t>
        </w:r>
      </w:hyperlink>
      <w:r>
        <w:rPr>
          <w:rFonts w:ascii="David" w:hAnsi="David"/>
          <w:rtl/>
        </w:rPr>
        <w:t xml:space="preserve"> ואיומים. על רקע סכסוך שנתגלע בין אחות המתלונן לבין אחות הנאשם, איים האחרון לפגוע בה, ובסמוך לכך ירה כדורים לעבר ביתו של המתלונן, כשהאחרון שהה במרפסת הבית, במטרה להפחידו, ונמלט מהמקום. בית המשפט המחוזי קבע </w:t>
      </w:r>
      <w:r>
        <w:rPr>
          <w:rFonts w:ascii="David" w:hAnsi="David"/>
          <w:b/>
          <w:bCs/>
          <w:rtl/>
        </w:rPr>
        <w:t xml:space="preserve">מתחם הנע בין 24 ל- 48 חודשי מאסר בפועל, </w:t>
      </w:r>
      <w:r>
        <w:rPr>
          <w:rFonts w:ascii="David" w:hAnsi="David"/>
          <w:rtl/>
        </w:rPr>
        <w:t xml:space="preserve">והשית על הנאשם - רווק, יליד 96', בעל עבר פלילי, אשר שירות המבחן העריך את מסוכנותו כ"בינונית – גבוהה" ונמנע מהמלצה בעניינו - </w:t>
      </w:r>
      <w:r>
        <w:rPr>
          <w:rFonts w:ascii="David" w:hAnsi="David"/>
          <w:b/>
          <w:bCs/>
          <w:rtl/>
        </w:rPr>
        <w:t>30 חודשי מאסר בפועל</w:t>
      </w:r>
      <w:r>
        <w:rPr>
          <w:rFonts w:ascii="David" w:hAnsi="David"/>
          <w:rtl/>
        </w:rPr>
        <w:t xml:space="preserve">, לצד עונשים נלווים.   </w:t>
      </w:r>
    </w:p>
    <w:p w14:paraId="63FA6963" w14:textId="77777777" w:rsidR="008A5C37" w:rsidRDefault="008A5C37" w:rsidP="008A5C37">
      <w:pPr>
        <w:spacing w:line="360" w:lineRule="auto"/>
        <w:ind w:left="720"/>
        <w:jc w:val="both"/>
        <w:rPr>
          <w:rFonts w:ascii="David" w:hAnsi="David"/>
          <w:sz w:val="14"/>
          <w:szCs w:val="14"/>
          <w:rtl/>
        </w:rPr>
      </w:pPr>
    </w:p>
    <w:p w14:paraId="18A9E8D0" w14:textId="77777777" w:rsidR="008A5C37" w:rsidRDefault="008A5C37" w:rsidP="008A5C37">
      <w:pPr>
        <w:spacing w:line="360" w:lineRule="auto"/>
        <w:ind w:left="720"/>
        <w:jc w:val="both"/>
        <w:rPr>
          <w:rFonts w:ascii="David" w:hAnsi="David"/>
          <w:b/>
          <w:bCs/>
          <w:rtl/>
        </w:rPr>
      </w:pPr>
      <w:r>
        <w:rPr>
          <w:rFonts w:ascii="David" w:hAnsi="David"/>
          <w:b/>
          <w:bCs/>
          <w:rtl/>
        </w:rPr>
        <w:t xml:space="preserve">ג. </w:t>
      </w:r>
      <w:r>
        <w:rPr>
          <w:rFonts w:ascii="David" w:hAnsi="David"/>
          <w:rtl/>
        </w:rPr>
        <w:t>ב</w:t>
      </w:r>
      <w:hyperlink r:id="rId65" w:history="1">
        <w:r w:rsidR="00C16C4C" w:rsidRPr="00C16C4C">
          <w:rPr>
            <w:rFonts w:ascii="David" w:hAnsi="David"/>
            <w:color w:val="0000FF"/>
            <w:u w:val="single"/>
            <w:rtl/>
          </w:rPr>
          <w:t>ע"פ 3877/16</w:t>
        </w:r>
      </w:hyperlink>
      <w:r>
        <w:rPr>
          <w:rFonts w:ascii="David" w:hAnsi="David"/>
          <w:b/>
          <w:bCs/>
          <w:rtl/>
        </w:rPr>
        <w:t xml:space="preserve"> ג'אבלי נ' מדינת ישראל </w:t>
      </w:r>
      <w:r>
        <w:rPr>
          <w:rFonts w:ascii="David" w:hAnsi="David"/>
          <w:rtl/>
        </w:rPr>
        <w:t xml:space="preserve">(17/11/16), מפי כב' הש' חיות (כתוארה אז), נדחה ערעורו של נאשם, שהורשע על יסוד הודייתו בעבירה של נשיאת נשק; הנאשם - </w:t>
      </w:r>
      <w:r>
        <w:rPr>
          <w:rFonts w:ascii="David" w:hAnsi="David"/>
          <w:color w:val="000000"/>
          <w:shd w:val="clear" w:color="auto" w:fill="FFFFFF"/>
          <w:rtl/>
        </w:rPr>
        <w:t xml:space="preserve">צעיר בעל עבר פלילי מכביד ביותר, אשר ביצע את העבירה הנדונה שבועות ספורים בלבד לאחר שסיים לרצות מאסר ממושך- </w:t>
      </w:r>
      <w:r>
        <w:rPr>
          <w:rFonts w:ascii="David" w:hAnsi="David"/>
          <w:rtl/>
        </w:rPr>
        <w:t xml:space="preserve">נשא ללא רישיון אקדח טעון במחסנית </w:t>
      </w:r>
      <w:r>
        <w:rPr>
          <w:rFonts w:ascii="David" w:hAnsi="David"/>
          <w:color w:val="000000"/>
          <w:shd w:val="clear" w:color="auto" w:fill="FFFFFF"/>
          <w:rtl/>
        </w:rPr>
        <w:t xml:space="preserve">שהכילה 14 כדורים, אשר נגנב חודשים אחדים קודם לכן בהתפרצות לדירה. הוא הגיע למקום מפגש ליישוב סכסוך שנתגלע בין קרוב משפחה שלו ואחר, כשהוא נושא את האקדח תחילה ברכב ולאחר מכן במכנסיו; כשהגיעו שוטרים - השליכו. בית המשפט המחוזי קבע מתחם עונש </w:t>
      </w:r>
      <w:r>
        <w:rPr>
          <w:rFonts w:ascii="David" w:hAnsi="David"/>
          <w:b/>
          <w:bCs/>
          <w:color w:val="000000"/>
          <w:shd w:val="clear" w:color="auto" w:fill="FFFFFF"/>
          <w:rtl/>
        </w:rPr>
        <w:t>בין 24 ל-48 חודשי מאסר בפועל</w:t>
      </w:r>
      <w:r>
        <w:rPr>
          <w:rFonts w:ascii="David" w:hAnsi="David"/>
          <w:color w:val="000000"/>
          <w:shd w:val="clear" w:color="auto" w:fill="FFFFFF"/>
          <w:rtl/>
        </w:rPr>
        <w:t>, וגזר עליו</w:t>
      </w:r>
      <w:r>
        <w:rPr>
          <w:rFonts w:ascii="David" w:hAnsi="David"/>
          <w:b/>
          <w:bCs/>
          <w:color w:val="000000"/>
          <w:shd w:val="clear" w:color="auto" w:fill="FFFFFF"/>
          <w:rtl/>
        </w:rPr>
        <w:t xml:space="preserve"> 34 חודשי מאסר בפועל</w:t>
      </w:r>
      <w:r>
        <w:rPr>
          <w:rFonts w:ascii="David" w:hAnsi="David"/>
          <w:color w:val="000000"/>
          <w:shd w:val="clear" w:color="auto" w:fill="FFFFFF"/>
          <w:rtl/>
        </w:rPr>
        <w:t xml:space="preserve">, לצד עונשים נלווים. בית המשפט העליון ציין כי </w:t>
      </w:r>
      <w:r w:rsidRPr="008A5C37">
        <w:rPr>
          <w:rFonts w:ascii="Arial" w:hAnsi="Arial"/>
          <w:color w:val="000000"/>
          <w:shd w:val="clear" w:color="auto" w:fill="FFFFFF"/>
        </w:rPr>
        <w:t>"</w:t>
      </w:r>
      <w:r w:rsidRPr="008A5C37">
        <w:rPr>
          <w:rFonts w:ascii="Arial" w:hAnsi="Arial"/>
          <w:color w:val="000000"/>
          <w:shd w:val="clear" w:color="auto" w:fill="FFFFFF"/>
          <w:rtl/>
        </w:rPr>
        <w:t>אכן העונש שנגזר על המערער במקרה דנן אינו מן הקלים, אך אינו חורג באופן מהותי ממדיניות הענישה הנוהגת והראויה</w:t>
      </w:r>
      <w:r>
        <w:rPr>
          <w:rFonts w:ascii="David" w:hAnsi="David"/>
          <w:b/>
          <w:bCs/>
          <w:color w:val="000000"/>
          <w:shd w:val="clear" w:color="auto" w:fill="FFFFFF"/>
        </w:rPr>
        <w:t>"</w:t>
      </w:r>
      <w:r>
        <w:rPr>
          <w:rFonts w:ascii="David" w:hAnsi="David"/>
          <w:color w:val="000000"/>
          <w:shd w:val="clear" w:color="auto" w:fill="FFFFFF"/>
          <w:rtl/>
        </w:rPr>
        <w:t>, בהדגישו את עברו המכביד חרף גילו הצעיר והעובדה כי זמן קצר קודם לכן סיים כאמור לרצות מאסר</w:t>
      </w:r>
      <w:r>
        <w:rPr>
          <w:rFonts w:ascii="David" w:hAnsi="David"/>
          <w:color w:val="000000"/>
          <w:shd w:val="clear" w:color="auto" w:fill="FFFFFF"/>
        </w:rPr>
        <w:t>.</w:t>
      </w:r>
    </w:p>
    <w:p w14:paraId="495531FA" w14:textId="77777777" w:rsidR="008A5C37" w:rsidRDefault="008A5C37" w:rsidP="008A5C37">
      <w:pPr>
        <w:spacing w:line="360" w:lineRule="auto"/>
        <w:ind w:left="720"/>
        <w:jc w:val="both"/>
        <w:rPr>
          <w:rFonts w:ascii="David" w:hAnsi="David"/>
          <w:b/>
          <w:bCs/>
          <w:sz w:val="14"/>
          <w:szCs w:val="14"/>
          <w:rtl/>
        </w:rPr>
      </w:pPr>
    </w:p>
    <w:p w14:paraId="646B296C" w14:textId="77777777" w:rsidR="008A5C37" w:rsidRDefault="008A5C37" w:rsidP="008A5C37">
      <w:pPr>
        <w:spacing w:line="360" w:lineRule="auto"/>
        <w:ind w:left="720"/>
        <w:jc w:val="both"/>
        <w:rPr>
          <w:rFonts w:ascii="David" w:hAnsi="David"/>
          <w:rtl/>
        </w:rPr>
      </w:pPr>
      <w:r>
        <w:rPr>
          <w:rFonts w:ascii="David" w:hAnsi="David"/>
          <w:b/>
          <w:bCs/>
          <w:rtl/>
        </w:rPr>
        <w:t xml:space="preserve">ד. </w:t>
      </w:r>
      <w:r>
        <w:rPr>
          <w:rFonts w:ascii="David" w:hAnsi="David"/>
          <w:rtl/>
        </w:rPr>
        <w:t>ב</w:t>
      </w:r>
      <w:hyperlink r:id="rId66" w:history="1">
        <w:r w:rsidR="00C16C4C" w:rsidRPr="00C16C4C">
          <w:rPr>
            <w:rFonts w:ascii="David" w:hAnsi="David"/>
            <w:color w:val="0000FF"/>
            <w:u w:val="single"/>
            <w:rtl/>
          </w:rPr>
          <w:t>ע"פ 5900/15</w:t>
        </w:r>
      </w:hyperlink>
      <w:r>
        <w:rPr>
          <w:rFonts w:ascii="David" w:hAnsi="David"/>
          <w:rtl/>
        </w:rPr>
        <w:t xml:space="preserve"> </w:t>
      </w:r>
      <w:r>
        <w:rPr>
          <w:rFonts w:ascii="David" w:hAnsi="David"/>
          <w:b/>
          <w:bCs/>
          <w:rtl/>
        </w:rPr>
        <w:t>מעוז נ' מדינת ישראל</w:t>
      </w:r>
      <w:r>
        <w:rPr>
          <w:rFonts w:ascii="David" w:hAnsi="David"/>
          <w:rtl/>
        </w:rPr>
        <w:t xml:space="preserve"> (10/5/16), מפי כב' הש' ג'ובראן, נדחה ערעורו של נאשם אשר הורשע על יסוד הודייתו במסגרת הסדר טיעון בעבירות של החזקת נשק, נשיאת נשק וסיוע להחזקת נשק, לאחר שיחד עם אחרים הטמין רובה ומחסנית המכילה כדורים, על מנת שאחרים ישתמשו בהם. בנוסף  לכך, יחד עם אחרים נשא הנאשם אקדח ומחסנית, אשר הוטמן על ידו בחורשה. בית המשפט המחוזי קבע מתחם ענישה הנע בין</w:t>
      </w:r>
      <w:r>
        <w:rPr>
          <w:rFonts w:ascii="David" w:hAnsi="David"/>
          <w:b/>
          <w:bCs/>
          <w:rtl/>
        </w:rPr>
        <w:t xml:space="preserve"> 20 ל- 48 חודשי מאסר</w:t>
      </w:r>
      <w:r>
        <w:rPr>
          <w:rFonts w:ascii="David" w:hAnsi="David"/>
          <w:rtl/>
        </w:rPr>
        <w:t xml:space="preserve">, והשית על הנאשם - בעל עבר פלילי מכביד, </w:t>
      </w:r>
      <w:r>
        <w:rPr>
          <w:rFonts w:ascii="David" w:hAnsi="David" w:hint="cs"/>
          <w:rtl/>
        </w:rPr>
        <w:t xml:space="preserve">שבגינו </w:t>
      </w:r>
    </w:p>
    <w:p w14:paraId="7E20F9C2" w14:textId="77777777" w:rsidR="008A5C37" w:rsidRDefault="008A5C37" w:rsidP="008A5C37">
      <w:pPr>
        <w:spacing w:line="360" w:lineRule="auto"/>
        <w:ind w:left="720"/>
        <w:jc w:val="both"/>
        <w:rPr>
          <w:rFonts w:ascii="David" w:hAnsi="David"/>
          <w:rtl/>
        </w:rPr>
      </w:pPr>
      <w:r>
        <w:rPr>
          <w:rFonts w:ascii="David" w:hAnsi="David"/>
          <w:rtl/>
        </w:rPr>
        <w:t xml:space="preserve">ריצה בעברו שלוש תקופות מאסר משמעותיות - </w:t>
      </w:r>
      <w:r>
        <w:rPr>
          <w:rFonts w:ascii="David" w:hAnsi="David"/>
          <w:b/>
          <w:bCs/>
          <w:rtl/>
        </w:rPr>
        <w:t>34 חודשי מאסר בפועל</w:t>
      </w:r>
      <w:r>
        <w:rPr>
          <w:rFonts w:ascii="David" w:hAnsi="David"/>
          <w:rtl/>
        </w:rPr>
        <w:t>, לצד עונשים נלווים.</w:t>
      </w:r>
    </w:p>
    <w:p w14:paraId="521A8C66" w14:textId="77777777" w:rsidR="008A5C37" w:rsidRDefault="008A5C37" w:rsidP="008A5C37">
      <w:pPr>
        <w:spacing w:line="360" w:lineRule="auto"/>
        <w:ind w:left="720"/>
        <w:jc w:val="both"/>
        <w:rPr>
          <w:rFonts w:ascii="David" w:hAnsi="David"/>
          <w:rtl/>
        </w:rPr>
      </w:pPr>
      <w:r>
        <w:rPr>
          <w:rFonts w:ascii="David" w:hAnsi="David"/>
          <w:b/>
          <w:bCs/>
          <w:rtl/>
        </w:rPr>
        <w:t>ה.</w:t>
      </w:r>
      <w:r>
        <w:rPr>
          <w:rFonts w:ascii="David" w:hAnsi="David"/>
          <w:rtl/>
        </w:rPr>
        <w:t xml:space="preserve"> ב"כ המאשימה הפנתה לעניינו של </w:t>
      </w:r>
      <w:r>
        <w:rPr>
          <w:rFonts w:ascii="David" w:hAnsi="David"/>
          <w:b/>
          <w:bCs/>
          <w:rtl/>
        </w:rPr>
        <w:t>נאשם 2</w:t>
      </w:r>
      <w:r>
        <w:rPr>
          <w:rFonts w:ascii="David" w:hAnsi="David"/>
          <w:rtl/>
        </w:rPr>
        <w:t xml:space="preserve"> ב</w:t>
      </w:r>
      <w:hyperlink r:id="rId67" w:history="1">
        <w:r w:rsidR="00C16C4C" w:rsidRPr="00C16C4C">
          <w:rPr>
            <w:rFonts w:ascii="David" w:hAnsi="David"/>
            <w:color w:val="0000FF"/>
            <w:u w:val="single"/>
            <w:rtl/>
          </w:rPr>
          <w:t>ת"פ (מרכז) 47668-06-16</w:t>
        </w:r>
      </w:hyperlink>
      <w:r>
        <w:rPr>
          <w:rFonts w:ascii="David" w:hAnsi="David"/>
          <w:rtl/>
        </w:rPr>
        <w:t xml:space="preserve"> </w:t>
      </w:r>
      <w:r>
        <w:rPr>
          <w:rFonts w:ascii="David" w:hAnsi="David"/>
          <w:b/>
          <w:bCs/>
          <w:rtl/>
        </w:rPr>
        <w:t>מדינת ישראל נ' נזאל</w:t>
      </w:r>
      <w:r>
        <w:rPr>
          <w:rFonts w:ascii="David" w:hAnsi="David"/>
          <w:rtl/>
        </w:rPr>
        <w:t xml:space="preserve"> ואח' (14/3/17), מפי כב' הש' ברנט, אשר הורשע על יסוד הודייתו בעבירות של נשיאת נשק (</w:t>
      </w:r>
      <w:hyperlink r:id="rId68" w:history="1">
        <w:r w:rsidR="00121052" w:rsidRPr="00121052">
          <w:rPr>
            <w:rStyle w:val="Hyperlink"/>
            <w:rFonts w:ascii="David" w:hAnsi="David"/>
            <w:rtl/>
          </w:rPr>
          <w:t>סעיף 144(ב)</w:t>
        </w:r>
      </w:hyperlink>
      <w:r>
        <w:rPr>
          <w:rFonts w:ascii="David" w:hAnsi="David"/>
          <w:rtl/>
        </w:rPr>
        <w:t xml:space="preserve"> רישא), וירי באזור מגורים (סעיף </w:t>
      </w:r>
      <w:hyperlink r:id="rId69" w:history="1">
        <w:r w:rsidR="00121052" w:rsidRPr="00121052">
          <w:rPr>
            <w:rStyle w:val="Hyperlink"/>
            <w:rFonts w:ascii="David" w:hAnsi="David"/>
            <w:rtl/>
          </w:rPr>
          <w:t>340א</w:t>
        </w:r>
      </w:hyperlink>
      <w:r>
        <w:rPr>
          <w:rFonts w:ascii="David" w:hAnsi="David"/>
          <w:rtl/>
        </w:rPr>
        <w:t>), בכך שיחד עם אחרים ירה באקדח באוויר לכיוון בית המתלוננים, שעמם היה מסוכסך. נקבע מתחם ענישה הנע בין</w:t>
      </w:r>
      <w:r>
        <w:rPr>
          <w:rFonts w:ascii="David" w:hAnsi="David"/>
          <w:b/>
          <w:bCs/>
          <w:rtl/>
        </w:rPr>
        <w:t xml:space="preserve"> 24 ל- 48</w:t>
      </w:r>
      <w:r>
        <w:rPr>
          <w:rFonts w:ascii="David" w:hAnsi="David"/>
          <w:rtl/>
        </w:rPr>
        <w:t xml:space="preserve"> חודשי מאסר ועל נאשם 2 - בעל הרשעה בעבירת איומים, שבגינה היה תלוי ועומד נגדו מאסר מותנה בר הפעלה- הושתו </w:t>
      </w:r>
      <w:r>
        <w:rPr>
          <w:rFonts w:ascii="David" w:hAnsi="David"/>
          <w:b/>
          <w:bCs/>
          <w:rtl/>
        </w:rPr>
        <w:t xml:space="preserve"> 36 חודשי מאסר בפועל</w:t>
      </w:r>
      <w:r>
        <w:rPr>
          <w:rFonts w:ascii="David" w:hAnsi="David"/>
          <w:rtl/>
        </w:rPr>
        <w:t xml:space="preserve">. כן הופעל נגדו המאסר המותנה בן 9 חודשים. כך שבסה"כ נדון ל- 45 חודשי מאסר, לצד עונשים נלווים. </w:t>
      </w:r>
    </w:p>
    <w:p w14:paraId="5F8907E2" w14:textId="77777777" w:rsidR="008A5C37" w:rsidRDefault="008A5C37" w:rsidP="008A5C37">
      <w:pPr>
        <w:spacing w:line="360" w:lineRule="auto"/>
        <w:ind w:left="720"/>
        <w:jc w:val="both"/>
        <w:rPr>
          <w:rFonts w:ascii="David" w:hAnsi="David"/>
          <w:sz w:val="12"/>
          <w:szCs w:val="12"/>
          <w:rtl/>
        </w:rPr>
      </w:pPr>
    </w:p>
    <w:p w14:paraId="27005959" w14:textId="77777777" w:rsidR="008A5C37" w:rsidRDefault="008A5C37" w:rsidP="008A5C37">
      <w:pPr>
        <w:spacing w:line="360" w:lineRule="auto"/>
        <w:ind w:left="720"/>
        <w:jc w:val="both"/>
        <w:rPr>
          <w:rFonts w:ascii="David" w:hAnsi="David"/>
          <w:rtl/>
        </w:rPr>
      </w:pPr>
      <w:r>
        <w:rPr>
          <w:rFonts w:ascii="David" w:hAnsi="David"/>
          <w:b/>
          <w:bCs/>
          <w:rtl/>
        </w:rPr>
        <w:t>ו.</w:t>
      </w:r>
      <w:r>
        <w:rPr>
          <w:rFonts w:ascii="David" w:hAnsi="David"/>
          <w:rtl/>
        </w:rPr>
        <w:t xml:space="preserve"> ב</w:t>
      </w:r>
      <w:hyperlink r:id="rId70" w:history="1">
        <w:r w:rsidR="00C16C4C" w:rsidRPr="00C16C4C">
          <w:rPr>
            <w:rFonts w:ascii="David" w:hAnsi="David"/>
            <w:color w:val="0000FF"/>
            <w:u w:val="single"/>
            <w:rtl/>
          </w:rPr>
          <w:t>ת"פ (חי') 11904-09-10</w:t>
        </w:r>
      </w:hyperlink>
      <w:r>
        <w:rPr>
          <w:rFonts w:ascii="David" w:hAnsi="David"/>
          <w:rtl/>
        </w:rPr>
        <w:t xml:space="preserve"> </w:t>
      </w:r>
      <w:r>
        <w:rPr>
          <w:rFonts w:ascii="David" w:hAnsi="David"/>
          <w:b/>
          <w:bCs/>
          <w:rtl/>
        </w:rPr>
        <w:t xml:space="preserve">מדינת ישראל נ' מרזוק </w:t>
      </w:r>
      <w:r>
        <w:rPr>
          <w:rFonts w:ascii="David" w:hAnsi="David"/>
          <w:rtl/>
        </w:rPr>
        <w:t xml:space="preserve">(9/5/11), מפי כב' הש' הורוביץ, הורשע הנאשם לאחר שמיעת ראיות בעבירות של </w:t>
      </w:r>
      <w:r>
        <w:rPr>
          <w:rFonts w:ascii="David" w:hAnsi="David"/>
          <w:b/>
          <w:bCs/>
          <w:rtl/>
        </w:rPr>
        <w:t>החזקה ונשיאת נשק</w:t>
      </w:r>
      <w:r>
        <w:rPr>
          <w:rFonts w:ascii="David" w:hAnsi="David"/>
          <w:rtl/>
        </w:rPr>
        <w:t xml:space="preserve"> (סעיפים </w:t>
      </w:r>
      <w:hyperlink r:id="rId71" w:history="1">
        <w:r w:rsidR="00121052" w:rsidRPr="00121052">
          <w:rPr>
            <w:rStyle w:val="Hyperlink"/>
            <w:rFonts w:ascii="David" w:hAnsi="David"/>
            <w:rtl/>
          </w:rPr>
          <w:t>144(א) ו- (ב)</w:t>
        </w:r>
      </w:hyperlink>
      <w:r>
        <w:rPr>
          <w:rFonts w:ascii="David" w:hAnsi="David"/>
          <w:rtl/>
        </w:rPr>
        <w:t xml:space="preserve"> ל</w:t>
      </w:r>
      <w:hyperlink r:id="rId72" w:history="1">
        <w:r w:rsidR="00C16C4C" w:rsidRPr="00C16C4C">
          <w:rPr>
            <w:rFonts w:ascii="David" w:hAnsi="David"/>
            <w:color w:val="0000FF"/>
            <w:u w:val="single"/>
            <w:rtl/>
          </w:rPr>
          <w:t>חוק העונשין</w:t>
        </w:r>
      </w:hyperlink>
      <w:r>
        <w:rPr>
          <w:rFonts w:ascii="David" w:hAnsi="David"/>
          <w:rtl/>
        </w:rPr>
        <w:t xml:space="preserve">, </w:t>
      </w:r>
      <w:r>
        <w:rPr>
          <w:rFonts w:ascii="David" w:hAnsi="David"/>
          <w:b/>
          <w:bCs/>
          <w:rtl/>
        </w:rPr>
        <w:t>הפרעה לשוטר במילוי תפקידו ותקיפת שוטר בנסיבות מחמירות</w:t>
      </w:r>
      <w:r>
        <w:rPr>
          <w:rFonts w:ascii="David" w:hAnsi="David"/>
          <w:rtl/>
        </w:rPr>
        <w:t>. במסגרת פעילות משטרתית בעקבות מידע בקשר להחזקת אמל"ח, אותר רכב שבו נסע הנאשם עם אחר, והשוטרים סימנו לנהג ולנאשם לעצור, באמצעות הבהוב וכריזה. השניים הגבירו מהירות נסיעתם, ואילצו את השוטרים לעקפם ולחסום את הרכב. הנאשם ניסה להימלט מהשוטרים שהגיעו לרכב תוך דחיפת שוטר, נאבק עמו, תקף אותו, חבט ובעט בו ושלף אקדח, שאותו נשא מתחת לחולצתו. משתפס השוטר את ידיו כדי לנטרל אותו ולתפוס את האקדח, המשיך הנאשם להתנגד ולתקוף אותו, עד אשר נאזק בסיועם של אחרים. הנאשם החזיק והוביל אקדח חצי אוטומטי, תוצרת עירק, וכן מחסנית ריקה מתאימה. בית המשפט המחוזי השית על הנאשם- יליד 57', אב למשפחה מרובת ילדים שמצבה הסוציו אקונומי קשה, והסובל מבעיות רפואיות ומטופל תרופתית –</w:t>
      </w:r>
      <w:r>
        <w:rPr>
          <w:rFonts w:ascii="David" w:hAnsi="David"/>
          <w:b/>
          <w:bCs/>
          <w:rtl/>
        </w:rPr>
        <w:t xml:space="preserve"> 48 חודשי מאסר בפועל</w:t>
      </w:r>
      <w:r>
        <w:rPr>
          <w:rFonts w:ascii="David" w:hAnsi="David"/>
          <w:rtl/>
        </w:rPr>
        <w:t xml:space="preserve"> לצד עונשים נלווים. </w:t>
      </w:r>
    </w:p>
    <w:p w14:paraId="5370628E" w14:textId="77777777" w:rsidR="008A5C37" w:rsidRDefault="008A5C37" w:rsidP="008A5C37">
      <w:pPr>
        <w:spacing w:line="360" w:lineRule="auto"/>
        <w:ind w:left="720"/>
        <w:jc w:val="both"/>
        <w:rPr>
          <w:rFonts w:ascii="David" w:hAnsi="David"/>
          <w:sz w:val="16"/>
          <w:szCs w:val="16"/>
          <w:rtl/>
        </w:rPr>
      </w:pPr>
    </w:p>
    <w:p w14:paraId="1981B668" w14:textId="77777777" w:rsidR="008A5C37" w:rsidRDefault="008A5C37" w:rsidP="008A5C37">
      <w:pPr>
        <w:spacing w:line="360" w:lineRule="auto"/>
        <w:ind w:left="720" w:hanging="720"/>
        <w:jc w:val="both"/>
        <w:rPr>
          <w:rFonts w:ascii="David" w:hAnsi="David"/>
        </w:rPr>
      </w:pPr>
      <w:r>
        <w:rPr>
          <w:rFonts w:ascii="David" w:hAnsi="David"/>
          <w:b/>
          <w:bCs/>
          <w:rtl/>
        </w:rPr>
        <w:t>16.</w:t>
      </w:r>
      <w:r>
        <w:rPr>
          <w:rFonts w:ascii="David" w:hAnsi="David"/>
          <w:rtl/>
        </w:rPr>
        <w:t xml:space="preserve"> </w:t>
      </w:r>
      <w:r>
        <w:rPr>
          <w:rFonts w:ascii="David" w:hAnsi="David"/>
          <w:rtl/>
        </w:rPr>
        <w:tab/>
      </w:r>
      <w:r>
        <w:rPr>
          <w:rFonts w:ascii="David" w:hAnsi="David"/>
          <w:b/>
          <w:bCs/>
          <w:rtl/>
        </w:rPr>
        <w:t>ההגנה</w:t>
      </w:r>
      <w:r>
        <w:rPr>
          <w:rFonts w:ascii="David" w:hAnsi="David"/>
          <w:rtl/>
        </w:rPr>
        <w:t xml:space="preserve"> אשר עתרה לקבוע מתחם הנע בין מספר חודשי מאסר בפועל לריצוי בעבודות שירות לבין 18 חודשי מאסר בפועל, הפנתה לפסקי דין המשקפים לטענתה את מדיניות הענישה הנוהגת בעבירות שביצע הנאשם, כדלהלן:</w:t>
      </w:r>
    </w:p>
    <w:p w14:paraId="203F7EF0" w14:textId="77777777" w:rsidR="008A5C37" w:rsidRDefault="008A5C37" w:rsidP="008A5C37">
      <w:pPr>
        <w:spacing w:line="360" w:lineRule="auto"/>
        <w:ind w:left="720" w:hanging="720"/>
        <w:jc w:val="both"/>
        <w:rPr>
          <w:rFonts w:ascii="David" w:hAnsi="David"/>
          <w:sz w:val="14"/>
          <w:szCs w:val="14"/>
          <w:rtl/>
        </w:rPr>
      </w:pPr>
    </w:p>
    <w:p w14:paraId="3EF577C8" w14:textId="77777777" w:rsidR="008A5C37" w:rsidRDefault="008A5C37" w:rsidP="008A5C37">
      <w:pPr>
        <w:spacing w:line="360" w:lineRule="auto"/>
        <w:ind w:left="720"/>
        <w:jc w:val="both"/>
        <w:rPr>
          <w:rFonts w:ascii="David" w:hAnsi="David"/>
          <w:rtl/>
        </w:rPr>
      </w:pPr>
      <w:r>
        <w:rPr>
          <w:rFonts w:ascii="David" w:hAnsi="David"/>
          <w:b/>
          <w:bCs/>
          <w:rtl/>
        </w:rPr>
        <w:t>א.</w:t>
      </w:r>
      <w:r>
        <w:rPr>
          <w:rFonts w:ascii="David" w:hAnsi="David"/>
          <w:rtl/>
        </w:rPr>
        <w:t xml:space="preserve"> ב</w:t>
      </w:r>
      <w:hyperlink r:id="rId73" w:history="1">
        <w:r w:rsidR="00C16C4C" w:rsidRPr="00C16C4C">
          <w:rPr>
            <w:rFonts w:ascii="David" w:hAnsi="David"/>
            <w:color w:val="0000FF"/>
            <w:u w:val="single"/>
            <w:rtl/>
          </w:rPr>
          <w:t>ע"פ 4332/21</w:t>
        </w:r>
      </w:hyperlink>
      <w:r>
        <w:rPr>
          <w:rFonts w:ascii="David" w:hAnsi="David"/>
          <w:rtl/>
        </w:rPr>
        <w:t xml:space="preserve"> </w:t>
      </w:r>
      <w:r>
        <w:rPr>
          <w:rFonts w:ascii="David" w:hAnsi="David"/>
          <w:b/>
          <w:bCs/>
          <w:rtl/>
        </w:rPr>
        <w:t xml:space="preserve">עאסלה נ' מדינת ישראל </w:t>
      </w:r>
      <w:r>
        <w:rPr>
          <w:rFonts w:ascii="David" w:hAnsi="David"/>
          <w:rtl/>
        </w:rPr>
        <w:t xml:space="preserve">(20/2/22), מפי כב' הש' שוחט, נתקבל ערעורו של נאשם אשר הורשע על יסוד הודייתו בעבירה של החזקת נשק לפי סעיף </w:t>
      </w:r>
      <w:hyperlink r:id="rId74" w:history="1">
        <w:r w:rsidR="00121052" w:rsidRPr="00121052">
          <w:rPr>
            <w:rStyle w:val="Hyperlink"/>
            <w:rFonts w:ascii="David" w:hAnsi="David"/>
            <w:rtl/>
          </w:rPr>
          <w:t>144 (א)</w:t>
        </w:r>
      </w:hyperlink>
      <w:r>
        <w:rPr>
          <w:rFonts w:ascii="David" w:hAnsi="David"/>
          <w:rtl/>
        </w:rPr>
        <w:t xml:space="preserve"> רישא וסיפא ל</w:t>
      </w:r>
      <w:hyperlink r:id="rId75" w:history="1">
        <w:r w:rsidR="00C16C4C" w:rsidRPr="00C16C4C">
          <w:rPr>
            <w:rFonts w:ascii="David" w:hAnsi="David"/>
            <w:color w:val="0000FF"/>
            <w:u w:val="single"/>
            <w:rtl/>
          </w:rPr>
          <w:t>חוק העונשין</w:t>
        </w:r>
      </w:hyperlink>
      <w:r>
        <w:rPr>
          <w:rFonts w:ascii="David" w:hAnsi="David"/>
          <w:rtl/>
        </w:rPr>
        <w:t xml:space="preserve">. הנאשם החזיק תת מקלע מאולתר מסוג קרלו ומחסנית, לאחר שעטף אותם בניילון נצמד ומגבת, הכניסם לתוך תיק והסליק אותם מתחת לסלעים בשדה הממוקם מספר קילומטרים מביתו. בית משפט זה קבע מתחם ענישה </w:t>
      </w:r>
      <w:r>
        <w:rPr>
          <w:rFonts w:ascii="David" w:hAnsi="David"/>
          <w:b/>
          <w:bCs/>
          <w:rtl/>
        </w:rPr>
        <w:t>הנע בין 22 ל- 48 חודשי מאסר</w:t>
      </w:r>
      <w:r>
        <w:rPr>
          <w:rFonts w:ascii="David" w:hAnsi="David"/>
          <w:rtl/>
        </w:rPr>
        <w:t xml:space="preserve">, וגזר על הנאשם - בן 25, נשוי, שעברו נקי, אשר ביצע את העבירות במהלך לימודיו לתואר ראשון, ושירות המבחן הגיש תסקיר חיובי בעניינו - </w:t>
      </w:r>
      <w:r>
        <w:rPr>
          <w:rFonts w:ascii="David" w:hAnsi="David"/>
          <w:b/>
          <w:bCs/>
          <w:rtl/>
        </w:rPr>
        <w:t>15 חודשי מאסר בפועל</w:t>
      </w:r>
      <w:r>
        <w:rPr>
          <w:rFonts w:ascii="David" w:hAnsi="David"/>
          <w:rtl/>
        </w:rPr>
        <w:t xml:space="preserve"> לצד עונשים נלווים. בית המשפט העליון נתן משקל לשיקולי השיקום, וקבע כי מכלול הנסיבות האישיות מצדיקות חריגה מרמת הענישה המקובלת, בהעמידו את עונשו </w:t>
      </w:r>
      <w:r>
        <w:rPr>
          <w:rFonts w:ascii="David" w:hAnsi="David"/>
          <w:b/>
          <w:bCs/>
          <w:rtl/>
        </w:rPr>
        <w:t xml:space="preserve">9 חודשי מאסר לריצוי בעבודות שירות </w:t>
      </w:r>
      <w:r>
        <w:rPr>
          <w:rFonts w:ascii="David" w:hAnsi="David"/>
          <w:rtl/>
        </w:rPr>
        <w:t xml:space="preserve">ועונשים נלווים. </w:t>
      </w:r>
    </w:p>
    <w:p w14:paraId="6A010F24" w14:textId="77777777" w:rsidR="008A5C37" w:rsidRDefault="008A5C37" w:rsidP="008A5C37">
      <w:pPr>
        <w:spacing w:line="360" w:lineRule="auto"/>
        <w:ind w:left="720"/>
        <w:jc w:val="both"/>
        <w:rPr>
          <w:rFonts w:ascii="David" w:hAnsi="David"/>
          <w:sz w:val="16"/>
          <w:szCs w:val="16"/>
          <w:rtl/>
        </w:rPr>
      </w:pPr>
    </w:p>
    <w:p w14:paraId="45AECFF7" w14:textId="77777777" w:rsidR="008A5C37" w:rsidRDefault="008A5C37" w:rsidP="008A5C37">
      <w:pPr>
        <w:spacing w:line="360" w:lineRule="auto"/>
        <w:ind w:left="720"/>
        <w:jc w:val="both"/>
        <w:rPr>
          <w:rFonts w:ascii="David" w:hAnsi="David"/>
          <w:b/>
          <w:bCs/>
          <w:rtl/>
        </w:rPr>
      </w:pPr>
      <w:r>
        <w:rPr>
          <w:rFonts w:ascii="David" w:hAnsi="David"/>
          <w:b/>
          <w:bCs/>
          <w:rtl/>
        </w:rPr>
        <w:t xml:space="preserve">ב. </w:t>
      </w:r>
      <w:r>
        <w:rPr>
          <w:rFonts w:ascii="David" w:hAnsi="David"/>
          <w:rtl/>
        </w:rPr>
        <w:t>ב</w:t>
      </w:r>
      <w:hyperlink r:id="rId76" w:history="1">
        <w:r w:rsidR="00C16C4C" w:rsidRPr="00C16C4C">
          <w:rPr>
            <w:rFonts w:ascii="David" w:hAnsi="David"/>
            <w:color w:val="0000FF"/>
            <w:u w:val="single"/>
            <w:rtl/>
          </w:rPr>
          <w:t>ע"פ 5807/20</w:t>
        </w:r>
      </w:hyperlink>
      <w:r>
        <w:rPr>
          <w:rFonts w:ascii="David" w:hAnsi="David"/>
          <w:rtl/>
        </w:rPr>
        <w:t xml:space="preserve"> </w:t>
      </w:r>
      <w:r>
        <w:rPr>
          <w:rFonts w:ascii="David" w:hAnsi="David"/>
          <w:b/>
          <w:bCs/>
          <w:rtl/>
        </w:rPr>
        <w:t xml:space="preserve">מוחמד שיבלי נ' מדינת ישראל </w:t>
      </w:r>
      <w:r>
        <w:rPr>
          <w:rFonts w:ascii="David" w:hAnsi="David"/>
          <w:rtl/>
        </w:rPr>
        <w:t xml:space="preserve">(30/12/20), מפי כב' הש' סולברג, התקבל ערעורו של נאשם אשר הורשע על יסוד הודייתו בעבירה של נשיאת נשק והובלתו לפי </w:t>
      </w:r>
      <w:hyperlink r:id="rId77" w:history="1">
        <w:r w:rsidR="00121052" w:rsidRPr="00121052">
          <w:rPr>
            <w:rStyle w:val="Hyperlink"/>
            <w:rFonts w:ascii="David" w:hAnsi="David"/>
            <w:rtl/>
          </w:rPr>
          <w:t>סעיף 144(ב)</w:t>
        </w:r>
      </w:hyperlink>
      <w:r>
        <w:rPr>
          <w:rFonts w:ascii="David" w:hAnsi="David"/>
          <w:rtl/>
        </w:rPr>
        <w:t xml:space="preserve"> רישא + </w:t>
      </w:r>
      <w:hyperlink r:id="rId78" w:history="1">
        <w:r w:rsidR="00121052" w:rsidRPr="00121052">
          <w:rPr>
            <w:rStyle w:val="Hyperlink"/>
            <w:rFonts w:ascii="David" w:hAnsi="David"/>
            <w:rtl/>
          </w:rPr>
          <w:t>סעיף 29</w:t>
        </w:r>
      </w:hyperlink>
      <w:r>
        <w:rPr>
          <w:rFonts w:ascii="David" w:hAnsi="David"/>
          <w:rtl/>
        </w:rPr>
        <w:t xml:space="preserve"> ל</w:t>
      </w:r>
      <w:hyperlink r:id="rId79" w:history="1">
        <w:r w:rsidR="00C16C4C" w:rsidRPr="00C16C4C">
          <w:rPr>
            <w:rFonts w:ascii="David" w:hAnsi="David"/>
            <w:color w:val="0000FF"/>
            <w:u w:val="single"/>
            <w:rtl/>
          </w:rPr>
          <w:t>חוק העונשין</w:t>
        </w:r>
      </w:hyperlink>
      <w:r>
        <w:rPr>
          <w:rFonts w:ascii="David" w:hAnsi="David"/>
          <w:rtl/>
        </w:rPr>
        <w:t xml:space="preserve">, לאחר שנשא והוביל נשק מקלע מאולתר ברכבו. בית המשפט המחוזי קבע </w:t>
      </w:r>
      <w:r>
        <w:rPr>
          <w:rFonts w:ascii="David" w:hAnsi="David"/>
          <w:b/>
          <w:bCs/>
          <w:rtl/>
        </w:rPr>
        <w:t xml:space="preserve">מתחם ענישה הנע בין 20 ל- 40 חודשי מאסר. </w:t>
      </w:r>
      <w:r>
        <w:rPr>
          <w:rFonts w:ascii="David" w:hAnsi="David"/>
          <w:rtl/>
        </w:rPr>
        <w:t>מדובר בנאשם</w:t>
      </w:r>
      <w:r>
        <w:rPr>
          <w:rFonts w:ascii="David" w:hAnsi="David"/>
          <w:b/>
          <w:bCs/>
          <w:rtl/>
        </w:rPr>
        <w:t xml:space="preserve"> </w:t>
      </w:r>
      <w:r>
        <w:rPr>
          <w:rFonts w:ascii="David" w:hAnsi="David"/>
          <w:rtl/>
        </w:rPr>
        <w:t>רווק כבן 39, נעדר עבר פלילי, נכה צה"ל, סובל מבעיות רפואיות ורגשיות, אשר מסר לשירות המבחן כי מצא את הנשק עטוף בעת שטייל, והחליט לקחת אותו לאביו על מנת שידווחו ביחד למשטרה על מציאתו, ושירות המבחן הגיש תסקיר חיובי בעניינו. נוכח נסיבות אלו ומשיקולי שיקום, מצא בית המשפט לנכון לסטות לקולה ממתחם הענישה, וגזר על הנאשם</w:t>
      </w:r>
      <w:r>
        <w:rPr>
          <w:rFonts w:ascii="David" w:hAnsi="David"/>
          <w:b/>
          <w:bCs/>
          <w:rtl/>
        </w:rPr>
        <w:t xml:space="preserve"> 12 חודשי מאסר בפועל </w:t>
      </w:r>
      <w:r>
        <w:rPr>
          <w:rFonts w:ascii="David" w:hAnsi="David"/>
          <w:rtl/>
        </w:rPr>
        <w:t xml:space="preserve">לצד עונשים נלווים. בית המשפט העליון קבע כי מדובר במקרה </w:t>
      </w:r>
      <w:r>
        <w:rPr>
          <w:rFonts w:ascii="David" w:hAnsi="David"/>
          <w:b/>
          <w:bCs/>
          <w:rtl/>
        </w:rPr>
        <w:t>חריג שבחריגים</w:t>
      </w:r>
      <w:r>
        <w:rPr>
          <w:rFonts w:ascii="David" w:hAnsi="David"/>
          <w:rtl/>
        </w:rPr>
        <w:t>, וכי נסיבות ביצוע העבירה ובעיקר מצבו הרפואי, הנפשי והמשפחתי של הנאשם מצדיקים קבלה של המלצת שירות המבחן. לפיכך העמיד את עונשו על</w:t>
      </w:r>
      <w:r>
        <w:rPr>
          <w:rFonts w:ascii="David" w:hAnsi="David"/>
          <w:b/>
          <w:bCs/>
          <w:rtl/>
        </w:rPr>
        <w:t xml:space="preserve"> 9 חודשי מאסר לריצוי בעבודות שירות</w:t>
      </w:r>
      <w:r>
        <w:rPr>
          <w:rFonts w:ascii="David" w:hAnsi="David"/>
          <w:rtl/>
        </w:rPr>
        <w:t xml:space="preserve">, </w:t>
      </w:r>
      <w:r>
        <w:rPr>
          <w:rFonts w:ascii="David" w:hAnsi="David"/>
          <w:b/>
          <w:bCs/>
          <w:rtl/>
        </w:rPr>
        <w:t xml:space="preserve">תוך שהדגיש כי ככלל מדיניות הענישה בעבירה הנדונה היא מאסר מאחורי סורג ובריח.  </w:t>
      </w:r>
    </w:p>
    <w:p w14:paraId="5E6D022F" w14:textId="77777777" w:rsidR="008A5C37" w:rsidRPr="00B60B16" w:rsidRDefault="008A5C37" w:rsidP="008A5C37">
      <w:pPr>
        <w:spacing w:line="360" w:lineRule="auto"/>
        <w:ind w:left="720"/>
        <w:jc w:val="both"/>
        <w:rPr>
          <w:rFonts w:ascii="David" w:hAnsi="David"/>
          <w:b/>
          <w:bCs/>
          <w:sz w:val="16"/>
          <w:szCs w:val="16"/>
          <w:rtl/>
        </w:rPr>
      </w:pPr>
    </w:p>
    <w:p w14:paraId="16F99B8B" w14:textId="77777777" w:rsidR="008A5C37" w:rsidRPr="008A5C37" w:rsidRDefault="008A5C37" w:rsidP="008A5C37">
      <w:pPr>
        <w:spacing w:line="360" w:lineRule="auto"/>
        <w:ind w:left="720"/>
        <w:jc w:val="both"/>
        <w:rPr>
          <w:rFonts w:ascii="Arial" w:hAnsi="Arial" w:cs="Arial"/>
          <w:sz w:val="22"/>
          <w:szCs w:val="22"/>
        </w:rPr>
      </w:pPr>
      <w:r>
        <w:rPr>
          <w:rFonts w:ascii="David" w:hAnsi="David"/>
          <w:b/>
          <w:bCs/>
          <w:rtl/>
        </w:rPr>
        <w:t>ג.</w:t>
      </w:r>
      <w:r>
        <w:rPr>
          <w:rFonts w:ascii="David" w:hAnsi="David"/>
          <w:rtl/>
        </w:rPr>
        <w:t xml:space="preserve"> ב</w:t>
      </w:r>
      <w:hyperlink r:id="rId80" w:history="1">
        <w:r w:rsidR="00C16C4C" w:rsidRPr="00C16C4C">
          <w:rPr>
            <w:rFonts w:ascii="David" w:hAnsi="David"/>
            <w:color w:val="0000FF"/>
            <w:u w:val="single"/>
            <w:rtl/>
          </w:rPr>
          <w:t>ע"פ 9402/17</w:t>
        </w:r>
      </w:hyperlink>
      <w:r>
        <w:rPr>
          <w:rFonts w:ascii="David" w:hAnsi="David"/>
          <w:rtl/>
        </w:rPr>
        <w:t xml:space="preserve"> </w:t>
      </w:r>
      <w:r>
        <w:rPr>
          <w:rFonts w:ascii="David" w:hAnsi="David"/>
          <w:b/>
          <w:bCs/>
          <w:rtl/>
        </w:rPr>
        <w:t>מדינת ישראל נ' פלוני</w:t>
      </w:r>
      <w:r>
        <w:rPr>
          <w:rFonts w:ascii="David" w:hAnsi="David"/>
          <w:rtl/>
        </w:rPr>
        <w:t xml:space="preserve"> (18/9/19), מפי כב' הש' מינץ, נדחה ערעור המדינה בעניינו של נאשם, אשר הורשע על פי הודייתו בעבירות של נשיאה והחזקת נשק שלא כדין וירי באזור מגורים.  לאחר שהתגלע סכסוך בין אחיו של הנאשם לאחרים, שבמסגרתו נפצע האח והובא לביתו, חזר הנאשם לאזור העימות כשהוא נושא אקדח ותחמושת וירה לשמיים באזור מגורים. מתחם הענישה הועמד על</w:t>
      </w:r>
      <w:r>
        <w:rPr>
          <w:rFonts w:ascii="David" w:hAnsi="David"/>
          <w:b/>
          <w:bCs/>
          <w:rtl/>
        </w:rPr>
        <w:t xml:space="preserve"> טווח שבין 3 ל- 15 חודשי מאסר בפועל, </w:t>
      </w:r>
      <w:r>
        <w:rPr>
          <w:rFonts w:ascii="David" w:hAnsi="David"/>
          <w:rtl/>
        </w:rPr>
        <w:t xml:space="preserve">והנאשם נדון </w:t>
      </w:r>
      <w:r>
        <w:rPr>
          <w:rFonts w:ascii="David" w:hAnsi="David"/>
          <w:b/>
          <w:bCs/>
          <w:rtl/>
        </w:rPr>
        <w:t>ל- 6 חודשי מאסר לריצוי בעבודות שירות</w:t>
      </w:r>
      <w:r>
        <w:rPr>
          <w:rFonts w:ascii="David" w:hAnsi="David"/>
          <w:rtl/>
        </w:rPr>
        <w:t xml:space="preserve">, לצד עונשים נלווים. </w:t>
      </w:r>
      <w:r>
        <w:rPr>
          <w:rFonts w:ascii="David" w:hAnsi="David"/>
          <w:b/>
          <w:bCs/>
          <w:rtl/>
        </w:rPr>
        <w:t xml:space="preserve">בית המשפט העליון </w:t>
      </w:r>
      <w:r>
        <w:rPr>
          <w:rFonts w:ascii="David" w:hAnsi="David"/>
          <w:rtl/>
        </w:rPr>
        <w:t xml:space="preserve">ציין כי אפילו נפלה שגגה בקביעת מתחם העונש ההולם, אין הצדקה להתערב בו, עוד אין בעונש שהושת משום סטייה קיצונית מרמת הענישה הראויה; נקבע כי העונש שהושת על הנאשם הוא סביר בנסיבות העניין, בהתחשב בגילו הצעיר (23 במועד מתן פסק הדין בערעור), עברו הנקי, וכן בהתחשב בתסקירים שהוגשו בעניינו, המלמדים על שינוי משמעותי שעבר במסגרת הליכי טיפול ושיקום. הודגש כי </w:t>
      </w:r>
      <w:r w:rsidRPr="008A5C37">
        <w:rPr>
          <w:rFonts w:ascii="Arial" w:hAnsi="Arial"/>
          <w:rtl/>
        </w:rPr>
        <w:t xml:space="preserve">"אכן קיימת מגמת החמרה בענישה של עברייני נשק, אך יש לבצע בדיקה פרטנית של כל מקרה לגופו, וכאשר הדבר נדרש על פי נסיבות המקרה, אף להקל בעונש". </w:t>
      </w:r>
    </w:p>
    <w:p w14:paraId="00D0EE81" w14:textId="77777777" w:rsidR="008A5C37" w:rsidRPr="008A5C37" w:rsidRDefault="008A5C37" w:rsidP="008A5C37">
      <w:pPr>
        <w:spacing w:line="360" w:lineRule="auto"/>
        <w:ind w:left="720"/>
        <w:jc w:val="both"/>
        <w:rPr>
          <w:rFonts w:ascii="Arial" w:hAnsi="Arial" w:cs="Arial"/>
          <w:sz w:val="12"/>
          <w:szCs w:val="12"/>
          <w:rtl/>
        </w:rPr>
      </w:pPr>
    </w:p>
    <w:p w14:paraId="6A5A7785" w14:textId="77777777" w:rsidR="008A5C37" w:rsidRDefault="008A5C37" w:rsidP="008A5C37">
      <w:pPr>
        <w:spacing w:line="360" w:lineRule="auto"/>
        <w:ind w:left="720" w:hanging="720"/>
        <w:jc w:val="both"/>
        <w:rPr>
          <w:rFonts w:ascii="David" w:hAnsi="David"/>
          <w:rtl/>
        </w:rPr>
      </w:pPr>
      <w:r>
        <w:rPr>
          <w:rFonts w:ascii="David" w:hAnsi="David"/>
          <w:rtl/>
        </w:rPr>
        <w:tab/>
      </w:r>
      <w:r>
        <w:rPr>
          <w:rFonts w:ascii="David" w:hAnsi="David"/>
          <w:b/>
          <w:bCs/>
          <w:rtl/>
        </w:rPr>
        <w:t xml:space="preserve">ד. </w:t>
      </w:r>
      <w:r>
        <w:rPr>
          <w:rFonts w:ascii="David" w:hAnsi="David"/>
          <w:rtl/>
        </w:rPr>
        <w:t>ב</w:t>
      </w:r>
      <w:hyperlink r:id="rId81" w:history="1">
        <w:r w:rsidR="00C16C4C" w:rsidRPr="00C16C4C">
          <w:rPr>
            <w:rFonts w:ascii="David" w:hAnsi="David"/>
            <w:color w:val="0000FF"/>
            <w:u w:val="single"/>
            <w:rtl/>
          </w:rPr>
          <w:t>ת"פ (חי') 43581-03-22</w:t>
        </w:r>
      </w:hyperlink>
      <w:r>
        <w:rPr>
          <w:rFonts w:ascii="David" w:hAnsi="David"/>
          <w:rtl/>
        </w:rPr>
        <w:t xml:space="preserve"> </w:t>
      </w:r>
      <w:r>
        <w:rPr>
          <w:rFonts w:ascii="David" w:hAnsi="David"/>
          <w:b/>
          <w:bCs/>
          <w:rtl/>
        </w:rPr>
        <w:t>מדינת ישראל נ' נג'ימי</w:t>
      </w:r>
      <w:r>
        <w:rPr>
          <w:rFonts w:ascii="David" w:hAnsi="David"/>
          <w:rtl/>
        </w:rPr>
        <w:t xml:space="preserve"> (15/6/22), מפי בית משפט זה, הורשע הנאשם על פי הודייתו בעבירות בנשק (החזקה) לפי סעיף </w:t>
      </w:r>
      <w:hyperlink r:id="rId82" w:history="1">
        <w:r w:rsidR="00121052" w:rsidRPr="00121052">
          <w:rPr>
            <w:rStyle w:val="Hyperlink"/>
            <w:rFonts w:ascii="David" w:hAnsi="David"/>
            <w:rtl/>
          </w:rPr>
          <w:t>144 (א)</w:t>
        </w:r>
      </w:hyperlink>
      <w:r>
        <w:rPr>
          <w:rFonts w:ascii="David" w:hAnsi="David"/>
          <w:rtl/>
        </w:rPr>
        <w:t xml:space="preserve"> רישא וסיפא, וירי מנשק חם לפי </w:t>
      </w:r>
      <w:hyperlink r:id="rId83" w:history="1">
        <w:r w:rsidR="00121052" w:rsidRPr="00121052">
          <w:rPr>
            <w:rStyle w:val="Hyperlink"/>
            <w:rFonts w:ascii="David" w:hAnsi="David"/>
            <w:rtl/>
          </w:rPr>
          <w:t>סעיף 340א(ב)(1)</w:t>
        </w:r>
      </w:hyperlink>
      <w:r>
        <w:rPr>
          <w:rFonts w:ascii="David" w:hAnsi="David"/>
          <w:rtl/>
        </w:rPr>
        <w:t xml:space="preserve">, זאת לאחר שבמהלך אירוע לכבוד אירוסי בתו, החזיק הנאשם אקדח טעון במחסנית וכדורים וירה באמצעותו מספר יריות, בהפנותו את האקדח כלפי מעלה. הצדדים הגיעו להסכמה עונשית במסגרת הסדר הטיעון אליו,  שלפיה עתרו להטיל על הנאשם </w:t>
      </w:r>
      <w:r>
        <w:rPr>
          <w:rFonts w:ascii="David" w:hAnsi="David"/>
          <w:b/>
          <w:bCs/>
          <w:rtl/>
        </w:rPr>
        <w:t>12 חודשי מאסר בפועל</w:t>
      </w:r>
      <w:r>
        <w:rPr>
          <w:rFonts w:ascii="David" w:hAnsi="David"/>
          <w:rtl/>
        </w:rPr>
        <w:t xml:space="preserve"> ומאסר על תנאי. בית המשפט כיבד את הסדר הטיעון, בהתחשב בקיומם של קשיים ראייתיים משמעותיים, ובנסיבותיו האישיות של הנאשם - בן 49, גרוש ואב לשישה ילדים, שבעברו מספר הרשעות אך מעולם לא ריצה עונש מאסר, הודייתו המידית האחריות שנטל למעשיו והחרטה שהביע בגינם. </w:t>
      </w:r>
    </w:p>
    <w:p w14:paraId="2BA80D0C" w14:textId="77777777" w:rsidR="008A5C37" w:rsidRDefault="008A5C37" w:rsidP="008A5C37">
      <w:pPr>
        <w:spacing w:line="360" w:lineRule="auto"/>
        <w:ind w:left="720" w:hanging="720"/>
        <w:jc w:val="both"/>
        <w:rPr>
          <w:rFonts w:ascii="David" w:hAnsi="David"/>
          <w:sz w:val="20"/>
          <w:szCs w:val="20"/>
          <w:rtl/>
        </w:rPr>
      </w:pPr>
    </w:p>
    <w:p w14:paraId="69096198" w14:textId="77777777" w:rsidR="008A5C37" w:rsidRDefault="008A5C37" w:rsidP="008A5C37">
      <w:pPr>
        <w:spacing w:line="360" w:lineRule="auto"/>
        <w:ind w:left="720"/>
        <w:jc w:val="both"/>
        <w:rPr>
          <w:rFonts w:ascii="David" w:hAnsi="David"/>
          <w:rtl/>
        </w:rPr>
      </w:pPr>
      <w:r>
        <w:rPr>
          <w:rFonts w:ascii="David" w:hAnsi="David"/>
          <w:b/>
          <w:bCs/>
          <w:rtl/>
        </w:rPr>
        <w:t>ה.</w:t>
      </w:r>
      <w:r>
        <w:rPr>
          <w:rFonts w:ascii="David" w:hAnsi="David"/>
          <w:rtl/>
        </w:rPr>
        <w:t xml:space="preserve"> ב</w:t>
      </w:r>
      <w:hyperlink r:id="rId84" w:history="1">
        <w:r w:rsidR="00C16C4C" w:rsidRPr="00C16C4C">
          <w:rPr>
            <w:rFonts w:ascii="David" w:hAnsi="David"/>
            <w:color w:val="0000FF"/>
            <w:u w:val="single"/>
            <w:rtl/>
          </w:rPr>
          <w:t>ת"פ (חי') 22029-03-21</w:t>
        </w:r>
      </w:hyperlink>
      <w:r>
        <w:rPr>
          <w:rFonts w:ascii="David" w:hAnsi="David"/>
          <w:rtl/>
        </w:rPr>
        <w:t xml:space="preserve"> </w:t>
      </w:r>
      <w:r>
        <w:rPr>
          <w:rFonts w:ascii="David" w:hAnsi="David"/>
          <w:b/>
          <w:bCs/>
          <w:rtl/>
        </w:rPr>
        <w:t>מדינת ישראל נ' אבו שאח ואח'</w:t>
      </w:r>
      <w:r>
        <w:rPr>
          <w:rFonts w:ascii="David" w:hAnsi="David"/>
          <w:rtl/>
        </w:rPr>
        <w:t xml:space="preserve"> (2/6/22), מפי כב' הש' פיש, נגזר דינו של נאשם 2, אשר הורשע, ביחד עם נאשם 1, על פי הודייתם בביצוע בצוותא של</w:t>
      </w:r>
      <w:r>
        <w:rPr>
          <w:rFonts w:ascii="David" w:hAnsi="David"/>
          <w:b/>
          <w:bCs/>
          <w:rtl/>
        </w:rPr>
        <w:t xml:space="preserve"> נשיאה והובלת נשק </w:t>
      </w:r>
      <w:r>
        <w:rPr>
          <w:rFonts w:ascii="David" w:hAnsi="David"/>
          <w:rtl/>
        </w:rPr>
        <w:t>(</w:t>
      </w:r>
      <w:hyperlink r:id="rId85" w:history="1">
        <w:r w:rsidR="00121052" w:rsidRPr="00121052">
          <w:rPr>
            <w:rStyle w:val="Hyperlink"/>
            <w:rFonts w:ascii="David" w:hAnsi="David"/>
            <w:rtl/>
          </w:rPr>
          <w:t>סעיפים 144(א)</w:t>
        </w:r>
      </w:hyperlink>
      <w:r>
        <w:rPr>
          <w:rFonts w:ascii="David" w:hAnsi="David"/>
          <w:rtl/>
        </w:rPr>
        <w:t xml:space="preserve"> רישא וסיפא ו- </w:t>
      </w:r>
      <w:hyperlink r:id="rId86" w:history="1">
        <w:r w:rsidR="00121052" w:rsidRPr="00121052">
          <w:rPr>
            <w:rStyle w:val="Hyperlink"/>
            <w:rFonts w:ascii="David" w:hAnsi="David"/>
            <w:rtl/>
          </w:rPr>
          <w:t>144(ב)</w:t>
        </w:r>
      </w:hyperlink>
      <w:r>
        <w:rPr>
          <w:rFonts w:ascii="David" w:hAnsi="David"/>
          <w:rtl/>
        </w:rPr>
        <w:t xml:space="preserve"> רישא וסיפא + סעיף </w:t>
      </w:r>
      <w:hyperlink r:id="rId87" w:history="1">
        <w:r w:rsidR="00121052" w:rsidRPr="00121052">
          <w:rPr>
            <w:rStyle w:val="Hyperlink"/>
            <w:rFonts w:ascii="David" w:hAnsi="David"/>
            <w:rtl/>
          </w:rPr>
          <w:t>29</w:t>
        </w:r>
      </w:hyperlink>
      <w:r>
        <w:rPr>
          <w:rFonts w:ascii="David" w:hAnsi="David"/>
          <w:rtl/>
        </w:rPr>
        <w:t>) ו</w:t>
      </w:r>
      <w:r>
        <w:rPr>
          <w:rFonts w:ascii="David" w:hAnsi="David"/>
          <w:b/>
          <w:bCs/>
          <w:rtl/>
        </w:rPr>
        <w:t xml:space="preserve">ירי מנשק חם </w:t>
      </w:r>
      <w:r>
        <w:rPr>
          <w:rFonts w:ascii="David" w:hAnsi="David"/>
          <w:rtl/>
        </w:rPr>
        <w:t xml:space="preserve">(סעיף </w:t>
      </w:r>
      <w:hyperlink r:id="rId88" w:history="1">
        <w:r w:rsidR="00121052" w:rsidRPr="00121052">
          <w:rPr>
            <w:rStyle w:val="Hyperlink"/>
            <w:rFonts w:ascii="David" w:hAnsi="David"/>
            <w:rtl/>
          </w:rPr>
          <w:t>340א(ב)(1)</w:t>
        </w:r>
      </w:hyperlink>
      <w:r>
        <w:rPr>
          <w:rFonts w:ascii="David" w:hAnsi="David"/>
          <w:rtl/>
        </w:rPr>
        <w:t xml:space="preserve"> + סעיף </w:t>
      </w:r>
      <w:hyperlink r:id="rId89" w:history="1">
        <w:r w:rsidR="00121052" w:rsidRPr="00121052">
          <w:rPr>
            <w:rStyle w:val="Hyperlink"/>
            <w:rFonts w:ascii="David" w:hAnsi="David"/>
            <w:rtl/>
          </w:rPr>
          <w:t>29</w:t>
        </w:r>
      </w:hyperlink>
      <w:r>
        <w:rPr>
          <w:rFonts w:ascii="David" w:hAnsi="David"/>
          <w:rtl/>
        </w:rPr>
        <w:t xml:space="preserve">). נאשם 1 החזיק ברישיון באקדח חצי אוטומטי, ואילו נאשם 2 היה בעל עסק למכירת אלכוהול, הממוקם סמוך לגדר התוחמת את ביתו (להלן: העסק). נאשם 1 הגיע לעסקו של נאשם 2 כשהוא נושא את האקדח וכן מחסנית וכדורים תואמים, כאשר אשתו של האחרון ושתי בנותיו שהו בבית. נאשם 1 העביר את הנשק לנאשם 2, והאחרון יצא מבית העסק כשהוא מחזיק ונושא את הנשק טעון במחסנית ובה כדורים, עמד מחוץ לעסק, דרך את הנשק כיוון אותו כלפי מעלה וירה באמצעותו מספר יריות באוויר. כעבור הפוגה קצרה, ירה נאשם 2 מספר יריות נוספות כלפי מעלה, השיב לנאשם 1 את נשקו,  והשניים אספו מהרצפה את התרמילים שנפלו ארצה כתוצאה מהירי. בית המשפט קבע </w:t>
      </w:r>
      <w:r>
        <w:rPr>
          <w:rFonts w:ascii="David" w:hAnsi="David"/>
          <w:b/>
          <w:bCs/>
          <w:rtl/>
        </w:rPr>
        <w:t>מתחם ענישה הנע בין 9 ל- 36 חודשי מאסר בפועל</w:t>
      </w:r>
      <w:r>
        <w:rPr>
          <w:rFonts w:ascii="David" w:hAnsi="David"/>
          <w:rtl/>
        </w:rPr>
        <w:t xml:space="preserve">, והשית על נאשם 2- בן 30, שנסיבות חייו קשות, לחובתו הרשעה קודמת ישנה, ואשר לא סיים הליך טיפולי בו החל במסגרת שירות המבחן, בשל מעצרו בגין תיק אחר - </w:t>
      </w:r>
      <w:r>
        <w:rPr>
          <w:rFonts w:ascii="David" w:hAnsi="David"/>
          <w:b/>
          <w:bCs/>
          <w:rtl/>
        </w:rPr>
        <w:t>14 חודשי מאסר בפועל,</w:t>
      </w:r>
      <w:r>
        <w:rPr>
          <w:rFonts w:ascii="David" w:hAnsi="David"/>
          <w:rtl/>
        </w:rPr>
        <w:t xml:space="preserve"> לצד עונשים נלווים; זאת בין השאר בהתחשב גם בשיקולים של אחידות הענישה, משהושתו על נאשם 1 </w:t>
      </w:r>
      <w:r>
        <w:rPr>
          <w:rFonts w:ascii="David" w:hAnsi="David" w:hint="cs"/>
          <w:b/>
          <w:bCs/>
          <w:rtl/>
        </w:rPr>
        <w:t>9</w:t>
      </w:r>
      <w:r w:rsidRPr="00B60B16">
        <w:rPr>
          <w:rFonts w:ascii="David" w:hAnsi="David"/>
          <w:b/>
          <w:bCs/>
          <w:rtl/>
        </w:rPr>
        <w:t xml:space="preserve"> חודשי מאסר לריצוי בעבודות שירות.</w:t>
      </w:r>
      <w:r>
        <w:rPr>
          <w:rFonts w:ascii="David" w:hAnsi="David"/>
          <w:rtl/>
        </w:rPr>
        <w:t xml:space="preserve">  </w:t>
      </w:r>
    </w:p>
    <w:p w14:paraId="27F1F510" w14:textId="77777777" w:rsidR="008A5C37" w:rsidRDefault="008A5C37" w:rsidP="008A5C37">
      <w:pPr>
        <w:spacing w:line="360" w:lineRule="auto"/>
        <w:ind w:left="720"/>
        <w:jc w:val="both"/>
        <w:rPr>
          <w:rFonts w:ascii="David" w:hAnsi="David"/>
          <w:sz w:val="16"/>
          <w:szCs w:val="16"/>
          <w:rtl/>
        </w:rPr>
      </w:pPr>
    </w:p>
    <w:p w14:paraId="08532F6C" w14:textId="77777777" w:rsidR="008A5C37" w:rsidRDefault="008A5C37" w:rsidP="008A5C37">
      <w:pPr>
        <w:spacing w:line="360" w:lineRule="auto"/>
        <w:ind w:left="720"/>
        <w:jc w:val="both"/>
        <w:rPr>
          <w:rFonts w:ascii="David" w:hAnsi="David"/>
          <w:rtl/>
        </w:rPr>
      </w:pPr>
      <w:r>
        <w:rPr>
          <w:rFonts w:ascii="David" w:hAnsi="David"/>
          <w:b/>
          <w:bCs/>
          <w:rtl/>
        </w:rPr>
        <w:t>ו.</w:t>
      </w:r>
      <w:r>
        <w:rPr>
          <w:rFonts w:ascii="David" w:hAnsi="David"/>
          <w:rtl/>
        </w:rPr>
        <w:t xml:space="preserve"> ב</w:t>
      </w:r>
      <w:hyperlink r:id="rId90" w:history="1">
        <w:r w:rsidR="00C16C4C" w:rsidRPr="00C16C4C">
          <w:rPr>
            <w:rFonts w:ascii="David" w:hAnsi="David"/>
            <w:color w:val="0000FF"/>
            <w:u w:val="single"/>
            <w:rtl/>
          </w:rPr>
          <w:t>ת"פ (חי') 39193-12-15</w:t>
        </w:r>
      </w:hyperlink>
      <w:r>
        <w:rPr>
          <w:rFonts w:ascii="David" w:hAnsi="David"/>
          <w:rtl/>
        </w:rPr>
        <w:t xml:space="preserve"> </w:t>
      </w:r>
      <w:r>
        <w:rPr>
          <w:rFonts w:ascii="David" w:hAnsi="David"/>
          <w:b/>
          <w:bCs/>
          <w:rtl/>
        </w:rPr>
        <w:t>מדינת ישראל נ' ג'דאוי</w:t>
      </w:r>
      <w:r>
        <w:rPr>
          <w:rFonts w:ascii="David" w:hAnsi="David"/>
          <w:rtl/>
        </w:rPr>
        <w:t xml:space="preserve"> ואח' (19/4/16), מפי כב' הש' ליפשיץ, נדון עניינה של נאשמת 1 (להלן: הנאשמת), בת דודו של נאשם 2 (להלן: הנאשם),  אשר הורשעה על יסוד הודייתה בעבירה של החזקת נשק ותחמושת לפי </w:t>
      </w:r>
      <w:hyperlink r:id="rId91" w:history="1">
        <w:r w:rsidR="00121052" w:rsidRPr="00121052">
          <w:rPr>
            <w:rStyle w:val="Hyperlink"/>
            <w:rFonts w:ascii="David" w:hAnsi="David"/>
            <w:rtl/>
          </w:rPr>
          <w:t>סעיפים 144(א)</w:t>
        </w:r>
      </w:hyperlink>
      <w:r>
        <w:rPr>
          <w:rFonts w:ascii="David" w:hAnsi="David"/>
          <w:rtl/>
        </w:rPr>
        <w:t xml:space="preserve"> רישא וסיפא + </w:t>
      </w:r>
      <w:hyperlink r:id="rId92" w:history="1">
        <w:r w:rsidR="00121052" w:rsidRPr="00121052">
          <w:rPr>
            <w:rStyle w:val="Hyperlink"/>
            <w:rFonts w:ascii="David" w:hAnsi="David"/>
            <w:rtl/>
          </w:rPr>
          <w:t>סעיף 29</w:t>
        </w:r>
      </w:hyperlink>
      <w:r>
        <w:rPr>
          <w:rFonts w:ascii="David" w:hAnsi="David"/>
          <w:rtl/>
        </w:rPr>
        <w:t xml:space="preserve"> ל</w:t>
      </w:r>
      <w:hyperlink r:id="rId93" w:history="1">
        <w:r w:rsidR="00C16C4C" w:rsidRPr="00C16C4C">
          <w:rPr>
            <w:rFonts w:ascii="David" w:hAnsi="David"/>
            <w:color w:val="0000FF"/>
            <w:u w:val="single"/>
            <w:rtl/>
          </w:rPr>
          <w:t>חוק העונשין</w:t>
        </w:r>
      </w:hyperlink>
      <w:r>
        <w:rPr>
          <w:rFonts w:ascii="David" w:hAnsi="David"/>
          <w:rtl/>
        </w:rPr>
        <w:t xml:space="preserve">. הנאשמת הסכימה לבקשת הנאשם להסתיר בביתה אקדח מסוג </w:t>
      </w:r>
      <w:r>
        <w:rPr>
          <w:rFonts w:ascii="David" w:hAnsi="David"/>
        </w:rPr>
        <w:t>CZ</w:t>
      </w:r>
      <w:r>
        <w:rPr>
          <w:rFonts w:ascii="David" w:hAnsi="David"/>
          <w:rtl/>
        </w:rPr>
        <w:t xml:space="preserve">, מחסנית, כדורים לאקדח וכן רימון גז, ולאחר שהביאם לידיה הסתירה אותם מתחת למיטתה, עד אשר התגלו על ידי משטרת ישראל. בית המשפט המחוזי קבע </w:t>
      </w:r>
      <w:r>
        <w:rPr>
          <w:rFonts w:ascii="David" w:hAnsi="David"/>
          <w:b/>
          <w:bCs/>
          <w:rtl/>
        </w:rPr>
        <w:t>מתחם ענישה הנע בין מספר חודשי מאסר שיכול שירוצו בעבודות שירות לבין 24 חודשי מאסר</w:t>
      </w:r>
      <w:r>
        <w:rPr>
          <w:rFonts w:ascii="David" w:hAnsi="David"/>
          <w:rtl/>
        </w:rPr>
        <w:t xml:space="preserve">, והשית על הנאשמת - כבת 38, בעלת עבר נקי, נשואה ואם ל- 4 ילדים, בעלת תפקוד משפחתי תקין, אך במצב סוציו אקונומי קשה, בעיות רפואיות של חלק מבני משפחתה - </w:t>
      </w:r>
      <w:r>
        <w:rPr>
          <w:rFonts w:ascii="David" w:hAnsi="David"/>
          <w:b/>
          <w:bCs/>
          <w:rtl/>
        </w:rPr>
        <w:t>6 חודשי מאסר לריצוי בעבודות שירות</w:t>
      </w:r>
      <w:r>
        <w:rPr>
          <w:rFonts w:ascii="David" w:hAnsi="David"/>
          <w:rtl/>
        </w:rPr>
        <w:t xml:space="preserve">, לצד עונשים נלווים; זאת, וכן בהתחשבו גם בהמלצת שירות המבחן בעניינה.  </w:t>
      </w:r>
    </w:p>
    <w:p w14:paraId="7A4EF615" w14:textId="77777777" w:rsidR="008A5C37" w:rsidRDefault="008A5C37" w:rsidP="008A5C37">
      <w:pPr>
        <w:spacing w:line="360" w:lineRule="auto"/>
        <w:ind w:left="720"/>
        <w:jc w:val="both"/>
        <w:rPr>
          <w:rFonts w:ascii="David" w:hAnsi="David"/>
          <w:sz w:val="20"/>
          <w:szCs w:val="20"/>
          <w:rtl/>
        </w:rPr>
      </w:pPr>
    </w:p>
    <w:p w14:paraId="42437825" w14:textId="77777777" w:rsidR="008A5C37" w:rsidRDefault="008A5C37" w:rsidP="008A5C37">
      <w:pPr>
        <w:spacing w:line="360" w:lineRule="auto"/>
        <w:ind w:left="720"/>
        <w:jc w:val="both"/>
        <w:rPr>
          <w:rFonts w:ascii="David" w:hAnsi="David"/>
        </w:rPr>
      </w:pPr>
      <w:r>
        <w:rPr>
          <w:rFonts w:ascii="David" w:hAnsi="David"/>
          <w:b/>
          <w:bCs/>
          <w:rtl/>
        </w:rPr>
        <w:t>ז.</w:t>
      </w:r>
      <w:r>
        <w:rPr>
          <w:rFonts w:ascii="David" w:hAnsi="David"/>
          <w:rtl/>
        </w:rPr>
        <w:t xml:space="preserve"> ב</w:t>
      </w:r>
      <w:hyperlink r:id="rId94" w:history="1">
        <w:r w:rsidR="00C16C4C" w:rsidRPr="00C16C4C">
          <w:rPr>
            <w:rFonts w:ascii="David" w:hAnsi="David"/>
            <w:color w:val="0000FF"/>
            <w:u w:val="single"/>
            <w:rtl/>
          </w:rPr>
          <w:t>ת"פ (חי') 51207-09-12</w:t>
        </w:r>
      </w:hyperlink>
      <w:r>
        <w:rPr>
          <w:rFonts w:ascii="David" w:hAnsi="David"/>
          <w:rtl/>
        </w:rPr>
        <w:t xml:space="preserve"> </w:t>
      </w:r>
      <w:r>
        <w:rPr>
          <w:rFonts w:ascii="David" w:hAnsi="David"/>
          <w:b/>
          <w:bCs/>
          <w:rtl/>
        </w:rPr>
        <w:t>מדינת ישראל נ' דכור</w:t>
      </w:r>
      <w:r>
        <w:rPr>
          <w:rFonts w:ascii="David" w:hAnsi="David"/>
          <w:rtl/>
        </w:rPr>
        <w:t xml:space="preserve"> (30/9/13), מפי כב' הש' שרון נתנאל, הורשע הנאשם על יסוד הודייתו, לאחר שנשמעו מרבית הראיות בתיק, בעבירות של </w:t>
      </w:r>
      <w:r>
        <w:rPr>
          <w:rFonts w:ascii="David" w:hAnsi="David"/>
          <w:b/>
          <w:bCs/>
          <w:rtl/>
        </w:rPr>
        <w:t>ייצור והחזקת נשק וירי באזור מגורים</w:t>
      </w:r>
      <w:r>
        <w:rPr>
          <w:rFonts w:ascii="David" w:hAnsi="David"/>
          <w:rtl/>
        </w:rPr>
        <w:t>, לאחר שבעת עבודתו כרתך במפעל, ייצר כלי שסוגל לירות קליע ולהמית אדם, והחזיקו בביתו כשלוש שנים עד שנתפס בחיפוש, כאשר אין חולק כי הייצור נעשה לשם שימוש בנשק לצייד. בנוסף לכך, הנאשם ירה מנשק חם במהלך חתונה באזור מגורים. בית המשפט המחוזי קבע מתחם העונש הולם לעבירה של ייצור הנשק והחזקתו</w:t>
      </w:r>
      <w:r>
        <w:rPr>
          <w:rFonts w:ascii="David" w:hAnsi="David"/>
          <w:b/>
          <w:bCs/>
          <w:rtl/>
        </w:rPr>
        <w:t xml:space="preserve"> בטווח שבין 6 חודשי מאסר שיכול שיבוצעו בעבודות שירות לבין 12 חודשי מאסר</w:t>
      </w:r>
      <w:r>
        <w:rPr>
          <w:rFonts w:ascii="David" w:hAnsi="David"/>
          <w:rtl/>
        </w:rPr>
        <w:t xml:space="preserve">, ומתחם עונש </w:t>
      </w:r>
      <w:r>
        <w:rPr>
          <w:rFonts w:ascii="David" w:hAnsi="David"/>
          <w:b/>
          <w:bCs/>
          <w:rtl/>
        </w:rPr>
        <w:t>לירי בחתונה באזור מגורים בטווח שבין מספר חודשי עבודות שירות לבין מספר חודשי מאסר בפועל</w:t>
      </w:r>
      <w:r>
        <w:rPr>
          <w:rFonts w:ascii="David" w:hAnsi="David"/>
          <w:rtl/>
        </w:rPr>
        <w:t>. בהתחשב בכך שמדובר בנאשם נורמטיבי, נעדר עבר פלילי, העובד למחייתו ותורם לסביבה, אשר נעצר קצרות, הביע חרטה על מעשיו, והתסקיר בעניינו היה חיובי תוך המלצה על שיקום – העדיף בית המשפט את שיקולי השיקום, חרג לקולה ממתחמי הענישה שקבע, והשית עליו 300 שעות של"צ ומאסר מותנה, כהמלצת שירות המבחן.</w:t>
      </w:r>
    </w:p>
    <w:p w14:paraId="3164E84D" w14:textId="77777777" w:rsidR="008A5C37" w:rsidRDefault="008A5C37" w:rsidP="008A5C37">
      <w:pPr>
        <w:spacing w:line="360" w:lineRule="auto"/>
        <w:ind w:left="720"/>
        <w:jc w:val="both"/>
        <w:rPr>
          <w:rFonts w:ascii="David" w:hAnsi="David"/>
          <w:sz w:val="18"/>
          <w:szCs w:val="18"/>
          <w:rtl/>
        </w:rPr>
      </w:pPr>
    </w:p>
    <w:p w14:paraId="0730A90B" w14:textId="77777777" w:rsidR="008A5C37" w:rsidRDefault="008A5C37" w:rsidP="008A5C37">
      <w:pPr>
        <w:pStyle w:val="a9"/>
        <w:spacing w:line="360" w:lineRule="auto"/>
        <w:ind w:left="720" w:hanging="720"/>
        <w:jc w:val="both"/>
        <w:rPr>
          <w:rFonts w:ascii="David" w:hAnsi="David" w:cs="David"/>
          <w:sz w:val="24"/>
          <w:szCs w:val="24"/>
          <w:rtl/>
        </w:rPr>
      </w:pPr>
      <w:r>
        <w:rPr>
          <w:rFonts w:ascii="David" w:hAnsi="David" w:cs="David"/>
          <w:b/>
          <w:bCs/>
          <w:sz w:val="24"/>
          <w:szCs w:val="24"/>
          <w:rtl/>
        </w:rPr>
        <w:t>17.</w:t>
      </w:r>
      <w:r>
        <w:rPr>
          <w:rFonts w:ascii="David" w:hAnsi="David" w:cs="David"/>
          <w:sz w:val="24"/>
          <w:szCs w:val="24"/>
          <w:rtl/>
        </w:rPr>
        <w:tab/>
        <w:t xml:space="preserve">על מנת לשרטט כדבעי את מתחם העונש ההולם עיינתי בפסיקה רחבה נוספת העוסקת בעבירות שעניינן בהחזקה ונשיאת נשק שלא כדין וירי מנשק חם. כך למשל:  </w:t>
      </w:r>
    </w:p>
    <w:p w14:paraId="70D1C104" w14:textId="77777777" w:rsidR="008A5C37" w:rsidRDefault="008A5C37" w:rsidP="008A5C37">
      <w:pPr>
        <w:pStyle w:val="a9"/>
        <w:spacing w:line="360" w:lineRule="auto"/>
        <w:ind w:left="720" w:hanging="720"/>
        <w:jc w:val="both"/>
        <w:rPr>
          <w:rFonts w:ascii="David" w:hAnsi="David" w:cs="David"/>
          <w:sz w:val="8"/>
          <w:szCs w:val="8"/>
          <w:rtl/>
        </w:rPr>
      </w:pPr>
    </w:p>
    <w:p w14:paraId="39E6B53C" w14:textId="77777777" w:rsidR="008A5C37" w:rsidRDefault="008A5C37" w:rsidP="008A5C37">
      <w:pPr>
        <w:spacing w:line="360" w:lineRule="auto"/>
        <w:ind w:left="720"/>
        <w:jc w:val="both"/>
        <w:rPr>
          <w:rFonts w:ascii="David" w:hAnsi="David"/>
          <w:sz w:val="2"/>
          <w:szCs w:val="2"/>
          <w:rtl/>
        </w:rPr>
      </w:pPr>
    </w:p>
    <w:p w14:paraId="62C37F29" w14:textId="77777777" w:rsidR="008A5C37" w:rsidRDefault="008A5C37" w:rsidP="008A5C37">
      <w:pPr>
        <w:spacing w:line="360" w:lineRule="auto"/>
        <w:ind w:left="720"/>
        <w:jc w:val="both"/>
        <w:rPr>
          <w:rFonts w:ascii="David" w:hAnsi="David"/>
          <w:b/>
          <w:bCs/>
          <w:rtl/>
        </w:rPr>
      </w:pPr>
      <w:r>
        <w:rPr>
          <w:rFonts w:ascii="David" w:hAnsi="David"/>
          <w:b/>
          <w:bCs/>
          <w:rtl/>
        </w:rPr>
        <w:t>א.</w:t>
      </w:r>
      <w:r>
        <w:rPr>
          <w:rFonts w:ascii="David" w:hAnsi="David"/>
          <w:rtl/>
        </w:rPr>
        <w:t xml:space="preserve"> ב</w:t>
      </w:r>
      <w:hyperlink r:id="rId95" w:history="1">
        <w:r w:rsidR="00C16C4C" w:rsidRPr="00C16C4C">
          <w:rPr>
            <w:rFonts w:ascii="David" w:hAnsi="David"/>
            <w:color w:val="0000FF"/>
            <w:u w:val="single"/>
            <w:rtl/>
          </w:rPr>
          <w:t>ע"פ 6985/20</w:t>
        </w:r>
      </w:hyperlink>
      <w:r>
        <w:rPr>
          <w:rFonts w:ascii="David" w:hAnsi="David"/>
          <w:rtl/>
        </w:rPr>
        <w:t xml:space="preserve"> </w:t>
      </w:r>
      <w:r>
        <w:rPr>
          <w:rFonts w:ascii="David" w:hAnsi="David"/>
          <w:b/>
          <w:bCs/>
          <w:rtl/>
        </w:rPr>
        <w:t>מטר נ' מדינת ישראל</w:t>
      </w:r>
      <w:r>
        <w:rPr>
          <w:rFonts w:ascii="David" w:hAnsi="David"/>
          <w:rtl/>
        </w:rPr>
        <w:t xml:space="preserve"> (14/1/21), מפי כב' הש' עמית, ברון וגרוסקופף, נתקבל ערעורו של נאשם, אשר הורשע לאחר שמיעת ראיות </w:t>
      </w:r>
      <w:r>
        <w:rPr>
          <w:rFonts w:ascii="David" w:hAnsi="David"/>
          <w:b/>
          <w:bCs/>
          <w:rtl/>
        </w:rPr>
        <w:t>בעבירות של נשיאת והחזקת נשק ותחמושת</w:t>
      </w:r>
      <w:r>
        <w:rPr>
          <w:rFonts w:ascii="David" w:hAnsi="David"/>
          <w:rtl/>
        </w:rPr>
        <w:t xml:space="preserve"> (</w:t>
      </w:r>
      <w:hyperlink r:id="rId96" w:history="1">
        <w:r w:rsidR="00121052" w:rsidRPr="00121052">
          <w:rPr>
            <w:rStyle w:val="Hyperlink"/>
            <w:rFonts w:ascii="David" w:hAnsi="David"/>
            <w:rtl/>
          </w:rPr>
          <w:t>סעיף 144(א)</w:t>
        </w:r>
      </w:hyperlink>
      <w:r>
        <w:rPr>
          <w:rFonts w:ascii="David" w:hAnsi="David"/>
          <w:rtl/>
        </w:rPr>
        <w:t xml:space="preserve"> רישא וסיפא </w:t>
      </w:r>
      <w:hyperlink r:id="rId97" w:history="1">
        <w:r w:rsidR="00121052" w:rsidRPr="00121052">
          <w:rPr>
            <w:rStyle w:val="Hyperlink"/>
            <w:rFonts w:ascii="David" w:hAnsi="David"/>
            <w:rtl/>
          </w:rPr>
          <w:t>וסעיף 144(ב)</w:t>
        </w:r>
      </w:hyperlink>
      <w:r>
        <w:rPr>
          <w:rFonts w:ascii="David" w:hAnsi="David"/>
          <w:rtl/>
        </w:rPr>
        <w:t xml:space="preserve"> רישא וסיפא), </w:t>
      </w:r>
      <w:r>
        <w:rPr>
          <w:rFonts w:ascii="David" w:hAnsi="David"/>
          <w:b/>
          <w:bCs/>
          <w:rtl/>
        </w:rPr>
        <w:t>וירי מנשק חם</w:t>
      </w:r>
      <w:r>
        <w:rPr>
          <w:rFonts w:ascii="David" w:hAnsi="David"/>
          <w:rtl/>
        </w:rPr>
        <w:t xml:space="preserve"> (לפי </w:t>
      </w:r>
      <w:hyperlink r:id="rId98" w:history="1">
        <w:r w:rsidR="00121052" w:rsidRPr="00121052">
          <w:rPr>
            <w:rStyle w:val="Hyperlink"/>
            <w:rFonts w:ascii="David" w:hAnsi="David"/>
            <w:rtl/>
          </w:rPr>
          <w:t>סעיף 340א(א)).</w:t>
        </w:r>
      </w:hyperlink>
      <w:r>
        <w:rPr>
          <w:rFonts w:ascii="David" w:hAnsi="David"/>
          <w:rtl/>
        </w:rPr>
        <w:t xml:space="preserve"> הנאשם ישב במושב הקדמי של רכב כשבידו תת מקלע מאולתר, דרך את הנשק, פתח את החלון וירה מספר כדורים מבעד לחלון. בית המשפט המחוזי קבע מתחם ענישה </w:t>
      </w:r>
      <w:r>
        <w:rPr>
          <w:rFonts w:ascii="David" w:hAnsi="David"/>
          <w:b/>
          <w:bCs/>
          <w:rtl/>
        </w:rPr>
        <w:t>הנע בין 20 ל- 50</w:t>
      </w:r>
      <w:r>
        <w:rPr>
          <w:rFonts w:ascii="David" w:hAnsi="David"/>
          <w:rtl/>
        </w:rPr>
        <w:t xml:space="preserve"> חודשי מאסר בפועל, והשית על הנאשם - שעברו נקי, אשר לא הביע חרטה על מעשיו, לא שיתף פעולה עם חוקריו וסירב למסור פרטים על המעורבים בביצוע העבירות - </w:t>
      </w:r>
      <w:r>
        <w:rPr>
          <w:rFonts w:ascii="David" w:hAnsi="David"/>
          <w:b/>
          <w:bCs/>
          <w:rtl/>
        </w:rPr>
        <w:t>30 חודשי מאסר בפועל,</w:t>
      </w:r>
      <w:r>
        <w:rPr>
          <w:rFonts w:ascii="David" w:hAnsi="David"/>
          <w:rtl/>
        </w:rPr>
        <w:t xml:space="preserve"> לצד מאסרים מותנים. הנאשם חזר בו מערעורו על הכרעת הדין בהמלצתו של בית המשפט העליון, אשר הפחית את עונשו והעמידו </w:t>
      </w:r>
      <w:r>
        <w:rPr>
          <w:rFonts w:ascii="David" w:hAnsi="David"/>
          <w:b/>
          <w:bCs/>
          <w:rtl/>
        </w:rPr>
        <w:t>על 22 חודשי מאסר</w:t>
      </w:r>
      <w:r>
        <w:rPr>
          <w:rFonts w:ascii="David" w:hAnsi="David"/>
          <w:rtl/>
        </w:rPr>
        <w:t>, בהתחשב בגילו הצעיר ובעברו הנקי של הנאשם.</w:t>
      </w:r>
    </w:p>
    <w:p w14:paraId="00F222DD" w14:textId="77777777" w:rsidR="008A5C37" w:rsidRDefault="008A5C37" w:rsidP="008A5C37">
      <w:pPr>
        <w:spacing w:line="360" w:lineRule="auto"/>
        <w:ind w:left="720"/>
        <w:jc w:val="both"/>
        <w:rPr>
          <w:rFonts w:ascii="David" w:hAnsi="David"/>
          <w:b/>
          <w:bCs/>
          <w:sz w:val="18"/>
          <w:szCs w:val="18"/>
          <w:rtl/>
        </w:rPr>
      </w:pPr>
    </w:p>
    <w:p w14:paraId="64301907" w14:textId="77777777" w:rsidR="008A5C37" w:rsidRPr="008A5C37" w:rsidRDefault="008A5C37" w:rsidP="00121052">
      <w:pPr>
        <w:pStyle w:val="ab"/>
        <w:tabs>
          <w:tab w:val="left" w:pos="2206"/>
        </w:tabs>
        <w:bidi/>
        <w:spacing w:after="0" w:line="360" w:lineRule="auto"/>
        <w:jc w:val="both"/>
        <w:rPr>
          <w:rFonts w:ascii="Arial" w:hAnsi="Arial"/>
          <w:rtl/>
        </w:rPr>
      </w:pPr>
      <w:r>
        <w:rPr>
          <w:rFonts w:ascii="David" w:hAnsi="David" w:cs="David"/>
          <w:b/>
          <w:bCs/>
          <w:sz w:val="24"/>
          <w:szCs w:val="24"/>
          <w:rtl/>
        </w:rPr>
        <w:t xml:space="preserve">ב. </w:t>
      </w:r>
      <w:r>
        <w:rPr>
          <w:rFonts w:ascii="David" w:hAnsi="David" w:cs="David"/>
          <w:sz w:val="24"/>
          <w:szCs w:val="24"/>
          <w:rtl/>
        </w:rPr>
        <w:t>ב</w:t>
      </w:r>
      <w:hyperlink r:id="rId99" w:history="1">
        <w:r w:rsidR="00C16C4C" w:rsidRPr="00C16C4C">
          <w:rPr>
            <w:rFonts w:ascii="David" w:hAnsi="David" w:cs="David"/>
            <w:color w:val="0000FF"/>
            <w:sz w:val="24"/>
            <w:szCs w:val="24"/>
            <w:u w:val="single"/>
            <w:rtl/>
          </w:rPr>
          <w:t>ע"פ 6068/21</w:t>
        </w:r>
      </w:hyperlink>
      <w:r>
        <w:rPr>
          <w:rFonts w:ascii="David" w:hAnsi="David" w:cs="David"/>
          <w:sz w:val="24"/>
          <w:szCs w:val="24"/>
          <w:rtl/>
        </w:rPr>
        <w:t xml:space="preserve"> </w:t>
      </w:r>
      <w:r>
        <w:rPr>
          <w:rFonts w:ascii="David" w:hAnsi="David" w:cs="David"/>
          <w:b/>
          <w:bCs/>
          <w:sz w:val="24"/>
          <w:szCs w:val="24"/>
          <w:rtl/>
        </w:rPr>
        <w:t>מדינת ישראל נ' פקיה</w:t>
      </w:r>
      <w:r>
        <w:rPr>
          <w:rFonts w:ascii="David" w:hAnsi="David" w:cs="David"/>
          <w:sz w:val="24"/>
          <w:szCs w:val="24"/>
          <w:rtl/>
        </w:rPr>
        <w:t xml:space="preserve"> (19/12/21), מפי כב' הש' אלרון (להלן: </w:t>
      </w:r>
      <w:r>
        <w:rPr>
          <w:rFonts w:ascii="David" w:hAnsi="David" w:cs="David"/>
          <w:b/>
          <w:bCs/>
          <w:sz w:val="24"/>
          <w:szCs w:val="24"/>
          <w:rtl/>
        </w:rPr>
        <w:t>עניין פקיה</w:t>
      </w:r>
      <w:r>
        <w:rPr>
          <w:rFonts w:ascii="David" w:hAnsi="David" w:cs="David"/>
          <w:sz w:val="24"/>
          <w:szCs w:val="24"/>
          <w:rtl/>
        </w:rPr>
        <w:t>), התקבל ערעור המדינה על קולת העונש שנגזר על נאשם, אשר הורשע על יסוד הודייתו בעבירות של נשיאת נשק (</w:t>
      </w:r>
      <w:hyperlink r:id="rId100" w:history="1">
        <w:r w:rsidR="00121052" w:rsidRPr="00121052">
          <w:rPr>
            <w:rStyle w:val="Hyperlink"/>
            <w:rFonts w:ascii="David" w:hAnsi="David" w:cs="David"/>
            <w:sz w:val="24"/>
            <w:szCs w:val="24"/>
            <w:rtl/>
          </w:rPr>
          <w:t>סעיף 144(ב))</w:t>
        </w:r>
      </w:hyperlink>
      <w:r>
        <w:rPr>
          <w:rFonts w:ascii="David" w:hAnsi="David" w:cs="David"/>
          <w:sz w:val="24"/>
          <w:szCs w:val="24"/>
          <w:rtl/>
        </w:rPr>
        <w:t xml:space="preserve"> וירי מנשק חם (</w:t>
      </w:r>
      <w:hyperlink r:id="rId101" w:history="1">
        <w:r w:rsidR="00121052" w:rsidRPr="00121052">
          <w:rPr>
            <w:rStyle w:val="Hyperlink"/>
            <w:rFonts w:ascii="David" w:hAnsi="David" w:cs="David"/>
            <w:sz w:val="24"/>
            <w:szCs w:val="24"/>
            <w:rtl/>
          </w:rPr>
          <w:t>סעיף 340א(א)).</w:t>
        </w:r>
      </w:hyperlink>
      <w:r>
        <w:rPr>
          <w:rFonts w:ascii="David" w:hAnsi="David" w:cs="David"/>
          <w:sz w:val="24"/>
          <w:szCs w:val="24"/>
          <w:rtl/>
        </w:rPr>
        <w:t xml:space="preserve"> הנאשם שהה בשעת ערב סמוך לאולם אירועים שבו התקיימה חתונה, כשהוא מחזיק נשק ארוך בקטנוע שאתו הגיע. משהבחין בשני אנשים שהחזיקו בנשקים, הוציא הנאשם את הנשק מהקטנוע, שוחח עמם, טען את הנשק במחסנית שהייתה ברשותו, וירה מספר כדורים באוויר. בית המשפט המחוזי קבע מתחם ענישה הנע </w:t>
      </w:r>
      <w:r>
        <w:rPr>
          <w:rFonts w:ascii="David" w:hAnsi="David" w:cs="David"/>
          <w:b/>
          <w:bCs/>
          <w:sz w:val="24"/>
          <w:szCs w:val="24"/>
          <w:rtl/>
        </w:rPr>
        <w:t>בין 14 ל- 36 חודשי מאסר</w:t>
      </w:r>
      <w:r>
        <w:rPr>
          <w:rFonts w:ascii="David" w:hAnsi="David" w:cs="David"/>
          <w:sz w:val="24"/>
          <w:szCs w:val="24"/>
          <w:rtl/>
        </w:rPr>
        <w:t xml:space="preserve">, והשית על הנאשם – בן 36, נשוי ואב לשלושה ילדים, בעל עבר פלילי מכביד שכלל עונשי מאסר ממושכים, אם כי מאז מאסרו האחרון משנת 16' ערך ניסיון לקיים אורח חיים נורמטיבי ואשר שירות המבחן בא בהמלצה שיקומית בעניינו – </w:t>
      </w:r>
      <w:r>
        <w:rPr>
          <w:rFonts w:ascii="David" w:hAnsi="David" w:cs="David"/>
          <w:b/>
          <w:bCs/>
          <w:sz w:val="24"/>
          <w:szCs w:val="24"/>
          <w:rtl/>
        </w:rPr>
        <w:t>14 חודשי מאסר בפועל</w:t>
      </w:r>
      <w:r>
        <w:rPr>
          <w:rFonts w:ascii="David" w:hAnsi="David" w:cs="David"/>
          <w:sz w:val="24"/>
          <w:szCs w:val="24"/>
          <w:rtl/>
        </w:rPr>
        <w:t>, לצד עונשים נלווים</w:t>
      </w:r>
      <w:r>
        <w:rPr>
          <w:rFonts w:ascii="David" w:hAnsi="David" w:cs="David"/>
          <w:b/>
          <w:bCs/>
          <w:sz w:val="24"/>
          <w:szCs w:val="24"/>
          <w:rtl/>
        </w:rPr>
        <w:t xml:space="preserve">. </w:t>
      </w:r>
      <w:r>
        <w:rPr>
          <w:rFonts w:ascii="David" w:hAnsi="David" w:cs="David"/>
          <w:sz w:val="24"/>
          <w:szCs w:val="24"/>
          <w:rtl/>
        </w:rPr>
        <w:t xml:space="preserve">בית המשפט העליון קבע כי מבלי להידרש למתחם הענישה שנקבע, לא היה מקום לגזור את עונשו של הנאשם בתחתית המתחם, ובהתחשב בעברו הפלילי המכביד של הנאשם, והמשקל העודף שיש ליתן לאינטרס הציבורי ולשיקולי הרתעה על פני האינטרס האישי של הנאשם - החמיר בעונשו והעמידו על </w:t>
      </w:r>
      <w:r>
        <w:rPr>
          <w:rFonts w:ascii="David" w:hAnsi="David" w:cs="David"/>
          <w:b/>
          <w:bCs/>
          <w:sz w:val="24"/>
          <w:szCs w:val="24"/>
          <w:rtl/>
        </w:rPr>
        <w:t xml:space="preserve">25 חודשי מאסר בפועל, </w:t>
      </w:r>
      <w:r>
        <w:rPr>
          <w:rFonts w:ascii="David" w:hAnsi="David" w:cs="David"/>
          <w:sz w:val="24"/>
          <w:szCs w:val="24"/>
          <w:rtl/>
        </w:rPr>
        <w:t>בהדגישו כי ערכאת הערער אינה נוטה למצות את הדין</w:t>
      </w:r>
      <w:r w:rsidRPr="008A5C37">
        <w:rPr>
          <w:rFonts w:ascii="Arial" w:hAnsi="Arial" w:hint="cs"/>
          <w:rtl/>
        </w:rPr>
        <w:t>.</w:t>
      </w:r>
    </w:p>
    <w:p w14:paraId="243D09D9" w14:textId="77777777" w:rsidR="008A5C37" w:rsidRPr="008A5C37" w:rsidRDefault="008A5C37" w:rsidP="008A5C37">
      <w:pPr>
        <w:pStyle w:val="Ruller40"/>
        <w:rPr>
          <w:rFonts w:ascii="Arial" w:hAnsi="Arial" w:cs="Arial"/>
          <w:sz w:val="16"/>
          <w:szCs w:val="16"/>
          <w:rtl/>
        </w:rPr>
      </w:pPr>
    </w:p>
    <w:p w14:paraId="54AF82C7" w14:textId="77777777" w:rsidR="008A5C37" w:rsidRPr="008A5C37" w:rsidRDefault="008A5C37" w:rsidP="008A5C37">
      <w:pPr>
        <w:spacing w:line="360" w:lineRule="auto"/>
        <w:ind w:left="720"/>
        <w:jc w:val="both"/>
        <w:rPr>
          <w:rFonts w:ascii="David" w:hAnsi="David" w:cs="Arial"/>
          <w:sz w:val="22"/>
          <w:szCs w:val="22"/>
          <w:rtl/>
        </w:rPr>
      </w:pPr>
      <w:r>
        <w:rPr>
          <w:rFonts w:ascii="David" w:hAnsi="David"/>
          <w:b/>
          <w:bCs/>
          <w:rtl/>
        </w:rPr>
        <w:t xml:space="preserve">ג. </w:t>
      </w:r>
      <w:r>
        <w:rPr>
          <w:rFonts w:ascii="David" w:hAnsi="David"/>
          <w:rtl/>
        </w:rPr>
        <w:t>ב</w:t>
      </w:r>
      <w:hyperlink r:id="rId102" w:history="1">
        <w:r w:rsidR="00C16C4C" w:rsidRPr="00C16C4C">
          <w:rPr>
            <w:rFonts w:ascii="David" w:hAnsi="David"/>
            <w:color w:val="0000FF"/>
            <w:u w:val="single"/>
            <w:rtl/>
          </w:rPr>
          <w:t>ת"פ (חי) 12791-05-20</w:t>
        </w:r>
      </w:hyperlink>
      <w:r>
        <w:rPr>
          <w:rFonts w:ascii="David" w:hAnsi="David"/>
          <w:rtl/>
        </w:rPr>
        <w:t xml:space="preserve"> </w:t>
      </w:r>
      <w:r>
        <w:rPr>
          <w:rFonts w:ascii="David" w:hAnsi="David"/>
          <w:b/>
          <w:bCs/>
          <w:rtl/>
        </w:rPr>
        <w:t xml:space="preserve">מדינת ישראל נ' אל גווארה </w:t>
      </w:r>
      <w:r>
        <w:rPr>
          <w:rFonts w:ascii="David" w:hAnsi="David"/>
          <w:rtl/>
        </w:rPr>
        <w:t>(10/5/21), מפי כב' הש' ג'יוסי, הורשע נאשם על יסוד הודייתו בעבירות של נשיאת והובלת נשק (</w:t>
      </w:r>
      <w:hyperlink r:id="rId103" w:history="1">
        <w:r w:rsidR="00121052" w:rsidRPr="00121052">
          <w:rPr>
            <w:rStyle w:val="Hyperlink"/>
            <w:rFonts w:ascii="David" w:hAnsi="David"/>
            <w:rtl/>
          </w:rPr>
          <w:t>סעיף 144(ב)</w:t>
        </w:r>
      </w:hyperlink>
      <w:r>
        <w:rPr>
          <w:rFonts w:ascii="David" w:hAnsi="David"/>
          <w:rtl/>
        </w:rPr>
        <w:t xml:space="preserve"> רישא וסיפא+ סעיף </w:t>
      </w:r>
      <w:hyperlink r:id="rId104" w:history="1">
        <w:r w:rsidR="00121052" w:rsidRPr="00121052">
          <w:rPr>
            <w:rStyle w:val="Hyperlink"/>
            <w:rFonts w:ascii="David" w:hAnsi="David"/>
            <w:rtl/>
          </w:rPr>
          <w:t>29</w:t>
        </w:r>
      </w:hyperlink>
      <w:r>
        <w:rPr>
          <w:rFonts w:ascii="David" w:hAnsi="David"/>
          <w:rtl/>
        </w:rPr>
        <w:t>) וירי מנשק חם (</w:t>
      </w:r>
      <w:hyperlink r:id="rId105" w:history="1">
        <w:r w:rsidR="00121052" w:rsidRPr="00121052">
          <w:rPr>
            <w:rStyle w:val="Hyperlink"/>
            <w:rFonts w:ascii="David" w:hAnsi="David"/>
            <w:rtl/>
          </w:rPr>
          <w:t>סעיף  340א(א)+</w:t>
        </w:r>
      </w:hyperlink>
      <w:r>
        <w:rPr>
          <w:rFonts w:ascii="David" w:hAnsi="David"/>
          <w:rtl/>
        </w:rPr>
        <w:t xml:space="preserve"> סעיף </w:t>
      </w:r>
      <w:hyperlink r:id="rId106" w:history="1">
        <w:r w:rsidR="00121052" w:rsidRPr="00121052">
          <w:rPr>
            <w:rStyle w:val="Hyperlink"/>
            <w:rFonts w:ascii="David" w:hAnsi="David"/>
            <w:rtl/>
          </w:rPr>
          <w:t>29</w:t>
        </w:r>
      </w:hyperlink>
      <w:r>
        <w:rPr>
          <w:rFonts w:ascii="David" w:hAnsi="David"/>
          <w:rtl/>
        </w:rPr>
        <w:t>). הנאשם, כבן 20,  הגיע ביחד עם אחר למטע זיתים ליד פורדיס, בשעת לילה (22:10), כאשר באותה שעה נכחו במטע אנשים נוספים. במעבה מטע הזיתים, כאשר בחזקת הנאשם חפץ דמוי תת מקלע מאולתר (להלן: הנשק), בוצע ירי בנשק, שבמהלכו נורו לפחות 14 יריות. לאחר הירי יצא הנאשם ממטע הזיתים כאשר הוא נושא בידו את הנשק ומחסנית התואמת לנשק, בתוך שקית בד שחור, ובתוך כיס מעילו 3 כדורי 9 מ"מ וכסף מזומן בסך 7,510 ₪. בשלב זה עצרו בלשי משטרה את הנאשם והאחר נמלט. בית המשפט המחוזי קבע מתחם ענישה הנע בין</w:t>
      </w:r>
      <w:r>
        <w:rPr>
          <w:rFonts w:ascii="David" w:hAnsi="David"/>
          <w:b/>
          <w:bCs/>
          <w:rtl/>
        </w:rPr>
        <w:t xml:space="preserve"> 22 ל- 48</w:t>
      </w:r>
      <w:r>
        <w:rPr>
          <w:rFonts w:ascii="David" w:hAnsi="David"/>
          <w:rtl/>
        </w:rPr>
        <w:t xml:space="preserve"> חודשי מאסר, לצד עונשים נלווים, והשית על הנאשם- בהתחשב בגילו הצעיר, עברו הנקי, הרקע האישי שלו ובהמלצה חיובית של שירות המבחן בעניינו- 24 חודשי מאסר בפועל, לצד עונשים נלווים. </w:t>
      </w:r>
    </w:p>
    <w:p w14:paraId="6C38E7EE" w14:textId="77777777" w:rsidR="008A5C37" w:rsidRPr="008A5C37" w:rsidRDefault="008A5C37" w:rsidP="008A5C37">
      <w:pPr>
        <w:spacing w:line="360" w:lineRule="auto"/>
        <w:ind w:left="720"/>
        <w:jc w:val="both"/>
        <w:rPr>
          <w:rFonts w:ascii="David" w:hAnsi="David" w:cs="Arial"/>
          <w:sz w:val="16"/>
          <w:szCs w:val="16"/>
          <w:rtl/>
        </w:rPr>
      </w:pPr>
    </w:p>
    <w:p w14:paraId="5E2674EB" w14:textId="77777777" w:rsidR="008A5C37" w:rsidRDefault="008A5C37" w:rsidP="008A5C37">
      <w:pPr>
        <w:spacing w:line="360" w:lineRule="auto"/>
        <w:ind w:left="720"/>
        <w:jc w:val="both"/>
        <w:rPr>
          <w:rFonts w:ascii="David" w:hAnsi="David"/>
          <w:rtl/>
        </w:rPr>
      </w:pPr>
      <w:r>
        <w:rPr>
          <w:rFonts w:ascii="David" w:hAnsi="David"/>
          <w:b/>
          <w:bCs/>
          <w:rtl/>
        </w:rPr>
        <w:t xml:space="preserve">ד. </w:t>
      </w:r>
      <w:r>
        <w:rPr>
          <w:rFonts w:ascii="David" w:hAnsi="David"/>
          <w:rtl/>
        </w:rPr>
        <w:t>ב</w:t>
      </w:r>
      <w:hyperlink r:id="rId107" w:history="1">
        <w:r w:rsidR="00C16C4C" w:rsidRPr="00C16C4C">
          <w:rPr>
            <w:rFonts w:ascii="David" w:hAnsi="David"/>
            <w:color w:val="0000FF"/>
            <w:u w:val="single"/>
            <w:rtl/>
          </w:rPr>
          <w:t>ת"פ (חי') 32339-12-19</w:t>
        </w:r>
      </w:hyperlink>
      <w:r>
        <w:rPr>
          <w:rFonts w:ascii="David" w:hAnsi="David"/>
          <w:rtl/>
        </w:rPr>
        <w:t xml:space="preserve"> </w:t>
      </w:r>
      <w:r>
        <w:rPr>
          <w:rFonts w:ascii="David" w:hAnsi="David"/>
          <w:b/>
          <w:bCs/>
          <w:rtl/>
        </w:rPr>
        <w:t>מדינת ישראל נ' פנאכדה</w:t>
      </w:r>
      <w:r>
        <w:rPr>
          <w:rFonts w:ascii="David" w:hAnsi="David"/>
          <w:rtl/>
        </w:rPr>
        <w:t xml:space="preserve"> (17/6/21), מפי כב' הש' בולוס, נדון עניינם של שלושה נאשמים אשר הורשעו על יסוד הודייתם בעבירות בנשק (נשיאה והובלה), לפי </w:t>
      </w:r>
      <w:hyperlink r:id="rId108" w:history="1">
        <w:r w:rsidR="00121052" w:rsidRPr="00121052">
          <w:rPr>
            <w:rStyle w:val="Hyperlink"/>
            <w:rFonts w:ascii="David" w:hAnsi="David"/>
            <w:rtl/>
          </w:rPr>
          <w:t>סעיף 144(ב)</w:t>
        </w:r>
      </w:hyperlink>
      <w:r>
        <w:rPr>
          <w:rFonts w:ascii="David" w:hAnsi="David"/>
          <w:rtl/>
        </w:rPr>
        <w:t xml:space="preserve"> אישר וסיפא+ </w:t>
      </w:r>
      <w:hyperlink r:id="rId109" w:history="1">
        <w:r w:rsidR="00121052" w:rsidRPr="00121052">
          <w:rPr>
            <w:rStyle w:val="Hyperlink"/>
            <w:rFonts w:ascii="David" w:hAnsi="David"/>
            <w:rtl/>
          </w:rPr>
          <w:t>סעיף 29</w:t>
        </w:r>
      </w:hyperlink>
      <w:r>
        <w:rPr>
          <w:rFonts w:ascii="David" w:hAnsi="David"/>
          <w:rtl/>
        </w:rPr>
        <w:t xml:space="preserve"> ל</w:t>
      </w:r>
      <w:hyperlink r:id="rId110" w:history="1">
        <w:r w:rsidR="00C16C4C" w:rsidRPr="00C16C4C">
          <w:rPr>
            <w:rFonts w:ascii="David" w:hAnsi="David"/>
            <w:color w:val="0000FF"/>
            <w:u w:val="single"/>
            <w:rtl/>
          </w:rPr>
          <w:t>חוק העונשין</w:t>
        </w:r>
      </w:hyperlink>
      <w:r>
        <w:rPr>
          <w:rFonts w:ascii="David" w:hAnsi="David"/>
          <w:rtl/>
        </w:rPr>
        <w:t xml:space="preserve">, וכן בירי מנשק חם לפי </w:t>
      </w:r>
      <w:hyperlink r:id="rId111" w:history="1">
        <w:r w:rsidR="00121052" w:rsidRPr="00121052">
          <w:rPr>
            <w:rStyle w:val="Hyperlink"/>
            <w:rFonts w:ascii="David" w:hAnsi="David"/>
            <w:rtl/>
          </w:rPr>
          <w:t>סעיף 340א(א)</w:t>
        </w:r>
      </w:hyperlink>
      <w:r>
        <w:rPr>
          <w:rFonts w:ascii="David" w:hAnsi="David"/>
          <w:rtl/>
        </w:rPr>
        <w:t xml:space="preserve"> + </w:t>
      </w:r>
      <w:hyperlink r:id="rId112" w:history="1">
        <w:r w:rsidR="00121052" w:rsidRPr="00121052">
          <w:rPr>
            <w:rStyle w:val="Hyperlink"/>
            <w:rFonts w:ascii="David" w:hAnsi="David"/>
            <w:rtl/>
          </w:rPr>
          <w:t>סעיף 29</w:t>
        </w:r>
      </w:hyperlink>
      <w:r>
        <w:rPr>
          <w:rFonts w:ascii="David" w:hAnsi="David"/>
          <w:rtl/>
        </w:rPr>
        <w:t xml:space="preserve"> לחוק העונשין. הנאשמים נסעו ברכבו של נאשם 2, כשהם נושאים ומובילים תת מקלע מסוג "קרלו" וכן מחסנית וכדורים תואמים, ובהגיעם לכביש עפר, במרחק של כ- 20 מטר ממנו, יצאו מהרכב והחלו לבצע ירי מהנשק; כל אחד מהנאשמים ביצע ירי של מספר כדורים, לכיוון כביש 6. שוטר בלבוש אזרחי פנה אליהם בבקשת עזרה בניסיון לעכבם, אך הנאשמים התעלמו מפנייתו והמשיכו בנסיעה. הנאשמים הוציאו את הנשק מבעד לחלון הרכב במרחק קצר מהשוטר, וביצעו ירי תוך כדי נסיעה בכביש העפר. בית המשפט המחוזי קבע כי מתחם העונש ההולם נע </w:t>
      </w:r>
      <w:r>
        <w:rPr>
          <w:rFonts w:ascii="David" w:hAnsi="David"/>
          <w:b/>
          <w:bCs/>
          <w:rtl/>
        </w:rPr>
        <w:t xml:space="preserve">בין 20 ל- 50 חודשי מאסר, </w:t>
      </w:r>
      <w:r>
        <w:rPr>
          <w:rFonts w:ascii="David" w:hAnsi="David"/>
          <w:rtl/>
        </w:rPr>
        <w:t xml:space="preserve">והשית על כל אחד מהנאשמים - בני 21 ו-22 ו-20, נעדרי עבר פלילי- </w:t>
      </w:r>
      <w:r>
        <w:rPr>
          <w:rFonts w:ascii="David" w:hAnsi="David"/>
          <w:b/>
          <w:bCs/>
          <w:rtl/>
        </w:rPr>
        <w:t>17 חודשי מאסר בפועל</w:t>
      </w:r>
      <w:r>
        <w:rPr>
          <w:rFonts w:ascii="David" w:hAnsi="David"/>
          <w:rtl/>
        </w:rPr>
        <w:t xml:space="preserve"> ועונשים נלווים, משמצא הצדקה לסטות בעניינם ממתחם העונש ההולם משיקולי שיקום, נוכח הליך השיקום שעברו והתרשמותו של שירות המבחן בעניינם. </w:t>
      </w:r>
    </w:p>
    <w:p w14:paraId="04604519" w14:textId="77777777" w:rsidR="008A5C37" w:rsidRDefault="008A5C37" w:rsidP="008A5C37">
      <w:pPr>
        <w:spacing w:line="360" w:lineRule="auto"/>
        <w:ind w:left="720"/>
        <w:jc w:val="both"/>
        <w:rPr>
          <w:rFonts w:ascii="David" w:hAnsi="David"/>
          <w:sz w:val="14"/>
          <w:szCs w:val="14"/>
          <w:rtl/>
        </w:rPr>
      </w:pPr>
    </w:p>
    <w:p w14:paraId="7C478EDE" w14:textId="77777777" w:rsidR="008A5C37" w:rsidRDefault="008A5C37" w:rsidP="008A5C37">
      <w:pPr>
        <w:spacing w:line="360" w:lineRule="auto"/>
        <w:ind w:left="720" w:hanging="720"/>
        <w:jc w:val="both"/>
        <w:rPr>
          <w:rFonts w:ascii="David" w:hAnsi="David"/>
        </w:rPr>
      </w:pPr>
      <w:r>
        <w:rPr>
          <w:rFonts w:ascii="David" w:hAnsi="David"/>
          <w:b/>
          <w:bCs/>
          <w:rtl/>
        </w:rPr>
        <w:t>18</w:t>
      </w:r>
      <w:r>
        <w:rPr>
          <w:rFonts w:ascii="David" w:hAnsi="David"/>
          <w:rtl/>
        </w:rPr>
        <w:t>.</w:t>
      </w:r>
      <w:r>
        <w:rPr>
          <w:rFonts w:ascii="David" w:hAnsi="David"/>
          <w:rtl/>
        </w:rPr>
        <w:tab/>
        <w:t>הנה כי כן,</w:t>
      </w:r>
      <w:r>
        <w:rPr>
          <w:rFonts w:ascii="David" w:hAnsi="David"/>
          <w:b/>
          <w:bCs/>
          <w:rtl/>
        </w:rPr>
        <w:t xml:space="preserve"> </w:t>
      </w:r>
      <w:r>
        <w:rPr>
          <w:rFonts w:ascii="David" w:hAnsi="David"/>
          <w:rtl/>
        </w:rPr>
        <w:t xml:space="preserve">קשת הענישה בעבירות בנשק היא מגוונת ותלויה במשתנים רבים ובנסיבותיו הייחודיות של כל מקרה ומקרה, ובין השאר בהתחשב בסוג העבירה (החזקה, נשיאה, הובלה, סחר, וכן ירי בנשק חם), סוג הנשק וכמותו, הנסיבות בהן בוצע הירי, ועוד. </w:t>
      </w:r>
    </w:p>
    <w:p w14:paraId="6040E317" w14:textId="77777777" w:rsidR="008A5C37" w:rsidRDefault="008A5C37" w:rsidP="008A5C37">
      <w:pPr>
        <w:spacing w:line="360" w:lineRule="auto"/>
        <w:ind w:left="720" w:hanging="720"/>
        <w:jc w:val="both"/>
        <w:rPr>
          <w:rFonts w:ascii="David" w:hAnsi="David"/>
          <w:sz w:val="12"/>
          <w:szCs w:val="12"/>
          <w:rtl/>
        </w:rPr>
      </w:pPr>
    </w:p>
    <w:p w14:paraId="3454E0B8" w14:textId="77777777" w:rsidR="008A5C37" w:rsidRDefault="008A5C37" w:rsidP="008A5C37">
      <w:pPr>
        <w:spacing w:line="360" w:lineRule="auto"/>
        <w:ind w:left="720"/>
        <w:jc w:val="both"/>
        <w:rPr>
          <w:rFonts w:ascii="David" w:hAnsi="David"/>
          <w:color w:val="000000"/>
          <w:shd w:val="clear" w:color="auto" w:fill="FFFFFF"/>
          <w:rtl/>
        </w:rPr>
      </w:pPr>
      <w:r>
        <w:rPr>
          <w:rFonts w:ascii="David" w:hAnsi="David"/>
          <w:rtl/>
        </w:rPr>
        <w:t>לעניין האופן לקביעתו של מתחם הענישה וההבחנה בין מתחם הענישה לבין הענישה הנוהגת, המהווה רק אחד הפרמטרים לקביעתו, ראו דבריה של כב' הש' ארבל ב</w:t>
      </w:r>
      <w:hyperlink r:id="rId113" w:history="1">
        <w:r w:rsidR="00C16C4C" w:rsidRPr="00C16C4C">
          <w:rPr>
            <w:rFonts w:ascii="David" w:hAnsi="David"/>
            <w:color w:val="0000FF"/>
            <w:u w:val="single"/>
            <w:rtl/>
          </w:rPr>
          <w:t>ע"פ 1323/13</w:t>
        </w:r>
      </w:hyperlink>
      <w:r>
        <w:rPr>
          <w:rFonts w:ascii="David" w:hAnsi="David"/>
          <w:rtl/>
        </w:rPr>
        <w:t xml:space="preserve"> </w:t>
      </w:r>
      <w:r>
        <w:rPr>
          <w:rFonts w:ascii="David" w:hAnsi="David"/>
          <w:b/>
          <w:bCs/>
          <w:rtl/>
        </w:rPr>
        <w:t>חסן</w:t>
      </w:r>
      <w:r>
        <w:rPr>
          <w:rFonts w:ascii="David" w:hAnsi="David"/>
          <w:b/>
          <w:bCs/>
          <w:color w:val="000000"/>
          <w:shd w:val="clear" w:color="auto" w:fill="FFFFFF"/>
          <w:rtl/>
        </w:rPr>
        <w:t xml:space="preserve"> נ' מדינת ישראל </w:t>
      </w:r>
      <w:r>
        <w:rPr>
          <w:rFonts w:ascii="David" w:hAnsi="David"/>
          <w:color w:val="000000"/>
          <w:shd w:val="clear" w:color="auto" w:fill="FFFFFF"/>
          <w:rtl/>
        </w:rPr>
        <w:t xml:space="preserve">(5/6/13)). עוד על החומרה היתירה שנודעה לביצוע עבירות נשק ראו דבריו של כב' הש' אלרון בעניין </w:t>
      </w:r>
      <w:r>
        <w:rPr>
          <w:rFonts w:ascii="David" w:hAnsi="David"/>
          <w:b/>
          <w:bCs/>
          <w:color w:val="000000"/>
          <w:shd w:val="clear" w:color="auto" w:fill="FFFFFF"/>
          <w:rtl/>
        </w:rPr>
        <w:t xml:space="preserve">פקיה </w:t>
      </w:r>
      <w:r>
        <w:rPr>
          <w:rFonts w:ascii="David" w:hAnsi="David"/>
          <w:color w:val="000000"/>
          <w:shd w:val="clear" w:color="auto" w:fill="FFFFFF"/>
          <w:rtl/>
        </w:rPr>
        <w:t>הנ"ל</w:t>
      </w:r>
      <w:r>
        <w:rPr>
          <w:rFonts w:ascii="David" w:hAnsi="David"/>
          <w:b/>
          <w:bCs/>
          <w:color w:val="000000"/>
          <w:shd w:val="clear" w:color="auto" w:fill="FFFFFF"/>
          <w:rtl/>
        </w:rPr>
        <w:t xml:space="preserve">, </w:t>
      </w:r>
      <w:r>
        <w:rPr>
          <w:rFonts w:ascii="David" w:hAnsi="David"/>
          <w:color w:val="000000"/>
          <w:shd w:val="clear" w:color="auto" w:fill="FFFFFF"/>
          <w:rtl/>
        </w:rPr>
        <w:t xml:space="preserve"> כדלהלן: </w:t>
      </w:r>
    </w:p>
    <w:p w14:paraId="373DB3E2" w14:textId="77777777" w:rsidR="008A5C37" w:rsidRDefault="008A5C37" w:rsidP="008A5C37">
      <w:pPr>
        <w:spacing w:line="360" w:lineRule="auto"/>
        <w:ind w:left="720"/>
        <w:jc w:val="both"/>
        <w:rPr>
          <w:rFonts w:ascii="David" w:hAnsi="David"/>
          <w:color w:val="000000"/>
          <w:sz w:val="16"/>
          <w:szCs w:val="16"/>
          <w:shd w:val="clear" w:color="auto" w:fill="FFFFFF"/>
          <w:rtl/>
        </w:rPr>
      </w:pPr>
    </w:p>
    <w:p w14:paraId="552AB20D" w14:textId="77777777" w:rsidR="008A5C37" w:rsidRPr="008A5C37" w:rsidRDefault="008A5C37" w:rsidP="008A5C37">
      <w:pPr>
        <w:spacing w:line="360" w:lineRule="auto"/>
        <w:ind w:left="1440"/>
        <w:jc w:val="both"/>
        <w:rPr>
          <w:rFonts w:ascii="Calibri" w:hAnsi="Calibri" w:cs="Arial"/>
          <w:sz w:val="22"/>
          <w:szCs w:val="22"/>
          <w:rtl/>
        </w:rPr>
      </w:pPr>
      <w:r>
        <w:rPr>
          <w:rtl/>
        </w:rPr>
        <w:t>"12. יש להדגיש את החומרה היתירה שנודעה לביצוע עבירות נשק, על כל סוגיהן ומיניהן. במסגרת פסק הדין ב</w:t>
      </w:r>
      <w:hyperlink r:id="rId114" w:history="1">
        <w:r w:rsidR="00C16C4C" w:rsidRPr="00C16C4C">
          <w:rPr>
            <w:color w:val="0000FF"/>
            <w:u w:val="single"/>
            <w:rtl/>
          </w:rPr>
          <w:t>ע"פ 4595/13</w:t>
        </w:r>
      </w:hyperlink>
      <w:r>
        <w:rPr>
          <w:rtl/>
        </w:rPr>
        <w:t xml:space="preserve"> </w:t>
      </w:r>
      <w:r>
        <w:rPr>
          <w:rFonts w:ascii="Century" w:hAnsi="Century" w:cs="Miriam"/>
          <w:b/>
          <w:rtl/>
        </w:rPr>
        <w:t>זובידאת נ' מדינת ישראל</w:t>
      </w:r>
      <w:r>
        <w:rPr>
          <w:rtl/>
        </w:rPr>
        <w:t xml:space="preserve"> (6.7.2014)  בית המשפט קרא למחוקק לשקול את החמרת הענישה בעבירות נשק. בהמשך לכך, בשנת 2018 תיקן המחוקק את </w:t>
      </w:r>
      <w:hyperlink r:id="rId115" w:history="1">
        <w:r w:rsidR="00121052" w:rsidRPr="00121052">
          <w:rPr>
            <w:rStyle w:val="Hyperlink"/>
            <w:rtl/>
          </w:rPr>
          <w:t>סעיף 340א</w:t>
        </w:r>
      </w:hyperlink>
      <w:r>
        <w:rPr>
          <w:rtl/>
        </w:rPr>
        <w:t xml:space="preserve"> ל</w:t>
      </w:r>
      <w:hyperlink r:id="rId116" w:history="1">
        <w:r w:rsidR="00C16C4C" w:rsidRPr="00C16C4C">
          <w:rPr>
            <w:color w:val="0000FF"/>
            <w:u w:val="single"/>
            <w:rtl/>
          </w:rPr>
          <w:t>חוק העונשין</w:t>
        </w:r>
      </w:hyperlink>
      <w:r>
        <w:rPr>
          <w:rtl/>
        </w:rPr>
        <w:t xml:space="preserve"> והחמיר את העונש הקבוע בצידה של עבירת ירי מנשק חם (ראו: הצעת חוק העונשין (תיקון מס' 132) (ירי מנשק חם), התשע"ח-2018, ה"ח 1223). זאת, כצעד נוסף למלחמה בתופעת השימוש בנשק ופוטנציאל הנזק הכרוך בכך.</w:t>
      </w:r>
    </w:p>
    <w:p w14:paraId="61FD8B77" w14:textId="77777777" w:rsidR="008A5C37" w:rsidRPr="008A5C37" w:rsidRDefault="008A5C37" w:rsidP="008A5C37">
      <w:pPr>
        <w:spacing w:line="360" w:lineRule="auto"/>
        <w:ind w:left="1440"/>
        <w:jc w:val="both"/>
        <w:rPr>
          <w:rFonts w:ascii="Calibri" w:hAnsi="Calibri" w:cs="Arial"/>
          <w:sz w:val="8"/>
          <w:szCs w:val="8"/>
          <w:rtl/>
        </w:rPr>
      </w:pPr>
    </w:p>
    <w:p w14:paraId="56DC3FE7" w14:textId="77777777" w:rsidR="008A5C37" w:rsidRDefault="008A5C37" w:rsidP="008A5C37">
      <w:pPr>
        <w:spacing w:line="360" w:lineRule="auto"/>
        <w:ind w:left="1440"/>
        <w:jc w:val="both"/>
        <w:rPr>
          <w:rFonts w:ascii="David" w:hAnsi="David"/>
          <w:rtl/>
        </w:rPr>
      </w:pPr>
      <w:r>
        <w:rPr>
          <w:rtl/>
        </w:rPr>
        <w:t xml:space="preserve">13. בהמשך לתיקון זה, בית משפט זה הדגיש בפסיקתו פעם אחר פעם, כי עבירות הנשק הפכו לחזון נפרץ, המביא לעיתים מזומנות לפגיעה בחיי חפים מפשע. בהתאם לכך, בית משפט זה שב וקבע כי החמרת הענישה בגין עבירות אלו היא אינטרס ציבורי מהמעלה הראשונה ותנאי הכרחי להרתעת הציבור מפני ביצוען (ראו מיני רבים: </w:t>
      </w:r>
      <w:hyperlink r:id="rId117" w:history="1">
        <w:r w:rsidR="00C16C4C" w:rsidRPr="00C16C4C">
          <w:rPr>
            <w:color w:val="0000FF"/>
            <w:u w:val="single"/>
            <w:rtl/>
          </w:rPr>
          <w:t>ע"פ 4406/19</w:t>
        </w:r>
      </w:hyperlink>
      <w:r>
        <w:rPr>
          <w:rtl/>
        </w:rPr>
        <w:t xml:space="preserve"> </w:t>
      </w:r>
      <w:r>
        <w:rPr>
          <w:rFonts w:ascii="Century" w:hAnsi="Century" w:cs="Miriam"/>
          <w:b/>
          <w:rtl/>
        </w:rPr>
        <w:t>מדינת ישראל נ' סובח</w:t>
      </w:r>
      <w:r>
        <w:rPr>
          <w:rtl/>
        </w:rPr>
        <w:t xml:space="preserve">, פסקאות 16–17 לחוות דעתי (5.11.2019); </w:t>
      </w:r>
      <w:hyperlink r:id="rId118" w:history="1">
        <w:r w:rsidR="00C16C4C" w:rsidRPr="00C16C4C">
          <w:rPr>
            <w:color w:val="0000FF"/>
            <w:u w:val="single"/>
            <w:rtl/>
          </w:rPr>
          <w:t>רע"פ 7344/18</w:t>
        </w:r>
      </w:hyperlink>
      <w:r>
        <w:rPr>
          <w:rtl/>
        </w:rPr>
        <w:t xml:space="preserve"> </w:t>
      </w:r>
      <w:r>
        <w:rPr>
          <w:rFonts w:ascii="Century" w:hAnsi="Century" w:cs="Miriam"/>
          <w:b/>
          <w:rtl/>
        </w:rPr>
        <w:t>מג'יד נ' מדינת ישראל</w:t>
      </w:r>
      <w:r>
        <w:rPr>
          <w:rtl/>
        </w:rPr>
        <w:t>, פסקה 10 (21.10.2018))".</w:t>
      </w:r>
    </w:p>
    <w:p w14:paraId="5A8C5B6E" w14:textId="77777777" w:rsidR="008A5C37" w:rsidRPr="00555686" w:rsidRDefault="008A5C37" w:rsidP="008A5C37">
      <w:pPr>
        <w:spacing w:line="360" w:lineRule="auto"/>
        <w:jc w:val="both"/>
        <w:rPr>
          <w:rFonts w:ascii="David" w:hAnsi="David"/>
          <w:sz w:val="18"/>
          <w:szCs w:val="18"/>
          <w:rtl/>
        </w:rPr>
      </w:pPr>
    </w:p>
    <w:p w14:paraId="559C74FC" w14:textId="77777777" w:rsidR="008A5C37" w:rsidRPr="008D5529" w:rsidRDefault="008A5C37" w:rsidP="008A5C37">
      <w:pPr>
        <w:spacing w:line="360" w:lineRule="auto"/>
        <w:jc w:val="both"/>
        <w:rPr>
          <w:rFonts w:ascii="David" w:hAnsi="David"/>
          <w:rtl/>
        </w:rPr>
      </w:pPr>
      <w:r w:rsidRPr="008D5529">
        <w:rPr>
          <w:rFonts w:ascii="David" w:hAnsi="David" w:hint="cs"/>
          <w:b/>
          <w:bCs/>
          <w:rtl/>
        </w:rPr>
        <w:t>19.</w:t>
      </w:r>
      <w:r w:rsidRPr="008D5529">
        <w:rPr>
          <w:rFonts w:ascii="David" w:hAnsi="David" w:hint="cs"/>
          <w:b/>
          <w:bCs/>
          <w:rtl/>
        </w:rPr>
        <w:tab/>
      </w:r>
      <w:r w:rsidRPr="008D5529">
        <w:rPr>
          <w:rFonts w:ascii="David" w:hAnsi="David" w:hint="cs"/>
          <w:rtl/>
        </w:rPr>
        <w:t>לא למותר לציין כי תיקון 140 ל</w:t>
      </w:r>
      <w:hyperlink r:id="rId119" w:history="1">
        <w:r w:rsidR="00C16C4C" w:rsidRPr="00C16C4C">
          <w:rPr>
            <w:rFonts w:ascii="David" w:hAnsi="David"/>
            <w:color w:val="0000FF"/>
            <w:u w:val="single"/>
            <w:rtl/>
          </w:rPr>
          <w:t>חוק העונשין</w:t>
        </w:r>
      </w:hyperlink>
      <w:r w:rsidRPr="008D5529">
        <w:rPr>
          <w:rFonts w:ascii="David" w:hAnsi="David" w:hint="cs"/>
          <w:rtl/>
        </w:rPr>
        <w:t>, אשר נכנס לתוקפו ביום 8/12/21 אינו חל על ענייננו.</w:t>
      </w:r>
    </w:p>
    <w:p w14:paraId="6E40C235" w14:textId="77777777" w:rsidR="008A5C37" w:rsidRPr="008D5529" w:rsidRDefault="008A5C37" w:rsidP="008A5C37">
      <w:pPr>
        <w:spacing w:line="360" w:lineRule="auto"/>
        <w:ind w:left="1440"/>
        <w:jc w:val="both"/>
        <w:rPr>
          <w:rFonts w:ascii="David" w:hAnsi="David"/>
          <w:sz w:val="16"/>
          <w:szCs w:val="16"/>
          <w:rtl/>
        </w:rPr>
      </w:pPr>
    </w:p>
    <w:p w14:paraId="45676337" w14:textId="77777777" w:rsidR="008A5C37" w:rsidRDefault="008A5C37" w:rsidP="008A5C37">
      <w:pPr>
        <w:pStyle w:val="a9"/>
        <w:spacing w:line="360" w:lineRule="auto"/>
        <w:ind w:left="720" w:hanging="720"/>
        <w:jc w:val="both"/>
        <w:rPr>
          <w:rFonts w:ascii="David" w:hAnsi="David" w:cs="David"/>
          <w:sz w:val="24"/>
          <w:szCs w:val="24"/>
          <w:rtl/>
        </w:rPr>
      </w:pPr>
      <w:r>
        <w:rPr>
          <w:rFonts w:ascii="David" w:hAnsi="David" w:cs="David" w:hint="cs"/>
          <w:b/>
          <w:bCs/>
          <w:sz w:val="24"/>
          <w:szCs w:val="24"/>
          <w:rtl/>
        </w:rPr>
        <w:t>20</w:t>
      </w:r>
      <w:r>
        <w:rPr>
          <w:rFonts w:ascii="David" w:hAnsi="David" w:cs="David"/>
          <w:sz w:val="24"/>
          <w:szCs w:val="24"/>
          <w:rtl/>
        </w:rPr>
        <w:t>.</w:t>
      </w:r>
      <w:r>
        <w:rPr>
          <w:rFonts w:ascii="David" w:hAnsi="David" w:cs="David"/>
          <w:sz w:val="24"/>
          <w:szCs w:val="24"/>
        </w:rPr>
        <w:tab/>
      </w:r>
      <w:r>
        <w:rPr>
          <w:rFonts w:ascii="David" w:hAnsi="David" w:cs="David"/>
          <w:sz w:val="24"/>
          <w:szCs w:val="24"/>
          <w:rtl/>
        </w:rPr>
        <w:t xml:space="preserve">במקרה הנדון, לאחר שבחנתי את מכלול השיקולים הנדרשים, על רקע טיעוני הצדדים, ובהתחשב בחומרת העבירות שביצע הנאשם, לרבות התכנון שקדם להן והעובדה כי הנאשם חזר וביצע את העבירות </w:t>
      </w:r>
      <w:r w:rsidRPr="000D344A">
        <w:rPr>
          <w:rFonts w:ascii="David" w:hAnsi="David" w:cs="David"/>
          <w:sz w:val="24"/>
          <w:szCs w:val="24"/>
          <w:rtl/>
        </w:rPr>
        <w:t>פעם נוספת כחודש ימים לאחר ביצעו הירי הראשון, וכן בהתחשב בפוטנציאל הסיכון הרב הגלום בביצוען, הערכים החברתיים שנפגעו ומידת פגיעתם, הצורך בהרתעת היחיד והרבים מעשיית שימוש שלא כדין בנשק צהלי וכן במדיניות הענישה הנהוגה, כמפורט לעיל, סבורתני כי מתחם העונש ההולם את המקרה</w:t>
      </w:r>
      <w:r>
        <w:rPr>
          <w:rFonts w:ascii="David" w:hAnsi="David" w:cs="David"/>
          <w:sz w:val="24"/>
          <w:szCs w:val="24"/>
          <w:rtl/>
        </w:rPr>
        <w:t xml:space="preserve"> הספציפי – בהתחשב בפרק הזמן הקצר שבו החזיק הנאשם את הנשק בשתי ההזדמנויות המפורטות לעיל - נע בטווח שבין 20 ל- 48 חודשי מאסר.</w:t>
      </w:r>
      <w:r>
        <w:rPr>
          <w:rFonts w:ascii="David" w:hAnsi="David" w:cs="David" w:hint="cs"/>
          <w:sz w:val="24"/>
          <w:szCs w:val="24"/>
          <w:rtl/>
        </w:rPr>
        <w:t xml:space="preserve"> </w:t>
      </w:r>
    </w:p>
    <w:p w14:paraId="2A56077A" w14:textId="77777777" w:rsidR="008A5C37" w:rsidRDefault="008A5C37" w:rsidP="008A5C37">
      <w:pPr>
        <w:pStyle w:val="a9"/>
        <w:spacing w:line="360" w:lineRule="auto"/>
        <w:ind w:left="720"/>
        <w:jc w:val="both"/>
        <w:rPr>
          <w:rFonts w:ascii="David" w:hAnsi="David" w:cs="David"/>
          <w:b/>
          <w:bCs/>
          <w:sz w:val="18"/>
          <w:szCs w:val="18"/>
          <w:rtl/>
        </w:rPr>
      </w:pPr>
    </w:p>
    <w:p w14:paraId="4169ACA3" w14:textId="77777777" w:rsidR="008A5C37" w:rsidRDefault="008A5C37" w:rsidP="008A5C37">
      <w:pPr>
        <w:spacing w:line="360" w:lineRule="auto"/>
        <w:jc w:val="both"/>
        <w:rPr>
          <w:rFonts w:ascii="David" w:hAnsi="David"/>
          <w:rtl/>
        </w:rPr>
      </w:pPr>
      <w:r>
        <w:rPr>
          <w:rFonts w:ascii="David" w:hAnsi="David"/>
          <w:b/>
          <w:bCs/>
          <w:rtl/>
        </w:rPr>
        <w:t>2</w:t>
      </w:r>
      <w:r>
        <w:rPr>
          <w:rFonts w:ascii="David" w:hAnsi="David" w:hint="cs"/>
          <w:b/>
          <w:bCs/>
          <w:rtl/>
        </w:rPr>
        <w:t>1</w:t>
      </w:r>
      <w:r>
        <w:rPr>
          <w:rFonts w:ascii="David" w:hAnsi="David"/>
          <w:rtl/>
        </w:rPr>
        <w:t>.</w:t>
      </w:r>
      <w:r>
        <w:rPr>
          <w:rFonts w:ascii="David" w:hAnsi="David"/>
          <w:rtl/>
        </w:rPr>
        <w:tab/>
      </w:r>
      <w:r>
        <w:rPr>
          <w:rFonts w:ascii="David" w:hAnsi="David"/>
          <w:b/>
          <w:bCs/>
          <w:u w:val="single"/>
          <w:rtl/>
        </w:rPr>
        <w:t>נסיבות שאינן קשורות בביצוע העבירות</w:t>
      </w:r>
    </w:p>
    <w:p w14:paraId="0E10B07A" w14:textId="77777777" w:rsidR="008A5C37" w:rsidRDefault="008A5C37" w:rsidP="008A5C37">
      <w:pPr>
        <w:spacing w:line="360" w:lineRule="auto"/>
        <w:ind w:left="720"/>
        <w:jc w:val="both"/>
        <w:rPr>
          <w:rFonts w:ascii="David" w:hAnsi="David"/>
          <w:rtl/>
        </w:rPr>
      </w:pPr>
      <w:r>
        <w:rPr>
          <w:rFonts w:ascii="David" w:hAnsi="David"/>
          <w:rtl/>
        </w:rPr>
        <w:t>יחד עם זאת, הענישה היא לעולם אינדיבידואלית, ומשכך, יבואו בחשבון שיקולים הנוגעים לנסיבותיו האישיות של הנאשם.</w:t>
      </w:r>
    </w:p>
    <w:p w14:paraId="314EE1D5" w14:textId="77777777" w:rsidR="008A5C37" w:rsidRDefault="008A5C37" w:rsidP="008A5C37">
      <w:pPr>
        <w:spacing w:line="360" w:lineRule="auto"/>
        <w:ind w:left="720"/>
        <w:jc w:val="both"/>
        <w:rPr>
          <w:rFonts w:ascii="David" w:hAnsi="David"/>
          <w:sz w:val="12"/>
          <w:szCs w:val="12"/>
          <w:rtl/>
        </w:rPr>
      </w:pPr>
    </w:p>
    <w:p w14:paraId="3A3A73FB" w14:textId="77777777" w:rsidR="008A5C37" w:rsidRDefault="008A5C37" w:rsidP="008A5C37">
      <w:pPr>
        <w:spacing w:line="360" w:lineRule="auto"/>
        <w:ind w:left="720" w:hanging="720"/>
        <w:jc w:val="both"/>
        <w:rPr>
          <w:rFonts w:ascii="David" w:hAnsi="David"/>
          <w:rtl/>
        </w:rPr>
      </w:pPr>
      <w:r>
        <w:rPr>
          <w:rFonts w:ascii="David" w:hAnsi="David"/>
          <w:rtl/>
        </w:rPr>
        <w:tab/>
      </w:r>
      <w:r>
        <w:rPr>
          <w:rFonts w:ascii="David" w:hAnsi="David"/>
          <w:b/>
          <w:bCs/>
          <w:rtl/>
        </w:rPr>
        <w:t>א.</w:t>
      </w:r>
      <w:r>
        <w:rPr>
          <w:rFonts w:ascii="David" w:hAnsi="David"/>
          <w:rtl/>
        </w:rPr>
        <w:t xml:space="preserve"> לקולה אני רואה להתחשב בהודייתו של הנאשם בעובדות כתב האישום המתוקן במסגרת הסדר הטיעון, בטרם הוחל בשמיעת הראיות התיק, והחיסכון בזמן שיפוטי יקר. כן אני רואה ליתן משקל לשיתוף הפעולה של הנאשם עם אנשי המשטרה במהלך החקירה, כמפורט על ידי סנגורו. </w:t>
      </w:r>
    </w:p>
    <w:p w14:paraId="6F804896" w14:textId="77777777" w:rsidR="008A5C37" w:rsidRDefault="008A5C37" w:rsidP="008A5C37">
      <w:pPr>
        <w:spacing w:line="360" w:lineRule="auto"/>
        <w:ind w:left="720" w:hanging="720"/>
        <w:jc w:val="both"/>
        <w:rPr>
          <w:rFonts w:ascii="David" w:hAnsi="David"/>
          <w:sz w:val="12"/>
          <w:szCs w:val="12"/>
          <w:rtl/>
        </w:rPr>
      </w:pPr>
    </w:p>
    <w:p w14:paraId="276D8B9E" w14:textId="77777777" w:rsidR="008A5C37" w:rsidRDefault="008A5C37" w:rsidP="008A5C37">
      <w:pPr>
        <w:spacing w:line="360" w:lineRule="auto"/>
        <w:ind w:left="720" w:hanging="720"/>
        <w:jc w:val="both"/>
        <w:rPr>
          <w:rFonts w:ascii="David" w:hAnsi="David"/>
          <w:rtl/>
        </w:rPr>
      </w:pPr>
      <w:r>
        <w:rPr>
          <w:rFonts w:ascii="David" w:hAnsi="David"/>
          <w:rtl/>
        </w:rPr>
        <w:tab/>
        <w:t xml:space="preserve">עוד ייזקפו לזכותו של הנאשם האחריות שנטל למעשיו, והצער והחרטה שהביע בגינם, אם כי בפני  שירות המבחן התקשה לקחת אחריות מלאה למעשיו. עם זאת, הנאשם לא חזר בו מהודייתו בעובדות כתב האישום המתוקן, ועמד עליה גם בישיבת הטיעונים לעונש. </w:t>
      </w:r>
    </w:p>
    <w:p w14:paraId="3092003F" w14:textId="77777777" w:rsidR="008A5C37" w:rsidRDefault="008A5C37" w:rsidP="008A5C37">
      <w:pPr>
        <w:spacing w:line="360" w:lineRule="auto"/>
        <w:ind w:left="720" w:hanging="720"/>
        <w:jc w:val="both"/>
        <w:rPr>
          <w:rFonts w:ascii="David" w:hAnsi="David"/>
          <w:sz w:val="12"/>
          <w:szCs w:val="12"/>
          <w:rtl/>
        </w:rPr>
      </w:pPr>
    </w:p>
    <w:p w14:paraId="6C202E2D" w14:textId="77777777" w:rsidR="008A5C37" w:rsidRDefault="008A5C37" w:rsidP="008A5C37">
      <w:pPr>
        <w:spacing w:line="360" w:lineRule="auto"/>
        <w:ind w:left="720"/>
        <w:jc w:val="both"/>
        <w:rPr>
          <w:rFonts w:ascii="David" w:hAnsi="David"/>
          <w:rtl/>
        </w:rPr>
      </w:pPr>
      <w:r>
        <w:rPr>
          <w:rFonts w:ascii="David" w:hAnsi="David"/>
          <w:b/>
          <w:bCs/>
          <w:rtl/>
        </w:rPr>
        <w:t>ב.</w:t>
      </w:r>
      <w:r>
        <w:rPr>
          <w:rFonts w:ascii="David" w:hAnsi="David"/>
          <w:rtl/>
        </w:rPr>
        <w:t xml:space="preserve"> כן יינתן משקל לעברו הפלילי הנקי של הנאשם, ולנסיבותיו האישיות כפי שפורטו בהרחבה בתסקיר שירות המבחן ומפי סנגורו. בקליפת אגוז ייאמר כי מדובר בנאשם בן כ- 31, בן למשפחה נורמטיבית, נשוי ואב לשני ילדים קטנים, אשר סיים 12 שנות לימוד, ועבד מגיל צעיר כדי לעזור בפרנסת המשפחה. ניתן להתרשם כי הנאשם ניהל לכאורה אורח חיים נורמטיבי ותקין עובר לביצוע העבירות בתיק זה. </w:t>
      </w:r>
    </w:p>
    <w:p w14:paraId="29986484" w14:textId="77777777" w:rsidR="008A5C37" w:rsidRDefault="008A5C37" w:rsidP="008A5C37">
      <w:pPr>
        <w:spacing w:line="360" w:lineRule="auto"/>
        <w:ind w:left="720"/>
        <w:jc w:val="both"/>
        <w:rPr>
          <w:rFonts w:ascii="David" w:hAnsi="David"/>
          <w:sz w:val="12"/>
          <w:szCs w:val="12"/>
          <w:rtl/>
        </w:rPr>
      </w:pPr>
    </w:p>
    <w:p w14:paraId="5654F2A5" w14:textId="77777777" w:rsidR="008A5C37" w:rsidRDefault="008A5C37" w:rsidP="008A5C37">
      <w:pPr>
        <w:spacing w:line="360" w:lineRule="auto"/>
        <w:ind w:left="720"/>
        <w:jc w:val="both"/>
        <w:rPr>
          <w:rFonts w:ascii="David" w:hAnsi="David"/>
        </w:rPr>
      </w:pPr>
      <w:r>
        <w:rPr>
          <w:rFonts w:ascii="David" w:hAnsi="David"/>
          <w:b/>
          <w:bCs/>
          <w:rtl/>
        </w:rPr>
        <w:t>ג.</w:t>
      </w:r>
      <w:r>
        <w:rPr>
          <w:rFonts w:ascii="David" w:hAnsi="David"/>
          <w:rtl/>
        </w:rPr>
        <w:t xml:space="preserve"> עוד יובאו בחשבון תקופת מעצרו של הנאשם בין התאריכים 8/1/22 - 2/2/22, וכן מעצרו באזוק אלקטרוני שבו הוא שוהה מיום 2/2/22 ועד היום, כאשר ביום 9/8/22 הורחבו חלונות יציאה על מנת לאפשר לנאשם מלחפש עבודה. </w:t>
      </w:r>
    </w:p>
    <w:p w14:paraId="13ED83DA" w14:textId="77777777" w:rsidR="008A5C37" w:rsidRDefault="008A5C37" w:rsidP="008A5C37">
      <w:pPr>
        <w:spacing w:line="360" w:lineRule="auto"/>
        <w:ind w:left="720"/>
        <w:jc w:val="both"/>
        <w:rPr>
          <w:rFonts w:ascii="David" w:hAnsi="David"/>
          <w:sz w:val="12"/>
          <w:szCs w:val="12"/>
          <w:rtl/>
        </w:rPr>
      </w:pPr>
    </w:p>
    <w:p w14:paraId="19E808DB" w14:textId="77777777" w:rsidR="008A5C37" w:rsidRDefault="008A5C37" w:rsidP="008A5C37">
      <w:pPr>
        <w:spacing w:line="360" w:lineRule="auto"/>
        <w:ind w:left="720"/>
        <w:jc w:val="both"/>
        <w:rPr>
          <w:rFonts w:ascii="David" w:hAnsi="David"/>
          <w:rtl/>
        </w:rPr>
      </w:pPr>
      <w:r>
        <w:rPr>
          <w:rFonts w:ascii="David" w:hAnsi="David"/>
          <w:b/>
          <w:bCs/>
          <w:rtl/>
        </w:rPr>
        <w:t xml:space="preserve">ד. </w:t>
      </w:r>
      <w:r>
        <w:rPr>
          <w:rFonts w:ascii="David" w:hAnsi="David"/>
          <w:rtl/>
        </w:rPr>
        <w:t>אשר לטענת ההגנה כי יש להקל בעונשו של הנאשם בשל האפליה שנוקטת המדינה כלפי הנאשם, משבחרה להגיש נגדו כתב אישום ולעתור למעצרו עד תום ההליכים, בעוד שעד כה לא נקטה בהליך משפטי כלשהו כנגד בן דודו</w:t>
      </w:r>
      <w:r>
        <w:rPr>
          <w:rFonts w:ascii="David" w:hAnsi="David" w:hint="cs"/>
          <w:rtl/>
        </w:rPr>
        <w:t xml:space="preserve"> החייל </w:t>
      </w:r>
      <w:r>
        <w:rPr>
          <w:rFonts w:ascii="David" w:hAnsi="David"/>
          <w:rtl/>
        </w:rPr>
        <w:t xml:space="preserve">- </w:t>
      </w:r>
      <w:r>
        <w:rPr>
          <w:rFonts w:ascii="David" w:hAnsi="David" w:hint="cs"/>
          <w:rtl/>
        </w:rPr>
        <w:t>עומדת בפני ה</w:t>
      </w:r>
      <w:r>
        <w:rPr>
          <w:rFonts w:ascii="David" w:hAnsi="David"/>
          <w:rtl/>
        </w:rPr>
        <w:t xml:space="preserve">ודעת מצ"ח כי "בימים הקרובים" בכוונתה להגיש כתב אישום נגד בן הדוד </w:t>
      </w:r>
      <w:r>
        <w:rPr>
          <w:rFonts w:ascii="David" w:hAnsi="David" w:hint="cs"/>
          <w:rtl/>
        </w:rPr>
        <w:t xml:space="preserve">בעבירות של שימוש בלתי חוקי בנשק והתנהגות שאינה הולמת. דא עקא שמאז לא התקבלה כל הודעה בדבר הגשת כתב אישום נגד החייל. משכך, יש ממש בטענת ההגנה לגבי </w:t>
      </w:r>
      <w:r>
        <w:rPr>
          <w:rFonts w:ascii="David" w:hAnsi="David"/>
          <w:rtl/>
        </w:rPr>
        <w:t xml:space="preserve">הפער במהירות החקירה של כל אחד מהגורמים.  </w:t>
      </w:r>
    </w:p>
    <w:p w14:paraId="75A8780C" w14:textId="77777777" w:rsidR="008A5C37" w:rsidRPr="00C8441E" w:rsidRDefault="008A5C37" w:rsidP="008A5C37">
      <w:pPr>
        <w:spacing w:line="360" w:lineRule="auto"/>
        <w:ind w:left="720"/>
        <w:jc w:val="both"/>
        <w:rPr>
          <w:rFonts w:ascii="David" w:hAnsi="David"/>
          <w:sz w:val="10"/>
          <w:szCs w:val="10"/>
          <w:rtl/>
        </w:rPr>
      </w:pPr>
    </w:p>
    <w:p w14:paraId="5B1250EE" w14:textId="77777777" w:rsidR="008A5C37" w:rsidRPr="008A5C37" w:rsidRDefault="008A5C37" w:rsidP="008A5C37">
      <w:pPr>
        <w:spacing w:line="360" w:lineRule="auto"/>
        <w:ind w:left="720"/>
        <w:jc w:val="both"/>
        <w:rPr>
          <w:rFonts w:ascii="David" w:eastAsia="Calibri" w:hAnsi="David"/>
          <w:rtl/>
        </w:rPr>
      </w:pPr>
      <w:r>
        <w:rPr>
          <w:rFonts w:ascii="David" w:hAnsi="David" w:hint="cs"/>
          <w:b/>
          <w:bCs/>
          <w:rtl/>
        </w:rPr>
        <w:t>ה</w:t>
      </w:r>
      <w:r>
        <w:rPr>
          <w:rFonts w:ascii="David" w:hAnsi="David"/>
          <w:b/>
          <w:bCs/>
          <w:rtl/>
        </w:rPr>
        <w:t>.</w:t>
      </w:r>
      <w:r>
        <w:rPr>
          <w:rFonts w:ascii="David" w:hAnsi="David"/>
          <w:rtl/>
        </w:rPr>
        <w:t xml:space="preserve"> לקולה אני רואה להתחשב בעובדה כי זהו מאסרו הראשון של הנאשם. כן נתתי דעתי לכך שמעצרו מאחורי סורג ובריח, מעצרו הממושך באזוק אלקטרוני, וכן הטלת עונש מאסר בפועל מכבידים על הנאשם ומטבע הדברים מקשים גם על בני משפחתו.</w:t>
      </w:r>
    </w:p>
    <w:p w14:paraId="68B79BF1" w14:textId="77777777" w:rsidR="008A5C37" w:rsidRPr="008A5C37" w:rsidRDefault="008A5C37" w:rsidP="008A5C37">
      <w:pPr>
        <w:spacing w:line="360" w:lineRule="auto"/>
        <w:ind w:left="720"/>
        <w:jc w:val="both"/>
        <w:rPr>
          <w:rFonts w:ascii="David" w:eastAsia="Calibri" w:hAnsi="David"/>
          <w:sz w:val="12"/>
          <w:szCs w:val="12"/>
          <w:rtl/>
        </w:rPr>
      </w:pPr>
    </w:p>
    <w:p w14:paraId="66E65274" w14:textId="77777777" w:rsidR="008A5C37" w:rsidRDefault="008A5C37" w:rsidP="008A5C37">
      <w:pPr>
        <w:spacing w:line="360" w:lineRule="auto"/>
        <w:ind w:left="720"/>
        <w:jc w:val="both"/>
        <w:rPr>
          <w:rFonts w:ascii="David" w:hAnsi="David"/>
          <w:rtl/>
        </w:rPr>
      </w:pPr>
      <w:r>
        <w:rPr>
          <w:rFonts w:ascii="David" w:hAnsi="David"/>
          <w:rtl/>
        </w:rPr>
        <w:t xml:space="preserve">עוד </w:t>
      </w:r>
      <w:r>
        <w:rPr>
          <w:rFonts w:ascii="David" w:hAnsi="David" w:hint="cs"/>
          <w:rtl/>
        </w:rPr>
        <w:t>נתתי דעתי ל</w:t>
      </w:r>
      <w:r>
        <w:rPr>
          <w:rFonts w:ascii="David" w:hAnsi="David"/>
          <w:rtl/>
        </w:rPr>
        <w:t xml:space="preserve">טענת הסנגור </w:t>
      </w:r>
      <w:r>
        <w:rPr>
          <w:rFonts w:ascii="David" w:hAnsi="David" w:hint="cs"/>
          <w:rtl/>
        </w:rPr>
        <w:t xml:space="preserve">בדבר </w:t>
      </w:r>
      <w:r>
        <w:rPr>
          <w:rFonts w:ascii="David" w:hAnsi="David"/>
          <w:rtl/>
        </w:rPr>
        <w:t xml:space="preserve">מצבו הרפואי של הנאשם, הנטען על ידו בפני קצינת המבחן; דא עקא שאלה לא נתמכו במסמך רפואי כלשהו, ומכל מקום לא נטען וממילא לא הוכח כי הנאשם לא יוכל לקבל את הטיפול המתאים לבעיות לחץ הדם הנטענות במסגרת שירות בתי הסוהר. </w:t>
      </w:r>
    </w:p>
    <w:p w14:paraId="2CF6072E" w14:textId="77777777" w:rsidR="008A5C37" w:rsidRPr="00C8441E" w:rsidRDefault="008A5C37" w:rsidP="008A5C37">
      <w:pPr>
        <w:spacing w:line="360" w:lineRule="auto"/>
        <w:ind w:left="720"/>
        <w:jc w:val="both"/>
        <w:rPr>
          <w:rFonts w:ascii="David" w:hAnsi="David"/>
          <w:b/>
          <w:bCs/>
          <w:sz w:val="16"/>
          <w:szCs w:val="16"/>
          <w:rtl/>
        </w:rPr>
      </w:pPr>
    </w:p>
    <w:p w14:paraId="757E3DC9" w14:textId="77777777" w:rsidR="008A5C37" w:rsidRDefault="008A5C37" w:rsidP="008A5C37">
      <w:pPr>
        <w:spacing w:line="360" w:lineRule="auto"/>
        <w:ind w:left="720"/>
        <w:jc w:val="both"/>
        <w:rPr>
          <w:rFonts w:ascii="David" w:hAnsi="David"/>
          <w:rtl/>
        </w:rPr>
      </w:pPr>
      <w:r>
        <w:rPr>
          <w:rFonts w:ascii="David" w:hAnsi="David" w:hint="cs"/>
          <w:b/>
          <w:bCs/>
          <w:rtl/>
        </w:rPr>
        <w:t>ו</w:t>
      </w:r>
      <w:r>
        <w:rPr>
          <w:rFonts w:ascii="David" w:hAnsi="David"/>
          <w:b/>
          <w:bCs/>
          <w:rtl/>
        </w:rPr>
        <w:t>.</w:t>
      </w:r>
      <w:r>
        <w:rPr>
          <w:rFonts w:ascii="David" w:hAnsi="David"/>
          <w:rtl/>
        </w:rPr>
        <w:t xml:space="preserve"> שירות המבחן, </w:t>
      </w:r>
      <w:r>
        <w:rPr>
          <w:rFonts w:ascii="David" w:hAnsi="David"/>
          <w:b/>
          <w:bCs/>
          <w:rtl/>
        </w:rPr>
        <w:t>אשר נמנע מהמלצה טיפולית</w:t>
      </w:r>
      <w:r>
        <w:rPr>
          <w:rFonts w:ascii="David" w:hAnsi="David"/>
          <w:rtl/>
        </w:rPr>
        <w:t xml:space="preserve"> בעניינו של הנאשם התרשם כי </w:t>
      </w:r>
      <w:r>
        <w:rPr>
          <w:rFonts w:ascii="David" w:hAnsi="David"/>
          <w:b/>
          <w:bCs/>
          <w:rtl/>
        </w:rPr>
        <w:t>סיכויי הסיכון להישנות עבירות דומות בעתיד מצד הנאשם עולים על סיכויי שיקומו</w:t>
      </w:r>
      <w:r>
        <w:rPr>
          <w:rFonts w:ascii="David" w:hAnsi="David"/>
          <w:rtl/>
        </w:rPr>
        <w:t xml:space="preserve">, וכי חוסר ערנותו למצבי הסיכון שבהתנהלותו </w:t>
      </w:r>
      <w:r>
        <w:rPr>
          <w:rFonts w:ascii="David" w:hAnsi="David"/>
          <w:b/>
          <w:bCs/>
          <w:rtl/>
        </w:rPr>
        <w:t>משמר את הערכת הסיכון האמורה</w:t>
      </w:r>
      <w:r>
        <w:rPr>
          <w:rFonts w:ascii="David" w:hAnsi="David"/>
          <w:rtl/>
        </w:rPr>
        <w:t xml:space="preserve">. יחד עם זאת, שקל כזכור ש לבחון את התאמתו לקבוצה ייעודית העוסקת בעבירות נשק. דא עקא, שכמפורט לעיל ובתסקיר, הנאשם איחר לראיון התאמה שנקבע עמו מראש, התנהל בצורה מניפולטיבית מול שירות המבחן ומסר מידע כוזב על אודות </w:t>
      </w:r>
    </w:p>
    <w:p w14:paraId="07152C34" w14:textId="77777777" w:rsidR="008A5C37" w:rsidRDefault="008A5C37" w:rsidP="008A5C37">
      <w:pPr>
        <w:spacing w:line="360" w:lineRule="auto"/>
        <w:ind w:left="720"/>
        <w:jc w:val="both"/>
        <w:rPr>
          <w:rFonts w:ascii="David" w:hAnsi="David"/>
          <w:b/>
          <w:bCs/>
          <w:sz w:val="10"/>
          <w:szCs w:val="10"/>
          <w:rtl/>
        </w:rPr>
      </w:pPr>
      <w:r>
        <w:rPr>
          <w:rFonts w:ascii="David" w:hAnsi="David"/>
          <w:rtl/>
        </w:rPr>
        <w:t>סיבת איחורו לראיון, ובשל פערים שעלו בדיווחיו של הנאשם, אימת שירות המבחן את המידע שמסר מול היחידה לפיקוח אלקטרוני. התברר כי לא זאת בלבד שהנאשם מסר מידע כוזב, נרשמה לו הפרה מהותית והוא הוזמן לשימוע, אלא שבנוסף להפרה זו מיוחסות לנאשם 3 הפרות קודמות של תנאי המעצר באזוק.</w:t>
      </w:r>
    </w:p>
    <w:p w14:paraId="524D74D2" w14:textId="77777777" w:rsidR="008A5C37" w:rsidRDefault="008A5C37" w:rsidP="008A5C37">
      <w:pPr>
        <w:spacing w:line="360" w:lineRule="auto"/>
        <w:ind w:left="720"/>
        <w:jc w:val="both"/>
        <w:rPr>
          <w:rFonts w:ascii="David" w:hAnsi="David"/>
          <w:rtl/>
        </w:rPr>
      </w:pPr>
      <w:r>
        <w:rPr>
          <w:rFonts w:ascii="David" w:hAnsi="David"/>
          <w:rtl/>
        </w:rPr>
        <w:t>נוכח כל אלה המליץ שירות המבחן על הטלת ענישה מוחשית, מרתיעה ומציבת גבולות ברורים בדמות מאסר בעבודות שירות.</w:t>
      </w:r>
    </w:p>
    <w:p w14:paraId="00878365" w14:textId="77777777" w:rsidR="008A5C37" w:rsidRDefault="008A5C37" w:rsidP="008A5C37">
      <w:pPr>
        <w:spacing w:line="360" w:lineRule="auto"/>
        <w:ind w:left="720"/>
        <w:jc w:val="both"/>
        <w:rPr>
          <w:rFonts w:ascii="David" w:hAnsi="David"/>
          <w:b/>
          <w:bCs/>
          <w:sz w:val="14"/>
          <w:szCs w:val="14"/>
          <w:rtl/>
        </w:rPr>
      </w:pPr>
    </w:p>
    <w:p w14:paraId="69C86AC4" w14:textId="77777777" w:rsidR="008A5C37" w:rsidRDefault="008A5C37" w:rsidP="008A5C37">
      <w:pPr>
        <w:pStyle w:val="ab"/>
        <w:bidi/>
        <w:spacing w:line="360" w:lineRule="auto"/>
        <w:jc w:val="both"/>
        <w:rPr>
          <w:rFonts w:ascii="David" w:hAnsi="David" w:cs="David"/>
          <w:sz w:val="24"/>
          <w:szCs w:val="24"/>
          <w:rtl/>
        </w:rPr>
      </w:pPr>
      <w:r>
        <w:rPr>
          <w:rFonts w:ascii="David" w:hAnsi="David" w:cs="David" w:hint="cs"/>
          <w:b/>
          <w:bCs/>
          <w:sz w:val="24"/>
          <w:szCs w:val="24"/>
          <w:rtl/>
        </w:rPr>
        <w:t>ז</w:t>
      </w:r>
      <w:r>
        <w:rPr>
          <w:rFonts w:ascii="David" w:hAnsi="David" w:cs="David"/>
          <w:b/>
          <w:bCs/>
          <w:sz w:val="24"/>
          <w:szCs w:val="24"/>
          <w:rtl/>
        </w:rPr>
        <w:t xml:space="preserve">. </w:t>
      </w:r>
      <w:r>
        <w:rPr>
          <w:rFonts w:ascii="David" w:hAnsi="David" w:cs="David"/>
          <w:sz w:val="24"/>
          <w:szCs w:val="24"/>
          <w:rtl/>
        </w:rPr>
        <w:t xml:space="preserve">הפסיקה מובילה להחמרה בכל קשת עבירות הנשק, לרבות עבירות המצויות בצד הנמוך של המדרג (כמו החזקה בלבד), והכלל הוא וכיום ביתר שאת, כי מי שמחזיק ונושא נשק שלא כדין, לא כל שכן מבצע ירי באמצעותו, צפוי למאסר מאחורי סורג ובריח, ורק במקרים חריגים ימנע בית המשפט מהשתת מאסר בפועל (ראו גם </w:t>
      </w:r>
      <w:hyperlink r:id="rId120" w:history="1">
        <w:r w:rsidR="00C16C4C" w:rsidRPr="00C16C4C">
          <w:rPr>
            <w:rFonts w:ascii="David" w:hAnsi="David" w:cs="David"/>
            <w:color w:val="0000FF"/>
            <w:sz w:val="24"/>
            <w:szCs w:val="24"/>
            <w:u w:val="single"/>
            <w:rtl/>
          </w:rPr>
          <w:t>ע"פ 4406/19</w:t>
        </w:r>
      </w:hyperlink>
      <w:r>
        <w:rPr>
          <w:rFonts w:ascii="David" w:hAnsi="David" w:cs="David"/>
          <w:sz w:val="24"/>
          <w:szCs w:val="24"/>
          <w:rtl/>
        </w:rPr>
        <w:t xml:space="preserve"> </w:t>
      </w:r>
      <w:r>
        <w:rPr>
          <w:rFonts w:ascii="David" w:hAnsi="David" w:cs="David"/>
          <w:b/>
          <w:bCs/>
          <w:sz w:val="24"/>
          <w:szCs w:val="24"/>
          <w:rtl/>
        </w:rPr>
        <w:t>מדינת ישראל נ' סובח</w:t>
      </w:r>
      <w:r>
        <w:rPr>
          <w:rFonts w:ascii="David" w:hAnsi="David" w:cs="David"/>
          <w:sz w:val="24"/>
          <w:szCs w:val="24"/>
          <w:rtl/>
        </w:rPr>
        <w:t xml:space="preserve"> (5/11/19), מפי כב' הש' אלרון). </w:t>
      </w:r>
      <w:r>
        <w:rPr>
          <w:rFonts w:ascii="David" w:hAnsi="David" w:cs="David" w:hint="cs"/>
          <w:sz w:val="24"/>
          <w:szCs w:val="24"/>
          <w:rtl/>
        </w:rPr>
        <w:t>יחד עם זאת, הפסיקה הנזכרת לעיל מלמדת כי במקרים המתאימים נגזרים על נאשמים גם עונשי מאסר לנשיאה בעבודות שירות.</w:t>
      </w:r>
    </w:p>
    <w:p w14:paraId="48B4E06F" w14:textId="77777777" w:rsidR="008A5C37" w:rsidRPr="005B1209" w:rsidRDefault="008A5C37" w:rsidP="008A5C37">
      <w:pPr>
        <w:spacing w:line="360" w:lineRule="auto"/>
        <w:ind w:left="720" w:hanging="720"/>
        <w:jc w:val="both"/>
        <w:rPr>
          <w:rFonts w:ascii="David" w:hAnsi="David"/>
          <w:b/>
          <w:bCs/>
          <w:rtl/>
        </w:rPr>
      </w:pPr>
      <w:r w:rsidRPr="005B1209">
        <w:rPr>
          <w:rFonts w:ascii="David" w:hAnsi="David" w:hint="cs"/>
          <w:b/>
          <w:bCs/>
          <w:rtl/>
        </w:rPr>
        <w:t>2</w:t>
      </w:r>
      <w:r>
        <w:rPr>
          <w:rFonts w:ascii="David" w:hAnsi="David" w:hint="cs"/>
          <w:b/>
          <w:bCs/>
          <w:rtl/>
        </w:rPr>
        <w:t>2</w:t>
      </w:r>
      <w:r w:rsidRPr="005B1209">
        <w:rPr>
          <w:rFonts w:ascii="David" w:hAnsi="David" w:hint="cs"/>
          <w:b/>
          <w:bCs/>
          <w:rtl/>
        </w:rPr>
        <w:t>.</w:t>
      </w:r>
      <w:r w:rsidRPr="005B1209">
        <w:rPr>
          <w:rFonts w:ascii="David" w:hAnsi="David" w:hint="cs"/>
          <w:b/>
          <w:bCs/>
          <w:rtl/>
        </w:rPr>
        <w:tab/>
      </w:r>
      <w:r w:rsidRPr="005B1209">
        <w:rPr>
          <w:rFonts w:ascii="David" w:hAnsi="David" w:hint="cs"/>
          <w:b/>
          <w:bCs/>
          <w:u w:val="single"/>
          <w:rtl/>
        </w:rPr>
        <w:t>חוות דעתו של הממונה על עבודות השירות</w:t>
      </w:r>
    </w:p>
    <w:p w14:paraId="5E12D199" w14:textId="77777777" w:rsidR="008A5C37" w:rsidRDefault="008A5C37" w:rsidP="008A5C37">
      <w:pPr>
        <w:spacing w:line="360" w:lineRule="auto"/>
        <w:ind w:left="720"/>
        <w:jc w:val="both"/>
        <w:rPr>
          <w:rFonts w:ascii="David" w:hAnsi="David"/>
          <w:rtl/>
        </w:rPr>
      </w:pPr>
      <w:r>
        <w:rPr>
          <w:rFonts w:ascii="David" w:hAnsi="David" w:hint="cs"/>
          <w:rtl/>
        </w:rPr>
        <w:t xml:space="preserve">לאחר ששקלתי את עניינו של הנאשם, לרבות את העובדה שחרף חלוף הזמן לא הובא בפני כתב אישום שהוגש נגד הבן דוד החייל, ראיתי </w:t>
      </w:r>
      <w:r>
        <w:rPr>
          <w:rFonts w:ascii="David" w:hAnsi="David"/>
          <w:rtl/>
        </w:rPr>
        <w:t>–</w:t>
      </w:r>
      <w:r>
        <w:rPr>
          <w:rFonts w:ascii="David" w:hAnsi="David" w:hint="cs"/>
          <w:rtl/>
        </w:rPr>
        <w:t xml:space="preserve"> לא בלי התלבטות - לקבל חוות דעת של הממונה על עבודות השירות בעניינו, תוך שהובהר לו כי אין בכך משום הבעת עמדה לגבי הענישה שתוטל עליו. </w:t>
      </w:r>
    </w:p>
    <w:p w14:paraId="12FFBB2B" w14:textId="77777777" w:rsidR="008A5C37" w:rsidRPr="00260BAC" w:rsidRDefault="008A5C37" w:rsidP="008A5C37">
      <w:pPr>
        <w:spacing w:line="360" w:lineRule="auto"/>
        <w:ind w:left="720"/>
        <w:jc w:val="both"/>
        <w:rPr>
          <w:rFonts w:ascii="David" w:hAnsi="David"/>
          <w:sz w:val="14"/>
          <w:szCs w:val="14"/>
          <w:rtl/>
        </w:rPr>
      </w:pPr>
    </w:p>
    <w:p w14:paraId="77BC1944" w14:textId="77777777" w:rsidR="008A5C37" w:rsidRDefault="008A5C37" w:rsidP="008A5C37">
      <w:pPr>
        <w:spacing w:line="360" w:lineRule="auto"/>
        <w:ind w:left="720"/>
        <w:jc w:val="both"/>
        <w:rPr>
          <w:rFonts w:ascii="David" w:hAnsi="David"/>
          <w:rtl/>
        </w:rPr>
      </w:pPr>
      <w:r>
        <w:rPr>
          <w:rFonts w:ascii="David" w:hAnsi="David" w:hint="cs"/>
          <w:rtl/>
        </w:rPr>
        <w:t>הממונה ערך את הבדיקות הרלוונטיות ואף פנה לקבלת עמדתה של המשטרה בנדון, בסוגיית מסוכנותו של הנאשם כלפי עצמו או כלפי סביבתו, אם יישא בענישה של עבודות שירות. נציג המשטרה הודיע כי אין מידע המצביע על קיומו של יסוד סביר לחשש לפגיעה בגופו או בחייו של כל אדם, לרבות הנאשם עצמו, אם ירצה מאסר בעבודות שירות, קרי לא התנגדה לאפשרות זו.</w:t>
      </w:r>
    </w:p>
    <w:p w14:paraId="06222BD6" w14:textId="77777777" w:rsidR="008A5C37" w:rsidRPr="00260BAC" w:rsidRDefault="008A5C37" w:rsidP="008A5C37">
      <w:pPr>
        <w:spacing w:line="360" w:lineRule="auto"/>
        <w:ind w:left="720"/>
        <w:jc w:val="both"/>
        <w:rPr>
          <w:rFonts w:ascii="David" w:hAnsi="David"/>
          <w:sz w:val="14"/>
          <w:szCs w:val="14"/>
          <w:rtl/>
        </w:rPr>
      </w:pPr>
    </w:p>
    <w:p w14:paraId="67F85408" w14:textId="77777777" w:rsidR="008A5C37" w:rsidRDefault="008A5C37" w:rsidP="008A5C37">
      <w:pPr>
        <w:spacing w:line="360" w:lineRule="auto"/>
        <w:ind w:left="720"/>
        <w:jc w:val="both"/>
        <w:rPr>
          <w:rFonts w:ascii="David" w:hAnsi="David"/>
          <w:rtl/>
        </w:rPr>
      </w:pPr>
      <w:r>
        <w:rPr>
          <w:rFonts w:ascii="David" w:hAnsi="David" w:hint="cs"/>
          <w:rtl/>
        </w:rPr>
        <w:t>בסופו של יום הודיע הממונה כי הנאשם מתאים לשאת מאסר בעבודות שירות, ואף ייעד אותו לביצוען במועצה מקומית בסמת טבעון, החל מיום 11/1/23.</w:t>
      </w:r>
    </w:p>
    <w:p w14:paraId="3CBCA5F3" w14:textId="77777777" w:rsidR="008A5C37" w:rsidRPr="000D344A" w:rsidRDefault="008A5C37" w:rsidP="008A5C37">
      <w:pPr>
        <w:spacing w:line="360" w:lineRule="auto"/>
        <w:ind w:left="720"/>
        <w:jc w:val="both"/>
        <w:rPr>
          <w:rFonts w:ascii="David" w:hAnsi="David"/>
          <w:sz w:val="20"/>
          <w:szCs w:val="20"/>
          <w:rtl/>
        </w:rPr>
      </w:pPr>
    </w:p>
    <w:p w14:paraId="2C373C76" w14:textId="77777777" w:rsidR="008A5C37" w:rsidRPr="00260BAC" w:rsidRDefault="008A5C37" w:rsidP="008A5C37">
      <w:pPr>
        <w:spacing w:line="360" w:lineRule="auto"/>
        <w:ind w:left="737" w:hanging="737"/>
        <w:jc w:val="both"/>
        <w:rPr>
          <w:rFonts w:ascii="David" w:eastAsia="Calibri" w:hAnsi="David"/>
          <w:rtl/>
        </w:rPr>
      </w:pPr>
      <w:r w:rsidRPr="00260BAC">
        <w:rPr>
          <w:rFonts w:ascii="David" w:hAnsi="David" w:hint="cs"/>
          <w:b/>
          <w:bCs/>
          <w:rtl/>
        </w:rPr>
        <w:t>2</w:t>
      </w:r>
      <w:r>
        <w:rPr>
          <w:rFonts w:ascii="David" w:hAnsi="David" w:hint="cs"/>
          <w:b/>
          <w:bCs/>
          <w:rtl/>
        </w:rPr>
        <w:t>3</w:t>
      </w:r>
      <w:r w:rsidRPr="00260BAC">
        <w:rPr>
          <w:rFonts w:ascii="David" w:hAnsi="David" w:hint="cs"/>
          <w:b/>
          <w:bCs/>
          <w:rtl/>
        </w:rPr>
        <w:t>.</w:t>
      </w:r>
      <w:r>
        <w:rPr>
          <w:rFonts w:ascii="David" w:hAnsi="David" w:hint="cs"/>
          <w:rtl/>
        </w:rPr>
        <w:tab/>
      </w:r>
      <w:r w:rsidRPr="00260BAC">
        <w:rPr>
          <w:rFonts w:ascii="David" w:hAnsi="David" w:hint="cs"/>
          <w:rtl/>
        </w:rPr>
        <w:t>נתתי דעתי ל</w:t>
      </w:r>
      <w:r w:rsidRPr="00260BAC">
        <w:rPr>
          <w:rFonts w:ascii="David" w:hAnsi="David"/>
          <w:rtl/>
        </w:rPr>
        <w:t>חומרה הגלומה בעבירות שביצע</w:t>
      </w:r>
      <w:r w:rsidRPr="00260BAC">
        <w:rPr>
          <w:rFonts w:ascii="David" w:hAnsi="David" w:hint="cs"/>
          <w:rtl/>
        </w:rPr>
        <w:t xml:space="preserve"> הנאשם,</w:t>
      </w:r>
      <w:r w:rsidRPr="00260BAC">
        <w:rPr>
          <w:rFonts w:ascii="David" w:hAnsi="David"/>
          <w:rtl/>
        </w:rPr>
        <w:t xml:space="preserve"> </w:t>
      </w:r>
      <w:r w:rsidRPr="00260BAC">
        <w:rPr>
          <w:rFonts w:ascii="David" w:hAnsi="David" w:hint="cs"/>
          <w:rtl/>
        </w:rPr>
        <w:t>לסיכון העולה מביצוען</w:t>
      </w:r>
      <w:r w:rsidRPr="00260BAC">
        <w:rPr>
          <w:rFonts w:ascii="David" w:hAnsi="David"/>
          <w:rtl/>
        </w:rPr>
        <w:t>, ו</w:t>
      </w:r>
      <w:r w:rsidRPr="00260BAC">
        <w:rPr>
          <w:rFonts w:ascii="David" w:hAnsi="David" w:hint="cs"/>
          <w:rtl/>
        </w:rPr>
        <w:t>ל</w:t>
      </w:r>
      <w:r w:rsidRPr="00260BAC">
        <w:rPr>
          <w:rFonts w:ascii="David" w:hAnsi="David"/>
          <w:rtl/>
        </w:rPr>
        <w:t>שיקולים של אינטרס</w:t>
      </w:r>
      <w:r w:rsidRPr="00260BAC">
        <w:rPr>
          <w:rFonts w:ascii="David" w:hAnsi="David" w:hint="cs"/>
          <w:rtl/>
        </w:rPr>
        <w:t xml:space="preserve">  </w:t>
      </w:r>
      <w:r w:rsidRPr="00260BAC">
        <w:rPr>
          <w:rFonts w:ascii="David" w:hAnsi="David"/>
          <w:rtl/>
        </w:rPr>
        <w:t>ההגנה על הציבור, שלומו ובריאות</w:t>
      </w:r>
      <w:r w:rsidRPr="00260BAC">
        <w:rPr>
          <w:rFonts w:ascii="David" w:hAnsi="David" w:hint="cs"/>
          <w:rtl/>
        </w:rPr>
        <w:t>ו</w:t>
      </w:r>
      <w:r w:rsidRPr="00260BAC">
        <w:rPr>
          <w:rFonts w:ascii="David" w:hAnsi="David"/>
          <w:rtl/>
        </w:rPr>
        <w:t xml:space="preserve">, וכן </w:t>
      </w:r>
      <w:r w:rsidRPr="00260BAC">
        <w:rPr>
          <w:rFonts w:ascii="David" w:hAnsi="David" w:hint="cs"/>
          <w:rtl/>
        </w:rPr>
        <w:t>ל</w:t>
      </w:r>
      <w:r w:rsidRPr="00260BAC">
        <w:rPr>
          <w:rFonts w:ascii="David" w:hAnsi="David"/>
          <w:rtl/>
        </w:rPr>
        <w:t>שיקולי גמול והרתעת היחיד והרבים</w:t>
      </w:r>
      <w:r w:rsidRPr="00260BAC">
        <w:rPr>
          <w:rFonts w:ascii="David" w:hAnsi="David" w:hint="cs"/>
          <w:rtl/>
        </w:rPr>
        <w:t xml:space="preserve">; עם זאת, </w:t>
      </w:r>
      <w:r>
        <w:rPr>
          <w:rFonts w:ascii="David" w:hAnsi="David" w:hint="cs"/>
          <w:rtl/>
        </w:rPr>
        <w:t xml:space="preserve">יובאו </w:t>
      </w:r>
      <w:r w:rsidRPr="00260BAC">
        <w:rPr>
          <w:rFonts w:ascii="David" w:hAnsi="David" w:hint="cs"/>
          <w:rtl/>
        </w:rPr>
        <w:t xml:space="preserve">בחשבון </w:t>
      </w:r>
      <w:r>
        <w:rPr>
          <w:rFonts w:ascii="David" w:hAnsi="David" w:hint="cs"/>
          <w:rtl/>
        </w:rPr>
        <w:t xml:space="preserve">גם </w:t>
      </w:r>
      <w:r w:rsidRPr="00260BAC">
        <w:rPr>
          <w:rFonts w:ascii="David" w:hAnsi="David" w:hint="cs"/>
          <w:rtl/>
        </w:rPr>
        <w:t>נסיבות ביצוע העבירות, משכן הקצר ומקום ביצוען בחורשה, העובדה כי בוצעו על ידי הנאשם</w:t>
      </w:r>
      <w:r>
        <w:rPr>
          <w:rFonts w:ascii="David" w:hAnsi="David" w:hint="cs"/>
          <w:rtl/>
        </w:rPr>
        <w:t xml:space="preserve"> </w:t>
      </w:r>
      <w:r w:rsidRPr="00260BAC">
        <w:rPr>
          <w:rFonts w:ascii="David" w:hAnsi="David" w:hint="cs"/>
          <w:rtl/>
        </w:rPr>
        <w:t xml:space="preserve"> - שאורח חייו היה נורמטיבי עד לביצוע העבירות, כעולה גם מעמדת המשטרה כמפורט ל</w:t>
      </w:r>
      <w:r>
        <w:rPr>
          <w:rFonts w:ascii="David" w:hAnsi="David" w:hint="cs"/>
          <w:rtl/>
        </w:rPr>
        <w:t>עיל</w:t>
      </w:r>
      <w:r w:rsidRPr="00260BAC">
        <w:rPr>
          <w:rFonts w:ascii="David" w:hAnsi="David" w:hint="cs"/>
          <w:rtl/>
        </w:rPr>
        <w:t xml:space="preserve"> - בנשק ש</w:t>
      </w:r>
      <w:r>
        <w:rPr>
          <w:rFonts w:ascii="David" w:hAnsi="David" w:hint="cs"/>
          <w:rtl/>
        </w:rPr>
        <w:t>החוזק כדין על ידי החייל ,</w:t>
      </w:r>
      <w:r w:rsidRPr="00260BAC">
        <w:rPr>
          <w:rFonts w:ascii="David" w:hAnsi="David" w:hint="cs"/>
          <w:rtl/>
        </w:rPr>
        <w:t xml:space="preserve"> מעצרו של הנאשם למשך מספר שבועות מאחורי סורג ובריח, </w:t>
      </w:r>
      <w:r>
        <w:rPr>
          <w:rFonts w:ascii="David" w:hAnsi="David" w:hint="cs"/>
          <w:rtl/>
        </w:rPr>
        <w:t xml:space="preserve">מעצרו מיום 2/2/22 באיזוק אלקטרוני, ולא פחות מכך </w:t>
      </w:r>
      <w:r w:rsidRPr="00260BAC">
        <w:rPr>
          <w:rFonts w:ascii="David" w:hAnsi="David" w:hint="cs"/>
          <w:rtl/>
        </w:rPr>
        <w:t xml:space="preserve">העובדה כי עד </w:t>
      </w:r>
      <w:r>
        <w:rPr>
          <w:rFonts w:ascii="David" w:hAnsi="David" w:hint="cs"/>
          <w:rtl/>
        </w:rPr>
        <w:t>היום</w:t>
      </w:r>
      <w:r w:rsidRPr="00260BAC">
        <w:rPr>
          <w:rFonts w:ascii="David" w:hAnsi="David" w:hint="cs"/>
          <w:rtl/>
        </w:rPr>
        <w:t xml:space="preserve"> אין</w:t>
      </w:r>
      <w:r>
        <w:rPr>
          <w:rFonts w:ascii="David" w:hAnsi="David" w:hint="cs"/>
          <w:rtl/>
        </w:rPr>
        <w:t xml:space="preserve"> </w:t>
      </w:r>
      <w:r w:rsidRPr="00260BAC">
        <w:rPr>
          <w:rFonts w:ascii="David" w:hAnsi="David" w:hint="cs"/>
          <w:rtl/>
        </w:rPr>
        <w:t>ראייה להגשת כתב אישום נגד החייל</w:t>
      </w:r>
      <w:r>
        <w:rPr>
          <w:rFonts w:ascii="David" w:hAnsi="David" w:hint="cs"/>
          <w:rtl/>
        </w:rPr>
        <w:t>, שנתן לנאשם את נשקו הצהלי לשם ירייה אחת באוויר בחורשה במקרה הראשון וארבע יריות באוויר בחורשה במקרה השני</w:t>
      </w:r>
      <w:r w:rsidRPr="00260BAC">
        <w:rPr>
          <w:rFonts w:ascii="David" w:hAnsi="David" w:hint="cs"/>
          <w:rtl/>
        </w:rPr>
        <w:t xml:space="preserve">; בנסיבות אלה מצאתי לנכון </w:t>
      </w:r>
      <w:r w:rsidRPr="00260BAC">
        <w:rPr>
          <w:rFonts w:ascii="David" w:hAnsi="David"/>
          <w:rtl/>
        </w:rPr>
        <w:t>לאמץ את המלצת שירות המבחן להשית</w:t>
      </w:r>
      <w:r w:rsidRPr="00260BAC">
        <w:rPr>
          <w:rFonts w:ascii="David" w:hAnsi="David" w:hint="cs"/>
          <w:rtl/>
        </w:rPr>
        <w:t xml:space="preserve"> על </w:t>
      </w:r>
      <w:r w:rsidRPr="00260BAC">
        <w:rPr>
          <w:rFonts w:ascii="David" w:hAnsi="David"/>
          <w:rtl/>
        </w:rPr>
        <w:t xml:space="preserve">הנאשם עונש שאינו כרוך במאסר בפועל, </w:t>
      </w:r>
      <w:r w:rsidRPr="00260BAC">
        <w:rPr>
          <w:rFonts w:ascii="David" w:hAnsi="David" w:hint="cs"/>
          <w:rtl/>
        </w:rPr>
        <w:t>ולסטות ממתחם הענישה, בין השאר משיקולים של אחידות הענישה העתידית בעניינו של החייל.</w:t>
      </w:r>
    </w:p>
    <w:p w14:paraId="5E1744E5" w14:textId="77777777" w:rsidR="008A5C37" w:rsidRPr="000D344A" w:rsidRDefault="008A5C37" w:rsidP="008A5C37">
      <w:pPr>
        <w:spacing w:line="360" w:lineRule="auto"/>
        <w:ind w:left="720"/>
        <w:jc w:val="both"/>
        <w:rPr>
          <w:rFonts w:ascii="David" w:hAnsi="David"/>
          <w:sz w:val="20"/>
          <w:szCs w:val="20"/>
          <w:rtl/>
        </w:rPr>
      </w:pPr>
    </w:p>
    <w:p w14:paraId="3DBAF0B7" w14:textId="77777777" w:rsidR="008A5C37" w:rsidRDefault="008A5C37" w:rsidP="008A5C37">
      <w:pPr>
        <w:tabs>
          <w:tab w:val="left" w:pos="567"/>
          <w:tab w:val="left" w:pos="1134"/>
          <w:tab w:val="left" w:pos="1701"/>
          <w:tab w:val="left" w:pos="2268"/>
        </w:tabs>
        <w:spacing w:line="360" w:lineRule="auto"/>
        <w:ind w:left="567" w:hanging="822"/>
        <w:jc w:val="both"/>
        <w:rPr>
          <w:rFonts w:ascii="David" w:hAnsi="David"/>
          <w:b/>
          <w:bCs/>
          <w:u w:val="single"/>
          <w:rtl/>
        </w:rPr>
      </w:pPr>
      <w:r>
        <w:rPr>
          <w:rFonts w:ascii="David" w:eastAsia="Calibri" w:hAnsi="David" w:hint="cs"/>
          <w:b/>
          <w:bCs/>
          <w:rtl/>
        </w:rPr>
        <w:t>24.</w:t>
      </w:r>
      <w:r>
        <w:rPr>
          <w:rFonts w:ascii="David" w:hAnsi="David" w:hint="cs"/>
          <w:sz w:val="16"/>
          <w:szCs w:val="16"/>
          <w:rtl/>
        </w:rPr>
        <w:tab/>
      </w:r>
      <w:r w:rsidRPr="000D344A">
        <w:rPr>
          <w:rFonts w:ascii="David" w:hAnsi="David" w:hint="cs"/>
          <w:b/>
          <w:bCs/>
          <w:rtl/>
        </w:rPr>
        <w:t xml:space="preserve">   </w:t>
      </w:r>
      <w:r w:rsidRPr="00CF6318">
        <w:rPr>
          <w:rFonts w:ascii="David" w:hAnsi="David" w:hint="cs"/>
          <w:b/>
          <w:bCs/>
          <w:u w:val="single"/>
          <w:rtl/>
        </w:rPr>
        <w:t>סוף דבר</w:t>
      </w:r>
    </w:p>
    <w:p w14:paraId="47B1690F" w14:textId="77777777" w:rsidR="008A5C37" w:rsidRPr="000D344A" w:rsidRDefault="008A5C37" w:rsidP="008A5C37">
      <w:pPr>
        <w:tabs>
          <w:tab w:val="left" w:pos="567"/>
          <w:tab w:val="left" w:pos="1134"/>
          <w:tab w:val="left" w:pos="1701"/>
          <w:tab w:val="left" w:pos="2268"/>
        </w:tabs>
        <w:spacing w:line="360" w:lineRule="auto"/>
        <w:ind w:left="567" w:hanging="822"/>
        <w:jc w:val="both"/>
        <w:rPr>
          <w:rFonts w:ascii="David" w:hAnsi="David"/>
          <w:b/>
          <w:bCs/>
          <w:sz w:val="10"/>
          <w:szCs w:val="10"/>
          <w:u w:val="single"/>
          <w:rtl/>
        </w:rPr>
      </w:pPr>
    </w:p>
    <w:p w14:paraId="7C183059" w14:textId="77777777" w:rsidR="008A5C37" w:rsidRDefault="008A5C37" w:rsidP="008A5C37">
      <w:pPr>
        <w:spacing w:line="360" w:lineRule="auto"/>
        <w:ind w:left="595"/>
        <w:jc w:val="both"/>
        <w:rPr>
          <w:rFonts w:ascii="David" w:eastAsia="Calibri" w:hAnsi="David"/>
          <w:rtl/>
        </w:rPr>
      </w:pPr>
      <w:r>
        <w:rPr>
          <w:rFonts w:ascii="David" w:eastAsia="Calibri" w:hAnsi="David" w:hint="cs"/>
          <w:rtl/>
        </w:rPr>
        <w:t xml:space="preserve">  </w:t>
      </w:r>
      <w:r w:rsidRPr="004E12BD">
        <w:rPr>
          <w:rFonts w:ascii="David" w:eastAsia="Calibri" w:hAnsi="David"/>
          <w:rtl/>
        </w:rPr>
        <w:t xml:space="preserve">נוכח כל המקובץ לעיל, אני רואה להטיל על הנאשם עונשים כדלהלן: </w:t>
      </w:r>
    </w:p>
    <w:p w14:paraId="4703C69C" w14:textId="77777777" w:rsidR="008A5C37" w:rsidRPr="00D345D6" w:rsidRDefault="008A5C37" w:rsidP="008A5C37">
      <w:pPr>
        <w:spacing w:line="360" w:lineRule="auto"/>
        <w:ind w:left="595"/>
        <w:jc w:val="both"/>
        <w:rPr>
          <w:rFonts w:ascii="David" w:eastAsia="Calibri" w:hAnsi="David"/>
          <w:sz w:val="14"/>
          <w:szCs w:val="14"/>
          <w:rtl/>
        </w:rPr>
      </w:pPr>
    </w:p>
    <w:p w14:paraId="76E7274F" w14:textId="77777777" w:rsidR="008A5C37" w:rsidRPr="004E12BD" w:rsidRDefault="008A5C37" w:rsidP="008A5C37">
      <w:pPr>
        <w:spacing w:line="360" w:lineRule="auto"/>
        <w:ind w:left="720" w:firstLine="40"/>
        <w:jc w:val="both"/>
        <w:rPr>
          <w:rFonts w:ascii="David" w:eastAsia="Calibri" w:hAnsi="David"/>
          <w:rtl/>
        </w:rPr>
      </w:pPr>
      <w:r w:rsidRPr="004E12BD">
        <w:rPr>
          <w:rFonts w:ascii="David" w:eastAsia="Calibri" w:hAnsi="David"/>
          <w:b/>
          <w:bCs/>
          <w:rtl/>
        </w:rPr>
        <w:t>א</w:t>
      </w:r>
      <w:r w:rsidRPr="004E12BD">
        <w:rPr>
          <w:rFonts w:ascii="David" w:eastAsia="Calibri" w:hAnsi="David"/>
          <w:rtl/>
        </w:rPr>
        <w:t>.</w:t>
      </w:r>
      <w:r>
        <w:rPr>
          <w:rFonts w:ascii="David" w:eastAsia="Calibri" w:hAnsi="David" w:hint="cs"/>
          <w:rtl/>
        </w:rPr>
        <w:t xml:space="preserve">  </w:t>
      </w:r>
      <w:r w:rsidRPr="004E12BD">
        <w:rPr>
          <w:rFonts w:ascii="David" w:eastAsia="Calibri" w:hAnsi="David"/>
          <w:rtl/>
        </w:rPr>
        <w:t xml:space="preserve"> </w:t>
      </w:r>
      <w:r w:rsidRPr="004E12BD">
        <w:rPr>
          <w:rFonts w:ascii="David" w:eastAsia="Calibri" w:hAnsi="David" w:hint="cs"/>
          <w:b/>
          <w:bCs/>
          <w:rtl/>
        </w:rPr>
        <w:t xml:space="preserve">9 </w:t>
      </w:r>
      <w:r w:rsidRPr="004E12BD">
        <w:rPr>
          <w:rFonts w:ascii="David" w:eastAsia="Calibri" w:hAnsi="David"/>
          <w:b/>
          <w:bCs/>
          <w:rtl/>
        </w:rPr>
        <w:t xml:space="preserve">חודשי מאסר </w:t>
      </w:r>
      <w:r w:rsidRPr="004E12BD">
        <w:rPr>
          <w:rFonts w:ascii="David" w:eastAsia="Calibri" w:hAnsi="David" w:hint="cs"/>
          <w:b/>
          <w:bCs/>
          <w:rtl/>
        </w:rPr>
        <w:t>לנשיאה בעבודות שירות</w:t>
      </w:r>
      <w:r>
        <w:rPr>
          <w:rFonts w:ascii="David" w:eastAsia="Calibri" w:hAnsi="David" w:hint="cs"/>
          <w:rtl/>
        </w:rPr>
        <w:t xml:space="preserve">, </w:t>
      </w:r>
      <w:r w:rsidRPr="004E12BD">
        <w:rPr>
          <w:rFonts w:ascii="David" w:eastAsia="Calibri" w:hAnsi="David" w:hint="cs"/>
          <w:rtl/>
        </w:rPr>
        <w:t xml:space="preserve">החל מיום 11/1/23, </w:t>
      </w:r>
      <w:r>
        <w:rPr>
          <w:rFonts w:ascii="David" w:eastAsia="Calibri" w:hAnsi="David" w:hint="cs"/>
          <w:rtl/>
        </w:rPr>
        <w:t>ללא ניכוי של ת</w:t>
      </w:r>
      <w:r w:rsidRPr="004E12BD">
        <w:rPr>
          <w:rFonts w:ascii="David" w:eastAsia="Calibri" w:hAnsi="David"/>
          <w:rtl/>
        </w:rPr>
        <w:t xml:space="preserve">קופת מעצרו </w:t>
      </w:r>
      <w:r w:rsidRPr="004E12BD">
        <w:rPr>
          <w:rFonts w:ascii="David" w:eastAsia="Calibri" w:hAnsi="David" w:hint="cs"/>
          <w:rtl/>
        </w:rPr>
        <w:t xml:space="preserve">של הנאשם </w:t>
      </w:r>
      <w:r>
        <w:rPr>
          <w:rFonts w:ascii="David" w:eastAsia="Calibri" w:hAnsi="David" w:hint="cs"/>
          <w:rtl/>
        </w:rPr>
        <w:t>בפועל</w:t>
      </w:r>
      <w:r w:rsidRPr="004E12BD">
        <w:rPr>
          <w:rFonts w:ascii="David" w:eastAsia="Calibri" w:hAnsi="David" w:hint="cs"/>
          <w:rtl/>
        </w:rPr>
        <w:t>.</w:t>
      </w:r>
    </w:p>
    <w:p w14:paraId="1CDBFD55" w14:textId="77777777" w:rsidR="008A5C37" w:rsidRPr="000D344A" w:rsidRDefault="008A5C37" w:rsidP="008A5C37">
      <w:pPr>
        <w:spacing w:line="360" w:lineRule="auto"/>
        <w:jc w:val="both"/>
        <w:rPr>
          <w:rFonts w:ascii="David" w:hAnsi="David"/>
          <w:sz w:val="14"/>
          <w:szCs w:val="14"/>
          <w:rtl/>
        </w:rPr>
      </w:pPr>
    </w:p>
    <w:p w14:paraId="3E9274A1" w14:textId="77777777" w:rsidR="008A5C37" w:rsidRDefault="008A5C37" w:rsidP="008A5C37">
      <w:pPr>
        <w:spacing w:line="360" w:lineRule="auto"/>
        <w:ind w:left="720"/>
        <w:jc w:val="both"/>
        <w:rPr>
          <w:rFonts w:ascii="David" w:hAnsi="David"/>
          <w:rtl/>
        </w:rPr>
      </w:pPr>
      <w:r>
        <w:rPr>
          <w:rFonts w:ascii="David" w:hAnsi="David"/>
          <w:b/>
          <w:bCs/>
          <w:rtl/>
        </w:rPr>
        <w:t xml:space="preserve">ב. </w:t>
      </w:r>
      <w:r>
        <w:rPr>
          <w:rFonts w:ascii="David" w:hAnsi="David"/>
          <w:rtl/>
        </w:rPr>
        <w:t xml:space="preserve"> </w:t>
      </w:r>
      <w:r w:rsidRPr="000D344A">
        <w:rPr>
          <w:rFonts w:ascii="David" w:hAnsi="David"/>
          <w:b/>
          <w:bCs/>
          <w:rtl/>
        </w:rPr>
        <w:t>מאסר על תנאי</w:t>
      </w:r>
      <w:r>
        <w:rPr>
          <w:rFonts w:ascii="David" w:hAnsi="David"/>
          <w:rtl/>
        </w:rPr>
        <w:t xml:space="preserve"> למשך 18 חודשים, שהנאשם לא יישא בו זולת אם יעבור בתוך שלוש שנים מיום שחרורו עבירות בנשק או כל עבירת אלימות או רכוש מסוג פשע, ויורשע בה בתוך תקופת התנאי או לאחריה.</w:t>
      </w:r>
    </w:p>
    <w:p w14:paraId="13911AA9" w14:textId="77777777" w:rsidR="008A5C37" w:rsidRPr="000D344A" w:rsidRDefault="008A5C37" w:rsidP="008A5C37">
      <w:pPr>
        <w:spacing w:line="360" w:lineRule="auto"/>
        <w:ind w:left="720"/>
        <w:jc w:val="both"/>
        <w:rPr>
          <w:rFonts w:ascii="David" w:hAnsi="David"/>
          <w:sz w:val="14"/>
          <w:szCs w:val="14"/>
          <w:rtl/>
        </w:rPr>
      </w:pPr>
    </w:p>
    <w:p w14:paraId="40B87486" w14:textId="77777777" w:rsidR="008A5C37" w:rsidRDefault="008A5C37" w:rsidP="008A5C37">
      <w:pPr>
        <w:spacing w:line="360" w:lineRule="auto"/>
        <w:ind w:left="720"/>
        <w:jc w:val="both"/>
        <w:rPr>
          <w:rFonts w:ascii="David" w:hAnsi="David"/>
          <w:rtl/>
        </w:rPr>
      </w:pPr>
      <w:r w:rsidRPr="000D344A">
        <w:rPr>
          <w:rFonts w:ascii="David" w:hAnsi="David"/>
          <w:b/>
          <w:bCs/>
          <w:rtl/>
        </w:rPr>
        <w:t>מאסר על תנאי</w:t>
      </w:r>
      <w:r>
        <w:rPr>
          <w:rFonts w:ascii="David" w:hAnsi="David"/>
          <w:rtl/>
        </w:rPr>
        <w:t xml:space="preserve"> למשך 6 חודשים, שהנאשם לא יישא בו זולת אם יעבור בתוך שלוש שנים מיום שחרורו עבירות בנשק מסוג עוון בה הורשע, ויורשע בה בתוך תקופת התנאי או לאחריה.</w:t>
      </w:r>
    </w:p>
    <w:p w14:paraId="7F5B1C2E" w14:textId="77777777" w:rsidR="008A5C37" w:rsidRPr="004E12BD" w:rsidRDefault="008A5C37" w:rsidP="008A5C37">
      <w:pPr>
        <w:spacing w:line="360" w:lineRule="auto"/>
        <w:ind w:left="720"/>
        <w:jc w:val="both"/>
        <w:rPr>
          <w:rFonts w:ascii="David" w:hAnsi="David"/>
          <w:sz w:val="18"/>
          <w:szCs w:val="18"/>
          <w:rtl/>
        </w:rPr>
      </w:pPr>
    </w:p>
    <w:p w14:paraId="6555194E" w14:textId="77777777" w:rsidR="008A5C37" w:rsidRDefault="008A5C37" w:rsidP="008A5C37">
      <w:pPr>
        <w:spacing w:line="360" w:lineRule="auto"/>
        <w:ind w:left="720"/>
        <w:jc w:val="both"/>
        <w:rPr>
          <w:rFonts w:ascii="David" w:hAnsi="David"/>
          <w:rtl/>
        </w:rPr>
      </w:pPr>
      <w:r>
        <w:rPr>
          <w:rFonts w:ascii="David" w:hAnsi="David" w:hint="cs"/>
          <w:b/>
          <w:bCs/>
          <w:rtl/>
        </w:rPr>
        <w:t>ג.</w:t>
      </w:r>
      <w:r>
        <w:rPr>
          <w:rFonts w:ascii="David" w:hAnsi="David" w:hint="cs"/>
          <w:rtl/>
        </w:rPr>
        <w:t xml:space="preserve"> קנס בסך 10,000 ₪ או מאסר של 45 יום תמורתו. הקנס ישולם ב- 5 תשלומים חודשיים שווים ורצופים החל יום 15/1/23 ואילך. ככל שתשלום כלשהו לא ייפרע, יעמוד הקנס כולו לפירעון מידי. </w:t>
      </w:r>
    </w:p>
    <w:p w14:paraId="0CB8A446" w14:textId="77777777" w:rsidR="008A5C37" w:rsidRDefault="008A5C37" w:rsidP="008A5C37">
      <w:pPr>
        <w:spacing w:line="360" w:lineRule="auto"/>
        <w:ind w:left="720"/>
        <w:jc w:val="both"/>
        <w:rPr>
          <w:rFonts w:ascii="David" w:hAnsi="David"/>
          <w:sz w:val="16"/>
          <w:szCs w:val="16"/>
          <w:rtl/>
        </w:rPr>
      </w:pPr>
    </w:p>
    <w:p w14:paraId="2282CA3A" w14:textId="77777777" w:rsidR="008A5C37" w:rsidRDefault="00C16C4C" w:rsidP="008A5C37">
      <w:pPr>
        <w:shd w:val="clear" w:color="auto" w:fill="FFFFFF"/>
        <w:spacing w:line="360" w:lineRule="atLeast"/>
        <w:ind w:right="-709"/>
        <w:jc w:val="both"/>
        <w:rPr>
          <w:rFonts w:ascii="David" w:hAnsi="David"/>
          <w:rtl/>
        </w:rPr>
      </w:pPr>
      <w:r w:rsidRPr="00C16C4C">
        <w:rPr>
          <w:rFonts w:ascii="David" w:hAnsi="David"/>
          <w:b/>
          <w:bCs/>
          <w:color w:val="FFFFFF"/>
          <w:sz w:val="2"/>
          <w:szCs w:val="2"/>
          <w:rtl/>
        </w:rPr>
        <w:t>5129371</w:t>
      </w:r>
      <w:r>
        <w:rPr>
          <w:rFonts w:ascii="David" w:hAnsi="David"/>
          <w:b/>
          <w:bCs/>
          <w:color w:val="000000"/>
          <w:rtl/>
        </w:rPr>
        <w:t xml:space="preserve"> </w:t>
      </w:r>
      <w:r w:rsidR="008A5C37">
        <w:rPr>
          <w:rFonts w:ascii="David" w:hAnsi="David"/>
          <w:b/>
          <w:bCs/>
          <w:color w:val="000000"/>
          <w:rtl/>
        </w:rPr>
        <w:tab/>
      </w:r>
      <w:r w:rsidR="008A5C37">
        <w:rPr>
          <w:rFonts w:ascii="David" w:hAnsi="David"/>
          <w:b/>
          <w:bCs/>
          <w:color w:val="000000"/>
          <w:u w:val="single"/>
          <w:rtl/>
        </w:rPr>
        <w:t>זכות ערעור לבית המשפט העליון בתוך 45 יום מהיום</w:t>
      </w:r>
      <w:r w:rsidR="008A5C37">
        <w:rPr>
          <w:rFonts w:ascii="David" w:hAnsi="David"/>
          <w:b/>
          <w:bCs/>
          <w:color w:val="000000"/>
          <w:rtl/>
        </w:rPr>
        <w:t>.</w:t>
      </w:r>
    </w:p>
    <w:p w14:paraId="0E94E0C6" w14:textId="77777777" w:rsidR="008A5C37" w:rsidRPr="00C16C4C" w:rsidRDefault="00C16C4C" w:rsidP="008A5C37">
      <w:pPr>
        <w:rPr>
          <w:rFonts w:ascii="Arial" w:hAnsi="Arial"/>
          <w:b/>
          <w:bCs/>
          <w:color w:val="FFFFFF"/>
          <w:sz w:val="2"/>
          <w:szCs w:val="2"/>
          <w:rtl/>
        </w:rPr>
      </w:pPr>
      <w:r w:rsidRPr="00C16C4C">
        <w:rPr>
          <w:rFonts w:ascii="Arial" w:hAnsi="Arial"/>
          <w:b/>
          <w:bCs/>
          <w:color w:val="FFFFFF"/>
          <w:sz w:val="2"/>
          <w:szCs w:val="2"/>
          <w:rtl/>
        </w:rPr>
        <w:t>54678313</w:t>
      </w:r>
    </w:p>
    <w:p w14:paraId="007FCD45" w14:textId="77777777" w:rsidR="008A5C37" w:rsidRDefault="008A5C37" w:rsidP="008A5C37">
      <w:pPr>
        <w:rPr>
          <w:rFonts w:ascii="Arial" w:hAnsi="Arial"/>
          <w:b/>
          <w:bCs/>
          <w:sz w:val="26"/>
          <w:szCs w:val="26"/>
          <w:rtl/>
        </w:rPr>
      </w:pPr>
    </w:p>
    <w:p w14:paraId="41F29287" w14:textId="77777777" w:rsidR="008A5C37" w:rsidRPr="006C653A" w:rsidRDefault="00C16C4C" w:rsidP="008A5C37">
      <w:pPr>
        <w:spacing w:line="360" w:lineRule="auto"/>
        <w:ind w:firstLine="720"/>
        <w:jc w:val="both"/>
        <w:rPr>
          <w:rFonts w:ascii="Arial" w:hAnsi="Arial"/>
          <w:b/>
          <w:bCs/>
          <w:sz w:val="26"/>
          <w:szCs w:val="26"/>
          <w:rtl/>
        </w:rPr>
      </w:pPr>
      <w:bookmarkStart w:id="7" w:name="Nitan"/>
      <w:r>
        <w:rPr>
          <w:rFonts w:ascii="Arial" w:hAnsi="Arial"/>
          <w:b/>
          <w:bCs/>
          <w:sz w:val="26"/>
          <w:szCs w:val="26"/>
          <w:rtl/>
        </w:rPr>
        <w:t xml:space="preserve">ניתן היום, כ' כסלו תשפ"ג, 14 דצמבר 2022, במעמד הצדדים והנאשם.  </w:t>
      </w:r>
      <w:bookmarkEnd w:id="7"/>
    </w:p>
    <w:p w14:paraId="11EC234F" w14:textId="77777777" w:rsidR="00C16C4C" w:rsidRDefault="00C16C4C" w:rsidP="00C16C4C">
      <w:pPr>
        <w:rPr>
          <w:rtl/>
        </w:rPr>
      </w:pPr>
    </w:p>
    <w:p w14:paraId="2B13399C" w14:textId="77777777" w:rsidR="00C16C4C" w:rsidRDefault="00C16C4C" w:rsidP="00C16C4C">
      <w:pPr>
        <w:jc w:val="center"/>
        <w:rPr>
          <w:color w:val="0000FF"/>
          <w:u w:val="single"/>
        </w:rPr>
      </w:pPr>
      <w:hyperlink r:id="rId121" w:history="1">
        <w:r>
          <w:rPr>
            <w:color w:val="0000FF"/>
            <w:u w:val="single"/>
            <w:rtl/>
          </w:rPr>
          <w:t>בעניין עריכה ושינויים במסמכי פסיקה, חקיקה ועוד באתר נבו – הקש כאן</w:t>
        </w:r>
      </w:hyperlink>
    </w:p>
    <w:p w14:paraId="1B95DA15" w14:textId="77777777" w:rsidR="00121052" w:rsidRPr="00121052" w:rsidRDefault="00121052" w:rsidP="00121052">
      <w:pPr>
        <w:keepNext/>
        <w:rPr>
          <w:rFonts w:ascii="David" w:hAnsi="David"/>
          <w:color w:val="000000"/>
          <w:sz w:val="22"/>
          <w:szCs w:val="22"/>
          <w:rtl/>
        </w:rPr>
      </w:pPr>
    </w:p>
    <w:p w14:paraId="5EDC2B3F" w14:textId="77777777" w:rsidR="00121052" w:rsidRPr="00121052" w:rsidRDefault="00121052" w:rsidP="00121052">
      <w:pPr>
        <w:keepNext/>
        <w:rPr>
          <w:rFonts w:ascii="David" w:hAnsi="David"/>
          <w:color w:val="000000"/>
          <w:sz w:val="22"/>
          <w:szCs w:val="22"/>
          <w:rtl/>
        </w:rPr>
      </w:pPr>
      <w:r w:rsidRPr="00121052">
        <w:rPr>
          <w:rFonts w:ascii="David" w:hAnsi="David"/>
          <w:color w:val="000000"/>
          <w:sz w:val="22"/>
          <w:szCs w:val="22"/>
          <w:rtl/>
        </w:rPr>
        <w:t>דיאנה סלע 54678313-/</w:t>
      </w:r>
    </w:p>
    <w:p w14:paraId="3F740500" w14:textId="77777777" w:rsidR="00C16C4C" w:rsidRPr="00C16C4C" w:rsidRDefault="00121052" w:rsidP="00121052">
      <w:pPr>
        <w:rPr>
          <w:color w:val="0000FF"/>
          <w:u w:val="single"/>
        </w:rPr>
      </w:pPr>
      <w:r w:rsidRPr="00121052">
        <w:rPr>
          <w:color w:val="000000"/>
          <w:u w:val="single"/>
          <w:rtl/>
        </w:rPr>
        <w:t>נוסח מסמך זה כפוף לשינויי ניסוח ועריכה</w:t>
      </w:r>
    </w:p>
    <w:sectPr w:rsidR="00C16C4C" w:rsidRPr="00C16C4C" w:rsidSect="00121052">
      <w:headerReference w:type="even" r:id="rId122"/>
      <w:headerReference w:type="default" r:id="rId123"/>
      <w:footerReference w:type="even" r:id="rId124"/>
      <w:footerReference w:type="default" r:id="rId125"/>
      <w:pgSz w:w="11907" w:h="16840" w:code="9"/>
      <w:pgMar w:top="1701" w:right="1134" w:bottom="709" w:left="124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F33A3" w14:textId="77777777" w:rsidR="00ED49C3" w:rsidRDefault="00ED49C3" w:rsidP="00C6028B">
      <w:r>
        <w:separator/>
      </w:r>
    </w:p>
  </w:endnote>
  <w:endnote w:type="continuationSeparator" w:id="0">
    <w:p w14:paraId="1258E91C" w14:textId="77777777" w:rsidR="00ED49C3" w:rsidRDefault="00ED49C3" w:rsidP="00C6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8A68C" w14:textId="77777777" w:rsidR="00121052" w:rsidRDefault="00121052" w:rsidP="0012105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E6A1A4F" w14:textId="77777777" w:rsidR="007218B1" w:rsidRPr="00121052" w:rsidRDefault="00121052" w:rsidP="00121052">
    <w:pPr>
      <w:pStyle w:val="a5"/>
      <w:pBdr>
        <w:top w:val="single" w:sz="4" w:space="1" w:color="auto"/>
        <w:between w:val="single" w:sz="4" w:space="0" w:color="auto"/>
      </w:pBdr>
      <w:spacing w:after="60"/>
      <w:jc w:val="center"/>
      <w:rPr>
        <w:rFonts w:ascii="FrankRuehl" w:hAnsi="FrankRuehl" w:cs="FrankRuehl"/>
        <w:color w:val="000000"/>
      </w:rPr>
    </w:pPr>
    <w:r w:rsidRPr="001210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69EAA" w14:textId="77777777" w:rsidR="00121052" w:rsidRDefault="00121052" w:rsidP="0012105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B51D7">
      <w:rPr>
        <w:rFonts w:ascii="FrankRuehl" w:hAnsi="FrankRuehl" w:cs="FrankRuehl"/>
        <w:noProof/>
        <w:rtl/>
      </w:rPr>
      <w:t>1</w:t>
    </w:r>
    <w:r>
      <w:rPr>
        <w:rFonts w:ascii="FrankRuehl" w:hAnsi="FrankRuehl" w:cs="FrankRuehl"/>
        <w:rtl/>
      </w:rPr>
      <w:fldChar w:fldCharType="end"/>
    </w:r>
  </w:p>
  <w:p w14:paraId="6581AA62" w14:textId="77777777" w:rsidR="007218B1" w:rsidRPr="00121052" w:rsidRDefault="00121052" w:rsidP="00121052">
    <w:pPr>
      <w:pStyle w:val="a5"/>
      <w:pBdr>
        <w:top w:val="single" w:sz="4" w:space="1" w:color="auto"/>
        <w:between w:val="single" w:sz="4" w:space="0" w:color="auto"/>
      </w:pBdr>
      <w:spacing w:after="60"/>
      <w:jc w:val="center"/>
      <w:rPr>
        <w:rFonts w:ascii="FrankRuehl" w:hAnsi="FrankRuehl" w:cs="FrankRuehl"/>
        <w:color w:val="000000"/>
      </w:rPr>
    </w:pPr>
    <w:r w:rsidRPr="00121052">
      <w:rPr>
        <w:rFonts w:ascii="FrankRuehl" w:hAnsi="FrankRuehl" w:cs="FrankRuehl"/>
        <w:color w:val="000000"/>
      </w:rPr>
      <w:pict w14:anchorId="324CCA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9F21E" w14:textId="77777777" w:rsidR="00ED49C3" w:rsidRDefault="00ED49C3" w:rsidP="00C6028B">
      <w:r>
        <w:separator/>
      </w:r>
    </w:p>
  </w:footnote>
  <w:footnote w:type="continuationSeparator" w:id="0">
    <w:p w14:paraId="01F22FDE" w14:textId="77777777" w:rsidR="00ED49C3" w:rsidRDefault="00ED49C3" w:rsidP="00C60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0729C" w14:textId="77777777" w:rsidR="00C16C4C" w:rsidRPr="00121052" w:rsidRDefault="00121052" w:rsidP="001210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44620-01-22</w:t>
    </w:r>
    <w:r>
      <w:rPr>
        <w:rFonts w:ascii="David" w:hAnsi="David"/>
        <w:color w:val="000000"/>
        <w:sz w:val="22"/>
        <w:szCs w:val="22"/>
        <w:rtl/>
      </w:rPr>
      <w:tab/>
      <w:t xml:space="preserve"> מדינת ישראל נ' מוחמד היב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B7528" w14:textId="77777777" w:rsidR="00C16C4C" w:rsidRPr="00121052" w:rsidRDefault="00121052" w:rsidP="001210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44620-01-22</w:t>
    </w:r>
    <w:r>
      <w:rPr>
        <w:rFonts w:ascii="David" w:hAnsi="David"/>
        <w:color w:val="000000"/>
        <w:sz w:val="22"/>
        <w:szCs w:val="22"/>
        <w:rtl/>
      </w:rPr>
      <w:tab/>
      <w:t xml:space="preserve"> מדינת ישראל נ' מוחמד היב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5C37"/>
    <w:rsid w:val="00121052"/>
    <w:rsid w:val="001667A9"/>
    <w:rsid w:val="001948F6"/>
    <w:rsid w:val="001B5A3B"/>
    <w:rsid w:val="002500E7"/>
    <w:rsid w:val="003B51D7"/>
    <w:rsid w:val="00414232"/>
    <w:rsid w:val="00464176"/>
    <w:rsid w:val="004658A1"/>
    <w:rsid w:val="006E2E59"/>
    <w:rsid w:val="007218B1"/>
    <w:rsid w:val="008A5C37"/>
    <w:rsid w:val="00C16C4C"/>
    <w:rsid w:val="00C6028B"/>
    <w:rsid w:val="00ED49C3"/>
    <w:rsid w:val="00F936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A815A5"/>
  <w15:chartTrackingRefBased/>
  <w15:docId w15:val="{C5EBA747-17BD-4263-A657-5BDDCC95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5C3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5C37"/>
    <w:pPr>
      <w:tabs>
        <w:tab w:val="center" w:pos="4153"/>
        <w:tab w:val="right" w:pos="8306"/>
      </w:tabs>
    </w:pPr>
  </w:style>
  <w:style w:type="character" w:customStyle="1" w:styleId="a4">
    <w:name w:val="כותרת עליונה תו"/>
    <w:link w:val="a3"/>
    <w:rsid w:val="008A5C37"/>
    <w:rPr>
      <w:rFonts w:ascii="Times New Roman" w:eastAsia="Times New Roman" w:hAnsi="Times New Roman" w:cs="David"/>
      <w:sz w:val="24"/>
      <w:szCs w:val="24"/>
    </w:rPr>
  </w:style>
  <w:style w:type="paragraph" w:styleId="a5">
    <w:name w:val="footer"/>
    <w:basedOn w:val="a"/>
    <w:link w:val="a6"/>
    <w:rsid w:val="008A5C37"/>
    <w:pPr>
      <w:tabs>
        <w:tab w:val="center" w:pos="4153"/>
        <w:tab w:val="right" w:pos="8306"/>
      </w:tabs>
    </w:pPr>
  </w:style>
  <w:style w:type="character" w:customStyle="1" w:styleId="a6">
    <w:name w:val="כותרת תחתונה תו"/>
    <w:link w:val="a5"/>
    <w:rsid w:val="008A5C37"/>
    <w:rPr>
      <w:rFonts w:ascii="Times New Roman" w:eastAsia="Times New Roman" w:hAnsi="Times New Roman" w:cs="David"/>
      <w:sz w:val="24"/>
      <w:szCs w:val="24"/>
    </w:rPr>
  </w:style>
  <w:style w:type="table" w:styleId="a7">
    <w:name w:val="Table Grid"/>
    <w:basedOn w:val="a1"/>
    <w:rsid w:val="008A5C3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A5C37"/>
  </w:style>
  <w:style w:type="character" w:customStyle="1" w:styleId="TimesNewRomanTimesNewRoman">
    <w:name w:val="סגנון (לטיני) Times New Roman (עברית ושפות אחרות) Times New Roman..."/>
    <w:rsid w:val="008A5C37"/>
    <w:rPr>
      <w:rFonts w:ascii="Times New Roman" w:hAnsi="Times New Roman" w:cs="David" w:hint="default"/>
      <w:b/>
      <w:bCs/>
      <w:sz w:val="26"/>
      <w:szCs w:val="26"/>
    </w:rPr>
  </w:style>
  <w:style w:type="paragraph" w:styleId="a9">
    <w:name w:val="No Spacing"/>
    <w:qFormat/>
    <w:rsid w:val="008A5C37"/>
    <w:pPr>
      <w:bidi/>
    </w:pPr>
    <w:rPr>
      <w:sz w:val="22"/>
      <w:szCs w:val="22"/>
    </w:rPr>
  </w:style>
  <w:style w:type="character" w:customStyle="1" w:styleId="aa">
    <w:name w:val="פיסקת רשימה תו"/>
    <w:link w:val="ab"/>
    <w:locked/>
    <w:rsid w:val="008A5C37"/>
  </w:style>
  <w:style w:type="paragraph" w:styleId="ab">
    <w:name w:val="List Paragraph"/>
    <w:basedOn w:val="a"/>
    <w:link w:val="aa"/>
    <w:qFormat/>
    <w:rsid w:val="008A5C37"/>
    <w:pPr>
      <w:bidi w:val="0"/>
      <w:spacing w:after="200" w:line="276"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8A5C37"/>
    <w:pPr>
      <w:spacing w:line="360" w:lineRule="auto"/>
      <w:jc w:val="both"/>
    </w:pPr>
  </w:style>
  <w:style w:type="character" w:customStyle="1" w:styleId="Ruller4">
    <w:name w:val="Ruller4 תו"/>
    <w:link w:val="Ruller40"/>
    <w:locked/>
    <w:rsid w:val="008A5C37"/>
    <w:rPr>
      <w:rFonts w:ascii="Arial TUR" w:hAnsi="Arial TUR" w:cs="FrankRuehl"/>
      <w:spacing w:val="10"/>
      <w:szCs w:val="28"/>
    </w:rPr>
  </w:style>
  <w:style w:type="paragraph" w:customStyle="1" w:styleId="Ruller40">
    <w:name w:val="Ruller4"/>
    <w:basedOn w:val="a"/>
    <w:link w:val="Ruller4"/>
    <w:rsid w:val="008A5C37"/>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C16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 TargetMode="External"/><Relationship Id="rId117" Type="http://schemas.openxmlformats.org/officeDocument/2006/relationships/hyperlink" Target="http://www.nevo.co.il/case/25824863"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case/5878682" TargetMode="External"/><Relationship Id="rId47" Type="http://schemas.openxmlformats.org/officeDocument/2006/relationships/hyperlink" Target="http://www.nevo.co.il/case/13093744" TargetMode="External"/><Relationship Id="rId63" Type="http://schemas.openxmlformats.org/officeDocument/2006/relationships/hyperlink" Target="http://www.nevo.co.il/law/70301/144.b" TargetMode="External"/><Relationship Id="rId68" Type="http://schemas.openxmlformats.org/officeDocument/2006/relationships/hyperlink" Target="http://www.nevo.co.il/law/70301/144.b" TargetMode="External"/><Relationship Id="rId84" Type="http://schemas.openxmlformats.org/officeDocument/2006/relationships/hyperlink" Target="http://www.nevo.co.il/case/27462558" TargetMode="External"/><Relationship Id="rId89" Type="http://schemas.openxmlformats.org/officeDocument/2006/relationships/hyperlink" Target="http://www.nevo.co.il/law/70301/29" TargetMode="External"/><Relationship Id="rId112" Type="http://schemas.openxmlformats.org/officeDocument/2006/relationships/hyperlink" Target="http://www.nevo.co.il/law/70301/29" TargetMode="External"/><Relationship Id="rId16" Type="http://schemas.openxmlformats.org/officeDocument/2006/relationships/hyperlink" Target="http://www.nevo.co.il/law/70301/340a.a" TargetMode="External"/><Relationship Id="rId107" Type="http://schemas.openxmlformats.org/officeDocument/2006/relationships/hyperlink" Target="http://www.nevo.co.il/case/26268834" TargetMode="External"/><Relationship Id="rId11" Type="http://schemas.openxmlformats.org/officeDocument/2006/relationships/hyperlink" Target="http://www.nevo.co.il/law/70301/40i" TargetMode="External"/><Relationship Id="rId32" Type="http://schemas.openxmlformats.org/officeDocument/2006/relationships/hyperlink" Target="http://www.nevo.co.il/law/70301/40" TargetMode="External"/><Relationship Id="rId37" Type="http://schemas.openxmlformats.org/officeDocument/2006/relationships/hyperlink" Target="http://www.nevo.co.il/case/7791493" TargetMode="External"/><Relationship Id="rId53" Type="http://schemas.openxmlformats.org/officeDocument/2006/relationships/hyperlink" Target="http://www.nevo.co.il/law/70301/340a.b.2" TargetMode="External"/><Relationship Id="rId58" Type="http://schemas.openxmlformats.org/officeDocument/2006/relationships/hyperlink" Target="http://www.nevo.co.il/law/70301/340a.a" TargetMode="External"/><Relationship Id="rId74" Type="http://schemas.openxmlformats.org/officeDocument/2006/relationships/hyperlink" Target="http://www.nevo.co.il/law/70301/144.a" TargetMode="External"/><Relationship Id="rId79" Type="http://schemas.openxmlformats.org/officeDocument/2006/relationships/hyperlink" Target="http://www.nevo.co.il/law/70301" TargetMode="External"/><Relationship Id="rId102" Type="http://schemas.openxmlformats.org/officeDocument/2006/relationships/hyperlink" Target="http://www.nevo.co.il/case/26648598" TargetMode="External"/><Relationship Id="rId123" Type="http://schemas.openxmlformats.org/officeDocument/2006/relationships/header" Target="header2.xml"/><Relationship Id="rId5" Type="http://schemas.openxmlformats.org/officeDocument/2006/relationships/endnotes" Target="endnotes.xml"/><Relationship Id="rId90" Type="http://schemas.openxmlformats.org/officeDocument/2006/relationships/hyperlink" Target="http://www.nevo.co.il/case/20807758" TargetMode="External"/><Relationship Id="rId95" Type="http://schemas.openxmlformats.org/officeDocument/2006/relationships/hyperlink" Target="http://www.nevo.co.il/case/27063216"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g" TargetMode="External"/><Relationship Id="rId43" Type="http://schemas.openxmlformats.org/officeDocument/2006/relationships/hyperlink" Target="http://www.nevo.co.il/case/21946424" TargetMode="External"/><Relationship Id="rId48" Type="http://schemas.openxmlformats.org/officeDocument/2006/relationships/hyperlink" Target="http://www.nevo.co.il/case/5969313" TargetMode="External"/><Relationship Id="rId64" Type="http://schemas.openxmlformats.org/officeDocument/2006/relationships/hyperlink" Target="http://www.nevo.co.il/law/70301/340a" TargetMode="External"/><Relationship Id="rId69" Type="http://schemas.openxmlformats.org/officeDocument/2006/relationships/hyperlink" Target="http://www.nevo.co.il/law/70301/340a" TargetMode="External"/><Relationship Id="rId113" Type="http://schemas.openxmlformats.org/officeDocument/2006/relationships/hyperlink" Target="http://www.nevo.co.il/case/6473037" TargetMode="External"/><Relationship Id="rId118" Type="http://schemas.openxmlformats.org/officeDocument/2006/relationships/hyperlink" Target="http://www.nevo.co.il/case/25063920" TargetMode="External"/><Relationship Id="rId80" Type="http://schemas.openxmlformats.org/officeDocument/2006/relationships/hyperlink" Target="http://www.nevo.co.il/case/23506856" TargetMode="External"/><Relationship Id="rId85" Type="http://schemas.openxmlformats.org/officeDocument/2006/relationships/hyperlink" Target="http://www.nevo.co.il/law/70301/144.a" TargetMode="External"/><Relationship Id="rId12" Type="http://schemas.openxmlformats.org/officeDocument/2006/relationships/hyperlink" Target="http://www.nevo.co.il/law/70301/40i.a" TargetMode="External"/><Relationship Id="rId17" Type="http://schemas.openxmlformats.org/officeDocument/2006/relationships/hyperlink" Target="http://www.nevo.co.il/law/70301/340a.b"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6913995" TargetMode="External"/><Relationship Id="rId59" Type="http://schemas.openxmlformats.org/officeDocument/2006/relationships/hyperlink" Target="http://www.nevo.co.il/case/27404359" TargetMode="External"/><Relationship Id="rId103" Type="http://schemas.openxmlformats.org/officeDocument/2006/relationships/hyperlink" Target="http://www.nevo.co.il/law/70301/144.b" TargetMode="External"/><Relationship Id="rId108" Type="http://schemas.openxmlformats.org/officeDocument/2006/relationships/hyperlink" Target="http://www.nevo.co.il/law/70301/144.b" TargetMode="External"/><Relationship Id="rId124" Type="http://schemas.openxmlformats.org/officeDocument/2006/relationships/footer" Target="footer1.xml"/><Relationship Id="rId54" Type="http://schemas.openxmlformats.org/officeDocument/2006/relationships/hyperlink" Target="http://www.nevo.co.il/law/70301" TargetMode="External"/><Relationship Id="rId70" Type="http://schemas.openxmlformats.org/officeDocument/2006/relationships/hyperlink" Target="http://www.nevo.co.il/case/5810378" TargetMode="External"/><Relationship Id="rId75" Type="http://schemas.openxmlformats.org/officeDocument/2006/relationships/hyperlink" Target="http://www.nevo.co.il/law/70301" TargetMode="External"/><Relationship Id="rId91" Type="http://schemas.openxmlformats.org/officeDocument/2006/relationships/hyperlink" Target="http://www.nevo.co.il/law/70301/144.a" TargetMode="External"/><Relationship Id="rId96" Type="http://schemas.openxmlformats.org/officeDocument/2006/relationships/hyperlink" Target="http://www.nevo.co.il/law/70301/144.a"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23" Type="http://schemas.openxmlformats.org/officeDocument/2006/relationships/hyperlink" Target="http://www.nevo.co.il/law/70301/340a.a" TargetMode="External"/><Relationship Id="rId28" Type="http://schemas.openxmlformats.org/officeDocument/2006/relationships/hyperlink" Target="http://www.nevo.co.il/law/70301" TargetMode="External"/><Relationship Id="rId49" Type="http://schemas.openxmlformats.org/officeDocument/2006/relationships/hyperlink" Target="http://www.nevo.co.il/law/70301/340a" TargetMode="External"/><Relationship Id="rId114" Type="http://schemas.openxmlformats.org/officeDocument/2006/relationships/hyperlink" Target="http://www.nevo.co.il/case/7697292" TargetMode="External"/><Relationship Id="rId119" Type="http://schemas.openxmlformats.org/officeDocument/2006/relationships/hyperlink" Target="http://www.nevo.co.il/law/70301" TargetMode="External"/><Relationship Id="rId44" Type="http://schemas.openxmlformats.org/officeDocument/2006/relationships/hyperlink" Target="http://www.nevo.co.il/case/8291683" TargetMode="External"/><Relationship Id="rId60" Type="http://schemas.openxmlformats.org/officeDocument/2006/relationships/hyperlink" Target="http://www.nevo.co.il/law/70301/144.a" TargetMode="External"/><Relationship Id="rId65" Type="http://schemas.openxmlformats.org/officeDocument/2006/relationships/hyperlink" Target="http://www.nevo.co.il/case/21474168" TargetMode="External"/><Relationship Id="rId81" Type="http://schemas.openxmlformats.org/officeDocument/2006/relationships/hyperlink" Target="http://www.nevo.co.il/case/28415817" TargetMode="External"/><Relationship Id="rId86" Type="http://schemas.openxmlformats.org/officeDocument/2006/relationships/hyperlink" Target="http://www.nevo.co.il/law/70301/144.b"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340a.b.1" TargetMode="External"/><Relationship Id="rId39" Type="http://schemas.openxmlformats.org/officeDocument/2006/relationships/hyperlink" Target="http://www.nevo.co.il/case/25824863" TargetMode="External"/><Relationship Id="rId109" Type="http://schemas.openxmlformats.org/officeDocument/2006/relationships/hyperlink" Target="http://www.nevo.co.il/law/70301/29" TargetMode="External"/><Relationship Id="rId34" Type="http://schemas.openxmlformats.org/officeDocument/2006/relationships/hyperlink" Target="http://www.nevo.co.il/law/70301/40c"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144.b" TargetMode="External"/><Relationship Id="rId76" Type="http://schemas.openxmlformats.org/officeDocument/2006/relationships/hyperlink" Target="http://www.nevo.co.il/case/26934681" TargetMode="External"/><Relationship Id="rId97" Type="http://schemas.openxmlformats.org/officeDocument/2006/relationships/hyperlink" Target="http://www.nevo.co.il/law/70301/144.b" TargetMode="External"/><Relationship Id="rId104" Type="http://schemas.openxmlformats.org/officeDocument/2006/relationships/hyperlink" Target="http://www.nevo.co.il/law/70301/29" TargetMode="External"/><Relationship Id="rId120" Type="http://schemas.openxmlformats.org/officeDocument/2006/relationships/hyperlink" Target="http://www.nevo.co.il/case/25824863" TargetMode="External"/><Relationship Id="rId125" Type="http://schemas.openxmlformats.org/officeDocument/2006/relationships/footer" Target="footer2.xml"/><Relationship Id="rId7" Type="http://schemas.openxmlformats.org/officeDocument/2006/relationships/hyperlink" Target="http://www.nevo.co.il/law/70301/29" TargetMode="External"/><Relationship Id="rId71" Type="http://schemas.openxmlformats.org/officeDocument/2006/relationships/hyperlink" Target="http://www.nevo.co.il/law/70301/144.a.;144.b" TargetMode="External"/><Relationship Id="rId92" Type="http://schemas.openxmlformats.org/officeDocument/2006/relationships/hyperlink" Target="http://www.nevo.co.il/law/70301/29" TargetMode="External"/><Relationship Id="rId2" Type="http://schemas.openxmlformats.org/officeDocument/2006/relationships/settings" Target="settings.xml"/><Relationship Id="rId29" Type="http://schemas.openxmlformats.org/officeDocument/2006/relationships/hyperlink" Target="http://www.nevo.co.il/law/70301/340a.a" TargetMode="External"/><Relationship Id="rId24" Type="http://schemas.openxmlformats.org/officeDocument/2006/relationships/hyperlink" Target="http://www.nevo.co.il/law/70301/40i.a" TargetMode="External"/><Relationship Id="rId40" Type="http://schemas.openxmlformats.org/officeDocument/2006/relationships/hyperlink" Target="http://www.nevo.co.il/case/25063920" TargetMode="External"/><Relationship Id="rId45" Type="http://schemas.openxmlformats.org/officeDocument/2006/relationships/hyperlink" Target="http://www.nevo.co.il/case/25612982" TargetMode="External"/><Relationship Id="rId66" Type="http://schemas.openxmlformats.org/officeDocument/2006/relationships/hyperlink" Target="http://www.nevo.co.il/case/21472954" TargetMode="External"/><Relationship Id="rId87" Type="http://schemas.openxmlformats.org/officeDocument/2006/relationships/hyperlink" Target="http://www.nevo.co.il/law/70301/29" TargetMode="External"/><Relationship Id="rId110" Type="http://schemas.openxmlformats.org/officeDocument/2006/relationships/hyperlink" Target="http://www.nevo.co.il/law/70301" TargetMode="External"/><Relationship Id="rId115" Type="http://schemas.openxmlformats.org/officeDocument/2006/relationships/hyperlink" Target="http://www.nevo.co.il/law/70301/340a" TargetMode="External"/><Relationship Id="rId61" Type="http://schemas.openxmlformats.org/officeDocument/2006/relationships/hyperlink" Target="http://www.nevo.co.il/law/70301" TargetMode="External"/><Relationship Id="rId82" Type="http://schemas.openxmlformats.org/officeDocument/2006/relationships/hyperlink" Target="http://www.nevo.co.il/law/70301/144.a" TargetMode="External"/><Relationship Id="rId19" Type="http://schemas.openxmlformats.org/officeDocument/2006/relationships/hyperlink" Target="http://www.nevo.co.il/law/70301/340a.b.2" TargetMode="External"/><Relationship Id="rId14" Type="http://schemas.openxmlformats.org/officeDocument/2006/relationships/hyperlink" Target="http://www.nevo.co.il/law/70301/144.b" TargetMode="External"/><Relationship Id="rId30" Type="http://schemas.openxmlformats.org/officeDocument/2006/relationships/hyperlink" Target="http://www.nevo.co.il/law/70301/340a.b" TargetMode="External"/><Relationship Id="rId35" Type="http://schemas.openxmlformats.org/officeDocument/2006/relationships/hyperlink" Target="http://www.nevo.co.il/law/70301/40i" TargetMode="External"/><Relationship Id="rId56" Type="http://schemas.openxmlformats.org/officeDocument/2006/relationships/hyperlink" Target="http://www.nevo.co.il/law/70301/144.a" TargetMode="External"/><Relationship Id="rId77" Type="http://schemas.openxmlformats.org/officeDocument/2006/relationships/hyperlink" Target="http://www.nevo.co.il/law/70301/144.b" TargetMode="External"/><Relationship Id="rId100" Type="http://schemas.openxmlformats.org/officeDocument/2006/relationships/hyperlink" Target="http://www.nevo.co.il/law/70301/144.b" TargetMode="External"/><Relationship Id="rId105" Type="http://schemas.openxmlformats.org/officeDocument/2006/relationships/hyperlink" Target="http://www.nevo.co.il/law/70301/340a.a" TargetMode="External"/><Relationship Id="rId126" Type="http://schemas.openxmlformats.org/officeDocument/2006/relationships/fontTable" Target="fontTable.xml"/><Relationship Id="rId8" Type="http://schemas.openxmlformats.org/officeDocument/2006/relationships/hyperlink" Target="http://www.nevo.co.il/law/70301/40" TargetMode="External"/><Relationship Id="rId51" Type="http://schemas.openxmlformats.org/officeDocument/2006/relationships/hyperlink" Target="http://www.nevo.co.il/law/70301/340a.a"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0301" TargetMode="External"/><Relationship Id="rId98" Type="http://schemas.openxmlformats.org/officeDocument/2006/relationships/hyperlink" Target="http://www.nevo.co.il/law/70301/340a.a" TargetMode="External"/><Relationship Id="rId121" Type="http://schemas.openxmlformats.org/officeDocument/2006/relationships/hyperlink" Target="http://www.nevo.co.il/advertisements/nevo-100.doc" TargetMode="External"/><Relationship Id="rId3" Type="http://schemas.openxmlformats.org/officeDocument/2006/relationships/webSettings" Target="webSettings.xml"/><Relationship Id="rId25" Type="http://schemas.openxmlformats.org/officeDocument/2006/relationships/hyperlink" Target="http://www.nevo.co.il/law/70301" TargetMode="External"/><Relationship Id="rId46" Type="http://schemas.openxmlformats.org/officeDocument/2006/relationships/hyperlink" Target="http://www.nevo.co.il/case/26263927" TargetMode="External"/><Relationship Id="rId67" Type="http://schemas.openxmlformats.org/officeDocument/2006/relationships/hyperlink" Target="http://www.nevo.co.il/case/21974190" TargetMode="External"/><Relationship Id="rId116" Type="http://schemas.openxmlformats.org/officeDocument/2006/relationships/hyperlink" Target="http://www.nevo.co.il/law/70301"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case/23509035" TargetMode="External"/><Relationship Id="rId62" Type="http://schemas.openxmlformats.org/officeDocument/2006/relationships/hyperlink" Target="http://www.nevo.co.il/law/70301/340a.a" TargetMode="External"/><Relationship Id="rId83" Type="http://schemas.openxmlformats.org/officeDocument/2006/relationships/hyperlink" Target="http://www.nevo.co.il/law/70301/340a.b.1" TargetMode="External"/><Relationship Id="rId88" Type="http://schemas.openxmlformats.org/officeDocument/2006/relationships/hyperlink" Target="http://www.nevo.co.il/law/70301/340a.b.1" TargetMode="External"/><Relationship Id="rId111" Type="http://schemas.openxmlformats.org/officeDocument/2006/relationships/hyperlink" Target="http://www.nevo.co.il/law/70301/340a.a" TargetMode="External"/><Relationship Id="rId15" Type="http://schemas.openxmlformats.org/officeDocument/2006/relationships/hyperlink" Target="http://www.nevo.co.il/law/70301/340a" TargetMode="External"/><Relationship Id="rId36" Type="http://schemas.openxmlformats.org/officeDocument/2006/relationships/hyperlink" Target="http://www.nevo.co.il/law/70301" TargetMode="External"/><Relationship Id="rId57" Type="http://schemas.openxmlformats.org/officeDocument/2006/relationships/hyperlink" Target="http://www.nevo.co.il/law/70301/144.a" TargetMode="External"/><Relationship Id="rId106" Type="http://schemas.openxmlformats.org/officeDocument/2006/relationships/hyperlink" Target="http://www.nevo.co.il/law/70301/29" TargetMode="External"/><Relationship Id="rId127" Type="http://schemas.openxmlformats.org/officeDocument/2006/relationships/theme" Target="theme/theme1.xml"/><Relationship Id="rId10" Type="http://schemas.openxmlformats.org/officeDocument/2006/relationships/hyperlink" Target="http://www.nevo.co.il/law/70301/40g" TargetMode="External"/><Relationship Id="rId31" Type="http://schemas.openxmlformats.org/officeDocument/2006/relationships/hyperlink" Target="http://www.nevo.co.il/law/70301/340a.b" TargetMode="External"/><Relationship Id="rId52" Type="http://schemas.openxmlformats.org/officeDocument/2006/relationships/hyperlink" Target="http://www.nevo.co.il/law/70301/340a.b.1" TargetMode="External"/><Relationship Id="rId73" Type="http://schemas.openxmlformats.org/officeDocument/2006/relationships/hyperlink" Target="http://www.nevo.co.il/case/27721185" TargetMode="External"/><Relationship Id="rId78" Type="http://schemas.openxmlformats.org/officeDocument/2006/relationships/hyperlink" Target="http://www.nevo.co.il/law/70301/29" TargetMode="External"/><Relationship Id="rId94" Type="http://schemas.openxmlformats.org/officeDocument/2006/relationships/hyperlink" Target="http://www.nevo.co.il/case/3953501" TargetMode="External"/><Relationship Id="rId99" Type="http://schemas.openxmlformats.org/officeDocument/2006/relationships/hyperlink" Target="http://www.nevo.co.il/case/27915710" TargetMode="External"/><Relationship Id="rId101" Type="http://schemas.openxmlformats.org/officeDocument/2006/relationships/hyperlink" Target="http://www.nevo.co.il/law/70301/340a.a" TargetMode="External"/><Relationship Id="rId122"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40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9211</Words>
  <Characters>46056</Characters>
  <Application>Microsoft Office Word</Application>
  <DocSecurity>0</DocSecurity>
  <Lines>383</Lines>
  <Paragraphs>110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55157</CharactersWithSpaces>
  <SharedDoc>false</SharedDoc>
  <HLinks>
    <vt:vector size="696" baseType="variant">
      <vt:variant>
        <vt:i4>393283</vt:i4>
      </vt:variant>
      <vt:variant>
        <vt:i4>345</vt:i4>
      </vt:variant>
      <vt:variant>
        <vt:i4>0</vt:i4>
      </vt:variant>
      <vt:variant>
        <vt:i4>5</vt:i4>
      </vt:variant>
      <vt:variant>
        <vt:lpwstr>http://www.nevo.co.il/advertisements/nevo-100.doc</vt:lpwstr>
      </vt:variant>
      <vt:variant>
        <vt:lpwstr/>
      </vt:variant>
      <vt:variant>
        <vt:i4>3670139</vt:i4>
      </vt:variant>
      <vt:variant>
        <vt:i4>342</vt:i4>
      </vt:variant>
      <vt:variant>
        <vt:i4>0</vt:i4>
      </vt:variant>
      <vt:variant>
        <vt:i4>5</vt:i4>
      </vt:variant>
      <vt:variant>
        <vt:lpwstr>http://www.nevo.co.il/case/25824863</vt:lpwstr>
      </vt:variant>
      <vt:variant>
        <vt:lpwstr/>
      </vt:variant>
      <vt:variant>
        <vt:i4>7995492</vt:i4>
      </vt:variant>
      <vt:variant>
        <vt:i4>339</vt:i4>
      </vt:variant>
      <vt:variant>
        <vt:i4>0</vt:i4>
      </vt:variant>
      <vt:variant>
        <vt:i4>5</vt:i4>
      </vt:variant>
      <vt:variant>
        <vt:lpwstr>http://www.nevo.co.il/law/70301</vt:lpwstr>
      </vt:variant>
      <vt:variant>
        <vt:lpwstr/>
      </vt:variant>
      <vt:variant>
        <vt:i4>3342462</vt:i4>
      </vt:variant>
      <vt:variant>
        <vt:i4>336</vt:i4>
      </vt:variant>
      <vt:variant>
        <vt:i4>0</vt:i4>
      </vt:variant>
      <vt:variant>
        <vt:i4>5</vt:i4>
      </vt:variant>
      <vt:variant>
        <vt:lpwstr>http://www.nevo.co.il/case/25063920</vt:lpwstr>
      </vt:variant>
      <vt:variant>
        <vt:lpwstr/>
      </vt:variant>
      <vt:variant>
        <vt:i4>3670139</vt:i4>
      </vt:variant>
      <vt:variant>
        <vt:i4>333</vt:i4>
      </vt:variant>
      <vt:variant>
        <vt:i4>0</vt:i4>
      </vt:variant>
      <vt:variant>
        <vt:i4>5</vt:i4>
      </vt:variant>
      <vt:variant>
        <vt:lpwstr>http://www.nevo.co.il/case/25824863</vt:lpwstr>
      </vt:variant>
      <vt:variant>
        <vt:lpwstr/>
      </vt:variant>
      <vt:variant>
        <vt:i4>7995492</vt:i4>
      </vt:variant>
      <vt:variant>
        <vt:i4>330</vt:i4>
      </vt:variant>
      <vt:variant>
        <vt:i4>0</vt:i4>
      </vt:variant>
      <vt:variant>
        <vt:i4>5</vt:i4>
      </vt:variant>
      <vt:variant>
        <vt:lpwstr>http://www.nevo.co.il/law/70301</vt:lpwstr>
      </vt:variant>
      <vt:variant>
        <vt:lpwstr/>
      </vt:variant>
      <vt:variant>
        <vt:i4>86</vt:i4>
      </vt:variant>
      <vt:variant>
        <vt:i4>327</vt:i4>
      </vt:variant>
      <vt:variant>
        <vt:i4>0</vt:i4>
      </vt:variant>
      <vt:variant>
        <vt:i4>5</vt:i4>
      </vt:variant>
      <vt:variant>
        <vt:lpwstr>http://www.nevo.co.il/law/70301/340a</vt:lpwstr>
      </vt:variant>
      <vt:variant>
        <vt:lpwstr/>
      </vt:variant>
      <vt:variant>
        <vt:i4>4063356</vt:i4>
      </vt:variant>
      <vt:variant>
        <vt:i4>324</vt:i4>
      </vt:variant>
      <vt:variant>
        <vt:i4>0</vt:i4>
      </vt:variant>
      <vt:variant>
        <vt:i4>5</vt:i4>
      </vt:variant>
      <vt:variant>
        <vt:lpwstr>http://www.nevo.co.il/case/7697292</vt:lpwstr>
      </vt:variant>
      <vt:variant>
        <vt:lpwstr/>
      </vt:variant>
      <vt:variant>
        <vt:i4>3539056</vt:i4>
      </vt:variant>
      <vt:variant>
        <vt:i4>321</vt:i4>
      </vt:variant>
      <vt:variant>
        <vt:i4>0</vt:i4>
      </vt:variant>
      <vt:variant>
        <vt:i4>5</vt:i4>
      </vt:variant>
      <vt:variant>
        <vt:lpwstr>http://www.nevo.co.il/case/6473037</vt:lpwstr>
      </vt:variant>
      <vt:variant>
        <vt:lpwstr/>
      </vt:variant>
      <vt:variant>
        <vt:i4>7077991</vt:i4>
      </vt:variant>
      <vt:variant>
        <vt:i4>318</vt:i4>
      </vt:variant>
      <vt:variant>
        <vt:i4>0</vt:i4>
      </vt:variant>
      <vt:variant>
        <vt:i4>5</vt:i4>
      </vt:variant>
      <vt:variant>
        <vt:lpwstr>http://www.nevo.co.il/law/70301/29</vt:lpwstr>
      </vt:variant>
      <vt:variant>
        <vt:lpwstr/>
      </vt:variant>
      <vt:variant>
        <vt:i4>6357112</vt:i4>
      </vt:variant>
      <vt:variant>
        <vt:i4>315</vt:i4>
      </vt:variant>
      <vt:variant>
        <vt:i4>0</vt:i4>
      </vt:variant>
      <vt:variant>
        <vt:i4>5</vt:i4>
      </vt:variant>
      <vt:variant>
        <vt:lpwstr>http://www.nevo.co.il/law/70301/340a.a</vt:lpwstr>
      </vt:variant>
      <vt:variant>
        <vt:lpwstr/>
      </vt:variant>
      <vt:variant>
        <vt:i4>7995492</vt:i4>
      </vt:variant>
      <vt:variant>
        <vt:i4>312</vt:i4>
      </vt:variant>
      <vt:variant>
        <vt:i4>0</vt:i4>
      </vt:variant>
      <vt:variant>
        <vt:i4>5</vt:i4>
      </vt:variant>
      <vt:variant>
        <vt:lpwstr>http://www.nevo.co.il/law/70301</vt:lpwstr>
      </vt:variant>
      <vt:variant>
        <vt:lpwstr/>
      </vt:variant>
      <vt:variant>
        <vt:i4>7077991</vt:i4>
      </vt:variant>
      <vt:variant>
        <vt:i4>309</vt:i4>
      </vt:variant>
      <vt:variant>
        <vt:i4>0</vt:i4>
      </vt:variant>
      <vt:variant>
        <vt:i4>5</vt:i4>
      </vt:variant>
      <vt:variant>
        <vt:lpwstr>http://www.nevo.co.il/law/70301/29</vt:lpwstr>
      </vt:variant>
      <vt:variant>
        <vt:lpwstr/>
      </vt:variant>
      <vt:variant>
        <vt:i4>5177424</vt:i4>
      </vt:variant>
      <vt:variant>
        <vt:i4>306</vt:i4>
      </vt:variant>
      <vt:variant>
        <vt:i4>0</vt:i4>
      </vt:variant>
      <vt:variant>
        <vt:i4>5</vt:i4>
      </vt:variant>
      <vt:variant>
        <vt:lpwstr>http://www.nevo.co.il/law/70301/144.b</vt:lpwstr>
      </vt:variant>
      <vt:variant>
        <vt:lpwstr/>
      </vt:variant>
      <vt:variant>
        <vt:i4>3866748</vt:i4>
      </vt:variant>
      <vt:variant>
        <vt:i4>303</vt:i4>
      </vt:variant>
      <vt:variant>
        <vt:i4>0</vt:i4>
      </vt:variant>
      <vt:variant>
        <vt:i4>5</vt:i4>
      </vt:variant>
      <vt:variant>
        <vt:lpwstr>http://www.nevo.co.il/case/26268834</vt:lpwstr>
      </vt:variant>
      <vt:variant>
        <vt:lpwstr/>
      </vt:variant>
      <vt:variant>
        <vt:i4>7077991</vt:i4>
      </vt:variant>
      <vt:variant>
        <vt:i4>300</vt:i4>
      </vt:variant>
      <vt:variant>
        <vt:i4>0</vt:i4>
      </vt:variant>
      <vt:variant>
        <vt:i4>5</vt:i4>
      </vt:variant>
      <vt:variant>
        <vt:lpwstr>http://www.nevo.co.il/law/70301/29</vt:lpwstr>
      </vt:variant>
      <vt:variant>
        <vt:lpwstr/>
      </vt:variant>
      <vt:variant>
        <vt:i4>6357112</vt:i4>
      </vt:variant>
      <vt:variant>
        <vt:i4>297</vt:i4>
      </vt:variant>
      <vt:variant>
        <vt:i4>0</vt:i4>
      </vt:variant>
      <vt:variant>
        <vt:i4>5</vt:i4>
      </vt:variant>
      <vt:variant>
        <vt:lpwstr>http://www.nevo.co.il/law/70301/340a.a</vt:lpwstr>
      </vt:variant>
      <vt:variant>
        <vt:lpwstr/>
      </vt:variant>
      <vt:variant>
        <vt:i4>7077991</vt:i4>
      </vt:variant>
      <vt:variant>
        <vt:i4>294</vt:i4>
      </vt:variant>
      <vt:variant>
        <vt:i4>0</vt:i4>
      </vt:variant>
      <vt:variant>
        <vt:i4>5</vt:i4>
      </vt:variant>
      <vt:variant>
        <vt:lpwstr>http://www.nevo.co.il/law/70301/29</vt:lpwstr>
      </vt:variant>
      <vt:variant>
        <vt:lpwstr/>
      </vt:variant>
      <vt:variant>
        <vt:i4>5177424</vt:i4>
      </vt:variant>
      <vt:variant>
        <vt:i4>291</vt:i4>
      </vt:variant>
      <vt:variant>
        <vt:i4>0</vt:i4>
      </vt:variant>
      <vt:variant>
        <vt:i4>5</vt:i4>
      </vt:variant>
      <vt:variant>
        <vt:lpwstr>http://www.nevo.co.il/law/70301/144.b</vt:lpwstr>
      </vt:variant>
      <vt:variant>
        <vt:lpwstr/>
      </vt:variant>
      <vt:variant>
        <vt:i4>3473523</vt:i4>
      </vt:variant>
      <vt:variant>
        <vt:i4>288</vt:i4>
      </vt:variant>
      <vt:variant>
        <vt:i4>0</vt:i4>
      </vt:variant>
      <vt:variant>
        <vt:i4>5</vt:i4>
      </vt:variant>
      <vt:variant>
        <vt:lpwstr>http://www.nevo.co.il/case/26648598</vt:lpwstr>
      </vt:variant>
      <vt:variant>
        <vt:lpwstr/>
      </vt:variant>
      <vt:variant>
        <vt:i4>6357112</vt:i4>
      </vt:variant>
      <vt:variant>
        <vt:i4>285</vt:i4>
      </vt:variant>
      <vt:variant>
        <vt:i4>0</vt:i4>
      </vt:variant>
      <vt:variant>
        <vt:i4>5</vt:i4>
      </vt:variant>
      <vt:variant>
        <vt:lpwstr>http://www.nevo.co.il/law/70301/340a.a</vt:lpwstr>
      </vt:variant>
      <vt:variant>
        <vt:lpwstr/>
      </vt:variant>
      <vt:variant>
        <vt:i4>5177424</vt:i4>
      </vt:variant>
      <vt:variant>
        <vt:i4>282</vt:i4>
      </vt:variant>
      <vt:variant>
        <vt:i4>0</vt:i4>
      </vt:variant>
      <vt:variant>
        <vt:i4>5</vt:i4>
      </vt:variant>
      <vt:variant>
        <vt:lpwstr>http://www.nevo.co.il/law/70301/144.b</vt:lpwstr>
      </vt:variant>
      <vt:variant>
        <vt:lpwstr/>
      </vt:variant>
      <vt:variant>
        <vt:i4>4128885</vt:i4>
      </vt:variant>
      <vt:variant>
        <vt:i4>279</vt:i4>
      </vt:variant>
      <vt:variant>
        <vt:i4>0</vt:i4>
      </vt:variant>
      <vt:variant>
        <vt:i4>5</vt:i4>
      </vt:variant>
      <vt:variant>
        <vt:lpwstr>http://www.nevo.co.il/case/27915710</vt:lpwstr>
      </vt:variant>
      <vt:variant>
        <vt:lpwstr/>
      </vt:variant>
      <vt:variant>
        <vt:i4>6357112</vt:i4>
      </vt:variant>
      <vt:variant>
        <vt:i4>276</vt:i4>
      </vt:variant>
      <vt:variant>
        <vt:i4>0</vt:i4>
      </vt:variant>
      <vt:variant>
        <vt:i4>5</vt:i4>
      </vt:variant>
      <vt:variant>
        <vt:lpwstr>http://www.nevo.co.il/law/70301/340a.a</vt:lpwstr>
      </vt:variant>
      <vt:variant>
        <vt:lpwstr/>
      </vt:variant>
      <vt:variant>
        <vt:i4>5177424</vt:i4>
      </vt:variant>
      <vt:variant>
        <vt:i4>273</vt:i4>
      </vt:variant>
      <vt:variant>
        <vt:i4>0</vt:i4>
      </vt:variant>
      <vt:variant>
        <vt:i4>5</vt:i4>
      </vt:variant>
      <vt:variant>
        <vt:lpwstr>http://www.nevo.co.il/law/70301/144.b</vt:lpwstr>
      </vt:variant>
      <vt:variant>
        <vt:lpwstr/>
      </vt:variant>
      <vt:variant>
        <vt:i4>5177424</vt:i4>
      </vt:variant>
      <vt:variant>
        <vt:i4>270</vt:i4>
      </vt:variant>
      <vt:variant>
        <vt:i4>0</vt:i4>
      </vt:variant>
      <vt:variant>
        <vt:i4>5</vt:i4>
      </vt:variant>
      <vt:variant>
        <vt:lpwstr>http://www.nevo.co.il/law/70301/144.a</vt:lpwstr>
      </vt:variant>
      <vt:variant>
        <vt:lpwstr/>
      </vt:variant>
      <vt:variant>
        <vt:i4>3145847</vt:i4>
      </vt:variant>
      <vt:variant>
        <vt:i4>267</vt:i4>
      </vt:variant>
      <vt:variant>
        <vt:i4>0</vt:i4>
      </vt:variant>
      <vt:variant>
        <vt:i4>5</vt:i4>
      </vt:variant>
      <vt:variant>
        <vt:lpwstr>http://www.nevo.co.il/case/27063216</vt:lpwstr>
      </vt:variant>
      <vt:variant>
        <vt:lpwstr/>
      </vt:variant>
      <vt:variant>
        <vt:i4>3276926</vt:i4>
      </vt:variant>
      <vt:variant>
        <vt:i4>264</vt:i4>
      </vt:variant>
      <vt:variant>
        <vt:i4>0</vt:i4>
      </vt:variant>
      <vt:variant>
        <vt:i4>5</vt:i4>
      </vt:variant>
      <vt:variant>
        <vt:lpwstr>http://www.nevo.co.il/case/3953501</vt:lpwstr>
      </vt:variant>
      <vt:variant>
        <vt:lpwstr/>
      </vt:variant>
      <vt:variant>
        <vt:i4>7995492</vt:i4>
      </vt:variant>
      <vt:variant>
        <vt:i4>261</vt:i4>
      </vt:variant>
      <vt:variant>
        <vt:i4>0</vt:i4>
      </vt:variant>
      <vt:variant>
        <vt:i4>5</vt:i4>
      </vt:variant>
      <vt:variant>
        <vt:lpwstr>http://www.nevo.co.il/law/70301</vt:lpwstr>
      </vt:variant>
      <vt:variant>
        <vt:lpwstr/>
      </vt:variant>
      <vt:variant>
        <vt:i4>7077991</vt:i4>
      </vt:variant>
      <vt:variant>
        <vt:i4>258</vt:i4>
      </vt:variant>
      <vt:variant>
        <vt:i4>0</vt:i4>
      </vt:variant>
      <vt:variant>
        <vt:i4>5</vt:i4>
      </vt:variant>
      <vt:variant>
        <vt:lpwstr>http://www.nevo.co.il/law/70301/29</vt:lpwstr>
      </vt:variant>
      <vt:variant>
        <vt:lpwstr/>
      </vt:variant>
      <vt:variant>
        <vt:i4>5177424</vt:i4>
      </vt:variant>
      <vt:variant>
        <vt:i4>255</vt:i4>
      </vt:variant>
      <vt:variant>
        <vt:i4>0</vt:i4>
      </vt:variant>
      <vt:variant>
        <vt:i4>5</vt:i4>
      </vt:variant>
      <vt:variant>
        <vt:lpwstr>http://www.nevo.co.il/law/70301/144.a</vt:lpwstr>
      </vt:variant>
      <vt:variant>
        <vt:lpwstr/>
      </vt:variant>
      <vt:variant>
        <vt:i4>3670131</vt:i4>
      </vt:variant>
      <vt:variant>
        <vt:i4>252</vt:i4>
      </vt:variant>
      <vt:variant>
        <vt:i4>0</vt:i4>
      </vt:variant>
      <vt:variant>
        <vt:i4>5</vt:i4>
      </vt:variant>
      <vt:variant>
        <vt:lpwstr>http://www.nevo.co.il/case/20807758</vt:lpwstr>
      </vt:variant>
      <vt:variant>
        <vt:lpwstr/>
      </vt:variant>
      <vt:variant>
        <vt:i4>7077991</vt:i4>
      </vt:variant>
      <vt:variant>
        <vt:i4>249</vt:i4>
      </vt:variant>
      <vt:variant>
        <vt:i4>0</vt:i4>
      </vt:variant>
      <vt:variant>
        <vt:i4>5</vt:i4>
      </vt:variant>
      <vt:variant>
        <vt:lpwstr>http://www.nevo.co.il/law/70301/29</vt:lpwstr>
      </vt:variant>
      <vt:variant>
        <vt:lpwstr/>
      </vt:variant>
      <vt:variant>
        <vt:i4>5439574</vt:i4>
      </vt:variant>
      <vt:variant>
        <vt:i4>246</vt:i4>
      </vt:variant>
      <vt:variant>
        <vt:i4>0</vt:i4>
      </vt:variant>
      <vt:variant>
        <vt:i4>5</vt:i4>
      </vt:variant>
      <vt:variant>
        <vt:lpwstr>http://www.nevo.co.il/law/70301/340a.b.1</vt:lpwstr>
      </vt:variant>
      <vt:variant>
        <vt:lpwstr/>
      </vt:variant>
      <vt:variant>
        <vt:i4>7077991</vt:i4>
      </vt:variant>
      <vt:variant>
        <vt:i4>243</vt:i4>
      </vt:variant>
      <vt:variant>
        <vt:i4>0</vt:i4>
      </vt:variant>
      <vt:variant>
        <vt:i4>5</vt:i4>
      </vt:variant>
      <vt:variant>
        <vt:lpwstr>http://www.nevo.co.il/law/70301/29</vt:lpwstr>
      </vt:variant>
      <vt:variant>
        <vt:lpwstr/>
      </vt:variant>
      <vt:variant>
        <vt:i4>5177424</vt:i4>
      </vt:variant>
      <vt:variant>
        <vt:i4>240</vt:i4>
      </vt:variant>
      <vt:variant>
        <vt:i4>0</vt:i4>
      </vt:variant>
      <vt:variant>
        <vt:i4>5</vt:i4>
      </vt:variant>
      <vt:variant>
        <vt:lpwstr>http://www.nevo.co.il/law/70301/144.b</vt:lpwstr>
      </vt:variant>
      <vt:variant>
        <vt:lpwstr/>
      </vt:variant>
      <vt:variant>
        <vt:i4>5177424</vt:i4>
      </vt:variant>
      <vt:variant>
        <vt:i4>237</vt:i4>
      </vt:variant>
      <vt:variant>
        <vt:i4>0</vt:i4>
      </vt:variant>
      <vt:variant>
        <vt:i4>5</vt:i4>
      </vt:variant>
      <vt:variant>
        <vt:lpwstr>http://www.nevo.co.il/law/70301/144.a</vt:lpwstr>
      </vt:variant>
      <vt:variant>
        <vt:lpwstr/>
      </vt:variant>
      <vt:variant>
        <vt:i4>3211376</vt:i4>
      </vt:variant>
      <vt:variant>
        <vt:i4>234</vt:i4>
      </vt:variant>
      <vt:variant>
        <vt:i4>0</vt:i4>
      </vt:variant>
      <vt:variant>
        <vt:i4>5</vt:i4>
      </vt:variant>
      <vt:variant>
        <vt:lpwstr>http://www.nevo.co.il/case/27462558</vt:lpwstr>
      </vt:variant>
      <vt:variant>
        <vt:lpwstr/>
      </vt:variant>
      <vt:variant>
        <vt:i4>5439574</vt:i4>
      </vt:variant>
      <vt:variant>
        <vt:i4>231</vt:i4>
      </vt:variant>
      <vt:variant>
        <vt:i4>0</vt:i4>
      </vt:variant>
      <vt:variant>
        <vt:i4>5</vt:i4>
      </vt:variant>
      <vt:variant>
        <vt:lpwstr>http://www.nevo.co.il/law/70301/340a.b.1</vt:lpwstr>
      </vt:variant>
      <vt:variant>
        <vt:lpwstr/>
      </vt:variant>
      <vt:variant>
        <vt:i4>5177424</vt:i4>
      </vt:variant>
      <vt:variant>
        <vt:i4>228</vt:i4>
      </vt:variant>
      <vt:variant>
        <vt:i4>0</vt:i4>
      </vt:variant>
      <vt:variant>
        <vt:i4>5</vt:i4>
      </vt:variant>
      <vt:variant>
        <vt:lpwstr>http://www.nevo.co.il/law/70301/144.a</vt:lpwstr>
      </vt:variant>
      <vt:variant>
        <vt:lpwstr/>
      </vt:variant>
      <vt:variant>
        <vt:i4>3276917</vt:i4>
      </vt:variant>
      <vt:variant>
        <vt:i4>225</vt:i4>
      </vt:variant>
      <vt:variant>
        <vt:i4>0</vt:i4>
      </vt:variant>
      <vt:variant>
        <vt:i4>5</vt:i4>
      </vt:variant>
      <vt:variant>
        <vt:lpwstr>http://www.nevo.co.il/case/28415817</vt:lpwstr>
      </vt:variant>
      <vt:variant>
        <vt:lpwstr/>
      </vt:variant>
      <vt:variant>
        <vt:i4>3407999</vt:i4>
      </vt:variant>
      <vt:variant>
        <vt:i4>222</vt:i4>
      </vt:variant>
      <vt:variant>
        <vt:i4>0</vt:i4>
      </vt:variant>
      <vt:variant>
        <vt:i4>5</vt:i4>
      </vt:variant>
      <vt:variant>
        <vt:lpwstr>http://www.nevo.co.il/case/23506856</vt:lpwstr>
      </vt:variant>
      <vt:variant>
        <vt:lpwstr/>
      </vt:variant>
      <vt:variant>
        <vt:i4>7995492</vt:i4>
      </vt:variant>
      <vt:variant>
        <vt:i4>219</vt:i4>
      </vt:variant>
      <vt:variant>
        <vt:i4>0</vt:i4>
      </vt:variant>
      <vt:variant>
        <vt:i4>5</vt:i4>
      </vt:variant>
      <vt:variant>
        <vt:lpwstr>http://www.nevo.co.il/law/70301</vt:lpwstr>
      </vt:variant>
      <vt:variant>
        <vt:lpwstr/>
      </vt:variant>
      <vt:variant>
        <vt:i4>7077991</vt:i4>
      </vt:variant>
      <vt:variant>
        <vt:i4>216</vt:i4>
      </vt:variant>
      <vt:variant>
        <vt:i4>0</vt:i4>
      </vt:variant>
      <vt:variant>
        <vt:i4>5</vt:i4>
      </vt:variant>
      <vt:variant>
        <vt:lpwstr>http://www.nevo.co.il/law/70301/29</vt:lpwstr>
      </vt:variant>
      <vt:variant>
        <vt:lpwstr/>
      </vt:variant>
      <vt:variant>
        <vt:i4>5177424</vt:i4>
      </vt:variant>
      <vt:variant>
        <vt:i4>213</vt:i4>
      </vt:variant>
      <vt:variant>
        <vt:i4>0</vt:i4>
      </vt:variant>
      <vt:variant>
        <vt:i4>5</vt:i4>
      </vt:variant>
      <vt:variant>
        <vt:lpwstr>http://www.nevo.co.il/law/70301/144.b</vt:lpwstr>
      </vt:variant>
      <vt:variant>
        <vt:lpwstr/>
      </vt:variant>
      <vt:variant>
        <vt:i4>3604599</vt:i4>
      </vt:variant>
      <vt:variant>
        <vt:i4>210</vt:i4>
      </vt:variant>
      <vt:variant>
        <vt:i4>0</vt:i4>
      </vt:variant>
      <vt:variant>
        <vt:i4>5</vt:i4>
      </vt:variant>
      <vt:variant>
        <vt:lpwstr>http://www.nevo.co.il/case/26934681</vt:lpwstr>
      </vt:variant>
      <vt:variant>
        <vt:lpwstr/>
      </vt:variant>
      <vt:variant>
        <vt:i4>7995492</vt:i4>
      </vt:variant>
      <vt:variant>
        <vt:i4>207</vt:i4>
      </vt:variant>
      <vt:variant>
        <vt:i4>0</vt:i4>
      </vt:variant>
      <vt:variant>
        <vt:i4>5</vt:i4>
      </vt:variant>
      <vt:variant>
        <vt:lpwstr>http://www.nevo.co.il/law/70301</vt:lpwstr>
      </vt:variant>
      <vt:variant>
        <vt:lpwstr/>
      </vt:variant>
      <vt:variant>
        <vt:i4>5177424</vt:i4>
      </vt:variant>
      <vt:variant>
        <vt:i4>204</vt:i4>
      </vt:variant>
      <vt:variant>
        <vt:i4>0</vt:i4>
      </vt:variant>
      <vt:variant>
        <vt:i4>5</vt:i4>
      </vt:variant>
      <vt:variant>
        <vt:lpwstr>http://www.nevo.co.il/law/70301/144.a</vt:lpwstr>
      </vt:variant>
      <vt:variant>
        <vt:lpwstr/>
      </vt:variant>
      <vt:variant>
        <vt:i4>3932272</vt:i4>
      </vt:variant>
      <vt:variant>
        <vt:i4>201</vt:i4>
      </vt:variant>
      <vt:variant>
        <vt:i4>0</vt:i4>
      </vt:variant>
      <vt:variant>
        <vt:i4>5</vt:i4>
      </vt:variant>
      <vt:variant>
        <vt:lpwstr>http://www.nevo.co.il/case/27721185</vt:lpwstr>
      </vt:variant>
      <vt:variant>
        <vt:lpwstr/>
      </vt:variant>
      <vt:variant>
        <vt:i4>7995492</vt:i4>
      </vt:variant>
      <vt:variant>
        <vt:i4>198</vt:i4>
      </vt:variant>
      <vt:variant>
        <vt:i4>0</vt:i4>
      </vt:variant>
      <vt:variant>
        <vt:i4>5</vt:i4>
      </vt:variant>
      <vt:variant>
        <vt:lpwstr>http://www.nevo.co.il/law/70301</vt:lpwstr>
      </vt:variant>
      <vt:variant>
        <vt:lpwstr/>
      </vt:variant>
      <vt:variant>
        <vt:i4>393232</vt:i4>
      </vt:variant>
      <vt:variant>
        <vt:i4>195</vt:i4>
      </vt:variant>
      <vt:variant>
        <vt:i4>0</vt:i4>
      </vt:variant>
      <vt:variant>
        <vt:i4>5</vt:i4>
      </vt:variant>
      <vt:variant>
        <vt:lpwstr>http://www.nevo.co.il/law/70301/144.a.;144.b</vt:lpwstr>
      </vt:variant>
      <vt:variant>
        <vt:lpwstr/>
      </vt:variant>
      <vt:variant>
        <vt:i4>4128891</vt:i4>
      </vt:variant>
      <vt:variant>
        <vt:i4>192</vt:i4>
      </vt:variant>
      <vt:variant>
        <vt:i4>0</vt:i4>
      </vt:variant>
      <vt:variant>
        <vt:i4>5</vt:i4>
      </vt:variant>
      <vt:variant>
        <vt:lpwstr>http://www.nevo.co.il/case/5810378</vt:lpwstr>
      </vt:variant>
      <vt:variant>
        <vt:lpwstr/>
      </vt:variant>
      <vt:variant>
        <vt:i4>86</vt:i4>
      </vt:variant>
      <vt:variant>
        <vt:i4>189</vt:i4>
      </vt:variant>
      <vt:variant>
        <vt:i4>0</vt:i4>
      </vt:variant>
      <vt:variant>
        <vt:i4>5</vt:i4>
      </vt:variant>
      <vt:variant>
        <vt:lpwstr>http://www.nevo.co.il/law/70301/340a</vt:lpwstr>
      </vt:variant>
      <vt:variant>
        <vt:lpwstr/>
      </vt:variant>
      <vt:variant>
        <vt:i4>5177424</vt:i4>
      </vt:variant>
      <vt:variant>
        <vt:i4>186</vt:i4>
      </vt:variant>
      <vt:variant>
        <vt:i4>0</vt:i4>
      </vt:variant>
      <vt:variant>
        <vt:i4>5</vt:i4>
      </vt:variant>
      <vt:variant>
        <vt:lpwstr>http://www.nevo.co.il/law/70301/144.b</vt:lpwstr>
      </vt:variant>
      <vt:variant>
        <vt:lpwstr/>
      </vt:variant>
      <vt:variant>
        <vt:i4>3539059</vt:i4>
      </vt:variant>
      <vt:variant>
        <vt:i4>183</vt:i4>
      </vt:variant>
      <vt:variant>
        <vt:i4>0</vt:i4>
      </vt:variant>
      <vt:variant>
        <vt:i4>5</vt:i4>
      </vt:variant>
      <vt:variant>
        <vt:lpwstr>http://www.nevo.co.il/case/21974190</vt:lpwstr>
      </vt:variant>
      <vt:variant>
        <vt:lpwstr/>
      </vt:variant>
      <vt:variant>
        <vt:i4>3211387</vt:i4>
      </vt:variant>
      <vt:variant>
        <vt:i4>180</vt:i4>
      </vt:variant>
      <vt:variant>
        <vt:i4>0</vt:i4>
      </vt:variant>
      <vt:variant>
        <vt:i4>5</vt:i4>
      </vt:variant>
      <vt:variant>
        <vt:lpwstr>http://www.nevo.co.il/case/21472954</vt:lpwstr>
      </vt:variant>
      <vt:variant>
        <vt:lpwstr/>
      </vt:variant>
      <vt:variant>
        <vt:i4>3407987</vt:i4>
      </vt:variant>
      <vt:variant>
        <vt:i4>177</vt:i4>
      </vt:variant>
      <vt:variant>
        <vt:i4>0</vt:i4>
      </vt:variant>
      <vt:variant>
        <vt:i4>5</vt:i4>
      </vt:variant>
      <vt:variant>
        <vt:lpwstr>http://www.nevo.co.il/case/21474168</vt:lpwstr>
      </vt:variant>
      <vt:variant>
        <vt:lpwstr/>
      </vt:variant>
      <vt:variant>
        <vt:i4>86</vt:i4>
      </vt:variant>
      <vt:variant>
        <vt:i4>174</vt:i4>
      </vt:variant>
      <vt:variant>
        <vt:i4>0</vt:i4>
      </vt:variant>
      <vt:variant>
        <vt:i4>5</vt:i4>
      </vt:variant>
      <vt:variant>
        <vt:lpwstr>http://www.nevo.co.il/law/70301/340a</vt:lpwstr>
      </vt:variant>
      <vt:variant>
        <vt:lpwstr/>
      </vt:variant>
      <vt:variant>
        <vt:i4>5177424</vt:i4>
      </vt:variant>
      <vt:variant>
        <vt:i4>171</vt:i4>
      </vt:variant>
      <vt:variant>
        <vt:i4>0</vt:i4>
      </vt:variant>
      <vt:variant>
        <vt:i4>5</vt:i4>
      </vt:variant>
      <vt:variant>
        <vt:lpwstr>http://www.nevo.co.il/law/70301/144.b</vt:lpwstr>
      </vt:variant>
      <vt:variant>
        <vt:lpwstr/>
      </vt:variant>
      <vt:variant>
        <vt:i4>6357112</vt:i4>
      </vt:variant>
      <vt:variant>
        <vt:i4>168</vt:i4>
      </vt:variant>
      <vt:variant>
        <vt:i4>0</vt:i4>
      </vt:variant>
      <vt:variant>
        <vt:i4>5</vt:i4>
      </vt:variant>
      <vt:variant>
        <vt:lpwstr>http://www.nevo.co.il/law/70301/340a.a</vt:lpwstr>
      </vt:variant>
      <vt:variant>
        <vt:lpwstr/>
      </vt:variant>
      <vt:variant>
        <vt:i4>7995492</vt:i4>
      </vt:variant>
      <vt:variant>
        <vt:i4>165</vt:i4>
      </vt:variant>
      <vt:variant>
        <vt:i4>0</vt:i4>
      </vt:variant>
      <vt:variant>
        <vt:i4>5</vt:i4>
      </vt:variant>
      <vt:variant>
        <vt:lpwstr>http://www.nevo.co.il/law/70301</vt:lpwstr>
      </vt:variant>
      <vt:variant>
        <vt:lpwstr/>
      </vt:variant>
      <vt:variant>
        <vt:i4>5177424</vt:i4>
      </vt:variant>
      <vt:variant>
        <vt:i4>162</vt:i4>
      </vt:variant>
      <vt:variant>
        <vt:i4>0</vt:i4>
      </vt:variant>
      <vt:variant>
        <vt:i4>5</vt:i4>
      </vt:variant>
      <vt:variant>
        <vt:lpwstr>http://www.nevo.co.il/law/70301/144.a</vt:lpwstr>
      </vt:variant>
      <vt:variant>
        <vt:lpwstr/>
      </vt:variant>
      <vt:variant>
        <vt:i4>3604592</vt:i4>
      </vt:variant>
      <vt:variant>
        <vt:i4>159</vt:i4>
      </vt:variant>
      <vt:variant>
        <vt:i4>0</vt:i4>
      </vt:variant>
      <vt:variant>
        <vt:i4>5</vt:i4>
      </vt:variant>
      <vt:variant>
        <vt:lpwstr>http://www.nevo.co.il/case/27404359</vt:lpwstr>
      </vt:variant>
      <vt:variant>
        <vt:lpwstr/>
      </vt:variant>
      <vt:variant>
        <vt:i4>6357112</vt:i4>
      </vt:variant>
      <vt:variant>
        <vt:i4>156</vt:i4>
      </vt:variant>
      <vt:variant>
        <vt:i4>0</vt:i4>
      </vt:variant>
      <vt:variant>
        <vt:i4>5</vt:i4>
      </vt:variant>
      <vt:variant>
        <vt:lpwstr>http://www.nevo.co.il/law/70301/340a.a</vt:lpwstr>
      </vt:variant>
      <vt:variant>
        <vt:lpwstr/>
      </vt:variant>
      <vt:variant>
        <vt:i4>5177424</vt:i4>
      </vt:variant>
      <vt:variant>
        <vt:i4>153</vt:i4>
      </vt:variant>
      <vt:variant>
        <vt:i4>0</vt:i4>
      </vt:variant>
      <vt:variant>
        <vt:i4>5</vt:i4>
      </vt:variant>
      <vt:variant>
        <vt:lpwstr>http://www.nevo.co.il/law/70301/144.a</vt:lpwstr>
      </vt:variant>
      <vt:variant>
        <vt:lpwstr/>
      </vt:variant>
      <vt:variant>
        <vt:i4>5177424</vt:i4>
      </vt:variant>
      <vt:variant>
        <vt:i4>150</vt:i4>
      </vt:variant>
      <vt:variant>
        <vt:i4>0</vt:i4>
      </vt:variant>
      <vt:variant>
        <vt:i4>5</vt:i4>
      </vt:variant>
      <vt:variant>
        <vt:lpwstr>http://www.nevo.co.il/law/70301/144.a</vt:lpwstr>
      </vt:variant>
      <vt:variant>
        <vt:lpwstr/>
      </vt:variant>
      <vt:variant>
        <vt:i4>5177424</vt:i4>
      </vt:variant>
      <vt:variant>
        <vt:i4>147</vt:i4>
      </vt:variant>
      <vt:variant>
        <vt:i4>0</vt:i4>
      </vt:variant>
      <vt:variant>
        <vt:i4>5</vt:i4>
      </vt:variant>
      <vt:variant>
        <vt:lpwstr>http://www.nevo.co.il/law/70301/144.b</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5242966</vt:i4>
      </vt:variant>
      <vt:variant>
        <vt:i4>141</vt:i4>
      </vt:variant>
      <vt:variant>
        <vt:i4>0</vt:i4>
      </vt:variant>
      <vt:variant>
        <vt:i4>5</vt:i4>
      </vt:variant>
      <vt:variant>
        <vt:lpwstr>http://www.nevo.co.il/law/70301/340a.b.2</vt:lpwstr>
      </vt:variant>
      <vt:variant>
        <vt:lpwstr/>
      </vt:variant>
      <vt:variant>
        <vt:i4>5439574</vt:i4>
      </vt:variant>
      <vt:variant>
        <vt:i4>138</vt:i4>
      </vt:variant>
      <vt:variant>
        <vt:i4>0</vt:i4>
      </vt:variant>
      <vt:variant>
        <vt:i4>5</vt:i4>
      </vt:variant>
      <vt:variant>
        <vt:lpwstr>http://www.nevo.co.il/law/70301/340a.b.1</vt:lpwstr>
      </vt:variant>
      <vt:variant>
        <vt:lpwstr/>
      </vt:variant>
      <vt:variant>
        <vt:i4>6357112</vt:i4>
      </vt:variant>
      <vt:variant>
        <vt:i4>135</vt:i4>
      </vt:variant>
      <vt:variant>
        <vt:i4>0</vt:i4>
      </vt:variant>
      <vt:variant>
        <vt:i4>5</vt:i4>
      </vt:variant>
      <vt:variant>
        <vt:lpwstr>http://www.nevo.co.il/law/70301/340a.a</vt:lpwstr>
      </vt:variant>
      <vt:variant>
        <vt:lpwstr/>
      </vt:variant>
      <vt:variant>
        <vt:i4>7995492</vt:i4>
      </vt:variant>
      <vt:variant>
        <vt:i4>132</vt:i4>
      </vt:variant>
      <vt:variant>
        <vt:i4>0</vt:i4>
      </vt:variant>
      <vt:variant>
        <vt:i4>5</vt:i4>
      </vt:variant>
      <vt:variant>
        <vt:lpwstr>http://www.nevo.co.il/law/70301</vt:lpwstr>
      </vt:variant>
      <vt:variant>
        <vt:lpwstr/>
      </vt:variant>
      <vt:variant>
        <vt:i4>86</vt:i4>
      </vt:variant>
      <vt:variant>
        <vt:i4>129</vt:i4>
      </vt:variant>
      <vt:variant>
        <vt:i4>0</vt:i4>
      </vt:variant>
      <vt:variant>
        <vt:i4>5</vt:i4>
      </vt:variant>
      <vt:variant>
        <vt:lpwstr>http://www.nevo.co.il/law/70301/340a</vt:lpwstr>
      </vt:variant>
      <vt:variant>
        <vt:lpwstr/>
      </vt:variant>
      <vt:variant>
        <vt:i4>3342453</vt:i4>
      </vt:variant>
      <vt:variant>
        <vt:i4>126</vt:i4>
      </vt:variant>
      <vt:variant>
        <vt:i4>0</vt:i4>
      </vt:variant>
      <vt:variant>
        <vt:i4>5</vt:i4>
      </vt:variant>
      <vt:variant>
        <vt:lpwstr>http://www.nevo.co.il/case/5969313</vt:lpwstr>
      </vt:variant>
      <vt:variant>
        <vt:lpwstr/>
      </vt:variant>
      <vt:variant>
        <vt:i4>3539065</vt:i4>
      </vt:variant>
      <vt:variant>
        <vt:i4>123</vt:i4>
      </vt:variant>
      <vt:variant>
        <vt:i4>0</vt:i4>
      </vt:variant>
      <vt:variant>
        <vt:i4>5</vt:i4>
      </vt:variant>
      <vt:variant>
        <vt:lpwstr>http://www.nevo.co.il/case/13093744</vt:lpwstr>
      </vt:variant>
      <vt:variant>
        <vt:lpwstr/>
      </vt:variant>
      <vt:variant>
        <vt:i4>3211389</vt:i4>
      </vt:variant>
      <vt:variant>
        <vt:i4>120</vt:i4>
      </vt:variant>
      <vt:variant>
        <vt:i4>0</vt:i4>
      </vt:variant>
      <vt:variant>
        <vt:i4>5</vt:i4>
      </vt:variant>
      <vt:variant>
        <vt:lpwstr>http://www.nevo.co.il/case/26263927</vt:lpwstr>
      </vt:variant>
      <vt:variant>
        <vt:lpwstr/>
      </vt:variant>
      <vt:variant>
        <vt:i4>4063353</vt:i4>
      </vt:variant>
      <vt:variant>
        <vt:i4>117</vt:i4>
      </vt:variant>
      <vt:variant>
        <vt:i4>0</vt:i4>
      </vt:variant>
      <vt:variant>
        <vt:i4>5</vt:i4>
      </vt:variant>
      <vt:variant>
        <vt:lpwstr>http://www.nevo.co.il/case/25612982</vt:lpwstr>
      </vt:variant>
      <vt:variant>
        <vt:lpwstr/>
      </vt:variant>
      <vt:variant>
        <vt:i4>3407999</vt:i4>
      </vt:variant>
      <vt:variant>
        <vt:i4>114</vt:i4>
      </vt:variant>
      <vt:variant>
        <vt:i4>0</vt:i4>
      </vt:variant>
      <vt:variant>
        <vt:i4>5</vt:i4>
      </vt:variant>
      <vt:variant>
        <vt:lpwstr>http://www.nevo.co.il/case/8291683</vt:lpwstr>
      </vt:variant>
      <vt:variant>
        <vt:lpwstr/>
      </vt:variant>
      <vt:variant>
        <vt:i4>4128885</vt:i4>
      </vt:variant>
      <vt:variant>
        <vt:i4>111</vt:i4>
      </vt:variant>
      <vt:variant>
        <vt:i4>0</vt:i4>
      </vt:variant>
      <vt:variant>
        <vt:i4>5</vt:i4>
      </vt:variant>
      <vt:variant>
        <vt:lpwstr>http://www.nevo.co.il/case/21946424</vt:lpwstr>
      </vt:variant>
      <vt:variant>
        <vt:lpwstr/>
      </vt:variant>
      <vt:variant>
        <vt:i4>3539068</vt:i4>
      </vt:variant>
      <vt:variant>
        <vt:i4>108</vt:i4>
      </vt:variant>
      <vt:variant>
        <vt:i4>0</vt:i4>
      </vt:variant>
      <vt:variant>
        <vt:i4>5</vt:i4>
      </vt:variant>
      <vt:variant>
        <vt:lpwstr>http://www.nevo.co.il/case/5878682</vt:lpwstr>
      </vt:variant>
      <vt:variant>
        <vt:lpwstr/>
      </vt:variant>
      <vt:variant>
        <vt:i4>3997815</vt:i4>
      </vt:variant>
      <vt:variant>
        <vt:i4>105</vt:i4>
      </vt:variant>
      <vt:variant>
        <vt:i4>0</vt:i4>
      </vt:variant>
      <vt:variant>
        <vt:i4>5</vt:i4>
      </vt:variant>
      <vt:variant>
        <vt:lpwstr>http://www.nevo.co.il/case/23509035</vt:lpwstr>
      </vt:variant>
      <vt:variant>
        <vt:lpwstr/>
      </vt:variant>
      <vt:variant>
        <vt:i4>3342462</vt:i4>
      </vt:variant>
      <vt:variant>
        <vt:i4>102</vt:i4>
      </vt:variant>
      <vt:variant>
        <vt:i4>0</vt:i4>
      </vt:variant>
      <vt:variant>
        <vt:i4>5</vt:i4>
      </vt:variant>
      <vt:variant>
        <vt:lpwstr>http://www.nevo.co.il/case/25063920</vt:lpwstr>
      </vt:variant>
      <vt:variant>
        <vt:lpwstr/>
      </vt:variant>
      <vt:variant>
        <vt:i4>3670139</vt:i4>
      </vt:variant>
      <vt:variant>
        <vt:i4>99</vt:i4>
      </vt:variant>
      <vt:variant>
        <vt:i4>0</vt:i4>
      </vt:variant>
      <vt:variant>
        <vt:i4>5</vt:i4>
      </vt:variant>
      <vt:variant>
        <vt:lpwstr>http://www.nevo.co.il/case/25824863</vt:lpwstr>
      </vt:variant>
      <vt:variant>
        <vt:lpwstr/>
      </vt:variant>
      <vt:variant>
        <vt:i4>3211386</vt:i4>
      </vt:variant>
      <vt:variant>
        <vt:i4>96</vt:i4>
      </vt:variant>
      <vt:variant>
        <vt:i4>0</vt:i4>
      </vt:variant>
      <vt:variant>
        <vt:i4>5</vt:i4>
      </vt:variant>
      <vt:variant>
        <vt:lpwstr>http://www.nevo.co.il/case/26913995</vt:lpwstr>
      </vt:variant>
      <vt:variant>
        <vt:lpwstr/>
      </vt:variant>
      <vt:variant>
        <vt:i4>3735675</vt:i4>
      </vt:variant>
      <vt:variant>
        <vt:i4>93</vt:i4>
      </vt:variant>
      <vt:variant>
        <vt:i4>0</vt:i4>
      </vt:variant>
      <vt:variant>
        <vt:i4>5</vt:i4>
      </vt:variant>
      <vt:variant>
        <vt:lpwstr>http://www.nevo.co.il/case/7791493</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vt:lpwstr>
      </vt:variant>
      <vt:variant>
        <vt:lpwstr/>
      </vt:variant>
      <vt:variant>
        <vt:i4>6422648</vt:i4>
      </vt:variant>
      <vt:variant>
        <vt:i4>75</vt:i4>
      </vt:variant>
      <vt:variant>
        <vt:i4>0</vt:i4>
      </vt:variant>
      <vt:variant>
        <vt:i4>5</vt:i4>
      </vt:variant>
      <vt:variant>
        <vt:lpwstr>http://www.nevo.co.il/law/70301/340a.b</vt:lpwstr>
      </vt:variant>
      <vt:variant>
        <vt:lpwstr/>
      </vt:variant>
      <vt:variant>
        <vt:i4>6422648</vt:i4>
      </vt:variant>
      <vt:variant>
        <vt:i4>72</vt:i4>
      </vt:variant>
      <vt:variant>
        <vt:i4>0</vt:i4>
      </vt:variant>
      <vt:variant>
        <vt:i4>5</vt:i4>
      </vt:variant>
      <vt:variant>
        <vt:lpwstr>http://www.nevo.co.il/law/70301/340a.b</vt:lpwstr>
      </vt:variant>
      <vt:variant>
        <vt:lpwstr/>
      </vt:variant>
      <vt:variant>
        <vt:i4>6357112</vt:i4>
      </vt:variant>
      <vt:variant>
        <vt:i4>69</vt:i4>
      </vt:variant>
      <vt:variant>
        <vt:i4>0</vt:i4>
      </vt:variant>
      <vt:variant>
        <vt:i4>5</vt:i4>
      </vt:variant>
      <vt:variant>
        <vt:lpwstr>http://www.nevo.co.il/law/70301/340a.a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http://www.nevo.co.il/law/70301/40g</vt:lpwstr>
      </vt:variant>
      <vt:variant>
        <vt:lpwstr/>
      </vt:variant>
      <vt:variant>
        <vt:i4>6619233</vt:i4>
      </vt:variant>
      <vt:variant>
        <vt:i4>60</vt:i4>
      </vt:variant>
      <vt:variant>
        <vt:i4>0</vt:i4>
      </vt:variant>
      <vt:variant>
        <vt:i4>5</vt:i4>
      </vt:variant>
      <vt:variant>
        <vt:lpwstr>http://www.nevo.co.il/law/70301/40</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4915208</vt:i4>
      </vt:variant>
      <vt:variant>
        <vt:i4>54</vt:i4>
      </vt:variant>
      <vt:variant>
        <vt:i4>0</vt:i4>
      </vt:variant>
      <vt:variant>
        <vt:i4>5</vt:i4>
      </vt:variant>
      <vt:variant>
        <vt:lpwstr>http://www.nevo.co.il/law/70301/40i.a</vt:lpwstr>
      </vt:variant>
      <vt:variant>
        <vt:lpwstr/>
      </vt:variant>
      <vt:variant>
        <vt:i4>6357112</vt:i4>
      </vt:variant>
      <vt:variant>
        <vt:i4>51</vt:i4>
      </vt:variant>
      <vt:variant>
        <vt:i4>0</vt:i4>
      </vt:variant>
      <vt:variant>
        <vt:i4>5</vt:i4>
      </vt:variant>
      <vt:variant>
        <vt:lpwstr>http://www.nevo.co.il/law/70301/340a.a</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5242966</vt:i4>
      </vt:variant>
      <vt:variant>
        <vt:i4>39</vt:i4>
      </vt:variant>
      <vt:variant>
        <vt:i4>0</vt:i4>
      </vt:variant>
      <vt:variant>
        <vt:i4>5</vt:i4>
      </vt:variant>
      <vt:variant>
        <vt:lpwstr>http://www.nevo.co.il/law/70301/340a.b.2</vt:lpwstr>
      </vt:variant>
      <vt:variant>
        <vt:lpwstr/>
      </vt:variant>
      <vt:variant>
        <vt:i4>5439574</vt:i4>
      </vt:variant>
      <vt:variant>
        <vt:i4>36</vt:i4>
      </vt:variant>
      <vt:variant>
        <vt:i4>0</vt:i4>
      </vt:variant>
      <vt:variant>
        <vt:i4>5</vt:i4>
      </vt:variant>
      <vt:variant>
        <vt:lpwstr>http://www.nevo.co.il/law/70301/340a.b.1</vt:lpwstr>
      </vt:variant>
      <vt:variant>
        <vt:lpwstr/>
      </vt:variant>
      <vt:variant>
        <vt:i4>6422648</vt:i4>
      </vt:variant>
      <vt:variant>
        <vt:i4>33</vt:i4>
      </vt:variant>
      <vt:variant>
        <vt:i4>0</vt:i4>
      </vt:variant>
      <vt:variant>
        <vt:i4>5</vt:i4>
      </vt:variant>
      <vt:variant>
        <vt:lpwstr>http://www.nevo.co.il/law/70301/340a.b</vt:lpwstr>
      </vt:variant>
      <vt:variant>
        <vt:lpwstr/>
      </vt:variant>
      <vt:variant>
        <vt:i4>6357112</vt:i4>
      </vt:variant>
      <vt:variant>
        <vt:i4>30</vt:i4>
      </vt:variant>
      <vt:variant>
        <vt:i4>0</vt:i4>
      </vt:variant>
      <vt:variant>
        <vt:i4>5</vt:i4>
      </vt:variant>
      <vt:variant>
        <vt:lpwstr>http://www.nevo.co.il/law/70301/340a.a</vt:lpwstr>
      </vt:variant>
      <vt:variant>
        <vt:lpwstr/>
      </vt:variant>
      <vt:variant>
        <vt:i4>86</vt:i4>
      </vt:variant>
      <vt:variant>
        <vt:i4>27</vt:i4>
      </vt:variant>
      <vt:variant>
        <vt:i4>0</vt:i4>
      </vt:variant>
      <vt:variant>
        <vt:i4>5</vt:i4>
      </vt:variant>
      <vt:variant>
        <vt:lpwstr>http://www.nevo.co.il/law/70301/340a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4915208</vt:i4>
      </vt:variant>
      <vt:variant>
        <vt:i4>18</vt:i4>
      </vt:variant>
      <vt:variant>
        <vt:i4>0</vt:i4>
      </vt:variant>
      <vt:variant>
        <vt:i4>5</vt:i4>
      </vt:variant>
      <vt:variant>
        <vt:lpwstr>http://www.nevo.co.il/law/70301/40i.a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http://www.nevo.co.il/law/70301/40g</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2025-01-19T16:49:00Z</dcterms:created>
  <dcterms:modified xsi:type="dcterms:W3CDTF">2025-01-19T16:49:00Z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44620</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היב</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20221214</vt:lpwstr>
  </property>
  <property fmtid="{D5CDD505-2E9C-101B-9397-08002B2CF9AE}" pid="13" name="TYPE_N_DATE">
    <vt:lpwstr>39020221214</vt:lpwstr>
  </property>
  <property fmtid="{D5CDD505-2E9C-101B-9397-08002B2CF9AE}" pid="14" name="WORDNUMPAGES">
    <vt:lpwstr>19</vt:lpwstr>
  </property>
  <property fmtid="{D5CDD505-2E9C-101B-9397-08002B2CF9AE}" pid="15" name="TYPE_ABS_DATE">
    <vt:lpwstr>390020221214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7791493;26913995;25824863:3;25063920:2;23509035;5878682;21946424;8291683;25612982;26263927;13093744;5969313;27404359;21474168;21472954;21974190;5810378;27721185;26934681;23506856;28415817;27462558;20807758;3953501;27063216;27915710;26648598;26268834</vt:lpwstr>
  </property>
  <property fmtid="{D5CDD505-2E9C-101B-9397-08002B2CF9AE}" pid="36" name="CASESLISTTMP2">
    <vt:lpwstr>6473037;7697292</vt:lpwstr>
  </property>
  <property fmtid="{D5CDD505-2E9C-101B-9397-08002B2CF9AE}" pid="37" name="LAWLISTTMP1">
    <vt:lpwstr>70301/144.a:10;144.b:11;340a.a:9;040i.a;040:2;040g;340a.b:2;040c;040i;340a:4;340a.b.1:3;340a.b.2;029:8</vt:lpwstr>
  </property>
</Properties>
</file>