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4E11F2" w:rsidRPr="009C7198" w14:paraId="240EE972" w14:textId="77777777" w:rsidTr="009C6F04">
        <w:trPr>
          <w:trHeight w:hRule="exact" w:val="418"/>
          <w:jc w:val="center"/>
        </w:trPr>
        <w:tc>
          <w:tcPr>
            <w:tcW w:w="8721" w:type="dxa"/>
            <w:gridSpan w:val="2"/>
          </w:tcPr>
          <w:p w14:paraId="1F4E909F" w14:textId="77777777" w:rsidR="004E11F2" w:rsidRPr="009C7198" w:rsidRDefault="004E11F2" w:rsidP="00C9552A">
            <w:pPr>
              <w:pStyle w:val="a3"/>
              <w:jc w:val="center"/>
              <w:rPr>
                <w:rFonts w:ascii="Tahoma" w:hAnsi="Tahoma" w:cs="Tahoma"/>
                <w:color w:val="000080"/>
                <w:rtl/>
              </w:rPr>
            </w:pPr>
            <w:bookmarkStart w:id="0" w:name="LastJudge"/>
            <w:r w:rsidRPr="009C7198">
              <w:rPr>
                <w:rFonts w:ascii="Tahoma" w:hAnsi="Tahoma" w:cs="Tahoma"/>
                <w:b/>
                <w:bCs/>
                <w:color w:val="000080"/>
                <w:rtl/>
              </w:rPr>
              <w:t>בית המשפט המחוזי בחיפה</w:t>
            </w:r>
          </w:p>
        </w:tc>
      </w:tr>
      <w:tr w:rsidR="004E11F2" w:rsidRPr="009C7198" w14:paraId="11D8012B" w14:textId="77777777" w:rsidTr="009C6F04">
        <w:trPr>
          <w:trHeight w:val="337"/>
          <w:jc w:val="center"/>
        </w:trPr>
        <w:tc>
          <w:tcPr>
            <w:tcW w:w="5060" w:type="dxa"/>
          </w:tcPr>
          <w:p w14:paraId="6B1E9167" w14:textId="77777777" w:rsidR="004E11F2" w:rsidRPr="009C7198" w:rsidRDefault="004E11F2" w:rsidP="00C9552A">
            <w:pPr>
              <w:rPr>
                <w:rFonts w:cs="FrankRuehl"/>
                <w:sz w:val="28"/>
                <w:szCs w:val="28"/>
                <w:rtl/>
              </w:rPr>
            </w:pPr>
            <w:r w:rsidRPr="009C7198">
              <w:rPr>
                <w:rFonts w:cs="FrankRuehl"/>
                <w:sz w:val="28"/>
                <w:szCs w:val="28"/>
                <w:rtl/>
              </w:rPr>
              <w:t>ת"פ</w:t>
            </w:r>
            <w:r w:rsidRPr="009C7198">
              <w:rPr>
                <w:rFonts w:cs="FrankRuehl" w:hint="cs"/>
                <w:sz w:val="28"/>
                <w:szCs w:val="28"/>
                <w:rtl/>
              </w:rPr>
              <w:t xml:space="preserve"> </w:t>
            </w:r>
            <w:r w:rsidRPr="009C7198">
              <w:rPr>
                <w:rFonts w:cs="FrankRuehl"/>
                <w:sz w:val="28"/>
                <w:szCs w:val="28"/>
                <w:rtl/>
              </w:rPr>
              <w:t>16753-02-22</w:t>
            </w:r>
            <w:r w:rsidRPr="009C7198">
              <w:rPr>
                <w:rFonts w:cs="FrankRuehl" w:hint="cs"/>
                <w:sz w:val="28"/>
                <w:szCs w:val="28"/>
                <w:rtl/>
              </w:rPr>
              <w:t xml:space="preserve"> </w:t>
            </w:r>
            <w:r w:rsidRPr="009C7198">
              <w:rPr>
                <w:rFonts w:cs="FrankRuehl"/>
                <w:sz w:val="28"/>
                <w:szCs w:val="28"/>
                <w:rtl/>
              </w:rPr>
              <w:t>מדינת ישראל נ' ח'לאילי(עציר)</w:t>
            </w:r>
          </w:p>
          <w:p w14:paraId="0EBD1834" w14:textId="77777777" w:rsidR="004E11F2" w:rsidRPr="009C7198" w:rsidRDefault="004E11F2" w:rsidP="00C9552A">
            <w:pPr>
              <w:pStyle w:val="a3"/>
              <w:rPr>
                <w:rFonts w:cs="FrankRuehl"/>
                <w:sz w:val="28"/>
                <w:szCs w:val="28"/>
                <w:rtl/>
              </w:rPr>
            </w:pPr>
          </w:p>
        </w:tc>
        <w:tc>
          <w:tcPr>
            <w:tcW w:w="3661" w:type="dxa"/>
          </w:tcPr>
          <w:p w14:paraId="07563911" w14:textId="77777777" w:rsidR="004E11F2" w:rsidRPr="009C7198" w:rsidRDefault="004E11F2" w:rsidP="00C9552A">
            <w:pPr>
              <w:pStyle w:val="a3"/>
              <w:jc w:val="right"/>
              <w:rPr>
                <w:rFonts w:cs="FrankRuehl"/>
                <w:sz w:val="28"/>
                <w:szCs w:val="28"/>
                <w:rtl/>
              </w:rPr>
            </w:pPr>
          </w:p>
        </w:tc>
      </w:tr>
    </w:tbl>
    <w:p w14:paraId="26B186BF" w14:textId="77777777" w:rsidR="004E11F2" w:rsidRPr="009C7198" w:rsidRDefault="004E11F2" w:rsidP="009C6F04">
      <w:pPr>
        <w:pStyle w:val="a3"/>
        <w:rPr>
          <w:sz w:val="6"/>
          <w:szCs w:val="6"/>
          <w:rtl/>
        </w:rPr>
      </w:pPr>
      <w:r w:rsidRPr="009C7198">
        <w:rPr>
          <w:rFonts w:hint="cs"/>
          <w:rtl/>
        </w:rPr>
        <w:t xml:space="preserve"> </w:t>
      </w:r>
    </w:p>
    <w:tbl>
      <w:tblPr>
        <w:bidiVisual/>
        <w:tblW w:w="8529" w:type="dxa"/>
        <w:tblInd w:w="245" w:type="dxa"/>
        <w:tblLook w:val="01E0" w:firstRow="1" w:lastRow="1" w:firstColumn="1" w:lastColumn="1" w:noHBand="0" w:noVBand="0"/>
      </w:tblPr>
      <w:tblGrid>
        <w:gridCol w:w="2607"/>
        <w:gridCol w:w="5866"/>
        <w:gridCol w:w="56"/>
      </w:tblGrid>
      <w:tr w:rsidR="004E11F2" w:rsidRPr="009C7198" w14:paraId="06F4CCBA" w14:textId="77777777" w:rsidTr="004E11F2">
        <w:trPr>
          <w:gridAfter w:val="1"/>
          <w:wAfter w:w="56" w:type="dxa"/>
        </w:trPr>
        <w:tc>
          <w:tcPr>
            <w:tcW w:w="8473" w:type="dxa"/>
            <w:gridSpan w:val="2"/>
            <w:shd w:val="clear" w:color="auto" w:fill="auto"/>
          </w:tcPr>
          <w:p w14:paraId="038B02BD" w14:textId="77777777" w:rsidR="004E11F2" w:rsidRPr="009C7198" w:rsidRDefault="004E11F2" w:rsidP="004E11F2">
            <w:pPr>
              <w:spacing w:line="360" w:lineRule="auto"/>
              <w:jc w:val="both"/>
              <w:rPr>
                <w:b/>
                <w:bCs/>
                <w:sz w:val="26"/>
                <w:szCs w:val="26"/>
                <w:rtl/>
              </w:rPr>
            </w:pPr>
            <w:r w:rsidRPr="009C7198">
              <w:rPr>
                <w:rFonts w:hint="cs"/>
                <w:b/>
                <w:bCs/>
                <w:sz w:val="26"/>
                <w:szCs w:val="26"/>
                <w:rtl/>
              </w:rPr>
              <w:t>לפני כבוד ה</w:t>
            </w:r>
            <w:r w:rsidRPr="009C7198">
              <w:rPr>
                <w:b/>
                <w:bCs/>
                <w:sz w:val="26"/>
                <w:szCs w:val="26"/>
                <w:rtl/>
              </w:rPr>
              <w:t>שופט דניאל פיש</w:t>
            </w:r>
            <w:r w:rsidRPr="009C7198">
              <w:rPr>
                <w:rStyle w:val="TimesNewRomanTimesNewRoman"/>
                <w:rtl/>
              </w:rPr>
              <w:t xml:space="preserve"> </w:t>
            </w:r>
          </w:p>
        </w:tc>
      </w:tr>
      <w:tr w:rsidR="004E11F2" w:rsidRPr="009C7198" w14:paraId="7737DB94" w14:textId="77777777" w:rsidTr="004E11F2">
        <w:trPr>
          <w:cantSplit/>
          <w:trHeight w:val="560"/>
        </w:trPr>
        <w:tc>
          <w:tcPr>
            <w:tcW w:w="2607" w:type="dxa"/>
            <w:shd w:val="clear" w:color="auto" w:fill="auto"/>
          </w:tcPr>
          <w:p w14:paraId="785EBAA8" w14:textId="77777777" w:rsidR="004E11F2" w:rsidRPr="009C7198" w:rsidRDefault="004E11F2" w:rsidP="004E11F2">
            <w:pPr>
              <w:ind w:left="26"/>
              <w:rPr>
                <w:b/>
                <w:bCs/>
                <w:sz w:val="26"/>
                <w:szCs w:val="26"/>
                <w:rtl/>
              </w:rPr>
            </w:pPr>
            <w:bookmarkStart w:id="1" w:name="FirstAppellant"/>
          </w:p>
          <w:p w14:paraId="652BBCFC" w14:textId="77777777" w:rsidR="004E11F2" w:rsidRPr="009C7198" w:rsidRDefault="004E11F2" w:rsidP="004E11F2">
            <w:pPr>
              <w:ind w:left="26"/>
              <w:rPr>
                <w:b/>
                <w:bCs/>
                <w:sz w:val="26"/>
                <w:szCs w:val="26"/>
                <w:rtl/>
              </w:rPr>
            </w:pPr>
            <w:r w:rsidRPr="009C7198">
              <w:rPr>
                <w:rFonts w:hint="cs"/>
                <w:b/>
                <w:bCs/>
                <w:sz w:val="26"/>
                <w:szCs w:val="26"/>
                <w:rtl/>
              </w:rPr>
              <w:t>ה</w:t>
            </w:r>
            <w:r w:rsidRPr="009C7198">
              <w:rPr>
                <w:b/>
                <w:bCs/>
                <w:sz w:val="26"/>
                <w:szCs w:val="26"/>
                <w:rtl/>
              </w:rPr>
              <w:t>מאשימה</w:t>
            </w:r>
          </w:p>
        </w:tc>
        <w:tc>
          <w:tcPr>
            <w:tcW w:w="5922" w:type="dxa"/>
            <w:gridSpan w:val="2"/>
            <w:shd w:val="clear" w:color="auto" w:fill="auto"/>
          </w:tcPr>
          <w:p w14:paraId="59FDF66C" w14:textId="77777777" w:rsidR="004E11F2" w:rsidRPr="009C7198" w:rsidRDefault="004E11F2" w:rsidP="00C9552A">
            <w:pPr>
              <w:rPr>
                <w:rFonts w:cs="Times New Roman"/>
                <w:rtl/>
              </w:rPr>
            </w:pPr>
          </w:p>
          <w:p w14:paraId="7EE37621" w14:textId="77777777" w:rsidR="004E11F2" w:rsidRPr="009C7198" w:rsidRDefault="004E11F2" w:rsidP="00C9552A">
            <w:pPr>
              <w:rPr>
                <w:b/>
                <w:bCs/>
                <w:sz w:val="26"/>
                <w:szCs w:val="26"/>
                <w:rtl/>
              </w:rPr>
            </w:pPr>
            <w:r w:rsidRPr="009C7198">
              <w:rPr>
                <w:rtl/>
              </w:rPr>
              <w:t xml:space="preserve"> </w:t>
            </w:r>
            <w:r w:rsidRPr="009C7198">
              <w:rPr>
                <w:b/>
                <w:bCs/>
                <w:sz w:val="26"/>
                <w:szCs w:val="26"/>
                <w:rtl/>
              </w:rPr>
              <w:t>מדינת ישראל</w:t>
            </w:r>
          </w:p>
        </w:tc>
      </w:tr>
      <w:bookmarkEnd w:id="1"/>
      <w:tr w:rsidR="004E11F2" w:rsidRPr="009C7198" w14:paraId="015B97E3" w14:textId="77777777" w:rsidTr="004E11F2">
        <w:tc>
          <w:tcPr>
            <w:tcW w:w="8529" w:type="dxa"/>
            <w:gridSpan w:val="3"/>
            <w:shd w:val="clear" w:color="auto" w:fill="auto"/>
            <w:vAlign w:val="center"/>
          </w:tcPr>
          <w:p w14:paraId="34EFA5E4" w14:textId="77777777" w:rsidR="004E11F2" w:rsidRPr="009C7198" w:rsidRDefault="004E11F2" w:rsidP="004E11F2">
            <w:pPr>
              <w:jc w:val="center"/>
              <w:rPr>
                <w:rFonts w:ascii="Arial" w:hAnsi="Arial"/>
                <w:b/>
                <w:bCs/>
                <w:sz w:val="26"/>
                <w:szCs w:val="26"/>
                <w:rtl/>
              </w:rPr>
            </w:pPr>
          </w:p>
          <w:p w14:paraId="68BBEFAC" w14:textId="77777777" w:rsidR="004E11F2" w:rsidRPr="009C7198" w:rsidRDefault="004E11F2" w:rsidP="004E11F2">
            <w:pPr>
              <w:jc w:val="center"/>
              <w:rPr>
                <w:rFonts w:ascii="Arial" w:hAnsi="Arial"/>
                <w:b/>
                <w:bCs/>
                <w:sz w:val="26"/>
                <w:szCs w:val="26"/>
                <w:rtl/>
              </w:rPr>
            </w:pPr>
            <w:r w:rsidRPr="009C7198">
              <w:rPr>
                <w:rFonts w:ascii="Arial" w:hAnsi="Arial" w:hint="cs"/>
                <w:b/>
                <w:bCs/>
                <w:sz w:val="26"/>
                <w:szCs w:val="26"/>
                <w:rtl/>
              </w:rPr>
              <w:t>נגד</w:t>
            </w:r>
          </w:p>
          <w:p w14:paraId="0CE67D24" w14:textId="77777777" w:rsidR="004E11F2" w:rsidRPr="009C7198" w:rsidRDefault="004E11F2" w:rsidP="00C9552A">
            <w:pPr>
              <w:rPr>
                <w:rFonts w:ascii="Arial" w:hAnsi="Arial"/>
                <w:b/>
                <w:bCs/>
                <w:sz w:val="26"/>
                <w:szCs w:val="26"/>
                <w:rtl/>
              </w:rPr>
            </w:pPr>
          </w:p>
        </w:tc>
      </w:tr>
      <w:tr w:rsidR="004E11F2" w:rsidRPr="009C7198" w14:paraId="210D1B4D" w14:textId="77777777" w:rsidTr="004E11F2">
        <w:tc>
          <w:tcPr>
            <w:tcW w:w="2607" w:type="dxa"/>
            <w:shd w:val="clear" w:color="auto" w:fill="auto"/>
          </w:tcPr>
          <w:p w14:paraId="31DE8FB8" w14:textId="77777777" w:rsidR="004E11F2" w:rsidRPr="009C7198" w:rsidRDefault="004E11F2" w:rsidP="004E11F2">
            <w:pPr>
              <w:ind w:left="26"/>
              <w:rPr>
                <w:b/>
                <w:bCs/>
                <w:sz w:val="26"/>
                <w:szCs w:val="26"/>
              </w:rPr>
            </w:pPr>
            <w:r w:rsidRPr="009C7198">
              <w:rPr>
                <w:rFonts w:hint="cs"/>
                <w:b/>
                <w:bCs/>
                <w:sz w:val="26"/>
                <w:szCs w:val="26"/>
                <w:rtl/>
              </w:rPr>
              <w:t>ה</w:t>
            </w:r>
            <w:r w:rsidRPr="009C7198">
              <w:rPr>
                <w:b/>
                <w:bCs/>
                <w:sz w:val="26"/>
                <w:szCs w:val="26"/>
                <w:rtl/>
              </w:rPr>
              <w:t>נאשם</w:t>
            </w:r>
          </w:p>
        </w:tc>
        <w:tc>
          <w:tcPr>
            <w:tcW w:w="5922" w:type="dxa"/>
            <w:gridSpan w:val="2"/>
            <w:shd w:val="clear" w:color="auto" w:fill="auto"/>
          </w:tcPr>
          <w:p w14:paraId="423C5EC9" w14:textId="77777777" w:rsidR="004E11F2" w:rsidRPr="009C7198" w:rsidRDefault="004E11F2" w:rsidP="00C9552A">
            <w:pPr>
              <w:rPr>
                <w:b/>
                <w:bCs/>
                <w:sz w:val="26"/>
                <w:szCs w:val="26"/>
                <w:rtl/>
              </w:rPr>
            </w:pPr>
            <w:r w:rsidRPr="009C7198">
              <w:rPr>
                <w:rtl/>
              </w:rPr>
              <w:t xml:space="preserve"> </w:t>
            </w:r>
            <w:r w:rsidRPr="009C7198">
              <w:rPr>
                <w:b/>
                <w:bCs/>
                <w:sz w:val="26"/>
                <w:szCs w:val="26"/>
                <w:rtl/>
              </w:rPr>
              <w:t>אשרף ח'לאילה (עציר),</w:t>
            </w:r>
            <w:r w:rsidRPr="009C7198">
              <w:rPr>
                <w:rFonts w:cs="Times New Roman"/>
                <w:rtl/>
              </w:rPr>
              <w:t xml:space="preserve"> </w:t>
            </w:r>
            <w:r w:rsidRPr="009C7198">
              <w:rPr>
                <w:b/>
                <w:bCs/>
                <w:sz w:val="26"/>
                <w:szCs w:val="26"/>
                <w:rtl/>
              </w:rPr>
              <w:t>ת"ז</w:t>
            </w:r>
            <w:r w:rsidRPr="009C7198">
              <w:rPr>
                <w:rFonts w:hint="cs"/>
                <w:b/>
                <w:bCs/>
                <w:sz w:val="26"/>
                <w:szCs w:val="26"/>
                <w:rtl/>
              </w:rPr>
              <w:t xml:space="preserve">  </w:t>
            </w:r>
            <w:r w:rsidR="009C7198">
              <w:rPr>
                <w:b/>
                <w:bCs/>
                <w:sz w:val="26"/>
                <w:szCs w:val="26"/>
              </w:rPr>
              <w:t>xxxxxxxxxx</w:t>
            </w:r>
          </w:p>
        </w:tc>
      </w:tr>
    </w:tbl>
    <w:p w14:paraId="0EDD25B4" w14:textId="77777777" w:rsidR="004E11F2" w:rsidRPr="009C7198" w:rsidRDefault="004E11F2" w:rsidP="004E11F2">
      <w:pPr>
        <w:spacing w:line="360" w:lineRule="auto"/>
        <w:jc w:val="both"/>
        <w:rPr>
          <w:rFonts w:ascii="David" w:hAnsi="David"/>
          <w:sz w:val="6"/>
          <w:szCs w:val="6"/>
          <w:rtl/>
        </w:rPr>
      </w:pPr>
      <w:r w:rsidRPr="009C7198">
        <w:rPr>
          <w:rFonts w:hint="cs"/>
          <w:sz w:val="6"/>
          <w:szCs w:val="6"/>
          <w:rtl/>
        </w:rPr>
        <w:t>\</w:t>
      </w:r>
    </w:p>
    <w:p w14:paraId="54FC1DDE" w14:textId="77777777" w:rsidR="004E11F2" w:rsidRPr="009C7198" w:rsidRDefault="004E11F2" w:rsidP="004E11F2">
      <w:pPr>
        <w:pStyle w:val="12"/>
        <w:rPr>
          <w:u w:val="none"/>
          <w:rtl/>
        </w:rPr>
      </w:pPr>
    </w:p>
    <w:p w14:paraId="67129F51" w14:textId="77777777" w:rsidR="004E11F2" w:rsidRPr="009C7198" w:rsidRDefault="004E11F2" w:rsidP="004E11F2">
      <w:pPr>
        <w:pStyle w:val="12"/>
        <w:rPr>
          <w:b w:val="0"/>
          <w:bCs w:val="0"/>
          <w:u w:val="none"/>
          <w:rtl/>
        </w:rPr>
      </w:pPr>
      <w:bookmarkStart w:id="2" w:name="FirstLawyer"/>
      <w:r w:rsidRPr="009C7198">
        <w:rPr>
          <w:rFonts w:hint="cs"/>
          <w:b w:val="0"/>
          <w:bCs w:val="0"/>
          <w:u w:val="none"/>
          <w:rtl/>
        </w:rPr>
        <w:t>בשם</w:t>
      </w:r>
      <w:bookmarkEnd w:id="2"/>
      <w:r w:rsidRPr="009C7198">
        <w:rPr>
          <w:rFonts w:hint="cs"/>
          <w:b w:val="0"/>
          <w:bCs w:val="0"/>
          <w:u w:val="none"/>
          <w:rtl/>
        </w:rPr>
        <w:t xml:space="preserve"> </w:t>
      </w:r>
      <w:r w:rsidRPr="009C7198">
        <w:rPr>
          <w:b w:val="0"/>
          <w:bCs w:val="0"/>
          <w:u w:val="none"/>
          <w:rtl/>
        </w:rPr>
        <w:t>המאשימה: עו"ד רונית סופר</w:t>
      </w:r>
    </w:p>
    <w:p w14:paraId="5076E62E" w14:textId="77777777" w:rsidR="004E11F2" w:rsidRPr="009C7198" w:rsidRDefault="004E11F2" w:rsidP="004E11F2">
      <w:pPr>
        <w:pStyle w:val="12"/>
        <w:rPr>
          <w:b w:val="0"/>
          <w:bCs w:val="0"/>
          <w:u w:val="none"/>
          <w:rtl/>
        </w:rPr>
      </w:pPr>
      <w:r w:rsidRPr="009C7198">
        <w:rPr>
          <w:rFonts w:hint="cs"/>
          <w:b w:val="0"/>
          <w:bCs w:val="0"/>
          <w:u w:val="none"/>
          <w:rtl/>
        </w:rPr>
        <w:t>בשם</w:t>
      </w:r>
      <w:r w:rsidRPr="009C7198">
        <w:rPr>
          <w:b w:val="0"/>
          <w:bCs w:val="0"/>
          <w:u w:val="none"/>
          <w:rtl/>
        </w:rPr>
        <w:t xml:space="preserve"> הנאשם: עו"ד חוסין מנאע</w:t>
      </w:r>
    </w:p>
    <w:p w14:paraId="7C6940EF" w14:textId="77777777" w:rsidR="009C6F04" w:rsidRDefault="009C6F04" w:rsidP="004E11F2">
      <w:pPr>
        <w:rPr>
          <w:sz w:val="26"/>
          <w:szCs w:val="26"/>
          <w:rtl/>
        </w:rPr>
      </w:pPr>
    </w:p>
    <w:p w14:paraId="6CED02F0" w14:textId="77777777" w:rsidR="009C6F04" w:rsidRPr="009C6F04" w:rsidRDefault="009C6F04" w:rsidP="009C6F04">
      <w:pPr>
        <w:spacing w:after="120" w:line="240" w:lineRule="exact"/>
        <w:ind w:left="283" w:hanging="283"/>
        <w:jc w:val="both"/>
        <w:rPr>
          <w:rFonts w:ascii="FrankRuehl" w:hAnsi="FrankRuehl" w:cs="FrankRuehl"/>
          <w:rtl/>
        </w:rPr>
      </w:pPr>
    </w:p>
    <w:p w14:paraId="5B96A39A" w14:textId="77777777" w:rsidR="00851E8B" w:rsidRPr="00851E8B" w:rsidRDefault="00851E8B" w:rsidP="00851E8B">
      <w:pPr>
        <w:spacing w:before="120" w:after="120" w:line="240" w:lineRule="exact"/>
        <w:ind w:left="283" w:hanging="283"/>
        <w:jc w:val="both"/>
        <w:rPr>
          <w:rFonts w:ascii="FrankRuehl" w:hAnsi="FrankRuehl" w:cs="FrankRuehl"/>
          <w:rtl/>
        </w:rPr>
      </w:pPr>
    </w:p>
    <w:p w14:paraId="3D0F32DF" w14:textId="77777777" w:rsidR="00500128" w:rsidRDefault="00500128" w:rsidP="00500128">
      <w:pPr>
        <w:spacing w:line="360" w:lineRule="auto"/>
        <w:jc w:val="both"/>
        <w:rPr>
          <w:rFonts w:ascii="Arial" w:hAnsi="Arial"/>
          <w:sz w:val="26"/>
          <w:szCs w:val="26"/>
          <w:rtl/>
        </w:rPr>
      </w:pPr>
      <w:bookmarkStart w:id="3" w:name="LawTable"/>
      <w:bookmarkEnd w:id="3"/>
    </w:p>
    <w:p w14:paraId="0B1F6C62" w14:textId="77777777" w:rsidR="00500128" w:rsidRPr="00500128" w:rsidRDefault="00500128" w:rsidP="00500128">
      <w:pPr>
        <w:spacing w:before="120" w:after="120" w:line="240" w:lineRule="exact"/>
        <w:ind w:left="283" w:hanging="283"/>
        <w:jc w:val="both"/>
        <w:rPr>
          <w:rFonts w:ascii="FrankRuehl" w:hAnsi="FrankRuehl" w:cs="FrankRuehl"/>
          <w:rtl/>
        </w:rPr>
      </w:pPr>
    </w:p>
    <w:p w14:paraId="4F8D9722" w14:textId="77777777" w:rsidR="00500128" w:rsidRPr="00500128" w:rsidRDefault="00500128" w:rsidP="00500128">
      <w:pPr>
        <w:spacing w:before="120" w:after="120" w:line="240" w:lineRule="exact"/>
        <w:ind w:left="283" w:hanging="283"/>
        <w:jc w:val="both"/>
        <w:rPr>
          <w:rFonts w:ascii="FrankRuehl" w:hAnsi="FrankRuehl" w:cs="FrankRuehl"/>
          <w:rtl/>
        </w:rPr>
      </w:pPr>
    </w:p>
    <w:p w14:paraId="05EBE1A6" w14:textId="77777777" w:rsidR="00500128" w:rsidRPr="00500128" w:rsidRDefault="00500128" w:rsidP="00500128">
      <w:pPr>
        <w:spacing w:before="120" w:after="120" w:line="240" w:lineRule="exact"/>
        <w:ind w:left="283" w:hanging="283"/>
        <w:jc w:val="both"/>
        <w:rPr>
          <w:rFonts w:ascii="FrankRuehl" w:hAnsi="FrankRuehl" w:cs="FrankRuehl"/>
          <w:rtl/>
        </w:rPr>
      </w:pPr>
      <w:r w:rsidRPr="00500128">
        <w:rPr>
          <w:rFonts w:ascii="FrankRuehl" w:hAnsi="FrankRuehl" w:cs="FrankRuehl"/>
          <w:rtl/>
        </w:rPr>
        <w:t xml:space="preserve">חקיקה שאוזכרה: </w:t>
      </w:r>
    </w:p>
    <w:p w14:paraId="453C5F2B" w14:textId="77777777" w:rsidR="00500128" w:rsidRPr="00500128" w:rsidRDefault="00500128" w:rsidP="00500128">
      <w:pPr>
        <w:spacing w:before="120" w:after="120" w:line="240" w:lineRule="exact"/>
        <w:ind w:left="283" w:hanging="283"/>
        <w:jc w:val="both"/>
        <w:rPr>
          <w:rFonts w:ascii="FrankRuehl" w:hAnsi="FrankRuehl" w:cs="FrankRuehl"/>
          <w:rtl/>
        </w:rPr>
      </w:pPr>
      <w:hyperlink r:id="rId7" w:history="1">
        <w:r w:rsidRPr="00500128">
          <w:rPr>
            <w:rFonts w:ascii="FrankRuehl" w:hAnsi="FrankRuehl" w:cs="FrankRuehl"/>
            <w:color w:val="0000FF"/>
            <w:rtl/>
          </w:rPr>
          <w:t>חוק העונשין, תשל"ז-1977</w:t>
        </w:r>
      </w:hyperlink>
      <w:r w:rsidRPr="00500128">
        <w:rPr>
          <w:rFonts w:ascii="FrankRuehl" w:hAnsi="FrankRuehl" w:cs="FrankRuehl"/>
          <w:rtl/>
        </w:rPr>
        <w:t xml:space="preserve">: סע'  </w:t>
      </w:r>
      <w:hyperlink r:id="rId8" w:history="1">
        <w:r w:rsidRPr="00500128">
          <w:rPr>
            <w:rFonts w:ascii="FrankRuehl" w:hAnsi="FrankRuehl" w:cs="FrankRuehl"/>
            <w:color w:val="0000FF"/>
            <w:rtl/>
          </w:rPr>
          <w:t>144(א)</w:t>
        </w:r>
      </w:hyperlink>
      <w:r w:rsidRPr="00500128">
        <w:rPr>
          <w:rFonts w:ascii="FrankRuehl" w:hAnsi="FrankRuehl" w:cs="FrankRuehl"/>
          <w:rtl/>
        </w:rPr>
        <w:t xml:space="preserve">, </w:t>
      </w:r>
      <w:hyperlink r:id="rId9" w:history="1">
        <w:r w:rsidRPr="00500128">
          <w:rPr>
            <w:rFonts w:ascii="FrankRuehl" w:hAnsi="FrankRuehl" w:cs="FrankRuehl"/>
            <w:color w:val="0000FF"/>
            <w:rtl/>
          </w:rPr>
          <w:t>144(ב)</w:t>
        </w:r>
      </w:hyperlink>
      <w:r w:rsidRPr="00500128">
        <w:rPr>
          <w:rFonts w:ascii="FrankRuehl" w:hAnsi="FrankRuehl" w:cs="FrankRuehl"/>
          <w:rtl/>
        </w:rPr>
        <w:t xml:space="preserve">, </w:t>
      </w:r>
      <w:hyperlink r:id="rId10" w:history="1">
        <w:r w:rsidRPr="00500128">
          <w:rPr>
            <w:rFonts w:ascii="FrankRuehl" w:hAnsi="FrankRuehl" w:cs="FrankRuehl"/>
            <w:color w:val="0000FF"/>
            <w:rtl/>
          </w:rPr>
          <w:t>192</w:t>
        </w:r>
      </w:hyperlink>
      <w:r w:rsidRPr="00500128">
        <w:rPr>
          <w:rFonts w:ascii="FrankRuehl" w:hAnsi="FrankRuehl" w:cs="FrankRuehl"/>
          <w:rtl/>
        </w:rPr>
        <w:t xml:space="preserve">, </w:t>
      </w:r>
      <w:hyperlink r:id="rId11" w:history="1">
        <w:r w:rsidRPr="00500128">
          <w:rPr>
            <w:rFonts w:ascii="FrankRuehl" w:hAnsi="FrankRuehl" w:cs="FrankRuehl"/>
            <w:color w:val="0000FF"/>
            <w:rtl/>
          </w:rPr>
          <w:t>275</w:t>
        </w:r>
      </w:hyperlink>
    </w:p>
    <w:p w14:paraId="381BC180" w14:textId="77777777" w:rsidR="00500128" w:rsidRPr="00500128" w:rsidRDefault="00500128" w:rsidP="00500128">
      <w:pPr>
        <w:spacing w:before="120" w:after="120" w:line="240" w:lineRule="exact"/>
        <w:ind w:left="283" w:hanging="283"/>
        <w:jc w:val="both"/>
        <w:rPr>
          <w:rFonts w:ascii="FrankRuehl" w:hAnsi="FrankRuehl" w:cs="FrankRuehl"/>
          <w:rtl/>
        </w:rPr>
      </w:pPr>
      <w:hyperlink r:id="rId12" w:history="1">
        <w:r w:rsidRPr="00500128">
          <w:rPr>
            <w:rFonts w:ascii="FrankRuehl" w:hAnsi="FrankRuehl" w:cs="FrankRuehl"/>
            <w:color w:val="0000FF"/>
            <w:rtl/>
          </w:rPr>
          <w:t>פקודת התעבורה [נוסח חדש]</w:t>
        </w:r>
      </w:hyperlink>
      <w:r w:rsidRPr="00500128">
        <w:rPr>
          <w:rFonts w:ascii="FrankRuehl" w:hAnsi="FrankRuehl" w:cs="FrankRuehl"/>
          <w:rtl/>
        </w:rPr>
        <w:t xml:space="preserve">: סע'  </w:t>
      </w:r>
      <w:hyperlink r:id="rId13" w:history="1">
        <w:r w:rsidRPr="00500128">
          <w:rPr>
            <w:rFonts w:ascii="FrankRuehl" w:hAnsi="FrankRuehl" w:cs="FrankRuehl"/>
            <w:color w:val="0000FF"/>
            <w:rtl/>
          </w:rPr>
          <w:t>10(א)</w:t>
        </w:r>
      </w:hyperlink>
      <w:r w:rsidRPr="00500128">
        <w:rPr>
          <w:rFonts w:ascii="FrankRuehl" w:hAnsi="FrankRuehl" w:cs="FrankRuehl"/>
          <w:rtl/>
        </w:rPr>
        <w:t xml:space="preserve">, </w:t>
      </w:r>
      <w:hyperlink r:id="rId14" w:history="1">
        <w:r w:rsidRPr="00500128">
          <w:rPr>
            <w:rFonts w:ascii="FrankRuehl" w:hAnsi="FrankRuehl" w:cs="FrankRuehl"/>
            <w:color w:val="0000FF"/>
            <w:rtl/>
          </w:rPr>
          <w:t>38(1)</w:t>
        </w:r>
      </w:hyperlink>
      <w:r w:rsidRPr="00500128">
        <w:rPr>
          <w:rFonts w:ascii="FrankRuehl" w:hAnsi="FrankRuehl" w:cs="FrankRuehl"/>
          <w:rtl/>
        </w:rPr>
        <w:t xml:space="preserve">, </w:t>
      </w:r>
      <w:hyperlink r:id="rId15" w:history="1">
        <w:r w:rsidRPr="00500128">
          <w:rPr>
            <w:rFonts w:ascii="FrankRuehl" w:hAnsi="FrankRuehl" w:cs="FrankRuehl"/>
            <w:color w:val="0000FF"/>
            <w:rtl/>
          </w:rPr>
          <w:t>62(1)</w:t>
        </w:r>
      </w:hyperlink>
      <w:r w:rsidRPr="00500128">
        <w:rPr>
          <w:rFonts w:ascii="FrankRuehl" w:hAnsi="FrankRuehl" w:cs="FrankRuehl"/>
          <w:rtl/>
        </w:rPr>
        <w:t xml:space="preserve">, </w:t>
      </w:r>
      <w:hyperlink r:id="rId16" w:history="1">
        <w:r w:rsidRPr="00500128">
          <w:rPr>
            <w:rFonts w:ascii="FrankRuehl" w:hAnsi="FrankRuehl" w:cs="FrankRuehl"/>
            <w:color w:val="0000FF"/>
            <w:rtl/>
          </w:rPr>
          <w:t>62(2)</w:t>
        </w:r>
      </w:hyperlink>
    </w:p>
    <w:p w14:paraId="1BDB0CEA" w14:textId="77777777" w:rsidR="00500128" w:rsidRPr="00500128" w:rsidRDefault="00500128" w:rsidP="00500128">
      <w:pPr>
        <w:spacing w:before="120" w:after="120" w:line="240" w:lineRule="exact"/>
        <w:ind w:left="283" w:hanging="283"/>
        <w:jc w:val="both"/>
        <w:rPr>
          <w:rFonts w:ascii="FrankRuehl" w:hAnsi="FrankRuehl" w:cs="FrankRuehl"/>
          <w:rtl/>
        </w:rPr>
      </w:pPr>
      <w:hyperlink r:id="rId17" w:history="1">
        <w:r w:rsidRPr="00500128">
          <w:rPr>
            <w:rFonts w:ascii="FrankRuehl" w:hAnsi="FrankRuehl" w:cs="FrankRuehl"/>
            <w:color w:val="0000FF"/>
            <w:rtl/>
          </w:rPr>
          <w:t>פקודת ביטוח רכב מנועי [נוסח חדש], תש"ל-1970</w:t>
        </w:r>
      </w:hyperlink>
      <w:r w:rsidRPr="00500128">
        <w:rPr>
          <w:rFonts w:ascii="FrankRuehl" w:hAnsi="FrankRuehl" w:cs="FrankRuehl"/>
          <w:rtl/>
        </w:rPr>
        <w:t xml:space="preserve">: סע'  </w:t>
      </w:r>
      <w:hyperlink r:id="rId18" w:history="1">
        <w:r w:rsidRPr="00500128">
          <w:rPr>
            <w:rFonts w:ascii="FrankRuehl" w:hAnsi="FrankRuehl" w:cs="FrankRuehl"/>
            <w:color w:val="0000FF"/>
            <w:rtl/>
          </w:rPr>
          <w:t>2(א)</w:t>
        </w:r>
      </w:hyperlink>
      <w:r w:rsidRPr="00500128">
        <w:rPr>
          <w:rFonts w:ascii="FrankRuehl" w:hAnsi="FrankRuehl" w:cs="FrankRuehl"/>
          <w:rtl/>
        </w:rPr>
        <w:t xml:space="preserve">, </w:t>
      </w:r>
      <w:hyperlink r:id="rId19" w:history="1">
        <w:r w:rsidRPr="00500128">
          <w:rPr>
            <w:rFonts w:ascii="FrankRuehl" w:hAnsi="FrankRuehl" w:cs="FrankRuehl"/>
            <w:color w:val="0000FF"/>
            <w:rtl/>
          </w:rPr>
          <w:t>ב</w:t>
        </w:r>
      </w:hyperlink>
    </w:p>
    <w:p w14:paraId="3D8B3670" w14:textId="77777777" w:rsidR="00500128" w:rsidRPr="00500128" w:rsidRDefault="00500128" w:rsidP="00500128">
      <w:pPr>
        <w:spacing w:line="360" w:lineRule="auto"/>
        <w:jc w:val="both"/>
        <w:rPr>
          <w:rFonts w:ascii="Arial" w:hAnsi="Arial"/>
          <w:sz w:val="26"/>
          <w:szCs w:val="26"/>
          <w:rtl/>
        </w:rPr>
      </w:pPr>
      <w:bookmarkStart w:id="4" w:name="LawTable_End"/>
      <w:bookmarkEnd w:id="4"/>
    </w:p>
    <w:p w14:paraId="20B440D4" w14:textId="77777777" w:rsidR="004E11F2" w:rsidRPr="00851E8B" w:rsidRDefault="004E11F2" w:rsidP="00851E8B">
      <w:pPr>
        <w:spacing w:line="360" w:lineRule="auto"/>
        <w:jc w:val="both"/>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11F2" w14:paraId="5C92370C" w14:textId="77777777" w:rsidTr="004E11F2">
        <w:trPr>
          <w:trHeight w:val="355"/>
          <w:jc w:val="center"/>
        </w:trPr>
        <w:tc>
          <w:tcPr>
            <w:tcW w:w="8820" w:type="dxa"/>
            <w:tcBorders>
              <w:top w:val="nil"/>
              <w:left w:val="nil"/>
              <w:bottom w:val="nil"/>
              <w:right w:val="nil"/>
            </w:tcBorders>
            <w:shd w:val="clear" w:color="auto" w:fill="auto"/>
          </w:tcPr>
          <w:p w14:paraId="3E27CC33" w14:textId="77777777" w:rsidR="009C7198" w:rsidRPr="009C7198" w:rsidRDefault="009C7198" w:rsidP="009C7198">
            <w:pPr>
              <w:jc w:val="center"/>
              <w:rPr>
                <w:rFonts w:ascii="David" w:hAnsi="David"/>
                <w:b/>
                <w:bCs/>
                <w:sz w:val="32"/>
                <w:szCs w:val="32"/>
                <w:u w:val="single"/>
                <w:rtl/>
              </w:rPr>
            </w:pPr>
            <w:bookmarkStart w:id="5" w:name="PsakDin" w:colFirst="0" w:colLast="0"/>
            <w:bookmarkEnd w:id="0"/>
            <w:r w:rsidRPr="009C7198">
              <w:rPr>
                <w:rFonts w:ascii="David" w:hAnsi="David"/>
                <w:b/>
                <w:bCs/>
                <w:sz w:val="32"/>
                <w:szCs w:val="32"/>
                <w:u w:val="single"/>
                <w:rtl/>
              </w:rPr>
              <w:t>גזר דין</w:t>
            </w:r>
          </w:p>
          <w:p w14:paraId="17D1896F" w14:textId="77777777" w:rsidR="004E11F2" w:rsidRPr="009C7198" w:rsidRDefault="004E11F2" w:rsidP="009C7198">
            <w:pPr>
              <w:jc w:val="center"/>
              <w:rPr>
                <w:rFonts w:ascii="David" w:hAnsi="David"/>
                <w:bCs/>
                <w:sz w:val="32"/>
                <w:szCs w:val="32"/>
                <w:u w:val="single"/>
                <w:rtl/>
              </w:rPr>
            </w:pPr>
          </w:p>
        </w:tc>
      </w:tr>
      <w:bookmarkEnd w:id="5"/>
    </w:tbl>
    <w:p w14:paraId="7056AB63" w14:textId="77777777" w:rsidR="004E11F2" w:rsidRDefault="004E11F2" w:rsidP="004E11F2">
      <w:pPr>
        <w:spacing w:line="360" w:lineRule="auto"/>
        <w:jc w:val="both"/>
        <w:rPr>
          <w:rFonts w:ascii="Arial" w:hAnsi="Arial"/>
          <w:sz w:val="26"/>
          <w:szCs w:val="26"/>
          <w:rtl/>
        </w:rPr>
      </w:pPr>
    </w:p>
    <w:p w14:paraId="47F9E19C" w14:textId="77777777" w:rsidR="004E11F2" w:rsidRDefault="004E11F2" w:rsidP="004E11F2">
      <w:pPr>
        <w:spacing w:line="360" w:lineRule="auto"/>
        <w:jc w:val="both"/>
        <w:rPr>
          <w:rFonts w:ascii="Arial" w:hAnsi="Arial"/>
          <w:sz w:val="26"/>
          <w:szCs w:val="26"/>
          <w:rtl/>
        </w:rPr>
      </w:pPr>
    </w:p>
    <w:p w14:paraId="58510632"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w:t>
      </w:r>
      <w:r>
        <w:rPr>
          <w:rFonts w:ascii="Arial" w:hAnsi="Arial" w:hint="cs"/>
          <w:sz w:val="26"/>
          <w:szCs w:val="26"/>
          <w:rtl/>
        </w:rPr>
        <w:tab/>
      </w:r>
      <w:bookmarkStart w:id="6" w:name="ABSTRACT_START"/>
      <w:bookmarkEnd w:id="6"/>
      <w:r>
        <w:rPr>
          <w:rFonts w:ascii="Arial" w:hAnsi="Arial" w:hint="cs"/>
          <w:sz w:val="26"/>
          <w:szCs w:val="26"/>
          <w:rtl/>
        </w:rPr>
        <w:t xml:space="preserve">הנאשם הודה במסגרת הסדר שלא כלל הסדר אודות העונש בעבירות הבאות: </w:t>
      </w:r>
    </w:p>
    <w:p w14:paraId="376794EA" w14:textId="77777777" w:rsidR="004E11F2" w:rsidRDefault="004E11F2" w:rsidP="004E11F2">
      <w:pPr>
        <w:spacing w:line="360" w:lineRule="auto"/>
        <w:ind w:left="720"/>
        <w:jc w:val="both"/>
        <w:rPr>
          <w:rFonts w:ascii="Arial" w:hAnsi="Arial"/>
          <w:sz w:val="26"/>
          <w:szCs w:val="26"/>
          <w:rtl/>
        </w:rPr>
      </w:pPr>
      <w:r>
        <w:rPr>
          <w:rFonts w:ascii="Arial" w:hAnsi="Arial" w:hint="cs"/>
          <w:sz w:val="26"/>
          <w:szCs w:val="26"/>
          <w:rtl/>
        </w:rPr>
        <w:t xml:space="preserve">החזקה, נשיאה והובלה של נשק לפי </w:t>
      </w:r>
      <w:hyperlink r:id="rId20" w:history="1">
        <w:r w:rsidR="009C6F04" w:rsidRPr="009C6F04">
          <w:rPr>
            <w:rStyle w:val="Hyperlink"/>
            <w:rFonts w:ascii="Arial" w:hAnsi="Arial" w:hint="eastAsia"/>
            <w:sz w:val="26"/>
            <w:szCs w:val="26"/>
            <w:rtl/>
          </w:rPr>
          <w:t>סעיף</w:t>
        </w:r>
        <w:r w:rsidR="009C6F04" w:rsidRPr="009C6F04">
          <w:rPr>
            <w:rStyle w:val="Hyperlink"/>
            <w:rFonts w:ascii="Arial" w:hAnsi="Arial"/>
            <w:sz w:val="26"/>
            <w:szCs w:val="26"/>
            <w:rtl/>
          </w:rPr>
          <w:t xml:space="preserve"> 144(א)</w:t>
        </w:r>
      </w:hyperlink>
      <w:r>
        <w:rPr>
          <w:rFonts w:ascii="Arial" w:hAnsi="Arial" w:hint="cs"/>
          <w:sz w:val="26"/>
          <w:szCs w:val="26"/>
          <w:rtl/>
        </w:rPr>
        <w:t xml:space="preserve"> רישא + סיפא + </w:t>
      </w:r>
      <w:hyperlink r:id="rId21" w:history="1">
        <w:r w:rsidR="009C6F04" w:rsidRPr="009C6F04">
          <w:rPr>
            <w:rStyle w:val="Hyperlink"/>
            <w:rFonts w:ascii="Arial" w:hAnsi="Arial"/>
            <w:sz w:val="26"/>
            <w:szCs w:val="26"/>
            <w:rtl/>
          </w:rPr>
          <w:t>144(ב)</w:t>
        </w:r>
      </w:hyperlink>
      <w:r>
        <w:rPr>
          <w:rFonts w:ascii="Arial" w:hAnsi="Arial" w:hint="cs"/>
          <w:sz w:val="26"/>
          <w:szCs w:val="26"/>
          <w:rtl/>
        </w:rPr>
        <w:t xml:space="preserve"> רישא + סיפא ל</w:t>
      </w:r>
      <w:hyperlink r:id="rId22" w:history="1">
        <w:r w:rsidR="009C7198" w:rsidRPr="009C7198">
          <w:rPr>
            <w:rFonts w:ascii="Arial" w:hAnsi="Arial"/>
            <w:color w:val="0000FF"/>
            <w:sz w:val="26"/>
            <w:szCs w:val="26"/>
            <w:u w:val="single"/>
            <w:rtl/>
          </w:rPr>
          <w:t>חוק העונשין</w:t>
        </w:r>
      </w:hyperlink>
      <w:r>
        <w:rPr>
          <w:rFonts w:ascii="Arial" w:hAnsi="Arial" w:hint="cs"/>
          <w:sz w:val="26"/>
          <w:szCs w:val="26"/>
          <w:rtl/>
        </w:rPr>
        <w:t xml:space="preserve">, התשל"ז-1977; הפרעה לשוטר במילוי תפקידו לפי סעיף </w:t>
      </w:r>
      <w:hyperlink r:id="rId23" w:history="1">
        <w:r w:rsidR="009C6F04" w:rsidRPr="009C6F04">
          <w:rPr>
            <w:rStyle w:val="Hyperlink"/>
            <w:rFonts w:ascii="Arial" w:hAnsi="Arial"/>
            <w:sz w:val="26"/>
            <w:szCs w:val="26"/>
            <w:rtl/>
          </w:rPr>
          <w:t>275</w:t>
        </w:r>
      </w:hyperlink>
      <w:r>
        <w:rPr>
          <w:rFonts w:ascii="Arial" w:hAnsi="Arial" w:hint="cs"/>
          <w:sz w:val="26"/>
          <w:szCs w:val="26"/>
          <w:rtl/>
        </w:rPr>
        <w:t xml:space="preserve"> לחוק; נהיגה בקלות ראש לפי </w:t>
      </w:r>
      <w:hyperlink r:id="rId24" w:history="1">
        <w:r w:rsidR="009C6F04" w:rsidRPr="009C6F04">
          <w:rPr>
            <w:rStyle w:val="Hyperlink"/>
            <w:rFonts w:ascii="Arial" w:hAnsi="Arial" w:hint="eastAsia"/>
            <w:sz w:val="26"/>
            <w:szCs w:val="26"/>
            <w:rtl/>
          </w:rPr>
          <w:t>סעיף</w:t>
        </w:r>
        <w:r w:rsidR="009C6F04" w:rsidRPr="009C6F04">
          <w:rPr>
            <w:rStyle w:val="Hyperlink"/>
            <w:rFonts w:ascii="Arial" w:hAnsi="Arial"/>
            <w:sz w:val="26"/>
            <w:szCs w:val="26"/>
            <w:rtl/>
          </w:rPr>
          <w:t xml:space="preserve"> 62(2)</w:t>
        </w:r>
      </w:hyperlink>
      <w:r>
        <w:rPr>
          <w:rFonts w:ascii="Arial" w:hAnsi="Arial" w:hint="cs"/>
          <w:sz w:val="26"/>
          <w:szCs w:val="26"/>
          <w:rtl/>
        </w:rPr>
        <w:t xml:space="preserve"> ל</w:t>
      </w:r>
      <w:hyperlink r:id="rId25" w:history="1">
        <w:r w:rsidR="009C7198" w:rsidRPr="009C7198">
          <w:rPr>
            <w:rFonts w:ascii="Arial" w:hAnsi="Arial"/>
            <w:color w:val="0000FF"/>
            <w:sz w:val="26"/>
            <w:szCs w:val="26"/>
            <w:u w:val="single"/>
            <w:rtl/>
          </w:rPr>
          <w:t>פקודת התעבורה</w:t>
        </w:r>
      </w:hyperlink>
      <w:r>
        <w:rPr>
          <w:rFonts w:ascii="Arial" w:hAnsi="Arial" w:hint="cs"/>
          <w:sz w:val="26"/>
          <w:szCs w:val="26"/>
          <w:rtl/>
        </w:rPr>
        <w:t xml:space="preserve"> [נוסח חדש]; נהיגה ללא רישיון תקף לפי סעיף </w:t>
      </w:r>
      <w:hyperlink r:id="rId26" w:history="1">
        <w:r w:rsidR="009C6F04" w:rsidRPr="009C6F04">
          <w:rPr>
            <w:rStyle w:val="Hyperlink"/>
            <w:rFonts w:ascii="Arial" w:hAnsi="Arial"/>
            <w:sz w:val="26"/>
            <w:szCs w:val="26"/>
            <w:rtl/>
          </w:rPr>
          <w:t>10(א)</w:t>
        </w:r>
      </w:hyperlink>
      <w:r>
        <w:rPr>
          <w:rFonts w:ascii="Arial" w:hAnsi="Arial" w:hint="cs"/>
          <w:sz w:val="26"/>
          <w:szCs w:val="26"/>
          <w:rtl/>
        </w:rPr>
        <w:t xml:space="preserve"> + </w:t>
      </w:r>
      <w:hyperlink r:id="rId27" w:history="1">
        <w:r w:rsidR="009C6F04" w:rsidRPr="009C6F04">
          <w:rPr>
            <w:rStyle w:val="Hyperlink"/>
            <w:rFonts w:ascii="Arial" w:hAnsi="Arial"/>
            <w:sz w:val="26"/>
            <w:szCs w:val="26"/>
            <w:rtl/>
          </w:rPr>
          <w:t>62(1)</w:t>
        </w:r>
      </w:hyperlink>
      <w:r>
        <w:rPr>
          <w:rFonts w:ascii="Arial" w:hAnsi="Arial" w:hint="cs"/>
          <w:sz w:val="26"/>
          <w:szCs w:val="26"/>
          <w:rtl/>
        </w:rPr>
        <w:t xml:space="preserve"> + </w:t>
      </w:r>
      <w:hyperlink r:id="rId28" w:history="1">
        <w:r w:rsidR="009C6F04" w:rsidRPr="009C6F04">
          <w:rPr>
            <w:rStyle w:val="Hyperlink"/>
            <w:rFonts w:ascii="Arial" w:hAnsi="Arial"/>
            <w:sz w:val="26"/>
            <w:szCs w:val="26"/>
            <w:rtl/>
          </w:rPr>
          <w:t>38(1)</w:t>
        </w:r>
      </w:hyperlink>
      <w:r>
        <w:rPr>
          <w:rFonts w:ascii="Arial" w:hAnsi="Arial" w:hint="cs"/>
          <w:sz w:val="26"/>
          <w:szCs w:val="26"/>
          <w:rtl/>
        </w:rPr>
        <w:t xml:space="preserve"> לפקודת התעבורה; נהיגה ללא פוליסת ביטוח לפי </w:t>
      </w:r>
      <w:hyperlink r:id="rId29" w:history="1">
        <w:r w:rsidR="009C6F04" w:rsidRPr="009C6F04">
          <w:rPr>
            <w:rStyle w:val="Hyperlink"/>
            <w:rFonts w:ascii="Arial" w:hAnsi="Arial" w:hint="eastAsia"/>
            <w:sz w:val="26"/>
            <w:szCs w:val="26"/>
            <w:rtl/>
          </w:rPr>
          <w:t>סעיף</w:t>
        </w:r>
        <w:r w:rsidR="009C6F04" w:rsidRPr="009C6F04">
          <w:rPr>
            <w:rStyle w:val="Hyperlink"/>
            <w:rFonts w:ascii="Arial" w:hAnsi="Arial"/>
            <w:sz w:val="26"/>
            <w:szCs w:val="26"/>
            <w:rtl/>
          </w:rPr>
          <w:t xml:space="preserve"> 2(א)</w:t>
        </w:r>
      </w:hyperlink>
      <w:r>
        <w:rPr>
          <w:rFonts w:ascii="Arial" w:hAnsi="Arial" w:hint="cs"/>
          <w:sz w:val="26"/>
          <w:szCs w:val="26"/>
          <w:rtl/>
        </w:rPr>
        <w:t xml:space="preserve"> + (</w:t>
      </w:r>
      <w:hyperlink r:id="rId30" w:history="1">
        <w:r w:rsidR="009C6F04" w:rsidRPr="009C6F04">
          <w:rPr>
            <w:rStyle w:val="Hyperlink"/>
            <w:rFonts w:ascii="Arial" w:hAnsi="Arial" w:hint="eastAsia"/>
            <w:sz w:val="26"/>
            <w:szCs w:val="26"/>
            <w:rtl/>
          </w:rPr>
          <w:t>ב</w:t>
        </w:r>
      </w:hyperlink>
      <w:r>
        <w:rPr>
          <w:rFonts w:ascii="Arial" w:hAnsi="Arial" w:hint="cs"/>
          <w:sz w:val="26"/>
          <w:szCs w:val="26"/>
          <w:rtl/>
        </w:rPr>
        <w:t xml:space="preserve">) לפקודת רכב מנועי [נוסח חדש]; איומים לפי </w:t>
      </w:r>
      <w:hyperlink r:id="rId31" w:history="1">
        <w:r w:rsidR="009C6F04" w:rsidRPr="009C6F04">
          <w:rPr>
            <w:rStyle w:val="Hyperlink"/>
            <w:rFonts w:ascii="Arial" w:hAnsi="Arial" w:hint="eastAsia"/>
            <w:sz w:val="26"/>
            <w:szCs w:val="26"/>
            <w:rtl/>
          </w:rPr>
          <w:t>סעיף</w:t>
        </w:r>
        <w:r w:rsidR="009C6F04" w:rsidRPr="009C6F04">
          <w:rPr>
            <w:rStyle w:val="Hyperlink"/>
            <w:rFonts w:ascii="Arial" w:hAnsi="Arial"/>
            <w:sz w:val="26"/>
            <w:szCs w:val="26"/>
            <w:rtl/>
          </w:rPr>
          <w:t xml:space="preserve"> 192</w:t>
        </w:r>
      </w:hyperlink>
      <w:r>
        <w:rPr>
          <w:rFonts w:ascii="Arial" w:hAnsi="Arial" w:hint="cs"/>
          <w:sz w:val="26"/>
          <w:szCs w:val="26"/>
          <w:rtl/>
        </w:rPr>
        <w:t xml:space="preserve"> לחוק. </w:t>
      </w:r>
    </w:p>
    <w:p w14:paraId="1BC8AC4D" w14:textId="77777777" w:rsidR="004E11F2" w:rsidRDefault="004E11F2" w:rsidP="004E11F2">
      <w:pPr>
        <w:spacing w:line="360" w:lineRule="auto"/>
        <w:jc w:val="both"/>
        <w:rPr>
          <w:rFonts w:ascii="Arial" w:hAnsi="Arial"/>
          <w:sz w:val="26"/>
          <w:szCs w:val="26"/>
          <w:rtl/>
        </w:rPr>
      </w:pPr>
    </w:p>
    <w:p w14:paraId="7C86D0E6" w14:textId="77777777" w:rsidR="004E11F2" w:rsidRDefault="004E11F2" w:rsidP="004E11F2">
      <w:pPr>
        <w:spacing w:line="360" w:lineRule="auto"/>
        <w:ind w:left="720" w:hanging="720"/>
        <w:jc w:val="both"/>
        <w:rPr>
          <w:rFonts w:ascii="Arial" w:hAnsi="Arial"/>
          <w:sz w:val="26"/>
          <w:szCs w:val="26"/>
          <w:rtl/>
        </w:rPr>
      </w:pPr>
      <w:bookmarkStart w:id="7" w:name="ABSTRACT_END"/>
      <w:bookmarkEnd w:id="7"/>
      <w:r>
        <w:rPr>
          <w:rFonts w:ascii="Arial" w:hAnsi="Arial" w:hint="cs"/>
          <w:sz w:val="26"/>
          <w:szCs w:val="26"/>
          <w:rtl/>
        </w:rPr>
        <w:t>2.</w:t>
      </w:r>
      <w:r>
        <w:rPr>
          <w:rFonts w:ascii="Arial" w:hAnsi="Arial" w:hint="cs"/>
          <w:sz w:val="26"/>
          <w:szCs w:val="26"/>
          <w:rtl/>
        </w:rPr>
        <w:tab/>
        <w:t xml:space="preserve">על פי האמור בכתב האישום, בין התאריכים 21-22.1.22 החזיק הנאשם באקדח חצי אוטומטי מסוג </w:t>
      </w:r>
      <w:r w:rsidRPr="0027526C">
        <w:rPr>
          <w:rFonts w:ascii="Arial" w:hAnsi="Arial" w:hint="cs"/>
          <w:sz w:val="22"/>
          <w:szCs w:val="22"/>
        </w:rPr>
        <w:t>CZ</w:t>
      </w:r>
      <w:r>
        <w:rPr>
          <w:rFonts w:ascii="Arial" w:hAnsi="Arial" w:hint="cs"/>
          <w:sz w:val="26"/>
          <w:szCs w:val="26"/>
          <w:rtl/>
        </w:rPr>
        <w:t xml:space="preserve"> 9 מ"מ פרבלום טעון במחסנית בתוכה 3 כדורים. בתאריך 21.1.22 בשעה 0:45 נסע הנאשם בכביש המחבר בין כפר מג'ד אלכרום לבענה ברכב שהיה בבעלות אדם אחר כשהוא מחזיק, מוביל ונושא  את האקדח בניגוד לדין. באותו מועד הוצב מחסום משטרתי בכביש. שוטרים שנסעו ברכב משטרתי סמוי הבחינו בנאשם נוסע באמצע הכביש, הבהבו לו עם אורות הניידת על מנת שיעצור, והוא במקום לעצור ברח מהם. בהמשך הנאשם ירד מהרכב לאחר מרדף עת הגיע סמוך לבניין מגוריו. הוא השליך את הנשק לגג של בניין סמוך והוא נעצר במקום. ביום 24.1.22 במהלך עימות בין הנאשם לשוטרים בתחנת המשטרה איים על אחד השוטרים שנכחו בעימות.</w:t>
      </w:r>
    </w:p>
    <w:p w14:paraId="5B08F9F8" w14:textId="77777777" w:rsidR="004E11F2" w:rsidRDefault="004E11F2" w:rsidP="004E11F2">
      <w:pPr>
        <w:spacing w:line="360" w:lineRule="auto"/>
        <w:jc w:val="both"/>
        <w:rPr>
          <w:rFonts w:ascii="Arial" w:hAnsi="Arial"/>
          <w:sz w:val="26"/>
          <w:szCs w:val="26"/>
          <w:rtl/>
        </w:rPr>
      </w:pPr>
    </w:p>
    <w:p w14:paraId="026A8706" w14:textId="77777777" w:rsidR="004E11F2" w:rsidRDefault="004E11F2" w:rsidP="004E11F2">
      <w:pPr>
        <w:spacing w:line="360" w:lineRule="auto"/>
        <w:jc w:val="both"/>
        <w:rPr>
          <w:rFonts w:ascii="Arial" w:hAnsi="Arial"/>
          <w:sz w:val="26"/>
          <w:szCs w:val="26"/>
          <w:rtl/>
        </w:rPr>
      </w:pPr>
    </w:p>
    <w:p w14:paraId="4BCAA22F" w14:textId="77777777" w:rsidR="004E11F2" w:rsidRDefault="004E11F2" w:rsidP="004E11F2">
      <w:pPr>
        <w:spacing w:line="360" w:lineRule="auto"/>
        <w:jc w:val="both"/>
        <w:rPr>
          <w:rFonts w:ascii="Arial" w:hAnsi="Arial"/>
          <w:sz w:val="26"/>
          <w:szCs w:val="26"/>
          <w:rtl/>
        </w:rPr>
      </w:pPr>
    </w:p>
    <w:p w14:paraId="37BCB6F9" w14:textId="77777777" w:rsidR="004E11F2" w:rsidRDefault="004E11F2" w:rsidP="004E11F2">
      <w:pPr>
        <w:spacing w:line="360" w:lineRule="auto"/>
        <w:jc w:val="both"/>
        <w:rPr>
          <w:rFonts w:ascii="Arial" w:hAnsi="Arial"/>
          <w:sz w:val="26"/>
          <w:szCs w:val="26"/>
          <w:rtl/>
        </w:rPr>
      </w:pPr>
    </w:p>
    <w:p w14:paraId="5DC44D64" w14:textId="77777777" w:rsidR="004E11F2" w:rsidRDefault="004E11F2" w:rsidP="004E11F2">
      <w:pPr>
        <w:spacing w:line="360" w:lineRule="auto"/>
        <w:jc w:val="both"/>
        <w:rPr>
          <w:rFonts w:ascii="Arial" w:hAnsi="Arial"/>
          <w:sz w:val="26"/>
          <w:szCs w:val="26"/>
          <w:rtl/>
        </w:rPr>
      </w:pPr>
      <w:r>
        <w:rPr>
          <w:rFonts w:ascii="Arial" w:hAnsi="Arial" w:hint="cs"/>
          <w:b/>
          <w:bCs/>
          <w:sz w:val="26"/>
          <w:szCs w:val="26"/>
          <w:u w:val="single"/>
          <w:rtl/>
        </w:rPr>
        <w:t>טיעוני המדינה לעניין העונש</w:t>
      </w:r>
    </w:p>
    <w:p w14:paraId="4ED9D47D" w14:textId="77777777" w:rsidR="004E11F2" w:rsidRDefault="004E11F2" w:rsidP="004E11F2">
      <w:pPr>
        <w:spacing w:line="360" w:lineRule="auto"/>
        <w:jc w:val="both"/>
        <w:rPr>
          <w:rFonts w:ascii="Arial" w:hAnsi="Arial"/>
          <w:sz w:val="26"/>
          <w:szCs w:val="26"/>
          <w:rtl/>
        </w:rPr>
      </w:pPr>
    </w:p>
    <w:p w14:paraId="15B98D1D"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3.</w:t>
      </w:r>
      <w:r>
        <w:rPr>
          <w:rFonts w:ascii="Arial" w:hAnsi="Arial" w:hint="cs"/>
          <w:sz w:val="26"/>
          <w:szCs w:val="26"/>
          <w:rtl/>
        </w:rPr>
        <w:tab/>
        <w:t>המדינה טענה שהחזקה ונשיאת נשק  בלתי חוקי הפכה למכת מדינה של ממש, תופעה שיש להילחם בה ואשר מצדיקה החמרת הענישה (</w:t>
      </w:r>
      <w:hyperlink r:id="rId32" w:history="1">
        <w:r w:rsidR="009C7198" w:rsidRPr="009C7198">
          <w:rPr>
            <w:rFonts w:ascii="Arial" w:hAnsi="Arial"/>
            <w:color w:val="0000FF"/>
            <w:sz w:val="26"/>
            <w:szCs w:val="26"/>
            <w:u w:val="single"/>
            <w:rtl/>
          </w:rPr>
          <w:t>ע"פ 9702/16</w:t>
        </w:r>
      </w:hyperlink>
      <w:r>
        <w:rPr>
          <w:rFonts w:ascii="Arial" w:hAnsi="Arial" w:hint="cs"/>
          <w:sz w:val="26"/>
          <w:szCs w:val="26"/>
          <w:rtl/>
        </w:rPr>
        <w:t xml:space="preserve"> </w:t>
      </w:r>
      <w:r>
        <w:rPr>
          <w:rFonts w:ascii="Arial" w:hAnsi="Arial" w:hint="cs"/>
          <w:b/>
          <w:bCs/>
          <w:sz w:val="26"/>
          <w:szCs w:val="26"/>
          <w:rtl/>
        </w:rPr>
        <w:t xml:space="preserve">סאמי אבו אלולאיא נ' מדינת ישראל </w:t>
      </w:r>
      <w:r>
        <w:rPr>
          <w:rFonts w:ascii="Arial" w:hAnsi="Arial" w:hint="cs"/>
          <w:sz w:val="26"/>
          <w:szCs w:val="26"/>
          <w:rtl/>
        </w:rPr>
        <w:t>(13.9.17).</w:t>
      </w:r>
    </w:p>
    <w:p w14:paraId="0A6752E0" w14:textId="77777777" w:rsidR="004E11F2" w:rsidRDefault="004E11F2" w:rsidP="004E11F2">
      <w:pPr>
        <w:spacing w:line="360" w:lineRule="auto"/>
        <w:jc w:val="both"/>
        <w:rPr>
          <w:rFonts w:ascii="Arial" w:hAnsi="Arial"/>
          <w:sz w:val="26"/>
          <w:szCs w:val="26"/>
          <w:rtl/>
        </w:rPr>
      </w:pPr>
    </w:p>
    <w:p w14:paraId="38E31DD6"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4.</w:t>
      </w:r>
      <w:r>
        <w:rPr>
          <w:rFonts w:ascii="Arial" w:hAnsi="Arial" w:hint="cs"/>
          <w:sz w:val="26"/>
          <w:szCs w:val="26"/>
          <w:rtl/>
        </w:rPr>
        <w:tab/>
        <w:t>נטען שנפגעו הערכים המוגנים של שלטון החוק, שמירה על שלום הציבור וביטחונו. כמו כן בהתאם למדיניות שבפסיקת בית המשפט העליון נקבע שענישה בעבירות נשק צריכה לכלול בדרך כלל רכיב של מאסר בפועל (</w:t>
      </w:r>
      <w:hyperlink r:id="rId33" w:history="1">
        <w:r w:rsidR="009C7198" w:rsidRPr="009C7198">
          <w:rPr>
            <w:rFonts w:ascii="Arial" w:hAnsi="Arial"/>
            <w:color w:val="0000FF"/>
            <w:sz w:val="26"/>
            <w:szCs w:val="26"/>
            <w:u w:val="single"/>
            <w:rtl/>
          </w:rPr>
          <w:t>ע"פ 9702/16</w:t>
        </w:r>
      </w:hyperlink>
      <w:r>
        <w:rPr>
          <w:rFonts w:ascii="Arial" w:hAnsi="Arial" w:hint="cs"/>
          <w:sz w:val="26"/>
          <w:szCs w:val="26"/>
          <w:rtl/>
        </w:rPr>
        <w:t xml:space="preserve">). </w:t>
      </w:r>
    </w:p>
    <w:p w14:paraId="7BFC7900" w14:textId="77777777" w:rsidR="004E11F2" w:rsidRDefault="004E11F2" w:rsidP="004E11F2">
      <w:pPr>
        <w:spacing w:line="360" w:lineRule="auto"/>
        <w:jc w:val="both"/>
        <w:rPr>
          <w:rFonts w:ascii="Arial" w:hAnsi="Arial"/>
          <w:sz w:val="26"/>
          <w:szCs w:val="26"/>
          <w:rtl/>
        </w:rPr>
      </w:pPr>
    </w:p>
    <w:p w14:paraId="1FBAE22C"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5.</w:t>
      </w:r>
      <w:r>
        <w:rPr>
          <w:rFonts w:ascii="Arial" w:hAnsi="Arial" w:hint="cs"/>
          <w:sz w:val="26"/>
          <w:szCs w:val="26"/>
          <w:rtl/>
        </w:rPr>
        <w:tab/>
        <w:t xml:space="preserve">ביחס לנסיבות הקשורות בביצוע העבירה נטען שחלקו היחסי של הנאשם היה מלא, היה צפוי להיגרם נזק משמעותי כתוצאה מביצוע העבירה שהנאשם יכול היה להבין את הפסול במעשיו ולהימנע מהמעשה. </w:t>
      </w:r>
    </w:p>
    <w:p w14:paraId="5F837E7C" w14:textId="77777777" w:rsidR="004E11F2" w:rsidRDefault="004E11F2" w:rsidP="004E11F2">
      <w:pPr>
        <w:spacing w:line="360" w:lineRule="auto"/>
        <w:jc w:val="both"/>
        <w:rPr>
          <w:rFonts w:ascii="Arial" w:hAnsi="Arial"/>
          <w:sz w:val="26"/>
          <w:szCs w:val="26"/>
          <w:rtl/>
        </w:rPr>
      </w:pPr>
    </w:p>
    <w:p w14:paraId="52984658"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6.</w:t>
      </w:r>
      <w:r>
        <w:rPr>
          <w:rFonts w:ascii="Arial" w:hAnsi="Arial" w:hint="cs"/>
          <w:sz w:val="26"/>
          <w:szCs w:val="26"/>
          <w:rtl/>
        </w:rPr>
        <w:tab/>
        <w:t>באשר למדיניות הענישה אוזכרו פסקי הדין הבאים:</w:t>
      </w:r>
    </w:p>
    <w:p w14:paraId="36CF7C01" w14:textId="77777777" w:rsidR="004E11F2" w:rsidRDefault="004E11F2" w:rsidP="004E11F2">
      <w:pPr>
        <w:spacing w:line="360" w:lineRule="auto"/>
        <w:jc w:val="both"/>
        <w:rPr>
          <w:rFonts w:ascii="Arial" w:hAnsi="Arial"/>
          <w:sz w:val="26"/>
          <w:szCs w:val="26"/>
          <w:rtl/>
        </w:rPr>
      </w:pPr>
    </w:p>
    <w:p w14:paraId="50D50AA1" w14:textId="77777777" w:rsidR="004E11F2" w:rsidRPr="00A77147" w:rsidRDefault="009C7198" w:rsidP="004E11F2">
      <w:pPr>
        <w:pStyle w:val="a9"/>
        <w:numPr>
          <w:ilvl w:val="0"/>
          <w:numId w:val="1"/>
        </w:numPr>
        <w:spacing w:line="360" w:lineRule="auto"/>
        <w:jc w:val="both"/>
        <w:rPr>
          <w:rFonts w:ascii="Arial" w:hAnsi="Arial"/>
          <w:sz w:val="26"/>
          <w:szCs w:val="26"/>
          <w:rtl/>
        </w:rPr>
      </w:pPr>
      <w:hyperlink r:id="rId34" w:history="1">
        <w:r w:rsidRPr="009C7198">
          <w:rPr>
            <w:rFonts w:ascii="Arial" w:hAnsi="Arial"/>
            <w:color w:val="0000FF"/>
            <w:sz w:val="26"/>
            <w:szCs w:val="26"/>
            <w:u w:val="single"/>
            <w:rtl/>
          </w:rPr>
          <w:t>ע"פ 5602/22</w:t>
        </w:r>
      </w:hyperlink>
      <w:r w:rsidR="004E11F2" w:rsidRPr="00A77147">
        <w:rPr>
          <w:rFonts w:ascii="Arial" w:hAnsi="Arial" w:hint="cs"/>
          <w:sz w:val="26"/>
          <w:szCs w:val="26"/>
          <w:rtl/>
        </w:rPr>
        <w:t xml:space="preserve"> </w:t>
      </w:r>
      <w:r w:rsidR="004E11F2" w:rsidRPr="00A77147">
        <w:rPr>
          <w:rFonts w:ascii="Arial" w:hAnsi="Arial" w:hint="cs"/>
          <w:b/>
          <w:bCs/>
          <w:sz w:val="26"/>
          <w:szCs w:val="26"/>
          <w:rtl/>
        </w:rPr>
        <w:t>מדינת ישראל נ' פלוני</w:t>
      </w:r>
      <w:r w:rsidR="004E11F2" w:rsidRPr="00A77147">
        <w:rPr>
          <w:rFonts w:ascii="Arial" w:hAnsi="Arial" w:hint="cs"/>
          <w:sz w:val="26"/>
          <w:szCs w:val="26"/>
          <w:rtl/>
        </w:rPr>
        <w:t xml:space="preserve"> (8.9.22); שם הורשע המערער על פי הודאתו במסגרת הסדר טיעון בעבירות של  נשיאת נשק, הפרעה לשוטר במילוי תפקידו </w:t>
      </w:r>
      <w:r w:rsidR="004E11F2" w:rsidRPr="00A77147">
        <w:rPr>
          <w:rFonts w:ascii="Arial" w:hAnsi="Arial" w:hint="cs"/>
          <w:sz w:val="26"/>
          <w:szCs w:val="26"/>
          <w:rtl/>
        </w:rPr>
        <w:lastRenderedPageBreak/>
        <w:t xml:space="preserve">ושהייה בישראל שלא כדין. הערכאה הדיונית הטילה עליו 18 חודשי מאסר בפועל. בערעור הוחמר העונש ל-36 חודשי מאסר בפועל, כאשר צוין שמתחם הענישה צריך להיות בין 30 </w:t>
      </w:r>
      <w:r w:rsidR="004E11F2" w:rsidRPr="00A77147">
        <w:rPr>
          <w:rFonts w:ascii="Arial" w:hAnsi="Arial"/>
          <w:sz w:val="26"/>
          <w:szCs w:val="26"/>
          <w:rtl/>
        </w:rPr>
        <w:t>–</w:t>
      </w:r>
      <w:r w:rsidR="004E11F2" w:rsidRPr="00A77147">
        <w:rPr>
          <w:rFonts w:ascii="Arial" w:hAnsi="Arial" w:hint="cs"/>
          <w:sz w:val="26"/>
          <w:szCs w:val="26"/>
          <w:rtl/>
        </w:rPr>
        <w:t xml:space="preserve"> 42 חודשי מאסר בפועל. </w:t>
      </w:r>
    </w:p>
    <w:p w14:paraId="18059B48" w14:textId="77777777" w:rsidR="004E11F2" w:rsidRDefault="004E11F2" w:rsidP="004E11F2">
      <w:pPr>
        <w:spacing w:line="360" w:lineRule="auto"/>
        <w:jc w:val="both"/>
        <w:rPr>
          <w:rFonts w:ascii="Arial" w:hAnsi="Arial"/>
          <w:sz w:val="26"/>
          <w:szCs w:val="26"/>
          <w:rtl/>
        </w:rPr>
      </w:pPr>
    </w:p>
    <w:p w14:paraId="2A22D600" w14:textId="77777777" w:rsidR="004E11F2" w:rsidRPr="00A77147" w:rsidRDefault="009C7198" w:rsidP="004E11F2">
      <w:pPr>
        <w:pStyle w:val="a9"/>
        <w:numPr>
          <w:ilvl w:val="0"/>
          <w:numId w:val="1"/>
        </w:numPr>
        <w:spacing w:line="360" w:lineRule="auto"/>
        <w:jc w:val="both"/>
        <w:rPr>
          <w:rFonts w:ascii="Arial" w:hAnsi="Arial"/>
          <w:sz w:val="26"/>
          <w:szCs w:val="26"/>
          <w:rtl/>
        </w:rPr>
      </w:pPr>
      <w:hyperlink r:id="rId35" w:history="1">
        <w:r w:rsidRPr="009C7198">
          <w:rPr>
            <w:rFonts w:ascii="Arial" w:hAnsi="Arial"/>
            <w:color w:val="0000FF"/>
            <w:sz w:val="26"/>
            <w:szCs w:val="26"/>
            <w:u w:val="single"/>
            <w:rtl/>
          </w:rPr>
          <w:t>ע"פ 6021/21</w:t>
        </w:r>
      </w:hyperlink>
      <w:r w:rsidR="004E11F2" w:rsidRPr="00A77147">
        <w:rPr>
          <w:rFonts w:ascii="Arial" w:hAnsi="Arial" w:hint="cs"/>
          <w:sz w:val="26"/>
          <w:szCs w:val="26"/>
          <w:rtl/>
        </w:rPr>
        <w:t xml:space="preserve"> </w:t>
      </w:r>
      <w:r w:rsidR="004E11F2" w:rsidRPr="00A77147">
        <w:rPr>
          <w:rFonts w:ascii="Arial" w:hAnsi="Arial" w:hint="cs"/>
          <w:b/>
          <w:bCs/>
          <w:sz w:val="26"/>
          <w:szCs w:val="26"/>
          <w:rtl/>
        </w:rPr>
        <w:t xml:space="preserve">עלי עבוד נ' מדינת ישראל </w:t>
      </w:r>
      <w:r w:rsidR="004E11F2" w:rsidRPr="00A77147">
        <w:rPr>
          <w:rFonts w:ascii="Arial" w:hAnsi="Arial" w:hint="cs"/>
          <w:sz w:val="26"/>
          <w:szCs w:val="26"/>
          <w:rtl/>
        </w:rPr>
        <w:t>(19.12.21); המערער הורשע על פי הודאתו במסגרת הסדר טיעון בעבירות של נשיאה והובלת נשק ובהפרעה לשוטר במילוי תפקידו. הערכאה הדיונית השיתה על העורר 30 חודשי מאסר בפועל. הערעור  נדחה.</w:t>
      </w:r>
    </w:p>
    <w:p w14:paraId="1578845C" w14:textId="77777777" w:rsidR="004E11F2" w:rsidRDefault="004E11F2" w:rsidP="004E11F2">
      <w:pPr>
        <w:spacing w:line="360" w:lineRule="auto"/>
        <w:jc w:val="both"/>
        <w:rPr>
          <w:rFonts w:ascii="Arial" w:hAnsi="Arial"/>
          <w:sz w:val="26"/>
          <w:szCs w:val="26"/>
          <w:rtl/>
        </w:rPr>
      </w:pPr>
    </w:p>
    <w:p w14:paraId="4B7A8667" w14:textId="77777777" w:rsidR="004E11F2" w:rsidRPr="00A77147" w:rsidRDefault="009C7198" w:rsidP="004E11F2">
      <w:pPr>
        <w:pStyle w:val="a9"/>
        <w:numPr>
          <w:ilvl w:val="0"/>
          <w:numId w:val="1"/>
        </w:numPr>
        <w:spacing w:line="360" w:lineRule="auto"/>
        <w:jc w:val="both"/>
        <w:rPr>
          <w:rFonts w:ascii="Arial" w:hAnsi="Arial"/>
          <w:sz w:val="26"/>
          <w:szCs w:val="26"/>
          <w:rtl/>
        </w:rPr>
      </w:pPr>
      <w:hyperlink r:id="rId36" w:history="1">
        <w:r w:rsidRPr="009C7198">
          <w:rPr>
            <w:rFonts w:ascii="Arial" w:hAnsi="Arial"/>
            <w:color w:val="0000FF"/>
            <w:sz w:val="26"/>
            <w:szCs w:val="26"/>
            <w:u w:val="single"/>
            <w:rtl/>
          </w:rPr>
          <w:t>ע"פ 2482/22</w:t>
        </w:r>
      </w:hyperlink>
      <w:r w:rsidR="004E11F2" w:rsidRPr="00A77147">
        <w:rPr>
          <w:rFonts w:ascii="Arial" w:hAnsi="Arial" w:hint="cs"/>
          <w:sz w:val="26"/>
          <w:szCs w:val="26"/>
          <w:rtl/>
        </w:rPr>
        <w:t xml:space="preserve"> </w:t>
      </w:r>
      <w:r w:rsidR="004E11F2" w:rsidRPr="00A77147">
        <w:rPr>
          <w:rFonts w:ascii="Arial" w:hAnsi="Arial" w:hint="cs"/>
          <w:b/>
          <w:bCs/>
          <w:sz w:val="26"/>
          <w:szCs w:val="26"/>
          <w:rtl/>
        </w:rPr>
        <w:t>מדינת ישראל נ' קדורה</w:t>
      </w:r>
      <w:r w:rsidR="004E11F2" w:rsidRPr="00A77147">
        <w:rPr>
          <w:rFonts w:ascii="Arial" w:hAnsi="Arial" w:hint="cs"/>
          <w:sz w:val="26"/>
          <w:szCs w:val="26"/>
          <w:rtl/>
        </w:rPr>
        <w:t xml:space="preserve"> (14.4.22); נאשם שהורשע בעבירה של החזקת נשק בלבד, אקדח גלוק, מחסנית וכדורים לאקדח ורימון הלך, בן 18 בעת ביצוע העבירה. נידון ל-10 חודשי מאסר בפועל והערעור הוחמרה הענישה ל-18 חודשי מאסר.</w:t>
      </w:r>
    </w:p>
    <w:p w14:paraId="3682F41C"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7.</w:t>
      </w:r>
      <w:r>
        <w:rPr>
          <w:rFonts w:ascii="Arial" w:hAnsi="Arial" w:hint="cs"/>
          <w:sz w:val="26"/>
          <w:szCs w:val="26"/>
          <w:rtl/>
        </w:rPr>
        <w:tab/>
        <w:t xml:space="preserve">באשר לנסיבות שאינן קשורות בביצוע העבירה צוין שהנאשם בן 21, נעדר עבר פלילי והוא חסך זמן שיפוטי על הודאתו. לעומת זאת צוין שאינו קטין ואינו סובל ממגבלות שכלית או אחרת, ואינו קרוב לשום סייג לאחריות פלילית. </w:t>
      </w:r>
    </w:p>
    <w:p w14:paraId="58DBB614" w14:textId="77777777" w:rsidR="004E11F2" w:rsidRDefault="004E11F2" w:rsidP="004E11F2">
      <w:pPr>
        <w:spacing w:line="360" w:lineRule="auto"/>
        <w:jc w:val="both"/>
        <w:rPr>
          <w:rFonts w:ascii="Arial" w:hAnsi="Arial"/>
          <w:sz w:val="26"/>
          <w:szCs w:val="26"/>
          <w:rtl/>
        </w:rPr>
      </w:pPr>
    </w:p>
    <w:p w14:paraId="7FE50A48"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8.</w:t>
      </w:r>
      <w:r>
        <w:rPr>
          <w:rFonts w:ascii="Arial" w:hAnsi="Arial" w:hint="cs"/>
          <w:sz w:val="26"/>
          <w:szCs w:val="26"/>
          <w:rtl/>
        </w:rPr>
        <w:tab/>
        <w:t>ביחס לתסקיר, צוין שהוא נוטל לאחריות פורמלית בלבד על מעשיו, כמו כן הוזכר תיקון 140 ל</w:t>
      </w:r>
      <w:hyperlink r:id="rId37" w:history="1">
        <w:r w:rsidR="009C7198" w:rsidRPr="009C7198">
          <w:rPr>
            <w:rFonts w:ascii="Arial" w:hAnsi="Arial"/>
            <w:color w:val="0000FF"/>
            <w:sz w:val="26"/>
            <w:szCs w:val="26"/>
            <w:u w:val="single"/>
            <w:rtl/>
          </w:rPr>
          <w:t>חוק העונשין</w:t>
        </w:r>
      </w:hyperlink>
      <w:r>
        <w:rPr>
          <w:rFonts w:ascii="Arial" w:hAnsi="Arial" w:hint="cs"/>
          <w:sz w:val="26"/>
          <w:szCs w:val="26"/>
          <w:rtl/>
        </w:rPr>
        <w:t xml:space="preserve"> ביחס לעונש מזערי של רבע מהעונש המרבי הקבוע בחוק. </w:t>
      </w:r>
    </w:p>
    <w:p w14:paraId="10C87760" w14:textId="77777777" w:rsidR="004E11F2" w:rsidRDefault="004E11F2" w:rsidP="004E11F2">
      <w:pPr>
        <w:spacing w:line="360" w:lineRule="auto"/>
        <w:jc w:val="both"/>
        <w:rPr>
          <w:rFonts w:ascii="Arial" w:hAnsi="Arial"/>
          <w:sz w:val="26"/>
          <w:szCs w:val="26"/>
          <w:rtl/>
        </w:rPr>
      </w:pPr>
    </w:p>
    <w:p w14:paraId="7598643B"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9.</w:t>
      </w:r>
      <w:r>
        <w:rPr>
          <w:rFonts w:ascii="Arial" w:hAnsi="Arial" w:hint="cs"/>
          <w:sz w:val="26"/>
          <w:szCs w:val="26"/>
          <w:rtl/>
        </w:rPr>
        <w:tab/>
        <w:t xml:space="preserve">המדינה ביקשה לקבוע מתחם שבין 3 </w:t>
      </w:r>
      <w:r>
        <w:rPr>
          <w:rFonts w:ascii="Arial" w:hAnsi="Arial"/>
          <w:sz w:val="26"/>
          <w:szCs w:val="26"/>
          <w:rtl/>
        </w:rPr>
        <w:t>–</w:t>
      </w:r>
      <w:r>
        <w:rPr>
          <w:rFonts w:ascii="Arial" w:hAnsi="Arial" w:hint="cs"/>
          <w:sz w:val="26"/>
          <w:szCs w:val="26"/>
          <w:rtl/>
        </w:rPr>
        <w:t xml:space="preserve"> 5 שנות מאסר לצד ענישה נלווית ולהטיל עונש ברף התחתון של התחתון המבוקש. </w:t>
      </w:r>
    </w:p>
    <w:p w14:paraId="724A1AC6" w14:textId="77777777" w:rsidR="004E11F2" w:rsidRDefault="004E11F2" w:rsidP="004E11F2">
      <w:pPr>
        <w:spacing w:line="360" w:lineRule="auto"/>
        <w:jc w:val="both"/>
        <w:rPr>
          <w:rFonts w:ascii="Arial" w:hAnsi="Arial"/>
          <w:sz w:val="26"/>
          <w:szCs w:val="26"/>
          <w:rtl/>
        </w:rPr>
      </w:pPr>
    </w:p>
    <w:p w14:paraId="1FF21B23" w14:textId="77777777" w:rsidR="004E11F2" w:rsidRDefault="004E11F2" w:rsidP="004E11F2">
      <w:pPr>
        <w:spacing w:line="360" w:lineRule="auto"/>
        <w:jc w:val="both"/>
        <w:rPr>
          <w:rFonts w:ascii="Arial" w:hAnsi="Arial"/>
          <w:sz w:val="26"/>
          <w:szCs w:val="26"/>
          <w:rtl/>
        </w:rPr>
      </w:pPr>
      <w:r>
        <w:rPr>
          <w:rFonts w:ascii="Arial" w:hAnsi="Arial" w:hint="cs"/>
          <w:b/>
          <w:bCs/>
          <w:sz w:val="26"/>
          <w:szCs w:val="26"/>
          <w:u w:val="single"/>
          <w:rtl/>
        </w:rPr>
        <w:t>טענות ההגנה</w:t>
      </w:r>
    </w:p>
    <w:p w14:paraId="2607D546" w14:textId="77777777" w:rsidR="004E11F2" w:rsidRDefault="004E11F2" w:rsidP="004E11F2">
      <w:pPr>
        <w:spacing w:line="360" w:lineRule="auto"/>
        <w:jc w:val="both"/>
        <w:rPr>
          <w:rFonts w:ascii="Arial" w:hAnsi="Arial"/>
          <w:sz w:val="26"/>
          <w:szCs w:val="26"/>
          <w:rtl/>
        </w:rPr>
      </w:pPr>
    </w:p>
    <w:p w14:paraId="158DA3D1"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10.</w:t>
      </w:r>
      <w:r>
        <w:rPr>
          <w:rFonts w:ascii="Arial" w:hAnsi="Arial" w:hint="cs"/>
          <w:sz w:val="26"/>
          <w:szCs w:val="26"/>
          <w:rtl/>
        </w:rPr>
        <w:tab/>
        <w:t xml:space="preserve">ההגנה טענה שהנאשם הודה בהזדמנות הראשונה בכתב אישום מתוקן. נטען שעל אף שמדובר במספר עבירות מדובר במקרה אחד שהתמשך ויש לראות את המעשים כמתגבש לאירוע אחד ולקבוע מתחם ענישה אחד. </w:t>
      </w:r>
    </w:p>
    <w:p w14:paraId="75D2440B" w14:textId="77777777" w:rsidR="004E11F2" w:rsidRDefault="004E11F2" w:rsidP="004E11F2">
      <w:pPr>
        <w:spacing w:line="360" w:lineRule="auto"/>
        <w:jc w:val="both"/>
        <w:rPr>
          <w:rFonts w:ascii="Arial" w:hAnsi="Arial"/>
          <w:sz w:val="26"/>
          <w:szCs w:val="26"/>
          <w:rtl/>
        </w:rPr>
      </w:pPr>
    </w:p>
    <w:p w14:paraId="1E893FE7"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11.</w:t>
      </w:r>
      <w:r>
        <w:rPr>
          <w:rFonts w:ascii="Arial" w:hAnsi="Arial" w:hint="cs"/>
          <w:sz w:val="26"/>
          <w:szCs w:val="26"/>
          <w:rtl/>
        </w:rPr>
        <w:tab/>
        <w:t xml:space="preserve">נטען שמדובר בנאשם בן 21 ללא עבר פלילי שזוהי הסתבכותו הראשונה, ושעל אף חומרתה אינה מאפיינת דרך חייו, כפי שעולה מהתסקיר. </w:t>
      </w:r>
    </w:p>
    <w:p w14:paraId="12653598" w14:textId="77777777" w:rsidR="004E11F2" w:rsidRDefault="004E11F2" w:rsidP="004E11F2">
      <w:pPr>
        <w:spacing w:line="360" w:lineRule="auto"/>
        <w:jc w:val="both"/>
        <w:rPr>
          <w:rFonts w:ascii="Arial" w:hAnsi="Arial"/>
          <w:sz w:val="26"/>
          <w:szCs w:val="26"/>
          <w:rtl/>
        </w:rPr>
      </w:pPr>
    </w:p>
    <w:p w14:paraId="4FC5D64B"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12.</w:t>
      </w:r>
      <w:r>
        <w:rPr>
          <w:rFonts w:ascii="Arial" w:hAnsi="Arial" w:hint="cs"/>
          <w:sz w:val="26"/>
          <w:szCs w:val="26"/>
          <w:rtl/>
        </w:rPr>
        <w:tab/>
        <w:t xml:space="preserve">נטען שהנאשם שיתף פעולה עם החוקרים, והסביר שברח מתוך פחד, למרחק קצר בלבד עד שהגיע לביתו. </w:t>
      </w:r>
    </w:p>
    <w:p w14:paraId="73BADF6C" w14:textId="77777777" w:rsidR="004E11F2" w:rsidRDefault="004E11F2" w:rsidP="004E11F2">
      <w:pPr>
        <w:spacing w:line="360" w:lineRule="auto"/>
        <w:jc w:val="both"/>
        <w:rPr>
          <w:rFonts w:ascii="Arial" w:hAnsi="Arial"/>
          <w:sz w:val="26"/>
          <w:szCs w:val="26"/>
          <w:rtl/>
        </w:rPr>
      </w:pPr>
    </w:p>
    <w:p w14:paraId="631A2CD1"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13.</w:t>
      </w:r>
      <w:r>
        <w:rPr>
          <w:rFonts w:ascii="Arial" w:hAnsi="Arial" w:hint="cs"/>
          <w:sz w:val="26"/>
          <w:szCs w:val="26"/>
          <w:rtl/>
        </w:rPr>
        <w:tab/>
        <w:t xml:space="preserve">טען שבתסקיר הנאשם לא הצליח להסביר את עצמו כפי שצריך ונטען שיתכן וחלה אי הבנה באשר להעדר לקיחת אחריות מצדו. נטען שנסיבות חיי משפחתו קשות כפי שתוארו בתסקיר, ושהמשפחה תלויה בפרנסה שמביא הנאשם. </w:t>
      </w:r>
    </w:p>
    <w:p w14:paraId="7E362E0E" w14:textId="77777777" w:rsidR="004E11F2" w:rsidRDefault="004E11F2" w:rsidP="004E11F2">
      <w:pPr>
        <w:spacing w:line="360" w:lineRule="auto"/>
        <w:jc w:val="both"/>
        <w:rPr>
          <w:rFonts w:ascii="Arial" w:hAnsi="Arial"/>
          <w:sz w:val="26"/>
          <w:szCs w:val="26"/>
          <w:rtl/>
        </w:rPr>
      </w:pPr>
    </w:p>
    <w:p w14:paraId="7F91D102"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14.</w:t>
      </w:r>
      <w:r>
        <w:rPr>
          <w:rFonts w:ascii="Arial" w:hAnsi="Arial" w:hint="cs"/>
          <w:sz w:val="26"/>
          <w:szCs w:val="26"/>
          <w:rtl/>
        </w:rPr>
        <w:tab/>
        <w:t>נטען שהנאשם ניצל את מאסרו כדי לשנות את דרך חייו ונטען שהדברים עולים מתוך התסקיר. נטען שבסופו של דבר מדובר בתסקיר חיובי.</w:t>
      </w:r>
    </w:p>
    <w:p w14:paraId="180C38BC" w14:textId="77777777" w:rsidR="004E11F2" w:rsidRDefault="004E11F2" w:rsidP="004E11F2">
      <w:pPr>
        <w:spacing w:line="360" w:lineRule="auto"/>
        <w:jc w:val="both"/>
        <w:rPr>
          <w:rFonts w:ascii="Arial" w:hAnsi="Arial"/>
          <w:sz w:val="26"/>
          <w:szCs w:val="26"/>
          <w:rtl/>
        </w:rPr>
      </w:pPr>
    </w:p>
    <w:p w14:paraId="27E93347" w14:textId="77777777" w:rsidR="004E11F2" w:rsidRDefault="004E11F2" w:rsidP="004E11F2">
      <w:pPr>
        <w:spacing w:line="360" w:lineRule="auto"/>
        <w:jc w:val="both"/>
        <w:rPr>
          <w:rFonts w:ascii="Arial" w:hAnsi="Arial"/>
          <w:sz w:val="26"/>
          <w:szCs w:val="26"/>
          <w:rtl/>
        </w:rPr>
      </w:pPr>
    </w:p>
    <w:p w14:paraId="3861005D" w14:textId="77777777" w:rsidR="004E11F2" w:rsidRDefault="004E11F2" w:rsidP="004E11F2">
      <w:pPr>
        <w:spacing w:line="360" w:lineRule="auto"/>
        <w:jc w:val="both"/>
        <w:rPr>
          <w:rFonts w:ascii="Arial" w:hAnsi="Arial"/>
          <w:sz w:val="26"/>
          <w:szCs w:val="26"/>
          <w:rtl/>
        </w:rPr>
      </w:pPr>
    </w:p>
    <w:p w14:paraId="7C57B3E4" w14:textId="77777777" w:rsidR="004E11F2" w:rsidRDefault="004E11F2" w:rsidP="004E11F2">
      <w:pPr>
        <w:spacing w:line="360" w:lineRule="auto"/>
        <w:jc w:val="both"/>
        <w:rPr>
          <w:rFonts w:ascii="Arial" w:hAnsi="Arial"/>
          <w:sz w:val="26"/>
          <w:szCs w:val="26"/>
          <w:rtl/>
        </w:rPr>
      </w:pPr>
      <w:r>
        <w:rPr>
          <w:rFonts w:ascii="Arial" w:hAnsi="Arial" w:hint="cs"/>
          <w:sz w:val="26"/>
          <w:szCs w:val="26"/>
          <w:rtl/>
        </w:rPr>
        <w:t>15.</w:t>
      </w:r>
      <w:r>
        <w:rPr>
          <w:rFonts w:ascii="Arial" w:hAnsi="Arial" w:hint="cs"/>
          <w:sz w:val="26"/>
          <w:szCs w:val="26"/>
          <w:rtl/>
        </w:rPr>
        <w:tab/>
        <w:t>לעניין הפסיקה הפנה הסנגור למקרים הבאים:</w:t>
      </w:r>
    </w:p>
    <w:p w14:paraId="4B9D364D" w14:textId="77777777" w:rsidR="004E11F2" w:rsidRDefault="004E11F2" w:rsidP="004E11F2">
      <w:pPr>
        <w:spacing w:line="360" w:lineRule="auto"/>
        <w:jc w:val="both"/>
        <w:rPr>
          <w:rFonts w:ascii="Arial" w:hAnsi="Arial"/>
          <w:sz w:val="26"/>
          <w:szCs w:val="26"/>
          <w:rtl/>
        </w:rPr>
      </w:pPr>
    </w:p>
    <w:p w14:paraId="69390734" w14:textId="77777777" w:rsidR="004E11F2" w:rsidRPr="00A77147" w:rsidRDefault="004E11F2" w:rsidP="004E11F2">
      <w:pPr>
        <w:pStyle w:val="a9"/>
        <w:numPr>
          <w:ilvl w:val="0"/>
          <w:numId w:val="1"/>
        </w:numPr>
        <w:spacing w:line="360" w:lineRule="auto"/>
        <w:jc w:val="both"/>
        <w:rPr>
          <w:rFonts w:ascii="Arial" w:hAnsi="Arial"/>
          <w:sz w:val="26"/>
          <w:szCs w:val="26"/>
          <w:rtl/>
        </w:rPr>
      </w:pPr>
      <w:r w:rsidRPr="00A77147">
        <w:rPr>
          <w:rFonts w:ascii="Arial" w:hAnsi="Arial" w:hint="cs"/>
          <w:sz w:val="26"/>
          <w:szCs w:val="26"/>
          <w:rtl/>
        </w:rPr>
        <w:t xml:space="preserve">50986-12-16 </w:t>
      </w:r>
      <w:r w:rsidRPr="00A77147">
        <w:rPr>
          <w:rFonts w:ascii="Arial" w:hAnsi="Arial" w:hint="cs"/>
          <w:b/>
          <w:bCs/>
          <w:sz w:val="26"/>
          <w:szCs w:val="26"/>
          <w:rtl/>
        </w:rPr>
        <w:t xml:space="preserve">מדינת ישראל נ' מועאד אבו עליון </w:t>
      </w:r>
      <w:r w:rsidRPr="00A77147">
        <w:rPr>
          <w:rFonts w:ascii="Arial" w:hAnsi="Arial" w:hint="cs"/>
          <w:sz w:val="26"/>
          <w:szCs w:val="26"/>
          <w:rtl/>
        </w:rPr>
        <w:t xml:space="preserve">(9.11.17); שם נאשם שהואשם בקשירת קשר לפשע, הובלה ונשאית נשק וירי עם 4 הרשעות קודמות ולמרות שקיבל אחריות חלקית בלבד על מעשיו, נידון ל-24 חודשים. </w:t>
      </w:r>
    </w:p>
    <w:p w14:paraId="4BD650EC" w14:textId="77777777" w:rsidR="004E11F2" w:rsidRDefault="004E11F2" w:rsidP="004E11F2">
      <w:pPr>
        <w:spacing w:line="360" w:lineRule="auto"/>
        <w:jc w:val="both"/>
        <w:rPr>
          <w:rFonts w:ascii="Arial" w:hAnsi="Arial"/>
          <w:sz w:val="26"/>
          <w:szCs w:val="26"/>
          <w:rtl/>
        </w:rPr>
      </w:pPr>
    </w:p>
    <w:p w14:paraId="77EB5150" w14:textId="77777777" w:rsidR="004E11F2" w:rsidRPr="00A77147" w:rsidRDefault="009C7198" w:rsidP="004E11F2">
      <w:pPr>
        <w:pStyle w:val="a9"/>
        <w:numPr>
          <w:ilvl w:val="0"/>
          <w:numId w:val="1"/>
        </w:numPr>
        <w:spacing w:line="360" w:lineRule="auto"/>
        <w:jc w:val="both"/>
        <w:rPr>
          <w:rFonts w:ascii="Arial" w:hAnsi="Arial"/>
          <w:sz w:val="26"/>
          <w:szCs w:val="26"/>
          <w:rtl/>
        </w:rPr>
      </w:pPr>
      <w:hyperlink r:id="rId38" w:history="1">
        <w:r w:rsidRPr="009C7198">
          <w:rPr>
            <w:rFonts w:ascii="Arial" w:hAnsi="Arial"/>
            <w:color w:val="0000FF"/>
            <w:sz w:val="26"/>
            <w:szCs w:val="26"/>
            <w:u w:val="single"/>
            <w:rtl/>
          </w:rPr>
          <w:t>ת"פ 24044-06-22</w:t>
        </w:r>
      </w:hyperlink>
      <w:r w:rsidR="004E11F2" w:rsidRPr="00A77147">
        <w:rPr>
          <w:rFonts w:ascii="Arial" w:hAnsi="Arial" w:hint="cs"/>
          <w:sz w:val="26"/>
          <w:szCs w:val="26"/>
          <w:rtl/>
        </w:rPr>
        <w:t xml:space="preserve"> </w:t>
      </w:r>
      <w:r w:rsidR="004E11F2" w:rsidRPr="00A77147">
        <w:rPr>
          <w:rFonts w:ascii="Arial" w:hAnsi="Arial" w:hint="cs"/>
          <w:b/>
          <w:bCs/>
          <w:sz w:val="26"/>
          <w:szCs w:val="26"/>
          <w:rtl/>
        </w:rPr>
        <w:t>מדינת ישראל נ' מוחמד אג'באריה</w:t>
      </w:r>
      <w:r w:rsidR="004E11F2" w:rsidRPr="00A77147">
        <w:rPr>
          <w:rFonts w:ascii="Arial" w:hAnsi="Arial" w:hint="cs"/>
          <w:sz w:val="26"/>
          <w:szCs w:val="26"/>
          <w:rtl/>
        </w:rPr>
        <w:t xml:space="preserve"> (16.12.22); בגין עבירות נשק של נשיאה ו הובלה של אקדח, מחסנית ותחמושת נקבע מתחם ענישה שבין 24-48 חודשים והוטלו 24 חודשים. </w:t>
      </w:r>
    </w:p>
    <w:p w14:paraId="199B5344" w14:textId="77777777" w:rsidR="004E11F2" w:rsidRDefault="004E11F2" w:rsidP="004E11F2">
      <w:pPr>
        <w:spacing w:line="360" w:lineRule="auto"/>
        <w:jc w:val="both"/>
        <w:rPr>
          <w:rFonts w:ascii="Arial" w:hAnsi="Arial"/>
          <w:sz w:val="26"/>
          <w:szCs w:val="26"/>
          <w:rtl/>
        </w:rPr>
      </w:pPr>
    </w:p>
    <w:p w14:paraId="76D60C13" w14:textId="77777777" w:rsidR="004E11F2" w:rsidRPr="00A77147" w:rsidRDefault="009C7198" w:rsidP="004E11F2">
      <w:pPr>
        <w:pStyle w:val="a9"/>
        <w:numPr>
          <w:ilvl w:val="0"/>
          <w:numId w:val="1"/>
        </w:numPr>
        <w:spacing w:line="360" w:lineRule="auto"/>
        <w:jc w:val="both"/>
        <w:rPr>
          <w:rFonts w:ascii="Arial" w:hAnsi="Arial"/>
          <w:sz w:val="26"/>
          <w:szCs w:val="26"/>
          <w:rtl/>
        </w:rPr>
      </w:pPr>
      <w:hyperlink r:id="rId39" w:history="1">
        <w:r w:rsidRPr="009C7198">
          <w:rPr>
            <w:rFonts w:ascii="Arial" w:hAnsi="Arial"/>
            <w:color w:val="0000FF"/>
            <w:sz w:val="26"/>
            <w:szCs w:val="26"/>
            <w:u w:val="single"/>
            <w:rtl/>
          </w:rPr>
          <w:t>ת"פ 38718-12-21</w:t>
        </w:r>
      </w:hyperlink>
      <w:r w:rsidR="004E11F2" w:rsidRPr="00A77147">
        <w:rPr>
          <w:rFonts w:ascii="Arial" w:hAnsi="Arial" w:hint="cs"/>
          <w:sz w:val="26"/>
          <w:szCs w:val="26"/>
          <w:rtl/>
        </w:rPr>
        <w:t xml:space="preserve"> </w:t>
      </w:r>
      <w:r w:rsidR="004E11F2" w:rsidRPr="00A77147">
        <w:rPr>
          <w:rFonts w:ascii="Arial" w:hAnsi="Arial" w:hint="cs"/>
          <w:b/>
          <w:bCs/>
          <w:sz w:val="26"/>
          <w:szCs w:val="26"/>
          <w:rtl/>
        </w:rPr>
        <w:t xml:space="preserve">מדינת </w:t>
      </w:r>
      <w:r w:rsidR="004E11F2" w:rsidRPr="00C80C28">
        <w:rPr>
          <w:rFonts w:ascii="Arial" w:hAnsi="Arial" w:hint="cs"/>
          <w:b/>
          <w:bCs/>
          <w:sz w:val="26"/>
          <w:szCs w:val="26"/>
          <w:rtl/>
        </w:rPr>
        <w:t>ישראל נ' פהמי ג'בארין</w:t>
      </w:r>
      <w:r w:rsidR="004E11F2">
        <w:rPr>
          <w:rFonts w:ascii="Arial" w:hAnsi="Arial" w:hint="cs"/>
          <w:sz w:val="26"/>
          <w:szCs w:val="26"/>
          <w:rtl/>
        </w:rPr>
        <w:t>;</w:t>
      </w:r>
      <w:r w:rsidR="004E11F2" w:rsidRPr="00A77147">
        <w:rPr>
          <w:rFonts w:ascii="Arial" w:hAnsi="Arial" w:hint="cs"/>
          <w:sz w:val="26"/>
          <w:szCs w:val="26"/>
          <w:rtl/>
        </w:rPr>
        <w:t xml:space="preserve"> נאשם שהורשע בנשיאה והובלת נשק, נקבע מתחם שבין 15 </w:t>
      </w:r>
      <w:r w:rsidR="004E11F2" w:rsidRPr="00A77147">
        <w:rPr>
          <w:rFonts w:ascii="Arial" w:hAnsi="Arial"/>
          <w:sz w:val="26"/>
          <w:szCs w:val="26"/>
          <w:rtl/>
        </w:rPr>
        <w:t>–</w:t>
      </w:r>
      <w:r w:rsidR="004E11F2" w:rsidRPr="00A77147">
        <w:rPr>
          <w:rFonts w:ascii="Arial" w:hAnsi="Arial" w:hint="cs"/>
          <w:sz w:val="26"/>
          <w:szCs w:val="26"/>
          <w:rtl/>
        </w:rPr>
        <w:t xml:space="preserve"> 36 והוטלו 15 חודשי מאסר בפועל. </w:t>
      </w:r>
    </w:p>
    <w:p w14:paraId="0C9A33D6" w14:textId="77777777" w:rsidR="004E11F2" w:rsidRDefault="004E11F2" w:rsidP="004E11F2">
      <w:pPr>
        <w:spacing w:line="360" w:lineRule="auto"/>
        <w:jc w:val="both"/>
        <w:rPr>
          <w:rFonts w:ascii="Arial" w:hAnsi="Arial"/>
          <w:sz w:val="26"/>
          <w:szCs w:val="26"/>
          <w:rtl/>
        </w:rPr>
      </w:pPr>
    </w:p>
    <w:p w14:paraId="12C340D5" w14:textId="77777777" w:rsidR="004E11F2" w:rsidRPr="00A77147" w:rsidRDefault="009C7198" w:rsidP="004E11F2">
      <w:pPr>
        <w:pStyle w:val="a9"/>
        <w:numPr>
          <w:ilvl w:val="0"/>
          <w:numId w:val="1"/>
        </w:numPr>
        <w:spacing w:line="360" w:lineRule="auto"/>
        <w:jc w:val="both"/>
        <w:rPr>
          <w:rFonts w:ascii="Arial" w:hAnsi="Arial"/>
          <w:sz w:val="26"/>
          <w:szCs w:val="26"/>
          <w:rtl/>
        </w:rPr>
      </w:pPr>
      <w:hyperlink r:id="rId40" w:history="1">
        <w:r w:rsidRPr="009C7198">
          <w:rPr>
            <w:rFonts w:ascii="Arial" w:hAnsi="Arial"/>
            <w:color w:val="0000FF"/>
            <w:sz w:val="26"/>
            <w:szCs w:val="26"/>
            <w:u w:val="single"/>
            <w:rtl/>
          </w:rPr>
          <w:t>ת"פ 41830-12-21</w:t>
        </w:r>
      </w:hyperlink>
      <w:r w:rsidR="004E11F2" w:rsidRPr="00A77147">
        <w:rPr>
          <w:rFonts w:ascii="Arial" w:hAnsi="Arial" w:hint="cs"/>
          <w:sz w:val="26"/>
          <w:szCs w:val="26"/>
          <w:rtl/>
        </w:rPr>
        <w:t xml:space="preserve"> </w:t>
      </w:r>
      <w:r w:rsidR="004E11F2" w:rsidRPr="00A77147">
        <w:rPr>
          <w:rFonts w:ascii="Arial" w:hAnsi="Arial" w:hint="cs"/>
          <w:b/>
          <w:bCs/>
          <w:sz w:val="26"/>
          <w:szCs w:val="26"/>
          <w:rtl/>
        </w:rPr>
        <w:t xml:space="preserve">מדינת ישראל נ' מהדי כנאנה </w:t>
      </w:r>
      <w:r w:rsidR="004E11F2" w:rsidRPr="00A77147">
        <w:rPr>
          <w:rFonts w:ascii="Arial" w:hAnsi="Arial" w:hint="cs"/>
          <w:sz w:val="26"/>
          <w:szCs w:val="26"/>
          <w:rtl/>
        </w:rPr>
        <w:t xml:space="preserve">(14.7.22); נאשם שהורשע בנשיאה והובלת נשק כאשר נשא אקדח על גופו וברח משוטרים. נקע מתחם שבין 18-36 חודשים והוטלו 20 חודשי מאסר. </w:t>
      </w:r>
    </w:p>
    <w:p w14:paraId="679AE5AC" w14:textId="77777777" w:rsidR="004E11F2" w:rsidRDefault="004E11F2" w:rsidP="004E11F2">
      <w:pPr>
        <w:spacing w:line="360" w:lineRule="auto"/>
        <w:jc w:val="both"/>
        <w:rPr>
          <w:rFonts w:ascii="Arial" w:hAnsi="Arial"/>
          <w:sz w:val="26"/>
          <w:szCs w:val="26"/>
          <w:rtl/>
        </w:rPr>
      </w:pPr>
    </w:p>
    <w:p w14:paraId="3C69DD76"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16.</w:t>
      </w:r>
      <w:r>
        <w:rPr>
          <w:rFonts w:ascii="Arial" w:hAnsi="Arial" w:hint="cs"/>
          <w:sz w:val="26"/>
          <w:szCs w:val="26"/>
          <w:rtl/>
        </w:rPr>
        <w:tab/>
        <w:t xml:space="preserve">נטען שלעניין נסיבות ביצוע העבירה יש להביא בחשבון לקולא הודאתו המידית של הנאשם, חיסכון בזמן שיפוטי, קבלת האחריות והבעת חרטה, כמו גם נסיבות משפחתיות וגילו הצעיר והעדר עבר פלילי. </w:t>
      </w:r>
    </w:p>
    <w:p w14:paraId="4461D9E0" w14:textId="77777777" w:rsidR="004E11F2" w:rsidRDefault="004E11F2" w:rsidP="004E11F2">
      <w:pPr>
        <w:spacing w:line="360" w:lineRule="auto"/>
        <w:jc w:val="both"/>
        <w:rPr>
          <w:rFonts w:ascii="Arial" w:hAnsi="Arial"/>
          <w:sz w:val="26"/>
          <w:szCs w:val="26"/>
          <w:rtl/>
        </w:rPr>
      </w:pPr>
    </w:p>
    <w:p w14:paraId="78F03053" w14:textId="77777777" w:rsidR="004E11F2" w:rsidRDefault="004E11F2" w:rsidP="004E11F2">
      <w:pPr>
        <w:spacing w:line="360" w:lineRule="auto"/>
        <w:jc w:val="both"/>
        <w:rPr>
          <w:rFonts w:ascii="Arial" w:hAnsi="Arial"/>
          <w:sz w:val="26"/>
          <w:szCs w:val="26"/>
          <w:rtl/>
        </w:rPr>
      </w:pPr>
      <w:r>
        <w:rPr>
          <w:rFonts w:ascii="Arial" w:hAnsi="Arial" w:hint="cs"/>
          <w:sz w:val="26"/>
          <w:szCs w:val="26"/>
          <w:rtl/>
        </w:rPr>
        <w:t>17.</w:t>
      </w:r>
      <w:r>
        <w:rPr>
          <w:rFonts w:ascii="Arial" w:hAnsi="Arial" w:hint="cs"/>
          <w:sz w:val="26"/>
          <w:szCs w:val="26"/>
          <w:rtl/>
        </w:rPr>
        <w:tab/>
        <w:t xml:space="preserve">צוין שהנאשם נתון במעצר מאז 22.1.22 וכי הוא מנצל את המעצר ללמוד ולהשתקם. </w:t>
      </w:r>
    </w:p>
    <w:p w14:paraId="317AEB12" w14:textId="77777777" w:rsidR="004E11F2" w:rsidRDefault="004E11F2" w:rsidP="004E11F2">
      <w:pPr>
        <w:spacing w:line="360" w:lineRule="auto"/>
        <w:jc w:val="both"/>
        <w:rPr>
          <w:rFonts w:ascii="Arial" w:hAnsi="Arial"/>
          <w:sz w:val="26"/>
          <w:szCs w:val="26"/>
          <w:rtl/>
        </w:rPr>
      </w:pPr>
    </w:p>
    <w:p w14:paraId="5398E263" w14:textId="77777777" w:rsidR="004E11F2" w:rsidRDefault="004E11F2" w:rsidP="004E11F2">
      <w:pPr>
        <w:spacing w:line="360" w:lineRule="auto"/>
        <w:jc w:val="both"/>
        <w:rPr>
          <w:rFonts w:ascii="Arial" w:hAnsi="Arial"/>
          <w:sz w:val="26"/>
          <w:szCs w:val="26"/>
          <w:rtl/>
        </w:rPr>
      </w:pPr>
      <w:r>
        <w:rPr>
          <w:rFonts w:ascii="Arial" w:hAnsi="Arial" w:hint="cs"/>
          <w:b/>
          <w:bCs/>
          <w:sz w:val="26"/>
          <w:szCs w:val="26"/>
          <w:u w:val="single"/>
          <w:rtl/>
        </w:rPr>
        <w:t>דברי הנאשם</w:t>
      </w:r>
    </w:p>
    <w:p w14:paraId="2B31C96E" w14:textId="77777777" w:rsidR="004E11F2" w:rsidRDefault="004E11F2" w:rsidP="004E11F2">
      <w:pPr>
        <w:spacing w:line="360" w:lineRule="auto"/>
        <w:jc w:val="both"/>
        <w:rPr>
          <w:rFonts w:ascii="Arial" w:hAnsi="Arial"/>
          <w:sz w:val="26"/>
          <w:szCs w:val="26"/>
          <w:rtl/>
        </w:rPr>
      </w:pPr>
    </w:p>
    <w:p w14:paraId="30095628"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18.</w:t>
      </w:r>
      <w:r>
        <w:rPr>
          <w:rFonts w:ascii="Arial" w:hAnsi="Arial" w:hint="cs"/>
          <w:sz w:val="26"/>
          <w:szCs w:val="26"/>
          <w:rtl/>
        </w:rPr>
        <w:tab/>
        <w:t xml:space="preserve">הנאשם הביע חרטה על מעשיו וטען שאינו מתאים לבית הסוהר ושהוא חושב כיצד לחזור לביתו ולעזור למשפחתו. </w:t>
      </w:r>
    </w:p>
    <w:p w14:paraId="713B0429" w14:textId="77777777" w:rsidR="004E11F2" w:rsidRDefault="004E11F2" w:rsidP="004E11F2">
      <w:pPr>
        <w:spacing w:line="360" w:lineRule="auto"/>
        <w:jc w:val="both"/>
        <w:rPr>
          <w:rFonts w:ascii="Arial" w:hAnsi="Arial"/>
          <w:sz w:val="26"/>
          <w:szCs w:val="26"/>
          <w:rtl/>
        </w:rPr>
      </w:pPr>
    </w:p>
    <w:p w14:paraId="001B8B9D" w14:textId="77777777" w:rsidR="004E11F2" w:rsidRDefault="004E11F2" w:rsidP="004E11F2">
      <w:pPr>
        <w:spacing w:line="360" w:lineRule="auto"/>
        <w:jc w:val="both"/>
        <w:rPr>
          <w:rFonts w:ascii="Arial" w:hAnsi="Arial"/>
          <w:sz w:val="26"/>
          <w:szCs w:val="26"/>
          <w:rtl/>
        </w:rPr>
      </w:pPr>
    </w:p>
    <w:p w14:paraId="3BC7BD1C" w14:textId="77777777" w:rsidR="004E11F2" w:rsidRDefault="004E11F2" w:rsidP="004E11F2">
      <w:pPr>
        <w:spacing w:line="360" w:lineRule="auto"/>
        <w:jc w:val="both"/>
        <w:rPr>
          <w:rFonts w:ascii="Arial" w:hAnsi="Arial"/>
          <w:sz w:val="26"/>
          <w:szCs w:val="26"/>
          <w:rtl/>
        </w:rPr>
      </w:pPr>
    </w:p>
    <w:p w14:paraId="78AEA20D" w14:textId="77777777" w:rsidR="004E11F2" w:rsidRDefault="004E11F2" w:rsidP="004E11F2">
      <w:pPr>
        <w:spacing w:line="360" w:lineRule="auto"/>
        <w:jc w:val="both"/>
        <w:rPr>
          <w:rFonts w:ascii="Arial" w:hAnsi="Arial"/>
          <w:sz w:val="26"/>
          <w:szCs w:val="26"/>
          <w:rtl/>
        </w:rPr>
      </w:pPr>
    </w:p>
    <w:p w14:paraId="5E8BD4DE" w14:textId="77777777" w:rsidR="004E11F2" w:rsidRDefault="004E11F2" w:rsidP="004E11F2">
      <w:pPr>
        <w:spacing w:line="360" w:lineRule="auto"/>
        <w:jc w:val="both"/>
        <w:rPr>
          <w:rFonts w:ascii="Arial" w:hAnsi="Arial"/>
          <w:sz w:val="26"/>
          <w:szCs w:val="26"/>
          <w:rtl/>
        </w:rPr>
      </w:pPr>
      <w:r>
        <w:rPr>
          <w:rFonts w:ascii="Arial" w:hAnsi="Arial" w:hint="cs"/>
          <w:b/>
          <w:bCs/>
          <w:sz w:val="26"/>
          <w:szCs w:val="26"/>
          <w:u w:val="single"/>
          <w:rtl/>
        </w:rPr>
        <w:t>תסקיר שירות המבחן</w:t>
      </w:r>
    </w:p>
    <w:p w14:paraId="35722423" w14:textId="77777777" w:rsidR="004E11F2" w:rsidRDefault="004E11F2" w:rsidP="004E11F2">
      <w:pPr>
        <w:spacing w:line="360" w:lineRule="auto"/>
        <w:jc w:val="both"/>
        <w:rPr>
          <w:rFonts w:ascii="Arial" w:hAnsi="Arial"/>
          <w:sz w:val="26"/>
          <w:szCs w:val="26"/>
          <w:rtl/>
        </w:rPr>
      </w:pPr>
    </w:p>
    <w:p w14:paraId="76E1243C"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19.</w:t>
      </w:r>
      <w:r>
        <w:rPr>
          <w:rFonts w:ascii="Arial" w:hAnsi="Arial" w:hint="cs"/>
          <w:sz w:val="26"/>
          <w:szCs w:val="26"/>
          <w:rtl/>
        </w:rPr>
        <w:tab/>
        <w:t xml:space="preserve">צוין שמדובר בנאשם בן 21, רווק שטרם מעצרו התגורר בבית הוריו ועבד כטייח. הוריו גרושים מזה שנתיים. הנאשם הוא הקטן מבין שלושת אחיו. הוא סבל בילדותו מאלימות מאביו שהיה מכור לסמים. מזה כ-4 שנים הוא ואחותו עובדים כדי לממן לימודי רפואה לאח הבכור שלומד בחו"ל. הנאשם עצמו סיים 11 שנות לימוד. </w:t>
      </w:r>
    </w:p>
    <w:p w14:paraId="3638039D" w14:textId="77777777" w:rsidR="004E11F2" w:rsidRDefault="004E11F2" w:rsidP="004E11F2">
      <w:pPr>
        <w:spacing w:line="360" w:lineRule="auto"/>
        <w:ind w:firstLine="720"/>
        <w:jc w:val="both"/>
        <w:rPr>
          <w:rFonts w:ascii="Arial" w:hAnsi="Arial"/>
          <w:sz w:val="26"/>
          <w:szCs w:val="26"/>
          <w:rtl/>
        </w:rPr>
      </w:pPr>
    </w:p>
    <w:p w14:paraId="1DEF7494" w14:textId="77777777" w:rsidR="004E11F2" w:rsidRDefault="004E11F2" w:rsidP="004E11F2">
      <w:pPr>
        <w:spacing w:line="360" w:lineRule="auto"/>
        <w:ind w:left="720"/>
        <w:jc w:val="both"/>
        <w:rPr>
          <w:rFonts w:ascii="Arial" w:hAnsi="Arial"/>
          <w:sz w:val="26"/>
          <w:szCs w:val="26"/>
          <w:rtl/>
        </w:rPr>
      </w:pPr>
      <w:r>
        <w:rPr>
          <w:rFonts w:ascii="Arial" w:hAnsi="Arial" w:hint="cs"/>
          <w:sz w:val="26"/>
          <w:szCs w:val="26"/>
          <w:rtl/>
        </w:rPr>
        <w:t xml:space="preserve">ביחס לעבירות צוין שהוא קיבל אחריות ברמה מילולית פורמלית בלבד כאשר טען שפעל מחוסר שיקול דעת ומבלי ששקל את השלכות המעשים וחומרתם. מגורמי הטיפול מבית הסוהר התקבל דיווח שהוא שולב בתוכניות שיקום ומשתתף מאז ספטמבר 2022 ועד היום. הוא תואר כבעל מוטיבציה גבוהה לטיפול ושינוי וגם משלים בגרויות. </w:t>
      </w:r>
    </w:p>
    <w:p w14:paraId="065823BE" w14:textId="77777777" w:rsidR="004E11F2" w:rsidRDefault="004E11F2" w:rsidP="004E11F2">
      <w:pPr>
        <w:spacing w:line="360" w:lineRule="auto"/>
        <w:ind w:left="720"/>
        <w:jc w:val="both"/>
        <w:rPr>
          <w:rFonts w:ascii="Arial" w:hAnsi="Arial"/>
          <w:sz w:val="26"/>
          <w:szCs w:val="26"/>
          <w:rtl/>
        </w:rPr>
      </w:pPr>
    </w:p>
    <w:p w14:paraId="7E5FD88E" w14:textId="77777777" w:rsidR="004E11F2" w:rsidRDefault="004E11F2" w:rsidP="004E11F2">
      <w:pPr>
        <w:spacing w:line="360" w:lineRule="auto"/>
        <w:ind w:left="720"/>
        <w:jc w:val="both"/>
        <w:rPr>
          <w:rFonts w:ascii="Arial" w:hAnsi="Arial"/>
          <w:sz w:val="26"/>
          <w:szCs w:val="26"/>
          <w:rtl/>
        </w:rPr>
      </w:pPr>
      <w:r>
        <w:rPr>
          <w:rFonts w:ascii="Arial" w:hAnsi="Arial" w:hint="cs"/>
          <w:sz w:val="26"/>
          <w:szCs w:val="26"/>
          <w:rtl/>
        </w:rPr>
        <w:t xml:space="preserve">באשר לסיכון להישנות ביצוע עבירות בעתיד, הוערך כי קיים סיכון כאמור, אך שהתערבות טיפולית במסגרת בעלת גבולות ברורים עשויה לחזק את הגבולות הפנימיים ולהפחית את הסיכון. בסופו של דבר לא הובאה  המלצה לחלופה, והומלץ על המשך טיפול במסגרת בית הסוהר. </w:t>
      </w:r>
    </w:p>
    <w:p w14:paraId="3E03CA0E" w14:textId="77777777" w:rsidR="004E11F2" w:rsidRDefault="004E11F2" w:rsidP="004E11F2">
      <w:pPr>
        <w:spacing w:line="360" w:lineRule="auto"/>
        <w:jc w:val="both"/>
        <w:rPr>
          <w:rFonts w:ascii="Arial" w:hAnsi="Arial"/>
          <w:sz w:val="26"/>
          <w:szCs w:val="26"/>
          <w:rtl/>
        </w:rPr>
      </w:pPr>
    </w:p>
    <w:p w14:paraId="326B4857" w14:textId="77777777" w:rsidR="004E11F2" w:rsidRDefault="004E11F2" w:rsidP="004E11F2">
      <w:pPr>
        <w:spacing w:line="360" w:lineRule="auto"/>
        <w:jc w:val="both"/>
        <w:rPr>
          <w:rFonts w:ascii="Arial" w:hAnsi="Arial"/>
          <w:sz w:val="26"/>
          <w:szCs w:val="26"/>
          <w:rtl/>
        </w:rPr>
      </w:pPr>
      <w:r>
        <w:rPr>
          <w:rFonts w:ascii="Arial" w:hAnsi="Arial" w:hint="cs"/>
          <w:b/>
          <w:bCs/>
          <w:sz w:val="26"/>
          <w:szCs w:val="26"/>
          <w:u w:val="single"/>
          <w:rtl/>
        </w:rPr>
        <w:t>דיון</w:t>
      </w:r>
    </w:p>
    <w:p w14:paraId="58C2EF7F" w14:textId="77777777" w:rsidR="004E11F2" w:rsidRDefault="004E11F2" w:rsidP="004E11F2">
      <w:pPr>
        <w:spacing w:line="360" w:lineRule="auto"/>
        <w:jc w:val="both"/>
        <w:rPr>
          <w:rFonts w:ascii="Arial" w:hAnsi="Arial"/>
          <w:sz w:val="26"/>
          <w:szCs w:val="26"/>
          <w:rtl/>
        </w:rPr>
      </w:pPr>
    </w:p>
    <w:p w14:paraId="496AB653"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20.</w:t>
      </w:r>
      <w:r>
        <w:rPr>
          <w:rFonts w:ascii="Arial" w:hAnsi="Arial" w:hint="cs"/>
          <w:sz w:val="26"/>
          <w:szCs w:val="26"/>
          <w:rtl/>
        </w:rPr>
        <w:tab/>
        <w:t xml:space="preserve">הנאשם עצור מיום 22.1.22. הערכים החברתיים המוגנים שנפגעו הנם שמירה על ביטחון הציבור ושלומו. היות שעסקינן בעבירות נשק, מדובר בפגיעה חמורה יחסית בערכים. </w:t>
      </w:r>
    </w:p>
    <w:p w14:paraId="1DE16A2B" w14:textId="77777777" w:rsidR="004E11F2" w:rsidRDefault="004E11F2" w:rsidP="004E11F2">
      <w:pPr>
        <w:spacing w:line="360" w:lineRule="auto"/>
        <w:jc w:val="both"/>
        <w:rPr>
          <w:rFonts w:ascii="Arial" w:hAnsi="Arial"/>
          <w:sz w:val="26"/>
          <w:szCs w:val="26"/>
          <w:rtl/>
        </w:rPr>
      </w:pPr>
    </w:p>
    <w:p w14:paraId="6BB2A931"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21.</w:t>
      </w:r>
      <w:r>
        <w:rPr>
          <w:rFonts w:ascii="Arial" w:hAnsi="Arial" w:hint="cs"/>
          <w:sz w:val="26"/>
          <w:szCs w:val="26"/>
          <w:rtl/>
        </w:rPr>
        <w:tab/>
        <w:t xml:space="preserve">נראה שמדובר באירוע בלתי מתוכנן, אולם אין בו כדי להפחית מחומרת נשיאה והחזקת נשק בלתי חוקי. הנאשם נושא באופן בלעדי באחריות בגין העבירות והיה יכול להימנע מהן. </w:t>
      </w:r>
    </w:p>
    <w:p w14:paraId="4011B822" w14:textId="77777777" w:rsidR="004E11F2" w:rsidRDefault="004E11F2" w:rsidP="004E11F2">
      <w:pPr>
        <w:spacing w:line="360" w:lineRule="auto"/>
        <w:jc w:val="both"/>
        <w:rPr>
          <w:rFonts w:ascii="Arial" w:hAnsi="Arial"/>
          <w:sz w:val="26"/>
          <w:szCs w:val="26"/>
          <w:rtl/>
        </w:rPr>
      </w:pPr>
    </w:p>
    <w:p w14:paraId="02D1C998"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22.</w:t>
      </w:r>
      <w:r>
        <w:rPr>
          <w:rFonts w:ascii="Arial" w:hAnsi="Arial" w:hint="cs"/>
          <w:sz w:val="26"/>
          <w:szCs w:val="26"/>
          <w:rtl/>
        </w:rPr>
        <w:tab/>
        <w:t xml:space="preserve">מתוך הנסיבות ועל בסיס מדיניות הענישה הנוהגת יש מקום לקבוע מתחם ענישה שבין 30 </w:t>
      </w:r>
      <w:r>
        <w:rPr>
          <w:rFonts w:ascii="Arial" w:hAnsi="Arial"/>
          <w:sz w:val="26"/>
          <w:szCs w:val="26"/>
          <w:rtl/>
        </w:rPr>
        <w:t>–</w:t>
      </w:r>
      <w:r>
        <w:rPr>
          <w:rFonts w:ascii="Arial" w:hAnsi="Arial" w:hint="cs"/>
          <w:sz w:val="26"/>
          <w:szCs w:val="26"/>
          <w:rtl/>
        </w:rPr>
        <w:t xml:space="preserve"> 48 חודשים מאסר בפועל. </w:t>
      </w:r>
    </w:p>
    <w:p w14:paraId="452F8C82" w14:textId="77777777" w:rsidR="004E11F2" w:rsidRDefault="004E11F2" w:rsidP="004E11F2">
      <w:pPr>
        <w:spacing w:line="360" w:lineRule="auto"/>
        <w:jc w:val="both"/>
        <w:rPr>
          <w:rFonts w:ascii="Arial" w:hAnsi="Arial"/>
          <w:sz w:val="26"/>
          <w:szCs w:val="26"/>
          <w:rtl/>
        </w:rPr>
      </w:pPr>
    </w:p>
    <w:p w14:paraId="4C2E2B39"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23.</w:t>
      </w:r>
      <w:r>
        <w:rPr>
          <w:rFonts w:ascii="Arial" w:hAnsi="Arial" w:hint="cs"/>
          <w:sz w:val="26"/>
          <w:szCs w:val="26"/>
          <w:rtl/>
        </w:rPr>
        <w:tab/>
        <w:t xml:space="preserve">בהתחשב בנתוניו האישיים ותהליכי השיקום אותם עובר הנאשם והודאתו המוקדמת יש מקום לפסוק ענישה ברף התחתון של המתחם. </w:t>
      </w:r>
    </w:p>
    <w:p w14:paraId="223D0BF1" w14:textId="77777777" w:rsidR="004E11F2" w:rsidRDefault="004E11F2" w:rsidP="004E11F2">
      <w:pPr>
        <w:spacing w:line="360" w:lineRule="auto"/>
        <w:jc w:val="both"/>
        <w:rPr>
          <w:rFonts w:ascii="Arial" w:hAnsi="Arial"/>
          <w:sz w:val="26"/>
          <w:szCs w:val="26"/>
          <w:rtl/>
        </w:rPr>
      </w:pPr>
    </w:p>
    <w:p w14:paraId="1AFFD50D" w14:textId="77777777" w:rsidR="004E11F2" w:rsidRDefault="004E11F2" w:rsidP="004E11F2">
      <w:pPr>
        <w:spacing w:line="360" w:lineRule="auto"/>
        <w:ind w:left="720" w:hanging="720"/>
        <w:jc w:val="both"/>
        <w:rPr>
          <w:rFonts w:ascii="Arial" w:hAnsi="Arial"/>
          <w:sz w:val="26"/>
          <w:szCs w:val="26"/>
          <w:rtl/>
        </w:rPr>
      </w:pPr>
      <w:r>
        <w:rPr>
          <w:rFonts w:ascii="Arial" w:hAnsi="Arial" w:hint="cs"/>
          <w:sz w:val="26"/>
          <w:szCs w:val="26"/>
          <w:rtl/>
        </w:rPr>
        <w:t>24.</w:t>
      </w:r>
      <w:r>
        <w:rPr>
          <w:rFonts w:ascii="Arial" w:hAnsi="Arial" w:hint="cs"/>
          <w:sz w:val="26"/>
          <w:szCs w:val="26"/>
          <w:rtl/>
        </w:rPr>
        <w:tab/>
        <w:t>אשר על כן, אני מטיל עונשים כדלקמן:</w:t>
      </w:r>
    </w:p>
    <w:p w14:paraId="639D058C" w14:textId="77777777" w:rsidR="004E11F2" w:rsidRDefault="004E11F2" w:rsidP="004E11F2">
      <w:pPr>
        <w:spacing w:line="360" w:lineRule="auto"/>
        <w:jc w:val="both"/>
        <w:rPr>
          <w:rFonts w:ascii="Arial" w:hAnsi="Arial"/>
          <w:sz w:val="26"/>
          <w:szCs w:val="26"/>
          <w:rtl/>
        </w:rPr>
      </w:pPr>
    </w:p>
    <w:p w14:paraId="19EAC40C" w14:textId="77777777" w:rsidR="004E11F2" w:rsidRPr="00A77147" w:rsidRDefault="004E11F2" w:rsidP="004E11F2">
      <w:pPr>
        <w:pStyle w:val="a9"/>
        <w:numPr>
          <w:ilvl w:val="0"/>
          <w:numId w:val="1"/>
        </w:numPr>
        <w:spacing w:line="360" w:lineRule="auto"/>
        <w:jc w:val="both"/>
        <w:rPr>
          <w:rFonts w:ascii="Arial" w:hAnsi="Arial"/>
          <w:sz w:val="26"/>
          <w:szCs w:val="26"/>
          <w:rtl/>
        </w:rPr>
      </w:pPr>
      <w:r w:rsidRPr="00A77147">
        <w:rPr>
          <w:rFonts w:ascii="Arial" w:hAnsi="Arial" w:hint="cs"/>
          <w:sz w:val="26"/>
          <w:szCs w:val="26"/>
          <w:rtl/>
        </w:rPr>
        <w:t>33 חודשי מאסר בפועל, שמתקופה זו תנוכה תקופת מעצרו;</w:t>
      </w:r>
    </w:p>
    <w:p w14:paraId="5E6FC152" w14:textId="77777777" w:rsidR="004E11F2" w:rsidRPr="00A77147" w:rsidRDefault="004E11F2" w:rsidP="004E11F2">
      <w:pPr>
        <w:pStyle w:val="a9"/>
        <w:numPr>
          <w:ilvl w:val="0"/>
          <w:numId w:val="1"/>
        </w:numPr>
        <w:spacing w:line="360" w:lineRule="auto"/>
        <w:jc w:val="both"/>
        <w:rPr>
          <w:rFonts w:ascii="Arial" w:hAnsi="Arial"/>
          <w:sz w:val="26"/>
          <w:szCs w:val="26"/>
          <w:rtl/>
        </w:rPr>
      </w:pPr>
      <w:r w:rsidRPr="00A77147">
        <w:rPr>
          <w:rFonts w:ascii="Arial" w:hAnsi="Arial" w:hint="cs"/>
          <w:sz w:val="26"/>
          <w:szCs w:val="26"/>
          <w:rtl/>
        </w:rPr>
        <w:t>12 חודשי מאסר על תנאי למשך 3 שנים,</w:t>
      </w:r>
      <w:r>
        <w:rPr>
          <w:rFonts w:ascii="Arial" w:hAnsi="Arial" w:hint="cs"/>
          <w:sz w:val="26"/>
          <w:szCs w:val="26"/>
          <w:rtl/>
        </w:rPr>
        <w:t xml:space="preserve"> כאשר התנאי יופעל במידה והנאשם י</w:t>
      </w:r>
      <w:r w:rsidRPr="00A77147">
        <w:rPr>
          <w:rFonts w:ascii="Arial" w:hAnsi="Arial" w:hint="cs"/>
          <w:sz w:val="26"/>
          <w:szCs w:val="26"/>
          <w:rtl/>
        </w:rPr>
        <w:t>בצע עבירות נשק או אלימות מסוג פשע;</w:t>
      </w:r>
    </w:p>
    <w:p w14:paraId="00585324" w14:textId="77777777" w:rsidR="004E11F2" w:rsidRPr="00F74032" w:rsidRDefault="004E11F2" w:rsidP="004E11F2">
      <w:pPr>
        <w:pStyle w:val="a9"/>
        <w:numPr>
          <w:ilvl w:val="0"/>
          <w:numId w:val="1"/>
        </w:numPr>
        <w:spacing w:line="360" w:lineRule="auto"/>
        <w:jc w:val="both"/>
        <w:rPr>
          <w:rFonts w:ascii="Arial" w:hAnsi="Arial"/>
          <w:sz w:val="26"/>
          <w:szCs w:val="26"/>
          <w:rtl/>
        </w:rPr>
      </w:pPr>
      <w:r w:rsidRPr="00F74032">
        <w:rPr>
          <w:rFonts w:ascii="Arial" w:hAnsi="Arial" w:hint="cs"/>
          <w:sz w:val="26"/>
          <w:szCs w:val="26"/>
          <w:rtl/>
        </w:rPr>
        <w:t>קנס בסך 5,000 ₪ לתשלום עד ליום 1.7.23.</w:t>
      </w:r>
    </w:p>
    <w:p w14:paraId="577A3237" w14:textId="77777777" w:rsidR="004E11F2" w:rsidRDefault="004E11F2" w:rsidP="004E11F2">
      <w:pPr>
        <w:spacing w:line="360" w:lineRule="auto"/>
        <w:jc w:val="both"/>
        <w:rPr>
          <w:rFonts w:ascii="Arial" w:hAnsi="Arial"/>
          <w:sz w:val="26"/>
          <w:szCs w:val="26"/>
          <w:rtl/>
        </w:rPr>
      </w:pPr>
    </w:p>
    <w:p w14:paraId="05E55348" w14:textId="77777777" w:rsidR="004E11F2" w:rsidRDefault="009C7198" w:rsidP="004E11F2">
      <w:pPr>
        <w:spacing w:line="360" w:lineRule="auto"/>
        <w:jc w:val="both"/>
        <w:rPr>
          <w:rFonts w:ascii="Arial" w:hAnsi="Arial"/>
          <w:sz w:val="26"/>
          <w:szCs w:val="26"/>
          <w:rtl/>
        </w:rPr>
      </w:pPr>
      <w:r w:rsidRPr="009C7198">
        <w:rPr>
          <w:rFonts w:ascii="Arial" w:hAnsi="Arial"/>
          <w:b/>
          <w:bCs/>
          <w:color w:val="FFFFFF"/>
          <w:sz w:val="2"/>
          <w:szCs w:val="2"/>
          <w:u w:val="single"/>
          <w:rtl/>
        </w:rPr>
        <w:t>5129371</w:t>
      </w:r>
      <w:r w:rsidR="004E11F2">
        <w:rPr>
          <w:rFonts w:ascii="Arial" w:hAnsi="Arial" w:hint="cs"/>
          <w:b/>
          <w:bCs/>
          <w:sz w:val="26"/>
          <w:szCs w:val="26"/>
          <w:u w:val="single"/>
          <w:rtl/>
        </w:rPr>
        <w:t>זכות ערעור תוך 45 יום</w:t>
      </w:r>
    </w:p>
    <w:p w14:paraId="49B8B737" w14:textId="77777777" w:rsidR="004E11F2" w:rsidRPr="009C7198" w:rsidRDefault="009C7198" w:rsidP="004E11F2">
      <w:pPr>
        <w:spacing w:line="360" w:lineRule="auto"/>
        <w:jc w:val="both"/>
        <w:rPr>
          <w:rFonts w:ascii="Arial" w:hAnsi="Arial"/>
          <w:color w:val="FFFFFF"/>
          <w:sz w:val="2"/>
          <w:szCs w:val="2"/>
          <w:rtl/>
        </w:rPr>
      </w:pPr>
      <w:r w:rsidRPr="009C7198">
        <w:rPr>
          <w:rFonts w:ascii="Arial" w:hAnsi="Arial"/>
          <w:color w:val="FFFFFF"/>
          <w:sz w:val="2"/>
          <w:szCs w:val="2"/>
          <w:rtl/>
        </w:rPr>
        <w:t>54678313</w:t>
      </w:r>
    </w:p>
    <w:p w14:paraId="4E598C73" w14:textId="77777777" w:rsidR="004E11F2" w:rsidRPr="000F2247" w:rsidRDefault="004E11F2" w:rsidP="004E11F2">
      <w:pPr>
        <w:rPr>
          <w:rFonts w:ascii="Arial" w:hAnsi="Arial"/>
          <w:b/>
          <w:bCs/>
          <w:sz w:val="26"/>
          <w:szCs w:val="26"/>
          <w:rtl/>
        </w:rPr>
      </w:pPr>
    </w:p>
    <w:p w14:paraId="5C6DFEF4" w14:textId="77777777" w:rsidR="004E11F2" w:rsidRPr="000F2247" w:rsidRDefault="009C7198" w:rsidP="004E11F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אדר תשפ"ג, 20 מרץ 2023, בהעדר הצדדים. </w:t>
      </w:r>
      <w:bookmarkEnd w:id="8"/>
      <w:r w:rsidR="004E11F2">
        <w:rPr>
          <w:rFonts w:ascii="Arial" w:hAnsi="Arial"/>
          <w:b/>
          <w:bCs/>
          <w:sz w:val="26"/>
          <w:szCs w:val="26"/>
          <w:rtl/>
        </w:rPr>
        <w:tab/>
      </w:r>
      <w:r w:rsidR="004E11F2">
        <w:rPr>
          <w:rFonts w:ascii="Arial" w:hAnsi="Arial"/>
          <w:b/>
          <w:bCs/>
          <w:sz w:val="26"/>
          <w:szCs w:val="26"/>
          <w:rtl/>
        </w:rPr>
        <w:tab/>
      </w:r>
      <w:r w:rsidR="004E11F2">
        <w:rPr>
          <w:rFonts w:ascii="Arial" w:hAnsi="Arial"/>
          <w:b/>
          <w:bCs/>
          <w:sz w:val="26"/>
          <w:szCs w:val="26"/>
          <w:rtl/>
        </w:rPr>
        <w:tab/>
      </w:r>
      <w:r w:rsidR="004E11F2">
        <w:rPr>
          <w:rFonts w:ascii="Arial" w:hAnsi="Arial"/>
          <w:b/>
          <w:bCs/>
          <w:sz w:val="26"/>
          <w:szCs w:val="26"/>
          <w:rtl/>
        </w:rPr>
        <w:tab/>
      </w:r>
      <w:r w:rsidR="004E11F2">
        <w:rPr>
          <w:rFonts w:ascii="Arial" w:hAnsi="Arial"/>
          <w:b/>
          <w:bCs/>
          <w:sz w:val="26"/>
          <w:szCs w:val="26"/>
          <w:rtl/>
        </w:rPr>
        <w:tab/>
      </w:r>
      <w:r w:rsidR="004E11F2">
        <w:rPr>
          <w:rFonts w:ascii="Arial" w:hAnsi="Arial"/>
          <w:b/>
          <w:bCs/>
          <w:sz w:val="26"/>
          <w:szCs w:val="26"/>
          <w:rtl/>
        </w:rPr>
        <w:tab/>
      </w:r>
      <w:r w:rsidR="004E11F2">
        <w:rPr>
          <w:rFonts w:ascii="Arial" w:hAnsi="Arial"/>
          <w:b/>
          <w:bCs/>
          <w:sz w:val="26"/>
          <w:szCs w:val="26"/>
          <w:rtl/>
        </w:rPr>
        <w:tab/>
      </w:r>
      <w:r w:rsidR="004E11F2">
        <w:rPr>
          <w:rFonts w:ascii="Arial" w:hAnsi="Arial" w:hint="cs"/>
          <w:b/>
          <w:bCs/>
          <w:sz w:val="26"/>
          <w:szCs w:val="26"/>
          <w:rtl/>
        </w:rPr>
        <w:t xml:space="preserve">         </w:t>
      </w:r>
    </w:p>
    <w:p w14:paraId="02DAB50E" w14:textId="77777777" w:rsidR="004E11F2" w:rsidRPr="000F2247" w:rsidRDefault="004E11F2" w:rsidP="009C7198">
      <w:pPr>
        <w:jc w:val="right"/>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B608878" w14:textId="77777777" w:rsidR="004E11F2" w:rsidRPr="000F2247" w:rsidRDefault="004E11F2" w:rsidP="004E11F2">
      <w:pPr>
        <w:jc w:val="center"/>
        <w:rPr>
          <w:rFonts w:ascii="Arial" w:hAnsi="Arial"/>
          <w:b/>
          <w:bCs/>
          <w:sz w:val="26"/>
          <w:szCs w:val="26"/>
          <w:rtl/>
        </w:rPr>
      </w:pPr>
    </w:p>
    <w:p w14:paraId="616027C7" w14:textId="77777777" w:rsidR="0007439F" w:rsidRPr="009C7198" w:rsidRDefault="0007439F" w:rsidP="009C7198">
      <w:pPr>
        <w:keepNext/>
        <w:rPr>
          <w:rFonts w:ascii="David" w:hAnsi="David"/>
          <w:color w:val="000000"/>
          <w:sz w:val="22"/>
          <w:szCs w:val="22"/>
          <w:rtl/>
        </w:rPr>
      </w:pPr>
    </w:p>
    <w:p w14:paraId="40E2F960" w14:textId="77777777" w:rsidR="009C7198" w:rsidRPr="009C7198" w:rsidRDefault="009C7198" w:rsidP="009C7198">
      <w:pPr>
        <w:keepNext/>
        <w:rPr>
          <w:rFonts w:ascii="David" w:hAnsi="David"/>
          <w:color w:val="000000"/>
          <w:sz w:val="22"/>
          <w:szCs w:val="22"/>
          <w:rtl/>
        </w:rPr>
      </w:pPr>
      <w:r w:rsidRPr="009C7198">
        <w:rPr>
          <w:rFonts w:ascii="David" w:hAnsi="David"/>
          <w:color w:val="000000"/>
          <w:sz w:val="22"/>
          <w:szCs w:val="22"/>
          <w:rtl/>
        </w:rPr>
        <w:t>דניאל פיש 54678313</w:t>
      </w:r>
    </w:p>
    <w:p w14:paraId="5E85A9EC" w14:textId="77777777" w:rsidR="009C7198" w:rsidRDefault="009C7198" w:rsidP="009C7198">
      <w:r w:rsidRPr="009C7198">
        <w:rPr>
          <w:color w:val="000000"/>
          <w:rtl/>
        </w:rPr>
        <w:t>נוסח מסמך זה כפוף לשינויי ניסוח ועריכה</w:t>
      </w:r>
    </w:p>
    <w:p w14:paraId="48D4989A" w14:textId="77777777" w:rsidR="009C7198" w:rsidRDefault="009C7198" w:rsidP="009C7198">
      <w:pPr>
        <w:rPr>
          <w:rtl/>
        </w:rPr>
      </w:pPr>
    </w:p>
    <w:p w14:paraId="1EEF2BEE" w14:textId="77777777" w:rsidR="009C7198" w:rsidRDefault="009C7198" w:rsidP="009C719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58751716" w14:textId="77777777" w:rsidR="009C7198" w:rsidRPr="009C7198" w:rsidRDefault="009C7198" w:rsidP="009C7198">
      <w:pPr>
        <w:jc w:val="center"/>
        <w:rPr>
          <w:color w:val="0000FF"/>
          <w:u w:val="single"/>
        </w:rPr>
      </w:pPr>
    </w:p>
    <w:sectPr w:rsidR="009C7198" w:rsidRPr="009C7198" w:rsidSect="009C719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B197" w14:textId="77777777" w:rsidR="00C04C4D" w:rsidRDefault="00C04C4D" w:rsidP="00E03E41">
      <w:r>
        <w:separator/>
      </w:r>
    </w:p>
  </w:endnote>
  <w:endnote w:type="continuationSeparator" w:id="0">
    <w:p w14:paraId="7B1D9ECD" w14:textId="77777777" w:rsidR="00C04C4D" w:rsidRDefault="00C04C4D" w:rsidP="00E0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03324" w14:textId="77777777" w:rsidR="009C7198" w:rsidRDefault="009C7198" w:rsidP="009C71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26CBD5" w14:textId="77777777" w:rsidR="00C9552A" w:rsidRPr="009C7198" w:rsidRDefault="009C7198" w:rsidP="009C71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41ED3" w14:textId="77777777" w:rsidR="009C7198" w:rsidRDefault="009C7198" w:rsidP="009C71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6F01">
      <w:rPr>
        <w:rFonts w:ascii="FrankRuehl" w:hAnsi="FrankRuehl" w:cs="FrankRuehl"/>
        <w:noProof/>
        <w:rtl/>
      </w:rPr>
      <w:t>1</w:t>
    </w:r>
    <w:r>
      <w:rPr>
        <w:rFonts w:ascii="FrankRuehl" w:hAnsi="FrankRuehl" w:cs="FrankRuehl"/>
        <w:rtl/>
      </w:rPr>
      <w:fldChar w:fldCharType="end"/>
    </w:r>
  </w:p>
  <w:p w14:paraId="7FCF5127" w14:textId="77777777" w:rsidR="00C9552A" w:rsidRPr="009C7198" w:rsidRDefault="009C7198" w:rsidP="009C71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D6B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AB127" w14:textId="77777777" w:rsidR="00C04C4D" w:rsidRDefault="00C04C4D" w:rsidP="00E03E41">
      <w:r>
        <w:separator/>
      </w:r>
    </w:p>
  </w:footnote>
  <w:footnote w:type="continuationSeparator" w:id="0">
    <w:p w14:paraId="08E0FA6B" w14:textId="77777777" w:rsidR="00C04C4D" w:rsidRDefault="00C04C4D" w:rsidP="00E0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7307E" w14:textId="77777777" w:rsidR="009C7198" w:rsidRPr="009C7198" w:rsidRDefault="009C7198" w:rsidP="009C71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16753-02-22</w:t>
    </w:r>
    <w:r>
      <w:rPr>
        <w:rFonts w:ascii="David" w:hAnsi="David"/>
        <w:color w:val="000000"/>
        <w:sz w:val="22"/>
        <w:szCs w:val="22"/>
        <w:rtl/>
      </w:rPr>
      <w:tab/>
      <w:t xml:space="preserve"> מדינת ישראל נ' אשרף ח'לאילה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9437" w14:textId="77777777" w:rsidR="009C7198" w:rsidRPr="009C7198" w:rsidRDefault="009C7198" w:rsidP="009C71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16753-02-22</w:t>
    </w:r>
    <w:r>
      <w:rPr>
        <w:rFonts w:ascii="David" w:hAnsi="David"/>
        <w:color w:val="000000"/>
        <w:sz w:val="22"/>
        <w:szCs w:val="22"/>
        <w:rtl/>
      </w:rPr>
      <w:tab/>
      <w:t xml:space="preserve"> מדינת ישראל נ' אשרף ח'לאילה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02D64"/>
    <w:multiLevelType w:val="hybridMultilevel"/>
    <w:tmpl w:val="14B4A2FC"/>
    <w:lvl w:ilvl="0" w:tplc="E7822252">
      <w:start w:val="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951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11F2"/>
    <w:rsid w:val="0007439F"/>
    <w:rsid w:val="004E11F2"/>
    <w:rsid w:val="00500128"/>
    <w:rsid w:val="00636F01"/>
    <w:rsid w:val="00851E8B"/>
    <w:rsid w:val="008D2B83"/>
    <w:rsid w:val="0095775D"/>
    <w:rsid w:val="009A4E4C"/>
    <w:rsid w:val="009C6F04"/>
    <w:rsid w:val="009C7198"/>
    <w:rsid w:val="00B53430"/>
    <w:rsid w:val="00C04C4D"/>
    <w:rsid w:val="00C9552A"/>
    <w:rsid w:val="00DE3755"/>
    <w:rsid w:val="00E03E41"/>
    <w:rsid w:val="00F27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44724E"/>
  <w15:chartTrackingRefBased/>
  <w15:docId w15:val="{1849F1C1-A4AC-485B-AEFA-056C2F00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11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11F2"/>
    <w:pPr>
      <w:tabs>
        <w:tab w:val="center" w:pos="4153"/>
        <w:tab w:val="right" w:pos="8306"/>
      </w:tabs>
    </w:pPr>
  </w:style>
  <w:style w:type="character" w:customStyle="1" w:styleId="a4">
    <w:name w:val="כותרת עליונה תו"/>
    <w:link w:val="a3"/>
    <w:rsid w:val="004E11F2"/>
    <w:rPr>
      <w:rFonts w:ascii="Times New Roman" w:eastAsia="Times New Roman" w:hAnsi="Times New Roman" w:cs="David"/>
      <w:sz w:val="24"/>
      <w:szCs w:val="24"/>
    </w:rPr>
  </w:style>
  <w:style w:type="paragraph" w:styleId="a5">
    <w:name w:val="footer"/>
    <w:basedOn w:val="a"/>
    <w:link w:val="a6"/>
    <w:rsid w:val="004E11F2"/>
    <w:pPr>
      <w:tabs>
        <w:tab w:val="center" w:pos="4153"/>
        <w:tab w:val="right" w:pos="8306"/>
      </w:tabs>
    </w:pPr>
  </w:style>
  <w:style w:type="character" w:customStyle="1" w:styleId="a6">
    <w:name w:val="כותרת תחתונה תו"/>
    <w:link w:val="a5"/>
    <w:rsid w:val="004E11F2"/>
    <w:rPr>
      <w:rFonts w:ascii="Times New Roman" w:eastAsia="Times New Roman" w:hAnsi="Times New Roman" w:cs="David"/>
      <w:sz w:val="24"/>
      <w:szCs w:val="24"/>
    </w:rPr>
  </w:style>
  <w:style w:type="table" w:styleId="a7">
    <w:name w:val="Table Grid"/>
    <w:basedOn w:val="a1"/>
    <w:rsid w:val="004E11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11F2"/>
  </w:style>
  <w:style w:type="character" w:customStyle="1" w:styleId="TimesNewRomanTimesNewRoman">
    <w:name w:val="סגנון (לטיני) Times New Roman (עברית ושפות אחרות) Times New Roman..."/>
    <w:rsid w:val="004E11F2"/>
    <w:rPr>
      <w:rFonts w:ascii="Times New Roman" w:hAnsi="Times New Roman" w:cs="David" w:hint="default"/>
      <w:b/>
      <w:bCs/>
      <w:sz w:val="26"/>
      <w:szCs w:val="26"/>
    </w:rPr>
  </w:style>
  <w:style w:type="paragraph" w:customStyle="1" w:styleId="12">
    <w:name w:val="רגיל + ‏12 נק'"/>
    <w:aliases w:val="מיושר לשני הצדדים,מרווח בין שורות:  שורה וחצי"/>
    <w:basedOn w:val="a"/>
    <w:rsid w:val="004E11F2"/>
    <w:rPr>
      <w:b/>
      <w:bCs/>
      <w:u w:val="single"/>
    </w:rPr>
  </w:style>
  <w:style w:type="paragraph" w:styleId="a9">
    <w:name w:val="List Paragraph"/>
    <w:basedOn w:val="a"/>
    <w:qFormat/>
    <w:rsid w:val="004E11F2"/>
    <w:pPr>
      <w:ind w:left="720"/>
      <w:contextualSpacing/>
    </w:pPr>
  </w:style>
  <w:style w:type="character" w:styleId="Hyperlink">
    <w:name w:val="Hyperlink"/>
    <w:rsid w:val="009C7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5227/10.a" TargetMode="External"/><Relationship Id="rId39" Type="http://schemas.openxmlformats.org/officeDocument/2006/relationships/hyperlink" Target="http://www.nevo.co.il/case/28181803"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2888308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2.2" TargetMode="External"/><Relationship Id="rId29" Type="http://schemas.openxmlformats.org/officeDocument/2006/relationships/hyperlink" Target="http://www.nevo.co.il/law/74501/2.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law/5227/62.2" TargetMode="External"/><Relationship Id="rId32" Type="http://schemas.openxmlformats.org/officeDocument/2006/relationships/hyperlink" Target="http://www.nevo.co.il/case/21771409"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818508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5227/62.1"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5227/38.1" TargetMode="External"/><Relationship Id="rId36" Type="http://schemas.openxmlformats.org/officeDocument/2006/relationships/hyperlink" Target="http://www.nevo.co.il/case/28513828" TargetMode="External"/><Relationship Id="rId10" Type="http://schemas.openxmlformats.org/officeDocument/2006/relationships/hyperlink" Target="http://www.nevo.co.il/law/70301/192" TargetMode="External"/><Relationship Id="rId19" Type="http://schemas.openxmlformats.org/officeDocument/2006/relationships/hyperlink" Target="http://www.nevo.co.il/law/74501/2.b" TargetMode="External"/><Relationship Id="rId31" Type="http://schemas.openxmlformats.org/officeDocument/2006/relationships/hyperlink" Target="http://www.nevo.co.il/law/70301/19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5227/38.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5227/62.1" TargetMode="External"/><Relationship Id="rId30" Type="http://schemas.openxmlformats.org/officeDocument/2006/relationships/hyperlink" Target="http://www.nevo.co.il/law/74501/2.b" TargetMode="External"/><Relationship Id="rId35" Type="http://schemas.openxmlformats.org/officeDocument/2006/relationships/hyperlink" Target="http://www.nevo.co.il/case/27911655" TargetMode="External"/><Relationship Id="rId43"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4501" TargetMode="External"/><Relationship Id="rId25" Type="http://schemas.openxmlformats.org/officeDocument/2006/relationships/hyperlink" Target="http://www.nevo.co.il/law/5227" TargetMode="External"/><Relationship Id="rId33" Type="http://schemas.openxmlformats.org/officeDocument/2006/relationships/hyperlink" Target="http://www.nevo.co.il/case/21771409" TargetMode="External"/><Relationship Id="rId38" Type="http://schemas.openxmlformats.org/officeDocument/2006/relationships/hyperlink" Target="http://www.nevo.co.il/case/28682335" TargetMode="External"/><Relationship Id="rId46" Type="http://schemas.openxmlformats.org/officeDocument/2006/relationships/fontTable" Target="fontTable.xml"/><Relationship Id="rId20" Type="http://schemas.openxmlformats.org/officeDocument/2006/relationships/hyperlink" Target="http://www.nevo.co.il/law/70301/144.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1483</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8886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4063348</vt:i4>
      </vt:variant>
      <vt:variant>
        <vt:i4>99</vt:i4>
      </vt:variant>
      <vt:variant>
        <vt:i4>0</vt:i4>
      </vt:variant>
      <vt:variant>
        <vt:i4>5</vt:i4>
      </vt:variant>
      <vt:variant>
        <vt:lpwstr>http://www.nevo.co.il/case/28185086</vt:lpwstr>
      </vt:variant>
      <vt:variant>
        <vt:lpwstr/>
      </vt:variant>
      <vt:variant>
        <vt:i4>3276924</vt:i4>
      </vt:variant>
      <vt:variant>
        <vt:i4>96</vt:i4>
      </vt:variant>
      <vt:variant>
        <vt:i4>0</vt:i4>
      </vt:variant>
      <vt:variant>
        <vt:i4>5</vt:i4>
      </vt:variant>
      <vt:variant>
        <vt:lpwstr>http://www.nevo.co.il/case/28181803</vt:lpwstr>
      </vt:variant>
      <vt:variant>
        <vt:lpwstr/>
      </vt:variant>
      <vt:variant>
        <vt:i4>3473527</vt:i4>
      </vt:variant>
      <vt:variant>
        <vt:i4>93</vt:i4>
      </vt:variant>
      <vt:variant>
        <vt:i4>0</vt:i4>
      </vt:variant>
      <vt:variant>
        <vt:i4>5</vt:i4>
      </vt:variant>
      <vt:variant>
        <vt:lpwstr>http://www.nevo.co.il/case/28682335</vt:lpwstr>
      </vt:variant>
      <vt:variant>
        <vt:lpwstr/>
      </vt:variant>
      <vt:variant>
        <vt:i4>7995492</vt:i4>
      </vt:variant>
      <vt:variant>
        <vt:i4>90</vt:i4>
      </vt:variant>
      <vt:variant>
        <vt:i4>0</vt:i4>
      </vt:variant>
      <vt:variant>
        <vt:i4>5</vt:i4>
      </vt:variant>
      <vt:variant>
        <vt:lpwstr>http://www.nevo.co.il/law/70301</vt:lpwstr>
      </vt:variant>
      <vt:variant>
        <vt:lpwstr/>
      </vt:variant>
      <vt:variant>
        <vt:i4>3539061</vt:i4>
      </vt:variant>
      <vt:variant>
        <vt:i4>87</vt:i4>
      </vt:variant>
      <vt:variant>
        <vt:i4>0</vt:i4>
      </vt:variant>
      <vt:variant>
        <vt:i4>5</vt:i4>
      </vt:variant>
      <vt:variant>
        <vt:lpwstr>http://www.nevo.co.il/case/28513828</vt:lpwstr>
      </vt:variant>
      <vt:variant>
        <vt:lpwstr/>
      </vt:variant>
      <vt:variant>
        <vt:i4>4128884</vt:i4>
      </vt:variant>
      <vt:variant>
        <vt:i4>84</vt:i4>
      </vt:variant>
      <vt:variant>
        <vt:i4>0</vt:i4>
      </vt:variant>
      <vt:variant>
        <vt:i4>5</vt:i4>
      </vt:variant>
      <vt:variant>
        <vt:lpwstr>http://www.nevo.co.il/case/27911655</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3407990</vt:i4>
      </vt:variant>
      <vt:variant>
        <vt:i4>78</vt:i4>
      </vt:variant>
      <vt:variant>
        <vt:i4>0</vt:i4>
      </vt:variant>
      <vt:variant>
        <vt:i4>5</vt:i4>
      </vt:variant>
      <vt:variant>
        <vt:lpwstr>http://www.nevo.co.il/case/21771409</vt:lpwstr>
      </vt:variant>
      <vt:variant>
        <vt:lpwstr/>
      </vt:variant>
      <vt:variant>
        <vt:i4>3407990</vt:i4>
      </vt:variant>
      <vt:variant>
        <vt:i4>75</vt:i4>
      </vt:variant>
      <vt:variant>
        <vt:i4>0</vt:i4>
      </vt:variant>
      <vt:variant>
        <vt:i4>5</vt:i4>
      </vt:variant>
      <vt:variant>
        <vt:lpwstr>http://www.nevo.co.il/case/21771409</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8323169</vt:i4>
      </vt:variant>
      <vt:variant>
        <vt:i4>69</vt:i4>
      </vt:variant>
      <vt:variant>
        <vt:i4>0</vt:i4>
      </vt:variant>
      <vt:variant>
        <vt:i4>5</vt:i4>
      </vt:variant>
      <vt:variant>
        <vt:lpwstr>http://www.nevo.co.il/law/74501/2.b</vt:lpwstr>
      </vt:variant>
      <vt:variant>
        <vt:lpwstr/>
      </vt:variant>
      <vt:variant>
        <vt:i4>8323169</vt:i4>
      </vt:variant>
      <vt:variant>
        <vt:i4>66</vt:i4>
      </vt:variant>
      <vt:variant>
        <vt:i4>0</vt:i4>
      </vt:variant>
      <vt:variant>
        <vt:i4>5</vt:i4>
      </vt:variant>
      <vt:variant>
        <vt:lpwstr>http://www.nevo.co.il/law/74501/2.a</vt:lpwstr>
      </vt:variant>
      <vt:variant>
        <vt:lpwstr/>
      </vt:variant>
      <vt:variant>
        <vt:i4>6422640</vt:i4>
      </vt:variant>
      <vt:variant>
        <vt:i4>63</vt:i4>
      </vt:variant>
      <vt:variant>
        <vt:i4>0</vt:i4>
      </vt:variant>
      <vt:variant>
        <vt:i4>5</vt:i4>
      </vt:variant>
      <vt:variant>
        <vt:lpwstr>http://www.nevo.co.il/law/5227/38.1</vt:lpwstr>
      </vt:variant>
      <vt:variant>
        <vt:lpwstr/>
      </vt:variant>
      <vt:variant>
        <vt:i4>6750330</vt:i4>
      </vt:variant>
      <vt:variant>
        <vt:i4>60</vt:i4>
      </vt:variant>
      <vt:variant>
        <vt:i4>0</vt:i4>
      </vt:variant>
      <vt:variant>
        <vt:i4>5</vt:i4>
      </vt:variant>
      <vt:variant>
        <vt:lpwstr>http://www.nevo.co.il/law/5227/62.1</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8323169</vt:i4>
      </vt:variant>
      <vt:variant>
        <vt:i4>36</vt:i4>
      </vt:variant>
      <vt:variant>
        <vt:i4>0</vt:i4>
      </vt:variant>
      <vt:variant>
        <vt:i4>5</vt:i4>
      </vt:variant>
      <vt:variant>
        <vt:lpwstr>http://www.nevo.co.il/law/74501/2.b</vt:lpwstr>
      </vt:variant>
      <vt:variant>
        <vt:lpwstr/>
      </vt:variant>
      <vt:variant>
        <vt:i4>8323169</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6750330</vt:i4>
      </vt:variant>
      <vt:variant>
        <vt:i4>27</vt:i4>
      </vt:variant>
      <vt:variant>
        <vt:i4>0</vt:i4>
      </vt:variant>
      <vt:variant>
        <vt:i4>5</vt:i4>
      </vt:variant>
      <vt:variant>
        <vt:lpwstr>http://www.nevo.co.il/law/5227/62.2</vt:lpwstr>
      </vt:variant>
      <vt:variant>
        <vt:lpwstr/>
      </vt:variant>
      <vt:variant>
        <vt:i4>6750330</vt:i4>
      </vt:variant>
      <vt:variant>
        <vt:i4>24</vt:i4>
      </vt:variant>
      <vt:variant>
        <vt:i4>0</vt:i4>
      </vt:variant>
      <vt:variant>
        <vt:i4>5</vt:i4>
      </vt:variant>
      <vt:variant>
        <vt:lpwstr>http://www.nevo.co.il/law/5227/62.1</vt:lpwstr>
      </vt:variant>
      <vt:variant>
        <vt:lpwstr/>
      </vt:variant>
      <vt:variant>
        <vt:i4>6422640</vt:i4>
      </vt:variant>
      <vt:variant>
        <vt:i4>21</vt:i4>
      </vt:variant>
      <vt:variant>
        <vt:i4>0</vt:i4>
      </vt:variant>
      <vt:variant>
        <vt:i4>5</vt:i4>
      </vt:variant>
      <vt:variant>
        <vt:lpwstr>http://www.nevo.co.il/law/5227/38.1</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16753</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אשרף ח'לאילה</vt:lpwstr>
  </property>
  <property fmtid="{D5CDD505-2E9C-101B-9397-08002B2CF9AE}" pid="10" name="LAWYER">
    <vt:lpwstr>רונית סופר;חוסין מנאע</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20230320</vt:lpwstr>
  </property>
  <property fmtid="{D5CDD505-2E9C-101B-9397-08002B2CF9AE}" pid="14" name="TYPE_N_DATE">
    <vt:lpwstr>39020230320</vt:lpwstr>
  </property>
  <property fmtid="{D5CDD505-2E9C-101B-9397-08002B2CF9AE}" pid="15" name="WORDNUMPAGES">
    <vt:lpwstr>6</vt:lpwstr>
  </property>
  <property fmtid="{D5CDD505-2E9C-101B-9397-08002B2CF9AE}" pid="16" name="TYPE_ABS_DATE">
    <vt:lpwstr>390020230320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21771409:2;28883087;27911655;28513828;28682335;28181803;28185086</vt:lpwstr>
  </property>
  <property fmtid="{D5CDD505-2E9C-101B-9397-08002B2CF9AE}" pid="36" name="LAWLISTTMP1">
    <vt:lpwstr>70301/144.a;144.b;275;192</vt:lpwstr>
  </property>
  <property fmtid="{D5CDD505-2E9C-101B-9397-08002B2CF9AE}" pid="37" name="LAWLISTTMP2">
    <vt:lpwstr>5227/062.2;010.a;062.1;038.1</vt:lpwstr>
  </property>
  <property fmtid="{D5CDD505-2E9C-101B-9397-08002B2CF9AE}" pid="38" name="LAWLISTTMP3">
    <vt:lpwstr>74501/002.a;002.b</vt:lpwstr>
  </property>
</Properties>
</file>