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AC43A3" w:rsidRPr="005A698A" w14:paraId="35A23C11" w14:textId="77777777" w:rsidTr="00164247">
        <w:trPr>
          <w:trHeight w:hRule="exact" w:val="418"/>
          <w:jc w:val="center"/>
        </w:trPr>
        <w:tc>
          <w:tcPr>
            <w:tcW w:w="8721" w:type="dxa"/>
            <w:gridSpan w:val="2"/>
          </w:tcPr>
          <w:p w14:paraId="7FE2AA0A" w14:textId="77777777" w:rsidR="00AC43A3" w:rsidRPr="005A698A" w:rsidRDefault="00AC43A3" w:rsidP="004F3130">
            <w:pPr>
              <w:pStyle w:val="a3"/>
              <w:jc w:val="center"/>
              <w:rPr>
                <w:rFonts w:ascii="Tahoma" w:hAnsi="Tahoma" w:cs="Tahoma"/>
                <w:color w:val="000080"/>
                <w:rtl/>
              </w:rPr>
            </w:pPr>
            <w:bookmarkStart w:id="0" w:name="LastJudge"/>
            <w:r w:rsidRPr="005A698A">
              <w:rPr>
                <w:rFonts w:ascii="Tahoma" w:hAnsi="Tahoma" w:cs="Tahoma"/>
                <w:b/>
                <w:bCs/>
                <w:color w:val="000080"/>
                <w:rtl/>
              </w:rPr>
              <w:t>בית המשפט המחוזי בנצרת</w:t>
            </w:r>
          </w:p>
        </w:tc>
      </w:tr>
      <w:tr w:rsidR="00AC43A3" w:rsidRPr="005A698A" w14:paraId="70410166" w14:textId="77777777" w:rsidTr="00164247">
        <w:trPr>
          <w:trHeight w:val="337"/>
          <w:jc w:val="center"/>
        </w:trPr>
        <w:tc>
          <w:tcPr>
            <w:tcW w:w="5055" w:type="dxa"/>
          </w:tcPr>
          <w:p w14:paraId="2BE72A86" w14:textId="77777777" w:rsidR="00AC43A3" w:rsidRPr="005A698A" w:rsidRDefault="00AC43A3" w:rsidP="004F3130">
            <w:pPr>
              <w:rPr>
                <w:rFonts w:cs="FrankRuehl"/>
                <w:sz w:val="28"/>
                <w:szCs w:val="28"/>
                <w:rtl/>
              </w:rPr>
            </w:pPr>
            <w:r w:rsidRPr="005A698A">
              <w:rPr>
                <w:rFonts w:cs="FrankRuehl"/>
                <w:sz w:val="28"/>
                <w:szCs w:val="28"/>
                <w:rtl/>
              </w:rPr>
              <w:t>ת"פ</w:t>
            </w:r>
            <w:r w:rsidRPr="005A698A">
              <w:rPr>
                <w:rFonts w:cs="FrankRuehl" w:hint="cs"/>
                <w:sz w:val="28"/>
                <w:szCs w:val="28"/>
                <w:rtl/>
              </w:rPr>
              <w:t xml:space="preserve"> </w:t>
            </w:r>
            <w:r w:rsidRPr="005A698A">
              <w:rPr>
                <w:rFonts w:cs="FrankRuehl"/>
                <w:sz w:val="28"/>
                <w:szCs w:val="28"/>
                <w:rtl/>
              </w:rPr>
              <w:t>36704-02-22</w:t>
            </w:r>
            <w:r w:rsidRPr="005A698A">
              <w:rPr>
                <w:rFonts w:cs="FrankRuehl" w:hint="cs"/>
                <w:sz w:val="28"/>
                <w:szCs w:val="28"/>
                <w:rtl/>
              </w:rPr>
              <w:t xml:space="preserve"> </w:t>
            </w:r>
            <w:r w:rsidRPr="005A698A">
              <w:rPr>
                <w:rFonts w:cs="FrankRuehl"/>
                <w:sz w:val="28"/>
                <w:szCs w:val="28"/>
                <w:rtl/>
              </w:rPr>
              <w:t>מדינת ישראל נ' סלאימה(עציר) ואח'</w:t>
            </w:r>
          </w:p>
          <w:p w14:paraId="5E57220E" w14:textId="77777777" w:rsidR="00AC43A3" w:rsidRPr="005A698A" w:rsidRDefault="00AC43A3" w:rsidP="004F3130">
            <w:pPr>
              <w:pStyle w:val="a3"/>
              <w:rPr>
                <w:rFonts w:cs="FrankRuehl"/>
                <w:sz w:val="28"/>
                <w:szCs w:val="28"/>
                <w:rtl/>
              </w:rPr>
            </w:pPr>
          </w:p>
        </w:tc>
        <w:tc>
          <w:tcPr>
            <w:tcW w:w="3666" w:type="dxa"/>
          </w:tcPr>
          <w:p w14:paraId="4FC268F3" w14:textId="77777777" w:rsidR="00AC43A3" w:rsidRPr="005A698A" w:rsidRDefault="00AC43A3" w:rsidP="004F3130">
            <w:pPr>
              <w:pStyle w:val="a3"/>
              <w:jc w:val="right"/>
              <w:rPr>
                <w:rFonts w:cs="FrankRuehl"/>
                <w:sz w:val="28"/>
                <w:szCs w:val="28"/>
                <w:rtl/>
              </w:rPr>
            </w:pPr>
            <w:r w:rsidRPr="005A698A">
              <w:rPr>
                <w:rFonts w:cs="FrankRuehl"/>
                <w:sz w:val="28"/>
                <w:szCs w:val="28"/>
                <w:rtl/>
              </w:rPr>
              <w:t>15 מרץ 2023</w:t>
            </w:r>
          </w:p>
        </w:tc>
      </w:tr>
    </w:tbl>
    <w:p w14:paraId="08DF9F11" w14:textId="77777777" w:rsidR="00AC43A3" w:rsidRPr="005A698A" w:rsidRDefault="00AC43A3" w:rsidP="00164247">
      <w:pPr>
        <w:pStyle w:val="a3"/>
        <w:rPr>
          <w:rtl/>
        </w:rPr>
      </w:pPr>
      <w:r w:rsidRPr="005A698A">
        <w:rPr>
          <w:rFonts w:hint="cs"/>
          <w:rtl/>
        </w:rPr>
        <w:t xml:space="preserve"> </w:t>
      </w:r>
    </w:p>
    <w:p w14:paraId="05E61024" w14:textId="77777777" w:rsidR="00AC43A3" w:rsidRPr="005A698A" w:rsidRDefault="00AC43A3" w:rsidP="00AC43A3">
      <w:pPr>
        <w:rPr>
          <w:rtl/>
        </w:rPr>
      </w:pPr>
    </w:p>
    <w:tbl>
      <w:tblPr>
        <w:bidiVisual/>
        <w:tblW w:w="8802" w:type="dxa"/>
        <w:tblInd w:w="-28" w:type="dxa"/>
        <w:tblLook w:val="01E0" w:firstRow="1" w:lastRow="1" w:firstColumn="1" w:lastColumn="1" w:noHBand="0" w:noVBand="0"/>
      </w:tblPr>
      <w:tblGrid>
        <w:gridCol w:w="2880"/>
        <w:gridCol w:w="5838"/>
        <w:gridCol w:w="84"/>
      </w:tblGrid>
      <w:tr w:rsidR="00AC43A3" w:rsidRPr="005A698A" w14:paraId="0E7D6151" w14:textId="77777777" w:rsidTr="00AC43A3">
        <w:trPr>
          <w:gridAfter w:val="1"/>
          <w:wAfter w:w="56" w:type="dxa"/>
        </w:trPr>
        <w:tc>
          <w:tcPr>
            <w:tcW w:w="8718" w:type="dxa"/>
            <w:gridSpan w:val="2"/>
            <w:shd w:val="clear" w:color="auto" w:fill="auto"/>
          </w:tcPr>
          <w:p w14:paraId="6605FB0F" w14:textId="77777777" w:rsidR="00AC43A3" w:rsidRPr="005A698A" w:rsidRDefault="00AC43A3" w:rsidP="004F3130">
            <w:pPr>
              <w:rPr>
                <w:rtl/>
              </w:rPr>
            </w:pPr>
            <w:r w:rsidRPr="005A698A">
              <w:rPr>
                <w:rFonts w:hint="cs"/>
                <w:b/>
                <w:bCs/>
                <w:sz w:val="26"/>
                <w:szCs w:val="26"/>
                <w:rtl/>
              </w:rPr>
              <w:t>בפני כב' השופט חנא סבאג</w:t>
            </w:r>
          </w:p>
        </w:tc>
      </w:tr>
      <w:tr w:rsidR="00AC43A3" w:rsidRPr="005A698A" w14:paraId="6DE2A527" w14:textId="77777777" w:rsidTr="00AC43A3">
        <w:trPr>
          <w:cantSplit/>
          <w:trHeight w:val="724"/>
        </w:trPr>
        <w:tc>
          <w:tcPr>
            <w:tcW w:w="2880" w:type="dxa"/>
            <w:shd w:val="clear" w:color="auto" w:fill="auto"/>
          </w:tcPr>
          <w:p w14:paraId="7B0B255B" w14:textId="77777777" w:rsidR="00AC43A3" w:rsidRPr="005A698A" w:rsidRDefault="00AC43A3" w:rsidP="00AC43A3">
            <w:pPr>
              <w:ind w:left="26"/>
              <w:rPr>
                <w:b/>
                <w:bCs/>
                <w:sz w:val="26"/>
                <w:szCs w:val="26"/>
                <w:rtl/>
              </w:rPr>
            </w:pPr>
            <w:bookmarkStart w:id="1" w:name="FirstAppellant"/>
          </w:p>
          <w:p w14:paraId="75A51874" w14:textId="77777777" w:rsidR="00AC43A3" w:rsidRPr="005A698A" w:rsidRDefault="00AC43A3" w:rsidP="00AC43A3">
            <w:pPr>
              <w:ind w:left="26"/>
              <w:rPr>
                <w:b/>
                <w:bCs/>
                <w:sz w:val="26"/>
                <w:szCs w:val="26"/>
                <w:rtl/>
              </w:rPr>
            </w:pPr>
            <w:r w:rsidRPr="005A698A">
              <w:rPr>
                <w:rFonts w:hint="cs"/>
                <w:b/>
                <w:bCs/>
                <w:sz w:val="26"/>
                <w:szCs w:val="26"/>
                <w:rtl/>
              </w:rPr>
              <w:t>ה</w:t>
            </w:r>
            <w:r w:rsidRPr="005A698A">
              <w:rPr>
                <w:b/>
                <w:bCs/>
                <w:sz w:val="26"/>
                <w:szCs w:val="26"/>
                <w:rtl/>
              </w:rPr>
              <w:t>מאשימה</w:t>
            </w:r>
          </w:p>
        </w:tc>
        <w:tc>
          <w:tcPr>
            <w:tcW w:w="5922" w:type="dxa"/>
            <w:gridSpan w:val="2"/>
            <w:shd w:val="clear" w:color="auto" w:fill="auto"/>
          </w:tcPr>
          <w:p w14:paraId="59A818D8" w14:textId="77777777" w:rsidR="00AC43A3" w:rsidRPr="005A698A" w:rsidRDefault="00AC43A3" w:rsidP="004F3130">
            <w:pPr>
              <w:rPr>
                <w:rtl/>
              </w:rPr>
            </w:pPr>
          </w:p>
          <w:p w14:paraId="20CDF64E" w14:textId="77777777" w:rsidR="00AC43A3" w:rsidRPr="005A698A" w:rsidRDefault="00AC43A3" w:rsidP="004F3130">
            <w:pPr>
              <w:rPr>
                <w:b/>
                <w:bCs/>
                <w:sz w:val="26"/>
                <w:szCs w:val="26"/>
                <w:rtl/>
              </w:rPr>
            </w:pPr>
            <w:r w:rsidRPr="005A698A">
              <w:rPr>
                <w:rtl/>
              </w:rPr>
              <w:t xml:space="preserve"> </w:t>
            </w:r>
            <w:r w:rsidRPr="005A698A">
              <w:rPr>
                <w:b/>
                <w:bCs/>
                <w:sz w:val="26"/>
                <w:szCs w:val="26"/>
                <w:rtl/>
              </w:rPr>
              <w:t>מדינת ישראל</w:t>
            </w:r>
          </w:p>
          <w:p w14:paraId="186ECE07" w14:textId="77777777" w:rsidR="00AC43A3" w:rsidRPr="005A698A" w:rsidRDefault="00AC43A3" w:rsidP="004F3130">
            <w:pPr>
              <w:rPr>
                <w:b/>
                <w:bCs/>
                <w:sz w:val="26"/>
                <w:szCs w:val="26"/>
                <w:rtl/>
              </w:rPr>
            </w:pPr>
          </w:p>
        </w:tc>
      </w:tr>
      <w:bookmarkEnd w:id="1"/>
      <w:tr w:rsidR="00AC43A3" w:rsidRPr="005A698A" w14:paraId="76B6BC77" w14:textId="77777777" w:rsidTr="00AC43A3">
        <w:tc>
          <w:tcPr>
            <w:tcW w:w="8802" w:type="dxa"/>
            <w:gridSpan w:val="3"/>
            <w:shd w:val="clear" w:color="auto" w:fill="auto"/>
            <w:vAlign w:val="center"/>
          </w:tcPr>
          <w:p w14:paraId="2AE6B55E" w14:textId="77777777" w:rsidR="00AC43A3" w:rsidRPr="005A698A" w:rsidRDefault="00AC43A3" w:rsidP="00AC43A3">
            <w:pPr>
              <w:jc w:val="center"/>
              <w:rPr>
                <w:rFonts w:ascii="Arial" w:hAnsi="Arial"/>
                <w:b/>
                <w:bCs/>
                <w:sz w:val="26"/>
                <w:szCs w:val="26"/>
                <w:rtl/>
              </w:rPr>
            </w:pPr>
          </w:p>
          <w:p w14:paraId="6FC895B6" w14:textId="77777777" w:rsidR="00AC43A3" w:rsidRPr="005A698A" w:rsidRDefault="00AC43A3" w:rsidP="00AC43A3">
            <w:pPr>
              <w:jc w:val="center"/>
              <w:rPr>
                <w:rFonts w:ascii="Arial" w:hAnsi="Arial"/>
                <w:b/>
                <w:bCs/>
                <w:sz w:val="26"/>
                <w:szCs w:val="26"/>
                <w:rtl/>
              </w:rPr>
            </w:pPr>
            <w:r w:rsidRPr="005A698A">
              <w:rPr>
                <w:rFonts w:ascii="Arial" w:hAnsi="Arial" w:hint="cs"/>
                <w:b/>
                <w:bCs/>
                <w:sz w:val="26"/>
                <w:szCs w:val="26"/>
                <w:rtl/>
              </w:rPr>
              <w:t>נגד</w:t>
            </w:r>
          </w:p>
          <w:p w14:paraId="7D245AA7" w14:textId="77777777" w:rsidR="00AC43A3" w:rsidRPr="005A698A" w:rsidRDefault="00AC43A3" w:rsidP="004F3130">
            <w:pPr>
              <w:rPr>
                <w:rFonts w:ascii="Arial" w:hAnsi="Arial"/>
                <w:b/>
                <w:bCs/>
                <w:sz w:val="26"/>
                <w:szCs w:val="26"/>
                <w:rtl/>
              </w:rPr>
            </w:pPr>
          </w:p>
        </w:tc>
      </w:tr>
      <w:tr w:rsidR="00AC43A3" w:rsidRPr="005A698A" w14:paraId="57F49289" w14:textId="77777777" w:rsidTr="00AC43A3">
        <w:tc>
          <w:tcPr>
            <w:tcW w:w="2880" w:type="dxa"/>
            <w:shd w:val="clear" w:color="auto" w:fill="auto"/>
          </w:tcPr>
          <w:p w14:paraId="5B690E8D" w14:textId="77777777" w:rsidR="00AC43A3" w:rsidRPr="005A698A" w:rsidRDefault="00AC43A3" w:rsidP="00AC43A3">
            <w:pPr>
              <w:ind w:left="26"/>
              <w:rPr>
                <w:b/>
                <w:bCs/>
                <w:sz w:val="26"/>
                <w:szCs w:val="26"/>
              </w:rPr>
            </w:pPr>
            <w:r w:rsidRPr="005A698A">
              <w:rPr>
                <w:rFonts w:hint="cs"/>
                <w:b/>
                <w:bCs/>
                <w:sz w:val="26"/>
                <w:szCs w:val="26"/>
                <w:rtl/>
              </w:rPr>
              <w:t>ה</w:t>
            </w:r>
            <w:r w:rsidRPr="005A698A">
              <w:rPr>
                <w:b/>
                <w:bCs/>
                <w:sz w:val="26"/>
                <w:szCs w:val="26"/>
                <w:rtl/>
              </w:rPr>
              <w:t>נאשמים</w:t>
            </w:r>
          </w:p>
        </w:tc>
        <w:tc>
          <w:tcPr>
            <w:tcW w:w="5922" w:type="dxa"/>
            <w:gridSpan w:val="2"/>
            <w:shd w:val="clear" w:color="auto" w:fill="auto"/>
          </w:tcPr>
          <w:p w14:paraId="686011A9" w14:textId="77777777" w:rsidR="00AC43A3" w:rsidRPr="005A698A" w:rsidRDefault="00AC43A3" w:rsidP="00AC43A3">
            <w:pPr>
              <w:ind w:left="26"/>
              <w:rPr>
                <w:b/>
                <w:bCs/>
                <w:sz w:val="26"/>
                <w:szCs w:val="26"/>
                <w:rtl/>
              </w:rPr>
            </w:pPr>
            <w:r w:rsidRPr="005A698A">
              <w:rPr>
                <w:b/>
                <w:bCs/>
                <w:sz w:val="26"/>
                <w:szCs w:val="26"/>
              </w:rPr>
              <w:t>.1</w:t>
            </w:r>
            <w:r w:rsidRPr="005A698A">
              <w:rPr>
                <w:b/>
                <w:bCs/>
                <w:sz w:val="26"/>
                <w:szCs w:val="26"/>
                <w:rtl/>
              </w:rPr>
              <w:t xml:space="preserve"> מחמוד סלאימה (עציר) ת"ז</w:t>
            </w:r>
            <w:r w:rsidRPr="005A698A">
              <w:rPr>
                <w:rFonts w:hint="cs"/>
                <w:b/>
                <w:bCs/>
                <w:sz w:val="26"/>
                <w:szCs w:val="26"/>
                <w:rtl/>
              </w:rPr>
              <w:t xml:space="preserve">  </w:t>
            </w:r>
            <w:r w:rsidR="005A698A">
              <w:rPr>
                <w:b/>
                <w:bCs/>
                <w:sz w:val="26"/>
                <w:szCs w:val="26"/>
              </w:rPr>
              <w:t>xxxxxxxxxx</w:t>
            </w:r>
          </w:p>
          <w:p w14:paraId="48926373" w14:textId="77777777" w:rsidR="00AC43A3" w:rsidRPr="005A698A" w:rsidRDefault="00AC43A3" w:rsidP="00AC43A3">
            <w:pPr>
              <w:ind w:left="26"/>
              <w:rPr>
                <w:b/>
                <w:bCs/>
                <w:sz w:val="26"/>
                <w:szCs w:val="26"/>
                <w:rtl/>
              </w:rPr>
            </w:pPr>
            <w:r w:rsidRPr="005A698A">
              <w:rPr>
                <w:b/>
                <w:bCs/>
                <w:sz w:val="26"/>
                <w:szCs w:val="26"/>
              </w:rPr>
              <w:t>.2</w:t>
            </w:r>
            <w:r w:rsidRPr="005A698A">
              <w:rPr>
                <w:b/>
                <w:bCs/>
                <w:sz w:val="26"/>
                <w:szCs w:val="26"/>
                <w:rtl/>
              </w:rPr>
              <w:t xml:space="preserve"> מוסטפא עלון (עציר) ת"ז</w:t>
            </w:r>
            <w:r w:rsidRPr="005A698A">
              <w:rPr>
                <w:rFonts w:hint="cs"/>
                <w:b/>
                <w:bCs/>
                <w:sz w:val="26"/>
                <w:szCs w:val="26"/>
                <w:rtl/>
              </w:rPr>
              <w:t xml:space="preserve">  </w:t>
            </w:r>
            <w:r w:rsidR="005A698A">
              <w:rPr>
                <w:b/>
                <w:bCs/>
                <w:sz w:val="26"/>
                <w:szCs w:val="26"/>
              </w:rPr>
              <w:t>xxxxxxxxxx</w:t>
            </w:r>
          </w:p>
          <w:p w14:paraId="32FE1190" w14:textId="77777777" w:rsidR="00AC43A3" w:rsidRPr="005A698A" w:rsidRDefault="00AC43A3" w:rsidP="00AC43A3">
            <w:pPr>
              <w:ind w:left="26"/>
              <w:rPr>
                <w:b/>
                <w:bCs/>
                <w:sz w:val="26"/>
                <w:szCs w:val="26"/>
                <w:rtl/>
              </w:rPr>
            </w:pPr>
            <w:r w:rsidRPr="005A698A">
              <w:rPr>
                <w:b/>
                <w:bCs/>
                <w:sz w:val="26"/>
                <w:szCs w:val="26"/>
              </w:rPr>
              <w:t>.3</w:t>
            </w:r>
            <w:r w:rsidRPr="005A698A">
              <w:rPr>
                <w:b/>
                <w:bCs/>
                <w:sz w:val="26"/>
                <w:szCs w:val="26"/>
                <w:rtl/>
              </w:rPr>
              <w:t xml:space="preserve"> מוסטפא שלאלדה (עציר) ת"ז</w:t>
            </w:r>
            <w:r w:rsidRPr="005A698A">
              <w:rPr>
                <w:rFonts w:hint="cs"/>
                <w:b/>
                <w:bCs/>
                <w:sz w:val="26"/>
                <w:szCs w:val="26"/>
                <w:rtl/>
              </w:rPr>
              <w:t xml:space="preserve">  </w:t>
            </w:r>
            <w:r w:rsidR="005A698A">
              <w:rPr>
                <w:b/>
                <w:bCs/>
                <w:sz w:val="26"/>
                <w:szCs w:val="26"/>
              </w:rPr>
              <w:t>xxxxxxxxxx</w:t>
            </w:r>
          </w:p>
        </w:tc>
      </w:tr>
    </w:tbl>
    <w:p w14:paraId="5CA667B6" w14:textId="77777777" w:rsidR="00D13F46" w:rsidRDefault="00D13F46" w:rsidP="00AC43A3">
      <w:pPr>
        <w:rPr>
          <w:rtl/>
        </w:rPr>
      </w:pPr>
    </w:p>
    <w:p w14:paraId="76E59811" w14:textId="77777777" w:rsidR="00D13F46" w:rsidRPr="00D13F46" w:rsidRDefault="00D13F46" w:rsidP="00D13F46">
      <w:pPr>
        <w:spacing w:after="120" w:line="240" w:lineRule="exact"/>
        <w:ind w:left="283" w:hanging="283"/>
        <w:jc w:val="both"/>
        <w:rPr>
          <w:rFonts w:ascii="FrankRuehl" w:hAnsi="FrankRuehl" w:cs="FrankRuehl"/>
          <w:rtl/>
        </w:rPr>
      </w:pPr>
    </w:p>
    <w:p w14:paraId="6107B40B" w14:textId="77777777" w:rsidR="000D7A8F" w:rsidRPr="000D7A8F" w:rsidRDefault="000D7A8F" w:rsidP="000D7A8F">
      <w:pPr>
        <w:spacing w:before="120" w:after="120" w:line="240" w:lineRule="exact"/>
        <w:ind w:left="283" w:hanging="283"/>
        <w:jc w:val="both"/>
        <w:rPr>
          <w:rFonts w:ascii="FrankRuehl" w:hAnsi="FrankRuehl" w:cs="FrankRuehl"/>
          <w:rtl/>
        </w:rPr>
      </w:pPr>
    </w:p>
    <w:p w14:paraId="7F92EB2D" w14:textId="77777777" w:rsidR="0081511A" w:rsidRDefault="0081511A" w:rsidP="0081511A">
      <w:pPr>
        <w:rPr>
          <w:rFonts w:ascii="Arial" w:hAnsi="Arial" w:cs="FrankRuehl"/>
          <w:sz w:val="28"/>
          <w:szCs w:val="28"/>
          <w:rtl/>
        </w:rPr>
      </w:pPr>
      <w:bookmarkStart w:id="2" w:name="LawTable"/>
      <w:bookmarkEnd w:id="2"/>
    </w:p>
    <w:p w14:paraId="42550DBE" w14:textId="77777777" w:rsidR="0081511A" w:rsidRPr="0081511A" w:rsidRDefault="0081511A" w:rsidP="0081511A">
      <w:pPr>
        <w:spacing w:before="120" w:after="120" w:line="240" w:lineRule="exact"/>
        <w:ind w:left="283" w:hanging="283"/>
        <w:jc w:val="both"/>
        <w:rPr>
          <w:rFonts w:ascii="FrankRuehl" w:hAnsi="FrankRuehl" w:cs="FrankRuehl"/>
          <w:rtl/>
        </w:rPr>
      </w:pPr>
    </w:p>
    <w:p w14:paraId="53FCF72E" w14:textId="77777777" w:rsidR="0081511A" w:rsidRPr="0081511A" w:rsidRDefault="0081511A" w:rsidP="0081511A">
      <w:pPr>
        <w:spacing w:before="120" w:after="120" w:line="240" w:lineRule="exact"/>
        <w:ind w:left="283" w:hanging="283"/>
        <w:jc w:val="both"/>
        <w:rPr>
          <w:rFonts w:ascii="FrankRuehl" w:hAnsi="FrankRuehl" w:cs="FrankRuehl"/>
          <w:rtl/>
        </w:rPr>
      </w:pPr>
    </w:p>
    <w:p w14:paraId="2AA392A7" w14:textId="77777777" w:rsidR="0081511A" w:rsidRPr="0081511A" w:rsidRDefault="0081511A" w:rsidP="0081511A">
      <w:pPr>
        <w:spacing w:before="120" w:after="120" w:line="240" w:lineRule="exact"/>
        <w:ind w:left="283" w:hanging="283"/>
        <w:jc w:val="both"/>
        <w:rPr>
          <w:rFonts w:ascii="FrankRuehl" w:hAnsi="FrankRuehl" w:cs="FrankRuehl"/>
          <w:rtl/>
        </w:rPr>
      </w:pPr>
      <w:r w:rsidRPr="0081511A">
        <w:rPr>
          <w:rFonts w:ascii="FrankRuehl" w:hAnsi="FrankRuehl" w:cs="FrankRuehl"/>
          <w:rtl/>
        </w:rPr>
        <w:t xml:space="preserve">חקיקה שאוזכרה: </w:t>
      </w:r>
    </w:p>
    <w:p w14:paraId="603DDC92" w14:textId="77777777" w:rsidR="0081511A" w:rsidRPr="0081511A" w:rsidRDefault="0081511A" w:rsidP="0081511A">
      <w:pPr>
        <w:spacing w:before="120" w:after="120" w:line="240" w:lineRule="exact"/>
        <w:ind w:left="283" w:hanging="283"/>
        <w:jc w:val="both"/>
        <w:rPr>
          <w:rFonts w:ascii="FrankRuehl" w:hAnsi="FrankRuehl" w:cs="FrankRuehl"/>
          <w:rtl/>
        </w:rPr>
      </w:pPr>
      <w:hyperlink r:id="rId7" w:history="1">
        <w:r w:rsidRPr="0081511A">
          <w:rPr>
            <w:rFonts w:ascii="FrankRuehl" w:hAnsi="FrankRuehl" w:cs="FrankRuehl"/>
            <w:color w:val="0000FF"/>
            <w:rtl/>
          </w:rPr>
          <w:t>חוק העונשין, תשל"ז-1977</w:t>
        </w:r>
      </w:hyperlink>
      <w:r w:rsidRPr="0081511A">
        <w:rPr>
          <w:rFonts w:ascii="FrankRuehl" w:hAnsi="FrankRuehl" w:cs="FrankRuehl"/>
          <w:rtl/>
        </w:rPr>
        <w:t xml:space="preserve">: סע'  </w:t>
      </w:r>
      <w:hyperlink r:id="rId8" w:history="1">
        <w:r w:rsidRPr="0081511A">
          <w:rPr>
            <w:rFonts w:ascii="FrankRuehl" w:hAnsi="FrankRuehl" w:cs="FrankRuehl"/>
            <w:color w:val="0000FF"/>
            <w:rtl/>
          </w:rPr>
          <w:t>29</w:t>
        </w:r>
      </w:hyperlink>
      <w:r w:rsidRPr="0081511A">
        <w:rPr>
          <w:rFonts w:ascii="FrankRuehl" w:hAnsi="FrankRuehl" w:cs="FrankRuehl"/>
          <w:rtl/>
        </w:rPr>
        <w:t xml:space="preserve">, </w:t>
      </w:r>
      <w:hyperlink r:id="rId9" w:history="1">
        <w:r w:rsidRPr="0081511A">
          <w:rPr>
            <w:rFonts w:ascii="FrankRuehl" w:hAnsi="FrankRuehl" w:cs="FrankRuehl"/>
            <w:color w:val="0000FF"/>
            <w:rtl/>
          </w:rPr>
          <w:t>29(ב)</w:t>
        </w:r>
      </w:hyperlink>
      <w:r w:rsidRPr="0081511A">
        <w:rPr>
          <w:rFonts w:ascii="FrankRuehl" w:hAnsi="FrankRuehl" w:cs="FrankRuehl"/>
          <w:rtl/>
        </w:rPr>
        <w:t xml:space="preserve">, </w:t>
      </w:r>
      <w:hyperlink r:id="rId10" w:history="1">
        <w:r w:rsidRPr="0081511A">
          <w:rPr>
            <w:rFonts w:ascii="FrankRuehl" w:hAnsi="FrankRuehl" w:cs="FrankRuehl"/>
            <w:color w:val="0000FF"/>
            <w:rtl/>
          </w:rPr>
          <w:t>31</w:t>
        </w:r>
      </w:hyperlink>
      <w:r w:rsidRPr="0081511A">
        <w:rPr>
          <w:rFonts w:ascii="FrankRuehl" w:hAnsi="FrankRuehl" w:cs="FrankRuehl"/>
          <w:rtl/>
        </w:rPr>
        <w:t xml:space="preserve">, </w:t>
      </w:r>
      <w:hyperlink r:id="rId11" w:history="1">
        <w:r w:rsidRPr="0081511A">
          <w:rPr>
            <w:rFonts w:ascii="FrankRuehl" w:hAnsi="FrankRuehl" w:cs="FrankRuehl"/>
            <w:color w:val="0000FF"/>
            <w:rtl/>
          </w:rPr>
          <w:t>144(ב)</w:t>
        </w:r>
      </w:hyperlink>
      <w:r w:rsidRPr="0081511A">
        <w:rPr>
          <w:rFonts w:ascii="FrankRuehl" w:hAnsi="FrankRuehl" w:cs="FrankRuehl"/>
          <w:rtl/>
        </w:rPr>
        <w:t xml:space="preserve">, </w:t>
      </w:r>
      <w:hyperlink r:id="rId12" w:history="1">
        <w:r w:rsidRPr="0081511A">
          <w:rPr>
            <w:rFonts w:ascii="FrankRuehl" w:hAnsi="FrankRuehl" w:cs="FrankRuehl"/>
            <w:color w:val="0000FF"/>
            <w:rtl/>
          </w:rPr>
          <w:t>144(ב)2</w:t>
        </w:r>
      </w:hyperlink>
      <w:r w:rsidRPr="0081511A">
        <w:rPr>
          <w:rFonts w:ascii="FrankRuehl" w:hAnsi="FrankRuehl" w:cs="FrankRuehl"/>
          <w:rtl/>
        </w:rPr>
        <w:t xml:space="preserve">, </w:t>
      </w:r>
      <w:hyperlink r:id="rId13" w:history="1">
        <w:r w:rsidRPr="0081511A">
          <w:rPr>
            <w:rFonts w:ascii="FrankRuehl" w:hAnsi="FrankRuehl" w:cs="FrankRuehl"/>
            <w:color w:val="0000FF"/>
            <w:rtl/>
          </w:rPr>
          <w:t>144(ז)</w:t>
        </w:r>
      </w:hyperlink>
      <w:r w:rsidRPr="0081511A">
        <w:rPr>
          <w:rFonts w:ascii="FrankRuehl" w:hAnsi="FrankRuehl" w:cs="FrankRuehl"/>
          <w:rtl/>
        </w:rPr>
        <w:t xml:space="preserve">, </w:t>
      </w:r>
      <w:hyperlink r:id="rId14" w:history="1">
        <w:r w:rsidRPr="0081511A">
          <w:rPr>
            <w:rFonts w:ascii="FrankRuehl" w:hAnsi="FrankRuehl" w:cs="FrankRuehl"/>
            <w:color w:val="0000FF"/>
            <w:rtl/>
          </w:rPr>
          <w:t>40יא</w:t>
        </w:r>
      </w:hyperlink>
    </w:p>
    <w:p w14:paraId="4043A6F4" w14:textId="77777777" w:rsidR="0081511A" w:rsidRPr="0081511A" w:rsidRDefault="0081511A" w:rsidP="0081511A">
      <w:pPr>
        <w:rPr>
          <w:rFonts w:ascii="Arial" w:hAnsi="Arial" w:cs="FrankRuehl"/>
          <w:sz w:val="28"/>
          <w:szCs w:val="28"/>
          <w:rtl/>
        </w:rPr>
      </w:pPr>
      <w:bookmarkStart w:id="3" w:name="LawTable_End"/>
      <w:bookmarkEnd w:id="3"/>
    </w:p>
    <w:p w14:paraId="7E68B747" w14:textId="77777777" w:rsidR="00AC43A3" w:rsidRPr="000D7A8F" w:rsidRDefault="00AC43A3" w:rsidP="000D7A8F">
      <w:pPr>
        <w:rPr>
          <w:rFonts w:ascii="Arial" w:hAnsi="Arial" w:cs="FrankRuehl"/>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C43A3" w14:paraId="3AFAAA80" w14:textId="77777777" w:rsidTr="00AC43A3">
        <w:trPr>
          <w:trHeight w:val="355"/>
          <w:jc w:val="center"/>
        </w:trPr>
        <w:tc>
          <w:tcPr>
            <w:tcW w:w="8820" w:type="dxa"/>
            <w:tcBorders>
              <w:top w:val="nil"/>
              <w:left w:val="nil"/>
              <w:bottom w:val="nil"/>
              <w:right w:val="nil"/>
            </w:tcBorders>
            <w:shd w:val="clear" w:color="auto" w:fill="auto"/>
          </w:tcPr>
          <w:p w14:paraId="124C1A6E" w14:textId="77777777" w:rsidR="005A698A" w:rsidRPr="005A698A" w:rsidRDefault="005A698A" w:rsidP="005A698A">
            <w:pPr>
              <w:jc w:val="center"/>
              <w:rPr>
                <w:rFonts w:ascii="Arial" w:hAnsi="Arial" w:cs="FrankRuehl"/>
                <w:b/>
                <w:bCs/>
                <w:sz w:val="32"/>
                <w:szCs w:val="32"/>
                <w:u w:val="single"/>
                <w:rtl/>
              </w:rPr>
            </w:pPr>
            <w:bookmarkStart w:id="4" w:name="PsakDin" w:colFirst="0" w:colLast="0"/>
            <w:bookmarkEnd w:id="0"/>
            <w:r w:rsidRPr="005A698A">
              <w:rPr>
                <w:rFonts w:ascii="Arial" w:hAnsi="Arial" w:cs="FrankRuehl"/>
                <w:b/>
                <w:bCs/>
                <w:sz w:val="32"/>
                <w:szCs w:val="32"/>
                <w:u w:val="single"/>
                <w:rtl/>
              </w:rPr>
              <w:t>גזר דין</w:t>
            </w:r>
          </w:p>
          <w:p w14:paraId="0C9E965A" w14:textId="77777777" w:rsidR="00AC43A3" w:rsidRPr="005A698A" w:rsidRDefault="00AC43A3" w:rsidP="005A698A">
            <w:pPr>
              <w:jc w:val="center"/>
              <w:rPr>
                <w:rFonts w:ascii="Arial" w:hAnsi="Arial" w:cs="FrankRuehl"/>
                <w:bCs/>
                <w:sz w:val="32"/>
                <w:szCs w:val="32"/>
                <w:u w:val="single"/>
                <w:rtl/>
              </w:rPr>
            </w:pPr>
          </w:p>
        </w:tc>
      </w:tr>
      <w:bookmarkEnd w:id="4"/>
    </w:tbl>
    <w:p w14:paraId="3D6BC5FE" w14:textId="77777777" w:rsidR="00AC43A3" w:rsidRDefault="00AC43A3" w:rsidP="00AC43A3">
      <w:pPr>
        <w:rPr>
          <w:rFonts w:ascii="Arial" w:hAnsi="Arial" w:cs="FrankRuehl"/>
          <w:sz w:val="28"/>
          <w:szCs w:val="28"/>
          <w:rtl/>
        </w:rPr>
      </w:pPr>
    </w:p>
    <w:p w14:paraId="6A9784C7" w14:textId="77777777" w:rsidR="00AC43A3" w:rsidRDefault="00AC43A3" w:rsidP="00AC43A3">
      <w:pPr>
        <w:spacing w:line="360" w:lineRule="auto"/>
        <w:ind w:firstLine="720"/>
        <w:jc w:val="both"/>
        <w:rPr>
          <w:rFonts w:ascii="David" w:hAnsi="David"/>
          <w:noProof w:val="0"/>
        </w:rPr>
      </w:pPr>
    </w:p>
    <w:p w14:paraId="51CDA886" w14:textId="77777777" w:rsidR="00AC43A3" w:rsidRDefault="00AC43A3" w:rsidP="00AC43A3">
      <w:pPr>
        <w:spacing w:line="360" w:lineRule="auto"/>
        <w:jc w:val="both"/>
        <w:rPr>
          <w:rFonts w:ascii="Miriam" w:hAnsi="Miriam" w:cs="Miriam"/>
          <w:rtl/>
        </w:rPr>
      </w:pPr>
      <w:bookmarkStart w:id="5" w:name="ABSTRACT_START"/>
      <w:bookmarkEnd w:id="5"/>
      <w:r>
        <w:rPr>
          <w:rFonts w:ascii="Miriam" w:hAnsi="Miriam" w:cs="Miriam"/>
          <w:rtl/>
        </w:rPr>
        <w:t>הרקע וכתב האישום המתוקן</w:t>
      </w:r>
    </w:p>
    <w:p w14:paraId="59C6FB8A" w14:textId="77777777" w:rsidR="00AC43A3" w:rsidRDefault="00AC43A3" w:rsidP="00AC43A3">
      <w:pPr>
        <w:tabs>
          <w:tab w:val="left" w:pos="680"/>
        </w:tabs>
        <w:spacing w:line="360" w:lineRule="auto"/>
        <w:jc w:val="both"/>
        <w:rPr>
          <w:rFonts w:ascii="FrankRuehl" w:hAnsi="FrankRuehl" w:cs="FrankRuehl"/>
          <w:sz w:val="28"/>
          <w:szCs w:val="28"/>
          <w:rtl/>
        </w:rPr>
      </w:pPr>
    </w:p>
    <w:p w14:paraId="41ACB553" w14:textId="77777777" w:rsidR="00AC43A3" w:rsidRDefault="00AC43A3" w:rsidP="00AC43A3">
      <w:pPr>
        <w:spacing w:line="360" w:lineRule="auto"/>
        <w:jc w:val="both"/>
        <w:rPr>
          <w:rStyle w:val="normal-h"/>
          <w:rFonts w:ascii="FrankRuehl" w:hAnsi="FrankRuehl" w:cs="FrankRuehl"/>
          <w:rtl/>
        </w:rPr>
      </w:pPr>
      <w:r>
        <w:rPr>
          <w:rFonts w:ascii="FrankRuehl" w:hAnsi="FrankRuehl" w:cs="FrankRuehl"/>
          <w:sz w:val="28"/>
          <w:szCs w:val="28"/>
          <w:rtl/>
        </w:rPr>
        <w:t>1.</w:t>
      </w:r>
      <w:r>
        <w:rPr>
          <w:rFonts w:ascii="FrankRuehl" w:hAnsi="FrankRuehl" w:cs="FrankRuehl"/>
          <w:sz w:val="28"/>
          <w:szCs w:val="28"/>
          <w:rtl/>
        </w:rPr>
        <w:tab/>
        <w:t xml:space="preserve">הנאשמים הורשעו על יסוד הודאתם בכתב אישום שתוקן ביום 22.02.2023. נאשמים 1 ו-2 הורשעו בעבירה של נשיאת נשק והובלתו, עבירה </w:t>
      </w:r>
      <w:r>
        <w:rPr>
          <w:rFonts w:ascii="FrankRuehl" w:hAnsi="FrankRuehl" w:cs="FrankRuehl" w:hint="cs"/>
          <w:sz w:val="28"/>
          <w:szCs w:val="28"/>
          <w:rtl/>
        </w:rPr>
        <w:t>בניגוד</w:t>
      </w:r>
      <w:r>
        <w:rPr>
          <w:rFonts w:ascii="FrankRuehl" w:hAnsi="FrankRuehl" w:cs="FrankRuehl"/>
          <w:sz w:val="28"/>
          <w:szCs w:val="28"/>
          <w:rtl/>
        </w:rPr>
        <w:t xml:space="preserve"> </w:t>
      </w:r>
      <w:hyperlink r:id="rId15" w:history="1">
        <w:r w:rsidR="00D13F46" w:rsidRPr="00D13F46">
          <w:rPr>
            <w:rStyle w:val="Hyperlink"/>
            <w:rFonts w:ascii="FrankRuehl" w:hAnsi="FrankRuehl" w:cs="FrankRuehl"/>
            <w:sz w:val="28"/>
            <w:szCs w:val="28"/>
            <w:rtl/>
          </w:rPr>
          <w:t>לסעיף 144(ב)</w:t>
        </w:r>
      </w:hyperlink>
      <w:r>
        <w:rPr>
          <w:rFonts w:ascii="FrankRuehl" w:hAnsi="FrankRuehl" w:cs="FrankRuehl"/>
          <w:sz w:val="28"/>
          <w:szCs w:val="28"/>
          <w:rtl/>
        </w:rPr>
        <w:t xml:space="preserve"> בצירוף </w:t>
      </w:r>
      <w:hyperlink r:id="rId16" w:history="1">
        <w:r w:rsidR="00D13F46" w:rsidRPr="00D13F46">
          <w:rPr>
            <w:rStyle w:val="Hyperlink"/>
            <w:rFonts w:ascii="FrankRuehl" w:hAnsi="FrankRuehl" w:cs="FrankRuehl"/>
            <w:sz w:val="28"/>
            <w:szCs w:val="28"/>
            <w:rtl/>
          </w:rPr>
          <w:t>סעיף 29</w:t>
        </w:r>
      </w:hyperlink>
      <w:r>
        <w:rPr>
          <w:rFonts w:ascii="FrankRuehl" w:hAnsi="FrankRuehl" w:cs="FrankRuehl"/>
          <w:sz w:val="28"/>
          <w:szCs w:val="28"/>
          <w:rtl/>
        </w:rPr>
        <w:t xml:space="preserve"> ל</w:t>
      </w:r>
      <w:hyperlink r:id="rId17" w:history="1">
        <w:r w:rsidR="005A698A" w:rsidRPr="005A698A">
          <w:rPr>
            <w:rFonts w:ascii="FrankRuehl" w:hAnsi="FrankRuehl" w:cs="FrankRuehl"/>
            <w:color w:val="0000FF"/>
            <w:sz w:val="28"/>
            <w:szCs w:val="28"/>
            <w:u w:val="single"/>
            <w:rtl/>
          </w:rPr>
          <w:t>חוק העונשין</w:t>
        </w:r>
      </w:hyperlink>
      <w:r>
        <w:rPr>
          <w:rFonts w:ascii="FrankRuehl" w:hAnsi="FrankRuehl" w:cs="FrankRuehl"/>
          <w:sz w:val="28"/>
          <w:szCs w:val="28"/>
          <w:rtl/>
        </w:rPr>
        <w:t>, התשל"ז-1977</w:t>
      </w:r>
      <w:r w:rsidR="005A698A">
        <w:rPr>
          <w:rFonts w:ascii="FrankRuehl" w:hAnsi="FrankRuehl" w:cs="FrankRuehl"/>
          <w:sz w:val="28"/>
          <w:szCs w:val="28"/>
          <w:rtl/>
        </w:rPr>
        <w:t xml:space="preserve"> </w:t>
      </w:r>
      <w:r>
        <w:rPr>
          <w:rFonts w:ascii="FrankRuehl" w:hAnsi="FrankRuehl" w:cs="FrankRuehl"/>
          <w:sz w:val="28"/>
          <w:szCs w:val="28"/>
          <w:rtl/>
        </w:rPr>
        <w:t xml:space="preserve">(להלן: </w:t>
      </w:r>
      <w:r>
        <w:rPr>
          <w:rFonts w:ascii="Miriam" w:hAnsi="Miriam" w:cs="Miriam"/>
          <w:rtl/>
        </w:rPr>
        <w:t>חוק העונשין</w:t>
      </w:r>
      <w:r>
        <w:rPr>
          <w:rFonts w:ascii="FrankRuehl" w:hAnsi="FrankRuehl" w:cs="FrankRuehl"/>
          <w:sz w:val="28"/>
          <w:szCs w:val="28"/>
          <w:rtl/>
        </w:rPr>
        <w:t xml:space="preserve">). הנאשם 3 הורשע בעבירה של סיוע לנשיאת נשק והובלתו, עבירה </w:t>
      </w:r>
      <w:r>
        <w:rPr>
          <w:rFonts w:ascii="FrankRuehl" w:hAnsi="FrankRuehl" w:cs="FrankRuehl" w:hint="cs"/>
          <w:sz w:val="28"/>
          <w:szCs w:val="28"/>
          <w:rtl/>
        </w:rPr>
        <w:t>בניגוד</w:t>
      </w:r>
      <w:r>
        <w:rPr>
          <w:rFonts w:ascii="FrankRuehl" w:hAnsi="FrankRuehl" w:cs="FrankRuehl"/>
          <w:sz w:val="28"/>
          <w:szCs w:val="28"/>
          <w:rtl/>
        </w:rPr>
        <w:t xml:space="preserve"> </w:t>
      </w:r>
      <w:hyperlink r:id="rId18" w:history="1">
        <w:r w:rsidR="00D13F46" w:rsidRPr="00D13F46">
          <w:rPr>
            <w:rStyle w:val="Hyperlink"/>
            <w:rFonts w:ascii="FrankRuehl" w:hAnsi="FrankRuehl" w:cs="FrankRuehl"/>
            <w:sz w:val="28"/>
            <w:szCs w:val="28"/>
            <w:rtl/>
          </w:rPr>
          <w:t>לסעיף 144(ב)</w:t>
        </w:r>
      </w:hyperlink>
      <w:r>
        <w:rPr>
          <w:rFonts w:ascii="FrankRuehl" w:hAnsi="FrankRuehl" w:cs="FrankRuehl"/>
          <w:sz w:val="28"/>
          <w:szCs w:val="28"/>
          <w:rtl/>
        </w:rPr>
        <w:t xml:space="preserve"> בצירוף </w:t>
      </w:r>
      <w:hyperlink r:id="rId19" w:history="1">
        <w:r w:rsidR="00D13F46" w:rsidRPr="00D13F46">
          <w:rPr>
            <w:rStyle w:val="Hyperlink"/>
            <w:rFonts w:ascii="FrankRuehl" w:hAnsi="FrankRuehl" w:cs="FrankRuehl"/>
            <w:sz w:val="28"/>
            <w:szCs w:val="28"/>
            <w:rtl/>
          </w:rPr>
          <w:t>סעיף 31</w:t>
        </w:r>
      </w:hyperlink>
      <w:r>
        <w:rPr>
          <w:rFonts w:ascii="FrankRuehl" w:hAnsi="FrankRuehl" w:cs="FrankRuehl"/>
          <w:sz w:val="28"/>
          <w:szCs w:val="28"/>
          <w:rtl/>
        </w:rPr>
        <w:t xml:space="preserve"> לחוק. במסגרת הסדר הטיעון סוכם כי הצדדים יטענו לעונש באופן חופשי, </w:t>
      </w:r>
      <w:r>
        <w:rPr>
          <w:rStyle w:val="normal-h"/>
          <w:rFonts w:ascii="FrankRuehl" w:hAnsi="FrankRuehl" w:cs="FrankRuehl"/>
          <w:sz w:val="28"/>
          <w:szCs w:val="28"/>
          <w:rtl/>
        </w:rPr>
        <w:t xml:space="preserve">כאשר המאשימה תטען בעניינם של נאשמים </w:t>
      </w:r>
      <w:r>
        <w:rPr>
          <w:rStyle w:val="normal-h"/>
          <w:rFonts w:ascii="FrankRuehl" w:hAnsi="FrankRuehl" w:cs="FrankRuehl" w:hint="cs"/>
          <w:sz w:val="28"/>
          <w:szCs w:val="28"/>
          <w:rtl/>
        </w:rPr>
        <w:t xml:space="preserve">1 ו- 2 </w:t>
      </w:r>
      <w:r>
        <w:rPr>
          <w:rStyle w:val="normal-h"/>
          <w:rFonts w:ascii="FrankRuehl" w:hAnsi="FrankRuehl" w:cs="FrankRuehl"/>
          <w:sz w:val="28"/>
          <w:szCs w:val="28"/>
          <w:rtl/>
        </w:rPr>
        <w:t xml:space="preserve">לעונש של מאסר בפועל ראוי של 8 שנים ו-10 חודשים, ובעניינו של נאשם מס' 3 לעונש ראוי של 4 שנים </w:t>
      </w:r>
      <w:r>
        <w:rPr>
          <w:rStyle w:val="normal-h"/>
          <w:rFonts w:ascii="FrankRuehl" w:hAnsi="FrankRuehl" w:cs="FrankRuehl"/>
          <w:sz w:val="28"/>
          <w:szCs w:val="28"/>
          <w:rtl/>
        </w:rPr>
        <w:lastRenderedPageBreak/>
        <w:t xml:space="preserve">ו-5 חודשים. בעניין הכספים שנתפסו בעת מעצרם של הנאשמים, סוכם כי המאשימה תבקש לחלט את הכספים וההגנה תבקש להתייחס אליהן כאל חלק מרכיב הקנס. </w:t>
      </w:r>
    </w:p>
    <w:p w14:paraId="19B502FA" w14:textId="77777777" w:rsidR="00AC43A3" w:rsidRDefault="00AC43A3" w:rsidP="00AC43A3">
      <w:pPr>
        <w:spacing w:line="360" w:lineRule="auto"/>
        <w:jc w:val="both"/>
        <w:rPr>
          <w:rtl/>
        </w:rPr>
      </w:pPr>
      <w:bookmarkStart w:id="6" w:name="ABSTRACT_END"/>
      <w:bookmarkEnd w:id="6"/>
    </w:p>
    <w:p w14:paraId="503FF1C8" w14:textId="77777777" w:rsidR="00AC43A3" w:rsidRPr="00AC43A3" w:rsidRDefault="00AC43A3" w:rsidP="00AC43A3">
      <w:pPr>
        <w:spacing w:line="360" w:lineRule="auto"/>
        <w:jc w:val="both"/>
        <w:rPr>
          <w:rFonts w:ascii="FrankRuehl" w:eastAsia="Calibri" w:hAnsi="FrankRuehl" w:cs="FrankRuehl"/>
          <w:sz w:val="28"/>
          <w:szCs w:val="28"/>
          <w:rtl/>
        </w:rPr>
      </w:pPr>
      <w:r>
        <w:rPr>
          <w:rFonts w:ascii="FrankRuehl" w:hAnsi="FrankRuehl" w:cs="FrankRuehl"/>
          <w:sz w:val="28"/>
          <w:szCs w:val="28"/>
          <w:rtl/>
        </w:rPr>
        <w:t>2.</w:t>
      </w:r>
      <w:r>
        <w:rPr>
          <w:rFonts w:ascii="FrankRuehl" w:hAnsi="FrankRuehl" w:cs="FrankRuehl"/>
          <w:sz w:val="28"/>
          <w:szCs w:val="28"/>
          <w:rtl/>
        </w:rPr>
        <w:tab/>
        <w:t>על פי</w:t>
      </w:r>
      <w:r w:rsidR="005A698A">
        <w:rPr>
          <w:rFonts w:ascii="FrankRuehl" w:hAnsi="FrankRuehl" w:cs="FrankRuehl"/>
          <w:sz w:val="28"/>
          <w:szCs w:val="28"/>
          <w:rtl/>
        </w:rPr>
        <w:t xml:space="preserve"> </w:t>
      </w:r>
      <w:r>
        <w:rPr>
          <w:rFonts w:ascii="FrankRuehl" w:hAnsi="FrankRuehl" w:cs="FrankRuehl"/>
          <w:sz w:val="28"/>
          <w:szCs w:val="28"/>
          <w:rtl/>
        </w:rPr>
        <w:t xml:space="preserve">עובדות כתב האישום, הנאשמים הם תושבי מזרח ירושלים, להם קיימת הכרות עם הגב' נרמין טובג'י, שאף היא מתגוררת במזרח ירושלים (להלן: </w:t>
      </w:r>
      <w:r>
        <w:rPr>
          <w:rFonts w:ascii="Miriam" w:hAnsi="Miriam" w:cs="Miriam"/>
          <w:rtl/>
        </w:rPr>
        <w:t>נרמין</w:t>
      </w:r>
      <w:r>
        <w:rPr>
          <w:rFonts w:ascii="FrankRuehl" w:hAnsi="FrankRuehl" w:cs="FrankRuehl"/>
          <w:sz w:val="28"/>
          <w:szCs w:val="28"/>
          <w:rtl/>
        </w:rPr>
        <w:t xml:space="preserve">). הנאשמים ונרמין קשרו קשר לקבל לרשותם כלי נשק ותחמושת. לשם הוצאת הקשר לפועל, ביום 24.1.2022 שכרה נרמין רכב מסוג סובארו מ"ר 2362839 (להלן: </w:t>
      </w:r>
      <w:r>
        <w:rPr>
          <w:rFonts w:ascii="Miriam" w:hAnsi="Miriam" w:cs="Miriam"/>
          <w:rtl/>
        </w:rPr>
        <w:t>הסובארו</w:t>
      </w:r>
      <w:r>
        <w:rPr>
          <w:rFonts w:ascii="FrankRuehl" w:hAnsi="FrankRuehl" w:cs="FrankRuehl"/>
          <w:sz w:val="28"/>
          <w:szCs w:val="28"/>
          <w:rtl/>
        </w:rPr>
        <w:t xml:space="preserve">) ונאשם 2 שכר רכב מסוג קיה מ"ר 14984501 (להלן: </w:t>
      </w:r>
      <w:r>
        <w:rPr>
          <w:rFonts w:ascii="Miriam" w:hAnsi="Miriam" w:cs="Miriam"/>
          <w:rtl/>
        </w:rPr>
        <w:t>הקיה</w:t>
      </w:r>
      <w:r>
        <w:rPr>
          <w:rFonts w:ascii="FrankRuehl" w:hAnsi="FrankRuehl" w:cs="FrankRuehl"/>
          <w:sz w:val="28"/>
          <w:szCs w:val="28"/>
          <w:rtl/>
        </w:rPr>
        <w:t xml:space="preserve">). ביום 25.1.2022 בסמוך לשעה 09:00 נסעו הנאשמים ונרמין מירושלים לכיוון צפון: נרמין נסעה ברכבה מסוג פורד פוקוס מ"ר 4641314 (להלן: </w:t>
      </w:r>
      <w:r>
        <w:rPr>
          <w:rFonts w:ascii="Miriam" w:hAnsi="Miriam" w:cs="Miriam"/>
          <w:rtl/>
        </w:rPr>
        <w:t>הפורד</w:t>
      </w:r>
      <w:r>
        <w:rPr>
          <w:rFonts w:ascii="FrankRuehl" w:hAnsi="FrankRuehl" w:cs="FrankRuehl"/>
          <w:sz w:val="28"/>
          <w:szCs w:val="28"/>
          <w:rtl/>
        </w:rPr>
        <w:t>), נאשמים 1 ו-2 נסעו בסובארו ונאשם 3 נסע בקיה. הנאשמים ונרמין אף הצטיידו בטלפונים ניידים מבצעיים לשם הוצאת הקשר לפועל ובזמן הנסיעה צפונה תקשרו ביניהם באמצעותם.</w:t>
      </w:r>
    </w:p>
    <w:p w14:paraId="402B7201" w14:textId="77777777" w:rsidR="00AC43A3" w:rsidRDefault="00AC43A3" w:rsidP="00AC43A3">
      <w:pPr>
        <w:spacing w:line="360" w:lineRule="auto"/>
        <w:ind w:firstLine="720"/>
        <w:jc w:val="both"/>
        <w:rPr>
          <w:rFonts w:ascii="FrankRuehl" w:hAnsi="FrankRuehl" w:cs="FrankRuehl"/>
          <w:sz w:val="28"/>
          <w:szCs w:val="28"/>
          <w:rtl/>
        </w:rPr>
      </w:pPr>
    </w:p>
    <w:p w14:paraId="5DC15CDD" w14:textId="77777777" w:rsidR="00AC43A3" w:rsidRDefault="00AC43A3" w:rsidP="00AC43A3">
      <w:pPr>
        <w:spacing w:line="360" w:lineRule="auto"/>
        <w:ind w:firstLine="720"/>
        <w:jc w:val="both"/>
        <w:rPr>
          <w:rFonts w:ascii="FrankRuehl" w:hAnsi="FrankRuehl" w:cs="FrankRuehl"/>
          <w:sz w:val="28"/>
          <w:szCs w:val="28"/>
          <w:rtl/>
        </w:rPr>
      </w:pPr>
      <w:r>
        <w:rPr>
          <w:rFonts w:ascii="FrankRuehl" w:hAnsi="FrankRuehl" w:cs="FrankRuehl"/>
          <w:sz w:val="28"/>
          <w:szCs w:val="28"/>
          <w:rtl/>
        </w:rPr>
        <w:t xml:space="preserve"> בסמוך לשעה 11:30 הגיעו הנאשמים ונרמין לאזור הסמוך לקיבוץ אשדות יעקב, שם נאשמים 1 ו-2 קיבלו לרשותם שק המכיל חמישים ושלושה כלי נשק וכן תחמושת, כמפורט: תת מקלע צ'כי 9 מ"מ עם חמש מחסניות תואמות, ארבעה רובים מסוג 16</w:t>
      </w:r>
      <w:r>
        <w:rPr>
          <w:rFonts w:ascii="FrankRuehl" w:hAnsi="FrankRuehl" w:cs="FrankRuehl"/>
        </w:rPr>
        <w:t>M</w:t>
      </w:r>
      <w:r>
        <w:rPr>
          <w:rFonts w:ascii="FrankRuehl" w:hAnsi="FrankRuehl" w:cs="FrankRuehl"/>
          <w:sz w:val="28"/>
          <w:szCs w:val="28"/>
          <w:rtl/>
        </w:rPr>
        <w:t xml:space="preserve"> וארבע מחסניות תואמות, עשרה רובים מסוג קלצ'ניקוב ועשר מחסניות תואמות, שלושים ושמונה אקדחים בקוטר 9 מ"מ מסוגים שונים ושלושים ושמונה מחסניות תואמות, 1000 כדורים בקוטר 9 מ"מ ו-498 כדורים בקוטר 7.62 מ"מ, המהווים כולם נשק ותחמושת כהגדרת החוק. נאשמים 1 ו-2 הניחו את השק בתא המטען של הפורד, זאת בעוד נאשם 3 ממתין להם בקרבת מקום ומצוי בקשר טלפוני רציף איתם. לאחר מכן החלו הנאשמים ונרמין בנסיעה בכלי הרכב חזרה לכיוון ירושלים כאשר נאשם 3 מוביל אתם ונוסע בקיה, ובסמוך לכך נעצרו בכביש 90 על ידי בלשי משטרת ישראל והנשקים נתפסו על ידי משטרת ישראל. </w:t>
      </w:r>
    </w:p>
    <w:p w14:paraId="5E147595" w14:textId="77777777" w:rsidR="00AC43A3" w:rsidRDefault="00AC43A3" w:rsidP="00AC43A3">
      <w:pPr>
        <w:spacing w:line="360" w:lineRule="auto"/>
        <w:ind w:firstLine="720"/>
        <w:jc w:val="both"/>
        <w:rPr>
          <w:rFonts w:ascii="FrankRuehl" w:hAnsi="FrankRuehl" w:cs="FrankRuehl"/>
          <w:sz w:val="28"/>
          <w:szCs w:val="28"/>
          <w:rtl/>
        </w:rPr>
      </w:pPr>
    </w:p>
    <w:p w14:paraId="51EFB32A" w14:textId="77777777" w:rsidR="00AC43A3" w:rsidRDefault="00AC43A3" w:rsidP="00AC43A3">
      <w:pPr>
        <w:spacing w:line="360" w:lineRule="auto"/>
        <w:jc w:val="both"/>
        <w:rPr>
          <w:rFonts w:ascii="Miriam" w:hAnsi="Miriam" w:cs="Miriam"/>
          <w:rtl/>
        </w:rPr>
      </w:pPr>
      <w:r>
        <w:rPr>
          <w:rFonts w:ascii="Miriam" w:hAnsi="Miriam" w:cs="Miriam"/>
          <w:rtl/>
        </w:rPr>
        <w:t>טיעוני הצדדים לעונש</w:t>
      </w:r>
    </w:p>
    <w:p w14:paraId="73B92A85" w14:textId="77777777" w:rsidR="00AC43A3" w:rsidRDefault="00AC43A3" w:rsidP="00AC43A3">
      <w:pPr>
        <w:spacing w:line="360" w:lineRule="auto"/>
        <w:ind w:firstLine="720"/>
        <w:jc w:val="both"/>
        <w:rPr>
          <w:rFonts w:ascii="FrankRuehl" w:hAnsi="FrankRuehl" w:cs="FrankRuehl"/>
          <w:sz w:val="28"/>
          <w:szCs w:val="28"/>
          <w:rtl/>
        </w:rPr>
      </w:pPr>
    </w:p>
    <w:p w14:paraId="21A12F79" w14:textId="77777777" w:rsidR="00AC43A3" w:rsidRDefault="00AC43A3" w:rsidP="00AC43A3">
      <w:pPr>
        <w:spacing w:line="360" w:lineRule="auto"/>
        <w:jc w:val="both"/>
        <w:rPr>
          <w:rFonts w:ascii="FrankRuehl" w:hAnsi="FrankRuehl" w:cs="FrankRuehl"/>
          <w:sz w:val="28"/>
          <w:szCs w:val="28"/>
          <w:rtl/>
        </w:rPr>
      </w:pPr>
      <w:r>
        <w:rPr>
          <w:rFonts w:ascii="FrankRuehl" w:hAnsi="FrankRuehl" w:cs="FrankRuehl" w:hint="cs"/>
          <w:sz w:val="28"/>
          <w:szCs w:val="28"/>
          <w:rtl/>
        </w:rPr>
        <w:t>3.</w:t>
      </w:r>
      <w:r>
        <w:rPr>
          <w:rFonts w:ascii="FrankRuehl" w:hAnsi="FrankRuehl" w:cs="FrankRuehl" w:hint="cs"/>
          <w:sz w:val="28"/>
          <w:szCs w:val="28"/>
          <w:rtl/>
        </w:rPr>
        <w:tab/>
      </w:r>
      <w:r>
        <w:rPr>
          <w:rFonts w:ascii="FrankRuehl" w:hAnsi="FrankRuehl" w:cs="FrankRuehl"/>
          <w:sz w:val="28"/>
          <w:szCs w:val="28"/>
          <w:rtl/>
        </w:rPr>
        <w:t xml:space="preserve">בא כוח המאשימה ציינה בפתח טיעוניה, </w:t>
      </w:r>
      <w:r>
        <w:rPr>
          <w:rFonts w:ascii="FrankRuehl" w:hAnsi="FrankRuehl" w:cs="FrankRuehl"/>
          <w:color w:val="000000"/>
          <w:spacing w:val="10"/>
          <w:sz w:val="28"/>
          <w:szCs w:val="28"/>
          <w:rtl/>
        </w:rPr>
        <w:t>כי למרבה הצער, הפכה תופעת השימוש בנשק חם למכת מדינה, בפרט בחברה הערבית ובמחוז הצפוני. במציאות הנוכחית, חפים מפשע, לרבות פעוטות וקטינים, מוצאים את מותם, כאשר כל חטאם בכך ששיחקו בגני שעשועים או שהו בביתם. הודגש, כי העבריינים מסתובבים ברחובות, בשכונות, ליד בתי הספר, ופ</w:t>
      </w:r>
      <w:r>
        <w:rPr>
          <w:rFonts w:ascii="FrankRuehl" w:hAnsi="FrankRuehl" w:cs="FrankRuehl" w:hint="cs"/>
          <w:color w:val="000000"/>
          <w:spacing w:val="10"/>
          <w:sz w:val="28"/>
          <w:szCs w:val="28"/>
          <w:rtl/>
        </w:rPr>
        <w:t>ו</w:t>
      </w:r>
      <w:r>
        <w:rPr>
          <w:rFonts w:ascii="FrankRuehl" w:hAnsi="FrankRuehl" w:cs="FrankRuehl"/>
          <w:color w:val="000000"/>
          <w:spacing w:val="10"/>
          <w:sz w:val="28"/>
          <w:szCs w:val="28"/>
          <w:rtl/>
        </w:rPr>
        <w:t xml:space="preserve">געים קשות בתחושת המוגנות של האזרח. תחושה זו, מביאה לכדי כרסום </w:t>
      </w:r>
      <w:r>
        <w:rPr>
          <w:rFonts w:ascii="FrankRuehl" w:hAnsi="FrankRuehl" w:cs="FrankRuehl"/>
          <w:color w:val="000000"/>
          <w:spacing w:val="10"/>
          <w:sz w:val="28"/>
          <w:szCs w:val="28"/>
          <w:rtl/>
        </w:rPr>
        <w:lastRenderedPageBreak/>
        <w:t>באמון שרוחשים האזרחים למערכת השפיטה והתביעה. היא אף גורמת בעקיפי</w:t>
      </w:r>
      <w:r>
        <w:rPr>
          <w:rFonts w:ascii="FrankRuehl" w:hAnsi="FrankRuehl" w:cs="FrankRuehl" w:hint="cs"/>
          <w:color w:val="000000"/>
          <w:spacing w:val="10"/>
          <w:sz w:val="28"/>
          <w:szCs w:val="28"/>
          <w:rtl/>
        </w:rPr>
        <w:t>ן</w:t>
      </w:r>
      <w:r>
        <w:rPr>
          <w:rFonts w:ascii="FrankRuehl" w:hAnsi="FrankRuehl" w:cs="FrankRuehl"/>
          <w:color w:val="000000"/>
          <w:spacing w:val="10"/>
          <w:sz w:val="28"/>
          <w:szCs w:val="28"/>
          <w:rtl/>
        </w:rPr>
        <w:t xml:space="preserve"> למרוץ חימוש ולאובדן משילות, שעה שתחושת אזרחים רבים היא שקצרה ידם של רשויות החוק מלהושיע.</w:t>
      </w:r>
    </w:p>
    <w:p w14:paraId="3FA6F1E0" w14:textId="77777777" w:rsidR="00AC43A3" w:rsidRPr="00D150F2" w:rsidRDefault="00AC43A3" w:rsidP="00AC43A3">
      <w:pPr>
        <w:spacing w:line="360" w:lineRule="auto"/>
        <w:jc w:val="both"/>
        <w:rPr>
          <w:rFonts w:ascii="FrankRuehl" w:hAnsi="FrankRuehl" w:cs="FrankRuehl"/>
          <w:sz w:val="28"/>
          <w:szCs w:val="28"/>
          <w:rtl/>
        </w:rPr>
      </w:pPr>
    </w:p>
    <w:p w14:paraId="0299EBB4" w14:textId="77777777" w:rsidR="00AC43A3" w:rsidRDefault="00AC43A3" w:rsidP="00AC43A3">
      <w:pPr>
        <w:spacing w:line="360" w:lineRule="auto"/>
        <w:jc w:val="both"/>
        <w:rPr>
          <w:rFonts w:ascii="FrankRuehl" w:hAnsi="FrankRuehl" w:cs="FrankRuehl"/>
          <w:color w:val="000000"/>
          <w:spacing w:val="10"/>
          <w:sz w:val="28"/>
          <w:szCs w:val="28"/>
          <w:rtl/>
        </w:rPr>
      </w:pPr>
      <w:r>
        <w:rPr>
          <w:rFonts w:ascii="FrankRuehl" w:hAnsi="FrankRuehl" w:cs="FrankRuehl"/>
          <w:color w:val="000000"/>
          <w:spacing w:val="10"/>
          <w:sz w:val="28"/>
          <w:szCs w:val="28"/>
          <w:rtl/>
        </w:rPr>
        <w:tab/>
        <w:t>בעניינם של הנאשמים, הודגש, כי אף אם אין מדובר בעבירות אלימות ופגיעה פיזית ישירה בקורבנות, לא ניתן להתעלם מההיקף העצום של העבירה – נשיאה והובלה של 53 כלי נשק מסוגים שונים. מדובר בנסיבה משמעותית שיש להביא בשיקולי גזר הדין. לטעמיה, אלמלא סוכלה התוכנית, הנשק היה מגיע בהכרח לידיהם של גורמים עבריינים והיה מוביל לפגיעות קשות לרבות לרציחות חפים מפשע.</w:t>
      </w:r>
    </w:p>
    <w:p w14:paraId="65F41D3F" w14:textId="77777777" w:rsidR="00AC43A3" w:rsidRDefault="00AC43A3" w:rsidP="00AC43A3">
      <w:pPr>
        <w:spacing w:line="360" w:lineRule="auto"/>
        <w:jc w:val="both"/>
        <w:rPr>
          <w:rFonts w:ascii="FrankRuehl" w:hAnsi="FrankRuehl" w:cs="FrankRuehl"/>
          <w:color w:val="000000"/>
          <w:spacing w:val="10"/>
          <w:sz w:val="28"/>
          <w:szCs w:val="28"/>
          <w:rtl/>
        </w:rPr>
      </w:pPr>
    </w:p>
    <w:p w14:paraId="6112F751" w14:textId="77777777" w:rsidR="00AC43A3" w:rsidRDefault="00AC43A3" w:rsidP="00AC43A3">
      <w:pPr>
        <w:spacing w:line="360" w:lineRule="auto"/>
        <w:jc w:val="both"/>
        <w:rPr>
          <w:rFonts w:ascii="FrankRuehl" w:hAnsi="FrankRuehl" w:cs="FrankRuehl"/>
          <w:color w:val="000000"/>
          <w:spacing w:val="10"/>
          <w:sz w:val="28"/>
          <w:szCs w:val="28"/>
          <w:rtl/>
        </w:rPr>
      </w:pPr>
      <w:r>
        <w:rPr>
          <w:rFonts w:ascii="FrankRuehl" w:hAnsi="FrankRuehl" w:cs="FrankRuehl"/>
          <w:color w:val="000000"/>
          <w:spacing w:val="10"/>
          <w:sz w:val="28"/>
          <w:szCs w:val="28"/>
          <w:rtl/>
        </w:rPr>
        <w:t xml:space="preserve"> </w:t>
      </w:r>
      <w:r>
        <w:rPr>
          <w:rFonts w:ascii="FrankRuehl" w:hAnsi="FrankRuehl" w:cs="FrankRuehl"/>
          <w:color w:val="000000"/>
          <w:spacing w:val="10"/>
          <w:sz w:val="28"/>
          <w:szCs w:val="28"/>
          <w:rtl/>
        </w:rPr>
        <w:tab/>
        <w:t>בא כוח המאשימה המשיכה וטענה, כי נוכח עבירות הנשק אשר הפכו למכת מדינה, שגלומה בה סכנה ממשית לשלום הציבור ולביטחונו, יש להטיל עונשים מרתיעים ומשמעותיים המשקפים מסר מרתיע ויש לנהוג בעניין זה כבשעת חירום.</w:t>
      </w:r>
    </w:p>
    <w:p w14:paraId="2FA6D1D1" w14:textId="77777777" w:rsidR="00AC43A3" w:rsidRDefault="00AC43A3" w:rsidP="00AC43A3">
      <w:pPr>
        <w:spacing w:line="360" w:lineRule="auto"/>
        <w:jc w:val="both"/>
        <w:rPr>
          <w:rFonts w:ascii="FrankRuehl" w:hAnsi="FrankRuehl" w:cs="FrankRuehl"/>
          <w:color w:val="000000"/>
          <w:spacing w:val="10"/>
          <w:sz w:val="28"/>
          <w:szCs w:val="28"/>
          <w:rtl/>
        </w:rPr>
      </w:pPr>
    </w:p>
    <w:p w14:paraId="2DCC0E47" w14:textId="77777777" w:rsidR="00AC43A3" w:rsidRDefault="00AC43A3" w:rsidP="00AC43A3">
      <w:pPr>
        <w:spacing w:line="360" w:lineRule="auto"/>
        <w:jc w:val="both"/>
        <w:rPr>
          <w:rFonts w:ascii="FrankRuehl" w:hAnsi="FrankRuehl" w:cs="FrankRuehl"/>
          <w:sz w:val="28"/>
          <w:szCs w:val="28"/>
          <w:rtl/>
        </w:rPr>
      </w:pPr>
      <w:r>
        <w:rPr>
          <w:rFonts w:ascii="FrankRuehl" w:hAnsi="FrankRuehl" w:cs="FrankRuehl"/>
          <w:sz w:val="28"/>
          <w:szCs w:val="28"/>
          <w:rtl/>
        </w:rPr>
        <w:tab/>
        <w:t xml:space="preserve">בא כוח המאשימה התייחסה בטיעוניה לנסיבות ביצוע העבירה, תוך שחזרה על עובדות כתב האישום, והדגישה כי לעבירות קדם תכנון מדוקדק – הנאשמים שכרו רכבים ורכשו טלפונים לשם מימוש התוכנית העבריינית; כי חלקם היחסי של הנאשמים 1 ו-2  במהלך העבירה הינו משמעותי; לגבי נאשם 3 נטען כי הגם שיוחסה לו עבירת סיוע, הרי שהוא נטל חלק בלתי מבוטל ואף מהותי בהשלמת העבירה; נטען כי הנזק שעשוי היה להיגרם הינו עצום, נוכח כמות הנשק החריגה שנתפסה. בא כוח המאשימה הפנתה לצבר של פסקי דין המלמדים על מדיניות הענישה ואף לקביעת בית המשפט העליון, לפיה, עונשו של בגיר ללא עבר פלילי אשר נושא אקדח במרחב הציבורי יחל מריצוי 30 חודשי מאסר. לטענתה, ניתן היה להפנות למתחם שכזה ולהכפילו בכמות הנשקים שנתפסו, אך בסופו של יום, עתרה בא כח המאשימה לקבוע שמתחם העונש ההולם </w:t>
      </w:r>
      <w:r>
        <w:rPr>
          <w:rFonts w:ascii="FrankRuehl" w:hAnsi="FrankRuehl" w:cs="FrankRuehl"/>
          <w:b/>
          <w:bCs/>
          <w:sz w:val="28"/>
          <w:szCs w:val="28"/>
          <w:rtl/>
        </w:rPr>
        <w:t>נע בין 8-10 שנות מאסר בעניינם של נאשמים 1-2, ו</w:t>
      </w:r>
      <w:r>
        <w:rPr>
          <w:rFonts w:ascii="FrankRuehl" w:hAnsi="FrankRuehl" w:cs="FrankRuehl" w:hint="cs"/>
          <w:b/>
          <w:bCs/>
          <w:sz w:val="28"/>
          <w:szCs w:val="28"/>
          <w:rtl/>
        </w:rPr>
        <w:t xml:space="preserve">בין </w:t>
      </w:r>
      <w:r>
        <w:rPr>
          <w:rFonts w:ascii="FrankRuehl" w:hAnsi="FrankRuehl" w:cs="FrankRuehl"/>
          <w:b/>
          <w:bCs/>
          <w:sz w:val="28"/>
          <w:szCs w:val="28"/>
          <w:rtl/>
        </w:rPr>
        <w:t xml:space="preserve"> 4-6 שנות מאסר בעניינו של נאשם 3, לצד הטלת עונשים נלווים</w:t>
      </w:r>
      <w:r>
        <w:rPr>
          <w:rFonts w:ascii="FrankRuehl" w:hAnsi="FrankRuehl" w:cs="FrankRuehl"/>
          <w:sz w:val="28"/>
          <w:szCs w:val="28"/>
          <w:rtl/>
        </w:rPr>
        <w:t>.</w:t>
      </w:r>
    </w:p>
    <w:p w14:paraId="084C7AFC" w14:textId="77777777" w:rsidR="00AC43A3" w:rsidRDefault="00AC43A3" w:rsidP="00AC43A3">
      <w:pPr>
        <w:spacing w:line="360" w:lineRule="auto"/>
        <w:jc w:val="both"/>
        <w:rPr>
          <w:rFonts w:ascii="FrankRuehl" w:hAnsi="FrankRuehl" w:cs="FrankRuehl"/>
          <w:sz w:val="28"/>
          <w:szCs w:val="28"/>
          <w:rtl/>
        </w:rPr>
      </w:pPr>
    </w:p>
    <w:p w14:paraId="7916CA12" w14:textId="77777777" w:rsidR="00AC43A3" w:rsidRDefault="00AC43A3" w:rsidP="00AC43A3">
      <w:pPr>
        <w:spacing w:line="360" w:lineRule="auto"/>
        <w:jc w:val="both"/>
        <w:rPr>
          <w:rFonts w:ascii="FrankRuehl" w:hAnsi="FrankRuehl" w:cs="FrankRuehl"/>
          <w:sz w:val="28"/>
          <w:szCs w:val="28"/>
          <w:rtl/>
        </w:rPr>
      </w:pPr>
      <w:r>
        <w:rPr>
          <w:rFonts w:ascii="FrankRuehl" w:hAnsi="FrankRuehl" w:cs="FrankRuehl"/>
          <w:sz w:val="28"/>
          <w:szCs w:val="28"/>
          <w:rtl/>
        </w:rPr>
        <w:tab/>
        <w:t xml:space="preserve">לעניין הנסיבות שאינן קשורות בביצוע העבירה, הזכירה בא כוח המאשימה כי הנאשמים הודו וחסכו בזמן שיפוטי. היא הפנתה לגיליון הרישום הפלילי של נאשמים 2 ו-3 וציינה כי הנאשם 1 נעדר עבר פלילי. יחד עם זאת, נוכח תופעת הנשק הבלתי חוקי שפשטה בציבור ולאור שיקולי הרתעת הרבים, יש להעביר מסר כי העיסוק בנשק יגרור תגובה עונשית הולמת וחמורה. בסיכום כל אלה ביקשה ב"כ המאשימה לגזור על נאשמים 1 ו-2 עונש של </w:t>
      </w:r>
      <w:r w:rsidRPr="00001446">
        <w:rPr>
          <w:rFonts w:ascii="FrankRuehl" w:hAnsi="FrankRuehl" w:cs="FrankRuehl"/>
          <w:b/>
          <w:bCs/>
          <w:sz w:val="28"/>
          <w:szCs w:val="28"/>
          <w:rtl/>
        </w:rPr>
        <w:t>8 שנות מאסר ועשרה חודשים</w:t>
      </w:r>
      <w:r>
        <w:rPr>
          <w:rFonts w:ascii="FrankRuehl" w:hAnsi="FrankRuehl" w:cs="FrankRuehl"/>
          <w:sz w:val="28"/>
          <w:szCs w:val="28"/>
          <w:rtl/>
        </w:rPr>
        <w:t>, ועל נאשם 3 עונש של</w:t>
      </w:r>
      <w:r w:rsidRPr="00001446">
        <w:rPr>
          <w:rFonts w:ascii="FrankRuehl" w:hAnsi="FrankRuehl" w:cs="FrankRuehl"/>
          <w:b/>
          <w:bCs/>
          <w:sz w:val="28"/>
          <w:szCs w:val="28"/>
          <w:rtl/>
        </w:rPr>
        <w:t xml:space="preserve"> 4 שנות מאסר וחמישה חודשים. </w:t>
      </w:r>
      <w:r>
        <w:rPr>
          <w:rFonts w:ascii="FrankRuehl" w:hAnsi="FrankRuehl" w:cs="FrankRuehl"/>
          <w:sz w:val="28"/>
          <w:szCs w:val="28"/>
          <w:rtl/>
        </w:rPr>
        <w:t>עוד  ביקשה להטיל עליהם מאסר מותנה ממושך, וקנס משמעותי, אשר יבטא שווים העצום של האמצעים המשחיתים שנתפסו.</w:t>
      </w:r>
      <w:r>
        <w:rPr>
          <w:rFonts w:ascii="FrankRuehl" w:hAnsi="FrankRuehl" w:cs="FrankRuehl" w:hint="cs"/>
          <w:sz w:val="28"/>
          <w:szCs w:val="28"/>
          <w:rtl/>
        </w:rPr>
        <w:t xml:space="preserve"> בנוסף ביקשה המאשימה לחלט את סכומי המזומנים שנתפסו ברשות הנאשמים.</w:t>
      </w:r>
    </w:p>
    <w:p w14:paraId="7A52FB0A" w14:textId="77777777" w:rsidR="00AC43A3" w:rsidRDefault="00AC43A3" w:rsidP="00AC43A3">
      <w:pPr>
        <w:spacing w:line="360" w:lineRule="auto"/>
        <w:jc w:val="both"/>
        <w:rPr>
          <w:rFonts w:ascii="Miriam" w:hAnsi="Miriam" w:cs="Miriam"/>
          <w:rtl/>
        </w:rPr>
      </w:pPr>
    </w:p>
    <w:p w14:paraId="5C759B0D" w14:textId="77777777" w:rsidR="00AC43A3" w:rsidRDefault="00AC43A3" w:rsidP="00AC43A3">
      <w:pPr>
        <w:spacing w:line="360" w:lineRule="auto"/>
        <w:jc w:val="both"/>
        <w:rPr>
          <w:rFonts w:ascii="FrankRuehl" w:hAnsi="FrankRuehl" w:cs="FrankRuehl"/>
          <w:sz w:val="28"/>
          <w:szCs w:val="28"/>
          <w:rtl/>
        </w:rPr>
      </w:pPr>
      <w:r>
        <w:rPr>
          <w:rFonts w:ascii="FrankRuehl" w:hAnsi="FrankRuehl" w:cs="FrankRuehl"/>
          <w:sz w:val="28"/>
          <w:szCs w:val="28"/>
          <w:rtl/>
        </w:rPr>
        <w:t>4.</w:t>
      </w:r>
      <w:r w:rsidR="005A698A">
        <w:rPr>
          <w:rFonts w:ascii="FrankRuehl" w:hAnsi="FrankRuehl" w:cs="FrankRuehl"/>
          <w:sz w:val="28"/>
          <w:szCs w:val="28"/>
          <w:rtl/>
        </w:rPr>
        <w:t xml:space="preserve">       </w:t>
      </w:r>
      <w:r>
        <w:rPr>
          <w:rFonts w:ascii="FrankRuehl" w:hAnsi="FrankRuehl" w:cs="FrankRuehl"/>
          <w:sz w:val="28"/>
          <w:szCs w:val="28"/>
          <w:rtl/>
        </w:rPr>
        <w:t xml:space="preserve"> בא כוחם של נאשמים 1 ו-2 הדגיש בטיעוניו, כי הנאשמים הודו בהזדמנות הראשונה וחסכו זמן שיפוטי יקר. הוא הפנה לתקופת מעצרם הממושכת וטען כי </w:t>
      </w:r>
      <w:r>
        <w:rPr>
          <w:rFonts w:ascii="FrankRuehl" w:hAnsi="FrankRuehl" w:cs="FrankRuehl"/>
          <w:color w:val="000000"/>
          <w:spacing w:val="10"/>
          <w:sz w:val="28"/>
          <w:szCs w:val="28"/>
          <w:rtl/>
        </w:rPr>
        <w:t>יש להתחשב בגזר הדין בתקופה קשה זו שעברה על הנאשמים</w:t>
      </w:r>
      <w:r>
        <w:rPr>
          <w:rFonts w:ascii="FrankRuehl" w:hAnsi="FrankRuehl" w:cs="FrankRuehl"/>
          <w:color w:val="000000"/>
          <w:spacing w:val="10"/>
          <w:sz w:val="28"/>
          <w:szCs w:val="28"/>
        </w:rPr>
        <w:t>.</w:t>
      </w:r>
      <w:r>
        <w:rPr>
          <w:rFonts w:ascii="FrankRuehl" w:hAnsi="FrankRuehl" w:cs="FrankRuehl"/>
          <w:sz w:val="28"/>
          <w:szCs w:val="28"/>
          <w:rtl/>
        </w:rPr>
        <w:t xml:space="preserve"> </w:t>
      </w:r>
      <w:r>
        <w:rPr>
          <w:rFonts w:ascii="FrankRuehl" w:hAnsi="FrankRuehl" w:cs="FrankRuehl" w:hint="cs"/>
          <w:sz w:val="28"/>
          <w:szCs w:val="28"/>
          <w:rtl/>
        </w:rPr>
        <w:t xml:space="preserve">נטען, כי הנאשמים מעולם לא ישבו אחר סורג ובריח, משכך, אין למצות עימם את הדין. הסנגור הדגיש את עובדות כתב האישום תוך שהוא מחדד בין העבירות בהן הורשעו הנאשמים לעבירת ייבוא נשק. לטענתו, כתב האישום אינו מפרט את חלקם של הנאשמים כמבצעים בצוותא, למעט נשיאת הנשק לעבר תא המטען של נרמין. הסנגור טען כי בנסיבות בהם מדובר באירוע עברייני אחד, אין להסכים עם המתחם לו טענה המאשימה, מתחם שרלוונטי לעבירות ייבוא נשק. הסנגור הפנה לשורה של פסקי דין, המצביעים, כך על פי טענתו, על קביעת מתחם נמוך מזה לו טענה המאשימה, אף בנסיבות חמורות יותר. לטענתו, </w:t>
      </w:r>
      <w:r>
        <w:rPr>
          <w:rFonts w:ascii="FrankRuehl" w:hAnsi="FrankRuehl" w:cs="FrankRuehl" w:hint="cs"/>
          <w:b/>
          <w:bCs/>
          <w:sz w:val="28"/>
          <w:szCs w:val="28"/>
          <w:rtl/>
        </w:rPr>
        <w:t xml:space="preserve">המתחם הראוי נע בין 30-60 חודשי מאסר </w:t>
      </w:r>
      <w:r>
        <w:rPr>
          <w:rFonts w:ascii="FrankRuehl" w:hAnsi="FrankRuehl" w:cs="FrankRuehl" w:hint="cs"/>
          <w:sz w:val="28"/>
          <w:szCs w:val="28"/>
          <w:rtl/>
        </w:rPr>
        <w:t>ובנסיבות הנאשמים יש להטיל על כל אחד מהם 4 שנות מאסר וקנס.</w:t>
      </w:r>
    </w:p>
    <w:p w14:paraId="26CA3BA2" w14:textId="77777777" w:rsidR="00AC43A3" w:rsidRDefault="00AC43A3" w:rsidP="00AC43A3">
      <w:pPr>
        <w:spacing w:line="360" w:lineRule="auto"/>
        <w:jc w:val="both"/>
        <w:rPr>
          <w:rFonts w:ascii="FrankRuehl" w:hAnsi="FrankRuehl" w:cs="FrankRuehl"/>
          <w:sz w:val="28"/>
          <w:szCs w:val="28"/>
          <w:rtl/>
        </w:rPr>
      </w:pPr>
    </w:p>
    <w:p w14:paraId="375E7DA2" w14:textId="77777777" w:rsidR="00AC43A3" w:rsidRDefault="00AC43A3" w:rsidP="00AC43A3">
      <w:pPr>
        <w:spacing w:line="360" w:lineRule="auto"/>
        <w:jc w:val="both"/>
        <w:rPr>
          <w:rFonts w:ascii="FrankRuehl" w:hAnsi="FrankRuehl" w:cs="FrankRuehl"/>
          <w:sz w:val="28"/>
          <w:szCs w:val="28"/>
          <w:rtl/>
        </w:rPr>
      </w:pPr>
      <w:r>
        <w:rPr>
          <w:rFonts w:ascii="FrankRuehl" w:hAnsi="FrankRuehl" w:cs="FrankRuehl"/>
          <w:sz w:val="28"/>
          <w:szCs w:val="28"/>
          <w:rtl/>
        </w:rPr>
        <w:t>5.</w:t>
      </w:r>
      <w:r>
        <w:rPr>
          <w:rFonts w:ascii="FrankRuehl" w:hAnsi="FrankRuehl" w:cs="FrankRuehl"/>
          <w:sz w:val="28"/>
          <w:szCs w:val="28"/>
          <w:rtl/>
        </w:rPr>
        <w:tab/>
        <w:t xml:space="preserve">בא כוח נאשם 3 הפנה לאסופת פסיקה מטעמו, הדגיש אף הוא את עובדות כתב האישום ואת העובדה כי אין מדובר בריבוי עבירות. הוא הפנה להנחיית פרקליט המדינה </w:t>
      </w:r>
      <w:r>
        <w:rPr>
          <w:rFonts w:ascii="FrankRuehl" w:hAnsi="FrankRuehl" w:cs="FrankRuehl" w:hint="cs"/>
          <w:sz w:val="28"/>
          <w:szCs w:val="28"/>
          <w:rtl/>
        </w:rPr>
        <w:t xml:space="preserve">שסימונה 9.16 </w:t>
      </w:r>
      <w:r>
        <w:rPr>
          <w:rFonts w:ascii="FrankRuehl" w:hAnsi="FrankRuehl" w:cs="FrankRuehl"/>
          <w:sz w:val="28"/>
          <w:szCs w:val="28"/>
          <w:rtl/>
        </w:rPr>
        <w:t xml:space="preserve">בעניין מדיניות ענישה בעבירות נשק ומטעני חבלה. לפי הנחיה זו, ככל וקיים קריטריון של ריבוי כלי נשק, נדרש מתחם הולם חמור יותר, אלא שלא צוין מנגנון חישוב המתחם בנסיבות אלה. הסנגור הקפיד לציין כי כתב האישום המתוקן אינו מפרט מה היקף הסיוע של נאשם 3. לטעמו, חלקו בסיוע הינו נמוך והתמצה ב"פתיחת ציר", </w:t>
      </w:r>
      <w:r>
        <w:rPr>
          <w:rFonts w:ascii="FrankRuehl" w:hAnsi="FrankRuehl" w:cs="FrankRuehl" w:hint="cs"/>
          <w:sz w:val="28"/>
          <w:szCs w:val="28"/>
          <w:rtl/>
        </w:rPr>
        <w:t xml:space="preserve">מה שמחייב </w:t>
      </w:r>
      <w:r>
        <w:rPr>
          <w:rFonts w:ascii="FrankRuehl" w:hAnsi="FrankRuehl" w:cs="FrankRuehl"/>
          <w:sz w:val="28"/>
          <w:szCs w:val="28"/>
          <w:rtl/>
        </w:rPr>
        <w:t>קביעת מתחם ענישה הנמוך ממחצית עונשם של המבצעים העיקריים. עוד לטענתו, בקביעת הקנס אין לאמוד את שווי הנשקים שנתפסו, שכן הנאשמים אינם סוחרי הנשק אלא לכל היותר בגדר מוביליו.</w:t>
      </w:r>
    </w:p>
    <w:p w14:paraId="3F068A24" w14:textId="77777777" w:rsidR="00AC43A3" w:rsidRDefault="00AC43A3" w:rsidP="00AC43A3">
      <w:pPr>
        <w:spacing w:line="360" w:lineRule="auto"/>
        <w:jc w:val="both"/>
        <w:rPr>
          <w:rFonts w:ascii="FrankRuehl" w:hAnsi="FrankRuehl" w:cs="FrankRuehl"/>
          <w:sz w:val="28"/>
          <w:szCs w:val="28"/>
          <w:rtl/>
        </w:rPr>
      </w:pPr>
    </w:p>
    <w:p w14:paraId="78EE5C32" w14:textId="77777777" w:rsidR="00AC43A3" w:rsidRDefault="00AC43A3" w:rsidP="00AC43A3">
      <w:pPr>
        <w:spacing w:line="360" w:lineRule="auto"/>
        <w:ind w:firstLine="720"/>
        <w:jc w:val="both"/>
        <w:rPr>
          <w:rFonts w:ascii="FrankRuehl" w:hAnsi="FrankRuehl" w:cs="FrankRuehl"/>
          <w:sz w:val="28"/>
          <w:szCs w:val="28"/>
          <w:rtl/>
        </w:rPr>
      </w:pPr>
      <w:r>
        <w:rPr>
          <w:rFonts w:ascii="FrankRuehl" w:hAnsi="FrankRuehl" w:cs="FrankRuehl"/>
          <w:sz w:val="28"/>
          <w:szCs w:val="28"/>
          <w:rtl/>
        </w:rPr>
        <w:t>לעניין הנסיבות שאינן קשורות בביצוע העבירה, הזכיר בא כוח הנאשם כי מרשו הינו אדם צעיר, אב לארבעה קטינים, אין חולק כי מאסרו יפגע פגיעה קשה במשפחתו. הנאשם הודה בהזדמנות הראשונה וחסך בזמן שיפוטי יקר</w:t>
      </w:r>
      <w:r>
        <w:rPr>
          <w:rFonts w:ascii="FrankRuehl" w:hAnsi="FrankRuehl" w:cs="FrankRuehl" w:hint="cs"/>
          <w:sz w:val="28"/>
          <w:szCs w:val="28"/>
          <w:rtl/>
        </w:rPr>
        <w:t xml:space="preserve"> ו</w:t>
      </w:r>
      <w:r>
        <w:rPr>
          <w:rFonts w:ascii="FrankRuehl" w:hAnsi="FrankRuehl" w:cs="FrankRuehl"/>
          <w:sz w:val="28"/>
          <w:szCs w:val="28"/>
          <w:rtl/>
        </w:rPr>
        <w:t>עברו הפלילי מינורי</w:t>
      </w:r>
      <w:r>
        <w:rPr>
          <w:rFonts w:ascii="FrankRuehl" w:hAnsi="FrankRuehl" w:cs="FrankRuehl" w:hint="cs"/>
          <w:sz w:val="28"/>
          <w:szCs w:val="28"/>
          <w:rtl/>
        </w:rPr>
        <w:t>.</w:t>
      </w:r>
      <w:r>
        <w:rPr>
          <w:rFonts w:ascii="FrankRuehl" w:hAnsi="FrankRuehl" w:cs="FrankRuehl"/>
          <w:sz w:val="28"/>
          <w:szCs w:val="28"/>
          <w:rtl/>
        </w:rPr>
        <w:t xml:space="preserve"> בסיכום כל אלה ביקש להטיל עליו פחות ממחצית העונש לו עתר בא כוח נאשמים 1 ו-2.</w:t>
      </w:r>
    </w:p>
    <w:p w14:paraId="6B53D130" w14:textId="77777777" w:rsidR="00AC43A3" w:rsidRDefault="00AC43A3" w:rsidP="00AC43A3">
      <w:pPr>
        <w:spacing w:line="360" w:lineRule="auto"/>
        <w:ind w:firstLine="720"/>
        <w:jc w:val="both"/>
        <w:rPr>
          <w:rFonts w:ascii="FrankRuehl" w:hAnsi="FrankRuehl" w:cs="FrankRuehl"/>
          <w:sz w:val="28"/>
          <w:szCs w:val="28"/>
          <w:rtl/>
        </w:rPr>
      </w:pPr>
    </w:p>
    <w:p w14:paraId="098D155A" w14:textId="77777777" w:rsidR="00AC43A3" w:rsidRDefault="00AC43A3" w:rsidP="00AC43A3">
      <w:pPr>
        <w:spacing w:line="360" w:lineRule="auto"/>
        <w:jc w:val="both"/>
        <w:rPr>
          <w:rFonts w:ascii="Miriam" w:hAnsi="Miriam" w:cs="Miriam"/>
          <w:rtl/>
        </w:rPr>
      </w:pPr>
      <w:r>
        <w:rPr>
          <w:rFonts w:ascii="Miriam" w:hAnsi="Miriam" w:cs="Miriam"/>
          <w:rtl/>
        </w:rPr>
        <w:t xml:space="preserve">דברי הנאשמים </w:t>
      </w:r>
    </w:p>
    <w:p w14:paraId="0478DB5E" w14:textId="77777777" w:rsidR="00AC43A3" w:rsidRDefault="00AC43A3" w:rsidP="00AC43A3">
      <w:pPr>
        <w:spacing w:line="360" w:lineRule="auto"/>
        <w:jc w:val="both"/>
        <w:rPr>
          <w:rFonts w:ascii="Miriam" w:hAnsi="Miriam" w:cs="Miriam"/>
          <w:rtl/>
        </w:rPr>
      </w:pPr>
    </w:p>
    <w:p w14:paraId="2B844512" w14:textId="77777777" w:rsidR="00AC43A3" w:rsidRDefault="00AC43A3" w:rsidP="00AC43A3">
      <w:pPr>
        <w:spacing w:line="360" w:lineRule="auto"/>
        <w:jc w:val="both"/>
        <w:rPr>
          <w:rFonts w:ascii="FrankRuehl" w:hAnsi="FrankRuehl" w:cs="FrankRuehl"/>
          <w:sz w:val="28"/>
          <w:szCs w:val="28"/>
        </w:rPr>
      </w:pPr>
      <w:r>
        <w:rPr>
          <w:rFonts w:ascii="FrankRuehl" w:hAnsi="FrankRuehl" w:cs="FrankRuehl"/>
          <w:sz w:val="28"/>
          <w:szCs w:val="28"/>
          <w:rtl/>
        </w:rPr>
        <w:t>6.</w:t>
      </w:r>
      <w:r>
        <w:rPr>
          <w:rFonts w:ascii="FrankRuehl" w:hAnsi="FrankRuehl" w:cs="FrankRuehl"/>
          <w:sz w:val="28"/>
          <w:szCs w:val="28"/>
          <w:rtl/>
        </w:rPr>
        <w:tab/>
        <w:t>נאשם 1 ציין כי הוא מתחרט על הטעות שעשה, מקווה לקבל הזדמנות לחזור לחייו, למשפחתו וילדיו. נאשם 2 ציין אף הוא דברי חרטה וצער על מעשיו. הוא ציין כי נישא כחודשיים לפני מעצרו</w:t>
      </w:r>
      <w:r>
        <w:rPr>
          <w:rFonts w:ascii="FrankRuehl" w:hAnsi="FrankRuehl" w:cs="FrankRuehl" w:hint="cs"/>
          <w:sz w:val="28"/>
          <w:szCs w:val="28"/>
          <w:rtl/>
        </w:rPr>
        <w:t xml:space="preserve"> ו</w:t>
      </w:r>
      <w:r>
        <w:rPr>
          <w:rFonts w:ascii="FrankRuehl" w:hAnsi="FrankRuehl" w:cs="FrankRuehl"/>
          <w:sz w:val="28"/>
          <w:szCs w:val="28"/>
          <w:rtl/>
        </w:rPr>
        <w:t>ביקש להקל בעונשו. נאשם 3 הביע צער על מעשיו, ביקש להקל בעונשו על מנת לשוב לחיק משפחתו.</w:t>
      </w:r>
    </w:p>
    <w:p w14:paraId="0C5A858E" w14:textId="77777777" w:rsidR="00AC43A3" w:rsidRDefault="00AC43A3" w:rsidP="00AC43A3">
      <w:pPr>
        <w:spacing w:line="360" w:lineRule="auto"/>
        <w:ind w:firstLine="720"/>
        <w:jc w:val="both"/>
        <w:rPr>
          <w:rFonts w:ascii="FrankRuehl" w:hAnsi="FrankRuehl" w:cs="FrankRuehl"/>
          <w:sz w:val="28"/>
          <w:szCs w:val="28"/>
          <w:rtl/>
        </w:rPr>
      </w:pPr>
    </w:p>
    <w:p w14:paraId="07C24D0A" w14:textId="77777777" w:rsidR="00AC43A3" w:rsidRDefault="00AC43A3" w:rsidP="00AC43A3">
      <w:pPr>
        <w:spacing w:line="360" w:lineRule="auto"/>
        <w:jc w:val="both"/>
        <w:rPr>
          <w:rFonts w:ascii="Miriam" w:hAnsi="Miriam" w:cs="Miriam"/>
          <w:rtl/>
        </w:rPr>
      </w:pPr>
      <w:r>
        <w:rPr>
          <w:rFonts w:ascii="Miriam" w:hAnsi="Miriam" w:cs="Miriam"/>
          <w:rtl/>
        </w:rPr>
        <w:t>דיון והכרעה</w:t>
      </w:r>
    </w:p>
    <w:p w14:paraId="441231CE" w14:textId="77777777" w:rsidR="00AC43A3" w:rsidRDefault="00AC43A3" w:rsidP="00AC43A3">
      <w:pPr>
        <w:spacing w:line="360" w:lineRule="auto"/>
        <w:jc w:val="both"/>
        <w:rPr>
          <w:rFonts w:ascii="FrankRuehl" w:hAnsi="FrankRuehl" w:cs="FrankRuehl"/>
          <w:sz w:val="28"/>
          <w:szCs w:val="28"/>
          <w:rtl/>
        </w:rPr>
      </w:pPr>
    </w:p>
    <w:p w14:paraId="090D7605" w14:textId="77777777" w:rsidR="00AC43A3" w:rsidRPr="00837237" w:rsidRDefault="00AC43A3" w:rsidP="00AC43A3">
      <w:pPr>
        <w:spacing w:line="360" w:lineRule="auto"/>
        <w:jc w:val="both"/>
        <w:rPr>
          <w:rFonts w:ascii="FrankRuehl" w:hAnsi="FrankRuehl" w:cs="FrankRuehl"/>
          <w:b/>
          <w:bCs/>
          <w:sz w:val="26"/>
          <w:szCs w:val="26"/>
          <w:rtl/>
        </w:rPr>
      </w:pPr>
      <w:r w:rsidRPr="00837237">
        <w:rPr>
          <w:rFonts w:ascii="FrankRuehl" w:hAnsi="FrankRuehl" w:cs="FrankRuehl"/>
          <w:b/>
          <w:bCs/>
          <w:sz w:val="26"/>
          <w:szCs w:val="26"/>
          <w:rtl/>
        </w:rPr>
        <w:t>קביעת מתחם עונש הולם</w:t>
      </w:r>
    </w:p>
    <w:p w14:paraId="64754A8C" w14:textId="77777777" w:rsidR="00AC43A3" w:rsidRDefault="00AC43A3" w:rsidP="00AC43A3">
      <w:pPr>
        <w:spacing w:line="360" w:lineRule="auto"/>
        <w:jc w:val="both"/>
        <w:rPr>
          <w:rFonts w:ascii="FrankRuehl" w:hAnsi="FrankRuehl" w:cs="FrankRuehl"/>
          <w:sz w:val="28"/>
          <w:szCs w:val="28"/>
          <w:rtl/>
        </w:rPr>
      </w:pPr>
    </w:p>
    <w:p w14:paraId="02B9C790" w14:textId="77777777" w:rsidR="00AC43A3" w:rsidRPr="00AC43A3" w:rsidRDefault="00AC43A3" w:rsidP="00AC43A3">
      <w:pPr>
        <w:spacing w:line="360" w:lineRule="auto"/>
        <w:jc w:val="both"/>
        <w:rPr>
          <w:rFonts w:ascii="FrankRuehl" w:eastAsia="Calibri" w:hAnsi="FrankRuehl" w:cs="FrankRuehl"/>
          <w:spacing w:val="10"/>
          <w:sz w:val="28"/>
          <w:szCs w:val="28"/>
          <w:rtl/>
        </w:rPr>
      </w:pPr>
      <w:r>
        <w:rPr>
          <w:rFonts w:ascii="FrankRuehl" w:hAnsi="FrankRuehl" w:cs="FrankRuehl"/>
          <w:sz w:val="28"/>
          <w:szCs w:val="28"/>
          <w:rtl/>
        </w:rPr>
        <w:t>7.</w:t>
      </w:r>
      <w:r w:rsidR="005A698A">
        <w:rPr>
          <w:rFonts w:ascii="FrankRuehl" w:hAnsi="FrankRuehl" w:cs="FrankRuehl"/>
          <w:sz w:val="28"/>
          <w:szCs w:val="28"/>
          <w:rtl/>
        </w:rPr>
        <w:t xml:space="preserve">     </w:t>
      </w:r>
      <w:r>
        <w:rPr>
          <w:rFonts w:ascii="FrankRuehl" w:hAnsi="FrankRuehl" w:cs="FrankRuehl"/>
          <w:sz w:val="28"/>
          <w:szCs w:val="28"/>
          <w:rtl/>
        </w:rPr>
        <w:t>הערכים החברתיים המוגנים</w:t>
      </w:r>
      <w:r w:rsidR="005A698A">
        <w:rPr>
          <w:rFonts w:ascii="FrankRuehl" w:hAnsi="FrankRuehl" w:cs="FrankRuehl"/>
          <w:sz w:val="28"/>
          <w:szCs w:val="28"/>
          <w:rtl/>
        </w:rPr>
        <w:t xml:space="preserve"> </w:t>
      </w:r>
      <w:r>
        <w:rPr>
          <w:rFonts w:ascii="FrankRuehl" w:hAnsi="FrankRuehl" w:cs="FrankRuehl"/>
          <w:sz w:val="28"/>
          <w:szCs w:val="28"/>
          <w:rtl/>
        </w:rPr>
        <w:t xml:space="preserve">בקביעת האיסור בביצוע עבירות מסוג זה בהן הורשעו הנאשמים, הם ערכי ביטחון המדינה, שלום הציבור ובטחונו, הגנה על חיי אדם ועל הסדר הציבורי. </w:t>
      </w:r>
      <w:r>
        <w:rPr>
          <w:rFonts w:ascii="FrankRuehl" w:hAnsi="FrankRuehl" w:cs="FrankRuehl"/>
          <w:spacing w:val="10"/>
          <w:sz w:val="28"/>
          <w:szCs w:val="28"/>
          <w:rtl/>
        </w:rPr>
        <w:t xml:space="preserve">חומרת עבירות אלו נעוצה בכך שלצד אותה סכנה לשלום הציבור, החזקת כלי נשק שלא כדין בידי אזרחים, זורה אימה וחרדה בציבור, מערערת את יסודות שלטון החוק וגורמי האכיפה, ומקיימת תשתית לפעילות עבריינית בתחומים שונים. בפסיקת בית המשפט העליון נקבע כי </w:t>
      </w:r>
      <w:r>
        <w:rPr>
          <w:rFonts w:ascii="FrankRuehl" w:hAnsi="FrankRuehl" w:cs="FrankRuehl"/>
          <w:sz w:val="28"/>
          <w:szCs w:val="28"/>
          <w:rtl/>
        </w:rPr>
        <w:t>במציאות הנוכחית, ראוי ונכון להחמיר את מדיניות הענישה הנוהגת, זאת בין היתר על מנת להרתיע עבריינים פוטנציאליים משימוש בו כאמצעי ליישוב סכסוכים</w:t>
      </w:r>
      <w:r>
        <w:rPr>
          <w:rFonts w:ascii="FrankRuehl" w:hAnsi="FrankRuehl" w:cs="FrankRuehl"/>
          <w:spacing w:val="10"/>
          <w:sz w:val="28"/>
          <w:szCs w:val="28"/>
          <w:rtl/>
        </w:rPr>
        <w:t>. לעניין זה נאמר:</w:t>
      </w:r>
    </w:p>
    <w:p w14:paraId="2C29859A" w14:textId="77777777" w:rsidR="00AC43A3" w:rsidRDefault="005A698A" w:rsidP="00AC43A3">
      <w:pPr>
        <w:pStyle w:val="ruller40"/>
        <w:shd w:val="clear" w:color="auto" w:fill="FFFFFF"/>
        <w:bidi/>
        <w:spacing w:before="0" w:beforeAutospacing="0" w:after="0" w:afterAutospacing="0" w:line="360" w:lineRule="atLeast"/>
        <w:jc w:val="both"/>
        <w:rPr>
          <w:rFonts w:ascii="FrankRuehl" w:hAnsi="FrankRuehl" w:cs="FrankRuehl"/>
          <w:spacing w:val="10"/>
          <w:sz w:val="28"/>
          <w:szCs w:val="28"/>
          <w:rtl/>
        </w:rPr>
      </w:pPr>
      <w:r>
        <w:rPr>
          <w:rFonts w:ascii="FrankRuehl" w:hAnsi="FrankRuehl" w:cs="FrankRuehl"/>
          <w:spacing w:val="10"/>
          <w:sz w:val="28"/>
          <w:szCs w:val="28"/>
          <w:rtl/>
        </w:rPr>
        <w:t xml:space="preserve"> </w:t>
      </w:r>
    </w:p>
    <w:p w14:paraId="4FF737D1" w14:textId="77777777" w:rsidR="00AC43A3" w:rsidRDefault="00AC43A3" w:rsidP="00AC43A3">
      <w:pPr>
        <w:pStyle w:val="ruller5"/>
        <w:shd w:val="clear" w:color="auto" w:fill="FFFFFF"/>
        <w:bidi/>
        <w:spacing w:before="0" w:beforeAutospacing="0" w:after="0" w:afterAutospacing="0"/>
        <w:ind w:left="1642" w:right="1282"/>
        <w:jc w:val="both"/>
        <w:rPr>
          <w:rFonts w:ascii="FrankRuehl" w:hAnsi="FrankRuehl" w:cs="FrankRuehl"/>
          <w:sz w:val="28"/>
          <w:szCs w:val="28"/>
          <w:rtl/>
        </w:rPr>
      </w:pPr>
      <w:r>
        <w:rPr>
          <w:rFonts w:ascii="FrankRuehl" w:hAnsi="FrankRuehl" w:cs="FrankRuehl"/>
          <w:spacing w:val="10"/>
          <w:sz w:val="28"/>
          <w:szCs w:val="28"/>
        </w:rPr>
        <w:t>"</w:t>
      </w:r>
      <w:r>
        <w:rPr>
          <w:rFonts w:ascii="FrankRuehl" w:hAnsi="FrankRuehl" w:cs="FrankRuehl"/>
          <w:spacing w:val="10"/>
          <w:sz w:val="28"/>
          <w:szCs w:val="28"/>
          <w:rtl/>
        </w:rPr>
        <w:t xml:space="preserve">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w:t>
      </w:r>
      <w:r>
        <w:rPr>
          <w:rFonts w:ascii="FrankRuehl" w:hAnsi="FrankRuehl" w:cs="FrankRuehl"/>
          <w:sz w:val="28"/>
          <w:szCs w:val="28"/>
          <w:rtl/>
        </w:rPr>
        <w:t xml:space="preserve">על רקע המציאות אותה אנו חווים למרבה הצער מדי יום, אנו עדים לקריאה ציבורית נרגשת להגברת </w:t>
      </w:r>
      <w:r w:rsidRPr="00D150F2">
        <w:rPr>
          <w:rFonts w:ascii="FrankRuehl" w:hAnsi="FrankRuehl" w:cs="FrankRuehl"/>
          <w:sz w:val="28"/>
          <w:szCs w:val="28"/>
          <w:rtl/>
        </w:rPr>
        <w:t>האכיפה כלפי עבירות נשק – ולהחמרה במדיניות הענישה הנוהגת</w:t>
      </w:r>
      <w:r w:rsidRPr="00D150F2">
        <w:rPr>
          <w:rFonts w:ascii="FrankRuehl" w:hAnsi="FrankRuehl" w:cs="FrankRuehl"/>
          <w:spacing w:val="10"/>
          <w:sz w:val="28"/>
          <w:szCs w:val="28"/>
          <w:rtl/>
        </w:rPr>
        <w:t xml:space="preserve"> (</w:t>
      </w:r>
      <w:hyperlink r:id="rId20" w:history="1">
        <w:r w:rsidR="005A698A" w:rsidRPr="005A698A">
          <w:rPr>
            <w:rFonts w:cs="FrankRuehl"/>
            <w:color w:val="0000FF"/>
            <w:sz w:val="28"/>
            <w:szCs w:val="28"/>
            <w:u w:val="single"/>
            <w:rtl/>
          </w:rPr>
          <w:t>ע"פ 4406/19</w:t>
        </w:r>
      </w:hyperlink>
      <w:r w:rsidRPr="00D150F2">
        <w:rPr>
          <w:rFonts w:ascii="FrankRuehl" w:hAnsi="FrankRuehl" w:cs="FrankRuehl" w:hint="cs"/>
          <w:sz w:val="28"/>
          <w:szCs w:val="28"/>
          <w:rtl/>
        </w:rPr>
        <w:t xml:space="preserve"> </w:t>
      </w:r>
      <w:r w:rsidRPr="00D150F2">
        <w:rPr>
          <w:rFonts w:ascii="Miriam" w:hAnsi="Miriam" w:cs="Miriam"/>
          <w:rtl/>
        </w:rPr>
        <w:t xml:space="preserve">מדינת ישראל נ' יונס סובח ואח' </w:t>
      </w:r>
      <w:r w:rsidRPr="00D150F2">
        <w:rPr>
          <w:rFonts w:ascii="FrankRuehl" w:hAnsi="FrankRuehl" w:cs="FrankRuehl"/>
          <w:sz w:val="28"/>
          <w:szCs w:val="28"/>
          <w:rtl/>
        </w:rPr>
        <w:t xml:space="preserve">(05.11.2019)). </w:t>
      </w:r>
    </w:p>
    <w:p w14:paraId="5A2539B8" w14:textId="77777777" w:rsidR="00AC43A3" w:rsidRDefault="00AC43A3" w:rsidP="00AC43A3">
      <w:pPr>
        <w:pStyle w:val="ruller5"/>
        <w:shd w:val="clear" w:color="auto" w:fill="FFFFFF"/>
        <w:bidi/>
        <w:spacing w:before="0" w:beforeAutospacing="0" w:after="0" w:afterAutospacing="0"/>
        <w:ind w:left="1642" w:right="1282"/>
        <w:jc w:val="both"/>
        <w:rPr>
          <w:rFonts w:ascii="FrankRuehl" w:hAnsi="FrankRuehl" w:cs="FrankRuehl"/>
          <w:sz w:val="28"/>
          <w:szCs w:val="28"/>
          <w:rtl/>
        </w:rPr>
      </w:pPr>
    </w:p>
    <w:p w14:paraId="61243E27" w14:textId="77777777" w:rsidR="00AC43A3" w:rsidRPr="00AC43A3" w:rsidRDefault="00AC43A3" w:rsidP="00AC43A3">
      <w:pPr>
        <w:spacing w:line="360" w:lineRule="auto"/>
        <w:ind w:firstLine="720"/>
        <w:jc w:val="both"/>
        <w:rPr>
          <w:rFonts w:ascii="FrankRuehl" w:eastAsia="Calibri" w:hAnsi="FrankRuehl" w:cs="FrankRuehl"/>
          <w:sz w:val="28"/>
          <w:szCs w:val="28"/>
          <w:rtl/>
        </w:rPr>
      </w:pPr>
      <w:r>
        <w:rPr>
          <w:rFonts w:ascii="FrankRuehl" w:hAnsi="FrankRuehl" w:cs="FrankRuehl"/>
          <w:sz w:val="28"/>
          <w:szCs w:val="28"/>
          <w:rtl/>
        </w:rPr>
        <w:t>הצורך להחמיר בענישה בא לידי ביטוי גם בכך שבחודש דצמבר 2021 קבע המחוקק עונשי מינימום בעבירות נשק, כך שהעונש שיושת בגין עבירות אלו יתחיל מרבע העונש המרבי שנקבע לעבירה, אלא אם החליט בית המשפט מטעמים מיוחדים שיירשמו להקל בעונש (</w:t>
      </w:r>
      <w:hyperlink r:id="rId21" w:history="1">
        <w:r w:rsidR="00D13F46" w:rsidRPr="00D13F46">
          <w:rPr>
            <w:rStyle w:val="Hyperlink"/>
            <w:rFonts w:cs="FrankRuehl" w:hint="eastAsia"/>
            <w:sz w:val="28"/>
            <w:szCs w:val="28"/>
            <w:rtl/>
          </w:rPr>
          <w:t>סעיף</w:t>
        </w:r>
        <w:r w:rsidR="00D13F46" w:rsidRPr="00D13F46">
          <w:rPr>
            <w:rStyle w:val="Hyperlink"/>
            <w:rFonts w:cs="FrankRuehl"/>
            <w:sz w:val="28"/>
            <w:szCs w:val="28"/>
            <w:rtl/>
          </w:rPr>
          <w:t xml:space="preserve"> 144(ז)</w:t>
        </w:r>
      </w:hyperlink>
      <w:r>
        <w:rPr>
          <w:rFonts w:ascii="FrankRuehl" w:hAnsi="FrankRuehl" w:cs="FrankRuehl" w:hint="cs"/>
          <w:sz w:val="28"/>
          <w:szCs w:val="28"/>
          <w:rtl/>
        </w:rPr>
        <w:t xml:space="preserve"> ל</w:t>
      </w:r>
      <w:hyperlink r:id="rId22" w:history="1">
        <w:r w:rsidR="005A698A" w:rsidRPr="005A698A">
          <w:rPr>
            <w:rFonts w:cs="FrankRuehl"/>
            <w:color w:val="0000FF"/>
            <w:sz w:val="28"/>
            <w:szCs w:val="28"/>
            <w:u w:val="single"/>
            <w:rtl/>
          </w:rPr>
          <w:t>חוק העונשין</w:t>
        </w:r>
      </w:hyperlink>
      <w:r>
        <w:rPr>
          <w:rFonts w:ascii="FrankRuehl" w:hAnsi="FrankRuehl" w:cs="FrankRuehl" w:hint="cs"/>
          <w:sz w:val="28"/>
          <w:szCs w:val="28"/>
          <w:rtl/>
        </w:rPr>
        <w:t>; חוק העונשין (תיקון מס' 140 – הוראת שעה), התשפ"ב-2021), תיקון החל בענייננו.</w:t>
      </w:r>
    </w:p>
    <w:p w14:paraId="4671571A" w14:textId="77777777" w:rsidR="00AC43A3" w:rsidRDefault="00AC43A3" w:rsidP="00AC43A3">
      <w:pPr>
        <w:spacing w:line="360" w:lineRule="auto"/>
        <w:ind w:firstLine="720"/>
        <w:jc w:val="both"/>
        <w:rPr>
          <w:rFonts w:ascii="FrankRuehl" w:hAnsi="FrankRuehl" w:cs="FrankRuehl"/>
          <w:sz w:val="28"/>
          <w:szCs w:val="28"/>
          <w:rtl/>
        </w:rPr>
      </w:pPr>
    </w:p>
    <w:p w14:paraId="052760BB" w14:textId="77777777" w:rsidR="00AC43A3" w:rsidRPr="00837237" w:rsidRDefault="00AC43A3" w:rsidP="00AC43A3">
      <w:pPr>
        <w:spacing w:line="360" w:lineRule="auto"/>
        <w:jc w:val="both"/>
        <w:rPr>
          <w:rFonts w:ascii="FrankRuehl" w:hAnsi="FrankRuehl" w:cs="FrankRuehl"/>
          <w:b/>
          <w:bCs/>
          <w:sz w:val="26"/>
          <w:szCs w:val="26"/>
          <w:rtl/>
        </w:rPr>
      </w:pPr>
      <w:r w:rsidRPr="00837237">
        <w:rPr>
          <w:rFonts w:ascii="FrankRuehl" w:hAnsi="FrankRuehl" w:cs="FrankRuehl"/>
          <w:b/>
          <w:bCs/>
          <w:sz w:val="26"/>
          <w:szCs w:val="26"/>
          <w:rtl/>
        </w:rPr>
        <w:t>הנסיבות הקשורות בביצוע העבירות</w:t>
      </w:r>
    </w:p>
    <w:p w14:paraId="52B6A912" w14:textId="77777777" w:rsidR="00AC43A3" w:rsidRDefault="00AC43A3" w:rsidP="00AC43A3">
      <w:pPr>
        <w:spacing w:line="360" w:lineRule="auto"/>
        <w:jc w:val="both"/>
        <w:rPr>
          <w:rFonts w:ascii="FrankRuehl" w:hAnsi="FrankRuehl" w:cs="FrankRuehl"/>
          <w:sz w:val="28"/>
          <w:szCs w:val="28"/>
          <w:rtl/>
        </w:rPr>
      </w:pPr>
    </w:p>
    <w:p w14:paraId="4480E7CA" w14:textId="77777777" w:rsidR="00AC43A3" w:rsidRDefault="00AC43A3" w:rsidP="00AC43A3">
      <w:pPr>
        <w:spacing w:line="360" w:lineRule="auto"/>
        <w:jc w:val="both"/>
        <w:rPr>
          <w:rFonts w:ascii="FrankRuehl" w:hAnsi="FrankRuehl" w:cs="FrankRuehl"/>
          <w:sz w:val="28"/>
          <w:szCs w:val="28"/>
          <w:rtl/>
        </w:rPr>
      </w:pPr>
      <w:r>
        <w:rPr>
          <w:rFonts w:ascii="FrankRuehl" w:hAnsi="FrankRuehl" w:cs="FrankRuehl"/>
          <w:sz w:val="28"/>
          <w:szCs w:val="28"/>
          <w:rtl/>
        </w:rPr>
        <w:t xml:space="preserve">8. </w:t>
      </w:r>
      <w:r>
        <w:rPr>
          <w:rFonts w:ascii="FrankRuehl" w:hAnsi="FrankRuehl" w:cs="FrankRuehl"/>
          <w:sz w:val="28"/>
          <w:szCs w:val="28"/>
          <w:rtl/>
        </w:rPr>
        <w:tab/>
        <w:t>לחומרה יש להדגיש בראש ובראשונה את ההיקף העצום של כלי הנשק שנתפסו – 53 פריטים שונים, היקף חריג המשקף חומרה יתרה.</w:t>
      </w:r>
      <w:r>
        <w:rPr>
          <w:rFonts w:ascii="FrankRuehl" w:hAnsi="FrankRuehl" w:cs="FrankRuehl" w:hint="cs"/>
          <w:sz w:val="28"/>
          <w:szCs w:val="28"/>
          <w:rtl/>
        </w:rPr>
        <w:t xml:space="preserve"> מדובר בצבר של כלי נשק עוצמתיים, חלקם כלי נשק התקפיים, ארסנל של ממש הכולל </w:t>
      </w:r>
      <w:r>
        <w:rPr>
          <w:rFonts w:ascii="FrankRuehl" w:hAnsi="FrankRuehl" w:cs="FrankRuehl"/>
          <w:sz w:val="28"/>
          <w:szCs w:val="28"/>
          <w:rtl/>
        </w:rPr>
        <w:t>אקדחים, תת מקלע</w:t>
      </w:r>
      <w:r>
        <w:rPr>
          <w:rFonts w:ascii="FrankRuehl" w:hAnsi="FrankRuehl" w:cs="FrankRuehl" w:hint="cs"/>
          <w:sz w:val="28"/>
          <w:szCs w:val="28"/>
          <w:rtl/>
        </w:rPr>
        <w:t xml:space="preserve">, </w:t>
      </w:r>
      <w:r>
        <w:rPr>
          <w:rFonts w:ascii="FrankRuehl" w:hAnsi="FrankRuehl" w:cs="FrankRuehl"/>
          <w:sz w:val="28"/>
          <w:szCs w:val="28"/>
          <w:rtl/>
        </w:rPr>
        <w:t>רובים</w:t>
      </w:r>
      <w:r>
        <w:rPr>
          <w:rFonts w:ascii="FrankRuehl" w:hAnsi="FrankRuehl" w:cs="FrankRuehl" w:hint="cs"/>
          <w:sz w:val="28"/>
          <w:szCs w:val="28"/>
          <w:rtl/>
        </w:rPr>
        <w:t xml:space="preserve"> ותחמושת רבה</w:t>
      </w:r>
      <w:r>
        <w:rPr>
          <w:rFonts w:ascii="FrankRuehl" w:hAnsi="FrankRuehl" w:cs="FrankRuehl"/>
          <w:sz w:val="28"/>
          <w:szCs w:val="28"/>
          <w:rtl/>
        </w:rPr>
        <w:t xml:space="preserve">, </w:t>
      </w:r>
      <w:r>
        <w:rPr>
          <w:rFonts w:ascii="FrankRuehl" w:hAnsi="FrankRuehl" w:cs="FrankRuehl" w:hint="cs"/>
          <w:sz w:val="28"/>
          <w:szCs w:val="28"/>
          <w:rtl/>
        </w:rPr>
        <w:t>נשקים</w:t>
      </w:r>
      <w:r>
        <w:rPr>
          <w:rFonts w:ascii="FrankRuehl" w:hAnsi="FrankRuehl" w:cs="FrankRuehl"/>
          <w:sz w:val="28"/>
          <w:szCs w:val="28"/>
          <w:rtl/>
        </w:rPr>
        <w:t xml:space="preserve"> </w:t>
      </w:r>
      <w:r>
        <w:rPr>
          <w:rFonts w:ascii="FrankRuehl" w:hAnsi="FrankRuehl" w:cs="FrankRuehl" w:hint="cs"/>
          <w:sz w:val="28"/>
          <w:szCs w:val="28"/>
          <w:rtl/>
        </w:rPr>
        <w:t>ה</w:t>
      </w:r>
      <w:r>
        <w:rPr>
          <w:rFonts w:ascii="FrankRuehl" w:hAnsi="FrankRuehl" w:cs="FrankRuehl"/>
          <w:sz w:val="28"/>
          <w:szCs w:val="28"/>
          <w:rtl/>
        </w:rPr>
        <w:t xml:space="preserve">מסווגים בדרגת חומרה גבוהה. יש ליתן ביטוי גם למימד התכנון שקדם לביצוע המעשים. הנאשמים קשרו קשר מוקדם עם נרמין, נרמין שכרה רכב אחד ונאשם 2 שכר רכב נוסף. הנאשמים נסעו בשני רכבים נפרדים, הצטיידו בטלפונים ניידים מבצעיים לשם והכל על מנת להוציא את התוכנית העבריינית אל הפועל, כאשר הנאשמים 1 ו-2 מעמיסים את שלל הנשקים לרכב, והנאשם 3 ממתין להם בקרבת מקום ומצוי בקשר טלפוני רציף איתם. </w:t>
      </w:r>
    </w:p>
    <w:p w14:paraId="2048F877" w14:textId="77777777" w:rsidR="00AC43A3" w:rsidRDefault="00AC43A3" w:rsidP="00AC43A3">
      <w:pPr>
        <w:spacing w:line="360" w:lineRule="auto"/>
        <w:jc w:val="both"/>
        <w:rPr>
          <w:rFonts w:ascii="FrankRuehl" w:hAnsi="FrankRuehl" w:cs="FrankRuehl"/>
          <w:sz w:val="28"/>
          <w:szCs w:val="28"/>
          <w:rtl/>
        </w:rPr>
      </w:pPr>
    </w:p>
    <w:p w14:paraId="2A70BD08" w14:textId="77777777" w:rsidR="00AC43A3" w:rsidRPr="009F64F9" w:rsidRDefault="00AC43A3" w:rsidP="00AC43A3">
      <w:pPr>
        <w:spacing w:line="360" w:lineRule="auto"/>
        <w:ind w:firstLine="567"/>
        <w:jc w:val="both"/>
        <w:rPr>
          <w:rFonts w:ascii="FrankRuehl" w:hAnsi="FrankRuehl" w:cs="FrankRuehl"/>
          <w:sz w:val="28"/>
          <w:szCs w:val="28"/>
          <w:rtl/>
        </w:rPr>
      </w:pPr>
      <w:r>
        <w:rPr>
          <w:rFonts w:ascii="FrankRuehl" w:hAnsi="FrankRuehl" w:cs="FrankRuehl"/>
          <w:sz w:val="28"/>
          <w:szCs w:val="28"/>
          <w:rtl/>
        </w:rPr>
        <w:t>בהתייחס לנזקים, יצוין כי</w:t>
      </w:r>
      <w:r w:rsidR="005A698A">
        <w:rPr>
          <w:rFonts w:ascii="FrankRuehl" w:hAnsi="FrankRuehl" w:cs="FrankRuehl"/>
          <w:sz w:val="28"/>
          <w:szCs w:val="28"/>
          <w:rtl/>
        </w:rPr>
        <w:t xml:space="preserve"> </w:t>
      </w:r>
      <w:r>
        <w:rPr>
          <w:rFonts w:ascii="FrankRuehl" w:hAnsi="FrankRuehl" w:cs="FrankRuehl"/>
          <w:sz w:val="28"/>
          <w:szCs w:val="28"/>
          <w:rtl/>
        </w:rPr>
        <w:t>הנזק הפוטנציאלי</w:t>
      </w:r>
      <w:r w:rsidR="005A698A">
        <w:rPr>
          <w:rFonts w:ascii="FrankRuehl" w:hAnsi="FrankRuehl" w:cs="FrankRuehl"/>
          <w:sz w:val="28"/>
          <w:szCs w:val="28"/>
          <w:rtl/>
        </w:rPr>
        <w:t xml:space="preserve"> </w:t>
      </w:r>
      <w:r>
        <w:rPr>
          <w:rFonts w:ascii="FrankRuehl" w:hAnsi="FrankRuehl" w:cs="FrankRuehl"/>
          <w:sz w:val="28"/>
          <w:szCs w:val="28"/>
          <w:rtl/>
        </w:rPr>
        <w:t>מביצוע העבירות הוא עצום, כאשר צבר רב של כלי נשק קטלניים היה מגיע ליד</w:t>
      </w:r>
      <w:r>
        <w:rPr>
          <w:rFonts w:ascii="FrankRuehl" w:hAnsi="FrankRuehl" w:cs="FrankRuehl" w:hint="cs"/>
          <w:sz w:val="28"/>
          <w:szCs w:val="28"/>
          <w:rtl/>
        </w:rPr>
        <w:t>י</w:t>
      </w:r>
      <w:r>
        <w:rPr>
          <w:rFonts w:ascii="FrankRuehl" w:hAnsi="FrankRuehl" w:cs="FrankRuehl"/>
          <w:sz w:val="28"/>
          <w:szCs w:val="28"/>
          <w:rtl/>
        </w:rPr>
        <w:t>ים בלתי מורשות, משמש לגורמים עבריינים לביצוע שלל עבירות לרבות אפשרות של קיפוח חיי אדם, תוך ליבוי נוסף בתבערה הגדולה שפשטה ברחובות בעת הנוכחית.</w:t>
      </w:r>
      <w:r>
        <w:rPr>
          <w:rFonts w:ascii="FrankRuehl" w:hAnsi="FrankRuehl" w:cs="FrankRuehl" w:hint="cs"/>
          <w:sz w:val="28"/>
          <w:szCs w:val="28"/>
          <w:rtl/>
        </w:rPr>
        <w:t xml:space="preserve"> איני מקבל בעניין זה את טענת בא-כוח הנאשם 3, לפיה, ההנחה כי הנשקים היו עשויים להתגלגל לכדי פגיעה בנפש, הינה טענה דמגוגית. </w:t>
      </w:r>
      <w:r>
        <w:rPr>
          <w:rFonts w:ascii="FrankRuehl" w:hAnsi="FrankRuehl" w:cs="FrankRuehl"/>
          <w:sz w:val="28"/>
          <w:szCs w:val="28"/>
          <w:rtl/>
        </w:rPr>
        <w:t xml:space="preserve">נפסק כי חומרתן של העבירות בנשק אינה מסתכמת רק בנזק שאירע בפועל, כי אם </w:t>
      </w:r>
      <w:r>
        <w:rPr>
          <w:rFonts w:ascii="Miriam" w:hAnsi="Miriam" w:cs="Miriam"/>
          <w:rtl/>
        </w:rPr>
        <w:t>בפוטנציאל</w:t>
      </w:r>
      <w:r>
        <w:rPr>
          <w:rFonts w:ascii="FrankRuehl" w:hAnsi="FrankRuehl" w:cs="FrankRuehl"/>
          <w:sz w:val="28"/>
          <w:szCs w:val="28"/>
          <w:rtl/>
        </w:rPr>
        <w:t xml:space="preserve"> הנזק הנובע מאותן עבירות</w:t>
      </w:r>
      <w:r>
        <w:rPr>
          <w:rFonts w:ascii="FrankRuehl" w:hAnsi="FrankRuehl" w:cs="FrankRuehl" w:hint="cs"/>
          <w:sz w:val="28"/>
          <w:szCs w:val="28"/>
          <w:rtl/>
        </w:rPr>
        <w:t xml:space="preserve"> לרבות כוחו הטבעי להמית חפים </w:t>
      </w:r>
      <w:r w:rsidRPr="009F64F9">
        <w:rPr>
          <w:rFonts w:ascii="FrankRuehl" w:hAnsi="FrankRuehl" w:cs="FrankRuehl" w:hint="cs"/>
          <w:sz w:val="28"/>
          <w:szCs w:val="28"/>
          <w:rtl/>
        </w:rPr>
        <w:t>מפשע</w:t>
      </w:r>
      <w:r w:rsidRPr="009F64F9">
        <w:rPr>
          <w:rFonts w:ascii="FrankRuehl" w:hAnsi="FrankRuehl" w:cs="FrankRuehl"/>
          <w:sz w:val="28"/>
          <w:szCs w:val="28"/>
          <w:rtl/>
        </w:rPr>
        <w:t xml:space="preserve"> (</w:t>
      </w:r>
      <w:hyperlink r:id="rId23" w:history="1">
        <w:r w:rsidR="005A698A" w:rsidRPr="005A698A">
          <w:rPr>
            <w:rFonts w:ascii="FrankRuehl" w:hAnsi="FrankRuehl" w:cs="FrankRuehl"/>
            <w:color w:val="0000FF"/>
            <w:sz w:val="28"/>
            <w:szCs w:val="28"/>
            <w:u w:val="single"/>
            <w:rtl/>
          </w:rPr>
          <w:t>ע"פ 116/13</w:t>
        </w:r>
      </w:hyperlink>
      <w:r w:rsidRPr="009F64F9">
        <w:rPr>
          <w:rFonts w:ascii="FrankRuehl" w:hAnsi="FrankRuehl" w:cs="FrankRuehl"/>
          <w:sz w:val="28"/>
          <w:szCs w:val="28"/>
          <w:rtl/>
        </w:rPr>
        <w:t xml:space="preserve"> </w:t>
      </w:r>
      <w:r w:rsidRPr="009F64F9">
        <w:rPr>
          <w:rFonts w:ascii="Miriam" w:hAnsi="Miriam" w:cs="Miriam"/>
          <w:rtl/>
        </w:rPr>
        <w:t>וקנין נ' מדינת ישראל</w:t>
      </w:r>
      <w:r w:rsidRPr="009F64F9">
        <w:rPr>
          <w:rFonts w:ascii="FrankRuehl" w:hAnsi="FrankRuehl" w:cs="FrankRuehl"/>
          <w:sz w:val="28"/>
          <w:szCs w:val="28"/>
          <w:rtl/>
        </w:rPr>
        <w:t>, בפסקה 7 (31.7.2013))</w:t>
      </w:r>
      <w:r w:rsidRPr="009F64F9">
        <w:rPr>
          <w:rFonts w:ascii="FrankRuehl" w:hAnsi="FrankRuehl" w:cs="FrankRuehl" w:hint="cs"/>
          <w:sz w:val="28"/>
          <w:szCs w:val="28"/>
          <w:rtl/>
        </w:rPr>
        <w:t>.</w:t>
      </w:r>
    </w:p>
    <w:p w14:paraId="4210A08A" w14:textId="77777777" w:rsidR="00AC43A3" w:rsidRDefault="00AC43A3" w:rsidP="00AC43A3">
      <w:pPr>
        <w:spacing w:line="360" w:lineRule="auto"/>
        <w:ind w:firstLine="567"/>
        <w:jc w:val="both"/>
        <w:rPr>
          <w:rFonts w:ascii="FrankRuehl" w:hAnsi="FrankRuehl" w:cs="FrankRuehl"/>
          <w:sz w:val="28"/>
          <w:szCs w:val="28"/>
          <w:rtl/>
        </w:rPr>
      </w:pPr>
    </w:p>
    <w:p w14:paraId="12EBB6A9" w14:textId="77777777" w:rsidR="00AC43A3" w:rsidRPr="00837237" w:rsidRDefault="00AC43A3" w:rsidP="00AC43A3">
      <w:pPr>
        <w:spacing w:line="360" w:lineRule="auto"/>
        <w:jc w:val="both"/>
        <w:rPr>
          <w:rFonts w:ascii="FrankRuehl" w:hAnsi="FrankRuehl" w:cs="FrankRuehl"/>
          <w:b/>
          <w:bCs/>
          <w:sz w:val="26"/>
          <w:szCs w:val="26"/>
          <w:rtl/>
        </w:rPr>
      </w:pPr>
      <w:r w:rsidRPr="00837237">
        <w:rPr>
          <w:rFonts w:ascii="FrankRuehl" w:hAnsi="FrankRuehl" w:cs="FrankRuehl"/>
          <w:b/>
          <w:bCs/>
          <w:sz w:val="26"/>
          <w:szCs w:val="26"/>
          <w:rtl/>
        </w:rPr>
        <w:t xml:space="preserve">מדיניות הענישה </w:t>
      </w:r>
    </w:p>
    <w:p w14:paraId="77CB33C7" w14:textId="77777777" w:rsidR="00AC43A3" w:rsidRDefault="00AC43A3" w:rsidP="00AC43A3">
      <w:pPr>
        <w:spacing w:line="360" w:lineRule="auto"/>
        <w:jc w:val="both"/>
        <w:rPr>
          <w:rFonts w:ascii="Miriam" w:hAnsi="Miriam" w:cs="Miriam"/>
          <w:rtl/>
        </w:rPr>
      </w:pPr>
    </w:p>
    <w:p w14:paraId="498E56F3" w14:textId="77777777" w:rsidR="00AC43A3" w:rsidRPr="00AC43A3" w:rsidRDefault="00AC43A3" w:rsidP="00AC43A3">
      <w:pPr>
        <w:spacing w:line="360" w:lineRule="auto"/>
        <w:jc w:val="both"/>
        <w:rPr>
          <w:rFonts w:ascii="FrankRuehl" w:eastAsia="Calibri" w:hAnsi="FrankRuehl" w:cs="FrankRuehl"/>
          <w:sz w:val="28"/>
          <w:szCs w:val="28"/>
          <w:rtl/>
        </w:rPr>
      </w:pPr>
      <w:r>
        <w:rPr>
          <w:rFonts w:ascii="FrankRuehl" w:hAnsi="FrankRuehl" w:cs="FrankRuehl"/>
          <w:sz w:val="28"/>
          <w:szCs w:val="28"/>
          <w:rtl/>
        </w:rPr>
        <w:t>9.</w:t>
      </w:r>
      <w:r>
        <w:rPr>
          <w:rFonts w:ascii="FrankRuehl" w:hAnsi="FrankRuehl" w:cs="FrankRuehl"/>
          <w:sz w:val="28"/>
          <w:szCs w:val="28"/>
          <w:rtl/>
        </w:rPr>
        <w:tab/>
        <w:t>סקירת מדיניות הענישה הנהוגה מלמדת על טווח ענישה רחב התלוי לרוב בנסיבותיו של כל מקרה ומקרה. על מנת ללמוד על מדיניות הענישה הנוהגת, אפנה גם לפסיקה אשר עניינה גם בעבירות של ייבוא וסחר בנשק, בנסיבות בהן התיאור העובדתי שבכתב האישום הולם לאירועים מושא גזר דין זה, תוך קביעת מתחם העונש ההולם בשינויים המתחייבים.</w:t>
      </w:r>
    </w:p>
    <w:p w14:paraId="74AA7347" w14:textId="77777777" w:rsidR="00AC43A3" w:rsidRDefault="00AC43A3" w:rsidP="00AC43A3">
      <w:pPr>
        <w:spacing w:line="360" w:lineRule="auto"/>
        <w:jc w:val="both"/>
        <w:rPr>
          <w:rFonts w:ascii="FrankRuehl" w:hAnsi="FrankRuehl" w:cs="FrankRuehl"/>
          <w:sz w:val="28"/>
          <w:szCs w:val="28"/>
          <w:rtl/>
        </w:rPr>
      </w:pPr>
    </w:p>
    <w:p w14:paraId="4A15642D" w14:textId="77777777" w:rsidR="00AC43A3" w:rsidRDefault="00AC43A3" w:rsidP="00AC43A3">
      <w:pPr>
        <w:spacing w:line="360" w:lineRule="auto"/>
        <w:jc w:val="both"/>
        <w:rPr>
          <w:rFonts w:ascii="FrankRuehl" w:hAnsi="FrankRuehl" w:cs="FrankRuehl"/>
          <w:sz w:val="28"/>
          <w:szCs w:val="28"/>
          <w:rtl/>
        </w:rPr>
      </w:pPr>
      <w:r>
        <w:rPr>
          <w:rFonts w:ascii="FrankRuehl" w:hAnsi="FrankRuehl" w:cs="FrankRuehl" w:hint="cs"/>
          <w:sz w:val="28"/>
          <w:szCs w:val="28"/>
          <w:rtl/>
        </w:rPr>
        <w:t>10.</w:t>
      </w:r>
      <w:r>
        <w:rPr>
          <w:rFonts w:ascii="FrankRuehl" w:hAnsi="FrankRuehl" w:cs="FrankRuehl" w:hint="cs"/>
          <w:sz w:val="28"/>
          <w:szCs w:val="28"/>
          <w:rtl/>
        </w:rPr>
        <w:tab/>
      </w:r>
      <w:r>
        <w:rPr>
          <w:rFonts w:ascii="FrankRuehl" w:hAnsi="FrankRuehl" w:cs="FrankRuehl"/>
          <w:sz w:val="28"/>
          <w:szCs w:val="28"/>
          <w:rtl/>
        </w:rPr>
        <w:t>ב</w:t>
      </w:r>
      <w:hyperlink r:id="rId24" w:history="1">
        <w:r w:rsidR="005A698A" w:rsidRPr="005A698A">
          <w:rPr>
            <w:rFonts w:ascii="FrankRuehl" w:hAnsi="FrankRuehl" w:cs="FrankRuehl"/>
            <w:color w:val="0000FF"/>
            <w:sz w:val="28"/>
            <w:szCs w:val="28"/>
            <w:u w:val="single"/>
            <w:rtl/>
          </w:rPr>
          <w:t>ע"פ 7519/08</w:t>
        </w:r>
      </w:hyperlink>
      <w:r>
        <w:rPr>
          <w:rFonts w:ascii="FrankRuehl" w:hAnsi="FrankRuehl" w:cs="FrankRuehl"/>
          <w:sz w:val="28"/>
          <w:szCs w:val="28"/>
          <w:rtl/>
        </w:rPr>
        <w:t xml:space="preserve"> </w:t>
      </w:r>
      <w:r>
        <w:rPr>
          <w:rFonts w:ascii="Miriam" w:hAnsi="Miriam" w:cs="Miriam"/>
          <w:rtl/>
        </w:rPr>
        <w:t>טרבין נ' מדינת ישראל</w:t>
      </w:r>
      <w:r>
        <w:rPr>
          <w:rFonts w:ascii="FrankRuehl" w:hAnsi="FrankRuehl" w:cs="FrankRuehl"/>
          <w:sz w:val="28"/>
          <w:szCs w:val="28"/>
          <w:rtl/>
        </w:rPr>
        <w:t xml:space="preserve"> (27.04.2009), הורשע נאשם, על פי הודאתו, בעבירות של קשירת קשר לביצוע פשע, הסתננות ועבירות בנשק (ייבוא, נשיאה והובלה), בין היתר בכך שהוביל 7 רובי קלצ'ניקוב ממצרים כשלכל אחד מהם מחסנית ו-72 כדורים ובאירוע אחר הוביל עוד 5 רובים. בנוסף נעתר הנאשם להצעתו של תושב ישראל, להוביל </w:t>
      </w:r>
      <w:smartTag w:uri="urn:schemas-microsoft-com:office:smarttags" w:element="metricconverter">
        <w:smartTagPr>
          <w:attr w:name="ProductID" w:val="15 ק&quot;ג"/>
        </w:smartTagPr>
        <w:r>
          <w:rPr>
            <w:rFonts w:ascii="FrankRuehl" w:hAnsi="FrankRuehl" w:cs="FrankRuehl"/>
            <w:sz w:val="28"/>
            <w:szCs w:val="28"/>
            <w:rtl/>
          </w:rPr>
          <w:t>15 ק"ג</w:t>
        </w:r>
      </w:smartTag>
      <w:r>
        <w:rPr>
          <w:rFonts w:ascii="FrankRuehl" w:hAnsi="FrankRuehl" w:cs="FrankRuehl"/>
          <w:sz w:val="28"/>
          <w:szCs w:val="28"/>
          <w:rtl/>
        </w:rPr>
        <w:t xml:space="preserve"> של סם מסוכן מסוג הרואין, כאשר את הסם היו אמורים הנאשם ושותף נוסף להעביר מירדן. הנאשם אף חדר לשטח ישראל שלא כדין, אולם כוונתו לחצות את הגבול עם ירדן סוכלה עקב נוכחותם של כוחות צבא באזור. על הנאשם הושתו </w:t>
      </w:r>
      <w:r>
        <w:rPr>
          <w:rFonts w:ascii="FrankRuehl" w:hAnsi="FrankRuehl" w:cs="FrankRuehl"/>
          <w:b/>
          <w:bCs/>
          <w:sz w:val="28"/>
          <w:szCs w:val="28"/>
          <w:rtl/>
        </w:rPr>
        <w:t>11 שנות מאסר</w:t>
      </w:r>
      <w:r>
        <w:rPr>
          <w:rFonts w:ascii="FrankRuehl" w:hAnsi="FrankRuehl" w:cs="FrankRuehl"/>
          <w:sz w:val="28"/>
          <w:szCs w:val="28"/>
          <w:rtl/>
        </w:rPr>
        <w:t xml:space="preserve"> בצירוף עונשים נלווים. ערעור על חומרת העונש נדחה. </w:t>
      </w:r>
    </w:p>
    <w:p w14:paraId="31B0F614" w14:textId="77777777" w:rsidR="00AC43A3" w:rsidRDefault="00AC43A3" w:rsidP="00AC43A3">
      <w:pPr>
        <w:spacing w:line="360" w:lineRule="auto"/>
        <w:jc w:val="both"/>
        <w:rPr>
          <w:rFonts w:ascii="FrankRuehl" w:hAnsi="FrankRuehl" w:cs="FrankRuehl"/>
          <w:sz w:val="28"/>
          <w:szCs w:val="28"/>
          <w:rtl/>
        </w:rPr>
      </w:pPr>
    </w:p>
    <w:p w14:paraId="6CDD2E09" w14:textId="77777777" w:rsidR="00AC43A3" w:rsidRPr="001978E7" w:rsidRDefault="00AC43A3" w:rsidP="00AC43A3">
      <w:pPr>
        <w:spacing w:line="360" w:lineRule="auto"/>
        <w:jc w:val="both"/>
        <w:rPr>
          <w:rFonts w:ascii="FrankRuehl" w:hAnsi="FrankRuehl" w:cs="FrankRuehl"/>
          <w:sz w:val="28"/>
          <w:szCs w:val="28"/>
        </w:rPr>
      </w:pPr>
      <w:r>
        <w:rPr>
          <w:rFonts w:ascii="FrankRuehl" w:hAnsi="FrankRuehl" w:cs="FrankRuehl"/>
          <w:sz w:val="28"/>
          <w:szCs w:val="28"/>
          <w:rtl/>
        </w:rPr>
        <w:t>1</w:t>
      </w:r>
      <w:r>
        <w:rPr>
          <w:rFonts w:ascii="FrankRuehl" w:hAnsi="FrankRuehl" w:cs="FrankRuehl" w:hint="cs"/>
          <w:sz w:val="28"/>
          <w:szCs w:val="28"/>
          <w:rtl/>
        </w:rPr>
        <w:t>1</w:t>
      </w:r>
      <w:r>
        <w:rPr>
          <w:rFonts w:ascii="FrankRuehl" w:hAnsi="FrankRuehl" w:cs="FrankRuehl"/>
          <w:sz w:val="28"/>
          <w:szCs w:val="28"/>
          <w:rtl/>
        </w:rPr>
        <w:t>.</w:t>
      </w:r>
      <w:r>
        <w:rPr>
          <w:rFonts w:ascii="FrankRuehl" w:hAnsi="FrankRuehl" w:cs="FrankRuehl"/>
          <w:sz w:val="28"/>
          <w:szCs w:val="28"/>
          <w:rtl/>
        </w:rPr>
        <w:tab/>
      </w:r>
      <w:r>
        <w:rPr>
          <w:rFonts w:cs="FrankRuehl" w:hint="cs"/>
          <w:sz w:val="28"/>
          <w:szCs w:val="28"/>
          <w:rtl/>
        </w:rPr>
        <w:t>ב</w:t>
      </w:r>
      <w:hyperlink r:id="rId25" w:history="1">
        <w:r w:rsidR="005A698A" w:rsidRPr="005A698A">
          <w:rPr>
            <w:rFonts w:cs="FrankRuehl"/>
            <w:color w:val="0000FF"/>
            <w:sz w:val="28"/>
            <w:szCs w:val="28"/>
            <w:u w:val="single"/>
            <w:rtl/>
          </w:rPr>
          <w:t>ת"פ 37871-05-19</w:t>
        </w:r>
      </w:hyperlink>
      <w:r w:rsidRPr="001978E7">
        <w:rPr>
          <w:rFonts w:ascii="FrankRuehl" w:hAnsi="FrankRuehl" w:cs="FrankRuehl"/>
          <w:sz w:val="28"/>
          <w:szCs w:val="28"/>
          <w:rtl/>
        </w:rPr>
        <w:t xml:space="preserve"> </w:t>
      </w:r>
      <w:r w:rsidRPr="001978E7">
        <w:rPr>
          <w:rFonts w:ascii="Miriam" w:hAnsi="Miriam" w:cs="Miriam"/>
          <w:rtl/>
        </w:rPr>
        <w:t>מדינת ישראל נ' אבו מוך</w:t>
      </w:r>
      <w:r w:rsidRPr="001978E7">
        <w:rPr>
          <w:rFonts w:ascii="FrankRuehl" w:hAnsi="FrankRuehl" w:cs="FrankRuehl"/>
          <w:sz w:val="28"/>
          <w:szCs w:val="28"/>
          <w:rtl/>
        </w:rPr>
        <w:t xml:space="preserve"> (21.10.2022) הורשע הנאשם בעבירות בנשק (ייבוא), </w:t>
      </w:r>
      <w:r>
        <w:rPr>
          <w:rFonts w:ascii="FrankRuehl" w:hAnsi="FrankRuehl" w:cs="FrankRuehl" w:hint="cs"/>
          <w:sz w:val="28"/>
          <w:szCs w:val="28"/>
          <w:rtl/>
        </w:rPr>
        <w:t>ל</w:t>
      </w:r>
      <w:r w:rsidRPr="001978E7">
        <w:rPr>
          <w:rFonts w:ascii="FrankRuehl" w:hAnsi="FrankRuehl" w:cs="FrankRuehl"/>
          <w:sz w:val="28"/>
          <w:szCs w:val="28"/>
          <w:rtl/>
        </w:rPr>
        <w:t xml:space="preserve">אחר שהבריח מגבול ירדן 32 כלי נשק, רובם אקדחים. מתחם העונש </w:t>
      </w:r>
      <w:r>
        <w:rPr>
          <w:rFonts w:ascii="FrankRuehl" w:hAnsi="FrankRuehl" w:cs="FrankRuehl" w:hint="cs"/>
          <w:sz w:val="28"/>
          <w:szCs w:val="28"/>
          <w:rtl/>
        </w:rPr>
        <w:t>נקבע</w:t>
      </w:r>
      <w:r w:rsidRPr="001978E7">
        <w:rPr>
          <w:rFonts w:ascii="FrankRuehl" w:hAnsi="FrankRuehl" w:cs="FrankRuehl"/>
          <w:sz w:val="28"/>
          <w:szCs w:val="28"/>
          <w:rtl/>
        </w:rPr>
        <w:t xml:space="preserve"> כנע בין </w:t>
      </w:r>
      <w:r w:rsidRPr="001978E7">
        <w:rPr>
          <w:rFonts w:ascii="FrankRuehl" w:hAnsi="FrankRuehl" w:cs="FrankRuehl"/>
          <w:b/>
          <w:bCs/>
          <w:sz w:val="28"/>
          <w:szCs w:val="28"/>
          <w:rtl/>
        </w:rPr>
        <w:t xml:space="preserve">8 ל- 12 שנות מאסר לריצוי בפועל ודינו </w:t>
      </w:r>
      <w:r>
        <w:rPr>
          <w:rFonts w:ascii="FrankRuehl" w:hAnsi="FrankRuehl" w:cs="FrankRuehl" w:hint="cs"/>
          <w:b/>
          <w:bCs/>
          <w:sz w:val="28"/>
          <w:szCs w:val="28"/>
          <w:rtl/>
        </w:rPr>
        <w:t xml:space="preserve">של הנאשם </w:t>
      </w:r>
      <w:r w:rsidRPr="001978E7">
        <w:rPr>
          <w:rFonts w:ascii="FrankRuehl" w:hAnsi="FrankRuehl" w:cs="FrankRuehl"/>
          <w:b/>
          <w:bCs/>
          <w:sz w:val="28"/>
          <w:szCs w:val="28"/>
          <w:rtl/>
        </w:rPr>
        <w:t>נגזר ל</w:t>
      </w:r>
      <w:r>
        <w:rPr>
          <w:rFonts w:ascii="FrankRuehl" w:hAnsi="FrankRuehl" w:cs="FrankRuehl" w:hint="cs"/>
          <w:b/>
          <w:bCs/>
          <w:sz w:val="28"/>
          <w:szCs w:val="28"/>
          <w:rtl/>
        </w:rPr>
        <w:t>-10</w:t>
      </w:r>
      <w:r w:rsidRPr="001978E7">
        <w:rPr>
          <w:rFonts w:ascii="FrankRuehl" w:hAnsi="FrankRuehl" w:cs="FrankRuehl"/>
          <w:b/>
          <w:bCs/>
          <w:sz w:val="28"/>
          <w:szCs w:val="28"/>
          <w:rtl/>
        </w:rPr>
        <w:t xml:space="preserve"> שנות מאסר.</w:t>
      </w:r>
    </w:p>
    <w:p w14:paraId="7C3C0820" w14:textId="77777777" w:rsidR="00AC43A3" w:rsidRDefault="00AC43A3" w:rsidP="00AC43A3">
      <w:pPr>
        <w:spacing w:line="360" w:lineRule="auto"/>
        <w:jc w:val="both"/>
        <w:rPr>
          <w:rFonts w:ascii="FrankRuehl" w:hAnsi="FrankRuehl" w:cs="FrankRuehl"/>
          <w:sz w:val="28"/>
          <w:szCs w:val="28"/>
          <w:rtl/>
        </w:rPr>
      </w:pPr>
    </w:p>
    <w:p w14:paraId="2610B361" w14:textId="77777777" w:rsidR="00AC43A3" w:rsidRPr="00AC43A3" w:rsidRDefault="00AC43A3" w:rsidP="00AC43A3">
      <w:pPr>
        <w:spacing w:line="360" w:lineRule="auto"/>
        <w:jc w:val="both"/>
        <w:rPr>
          <w:rFonts w:ascii="FrankRuehl" w:eastAsia="Calibri" w:hAnsi="FrankRuehl" w:cs="FrankRuehl"/>
          <w:sz w:val="28"/>
          <w:szCs w:val="28"/>
          <w:rtl/>
        </w:rPr>
      </w:pPr>
      <w:r>
        <w:rPr>
          <w:rFonts w:ascii="FrankRuehl" w:hAnsi="FrankRuehl" w:cs="FrankRuehl" w:hint="cs"/>
          <w:sz w:val="28"/>
          <w:szCs w:val="28"/>
          <w:rtl/>
        </w:rPr>
        <w:t>12</w:t>
      </w:r>
      <w:r>
        <w:rPr>
          <w:rFonts w:ascii="FrankRuehl" w:hAnsi="FrankRuehl" w:cs="FrankRuehl"/>
          <w:sz w:val="28"/>
          <w:szCs w:val="28"/>
          <w:rtl/>
        </w:rPr>
        <w:t>.</w:t>
      </w:r>
      <w:r>
        <w:rPr>
          <w:rFonts w:ascii="FrankRuehl" w:hAnsi="FrankRuehl" w:cs="FrankRuehl"/>
          <w:sz w:val="28"/>
          <w:szCs w:val="28"/>
          <w:rtl/>
        </w:rPr>
        <w:tab/>
        <w:t>ב</w:t>
      </w:r>
      <w:hyperlink r:id="rId26" w:history="1">
        <w:r w:rsidR="005A698A" w:rsidRPr="005A698A">
          <w:rPr>
            <w:rFonts w:ascii="FrankRuehl" w:hAnsi="FrankRuehl" w:cs="FrankRuehl"/>
            <w:color w:val="0000FF"/>
            <w:sz w:val="28"/>
            <w:szCs w:val="28"/>
            <w:u w:val="single"/>
            <w:rtl/>
          </w:rPr>
          <w:t>ע"פ 2171-07</w:t>
        </w:r>
      </w:hyperlink>
      <w:r>
        <w:rPr>
          <w:rFonts w:ascii="FrankRuehl" w:hAnsi="FrankRuehl" w:cs="FrankRuehl"/>
          <w:sz w:val="28"/>
          <w:szCs w:val="28"/>
          <w:rtl/>
        </w:rPr>
        <w:t xml:space="preserve"> </w:t>
      </w:r>
      <w:r>
        <w:rPr>
          <w:rFonts w:ascii="Miriam" w:hAnsi="Miriam" w:cs="Miriam"/>
          <w:rtl/>
        </w:rPr>
        <w:t>ואאל בראנסי נ' מדינת ישראל</w:t>
      </w:r>
      <w:r>
        <w:rPr>
          <w:rFonts w:ascii="FrankRuehl" w:hAnsi="FrankRuehl" w:cs="FrankRuehl"/>
          <w:sz w:val="28"/>
          <w:szCs w:val="28"/>
          <w:rtl/>
        </w:rPr>
        <w:t xml:space="preserve"> (31.10.07) הורשע הנאשם בעבירה של הובלת כלי נשק, ועשית עסקה שיש עמה החזקה בנשק, לפי </w:t>
      </w:r>
      <w:r w:rsidRPr="009F64F9">
        <w:rPr>
          <w:rFonts w:cs="FrankRuehl" w:hint="cs"/>
          <w:sz w:val="28"/>
          <w:szCs w:val="28"/>
          <w:rtl/>
        </w:rPr>
        <w:t xml:space="preserve">סעיפים </w:t>
      </w:r>
      <w:hyperlink r:id="rId27" w:history="1">
        <w:r w:rsidR="00D13F46" w:rsidRPr="00D13F46">
          <w:rPr>
            <w:rStyle w:val="Hyperlink"/>
            <w:rFonts w:cs="FrankRuehl"/>
            <w:sz w:val="28"/>
            <w:szCs w:val="28"/>
            <w:rtl/>
          </w:rPr>
          <w:t>144(ב),</w:t>
        </w:r>
      </w:hyperlink>
      <w:r>
        <w:rPr>
          <w:rFonts w:cs="FrankRuehl" w:hint="cs"/>
          <w:sz w:val="28"/>
          <w:szCs w:val="28"/>
          <w:rtl/>
        </w:rPr>
        <w:t xml:space="preserve"> </w:t>
      </w:r>
      <w:hyperlink r:id="rId28" w:history="1">
        <w:r w:rsidR="00D13F46" w:rsidRPr="00D13F46">
          <w:rPr>
            <w:rStyle w:val="Hyperlink"/>
            <w:rFonts w:cs="FrankRuehl"/>
            <w:sz w:val="28"/>
            <w:szCs w:val="28"/>
            <w:rtl/>
          </w:rPr>
          <w:t>144(ב)2</w:t>
        </w:r>
      </w:hyperlink>
      <w:r>
        <w:rPr>
          <w:rFonts w:ascii="FrankRuehl" w:hAnsi="FrankRuehl" w:cs="FrankRuehl" w:hint="cs"/>
          <w:sz w:val="28"/>
          <w:szCs w:val="28"/>
          <w:rtl/>
        </w:rPr>
        <w:t xml:space="preserve"> יחד עם </w:t>
      </w:r>
      <w:hyperlink r:id="rId29" w:history="1">
        <w:r w:rsidR="00D13F46" w:rsidRPr="00D13F46">
          <w:rPr>
            <w:rStyle w:val="Hyperlink"/>
            <w:rFonts w:cs="FrankRuehl" w:hint="eastAsia"/>
            <w:sz w:val="28"/>
            <w:szCs w:val="28"/>
            <w:rtl/>
          </w:rPr>
          <w:t>סעיף</w:t>
        </w:r>
        <w:r w:rsidR="00D13F46" w:rsidRPr="00D13F46">
          <w:rPr>
            <w:rStyle w:val="Hyperlink"/>
            <w:rFonts w:cs="FrankRuehl"/>
            <w:sz w:val="28"/>
            <w:szCs w:val="28"/>
            <w:rtl/>
          </w:rPr>
          <w:t xml:space="preserve"> 29(ב)</w:t>
        </w:r>
      </w:hyperlink>
      <w:r>
        <w:rPr>
          <w:rFonts w:ascii="FrankRuehl" w:hAnsi="FrankRuehl" w:cs="FrankRuehl" w:hint="cs"/>
          <w:sz w:val="28"/>
          <w:szCs w:val="28"/>
          <w:rtl/>
        </w:rPr>
        <w:t xml:space="preserve"> ל</w:t>
      </w:r>
      <w:hyperlink r:id="rId30" w:history="1">
        <w:r w:rsidR="005A698A" w:rsidRPr="005A698A">
          <w:rPr>
            <w:rFonts w:ascii="FrankRuehl" w:hAnsi="FrankRuehl" w:cs="FrankRuehl"/>
            <w:color w:val="0000FF"/>
            <w:sz w:val="28"/>
            <w:szCs w:val="28"/>
            <w:u w:val="single"/>
            <w:rtl/>
          </w:rPr>
          <w:t>חוק העונשין</w:t>
        </w:r>
      </w:hyperlink>
      <w:r>
        <w:rPr>
          <w:rFonts w:ascii="FrankRuehl" w:hAnsi="FrankRuehl" w:cs="FrankRuehl" w:hint="cs"/>
          <w:sz w:val="28"/>
          <w:szCs w:val="28"/>
          <w:rtl/>
        </w:rPr>
        <w:t>.</w:t>
      </w:r>
      <w:r>
        <w:rPr>
          <w:rFonts w:ascii="FrankRuehl" w:hAnsi="FrankRuehl" w:cs="FrankRuehl"/>
          <w:sz w:val="28"/>
          <w:szCs w:val="28"/>
          <w:rtl/>
        </w:rPr>
        <w:t xml:space="preserve"> הנאשם </w:t>
      </w:r>
      <w:r>
        <w:rPr>
          <w:rFonts w:ascii="FrankRuehl" w:hAnsi="FrankRuehl" w:cs="FrankRuehl" w:hint="cs"/>
          <w:sz w:val="28"/>
          <w:szCs w:val="28"/>
          <w:rtl/>
        </w:rPr>
        <w:t xml:space="preserve">בסיוע נהג משאית </w:t>
      </w:r>
      <w:r>
        <w:rPr>
          <w:rFonts w:ascii="FrankRuehl" w:hAnsi="FrankRuehl" w:cs="FrankRuehl"/>
          <w:sz w:val="28"/>
          <w:szCs w:val="28"/>
          <w:rtl/>
        </w:rPr>
        <w:t xml:space="preserve">הוביל עבור בצע כסף 22 רובי סער מסוג קלצ'ניקוב ו-22 מחסניות תואמות. בית המשפט המחוזי גזר על הנאשם </w:t>
      </w:r>
      <w:r>
        <w:rPr>
          <w:rFonts w:ascii="FrankRuehl" w:hAnsi="FrankRuehl" w:cs="FrankRuehl"/>
          <w:b/>
          <w:bCs/>
          <w:sz w:val="28"/>
          <w:szCs w:val="28"/>
          <w:rtl/>
        </w:rPr>
        <w:t>8 שנות מאסר.</w:t>
      </w:r>
      <w:r>
        <w:rPr>
          <w:rFonts w:ascii="FrankRuehl" w:hAnsi="FrankRuehl" w:cs="FrankRuehl"/>
          <w:sz w:val="28"/>
          <w:szCs w:val="28"/>
          <w:rtl/>
        </w:rPr>
        <w:t xml:space="preserve"> ערעור על חומרת העונש נדחה.</w:t>
      </w:r>
      <w:r w:rsidRPr="00AC43A3">
        <w:rPr>
          <w:rFonts w:ascii="FrankRuehl" w:eastAsia="Calibri" w:hAnsi="FrankRuehl" w:cs="FrankRuehl" w:hint="cs"/>
          <w:sz w:val="28"/>
          <w:szCs w:val="28"/>
          <w:rtl/>
        </w:rPr>
        <w:t xml:space="preserve"> לציין כי נהג המשאית נדון לעונש מאסר בפועל של חמש וחצי שנים.</w:t>
      </w:r>
    </w:p>
    <w:p w14:paraId="69BE5E89" w14:textId="77777777" w:rsidR="00AC43A3" w:rsidRPr="00AC43A3" w:rsidRDefault="00AC43A3" w:rsidP="00AC43A3">
      <w:pPr>
        <w:spacing w:line="360" w:lineRule="auto"/>
        <w:jc w:val="both"/>
        <w:rPr>
          <w:rFonts w:ascii="FrankRuehl" w:eastAsia="Calibri" w:hAnsi="FrankRuehl" w:cs="FrankRuehl"/>
          <w:sz w:val="28"/>
          <w:szCs w:val="28"/>
          <w:rtl/>
        </w:rPr>
      </w:pPr>
    </w:p>
    <w:p w14:paraId="473DA6DB" w14:textId="77777777" w:rsidR="00AC43A3" w:rsidRDefault="00AC43A3" w:rsidP="00AC43A3">
      <w:pPr>
        <w:spacing w:line="360" w:lineRule="auto"/>
        <w:jc w:val="both"/>
        <w:rPr>
          <w:rFonts w:ascii="FrankRuehl" w:hAnsi="FrankRuehl" w:cs="FrankRuehl"/>
          <w:sz w:val="28"/>
          <w:szCs w:val="28"/>
          <w:rtl/>
        </w:rPr>
      </w:pPr>
      <w:r>
        <w:rPr>
          <w:rFonts w:ascii="FrankRuehl" w:hAnsi="FrankRuehl" w:cs="FrankRuehl"/>
          <w:sz w:val="28"/>
          <w:szCs w:val="28"/>
          <w:rtl/>
        </w:rPr>
        <w:t xml:space="preserve"> </w:t>
      </w:r>
      <w:r>
        <w:rPr>
          <w:rFonts w:ascii="FrankRuehl" w:hAnsi="FrankRuehl" w:cs="FrankRuehl" w:hint="cs"/>
          <w:sz w:val="28"/>
          <w:szCs w:val="28"/>
          <w:rtl/>
        </w:rPr>
        <w:t>13</w:t>
      </w:r>
      <w:r>
        <w:rPr>
          <w:rFonts w:ascii="FrankRuehl" w:hAnsi="FrankRuehl" w:cs="FrankRuehl"/>
          <w:sz w:val="28"/>
          <w:szCs w:val="28"/>
          <w:rtl/>
        </w:rPr>
        <w:t>.</w:t>
      </w:r>
      <w:r>
        <w:rPr>
          <w:rFonts w:ascii="FrankRuehl" w:hAnsi="FrankRuehl" w:cs="FrankRuehl"/>
          <w:sz w:val="28"/>
          <w:szCs w:val="28"/>
          <w:rtl/>
        </w:rPr>
        <w:tab/>
        <w:t>ב</w:t>
      </w:r>
      <w:hyperlink r:id="rId31" w:history="1">
        <w:r w:rsidR="005A698A" w:rsidRPr="005A698A">
          <w:rPr>
            <w:rFonts w:ascii="FrankRuehl" w:hAnsi="FrankRuehl" w:cs="FrankRuehl"/>
            <w:color w:val="0000FF"/>
            <w:sz w:val="28"/>
            <w:szCs w:val="28"/>
            <w:u w:val="single"/>
            <w:rtl/>
          </w:rPr>
          <w:t>ת"פ 41228-03-18</w:t>
        </w:r>
      </w:hyperlink>
      <w:r>
        <w:rPr>
          <w:rFonts w:ascii="FrankRuehl" w:hAnsi="FrankRuehl" w:cs="FrankRuehl"/>
          <w:sz w:val="28"/>
          <w:szCs w:val="28"/>
          <w:rtl/>
        </w:rPr>
        <w:t xml:space="preserve"> </w:t>
      </w:r>
      <w:r w:rsidRPr="001978E7">
        <w:rPr>
          <w:rFonts w:ascii="Miriam" w:hAnsi="Miriam" w:cs="Miriam"/>
          <w:rtl/>
        </w:rPr>
        <w:t xml:space="preserve">מדינת ישראל נ' </w:t>
      </w:r>
      <w:r w:rsidRPr="001978E7">
        <w:rPr>
          <w:rFonts w:ascii="Miriam" w:hAnsi="Miriam" w:cs="Miriam"/>
        </w:rPr>
        <w:t>frank</w:t>
      </w:r>
      <w:r w:rsidRPr="001978E7">
        <w:rPr>
          <w:rFonts w:ascii="Miriam" w:hAnsi="Miriam" w:cs="Miriam"/>
          <w:rtl/>
        </w:rPr>
        <w:t xml:space="preserve"> פרנק</w:t>
      </w:r>
      <w:r>
        <w:rPr>
          <w:rFonts w:ascii="FrankRuehl" w:hAnsi="FrankRuehl" w:cs="FrankRuehl"/>
          <w:sz w:val="28"/>
          <w:szCs w:val="28"/>
          <w:rtl/>
        </w:rPr>
        <w:t xml:space="preserve">  (08.04.2019) הנאשם הורשע בעבירות נשק (ייבוא, נשיאה והובלה). הנאשם עבד כנהג בקונסוליה הכללית של צרפת בירושלים ובמסגרת שהותו בעזה, פגש בשלוש הזדמנויות אדם וקיבל ממנו  אקדחים עטופים בחבילה, הכניס את החבילות לתיקו, הניח את התיק בתא המטען של הרכב הקונסולרי והבריחו. הנאשם הצליח להעביר בסך הכל 29 אקדחים. בתמורה לחלקו, קיבל הנאשם סך של 26,000 ₪. בית המשפט קיבל את הסדר הטיעון אליו הגיעו הצדדים לרבות העונש המוסכם וגזר על הנאשם </w:t>
      </w:r>
      <w:r>
        <w:rPr>
          <w:rFonts w:ascii="FrankRuehl" w:hAnsi="FrankRuehl" w:cs="FrankRuehl"/>
          <w:b/>
          <w:bCs/>
          <w:sz w:val="28"/>
          <w:szCs w:val="28"/>
          <w:rtl/>
        </w:rPr>
        <w:t>7 שנות מאסר בפועל</w:t>
      </w:r>
      <w:r>
        <w:rPr>
          <w:rFonts w:ascii="FrankRuehl" w:hAnsi="FrankRuehl" w:cs="FrankRuehl"/>
          <w:sz w:val="28"/>
          <w:szCs w:val="28"/>
          <w:rtl/>
        </w:rPr>
        <w:t xml:space="preserve"> תוך שקבע כי "העונש המוסכם בין הצדדים של שבע שנות מאסר, גם אם אינו קל בפני עצמו יש בו כדי להקל עם הנאשם ואף הקלה משמעותית". </w:t>
      </w:r>
    </w:p>
    <w:p w14:paraId="2336E76B" w14:textId="77777777" w:rsidR="00AC43A3" w:rsidRDefault="00AC43A3" w:rsidP="00AC43A3">
      <w:pPr>
        <w:spacing w:line="360" w:lineRule="auto"/>
        <w:jc w:val="both"/>
        <w:rPr>
          <w:rFonts w:ascii="FrankRuehl" w:hAnsi="FrankRuehl" w:cs="FrankRuehl"/>
          <w:sz w:val="28"/>
          <w:szCs w:val="28"/>
          <w:rtl/>
        </w:rPr>
      </w:pPr>
    </w:p>
    <w:p w14:paraId="0C58AEC5" w14:textId="77777777" w:rsidR="00AC43A3" w:rsidRDefault="00AC43A3" w:rsidP="00AC43A3">
      <w:pPr>
        <w:spacing w:line="360" w:lineRule="auto"/>
        <w:jc w:val="both"/>
        <w:rPr>
          <w:rFonts w:ascii="FrankRuehl" w:hAnsi="FrankRuehl" w:cs="FrankRuehl"/>
          <w:sz w:val="28"/>
          <w:szCs w:val="28"/>
          <w:rtl/>
        </w:rPr>
      </w:pPr>
      <w:r>
        <w:rPr>
          <w:rFonts w:ascii="FrankRuehl" w:hAnsi="FrankRuehl" w:cs="FrankRuehl"/>
          <w:sz w:val="28"/>
          <w:szCs w:val="28"/>
          <w:rtl/>
        </w:rPr>
        <w:t>1</w:t>
      </w:r>
      <w:r>
        <w:rPr>
          <w:rFonts w:ascii="FrankRuehl" w:hAnsi="FrankRuehl" w:cs="FrankRuehl" w:hint="cs"/>
          <w:sz w:val="28"/>
          <w:szCs w:val="28"/>
          <w:rtl/>
        </w:rPr>
        <w:t>4</w:t>
      </w:r>
      <w:r>
        <w:rPr>
          <w:rFonts w:ascii="FrankRuehl" w:hAnsi="FrankRuehl" w:cs="FrankRuehl"/>
          <w:sz w:val="28"/>
          <w:szCs w:val="28"/>
          <w:rtl/>
        </w:rPr>
        <w:t>.</w:t>
      </w:r>
      <w:r>
        <w:rPr>
          <w:rFonts w:ascii="FrankRuehl" w:hAnsi="FrankRuehl" w:cs="FrankRuehl"/>
          <w:sz w:val="28"/>
          <w:szCs w:val="28"/>
          <w:rtl/>
        </w:rPr>
        <w:tab/>
        <w:t>ב</w:t>
      </w:r>
      <w:hyperlink r:id="rId32" w:history="1">
        <w:r w:rsidR="005A698A" w:rsidRPr="005A698A">
          <w:rPr>
            <w:rFonts w:ascii="FrankRuehl" w:hAnsi="FrankRuehl" w:cs="FrankRuehl"/>
            <w:color w:val="0000FF"/>
            <w:sz w:val="28"/>
            <w:szCs w:val="28"/>
            <w:u w:val="single"/>
            <w:rtl/>
          </w:rPr>
          <w:t>ת"פ 54338-03-21</w:t>
        </w:r>
      </w:hyperlink>
      <w:r>
        <w:rPr>
          <w:rFonts w:ascii="FrankRuehl" w:hAnsi="FrankRuehl" w:cs="FrankRuehl"/>
          <w:sz w:val="28"/>
          <w:szCs w:val="28"/>
          <w:rtl/>
        </w:rPr>
        <w:t xml:space="preserve"> </w:t>
      </w:r>
      <w:r>
        <w:rPr>
          <w:rFonts w:ascii="Miriam" w:hAnsi="Miriam" w:cs="Miriam"/>
          <w:rtl/>
        </w:rPr>
        <w:t>מדינת ישראל נגד אבו חטאב</w:t>
      </w:r>
      <w:r>
        <w:rPr>
          <w:rFonts w:ascii="FrankRuehl" w:hAnsi="FrankRuehl" w:cs="FrankRuehl"/>
          <w:sz w:val="28"/>
          <w:szCs w:val="28"/>
          <w:rtl/>
        </w:rPr>
        <w:t xml:space="preserve"> (10.02.2022) הנאשם הורשע בעבירה של ייבוא נשק ועבירות תעבורה נוספות. בית המשפט המחוזי קבע מתחם עונש הולם הנע בין 4 ל- 8 שנות מאסר, בגין יבוא 6 כלי נשק מירדן שכללו 4 אקדחים, רובה צייד ורובה מסוג קלצ'ניקוב, וגזר על הנאשם </w:t>
      </w:r>
      <w:r>
        <w:rPr>
          <w:rFonts w:ascii="FrankRuehl" w:hAnsi="FrankRuehl" w:cs="FrankRuehl"/>
          <w:b/>
          <w:bCs/>
          <w:sz w:val="28"/>
          <w:szCs w:val="28"/>
          <w:rtl/>
        </w:rPr>
        <w:t>6 שנות מאסר בפועל</w:t>
      </w:r>
      <w:r>
        <w:rPr>
          <w:rFonts w:ascii="FrankRuehl" w:hAnsi="FrankRuehl" w:cs="FrankRuehl"/>
          <w:sz w:val="28"/>
          <w:szCs w:val="28"/>
          <w:rtl/>
        </w:rPr>
        <w:t xml:space="preserve">, תוך שהוא מפעיל מאסר מותנה בן 4 חודשים.  </w:t>
      </w:r>
    </w:p>
    <w:p w14:paraId="41356633" w14:textId="77777777" w:rsidR="00AC43A3" w:rsidRDefault="00AC43A3" w:rsidP="00AC43A3">
      <w:pPr>
        <w:spacing w:line="360" w:lineRule="auto"/>
        <w:jc w:val="both"/>
        <w:rPr>
          <w:rFonts w:ascii="FrankRuehl" w:hAnsi="FrankRuehl" w:cs="FrankRuehl"/>
          <w:sz w:val="28"/>
          <w:szCs w:val="28"/>
          <w:rtl/>
        </w:rPr>
      </w:pPr>
    </w:p>
    <w:p w14:paraId="389E99EE" w14:textId="77777777" w:rsidR="00AC43A3" w:rsidRPr="003B5CD8" w:rsidRDefault="00AC43A3" w:rsidP="00AC43A3">
      <w:pPr>
        <w:spacing w:line="360" w:lineRule="auto"/>
        <w:jc w:val="both"/>
        <w:rPr>
          <w:rFonts w:ascii="FrankRuehl" w:hAnsi="FrankRuehl" w:cs="FrankRuehl"/>
          <w:color w:val="000000"/>
          <w:sz w:val="28"/>
          <w:szCs w:val="28"/>
          <w:rtl/>
        </w:rPr>
      </w:pPr>
      <w:r w:rsidRPr="003B5CD8">
        <w:rPr>
          <w:rFonts w:ascii="FrankRuehl" w:hAnsi="FrankRuehl" w:cs="FrankRuehl"/>
          <w:sz w:val="28"/>
          <w:szCs w:val="28"/>
          <w:rtl/>
        </w:rPr>
        <w:t>1</w:t>
      </w:r>
      <w:r>
        <w:rPr>
          <w:rFonts w:ascii="FrankRuehl" w:hAnsi="FrankRuehl" w:cs="FrankRuehl" w:hint="cs"/>
          <w:sz w:val="28"/>
          <w:szCs w:val="28"/>
          <w:rtl/>
        </w:rPr>
        <w:t>5</w:t>
      </w:r>
      <w:r w:rsidRPr="003B5CD8">
        <w:rPr>
          <w:rFonts w:ascii="FrankRuehl" w:hAnsi="FrankRuehl" w:cs="FrankRuehl"/>
          <w:sz w:val="28"/>
          <w:szCs w:val="28"/>
          <w:rtl/>
        </w:rPr>
        <w:t>.</w:t>
      </w:r>
      <w:r w:rsidRPr="003B5CD8">
        <w:rPr>
          <w:rFonts w:ascii="FrankRuehl" w:hAnsi="FrankRuehl" w:cs="FrankRuehl"/>
          <w:sz w:val="28"/>
          <w:szCs w:val="28"/>
          <w:rtl/>
        </w:rPr>
        <w:tab/>
        <w:t>ב</w:t>
      </w:r>
      <w:hyperlink r:id="rId33" w:history="1">
        <w:r w:rsidR="005A698A" w:rsidRPr="005A698A">
          <w:rPr>
            <w:rFonts w:ascii="FrankRuehl" w:hAnsi="FrankRuehl" w:cs="FrankRuehl"/>
            <w:color w:val="0000FF"/>
            <w:sz w:val="28"/>
            <w:szCs w:val="28"/>
            <w:u w:val="single"/>
            <w:rtl/>
          </w:rPr>
          <w:t>ת"פ (מרכז) 47586-11-16</w:t>
        </w:r>
      </w:hyperlink>
      <w:r w:rsidRPr="003B5CD8">
        <w:rPr>
          <w:rFonts w:ascii="Miriam" w:hAnsi="Miriam" w:cs="Miriam"/>
          <w:rtl/>
        </w:rPr>
        <w:t xml:space="preserve"> מדינת ישראל נ' רמיל ניסנוב</w:t>
      </w:r>
      <w:r w:rsidRPr="003B5CD8">
        <w:rPr>
          <w:rFonts w:ascii="FrankRuehl" w:hAnsi="FrankRuehl" w:cs="FrankRuehl"/>
          <w:sz w:val="28"/>
          <w:szCs w:val="28"/>
          <w:rtl/>
        </w:rPr>
        <w:t xml:space="preserve"> (13.03.2018), אליו הפנה הסנגור, הורשע הנאשם בעבירות של </w:t>
      </w:r>
      <w:r w:rsidRPr="003B5CD8">
        <w:rPr>
          <w:rFonts w:ascii="FrankRuehl" w:hAnsi="FrankRuehl" w:cs="FrankRuehl"/>
          <w:color w:val="000000"/>
          <w:sz w:val="28"/>
          <w:szCs w:val="28"/>
          <w:rtl/>
        </w:rPr>
        <w:t>נשיאת נשק ותחמושת שלא כדין, וקשירת קשר לביצוע פשע</w:t>
      </w:r>
      <w:r>
        <w:rPr>
          <w:rFonts w:ascii="FrankRuehl" w:hAnsi="FrankRuehl" w:cs="FrankRuehl" w:hint="cs"/>
          <w:color w:val="000000"/>
          <w:sz w:val="28"/>
          <w:szCs w:val="28"/>
          <w:rtl/>
        </w:rPr>
        <w:t xml:space="preserve"> בהתאם להסדר טיעון בו הוסכם כי המדינה תעתור לעונש ראוי של 75 חודשי מאסר</w:t>
      </w:r>
      <w:r w:rsidRPr="003B5CD8">
        <w:rPr>
          <w:rFonts w:ascii="FrankRuehl" w:hAnsi="FrankRuehl" w:cs="FrankRuehl"/>
          <w:color w:val="000000"/>
          <w:sz w:val="28"/>
          <w:szCs w:val="28"/>
          <w:rtl/>
        </w:rPr>
        <w:t>. הנאשם נשא והחזיק ב- 579 אקדחים מאולתרים דמוי עט בעלי קוטר של 0.22 אינץ' בלבד, עבור בצע כסף. בית המשפט קבע מתחם ענישה הנע בין 55-85 חודשי מאסר וגזר על הנאשם</w:t>
      </w:r>
      <w:r w:rsidRPr="003B5CD8">
        <w:rPr>
          <w:rFonts w:ascii="FrankRuehl" w:hAnsi="FrankRuehl" w:cs="FrankRuehl"/>
          <w:b/>
          <w:bCs/>
          <w:color w:val="000000"/>
          <w:sz w:val="28"/>
          <w:szCs w:val="28"/>
          <w:rtl/>
        </w:rPr>
        <w:t xml:space="preserve"> 62 חודשי מאסר.</w:t>
      </w:r>
    </w:p>
    <w:p w14:paraId="37840C6A" w14:textId="77777777" w:rsidR="00AC43A3" w:rsidRPr="003B5CD8" w:rsidRDefault="00AC43A3" w:rsidP="00AC43A3">
      <w:pPr>
        <w:spacing w:line="360" w:lineRule="auto"/>
        <w:jc w:val="both"/>
        <w:rPr>
          <w:rFonts w:ascii="FrankRuehl" w:hAnsi="FrankRuehl" w:cs="FrankRuehl"/>
          <w:sz w:val="28"/>
          <w:szCs w:val="28"/>
          <w:rtl/>
        </w:rPr>
      </w:pPr>
    </w:p>
    <w:p w14:paraId="5FDD06E3" w14:textId="77777777" w:rsidR="00AC43A3" w:rsidRDefault="00AC43A3" w:rsidP="00AC43A3">
      <w:pPr>
        <w:spacing w:line="360" w:lineRule="auto"/>
        <w:jc w:val="both"/>
        <w:rPr>
          <w:rFonts w:ascii="FrankRuehl" w:hAnsi="FrankRuehl" w:cs="FrankRuehl"/>
          <w:sz w:val="28"/>
          <w:szCs w:val="28"/>
          <w:rtl/>
        </w:rPr>
      </w:pPr>
      <w:r w:rsidRPr="003B5CD8">
        <w:rPr>
          <w:rFonts w:ascii="FrankRuehl" w:hAnsi="FrankRuehl" w:cs="FrankRuehl"/>
          <w:sz w:val="28"/>
          <w:szCs w:val="28"/>
          <w:rtl/>
        </w:rPr>
        <w:t>1</w:t>
      </w:r>
      <w:r>
        <w:rPr>
          <w:rFonts w:ascii="FrankRuehl" w:hAnsi="FrankRuehl" w:cs="FrankRuehl" w:hint="cs"/>
          <w:sz w:val="28"/>
          <w:szCs w:val="28"/>
          <w:rtl/>
        </w:rPr>
        <w:t>6</w:t>
      </w:r>
      <w:r w:rsidRPr="003B5CD8">
        <w:rPr>
          <w:rFonts w:ascii="FrankRuehl" w:hAnsi="FrankRuehl" w:cs="FrankRuehl"/>
          <w:sz w:val="28"/>
          <w:szCs w:val="28"/>
          <w:rtl/>
        </w:rPr>
        <w:t>.</w:t>
      </w:r>
      <w:r w:rsidRPr="003B5CD8">
        <w:rPr>
          <w:rFonts w:ascii="FrankRuehl" w:hAnsi="FrankRuehl" w:cs="FrankRuehl"/>
          <w:sz w:val="28"/>
          <w:szCs w:val="28"/>
          <w:rtl/>
        </w:rPr>
        <w:tab/>
        <w:t>ב</w:t>
      </w:r>
      <w:hyperlink r:id="rId34" w:history="1">
        <w:r w:rsidR="005A698A" w:rsidRPr="005A698A">
          <w:rPr>
            <w:rFonts w:ascii="FrankRuehl" w:hAnsi="FrankRuehl" w:cs="FrankRuehl"/>
            <w:color w:val="0000FF"/>
            <w:sz w:val="28"/>
            <w:szCs w:val="28"/>
            <w:u w:val="single"/>
            <w:rtl/>
          </w:rPr>
          <w:t>ע"פ 309/22</w:t>
        </w:r>
      </w:hyperlink>
      <w:r w:rsidRPr="003B5CD8">
        <w:rPr>
          <w:rFonts w:ascii="FrankRuehl" w:hAnsi="FrankRuehl" w:cs="FrankRuehl"/>
          <w:sz w:val="28"/>
          <w:szCs w:val="28"/>
          <w:rtl/>
        </w:rPr>
        <w:t xml:space="preserve"> </w:t>
      </w:r>
      <w:r w:rsidRPr="003B5CD8">
        <w:rPr>
          <w:rFonts w:ascii="Miriam" w:hAnsi="Miriam" w:cs="Miriam"/>
          <w:rtl/>
        </w:rPr>
        <w:t>מדינת ישראל נ' חאמד ביאדסה</w:t>
      </w:r>
      <w:r w:rsidRPr="003B5CD8">
        <w:rPr>
          <w:rFonts w:ascii="FrankRuehl" w:hAnsi="FrankRuehl" w:cs="FrankRuehl"/>
          <w:sz w:val="28"/>
          <w:szCs w:val="28"/>
          <w:rtl/>
        </w:rPr>
        <w:t xml:space="preserve"> (10.05.2022), הנאשם הורשע על פי הודאתו בעבירות של החזקה, נשיאה והובלה של נשק. במקרה זה הנאשם קישט את רכבו על מנת להציג מצג שווא כאילו הרכב מיועד להסעת חתן וכלה. במהלך הנסיעה החזיק </w:t>
      </w:r>
      <w:r>
        <w:rPr>
          <w:rFonts w:ascii="FrankRuehl" w:hAnsi="FrankRuehl" w:cs="FrankRuehl" w:hint="cs"/>
          <w:sz w:val="28"/>
          <w:szCs w:val="28"/>
          <w:rtl/>
        </w:rPr>
        <w:t xml:space="preserve">הנאשם ואחר שהיה עמו </w:t>
      </w:r>
      <w:r w:rsidRPr="003B5CD8">
        <w:rPr>
          <w:rFonts w:ascii="FrankRuehl" w:hAnsi="FrankRuehl" w:cs="FrankRuehl"/>
          <w:sz w:val="28"/>
          <w:szCs w:val="28"/>
          <w:rtl/>
        </w:rPr>
        <w:t xml:space="preserve">ברובה מסוג קלצ'ניקוב, מחסנית תואמת לרובה ובה 29 כדורים, אקדח חצי אוטומטי מסוג </w:t>
      </w:r>
      <w:r w:rsidRPr="003B5CD8">
        <w:rPr>
          <w:rFonts w:ascii="FrankRuehl" w:hAnsi="FrankRuehl" w:cs="FrankRuehl"/>
          <w:sz w:val="28"/>
          <w:szCs w:val="28"/>
        </w:rPr>
        <w:t>Norinko</w:t>
      </w:r>
      <w:r w:rsidRPr="003B5CD8">
        <w:rPr>
          <w:rFonts w:ascii="FrankRuehl" w:hAnsi="FrankRuehl" w:cs="FrankRuehl"/>
          <w:sz w:val="28"/>
          <w:szCs w:val="28"/>
          <w:rtl/>
        </w:rPr>
        <w:t xml:space="preserve">, טעון במחסנית תואמת שמכילה 27 כדורים וכדור נוסף בקנה, ומחסנית נוספת שמכילה 14 כדורים. בית המשפט המחוזי קבע את מתחם הענישה </w:t>
      </w:r>
      <w:hyperlink r:id="rId35" w:history="1">
        <w:r w:rsidR="005A698A" w:rsidRPr="005A698A">
          <w:rPr>
            <w:rFonts w:ascii="FrankRuehl" w:hAnsi="FrankRuehl" w:cs="FrankRuehl"/>
            <w:color w:val="0000FF"/>
            <w:sz w:val="28"/>
            <w:szCs w:val="28"/>
            <w:u w:val="single"/>
            <w:rtl/>
          </w:rPr>
          <w:t>על 54-19</w:t>
        </w:r>
      </w:hyperlink>
      <w:r w:rsidRPr="003B5CD8">
        <w:rPr>
          <w:rFonts w:ascii="FrankRuehl" w:hAnsi="FrankRuehl" w:cs="FrankRuehl"/>
          <w:sz w:val="28"/>
          <w:szCs w:val="28"/>
          <w:rtl/>
        </w:rPr>
        <w:t xml:space="preserve"> חודשי מאסר וגזר את עונשו ל- 19 חודשי מאסר. בית המשפט העליון קבע כי מדובר בחריגה ממדיניות הענישה והחמיר את עונשו ל- </w:t>
      </w:r>
      <w:r w:rsidRPr="003B5CD8">
        <w:rPr>
          <w:rFonts w:ascii="FrankRuehl" w:hAnsi="FrankRuehl" w:cs="FrankRuehl"/>
          <w:b/>
          <w:bCs/>
          <w:sz w:val="28"/>
          <w:szCs w:val="28"/>
          <w:rtl/>
        </w:rPr>
        <w:t>30 חודשי מאסר</w:t>
      </w:r>
      <w:r w:rsidRPr="003B5CD8">
        <w:rPr>
          <w:rFonts w:ascii="FrankRuehl" w:hAnsi="FrankRuehl" w:cs="FrankRuehl"/>
          <w:sz w:val="28"/>
          <w:szCs w:val="28"/>
          <w:rtl/>
        </w:rPr>
        <w:t>.</w:t>
      </w:r>
    </w:p>
    <w:p w14:paraId="3D5E1E23" w14:textId="77777777" w:rsidR="00AC43A3" w:rsidRDefault="00AC43A3" w:rsidP="00AC43A3">
      <w:pPr>
        <w:spacing w:line="360" w:lineRule="auto"/>
        <w:jc w:val="both"/>
        <w:rPr>
          <w:rFonts w:ascii="FrankRuehl" w:hAnsi="FrankRuehl" w:cs="FrankRuehl"/>
          <w:sz w:val="28"/>
          <w:szCs w:val="28"/>
          <w:rtl/>
        </w:rPr>
      </w:pPr>
    </w:p>
    <w:p w14:paraId="5EB6FF3A" w14:textId="77777777" w:rsidR="00AC43A3" w:rsidRDefault="00AC43A3" w:rsidP="00AC43A3">
      <w:pPr>
        <w:spacing w:line="360" w:lineRule="auto"/>
        <w:ind w:firstLine="720"/>
        <w:jc w:val="both"/>
        <w:rPr>
          <w:rFonts w:ascii="FrankRuehl" w:hAnsi="FrankRuehl" w:cs="FrankRuehl"/>
          <w:b/>
          <w:bCs/>
          <w:sz w:val="28"/>
          <w:szCs w:val="28"/>
          <w:rtl/>
        </w:rPr>
      </w:pPr>
      <w:r>
        <w:rPr>
          <w:rFonts w:ascii="FrankRuehl" w:hAnsi="FrankRuehl" w:cs="FrankRuehl" w:hint="cs"/>
          <w:b/>
          <w:bCs/>
          <w:sz w:val="28"/>
          <w:szCs w:val="28"/>
          <w:rtl/>
        </w:rPr>
        <w:t>ב</w:t>
      </w:r>
      <w:r>
        <w:rPr>
          <w:rFonts w:ascii="FrankRuehl" w:hAnsi="FrankRuehl" w:cs="FrankRuehl"/>
          <w:b/>
          <w:bCs/>
          <w:sz w:val="28"/>
          <w:szCs w:val="28"/>
          <w:rtl/>
        </w:rPr>
        <w:t xml:space="preserve">סיכום אלה, סבורני כי מתחם הענישה ההולם את מעשי הנאשמים 1 ו-2 נע בין 7-9 שנות מאסר, לצד עונשים נלווים כגון מאסר מותנה וקנס. מתחם הענישה לעבירת הסיוע בעניינו של נאשם 3 נע בין </w:t>
      </w:r>
      <w:r>
        <w:rPr>
          <w:rFonts w:ascii="FrankRuehl" w:hAnsi="FrankRuehl" w:cs="FrankRuehl" w:hint="cs"/>
          <w:b/>
          <w:bCs/>
          <w:sz w:val="28"/>
          <w:szCs w:val="28"/>
          <w:rtl/>
        </w:rPr>
        <w:t>3</w:t>
      </w:r>
      <w:r>
        <w:rPr>
          <w:rFonts w:ascii="FrankRuehl" w:hAnsi="FrankRuehl" w:cs="FrankRuehl"/>
          <w:b/>
          <w:bCs/>
          <w:sz w:val="28"/>
          <w:szCs w:val="28"/>
          <w:rtl/>
        </w:rPr>
        <w:t>-</w:t>
      </w:r>
      <w:r>
        <w:rPr>
          <w:rFonts w:ascii="FrankRuehl" w:hAnsi="FrankRuehl" w:cs="FrankRuehl" w:hint="cs"/>
          <w:b/>
          <w:bCs/>
          <w:sz w:val="28"/>
          <w:szCs w:val="28"/>
          <w:rtl/>
        </w:rPr>
        <w:t>5</w:t>
      </w:r>
      <w:r>
        <w:rPr>
          <w:rFonts w:ascii="FrankRuehl" w:hAnsi="FrankRuehl" w:cs="FrankRuehl"/>
          <w:b/>
          <w:bCs/>
          <w:sz w:val="28"/>
          <w:szCs w:val="28"/>
          <w:rtl/>
        </w:rPr>
        <w:t xml:space="preserve"> שנות מאסר.</w:t>
      </w:r>
    </w:p>
    <w:p w14:paraId="2D6A3E18" w14:textId="77777777" w:rsidR="00AC43A3" w:rsidRPr="00AC43A3" w:rsidRDefault="00AC43A3" w:rsidP="00AC43A3">
      <w:pPr>
        <w:spacing w:line="360" w:lineRule="auto"/>
        <w:jc w:val="both"/>
        <w:rPr>
          <w:rFonts w:cs="Arial"/>
          <w:b/>
          <w:bCs/>
          <w:sz w:val="22"/>
          <w:szCs w:val="22"/>
          <w:rtl/>
        </w:rPr>
      </w:pPr>
    </w:p>
    <w:p w14:paraId="5FDCF961" w14:textId="77777777" w:rsidR="00AC43A3" w:rsidRPr="00AC43A3" w:rsidRDefault="00AC43A3" w:rsidP="00AC43A3">
      <w:pPr>
        <w:spacing w:line="360" w:lineRule="atLeast"/>
        <w:jc w:val="both"/>
        <w:rPr>
          <w:rFonts w:ascii="FrankRuehl" w:eastAsia="Calibri" w:hAnsi="FrankRuehl" w:cs="FrankRuehl"/>
          <w:b/>
          <w:bCs/>
          <w:sz w:val="26"/>
          <w:szCs w:val="26"/>
          <w:rtl/>
        </w:rPr>
      </w:pPr>
      <w:r w:rsidRPr="00837237">
        <w:rPr>
          <w:rFonts w:ascii="FrankRuehl" w:hAnsi="FrankRuehl" w:cs="FrankRuehl"/>
          <w:b/>
          <w:bCs/>
          <w:sz w:val="26"/>
          <w:szCs w:val="26"/>
          <w:rtl/>
        </w:rPr>
        <w:t>קביעת העונש בתוך המתחם</w:t>
      </w:r>
    </w:p>
    <w:p w14:paraId="3B57F633" w14:textId="77777777" w:rsidR="00AC43A3" w:rsidRPr="00AC43A3" w:rsidRDefault="00AC43A3" w:rsidP="00AC43A3">
      <w:pPr>
        <w:spacing w:line="360" w:lineRule="atLeast"/>
        <w:jc w:val="both"/>
        <w:rPr>
          <w:rFonts w:ascii="Calibri" w:eastAsia="Calibri" w:hAnsi="Calibri"/>
          <w:sz w:val="27"/>
          <w:szCs w:val="27"/>
          <w:rtl/>
        </w:rPr>
      </w:pPr>
    </w:p>
    <w:p w14:paraId="388CD4F3" w14:textId="77777777" w:rsidR="00AC43A3" w:rsidRDefault="00AC43A3" w:rsidP="00AC43A3">
      <w:pPr>
        <w:spacing w:line="360" w:lineRule="auto"/>
        <w:jc w:val="both"/>
        <w:rPr>
          <w:rFonts w:ascii="FrankRuehl" w:hAnsi="FrankRuehl" w:cs="FrankRuehl"/>
          <w:sz w:val="28"/>
          <w:szCs w:val="28"/>
          <w:rtl/>
        </w:rPr>
      </w:pPr>
      <w:r>
        <w:rPr>
          <w:rFonts w:ascii="FrankRuehl" w:hAnsi="FrankRuehl" w:cs="FrankRuehl"/>
          <w:sz w:val="28"/>
          <w:szCs w:val="28"/>
          <w:rtl/>
        </w:rPr>
        <w:t>1</w:t>
      </w:r>
      <w:r>
        <w:rPr>
          <w:rFonts w:ascii="FrankRuehl" w:hAnsi="FrankRuehl" w:cs="FrankRuehl" w:hint="cs"/>
          <w:sz w:val="28"/>
          <w:szCs w:val="28"/>
          <w:rtl/>
        </w:rPr>
        <w:t>7</w:t>
      </w:r>
      <w:r>
        <w:rPr>
          <w:rFonts w:ascii="FrankRuehl" w:hAnsi="FrankRuehl" w:cs="FrankRuehl"/>
          <w:sz w:val="28"/>
          <w:szCs w:val="28"/>
          <w:rtl/>
        </w:rPr>
        <w:t>.</w:t>
      </w:r>
      <w:r w:rsidR="005A698A">
        <w:rPr>
          <w:rFonts w:ascii="FrankRuehl" w:hAnsi="FrankRuehl" w:cs="FrankRuehl"/>
          <w:sz w:val="28"/>
          <w:szCs w:val="28"/>
          <w:rtl/>
        </w:rPr>
        <w:t xml:space="preserve">     </w:t>
      </w:r>
      <w:r>
        <w:rPr>
          <w:rFonts w:ascii="FrankRuehl" w:hAnsi="FrankRuehl" w:cs="FrankRuehl"/>
          <w:sz w:val="28"/>
          <w:szCs w:val="28"/>
          <w:rtl/>
        </w:rPr>
        <w:t>בעניינם של הנאשמים שבפני, לא הועלתה טענה בדבר הצדקה לחרוג מגבולות המתחם. בהינתן המתחם ש</w:t>
      </w:r>
      <w:r>
        <w:rPr>
          <w:rFonts w:ascii="FrankRuehl" w:hAnsi="FrankRuehl" w:cs="FrankRuehl" w:hint="cs"/>
          <w:sz w:val="28"/>
          <w:szCs w:val="28"/>
          <w:rtl/>
        </w:rPr>
        <w:t>נקבע</w:t>
      </w:r>
      <w:r>
        <w:rPr>
          <w:rFonts w:ascii="FrankRuehl" w:hAnsi="FrankRuehl" w:cs="FrankRuehl"/>
          <w:sz w:val="28"/>
          <w:szCs w:val="28"/>
          <w:rtl/>
        </w:rPr>
        <w:t xml:space="preserve">, איני סבור כי ניתן לגזור את עונשם בתחתית המתחם, שכן כאשר מדובר בעבירות נשק, באיזון בין שיקולים אישיים כגון גיל צעיר או העדר עבר פלילי, לבין שיקולי הרתעה והגנה על שלום הציבור, יש לתת משקל מוגבר לשיקולי הרתעת הרבים (השוו </w:t>
      </w:r>
      <w:hyperlink r:id="rId36" w:history="1">
        <w:r w:rsidR="005A698A" w:rsidRPr="005A698A">
          <w:rPr>
            <w:rFonts w:ascii="FrankRuehl" w:hAnsi="FrankRuehl" w:cs="FrankRuehl"/>
            <w:color w:val="0000FF"/>
            <w:sz w:val="28"/>
            <w:szCs w:val="28"/>
            <w:u w:val="single"/>
            <w:rtl/>
          </w:rPr>
          <w:t>ע"פ 3332/22</w:t>
        </w:r>
      </w:hyperlink>
      <w:r>
        <w:rPr>
          <w:rFonts w:ascii="FrankRuehl" w:hAnsi="FrankRuehl" w:cs="FrankRuehl"/>
          <w:sz w:val="28"/>
          <w:szCs w:val="28"/>
          <w:rtl/>
        </w:rPr>
        <w:t xml:space="preserve"> </w:t>
      </w:r>
      <w:r>
        <w:rPr>
          <w:rFonts w:ascii="Miriam" w:hAnsi="Miriam" w:cs="Miriam"/>
          <w:rtl/>
        </w:rPr>
        <w:t>קוואסמי נ' מדינת ישראל</w:t>
      </w:r>
      <w:r>
        <w:rPr>
          <w:rFonts w:ascii="FrankRuehl" w:hAnsi="FrankRuehl" w:cs="FrankRuehl"/>
          <w:sz w:val="28"/>
          <w:szCs w:val="28"/>
          <w:rtl/>
        </w:rPr>
        <w:t>, פסקה 16 (1.12.2022)). מאידך יש לזקוף לזכותם את הודאתם והזמן השיפוטי היקר שנחסך וכן את העובדה כי הנאשמים נמצאים במעצר החל מינואר 2022, הגבלה שבוודאי פגעה אף בבני משפחותיהם באופן ניכר.</w:t>
      </w:r>
    </w:p>
    <w:p w14:paraId="0DD240A0" w14:textId="77777777" w:rsidR="00AC43A3" w:rsidRDefault="00AC43A3" w:rsidP="00AC43A3">
      <w:pPr>
        <w:spacing w:line="360" w:lineRule="auto"/>
        <w:jc w:val="both"/>
        <w:rPr>
          <w:rFonts w:ascii="FrankRuehl" w:hAnsi="FrankRuehl" w:cs="FrankRuehl"/>
          <w:sz w:val="28"/>
          <w:szCs w:val="28"/>
        </w:rPr>
      </w:pPr>
    </w:p>
    <w:p w14:paraId="56060580" w14:textId="77777777" w:rsidR="00AC43A3" w:rsidRDefault="00AC43A3" w:rsidP="00AC43A3">
      <w:pPr>
        <w:spacing w:line="360" w:lineRule="auto"/>
        <w:ind w:firstLine="720"/>
        <w:jc w:val="both"/>
        <w:rPr>
          <w:rFonts w:ascii="FrankRuehl" w:hAnsi="FrankRuehl" w:cs="FrankRuehl"/>
          <w:sz w:val="28"/>
          <w:szCs w:val="28"/>
          <w:rtl/>
        </w:rPr>
      </w:pPr>
      <w:r>
        <w:rPr>
          <w:rFonts w:ascii="FrankRuehl" w:hAnsi="FrankRuehl" w:cs="FrankRuehl"/>
          <w:sz w:val="28"/>
          <w:szCs w:val="28"/>
          <w:rtl/>
        </w:rPr>
        <w:t xml:space="preserve">בגזירת עונשו של כל נאשם בתוך המתחם, על-פי נסיבות שאינן קשורות לביצוע העבירה, כמצוות </w:t>
      </w:r>
      <w:hyperlink r:id="rId37" w:history="1">
        <w:r w:rsidR="00D13F46" w:rsidRPr="00D13F46">
          <w:rPr>
            <w:rStyle w:val="Hyperlink"/>
            <w:rFonts w:ascii="FrankRuehl" w:hAnsi="FrankRuehl" w:cs="FrankRuehl"/>
            <w:sz w:val="28"/>
            <w:szCs w:val="28"/>
            <w:rtl/>
          </w:rPr>
          <w:t>סעיף 40יא</w:t>
        </w:r>
      </w:hyperlink>
      <w:r>
        <w:rPr>
          <w:rFonts w:ascii="FrankRuehl" w:hAnsi="FrankRuehl" w:cs="FrankRuehl"/>
          <w:sz w:val="28"/>
          <w:szCs w:val="28"/>
          <w:rtl/>
        </w:rPr>
        <w:t xml:space="preserve"> ל</w:t>
      </w:r>
      <w:hyperlink r:id="rId38" w:history="1">
        <w:r w:rsidR="005A698A" w:rsidRPr="005A698A">
          <w:rPr>
            <w:rFonts w:ascii="FrankRuehl" w:hAnsi="FrankRuehl" w:cs="FrankRuehl"/>
            <w:color w:val="0000FF"/>
            <w:sz w:val="28"/>
            <w:szCs w:val="28"/>
            <w:u w:val="single"/>
            <w:rtl/>
          </w:rPr>
          <w:t>חוק העונשין</w:t>
        </w:r>
      </w:hyperlink>
      <w:r>
        <w:rPr>
          <w:rFonts w:ascii="FrankRuehl" w:hAnsi="FrankRuehl" w:cs="FrankRuehl"/>
          <w:sz w:val="28"/>
          <w:szCs w:val="28"/>
          <w:rtl/>
        </w:rPr>
        <w:t>,</w:t>
      </w:r>
      <w:r>
        <w:rPr>
          <w:rFonts w:ascii="FrankRuehl" w:hAnsi="FrankRuehl" w:cs="FrankRuehl"/>
          <w:b/>
          <w:sz w:val="28"/>
          <w:szCs w:val="28"/>
          <w:rtl/>
        </w:rPr>
        <w:t xml:space="preserve"> יש לציין את הנתונים הבאים:</w:t>
      </w:r>
    </w:p>
    <w:p w14:paraId="400DF55D" w14:textId="77777777" w:rsidR="00AC43A3" w:rsidRDefault="00AC43A3" w:rsidP="00AC43A3">
      <w:pPr>
        <w:spacing w:line="360" w:lineRule="auto"/>
        <w:ind w:firstLine="720"/>
        <w:jc w:val="both"/>
        <w:rPr>
          <w:rFonts w:ascii="FrankRuehl" w:hAnsi="FrankRuehl" w:cs="FrankRuehl"/>
          <w:sz w:val="28"/>
          <w:szCs w:val="28"/>
          <w:rtl/>
        </w:rPr>
      </w:pPr>
    </w:p>
    <w:p w14:paraId="728ABFE8" w14:textId="77777777" w:rsidR="00AC43A3" w:rsidRPr="00837237" w:rsidRDefault="00AC43A3" w:rsidP="00AC43A3">
      <w:pPr>
        <w:spacing w:line="360" w:lineRule="auto"/>
        <w:ind w:firstLine="720"/>
        <w:jc w:val="both"/>
        <w:rPr>
          <w:rFonts w:ascii="FrankRuehl" w:hAnsi="FrankRuehl" w:cs="FrankRuehl"/>
          <w:b/>
          <w:bCs/>
          <w:sz w:val="28"/>
          <w:szCs w:val="28"/>
        </w:rPr>
      </w:pPr>
      <w:r>
        <w:rPr>
          <w:rFonts w:ascii="FrankRuehl" w:hAnsi="FrankRuehl" w:cs="FrankRuehl"/>
          <w:sz w:val="28"/>
          <w:szCs w:val="28"/>
          <w:rtl/>
        </w:rPr>
        <w:t xml:space="preserve">אשר לנאשם 1, מדובר באב צעיר </w:t>
      </w:r>
      <w:r>
        <w:rPr>
          <w:rFonts w:ascii="FrankRuehl" w:hAnsi="FrankRuehl" w:cs="FrankRuehl" w:hint="cs"/>
          <w:sz w:val="28"/>
          <w:szCs w:val="28"/>
          <w:rtl/>
        </w:rPr>
        <w:t>ש</w:t>
      </w:r>
      <w:r>
        <w:rPr>
          <w:rFonts w:ascii="FrankRuehl" w:hAnsi="FrankRuehl" w:cs="FrankRuehl"/>
          <w:sz w:val="28"/>
          <w:szCs w:val="28"/>
          <w:rtl/>
        </w:rPr>
        <w:t>זו</w:t>
      </w:r>
      <w:r>
        <w:rPr>
          <w:rFonts w:ascii="FrankRuehl" w:hAnsi="FrankRuehl" w:cs="FrankRuehl" w:hint="cs"/>
          <w:sz w:val="28"/>
          <w:szCs w:val="28"/>
          <w:rtl/>
        </w:rPr>
        <w:t xml:space="preserve"> </w:t>
      </w:r>
      <w:r>
        <w:rPr>
          <w:rFonts w:ascii="FrankRuehl" w:hAnsi="FrankRuehl" w:cs="FrankRuehl"/>
          <w:sz w:val="28"/>
          <w:szCs w:val="28"/>
          <w:rtl/>
        </w:rPr>
        <w:t>הי</w:t>
      </w:r>
      <w:r>
        <w:rPr>
          <w:rFonts w:ascii="FrankRuehl" w:hAnsi="FrankRuehl" w:cs="FrankRuehl" w:hint="cs"/>
          <w:sz w:val="28"/>
          <w:szCs w:val="28"/>
          <w:rtl/>
        </w:rPr>
        <w:t>א</w:t>
      </w:r>
      <w:r>
        <w:rPr>
          <w:rFonts w:ascii="FrankRuehl" w:hAnsi="FrankRuehl" w:cs="FrankRuehl"/>
          <w:sz w:val="28"/>
          <w:szCs w:val="28"/>
          <w:rtl/>
        </w:rPr>
        <w:t xml:space="preserve"> הרשעתו הראשונה בפלילים</w:t>
      </w:r>
      <w:r w:rsidRPr="00837237">
        <w:rPr>
          <w:rFonts w:ascii="FrankRuehl" w:hAnsi="FrankRuehl" w:cs="FrankRuehl" w:hint="cs"/>
          <w:sz w:val="28"/>
          <w:szCs w:val="28"/>
          <w:rtl/>
        </w:rPr>
        <w:t>, עוד</w:t>
      </w:r>
      <w:r>
        <w:rPr>
          <w:rFonts w:ascii="FrankRuehl" w:hAnsi="FrankRuehl" w:cs="FrankRuehl" w:hint="cs"/>
          <w:b/>
          <w:bCs/>
          <w:sz w:val="28"/>
          <w:szCs w:val="28"/>
          <w:rtl/>
        </w:rPr>
        <w:t xml:space="preserve"> </w:t>
      </w:r>
      <w:r>
        <w:rPr>
          <w:rFonts w:ascii="FrankRuehl" w:hAnsi="FrankRuehl" w:cs="FrankRuehl"/>
          <w:sz w:val="28"/>
          <w:szCs w:val="28"/>
          <w:rtl/>
        </w:rPr>
        <w:t xml:space="preserve">יש להתחשב </w:t>
      </w:r>
      <w:r w:rsidRPr="00682569">
        <w:rPr>
          <w:rFonts w:ascii="FrankRuehl" w:hAnsi="FrankRuehl" w:cs="FrankRuehl"/>
          <w:sz w:val="28"/>
          <w:szCs w:val="28"/>
          <w:rtl/>
        </w:rPr>
        <w:t>במצבה הרפואי של רעייתו, כפי שהשתקף מהתיעוד הרפואי שהגיש</w:t>
      </w:r>
      <w:r w:rsidRPr="00682569">
        <w:rPr>
          <w:rFonts w:ascii="FrankRuehl" w:hAnsi="FrankRuehl" w:cs="FrankRuehl" w:hint="cs"/>
          <w:b/>
          <w:bCs/>
          <w:sz w:val="28"/>
          <w:szCs w:val="28"/>
          <w:rtl/>
        </w:rPr>
        <w:t>;</w:t>
      </w:r>
      <w:r w:rsidRPr="00682569">
        <w:rPr>
          <w:rFonts w:ascii="FrankRuehl" w:hAnsi="FrankRuehl" w:cs="FrankRuehl"/>
          <w:b/>
          <w:bCs/>
          <w:sz w:val="28"/>
          <w:szCs w:val="28"/>
          <w:rtl/>
        </w:rPr>
        <w:t xml:space="preserve"> </w:t>
      </w:r>
      <w:r w:rsidRPr="00682569">
        <w:rPr>
          <w:rFonts w:ascii="FrankRuehl" w:hAnsi="FrankRuehl" w:cs="FrankRuehl"/>
          <w:sz w:val="28"/>
          <w:szCs w:val="28"/>
          <w:rtl/>
        </w:rPr>
        <w:t>אשר לנאשם 2, לחובתו</w:t>
      </w:r>
      <w:r>
        <w:rPr>
          <w:rFonts w:ascii="FrankRuehl" w:hAnsi="FrankRuehl" w:cs="FrankRuehl"/>
          <w:sz w:val="28"/>
          <w:szCs w:val="28"/>
          <w:rtl/>
        </w:rPr>
        <w:t xml:space="preserve"> הרשעה בעבירה של אי הגשת דו"ח</w:t>
      </w:r>
      <w:r>
        <w:rPr>
          <w:rFonts w:ascii="FrankRuehl" w:hAnsi="FrankRuehl" w:cs="FrankRuehl" w:hint="cs"/>
          <w:sz w:val="28"/>
          <w:szCs w:val="28"/>
          <w:rtl/>
        </w:rPr>
        <w:t xml:space="preserve"> מס ערך מוסף</w:t>
      </w:r>
      <w:r>
        <w:rPr>
          <w:rFonts w:ascii="FrankRuehl" w:hAnsi="FrankRuehl" w:cs="FrankRuehl"/>
          <w:sz w:val="28"/>
          <w:szCs w:val="28"/>
          <w:rtl/>
        </w:rPr>
        <w:t xml:space="preserve"> במועד, בגינה נדון למאסר בפועל בדרך של עבודות שירות. הנאשם נישא חודשים אחדים לפני שנעצר</w:t>
      </w:r>
      <w:r>
        <w:rPr>
          <w:rFonts w:ascii="FrankRuehl" w:hAnsi="FrankRuehl" w:cs="FrankRuehl" w:hint="cs"/>
          <w:sz w:val="28"/>
          <w:szCs w:val="28"/>
          <w:rtl/>
        </w:rPr>
        <w:t xml:space="preserve"> ומצוי במצוקה כלכלית כפי שהשתקף מדו"ח דרישת תשלום חובות מע"מ</w:t>
      </w:r>
      <w:r>
        <w:rPr>
          <w:rFonts w:ascii="FrankRuehl" w:hAnsi="FrankRuehl" w:cs="FrankRuehl" w:hint="cs"/>
          <w:b/>
          <w:bCs/>
          <w:sz w:val="28"/>
          <w:szCs w:val="28"/>
          <w:rtl/>
        </w:rPr>
        <w:t xml:space="preserve"> </w:t>
      </w:r>
      <w:r w:rsidRPr="00682569">
        <w:rPr>
          <w:rFonts w:ascii="FrankRuehl" w:hAnsi="FrankRuehl" w:cs="FrankRuehl" w:hint="cs"/>
          <w:sz w:val="28"/>
          <w:szCs w:val="28"/>
          <w:rtl/>
        </w:rPr>
        <w:t>שהגיש</w:t>
      </w:r>
      <w:r w:rsidRPr="00682569">
        <w:rPr>
          <w:rFonts w:ascii="FrankRuehl" w:hAnsi="FrankRuehl" w:cs="FrankRuehl"/>
          <w:sz w:val="28"/>
          <w:szCs w:val="28"/>
          <w:rtl/>
        </w:rPr>
        <w:t>; אשר</w:t>
      </w:r>
      <w:r>
        <w:rPr>
          <w:rFonts w:ascii="FrankRuehl" w:hAnsi="FrankRuehl" w:cs="FrankRuehl"/>
          <w:sz w:val="28"/>
          <w:szCs w:val="28"/>
          <w:rtl/>
        </w:rPr>
        <w:t xml:space="preserve"> לנאשם 3, הנאשם הורשע בשנת 2022 בעבירה של ניסיון להסעת תושב זר השוהה שלא כדין</w:t>
      </w:r>
      <w:r>
        <w:rPr>
          <w:rFonts w:ascii="FrankRuehl" w:hAnsi="FrankRuehl" w:cs="FrankRuehl" w:hint="cs"/>
          <w:sz w:val="28"/>
          <w:szCs w:val="28"/>
          <w:rtl/>
        </w:rPr>
        <w:t>,</w:t>
      </w:r>
      <w:r>
        <w:rPr>
          <w:rFonts w:ascii="FrankRuehl" w:hAnsi="FrankRuehl" w:cs="FrankRuehl"/>
          <w:sz w:val="28"/>
          <w:szCs w:val="28"/>
          <w:rtl/>
        </w:rPr>
        <w:t xml:space="preserve"> בגינה נדון ל-21 ימי מאסר בפועל. </w:t>
      </w:r>
      <w:r>
        <w:rPr>
          <w:rFonts w:ascii="FrankRuehl" w:hAnsi="FrankRuehl" w:cs="FrankRuehl" w:hint="cs"/>
          <w:sz w:val="28"/>
          <w:szCs w:val="28"/>
          <w:rtl/>
        </w:rPr>
        <w:t xml:space="preserve">מאידך יש להתחשב </w:t>
      </w:r>
      <w:r>
        <w:rPr>
          <w:rFonts w:ascii="FrankRuehl" w:hAnsi="FrankRuehl" w:cs="FrankRuehl"/>
          <w:sz w:val="28"/>
          <w:szCs w:val="28"/>
          <w:rtl/>
        </w:rPr>
        <w:t>בהיותו אב צעיר לארבעה ילדים</w:t>
      </w:r>
      <w:r>
        <w:rPr>
          <w:rFonts w:ascii="FrankRuehl" w:hAnsi="FrankRuehl" w:cs="FrankRuehl" w:hint="cs"/>
          <w:sz w:val="28"/>
          <w:szCs w:val="28"/>
          <w:rtl/>
        </w:rPr>
        <w:t>.</w:t>
      </w:r>
      <w:r>
        <w:rPr>
          <w:rFonts w:ascii="FrankRuehl" w:hAnsi="FrankRuehl" w:cs="FrankRuehl"/>
          <w:sz w:val="28"/>
          <w:szCs w:val="28"/>
          <w:rtl/>
        </w:rPr>
        <w:t xml:space="preserve"> </w:t>
      </w:r>
      <w:r>
        <w:rPr>
          <w:rFonts w:ascii="FrankRuehl" w:hAnsi="FrankRuehl" w:cs="FrankRuehl" w:hint="cs"/>
          <w:sz w:val="28"/>
          <w:szCs w:val="28"/>
          <w:rtl/>
        </w:rPr>
        <w:t>בסיכום</w:t>
      </w:r>
      <w:r>
        <w:rPr>
          <w:rFonts w:ascii="FrankRuehl" w:hAnsi="FrankRuehl" w:cs="FrankRuehl"/>
          <w:sz w:val="28"/>
          <w:szCs w:val="28"/>
          <w:rtl/>
        </w:rPr>
        <w:t xml:space="preserve"> האמור אני סבור כי יש לקבוע את עונש</w:t>
      </w:r>
      <w:r>
        <w:rPr>
          <w:rFonts w:ascii="FrankRuehl" w:hAnsi="FrankRuehl" w:cs="FrankRuehl" w:hint="cs"/>
          <w:sz w:val="28"/>
          <w:szCs w:val="28"/>
          <w:rtl/>
        </w:rPr>
        <w:t>ם של הנאשמים</w:t>
      </w:r>
      <w:r>
        <w:rPr>
          <w:rFonts w:ascii="FrankRuehl" w:hAnsi="FrankRuehl" w:cs="FrankRuehl"/>
          <w:sz w:val="28"/>
          <w:szCs w:val="28"/>
          <w:rtl/>
        </w:rPr>
        <w:t xml:space="preserve"> </w:t>
      </w:r>
      <w:r>
        <w:rPr>
          <w:rFonts w:ascii="FrankRuehl" w:hAnsi="FrankRuehl" w:cs="FrankRuehl"/>
          <w:b/>
          <w:bCs/>
          <w:sz w:val="28"/>
          <w:szCs w:val="28"/>
          <w:rtl/>
        </w:rPr>
        <w:t>במחצית מתחם הענישה.</w:t>
      </w:r>
    </w:p>
    <w:p w14:paraId="4FF1204A" w14:textId="77777777" w:rsidR="00AC43A3" w:rsidRDefault="00AC43A3" w:rsidP="00AC43A3">
      <w:pPr>
        <w:spacing w:line="360" w:lineRule="auto"/>
        <w:jc w:val="both"/>
        <w:rPr>
          <w:rFonts w:ascii="FrankRuehl" w:hAnsi="FrankRuehl" w:cs="FrankRuehl"/>
          <w:sz w:val="28"/>
          <w:szCs w:val="28"/>
          <w:rtl/>
        </w:rPr>
      </w:pPr>
    </w:p>
    <w:p w14:paraId="70709E35" w14:textId="77777777" w:rsidR="00AC43A3" w:rsidRDefault="00AC43A3" w:rsidP="00AC43A3">
      <w:pPr>
        <w:spacing w:line="360" w:lineRule="auto"/>
        <w:jc w:val="both"/>
        <w:rPr>
          <w:rFonts w:ascii="Miriam" w:hAnsi="Miriam" w:cs="Miriam"/>
          <w:rtl/>
        </w:rPr>
      </w:pPr>
      <w:r>
        <w:rPr>
          <w:rFonts w:ascii="Miriam" w:hAnsi="Miriam" w:cs="Miriam"/>
          <w:rtl/>
        </w:rPr>
        <w:t>סיכום</w:t>
      </w:r>
    </w:p>
    <w:p w14:paraId="2B72439A" w14:textId="77777777" w:rsidR="00AC43A3" w:rsidRDefault="00AC43A3" w:rsidP="00AC43A3">
      <w:pPr>
        <w:spacing w:line="360" w:lineRule="auto"/>
        <w:jc w:val="both"/>
        <w:rPr>
          <w:rFonts w:ascii="FrankRuehl" w:hAnsi="FrankRuehl" w:cs="FrankRuehl"/>
          <w:sz w:val="28"/>
          <w:szCs w:val="28"/>
          <w:rtl/>
        </w:rPr>
      </w:pPr>
      <w:r>
        <w:rPr>
          <w:rFonts w:ascii="FrankRuehl" w:hAnsi="FrankRuehl" w:cs="FrankRuehl"/>
          <w:sz w:val="28"/>
          <w:szCs w:val="28"/>
          <w:rtl/>
        </w:rPr>
        <w:t>1</w:t>
      </w:r>
      <w:r>
        <w:rPr>
          <w:rFonts w:ascii="FrankRuehl" w:hAnsi="FrankRuehl" w:cs="FrankRuehl" w:hint="cs"/>
          <w:sz w:val="28"/>
          <w:szCs w:val="28"/>
          <w:rtl/>
        </w:rPr>
        <w:t>8</w:t>
      </w:r>
      <w:r>
        <w:rPr>
          <w:rFonts w:ascii="FrankRuehl" w:hAnsi="FrankRuehl" w:cs="FrankRuehl"/>
          <w:sz w:val="28"/>
          <w:szCs w:val="28"/>
          <w:rtl/>
        </w:rPr>
        <w:t>.</w:t>
      </w:r>
      <w:r>
        <w:rPr>
          <w:rFonts w:ascii="FrankRuehl" w:hAnsi="FrankRuehl" w:cs="FrankRuehl"/>
          <w:sz w:val="28"/>
          <w:szCs w:val="28"/>
          <w:rtl/>
        </w:rPr>
        <w:tab/>
        <w:t xml:space="preserve">נוכח האמור לעיל אני גוזר על הנאשמים את העונשים הבאים: </w:t>
      </w:r>
    </w:p>
    <w:p w14:paraId="59983799" w14:textId="77777777" w:rsidR="00AC43A3" w:rsidRDefault="00AC43A3" w:rsidP="00AC43A3">
      <w:pPr>
        <w:spacing w:line="360" w:lineRule="auto"/>
        <w:jc w:val="both"/>
        <w:rPr>
          <w:rFonts w:ascii="FrankRuehl" w:hAnsi="FrankRuehl" w:cs="FrankRuehl"/>
          <w:sz w:val="28"/>
          <w:szCs w:val="28"/>
          <w:rtl/>
        </w:rPr>
      </w:pPr>
    </w:p>
    <w:p w14:paraId="3F99BB74" w14:textId="77777777" w:rsidR="00AC43A3" w:rsidRDefault="00AC43A3" w:rsidP="00AC43A3">
      <w:pPr>
        <w:spacing w:line="360" w:lineRule="auto"/>
        <w:jc w:val="both"/>
        <w:rPr>
          <w:rFonts w:ascii="FrankRuehl" w:hAnsi="FrankRuehl" w:cs="FrankRuehl"/>
          <w:sz w:val="28"/>
          <w:szCs w:val="28"/>
          <w:u w:val="single"/>
          <w:rtl/>
        </w:rPr>
      </w:pPr>
      <w:r>
        <w:rPr>
          <w:rFonts w:ascii="FrankRuehl" w:hAnsi="FrankRuehl" w:cs="FrankRuehl"/>
          <w:sz w:val="28"/>
          <w:szCs w:val="28"/>
          <w:rtl/>
        </w:rPr>
        <w:tab/>
      </w:r>
      <w:r>
        <w:rPr>
          <w:rFonts w:ascii="FrankRuehl" w:hAnsi="FrankRuehl" w:cs="FrankRuehl"/>
          <w:sz w:val="28"/>
          <w:szCs w:val="28"/>
          <w:u w:val="single"/>
          <w:rtl/>
        </w:rPr>
        <w:t>נאשם 1</w:t>
      </w:r>
      <w:r>
        <w:rPr>
          <w:rFonts w:ascii="FrankRuehl" w:hAnsi="FrankRuehl" w:cs="FrankRuehl"/>
          <w:sz w:val="28"/>
          <w:szCs w:val="28"/>
          <w:rtl/>
        </w:rPr>
        <w:t>:</w:t>
      </w:r>
    </w:p>
    <w:p w14:paraId="07B926F0" w14:textId="77777777" w:rsidR="00AC43A3" w:rsidRDefault="00AC43A3" w:rsidP="00AC43A3">
      <w:pPr>
        <w:pStyle w:val="a8"/>
        <w:numPr>
          <w:ilvl w:val="0"/>
          <w:numId w:val="1"/>
        </w:numPr>
        <w:spacing w:after="0" w:line="360" w:lineRule="auto"/>
        <w:jc w:val="both"/>
        <w:rPr>
          <w:rFonts w:ascii="FrankRuehl" w:eastAsia="Times New Roman" w:hAnsi="FrankRuehl" w:cs="FrankRuehl"/>
          <w:spacing w:val="10"/>
          <w:sz w:val="28"/>
          <w:szCs w:val="28"/>
          <w:rtl/>
        </w:rPr>
      </w:pPr>
      <w:r>
        <w:rPr>
          <w:rFonts w:ascii="FrankRuehl" w:hAnsi="FrankRuehl" w:cs="FrankRuehl"/>
          <w:sz w:val="28"/>
          <w:szCs w:val="28"/>
          <w:rtl/>
        </w:rPr>
        <w:t xml:space="preserve">אני מטיל על הנאשם מאסר בפועל של </w:t>
      </w:r>
      <w:r>
        <w:rPr>
          <w:rFonts w:ascii="FrankRuehl" w:hAnsi="FrankRuehl" w:cs="FrankRuehl"/>
          <w:b/>
          <w:bCs/>
          <w:sz w:val="28"/>
          <w:szCs w:val="28"/>
          <w:rtl/>
        </w:rPr>
        <w:t>8 שנים</w:t>
      </w:r>
      <w:r>
        <w:rPr>
          <w:rFonts w:ascii="FrankRuehl" w:hAnsi="FrankRuehl" w:cs="FrankRuehl"/>
          <w:sz w:val="28"/>
          <w:szCs w:val="28"/>
          <w:rtl/>
        </w:rPr>
        <w:t xml:space="preserve"> בניכוי ימי מעצרו החל מיום </w:t>
      </w:r>
      <w:r>
        <w:rPr>
          <w:rFonts w:ascii="FrankRuehl" w:eastAsia="Times New Roman" w:hAnsi="FrankRuehl" w:cs="FrankRuehl"/>
          <w:spacing w:val="10"/>
          <w:sz w:val="28"/>
          <w:szCs w:val="28"/>
          <w:rtl/>
        </w:rPr>
        <w:t>25.01.2022;</w:t>
      </w:r>
    </w:p>
    <w:p w14:paraId="651777D6" w14:textId="77777777" w:rsidR="00AC43A3" w:rsidRDefault="00AC43A3" w:rsidP="00AC43A3">
      <w:pPr>
        <w:pStyle w:val="a8"/>
        <w:numPr>
          <w:ilvl w:val="0"/>
          <w:numId w:val="1"/>
        </w:numPr>
        <w:spacing w:after="0" w:line="360" w:lineRule="auto"/>
        <w:jc w:val="both"/>
        <w:rPr>
          <w:rFonts w:ascii="FrankRuehl" w:eastAsia="Times New Roman" w:hAnsi="FrankRuehl" w:cs="FrankRuehl"/>
          <w:spacing w:val="10"/>
          <w:sz w:val="28"/>
          <w:szCs w:val="28"/>
        </w:rPr>
      </w:pPr>
      <w:r>
        <w:rPr>
          <w:rFonts w:ascii="FrankRuehl" w:eastAsia="Times New Roman" w:hAnsi="FrankRuehl" w:cs="FrankRuehl"/>
          <w:spacing w:val="10"/>
          <w:sz w:val="28"/>
          <w:szCs w:val="28"/>
          <w:rtl/>
        </w:rPr>
        <w:t xml:space="preserve">אני מטיל על הנאשם מאסר </w:t>
      </w:r>
      <w:r>
        <w:rPr>
          <w:rFonts w:ascii="FrankRuehl" w:hAnsi="FrankRuehl" w:cs="FrankRuehl"/>
          <w:sz w:val="28"/>
          <w:szCs w:val="28"/>
          <w:rtl/>
        </w:rPr>
        <w:t xml:space="preserve">על תנאי של </w:t>
      </w:r>
      <w:r>
        <w:rPr>
          <w:rFonts w:ascii="FrankRuehl" w:hAnsi="FrankRuehl" w:cs="FrankRuehl" w:hint="cs"/>
          <w:sz w:val="28"/>
          <w:szCs w:val="28"/>
          <w:rtl/>
        </w:rPr>
        <w:t>12</w:t>
      </w:r>
      <w:r>
        <w:rPr>
          <w:rFonts w:ascii="FrankRuehl" w:hAnsi="FrankRuehl" w:cs="FrankRuehl"/>
          <w:sz w:val="28"/>
          <w:szCs w:val="28"/>
          <w:rtl/>
        </w:rPr>
        <w:t xml:space="preserve"> חודשים </w:t>
      </w:r>
      <w:r>
        <w:rPr>
          <w:rFonts w:ascii="FrankRuehl" w:eastAsia="Times New Roman" w:hAnsi="FrankRuehl" w:cs="FrankRuehl"/>
          <w:spacing w:val="10"/>
          <w:sz w:val="28"/>
          <w:szCs w:val="28"/>
          <w:rtl/>
        </w:rPr>
        <w:t xml:space="preserve">למשך 3 שנים, שלא יעבור </w:t>
      </w:r>
      <w:r>
        <w:rPr>
          <w:rFonts w:ascii="FrankRuehl" w:hAnsi="FrankRuehl" w:cs="FrankRuehl"/>
          <w:sz w:val="28"/>
          <w:szCs w:val="28"/>
          <w:rtl/>
        </w:rPr>
        <w:t xml:space="preserve">כל עבירת נשק מסוג פשע; </w:t>
      </w:r>
    </w:p>
    <w:p w14:paraId="505D44DA" w14:textId="77777777" w:rsidR="00AC43A3" w:rsidRDefault="00AC43A3" w:rsidP="00AC43A3">
      <w:pPr>
        <w:pStyle w:val="a8"/>
        <w:numPr>
          <w:ilvl w:val="0"/>
          <w:numId w:val="1"/>
        </w:numPr>
        <w:spacing w:after="0" w:line="360" w:lineRule="auto"/>
        <w:jc w:val="both"/>
        <w:rPr>
          <w:rFonts w:ascii="FrankRuehl" w:eastAsia="Times New Roman" w:hAnsi="FrankRuehl" w:cs="FrankRuehl"/>
          <w:spacing w:val="10"/>
          <w:sz w:val="28"/>
          <w:szCs w:val="28"/>
        </w:rPr>
      </w:pPr>
      <w:r>
        <w:rPr>
          <w:rFonts w:ascii="FrankRuehl" w:eastAsia="Times New Roman" w:hAnsi="FrankRuehl" w:cs="FrankRuehl"/>
          <w:spacing w:val="10"/>
          <w:sz w:val="28"/>
          <w:szCs w:val="28"/>
          <w:rtl/>
        </w:rPr>
        <w:t xml:space="preserve">אני מטיל על הנאשם מאסר </w:t>
      </w:r>
      <w:r>
        <w:rPr>
          <w:rFonts w:ascii="FrankRuehl" w:hAnsi="FrankRuehl" w:cs="FrankRuehl"/>
          <w:sz w:val="28"/>
          <w:szCs w:val="28"/>
          <w:rtl/>
        </w:rPr>
        <w:t xml:space="preserve">על תנאי של </w:t>
      </w:r>
      <w:r>
        <w:rPr>
          <w:rFonts w:ascii="FrankRuehl" w:hAnsi="FrankRuehl" w:cs="FrankRuehl" w:hint="cs"/>
          <w:sz w:val="28"/>
          <w:szCs w:val="28"/>
          <w:rtl/>
        </w:rPr>
        <w:t>6</w:t>
      </w:r>
      <w:r>
        <w:rPr>
          <w:rFonts w:ascii="FrankRuehl" w:hAnsi="FrankRuehl" w:cs="FrankRuehl"/>
          <w:sz w:val="28"/>
          <w:szCs w:val="28"/>
          <w:rtl/>
        </w:rPr>
        <w:t xml:space="preserve"> חודשים </w:t>
      </w:r>
      <w:r>
        <w:rPr>
          <w:rFonts w:ascii="FrankRuehl" w:eastAsia="Times New Roman" w:hAnsi="FrankRuehl" w:cs="FrankRuehl"/>
          <w:spacing w:val="10"/>
          <w:sz w:val="28"/>
          <w:szCs w:val="28"/>
          <w:rtl/>
        </w:rPr>
        <w:t xml:space="preserve">למשך 3 שנים, שלא יעבור </w:t>
      </w:r>
      <w:r>
        <w:rPr>
          <w:rFonts w:ascii="FrankRuehl" w:hAnsi="FrankRuehl" w:cs="FrankRuehl"/>
          <w:sz w:val="28"/>
          <w:szCs w:val="28"/>
          <w:rtl/>
        </w:rPr>
        <w:t>כל עבירת נשק מסוג עוון;</w:t>
      </w:r>
    </w:p>
    <w:p w14:paraId="25273F8E" w14:textId="77777777" w:rsidR="00AC43A3" w:rsidRDefault="00AC43A3" w:rsidP="00AC43A3">
      <w:pPr>
        <w:pStyle w:val="a8"/>
        <w:numPr>
          <w:ilvl w:val="0"/>
          <w:numId w:val="1"/>
        </w:numPr>
        <w:spacing w:after="0" w:line="360" w:lineRule="auto"/>
        <w:jc w:val="both"/>
        <w:rPr>
          <w:rFonts w:ascii="FrankRuehl" w:eastAsia="Times New Roman" w:hAnsi="FrankRuehl" w:cs="FrankRuehl"/>
          <w:spacing w:val="10"/>
          <w:sz w:val="28"/>
          <w:szCs w:val="28"/>
        </w:rPr>
      </w:pPr>
      <w:r>
        <w:rPr>
          <w:rFonts w:ascii="FrankRuehl" w:eastAsia="Times New Roman" w:hAnsi="FrankRuehl" w:cs="FrankRuehl"/>
          <w:spacing w:val="10"/>
          <w:sz w:val="28"/>
          <w:szCs w:val="28"/>
          <w:rtl/>
        </w:rPr>
        <w:t xml:space="preserve">אני מטיל על הנאשם קנס בסך של </w:t>
      </w:r>
      <w:r>
        <w:rPr>
          <w:rFonts w:ascii="FrankRuehl" w:eastAsia="Times New Roman" w:hAnsi="FrankRuehl" w:cs="FrankRuehl" w:hint="cs"/>
          <w:spacing w:val="10"/>
          <w:sz w:val="28"/>
          <w:szCs w:val="28"/>
          <w:rtl/>
        </w:rPr>
        <w:t>8</w:t>
      </w:r>
      <w:r>
        <w:rPr>
          <w:rFonts w:ascii="FrankRuehl" w:eastAsia="Times New Roman" w:hAnsi="FrankRuehl" w:cs="FrankRuehl"/>
          <w:spacing w:val="10"/>
          <w:sz w:val="28"/>
          <w:szCs w:val="28"/>
          <w:rtl/>
        </w:rPr>
        <w:t xml:space="preserve">0,000 ש"ח או </w:t>
      </w:r>
      <w:r>
        <w:rPr>
          <w:rFonts w:ascii="FrankRuehl" w:eastAsia="Times New Roman" w:hAnsi="FrankRuehl" w:cs="FrankRuehl" w:hint="cs"/>
          <w:spacing w:val="10"/>
          <w:sz w:val="28"/>
          <w:szCs w:val="28"/>
          <w:rtl/>
        </w:rPr>
        <w:t xml:space="preserve">150 </w:t>
      </w:r>
      <w:r>
        <w:rPr>
          <w:rFonts w:ascii="FrankRuehl" w:eastAsia="Times New Roman" w:hAnsi="FrankRuehl" w:cs="FrankRuehl"/>
          <w:spacing w:val="10"/>
          <w:sz w:val="28"/>
          <w:szCs w:val="28"/>
          <w:rtl/>
        </w:rPr>
        <w:t xml:space="preserve">ימי מאסר תמורתו. הקנס ישולם </w:t>
      </w:r>
      <w:r>
        <w:rPr>
          <w:rFonts w:ascii="FrankRuehl" w:eastAsia="Times New Roman" w:hAnsi="FrankRuehl" w:cs="FrankRuehl" w:hint="cs"/>
          <w:spacing w:val="10"/>
          <w:sz w:val="28"/>
          <w:szCs w:val="28"/>
          <w:rtl/>
        </w:rPr>
        <w:t>ב- 20 תשלומים שווים ורצופים. תשלום ראשון בעוד 3 חודשים.</w:t>
      </w:r>
    </w:p>
    <w:p w14:paraId="6DBDF4B0" w14:textId="77777777" w:rsidR="00AC43A3" w:rsidRDefault="00AC43A3" w:rsidP="00AC43A3">
      <w:pPr>
        <w:pStyle w:val="a8"/>
        <w:spacing w:after="0" w:line="360" w:lineRule="auto"/>
        <w:ind w:left="1440"/>
        <w:jc w:val="both"/>
        <w:rPr>
          <w:rFonts w:ascii="FrankRuehl" w:eastAsia="Times New Roman" w:hAnsi="FrankRuehl" w:cs="FrankRuehl"/>
          <w:spacing w:val="10"/>
          <w:sz w:val="28"/>
          <w:szCs w:val="28"/>
        </w:rPr>
      </w:pPr>
    </w:p>
    <w:p w14:paraId="2B60F66E" w14:textId="77777777" w:rsidR="00AC43A3" w:rsidRDefault="00AC43A3" w:rsidP="00AC43A3">
      <w:pPr>
        <w:spacing w:line="360" w:lineRule="auto"/>
        <w:ind w:firstLine="720"/>
        <w:jc w:val="both"/>
        <w:rPr>
          <w:rFonts w:ascii="FrankRuehl" w:hAnsi="FrankRuehl" w:cs="FrankRuehl"/>
          <w:sz w:val="28"/>
          <w:szCs w:val="28"/>
          <w:u w:val="single"/>
        </w:rPr>
      </w:pPr>
      <w:r>
        <w:rPr>
          <w:rFonts w:ascii="FrankRuehl" w:hAnsi="FrankRuehl" w:cs="FrankRuehl"/>
          <w:sz w:val="28"/>
          <w:szCs w:val="28"/>
          <w:u w:val="single"/>
          <w:rtl/>
        </w:rPr>
        <w:t>נאשם 2</w:t>
      </w:r>
      <w:r>
        <w:rPr>
          <w:rFonts w:ascii="FrankRuehl" w:hAnsi="FrankRuehl" w:cs="FrankRuehl"/>
          <w:sz w:val="28"/>
          <w:szCs w:val="28"/>
          <w:rtl/>
        </w:rPr>
        <w:t>:</w:t>
      </w:r>
    </w:p>
    <w:p w14:paraId="41DAA26B" w14:textId="77777777" w:rsidR="00AC43A3" w:rsidRDefault="00AC43A3" w:rsidP="00AC43A3">
      <w:pPr>
        <w:pStyle w:val="a8"/>
        <w:numPr>
          <w:ilvl w:val="0"/>
          <w:numId w:val="2"/>
        </w:numPr>
        <w:spacing w:after="0" w:line="360" w:lineRule="auto"/>
        <w:jc w:val="both"/>
        <w:rPr>
          <w:rFonts w:ascii="FrankRuehl" w:eastAsia="Times New Roman" w:hAnsi="FrankRuehl" w:cs="FrankRuehl"/>
          <w:spacing w:val="10"/>
          <w:sz w:val="28"/>
          <w:szCs w:val="28"/>
          <w:rtl/>
        </w:rPr>
      </w:pPr>
      <w:r>
        <w:rPr>
          <w:rFonts w:ascii="FrankRuehl" w:hAnsi="FrankRuehl" w:cs="FrankRuehl"/>
          <w:sz w:val="28"/>
          <w:szCs w:val="28"/>
          <w:rtl/>
        </w:rPr>
        <w:t xml:space="preserve">אני מטיל על הנאשם מאסר בפועל של </w:t>
      </w:r>
      <w:r>
        <w:rPr>
          <w:rFonts w:ascii="FrankRuehl" w:hAnsi="FrankRuehl" w:cs="FrankRuehl" w:hint="cs"/>
          <w:b/>
          <w:bCs/>
          <w:sz w:val="28"/>
          <w:szCs w:val="28"/>
          <w:rtl/>
        </w:rPr>
        <w:t>8</w:t>
      </w:r>
      <w:r>
        <w:rPr>
          <w:rFonts w:ascii="FrankRuehl" w:hAnsi="FrankRuehl" w:cs="FrankRuehl"/>
          <w:b/>
          <w:bCs/>
          <w:sz w:val="28"/>
          <w:szCs w:val="28"/>
          <w:rtl/>
        </w:rPr>
        <w:t xml:space="preserve"> שנים</w:t>
      </w:r>
      <w:r>
        <w:rPr>
          <w:rFonts w:ascii="FrankRuehl" w:hAnsi="FrankRuehl" w:cs="FrankRuehl"/>
          <w:sz w:val="28"/>
          <w:szCs w:val="28"/>
          <w:rtl/>
        </w:rPr>
        <w:t xml:space="preserve"> בניכוי ימי מעצרו החל מיום 25.01.2022; </w:t>
      </w:r>
    </w:p>
    <w:p w14:paraId="7B95AF25" w14:textId="77777777" w:rsidR="00AC43A3" w:rsidRDefault="00AC43A3" w:rsidP="00AC43A3">
      <w:pPr>
        <w:pStyle w:val="a8"/>
        <w:numPr>
          <w:ilvl w:val="0"/>
          <w:numId w:val="2"/>
        </w:numPr>
        <w:spacing w:after="0" w:line="360" w:lineRule="auto"/>
        <w:jc w:val="both"/>
        <w:rPr>
          <w:rFonts w:ascii="FrankRuehl" w:eastAsia="Times New Roman" w:hAnsi="FrankRuehl" w:cs="FrankRuehl"/>
          <w:spacing w:val="10"/>
          <w:sz w:val="28"/>
          <w:szCs w:val="28"/>
        </w:rPr>
      </w:pPr>
      <w:r>
        <w:rPr>
          <w:rFonts w:ascii="FrankRuehl" w:eastAsia="Times New Roman" w:hAnsi="FrankRuehl" w:cs="FrankRuehl"/>
          <w:spacing w:val="10"/>
          <w:sz w:val="28"/>
          <w:szCs w:val="28"/>
          <w:rtl/>
        </w:rPr>
        <w:t xml:space="preserve">אני מטיל על הנאשם מאסר </w:t>
      </w:r>
      <w:r>
        <w:rPr>
          <w:rFonts w:ascii="FrankRuehl" w:hAnsi="FrankRuehl" w:cs="FrankRuehl"/>
          <w:sz w:val="28"/>
          <w:szCs w:val="28"/>
          <w:rtl/>
        </w:rPr>
        <w:t xml:space="preserve">על תנאי של </w:t>
      </w:r>
      <w:r>
        <w:rPr>
          <w:rFonts w:ascii="FrankRuehl" w:hAnsi="FrankRuehl" w:cs="FrankRuehl" w:hint="cs"/>
          <w:sz w:val="28"/>
          <w:szCs w:val="28"/>
          <w:rtl/>
        </w:rPr>
        <w:t>12</w:t>
      </w:r>
      <w:r>
        <w:rPr>
          <w:rFonts w:ascii="FrankRuehl" w:hAnsi="FrankRuehl" w:cs="FrankRuehl"/>
          <w:sz w:val="28"/>
          <w:szCs w:val="28"/>
          <w:rtl/>
        </w:rPr>
        <w:t xml:space="preserve"> חודשים </w:t>
      </w:r>
      <w:r>
        <w:rPr>
          <w:rFonts w:ascii="FrankRuehl" w:eastAsia="Times New Roman" w:hAnsi="FrankRuehl" w:cs="FrankRuehl"/>
          <w:spacing w:val="10"/>
          <w:sz w:val="28"/>
          <w:szCs w:val="28"/>
          <w:rtl/>
        </w:rPr>
        <w:t xml:space="preserve">למשך 3 שנים, שלא יעבור </w:t>
      </w:r>
      <w:r>
        <w:rPr>
          <w:rFonts w:ascii="FrankRuehl" w:hAnsi="FrankRuehl" w:cs="FrankRuehl"/>
          <w:sz w:val="28"/>
          <w:szCs w:val="28"/>
          <w:rtl/>
        </w:rPr>
        <w:t xml:space="preserve">כל עבירת נשק מסוג פשע; </w:t>
      </w:r>
    </w:p>
    <w:p w14:paraId="386D1B33" w14:textId="77777777" w:rsidR="00AC43A3" w:rsidRDefault="00AC43A3" w:rsidP="00AC43A3">
      <w:pPr>
        <w:pStyle w:val="a8"/>
        <w:numPr>
          <w:ilvl w:val="0"/>
          <w:numId w:val="2"/>
        </w:numPr>
        <w:spacing w:after="0" w:line="360" w:lineRule="auto"/>
        <w:jc w:val="both"/>
        <w:rPr>
          <w:rFonts w:ascii="FrankRuehl" w:eastAsia="Times New Roman" w:hAnsi="FrankRuehl" w:cs="FrankRuehl"/>
          <w:spacing w:val="10"/>
          <w:sz w:val="28"/>
          <w:szCs w:val="28"/>
        </w:rPr>
      </w:pPr>
      <w:r>
        <w:rPr>
          <w:rFonts w:ascii="FrankRuehl" w:eastAsia="Times New Roman" w:hAnsi="FrankRuehl" w:cs="FrankRuehl"/>
          <w:spacing w:val="10"/>
          <w:sz w:val="28"/>
          <w:szCs w:val="28"/>
          <w:rtl/>
        </w:rPr>
        <w:t xml:space="preserve">אני מטיל על הנאשם מאסר </w:t>
      </w:r>
      <w:r>
        <w:rPr>
          <w:rFonts w:ascii="FrankRuehl" w:hAnsi="FrankRuehl" w:cs="FrankRuehl"/>
          <w:sz w:val="28"/>
          <w:szCs w:val="28"/>
          <w:rtl/>
        </w:rPr>
        <w:t xml:space="preserve">על תנאי של </w:t>
      </w:r>
      <w:r>
        <w:rPr>
          <w:rFonts w:ascii="FrankRuehl" w:hAnsi="FrankRuehl" w:cs="FrankRuehl" w:hint="cs"/>
          <w:sz w:val="28"/>
          <w:szCs w:val="28"/>
          <w:rtl/>
        </w:rPr>
        <w:t>6</w:t>
      </w:r>
      <w:r>
        <w:rPr>
          <w:rFonts w:ascii="FrankRuehl" w:hAnsi="FrankRuehl" w:cs="FrankRuehl"/>
          <w:sz w:val="28"/>
          <w:szCs w:val="28"/>
          <w:rtl/>
        </w:rPr>
        <w:t xml:space="preserve"> חודשים </w:t>
      </w:r>
      <w:r>
        <w:rPr>
          <w:rFonts w:ascii="FrankRuehl" w:eastAsia="Times New Roman" w:hAnsi="FrankRuehl" w:cs="FrankRuehl"/>
          <w:spacing w:val="10"/>
          <w:sz w:val="28"/>
          <w:szCs w:val="28"/>
          <w:rtl/>
        </w:rPr>
        <w:t xml:space="preserve">למשך 3 שנים, שלא יעבור </w:t>
      </w:r>
      <w:r>
        <w:rPr>
          <w:rFonts w:ascii="FrankRuehl" w:hAnsi="FrankRuehl" w:cs="FrankRuehl"/>
          <w:sz w:val="28"/>
          <w:szCs w:val="28"/>
          <w:rtl/>
        </w:rPr>
        <w:t>כל עבירת נשק מסוג עוון;</w:t>
      </w:r>
    </w:p>
    <w:p w14:paraId="4CB937A3" w14:textId="77777777" w:rsidR="00AC43A3" w:rsidRPr="00B61B33" w:rsidRDefault="00AC43A3" w:rsidP="00AC43A3">
      <w:pPr>
        <w:pStyle w:val="a8"/>
        <w:numPr>
          <w:ilvl w:val="0"/>
          <w:numId w:val="1"/>
        </w:numPr>
        <w:spacing w:after="0" w:line="360" w:lineRule="auto"/>
        <w:jc w:val="both"/>
        <w:rPr>
          <w:rFonts w:ascii="FrankRuehl" w:eastAsia="Times New Roman" w:hAnsi="FrankRuehl" w:cs="FrankRuehl"/>
          <w:spacing w:val="10"/>
          <w:sz w:val="28"/>
          <w:szCs w:val="28"/>
        </w:rPr>
      </w:pPr>
      <w:r>
        <w:rPr>
          <w:rFonts w:ascii="FrankRuehl" w:eastAsia="Times New Roman" w:hAnsi="FrankRuehl" w:cs="FrankRuehl"/>
          <w:spacing w:val="10"/>
          <w:sz w:val="28"/>
          <w:szCs w:val="28"/>
          <w:rtl/>
        </w:rPr>
        <w:t xml:space="preserve">אני מטיל על הנאשם קנס בסך של </w:t>
      </w:r>
      <w:r>
        <w:rPr>
          <w:rFonts w:ascii="FrankRuehl" w:eastAsia="Times New Roman" w:hAnsi="FrankRuehl" w:cs="FrankRuehl" w:hint="cs"/>
          <w:spacing w:val="10"/>
          <w:sz w:val="28"/>
          <w:szCs w:val="28"/>
          <w:rtl/>
        </w:rPr>
        <w:t>8</w:t>
      </w:r>
      <w:r>
        <w:rPr>
          <w:rFonts w:ascii="FrankRuehl" w:eastAsia="Times New Roman" w:hAnsi="FrankRuehl" w:cs="FrankRuehl"/>
          <w:spacing w:val="10"/>
          <w:sz w:val="28"/>
          <w:szCs w:val="28"/>
          <w:rtl/>
        </w:rPr>
        <w:t xml:space="preserve">0,000 ש"ח או </w:t>
      </w:r>
      <w:r>
        <w:rPr>
          <w:rFonts w:ascii="FrankRuehl" w:eastAsia="Times New Roman" w:hAnsi="FrankRuehl" w:cs="FrankRuehl" w:hint="cs"/>
          <w:spacing w:val="10"/>
          <w:sz w:val="28"/>
          <w:szCs w:val="28"/>
          <w:rtl/>
        </w:rPr>
        <w:t>150</w:t>
      </w:r>
      <w:r>
        <w:rPr>
          <w:rFonts w:ascii="FrankRuehl" w:eastAsia="Times New Roman" w:hAnsi="FrankRuehl" w:cs="FrankRuehl"/>
          <w:spacing w:val="10"/>
          <w:sz w:val="28"/>
          <w:szCs w:val="28"/>
          <w:rtl/>
        </w:rPr>
        <w:t xml:space="preserve"> ימי מאסר תמורתו. הקנס ישולם </w:t>
      </w:r>
      <w:r>
        <w:rPr>
          <w:rFonts w:ascii="FrankRuehl" w:eastAsia="Times New Roman" w:hAnsi="FrankRuehl" w:cs="FrankRuehl" w:hint="cs"/>
          <w:spacing w:val="10"/>
          <w:sz w:val="28"/>
          <w:szCs w:val="28"/>
          <w:rtl/>
        </w:rPr>
        <w:t>ב- 20 תשלומים שווים ורצופים. תשלום ראשון בעוד 3 חודשים.</w:t>
      </w:r>
    </w:p>
    <w:p w14:paraId="78984652" w14:textId="77777777" w:rsidR="00AC43A3" w:rsidRDefault="00AC43A3" w:rsidP="00AC43A3">
      <w:pPr>
        <w:pStyle w:val="a8"/>
        <w:spacing w:line="360" w:lineRule="auto"/>
        <w:ind w:left="1440"/>
        <w:jc w:val="both"/>
        <w:rPr>
          <w:rFonts w:ascii="FrankRuehl" w:eastAsia="Times New Roman" w:hAnsi="FrankRuehl" w:cs="FrankRuehl"/>
          <w:spacing w:val="10"/>
          <w:sz w:val="28"/>
          <w:szCs w:val="28"/>
        </w:rPr>
      </w:pPr>
    </w:p>
    <w:p w14:paraId="04CEBD64" w14:textId="77777777" w:rsidR="00AC43A3" w:rsidRDefault="00AC43A3" w:rsidP="00AC43A3">
      <w:pPr>
        <w:spacing w:line="360" w:lineRule="auto"/>
        <w:ind w:firstLine="720"/>
        <w:jc w:val="both"/>
        <w:rPr>
          <w:rFonts w:ascii="FrankRuehl" w:hAnsi="FrankRuehl" w:cs="FrankRuehl"/>
          <w:sz w:val="28"/>
          <w:szCs w:val="28"/>
          <w:rtl/>
        </w:rPr>
      </w:pPr>
      <w:r>
        <w:rPr>
          <w:rFonts w:ascii="FrankRuehl" w:hAnsi="FrankRuehl" w:cs="FrankRuehl"/>
          <w:sz w:val="28"/>
          <w:szCs w:val="28"/>
          <w:u w:val="single"/>
          <w:rtl/>
        </w:rPr>
        <w:t>נאשם 3</w:t>
      </w:r>
      <w:r>
        <w:rPr>
          <w:rFonts w:ascii="FrankRuehl" w:hAnsi="FrankRuehl" w:cs="FrankRuehl"/>
          <w:sz w:val="28"/>
          <w:szCs w:val="28"/>
          <w:rtl/>
        </w:rPr>
        <w:t>:</w:t>
      </w:r>
    </w:p>
    <w:p w14:paraId="0A4453B6" w14:textId="77777777" w:rsidR="00AC43A3" w:rsidRDefault="00AC43A3" w:rsidP="00AC43A3">
      <w:pPr>
        <w:pStyle w:val="a8"/>
        <w:numPr>
          <w:ilvl w:val="0"/>
          <w:numId w:val="3"/>
        </w:numPr>
        <w:spacing w:after="0" w:line="360" w:lineRule="auto"/>
        <w:jc w:val="both"/>
        <w:rPr>
          <w:rFonts w:ascii="FrankRuehl" w:eastAsia="Times New Roman" w:hAnsi="FrankRuehl" w:cs="FrankRuehl"/>
          <w:spacing w:val="10"/>
          <w:sz w:val="28"/>
          <w:szCs w:val="28"/>
          <w:rtl/>
        </w:rPr>
      </w:pPr>
      <w:r>
        <w:rPr>
          <w:rFonts w:ascii="FrankRuehl" w:hAnsi="FrankRuehl" w:cs="FrankRuehl"/>
          <w:sz w:val="28"/>
          <w:szCs w:val="28"/>
          <w:rtl/>
        </w:rPr>
        <w:t xml:space="preserve">אני מטיל על הנאשם מאסר בפועל של </w:t>
      </w:r>
      <w:r>
        <w:rPr>
          <w:rFonts w:ascii="FrankRuehl" w:hAnsi="FrankRuehl" w:cs="FrankRuehl" w:hint="cs"/>
          <w:b/>
          <w:bCs/>
          <w:sz w:val="28"/>
          <w:szCs w:val="28"/>
          <w:rtl/>
        </w:rPr>
        <w:t>4</w:t>
      </w:r>
      <w:r>
        <w:rPr>
          <w:rFonts w:ascii="FrankRuehl" w:hAnsi="FrankRuehl" w:cs="FrankRuehl"/>
          <w:b/>
          <w:bCs/>
          <w:sz w:val="28"/>
          <w:szCs w:val="28"/>
          <w:rtl/>
        </w:rPr>
        <w:t xml:space="preserve"> שנים</w:t>
      </w:r>
      <w:r>
        <w:rPr>
          <w:rFonts w:ascii="FrankRuehl" w:hAnsi="FrankRuehl" w:cs="FrankRuehl"/>
          <w:sz w:val="28"/>
          <w:szCs w:val="28"/>
          <w:rtl/>
        </w:rPr>
        <w:t xml:space="preserve"> בניכוי ימי מעצרו החל מיום 25.01.2022</w:t>
      </w:r>
      <w:r>
        <w:rPr>
          <w:rFonts w:ascii="FrankRuehl" w:eastAsia="Times New Roman" w:hAnsi="FrankRuehl" w:cs="FrankRuehl"/>
          <w:spacing w:val="10"/>
          <w:sz w:val="28"/>
          <w:szCs w:val="28"/>
          <w:rtl/>
        </w:rPr>
        <w:t>;</w:t>
      </w:r>
    </w:p>
    <w:p w14:paraId="7A4C314C" w14:textId="77777777" w:rsidR="00AC43A3" w:rsidRDefault="00AC43A3" w:rsidP="00AC43A3">
      <w:pPr>
        <w:pStyle w:val="a8"/>
        <w:numPr>
          <w:ilvl w:val="0"/>
          <w:numId w:val="3"/>
        </w:numPr>
        <w:spacing w:after="0" w:line="360" w:lineRule="auto"/>
        <w:jc w:val="both"/>
        <w:rPr>
          <w:rFonts w:ascii="FrankRuehl" w:eastAsia="Times New Roman" w:hAnsi="FrankRuehl" w:cs="FrankRuehl"/>
          <w:spacing w:val="10"/>
          <w:sz w:val="28"/>
          <w:szCs w:val="28"/>
        </w:rPr>
      </w:pPr>
      <w:r>
        <w:rPr>
          <w:rFonts w:ascii="FrankRuehl" w:eastAsia="Times New Roman" w:hAnsi="FrankRuehl" w:cs="FrankRuehl"/>
          <w:spacing w:val="10"/>
          <w:sz w:val="28"/>
          <w:szCs w:val="28"/>
          <w:rtl/>
        </w:rPr>
        <w:t xml:space="preserve">אני מטיל על הנאשם מאסר </w:t>
      </w:r>
      <w:r>
        <w:rPr>
          <w:rFonts w:ascii="FrankRuehl" w:hAnsi="FrankRuehl" w:cs="FrankRuehl"/>
          <w:sz w:val="28"/>
          <w:szCs w:val="28"/>
          <w:rtl/>
        </w:rPr>
        <w:t xml:space="preserve">על תנאי של 12 חודשים </w:t>
      </w:r>
      <w:r>
        <w:rPr>
          <w:rFonts w:ascii="FrankRuehl" w:eastAsia="Times New Roman" w:hAnsi="FrankRuehl" w:cs="FrankRuehl"/>
          <w:spacing w:val="10"/>
          <w:sz w:val="28"/>
          <w:szCs w:val="28"/>
          <w:rtl/>
        </w:rPr>
        <w:t xml:space="preserve">למשך 3 שנים, שלא יעבור </w:t>
      </w:r>
      <w:r>
        <w:rPr>
          <w:rFonts w:ascii="FrankRuehl" w:hAnsi="FrankRuehl" w:cs="FrankRuehl"/>
          <w:sz w:val="28"/>
          <w:szCs w:val="28"/>
          <w:rtl/>
        </w:rPr>
        <w:t xml:space="preserve">כל עבירת נשק מסוג פשע; </w:t>
      </w:r>
    </w:p>
    <w:p w14:paraId="580C3C0D" w14:textId="77777777" w:rsidR="00AC43A3" w:rsidRDefault="00AC43A3" w:rsidP="00AC43A3">
      <w:pPr>
        <w:pStyle w:val="a8"/>
        <w:numPr>
          <w:ilvl w:val="0"/>
          <w:numId w:val="3"/>
        </w:numPr>
        <w:spacing w:after="0" w:line="360" w:lineRule="auto"/>
        <w:jc w:val="both"/>
        <w:rPr>
          <w:rFonts w:ascii="FrankRuehl" w:eastAsia="Times New Roman" w:hAnsi="FrankRuehl" w:cs="FrankRuehl"/>
          <w:spacing w:val="10"/>
          <w:sz w:val="28"/>
          <w:szCs w:val="28"/>
        </w:rPr>
      </w:pPr>
      <w:r>
        <w:rPr>
          <w:rFonts w:ascii="FrankRuehl" w:eastAsia="Times New Roman" w:hAnsi="FrankRuehl" w:cs="FrankRuehl"/>
          <w:spacing w:val="10"/>
          <w:sz w:val="28"/>
          <w:szCs w:val="28"/>
          <w:rtl/>
        </w:rPr>
        <w:t xml:space="preserve">אני מטיל על הנאשם מאסר </w:t>
      </w:r>
      <w:r>
        <w:rPr>
          <w:rFonts w:ascii="FrankRuehl" w:hAnsi="FrankRuehl" w:cs="FrankRuehl"/>
          <w:sz w:val="28"/>
          <w:szCs w:val="28"/>
          <w:rtl/>
        </w:rPr>
        <w:t xml:space="preserve">על תנאי של </w:t>
      </w:r>
      <w:r>
        <w:rPr>
          <w:rFonts w:ascii="FrankRuehl" w:hAnsi="FrankRuehl" w:cs="FrankRuehl" w:hint="cs"/>
          <w:sz w:val="28"/>
          <w:szCs w:val="28"/>
          <w:rtl/>
        </w:rPr>
        <w:t>6</w:t>
      </w:r>
      <w:r>
        <w:rPr>
          <w:rFonts w:ascii="FrankRuehl" w:hAnsi="FrankRuehl" w:cs="FrankRuehl"/>
          <w:sz w:val="28"/>
          <w:szCs w:val="28"/>
          <w:rtl/>
        </w:rPr>
        <w:t xml:space="preserve"> חודשים </w:t>
      </w:r>
      <w:r>
        <w:rPr>
          <w:rFonts w:ascii="FrankRuehl" w:eastAsia="Times New Roman" w:hAnsi="FrankRuehl" w:cs="FrankRuehl"/>
          <w:spacing w:val="10"/>
          <w:sz w:val="28"/>
          <w:szCs w:val="28"/>
          <w:rtl/>
        </w:rPr>
        <w:t xml:space="preserve">למשך 3 שנים, שלא יעבור </w:t>
      </w:r>
      <w:r>
        <w:rPr>
          <w:rFonts w:ascii="FrankRuehl" w:hAnsi="FrankRuehl" w:cs="FrankRuehl"/>
          <w:sz w:val="28"/>
          <w:szCs w:val="28"/>
          <w:rtl/>
        </w:rPr>
        <w:t>כל עבירת נשק מסוג עוון;</w:t>
      </w:r>
    </w:p>
    <w:p w14:paraId="686899E9" w14:textId="77777777" w:rsidR="00AC43A3" w:rsidRDefault="00AC43A3" w:rsidP="00AC43A3">
      <w:pPr>
        <w:pStyle w:val="a8"/>
        <w:numPr>
          <w:ilvl w:val="0"/>
          <w:numId w:val="1"/>
        </w:numPr>
        <w:spacing w:after="0" w:line="360" w:lineRule="auto"/>
        <w:jc w:val="both"/>
        <w:rPr>
          <w:rFonts w:ascii="FrankRuehl" w:eastAsia="Times New Roman" w:hAnsi="FrankRuehl" w:cs="FrankRuehl"/>
          <w:spacing w:val="10"/>
          <w:sz w:val="28"/>
          <w:szCs w:val="28"/>
        </w:rPr>
      </w:pPr>
      <w:r>
        <w:rPr>
          <w:rFonts w:ascii="FrankRuehl" w:eastAsia="Times New Roman" w:hAnsi="FrankRuehl" w:cs="FrankRuehl"/>
          <w:spacing w:val="10"/>
          <w:sz w:val="28"/>
          <w:szCs w:val="28"/>
          <w:rtl/>
        </w:rPr>
        <w:t xml:space="preserve">אני מטיל על הנאשם קנס בסך של </w:t>
      </w:r>
      <w:r>
        <w:rPr>
          <w:rFonts w:ascii="FrankRuehl" w:eastAsia="Times New Roman" w:hAnsi="FrankRuehl" w:cs="FrankRuehl" w:hint="cs"/>
          <w:spacing w:val="10"/>
          <w:sz w:val="28"/>
          <w:szCs w:val="28"/>
          <w:rtl/>
        </w:rPr>
        <w:t>40</w:t>
      </w:r>
      <w:r>
        <w:rPr>
          <w:rFonts w:ascii="FrankRuehl" w:eastAsia="Times New Roman" w:hAnsi="FrankRuehl" w:cs="FrankRuehl"/>
          <w:spacing w:val="10"/>
          <w:sz w:val="28"/>
          <w:szCs w:val="28"/>
          <w:rtl/>
        </w:rPr>
        <w:t xml:space="preserve">,000 ש"ח או </w:t>
      </w:r>
      <w:r>
        <w:rPr>
          <w:rFonts w:ascii="FrankRuehl" w:eastAsia="Times New Roman" w:hAnsi="FrankRuehl" w:cs="FrankRuehl" w:hint="cs"/>
          <w:spacing w:val="10"/>
          <w:sz w:val="28"/>
          <w:szCs w:val="28"/>
          <w:rtl/>
        </w:rPr>
        <w:t>75</w:t>
      </w:r>
      <w:r>
        <w:rPr>
          <w:rFonts w:ascii="FrankRuehl" w:eastAsia="Times New Roman" w:hAnsi="FrankRuehl" w:cs="FrankRuehl"/>
          <w:spacing w:val="10"/>
          <w:sz w:val="28"/>
          <w:szCs w:val="28"/>
          <w:rtl/>
        </w:rPr>
        <w:t xml:space="preserve"> ימי מאסר תמורתו. הקנס ישולם </w:t>
      </w:r>
      <w:r>
        <w:rPr>
          <w:rFonts w:ascii="FrankRuehl" w:eastAsia="Times New Roman" w:hAnsi="FrankRuehl" w:cs="FrankRuehl" w:hint="cs"/>
          <w:spacing w:val="10"/>
          <w:sz w:val="28"/>
          <w:szCs w:val="28"/>
          <w:rtl/>
        </w:rPr>
        <w:t>ב- 20 תשלומים שווים ורצופים. תשלום ראשון בעוד 3 חודשים.</w:t>
      </w:r>
    </w:p>
    <w:p w14:paraId="0FE55BA9" w14:textId="77777777" w:rsidR="00AC43A3" w:rsidRDefault="00AC43A3" w:rsidP="00AC43A3">
      <w:pPr>
        <w:spacing w:line="360" w:lineRule="auto"/>
        <w:jc w:val="both"/>
        <w:rPr>
          <w:rFonts w:ascii="FrankRuehl" w:hAnsi="FrankRuehl" w:cs="FrankRuehl"/>
          <w:noProof w:val="0"/>
          <w:spacing w:val="10"/>
          <w:sz w:val="28"/>
          <w:szCs w:val="28"/>
          <w:rtl/>
        </w:rPr>
      </w:pPr>
    </w:p>
    <w:p w14:paraId="6CFA17F7" w14:textId="77777777" w:rsidR="00AC43A3" w:rsidRPr="00B61B33" w:rsidRDefault="00AC43A3" w:rsidP="00AC43A3">
      <w:pPr>
        <w:spacing w:line="360" w:lineRule="auto"/>
        <w:jc w:val="both"/>
        <w:rPr>
          <w:rFonts w:ascii="FrankRuehl" w:hAnsi="FrankRuehl" w:cs="FrankRuehl"/>
          <w:spacing w:val="10"/>
          <w:sz w:val="28"/>
          <w:szCs w:val="28"/>
        </w:rPr>
      </w:pPr>
    </w:p>
    <w:p w14:paraId="51765A10" w14:textId="77777777" w:rsidR="00AC43A3" w:rsidRPr="00811F0B" w:rsidRDefault="00AC43A3" w:rsidP="00AC43A3">
      <w:pPr>
        <w:spacing w:line="360" w:lineRule="auto"/>
        <w:ind w:firstLine="720"/>
        <w:jc w:val="both"/>
        <w:rPr>
          <w:rFonts w:ascii="Miriam" w:hAnsi="Miriam" w:cs="Miriam"/>
          <w:rtl/>
        </w:rPr>
      </w:pPr>
      <w:r w:rsidRPr="00811F0B">
        <w:rPr>
          <w:rFonts w:ascii="Miriam" w:hAnsi="Miriam" w:cs="Miriam"/>
          <w:rtl/>
        </w:rPr>
        <w:t>חילוט</w:t>
      </w:r>
    </w:p>
    <w:p w14:paraId="4469F10D" w14:textId="77777777" w:rsidR="00AC43A3" w:rsidRDefault="00AC43A3" w:rsidP="00AC43A3">
      <w:pPr>
        <w:spacing w:line="360" w:lineRule="auto"/>
        <w:jc w:val="both"/>
        <w:rPr>
          <w:rFonts w:ascii="FrankRuehl" w:hAnsi="FrankRuehl" w:cs="FrankRuehl"/>
          <w:spacing w:val="10"/>
          <w:sz w:val="28"/>
          <w:szCs w:val="28"/>
          <w:u w:val="single"/>
          <w:rtl/>
        </w:rPr>
      </w:pPr>
    </w:p>
    <w:p w14:paraId="2F516660" w14:textId="77777777" w:rsidR="00AC43A3" w:rsidRDefault="00AC43A3" w:rsidP="00AC43A3">
      <w:pPr>
        <w:spacing w:line="360" w:lineRule="auto"/>
        <w:jc w:val="both"/>
        <w:rPr>
          <w:rFonts w:ascii="FrankRuehl" w:hAnsi="FrankRuehl" w:cs="FrankRuehl"/>
          <w:spacing w:val="10"/>
          <w:sz w:val="28"/>
          <w:szCs w:val="28"/>
          <w:rtl/>
        </w:rPr>
      </w:pPr>
      <w:r>
        <w:rPr>
          <w:rFonts w:ascii="FrankRuehl" w:hAnsi="FrankRuehl" w:cs="FrankRuehl"/>
          <w:spacing w:val="10"/>
          <w:sz w:val="28"/>
          <w:szCs w:val="28"/>
          <w:rtl/>
        </w:rPr>
        <w:t>20.</w:t>
      </w:r>
      <w:r>
        <w:rPr>
          <w:rFonts w:ascii="FrankRuehl" w:hAnsi="FrankRuehl" w:cs="FrankRuehl"/>
          <w:spacing w:val="10"/>
          <w:sz w:val="28"/>
          <w:szCs w:val="28"/>
          <w:rtl/>
        </w:rPr>
        <w:tab/>
        <w:t xml:space="preserve">במהלך מעצרם של הנאשמים, נתפסו ברשותם סכומי כסף במזומן. במסגרת הסדר הטיעון סוכם כי המאשימה תבקש לחלט את הכספים, ואילו ההגנה, תבקש לראותם כחלק מרכיב הקנס. נוכח ההנחה כי </w:t>
      </w:r>
      <w:r>
        <w:rPr>
          <w:rFonts w:ascii="FrankRuehl" w:hAnsi="FrankRuehl" w:cs="FrankRuehl"/>
          <w:sz w:val="28"/>
          <w:szCs w:val="28"/>
          <w:rtl/>
        </w:rPr>
        <w:t xml:space="preserve">מלבד ההוצאה הכספית, יש לחילוט כשלעצמו גם משמעות חינוכית (ראה: </w:t>
      </w:r>
      <w:hyperlink r:id="rId39" w:history="1">
        <w:r w:rsidR="005A698A" w:rsidRPr="005A698A">
          <w:rPr>
            <w:rFonts w:ascii="FrankRuehl" w:hAnsi="FrankRuehl" w:cs="FrankRuehl"/>
            <w:color w:val="0000FF"/>
            <w:sz w:val="28"/>
            <w:szCs w:val="28"/>
            <w:u w:val="single"/>
            <w:rtl/>
          </w:rPr>
          <w:t>רע"פ 1161-04</w:t>
        </w:r>
      </w:hyperlink>
      <w:r>
        <w:rPr>
          <w:rFonts w:ascii="FrankRuehl" w:hAnsi="FrankRuehl" w:cs="FrankRuehl"/>
          <w:sz w:val="28"/>
          <w:szCs w:val="28"/>
          <w:rtl/>
        </w:rPr>
        <w:t xml:space="preserve"> </w:t>
      </w:r>
      <w:r>
        <w:rPr>
          <w:rFonts w:ascii="Miriam" w:hAnsi="Miriam" w:cs="Miriam"/>
          <w:rtl/>
        </w:rPr>
        <w:t>מחמוד חאג' יחיא נ' מדינת ישראל</w:t>
      </w:r>
      <w:r>
        <w:rPr>
          <w:rFonts w:ascii="FrankRuehl" w:hAnsi="FrankRuehl" w:cs="FrankRuehl"/>
          <w:sz w:val="28"/>
          <w:szCs w:val="28"/>
          <w:rtl/>
        </w:rPr>
        <w:t xml:space="preserve"> (21.04.2005)</w:t>
      </w:r>
      <w:r>
        <w:rPr>
          <w:rFonts w:ascii="FrankRuehl" w:hAnsi="FrankRuehl" w:cs="FrankRuehl"/>
          <w:spacing w:val="10"/>
          <w:sz w:val="28"/>
          <w:szCs w:val="28"/>
          <w:rtl/>
        </w:rPr>
        <w:t>), ובנסיבות היקף העבירה שבפני, אני מוצא להורות על חילוט הכספים שנתפסו</w:t>
      </w:r>
      <w:r>
        <w:rPr>
          <w:rFonts w:ascii="FrankRuehl" w:hAnsi="FrankRuehl" w:cs="FrankRuehl" w:hint="cs"/>
          <w:spacing w:val="10"/>
          <w:sz w:val="28"/>
          <w:szCs w:val="28"/>
          <w:rtl/>
        </w:rPr>
        <w:t xml:space="preserve"> לטובת אוצר המדינה.</w:t>
      </w:r>
    </w:p>
    <w:p w14:paraId="60D144DE" w14:textId="77777777" w:rsidR="00AC43A3" w:rsidRPr="00AC43A3" w:rsidRDefault="00AC43A3" w:rsidP="00AC43A3">
      <w:pPr>
        <w:spacing w:line="360" w:lineRule="auto"/>
        <w:jc w:val="both"/>
        <w:rPr>
          <w:rFonts w:ascii="Calibri" w:eastAsia="Calibri" w:hAnsi="Calibri" w:cs="Arial"/>
          <w:b/>
          <w:bCs/>
          <w:sz w:val="22"/>
          <w:szCs w:val="22"/>
          <w:rtl/>
        </w:rPr>
      </w:pPr>
    </w:p>
    <w:p w14:paraId="574BEA3D" w14:textId="77777777" w:rsidR="00AC43A3" w:rsidRPr="00AC43A3" w:rsidRDefault="00AC43A3" w:rsidP="00AC43A3">
      <w:pPr>
        <w:spacing w:line="360" w:lineRule="auto"/>
        <w:jc w:val="both"/>
        <w:rPr>
          <w:rFonts w:ascii="Calibri" w:eastAsia="Calibri" w:hAnsi="Calibri" w:cs="Arial"/>
          <w:b/>
          <w:bCs/>
          <w:sz w:val="22"/>
          <w:szCs w:val="22"/>
          <w:rtl/>
        </w:rPr>
      </w:pPr>
    </w:p>
    <w:p w14:paraId="16660E17" w14:textId="77777777" w:rsidR="00AC43A3" w:rsidRDefault="00AC43A3" w:rsidP="00AC43A3">
      <w:pPr>
        <w:spacing w:line="360" w:lineRule="auto"/>
        <w:jc w:val="both"/>
        <w:rPr>
          <w:rFonts w:eastAsia="Calibri"/>
          <w:b/>
          <w:bCs/>
          <w:rtl/>
        </w:rPr>
      </w:pPr>
      <w:r>
        <w:rPr>
          <w:rFonts w:eastAsia="Calibri"/>
          <w:b/>
          <w:bCs/>
          <w:rtl/>
        </w:rPr>
        <w:t>לידיעת הנאשמים, החוב (הקנס והפיצוי) מועברים למרכז לגביית קנסות, אגרות והוצאות ברשות האכיפה והגבייה, בהתאם למועדים והתשלומים שקבע בית המשפט.</w:t>
      </w:r>
    </w:p>
    <w:p w14:paraId="6437395B" w14:textId="77777777" w:rsidR="00AC43A3" w:rsidRDefault="00AC43A3" w:rsidP="00AC43A3">
      <w:pPr>
        <w:spacing w:line="360" w:lineRule="auto"/>
        <w:jc w:val="both"/>
        <w:rPr>
          <w:rFonts w:eastAsia="Calibri"/>
          <w:b/>
          <w:bCs/>
        </w:rPr>
      </w:pPr>
      <w:r>
        <w:rPr>
          <w:rFonts w:eastAsia="Calibri"/>
          <w:b/>
          <w:bCs/>
          <w:rtl/>
        </w:rPr>
        <w:t>ניתן יהיה לשלם את הקנס כעבור שלושה ימים מיום מתן</w:t>
      </w:r>
      <w:r w:rsidR="005A698A">
        <w:rPr>
          <w:rFonts w:eastAsia="Calibri"/>
          <w:b/>
          <w:bCs/>
          <w:rtl/>
        </w:rPr>
        <w:t xml:space="preserve"> </w:t>
      </w:r>
      <w:r>
        <w:rPr>
          <w:rFonts w:eastAsia="Calibri"/>
          <w:b/>
          <w:bCs/>
          <w:rtl/>
        </w:rPr>
        <w:t xml:space="preserve"> גזר הדין לחשבון המרכז לגביית קנסות, אגרות והוצאות ברשות האכיפה והגבייה באחת מהדרכים הבאות:</w:t>
      </w:r>
    </w:p>
    <w:p w14:paraId="35A05052" w14:textId="77777777" w:rsidR="00AC43A3" w:rsidRDefault="00AC43A3" w:rsidP="00AC43A3">
      <w:pPr>
        <w:spacing w:line="360" w:lineRule="auto"/>
        <w:jc w:val="both"/>
        <w:rPr>
          <w:rFonts w:eastAsia="Calibri"/>
          <w:b/>
          <w:bCs/>
          <w:rtl/>
        </w:rPr>
      </w:pPr>
      <w:r>
        <w:rPr>
          <w:rFonts w:eastAsia="Calibri"/>
          <w:b/>
          <w:bCs/>
          <w:rtl/>
        </w:rPr>
        <w:t xml:space="preserve">בכרטיס אשראי – באתר המקוון של רשות האכיפה והגבייה, </w:t>
      </w:r>
      <w:hyperlink r:id="rId40" w:history="1">
        <w:r w:rsidRPr="00AC43A3">
          <w:rPr>
            <w:rStyle w:val="Hyperlink"/>
            <w:rFonts w:ascii="Calibri" w:eastAsia="Calibri" w:hAnsi="Calibri"/>
            <w:b/>
            <w:bCs/>
            <w:i/>
            <w:iCs/>
          </w:rPr>
          <w:t>www.eca.gov.il</w:t>
        </w:r>
      </w:hyperlink>
      <w:r>
        <w:rPr>
          <w:rFonts w:eastAsia="Calibri" w:hint="cs"/>
          <w:b/>
          <w:bCs/>
        </w:rPr>
        <w:t xml:space="preserve"> </w:t>
      </w:r>
      <w:r w:rsidR="005A698A">
        <w:rPr>
          <w:rFonts w:eastAsia="Calibri"/>
          <w:b/>
          <w:bCs/>
          <w:rtl/>
        </w:rPr>
        <w:t xml:space="preserve"> </w:t>
      </w:r>
    </w:p>
    <w:p w14:paraId="623621B8" w14:textId="77777777" w:rsidR="00AC43A3" w:rsidRDefault="00AC43A3" w:rsidP="00AC43A3">
      <w:pPr>
        <w:spacing w:line="360" w:lineRule="auto"/>
        <w:jc w:val="both"/>
        <w:rPr>
          <w:rFonts w:eastAsia="Calibri"/>
          <w:b/>
          <w:bCs/>
          <w:rtl/>
        </w:rPr>
      </w:pPr>
      <w:r>
        <w:rPr>
          <w:rFonts w:eastAsia="Calibri"/>
          <w:b/>
          <w:bCs/>
          <w:rtl/>
        </w:rPr>
        <w:t>מוקד שירות טלפוני בשרות עצמי (מרכז גבייה)</w:t>
      </w:r>
      <w:r w:rsidR="005A698A">
        <w:rPr>
          <w:rFonts w:eastAsia="Calibri"/>
          <w:b/>
          <w:bCs/>
          <w:rtl/>
        </w:rPr>
        <w:t xml:space="preserve"> </w:t>
      </w:r>
      <w:r>
        <w:rPr>
          <w:rFonts w:eastAsia="Calibri"/>
          <w:b/>
          <w:bCs/>
          <w:rtl/>
        </w:rPr>
        <w:t xml:space="preserve"> – בטלפון 35592* או בטלפון 073-2055000</w:t>
      </w:r>
    </w:p>
    <w:p w14:paraId="51B87811" w14:textId="77777777" w:rsidR="00AC43A3" w:rsidRDefault="00AC43A3" w:rsidP="00AC43A3">
      <w:pPr>
        <w:spacing w:line="360" w:lineRule="auto"/>
        <w:jc w:val="both"/>
        <w:rPr>
          <w:sz w:val="20"/>
          <w:szCs w:val="20"/>
        </w:rPr>
      </w:pPr>
      <w:r>
        <w:rPr>
          <w:b/>
          <w:bCs/>
          <w:rtl/>
        </w:rPr>
        <w:t>במזומן בכל סניף של בנק הדואר – בהצגת תעודת זהות בלבד (אין צורך בשוברי תשלום).</w:t>
      </w:r>
    </w:p>
    <w:p w14:paraId="2CE3176B" w14:textId="77777777" w:rsidR="00AC43A3" w:rsidRDefault="00AC43A3" w:rsidP="00AC43A3">
      <w:pPr>
        <w:spacing w:line="360" w:lineRule="auto"/>
        <w:ind w:left="1080"/>
        <w:jc w:val="both"/>
        <w:rPr>
          <w:rFonts w:eastAsia="Calibri"/>
          <w:b/>
          <w:bCs/>
          <w:sz w:val="22"/>
          <w:szCs w:val="22"/>
          <w:rtl/>
        </w:rPr>
      </w:pPr>
    </w:p>
    <w:p w14:paraId="1F062549" w14:textId="77777777" w:rsidR="00AC43A3" w:rsidRDefault="00AC43A3" w:rsidP="00AC43A3">
      <w:pPr>
        <w:spacing w:line="360" w:lineRule="auto"/>
        <w:ind w:left="1080"/>
        <w:jc w:val="both"/>
        <w:rPr>
          <w:rFonts w:eastAsia="Calibri"/>
          <w:b/>
          <w:bCs/>
          <w:rtl/>
        </w:rPr>
      </w:pPr>
    </w:p>
    <w:p w14:paraId="49D12AF3" w14:textId="77777777" w:rsidR="00AC43A3" w:rsidRDefault="005A698A" w:rsidP="00AC43A3">
      <w:pPr>
        <w:spacing w:line="360" w:lineRule="auto"/>
        <w:jc w:val="both"/>
        <w:rPr>
          <w:b/>
          <w:bCs/>
          <w:u w:val="single"/>
          <w:rtl/>
        </w:rPr>
      </w:pPr>
      <w:r w:rsidRPr="005A698A">
        <w:rPr>
          <w:b/>
          <w:bCs/>
          <w:color w:val="FFFFFF"/>
          <w:sz w:val="2"/>
          <w:szCs w:val="2"/>
          <w:u w:val="single"/>
          <w:rtl/>
        </w:rPr>
        <w:t>5129371</w:t>
      </w:r>
      <w:r w:rsidR="00AC43A3">
        <w:rPr>
          <w:b/>
          <w:bCs/>
          <w:u w:val="single"/>
          <w:rtl/>
        </w:rPr>
        <w:t>זכות ערעור תוך 45 יום מהיום לבית המשפט העליון.</w:t>
      </w:r>
    </w:p>
    <w:p w14:paraId="7869866A" w14:textId="77777777" w:rsidR="00AC43A3" w:rsidRDefault="005A698A" w:rsidP="00AC43A3">
      <w:pPr>
        <w:rPr>
          <w:rFonts w:cs="FrankRuehl"/>
          <w:sz w:val="28"/>
          <w:szCs w:val="28"/>
          <w:rtl/>
        </w:rPr>
      </w:pPr>
      <w:bookmarkStart w:id="7" w:name="Nitan"/>
      <w:r w:rsidRPr="005A698A">
        <w:rPr>
          <w:rFonts w:ascii="Arial" w:hAnsi="Arial"/>
          <w:color w:val="FFFFFF"/>
          <w:sz w:val="2"/>
          <w:szCs w:val="2"/>
          <w:rtl/>
        </w:rPr>
        <w:t>54678313</w:t>
      </w:r>
      <w:r>
        <w:rPr>
          <w:rFonts w:ascii="Arial" w:hAnsi="Arial"/>
          <w:rtl/>
        </w:rPr>
        <w:t xml:space="preserve">ניתן היום,  כ"ב אדר תשפ"ג, 15 מרץ 2023, בהעדר הצדדים. </w:t>
      </w:r>
      <w:bookmarkEnd w:id="7"/>
    </w:p>
    <w:p w14:paraId="03567E0F" w14:textId="77777777" w:rsidR="00AC43A3" w:rsidRDefault="00AC43A3" w:rsidP="00AC43A3"/>
    <w:p w14:paraId="282EA825" w14:textId="77777777" w:rsidR="00AC43A3" w:rsidRDefault="00AC43A3" w:rsidP="00AC43A3">
      <w:pPr>
        <w:rPr>
          <w:rFonts w:ascii="Arial" w:hAnsi="Arial" w:cs="FrankRuehl"/>
          <w:sz w:val="28"/>
          <w:szCs w:val="28"/>
          <w:rtl/>
        </w:rPr>
      </w:pPr>
    </w:p>
    <w:p w14:paraId="20F54ABE" w14:textId="77777777" w:rsidR="005A698A" w:rsidRDefault="005A698A" w:rsidP="005A698A">
      <w:pPr>
        <w:rPr>
          <w:rtl/>
        </w:rPr>
      </w:pPr>
    </w:p>
    <w:p w14:paraId="7D411072" w14:textId="77777777" w:rsidR="005A698A" w:rsidRDefault="005A698A" w:rsidP="005A698A">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4420D2CF" w14:textId="77777777" w:rsidR="00164247" w:rsidRPr="00164247" w:rsidRDefault="00164247" w:rsidP="00164247">
      <w:pPr>
        <w:keepNext/>
        <w:rPr>
          <w:rFonts w:ascii="David" w:hAnsi="David"/>
          <w:color w:val="000000"/>
          <w:sz w:val="22"/>
          <w:szCs w:val="22"/>
          <w:rtl/>
        </w:rPr>
      </w:pPr>
    </w:p>
    <w:p w14:paraId="3A443088" w14:textId="77777777" w:rsidR="00164247" w:rsidRPr="00164247" w:rsidRDefault="00164247" w:rsidP="00164247">
      <w:pPr>
        <w:keepNext/>
        <w:rPr>
          <w:rFonts w:ascii="David" w:hAnsi="David"/>
          <w:color w:val="000000"/>
          <w:sz w:val="22"/>
          <w:szCs w:val="22"/>
          <w:rtl/>
        </w:rPr>
      </w:pPr>
      <w:r w:rsidRPr="00164247">
        <w:rPr>
          <w:rFonts w:ascii="David" w:hAnsi="David"/>
          <w:color w:val="000000"/>
          <w:sz w:val="22"/>
          <w:szCs w:val="22"/>
          <w:rtl/>
        </w:rPr>
        <w:t>חנא סבאג 54678313-/</w:t>
      </w:r>
    </w:p>
    <w:p w14:paraId="6506A95F" w14:textId="77777777" w:rsidR="005A698A" w:rsidRPr="005A698A" w:rsidRDefault="00164247" w:rsidP="00164247">
      <w:pPr>
        <w:rPr>
          <w:color w:val="0000FF"/>
          <w:u w:val="single"/>
        </w:rPr>
      </w:pPr>
      <w:r w:rsidRPr="00164247">
        <w:rPr>
          <w:color w:val="000000"/>
          <w:u w:val="single"/>
          <w:rtl/>
        </w:rPr>
        <w:t>נוסח מסמך זה כפוף לשינויי ניסוח ועריכה</w:t>
      </w:r>
    </w:p>
    <w:sectPr w:rsidR="005A698A" w:rsidRPr="005A698A" w:rsidSect="00164247">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512D8A" w14:textId="77777777" w:rsidR="009D2B66" w:rsidRDefault="009D2B66" w:rsidP="002E1FE3">
      <w:r>
        <w:separator/>
      </w:r>
    </w:p>
  </w:endnote>
  <w:endnote w:type="continuationSeparator" w:id="0">
    <w:p w14:paraId="608E2E19" w14:textId="77777777" w:rsidR="009D2B66" w:rsidRDefault="009D2B66" w:rsidP="002E1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CC4745" w14:textId="77777777" w:rsidR="00164247" w:rsidRDefault="00164247" w:rsidP="0016424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50D72245" w14:textId="77777777" w:rsidR="005A698A" w:rsidRPr="00164247" w:rsidRDefault="00164247" w:rsidP="00164247">
    <w:pPr>
      <w:pStyle w:val="a5"/>
      <w:pBdr>
        <w:top w:val="single" w:sz="4" w:space="1" w:color="auto"/>
        <w:between w:val="single" w:sz="4" w:space="0" w:color="auto"/>
      </w:pBdr>
      <w:spacing w:after="60"/>
      <w:jc w:val="center"/>
      <w:rPr>
        <w:rFonts w:ascii="FrankRuehl" w:hAnsi="FrankRuehl" w:cs="FrankRuehl"/>
        <w:color w:val="000000"/>
      </w:rPr>
    </w:pPr>
    <w:r w:rsidRPr="0016424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8945EC" w14:textId="77777777" w:rsidR="00164247" w:rsidRDefault="00164247" w:rsidP="0016424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51826">
      <w:rPr>
        <w:rFonts w:ascii="FrankRuehl" w:hAnsi="FrankRuehl" w:cs="FrankRuehl"/>
        <w:rtl/>
      </w:rPr>
      <w:t>1</w:t>
    </w:r>
    <w:r>
      <w:rPr>
        <w:rFonts w:ascii="FrankRuehl" w:hAnsi="FrankRuehl" w:cs="FrankRuehl"/>
        <w:rtl/>
      </w:rPr>
      <w:fldChar w:fldCharType="end"/>
    </w:r>
  </w:p>
  <w:p w14:paraId="664C38D6" w14:textId="77777777" w:rsidR="005A698A" w:rsidRPr="00164247" w:rsidRDefault="00164247" w:rsidP="00164247">
    <w:pPr>
      <w:pStyle w:val="a5"/>
      <w:pBdr>
        <w:top w:val="single" w:sz="4" w:space="1" w:color="auto"/>
        <w:between w:val="single" w:sz="4" w:space="0" w:color="auto"/>
      </w:pBdr>
      <w:spacing w:after="60"/>
      <w:jc w:val="center"/>
      <w:rPr>
        <w:rFonts w:ascii="FrankRuehl" w:hAnsi="FrankRuehl" w:cs="FrankRuehl"/>
        <w:color w:val="000000"/>
      </w:rPr>
    </w:pPr>
    <w:r w:rsidRPr="00164247">
      <w:rPr>
        <w:rFonts w:ascii="FrankRuehl" w:hAnsi="FrankRuehl" w:cs="FrankRuehl"/>
        <w:color w:val="000000"/>
      </w:rPr>
      <w:pict w14:anchorId="6EECB3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9F2D12" w14:textId="77777777" w:rsidR="009D2B66" w:rsidRDefault="009D2B66" w:rsidP="002E1FE3">
      <w:r>
        <w:separator/>
      </w:r>
    </w:p>
  </w:footnote>
  <w:footnote w:type="continuationSeparator" w:id="0">
    <w:p w14:paraId="13576DE9" w14:textId="77777777" w:rsidR="009D2B66" w:rsidRDefault="009D2B66" w:rsidP="002E1F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50A387" w14:textId="77777777" w:rsidR="005A698A" w:rsidRPr="00164247" w:rsidRDefault="00164247" w:rsidP="0016424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(נצ') 36704-02-22</w:t>
    </w:r>
    <w:r>
      <w:rPr>
        <w:rFonts w:ascii="David" w:hAnsi="David"/>
        <w:color w:val="000000"/>
        <w:sz w:val="22"/>
        <w:szCs w:val="22"/>
        <w:rtl/>
      </w:rPr>
      <w:tab/>
      <w:t xml:space="preserve"> מדינת ישראל נ' מחמוד סלאימה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2C3B57" w14:textId="77777777" w:rsidR="005A698A" w:rsidRPr="00164247" w:rsidRDefault="00164247" w:rsidP="0016424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(נצ') 36704-02-22</w:t>
    </w:r>
    <w:r>
      <w:rPr>
        <w:rFonts w:ascii="David" w:hAnsi="David"/>
        <w:color w:val="000000"/>
        <w:sz w:val="22"/>
        <w:szCs w:val="22"/>
        <w:rtl/>
      </w:rPr>
      <w:tab/>
      <w:t xml:space="preserve"> מדינת ישראל נ' מחמוד סלאימה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4B6905"/>
    <w:multiLevelType w:val="hybridMultilevel"/>
    <w:tmpl w:val="5950AD5E"/>
    <w:lvl w:ilvl="0" w:tplc="7426772C">
      <w:start w:val="1"/>
      <w:numFmt w:val="hebrew1"/>
      <w:lvlText w:val="%1."/>
      <w:lvlJc w:val="left"/>
      <w:pPr>
        <w:ind w:left="1440" w:hanging="360"/>
      </w:pPr>
      <w:rPr>
        <w:rFonts w:ascii="David" w:eastAsia="David" w:hAnsi="David" w:cs="David"/>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59E20DC4"/>
    <w:multiLevelType w:val="hybridMultilevel"/>
    <w:tmpl w:val="66C4E78A"/>
    <w:lvl w:ilvl="0" w:tplc="5D5274E2">
      <w:start w:val="1"/>
      <w:numFmt w:val="hebrew1"/>
      <w:lvlText w:val="%1."/>
      <w:lvlJc w:val="left"/>
      <w:pPr>
        <w:ind w:left="1440" w:hanging="360"/>
      </w:pPr>
      <w:rPr>
        <w:rFonts w:ascii="David" w:eastAsia="David" w:hAnsi="David" w:cs="David"/>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6FAF6A58"/>
    <w:multiLevelType w:val="hybridMultilevel"/>
    <w:tmpl w:val="F0D00696"/>
    <w:lvl w:ilvl="0" w:tplc="E500EB48">
      <w:start w:val="1"/>
      <w:numFmt w:val="hebrew1"/>
      <w:lvlText w:val="%1."/>
      <w:lvlJc w:val="left"/>
      <w:pPr>
        <w:ind w:left="1440" w:hanging="360"/>
      </w:pPr>
      <w:rPr>
        <w:rFonts w:ascii="David" w:eastAsia="David" w:hAnsi="David" w:cs="David"/>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442772685">
    <w:abstractNumId w:val="1"/>
    <w:lvlOverride w:ilvl="0">
      <w:startOverride w:val="1"/>
    </w:lvlOverride>
    <w:lvlOverride w:ilvl="1"/>
    <w:lvlOverride w:ilvl="2"/>
    <w:lvlOverride w:ilvl="3"/>
    <w:lvlOverride w:ilvl="4"/>
    <w:lvlOverride w:ilvl="5"/>
    <w:lvlOverride w:ilvl="6"/>
    <w:lvlOverride w:ilvl="7"/>
    <w:lvlOverride w:ilvl="8"/>
  </w:num>
  <w:num w:numId="2" w16cid:durableId="1790541581">
    <w:abstractNumId w:val="2"/>
    <w:lvlOverride w:ilvl="0">
      <w:startOverride w:val="1"/>
    </w:lvlOverride>
    <w:lvlOverride w:ilvl="1"/>
    <w:lvlOverride w:ilvl="2"/>
    <w:lvlOverride w:ilvl="3"/>
    <w:lvlOverride w:ilvl="4"/>
    <w:lvlOverride w:ilvl="5"/>
    <w:lvlOverride w:ilvl="6"/>
    <w:lvlOverride w:ilvl="7"/>
    <w:lvlOverride w:ilvl="8"/>
  </w:num>
  <w:num w:numId="3" w16cid:durableId="1652950372">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C43A3"/>
    <w:rsid w:val="000D7A8F"/>
    <w:rsid w:val="00164247"/>
    <w:rsid w:val="002B6CBE"/>
    <w:rsid w:val="002E1FE3"/>
    <w:rsid w:val="004F3130"/>
    <w:rsid w:val="00507E96"/>
    <w:rsid w:val="005A698A"/>
    <w:rsid w:val="00751826"/>
    <w:rsid w:val="0081511A"/>
    <w:rsid w:val="009A4E4C"/>
    <w:rsid w:val="009D2B66"/>
    <w:rsid w:val="00AC43A3"/>
    <w:rsid w:val="00C93542"/>
    <w:rsid w:val="00CB38AF"/>
    <w:rsid w:val="00D13F46"/>
    <w:rsid w:val="00DF6422"/>
    <w:rsid w:val="00E15F7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14:docId w14:val="5A4E36D1"/>
  <w15:chartTrackingRefBased/>
  <w15:docId w15:val="{81E787E7-52CB-4569-906D-9058C00A3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C43A3"/>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C43A3"/>
    <w:pPr>
      <w:tabs>
        <w:tab w:val="center" w:pos="4153"/>
        <w:tab w:val="right" w:pos="8306"/>
      </w:tabs>
    </w:pPr>
  </w:style>
  <w:style w:type="character" w:customStyle="1" w:styleId="a4">
    <w:name w:val="כותרת עליונה תו"/>
    <w:link w:val="a3"/>
    <w:rsid w:val="00AC43A3"/>
    <w:rPr>
      <w:rFonts w:ascii="Times New Roman" w:eastAsia="Times New Roman" w:hAnsi="Times New Roman" w:cs="David"/>
      <w:noProof/>
      <w:sz w:val="24"/>
      <w:szCs w:val="24"/>
    </w:rPr>
  </w:style>
  <w:style w:type="paragraph" w:styleId="a5">
    <w:name w:val="footer"/>
    <w:basedOn w:val="a"/>
    <w:link w:val="a6"/>
    <w:rsid w:val="00AC43A3"/>
    <w:pPr>
      <w:tabs>
        <w:tab w:val="center" w:pos="4153"/>
        <w:tab w:val="right" w:pos="8306"/>
      </w:tabs>
    </w:pPr>
  </w:style>
  <w:style w:type="character" w:customStyle="1" w:styleId="a6">
    <w:name w:val="כותרת תחתונה תו"/>
    <w:link w:val="a5"/>
    <w:rsid w:val="00AC43A3"/>
    <w:rPr>
      <w:rFonts w:ascii="Times New Roman" w:eastAsia="Times New Roman" w:hAnsi="Times New Roman" w:cs="David"/>
      <w:noProof/>
      <w:sz w:val="24"/>
      <w:szCs w:val="24"/>
    </w:rPr>
  </w:style>
  <w:style w:type="table" w:styleId="a7">
    <w:name w:val="Table Grid"/>
    <w:basedOn w:val="a1"/>
    <w:rsid w:val="00AC43A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AC43A3"/>
    <w:rPr>
      <w:rFonts w:ascii="Times New Roman" w:hAnsi="Times New Roman" w:cs="Times New Roman" w:hint="default"/>
      <w:color w:val="0000FF"/>
      <w:u w:val="single"/>
    </w:rPr>
  </w:style>
  <w:style w:type="paragraph" w:styleId="a8">
    <w:name w:val="List Paragraph"/>
    <w:basedOn w:val="a"/>
    <w:qFormat/>
    <w:rsid w:val="00AC43A3"/>
    <w:pPr>
      <w:spacing w:after="160" w:line="256" w:lineRule="auto"/>
      <w:ind w:left="720"/>
      <w:contextualSpacing/>
    </w:pPr>
    <w:rPr>
      <w:rFonts w:ascii="Calibri" w:eastAsia="Calibri" w:hAnsi="Calibri" w:cs="Arial"/>
      <w:noProof w:val="0"/>
      <w:sz w:val="22"/>
      <w:szCs w:val="22"/>
    </w:rPr>
  </w:style>
  <w:style w:type="paragraph" w:customStyle="1" w:styleId="ruller40">
    <w:name w:val="ruller40"/>
    <w:basedOn w:val="a"/>
    <w:rsid w:val="00AC43A3"/>
    <w:pPr>
      <w:bidi w:val="0"/>
      <w:spacing w:before="100" w:beforeAutospacing="1" w:after="100" w:afterAutospacing="1"/>
    </w:pPr>
    <w:rPr>
      <w:rFonts w:cs="Times New Roman"/>
      <w:noProof w:val="0"/>
    </w:rPr>
  </w:style>
  <w:style w:type="paragraph" w:customStyle="1" w:styleId="ruller5">
    <w:name w:val="ruller5"/>
    <w:basedOn w:val="a"/>
    <w:rsid w:val="00AC43A3"/>
    <w:pPr>
      <w:bidi w:val="0"/>
      <w:spacing w:before="100" w:beforeAutospacing="1" w:after="100" w:afterAutospacing="1"/>
    </w:pPr>
    <w:rPr>
      <w:rFonts w:cs="Times New Roman"/>
      <w:noProof w:val="0"/>
    </w:rPr>
  </w:style>
  <w:style w:type="character" w:customStyle="1" w:styleId="normal-h">
    <w:name w:val="normal-h"/>
    <w:rsid w:val="00AC43A3"/>
    <w:rPr>
      <w:rFonts w:ascii="Times New Roman" w:hAnsi="Times New Roman" w:cs="Times New Roman" w:hint="default"/>
    </w:rPr>
  </w:style>
  <w:style w:type="character" w:styleId="a9">
    <w:name w:val="page number"/>
    <w:rsid w:val="005A69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g" TargetMode="External"/><Relationship Id="rId18" Type="http://schemas.openxmlformats.org/officeDocument/2006/relationships/hyperlink" Target="http://www.nevo.co.il/law/70301/144.b" TargetMode="External"/><Relationship Id="rId26" Type="http://schemas.openxmlformats.org/officeDocument/2006/relationships/hyperlink" Target="http://www.nevo.co.il/case/5816167" TargetMode="External"/><Relationship Id="rId39" Type="http://schemas.openxmlformats.org/officeDocument/2006/relationships/hyperlink" Target="http://www.nevo.co.il/case/5750655" TargetMode="External"/><Relationship Id="rId21" Type="http://schemas.openxmlformats.org/officeDocument/2006/relationships/hyperlink" Target="http://www.nevo.co.il/law/70301/144.g" TargetMode="External"/><Relationship Id="rId34" Type="http://schemas.openxmlformats.org/officeDocument/2006/relationships/hyperlink" Target="http://www.nevo.co.il/case/28243273"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29" TargetMode="External"/><Relationship Id="rId29" Type="http://schemas.openxmlformats.org/officeDocument/2006/relationships/hyperlink" Target="http://www.nevo.co.il/law/70301/29.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hyperlink" Target="http://www.nevo.co.il/case/5806087" TargetMode="External"/><Relationship Id="rId32" Type="http://schemas.openxmlformats.org/officeDocument/2006/relationships/hyperlink" Target="http://www.nevo.co.il/case/27500177" TargetMode="External"/><Relationship Id="rId37" Type="http://schemas.openxmlformats.org/officeDocument/2006/relationships/hyperlink" Target="http://www.nevo.co.il/law/70301/40ja" TargetMode="External"/><Relationship Id="rId40" Type="http://schemas.openxmlformats.org/officeDocument/2006/relationships/hyperlink" Target="http://www.eca.gov.il/"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144.b" TargetMode="External"/><Relationship Id="rId23" Type="http://schemas.openxmlformats.org/officeDocument/2006/relationships/hyperlink" Target="http://www.nevo.co.il/case/5568354" TargetMode="External"/><Relationship Id="rId28" Type="http://schemas.openxmlformats.org/officeDocument/2006/relationships/hyperlink" Target="http://www.nevo.co.il/law/70301/144.b.2" TargetMode="External"/><Relationship Id="rId36" Type="http://schemas.openxmlformats.org/officeDocument/2006/relationships/hyperlink" Target="http://www.nevo.co.il/case/28614520" TargetMode="External"/><Relationship Id="rId10" Type="http://schemas.openxmlformats.org/officeDocument/2006/relationships/hyperlink" Target="http://www.nevo.co.il/law/70301/31" TargetMode="External"/><Relationship Id="rId19" Type="http://schemas.openxmlformats.org/officeDocument/2006/relationships/hyperlink" Target="http://www.nevo.co.il/law/70301/31" TargetMode="External"/><Relationship Id="rId31" Type="http://schemas.openxmlformats.org/officeDocument/2006/relationships/hyperlink" Target="http://www.nevo.co.il/case/23801336"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29.b"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144.b"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25285960" TargetMode="External"/><Relationship Id="rId43" Type="http://schemas.openxmlformats.org/officeDocument/2006/relationships/header" Target="header2.xml"/><Relationship Id="rId8" Type="http://schemas.openxmlformats.org/officeDocument/2006/relationships/hyperlink" Target="http://www.nevo.co.il/law/70301/29" TargetMode="External"/><Relationship Id="rId3" Type="http://schemas.openxmlformats.org/officeDocument/2006/relationships/settings" Target="settings.xml"/><Relationship Id="rId12" Type="http://schemas.openxmlformats.org/officeDocument/2006/relationships/hyperlink" Target="http://www.nevo.co.il/law/70301/144.b.2"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5701295" TargetMode="External"/><Relationship Id="rId33" Type="http://schemas.openxmlformats.org/officeDocument/2006/relationships/hyperlink" Target="http://www.nevo.co.il/case/22033945" TargetMode="External"/><Relationship Id="rId38" Type="http://schemas.openxmlformats.org/officeDocument/2006/relationships/hyperlink" Target="http://www.nevo.co.il/law/70301" TargetMode="External"/><Relationship Id="rId46" Type="http://schemas.openxmlformats.org/officeDocument/2006/relationships/fontTable" Target="fontTable.xml"/><Relationship Id="rId20" Type="http://schemas.openxmlformats.org/officeDocument/2006/relationships/hyperlink" Target="http://www.nevo.co.il/case/25824863"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3127</Words>
  <Characters>15635</Characters>
  <Application>Microsoft Office Word</Application>
  <DocSecurity>0</DocSecurity>
  <Lines>130</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18725</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7864368</vt:i4>
      </vt:variant>
      <vt:variant>
        <vt:i4>99</vt:i4>
      </vt:variant>
      <vt:variant>
        <vt:i4>0</vt:i4>
      </vt:variant>
      <vt:variant>
        <vt:i4>5</vt:i4>
      </vt:variant>
      <vt:variant>
        <vt:lpwstr>http://www.eca.gov.il/</vt:lpwstr>
      </vt:variant>
      <vt:variant>
        <vt:lpwstr/>
      </vt:variant>
      <vt:variant>
        <vt:i4>3342454</vt:i4>
      </vt:variant>
      <vt:variant>
        <vt:i4>96</vt:i4>
      </vt:variant>
      <vt:variant>
        <vt:i4>0</vt:i4>
      </vt:variant>
      <vt:variant>
        <vt:i4>5</vt:i4>
      </vt:variant>
      <vt:variant>
        <vt:lpwstr>http://www.nevo.co.il/case/5750655</vt:lpwstr>
      </vt:variant>
      <vt:variant>
        <vt:lpwstr/>
      </vt:variant>
      <vt:variant>
        <vt:i4>7995492</vt:i4>
      </vt:variant>
      <vt:variant>
        <vt:i4>93</vt:i4>
      </vt:variant>
      <vt:variant>
        <vt:i4>0</vt:i4>
      </vt:variant>
      <vt:variant>
        <vt:i4>5</vt:i4>
      </vt:variant>
      <vt:variant>
        <vt:lpwstr>http://www.nevo.co.il/law/70301</vt:lpwstr>
      </vt:variant>
      <vt:variant>
        <vt:lpwstr/>
      </vt:variant>
      <vt:variant>
        <vt:i4>262155</vt:i4>
      </vt:variant>
      <vt:variant>
        <vt:i4>90</vt:i4>
      </vt:variant>
      <vt:variant>
        <vt:i4>0</vt:i4>
      </vt:variant>
      <vt:variant>
        <vt:i4>5</vt:i4>
      </vt:variant>
      <vt:variant>
        <vt:lpwstr>http://www.nevo.co.il/law/70301/40ja</vt:lpwstr>
      </vt:variant>
      <vt:variant>
        <vt:lpwstr/>
      </vt:variant>
      <vt:variant>
        <vt:i4>3276920</vt:i4>
      </vt:variant>
      <vt:variant>
        <vt:i4>87</vt:i4>
      </vt:variant>
      <vt:variant>
        <vt:i4>0</vt:i4>
      </vt:variant>
      <vt:variant>
        <vt:i4>5</vt:i4>
      </vt:variant>
      <vt:variant>
        <vt:lpwstr>http://www.nevo.co.il/case/28614520</vt:lpwstr>
      </vt:variant>
      <vt:variant>
        <vt:lpwstr/>
      </vt:variant>
      <vt:variant>
        <vt:i4>3342448</vt:i4>
      </vt:variant>
      <vt:variant>
        <vt:i4>84</vt:i4>
      </vt:variant>
      <vt:variant>
        <vt:i4>0</vt:i4>
      </vt:variant>
      <vt:variant>
        <vt:i4>5</vt:i4>
      </vt:variant>
      <vt:variant>
        <vt:lpwstr>http://www.nevo.co.il/case/25285960</vt:lpwstr>
      </vt:variant>
      <vt:variant>
        <vt:lpwstr/>
      </vt:variant>
      <vt:variant>
        <vt:i4>3407994</vt:i4>
      </vt:variant>
      <vt:variant>
        <vt:i4>81</vt:i4>
      </vt:variant>
      <vt:variant>
        <vt:i4>0</vt:i4>
      </vt:variant>
      <vt:variant>
        <vt:i4>5</vt:i4>
      </vt:variant>
      <vt:variant>
        <vt:lpwstr>http://www.nevo.co.il/case/28243273</vt:lpwstr>
      </vt:variant>
      <vt:variant>
        <vt:lpwstr/>
      </vt:variant>
      <vt:variant>
        <vt:i4>3473532</vt:i4>
      </vt:variant>
      <vt:variant>
        <vt:i4>78</vt:i4>
      </vt:variant>
      <vt:variant>
        <vt:i4>0</vt:i4>
      </vt:variant>
      <vt:variant>
        <vt:i4>5</vt:i4>
      </vt:variant>
      <vt:variant>
        <vt:lpwstr>http://www.nevo.co.il/case/22033945</vt:lpwstr>
      </vt:variant>
      <vt:variant>
        <vt:lpwstr/>
      </vt:variant>
      <vt:variant>
        <vt:i4>3145842</vt:i4>
      </vt:variant>
      <vt:variant>
        <vt:i4>75</vt:i4>
      </vt:variant>
      <vt:variant>
        <vt:i4>0</vt:i4>
      </vt:variant>
      <vt:variant>
        <vt:i4>5</vt:i4>
      </vt:variant>
      <vt:variant>
        <vt:lpwstr>http://www.nevo.co.il/case/27500177</vt:lpwstr>
      </vt:variant>
      <vt:variant>
        <vt:lpwstr/>
      </vt:variant>
      <vt:variant>
        <vt:i4>3670132</vt:i4>
      </vt:variant>
      <vt:variant>
        <vt:i4>72</vt:i4>
      </vt:variant>
      <vt:variant>
        <vt:i4>0</vt:i4>
      </vt:variant>
      <vt:variant>
        <vt:i4>5</vt:i4>
      </vt:variant>
      <vt:variant>
        <vt:lpwstr>http://www.nevo.co.il/case/23801336</vt:lpwstr>
      </vt:variant>
      <vt:variant>
        <vt:lpwstr/>
      </vt:variant>
      <vt:variant>
        <vt:i4>7995492</vt:i4>
      </vt:variant>
      <vt:variant>
        <vt:i4>69</vt:i4>
      </vt:variant>
      <vt:variant>
        <vt:i4>0</vt:i4>
      </vt:variant>
      <vt:variant>
        <vt:i4>5</vt:i4>
      </vt:variant>
      <vt:variant>
        <vt:lpwstr>http://www.nevo.co.il/law/70301</vt:lpwstr>
      </vt:variant>
      <vt:variant>
        <vt:lpwstr/>
      </vt:variant>
      <vt:variant>
        <vt:i4>917577</vt:i4>
      </vt:variant>
      <vt:variant>
        <vt:i4>66</vt:i4>
      </vt:variant>
      <vt:variant>
        <vt:i4>0</vt:i4>
      </vt:variant>
      <vt:variant>
        <vt:i4>5</vt:i4>
      </vt:variant>
      <vt:variant>
        <vt:lpwstr>http://www.nevo.co.il/law/70301/29.b</vt:lpwstr>
      </vt:variant>
      <vt:variant>
        <vt:lpwstr/>
      </vt:variant>
      <vt:variant>
        <vt:i4>6357042</vt:i4>
      </vt:variant>
      <vt:variant>
        <vt:i4>63</vt:i4>
      </vt:variant>
      <vt:variant>
        <vt:i4>0</vt:i4>
      </vt:variant>
      <vt:variant>
        <vt:i4>5</vt:i4>
      </vt:variant>
      <vt:variant>
        <vt:lpwstr>http://www.nevo.co.il/law/70301/144.b.2</vt:lpwstr>
      </vt:variant>
      <vt:variant>
        <vt:lpwstr/>
      </vt:variant>
      <vt:variant>
        <vt:i4>5177424</vt:i4>
      </vt:variant>
      <vt:variant>
        <vt:i4>60</vt:i4>
      </vt:variant>
      <vt:variant>
        <vt:i4>0</vt:i4>
      </vt:variant>
      <vt:variant>
        <vt:i4>5</vt:i4>
      </vt:variant>
      <vt:variant>
        <vt:lpwstr>http://www.nevo.co.il/law/70301/144.b</vt:lpwstr>
      </vt:variant>
      <vt:variant>
        <vt:lpwstr/>
      </vt:variant>
      <vt:variant>
        <vt:i4>3276924</vt:i4>
      </vt:variant>
      <vt:variant>
        <vt:i4>57</vt:i4>
      </vt:variant>
      <vt:variant>
        <vt:i4>0</vt:i4>
      </vt:variant>
      <vt:variant>
        <vt:i4>5</vt:i4>
      </vt:variant>
      <vt:variant>
        <vt:lpwstr>http://www.nevo.co.il/case/5816167</vt:lpwstr>
      </vt:variant>
      <vt:variant>
        <vt:lpwstr/>
      </vt:variant>
      <vt:variant>
        <vt:i4>3997811</vt:i4>
      </vt:variant>
      <vt:variant>
        <vt:i4>54</vt:i4>
      </vt:variant>
      <vt:variant>
        <vt:i4>0</vt:i4>
      </vt:variant>
      <vt:variant>
        <vt:i4>5</vt:i4>
      </vt:variant>
      <vt:variant>
        <vt:lpwstr>http://www.nevo.co.il/case/25701295</vt:lpwstr>
      </vt:variant>
      <vt:variant>
        <vt:lpwstr/>
      </vt:variant>
      <vt:variant>
        <vt:i4>3276914</vt:i4>
      </vt:variant>
      <vt:variant>
        <vt:i4>51</vt:i4>
      </vt:variant>
      <vt:variant>
        <vt:i4>0</vt:i4>
      </vt:variant>
      <vt:variant>
        <vt:i4>5</vt:i4>
      </vt:variant>
      <vt:variant>
        <vt:lpwstr>http://www.nevo.co.il/case/5806087</vt:lpwstr>
      </vt:variant>
      <vt:variant>
        <vt:lpwstr/>
      </vt:variant>
      <vt:variant>
        <vt:i4>3407996</vt:i4>
      </vt:variant>
      <vt:variant>
        <vt:i4>48</vt:i4>
      </vt:variant>
      <vt:variant>
        <vt:i4>0</vt:i4>
      </vt:variant>
      <vt:variant>
        <vt:i4>5</vt:i4>
      </vt:variant>
      <vt:variant>
        <vt:lpwstr>http://www.nevo.co.il/case/5568354</vt:lpwstr>
      </vt:variant>
      <vt:variant>
        <vt:lpwstr/>
      </vt:variant>
      <vt:variant>
        <vt:i4>7995492</vt:i4>
      </vt:variant>
      <vt:variant>
        <vt:i4>45</vt:i4>
      </vt:variant>
      <vt:variant>
        <vt:i4>0</vt:i4>
      </vt:variant>
      <vt:variant>
        <vt:i4>5</vt:i4>
      </vt:variant>
      <vt:variant>
        <vt:lpwstr>http://www.nevo.co.il/law/70301</vt:lpwstr>
      </vt:variant>
      <vt:variant>
        <vt:lpwstr/>
      </vt:variant>
      <vt:variant>
        <vt:i4>5177424</vt:i4>
      </vt:variant>
      <vt:variant>
        <vt:i4>42</vt:i4>
      </vt:variant>
      <vt:variant>
        <vt:i4>0</vt:i4>
      </vt:variant>
      <vt:variant>
        <vt:i4>5</vt:i4>
      </vt:variant>
      <vt:variant>
        <vt:lpwstr>http://www.nevo.co.il/law/70301/144.g</vt:lpwstr>
      </vt:variant>
      <vt:variant>
        <vt:lpwstr/>
      </vt:variant>
      <vt:variant>
        <vt:i4>3670139</vt:i4>
      </vt:variant>
      <vt:variant>
        <vt:i4>39</vt:i4>
      </vt:variant>
      <vt:variant>
        <vt:i4>0</vt:i4>
      </vt:variant>
      <vt:variant>
        <vt:i4>5</vt:i4>
      </vt:variant>
      <vt:variant>
        <vt:lpwstr>http://www.nevo.co.il/case/25824863</vt:lpwstr>
      </vt:variant>
      <vt:variant>
        <vt:lpwstr/>
      </vt:variant>
      <vt:variant>
        <vt:i4>6553702</vt:i4>
      </vt:variant>
      <vt:variant>
        <vt:i4>36</vt:i4>
      </vt:variant>
      <vt:variant>
        <vt:i4>0</vt:i4>
      </vt:variant>
      <vt:variant>
        <vt:i4>5</vt:i4>
      </vt:variant>
      <vt:variant>
        <vt:lpwstr>http://www.nevo.co.il/law/70301/31</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7995492</vt:i4>
      </vt:variant>
      <vt:variant>
        <vt:i4>30</vt:i4>
      </vt:variant>
      <vt:variant>
        <vt:i4>0</vt:i4>
      </vt:variant>
      <vt:variant>
        <vt:i4>5</vt:i4>
      </vt:variant>
      <vt:variant>
        <vt:lpwstr>http://www.nevo.co.il/law/70301</vt:lpwstr>
      </vt:variant>
      <vt:variant>
        <vt:lpwstr/>
      </vt:variant>
      <vt:variant>
        <vt:i4>7077991</vt:i4>
      </vt:variant>
      <vt:variant>
        <vt:i4>27</vt:i4>
      </vt:variant>
      <vt:variant>
        <vt:i4>0</vt:i4>
      </vt:variant>
      <vt:variant>
        <vt:i4>5</vt:i4>
      </vt:variant>
      <vt:variant>
        <vt:lpwstr>http://www.nevo.co.il/law/70301/29</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5177424</vt:i4>
      </vt:variant>
      <vt:variant>
        <vt:i4>18</vt:i4>
      </vt:variant>
      <vt:variant>
        <vt:i4>0</vt:i4>
      </vt:variant>
      <vt:variant>
        <vt:i4>5</vt:i4>
      </vt:variant>
      <vt:variant>
        <vt:lpwstr>http://www.nevo.co.il/law/70301/144.g</vt:lpwstr>
      </vt:variant>
      <vt:variant>
        <vt:lpwstr/>
      </vt:variant>
      <vt:variant>
        <vt:i4>6357042</vt:i4>
      </vt:variant>
      <vt:variant>
        <vt:i4>15</vt:i4>
      </vt:variant>
      <vt:variant>
        <vt:i4>0</vt:i4>
      </vt:variant>
      <vt:variant>
        <vt:i4>5</vt:i4>
      </vt:variant>
      <vt:variant>
        <vt:lpwstr>http://www.nevo.co.il/law/70301/144.b.2</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6553702</vt:i4>
      </vt:variant>
      <vt:variant>
        <vt:i4>9</vt:i4>
      </vt:variant>
      <vt:variant>
        <vt:i4>0</vt:i4>
      </vt:variant>
      <vt:variant>
        <vt:i4>5</vt:i4>
      </vt:variant>
      <vt:variant>
        <vt:lpwstr>http://www.nevo.co.il/law/70301/31</vt:lpwstr>
      </vt:variant>
      <vt:variant>
        <vt:lpwstr/>
      </vt:variant>
      <vt:variant>
        <vt:i4>917577</vt:i4>
      </vt:variant>
      <vt:variant>
        <vt:i4>6</vt:i4>
      </vt:variant>
      <vt:variant>
        <vt:i4>0</vt:i4>
      </vt:variant>
      <vt:variant>
        <vt:i4>5</vt:i4>
      </vt:variant>
      <vt:variant>
        <vt:lpwstr>http://www.nevo.co.il/law/70301/29.b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2025-04-25T10:53:00Z</dcterms:created>
  <dcterms:modified xsi:type="dcterms:W3CDTF">2025-04-25T10:53:00Z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36704</vt:lpwstr>
  </property>
  <property fmtid="{D5CDD505-2E9C-101B-9397-08002B2CF9AE}" pid="6" name="NEWPARTB">
    <vt:lpwstr>02</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מחמוד סלאימה;מוסטפא עלון;מוסטפא שלאלדה  </vt:lpwstr>
  </property>
  <property fmtid="{D5CDD505-2E9C-101B-9397-08002B2CF9AE}" pid="10" name="JUDGE">
    <vt:lpwstr>חנא סבאג</vt:lpwstr>
  </property>
  <property fmtid="{D5CDD505-2E9C-101B-9397-08002B2CF9AE}" pid="11" name="CITY">
    <vt:lpwstr>נצ'</vt:lpwstr>
  </property>
  <property fmtid="{D5CDD505-2E9C-101B-9397-08002B2CF9AE}" pid="12" name="DATE">
    <vt:lpwstr>20230315</vt:lpwstr>
  </property>
  <property fmtid="{D5CDD505-2E9C-101B-9397-08002B2CF9AE}" pid="13" name="TYPE_N_DATE">
    <vt:lpwstr>39020230315</vt:lpwstr>
  </property>
  <property fmtid="{D5CDD505-2E9C-101B-9397-08002B2CF9AE}" pid="14" name="WORDNUMPAGES">
    <vt:lpwstr>11</vt:lpwstr>
  </property>
  <property fmtid="{D5CDD505-2E9C-101B-9397-08002B2CF9AE}" pid="15" name="TYPE_ABS_DATE">
    <vt:lpwstr>390020230315</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25824863;5568354;5806087;25701295;5816167;23801336;27500177;22033945;28243273;25285960;28614520;5750655</vt:lpwstr>
  </property>
  <property fmtid="{D5CDD505-2E9C-101B-9397-08002B2CF9AE}" pid="36" name="LAWLISTTMP1">
    <vt:lpwstr>70301/144.b:3;029;031;144.g;144.b.2;029.b;40ja</vt:lpwstr>
  </property>
</Properties>
</file>