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614E35" w:rsidRPr="00713AE5" w14:paraId="39DBE522" w14:textId="77777777" w:rsidTr="00713AE5">
        <w:trPr>
          <w:trHeight w:hRule="exact" w:val="418"/>
          <w:jc w:val="center"/>
        </w:trPr>
        <w:tc>
          <w:tcPr>
            <w:tcW w:w="8721" w:type="dxa"/>
            <w:gridSpan w:val="2"/>
          </w:tcPr>
          <w:p w14:paraId="1B9B8F79" w14:textId="77777777" w:rsidR="00614E35" w:rsidRPr="00713AE5" w:rsidRDefault="00614E35" w:rsidP="008A29E0">
            <w:pPr>
              <w:pStyle w:val="a3"/>
              <w:jc w:val="center"/>
              <w:rPr>
                <w:rFonts w:ascii="Tahoma" w:hAnsi="Tahoma"/>
                <w:color w:val="000080"/>
                <w:sz w:val="22"/>
                <w:szCs w:val="22"/>
                <w:rtl/>
              </w:rPr>
            </w:pPr>
            <w:bookmarkStart w:id="0" w:name="LastJudge"/>
            <w:r w:rsidRPr="00713AE5">
              <w:rPr>
                <w:rFonts w:ascii="Tahoma" w:hAnsi="Tahoma"/>
                <w:b/>
                <w:bCs/>
                <w:color w:val="000080"/>
                <w:sz w:val="22"/>
                <w:szCs w:val="22"/>
                <w:rtl/>
              </w:rPr>
              <w:t>בית המשפט המחוזי בבאר שבע</w:t>
            </w:r>
          </w:p>
        </w:tc>
      </w:tr>
      <w:tr w:rsidR="00614E35" w:rsidRPr="00713AE5" w14:paraId="107620F0" w14:textId="77777777" w:rsidTr="00713AE5">
        <w:trPr>
          <w:trHeight w:val="337"/>
          <w:jc w:val="center"/>
        </w:trPr>
        <w:tc>
          <w:tcPr>
            <w:tcW w:w="5048" w:type="dxa"/>
          </w:tcPr>
          <w:p w14:paraId="43F20A77" w14:textId="77777777" w:rsidR="00614E35" w:rsidRPr="00713AE5" w:rsidRDefault="00614E35" w:rsidP="008A29E0">
            <w:pPr>
              <w:rPr>
                <w:sz w:val="28"/>
                <w:szCs w:val="28"/>
                <w:rtl/>
              </w:rPr>
            </w:pPr>
            <w:r w:rsidRPr="00713AE5">
              <w:rPr>
                <w:rFonts w:hint="cs"/>
                <w:b/>
                <w:bCs/>
                <w:sz w:val="26"/>
                <w:szCs w:val="26"/>
                <w:rtl/>
              </w:rPr>
              <w:t>לפני כבוד ה</w:t>
            </w:r>
            <w:r w:rsidRPr="00713AE5">
              <w:rPr>
                <w:b/>
                <w:bCs/>
                <w:sz w:val="26"/>
                <w:szCs w:val="26"/>
                <w:rtl/>
              </w:rPr>
              <w:t>שופטת טל לחיאני שהם</w:t>
            </w:r>
          </w:p>
        </w:tc>
        <w:tc>
          <w:tcPr>
            <w:tcW w:w="3673" w:type="dxa"/>
          </w:tcPr>
          <w:p w14:paraId="37884B27" w14:textId="77777777" w:rsidR="00614E35" w:rsidRPr="00713AE5" w:rsidRDefault="00614E35" w:rsidP="008A29E0">
            <w:pPr>
              <w:rPr>
                <w:b/>
                <w:bCs/>
                <w:sz w:val="26"/>
                <w:szCs w:val="26"/>
                <w:rtl/>
              </w:rPr>
            </w:pPr>
          </w:p>
          <w:p w14:paraId="02B7DB6F" w14:textId="77777777" w:rsidR="00614E35" w:rsidRPr="00713AE5" w:rsidRDefault="00614E35" w:rsidP="008A29E0">
            <w:pPr>
              <w:ind w:left="720" w:hanging="720"/>
              <w:jc w:val="right"/>
              <w:rPr>
                <w:b/>
                <w:bCs/>
                <w:sz w:val="26"/>
                <w:szCs w:val="26"/>
                <w:rtl/>
              </w:rPr>
            </w:pPr>
          </w:p>
          <w:p w14:paraId="6269D0A4" w14:textId="77777777" w:rsidR="00614E35" w:rsidRPr="00713AE5" w:rsidRDefault="00981D41" w:rsidP="008A29E0">
            <w:pPr>
              <w:ind w:left="720" w:hanging="720"/>
              <w:jc w:val="right"/>
              <w:rPr>
                <w:b/>
                <w:bCs/>
                <w:sz w:val="26"/>
                <w:szCs w:val="26"/>
                <w:rtl/>
              </w:rPr>
            </w:pPr>
            <w:hyperlink r:id="rId7" w:history="1">
              <w:r w:rsidRPr="00713AE5">
                <w:rPr>
                  <w:b/>
                  <w:bCs/>
                  <w:color w:val="0000FF"/>
                  <w:sz w:val="26"/>
                  <w:szCs w:val="26"/>
                  <w:u w:val="single"/>
                  <w:rtl/>
                </w:rPr>
                <w:t>ת"פ 39831-02-22</w:t>
              </w:r>
            </w:hyperlink>
            <w:r w:rsidR="00614E35" w:rsidRPr="00713AE5">
              <w:rPr>
                <w:rFonts w:hint="cs"/>
                <w:b/>
                <w:bCs/>
                <w:sz w:val="26"/>
                <w:szCs w:val="26"/>
                <w:rtl/>
              </w:rPr>
              <w:t xml:space="preserve"> </w:t>
            </w:r>
            <w:r w:rsidR="00614E35" w:rsidRPr="00713AE5">
              <w:rPr>
                <w:b/>
                <w:bCs/>
                <w:sz w:val="26"/>
                <w:szCs w:val="26"/>
              </w:rPr>
              <w:t xml:space="preserve"> </w:t>
            </w:r>
          </w:p>
        </w:tc>
      </w:tr>
    </w:tbl>
    <w:p w14:paraId="1EDA5D3F" w14:textId="77777777" w:rsidR="00614E35" w:rsidRPr="00713AE5" w:rsidRDefault="00614E35" w:rsidP="00614E35">
      <w:pPr>
        <w:pStyle w:val="a3"/>
        <w:rPr>
          <w:rtl/>
        </w:rPr>
      </w:pPr>
      <w:r w:rsidRPr="00713AE5">
        <w:rPr>
          <w:rFonts w:hint="cs"/>
          <w:rtl/>
        </w:rPr>
        <w:t xml:space="preserve"> </w:t>
      </w:r>
    </w:p>
    <w:p w14:paraId="3A380D5C" w14:textId="77777777" w:rsidR="00614E35" w:rsidRPr="00713AE5" w:rsidRDefault="00614E35" w:rsidP="00614E35">
      <w:pPr>
        <w:spacing w:line="360" w:lineRule="auto"/>
        <w:jc w:val="both"/>
        <w:rPr>
          <w:sz w:val="6"/>
          <w:szCs w:val="6"/>
          <w:rtl/>
        </w:rPr>
      </w:pPr>
    </w:p>
    <w:p w14:paraId="1365433D" w14:textId="77777777" w:rsidR="00614E35" w:rsidRPr="00713AE5" w:rsidRDefault="00614E35" w:rsidP="00614E35">
      <w:pPr>
        <w:spacing w:line="360" w:lineRule="auto"/>
        <w:jc w:val="both"/>
        <w:rPr>
          <w:sz w:val="6"/>
          <w:szCs w:val="6"/>
          <w:rtl/>
        </w:rPr>
      </w:pPr>
    </w:p>
    <w:tbl>
      <w:tblPr>
        <w:bidiVisual/>
        <w:tblW w:w="8526" w:type="dxa"/>
        <w:tblInd w:w="248" w:type="dxa"/>
        <w:tblLook w:val="01E0" w:firstRow="1" w:lastRow="1" w:firstColumn="1" w:lastColumn="1" w:noHBand="0" w:noVBand="0"/>
      </w:tblPr>
      <w:tblGrid>
        <w:gridCol w:w="2604"/>
        <w:gridCol w:w="5922"/>
      </w:tblGrid>
      <w:tr w:rsidR="00614E35" w:rsidRPr="00713AE5" w14:paraId="0A3A9928" w14:textId="77777777" w:rsidTr="00614E35">
        <w:trPr>
          <w:cantSplit/>
          <w:trHeight w:val="724"/>
        </w:trPr>
        <w:tc>
          <w:tcPr>
            <w:tcW w:w="2604" w:type="dxa"/>
            <w:shd w:val="clear" w:color="auto" w:fill="auto"/>
          </w:tcPr>
          <w:p w14:paraId="2ED13335" w14:textId="77777777" w:rsidR="00614E35" w:rsidRPr="00713AE5" w:rsidRDefault="00614E35" w:rsidP="00614E35">
            <w:pPr>
              <w:spacing w:line="276" w:lineRule="auto"/>
              <w:ind w:left="26"/>
              <w:rPr>
                <w:b/>
                <w:bCs/>
                <w:sz w:val="26"/>
                <w:szCs w:val="26"/>
                <w:rtl/>
              </w:rPr>
            </w:pPr>
            <w:bookmarkStart w:id="1" w:name="FirstAppellant"/>
            <w:bookmarkStart w:id="2" w:name="FirstLawyer"/>
            <w:r w:rsidRPr="00713AE5">
              <w:rPr>
                <w:rFonts w:hint="cs"/>
                <w:b/>
                <w:bCs/>
                <w:sz w:val="26"/>
                <w:szCs w:val="26"/>
                <w:rtl/>
              </w:rPr>
              <w:t>ה</w:t>
            </w:r>
            <w:r w:rsidRPr="00713AE5">
              <w:rPr>
                <w:b/>
                <w:bCs/>
                <w:sz w:val="26"/>
                <w:szCs w:val="26"/>
                <w:rtl/>
              </w:rPr>
              <w:t>מאשימה</w:t>
            </w:r>
          </w:p>
        </w:tc>
        <w:tc>
          <w:tcPr>
            <w:tcW w:w="5922" w:type="dxa"/>
            <w:shd w:val="clear" w:color="auto" w:fill="auto"/>
          </w:tcPr>
          <w:p w14:paraId="2AA64D00" w14:textId="77777777" w:rsidR="00614E35" w:rsidRPr="00713AE5" w:rsidRDefault="00614E35" w:rsidP="00614E35">
            <w:pPr>
              <w:spacing w:line="276" w:lineRule="auto"/>
              <w:rPr>
                <w:b/>
                <w:bCs/>
                <w:sz w:val="26"/>
                <w:szCs w:val="26"/>
                <w:rtl/>
              </w:rPr>
            </w:pPr>
            <w:r w:rsidRPr="00713AE5">
              <w:rPr>
                <w:b/>
                <w:bCs/>
                <w:sz w:val="26"/>
                <w:szCs w:val="26"/>
                <w:rtl/>
              </w:rPr>
              <w:t>מדינת ישראל</w:t>
            </w:r>
          </w:p>
          <w:p w14:paraId="48E4BD2F" w14:textId="77777777" w:rsidR="00614E35" w:rsidRPr="00713AE5" w:rsidRDefault="00614E35" w:rsidP="00614E35">
            <w:pPr>
              <w:spacing w:line="276" w:lineRule="auto"/>
              <w:rPr>
                <w:b/>
                <w:bCs/>
                <w:sz w:val="26"/>
                <w:szCs w:val="26"/>
                <w:rtl/>
              </w:rPr>
            </w:pPr>
            <w:r w:rsidRPr="00713AE5">
              <w:rPr>
                <w:rFonts w:hint="cs"/>
                <w:b/>
                <w:bCs/>
                <w:sz w:val="26"/>
                <w:szCs w:val="26"/>
                <w:rtl/>
              </w:rPr>
              <w:t>ע"י ב"כ עו"ד רחלי אטיאס</w:t>
            </w:r>
          </w:p>
        </w:tc>
      </w:tr>
      <w:bookmarkEnd w:id="1"/>
      <w:bookmarkEnd w:id="2"/>
      <w:tr w:rsidR="00614E35" w:rsidRPr="00713AE5" w14:paraId="0DB98217" w14:textId="77777777" w:rsidTr="00614E35">
        <w:tc>
          <w:tcPr>
            <w:tcW w:w="8526" w:type="dxa"/>
            <w:gridSpan w:val="2"/>
            <w:shd w:val="clear" w:color="auto" w:fill="auto"/>
            <w:vAlign w:val="center"/>
          </w:tcPr>
          <w:p w14:paraId="05124849" w14:textId="77777777" w:rsidR="00614E35" w:rsidRPr="00713AE5" w:rsidRDefault="00614E35" w:rsidP="00614E35">
            <w:pPr>
              <w:spacing w:line="276" w:lineRule="auto"/>
              <w:jc w:val="center"/>
              <w:rPr>
                <w:rFonts w:ascii="Arial" w:hAnsi="Arial"/>
                <w:b/>
                <w:bCs/>
                <w:sz w:val="26"/>
                <w:szCs w:val="26"/>
                <w:rtl/>
              </w:rPr>
            </w:pPr>
          </w:p>
          <w:p w14:paraId="296BC734" w14:textId="77777777" w:rsidR="00614E35" w:rsidRPr="00713AE5" w:rsidRDefault="00614E35" w:rsidP="00614E35">
            <w:pPr>
              <w:spacing w:line="276" w:lineRule="auto"/>
              <w:jc w:val="center"/>
              <w:rPr>
                <w:rFonts w:ascii="Arial" w:hAnsi="Arial"/>
                <w:b/>
                <w:bCs/>
                <w:sz w:val="26"/>
                <w:szCs w:val="26"/>
                <w:rtl/>
              </w:rPr>
            </w:pPr>
            <w:r w:rsidRPr="00713AE5">
              <w:rPr>
                <w:rFonts w:ascii="Arial" w:hAnsi="Arial" w:hint="cs"/>
                <w:b/>
                <w:bCs/>
                <w:sz w:val="26"/>
                <w:szCs w:val="26"/>
                <w:rtl/>
              </w:rPr>
              <w:t>נגד</w:t>
            </w:r>
          </w:p>
          <w:p w14:paraId="26C5CF96" w14:textId="77777777" w:rsidR="00614E35" w:rsidRPr="00713AE5" w:rsidRDefault="00614E35" w:rsidP="00614E35">
            <w:pPr>
              <w:spacing w:line="276" w:lineRule="auto"/>
              <w:rPr>
                <w:rFonts w:ascii="Arial" w:hAnsi="Arial"/>
                <w:b/>
                <w:bCs/>
                <w:sz w:val="26"/>
                <w:szCs w:val="26"/>
                <w:rtl/>
              </w:rPr>
            </w:pPr>
          </w:p>
        </w:tc>
      </w:tr>
      <w:tr w:rsidR="00614E35" w:rsidRPr="00713AE5" w14:paraId="16505F40" w14:textId="77777777" w:rsidTr="00614E35">
        <w:tc>
          <w:tcPr>
            <w:tcW w:w="2604" w:type="dxa"/>
            <w:shd w:val="clear" w:color="auto" w:fill="auto"/>
          </w:tcPr>
          <w:p w14:paraId="20C0629B" w14:textId="77777777" w:rsidR="00614E35" w:rsidRPr="00713AE5" w:rsidRDefault="00614E35" w:rsidP="00614E35">
            <w:pPr>
              <w:spacing w:line="276" w:lineRule="auto"/>
              <w:ind w:left="26"/>
              <w:rPr>
                <w:b/>
                <w:bCs/>
                <w:sz w:val="26"/>
                <w:szCs w:val="26"/>
              </w:rPr>
            </w:pPr>
            <w:r w:rsidRPr="00713AE5">
              <w:rPr>
                <w:rFonts w:hint="cs"/>
                <w:b/>
                <w:bCs/>
                <w:sz w:val="26"/>
                <w:szCs w:val="26"/>
                <w:rtl/>
              </w:rPr>
              <w:t>ה</w:t>
            </w:r>
            <w:r w:rsidRPr="00713AE5">
              <w:rPr>
                <w:b/>
                <w:bCs/>
                <w:sz w:val="26"/>
                <w:szCs w:val="26"/>
                <w:rtl/>
              </w:rPr>
              <w:t>נאשם</w:t>
            </w:r>
          </w:p>
        </w:tc>
        <w:tc>
          <w:tcPr>
            <w:tcW w:w="5922" w:type="dxa"/>
            <w:shd w:val="clear" w:color="auto" w:fill="auto"/>
          </w:tcPr>
          <w:p w14:paraId="0F939B45" w14:textId="77777777" w:rsidR="00614E35" w:rsidRPr="00713AE5" w:rsidRDefault="00614E35" w:rsidP="00614E35">
            <w:pPr>
              <w:spacing w:line="276" w:lineRule="auto"/>
              <w:rPr>
                <w:sz w:val="26"/>
                <w:szCs w:val="26"/>
                <w:rtl/>
              </w:rPr>
            </w:pPr>
            <w:r w:rsidRPr="00713AE5">
              <w:rPr>
                <w:sz w:val="26"/>
                <w:szCs w:val="26"/>
                <w:rtl/>
              </w:rPr>
              <w:t xml:space="preserve"> </w:t>
            </w:r>
            <w:r w:rsidRPr="00713AE5">
              <w:rPr>
                <w:b/>
                <w:bCs/>
                <w:sz w:val="26"/>
                <w:szCs w:val="26"/>
                <w:rtl/>
              </w:rPr>
              <w:t>אברהים אבו קרינאת (עציר)</w:t>
            </w:r>
            <w:r w:rsidRPr="00713AE5">
              <w:rPr>
                <w:sz w:val="26"/>
                <w:szCs w:val="26"/>
                <w:rtl/>
              </w:rPr>
              <w:t xml:space="preserve"> </w:t>
            </w:r>
          </w:p>
          <w:p w14:paraId="2CB85A11" w14:textId="77777777" w:rsidR="00614E35" w:rsidRPr="00713AE5" w:rsidRDefault="00614E35" w:rsidP="00614E35">
            <w:pPr>
              <w:spacing w:line="276" w:lineRule="auto"/>
              <w:rPr>
                <w:b/>
                <w:bCs/>
                <w:sz w:val="26"/>
                <w:szCs w:val="26"/>
                <w:rtl/>
              </w:rPr>
            </w:pPr>
            <w:r w:rsidRPr="00713AE5">
              <w:rPr>
                <w:rFonts w:hint="cs"/>
                <w:b/>
                <w:bCs/>
                <w:sz w:val="26"/>
                <w:szCs w:val="26"/>
                <w:rtl/>
              </w:rPr>
              <w:t>ע"י ב"כ עו"ד אלכס גאוסקין</w:t>
            </w:r>
          </w:p>
          <w:p w14:paraId="37641A43" w14:textId="77777777" w:rsidR="00614E35" w:rsidRPr="00713AE5" w:rsidRDefault="00614E35" w:rsidP="00614E35">
            <w:pPr>
              <w:spacing w:line="276" w:lineRule="auto"/>
              <w:rPr>
                <w:b/>
                <w:bCs/>
                <w:sz w:val="26"/>
                <w:szCs w:val="26"/>
                <w:rtl/>
              </w:rPr>
            </w:pPr>
          </w:p>
        </w:tc>
      </w:tr>
    </w:tbl>
    <w:p w14:paraId="2462C4BD" w14:textId="77777777" w:rsidR="00614E35" w:rsidRPr="00713AE5" w:rsidRDefault="00614E35" w:rsidP="00614E35">
      <w:pPr>
        <w:spacing w:line="360" w:lineRule="auto"/>
        <w:jc w:val="both"/>
        <w:rPr>
          <w:rFonts w:ascii="David" w:hAnsi="David"/>
          <w:sz w:val="6"/>
          <w:szCs w:val="6"/>
          <w:rtl/>
        </w:rPr>
      </w:pPr>
      <w:r w:rsidRPr="00713AE5">
        <w:rPr>
          <w:rFonts w:hint="cs"/>
          <w:sz w:val="6"/>
          <w:szCs w:val="6"/>
          <w:rtl/>
        </w:rPr>
        <w:t>&lt;#1#&gt;</w:t>
      </w:r>
    </w:p>
    <w:p w14:paraId="7C2239C2" w14:textId="77777777" w:rsidR="00713AE5" w:rsidRDefault="00713AE5" w:rsidP="00614E35">
      <w:pPr>
        <w:rPr>
          <w:rtl/>
        </w:rPr>
      </w:pPr>
    </w:p>
    <w:p w14:paraId="480EC308" w14:textId="77777777" w:rsidR="00713AE5" w:rsidRPr="00713AE5" w:rsidRDefault="00713AE5" w:rsidP="00713AE5">
      <w:pPr>
        <w:spacing w:after="120" w:line="240" w:lineRule="exact"/>
        <w:ind w:left="283" w:hanging="283"/>
        <w:jc w:val="both"/>
        <w:rPr>
          <w:rFonts w:ascii="FrankRuehl" w:hAnsi="FrankRuehl" w:cs="FrankRuehl"/>
          <w:rtl/>
        </w:rPr>
      </w:pPr>
    </w:p>
    <w:p w14:paraId="795CF7F9" w14:textId="77777777" w:rsidR="00C346DE" w:rsidRPr="00C346DE" w:rsidRDefault="00C346DE" w:rsidP="00C346DE">
      <w:pPr>
        <w:spacing w:before="120" w:after="120" w:line="240" w:lineRule="exact"/>
        <w:ind w:left="283" w:hanging="283"/>
        <w:jc w:val="both"/>
        <w:rPr>
          <w:rFonts w:ascii="FrankRuehl" w:hAnsi="FrankRuehl" w:cs="FrankRuehl"/>
          <w:rtl/>
        </w:rPr>
      </w:pPr>
    </w:p>
    <w:p w14:paraId="7EA20523" w14:textId="77777777" w:rsidR="00C346DE" w:rsidRPr="00C346DE" w:rsidRDefault="00C346DE" w:rsidP="00C346DE">
      <w:pPr>
        <w:spacing w:before="120" w:after="120" w:line="240" w:lineRule="exact"/>
        <w:ind w:left="283" w:hanging="283"/>
        <w:jc w:val="both"/>
        <w:rPr>
          <w:rFonts w:ascii="FrankRuehl" w:hAnsi="FrankRuehl" w:cs="FrankRuehl"/>
          <w:rtl/>
        </w:rPr>
      </w:pPr>
    </w:p>
    <w:p w14:paraId="28AC0F52" w14:textId="77777777" w:rsidR="00FA4A41" w:rsidRDefault="00FA4A41" w:rsidP="00FA4A41">
      <w:pPr>
        <w:rPr>
          <w:rFonts w:ascii="Arial" w:hAnsi="Arial"/>
          <w:sz w:val="18"/>
          <w:szCs w:val="18"/>
          <w:rtl/>
        </w:rPr>
      </w:pPr>
      <w:bookmarkStart w:id="3" w:name="LawTable"/>
      <w:bookmarkEnd w:id="3"/>
    </w:p>
    <w:p w14:paraId="6BD47D26" w14:textId="77777777" w:rsidR="00FA4A41" w:rsidRPr="00FA4A41" w:rsidRDefault="00FA4A41" w:rsidP="00FA4A41">
      <w:pPr>
        <w:spacing w:before="120" w:after="120" w:line="240" w:lineRule="exact"/>
        <w:ind w:left="283" w:hanging="283"/>
        <w:jc w:val="both"/>
        <w:rPr>
          <w:rFonts w:ascii="FrankRuehl" w:hAnsi="FrankRuehl" w:cs="FrankRuehl"/>
          <w:rtl/>
        </w:rPr>
      </w:pPr>
    </w:p>
    <w:p w14:paraId="51D21C21" w14:textId="77777777" w:rsidR="00FA4A41" w:rsidRPr="00FA4A41" w:rsidRDefault="00FA4A41" w:rsidP="00FA4A41">
      <w:pPr>
        <w:spacing w:before="120" w:after="120" w:line="240" w:lineRule="exact"/>
        <w:ind w:left="283" w:hanging="283"/>
        <w:jc w:val="both"/>
        <w:rPr>
          <w:rFonts w:ascii="FrankRuehl" w:hAnsi="FrankRuehl" w:cs="FrankRuehl"/>
          <w:rtl/>
        </w:rPr>
      </w:pPr>
    </w:p>
    <w:p w14:paraId="048E0B9D" w14:textId="77777777" w:rsidR="00FA4A41" w:rsidRPr="00FA4A41" w:rsidRDefault="00FA4A41" w:rsidP="00FA4A41">
      <w:pPr>
        <w:spacing w:before="120" w:after="120" w:line="240" w:lineRule="exact"/>
        <w:ind w:left="283" w:hanging="283"/>
        <w:jc w:val="both"/>
        <w:rPr>
          <w:rFonts w:ascii="FrankRuehl" w:hAnsi="FrankRuehl" w:cs="FrankRuehl"/>
          <w:rtl/>
        </w:rPr>
      </w:pPr>
      <w:r w:rsidRPr="00FA4A41">
        <w:rPr>
          <w:rFonts w:ascii="FrankRuehl" w:hAnsi="FrankRuehl" w:cs="FrankRuehl"/>
          <w:rtl/>
        </w:rPr>
        <w:t xml:space="preserve">חקיקה שאוזכרה: </w:t>
      </w:r>
    </w:p>
    <w:p w14:paraId="58602F8B" w14:textId="77777777" w:rsidR="00FA4A41" w:rsidRPr="00FA4A41" w:rsidRDefault="00FA4A41" w:rsidP="00FA4A41">
      <w:pPr>
        <w:spacing w:before="120" w:after="120" w:line="240" w:lineRule="exact"/>
        <w:ind w:left="283" w:hanging="283"/>
        <w:jc w:val="both"/>
        <w:rPr>
          <w:rFonts w:ascii="FrankRuehl" w:hAnsi="FrankRuehl" w:cs="FrankRuehl"/>
          <w:rtl/>
        </w:rPr>
      </w:pPr>
      <w:hyperlink r:id="rId8" w:history="1">
        <w:r w:rsidRPr="00FA4A41">
          <w:rPr>
            <w:rFonts w:ascii="FrankRuehl" w:hAnsi="FrankRuehl" w:cs="FrankRuehl"/>
            <w:color w:val="0000FF"/>
            <w:rtl/>
          </w:rPr>
          <w:t>חוק העונשין, תשל"ז-1977</w:t>
        </w:r>
      </w:hyperlink>
      <w:r w:rsidRPr="00FA4A41">
        <w:rPr>
          <w:rFonts w:ascii="FrankRuehl" w:hAnsi="FrankRuehl" w:cs="FrankRuehl"/>
          <w:rtl/>
        </w:rPr>
        <w:t xml:space="preserve">: סע'  </w:t>
      </w:r>
      <w:hyperlink r:id="rId9" w:history="1">
        <w:r w:rsidRPr="00FA4A41">
          <w:rPr>
            <w:rFonts w:ascii="FrankRuehl" w:hAnsi="FrankRuehl" w:cs="FrankRuehl"/>
            <w:color w:val="0000FF"/>
            <w:rtl/>
          </w:rPr>
          <w:t>40ג(א)</w:t>
        </w:r>
      </w:hyperlink>
      <w:r w:rsidRPr="00FA4A41">
        <w:rPr>
          <w:rFonts w:ascii="FrankRuehl" w:hAnsi="FrankRuehl" w:cs="FrankRuehl"/>
          <w:rtl/>
        </w:rPr>
        <w:t xml:space="preserve">, </w:t>
      </w:r>
      <w:hyperlink r:id="rId10" w:history="1">
        <w:r w:rsidRPr="00FA4A41">
          <w:rPr>
            <w:rFonts w:ascii="FrankRuehl" w:hAnsi="FrankRuehl" w:cs="FrankRuehl"/>
            <w:color w:val="0000FF"/>
            <w:rtl/>
          </w:rPr>
          <w:t>40ד(א)</w:t>
        </w:r>
      </w:hyperlink>
      <w:r w:rsidRPr="00FA4A41">
        <w:rPr>
          <w:rFonts w:ascii="FrankRuehl" w:hAnsi="FrankRuehl" w:cs="FrankRuehl"/>
          <w:rtl/>
        </w:rPr>
        <w:t xml:space="preserve">, </w:t>
      </w:r>
      <w:hyperlink r:id="rId11" w:history="1">
        <w:r w:rsidRPr="00FA4A41">
          <w:rPr>
            <w:rFonts w:ascii="FrankRuehl" w:hAnsi="FrankRuehl" w:cs="FrankRuehl"/>
            <w:color w:val="0000FF"/>
            <w:rtl/>
          </w:rPr>
          <w:t>144</w:t>
        </w:r>
      </w:hyperlink>
      <w:r w:rsidRPr="00FA4A41">
        <w:rPr>
          <w:rFonts w:ascii="FrankRuehl" w:hAnsi="FrankRuehl" w:cs="FrankRuehl"/>
          <w:rtl/>
        </w:rPr>
        <w:t xml:space="preserve">, </w:t>
      </w:r>
      <w:hyperlink r:id="rId12" w:history="1">
        <w:r w:rsidRPr="00FA4A41">
          <w:rPr>
            <w:rFonts w:ascii="FrankRuehl" w:hAnsi="FrankRuehl" w:cs="FrankRuehl"/>
            <w:color w:val="0000FF"/>
            <w:rtl/>
          </w:rPr>
          <w:t>144(ב)</w:t>
        </w:r>
      </w:hyperlink>
      <w:r w:rsidRPr="00FA4A41">
        <w:rPr>
          <w:rFonts w:ascii="FrankRuehl" w:hAnsi="FrankRuehl" w:cs="FrankRuehl"/>
          <w:rtl/>
        </w:rPr>
        <w:t xml:space="preserve">, </w:t>
      </w:r>
      <w:hyperlink r:id="rId13" w:history="1">
        <w:r w:rsidRPr="00FA4A41">
          <w:rPr>
            <w:rFonts w:ascii="FrankRuehl" w:hAnsi="FrankRuehl" w:cs="FrankRuehl"/>
            <w:color w:val="0000FF"/>
            <w:rtl/>
          </w:rPr>
          <w:t>332</w:t>
        </w:r>
      </w:hyperlink>
      <w:r w:rsidRPr="00FA4A41">
        <w:rPr>
          <w:rFonts w:ascii="FrankRuehl" w:hAnsi="FrankRuehl" w:cs="FrankRuehl"/>
          <w:rtl/>
        </w:rPr>
        <w:t xml:space="preserve">, </w:t>
      </w:r>
      <w:hyperlink r:id="rId14" w:history="1">
        <w:r w:rsidRPr="00FA4A41">
          <w:rPr>
            <w:rFonts w:ascii="FrankRuehl" w:hAnsi="FrankRuehl" w:cs="FrankRuehl"/>
            <w:color w:val="0000FF"/>
            <w:rtl/>
          </w:rPr>
          <w:t>338</w:t>
        </w:r>
      </w:hyperlink>
      <w:r w:rsidRPr="00FA4A41">
        <w:rPr>
          <w:rFonts w:ascii="FrankRuehl" w:hAnsi="FrankRuehl" w:cs="FrankRuehl"/>
          <w:rtl/>
        </w:rPr>
        <w:t xml:space="preserve">, </w:t>
      </w:r>
      <w:hyperlink r:id="rId15" w:history="1">
        <w:r w:rsidRPr="00FA4A41">
          <w:rPr>
            <w:rFonts w:ascii="FrankRuehl" w:hAnsi="FrankRuehl" w:cs="FrankRuehl"/>
            <w:color w:val="0000FF"/>
            <w:rtl/>
          </w:rPr>
          <w:t>338(א)(1)</w:t>
        </w:r>
      </w:hyperlink>
    </w:p>
    <w:p w14:paraId="7D0CD975" w14:textId="77777777" w:rsidR="00FA4A41" w:rsidRPr="00FA4A41" w:rsidRDefault="00FA4A41" w:rsidP="00FA4A41">
      <w:pPr>
        <w:spacing w:before="120" w:after="120" w:line="240" w:lineRule="exact"/>
        <w:ind w:left="283" w:hanging="283"/>
        <w:jc w:val="both"/>
        <w:rPr>
          <w:rFonts w:ascii="FrankRuehl" w:hAnsi="FrankRuehl" w:cs="FrankRuehl"/>
          <w:rtl/>
        </w:rPr>
      </w:pPr>
      <w:hyperlink r:id="rId16" w:history="1">
        <w:r w:rsidRPr="00FA4A41">
          <w:rPr>
            <w:rFonts w:ascii="FrankRuehl" w:hAnsi="FrankRuehl" w:cs="FrankRuehl"/>
            <w:color w:val="0000FF"/>
            <w:rtl/>
          </w:rPr>
          <w:t>פקודת התעבורה [נוסח חדש]</w:t>
        </w:r>
      </w:hyperlink>
      <w:r w:rsidRPr="00FA4A41">
        <w:rPr>
          <w:rFonts w:ascii="FrankRuehl" w:hAnsi="FrankRuehl" w:cs="FrankRuehl"/>
          <w:rtl/>
        </w:rPr>
        <w:t xml:space="preserve">: סע'  </w:t>
      </w:r>
      <w:hyperlink r:id="rId17" w:history="1">
        <w:r w:rsidRPr="00FA4A41">
          <w:rPr>
            <w:rFonts w:ascii="FrankRuehl" w:hAnsi="FrankRuehl" w:cs="FrankRuehl"/>
            <w:color w:val="0000FF"/>
            <w:rtl/>
          </w:rPr>
          <w:t>10(א)</w:t>
        </w:r>
      </w:hyperlink>
      <w:r w:rsidRPr="00FA4A41">
        <w:rPr>
          <w:rFonts w:ascii="FrankRuehl" w:hAnsi="FrankRuehl" w:cs="FrankRuehl"/>
          <w:rtl/>
        </w:rPr>
        <w:t xml:space="preserve">, </w:t>
      </w:r>
      <w:hyperlink r:id="rId18" w:history="1">
        <w:r w:rsidRPr="00FA4A41">
          <w:rPr>
            <w:rFonts w:ascii="FrankRuehl" w:hAnsi="FrankRuehl" w:cs="FrankRuehl"/>
            <w:color w:val="0000FF"/>
            <w:rtl/>
          </w:rPr>
          <w:t>39א</w:t>
        </w:r>
      </w:hyperlink>
      <w:r w:rsidRPr="00FA4A41">
        <w:rPr>
          <w:rFonts w:ascii="FrankRuehl" w:hAnsi="FrankRuehl" w:cs="FrankRuehl"/>
          <w:rtl/>
        </w:rPr>
        <w:t xml:space="preserve">, </w:t>
      </w:r>
      <w:hyperlink r:id="rId19" w:history="1">
        <w:r w:rsidRPr="00FA4A41">
          <w:rPr>
            <w:rFonts w:ascii="FrankRuehl" w:hAnsi="FrankRuehl" w:cs="FrankRuehl"/>
            <w:color w:val="0000FF"/>
            <w:rtl/>
          </w:rPr>
          <w:t>62(3)</w:t>
        </w:r>
      </w:hyperlink>
    </w:p>
    <w:p w14:paraId="70FF6845" w14:textId="77777777" w:rsidR="00FA4A41" w:rsidRPr="00FA4A41" w:rsidRDefault="00FA4A41" w:rsidP="00FA4A41">
      <w:pPr>
        <w:rPr>
          <w:rFonts w:ascii="Arial" w:hAnsi="Arial"/>
          <w:sz w:val="18"/>
          <w:szCs w:val="18"/>
          <w:rtl/>
        </w:rPr>
      </w:pPr>
      <w:bookmarkStart w:id="4" w:name="LawTable_End"/>
      <w:bookmarkEnd w:id="4"/>
    </w:p>
    <w:p w14:paraId="11500832" w14:textId="77777777" w:rsidR="00614E35" w:rsidRPr="00C346DE" w:rsidRDefault="00614E35" w:rsidP="00C346DE">
      <w:pPr>
        <w:rPr>
          <w:rFonts w:ascii="Arial" w:hAnsi="Arial"/>
          <w:sz w:val="18"/>
          <w:szCs w:val="18"/>
          <w:rtl/>
        </w:rPr>
      </w:pPr>
    </w:p>
    <w:tbl>
      <w:tblPr>
        <w:bidiVisual/>
        <w:tblW w:w="8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1"/>
      </w:tblGrid>
      <w:tr w:rsidR="00614E35" w:rsidRPr="00713AE5" w14:paraId="3D80AB63" w14:textId="77777777" w:rsidTr="00614E35">
        <w:trPr>
          <w:trHeight w:val="355"/>
          <w:jc w:val="center"/>
        </w:trPr>
        <w:tc>
          <w:tcPr>
            <w:tcW w:w="8361" w:type="dxa"/>
            <w:tcBorders>
              <w:top w:val="nil"/>
              <w:left w:val="nil"/>
              <w:bottom w:val="nil"/>
              <w:right w:val="nil"/>
            </w:tcBorders>
            <w:shd w:val="clear" w:color="auto" w:fill="auto"/>
          </w:tcPr>
          <w:p w14:paraId="465713A5" w14:textId="77777777" w:rsidR="00981D41" w:rsidRPr="00713AE5" w:rsidRDefault="00981D41" w:rsidP="00981D41">
            <w:pPr>
              <w:jc w:val="center"/>
              <w:rPr>
                <w:rFonts w:ascii="David" w:hAnsi="David"/>
                <w:b/>
                <w:bCs/>
                <w:sz w:val="32"/>
                <w:szCs w:val="32"/>
                <w:u w:val="single"/>
                <w:rtl/>
              </w:rPr>
            </w:pPr>
            <w:bookmarkStart w:id="5" w:name="PsakDin" w:colFirst="0" w:colLast="0"/>
            <w:bookmarkEnd w:id="0"/>
            <w:r w:rsidRPr="00713AE5">
              <w:rPr>
                <w:rFonts w:ascii="David" w:hAnsi="David"/>
                <w:b/>
                <w:bCs/>
                <w:sz w:val="32"/>
                <w:szCs w:val="32"/>
                <w:u w:val="single"/>
                <w:rtl/>
              </w:rPr>
              <w:t>גזר דין</w:t>
            </w:r>
          </w:p>
          <w:p w14:paraId="15998499" w14:textId="77777777" w:rsidR="00614E35" w:rsidRPr="00713AE5" w:rsidRDefault="00614E35" w:rsidP="00981D41">
            <w:pPr>
              <w:jc w:val="center"/>
              <w:rPr>
                <w:rFonts w:ascii="David" w:hAnsi="David"/>
                <w:bCs/>
                <w:sz w:val="32"/>
                <w:szCs w:val="32"/>
                <w:u w:val="single"/>
                <w:rtl/>
              </w:rPr>
            </w:pPr>
          </w:p>
        </w:tc>
      </w:tr>
      <w:bookmarkEnd w:id="5"/>
    </w:tbl>
    <w:p w14:paraId="0C3BCB96" w14:textId="77777777" w:rsidR="00614E35" w:rsidRPr="00713AE5" w:rsidRDefault="00614E35" w:rsidP="00614E35">
      <w:pPr>
        <w:rPr>
          <w:rFonts w:ascii="Arial" w:hAnsi="Arial"/>
          <w:b/>
          <w:bCs/>
          <w:sz w:val="18"/>
          <w:szCs w:val="18"/>
          <w:rtl/>
        </w:rPr>
      </w:pPr>
    </w:p>
    <w:p w14:paraId="6CFDEC11" w14:textId="77777777" w:rsidR="00614E35" w:rsidRPr="00713AE5" w:rsidRDefault="00614E35" w:rsidP="00614E35">
      <w:pPr>
        <w:spacing w:line="360" w:lineRule="auto"/>
        <w:jc w:val="both"/>
        <w:rPr>
          <w:rFonts w:ascii="David" w:hAnsi="David"/>
          <w:b/>
          <w:bCs/>
          <w:u w:val="single"/>
          <w:rtl/>
        </w:rPr>
      </w:pPr>
      <w:r w:rsidRPr="00713AE5">
        <w:rPr>
          <w:rFonts w:ascii="David" w:hAnsi="David"/>
          <w:b/>
          <w:bCs/>
          <w:u w:val="single"/>
          <w:rtl/>
        </w:rPr>
        <w:t xml:space="preserve">כתב אישום </w:t>
      </w:r>
    </w:p>
    <w:p w14:paraId="64563951" w14:textId="77777777" w:rsidR="00614E35" w:rsidRPr="00713AE5" w:rsidRDefault="00614E35" w:rsidP="00614E35">
      <w:pPr>
        <w:spacing w:line="360" w:lineRule="auto"/>
        <w:ind w:left="720" w:hanging="720"/>
        <w:contextualSpacing/>
        <w:jc w:val="both"/>
        <w:rPr>
          <w:rFonts w:ascii="David" w:hAnsi="David"/>
        </w:rPr>
      </w:pPr>
      <w:r w:rsidRPr="00713AE5">
        <w:rPr>
          <w:rFonts w:ascii="David" w:hAnsi="David"/>
          <w:b/>
          <w:bCs/>
          <w:rtl/>
        </w:rPr>
        <w:t>1.</w:t>
      </w:r>
      <w:r w:rsidRPr="00713AE5">
        <w:rPr>
          <w:rFonts w:ascii="David" w:hAnsi="David"/>
          <w:rtl/>
        </w:rPr>
        <w:t xml:space="preserve"> </w:t>
      </w:r>
      <w:r w:rsidRPr="00713AE5">
        <w:rPr>
          <w:rFonts w:ascii="David" w:hAnsi="David"/>
          <w:rtl/>
        </w:rPr>
        <w:tab/>
      </w:r>
      <w:bookmarkStart w:id="6" w:name="ABSTRACT_START"/>
      <w:bookmarkEnd w:id="6"/>
      <w:r w:rsidRPr="00713AE5">
        <w:rPr>
          <w:rFonts w:ascii="David" w:hAnsi="David"/>
          <w:rtl/>
        </w:rPr>
        <w:t xml:space="preserve">הנאשם הודה והורשע במסגרת הסדר טיעון בביצוע עבירות בנשק (נשיאה והובלה), לפי </w:t>
      </w:r>
      <w:hyperlink r:id="rId20" w:history="1">
        <w:r w:rsidR="00713AE5" w:rsidRPr="00713AE5">
          <w:rPr>
            <w:rStyle w:val="Hyperlink"/>
            <w:rFonts w:ascii="David" w:hAnsi="David"/>
            <w:b/>
            <w:bCs/>
            <w:rtl/>
          </w:rPr>
          <w:t>סעיף 144(ב)</w:t>
        </w:r>
      </w:hyperlink>
      <w:r w:rsidRPr="00713AE5">
        <w:rPr>
          <w:rFonts w:ascii="David" w:hAnsi="David"/>
          <w:b/>
          <w:bCs/>
          <w:rtl/>
        </w:rPr>
        <w:t xml:space="preserve"> רישא ל</w:t>
      </w:r>
      <w:hyperlink r:id="rId21" w:history="1">
        <w:r w:rsidR="00981D41" w:rsidRPr="00713AE5">
          <w:rPr>
            <w:rFonts w:ascii="David" w:hAnsi="David"/>
            <w:b/>
            <w:bCs/>
            <w:color w:val="0000FF"/>
            <w:u w:val="single"/>
            <w:rtl/>
          </w:rPr>
          <w:t>חוק העונשין</w:t>
        </w:r>
      </w:hyperlink>
      <w:r w:rsidRPr="00713AE5">
        <w:rPr>
          <w:rFonts w:ascii="David" w:hAnsi="David"/>
          <w:b/>
          <w:bCs/>
          <w:rtl/>
        </w:rPr>
        <w:t xml:space="preserve">, תשל"ז-1977 </w:t>
      </w:r>
      <w:r w:rsidRPr="00713AE5">
        <w:rPr>
          <w:rFonts w:ascii="David" w:hAnsi="David"/>
          <w:rtl/>
        </w:rPr>
        <w:t xml:space="preserve">(להלן: </w:t>
      </w:r>
      <w:r w:rsidRPr="00713AE5">
        <w:rPr>
          <w:rFonts w:ascii="David" w:hAnsi="David"/>
          <w:b/>
          <w:bCs/>
          <w:rtl/>
        </w:rPr>
        <w:t>"חוק העונשין"</w:t>
      </w:r>
      <w:r w:rsidRPr="00713AE5">
        <w:rPr>
          <w:rFonts w:ascii="David" w:hAnsi="David"/>
          <w:rtl/>
        </w:rPr>
        <w:t xml:space="preserve">), מעשה פזיזות ורשלנות, לפי </w:t>
      </w:r>
      <w:hyperlink r:id="rId22" w:history="1">
        <w:r w:rsidR="00713AE5" w:rsidRPr="00713AE5">
          <w:rPr>
            <w:rStyle w:val="Hyperlink"/>
            <w:rFonts w:ascii="David" w:hAnsi="David"/>
            <w:b/>
            <w:bCs/>
            <w:rtl/>
          </w:rPr>
          <w:t>סעיף 338(א)(1)</w:t>
        </w:r>
      </w:hyperlink>
      <w:r w:rsidRPr="00713AE5">
        <w:rPr>
          <w:rFonts w:ascii="David" w:hAnsi="David"/>
          <w:b/>
          <w:bCs/>
          <w:rtl/>
        </w:rPr>
        <w:t xml:space="preserve"> לחוק העונשין,</w:t>
      </w:r>
      <w:r w:rsidRPr="00713AE5">
        <w:rPr>
          <w:rFonts w:ascii="David" w:hAnsi="David"/>
          <w:rtl/>
        </w:rPr>
        <w:t xml:space="preserve"> נהיגה בשכרות לפי </w:t>
      </w:r>
      <w:hyperlink r:id="rId23" w:history="1">
        <w:r w:rsidR="00713AE5" w:rsidRPr="00713AE5">
          <w:rPr>
            <w:rStyle w:val="Hyperlink"/>
            <w:rFonts w:ascii="David" w:hAnsi="David"/>
            <w:b/>
            <w:bCs/>
            <w:rtl/>
          </w:rPr>
          <w:t>סעיף 62(3)</w:t>
        </w:r>
      </w:hyperlink>
      <w:r w:rsidRPr="00713AE5">
        <w:rPr>
          <w:rFonts w:ascii="David" w:hAnsi="David"/>
          <w:b/>
          <w:bCs/>
          <w:rtl/>
        </w:rPr>
        <w:t xml:space="preserve"> ל</w:t>
      </w:r>
      <w:hyperlink r:id="rId24" w:history="1">
        <w:r w:rsidR="00981D41" w:rsidRPr="00713AE5">
          <w:rPr>
            <w:rFonts w:ascii="David" w:hAnsi="David"/>
            <w:b/>
            <w:bCs/>
            <w:color w:val="0000FF"/>
            <w:u w:val="single"/>
            <w:rtl/>
          </w:rPr>
          <w:t>פקודת התעבורה</w:t>
        </w:r>
      </w:hyperlink>
      <w:r w:rsidRPr="00713AE5">
        <w:rPr>
          <w:rFonts w:ascii="David" w:hAnsi="David"/>
          <w:b/>
          <w:bCs/>
          <w:rtl/>
        </w:rPr>
        <w:t xml:space="preserve"> [נוסח חדש] תשכ"א-1961</w:t>
      </w:r>
      <w:r w:rsidRPr="00713AE5">
        <w:rPr>
          <w:rFonts w:ascii="David" w:hAnsi="David"/>
          <w:rtl/>
        </w:rPr>
        <w:t xml:space="preserve"> (להלן: </w:t>
      </w:r>
      <w:r w:rsidRPr="00713AE5">
        <w:rPr>
          <w:rFonts w:ascii="David" w:hAnsi="David"/>
          <w:b/>
          <w:bCs/>
          <w:rtl/>
        </w:rPr>
        <w:t>"פקודת התעבורה"</w:t>
      </w:r>
      <w:r w:rsidRPr="00713AE5">
        <w:rPr>
          <w:rFonts w:ascii="David" w:hAnsi="David"/>
          <w:rtl/>
        </w:rPr>
        <w:t xml:space="preserve">) ונהיגה ללא רישיון, לפי </w:t>
      </w:r>
      <w:hyperlink r:id="rId25" w:history="1">
        <w:r w:rsidR="00713AE5" w:rsidRPr="00713AE5">
          <w:rPr>
            <w:rStyle w:val="Hyperlink"/>
            <w:rFonts w:ascii="David" w:hAnsi="David"/>
            <w:b/>
            <w:bCs/>
            <w:rtl/>
          </w:rPr>
          <w:t>סעיף 10(א)</w:t>
        </w:r>
      </w:hyperlink>
      <w:r w:rsidRPr="00713AE5">
        <w:rPr>
          <w:rFonts w:ascii="David" w:hAnsi="David"/>
          <w:b/>
          <w:bCs/>
          <w:rtl/>
        </w:rPr>
        <w:t xml:space="preserve"> לפקודת התעבורה.</w:t>
      </w:r>
    </w:p>
    <w:p w14:paraId="5AE1BD0E" w14:textId="77777777" w:rsidR="00614E35" w:rsidRPr="00713AE5" w:rsidRDefault="00614E35" w:rsidP="00614E35">
      <w:pPr>
        <w:spacing w:line="360" w:lineRule="auto"/>
        <w:jc w:val="both"/>
        <w:rPr>
          <w:rFonts w:ascii="David" w:hAnsi="David"/>
          <w:b/>
          <w:bCs/>
        </w:rPr>
      </w:pPr>
      <w:bookmarkStart w:id="7" w:name="ABSTRACT_END"/>
      <w:bookmarkEnd w:id="7"/>
    </w:p>
    <w:p w14:paraId="211E99C1"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מכתב האישום המתוקן עולה כי עובר ליום 31/01/22 הנאשם החזיק ברשותו תת מקלע מאולתר ואקדח חצי אוטומטי אשר יורים ובכוחם להמית אדם (להלן: </w:t>
      </w:r>
      <w:r w:rsidRPr="00713AE5">
        <w:rPr>
          <w:rFonts w:ascii="David" w:hAnsi="David"/>
          <w:b/>
          <w:bCs/>
          <w:rtl/>
        </w:rPr>
        <w:t>"הנשקים"</w:t>
      </w:r>
      <w:r w:rsidRPr="00713AE5">
        <w:rPr>
          <w:rFonts w:ascii="David" w:hAnsi="David"/>
          <w:rtl/>
        </w:rPr>
        <w:t xml:space="preserve">). </w:t>
      </w:r>
    </w:p>
    <w:p w14:paraId="2DFD4885" w14:textId="77777777" w:rsidR="00614E35" w:rsidRPr="00713AE5" w:rsidRDefault="00614E35" w:rsidP="00614E35">
      <w:pPr>
        <w:spacing w:line="360" w:lineRule="auto"/>
        <w:ind w:left="720"/>
        <w:contextualSpacing/>
        <w:jc w:val="both"/>
        <w:rPr>
          <w:rFonts w:ascii="David" w:hAnsi="David"/>
        </w:rPr>
      </w:pPr>
      <w:r w:rsidRPr="00713AE5">
        <w:rPr>
          <w:rFonts w:ascii="David" w:hAnsi="David"/>
          <w:rtl/>
        </w:rPr>
        <w:t>עוד עולה כי סמוך לפני יום 01/02/22 בשעה 01:25, שתה הנאשם משקאות אלכוהוליים ובעודו שיכור נהג בכביש 80 כשהוא מוביל את הנשקים ברכב, אשר הורד מהכביש, וכשברכב נמצא נוסע נוסף במושב שליד הנהג. כל זאת כשהנאשם אף ללא רישיון נהיגה תקף.</w:t>
      </w:r>
    </w:p>
    <w:p w14:paraId="68D3F420" w14:textId="77777777" w:rsidR="00614E35" w:rsidRPr="00713AE5" w:rsidRDefault="00614E35" w:rsidP="00614E35">
      <w:pPr>
        <w:spacing w:line="360" w:lineRule="auto"/>
        <w:ind w:left="720"/>
        <w:contextualSpacing/>
        <w:jc w:val="both"/>
        <w:rPr>
          <w:rFonts w:ascii="David" w:hAnsi="David"/>
        </w:rPr>
      </w:pPr>
      <w:r w:rsidRPr="00713AE5">
        <w:rPr>
          <w:rFonts w:ascii="David" w:hAnsi="David"/>
          <w:rtl/>
        </w:rPr>
        <w:lastRenderedPageBreak/>
        <w:t xml:space="preserve">בהמשך, סימן שוטר לנאשם לעצור, אך הנאשם המשיך לנסוע, תוך שהגביר את מהירות נסיעתו, ועבר מנתיב לנתיב. כל זאת עת ניידת משטרה שהאורות הכחולים שלה דולקים נוסעת אחריו וכורזת לו לעצור. </w:t>
      </w:r>
    </w:p>
    <w:p w14:paraId="2649595A" w14:textId="77777777" w:rsidR="00614E35" w:rsidRPr="00713AE5" w:rsidRDefault="00614E35" w:rsidP="00614E35">
      <w:pPr>
        <w:spacing w:line="360" w:lineRule="auto"/>
        <w:ind w:left="720"/>
        <w:contextualSpacing/>
        <w:jc w:val="both"/>
        <w:rPr>
          <w:rFonts w:ascii="David" w:hAnsi="David"/>
        </w:rPr>
      </w:pPr>
      <w:r w:rsidRPr="00713AE5">
        <w:rPr>
          <w:rFonts w:ascii="David" w:hAnsi="David"/>
          <w:rtl/>
        </w:rPr>
        <w:t xml:space="preserve">משהגיע הנאשם לצומת מרומזר - חצה הנאשם את הצומת על אף רמזור אדום שדלק, פנה לכיוון שבט אבו קרינאת, כיבה את אורות הרכב והמשיך בנסיעה מהירה בשטח עפר עד אשר עצר את הרכב והמשיך בבריחה רגלית, כשהוא אוחז בידיו את הנשקים והאחר בורח עמו. </w:t>
      </w:r>
    </w:p>
    <w:p w14:paraId="66F5907C" w14:textId="77777777" w:rsidR="00614E35" w:rsidRPr="00713AE5" w:rsidRDefault="00614E35" w:rsidP="00614E35">
      <w:pPr>
        <w:spacing w:line="360" w:lineRule="auto"/>
        <w:ind w:firstLine="720"/>
        <w:contextualSpacing/>
        <w:jc w:val="both"/>
        <w:rPr>
          <w:rFonts w:ascii="David" w:hAnsi="David"/>
          <w:rtl/>
        </w:rPr>
      </w:pPr>
      <w:r w:rsidRPr="00713AE5">
        <w:rPr>
          <w:rFonts w:ascii="David" w:hAnsi="David"/>
          <w:rtl/>
        </w:rPr>
        <w:t xml:space="preserve">רק לאחר מרדף נעצר הנאשם על ידי השוטרים. </w:t>
      </w:r>
    </w:p>
    <w:p w14:paraId="75B4C720" w14:textId="77777777" w:rsidR="00614E35" w:rsidRPr="00713AE5" w:rsidRDefault="00614E35" w:rsidP="00614E35">
      <w:pPr>
        <w:spacing w:line="360" w:lineRule="auto"/>
        <w:jc w:val="both"/>
        <w:rPr>
          <w:rFonts w:ascii="David" w:hAnsi="David"/>
          <w:rtl/>
        </w:rPr>
      </w:pPr>
    </w:p>
    <w:p w14:paraId="33480DE9" w14:textId="77777777" w:rsidR="00614E35" w:rsidRPr="00713AE5" w:rsidRDefault="00614E35" w:rsidP="00614E35">
      <w:pPr>
        <w:spacing w:line="360" w:lineRule="auto"/>
        <w:jc w:val="both"/>
        <w:rPr>
          <w:rFonts w:ascii="David" w:hAnsi="David"/>
          <w:b/>
          <w:bCs/>
          <w:u w:val="single"/>
          <w:rtl/>
        </w:rPr>
      </w:pPr>
      <w:r w:rsidRPr="00713AE5">
        <w:rPr>
          <w:rFonts w:ascii="David" w:hAnsi="David"/>
          <w:b/>
          <w:bCs/>
          <w:u w:val="single"/>
          <w:rtl/>
        </w:rPr>
        <w:t>הסדר הטיעון</w:t>
      </w:r>
    </w:p>
    <w:p w14:paraId="6E4A8413" w14:textId="77777777" w:rsidR="00614E35" w:rsidRPr="00713AE5" w:rsidRDefault="00614E35" w:rsidP="00614E35">
      <w:pPr>
        <w:spacing w:line="360" w:lineRule="auto"/>
        <w:ind w:left="720" w:hanging="720"/>
        <w:jc w:val="both"/>
        <w:rPr>
          <w:rFonts w:ascii="David" w:hAnsi="David"/>
          <w:b/>
          <w:bCs/>
          <w:u w:val="single"/>
          <w:rtl/>
        </w:rPr>
      </w:pPr>
      <w:r w:rsidRPr="00713AE5">
        <w:rPr>
          <w:rFonts w:ascii="David" w:hAnsi="David"/>
          <w:b/>
          <w:bCs/>
          <w:rtl/>
        </w:rPr>
        <w:t>2.</w:t>
      </w:r>
      <w:r w:rsidRPr="00713AE5">
        <w:rPr>
          <w:rFonts w:ascii="David" w:hAnsi="David"/>
          <w:rtl/>
        </w:rPr>
        <w:t xml:space="preserve"> </w:t>
      </w:r>
      <w:r w:rsidRPr="00713AE5">
        <w:rPr>
          <w:rFonts w:ascii="David" w:hAnsi="David"/>
          <w:rtl/>
        </w:rPr>
        <w:tab/>
        <w:t>ביום 08/06/22 הוצג הסדר טיעון במסגרתו, כאמור, הודה והורשע הנאשם בכתב האישום המתוקן, וזאת מבלי שהוצגו הסכמות לשאלת העונש.</w:t>
      </w:r>
    </w:p>
    <w:p w14:paraId="3BB9C457"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לבקשת ב"כ הנאשם בטרם טיעון לעונש, הופנה הנאשם לקבלת תסקיר מטעם שירות המבחן. המאשימה לא התנגדה להפניית הנאשם לקבלת תסקיר אך הבהירה כי איננה מחויבת להמלצתו. </w:t>
      </w:r>
    </w:p>
    <w:p w14:paraId="60AE05C2" w14:textId="77777777" w:rsidR="00614E35" w:rsidRPr="00713AE5" w:rsidRDefault="00614E35" w:rsidP="00614E35">
      <w:pPr>
        <w:spacing w:line="360" w:lineRule="auto"/>
        <w:contextualSpacing/>
        <w:jc w:val="both"/>
        <w:rPr>
          <w:rFonts w:ascii="David" w:hAnsi="David"/>
          <w:rtl/>
        </w:rPr>
      </w:pPr>
    </w:p>
    <w:p w14:paraId="0F1FE09C" w14:textId="77777777" w:rsidR="00614E35" w:rsidRPr="00713AE5" w:rsidRDefault="00614E35" w:rsidP="00614E35">
      <w:pPr>
        <w:spacing w:line="360" w:lineRule="auto"/>
        <w:jc w:val="both"/>
        <w:rPr>
          <w:rFonts w:ascii="David" w:hAnsi="David"/>
          <w:b/>
          <w:bCs/>
          <w:u w:val="single"/>
          <w:rtl/>
        </w:rPr>
      </w:pPr>
      <w:r w:rsidRPr="00713AE5">
        <w:rPr>
          <w:rFonts w:ascii="David" w:hAnsi="David"/>
          <w:b/>
          <w:bCs/>
          <w:u w:val="single"/>
          <w:rtl/>
        </w:rPr>
        <w:t>תסקיר שירות המבחן</w:t>
      </w:r>
    </w:p>
    <w:p w14:paraId="54F8812F" w14:textId="77777777" w:rsidR="00614E35" w:rsidRPr="00713AE5" w:rsidRDefault="00614E35" w:rsidP="00614E35">
      <w:pPr>
        <w:spacing w:line="360" w:lineRule="auto"/>
        <w:ind w:left="720" w:hanging="720"/>
        <w:contextualSpacing/>
        <w:jc w:val="both"/>
        <w:rPr>
          <w:rFonts w:ascii="David" w:hAnsi="David"/>
        </w:rPr>
      </w:pPr>
      <w:r w:rsidRPr="00713AE5">
        <w:rPr>
          <w:rFonts w:ascii="David" w:hAnsi="David"/>
          <w:b/>
          <w:bCs/>
          <w:rtl/>
        </w:rPr>
        <w:t xml:space="preserve">3. </w:t>
      </w:r>
      <w:r w:rsidRPr="00713AE5">
        <w:rPr>
          <w:rFonts w:ascii="David" w:hAnsi="David"/>
          <w:rtl/>
        </w:rPr>
        <w:tab/>
        <w:t xml:space="preserve">מתסקיר שירות המבחן עולה כי הנאשם, כבן 39, רווק המתגורר בישוב לא מוכר בנגב, השלים 10 שנות לימוד, נשר בגיל 17 ממסגרת חינוכית ומאז עבד במקומות שונים בתחום עבודות העפר. </w:t>
      </w:r>
    </w:p>
    <w:p w14:paraId="5C80D0F9" w14:textId="77777777" w:rsidR="00614E35" w:rsidRPr="00713AE5" w:rsidRDefault="00614E35" w:rsidP="00614E35">
      <w:pPr>
        <w:spacing w:line="360" w:lineRule="auto"/>
        <w:ind w:firstLine="720"/>
        <w:contextualSpacing/>
        <w:jc w:val="both"/>
        <w:rPr>
          <w:rFonts w:ascii="David" w:hAnsi="David"/>
        </w:rPr>
      </w:pPr>
      <w:r w:rsidRPr="00713AE5">
        <w:rPr>
          <w:rFonts w:ascii="David" w:hAnsi="David"/>
          <w:rtl/>
        </w:rPr>
        <w:t xml:space="preserve">לנאשם הרשעות קודמות, הן פליליות והן מתחום התעבורה. </w:t>
      </w:r>
    </w:p>
    <w:p w14:paraId="54DDC5AF" w14:textId="77777777" w:rsidR="00614E35" w:rsidRPr="00713AE5" w:rsidRDefault="00614E35" w:rsidP="00614E35">
      <w:pPr>
        <w:spacing w:line="360" w:lineRule="auto"/>
        <w:contextualSpacing/>
        <w:jc w:val="both"/>
        <w:rPr>
          <w:rFonts w:ascii="David" w:hAnsi="David"/>
        </w:rPr>
      </w:pPr>
    </w:p>
    <w:p w14:paraId="5AF5B39F" w14:textId="77777777" w:rsidR="00614E35" w:rsidRPr="00713AE5" w:rsidRDefault="00614E35" w:rsidP="00614E35">
      <w:pPr>
        <w:spacing w:line="360" w:lineRule="auto"/>
        <w:ind w:left="720"/>
        <w:contextualSpacing/>
        <w:jc w:val="both"/>
        <w:rPr>
          <w:rFonts w:ascii="David" w:hAnsi="David"/>
          <w:rtl/>
        </w:rPr>
      </w:pPr>
      <w:r w:rsidRPr="00713AE5">
        <w:rPr>
          <w:rFonts w:ascii="David" w:hAnsi="David"/>
          <w:rtl/>
        </w:rPr>
        <w:t>באשר לעבירה, טען כי היה תחת השפעת אלכוהול ועל כן איננו זוכר את האירוע בבהירות. עם זאת, ידע לומר כי הוביל את הנשקים לאחר שהוצע לו כסף תמורת המעשה על ידי מכר. כמו כן, טען כי טרם מעצרו החל בהליך הוצאת רישיון ועבר את מבחן התיאוריה, וכי מבין את חומרת מעשה הובלת הנשק שיכול היה להוביל לפגיעה באחר.</w:t>
      </w:r>
    </w:p>
    <w:p w14:paraId="1EF8CDEE" w14:textId="77777777" w:rsidR="00614E35" w:rsidRPr="00713AE5" w:rsidRDefault="00614E35" w:rsidP="00614E35">
      <w:pPr>
        <w:spacing w:line="360" w:lineRule="auto"/>
        <w:ind w:left="720"/>
        <w:contextualSpacing/>
        <w:jc w:val="both"/>
        <w:rPr>
          <w:rFonts w:ascii="David" w:hAnsi="David"/>
        </w:rPr>
      </w:pPr>
      <w:r w:rsidRPr="00713AE5">
        <w:rPr>
          <w:rFonts w:ascii="David" w:hAnsi="David"/>
          <w:rtl/>
        </w:rPr>
        <w:t xml:space="preserve">באשר לשתיית אלכוהול שיתף כי מגיל 19 עושה שימוש באלכוהול. בתחילה בשל מניעים חברתיים אך בהדרגה פיתח תלות בשתייה, וכן כי תחת השפעת אלכוהול לא מצליח להפעיל שיקול דעת. בחודשים שלפני המעצר חלה התדרדרות במצבו ההתמכרותי והוא תיאר שנהג לשתות לאורך כל שעות היום. בשל כך, עתר להשתלב בטיפול ייעודי בתחום ההתמכרות, וזאת לאחר שהשתלב בהליך טיפולי בבית הסוהר. מדיווח גורמי שב"ס עולה כי הנאשם נשמע לכללים ומנהל סדר יום תקין, משולב בקבוצות טיפוליות, לוקח בהן חלק פעיל ומשתף מעולמו הפנימי. זאת לצד טיפול פרטני אחת לשבוע. </w:t>
      </w:r>
    </w:p>
    <w:p w14:paraId="4A00DDE8" w14:textId="77777777" w:rsidR="00614E35" w:rsidRPr="00713AE5" w:rsidRDefault="00614E35" w:rsidP="00614E35">
      <w:pPr>
        <w:spacing w:line="360" w:lineRule="auto"/>
        <w:contextualSpacing/>
        <w:jc w:val="both"/>
        <w:rPr>
          <w:rFonts w:ascii="David" w:hAnsi="David"/>
          <w:rtl/>
        </w:rPr>
      </w:pPr>
    </w:p>
    <w:p w14:paraId="1E4DDAD6" w14:textId="77777777" w:rsidR="00614E35" w:rsidRPr="00713AE5" w:rsidRDefault="00614E35" w:rsidP="00614E35">
      <w:pPr>
        <w:spacing w:line="360" w:lineRule="auto"/>
        <w:ind w:left="720"/>
        <w:contextualSpacing/>
        <w:jc w:val="both"/>
        <w:rPr>
          <w:rFonts w:ascii="David" w:hAnsi="David"/>
          <w:rtl/>
        </w:rPr>
      </w:pPr>
      <w:r w:rsidRPr="00713AE5">
        <w:rPr>
          <w:rFonts w:ascii="David" w:hAnsi="David"/>
          <w:rtl/>
        </w:rPr>
        <w:t xml:space="preserve">לאור עמדת הנאשם והבעת המוטיבציה מצדו לטיפול במסגרת קהילה טיפולית סגורה – הופנה הנאשם לראיון קבלה לקהילה טיפולית ונמצא מתאים לטיפול בקהילה. </w:t>
      </w:r>
    </w:p>
    <w:p w14:paraId="2BD0F725" w14:textId="77777777" w:rsidR="00614E35" w:rsidRPr="00713AE5" w:rsidRDefault="00614E35" w:rsidP="00614E35">
      <w:pPr>
        <w:spacing w:line="360" w:lineRule="auto"/>
        <w:contextualSpacing/>
        <w:jc w:val="both"/>
        <w:rPr>
          <w:rFonts w:ascii="David" w:hAnsi="David"/>
          <w:rtl/>
        </w:rPr>
      </w:pPr>
    </w:p>
    <w:p w14:paraId="0AA61126" w14:textId="77777777" w:rsidR="00614E35" w:rsidRPr="00713AE5" w:rsidRDefault="00614E35" w:rsidP="00614E35">
      <w:pPr>
        <w:spacing w:line="360" w:lineRule="auto"/>
        <w:ind w:left="720"/>
        <w:contextualSpacing/>
        <w:jc w:val="both"/>
        <w:rPr>
          <w:rFonts w:ascii="David" w:hAnsi="David"/>
          <w:rtl/>
        </w:rPr>
      </w:pPr>
      <w:r w:rsidRPr="00713AE5">
        <w:rPr>
          <w:rFonts w:ascii="David" w:hAnsi="David"/>
          <w:rtl/>
        </w:rPr>
        <w:lastRenderedPageBreak/>
        <w:t xml:space="preserve">בשים לב למפורט, לאור התרשמות שירות המבחן מהבנה לגבי מצבו ומשאיפות נורמטיביות ולאחר שהתרשם אף מהערב המגבה - המליץ שירות המבחן לאפשר שילוב הנאשם בקהילה טיפולית. </w:t>
      </w:r>
    </w:p>
    <w:p w14:paraId="1FEC95F4" w14:textId="77777777" w:rsidR="00614E35" w:rsidRPr="00713AE5" w:rsidRDefault="00614E35" w:rsidP="00614E35">
      <w:pPr>
        <w:spacing w:line="360" w:lineRule="auto"/>
        <w:jc w:val="both"/>
        <w:rPr>
          <w:rFonts w:ascii="David" w:hAnsi="David"/>
          <w:rtl/>
        </w:rPr>
      </w:pPr>
    </w:p>
    <w:p w14:paraId="52417F7E" w14:textId="77777777" w:rsidR="00614E35" w:rsidRPr="00713AE5" w:rsidRDefault="00614E35" w:rsidP="00614E35">
      <w:pPr>
        <w:spacing w:line="360" w:lineRule="auto"/>
        <w:ind w:left="720" w:hanging="720"/>
        <w:jc w:val="both"/>
        <w:rPr>
          <w:rFonts w:ascii="David" w:hAnsi="David"/>
          <w:rtl/>
        </w:rPr>
      </w:pPr>
      <w:r w:rsidRPr="00713AE5">
        <w:rPr>
          <w:rFonts w:ascii="David" w:hAnsi="David"/>
          <w:b/>
          <w:bCs/>
          <w:rtl/>
        </w:rPr>
        <w:t>4.</w:t>
      </w:r>
      <w:r w:rsidRPr="00713AE5">
        <w:rPr>
          <w:rFonts w:ascii="David" w:hAnsi="David"/>
          <w:rtl/>
        </w:rPr>
        <w:t xml:space="preserve"> </w:t>
      </w:r>
      <w:r w:rsidRPr="00713AE5">
        <w:rPr>
          <w:rFonts w:ascii="David" w:hAnsi="David"/>
          <w:rtl/>
        </w:rPr>
        <w:tab/>
        <w:t>בהחלטתי מיום 30/10/22 קבעתי כי אין מקום לאמץ המלצת שירות המבחן, זאת בשים לב לחומרת העבירות בנסיבות ביצוען ובשים לב אף לעברו הפלילי והתעבורתי של הנאשם אשר מעידים על כך שלא ניתן לאיין מסוכנותו ולשחררו לחלופת מעצר. ערר אשר הוגש על החלטה זו נדחה [</w:t>
      </w:r>
      <w:hyperlink r:id="rId26" w:history="1">
        <w:r w:rsidR="00981D41" w:rsidRPr="00713AE5">
          <w:rPr>
            <w:rFonts w:ascii="David" w:hAnsi="David"/>
            <w:b/>
            <w:bCs/>
            <w:color w:val="0000FF"/>
            <w:u w:val="single"/>
            <w:rtl/>
          </w:rPr>
          <w:t>בש"פ 7622/22</w:t>
        </w:r>
      </w:hyperlink>
      <w:r w:rsidRPr="00713AE5">
        <w:rPr>
          <w:rFonts w:ascii="David" w:hAnsi="David"/>
          <w:rtl/>
        </w:rPr>
        <w:t xml:space="preserve"> </w:t>
      </w:r>
      <w:r w:rsidRPr="00713AE5">
        <w:rPr>
          <w:rFonts w:ascii="David" w:hAnsi="David"/>
          <w:b/>
          <w:bCs/>
          <w:rtl/>
        </w:rPr>
        <w:t xml:space="preserve">איברהים אבו קרינאת נגד מדינת ישראל </w:t>
      </w:r>
      <w:r w:rsidRPr="00713AE5">
        <w:rPr>
          <w:rFonts w:ascii="David" w:hAnsi="David"/>
          <w:rtl/>
        </w:rPr>
        <w:t xml:space="preserve">(16/11/22)]. </w:t>
      </w:r>
    </w:p>
    <w:p w14:paraId="35C4D40C" w14:textId="77777777" w:rsidR="00614E35" w:rsidRPr="00713AE5" w:rsidRDefault="00614E35" w:rsidP="00614E35">
      <w:pPr>
        <w:spacing w:line="360" w:lineRule="auto"/>
        <w:jc w:val="both"/>
        <w:rPr>
          <w:rFonts w:ascii="David" w:hAnsi="David"/>
          <w:b/>
          <w:bCs/>
          <w:u w:val="single"/>
        </w:rPr>
      </w:pPr>
    </w:p>
    <w:p w14:paraId="5B07B0F1" w14:textId="77777777" w:rsidR="00614E35" w:rsidRPr="00713AE5" w:rsidRDefault="00614E35" w:rsidP="00614E35">
      <w:pPr>
        <w:spacing w:line="360" w:lineRule="auto"/>
        <w:jc w:val="both"/>
        <w:rPr>
          <w:rFonts w:ascii="David" w:hAnsi="David"/>
          <w:b/>
          <w:bCs/>
          <w:u w:val="single"/>
          <w:rtl/>
        </w:rPr>
      </w:pPr>
    </w:p>
    <w:p w14:paraId="511BEC8F" w14:textId="77777777" w:rsidR="00614E35" w:rsidRPr="00713AE5" w:rsidRDefault="00614E35" w:rsidP="00614E35">
      <w:pPr>
        <w:spacing w:line="360" w:lineRule="auto"/>
        <w:jc w:val="both"/>
        <w:rPr>
          <w:rFonts w:ascii="David" w:hAnsi="David"/>
          <w:b/>
          <w:bCs/>
          <w:u w:val="single"/>
          <w:rtl/>
        </w:rPr>
      </w:pPr>
      <w:r w:rsidRPr="00713AE5">
        <w:rPr>
          <w:rFonts w:ascii="David" w:hAnsi="David"/>
          <w:b/>
          <w:bCs/>
          <w:u w:val="single"/>
          <w:rtl/>
        </w:rPr>
        <w:t>טיעוני הצדדים לעונש</w:t>
      </w:r>
    </w:p>
    <w:p w14:paraId="374F1014" w14:textId="77777777" w:rsidR="00614E35" w:rsidRPr="00713AE5" w:rsidRDefault="00614E35" w:rsidP="00614E35">
      <w:pPr>
        <w:spacing w:line="360" w:lineRule="auto"/>
        <w:ind w:left="720" w:hanging="720"/>
        <w:jc w:val="both"/>
        <w:rPr>
          <w:rFonts w:ascii="David" w:hAnsi="David"/>
          <w:rtl/>
        </w:rPr>
      </w:pPr>
      <w:r w:rsidRPr="00713AE5">
        <w:rPr>
          <w:rFonts w:ascii="David" w:hAnsi="David"/>
          <w:b/>
          <w:bCs/>
          <w:rtl/>
        </w:rPr>
        <w:t>5.</w:t>
      </w:r>
      <w:r w:rsidRPr="00713AE5">
        <w:rPr>
          <w:rFonts w:ascii="David" w:hAnsi="David"/>
          <w:rtl/>
        </w:rPr>
        <w:t xml:space="preserve"> </w:t>
      </w:r>
      <w:r w:rsidRPr="00713AE5">
        <w:rPr>
          <w:rFonts w:ascii="David" w:hAnsi="David"/>
          <w:rtl/>
        </w:rPr>
        <w:tab/>
        <w:t xml:space="preserve">המאשימה הפנתה בטיעוניה הכתובים לעונש לחומרת העבירות עליהן נותן הנאשם את הדין, ובייחוד לעבירות הנשק אשר להן פוטנציאל פגיעה גבוה ושמחייבים ענישה מרתיעה, ולערכים המוגנים אשר נפגעו כתוצאה מביצוען, ובהם השמירה על שלום הציבור וביטחונו ושמירה על גופו וחייו של אדם, לצד פגיעה בביטחון וברכושם של אנשי מערכת אכיפת החוק והשמירה על שלטון החוק והסדר הציבורי. </w:t>
      </w:r>
    </w:p>
    <w:p w14:paraId="6F2898D8"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לטענת ב"כ המאשימה, במקרה זה הפגיעה בערכים המוגנים היא ברף גבוה עד מאוד, וזאת בשים לב לנסיבות ביצוע העבירות אשר כוללות לא רק הובלה של 2 סוגי נשקים בעלי פוטנציאל קטלני גבוה, אלא אף תוך נהיגה בשכרות, ללא רישיון נהיגה ובאופן מסכן - הן כלפי משתמשי הדרך והן כלפי השוטרים, ולפוטנציאל הנזק הנובע אף מכך. </w:t>
      </w:r>
    </w:p>
    <w:p w14:paraId="037C7E8C" w14:textId="77777777" w:rsidR="00614E35" w:rsidRPr="00713AE5" w:rsidRDefault="00614E35" w:rsidP="00614E35">
      <w:pPr>
        <w:spacing w:line="360" w:lineRule="auto"/>
        <w:jc w:val="both"/>
        <w:rPr>
          <w:rFonts w:ascii="David" w:hAnsi="David"/>
          <w:rtl/>
        </w:rPr>
      </w:pPr>
    </w:p>
    <w:p w14:paraId="5A0F7FDF"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המאשימה הפנתה לפסיקה באשר למדיניות הענישה הנוהגת, אשר מהווה אך רכיב אחד בקביעת העונש ההולם, וטענה כי בהתאם לפסיקה ובשים לב לתיקון </w:t>
      </w:r>
      <w:r w:rsidRPr="00713AE5">
        <w:rPr>
          <w:rFonts w:ascii="David" w:hAnsi="David"/>
          <w:b/>
          <w:bCs/>
          <w:rtl/>
        </w:rPr>
        <w:t>140 ל</w:t>
      </w:r>
      <w:hyperlink r:id="rId27" w:history="1">
        <w:r w:rsidR="00981D41" w:rsidRPr="00713AE5">
          <w:rPr>
            <w:rFonts w:ascii="David" w:hAnsi="David"/>
            <w:b/>
            <w:bCs/>
            <w:color w:val="0000FF"/>
            <w:u w:val="single"/>
            <w:rtl/>
          </w:rPr>
          <w:t>חוק העונשין</w:t>
        </w:r>
      </w:hyperlink>
      <w:r w:rsidRPr="00713AE5">
        <w:rPr>
          <w:rFonts w:ascii="David" w:hAnsi="David"/>
          <w:rtl/>
        </w:rPr>
        <w:t xml:space="preserve"> יש להחמיר בענישה. </w:t>
      </w:r>
    </w:p>
    <w:p w14:paraId="1FA98500" w14:textId="77777777" w:rsidR="00614E35" w:rsidRPr="00713AE5" w:rsidRDefault="00614E35" w:rsidP="00614E35">
      <w:pPr>
        <w:spacing w:line="360" w:lineRule="auto"/>
        <w:jc w:val="both"/>
        <w:rPr>
          <w:rFonts w:ascii="David" w:hAnsi="David"/>
          <w:rtl/>
        </w:rPr>
      </w:pPr>
    </w:p>
    <w:p w14:paraId="4560158F" w14:textId="77777777" w:rsidR="00614E35" w:rsidRPr="00713AE5" w:rsidRDefault="00614E35" w:rsidP="00614E35">
      <w:pPr>
        <w:spacing w:line="360" w:lineRule="auto"/>
        <w:ind w:firstLine="720"/>
        <w:jc w:val="both"/>
        <w:rPr>
          <w:rFonts w:ascii="David" w:hAnsi="David"/>
          <w:rtl/>
        </w:rPr>
      </w:pPr>
      <w:r w:rsidRPr="00713AE5">
        <w:rPr>
          <w:rFonts w:ascii="David" w:hAnsi="David"/>
          <w:rtl/>
        </w:rPr>
        <w:t>לאור המפורט עתרה המאשימה ל</w:t>
      </w:r>
      <w:r w:rsidRPr="00713AE5">
        <w:rPr>
          <w:rFonts w:ascii="David" w:hAnsi="David"/>
          <w:b/>
          <w:bCs/>
          <w:rtl/>
        </w:rPr>
        <w:t>מתחם עונש הולם הנע בין 52-72 חודשי מאסר בפועל</w:t>
      </w:r>
      <w:r w:rsidRPr="00713AE5">
        <w:rPr>
          <w:rFonts w:ascii="David" w:hAnsi="David"/>
          <w:rtl/>
        </w:rPr>
        <w:t>.</w:t>
      </w:r>
    </w:p>
    <w:p w14:paraId="1227F082" w14:textId="77777777" w:rsidR="00614E35" w:rsidRPr="00713AE5" w:rsidRDefault="00614E35" w:rsidP="00614E35">
      <w:pPr>
        <w:spacing w:line="360" w:lineRule="auto"/>
        <w:jc w:val="both"/>
        <w:rPr>
          <w:rFonts w:ascii="David" w:hAnsi="David"/>
          <w:rtl/>
        </w:rPr>
      </w:pPr>
    </w:p>
    <w:p w14:paraId="214271BC" w14:textId="77777777" w:rsidR="00614E35" w:rsidRPr="00713AE5" w:rsidRDefault="00614E35" w:rsidP="00614E35">
      <w:pPr>
        <w:spacing w:line="360" w:lineRule="auto"/>
        <w:ind w:left="720"/>
        <w:jc w:val="both"/>
        <w:rPr>
          <w:rFonts w:ascii="David" w:hAnsi="David"/>
          <w:b/>
          <w:rtl/>
        </w:rPr>
      </w:pPr>
      <w:r w:rsidRPr="00713AE5">
        <w:rPr>
          <w:rFonts w:ascii="David" w:hAnsi="David"/>
          <w:b/>
          <w:rtl/>
        </w:rPr>
        <w:t xml:space="preserve">אשר לקביעת עונשו של הנאשם בגדרי המתחם, עתרה </w:t>
      </w:r>
      <w:r w:rsidRPr="00713AE5">
        <w:rPr>
          <w:rFonts w:ascii="David" w:hAnsi="David"/>
          <w:rtl/>
        </w:rPr>
        <w:t>המאשימה למקם את הנאשם בחלקו האמצעי של המתחם, לצד הטלת מאסרים מותנים, פסילה ממושכת ומרתיעה במצטבר לכל פסילה אחרת שהוטלה עליו, פסילה מותנית, התחייבות וקנס גבוה ומרתיע.</w:t>
      </w:r>
    </w:p>
    <w:p w14:paraId="0D121038" w14:textId="77777777" w:rsidR="00614E35" w:rsidRPr="00713AE5" w:rsidRDefault="00614E35" w:rsidP="00614E35">
      <w:pPr>
        <w:spacing w:line="360" w:lineRule="auto"/>
        <w:jc w:val="both"/>
        <w:rPr>
          <w:rFonts w:ascii="David" w:hAnsi="David"/>
          <w:rtl/>
        </w:rPr>
      </w:pPr>
    </w:p>
    <w:p w14:paraId="0904DC6F"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בטיעוניה הפנתה להיות הנאשם מבצע יחיד, ולפוטנציאל הנזק הנובע הן מנהיגתו הפרועה והן מעבירות נשיאת והובלת הנשק. כמו כן, הפנתה לעברו הפלילי והתעבורתי של הנאשם, וזאת אף בגין עבירות דומות אשר בעטיין אף ריצה בעבר עונשי מאסר בפועל. לכל זה ביקשה להוסיף את שיקולי הרתעת היחיד והרבים שיש להביאם בחשבון במקרה דנן. </w:t>
      </w:r>
    </w:p>
    <w:p w14:paraId="1A89489F" w14:textId="77777777" w:rsidR="00614E35" w:rsidRPr="00713AE5" w:rsidRDefault="00614E35" w:rsidP="00614E35">
      <w:pPr>
        <w:spacing w:line="360" w:lineRule="auto"/>
        <w:jc w:val="both"/>
        <w:rPr>
          <w:rFonts w:ascii="David" w:hAnsi="David"/>
          <w:rtl/>
        </w:rPr>
      </w:pPr>
    </w:p>
    <w:p w14:paraId="1FB3BB61" w14:textId="77777777" w:rsidR="00614E35" w:rsidRPr="00713AE5" w:rsidRDefault="00614E35" w:rsidP="00614E35">
      <w:pPr>
        <w:spacing w:line="360" w:lineRule="auto"/>
        <w:ind w:left="720" w:hanging="720"/>
        <w:jc w:val="both"/>
        <w:rPr>
          <w:rFonts w:ascii="David" w:hAnsi="David"/>
          <w:rtl/>
        </w:rPr>
      </w:pPr>
      <w:r w:rsidRPr="00713AE5">
        <w:rPr>
          <w:rFonts w:ascii="David" w:hAnsi="David"/>
          <w:b/>
          <w:bCs/>
          <w:rtl/>
        </w:rPr>
        <w:t>6.</w:t>
      </w:r>
      <w:r w:rsidRPr="00713AE5">
        <w:rPr>
          <w:rFonts w:ascii="David" w:hAnsi="David"/>
          <w:rtl/>
        </w:rPr>
        <w:t xml:space="preserve"> </w:t>
      </w:r>
      <w:r w:rsidRPr="00713AE5">
        <w:rPr>
          <w:rFonts w:ascii="David" w:hAnsi="David"/>
          <w:rtl/>
        </w:rPr>
        <w:tab/>
        <w:t xml:space="preserve">ב"כ הנאשם טען כי על אף הנסיבות המחמירות של ביצוע העבירה, שהבולטת שבהן היא ביצוע עבירות התעבורה, כפי שעולה אף מהחלטת בית משפט זה ומהחלטת בית המשפט העליון בערר אשר הוגש, יש במקרה זה אף נסיבות מקלות אשר מובילות לכך שאין מדובר בעבירות נשק שהן מהחמורות – ובהן העובדה כי הנשקים לא היו טעונים ולא הייתה לצדם תחמושת, וכן כי האירוע בוצע מחוץ לאזור עירוני, בשעת לילה, ובכביש שלא היה עמוס במכוניות. </w:t>
      </w:r>
    </w:p>
    <w:p w14:paraId="4D2833E1" w14:textId="77777777" w:rsidR="00614E35" w:rsidRPr="00713AE5" w:rsidRDefault="00614E35" w:rsidP="00614E35">
      <w:pPr>
        <w:spacing w:line="360" w:lineRule="auto"/>
        <w:jc w:val="both"/>
        <w:rPr>
          <w:rFonts w:ascii="David" w:hAnsi="David"/>
          <w:rtl/>
        </w:rPr>
      </w:pPr>
    </w:p>
    <w:p w14:paraId="1A5B2F0F"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באשר לפסיקה אשר הוגשה על ידו ועל ידי ב"כ המאשימה טען ב"כ הנאשם כי רובם חמורים יותר ממקרה זה, ומכאן שיש לקבוע כי תחתית מתחם העונש ההולם צריך להיקבע ל-24 חודשי מאסר בפועל. </w:t>
      </w:r>
    </w:p>
    <w:p w14:paraId="372910A4"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בגזירת עונשו של הנאשם טען בא כוחו כי יש להתחשב בגילו של הנאשם ובנסיבותיו האישיות, כמפורט בתסקיר, ובעיקר בעובדה כי מגיל 19 מצוי תחת השפעת אלכוהול באופן שהוביל לביצוע עבירות התעבורה בהן הורשע, וכי כיום מביע מוטיבציה גבוהה לשנות מאורחות חייו ועל כן אף השתלב בטיפול משמעותי. עוד טען כי עברו הפלילי של הנאשם איננו מכביד מאחר ואיננו רלוונטי לעבירות עליהן נותן הנאשם את הדין כיום, וכי ראוי שבית המשפט יעודד בגזירת עונשו את הנאשם בכך שיראה לו כי קיים אור בקצה המנהרה באם יתמיד בהליך השיקום.   </w:t>
      </w:r>
    </w:p>
    <w:p w14:paraId="3D703447" w14:textId="77777777" w:rsidR="00614E35" w:rsidRPr="00713AE5" w:rsidRDefault="00614E35" w:rsidP="00614E35">
      <w:pPr>
        <w:spacing w:line="360" w:lineRule="auto"/>
        <w:jc w:val="both"/>
        <w:rPr>
          <w:rFonts w:ascii="David" w:hAnsi="David"/>
          <w:rtl/>
        </w:rPr>
      </w:pPr>
    </w:p>
    <w:p w14:paraId="14925353"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אשר על כן טען ב"כ הנאשם כי במקרה זה יש לחרוג ממתחם העונש ההולם לקולה, במסגרת הטלת המאסר בפועל, וזאת בשל הסיכוי הממשי לשיקום בעניינו של הנאשם, ובשים לב למוטיבציה הרבה והכנה שהביע לעניין ההשתלבות בהליך טיפולי, כפי שהתרשמו הן שירות המבחן והן מותב זה ובית המשפט העליון, וכן לעובדה כי שולב בהליך טיפולי במסגרת בית הכלא והיה מוכן אף להשתלב בקהילה סגורה ביודעו כי זה לא ימנע מאסרו בהמשך במסגרת גזירת עונשו. </w:t>
      </w:r>
    </w:p>
    <w:p w14:paraId="4C934E39" w14:textId="77777777" w:rsidR="00614E35" w:rsidRPr="00713AE5" w:rsidRDefault="00614E35" w:rsidP="00614E35">
      <w:pPr>
        <w:spacing w:line="360" w:lineRule="auto"/>
        <w:jc w:val="both"/>
        <w:rPr>
          <w:rFonts w:ascii="David" w:hAnsi="David"/>
          <w:b/>
          <w:bCs/>
          <w:u w:val="single"/>
          <w:rtl/>
        </w:rPr>
      </w:pPr>
    </w:p>
    <w:p w14:paraId="4A2CCDF4"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במעמד הטיעונים לעונש טען הנאשם כי מקבל על עצמו את הדין וכי ימשיך בהליך הטיפול בתוך הכלא, וכן הביע צער על מעשיו וטען כי הטיפול עוזר לו. </w:t>
      </w:r>
    </w:p>
    <w:p w14:paraId="33E5DD09" w14:textId="77777777" w:rsidR="00614E35" w:rsidRPr="00713AE5" w:rsidRDefault="00614E35" w:rsidP="00614E35">
      <w:pPr>
        <w:spacing w:line="360" w:lineRule="auto"/>
        <w:jc w:val="both"/>
        <w:rPr>
          <w:rFonts w:ascii="David" w:hAnsi="David"/>
          <w:b/>
          <w:bCs/>
          <w:u w:val="single"/>
          <w:rtl/>
        </w:rPr>
      </w:pPr>
    </w:p>
    <w:p w14:paraId="145D827B" w14:textId="77777777" w:rsidR="00614E35" w:rsidRPr="00713AE5" w:rsidRDefault="00614E35" w:rsidP="00614E35">
      <w:pPr>
        <w:spacing w:line="360" w:lineRule="auto"/>
        <w:jc w:val="both"/>
        <w:rPr>
          <w:rFonts w:ascii="David" w:hAnsi="David"/>
          <w:b/>
          <w:bCs/>
          <w:u w:val="single"/>
          <w:rtl/>
        </w:rPr>
      </w:pPr>
      <w:r w:rsidRPr="00713AE5">
        <w:rPr>
          <w:rFonts w:ascii="David" w:hAnsi="David"/>
          <w:b/>
          <w:bCs/>
          <w:u w:val="single"/>
          <w:rtl/>
        </w:rPr>
        <w:t xml:space="preserve">קביעת מתחם העונש ההולם </w:t>
      </w:r>
    </w:p>
    <w:p w14:paraId="626364D9" w14:textId="77777777" w:rsidR="00614E35" w:rsidRPr="00713AE5" w:rsidRDefault="00614E35" w:rsidP="00614E35">
      <w:pPr>
        <w:spacing w:line="360" w:lineRule="auto"/>
        <w:ind w:left="720" w:hanging="720"/>
        <w:jc w:val="both"/>
        <w:rPr>
          <w:rFonts w:ascii="David" w:hAnsi="David"/>
          <w:rtl/>
        </w:rPr>
      </w:pPr>
      <w:r w:rsidRPr="00713AE5">
        <w:rPr>
          <w:rFonts w:ascii="David" w:hAnsi="David"/>
          <w:b/>
          <w:bCs/>
          <w:rtl/>
        </w:rPr>
        <w:t>7.</w:t>
      </w:r>
      <w:r w:rsidRPr="00713AE5">
        <w:rPr>
          <w:rFonts w:ascii="David" w:hAnsi="David"/>
          <w:rtl/>
        </w:rPr>
        <w:t xml:space="preserve"> </w:t>
      </w:r>
      <w:r w:rsidRPr="00713AE5">
        <w:rPr>
          <w:rFonts w:ascii="David" w:hAnsi="David"/>
          <w:rtl/>
        </w:rPr>
        <w:tab/>
        <w:t>על פי</w:t>
      </w:r>
      <w:r w:rsidRPr="00713AE5">
        <w:rPr>
          <w:rFonts w:ascii="David" w:hAnsi="David"/>
          <w:b/>
          <w:bCs/>
          <w:rtl/>
        </w:rPr>
        <w:t xml:space="preserve"> </w:t>
      </w:r>
      <w:hyperlink r:id="rId28" w:history="1">
        <w:r w:rsidR="00713AE5" w:rsidRPr="00713AE5">
          <w:rPr>
            <w:rStyle w:val="Hyperlink"/>
            <w:rFonts w:ascii="David" w:hAnsi="David"/>
            <w:b/>
            <w:bCs/>
            <w:rtl/>
          </w:rPr>
          <w:t>סעיף 40ג(א)</w:t>
        </w:r>
      </w:hyperlink>
      <w:r w:rsidRPr="00713AE5">
        <w:rPr>
          <w:rFonts w:ascii="David" w:hAnsi="David"/>
          <w:b/>
          <w:bCs/>
          <w:rtl/>
        </w:rPr>
        <w:t xml:space="preserve"> ל</w:t>
      </w:r>
      <w:hyperlink r:id="rId29" w:history="1">
        <w:r w:rsidR="00981D41" w:rsidRPr="00713AE5">
          <w:rPr>
            <w:rFonts w:ascii="David" w:hAnsi="David"/>
            <w:b/>
            <w:bCs/>
            <w:color w:val="0000FF"/>
            <w:u w:val="single"/>
            <w:rtl/>
          </w:rPr>
          <w:t>חוק העונשין</w:t>
        </w:r>
      </w:hyperlink>
      <w:r w:rsidRPr="00713AE5">
        <w:rPr>
          <w:rFonts w:ascii="David" w:hAnsi="David"/>
          <w:rtl/>
        </w:rPr>
        <w:t>, בקביעת מתחם העונש בהתאם לעקרון ההלימה, על בית המשפט להתחשב: "</w:t>
      </w:r>
      <w:r w:rsidRPr="00713AE5">
        <w:rPr>
          <w:rFonts w:ascii="David" w:hAnsi="David"/>
          <w:b/>
          <w:bCs/>
          <w:rtl/>
        </w:rPr>
        <w:t>בערך החברתי שנפגע מביצוע העבירה, במידת הפגיעה בו, במדיניות הענישה הנהוגה ובנסיבות הקשורות בביצוע העבירה</w:t>
      </w:r>
      <w:r w:rsidRPr="00713AE5">
        <w:rPr>
          <w:rFonts w:ascii="David" w:hAnsi="David"/>
          <w:rtl/>
        </w:rPr>
        <w:t>".</w:t>
      </w:r>
    </w:p>
    <w:p w14:paraId="1A20D391" w14:textId="77777777" w:rsidR="00614E35" w:rsidRPr="00713AE5" w:rsidRDefault="00614E35" w:rsidP="00614E35">
      <w:pPr>
        <w:spacing w:line="360" w:lineRule="auto"/>
        <w:jc w:val="both"/>
        <w:rPr>
          <w:rFonts w:ascii="David" w:hAnsi="David"/>
          <w:rtl/>
        </w:rPr>
      </w:pPr>
    </w:p>
    <w:p w14:paraId="78612961" w14:textId="77777777" w:rsidR="00614E35" w:rsidRPr="00713AE5" w:rsidRDefault="00614E35" w:rsidP="00614E35">
      <w:pPr>
        <w:spacing w:line="360" w:lineRule="auto"/>
        <w:ind w:left="720"/>
        <w:jc w:val="both"/>
        <w:rPr>
          <w:rFonts w:ascii="David" w:hAnsi="David"/>
        </w:rPr>
      </w:pPr>
      <w:r w:rsidRPr="00713AE5">
        <w:rPr>
          <w:rFonts w:ascii="David" w:hAnsi="David"/>
          <w:rtl/>
        </w:rPr>
        <w:t xml:space="preserve">אין מחלוקת בין הצדדים כי כתב האישום מתאר </w:t>
      </w:r>
      <w:r w:rsidRPr="00713AE5">
        <w:rPr>
          <w:rFonts w:ascii="David" w:hAnsi="David"/>
          <w:b/>
          <w:bCs/>
          <w:rtl/>
        </w:rPr>
        <w:t>אירוע אחד</w:t>
      </w:r>
      <w:r w:rsidRPr="00713AE5">
        <w:rPr>
          <w:rFonts w:ascii="David" w:hAnsi="David"/>
          <w:rtl/>
        </w:rPr>
        <w:t xml:space="preserve"> שבגינו יש לקבוע מתחם עונש הולם אחד. </w:t>
      </w:r>
    </w:p>
    <w:p w14:paraId="427D67EC" w14:textId="77777777" w:rsidR="00614E35" w:rsidRPr="00713AE5" w:rsidRDefault="00614E35" w:rsidP="00614E35">
      <w:pPr>
        <w:spacing w:line="360" w:lineRule="auto"/>
        <w:jc w:val="both"/>
        <w:rPr>
          <w:rFonts w:ascii="David" w:hAnsi="David"/>
          <w:rtl/>
        </w:rPr>
      </w:pPr>
    </w:p>
    <w:p w14:paraId="6008A1F9" w14:textId="77777777" w:rsidR="00614E35" w:rsidRPr="00713AE5" w:rsidRDefault="00614E35" w:rsidP="00614E35">
      <w:pPr>
        <w:spacing w:line="360" w:lineRule="auto"/>
        <w:ind w:left="720"/>
        <w:jc w:val="both"/>
        <w:rPr>
          <w:rFonts w:ascii="David" w:hAnsi="David"/>
          <w:rtl/>
        </w:rPr>
      </w:pPr>
      <w:r w:rsidRPr="00713AE5">
        <w:rPr>
          <w:rFonts w:ascii="David" w:hAnsi="David"/>
          <w:b/>
          <w:bCs/>
          <w:rtl/>
        </w:rPr>
        <w:t>הערכים החברתיים המוגנים</w:t>
      </w:r>
      <w:r w:rsidRPr="00713AE5">
        <w:rPr>
          <w:rFonts w:ascii="David" w:hAnsi="David"/>
          <w:rtl/>
        </w:rPr>
        <w:t xml:space="preserve"> אשר נפגעו כתוצאה ממעשיו של הנאשם כוללים בתוכם את השמירה על שלום הציבור וביטחונו, שמירה על חייו וגופו של האדם, השמירה על שלטון החוק והסדר הציבורי, וכן ההגנה על השוטרים בעת עשיית מלאכתם. </w:t>
      </w:r>
    </w:p>
    <w:p w14:paraId="463AB41C" w14:textId="77777777" w:rsidR="00614E35" w:rsidRPr="00713AE5" w:rsidRDefault="00614E35" w:rsidP="00614E35">
      <w:pPr>
        <w:spacing w:line="360" w:lineRule="auto"/>
        <w:jc w:val="both"/>
        <w:rPr>
          <w:rFonts w:ascii="David" w:hAnsi="David"/>
          <w:rtl/>
        </w:rPr>
      </w:pPr>
    </w:p>
    <w:p w14:paraId="551C6A2A" w14:textId="77777777" w:rsidR="00614E35" w:rsidRPr="00713AE5" w:rsidRDefault="00614E35" w:rsidP="00614E35">
      <w:pPr>
        <w:spacing w:line="360" w:lineRule="auto"/>
        <w:ind w:left="720"/>
        <w:jc w:val="both"/>
        <w:rPr>
          <w:rFonts w:ascii="David" w:hAnsi="David"/>
          <w:rtl/>
        </w:rPr>
      </w:pPr>
      <w:r w:rsidRPr="00713AE5">
        <w:rPr>
          <w:rFonts w:ascii="David" w:hAnsi="David"/>
          <w:rtl/>
        </w:rPr>
        <w:t>מזה תקופה ארוכה שב ומבהיר בית המשפט העליון את חומרת עבירות הנשק ואת החובה להחמיר בענישה. כך למשל ב</w:t>
      </w:r>
      <w:hyperlink r:id="rId30" w:history="1">
        <w:r w:rsidR="00981D41" w:rsidRPr="00713AE5">
          <w:rPr>
            <w:rFonts w:ascii="David" w:hAnsi="David"/>
            <w:b/>
            <w:bCs/>
            <w:color w:val="0000FF"/>
            <w:u w:val="single"/>
            <w:rtl/>
          </w:rPr>
          <w:t>ע"פ 579/22</w:t>
        </w:r>
      </w:hyperlink>
      <w:r w:rsidRPr="00713AE5">
        <w:rPr>
          <w:rFonts w:ascii="David" w:hAnsi="David"/>
          <w:b/>
          <w:bCs/>
          <w:rtl/>
        </w:rPr>
        <w:t xml:space="preserve"> מדינת ישראל נגד אגבאריה ואח' </w:t>
      </w:r>
      <w:r w:rsidRPr="00713AE5">
        <w:rPr>
          <w:rFonts w:ascii="David" w:hAnsi="David"/>
          <w:rtl/>
        </w:rPr>
        <w:t xml:space="preserve">(13/06/22) נקבע כי: </w:t>
      </w:r>
    </w:p>
    <w:p w14:paraId="3E21BED9" w14:textId="77777777" w:rsidR="00614E35" w:rsidRPr="00713AE5" w:rsidRDefault="00614E35" w:rsidP="00614E35">
      <w:pPr>
        <w:spacing w:line="360" w:lineRule="auto"/>
        <w:ind w:left="720" w:right="340"/>
        <w:jc w:val="both"/>
        <w:rPr>
          <w:rFonts w:ascii="David" w:hAnsi="David"/>
          <w:b/>
          <w:bCs/>
        </w:rPr>
      </w:pPr>
      <w:r w:rsidRPr="00713AE5">
        <w:rPr>
          <w:rFonts w:ascii="David" w:hAnsi="David"/>
          <w:b/>
          <w:bCs/>
          <w:rtl/>
        </w:rPr>
        <w:t xml:space="preserve">"עבירות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 והן מהוות בסיס לביצוע פעילות עבריינית, פשיעה לאומנית ופעולות טרור מסכנות חיים ... זמינותם ונגישותם של כלי נשק בלתי חוקיים מאפשרות שימוש תדיר בנשק ככלי לפתרון סכסוכים, לעיתים תוך ירי באזורי מגורים, וגביית קורבנות בגוף ובנפש". </w:t>
      </w:r>
    </w:p>
    <w:p w14:paraId="2FA372C2" w14:textId="77777777" w:rsidR="00614E35" w:rsidRPr="00713AE5" w:rsidRDefault="00614E35" w:rsidP="00614E35">
      <w:pPr>
        <w:spacing w:line="360" w:lineRule="auto"/>
        <w:ind w:right="340"/>
        <w:jc w:val="both"/>
        <w:rPr>
          <w:rFonts w:ascii="David" w:hAnsi="David"/>
          <w:b/>
          <w:bCs/>
          <w:rtl/>
        </w:rPr>
      </w:pPr>
    </w:p>
    <w:p w14:paraId="2C7653D8" w14:textId="77777777" w:rsidR="00614E35" w:rsidRPr="00713AE5" w:rsidRDefault="00614E35" w:rsidP="00614E35">
      <w:pPr>
        <w:spacing w:line="360" w:lineRule="auto"/>
        <w:ind w:right="340" w:firstLine="720"/>
        <w:jc w:val="both"/>
        <w:rPr>
          <w:rFonts w:ascii="David" w:hAnsi="David"/>
          <w:rtl/>
        </w:rPr>
      </w:pPr>
      <w:r w:rsidRPr="00713AE5">
        <w:rPr>
          <w:rFonts w:ascii="David" w:hAnsi="David"/>
          <w:rtl/>
        </w:rPr>
        <w:t>ראו גם דברי בית המשפט העליון ב</w:t>
      </w:r>
      <w:r w:rsidRPr="00713AE5">
        <w:rPr>
          <w:rFonts w:ascii="David" w:hAnsi="David"/>
          <w:b/>
          <w:bCs/>
          <w:rtl/>
        </w:rPr>
        <w:t xml:space="preserve">ע"פ </w:t>
      </w:r>
      <w:hyperlink r:id="rId31" w:history="1">
        <w:r w:rsidR="00C346DE" w:rsidRPr="00C346DE">
          <w:rPr>
            <w:rFonts w:ascii="David" w:hAnsi="David"/>
            <w:b/>
            <w:bCs/>
            <w:color w:val="0000FF"/>
            <w:u w:val="single"/>
            <w:rtl/>
          </w:rPr>
          <w:t xml:space="preserve">1332/04 </w:t>
        </w:r>
      </w:hyperlink>
      <w:r w:rsidRPr="00713AE5">
        <w:rPr>
          <w:rFonts w:ascii="David" w:hAnsi="David"/>
          <w:b/>
          <w:bCs/>
          <w:rtl/>
        </w:rPr>
        <w:t xml:space="preserve"> מדינת ישראל נגד פס ואח' </w:t>
      </w:r>
      <w:r w:rsidRPr="00713AE5">
        <w:rPr>
          <w:rFonts w:ascii="David" w:hAnsi="David"/>
          <w:rtl/>
        </w:rPr>
        <w:t xml:space="preserve">(19/04/04): </w:t>
      </w:r>
    </w:p>
    <w:p w14:paraId="527B575D" w14:textId="77777777" w:rsidR="00614E35" w:rsidRPr="00713AE5" w:rsidRDefault="00614E35" w:rsidP="00614E35">
      <w:pPr>
        <w:spacing w:line="360" w:lineRule="auto"/>
        <w:ind w:left="720" w:right="340"/>
        <w:jc w:val="both"/>
        <w:rPr>
          <w:rFonts w:ascii="David" w:hAnsi="David"/>
          <w:rtl/>
        </w:rPr>
      </w:pPr>
      <w:r w:rsidRPr="00713AE5">
        <w:rPr>
          <w:rFonts w:ascii="David" w:hAnsi="David"/>
          <w:b/>
          <w:bCs/>
          <w:rtl/>
        </w:rPr>
        <w:t>"גם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והאידאולוגית כאחד – מחייבת מתן ביטוי עונשי הולם והחמרה ברמת הענישה ... אם אכן נהגו בתי-המשפט בסלחנות עד כה בעבירות נשק, ניתן לומר כי לא הרימו תרומה מספקת לעקירת התופעה של החזקה או נשיאה של נשק, שהתפשטה במקומותינו והתדרדרה לשימוש בו בידי גורמים המסכנים את שלומו ואת ביטחונו של הציבור</w:t>
      </w:r>
      <w:r w:rsidRPr="00713AE5">
        <w:rPr>
          <w:rFonts w:ascii="David" w:hAnsi="David"/>
          <w:rtl/>
        </w:rPr>
        <w:t>".</w:t>
      </w:r>
    </w:p>
    <w:p w14:paraId="60D37914" w14:textId="77777777" w:rsidR="00614E35" w:rsidRPr="00713AE5" w:rsidRDefault="00614E35" w:rsidP="00614E35">
      <w:pPr>
        <w:spacing w:line="360" w:lineRule="auto"/>
        <w:jc w:val="both"/>
        <w:rPr>
          <w:rFonts w:ascii="David" w:hAnsi="David"/>
          <w:rtl/>
        </w:rPr>
      </w:pPr>
    </w:p>
    <w:p w14:paraId="2BD8DC7E" w14:textId="77777777" w:rsidR="00614E35" w:rsidRPr="00713AE5" w:rsidRDefault="00614E35" w:rsidP="00614E35">
      <w:pPr>
        <w:spacing w:line="360" w:lineRule="auto"/>
        <w:ind w:left="720"/>
        <w:jc w:val="both"/>
        <w:rPr>
          <w:rFonts w:ascii="David" w:hAnsi="David"/>
          <w:rtl/>
        </w:rPr>
      </w:pPr>
      <w:r w:rsidRPr="00713AE5">
        <w:rPr>
          <w:rFonts w:ascii="David" w:hAnsi="David"/>
          <w:rtl/>
        </w:rPr>
        <w:t>כמו כן, לאחרונה נקבע ב</w:t>
      </w:r>
      <w:hyperlink r:id="rId32" w:history="1">
        <w:r w:rsidR="00981D41" w:rsidRPr="00713AE5">
          <w:rPr>
            <w:rFonts w:ascii="David" w:hAnsi="David"/>
            <w:b/>
            <w:bCs/>
            <w:color w:val="0000FF"/>
            <w:u w:val="single"/>
            <w:rtl/>
          </w:rPr>
          <w:t>ע"פ 5602/22</w:t>
        </w:r>
      </w:hyperlink>
      <w:r w:rsidRPr="00713AE5">
        <w:rPr>
          <w:rFonts w:ascii="David" w:hAnsi="David"/>
          <w:b/>
          <w:bCs/>
          <w:rtl/>
        </w:rPr>
        <w:t xml:space="preserve"> מדינת ישראל נגד פלוני</w:t>
      </w:r>
      <w:r w:rsidRPr="00713AE5">
        <w:rPr>
          <w:rFonts w:ascii="David" w:hAnsi="David"/>
          <w:rtl/>
        </w:rPr>
        <w:t xml:space="preserve"> (14/09/22)</w:t>
      </w:r>
      <w:r w:rsidRPr="00713AE5">
        <w:rPr>
          <w:rFonts w:ascii="David" w:hAnsi="David"/>
          <w:b/>
          <w:bCs/>
          <w:rtl/>
        </w:rPr>
        <w:t xml:space="preserve"> </w:t>
      </w:r>
      <w:r w:rsidRPr="00713AE5">
        <w:rPr>
          <w:rFonts w:ascii="David" w:hAnsi="David"/>
          <w:rtl/>
        </w:rPr>
        <w:t>(להלן: "</w:t>
      </w:r>
      <w:r w:rsidRPr="00713AE5">
        <w:rPr>
          <w:rFonts w:ascii="David" w:hAnsi="David"/>
          <w:b/>
          <w:bCs/>
          <w:rtl/>
        </w:rPr>
        <w:t>פס"ד פלוני</w:t>
      </w:r>
      <w:r w:rsidRPr="00713AE5">
        <w:rPr>
          <w:rFonts w:ascii="David" w:hAnsi="David"/>
          <w:rtl/>
        </w:rPr>
        <w:t xml:space="preserve">") כי: </w:t>
      </w:r>
      <w:r w:rsidRPr="00713AE5">
        <w:rPr>
          <w:rFonts w:ascii="David" w:hAnsi="David"/>
          <w:b/>
          <w:bCs/>
          <w:rtl/>
        </w:rPr>
        <w:t xml:space="preserve">"... מדיניות הענישה בעבירות נשק שבית משפט זה קבע בשורה ארוכה של פסקי דין הופנמה אך באופן חלקי – </w:t>
      </w:r>
      <w:r w:rsidRPr="00713AE5">
        <w:rPr>
          <w:rFonts w:ascii="David" w:hAnsi="David"/>
          <w:b/>
          <w:bCs/>
          <w:color w:val="000000"/>
          <w:rtl/>
        </w:rPr>
        <w:t>וחבל שכך.... בית משפט זה יישם את מדיניות ההחמרה האמורה ביחס לכלל עבירות נשק בשורה ארוכה של פסקי דין ... מדיניות בלתי-מתפשרת זו קיבלה באחרונה ביטוי סטטוטורי בסעיף 144(ז) לחוק אשר חוקק במסגרת תיקון מס' 140.</w:t>
      </w:r>
      <w:r w:rsidRPr="00713AE5">
        <w:rPr>
          <w:rFonts w:ascii="David" w:hAnsi="David"/>
          <w:rtl/>
        </w:rPr>
        <w:t xml:space="preserve"> </w:t>
      </w:r>
      <w:r w:rsidRPr="00713AE5">
        <w:rPr>
          <w:rFonts w:ascii="David" w:hAnsi="David"/>
          <w:b/>
          <w:bCs/>
          <w:color w:val="000000"/>
          <w:rtl/>
        </w:rPr>
        <w:t>...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w:t>
      </w:r>
    </w:p>
    <w:p w14:paraId="398F9AA7" w14:textId="77777777" w:rsidR="00614E35" w:rsidRPr="00713AE5" w:rsidRDefault="00614E35" w:rsidP="00614E35">
      <w:pPr>
        <w:spacing w:line="360" w:lineRule="auto"/>
        <w:jc w:val="both"/>
        <w:rPr>
          <w:b/>
          <w:bCs/>
          <w:rtl/>
        </w:rPr>
      </w:pPr>
    </w:p>
    <w:p w14:paraId="552CBA14" w14:textId="77777777" w:rsidR="00614E35" w:rsidRPr="00713AE5" w:rsidRDefault="00614E35" w:rsidP="00614E35">
      <w:pPr>
        <w:spacing w:line="360" w:lineRule="auto"/>
        <w:ind w:left="720"/>
        <w:jc w:val="both"/>
        <w:rPr>
          <w:rFonts w:ascii="David" w:hAnsi="David"/>
          <w:b/>
          <w:bCs/>
          <w:rtl/>
        </w:rPr>
      </w:pPr>
      <w:r w:rsidRPr="00713AE5">
        <w:rPr>
          <w:rFonts w:ascii="David" w:hAnsi="David"/>
          <w:rtl/>
        </w:rPr>
        <w:t xml:space="preserve">לא זו אף זו, </w:t>
      </w:r>
      <w:r w:rsidRPr="00713AE5">
        <w:rPr>
          <w:rFonts w:ascii="David" w:hAnsi="David"/>
          <w:b/>
          <w:bCs/>
          <w:rtl/>
        </w:rPr>
        <w:t>תיקון 140 ל</w:t>
      </w:r>
      <w:hyperlink r:id="rId33" w:history="1">
        <w:r w:rsidR="00981D41" w:rsidRPr="00713AE5">
          <w:rPr>
            <w:rFonts w:ascii="David" w:hAnsi="David"/>
            <w:b/>
            <w:bCs/>
            <w:color w:val="0000FF"/>
            <w:u w:val="single"/>
            <w:rtl/>
          </w:rPr>
          <w:t>חוק העונשין</w:t>
        </w:r>
      </w:hyperlink>
      <w:r w:rsidRPr="00713AE5">
        <w:rPr>
          <w:rFonts w:ascii="David" w:hAnsi="David"/>
          <w:b/>
          <w:bCs/>
          <w:rtl/>
        </w:rPr>
        <w:t xml:space="preserve">, </w:t>
      </w:r>
      <w:r w:rsidRPr="00713AE5">
        <w:rPr>
          <w:rFonts w:ascii="David" w:hAnsi="David"/>
          <w:rtl/>
        </w:rPr>
        <w:t>אשר נכנס לתוקף טרם ביצוע העבירות עליהן נותן הנאשם את הדין,</w:t>
      </w:r>
      <w:r w:rsidRPr="00713AE5">
        <w:rPr>
          <w:rFonts w:ascii="David" w:hAnsi="David"/>
          <w:b/>
          <w:bCs/>
          <w:rtl/>
        </w:rPr>
        <w:t xml:space="preserve"> </w:t>
      </w:r>
      <w:r w:rsidRPr="00713AE5">
        <w:rPr>
          <w:rFonts w:ascii="David" w:hAnsi="David"/>
          <w:rtl/>
        </w:rPr>
        <w:t>קובע לצד עבירת הנשק בה הורשע הנאשם עונש מזערי בן 30 חודשים (רבע מהעונש המרבי שהוא 10 שנות מאסר בגין עבירת הנשק). בקביעת עונש מינימום לעבירה זו ביקש המחוקק להביע דעתו באשר לצורך בהחמרה בענישה בעבירות מסוג זה. עיון ב</w:t>
      </w:r>
      <w:r w:rsidRPr="00713AE5">
        <w:rPr>
          <w:rFonts w:ascii="David" w:hAnsi="David"/>
          <w:b/>
          <w:bCs/>
          <w:rtl/>
        </w:rPr>
        <w:t xml:space="preserve">דברי ההסבר להצעת חוק </w:t>
      </w:r>
      <w:r w:rsidRPr="00713AE5">
        <w:rPr>
          <w:rFonts w:ascii="David" w:hAnsi="David"/>
          <w:rtl/>
        </w:rPr>
        <w:t>זו מלמד כי הרקע לקביעת עונש המינימום נבע מגידול משמעותי בעבירות החזקת נשק ומספר העבירות הקשורות לעבירה זו. לאור העלייה במספר עבירות הנשק שלא כדין, וכתוצאה מכך לעליה במספר אירועי הירי במדינה, ביקש המחוקק להביא להחמרה בענישה על ידי קביעת עונש מינימום לעבירה, הגם שמדובר בכלי חריג ויוצא דופן [ראו: דברי ההסבר ל</w:t>
      </w:r>
      <w:r w:rsidRPr="00713AE5">
        <w:rPr>
          <w:rFonts w:ascii="David" w:hAnsi="David"/>
          <w:b/>
          <w:bCs/>
          <w:rtl/>
        </w:rPr>
        <w:t>הצ"ח הכנסת, 872, מיום 03/08/2021</w:t>
      </w:r>
      <w:r w:rsidRPr="00713AE5">
        <w:rPr>
          <w:rFonts w:ascii="David" w:hAnsi="David"/>
          <w:rtl/>
        </w:rPr>
        <w:t>].</w:t>
      </w:r>
      <w:r w:rsidRPr="00713AE5">
        <w:rPr>
          <w:rFonts w:ascii="David" w:hAnsi="David"/>
          <w:b/>
          <w:bCs/>
          <w:rtl/>
        </w:rPr>
        <w:t xml:space="preserve"> </w:t>
      </w:r>
      <w:r w:rsidRPr="00713AE5">
        <w:rPr>
          <w:rFonts w:ascii="David" w:hAnsi="David"/>
          <w:rtl/>
        </w:rPr>
        <w:t>ניתן אמנם להטיל חלק מהעונש המזערי על תנאי וניתן אף לגזור עונש נמוך יותר, בהתקיים נסיבות מיוחדות - אך על דרך הכלל יש להחמיר בענישתם של מבצעי עבירות מסוג זה, ויש לקבוע מתחם עונש הולם אשר תחתיתו מושפעת ומתיישבת עם הנחייתו הברורה של המחוקק ומשקפת את החומרה המיוחסת לעבירה.</w:t>
      </w:r>
    </w:p>
    <w:p w14:paraId="2FEB810F" w14:textId="77777777" w:rsidR="00614E35" w:rsidRPr="00713AE5" w:rsidRDefault="00614E35" w:rsidP="00614E35">
      <w:pPr>
        <w:spacing w:line="360" w:lineRule="auto"/>
        <w:jc w:val="both"/>
        <w:rPr>
          <w:rFonts w:ascii="David" w:hAnsi="David"/>
          <w:b/>
          <w:bCs/>
          <w:rtl/>
        </w:rPr>
      </w:pPr>
    </w:p>
    <w:p w14:paraId="78C2F696" w14:textId="77777777" w:rsidR="00614E35" w:rsidRPr="00713AE5" w:rsidRDefault="00614E35" w:rsidP="00614E35">
      <w:pPr>
        <w:spacing w:line="360" w:lineRule="auto"/>
        <w:ind w:left="720"/>
        <w:contextualSpacing/>
        <w:jc w:val="both"/>
        <w:rPr>
          <w:rFonts w:ascii="David" w:hAnsi="David"/>
          <w:rtl/>
        </w:rPr>
      </w:pPr>
      <w:r w:rsidRPr="00713AE5">
        <w:rPr>
          <w:rFonts w:ascii="David" w:hAnsi="David"/>
          <w:rtl/>
        </w:rPr>
        <w:t>לעניין הצורך בענישה מחמירה בגין עבירות "מרדפים" אפנה לדברי כבוד השופט י' עמית ב</w:t>
      </w:r>
      <w:hyperlink r:id="rId34" w:history="1">
        <w:r w:rsidR="00981D41" w:rsidRPr="00713AE5">
          <w:rPr>
            <w:rFonts w:ascii="David" w:hAnsi="David"/>
            <w:b/>
            <w:bCs/>
            <w:color w:val="0000FF"/>
            <w:u w:val="single"/>
            <w:rtl/>
          </w:rPr>
          <w:t>ע"פ 1919/22</w:t>
        </w:r>
      </w:hyperlink>
      <w:r w:rsidRPr="00713AE5">
        <w:rPr>
          <w:rFonts w:ascii="David" w:hAnsi="David"/>
          <w:b/>
          <w:bCs/>
          <w:rtl/>
        </w:rPr>
        <w:t xml:space="preserve"> מקדשי נגד מדינת ישראל </w:t>
      </w:r>
      <w:r w:rsidRPr="00713AE5">
        <w:rPr>
          <w:rFonts w:ascii="David" w:hAnsi="David"/>
          <w:rtl/>
        </w:rPr>
        <w:t xml:space="preserve">(02/08/22) בו נקבע כך: </w:t>
      </w:r>
    </w:p>
    <w:p w14:paraId="6A7AC609" w14:textId="77777777" w:rsidR="00614E35" w:rsidRPr="00713AE5" w:rsidRDefault="00614E35" w:rsidP="00614E35">
      <w:pPr>
        <w:spacing w:line="360" w:lineRule="auto"/>
        <w:ind w:left="720" w:right="340"/>
        <w:contextualSpacing/>
        <w:jc w:val="both"/>
        <w:rPr>
          <w:rFonts w:ascii="David" w:hAnsi="David"/>
          <w:b/>
          <w:bCs/>
          <w:rtl/>
        </w:rPr>
      </w:pPr>
      <w:r w:rsidRPr="00713AE5">
        <w:rPr>
          <w:rFonts w:ascii="David" w:hAnsi="David"/>
          <w:b/>
          <w:bCs/>
          <w:rtl/>
        </w:rPr>
        <w:t>"אין צורך להכביר מילים על אודות הסכנה הכרוכה במרדף. סכנה לעוברי אורח ולמשתמשים בכביש, וסכנה לשוטרים ... ולמרבה הצער, אך לאחרונה קיפחו שוטרים את חייהם בעקבות ניסיונות הימלטות ומרדף. כאשר שוטר מורה לאדם לעצור בשולי הדרך – יש לעצור. כך, חלק ופשוט... דומה כי תופעת המרדפים אך החמירה, יצאה מתחומי הנגב ונפוצה בכל הארץ ... ועל הענישה בעבירות הכרוכות במרדף לשקף את תרומת בתי המשפט בהגנה על הציבור ועל השוטרים העושים מלאכתם..."</w:t>
      </w:r>
    </w:p>
    <w:p w14:paraId="030C36B1" w14:textId="77777777" w:rsidR="00614E35" w:rsidRPr="00713AE5" w:rsidRDefault="00614E35" w:rsidP="00614E35">
      <w:pPr>
        <w:spacing w:line="360" w:lineRule="auto"/>
        <w:jc w:val="both"/>
        <w:rPr>
          <w:rFonts w:ascii="David" w:hAnsi="David"/>
          <w:rtl/>
        </w:rPr>
      </w:pPr>
    </w:p>
    <w:p w14:paraId="069ADB9A" w14:textId="77777777" w:rsidR="00614E35" w:rsidRPr="00713AE5" w:rsidRDefault="00614E35" w:rsidP="00614E35">
      <w:pPr>
        <w:spacing w:line="360" w:lineRule="auto"/>
        <w:ind w:left="720"/>
        <w:jc w:val="both"/>
        <w:rPr>
          <w:rFonts w:ascii="David" w:hAnsi="David"/>
          <w:rtl/>
        </w:rPr>
      </w:pPr>
      <w:r w:rsidRPr="00713AE5">
        <w:rPr>
          <w:rFonts w:ascii="David" w:hAnsi="David"/>
          <w:b/>
          <w:bCs/>
          <w:rtl/>
        </w:rPr>
        <w:t xml:space="preserve">מידת הפגיעה בערכים המוגנים </w:t>
      </w:r>
      <w:r w:rsidRPr="00713AE5">
        <w:rPr>
          <w:rFonts w:ascii="David" w:hAnsi="David"/>
          <w:rtl/>
        </w:rPr>
        <w:t xml:space="preserve">היא ברף הבינוני-גבוה, וזאת לאור שילוב העבירות אותן ביצע הנאשם – עבירת נשיאת והובלת נשק לצד עבירת נהיגה פזיזה ורשלנית בזמן שכרות וללא רישיון נהיגה.  כל זאת לצד נסיבות ביצוע העבירות ובהן נשיאת לא פחות משני סוגי נשק שבכוחם להמית, תוך כדי נהיגה ברכב בזמן שכרות וללא רישיון כשאדם נוסף מוסע ברכב, כשבעת ביצוע ההימלטות מן השוטרים נהג הנאשם בפראות, תוך מעבר בין נתיבים וחציית צומת ברמזור אדום. </w:t>
      </w:r>
    </w:p>
    <w:p w14:paraId="7DE7585E" w14:textId="77777777" w:rsidR="00614E35" w:rsidRPr="00713AE5" w:rsidRDefault="00614E35" w:rsidP="00614E35">
      <w:pPr>
        <w:spacing w:line="360" w:lineRule="auto"/>
        <w:jc w:val="both"/>
        <w:rPr>
          <w:rFonts w:ascii="David" w:hAnsi="David"/>
          <w:rtl/>
        </w:rPr>
      </w:pPr>
    </w:p>
    <w:p w14:paraId="2F36128A" w14:textId="77777777" w:rsidR="00614E35" w:rsidRPr="00713AE5" w:rsidRDefault="00614E35" w:rsidP="00614E35">
      <w:pPr>
        <w:spacing w:line="360" w:lineRule="auto"/>
        <w:jc w:val="both"/>
        <w:rPr>
          <w:rFonts w:ascii="David" w:hAnsi="David"/>
          <w:b/>
          <w:bCs/>
          <w:u w:val="single"/>
          <w:rtl/>
        </w:rPr>
      </w:pPr>
      <w:r w:rsidRPr="00713AE5">
        <w:rPr>
          <w:rFonts w:ascii="David" w:hAnsi="David"/>
          <w:b/>
          <w:bCs/>
          <w:u w:val="single"/>
          <w:rtl/>
        </w:rPr>
        <w:t xml:space="preserve">מדיניות הענישה הנוהגת  </w:t>
      </w:r>
    </w:p>
    <w:p w14:paraId="48720130" w14:textId="77777777" w:rsidR="00614E35" w:rsidRPr="00713AE5" w:rsidRDefault="00614E35" w:rsidP="00614E35">
      <w:pPr>
        <w:spacing w:line="360" w:lineRule="auto"/>
        <w:ind w:left="720" w:hanging="720"/>
        <w:jc w:val="both"/>
        <w:rPr>
          <w:rFonts w:ascii="David" w:hAnsi="David"/>
          <w:rtl/>
        </w:rPr>
      </w:pPr>
      <w:r w:rsidRPr="00713AE5">
        <w:rPr>
          <w:rFonts w:ascii="David" w:hAnsi="David"/>
          <w:b/>
          <w:bCs/>
          <w:rtl/>
        </w:rPr>
        <w:t>8.</w:t>
      </w:r>
      <w:r w:rsidRPr="00713AE5">
        <w:rPr>
          <w:rFonts w:ascii="David" w:hAnsi="David"/>
          <w:rtl/>
        </w:rPr>
        <w:t xml:space="preserve"> </w:t>
      </w:r>
      <w:r w:rsidRPr="00713AE5">
        <w:rPr>
          <w:rFonts w:ascii="David" w:hAnsi="David"/>
          <w:rtl/>
        </w:rPr>
        <w:tab/>
        <w:t xml:space="preserve">בטרם הפנייה לפסיקה נוהגת אציין את הידוע לכל ולפיו הפסיקה הנוהגת מהווה פרמטר אחד מתוך מספר פרמטרים שהתווה המחוקק לבתי המשפט בקובעם את מתחם העונש ההולם וכי </w:t>
      </w:r>
      <w:r w:rsidRPr="00713AE5">
        <w:rPr>
          <w:rFonts w:ascii="David" w:hAnsi="David"/>
          <w:b/>
          <w:bCs/>
          <w:rtl/>
        </w:rPr>
        <w:t>"מלאכת הענישה לעולם אינה מתמטית, ועליה להיגזר מנסיבותיו הקונקרטיות של כל מקרה לגופו"</w:t>
      </w:r>
      <w:r w:rsidRPr="00713AE5">
        <w:rPr>
          <w:rFonts w:ascii="David" w:hAnsi="David"/>
          <w:rtl/>
        </w:rPr>
        <w:t>.</w:t>
      </w:r>
    </w:p>
    <w:p w14:paraId="58A46C19" w14:textId="77777777" w:rsidR="00614E35" w:rsidRPr="00713AE5" w:rsidRDefault="00614E35" w:rsidP="00614E35">
      <w:pPr>
        <w:spacing w:line="360" w:lineRule="auto"/>
        <w:ind w:firstLine="720"/>
        <w:jc w:val="both"/>
        <w:rPr>
          <w:rFonts w:ascii="David" w:hAnsi="David"/>
          <w:b/>
          <w:bCs/>
          <w:rtl/>
        </w:rPr>
      </w:pPr>
      <w:r w:rsidRPr="00713AE5">
        <w:rPr>
          <w:rFonts w:ascii="David" w:hAnsi="David"/>
          <w:rtl/>
        </w:rPr>
        <w:t>[ראו:</w:t>
      </w:r>
      <w:r w:rsidRPr="00713AE5">
        <w:rPr>
          <w:rFonts w:ascii="David" w:hAnsi="David"/>
          <w:b/>
          <w:bCs/>
          <w:rtl/>
        </w:rPr>
        <w:t xml:space="preserve"> </w:t>
      </w:r>
      <w:hyperlink r:id="rId35" w:history="1">
        <w:r w:rsidR="00981D41" w:rsidRPr="00713AE5">
          <w:rPr>
            <w:rFonts w:ascii="David" w:hAnsi="David"/>
            <w:b/>
            <w:bCs/>
            <w:color w:val="0000FF"/>
            <w:u w:val="single"/>
            <w:rtl/>
          </w:rPr>
          <w:t>ע"פ 4232/20</w:t>
        </w:r>
      </w:hyperlink>
      <w:r w:rsidRPr="00713AE5">
        <w:rPr>
          <w:rFonts w:ascii="David" w:hAnsi="David"/>
          <w:b/>
          <w:bCs/>
          <w:rtl/>
        </w:rPr>
        <w:t xml:space="preserve"> פלוני נגד מדינת ישראל (12/11/20)</w:t>
      </w:r>
      <w:r w:rsidRPr="00713AE5">
        <w:rPr>
          <w:rFonts w:ascii="David" w:hAnsi="David"/>
          <w:rtl/>
        </w:rPr>
        <w:t xml:space="preserve"> (פסקה 9)]. </w:t>
      </w:r>
    </w:p>
    <w:p w14:paraId="36D3D6DF" w14:textId="77777777" w:rsidR="00614E35" w:rsidRPr="00713AE5" w:rsidRDefault="00614E35" w:rsidP="00614E35">
      <w:pPr>
        <w:tabs>
          <w:tab w:val="center" w:pos="4153"/>
          <w:tab w:val="right" w:pos="8306"/>
        </w:tabs>
        <w:spacing w:line="360" w:lineRule="auto"/>
        <w:jc w:val="both"/>
        <w:rPr>
          <w:rFonts w:ascii="David" w:hAnsi="David"/>
          <w:rtl/>
        </w:rPr>
      </w:pPr>
    </w:p>
    <w:p w14:paraId="77E6F00A" w14:textId="77777777" w:rsidR="00614E35" w:rsidRPr="00713AE5" w:rsidRDefault="00614E35" w:rsidP="00614E35">
      <w:pPr>
        <w:tabs>
          <w:tab w:val="center" w:pos="4153"/>
          <w:tab w:val="right" w:pos="8306"/>
        </w:tabs>
        <w:spacing w:line="360" w:lineRule="auto"/>
        <w:ind w:left="720"/>
        <w:jc w:val="both"/>
        <w:rPr>
          <w:rFonts w:ascii="David" w:hAnsi="David"/>
          <w:rtl/>
        </w:rPr>
      </w:pPr>
      <w:r w:rsidRPr="00713AE5">
        <w:rPr>
          <w:rFonts w:ascii="David" w:hAnsi="David"/>
          <w:rtl/>
        </w:rPr>
        <w:t>בחינת מדיניות הענישה הנוהגת מעלה כי בתי המשפט שוקלים פרמטרים שונים, וביניהם את כמות וסוג הנשק, האם היה טעון ומלווה בתחמושת, וסיבת נשיאתו, לצד השאלה האם לווה בעבירות נוספות ומאיזה סוג, אם כי ככלל בעבירות מהסוג עליו נותן הנאשם את הדין נוהגים בתי המשפט להחמיר בענישה. באשר לעבירת הנהיגה בפזיזות ורשלנות יש לשקול את רמת הסיכון שנבעה מנסיבות ביצוע העבירה.</w:t>
      </w:r>
    </w:p>
    <w:p w14:paraId="7193B753" w14:textId="77777777" w:rsidR="00614E35" w:rsidRPr="00713AE5" w:rsidRDefault="00614E35" w:rsidP="00614E35">
      <w:pPr>
        <w:spacing w:line="360" w:lineRule="auto"/>
        <w:jc w:val="both"/>
        <w:rPr>
          <w:rFonts w:ascii="David" w:hAnsi="David"/>
          <w:rtl/>
        </w:rPr>
      </w:pPr>
    </w:p>
    <w:p w14:paraId="4AECE98E" w14:textId="77777777" w:rsidR="00614E35" w:rsidRPr="00713AE5" w:rsidRDefault="00614E35" w:rsidP="00614E35">
      <w:pPr>
        <w:spacing w:line="360" w:lineRule="auto"/>
        <w:ind w:firstLine="720"/>
        <w:jc w:val="both"/>
        <w:rPr>
          <w:rFonts w:ascii="David" w:hAnsi="David"/>
          <w:rtl/>
        </w:rPr>
      </w:pPr>
      <w:r w:rsidRPr="00713AE5">
        <w:rPr>
          <w:rFonts w:ascii="David" w:hAnsi="David"/>
          <w:rtl/>
        </w:rPr>
        <w:t>ומכאן לפסיקה הנוהגת:</w:t>
      </w:r>
    </w:p>
    <w:p w14:paraId="7DC8D6E8" w14:textId="77777777" w:rsidR="00614E35" w:rsidRPr="00713AE5" w:rsidRDefault="00614E35" w:rsidP="00614E35">
      <w:pPr>
        <w:spacing w:line="360" w:lineRule="auto"/>
        <w:ind w:left="720"/>
        <w:jc w:val="both"/>
        <w:rPr>
          <w:rFonts w:ascii="David" w:hAnsi="David"/>
          <w:rtl/>
        </w:rPr>
      </w:pPr>
      <w:r w:rsidRPr="00713AE5">
        <w:rPr>
          <w:rFonts w:ascii="David" w:hAnsi="David"/>
          <w:rtl/>
        </w:rPr>
        <w:t>ב</w:t>
      </w:r>
      <w:r w:rsidRPr="00713AE5">
        <w:rPr>
          <w:rFonts w:ascii="David" w:hAnsi="David"/>
          <w:b/>
          <w:bCs/>
          <w:rtl/>
        </w:rPr>
        <w:t>פס"ד מדינת ישראל נגד פלוני</w:t>
      </w:r>
      <w:r w:rsidRPr="00713AE5">
        <w:rPr>
          <w:rFonts w:ascii="David" w:hAnsi="David"/>
          <w:rtl/>
        </w:rPr>
        <w:t xml:space="preserve">, אליו הפנה ב"כ הנאשם, נדון ערעור המדינה בעניינו של מי שהורשע, בהתאם להודאתו, בביצוע עבירות נשיאת נשק, הפרעה לשוטר במילוי תפקידו וכניסה ושהייה בישראל בניגוד לחוק. הנאשם, תושב ג'נין שלא היה מורשה להיכנס לישראל, נתפס כשהוא נוסע ברחבי אום אל פאחם כשהוא נושא על גופו אקדח חצי אוטומטי עם מחסנית וכדורים תואמים. כאשר התבקש לעצור לבדיקת השוטרים – יצא מהרכב והחל להימלט, ואחרי שנתפס – נאבק בשוטר, עד שנעצר בעזרת 2 שוטרים נוספים. בית המשפט המחוזי קבע מתחם הנע בין 16-40 חודשי מאסר בפועל, ובשל נסיבותיו האישיות של הנאשם והיעדר עבר פלילי – הטיל עליו 18 חודשי מאסר בפועל, בניכוי ימי מעצרו, לצד מאסר מותנה וקנס. </w:t>
      </w:r>
    </w:p>
    <w:p w14:paraId="1CE978D2"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בית המשפט העליון קיבל את ערעור המדינה על קולת העונש וקבע </w:t>
      </w:r>
      <w:r w:rsidRPr="00713AE5">
        <w:rPr>
          <w:rFonts w:ascii="David" w:hAnsi="David"/>
          <w:noProof/>
          <w:rtl/>
        </w:rPr>
        <w:t>כי</w:t>
      </w:r>
      <w:r w:rsidRPr="00713AE5">
        <w:rPr>
          <w:rFonts w:ascii="David" w:hAnsi="David"/>
          <w:b/>
          <w:bCs/>
          <w:noProof/>
          <w:rtl/>
        </w:rPr>
        <w:t xml:space="preserve"> "כעולה מפסיקתו של בית משפט זה, מתחם הענישה הרגיל שראוי לקבוע לנאשם בגיר בגין נשיאה בלתי חוקית של נשק חם במרחב הציבורי נע בין 30 ל-42 חודשי מאסר בין סורג ובריח </w:t>
      </w:r>
      <w:r w:rsidRPr="00713AE5">
        <w:rPr>
          <w:rFonts w:ascii="David" w:hAnsi="David"/>
          <w:b/>
          <w:bCs/>
          <w:rtl/>
        </w:rPr>
        <w:t xml:space="preserve">... הווה אומר: באין נסיבות מיוחדות לחומרא או לקולא, </w:t>
      </w:r>
      <w:r w:rsidRPr="00713AE5">
        <w:rPr>
          <w:b/>
          <w:bCs/>
          <w:sz w:val="20"/>
          <w:rtl/>
        </w:rPr>
        <w:t>יהא זה בהחלט סביר אם בית משפט יטיל על נאשם כאמור עונש של 36 חודשי מאסר לריצוי בפועל.</w:t>
      </w:r>
      <w:r w:rsidRPr="00713AE5">
        <w:rPr>
          <w:rFonts w:ascii="David" w:hAnsi="David"/>
          <w:b/>
          <w:bCs/>
          <w:rtl/>
        </w:rPr>
        <w:t xml:space="preserve">...". </w:t>
      </w:r>
      <w:r w:rsidRPr="00713AE5">
        <w:rPr>
          <w:rFonts w:ascii="David" w:hAnsi="David"/>
          <w:b/>
          <w:bCs/>
          <w:noProof/>
          <w:rtl/>
        </w:rPr>
        <w:t xml:space="preserve"> [ראו </w:t>
      </w:r>
      <w:r w:rsidRPr="00713AE5">
        <w:rPr>
          <w:rFonts w:ascii="David" w:hAnsi="David"/>
          <w:b/>
          <w:bCs/>
          <w:rtl/>
        </w:rPr>
        <w:t xml:space="preserve">פסקאות 15-16]. </w:t>
      </w:r>
      <w:r w:rsidRPr="00713AE5">
        <w:rPr>
          <w:rFonts w:ascii="David" w:hAnsi="David"/>
          <w:rtl/>
        </w:rPr>
        <w:t xml:space="preserve">יובהר כי באמירה זו התייחס בית המשפט לקביעת מתחם עונש הולם בגין ביצוע עבירת נשיאת נשק במרחב הציבורי בלבד, ואילו במקרה שלפניי הנאשם לא רק שנשא שני נשקים אלא אף ביצע עבירות נלוות שיש אף בהן להשפיע על קביעת מתחם העונש. </w:t>
      </w:r>
    </w:p>
    <w:p w14:paraId="43CCD18D"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באותו המקרה, לאור נסיבותיו האישיות של הנאשם, ובין היתר מצבו הרפואי והיעדר עבר פלילי, מחד גיסא, ומאיד גיסא בשל העבירות הנלוות – ומאחר ובית המשפט ביושבו כערכאת ערעור אינו ממצה את הדין עם הנאשם – העמיד בית המשפט את עונשו של הנאשם על 28 חודשי מאסר.   </w:t>
      </w:r>
    </w:p>
    <w:p w14:paraId="238FF015" w14:textId="77777777" w:rsidR="00614E35" w:rsidRPr="00713AE5" w:rsidRDefault="00614E35" w:rsidP="00614E35">
      <w:pPr>
        <w:spacing w:line="360" w:lineRule="auto"/>
        <w:contextualSpacing/>
        <w:jc w:val="both"/>
        <w:rPr>
          <w:rFonts w:ascii="David" w:hAnsi="David"/>
          <w:rtl/>
        </w:rPr>
      </w:pPr>
    </w:p>
    <w:p w14:paraId="63FA11A5" w14:textId="77777777" w:rsidR="00614E35" w:rsidRPr="00713AE5" w:rsidRDefault="00614E35" w:rsidP="00614E35">
      <w:pPr>
        <w:spacing w:line="360" w:lineRule="auto"/>
        <w:ind w:left="720"/>
        <w:jc w:val="both"/>
        <w:rPr>
          <w:rFonts w:ascii="David" w:hAnsi="David"/>
          <w:b/>
          <w:bCs/>
          <w:rtl/>
        </w:rPr>
      </w:pPr>
      <w:r w:rsidRPr="00713AE5">
        <w:rPr>
          <w:rFonts w:ascii="David" w:hAnsi="David"/>
          <w:rtl/>
        </w:rPr>
        <w:t>ב</w:t>
      </w:r>
      <w:hyperlink r:id="rId36" w:history="1">
        <w:r w:rsidR="00981D41" w:rsidRPr="00713AE5">
          <w:rPr>
            <w:rFonts w:ascii="David" w:hAnsi="David"/>
            <w:b/>
            <w:bCs/>
            <w:color w:val="0000FF"/>
            <w:u w:val="single"/>
            <w:rtl/>
          </w:rPr>
          <w:t>ע"פ 5819/21</w:t>
        </w:r>
      </w:hyperlink>
      <w:r w:rsidRPr="00713AE5">
        <w:rPr>
          <w:rFonts w:ascii="David" w:hAnsi="David"/>
          <w:b/>
          <w:bCs/>
          <w:rtl/>
        </w:rPr>
        <w:t xml:space="preserve"> עודה נגד מדינת ישראל (02/11/21)</w:t>
      </w:r>
      <w:r w:rsidRPr="00713AE5">
        <w:rPr>
          <w:rFonts w:ascii="David" w:hAnsi="David"/>
          <w:rtl/>
        </w:rPr>
        <w:t>, אליו הפנתה המאשימה, נדון ערעורו של מי שהורשע בביצוע עבירת נשיאת נשק ותחמושת שלא כדין, שיבוש מהלכי משפט והפרעה לשוטר במילוי תפקידו. במקרה זה, לאחר שנשמעו קולות ירי סמוך למקום בו שהה הנאשם – הנאשם נמלט מהשוטרים כשהוא נושא בידו נשק דמוי תת מקלע ובתוכו מחסנית וכדורי תחמושת. בית המשפט המחוזי הטיל על הנאשם, בין היתר, 33 חודשי מאסר בפועל. בית המשפט העליון קבע כי עונשו של הנאשם איננו חמור נוכח נסיבות ביצוע העבירות, וכי יש צורך בהחמרת הענישה בעבירות מסוג זה.</w:t>
      </w:r>
      <w:r w:rsidRPr="00713AE5">
        <w:rPr>
          <w:rFonts w:ascii="David" w:hAnsi="David"/>
          <w:b/>
          <w:bCs/>
          <w:rtl/>
        </w:rPr>
        <w:t xml:space="preserve"> </w:t>
      </w:r>
    </w:p>
    <w:p w14:paraId="0B83D3BE" w14:textId="77777777" w:rsidR="00614E35" w:rsidRPr="00713AE5" w:rsidRDefault="00614E35" w:rsidP="00614E35">
      <w:pPr>
        <w:spacing w:line="360" w:lineRule="auto"/>
        <w:jc w:val="both"/>
        <w:rPr>
          <w:rFonts w:ascii="David" w:hAnsi="David"/>
          <w:rtl/>
        </w:rPr>
      </w:pPr>
    </w:p>
    <w:p w14:paraId="5B5EC99B" w14:textId="77777777" w:rsidR="00614E35" w:rsidRPr="00713AE5" w:rsidRDefault="00614E35" w:rsidP="00614E35">
      <w:pPr>
        <w:spacing w:line="360" w:lineRule="auto"/>
        <w:ind w:left="720"/>
        <w:jc w:val="both"/>
        <w:rPr>
          <w:rFonts w:ascii="David" w:hAnsi="David"/>
          <w:b/>
          <w:bCs/>
          <w:rtl/>
        </w:rPr>
      </w:pPr>
      <w:r w:rsidRPr="00713AE5">
        <w:rPr>
          <w:rFonts w:ascii="David" w:hAnsi="David"/>
          <w:rtl/>
        </w:rPr>
        <w:t>ב</w:t>
      </w:r>
      <w:hyperlink r:id="rId37" w:history="1">
        <w:r w:rsidR="00981D41" w:rsidRPr="00713AE5">
          <w:rPr>
            <w:rFonts w:ascii="David" w:hAnsi="David"/>
            <w:b/>
            <w:bCs/>
            <w:color w:val="0000FF"/>
            <w:u w:val="single"/>
            <w:rtl/>
          </w:rPr>
          <w:t>ע"פ 6047/20</w:t>
        </w:r>
      </w:hyperlink>
      <w:r w:rsidRPr="00713AE5">
        <w:rPr>
          <w:rFonts w:ascii="David" w:hAnsi="David"/>
          <w:b/>
          <w:bCs/>
          <w:rtl/>
        </w:rPr>
        <w:t xml:space="preserve"> רוש נגד מדינת ישראל (18/11/20) </w:t>
      </w:r>
      <w:r w:rsidRPr="00713AE5">
        <w:rPr>
          <w:rFonts w:ascii="David" w:hAnsi="David"/>
          <w:rtl/>
        </w:rPr>
        <w:t>נדון ערעורו של מי שהורשע בביצוע עבירת הובלת נשק, וזאת לאחר שהודה בכך שבעת שרכב על אופנוע בכביש 4, נשא על גבו תיק גב ובו אקדח ובתוכו מחסנית עם כדור אחד ומשתיק קול. לאחר ששוטרים הורו לו לעצור – ניסה הנאשם לעבור את החסימה אך נפל אל הקרקע, קם ורץ לעבר שטח ההפרדה בין הנתיבים – אך נעצר על ידי השוטרים. בית המשפט המחוזי קבע מתחם ענישה הנע בין 2-4.5 שנות מאסר, והטיל על הנאשם 30 חודשי מאסר בפועל, לצד הפעלת מאסר מותנה, במצטבר. בהסכמת ב"כ הצדדים, בשים לב להסדר המקורי אליו הגיעו, הקל בית המשפט העליון בעונשו של הנאשם והטיל עליו 24 חודשי מאסר בפועל, וכן קבע כי מחצית מהמאסר המותנה יופעל בחופף.</w:t>
      </w:r>
      <w:r w:rsidRPr="00713AE5">
        <w:rPr>
          <w:rFonts w:ascii="David" w:hAnsi="David"/>
          <w:b/>
          <w:bCs/>
          <w:rtl/>
        </w:rPr>
        <w:t xml:space="preserve"> </w:t>
      </w:r>
    </w:p>
    <w:p w14:paraId="5E69383E" w14:textId="77777777" w:rsidR="00614E35" w:rsidRPr="00713AE5" w:rsidRDefault="00614E35" w:rsidP="00614E35">
      <w:pPr>
        <w:spacing w:line="360" w:lineRule="auto"/>
        <w:jc w:val="both"/>
        <w:rPr>
          <w:rFonts w:ascii="David" w:hAnsi="David"/>
          <w:b/>
          <w:bCs/>
          <w:rtl/>
        </w:rPr>
      </w:pPr>
    </w:p>
    <w:p w14:paraId="059F82CF" w14:textId="77777777" w:rsidR="00614E35" w:rsidRPr="00713AE5" w:rsidRDefault="00614E35" w:rsidP="00614E35">
      <w:pPr>
        <w:spacing w:line="360" w:lineRule="auto"/>
        <w:ind w:left="720"/>
        <w:jc w:val="both"/>
        <w:rPr>
          <w:rFonts w:ascii="David" w:hAnsi="David"/>
          <w:b/>
          <w:bCs/>
          <w:rtl/>
        </w:rPr>
      </w:pPr>
      <w:r w:rsidRPr="00713AE5">
        <w:rPr>
          <w:rFonts w:ascii="David" w:hAnsi="David"/>
          <w:rtl/>
        </w:rPr>
        <w:t>ב</w:t>
      </w:r>
      <w:hyperlink r:id="rId38" w:history="1">
        <w:r w:rsidR="00981D41" w:rsidRPr="00713AE5">
          <w:rPr>
            <w:rFonts w:ascii="David" w:hAnsi="David"/>
            <w:b/>
            <w:bCs/>
            <w:color w:val="0000FF"/>
            <w:u w:val="single"/>
            <w:rtl/>
          </w:rPr>
          <w:t>ע"פ 3877/20</w:t>
        </w:r>
      </w:hyperlink>
      <w:r w:rsidRPr="00713AE5">
        <w:rPr>
          <w:rFonts w:ascii="David" w:hAnsi="David"/>
          <w:b/>
          <w:bCs/>
          <w:rtl/>
        </w:rPr>
        <w:t xml:space="preserve"> ג'באלי נגד מדינת ישראל (17/11/16)</w:t>
      </w:r>
      <w:r w:rsidRPr="00713AE5">
        <w:rPr>
          <w:rFonts w:ascii="David" w:hAnsi="David"/>
          <w:rtl/>
        </w:rPr>
        <w:t>, אליו הפנו גם המאשימה וגם ההגנה, נדון ערעורו של מי שהורשע בביצוע עבירת נשיאת נשק, וזאת לאחר שהודה בכך שנסע יחד עם אחר ברכב, ונשא אקדח גנוב הטעון במחסנית שבה 14 כדורים. משהגיע למקום מפגש שתואם בין אחרים החביא את האקדח במכנסיו, ומשהגיעו שוטרים למקום השליך את האקדח לרצפה. בית המשפט המחוזי קבע מתחם ענישה הנע בין 24-48 חודשי מאסר בפועל, והטיל על הנאשם, בין היתר, 34 חודשי מאסר בפועל. בית המשפט העליון קבע כי העונש שהוטל על הנאשם איננו קל, אך לא חורג ממדיניות הענישה וזאת ביתר שאת נוכח עברו הפלילי של הנאשם שבגינו ריצה אף מאסר ממושך.</w:t>
      </w:r>
    </w:p>
    <w:p w14:paraId="536A0256" w14:textId="77777777" w:rsidR="00614E35" w:rsidRPr="00713AE5" w:rsidRDefault="00614E35" w:rsidP="00614E35">
      <w:pPr>
        <w:spacing w:line="360" w:lineRule="auto"/>
        <w:jc w:val="both"/>
        <w:rPr>
          <w:rFonts w:ascii="David" w:hAnsi="David"/>
          <w:b/>
          <w:bCs/>
          <w:rtl/>
        </w:rPr>
      </w:pPr>
    </w:p>
    <w:p w14:paraId="24E86D7E" w14:textId="77777777" w:rsidR="00614E35" w:rsidRPr="00713AE5" w:rsidRDefault="00614E35" w:rsidP="00614E35">
      <w:pPr>
        <w:spacing w:line="360" w:lineRule="auto"/>
        <w:ind w:left="720"/>
        <w:jc w:val="both"/>
        <w:rPr>
          <w:rFonts w:ascii="David" w:hAnsi="David"/>
          <w:b/>
          <w:bCs/>
          <w:rtl/>
        </w:rPr>
      </w:pPr>
      <w:r w:rsidRPr="00713AE5">
        <w:rPr>
          <w:rFonts w:ascii="David" w:hAnsi="David"/>
          <w:rtl/>
        </w:rPr>
        <w:t>ב</w:t>
      </w:r>
      <w:hyperlink r:id="rId39" w:history="1">
        <w:r w:rsidR="00981D41" w:rsidRPr="00713AE5">
          <w:rPr>
            <w:rFonts w:ascii="David" w:hAnsi="David"/>
            <w:b/>
            <w:bCs/>
            <w:color w:val="0000FF"/>
            <w:u w:val="single"/>
            <w:rtl/>
          </w:rPr>
          <w:t>ע"פ 6484/12</w:t>
        </w:r>
      </w:hyperlink>
      <w:r w:rsidRPr="00713AE5">
        <w:rPr>
          <w:rFonts w:ascii="David" w:hAnsi="David"/>
          <w:b/>
          <w:bCs/>
          <w:rtl/>
        </w:rPr>
        <w:t xml:space="preserve"> צוברה נגד מדינת ישראל (30/04/13)</w:t>
      </w:r>
      <w:r w:rsidRPr="00713AE5">
        <w:rPr>
          <w:rFonts w:ascii="David" w:hAnsi="David"/>
          <w:rtl/>
        </w:rPr>
        <w:t xml:space="preserve">, אליו הפנתה ההגנה, נדון ערעורו של מי שהורשע בביצוע עבירת נשיאת נשק, נהיגה בפזיזות ורשלנות והפרעה לשוטר במילוי תפקידו, וזאת לאחר שהודה בכך שקיבל מאחר תיק שבתוכו מטען חבלה והניחו ברכבו. משנעצר הרכב עקב עומס תנועה, רצו 3 בלשי משטרה במטרה לעצור את הנאשם, ואחד מהם הצליח לפתוח את הדלת ולהחזיקו בחולצתו. בשלב זה לחץ הנאשם על דוושת הגז, החל במנוסה והתעלם מהקריאות לעצור, נסע בצורה פרועה, תוך פגיעה ברכבים, עד שהתנגש בעץ, ונתפס רק לאחר מרדף רגלי. בית המשפט המחוזי הטיל על הנאשם, בין היתר, 34 חודשי מאסר בפועל ו-30 חודשי פסילה מהחזקת רישיון נהיגה. הערעור נסוב סביב עניין רכיב הפסילה בלבד. בית המשפט העליון קיבל את הערעור לאחר שציין כי אין מחלוקת שלא הייתה לנאשם דרך לדעת כי הרודפים אחריו הם שוטרים, ומשכך הופחת רכיב הפסילה ל-22 חודשים. </w:t>
      </w:r>
    </w:p>
    <w:p w14:paraId="03BD42DC" w14:textId="77777777" w:rsidR="00614E35" w:rsidRPr="00713AE5" w:rsidRDefault="00614E35" w:rsidP="00614E35">
      <w:pPr>
        <w:spacing w:line="360" w:lineRule="auto"/>
        <w:jc w:val="both"/>
        <w:rPr>
          <w:rFonts w:ascii="David" w:hAnsi="David"/>
          <w:b/>
          <w:bCs/>
          <w:rtl/>
        </w:rPr>
      </w:pPr>
    </w:p>
    <w:p w14:paraId="0EBA9B5C" w14:textId="77777777" w:rsidR="00614E35" w:rsidRPr="00713AE5" w:rsidRDefault="00614E35" w:rsidP="00614E35">
      <w:pPr>
        <w:spacing w:line="360" w:lineRule="auto"/>
        <w:ind w:left="720"/>
        <w:jc w:val="both"/>
        <w:rPr>
          <w:rFonts w:ascii="David" w:hAnsi="David"/>
          <w:b/>
          <w:bCs/>
          <w:rtl/>
        </w:rPr>
      </w:pPr>
      <w:r w:rsidRPr="00713AE5">
        <w:rPr>
          <w:rFonts w:ascii="David" w:hAnsi="David"/>
          <w:rtl/>
        </w:rPr>
        <w:t>ב</w:t>
      </w:r>
      <w:hyperlink r:id="rId40" w:history="1">
        <w:r w:rsidR="00981D41" w:rsidRPr="00713AE5">
          <w:rPr>
            <w:rFonts w:ascii="David" w:hAnsi="David"/>
            <w:b/>
            <w:bCs/>
            <w:color w:val="0000FF"/>
            <w:u w:val="single"/>
            <w:rtl/>
          </w:rPr>
          <w:t>ע"פ 3156/11</w:t>
        </w:r>
      </w:hyperlink>
      <w:r w:rsidRPr="00713AE5">
        <w:rPr>
          <w:rFonts w:ascii="David" w:hAnsi="David"/>
          <w:b/>
          <w:bCs/>
          <w:rtl/>
        </w:rPr>
        <w:t xml:space="preserve"> זראיעה נגד מדינת ישראל (21/02/12) </w:t>
      </w:r>
      <w:r w:rsidRPr="00713AE5">
        <w:rPr>
          <w:rFonts w:ascii="David" w:hAnsi="David"/>
          <w:rtl/>
        </w:rPr>
        <w:t xml:space="preserve">נדון ערעורו של מי שהורשע בביצוע עבירת נשיאת והובלת נשק והסתייעות ברכב לביצוע פשע, וזאת לאחר שהודה בכך שבעת שנסע ברכבו הסליק בו אקדח, מחסנית טעונה וקופסאות כדורים, אשר נתפסו בחיפוש שגרתי שביצעה המשטרה. בית המשפט המחוזי הטיל על הנאשם, בין היתר, 24 חודשי מאסר בפועל וקנס בסך 10,000 ₪. בית המשפט העליון דחה את ערעורו של הנאשם וקבע כי בית המשפט המחוזי ערך איזון ראוי בין האינטרס הציבורי של גמול והרתעה לבין השיקולים האינדיבידואליים של הנאשם. </w:t>
      </w:r>
    </w:p>
    <w:p w14:paraId="27E6DD0F" w14:textId="77777777" w:rsidR="00614E35" w:rsidRPr="00713AE5" w:rsidRDefault="00614E35" w:rsidP="00614E35">
      <w:pPr>
        <w:spacing w:line="360" w:lineRule="auto"/>
        <w:jc w:val="both"/>
        <w:rPr>
          <w:rFonts w:ascii="David" w:hAnsi="David"/>
          <w:b/>
          <w:bCs/>
          <w:rtl/>
        </w:rPr>
      </w:pPr>
    </w:p>
    <w:p w14:paraId="5EBB4A9C" w14:textId="77777777" w:rsidR="00614E35" w:rsidRPr="00713AE5" w:rsidRDefault="00614E35" w:rsidP="00614E35">
      <w:pPr>
        <w:spacing w:line="360" w:lineRule="auto"/>
        <w:ind w:left="720"/>
        <w:jc w:val="both"/>
        <w:rPr>
          <w:rFonts w:ascii="David" w:hAnsi="David"/>
          <w:rtl/>
        </w:rPr>
      </w:pPr>
      <w:r w:rsidRPr="00713AE5">
        <w:rPr>
          <w:rFonts w:ascii="David" w:hAnsi="David"/>
          <w:rtl/>
        </w:rPr>
        <w:t>ב</w:t>
      </w:r>
      <w:hyperlink r:id="rId41" w:history="1">
        <w:r w:rsidR="00981D41" w:rsidRPr="00713AE5">
          <w:rPr>
            <w:rFonts w:ascii="David" w:hAnsi="David"/>
            <w:b/>
            <w:bCs/>
            <w:color w:val="0000FF"/>
            <w:u w:val="single"/>
            <w:rtl/>
          </w:rPr>
          <w:t>ת"פ 43009-08-20</w:t>
        </w:r>
      </w:hyperlink>
      <w:r w:rsidRPr="00713AE5">
        <w:rPr>
          <w:rFonts w:ascii="David" w:hAnsi="David"/>
          <w:b/>
          <w:bCs/>
          <w:rtl/>
        </w:rPr>
        <w:t xml:space="preserve"> מדינת ישראל גנד אבו גאמע (21/11/21), </w:t>
      </w:r>
      <w:r w:rsidRPr="00713AE5">
        <w:rPr>
          <w:rFonts w:ascii="David" w:hAnsi="David"/>
          <w:rtl/>
        </w:rPr>
        <w:t>אליו הפנתה ההגנה</w:t>
      </w:r>
      <w:r w:rsidRPr="00713AE5">
        <w:rPr>
          <w:rFonts w:ascii="David" w:hAnsi="David"/>
          <w:b/>
          <w:bCs/>
          <w:rtl/>
        </w:rPr>
        <w:t xml:space="preserve"> </w:t>
      </w:r>
      <w:r w:rsidRPr="00713AE5">
        <w:rPr>
          <w:rFonts w:ascii="David" w:hAnsi="David"/>
          <w:rtl/>
        </w:rPr>
        <w:t xml:space="preserve">הטיל בית המשפט המחוזי עונש מאסר בפועל בן 24 חודשים לצד ענישה נלווית על נאשם אשר הורשע בנשיאת והובלת נשק עת החזיק אקדח 9 מ"מ מסוג </w:t>
      </w:r>
      <w:r w:rsidRPr="00713AE5">
        <w:rPr>
          <w:rFonts w:ascii="David" w:hAnsi="David"/>
        </w:rPr>
        <w:t>FN</w:t>
      </w:r>
      <w:r w:rsidRPr="00713AE5">
        <w:rPr>
          <w:rFonts w:ascii="David" w:hAnsi="David"/>
          <w:rtl/>
        </w:rPr>
        <w:t xml:space="preserve"> ובו מחסנית ריקה, ובהפרעה לשוטר עת ברח רגלית מהרכב בו נסע לנתיב הנגדי של הכביש, מעד ונעצר על ידי שוטר. כל זאת על אף המלצת שירות המבחן להסתפק בעונש מאסר שירוצה בעבודות שירות. </w:t>
      </w:r>
    </w:p>
    <w:p w14:paraId="522A2B6C" w14:textId="77777777" w:rsidR="00614E35" w:rsidRPr="00713AE5" w:rsidRDefault="00614E35" w:rsidP="00614E35">
      <w:pPr>
        <w:spacing w:line="360" w:lineRule="auto"/>
        <w:jc w:val="both"/>
        <w:rPr>
          <w:rFonts w:ascii="David" w:hAnsi="David"/>
          <w:rtl/>
        </w:rPr>
      </w:pPr>
    </w:p>
    <w:p w14:paraId="36D0A587" w14:textId="77777777" w:rsidR="00614E35" w:rsidRPr="00713AE5" w:rsidRDefault="00614E35" w:rsidP="00614E35">
      <w:pPr>
        <w:spacing w:line="360" w:lineRule="auto"/>
        <w:ind w:left="720"/>
        <w:jc w:val="both"/>
        <w:rPr>
          <w:rFonts w:ascii="David" w:hAnsi="David"/>
          <w:rtl/>
        </w:rPr>
      </w:pPr>
      <w:r w:rsidRPr="00713AE5">
        <w:rPr>
          <w:rFonts w:ascii="David" w:hAnsi="David"/>
          <w:rtl/>
        </w:rPr>
        <w:t>ב</w:t>
      </w:r>
      <w:hyperlink r:id="rId42" w:history="1">
        <w:r w:rsidR="00981D41" w:rsidRPr="00713AE5">
          <w:rPr>
            <w:rFonts w:ascii="David" w:hAnsi="David"/>
            <w:b/>
            <w:bCs/>
            <w:color w:val="0000FF"/>
            <w:u w:val="single"/>
            <w:rtl/>
          </w:rPr>
          <w:t>ת"פ 17073-08-21</w:t>
        </w:r>
      </w:hyperlink>
      <w:r w:rsidRPr="00713AE5">
        <w:rPr>
          <w:rFonts w:ascii="David" w:hAnsi="David"/>
          <w:b/>
          <w:bCs/>
          <w:rtl/>
        </w:rPr>
        <w:t xml:space="preserve"> מדינת ישראל נגד אבן חמיד (18/07/22), </w:t>
      </w:r>
      <w:r w:rsidRPr="00713AE5">
        <w:rPr>
          <w:rFonts w:ascii="David" w:hAnsi="David"/>
          <w:rtl/>
        </w:rPr>
        <w:t xml:space="preserve">אליו הפנתה המאשימה, הטיל בית המשפט המחוזי עונש מאסר בפועל בן 44 חודשים לצד ענישה נלווית על נאשם אשר הורשע בהתאם להודאתו בביצוע עבירות הובלת נשק, הפרעה לשוטר ונהיגה ללא רישיון וללא ביטוח תקפים. במקרה זה, בעת פעילות יזומה של המשטרה הגיעו שוטרים למקום מושבו של הנאשם אשר ברח מהמקום על אף קריאות שוטר "משטרה לעצור", עלה על רכב והחל בנסיעה על אף ירי באוויר שביצע השוטר ועל אף שזה נתלה על חלון רכבו. הנאשם נעצר רק לאחר שהשוטר ביצע ירי לעבר רגלו, אז הוברר כי הנאשם הוביל ברכב אקדח מסוג 'גלוק' טעון במחסנית ובה 16 כדורים. בית המשפט קבע מתחם הנע בין 40-55 חודשי מאסר בפועל, והטיל על הנאשם, נעדר עבר פלילי, עונש מאסר בן 44 חודשים. </w:t>
      </w:r>
    </w:p>
    <w:p w14:paraId="7D6AF6F8" w14:textId="77777777" w:rsidR="00614E35" w:rsidRPr="00713AE5" w:rsidRDefault="00614E35" w:rsidP="00614E35">
      <w:pPr>
        <w:spacing w:line="360" w:lineRule="auto"/>
        <w:jc w:val="both"/>
        <w:rPr>
          <w:rFonts w:ascii="David" w:hAnsi="David"/>
          <w:b/>
          <w:bCs/>
          <w:rtl/>
        </w:rPr>
      </w:pPr>
    </w:p>
    <w:p w14:paraId="0B917A83" w14:textId="77777777" w:rsidR="00614E35" w:rsidRPr="00713AE5" w:rsidRDefault="00614E35" w:rsidP="00614E35">
      <w:pPr>
        <w:spacing w:line="360" w:lineRule="auto"/>
        <w:ind w:left="720"/>
        <w:jc w:val="both"/>
        <w:rPr>
          <w:rFonts w:ascii="David" w:hAnsi="David"/>
          <w:b/>
          <w:bCs/>
          <w:rtl/>
        </w:rPr>
      </w:pPr>
      <w:r w:rsidRPr="00713AE5">
        <w:rPr>
          <w:rFonts w:ascii="David" w:hAnsi="David"/>
          <w:b/>
          <w:bCs/>
          <w:rtl/>
        </w:rPr>
        <w:t>יודגש כי למעט פס"ד פלוני, יתר פסקי הדין אליהם הפניתי, ניתנו טרם תיקון 140 ל</w:t>
      </w:r>
      <w:hyperlink r:id="rId43" w:history="1">
        <w:r w:rsidR="00981D41" w:rsidRPr="00713AE5">
          <w:rPr>
            <w:rFonts w:ascii="David" w:hAnsi="David"/>
            <w:b/>
            <w:bCs/>
            <w:color w:val="0000FF"/>
            <w:u w:val="single"/>
            <w:rtl/>
          </w:rPr>
          <w:t>חוק העונשין</w:t>
        </w:r>
      </w:hyperlink>
      <w:r w:rsidRPr="00713AE5">
        <w:rPr>
          <w:rFonts w:ascii="David" w:hAnsi="David"/>
          <w:b/>
          <w:bCs/>
          <w:rtl/>
        </w:rPr>
        <w:t xml:space="preserve">, שבמסגרתו, כאמור, ביקש המחוקק להביא להחמרה בענישה בעבירות נשק. </w:t>
      </w:r>
    </w:p>
    <w:p w14:paraId="6715B526" w14:textId="77777777" w:rsidR="00614E35" w:rsidRPr="00713AE5" w:rsidRDefault="00614E35" w:rsidP="00614E35">
      <w:pPr>
        <w:spacing w:line="360" w:lineRule="auto"/>
        <w:jc w:val="both"/>
        <w:rPr>
          <w:rFonts w:ascii="David" w:hAnsi="David"/>
          <w:b/>
          <w:bCs/>
          <w:rtl/>
        </w:rPr>
      </w:pPr>
    </w:p>
    <w:p w14:paraId="46D37089" w14:textId="77777777" w:rsidR="00614E35" w:rsidRPr="00713AE5" w:rsidRDefault="00614E35" w:rsidP="00614E35">
      <w:pPr>
        <w:spacing w:line="360" w:lineRule="auto"/>
        <w:ind w:left="720"/>
        <w:jc w:val="both"/>
        <w:rPr>
          <w:rFonts w:ascii="David" w:hAnsi="David"/>
          <w:rtl/>
        </w:rPr>
      </w:pPr>
      <w:r w:rsidRPr="00713AE5">
        <w:rPr>
          <w:rFonts w:ascii="David" w:hAnsi="David"/>
          <w:rtl/>
        </w:rPr>
        <w:t>ב</w:t>
      </w:r>
      <w:hyperlink r:id="rId44" w:history="1">
        <w:r w:rsidR="00981D41" w:rsidRPr="00713AE5">
          <w:rPr>
            <w:rFonts w:ascii="David" w:hAnsi="David"/>
            <w:b/>
            <w:bCs/>
            <w:color w:val="0000FF"/>
            <w:u w:val="single"/>
            <w:rtl/>
          </w:rPr>
          <w:t>ע"פ 8116/10</w:t>
        </w:r>
      </w:hyperlink>
      <w:r w:rsidRPr="00713AE5">
        <w:rPr>
          <w:rFonts w:ascii="David" w:hAnsi="David"/>
          <w:b/>
          <w:bCs/>
          <w:rtl/>
        </w:rPr>
        <w:t xml:space="preserve"> מרעי אבו עאמר נגד מדינת ישראל (10/03/11)</w:t>
      </w:r>
      <w:r w:rsidRPr="00713AE5">
        <w:rPr>
          <w:rFonts w:ascii="David" w:hAnsi="David"/>
          <w:rtl/>
        </w:rPr>
        <w:t xml:space="preserve">, אליו הפנתה המאשימה, נדון ערעורו של מי שהורשע בביצוע עבירות של נהיגה בפזיזות וברשלנות, היזק לרכוש במזיד והעלבת עובד ציבור, וזאת משהודה שלאחר שחיילים הורו לו לעצור, הוא הוריד חמישה נוסעים מהרכב, ביצע פניית פרסה, נסע לעבר הרכב הצבאי, הגביר את מהירות נסיעתו ומשהרכב הצבאי סטה מהדרך הוא התנגש בצדו. כתוצאה מההתנגשות נפצע אחד החיילים. המערער המשיך בנסיעה עד שרכב משטרתי עצרו. בית המשפט הטיל על הנאשם, בעל עבר פלילי, 15 חודשי מאסר בפועל, וזאת על אף המלצת תסקיר שירות המבחן להסתפק בהטלת עונש מאסר לריצוי בעבודות שירות. בית המשפט העליון דחה הערעור תוך שקבע כי העונש אינו חורג בחומרתו. </w:t>
      </w:r>
    </w:p>
    <w:p w14:paraId="389109AB" w14:textId="77777777" w:rsidR="00614E35" w:rsidRPr="00713AE5" w:rsidRDefault="00614E35" w:rsidP="00614E35">
      <w:pPr>
        <w:spacing w:line="360" w:lineRule="auto"/>
        <w:jc w:val="both"/>
        <w:rPr>
          <w:rFonts w:ascii="David" w:hAnsi="David"/>
          <w:rtl/>
        </w:rPr>
      </w:pPr>
    </w:p>
    <w:p w14:paraId="2F2CAD0E" w14:textId="77777777" w:rsidR="00614E35" w:rsidRPr="00713AE5" w:rsidRDefault="00614E35" w:rsidP="00614E35">
      <w:pPr>
        <w:overflowPunct w:val="0"/>
        <w:autoSpaceDE w:val="0"/>
        <w:autoSpaceDN w:val="0"/>
        <w:spacing w:line="360" w:lineRule="auto"/>
        <w:ind w:left="720"/>
        <w:jc w:val="both"/>
        <w:outlineLvl w:val="1"/>
        <w:rPr>
          <w:rFonts w:ascii="David" w:eastAsia="Calibri" w:hAnsi="David"/>
          <w:spacing w:val="10"/>
          <w:rtl/>
        </w:rPr>
      </w:pPr>
      <w:bookmarkStart w:id="8" w:name="_Toc83673286"/>
      <w:r w:rsidRPr="00713AE5">
        <w:rPr>
          <w:rFonts w:ascii="David" w:hAnsi="David"/>
          <w:rtl/>
        </w:rPr>
        <w:t>ב</w:t>
      </w:r>
      <w:hyperlink r:id="rId45" w:history="1">
        <w:r w:rsidR="00981D41" w:rsidRPr="00713AE5">
          <w:rPr>
            <w:rFonts w:ascii="David" w:hAnsi="David"/>
            <w:b/>
            <w:bCs/>
            <w:color w:val="0000FF"/>
            <w:u w:val="single"/>
            <w:rtl/>
          </w:rPr>
          <w:t>רע"פ 115/21</w:t>
        </w:r>
      </w:hyperlink>
      <w:r w:rsidRPr="00713AE5">
        <w:rPr>
          <w:rFonts w:ascii="David" w:hAnsi="David"/>
          <w:b/>
          <w:bCs/>
          <w:rtl/>
        </w:rPr>
        <w:t xml:space="preserve"> סער צוברי נגד מדינת ישרא</w:t>
      </w:r>
      <w:bookmarkEnd w:id="8"/>
      <w:r w:rsidRPr="00713AE5">
        <w:rPr>
          <w:rFonts w:ascii="David" w:hAnsi="David"/>
          <w:b/>
          <w:bCs/>
          <w:rtl/>
        </w:rPr>
        <w:t>ל (20/01/21)</w:t>
      </w:r>
      <w:r w:rsidRPr="00713AE5">
        <w:rPr>
          <w:rFonts w:ascii="David" w:hAnsi="David"/>
          <w:rtl/>
        </w:rPr>
        <w:t>,</w:t>
      </w:r>
      <w:r w:rsidRPr="00713AE5">
        <w:rPr>
          <w:rFonts w:ascii="David" w:hAnsi="David"/>
          <w:b/>
          <w:bCs/>
          <w:rtl/>
        </w:rPr>
        <w:t xml:space="preserve"> </w:t>
      </w:r>
      <w:r w:rsidRPr="00713AE5">
        <w:rPr>
          <w:rFonts w:ascii="David" w:eastAsia="Calibri" w:hAnsi="David"/>
          <w:spacing w:val="10"/>
          <w:rtl/>
        </w:rPr>
        <w:t xml:space="preserve">נדון ערעורו של מי שהורשע, בהתאם הודאתו, בעבירות של נהיגה בשכרות, בזמן פסילה, ללא רישיון נהיגה בתוקף, ללא כיסוי ביטוחי, ונהיגה משמאל לקו הפרדה רצוף. בית משפט השלום קבע מתחם עונש הולם הנע בין 7-14 חודשי מאסר בפועל, לצד עונשים נלווים, וגזר על המבקש 7 חודשי מאסר בפועל, הפעיל מאסר מותנה בן 10 חודשים באופן ש-4 חודשים ירוצו במצטבר והיתר בחופף, ובסך הכול 11 חודשי מאסר בפועל, וכן הטיל על הנאשם 4 שנות פסילה וענישה נלווית, זאת על אף המלצת שירות המבחן להעדיף בעניינו את הפן השיקומי. בית המשפט המחוזי דחה את ערעור המבקש על גזר הדין, תוך שקבע כי אומנם המבקש עשה "מאמצים ראויים לשבח להמחיש כי פניו לאפיק הטיפולי", ונסיבותיו המשפחתיות אינן פשוטות, אולם חומרת מעשיו, אשר התבטאה בסיכון עוברי אורח כתוצאה מנהיגתו, לצד זלזולו המובהק בצווים שיפוטיים, מצדיקים הטלת ענישה ממשית בעניינו. בקשת רשות ערעור נדחתה. </w:t>
      </w:r>
    </w:p>
    <w:p w14:paraId="5FF7B3F2" w14:textId="77777777" w:rsidR="00614E35" w:rsidRPr="00713AE5" w:rsidRDefault="00614E35" w:rsidP="00614E35">
      <w:pPr>
        <w:overflowPunct w:val="0"/>
        <w:autoSpaceDE w:val="0"/>
        <w:autoSpaceDN w:val="0"/>
        <w:spacing w:line="360" w:lineRule="auto"/>
        <w:ind w:left="720"/>
        <w:jc w:val="both"/>
        <w:outlineLvl w:val="1"/>
        <w:rPr>
          <w:rFonts w:ascii="David" w:eastAsia="Calibri" w:hAnsi="David"/>
          <w:spacing w:val="10"/>
          <w:rtl/>
        </w:rPr>
      </w:pPr>
      <w:r w:rsidRPr="00713AE5">
        <w:rPr>
          <w:rFonts w:ascii="David" w:eastAsia="Calibri" w:hAnsi="David"/>
          <w:spacing w:val="10"/>
          <w:rtl/>
        </w:rPr>
        <w:t xml:space="preserve">יובהר כי הגם שבמקרה שלפניי לא הורשע הנאשם בנהיגה בזמן פסילה ובעובדות כתב האישום המתוקן לא פורטה רמת השכרות של הנאשם - יש בפסק דין זה כדי ללמד על רמת הענישה בגין עבירות התעבורה בהן הורשע הנאשם. </w:t>
      </w:r>
    </w:p>
    <w:p w14:paraId="3CBF3E28" w14:textId="77777777" w:rsidR="00614E35" w:rsidRPr="00713AE5" w:rsidRDefault="00614E35" w:rsidP="00614E35">
      <w:pPr>
        <w:spacing w:line="360" w:lineRule="auto"/>
        <w:jc w:val="both"/>
        <w:rPr>
          <w:rFonts w:ascii="David" w:hAnsi="David"/>
          <w:rtl/>
        </w:rPr>
      </w:pPr>
    </w:p>
    <w:p w14:paraId="0FC045F2" w14:textId="77777777" w:rsidR="00614E35" w:rsidRPr="00713AE5" w:rsidRDefault="00614E35" w:rsidP="00614E35">
      <w:pPr>
        <w:spacing w:line="360" w:lineRule="auto"/>
        <w:ind w:left="720"/>
        <w:jc w:val="both"/>
        <w:rPr>
          <w:rFonts w:ascii="David" w:hAnsi="David"/>
        </w:rPr>
      </w:pPr>
      <w:r w:rsidRPr="00713AE5">
        <w:rPr>
          <w:rFonts w:ascii="David" w:hAnsi="David"/>
          <w:rtl/>
        </w:rPr>
        <w:t>לא מצאתי ללמוד מ</w:t>
      </w:r>
      <w:hyperlink r:id="rId46" w:history="1">
        <w:r w:rsidR="00981D41" w:rsidRPr="00713AE5">
          <w:rPr>
            <w:rFonts w:ascii="David" w:hAnsi="David"/>
            <w:b/>
            <w:bCs/>
            <w:color w:val="0000FF"/>
            <w:u w:val="single"/>
            <w:rtl/>
          </w:rPr>
          <w:t>ע"פ 1059/21</w:t>
        </w:r>
      </w:hyperlink>
      <w:r w:rsidRPr="00713AE5">
        <w:rPr>
          <w:rFonts w:ascii="David" w:hAnsi="David"/>
          <w:b/>
          <w:bCs/>
          <w:rtl/>
        </w:rPr>
        <w:t xml:space="preserve"> פלוני נגד מדינת ישראל </w:t>
      </w:r>
      <w:r w:rsidRPr="00713AE5">
        <w:rPr>
          <w:rFonts w:ascii="David" w:hAnsi="David"/>
          <w:rtl/>
        </w:rPr>
        <w:t>ו</w:t>
      </w:r>
      <w:hyperlink r:id="rId47" w:history="1">
        <w:r w:rsidR="00981D41" w:rsidRPr="00713AE5">
          <w:rPr>
            <w:rFonts w:ascii="David" w:hAnsi="David"/>
            <w:b/>
            <w:bCs/>
            <w:color w:val="0000FF"/>
            <w:u w:val="single"/>
            <w:rtl/>
          </w:rPr>
          <w:t>ע"פ 3802/10</w:t>
        </w:r>
      </w:hyperlink>
      <w:r w:rsidRPr="00713AE5">
        <w:rPr>
          <w:rFonts w:ascii="David" w:hAnsi="David"/>
          <w:b/>
          <w:bCs/>
          <w:rtl/>
        </w:rPr>
        <w:t xml:space="preserve"> אלון נגד מדינת ישראל, </w:t>
      </w:r>
      <w:r w:rsidRPr="00713AE5">
        <w:rPr>
          <w:rFonts w:ascii="David" w:hAnsi="David"/>
          <w:rtl/>
        </w:rPr>
        <w:t xml:space="preserve">אליהם הפנתה המאשימה, שכן אלה עוסקים בעבירות שונות מאלה אשר נדונות במסגרת גזר דין זה. </w:t>
      </w:r>
    </w:p>
    <w:p w14:paraId="5E481E58" w14:textId="77777777" w:rsidR="00614E35" w:rsidRPr="00713AE5" w:rsidRDefault="00614E35" w:rsidP="00614E35">
      <w:pPr>
        <w:spacing w:line="360" w:lineRule="auto"/>
        <w:jc w:val="both"/>
        <w:rPr>
          <w:rFonts w:ascii="David" w:hAnsi="David"/>
          <w:rtl/>
        </w:rPr>
      </w:pPr>
    </w:p>
    <w:p w14:paraId="0FC0F01C" w14:textId="77777777" w:rsidR="00614E35" w:rsidRPr="00713AE5" w:rsidRDefault="00614E35" w:rsidP="00614E35">
      <w:pPr>
        <w:spacing w:line="360" w:lineRule="auto"/>
        <w:ind w:left="720"/>
        <w:jc w:val="both"/>
        <w:rPr>
          <w:rFonts w:ascii="David" w:hAnsi="David"/>
          <w:b/>
          <w:bCs/>
          <w:rtl/>
        </w:rPr>
      </w:pPr>
      <w:r w:rsidRPr="00713AE5">
        <w:rPr>
          <w:rFonts w:ascii="David" w:hAnsi="David"/>
          <w:rtl/>
        </w:rPr>
        <w:t>כמו כן, לא מצאתי ללמוד</w:t>
      </w:r>
      <w:r w:rsidRPr="00713AE5">
        <w:rPr>
          <w:rFonts w:ascii="David" w:hAnsi="David"/>
          <w:b/>
          <w:bCs/>
          <w:rtl/>
        </w:rPr>
        <w:t xml:space="preserve"> </w:t>
      </w:r>
      <w:r w:rsidRPr="00713AE5">
        <w:rPr>
          <w:rFonts w:ascii="David" w:hAnsi="David"/>
          <w:rtl/>
        </w:rPr>
        <w:t>מ</w:t>
      </w:r>
      <w:hyperlink r:id="rId48" w:history="1">
        <w:r w:rsidR="00981D41" w:rsidRPr="00713AE5">
          <w:rPr>
            <w:rFonts w:ascii="David" w:hAnsi="David"/>
            <w:b/>
            <w:bCs/>
            <w:color w:val="0000FF"/>
            <w:u w:val="single"/>
            <w:rtl/>
          </w:rPr>
          <w:t>ע"פ 4456/21</w:t>
        </w:r>
      </w:hyperlink>
      <w:r w:rsidRPr="00713AE5">
        <w:rPr>
          <w:rFonts w:ascii="David" w:hAnsi="David"/>
          <w:b/>
          <w:bCs/>
          <w:rtl/>
        </w:rPr>
        <w:t xml:space="preserve"> מדינת ישראל נגד אבו עבסה, </w:t>
      </w:r>
      <w:hyperlink r:id="rId49" w:history="1">
        <w:r w:rsidR="00981D41" w:rsidRPr="00713AE5">
          <w:rPr>
            <w:rFonts w:ascii="David" w:hAnsi="David"/>
            <w:b/>
            <w:bCs/>
            <w:color w:val="0000FF"/>
            <w:u w:val="single"/>
            <w:rtl/>
          </w:rPr>
          <w:t>ע"פ 2231/18</w:t>
        </w:r>
      </w:hyperlink>
      <w:r w:rsidRPr="00713AE5">
        <w:rPr>
          <w:rFonts w:ascii="David" w:hAnsi="David"/>
          <w:b/>
          <w:bCs/>
          <w:rtl/>
        </w:rPr>
        <w:t xml:space="preserve"> בדאוון נגד מדינת ישראל, </w:t>
      </w:r>
      <w:hyperlink r:id="rId50" w:history="1">
        <w:r w:rsidR="00981D41" w:rsidRPr="00713AE5">
          <w:rPr>
            <w:rFonts w:ascii="David" w:hAnsi="David"/>
            <w:b/>
            <w:bCs/>
            <w:color w:val="0000FF"/>
            <w:u w:val="single"/>
            <w:rtl/>
          </w:rPr>
          <w:t>ע"פ 1323/13</w:t>
        </w:r>
      </w:hyperlink>
      <w:r w:rsidRPr="00713AE5">
        <w:rPr>
          <w:rFonts w:ascii="David" w:hAnsi="David"/>
          <w:b/>
          <w:bCs/>
          <w:rtl/>
        </w:rPr>
        <w:t xml:space="preserve"> חסן ואח' נגד מדינת ישראל, </w:t>
      </w:r>
      <w:hyperlink r:id="rId51" w:history="1">
        <w:r w:rsidR="00981D41" w:rsidRPr="00713AE5">
          <w:rPr>
            <w:rFonts w:ascii="David" w:hAnsi="David"/>
            <w:b/>
            <w:bCs/>
            <w:color w:val="0000FF"/>
            <w:u w:val="single"/>
            <w:rtl/>
          </w:rPr>
          <w:t>ת"פ 42214-10-16</w:t>
        </w:r>
      </w:hyperlink>
      <w:r w:rsidRPr="00713AE5">
        <w:rPr>
          <w:rFonts w:ascii="David" w:hAnsi="David"/>
          <w:b/>
          <w:bCs/>
          <w:rtl/>
        </w:rPr>
        <w:t xml:space="preserve"> מדינת ישראל נגד אל רחים ואח', </w:t>
      </w:r>
      <w:hyperlink r:id="rId52" w:history="1">
        <w:r w:rsidR="00981D41" w:rsidRPr="00713AE5">
          <w:rPr>
            <w:rFonts w:ascii="David" w:hAnsi="David"/>
            <w:b/>
            <w:bCs/>
            <w:color w:val="0000FF"/>
            <w:u w:val="single"/>
            <w:rtl/>
          </w:rPr>
          <w:t>ע"פ 5336/13</w:t>
        </w:r>
      </w:hyperlink>
      <w:r w:rsidRPr="00713AE5">
        <w:rPr>
          <w:rFonts w:ascii="David" w:hAnsi="David"/>
          <w:b/>
          <w:bCs/>
          <w:rtl/>
        </w:rPr>
        <w:t xml:space="preserve"> צדוק נגד מדינת ישראל (17/11/13), </w:t>
      </w:r>
      <w:hyperlink r:id="rId53" w:history="1">
        <w:r w:rsidR="00981D41" w:rsidRPr="00713AE5">
          <w:rPr>
            <w:rFonts w:ascii="David" w:hAnsi="David"/>
            <w:b/>
            <w:bCs/>
            <w:color w:val="0000FF"/>
            <w:u w:val="single"/>
            <w:rtl/>
          </w:rPr>
          <w:t>ע"פ 8017/20</w:t>
        </w:r>
      </w:hyperlink>
      <w:r w:rsidRPr="00713AE5">
        <w:rPr>
          <w:rFonts w:ascii="David" w:hAnsi="David"/>
          <w:b/>
          <w:bCs/>
          <w:rtl/>
        </w:rPr>
        <w:t xml:space="preserve"> מדינת ישראל נגד גריפאת (22/12/20)</w:t>
      </w:r>
      <w:r w:rsidRPr="00713AE5">
        <w:rPr>
          <w:rFonts w:ascii="David" w:hAnsi="David"/>
          <w:rtl/>
        </w:rPr>
        <w:t xml:space="preserve"> ו</w:t>
      </w:r>
      <w:hyperlink r:id="rId54" w:history="1">
        <w:r w:rsidR="00981D41" w:rsidRPr="00713AE5">
          <w:rPr>
            <w:rFonts w:ascii="David" w:hAnsi="David"/>
            <w:b/>
            <w:bCs/>
            <w:color w:val="0000FF"/>
            <w:u w:val="single"/>
            <w:rtl/>
          </w:rPr>
          <w:t>ע"פ 6219/10</w:t>
        </w:r>
      </w:hyperlink>
      <w:r w:rsidRPr="00713AE5">
        <w:rPr>
          <w:rFonts w:ascii="David" w:hAnsi="David"/>
          <w:b/>
          <w:bCs/>
          <w:rtl/>
        </w:rPr>
        <w:t xml:space="preserve"> נביל אלשמאלי נגד מדינת ישראל (06/02/11)</w:t>
      </w:r>
      <w:r w:rsidRPr="00713AE5">
        <w:rPr>
          <w:rFonts w:ascii="David" w:hAnsi="David"/>
          <w:rtl/>
        </w:rPr>
        <w:t xml:space="preserve"> אליהם הפנתה ההגנה, שכן בהם נדונו עבירות שונות ובנסיבות שונות, באופן מהותי, מאלה המונחות לפניי היום. מה גם שגזרי דין אלה ניתנו טרם תיקון </w:t>
      </w:r>
      <w:r w:rsidRPr="00713AE5">
        <w:rPr>
          <w:rFonts w:ascii="David" w:hAnsi="David"/>
          <w:b/>
          <w:bCs/>
          <w:rtl/>
        </w:rPr>
        <w:t>140 ל</w:t>
      </w:r>
      <w:hyperlink r:id="rId55" w:history="1">
        <w:r w:rsidR="00981D41" w:rsidRPr="00713AE5">
          <w:rPr>
            <w:rFonts w:ascii="David" w:hAnsi="David"/>
            <w:b/>
            <w:bCs/>
            <w:color w:val="0000FF"/>
            <w:u w:val="single"/>
            <w:rtl/>
          </w:rPr>
          <w:t>חוק העונשין</w:t>
        </w:r>
      </w:hyperlink>
      <w:r w:rsidRPr="00713AE5">
        <w:rPr>
          <w:rFonts w:ascii="David" w:hAnsi="David"/>
          <w:rtl/>
        </w:rPr>
        <w:t xml:space="preserve"> שנועד להביא להחמרה בענישה. </w:t>
      </w:r>
    </w:p>
    <w:p w14:paraId="77C8295A" w14:textId="77777777" w:rsidR="00614E35" w:rsidRPr="00713AE5" w:rsidRDefault="00614E35" w:rsidP="00614E35">
      <w:pPr>
        <w:spacing w:line="360" w:lineRule="auto"/>
        <w:jc w:val="both"/>
        <w:rPr>
          <w:rFonts w:ascii="David" w:hAnsi="David"/>
          <w:rtl/>
        </w:rPr>
      </w:pPr>
    </w:p>
    <w:p w14:paraId="54E750F6" w14:textId="77777777" w:rsidR="00614E35" w:rsidRPr="00713AE5" w:rsidRDefault="00614E35" w:rsidP="00614E35">
      <w:pPr>
        <w:spacing w:line="360" w:lineRule="auto"/>
        <w:jc w:val="both"/>
        <w:rPr>
          <w:rFonts w:ascii="David" w:hAnsi="David"/>
          <w:b/>
          <w:bCs/>
          <w:u w:val="single"/>
          <w:rtl/>
        </w:rPr>
      </w:pPr>
      <w:r w:rsidRPr="00713AE5">
        <w:rPr>
          <w:rFonts w:ascii="David" w:hAnsi="David"/>
          <w:b/>
          <w:bCs/>
          <w:u w:val="single"/>
          <w:rtl/>
        </w:rPr>
        <w:t xml:space="preserve">נסיבות ביצוע העבירה </w:t>
      </w:r>
    </w:p>
    <w:p w14:paraId="4919E387" w14:textId="77777777" w:rsidR="00614E35" w:rsidRPr="00713AE5" w:rsidRDefault="00614E35" w:rsidP="00614E35">
      <w:pPr>
        <w:spacing w:line="360" w:lineRule="auto"/>
        <w:jc w:val="both"/>
        <w:rPr>
          <w:rFonts w:ascii="David" w:hAnsi="David"/>
          <w:rtl/>
        </w:rPr>
      </w:pPr>
      <w:r w:rsidRPr="00713AE5">
        <w:rPr>
          <w:rFonts w:ascii="David" w:hAnsi="David"/>
          <w:b/>
          <w:bCs/>
          <w:rtl/>
        </w:rPr>
        <w:t xml:space="preserve">9. </w:t>
      </w:r>
      <w:r w:rsidRPr="00713AE5">
        <w:rPr>
          <w:rFonts w:ascii="David" w:hAnsi="David"/>
          <w:rtl/>
        </w:rPr>
        <w:tab/>
        <w:t>במסגרת</w:t>
      </w:r>
      <w:r w:rsidRPr="00713AE5">
        <w:rPr>
          <w:rFonts w:ascii="David" w:hAnsi="David"/>
          <w:b/>
          <w:bCs/>
          <w:rtl/>
        </w:rPr>
        <w:t xml:space="preserve"> נסיבות ביצוע העבירות </w:t>
      </w:r>
      <w:r w:rsidRPr="00713AE5">
        <w:rPr>
          <w:rFonts w:ascii="David" w:hAnsi="David"/>
          <w:rtl/>
        </w:rPr>
        <w:t>יש לשקול את היות הנאשם מבצע יחיד ועיקרי של העבירות.</w:t>
      </w:r>
    </w:p>
    <w:p w14:paraId="013A9D0B" w14:textId="77777777" w:rsidR="00614E35" w:rsidRPr="00713AE5" w:rsidRDefault="00614E35" w:rsidP="00614E35">
      <w:pPr>
        <w:spacing w:line="360" w:lineRule="auto"/>
        <w:jc w:val="both"/>
        <w:rPr>
          <w:rFonts w:ascii="David" w:hAnsi="David"/>
          <w:highlight w:val="lightGray"/>
          <w:rtl/>
        </w:rPr>
      </w:pPr>
    </w:p>
    <w:p w14:paraId="40A77128" w14:textId="77777777" w:rsidR="00614E35" w:rsidRPr="00713AE5" w:rsidRDefault="00614E35" w:rsidP="00614E35">
      <w:pPr>
        <w:spacing w:line="360" w:lineRule="auto"/>
        <w:ind w:left="720"/>
        <w:contextualSpacing/>
        <w:jc w:val="both"/>
        <w:rPr>
          <w:rFonts w:ascii="David" w:hAnsi="David"/>
          <w:rtl/>
        </w:rPr>
      </w:pPr>
      <w:r w:rsidRPr="00713AE5">
        <w:rPr>
          <w:rFonts w:ascii="David" w:hAnsi="David"/>
          <w:rtl/>
        </w:rPr>
        <w:t>עוד יש ליתן משקל לנזק הפוטנציאלי ולסיכון המובנה בביצוע עבירת החזקת והובלת הנשק, במיוחד בשים לב לסוג הנשקים - תת מקלע ואקדח חצי אוטומטי, כאשר לא ידוע לאן יגיעו הנשקים ואיזה שימוש פסול יעשה בהם. ודוק, ברי כי העובדה שהנשקים לא היו טעונים אף היא תישקל במסגרת פוטנציאל הנזק ואף בשים לב לאמירת בית המשפט העליון כי במקרה דנן עבירות הנשק</w:t>
      </w:r>
      <w:r w:rsidRPr="00713AE5">
        <w:rPr>
          <w:rFonts w:ascii="David" w:hAnsi="David"/>
          <w:b/>
          <w:bCs/>
          <w:rtl/>
        </w:rPr>
        <w:t xml:space="preserve"> "אינן חמורות עלי ספר"</w:t>
      </w:r>
      <w:r w:rsidRPr="00713AE5">
        <w:rPr>
          <w:rFonts w:ascii="David" w:hAnsi="David"/>
          <w:rtl/>
        </w:rPr>
        <w:t xml:space="preserve">, אך זאת גם תוך ידיעה כי ככלל העברת נשקים באופן לא חוקי יש בה משום פוטנציאל נזק בהגעתם לידיים עברייניות ו/או לאומניות שידעו לציידם בתחמושת עת יתבקש לעשות שימוש באותם נשקים. </w:t>
      </w:r>
    </w:p>
    <w:p w14:paraId="72ACF448" w14:textId="77777777" w:rsidR="00614E35" w:rsidRPr="00713AE5" w:rsidRDefault="00614E35" w:rsidP="00614E35">
      <w:pPr>
        <w:spacing w:line="360" w:lineRule="auto"/>
        <w:ind w:left="720"/>
        <w:contextualSpacing/>
        <w:jc w:val="both"/>
        <w:rPr>
          <w:rFonts w:ascii="David" w:hAnsi="David"/>
          <w:rtl/>
        </w:rPr>
      </w:pPr>
      <w:r w:rsidRPr="00713AE5">
        <w:rPr>
          <w:rFonts w:ascii="David" w:hAnsi="David"/>
          <w:rtl/>
        </w:rPr>
        <w:t>באשר לעבירות הנוגעות לאופן הנהיגה ברכב יש לשקול את הסיכון לחיי אדם שנבע מאופן נהיגתו של הנאשם, כשהוא שיכור וללא רישיון נהיגה, וכשברכבו נוסע אף אדם נוסף, וההימלטות  מהשוטרים, ביודעו כי מדובר בשוטרים, תוך חציית צומת ברמזור אדום, הגם שנעשתה בשעת לילה מאוחרת.</w:t>
      </w:r>
    </w:p>
    <w:p w14:paraId="702450E9" w14:textId="77777777" w:rsidR="00614E35" w:rsidRPr="00713AE5" w:rsidRDefault="00614E35" w:rsidP="00614E35">
      <w:pPr>
        <w:spacing w:line="360" w:lineRule="auto"/>
        <w:jc w:val="both"/>
        <w:rPr>
          <w:rFonts w:ascii="David" w:hAnsi="David"/>
          <w:rtl/>
        </w:rPr>
      </w:pPr>
    </w:p>
    <w:p w14:paraId="3C40E412"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כמו כן, יש ליתן משקל לרקע לביצוע העבירות – כעולה מדברי הנאשם עצמו עבירת ההובלה בוצעה על רקע רצון לרווח כלכלי, וכי תחת השפעת אלכוהול, כפי שהיה באותו היום, לא הצליח להפעיל שיקול דעת. </w:t>
      </w:r>
    </w:p>
    <w:p w14:paraId="207A4FE5" w14:textId="77777777" w:rsidR="00614E35" w:rsidRPr="00713AE5" w:rsidRDefault="00614E35" w:rsidP="00614E35">
      <w:pPr>
        <w:spacing w:line="360" w:lineRule="auto"/>
        <w:jc w:val="both"/>
        <w:rPr>
          <w:rFonts w:ascii="David" w:hAnsi="David"/>
          <w:rtl/>
        </w:rPr>
      </w:pPr>
    </w:p>
    <w:p w14:paraId="0F57D75D" w14:textId="77777777" w:rsidR="00614E35" w:rsidRPr="00713AE5" w:rsidRDefault="00614E35" w:rsidP="00614E35">
      <w:pPr>
        <w:spacing w:line="360" w:lineRule="auto"/>
        <w:ind w:left="720"/>
        <w:jc w:val="both"/>
        <w:rPr>
          <w:rFonts w:ascii="David" w:hAnsi="David"/>
          <w:rtl/>
        </w:rPr>
      </w:pPr>
      <w:r w:rsidRPr="00713AE5">
        <w:rPr>
          <w:rFonts w:ascii="David" w:hAnsi="David"/>
          <w:rtl/>
        </w:rPr>
        <w:t>כך יוצא כי שילוב העבירות בהן הנאשם הודה – נשיאת הנשק והובלתו ברכב בו נהג ללא רישיון, כשהוא שיכור ותוך נהיגה בפזיזות ורשלנות – בנסיבות המפורטות לעיל, תוך שקילת פוטנציאל הנזק במקרה זה, יוצרים מארג נסיבות חמור ביותר.</w:t>
      </w:r>
    </w:p>
    <w:p w14:paraId="37EDD617" w14:textId="77777777" w:rsidR="00614E35" w:rsidRPr="00713AE5" w:rsidRDefault="00614E35" w:rsidP="00614E35">
      <w:pPr>
        <w:spacing w:line="360" w:lineRule="auto"/>
        <w:jc w:val="both"/>
        <w:rPr>
          <w:rFonts w:ascii="David" w:hAnsi="David"/>
          <w:rtl/>
        </w:rPr>
      </w:pPr>
    </w:p>
    <w:p w14:paraId="3A3AF8E3" w14:textId="77777777" w:rsidR="00614E35" w:rsidRPr="00713AE5" w:rsidRDefault="00614E35" w:rsidP="00614E35">
      <w:pPr>
        <w:spacing w:line="360" w:lineRule="auto"/>
        <w:ind w:left="720" w:hanging="720"/>
        <w:jc w:val="both"/>
        <w:rPr>
          <w:rFonts w:ascii="David" w:hAnsi="David"/>
          <w:rtl/>
        </w:rPr>
      </w:pPr>
      <w:r w:rsidRPr="00713AE5">
        <w:rPr>
          <w:rFonts w:ascii="David" w:hAnsi="David"/>
          <w:b/>
          <w:bCs/>
          <w:rtl/>
        </w:rPr>
        <w:t xml:space="preserve">10. </w:t>
      </w:r>
      <w:r w:rsidRPr="00713AE5">
        <w:rPr>
          <w:rFonts w:ascii="David" w:hAnsi="David"/>
          <w:b/>
          <w:bCs/>
          <w:rtl/>
        </w:rPr>
        <w:tab/>
        <w:t>לאור האמור אני קובעת כי מתחם העונש ההולם בגין מכלול מעשיו של הנאשם נע בין 48 – 62 חודשי מאסר בפועל</w:t>
      </w:r>
      <w:r w:rsidRPr="00713AE5">
        <w:rPr>
          <w:rFonts w:ascii="David" w:hAnsi="David"/>
          <w:rtl/>
        </w:rPr>
        <w:t>.</w:t>
      </w:r>
    </w:p>
    <w:p w14:paraId="036AEFB7" w14:textId="77777777" w:rsidR="00614E35" w:rsidRPr="00713AE5" w:rsidRDefault="00614E35" w:rsidP="00614E35">
      <w:pPr>
        <w:spacing w:line="360" w:lineRule="auto"/>
        <w:jc w:val="both"/>
        <w:rPr>
          <w:rFonts w:ascii="David" w:hAnsi="David"/>
          <w:b/>
          <w:bCs/>
          <w:u w:val="single"/>
          <w:rtl/>
        </w:rPr>
      </w:pPr>
    </w:p>
    <w:p w14:paraId="387AEB64" w14:textId="77777777" w:rsidR="00614E35" w:rsidRPr="00713AE5" w:rsidRDefault="00614E35" w:rsidP="00614E35">
      <w:pPr>
        <w:spacing w:line="360" w:lineRule="auto"/>
        <w:jc w:val="both"/>
        <w:rPr>
          <w:rFonts w:ascii="David" w:hAnsi="David"/>
          <w:b/>
          <w:bCs/>
          <w:u w:val="single"/>
          <w:rtl/>
        </w:rPr>
      </w:pPr>
      <w:r w:rsidRPr="00713AE5">
        <w:rPr>
          <w:rFonts w:ascii="David" w:hAnsi="David"/>
          <w:b/>
          <w:bCs/>
          <w:u w:val="single"/>
          <w:rtl/>
        </w:rPr>
        <w:t xml:space="preserve">שאלת הסטייה מהמתחם </w:t>
      </w:r>
    </w:p>
    <w:p w14:paraId="5EA51FBC" w14:textId="77777777" w:rsidR="00614E35" w:rsidRPr="00713AE5" w:rsidRDefault="00614E35" w:rsidP="00614E35">
      <w:pPr>
        <w:spacing w:line="360" w:lineRule="auto"/>
        <w:ind w:left="720" w:hanging="720"/>
        <w:jc w:val="both"/>
        <w:rPr>
          <w:rFonts w:ascii="David" w:hAnsi="David"/>
          <w:rtl/>
        </w:rPr>
      </w:pPr>
      <w:r w:rsidRPr="00713AE5">
        <w:rPr>
          <w:rFonts w:ascii="David" w:hAnsi="David"/>
          <w:b/>
          <w:bCs/>
          <w:rtl/>
        </w:rPr>
        <w:t xml:space="preserve">11. </w:t>
      </w:r>
      <w:r w:rsidRPr="00713AE5">
        <w:rPr>
          <w:rFonts w:ascii="David" w:hAnsi="David"/>
          <w:b/>
          <w:bCs/>
          <w:rtl/>
        </w:rPr>
        <w:tab/>
      </w:r>
      <w:r w:rsidRPr="00713AE5">
        <w:rPr>
          <w:rFonts w:ascii="David" w:hAnsi="David"/>
          <w:rtl/>
        </w:rPr>
        <w:t xml:space="preserve">כאמור, ב"כ הנאשם סבר כי במקרה דנן יש להורות על סטייה ממתחם העונש ההולם לקולה זאת בשל סיכוייו הממשיים של הנאשם להשתקם. </w:t>
      </w:r>
    </w:p>
    <w:p w14:paraId="7FBF6947" w14:textId="77777777" w:rsidR="00614E35" w:rsidRPr="00713AE5" w:rsidRDefault="00614E35" w:rsidP="00614E35">
      <w:pPr>
        <w:spacing w:line="360" w:lineRule="auto"/>
        <w:jc w:val="both"/>
        <w:rPr>
          <w:rFonts w:ascii="David" w:hAnsi="David"/>
          <w:rtl/>
        </w:rPr>
      </w:pPr>
    </w:p>
    <w:p w14:paraId="6D36BDE7"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כידוע, </w:t>
      </w:r>
      <w:hyperlink r:id="rId56" w:history="1">
        <w:r w:rsidR="00713AE5" w:rsidRPr="00713AE5">
          <w:rPr>
            <w:rStyle w:val="Hyperlink"/>
            <w:rFonts w:ascii="David" w:hAnsi="David"/>
            <w:b/>
            <w:bCs/>
            <w:rtl/>
          </w:rPr>
          <w:t>סעיף 40ד(א)</w:t>
        </w:r>
      </w:hyperlink>
      <w:r w:rsidRPr="00713AE5">
        <w:rPr>
          <w:rFonts w:ascii="David" w:hAnsi="David"/>
          <w:b/>
          <w:bCs/>
          <w:rtl/>
        </w:rPr>
        <w:t xml:space="preserve"> ל</w:t>
      </w:r>
      <w:hyperlink r:id="rId57" w:history="1">
        <w:r w:rsidR="00981D41" w:rsidRPr="00713AE5">
          <w:rPr>
            <w:rFonts w:ascii="David" w:hAnsi="David"/>
            <w:b/>
            <w:bCs/>
            <w:color w:val="0000FF"/>
            <w:u w:val="single"/>
            <w:rtl/>
          </w:rPr>
          <w:t>חוק העונשין</w:t>
        </w:r>
      </w:hyperlink>
      <w:r w:rsidRPr="00713AE5">
        <w:rPr>
          <w:rFonts w:ascii="David" w:hAnsi="David"/>
          <w:rtl/>
        </w:rPr>
        <w:t xml:space="preserve"> קובע כי לבית המשפט סמכות לסטות לקולה ממתחם העונש ההולם ככל שהתרשם כי הנאשם השתקם או קיים סיכוי של ממש שישתקם. </w:t>
      </w:r>
    </w:p>
    <w:p w14:paraId="68204386" w14:textId="77777777" w:rsidR="00614E35" w:rsidRPr="00713AE5" w:rsidRDefault="00614E35" w:rsidP="00614E35">
      <w:pPr>
        <w:spacing w:line="360" w:lineRule="auto"/>
        <w:jc w:val="both"/>
        <w:rPr>
          <w:rFonts w:ascii="David" w:hAnsi="David"/>
          <w:rtl/>
        </w:rPr>
      </w:pPr>
    </w:p>
    <w:p w14:paraId="38CB4838" w14:textId="77777777" w:rsidR="00614E35" w:rsidRPr="00713AE5" w:rsidRDefault="00614E35" w:rsidP="00614E35">
      <w:pPr>
        <w:spacing w:line="360" w:lineRule="auto"/>
        <w:ind w:left="720"/>
        <w:jc w:val="both"/>
        <w:rPr>
          <w:rFonts w:ascii="Calibri" w:eastAsia="Calibri" w:hAnsi="Calibri"/>
          <w:color w:val="000000"/>
          <w:sz w:val="20"/>
          <w:szCs w:val="20"/>
          <w:rtl/>
        </w:rPr>
      </w:pPr>
      <w:r w:rsidRPr="00713AE5">
        <w:rPr>
          <w:rFonts w:ascii="David" w:hAnsi="David"/>
          <w:rtl/>
        </w:rPr>
        <w:t xml:space="preserve">כעולה מתסקיר שירות המבחן שפורט לעיל, אין מחלוקת כי הנאשם מביע מוטיבציה כנה להשתקם, הוא משתף פעולה בהליך טיפולי בין כותלי בית הסוהר ואף הצהיר במעמד הטיעונים לעונש כי הוא מבקש להמשיך בו גם אם ייגזר עליו עונש מאסר. עם זאת, לא ניתן להתעלם מהעובדה כי מדובר במי שמכור לטיפה המרה שנים ארוכות, לאחרונה חלה התדרדרות במצבו והתמכרותו אף החריפה, וקיימים גורמי סיכון במצבו אשר לעת עתה לא זכו לטיפול מקיף כנדרש. במצב דברים זה, משגורמי סיכון במצבו טרם זכו למענה מקיף, על אף הבעת המוטיבציה הכנה של הנאשם והשתלבותו בין כותלי בית הסוהר בהליך טיפול - לא ניתן לקבוע כי קיים סיכוי של ממש שישתקם עד כדי חריגה מן המתחם לקולה, הגם ששיקולים אלה ישקלו במסגרת מתחם העונש ההולם. </w:t>
      </w:r>
    </w:p>
    <w:p w14:paraId="699E4C55" w14:textId="77777777" w:rsidR="00614E35" w:rsidRPr="00713AE5" w:rsidRDefault="00614E35" w:rsidP="00614E35">
      <w:pPr>
        <w:spacing w:line="360" w:lineRule="auto"/>
        <w:jc w:val="both"/>
        <w:rPr>
          <w:color w:val="000000"/>
          <w:sz w:val="20"/>
          <w:szCs w:val="20"/>
          <w:rtl/>
        </w:rPr>
      </w:pPr>
    </w:p>
    <w:p w14:paraId="78E3375C" w14:textId="77777777" w:rsidR="00614E35" w:rsidRPr="00713AE5" w:rsidRDefault="00614E35" w:rsidP="00614E35">
      <w:pPr>
        <w:spacing w:line="360" w:lineRule="auto"/>
        <w:ind w:left="720"/>
        <w:jc w:val="both"/>
        <w:rPr>
          <w:rFonts w:ascii="David" w:hAnsi="David"/>
          <w:rtl/>
        </w:rPr>
      </w:pPr>
      <w:r w:rsidRPr="00713AE5">
        <w:rPr>
          <w:rFonts w:ascii="David" w:hAnsi="David"/>
          <w:rtl/>
        </w:rPr>
        <w:t>ודוק, בית המשפט העליון ב</w:t>
      </w:r>
      <w:r w:rsidRPr="00713AE5">
        <w:rPr>
          <w:rFonts w:ascii="David" w:hAnsi="David"/>
          <w:b/>
          <w:bCs/>
          <w:rtl/>
        </w:rPr>
        <w:t>פס"ד פלוני</w:t>
      </w:r>
      <w:r w:rsidRPr="00713AE5">
        <w:rPr>
          <w:rFonts w:ascii="David" w:hAnsi="David"/>
          <w:rtl/>
        </w:rPr>
        <w:t xml:space="preserve"> קבע כי בעבירות נשק </w:t>
      </w:r>
      <w:r w:rsidRPr="00713AE5">
        <w:rPr>
          <w:rFonts w:ascii="David" w:hAnsi="David"/>
          <w:b/>
          <w:bCs/>
          <w:color w:val="000000"/>
          <w:rtl/>
        </w:rPr>
        <w:t xml:space="preserve">"ככלל,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58" w:history="1">
        <w:r w:rsidR="00981D41" w:rsidRPr="00713AE5">
          <w:rPr>
            <w:rFonts w:ascii="David" w:hAnsi="David"/>
            <w:b/>
            <w:bCs/>
            <w:color w:val="0000FF"/>
            <w:u w:val="single"/>
            <w:rtl/>
          </w:rPr>
          <w:t>ע"פ 4077/22</w:t>
        </w:r>
      </w:hyperlink>
      <w:r w:rsidRPr="00713AE5">
        <w:rPr>
          <w:rFonts w:ascii="David" w:hAnsi="David"/>
          <w:b/>
          <w:bCs/>
          <w:color w:val="000000"/>
          <w:rtl/>
        </w:rPr>
        <w:t xml:space="preserve"> פלוני נ' מדינת ישראל, פסקה 12 [פורסם בנבו] (‏28.7.2022)).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 (ראו והשוו: </w:t>
      </w:r>
      <w:hyperlink r:id="rId59" w:history="1">
        <w:r w:rsidR="00981D41" w:rsidRPr="00713AE5">
          <w:rPr>
            <w:rFonts w:ascii="David" w:hAnsi="David"/>
            <w:b/>
            <w:bCs/>
            <w:color w:val="0000FF"/>
            <w:u w:val="single"/>
            <w:rtl/>
          </w:rPr>
          <w:t>ע"פ 3792/18</w:t>
        </w:r>
      </w:hyperlink>
      <w:r w:rsidRPr="00713AE5">
        <w:rPr>
          <w:rFonts w:ascii="David" w:hAnsi="David"/>
          <w:b/>
          <w:bCs/>
          <w:color w:val="000000"/>
          <w:rtl/>
        </w:rPr>
        <w:t xml:space="preserve"> פלוני נ' </w:t>
      </w:r>
      <w:r w:rsidRPr="00713AE5">
        <w:rPr>
          <w:rFonts w:ascii="David" w:hAnsi="David"/>
          <w:b/>
          <w:bCs/>
          <w:rtl/>
        </w:rPr>
        <w:t>מדינת ישראל, פסקה 17 [פורסם בנבו] (11.11.2018))".</w:t>
      </w:r>
    </w:p>
    <w:p w14:paraId="3FCFC67F" w14:textId="77777777" w:rsidR="00614E35" w:rsidRPr="00713AE5" w:rsidRDefault="00614E35" w:rsidP="00614E35">
      <w:pPr>
        <w:spacing w:line="360" w:lineRule="auto"/>
        <w:jc w:val="both"/>
        <w:rPr>
          <w:rFonts w:ascii="David" w:hAnsi="David"/>
          <w:rtl/>
        </w:rPr>
      </w:pPr>
    </w:p>
    <w:p w14:paraId="20FEDC91" w14:textId="77777777" w:rsidR="00614E35" w:rsidRPr="00713AE5" w:rsidRDefault="00614E35" w:rsidP="00614E35">
      <w:pPr>
        <w:spacing w:line="360" w:lineRule="auto"/>
        <w:jc w:val="both"/>
        <w:rPr>
          <w:rFonts w:ascii="David" w:hAnsi="David"/>
          <w:rtl/>
        </w:rPr>
      </w:pPr>
      <w:r w:rsidRPr="00713AE5">
        <w:rPr>
          <w:rFonts w:ascii="David" w:hAnsi="David" w:hint="cs"/>
          <w:rtl/>
        </w:rPr>
        <w:t xml:space="preserve">אם הדברים נכונים לעבירות נשק בלבד, נכונים הם שבעתיים במקרה שלפניי, בו מעבר לעבירות הנשק בוצעו עבירות נוספות. </w:t>
      </w:r>
    </w:p>
    <w:p w14:paraId="6C6065C3" w14:textId="77777777" w:rsidR="00614E35" w:rsidRPr="00713AE5" w:rsidRDefault="00614E35" w:rsidP="00614E35">
      <w:pPr>
        <w:spacing w:line="360" w:lineRule="auto"/>
        <w:jc w:val="both"/>
        <w:rPr>
          <w:rFonts w:ascii="David" w:hAnsi="David"/>
          <w:rtl/>
        </w:rPr>
      </w:pPr>
    </w:p>
    <w:p w14:paraId="492CE7CB" w14:textId="77777777" w:rsidR="00614E35" w:rsidRPr="00713AE5" w:rsidRDefault="00614E35" w:rsidP="00614E35">
      <w:pPr>
        <w:spacing w:line="360" w:lineRule="auto"/>
        <w:jc w:val="both"/>
        <w:rPr>
          <w:rFonts w:ascii="David" w:hAnsi="David"/>
          <w:b/>
          <w:bCs/>
          <w:u w:val="single"/>
          <w:rtl/>
        </w:rPr>
      </w:pPr>
      <w:r w:rsidRPr="00713AE5">
        <w:rPr>
          <w:rFonts w:ascii="David" w:hAnsi="David"/>
          <w:b/>
          <w:bCs/>
          <w:u w:val="single"/>
          <w:rtl/>
        </w:rPr>
        <w:t>קביעת עונשו של הנאשם</w:t>
      </w:r>
    </w:p>
    <w:p w14:paraId="5AC53D9F" w14:textId="77777777" w:rsidR="00614E35" w:rsidRPr="00713AE5" w:rsidRDefault="00614E35" w:rsidP="00614E35">
      <w:pPr>
        <w:spacing w:line="360" w:lineRule="auto"/>
        <w:jc w:val="both"/>
        <w:rPr>
          <w:rFonts w:ascii="David" w:hAnsi="David"/>
          <w:b/>
          <w:bCs/>
          <w:rtl/>
        </w:rPr>
      </w:pPr>
      <w:r w:rsidRPr="00713AE5">
        <w:rPr>
          <w:rFonts w:ascii="David" w:hAnsi="David"/>
          <w:b/>
          <w:bCs/>
          <w:rtl/>
        </w:rPr>
        <w:t xml:space="preserve">12. </w:t>
      </w:r>
      <w:r w:rsidRPr="00713AE5">
        <w:rPr>
          <w:rFonts w:ascii="David" w:hAnsi="David"/>
          <w:b/>
          <w:bCs/>
          <w:rtl/>
        </w:rPr>
        <w:tab/>
        <w:t>נסיבות שאינן קשורות בביצוע העבירה</w:t>
      </w:r>
      <w:r w:rsidRPr="00713AE5">
        <w:rPr>
          <w:rFonts w:ascii="David" w:hAnsi="David"/>
          <w:rtl/>
        </w:rPr>
        <w:t xml:space="preserve"> -</w:t>
      </w:r>
    </w:p>
    <w:p w14:paraId="5BD9E5A9" w14:textId="77777777" w:rsidR="00614E35" w:rsidRPr="00713AE5" w:rsidRDefault="00614E35" w:rsidP="00614E35">
      <w:pPr>
        <w:tabs>
          <w:tab w:val="center" w:pos="4153"/>
          <w:tab w:val="right" w:pos="8306"/>
        </w:tabs>
        <w:spacing w:line="360" w:lineRule="auto"/>
        <w:ind w:left="720"/>
        <w:jc w:val="both"/>
        <w:rPr>
          <w:rFonts w:ascii="David" w:hAnsi="David"/>
          <w:rtl/>
        </w:rPr>
      </w:pPr>
      <w:r w:rsidRPr="00713AE5">
        <w:rPr>
          <w:rFonts w:ascii="David" w:hAnsi="David"/>
          <w:rtl/>
        </w:rPr>
        <w:t>אשר לנסיבות שאינן קשורות בביצוע העבירות יש ליתן משקל לפגיעה של העונש בנאשם.</w:t>
      </w:r>
      <w:r w:rsidRPr="00713AE5">
        <w:rPr>
          <w:rFonts w:ascii="David" w:hAnsi="David"/>
          <w:rtl/>
        </w:rPr>
        <w:br/>
        <w:t xml:space="preserve">ככלל, לנאשם אשר נשלח לריצוי מאסר מאחורי סורג ובריח נגרם נזק, הן בשל הגבלת החירות והיעדר היכולת להתפרנס, והן מהפן הנפשי וההשפעות הסביבתיות הנלוות למאסר. </w:t>
      </w:r>
    </w:p>
    <w:p w14:paraId="514C699F" w14:textId="77777777" w:rsidR="00614E35" w:rsidRPr="00713AE5" w:rsidRDefault="00614E35" w:rsidP="00614E35">
      <w:pPr>
        <w:spacing w:line="360" w:lineRule="auto"/>
        <w:jc w:val="both"/>
        <w:rPr>
          <w:rFonts w:ascii="David" w:hAnsi="David"/>
          <w:rtl/>
        </w:rPr>
      </w:pPr>
    </w:p>
    <w:p w14:paraId="7B7CE1CF" w14:textId="77777777" w:rsidR="00614E35" w:rsidRPr="00713AE5" w:rsidRDefault="00614E35" w:rsidP="00614E35">
      <w:pPr>
        <w:spacing w:line="360" w:lineRule="auto"/>
        <w:ind w:left="720"/>
        <w:jc w:val="both"/>
        <w:rPr>
          <w:rFonts w:ascii="David" w:hAnsi="David"/>
          <w:rtl/>
        </w:rPr>
      </w:pPr>
      <w:r w:rsidRPr="00713AE5">
        <w:rPr>
          <w:rFonts w:ascii="David" w:hAnsi="David"/>
          <w:rtl/>
        </w:rPr>
        <w:t xml:space="preserve">עוד יש ליתן משקל להודאה של הנאשם בכתב האישום המתוקן, שיש בה משום לקיחת אחריות על מעשיו, ולהתרשמות שירות המבחן ממוטיבציה כנה של הנאשם להשתלב בהליך טיפול משמעותי בבעיית ההתמכרות ממנה סובל מזה שנים ארוכות ואף נמצא מתאים להליך שכזה. עוד יש ליתן משקל לכך שמדיווח גורמי שב"ס, כמפורט לעיל, עלה כי הנאשם נשמע לכללים, משולב בקבוצות טיפוליות, לוקח בהן חלק פעיל ומשתף מעולמו הפנימי, וזאת לצד השתלבותו בטיפול פרטני אחת לשבוע. </w:t>
      </w:r>
    </w:p>
    <w:p w14:paraId="00EFB55E" w14:textId="77777777" w:rsidR="00614E35" w:rsidRPr="00713AE5" w:rsidRDefault="00614E35" w:rsidP="00614E35">
      <w:pPr>
        <w:spacing w:line="360" w:lineRule="auto"/>
        <w:jc w:val="both"/>
        <w:rPr>
          <w:rFonts w:ascii="David" w:hAnsi="David"/>
          <w:b/>
          <w:bCs/>
          <w:u w:val="single"/>
          <w:rtl/>
        </w:rPr>
      </w:pPr>
    </w:p>
    <w:p w14:paraId="070D91AC" w14:textId="77777777" w:rsidR="00614E35" w:rsidRPr="00713AE5" w:rsidRDefault="00614E35" w:rsidP="00614E35">
      <w:pPr>
        <w:spacing w:line="360" w:lineRule="auto"/>
        <w:ind w:left="720"/>
        <w:jc w:val="both"/>
        <w:rPr>
          <w:rFonts w:ascii="David" w:hAnsi="David"/>
          <w:rtl/>
        </w:rPr>
      </w:pPr>
      <w:r w:rsidRPr="00713AE5">
        <w:rPr>
          <w:rFonts w:ascii="David" w:hAnsi="David"/>
          <w:rtl/>
        </w:rPr>
        <w:t>כפי שעולה מ</w:t>
      </w:r>
      <w:r w:rsidRPr="00713AE5">
        <w:rPr>
          <w:rFonts w:ascii="David" w:hAnsi="David"/>
          <w:b/>
          <w:bCs/>
          <w:rtl/>
        </w:rPr>
        <w:t>ת/2</w:t>
      </w:r>
      <w:r w:rsidRPr="00713AE5">
        <w:rPr>
          <w:rFonts w:ascii="David" w:hAnsi="David"/>
          <w:rtl/>
        </w:rPr>
        <w:t xml:space="preserve">, לנאשם הרשעה קודמת מחודש ינואר 2019 בגין ביצוע עבירת שימוש במסמך מזויף אשר בגינה ריצה חודשיים מאסר בפועל. כמו כן, בין השנים 2004-2018 מצויים בגיליון הרישום הפלילי של הנאשם עוד 4 הרשעות, וזאת בגין ביצוע עבירות החזקת נכס החשוד כגנוב, נהיגה בשכרות, ניסיון פריצה לרכב והצתת רכב מנועי במזיד, אשר בגין שתיים מהן ריצה מאסרים בפועל למשך מספר חודשים. </w:t>
      </w:r>
    </w:p>
    <w:p w14:paraId="2E9A21A5" w14:textId="77777777" w:rsidR="00614E35" w:rsidRPr="00713AE5" w:rsidRDefault="00614E35" w:rsidP="00614E35">
      <w:pPr>
        <w:spacing w:line="360" w:lineRule="auto"/>
        <w:ind w:left="720"/>
        <w:jc w:val="both"/>
        <w:rPr>
          <w:rFonts w:ascii="David" w:hAnsi="David"/>
          <w:rtl/>
        </w:rPr>
      </w:pPr>
      <w:r w:rsidRPr="00713AE5">
        <w:rPr>
          <w:rFonts w:ascii="David" w:hAnsi="David"/>
          <w:rtl/>
        </w:rPr>
        <w:t>כמו כן, מ</w:t>
      </w:r>
      <w:r w:rsidRPr="00713AE5">
        <w:rPr>
          <w:rFonts w:ascii="David" w:hAnsi="David"/>
          <w:b/>
          <w:bCs/>
          <w:rtl/>
        </w:rPr>
        <w:t>ת/3</w:t>
      </w:r>
      <w:r w:rsidRPr="00713AE5">
        <w:rPr>
          <w:rFonts w:ascii="David" w:hAnsi="David"/>
          <w:rtl/>
        </w:rPr>
        <w:t xml:space="preserve">, גיליון הרישום התעבורתי של הנאשם עולה כי בעברו 4 הרשעות קודמות, ובין היתר הורשע בשנת 2016 בביצוע עבירת נהיגה ללא רישיון תקף, בשנת 2015 הורשע בביצוע עבירות נהיגה ללא רישיון תקף, נהיגה בקלות ראש, נהיגה בזמן פסילה ואי ציות לשוטר – אשר בגינן הוטלו עליו, בין היתר, 3 חודשי מאסר בפועל, ואף בשנת 2013 הורשע בגין נהיגה בזמן שרישיונו פקע. </w:t>
      </w:r>
    </w:p>
    <w:p w14:paraId="6A0971B8" w14:textId="77777777" w:rsidR="00614E35" w:rsidRPr="00713AE5" w:rsidRDefault="00614E35" w:rsidP="00614E35">
      <w:pPr>
        <w:spacing w:line="360" w:lineRule="auto"/>
        <w:contextualSpacing/>
        <w:jc w:val="both"/>
        <w:rPr>
          <w:rFonts w:ascii="David" w:hAnsi="David"/>
          <w:rtl/>
        </w:rPr>
      </w:pPr>
    </w:p>
    <w:p w14:paraId="075C9FF0" w14:textId="77777777" w:rsidR="00614E35" w:rsidRPr="00713AE5" w:rsidRDefault="00614E35" w:rsidP="00614E35">
      <w:pPr>
        <w:spacing w:line="360" w:lineRule="auto"/>
        <w:ind w:left="720"/>
        <w:contextualSpacing/>
        <w:jc w:val="both"/>
        <w:rPr>
          <w:rFonts w:ascii="David" w:hAnsi="David"/>
          <w:rtl/>
        </w:rPr>
      </w:pPr>
      <w:r w:rsidRPr="00713AE5">
        <w:rPr>
          <w:rFonts w:ascii="David" w:hAnsi="David"/>
          <w:rtl/>
        </w:rPr>
        <w:t xml:space="preserve">מהמפורט עולה כי אין זה מפגשו הראשון של הנאשם עם רשויות החוק, כי עונשי מאסר קודמים לא מנעו הסלמה במעשיו הפליליים, וכי מעשיו מעידים על היעדר מורא מפני החוק. </w:t>
      </w:r>
    </w:p>
    <w:p w14:paraId="07706E31" w14:textId="77777777" w:rsidR="00614E35" w:rsidRPr="00713AE5" w:rsidRDefault="00614E35" w:rsidP="00614E35">
      <w:pPr>
        <w:spacing w:line="360" w:lineRule="auto"/>
        <w:jc w:val="both"/>
        <w:rPr>
          <w:rFonts w:ascii="David" w:hAnsi="David"/>
          <w:rtl/>
        </w:rPr>
      </w:pPr>
    </w:p>
    <w:p w14:paraId="7F400385" w14:textId="77777777" w:rsidR="00614E35" w:rsidRPr="00713AE5" w:rsidRDefault="00614E35" w:rsidP="00614E35">
      <w:pPr>
        <w:spacing w:line="360" w:lineRule="auto"/>
        <w:jc w:val="both"/>
        <w:rPr>
          <w:rFonts w:ascii="David" w:hAnsi="David"/>
          <w:b/>
          <w:bCs/>
          <w:u w:val="single"/>
          <w:rtl/>
        </w:rPr>
      </w:pPr>
      <w:r w:rsidRPr="00713AE5">
        <w:rPr>
          <w:rFonts w:ascii="David" w:hAnsi="David"/>
          <w:b/>
          <w:bCs/>
          <w:u w:val="single"/>
          <w:rtl/>
        </w:rPr>
        <w:t>הרתעת הרבים</w:t>
      </w:r>
    </w:p>
    <w:p w14:paraId="55D40E96" w14:textId="77777777" w:rsidR="00614E35" w:rsidRPr="00713AE5" w:rsidRDefault="00614E35" w:rsidP="00614E35">
      <w:pPr>
        <w:spacing w:line="360" w:lineRule="auto"/>
        <w:ind w:left="720" w:hanging="720"/>
        <w:jc w:val="both"/>
        <w:rPr>
          <w:rFonts w:ascii="David" w:hAnsi="David"/>
          <w:b/>
          <w:bCs/>
          <w:rtl/>
        </w:rPr>
      </w:pPr>
      <w:r w:rsidRPr="00713AE5">
        <w:rPr>
          <w:rFonts w:ascii="David" w:hAnsi="David"/>
          <w:b/>
          <w:bCs/>
          <w:rtl/>
        </w:rPr>
        <w:t>13.</w:t>
      </w:r>
      <w:r w:rsidRPr="00713AE5">
        <w:rPr>
          <w:rFonts w:ascii="David" w:hAnsi="David"/>
          <w:rtl/>
        </w:rPr>
        <w:t xml:space="preserve"> </w:t>
      </w:r>
      <w:r w:rsidRPr="00713AE5">
        <w:rPr>
          <w:rFonts w:ascii="David" w:hAnsi="David"/>
          <w:rtl/>
        </w:rPr>
        <w:tab/>
        <w:t>נדמה כי אין צורך לה</w:t>
      </w:r>
      <w:r w:rsidRPr="00713AE5">
        <w:rPr>
          <w:rFonts w:ascii="David" w:hAnsi="David" w:hint="cs"/>
          <w:rtl/>
        </w:rPr>
        <w:t>כביר</w:t>
      </w:r>
      <w:r w:rsidRPr="00713AE5">
        <w:rPr>
          <w:rFonts w:ascii="David" w:hAnsi="David"/>
          <w:rtl/>
        </w:rPr>
        <w:t xml:space="preserve"> מילים בדבר הצורך הממשי בעת הזו לשקול אף את הצורך בהרתעת הרבים, </w:t>
      </w:r>
      <w:r w:rsidRPr="00713AE5">
        <w:rPr>
          <w:rFonts w:ascii="David" w:hAnsi="David" w:hint="cs"/>
          <w:rtl/>
        </w:rPr>
        <w:t xml:space="preserve">בוודאי </w:t>
      </w:r>
      <w:r w:rsidRPr="00713AE5">
        <w:rPr>
          <w:rFonts w:ascii="David" w:hAnsi="David"/>
          <w:rtl/>
        </w:rPr>
        <w:t>ככל שהוא נוגע לעבירת הנשק. עבירות מסוג זה הפכו למכת מדינה של ממש, כשחדשות לבקרים אנו עדים לתוצאות הטרגיות הנגרמות עת נעשה שימוש בנשק לא חוקי המוחזק בידי גורמים לא מוסמכים או חמור מכך - בידי ידיים עברייניות או לאומניות. תוצאות אלה לא רק פוגעות לצערנו בגופם של אזרחים חפים מפשע, אלא משפיעות אף על תחושת הביטחון הכללית של הציבור. בשל כך, כפי שפורט בהרחבה לעיל, הורה בית המשפט העליון שבעבירות מסוג זה יש לשקול אף את שיקולי הרתעת הרבים ולהחמיר בענישת אלה המחזיקים או מובילים נשק לא חוקי.</w:t>
      </w:r>
      <w:r w:rsidRPr="00713AE5">
        <w:rPr>
          <w:rFonts w:ascii="David" w:hAnsi="David"/>
          <w:b/>
          <w:bCs/>
          <w:rtl/>
        </w:rPr>
        <w:t xml:space="preserve"> </w:t>
      </w:r>
    </w:p>
    <w:p w14:paraId="43406157" w14:textId="77777777" w:rsidR="00614E35" w:rsidRPr="00713AE5" w:rsidRDefault="00614E35" w:rsidP="00614E35">
      <w:pPr>
        <w:tabs>
          <w:tab w:val="center" w:pos="4153"/>
          <w:tab w:val="right" w:pos="8306"/>
        </w:tabs>
        <w:spacing w:line="360" w:lineRule="auto"/>
        <w:jc w:val="both"/>
        <w:rPr>
          <w:rFonts w:ascii="David" w:hAnsi="David"/>
          <w:rtl/>
        </w:rPr>
      </w:pPr>
    </w:p>
    <w:p w14:paraId="17E32013" w14:textId="77777777" w:rsidR="00614E35" w:rsidRPr="00713AE5" w:rsidRDefault="00614E35" w:rsidP="00614E35">
      <w:pPr>
        <w:tabs>
          <w:tab w:val="center" w:pos="4153"/>
          <w:tab w:val="right" w:pos="8306"/>
        </w:tabs>
        <w:spacing w:line="360" w:lineRule="auto"/>
        <w:jc w:val="both"/>
        <w:rPr>
          <w:rFonts w:ascii="David" w:hAnsi="David"/>
          <w:b/>
          <w:bCs/>
          <w:u w:val="single"/>
          <w:rtl/>
        </w:rPr>
      </w:pPr>
      <w:r w:rsidRPr="00713AE5">
        <w:rPr>
          <w:rFonts w:ascii="David" w:hAnsi="David" w:hint="cs"/>
          <w:b/>
          <w:bCs/>
          <w:u w:val="single"/>
          <w:rtl/>
        </w:rPr>
        <w:t>סוף דבר</w:t>
      </w:r>
    </w:p>
    <w:p w14:paraId="7F5227BB" w14:textId="77777777" w:rsidR="00614E35" w:rsidRPr="00713AE5" w:rsidRDefault="00614E35" w:rsidP="00614E35">
      <w:pPr>
        <w:spacing w:line="360" w:lineRule="auto"/>
        <w:ind w:left="720" w:hanging="720"/>
        <w:jc w:val="both"/>
        <w:rPr>
          <w:rFonts w:ascii="David" w:hAnsi="David"/>
          <w:rtl/>
        </w:rPr>
      </w:pPr>
      <w:r w:rsidRPr="00713AE5">
        <w:rPr>
          <w:rFonts w:ascii="David" w:hAnsi="David"/>
          <w:b/>
          <w:bCs/>
          <w:rtl/>
        </w:rPr>
        <w:t>14</w:t>
      </w:r>
      <w:r w:rsidRPr="00713AE5">
        <w:rPr>
          <w:rFonts w:ascii="David" w:hAnsi="David"/>
          <w:rtl/>
        </w:rPr>
        <w:t xml:space="preserve">. </w:t>
      </w:r>
      <w:r w:rsidRPr="00713AE5">
        <w:rPr>
          <w:rFonts w:ascii="David" w:hAnsi="David"/>
          <w:rtl/>
        </w:rPr>
        <w:tab/>
      </w:r>
      <w:r w:rsidRPr="00713AE5">
        <w:rPr>
          <w:rFonts w:ascii="David" w:hAnsi="David" w:hint="cs"/>
          <w:rtl/>
        </w:rPr>
        <w:t xml:space="preserve">בשוקלי את כלל השיקולים לחומרה ולקולה במקרה דנן באתי לכלל מסקנה כי </w:t>
      </w:r>
      <w:r w:rsidRPr="00713AE5">
        <w:rPr>
          <w:rFonts w:ascii="David" w:hAnsi="David"/>
          <w:rtl/>
        </w:rPr>
        <w:t xml:space="preserve">על אף הנסיבות לחומרה בעניינו של נאשם זה – עברו הפלילי לצד הצורך בהרתעת הרבים - המצדיקות הטלת ענישה ברף הבינוני של המתחם, במקרה זה ניתן להסתפק בענישה </w:t>
      </w:r>
      <w:r w:rsidRPr="00713AE5">
        <w:rPr>
          <w:rFonts w:ascii="David" w:hAnsi="David" w:hint="cs"/>
          <w:rtl/>
        </w:rPr>
        <w:t>ברף</w:t>
      </w:r>
      <w:r w:rsidRPr="00713AE5">
        <w:rPr>
          <w:rFonts w:ascii="David" w:hAnsi="David"/>
          <w:rtl/>
        </w:rPr>
        <w:t xml:space="preserve"> הנמוך של המתחם, </w:t>
      </w:r>
      <w:r w:rsidRPr="00713AE5">
        <w:rPr>
          <w:rFonts w:ascii="David" w:hAnsi="David" w:hint="cs"/>
          <w:rtl/>
        </w:rPr>
        <w:t xml:space="preserve">לאור הבעת המוטיבציה של הנאשם לשיקום לצד שילובו </w:t>
      </w:r>
      <w:r w:rsidRPr="00713AE5">
        <w:rPr>
          <w:rFonts w:ascii="David" w:hAnsi="David"/>
          <w:rtl/>
        </w:rPr>
        <w:t xml:space="preserve">בהליך שיקום בין כותלי בית הסוהר. </w:t>
      </w:r>
    </w:p>
    <w:p w14:paraId="0DCB1EEF" w14:textId="77777777" w:rsidR="00614E35" w:rsidRPr="00713AE5" w:rsidRDefault="00614E35" w:rsidP="00614E35">
      <w:pPr>
        <w:tabs>
          <w:tab w:val="center" w:pos="4153"/>
          <w:tab w:val="right" w:pos="8306"/>
        </w:tabs>
        <w:spacing w:line="360" w:lineRule="auto"/>
        <w:jc w:val="both"/>
        <w:rPr>
          <w:rFonts w:ascii="David" w:hAnsi="David"/>
          <w:b/>
          <w:bCs/>
          <w:sz w:val="20"/>
          <w:szCs w:val="20"/>
          <w:rtl/>
        </w:rPr>
      </w:pPr>
    </w:p>
    <w:p w14:paraId="446E5CD0" w14:textId="77777777" w:rsidR="00614E35" w:rsidRPr="00713AE5" w:rsidRDefault="00614E35" w:rsidP="00614E35">
      <w:pPr>
        <w:tabs>
          <w:tab w:val="center" w:pos="4153"/>
          <w:tab w:val="right" w:pos="8306"/>
        </w:tabs>
        <w:spacing w:line="360" w:lineRule="auto"/>
        <w:ind w:left="720"/>
        <w:jc w:val="both"/>
        <w:rPr>
          <w:rFonts w:ascii="David" w:hAnsi="David"/>
          <w:rtl/>
        </w:rPr>
      </w:pPr>
      <w:r w:rsidRPr="00713AE5">
        <w:rPr>
          <w:rFonts w:ascii="David" w:hAnsi="David"/>
          <w:rtl/>
        </w:rPr>
        <w:tab/>
        <w:t xml:space="preserve">לצד האמור יש להטיל אף ענישה כלכלית בדמות קנס שיהא בו משום העברת מסר מרתיע לנאשם ולאחרים, אם כי במקרה דנן אסתפק בקנס סמלי בלבד לאור הרצון להעביר מסר של הכרה בהליך הטיפול שעובר הנאשם. כמו כן, ברי כי יש להטיל אף פסילת רישיון משמעותית בשים לב לעבירות התעבורה בהן הורשע ולעובדה כי באופן נהיגתו, כשהוא שיכור, סיכן אחרים, וזאת אף תוך התייחסות לפסילת המינימום הקבועה בעבירה של נהיגה בשכרות [ראו: </w:t>
      </w:r>
      <w:hyperlink r:id="rId60" w:history="1">
        <w:r w:rsidR="00713AE5" w:rsidRPr="00713AE5">
          <w:rPr>
            <w:rStyle w:val="Hyperlink"/>
            <w:rFonts w:ascii="David" w:hAnsi="David"/>
            <w:b/>
            <w:bCs/>
            <w:rtl/>
          </w:rPr>
          <w:t>סעיף 39א</w:t>
        </w:r>
      </w:hyperlink>
      <w:r w:rsidRPr="00713AE5">
        <w:rPr>
          <w:rFonts w:ascii="David" w:hAnsi="David"/>
          <w:b/>
          <w:bCs/>
          <w:rtl/>
        </w:rPr>
        <w:t xml:space="preserve"> ל</w:t>
      </w:r>
      <w:hyperlink r:id="rId61" w:history="1">
        <w:r w:rsidR="00981D41" w:rsidRPr="00713AE5">
          <w:rPr>
            <w:rFonts w:ascii="David" w:hAnsi="David"/>
            <w:b/>
            <w:bCs/>
            <w:color w:val="0000FF"/>
            <w:u w:val="single"/>
            <w:rtl/>
          </w:rPr>
          <w:t>פקודת התעבורה</w:t>
        </w:r>
      </w:hyperlink>
      <w:r w:rsidRPr="00713AE5">
        <w:rPr>
          <w:rFonts w:ascii="David" w:hAnsi="David"/>
          <w:b/>
          <w:bCs/>
          <w:rtl/>
        </w:rPr>
        <w:t>]</w:t>
      </w:r>
      <w:r w:rsidRPr="00713AE5">
        <w:rPr>
          <w:rFonts w:ascii="David" w:hAnsi="David"/>
          <w:rtl/>
        </w:rPr>
        <w:t xml:space="preserve">. </w:t>
      </w:r>
    </w:p>
    <w:p w14:paraId="58EB74EC" w14:textId="77777777" w:rsidR="00614E35" w:rsidRPr="00713AE5" w:rsidRDefault="00614E35" w:rsidP="00614E35">
      <w:pPr>
        <w:tabs>
          <w:tab w:val="center" w:pos="4153"/>
          <w:tab w:val="right" w:pos="8306"/>
        </w:tabs>
        <w:spacing w:line="360" w:lineRule="auto"/>
        <w:jc w:val="both"/>
        <w:rPr>
          <w:rFonts w:ascii="David" w:hAnsi="David"/>
          <w:rtl/>
        </w:rPr>
      </w:pPr>
    </w:p>
    <w:p w14:paraId="5BF16803" w14:textId="77777777" w:rsidR="00614E35" w:rsidRPr="00713AE5" w:rsidRDefault="00614E35" w:rsidP="00614E35">
      <w:pPr>
        <w:tabs>
          <w:tab w:val="center" w:pos="4153"/>
          <w:tab w:val="right" w:pos="8306"/>
        </w:tabs>
        <w:spacing w:line="360" w:lineRule="auto"/>
        <w:jc w:val="both"/>
        <w:rPr>
          <w:rFonts w:ascii="David" w:hAnsi="David"/>
          <w:b/>
          <w:bCs/>
          <w:u w:val="single"/>
          <w:rtl/>
        </w:rPr>
      </w:pPr>
      <w:r w:rsidRPr="00713AE5">
        <w:rPr>
          <w:rFonts w:ascii="David" w:hAnsi="David"/>
          <w:b/>
          <w:bCs/>
          <w:rtl/>
        </w:rPr>
        <w:t xml:space="preserve">15. </w:t>
      </w:r>
      <w:r w:rsidRPr="00713AE5">
        <w:rPr>
          <w:rFonts w:ascii="David" w:hAnsi="David" w:hint="cs"/>
          <w:b/>
          <w:bCs/>
          <w:u w:val="single"/>
          <w:rtl/>
        </w:rPr>
        <w:t>אשר על כן</w:t>
      </w:r>
      <w:r w:rsidRPr="00713AE5">
        <w:rPr>
          <w:rFonts w:ascii="David" w:hAnsi="David"/>
          <w:b/>
          <w:bCs/>
          <w:u w:val="single"/>
          <w:rtl/>
        </w:rPr>
        <w:t>, אני גוזרת על הנאשם את העונשים הבאים:</w:t>
      </w:r>
    </w:p>
    <w:p w14:paraId="5730129B" w14:textId="77777777" w:rsidR="00614E35" w:rsidRPr="00713AE5" w:rsidRDefault="00614E35" w:rsidP="00614E35">
      <w:pPr>
        <w:tabs>
          <w:tab w:val="center" w:pos="4153"/>
          <w:tab w:val="right" w:pos="8306"/>
        </w:tabs>
        <w:spacing w:line="360" w:lineRule="auto"/>
        <w:jc w:val="both"/>
        <w:rPr>
          <w:rFonts w:ascii="David" w:hAnsi="David"/>
          <w:b/>
          <w:bCs/>
          <w:u w:val="single"/>
          <w:rtl/>
        </w:rPr>
      </w:pPr>
    </w:p>
    <w:p w14:paraId="6A46A424" w14:textId="77777777" w:rsidR="00614E35" w:rsidRPr="00713AE5" w:rsidRDefault="00614E35" w:rsidP="00614E35">
      <w:pPr>
        <w:pStyle w:val="a9"/>
        <w:numPr>
          <w:ilvl w:val="0"/>
          <w:numId w:val="1"/>
        </w:numPr>
        <w:tabs>
          <w:tab w:val="center" w:pos="4153"/>
          <w:tab w:val="right" w:pos="8306"/>
        </w:tabs>
        <w:spacing w:after="0" w:line="360" w:lineRule="auto"/>
        <w:jc w:val="both"/>
        <w:rPr>
          <w:rFonts w:ascii="David" w:eastAsia="Times New Roman" w:hAnsi="David" w:cs="David"/>
          <w:b/>
          <w:bCs/>
          <w:sz w:val="24"/>
          <w:szCs w:val="24"/>
          <w:u w:val="single"/>
        </w:rPr>
      </w:pPr>
      <w:r w:rsidRPr="00713AE5">
        <w:rPr>
          <w:rFonts w:ascii="David" w:eastAsia="Times New Roman" w:hAnsi="David" w:cs="David"/>
          <w:b/>
          <w:bCs/>
          <w:sz w:val="24"/>
          <w:szCs w:val="24"/>
          <w:rtl/>
        </w:rPr>
        <w:t>48 חודשי מאסר בפועל מהם ינוכו ימי מעצרו.</w:t>
      </w:r>
    </w:p>
    <w:p w14:paraId="3313DF22" w14:textId="77777777" w:rsidR="00614E35" w:rsidRPr="00713AE5" w:rsidRDefault="00614E35" w:rsidP="00614E35">
      <w:pPr>
        <w:pStyle w:val="a9"/>
        <w:tabs>
          <w:tab w:val="center" w:pos="4153"/>
          <w:tab w:val="right" w:pos="8306"/>
        </w:tabs>
        <w:spacing w:after="0" w:line="360" w:lineRule="auto"/>
        <w:ind w:left="920"/>
        <w:jc w:val="both"/>
        <w:rPr>
          <w:rFonts w:ascii="David" w:eastAsia="Times New Roman" w:hAnsi="David" w:cs="David"/>
          <w:b/>
          <w:bCs/>
          <w:sz w:val="24"/>
          <w:szCs w:val="24"/>
          <w:u w:val="single"/>
          <w:rtl/>
        </w:rPr>
      </w:pPr>
    </w:p>
    <w:p w14:paraId="1C63DDF7" w14:textId="77777777" w:rsidR="00614E35" w:rsidRPr="00713AE5" w:rsidRDefault="00614E35" w:rsidP="00614E35">
      <w:pPr>
        <w:pStyle w:val="a9"/>
        <w:numPr>
          <w:ilvl w:val="0"/>
          <w:numId w:val="1"/>
        </w:numPr>
        <w:tabs>
          <w:tab w:val="center" w:pos="4153"/>
          <w:tab w:val="right" w:pos="8306"/>
        </w:tabs>
        <w:spacing w:after="0" w:line="360" w:lineRule="auto"/>
        <w:jc w:val="both"/>
        <w:rPr>
          <w:rFonts w:ascii="David" w:eastAsia="Times New Roman" w:hAnsi="David" w:cs="David"/>
          <w:b/>
          <w:bCs/>
          <w:sz w:val="24"/>
          <w:szCs w:val="24"/>
          <w:u w:val="single"/>
        </w:rPr>
      </w:pPr>
      <w:r w:rsidRPr="00713AE5">
        <w:rPr>
          <w:rFonts w:ascii="David" w:eastAsia="Times New Roman" w:hAnsi="David" w:cs="David"/>
          <w:b/>
          <w:bCs/>
          <w:sz w:val="24"/>
          <w:szCs w:val="24"/>
          <w:rtl/>
        </w:rPr>
        <w:t xml:space="preserve">8 חודשי מאסר על תנאי למשך 3 שנים מיום שחרורו שלא יעבור עבירה מסוג פשע לפי </w:t>
      </w:r>
      <w:hyperlink r:id="rId62" w:history="1">
        <w:r w:rsidR="00713AE5" w:rsidRPr="00713AE5">
          <w:rPr>
            <w:rStyle w:val="Hyperlink"/>
            <w:rFonts w:ascii="David" w:eastAsia="Times New Roman" w:hAnsi="David" w:cs="David"/>
            <w:b/>
            <w:bCs/>
            <w:sz w:val="24"/>
            <w:szCs w:val="24"/>
            <w:rtl/>
          </w:rPr>
          <w:t>סעיף 144</w:t>
        </w:r>
      </w:hyperlink>
      <w:r w:rsidRPr="00713AE5">
        <w:rPr>
          <w:rFonts w:ascii="David" w:eastAsia="Times New Roman" w:hAnsi="David" w:cs="David"/>
          <w:b/>
          <w:bCs/>
          <w:sz w:val="24"/>
          <w:szCs w:val="24"/>
          <w:rtl/>
        </w:rPr>
        <w:t xml:space="preserve"> ל</w:t>
      </w:r>
      <w:hyperlink r:id="rId63" w:history="1">
        <w:r w:rsidR="00981D41" w:rsidRPr="00713AE5">
          <w:rPr>
            <w:rFonts w:ascii="David" w:eastAsia="Times New Roman" w:hAnsi="David" w:cs="David"/>
            <w:b/>
            <w:bCs/>
            <w:color w:val="0000FF"/>
            <w:sz w:val="24"/>
            <w:szCs w:val="24"/>
            <w:u w:val="single"/>
            <w:rtl/>
          </w:rPr>
          <w:t>חוק העונשין</w:t>
        </w:r>
      </w:hyperlink>
      <w:r w:rsidRPr="00713AE5">
        <w:rPr>
          <w:rFonts w:ascii="David" w:eastAsia="Times New Roman" w:hAnsi="David" w:cs="David"/>
          <w:b/>
          <w:bCs/>
          <w:sz w:val="24"/>
          <w:szCs w:val="24"/>
          <w:rtl/>
        </w:rPr>
        <w:t xml:space="preserve"> ו/או עבירה לפי </w:t>
      </w:r>
      <w:hyperlink r:id="rId64" w:history="1">
        <w:r w:rsidR="00713AE5" w:rsidRPr="00713AE5">
          <w:rPr>
            <w:rStyle w:val="Hyperlink"/>
            <w:rFonts w:ascii="David" w:eastAsia="Times New Roman" w:hAnsi="David" w:cs="David"/>
            <w:b/>
            <w:bCs/>
            <w:sz w:val="24"/>
            <w:szCs w:val="24"/>
            <w:rtl/>
          </w:rPr>
          <w:t>סעיף 338</w:t>
        </w:r>
      </w:hyperlink>
      <w:r w:rsidRPr="00713AE5">
        <w:rPr>
          <w:rFonts w:ascii="David" w:eastAsia="Times New Roman" w:hAnsi="David" w:cs="David"/>
          <w:b/>
          <w:bCs/>
          <w:sz w:val="24"/>
          <w:szCs w:val="24"/>
          <w:rtl/>
        </w:rPr>
        <w:t xml:space="preserve"> ו/או </w:t>
      </w:r>
      <w:hyperlink r:id="rId65" w:history="1">
        <w:r w:rsidR="00713AE5" w:rsidRPr="00713AE5">
          <w:rPr>
            <w:rStyle w:val="Hyperlink"/>
            <w:rFonts w:ascii="David" w:eastAsia="Times New Roman" w:hAnsi="David" w:cs="David"/>
            <w:b/>
            <w:bCs/>
            <w:sz w:val="24"/>
            <w:szCs w:val="24"/>
            <w:rtl/>
          </w:rPr>
          <w:t>332</w:t>
        </w:r>
      </w:hyperlink>
      <w:r w:rsidRPr="00713AE5">
        <w:rPr>
          <w:rFonts w:ascii="David" w:eastAsia="Times New Roman" w:hAnsi="David" w:cs="David"/>
          <w:b/>
          <w:bCs/>
          <w:sz w:val="24"/>
          <w:szCs w:val="24"/>
          <w:rtl/>
        </w:rPr>
        <w:t xml:space="preserve"> לחוק העונשין. </w:t>
      </w:r>
    </w:p>
    <w:p w14:paraId="3E471290" w14:textId="77777777" w:rsidR="00614E35" w:rsidRPr="00713AE5" w:rsidRDefault="00614E35" w:rsidP="00614E35">
      <w:pPr>
        <w:tabs>
          <w:tab w:val="center" w:pos="4153"/>
          <w:tab w:val="right" w:pos="8306"/>
        </w:tabs>
        <w:spacing w:line="360" w:lineRule="auto"/>
        <w:jc w:val="both"/>
        <w:rPr>
          <w:rFonts w:ascii="David" w:hAnsi="David"/>
          <w:b/>
          <w:bCs/>
          <w:u w:val="single"/>
        </w:rPr>
      </w:pPr>
    </w:p>
    <w:p w14:paraId="47A0033E" w14:textId="77777777" w:rsidR="00614E35" w:rsidRPr="00713AE5" w:rsidRDefault="00614E35" w:rsidP="00614E35">
      <w:pPr>
        <w:pStyle w:val="a9"/>
        <w:numPr>
          <w:ilvl w:val="0"/>
          <w:numId w:val="1"/>
        </w:numPr>
        <w:tabs>
          <w:tab w:val="center" w:pos="4153"/>
          <w:tab w:val="right" w:pos="8306"/>
        </w:tabs>
        <w:spacing w:after="0" w:line="360" w:lineRule="auto"/>
        <w:jc w:val="both"/>
        <w:rPr>
          <w:rFonts w:ascii="David" w:eastAsia="Times New Roman" w:hAnsi="David" w:cs="David"/>
          <w:b/>
          <w:bCs/>
          <w:sz w:val="24"/>
          <w:szCs w:val="24"/>
          <w:u w:val="single"/>
        </w:rPr>
      </w:pPr>
      <w:r w:rsidRPr="00713AE5">
        <w:rPr>
          <w:rFonts w:ascii="David" w:eastAsia="Times New Roman" w:hAnsi="David" w:cs="David" w:hint="cs"/>
          <w:b/>
          <w:bCs/>
          <w:sz w:val="24"/>
          <w:szCs w:val="24"/>
          <w:rtl/>
        </w:rPr>
        <w:t>4</w:t>
      </w:r>
      <w:r w:rsidRPr="00713AE5">
        <w:rPr>
          <w:rFonts w:ascii="David" w:eastAsia="Times New Roman" w:hAnsi="David" w:cs="David"/>
          <w:b/>
          <w:bCs/>
          <w:sz w:val="24"/>
          <w:szCs w:val="24"/>
          <w:rtl/>
        </w:rPr>
        <w:t xml:space="preserve"> חודשי מאסר על תנאי למשך 3 שנים מיום שחרורו של יעבור שוב עבירה של נהיגה בשכרות ו/או נהיגה ללא רישיון ו/או נהיגה בזמן פסילה</w:t>
      </w:r>
      <w:r w:rsidRPr="00713AE5">
        <w:rPr>
          <w:rFonts w:ascii="David" w:eastAsia="Times New Roman" w:hAnsi="David" w:cs="David" w:hint="cs"/>
          <w:b/>
          <w:bCs/>
          <w:sz w:val="24"/>
          <w:szCs w:val="24"/>
          <w:rtl/>
        </w:rPr>
        <w:t xml:space="preserve"> ו/או עבירה מסוג עוון לפי </w:t>
      </w:r>
      <w:hyperlink r:id="rId66" w:history="1">
        <w:r w:rsidR="00713AE5" w:rsidRPr="00713AE5">
          <w:rPr>
            <w:rStyle w:val="Hyperlink"/>
            <w:rFonts w:ascii="David" w:eastAsia="Times New Roman" w:hAnsi="David" w:cs="David" w:hint="eastAsia"/>
            <w:b/>
            <w:bCs/>
            <w:sz w:val="24"/>
            <w:szCs w:val="24"/>
            <w:rtl/>
          </w:rPr>
          <w:t>סעיף</w:t>
        </w:r>
        <w:r w:rsidR="00713AE5" w:rsidRPr="00713AE5">
          <w:rPr>
            <w:rStyle w:val="Hyperlink"/>
            <w:rFonts w:ascii="David" w:eastAsia="Times New Roman" w:hAnsi="David" w:cs="David"/>
            <w:b/>
            <w:bCs/>
            <w:sz w:val="24"/>
            <w:szCs w:val="24"/>
            <w:rtl/>
          </w:rPr>
          <w:t xml:space="preserve"> 144</w:t>
        </w:r>
      </w:hyperlink>
      <w:r w:rsidRPr="00713AE5">
        <w:rPr>
          <w:rFonts w:ascii="David" w:eastAsia="Times New Roman" w:hAnsi="David" w:cs="David" w:hint="cs"/>
          <w:b/>
          <w:bCs/>
          <w:sz w:val="24"/>
          <w:szCs w:val="24"/>
          <w:rtl/>
        </w:rPr>
        <w:t xml:space="preserve"> ל</w:t>
      </w:r>
      <w:hyperlink r:id="rId67" w:history="1">
        <w:r w:rsidR="00981D41" w:rsidRPr="00713AE5">
          <w:rPr>
            <w:rFonts w:ascii="David" w:eastAsia="Times New Roman" w:hAnsi="David" w:cs="David"/>
            <w:b/>
            <w:bCs/>
            <w:color w:val="0000FF"/>
            <w:sz w:val="24"/>
            <w:szCs w:val="24"/>
            <w:u w:val="single"/>
            <w:rtl/>
          </w:rPr>
          <w:t>חוק העונשין</w:t>
        </w:r>
      </w:hyperlink>
      <w:r w:rsidRPr="00713AE5">
        <w:rPr>
          <w:rFonts w:ascii="David" w:eastAsia="Times New Roman" w:hAnsi="David" w:cs="David"/>
          <w:b/>
          <w:bCs/>
          <w:sz w:val="24"/>
          <w:szCs w:val="24"/>
          <w:rtl/>
        </w:rPr>
        <w:t xml:space="preserve">. </w:t>
      </w:r>
    </w:p>
    <w:p w14:paraId="60A92EB3" w14:textId="77777777" w:rsidR="00614E35" w:rsidRPr="00713AE5" w:rsidRDefault="00614E35" w:rsidP="00614E35">
      <w:pPr>
        <w:pStyle w:val="a9"/>
        <w:tabs>
          <w:tab w:val="center" w:pos="4153"/>
          <w:tab w:val="right" w:pos="8306"/>
        </w:tabs>
        <w:spacing w:after="0" w:line="360" w:lineRule="auto"/>
        <w:ind w:left="920"/>
        <w:jc w:val="both"/>
        <w:rPr>
          <w:rFonts w:ascii="David" w:eastAsia="Times New Roman" w:hAnsi="David" w:cs="David"/>
          <w:b/>
          <w:bCs/>
          <w:sz w:val="24"/>
          <w:szCs w:val="24"/>
          <w:u w:val="single"/>
        </w:rPr>
      </w:pPr>
    </w:p>
    <w:p w14:paraId="55716650" w14:textId="77777777" w:rsidR="00614E35" w:rsidRPr="00713AE5" w:rsidRDefault="00614E35" w:rsidP="00614E35">
      <w:pPr>
        <w:pStyle w:val="a9"/>
        <w:numPr>
          <w:ilvl w:val="0"/>
          <w:numId w:val="1"/>
        </w:numPr>
        <w:tabs>
          <w:tab w:val="center" w:pos="4153"/>
          <w:tab w:val="right" w:pos="8306"/>
        </w:tabs>
        <w:spacing w:after="0" w:line="360" w:lineRule="auto"/>
        <w:jc w:val="both"/>
        <w:rPr>
          <w:rFonts w:ascii="David" w:eastAsia="Times New Roman" w:hAnsi="David" w:cs="David"/>
          <w:b/>
          <w:bCs/>
          <w:sz w:val="24"/>
          <w:szCs w:val="24"/>
        </w:rPr>
      </w:pPr>
      <w:r w:rsidRPr="00713AE5">
        <w:rPr>
          <w:rFonts w:ascii="David" w:eastAsia="Times New Roman" w:hAnsi="David" w:cs="David"/>
          <w:b/>
          <w:bCs/>
          <w:sz w:val="24"/>
          <w:szCs w:val="24"/>
          <w:rtl/>
        </w:rPr>
        <w:t xml:space="preserve">24 חודשי פסילה בפועל. </w:t>
      </w:r>
    </w:p>
    <w:p w14:paraId="7A6EEA5E" w14:textId="77777777" w:rsidR="00614E35" w:rsidRPr="00713AE5" w:rsidRDefault="00614E35" w:rsidP="00614E35">
      <w:pPr>
        <w:pStyle w:val="a9"/>
        <w:tabs>
          <w:tab w:val="center" w:pos="4153"/>
          <w:tab w:val="right" w:pos="8306"/>
        </w:tabs>
        <w:spacing w:after="0" w:line="360" w:lineRule="auto"/>
        <w:ind w:left="920"/>
        <w:jc w:val="both"/>
        <w:rPr>
          <w:rFonts w:ascii="David" w:eastAsia="Times New Roman" w:hAnsi="David" w:cs="David"/>
          <w:b/>
          <w:bCs/>
          <w:sz w:val="24"/>
          <w:szCs w:val="24"/>
          <w:rtl/>
        </w:rPr>
      </w:pPr>
      <w:r w:rsidRPr="00713AE5">
        <w:rPr>
          <w:rFonts w:ascii="David" w:eastAsia="Times New Roman" w:hAnsi="David" w:cs="David"/>
          <w:b/>
          <w:bCs/>
          <w:sz w:val="24"/>
          <w:szCs w:val="24"/>
          <w:rtl/>
        </w:rPr>
        <w:t>בהעדר רישיון מניין הפסילה יחל להימנות מיום שחרורו מן המאסר אף ללא צורך בהפקד</w:t>
      </w:r>
      <w:r w:rsidRPr="00713AE5">
        <w:rPr>
          <w:rFonts w:ascii="David" w:eastAsia="Times New Roman" w:hAnsi="David" w:cs="David" w:hint="cs"/>
          <w:b/>
          <w:bCs/>
          <w:sz w:val="24"/>
          <w:szCs w:val="24"/>
          <w:rtl/>
        </w:rPr>
        <w:t>ת רישיון</w:t>
      </w:r>
      <w:r w:rsidRPr="00713AE5">
        <w:rPr>
          <w:rFonts w:ascii="David" w:eastAsia="Times New Roman" w:hAnsi="David" w:cs="David"/>
          <w:b/>
          <w:bCs/>
          <w:sz w:val="24"/>
          <w:szCs w:val="24"/>
          <w:rtl/>
        </w:rPr>
        <w:t>.</w:t>
      </w:r>
    </w:p>
    <w:p w14:paraId="0C221A27" w14:textId="77777777" w:rsidR="00614E35" w:rsidRPr="00713AE5" w:rsidRDefault="00614E35" w:rsidP="00614E35">
      <w:pPr>
        <w:tabs>
          <w:tab w:val="center" w:pos="4153"/>
          <w:tab w:val="right" w:pos="8306"/>
        </w:tabs>
        <w:spacing w:line="360" w:lineRule="auto"/>
        <w:jc w:val="both"/>
        <w:rPr>
          <w:rFonts w:ascii="David" w:hAnsi="David"/>
          <w:b/>
          <w:bCs/>
        </w:rPr>
      </w:pPr>
    </w:p>
    <w:p w14:paraId="13520357" w14:textId="77777777" w:rsidR="00614E35" w:rsidRPr="00713AE5" w:rsidRDefault="00614E35" w:rsidP="00614E35">
      <w:pPr>
        <w:pStyle w:val="a9"/>
        <w:numPr>
          <w:ilvl w:val="0"/>
          <w:numId w:val="1"/>
        </w:numPr>
        <w:tabs>
          <w:tab w:val="center" w:pos="4153"/>
          <w:tab w:val="right" w:pos="8306"/>
        </w:tabs>
        <w:spacing w:after="0" w:line="360" w:lineRule="auto"/>
        <w:jc w:val="both"/>
        <w:rPr>
          <w:rFonts w:ascii="David" w:eastAsia="Times New Roman" w:hAnsi="David" w:cs="David"/>
          <w:b/>
          <w:bCs/>
          <w:sz w:val="24"/>
          <w:szCs w:val="24"/>
        </w:rPr>
      </w:pPr>
      <w:r w:rsidRPr="00713AE5">
        <w:rPr>
          <w:rFonts w:ascii="David" w:eastAsia="Times New Roman" w:hAnsi="David" w:cs="David"/>
          <w:b/>
          <w:bCs/>
          <w:sz w:val="24"/>
          <w:szCs w:val="24"/>
          <w:rtl/>
        </w:rPr>
        <w:t>6 חודשי פסילה על תנאי למשך 3 שנים מיום שחרורו שלא יעבור שוב עבירה לפי התוספת הראשונה או השניה ל</w:t>
      </w:r>
      <w:hyperlink r:id="rId68" w:history="1">
        <w:r w:rsidR="00981D41" w:rsidRPr="00713AE5">
          <w:rPr>
            <w:rFonts w:ascii="David" w:eastAsia="Times New Roman" w:hAnsi="David" w:cs="David"/>
            <w:b/>
            <w:bCs/>
            <w:color w:val="0000FF"/>
            <w:sz w:val="24"/>
            <w:szCs w:val="24"/>
            <w:u w:val="single"/>
            <w:rtl/>
          </w:rPr>
          <w:t>פקודת התעבורה</w:t>
        </w:r>
      </w:hyperlink>
      <w:r w:rsidRPr="00713AE5">
        <w:rPr>
          <w:rFonts w:ascii="David" w:eastAsia="Times New Roman" w:hAnsi="David" w:cs="David"/>
          <w:b/>
          <w:bCs/>
          <w:sz w:val="24"/>
          <w:szCs w:val="24"/>
          <w:rtl/>
        </w:rPr>
        <w:t xml:space="preserve"> ו/או עבירה של נהיגה בשכרות ו/או עבירה של נהיגה בזמן פסילה. </w:t>
      </w:r>
    </w:p>
    <w:p w14:paraId="4C56EAC9" w14:textId="77777777" w:rsidR="00614E35" w:rsidRPr="00713AE5" w:rsidRDefault="00614E35" w:rsidP="00614E35">
      <w:pPr>
        <w:pStyle w:val="a9"/>
        <w:tabs>
          <w:tab w:val="center" w:pos="4153"/>
          <w:tab w:val="right" w:pos="8306"/>
        </w:tabs>
        <w:spacing w:after="0" w:line="360" w:lineRule="auto"/>
        <w:ind w:left="920"/>
        <w:jc w:val="both"/>
        <w:rPr>
          <w:rFonts w:ascii="David" w:eastAsia="Times New Roman" w:hAnsi="David" w:cs="David"/>
          <w:b/>
          <w:bCs/>
          <w:sz w:val="24"/>
          <w:szCs w:val="24"/>
        </w:rPr>
      </w:pPr>
    </w:p>
    <w:p w14:paraId="3D79F41E" w14:textId="77777777" w:rsidR="00614E35" w:rsidRPr="00713AE5" w:rsidRDefault="00614E35" w:rsidP="00614E35">
      <w:pPr>
        <w:pStyle w:val="a9"/>
        <w:numPr>
          <w:ilvl w:val="0"/>
          <w:numId w:val="1"/>
        </w:numPr>
        <w:tabs>
          <w:tab w:val="center" w:pos="4153"/>
          <w:tab w:val="right" w:pos="8306"/>
        </w:tabs>
        <w:spacing w:after="0" w:line="360" w:lineRule="auto"/>
        <w:jc w:val="both"/>
        <w:rPr>
          <w:rFonts w:ascii="David" w:eastAsia="Times New Roman" w:hAnsi="David" w:cs="David"/>
          <w:b/>
          <w:bCs/>
          <w:sz w:val="24"/>
          <w:szCs w:val="24"/>
        </w:rPr>
      </w:pPr>
      <w:r w:rsidRPr="00713AE5">
        <w:rPr>
          <w:rFonts w:ascii="David" w:eastAsia="Times New Roman" w:hAnsi="David" w:cs="David"/>
          <w:b/>
          <w:bCs/>
          <w:sz w:val="24"/>
          <w:szCs w:val="24"/>
          <w:rtl/>
        </w:rPr>
        <w:t xml:space="preserve">קנס בסך 3000 ₪ או 30 ימי מאסר תמורת הקנס. </w:t>
      </w:r>
    </w:p>
    <w:p w14:paraId="0A96E73D" w14:textId="77777777" w:rsidR="00614E35" w:rsidRPr="00713AE5" w:rsidRDefault="00614E35" w:rsidP="00614E35">
      <w:pPr>
        <w:pStyle w:val="a9"/>
        <w:tabs>
          <w:tab w:val="center" w:pos="4153"/>
          <w:tab w:val="right" w:pos="8306"/>
        </w:tabs>
        <w:spacing w:after="0" w:line="360" w:lineRule="auto"/>
        <w:ind w:left="920"/>
        <w:jc w:val="both"/>
        <w:rPr>
          <w:rFonts w:ascii="David" w:eastAsia="Times New Roman" w:hAnsi="David" w:cs="David"/>
          <w:sz w:val="24"/>
          <w:szCs w:val="24"/>
        </w:rPr>
      </w:pPr>
      <w:r w:rsidRPr="00713AE5">
        <w:rPr>
          <w:rFonts w:ascii="David" w:eastAsia="Times New Roman" w:hAnsi="David" w:cs="David"/>
          <w:b/>
          <w:bCs/>
          <w:sz w:val="24"/>
          <w:szCs w:val="24"/>
          <w:rtl/>
        </w:rPr>
        <w:t xml:space="preserve">הקנס ישולם ב-2 תשלומים חודשיים שווים ורצופים. תשלום ראשון תוך 90 יום מהיום. </w:t>
      </w:r>
    </w:p>
    <w:p w14:paraId="5A31B572" w14:textId="77777777" w:rsidR="00614E35" w:rsidRPr="00713AE5" w:rsidRDefault="00614E35" w:rsidP="00614E35">
      <w:pPr>
        <w:pStyle w:val="a9"/>
        <w:tabs>
          <w:tab w:val="center" w:pos="4153"/>
          <w:tab w:val="right" w:pos="8306"/>
        </w:tabs>
        <w:spacing w:after="0" w:line="360" w:lineRule="auto"/>
        <w:ind w:left="920"/>
        <w:jc w:val="both"/>
        <w:rPr>
          <w:rFonts w:ascii="David" w:eastAsia="Times New Roman" w:hAnsi="David" w:cs="David"/>
          <w:sz w:val="24"/>
          <w:szCs w:val="24"/>
          <w:rtl/>
        </w:rPr>
      </w:pPr>
    </w:p>
    <w:p w14:paraId="400ACFA6" w14:textId="77777777" w:rsidR="00614E35" w:rsidRPr="00713AE5" w:rsidRDefault="00614E35" w:rsidP="00614E35">
      <w:pPr>
        <w:tabs>
          <w:tab w:val="center" w:pos="4153"/>
          <w:tab w:val="right" w:pos="8306"/>
        </w:tabs>
        <w:spacing w:line="360" w:lineRule="auto"/>
        <w:jc w:val="both"/>
        <w:rPr>
          <w:rFonts w:ascii="David" w:hAnsi="David"/>
          <w:b/>
          <w:bCs/>
          <w:rtl/>
        </w:rPr>
      </w:pPr>
      <w:r w:rsidRPr="00713AE5">
        <w:rPr>
          <w:rFonts w:ascii="David" w:hAnsi="David"/>
          <w:b/>
          <w:bCs/>
          <w:rtl/>
        </w:rPr>
        <w:t>זכות ערעור תוך 45 יום לבית המשפט העליון.</w:t>
      </w:r>
    </w:p>
    <w:p w14:paraId="79CCE918" w14:textId="77777777" w:rsidR="00614E35" w:rsidRPr="00713AE5" w:rsidRDefault="00614E35" w:rsidP="00614E35">
      <w:pPr>
        <w:tabs>
          <w:tab w:val="center" w:pos="4153"/>
          <w:tab w:val="right" w:pos="8306"/>
        </w:tabs>
        <w:spacing w:line="360" w:lineRule="auto"/>
        <w:jc w:val="both"/>
        <w:rPr>
          <w:rFonts w:ascii="David" w:hAnsi="David"/>
          <w:b/>
          <w:bCs/>
          <w:rtl/>
        </w:rPr>
      </w:pPr>
    </w:p>
    <w:p w14:paraId="45173D19" w14:textId="77777777" w:rsidR="00614E35" w:rsidRPr="00713AE5" w:rsidRDefault="00981D41" w:rsidP="00614E35">
      <w:pPr>
        <w:tabs>
          <w:tab w:val="center" w:pos="4153"/>
          <w:tab w:val="right" w:pos="8306"/>
        </w:tabs>
        <w:spacing w:line="360" w:lineRule="auto"/>
        <w:jc w:val="both"/>
        <w:rPr>
          <w:rFonts w:ascii="David" w:hAnsi="David"/>
          <w:b/>
          <w:bCs/>
          <w:rtl/>
        </w:rPr>
      </w:pPr>
      <w:r w:rsidRPr="00713AE5">
        <w:rPr>
          <w:rFonts w:ascii="David" w:hAnsi="David"/>
          <w:b/>
          <w:bCs/>
          <w:color w:val="FFFFFF"/>
          <w:sz w:val="2"/>
          <w:szCs w:val="2"/>
          <w:rtl/>
        </w:rPr>
        <w:t>5129371</w:t>
      </w:r>
      <w:r w:rsidR="00614E35" w:rsidRPr="00713AE5">
        <w:rPr>
          <w:rFonts w:ascii="David" w:hAnsi="David"/>
          <w:b/>
          <w:bCs/>
          <w:rtl/>
        </w:rPr>
        <w:t>הנשק</w:t>
      </w:r>
      <w:r w:rsidR="00614E35" w:rsidRPr="00713AE5">
        <w:rPr>
          <w:rFonts w:ascii="David" w:hAnsi="David" w:hint="cs"/>
          <w:b/>
          <w:bCs/>
          <w:rtl/>
        </w:rPr>
        <w:t>ים</w:t>
      </w:r>
      <w:r w:rsidR="00614E35" w:rsidRPr="00713AE5">
        <w:rPr>
          <w:rFonts w:ascii="David" w:hAnsi="David"/>
          <w:b/>
          <w:bCs/>
          <w:rtl/>
        </w:rPr>
        <w:t xml:space="preserve"> יושמד</w:t>
      </w:r>
      <w:r w:rsidR="00614E35" w:rsidRPr="00713AE5">
        <w:rPr>
          <w:rFonts w:ascii="David" w:hAnsi="David" w:hint="cs"/>
          <w:b/>
          <w:bCs/>
          <w:rtl/>
        </w:rPr>
        <w:t>ו</w:t>
      </w:r>
      <w:r w:rsidR="00614E35" w:rsidRPr="00713AE5">
        <w:rPr>
          <w:rFonts w:ascii="David" w:hAnsi="David"/>
          <w:b/>
          <w:bCs/>
          <w:rtl/>
        </w:rPr>
        <w:t xml:space="preserve">. </w:t>
      </w:r>
    </w:p>
    <w:p w14:paraId="278FB9D5" w14:textId="77777777" w:rsidR="00614E35" w:rsidRPr="00713AE5" w:rsidRDefault="00981D41" w:rsidP="00614E35">
      <w:pPr>
        <w:rPr>
          <w:rFonts w:ascii="Arial" w:hAnsi="Arial"/>
          <w:b/>
          <w:bCs/>
          <w:color w:val="FFFFFF"/>
          <w:sz w:val="2"/>
          <w:szCs w:val="2"/>
          <w:rtl/>
        </w:rPr>
      </w:pPr>
      <w:r w:rsidRPr="00713AE5">
        <w:rPr>
          <w:rFonts w:ascii="Arial" w:hAnsi="Arial"/>
          <w:b/>
          <w:bCs/>
          <w:color w:val="FFFFFF"/>
          <w:sz w:val="2"/>
          <w:szCs w:val="2"/>
          <w:rtl/>
        </w:rPr>
        <w:t>54678313</w:t>
      </w:r>
    </w:p>
    <w:p w14:paraId="4FD8DA5F" w14:textId="77777777" w:rsidR="00614E35" w:rsidRPr="00713AE5" w:rsidRDefault="00614E35" w:rsidP="00614E35">
      <w:pPr>
        <w:rPr>
          <w:rFonts w:ascii="Arial" w:hAnsi="Arial"/>
          <w:b/>
          <w:bCs/>
          <w:sz w:val="26"/>
          <w:szCs w:val="26"/>
          <w:rtl/>
        </w:rPr>
      </w:pPr>
    </w:p>
    <w:p w14:paraId="4D3E5EFB" w14:textId="77777777" w:rsidR="00614E35" w:rsidRPr="00713AE5" w:rsidRDefault="00981D41" w:rsidP="00614E35">
      <w:pPr>
        <w:rPr>
          <w:rFonts w:ascii="Arial" w:hAnsi="Arial"/>
          <w:b/>
          <w:bCs/>
          <w:sz w:val="26"/>
          <w:szCs w:val="26"/>
          <w:rtl/>
        </w:rPr>
      </w:pPr>
      <w:bookmarkStart w:id="9" w:name="Nitan"/>
      <w:r w:rsidRPr="00713AE5">
        <w:rPr>
          <w:rFonts w:ascii="Arial" w:hAnsi="Arial"/>
          <w:b/>
          <w:bCs/>
          <w:sz w:val="26"/>
          <w:szCs w:val="26"/>
          <w:rtl/>
        </w:rPr>
        <w:t xml:space="preserve">ניתן היום,  ה' טבת תשפ"ג, 29 דצמבר 2022, בהעדר הצדדים. </w:t>
      </w:r>
      <w:bookmarkEnd w:id="9"/>
    </w:p>
    <w:p w14:paraId="6CCE8F4F" w14:textId="77777777" w:rsidR="00614E35" w:rsidRPr="00713AE5" w:rsidRDefault="00614E35" w:rsidP="00981D41">
      <w:pPr>
        <w:jc w:val="center"/>
      </w:pPr>
      <w:r w:rsidRPr="00713AE5">
        <w:rPr>
          <w:rFonts w:ascii="Arial" w:hAnsi="Arial"/>
          <w:b/>
          <w:bCs/>
          <w:sz w:val="26"/>
          <w:szCs w:val="26"/>
          <w:rtl/>
        </w:rPr>
        <w:t xml:space="preserve">   </w:t>
      </w:r>
      <w:r w:rsidRPr="00713AE5">
        <w:rPr>
          <w:rFonts w:ascii="Arial" w:hAnsi="Arial"/>
          <w:b/>
          <w:bCs/>
          <w:sz w:val="26"/>
          <w:szCs w:val="26"/>
          <w:rtl/>
        </w:rPr>
        <w:tab/>
      </w:r>
      <w:r w:rsidRPr="00713AE5">
        <w:rPr>
          <w:rFonts w:ascii="Arial" w:hAnsi="Arial"/>
          <w:b/>
          <w:bCs/>
          <w:sz w:val="26"/>
          <w:szCs w:val="26"/>
          <w:rtl/>
        </w:rPr>
        <w:tab/>
      </w:r>
      <w:r w:rsidRPr="00713AE5">
        <w:rPr>
          <w:rFonts w:ascii="Arial" w:hAnsi="Arial"/>
          <w:b/>
          <w:bCs/>
          <w:sz w:val="26"/>
          <w:szCs w:val="26"/>
          <w:rtl/>
        </w:rPr>
        <w:tab/>
      </w:r>
      <w:r w:rsidRPr="00713AE5">
        <w:rPr>
          <w:rFonts w:ascii="Arial" w:hAnsi="Arial"/>
          <w:b/>
          <w:bCs/>
          <w:sz w:val="26"/>
          <w:szCs w:val="26"/>
          <w:rtl/>
        </w:rPr>
        <w:tab/>
      </w:r>
      <w:r w:rsidRPr="00713AE5">
        <w:rPr>
          <w:rFonts w:ascii="Arial" w:hAnsi="Arial"/>
          <w:b/>
          <w:bCs/>
          <w:sz w:val="26"/>
          <w:szCs w:val="26"/>
          <w:rtl/>
        </w:rPr>
        <w:tab/>
      </w:r>
    </w:p>
    <w:p w14:paraId="4B5CB885" w14:textId="77777777" w:rsidR="00614E35" w:rsidRPr="00713AE5" w:rsidRDefault="00713AE5" w:rsidP="00614E35">
      <w:pPr>
        <w:jc w:val="center"/>
        <w:rPr>
          <w:rFonts w:ascii="Arial" w:hAnsi="Arial"/>
          <w:b/>
          <w:bCs/>
          <w:color w:val="FFFFFF"/>
          <w:sz w:val="2"/>
          <w:szCs w:val="2"/>
          <w:rtl/>
        </w:rPr>
      </w:pPr>
      <w:r w:rsidRPr="00713AE5">
        <w:rPr>
          <w:rFonts w:ascii="Arial" w:hAnsi="Arial"/>
          <w:b/>
          <w:bCs/>
          <w:color w:val="FFFFFF"/>
          <w:sz w:val="2"/>
          <w:szCs w:val="2"/>
          <w:rtl/>
        </w:rPr>
        <w:t>5129371</w:t>
      </w:r>
    </w:p>
    <w:p w14:paraId="3F1F92AB" w14:textId="77777777" w:rsidR="006B6F31" w:rsidRPr="00713AE5" w:rsidRDefault="00713AE5" w:rsidP="00981D41">
      <w:pPr>
        <w:keepNext/>
        <w:rPr>
          <w:rFonts w:ascii="David" w:hAnsi="David"/>
          <w:color w:val="FFFFFF"/>
          <w:sz w:val="2"/>
          <w:szCs w:val="2"/>
          <w:rtl/>
        </w:rPr>
      </w:pPr>
      <w:r w:rsidRPr="00713AE5">
        <w:rPr>
          <w:rFonts w:ascii="David" w:hAnsi="David"/>
          <w:color w:val="FFFFFF"/>
          <w:sz w:val="2"/>
          <w:szCs w:val="2"/>
          <w:rtl/>
        </w:rPr>
        <w:t>54678313</w:t>
      </w:r>
    </w:p>
    <w:p w14:paraId="394A877C" w14:textId="77777777" w:rsidR="00981D41" w:rsidRPr="00713AE5" w:rsidRDefault="00981D41" w:rsidP="00981D41">
      <w:pPr>
        <w:rPr>
          <w:rtl/>
        </w:rPr>
      </w:pPr>
    </w:p>
    <w:p w14:paraId="7B3C5FF5" w14:textId="77777777" w:rsidR="00981D41" w:rsidRPr="00713AE5" w:rsidRDefault="00981D41" w:rsidP="00981D41">
      <w:pPr>
        <w:jc w:val="center"/>
        <w:rPr>
          <w:color w:val="0000FF"/>
          <w:u w:val="single"/>
        </w:rPr>
      </w:pPr>
      <w:hyperlink r:id="rId69" w:history="1">
        <w:r w:rsidRPr="00713AE5">
          <w:rPr>
            <w:color w:val="0000FF"/>
            <w:u w:val="single"/>
            <w:rtl/>
          </w:rPr>
          <w:t>בעניין עריכה ושינויים במסמכי פסיקה, חקיקה ועוד באתר נבו – הקש כאן</w:t>
        </w:r>
      </w:hyperlink>
    </w:p>
    <w:p w14:paraId="563A37E2" w14:textId="77777777" w:rsidR="00713AE5" w:rsidRPr="00713AE5" w:rsidRDefault="00713AE5" w:rsidP="00713AE5">
      <w:pPr>
        <w:keepNext/>
        <w:rPr>
          <w:rFonts w:ascii="David" w:hAnsi="David"/>
          <w:color w:val="000000"/>
          <w:sz w:val="22"/>
          <w:szCs w:val="22"/>
          <w:rtl/>
        </w:rPr>
      </w:pPr>
    </w:p>
    <w:p w14:paraId="127EB8F0" w14:textId="77777777" w:rsidR="00713AE5" w:rsidRPr="00713AE5" w:rsidRDefault="00713AE5" w:rsidP="00713AE5">
      <w:pPr>
        <w:keepNext/>
        <w:rPr>
          <w:rFonts w:ascii="David" w:hAnsi="David"/>
          <w:color w:val="000000"/>
          <w:sz w:val="22"/>
          <w:szCs w:val="22"/>
          <w:rtl/>
        </w:rPr>
      </w:pPr>
      <w:r w:rsidRPr="00713AE5">
        <w:rPr>
          <w:rFonts w:ascii="David" w:hAnsi="David"/>
          <w:color w:val="000000"/>
          <w:sz w:val="22"/>
          <w:szCs w:val="22"/>
          <w:rtl/>
        </w:rPr>
        <w:t>טל לחיאני שהם 54678313-/</w:t>
      </w:r>
    </w:p>
    <w:p w14:paraId="22898EE1" w14:textId="77777777" w:rsidR="00981D41" w:rsidRPr="00713AE5" w:rsidRDefault="00713AE5" w:rsidP="00713AE5">
      <w:pPr>
        <w:rPr>
          <w:color w:val="0000FF"/>
          <w:u w:val="single"/>
        </w:rPr>
      </w:pPr>
      <w:r w:rsidRPr="00713AE5">
        <w:rPr>
          <w:color w:val="000000"/>
          <w:u w:val="single"/>
          <w:rtl/>
        </w:rPr>
        <w:t>נוסח מסמך זה כפוף לשינויי ניסוח ועריכה</w:t>
      </w:r>
    </w:p>
    <w:sectPr w:rsidR="00981D41" w:rsidRPr="00713AE5" w:rsidSect="00713AE5">
      <w:headerReference w:type="even" r:id="rId70"/>
      <w:headerReference w:type="default" r:id="rId71"/>
      <w:footerReference w:type="even" r:id="rId72"/>
      <w:footerReference w:type="default" r:id="rId73"/>
      <w:pgSz w:w="11907" w:h="16840" w:code="9"/>
      <w:pgMar w:top="1701" w:right="1701" w:bottom="1134" w:left="1701" w:header="252"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9AE10" w14:textId="77777777" w:rsidR="00601014" w:rsidRDefault="00601014" w:rsidP="00D92A6E">
      <w:r>
        <w:separator/>
      </w:r>
    </w:p>
  </w:endnote>
  <w:endnote w:type="continuationSeparator" w:id="0">
    <w:p w14:paraId="16335DB0" w14:textId="77777777" w:rsidR="00601014" w:rsidRDefault="00601014" w:rsidP="00D92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55ADC" w14:textId="77777777" w:rsidR="00713AE5" w:rsidRDefault="00713AE5" w:rsidP="00713A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1BA2EE" w14:textId="77777777" w:rsidR="008A29E0" w:rsidRPr="00713AE5" w:rsidRDefault="00713AE5" w:rsidP="00713AE5">
    <w:pPr>
      <w:pStyle w:val="a5"/>
      <w:pBdr>
        <w:top w:val="single" w:sz="4" w:space="1" w:color="auto"/>
        <w:between w:val="single" w:sz="4" w:space="0" w:color="auto"/>
      </w:pBdr>
      <w:spacing w:after="60"/>
      <w:jc w:val="center"/>
      <w:rPr>
        <w:rFonts w:ascii="FrankRuehl" w:hAnsi="FrankRuehl" w:cs="FrankRuehl"/>
        <w:color w:val="000000"/>
      </w:rPr>
    </w:pPr>
    <w:r w:rsidRPr="00713A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F0A7F" w14:textId="77777777" w:rsidR="00713AE5" w:rsidRDefault="00713AE5" w:rsidP="00713A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50E4">
      <w:rPr>
        <w:rFonts w:ascii="FrankRuehl" w:hAnsi="FrankRuehl" w:cs="FrankRuehl"/>
        <w:noProof/>
        <w:rtl/>
      </w:rPr>
      <w:t>1</w:t>
    </w:r>
    <w:r>
      <w:rPr>
        <w:rFonts w:ascii="FrankRuehl" w:hAnsi="FrankRuehl" w:cs="FrankRuehl"/>
        <w:rtl/>
      </w:rPr>
      <w:fldChar w:fldCharType="end"/>
    </w:r>
  </w:p>
  <w:p w14:paraId="3E627AC3" w14:textId="77777777" w:rsidR="008A29E0" w:rsidRPr="00713AE5" w:rsidRDefault="00713AE5" w:rsidP="00713AE5">
    <w:pPr>
      <w:pStyle w:val="a5"/>
      <w:pBdr>
        <w:top w:val="single" w:sz="4" w:space="1" w:color="auto"/>
        <w:between w:val="single" w:sz="4" w:space="0" w:color="auto"/>
      </w:pBdr>
      <w:spacing w:after="60"/>
      <w:jc w:val="center"/>
      <w:rPr>
        <w:rFonts w:ascii="FrankRuehl" w:hAnsi="FrankRuehl" w:cs="FrankRuehl"/>
        <w:color w:val="000000"/>
      </w:rPr>
    </w:pPr>
    <w:r w:rsidRPr="00713AE5">
      <w:rPr>
        <w:rFonts w:ascii="FrankRuehl" w:hAnsi="FrankRuehl" w:cs="FrankRuehl"/>
        <w:color w:val="000000"/>
      </w:rPr>
      <w:pict w14:anchorId="6E9896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F1286" w14:textId="77777777" w:rsidR="00601014" w:rsidRDefault="00601014" w:rsidP="00D92A6E">
      <w:r>
        <w:separator/>
      </w:r>
    </w:p>
  </w:footnote>
  <w:footnote w:type="continuationSeparator" w:id="0">
    <w:p w14:paraId="78D382B4" w14:textId="77777777" w:rsidR="00601014" w:rsidRDefault="00601014" w:rsidP="00D92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90F1D" w14:textId="77777777" w:rsidR="00981D41" w:rsidRPr="00713AE5" w:rsidRDefault="00713AE5" w:rsidP="00713A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39831-02-22</w:t>
    </w:r>
    <w:r>
      <w:rPr>
        <w:rFonts w:ascii="David" w:hAnsi="David"/>
        <w:color w:val="000000"/>
        <w:sz w:val="22"/>
        <w:szCs w:val="22"/>
        <w:rtl/>
      </w:rPr>
      <w:tab/>
      <w:t xml:space="preserve"> מדינת ישראל נ' אברהים אבו קרינאת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CB46F" w14:textId="77777777" w:rsidR="00981D41" w:rsidRPr="00713AE5" w:rsidRDefault="00713AE5" w:rsidP="00713A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39831-02-22</w:t>
    </w:r>
    <w:r>
      <w:rPr>
        <w:rFonts w:ascii="David" w:hAnsi="David"/>
        <w:color w:val="000000"/>
        <w:sz w:val="22"/>
        <w:szCs w:val="22"/>
        <w:rtl/>
      </w:rPr>
      <w:tab/>
      <w:t xml:space="preserve"> מדינת ישראל נ' אברהים אבו קרינאת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EB23D0"/>
    <w:multiLevelType w:val="hybridMultilevel"/>
    <w:tmpl w:val="91D4017E"/>
    <w:lvl w:ilvl="0" w:tplc="607E1616">
      <w:start w:val="1"/>
      <w:numFmt w:val="hebrew1"/>
      <w:lvlText w:val="%1."/>
      <w:lvlJc w:val="left"/>
      <w:pPr>
        <w:ind w:left="920" w:hanging="495"/>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num w:numId="1" w16cid:durableId="1993222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4E35"/>
    <w:rsid w:val="0008068C"/>
    <w:rsid w:val="001B5A3B"/>
    <w:rsid w:val="00315ED0"/>
    <w:rsid w:val="004A50E4"/>
    <w:rsid w:val="00601014"/>
    <w:rsid w:val="00614E35"/>
    <w:rsid w:val="00643396"/>
    <w:rsid w:val="006A20EC"/>
    <w:rsid w:val="006B6F31"/>
    <w:rsid w:val="00713AE5"/>
    <w:rsid w:val="008A29E0"/>
    <w:rsid w:val="00981D41"/>
    <w:rsid w:val="00AC7AF0"/>
    <w:rsid w:val="00C346DE"/>
    <w:rsid w:val="00D92A6E"/>
    <w:rsid w:val="00FA4A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4595F5"/>
  <w15:chartTrackingRefBased/>
  <w15:docId w15:val="{2A997C76-FE95-45F1-B3C5-A22241C9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4E3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14E35"/>
    <w:pPr>
      <w:tabs>
        <w:tab w:val="center" w:pos="4153"/>
        <w:tab w:val="right" w:pos="8306"/>
      </w:tabs>
    </w:pPr>
  </w:style>
  <w:style w:type="character" w:customStyle="1" w:styleId="a4">
    <w:name w:val="כותרת עליונה תו"/>
    <w:link w:val="a3"/>
    <w:rsid w:val="00614E35"/>
    <w:rPr>
      <w:rFonts w:ascii="Times New Roman" w:eastAsia="Times New Roman" w:hAnsi="Times New Roman" w:cs="David"/>
      <w:sz w:val="24"/>
      <w:szCs w:val="24"/>
    </w:rPr>
  </w:style>
  <w:style w:type="paragraph" w:styleId="a5">
    <w:name w:val="footer"/>
    <w:basedOn w:val="a"/>
    <w:link w:val="a6"/>
    <w:rsid w:val="00614E35"/>
    <w:pPr>
      <w:tabs>
        <w:tab w:val="center" w:pos="4153"/>
        <w:tab w:val="right" w:pos="8306"/>
      </w:tabs>
    </w:pPr>
  </w:style>
  <w:style w:type="character" w:customStyle="1" w:styleId="a6">
    <w:name w:val="כותרת תחתונה תו"/>
    <w:link w:val="a5"/>
    <w:rsid w:val="00614E35"/>
    <w:rPr>
      <w:rFonts w:ascii="Times New Roman" w:eastAsia="Times New Roman" w:hAnsi="Times New Roman" w:cs="David"/>
      <w:sz w:val="24"/>
      <w:szCs w:val="24"/>
    </w:rPr>
  </w:style>
  <w:style w:type="table" w:styleId="a7">
    <w:name w:val="Table Grid"/>
    <w:basedOn w:val="a1"/>
    <w:rsid w:val="00614E3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14E35"/>
  </w:style>
  <w:style w:type="paragraph" w:styleId="a9">
    <w:name w:val="List Paragraph"/>
    <w:basedOn w:val="a"/>
    <w:qFormat/>
    <w:rsid w:val="00614E35"/>
    <w:pPr>
      <w:spacing w:after="200" w:line="276" w:lineRule="auto"/>
      <w:ind w:left="720"/>
      <w:contextualSpacing/>
    </w:pPr>
    <w:rPr>
      <w:rFonts w:ascii="Calibri" w:eastAsia="Calibri" w:hAnsi="Calibri" w:cs="Arial"/>
      <w:sz w:val="22"/>
      <w:szCs w:val="22"/>
    </w:rPr>
  </w:style>
  <w:style w:type="character" w:styleId="Hyperlink">
    <w:name w:val="Hyperlink"/>
    <w:rsid w:val="00614E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9124524"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7844328" TargetMode="External"/><Relationship Id="rId47" Type="http://schemas.openxmlformats.org/officeDocument/2006/relationships/hyperlink" Target="http://www.nevo.co.il/case/5917214" TargetMode="External"/><Relationship Id="rId63" Type="http://schemas.openxmlformats.org/officeDocument/2006/relationships/hyperlink" Target="http://www.nevo.co.il/law/70301" TargetMode="External"/><Relationship Id="rId68" Type="http://schemas.openxmlformats.org/officeDocument/2006/relationships/hyperlink" Target="http://www.nevo.co.il/law/5227"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5227" TargetMode="External"/><Relationship Id="rId32" Type="http://schemas.openxmlformats.org/officeDocument/2006/relationships/hyperlink" Target="http://www.nevo.co.il/case/28883087" TargetMode="External"/><Relationship Id="rId37" Type="http://schemas.openxmlformats.org/officeDocument/2006/relationships/hyperlink" Target="http://www.nevo.co.il/case/26964498" TargetMode="External"/><Relationship Id="rId40" Type="http://schemas.openxmlformats.org/officeDocument/2006/relationships/hyperlink" Target="http://www.nevo.co.il/case/5878682" TargetMode="External"/><Relationship Id="rId45" Type="http://schemas.openxmlformats.org/officeDocument/2006/relationships/hyperlink" Target="http://www.nevo.co.il/case/27309208" TargetMode="External"/><Relationship Id="rId53" Type="http://schemas.openxmlformats.org/officeDocument/2006/relationships/hyperlink" Target="http://www.nevo.co.il/case/27171364" TargetMode="External"/><Relationship Id="rId58" Type="http://schemas.openxmlformats.org/officeDocument/2006/relationships/hyperlink" Target="http://www.nevo.co.il/case/28697227" TargetMode="External"/><Relationship Id="rId66" Type="http://schemas.openxmlformats.org/officeDocument/2006/relationships/hyperlink" Target="http://www.nevo.co.il/law/70301/144"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5227" TargetMode="External"/><Relationship Id="rId19" Type="http://schemas.openxmlformats.org/officeDocument/2006/relationships/hyperlink" Target="http://www.nevo.co.il/law/5227/62.3" TargetMode="External"/><Relationship Id="rId14" Type="http://schemas.openxmlformats.org/officeDocument/2006/relationships/hyperlink" Target="http://www.nevo.co.il/law/70301/338" TargetMode="External"/><Relationship Id="rId22" Type="http://schemas.openxmlformats.org/officeDocument/2006/relationships/hyperlink" Target="http://www.nevo.co.il/law/70301/338.a.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8266138" TargetMode="External"/><Relationship Id="rId35" Type="http://schemas.openxmlformats.org/officeDocument/2006/relationships/hyperlink" Target="http://www.nevo.co.il/case/26789718"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7734980" TargetMode="External"/><Relationship Id="rId56" Type="http://schemas.openxmlformats.org/officeDocument/2006/relationships/hyperlink" Target="http://www.nevo.co.il/law/70301/40d.a" TargetMode="External"/><Relationship Id="rId64" Type="http://schemas.openxmlformats.org/officeDocument/2006/relationships/hyperlink" Target="http://www.nevo.co.il/law/70301/338"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70301" TargetMode="External"/><Relationship Id="rId51" Type="http://schemas.openxmlformats.org/officeDocument/2006/relationships/hyperlink" Target="http://www.nevo.co.il/case/21652831"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5227/10.a" TargetMode="External"/><Relationship Id="rId25" Type="http://schemas.openxmlformats.org/officeDocument/2006/relationships/hyperlink" Target="http://www.nevo.co.il/law/5227/10.a"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6760279" TargetMode="External"/><Relationship Id="rId46" Type="http://schemas.openxmlformats.org/officeDocument/2006/relationships/hyperlink" Target="http://www.nevo.co.il/case/27404359" TargetMode="External"/><Relationship Id="rId59" Type="http://schemas.openxmlformats.org/officeDocument/2006/relationships/hyperlink" Target="http://www.nevo.co.il/case/24263089"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case/26939409" TargetMode="External"/><Relationship Id="rId54" Type="http://schemas.openxmlformats.org/officeDocument/2006/relationships/hyperlink" Target="http://www.nevo.co.il/case/6054752" TargetMode="External"/><Relationship Id="rId62" Type="http://schemas.openxmlformats.org/officeDocument/2006/relationships/hyperlink" Target="http://www.nevo.co.il/law/70301/144"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8.a.1" TargetMode="External"/><Relationship Id="rId23" Type="http://schemas.openxmlformats.org/officeDocument/2006/relationships/hyperlink" Target="http://www.nevo.co.il/law/5227/62.3" TargetMode="External"/><Relationship Id="rId28" Type="http://schemas.openxmlformats.org/officeDocument/2006/relationships/hyperlink" Target="http://www.nevo.co.il/law/70301/40c.a" TargetMode="External"/><Relationship Id="rId36" Type="http://schemas.openxmlformats.org/officeDocument/2006/relationships/hyperlink" Target="http://www.nevo.co.il/case/27894607" TargetMode="External"/><Relationship Id="rId49" Type="http://schemas.openxmlformats.org/officeDocument/2006/relationships/hyperlink" Target="http://www.nevo.co.il/case/23793846"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d.a" TargetMode="External"/><Relationship Id="rId31" Type="http://schemas.openxmlformats.org/officeDocument/2006/relationships/hyperlink" Target="http://www.nevo.co.il/case/5762686" TargetMode="External"/><Relationship Id="rId44" Type="http://schemas.openxmlformats.org/officeDocument/2006/relationships/hyperlink" Target="http://www.nevo.co.il/case/6121286" TargetMode="External"/><Relationship Id="rId52" Type="http://schemas.openxmlformats.org/officeDocument/2006/relationships/hyperlink" Target="http://www.nevo.co.il/case/7821883" TargetMode="External"/><Relationship Id="rId60" Type="http://schemas.openxmlformats.org/officeDocument/2006/relationships/hyperlink" Target="http://www.nevo.co.il/law/5227/39a" TargetMode="External"/><Relationship Id="rId65" Type="http://schemas.openxmlformats.org/officeDocument/2006/relationships/hyperlink" Target="http://www.nevo.co.il/law/70301/332"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332" TargetMode="External"/><Relationship Id="rId18" Type="http://schemas.openxmlformats.org/officeDocument/2006/relationships/hyperlink" Target="http://www.nevo.co.il/law/5227/39a" TargetMode="External"/><Relationship Id="rId39" Type="http://schemas.openxmlformats.org/officeDocument/2006/relationships/hyperlink" Target="http://www.nevo.co.il/case/5581458" TargetMode="External"/><Relationship Id="rId34" Type="http://schemas.openxmlformats.org/officeDocument/2006/relationships/hyperlink" Target="http://www.nevo.co.il/case/28410717" TargetMode="External"/><Relationship Id="rId50" Type="http://schemas.openxmlformats.org/officeDocument/2006/relationships/hyperlink" Target="http://www.nevo.co.il/case/6473037" TargetMode="External"/><Relationship Id="rId55" Type="http://schemas.openxmlformats.org/officeDocument/2006/relationships/hyperlink" Target="http://www.nevo.co.il/law/70301" TargetMode="External"/><Relationship Id="rId7" Type="http://schemas.openxmlformats.org/officeDocument/2006/relationships/hyperlink" Target="http://www.nevo.co.il/case/28324738" TargetMode="Externa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5011</Words>
  <Characters>25055</Characters>
  <Application>Microsoft Office Word</Application>
  <DocSecurity>0</DocSecurity>
  <Lines>208</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30006</CharactersWithSpaces>
  <SharedDoc>false</SharedDoc>
  <HLinks>
    <vt:vector size="378" baseType="variant">
      <vt:variant>
        <vt:i4>393283</vt:i4>
      </vt:variant>
      <vt:variant>
        <vt:i4>186</vt:i4>
      </vt:variant>
      <vt:variant>
        <vt:i4>0</vt:i4>
      </vt:variant>
      <vt:variant>
        <vt:i4>5</vt:i4>
      </vt:variant>
      <vt:variant>
        <vt:lpwstr>http://www.nevo.co.il/advertisements/nevo-100.doc</vt:lpwstr>
      </vt:variant>
      <vt:variant>
        <vt:lpwstr/>
      </vt:variant>
      <vt:variant>
        <vt:i4>8323175</vt:i4>
      </vt:variant>
      <vt:variant>
        <vt:i4>183</vt:i4>
      </vt:variant>
      <vt:variant>
        <vt:i4>0</vt:i4>
      </vt:variant>
      <vt:variant>
        <vt:i4>5</vt:i4>
      </vt:variant>
      <vt:variant>
        <vt:lpwstr>http://www.nevo.co.il/law/5227</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6357092</vt:i4>
      </vt:variant>
      <vt:variant>
        <vt:i4>177</vt:i4>
      </vt:variant>
      <vt:variant>
        <vt:i4>0</vt:i4>
      </vt:variant>
      <vt:variant>
        <vt:i4>5</vt:i4>
      </vt:variant>
      <vt:variant>
        <vt:lpwstr>http://www.nevo.co.il/law/70301/144</vt:lpwstr>
      </vt:variant>
      <vt:variant>
        <vt:lpwstr/>
      </vt:variant>
      <vt:variant>
        <vt:i4>6684774</vt:i4>
      </vt:variant>
      <vt:variant>
        <vt:i4>174</vt:i4>
      </vt:variant>
      <vt:variant>
        <vt:i4>0</vt:i4>
      </vt:variant>
      <vt:variant>
        <vt:i4>5</vt:i4>
      </vt:variant>
      <vt:variant>
        <vt:lpwstr>http://www.nevo.co.il/law/70301/332</vt:lpwstr>
      </vt:variant>
      <vt:variant>
        <vt:lpwstr/>
      </vt:variant>
      <vt:variant>
        <vt:i4>6684774</vt:i4>
      </vt:variant>
      <vt:variant>
        <vt:i4>171</vt:i4>
      </vt:variant>
      <vt:variant>
        <vt:i4>0</vt:i4>
      </vt:variant>
      <vt:variant>
        <vt:i4>5</vt:i4>
      </vt:variant>
      <vt:variant>
        <vt:lpwstr>http://www.nevo.co.il/law/70301/338</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6357092</vt:i4>
      </vt:variant>
      <vt:variant>
        <vt:i4>165</vt:i4>
      </vt:variant>
      <vt:variant>
        <vt:i4>0</vt:i4>
      </vt:variant>
      <vt:variant>
        <vt:i4>5</vt:i4>
      </vt:variant>
      <vt:variant>
        <vt:lpwstr>http://www.nevo.co.il/law/70301/144</vt:lpwstr>
      </vt:variant>
      <vt:variant>
        <vt:lpwstr/>
      </vt:variant>
      <vt:variant>
        <vt:i4>8323175</vt:i4>
      </vt:variant>
      <vt:variant>
        <vt:i4>162</vt:i4>
      </vt:variant>
      <vt:variant>
        <vt:i4>0</vt:i4>
      </vt:variant>
      <vt:variant>
        <vt:i4>5</vt:i4>
      </vt:variant>
      <vt:variant>
        <vt:lpwstr>http://www.nevo.co.il/law/5227</vt:lpwstr>
      </vt:variant>
      <vt:variant>
        <vt:lpwstr/>
      </vt:variant>
      <vt:variant>
        <vt:i4>2949233</vt:i4>
      </vt:variant>
      <vt:variant>
        <vt:i4>159</vt:i4>
      </vt:variant>
      <vt:variant>
        <vt:i4>0</vt:i4>
      </vt:variant>
      <vt:variant>
        <vt:i4>5</vt:i4>
      </vt:variant>
      <vt:variant>
        <vt:lpwstr>http://www.nevo.co.il/law/5227/39a</vt:lpwstr>
      </vt:variant>
      <vt:variant>
        <vt:lpwstr/>
      </vt:variant>
      <vt:variant>
        <vt:i4>3866742</vt:i4>
      </vt:variant>
      <vt:variant>
        <vt:i4>156</vt:i4>
      </vt:variant>
      <vt:variant>
        <vt:i4>0</vt:i4>
      </vt:variant>
      <vt:variant>
        <vt:i4>5</vt:i4>
      </vt:variant>
      <vt:variant>
        <vt:lpwstr>http://www.nevo.co.il/case/24263089</vt:lpwstr>
      </vt:variant>
      <vt:variant>
        <vt:lpwstr/>
      </vt:variant>
      <vt:variant>
        <vt:i4>3211383</vt:i4>
      </vt:variant>
      <vt:variant>
        <vt:i4>153</vt:i4>
      </vt:variant>
      <vt:variant>
        <vt:i4>0</vt:i4>
      </vt:variant>
      <vt:variant>
        <vt:i4>5</vt:i4>
      </vt:variant>
      <vt:variant>
        <vt:lpwstr>http://www.nevo.co.il/case/28697227</vt:lpwstr>
      </vt:variant>
      <vt:variant>
        <vt:lpwstr/>
      </vt:variant>
      <vt:variant>
        <vt:i4>7995492</vt:i4>
      </vt:variant>
      <vt:variant>
        <vt:i4>150</vt:i4>
      </vt:variant>
      <vt:variant>
        <vt:i4>0</vt:i4>
      </vt:variant>
      <vt:variant>
        <vt:i4>5</vt:i4>
      </vt:variant>
      <vt:variant>
        <vt:lpwstr>http://www.nevo.co.il/law/70301</vt:lpwstr>
      </vt:variant>
      <vt:variant>
        <vt:lpwstr/>
      </vt:variant>
      <vt:variant>
        <vt:i4>4915205</vt:i4>
      </vt:variant>
      <vt:variant>
        <vt:i4>147</vt:i4>
      </vt:variant>
      <vt:variant>
        <vt:i4>0</vt:i4>
      </vt:variant>
      <vt:variant>
        <vt:i4>5</vt:i4>
      </vt:variant>
      <vt:variant>
        <vt:lpwstr>http://www.nevo.co.il/law/70301/40d.a</vt:lpwstr>
      </vt:variant>
      <vt:variant>
        <vt:lpwstr/>
      </vt:variant>
      <vt:variant>
        <vt:i4>7995492</vt:i4>
      </vt:variant>
      <vt:variant>
        <vt:i4>144</vt:i4>
      </vt:variant>
      <vt:variant>
        <vt:i4>0</vt:i4>
      </vt:variant>
      <vt:variant>
        <vt:i4>5</vt:i4>
      </vt:variant>
      <vt:variant>
        <vt:lpwstr>http://www.nevo.co.il/law/70301</vt:lpwstr>
      </vt:variant>
      <vt:variant>
        <vt:lpwstr/>
      </vt:variant>
      <vt:variant>
        <vt:i4>3539061</vt:i4>
      </vt:variant>
      <vt:variant>
        <vt:i4>141</vt:i4>
      </vt:variant>
      <vt:variant>
        <vt:i4>0</vt:i4>
      </vt:variant>
      <vt:variant>
        <vt:i4>5</vt:i4>
      </vt:variant>
      <vt:variant>
        <vt:lpwstr>http://www.nevo.co.il/case/6054752</vt:lpwstr>
      </vt:variant>
      <vt:variant>
        <vt:lpwstr/>
      </vt:variant>
      <vt:variant>
        <vt:i4>3407991</vt:i4>
      </vt:variant>
      <vt:variant>
        <vt:i4>138</vt:i4>
      </vt:variant>
      <vt:variant>
        <vt:i4>0</vt:i4>
      </vt:variant>
      <vt:variant>
        <vt:i4>5</vt:i4>
      </vt:variant>
      <vt:variant>
        <vt:lpwstr>http://www.nevo.co.il/case/27171364</vt:lpwstr>
      </vt:variant>
      <vt:variant>
        <vt:lpwstr/>
      </vt:variant>
      <vt:variant>
        <vt:i4>4063349</vt:i4>
      </vt:variant>
      <vt:variant>
        <vt:i4>135</vt:i4>
      </vt:variant>
      <vt:variant>
        <vt:i4>0</vt:i4>
      </vt:variant>
      <vt:variant>
        <vt:i4>5</vt:i4>
      </vt:variant>
      <vt:variant>
        <vt:lpwstr>http://www.nevo.co.il/case/7821883</vt:lpwstr>
      </vt:variant>
      <vt:variant>
        <vt:lpwstr/>
      </vt:variant>
      <vt:variant>
        <vt:i4>3473528</vt:i4>
      </vt:variant>
      <vt:variant>
        <vt:i4>132</vt:i4>
      </vt:variant>
      <vt:variant>
        <vt:i4>0</vt:i4>
      </vt:variant>
      <vt:variant>
        <vt:i4>5</vt:i4>
      </vt:variant>
      <vt:variant>
        <vt:lpwstr>http://www.nevo.co.il/case/21652831</vt:lpwstr>
      </vt:variant>
      <vt:variant>
        <vt:lpwstr/>
      </vt:variant>
      <vt:variant>
        <vt:i4>3539056</vt:i4>
      </vt:variant>
      <vt:variant>
        <vt:i4>129</vt:i4>
      </vt:variant>
      <vt:variant>
        <vt:i4>0</vt:i4>
      </vt:variant>
      <vt:variant>
        <vt:i4>5</vt:i4>
      </vt:variant>
      <vt:variant>
        <vt:lpwstr>http://www.nevo.co.il/case/6473037</vt:lpwstr>
      </vt:variant>
      <vt:variant>
        <vt:lpwstr/>
      </vt:variant>
      <vt:variant>
        <vt:i4>3276918</vt:i4>
      </vt:variant>
      <vt:variant>
        <vt:i4>126</vt:i4>
      </vt:variant>
      <vt:variant>
        <vt:i4>0</vt:i4>
      </vt:variant>
      <vt:variant>
        <vt:i4>5</vt:i4>
      </vt:variant>
      <vt:variant>
        <vt:lpwstr>http://www.nevo.co.il/case/23793846</vt:lpwstr>
      </vt:variant>
      <vt:variant>
        <vt:lpwstr/>
      </vt:variant>
      <vt:variant>
        <vt:i4>3735673</vt:i4>
      </vt:variant>
      <vt:variant>
        <vt:i4>123</vt:i4>
      </vt:variant>
      <vt:variant>
        <vt:i4>0</vt:i4>
      </vt:variant>
      <vt:variant>
        <vt:i4>5</vt:i4>
      </vt:variant>
      <vt:variant>
        <vt:lpwstr>http://www.nevo.co.il/case/27734980</vt:lpwstr>
      </vt:variant>
      <vt:variant>
        <vt:lpwstr/>
      </vt:variant>
      <vt:variant>
        <vt:i4>3276923</vt:i4>
      </vt:variant>
      <vt:variant>
        <vt:i4>120</vt:i4>
      </vt:variant>
      <vt:variant>
        <vt:i4>0</vt:i4>
      </vt:variant>
      <vt:variant>
        <vt:i4>5</vt:i4>
      </vt:variant>
      <vt:variant>
        <vt:lpwstr>http://www.nevo.co.il/case/5917214</vt:lpwstr>
      </vt:variant>
      <vt:variant>
        <vt:lpwstr/>
      </vt:variant>
      <vt:variant>
        <vt:i4>3604592</vt:i4>
      </vt:variant>
      <vt:variant>
        <vt:i4>117</vt:i4>
      </vt:variant>
      <vt:variant>
        <vt:i4>0</vt:i4>
      </vt:variant>
      <vt:variant>
        <vt:i4>5</vt:i4>
      </vt:variant>
      <vt:variant>
        <vt:lpwstr>http://www.nevo.co.il/case/27404359</vt:lpwstr>
      </vt:variant>
      <vt:variant>
        <vt:lpwstr/>
      </vt:variant>
      <vt:variant>
        <vt:i4>3670129</vt:i4>
      </vt:variant>
      <vt:variant>
        <vt:i4>114</vt:i4>
      </vt:variant>
      <vt:variant>
        <vt:i4>0</vt:i4>
      </vt:variant>
      <vt:variant>
        <vt:i4>5</vt:i4>
      </vt:variant>
      <vt:variant>
        <vt:lpwstr>http://www.nevo.co.il/case/27309208</vt:lpwstr>
      </vt:variant>
      <vt:variant>
        <vt:lpwstr/>
      </vt:variant>
      <vt:variant>
        <vt:i4>3145852</vt:i4>
      </vt:variant>
      <vt:variant>
        <vt:i4>111</vt:i4>
      </vt:variant>
      <vt:variant>
        <vt:i4>0</vt:i4>
      </vt:variant>
      <vt:variant>
        <vt:i4>5</vt:i4>
      </vt:variant>
      <vt:variant>
        <vt:lpwstr>http://www.nevo.co.il/case/6121286</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3932276</vt:i4>
      </vt:variant>
      <vt:variant>
        <vt:i4>105</vt:i4>
      </vt:variant>
      <vt:variant>
        <vt:i4>0</vt:i4>
      </vt:variant>
      <vt:variant>
        <vt:i4>5</vt:i4>
      </vt:variant>
      <vt:variant>
        <vt:lpwstr>http://www.nevo.co.il/case/27844328</vt:lpwstr>
      </vt:variant>
      <vt:variant>
        <vt:lpwstr/>
      </vt:variant>
      <vt:variant>
        <vt:i4>3276917</vt:i4>
      </vt:variant>
      <vt:variant>
        <vt:i4>102</vt:i4>
      </vt:variant>
      <vt:variant>
        <vt:i4>0</vt:i4>
      </vt:variant>
      <vt:variant>
        <vt:i4>5</vt:i4>
      </vt:variant>
      <vt:variant>
        <vt:lpwstr>http://www.nevo.co.il/case/26939409</vt:lpwstr>
      </vt:variant>
      <vt:variant>
        <vt:lpwstr/>
      </vt:variant>
      <vt:variant>
        <vt:i4>3539068</vt:i4>
      </vt:variant>
      <vt:variant>
        <vt:i4>99</vt:i4>
      </vt:variant>
      <vt:variant>
        <vt:i4>0</vt:i4>
      </vt:variant>
      <vt:variant>
        <vt:i4>5</vt:i4>
      </vt:variant>
      <vt:variant>
        <vt:lpwstr>http://www.nevo.co.il/case/5878682</vt:lpwstr>
      </vt:variant>
      <vt:variant>
        <vt:lpwstr/>
      </vt:variant>
      <vt:variant>
        <vt:i4>3211381</vt:i4>
      </vt:variant>
      <vt:variant>
        <vt:i4>96</vt:i4>
      </vt:variant>
      <vt:variant>
        <vt:i4>0</vt:i4>
      </vt:variant>
      <vt:variant>
        <vt:i4>5</vt:i4>
      </vt:variant>
      <vt:variant>
        <vt:lpwstr>http://www.nevo.co.il/case/5581458</vt:lpwstr>
      </vt:variant>
      <vt:variant>
        <vt:lpwstr/>
      </vt:variant>
      <vt:variant>
        <vt:i4>3276918</vt:i4>
      </vt:variant>
      <vt:variant>
        <vt:i4>93</vt:i4>
      </vt:variant>
      <vt:variant>
        <vt:i4>0</vt:i4>
      </vt:variant>
      <vt:variant>
        <vt:i4>5</vt:i4>
      </vt:variant>
      <vt:variant>
        <vt:lpwstr>http://www.nevo.co.il/case/26760279</vt:lpwstr>
      </vt:variant>
      <vt:variant>
        <vt:lpwstr/>
      </vt:variant>
      <vt:variant>
        <vt:i4>3539056</vt:i4>
      </vt:variant>
      <vt:variant>
        <vt:i4>90</vt:i4>
      </vt:variant>
      <vt:variant>
        <vt:i4>0</vt:i4>
      </vt:variant>
      <vt:variant>
        <vt:i4>5</vt:i4>
      </vt:variant>
      <vt:variant>
        <vt:lpwstr>http://www.nevo.co.il/case/26964498</vt:lpwstr>
      </vt:variant>
      <vt:variant>
        <vt:lpwstr/>
      </vt:variant>
      <vt:variant>
        <vt:i4>4063356</vt:i4>
      </vt:variant>
      <vt:variant>
        <vt:i4>87</vt:i4>
      </vt:variant>
      <vt:variant>
        <vt:i4>0</vt:i4>
      </vt:variant>
      <vt:variant>
        <vt:i4>5</vt:i4>
      </vt:variant>
      <vt:variant>
        <vt:lpwstr>http://www.nevo.co.il/case/27894607</vt:lpwstr>
      </vt:variant>
      <vt:variant>
        <vt:lpwstr/>
      </vt:variant>
      <vt:variant>
        <vt:i4>3997821</vt:i4>
      </vt:variant>
      <vt:variant>
        <vt:i4>84</vt:i4>
      </vt:variant>
      <vt:variant>
        <vt:i4>0</vt:i4>
      </vt:variant>
      <vt:variant>
        <vt:i4>5</vt:i4>
      </vt:variant>
      <vt:variant>
        <vt:lpwstr>http://www.nevo.co.il/case/26789718</vt:lpwstr>
      </vt:variant>
      <vt:variant>
        <vt:lpwstr/>
      </vt:variant>
      <vt:variant>
        <vt:i4>3604602</vt:i4>
      </vt:variant>
      <vt:variant>
        <vt:i4>81</vt:i4>
      </vt:variant>
      <vt:variant>
        <vt:i4>0</vt:i4>
      </vt:variant>
      <vt:variant>
        <vt:i4>5</vt:i4>
      </vt:variant>
      <vt:variant>
        <vt:lpwstr>http://www.nevo.co.il/case/28410717</vt:lpwstr>
      </vt:variant>
      <vt:variant>
        <vt:lpwstr/>
      </vt:variant>
      <vt:variant>
        <vt:i4>7995492</vt:i4>
      </vt:variant>
      <vt:variant>
        <vt:i4>78</vt:i4>
      </vt:variant>
      <vt:variant>
        <vt:i4>0</vt:i4>
      </vt:variant>
      <vt:variant>
        <vt:i4>5</vt:i4>
      </vt:variant>
      <vt:variant>
        <vt:lpwstr>http://www.nevo.co.il/law/70301</vt:lpwstr>
      </vt:variant>
      <vt:variant>
        <vt:lpwstr/>
      </vt:variant>
      <vt:variant>
        <vt:i4>3211380</vt:i4>
      </vt:variant>
      <vt:variant>
        <vt:i4>75</vt:i4>
      </vt:variant>
      <vt:variant>
        <vt:i4>0</vt:i4>
      </vt:variant>
      <vt:variant>
        <vt:i4>5</vt:i4>
      </vt:variant>
      <vt:variant>
        <vt:lpwstr>http://www.nevo.co.il/case/28883087</vt:lpwstr>
      </vt:variant>
      <vt:variant>
        <vt:lpwstr/>
      </vt:variant>
      <vt:variant>
        <vt:i4>3342457</vt:i4>
      </vt:variant>
      <vt:variant>
        <vt:i4>72</vt:i4>
      </vt:variant>
      <vt:variant>
        <vt:i4>0</vt:i4>
      </vt:variant>
      <vt:variant>
        <vt:i4>5</vt:i4>
      </vt:variant>
      <vt:variant>
        <vt:lpwstr>http://www.nevo.co.il/case/5762686</vt:lpwstr>
      </vt:variant>
      <vt:variant>
        <vt:lpwstr/>
      </vt:variant>
      <vt:variant>
        <vt:i4>3473531</vt:i4>
      </vt:variant>
      <vt:variant>
        <vt:i4>69</vt:i4>
      </vt:variant>
      <vt:variant>
        <vt:i4>0</vt:i4>
      </vt:variant>
      <vt:variant>
        <vt:i4>5</vt:i4>
      </vt:variant>
      <vt:variant>
        <vt:lpwstr>http://www.nevo.co.il/case/28266138</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3473530</vt:i4>
      </vt:variant>
      <vt:variant>
        <vt:i4>57</vt:i4>
      </vt:variant>
      <vt:variant>
        <vt:i4>0</vt:i4>
      </vt:variant>
      <vt:variant>
        <vt:i4>5</vt:i4>
      </vt:variant>
      <vt:variant>
        <vt:lpwstr>http://www.nevo.co.il/case/29124524</vt:lpwstr>
      </vt:variant>
      <vt:variant>
        <vt:lpwstr/>
      </vt:variant>
      <vt:variant>
        <vt:i4>6291576</vt:i4>
      </vt:variant>
      <vt:variant>
        <vt:i4>54</vt:i4>
      </vt:variant>
      <vt:variant>
        <vt:i4>0</vt:i4>
      </vt:variant>
      <vt:variant>
        <vt:i4>5</vt:i4>
      </vt:variant>
      <vt:variant>
        <vt:lpwstr>http://www.nevo.co.il/law/5227/10.a</vt:lpwstr>
      </vt:variant>
      <vt:variant>
        <vt:lpwstr/>
      </vt:variant>
      <vt:variant>
        <vt:i4>8323175</vt:i4>
      </vt:variant>
      <vt:variant>
        <vt:i4>51</vt:i4>
      </vt:variant>
      <vt:variant>
        <vt:i4>0</vt:i4>
      </vt:variant>
      <vt:variant>
        <vt:i4>5</vt:i4>
      </vt:variant>
      <vt:variant>
        <vt:lpwstr>http://www.nevo.co.il/law/5227</vt:lpwstr>
      </vt:variant>
      <vt:variant>
        <vt:lpwstr/>
      </vt:variant>
      <vt:variant>
        <vt:i4>6750330</vt:i4>
      </vt:variant>
      <vt:variant>
        <vt:i4>48</vt:i4>
      </vt:variant>
      <vt:variant>
        <vt:i4>0</vt:i4>
      </vt:variant>
      <vt:variant>
        <vt:i4>5</vt:i4>
      </vt:variant>
      <vt:variant>
        <vt:lpwstr>http://www.nevo.co.il/law/5227/62.3</vt:lpwstr>
      </vt:variant>
      <vt:variant>
        <vt:lpwstr/>
      </vt:variant>
      <vt:variant>
        <vt:i4>6684735</vt:i4>
      </vt:variant>
      <vt:variant>
        <vt:i4>45</vt:i4>
      </vt:variant>
      <vt:variant>
        <vt:i4>0</vt:i4>
      </vt:variant>
      <vt:variant>
        <vt:i4>5</vt:i4>
      </vt:variant>
      <vt:variant>
        <vt:lpwstr>http://www.nevo.co.il/law/70301/338.a.1</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6750330</vt:i4>
      </vt:variant>
      <vt:variant>
        <vt:i4>36</vt:i4>
      </vt:variant>
      <vt:variant>
        <vt:i4>0</vt:i4>
      </vt:variant>
      <vt:variant>
        <vt:i4>5</vt:i4>
      </vt:variant>
      <vt:variant>
        <vt:lpwstr>http://www.nevo.co.il/law/5227/62.3</vt:lpwstr>
      </vt:variant>
      <vt:variant>
        <vt:lpwstr/>
      </vt:variant>
      <vt:variant>
        <vt:i4>2949233</vt:i4>
      </vt:variant>
      <vt:variant>
        <vt:i4>33</vt:i4>
      </vt:variant>
      <vt:variant>
        <vt:i4>0</vt:i4>
      </vt:variant>
      <vt:variant>
        <vt:i4>5</vt:i4>
      </vt:variant>
      <vt:variant>
        <vt:lpwstr>http://www.nevo.co.il/law/5227/39a</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8323175</vt:i4>
      </vt:variant>
      <vt:variant>
        <vt:i4>27</vt:i4>
      </vt:variant>
      <vt:variant>
        <vt:i4>0</vt:i4>
      </vt:variant>
      <vt:variant>
        <vt:i4>5</vt:i4>
      </vt:variant>
      <vt:variant>
        <vt:lpwstr>http://www.nevo.co.il/law/5227</vt:lpwstr>
      </vt:variant>
      <vt:variant>
        <vt:lpwstr/>
      </vt:variant>
      <vt:variant>
        <vt:i4>6684735</vt:i4>
      </vt:variant>
      <vt:variant>
        <vt:i4>24</vt:i4>
      </vt:variant>
      <vt:variant>
        <vt:i4>0</vt:i4>
      </vt:variant>
      <vt:variant>
        <vt:i4>5</vt:i4>
      </vt:variant>
      <vt:variant>
        <vt:lpwstr>http://www.nevo.co.il/law/70301/338.a.1</vt:lpwstr>
      </vt:variant>
      <vt:variant>
        <vt:lpwstr/>
      </vt:variant>
      <vt:variant>
        <vt:i4>6684774</vt:i4>
      </vt:variant>
      <vt:variant>
        <vt:i4>21</vt:i4>
      </vt:variant>
      <vt:variant>
        <vt:i4>0</vt:i4>
      </vt:variant>
      <vt:variant>
        <vt:i4>5</vt:i4>
      </vt:variant>
      <vt:variant>
        <vt:lpwstr>http://www.nevo.co.il/law/70301/338</vt:lpwstr>
      </vt:variant>
      <vt:variant>
        <vt:lpwstr/>
      </vt:variant>
      <vt:variant>
        <vt:i4>6684774</vt:i4>
      </vt:variant>
      <vt:variant>
        <vt:i4>18</vt:i4>
      </vt:variant>
      <vt:variant>
        <vt:i4>0</vt:i4>
      </vt:variant>
      <vt:variant>
        <vt:i4>5</vt:i4>
      </vt:variant>
      <vt:variant>
        <vt:lpwstr>http://www.nevo.co.il/law/70301/332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7995492</vt:i4>
      </vt:variant>
      <vt:variant>
        <vt:i4>3</vt:i4>
      </vt:variant>
      <vt:variant>
        <vt:i4>0</vt:i4>
      </vt:variant>
      <vt:variant>
        <vt:i4>5</vt:i4>
      </vt:variant>
      <vt:variant>
        <vt:lpwstr>http://www.nevo.co.il/law/70301</vt:lpwstr>
      </vt:variant>
      <vt:variant>
        <vt:lpwstr/>
      </vt:variant>
      <vt:variant>
        <vt:i4>3539065</vt:i4>
      </vt:variant>
      <vt:variant>
        <vt:i4>0</vt:i4>
      </vt:variant>
      <vt:variant>
        <vt:i4>0</vt:i4>
      </vt:variant>
      <vt:variant>
        <vt:i4>5</vt:i4>
      </vt:variant>
      <vt:variant>
        <vt:lpwstr>http://www.nevo.co.il/case/28324738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2025-01-19T16:50:00Z</dcterms:created>
  <dcterms:modified xsi:type="dcterms:W3CDTF">2025-01-19T16:50:00Z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39831</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אברהים אבו קרינאת</vt:lpwstr>
  </property>
  <property fmtid="{D5CDD505-2E9C-101B-9397-08002B2CF9AE}" pid="10" name="LAWYER">
    <vt:lpwstr>רחלי אטיאס;אלכס גאוסקין</vt:lpwstr>
  </property>
  <property fmtid="{D5CDD505-2E9C-101B-9397-08002B2CF9AE}" pid="11" name="JUDGE">
    <vt:lpwstr>טל לחיאני שהם</vt:lpwstr>
  </property>
  <property fmtid="{D5CDD505-2E9C-101B-9397-08002B2CF9AE}" pid="12" name="CITY">
    <vt:lpwstr>ב"ש</vt:lpwstr>
  </property>
  <property fmtid="{D5CDD505-2E9C-101B-9397-08002B2CF9AE}" pid="13" name="DATE">
    <vt:lpwstr>20221229</vt:lpwstr>
  </property>
  <property fmtid="{D5CDD505-2E9C-101B-9397-08002B2CF9AE}" pid="14" name="TYPE_N_DATE">
    <vt:lpwstr>39020221229</vt:lpwstr>
  </property>
  <property fmtid="{D5CDD505-2E9C-101B-9397-08002B2CF9AE}" pid="15" name="WORDNUMPAGES">
    <vt:lpwstr>13</vt:lpwstr>
  </property>
  <property fmtid="{D5CDD505-2E9C-101B-9397-08002B2CF9AE}" pid="16" name="TYPE_ABS_DATE">
    <vt:lpwstr>390020221229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28324738;29124524;28266138;5762686;28883087;28410717;26789718;27894607;26964498;26760279;5581458;5878682;26939409;27844328;6121286;27309208;27404359;5917214;27734980;23793846;6473037;21652831;7821883;27171364;6054752;28697227;24263089</vt:lpwstr>
  </property>
  <property fmtid="{D5CDD505-2E9C-101B-9397-08002B2CF9AE}" pid="36" name="LAWLISTTMP1">
    <vt:lpwstr>70301/144.b;338.a.1;040c.a;040d.a;144:2;338;332</vt:lpwstr>
  </property>
  <property fmtid="{D5CDD505-2E9C-101B-9397-08002B2CF9AE}" pid="37" name="LAWLISTTMP2">
    <vt:lpwstr>5227/062.3;010.a;039a</vt:lpwstr>
  </property>
</Properties>
</file>