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3E0762" w:rsidRPr="00D9188F" w14:paraId="5C2A436C" w14:textId="77777777" w:rsidTr="002A7D25">
        <w:trPr>
          <w:trHeight w:hRule="exact" w:val="418"/>
          <w:jc w:val="center"/>
        </w:trPr>
        <w:tc>
          <w:tcPr>
            <w:tcW w:w="8505" w:type="dxa"/>
          </w:tcPr>
          <w:p w14:paraId="4E8840C9" w14:textId="77777777" w:rsidR="003E0762" w:rsidRPr="00D9188F" w:rsidRDefault="003E0762" w:rsidP="002A7D25">
            <w:pPr>
              <w:pStyle w:val="a3"/>
              <w:jc w:val="center"/>
              <w:rPr>
                <w:rFonts w:ascii="Tahoma" w:hAnsi="Tahoma" w:cs="Tahoma"/>
                <w:color w:val="000080"/>
                <w:rtl/>
              </w:rPr>
            </w:pPr>
            <w:bookmarkStart w:id="0" w:name="LastJudge"/>
            <w:r w:rsidRPr="00D9188F">
              <w:rPr>
                <w:rFonts w:ascii="Tahoma" w:hAnsi="Tahoma" w:cs="Tahoma"/>
                <w:b/>
                <w:bCs/>
                <w:color w:val="000080"/>
                <w:rtl/>
              </w:rPr>
              <w:t>בית המשפט המחוזי בחיפה</w:t>
            </w:r>
          </w:p>
        </w:tc>
      </w:tr>
      <w:tr w:rsidR="003E0762" w:rsidRPr="00D9188F" w14:paraId="53E1F031" w14:textId="77777777" w:rsidTr="002A7D25">
        <w:trPr>
          <w:trHeight w:val="337"/>
          <w:jc w:val="center"/>
        </w:trPr>
        <w:tc>
          <w:tcPr>
            <w:tcW w:w="8505" w:type="dxa"/>
          </w:tcPr>
          <w:p w14:paraId="5C696F5B" w14:textId="77777777" w:rsidR="003E0762" w:rsidRPr="00D9188F" w:rsidRDefault="003E0762" w:rsidP="002A7D25">
            <w:pPr>
              <w:rPr>
                <w:rFonts w:ascii="David" w:hAnsi="David"/>
                <w:b/>
                <w:bCs/>
                <w:rtl/>
              </w:rPr>
            </w:pPr>
            <w:r w:rsidRPr="00D9188F">
              <w:rPr>
                <w:rFonts w:ascii="David" w:hAnsi="David"/>
                <w:b/>
                <w:bCs/>
                <w:rtl/>
              </w:rPr>
              <w:t>ת"פ 40056-02-22 מדינת ישראל נ' סויטאת (עציר)</w:t>
            </w:r>
          </w:p>
        </w:tc>
      </w:tr>
    </w:tbl>
    <w:p w14:paraId="1DC8647D" w14:textId="77777777" w:rsidR="003E0762" w:rsidRPr="00D9188F" w:rsidRDefault="003E0762" w:rsidP="00146F1B">
      <w:pPr>
        <w:pStyle w:val="a3"/>
        <w:rPr>
          <w:sz w:val="6"/>
          <w:szCs w:val="6"/>
          <w:rtl/>
        </w:rPr>
      </w:pPr>
      <w:r w:rsidRPr="00D9188F">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3E0762" w:rsidRPr="00D9188F" w14:paraId="140F027D" w14:textId="77777777" w:rsidTr="003E0762">
        <w:trPr>
          <w:gridAfter w:val="1"/>
          <w:wAfter w:w="56" w:type="dxa"/>
        </w:trPr>
        <w:tc>
          <w:tcPr>
            <w:tcW w:w="8718" w:type="dxa"/>
            <w:gridSpan w:val="2"/>
            <w:shd w:val="clear" w:color="auto" w:fill="auto"/>
          </w:tcPr>
          <w:p w14:paraId="2BC3DD56" w14:textId="77777777" w:rsidR="003E0762" w:rsidRPr="00D9188F" w:rsidRDefault="003E0762" w:rsidP="002A7D25">
            <w:pPr>
              <w:rPr>
                <w:b/>
                <w:bCs/>
                <w:rtl/>
              </w:rPr>
            </w:pPr>
            <w:r w:rsidRPr="00D9188F">
              <w:rPr>
                <w:rFonts w:hint="cs"/>
                <w:b/>
                <w:bCs/>
                <w:rtl/>
              </w:rPr>
              <w:t>לפני כבוד ה</w:t>
            </w:r>
            <w:r w:rsidRPr="00D9188F">
              <w:rPr>
                <w:b/>
                <w:bCs/>
                <w:rtl/>
              </w:rPr>
              <w:t>שופט ארז פורת</w:t>
            </w:r>
            <w:r w:rsidRPr="00D9188F">
              <w:rPr>
                <w:rStyle w:val="TimesNewRomanTimesNewRoman"/>
                <w:rtl/>
              </w:rPr>
              <w:t xml:space="preserve"> </w:t>
            </w:r>
          </w:p>
        </w:tc>
      </w:tr>
      <w:tr w:rsidR="003E0762" w:rsidRPr="00D9188F" w14:paraId="5BD576EF" w14:textId="77777777" w:rsidTr="003E0762">
        <w:trPr>
          <w:cantSplit/>
          <w:trHeight w:val="251"/>
        </w:trPr>
        <w:tc>
          <w:tcPr>
            <w:tcW w:w="2880" w:type="dxa"/>
            <w:shd w:val="clear" w:color="auto" w:fill="auto"/>
          </w:tcPr>
          <w:p w14:paraId="1EDF2B83" w14:textId="77777777" w:rsidR="003E0762" w:rsidRPr="00D9188F" w:rsidRDefault="003E0762" w:rsidP="003E0762">
            <w:pPr>
              <w:ind w:left="26"/>
              <w:rPr>
                <w:b/>
                <w:bCs/>
                <w:rtl/>
              </w:rPr>
            </w:pPr>
            <w:bookmarkStart w:id="1" w:name="FirstAppellant"/>
          </w:p>
          <w:p w14:paraId="7294F99C" w14:textId="77777777" w:rsidR="003E0762" w:rsidRPr="00D9188F" w:rsidRDefault="003E0762" w:rsidP="003E0762">
            <w:pPr>
              <w:ind w:left="26"/>
              <w:rPr>
                <w:b/>
                <w:bCs/>
                <w:rtl/>
              </w:rPr>
            </w:pPr>
            <w:r w:rsidRPr="00D9188F">
              <w:rPr>
                <w:rFonts w:hint="cs"/>
                <w:b/>
                <w:bCs/>
                <w:rtl/>
              </w:rPr>
              <w:t>ה</w:t>
            </w:r>
            <w:r w:rsidRPr="00D9188F">
              <w:rPr>
                <w:b/>
                <w:bCs/>
                <w:rtl/>
              </w:rPr>
              <w:t>מאשימה</w:t>
            </w:r>
          </w:p>
        </w:tc>
        <w:tc>
          <w:tcPr>
            <w:tcW w:w="5922" w:type="dxa"/>
            <w:gridSpan w:val="2"/>
            <w:shd w:val="clear" w:color="auto" w:fill="auto"/>
          </w:tcPr>
          <w:p w14:paraId="5838B847" w14:textId="77777777" w:rsidR="003E0762" w:rsidRPr="00D9188F" w:rsidRDefault="003E0762" w:rsidP="002A7D25">
            <w:pPr>
              <w:rPr>
                <w:b/>
                <w:bCs/>
                <w:rtl/>
              </w:rPr>
            </w:pPr>
          </w:p>
          <w:p w14:paraId="13025722" w14:textId="77777777" w:rsidR="003E0762" w:rsidRPr="00D9188F" w:rsidRDefault="003E0762" w:rsidP="002A7D25">
            <w:pPr>
              <w:rPr>
                <w:b/>
                <w:bCs/>
                <w:rtl/>
              </w:rPr>
            </w:pPr>
            <w:r w:rsidRPr="00D9188F">
              <w:rPr>
                <w:b/>
                <w:bCs/>
                <w:rtl/>
              </w:rPr>
              <w:t xml:space="preserve"> מדינת ישראל</w:t>
            </w:r>
            <w:r w:rsidRPr="00D9188F">
              <w:rPr>
                <w:rFonts w:hint="cs"/>
                <w:b/>
                <w:bCs/>
                <w:rtl/>
              </w:rPr>
              <w:t xml:space="preserve"> </w:t>
            </w:r>
          </w:p>
        </w:tc>
      </w:tr>
      <w:bookmarkEnd w:id="1"/>
      <w:tr w:rsidR="003E0762" w:rsidRPr="00D9188F" w14:paraId="2B816E30" w14:textId="77777777" w:rsidTr="003E0762">
        <w:tc>
          <w:tcPr>
            <w:tcW w:w="8802" w:type="dxa"/>
            <w:gridSpan w:val="3"/>
            <w:shd w:val="clear" w:color="auto" w:fill="auto"/>
            <w:vAlign w:val="center"/>
          </w:tcPr>
          <w:p w14:paraId="2740A8E2" w14:textId="77777777" w:rsidR="003E0762" w:rsidRPr="00D9188F" w:rsidRDefault="003E0762" w:rsidP="003E0762">
            <w:pPr>
              <w:jc w:val="center"/>
              <w:rPr>
                <w:rFonts w:ascii="Arial" w:hAnsi="Arial"/>
                <w:b/>
                <w:bCs/>
                <w:rtl/>
              </w:rPr>
            </w:pPr>
          </w:p>
          <w:p w14:paraId="769BBBD1" w14:textId="77777777" w:rsidR="003E0762" w:rsidRPr="00D9188F" w:rsidRDefault="003E0762" w:rsidP="003E0762">
            <w:pPr>
              <w:jc w:val="center"/>
              <w:rPr>
                <w:rFonts w:ascii="Arial" w:hAnsi="Arial"/>
                <w:b/>
                <w:bCs/>
                <w:rtl/>
              </w:rPr>
            </w:pPr>
            <w:r w:rsidRPr="00D9188F">
              <w:rPr>
                <w:rFonts w:ascii="Arial" w:hAnsi="Arial" w:hint="cs"/>
                <w:b/>
                <w:bCs/>
                <w:rtl/>
              </w:rPr>
              <w:t>נגד</w:t>
            </w:r>
          </w:p>
          <w:p w14:paraId="4F813956" w14:textId="77777777" w:rsidR="003E0762" w:rsidRPr="00D9188F" w:rsidRDefault="003E0762" w:rsidP="002A7D25">
            <w:pPr>
              <w:rPr>
                <w:rFonts w:ascii="Arial" w:hAnsi="Arial"/>
                <w:b/>
                <w:bCs/>
                <w:rtl/>
              </w:rPr>
            </w:pPr>
          </w:p>
        </w:tc>
      </w:tr>
      <w:tr w:rsidR="003E0762" w:rsidRPr="00D9188F" w14:paraId="28A39378" w14:textId="77777777" w:rsidTr="003E0762">
        <w:tc>
          <w:tcPr>
            <w:tcW w:w="2880" w:type="dxa"/>
            <w:shd w:val="clear" w:color="auto" w:fill="auto"/>
          </w:tcPr>
          <w:p w14:paraId="1F6CE807" w14:textId="77777777" w:rsidR="003E0762" w:rsidRPr="00D9188F" w:rsidRDefault="003E0762" w:rsidP="003E0762">
            <w:pPr>
              <w:ind w:left="26"/>
              <w:rPr>
                <w:b/>
                <w:bCs/>
              </w:rPr>
            </w:pPr>
            <w:r w:rsidRPr="00D9188F">
              <w:rPr>
                <w:rFonts w:hint="cs"/>
                <w:b/>
                <w:bCs/>
                <w:rtl/>
              </w:rPr>
              <w:t>ה</w:t>
            </w:r>
            <w:r w:rsidRPr="00D9188F">
              <w:rPr>
                <w:b/>
                <w:bCs/>
                <w:rtl/>
              </w:rPr>
              <w:t>נאשם</w:t>
            </w:r>
          </w:p>
        </w:tc>
        <w:tc>
          <w:tcPr>
            <w:tcW w:w="5922" w:type="dxa"/>
            <w:gridSpan w:val="2"/>
            <w:shd w:val="clear" w:color="auto" w:fill="auto"/>
          </w:tcPr>
          <w:p w14:paraId="300E1E0D" w14:textId="77777777" w:rsidR="003E0762" w:rsidRPr="00D9188F" w:rsidRDefault="003E0762" w:rsidP="002A7D25">
            <w:pPr>
              <w:rPr>
                <w:b/>
                <w:bCs/>
                <w:rtl/>
              </w:rPr>
            </w:pPr>
            <w:r w:rsidRPr="00D9188F">
              <w:rPr>
                <w:b/>
                <w:bCs/>
                <w:rtl/>
              </w:rPr>
              <w:t xml:space="preserve"> ראמי סויטאת</w:t>
            </w:r>
            <w:r w:rsidRPr="00D9188F">
              <w:rPr>
                <w:rFonts w:hint="cs"/>
                <w:b/>
                <w:bCs/>
                <w:rtl/>
              </w:rPr>
              <w:t>,</w:t>
            </w:r>
            <w:r w:rsidRPr="00D9188F">
              <w:rPr>
                <w:b/>
                <w:bCs/>
                <w:rtl/>
              </w:rPr>
              <w:t xml:space="preserve"> ת"ז</w:t>
            </w:r>
            <w:r w:rsidRPr="00D9188F">
              <w:rPr>
                <w:rFonts w:hint="cs"/>
                <w:b/>
                <w:bCs/>
                <w:rtl/>
              </w:rPr>
              <w:t xml:space="preserve"> </w:t>
            </w:r>
            <w:r w:rsidR="00D9188F">
              <w:rPr>
                <w:b/>
                <w:bCs/>
              </w:rPr>
              <w:t>xxxxxxxxxx</w:t>
            </w:r>
            <w:r w:rsidRPr="00D9188F">
              <w:rPr>
                <w:rFonts w:hint="cs"/>
                <w:b/>
                <w:bCs/>
                <w:rtl/>
              </w:rPr>
              <w:t>(עציר)</w:t>
            </w:r>
          </w:p>
        </w:tc>
      </w:tr>
    </w:tbl>
    <w:p w14:paraId="265D25A8" w14:textId="77777777" w:rsidR="00146F1B" w:rsidRDefault="00146F1B" w:rsidP="003E0762">
      <w:pPr>
        <w:rPr>
          <w:sz w:val="6"/>
          <w:szCs w:val="6"/>
          <w:rtl/>
        </w:rPr>
      </w:pPr>
    </w:p>
    <w:p w14:paraId="5E7A674F" w14:textId="77777777" w:rsidR="00146F1B" w:rsidRPr="00146F1B" w:rsidRDefault="00146F1B" w:rsidP="00146F1B">
      <w:pPr>
        <w:spacing w:after="120" w:line="240" w:lineRule="exact"/>
        <w:ind w:left="283" w:hanging="283"/>
        <w:jc w:val="both"/>
        <w:rPr>
          <w:rFonts w:ascii="FrankRuehl" w:hAnsi="FrankRuehl" w:cs="FrankRuehl"/>
          <w:rtl/>
        </w:rPr>
      </w:pPr>
    </w:p>
    <w:p w14:paraId="18DA3444" w14:textId="77777777" w:rsidR="00077DAE" w:rsidRPr="00077DAE" w:rsidRDefault="00077DAE" w:rsidP="00077DAE">
      <w:pPr>
        <w:spacing w:before="120" w:after="120" w:line="240" w:lineRule="exact"/>
        <w:ind w:left="283" w:hanging="283"/>
        <w:jc w:val="both"/>
        <w:rPr>
          <w:rFonts w:ascii="FrankRuehl" w:hAnsi="FrankRuehl" w:cs="FrankRuehl"/>
          <w:rtl/>
        </w:rPr>
      </w:pPr>
    </w:p>
    <w:p w14:paraId="0613E422" w14:textId="77777777" w:rsidR="002D48E9" w:rsidRDefault="002D48E9" w:rsidP="002D48E9">
      <w:pPr>
        <w:rPr>
          <w:rFonts w:ascii="Arial" w:hAnsi="Arial"/>
          <w:sz w:val="26"/>
          <w:szCs w:val="26"/>
          <w:rtl/>
        </w:rPr>
      </w:pPr>
      <w:bookmarkStart w:id="2" w:name="LawTable"/>
      <w:bookmarkEnd w:id="2"/>
    </w:p>
    <w:p w14:paraId="44238E25" w14:textId="77777777" w:rsidR="002D48E9" w:rsidRPr="002D48E9" w:rsidRDefault="002D48E9" w:rsidP="002D48E9">
      <w:pPr>
        <w:spacing w:before="120" w:after="120" w:line="240" w:lineRule="exact"/>
        <w:ind w:left="283" w:hanging="283"/>
        <w:jc w:val="both"/>
        <w:rPr>
          <w:rFonts w:ascii="FrankRuehl" w:hAnsi="FrankRuehl" w:cs="FrankRuehl"/>
          <w:rtl/>
        </w:rPr>
      </w:pPr>
    </w:p>
    <w:p w14:paraId="2310F836" w14:textId="77777777" w:rsidR="002D48E9" w:rsidRPr="002D48E9" w:rsidRDefault="002D48E9" w:rsidP="002D48E9">
      <w:pPr>
        <w:spacing w:before="120" w:after="120" w:line="240" w:lineRule="exact"/>
        <w:ind w:left="283" w:hanging="283"/>
        <w:jc w:val="both"/>
        <w:rPr>
          <w:rFonts w:ascii="FrankRuehl" w:hAnsi="FrankRuehl" w:cs="FrankRuehl"/>
          <w:rtl/>
        </w:rPr>
      </w:pPr>
    </w:p>
    <w:p w14:paraId="5D0EF021" w14:textId="77777777" w:rsidR="002D48E9" w:rsidRPr="002D48E9" w:rsidRDefault="002D48E9" w:rsidP="002D48E9">
      <w:pPr>
        <w:spacing w:before="120" w:after="120" w:line="240" w:lineRule="exact"/>
        <w:ind w:left="283" w:hanging="283"/>
        <w:jc w:val="both"/>
        <w:rPr>
          <w:rFonts w:ascii="FrankRuehl" w:hAnsi="FrankRuehl" w:cs="FrankRuehl"/>
          <w:rtl/>
        </w:rPr>
      </w:pPr>
      <w:r w:rsidRPr="002D48E9">
        <w:rPr>
          <w:rFonts w:ascii="FrankRuehl" w:hAnsi="FrankRuehl" w:cs="FrankRuehl"/>
          <w:rtl/>
        </w:rPr>
        <w:t xml:space="preserve">חקיקה שאוזכרה: </w:t>
      </w:r>
    </w:p>
    <w:p w14:paraId="211F0AE4" w14:textId="77777777" w:rsidR="002D48E9" w:rsidRPr="002D48E9" w:rsidRDefault="002D48E9" w:rsidP="002D48E9">
      <w:pPr>
        <w:spacing w:before="120" w:after="120" w:line="240" w:lineRule="exact"/>
        <w:ind w:left="283" w:hanging="283"/>
        <w:jc w:val="both"/>
        <w:rPr>
          <w:rFonts w:ascii="FrankRuehl" w:hAnsi="FrankRuehl" w:cs="FrankRuehl"/>
          <w:rtl/>
        </w:rPr>
      </w:pPr>
      <w:hyperlink r:id="rId7" w:history="1">
        <w:r w:rsidRPr="002D48E9">
          <w:rPr>
            <w:rFonts w:ascii="FrankRuehl" w:hAnsi="FrankRuehl" w:cs="FrankRuehl"/>
            <w:color w:val="0000FF"/>
            <w:rtl/>
          </w:rPr>
          <w:t>חוק העונשין, תשל"ז-1977</w:t>
        </w:r>
      </w:hyperlink>
      <w:r w:rsidRPr="002D48E9">
        <w:rPr>
          <w:rFonts w:ascii="FrankRuehl" w:hAnsi="FrankRuehl" w:cs="FrankRuehl"/>
          <w:rtl/>
        </w:rPr>
        <w:t xml:space="preserve">: סע'  </w:t>
      </w:r>
      <w:hyperlink r:id="rId8" w:history="1">
        <w:r w:rsidRPr="002D48E9">
          <w:rPr>
            <w:rFonts w:ascii="FrankRuehl" w:hAnsi="FrankRuehl" w:cs="FrankRuehl"/>
            <w:color w:val="0000FF"/>
            <w:rtl/>
          </w:rPr>
          <w:t>29</w:t>
        </w:r>
      </w:hyperlink>
      <w:r w:rsidRPr="002D48E9">
        <w:rPr>
          <w:rFonts w:ascii="FrankRuehl" w:hAnsi="FrankRuehl" w:cs="FrankRuehl"/>
          <w:rtl/>
        </w:rPr>
        <w:t xml:space="preserve">, </w:t>
      </w:r>
      <w:hyperlink r:id="rId9" w:history="1">
        <w:r w:rsidRPr="002D48E9">
          <w:rPr>
            <w:rFonts w:ascii="FrankRuehl" w:hAnsi="FrankRuehl" w:cs="FrankRuehl"/>
            <w:color w:val="0000FF"/>
            <w:rtl/>
          </w:rPr>
          <w:t>40ז</w:t>
        </w:r>
      </w:hyperlink>
      <w:r w:rsidRPr="002D48E9">
        <w:rPr>
          <w:rFonts w:ascii="FrankRuehl" w:hAnsi="FrankRuehl" w:cs="FrankRuehl"/>
          <w:rtl/>
        </w:rPr>
        <w:t xml:space="preserve">, </w:t>
      </w:r>
      <w:hyperlink r:id="rId10" w:history="1">
        <w:r w:rsidRPr="002D48E9">
          <w:rPr>
            <w:rFonts w:ascii="FrankRuehl" w:hAnsi="FrankRuehl" w:cs="FrankRuehl"/>
            <w:color w:val="0000FF"/>
            <w:rtl/>
          </w:rPr>
          <w:t>144</w:t>
        </w:r>
      </w:hyperlink>
      <w:r w:rsidRPr="002D48E9">
        <w:rPr>
          <w:rFonts w:ascii="FrankRuehl" w:hAnsi="FrankRuehl" w:cs="FrankRuehl"/>
          <w:rtl/>
        </w:rPr>
        <w:t xml:space="preserve">, </w:t>
      </w:r>
      <w:hyperlink r:id="rId11" w:history="1">
        <w:r w:rsidRPr="002D48E9">
          <w:rPr>
            <w:rFonts w:ascii="FrankRuehl" w:hAnsi="FrankRuehl" w:cs="FrankRuehl"/>
            <w:color w:val="0000FF"/>
            <w:rtl/>
          </w:rPr>
          <w:t>144(א)</w:t>
        </w:r>
      </w:hyperlink>
      <w:r w:rsidRPr="002D48E9">
        <w:rPr>
          <w:rFonts w:ascii="FrankRuehl" w:hAnsi="FrankRuehl" w:cs="FrankRuehl"/>
          <w:rtl/>
        </w:rPr>
        <w:t xml:space="preserve">, </w:t>
      </w:r>
      <w:hyperlink r:id="rId12" w:history="1">
        <w:r w:rsidRPr="002D48E9">
          <w:rPr>
            <w:rFonts w:ascii="FrankRuehl" w:hAnsi="FrankRuehl" w:cs="FrankRuehl"/>
            <w:color w:val="0000FF"/>
            <w:rtl/>
          </w:rPr>
          <w:t>144(ב)</w:t>
        </w:r>
      </w:hyperlink>
      <w:r w:rsidRPr="002D48E9">
        <w:rPr>
          <w:rFonts w:ascii="FrankRuehl" w:hAnsi="FrankRuehl" w:cs="FrankRuehl"/>
          <w:rtl/>
        </w:rPr>
        <w:t xml:space="preserve">, </w:t>
      </w:r>
      <w:hyperlink r:id="rId13" w:history="1">
        <w:r w:rsidRPr="002D48E9">
          <w:rPr>
            <w:rFonts w:ascii="FrankRuehl" w:hAnsi="FrankRuehl" w:cs="FrankRuehl"/>
            <w:color w:val="0000FF"/>
            <w:rtl/>
          </w:rPr>
          <w:t>152</w:t>
        </w:r>
      </w:hyperlink>
      <w:r w:rsidRPr="002D48E9">
        <w:rPr>
          <w:rFonts w:ascii="FrankRuehl" w:hAnsi="FrankRuehl" w:cs="FrankRuehl"/>
          <w:rtl/>
        </w:rPr>
        <w:t xml:space="preserve">, </w:t>
      </w:r>
      <w:hyperlink r:id="rId14" w:history="1">
        <w:r w:rsidRPr="002D48E9">
          <w:rPr>
            <w:rFonts w:ascii="FrankRuehl" w:hAnsi="FrankRuehl" w:cs="FrankRuehl"/>
            <w:color w:val="0000FF"/>
            <w:rtl/>
          </w:rPr>
          <w:t>192</w:t>
        </w:r>
      </w:hyperlink>
      <w:r w:rsidRPr="002D48E9">
        <w:rPr>
          <w:rFonts w:ascii="FrankRuehl" w:hAnsi="FrankRuehl" w:cs="FrankRuehl"/>
          <w:rtl/>
        </w:rPr>
        <w:t xml:space="preserve">, </w:t>
      </w:r>
      <w:hyperlink r:id="rId15" w:history="1">
        <w:r w:rsidRPr="002D48E9">
          <w:rPr>
            <w:rFonts w:ascii="FrankRuehl" w:hAnsi="FrankRuehl" w:cs="FrankRuehl"/>
            <w:color w:val="0000FF"/>
            <w:rtl/>
          </w:rPr>
          <w:t>275</w:t>
        </w:r>
      </w:hyperlink>
      <w:r w:rsidRPr="002D48E9">
        <w:rPr>
          <w:rFonts w:ascii="FrankRuehl" w:hAnsi="FrankRuehl" w:cs="FrankRuehl"/>
          <w:rtl/>
        </w:rPr>
        <w:t xml:space="preserve">, </w:t>
      </w:r>
      <w:hyperlink r:id="rId16" w:history="1">
        <w:r w:rsidRPr="002D48E9">
          <w:rPr>
            <w:rFonts w:ascii="FrankRuehl" w:hAnsi="FrankRuehl" w:cs="FrankRuehl"/>
            <w:color w:val="0000FF"/>
            <w:rtl/>
          </w:rPr>
          <w:t>340א.</w:t>
        </w:r>
      </w:hyperlink>
      <w:r w:rsidRPr="002D48E9">
        <w:rPr>
          <w:rFonts w:ascii="FrankRuehl" w:hAnsi="FrankRuehl" w:cs="FrankRuehl"/>
          <w:rtl/>
        </w:rPr>
        <w:t xml:space="preserve">, </w:t>
      </w:r>
      <w:hyperlink r:id="rId17" w:history="1">
        <w:r w:rsidRPr="002D48E9">
          <w:rPr>
            <w:rFonts w:ascii="FrankRuehl" w:hAnsi="FrankRuehl" w:cs="FrankRuehl"/>
            <w:color w:val="0000FF"/>
            <w:rtl/>
          </w:rPr>
          <w:t>340א(א)</w:t>
        </w:r>
      </w:hyperlink>
      <w:r w:rsidRPr="002D48E9">
        <w:rPr>
          <w:rFonts w:ascii="FrankRuehl" w:hAnsi="FrankRuehl" w:cs="FrankRuehl"/>
          <w:rtl/>
        </w:rPr>
        <w:t xml:space="preserve">, </w:t>
      </w:r>
      <w:hyperlink r:id="rId18" w:history="1">
        <w:r w:rsidRPr="002D48E9">
          <w:rPr>
            <w:rFonts w:ascii="FrankRuehl" w:hAnsi="FrankRuehl" w:cs="FrankRuehl"/>
            <w:color w:val="0000FF"/>
            <w:rtl/>
          </w:rPr>
          <w:t>452</w:t>
        </w:r>
      </w:hyperlink>
    </w:p>
    <w:p w14:paraId="3EF18BB1" w14:textId="77777777" w:rsidR="002D48E9" w:rsidRPr="002D48E9" w:rsidRDefault="002D48E9" w:rsidP="002D48E9">
      <w:pPr>
        <w:rPr>
          <w:rFonts w:ascii="Arial" w:hAnsi="Arial"/>
          <w:sz w:val="26"/>
          <w:szCs w:val="26"/>
          <w:rtl/>
        </w:rPr>
      </w:pPr>
      <w:bookmarkStart w:id="3" w:name="LawTable_End"/>
      <w:bookmarkEnd w:id="3"/>
    </w:p>
    <w:p w14:paraId="5388EE59" w14:textId="77777777" w:rsidR="003E0762" w:rsidRPr="00077DAE" w:rsidRDefault="003E0762" w:rsidP="00077DA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0762" w:rsidRPr="009D1254" w14:paraId="1E5D5078" w14:textId="77777777" w:rsidTr="003E0762">
        <w:trPr>
          <w:trHeight w:val="355"/>
          <w:jc w:val="center"/>
        </w:trPr>
        <w:tc>
          <w:tcPr>
            <w:tcW w:w="8820" w:type="dxa"/>
            <w:tcBorders>
              <w:top w:val="nil"/>
              <w:left w:val="nil"/>
              <w:bottom w:val="nil"/>
              <w:right w:val="nil"/>
            </w:tcBorders>
            <w:shd w:val="clear" w:color="auto" w:fill="auto"/>
          </w:tcPr>
          <w:p w14:paraId="472CBF7F" w14:textId="77777777" w:rsidR="00D9188F" w:rsidRPr="00D9188F" w:rsidRDefault="00D9188F" w:rsidP="00D9188F">
            <w:pPr>
              <w:jc w:val="center"/>
              <w:rPr>
                <w:rFonts w:ascii="David" w:hAnsi="David"/>
                <w:b/>
                <w:bCs/>
                <w:sz w:val="28"/>
                <w:szCs w:val="28"/>
                <w:u w:val="single"/>
                <w:rtl/>
              </w:rPr>
            </w:pPr>
            <w:bookmarkStart w:id="4" w:name="PsakDin" w:colFirst="0" w:colLast="0"/>
            <w:bookmarkEnd w:id="0"/>
            <w:r w:rsidRPr="00D9188F">
              <w:rPr>
                <w:rFonts w:ascii="David" w:hAnsi="David"/>
                <w:b/>
                <w:bCs/>
                <w:sz w:val="28"/>
                <w:szCs w:val="28"/>
                <w:u w:val="single"/>
                <w:rtl/>
              </w:rPr>
              <w:t>גזר דין</w:t>
            </w:r>
          </w:p>
          <w:p w14:paraId="1ABB4BF2" w14:textId="77777777" w:rsidR="003E0762" w:rsidRPr="00D9188F" w:rsidRDefault="003E0762" w:rsidP="00D9188F">
            <w:pPr>
              <w:jc w:val="center"/>
              <w:rPr>
                <w:rFonts w:ascii="David" w:hAnsi="David"/>
                <w:b/>
                <w:bCs/>
                <w:sz w:val="32"/>
                <w:szCs w:val="32"/>
                <w:u w:val="single"/>
                <w:rtl/>
              </w:rPr>
            </w:pPr>
          </w:p>
        </w:tc>
      </w:tr>
      <w:bookmarkEnd w:id="4"/>
    </w:tbl>
    <w:p w14:paraId="7CE4BEFE" w14:textId="77777777" w:rsidR="003E0762" w:rsidRPr="009D1254" w:rsidRDefault="003E0762" w:rsidP="003E0762">
      <w:pPr>
        <w:rPr>
          <w:rFonts w:ascii="Arial" w:hAnsi="Arial"/>
          <w:b/>
          <w:bCs/>
          <w:sz w:val="26"/>
          <w:szCs w:val="26"/>
          <w:rtl/>
        </w:rPr>
      </w:pPr>
    </w:p>
    <w:p w14:paraId="6E800756" w14:textId="77777777" w:rsidR="003E0762" w:rsidRPr="001C6522" w:rsidRDefault="003E0762" w:rsidP="003E0762">
      <w:pPr>
        <w:numPr>
          <w:ilvl w:val="0"/>
          <w:numId w:val="1"/>
        </w:numPr>
        <w:spacing w:line="360" w:lineRule="auto"/>
        <w:jc w:val="both"/>
        <w:rPr>
          <w:rFonts w:ascii="Arial" w:hAnsi="Arial"/>
        </w:rPr>
      </w:pPr>
      <w:bookmarkStart w:id="5" w:name="ABSTRACT_START"/>
      <w:bookmarkEnd w:id="5"/>
      <w:r w:rsidRPr="001C6522">
        <w:rPr>
          <w:rFonts w:ascii="Arial" w:hAnsi="Arial"/>
          <w:rtl/>
        </w:rPr>
        <w:t xml:space="preserve">הנאשם הודה והורשע בעבירות המיוחסות לו בכתב האישום שעניינן באישום הראשון שתי עבירות של </w:t>
      </w:r>
      <w:r w:rsidRPr="001C6522">
        <w:rPr>
          <w:rFonts w:ascii="Arial" w:hAnsi="Arial"/>
          <w:b/>
          <w:bCs/>
          <w:rtl/>
        </w:rPr>
        <w:t>התפרעות</w:t>
      </w:r>
      <w:r w:rsidRPr="001C6522">
        <w:rPr>
          <w:rFonts w:ascii="Arial" w:hAnsi="Arial"/>
          <w:rtl/>
        </w:rPr>
        <w:t xml:space="preserve"> לפי </w:t>
      </w:r>
      <w:hyperlink r:id="rId19" w:history="1">
        <w:r w:rsidR="00146F1B" w:rsidRPr="00146F1B">
          <w:rPr>
            <w:rStyle w:val="Hyperlink"/>
            <w:rFonts w:ascii="Arial" w:hAnsi="Arial"/>
            <w:rtl/>
          </w:rPr>
          <w:t>סעיף 152</w:t>
        </w:r>
      </w:hyperlink>
      <w:r w:rsidRPr="001C6522">
        <w:rPr>
          <w:rFonts w:ascii="Arial" w:hAnsi="Arial"/>
          <w:rtl/>
        </w:rPr>
        <w:t xml:space="preserve"> ב</w:t>
      </w:r>
      <w:hyperlink r:id="rId20" w:history="1">
        <w:r w:rsidR="00D9188F" w:rsidRPr="00D9188F">
          <w:rPr>
            <w:rFonts w:ascii="Arial" w:hAnsi="Arial"/>
            <w:color w:val="0000FF"/>
            <w:u w:val="single"/>
            <w:rtl/>
          </w:rPr>
          <w:t>חוק העונשין</w:t>
        </w:r>
      </w:hyperlink>
      <w:r w:rsidRPr="001C6522">
        <w:rPr>
          <w:rFonts w:ascii="Arial" w:hAnsi="Arial"/>
          <w:rtl/>
        </w:rPr>
        <w:t>, התשל"ז-1977, ו</w:t>
      </w:r>
      <w:r w:rsidRPr="001C6522">
        <w:rPr>
          <w:rFonts w:ascii="Arial" w:hAnsi="Arial"/>
          <w:b/>
          <w:bCs/>
          <w:rtl/>
        </w:rPr>
        <w:t>היזק בזדון בצוותא</w:t>
      </w:r>
      <w:r w:rsidRPr="001C6522">
        <w:rPr>
          <w:rFonts w:ascii="Arial" w:hAnsi="Arial"/>
          <w:rtl/>
        </w:rPr>
        <w:t xml:space="preserve"> לפי </w:t>
      </w:r>
      <w:hyperlink r:id="rId21" w:history="1">
        <w:r w:rsidR="00146F1B" w:rsidRPr="00146F1B">
          <w:rPr>
            <w:rStyle w:val="Hyperlink"/>
            <w:rFonts w:ascii="Arial" w:hAnsi="Arial"/>
            <w:rtl/>
          </w:rPr>
          <w:t>סעיף 452</w:t>
        </w:r>
      </w:hyperlink>
      <w:r w:rsidRPr="001C6522">
        <w:rPr>
          <w:rFonts w:ascii="Arial" w:hAnsi="Arial"/>
          <w:rtl/>
        </w:rPr>
        <w:t xml:space="preserve"> + </w:t>
      </w:r>
      <w:hyperlink r:id="rId22" w:history="1">
        <w:r w:rsidR="00146F1B" w:rsidRPr="00146F1B">
          <w:rPr>
            <w:rStyle w:val="Hyperlink"/>
            <w:rFonts w:ascii="Arial" w:hAnsi="Arial"/>
            <w:rtl/>
          </w:rPr>
          <w:t>29</w:t>
        </w:r>
      </w:hyperlink>
      <w:r w:rsidRPr="001C6522">
        <w:rPr>
          <w:rFonts w:ascii="Arial" w:hAnsi="Arial"/>
          <w:rtl/>
        </w:rPr>
        <w:t xml:space="preserve"> בחוק העונשין. ובאישום השני </w:t>
      </w:r>
      <w:r w:rsidRPr="001C6522">
        <w:rPr>
          <w:rFonts w:ascii="Arial" w:hAnsi="Arial"/>
          <w:b/>
          <w:bCs/>
          <w:rtl/>
        </w:rPr>
        <w:t>עבירות בנשק – הובלה ונשיאת נשק ותחמושת</w:t>
      </w:r>
      <w:r w:rsidRPr="001C6522">
        <w:rPr>
          <w:rFonts w:ascii="Arial" w:hAnsi="Arial"/>
          <w:rtl/>
        </w:rPr>
        <w:t xml:space="preserve"> - לפי </w:t>
      </w:r>
      <w:hyperlink r:id="rId23" w:history="1">
        <w:r w:rsidR="00146F1B" w:rsidRPr="00146F1B">
          <w:rPr>
            <w:rStyle w:val="Hyperlink"/>
            <w:rFonts w:ascii="Arial" w:hAnsi="Arial"/>
            <w:rtl/>
          </w:rPr>
          <w:t>סעיף 144(ב)</w:t>
        </w:r>
      </w:hyperlink>
      <w:r w:rsidRPr="001C6522">
        <w:rPr>
          <w:rFonts w:ascii="Arial" w:hAnsi="Arial"/>
          <w:rtl/>
        </w:rPr>
        <w:t xml:space="preserve"> ב</w:t>
      </w:r>
      <w:hyperlink r:id="rId24" w:history="1">
        <w:r w:rsidR="00D9188F" w:rsidRPr="00D9188F">
          <w:rPr>
            <w:rFonts w:ascii="Arial" w:hAnsi="Arial"/>
            <w:color w:val="0000FF"/>
            <w:u w:val="single"/>
            <w:rtl/>
          </w:rPr>
          <w:t>חוק העונשין</w:t>
        </w:r>
      </w:hyperlink>
      <w:r w:rsidRPr="001C6522">
        <w:rPr>
          <w:rFonts w:ascii="Arial" w:hAnsi="Arial"/>
          <w:rtl/>
        </w:rPr>
        <w:t xml:space="preserve">; </w:t>
      </w:r>
      <w:r w:rsidRPr="001C6522">
        <w:rPr>
          <w:rFonts w:ascii="Arial" w:hAnsi="Arial"/>
          <w:b/>
          <w:bCs/>
          <w:rtl/>
        </w:rPr>
        <w:t>החזקת נשק ותחמושת</w:t>
      </w:r>
      <w:r w:rsidRPr="001C6522">
        <w:rPr>
          <w:rFonts w:ascii="Arial" w:hAnsi="Arial"/>
          <w:rtl/>
        </w:rPr>
        <w:t xml:space="preserve"> - לפי </w:t>
      </w:r>
      <w:hyperlink r:id="rId25" w:history="1">
        <w:r w:rsidR="00146F1B" w:rsidRPr="00146F1B">
          <w:rPr>
            <w:rStyle w:val="Hyperlink"/>
            <w:rFonts w:ascii="Arial" w:hAnsi="Arial"/>
            <w:rtl/>
          </w:rPr>
          <w:t>סעיף 144(ב)</w:t>
        </w:r>
      </w:hyperlink>
      <w:r w:rsidRPr="001C6522">
        <w:rPr>
          <w:rFonts w:ascii="Arial" w:hAnsi="Arial"/>
          <w:rtl/>
        </w:rPr>
        <w:t xml:space="preserve"> בחוק העונשין; וירי מנשק חם לפי </w:t>
      </w:r>
      <w:hyperlink r:id="rId26" w:history="1">
        <w:r w:rsidR="00146F1B" w:rsidRPr="00146F1B">
          <w:rPr>
            <w:rStyle w:val="Hyperlink"/>
            <w:rFonts w:ascii="Arial" w:hAnsi="Arial"/>
            <w:rtl/>
          </w:rPr>
          <w:t>סעיף 340א(א)</w:t>
        </w:r>
      </w:hyperlink>
      <w:r w:rsidRPr="001C6522">
        <w:rPr>
          <w:rFonts w:ascii="Arial" w:hAnsi="Arial"/>
          <w:rtl/>
        </w:rPr>
        <w:t xml:space="preserve"> בחוק העונשין. זאת מבלי שנשמעו ראיות בתיק וללא כל הסכמה מצד המאשימה לעניין העונש.</w:t>
      </w:r>
    </w:p>
    <w:p w14:paraId="40A67231" w14:textId="77777777" w:rsidR="003E0762" w:rsidRPr="001C6522" w:rsidRDefault="003E0762" w:rsidP="003E0762">
      <w:pPr>
        <w:jc w:val="both"/>
        <w:rPr>
          <w:rFonts w:ascii="Arial" w:hAnsi="Arial"/>
          <w:rtl/>
        </w:rPr>
      </w:pPr>
    </w:p>
    <w:p w14:paraId="4C7796B2" w14:textId="77777777" w:rsidR="003E0762" w:rsidRPr="001C6522" w:rsidRDefault="003E0762" w:rsidP="003E0762">
      <w:pPr>
        <w:spacing w:line="360" w:lineRule="auto"/>
        <w:jc w:val="both"/>
        <w:rPr>
          <w:rFonts w:ascii="Arial" w:hAnsi="Arial"/>
          <w:u w:val="single"/>
        </w:rPr>
      </w:pPr>
      <w:bookmarkStart w:id="6" w:name="ABSTRACT_END"/>
      <w:bookmarkEnd w:id="6"/>
      <w:r w:rsidRPr="001C6522">
        <w:rPr>
          <w:rFonts w:ascii="Arial" w:hAnsi="Arial"/>
          <w:u w:val="single"/>
          <w:rtl/>
        </w:rPr>
        <w:t xml:space="preserve">עובדות כתב האישום </w:t>
      </w:r>
    </w:p>
    <w:p w14:paraId="22DCFCCA"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האישום הראשון עניינו באירועים שהתרחשו במהלך "מבצע שומר חומות", תקופה בה התעורר גל של הפרות סדר והתפרעויות אלימות ברחבי הארץ, על רקע לאומני-גזעני. בתאריכים 11-12.05.2021 בשעות הערב, התקהלו ללא אישור, עשרות רבות של אנשים בכניסה הדרום מזרחית לכפר ג'דיידה, סמוך לכביש הבינעירוני 70, וכן בצומת הכניסה הדרומית לכפר מכר, סמוך לכביש הבינעירוני 85. המשתתפים בהתקהלויות חסמו את הצמתים והפריעו לתנועה באמצעות רכב וצמיגים בוערים, ויידו אבנים ובקבוקי תבערה לעבר שוטרים שפעלו במקום. הנאשם, בהיותו רעול פנים, נטל חלק בהתפרעויות בצומת מכר ולאחר מכן בצומת ג'דיידה, בכך שיידה אבנים לעבר הרמזורים בצמתים ויחד עם אחרים גרם לכך שהרמזורים בצמתים הפסיקו לפעול.</w:t>
      </w:r>
    </w:p>
    <w:p w14:paraId="12DA87DC" w14:textId="77777777" w:rsidR="003E0762" w:rsidRPr="001C6522" w:rsidRDefault="003E0762" w:rsidP="003E0762">
      <w:pPr>
        <w:jc w:val="both"/>
        <w:rPr>
          <w:rFonts w:ascii="Arial" w:hAnsi="Arial"/>
        </w:rPr>
      </w:pPr>
    </w:p>
    <w:p w14:paraId="649AB86B"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 xml:space="preserve">האישום השני עוסק בכך שבתקופה שבין אוקטובר 2021 ועד למעצרו בינואר 2022, הנאשם החזיק שלא כדין אקדח ומחסנית עם כדורים. לעיתים הסתובב הנאשם עם האקדח באזור </w:t>
      </w:r>
      <w:r w:rsidRPr="001C6522">
        <w:rPr>
          <w:rFonts w:ascii="Arial" w:hAnsi="Arial"/>
          <w:rtl/>
        </w:rPr>
        <w:lastRenderedPageBreak/>
        <w:t>מגוריו ובמספר הזדמנויות ירה מנשקו בשטחים פתוחים כשלושים כדורים. לאחר מעצרו הסגיר הנאשם את האקדח והתחמושת לידי החוקרים.</w:t>
      </w:r>
    </w:p>
    <w:p w14:paraId="1EA1D53D" w14:textId="77777777" w:rsidR="003E0762" w:rsidRPr="001C6522" w:rsidRDefault="003E0762" w:rsidP="003E0762">
      <w:pPr>
        <w:jc w:val="both"/>
        <w:rPr>
          <w:rFonts w:ascii="Arial" w:hAnsi="Arial"/>
        </w:rPr>
      </w:pPr>
    </w:p>
    <w:p w14:paraId="417E3C02"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ה</w:t>
      </w:r>
      <w:r>
        <w:rPr>
          <w:rFonts w:ascii="Arial" w:hAnsi="Arial"/>
          <w:rtl/>
        </w:rPr>
        <w:t xml:space="preserve">נאשם יליד 2001, ללא עבר פלילי. </w:t>
      </w:r>
      <w:r w:rsidRPr="001C6522">
        <w:rPr>
          <w:rFonts w:ascii="Arial" w:hAnsi="Arial"/>
          <w:rtl/>
        </w:rPr>
        <w:t>שירות המבחן העריך כי קיים סיכון להישנות עבירות וכי סיכויי השיקום נמוכים, ולאור זאת לא המליץ על ענישה בעלת מאפיינים שיקומיים.</w:t>
      </w:r>
    </w:p>
    <w:p w14:paraId="22D0F112" w14:textId="77777777" w:rsidR="003E0762" w:rsidRPr="001C6522" w:rsidRDefault="003E0762" w:rsidP="003E0762">
      <w:pPr>
        <w:jc w:val="both"/>
        <w:rPr>
          <w:rFonts w:ascii="Arial" w:hAnsi="Arial"/>
        </w:rPr>
      </w:pPr>
    </w:p>
    <w:p w14:paraId="44BCF8EF"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בן דודו של הנאשם העיד כי הנאשם מגיע ממשפחה טובה אשר חלק מבניה שירתו בצה"ל וכי בכוונתם ללוות אותו לאחר השחרור כדי להחזירו לתלם הנורמטיבי.</w:t>
      </w:r>
    </w:p>
    <w:p w14:paraId="20A6C7E9" w14:textId="77777777" w:rsidR="003E0762" w:rsidRDefault="003E0762" w:rsidP="003E0762">
      <w:pPr>
        <w:jc w:val="both"/>
        <w:rPr>
          <w:rFonts w:ascii="Arial" w:hAnsi="Arial"/>
          <w:rtl/>
        </w:rPr>
      </w:pPr>
    </w:p>
    <w:p w14:paraId="394FFC61" w14:textId="77777777" w:rsidR="003E0762" w:rsidRPr="001C6522" w:rsidRDefault="003E0762" w:rsidP="003E0762">
      <w:pPr>
        <w:spacing w:line="360" w:lineRule="auto"/>
        <w:jc w:val="both"/>
        <w:rPr>
          <w:rFonts w:ascii="Arial" w:hAnsi="Arial"/>
          <w:u w:val="single"/>
        </w:rPr>
      </w:pPr>
      <w:r w:rsidRPr="001C6522">
        <w:rPr>
          <w:rFonts w:ascii="Arial" w:hAnsi="Arial"/>
          <w:u w:val="single"/>
          <w:rtl/>
        </w:rPr>
        <w:t>טיעונים לעונש</w:t>
      </w:r>
    </w:p>
    <w:p w14:paraId="4C91DAB2"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הצדדים טענו לעונש ההולם לעמדתם ותמכו עתירתם העונשית בפסיקה. המאשימה עתרה לקביעת שני מתחמים נפרדים. ב"כ המאשימה הדגישה את הפגיעה בערכים: שלטון החוק, שמירה על הסדר הציבורי והגנה על חיי אדם; את העובדה שהתפרעות הנאשם בוצעה בצוותא עם אחרים במצב בטחוני מתוח ורגיש, ואת הנזק שנגרם לרמזורים; כמו כן הדגישה את אחריותו המלאה של הנאשם לעבירות הנשק, ואת פוטנציאל המסוכנות שטמון בהן, גם אם לא התממש במקרה זה.</w:t>
      </w:r>
    </w:p>
    <w:p w14:paraId="127FC71E" w14:textId="77777777" w:rsidR="003E0762" w:rsidRPr="001C6522" w:rsidRDefault="003E0762" w:rsidP="003E0762">
      <w:pPr>
        <w:jc w:val="both"/>
        <w:rPr>
          <w:rFonts w:ascii="Arial" w:hAnsi="Arial"/>
        </w:rPr>
      </w:pPr>
    </w:p>
    <w:p w14:paraId="4B068551" w14:textId="77777777" w:rsidR="003E0762" w:rsidRPr="001C6522" w:rsidRDefault="003E0762" w:rsidP="003E0762">
      <w:pPr>
        <w:spacing w:line="360" w:lineRule="auto"/>
        <w:ind w:left="360"/>
        <w:jc w:val="both"/>
        <w:rPr>
          <w:rFonts w:ascii="Arial" w:hAnsi="Arial"/>
          <w:rtl/>
        </w:rPr>
      </w:pPr>
      <w:r w:rsidRPr="001C6522">
        <w:rPr>
          <w:rFonts w:ascii="Arial" w:hAnsi="Arial"/>
          <w:rtl/>
        </w:rPr>
        <w:t xml:space="preserve">להשקפת המאשימה מתחם העונש ההולם בעבירות ההתפרעות נע בין שמונה עשר ועד שלושים חודשי מאסר בפועל; ובעבירות הנשק נע בין שלושים ושישה חודשי מאסר ועד שישים חודשי מאסר בפועל. ב"כ המאשימה עתרה להטיל על הנאשם עונשים במחצית התחתונה של כל מתחם, אשר להשקפתה ראוי כי יצטברו זה לזה, ולצד זה עונש מאסר מותנה משמעותי וקנס. </w:t>
      </w:r>
    </w:p>
    <w:p w14:paraId="54354FD6" w14:textId="77777777" w:rsidR="003E0762" w:rsidRPr="001C6522" w:rsidRDefault="003E0762" w:rsidP="003E0762">
      <w:pPr>
        <w:ind w:left="360"/>
        <w:jc w:val="both"/>
        <w:rPr>
          <w:rFonts w:ascii="Arial" w:hAnsi="Arial"/>
        </w:rPr>
      </w:pPr>
    </w:p>
    <w:p w14:paraId="1C44B5A9"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hint="cs"/>
          <w:rtl/>
        </w:rPr>
        <w:t xml:space="preserve">הסניגור הדגיש את העובדה כי הנאשם הינו צעיר כבן עשרים, ללא עבר פלילי, שהודה במיוחס לו בהזדמנות הראשונה והביע חרטה, אשר נמצא במעצר ממשי מזה כחמישה חודשים. עוד טען כי מרשו נגרר בעקבות אחרים להשתתף בהתפרעות וחלקו היה קטן - כלל אינו יודע האם אבן שזרק היא שפגעה ברמזור, ואף לא יוחסה לו השלכת אבנים לעבר כוחות הביטחון; ציין שחלפה שנה וחודש מאז האירוע; לגבי עבירות הנשק טען כי נעברו על רקע ילדותי במטרה לעשות רושם, וכי הנאשם הסגיר את הנשק ביוזמתו. </w:t>
      </w:r>
    </w:p>
    <w:p w14:paraId="12F9E3F9" w14:textId="77777777" w:rsidR="003E0762" w:rsidRPr="001C6522" w:rsidRDefault="003E0762" w:rsidP="003E0762">
      <w:pPr>
        <w:jc w:val="both"/>
        <w:rPr>
          <w:rFonts w:ascii="Arial" w:hAnsi="Arial"/>
          <w:rtl/>
        </w:rPr>
      </w:pPr>
    </w:p>
    <w:p w14:paraId="17AB7730" w14:textId="77777777" w:rsidR="003E0762" w:rsidRPr="001C6522" w:rsidRDefault="003E0762" w:rsidP="003E0762">
      <w:pPr>
        <w:spacing w:line="360" w:lineRule="auto"/>
        <w:ind w:left="360"/>
        <w:jc w:val="both"/>
        <w:rPr>
          <w:rFonts w:ascii="Arial" w:hAnsi="Arial"/>
          <w:rtl/>
        </w:rPr>
      </w:pPr>
      <w:r w:rsidRPr="001C6522">
        <w:rPr>
          <w:rFonts w:ascii="Arial" w:hAnsi="Arial"/>
          <w:rtl/>
        </w:rPr>
        <w:t>לעבירות האישום הראשון הסנגור טען למתחם עונש הולם שנע בין מאסר על תנאי וקנס ועד מספר חודשי מאסר בפועל שירוצו בעבודות שירות, ועתר להטלת עונש צופה פני עתיד. לעבירות האישום השני טען למתחם שנע בין עשרה לבין שמונה עשר חודשי מאסר בפועל.  הסניגור ביקש להימנע מהטלת קנס, זאת לדבריו, בשל מצבם הכלכלי הקשה של הנאשם ומשפחתו.</w:t>
      </w:r>
    </w:p>
    <w:p w14:paraId="28083AF7" w14:textId="77777777" w:rsidR="003E0762" w:rsidRPr="001C6522" w:rsidRDefault="003E0762" w:rsidP="003E0762">
      <w:pPr>
        <w:ind w:left="360"/>
        <w:jc w:val="both"/>
        <w:rPr>
          <w:rFonts w:ascii="Arial" w:hAnsi="Arial"/>
        </w:rPr>
      </w:pPr>
    </w:p>
    <w:p w14:paraId="5ECAD6FE"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הנאשם בדברו האחרון הביע חרטה וטען שביצע את העבירות על רקע ילדותי. ציין כי הוא נעדר עבר פלילי וכי הסגיר את הנשק לחוקריו במהלך חקירתו.</w:t>
      </w:r>
    </w:p>
    <w:p w14:paraId="26A6B022" w14:textId="77777777" w:rsidR="003E0762" w:rsidRPr="001C6522" w:rsidRDefault="003E0762" w:rsidP="003E0762">
      <w:pPr>
        <w:jc w:val="both"/>
        <w:rPr>
          <w:rFonts w:ascii="Arial" w:hAnsi="Arial"/>
        </w:rPr>
      </w:pPr>
    </w:p>
    <w:p w14:paraId="63BFC45E" w14:textId="77777777" w:rsidR="003E0762" w:rsidRPr="001C6522" w:rsidRDefault="003E0762" w:rsidP="003E0762">
      <w:pPr>
        <w:spacing w:line="360" w:lineRule="auto"/>
        <w:jc w:val="both"/>
        <w:rPr>
          <w:rFonts w:ascii="Arial" w:hAnsi="Arial"/>
          <w:u w:val="single"/>
        </w:rPr>
      </w:pPr>
      <w:r w:rsidRPr="001C6522">
        <w:rPr>
          <w:rFonts w:ascii="Arial" w:hAnsi="Arial"/>
          <w:u w:val="single"/>
          <w:rtl/>
        </w:rPr>
        <w:t>דיון והכרעה:</w:t>
      </w:r>
    </w:p>
    <w:p w14:paraId="4EDD36F2" w14:textId="77777777" w:rsidR="003E0762" w:rsidRPr="001C6522" w:rsidRDefault="003E0762" w:rsidP="003E0762">
      <w:pPr>
        <w:spacing w:line="360" w:lineRule="auto"/>
        <w:jc w:val="both"/>
        <w:rPr>
          <w:rFonts w:ascii="Arial" w:hAnsi="Arial"/>
          <w:u w:val="single"/>
          <w:rtl/>
        </w:rPr>
      </w:pPr>
      <w:r w:rsidRPr="001C6522">
        <w:rPr>
          <w:rFonts w:ascii="Arial" w:hAnsi="Arial"/>
          <w:u w:val="single"/>
          <w:rtl/>
        </w:rPr>
        <w:t>האישום הראשון - עבירות התפרעות והיזק בזדון</w:t>
      </w:r>
    </w:p>
    <w:p w14:paraId="1791B1DE" w14:textId="77777777" w:rsidR="003E0762" w:rsidRDefault="003E0762" w:rsidP="003E0762">
      <w:pPr>
        <w:numPr>
          <w:ilvl w:val="0"/>
          <w:numId w:val="1"/>
        </w:numPr>
        <w:spacing w:line="360" w:lineRule="auto"/>
        <w:jc w:val="both"/>
        <w:rPr>
          <w:rFonts w:ascii="Arial" w:hAnsi="Arial"/>
        </w:rPr>
      </w:pPr>
      <w:r w:rsidRPr="001C6522">
        <w:rPr>
          <w:rFonts w:ascii="Arial" w:hAnsi="Arial"/>
          <w:rtl/>
        </w:rPr>
        <w:lastRenderedPageBreak/>
        <w:t>הערכים המוגנים העומדים ביסוד עבירות ההתפרעות וההיזק בזדון הינם שמירה על שלטון החוק והסדר הציבורי, שלום הציבור ובטחונו, שמירה על הרכוש ובמקרה זה גם חופש התנועה. בנסיבות מקרה זה: עיתוי ואופי ההתפרעות במהלך "מבצע שומר חומות"; חסימת עורקי תנועה בינעירוניים; זריקת אבנים לעבר רמזורים וגרימת נזק לאותם רמזורים; השתתפותו של הנאשם בשני אירועים דומים והעובדה שהנאשם השתתף בהתפרעות בפנים מוסתרות. מצאתי כי הפגיעה בערכים המוגנים היא ברף הבינוני. לעבירות התפרעות המון ולמשקל שיש לתת גם למועד בו התרחשו, בפרט על רקע "מבצע שומר חומות", התייחס בית המשפט העליון לאחרונה ב</w:t>
      </w:r>
      <w:hyperlink r:id="rId27" w:history="1">
        <w:r w:rsidR="00D9188F" w:rsidRPr="00D9188F">
          <w:rPr>
            <w:rFonts w:ascii="Arial" w:hAnsi="Arial"/>
            <w:color w:val="0000FF"/>
            <w:u w:val="single"/>
            <w:rtl/>
          </w:rPr>
          <w:t>ע"פ 901/22</w:t>
        </w:r>
      </w:hyperlink>
      <w:r w:rsidRPr="001C6522">
        <w:rPr>
          <w:rFonts w:ascii="Arial" w:hAnsi="Arial"/>
          <w:rtl/>
        </w:rPr>
        <w:t xml:space="preserve"> </w:t>
      </w:r>
      <w:r w:rsidRPr="001C6522">
        <w:rPr>
          <w:rFonts w:ascii="Arial" w:hAnsi="Arial"/>
          <w:b/>
          <w:bCs/>
          <w:rtl/>
        </w:rPr>
        <w:t>מדינת ישראל נ' אסווד</w:t>
      </w:r>
      <w:r w:rsidRPr="001C6522">
        <w:rPr>
          <w:rFonts w:ascii="Arial" w:hAnsi="Arial"/>
          <w:rtl/>
        </w:rPr>
        <w:t xml:space="preserve"> (נבו 24.02.2022):</w:t>
      </w:r>
    </w:p>
    <w:p w14:paraId="4B613DDB" w14:textId="77777777" w:rsidR="003E0762" w:rsidRPr="001C6522" w:rsidRDefault="003E0762" w:rsidP="003E0762">
      <w:pPr>
        <w:jc w:val="both"/>
        <w:rPr>
          <w:rFonts w:ascii="Arial" w:hAnsi="Arial"/>
        </w:rPr>
      </w:pPr>
    </w:p>
    <w:p w14:paraId="6C8EDAD7" w14:textId="77777777" w:rsidR="003E0762" w:rsidRPr="001C6522" w:rsidRDefault="003E0762" w:rsidP="003E0762">
      <w:pPr>
        <w:spacing w:line="360" w:lineRule="auto"/>
        <w:ind w:left="850" w:right="850"/>
        <w:jc w:val="both"/>
        <w:rPr>
          <w:rFonts w:ascii="FrankRuehl" w:hAnsi="FrankRuehl" w:cs="FrankRuehl"/>
          <w:sz w:val="26"/>
          <w:szCs w:val="26"/>
          <w:rtl/>
        </w:rPr>
      </w:pPr>
      <w:r w:rsidRPr="001C6522">
        <w:rPr>
          <w:rFonts w:ascii="FrankRuehl" w:hAnsi="FrankRuehl" w:cs="FrankRuehl"/>
          <w:sz w:val="26"/>
          <w:szCs w:val="26"/>
          <w:rtl/>
        </w:rPr>
        <w:t>"[...]בית משפט זה עמד לא אחת על החומרה הגלומה בעבירות התפרעויות המונים,</w:t>
      </w:r>
      <w:r w:rsidR="00D9188F">
        <w:rPr>
          <w:rFonts w:ascii="FrankRuehl" w:hAnsi="FrankRuehl" w:cs="FrankRuehl"/>
          <w:sz w:val="26"/>
          <w:szCs w:val="26"/>
          <w:rtl/>
        </w:rPr>
        <w:t xml:space="preserve"> </w:t>
      </w:r>
      <w:r w:rsidRPr="001C6522">
        <w:rPr>
          <w:rFonts w:ascii="FrankRuehl" w:hAnsi="FrankRuehl" w:cs="FrankRuehl"/>
          <w:sz w:val="26"/>
          <w:szCs w:val="26"/>
          <w:rtl/>
        </w:rPr>
        <w:t>אשר מציבות סכנה ישירה וממשית לחיי אדם, ואף עלולות להוביל לפגיעות רציניות בגוף ורכוש. לפיכך, נקבע כי יש לנקוט במדיניות ענישה אשר תרתיע ותרסן התפרעויות העלולות לסחוף המון רב ולצאת מגדר שליטה (</w:t>
      </w:r>
      <w:hyperlink r:id="rId28" w:history="1">
        <w:r w:rsidR="00D9188F" w:rsidRPr="00D9188F">
          <w:rPr>
            <w:rFonts w:ascii="FrankRuehl" w:hAnsi="FrankRuehl" w:cs="FrankRuehl"/>
            <w:color w:val="0000FF"/>
            <w:sz w:val="26"/>
            <w:szCs w:val="26"/>
            <w:u w:val="single"/>
            <w:rtl/>
          </w:rPr>
          <w:t>ע"פ 7211/04</w:t>
        </w:r>
      </w:hyperlink>
      <w:r w:rsidR="00D9188F">
        <w:rPr>
          <w:rFonts w:ascii="FrankRuehl" w:hAnsi="FrankRuehl" w:cs="FrankRuehl"/>
          <w:sz w:val="26"/>
          <w:szCs w:val="26"/>
          <w:rtl/>
        </w:rPr>
        <w:t xml:space="preserve"> </w:t>
      </w:r>
      <w:r w:rsidRPr="00F9631C">
        <w:rPr>
          <w:rFonts w:ascii="FrankRuehl" w:hAnsi="FrankRuehl" w:cs="Miriam"/>
          <w:rtl/>
        </w:rPr>
        <w:t>מדינת ישראל נ' פלוני</w:t>
      </w:r>
      <w:r w:rsidRPr="001C6522">
        <w:rPr>
          <w:rFonts w:ascii="FrankRuehl" w:hAnsi="FrankRuehl" w:cs="Miriam"/>
          <w:sz w:val="26"/>
          <w:szCs w:val="26"/>
          <w:rtl/>
        </w:rPr>
        <w:t>,</w:t>
      </w:r>
      <w:r w:rsidRPr="001C6522">
        <w:rPr>
          <w:rFonts w:ascii="FrankRuehl" w:hAnsi="FrankRuehl" w:cs="FrankRuehl"/>
          <w:sz w:val="26"/>
          <w:szCs w:val="26"/>
          <w:rtl/>
        </w:rPr>
        <w:t xml:space="preserve"> פסקה 10 לפסק דינה של השופטת</w:t>
      </w:r>
      <w:r w:rsidR="00D9188F">
        <w:rPr>
          <w:rFonts w:ascii="FrankRuehl" w:hAnsi="FrankRuehl" w:cs="FrankRuehl"/>
          <w:sz w:val="26"/>
          <w:szCs w:val="26"/>
          <w:rtl/>
        </w:rPr>
        <w:t xml:space="preserve"> </w:t>
      </w:r>
      <w:r w:rsidRPr="00F9631C">
        <w:rPr>
          <w:rFonts w:ascii="FrankRuehl" w:hAnsi="FrankRuehl" w:cs="Miriam"/>
          <w:rtl/>
        </w:rPr>
        <w:t>א'</w:t>
      </w:r>
      <w:r w:rsidRPr="00F9631C">
        <w:rPr>
          <w:rFonts w:ascii="FrankRuehl" w:hAnsi="FrankRuehl" w:cs="Miriam" w:hint="cs"/>
          <w:rtl/>
        </w:rPr>
        <w:t xml:space="preserve"> </w:t>
      </w:r>
      <w:r w:rsidRPr="00F9631C">
        <w:rPr>
          <w:rFonts w:ascii="FrankRuehl" w:hAnsi="FrankRuehl" w:cs="Miriam"/>
          <w:rtl/>
        </w:rPr>
        <w:t>פרוקציה</w:t>
      </w:r>
      <w:r w:rsidR="00D9188F">
        <w:rPr>
          <w:rFonts w:ascii="FrankRuehl" w:hAnsi="FrankRuehl" w:cs="FrankRuehl"/>
          <w:rtl/>
        </w:rPr>
        <w:t xml:space="preserve"> </w:t>
      </w:r>
      <w:r w:rsidRPr="001C6522">
        <w:rPr>
          <w:rFonts w:ascii="FrankRuehl" w:hAnsi="FrankRuehl" w:cs="FrankRuehl"/>
          <w:sz w:val="26"/>
          <w:szCs w:val="26"/>
          <w:rtl/>
        </w:rPr>
        <w:t>[פורסם בנבו]</w:t>
      </w:r>
      <w:r w:rsidR="00D9188F">
        <w:rPr>
          <w:rFonts w:ascii="FrankRuehl" w:hAnsi="FrankRuehl" w:cs="FrankRuehl"/>
          <w:sz w:val="26"/>
          <w:szCs w:val="26"/>
          <w:rtl/>
        </w:rPr>
        <w:t xml:space="preserve"> </w:t>
      </w:r>
      <w:r w:rsidRPr="001C6522">
        <w:rPr>
          <w:rFonts w:ascii="FrankRuehl" w:hAnsi="FrankRuehl" w:cs="FrankRuehl"/>
          <w:sz w:val="26"/>
          <w:szCs w:val="26"/>
          <w:rtl/>
        </w:rPr>
        <w:t>(13.3.2006)).</w:t>
      </w:r>
      <w:r w:rsidR="00D9188F">
        <w:rPr>
          <w:rFonts w:ascii="FrankRuehl" w:hAnsi="FrankRuehl" w:cs="FrankRuehl"/>
          <w:sz w:val="26"/>
          <w:szCs w:val="26"/>
          <w:rtl/>
        </w:rPr>
        <w:t xml:space="preserve"> </w:t>
      </w:r>
      <w:r w:rsidRPr="001C6522">
        <w:rPr>
          <w:rFonts w:ascii="FrankRuehl" w:hAnsi="FrankRuehl" w:cs="FrankRuehl"/>
          <w:sz w:val="26"/>
          <w:szCs w:val="26"/>
          <w:rtl/>
        </w:rPr>
        <w:t>עמד על כך בית משפט זה בפרשה אחרת:</w:t>
      </w:r>
    </w:p>
    <w:p w14:paraId="3F6E539B" w14:textId="77777777" w:rsidR="003E0762" w:rsidRPr="001C6522" w:rsidRDefault="003E0762" w:rsidP="003E0762">
      <w:pPr>
        <w:ind w:left="850" w:right="850"/>
        <w:jc w:val="both"/>
        <w:rPr>
          <w:rFonts w:ascii="FrankRuehl" w:hAnsi="FrankRuehl" w:cs="FrankRuehl"/>
          <w:sz w:val="26"/>
          <w:szCs w:val="26"/>
          <w:rtl/>
        </w:rPr>
      </w:pPr>
    </w:p>
    <w:p w14:paraId="068A3190" w14:textId="77777777" w:rsidR="003E0762" w:rsidRDefault="003E0762" w:rsidP="003E0762">
      <w:pPr>
        <w:spacing w:line="360" w:lineRule="auto"/>
        <w:ind w:left="1417" w:right="1417"/>
        <w:jc w:val="both"/>
        <w:rPr>
          <w:rFonts w:ascii="FrankRuehl" w:hAnsi="FrankRuehl" w:cs="FrankRuehl"/>
          <w:sz w:val="26"/>
          <w:szCs w:val="26"/>
          <w:rtl/>
        </w:rPr>
      </w:pPr>
      <w:r w:rsidRPr="001C6522">
        <w:rPr>
          <w:rFonts w:ascii="FrankRuehl" w:hAnsi="FrankRuehl"/>
          <w:sz w:val="26"/>
          <w:szCs w:val="26"/>
          <w:rtl/>
        </w:rPr>
        <w:t>"</w:t>
      </w:r>
      <w:r w:rsidRPr="001C6522">
        <w:rPr>
          <w:rFonts w:ascii="FrankRuehl" w:hAnsi="FrankRuehl" w:cs="FrankRuehl"/>
          <w:sz w:val="26"/>
          <w:szCs w:val="26"/>
          <w:rtl/>
        </w:rPr>
        <w:t>התפרעויות של המונים בכלל ועל רקע לאומני בפרט, צריכות לזכות לתגובה עונשית קשה וכואבת, יהיה מוצאם של המתפרעים אשר יהיה. כך נוהגת מדינת חוק, וכך זכאים לצפות כל הבאים בשעריו של בית המשפט" (</w:t>
      </w:r>
      <w:hyperlink r:id="rId29" w:history="1">
        <w:r w:rsidR="00D9188F" w:rsidRPr="00D9188F">
          <w:rPr>
            <w:rFonts w:ascii="FrankRuehl" w:hAnsi="FrankRuehl" w:cs="FrankRuehl"/>
            <w:color w:val="0000FF"/>
            <w:sz w:val="26"/>
            <w:szCs w:val="26"/>
            <w:u w:val="single"/>
            <w:rtl/>
          </w:rPr>
          <w:t>ע"פ 2285/05</w:t>
        </w:r>
      </w:hyperlink>
      <w:r w:rsidR="00D9188F">
        <w:rPr>
          <w:rFonts w:ascii="FrankRuehl" w:hAnsi="FrankRuehl" w:cs="FrankRuehl"/>
          <w:sz w:val="26"/>
          <w:szCs w:val="26"/>
          <w:rtl/>
        </w:rPr>
        <w:t xml:space="preserve"> </w:t>
      </w:r>
      <w:r w:rsidRPr="001C6522">
        <w:rPr>
          <w:rFonts w:ascii="FrankRuehl" w:hAnsi="FrankRuehl" w:cs="FrankRuehl"/>
          <w:sz w:val="26"/>
          <w:szCs w:val="26"/>
          <w:rtl/>
        </w:rPr>
        <w:t>מדינת ישראל נ' חמד, פסקה 7</w:t>
      </w:r>
      <w:r w:rsidR="00D9188F">
        <w:rPr>
          <w:rFonts w:ascii="FrankRuehl" w:hAnsi="FrankRuehl" w:cs="FrankRuehl"/>
          <w:sz w:val="26"/>
          <w:szCs w:val="26"/>
          <w:rtl/>
        </w:rPr>
        <w:t xml:space="preserve"> </w:t>
      </w:r>
      <w:r w:rsidRPr="001C6522">
        <w:rPr>
          <w:rFonts w:ascii="FrankRuehl" w:hAnsi="FrankRuehl" w:cs="FrankRuehl"/>
          <w:sz w:val="26"/>
          <w:szCs w:val="26"/>
          <w:rtl/>
        </w:rPr>
        <w:t>[פורסם בנבו]</w:t>
      </w:r>
      <w:r w:rsidR="00D9188F">
        <w:rPr>
          <w:rFonts w:ascii="FrankRuehl" w:hAnsi="FrankRuehl" w:cs="FrankRuehl"/>
          <w:sz w:val="26"/>
          <w:szCs w:val="26"/>
          <w:rtl/>
        </w:rPr>
        <w:t xml:space="preserve"> </w:t>
      </w:r>
      <w:r w:rsidRPr="001C6522">
        <w:rPr>
          <w:rFonts w:ascii="FrankRuehl" w:hAnsi="FrankRuehl" w:cs="FrankRuehl"/>
          <w:sz w:val="26"/>
          <w:szCs w:val="26"/>
          <w:rtl/>
        </w:rPr>
        <w:t>(5.12.2005) (להלן: עניין</w:t>
      </w:r>
      <w:r w:rsidR="00D9188F">
        <w:rPr>
          <w:rFonts w:ascii="FrankRuehl" w:hAnsi="FrankRuehl" w:cs="FrankRuehl"/>
          <w:sz w:val="26"/>
          <w:szCs w:val="26"/>
          <w:rtl/>
        </w:rPr>
        <w:t xml:space="preserve"> </w:t>
      </w:r>
      <w:r w:rsidRPr="001C6522">
        <w:rPr>
          <w:rFonts w:ascii="FrankRuehl" w:hAnsi="FrankRuehl" w:cs="FrankRuehl"/>
          <w:sz w:val="26"/>
          <w:szCs w:val="26"/>
          <w:rtl/>
        </w:rPr>
        <w:t>חמד))[...]</w:t>
      </w:r>
    </w:p>
    <w:p w14:paraId="7E9C0307" w14:textId="77777777" w:rsidR="003E0762" w:rsidRPr="001C6522" w:rsidRDefault="003E0762" w:rsidP="003E0762">
      <w:pPr>
        <w:ind w:left="1417" w:right="1417"/>
        <w:jc w:val="both"/>
        <w:rPr>
          <w:rFonts w:ascii="FrankRuehl" w:hAnsi="FrankRuehl" w:cs="FrankRuehl"/>
          <w:sz w:val="26"/>
          <w:szCs w:val="26"/>
        </w:rPr>
      </w:pPr>
    </w:p>
    <w:p w14:paraId="422D19B5" w14:textId="77777777" w:rsidR="003E0762" w:rsidRPr="001C6522" w:rsidRDefault="003E0762" w:rsidP="003E0762">
      <w:pPr>
        <w:spacing w:line="360" w:lineRule="auto"/>
        <w:ind w:left="850" w:right="850"/>
        <w:jc w:val="both"/>
        <w:rPr>
          <w:rFonts w:ascii="FrankRuehl" w:hAnsi="FrankRuehl" w:cs="FrankRuehl"/>
          <w:sz w:val="26"/>
          <w:szCs w:val="26"/>
          <w:rtl/>
        </w:rPr>
      </w:pPr>
      <w:r w:rsidRPr="001C6522">
        <w:rPr>
          <w:rFonts w:ascii="FrankRuehl" w:hAnsi="FrankRuehl" w:cs="FrankRuehl"/>
          <w:sz w:val="26"/>
          <w:szCs w:val="26"/>
          <w:rtl/>
        </w:rPr>
        <w:t>[...] במצבים אלה, אחריותו של המשיב אינה נקבעת אך על פי תרומתו הישירה לאירוע, אלא מתוך ראיה רחבה יותר של מטרתו המשותפת של ההמון שהוא היה חלק ממנו (</w:t>
      </w:r>
      <w:hyperlink r:id="rId30" w:history="1">
        <w:r w:rsidR="00D9188F" w:rsidRPr="00D9188F">
          <w:rPr>
            <w:rFonts w:ascii="FrankRuehl" w:hAnsi="FrankRuehl" w:cs="FrankRuehl"/>
            <w:color w:val="0000FF"/>
            <w:sz w:val="26"/>
            <w:szCs w:val="26"/>
            <w:u w:val="single"/>
            <w:rtl/>
          </w:rPr>
          <w:t>ע"פ 10423/07</w:t>
        </w:r>
      </w:hyperlink>
      <w:r w:rsidR="00D9188F">
        <w:rPr>
          <w:rFonts w:ascii="FrankRuehl" w:hAnsi="FrankRuehl" w:cs="FrankRuehl"/>
          <w:sz w:val="26"/>
          <w:szCs w:val="26"/>
        </w:rPr>
        <w:t xml:space="preserve"> </w:t>
      </w:r>
      <w:r w:rsidRPr="00F9631C">
        <w:rPr>
          <w:rFonts w:ascii="FrankRuehl" w:hAnsi="FrankRuehl" w:cs="Miriam"/>
          <w:rtl/>
        </w:rPr>
        <w:t>מדינת ישראל נ' סיטר</w:t>
      </w:r>
      <w:r w:rsidRPr="00F9631C">
        <w:rPr>
          <w:rFonts w:ascii="FrankRuehl" w:hAnsi="FrankRuehl" w:cs="Miriam" w:hint="cs"/>
          <w:rtl/>
        </w:rPr>
        <w:t>ין</w:t>
      </w:r>
      <w:r w:rsidRPr="001C6522">
        <w:rPr>
          <w:rFonts w:ascii="FrankRuehl" w:hAnsi="FrankRuehl" w:cs="Miriam" w:hint="cs"/>
          <w:sz w:val="26"/>
          <w:szCs w:val="26"/>
          <w:rtl/>
        </w:rPr>
        <w:t>,</w:t>
      </w:r>
      <w:r w:rsidRPr="001C6522">
        <w:rPr>
          <w:rFonts w:ascii="FrankRuehl" w:hAnsi="FrankRuehl" w:cs="FrankRuehl"/>
          <w:sz w:val="26"/>
          <w:szCs w:val="26"/>
        </w:rPr>
        <w:t xml:space="preserve"> </w:t>
      </w:r>
      <w:r w:rsidRPr="001C6522">
        <w:rPr>
          <w:rFonts w:ascii="FrankRuehl" w:hAnsi="FrankRuehl" w:cs="FrankRuehl"/>
          <w:sz w:val="26"/>
          <w:szCs w:val="26"/>
          <w:rtl/>
        </w:rPr>
        <w:t>פסקה 11</w:t>
      </w:r>
      <w:r w:rsidR="00D9188F">
        <w:rPr>
          <w:rFonts w:ascii="FrankRuehl" w:hAnsi="FrankRuehl" w:cs="FrankRuehl"/>
          <w:sz w:val="26"/>
          <w:szCs w:val="26"/>
          <w:rtl/>
        </w:rPr>
        <w:t xml:space="preserve"> </w:t>
      </w:r>
      <w:r w:rsidRPr="001C6522">
        <w:rPr>
          <w:rFonts w:ascii="FrankRuehl" w:hAnsi="FrankRuehl" w:cs="FrankRuehl"/>
          <w:sz w:val="26"/>
          <w:szCs w:val="26"/>
        </w:rPr>
        <w:t>]</w:t>
      </w:r>
      <w:r w:rsidRPr="001C6522">
        <w:rPr>
          <w:rFonts w:ascii="FrankRuehl" w:hAnsi="FrankRuehl" w:cs="FrankRuehl"/>
          <w:sz w:val="26"/>
          <w:szCs w:val="26"/>
          <w:rtl/>
        </w:rPr>
        <w:t>פורסם בנבו</w:t>
      </w:r>
      <w:r w:rsidR="00D9188F">
        <w:rPr>
          <w:rFonts w:ascii="FrankRuehl" w:hAnsi="FrankRuehl" w:cs="FrankRuehl"/>
          <w:sz w:val="26"/>
          <w:szCs w:val="26"/>
        </w:rPr>
        <w:t xml:space="preserve"> </w:t>
      </w:r>
      <w:r w:rsidRPr="001C6522">
        <w:rPr>
          <w:rFonts w:ascii="FrankRuehl" w:hAnsi="FrankRuehl" w:cs="FrankRuehl"/>
          <w:sz w:val="26"/>
          <w:szCs w:val="26"/>
        </w:rPr>
        <w:t>(11.6.2008) [</w:t>
      </w:r>
      <w:r w:rsidRPr="001C6522">
        <w:rPr>
          <w:rFonts w:ascii="FrankRuehl" w:hAnsi="FrankRuehl" w:cs="FrankRuehl"/>
          <w:sz w:val="26"/>
          <w:szCs w:val="26"/>
          <w:rtl/>
        </w:rPr>
        <w:t>; עניין</w:t>
      </w:r>
      <w:r w:rsidR="00D9188F">
        <w:rPr>
          <w:rFonts w:ascii="FrankRuehl" w:hAnsi="FrankRuehl" w:cs="FrankRuehl"/>
          <w:sz w:val="26"/>
          <w:szCs w:val="26"/>
          <w:rtl/>
        </w:rPr>
        <w:t xml:space="preserve"> </w:t>
      </w:r>
      <w:r w:rsidRPr="001C6522">
        <w:rPr>
          <w:rFonts w:ascii="FrankRuehl" w:hAnsi="FrankRuehl" w:cs="FrankRuehl"/>
          <w:sz w:val="26"/>
          <w:szCs w:val="26"/>
          <w:rtl/>
        </w:rPr>
        <w:t>חמד</w:t>
      </w:r>
      <w:r w:rsidRPr="001C6522">
        <w:rPr>
          <w:rFonts w:ascii="FrankRuehl" w:hAnsi="FrankRuehl" w:cs="FrankRuehl"/>
          <w:sz w:val="26"/>
          <w:szCs w:val="26"/>
        </w:rPr>
        <w:t xml:space="preserve">, </w:t>
      </w:r>
      <w:r w:rsidRPr="001C6522">
        <w:rPr>
          <w:rFonts w:ascii="FrankRuehl" w:hAnsi="FrankRuehl" w:cs="FrankRuehl"/>
          <w:sz w:val="26"/>
          <w:szCs w:val="26"/>
          <w:rtl/>
        </w:rPr>
        <w:t>פסקה 5</w:t>
      </w:r>
      <w:r w:rsidRPr="001C6522">
        <w:rPr>
          <w:rFonts w:ascii="FrankRuehl" w:hAnsi="FrankRuehl" w:cs="FrankRuehl"/>
          <w:sz w:val="26"/>
          <w:szCs w:val="26"/>
        </w:rPr>
        <w:t>;</w:t>
      </w:r>
      <w:r w:rsidRPr="001C6522">
        <w:rPr>
          <w:rFonts w:ascii="FrankRuehl" w:hAnsi="FrankRuehl" w:cs="FrankRuehl"/>
          <w:sz w:val="26"/>
          <w:szCs w:val="26"/>
          <w:rtl/>
        </w:rPr>
        <w:t xml:space="preserve"> </w:t>
      </w:r>
      <w:hyperlink r:id="rId31" w:history="1">
        <w:r w:rsidR="00D9188F" w:rsidRPr="00D9188F">
          <w:rPr>
            <w:rFonts w:ascii="FrankRuehl" w:hAnsi="FrankRuehl" w:cs="FrankRuehl"/>
            <w:color w:val="0000FF"/>
            <w:sz w:val="26"/>
            <w:szCs w:val="26"/>
            <w:u w:val="single"/>
            <w:rtl/>
          </w:rPr>
          <w:t>ע"פ 6569/05</w:t>
        </w:r>
      </w:hyperlink>
      <w:r w:rsidR="00D9188F">
        <w:rPr>
          <w:rFonts w:ascii="FrankRuehl" w:hAnsi="FrankRuehl" w:cs="FrankRuehl"/>
          <w:sz w:val="26"/>
          <w:szCs w:val="26"/>
        </w:rPr>
        <w:t xml:space="preserve"> </w:t>
      </w:r>
      <w:r w:rsidRPr="0011656C">
        <w:rPr>
          <w:rFonts w:ascii="FrankRuehl" w:hAnsi="FrankRuehl" w:cs="Miriam"/>
          <w:rtl/>
        </w:rPr>
        <w:t>אלעיש נ' מדינת ישר</w:t>
      </w:r>
      <w:r w:rsidRPr="0011656C">
        <w:rPr>
          <w:rFonts w:ascii="FrankRuehl" w:hAnsi="FrankRuehl" w:cs="Miriam" w:hint="cs"/>
          <w:rtl/>
        </w:rPr>
        <w:t>אל,</w:t>
      </w:r>
      <w:r w:rsidRPr="001C6522">
        <w:rPr>
          <w:rFonts w:ascii="FrankRuehl" w:hAnsi="FrankRuehl" w:cs="FrankRuehl"/>
          <w:sz w:val="26"/>
          <w:szCs w:val="26"/>
        </w:rPr>
        <w:t xml:space="preserve"> </w:t>
      </w:r>
      <w:r w:rsidRPr="001C6522">
        <w:rPr>
          <w:rFonts w:ascii="FrankRuehl" w:hAnsi="FrankRuehl" w:cs="FrankRuehl"/>
          <w:sz w:val="26"/>
          <w:szCs w:val="26"/>
          <w:rtl/>
        </w:rPr>
        <w:t>פסקה יד</w:t>
      </w:r>
      <w:r w:rsidR="00D9188F">
        <w:rPr>
          <w:rFonts w:ascii="FrankRuehl" w:hAnsi="FrankRuehl" w:cs="FrankRuehl"/>
          <w:sz w:val="26"/>
          <w:szCs w:val="26"/>
          <w:rtl/>
        </w:rPr>
        <w:t xml:space="preserve"> </w:t>
      </w:r>
      <w:r w:rsidRPr="001C6522">
        <w:rPr>
          <w:rFonts w:ascii="FrankRuehl" w:hAnsi="FrankRuehl" w:cs="FrankRuehl"/>
          <w:sz w:val="26"/>
          <w:szCs w:val="26"/>
          <w:rtl/>
        </w:rPr>
        <w:t xml:space="preserve">[פורסם בנבו] </w:t>
      </w:r>
      <w:r w:rsidRPr="001C6522">
        <w:rPr>
          <w:rFonts w:ascii="FrankRuehl" w:hAnsi="FrankRuehl" w:cs="FrankRuehl"/>
          <w:sz w:val="26"/>
          <w:szCs w:val="26"/>
        </w:rPr>
        <w:t xml:space="preserve"> (24.7.2006)</w:t>
      </w:r>
      <w:r w:rsidRPr="001C6522">
        <w:rPr>
          <w:rFonts w:ascii="FrankRuehl" w:hAnsi="FrankRuehl" w:cs="FrankRuehl"/>
          <w:sz w:val="26"/>
          <w:szCs w:val="26"/>
          <w:rtl/>
        </w:rPr>
        <w:t>[...]</w:t>
      </w:r>
    </w:p>
    <w:p w14:paraId="573FF976" w14:textId="77777777" w:rsidR="003E0762" w:rsidRPr="001C6522" w:rsidRDefault="003E0762" w:rsidP="003E0762">
      <w:pPr>
        <w:ind w:left="850" w:right="850"/>
        <w:jc w:val="both"/>
        <w:rPr>
          <w:rFonts w:ascii="FrankRuehl" w:hAnsi="FrankRuehl" w:cs="FrankRuehl"/>
          <w:sz w:val="26"/>
          <w:szCs w:val="26"/>
          <w:rtl/>
        </w:rPr>
      </w:pPr>
    </w:p>
    <w:p w14:paraId="4C52135C" w14:textId="77777777" w:rsidR="003E0762" w:rsidRPr="001C6522" w:rsidRDefault="003E0762" w:rsidP="003E0762">
      <w:pPr>
        <w:spacing w:line="360" w:lineRule="auto"/>
        <w:ind w:left="850" w:right="850"/>
        <w:jc w:val="both"/>
        <w:rPr>
          <w:rFonts w:ascii="FrankRuehl" w:hAnsi="FrankRuehl" w:cs="FrankRuehl"/>
          <w:sz w:val="26"/>
          <w:szCs w:val="26"/>
          <w:rtl/>
        </w:rPr>
      </w:pPr>
      <w:r w:rsidRPr="001C6522">
        <w:rPr>
          <w:rFonts w:ascii="FrankRuehl" w:hAnsi="FrankRuehl" w:cs="FrankRuehl"/>
          <w:sz w:val="26"/>
          <w:szCs w:val="26"/>
          <w:rtl/>
        </w:rPr>
        <w:t>[...]</w:t>
      </w:r>
      <w:r w:rsidRPr="001C6522">
        <w:rPr>
          <w:rFonts w:ascii="FrankRuehl" w:hAnsi="FrankRuehl" w:cs="FrankRuehl" w:hint="cs"/>
          <w:sz w:val="26"/>
          <w:szCs w:val="26"/>
          <w:rtl/>
        </w:rPr>
        <w:t xml:space="preserve"> </w:t>
      </w:r>
      <w:r w:rsidRPr="001C6522">
        <w:rPr>
          <w:rFonts w:ascii="FrankRuehl" w:hAnsi="FrankRuehl" w:cs="FrankRuehl"/>
          <w:sz w:val="26"/>
          <w:szCs w:val="26"/>
          <w:rtl/>
        </w:rPr>
        <w:t>יש מקום ליתן משקל מתאים גם לפרק הזמן שבו נעברו העבירות, במהלכו הייתה האוכלוסיה האזרחית נתונה למתקפה של אלפי רקטות, כפי שמתואר בכתב האישום המתוקן, ובמקביל התעורר גל של הפרות סדר והתפרעויות אלימות, שכלל תקיפת כוחות הביטחון, כמו גם תקיפת אזרחים יהודים וערבים. גם בכך יש להקרין גם על אפיוני החומרה של ההתפרעות והעבירות האחרות שבוצעו ממניע של גזענות</w:t>
      </w:r>
      <w:r w:rsidRPr="001C6522">
        <w:rPr>
          <w:rFonts w:ascii="FrankRuehl" w:hAnsi="FrankRuehl" w:cs="FrankRuehl"/>
          <w:sz w:val="26"/>
          <w:szCs w:val="26"/>
        </w:rPr>
        <w:t>.</w:t>
      </w:r>
      <w:r w:rsidRPr="001C6522">
        <w:rPr>
          <w:rFonts w:ascii="FrankRuehl" w:hAnsi="FrankRuehl"/>
          <w:sz w:val="26"/>
          <w:szCs w:val="26"/>
          <w:rtl/>
        </w:rPr>
        <w:t>"</w:t>
      </w:r>
    </w:p>
    <w:p w14:paraId="03BD950E" w14:textId="77777777" w:rsidR="003E0762" w:rsidRPr="001C6522" w:rsidRDefault="003E0762" w:rsidP="003E0762">
      <w:pPr>
        <w:ind w:left="850" w:right="850"/>
        <w:jc w:val="both"/>
        <w:rPr>
          <w:rFonts w:ascii="FrankRuehl" w:hAnsi="FrankRuehl" w:cs="FrankRuehl"/>
          <w:rtl/>
        </w:rPr>
      </w:pPr>
    </w:p>
    <w:p w14:paraId="1B0BEB64"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בחינת הפסיקה הנוהגת מעלה כי מדיניות הענישה בעבירה של התפרעות והיזק בזדון, שנעברו בעת מבצע "שומר חומות", כוללת עונשי מאסר ממושכים:</w:t>
      </w:r>
    </w:p>
    <w:p w14:paraId="335222BC" w14:textId="77777777" w:rsidR="003E0762" w:rsidRPr="001C6522" w:rsidRDefault="003E0762" w:rsidP="003E0762">
      <w:pPr>
        <w:jc w:val="both"/>
        <w:rPr>
          <w:rFonts w:ascii="Arial" w:hAnsi="Arial"/>
          <w:rtl/>
        </w:rPr>
      </w:pPr>
    </w:p>
    <w:p w14:paraId="710B641B" w14:textId="77777777" w:rsidR="003E0762" w:rsidRDefault="003E0762" w:rsidP="003E0762">
      <w:pPr>
        <w:numPr>
          <w:ilvl w:val="1"/>
          <w:numId w:val="1"/>
        </w:numPr>
        <w:spacing w:line="360" w:lineRule="auto"/>
        <w:jc w:val="both"/>
        <w:rPr>
          <w:rFonts w:ascii="Arial" w:hAnsi="Arial"/>
        </w:rPr>
      </w:pPr>
      <w:r w:rsidRPr="001C6522">
        <w:rPr>
          <w:rFonts w:ascii="Arial" w:hAnsi="Arial"/>
          <w:rtl/>
        </w:rPr>
        <w:t>בעניין אסווד, לעיל – המשיב לקח חלק בשני אירועי התפרעות במהלך "מבצע שומר חומות" בעיר עכו. אירוע ראשון בבית מלון שהוצת וכתוצאה מכך נגרם מותו של אדם וכן נזק רב לרכוש, יובהר כי למשיב לא יוחסה עבירת ההצתה. באירוע השני השתתף המשיב בהתפרעות בזמן שאחרים באותה התפרעות יידו אבנים לעבר שוטרים. בית המשפט המחוזי גזר את דינו לשניים עשר חודשי מאסר בפועל, מאסר על תנאי וקנס. בית המשפט העליון העמיד את העונש על עשרים ושניים חודשי מאסר בפועל.</w:t>
      </w:r>
    </w:p>
    <w:p w14:paraId="5D0C4988" w14:textId="77777777" w:rsidR="003E0762" w:rsidRPr="001C6522" w:rsidRDefault="003E0762" w:rsidP="003E0762">
      <w:pPr>
        <w:jc w:val="both"/>
        <w:rPr>
          <w:rFonts w:ascii="Arial" w:hAnsi="Arial"/>
        </w:rPr>
      </w:pPr>
    </w:p>
    <w:p w14:paraId="3B6DCBA3" w14:textId="77777777" w:rsidR="003E0762" w:rsidRDefault="00D9188F" w:rsidP="003E0762">
      <w:pPr>
        <w:numPr>
          <w:ilvl w:val="1"/>
          <w:numId w:val="1"/>
        </w:numPr>
        <w:spacing w:line="360" w:lineRule="auto"/>
        <w:jc w:val="both"/>
        <w:rPr>
          <w:rFonts w:ascii="Arial" w:hAnsi="Arial"/>
        </w:rPr>
      </w:pPr>
      <w:hyperlink r:id="rId32" w:history="1">
        <w:r w:rsidRPr="00D9188F">
          <w:rPr>
            <w:rFonts w:ascii="Arial" w:hAnsi="Arial"/>
            <w:color w:val="0000FF"/>
            <w:u w:val="single"/>
            <w:rtl/>
          </w:rPr>
          <w:t>עפ"ג (מחוזי חי') 26952-04-22</w:t>
        </w:r>
      </w:hyperlink>
      <w:r w:rsidR="003E0762" w:rsidRPr="001C6522">
        <w:rPr>
          <w:rFonts w:ascii="Arial" w:hAnsi="Arial"/>
          <w:rtl/>
        </w:rPr>
        <w:t xml:space="preserve"> </w:t>
      </w:r>
      <w:r w:rsidR="003E0762" w:rsidRPr="001C6522">
        <w:rPr>
          <w:rFonts w:ascii="Arial" w:hAnsi="Arial"/>
          <w:b/>
          <w:bCs/>
          <w:rtl/>
        </w:rPr>
        <w:t>מדינת ישראל נ' אנטקלי</w:t>
      </w:r>
      <w:r w:rsidR="003E0762" w:rsidRPr="001C6522">
        <w:rPr>
          <w:rFonts w:ascii="Arial" w:hAnsi="Arial"/>
          <w:rtl/>
        </w:rPr>
        <w:t xml:space="preserve"> (נבו 09.05.2022) – המשיב השתתף בהתפרעויות אלימות בעיר עכו, במהלך "מבצע שומר חומות", במסגרתן זרק אבנים לעבר שוטרים. בית המשפט השלום דן את המשיב לשמונה חודשי מאסר בפועל. בערעור על גזר הדין, בית המשפט המחוזי העמיד את עונשו על ארבעה עשר חודשי מאסר בפועל.</w:t>
      </w:r>
    </w:p>
    <w:p w14:paraId="7E29EEE6" w14:textId="77777777" w:rsidR="003E0762" w:rsidRPr="001C6522" w:rsidRDefault="003E0762" w:rsidP="003E0762">
      <w:pPr>
        <w:jc w:val="both"/>
        <w:rPr>
          <w:rFonts w:ascii="Arial" w:hAnsi="Arial"/>
        </w:rPr>
      </w:pPr>
    </w:p>
    <w:p w14:paraId="29BEE0B9" w14:textId="77777777" w:rsidR="003E0762" w:rsidRPr="001C6522" w:rsidRDefault="00D9188F" w:rsidP="003E0762">
      <w:pPr>
        <w:numPr>
          <w:ilvl w:val="1"/>
          <w:numId w:val="1"/>
        </w:numPr>
        <w:spacing w:line="360" w:lineRule="auto"/>
        <w:jc w:val="both"/>
        <w:rPr>
          <w:rFonts w:ascii="Arial" w:hAnsi="Arial"/>
        </w:rPr>
      </w:pPr>
      <w:hyperlink r:id="rId33" w:history="1">
        <w:r w:rsidRPr="00D9188F">
          <w:rPr>
            <w:rFonts w:ascii="Arial" w:hAnsi="Arial"/>
            <w:color w:val="0000FF"/>
            <w:u w:val="single"/>
            <w:rtl/>
          </w:rPr>
          <w:t>עפ"ג (מחוזי חי') 26998-04-22</w:t>
        </w:r>
      </w:hyperlink>
      <w:r w:rsidR="003E0762" w:rsidRPr="001C6522">
        <w:rPr>
          <w:rFonts w:ascii="Arial" w:hAnsi="Arial"/>
          <w:rtl/>
        </w:rPr>
        <w:t xml:space="preserve"> </w:t>
      </w:r>
      <w:r w:rsidR="003E0762" w:rsidRPr="001C6522">
        <w:rPr>
          <w:rFonts w:ascii="Arial" w:hAnsi="Arial"/>
          <w:b/>
          <w:bCs/>
          <w:rtl/>
        </w:rPr>
        <w:t>מדינת ישראל נ' אבו היג'א</w:t>
      </w:r>
      <w:r w:rsidR="003E0762" w:rsidRPr="001C6522">
        <w:rPr>
          <w:rFonts w:ascii="Arial" w:hAnsi="Arial"/>
          <w:rtl/>
        </w:rPr>
        <w:t xml:space="preserve"> (נבו 09.05.2022) – המשיב השתתף בהתפרעות אלימה ביישוב תמרה, במהלך "מבצע שומר חומות", כאשר הוא רעול פנים ובין היתר יידה אבנים, יחד עם אחרים, על ניידת משטרה. כשנעצר על ידי השוטרים ניסה לתקוף אותם ואיים עליהם. בית המשפט המחוזי העמיד את עונשו של המשיב על שישה עשר חודשי מאסר בפועל.</w:t>
      </w:r>
    </w:p>
    <w:p w14:paraId="1ABFD3BB" w14:textId="77777777" w:rsidR="003E0762" w:rsidRPr="001C6522" w:rsidRDefault="003E0762" w:rsidP="003E0762">
      <w:pPr>
        <w:jc w:val="both"/>
        <w:rPr>
          <w:rFonts w:ascii="Arial" w:hAnsi="Arial"/>
        </w:rPr>
      </w:pPr>
    </w:p>
    <w:p w14:paraId="4C2A5B17"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 xml:space="preserve">בשים לב למידת הפגיעה בערכים המוגנים, למדיניות הענישה הנוהגת כאמור ולנסיבות הקשורות בביצוע העבירות, מצאתי לקבוע את מתחם העונש ההולם בעבירות האישום הראשון כנע בין </w:t>
      </w:r>
      <w:r w:rsidRPr="001C6522">
        <w:rPr>
          <w:rFonts w:ascii="Arial" w:hAnsi="Arial"/>
          <w:b/>
          <w:bCs/>
          <w:rtl/>
        </w:rPr>
        <w:t>עשרה לבין עשרים חודשי מאסר בפועל</w:t>
      </w:r>
      <w:r w:rsidRPr="001C6522">
        <w:rPr>
          <w:rFonts w:ascii="Arial" w:hAnsi="Arial"/>
          <w:rtl/>
        </w:rPr>
        <w:t>. לא מצאתי עילה לסטייה ממתחם העונש ההולם לקולה או לחומרה.</w:t>
      </w:r>
    </w:p>
    <w:p w14:paraId="0FF55700" w14:textId="77777777" w:rsidR="003E0762" w:rsidRPr="001C6522" w:rsidRDefault="003E0762" w:rsidP="003E0762">
      <w:pPr>
        <w:jc w:val="both"/>
        <w:rPr>
          <w:rFonts w:ascii="Arial" w:hAnsi="Arial"/>
        </w:rPr>
      </w:pPr>
    </w:p>
    <w:p w14:paraId="52176614" w14:textId="77777777" w:rsidR="003E0762" w:rsidRPr="001C6522" w:rsidRDefault="003E0762" w:rsidP="003E0762">
      <w:pPr>
        <w:spacing w:line="360" w:lineRule="auto"/>
        <w:jc w:val="both"/>
        <w:rPr>
          <w:rFonts w:ascii="Arial" w:hAnsi="Arial"/>
          <w:u w:val="single"/>
        </w:rPr>
      </w:pPr>
      <w:r w:rsidRPr="001C6522">
        <w:rPr>
          <w:rFonts w:ascii="Arial" w:hAnsi="Arial"/>
          <w:u w:val="single"/>
          <w:rtl/>
        </w:rPr>
        <w:t>האישום השני - עבירות בנשק</w:t>
      </w:r>
    </w:p>
    <w:p w14:paraId="66B3E741"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 xml:space="preserve">ביסודן של עבירות הנשק עומד ערך חיי האדם, הביטחון האישי ושלמות הגוף. לאור העובדה שהנאשם נשא עליו את הנשק ואף ירה בו, הגם שבשטחים בהם נוכחות אחרים אינה צפויה, מצאתי כי הפגיעה בערכים המוגנים היא ברף הבינוני. זאת בעיקר על רקע פוטנציאל הפגיעה באחרים מצד הנשק הנישא, והשימוש שנעשה בו ללא היתר, בלי נקיטת אמצעי זהירות וללא הדרכה בבטיחות הפעלת הנשק. 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  </w:t>
      </w:r>
      <w:hyperlink r:id="rId34" w:history="1">
        <w:r w:rsidR="00D9188F" w:rsidRPr="00D9188F">
          <w:rPr>
            <w:rFonts w:ascii="Arial" w:hAnsi="Arial"/>
            <w:color w:val="0000FF"/>
            <w:u w:val="single"/>
            <w:rtl/>
          </w:rPr>
          <w:t>חוק העונשין</w:t>
        </w:r>
      </w:hyperlink>
      <w:r w:rsidRPr="001C6522">
        <w:rPr>
          <w:rFonts w:ascii="Arial" w:hAnsi="Arial"/>
          <w:rtl/>
        </w:rPr>
        <w:t xml:space="preserve"> (תיקון מס' 140 – הוראת שעה), התשפ"ב-2021, אשר נכנס לתוקף בדצמבר 2021 ולכן חל במקרה זה. ראו למשל פסק דינו של כבוד השופט מינץ מהעת האחרונה </w:t>
      </w:r>
      <w:hyperlink r:id="rId35" w:history="1">
        <w:r w:rsidR="00D9188F" w:rsidRPr="00D9188F">
          <w:rPr>
            <w:rFonts w:ascii="Arial" w:hAnsi="Arial"/>
            <w:color w:val="0000FF"/>
            <w:u w:val="single"/>
            <w:rtl/>
          </w:rPr>
          <w:t>ע"פ 5813/21</w:t>
        </w:r>
      </w:hyperlink>
      <w:r w:rsidRPr="001C6522">
        <w:rPr>
          <w:rFonts w:ascii="Arial" w:hAnsi="Arial"/>
          <w:rtl/>
        </w:rPr>
        <w:t xml:space="preserve"> </w:t>
      </w:r>
      <w:r w:rsidRPr="001C6522">
        <w:rPr>
          <w:rFonts w:ascii="Arial" w:hAnsi="Arial"/>
          <w:b/>
          <w:bCs/>
          <w:rtl/>
        </w:rPr>
        <w:t>ג'בארין נ' מדינת ישראל</w:t>
      </w:r>
      <w:r w:rsidRPr="001C6522">
        <w:rPr>
          <w:rFonts w:ascii="Arial" w:hAnsi="Arial"/>
          <w:rtl/>
        </w:rPr>
        <w:t xml:space="preserve"> (נבו 31.05.2022):</w:t>
      </w:r>
    </w:p>
    <w:p w14:paraId="1EBB8839" w14:textId="77777777" w:rsidR="003E0762" w:rsidRPr="001C6522" w:rsidRDefault="003E0762" w:rsidP="003E0762">
      <w:pPr>
        <w:jc w:val="both"/>
        <w:rPr>
          <w:rFonts w:ascii="Arial" w:hAnsi="Arial"/>
          <w:rtl/>
        </w:rPr>
      </w:pPr>
    </w:p>
    <w:p w14:paraId="1B65C3DB" w14:textId="77777777" w:rsidR="003E0762" w:rsidRPr="001C6522" w:rsidRDefault="003E0762" w:rsidP="003E0762">
      <w:pPr>
        <w:spacing w:line="360" w:lineRule="auto"/>
        <w:ind w:left="850" w:right="850"/>
        <w:jc w:val="both"/>
        <w:rPr>
          <w:rFonts w:ascii="FrankRuehl" w:hAnsi="FrankRuehl" w:cs="FrankRuehl"/>
          <w:sz w:val="26"/>
          <w:szCs w:val="26"/>
          <w:rtl/>
        </w:rPr>
      </w:pPr>
      <w:r w:rsidRPr="001C6522">
        <w:rPr>
          <w:rFonts w:ascii="FrankRuehl" w:hAnsi="FrankRuehl"/>
          <w:sz w:val="26"/>
          <w:szCs w:val="26"/>
          <w:rtl/>
        </w:rPr>
        <w:t>"</w:t>
      </w:r>
      <w:r w:rsidRPr="001C6522">
        <w:rPr>
          <w:rFonts w:ascii="FrankRuehl" w:hAnsi="FrankRuehl" w:cs="FrankRuehl"/>
          <w:sz w:val="26"/>
          <w:szCs w:val="26"/>
          <w:rtl/>
        </w:rPr>
        <w:t>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w:t>
      </w:r>
      <w:r w:rsidR="00D9188F">
        <w:rPr>
          <w:rFonts w:ascii="FrankRuehl" w:hAnsi="FrankRuehl" w:cs="FrankRuehl"/>
          <w:sz w:val="26"/>
          <w:szCs w:val="26"/>
          <w:rtl/>
        </w:rPr>
        <w:t xml:space="preserve"> </w:t>
      </w:r>
      <w:hyperlink r:id="rId36" w:history="1">
        <w:r w:rsidR="00D9188F" w:rsidRPr="00D9188F">
          <w:rPr>
            <w:rFonts w:ascii="FrankRuehl" w:hAnsi="FrankRuehl" w:cs="FrankRuehl"/>
            <w:color w:val="0000FF"/>
            <w:sz w:val="26"/>
            <w:szCs w:val="26"/>
            <w:u w:val="single"/>
            <w:rtl/>
          </w:rPr>
          <w:t>ע"פ 8320/21</w:t>
        </w:r>
      </w:hyperlink>
      <w:r w:rsidR="00D9188F">
        <w:rPr>
          <w:rFonts w:ascii="FrankRuehl" w:hAnsi="FrankRuehl" w:cs="FrankRuehl"/>
          <w:sz w:val="26"/>
          <w:szCs w:val="26"/>
          <w:rtl/>
        </w:rPr>
        <w:t xml:space="preserve"> </w:t>
      </w:r>
      <w:r w:rsidRPr="0011656C">
        <w:rPr>
          <w:rFonts w:ascii="FrankRuehl" w:hAnsi="FrankRuehl" w:cs="Miriam"/>
          <w:rtl/>
        </w:rPr>
        <w:t>מדינת ישראל נ' בסילה</w:t>
      </w:r>
      <w:r w:rsidR="00D9188F">
        <w:rPr>
          <w:rFonts w:ascii="FrankRuehl" w:hAnsi="FrankRuehl" w:cs="FrankRuehl"/>
          <w:rtl/>
        </w:rPr>
        <w:t xml:space="preserve"> </w:t>
      </w:r>
      <w:r w:rsidRPr="001C6522">
        <w:rPr>
          <w:rFonts w:ascii="FrankRuehl" w:hAnsi="FrankRuehl" w:cs="FrankRuehl"/>
          <w:sz w:val="26"/>
          <w:szCs w:val="26"/>
          <w:rtl/>
        </w:rPr>
        <w:t>[פורסם בנבו]</w:t>
      </w:r>
      <w:r w:rsidR="00D9188F">
        <w:rPr>
          <w:rFonts w:ascii="FrankRuehl" w:hAnsi="FrankRuehl" w:cs="FrankRuehl"/>
          <w:sz w:val="26"/>
          <w:szCs w:val="26"/>
          <w:rtl/>
        </w:rPr>
        <w:t xml:space="preserve"> </w:t>
      </w:r>
      <w:r w:rsidRPr="001C6522">
        <w:rPr>
          <w:rFonts w:ascii="FrankRuehl" w:hAnsi="FrankRuehl" w:cs="FrankRuehl"/>
          <w:sz w:val="26"/>
          <w:szCs w:val="26"/>
          <w:rtl/>
        </w:rPr>
        <w:t>(28.12.2021):</w:t>
      </w:r>
      <w:r w:rsidR="00D9188F">
        <w:rPr>
          <w:rFonts w:ascii="FrankRuehl" w:hAnsi="FrankRuehl" w:cs="FrankRuehl"/>
          <w:sz w:val="26"/>
          <w:szCs w:val="26"/>
          <w:rtl/>
        </w:rPr>
        <w:t xml:space="preserve">  </w:t>
      </w:r>
    </w:p>
    <w:p w14:paraId="2A177789" w14:textId="77777777" w:rsidR="003E0762" w:rsidRPr="001C6522" w:rsidRDefault="003E0762" w:rsidP="003E0762">
      <w:pPr>
        <w:ind w:left="850" w:right="850"/>
        <w:jc w:val="both"/>
        <w:rPr>
          <w:rFonts w:ascii="FrankRuehl" w:hAnsi="FrankRuehl" w:cs="FrankRuehl"/>
          <w:sz w:val="26"/>
          <w:szCs w:val="26"/>
        </w:rPr>
      </w:pPr>
    </w:p>
    <w:p w14:paraId="6151877A" w14:textId="77777777" w:rsidR="003E0762" w:rsidRPr="001C6522" w:rsidRDefault="003E0762" w:rsidP="003E0762">
      <w:pPr>
        <w:spacing w:line="360" w:lineRule="auto"/>
        <w:ind w:left="1417" w:right="1417"/>
        <w:jc w:val="both"/>
        <w:rPr>
          <w:rFonts w:ascii="FrankRuehl" w:hAnsi="FrankRuehl" w:cs="FrankRuehl"/>
          <w:sz w:val="26"/>
          <w:szCs w:val="26"/>
          <w:rtl/>
        </w:rPr>
      </w:pPr>
      <w:r w:rsidRPr="001C6522">
        <w:rPr>
          <w:rFonts w:ascii="FrankRuehl" w:hAnsi="FrankRuehl" w:cs="FrankRuehl"/>
          <w:sz w:val="26"/>
          <w:szCs w:val="26"/>
          <w:rtl/>
        </w:rPr>
        <w:t>[...] על הצורך בהחמרה בעבירות נשק עמדתי לאחרונה ממש בעניין</w:t>
      </w:r>
      <w:r w:rsidR="00D9188F">
        <w:rPr>
          <w:rFonts w:ascii="FrankRuehl" w:hAnsi="FrankRuehl" w:cs="FrankRuehl"/>
          <w:sz w:val="26"/>
          <w:szCs w:val="26"/>
          <w:rtl/>
        </w:rPr>
        <w:t xml:space="preserve"> </w:t>
      </w:r>
      <w:r w:rsidRPr="001C6522">
        <w:rPr>
          <w:rFonts w:ascii="FrankRuehl" w:hAnsi="FrankRuehl" w:cs="FrankRuehl"/>
          <w:sz w:val="26"/>
          <w:szCs w:val="26"/>
          <w:rtl/>
        </w:rPr>
        <w:t>אבו עראר, שם ציינתי את הדברים הבאים:</w:t>
      </w:r>
    </w:p>
    <w:p w14:paraId="0FC742D1" w14:textId="77777777" w:rsidR="003E0762" w:rsidRPr="001C6522" w:rsidRDefault="003E0762" w:rsidP="003E0762">
      <w:pPr>
        <w:ind w:left="1417" w:right="1417"/>
        <w:jc w:val="both"/>
        <w:rPr>
          <w:rFonts w:ascii="FrankRuehl" w:hAnsi="FrankRuehl" w:cs="FrankRuehl"/>
          <w:sz w:val="26"/>
          <w:szCs w:val="26"/>
          <w:rtl/>
        </w:rPr>
      </w:pPr>
    </w:p>
    <w:p w14:paraId="6A5B0A30" w14:textId="77777777" w:rsidR="003E0762" w:rsidRPr="001C6522" w:rsidRDefault="00D9188F" w:rsidP="003E0762">
      <w:pPr>
        <w:spacing w:line="360" w:lineRule="auto"/>
        <w:ind w:left="1417" w:right="1417"/>
        <w:jc w:val="both"/>
        <w:rPr>
          <w:rFonts w:ascii="FrankRuehl" w:hAnsi="FrankRuehl" w:cs="FrankRuehl"/>
          <w:sz w:val="26"/>
          <w:szCs w:val="26"/>
          <w:rtl/>
        </w:rPr>
      </w:pPr>
      <w:r>
        <w:rPr>
          <w:rFonts w:ascii="FrankRuehl" w:hAnsi="FrankRuehl" w:cs="FrankRuehl"/>
          <w:sz w:val="26"/>
          <w:szCs w:val="26"/>
          <w:rtl/>
        </w:rPr>
        <w:t xml:space="preserve"> </w:t>
      </w:r>
      <w:r w:rsidR="003E0762" w:rsidRPr="001C6522">
        <w:rPr>
          <w:rFonts w:ascii="FrankRuehl" w:hAnsi="FrankRuehl" w:cs="FrankRuehl"/>
          <w:sz w:val="26"/>
          <w:szCs w:val="26"/>
          <w:rtl/>
        </w:rPr>
        <w:t>'אין צורך להכביר במילים על אודות החומרה הנלווית לעבירות נשק. אין היום חולקין כי עבירות מסוג זה הפכו ל'מכת מדינה' של ממש (ראו לאחרונה:</w:t>
      </w:r>
      <w:r>
        <w:rPr>
          <w:rFonts w:ascii="FrankRuehl" w:hAnsi="FrankRuehl" w:cs="FrankRuehl"/>
          <w:sz w:val="26"/>
          <w:szCs w:val="26"/>
          <w:rtl/>
        </w:rPr>
        <w:t xml:space="preserve"> </w:t>
      </w:r>
      <w:hyperlink r:id="rId37" w:history="1">
        <w:r w:rsidRPr="00D9188F">
          <w:rPr>
            <w:rFonts w:ascii="FrankRuehl" w:hAnsi="FrankRuehl" w:cs="FrankRuehl"/>
            <w:color w:val="0000FF"/>
            <w:sz w:val="26"/>
            <w:szCs w:val="26"/>
            <w:u w:val="single"/>
            <w:rtl/>
          </w:rPr>
          <w:t>ע"פ 7473/20</w:t>
        </w:r>
      </w:hyperlink>
      <w:r>
        <w:rPr>
          <w:rFonts w:ascii="FrankRuehl" w:hAnsi="FrankRuehl" w:cs="FrankRuehl"/>
          <w:sz w:val="26"/>
          <w:szCs w:val="26"/>
          <w:rtl/>
        </w:rPr>
        <w:t xml:space="preserve"> </w:t>
      </w:r>
      <w:r w:rsidR="003E0762" w:rsidRPr="0011656C">
        <w:rPr>
          <w:rFonts w:ascii="FrankRuehl" w:hAnsi="FrankRuehl" w:cs="Miriam"/>
          <w:rtl/>
        </w:rPr>
        <w:t>מדינת ישראל נ' מחאמיד</w:t>
      </w:r>
      <w:r w:rsidR="003E0762" w:rsidRPr="001C6522">
        <w:rPr>
          <w:rFonts w:ascii="FrankRuehl" w:hAnsi="FrankRuehl" w:cs="FrankRuehl"/>
          <w:sz w:val="26"/>
          <w:szCs w:val="26"/>
          <w:rtl/>
        </w:rPr>
        <w:t>, פסקה 24</w:t>
      </w:r>
      <w:r>
        <w:rPr>
          <w:rFonts w:ascii="FrankRuehl" w:hAnsi="FrankRuehl" w:cs="FrankRuehl"/>
          <w:sz w:val="26"/>
          <w:szCs w:val="26"/>
          <w:rtl/>
        </w:rPr>
        <w:t xml:space="preserve"> </w:t>
      </w:r>
      <w:r w:rsidR="003E0762" w:rsidRPr="001C6522">
        <w:rPr>
          <w:rFonts w:ascii="FrankRuehl" w:hAnsi="FrankRuehl" w:cs="FrankRuehl"/>
          <w:sz w:val="26"/>
          <w:szCs w:val="26"/>
          <w:rtl/>
        </w:rPr>
        <w:t>[פורסם בנבו]</w:t>
      </w:r>
      <w:r>
        <w:rPr>
          <w:rFonts w:ascii="FrankRuehl" w:hAnsi="FrankRuehl" w:cs="FrankRuehl"/>
          <w:sz w:val="26"/>
          <w:szCs w:val="26"/>
          <w:rtl/>
        </w:rPr>
        <w:t xml:space="preserve"> </w:t>
      </w:r>
      <w:r w:rsidR="003E0762" w:rsidRPr="001C6522">
        <w:rPr>
          <w:rFonts w:ascii="FrankRuehl" w:hAnsi="FrankRuehl" w:cs="FrankRuehl"/>
          <w:sz w:val="26"/>
          <w:szCs w:val="26"/>
          <w:rtl/>
        </w:rPr>
        <w:t>(29.6.2021);</w:t>
      </w:r>
      <w:r>
        <w:rPr>
          <w:rFonts w:ascii="FrankRuehl" w:hAnsi="FrankRuehl" w:cs="FrankRuehl"/>
          <w:sz w:val="26"/>
          <w:szCs w:val="26"/>
          <w:rtl/>
        </w:rPr>
        <w:t xml:space="preserve"> </w:t>
      </w:r>
      <w:hyperlink r:id="rId38" w:history="1">
        <w:r w:rsidRPr="00D9188F">
          <w:rPr>
            <w:rFonts w:ascii="FrankRuehl" w:hAnsi="FrankRuehl" w:cs="FrankRuehl"/>
            <w:color w:val="0000FF"/>
            <w:sz w:val="26"/>
            <w:szCs w:val="26"/>
            <w:u w:val="single"/>
            <w:rtl/>
          </w:rPr>
          <w:t>ע"פ 5993/21</w:t>
        </w:r>
      </w:hyperlink>
      <w:r w:rsidR="003E0762" w:rsidRPr="001C6522">
        <w:rPr>
          <w:rFonts w:ascii="FrankRuehl" w:hAnsi="FrankRuehl" w:cs="FrankRuehl"/>
          <w:sz w:val="26"/>
          <w:szCs w:val="26"/>
          <w:rtl/>
        </w:rPr>
        <w:t xml:space="preserve"> </w:t>
      </w:r>
      <w:r w:rsidR="003E0762" w:rsidRPr="0011656C">
        <w:rPr>
          <w:rFonts w:ascii="FrankRuehl" w:hAnsi="FrankRuehl" w:cs="Miriam"/>
          <w:rtl/>
        </w:rPr>
        <w:t>סאלח נ' מדינת ישראל</w:t>
      </w:r>
      <w:r w:rsidR="003E0762" w:rsidRPr="001C6522">
        <w:rPr>
          <w:rFonts w:ascii="FrankRuehl" w:hAnsi="FrankRuehl" w:cs="FrankRuehl"/>
          <w:sz w:val="26"/>
          <w:szCs w:val="26"/>
          <w:rtl/>
        </w:rPr>
        <w:t>, פסקה 8</w:t>
      </w:r>
      <w:r>
        <w:rPr>
          <w:rFonts w:ascii="FrankRuehl" w:hAnsi="FrankRuehl" w:cs="FrankRuehl"/>
          <w:sz w:val="26"/>
          <w:szCs w:val="26"/>
          <w:rtl/>
        </w:rPr>
        <w:t xml:space="preserve"> </w:t>
      </w:r>
      <w:r w:rsidR="003E0762" w:rsidRPr="001C6522">
        <w:rPr>
          <w:rFonts w:ascii="FrankRuehl" w:hAnsi="FrankRuehl" w:cs="FrankRuehl"/>
          <w:sz w:val="26"/>
          <w:szCs w:val="26"/>
          <w:rtl/>
        </w:rPr>
        <w:t>[פורסם בנבו]</w:t>
      </w:r>
      <w:r>
        <w:rPr>
          <w:rFonts w:ascii="FrankRuehl" w:hAnsi="FrankRuehl" w:cs="FrankRuehl"/>
          <w:sz w:val="26"/>
          <w:szCs w:val="26"/>
          <w:rtl/>
        </w:rPr>
        <w:t xml:space="preserve"> </w:t>
      </w:r>
      <w:r w:rsidR="003E0762" w:rsidRPr="001C6522">
        <w:rPr>
          <w:rFonts w:ascii="FrankRuehl" w:hAnsi="FrankRuehl" w:cs="FrankRuehl"/>
          <w:sz w:val="26"/>
          <w:szCs w:val="26"/>
          <w:rtl/>
        </w:rPr>
        <w:t>(29.11.2021);</w:t>
      </w:r>
      <w:r>
        <w:rPr>
          <w:rFonts w:ascii="FrankRuehl" w:hAnsi="FrankRuehl" w:cs="FrankRuehl"/>
          <w:sz w:val="26"/>
          <w:szCs w:val="26"/>
          <w:rtl/>
        </w:rPr>
        <w:t xml:space="preserve"> </w:t>
      </w:r>
      <w:hyperlink r:id="rId39" w:history="1">
        <w:r w:rsidRPr="00D9188F">
          <w:rPr>
            <w:rFonts w:ascii="FrankRuehl" w:hAnsi="FrankRuehl" w:cs="FrankRuehl"/>
            <w:color w:val="0000FF"/>
            <w:sz w:val="26"/>
            <w:szCs w:val="26"/>
            <w:u w:val="single"/>
            <w:rtl/>
          </w:rPr>
          <w:t>ע"פ 8416/20</w:t>
        </w:r>
      </w:hyperlink>
      <w:r>
        <w:rPr>
          <w:rFonts w:ascii="FrankRuehl" w:hAnsi="FrankRuehl" w:cs="FrankRuehl"/>
          <w:sz w:val="26"/>
          <w:szCs w:val="26"/>
          <w:rtl/>
        </w:rPr>
        <w:t xml:space="preserve"> </w:t>
      </w:r>
      <w:r w:rsidR="003E0762" w:rsidRPr="0011656C">
        <w:rPr>
          <w:rFonts w:ascii="FrankRuehl" w:hAnsi="FrankRuehl" w:cs="Miriam"/>
          <w:rtl/>
        </w:rPr>
        <w:t>עייאט נ' מדינת ישראל</w:t>
      </w:r>
      <w:r>
        <w:rPr>
          <w:rFonts w:ascii="FrankRuehl" w:hAnsi="FrankRuehl" w:cs="FrankRuehl"/>
          <w:sz w:val="26"/>
          <w:szCs w:val="26"/>
          <w:rtl/>
        </w:rPr>
        <w:t xml:space="preserve"> </w:t>
      </w:r>
      <w:r w:rsidR="003E0762" w:rsidRPr="001C6522">
        <w:rPr>
          <w:rFonts w:ascii="FrankRuehl" w:hAnsi="FrankRuehl" w:cs="FrankRuehl"/>
          <w:sz w:val="26"/>
          <w:szCs w:val="26"/>
          <w:rtl/>
        </w:rPr>
        <w:t>[פורסם בנבו]</w:t>
      </w:r>
      <w:r>
        <w:rPr>
          <w:rFonts w:ascii="FrankRuehl" w:hAnsi="FrankRuehl" w:cs="FrankRuehl"/>
          <w:sz w:val="26"/>
          <w:szCs w:val="26"/>
          <w:rtl/>
        </w:rPr>
        <w:t xml:space="preserve"> </w:t>
      </w:r>
      <w:r w:rsidR="003E0762" w:rsidRPr="001C6522">
        <w:rPr>
          <w:rFonts w:ascii="FrankRuehl" w:hAnsi="FrankRuehl" w:cs="FrankRuehl"/>
          <w:sz w:val="26"/>
          <w:szCs w:val="26"/>
          <w:rtl/>
        </w:rPr>
        <w:t>(2.9.2021)).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40" w:history="1">
        <w:r w:rsidRPr="00D9188F">
          <w:rPr>
            <w:rFonts w:ascii="FrankRuehl" w:hAnsi="FrankRuehl" w:cs="FrankRuehl"/>
            <w:color w:val="0000FF"/>
            <w:sz w:val="26"/>
            <w:szCs w:val="26"/>
            <w:u w:val="single"/>
            <w:rtl/>
          </w:rPr>
          <w:t>חוק העונשין</w:t>
        </w:r>
      </w:hyperlink>
      <w:r>
        <w:rPr>
          <w:rFonts w:ascii="FrankRuehl" w:hAnsi="FrankRuehl" w:cs="FrankRuehl"/>
          <w:sz w:val="26"/>
          <w:szCs w:val="26"/>
          <w:rtl/>
        </w:rPr>
        <w:t xml:space="preserve"> </w:t>
      </w:r>
      <w:r w:rsidR="003E0762" w:rsidRPr="001C6522">
        <w:rPr>
          <w:rFonts w:ascii="FrankRuehl" w:hAnsi="FrankRuehl" w:cs="FrankRuehl"/>
          <w:sz w:val="26"/>
          <w:szCs w:val="26"/>
          <w:rtl/>
        </w:rPr>
        <w:t>(חוק העונשין (תיקון מס' 140 – הוראת שעה), התשפ"ב-2021) – שלא חל בענייננו – הקובע עונשי מינימום לעבירות נשק' (שם, פסקה 25).</w:t>
      </w:r>
    </w:p>
    <w:p w14:paraId="41A2D178" w14:textId="77777777" w:rsidR="003E0762" w:rsidRPr="001C6522" w:rsidRDefault="003E0762" w:rsidP="003E0762">
      <w:pPr>
        <w:ind w:left="850" w:right="850"/>
        <w:jc w:val="both"/>
        <w:rPr>
          <w:rFonts w:ascii="FrankRuehl" w:hAnsi="FrankRuehl" w:cs="FrankRuehl"/>
          <w:sz w:val="26"/>
          <w:szCs w:val="26"/>
          <w:rtl/>
        </w:rPr>
      </w:pPr>
    </w:p>
    <w:p w14:paraId="1E4AB001" w14:textId="77777777" w:rsidR="003E0762" w:rsidRPr="001C6522" w:rsidRDefault="003E0762" w:rsidP="003E0762">
      <w:pPr>
        <w:spacing w:line="360" w:lineRule="auto"/>
        <w:ind w:left="850" w:right="850"/>
        <w:jc w:val="both"/>
        <w:rPr>
          <w:rFonts w:ascii="FrankRuehl" w:hAnsi="FrankRuehl" w:cs="FrankRuehl"/>
          <w:sz w:val="26"/>
          <w:szCs w:val="26"/>
          <w:rtl/>
        </w:rPr>
      </w:pPr>
      <w:r w:rsidRPr="001C6522">
        <w:rPr>
          <w:rFonts w:ascii="FrankRuehl" w:hAnsi="FrankRuehl" w:cs="FrankRuehl"/>
          <w:sz w:val="26"/>
          <w:szCs w:val="26"/>
          <w:rtl/>
        </w:rPr>
        <w:t>כפועל יוצא מכך, ועם העלאת רף הענישה, עולה גם מתחם עונש המאסר הנכון והראוי בעבירות מעין אלו[...]</w:t>
      </w:r>
      <w:r w:rsidRPr="001C6522">
        <w:rPr>
          <w:rFonts w:ascii="FrankRuehl" w:hAnsi="FrankRuehl"/>
          <w:sz w:val="26"/>
          <w:szCs w:val="26"/>
          <w:rtl/>
        </w:rPr>
        <w:t>"</w:t>
      </w:r>
    </w:p>
    <w:p w14:paraId="324ECDD0" w14:textId="77777777" w:rsidR="003E0762" w:rsidRPr="001C6522" w:rsidRDefault="003E0762" w:rsidP="003E0762">
      <w:pPr>
        <w:ind w:left="850" w:right="850"/>
        <w:jc w:val="both"/>
        <w:rPr>
          <w:rFonts w:ascii="FrankRuehl" w:hAnsi="FrankRuehl" w:cs="FrankRuehl"/>
          <w:rtl/>
        </w:rPr>
      </w:pPr>
    </w:p>
    <w:p w14:paraId="143A67ED"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בחינת הפסיקה בעבירות נשק מעלה כי הוטלו עונשים הכוללים רכיב של מאסר משמעותי. בנוסף יש התייחסות רבה להיות עבירות הנשק "מכת מדינה", לצורך בהרתעת הרבים, וכן לעובדה שהמחוקק נתן דעתו לעניין עת קבע הוראת שעה שמטרתה החמרת הענישה וקביעת עונש מינימום לעבירות בנשק, כאמור בעניין ג'אברין לעיל. תיקון זה לא היה בתוקף במקרים שלהלן:</w:t>
      </w:r>
    </w:p>
    <w:p w14:paraId="1FB1ADE4" w14:textId="77777777" w:rsidR="003E0762" w:rsidRPr="001C6522" w:rsidRDefault="003E0762" w:rsidP="003E0762">
      <w:pPr>
        <w:jc w:val="both"/>
        <w:rPr>
          <w:rFonts w:ascii="Arial" w:hAnsi="Arial"/>
          <w:rtl/>
        </w:rPr>
      </w:pPr>
    </w:p>
    <w:p w14:paraId="7E68BF8B" w14:textId="77777777" w:rsidR="003E0762" w:rsidRPr="001C6522" w:rsidRDefault="003E0762" w:rsidP="003E0762">
      <w:pPr>
        <w:numPr>
          <w:ilvl w:val="1"/>
          <w:numId w:val="1"/>
        </w:numPr>
        <w:spacing w:line="360" w:lineRule="auto"/>
        <w:jc w:val="both"/>
        <w:rPr>
          <w:rFonts w:ascii="Arial" w:hAnsi="Arial"/>
        </w:rPr>
      </w:pPr>
      <w:r w:rsidRPr="001C6522">
        <w:rPr>
          <w:rFonts w:ascii="Arial" w:hAnsi="Arial"/>
          <w:rtl/>
        </w:rPr>
        <w:t xml:space="preserve">בעניין ג'אברין, לעיל – המערער יחד עם מערער נוסף, לשניהם עבר פלילי, הורשעו על פי הודאתם בעבירת החזקת נשק על כך שבחיפוש שערכו שוטרים במכונית בה נסעו נתפס רובה ציד ותחמושת. בית המשפט המחוזי דן אותם לשמונה עשר ולעשרים ואחד חודשי מאסר בפועל. בית המשפט העליון דחה את הערעור על העונש. </w:t>
      </w:r>
    </w:p>
    <w:p w14:paraId="13892EC9" w14:textId="77777777" w:rsidR="003E0762" w:rsidRPr="001C6522" w:rsidRDefault="003E0762" w:rsidP="003E0762">
      <w:pPr>
        <w:jc w:val="both"/>
        <w:rPr>
          <w:rFonts w:ascii="Arial" w:hAnsi="Arial"/>
        </w:rPr>
      </w:pPr>
    </w:p>
    <w:p w14:paraId="10D48F18" w14:textId="77777777" w:rsidR="003E0762" w:rsidRPr="001C6522" w:rsidRDefault="00D9188F" w:rsidP="003E0762">
      <w:pPr>
        <w:numPr>
          <w:ilvl w:val="1"/>
          <w:numId w:val="1"/>
        </w:numPr>
        <w:spacing w:line="360" w:lineRule="auto"/>
        <w:jc w:val="both"/>
        <w:rPr>
          <w:rFonts w:ascii="Arial" w:hAnsi="Arial"/>
        </w:rPr>
      </w:pPr>
      <w:hyperlink r:id="rId41" w:history="1">
        <w:r w:rsidRPr="00D9188F">
          <w:rPr>
            <w:rFonts w:ascii="Arial" w:hAnsi="Arial"/>
            <w:color w:val="0000FF"/>
            <w:u w:val="single"/>
            <w:rtl/>
          </w:rPr>
          <w:t>ע"פ 6068/21</w:t>
        </w:r>
      </w:hyperlink>
      <w:r w:rsidR="003E0762" w:rsidRPr="001C6522">
        <w:rPr>
          <w:rFonts w:ascii="Arial" w:hAnsi="Arial"/>
          <w:rtl/>
        </w:rPr>
        <w:t xml:space="preserve"> </w:t>
      </w:r>
      <w:r w:rsidR="003E0762" w:rsidRPr="001C6522">
        <w:rPr>
          <w:rFonts w:ascii="Arial" w:hAnsi="Arial"/>
          <w:b/>
          <w:bCs/>
          <w:rtl/>
        </w:rPr>
        <w:t>מדינת ישראל נ' פקיה</w:t>
      </w:r>
      <w:r w:rsidR="003E0762" w:rsidRPr="001C6522">
        <w:rPr>
          <w:rFonts w:ascii="Arial" w:hAnsi="Arial"/>
          <w:rtl/>
        </w:rPr>
        <w:t xml:space="preserve"> (נבו 19.12.2021) – המשיב, בעל עבר פלילי, הורשע על פי הודאתו בכך שהוביל ונשא נשק וירה מנשק חם ירי באוויר. בית המשפט המחוזי גזר את דינו לארבעה עשר חודשי מאסר בפועל. המדינה ערערה על העונש. בית המשפט העליון הדגיש את הצורך בהרתעה בעבירות נשק, ובשים לב לכך שערכאת הערעור אינה נוהגת למצות את הדין, העמיד את עונשו של המשיב על עשרים וחמישה חודשי מאסר בפועל.</w:t>
      </w:r>
    </w:p>
    <w:p w14:paraId="4582366E" w14:textId="77777777" w:rsidR="003E0762" w:rsidRPr="001C6522" w:rsidRDefault="003E0762" w:rsidP="003E0762">
      <w:pPr>
        <w:jc w:val="both"/>
        <w:rPr>
          <w:rFonts w:ascii="Arial" w:hAnsi="Arial"/>
        </w:rPr>
      </w:pPr>
    </w:p>
    <w:p w14:paraId="2F6EE1F8" w14:textId="77777777" w:rsidR="003E0762" w:rsidRPr="001C6522" w:rsidRDefault="00D9188F" w:rsidP="003E0762">
      <w:pPr>
        <w:numPr>
          <w:ilvl w:val="1"/>
          <w:numId w:val="1"/>
        </w:numPr>
        <w:spacing w:line="360" w:lineRule="auto"/>
        <w:jc w:val="both"/>
        <w:rPr>
          <w:rFonts w:ascii="Arial" w:hAnsi="Arial"/>
        </w:rPr>
      </w:pPr>
      <w:hyperlink r:id="rId42" w:history="1">
        <w:r w:rsidRPr="00D9188F">
          <w:rPr>
            <w:rFonts w:ascii="Arial" w:hAnsi="Arial"/>
            <w:color w:val="0000FF"/>
            <w:u w:val="single"/>
            <w:rtl/>
          </w:rPr>
          <w:t>ע"פ 1059/21</w:t>
        </w:r>
      </w:hyperlink>
      <w:r w:rsidR="003E0762" w:rsidRPr="001C6522">
        <w:rPr>
          <w:rFonts w:ascii="Arial" w:hAnsi="Arial"/>
          <w:rtl/>
        </w:rPr>
        <w:t xml:space="preserve"> </w:t>
      </w:r>
      <w:r w:rsidR="003E0762" w:rsidRPr="001C6522">
        <w:rPr>
          <w:rFonts w:ascii="Arial" w:hAnsi="Arial"/>
          <w:b/>
          <w:bCs/>
          <w:rtl/>
        </w:rPr>
        <w:t>פלוני נ' מדינת ישראל</w:t>
      </w:r>
      <w:r w:rsidR="003E0762" w:rsidRPr="001C6522">
        <w:rPr>
          <w:rFonts w:ascii="Arial" w:hAnsi="Arial"/>
          <w:rtl/>
        </w:rPr>
        <w:t xml:space="preserve"> (נבו 29.04.2021) – המערער הורשע על פי הודאתו על כך שהחזיק אקדח ותחמושת, לפי </w:t>
      </w:r>
      <w:hyperlink r:id="rId43" w:history="1">
        <w:r w:rsidR="00146F1B" w:rsidRPr="00146F1B">
          <w:rPr>
            <w:rStyle w:val="Hyperlink"/>
            <w:rFonts w:ascii="Arial" w:hAnsi="Arial"/>
            <w:rtl/>
          </w:rPr>
          <w:t>סעיף 144(א)</w:t>
        </w:r>
      </w:hyperlink>
      <w:r w:rsidR="003E0762" w:rsidRPr="001C6522">
        <w:rPr>
          <w:rFonts w:ascii="Arial" w:hAnsi="Arial"/>
          <w:rtl/>
        </w:rPr>
        <w:t xml:space="preserve"> ב</w:t>
      </w:r>
      <w:hyperlink r:id="rId44" w:history="1">
        <w:r w:rsidRPr="00D9188F">
          <w:rPr>
            <w:rFonts w:ascii="Arial" w:hAnsi="Arial"/>
            <w:color w:val="0000FF"/>
            <w:u w:val="single"/>
            <w:rtl/>
          </w:rPr>
          <w:t>חוק העונשין</w:t>
        </w:r>
      </w:hyperlink>
      <w:r w:rsidR="003E0762" w:rsidRPr="001C6522">
        <w:rPr>
          <w:rFonts w:ascii="Arial" w:hAnsi="Arial"/>
          <w:rtl/>
        </w:rPr>
        <w:t xml:space="preserve">. יום אחד לאחר חילופי דברים עם אחר הוציא את האקדח וירה מספר יריות באוויר, לפי </w:t>
      </w:r>
      <w:hyperlink r:id="rId45" w:history="1">
        <w:r w:rsidR="00146F1B" w:rsidRPr="00146F1B">
          <w:rPr>
            <w:rStyle w:val="Hyperlink"/>
            <w:rFonts w:ascii="Arial" w:hAnsi="Arial"/>
            <w:rtl/>
          </w:rPr>
          <w:t>סעיף 340א(א)</w:t>
        </w:r>
      </w:hyperlink>
      <w:r w:rsidR="003E0762" w:rsidRPr="001C6522">
        <w:rPr>
          <w:rFonts w:ascii="Arial" w:hAnsi="Arial"/>
          <w:rtl/>
        </w:rPr>
        <w:t xml:space="preserve"> ב</w:t>
      </w:r>
      <w:hyperlink r:id="rId46" w:history="1">
        <w:r w:rsidRPr="00D9188F">
          <w:rPr>
            <w:rFonts w:ascii="Arial" w:hAnsi="Arial"/>
            <w:color w:val="0000FF"/>
            <w:u w:val="single"/>
            <w:rtl/>
          </w:rPr>
          <w:t>חוק העונשין</w:t>
        </w:r>
      </w:hyperlink>
      <w:r w:rsidR="003E0762" w:rsidRPr="001C6522">
        <w:rPr>
          <w:rFonts w:ascii="Arial" w:hAnsi="Arial"/>
          <w:rtl/>
        </w:rPr>
        <w:t xml:space="preserve"> . כמו כן הורשע בעבירות איומים והפרעה לשוטר במילוי תפקידו לפי סעיפים </w:t>
      </w:r>
      <w:hyperlink r:id="rId47" w:history="1">
        <w:r w:rsidR="00146F1B" w:rsidRPr="00146F1B">
          <w:rPr>
            <w:rStyle w:val="Hyperlink"/>
            <w:rFonts w:ascii="Arial" w:hAnsi="Arial"/>
            <w:rtl/>
          </w:rPr>
          <w:t>192 ו-275</w:t>
        </w:r>
      </w:hyperlink>
      <w:r w:rsidR="003E0762" w:rsidRPr="001C6522">
        <w:rPr>
          <w:rFonts w:ascii="Arial" w:hAnsi="Arial"/>
          <w:rtl/>
        </w:rPr>
        <w:t xml:space="preserve"> ב</w:t>
      </w:r>
      <w:hyperlink r:id="rId48" w:history="1">
        <w:r w:rsidRPr="00D9188F">
          <w:rPr>
            <w:rFonts w:ascii="Arial" w:hAnsi="Arial"/>
            <w:color w:val="0000FF"/>
            <w:u w:val="single"/>
            <w:rtl/>
          </w:rPr>
          <w:t>חוק העונשין</w:t>
        </w:r>
      </w:hyperlink>
      <w:r w:rsidR="003E0762" w:rsidRPr="001C6522">
        <w:rPr>
          <w:rFonts w:ascii="Arial" w:hAnsi="Arial"/>
          <w:rtl/>
        </w:rPr>
        <w:t>. בית המשפט המחוזי גזר את עונשו לארבעים ושניים חודשי מאסר בפועל. בית המשפט העליון דחה את הערעור על גזר הדין.</w:t>
      </w:r>
    </w:p>
    <w:p w14:paraId="4BDFAFEC" w14:textId="77777777" w:rsidR="003E0762" w:rsidRPr="001C6522" w:rsidRDefault="003E0762" w:rsidP="003E0762">
      <w:pPr>
        <w:jc w:val="both"/>
        <w:rPr>
          <w:rFonts w:ascii="Arial" w:hAnsi="Arial"/>
        </w:rPr>
      </w:pPr>
    </w:p>
    <w:p w14:paraId="5F6CDFDA"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 xml:space="preserve">בבחינת נסיבות ביצוע העבירות נתתי דעתי לתכנון וליוזמה של הנאשם בהשגת הנשק והתחמושת; לפוטנציאל ההרסני שיש לנשק חם בהישג יד, אשר בקלות יכול לגרום לפגיעה חמורה בגוף ואף להביא ליידי קיפוח חיי אדם; לעובדה שהנאשם הסתובב עם הנשק בציבור – בכך העלה את פוטנציאל השימוש בנשק ועלול היה להוות השראה לאחרים להשיג נשק; לכך שירה במספר הזדמנויות בנשק כשלושים כדורים בשטח שומם מאדם. הנאשם ציין כי החזיק את הנשק מטעמים ילדותיים - לעשות רושם. לא מדובר בנסיבה לחומרה אולם בסוג עבירה זה לא מצאתי שמדובר בנסיבה מקלה, מכיוון שעצם החזקת הנשק מקימה את הפוטנציאל הפוגעני של השימוש בו, יהא המניע להחזקה אשר יהא.  </w:t>
      </w:r>
    </w:p>
    <w:p w14:paraId="6ED49658" w14:textId="77777777" w:rsidR="003E0762" w:rsidRPr="001C6522" w:rsidRDefault="003E0762" w:rsidP="003E0762">
      <w:pPr>
        <w:spacing w:line="360" w:lineRule="auto"/>
        <w:jc w:val="both"/>
        <w:rPr>
          <w:rFonts w:ascii="Arial" w:hAnsi="Arial"/>
        </w:rPr>
      </w:pPr>
    </w:p>
    <w:p w14:paraId="6C989A3D"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 xml:space="preserve">בשים לב למידת הפגיעה בערכים המוגנים; למדיניות הענישה הנוהגת כאמור; להגדרת עבירות הנשק כמכת מדינה; להוראת השעה שקבע המחוקק שמטרתה להחמיר בענישה ולנסיבות הקשורות בביצוע העבירות, מצאתי לקבוע את מתחם העונש ההולם בעבירות האישום השני </w:t>
      </w:r>
      <w:r w:rsidRPr="001C6522">
        <w:rPr>
          <w:rFonts w:ascii="Arial" w:hAnsi="Arial"/>
          <w:b/>
          <w:bCs/>
          <w:rtl/>
        </w:rPr>
        <w:t>כנע בין שלושים לבין שישים חודשי מאסר בפועל</w:t>
      </w:r>
      <w:r w:rsidRPr="001C6522">
        <w:rPr>
          <w:rFonts w:ascii="Arial" w:hAnsi="Arial"/>
          <w:rtl/>
        </w:rPr>
        <w:t>. לא מצאתי עילה לסטייה ממתחם העונש ההולם לקולה או לחומרה.</w:t>
      </w:r>
    </w:p>
    <w:p w14:paraId="35620222" w14:textId="77777777" w:rsidR="003E0762" w:rsidRPr="001C6522" w:rsidRDefault="003E0762" w:rsidP="003E0762">
      <w:pPr>
        <w:jc w:val="both"/>
        <w:rPr>
          <w:rFonts w:ascii="Arial" w:hAnsi="Arial"/>
        </w:rPr>
      </w:pPr>
    </w:p>
    <w:p w14:paraId="0BF8A274" w14:textId="77777777" w:rsidR="003E0762" w:rsidRPr="001C6522" w:rsidRDefault="003E0762" w:rsidP="003E0762">
      <w:pPr>
        <w:spacing w:line="360" w:lineRule="auto"/>
        <w:jc w:val="both"/>
        <w:rPr>
          <w:rFonts w:ascii="Arial" w:hAnsi="Arial"/>
          <w:u w:val="single"/>
        </w:rPr>
      </w:pPr>
      <w:r w:rsidRPr="001C6522">
        <w:rPr>
          <w:rFonts w:ascii="Arial" w:hAnsi="Arial"/>
          <w:u w:val="single"/>
          <w:rtl/>
        </w:rPr>
        <w:t>נסיבות שאינן קשורות בביצוע העבירות וגזירת העונש</w:t>
      </w:r>
    </w:p>
    <w:p w14:paraId="5C7CF649"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באשר לנ</w:t>
      </w:r>
      <w:r>
        <w:rPr>
          <w:rFonts w:ascii="Arial" w:hAnsi="Arial"/>
          <w:rtl/>
        </w:rPr>
        <w:t>סיבות שאינן קשורות לביצוע העביר</w:t>
      </w:r>
      <w:r>
        <w:rPr>
          <w:rFonts w:ascii="Arial" w:hAnsi="Arial" w:hint="cs"/>
          <w:rtl/>
        </w:rPr>
        <w:t>ות</w:t>
      </w:r>
      <w:r w:rsidRPr="001C6522">
        <w:rPr>
          <w:rFonts w:ascii="Arial" w:hAnsi="Arial"/>
          <w:rtl/>
        </w:rPr>
        <w:t xml:space="preserve"> נתתי דעתי להודאתו של הנאשם בכתב האישום, ללא הסכמה עונשית מצד המאשימה, והחיסכון בזמן שיפוטי ומשאבי מערכת אכיפת החוק; להיותו במעצר ממשי כחצי שנה; לגילו הצעיר; לעברו הנקי וכן להסגרת הנשק לידי החוקרים, ענין המאיין מסוכנות נוספת מאותו נשק. </w:t>
      </w:r>
    </w:p>
    <w:p w14:paraId="4101268F" w14:textId="77777777" w:rsidR="003E0762" w:rsidRPr="001C6522" w:rsidRDefault="003E0762" w:rsidP="003E0762">
      <w:pPr>
        <w:jc w:val="both"/>
        <w:rPr>
          <w:rFonts w:ascii="Arial" w:hAnsi="Arial"/>
        </w:rPr>
      </w:pPr>
    </w:p>
    <w:p w14:paraId="64312632"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rtl/>
        </w:rPr>
        <w:t>בגזירת עונשו של הנאשם מצאתי כי יש צורך להעביר מסר של הרתעה לרבים, מביצוע עבירות נשק. בעבירות נשק הצורך להרתיע נובע מפוטנציאל הנזק הטמון בהן ולאור התפשטות התופעה של החזקת נשק לא חוקי במדינה, על הפגיעות בגוף ובנפש הנגרמות מאותם כלי נשק השכם והערב. בנוסף יש ליתן את הדעת להוראת השעה שקבע המחוקק עם תיקון 140 ל</w:t>
      </w:r>
      <w:hyperlink r:id="rId49" w:history="1">
        <w:r w:rsidR="00D9188F" w:rsidRPr="00D9188F">
          <w:rPr>
            <w:rFonts w:ascii="Arial" w:hAnsi="Arial"/>
            <w:color w:val="0000FF"/>
            <w:u w:val="single"/>
            <w:rtl/>
          </w:rPr>
          <w:t>חוק העונשין</w:t>
        </w:r>
      </w:hyperlink>
      <w:r w:rsidRPr="001C6522">
        <w:rPr>
          <w:rFonts w:ascii="Arial" w:hAnsi="Arial"/>
          <w:rtl/>
        </w:rPr>
        <w:t xml:space="preserve">, וכדי לשלוח מסר מרתיע לאחרים השוקלים להחזיק נשק מטעמים של עשיית רושם, או מכל טעם אחר, שידעו שהם צפויים לענישה מחמירה בשל מעשה שכזה.   </w:t>
      </w:r>
    </w:p>
    <w:p w14:paraId="4C933BBB" w14:textId="77777777" w:rsidR="003E0762" w:rsidRPr="001C6522" w:rsidRDefault="003E0762" w:rsidP="003E0762">
      <w:pPr>
        <w:jc w:val="both"/>
        <w:rPr>
          <w:rFonts w:ascii="Arial" w:hAnsi="Arial"/>
        </w:rPr>
      </w:pPr>
    </w:p>
    <w:p w14:paraId="47676088" w14:textId="77777777" w:rsidR="003E0762" w:rsidRPr="001C6522" w:rsidRDefault="003E0762" w:rsidP="003E0762">
      <w:pPr>
        <w:numPr>
          <w:ilvl w:val="0"/>
          <w:numId w:val="1"/>
        </w:numPr>
        <w:spacing w:line="360" w:lineRule="auto"/>
        <w:jc w:val="both"/>
        <w:rPr>
          <w:rFonts w:ascii="Arial" w:hAnsi="Arial"/>
        </w:rPr>
      </w:pPr>
      <w:r w:rsidRPr="001C6522">
        <w:rPr>
          <w:rFonts w:ascii="Arial" w:hAnsi="Arial"/>
          <w:u w:val="single"/>
          <w:rtl/>
        </w:rPr>
        <w:t>בנסיבות שפורטו אני גוזר את עונשו של הנאשם כדלקמן</w:t>
      </w:r>
      <w:r w:rsidRPr="001C6522">
        <w:rPr>
          <w:rFonts w:ascii="Arial" w:hAnsi="Arial"/>
          <w:rtl/>
        </w:rPr>
        <w:t xml:space="preserve">: </w:t>
      </w:r>
    </w:p>
    <w:p w14:paraId="63EF14F3" w14:textId="77777777" w:rsidR="003E0762" w:rsidRPr="001C6522" w:rsidRDefault="003E0762" w:rsidP="003E0762">
      <w:pPr>
        <w:numPr>
          <w:ilvl w:val="1"/>
          <w:numId w:val="1"/>
        </w:numPr>
        <w:spacing w:line="360" w:lineRule="auto"/>
        <w:jc w:val="both"/>
        <w:rPr>
          <w:rFonts w:ascii="Arial" w:hAnsi="Arial"/>
        </w:rPr>
      </w:pPr>
      <w:r w:rsidRPr="001C6522">
        <w:rPr>
          <w:rFonts w:ascii="Arial" w:hAnsi="Arial"/>
          <w:rtl/>
        </w:rPr>
        <w:t>בגין עבירות האישום הראשון אני גוזר על הנאשם עשרה (10) חודשי מאסר אשר יהיו עונש מאסר בפועל מיום מעצרו 16.01.2022.</w:t>
      </w:r>
    </w:p>
    <w:p w14:paraId="66039C6C" w14:textId="77777777" w:rsidR="003E0762" w:rsidRPr="001C6522" w:rsidRDefault="003E0762" w:rsidP="003E0762">
      <w:pPr>
        <w:jc w:val="both"/>
        <w:rPr>
          <w:rFonts w:ascii="Arial" w:hAnsi="Arial"/>
        </w:rPr>
      </w:pPr>
    </w:p>
    <w:p w14:paraId="3394B586" w14:textId="77777777" w:rsidR="003E0762" w:rsidRPr="001C6522" w:rsidRDefault="003E0762" w:rsidP="003E0762">
      <w:pPr>
        <w:numPr>
          <w:ilvl w:val="1"/>
          <w:numId w:val="1"/>
        </w:numPr>
        <w:spacing w:line="360" w:lineRule="auto"/>
        <w:jc w:val="both"/>
        <w:rPr>
          <w:rFonts w:ascii="Arial" w:hAnsi="Arial"/>
        </w:rPr>
      </w:pPr>
      <w:r w:rsidRPr="001C6522">
        <w:rPr>
          <w:rFonts w:ascii="Arial" w:hAnsi="Arial"/>
          <w:rtl/>
        </w:rPr>
        <w:t xml:space="preserve">בגין עבירות האישום השני, בשים לב לצורכי הרתעת הרבים על פי </w:t>
      </w:r>
      <w:hyperlink r:id="rId50" w:history="1">
        <w:r w:rsidR="00146F1B" w:rsidRPr="00146F1B">
          <w:rPr>
            <w:rStyle w:val="Hyperlink"/>
            <w:rFonts w:ascii="Arial" w:hAnsi="Arial"/>
            <w:rtl/>
          </w:rPr>
          <w:t>סעיף 40ז</w:t>
        </w:r>
      </w:hyperlink>
      <w:r w:rsidRPr="001C6522">
        <w:rPr>
          <w:rFonts w:ascii="Arial" w:hAnsi="Arial"/>
          <w:rtl/>
        </w:rPr>
        <w:t xml:space="preserve"> ב</w:t>
      </w:r>
      <w:hyperlink r:id="rId51" w:history="1">
        <w:r w:rsidR="00D9188F" w:rsidRPr="00D9188F">
          <w:rPr>
            <w:rFonts w:ascii="Arial" w:hAnsi="Arial"/>
            <w:color w:val="0000FF"/>
            <w:u w:val="single"/>
            <w:rtl/>
          </w:rPr>
          <w:t>חוק העונשין</w:t>
        </w:r>
      </w:hyperlink>
      <w:r w:rsidRPr="001C6522">
        <w:rPr>
          <w:rFonts w:ascii="Arial" w:hAnsi="Arial"/>
          <w:rtl/>
        </w:rPr>
        <w:t>, אני גוזר על הנאשם עונש שאינו בתחתית המתחם שיעמוד על שלושים וחמישה (35) חודשי מאסר לריצוי בפועל. שני עונשים אלה יצטברו זה לזה מאחר שמדובר במעשים נפרדים.</w:t>
      </w:r>
    </w:p>
    <w:p w14:paraId="6B04AACC" w14:textId="77777777" w:rsidR="003E0762" w:rsidRPr="001C6522" w:rsidRDefault="003E0762" w:rsidP="003E0762">
      <w:pPr>
        <w:jc w:val="both"/>
        <w:rPr>
          <w:rFonts w:ascii="Arial" w:hAnsi="Arial"/>
          <w:rtl/>
        </w:rPr>
      </w:pPr>
    </w:p>
    <w:p w14:paraId="2D193B23" w14:textId="77777777" w:rsidR="003E0762" w:rsidRPr="001C6522" w:rsidRDefault="003E0762" w:rsidP="003E0762">
      <w:pPr>
        <w:spacing w:line="360" w:lineRule="auto"/>
        <w:ind w:left="1080"/>
        <w:jc w:val="both"/>
        <w:rPr>
          <w:rFonts w:ascii="Arial" w:hAnsi="Arial"/>
          <w:b/>
          <w:bCs/>
          <w:rtl/>
        </w:rPr>
      </w:pPr>
      <w:r w:rsidRPr="001C6522">
        <w:rPr>
          <w:rFonts w:ascii="Arial" w:hAnsi="Arial"/>
          <w:b/>
          <w:bCs/>
          <w:rtl/>
        </w:rPr>
        <w:t>העולה מהאמור הוא שהנאשם ירצה עונש מאסר בפועל סה"כ של ארבעים וחמישה (45) חודשים מיום מעצרו</w:t>
      </w:r>
      <w:r>
        <w:rPr>
          <w:rFonts w:ascii="Arial" w:hAnsi="Arial" w:hint="cs"/>
          <w:b/>
          <w:bCs/>
          <w:rtl/>
        </w:rPr>
        <w:t>,</w:t>
      </w:r>
      <w:r w:rsidRPr="001C6522">
        <w:rPr>
          <w:rFonts w:ascii="Arial" w:hAnsi="Arial"/>
          <w:b/>
          <w:bCs/>
          <w:rtl/>
        </w:rPr>
        <w:t xml:space="preserve"> 16.01.2022.</w:t>
      </w:r>
    </w:p>
    <w:p w14:paraId="3BFE7E43" w14:textId="77777777" w:rsidR="003E0762" w:rsidRPr="001C6522" w:rsidRDefault="003E0762" w:rsidP="003E0762">
      <w:pPr>
        <w:ind w:left="1080"/>
        <w:jc w:val="both"/>
        <w:rPr>
          <w:rFonts w:ascii="Arial" w:hAnsi="Arial"/>
        </w:rPr>
      </w:pPr>
    </w:p>
    <w:p w14:paraId="2D3EB44C" w14:textId="77777777" w:rsidR="003E0762" w:rsidRPr="001C6522" w:rsidRDefault="003E0762" w:rsidP="003E0762">
      <w:pPr>
        <w:numPr>
          <w:ilvl w:val="1"/>
          <w:numId w:val="1"/>
        </w:numPr>
        <w:spacing w:line="360" w:lineRule="auto"/>
        <w:jc w:val="both"/>
        <w:rPr>
          <w:rFonts w:ascii="Arial" w:hAnsi="Arial"/>
        </w:rPr>
      </w:pPr>
      <w:r w:rsidRPr="001C6522">
        <w:rPr>
          <w:rFonts w:ascii="Arial" w:hAnsi="Arial"/>
          <w:rtl/>
        </w:rPr>
        <w:t xml:space="preserve">לצד עונש זה ובנוסף, שנים עשר (12) חודשי מאסר אותם לא ירצה אלא אם בתוך שלוש (3) שנים מיום שחרורו ממאסר יעבור עבירות בנשק לפי </w:t>
      </w:r>
      <w:hyperlink r:id="rId52" w:history="1">
        <w:r w:rsidR="00146F1B" w:rsidRPr="00146F1B">
          <w:rPr>
            <w:rStyle w:val="Hyperlink"/>
            <w:rFonts w:ascii="Arial" w:hAnsi="Arial"/>
            <w:rtl/>
          </w:rPr>
          <w:t>סעיף 144</w:t>
        </w:r>
      </w:hyperlink>
      <w:r w:rsidRPr="001C6522">
        <w:rPr>
          <w:rFonts w:ascii="Arial" w:hAnsi="Arial"/>
          <w:rtl/>
        </w:rPr>
        <w:t xml:space="preserve"> ב</w:t>
      </w:r>
      <w:hyperlink r:id="rId53" w:history="1">
        <w:r w:rsidR="00D9188F" w:rsidRPr="00D9188F">
          <w:rPr>
            <w:rFonts w:ascii="Arial" w:hAnsi="Arial"/>
            <w:color w:val="0000FF"/>
            <w:u w:val="single"/>
            <w:rtl/>
          </w:rPr>
          <w:t>חוק העונשין</w:t>
        </w:r>
      </w:hyperlink>
      <w:r w:rsidRPr="001C6522">
        <w:rPr>
          <w:rFonts w:ascii="Arial" w:hAnsi="Arial"/>
          <w:rtl/>
        </w:rPr>
        <w:t xml:space="preserve">; וכן שישה (6) חודשי מאסר אותם לא ירצה אלא אם בתוך שלוש (3) שנים מיום שחרורו ממאסר יעבור עבירת התפרעות לפי </w:t>
      </w:r>
      <w:hyperlink r:id="rId54" w:history="1">
        <w:r w:rsidR="00146F1B" w:rsidRPr="00146F1B">
          <w:rPr>
            <w:rStyle w:val="Hyperlink"/>
            <w:rFonts w:ascii="Arial" w:hAnsi="Arial"/>
            <w:rtl/>
          </w:rPr>
          <w:t>סעיף 152</w:t>
        </w:r>
      </w:hyperlink>
      <w:r w:rsidRPr="001C6522">
        <w:rPr>
          <w:rFonts w:ascii="Arial" w:hAnsi="Arial"/>
          <w:rtl/>
        </w:rPr>
        <w:t xml:space="preserve"> בחוק העונשין או עבירת היזק בזדון לפי </w:t>
      </w:r>
      <w:hyperlink r:id="rId55" w:history="1">
        <w:r w:rsidR="00146F1B" w:rsidRPr="00146F1B">
          <w:rPr>
            <w:rStyle w:val="Hyperlink"/>
            <w:rFonts w:ascii="Arial" w:hAnsi="Arial"/>
            <w:rtl/>
          </w:rPr>
          <w:t>סעיף 452</w:t>
        </w:r>
      </w:hyperlink>
      <w:r w:rsidRPr="001C6522">
        <w:rPr>
          <w:rFonts w:ascii="Arial" w:hAnsi="Arial"/>
          <w:rtl/>
        </w:rPr>
        <w:t xml:space="preserve"> בחוק העונשין או עבירת ירי מנשק חם לפי </w:t>
      </w:r>
      <w:hyperlink r:id="rId56" w:history="1">
        <w:r w:rsidR="00146F1B" w:rsidRPr="00146F1B">
          <w:rPr>
            <w:rStyle w:val="Hyperlink"/>
            <w:rFonts w:ascii="Arial" w:hAnsi="Arial"/>
            <w:rtl/>
          </w:rPr>
          <w:t>סעיף 340א.</w:t>
        </w:r>
      </w:hyperlink>
    </w:p>
    <w:p w14:paraId="599786EC" w14:textId="77777777" w:rsidR="003E0762" w:rsidRPr="001C6522" w:rsidRDefault="003E0762" w:rsidP="003E0762">
      <w:pPr>
        <w:jc w:val="both"/>
        <w:rPr>
          <w:rFonts w:ascii="Arial" w:hAnsi="Arial"/>
        </w:rPr>
      </w:pPr>
    </w:p>
    <w:p w14:paraId="251FF83C" w14:textId="77777777" w:rsidR="003E0762" w:rsidRPr="001C6522" w:rsidRDefault="003E0762" w:rsidP="003E0762">
      <w:pPr>
        <w:numPr>
          <w:ilvl w:val="1"/>
          <w:numId w:val="1"/>
        </w:numPr>
        <w:spacing w:line="360" w:lineRule="auto"/>
        <w:jc w:val="both"/>
        <w:rPr>
          <w:rFonts w:ascii="Arial" w:hAnsi="Arial"/>
        </w:rPr>
      </w:pPr>
      <w:r w:rsidRPr="001C6522">
        <w:rPr>
          <w:rFonts w:ascii="Arial" w:hAnsi="Arial"/>
          <w:rtl/>
        </w:rPr>
        <w:t>בשים לב לקשיים הכלכליים עליהם הוצבע, ונוכח תקופת המאסר הממושכת, ראיתי להימנע מהוספת רכיב עונשי של קנס.</w:t>
      </w:r>
    </w:p>
    <w:p w14:paraId="5682C9DF" w14:textId="77777777" w:rsidR="003E0762" w:rsidRPr="001C6522" w:rsidRDefault="003E0762" w:rsidP="003E0762">
      <w:pPr>
        <w:jc w:val="both"/>
        <w:rPr>
          <w:rFonts w:ascii="Arial" w:hAnsi="Arial"/>
          <w:rtl/>
        </w:rPr>
      </w:pPr>
    </w:p>
    <w:p w14:paraId="72875310" w14:textId="77777777" w:rsidR="003E0762" w:rsidRPr="001C6522" w:rsidRDefault="003E0762" w:rsidP="003E0762">
      <w:pPr>
        <w:spacing w:line="360" w:lineRule="auto"/>
        <w:jc w:val="both"/>
        <w:rPr>
          <w:rFonts w:ascii="Arial" w:hAnsi="Arial"/>
          <w:b/>
          <w:bCs/>
          <w:rtl/>
        </w:rPr>
      </w:pPr>
      <w:r w:rsidRPr="001C6522">
        <w:rPr>
          <w:rFonts w:ascii="Arial" w:hAnsi="Arial"/>
          <w:b/>
          <w:bCs/>
          <w:u w:val="single"/>
          <w:rtl/>
        </w:rPr>
        <w:t>הצדדים קיבלו עותקי גזר הדין</w:t>
      </w:r>
      <w:r w:rsidRPr="001C6522">
        <w:rPr>
          <w:rFonts w:ascii="Arial" w:hAnsi="Arial"/>
          <w:b/>
          <w:bCs/>
          <w:rtl/>
        </w:rPr>
        <w:t xml:space="preserve">. </w:t>
      </w:r>
    </w:p>
    <w:p w14:paraId="4C8A91F6" w14:textId="77777777" w:rsidR="003E0762" w:rsidRPr="001C6522" w:rsidRDefault="003E0762" w:rsidP="003E0762">
      <w:pPr>
        <w:jc w:val="both"/>
        <w:rPr>
          <w:rFonts w:ascii="Arial" w:hAnsi="Arial"/>
          <w:b/>
          <w:bCs/>
          <w:rtl/>
        </w:rPr>
      </w:pPr>
    </w:p>
    <w:p w14:paraId="7B0E5BA9" w14:textId="77777777" w:rsidR="003E0762" w:rsidRPr="001C6522" w:rsidRDefault="003E0762" w:rsidP="003E0762">
      <w:pPr>
        <w:spacing w:line="360" w:lineRule="auto"/>
        <w:jc w:val="both"/>
        <w:rPr>
          <w:rFonts w:ascii="Arial" w:hAnsi="Arial"/>
          <w:rtl/>
        </w:rPr>
      </w:pPr>
      <w:r w:rsidRPr="001C6522">
        <w:rPr>
          <w:rFonts w:ascii="Arial" w:hAnsi="Arial"/>
          <w:rtl/>
        </w:rPr>
        <w:t>זכות ערעור כחוק מהיום, הודעה.</w:t>
      </w:r>
    </w:p>
    <w:p w14:paraId="70DF65AB" w14:textId="77777777" w:rsidR="003E0762" w:rsidRPr="001C6522" w:rsidRDefault="003E0762" w:rsidP="003E0762">
      <w:pPr>
        <w:rPr>
          <w:rFonts w:ascii="Arial" w:hAnsi="Arial"/>
          <w:b/>
          <w:bCs/>
          <w:rtl/>
        </w:rPr>
      </w:pPr>
    </w:p>
    <w:p w14:paraId="454C33F4" w14:textId="77777777" w:rsidR="003E0762" w:rsidRPr="001C6522" w:rsidRDefault="00D9188F" w:rsidP="003E0762">
      <w:pPr>
        <w:spacing w:line="360" w:lineRule="auto"/>
        <w:jc w:val="both"/>
        <w:rPr>
          <w:rFonts w:ascii="Arial" w:hAnsi="Arial"/>
          <w:b/>
          <w:bCs/>
        </w:rPr>
      </w:pPr>
      <w:bookmarkStart w:id="7" w:name="Nitan"/>
      <w:r>
        <w:rPr>
          <w:rFonts w:ascii="Arial" w:hAnsi="Arial"/>
          <w:b/>
          <w:bCs/>
          <w:rtl/>
        </w:rPr>
        <w:t xml:space="preserve">ניתן היום, כ"ד סיוון תשפ"ב, 23 יוני 2022, במעמד ב"כ המאשימה עו"ד רונית גרניק-סופר, ב"כ </w:t>
      </w:r>
      <w:bookmarkEnd w:id="7"/>
      <w:r w:rsidR="003E0762">
        <w:rPr>
          <w:rFonts w:ascii="Arial" w:hAnsi="Arial" w:hint="cs"/>
          <w:b/>
          <w:bCs/>
          <w:rtl/>
        </w:rPr>
        <w:t>הנאשם עו"ד מחמוד שאמי והנאשם באמצעות הליווי</w:t>
      </w:r>
      <w:r w:rsidR="003E0762" w:rsidRPr="001C6522">
        <w:rPr>
          <w:rFonts w:ascii="Arial" w:hAnsi="Arial"/>
          <w:b/>
          <w:bCs/>
          <w:rtl/>
        </w:rPr>
        <w:t>.</w:t>
      </w:r>
    </w:p>
    <w:p w14:paraId="1771E199" w14:textId="77777777" w:rsidR="003E0762" w:rsidRPr="00D9188F" w:rsidRDefault="00D9188F" w:rsidP="003E0762">
      <w:pPr>
        <w:jc w:val="center"/>
        <w:rPr>
          <w:rFonts w:ascii="Arial" w:hAnsi="Arial"/>
          <w:b/>
          <w:bCs/>
          <w:color w:val="FFFFFF"/>
          <w:sz w:val="2"/>
          <w:szCs w:val="2"/>
          <w:rtl/>
        </w:rPr>
      </w:pPr>
      <w:r w:rsidRPr="00D9188F">
        <w:rPr>
          <w:rFonts w:ascii="Arial" w:hAnsi="Arial"/>
          <w:b/>
          <w:bCs/>
          <w:color w:val="FFFFFF"/>
          <w:sz w:val="2"/>
          <w:szCs w:val="2"/>
          <w:rtl/>
        </w:rPr>
        <w:t>5129371</w:t>
      </w:r>
      <w:r w:rsidR="003E0762" w:rsidRPr="00D9188F">
        <w:rPr>
          <w:rFonts w:ascii="Arial" w:hAnsi="Arial"/>
          <w:b/>
          <w:bCs/>
          <w:color w:val="FFFFFF"/>
          <w:sz w:val="2"/>
          <w:szCs w:val="2"/>
          <w:rtl/>
        </w:rPr>
        <w:tab/>
      </w:r>
      <w:r w:rsidR="003E0762" w:rsidRPr="00D9188F">
        <w:rPr>
          <w:rFonts w:ascii="Arial" w:hAnsi="Arial"/>
          <w:b/>
          <w:bCs/>
          <w:color w:val="FFFFFF"/>
          <w:sz w:val="2"/>
          <w:szCs w:val="2"/>
          <w:rtl/>
        </w:rPr>
        <w:tab/>
      </w:r>
      <w:r w:rsidR="003E0762" w:rsidRPr="00D9188F">
        <w:rPr>
          <w:rFonts w:ascii="Arial" w:hAnsi="Arial"/>
          <w:b/>
          <w:bCs/>
          <w:color w:val="FFFFFF"/>
          <w:sz w:val="2"/>
          <w:szCs w:val="2"/>
          <w:rtl/>
        </w:rPr>
        <w:tab/>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3E0762" w14:paraId="613DA004" w14:textId="77777777" w:rsidTr="003E0762">
        <w:trPr>
          <w:trHeight w:val="316"/>
          <w:jc w:val="right"/>
        </w:trPr>
        <w:tc>
          <w:tcPr>
            <w:tcW w:w="3936" w:type="dxa"/>
            <w:tcBorders>
              <w:top w:val="nil"/>
              <w:left w:val="nil"/>
              <w:bottom w:val="single" w:sz="4" w:space="0" w:color="auto"/>
              <w:right w:val="nil"/>
            </w:tcBorders>
            <w:shd w:val="clear" w:color="auto" w:fill="auto"/>
            <w:vAlign w:val="center"/>
          </w:tcPr>
          <w:p w14:paraId="06E868C7" w14:textId="77777777" w:rsidR="003E0762" w:rsidRPr="00D9188F" w:rsidRDefault="00D9188F" w:rsidP="003E0762">
            <w:pPr>
              <w:jc w:val="center"/>
              <w:rPr>
                <w:rFonts w:cs="Times New Roman"/>
                <w:color w:val="FFFFFF"/>
                <w:sz w:val="2"/>
                <w:szCs w:val="2"/>
              </w:rPr>
            </w:pPr>
            <w:r w:rsidRPr="00D9188F">
              <w:rPr>
                <w:rFonts w:cs="Times New Roman"/>
                <w:color w:val="FFFFFF"/>
                <w:sz w:val="2"/>
                <w:szCs w:val="2"/>
                <w:rtl/>
              </w:rPr>
              <w:t>54678313</w:t>
            </w:r>
          </w:p>
          <w:p w14:paraId="1D0844A1" w14:textId="77777777" w:rsidR="003E0762" w:rsidRDefault="003E0762" w:rsidP="003E0762">
            <w:pPr>
              <w:jc w:val="center"/>
            </w:pPr>
          </w:p>
        </w:tc>
      </w:tr>
      <w:tr w:rsidR="003E0762" w14:paraId="27196FB6" w14:textId="77777777" w:rsidTr="003E0762">
        <w:trPr>
          <w:trHeight w:val="361"/>
          <w:jc w:val="right"/>
        </w:trPr>
        <w:tc>
          <w:tcPr>
            <w:tcW w:w="3936" w:type="dxa"/>
            <w:tcBorders>
              <w:top w:val="single" w:sz="4" w:space="0" w:color="auto"/>
              <w:left w:val="nil"/>
              <w:bottom w:val="nil"/>
              <w:right w:val="nil"/>
            </w:tcBorders>
            <w:shd w:val="clear" w:color="auto" w:fill="auto"/>
            <w:vAlign w:val="center"/>
          </w:tcPr>
          <w:p w14:paraId="143096E4" w14:textId="77777777" w:rsidR="003E0762" w:rsidRPr="003E0762" w:rsidRDefault="003E0762" w:rsidP="003E0762">
            <w:pPr>
              <w:jc w:val="center"/>
              <w:rPr>
                <w:b/>
                <w:bCs/>
                <w:rtl/>
              </w:rPr>
            </w:pPr>
            <w:r w:rsidRPr="003E0762">
              <w:rPr>
                <w:b/>
                <w:bCs/>
                <w:rtl/>
              </w:rPr>
              <w:t>ארז</w:t>
            </w:r>
            <w:r w:rsidRPr="003E0762">
              <w:rPr>
                <w:rFonts w:hint="cs"/>
                <w:b/>
                <w:bCs/>
                <w:rtl/>
              </w:rPr>
              <w:t xml:space="preserve"> </w:t>
            </w:r>
            <w:r w:rsidRPr="003E0762">
              <w:rPr>
                <w:b/>
                <w:bCs/>
                <w:rtl/>
              </w:rPr>
              <w:t>פורת</w:t>
            </w:r>
            <w:r w:rsidRPr="003E0762">
              <w:rPr>
                <w:rFonts w:hint="cs"/>
                <w:b/>
                <w:bCs/>
                <w:rtl/>
              </w:rPr>
              <w:t xml:space="preserve">, </w:t>
            </w:r>
            <w:r w:rsidRPr="003E0762">
              <w:rPr>
                <w:b/>
                <w:bCs/>
                <w:rtl/>
              </w:rPr>
              <w:t>שופט</w:t>
            </w:r>
          </w:p>
        </w:tc>
      </w:tr>
    </w:tbl>
    <w:p w14:paraId="15DF6C84" w14:textId="77777777" w:rsidR="003E0762" w:rsidRPr="000F2247" w:rsidRDefault="003E0762" w:rsidP="003E0762">
      <w:pPr>
        <w:jc w:val="center"/>
        <w:rPr>
          <w:rFonts w:ascii="Arial" w:hAnsi="Arial"/>
          <w:b/>
          <w:bCs/>
          <w:sz w:val="26"/>
          <w:szCs w:val="26"/>
          <w:rtl/>
        </w:rPr>
      </w:pPr>
    </w:p>
    <w:p w14:paraId="3752BDCC" w14:textId="77777777" w:rsidR="00404BB7" w:rsidRPr="00D9188F" w:rsidRDefault="00404BB7" w:rsidP="00D9188F">
      <w:pPr>
        <w:keepNext/>
        <w:rPr>
          <w:rFonts w:ascii="David" w:hAnsi="David"/>
          <w:color w:val="000000"/>
          <w:sz w:val="22"/>
          <w:szCs w:val="22"/>
          <w:rtl/>
        </w:rPr>
      </w:pPr>
    </w:p>
    <w:p w14:paraId="7C481DA3" w14:textId="77777777" w:rsidR="00D9188F" w:rsidRPr="00D9188F" w:rsidRDefault="00D9188F" w:rsidP="00D9188F">
      <w:pPr>
        <w:keepNext/>
        <w:rPr>
          <w:rFonts w:ascii="David" w:hAnsi="David"/>
          <w:color w:val="000000"/>
          <w:sz w:val="22"/>
          <w:szCs w:val="22"/>
          <w:rtl/>
        </w:rPr>
      </w:pPr>
      <w:r w:rsidRPr="00D9188F">
        <w:rPr>
          <w:rFonts w:ascii="David" w:hAnsi="David"/>
          <w:color w:val="000000"/>
          <w:sz w:val="22"/>
          <w:szCs w:val="22"/>
          <w:rtl/>
        </w:rPr>
        <w:t>ארז פורת 54678313</w:t>
      </w:r>
    </w:p>
    <w:p w14:paraId="75A5F0F2" w14:textId="77777777" w:rsidR="00D9188F" w:rsidRDefault="00D9188F" w:rsidP="00D9188F">
      <w:r w:rsidRPr="00D9188F">
        <w:rPr>
          <w:color w:val="000000"/>
          <w:rtl/>
        </w:rPr>
        <w:t>נוסח מסמך זה כפוף לשינויי ניסוח ועריכה</w:t>
      </w:r>
    </w:p>
    <w:p w14:paraId="7A196221" w14:textId="77777777" w:rsidR="00D9188F" w:rsidRDefault="00D9188F" w:rsidP="00D9188F">
      <w:pPr>
        <w:rPr>
          <w:rtl/>
        </w:rPr>
      </w:pPr>
    </w:p>
    <w:p w14:paraId="3AD693AF" w14:textId="77777777" w:rsidR="00D9188F" w:rsidRDefault="00D9188F" w:rsidP="00D9188F">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4EC789D" w14:textId="77777777" w:rsidR="00D9188F" w:rsidRPr="00D9188F" w:rsidRDefault="00D9188F" w:rsidP="00D9188F">
      <w:pPr>
        <w:jc w:val="center"/>
        <w:rPr>
          <w:color w:val="0000FF"/>
          <w:u w:val="single"/>
        </w:rPr>
      </w:pPr>
    </w:p>
    <w:sectPr w:rsidR="00D9188F" w:rsidRPr="00D9188F" w:rsidSect="00D9188F">
      <w:headerReference w:type="even" r:id="rId58"/>
      <w:headerReference w:type="default" r:id="rId59"/>
      <w:footerReference w:type="even" r:id="rId60"/>
      <w:footerReference w:type="default" r:id="rId61"/>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1190B" w14:textId="77777777" w:rsidR="007A02F7" w:rsidRDefault="007A02F7" w:rsidP="00370605">
      <w:r>
        <w:separator/>
      </w:r>
    </w:p>
  </w:endnote>
  <w:endnote w:type="continuationSeparator" w:id="0">
    <w:p w14:paraId="56C15997" w14:textId="77777777" w:rsidR="007A02F7" w:rsidRDefault="007A02F7" w:rsidP="00370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954E8" w14:textId="77777777" w:rsidR="00D9188F" w:rsidRDefault="00D9188F" w:rsidP="00D918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1B2232" w14:textId="77777777" w:rsidR="002A7D25" w:rsidRPr="00D9188F" w:rsidRDefault="00D9188F" w:rsidP="00D918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AA41C" w14:textId="77777777" w:rsidR="00D9188F" w:rsidRDefault="00D9188F" w:rsidP="00D918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B0B">
      <w:rPr>
        <w:rFonts w:ascii="FrankRuehl" w:hAnsi="FrankRuehl" w:cs="FrankRuehl"/>
        <w:noProof/>
        <w:rtl/>
      </w:rPr>
      <w:t>1</w:t>
    </w:r>
    <w:r>
      <w:rPr>
        <w:rFonts w:ascii="FrankRuehl" w:hAnsi="FrankRuehl" w:cs="FrankRuehl"/>
        <w:rtl/>
      </w:rPr>
      <w:fldChar w:fldCharType="end"/>
    </w:r>
  </w:p>
  <w:p w14:paraId="63366E68" w14:textId="77777777" w:rsidR="002A7D25" w:rsidRPr="00D9188F" w:rsidRDefault="00D9188F" w:rsidP="00D918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624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CFEBA" w14:textId="77777777" w:rsidR="007A02F7" w:rsidRDefault="007A02F7" w:rsidP="00370605">
      <w:r>
        <w:separator/>
      </w:r>
    </w:p>
  </w:footnote>
  <w:footnote w:type="continuationSeparator" w:id="0">
    <w:p w14:paraId="6DD0B461" w14:textId="77777777" w:rsidR="007A02F7" w:rsidRDefault="007A02F7" w:rsidP="00370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784DA" w14:textId="77777777" w:rsidR="00D9188F" w:rsidRPr="00D9188F" w:rsidRDefault="00D9188F" w:rsidP="00D918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40056-02-22</w:t>
    </w:r>
    <w:r>
      <w:rPr>
        <w:rFonts w:ascii="David" w:hAnsi="David"/>
        <w:color w:val="000000"/>
        <w:sz w:val="22"/>
        <w:szCs w:val="22"/>
        <w:rtl/>
      </w:rPr>
      <w:tab/>
      <w:t xml:space="preserve"> מדינת ישראל נ' ראמי סויטאת,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41FD5" w14:textId="77777777" w:rsidR="00D9188F" w:rsidRPr="00D9188F" w:rsidRDefault="00D9188F" w:rsidP="00D918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40056-02-22</w:t>
    </w:r>
    <w:r>
      <w:rPr>
        <w:rFonts w:ascii="David" w:hAnsi="David"/>
        <w:color w:val="000000"/>
        <w:sz w:val="22"/>
        <w:szCs w:val="22"/>
        <w:rtl/>
      </w:rPr>
      <w:tab/>
      <w:t xml:space="preserve"> מדינת ישראל נ' ראמי סויטאת,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9A2AA8"/>
    <w:multiLevelType w:val="hybridMultilevel"/>
    <w:tmpl w:val="BD38840E"/>
    <w:lvl w:ilvl="0" w:tplc="0324CFAE">
      <w:start w:val="1"/>
      <w:numFmt w:val="decimal"/>
      <w:lvlText w:val="%1."/>
      <w:lvlJc w:val="left"/>
      <w:pPr>
        <w:ind w:left="360" w:hanging="360"/>
      </w:pPr>
      <w:rPr>
        <w:lang w:bidi="he-IL"/>
      </w:rPr>
    </w:lvl>
    <w:lvl w:ilvl="1" w:tplc="9B629FEA">
      <w:start w:val="1"/>
      <w:numFmt w:val="hebrew1"/>
      <w:lvlText w:val="%2."/>
      <w:lvlJc w:val="center"/>
      <w:pPr>
        <w:ind w:left="1080" w:hanging="360"/>
      </w:pPr>
      <w:rPr>
        <w:lang w:val="en-US"/>
      </w:rPr>
    </w:lvl>
    <w:lvl w:ilvl="2" w:tplc="04090011">
      <w:start w:val="1"/>
      <w:numFmt w:val="decimal"/>
      <w:lvlText w:val="%3)"/>
      <w:lvlJc w:val="lef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24084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0762"/>
    <w:rsid w:val="00077DAE"/>
    <w:rsid w:val="00146F1B"/>
    <w:rsid w:val="001B5A3B"/>
    <w:rsid w:val="002A7D25"/>
    <w:rsid w:val="002D48E9"/>
    <w:rsid w:val="00370605"/>
    <w:rsid w:val="003E0762"/>
    <w:rsid w:val="00404BB7"/>
    <w:rsid w:val="00533B0B"/>
    <w:rsid w:val="00671F2C"/>
    <w:rsid w:val="00700430"/>
    <w:rsid w:val="007A02F7"/>
    <w:rsid w:val="008D2E15"/>
    <w:rsid w:val="00BF187E"/>
    <w:rsid w:val="00D24E8F"/>
    <w:rsid w:val="00D918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0947CC"/>
  <w15:chartTrackingRefBased/>
  <w15:docId w15:val="{6CF41F7C-1678-401B-A65F-73E9678D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076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0762"/>
    <w:pPr>
      <w:tabs>
        <w:tab w:val="center" w:pos="4153"/>
        <w:tab w:val="right" w:pos="8306"/>
      </w:tabs>
    </w:pPr>
  </w:style>
  <w:style w:type="character" w:customStyle="1" w:styleId="a4">
    <w:name w:val="כותרת עליונה תו"/>
    <w:link w:val="a3"/>
    <w:rsid w:val="003E0762"/>
    <w:rPr>
      <w:rFonts w:ascii="Times New Roman" w:eastAsia="Times New Roman" w:hAnsi="Times New Roman" w:cs="David"/>
      <w:sz w:val="24"/>
      <w:szCs w:val="24"/>
    </w:rPr>
  </w:style>
  <w:style w:type="paragraph" w:styleId="a5">
    <w:name w:val="footer"/>
    <w:basedOn w:val="a"/>
    <w:link w:val="a6"/>
    <w:rsid w:val="003E0762"/>
    <w:pPr>
      <w:tabs>
        <w:tab w:val="center" w:pos="4153"/>
        <w:tab w:val="right" w:pos="8306"/>
      </w:tabs>
    </w:pPr>
  </w:style>
  <w:style w:type="character" w:customStyle="1" w:styleId="a6">
    <w:name w:val="כותרת תחתונה תו"/>
    <w:link w:val="a5"/>
    <w:rsid w:val="003E0762"/>
    <w:rPr>
      <w:rFonts w:ascii="Times New Roman" w:eastAsia="Times New Roman" w:hAnsi="Times New Roman" w:cs="David"/>
      <w:sz w:val="24"/>
      <w:szCs w:val="24"/>
    </w:rPr>
  </w:style>
  <w:style w:type="table" w:styleId="a7">
    <w:name w:val="Table Grid"/>
    <w:basedOn w:val="a1"/>
    <w:rsid w:val="003E076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E0762"/>
  </w:style>
  <w:style w:type="character" w:customStyle="1" w:styleId="TimesNewRomanTimesNewRoman">
    <w:name w:val="סגנון (לטיני) Times New Roman (עברית ושפות אחרות) Times New Roman..."/>
    <w:rsid w:val="003E0762"/>
    <w:rPr>
      <w:rFonts w:ascii="Times New Roman" w:hAnsi="Times New Roman" w:cs="David" w:hint="default"/>
      <w:b/>
      <w:bCs/>
      <w:sz w:val="26"/>
      <w:szCs w:val="26"/>
    </w:rPr>
  </w:style>
  <w:style w:type="character" w:styleId="Hyperlink">
    <w:name w:val="Hyperlink"/>
    <w:rsid w:val="00D91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52" TargetMode="External"/><Relationship Id="rId18" Type="http://schemas.openxmlformats.org/officeDocument/2006/relationships/hyperlink" Target="http://www.nevo.co.il/law/70301/452" TargetMode="External"/><Relationship Id="rId26" Type="http://schemas.openxmlformats.org/officeDocument/2006/relationships/hyperlink" Target="http://www.nevo.co.il/law/70301/340a.a" TargetMode="External"/><Relationship Id="rId39" Type="http://schemas.openxmlformats.org/officeDocument/2006/relationships/hyperlink" Target="http://www.nevo.co.il/case/27207408" TargetMode="External"/><Relationship Id="rId21" Type="http://schemas.openxmlformats.org/officeDocument/2006/relationships/hyperlink" Target="http://www.nevo.co.il/law/70301/452"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7404359" TargetMode="External"/><Relationship Id="rId47" Type="http://schemas.openxmlformats.org/officeDocument/2006/relationships/hyperlink" Target="http://www.nevo.co.il/law/70301/192;275" TargetMode="External"/><Relationship Id="rId50" Type="http://schemas.openxmlformats.org/officeDocument/2006/relationships/hyperlink" Target="http://www.nevo.co.il/law/70301/40g" TargetMode="External"/><Relationship Id="rId55" Type="http://schemas.openxmlformats.org/officeDocument/2006/relationships/hyperlink" Target="http://www.nevo.co.il/law/70301/452"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 TargetMode="External"/><Relationship Id="rId29" Type="http://schemas.openxmlformats.org/officeDocument/2006/relationships/hyperlink" Target="http://www.nevo.co.il/case/5823680"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533264" TargetMode="External"/><Relationship Id="rId37" Type="http://schemas.openxmlformats.org/officeDocument/2006/relationships/hyperlink" Target="http://www.nevo.co.il/case/27115374"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40a.a"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152"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28296934" TargetMode="External"/><Relationship Id="rId30" Type="http://schemas.openxmlformats.org/officeDocument/2006/relationships/hyperlink" Target="http://www.nevo.co.il/case/6169945" TargetMode="External"/><Relationship Id="rId35" Type="http://schemas.openxmlformats.org/officeDocument/2006/relationships/hyperlink" Target="http://www.nevo.co.il/case/27894608"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40a"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40a.a"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28533308" TargetMode="External"/><Relationship Id="rId38" Type="http://schemas.openxmlformats.org/officeDocument/2006/relationships/hyperlink" Target="http://www.nevo.co.il/case/27907602" TargetMode="External"/><Relationship Id="rId46" Type="http://schemas.openxmlformats.org/officeDocument/2006/relationships/hyperlink" Target="http://www.nevo.co.il/law/70301" TargetMode="External"/><Relationship Id="rId59"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7915710" TargetMode="External"/><Relationship Id="rId54" Type="http://schemas.openxmlformats.org/officeDocument/2006/relationships/hyperlink" Target="http://www.nevo.co.il/law/70301/152"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377887"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144" TargetMode="External"/><Relationship Id="rId31" Type="http://schemas.openxmlformats.org/officeDocument/2006/relationships/hyperlink" Target="http://www.nevo.co.il/case/607263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144"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2668</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15982</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86</vt:i4>
      </vt:variant>
      <vt:variant>
        <vt:i4>147</vt:i4>
      </vt:variant>
      <vt:variant>
        <vt:i4>0</vt:i4>
      </vt:variant>
      <vt:variant>
        <vt:i4>5</vt:i4>
      </vt:variant>
      <vt:variant>
        <vt:lpwstr>http://www.nevo.co.il/law/70301/340a</vt:lpwstr>
      </vt:variant>
      <vt:variant>
        <vt:lpwstr/>
      </vt:variant>
      <vt:variant>
        <vt:i4>6291553</vt:i4>
      </vt:variant>
      <vt:variant>
        <vt:i4>144</vt:i4>
      </vt:variant>
      <vt:variant>
        <vt:i4>0</vt:i4>
      </vt:variant>
      <vt:variant>
        <vt:i4>5</vt:i4>
      </vt:variant>
      <vt:variant>
        <vt:lpwstr>http://www.nevo.co.il/law/70301/452</vt:lpwstr>
      </vt:variant>
      <vt:variant>
        <vt:lpwstr/>
      </vt:variant>
      <vt:variant>
        <vt:i4>6291556</vt:i4>
      </vt:variant>
      <vt:variant>
        <vt:i4>141</vt:i4>
      </vt:variant>
      <vt:variant>
        <vt:i4>0</vt:i4>
      </vt:variant>
      <vt:variant>
        <vt:i4>5</vt:i4>
      </vt:variant>
      <vt:variant>
        <vt:lpwstr>http://www.nevo.co.il/law/70301/152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6357092</vt:i4>
      </vt:variant>
      <vt:variant>
        <vt:i4>135</vt:i4>
      </vt:variant>
      <vt:variant>
        <vt:i4>0</vt:i4>
      </vt:variant>
      <vt:variant>
        <vt:i4>5</vt:i4>
      </vt:variant>
      <vt:variant>
        <vt:lpwstr>http://www.nevo.co.il/law/70301/144</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http://www.nevo.co.il/law/70301/40g</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6291556</vt:i4>
      </vt:variant>
      <vt:variant>
        <vt:i4>120</vt:i4>
      </vt:variant>
      <vt:variant>
        <vt:i4>0</vt:i4>
      </vt:variant>
      <vt:variant>
        <vt:i4>5</vt:i4>
      </vt:variant>
      <vt:variant>
        <vt:lpwstr>http://www.nevo.co.il/law/70301/192;275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6357112</vt:i4>
      </vt:variant>
      <vt:variant>
        <vt:i4>114</vt:i4>
      </vt:variant>
      <vt:variant>
        <vt:i4>0</vt:i4>
      </vt:variant>
      <vt:variant>
        <vt:i4>5</vt:i4>
      </vt:variant>
      <vt:variant>
        <vt:lpwstr>http://www.nevo.co.il/law/70301/340a.a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http://www.nevo.co.il/law/70301/144.a</vt:lpwstr>
      </vt:variant>
      <vt:variant>
        <vt:lpwstr/>
      </vt:variant>
      <vt:variant>
        <vt:i4>3604592</vt:i4>
      </vt:variant>
      <vt:variant>
        <vt:i4>105</vt:i4>
      </vt:variant>
      <vt:variant>
        <vt:i4>0</vt:i4>
      </vt:variant>
      <vt:variant>
        <vt:i4>5</vt:i4>
      </vt:variant>
      <vt:variant>
        <vt:lpwstr>http://www.nevo.co.il/case/27404359</vt:lpwstr>
      </vt:variant>
      <vt:variant>
        <vt:lpwstr/>
      </vt:variant>
      <vt:variant>
        <vt:i4>4128885</vt:i4>
      </vt:variant>
      <vt:variant>
        <vt:i4>102</vt:i4>
      </vt:variant>
      <vt:variant>
        <vt:i4>0</vt:i4>
      </vt:variant>
      <vt:variant>
        <vt:i4>5</vt:i4>
      </vt:variant>
      <vt:variant>
        <vt:lpwstr>http://www.nevo.co.il/case/27915710</vt:lpwstr>
      </vt:variant>
      <vt:variant>
        <vt:lpwstr/>
      </vt:variant>
      <vt:variant>
        <vt:i4>7995492</vt:i4>
      </vt:variant>
      <vt:variant>
        <vt:i4>99</vt:i4>
      </vt:variant>
      <vt:variant>
        <vt:i4>0</vt:i4>
      </vt:variant>
      <vt:variant>
        <vt:i4>5</vt:i4>
      </vt:variant>
      <vt:variant>
        <vt:lpwstr>http://www.nevo.co.il/law/70301</vt:lpwstr>
      </vt:variant>
      <vt:variant>
        <vt:lpwstr/>
      </vt:variant>
      <vt:variant>
        <vt:i4>3604599</vt:i4>
      </vt:variant>
      <vt:variant>
        <vt:i4>96</vt:i4>
      </vt:variant>
      <vt:variant>
        <vt:i4>0</vt:i4>
      </vt:variant>
      <vt:variant>
        <vt:i4>5</vt:i4>
      </vt:variant>
      <vt:variant>
        <vt:lpwstr>http://www.nevo.co.il/case/27207408</vt:lpwstr>
      </vt:variant>
      <vt:variant>
        <vt:lpwstr/>
      </vt:variant>
      <vt:variant>
        <vt:i4>3932277</vt:i4>
      </vt:variant>
      <vt:variant>
        <vt:i4>93</vt:i4>
      </vt:variant>
      <vt:variant>
        <vt:i4>0</vt:i4>
      </vt:variant>
      <vt:variant>
        <vt:i4>5</vt:i4>
      </vt:variant>
      <vt:variant>
        <vt:lpwstr>http://www.nevo.co.il/case/27907602</vt:lpwstr>
      </vt:variant>
      <vt:variant>
        <vt:lpwstr/>
      </vt:variant>
      <vt:variant>
        <vt:i4>3211377</vt:i4>
      </vt:variant>
      <vt:variant>
        <vt:i4>90</vt:i4>
      </vt:variant>
      <vt:variant>
        <vt:i4>0</vt:i4>
      </vt:variant>
      <vt:variant>
        <vt:i4>5</vt:i4>
      </vt:variant>
      <vt:variant>
        <vt:lpwstr>http://www.nevo.co.il/case/27115374</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4063356</vt:i4>
      </vt:variant>
      <vt:variant>
        <vt:i4>84</vt:i4>
      </vt:variant>
      <vt:variant>
        <vt:i4>0</vt:i4>
      </vt:variant>
      <vt:variant>
        <vt:i4>5</vt:i4>
      </vt:variant>
      <vt:variant>
        <vt:lpwstr>http://www.nevo.co.il/case/27894608</vt:lpwstr>
      </vt:variant>
      <vt:variant>
        <vt:lpwstr/>
      </vt:variant>
      <vt:variant>
        <vt:i4>7995492</vt:i4>
      </vt:variant>
      <vt:variant>
        <vt:i4>81</vt:i4>
      </vt:variant>
      <vt:variant>
        <vt:i4>0</vt:i4>
      </vt:variant>
      <vt:variant>
        <vt:i4>5</vt:i4>
      </vt:variant>
      <vt:variant>
        <vt:lpwstr>http://www.nevo.co.il/law/70301</vt:lpwstr>
      </vt:variant>
      <vt:variant>
        <vt:lpwstr/>
      </vt:variant>
      <vt:variant>
        <vt:i4>3407996</vt:i4>
      </vt:variant>
      <vt:variant>
        <vt:i4>78</vt:i4>
      </vt:variant>
      <vt:variant>
        <vt:i4>0</vt:i4>
      </vt:variant>
      <vt:variant>
        <vt:i4>5</vt:i4>
      </vt:variant>
      <vt:variant>
        <vt:lpwstr>http://www.nevo.co.il/case/28533308</vt:lpwstr>
      </vt:variant>
      <vt:variant>
        <vt:lpwstr/>
      </vt:variant>
      <vt:variant>
        <vt:i4>3276925</vt:i4>
      </vt:variant>
      <vt:variant>
        <vt:i4>75</vt:i4>
      </vt:variant>
      <vt:variant>
        <vt:i4>0</vt:i4>
      </vt:variant>
      <vt:variant>
        <vt:i4>5</vt:i4>
      </vt:variant>
      <vt:variant>
        <vt:lpwstr>http://www.nevo.co.il/case/28533264</vt:lpwstr>
      </vt:variant>
      <vt:variant>
        <vt:lpwstr/>
      </vt:variant>
      <vt:variant>
        <vt:i4>3473525</vt:i4>
      </vt:variant>
      <vt:variant>
        <vt:i4>72</vt:i4>
      </vt:variant>
      <vt:variant>
        <vt:i4>0</vt:i4>
      </vt:variant>
      <vt:variant>
        <vt:i4>5</vt:i4>
      </vt:variant>
      <vt:variant>
        <vt:lpwstr>http://www.nevo.co.il/case/6072632</vt:lpwstr>
      </vt:variant>
      <vt:variant>
        <vt:lpwstr/>
      </vt:variant>
      <vt:variant>
        <vt:i4>3932280</vt:i4>
      </vt:variant>
      <vt:variant>
        <vt:i4>69</vt:i4>
      </vt:variant>
      <vt:variant>
        <vt:i4>0</vt:i4>
      </vt:variant>
      <vt:variant>
        <vt:i4>5</vt:i4>
      </vt:variant>
      <vt:variant>
        <vt:lpwstr>http://www.nevo.co.il/case/6169945</vt:lpwstr>
      </vt:variant>
      <vt:variant>
        <vt:lpwstr/>
      </vt:variant>
      <vt:variant>
        <vt:i4>3211383</vt:i4>
      </vt:variant>
      <vt:variant>
        <vt:i4>66</vt:i4>
      </vt:variant>
      <vt:variant>
        <vt:i4>0</vt:i4>
      </vt:variant>
      <vt:variant>
        <vt:i4>5</vt:i4>
      </vt:variant>
      <vt:variant>
        <vt:lpwstr>http://www.nevo.co.il/case/5823680</vt:lpwstr>
      </vt:variant>
      <vt:variant>
        <vt:lpwstr/>
      </vt:variant>
      <vt:variant>
        <vt:i4>786507</vt:i4>
      </vt:variant>
      <vt:variant>
        <vt:i4>63</vt:i4>
      </vt:variant>
      <vt:variant>
        <vt:i4>0</vt:i4>
      </vt:variant>
      <vt:variant>
        <vt:i4>5</vt:i4>
      </vt:variant>
      <vt:variant>
        <vt:lpwstr>http://www.nevo.co.il/case/377887</vt:lpwstr>
      </vt:variant>
      <vt:variant>
        <vt:lpwstr/>
      </vt:variant>
      <vt:variant>
        <vt:i4>3473532</vt:i4>
      </vt:variant>
      <vt:variant>
        <vt:i4>60</vt:i4>
      </vt:variant>
      <vt:variant>
        <vt:i4>0</vt:i4>
      </vt:variant>
      <vt:variant>
        <vt:i4>5</vt:i4>
      </vt:variant>
      <vt:variant>
        <vt:lpwstr>http://www.nevo.co.il/case/28296934</vt:lpwstr>
      </vt:variant>
      <vt:variant>
        <vt:lpwstr/>
      </vt:variant>
      <vt:variant>
        <vt:i4>6357112</vt:i4>
      </vt:variant>
      <vt:variant>
        <vt:i4>57</vt:i4>
      </vt:variant>
      <vt:variant>
        <vt:i4>0</vt:i4>
      </vt:variant>
      <vt:variant>
        <vt:i4>5</vt:i4>
      </vt:variant>
      <vt:variant>
        <vt:lpwstr>http://www.nevo.co.il/law/70301/340a.a</vt:lpwstr>
      </vt:variant>
      <vt:variant>
        <vt:lpwstr/>
      </vt:variant>
      <vt:variant>
        <vt:i4>5177424</vt:i4>
      </vt:variant>
      <vt:variant>
        <vt:i4>54</vt:i4>
      </vt:variant>
      <vt:variant>
        <vt:i4>0</vt:i4>
      </vt:variant>
      <vt:variant>
        <vt:i4>5</vt:i4>
      </vt:variant>
      <vt:variant>
        <vt:lpwstr>http://www.nevo.co.il/law/70301/144.b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6291556</vt:i4>
      </vt:variant>
      <vt:variant>
        <vt:i4>36</vt:i4>
      </vt:variant>
      <vt:variant>
        <vt:i4>0</vt:i4>
      </vt:variant>
      <vt:variant>
        <vt:i4>5</vt:i4>
      </vt:variant>
      <vt:variant>
        <vt:lpwstr>http://www.nevo.co.il/law/70301/152</vt:lpwstr>
      </vt:variant>
      <vt:variant>
        <vt:lpwstr/>
      </vt:variant>
      <vt:variant>
        <vt:i4>6291553</vt:i4>
      </vt:variant>
      <vt:variant>
        <vt:i4>33</vt:i4>
      </vt:variant>
      <vt:variant>
        <vt:i4>0</vt:i4>
      </vt:variant>
      <vt:variant>
        <vt:i4>5</vt:i4>
      </vt:variant>
      <vt:variant>
        <vt:lpwstr>http://www.nevo.co.il/law/70301/452</vt:lpwstr>
      </vt:variant>
      <vt:variant>
        <vt:lpwstr/>
      </vt:variant>
      <vt:variant>
        <vt:i4>6357112</vt:i4>
      </vt:variant>
      <vt:variant>
        <vt:i4>30</vt:i4>
      </vt:variant>
      <vt:variant>
        <vt:i4>0</vt:i4>
      </vt:variant>
      <vt:variant>
        <vt:i4>5</vt:i4>
      </vt:variant>
      <vt:variant>
        <vt:lpwstr>http://www.nevo.co.il/law/70301/340a.a</vt:lpwstr>
      </vt:variant>
      <vt:variant>
        <vt:lpwstr/>
      </vt:variant>
      <vt:variant>
        <vt:i4>86</vt:i4>
      </vt:variant>
      <vt:variant>
        <vt:i4>27</vt:i4>
      </vt:variant>
      <vt:variant>
        <vt:i4>0</vt:i4>
      </vt:variant>
      <vt:variant>
        <vt:i4>5</vt:i4>
      </vt:variant>
      <vt:variant>
        <vt:lpwstr>http://www.nevo.co.il/law/70301/340a</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6291556</vt:i4>
      </vt:variant>
      <vt:variant>
        <vt:i4>18</vt:i4>
      </vt:variant>
      <vt:variant>
        <vt:i4>0</vt:i4>
      </vt:variant>
      <vt:variant>
        <vt:i4>5</vt:i4>
      </vt:variant>
      <vt:variant>
        <vt:lpwstr>http://www.nevo.co.il/law/70301/152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40056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ראמי סויטאת,</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20220623</vt:lpwstr>
  </property>
  <property fmtid="{D5CDD505-2E9C-101B-9397-08002B2CF9AE}" pid="13" name="TYPE_N_DATE">
    <vt:lpwstr>39020220623</vt:lpwstr>
  </property>
  <property fmtid="{D5CDD505-2E9C-101B-9397-08002B2CF9AE}" pid="14" name="WORDNUMPAGES">
    <vt:lpwstr>7</vt:lpwstr>
  </property>
  <property fmtid="{D5CDD505-2E9C-101B-9397-08002B2CF9AE}" pid="15" name="TYPE_ABS_DATE">
    <vt:lpwstr>390020220623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28296934;377887;5823680;6169945;6072632;28533264;28533308;27894608;28152132;27115374;27907602;27207408;27915710;27404359</vt:lpwstr>
  </property>
  <property fmtid="{D5CDD505-2E9C-101B-9397-08002B2CF9AE}" pid="36" name="LAWLISTTMP1">
    <vt:lpwstr>70301/152:2;452:2;029;144.b:2;340a.a:2;144.a;192;275;040g;144;340a</vt:lpwstr>
  </property>
</Properties>
</file>