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775" w:type="dxa"/>
        <w:jc w:val="center"/>
        <w:tblLook w:val="0000" w:firstRow="0" w:lastRow="0" w:firstColumn="0" w:lastColumn="0" w:noHBand="0" w:noVBand="0"/>
      </w:tblPr>
      <w:tblGrid>
        <w:gridCol w:w="248"/>
        <w:gridCol w:w="2604"/>
        <w:gridCol w:w="2207"/>
        <w:gridCol w:w="3662"/>
        <w:gridCol w:w="54"/>
      </w:tblGrid>
      <w:tr w:rsidR="00EF62C5" w:rsidRPr="00780E32" w14:paraId="012DADB2" w14:textId="77777777" w:rsidTr="00402C3F">
        <w:trPr>
          <w:gridAfter w:val="1"/>
          <w:wAfter w:w="54" w:type="dxa"/>
          <w:trHeight w:hRule="exact" w:val="418"/>
          <w:jc w:val="center"/>
        </w:trPr>
        <w:tc>
          <w:tcPr>
            <w:tcW w:w="8721" w:type="dxa"/>
            <w:gridSpan w:val="4"/>
          </w:tcPr>
          <w:p w14:paraId="46428679" w14:textId="77777777" w:rsidR="00EF62C5" w:rsidRPr="00780E32" w:rsidRDefault="00EF62C5" w:rsidP="00286850">
            <w:pPr>
              <w:pStyle w:val="a3"/>
              <w:jc w:val="center"/>
              <w:rPr>
                <w:rFonts w:ascii="Tahoma" w:hAnsi="Tahoma" w:cs="Tahoma"/>
                <w:color w:val="000080"/>
                <w:rtl/>
              </w:rPr>
            </w:pPr>
            <w:bookmarkStart w:id="0" w:name="LastJudge"/>
            <w:r w:rsidRPr="00780E32">
              <w:rPr>
                <w:rFonts w:ascii="Tahoma" w:hAnsi="Tahoma" w:cs="Tahoma"/>
                <w:b/>
                <w:bCs/>
                <w:color w:val="000080"/>
                <w:rtl/>
              </w:rPr>
              <w:t>בית המשפט המחוזי בחיפה</w:t>
            </w:r>
          </w:p>
        </w:tc>
      </w:tr>
      <w:tr w:rsidR="00EF62C5" w:rsidRPr="00780E32" w14:paraId="0FD08DA6" w14:textId="77777777" w:rsidTr="00402C3F">
        <w:trPr>
          <w:gridAfter w:val="1"/>
          <w:wAfter w:w="54" w:type="dxa"/>
          <w:trHeight w:val="337"/>
          <w:jc w:val="center"/>
        </w:trPr>
        <w:tc>
          <w:tcPr>
            <w:tcW w:w="5059" w:type="dxa"/>
            <w:gridSpan w:val="3"/>
          </w:tcPr>
          <w:p w14:paraId="506D420E" w14:textId="77777777" w:rsidR="00EF62C5" w:rsidRPr="00780E32" w:rsidRDefault="00EF62C5" w:rsidP="00286850">
            <w:pPr>
              <w:rPr>
                <w:rFonts w:cs="FrankRuehl"/>
                <w:sz w:val="28"/>
                <w:szCs w:val="28"/>
                <w:rtl/>
              </w:rPr>
            </w:pPr>
            <w:r w:rsidRPr="00780E32">
              <w:rPr>
                <w:rFonts w:cs="FrankRuehl"/>
                <w:sz w:val="28"/>
                <w:szCs w:val="28"/>
                <w:rtl/>
              </w:rPr>
              <w:t>ת"פ</w:t>
            </w:r>
            <w:r w:rsidRPr="00780E32">
              <w:rPr>
                <w:rFonts w:cs="FrankRuehl" w:hint="cs"/>
                <w:sz w:val="28"/>
                <w:szCs w:val="28"/>
                <w:rtl/>
              </w:rPr>
              <w:t xml:space="preserve"> </w:t>
            </w:r>
            <w:r w:rsidRPr="00780E32">
              <w:rPr>
                <w:rFonts w:cs="FrankRuehl"/>
                <w:sz w:val="28"/>
                <w:szCs w:val="28"/>
                <w:rtl/>
              </w:rPr>
              <w:t>41952-02-22</w:t>
            </w:r>
            <w:r w:rsidRPr="00780E32">
              <w:rPr>
                <w:rFonts w:cs="FrankRuehl" w:hint="cs"/>
                <w:sz w:val="28"/>
                <w:szCs w:val="28"/>
                <w:rtl/>
              </w:rPr>
              <w:t xml:space="preserve"> </w:t>
            </w:r>
            <w:r w:rsidRPr="00780E32">
              <w:rPr>
                <w:rFonts w:cs="FrankRuehl"/>
                <w:sz w:val="28"/>
                <w:szCs w:val="28"/>
                <w:rtl/>
              </w:rPr>
              <w:t>מדינת ישראל נ' אמארה(עציר)</w:t>
            </w:r>
          </w:p>
          <w:p w14:paraId="0A8BFC5D" w14:textId="77777777" w:rsidR="00EF62C5" w:rsidRPr="00780E32" w:rsidRDefault="00EF62C5" w:rsidP="00286850">
            <w:pPr>
              <w:pStyle w:val="a3"/>
              <w:rPr>
                <w:rFonts w:cs="FrankRuehl"/>
                <w:sz w:val="28"/>
                <w:szCs w:val="28"/>
                <w:rtl/>
              </w:rPr>
            </w:pPr>
          </w:p>
        </w:tc>
        <w:tc>
          <w:tcPr>
            <w:tcW w:w="3662" w:type="dxa"/>
          </w:tcPr>
          <w:p w14:paraId="375D4298" w14:textId="77777777" w:rsidR="00EF62C5" w:rsidRPr="00780E32" w:rsidRDefault="00EF62C5" w:rsidP="00286850">
            <w:pPr>
              <w:pStyle w:val="a3"/>
              <w:jc w:val="right"/>
              <w:rPr>
                <w:rFonts w:cs="FrankRuehl"/>
                <w:sz w:val="28"/>
                <w:szCs w:val="28"/>
                <w:rtl/>
              </w:rPr>
            </w:pPr>
          </w:p>
        </w:tc>
      </w:tr>
      <w:tr w:rsidR="00EF62C5" w:rsidRPr="00780E32" w14:paraId="230D5439" w14:textId="77777777" w:rsidTr="00402C3F">
        <w:tblPrEx>
          <w:jc w:val="left"/>
          <w:tblLook w:val="01E0" w:firstRow="1" w:lastRow="1" w:firstColumn="1" w:lastColumn="1" w:noHBand="0" w:noVBand="0"/>
        </w:tblPrEx>
        <w:trPr>
          <w:gridBefore w:val="1"/>
          <w:wBefore w:w="248" w:type="dxa"/>
        </w:trPr>
        <w:tc>
          <w:tcPr>
            <w:tcW w:w="8527" w:type="dxa"/>
            <w:gridSpan w:val="4"/>
            <w:shd w:val="clear" w:color="auto" w:fill="auto"/>
          </w:tcPr>
          <w:p w14:paraId="4ED6D745" w14:textId="77777777" w:rsidR="00EF62C5" w:rsidRPr="00780E32" w:rsidRDefault="00EF62C5" w:rsidP="00EF62C5">
            <w:pPr>
              <w:jc w:val="both"/>
              <w:rPr>
                <w:b/>
                <w:bCs/>
                <w:sz w:val="26"/>
                <w:szCs w:val="26"/>
                <w:rtl/>
              </w:rPr>
            </w:pPr>
            <w:r w:rsidRPr="00780E32">
              <w:rPr>
                <w:rFonts w:hint="cs"/>
                <w:rtl/>
              </w:rPr>
              <w:t xml:space="preserve"> </w:t>
            </w:r>
            <w:r w:rsidRPr="00780E32">
              <w:rPr>
                <w:rFonts w:hint="cs"/>
                <w:b/>
                <w:bCs/>
                <w:sz w:val="26"/>
                <w:szCs w:val="26"/>
                <w:rtl/>
              </w:rPr>
              <w:t>לפני כבוד השופט מוחמד עלי</w:t>
            </w:r>
          </w:p>
        </w:tc>
      </w:tr>
      <w:tr w:rsidR="00EF62C5" w:rsidRPr="00780E32" w14:paraId="26EF57E5" w14:textId="77777777" w:rsidTr="00402C3F">
        <w:tblPrEx>
          <w:jc w:val="left"/>
          <w:tblLook w:val="01E0" w:firstRow="1" w:lastRow="1" w:firstColumn="1" w:lastColumn="1" w:noHBand="0" w:noVBand="0"/>
        </w:tblPrEx>
        <w:trPr>
          <w:gridBefore w:val="1"/>
          <w:wBefore w:w="248" w:type="dxa"/>
        </w:trPr>
        <w:tc>
          <w:tcPr>
            <w:tcW w:w="8527" w:type="dxa"/>
            <w:gridSpan w:val="4"/>
            <w:shd w:val="clear" w:color="auto" w:fill="auto"/>
          </w:tcPr>
          <w:p w14:paraId="5164E699" w14:textId="77777777" w:rsidR="00EF62C5" w:rsidRPr="00780E32" w:rsidRDefault="00EF62C5" w:rsidP="00EF62C5">
            <w:pPr>
              <w:jc w:val="both"/>
              <w:rPr>
                <w:b/>
                <w:bCs/>
                <w:sz w:val="26"/>
                <w:szCs w:val="26"/>
                <w:rtl/>
              </w:rPr>
            </w:pPr>
          </w:p>
        </w:tc>
      </w:tr>
      <w:tr w:rsidR="00EF62C5" w:rsidRPr="00780E32" w14:paraId="78709D66" w14:textId="77777777" w:rsidTr="00402C3F">
        <w:tblPrEx>
          <w:jc w:val="left"/>
          <w:tblLook w:val="01E0" w:firstRow="1" w:lastRow="1" w:firstColumn="1" w:lastColumn="1" w:noHBand="0" w:noVBand="0"/>
        </w:tblPrEx>
        <w:trPr>
          <w:gridBefore w:val="1"/>
          <w:wBefore w:w="248" w:type="dxa"/>
          <w:cantSplit/>
          <w:trHeight w:val="269"/>
        </w:trPr>
        <w:tc>
          <w:tcPr>
            <w:tcW w:w="2604" w:type="dxa"/>
            <w:shd w:val="clear" w:color="auto" w:fill="auto"/>
          </w:tcPr>
          <w:p w14:paraId="470BBDA3" w14:textId="77777777" w:rsidR="00EF62C5" w:rsidRPr="00780E32" w:rsidRDefault="00EF62C5" w:rsidP="00EF62C5">
            <w:pPr>
              <w:ind w:left="26"/>
              <w:jc w:val="both"/>
              <w:rPr>
                <w:b/>
                <w:bCs/>
                <w:sz w:val="26"/>
                <w:szCs w:val="26"/>
                <w:rtl/>
              </w:rPr>
            </w:pPr>
            <w:bookmarkStart w:id="1" w:name="FirstAppellant"/>
            <w:r w:rsidRPr="00780E32">
              <w:rPr>
                <w:rFonts w:hint="cs"/>
                <w:b/>
                <w:bCs/>
                <w:sz w:val="26"/>
                <w:szCs w:val="26"/>
                <w:rtl/>
              </w:rPr>
              <w:t>המאשימה:</w:t>
            </w:r>
          </w:p>
        </w:tc>
        <w:tc>
          <w:tcPr>
            <w:tcW w:w="5923" w:type="dxa"/>
            <w:gridSpan w:val="3"/>
            <w:shd w:val="clear" w:color="auto" w:fill="auto"/>
          </w:tcPr>
          <w:p w14:paraId="28770110" w14:textId="77777777" w:rsidR="00EF62C5" w:rsidRPr="00780E32" w:rsidRDefault="00EF62C5" w:rsidP="00EF62C5">
            <w:pPr>
              <w:jc w:val="both"/>
              <w:rPr>
                <w:b/>
                <w:bCs/>
                <w:sz w:val="26"/>
                <w:szCs w:val="26"/>
                <w:rtl/>
              </w:rPr>
            </w:pPr>
            <w:r w:rsidRPr="00780E32">
              <w:rPr>
                <w:rFonts w:hint="cs"/>
                <w:b/>
                <w:bCs/>
                <w:sz w:val="26"/>
                <w:szCs w:val="26"/>
                <w:rtl/>
              </w:rPr>
              <w:t>מדינת-ישראל</w:t>
            </w:r>
          </w:p>
        </w:tc>
      </w:tr>
      <w:tr w:rsidR="00EF62C5" w:rsidRPr="00780E32" w14:paraId="3D62E4E4" w14:textId="77777777" w:rsidTr="00402C3F">
        <w:tblPrEx>
          <w:jc w:val="left"/>
          <w:tblLook w:val="01E0" w:firstRow="1" w:lastRow="1" w:firstColumn="1" w:lastColumn="1" w:noHBand="0" w:noVBand="0"/>
        </w:tblPrEx>
        <w:trPr>
          <w:gridBefore w:val="1"/>
          <w:wBefore w:w="248" w:type="dxa"/>
          <w:cantSplit/>
          <w:trHeight w:val="269"/>
        </w:trPr>
        <w:tc>
          <w:tcPr>
            <w:tcW w:w="2604" w:type="dxa"/>
            <w:shd w:val="clear" w:color="auto" w:fill="auto"/>
          </w:tcPr>
          <w:p w14:paraId="1353430D" w14:textId="77777777" w:rsidR="00EF62C5" w:rsidRPr="00780E32" w:rsidRDefault="00EF62C5" w:rsidP="00EF62C5">
            <w:pPr>
              <w:ind w:left="26"/>
              <w:jc w:val="both"/>
              <w:rPr>
                <w:b/>
                <w:bCs/>
                <w:sz w:val="26"/>
                <w:szCs w:val="26"/>
                <w:rtl/>
              </w:rPr>
            </w:pPr>
            <w:bookmarkStart w:id="2" w:name="FirstLawyer"/>
            <w:bookmarkEnd w:id="1"/>
          </w:p>
        </w:tc>
        <w:tc>
          <w:tcPr>
            <w:tcW w:w="5923" w:type="dxa"/>
            <w:gridSpan w:val="3"/>
            <w:shd w:val="clear" w:color="auto" w:fill="auto"/>
          </w:tcPr>
          <w:p w14:paraId="7C3FF9E6" w14:textId="77777777" w:rsidR="00EF62C5" w:rsidRPr="00780E32" w:rsidRDefault="00EF62C5" w:rsidP="00EF62C5">
            <w:pPr>
              <w:jc w:val="both"/>
              <w:rPr>
                <w:rtl/>
              </w:rPr>
            </w:pPr>
            <w:r w:rsidRPr="00780E32">
              <w:rPr>
                <w:rFonts w:hint="cs"/>
                <w:rtl/>
              </w:rPr>
              <w:t>ע"י ב"כ עו"ד אדם סרי, מפרקליטת מחוז חיפה</w:t>
            </w:r>
          </w:p>
        </w:tc>
      </w:tr>
      <w:bookmarkEnd w:id="2"/>
      <w:tr w:rsidR="00EF62C5" w:rsidRPr="00780E32" w14:paraId="0339F1BF" w14:textId="77777777" w:rsidTr="00402C3F">
        <w:tblPrEx>
          <w:jc w:val="left"/>
          <w:tblLook w:val="01E0" w:firstRow="1" w:lastRow="1" w:firstColumn="1" w:lastColumn="1" w:noHBand="0" w:noVBand="0"/>
        </w:tblPrEx>
        <w:trPr>
          <w:gridBefore w:val="1"/>
          <w:wBefore w:w="248" w:type="dxa"/>
        </w:trPr>
        <w:tc>
          <w:tcPr>
            <w:tcW w:w="8527" w:type="dxa"/>
            <w:gridSpan w:val="4"/>
            <w:shd w:val="clear" w:color="auto" w:fill="auto"/>
            <w:vAlign w:val="center"/>
          </w:tcPr>
          <w:p w14:paraId="15F3CDE1" w14:textId="77777777" w:rsidR="00EF62C5" w:rsidRPr="00780E32" w:rsidRDefault="00EF62C5" w:rsidP="00EF62C5">
            <w:pPr>
              <w:jc w:val="center"/>
              <w:rPr>
                <w:rFonts w:ascii="Arial" w:hAnsi="Arial"/>
                <w:b/>
                <w:bCs/>
                <w:sz w:val="26"/>
                <w:szCs w:val="26"/>
                <w:rtl/>
              </w:rPr>
            </w:pPr>
          </w:p>
          <w:p w14:paraId="452DFC6A" w14:textId="77777777" w:rsidR="00EF62C5" w:rsidRPr="00780E32" w:rsidRDefault="00EF62C5" w:rsidP="00EF62C5">
            <w:pPr>
              <w:jc w:val="center"/>
              <w:rPr>
                <w:rFonts w:ascii="Arial" w:hAnsi="Arial"/>
                <w:b/>
                <w:bCs/>
                <w:sz w:val="26"/>
                <w:szCs w:val="26"/>
                <w:rtl/>
              </w:rPr>
            </w:pPr>
            <w:r w:rsidRPr="00780E32">
              <w:rPr>
                <w:rFonts w:ascii="Arial" w:hAnsi="Arial" w:hint="cs"/>
                <w:b/>
                <w:bCs/>
                <w:sz w:val="26"/>
                <w:szCs w:val="26"/>
                <w:rtl/>
              </w:rPr>
              <w:t>- נגד -</w:t>
            </w:r>
          </w:p>
          <w:p w14:paraId="103959E2" w14:textId="77777777" w:rsidR="00EF62C5" w:rsidRPr="00780E32" w:rsidRDefault="00EF62C5" w:rsidP="00EF62C5">
            <w:pPr>
              <w:jc w:val="center"/>
              <w:rPr>
                <w:rFonts w:ascii="Arial" w:hAnsi="Arial"/>
                <w:b/>
                <w:bCs/>
                <w:sz w:val="26"/>
                <w:szCs w:val="26"/>
                <w:rtl/>
              </w:rPr>
            </w:pPr>
          </w:p>
        </w:tc>
      </w:tr>
      <w:tr w:rsidR="00EF62C5" w:rsidRPr="00780E32" w14:paraId="09D921B6" w14:textId="77777777" w:rsidTr="00402C3F">
        <w:tblPrEx>
          <w:jc w:val="left"/>
          <w:tblLook w:val="01E0" w:firstRow="1" w:lastRow="1" w:firstColumn="1" w:lastColumn="1" w:noHBand="0" w:noVBand="0"/>
        </w:tblPrEx>
        <w:trPr>
          <w:gridBefore w:val="1"/>
          <w:wBefore w:w="248" w:type="dxa"/>
        </w:trPr>
        <w:tc>
          <w:tcPr>
            <w:tcW w:w="2604" w:type="dxa"/>
            <w:shd w:val="clear" w:color="auto" w:fill="auto"/>
          </w:tcPr>
          <w:p w14:paraId="60FBDA2B" w14:textId="77777777" w:rsidR="00EF62C5" w:rsidRPr="00780E32" w:rsidRDefault="00EF62C5" w:rsidP="00EF62C5">
            <w:pPr>
              <w:ind w:left="26"/>
              <w:jc w:val="both"/>
              <w:rPr>
                <w:b/>
                <w:bCs/>
                <w:sz w:val="26"/>
                <w:szCs w:val="26"/>
                <w:rtl/>
              </w:rPr>
            </w:pPr>
            <w:r w:rsidRPr="00780E32">
              <w:rPr>
                <w:rFonts w:hint="cs"/>
                <w:b/>
                <w:bCs/>
                <w:sz w:val="26"/>
                <w:szCs w:val="26"/>
                <w:rtl/>
              </w:rPr>
              <w:t>הנאשם:</w:t>
            </w:r>
          </w:p>
        </w:tc>
        <w:tc>
          <w:tcPr>
            <w:tcW w:w="5923" w:type="dxa"/>
            <w:gridSpan w:val="3"/>
            <w:shd w:val="clear" w:color="auto" w:fill="auto"/>
          </w:tcPr>
          <w:p w14:paraId="38ED7CCA" w14:textId="77777777" w:rsidR="00EF62C5" w:rsidRPr="00780E32" w:rsidRDefault="00EF62C5" w:rsidP="00EF62C5">
            <w:pPr>
              <w:jc w:val="both"/>
              <w:rPr>
                <w:b/>
                <w:bCs/>
                <w:sz w:val="26"/>
                <w:szCs w:val="26"/>
                <w:rtl/>
              </w:rPr>
            </w:pPr>
            <w:r w:rsidRPr="00780E32">
              <w:rPr>
                <w:rFonts w:hint="cs"/>
                <w:b/>
                <w:bCs/>
                <w:sz w:val="26"/>
                <w:szCs w:val="26"/>
                <w:rtl/>
              </w:rPr>
              <w:t xml:space="preserve">עיסאם אמארה, ת"ז </w:t>
            </w:r>
            <w:r w:rsidR="00780E32">
              <w:rPr>
                <w:b/>
                <w:bCs/>
                <w:sz w:val="26"/>
                <w:szCs w:val="26"/>
              </w:rPr>
              <w:t>xxxxxxxxxx</w:t>
            </w:r>
            <w:r w:rsidRPr="00780E32">
              <w:rPr>
                <w:rFonts w:hint="cs"/>
                <w:b/>
                <w:bCs/>
                <w:sz w:val="26"/>
                <w:szCs w:val="26"/>
                <w:rtl/>
              </w:rPr>
              <w:t>(עציר)</w:t>
            </w:r>
          </w:p>
        </w:tc>
      </w:tr>
      <w:tr w:rsidR="00EF62C5" w:rsidRPr="00780E32" w14:paraId="5A4ED1F6" w14:textId="77777777" w:rsidTr="00402C3F">
        <w:tblPrEx>
          <w:jc w:val="left"/>
          <w:tblLook w:val="01E0" w:firstRow="1" w:lastRow="1" w:firstColumn="1" w:lastColumn="1" w:noHBand="0" w:noVBand="0"/>
        </w:tblPrEx>
        <w:trPr>
          <w:gridBefore w:val="1"/>
          <w:wBefore w:w="248" w:type="dxa"/>
          <w:trHeight w:val="315"/>
        </w:trPr>
        <w:tc>
          <w:tcPr>
            <w:tcW w:w="2604" w:type="dxa"/>
            <w:shd w:val="clear" w:color="auto" w:fill="auto"/>
          </w:tcPr>
          <w:p w14:paraId="69EEEBCD" w14:textId="77777777" w:rsidR="00EF62C5" w:rsidRPr="00780E32" w:rsidRDefault="00EF62C5" w:rsidP="00EF62C5">
            <w:pPr>
              <w:ind w:left="26"/>
              <w:jc w:val="both"/>
              <w:rPr>
                <w:b/>
                <w:bCs/>
                <w:sz w:val="26"/>
                <w:szCs w:val="26"/>
                <w:rtl/>
              </w:rPr>
            </w:pPr>
          </w:p>
        </w:tc>
        <w:tc>
          <w:tcPr>
            <w:tcW w:w="5923" w:type="dxa"/>
            <w:gridSpan w:val="3"/>
            <w:shd w:val="clear" w:color="auto" w:fill="auto"/>
          </w:tcPr>
          <w:p w14:paraId="0DD90984" w14:textId="77777777" w:rsidR="00EF62C5" w:rsidRPr="00780E32" w:rsidRDefault="00EF62C5" w:rsidP="00EF62C5">
            <w:pPr>
              <w:jc w:val="both"/>
              <w:rPr>
                <w:rtl/>
              </w:rPr>
            </w:pPr>
            <w:r w:rsidRPr="00780E32">
              <w:rPr>
                <w:rFonts w:hint="cs"/>
                <w:rtl/>
              </w:rPr>
              <w:t xml:space="preserve">ע"י ב"כ עו"ד פאדי זועבי </w:t>
            </w:r>
          </w:p>
        </w:tc>
      </w:tr>
    </w:tbl>
    <w:p w14:paraId="1CD9AF5F" w14:textId="77777777" w:rsidR="00402C3F" w:rsidRDefault="00402C3F" w:rsidP="00EF62C5">
      <w:pPr>
        <w:rPr>
          <w:rtl/>
        </w:rPr>
      </w:pPr>
    </w:p>
    <w:p w14:paraId="6629A3A7" w14:textId="77777777" w:rsidR="00402C3F" w:rsidRPr="00402C3F" w:rsidRDefault="00402C3F" w:rsidP="00402C3F">
      <w:pPr>
        <w:spacing w:after="120" w:line="240" w:lineRule="exact"/>
        <w:ind w:left="283" w:hanging="283"/>
        <w:jc w:val="both"/>
        <w:rPr>
          <w:rFonts w:ascii="FrankRuehl" w:hAnsi="FrankRuehl" w:cs="FrankRuehl"/>
          <w:rtl/>
        </w:rPr>
      </w:pPr>
    </w:p>
    <w:p w14:paraId="66783D32" w14:textId="77777777" w:rsidR="00FE4074" w:rsidRPr="00FE4074" w:rsidRDefault="00FE4074" w:rsidP="00FE4074">
      <w:pPr>
        <w:spacing w:before="120" w:after="120" w:line="240" w:lineRule="exact"/>
        <w:ind w:left="283" w:hanging="283"/>
        <w:jc w:val="both"/>
        <w:rPr>
          <w:rFonts w:ascii="FrankRuehl" w:hAnsi="FrankRuehl" w:cs="FrankRuehl"/>
          <w:rtl/>
        </w:rPr>
      </w:pPr>
    </w:p>
    <w:p w14:paraId="2DD086D9" w14:textId="77777777" w:rsidR="00F57BB9" w:rsidRDefault="00F57BB9" w:rsidP="00F57BB9">
      <w:pPr>
        <w:rPr>
          <w:rFonts w:ascii="Arial" w:hAnsi="Arial"/>
          <w:sz w:val="26"/>
          <w:szCs w:val="26"/>
          <w:rtl/>
        </w:rPr>
      </w:pPr>
      <w:bookmarkStart w:id="3" w:name="LawTable"/>
      <w:bookmarkEnd w:id="3"/>
    </w:p>
    <w:p w14:paraId="33D20AF3" w14:textId="77777777" w:rsidR="00F57BB9" w:rsidRPr="00F57BB9" w:rsidRDefault="00F57BB9" w:rsidP="00F57BB9">
      <w:pPr>
        <w:spacing w:before="120" w:after="120" w:line="240" w:lineRule="exact"/>
        <w:ind w:left="283" w:hanging="283"/>
        <w:jc w:val="both"/>
        <w:rPr>
          <w:rFonts w:ascii="FrankRuehl" w:hAnsi="FrankRuehl" w:cs="FrankRuehl"/>
          <w:rtl/>
        </w:rPr>
      </w:pPr>
    </w:p>
    <w:p w14:paraId="1BFAD722" w14:textId="77777777" w:rsidR="00F57BB9" w:rsidRPr="00F57BB9" w:rsidRDefault="00F57BB9" w:rsidP="00F57BB9">
      <w:pPr>
        <w:spacing w:before="120" w:after="120" w:line="240" w:lineRule="exact"/>
        <w:ind w:left="283" w:hanging="283"/>
        <w:jc w:val="both"/>
        <w:rPr>
          <w:rFonts w:ascii="FrankRuehl" w:hAnsi="FrankRuehl" w:cs="FrankRuehl"/>
          <w:rtl/>
        </w:rPr>
      </w:pPr>
    </w:p>
    <w:p w14:paraId="011BF871" w14:textId="77777777" w:rsidR="00F57BB9" w:rsidRPr="00F57BB9" w:rsidRDefault="00F57BB9" w:rsidP="00F57BB9">
      <w:pPr>
        <w:spacing w:before="120" w:after="120" w:line="240" w:lineRule="exact"/>
        <w:ind w:left="283" w:hanging="283"/>
        <w:jc w:val="both"/>
        <w:rPr>
          <w:rFonts w:ascii="FrankRuehl" w:hAnsi="FrankRuehl" w:cs="FrankRuehl"/>
          <w:rtl/>
        </w:rPr>
      </w:pPr>
      <w:r w:rsidRPr="00F57BB9">
        <w:rPr>
          <w:rFonts w:ascii="FrankRuehl" w:hAnsi="FrankRuehl" w:cs="FrankRuehl"/>
          <w:rtl/>
        </w:rPr>
        <w:t xml:space="preserve">חקיקה שאוזכרה: </w:t>
      </w:r>
    </w:p>
    <w:p w14:paraId="2916A64C" w14:textId="77777777" w:rsidR="00F57BB9" w:rsidRPr="00F57BB9" w:rsidRDefault="00F57BB9" w:rsidP="00F57BB9">
      <w:pPr>
        <w:spacing w:before="120" w:after="120" w:line="240" w:lineRule="exact"/>
        <w:ind w:left="283" w:hanging="283"/>
        <w:jc w:val="both"/>
        <w:rPr>
          <w:rFonts w:ascii="FrankRuehl" w:hAnsi="FrankRuehl" w:cs="FrankRuehl"/>
          <w:rtl/>
        </w:rPr>
      </w:pPr>
      <w:hyperlink r:id="rId7" w:history="1">
        <w:r w:rsidRPr="00F57BB9">
          <w:rPr>
            <w:rFonts w:ascii="FrankRuehl" w:hAnsi="FrankRuehl" w:cs="FrankRuehl"/>
            <w:color w:val="0000FF"/>
            <w:rtl/>
          </w:rPr>
          <w:t>חוק העונשין, תשל"ז-1977</w:t>
        </w:r>
      </w:hyperlink>
      <w:r w:rsidRPr="00F57BB9">
        <w:rPr>
          <w:rFonts w:ascii="FrankRuehl" w:hAnsi="FrankRuehl" w:cs="FrankRuehl"/>
          <w:rtl/>
        </w:rPr>
        <w:t xml:space="preserve">: סע'  </w:t>
      </w:r>
      <w:hyperlink r:id="rId8" w:history="1">
        <w:r w:rsidRPr="00F57BB9">
          <w:rPr>
            <w:rFonts w:ascii="FrankRuehl" w:hAnsi="FrankRuehl" w:cs="FrankRuehl"/>
            <w:color w:val="0000FF"/>
            <w:rtl/>
          </w:rPr>
          <w:t>31</w:t>
        </w:r>
      </w:hyperlink>
      <w:r w:rsidRPr="00F57BB9">
        <w:rPr>
          <w:rFonts w:ascii="FrankRuehl" w:hAnsi="FrankRuehl" w:cs="FrankRuehl"/>
          <w:rtl/>
        </w:rPr>
        <w:t xml:space="preserve">, </w:t>
      </w:r>
      <w:hyperlink r:id="rId9" w:history="1">
        <w:r w:rsidRPr="00F57BB9">
          <w:rPr>
            <w:rFonts w:ascii="FrankRuehl" w:hAnsi="FrankRuehl" w:cs="FrankRuehl"/>
            <w:color w:val="0000FF"/>
            <w:rtl/>
          </w:rPr>
          <w:t>32</w:t>
        </w:r>
      </w:hyperlink>
      <w:r w:rsidRPr="00F57BB9">
        <w:rPr>
          <w:rFonts w:ascii="FrankRuehl" w:hAnsi="FrankRuehl" w:cs="FrankRuehl"/>
          <w:rtl/>
        </w:rPr>
        <w:t xml:space="preserve">, </w:t>
      </w:r>
      <w:hyperlink r:id="rId10" w:history="1">
        <w:r w:rsidRPr="00F57BB9">
          <w:rPr>
            <w:rFonts w:ascii="FrankRuehl" w:hAnsi="FrankRuehl" w:cs="FrankRuehl"/>
            <w:color w:val="0000FF"/>
            <w:rtl/>
          </w:rPr>
          <w:t>40ג'</w:t>
        </w:r>
      </w:hyperlink>
      <w:r w:rsidRPr="00F57BB9">
        <w:rPr>
          <w:rFonts w:ascii="FrankRuehl" w:hAnsi="FrankRuehl" w:cs="FrankRuehl"/>
          <w:rtl/>
        </w:rPr>
        <w:t xml:space="preserve">, </w:t>
      </w:r>
      <w:hyperlink r:id="rId11" w:history="1">
        <w:r w:rsidRPr="00F57BB9">
          <w:rPr>
            <w:rFonts w:ascii="FrankRuehl" w:hAnsi="FrankRuehl" w:cs="FrankRuehl"/>
            <w:color w:val="0000FF"/>
            <w:rtl/>
          </w:rPr>
          <w:t>40ט'</w:t>
        </w:r>
      </w:hyperlink>
      <w:r w:rsidRPr="00F57BB9">
        <w:rPr>
          <w:rFonts w:ascii="FrankRuehl" w:hAnsi="FrankRuehl" w:cs="FrankRuehl"/>
          <w:rtl/>
        </w:rPr>
        <w:t xml:space="preserve">, </w:t>
      </w:r>
      <w:hyperlink r:id="rId12" w:history="1">
        <w:r w:rsidRPr="00F57BB9">
          <w:rPr>
            <w:rFonts w:ascii="FrankRuehl" w:hAnsi="FrankRuehl" w:cs="FrankRuehl"/>
            <w:color w:val="0000FF"/>
            <w:rtl/>
          </w:rPr>
          <w:t>40ט(א)</w:t>
        </w:r>
      </w:hyperlink>
      <w:r w:rsidRPr="00F57BB9">
        <w:rPr>
          <w:rFonts w:ascii="FrankRuehl" w:hAnsi="FrankRuehl" w:cs="FrankRuehl"/>
          <w:rtl/>
        </w:rPr>
        <w:t xml:space="preserve">, </w:t>
      </w:r>
      <w:hyperlink r:id="rId13" w:history="1">
        <w:r w:rsidRPr="00F57BB9">
          <w:rPr>
            <w:rFonts w:ascii="FrankRuehl" w:hAnsi="FrankRuehl" w:cs="FrankRuehl"/>
            <w:color w:val="0000FF"/>
            <w:rtl/>
          </w:rPr>
          <w:t>40ט(א)(6)</w:t>
        </w:r>
      </w:hyperlink>
      <w:r w:rsidRPr="00F57BB9">
        <w:rPr>
          <w:rFonts w:ascii="FrankRuehl" w:hAnsi="FrankRuehl" w:cs="FrankRuehl"/>
          <w:rtl/>
        </w:rPr>
        <w:t xml:space="preserve">, </w:t>
      </w:r>
      <w:hyperlink r:id="rId14" w:history="1">
        <w:r w:rsidRPr="00F57BB9">
          <w:rPr>
            <w:rFonts w:ascii="FrankRuehl" w:hAnsi="FrankRuehl" w:cs="FrankRuehl"/>
            <w:color w:val="0000FF"/>
            <w:rtl/>
          </w:rPr>
          <w:t>144(ב)</w:t>
        </w:r>
      </w:hyperlink>
      <w:r w:rsidRPr="00F57BB9">
        <w:rPr>
          <w:rFonts w:ascii="FrankRuehl" w:hAnsi="FrankRuehl" w:cs="FrankRuehl"/>
          <w:rtl/>
        </w:rPr>
        <w:t xml:space="preserve">, </w:t>
      </w:r>
      <w:hyperlink r:id="rId15" w:history="1">
        <w:r w:rsidRPr="00F57BB9">
          <w:rPr>
            <w:rFonts w:ascii="FrankRuehl" w:hAnsi="FrankRuehl" w:cs="FrankRuehl"/>
            <w:color w:val="0000FF"/>
            <w:rtl/>
          </w:rPr>
          <w:t>144(ז)</w:t>
        </w:r>
      </w:hyperlink>
      <w:r w:rsidRPr="00F57BB9">
        <w:rPr>
          <w:rFonts w:ascii="FrankRuehl" w:hAnsi="FrankRuehl" w:cs="FrankRuehl"/>
          <w:rtl/>
        </w:rPr>
        <w:t xml:space="preserve">, </w:t>
      </w:r>
      <w:hyperlink r:id="rId16" w:history="1">
        <w:r w:rsidRPr="00F57BB9">
          <w:rPr>
            <w:rFonts w:ascii="FrankRuehl" w:hAnsi="FrankRuehl" w:cs="FrankRuehl"/>
            <w:color w:val="0000FF"/>
            <w:rtl/>
          </w:rPr>
          <w:t>244</w:t>
        </w:r>
      </w:hyperlink>
      <w:r w:rsidRPr="00F57BB9">
        <w:rPr>
          <w:rFonts w:ascii="FrankRuehl" w:hAnsi="FrankRuehl" w:cs="FrankRuehl"/>
          <w:rtl/>
        </w:rPr>
        <w:t xml:space="preserve">, </w:t>
      </w:r>
      <w:hyperlink r:id="rId17" w:history="1">
        <w:r w:rsidRPr="00F57BB9">
          <w:rPr>
            <w:rFonts w:ascii="FrankRuehl" w:hAnsi="FrankRuehl" w:cs="FrankRuehl"/>
            <w:color w:val="0000FF"/>
            <w:rtl/>
          </w:rPr>
          <w:t>287(א)</w:t>
        </w:r>
      </w:hyperlink>
      <w:r w:rsidRPr="00F57BB9">
        <w:rPr>
          <w:rFonts w:ascii="FrankRuehl" w:hAnsi="FrankRuehl" w:cs="FrankRuehl"/>
          <w:rtl/>
        </w:rPr>
        <w:t xml:space="preserve">, </w:t>
      </w:r>
      <w:hyperlink r:id="rId18" w:history="1">
        <w:r w:rsidRPr="00F57BB9">
          <w:rPr>
            <w:rFonts w:ascii="FrankRuehl" w:hAnsi="FrankRuehl" w:cs="FrankRuehl"/>
            <w:color w:val="0000FF"/>
            <w:rtl/>
          </w:rPr>
          <w:t>40 יא'</w:t>
        </w:r>
      </w:hyperlink>
      <w:r w:rsidRPr="00F57BB9">
        <w:rPr>
          <w:rFonts w:ascii="FrankRuehl" w:hAnsi="FrankRuehl" w:cs="FrankRuehl"/>
          <w:rtl/>
        </w:rPr>
        <w:t xml:space="preserve">, </w:t>
      </w:r>
      <w:hyperlink r:id="rId19" w:history="1">
        <w:r w:rsidRPr="00F57BB9">
          <w:rPr>
            <w:rFonts w:ascii="FrankRuehl" w:hAnsi="FrankRuehl" w:cs="FrankRuehl"/>
            <w:color w:val="0000FF"/>
            <w:rtl/>
          </w:rPr>
          <w:t>40יג'</w:t>
        </w:r>
      </w:hyperlink>
      <w:r w:rsidRPr="00F57BB9">
        <w:rPr>
          <w:rFonts w:ascii="FrankRuehl" w:hAnsi="FrankRuehl" w:cs="FrankRuehl"/>
          <w:rtl/>
        </w:rPr>
        <w:t xml:space="preserve">, </w:t>
      </w:r>
      <w:hyperlink r:id="rId20" w:history="1">
        <w:r w:rsidRPr="00F57BB9">
          <w:rPr>
            <w:rFonts w:ascii="FrankRuehl" w:hAnsi="FrankRuehl" w:cs="FrankRuehl"/>
            <w:color w:val="0000FF"/>
            <w:rtl/>
          </w:rPr>
          <w:t>40יג(2)</w:t>
        </w:r>
      </w:hyperlink>
    </w:p>
    <w:p w14:paraId="64F681A2" w14:textId="77777777" w:rsidR="00F57BB9" w:rsidRPr="00F57BB9" w:rsidRDefault="00F57BB9" w:rsidP="00F57BB9">
      <w:pPr>
        <w:rPr>
          <w:rFonts w:ascii="Arial" w:hAnsi="Arial"/>
          <w:sz w:val="26"/>
          <w:szCs w:val="26"/>
          <w:rtl/>
        </w:rPr>
      </w:pPr>
      <w:bookmarkStart w:id="4" w:name="LawTable_End"/>
      <w:bookmarkEnd w:id="4"/>
    </w:p>
    <w:p w14:paraId="5FD808E4" w14:textId="77777777" w:rsidR="00EF62C5" w:rsidRPr="00FE4074" w:rsidRDefault="00EF62C5" w:rsidP="00FE4074">
      <w:pPr>
        <w:rPr>
          <w:rFonts w:ascii="Arial" w:hAnsi="Arial"/>
          <w:sz w:val="26"/>
          <w:szCs w:val="26"/>
          <w:rtl/>
        </w:rPr>
      </w:pPr>
    </w:p>
    <w:tbl>
      <w:tblPr>
        <w:bidiVisual/>
        <w:tblW w:w="85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0"/>
      </w:tblGrid>
      <w:tr w:rsidR="00EF62C5" w14:paraId="3CAE8364" w14:textId="77777777" w:rsidTr="00EF62C5">
        <w:trPr>
          <w:trHeight w:val="355"/>
          <w:jc w:val="center"/>
        </w:trPr>
        <w:tc>
          <w:tcPr>
            <w:tcW w:w="8510" w:type="dxa"/>
            <w:tcBorders>
              <w:top w:val="nil"/>
              <w:left w:val="nil"/>
              <w:bottom w:val="nil"/>
              <w:right w:val="nil"/>
            </w:tcBorders>
            <w:shd w:val="clear" w:color="auto" w:fill="auto"/>
          </w:tcPr>
          <w:p w14:paraId="7DD9FDAC" w14:textId="77777777" w:rsidR="00780E32" w:rsidRPr="00780E32" w:rsidRDefault="00780E32" w:rsidP="00780E32">
            <w:pPr>
              <w:jc w:val="center"/>
              <w:rPr>
                <w:rFonts w:ascii="David" w:hAnsi="David"/>
                <w:b/>
                <w:bCs/>
                <w:sz w:val="32"/>
                <w:szCs w:val="32"/>
                <w:u w:val="single"/>
                <w:rtl/>
              </w:rPr>
            </w:pPr>
            <w:bookmarkStart w:id="5" w:name="PsakDin" w:colFirst="0" w:colLast="0"/>
            <w:bookmarkEnd w:id="0"/>
            <w:r w:rsidRPr="00780E32">
              <w:rPr>
                <w:rFonts w:ascii="David" w:hAnsi="David"/>
                <w:b/>
                <w:bCs/>
                <w:sz w:val="32"/>
                <w:szCs w:val="32"/>
                <w:u w:val="single"/>
                <w:rtl/>
              </w:rPr>
              <w:t>גזר דין</w:t>
            </w:r>
          </w:p>
          <w:p w14:paraId="2EE5B070" w14:textId="77777777" w:rsidR="00EF62C5" w:rsidRPr="00780E32" w:rsidRDefault="00EF62C5" w:rsidP="00780E32">
            <w:pPr>
              <w:jc w:val="center"/>
              <w:rPr>
                <w:rFonts w:ascii="David" w:hAnsi="David"/>
                <w:bCs/>
                <w:sz w:val="32"/>
                <w:szCs w:val="32"/>
                <w:u w:val="single"/>
                <w:rtl/>
              </w:rPr>
            </w:pPr>
          </w:p>
        </w:tc>
      </w:tr>
      <w:bookmarkEnd w:id="5"/>
    </w:tbl>
    <w:p w14:paraId="0DF370D8" w14:textId="77777777" w:rsidR="00EF62C5" w:rsidRPr="000F2247" w:rsidRDefault="00EF62C5" w:rsidP="00EF62C5">
      <w:pPr>
        <w:rPr>
          <w:rFonts w:ascii="Arial" w:hAnsi="Arial"/>
          <w:b/>
          <w:bCs/>
          <w:sz w:val="26"/>
          <w:szCs w:val="26"/>
          <w:rtl/>
        </w:rPr>
      </w:pPr>
    </w:p>
    <w:p w14:paraId="4F3CB5F5" w14:textId="77777777" w:rsidR="00EF62C5" w:rsidRDefault="00EF62C5" w:rsidP="00EF62C5">
      <w:pPr>
        <w:rPr>
          <w:rFonts w:ascii="Arial" w:hAnsi="Arial"/>
          <w:b/>
          <w:bCs/>
          <w:sz w:val="26"/>
          <w:szCs w:val="26"/>
          <w:rtl/>
        </w:rPr>
      </w:pPr>
      <w:r>
        <w:rPr>
          <w:rFonts w:ascii="Arial" w:hAnsi="Arial" w:hint="cs"/>
          <w:b/>
          <w:bCs/>
          <w:sz w:val="26"/>
          <w:szCs w:val="26"/>
          <w:rtl/>
        </w:rPr>
        <w:t>ההליכים בעניינו של הנאשם</w:t>
      </w:r>
    </w:p>
    <w:p w14:paraId="671D4747" w14:textId="77777777" w:rsidR="00EF62C5" w:rsidRDefault="00EF62C5" w:rsidP="00EF62C5">
      <w:pPr>
        <w:rPr>
          <w:rFonts w:ascii="Arial" w:hAnsi="Arial"/>
          <w:b/>
          <w:bCs/>
          <w:sz w:val="26"/>
          <w:szCs w:val="26"/>
          <w:rtl/>
        </w:rPr>
      </w:pPr>
    </w:p>
    <w:p w14:paraId="69444F60" w14:textId="77777777" w:rsidR="00EF62C5" w:rsidRDefault="00EF62C5" w:rsidP="00EF62C5">
      <w:pPr>
        <w:numPr>
          <w:ilvl w:val="0"/>
          <w:numId w:val="1"/>
        </w:numPr>
        <w:suppressLineNumbers/>
        <w:spacing w:line="360" w:lineRule="auto"/>
        <w:contextualSpacing/>
        <w:jc w:val="both"/>
        <w:rPr>
          <w:noProof/>
        </w:rPr>
      </w:pPr>
      <w:bookmarkStart w:id="6" w:name="ABSTRACT_START"/>
      <w:bookmarkEnd w:id="6"/>
      <w:r>
        <w:rPr>
          <w:rFonts w:hint="cs"/>
          <w:noProof/>
          <w:rtl/>
        </w:rPr>
        <w:t xml:space="preserve">תיק זה מאגד שני הליכים: הראשון </w:t>
      </w:r>
      <w:r>
        <w:rPr>
          <w:noProof/>
          <w:rtl/>
        </w:rPr>
        <w:t>–</w:t>
      </w:r>
      <w:r>
        <w:rPr>
          <w:rFonts w:hint="cs"/>
          <w:noProof/>
          <w:rtl/>
        </w:rPr>
        <w:t xml:space="preserve"> כתב אישום שהוגש בבית משפט זה ב</w:t>
      </w:r>
      <w:hyperlink r:id="rId21" w:history="1">
        <w:r w:rsidR="00780E32" w:rsidRPr="00780E32">
          <w:rPr>
            <w:noProof/>
            <w:color w:val="0000FF"/>
            <w:u w:val="single"/>
            <w:rtl/>
          </w:rPr>
          <w:t>ת"פ 41952-02-22</w:t>
        </w:r>
      </w:hyperlink>
      <w:r>
        <w:rPr>
          <w:rFonts w:hint="cs"/>
          <w:noProof/>
          <w:rtl/>
        </w:rPr>
        <w:t xml:space="preserve"> (להלן:</w:t>
      </w:r>
      <w:r w:rsidRPr="00D14733">
        <w:rPr>
          <w:rFonts w:hint="cs"/>
          <w:b/>
          <w:bCs/>
          <w:noProof/>
          <w:rtl/>
        </w:rPr>
        <w:t>ההליך הנוכחי</w:t>
      </w:r>
      <w:r>
        <w:rPr>
          <w:rFonts w:hint="cs"/>
          <w:noProof/>
          <w:rtl/>
        </w:rPr>
        <w:t xml:space="preserve">);  השני </w:t>
      </w:r>
      <w:r>
        <w:rPr>
          <w:noProof/>
          <w:rtl/>
        </w:rPr>
        <w:t>–</w:t>
      </w:r>
      <w:r>
        <w:rPr>
          <w:rFonts w:hint="cs"/>
          <w:noProof/>
          <w:rtl/>
        </w:rPr>
        <w:t xml:space="preserve"> כתב אישום שהוגש ב</w:t>
      </w:r>
      <w:hyperlink r:id="rId22" w:history="1">
        <w:r w:rsidR="00780E32" w:rsidRPr="00780E32">
          <w:rPr>
            <w:noProof/>
            <w:color w:val="0000FF"/>
            <w:u w:val="single"/>
            <w:rtl/>
          </w:rPr>
          <w:t>ת"פ 55949-02-22</w:t>
        </w:r>
      </w:hyperlink>
      <w:r>
        <w:rPr>
          <w:rFonts w:hint="cs"/>
          <w:noProof/>
          <w:rtl/>
        </w:rPr>
        <w:t xml:space="preserve"> (בבית המשפט המחוזי בנצרת) (להלן: </w:t>
      </w:r>
      <w:r w:rsidRPr="00DD17C9">
        <w:rPr>
          <w:rFonts w:hint="cs"/>
          <w:b/>
          <w:bCs/>
          <w:noProof/>
          <w:rtl/>
        </w:rPr>
        <w:t>ההליך המצורף</w:t>
      </w:r>
      <w:r>
        <w:rPr>
          <w:rFonts w:hint="cs"/>
          <w:noProof/>
          <w:rtl/>
        </w:rPr>
        <w:t>). בהליך הנוכחי הנאשם כפר בעובדות כתב האישום, והתקיים הליך לשמיעת ראיות שבסופו הורשע. לאחר מתן הכרעת הדין בתיק הנוכחי, ביקש הנאשם לצרף את ההליך המצורף, בו הורשע בעקבות הודאתו. בהסכמת המאשימה, בהחלטתי מיום 14.11.2022 הוריתי על צירוף ההליכים.</w:t>
      </w:r>
    </w:p>
    <w:p w14:paraId="7CA5F4E1" w14:textId="77777777" w:rsidR="00EF62C5" w:rsidRPr="00531733" w:rsidRDefault="00EF62C5" w:rsidP="00EF62C5">
      <w:pPr>
        <w:suppressLineNumbers/>
        <w:spacing w:line="360" w:lineRule="auto"/>
        <w:contextualSpacing/>
        <w:jc w:val="both"/>
        <w:rPr>
          <w:noProof/>
        </w:rPr>
      </w:pPr>
      <w:bookmarkStart w:id="7" w:name="ABSTRACT_END"/>
      <w:bookmarkEnd w:id="7"/>
    </w:p>
    <w:p w14:paraId="05B0683C" w14:textId="77777777" w:rsidR="00EF62C5" w:rsidRDefault="00EF62C5" w:rsidP="00EF62C5">
      <w:pPr>
        <w:suppressLineNumbers/>
        <w:spacing w:line="360" w:lineRule="auto"/>
        <w:contextualSpacing/>
        <w:jc w:val="both"/>
        <w:rPr>
          <w:noProof/>
        </w:rPr>
      </w:pPr>
      <w:r>
        <w:rPr>
          <w:rFonts w:hint="cs"/>
          <w:i/>
          <w:iCs/>
          <w:noProof/>
          <w:rtl/>
        </w:rPr>
        <w:t xml:space="preserve">ההליך הנוכחי: </w:t>
      </w:r>
      <w:hyperlink r:id="rId23" w:history="1">
        <w:r w:rsidR="00780E32" w:rsidRPr="00780E32">
          <w:rPr>
            <w:i/>
            <w:iCs/>
            <w:noProof/>
            <w:color w:val="0000FF"/>
            <w:u w:val="single"/>
            <w:rtl/>
          </w:rPr>
          <w:t>ת"פ 41952-02-22</w:t>
        </w:r>
        <w:r w:rsidR="00780E32" w:rsidRPr="00780E32">
          <w:rPr>
            <w:i/>
            <w:iCs/>
            <w:noProof/>
            <w:color w:val="0000FF"/>
            <w:u w:val="single"/>
            <w:rtl/>
          </w:rPr>
          <w:cr/>
        </w:r>
      </w:hyperlink>
    </w:p>
    <w:p w14:paraId="5B9B6916" w14:textId="77777777" w:rsidR="00EF62C5" w:rsidRDefault="00EF62C5" w:rsidP="00EF62C5">
      <w:pPr>
        <w:numPr>
          <w:ilvl w:val="0"/>
          <w:numId w:val="1"/>
        </w:numPr>
        <w:suppressLineNumbers/>
        <w:spacing w:line="360" w:lineRule="auto"/>
        <w:contextualSpacing/>
        <w:jc w:val="both"/>
        <w:rPr>
          <w:noProof/>
        </w:rPr>
      </w:pPr>
      <w:r>
        <w:rPr>
          <w:rFonts w:hint="cs"/>
          <w:noProof/>
          <w:rtl/>
        </w:rPr>
        <w:t xml:space="preserve">בהליך הנוכחי כפר הנאשם בכתב האישום ונוהל הליך הוכחות עד תום שבסופו הורשע הנאשם בעבירות </w:t>
      </w:r>
      <w:r w:rsidRPr="00DD566B">
        <w:rPr>
          <w:rFonts w:ascii="David" w:hAnsi="David" w:hint="cs"/>
          <w:rtl/>
        </w:rPr>
        <w:t xml:space="preserve">של </w:t>
      </w:r>
      <w:r w:rsidRPr="009E6E7E">
        <w:rPr>
          <w:rFonts w:ascii="David" w:hAnsi="David"/>
          <w:rtl/>
        </w:rPr>
        <w:t xml:space="preserve">החזקה, נשיאה והובלת נשק ותחמושת, לפי </w:t>
      </w:r>
      <w:hyperlink r:id="rId24" w:history="1">
        <w:r w:rsidR="00402C3F" w:rsidRPr="00402C3F">
          <w:rPr>
            <w:rStyle w:val="Hyperlink"/>
            <w:rFonts w:ascii="David" w:hAnsi="David"/>
            <w:rtl/>
          </w:rPr>
          <w:t>סעיפים 144(ב)</w:t>
        </w:r>
      </w:hyperlink>
      <w:r w:rsidRPr="009E6E7E">
        <w:rPr>
          <w:rFonts w:ascii="David" w:hAnsi="David"/>
          <w:rtl/>
        </w:rPr>
        <w:t xml:space="preserve"> (רישא וסיפא) </w:t>
      </w:r>
      <w:r w:rsidRPr="009E6E7E">
        <w:rPr>
          <w:rFonts w:ascii="David" w:hAnsi="David"/>
          <w:rtl/>
        </w:rPr>
        <w:lastRenderedPageBreak/>
        <w:t>ל</w:t>
      </w:r>
      <w:hyperlink r:id="rId25" w:history="1">
        <w:r w:rsidR="00780E32" w:rsidRPr="00780E32">
          <w:rPr>
            <w:rFonts w:ascii="David" w:hAnsi="David"/>
            <w:color w:val="0000FF"/>
            <w:u w:val="single"/>
            <w:rtl/>
          </w:rPr>
          <w:t>חוק העונשין</w:t>
        </w:r>
      </w:hyperlink>
      <w:r w:rsidRPr="009E6E7E">
        <w:rPr>
          <w:rFonts w:ascii="David" w:hAnsi="David"/>
          <w:rtl/>
        </w:rPr>
        <w:t xml:space="preserve">, התשל"ז-1977 (להלן: </w:t>
      </w:r>
      <w:r w:rsidRPr="009E6E7E">
        <w:rPr>
          <w:rFonts w:ascii="David" w:hAnsi="David"/>
          <w:b/>
          <w:bCs/>
          <w:rtl/>
        </w:rPr>
        <w:t>חוק העונשין</w:t>
      </w:r>
      <w:r w:rsidRPr="009E6E7E">
        <w:rPr>
          <w:rFonts w:ascii="David" w:hAnsi="David"/>
          <w:rtl/>
        </w:rPr>
        <w:t xml:space="preserve">); שיבוש מהלכי משפט, לפי </w:t>
      </w:r>
      <w:hyperlink r:id="rId26" w:history="1">
        <w:r w:rsidR="00402C3F" w:rsidRPr="00402C3F">
          <w:rPr>
            <w:rStyle w:val="Hyperlink"/>
            <w:rFonts w:ascii="David" w:hAnsi="David"/>
            <w:rtl/>
          </w:rPr>
          <w:t>סעיף 244</w:t>
        </w:r>
      </w:hyperlink>
      <w:r w:rsidRPr="009E6E7E">
        <w:rPr>
          <w:rFonts w:ascii="David" w:hAnsi="David"/>
          <w:rtl/>
        </w:rPr>
        <w:t xml:space="preserve"> לחוק העונשין; והפרת הוראה חוקית, לפי </w:t>
      </w:r>
      <w:hyperlink r:id="rId27" w:history="1">
        <w:r w:rsidR="00402C3F" w:rsidRPr="00402C3F">
          <w:rPr>
            <w:rStyle w:val="Hyperlink"/>
            <w:rFonts w:ascii="David" w:hAnsi="David"/>
            <w:rtl/>
          </w:rPr>
          <w:t>סעיף 287(א)</w:t>
        </w:r>
      </w:hyperlink>
      <w:r w:rsidRPr="009E6E7E">
        <w:rPr>
          <w:rFonts w:ascii="David" w:hAnsi="David"/>
          <w:rtl/>
        </w:rPr>
        <w:t xml:space="preserve"> לחוק העונשין.</w:t>
      </w:r>
      <w:r>
        <w:rPr>
          <w:rFonts w:hint="cs"/>
          <w:noProof/>
          <w:rtl/>
        </w:rPr>
        <w:t xml:space="preserve"> למעשה הנאשם הורשע בעבירות שיוחסו לו בכתב האישום, אך ההרשעה הייתה על בסיס עובדתי שונה </w:t>
      </w:r>
      <w:r w:rsidRPr="00DD566B">
        <w:rPr>
          <w:noProof/>
          <w:rtl/>
        </w:rPr>
        <w:t>במעט מזה שצוין בכתב האישום</w:t>
      </w:r>
      <w:r>
        <w:rPr>
          <w:rFonts w:hint="cs"/>
          <w:noProof/>
          <w:rtl/>
        </w:rPr>
        <w:t>.</w:t>
      </w:r>
    </w:p>
    <w:p w14:paraId="741B6008" w14:textId="77777777" w:rsidR="00EF62C5" w:rsidRPr="008F7DBF" w:rsidRDefault="00EF62C5" w:rsidP="00EF62C5">
      <w:pPr>
        <w:pStyle w:val="a9"/>
        <w:rPr>
          <w:noProof/>
          <w:rtl/>
        </w:rPr>
      </w:pPr>
    </w:p>
    <w:p w14:paraId="59401A73" w14:textId="77777777" w:rsidR="00EF62C5" w:rsidRDefault="00EF62C5" w:rsidP="00EF62C5">
      <w:pPr>
        <w:numPr>
          <w:ilvl w:val="0"/>
          <w:numId w:val="1"/>
        </w:numPr>
        <w:suppressLineNumbers/>
        <w:spacing w:line="360" w:lineRule="auto"/>
        <w:contextualSpacing/>
        <w:jc w:val="both"/>
        <w:rPr>
          <w:noProof/>
        </w:rPr>
      </w:pPr>
      <w:r>
        <w:rPr>
          <w:rFonts w:hint="cs"/>
          <w:noProof/>
          <w:rtl/>
        </w:rPr>
        <w:t>אלה העובדות שהיוו בסיס להרשעת הנאשם כפי שהן עולות מהכרעת הדין:</w:t>
      </w:r>
    </w:p>
    <w:p w14:paraId="0B439E40" w14:textId="77777777" w:rsidR="00EF62C5" w:rsidRDefault="00EF62C5" w:rsidP="00EF62C5">
      <w:pPr>
        <w:pStyle w:val="a9"/>
        <w:rPr>
          <w:rFonts w:ascii="David" w:hAnsi="David"/>
          <w:rtl/>
        </w:rPr>
      </w:pPr>
    </w:p>
    <w:p w14:paraId="3C1AA304" w14:textId="77777777" w:rsidR="00EF62C5" w:rsidRDefault="00EF62C5" w:rsidP="00EF62C5">
      <w:pPr>
        <w:suppressLineNumbers/>
        <w:spacing w:line="360" w:lineRule="auto"/>
        <w:ind w:firstLine="567"/>
        <w:contextualSpacing/>
        <w:jc w:val="both"/>
        <w:rPr>
          <w:noProof/>
        </w:rPr>
      </w:pPr>
      <w:r>
        <w:rPr>
          <w:rFonts w:ascii="David" w:hAnsi="David" w:hint="cs"/>
          <w:rtl/>
        </w:rPr>
        <w:t xml:space="preserve">(-) </w:t>
      </w:r>
      <w:r w:rsidRPr="009E6E7E">
        <w:rPr>
          <w:rFonts w:ascii="David" w:hAnsi="David"/>
          <w:rtl/>
        </w:rPr>
        <w:t xml:space="preserve">ביום 24.1.2022 הורה בית משפט השלום בנצרת בתיק </w:t>
      </w:r>
      <w:hyperlink r:id="rId28" w:history="1">
        <w:r w:rsidR="00780E32" w:rsidRPr="00780E32">
          <w:rPr>
            <w:rFonts w:ascii="David" w:hAnsi="David"/>
            <w:color w:val="0000FF"/>
            <w:u w:val="single"/>
            <w:rtl/>
          </w:rPr>
          <w:t>מ"י 3442-01-22</w:t>
        </w:r>
      </w:hyperlink>
      <w:r w:rsidRPr="009E6E7E">
        <w:rPr>
          <w:rFonts w:ascii="David" w:hAnsi="David"/>
          <w:rtl/>
        </w:rPr>
        <w:t>, בנוכחות הנאשם שהשתתף בדיון באמצעות היוועדות חזותית, כי על הנאשם לשהות במעצר בית מלא בבית</w:t>
      </w:r>
      <w:r>
        <w:rPr>
          <w:rFonts w:ascii="David" w:hAnsi="David" w:hint="cs"/>
          <w:rtl/>
        </w:rPr>
        <w:t xml:space="preserve">ו של </w:t>
      </w:r>
      <w:r w:rsidRPr="009E6E7E">
        <w:rPr>
          <w:rFonts w:ascii="David" w:hAnsi="David"/>
          <w:rtl/>
        </w:rPr>
        <w:t xml:space="preserve">עבד-אלחמיד בוקאעי בטמרה וזאת עד ליום 3.2.2022; וביום 3.22.2022 הוחלט על הארכת תוקף התנאים המגבילים, עד ליום 12.2.2022. </w:t>
      </w:r>
      <w:r>
        <w:rPr>
          <w:rFonts w:ascii="David" w:hAnsi="David" w:hint="cs"/>
          <w:rtl/>
        </w:rPr>
        <w:t>ה</w:t>
      </w:r>
      <w:r w:rsidRPr="009E6E7E">
        <w:rPr>
          <w:rFonts w:ascii="David" w:hAnsi="David"/>
          <w:rtl/>
        </w:rPr>
        <w:t xml:space="preserve">חל מהמועד בו ניתנה החלטת בית המשפט ביום 3.2.2022 ועד למעצרו בתיק </w:t>
      </w:r>
      <w:r>
        <w:rPr>
          <w:rFonts w:ascii="David" w:hAnsi="David" w:hint="cs"/>
          <w:rtl/>
        </w:rPr>
        <w:t>הנוכחי</w:t>
      </w:r>
      <w:r w:rsidRPr="009E6E7E">
        <w:rPr>
          <w:rFonts w:ascii="David" w:hAnsi="David"/>
          <w:rtl/>
        </w:rPr>
        <w:t>, בשעות הערב של יום 7.2.2022, לא שהה הנאשם בבית, וזאת בניגוד להחלטת בית המשפט ותוך שהוא מפר אותה.</w:t>
      </w:r>
    </w:p>
    <w:p w14:paraId="64EC98E8" w14:textId="77777777" w:rsidR="00EF62C5" w:rsidRDefault="00EF62C5" w:rsidP="00EF62C5">
      <w:pPr>
        <w:pStyle w:val="a9"/>
        <w:rPr>
          <w:noProof/>
          <w:rtl/>
        </w:rPr>
      </w:pPr>
    </w:p>
    <w:p w14:paraId="63B2EEEB" w14:textId="77777777" w:rsidR="00EF62C5" w:rsidRDefault="00EF62C5" w:rsidP="00EF62C5">
      <w:pPr>
        <w:suppressLineNumbers/>
        <w:spacing w:line="360" w:lineRule="auto"/>
        <w:ind w:firstLine="567"/>
        <w:contextualSpacing/>
        <w:jc w:val="both"/>
        <w:rPr>
          <w:noProof/>
          <w:rtl/>
        </w:rPr>
      </w:pPr>
      <w:r>
        <w:rPr>
          <w:rFonts w:ascii="David" w:hAnsi="David" w:hint="cs"/>
          <w:rtl/>
        </w:rPr>
        <w:t xml:space="preserve">(-)  </w:t>
      </w:r>
      <w:r w:rsidRPr="009E6E7E">
        <w:rPr>
          <w:rFonts w:ascii="David" w:hAnsi="David"/>
          <w:rtl/>
        </w:rPr>
        <w:t xml:space="preserve">ביום 7.2.2022 לפני השעה 22:48, רכבו הנאשם ומנסור אמארה (להלן: </w:t>
      </w:r>
      <w:r w:rsidRPr="009E6E7E">
        <w:rPr>
          <w:rFonts w:ascii="David" w:hAnsi="David"/>
          <w:b/>
          <w:bCs/>
          <w:rtl/>
        </w:rPr>
        <w:t>מנסור</w:t>
      </w:r>
      <w:r w:rsidRPr="009E6E7E">
        <w:rPr>
          <w:rFonts w:ascii="David" w:hAnsi="David"/>
          <w:rtl/>
        </w:rPr>
        <w:t xml:space="preserve">) על קטנוע שחור מדגם "דאון טאון" (להלן: </w:t>
      </w:r>
      <w:r w:rsidRPr="009E6E7E">
        <w:rPr>
          <w:rFonts w:ascii="David" w:hAnsi="David"/>
          <w:b/>
          <w:bCs/>
          <w:rtl/>
        </w:rPr>
        <w:t>הקטנוע</w:t>
      </w:r>
      <w:r w:rsidRPr="009E6E7E">
        <w:rPr>
          <w:rFonts w:ascii="David" w:hAnsi="David"/>
          <w:rtl/>
        </w:rPr>
        <w:t xml:space="preserve">) בטמרה, כשמנסור נוהג בקטנוע והנאשם </w:t>
      </w:r>
      <w:r>
        <w:rPr>
          <w:rFonts w:ascii="David" w:hAnsi="David" w:hint="cs"/>
          <w:rtl/>
        </w:rPr>
        <w:t xml:space="preserve">רוכב </w:t>
      </w:r>
      <w:r w:rsidRPr="009E6E7E">
        <w:rPr>
          <w:rFonts w:ascii="David" w:hAnsi="David"/>
          <w:rtl/>
        </w:rPr>
        <w:t xml:space="preserve">מאחוריו. </w:t>
      </w:r>
    </w:p>
    <w:p w14:paraId="6284AA20" w14:textId="77777777" w:rsidR="00EF62C5" w:rsidRDefault="00EF62C5" w:rsidP="00EF62C5">
      <w:pPr>
        <w:suppressLineNumbers/>
        <w:spacing w:line="360" w:lineRule="auto"/>
        <w:ind w:firstLine="567"/>
        <w:contextualSpacing/>
        <w:jc w:val="both"/>
        <w:rPr>
          <w:rFonts w:ascii="David" w:hAnsi="David"/>
          <w:rtl/>
        </w:rPr>
      </w:pPr>
    </w:p>
    <w:p w14:paraId="167F7807" w14:textId="77777777" w:rsidR="00EF62C5" w:rsidRDefault="00EF62C5" w:rsidP="00EF62C5">
      <w:pPr>
        <w:spacing w:after="160" w:line="360" w:lineRule="auto"/>
        <w:ind w:firstLine="567"/>
        <w:contextualSpacing/>
        <w:jc w:val="both"/>
        <w:rPr>
          <w:rFonts w:ascii="David" w:hAnsi="David"/>
          <w:rtl/>
        </w:rPr>
      </w:pPr>
      <w:r>
        <w:rPr>
          <w:rFonts w:ascii="David" w:hAnsi="David" w:hint="cs"/>
          <w:rtl/>
        </w:rPr>
        <w:t xml:space="preserve">(-) </w:t>
      </w:r>
      <w:r w:rsidRPr="00C8788F">
        <w:rPr>
          <w:rFonts w:ascii="David" w:hAnsi="David"/>
          <w:rtl/>
        </w:rPr>
        <w:t xml:space="preserve">באותה עת, סיירו בטמרה </w:t>
      </w:r>
      <w:r>
        <w:rPr>
          <w:rFonts w:ascii="David" w:hAnsi="David" w:hint="cs"/>
          <w:rtl/>
        </w:rPr>
        <w:t xml:space="preserve">שני </w:t>
      </w:r>
      <w:r w:rsidRPr="00C8788F">
        <w:rPr>
          <w:rFonts w:ascii="David" w:hAnsi="David"/>
          <w:rtl/>
        </w:rPr>
        <w:t xml:space="preserve">שוטרים כשהם לבושים מדי משטרה, בניידת טנדר משטרתית  (להלן בהתאמה: </w:t>
      </w:r>
      <w:r w:rsidRPr="00C8788F">
        <w:rPr>
          <w:rFonts w:ascii="David" w:hAnsi="David"/>
          <w:b/>
          <w:bCs/>
          <w:rtl/>
        </w:rPr>
        <w:t>השוטרים</w:t>
      </w:r>
      <w:r w:rsidRPr="00C8788F">
        <w:rPr>
          <w:rFonts w:ascii="David" w:hAnsi="David"/>
          <w:rtl/>
        </w:rPr>
        <w:t xml:space="preserve"> ו-</w:t>
      </w:r>
      <w:r w:rsidRPr="00C8788F">
        <w:rPr>
          <w:rFonts w:ascii="David" w:hAnsi="David"/>
          <w:b/>
          <w:bCs/>
          <w:rtl/>
        </w:rPr>
        <w:t>הניידת</w:t>
      </w:r>
      <w:r w:rsidRPr="00C8788F">
        <w:rPr>
          <w:rFonts w:ascii="David" w:hAnsi="David"/>
          <w:rtl/>
        </w:rPr>
        <w:t xml:space="preserve">). השוטרים נעמדו עם הניידת בשכונת "אלחמרה", בצומת סמוך לדרך עפר המובילה לישוב מצפה אביב (להלן: </w:t>
      </w:r>
      <w:r w:rsidRPr="00C8788F">
        <w:rPr>
          <w:rFonts w:ascii="David" w:hAnsi="David"/>
          <w:b/>
          <w:bCs/>
          <w:rtl/>
        </w:rPr>
        <w:t>הצומת</w:t>
      </w:r>
      <w:r w:rsidRPr="00C8788F">
        <w:rPr>
          <w:rFonts w:ascii="David" w:hAnsi="David"/>
          <w:rtl/>
        </w:rPr>
        <w:t xml:space="preserve"> ו-</w:t>
      </w:r>
      <w:r w:rsidRPr="00C8788F">
        <w:rPr>
          <w:rFonts w:ascii="David" w:hAnsi="David"/>
          <w:b/>
          <w:bCs/>
          <w:rtl/>
        </w:rPr>
        <w:t>דרך העפר</w:t>
      </w:r>
      <w:r w:rsidRPr="00C8788F">
        <w:rPr>
          <w:rFonts w:ascii="David" w:hAnsi="David"/>
          <w:rtl/>
        </w:rPr>
        <w:t>). בשעה 22:48 או בסמוך לכך, התקרבו מנסור והנאשם עם הקטנוע לצומת. משהבחינו בניידת, הנאשם ומנסור סטו שמאלה מכיוון נסיעתם ונכנסו לדרך העפר.</w:t>
      </w:r>
    </w:p>
    <w:p w14:paraId="332C5553" w14:textId="77777777" w:rsidR="00EF62C5" w:rsidRDefault="00EF62C5" w:rsidP="00EF62C5">
      <w:pPr>
        <w:spacing w:after="160" w:line="360" w:lineRule="auto"/>
        <w:ind w:firstLine="567"/>
        <w:contextualSpacing/>
        <w:jc w:val="both"/>
        <w:rPr>
          <w:rFonts w:ascii="David" w:hAnsi="David"/>
          <w:rtl/>
        </w:rPr>
      </w:pPr>
    </w:p>
    <w:p w14:paraId="46D20E25" w14:textId="77777777" w:rsidR="00EF62C5" w:rsidRDefault="00EF62C5" w:rsidP="00EF62C5">
      <w:pPr>
        <w:spacing w:after="160" w:line="360" w:lineRule="auto"/>
        <w:ind w:firstLine="567"/>
        <w:contextualSpacing/>
        <w:jc w:val="both"/>
        <w:rPr>
          <w:rFonts w:ascii="David" w:hAnsi="David"/>
          <w:rtl/>
        </w:rPr>
      </w:pPr>
      <w:r>
        <w:rPr>
          <w:rFonts w:ascii="David" w:hAnsi="David" w:hint="cs"/>
          <w:rtl/>
        </w:rPr>
        <w:t xml:space="preserve">(-) </w:t>
      </w:r>
      <w:r w:rsidRPr="00C8788F">
        <w:rPr>
          <w:rFonts w:ascii="David" w:hAnsi="David"/>
          <w:rtl/>
        </w:rPr>
        <w:t>השוטרים, אשר הבחינו בהתנהלות הנאשם ומנסור, הדליקו את האורות הכחולים בחלק העליון של הניידת, והחלו לנסוע אחרי הנאשם ומנסור בדרך העפר</w:t>
      </w:r>
      <w:r>
        <w:rPr>
          <w:rFonts w:ascii="David" w:hAnsi="David" w:hint="cs"/>
          <w:rtl/>
        </w:rPr>
        <w:t xml:space="preserve"> </w:t>
      </w:r>
      <w:r>
        <w:rPr>
          <w:rFonts w:ascii="David" w:hAnsi="David"/>
          <w:rtl/>
        </w:rPr>
        <w:t>–</w:t>
      </w:r>
      <w:r w:rsidRPr="00C8788F">
        <w:rPr>
          <w:rFonts w:ascii="David" w:hAnsi="David"/>
          <w:rtl/>
        </w:rPr>
        <w:t xml:space="preserve"> תוך שהם כורזים להם לעצור בצד. מנסור התעל</w:t>
      </w:r>
      <w:r>
        <w:rPr>
          <w:rFonts w:ascii="David" w:hAnsi="David" w:hint="cs"/>
          <w:rtl/>
        </w:rPr>
        <w:t>ם</w:t>
      </w:r>
      <w:r w:rsidRPr="00C8788F">
        <w:rPr>
          <w:rFonts w:ascii="David" w:hAnsi="David"/>
          <w:rtl/>
        </w:rPr>
        <w:t xml:space="preserve"> מקריאות השוטרים והמשי</w:t>
      </w:r>
      <w:r>
        <w:rPr>
          <w:rFonts w:ascii="David" w:hAnsi="David" w:hint="cs"/>
          <w:rtl/>
        </w:rPr>
        <w:t>ך</w:t>
      </w:r>
      <w:r w:rsidRPr="00C8788F">
        <w:rPr>
          <w:rFonts w:ascii="David" w:hAnsi="David"/>
          <w:rtl/>
        </w:rPr>
        <w:t xml:space="preserve"> בנסיעה בדרך העפר</w:t>
      </w:r>
      <w:r>
        <w:rPr>
          <w:rFonts w:ascii="David" w:hAnsi="David" w:hint="cs"/>
          <w:rtl/>
        </w:rPr>
        <w:t xml:space="preserve">. </w:t>
      </w:r>
    </w:p>
    <w:p w14:paraId="037575BD" w14:textId="77777777" w:rsidR="00EF62C5" w:rsidRDefault="00EF62C5" w:rsidP="00EF62C5">
      <w:pPr>
        <w:spacing w:after="160" w:line="360" w:lineRule="auto"/>
        <w:ind w:firstLine="567"/>
        <w:contextualSpacing/>
        <w:jc w:val="both"/>
        <w:rPr>
          <w:rFonts w:ascii="David" w:hAnsi="David"/>
          <w:rtl/>
        </w:rPr>
      </w:pPr>
    </w:p>
    <w:p w14:paraId="4C329466" w14:textId="77777777" w:rsidR="00EF62C5" w:rsidRPr="00C8788F" w:rsidRDefault="00EF62C5" w:rsidP="00EF62C5">
      <w:pPr>
        <w:spacing w:after="160" w:line="360" w:lineRule="auto"/>
        <w:ind w:firstLine="567"/>
        <w:contextualSpacing/>
        <w:jc w:val="both"/>
        <w:rPr>
          <w:rFonts w:ascii="David" w:hAnsi="David"/>
        </w:rPr>
      </w:pPr>
      <w:r>
        <w:rPr>
          <w:rFonts w:ascii="David" w:hAnsi="David" w:hint="cs"/>
          <w:rtl/>
        </w:rPr>
        <w:t xml:space="preserve">(-) </w:t>
      </w:r>
      <w:r w:rsidRPr="00C8788F">
        <w:rPr>
          <w:rFonts w:ascii="David" w:hAnsi="David"/>
          <w:rtl/>
        </w:rPr>
        <w:t>במהלך האמור, לאחר נסיעה של כ-200 מטרים, הנאשם השליך</w:t>
      </w:r>
      <w:r>
        <w:rPr>
          <w:rFonts w:ascii="David" w:hAnsi="David" w:hint="cs"/>
          <w:rtl/>
        </w:rPr>
        <w:t xml:space="preserve"> לצדי דרך העפר, </w:t>
      </w:r>
      <w:r w:rsidRPr="00C8788F">
        <w:rPr>
          <w:rFonts w:ascii="David" w:hAnsi="David"/>
          <w:rtl/>
        </w:rPr>
        <w:t xml:space="preserve">אקדח </w:t>
      </w:r>
      <w:r w:rsidRPr="00CB103E">
        <w:rPr>
          <w:rFonts w:ascii="David" w:hAnsi="David"/>
          <w:rtl/>
        </w:rPr>
        <w:t xml:space="preserve"> שחור חצי אוטומטי מסוג "סטאר" בקוטר 9 מ"מ, כשהוא טעון במחסנית ובה 11 כדורים תואמים</w:t>
      </w:r>
      <w:r w:rsidRPr="00CB103E">
        <w:rPr>
          <w:rFonts w:ascii="David" w:hAnsi="David" w:hint="cs"/>
          <w:rtl/>
        </w:rPr>
        <w:t xml:space="preserve"> </w:t>
      </w:r>
      <w:r w:rsidRPr="00CB103E">
        <w:rPr>
          <w:rFonts w:ascii="David" w:hAnsi="David"/>
          <w:rtl/>
        </w:rPr>
        <w:t xml:space="preserve">(להלן בהתאמה: </w:t>
      </w:r>
      <w:r w:rsidRPr="00CB103E">
        <w:rPr>
          <w:rFonts w:ascii="David" w:hAnsi="David"/>
          <w:b/>
          <w:bCs/>
          <w:rtl/>
        </w:rPr>
        <w:t>האקדח, המחסנית</w:t>
      </w:r>
      <w:r w:rsidRPr="00CB103E">
        <w:rPr>
          <w:rFonts w:ascii="David" w:hAnsi="David"/>
          <w:rtl/>
        </w:rPr>
        <w:t xml:space="preserve"> ו-</w:t>
      </w:r>
      <w:r w:rsidRPr="00CB103E">
        <w:rPr>
          <w:rFonts w:ascii="David" w:hAnsi="David"/>
          <w:b/>
          <w:bCs/>
          <w:rtl/>
        </w:rPr>
        <w:t xml:space="preserve"> הכדורים</w:t>
      </w:r>
      <w:r w:rsidRPr="00CB103E">
        <w:rPr>
          <w:rFonts w:ascii="David" w:hAnsi="David"/>
          <w:rtl/>
        </w:rPr>
        <w:t>)</w:t>
      </w:r>
      <w:r>
        <w:rPr>
          <w:rFonts w:ascii="David" w:hAnsi="David" w:hint="cs"/>
          <w:rtl/>
        </w:rPr>
        <w:t xml:space="preserve">. </w:t>
      </w:r>
      <w:r w:rsidRPr="00C8788F">
        <w:rPr>
          <w:rFonts w:ascii="David" w:hAnsi="David"/>
          <w:rtl/>
        </w:rPr>
        <w:t xml:space="preserve">השוטרים, אשר הבחינו בהשלכת האקדח, עקפו במהירות את הקטנוע וחסמו את דרכו. בשלב זה מנסור עצר את הקטנוע והשוטרים עצרו אותו ואת הנאשם ותפסו את האקדח </w:t>
      </w:r>
      <w:r>
        <w:rPr>
          <w:rFonts w:ascii="David" w:hAnsi="David" w:hint="cs"/>
          <w:rtl/>
        </w:rPr>
        <w:t>ה</w:t>
      </w:r>
      <w:r w:rsidRPr="00C8788F">
        <w:rPr>
          <w:rFonts w:ascii="David" w:hAnsi="David"/>
          <w:rtl/>
        </w:rPr>
        <w:t>טעון.</w:t>
      </w:r>
    </w:p>
    <w:p w14:paraId="4B73E47F" w14:textId="77777777" w:rsidR="00EF62C5" w:rsidRDefault="00EF62C5" w:rsidP="00EF62C5">
      <w:pPr>
        <w:spacing w:after="160" w:line="360" w:lineRule="auto"/>
        <w:contextualSpacing/>
        <w:jc w:val="both"/>
        <w:rPr>
          <w:rFonts w:ascii="David" w:hAnsi="David"/>
          <w:rtl/>
        </w:rPr>
      </w:pPr>
      <w:r>
        <w:rPr>
          <w:rFonts w:ascii="David" w:hAnsi="David"/>
          <w:rtl/>
        </w:rPr>
        <w:tab/>
      </w:r>
    </w:p>
    <w:p w14:paraId="3811B501" w14:textId="77777777" w:rsidR="00EF62C5" w:rsidRDefault="00EF62C5" w:rsidP="00EF62C5">
      <w:pPr>
        <w:spacing w:after="160" w:line="360" w:lineRule="auto"/>
        <w:contextualSpacing/>
        <w:jc w:val="both"/>
        <w:rPr>
          <w:rFonts w:ascii="David" w:hAnsi="David"/>
          <w:rtl/>
        </w:rPr>
      </w:pPr>
      <w:r>
        <w:rPr>
          <w:rFonts w:ascii="David" w:hAnsi="David"/>
          <w:rtl/>
        </w:rPr>
        <w:tab/>
      </w:r>
      <w:r w:rsidRPr="00C8788F">
        <w:rPr>
          <w:rFonts w:ascii="David" w:hAnsi="David" w:hint="cs"/>
          <w:rtl/>
        </w:rPr>
        <w:t xml:space="preserve">(-) בעוד שבכתב האישום נטען כי </w:t>
      </w:r>
      <w:r>
        <w:rPr>
          <w:rFonts w:ascii="David" w:hAnsi="David" w:hint="cs"/>
          <w:rtl/>
        </w:rPr>
        <w:t xml:space="preserve">לאורך כל </w:t>
      </w:r>
      <w:r w:rsidRPr="00C8788F">
        <w:rPr>
          <w:rFonts w:ascii="David" w:hAnsi="David" w:hint="cs"/>
          <w:rtl/>
        </w:rPr>
        <w:t xml:space="preserve">הנסיעה הנאשם נשא את האקדח על גופו באזור הבטן, בהכרעת הדין </w:t>
      </w:r>
      <w:r>
        <w:rPr>
          <w:rFonts w:ascii="David" w:hAnsi="David" w:hint="cs"/>
          <w:rtl/>
        </w:rPr>
        <w:t xml:space="preserve">קבעתי כי </w:t>
      </w:r>
      <w:r w:rsidRPr="00C8788F">
        <w:rPr>
          <w:rFonts w:ascii="David" w:hAnsi="David"/>
          <w:rtl/>
        </w:rPr>
        <w:t xml:space="preserve">קיים ספק לגבי </w:t>
      </w:r>
      <w:r>
        <w:rPr>
          <w:rFonts w:ascii="David" w:hAnsi="David" w:hint="cs"/>
          <w:rtl/>
        </w:rPr>
        <w:t>התיאור לפיו ע</w:t>
      </w:r>
      <w:r w:rsidRPr="00C8788F">
        <w:rPr>
          <w:rFonts w:ascii="David" w:hAnsi="David"/>
          <w:rtl/>
        </w:rPr>
        <w:t xml:space="preserve">ובר להשלכת האקדח על ידי הנאשם, היה האקדח </w:t>
      </w:r>
      <w:r w:rsidRPr="00EB1D1C">
        <w:rPr>
          <w:rFonts w:ascii="David" w:hAnsi="David" w:hint="cs"/>
          <w:b/>
          <w:bCs/>
          <w:rtl/>
        </w:rPr>
        <w:t>כל העת</w:t>
      </w:r>
      <w:r>
        <w:rPr>
          <w:rFonts w:ascii="David" w:hAnsi="David" w:hint="cs"/>
          <w:rtl/>
        </w:rPr>
        <w:t xml:space="preserve"> </w:t>
      </w:r>
      <w:r w:rsidRPr="00C8788F">
        <w:rPr>
          <w:rFonts w:ascii="David" w:hAnsi="David"/>
          <w:rtl/>
        </w:rPr>
        <w:t>על גופו</w:t>
      </w:r>
      <w:r>
        <w:rPr>
          <w:rFonts w:ascii="David" w:hAnsi="David" w:hint="cs"/>
          <w:rtl/>
        </w:rPr>
        <w:t xml:space="preserve"> של הנאשם; וכי עשוי להיכו</w:t>
      </w:r>
      <w:r>
        <w:rPr>
          <w:rFonts w:ascii="David" w:hAnsi="David" w:hint="eastAsia"/>
          <w:rtl/>
        </w:rPr>
        <w:t>ן</w:t>
      </w:r>
      <w:r>
        <w:rPr>
          <w:rFonts w:ascii="David" w:hAnsi="David" w:hint="cs"/>
          <w:rtl/>
        </w:rPr>
        <w:t xml:space="preserve"> תרחיש חלופי סביר לפיו הנשק היה </w:t>
      </w:r>
      <w:r w:rsidRPr="00C8788F">
        <w:rPr>
          <w:rFonts w:ascii="David" w:hAnsi="David" w:hint="cs"/>
          <w:rtl/>
        </w:rPr>
        <w:t xml:space="preserve">על </w:t>
      </w:r>
      <w:r w:rsidRPr="00C8788F">
        <w:rPr>
          <w:rFonts w:ascii="David" w:hAnsi="David" w:hint="cs"/>
          <w:rtl/>
        </w:rPr>
        <w:lastRenderedPageBreak/>
        <w:t>גופו של מנסור</w:t>
      </w:r>
      <w:r>
        <w:rPr>
          <w:rFonts w:ascii="David" w:hAnsi="David" w:hint="cs"/>
          <w:rtl/>
        </w:rPr>
        <w:t xml:space="preserve">, אך בשלב מסוים של הנסיעה, לאחר שהשניים הבחינו </w:t>
      </w:r>
      <w:r w:rsidRPr="00C8788F">
        <w:rPr>
          <w:rFonts w:ascii="David" w:hAnsi="David" w:hint="cs"/>
          <w:rtl/>
        </w:rPr>
        <w:t xml:space="preserve">בשוטרים, </w:t>
      </w:r>
      <w:r w:rsidRPr="00C8788F">
        <w:rPr>
          <w:rFonts w:ascii="David" w:hAnsi="David"/>
          <w:rtl/>
        </w:rPr>
        <w:t>הנאשם נטל את הנשק לידיו</w:t>
      </w:r>
      <w:r>
        <w:rPr>
          <w:rFonts w:ascii="David" w:hAnsi="David" w:hint="cs"/>
          <w:rtl/>
        </w:rPr>
        <w:t xml:space="preserve">, בין ביוזמתו ובין לבקשת מנסור, </w:t>
      </w:r>
      <w:r w:rsidRPr="00C8788F">
        <w:rPr>
          <w:rFonts w:ascii="David" w:hAnsi="David"/>
          <w:rtl/>
        </w:rPr>
        <w:t>והשליכו</w:t>
      </w:r>
      <w:r>
        <w:rPr>
          <w:rFonts w:ascii="David" w:hAnsi="David" w:hint="cs"/>
          <w:rtl/>
        </w:rPr>
        <w:t xml:space="preserve"> לצדי הדרך</w:t>
      </w:r>
      <w:r w:rsidRPr="00C8788F">
        <w:rPr>
          <w:rFonts w:ascii="David" w:hAnsi="David" w:hint="cs"/>
          <w:rtl/>
        </w:rPr>
        <w:t xml:space="preserve">. יודגש </w:t>
      </w:r>
      <w:r>
        <w:rPr>
          <w:rFonts w:ascii="David" w:hAnsi="David" w:hint="cs"/>
          <w:rtl/>
        </w:rPr>
        <w:t xml:space="preserve">כי </w:t>
      </w:r>
      <w:r w:rsidRPr="00C8788F">
        <w:rPr>
          <w:rFonts w:ascii="David" w:hAnsi="David" w:hint="cs"/>
          <w:rtl/>
        </w:rPr>
        <w:t>לא היה במסקנה עובדתית זו כדי ל</w:t>
      </w:r>
      <w:r>
        <w:rPr>
          <w:rFonts w:ascii="David" w:hAnsi="David" w:hint="cs"/>
          <w:rtl/>
        </w:rPr>
        <w:t xml:space="preserve">מלט את הנאשם מהרשעה בעבירת הנשק, שכן </w:t>
      </w:r>
      <w:r w:rsidRPr="00C8788F">
        <w:rPr>
          <w:rFonts w:ascii="David" w:hAnsi="David" w:hint="cs"/>
          <w:rtl/>
        </w:rPr>
        <w:t>בהכרעת הדין קבעתי כי אף לפי תרחיש</w:t>
      </w:r>
      <w:r>
        <w:rPr>
          <w:rFonts w:ascii="David" w:hAnsi="David" w:hint="cs"/>
          <w:rtl/>
        </w:rPr>
        <w:t xml:space="preserve"> זה</w:t>
      </w:r>
      <w:r w:rsidRPr="00C8788F">
        <w:rPr>
          <w:rFonts w:ascii="David" w:hAnsi="David" w:hint="cs"/>
          <w:rtl/>
        </w:rPr>
        <w:t xml:space="preserve"> – הנאשם ביצע את עבירת הנשק שיוחסה לו.</w:t>
      </w:r>
    </w:p>
    <w:p w14:paraId="1A59AB2D" w14:textId="77777777" w:rsidR="00EF62C5" w:rsidRDefault="00EF62C5" w:rsidP="00EF62C5">
      <w:pPr>
        <w:spacing w:after="160" w:line="360" w:lineRule="auto"/>
        <w:contextualSpacing/>
        <w:jc w:val="both"/>
        <w:rPr>
          <w:rFonts w:ascii="David" w:hAnsi="David"/>
          <w:rtl/>
        </w:rPr>
      </w:pPr>
    </w:p>
    <w:p w14:paraId="7D089F95" w14:textId="77777777" w:rsidR="00EF62C5" w:rsidRPr="009E6E7E" w:rsidRDefault="00EF62C5" w:rsidP="00EF62C5">
      <w:pPr>
        <w:tabs>
          <w:tab w:val="num" w:pos="567"/>
        </w:tabs>
        <w:spacing w:after="160" w:line="360" w:lineRule="auto"/>
        <w:contextualSpacing/>
        <w:jc w:val="both"/>
        <w:rPr>
          <w:rFonts w:ascii="David" w:hAnsi="David"/>
          <w:rtl/>
        </w:rPr>
      </w:pPr>
      <w:r>
        <w:rPr>
          <w:rFonts w:ascii="David" w:hAnsi="David"/>
          <w:rtl/>
        </w:rPr>
        <w:tab/>
      </w:r>
      <w:r>
        <w:rPr>
          <w:rFonts w:ascii="David" w:hAnsi="David" w:hint="cs"/>
          <w:rtl/>
        </w:rPr>
        <w:t xml:space="preserve">(-) לעניין העבירה של שיבוש מהלכי משפט, בהכרעת הדין קבעתי כי יש להרשיע את הנאשם בעבירה זו, אך לא בזיקה לטענה העובדתית כי </w:t>
      </w:r>
      <w:r>
        <w:rPr>
          <w:rFonts w:ascii="David" w:hAnsi="David"/>
          <w:rtl/>
        </w:rPr>
        <w:t>ה</w:t>
      </w:r>
      <w:r>
        <w:rPr>
          <w:rFonts w:ascii="David" w:hAnsi="David" w:hint="cs"/>
          <w:rtl/>
        </w:rPr>
        <w:t>קטנוע התחמק מהשוטרים, אלא רק בזיקה למעשה השלכת האקדח על ידי הנאשם בזמן שהניידת נסעה אחרי הקטנוע.</w:t>
      </w:r>
    </w:p>
    <w:p w14:paraId="4EDF06D9" w14:textId="77777777" w:rsidR="00EF62C5" w:rsidRDefault="00EF62C5" w:rsidP="00EF62C5">
      <w:pPr>
        <w:suppressLineNumbers/>
        <w:spacing w:line="360" w:lineRule="auto"/>
        <w:contextualSpacing/>
        <w:jc w:val="both"/>
        <w:rPr>
          <w:b/>
          <w:bCs/>
          <w:noProof/>
          <w:rtl/>
        </w:rPr>
      </w:pPr>
    </w:p>
    <w:p w14:paraId="5D168613" w14:textId="77777777" w:rsidR="00EF62C5" w:rsidRPr="00D57FA8" w:rsidRDefault="00EF62C5" w:rsidP="00EF62C5">
      <w:pPr>
        <w:rPr>
          <w:rFonts w:ascii="Arial" w:hAnsi="Arial"/>
          <w:i/>
          <w:iCs/>
          <w:rtl/>
        </w:rPr>
      </w:pPr>
      <w:r w:rsidRPr="00D57FA8">
        <w:rPr>
          <w:rFonts w:ascii="Arial" w:hAnsi="Arial" w:hint="cs"/>
          <w:i/>
          <w:iCs/>
          <w:rtl/>
        </w:rPr>
        <w:t>ההליך ה</w:t>
      </w:r>
      <w:r>
        <w:rPr>
          <w:rFonts w:ascii="Arial" w:hAnsi="Arial" w:hint="cs"/>
          <w:i/>
          <w:iCs/>
          <w:rtl/>
        </w:rPr>
        <w:t xml:space="preserve">מצורף: </w:t>
      </w:r>
      <w:hyperlink r:id="rId29" w:history="1">
        <w:r w:rsidR="00780E32" w:rsidRPr="00780E32">
          <w:rPr>
            <w:rFonts w:ascii="Arial" w:hAnsi="Arial"/>
            <w:i/>
            <w:iCs/>
            <w:color w:val="0000FF"/>
            <w:u w:val="single"/>
            <w:rtl/>
          </w:rPr>
          <w:t>ת"פ 55949-02-22</w:t>
        </w:r>
        <w:r w:rsidR="00780E32" w:rsidRPr="00780E32">
          <w:rPr>
            <w:rFonts w:ascii="Arial" w:hAnsi="Arial"/>
            <w:i/>
            <w:iCs/>
            <w:color w:val="0000FF"/>
            <w:u w:val="single"/>
            <w:rtl/>
          </w:rPr>
          <w:cr/>
        </w:r>
      </w:hyperlink>
    </w:p>
    <w:p w14:paraId="44227F89" w14:textId="77777777" w:rsidR="00EF62C5" w:rsidRDefault="00EF62C5" w:rsidP="00EF62C5">
      <w:pPr>
        <w:numPr>
          <w:ilvl w:val="0"/>
          <w:numId w:val="1"/>
        </w:numPr>
        <w:suppressLineNumbers/>
        <w:spacing w:line="360" w:lineRule="auto"/>
        <w:contextualSpacing/>
        <w:jc w:val="both"/>
        <w:rPr>
          <w:noProof/>
        </w:rPr>
      </w:pPr>
      <w:r>
        <w:rPr>
          <w:rFonts w:hint="cs"/>
          <w:noProof/>
          <w:rtl/>
        </w:rPr>
        <w:t xml:space="preserve">במסגרת ההליך המצורף הורשע הנאשם לאחר שהודה בכתב אישום מתוקן בעבירה של סיוע לנשיאת נשק ולהובלתו, לפי </w:t>
      </w:r>
      <w:hyperlink r:id="rId30" w:history="1">
        <w:r w:rsidR="00402C3F" w:rsidRPr="00402C3F">
          <w:rPr>
            <w:rStyle w:val="Hyperlink"/>
            <w:rFonts w:hint="eastAsia"/>
            <w:noProof/>
            <w:rtl/>
          </w:rPr>
          <w:t>סעיף</w:t>
        </w:r>
        <w:r w:rsidR="00402C3F" w:rsidRPr="00402C3F">
          <w:rPr>
            <w:rStyle w:val="Hyperlink"/>
            <w:noProof/>
            <w:rtl/>
          </w:rPr>
          <w:t xml:space="preserve"> 144(ב)</w:t>
        </w:r>
      </w:hyperlink>
      <w:r>
        <w:rPr>
          <w:rFonts w:hint="cs"/>
          <w:noProof/>
          <w:rtl/>
        </w:rPr>
        <w:t xml:space="preserve"> בשילוב </w:t>
      </w:r>
      <w:hyperlink r:id="rId31" w:history="1">
        <w:r w:rsidR="00402C3F" w:rsidRPr="00402C3F">
          <w:rPr>
            <w:rStyle w:val="Hyperlink"/>
            <w:rFonts w:hint="eastAsia"/>
            <w:noProof/>
            <w:rtl/>
          </w:rPr>
          <w:t>סעיף</w:t>
        </w:r>
        <w:r w:rsidR="00402C3F" w:rsidRPr="00402C3F">
          <w:rPr>
            <w:rStyle w:val="Hyperlink"/>
            <w:noProof/>
            <w:rtl/>
          </w:rPr>
          <w:t xml:space="preserve"> 31</w:t>
        </w:r>
      </w:hyperlink>
      <w:r>
        <w:rPr>
          <w:rFonts w:hint="cs"/>
          <w:noProof/>
          <w:rtl/>
        </w:rPr>
        <w:t xml:space="preserve"> ל</w:t>
      </w:r>
      <w:hyperlink r:id="rId32" w:history="1">
        <w:r w:rsidR="00780E32" w:rsidRPr="00780E32">
          <w:rPr>
            <w:noProof/>
            <w:color w:val="0000FF"/>
            <w:u w:val="single"/>
            <w:rtl/>
          </w:rPr>
          <w:t>חוק העונשין</w:t>
        </w:r>
      </w:hyperlink>
      <w:r>
        <w:rPr>
          <w:rFonts w:hint="cs"/>
          <w:noProof/>
          <w:rtl/>
        </w:rPr>
        <w:t>.</w:t>
      </w:r>
    </w:p>
    <w:p w14:paraId="7A83958A" w14:textId="77777777" w:rsidR="00EF62C5" w:rsidRDefault="00EF62C5" w:rsidP="00EF62C5">
      <w:pPr>
        <w:suppressLineNumbers/>
        <w:spacing w:line="360" w:lineRule="auto"/>
        <w:contextualSpacing/>
        <w:jc w:val="both"/>
        <w:rPr>
          <w:noProof/>
        </w:rPr>
      </w:pPr>
    </w:p>
    <w:p w14:paraId="250CC91E" w14:textId="77777777" w:rsidR="00EF62C5" w:rsidRDefault="00EF62C5" w:rsidP="00EF62C5">
      <w:pPr>
        <w:numPr>
          <w:ilvl w:val="0"/>
          <w:numId w:val="1"/>
        </w:numPr>
        <w:suppressLineNumbers/>
        <w:spacing w:line="360" w:lineRule="auto"/>
        <w:contextualSpacing/>
        <w:jc w:val="both"/>
        <w:rPr>
          <w:noProof/>
        </w:rPr>
      </w:pPr>
      <w:r>
        <w:rPr>
          <w:rFonts w:hint="cs"/>
          <w:noProof/>
          <w:rtl/>
        </w:rPr>
        <w:t xml:space="preserve">על פי עובדות כתב האישום בתיק המצורף, ביום 2.1.2022 בסמוך לשעה 18:30 נסע הנאשם ביחד עם אחרים ברכב פרטי מסוג סקודה, אשר היה נהוג באותה עת בידי אחר, כשברכב אקדח חצי אוטומטי דמוי </w:t>
      </w:r>
      <w:r>
        <w:rPr>
          <w:noProof/>
        </w:rPr>
        <w:t>cz</w:t>
      </w:r>
      <w:r>
        <w:rPr>
          <w:rFonts w:hint="cs"/>
          <w:noProof/>
          <w:rtl/>
        </w:rPr>
        <w:t xml:space="preserve"> בקוטר 9 מ"מ, המהווה נשק כהגדרתו בחוק, וכן מחסנית מתאימה. בהגיע הרכב למחלף טורעאן, זיהה הנאשם כוחות משטרה שביצעו חסימה במקום, יצא מיד מהמושב האחורי של הרכב ונמלט בריצה מהמקום. כעבור מרדף קצר עצר הנאשם בעשבייה שהייתה במקום וניסה להסתתר, כשבסמוך אליו האקדח והמחסנית.</w:t>
      </w:r>
    </w:p>
    <w:p w14:paraId="768C52A5" w14:textId="77777777" w:rsidR="00EF62C5" w:rsidRDefault="00EF62C5" w:rsidP="00EF62C5">
      <w:pPr>
        <w:suppressLineNumbers/>
        <w:spacing w:line="360" w:lineRule="auto"/>
        <w:contextualSpacing/>
        <w:jc w:val="both"/>
        <w:rPr>
          <w:noProof/>
          <w:rtl/>
        </w:rPr>
      </w:pPr>
    </w:p>
    <w:p w14:paraId="004B807A" w14:textId="77777777" w:rsidR="00EF62C5" w:rsidRPr="008A5F1C" w:rsidRDefault="00EF62C5" w:rsidP="00EF62C5">
      <w:pPr>
        <w:suppressLineNumbers/>
        <w:spacing w:line="360" w:lineRule="auto"/>
        <w:contextualSpacing/>
        <w:jc w:val="both"/>
        <w:rPr>
          <w:b/>
          <w:bCs/>
          <w:noProof/>
          <w:rtl/>
        </w:rPr>
      </w:pPr>
      <w:r w:rsidRPr="008A5F1C">
        <w:rPr>
          <w:rFonts w:hint="cs"/>
          <w:b/>
          <w:bCs/>
          <w:noProof/>
          <w:rtl/>
        </w:rPr>
        <w:t>מהלך הדיון</w:t>
      </w:r>
    </w:p>
    <w:p w14:paraId="6B8C7799" w14:textId="77777777" w:rsidR="00EF62C5" w:rsidRDefault="00EF62C5" w:rsidP="00EF62C5">
      <w:pPr>
        <w:suppressLineNumbers/>
        <w:spacing w:line="360" w:lineRule="auto"/>
        <w:contextualSpacing/>
        <w:jc w:val="both"/>
        <w:rPr>
          <w:noProof/>
        </w:rPr>
      </w:pPr>
    </w:p>
    <w:p w14:paraId="06D51A07" w14:textId="77777777" w:rsidR="00EF62C5" w:rsidRDefault="00EF62C5" w:rsidP="00EF62C5">
      <w:pPr>
        <w:numPr>
          <w:ilvl w:val="0"/>
          <w:numId w:val="1"/>
        </w:numPr>
        <w:suppressLineNumbers/>
        <w:spacing w:line="360" w:lineRule="auto"/>
        <w:contextualSpacing/>
        <w:jc w:val="both"/>
        <w:rPr>
          <w:noProof/>
        </w:rPr>
      </w:pPr>
      <w:r>
        <w:rPr>
          <w:rFonts w:hint="cs"/>
          <w:noProof/>
          <w:rtl/>
        </w:rPr>
        <w:t xml:space="preserve">בעוד שבהליך הנוכחי הרשעת הנאשם באה במסגרת הכרעת דין שניתנה ביום 15.9.2022 לאחר ניהול הוכחות, ההרשעה בתיק המצורף הייתה בעקבות הודאת הנאשם בכתב אישום מתוקן (ראו הכרעת הדין שניתנה בהליך זה ביום 7.11.20022 לאחר שבוטלה מטעמים פורמאליים הכרעת הדין שניתנה בבית המשפט המחוזי בנצרת). </w:t>
      </w:r>
    </w:p>
    <w:p w14:paraId="3854408E" w14:textId="77777777" w:rsidR="00EF62C5" w:rsidRPr="00AA6B5D" w:rsidRDefault="00EF62C5" w:rsidP="00EF62C5">
      <w:pPr>
        <w:suppressLineNumbers/>
        <w:spacing w:line="360" w:lineRule="auto"/>
        <w:contextualSpacing/>
        <w:jc w:val="both"/>
        <w:rPr>
          <w:noProof/>
        </w:rPr>
      </w:pPr>
    </w:p>
    <w:p w14:paraId="133D6267" w14:textId="77777777" w:rsidR="00EF62C5" w:rsidRDefault="00EF62C5" w:rsidP="00EF62C5">
      <w:pPr>
        <w:numPr>
          <w:ilvl w:val="0"/>
          <w:numId w:val="1"/>
        </w:numPr>
        <w:suppressLineNumbers/>
        <w:spacing w:line="360" w:lineRule="auto"/>
        <w:contextualSpacing/>
        <w:jc w:val="both"/>
        <w:rPr>
          <w:noProof/>
        </w:rPr>
      </w:pPr>
      <w:r>
        <w:rPr>
          <w:rFonts w:hint="cs"/>
          <w:noProof/>
          <w:rtl/>
        </w:rPr>
        <w:t>במסגרת שני ההליכים, נבחן עניינו של הנאשם על ידי שירות המבחן. יצוין כי בשל גילו של הנאשם בעת ביצוע העבירה קמה חובה בדין לקבל תסקיר. נסקור אפוא להלן את תסקירי שירות המבחן שניתנו ביחס לשני ההליכים.</w:t>
      </w:r>
    </w:p>
    <w:p w14:paraId="34F4C297" w14:textId="77777777" w:rsidR="00EF62C5" w:rsidRPr="002F5CC6" w:rsidRDefault="00EF62C5" w:rsidP="00EF62C5">
      <w:pPr>
        <w:suppressLineNumbers/>
        <w:spacing w:line="360" w:lineRule="auto"/>
        <w:contextualSpacing/>
        <w:jc w:val="both"/>
        <w:rPr>
          <w:b/>
          <w:bCs/>
          <w:noProof/>
          <w:rtl/>
        </w:rPr>
      </w:pPr>
    </w:p>
    <w:p w14:paraId="2CD9E509" w14:textId="77777777" w:rsidR="00EF62C5" w:rsidRPr="00F10163" w:rsidRDefault="00EF62C5" w:rsidP="00EF62C5">
      <w:pPr>
        <w:suppressLineNumbers/>
        <w:spacing w:line="360" w:lineRule="auto"/>
        <w:contextualSpacing/>
        <w:jc w:val="both"/>
        <w:rPr>
          <w:b/>
          <w:bCs/>
          <w:noProof/>
          <w:rtl/>
        </w:rPr>
      </w:pPr>
      <w:r w:rsidRPr="00F10163">
        <w:rPr>
          <w:b/>
          <w:bCs/>
          <w:noProof/>
          <w:rtl/>
        </w:rPr>
        <w:t>תסקיר</w:t>
      </w:r>
      <w:r>
        <w:rPr>
          <w:rFonts w:hint="cs"/>
          <w:b/>
          <w:bCs/>
          <w:noProof/>
          <w:rtl/>
        </w:rPr>
        <w:t>י</w:t>
      </w:r>
      <w:r w:rsidRPr="00F10163">
        <w:rPr>
          <w:b/>
          <w:bCs/>
          <w:noProof/>
          <w:rtl/>
        </w:rPr>
        <w:t xml:space="preserve"> שירות המבחן</w:t>
      </w:r>
    </w:p>
    <w:p w14:paraId="3E345D5E" w14:textId="77777777" w:rsidR="00EF62C5" w:rsidRPr="00F10163" w:rsidRDefault="00EF62C5" w:rsidP="00EF62C5">
      <w:pPr>
        <w:suppressLineNumbers/>
        <w:spacing w:line="360" w:lineRule="auto"/>
        <w:contextualSpacing/>
        <w:jc w:val="both"/>
        <w:rPr>
          <w:noProof/>
          <w:rtl/>
        </w:rPr>
      </w:pPr>
    </w:p>
    <w:p w14:paraId="79EEA37B" w14:textId="77777777" w:rsidR="00EF62C5" w:rsidRDefault="00EF62C5" w:rsidP="00EF62C5">
      <w:pPr>
        <w:numPr>
          <w:ilvl w:val="0"/>
          <w:numId w:val="1"/>
        </w:numPr>
        <w:suppressLineNumbers/>
        <w:spacing w:line="360" w:lineRule="auto"/>
        <w:contextualSpacing/>
        <w:jc w:val="both"/>
        <w:rPr>
          <w:noProof/>
        </w:rPr>
      </w:pPr>
      <w:r>
        <w:rPr>
          <w:rFonts w:hint="cs"/>
          <w:noProof/>
          <w:rtl/>
        </w:rPr>
        <w:t>מבחינה כרונולוגית, תחילה ניתן תסקיר שירות המבחן לגבי ההליך המצורף (תסקיר מיום 14.9.2022), שהוגש לבית המשפט המחוזי בנצרת. בתסקיר זה סקר שירות המבחן את נסיבותיו של הנאשם ואת מצבו האישי והמשפחתי. בין היתר צוין כי הנאשם רווק, לפני מעצרו התגורר עם הוריו, וסמוך למעצרו לא עבד על רקע פציעתו באירוע ירי שהתרחש בחודש ספטמבר 2021, ובהקשר לכך צוין מצבו הרפואי של הנאשם. בפני שירות המבחן ציין הנאשם כי הוא מתקשה להסתגל לתנאי המעצר, אם כי שירות המבחן לא הבחין במצוקה אקוטית הנובעת מתנאי המעצר.</w:t>
      </w:r>
    </w:p>
    <w:p w14:paraId="530298B3" w14:textId="77777777" w:rsidR="00EF62C5" w:rsidRDefault="00EF62C5" w:rsidP="00EF62C5">
      <w:pPr>
        <w:suppressLineNumbers/>
        <w:spacing w:line="360" w:lineRule="auto"/>
        <w:contextualSpacing/>
        <w:jc w:val="both"/>
        <w:rPr>
          <w:noProof/>
        </w:rPr>
      </w:pPr>
    </w:p>
    <w:p w14:paraId="25A8DDFA" w14:textId="77777777" w:rsidR="00EF62C5" w:rsidRDefault="00EF62C5" w:rsidP="00EF62C5">
      <w:pPr>
        <w:suppressLineNumbers/>
        <w:spacing w:line="360" w:lineRule="auto"/>
        <w:ind w:firstLine="567"/>
        <w:contextualSpacing/>
        <w:jc w:val="both"/>
        <w:rPr>
          <w:noProof/>
        </w:rPr>
      </w:pPr>
      <w:r>
        <w:rPr>
          <w:rFonts w:hint="cs"/>
          <w:noProof/>
          <w:rtl/>
        </w:rPr>
        <w:t xml:space="preserve">בהתייחסו לעבירה, הנאשם קיבל אחריות פורמלית בלבד ושירות המבחן התרשם כי הנאשם מבטא התייחסות לא קוהרנטית לגבי אחריותו למעורבותו בעבירה בה הורשע, וכי הוא מגלה עמדה מצמצמת בכל הקשור לאחריותו. כמו כן צוין כי הנאשם לא הצליח להתחבר או להתבונן בדפוסי התנהגותו שעמדו בבסיס התנהלותו. נוסף לכך, שירות המבחן מצא כי קיימים סימנים לכך שהנאשם פיתח דפוס התנהגות עברייני שכולל זיקה לנשק, חיבור לחבורה שולית וקושי בקבלת גבולות החוק. </w:t>
      </w:r>
    </w:p>
    <w:p w14:paraId="5A587638" w14:textId="77777777" w:rsidR="00EF62C5" w:rsidRDefault="00EF62C5" w:rsidP="00EF62C5">
      <w:pPr>
        <w:suppressLineNumbers/>
        <w:spacing w:line="360" w:lineRule="auto"/>
        <w:contextualSpacing/>
        <w:jc w:val="both"/>
        <w:rPr>
          <w:noProof/>
        </w:rPr>
      </w:pPr>
      <w:r>
        <w:rPr>
          <w:rFonts w:hint="cs"/>
          <w:noProof/>
          <w:rtl/>
        </w:rPr>
        <w:t xml:space="preserve">  </w:t>
      </w:r>
    </w:p>
    <w:p w14:paraId="0EBC173E" w14:textId="77777777" w:rsidR="00EF62C5" w:rsidRDefault="00EF62C5" w:rsidP="00EF62C5">
      <w:pPr>
        <w:suppressLineNumbers/>
        <w:spacing w:line="360" w:lineRule="auto"/>
        <w:ind w:firstLine="567"/>
        <w:contextualSpacing/>
        <w:jc w:val="both"/>
        <w:rPr>
          <w:noProof/>
        </w:rPr>
      </w:pPr>
      <w:r>
        <w:rPr>
          <w:rFonts w:hint="cs"/>
          <w:noProof/>
          <w:rtl/>
        </w:rPr>
        <w:t>לאחר ששירות המבחן עמד על קווי אישיותו של הנאשם, הנסיבות האופפות את ביצוע העבירה ויחסו אליהן, מצא שירות המבחן כי קיימת רמת סיכון ומסוכנות גבוהה להישנות התנהגות עוברת חוק בעתיד. לפיכך, ולנוכח קיומה של פרוגנוזה שיקומית נמוכה, נמנע שירות המבחן מהמלצה טיפולית.</w:t>
      </w:r>
    </w:p>
    <w:p w14:paraId="60D45148" w14:textId="77777777" w:rsidR="00EF62C5" w:rsidRDefault="00EF62C5" w:rsidP="00EF62C5">
      <w:pPr>
        <w:pStyle w:val="a9"/>
        <w:rPr>
          <w:noProof/>
          <w:rtl/>
        </w:rPr>
      </w:pPr>
    </w:p>
    <w:p w14:paraId="4C3F13FE" w14:textId="77777777" w:rsidR="00EF62C5" w:rsidRDefault="00EF62C5" w:rsidP="00EF62C5">
      <w:pPr>
        <w:numPr>
          <w:ilvl w:val="0"/>
          <w:numId w:val="1"/>
        </w:numPr>
        <w:suppressLineNumbers/>
        <w:spacing w:line="360" w:lineRule="auto"/>
        <w:contextualSpacing/>
        <w:jc w:val="both"/>
        <w:rPr>
          <w:noProof/>
        </w:rPr>
      </w:pPr>
      <w:r>
        <w:rPr>
          <w:rFonts w:hint="cs"/>
          <w:noProof/>
          <w:rtl/>
        </w:rPr>
        <w:t xml:space="preserve"> בתסקיר משלים מיום 12.12.2022 שהוגש בהליך הנוכחי, שב שירות המבחן וציין את נסיבותיו של הנאשם ונתוניו האישיים והפנה לאמור בתסקיר הקודם. שירות המבחן ציין כי קיים שיחה נוספת עם הנאשם, וגם הפעם ביטא הנאשם קושי להסתגל למעצר, בעיקר נוכח אי קבלת טיפול רפואי הולם, לטענתו. גם ביחס לעבירות מושא ההליך הנוכחי, הנאשם קיבל אחריות "פורמאלית וכללית" על התנהגותו, וטען כי הפר את תנאי מעצר הבית כדי לקבל טיפול רפואי, אך התקשה להסביר את הסיבה בגינה נשא את הנשק. </w:t>
      </w:r>
    </w:p>
    <w:p w14:paraId="2AEED323" w14:textId="77777777" w:rsidR="00EF62C5" w:rsidRDefault="00EF62C5" w:rsidP="00EF62C5">
      <w:pPr>
        <w:suppressLineNumbers/>
        <w:spacing w:line="360" w:lineRule="auto"/>
        <w:contextualSpacing/>
        <w:jc w:val="both"/>
        <w:rPr>
          <w:noProof/>
        </w:rPr>
      </w:pPr>
    </w:p>
    <w:p w14:paraId="2726B3B8" w14:textId="77777777" w:rsidR="00EF62C5" w:rsidRDefault="00EF62C5" w:rsidP="00EF62C5">
      <w:pPr>
        <w:suppressLineNumbers/>
        <w:spacing w:line="360" w:lineRule="auto"/>
        <w:ind w:firstLine="567"/>
        <w:contextualSpacing/>
        <w:jc w:val="both"/>
        <w:rPr>
          <w:noProof/>
        </w:rPr>
      </w:pPr>
      <w:r>
        <w:rPr>
          <w:rFonts w:hint="cs"/>
          <w:noProof/>
          <w:rtl/>
        </w:rPr>
        <w:t xml:space="preserve">שירות המבחן הוסיף וציין כי הנאשם מתחרט על מעשיו, אשר בחוויתו נבעו מתוך התנהלות ילדותית וחסרת בשלות, כי למד לקח, וכי ברצונו לשלם מחיר עונשי על מעשיו. לצד זאת, שירות המבחן התרשם כי הנאשם אינו ער למורכבות ולסיכון במעשיו והוא מתקשה לקבל אחריות "אקטיבית" על מעשיו. </w:t>
      </w:r>
    </w:p>
    <w:p w14:paraId="12C950B2" w14:textId="77777777" w:rsidR="00EF62C5" w:rsidRDefault="00EF62C5" w:rsidP="00EF62C5">
      <w:pPr>
        <w:suppressLineNumbers/>
        <w:spacing w:line="360" w:lineRule="auto"/>
        <w:contextualSpacing/>
        <w:jc w:val="both"/>
        <w:rPr>
          <w:noProof/>
        </w:rPr>
      </w:pPr>
    </w:p>
    <w:p w14:paraId="50296EA4" w14:textId="77777777" w:rsidR="00EF62C5" w:rsidRDefault="00EF62C5" w:rsidP="00EF62C5">
      <w:pPr>
        <w:suppressLineNumbers/>
        <w:spacing w:line="360" w:lineRule="auto"/>
        <w:ind w:firstLine="567"/>
        <w:contextualSpacing/>
        <w:jc w:val="both"/>
        <w:rPr>
          <w:noProof/>
        </w:rPr>
      </w:pPr>
      <w:r>
        <w:rPr>
          <w:rFonts w:hint="cs"/>
          <w:noProof/>
          <w:rtl/>
        </w:rPr>
        <w:t>לאחר ששב ובחן את העניין, לא מצא שירות המבחן כי חל שינוי בתפיסותיו ועמדותיו של הנאשם, ועל כן הערכת הסיכון נותרה כשהייתה. לפיכך, חזר שירות המבחן על המלצתו ונמנע מהמלצה שיקומית.</w:t>
      </w:r>
    </w:p>
    <w:p w14:paraId="60866956" w14:textId="77777777" w:rsidR="00EF62C5" w:rsidRPr="00BA0ED8" w:rsidRDefault="00EF62C5" w:rsidP="00EF62C5">
      <w:pPr>
        <w:suppressLineNumbers/>
        <w:spacing w:line="360" w:lineRule="auto"/>
        <w:contextualSpacing/>
        <w:jc w:val="both"/>
        <w:rPr>
          <w:noProof/>
        </w:rPr>
      </w:pPr>
    </w:p>
    <w:p w14:paraId="1F83E754" w14:textId="77777777" w:rsidR="00EF62C5" w:rsidRPr="00F10163" w:rsidRDefault="00EF62C5" w:rsidP="00EF62C5">
      <w:pPr>
        <w:suppressLineNumbers/>
        <w:spacing w:line="360" w:lineRule="auto"/>
        <w:contextualSpacing/>
        <w:jc w:val="both"/>
        <w:rPr>
          <w:b/>
          <w:bCs/>
          <w:noProof/>
          <w:rtl/>
        </w:rPr>
      </w:pPr>
      <w:r w:rsidRPr="00F10163">
        <w:rPr>
          <w:b/>
          <w:bCs/>
          <w:noProof/>
          <w:rtl/>
        </w:rPr>
        <w:t>ראיות וטיעוני הצדדים לעונש</w:t>
      </w:r>
    </w:p>
    <w:p w14:paraId="224E4840" w14:textId="77777777" w:rsidR="00EF62C5" w:rsidRPr="00F10163" w:rsidRDefault="00EF62C5" w:rsidP="00EF62C5">
      <w:pPr>
        <w:suppressLineNumbers/>
        <w:spacing w:line="360" w:lineRule="auto"/>
        <w:ind w:left="720" w:hanging="720"/>
        <w:jc w:val="both"/>
        <w:rPr>
          <w:noProof/>
          <w:rtl/>
        </w:rPr>
      </w:pPr>
    </w:p>
    <w:p w14:paraId="303684B6" w14:textId="77777777" w:rsidR="00EF62C5" w:rsidRDefault="00EF62C5" w:rsidP="00EF62C5">
      <w:pPr>
        <w:numPr>
          <w:ilvl w:val="0"/>
          <w:numId w:val="1"/>
        </w:numPr>
        <w:suppressLineNumbers/>
        <w:spacing w:line="360" w:lineRule="auto"/>
        <w:contextualSpacing/>
        <w:jc w:val="both"/>
        <w:rPr>
          <w:noProof/>
        </w:rPr>
      </w:pPr>
      <w:r>
        <w:rPr>
          <w:rFonts w:hint="cs"/>
          <w:noProof/>
          <w:rtl/>
        </w:rPr>
        <w:t>בפתח הדברים יצוין כי לטענת המאשימה יש לקבוע מתחם עונש נפרד בגין כל תיק. במסגרת טיעוניה לעונש, המאשימה עמדה על הערכים החברתיים המוגנים שביסוד העבירות בהן הורשע הנאשם בשני ההליכים והתייחסה לפגיעה בערכים אלו. כמו כן, הפנתה המאשימה לחומרתן של עבירות הנשק, לצורך בהוקעת עבירות אלו; למגמת ההחמרה המסתמנת בעבירות אלו; וכן והפנתה לתיקון 140 ל</w:t>
      </w:r>
      <w:hyperlink r:id="rId33" w:history="1">
        <w:r w:rsidR="00780E32" w:rsidRPr="00780E32">
          <w:rPr>
            <w:noProof/>
            <w:color w:val="0000FF"/>
            <w:u w:val="single"/>
            <w:rtl/>
          </w:rPr>
          <w:t>חוק העונשין</w:t>
        </w:r>
      </w:hyperlink>
      <w:r>
        <w:rPr>
          <w:rFonts w:hint="cs"/>
          <w:noProof/>
          <w:rtl/>
        </w:rPr>
        <w:t xml:space="preserve"> אשר מקבע את החובה להטיל עונש מזערי בעבירות נשק. נוסף לכך, הפנתה המאשימה להנחיות פרקליט המדינה בנושא עבירות הנשק.</w:t>
      </w:r>
    </w:p>
    <w:p w14:paraId="368DFC34" w14:textId="77777777" w:rsidR="00EF62C5" w:rsidRDefault="00EF62C5" w:rsidP="00EF62C5">
      <w:pPr>
        <w:suppressLineNumbers/>
        <w:spacing w:line="360" w:lineRule="auto"/>
        <w:contextualSpacing/>
        <w:jc w:val="both"/>
        <w:rPr>
          <w:noProof/>
        </w:rPr>
      </w:pPr>
    </w:p>
    <w:p w14:paraId="001138AD" w14:textId="77777777" w:rsidR="00EF62C5" w:rsidRDefault="00EF62C5" w:rsidP="00EF62C5">
      <w:pPr>
        <w:suppressLineNumbers/>
        <w:spacing w:line="360" w:lineRule="auto"/>
        <w:ind w:firstLine="567"/>
        <w:contextualSpacing/>
        <w:jc w:val="both"/>
        <w:rPr>
          <w:noProof/>
          <w:rtl/>
        </w:rPr>
      </w:pPr>
      <w:r>
        <w:rPr>
          <w:rFonts w:hint="cs"/>
          <w:noProof/>
          <w:rtl/>
        </w:rPr>
        <w:t>המאשימה הפנתה לנסיבות ביצוע העבירות, כפי שהן עולות מהכרעת הדין שניתנה בתיק הנוכחי ומעובדות כתב האישום המתוקן בתיק המצורף, וביקשה לראות בנסיבות כנושאות חומרה. לשיטת המאשימה, הנאשם נטל חלק מרכזי בביצוע העבירות; בשל גילו הוא מודע היטב למעשיו ולחומרתם ויכול היה להימנע מביצועם, אך תחת זאת ביצע את העבירות תוך הפעלת שיקול דעת. כמו כן, טענה המאשימה כי הנזק הפוטנציאלי שעלול היה להיגרם הוא רב, מה גם שהאקדח היה טעון.  זאת ועוד, המאשימה ביקשה ללמוד חומרה שעולה מהעבירה שעניינה הפרת הוראה חוקית. המאשימה הגישה אסופת פסיקה, אשר לעמדתה ניתן ממנה ללמוד לגבי מדיניות הענישה הנוהגת.</w:t>
      </w:r>
    </w:p>
    <w:p w14:paraId="2FB7F9E6" w14:textId="77777777" w:rsidR="00EF62C5" w:rsidRDefault="00EF62C5" w:rsidP="00EF62C5">
      <w:pPr>
        <w:suppressLineNumbers/>
        <w:spacing w:line="360" w:lineRule="auto"/>
        <w:ind w:firstLine="567"/>
        <w:contextualSpacing/>
        <w:jc w:val="both"/>
        <w:rPr>
          <w:noProof/>
        </w:rPr>
      </w:pPr>
    </w:p>
    <w:p w14:paraId="3FFAB71C" w14:textId="77777777" w:rsidR="00EF62C5" w:rsidRDefault="00EF62C5" w:rsidP="00EF62C5">
      <w:pPr>
        <w:suppressLineNumbers/>
        <w:spacing w:line="360" w:lineRule="auto"/>
        <w:ind w:firstLine="567"/>
        <w:contextualSpacing/>
        <w:jc w:val="both"/>
        <w:rPr>
          <w:noProof/>
          <w:rtl/>
        </w:rPr>
      </w:pPr>
      <w:r>
        <w:rPr>
          <w:rFonts w:hint="cs"/>
          <w:noProof/>
          <w:rtl/>
        </w:rPr>
        <w:t xml:space="preserve">לאחר שהמאשימה עמדה על הערכים המוגנים ומידת הפגיעה בהם, והפנתה למדיניות הענישה הנוהגת, הציעה לקבוע את המתחמים הבאים: לגבי התיק הנוכחי </w:t>
      </w:r>
      <w:r>
        <w:rPr>
          <w:noProof/>
          <w:rtl/>
        </w:rPr>
        <w:t>–</w:t>
      </w:r>
      <w:r>
        <w:rPr>
          <w:rFonts w:hint="cs"/>
          <w:noProof/>
          <w:rtl/>
        </w:rPr>
        <w:t xml:space="preserve"> מתחם שנע בין 30 ל-60 חודשי מאסר בפעול, לצד מאסר על תנאי וקנס; ולגבי התיק המצורף </w:t>
      </w:r>
      <w:r>
        <w:rPr>
          <w:noProof/>
          <w:rtl/>
        </w:rPr>
        <w:t>–</w:t>
      </w:r>
      <w:r>
        <w:rPr>
          <w:rFonts w:hint="cs"/>
          <w:noProof/>
          <w:rtl/>
        </w:rPr>
        <w:t xml:space="preserve"> מתחם עונש שנע בין 15 ל-30 חודשי מאסר בפועל, לצד מאסר על תנאי וקנס.</w:t>
      </w:r>
      <w:r w:rsidRPr="004917D6">
        <w:rPr>
          <w:rFonts w:hint="cs"/>
          <w:noProof/>
          <w:rtl/>
        </w:rPr>
        <w:t xml:space="preserve"> </w:t>
      </w:r>
      <w:r>
        <w:rPr>
          <w:rFonts w:hint="cs"/>
          <w:noProof/>
          <w:rtl/>
        </w:rPr>
        <w:t xml:space="preserve">הואיל וכל אחד מהתיקים כולל הרשעה בעבירת נשק, יש בכך לטענת המאשימה כדי ללמד על חומרה ולהצדיק צבירת העונשים שיוטלו בגדר כל אחד מן המתחמים. </w:t>
      </w:r>
    </w:p>
    <w:p w14:paraId="104F8A63" w14:textId="77777777" w:rsidR="00EF62C5" w:rsidRDefault="00EF62C5" w:rsidP="00EF62C5">
      <w:pPr>
        <w:suppressLineNumbers/>
        <w:spacing w:line="360" w:lineRule="auto"/>
        <w:ind w:firstLine="567"/>
        <w:contextualSpacing/>
        <w:jc w:val="both"/>
        <w:rPr>
          <w:noProof/>
        </w:rPr>
      </w:pPr>
    </w:p>
    <w:p w14:paraId="567CA9F1" w14:textId="77777777" w:rsidR="00EF62C5" w:rsidRDefault="00EF62C5" w:rsidP="00EF62C5">
      <w:pPr>
        <w:suppressLineNumbers/>
        <w:spacing w:line="360" w:lineRule="auto"/>
        <w:ind w:firstLine="567"/>
        <w:contextualSpacing/>
        <w:jc w:val="both"/>
        <w:rPr>
          <w:noProof/>
          <w:rtl/>
        </w:rPr>
      </w:pPr>
      <w:r>
        <w:rPr>
          <w:rFonts w:hint="cs"/>
          <w:noProof/>
          <w:rtl/>
        </w:rPr>
        <w:t>אשר לנסיבות שאינן קשורות בביצוע העבירה, המאשימה הפנתה לנסיבותיו האישיות של הנאשם ובכלל זה לגילו; וכן לעובדה כי בהליך הנוכחי הנאשם הורשע לאחר ניהול הליך הוכחות, אך בתיק המצורף הורשע על פי הודאתו בכתב אישום מתוקן. כמו כן, המאשימה התייחסה לתסקירי שירות המבחן שהוגשו בעניינו של הנאשם, שהוגדרו על ידה כנושאים אופי שלילי. נטען כי מהתסקירים עולה כי הנאשם לא הפנים את חומרת העבירות, נטל אחריות פורמלית, וכי רמת המסוכנות הנשקפת ממנו הוערכה כגבוהה.</w:t>
      </w:r>
    </w:p>
    <w:p w14:paraId="07906250" w14:textId="77777777" w:rsidR="00EF62C5" w:rsidRDefault="00EF62C5" w:rsidP="00EF62C5">
      <w:pPr>
        <w:suppressLineNumbers/>
        <w:spacing w:line="360" w:lineRule="auto"/>
        <w:ind w:firstLine="567"/>
        <w:contextualSpacing/>
        <w:jc w:val="both"/>
        <w:rPr>
          <w:noProof/>
        </w:rPr>
      </w:pPr>
      <w:r>
        <w:rPr>
          <w:rFonts w:hint="cs"/>
          <w:noProof/>
          <w:rtl/>
        </w:rPr>
        <w:t xml:space="preserve">  </w:t>
      </w:r>
    </w:p>
    <w:p w14:paraId="49184FC8" w14:textId="77777777" w:rsidR="00EF62C5" w:rsidRDefault="00EF62C5" w:rsidP="00EF62C5">
      <w:pPr>
        <w:suppressLineNumbers/>
        <w:spacing w:line="360" w:lineRule="auto"/>
        <w:ind w:firstLine="567"/>
        <w:contextualSpacing/>
        <w:jc w:val="both"/>
        <w:rPr>
          <w:noProof/>
        </w:rPr>
      </w:pPr>
      <w:r>
        <w:rPr>
          <w:rFonts w:hint="cs"/>
          <w:noProof/>
          <w:rtl/>
        </w:rPr>
        <w:t xml:space="preserve">לסיכום, ביקשה המאשימה להטיל את העונש ברף הבינוני-תחתון של כל מתחם, וכן לקבוע כי העונשים יוטלו במצטבר האחד לשני. </w:t>
      </w:r>
    </w:p>
    <w:p w14:paraId="44B998C0" w14:textId="77777777" w:rsidR="00EF62C5" w:rsidRDefault="00EF62C5" w:rsidP="00EF62C5">
      <w:pPr>
        <w:suppressLineNumbers/>
        <w:spacing w:line="360" w:lineRule="auto"/>
        <w:contextualSpacing/>
        <w:jc w:val="both"/>
        <w:rPr>
          <w:noProof/>
        </w:rPr>
      </w:pPr>
    </w:p>
    <w:p w14:paraId="1F25E993" w14:textId="77777777" w:rsidR="00EF62C5" w:rsidRDefault="00EF62C5" w:rsidP="00EF62C5">
      <w:pPr>
        <w:numPr>
          <w:ilvl w:val="0"/>
          <w:numId w:val="1"/>
        </w:numPr>
        <w:suppressLineNumbers/>
        <w:spacing w:line="360" w:lineRule="auto"/>
        <w:contextualSpacing/>
        <w:jc w:val="both"/>
        <w:rPr>
          <w:noProof/>
        </w:rPr>
      </w:pPr>
      <w:r>
        <w:rPr>
          <w:rFonts w:hint="cs"/>
          <w:noProof/>
          <w:rtl/>
        </w:rPr>
        <w:t>הסנגורים טענו לעונש ואביא את דבריהם במשולב. הסנגורים טענו כי יש לראות בשני התיקים כאירוע אחד שיש לקבוע בגינו מתחם עונש אחד. לשיטתם, מסקנה זו ניתן ללמוד מהקרבה בזמן בין שני האירועים, העובדה כי המדובר בשניהם בעבירת נשק, והעובדה כי התיק המצורף, שהיה שני מבחינת רצף הזמן, בוצע בהיות הנאשם במעצר בית בגין התיק המצורף.</w:t>
      </w:r>
    </w:p>
    <w:p w14:paraId="0C7E6E7E" w14:textId="77777777" w:rsidR="00EF62C5" w:rsidRPr="002D194F" w:rsidRDefault="00EF62C5" w:rsidP="00EF62C5">
      <w:pPr>
        <w:suppressLineNumbers/>
        <w:spacing w:line="360" w:lineRule="auto"/>
        <w:contextualSpacing/>
        <w:jc w:val="both"/>
        <w:rPr>
          <w:noProof/>
        </w:rPr>
      </w:pPr>
    </w:p>
    <w:p w14:paraId="69619330" w14:textId="77777777" w:rsidR="00EF62C5" w:rsidRDefault="00EF62C5" w:rsidP="00EF62C5">
      <w:pPr>
        <w:suppressLineNumbers/>
        <w:spacing w:line="360" w:lineRule="auto"/>
        <w:ind w:firstLine="567"/>
        <w:contextualSpacing/>
        <w:jc w:val="both"/>
        <w:rPr>
          <w:noProof/>
          <w:rtl/>
        </w:rPr>
      </w:pPr>
      <w:r>
        <w:rPr>
          <w:rFonts w:hint="cs"/>
          <w:noProof/>
          <w:rtl/>
        </w:rPr>
        <w:t>לשיטת הסנגורים, הנסיבות הקשורות בביצוע העבירה ביחס לתיק הנוכחי אינן חמורות והן אף נושקות להחזקת נשק חלף נשיאתו. לדבריהם, עולה מהכרעת הדין כי החזקת הנשק הייתה לתקופה קצהר במהלך נסיעה של מטרים בודדים, כאשר השליטה על הקטנוע לא הייתה בידי הנאשם, אלא בידי הנהג. אשר לתיק המצורף, נטען כי חלקו של הנאשם התמצה אך בסיוע. לפיכך, חלקו בכלל האירועים לא מרכזי. כמו כן נטען על ידי הסנגורים כי העבירות בהן הורשע הנאשם לא גרמו נזק.</w:t>
      </w:r>
    </w:p>
    <w:p w14:paraId="5F589A36" w14:textId="77777777" w:rsidR="00EF62C5" w:rsidRDefault="00EF62C5" w:rsidP="00EF62C5">
      <w:pPr>
        <w:suppressLineNumbers/>
        <w:spacing w:line="360" w:lineRule="auto"/>
        <w:ind w:firstLine="567"/>
        <w:contextualSpacing/>
        <w:jc w:val="both"/>
        <w:rPr>
          <w:noProof/>
          <w:rtl/>
        </w:rPr>
      </w:pPr>
    </w:p>
    <w:p w14:paraId="6520FA88" w14:textId="77777777" w:rsidR="00EF62C5" w:rsidRDefault="00EF62C5" w:rsidP="00EF62C5">
      <w:pPr>
        <w:suppressLineNumbers/>
        <w:spacing w:line="360" w:lineRule="auto"/>
        <w:ind w:firstLine="567"/>
        <w:contextualSpacing/>
        <w:jc w:val="both"/>
        <w:rPr>
          <w:noProof/>
        </w:rPr>
      </w:pPr>
      <w:r>
        <w:rPr>
          <w:rFonts w:hint="cs"/>
          <w:noProof/>
          <w:rtl/>
        </w:rPr>
        <w:t>הסנגורים, הגישו פסיקה אשר לטענתם ניתן ללמוד ממנה על מדיניות הענישה הנוהגת; הוסיפו ופירטו את נסיבותיהם של חלק מהמקרים; וביקשו ללמד גזירה שווה לענייננו.</w:t>
      </w:r>
    </w:p>
    <w:p w14:paraId="3D382958" w14:textId="77777777" w:rsidR="00EF62C5" w:rsidRDefault="00EF62C5" w:rsidP="00EF62C5">
      <w:pPr>
        <w:pStyle w:val="a9"/>
        <w:rPr>
          <w:noProof/>
          <w:rtl/>
        </w:rPr>
      </w:pPr>
    </w:p>
    <w:p w14:paraId="2E96EB10" w14:textId="77777777" w:rsidR="00EF62C5" w:rsidRDefault="00EF62C5" w:rsidP="00EF62C5">
      <w:pPr>
        <w:suppressLineNumbers/>
        <w:spacing w:line="360" w:lineRule="auto"/>
        <w:ind w:firstLine="567"/>
        <w:contextualSpacing/>
        <w:jc w:val="both"/>
        <w:rPr>
          <w:noProof/>
          <w:rtl/>
        </w:rPr>
      </w:pPr>
      <w:r>
        <w:rPr>
          <w:rFonts w:hint="cs"/>
          <w:noProof/>
          <w:rtl/>
        </w:rPr>
        <w:t>הסנגורים הציעו אפוא מתחם עונש הולם אחד. לגישת אחד הסנגורים, יש לקבוע מתחם עונש הולם שנע בין 12 עד 24 חודשים לשני המקרים, ללא קנס; ואילו הסנגור השני התייחס לתיק המצורף בלבד והציע מתחם שנע בין מספר בודד של חודשים ועד 15 חודשים, ככל שלא ייקבע ששני המקרים מגלמים אירוע אחד.</w:t>
      </w:r>
    </w:p>
    <w:p w14:paraId="6EC49356" w14:textId="77777777" w:rsidR="00EF62C5" w:rsidRDefault="00EF62C5" w:rsidP="00EF62C5">
      <w:pPr>
        <w:suppressLineNumbers/>
        <w:spacing w:line="360" w:lineRule="auto"/>
        <w:ind w:firstLine="567"/>
        <w:contextualSpacing/>
        <w:jc w:val="both"/>
        <w:rPr>
          <w:noProof/>
          <w:rtl/>
        </w:rPr>
      </w:pPr>
      <w:r>
        <w:rPr>
          <w:rFonts w:hint="cs"/>
          <w:noProof/>
          <w:rtl/>
        </w:rPr>
        <w:t xml:space="preserve"> </w:t>
      </w:r>
    </w:p>
    <w:p w14:paraId="065531DF" w14:textId="77777777" w:rsidR="00EF62C5" w:rsidRDefault="00EF62C5" w:rsidP="00EF62C5">
      <w:pPr>
        <w:suppressLineNumbers/>
        <w:spacing w:line="360" w:lineRule="auto"/>
        <w:ind w:firstLine="567"/>
        <w:contextualSpacing/>
        <w:jc w:val="both"/>
        <w:rPr>
          <w:noProof/>
        </w:rPr>
      </w:pPr>
      <w:r>
        <w:rPr>
          <w:rFonts w:hint="cs"/>
          <w:noProof/>
          <w:rtl/>
        </w:rPr>
        <w:t>בגדר הנסיבות שאינן קשורות בביצוע העבירה, הסנגורים הפנו לנסיבותיו של הנאשם ובפרט לגילו וטענו כי הוא נופל תחת הגדרת "בגיר-צעיר". הסנגורים הפנו לעובדה כי הנאשם הודה בתיק המצורף וכי ניהול ההליכים בתיק הנוכחי הביא לקבלת התרחיש החלופי לו טען. לטענת הסנגורים, כיום הנאשם מבין את השלכות מעשיו ומתחרט עליהן ומודה בתרחיש החלופי שנקבע בהכרעת הדין בתיק הנוכחי. לפיכך, אין לייחס משקל למה שצוין בתסקיר לפיו הודאתו פורמאלית. הסנגורים אף הפנו לתסקירי שירות המבחן, וביקש לא לייחס את מלוא המשמעות להמלצות שבהן. כן ביקשו הסנגורים להתחשב בתקופה בה הנאשם מצוי במעצר, שלטענתם יש בה כדי כדי להרתיעו.</w:t>
      </w:r>
    </w:p>
    <w:p w14:paraId="0D66F395" w14:textId="77777777" w:rsidR="00EF62C5" w:rsidRPr="002D194F" w:rsidRDefault="00EF62C5" w:rsidP="00EF62C5">
      <w:pPr>
        <w:pStyle w:val="a9"/>
        <w:rPr>
          <w:noProof/>
          <w:rtl/>
        </w:rPr>
      </w:pPr>
    </w:p>
    <w:p w14:paraId="419B5E1D" w14:textId="77777777" w:rsidR="00EF62C5" w:rsidRDefault="00EF62C5" w:rsidP="00EF62C5">
      <w:pPr>
        <w:suppressLineNumbers/>
        <w:spacing w:line="360" w:lineRule="auto"/>
        <w:ind w:firstLine="567"/>
        <w:contextualSpacing/>
        <w:jc w:val="both"/>
        <w:rPr>
          <w:noProof/>
        </w:rPr>
      </w:pPr>
      <w:r w:rsidRPr="00D92EC7">
        <w:rPr>
          <w:rFonts w:hint="cs"/>
          <w:noProof/>
          <w:rtl/>
        </w:rPr>
        <w:t>בנוסף ביקשו הסנגורים להתחשב במצבו הרפואי של הנאשם, אשר עבר תאונה עובר למעצרו והקושי הכפול שהנאשם חווה במעצר בעקבות כך. יצוין בהקשר זה כי בישיבת הטיעונים לעונש, ביקשו הסנגורים להגיש מסמכים רפואיים והתרתי להם זאת. מ</w:t>
      </w:r>
      <w:r>
        <w:rPr>
          <w:rFonts w:hint="cs"/>
          <w:noProof/>
          <w:rtl/>
        </w:rPr>
        <w:t xml:space="preserve">סמך רפואי אחד הוגש (סיכום מידע רפואי מיום 7.2.2023) וממנו עולה כי ב-30.9.2021 הגיע הנאשם ליחידה לטיפול נמרץ לאחר פציעת ירי מורכבת שכללה קרע שטחי בכבד, נקב במעי ופגיעה בעכוז. הנאשם היה מונשם לתקופה וטופל בבית החולים רמב"ם. </w:t>
      </w:r>
    </w:p>
    <w:p w14:paraId="00766737" w14:textId="77777777" w:rsidR="00EF62C5" w:rsidRDefault="00EF62C5" w:rsidP="00EF62C5">
      <w:pPr>
        <w:pStyle w:val="a9"/>
        <w:rPr>
          <w:noProof/>
          <w:rtl/>
        </w:rPr>
      </w:pPr>
    </w:p>
    <w:p w14:paraId="596252F0" w14:textId="77777777" w:rsidR="00EF62C5" w:rsidRDefault="00EF62C5" w:rsidP="00EF62C5">
      <w:pPr>
        <w:numPr>
          <w:ilvl w:val="0"/>
          <w:numId w:val="1"/>
        </w:numPr>
        <w:suppressLineNumbers/>
        <w:spacing w:line="360" w:lineRule="auto"/>
        <w:contextualSpacing/>
        <w:jc w:val="both"/>
        <w:rPr>
          <w:noProof/>
        </w:rPr>
      </w:pPr>
      <w:r>
        <w:rPr>
          <w:rFonts w:hint="cs"/>
          <w:noProof/>
          <w:rtl/>
        </w:rPr>
        <w:t xml:space="preserve">הסנגורים טענו כי קמה לנאשם הגנה מן הצדק שבכוחה להוביל להקלה בעונשו. בתיק הנוכחי, כך נטען, לא הוגש כתב אישום נגד מנסור, מי שנהג בקטנוע; ובתיק המצורף </w:t>
      </w:r>
      <w:r>
        <w:rPr>
          <w:noProof/>
          <w:rtl/>
        </w:rPr>
        <w:t>–</w:t>
      </w:r>
      <w:r>
        <w:rPr>
          <w:rFonts w:hint="cs"/>
          <w:noProof/>
          <w:rtl/>
        </w:rPr>
        <w:t xml:space="preserve"> לא הוגשו כתבי אישום נגד נהג הרכב ונוסע נוסף. לדברי הסנגורים, עובדה זו הובילה לתיקון כתב האישום בתיק המצורף, מעבירה מושלמת לעבירת סיוע. בתגובה לטענות אלו, טען ב"כ המאשימה כי הכרעת הדין בתיק הנוכחי מלמדת שאין לקבל את הטענה. באשר לתיק המצורף, נטען שהטענה לא עלתה בשום שלב בהליכים שהתקיימו בבית המשפט בו הוגש כתב האישום והיא נטענה לראשונה בטיעונים לעונש.</w:t>
      </w:r>
    </w:p>
    <w:p w14:paraId="2C14B69A" w14:textId="77777777" w:rsidR="00EF62C5" w:rsidRDefault="00EF62C5" w:rsidP="00EF62C5">
      <w:pPr>
        <w:suppressLineNumbers/>
        <w:spacing w:line="360" w:lineRule="auto"/>
        <w:contextualSpacing/>
        <w:jc w:val="both"/>
        <w:rPr>
          <w:noProof/>
        </w:rPr>
      </w:pPr>
    </w:p>
    <w:p w14:paraId="31AE0917" w14:textId="77777777" w:rsidR="00EF62C5" w:rsidRPr="00F10163" w:rsidRDefault="00EF62C5" w:rsidP="00EF62C5">
      <w:pPr>
        <w:numPr>
          <w:ilvl w:val="0"/>
          <w:numId w:val="1"/>
        </w:numPr>
        <w:suppressLineNumbers/>
        <w:spacing w:line="360" w:lineRule="auto"/>
        <w:contextualSpacing/>
        <w:jc w:val="both"/>
        <w:rPr>
          <w:noProof/>
          <w:rtl/>
        </w:rPr>
      </w:pPr>
      <w:r>
        <w:rPr>
          <w:rFonts w:hint="cs"/>
          <w:noProof/>
          <w:rtl/>
        </w:rPr>
        <w:t>בדברו האחרון, ציין הנאשם בזו הלשון: "</w:t>
      </w:r>
      <w:r w:rsidRPr="006D5E44">
        <w:rPr>
          <w:rFonts w:hint="cs"/>
          <w:b/>
          <w:bCs/>
          <w:noProof/>
          <w:rtl/>
        </w:rPr>
        <w:t>אני מצטער על מה שעשיתי ואני לא אחזור על זה שוב</w:t>
      </w:r>
      <w:r>
        <w:rPr>
          <w:rFonts w:hint="cs"/>
          <w:noProof/>
          <w:rtl/>
        </w:rPr>
        <w:t>".</w:t>
      </w:r>
    </w:p>
    <w:p w14:paraId="7C9F7458" w14:textId="77777777" w:rsidR="00EF62C5" w:rsidRPr="00F10163" w:rsidRDefault="00EF62C5" w:rsidP="00EF62C5">
      <w:pPr>
        <w:suppressLineNumbers/>
        <w:spacing w:line="360" w:lineRule="auto"/>
        <w:contextualSpacing/>
        <w:jc w:val="both"/>
        <w:rPr>
          <w:noProof/>
          <w:rtl/>
        </w:rPr>
      </w:pPr>
    </w:p>
    <w:p w14:paraId="0C3F4EA1" w14:textId="77777777" w:rsidR="00EF62C5" w:rsidRPr="00F10163" w:rsidRDefault="00EF62C5" w:rsidP="00EF62C5">
      <w:pPr>
        <w:spacing w:line="360" w:lineRule="auto"/>
        <w:ind w:left="720" w:hanging="720"/>
        <w:jc w:val="both"/>
        <w:rPr>
          <w:rFonts w:ascii="Arial" w:eastAsia="David" w:hAnsi="Arial"/>
          <w:b/>
          <w:bCs/>
          <w:noProof/>
        </w:rPr>
      </w:pPr>
      <w:r w:rsidRPr="00F10163">
        <w:rPr>
          <w:rFonts w:ascii="Arial" w:eastAsia="David" w:hAnsi="Arial"/>
          <w:b/>
          <w:bCs/>
          <w:noProof/>
          <w:rtl/>
        </w:rPr>
        <w:t>מתחם העונש ההולם</w:t>
      </w:r>
    </w:p>
    <w:p w14:paraId="73B8374C" w14:textId="77777777" w:rsidR="00EF62C5" w:rsidRPr="00F10163" w:rsidRDefault="00EF62C5" w:rsidP="00EF62C5">
      <w:pPr>
        <w:suppressLineNumbers/>
        <w:spacing w:line="360" w:lineRule="auto"/>
        <w:ind w:left="720" w:hanging="720"/>
        <w:jc w:val="both"/>
        <w:rPr>
          <w:noProof/>
        </w:rPr>
      </w:pPr>
    </w:p>
    <w:p w14:paraId="7D2E6361" w14:textId="77777777" w:rsidR="00EF62C5" w:rsidRDefault="00EF62C5" w:rsidP="00EF62C5">
      <w:pPr>
        <w:numPr>
          <w:ilvl w:val="0"/>
          <w:numId w:val="1"/>
        </w:numPr>
        <w:suppressLineNumbers/>
        <w:spacing w:line="360" w:lineRule="auto"/>
        <w:contextualSpacing/>
        <w:jc w:val="both"/>
        <w:rPr>
          <w:rFonts w:ascii="Arial" w:eastAsia="David" w:hAnsi="Arial"/>
          <w:noProof/>
        </w:rPr>
      </w:pPr>
      <w:r w:rsidRPr="00ED6DCA">
        <w:rPr>
          <w:rFonts w:ascii="Arial" w:eastAsia="David" w:hAnsi="Arial"/>
          <w:noProof/>
          <w:rtl/>
        </w:rPr>
        <w:t>כידוע, גזירת הדין נעשית, בדרך כלל, בשני שלבים עיקריים: קביעת מתחם עונש הולם ולאחר מכן גזירת העונש בתוך המתחם (</w:t>
      </w:r>
      <w:hyperlink r:id="rId34" w:history="1">
        <w:r w:rsidR="00402C3F" w:rsidRPr="00402C3F">
          <w:rPr>
            <w:rStyle w:val="Hyperlink"/>
            <w:rFonts w:ascii="Arial" w:eastAsia="David" w:hAnsi="Arial"/>
            <w:noProof/>
            <w:rtl/>
          </w:rPr>
          <w:t>סעיף 40ג'</w:t>
        </w:r>
      </w:hyperlink>
      <w:r w:rsidRPr="00ED6DCA">
        <w:rPr>
          <w:rFonts w:ascii="Arial" w:eastAsia="David" w:hAnsi="Arial"/>
          <w:noProof/>
          <w:rtl/>
        </w:rPr>
        <w:t xml:space="preserve"> ל</w:t>
      </w:r>
      <w:hyperlink r:id="rId35" w:history="1">
        <w:r w:rsidR="00780E32" w:rsidRPr="00780E32">
          <w:rPr>
            <w:rFonts w:ascii="Arial" w:eastAsia="David" w:hAnsi="Arial"/>
            <w:noProof/>
            <w:color w:val="0000FF"/>
            <w:u w:val="single"/>
            <w:rtl/>
          </w:rPr>
          <w:t>חוק העונשין</w:t>
        </w:r>
      </w:hyperlink>
      <w:r w:rsidRPr="00ED6DCA">
        <w:rPr>
          <w:rFonts w:ascii="Arial" w:eastAsia="David" w:hAnsi="Arial"/>
          <w:noProof/>
          <w:rtl/>
        </w:rPr>
        <w:t xml:space="preserve">). בתוך כך יש לבחון אם קיימים שיקולים המצדיקים סטייה מהמתחם. בבוא בית המשפט לקבוע את מתחם העונש, עליו לעשות כן בהתאם לעקרון המנחה, כלומר קיומו של יחס הולם בין חומרת מעשה העבירה בנסיבותיו ומידת אשמו של הנאשם ובין סוג ומידת העונש המוטל עליו. לצורך קביעת המתחם, בית המשפט יתחשב בערך החברתי שנפגע מביצוע העבירה, במידת הפגיעה בו, במדיניות הענישה הנהוגה ובנסיבות הקשורות בביצוע העבירה כאמור </w:t>
      </w:r>
      <w:hyperlink r:id="rId36" w:history="1">
        <w:r w:rsidR="00402C3F" w:rsidRPr="00402C3F">
          <w:rPr>
            <w:rStyle w:val="Hyperlink"/>
            <w:rFonts w:ascii="Arial" w:eastAsia="David" w:hAnsi="Arial" w:hint="eastAsia"/>
            <w:noProof/>
            <w:rtl/>
          </w:rPr>
          <w:t>בסעיף</w:t>
        </w:r>
        <w:r w:rsidR="00402C3F" w:rsidRPr="00402C3F">
          <w:rPr>
            <w:rStyle w:val="Hyperlink"/>
            <w:rFonts w:ascii="Arial" w:eastAsia="David" w:hAnsi="Arial"/>
            <w:noProof/>
            <w:rtl/>
          </w:rPr>
          <w:t xml:space="preserve"> 40ט'</w:t>
        </w:r>
      </w:hyperlink>
      <w:r w:rsidRPr="00ED6DCA">
        <w:rPr>
          <w:rFonts w:ascii="Arial" w:eastAsia="David" w:hAnsi="Arial"/>
          <w:noProof/>
          <w:rtl/>
        </w:rPr>
        <w:t xml:space="preserve"> ל</w:t>
      </w:r>
      <w:hyperlink r:id="rId37" w:history="1">
        <w:r w:rsidR="00780E32" w:rsidRPr="00780E32">
          <w:rPr>
            <w:rFonts w:ascii="Arial" w:eastAsia="David" w:hAnsi="Arial"/>
            <w:noProof/>
            <w:color w:val="0000FF"/>
            <w:u w:val="single"/>
            <w:rtl/>
          </w:rPr>
          <w:t>חוק העונשין</w:t>
        </w:r>
      </w:hyperlink>
      <w:r w:rsidRPr="00ED6DCA">
        <w:rPr>
          <w:rFonts w:ascii="Arial" w:eastAsia="David" w:hAnsi="Arial"/>
          <w:noProof/>
          <w:rtl/>
        </w:rPr>
        <w:t>.</w:t>
      </w:r>
    </w:p>
    <w:p w14:paraId="77A77B58" w14:textId="77777777" w:rsidR="00EF62C5" w:rsidRPr="00ED6DCA" w:rsidRDefault="00EF62C5" w:rsidP="00EF62C5">
      <w:pPr>
        <w:suppressLineNumbers/>
        <w:spacing w:line="360" w:lineRule="auto"/>
        <w:contextualSpacing/>
        <w:jc w:val="both"/>
        <w:rPr>
          <w:rFonts w:ascii="Arial" w:eastAsia="David" w:hAnsi="Arial"/>
          <w:noProof/>
        </w:rPr>
      </w:pPr>
    </w:p>
    <w:p w14:paraId="6F33C997" w14:textId="77777777" w:rsidR="00EF62C5" w:rsidRPr="006D5E44" w:rsidRDefault="00EF62C5" w:rsidP="00EF62C5">
      <w:pPr>
        <w:numPr>
          <w:ilvl w:val="0"/>
          <w:numId w:val="1"/>
        </w:numPr>
        <w:suppressLineNumbers/>
        <w:spacing w:line="360" w:lineRule="auto"/>
        <w:contextualSpacing/>
        <w:jc w:val="both"/>
        <w:rPr>
          <w:noProof/>
          <w:rtl/>
        </w:rPr>
      </w:pPr>
      <w:r>
        <w:rPr>
          <w:rFonts w:hint="cs"/>
          <w:noProof/>
          <w:rtl/>
        </w:rPr>
        <w:t xml:space="preserve">לפני שנדון בשיקולים המעצבים את מתחם העונש, עלינו להכריע במחלוקת שהתעוררה בין הצדדים, לאמור </w:t>
      </w:r>
      <w:r>
        <w:rPr>
          <w:noProof/>
          <w:rtl/>
        </w:rPr>
        <w:t>–</w:t>
      </w:r>
      <w:r>
        <w:rPr>
          <w:rFonts w:hint="cs"/>
          <w:noProof/>
          <w:rtl/>
        </w:rPr>
        <w:t xml:space="preserve"> האם יש לראות בכל אחד מכתבי האישום, כמגלם אירוע נפרד ולקבוע שני מתחמים, אחד לכל אירוע, כטענת המאשימה; או שיש לראות בהם אירוע אחד ולקבוע מתחם עונש אחד לשניהם, כטענת ההגנה (</w:t>
      </w:r>
      <w:hyperlink r:id="rId38" w:history="1">
        <w:r w:rsidR="00402C3F" w:rsidRPr="00402C3F">
          <w:rPr>
            <w:rStyle w:val="Hyperlink"/>
            <w:rFonts w:hint="eastAsia"/>
            <w:noProof/>
            <w:rtl/>
          </w:rPr>
          <w:t>סעיף</w:t>
        </w:r>
        <w:r w:rsidR="00402C3F" w:rsidRPr="00402C3F">
          <w:rPr>
            <w:rStyle w:val="Hyperlink"/>
            <w:noProof/>
            <w:rtl/>
          </w:rPr>
          <w:t xml:space="preserve"> 40יג'</w:t>
        </w:r>
      </w:hyperlink>
      <w:r>
        <w:rPr>
          <w:rFonts w:hint="cs"/>
          <w:noProof/>
          <w:rtl/>
        </w:rPr>
        <w:t xml:space="preserve"> ל</w:t>
      </w:r>
      <w:hyperlink r:id="rId39" w:history="1">
        <w:r w:rsidR="00780E32" w:rsidRPr="00780E32">
          <w:rPr>
            <w:noProof/>
            <w:color w:val="0000FF"/>
            <w:u w:val="single"/>
            <w:rtl/>
          </w:rPr>
          <w:t>חוק העונשין</w:t>
        </w:r>
      </w:hyperlink>
      <w:r>
        <w:rPr>
          <w:rFonts w:hint="cs"/>
          <w:noProof/>
          <w:rtl/>
        </w:rPr>
        <w:t>).</w:t>
      </w:r>
    </w:p>
    <w:p w14:paraId="30C991FA" w14:textId="77777777" w:rsidR="00EF62C5" w:rsidRDefault="00EF62C5" w:rsidP="00EF62C5">
      <w:pPr>
        <w:suppressLineNumbers/>
        <w:spacing w:line="360" w:lineRule="auto"/>
        <w:ind w:firstLine="720"/>
        <w:contextualSpacing/>
        <w:jc w:val="both"/>
        <w:rPr>
          <w:noProof/>
          <w:rtl/>
        </w:rPr>
      </w:pPr>
    </w:p>
    <w:p w14:paraId="3FF201DB" w14:textId="77777777" w:rsidR="00EF62C5" w:rsidRPr="006D5E44" w:rsidRDefault="00EF62C5" w:rsidP="00EF62C5">
      <w:pPr>
        <w:suppressLineNumbers/>
        <w:spacing w:line="360" w:lineRule="auto"/>
        <w:ind w:firstLine="567"/>
        <w:contextualSpacing/>
        <w:jc w:val="both"/>
        <w:rPr>
          <w:noProof/>
        </w:rPr>
      </w:pPr>
      <w:r w:rsidRPr="006D5E44">
        <w:rPr>
          <w:noProof/>
          <w:rtl/>
        </w:rPr>
        <w:t>ב</w:t>
      </w:r>
      <w:hyperlink r:id="rId40" w:history="1">
        <w:r w:rsidR="00780E32" w:rsidRPr="00780E32">
          <w:rPr>
            <w:noProof/>
            <w:color w:val="0000FF"/>
            <w:u w:val="single"/>
            <w:rtl/>
          </w:rPr>
          <w:t>ע"פ 4910/13</w:t>
        </w:r>
      </w:hyperlink>
      <w:r w:rsidRPr="006D5E44">
        <w:rPr>
          <w:noProof/>
          <w:rtl/>
        </w:rPr>
        <w:t xml:space="preserve"> </w:t>
      </w:r>
      <w:r w:rsidRPr="006D5E44">
        <w:rPr>
          <w:b/>
          <w:bCs/>
          <w:noProof/>
          <w:rtl/>
        </w:rPr>
        <w:t>ג'אבר נ' מדינת ישראל</w:t>
      </w:r>
      <w:r w:rsidRPr="006D5E44">
        <w:rPr>
          <w:noProof/>
          <w:rtl/>
        </w:rPr>
        <w:t xml:space="preserve"> ( 29.10.2014) (להלן: </w:t>
      </w:r>
      <w:r>
        <w:rPr>
          <w:rFonts w:hint="cs"/>
          <w:noProof/>
          <w:rtl/>
        </w:rPr>
        <w:t xml:space="preserve">עניין </w:t>
      </w:r>
      <w:r w:rsidRPr="006D5E44">
        <w:rPr>
          <w:b/>
          <w:bCs/>
          <w:noProof/>
          <w:rtl/>
        </w:rPr>
        <w:t>ג'אבר</w:t>
      </w:r>
      <w:r w:rsidRPr="006D5E44">
        <w:rPr>
          <w:noProof/>
          <w:rtl/>
        </w:rPr>
        <w:t xml:space="preserve">) הוצעו מספר קווים מנחים לאפיונו של "אירוע". המבחן שהוצע על ידי כב' השופטת ברק-ארז הוא מבחן "הקשר ההדוק" אשר </w:t>
      </w:r>
      <w:r>
        <w:rPr>
          <w:rFonts w:hint="cs"/>
          <w:noProof/>
          <w:rtl/>
        </w:rPr>
        <w:t>מ</w:t>
      </w:r>
      <w:r w:rsidRPr="006D5E44">
        <w:rPr>
          <w:noProof/>
          <w:rtl/>
        </w:rPr>
        <w:t xml:space="preserve">תקיים כאשר תימצא בין העבירות סמיכות זמנים או כאשר הן חלק מאותה תכנית עבריינית, אף כאשר הן בוצעו לאורך תקופת זמן שאינה קצרה. בפסיקה מאוחרת נראה כי הלך והתבסס מבחן זה (ראו: </w:t>
      </w:r>
      <w:hyperlink r:id="rId41" w:history="1">
        <w:r w:rsidR="00780E32" w:rsidRPr="00780E32">
          <w:rPr>
            <w:noProof/>
            <w:color w:val="0000FF"/>
            <w:u w:val="single"/>
            <w:rtl/>
          </w:rPr>
          <w:t>רע"פ 4760/14</w:t>
        </w:r>
      </w:hyperlink>
      <w:r w:rsidRPr="006D5E44">
        <w:rPr>
          <w:noProof/>
          <w:rtl/>
        </w:rPr>
        <w:t xml:space="preserve"> </w:t>
      </w:r>
      <w:r w:rsidRPr="006D5E44">
        <w:rPr>
          <w:b/>
          <w:bCs/>
          <w:noProof/>
          <w:rtl/>
        </w:rPr>
        <w:t>קיסלמן נ' מדינת ישראל</w:t>
      </w:r>
      <w:r w:rsidRPr="006D5E44">
        <w:rPr>
          <w:noProof/>
          <w:rtl/>
        </w:rPr>
        <w:t xml:space="preserve"> (פורסם בנבו, 7.5.2015); </w:t>
      </w:r>
      <w:hyperlink r:id="rId42" w:history="1">
        <w:r w:rsidR="00780E32" w:rsidRPr="00780E32">
          <w:rPr>
            <w:noProof/>
            <w:color w:val="0000FF"/>
            <w:u w:val="single"/>
            <w:rtl/>
          </w:rPr>
          <w:t>ע"פ 4289/14</w:t>
        </w:r>
      </w:hyperlink>
      <w:r w:rsidRPr="006D5E44">
        <w:rPr>
          <w:noProof/>
          <w:rtl/>
        </w:rPr>
        <w:t xml:space="preserve"> </w:t>
      </w:r>
      <w:r w:rsidRPr="006D5E44">
        <w:rPr>
          <w:b/>
          <w:bCs/>
          <w:noProof/>
          <w:rtl/>
        </w:rPr>
        <w:t>חנונה נ' מדינת ישראל</w:t>
      </w:r>
      <w:r w:rsidRPr="006D5E44">
        <w:rPr>
          <w:noProof/>
          <w:rtl/>
        </w:rPr>
        <w:t xml:space="preserve"> (פורסם בנבו, 21.1.2015)</w:t>
      </w:r>
      <w:r>
        <w:rPr>
          <w:rFonts w:hint="cs"/>
          <w:noProof/>
          <w:rtl/>
        </w:rPr>
        <w:t xml:space="preserve">; </w:t>
      </w:r>
      <w:hyperlink r:id="rId43" w:history="1">
        <w:r w:rsidR="00780E32" w:rsidRPr="00780E32">
          <w:rPr>
            <w:noProof/>
            <w:color w:val="0000FF"/>
            <w:u w:val="single"/>
            <w:rtl/>
          </w:rPr>
          <w:t>ע"פ 2240/21</w:t>
        </w:r>
      </w:hyperlink>
      <w:r>
        <w:rPr>
          <w:noProof/>
          <w:rtl/>
        </w:rPr>
        <w:t xml:space="preserve"> ‏</w:t>
      </w:r>
      <w:r w:rsidRPr="00951A83">
        <w:rPr>
          <w:b/>
          <w:bCs/>
          <w:noProof/>
          <w:rtl/>
        </w:rPr>
        <w:t>מדינת ישראל נ' שחר</w:t>
      </w:r>
      <w:r>
        <w:rPr>
          <w:rFonts w:hint="cs"/>
          <w:noProof/>
          <w:rtl/>
        </w:rPr>
        <w:t xml:space="preserve"> (8.11.2021)). </w:t>
      </w:r>
      <w:r w:rsidRPr="006D5E44">
        <w:rPr>
          <w:noProof/>
          <w:rtl/>
        </w:rPr>
        <w:t xml:space="preserve">עם זאת, לאחר פסק דין </w:t>
      </w:r>
      <w:r w:rsidRPr="006D5E44">
        <w:rPr>
          <w:b/>
          <w:bCs/>
          <w:noProof/>
          <w:rtl/>
        </w:rPr>
        <w:t>ג'אבר</w:t>
      </w:r>
      <w:r w:rsidRPr="006D5E44">
        <w:rPr>
          <w:noProof/>
          <w:rtl/>
        </w:rPr>
        <w:t xml:space="preserve"> ניתן למצוא מספר פסקי דין בהם הובעו קולות שונים לגבי מבחן הקשר ההדוק: כך, ב</w:t>
      </w:r>
      <w:hyperlink r:id="rId44" w:history="1">
        <w:r w:rsidR="00780E32" w:rsidRPr="00780E32">
          <w:rPr>
            <w:noProof/>
            <w:color w:val="0000FF"/>
            <w:u w:val="single"/>
            <w:rtl/>
          </w:rPr>
          <w:t>ע"פ 1261/15</w:t>
        </w:r>
      </w:hyperlink>
      <w:r w:rsidRPr="006D5E44">
        <w:rPr>
          <w:noProof/>
          <w:rtl/>
        </w:rPr>
        <w:t xml:space="preserve"> </w:t>
      </w:r>
      <w:r w:rsidRPr="006D5E44">
        <w:rPr>
          <w:b/>
          <w:bCs/>
          <w:noProof/>
          <w:rtl/>
        </w:rPr>
        <w:t>מדינת ישראל נ' דלאל</w:t>
      </w:r>
      <w:r w:rsidRPr="006D5E44">
        <w:rPr>
          <w:noProof/>
          <w:rtl/>
        </w:rPr>
        <w:t xml:space="preserve"> (פורסם בנבו, 3.9.2015) יישם אמנם כב' השופט סולברג את מבחן הקשר ההדוק, אך הוסיף וציין כי ככל שעוצמת הקשר בין העבירות על פי נסיבותיהן העובדתית רבה, תידרש הצדקה נורמטיבית משמעותית יותר כדי לראותן כאירועים נפרדים, ולהיפך. דוגמא נוספת היא פסק הדין ב</w:t>
      </w:r>
      <w:hyperlink r:id="rId45" w:history="1">
        <w:r w:rsidR="00780E32" w:rsidRPr="00780E32">
          <w:rPr>
            <w:noProof/>
            <w:color w:val="0000FF"/>
            <w:u w:val="single"/>
            <w:rtl/>
          </w:rPr>
          <w:t>ע"פ 1082/14</w:t>
        </w:r>
      </w:hyperlink>
      <w:r w:rsidRPr="006D5E44">
        <w:rPr>
          <w:noProof/>
          <w:rtl/>
        </w:rPr>
        <w:t xml:space="preserve"> </w:t>
      </w:r>
      <w:r w:rsidRPr="006D5E44">
        <w:rPr>
          <w:b/>
          <w:bCs/>
          <w:noProof/>
          <w:rtl/>
        </w:rPr>
        <w:t>ג'אסר נ' מדינת ישראל</w:t>
      </w:r>
      <w:r w:rsidRPr="006D5E44">
        <w:rPr>
          <w:noProof/>
          <w:rtl/>
        </w:rPr>
        <w:t xml:space="preserve"> (פורסם בנבו, 23.7.2015), שם קבע כב' השופט הנדל כי הגישה לפיה דפוס דומה של מעשים (ללא קשר לפרמטרים של נפגעי העבירה, מועד ביצוע העבירה ואופני תכנון שונים), די בה כדי להפוך את כל העבירות לאירוע אחד, היא מרחיקת לכת. </w:t>
      </w:r>
    </w:p>
    <w:p w14:paraId="423E06D3" w14:textId="77777777" w:rsidR="00EF62C5" w:rsidRPr="006D5E44" w:rsidRDefault="00EF62C5" w:rsidP="00EF62C5">
      <w:pPr>
        <w:suppressLineNumbers/>
        <w:spacing w:line="360" w:lineRule="auto"/>
        <w:contextualSpacing/>
        <w:jc w:val="both"/>
        <w:rPr>
          <w:noProof/>
        </w:rPr>
      </w:pPr>
    </w:p>
    <w:p w14:paraId="6098A571" w14:textId="77777777" w:rsidR="00EF62C5" w:rsidRDefault="00EF62C5" w:rsidP="00EF62C5">
      <w:pPr>
        <w:suppressLineNumbers/>
        <w:spacing w:line="360" w:lineRule="auto"/>
        <w:ind w:firstLine="567"/>
        <w:contextualSpacing/>
        <w:jc w:val="both"/>
        <w:rPr>
          <w:noProof/>
          <w:rtl/>
        </w:rPr>
      </w:pPr>
      <w:r w:rsidRPr="006D5E44">
        <w:rPr>
          <w:noProof/>
          <w:rtl/>
        </w:rPr>
        <w:t xml:space="preserve">לאחר שהצטיידנו מלוא הסאה, נפנה לדון </w:t>
      </w:r>
      <w:r>
        <w:rPr>
          <w:noProof/>
          <w:rtl/>
        </w:rPr>
        <w:t>במעשים המונחים לפנינו</w:t>
      </w:r>
      <w:r>
        <w:rPr>
          <w:rFonts w:hint="cs"/>
          <w:noProof/>
          <w:rtl/>
        </w:rPr>
        <w:t xml:space="preserve"> ונקדים ונציין כי יש לראות בכל הליך אירוע נפרד שיש לקבוע בגינו מתחם נפרד. </w:t>
      </w:r>
      <w:r w:rsidRPr="006D5E44">
        <w:rPr>
          <w:noProof/>
          <w:rtl/>
        </w:rPr>
        <w:t xml:space="preserve">   </w:t>
      </w:r>
    </w:p>
    <w:p w14:paraId="5B0FC341" w14:textId="77777777" w:rsidR="00EF62C5" w:rsidRDefault="00EF62C5" w:rsidP="00EF62C5">
      <w:pPr>
        <w:suppressLineNumbers/>
        <w:spacing w:line="360" w:lineRule="auto"/>
        <w:ind w:firstLine="567"/>
        <w:contextualSpacing/>
        <w:jc w:val="both"/>
        <w:rPr>
          <w:noProof/>
          <w:rtl/>
        </w:rPr>
      </w:pPr>
    </w:p>
    <w:p w14:paraId="06C28157" w14:textId="77777777" w:rsidR="00EF62C5" w:rsidRDefault="00EF62C5" w:rsidP="00EF62C5">
      <w:pPr>
        <w:suppressLineNumbers/>
        <w:spacing w:line="360" w:lineRule="auto"/>
        <w:ind w:firstLine="567"/>
        <w:contextualSpacing/>
        <w:jc w:val="both"/>
        <w:rPr>
          <w:noProof/>
          <w:rtl/>
        </w:rPr>
      </w:pPr>
      <w:r>
        <w:rPr>
          <w:rFonts w:hint="cs"/>
          <w:noProof/>
          <w:rtl/>
        </w:rPr>
        <w:t xml:space="preserve">יצוין בפתח הדברים כי המבחן לצורך הקביעה אם מדובר באירוע אחד אם לאו אינו מבחן טכני, והעובדה כי שני המקרים נכללו בכתבי אישום נפרדים </w:t>
      </w:r>
      <w:r>
        <w:rPr>
          <w:noProof/>
          <w:rtl/>
        </w:rPr>
        <w:t>–</w:t>
      </w:r>
      <w:r>
        <w:rPr>
          <w:rFonts w:hint="cs"/>
          <w:noProof/>
          <w:rtl/>
        </w:rPr>
        <w:t xml:space="preserve"> אינה חזות הכל. לגופם של דברים,  אין בידי לקבל את טענת הסנגורים כי העובדה כי בשני ההליכים המדובר בעבירת נשק, היא שיקול שמטה את הכף לראות בשני המקרים כאירוע אחד. הדברים אמורים ביתר שאת, מקום שבהליך הנוכחי נוסף לעבירת הנשק הורשע הנאשם בעבירות נוספות של שיבוש מהלכי משפט והפרת הוראה חוקית. עבירות אלו מוסיפות נדבך נוסף שמרחיק את האירוע האחד ממשנהו.  גם הטענה כי הפרת תנאי מעצר הבית, שגיבשה את העבירה של הפרת ההוראה החוקית, בוצעה בזיקה לתנאים שהוטלו בהליך המצורף </w:t>
      </w:r>
      <w:r>
        <w:rPr>
          <w:noProof/>
          <w:rtl/>
        </w:rPr>
        <w:t>–</w:t>
      </w:r>
      <w:r>
        <w:rPr>
          <w:rFonts w:hint="cs"/>
          <w:noProof/>
          <w:rtl/>
        </w:rPr>
        <w:t xml:space="preserve"> אין בה כשלעצמה להוליך לתוצאה לה מייחלים הסנגורים.</w:t>
      </w:r>
    </w:p>
    <w:p w14:paraId="6EE88938" w14:textId="77777777" w:rsidR="00EF62C5" w:rsidRDefault="00EF62C5" w:rsidP="00EF62C5">
      <w:pPr>
        <w:suppressLineNumbers/>
        <w:spacing w:line="360" w:lineRule="auto"/>
        <w:ind w:firstLine="567"/>
        <w:contextualSpacing/>
        <w:jc w:val="both"/>
        <w:rPr>
          <w:noProof/>
          <w:rtl/>
        </w:rPr>
      </w:pPr>
    </w:p>
    <w:p w14:paraId="69E52666" w14:textId="77777777" w:rsidR="00EF62C5" w:rsidRPr="006D5E44" w:rsidRDefault="00EF62C5" w:rsidP="00EF62C5">
      <w:pPr>
        <w:suppressLineNumbers/>
        <w:spacing w:line="360" w:lineRule="auto"/>
        <w:ind w:firstLine="567"/>
        <w:contextualSpacing/>
        <w:jc w:val="both"/>
        <w:rPr>
          <w:noProof/>
        </w:rPr>
      </w:pPr>
      <w:r>
        <w:rPr>
          <w:rFonts w:hint="cs"/>
          <w:noProof/>
          <w:rtl/>
        </w:rPr>
        <w:t xml:space="preserve">זאת ועוד, בעוד שהעבירות בהליך הנוכחי בוצעו ביום 7.2.2022 העבירה בתיק המצורף בוצעה ביום 2.1.2022, בפער של יותר מחודש. בנסיבותיו של מקרה זה ועל רקע מהותה של העבירה, נראה כי יש בפער זה כדי ליצור נתק בין שני המקרים, עד שאין לראות בשני ההליכים כעוסקים בתכנית עבריינית אחת. הקשר היחיד בין שני המקרים הוא העיסוק בנשק, ועובדה זו כשלעצמה לא הופכת את ההליכים למערך עברייני אחד. כמו כן, יש לזכור כי העבירות בוצעו בריחוק גיאוגרפי. בעוד שהעבירה בתיק המצורף בוצעה ליד היישוב טורעאן במחוז הצפון, העבירה בתיק הנוכחי בוצעה בעיר טמרה. זו גם הסיבה כי כתבי האישום נדונו עד לצירופם יחד בבתי המשפט שונים, בית המשפט המחוזי בנצרת ובחיפה. לפיכך, אני קובע כי יש לראות בכל הליך כמגלם אירוע בגינו יש לקבוע מתחם נפרד. </w:t>
      </w:r>
    </w:p>
    <w:p w14:paraId="16FEF70A" w14:textId="77777777" w:rsidR="00EF62C5" w:rsidRPr="006D5E44" w:rsidRDefault="00EF62C5" w:rsidP="00EF62C5">
      <w:pPr>
        <w:suppressLineNumbers/>
        <w:spacing w:line="360" w:lineRule="auto"/>
        <w:contextualSpacing/>
        <w:jc w:val="both"/>
        <w:rPr>
          <w:noProof/>
        </w:rPr>
      </w:pPr>
    </w:p>
    <w:p w14:paraId="4E580842" w14:textId="77777777" w:rsidR="00EF62C5" w:rsidRPr="007561AD" w:rsidRDefault="00EF62C5" w:rsidP="00EF62C5">
      <w:pPr>
        <w:numPr>
          <w:ilvl w:val="0"/>
          <w:numId w:val="1"/>
        </w:numPr>
        <w:suppressLineNumbers/>
        <w:spacing w:line="360" w:lineRule="auto"/>
        <w:contextualSpacing/>
        <w:jc w:val="both"/>
        <w:rPr>
          <w:noProof/>
        </w:rPr>
      </w:pPr>
      <w:r>
        <w:rPr>
          <w:rFonts w:ascii="Arial" w:eastAsia="David" w:hAnsi="Arial" w:hint="cs"/>
          <w:noProof/>
          <w:rtl/>
        </w:rPr>
        <w:t xml:space="preserve">ועתה נחזור לשיקולים לצורך קביעת המתחם. </w:t>
      </w:r>
      <w:r w:rsidRPr="007561AD">
        <w:rPr>
          <w:rFonts w:ascii="Arial" w:eastAsia="David" w:hAnsi="Arial" w:hint="cs"/>
          <w:noProof/>
          <w:rtl/>
        </w:rPr>
        <w:t>נוכח החפיפה בגין השיקולים השונים, כנגזרת של עבירת הנשק המשות</w:t>
      </w:r>
      <w:r>
        <w:rPr>
          <w:rFonts w:ascii="Arial" w:eastAsia="David" w:hAnsi="Arial" w:hint="cs"/>
          <w:noProof/>
          <w:rtl/>
        </w:rPr>
        <w:t>פת לשני ההליכים</w:t>
      </w:r>
      <w:r w:rsidRPr="007561AD">
        <w:rPr>
          <w:rFonts w:ascii="Arial" w:eastAsia="David" w:hAnsi="Arial" w:hint="cs"/>
          <w:noProof/>
          <w:rtl/>
        </w:rPr>
        <w:t xml:space="preserve"> </w:t>
      </w:r>
      <w:r w:rsidRPr="007561AD">
        <w:rPr>
          <w:rFonts w:ascii="Arial" w:eastAsia="David" w:hAnsi="Arial"/>
          <w:noProof/>
          <w:rtl/>
        </w:rPr>
        <w:t>–</w:t>
      </w:r>
      <w:r w:rsidRPr="007561AD">
        <w:rPr>
          <w:rFonts w:ascii="Arial" w:eastAsia="David" w:hAnsi="Arial" w:hint="cs"/>
          <w:noProof/>
          <w:rtl/>
        </w:rPr>
        <w:t xml:space="preserve"> הדיון במתחמים ייעשה בכריכה אחת.</w:t>
      </w:r>
      <w:r>
        <w:rPr>
          <w:rFonts w:ascii="Arial" w:eastAsia="David" w:hAnsi="Arial" w:hint="cs"/>
          <w:noProof/>
          <w:rtl/>
        </w:rPr>
        <w:t xml:space="preserve"> </w:t>
      </w:r>
    </w:p>
    <w:p w14:paraId="2241ACB6" w14:textId="77777777" w:rsidR="00EF62C5" w:rsidRPr="007561AD" w:rsidRDefault="00EF62C5" w:rsidP="00EF62C5">
      <w:pPr>
        <w:suppressLineNumbers/>
        <w:spacing w:line="360" w:lineRule="auto"/>
        <w:contextualSpacing/>
        <w:jc w:val="both"/>
        <w:rPr>
          <w:noProof/>
        </w:rPr>
      </w:pPr>
    </w:p>
    <w:p w14:paraId="4C8B88B3" w14:textId="77777777" w:rsidR="00EF62C5" w:rsidRDefault="00EF62C5" w:rsidP="00EF62C5">
      <w:pPr>
        <w:numPr>
          <w:ilvl w:val="0"/>
          <w:numId w:val="1"/>
        </w:numPr>
        <w:suppressLineNumbers/>
        <w:spacing w:line="360" w:lineRule="auto"/>
        <w:contextualSpacing/>
        <w:jc w:val="both"/>
        <w:rPr>
          <w:noProof/>
        </w:rPr>
      </w:pPr>
      <w:r w:rsidRPr="007C7E29">
        <w:rPr>
          <w:rFonts w:ascii="Arial" w:eastAsia="David" w:hAnsi="Arial" w:hint="cs"/>
          <w:noProof/>
          <w:rtl/>
        </w:rPr>
        <w:t xml:space="preserve">הנאשם הורשע במספר עבירות שכוללות </w:t>
      </w:r>
      <w:r>
        <w:rPr>
          <w:rFonts w:hint="cs"/>
          <w:noProof/>
          <w:rtl/>
        </w:rPr>
        <w:t xml:space="preserve">עבירות </w:t>
      </w:r>
      <w:r w:rsidRPr="007C7E29">
        <w:rPr>
          <w:rFonts w:ascii="David" w:hAnsi="David" w:hint="cs"/>
          <w:rtl/>
        </w:rPr>
        <w:t xml:space="preserve">של </w:t>
      </w:r>
      <w:r w:rsidRPr="007C7E29">
        <w:rPr>
          <w:rFonts w:ascii="David" w:hAnsi="David"/>
          <w:rtl/>
        </w:rPr>
        <w:t xml:space="preserve">החזקה, נשיאה והובלת נשק ותחמושת, לפי </w:t>
      </w:r>
      <w:hyperlink r:id="rId46" w:history="1">
        <w:r w:rsidR="00402C3F" w:rsidRPr="00402C3F">
          <w:rPr>
            <w:rStyle w:val="Hyperlink"/>
            <w:rFonts w:ascii="David" w:hAnsi="David"/>
            <w:rtl/>
          </w:rPr>
          <w:t>סעיפים 144(ב)</w:t>
        </w:r>
      </w:hyperlink>
      <w:r w:rsidRPr="007C7E29">
        <w:rPr>
          <w:rFonts w:ascii="David" w:hAnsi="David"/>
          <w:rtl/>
        </w:rPr>
        <w:t xml:space="preserve"> (רישא וסיפא) ל</w:t>
      </w:r>
      <w:hyperlink r:id="rId47" w:history="1">
        <w:r w:rsidR="00780E32" w:rsidRPr="00780E32">
          <w:rPr>
            <w:rFonts w:ascii="David" w:hAnsi="David"/>
            <w:color w:val="0000FF"/>
            <w:u w:val="single"/>
            <w:rtl/>
          </w:rPr>
          <w:t>חוק העונשין</w:t>
        </w:r>
      </w:hyperlink>
      <w:r w:rsidRPr="007C7E29">
        <w:rPr>
          <w:rFonts w:ascii="David" w:hAnsi="David"/>
          <w:rtl/>
        </w:rPr>
        <w:t xml:space="preserve">, </w:t>
      </w:r>
      <w:r w:rsidRPr="007C7E29">
        <w:rPr>
          <w:rFonts w:ascii="David" w:hAnsi="David" w:hint="cs"/>
          <w:rtl/>
        </w:rPr>
        <w:t>וסיוע בהובלת נזק ונשיאתו</w:t>
      </w:r>
      <w:r w:rsidRPr="007C7E29">
        <w:rPr>
          <w:rFonts w:ascii="David" w:hAnsi="David"/>
          <w:rtl/>
        </w:rPr>
        <w:t>; שיבוש מהלכי משפט</w:t>
      </w:r>
      <w:r w:rsidRPr="007C7E29">
        <w:rPr>
          <w:rFonts w:ascii="David" w:hAnsi="David" w:hint="cs"/>
          <w:rtl/>
        </w:rPr>
        <w:t>;</w:t>
      </w:r>
      <w:r>
        <w:rPr>
          <w:rFonts w:ascii="David" w:hAnsi="David" w:hint="cs"/>
          <w:rtl/>
        </w:rPr>
        <w:t xml:space="preserve"> </w:t>
      </w:r>
      <w:r w:rsidRPr="007C7E29">
        <w:rPr>
          <w:rFonts w:ascii="David" w:hAnsi="David"/>
          <w:rtl/>
        </w:rPr>
        <w:t>והפרת הוראה חוקית</w:t>
      </w:r>
      <w:r w:rsidRPr="007C7E29">
        <w:rPr>
          <w:rFonts w:ascii="David" w:hAnsi="David" w:hint="cs"/>
          <w:rtl/>
        </w:rPr>
        <w:t xml:space="preserve">. </w:t>
      </w:r>
      <w:r>
        <w:rPr>
          <w:rFonts w:hint="cs"/>
          <w:noProof/>
          <w:rtl/>
        </w:rPr>
        <w:t xml:space="preserve">העבירת בהן הורשע הנאשם נועדו להגן על מגוון ערכים מוגנים. עבירות הנשק, נועדו להגן על </w:t>
      </w:r>
      <w:r w:rsidRPr="007C7E29">
        <w:rPr>
          <w:noProof/>
          <w:rtl/>
        </w:rPr>
        <w:t xml:space="preserve">חיי אדם ועל שלום הציבור וביטחונו. אין צורך להכביר מילים </w:t>
      </w:r>
      <w:r>
        <w:rPr>
          <w:rFonts w:hint="cs"/>
          <w:noProof/>
          <w:rtl/>
        </w:rPr>
        <w:t>לגבי ה</w:t>
      </w:r>
      <w:r w:rsidRPr="007C7E29">
        <w:rPr>
          <w:noProof/>
          <w:rtl/>
        </w:rPr>
        <w:t xml:space="preserve">מסוכנות הרבה הטמונה בעבירות </w:t>
      </w:r>
      <w:r>
        <w:rPr>
          <w:rFonts w:hint="cs"/>
          <w:noProof/>
          <w:rtl/>
        </w:rPr>
        <w:t xml:space="preserve">הנשק, זאת בהינתן הסיכון החמור והממשי </w:t>
      </w:r>
      <w:r w:rsidRPr="007C7E29">
        <w:rPr>
          <w:noProof/>
          <w:rtl/>
        </w:rPr>
        <w:t xml:space="preserve">לחיי אדם (ראו: </w:t>
      </w:r>
      <w:hyperlink r:id="rId48" w:history="1">
        <w:r w:rsidR="00780E32" w:rsidRPr="00780E32">
          <w:rPr>
            <w:noProof/>
            <w:color w:val="0000FF"/>
            <w:u w:val="single"/>
            <w:rtl/>
          </w:rPr>
          <w:t>ע"פ 3491/13</w:t>
        </w:r>
      </w:hyperlink>
      <w:r w:rsidRPr="007C7E29">
        <w:rPr>
          <w:noProof/>
          <w:rtl/>
        </w:rPr>
        <w:t xml:space="preserve"> </w:t>
      </w:r>
      <w:r w:rsidRPr="007C7E29">
        <w:rPr>
          <w:b/>
          <w:bCs/>
          <w:noProof/>
          <w:rtl/>
        </w:rPr>
        <w:t>טוויק נ' מדינת ישראל</w:t>
      </w:r>
      <w:r w:rsidRPr="007C7E29">
        <w:rPr>
          <w:noProof/>
          <w:rtl/>
        </w:rPr>
        <w:t xml:space="preserve"> (15.11.2013)). בית המשפט העליון עמד לא פעם על חומרתן של עבירות מסוג זה ועל מדיניות הענישה הנוהגת, בציינו את החובה להטיל בעבירות אלו עונש חמור ומרתיע, ללא פשרות (ראו: </w:t>
      </w:r>
      <w:hyperlink r:id="rId49" w:history="1">
        <w:r w:rsidR="00780E32" w:rsidRPr="00780E32">
          <w:rPr>
            <w:noProof/>
            <w:color w:val="0000FF"/>
            <w:u w:val="single"/>
            <w:rtl/>
          </w:rPr>
          <w:t>רע"פ 2718/04</w:t>
        </w:r>
      </w:hyperlink>
      <w:r w:rsidRPr="007C7E29">
        <w:rPr>
          <w:noProof/>
          <w:rtl/>
        </w:rPr>
        <w:t xml:space="preserve"> </w:t>
      </w:r>
      <w:r w:rsidRPr="007C7E29">
        <w:rPr>
          <w:b/>
          <w:bCs/>
          <w:noProof/>
          <w:rtl/>
        </w:rPr>
        <w:t>אבו דאחל נ' מדינת ישראל</w:t>
      </w:r>
      <w:r w:rsidRPr="007C7E29">
        <w:rPr>
          <w:noProof/>
          <w:rtl/>
        </w:rPr>
        <w:t xml:space="preserve"> (29.3.2004); </w:t>
      </w:r>
      <w:hyperlink r:id="rId50" w:history="1">
        <w:r w:rsidR="00780E32" w:rsidRPr="00780E32">
          <w:rPr>
            <w:noProof/>
            <w:color w:val="0000FF"/>
            <w:u w:val="single"/>
            <w:rtl/>
          </w:rPr>
          <w:t>ע"פ 5336/13</w:t>
        </w:r>
      </w:hyperlink>
      <w:r w:rsidRPr="007C7E29">
        <w:rPr>
          <w:noProof/>
          <w:rtl/>
        </w:rPr>
        <w:t xml:space="preserve"> </w:t>
      </w:r>
      <w:r w:rsidRPr="007C7E29">
        <w:rPr>
          <w:b/>
          <w:bCs/>
          <w:noProof/>
          <w:rtl/>
        </w:rPr>
        <w:t>צדוק נ' מדינת ישראל</w:t>
      </w:r>
      <w:r w:rsidRPr="007C7E29">
        <w:rPr>
          <w:noProof/>
          <w:rtl/>
        </w:rPr>
        <w:t xml:space="preserve"> (17.11.2013)).</w:t>
      </w:r>
      <w:r>
        <w:rPr>
          <w:rFonts w:hint="cs"/>
          <w:noProof/>
          <w:rtl/>
        </w:rPr>
        <w:t xml:space="preserve"> </w:t>
      </w:r>
    </w:p>
    <w:p w14:paraId="200818EA" w14:textId="77777777" w:rsidR="00EF62C5" w:rsidRDefault="00EF62C5" w:rsidP="00EF62C5">
      <w:pPr>
        <w:pStyle w:val="a9"/>
        <w:rPr>
          <w:noProof/>
          <w:rtl/>
        </w:rPr>
      </w:pPr>
    </w:p>
    <w:p w14:paraId="71B09355" w14:textId="77777777" w:rsidR="00EF62C5" w:rsidRDefault="00EF62C5" w:rsidP="00EF62C5">
      <w:pPr>
        <w:numPr>
          <w:ilvl w:val="0"/>
          <w:numId w:val="1"/>
        </w:numPr>
        <w:suppressLineNumbers/>
        <w:spacing w:line="360" w:lineRule="auto"/>
        <w:contextualSpacing/>
        <w:jc w:val="both"/>
        <w:rPr>
          <w:noProof/>
          <w:rtl/>
        </w:rPr>
      </w:pPr>
      <w:r>
        <w:rPr>
          <w:rFonts w:hint="cs"/>
          <w:noProof/>
          <w:rtl/>
        </w:rPr>
        <w:t xml:space="preserve">הקריאות להחמיר עוד יותר בעונשים בגין עבירות נשק הולכות וגוברות, זאת בשל נפיצותן של עבירות אלו והסיכון החמור שהן גורמות. המחוקק ביטא עמדה ברורה שיש להחמיר בעונשים בגין עבירות נשק, זאת במסגרת </w:t>
      </w:r>
      <w:hyperlink r:id="rId51" w:history="1">
        <w:r w:rsidR="00402C3F" w:rsidRPr="00402C3F">
          <w:rPr>
            <w:rStyle w:val="Hyperlink"/>
            <w:noProof/>
            <w:rtl/>
          </w:rPr>
          <w:t>סעיף 144(ז)</w:t>
        </w:r>
      </w:hyperlink>
      <w:r w:rsidRPr="004C4678">
        <w:rPr>
          <w:noProof/>
          <w:rtl/>
        </w:rPr>
        <w:t xml:space="preserve"> ל</w:t>
      </w:r>
      <w:hyperlink r:id="rId52" w:history="1">
        <w:r w:rsidR="00780E32" w:rsidRPr="00780E32">
          <w:rPr>
            <w:noProof/>
            <w:color w:val="0000FF"/>
            <w:u w:val="single"/>
            <w:rtl/>
          </w:rPr>
          <w:t>חוק העונשין</w:t>
        </w:r>
      </w:hyperlink>
      <w:r>
        <w:rPr>
          <w:rFonts w:hint="cs"/>
          <w:noProof/>
          <w:rtl/>
        </w:rPr>
        <w:t xml:space="preserve">, </w:t>
      </w:r>
      <w:r w:rsidRPr="004C4678">
        <w:rPr>
          <w:noProof/>
          <w:rtl/>
        </w:rPr>
        <w:t>אשר חוקק במסגרת תיקון מס' 140 (חוק העונשין (תיקון מס' 140 – הוראת שעה), התשפ"ב-2021, ס"ח 2938).</w:t>
      </w:r>
    </w:p>
    <w:p w14:paraId="1E112B47" w14:textId="77777777" w:rsidR="00EF62C5" w:rsidRDefault="00EF62C5" w:rsidP="00EF62C5">
      <w:pPr>
        <w:suppressLineNumbers/>
        <w:spacing w:line="360" w:lineRule="auto"/>
        <w:contextualSpacing/>
        <w:jc w:val="both"/>
        <w:rPr>
          <w:noProof/>
        </w:rPr>
      </w:pPr>
    </w:p>
    <w:p w14:paraId="13B5FEF7" w14:textId="77777777" w:rsidR="00EF62C5" w:rsidRDefault="00EF62C5" w:rsidP="00EF62C5">
      <w:pPr>
        <w:suppressLineNumbers/>
        <w:spacing w:line="360" w:lineRule="auto"/>
        <w:ind w:firstLine="567"/>
        <w:contextualSpacing/>
        <w:jc w:val="both"/>
        <w:rPr>
          <w:noProof/>
        </w:rPr>
      </w:pPr>
      <w:r w:rsidRPr="00A202A8">
        <w:rPr>
          <w:noProof/>
          <w:rtl/>
        </w:rPr>
        <w:t>ב</w:t>
      </w:r>
      <w:hyperlink r:id="rId53" w:history="1">
        <w:r w:rsidR="00780E32" w:rsidRPr="00780E32">
          <w:rPr>
            <w:noProof/>
            <w:color w:val="0000FF"/>
            <w:u w:val="single"/>
            <w:rtl/>
          </w:rPr>
          <w:t>ע"פ 4406/19</w:t>
        </w:r>
      </w:hyperlink>
      <w:r w:rsidRPr="00A202A8">
        <w:rPr>
          <w:noProof/>
          <w:rtl/>
        </w:rPr>
        <w:t xml:space="preserve"> </w:t>
      </w:r>
      <w:r w:rsidRPr="002E2317">
        <w:rPr>
          <w:bCs/>
          <w:noProof/>
          <w:rtl/>
        </w:rPr>
        <w:t>מדינת ישראל נ' סובח</w:t>
      </w:r>
      <w:r>
        <w:rPr>
          <w:rFonts w:hint="cs"/>
          <w:b/>
          <w:noProof/>
          <w:rtl/>
        </w:rPr>
        <w:t>, פסקאות 16-15</w:t>
      </w:r>
      <w:r>
        <w:rPr>
          <w:rFonts w:hint="cs"/>
          <w:noProof/>
          <w:rtl/>
        </w:rPr>
        <w:t xml:space="preserve"> </w:t>
      </w:r>
      <w:r w:rsidRPr="00A202A8">
        <w:rPr>
          <w:noProof/>
          <w:rtl/>
        </w:rPr>
        <w:t>(5.11.2019)</w:t>
      </w:r>
      <w:r>
        <w:rPr>
          <w:rFonts w:hint="cs"/>
          <w:noProof/>
          <w:rtl/>
        </w:rPr>
        <w:t xml:space="preserve"> צוינו דברים אלו:</w:t>
      </w:r>
    </w:p>
    <w:p w14:paraId="4802F7BC" w14:textId="77777777" w:rsidR="00EF62C5" w:rsidRDefault="00EF62C5" w:rsidP="00EF62C5">
      <w:pPr>
        <w:pStyle w:val="a9"/>
        <w:rPr>
          <w:noProof/>
          <w:rtl/>
        </w:rPr>
      </w:pPr>
    </w:p>
    <w:p w14:paraId="34E6D55E" w14:textId="77777777" w:rsidR="00EF62C5" w:rsidRPr="00A202A8" w:rsidRDefault="00EF62C5" w:rsidP="00EF62C5">
      <w:pPr>
        <w:suppressLineNumbers/>
        <w:ind w:left="1134" w:right="567"/>
        <w:contextualSpacing/>
        <w:jc w:val="both"/>
        <w:rPr>
          <w:b/>
          <w:bCs/>
          <w:noProof/>
        </w:rPr>
      </w:pPr>
      <w:r w:rsidRPr="002B48DD">
        <w:rPr>
          <w:noProof/>
          <w:rtl/>
        </w:rPr>
        <w:t>"</w:t>
      </w:r>
      <w:r w:rsidRPr="00A202A8">
        <w:rPr>
          <w:b/>
          <w:bCs/>
          <w:noProof/>
          <w:rtl/>
        </w:rPr>
        <w:t>[...] לעיתים מדיניות הענישה הנוהגת ביחס לעבירה מסוימת אינה מספקת, ועל בית המשפט להורות על החמרה בענישה על מנת לקדם ולהגן על הערכים אשר ביסודה, ובכך לבלום את נפיצותן של עבירות מסוימות ההופכות ל</w:t>
      </w:r>
      <w:r>
        <w:rPr>
          <w:rFonts w:hint="cs"/>
          <w:b/>
          <w:bCs/>
          <w:noProof/>
          <w:rtl/>
        </w:rPr>
        <w:t>'</w:t>
      </w:r>
      <w:r w:rsidRPr="00A202A8">
        <w:rPr>
          <w:b/>
          <w:bCs/>
          <w:noProof/>
          <w:rtl/>
        </w:rPr>
        <w:t>מכת מדינה</w:t>
      </w:r>
      <w:r>
        <w:rPr>
          <w:rFonts w:hint="cs"/>
          <w:b/>
          <w:bCs/>
          <w:noProof/>
          <w:rtl/>
        </w:rPr>
        <w:t>'</w:t>
      </w:r>
      <w:r w:rsidRPr="00A202A8">
        <w:rPr>
          <w:b/>
          <w:bCs/>
          <w:noProof/>
          <w:rtl/>
        </w:rPr>
        <w:t>, ולתת ביטוי לחומרה שיש לייחס להן.</w:t>
      </w:r>
      <w:r>
        <w:rPr>
          <w:rFonts w:hint="cs"/>
          <w:b/>
          <w:bCs/>
          <w:noProof/>
          <w:rtl/>
        </w:rPr>
        <w:t>..</w:t>
      </w:r>
      <w:r w:rsidRPr="00A202A8">
        <w:rPr>
          <w:b/>
          <w:bCs/>
          <w:noProof/>
          <w:rtl/>
        </w:rPr>
        <w:t xml:space="preserve">. 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 על רקע המציאות אותה אנו חווים למרבה הצער מדי יום, אנו עדים לקריאה ציבורית נרגשת להגברת האכיפה כלפי עבירות נשק – </w:t>
      </w:r>
      <w:r>
        <w:rPr>
          <w:b/>
          <w:bCs/>
          <w:noProof/>
          <w:rtl/>
        </w:rPr>
        <w:t>ולהחמרה במדיניות הענישה הנוהגת</w:t>
      </w:r>
      <w:r w:rsidRPr="002B48DD">
        <w:rPr>
          <w:rFonts w:hint="cs"/>
          <w:noProof/>
          <w:rtl/>
        </w:rPr>
        <w:t>".</w:t>
      </w:r>
    </w:p>
    <w:p w14:paraId="16944A79" w14:textId="77777777" w:rsidR="00EF62C5" w:rsidRDefault="00EF62C5" w:rsidP="00EF62C5">
      <w:pPr>
        <w:suppressLineNumbers/>
        <w:spacing w:line="360" w:lineRule="auto"/>
        <w:contextualSpacing/>
        <w:jc w:val="both"/>
        <w:rPr>
          <w:noProof/>
          <w:rtl/>
        </w:rPr>
      </w:pPr>
    </w:p>
    <w:p w14:paraId="51F9B6D5" w14:textId="77777777" w:rsidR="00EF62C5" w:rsidRDefault="00EF62C5" w:rsidP="00EF62C5">
      <w:pPr>
        <w:suppressLineNumbers/>
        <w:spacing w:line="360" w:lineRule="auto"/>
        <w:contextualSpacing/>
        <w:jc w:val="both"/>
        <w:rPr>
          <w:noProof/>
          <w:rtl/>
        </w:rPr>
      </w:pPr>
      <w:r>
        <w:rPr>
          <w:noProof/>
          <w:rtl/>
        </w:rPr>
        <w:tab/>
      </w:r>
      <w:r w:rsidRPr="00A84BB7">
        <w:rPr>
          <w:rFonts w:hint="cs"/>
          <w:noProof/>
          <w:rtl/>
        </w:rPr>
        <w:t>ב</w:t>
      </w:r>
      <w:hyperlink r:id="rId54" w:history="1">
        <w:r w:rsidR="00780E32" w:rsidRPr="00780E32">
          <w:rPr>
            <w:noProof/>
            <w:color w:val="0000FF"/>
            <w:u w:val="single"/>
            <w:rtl/>
          </w:rPr>
          <w:t>ע"פ 147/21</w:t>
        </w:r>
      </w:hyperlink>
      <w:r w:rsidRPr="00A84BB7">
        <w:rPr>
          <w:rFonts w:hint="cs"/>
          <w:noProof/>
          <w:rtl/>
        </w:rPr>
        <w:t xml:space="preserve"> </w:t>
      </w:r>
      <w:r w:rsidRPr="00A84BB7">
        <w:rPr>
          <w:rFonts w:hint="cs"/>
          <w:bCs/>
          <w:noProof/>
          <w:rtl/>
        </w:rPr>
        <w:t>מדינת ישראל נ' ביטון</w:t>
      </w:r>
      <w:r w:rsidRPr="00A84BB7">
        <w:rPr>
          <w:rFonts w:hint="cs"/>
          <w:noProof/>
          <w:rtl/>
        </w:rPr>
        <w:t xml:space="preserve"> (14.2.2021)</w:t>
      </w:r>
      <w:r>
        <w:rPr>
          <w:rFonts w:hint="cs"/>
          <w:noProof/>
          <w:rtl/>
        </w:rPr>
        <w:t xml:space="preserve"> (להלן: עניין </w:t>
      </w:r>
      <w:r w:rsidRPr="00CD460B">
        <w:rPr>
          <w:rFonts w:hint="cs"/>
          <w:b/>
          <w:bCs/>
          <w:noProof/>
          <w:rtl/>
        </w:rPr>
        <w:t>ביטון</w:t>
      </w:r>
      <w:r>
        <w:rPr>
          <w:rFonts w:hint="cs"/>
          <w:noProof/>
          <w:rtl/>
        </w:rPr>
        <w:t>) הוסיף וקבע בית המשפט העליון כלהלן:</w:t>
      </w:r>
    </w:p>
    <w:p w14:paraId="73E7F007" w14:textId="77777777" w:rsidR="00EF62C5" w:rsidRPr="00A84BB7" w:rsidRDefault="00EF62C5" w:rsidP="00EF62C5">
      <w:pPr>
        <w:suppressLineNumbers/>
        <w:spacing w:line="360" w:lineRule="auto"/>
        <w:contextualSpacing/>
        <w:jc w:val="both"/>
        <w:rPr>
          <w:noProof/>
        </w:rPr>
      </w:pPr>
    </w:p>
    <w:p w14:paraId="23F036E7" w14:textId="77777777" w:rsidR="00EF62C5" w:rsidRPr="00A84BB7" w:rsidRDefault="00EF62C5" w:rsidP="00EF62C5">
      <w:pPr>
        <w:suppressLineNumbers/>
        <w:ind w:left="1134" w:right="1134"/>
        <w:contextualSpacing/>
        <w:jc w:val="both"/>
        <w:rPr>
          <w:noProof/>
        </w:rPr>
      </w:pPr>
      <w:r w:rsidRPr="00A84BB7">
        <w:rPr>
          <w:noProof/>
          <w:rtl/>
        </w:rPr>
        <w:t>"</w:t>
      </w:r>
      <w:r w:rsidRPr="007E75E0">
        <w:rPr>
          <w:b/>
          <w:bCs/>
          <w:noProof/>
          <w:rtl/>
        </w:rPr>
        <w:t>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 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 בדרך כלל, מעשי הכנה שאינם מגיעים כדי ניסיון לעבור עבירה פלילית אינם בני עונשין; ואולם, לא כך הוא כאשר מדובר במעשי הכנה שחומרתם מגיעה כדי סיכון ממשי וחמור לפרט ולחברה כאחד</w:t>
      </w:r>
      <w:r w:rsidRPr="007E75E0">
        <w:rPr>
          <w:rFonts w:hint="cs"/>
          <w:b/>
          <w:bCs/>
          <w:noProof/>
          <w:rtl/>
        </w:rPr>
        <w:t>...</w:t>
      </w:r>
      <w:r w:rsidRPr="007E75E0">
        <w:rPr>
          <w:b/>
          <w:bCs/>
          <w:noProof/>
          <w:rtl/>
        </w:rPr>
        <w:t>. על מעשי הכנה כאלה נענשים בחומרה, ואין זה מקרי שעצם הרכישה או ההחזקה של כלי נשק בלא רשות על פי דין להחזקתו גוררת אחריה עונש מרבי של שבע שנות מאסר, כאמור בסעיף 144(א) ל</w:t>
      </w:r>
      <w:hyperlink r:id="rId55" w:history="1">
        <w:r w:rsidR="00780E32" w:rsidRPr="00780E32">
          <w:rPr>
            <w:b/>
            <w:bCs/>
            <w:noProof/>
            <w:color w:val="0000FF"/>
            <w:u w:val="single"/>
            <w:rtl/>
          </w:rPr>
          <w:t>חוק העונשין</w:t>
        </w:r>
      </w:hyperlink>
      <w:r w:rsidRPr="007E75E0">
        <w:rPr>
          <w:b/>
          <w:bCs/>
          <w:noProof/>
          <w:rtl/>
        </w:rPr>
        <w:t>.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 הטלת עונשים חמורים ומרתיעים על עברייני נשק היא עיקר תרומתם של בתי המשפט למיגור התופעה ולהרחקת העבריין עם האקדח משגרת חייהם של אזרחי מדינה שומרי חוק</w:t>
      </w:r>
      <w:r>
        <w:rPr>
          <w:noProof/>
          <w:rtl/>
        </w:rPr>
        <w:t>"</w:t>
      </w:r>
      <w:r>
        <w:rPr>
          <w:rFonts w:hint="cs"/>
          <w:noProof/>
          <w:rtl/>
        </w:rPr>
        <w:t>.</w:t>
      </w:r>
    </w:p>
    <w:p w14:paraId="51770738" w14:textId="77777777" w:rsidR="00EF62C5" w:rsidRDefault="00EF62C5" w:rsidP="00EF62C5">
      <w:pPr>
        <w:suppressLineNumbers/>
        <w:spacing w:line="360" w:lineRule="auto"/>
        <w:contextualSpacing/>
        <w:jc w:val="both"/>
        <w:rPr>
          <w:noProof/>
          <w:rtl/>
        </w:rPr>
      </w:pPr>
    </w:p>
    <w:p w14:paraId="5E5CDE3C" w14:textId="77777777" w:rsidR="00EF62C5" w:rsidRDefault="00EF62C5" w:rsidP="00EF62C5">
      <w:pPr>
        <w:suppressLineNumbers/>
        <w:spacing w:line="360" w:lineRule="auto"/>
        <w:contextualSpacing/>
        <w:jc w:val="both"/>
        <w:rPr>
          <w:noProof/>
          <w:rtl/>
        </w:rPr>
      </w:pPr>
      <w:r>
        <w:rPr>
          <w:noProof/>
          <w:rtl/>
        </w:rPr>
        <w:tab/>
      </w:r>
      <w:r>
        <w:rPr>
          <w:rFonts w:hint="cs"/>
          <w:noProof/>
          <w:rtl/>
        </w:rPr>
        <w:t xml:space="preserve">וראו גם שורה של פסיקה ברוח דומה: </w:t>
      </w:r>
      <w:hyperlink r:id="rId56" w:history="1">
        <w:r w:rsidR="00780E32" w:rsidRPr="00780E32">
          <w:rPr>
            <w:noProof/>
            <w:color w:val="0000FF"/>
            <w:u w:val="single"/>
            <w:rtl/>
          </w:rPr>
          <w:t>ע"פ 5522/20</w:t>
        </w:r>
      </w:hyperlink>
      <w:r w:rsidRPr="002E2317">
        <w:rPr>
          <w:noProof/>
          <w:rtl/>
        </w:rPr>
        <w:t xml:space="preserve"> </w:t>
      </w:r>
      <w:r w:rsidRPr="002E2317">
        <w:rPr>
          <w:b/>
          <w:bCs/>
          <w:noProof/>
          <w:rtl/>
        </w:rPr>
        <w:t>חלייחל נ' מדינת ישראל</w:t>
      </w:r>
      <w:r w:rsidRPr="002E2317">
        <w:rPr>
          <w:noProof/>
          <w:rtl/>
        </w:rPr>
        <w:t xml:space="preserve"> (24.2.2021); </w:t>
      </w:r>
      <w:hyperlink r:id="rId57" w:history="1">
        <w:r w:rsidR="00780E32" w:rsidRPr="00780E32">
          <w:rPr>
            <w:noProof/>
            <w:color w:val="0000FF"/>
            <w:u w:val="single"/>
            <w:rtl/>
          </w:rPr>
          <w:t>ע"פ 4207/21</w:t>
        </w:r>
      </w:hyperlink>
      <w:r w:rsidRPr="002E2317">
        <w:rPr>
          <w:noProof/>
          <w:rtl/>
        </w:rPr>
        <w:t xml:space="preserve"> </w:t>
      </w:r>
      <w:r w:rsidRPr="002E2317">
        <w:rPr>
          <w:b/>
          <w:bCs/>
          <w:noProof/>
          <w:rtl/>
        </w:rPr>
        <w:t>נורי נ' מדינת ישראל</w:t>
      </w:r>
      <w:r w:rsidRPr="002E2317">
        <w:rPr>
          <w:noProof/>
          <w:rtl/>
        </w:rPr>
        <w:t xml:space="preserve"> (28.7.2021); </w:t>
      </w:r>
      <w:hyperlink r:id="rId58" w:history="1">
        <w:r w:rsidR="00780E32" w:rsidRPr="00780E32">
          <w:rPr>
            <w:noProof/>
            <w:color w:val="0000FF"/>
            <w:u w:val="single"/>
            <w:rtl/>
          </w:rPr>
          <w:t>ע"פ 4456/21</w:t>
        </w:r>
      </w:hyperlink>
      <w:r w:rsidRPr="002E2317">
        <w:rPr>
          <w:noProof/>
          <w:rtl/>
        </w:rPr>
        <w:t xml:space="preserve"> </w:t>
      </w:r>
      <w:r w:rsidRPr="002E2317">
        <w:rPr>
          <w:b/>
          <w:bCs/>
          <w:noProof/>
          <w:rtl/>
        </w:rPr>
        <w:t>מדינת ישראל נ' אבו עבסה</w:t>
      </w:r>
      <w:r w:rsidRPr="002E2317">
        <w:rPr>
          <w:noProof/>
          <w:rtl/>
        </w:rPr>
        <w:t xml:space="preserve"> (23.1.2022); </w:t>
      </w:r>
      <w:hyperlink r:id="rId59" w:history="1">
        <w:r w:rsidR="00780E32" w:rsidRPr="00780E32">
          <w:rPr>
            <w:noProof/>
            <w:color w:val="0000FF"/>
            <w:u w:val="single"/>
            <w:rtl/>
          </w:rPr>
          <w:t>ע"פ 8869/21</w:t>
        </w:r>
      </w:hyperlink>
      <w:r w:rsidRPr="002E2317">
        <w:rPr>
          <w:noProof/>
          <w:rtl/>
        </w:rPr>
        <w:t xml:space="preserve"> </w:t>
      </w:r>
      <w:r w:rsidRPr="002E2317">
        <w:rPr>
          <w:b/>
          <w:bCs/>
          <w:noProof/>
          <w:rtl/>
        </w:rPr>
        <w:t>מדינת ישראל נ' קואסמה</w:t>
      </w:r>
      <w:r w:rsidRPr="002E2317">
        <w:rPr>
          <w:noProof/>
          <w:rtl/>
        </w:rPr>
        <w:t xml:space="preserve"> (13.3.2022)</w:t>
      </w:r>
      <w:r>
        <w:rPr>
          <w:rFonts w:hint="cs"/>
          <w:noProof/>
          <w:rtl/>
        </w:rPr>
        <w:t>;</w:t>
      </w:r>
      <w:r w:rsidRPr="002E2317">
        <w:rPr>
          <w:noProof/>
          <w:rtl/>
        </w:rPr>
        <w:t xml:space="preserve"> </w:t>
      </w:r>
      <w:hyperlink r:id="rId60" w:history="1">
        <w:r w:rsidR="00780E32" w:rsidRPr="00780E32">
          <w:rPr>
            <w:noProof/>
            <w:color w:val="0000FF"/>
            <w:u w:val="single"/>
            <w:rtl/>
          </w:rPr>
          <w:t>ע"פ 579/22</w:t>
        </w:r>
      </w:hyperlink>
      <w:r w:rsidRPr="002E2317">
        <w:rPr>
          <w:noProof/>
          <w:rtl/>
        </w:rPr>
        <w:t xml:space="preserve"> </w:t>
      </w:r>
      <w:r w:rsidRPr="002E2317">
        <w:rPr>
          <w:b/>
          <w:bCs/>
          <w:noProof/>
          <w:rtl/>
        </w:rPr>
        <w:t>מדינת ישראל נ' טחאינה</w:t>
      </w:r>
      <w:r w:rsidRPr="002E2317">
        <w:rPr>
          <w:noProof/>
          <w:rtl/>
        </w:rPr>
        <w:t xml:space="preserve"> (13.6.2022)).</w:t>
      </w:r>
    </w:p>
    <w:p w14:paraId="2BC69D68" w14:textId="77777777" w:rsidR="00EF62C5" w:rsidRPr="002E2317" w:rsidRDefault="00EF62C5" w:rsidP="00EF62C5">
      <w:pPr>
        <w:suppressLineNumbers/>
        <w:spacing w:line="360" w:lineRule="auto"/>
        <w:contextualSpacing/>
        <w:jc w:val="both"/>
        <w:rPr>
          <w:noProof/>
        </w:rPr>
      </w:pPr>
    </w:p>
    <w:p w14:paraId="7D91710D" w14:textId="77777777" w:rsidR="00EF62C5" w:rsidRDefault="00EF62C5" w:rsidP="00EF62C5">
      <w:pPr>
        <w:numPr>
          <w:ilvl w:val="0"/>
          <w:numId w:val="1"/>
        </w:numPr>
        <w:suppressLineNumbers/>
        <w:spacing w:line="360" w:lineRule="auto"/>
        <w:contextualSpacing/>
        <w:jc w:val="both"/>
        <w:rPr>
          <w:noProof/>
        </w:rPr>
      </w:pPr>
      <w:r>
        <w:rPr>
          <w:rFonts w:hint="cs"/>
          <w:noProof/>
          <w:rtl/>
        </w:rPr>
        <w:t>ע</w:t>
      </w:r>
      <w:r w:rsidRPr="00C91FC8">
        <w:rPr>
          <w:noProof/>
          <w:rtl/>
        </w:rPr>
        <w:t>בירה נוספת בה הורשע הנאשם היא עבירת שיבוש מהלכי משפט. עבירה זו נועדה להגנה על טוהר ההליך השיפוטי ועל תקינותם של הליכים משפטיים, וכן  להבטיח קיומה של מערכת תקינה של עשיית משפט צדק, הראויה לאמון הציבור</w:t>
      </w:r>
      <w:r>
        <w:rPr>
          <w:rFonts w:hint="cs"/>
          <w:noProof/>
          <w:rtl/>
        </w:rPr>
        <w:t xml:space="preserve">. </w:t>
      </w:r>
      <w:r w:rsidRPr="00C91FC8">
        <w:rPr>
          <w:noProof/>
          <w:rtl/>
        </w:rPr>
        <w:t xml:space="preserve">הערכים המוגנים בעבירה </w:t>
      </w:r>
      <w:r>
        <w:rPr>
          <w:rFonts w:hint="cs"/>
          <w:noProof/>
          <w:rtl/>
        </w:rPr>
        <w:t xml:space="preserve">של הפרת הוראה חוקית </w:t>
      </w:r>
      <w:r w:rsidRPr="00C91FC8">
        <w:rPr>
          <w:noProof/>
          <w:rtl/>
        </w:rPr>
        <w:t>הינם כיבוד החלטות שיפוטיות, שמירה על הסדר הציבורי והגנה על שלטון החו</w:t>
      </w:r>
      <w:r>
        <w:rPr>
          <w:rFonts w:hint="cs"/>
          <w:noProof/>
          <w:rtl/>
        </w:rPr>
        <w:t>ק.</w:t>
      </w:r>
    </w:p>
    <w:p w14:paraId="4FAAEA7F" w14:textId="77777777" w:rsidR="00EF62C5" w:rsidRDefault="00780E32" w:rsidP="00EF62C5">
      <w:pPr>
        <w:suppressLineNumbers/>
        <w:spacing w:line="360" w:lineRule="auto"/>
        <w:contextualSpacing/>
        <w:jc w:val="both"/>
        <w:rPr>
          <w:noProof/>
        </w:rPr>
      </w:pPr>
      <w:r>
        <w:rPr>
          <w:noProof/>
        </w:rPr>
        <w:t xml:space="preserve"> </w:t>
      </w:r>
    </w:p>
    <w:p w14:paraId="6AF2DDD4" w14:textId="77777777" w:rsidR="00EF62C5" w:rsidRDefault="00EF62C5" w:rsidP="00EF62C5">
      <w:pPr>
        <w:numPr>
          <w:ilvl w:val="0"/>
          <w:numId w:val="1"/>
        </w:numPr>
        <w:suppressLineNumbers/>
        <w:spacing w:line="360" w:lineRule="auto"/>
        <w:contextualSpacing/>
        <w:jc w:val="both"/>
        <w:rPr>
          <w:noProof/>
        </w:rPr>
      </w:pPr>
      <w:r>
        <w:rPr>
          <w:rFonts w:hint="cs"/>
          <w:noProof/>
          <w:rtl/>
        </w:rPr>
        <w:t>אין צורך להרחיב. עבירות הנשק בהן הורשע הנאשם רושפות מסוכנות. הנאשם הורשע בעבירות של הובלה ונשיאה של נשק, ודי בכך כדי ללמוד על הסיכון הנשקף מהעבירות ומהפגיעה בערכים המוגנים. אינני מקבל את טענת הסנגורים כי העובדה כי בשני ההליכים לא נגרם נזק, מהווה שיקול לקולא. זו תפיסה שלא רואה את התמונה. החומרה בעבירות הנשק טמונה בסיכון החמור שנשיאת נשק יוצרות לפגיעה בנפש ולערעור הבטחון האישי. במילים אחרות, הדגש בעבירות נשק הוא על פוטנציאל הנזק ולא רק על הנזק בפועל. והפוטנציאל עצום, במיוחד כאשר הנשק נישא ומובל ממקום לאחר במרחב הציבורי והופך נגיש (</w:t>
      </w:r>
      <w:r w:rsidRPr="002B655A">
        <w:rPr>
          <w:noProof/>
          <w:rtl/>
        </w:rPr>
        <w:t xml:space="preserve">ראו בין היתר </w:t>
      </w:r>
      <w:hyperlink r:id="rId61" w:history="1">
        <w:r w:rsidR="00780E32" w:rsidRPr="00780E32">
          <w:rPr>
            <w:noProof/>
            <w:color w:val="0000FF"/>
            <w:u w:val="single"/>
            <w:rtl/>
          </w:rPr>
          <w:t>ע"פ 8416/09</w:t>
        </w:r>
      </w:hyperlink>
      <w:r w:rsidRPr="002B655A">
        <w:rPr>
          <w:noProof/>
          <w:rtl/>
        </w:rPr>
        <w:t xml:space="preserve"> </w:t>
      </w:r>
      <w:r w:rsidRPr="002B655A">
        <w:rPr>
          <w:b/>
          <w:bCs/>
          <w:noProof/>
          <w:rtl/>
        </w:rPr>
        <w:t>מדינת ישראל נ' חרבוש</w:t>
      </w:r>
      <w:r w:rsidRPr="002B655A">
        <w:rPr>
          <w:noProof/>
          <w:rtl/>
        </w:rPr>
        <w:t>, סעיפים 17 ו-53 (9.6.2010)).</w:t>
      </w:r>
      <w:r>
        <w:rPr>
          <w:rFonts w:hint="cs"/>
          <w:noProof/>
          <w:rtl/>
        </w:rPr>
        <w:t xml:space="preserve"> לא נגזים אפוא אם נאמר כי הנזק שהיו צפוי מביצוע עבירות הנשק </w:t>
      </w:r>
      <w:r>
        <w:rPr>
          <w:noProof/>
          <w:rtl/>
        </w:rPr>
        <w:t>–</w:t>
      </w:r>
      <w:r>
        <w:rPr>
          <w:rFonts w:hint="cs"/>
          <w:noProof/>
          <w:rtl/>
        </w:rPr>
        <w:t xml:space="preserve"> הוא קטלני, לא פחות מכך. במלים אחרות, מי שנושא ומוביל נשק באופן בלתי חוקי, מצהיר על עצמו כעל אדם מסוכן, ואל לנו להיתמם. </w:t>
      </w:r>
    </w:p>
    <w:p w14:paraId="02350A1A" w14:textId="77777777" w:rsidR="00EF62C5" w:rsidRPr="00E64616" w:rsidRDefault="00EF62C5" w:rsidP="00EF62C5">
      <w:pPr>
        <w:pStyle w:val="a9"/>
        <w:rPr>
          <w:noProof/>
          <w:rtl/>
        </w:rPr>
      </w:pPr>
    </w:p>
    <w:p w14:paraId="47D13321" w14:textId="77777777" w:rsidR="00EF62C5" w:rsidRDefault="00EF62C5" w:rsidP="00EF62C5">
      <w:pPr>
        <w:numPr>
          <w:ilvl w:val="0"/>
          <w:numId w:val="1"/>
        </w:numPr>
        <w:suppressLineNumbers/>
        <w:spacing w:after="160" w:line="360" w:lineRule="auto"/>
        <w:contextualSpacing/>
        <w:jc w:val="both"/>
        <w:rPr>
          <w:noProof/>
        </w:rPr>
      </w:pPr>
      <w:r>
        <w:rPr>
          <w:rFonts w:hint="cs"/>
          <w:noProof/>
          <w:rtl/>
        </w:rPr>
        <w:t xml:space="preserve">נוכח קביעותיי בגזר הדין בהליך הנוכחי וקבלת הגרסה החלופית, ניתן לומר כי לא הוכח שהתכנון שקדם לביצוע עבירת הנשק היה משמעותי. נזכיר כי </w:t>
      </w:r>
      <w:r w:rsidRPr="00613EA1">
        <w:rPr>
          <w:rFonts w:ascii="David" w:hAnsi="David" w:hint="cs"/>
          <w:rtl/>
        </w:rPr>
        <w:t xml:space="preserve">בעוד שבכתב האישום נטען כי לאורך כל הנסיעה הנאשם נשא את האקדח על גופו באזור הבטן, בהכרעת הדין נקבע כי </w:t>
      </w:r>
      <w:r w:rsidRPr="00613EA1">
        <w:rPr>
          <w:rFonts w:ascii="David" w:hAnsi="David"/>
          <w:rtl/>
        </w:rPr>
        <w:t xml:space="preserve">קיים ספק לגבי </w:t>
      </w:r>
      <w:r w:rsidRPr="00613EA1">
        <w:rPr>
          <w:rFonts w:ascii="David" w:hAnsi="David" w:hint="cs"/>
          <w:rtl/>
        </w:rPr>
        <w:t>התיאור לפיו ע</w:t>
      </w:r>
      <w:r w:rsidRPr="00613EA1">
        <w:rPr>
          <w:rFonts w:ascii="David" w:hAnsi="David"/>
          <w:rtl/>
        </w:rPr>
        <w:t xml:space="preserve">ובר להשלכת האקדח על ידי הנאשם, היה האקדח </w:t>
      </w:r>
      <w:r w:rsidRPr="00613EA1">
        <w:rPr>
          <w:rFonts w:ascii="David" w:hAnsi="David" w:hint="cs"/>
          <w:rtl/>
        </w:rPr>
        <w:t xml:space="preserve">כל העת </w:t>
      </w:r>
      <w:r w:rsidRPr="00613EA1">
        <w:rPr>
          <w:rFonts w:ascii="David" w:hAnsi="David"/>
          <w:rtl/>
        </w:rPr>
        <w:t>על גופו</w:t>
      </w:r>
      <w:r w:rsidRPr="00613EA1">
        <w:rPr>
          <w:rFonts w:ascii="David" w:hAnsi="David" w:hint="cs"/>
          <w:rtl/>
        </w:rPr>
        <w:t>; וכי עשוי להיכו</w:t>
      </w:r>
      <w:r w:rsidRPr="00613EA1">
        <w:rPr>
          <w:rFonts w:ascii="David" w:hAnsi="David" w:hint="eastAsia"/>
          <w:rtl/>
        </w:rPr>
        <w:t>ן</w:t>
      </w:r>
      <w:r w:rsidRPr="00613EA1">
        <w:rPr>
          <w:rFonts w:ascii="David" w:hAnsi="David" w:hint="cs"/>
          <w:rtl/>
        </w:rPr>
        <w:t xml:space="preserve"> תרחיש חלופי סביר לפיו הנשק היה על גופו של </w:t>
      </w:r>
      <w:r>
        <w:rPr>
          <w:rFonts w:ascii="David" w:hAnsi="David" w:hint="cs"/>
          <w:rtl/>
        </w:rPr>
        <w:t>מנסור (הנהג)</w:t>
      </w:r>
      <w:r w:rsidRPr="00613EA1">
        <w:rPr>
          <w:rFonts w:ascii="David" w:hAnsi="David" w:hint="cs"/>
          <w:rtl/>
        </w:rPr>
        <w:t xml:space="preserve">, אך בשלב מסוים של הנסיעה, לאחר שהשניים הבחינו בשוטרים, </w:t>
      </w:r>
      <w:r w:rsidRPr="00613EA1">
        <w:rPr>
          <w:rFonts w:ascii="David" w:hAnsi="David"/>
          <w:rtl/>
        </w:rPr>
        <w:t>הנאשם נטל את הנשק לידיו</w:t>
      </w:r>
      <w:r w:rsidRPr="00613EA1">
        <w:rPr>
          <w:rFonts w:ascii="David" w:hAnsi="David" w:hint="cs"/>
          <w:rtl/>
        </w:rPr>
        <w:t xml:space="preserve">, בין ביוזמתו ובין לבקשת מנסור, </w:t>
      </w:r>
      <w:r w:rsidRPr="00613EA1">
        <w:rPr>
          <w:rFonts w:ascii="David" w:hAnsi="David"/>
          <w:rtl/>
        </w:rPr>
        <w:t>והשליכו</w:t>
      </w:r>
      <w:r w:rsidRPr="00613EA1">
        <w:rPr>
          <w:rFonts w:ascii="David" w:hAnsi="David" w:hint="cs"/>
          <w:rtl/>
        </w:rPr>
        <w:t xml:space="preserve"> לצדי הדרך. אמנם, במסקנה עובדתית זו לא היה כדי לזכות את הנאשם מהעבירה, אך יש לשקול את הנסיבות האמורות בקביעת מתחם העונש. </w:t>
      </w:r>
    </w:p>
    <w:p w14:paraId="3FA34EDC" w14:textId="77777777" w:rsidR="00EF62C5" w:rsidRPr="00BF3FD9" w:rsidRDefault="00EF62C5" w:rsidP="00EF62C5">
      <w:pPr>
        <w:suppressLineNumbers/>
        <w:spacing w:after="160" w:line="360" w:lineRule="auto"/>
        <w:contextualSpacing/>
        <w:jc w:val="both"/>
        <w:rPr>
          <w:noProof/>
          <w:rtl/>
        </w:rPr>
      </w:pPr>
    </w:p>
    <w:p w14:paraId="77151E8B" w14:textId="77777777" w:rsidR="00EF62C5" w:rsidRDefault="00EF62C5" w:rsidP="00EF62C5">
      <w:pPr>
        <w:numPr>
          <w:ilvl w:val="0"/>
          <w:numId w:val="1"/>
        </w:numPr>
        <w:suppressLineNumbers/>
        <w:spacing w:line="360" w:lineRule="auto"/>
        <w:contextualSpacing/>
        <w:jc w:val="both"/>
        <w:rPr>
          <w:noProof/>
        </w:rPr>
      </w:pPr>
      <w:r>
        <w:rPr>
          <w:rFonts w:hint="cs"/>
          <w:noProof/>
          <w:rtl/>
        </w:rPr>
        <w:t xml:space="preserve">כזכור, בהליך המצורף הורשע הנאשם בעבירות של סיוע לנשיאת נשק ולהובלותו. </w:t>
      </w:r>
      <w:r>
        <w:rPr>
          <w:rtl/>
        </w:rPr>
        <w:t>הדין מבחין בין עונשו של מבצע עיקרי לבין מסייע במובן זה שהעונש המרבי בגין ביצוע עבירת סיוע הוא מחצית העונש המרבי שנקבע למבצע העיקרי (</w:t>
      </w:r>
      <w:hyperlink r:id="rId62" w:history="1">
        <w:r w:rsidR="00402C3F" w:rsidRPr="00402C3F">
          <w:rPr>
            <w:rStyle w:val="Hyperlink"/>
            <w:rtl/>
          </w:rPr>
          <w:t>סעיף 32</w:t>
        </w:r>
      </w:hyperlink>
      <w:r>
        <w:rPr>
          <w:rtl/>
        </w:rPr>
        <w:t xml:space="preserve"> ל</w:t>
      </w:r>
      <w:hyperlink r:id="rId63" w:history="1">
        <w:r w:rsidR="00780E32" w:rsidRPr="00780E32">
          <w:rPr>
            <w:color w:val="0000FF"/>
            <w:u w:val="single"/>
            <w:rtl/>
          </w:rPr>
          <w:t>חוק העונשין</w:t>
        </w:r>
      </w:hyperlink>
      <w:r>
        <w:rPr>
          <w:rtl/>
        </w:rPr>
        <w:t>). הקביעה הנורמטיבית ביחס לעונש המרבי של המסייע לעומת המבצע העיקרי מבטאת את התובנה כי תרומתו של המסייע לביצוע עבירה פחותה מתרומתו של המבצע העיקרי (</w:t>
      </w:r>
      <w:hyperlink r:id="rId64" w:history="1">
        <w:r w:rsidR="00780E32" w:rsidRPr="00780E32">
          <w:rPr>
            <w:color w:val="0000FF"/>
            <w:u w:val="single"/>
            <w:rtl/>
          </w:rPr>
          <w:t>ע"פ 4876/15</w:t>
        </w:r>
      </w:hyperlink>
      <w:r>
        <w:rPr>
          <w:rtl/>
        </w:rPr>
        <w:t xml:space="preserve"> </w:t>
      </w:r>
      <w:r w:rsidRPr="00BF3FD9">
        <w:rPr>
          <w:b/>
          <w:bCs/>
          <w:rtl/>
        </w:rPr>
        <w:t>פלוני נ' מדינת ישראל</w:t>
      </w:r>
      <w:r>
        <w:rPr>
          <w:rtl/>
        </w:rPr>
        <w:t xml:space="preserve"> (3.12.2015)</w:t>
      </w:r>
      <w:r>
        <w:rPr>
          <w:rFonts w:hint="cs"/>
          <w:rtl/>
        </w:rPr>
        <w:t xml:space="preserve"> (להלן: עניין </w:t>
      </w:r>
      <w:r w:rsidRPr="00402F75">
        <w:rPr>
          <w:rFonts w:hint="cs"/>
          <w:b/>
          <w:bCs/>
          <w:rtl/>
        </w:rPr>
        <w:t>פלוני</w:t>
      </w:r>
      <w:r>
        <w:rPr>
          <w:rFonts w:hint="cs"/>
          <w:rtl/>
        </w:rPr>
        <w:t xml:space="preserve">)). </w:t>
      </w:r>
      <w:r>
        <w:rPr>
          <w:rtl/>
        </w:rPr>
        <w:t>בהקשר זה נקבע כי "</w:t>
      </w:r>
      <w:r w:rsidRPr="00BF3FD9">
        <w:rPr>
          <w:bCs/>
          <w:rtl/>
        </w:rPr>
        <w:t>המסייע, חרף תרומתו למעשה העבירה, כשמו כן הוא – נותר מחוץ למעגל העברייני הראשוני, ולכן אחריותו נחשבת פחותה</w:t>
      </w:r>
      <w:r w:rsidRPr="00BF3FD9">
        <w:rPr>
          <w:b/>
          <w:rtl/>
        </w:rPr>
        <w:t>"</w:t>
      </w:r>
      <w:r>
        <w:rPr>
          <w:rtl/>
        </w:rPr>
        <w:t xml:space="preserve"> (</w:t>
      </w:r>
      <w:hyperlink r:id="rId65" w:history="1">
        <w:r w:rsidR="00780E32" w:rsidRPr="00780E32">
          <w:rPr>
            <w:color w:val="0000FF"/>
            <w:u w:val="single"/>
            <w:rtl/>
          </w:rPr>
          <w:t>ע"פ 10153/07</w:t>
        </w:r>
      </w:hyperlink>
      <w:r>
        <w:rPr>
          <w:rtl/>
        </w:rPr>
        <w:t xml:space="preserve"> </w:t>
      </w:r>
      <w:r w:rsidRPr="00BF3FD9">
        <w:rPr>
          <w:b/>
          <w:bCs/>
          <w:rtl/>
        </w:rPr>
        <w:t>קייסי נ' מדינת ישראל</w:t>
      </w:r>
      <w:r>
        <w:rPr>
          <w:rtl/>
        </w:rPr>
        <w:t xml:space="preserve"> (30.7.2012)). על כן, "</w:t>
      </w:r>
      <w:r w:rsidRPr="00BF3FD9">
        <w:rPr>
          <w:b/>
          <w:bCs/>
          <w:rtl/>
        </w:rPr>
        <w:t xml:space="preserve">ראוי, כי בבואו של בית המשפט לגזור את דינו של המסייע, יעמיד בית המשפט לנגד עיניו את היחס שקבע המחוקק בין עונשו של המסייע לעונשו של המבצע העיקרי" </w:t>
      </w:r>
      <w:r>
        <w:rPr>
          <w:rtl/>
        </w:rPr>
        <w:t xml:space="preserve">(עניין </w:t>
      </w:r>
      <w:r w:rsidRPr="00BF3FD9">
        <w:rPr>
          <w:b/>
          <w:bCs/>
          <w:rtl/>
        </w:rPr>
        <w:t>פלוני</w:t>
      </w:r>
      <w:r>
        <w:rPr>
          <w:rtl/>
        </w:rPr>
        <w:t>).</w:t>
      </w:r>
      <w:r>
        <w:rPr>
          <w:rFonts w:hint="cs"/>
          <w:rtl/>
        </w:rPr>
        <w:t xml:space="preserve"> עם זאת, יש לזכור כי </w:t>
      </w:r>
      <w:r>
        <w:rPr>
          <w:rtl/>
        </w:rPr>
        <w:t>אין משמעות הדברים כי עניין לנו בחישוב אריתמטי</w:t>
      </w:r>
      <w:r>
        <w:rPr>
          <w:rFonts w:hint="cs"/>
          <w:rtl/>
        </w:rPr>
        <w:t>,</w:t>
      </w:r>
      <w:r>
        <w:rPr>
          <w:rtl/>
        </w:rPr>
        <w:t xml:space="preserve"> שכן יש להידרש לנסיבותיו של כל מקרה</w:t>
      </w:r>
      <w:r>
        <w:rPr>
          <w:rFonts w:hint="cs"/>
          <w:rtl/>
        </w:rPr>
        <w:t xml:space="preserve"> (</w:t>
      </w:r>
      <w:hyperlink r:id="rId66" w:history="1">
        <w:r w:rsidR="00780E32" w:rsidRPr="00780E32">
          <w:rPr>
            <w:color w:val="0000FF"/>
            <w:u w:val="single"/>
            <w:rtl/>
          </w:rPr>
          <w:t>ע"פ 4463/12</w:t>
        </w:r>
      </w:hyperlink>
      <w:r>
        <w:rPr>
          <w:rtl/>
        </w:rPr>
        <w:t xml:space="preserve"> </w:t>
      </w:r>
      <w:r w:rsidRPr="00BF3FD9">
        <w:rPr>
          <w:bCs/>
          <w:rtl/>
        </w:rPr>
        <w:t>ארנבורג נ' מדינת ישראל</w:t>
      </w:r>
      <w:r>
        <w:rPr>
          <w:rtl/>
        </w:rPr>
        <w:t xml:space="preserve"> (13.9.2012)</w:t>
      </w:r>
      <w:r>
        <w:rPr>
          <w:rFonts w:hint="cs"/>
          <w:rtl/>
        </w:rPr>
        <w:t>).</w:t>
      </w:r>
      <w:r>
        <w:rPr>
          <w:rFonts w:hint="cs"/>
          <w:noProof/>
          <w:rtl/>
        </w:rPr>
        <w:t xml:space="preserve"> בנסיבותיו של המקרה, נראה כי את עבירת הסיוע אפפו נסיבות חמורות. נפנה לעובדות האישום בתיק המצורף מהם עולה כי לאחר שהנאשם זיהה נוכחות משטרתית, יצא מהרכב בו נסע, נמלט מהמקום ולאחר מרדף נתפס כאשר האקדח והמחסנית לידו. </w:t>
      </w:r>
    </w:p>
    <w:p w14:paraId="0041A56C" w14:textId="77777777" w:rsidR="00EF62C5" w:rsidRDefault="00EF62C5" w:rsidP="00EF62C5">
      <w:pPr>
        <w:suppressLineNumbers/>
        <w:spacing w:line="360" w:lineRule="auto"/>
        <w:contextualSpacing/>
        <w:jc w:val="both"/>
        <w:rPr>
          <w:noProof/>
        </w:rPr>
      </w:pPr>
    </w:p>
    <w:p w14:paraId="7173DB80" w14:textId="77777777" w:rsidR="00EF62C5" w:rsidRDefault="00EF62C5" w:rsidP="00EF62C5">
      <w:pPr>
        <w:numPr>
          <w:ilvl w:val="0"/>
          <w:numId w:val="1"/>
        </w:numPr>
        <w:suppressLineNumbers/>
        <w:spacing w:line="360" w:lineRule="auto"/>
        <w:contextualSpacing/>
        <w:jc w:val="both"/>
        <w:rPr>
          <w:noProof/>
        </w:rPr>
      </w:pPr>
      <w:r>
        <w:rPr>
          <w:rFonts w:hint="cs"/>
          <w:noProof/>
          <w:rtl/>
        </w:rPr>
        <w:t xml:space="preserve">גם בעבירות הנוספות בהן הורשע הנאשם אין להקל ראש. אשר לעבירה של שיבוש מהלכי משפט, יש לזכור כי נסיבותיה של העבירה מלמדות על חומרה, בפרט לנוכח העובדה כי השיבוש התבטא בניסיון להעלים נשק טעון תוך כדי שהמשטרה נוסעת אחרי הקטנוע. גם ביחס לעבירה של הפרת הוראה חוקית, הנסיבות מעידות על חומרה כפולה ומכופלת: התיק בגינו הנאשם היה נתון בתנאים מגבילים הוא התיק המצורף שמושאו עבירת נשק, ובמהלך הפרת התנאים עבר הנאשם עבירות נשק. </w:t>
      </w:r>
      <w:r w:rsidRPr="004701FD">
        <w:rPr>
          <w:rFonts w:ascii="David" w:hAnsi="David" w:hint="cs"/>
          <w:rtl/>
        </w:rPr>
        <w:t>בהקשר לעבירה זו זה אין לקבל את טענת הנאשם כי הוא הפר את התנאים המגבילים לשם קבלת טיפול רפואי. לא הובאה כל ראיה לטענה זו.</w:t>
      </w:r>
      <w:r>
        <w:rPr>
          <w:rFonts w:hint="cs"/>
          <w:noProof/>
          <w:rtl/>
        </w:rPr>
        <w:t xml:space="preserve"> לבסוף, יש לייעד חומרה לעובדה כי הנאשם שהה מחוץ למעצר הבית בניגוד להחלטת בית המשפט, תקופה ממושכת </w:t>
      </w:r>
      <w:r>
        <w:rPr>
          <w:noProof/>
          <w:rtl/>
        </w:rPr>
        <w:t>–</w:t>
      </w:r>
      <w:r>
        <w:rPr>
          <w:rFonts w:hint="cs"/>
          <w:noProof/>
          <w:rtl/>
        </w:rPr>
        <w:t xml:space="preserve"> מיום 3.2.2022 ועד 7.2.2022. </w:t>
      </w:r>
    </w:p>
    <w:p w14:paraId="04B8B158" w14:textId="77777777" w:rsidR="00EF62C5" w:rsidRPr="007C1F48" w:rsidRDefault="00EF62C5" w:rsidP="00EF62C5">
      <w:pPr>
        <w:suppressLineNumbers/>
        <w:spacing w:line="360" w:lineRule="auto"/>
        <w:contextualSpacing/>
        <w:jc w:val="both"/>
        <w:rPr>
          <w:noProof/>
          <w:rtl/>
        </w:rPr>
      </w:pPr>
    </w:p>
    <w:p w14:paraId="3C7837CA" w14:textId="77777777" w:rsidR="00EF62C5" w:rsidRDefault="00EF62C5" w:rsidP="00EF62C5">
      <w:pPr>
        <w:numPr>
          <w:ilvl w:val="0"/>
          <w:numId w:val="1"/>
        </w:numPr>
        <w:suppressLineNumbers/>
        <w:spacing w:line="360" w:lineRule="auto"/>
        <w:contextualSpacing/>
        <w:jc w:val="both"/>
        <w:rPr>
          <w:noProof/>
        </w:rPr>
      </w:pPr>
      <w:r>
        <w:rPr>
          <w:rFonts w:hint="cs"/>
          <w:noProof/>
          <w:rtl/>
        </w:rPr>
        <w:t>אשר למדיניות הענישה הנוהגת, דומה כי בית המשפט העליון אמר את דברו בבירור. ב</w:t>
      </w:r>
      <w:hyperlink r:id="rId67" w:history="1">
        <w:r w:rsidR="00780E32" w:rsidRPr="00780E32">
          <w:rPr>
            <w:noProof/>
            <w:color w:val="0000FF"/>
            <w:u w:val="single"/>
            <w:rtl/>
          </w:rPr>
          <w:t>ע"פ 5602/22</w:t>
        </w:r>
      </w:hyperlink>
      <w:r>
        <w:rPr>
          <w:noProof/>
          <w:rtl/>
        </w:rPr>
        <w:t xml:space="preserve"> </w:t>
      </w:r>
      <w:r w:rsidRPr="008C13B7">
        <w:rPr>
          <w:noProof/>
          <w:rtl/>
        </w:rPr>
        <w:t xml:space="preserve"> </w:t>
      </w:r>
      <w:r w:rsidRPr="00C07410">
        <w:rPr>
          <w:b/>
          <w:bCs/>
          <w:noProof/>
          <w:rtl/>
        </w:rPr>
        <w:t>מדינת ישראל נ' פלוני</w:t>
      </w:r>
      <w:r>
        <w:rPr>
          <w:rFonts w:hint="cs"/>
          <w:noProof/>
          <w:rtl/>
        </w:rPr>
        <w:t xml:space="preserve">, שניתן אך לאחרונה ביום 14.9.2022 (להלן: </w:t>
      </w:r>
      <w:r w:rsidRPr="00402F75">
        <w:rPr>
          <w:rFonts w:hint="cs"/>
          <w:b/>
          <w:bCs/>
          <w:noProof/>
          <w:rtl/>
        </w:rPr>
        <w:t>ע"פ</w:t>
      </w:r>
      <w:r>
        <w:rPr>
          <w:rFonts w:hint="cs"/>
          <w:noProof/>
          <w:rtl/>
        </w:rPr>
        <w:t xml:space="preserve"> </w:t>
      </w:r>
      <w:r w:rsidRPr="00402F75">
        <w:rPr>
          <w:rFonts w:hint="cs"/>
          <w:b/>
          <w:bCs/>
          <w:noProof/>
          <w:rtl/>
        </w:rPr>
        <w:t>פלוני</w:t>
      </w:r>
      <w:r>
        <w:rPr>
          <w:rFonts w:hint="cs"/>
          <w:noProof/>
          <w:rtl/>
        </w:rPr>
        <w:t xml:space="preserve">), ציין בית המשפט העליון כי מתחם העונש שראוי ברגיל לקבוע לנאשם בגין בגין נשיאה בלתי חוקית של נשק חם במרחב הציבורי נע בין 30 ל-42 חודשי מאסר בפועל לצד רכיבי ענישה נוספים. נזכיר כי בע"פ פלוני דובר על נאשם </w:t>
      </w:r>
      <w:r w:rsidRPr="00A62688">
        <w:rPr>
          <w:rFonts w:ascii="Calibri" w:eastAsia="Calibri" w:hAnsi="Calibri"/>
          <w:noProof/>
          <w:rtl/>
        </w:rPr>
        <w:t>בן</w:t>
      </w:r>
      <w:r>
        <w:rPr>
          <w:rFonts w:ascii="Calibri" w:eastAsia="Calibri" w:hAnsi="Calibri" w:hint="cs"/>
          <w:noProof/>
          <w:rtl/>
        </w:rPr>
        <w:t xml:space="preserve"> כ-</w:t>
      </w:r>
      <w:r>
        <w:rPr>
          <w:rFonts w:ascii="Calibri" w:eastAsia="Calibri" w:hAnsi="Calibri"/>
          <w:noProof/>
          <w:rtl/>
        </w:rPr>
        <w:t xml:space="preserve"> 27</w:t>
      </w:r>
      <w:r>
        <w:rPr>
          <w:rFonts w:ascii="Calibri" w:eastAsia="Calibri" w:hAnsi="Calibri" w:hint="cs"/>
          <w:noProof/>
          <w:rtl/>
        </w:rPr>
        <w:t xml:space="preserve"> שלחובתו לא היו הרשעות קודמות, שהורשע בעבירה של נשיאת והובלת נשק ברכבו.</w:t>
      </w:r>
      <w:r w:rsidRPr="00A62688">
        <w:rPr>
          <w:rFonts w:ascii="Calibri" w:eastAsia="Calibri" w:hAnsi="Calibri"/>
          <w:noProof/>
          <w:sz w:val="22"/>
          <w:szCs w:val="22"/>
          <w:rtl/>
        </w:rPr>
        <w:t xml:space="preserve"> </w:t>
      </w:r>
      <w:r>
        <w:rPr>
          <w:rFonts w:hint="cs"/>
          <w:noProof/>
          <w:rtl/>
        </w:rPr>
        <w:t>הדברים נאמרו בהתייחס לעבירה של נשיאה והובלה של נשק, ובמקרה שלפנינו יש לתת את הדעת גם לעבירות של שיבוש מהלכי חקירה והפרה הוראה חוקית.</w:t>
      </w:r>
      <w:r w:rsidRPr="008C13B7">
        <w:rPr>
          <w:noProof/>
          <w:rtl/>
        </w:rPr>
        <w:t xml:space="preserve"> </w:t>
      </w:r>
      <w:r w:rsidRPr="008C13B7">
        <w:rPr>
          <w:rFonts w:hint="cs"/>
          <w:noProof/>
          <w:rtl/>
        </w:rPr>
        <w:t xml:space="preserve"> </w:t>
      </w:r>
    </w:p>
    <w:p w14:paraId="6B010A69" w14:textId="77777777" w:rsidR="00EF62C5" w:rsidRDefault="00EF62C5" w:rsidP="00EF62C5">
      <w:pPr>
        <w:pStyle w:val="a9"/>
        <w:rPr>
          <w:noProof/>
          <w:rtl/>
        </w:rPr>
      </w:pPr>
    </w:p>
    <w:p w14:paraId="21F949AB" w14:textId="77777777" w:rsidR="00EF62C5" w:rsidRDefault="00EF62C5" w:rsidP="00EF62C5">
      <w:pPr>
        <w:numPr>
          <w:ilvl w:val="0"/>
          <w:numId w:val="1"/>
        </w:numPr>
        <w:suppressLineNumbers/>
        <w:spacing w:line="360" w:lineRule="auto"/>
        <w:contextualSpacing/>
        <w:jc w:val="both"/>
        <w:rPr>
          <w:noProof/>
        </w:rPr>
      </w:pPr>
      <w:r>
        <w:rPr>
          <w:rFonts w:hint="cs"/>
          <w:noProof/>
          <w:rtl/>
        </w:rPr>
        <w:t>כל אחד מן הצדדים הגיש פסיקה שלטענתו תומכת בעמדתו. אינני רואה לסקור את הפסיקה, שכן חלק מן הפסיקה ניתנה על ידי בית המשפט המחוזי לפני הפסיקה בע"פ פלוני ואף לפני תיקון 140 ל</w:t>
      </w:r>
      <w:hyperlink r:id="rId68" w:history="1">
        <w:r w:rsidR="00780E32" w:rsidRPr="00780E32">
          <w:rPr>
            <w:noProof/>
            <w:color w:val="0000FF"/>
            <w:u w:val="single"/>
            <w:rtl/>
          </w:rPr>
          <w:t>חוק העונשין</w:t>
        </w:r>
      </w:hyperlink>
      <w:r>
        <w:rPr>
          <w:rFonts w:hint="cs"/>
          <w:noProof/>
          <w:rtl/>
        </w:rPr>
        <w:t>, ונסיבות חלקם לא תואמות את המקרה שלפנינו. אסתפק בציון מספר מקרים, זאת לצד המקרה בעניין פלוני.</w:t>
      </w:r>
    </w:p>
    <w:p w14:paraId="738BF1C5" w14:textId="77777777" w:rsidR="00EF62C5" w:rsidRDefault="00EF62C5" w:rsidP="00EF62C5">
      <w:pPr>
        <w:pStyle w:val="a9"/>
        <w:rPr>
          <w:noProof/>
          <w:rtl/>
        </w:rPr>
      </w:pPr>
    </w:p>
    <w:p w14:paraId="5AC70BCD" w14:textId="77777777" w:rsidR="00EF62C5" w:rsidRDefault="00EF62C5" w:rsidP="00EF62C5">
      <w:pPr>
        <w:suppressLineNumbers/>
        <w:spacing w:line="360" w:lineRule="auto"/>
        <w:contextualSpacing/>
        <w:jc w:val="both"/>
        <w:rPr>
          <w:noProof/>
          <w:rtl/>
        </w:rPr>
      </w:pPr>
      <w:r>
        <w:rPr>
          <w:rFonts w:hint="cs"/>
          <w:noProof/>
          <w:rtl/>
        </w:rPr>
        <w:t xml:space="preserve">(-) </w:t>
      </w:r>
      <w:hyperlink r:id="rId69" w:history="1">
        <w:r w:rsidR="00780E32" w:rsidRPr="00780E32">
          <w:rPr>
            <w:noProof/>
            <w:color w:val="0000FF"/>
            <w:u w:val="single"/>
            <w:rtl/>
          </w:rPr>
          <w:t>ע"פ 309/22</w:t>
        </w:r>
      </w:hyperlink>
      <w:r w:rsidRPr="00B91917">
        <w:rPr>
          <w:noProof/>
          <w:rtl/>
        </w:rPr>
        <w:t xml:space="preserve"> </w:t>
      </w:r>
      <w:r w:rsidRPr="00B91917">
        <w:rPr>
          <w:b/>
          <w:bCs/>
          <w:noProof/>
          <w:rtl/>
        </w:rPr>
        <w:t>מדינת ישראל נ' בידאסה</w:t>
      </w:r>
      <w:r w:rsidRPr="00B91917">
        <w:rPr>
          <w:noProof/>
          <w:rtl/>
        </w:rPr>
        <w:t xml:space="preserve"> (10.</w:t>
      </w:r>
      <w:r>
        <w:rPr>
          <w:rFonts w:hint="cs"/>
          <w:noProof/>
          <w:rtl/>
        </w:rPr>
        <w:t>5</w:t>
      </w:r>
      <w:r w:rsidRPr="00B91917">
        <w:rPr>
          <w:noProof/>
          <w:rtl/>
        </w:rPr>
        <w:t>.22)</w:t>
      </w:r>
      <w:r>
        <w:rPr>
          <w:rFonts w:hint="cs"/>
          <w:noProof/>
          <w:rtl/>
        </w:rPr>
        <w:t xml:space="preserve">: </w:t>
      </w:r>
      <w:r w:rsidRPr="00B91917">
        <w:rPr>
          <w:noProof/>
          <w:rtl/>
        </w:rPr>
        <w:t>דובר ב</w:t>
      </w:r>
      <w:r>
        <w:rPr>
          <w:rFonts w:hint="cs"/>
          <w:noProof/>
          <w:rtl/>
        </w:rPr>
        <w:t>נאשם</w:t>
      </w:r>
      <w:r w:rsidRPr="00B91917">
        <w:rPr>
          <w:noProof/>
          <w:rtl/>
        </w:rPr>
        <w:t xml:space="preserve"> שהורשע בעבירות של החזקת, נשיאת וה</w:t>
      </w:r>
      <w:r>
        <w:rPr>
          <w:noProof/>
          <w:rtl/>
        </w:rPr>
        <w:t>ובלת נשק</w:t>
      </w:r>
      <w:r>
        <w:rPr>
          <w:rFonts w:hint="cs"/>
          <w:noProof/>
          <w:rtl/>
        </w:rPr>
        <w:t xml:space="preserve"> מסוג קלצ'ניקוב ובו כדורים, וכן אקדח חצי אוטומטי ובו מחסנית, וזאת </w:t>
      </w:r>
      <w:r>
        <w:rPr>
          <w:noProof/>
          <w:rtl/>
        </w:rPr>
        <w:t>יחד עם אחר, כאשר ה</w:t>
      </w:r>
      <w:r>
        <w:rPr>
          <w:rFonts w:hint="cs"/>
          <w:noProof/>
          <w:rtl/>
        </w:rPr>
        <w:t>נאשם</w:t>
      </w:r>
      <w:r w:rsidRPr="00B91917">
        <w:rPr>
          <w:noProof/>
          <w:rtl/>
        </w:rPr>
        <w:t xml:space="preserve"> והאחר החזיקו, נשאו והובילו את הנשקים ברכב אשר קושט כדי להציג מצג שווא כאילו מדובר ברכב המסיע חתן וכלה.</w:t>
      </w:r>
      <w:r>
        <w:rPr>
          <w:rFonts w:hint="cs"/>
          <w:noProof/>
          <w:rtl/>
        </w:rPr>
        <w:t xml:space="preserve"> הנאשם והאחר נרדפו על ידי ניידת משטרה, סטו לכביש עפר ובהמשך ברחו רגלית.</w:t>
      </w:r>
      <w:r w:rsidRPr="00B91917">
        <w:rPr>
          <w:noProof/>
          <w:rtl/>
        </w:rPr>
        <w:t xml:space="preserve"> ה</w:t>
      </w:r>
      <w:r>
        <w:rPr>
          <w:rFonts w:hint="cs"/>
          <w:noProof/>
          <w:rtl/>
        </w:rPr>
        <w:t>נאשם</w:t>
      </w:r>
      <w:r w:rsidRPr="00B91917">
        <w:rPr>
          <w:noProof/>
          <w:rtl/>
        </w:rPr>
        <w:t xml:space="preserve"> נעדר עבר פלילי, הורשע במסגרת הסדר טיעון טרם ניהול ההוכחות. בית המשפט העליון קיבל את ערעור המדינה והחמיר את עונשו של ה</w:t>
      </w:r>
      <w:r>
        <w:rPr>
          <w:rFonts w:hint="cs"/>
          <w:noProof/>
          <w:rtl/>
        </w:rPr>
        <w:t>נאשם</w:t>
      </w:r>
      <w:r w:rsidRPr="00B91917">
        <w:rPr>
          <w:noProof/>
          <w:rtl/>
        </w:rPr>
        <w:t xml:space="preserve"> </w:t>
      </w:r>
      <w:r w:rsidRPr="00B91917">
        <w:rPr>
          <w:noProof/>
          <w:u w:val="single"/>
          <w:rtl/>
        </w:rPr>
        <w:t>מ-19 ל- 30 חודשים מאסר בפועל.</w:t>
      </w:r>
    </w:p>
    <w:p w14:paraId="211C8D6B" w14:textId="77777777" w:rsidR="00EF62C5" w:rsidRDefault="00EF62C5" w:rsidP="00EF62C5">
      <w:pPr>
        <w:suppressLineNumbers/>
        <w:spacing w:line="360" w:lineRule="auto"/>
        <w:contextualSpacing/>
        <w:jc w:val="both"/>
        <w:rPr>
          <w:noProof/>
          <w:rtl/>
        </w:rPr>
      </w:pPr>
    </w:p>
    <w:p w14:paraId="5F6A0275" w14:textId="77777777" w:rsidR="00EF62C5" w:rsidRDefault="00EF62C5" w:rsidP="00EF62C5">
      <w:pPr>
        <w:suppressLineNumbers/>
        <w:spacing w:line="360" w:lineRule="auto"/>
        <w:contextualSpacing/>
        <w:jc w:val="both"/>
        <w:rPr>
          <w:noProof/>
          <w:rtl/>
        </w:rPr>
      </w:pPr>
      <w:r>
        <w:rPr>
          <w:rFonts w:hint="cs"/>
          <w:noProof/>
          <w:rtl/>
        </w:rPr>
        <w:t xml:space="preserve">(-) </w:t>
      </w:r>
      <w:hyperlink r:id="rId70" w:history="1">
        <w:r w:rsidR="00780E32" w:rsidRPr="00780E32">
          <w:rPr>
            <w:noProof/>
            <w:color w:val="0000FF"/>
            <w:u w:val="single"/>
            <w:rtl/>
          </w:rPr>
          <w:t>ע"פ 3877/16</w:t>
        </w:r>
      </w:hyperlink>
      <w:r>
        <w:rPr>
          <w:noProof/>
          <w:rtl/>
        </w:rPr>
        <w:t xml:space="preserve"> ‏</w:t>
      </w:r>
      <w:r w:rsidRPr="00784F6C">
        <w:rPr>
          <w:b/>
          <w:bCs/>
          <w:noProof/>
          <w:rtl/>
        </w:rPr>
        <w:t>ג'באלי נ' מדינת ישראל</w:t>
      </w:r>
      <w:r>
        <w:rPr>
          <w:rFonts w:hint="cs"/>
          <w:noProof/>
          <w:rtl/>
        </w:rPr>
        <w:t xml:space="preserve"> (17.11.2016): הנאשם הורשע בעבירה של נשיאת והובלת נשק במסגרת הסדר טיעון. בעקבות סכסוך בין קרוב משפחה של הנאשם לאחר, קבעו קרוב המשפחה של הנאשם והאחר להיפגש לשם יישוב הסכסוך. הנאשם נסע ברכבו למקום המפגש יחד עם קטין, כשהוא נושא עמו </w:t>
      </w:r>
      <w:r>
        <w:rPr>
          <w:noProof/>
          <w:rtl/>
        </w:rPr>
        <w:t>ברכב אקדח טעון במחסנית שהכילה 14 כדורים. האקדח מסוג "גלוק"</w:t>
      </w:r>
      <w:r>
        <w:rPr>
          <w:rFonts w:hint="cs"/>
          <w:noProof/>
          <w:rtl/>
        </w:rPr>
        <w:t xml:space="preserve"> אשר</w:t>
      </w:r>
      <w:r>
        <w:rPr>
          <w:noProof/>
          <w:rtl/>
        </w:rPr>
        <w:t xml:space="preserve"> נגנב חודשים אחדים קודם לכן בהתפרצות לדירה בהוד השרון. כשהגיע למקום המפגש, עצר ה</w:t>
      </w:r>
      <w:r>
        <w:rPr>
          <w:rFonts w:hint="cs"/>
          <w:noProof/>
          <w:rtl/>
        </w:rPr>
        <w:t>נאשם</w:t>
      </w:r>
      <w:r>
        <w:rPr>
          <w:noProof/>
          <w:rtl/>
        </w:rPr>
        <w:t xml:space="preserve"> מאחורי הרכב שבו ישבו </w:t>
      </w:r>
      <w:r>
        <w:rPr>
          <w:rFonts w:hint="cs"/>
          <w:noProof/>
          <w:rtl/>
        </w:rPr>
        <w:t>קרוב משפחתו והאחר. הנאשם</w:t>
      </w:r>
      <w:r>
        <w:rPr>
          <w:noProof/>
          <w:rtl/>
        </w:rPr>
        <w:t xml:space="preserve"> החביא את האקדח במכנסיו והתקרב יחד עם הקטין אל הרכב. באותו שלב הגיעו למקום שוטרים שהורו ל</w:t>
      </w:r>
      <w:r>
        <w:rPr>
          <w:rFonts w:hint="cs"/>
          <w:noProof/>
          <w:rtl/>
        </w:rPr>
        <w:t xml:space="preserve">נאשם </w:t>
      </w:r>
      <w:r>
        <w:rPr>
          <w:noProof/>
          <w:rtl/>
        </w:rPr>
        <w:t>ולקטין להרים ידיים, אך ה</w:t>
      </w:r>
      <w:r>
        <w:rPr>
          <w:rFonts w:hint="cs"/>
          <w:noProof/>
          <w:rtl/>
        </w:rPr>
        <w:t>נאשם</w:t>
      </w:r>
      <w:r>
        <w:rPr>
          <w:noProof/>
          <w:rtl/>
        </w:rPr>
        <w:t xml:space="preserve"> כרע לכיוון הרצפה והשליך את האקדח מאחורי גבו.</w:t>
      </w:r>
      <w:r>
        <w:rPr>
          <w:rFonts w:hint="cs"/>
          <w:noProof/>
          <w:rtl/>
        </w:rPr>
        <w:t xml:space="preserve"> בית המשפט המחוזי גזר על הנאשם </w:t>
      </w:r>
      <w:r w:rsidRPr="0024285E">
        <w:rPr>
          <w:rFonts w:hint="cs"/>
          <w:noProof/>
          <w:u w:val="single"/>
          <w:rtl/>
        </w:rPr>
        <w:t>34 חודשי מאסר בפועל,</w:t>
      </w:r>
      <w:r>
        <w:rPr>
          <w:rFonts w:hint="cs"/>
          <w:noProof/>
          <w:rtl/>
        </w:rPr>
        <w:t xml:space="preserve"> נאשם בן 25, עם עבר פלילי מכביד. בית המשפט העליון דחה את הערעור על חומרת העונש. </w:t>
      </w:r>
    </w:p>
    <w:p w14:paraId="00ED3260" w14:textId="77777777" w:rsidR="00EF62C5" w:rsidRDefault="00EF62C5" w:rsidP="00EF62C5">
      <w:pPr>
        <w:suppressLineNumbers/>
        <w:spacing w:line="360" w:lineRule="auto"/>
        <w:contextualSpacing/>
        <w:jc w:val="both"/>
        <w:rPr>
          <w:noProof/>
          <w:rtl/>
        </w:rPr>
      </w:pPr>
    </w:p>
    <w:p w14:paraId="26B2479F" w14:textId="77777777" w:rsidR="00EF62C5" w:rsidRDefault="00EF62C5" w:rsidP="00EF62C5">
      <w:pPr>
        <w:suppressLineNumbers/>
        <w:spacing w:line="360" w:lineRule="auto"/>
        <w:contextualSpacing/>
        <w:jc w:val="both"/>
        <w:rPr>
          <w:noProof/>
          <w:rtl/>
        </w:rPr>
      </w:pPr>
      <w:r>
        <w:rPr>
          <w:rFonts w:hint="cs"/>
          <w:noProof/>
          <w:rtl/>
        </w:rPr>
        <w:t xml:space="preserve">(-) </w:t>
      </w:r>
      <w:hyperlink r:id="rId71" w:history="1">
        <w:r w:rsidR="00780E32" w:rsidRPr="00780E32">
          <w:rPr>
            <w:noProof/>
            <w:color w:val="0000FF"/>
            <w:u w:val="single"/>
            <w:rtl/>
          </w:rPr>
          <w:t>ע"פ 3728/22</w:t>
        </w:r>
      </w:hyperlink>
      <w:r>
        <w:rPr>
          <w:noProof/>
          <w:rtl/>
        </w:rPr>
        <w:t xml:space="preserve"> </w:t>
      </w:r>
      <w:r w:rsidRPr="00355B23">
        <w:rPr>
          <w:b/>
          <w:bCs/>
          <w:noProof/>
          <w:rtl/>
        </w:rPr>
        <w:t>מסאלחה נ' מדינת ישראל</w:t>
      </w:r>
      <w:r w:rsidRPr="00355B23">
        <w:rPr>
          <w:rFonts w:hint="cs"/>
          <w:b/>
          <w:bCs/>
          <w:noProof/>
          <w:rtl/>
        </w:rPr>
        <w:t xml:space="preserve"> </w:t>
      </w:r>
      <w:r>
        <w:rPr>
          <w:rFonts w:hint="cs"/>
          <w:noProof/>
          <w:rtl/>
        </w:rPr>
        <w:t>(</w:t>
      </w:r>
      <w:r w:rsidRPr="00355B23">
        <w:rPr>
          <w:noProof/>
          <w:rtl/>
        </w:rPr>
        <w:t>9.8.2022)</w:t>
      </w:r>
      <w:r>
        <w:rPr>
          <w:rFonts w:hint="cs"/>
          <w:noProof/>
          <w:rtl/>
        </w:rPr>
        <w:t>: הנאשם הורשע ב</w:t>
      </w:r>
      <w:r w:rsidRPr="00355B23">
        <w:rPr>
          <w:noProof/>
          <w:rtl/>
        </w:rPr>
        <w:t>סיוע לנשיאת נשק ולירי שאינו באזור מגורים</w:t>
      </w:r>
      <w:r>
        <w:rPr>
          <w:rFonts w:hint="cs"/>
          <w:noProof/>
          <w:rtl/>
        </w:rPr>
        <w:t>, וכן בנשיאת והובלת נשק. האחר ש</w:t>
      </w:r>
      <w:r w:rsidRPr="00355B23">
        <w:rPr>
          <w:noProof/>
          <w:rtl/>
        </w:rPr>
        <w:t>נסע</w:t>
      </w:r>
      <w:r>
        <w:rPr>
          <w:rFonts w:hint="cs"/>
          <w:noProof/>
          <w:rtl/>
        </w:rPr>
        <w:t xml:space="preserve"> עם הנאשם</w:t>
      </w:r>
      <w:r w:rsidRPr="00355B23">
        <w:rPr>
          <w:noProof/>
          <w:rtl/>
        </w:rPr>
        <w:t xml:space="preserve"> ברכב</w:t>
      </w:r>
      <w:r>
        <w:rPr>
          <w:noProof/>
          <w:rtl/>
        </w:rPr>
        <w:t xml:space="preserve"> ירה יריה אחת באקדח שנשא. נאשם</w:t>
      </w:r>
      <w:r w:rsidRPr="00355B23">
        <w:rPr>
          <w:noProof/>
          <w:rtl/>
        </w:rPr>
        <w:t xml:space="preserve"> צעיר משכיל, ללא עבר פלילי, הסובל מבעיה רפואית, נדון, בגין חלקו כמסייע, למאסר </w:t>
      </w:r>
      <w:r w:rsidRPr="00FA4232">
        <w:rPr>
          <w:noProof/>
          <w:rtl/>
        </w:rPr>
        <w:t xml:space="preserve">בן </w:t>
      </w:r>
      <w:r w:rsidRPr="00FA4232">
        <w:rPr>
          <w:noProof/>
          <w:u w:val="single"/>
          <w:rtl/>
        </w:rPr>
        <w:t xml:space="preserve">18 </w:t>
      </w:r>
      <w:r w:rsidRPr="00E07B11">
        <w:rPr>
          <w:noProof/>
          <w:u w:val="single"/>
          <w:rtl/>
        </w:rPr>
        <w:t>חודשים</w:t>
      </w:r>
      <w:r>
        <w:rPr>
          <w:rFonts w:hint="cs"/>
          <w:noProof/>
          <w:u w:val="single"/>
          <w:rtl/>
        </w:rPr>
        <w:t xml:space="preserve"> בפועל</w:t>
      </w:r>
      <w:r w:rsidRPr="00355B23">
        <w:rPr>
          <w:noProof/>
          <w:rtl/>
        </w:rPr>
        <w:t xml:space="preserve">. שותפו, בעל עבר פלילי, נדון </w:t>
      </w:r>
      <w:r w:rsidRPr="0024285E">
        <w:rPr>
          <w:noProof/>
          <w:u w:val="single"/>
          <w:rtl/>
        </w:rPr>
        <w:t>למאסר בן 35 חודשים</w:t>
      </w:r>
      <w:r w:rsidRPr="0024285E">
        <w:rPr>
          <w:rFonts w:hint="cs"/>
          <w:noProof/>
          <w:u w:val="single"/>
          <w:rtl/>
        </w:rPr>
        <w:t xml:space="preserve"> בפועל.</w:t>
      </w:r>
      <w:r>
        <w:rPr>
          <w:rFonts w:hint="cs"/>
          <w:noProof/>
          <w:rtl/>
        </w:rPr>
        <w:t xml:space="preserve"> הערעור לבית המשפט העליון על חומרת העונש נדחה. </w:t>
      </w:r>
    </w:p>
    <w:p w14:paraId="207261D3" w14:textId="77777777" w:rsidR="00EF62C5" w:rsidRDefault="00EF62C5" w:rsidP="00EF62C5">
      <w:pPr>
        <w:suppressLineNumbers/>
        <w:spacing w:line="360" w:lineRule="auto"/>
        <w:contextualSpacing/>
        <w:jc w:val="both"/>
        <w:rPr>
          <w:noProof/>
          <w:rtl/>
        </w:rPr>
      </w:pPr>
    </w:p>
    <w:p w14:paraId="5F1FB06F" w14:textId="77777777" w:rsidR="00EF62C5" w:rsidRDefault="00EF62C5" w:rsidP="00EF62C5">
      <w:pPr>
        <w:suppressLineNumbers/>
        <w:spacing w:line="360" w:lineRule="auto"/>
        <w:contextualSpacing/>
        <w:jc w:val="both"/>
        <w:rPr>
          <w:noProof/>
          <w:rtl/>
        </w:rPr>
      </w:pPr>
      <w:r>
        <w:rPr>
          <w:rFonts w:hint="cs"/>
          <w:noProof/>
          <w:rtl/>
        </w:rPr>
        <w:t xml:space="preserve">(-) </w:t>
      </w:r>
      <w:hyperlink r:id="rId72" w:history="1">
        <w:r w:rsidR="00780E32" w:rsidRPr="00780E32">
          <w:rPr>
            <w:noProof/>
            <w:color w:val="0000FF"/>
            <w:u w:val="single"/>
            <w:rtl/>
          </w:rPr>
          <w:t>ע"פ 6021/21</w:t>
        </w:r>
      </w:hyperlink>
      <w:r>
        <w:rPr>
          <w:noProof/>
          <w:rtl/>
        </w:rPr>
        <w:t xml:space="preserve"> </w:t>
      </w:r>
      <w:r w:rsidRPr="00273F2A">
        <w:rPr>
          <w:b/>
          <w:bCs/>
          <w:noProof/>
          <w:rtl/>
        </w:rPr>
        <w:t>עבוד נ' מדינת ישראל</w:t>
      </w:r>
      <w:r w:rsidRPr="00273F2A">
        <w:rPr>
          <w:noProof/>
          <w:rtl/>
        </w:rPr>
        <w:t xml:space="preserve"> (19.12.2021)</w:t>
      </w:r>
      <w:r>
        <w:rPr>
          <w:rFonts w:hint="cs"/>
          <w:noProof/>
          <w:rtl/>
        </w:rPr>
        <w:t xml:space="preserve">: הנאשם הורשע בעבירה של נשיאת נשק מסוג </w:t>
      </w:r>
      <w:r>
        <w:rPr>
          <w:rFonts w:hint="cs"/>
          <w:noProof/>
        </w:rPr>
        <w:t>M16</w:t>
      </w:r>
      <w:r>
        <w:rPr>
          <w:rFonts w:hint="cs"/>
          <w:noProof/>
          <w:rtl/>
        </w:rPr>
        <w:t xml:space="preserve"> והפרעה לשוטר. ללא עבר פלילי. בית המשפט המחוזי גזר עליו </w:t>
      </w:r>
      <w:r w:rsidRPr="0024285E">
        <w:rPr>
          <w:rFonts w:hint="cs"/>
          <w:noProof/>
          <w:u w:val="single"/>
          <w:rtl/>
        </w:rPr>
        <w:t>30 חודשי מאסר בפועל</w:t>
      </w:r>
      <w:r>
        <w:rPr>
          <w:rFonts w:hint="cs"/>
          <w:noProof/>
          <w:rtl/>
        </w:rPr>
        <w:t xml:space="preserve">. הערעור לבית המשפט העליון על חומרת העונש נדחה. </w:t>
      </w:r>
      <w:r w:rsidRPr="00273F2A">
        <w:rPr>
          <w:noProof/>
          <w:rtl/>
        </w:rPr>
        <w:t xml:space="preserve"> </w:t>
      </w:r>
    </w:p>
    <w:p w14:paraId="5DC06D2C" w14:textId="77777777" w:rsidR="00EF62C5" w:rsidRDefault="00EF62C5" w:rsidP="00EF62C5">
      <w:pPr>
        <w:suppressLineNumbers/>
        <w:spacing w:line="360" w:lineRule="auto"/>
        <w:contextualSpacing/>
        <w:jc w:val="both"/>
        <w:rPr>
          <w:noProof/>
          <w:rtl/>
        </w:rPr>
      </w:pPr>
    </w:p>
    <w:p w14:paraId="3A292739" w14:textId="77777777" w:rsidR="00EF62C5" w:rsidRDefault="00EF62C5" w:rsidP="00EF62C5">
      <w:pPr>
        <w:suppressLineNumbers/>
        <w:spacing w:line="360" w:lineRule="auto"/>
        <w:contextualSpacing/>
        <w:jc w:val="both"/>
        <w:rPr>
          <w:noProof/>
          <w:rtl/>
        </w:rPr>
      </w:pPr>
      <w:r>
        <w:rPr>
          <w:rFonts w:hint="cs"/>
          <w:noProof/>
          <w:rtl/>
        </w:rPr>
        <w:t xml:space="preserve">(-) </w:t>
      </w:r>
      <w:hyperlink r:id="rId73" w:history="1">
        <w:r w:rsidR="00780E32" w:rsidRPr="00780E32">
          <w:rPr>
            <w:noProof/>
            <w:color w:val="0000FF"/>
            <w:u w:val="single"/>
            <w:rtl/>
          </w:rPr>
          <w:t>ע"פ 1658/22</w:t>
        </w:r>
      </w:hyperlink>
      <w:r>
        <w:rPr>
          <w:noProof/>
          <w:rtl/>
        </w:rPr>
        <w:t xml:space="preserve"> </w:t>
      </w:r>
      <w:r w:rsidRPr="00273F2A">
        <w:rPr>
          <w:b/>
          <w:bCs/>
          <w:noProof/>
          <w:rtl/>
        </w:rPr>
        <w:t>נח'אש נ' מדינת ישראל</w:t>
      </w:r>
      <w:r>
        <w:rPr>
          <w:noProof/>
          <w:rtl/>
        </w:rPr>
        <w:t xml:space="preserve"> (19.6.2022)</w:t>
      </w:r>
      <w:r>
        <w:rPr>
          <w:rFonts w:hint="cs"/>
          <w:noProof/>
          <w:rtl/>
        </w:rPr>
        <w:t>: ה</w:t>
      </w:r>
      <w:r w:rsidRPr="00273F2A">
        <w:rPr>
          <w:noProof/>
          <w:rtl/>
        </w:rPr>
        <w:t>נאשם הורשע בעבירת נשיאה והובלה של תת מקלע "עוזי" ומחסנית</w:t>
      </w:r>
      <w:r>
        <w:rPr>
          <w:rFonts w:hint="cs"/>
          <w:noProof/>
          <w:rtl/>
        </w:rPr>
        <w:t xml:space="preserve">. בית המשפט המחוזי גזר עליו </w:t>
      </w:r>
      <w:r w:rsidRPr="0024285E">
        <w:rPr>
          <w:noProof/>
          <w:u w:val="single"/>
          <w:rtl/>
        </w:rPr>
        <w:t>26 חודשי</w:t>
      </w:r>
      <w:r w:rsidRPr="0024285E">
        <w:rPr>
          <w:rFonts w:hint="cs"/>
          <w:noProof/>
          <w:u w:val="single"/>
          <w:rtl/>
        </w:rPr>
        <w:t xml:space="preserve"> מאסר בפועל</w:t>
      </w:r>
      <w:r>
        <w:rPr>
          <w:rFonts w:hint="cs"/>
          <w:noProof/>
          <w:rtl/>
        </w:rPr>
        <w:t xml:space="preserve">. </w:t>
      </w:r>
      <w:r w:rsidRPr="00273F2A">
        <w:rPr>
          <w:noProof/>
          <w:rtl/>
        </w:rPr>
        <w:t xml:space="preserve">הערעור לבית המשפט העליון על חומרת העונש נדחה.  </w:t>
      </w:r>
    </w:p>
    <w:p w14:paraId="57D2814F" w14:textId="77777777" w:rsidR="00EF62C5" w:rsidRDefault="00EF62C5" w:rsidP="00EF62C5">
      <w:pPr>
        <w:suppressLineNumbers/>
        <w:spacing w:line="360" w:lineRule="auto"/>
        <w:contextualSpacing/>
        <w:jc w:val="both"/>
        <w:rPr>
          <w:noProof/>
        </w:rPr>
      </w:pPr>
    </w:p>
    <w:p w14:paraId="41B7981A" w14:textId="77777777" w:rsidR="00EF62C5" w:rsidRDefault="00EF62C5" w:rsidP="00EF62C5">
      <w:pPr>
        <w:numPr>
          <w:ilvl w:val="0"/>
          <w:numId w:val="1"/>
        </w:numPr>
        <w:suppressLineNumbers/>
        <w:spacing w:line="360" w:lineRule="auto"/>
        <w:contextualSpacing/>
        <w:jc w:val="both"/>
        <w:rPr>
          <w:noProof/>
        </w:rPr>
      </w:pPr>
      <w:r>
        <w:rPr>
          <w:rFonts w:hint="cs"/>
          <w:noProof/>
          <w:rtl/>
        </w:rPr>
        <w:t xml:space="preserve">כאמור, הנאשם הורשע בשני כתבי אישום נפרדים, שכל אחד מהם מגלם אירוע נפרד ולפיכך יש לקבוע מתחם עונש נפרד לכל אחד מן המקרים </w:t>
      </w:r>
      <w:r>
        <w:rPr>
          <w:noProof/>
          <w:rtl/>
        </w:rPr>
        <w:t>–</w:t>
      </w:r>
      <w:r>
        <w:rPr>
          <w:rFonts w:hint="cs"/>
          <w:noProof/>
          <w:rtl/>
        </w:rPr>
        <w:t xml:space="preserve"> בהליך הנוכחי ובהליך המצורף. בהליך הנוכחי, אמנם יש להתחשב בנסיבות שקשורת בביצוע העבירה כפי שנקבעו בהכרעת הדין ובכלל זה הקביעה כי נשיאת הנשק והובלתו הייתה לפרק זמן מצומצם, אך מן העבר השני הנאשם הורשע בעבירות נוספות של שיבוש מהלכי משפט והפרת הוראה חוקית </w:t>
      </w:r>
      <w:r>
        <w:rPr>
          <w:noProof/>
          <w:rtl/>
        </w:rPr>
        <w:t>–</w:t>
      </w:r>
      <w:r>
        <w:rPr>
          <w:rFonts w:hint="cs"/>
          <w:noProof/>
          <w:rtl/>
        </w:rPr>
        <w:t xml:space="preserve"> שגם להם יש לתת ביטוי בקביעת המתחם. בהינתן הנסיבות שקשורות בביצוע עבירות אלו, אני קובע כי מתחם העונש ההולם בהליך הנוכחי, נע בין 30 ל-42 חודשי מאסר בפועל, לצד מאסר על תנאי. לגבי ההליך המצורף, לעמדתי מתחם העונש ההולם נע בין 15 ל-30 חודשי מאסר בפועל, בנוסף למאסר על תנאי. בנסיבות העניין ונוכח עונש המאסר לא ראיתי לכלול במתחמים קנס.</w:t>
      </w:r>
    </w:p>
    <w:p w14:paraId="3B530692" w14:textId="77777777" w:rsidR="00EF62C5" w:rsidRPr="00754136" w:rsidRDefault="00EF62C5" w:rsidP="00EF62C5">
      <w:pPr>
        <w:suppressLineNumbers/>
        <w:spacing w:line="360" w:lineRule="auto"/>
        <w:contextualSpacing/>
        <w:jc w:val="both"/>
        <w:rPr>
          <w:rFonts w:ascii="Arial" w:hAnsi="Arial"/>
        </w:rPr>
      </w:pPr>
    </w:p>
    <w:p w14:paraId="7B2FE2CE" w14:textId="77777777" w:rsidR="00EF62C5" w:rsidRDefault="00EF62C5" w:rsidP="00EF62C5">
      <w:pPr>
        <w:numPr>
          <w:ilvl w:val="0"/>
          <w:numId w:val="1"/>
        </w:numPr>
        <w:suppressLineNumbers/>
        <w:spacing w:line="360" w:lineRule="auto"/>
        <w:contextualSpacing/>
        <w:jc w:val="both"/>
        <w:rPr>
          <w:rFonts w:ascii="Arial" w:hAnsi="Arial"/>
        </w:rPr>
      </w:pPr>
      <w:r>
        <w:rPr>
          <w:rFonts w:hint="cs"/>
          <w:noProof/>
          <w:rtl/>
        </w:rPr>
        <w:t xml:space="preserve">בשולי פרק זה יצוין כי הסנגורים הפנו לגזר דין שניתן על ידי אך לפני מספר ימים (ת"פ 11810-05-22) בו קבעתי לגבי אחד הנאשמים </w:t>
      </w:r>
      <w:r>
        <w:rPr>
          <w:noProof/>
          <w:rtl/>
        </w:rPr>
        <w:t>–</w:t>
      </w:r>
      <w:r>
        <w:rPr>
          <w:rFonts w:hint="cs"/>
          <w:noProof/>
          <w:rtl/>
        </w:rPr>
        <w:t xml:space="preserve"> שבמועד ביצוע העבירות מלאו לו 18 שנים וארבעה חודשים </w:t>
      </w:r>
      <w:r>
        <w:rPr>
          <w:noProof/>
          <w:rtl/>
        </w:rPr>
        <w:t>–</w:t>
      </w:r>
      <w:r>
        <w:rPr>
          <w:rFonts w:hint="cs"/>
          <w:noProof/>
          <w:rtl/>
        </w:rPr>
        <w:t xml:space="preserve">  מתחם שנע בין 20 ל-36 חודשים, זאת בגין עבירת של נשיאה והובלה של נשק, הפרעה לשוטר במילוי תפקידו ומעשי פזיזות ורשלנות. קביעתי באותו מקרה באה לצד הקביעה כי מתקיימת הנסיבה שקבועה </w:t>
      </w:r>
      <w:hyperlink r:id="rId74" w:history="1">
        <w:r w:rsidR="00402C3F" w:rsidRPr="00402C3F">
          <w:rPr>
            <w:rStyle w:val="Hyperlink"/>
            <w:rFonts w:hint="eastAsia"/>
            <w:noProof/>
            <w:rtl/>
          </w:rPr>
          <w:t>בסעיף</w:t>
        </w:r>
        <w:r w:rsidR="00402C3F" w:rsidRPr="00402C3F">
          <w:rPr>
            <w:rStyle w:val="Hyperlink"/>
            <w:noProof/>
            <w:rtl/>
          </w:rPr>
          <w:t xml:space="preserve"> 40ט(א)(6)</w:t>
        </w:r>
      </w:hyperlink>
      <w:r>
        <w:rPr>
          <w:rFonts w:hint="cs"/>
          <w:noProof/>
          <w:rtl/>
        </w:rPr>
        <w:t xml:space="preserve"> ל</w:t>
      </w:r>
      <w:hyperlink r:id="rId75" w:history="1">
        <w:r w:rsidR="00780E32" w:rsidRPr="00780E32">
          <w:rPr>
            <w:noProof/>
            <w:color w:val="0000FF"/>
            <w:u w:val="single"/>
            <w:rtl/>
          </w:rPr>
          <w:t>חוק העונשין</w:t>
        </w:r>
      </w:hyperlink>
      <w:r>
        <w:rPr>
          <w:rFonts w:hint="cs"/>
          <w:noProof/>
          <w:rtl/>
        </w:rPr>
        <w:t xml:space="preserve"> שעוסקת ב</w:t>
      </w:r>
      <w:r w:rsidRPr="006975C8">
        <w:rPr>
          <w:rFonts w:ascii="Arial" w:hAnsi="Arial"/>
          <w:rtl/>
        </w:rPr>
        <w:t xml:space="preserve">יכולתו של הנאשם להבין את אשר הוא עושה, את הפסול שבמעשהו או את משמעות מעשהו, לרבות בשל </w:t>
      </w:r>
      <w:r w:rsidRPr="006975C8">
        <w:rPr>
          <w:rFonts w:ascii="Arial" w:hAnsi="Arial"/>
          <w:b/>
          <w:bCs/>
          <w:rtl/>
        </w:rPr>
        <w:t>גילו</w:t>
      </w:r>
      <w:r>
        <w:rPr>
          <w:rFonts w:ascii="Arial" w:hAnsi="Arial" w:hint="cs"/>
          <w:rtl/>
        </w:rPr>
        <w:t xml:space="preserve">. באותו מקרה קבעתי כי </w:t>
      </w:r>
      <w:r w:rsidRPr="006975C8">
        <w:rPr>
          <w:rFonts w:ascii="Arial" w:hAnsi="Arial"/>
          <w:rtl/>
        </w:rPr>
        <w:t xml:space="preserve">בנסיבות מסוימות ובזיקה לקבוע </w:t>
      </w:r>
      <w:hyperlink r:id="rId76" w:history="1">
        <w:r w:rsidR="00402C3F" w:rsidRPr="00402C3F">
          <w:rPr>
            <w:rStyle w:val="Hyperlink"/>
            <w:rFonts w:ascii="Arial" w:hAnsi="Arial"/>
            <w:rtl/>
          </w:rPr>
          <w:t>בסעיף 40ט(א)</w:t>
        </w:r>
      </w:hyperlink>
      <w:r w:rsidRPr="006975C8">
        <w:rPr>
          <w:rFonts w:ascii="Arial" w:hAnsi="Arial"/>
          <w:rtl/>
        </w:rPr>
        <w:t xml:space="preserve"> ל</w:t>
      </w:r>
      <w:hyperlink r:id="rId77" w:history="1">
        <w:r w:rsidR="00780E32" w:rsidRPr="00780E32">
          <w:rPr>
            <w:rFonts w:ascii="Arial" w:hAnsi="Arial"/>
            <w:color w:val="0000FF"/>
            <w:u w:val="single"/>
            <w:rtl/>
          </w:rPr>
          <w:t>חוק העונשין</w:t>
        </w:r>
      </w:hyperlink>
      <w:r w:rsidRPr="006975C8">
        <w:rPr>
          <w:rFonts w:ascii="Arial" w:hAnsi="Arial"/>
          <w:rtl/>
        </w:rPr>
        <w:t>–  גילו של הנאשם עשוי להשפיע על קביעת המתחם.</w:t>
      </w:r>
      <w:r>
        <w:rPr>
          <w:rFonts w:ascii="Arial" w:hAnsi="Arial" w:hint="cs"/>
          <w:rtl/>
        </w:rPr>
        <w:t xml:space="preserve"> </w:t>
      </w:r>
    </w:p>
    <w:p w14:paraId="771CFBE2" w14:textId="77777777" w:rsidR="00EF62C5" w:rsidRDefault="00EF62C5" w:rsidP="00EF62C5">
      <w:pPr>
        <w:pStyle w:val="a9"/>
        <w:rPr>
          <w:rFonts w:ascii="Arial" w:hAnsi="Arial"/>
          <w:rtl/>
        </w:rPr>
      </w:pPr>
    </w:p>
    <w:p w14:paraId="2DF80177" w14:textId="77777777" w:rsidR="00EF62C5" w:rsidRDefault="00EF62C5" w:rsidP="00EF62C5">
      <w:pPr>
        <w:suppressLineNumbers/>
        <w:spacing w:line="360" w:lineRule="auto"/>
        <w:ind w:firstLine="567"/>
        <w:contextualSpacing/>
        <w:jc w:val="both"/>
        <w:rPr>
          <w:rFonts w:ascii="Arial" w:hAnsi="Arial"/>
          <w:rtl/>
        </w:rPr>
      </w:pPr>
      <w:r>
        <w:rPr>
          <w:rFonts w:ascii="Arial" w:hAnsi="Arial" w:hint="cs"/>
          <w:rtl/>
        </w:rPr>
        <w:t xml:space="preserve">ואולם, נסיבות המקרה שלפניי שונות לגמרי מהנסיבות שנדונו במקרה אליו מפנים הסנגורים, ומצדיקות שקילת נסיבת הגיל אך בגדר הנסיבות שאינן קשורות לביצוע העבירה. אבהיר: הנאשם כאן בגיר יותר מאשר הנאשם שם ולא רק מבחינת הגיל הביולוגי. בשונה מהמקרה אליו מפנים הסנגורים, כאן המדובר בנאשם שהוא "בשל" יותר ומתוחכם יותר ונזכיר </w:t>
      </w:r>
      <w:r>
        <w:rPr>
          <w:rFonts w:ascii="Arial" w:hAnsi="Arial"/>
          <w:rtl/>
        </w:rPr>
        <w:t>–</w:t>
      </w:r>
      <w:r>
        <w:rPr>
          <w:rFonts w:ascii="Arial" w:hAnsi="Arial" w:hint="cs"/>
          <w:rtl/>
        </w:rPr>
        <w:t xml:space="preserve"> הנאשם לא נרתע מביצוע עבירת נשק נוספת, לאחר שחודש לפני כן נעצר בגין עבירה דומה. העבירה המאוחרת אף בוצעה כשהוא במעצר בית שהוטל בגין המקרה הקודם. זאת ועוד, מכלול הנסיבות ובפרט </w:t>
      </w:r>
      <w:r w:rsidRPr="006975C8">
        <w:rPr>
          <w:rFonts w:ascii="Arial" w:hAnsi="Arial" w:hint="cs"/>
          <w:rtl/>
        </w:rPr>
        <w:t>התסקיר בעניינו של הנאשם כאן מגל</w:t>
      </w:r>
      <w:r>
        <w:rPr>
          <w:rFonts w:ascii="Arial" w:hAnsi="Arial" w:hint="cs"/>
          <w:rtl/>
        </w:rPr>
        <w:t xml:space="preserve">ה </w:t>
      </w:r>
      <w:r w:rsidRPr="006975C8">
        <w:rPr>
          <w:rFonts w:ascii="Arial" w:hAnsi="Arial" w:hint="cs"/>
          <w:rtl/>
        </w:rPr>
        <w:t xml:space="preserve">תמונה </w:t>
      </w:r>
      <w:r>
        <w:rPr>
          <w:rFonts w:ascii="Arial" w:hAnsi="Arial" w:hint="cs"/>
          <w:rtl/>
        </w:rPr>
        <w:t xml:space="preserve">שונה </w:t>
      </w:r>
      <w:r w:rsidRPr="006975C8">
        <w:rPr>
          <w:rFonts w:ascii="Arial" w:hAnsi="Arial" w:hint="cs"/>
          <w:rtl/>
        </w:rPr>
        <w:t>ואף מדאיגה</w:t>
      </w:r>
      <w:r>
        <w:rPr>
          <w:rFonts w:ascii="Arial" w:hAnsi="Arial" w:hint="cs"/>
          <w:rtl/>
        </w:rPr>
        <w:t xml:space="preserve">. על פי הערכת שירות המבחן, מעורבות הנאשם בעבירות מגלה "פיתוח דפוס התנהגות עברייני הכולל זיקה לנשק" וכן, "חיבור לחברה שולית וקושי בקבלת גבולות החוק" </w:t>
      </w:r>
      <w:r>
        <w:rPr>
          <w:rFonts w:ascii="Arial" w:hAnsi="Arial"/>
          <w:rtl/>
        </w:rPr>
        <w:t>–</w:t>
      </w:r>
      <w:r>
        <w:rPr>
          <w:rFonts w:ascii="Arial" w:hAnsi="Arial" w:hint="cs"/>
          <w:rtl/>
        </w:rPr>
        <w:t xml:space="preserve"> ואידך זיל גמור. </w:t>
      </w:r>
    </w:p>
    <w:p w14:paraId="1E5D0F85" w14:textId="77777777" w:rsidR="00EF62C5" w:rsidRPr="00754136" w:rsidRDefault="00EF62C5" w:rsidP="00EF62C5">
      <w:pPr>
        <w:suppressLineNumbers/>
        <w:spacing w:line="360" w:lineRule="auto"/>
        <w:ind w:firstLine="567"/>
        <w:contextualSpacing/>
        <w:jc w:val="both"/>
        <w:rPr>
          <w:rFonts w:ascii="Arial" w:hAnsi="Arial"/>
        </w:rPr>
      </w:pPr>
    </w:p>
    <w:p w14:paraId="73291A42" w14:textId="77777777" w:rsidR="00EF62C5" w:rsidRPr="00754136" w:rsidRDefault="00EF62C5" w:rsidP="00EF62C5">
      <w:pPr>
        <w:suppressLineNumbers/>
        <w:spacing w:line="360" w:lineRule="auto"/>
        <w:ind w:firstLine="567"/>
        <w:contextualSpacing/>
        <w:jc w:val="both"/>
        <w:rPr>
          <w:rFonts w:ascii="Arial" w:hAnsi="Arial"/>
        </w:rPr>
      </w:pPr>
      <w:r w:rsidRPr="00754136">
        <w:rPr>
          <w:rFonts w:ascii="Arial" w:hAnsi="Arial" w:hint="cs"/>
          <w:rtl/>
        </w:rPr>
        <w:t>[יוער במאמר מוסגר כי גזר הדין אלי הפנו הסנגורים ניתן במסגרת הליך שהתנהל בדלתיים סגורות משום שכלל נאשמים קטינים, והנסיבות בהן הגיע המסמך החסוי לידי הסנגורים לא הובררו]</w:t>
      </w:r>
      <w:r>
        <w:rPr>
          <w:rFonts w:ascii="Arial" w:hAnsi="Arial" w:hint="cs"/>
          <w:rtl/>
        </w:rPr>
        <w:t>.</w:t>
      </w:r>
      <w:r w:rsidRPr="00754136">
        <w:rPr>
          <w:rFonts w:ascii="Arial" w:hAnsi="Arial" w:hint="cs"/>
          <w:rtl/>
        </w:rPr>
        <w:t xml:space="preserve"> </w:t>
      </w:r>
    </w:p>
    <w:p w14:paraId="0AE157FB" w14:textId="77777777" w:rsidR="00EF62C5" w:rsidRPr="006975C8" w:rsidRDefault="00EF62C5" w:rsidP="00EF62C5">
      <w:pPr>
        <w:suppressLineNumbers/>
        <w:spacing w:line="360" w:lineRule="auto"/>
        <w:contextualSpacing/>
        <w:jc w:val="both"/>
        <w:rPr>
          <w:rFonts w:ascii="Arial" w:hAnsi="Arial"/>
        </w:rPr>
      </w:pPr>
    </w:p>
    <w:p w14:paraId="01F8F15C" w14:textId="77777777" w:rsidR="00EF62C5" w:rsidRPr="006975C8" w:rsidRDefault="00EF62C5" w:rsidP="00EF62C5">
      <w:pPr>
        <w:pStyle w:val="a9"/>
        <w:numPr>
          <w:ilvl w:val="0"/>
          <w:numId w:val="1"/>
        </w:numPr>
        <w:suppressLineNumbers/>
        <w:spacing w:line="360" w:lineRule="auto"/>
        <w:jc w:val="both"/>
        <w:rPr>
          <w:b/>
          <w:bCs/>
          <w:noProof/>
          <w:rtl/>
        </w:rPr>
      </w:pPr>
      <w:r w:rsidRPr="006975C8">
        <w:rPr>
          <w:rFonts w:hint="cs"/>
          <w:b/>
          <w:bCs/>
          <w:noProof/>
          <w:rtl/>
        </w:rPr>
        <w:t xml:space="preserve"> נסיבות שאינן קשורות בביצוע העבירה</w:t>
      </w:r>
    </w:p>
    <w:p w14:paraId="464FFA3D" w14:textId="77777777" w:rsidR="00EF62C5" w:rsidRDefault="00EF62C5" w:rsidP="00EF62C5">
      <w:pPr>
        <w:suppressLineNumbers/>
        <w:spacing w:line="360" w:lineRule="auto"/>
        <w:contextualSpacing/>
        <w:jc w:val="both"/>
        <w:rPr>
          <w:noProof/>
          <w:rtl/>
        </w:rPr>
      </w:pPr>
    </w:p>
    <w:p w14:paraId="053FC943" w14:textId="77777777" w:rsidR="00EF62C5" w:rsidRDefault="00EF62C5" w:rsidP="00EF62C5">
      <w:pPr>
        <w:numPr>
          <w:ilvl w:val="0"/>
          <w:numId w:val="1"/>
        </w:numPr>
        <w:suppressLineNumbers/>
        <w:spacing w:line="360" w:lineRule="auto"/>
        <w:contextualSpacing/>
        <w:jc w:val="both"/>
        <w:rPr>
          <w:noProof/>
        </w:rPr>
      </w:pPr>
      <w:r w:rsidRPr="00F10163">
        <w:rPr>
          <w:noProof/>
          <w:rtl/>
        </w:rPr>
        <w:t xml:space="preserve">בגזירת העונש בגדרי מתחם העונש ההולם, יש לשקול את </w:t>
      </w:r>
      <w:r w:rsidRPr="00F10163">
        <w:rPr>
          <w:b/>
          <w:bCs/>
          <w:noProof/>
          <w:rtl/>
        </w:rPr>
        <w:t>הנסיבות שאינן קשורות בביצוע העבירה</w:t>
      </w:r>
      <w:r w:rsidRPr="00F10163">
        <w:rPr>
          <w:noProof/>
          <w:rtl/>
        </w:rPr>
        <w:t xml:space="preserve"> (סעיף </w:t>
      </w:r>
      <w:hyperlink r:id="rId78" w:history="1">
        <w:r w:rsidR="00402C3F" w:rsidRPr="00402C3F">
          <w:rPr>
            <w:rStyle w:val="Hyperlink"/>
            <w:noProof/>
            <w:rtl/>
          </w:rPr>
          <w:t>40 יא'</w:t>
        </w:r>
      </w:hyperlink>
      <w:r w:rsidRPr="00F10163">
        <w:rPr>
          <w:noProof/>
          <w:rtl/>
        </w:rPr>
        <w:t xml:space="preserve"> ל</w:t>
      </w:r>
      <w:hyperlink r:id="rId79" w:history="1">
        <w:r w:rsidR="00780E32" w:rsidRPr="00780E32">
          <w:rPr>
            <w:noProof/>
            <w:color w:val="0000FF"/>
            <w:u w:val="single"/>
            <w:rtl/>
          </w:rPr>
          <w:t>חוק העונשין</w:t>
        </w:r>
      </w:hyperlink>
      <w:r w:rsidRPr="00F10163">
        <w:rPr>
          <w:noProof/>
          <w:rtl/>
        </w:rPr>
        <w:t>). במסגרת זו הבאתי במניין השיקולים את הנסיבות הבאות:</w:t>
      </w:r>
    </w:p>
    <w:p w14:paraId="7B18C450" w14:textId="77777777" w:rsidR="00EF62C5" w:rsidRDefault="00EF62C5" w:rsidP="00EF62C5">
      <w:pPr>
        <w:suppressLineNumbers/>
        <w:spacing w:line="360" w:lineRule="auto"/>
        <w:contextualSpacing/>
        <w:jc w:val="both"/>
        <w:rPr>
          <w:noProof/>
        </w:rPr>
      </w:pPr>
    </w:p>
    <w:p w14:paraId="00301B04" w14:textId="77777777" w:rsidR="00EF62C5" w:rsidRDefault="00EF62C5" w:rsidP="00EF62C5">
      <w:pPr>
        <w:suppressLineNumbers/>
        <w:spacing w:line="360" w:lineRule="auto"/>
        <w:ind w:firstLine="567"/>
        <w:contextualSpacing/>
        <w:jc w:val="both"/>
        <w:rPr>
          <w:noProof/>
        </w:rPr>
      </w:pPr>
      <w:r>
        <w:rPr>
          <w:rFonts w:hint="cs"/>
          <w:noProof/>
          <w:rtl/>
        </w:rPr>
        <w:t>(-) הנאשם הוא צעיר יליד 2002, רווק, ולחובתו אין הרשעות קודמות. מובן כי לעונש המאסר שיוטל על הנאשם עלולה להיות השלכה עליו. אם כי השפעת המאסר אינה חזות הכל ויש לתת את הבכורה ליתר שיקולי הענישה.</w:t>
      </w:r>
    </w:p>
    <w:p w14:paraId="508915EF" w14:textId="77777777" w:rsidR="00EF62C5" w:rsidRDefault="00EF62C5" w:rsidP="00EF62C5">
      <w:pPr>
        <w:pStyle w:val="a9"/>
        <w:rPr>
          <w:noProof/>
          <w:rtl/>
        </w:rPr>
      </w:pPr>
    </w:p>
    <w:p w14:paraId="361B557B" w14:textId="77777777" w:rsidR="00EF62C5" w:rsidRDefault="00EF62C5" w:rsidP="00EF62C5">
      <w:pPr>
        <w:suppressLineNumbers/>
        <w:spacing w:line="360" w:lineRule="auto"/>
        <w:ind w:firstLine="567"/>
        <w:contextualSpacing/>
        <w:jc w:val="both"/>
        <w:rPr>
          <w:noProof/>
        </w:rPr>
      </w:pPr>
      <w:r>
        <w:rPr>
          <w:rFonts w:hint="cs"/>
          <w:noProof/>
          <w:rtl/>
        </w:rPr>
        <w:t>(-) בתיק המצורף הודה הנאשם בעובדות כתב אישום מתוקן ויש לתת לכך משקל מקל. כאמור, בתיק הנוכחי הנאשם הורשע לאחר ניהול הוכחות, ברי כי אין זאת נסיבה מחמירה, אך מן העבר השני הנאשם לא זכאי להקלה לה זוכה מי שמודה. וגם מזאת אין להתעלם, הגם שהנאשם הורשע בכל העבירות שיוחסו לו בכתב האישום, ההרשעה הייתה על יסוד מצע עובדתי שונה ממה שתואר בכתב האישום.</w:t>
      </w:r>
    </w:p>
    <w:p w14:paraId="51AB27E0" w14:textId="77777777" w:rsidR="00EF62C5" w:rsidRDefault="00EF62C5" w:rsidP="00EF62C5">
      <w:pPr>
        <w:pStyle w:val="a9"/>
        <w:rPr>
          <w:noProof/>
          <w:rtl/>
        </w:rPr>
      </w:pPr>
    </w:p>
    <w:p w14:paraId="2E258E33" w14:textId="77777777" w:rsidR="00EF62C5" w:rsidRDefault="00EF62C5" w:rsidP="00EF62C5">
      <w:pPr>
        <w:suppressLineNumbers/>
        <w:spacing w:line="360" w:lineRule="auto"/>
        <w:ind w:firstLine="567"/>
        <w:contextualSpacing/>
        <w:jc w:val="both"/>
        <w:rPr>
          <w:noProof/>
          <w:rtl/>
        </w:rPr>
      </w:pPr>
      <w:r>
        <w:rPr>
          <w:rFonts w:hint="cs"/>
          <w:noProof/>
          <w:rtl/>
        </w:rPr>
        <w:t>(-) מתסקירי שירות המבחן עולה תמונה מדאיגה אודות הנאשם. עולה כי הנאשם נוטל אחריות פורמאלית בלבד, לא מפנים את החומרה של עבירות הנשק, ולא מצליח להתבונן במשמעות התנהלותו. חמור מכך, מסתמן כי הנאשם פיתח דפוסי התהנהגות עבריינית תוך זיקה לנשק.</w:t>
      </w:r>
    </w:p>
    <w:p w14:paraId="71CCFB7D" w14:textId="77777777" w:rsidR="00EF62C5" w:rsidRDefault="00EF62C5" w:rsidP="00EF62C5">
      <w:pPr>
        <w:suppressLineNumbers/>
        <w:spacing w:line="360" w:lineRule="auto"/>
        <w:ind w:firstLine="567"/>
        <w:contextualSpacing/>
        <w:jc w:val="both"/>
        <w:rPr>
          <w:noProof/>
          <w:rtl/>
        </w:rPr>
      </w:pPr>
    </w:p>
    <w:p w14:paraId="5FD8D6C1" w14:textId="77777777" w:rsidR="00EF62C5" w:rsidRDefault="00EF62C5" w:rsidP="00EF62C5">
      <w:pPr>
        <w:suppressLineNumbers/>
        <w:spacing w:line="360" w:lineRule="auto"/>
        <w:ind w:firstLine="567"/>
        <w:contextualSpacing/>
        <w:jc w:val="both"/>
        <w:rPr>
          <w:noProof/>
          <w:rtl/>
        </w:rPr>
      </w:pPr>
      <w:r>
        <w:rPr>
          <w:rFonts w:hint="cs"/>
          <w:noProof/>
          <w:rtl/>
        </w:rPr>
        <w:t>(-) כעולה מטיעוני הסנגור וכעולה מהתסקירים, הנאשם סובל ממצב רפואי שנבע מפציעתו באירוע יריי שהתרחש בשנת 2021, לפני האירועים מושא ההליכים שלפניי. גם בכך יש להתחשב.</w:t>
      </w:r>
    </w:p>
    <w:p w14:paraId="1CB39D21" w14:textId="77777777" w:rsidR="00EF62C5" w:rsidRDefault="00EF62C5" w:rsidP="00EF62C5">
      <w:pPr>
        <w:suppressLineNumbers/>
        <w:spacing w:line="360" w:lineRule="auto"/>
        <w:ind w:firstLine="567"/>
        <w:contextualSpacing/>
        <w:jc w:val="both"/>
        <w:rPr>
          <w:noProof/>
          <w:rtl/>
        </w:rPr>
      </w:pPr>
    </w:p>
    <w:p w14:paraId="319FCDDC" w14:textId="77777777" w:rsidR="00EF62C5" w:rsidRPr="00F10163" w:rsidRDefault="00EF62C5" w:rsidP="00EF62C5">
      <w:pPr>
        <w:suppressLineNumbers/>
        <w:spacing w:line="360" w:lineRule="auto"/>
        <w:ind w:firstLine="567"/>
        <w:contextualSpacing/>
        <w:jc w:val="both"/>
        <w:rPr>
          <w:noProof/>
          <w:rtl/>
        </w:rPr>
      </w:pPr>
      <w:r>
        <w:rPr>
          <w:rFonts w:hint="cs"/>
          <w:noProof/>
          <w:rtl/>
        </w:rPr>
        <w:t>(-) כמו כן יש לתת את הדעת לתקופות בהן היה הנאשם נתון במעצר וכן בתנאים מגבילים.</w:t>
      </w:r>
    </w:p>
    <w:p w14:paraId="5AA946B7" w14:textId="77777777" w:rsidR="00EF62C5" w:rsidRDefault="00EF62C5" w:rsidP="00EF62C5">
      <w:pPr>
        <w:suppressLineNumbers/>
        <w:spacing w:line="360" w:lineRule="auto"/>
        <w:contextualSpacing/>
        <w:jc w:val="both"/>
        <w:rPr>
          <w:rFonts w:ascii="Arial" w:eastAsia="David" w:hAnsi="Arial"/>
          <w:noProof/>
          <w:rtl/>
        </w:rPr>
      </w:pPr>
    </w:p>
    <w:p w14:paraId="2B0AB37F" w14:textId="77777777" w:rsidR="00EF62C5" w:rsidRPr="00840620" w:rsidRDefault="00EF62C5" w:rsidP="00EF62C5">
      <w:pPr>
        <w:suppressLineNumbers/>
        <w:spacing w:line="360" w:lineRule="auto"/>
        <w:contextualSpacing/>
        <w:jc w:val="both"/>
        <w:rPr>
          <w:rFonts w:ascii="Arial" w:eastAsia="David" w:hAnsi="Arial"/>
          <w:b/>
          <w:bCs/>
          <w:noProof/>
          <w:rtl/>
        </w:rPr>
      </w:pPr>
      <w:r w:rsidRPr="00840620">
        <w:rPr>
          <w:rFonts w:ascii="Arial" w:eastAsia="David" w:hAnsi="Arial" w:hint="cs"/>
          <w:b/>
          <w:bCs/>
          <w:noProof/>
          <w:rtl/>
        </w:rPr>
        <w:t>הגנה מן הצדק?</w:t>
      </w:r>
    </w:p>
    <w:p w14:paraId="5494E0E2" w14:textId="77777777" w:rsidR="00EF62C5" w:rsidRPr="00840620" w:rsidRDefault="00EF62C5" w:rsidP="00EF62C5">
      <w:pPr>
        <w:suppressLineNumbers/>
        <w:spacing w:line="360" w:lineRule="auto"/>
        <w:contextualSpacing/>
        <w:jc w:val="both"/>
        <w:rPr>
          <w:rFonts w:ascii="Arial" w:eastAsia="David" w:hAnsi="Arial"/>
          <w:noProof/>
        </w:rPr>
      </w:pPr>
    </w:p>
    <w:p w14:paraId="6E841E75" w14:textId="77777777" w:rsidR="00EF62C5" w:rsidRDefault="00EF62C5" w:rsidP="00EF62C5">
      <w:pPr>
        <w:numPr>
          <w:ilvl w:val="0"/>
          <w:numId w:val="1"/>
        </w:numPr>
        <w:suppressLineNumbers/>
        <w:spacing w:line="360" w:lineRule="auto"/>
        <w:contextualSpacing/>
        <w:jc w:val="both"/>
        <w:rPr>
          <w:rFonts w:ascii="Arial" w:eastAsia="David" w:hAnsi="Arial"/>
          <w:noProof/>
        </w:rPr>
      </w:pPr>
      <w:r>
        <w:rPr>
          <w:rFonts w:ascii="Arial" w:eastAsia="David" w:hAnsi="Arial" w:hint="cs"/>
          <w:noProof/>
          <w:rtl/>
        </w:rPr>
        <w:t xml:space="preserve">הנני דוחה מכל וכל את טענת הסנגורים לפיה יש להקל בעונשו של הנאשם בשל הגנה מן הצדק שקמה לטענתם נוכח קיומה של אכיפה בררנית. </w:t>
      </w:r>
    </w:p>
    <w:p w14:paraId="5D915EF8" w14:textId="77777777" w:rsidR="00EF62C5" w:rsidRDefault="00EF62C5" w:rsidP="00EF62C5">
      <w:pPr>
        <w:suppressLineNumbers/>
        <w:spacing w:line="360" w:lineRule="auto"/>
        <w:contextualSpacing/>
        <w:jc w:val="both"/>
        <w:rPr>
          <w:rFonts w:ascii="Arial" w:eastAsia="David" w:hAnsi="Arial"/>
          <w:noProof/>
          <w:rtl/>
        </w:rPr>
      </w:pPr>
    </w:p>
    <w:p w14:paraId="2CF542A9" w14:textId="77777777" w:rsidR="00EF62C5" w:rsidRDefault="00EF62C5" w:rsidP="00EF62C5">
      <w:pPr>
        <w:suppressLineNumbers/>
        <w:spacing w:line="360" w:lineRule="auto"/>
        <w:ind w:firstLine="567"/>
        <w:contextualSpacing/>
        <w:jc w:val="both"/>
        <w:rPr>
          <w:rFonts w:ascii="Arial" w:eastAsia="David" w:hAnsi="Arial"/>
          <w:noProof/>
        </w:rPr>
      </w:pPr>
      <w:r>
        <w:rPr>
          <w:rFonts w:ascii="Arial" w:eastAsia="David" w:hAnsi="Arial" w:hint="cs"/>
          <w:noProof/>
          <w:rtl/>
        </w:rPr>
        <w:t xml:space="preserve">אשר לתיק המצורף </w:t>
      </w:r>
      <w:r>
        <w:rPr>
          <w:rFonts w:ascii="Arial" w:eastAsia="David" w:hAnsi="Arial"/>
          <w:noProof/>
          <w:rtl/>
        </w:rPr>
        <w:t>–</w:t>
      </w:r>
      <w:r>
        <w:rPr>
          <w:rFonts w:ascii="Arial" w:eastAsia="David" w:hAnsi="Arial" w:hint="cs"/>
          <w:noProof/>
          <w:rtl/>
        </w:rPr>
        <w:t xml:space="preserve"> טענת הסנגור, לפיה לא הוגשו כתבי אישום נגד שניים שהיו ברכב בו נסע הנאשם, גם אם היא נכונה, לא סוללת את הדרך למסקנה כי ההחלטה שלא להגיש כתבי אישום נגד האחרים, היא בגדר הפליה פסולה. על מנת לדון בטענה לאכיפה בררנית, יש להניח תשתית ראייתית לשאלה, מה עמד בבסיס ההחלטה שלא להגיש כתבי אישום נגד האחרים? הסנגורים לא הניחו ולו בדל ראיה כדי לבסס את טענתם בעניין זה, זאת שלא לדבר על כך שהטענה נשמעה בבית המשפט רק בשלב הטיעונים לעונש. יתרה מכך, הסנגורים טענו כי התיקון בכתב האישום היה תולדה של טענתם להגנה מן הצדק, ואם כך מצב הדברים </w:t>
      </w:r>
      <w:r>
        <w:rPr>
          <w:rFonts w:ascii="Arial" w:eastAsia="David" w:hAnsi="Arial"/>
          <w:noProof/>
          <w:rtl/>
        </w:rPr>
        <w:t>–</w:t>
      </w:r>
      <w:r>
        <w:rPr>
          <w:rFonts w:ascii="Arial" w:eastAsia="David" w:hAnsi="Arial" w:hint="cs"/>
          <w:noProof/>
          <w:rtl/>
        </w:rPr>
        <w:t xml:space="preserve"> אין סיבה להקלה נוספת בעניינם.</w:t>
      </w:r>
    </w:p>
    <w:p w14:paraId="580B1CD1" w14:textId="77777777" w:rsidR="00EF62C5" w:rsidRDefault="00EF62C5" w:rsidP="00EF62C5">
      <w:pPr>
        <w:suppressLineNumbers/>
        <w:spacing w:line="360" w:lineRule="auto"/>
        <w:contextualSpacing/>
        <w:jc w:val="both"/>
        <w:rPr>
          <w:rFonts w:ascii="Arial" w:eastAsia="David" w:hAnsi="Arial"/>
          <w:noProof/>
        </w:rPr>
      </w:pPr>
    </w:p>
    <w:p w14:paraId="3D5D6C72" w14:textId="77777777" w:rsidR="00EF62C5" w:rsidRDefault="00EF62C5" w:rsidP="00EF62C5">
      <w:pPr>
        <w:suppressLineNumbers/>
        <w:spacing w:line="360" w:lineRule="auto"/>
        <w:ind w:firstLine="567"/>
        <w:contextualSpacing/>
        <w:jc w:val="both"/>
        <w:rPr>
          <w:rFonts w:ascii="Arial" w:eastAsia="David" w:hAnsi="Arial"/>
          <w:noProof/>
        </w:rPr>
      </w:pPr>
      <w:r>
        <w:rPr>
          <w:rFonts w:ascii="Arial" w:eastAsia="David" w:hAnsi="Arial" w:hint="cs"/>
          <w:noProof/>
          <w:rtl/>
        </w:rPr>
        <w:t>באשר לתיק הנוכחי, נזכיר כי לטענת הנאשם, בהינתן הקביעה בהכרעת הדין בדבר קבלת התרחיש החלופי ממנו עולה כי הנשק היה באמתחת הנהג, הרי  אי הגשת כתב אישום נגד הנהג מהווה אכיפה בררנית. טענה זו דינה להידחות. לטענה זו של הנאשם התייחסתי בהכרעת הדין וקביעותיי שם נכונות גם לשלב זה. כך ציינתי בהכרעת הדין:</w:t>
      </w:r>
    </w:p>
    <w:p w14:paraId="4416282E" w14:textId="77777777" w:rsidR="00EF62C5" w:rsidRPr="00CB756C" w:rsidRDefault="00EF62C5" w:rsidP="00EF62C5">
      <w:pPr>
        <w:pStyle w:val="a9"/>
        <w:rPr>
          <w:rFonts w:ascii="Arial" w:eastAsia="David" w:hAnsi="Arial"/>
          <w:noProof/>
          <w:rtl/>
        </w:rPr>
      </w:pPr>
    </w:p>
    <w:p w14:paraId="21105397" w14:textId="77777777" w:rsidR="00EF62C5" w:rsidRPr="00CB4F3C" w:rsidRDefault="00EF62C5" w:rsidP="00EF62C5">
      <w:pPr>
        <w:suppressLineNumbers/>
        <w:ind w:left="1134" w:right="1134"/>
        <w:contextualSpacing/>
        <w:jc w:val="both"/>
        <w:rPr>
          <w:rFonts w:ascii="Arial" w:eastAsia="David" w:hAnsi="Arial"/>
          <w:b/>
          <w:bCs/>
          <w:noProof/>
        </w:rPr>
      </w:pPr>
      <w:r w:rsidRPr="0047587F">
        <w:rPr>
          <w:rFonts w:ascii="Arial" w:eastAsia="David" w:hAnsi="Arial" w:hint="cs"/>
          <w:noProof/>
          <w:rtl/>
        </w:rPr>
        <w:t>"</w:t>
      </w:r>
      <w:r w:rsidRPr="00CB4F3C">
        <w:rPr>
          <w:rFonts w:ascii="Arial" w:eastAsia="David" w:hAnsi="Arial" w:hint="cs"/>
          <w:b/>
          <w:bCs/>
          <w:noProof/>
          <w:rtl/>
        </w:rPr>
        <w:t>...</w:t>
      </w:r>
      <w:r w:rsidRPr="00CB4F3C">
        <w:rPr>
          <w:rFonts w:ascii="Arial" w:eastAsia="David" w:hAnsi="Arial"/>
          <w:b/>
          <w:bCs/>
          <w:noProof/>
          <w:rtl/>
        </w:rPr>
        <w:t xml:space="preserve"> קביעתו של בית המשפט כי קיים תרחיש חלופי אפשרי לפיו האקדח לא היה על גופו של הנאשם אלא על גופו של מנסור, לא משמיעה את המסקנה כי הנשק אכן היה על גופו של מנסור. תהום פעורה בין קיומו של תרחיש חלופי שיש בו כדי לעורר ספק לבין המסקנות ההוכחתיות הפוזיטיביות שניתן לחלץ מקביעה זו. קביעת קיומו של ספק סביר על בסיס תרחיש חלופי, אין משמעותה כי התרחיש החלופי הוכח; לא ברמת ההוכחה הנדרשת במשפט פלילי ואף לא במאזן ההסתברויות. התרחיש החלופי אינו אלא ביטוי לקיומו של ספק סביר ולכן </w:t>
      </w:r>
      <w:r>
        <w:rPr>
          <w:rFonts w:ascii="Arial" w:eastAsia="David" w:hAnsi="Arial"/>
          <w:b/>
          <w:bCs/>
          <w:noProof/>
          <w:rtl/>
        </w:rPr>
        <w:t>הוא לא חורג מגדרו של הספק הסביר</w:t>
      </w:r>
      <w:r w:rsidRPr="0047587F">
        <w:rPr>
          <w:rFonts w:ascii="Arial" w:eastAsia="David" w:hAnsi="Arial" w:hint="cs"/>
          <w:noProof/>
          <w:rtl/>
        </w:rPr>
        <w:t>".</w:t>
      </w:r>
    </w:p>
    <w:p w14:paraId="0A638A65" w14:textId="77777777" w:rsidR="00EF62C5" w:rsidRDefault="00EF62C5" w:rsidP="00EF62C5">
      <w:pPr>
        <w:suppressLineNumbers/>
        <w:spacing w:line="360" w:lineRule="auto"/>
        <w:contextualSpacing/>
        <w:jc w:val="both"/>
        <w:rPr>
          <w:rFonts w:ascii="Arial" w:eastAsia="David" w:hAnsi="Arial"/>
          <w:noProof/>
          <w:rtl/>
        </w:rPr>
      </w:pPr>
    </w:p>
    <w:p w14:paraId="27C1038F" w14:textId="77777777" w:rsidR="00EF62C5" w:rsidRPr="00CB756C" w:rsidRDefault="00EF62C5" w:rsidP="00EF62C5">
      <w:pPr>
        <w:suppressLineNumbers/>
        <w:spacing w:line="360" w:lineRule="auto"/>
        <w:contextualSpacing/>
        <w:jc w:val="both"/>
        <w:rPr>
          <w:rFonts w:ascii="Arial" w:eastAsia="David" w:hAnsi="Arial"/>
          <w:noProof/>
        </w:rPr>
      </w:pPr>
      <w:r>
        <w:rPr>
          <w:rFonts w:ascii="Arial" w:eastAsia="David" w:hAnsi="Arial"/>
          <w:noProof/>
          <w:rtl/>
        </w:rPr>
        <w:tab/>
      </w:r>
      <w:r>
        <w:rPr>
          <w:rFonts w:ascii="Arial" w:eastAsia="David" w:hAnsi="Arial" w:hint="cs"/>
          <w:noProof/>
          <w:rtl/>
        </w:rPr>
        <w:t xml:space="preserve">וכן הוספתי כי </w:t>
      </w:r>
      <w:r>
        <w:rPr>
          <w:rFonts w:ascii="Arial" w:eastAsia="David" w:hAnsi="Arial"/>
          <w:noProof/>
          <w:rtl/>
        </w:rPr>
        <w:t>–</w:t>
      </w:r>
      <w:r>
        <w:rPr>
          <w:rFonts w:ascii="Arial" w:eastAsia="David" w:hAnsi="Arial" w:hint="cs"/>
          <w:noProof/>
          <w:rtl/>
        </w:rPr>
        <w:t xml:space="preserve"> </w:t>
      </w:r>
    </w:p>
    <w:p w14:paraId="32B247A3" w14:textId="77777777" w:rsidR="00EF62C5" w:rsidRDefault="00EF62C5" w:rsidP="00EF62C5">
      <w:pPr>
        <w:suppressLineNumbers/>
        <w:spacing w:line="360" w:lineRule="auto"/>
        <w:contextualSpacing/>
        <w:jc w:val="both"/>
        <w:rPr>
          <w:rFonts w:ascii="Arial" w:eastAsia="David" w:hAnsi="Arial"/>
          <w:noProof/>
          <w:rtl/>
        </w:rPr>
      </w:pPr>
    </w:p>
    <w:p w14:paraId="7C730503" w14:textId="77777777" w:rsidR="00EF62C5" w:rsidRPr="00AF6655" w:rsidRDefault="00EF62C5" w:rsidP="00EF62C5">
      <w:pPr>
        <w:suppressLineNumbers/>
        <w:ind w:left="1134" w:right="1134"/>
        <w:contextualSpacing/>
        <w:jc w:val="both"/>
        <w:rPr>
          <w:rFonts w:ascii="Arial" w:eastAsia="David" w:hAnsi="Arial"/>
          <w:b/>
          <w:bCs/>
          <w:noProof/>
          <w:rtl/>
        </w:rPr>
      </w:pPr>
      <w:r w:rsidRPr="0047587F">
        <w:rPr>
          <w:rFonts w:ascii="Arial" w:eastAsia="David" w:hAnsi="Arial" w:hint="cs"/>
          <w:noProof/>
          <w:rtl/>
        </w:rPr>
        <w:t>"</w:t>
      </w:r>
      <w:r w:rsidRPr="00AF6655">
        <w:rPr>
          <w:rFonts w:ascii="Arial" w:eastAsia="David" w:hAnsi="Arial"/>
          <w:b/>
          <w:bCs/>
          <w:noProof/>
          <w:rtl/>
        </w:rPr>
        <w:t xml:space="preserve">טענתו של הנאשם לאכיפה בררנית, מהולה בניצול לרעה של הטענה. האפשרות היחידה שהייתה בפני המשטרה לחלץ ראיות לגבי השאלה מי נשא והוביל את האקדח – הייתה הנאשם או מנסור. הנאשם שתק לכל אורך חקירתו במשטרה ולא טען כי מנסור הוא שהחזיק את האקדח על גופו. הנאשם גם לא העיד בפרשת ההגנה ואף בסיכומיו הסתפק בטענה כללית לפיה יש תרחיש חפות אפשרי – כי </w:t>
      </w:r>
      <w:r w:rsidRPr="00AF6655">
        <w:rPr>
          <w:rFonts w:ascii="Arial" w:eastAsia="David" w:hAnsi="Arial" w:hint="cs"/>
          <w:b/>
          <w:bCs/>
          <w:noProof/>
          <w:rtl/>
        </w:rPr>
        <w:t>'</w:t>
      </w:r>
      <w:r w:rsidRPr="00AF6655">
        <w:rPr>
          <w:rFonts w:ascii="Arial" w:eastAsia="David" w:hAnsi="Arial"/>
          <w:b/>
          <w:bCs/>
          <w:noProof/>
          <w:rtl/>
        </w:rPr>
        <w:t>אחר</w:t>
      </w:r>
      <w:r w:rsidRPr="00AF6655">
        <w:rPr>
          <w:rFonts w:ascii="Arial" w:eastAsia="David" w:hAnsi="Arial" w:hint="cs"/>
          <w:b/>
          <w:bCs/>
          <w:noProof/>
          <w:rtl/>
        </w:rPr>
        <w:t>'</w:t>
      </w:r>
      <w:r w:rsidRPr="00AF6655">
        <w:rPr>
          <w:rFonts w:ascii="Arial" w:eastAsia="David" w:hAnsi="Arial"/>
          <w:b/>
          <w:bCs/>
          <w:noProof/>
          <w:rtl/>
        </w:rPr>
        <w:t xml:space="preserve"> ביצע את העבירה. להתנהלות זו של הנאשם יש ביטוי במישור הראייתי, ולצד זאת יש לה מחיר מהותי במישור הטענה של הגנה מן הצדק. הנאשם לא יכול לטעון שהמאשימה נהגה באכיפה בררנית, כאשר מי שהכשיל את האכיפה השוויונית (מנקודת ראותו) הוא עצמו. יש לזכור כי הראיות שעל בסיסן הוגש כתב האישום היו בעיקר עדויות השוטרים שראו את הנאשם משליך את האקדח ומציאת האקדח. העובדה כי התעורר ספק בשאלה מי נשא והוביל את האקדח, לא מלמדת כי ההחלטה להגיש את כתב האישום נגד הנאשם לקתה בשרירות או באכיפה בררנית</w:t>
      </w:r>
      <w:r w:rsidRPr="0047587F">
        <w:rPr>
          <w:rFonts w:ascii="Arial" w:eastAsia="David" w:hAnsi="Arial" w:hint="cs"/>
          <w:noProof/>
          <w:rtl/>
        </w:rPr>
        <w:t>".</w:t>
      </w:r>
    </w:p>
    <w:p w14:paraId="63944B42" w14:textId="77777777" w:rsidR="00EF62C5" w:rsidRPr="00CB756C" w:rsidRDefault="00EF62C5" w:rsidP="00EF62C5">
      <w:pPr>
        <w:suppressLineNumbers/>
        <w:spacing w:line="360" w:lineRule="auto"/>
        <w:contextualSpacing/>
        <w:jc w:val="both"/>
        <w:rPr>
          <w:rFonts w:ascii="Arial" w:eastAsia="David" w:hAnsi="Arial"/>
          <w:b/>
          <w:bCs/>
          <w:noProof/>
        </w:rPr>
      </w:pPr>
    </w:p>
    <w:p w14:paraId="4B1816E4" w14:textId="77777777" w:rsidR="00EF62C5" w:rsidRDefault="00EF62C5" w:rsidP="00EF62C5">
      <w:pPr>
        <w:suppressLineNumbers/>
        <w:spacing w:line="360" w:lineRule="auto"/>
        <w:ind w:firstLine="567"/>
        <w:contextualSpacing/>
        <w:jc w:val="both"/>
        <w:rPr>
          <w:rFonts w:ascii="Arial" w:eastAsia="David" w:hAnsi="Arial"/>
          <w:noProof/>
          <w:rtl/>
        </w:rPr>
      </w:pPr>
      <w:r>
        <w:rPr>
          <w:rFonts w:ascii="Arial" w:eastAsia="David" w:hAnsi="Arial" w:hint="cs"/>
          <w:noProof/>
          <w:rtl/>
        </w:rPr>
        <w:t xml:space="preserve">בנסיבות אלו לתוצאת הכרעת הדין בהקשר לקבלת התרחיש החלופי, אין כל משקל שיכול לבוא לידי ביטוי בגזירת העונש, למצער </w:t>
      </w:r>
      <w:r>
        <w:rPr>
          <w:rFonts w:ascii="Arial" w:eastAsia="David" w:hAnsi="Arial"/>
          <w:noProof/>
          <w:rtl/>
        </w:rPr>
        <w:t>–</w:t>
      </w:r>
      <w:r>
        <w:rPr>
          <w:rFonts w:ascii="Arial" w:eastAsia="David" w:hAnsi="Arial" w:hint="cs"/>
          <w:noProof/>
          <w:rtl/>
        </w:rPr>
        <w:t xml:space="preserve"> המשקל שיש להביא בחשבון הוא מוגבל למדיי.</w:t>
      </w:r>
    </w:p>
    <w:p w14:paraId="76330297" w14:textId="77777777" w:rsidR="00EF62C5" w:rsidRDefault="00EF62C5" w:rsidP="00EF62C5">
      <w:pPr>
        <w:suppressLineNumbers/>
        <w:spacing w:line="360" w:lineRule="auto"/>
        <w:contextualSpacing/>
        <w:jc w:val="both"/>
        <w:rPr>
          <w:rFonts w:ascii="Arial" w:eastAsia="David" w:hAnsi="Arial"/>
          <w:noProof/>
        </w:rPr>
      </w:pPr>
    </w:p>
    <w:p w14:paraId="1DF74BED" w14:textId="77777777" w:rsidR="00EF62C5" w:rsidRPr="009B45F5" w:rsidRDefault="00EF62C5" w:rsidP="00EF62C5">
      <w:pPr>
        <w:suppressLineNumbers/>
        <w:spacing w:line="360" w:lineRule="auto"/>
        <w:contextualSpacing/>
        <w:jc w:val="both"/>
        <w:rPr>
          <w:rFonts w:ascii="Arial" w:eastAsia="David" w:hAnsi="Arial"/>
          <w:b/>
          <w:bCs/>
          <w:noProof/>
        </w:rPr>
      </w:pPr>
      <w:r w:rsidRPr="009B45F5">
        <w:rPr>
          <w:rFonts w:ascii="Arial" w:eastAsia="David" w:hAnsi="Arial" w:hint="cs"/>
          <w:b/>
          <w:bCs/>
          <w:noProof/>
          <w:rtl/>
        </w:rPr>
        <w:t>גזר הדין</w:t>
      </w:r>
    </w:p>
    <w:p w14:paraId="33287A52" w14:textId="77777777" w:rsidR="00EF62C5" w:rsidRDefault="00EF62C5" w:rsidP="00EF62C5">
      <w:pPr>
        <w:suppressLineNumbers/>
        <w:spacing w:line="360" w:lineRule="auto"/>
        <w:contextualSpacing/>
        <w:jc w:val="both"/>
        <w:rPr>
          <w:rFonts w:ascii="Arial" w:eastAsia="David" w:hAnsi="Arial"/>
          <w:noProof/>
        </w:rPr>
      </w:pPr>
    </w:p>
    <w:p w14:paraId="32E9709C" w14:textId="77777777" w:rsidR="00EF62C5" w:rsidRDefault="00EF62C5" w:rsidP="00EF62C5">
      <w:pPr>
        <w:numPr>
          <w:ilvl w:val="0"/>
          <w:numId w:val="1"/>
        </w:numPr>
        <w:suppressLineNumbers/>
        <w:spacing w:line="360" w:lineRule="auto"/>
        <w:contextualSpacing/>
        <w:jc w:val="both"/>
        <w:rPr>
          <w:rFonts w:ascii="Arial" w:eastAsia="David" w:hAnsi="Arial"/>
          <w:noProof/>
        </w:rPr>
      </w:pPr>
      <w:r>
        <w:rPr>
          <w:rFonts w:ascii="Arial" w:eastAsia="David" w:hAnsi="Arial" w:hint="cs"/>
          <w:noProof/>
          <w:rtl/>
        </w:rPr>
        <w:t>הליך זה מאגד שני אירועים שלכל אחד נקבע מתחם עונש הולם. לפנינו אפוא שתי דרכי פעולה אפשריות: ג</w:t>
      </w:r>
      <w:r w:rsidRPr="009155C9">
        <w:rPr>
          <w:rFonts w:ascii="Arial" w:eastAsia="David" w:hAnsi="Arial"/>
          <w:noProof/>
          <w:rtl/>
        </w:rPr>
        <w:t>ז</w:t>
      </w:r>
      <w:r>
        <w:rPr>
          <w:rFonts w:ascii="Arial" w:eastAsia="David" w:hAnsi="Arial" w:hint="cs"/>
          <w:noProof/>
          <w:rtl/>
        </w:rPr>
        <w:t xml:space="preserve">ירת </w:t>
      </w:r>
      <w:r w:rsidRPr="009155C9">
        <w:rPr>
          <w:rFonts w:ascii="Arial" w:eastAsia="David" w:hAnsi="Arial"/>
          <w:noProof/>
          <w:rtl/>
        </w:rPr>
        <w:t>עונש נפרד לכל אירוע או עונש כולל לכל האירועים</w:t>
      </w:r>
      <w:r>
        <w:rPr>
          <w:rFonts w:ascii="Arial" w:eastAsia="David" w:hAnsi="Arial" w:hint="cs"/>
          <w:noProof/>
          <w:rtl/>
        </w:rPr>
        <w:t xml:space="preserve">. ככל שייגזר עונש </w:t>
      </w:r>
      <w:r w:rsidRPr="009155C9">
        <w:rPr>
          <w:rFonts w:ascii="Arial" w:eastAsia="David" w:hAnsi="Arial"/>
          <w:noProof/>
          <w:rtl/>
        </w:rPr>
        <w:t>נפרד לכל אירוע</w:t>
      </w:r>
      <w:r>
        <w:rPr>
          <w:rFonts w:ascii="Arial" w:eastAsia="David" w:hAnsi="Arial" w:hint="cs"/>
          <w:noProof/>
          <w:rtl/>
        </w:rPr>
        <w:t xml:space="preserve"> יש לקבוע את </w:t>
      </w:r>
      <w:r w:rsidRPr="009155C9">
        <w:rPr>
          <w:rFonts w:ascii="Arial" w:eastAsia="David" w:hAnsi="Arial"/>
          <w:noProof/>
          <w:rtl/>
        </w:rPr>
        <w:t>מידת החפיפה בין העונשים או הצטברותם</w:t>
      </w:r>
      <w:r>
        <w:rPr>
          <w:rFonts w:ascii="Arial" w:eastAsia="David" w:hAnsi="Arial" w:hint="cs"/>
          <w:noProof/>
          <w:rtl/>
        </w:rPr>
        <w:t xml:space="preserve"> (</w:t>
      </w:r>
      <w:hyperlink r:id="rId80" w:history="1">
        <w:r w:rsidR="00402C3F" w:rsidRPr="00402C3F">
          <w:rPr>
            <w:rStyle w:val="Hyperlink"/>
            <w:rFonts w:ascii="Arial" w:eastAsia="David" w:hAnsi="Arial" w:hint="eastAsia"/>
            <w:noProof/>
            <w:rtl/>
          </w:rPr>
          <w:t>סעיף</w:t>
        </w:r>
        <w:r w:rsidR="00402C3F" w:rsidRPr="00402C3F">
          <w:rPr>
            <w:rStyle w:val="Hyperlink"/>
            <w:rFonts w:ascii="Arial" w:eastAsia="David" w:hAnsi="Arial"/>
            <w:noProof/>
            <w:rtl/>
          </w:rPr>
          <w:t xml:space="preserve"> 40יג(2)</w:t>
        </w:r>
      </w:hyperlink>
      <w:r>
        <w:rPr>
          <w:rFonts w:ascii="Arial" w:eastAsia="David" w:hAnsi="Arial" w:hint="cs"/>
          <w:noProof/>
          <w:rtl/>
        </w:rPr>
        <w:t xml:space="preserve"> ל</w:t>
      </w:r>
      <w:hyperlink r:id="rId81" w:history="1">
        <w:r w:rsidR="00780E32" w:rsidRPr="00780E32">
          <w:rPr>
            <w:rFonts w:ascii="Arial" w:eastAsia="David" w:hAnsi="Arial"/>
            <w:noProof/>
            <w:color w:val="0000FF"/>
            <w:u w:val="single"/>
            <w:rtl/>
          </w:rPr>
          <w:t>חוק העונשין</w:t>
        </w:r>
      </w:hyperlink>
      <w:r>
        <w:rPr>
          <w:rFonts w:ascii="Arial" w:eastAsia="David" w:hAnsi="Arial" w:hint="cs"/>
          <w:noProof/>
          <w:rtl/>
        </w:rPr>
        <w:t>)</w:t>
      </w:r>
      <w:r w:rsidRPr="009155C9">
        <w:rPr>
          <w:rFonts w:ascii="Arial" w:eastAsia="David" w:hAnsi="Arial"/>
          <w:noProof/>
          <w:rtl/>
        </w:rPr>
        <w:t>.</w:t>
      </w:r>
      <w:r>
        <w:rPr>
          <w:rFonts w:ascii="Arial" w:eastAsia="David" w:hAnsi="Arial" w:hint="cs"/>
          <w:noProof/>
          <w:rtl/>
        </w:rPr>
        <w:t xml:space="preserve"> בנסיבות מקרה זה, בו בהליך אחד ניתנה הכרעת דין מרשיעה לאחר שמיעת ראיות ובהליך שני הכרעת הדין הייתה בעקבות הודאה, נכון יותר לגזור עונש מאסר בפועל נפרד בכל הליך. אשר למאסר על תנאי, בכוונתי לקבוע עונש אחד לשני ההליכים, בהינתן שבשניהם הורשע הנאשם בעבירות נשק. אמנם בהליך המצורף לא הורשע הנאשם בעבירות של שיבוש מהלכי חקירה והפרת הוראה חוקית, אך ראוי כי גם בתיק זה יוטל עליו מאסר על תנאי בגין עבירות אלו, בשים לב להתנהלותו המתוארת בכתב האישום. </w:t>
      </w:r>
    </w:p>
    <w:p w14:paraId="4091DBD3" w14:textId="77777777" w:rsidR="00EF62C5" w:rsidRDefault="00EF62C5" w:rsidP="00EF62C5">
      <w:pPr>
        <w:suppressLineNumbers/>
        <w:spacing w:line="360" w:lineRule="auto"/>
        <w:contextualSpacing/>
        <w:jc w:val="both"/>
        <w:rPr>
          <w:rFonts w:ascii="Arial" w:eastAsia="David" w:hAnsi="Arial"/>
          <w:noProof/>
        </w:rPr>
      </w:pPr>
    </w:p>
    <w:p w14:paraId="36AB0E9C" w14:textId="77777777" w:rsidR="00EF62C5" w:rsidRDefault="00EF62C5" w:rsidP="00EF62C5">
      <w:pPr>
        <w:numPr>
          <w:ilvl w:val="0"/>
          <w:numId w:val="1"/>
        </w:numPr>
        <w:suppressLineNumbers/>
        <w:spacing w:line="360" w:lineRule="auto"/>
        <w:contextualSpacing/>
        <w:jc w:val="both"/>
        <w:rPr>
          <w:rFonts w:ascii="Arial" w:eastAsia="David" w:hAnsi="Arial"/>
          <w:noProof/>
        </w:rPr>
      </w:pPr>
      <w:r>
        <w:rPr>
          <w:rFonts w:ascii="Arial" w:eastAsia="David" w:hAnsi="Arial" w:hint="cs"/>
          <w:noProof/>
          <w:rtl/>
        </w:rPr>
        <w:t xml:space="preserve">לפיכך, אני גוזר על הנאשם את העונשים הבאים: </w:t>
      </w:r>
    </w:p>
    <w:p w14:paraId="5B5C5228" w14:textId="77777777" w:rsidR="00EF62C5" w:rsidRDefault="00EF62C5" w:rsidP="00EF62C5">
      <w:pPr>
        <w:pStyle w:val="a9"/>
        <w:tabs>
          <w:tab w:val="left" w:pos="1134"/>
        </w:tabs>
        <w:spacing w:line="360" w:lineRule="auto"/>
        <w:ind w:left="567"/>
        <w:rPr>
          <w:noProof/>
          <w:rtl/>
        </w:rPr>
      </w:pPr>
    </w:p>
    <w:p w14:paraId="7FC8C06A" w14:textId="77777777" w:rsidR="00EF62C5" w:rsidRPr="008103A1" w:rsidRDefault="00EF62C5" w:rsidP="00EF62C5">
      <w:pPr>
        <w:pStyle w:val="a9"/>
        <w:numPr>
          <w:ilvl w:val="0"/>
          <w:numId w:val="2"/>
        </w:numPr>
        <w:tabs>
          <w:tab w:val="left" w:pos="1134"/>
        </w:tabs>
        <w:spacing w:line="360" w:lineRule="auto"/>
        <w:ind w:left="567" w:firstLine="0"/>
        <w:jc w:val="both"/>
        <w:rPr>
          <w:b/>
          <w:bCs/>
          <w:noProof/>
        </w:rPr>
      </w:pPr>
      <w:r>
        <w:rPr>
          <w:rFonts w:hint="cs"/>
          <w:noProof/>
          <w:rtl/>
        </w:rPr>
        <w:t>ב</w:t>
      </w:r>
      <w:hyperlink r:id="rId82" w:history="1">
        <w:r w:rsidR="00780E32" w:rsidRPr="00780E32">
          <w:rPr>
            <w:b/>
            <w:bCs/>
            <w:noProof/>
            <w:color w:val="0000FF"/>
            <w:u w:val="single"/>
            <w:rtl/>
          </w:rPr>
          <w:t>ת"פ 41952-02-22</w:t>
        </w:r>
      </w:hyperlink>
      <w:r>
        <w:rPr>
          <w:rFonts w:hint="cs"/>
          <w:noProof/>
          <w:rtl/>
        </w:rPr>
        <w:t xml:space="preserve"> </w:t>
      </w:r>
      <w:r>
        <w:rPr>
          <w:noProof/>
          <w:rtl/>
        </w:rPr>
        <w:t>–</w:t>
      </w:r>
      <w:r>
        <w:rPr>
          <w:rFonts w:hint="cs"/>
          <w:noProof/>
          <w:rtl/>
        </w:rPr>
        <w:t xml:space="preserve"> </w:t>
      </w:r>
      <w:r w:rsidRPr="00F10163">
        <w:rPr>
          <w:noProof/>
          <w:rtl/>
        </w:rPr>
        <w:t xml:space="preserve">מאסר בפועל לתקופה של </w:t>
      </w:r>
      <w:r>
        <w:rPr>
          <w:rFonts w:hint="cs"/>
          <w:noProof/>
          <w:rtl/>
        </w:rPr>
        <w:t xml:space="preserve">30 חודשים; </w:t>
      </w:r>
      <w:r w:rsidRPr="00BF2F93">
        <w:rPr>
          <w:rFonts w:hint="cs"/>
          <w:noProof/>
          <w:rtl/>
        </w:rPr>
        <w:t>ו</w:t>
      </w:r>
      <w:r w:rsidRPr="00476404">
        <w:rPr>
          <w:rFonts w:hint="cs"/>
          <w:b/>
          <w:bCs/>
          <w:noProof/>
          <w:rtl/>
        </w:rPr>
        <w:t>ב</w:t>
      </w:r>
      <w:hyperlink r:id="rId83" w:history="1">
        <w:r w:rsidR="00780E32" w:rsidRPr="00780E32">
          <w:rPr>
            <w:b/>
            <w:bCs/>
            <w:noProof/>
            <w:color w:val="0000FF"/>
            <w:u w:val="single"/>
            <w:rtl/>
          </w:rPr>
          <w:t>ת"פ 55949-02-22</w:t>
        </w:r>
      </w:hyperlink>
      <w:r>
        <w:rPr>
          <w:rFonts w:hint="cs"/>
          <w:noProof/>
          <w:rtl/>
        </w:rPr>
        <w:t xml:space="preserve"> מאסר בפועל לתקופה של 18 חודשים. לגבי היחס בין תקופות המאסר, נוכח הנתונים שפורטו בהכרעת הדין ובפרט העובדה כי זו הרשעתו הראשונה של הנאשם, אני קובע כי העונשים יהיו מצטברים באופן חלקי. </w:t>
      </w:r>
    </w:p>
    <w:p w14:paraId="538A9453" w14:textId="77777777" w:rsidR="00EF62C5" w:rsidRPr="008103A1" w:rsidRDefault="00EF62C5" w:rsidP="00EF62C5">
      <w:pPr>
        <w:pStyle w:val="a9"/>
        <w:tabs>
          <w:tab w:val="left" w:pos="1134"/>
        </w:tabs>
        <w:spacing w:line="360" w:lineRule="auto"/>
        <w:ind w:left="567"/>
        <w:jc w:val="both"/>
        <w:rPr>
          <w:b/>
          <w:bCs/>
          <w:noProof/>
        </w:rPr>
      </w:pPr>
    </w:p>
    <w:p w14:paraId="06690AB3" w14:textId="77777777" w:rsidR="00EF62C5" w:rsidRPr="00476404" w:rsidRDefault="00EF62C5" w:rsidP="00EF62C5">
      <w:pPr>
        <w:pStyle w:val="a9"/>
        <w:tabs>
          <w:tab w:val="left" w:pos="1134"/>
        </w:tabs>
        <w:spacing w:line="360" w:lineRule="auto"/>
        <w:ind w:left="567"/>
        <w:jc w:val="both"/>
        <w:rPr>
          <w:b/>
          <w:bCs/>
          <w:noProof/>
        </w:rPr>
      </w:pPr>
      <w:r>
        <w:rPr>
          <w:noProof/>
          <w:rtl/>
        </w:rPr>
        <w:tab/>
      </w:r>
      <w:r>
        <w:rPr>
          <w:rFonts w:hint="cs"/>
          <w:noProof/>
          <w:rtl/>
        </w:rPr>
        <w:t xml:space="preserve">בהתאם לכך, </w:t>
      </w:r>
      <w:r>
        <w:rPr>
          <w:rFonts w:hint="cs"/>
          <w:b/>
          <w:bCs/>
          <w:noProof/>
          <w:u w:val="single"/>
          <w:rtl/>
        </w:rPr>
        <w:t xml:space="preserve">אני גוזר על הנאשם </w:t>
      </w:r>
      <w:r w:rsidRPr="00476404">
        <w:rPr>
          <w:rFonts w:hint="cs"/>
          <w:b/>
          <w:bCs/>
          <w:noProof/>
          <w:u w:val="single"/>
          <w:rtl/>
        </w:rPr>
        <w:t>מאסר בפועל לתקופה של 4</w:t>
      </w:r>
      <w:r>
        <w:rPr>
          <w:rFonts w:hint="cs"/>
          <w:b/>
          <w:bCs/>
          <w:noProof/>
          <w:u w:val="single"/>
          <w:rtl/>
        </w:rPr>
        <w:t>0</w:t>
      </w:r>
      <w:r w:rsidRPr="00476404">
        <w:rPr>
          <w:rFonts w:hint="cs"/>
          <w:b/>
          <w:bCs/>
          <w:noProof/>
          <w:u w:val="single"/>
          <w:rtl/>
        </w:rPr>
        <w:t xml:space="preserve"> חודשי</w:t>
      </w:r>
      <w:r>
        <w:rPr>
          <w:rFonts w:hint="cs"/>
          <w:b/>
          <w:bCs/>
          <w:noProof/>
          <w:u w:val="single"/>
          <w:rtl/>
        </w:rPr>
        <w:t xml:space="preserve">ם </w:t>
      </w:r>
      <w:r w:rsidRPr="00476404">
        <w:rPr>
          <w:rFonts w:hint="cs"/>
          <w:b/>
          <w:bCs/>
          <w:noProof/>
          <w:u w:val="single"/>
          <w:rtl/>
        </w:rPr>
        <w:t>בניכוי ימי מעצרו</w:t>
      </w:r>
      <w:r>
        <w:rPr>
          <w:rFonts w:hint="cs"/>
          <w:b/>
          <w:bCs/>
          <w:noProof/>
          <w:u w:val="single"/>
          <w:rtl/>
        </w:rPr>
        <w:t xml:space="preserve"> מיום 7.2.2022 .</w:t>
      </w:r>
    </w:p>
    <w:p w14:paraId="06CC20A4" w14:textId="77777777" w:rsidR="00EF62C5" w:rsidRPr="008103A1" w:rsidRDefault="00EF62C5" w:rsidP="00EF62C5">
      <w:pPr>
        <w:pStyle w:val="a9"/>
        <w:tabs>
          <w:tab w:val="left" w:pos="1134"/>
        </w:tabs>
        <w:spacing w:line="360" w:lineRule="auto"/>
        <w:ind w:left="567"/>
        <w:jc w:val="both"/>
      </w:pPr>
    </w:p>
    <w:p w14:paraId="600CDC1D" w14:textId="77777777" w:rsidR="00EF62C5" w:rsidRPr="00ED6DCA" w:rsidRDefault="00EF62C5" w:rsidP="00EF62C5">
      <w:pPr>
        <w:pStyle w:val="a9"/>
        <w:numPr>
          <w:ilvl w:val="0"/>
          <w:numId w:val="2"/>
        </w:numPr>
        <w:tabs>
          <w:tab w:val="left" w:pos="1134"/>
        </w:tabs>
        <w:spacing w:line="360" w:lineRule="auto"/>
        <w:ind w:left="567" w:firstLine="0"/>
        <w:jc w:val="both"/>
        <w:rPr>
          <w:noProof/>
        </w:rPr>
      </w:pPr>
      <w:r w:rsidRPr="00ED6DCA">
        <w:rPr>
          <w:noProof/>
          <w:rtl/>
        </w:rPr>
        <w:t>מאסר על תנאי למשך 1</w:t>
      </w:r>
      <w:r>
        <w:rPr>
          <w:rFonts w:hint="cs"/>
          <w:noProof/>
          <w:rtl/>
        </w:rPr>
        <w:t>8</w:t>
      </w:r>
      <w:r w:rsidRPr="00ED6DCA">
        <w:rPr>
          <w:noProof/>
          <w:rtl/>
        </w:rPr>
        <w:t xml:space="preserve"> חודשים והתנאי כי הנאשם לא יעבור בתוך שלוש שנים עבירת נשק; ואולם אם יורשע בעבירת נשק מסוג עוון יישא ב- </w:t>
      </w:r>
      <w:r>
        <w:rPr>
          <w:rFonts w:hint="cs"/>
          <w:noProof/>
          <w:rtl/>
        </w:rPr>
        <w:t>10</w:t>
      </w:r>
      <w:r w:rsidRPr="00ED6DCA">
        <w:rPr>
          <w:noProof/>
          <w:rtl/>
        </w:rPr>
        <w:t xml:space="preserve"> חודשים בלבד מתוכם. </w:t>
      </w:r>
    </w:p>
    <w:p w14:paraId="686528A3" w14:textId="77777777" w:rsidR="00EF62C5" w:rsidRDefault="00EF62C5" w:rsidP="00EF62C5">
      <w:pPr>
        <w:pStyle w:val="a9"/>
        <w:tabs>
          <w:tab w:val="left" w:pos="1134"/>
        </w:tabs>
        <w:spacing w:line="360" w:lineRule="auto"/>
        <w:ind w:left="567"/>
        <w:jc w:val="both"/>
      </w:pPr>
    </w:p>
    <w:p w14:paraId="0BD4E8D5" w14:textId="77777777" w:rsidR="00EF62C5" w:rsidRDefault="00EF62C5" w:rsidP="00EF62C5">
      <w:pPr>
        <w:pStyle w:val="a9"/>
        <w:numPr>
          <w:ilvl w:val="0"/>
          <w:numId w:val="2"/>
        </w:numPr>
        <w:tabs>
          <w:tab w:val="left" w:pos="1134"/>
        </w:tabs>
        <w:spacing w:line="360" w:lineRule="auto"/>
        <w:ind w:left="567" w:firstLine="0"/>
        <w:jc w:val="both"/>
      </w:pPr>
      <w:r>
        <w:rPr>
          <w:rFonts w:hint="cs"/>
          <w:noProof/>
          <w:rtl/>
        </w:rPr>
        <w:t xml:space="preserve">מאסר על תנאי למשך </w:t>
      </w:r>
      <w:r>
        <w:rPr>
          <w:rFonts w:hint="cs"/>
          <w:rtl/>
        </w:rPr>
        <w:t xml:space="preserve">6 חודשים </w:t>
      </w:r>
      <w:r>
        <w:rPr>
          <w:rtl/>
        </w:rPr>
        <w:t xml:space="preserve">והתנאי כי </w:t>
      </w:r>
      <w:r>
        <w:rPr>
          <w:rFonts w:hint="cs"/>
          <w:rtl/>
        </w:rPr>
        <w:t xml:space="preserve">הנאשם </w:t>
      </w:r>
      <w:r>
        <w:rPr>
          <w:rtl/>
        </w:rPr>
        <w:t xml:space="preserve">לא יעבור בתוך שלוש שנים, עבירה </w:t>
      </w:r>
      <w:r>
        <w:rPr>
          <w:rFonts w:hint="cs"/>
          <w:rtl/>
        </w:rPr>
        <w:t>של שיבוש מהלכי משפט או הפרת הוראה חוקית.</w:t>
      </w:r>
    </w:p>
    <w:p w14:paraId="01F4F146" w14:textId="77777777" w:rsidR="00EF62C5" w:rsidRDefault="00EF62C5" w:rsidP="00EF62C5">
      <w:pPr>
        <w:pStyle w:val="a9"/>
        <w:rPr>
          <w:noProof/>
          <w:rtl/>
        </w:rPr>
      </w:pPr>
    </w:p>
    <w:p w14:paraId="2CD8BF41" w14:textId="77777777" w:rsidR="00EF62C5" w:rsidRPr="00FD2717" w:rsidRDefault="00EF62C5" w:rsidP="00EF62C5">
      <w:pPr>
        <w:pStyle w:val="a9"/>
        <w:rPr>
          <w:noProof/>
          <w:rtl/>
        </w:rPr>
      </w:pPr>
    </w:p>
    <w:p w14:paraId="122DFCA1" w14:textId="77777777" w:rsidR="00EF62C5" w:rsidRPr="00F10163" w:rsidRDefault="00EF62C5" w:rsidP="00EF62C5">
      <w:pPr>
        <w:spacing w:line="360" w:lineRule="auto"/>
        <w:rPr>
          <w:b/>
          <w:bCs/>
          <w:noProof/>
        </w:rPr>
      </w:pPr>
      <w:r w:rsidRPr="00F10163">
        <w:rPr>
          <w:b/>
          <w:bCs/>
          <w:noProof/>
          <w:rtl/>
        </w:rPr>
        <w:t>זכות ערעור לבית המשפט העליון תוך 45 ימים מהיום.</w:t>
      </w:r>
    </w:p>
    <w:p w14:paraId="09417912" w14:textId="77777777" w:rsidR="00EF62C5" w:rsidRPr="00780E32" w:rsidRDefault="00780E32" w:rsidP="00EF62C5">
      <w:pPr>
        <w:rPr>
          <w:noProof/>
          <w:color w:val="FFFFFF"/>
          <w:sz w:val="2"/>
          <w:szCs w:val="2"/>
          <w:rtl/>
        </w:rPr>
      </w:pPr>
      <w:r w:rsidRPr="00780E32">
        <w:rPr>
          <w:noProof/>
          <w:color w:val="FFFFFF"/>
          <w:sz w:val="2"/>
          <w:szCs w:val="2"/>
          <w:rtl/>
        </w:rPr>
        <w:t>5129371</w:t>
      </w:r>
    </w:p>
    <w:p w14:paraId="2FCE4D14" w14:textId="77777777" w:rsidR="00EF62C5" w:rsidRPr="00780E32" w:rsidRDefault="00780E32" w:rsidP="00EF62C5">
      <w:pPr>
        <w:rPr>
          <w:rFonts w:ascii="Arial" w:hAnsi="Arial"/>
          <w:b/>
          <w:bCs/>
          <w:color w:val="FFFFFF"/>
          <w:sz w:val="2"/>
          <w:szCs w:val="2"/>
          <w:rtl/>
        </w:rPr>
      </w:pPr>
      <w:r w:rsidRPr="00780E32">
        <w:rPr>
          <w:rFonts w:ascii="Arial" w:hAnsi="Arial"/>
          <w:b/>
          <w:bCs/>
          <w:color w:val="FFFFFF"/>
          <w:sz w:val="2"/>
          <w:szCs w:val="2"/>
          <w:rtl/>
        </w:rPr>
        <w:t>54678313</w:t>
      </w:r>
    </w:p>
    <w:p w14:paraId="186FD22F" w14:textId="77777777" w:rsidR="00EF62C5" w:rsidRPr="000F2247" w:rsidRDefault="00EF62C5" w:rsidP="00EF62C5">
      <w:pPr>
        <w:rPr>
          <w:rFonts w:ascii="Arial" w:hAnsi="Arial"/>
          <w:b/>
          <w:bCs/>
          <w:sz w:val="26"/>
          <w:szCs w:val="26"/>
          <w:rtl/>
        </w:rPr>
      </w:pPr>
    </w:p>
    <w:p w14:paraId="14DF075B" w14:textId="77777777" w:rsidR="00EF62C5" w:rsidRPr="000F2247" w:rsidRDefault="00780E32" w:rsidP="00EF62C5">
      <w:pPr>
        <w:rPr>
          <w:rFonts w:ascii="Arial" w:hAnsi="Arial"/>
          <w:b/>
          <w:bCs/>
          <w:sz w:val="26"/>
          <w:szCs w:val="26"/>
          <w:rtl/>
        </w:rPr>
      </w:pPr>
      <w:bookmarkStart w:id="8" w:name="Nitan"/>
      <w:r>
        <w:rPr>
          <w:rFonts w:ascii="Arial" w:hAnsi="Arial"/>
          <w:b/>
          <w:bCs/>
          <w:sz w:val="26"/>
          <w:szCs w:val="26"/>
          <w:rtl/>
        </w:rPr>
        <w:t xml:space="preserve">ניתן היום,  כ"ה שבט תשפ"ג, 16 פברואר 2023, בנוכחות הנאשם וב"כ הצדדים. </w:t>
      </w:r>
      <w:bookmarkEnd w:id="8"/>
    </w:p>
    <w:p w14:paraId="4B29DCF7" w14:textId="77777777" w:rsidR="00780E32" w:rsidRDefault="00780E32" w:rsidP="00780E32">
      <w:pPr>
        <w:rPr>
          <w:rtl/>
        </w:rPr>
      </w:pPr>
    </w:p>
    <w:p w14:paraId="200EBE55" w14:textId="77777777" w:rsidR="00780E32" w:rsidRDefault="00780E32" w:rsidP="00780E32">
      <w:pPr>
        <w:jc w:val="center"/>
        <w:rPr>
          <w:color w:val="0000FF"/>
          <w:u w:val="single"/>
        </w:rPr>
      </w:pPr>
      <w:hyperlink r:id="rId84" w:history="1">
        <w:r>
          <w:rPr>
            <w:color w:val="0000FF"/>
            <w:u w:val="single"/>
            <w:rtl/>
          </w:rPr>
          <w:t>בעניין עריכה ושינויים במסמכי פסיקה, חקיקה ועוד באתר נבו – הקש כאן</w:t>
        </w:r>
      </w:hyperlink>
    </w:p>
    <w:p w14:paraId="70A88B1B" w14:textId="77777777" w:rsidR="00402C3F" w:rsidRPr="00402C3F" w:rsidRDefault="00402C3F" w:rsidP="00402C3F">
      <w:pPr>
        <w:keepNext/>
        <w:rPr>
          <w:rFonts w:ascii="David" w:hAnsi="David"/>
          <w:color w:val="000000"/>
          <w:sz w:val="22"/>
          <w:szCs w:val="22"/>
          <w:rtl/>
        </w:rPr>
      </w:pPr>
    </w:p>
    <w:p w14:paraId="0CED8EE9" w14:textId="77777777" w:rsidR="00402C3F" w:rsidRPr="00402C3F" w:rsidRDefault="00402C3F" w:rsidP="00402C3F">
      <w:pPr>
        <w:keepNext/>
        <w:rPr>
          <w:rFonts w:ascii="David" w:hAnsi="David"/>
          <w:color w:val="000000"/>
          <w:sz w:val="22"/>
          <w:szCs w:val="22"/>
          <w:rtl/>
        </w:rPr>
      </w:pPr>
      <w:r w:rsidRPr="00402C3F">
        <w:rPr>
          <w:rFonts w:ascii="David" w:hAnsi="David"/>
          <w:color w:val="000000"/>
          <w:sz w:val="22"/>
          <w:szCs w:val="22"/>
          <w:rtl/>
        </w:rPr>
        <w:t>מוחמד עלי 54678313-/</w:t>
      </w:r>
    </w:p>
    <w:p w14:paraId="10903D1D" w14:textId="77777777" w:rsidR="00780E32" w:rsidRPr="00780E32" w:rsidRDefault="00402C3F" w:rsidP="00402C3F">
      <w:pPr>
        <w:rPr>
          <w:color w:val="0000FF"/>
          <w:u w:val="single"/>
        </w:rPr>
      </w:pPr>
      <w:r w:rsidRPr="00402C3F">
        <w:rPr>
          <w:color w:val="000000"/>
          <w:u w:val="single"/>
          <w:rtl/>
        </w:rPr>
        <w:t>נוסח מסמך זה כפוף לשינויי ניסוח ועריכה</w:t>
      </w:r>
    </w:p>
    <w:sectPr w:rsidR="00780E32" w:rsidRPr="00780E32" w:rsidSect="00402C3F">
      <w:headerReference w:type="even" r:id="rId85"/>
      <w:headerReference w:type="default" r:id="rId86"/>
      <w:footerReference w:type="even" r:id="rId87"/>
      <w:footerReference w:type="default" r:id="rId8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1661CE" w14:textId="77777777" w:rsidR="00497849" w:rsidRDefault="00497849" w:rsidP="005548D1">
      <w:r>
        <w:separator/>
      </w:r>
    </w:p>
  </w:endnote>
  <w:endnote w:type="continuationSeparator" w:id="0">
    <w:p w14:paraId="50086BA9" w14:textId="77777777" w:rsidR="00497849" w:rsidRDefault="00497849" w:rsidP="00554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7B7913" w14:textId="77777777" w:rsidR="00402C3F" w:rsidRDefault="00402C3F" w:rsidP="00402C3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6E0A20C" w14:textId="77777777" w:rsidR="00286850" w:rsidRPr="00402C3F" w:rsidRDefault="00402C3F" w:rsidP="00402C3F">
    <w:pPr>
      <w:pStyle w:val="a5"/>
      <w:pBdr>
        <w:top w:val="single" w:sz="4" w:space="1" w:color="auto"/>
        <w:between w:val="single" w:sz="4" w:space="0" w:color="auto"/>
      </w:pBdr>
      <w:spacing w:after="60"/>
      <w:jc w:val="center"/>
      <w:rPr>
        <w:rFonts w:ascii="FrankRuehl" w:hAnsi="FrankRuehl" w:cs="FrankRuehl"/>
        <w:color w:val="000000"/>
      </w:rPr>
    </w:pPr>
    <w:r w:rsidRPr="00402C3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A175C" w14:textId="77777777" w:rsidR="00402C3F" w:rsidRDefault="00402C3F" w:rsidP="00402C3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00A0E">
      <w:rPr>
        <w:rFonts w:ascii="FrankRuehl" w:hAnsi="FrankRuehl" w:cs="FrankRuehl"/>
        <w:noProof/>
        <w:rtl/>
      </w:rPr>
      <w:t>1</w:t>
    </w:r>
    <w:r>
      <w:rPr>
        <w:rFonts w:ascii="FrankRuehl" w:hAnsi="FrankRuehl" w:cs="FrankRuehl"/>
        <w:rtl/>
      </w:rPr>
      <w:fldChar w:fldCharType="end"/>
    </w:r>
  </w:p>
  <w:p w14:paraId="1A8F22E7" w14:textId="77777777" w:rsidR="00286850" w:rsidRPr="00402C3F" w:rsidRDefault="00402C3F" w:rsidP="00402C3F">
    <w:pPr>
      <w:pStyle w:val="a5"/>
      <w:pBdr>
        <w:top w:val="single" w:sz="4" w:space="1" w:color="auto"/>
        <w:between w:val="single" w:sz="4" w:space="0" w:color="auto"/>
      </w:pBdr>
      <w:spacing w:after="60"/>
      <w:jc w:val="center"/>
      <w:rPr>
        <w:rFonts w:ascii="FrankRuehl" w:hAnsi="FrankRuehl" w:cs="FrankRuehl"/>
        <w:color w:val="000000"/>
      </w:rPr>
    </w:pPr>
    <w:r w:rsidRPr="00402C3F">
      <w:rPr>
        <w:rFonts w:ascii="FrankRuehl" w:hAnsi="FrankRuehl" w:cs="FrankRuehl"/>
        <w:color w:val="000000"/>
      </w:rPr>
      <w:pict w14:anchorId="139ABE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AAFF17" w14:textId="77777777" w:rsidR="00497849" w:rsidRDefault="00497849" w:rsidP="005548D1">
      <w:r>
        <w:separator/>
      </w:r>
    </w:p>
  </w:footnote>
  <w:footnote w:type="continuationSeparator" w:id="0">
    <w:p w14:paraId="41CC4949" w14:textId="77777777" w:rsidR="00497849" w:rsidRDefault="00497849" w:rsidP="005548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EB12A" w14:textId="77777777" w:rsidR="00780E32" w:rsidRPr="00402C3F" w:rsidRDefault="00402C3F" w:rsidP="00402C3F">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(חי') 41952-02-22</w:t>
    </w:r>
    <w:r>
      <w:rPr>
        <w:rFonts w:ascii="David" w:hAnsi="David"/>
        <w:color w:val="000000"/>
        <w:sz w:val="22"/>
        <w:szCs w:val="22"/>
        <w:rtl/>
      </w:rPr>
      <w:tab/>
      <w:t xml:space="preserve"> מדינת-ישראל נ' עיסאם אמארה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B4F97" w14:textId="77777777" w:rsidR="00780E32" w:rsidRPr="00402C3F" w:rsidRDefault="00402C3F" w:rsidP="00402C3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41952-02-22</w:t>
    </w:r>
    <w:r>
      <w:rPr>
        <w:rFonts w:ascii="David" w:hAnsi="David"/>
        <w:color w:val="000000"/>
        <w:sz w:val="22"/>
        <w:szCs w:val="22"/>
        <w:rtl/>
      </w:rPr>
      <w:tab/>
      <w:t xml:space="preserve"> מדינת-ישראל נ' עיסאם אמארה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6031C"/>
    <w:multiLevelType w:val="hybridMultilevel"/>
    <w:tmpl w:val="9288E8B8"/>
    <w:lvl w:ilvl="0" w:tplc="1454266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B905FEC"/>
    <w:multiLevelType w:val="hybridMultilevel"/>
    <w:tmpl w:val="67E07AA2"/>
    <w:lvl w:ilvl="0" w:tplc="DDB032FA">
      <w:start w:val="1"/>
      <w:numFmt w:val="decimal"/>
      <w:lvlText w:val="%1."/>
      <w:lvlJc w:val="left"/>
      <w:pPr>
        <w:tabs>
          <w:tab w:val="num" w:pos="567"/>
        </w:tabs>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936237">
    <w:abstractNumId w:val="1"/>
  </w:num>
  <w:num w:numId="2" w16cid:durableId="1380783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F62C5"/>
    <w:rsid w:val="000E0E07"/>
    <w:rsid w:val="001677BD"/>
    <w:rsid w:val="001B5A3B"/>
    <w:rsid w:val="00200A0E"/>
    <w:rsid w:val="00244FEF"/>
    <w:rsid w:val="00286850"/>
    <w:rsid w:val="00402C3F"/>
    <w:rsid w:val="00497849"/>
    <w:rsid w:val="004E6EB8"/>
    <w:rsid w:val="005548D1"/>
    <w:rsid w:val="00780E32"/>
    <w:rsid w:val="00875066"/>
    <w:rsid w:val="00EF097A"/>
    <w:rsid w:val="00EF62C5"/>
    <w:rsid w:val="00F57BB9"/>
    <w:rsid w:val="00F842A4"/>
    <w:rsid w:val="00FE40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87E4174"/>
  <w15:chartTrackingRefBased/>
  <w15:docId w15:val="{9397F996-0C4E-4A30-8BC4-C195AF11B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F62C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F62C5"/>
    <w:pPr>
      <w:tabs>
        <w:tab w:val="center" w:pos="4153"/>
        <w:tab w:val="right" w:pos="8306"/>
      </w:tabs>
    </w:pPr>
  </w:style>
  <w:style w:type="character" w:customStyle="1" w:styleId="a4">
    <w:name w:val="כותרת עליונה תו"/>
    <w:link w:val="a3"/>
    <w:rsid w:val="00EF62C5"/>
    <w:rPr>
      <w:rFonts w:ascii="Times New Roman" w:eastAsia="Times New Roman" w:hAnsi="Times New Roman" w:cs="David"/>
      <w:sz w:val="24"/>
      <w:szCs w:val="24"/>
    </w:rPr>
  </w:style>
  <w:style w:type="paragraph" w:styleId="a5">
    <w:name w:val="footer"/>
    <w:basedOn w:val="a"/>
    <w:link w:val="a6"/>
    <w:rsid w:val="00EF62C5"/>
    <w:pPr>
      <w:tabs>
        <w:tab w:val="center" w:pos="4153"/>
        <w:tab w:val="right" w:pos="8306"/>
      </w:tabs>
    </w:pPr>
  </w:style>
  <w:style w:type="character" w:customStyle="1" w:styleId="a6">
    <w:name w:val="כותרת תחתונה תו"/>
    <w:link w:val="a5"/>
    <w:rsid w:val="00EF62C5"/>
    <w:rPr>
      <w:rFonts w:ascii="Times New Roman" w:eastAsia="Times New Roman" w:hAnsi="Times New Roman" w:cs="David"/>
      <w:sz w:val="24"/>
      <w:szCs w:val="24"/>
    </w:rPr>
  </w:style>
  <w:style w:type="table" w:styleId="a7">
    <w:name w:val="Table Grid"/>
    <w:basedOn w:val="a1"/>
    <w:rsid w:val="00EF62C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F62C5"/>
  </w:style>
  <w:style w:type="paragraph" w:styleId="a9">
    <w:name w:val="List Paragraph"/>
    <w:basedOn w:val="a"/>
    <w:qFormat/>
    <w:rsid w:val="00EF62C5"/>
    <w:pPr>
      <w:ind w:left="720"/>
      <w:contextualSpacing/>
    </w:pPr>
  </w:style>
  <w:style w:type="character" w:styleId="Hyperlink">
    <w:name w:val="Hyperlink"/>
    <w:rsid w:val="00780E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244" TargetMode="External"/><Relationship Id="rId21" Type="http://schemas.openxmlformats.org/officeDocument/2006/relationships/hyperlink" Target="http://www.nevo.co.il/case/28326890" TargetMode="External"/><Relationship Id="rId42" Type="http://schemas.openxmlformats.org/officeDocument/2006/relationships/hyperlink" Target="http://www.nevo.co.il/case/17009738" TargetMode="External"/><Relationship Id="rId47" Type="http://schemas.openxmlformats.org/officeDocument/2006/relationships/hyperlink" Target="http://www.nevo.co.il/law/70301" TargetMode="External"/><Relationship Id="rId63" Type="http://schemas.openxmlformats.org/officeDocument/2006/relationships/hyperlink" Target="http://www.nevo.co.il/law/70301" TargetMode="External"/><Relationship Id="rId68" Type="http://schemas.openxmlformats.org/officeDocument/2006/relationships/hyperlink" Target="http://www.nevo.co.il/law/70301" TargetMode="External"/><Relationship Id="rId84" Type="http://schemas.openxmlformats.org/officeDocument/2006/relationships/hyperlink" Target="http://www.nevo.co.il/advertisements/nevo-100.doc" TargetMode="External"/><Relationship Id="rId89" Type="http://schemas.openxmlformats.org/officeDocument/2006/relationships/fontTable" Target="fontTable.xml"/><Relationship Id="rId16" Type="http://schemas.openxmlformats.org/officeDocument/2006/relationships/hyperlink" Target="http://www.nevo.co.il/law/70301/244" TargetMode="External"/><Relationship Id="rId11" Type="http://schemas.openxmlformats.org/officeDocument/2006/relationships/hyperlink" Target="http://www.nevo.co.il/law/70301/40i"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 TargetMode="External"/><Relationship Id="rId53" Type="http://schemas.openxmlformats.org/officeDocument/2006/relationships/hyperlink" Target="http://www.nevo.co.il/case/25824863" TargetMode="External"/><Relationship Id="rId58" Type="http://schemas.openxmlformats.org/officeDocument/2006/relationships/hyperlink" Target="http://www.nevo.co.il/case/27734980" TargetMode="External"/><Relationship Id="rId74" Type="http://schemas.openxmlformats.org/officeDocument/2006/relationships/hyperlink" Target="http://www.nevo.co.il/law/70301/40i.a.6" TargetMode="External"/><Relationship Id="rId79" Type="http://schemas.openxmlformats.org/officeDocument/2006/relationships/hyperlink" Target="http://www.nevo.co.il/law/70301" TargetMode="External"/><Relationship Id="rId5" Type="http://schemas.openxmlformats.org/officeDocument/2006/relationships/footnotes" Target="footnotes.xml"/><Relationship Id="rId90" Type="http://schemas.openxmlformats.org/officeDocument/2006/relationships/theme" Target="theme/theme1.xml"/><Relationship Id="rId14" Type="http://schemas.openxmlformats.org/officeDocument/2006/relationships/hyperlink" Target="http://www.nevo.co.il/law/70301/144.b" TargetMode="External"/><Relationship Id="rId22" Type="http://schemas.openxmlformats.org/officeDocument/2006/relationships/hyperlink" Target="http://www.nevo.co.il/case/28344024" TargetMode="External"/><Relationship Id="rId27" Type="http://schemas.openxmlformats.org/officeDocument/2006/relationships/hyperlink" Target="http://www.nevo.co.il/law/70301/287.a" TargetMode="External"/><Relationship Id="rId30" Type="http://schemas.openxmlformats.org/officeDocument/2006/relationships/hyperlink" Target="http://www.nevo.co.il/law/70301/144.b"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27513365" TargetMode="External"/><Relationship Id="rId48" Type="http://schemas.openxmlformats.org/officeDocument/2006/relationships/hyperlink" Target="http://www.nevo.co.il/case/10485615" TargetMode="External"/><Relationship Id="rId56" Type="http://schemas.openxmlformats.org/officeDocument/2006/relationships/hyperlink" Target="http://www.nevo.co.il/case/26905927" TargetMode="External"/><Relationship Id="rId64" Type="http://schemas.openxmlformats.org/officeDocument/2006/relationships/hyperlink" Target="http://www.nevo.co.il/case/20513526" TargetMode="External"/><Relationship Id="rId69" Type="http://schemas.openxmlformats.org/officeDocument/2006/relationships/hyperlink" Target="http://www.nevo.co.il/case/28243273" TargetMode="External"/><Relationship Id="rId77" Type="http://schemas.openxmlformats.org/officeDocument/2006/relationships/hyperlink" Target="http://www.nevo.co.il/law/70301" TargetMode="External"/><Relationship Id="rId8" Type="http://schemas.openxmlformats.org/officeDocument/2006/relationships/hyperlink" Target="http://www.nevo.co.il/law/70301/31" TargetMode="External"/><Relationship Id="rId51" Type="http://schemas.openxmlformats.org/officeDocument/2006/relationships/hyperlink" Target="http://www.nevo.co.il/law/70301/144.g" TargetMode="External"/><Relationship Id="rId72" Type="http://schemas.openxmlformats.org/officeDocument/2006/relationships/hyperlink" Target="http://www.nevo.co.il/case/27911655" TargetMode="External"/><Relationship Id="rId80" Type="http://schemas.openxmlformats.org/officeDocument/2006/relationships/hyperlink" Target="http://www.nevo.co.il/law/70301/40jc.2" TargetMode="External"/><Relationship Id="rId85"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40i.a" TargetMode="External"/><Relationship Id="rId17" Type="http://schemas.openxmlformats.org/officeDocument/2006/relationships/hyperlink" Target="http://www.nevo.co.il/law/70301/287.a"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40jc" TargetMode="External"/><Relationship Id="rId46" Type="http://schemas.openxmlformats.org/officeDocument/2006/relationships/hyperlink" Target="http://www.nevo.co.il/law/70301/144.b" TargetMode="External"/><Relationship Id="rId59" Type="http://schemas.openxmlformats.org/officeDocument/2006/relationships/hyperlink" Target="http://www.nevo.co.il/case/28200855" TargetMode="External"/><Relationship Id="rId67" Type="http://schemas.openxmlformats.org/officeDocument/2006/relationships/hyperlink" Target="http://www.nevo.co.il/case/28883087" TargetMode="External"/><Relationship Id="rId20" Type="http://schemas.openxmlformats.org/officeDocument/2006/relationships/hyperlink" Target="http://www.nevo.co.il/law/70301/40jc.2" TargetMode="External"/><Relationship Id="rId41" Type="http://schemas.openxmlformats.org/officeDocument/2006/relationships/hyperlink" Target="http://www.nevo.co.il/case/17023776" TargetMode="External"/><Relationship Id="rId54" Type="http://schemas.openxmlformats.org/officeDocument/2006/relationships/hyperlink" Target="http://www.nevo.co.il/case/27309272" TargetMode="External"/><Relationship Id="rId62" Type="http://schemas.openxmlformats.org/officeDocument/2006/relationships/hyperlink" Target="http://www.nevo.co.il/law/70301/32" TargetMode="External"/><Relationship Id="rId70" Type="http://schemas.openxmlformats.org/officeDocument/2006/relationships/hyperlink" Target="http://www.nevo.co.il/case/21474168" TargetMode="External"/><Relationship Id="rId75" Type="http://schemas.openxmlformats.org/officeDocument/2006/relationships/hyperlink" Target="http://www.nevo.co.il/law/70301" TargetMode="External"/><Relationship Id="rId83" Type="http://schemas.openxmlformats.org/officeDocument/2006/relationships/hyperlink" Target="http://www.nevo.co.il/case/28344024" TargetMode="External"/><Relationship Id="rId88"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g" TargetMode="External"/><Relationship Id="rId23" Type="http://schemas.openxmlformats.org/officeDocument/2006/relationships/hyperlink" Target="http://www.nevo.co.il/case/28326890" TargetMode="External"/><Relationship Id="rId28" Type="http://schemas.openxmlformats.org/officeDocument/2006/relationships/hyperlink" Target="http://www.nevo.co.il/case/28217960" TargetMode="External"/><Relationship Id="rId36" Type="http://schemas.openxmlformats.org/officeDocument/2006/relationships/hyperlink" Target="http://www.nevo.co.il/law/70301/40i" TargetMode="External"/><Relationship Id="rId49" Type="http://schemas.openxmlformats.org/officeDocument/2006/relationships/hyperlink" Target="http://www.nevo.co.il/case/5852404" TargetMode="External"/><Relationship Id="rId57" Type="http://schemas.openxmlformats.org/officeDocument/2006/relationships/hyperlink" Target="http://www.nevo.co.il/case/27708542" TargetMode="External"/><Relationship Id="rId10" Type="http://schemas.openxmlformats.org/officeDocument/2006/relationships/hyperlink" Target="http://www.nevo.co.il/law/70301/40c" TargetMode="External"/><Relationship Id="rId31" Type="http://schemas.openxmlformats.org/officeDocument/2006/relationships/hyperlink" Target="http://www.nevo.co.il/law/70301/31" TargetMode="External"/><Relationship Id="rId44" Type="http://schemas.openxmlformats.org/officeDocument/2006/relationships/hyperlink" Target="http://www.nevo.co.il/case/20033641" TargetMode="External"/><Relationship Id="rId52" Type="http://schemas.openxmlformats.org/officeDocument/2006/relationships/hyperlink" Target="http://www.nevo.co.il/law/70301" TargetMode="External"/><Relationship Id="rId60" Type="http://schemas.openxmlformats.org/officeDocument/2006/relationships/hyperlink" Target="http://www.nevo.co.il/case/28266138" TargetMode="External"/><Relationship Id="rId65" Type="http://schemas.openxmlformats.org/officeDocument/2006/relationships/hyperlink" Target="http://www.nevo.co.il/case/5833181" TargetMode="External"/><Relationship Id="rId73" Type="http://schemas.openxmlformats.org/officeDocument/2006/relationships/hyperlink" Target="http://www.nevo.co.il/case/28380863" TargetMode="External"/><Relationship Id="rId78" Type="http://schemas.openxmlformats.org/officeDocument/2006/relationships/hyperlink" Target="http://www.nevo.co.il/law/70301/40ja" TargetMode="External"/><Relationship Id="rId81" Type="http://schemas.openxmlformats.org/officeDocument/2006/relationships/hyperlink" Target="http://www.nevo.co.il/law/70301" TargetMode="External"/><Relationship Id="rId86"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32" TargetMode="External"/><Relationship Id="rId13" Type="http://schemas.openxmlformats.org/officeDocument/2006/relationships/hyperlink" Target="http://www.nevo.co.il/law/70301/40i.a.6" TargetMode="External"/><Relationship Id="rId18" Type="http://schemas.openxmlformats.org/officeDocument/2006/relationships/hyperlink" Target="http://www.nevo.co.il/law/70301/40ja" TargetMode="External"/><Relationship Id="rId39" Type="http://schemas.openxmlformats.org/officeDocument/2006/relationships/hyperlink" Target="http://www.nevo.co.il/law/70301" TargetMode="External"/><Relationship Id="rId34" Type="http://schemas.openxmlformats.org/officeDocument/2006/relationships/hyperlink" Target="http://www.nevo.co.il/law/70301/40c" TargetMode="External"/><Relationship Id="rId50" Type="http://schemas.openxmlformats.org/officeDocument/2006/relationships/hyperlink" Target="http://www.nevo.co.il/case/7821883" TargetMode="External"/><Relationship Id="rId55" Type="http://schemas.openxmlformats.org/officeDocument/2006/relationships/hyperlink" Target="http://www.nevo.co.il/law/70301" TargetMode="External"/><Relationship Id="rId76" Type="http://schemas.openxmlformats.org/officeDocument/2006/relationships/hyperlink" Target="http://www.nevo.co.il/law/70301/40i.a" TargetMode="External"/><Relationship Id="rId7" Type="http://schemas.openxmlformats.org/officeDocument/2006/relationships/hyperlink" Target="http://www.nevo.co.il/law/70301" TargetMode="External"/><Relationship Id="rId71" Type="http://schemas.openxmlformats.org/officeDocument/2006/relationships/hyperlink" Target="http://www.nevo.co.il/case/28660017" TargetMode="External"/><Relationship Id="rId2" Type="http://schemas.openxmlformats.org/officeDocument/2006/relationships/styles" Target="styles.xml"/><Relationship Id="rId29" Type="http://schemas.openxmlformats.org/officeDocument/2006/relationships/hyperlink" Target="http://www.nevo.co.il/case/28344024" TargetMode="External"/><Relationship Id="rId24" Type="http://schemas.openxmlformats.org/officeDocument/2006/relationships/hyperlink" Target="http://www.nevo.co.il/law/70301/144.b" TargetMode="External"/><Relationship Id="rId40" Type="http://schemas.openxmlformats.org/officeDocument/2006/relationships/hyperlink" Target="http://www.nevo.co.il/case/13093721" TargetMode="External"/><Relationship Id="rId45" Type="http://schemas.openxmlformats.org/officeDocument/2006/relationships/hyperlink" Target="http://www.nevo.co.il/case/11303307" TargetMode="External"/><Relationship Id="rId66" Type="http://schemas.openxmlformats.org/officeDocument/2006/relationships/hyperlink" Target="http://www.nevo.co.il/case/5587527" TargetMode="External"/><Relationship Id="rId87" Type="http://schemas.openxmlformats.org/officeDocument/2006/relationships/footer" Target="footer1.xml"/><Relationship Id="rId61" Type="http://schemas.openxmlformats.org/officeDocument/2006/relationships/hyperlink" Target="http://www.nevo.co.il/case/5969313" TargetMode="External"/><Relationship Id="rId82" Type="http://schemas.openxmlformats.org/officeDocument/2006/relationships/hyperlink" Target="http://www.nevo.co.il/case/28326890" TargetMode="External"/><Relationship Id="rId19" Type="http://schemas.openxmlformats.org/officeDocument/2006/relationships/hyperlink" Target="http://www.nevo.co.il/law/70301/40j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6089</Words>
  <Characters>30446</Characters>
  <Application>Microsoft Office Word</Application>
  <DocSecurity>0</DocSecurity>
  <Lines>253</Lines>
  <Paragraphs>72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36463</CharactersWithSpaces>
  <SharedDoc>false</SharedDoc>
  <HLinks>
    <vt:vector size="468" baseType="variant">
      <vt:variant>
        <vt:i4>393283</vt:i4>
      </vt:variant>
      <vt:variant>
        <vt:i4>231</vt:i4>
      </vt:variant>
      <vt:variant>
        <vt:i4>0</vt:i4>
      </vt:variant>
      <vt:variant>
        <vt:i4>5</vt:i4>
      </vt:variant>
      <vt:variant>
        <vt:lpwstr>http://www.nevo.co.il/advertisements/nevo-100.doc</vt:lpwstr>
      </vt:variant>
      <vt:variant>
        <vt:lpwstr/>
      </vt:variant>
      <vt:variant>
        <vt:i4>3604600</vt:i4>
      </vt:variant>
      <vt:variant>
        <vt:i4>228</vt:i4>
      </vt:variant>
      <vt:variant>
        <vt:i4>0</vt:i4>
      </vt:variant>
      <vt:variant>
        <vt:i4>5</vt:i4>
      </vt:variant>
      <vt:variant>
        <vt:lpwstr>http://www.nevo.co.il/case/28344024</vt:lpwstr>
      </vt:variant>
      <vt:variant>
        <vt:lpwstr/>
      </vt:variant>
      <vt:variant>
        <vt:i4>4063350</vt:i4>
      </vt:variant>
      <vt:variant>
        <vt:i4>225</vt:i4>
      </vt:variant>
      <vt:variant>
        <vt:i4>0</vt:i4>
      </vt:variant>
      <vt:variant>
        <vt:i4>5</vt:i4>
      </vt:variant>
      <vt:variant>
        <vt:lpwstr>http://www.nevo.co.il/case/28326890</vt:lpwstr>
      </vt:variant>
      <vt:variant>
        <vt:lpwstr/>
      </vt:variant>
      <vt:variant>
        <vt:i4>7995492</vt:i4>
      </vt:variant>
      <vt:variant>
        <vt:i4>222</vt:i4>
      </vt:variant>
      <vt:variant>
        <vt:i4>0</vt:i4>
      </vt:variant>
      <vt:variant>
        <vt:i4>5</vt:i4>
      </vt:variant>
      <vt:variant>
        <vt:lpwstr>http://www.nevo.co.il/law/70301</vt:lpwstr>
      </vt:variant>
      <vt:variant>
        <vt:lpwstr/>
      </vt:variant>
      <vt:variant>
        <vt:i4>3407909</vt:i4>
      </vt:variant>
      <vt:variant>
        <vt:i4>219</vt:i4>
      </vt:variant>
      <vt:variant>
        <vt:i4>0</vt:i4>
      </vt:variant>
      <vt:variant>
        <vt:i4>5</vt:i4>
      </vt:variant>
      <vt:variant>
        <vt:lpwstr>http://www.nevo.co.il/law/70301/40jc.2</vt:lpwstr>
      </vt:variant>
      <vt:variant>
        <vt:lpwstr/>
      </vt:variant>
      <vt:variant>
        <vt:i4>7995492</vt:i4>
      </vt:variant>
      <vt:variant>
        <vt:i4>216</vt:i4>
      </vt:variant>
      <vt:variant>
        <vt:i4>0</vt:i4>
      </vt:variant>
      <vt:variant>
        <vt:i4>5</vt:i4>
      </vt:variant>
      <vt:variant>
        <vt:lpwstr>http://www.nevo.co.il/law/70301</vt:lpwstr>
      </vt:variant>
      <vt:variant>
        <vt:lpwstr/>
      </vt:variant>
      <vt:variant>
        <vt:i4>262155</vt:i4>
      </vt:variant>
      <vt:variant>
        <vt:i4>213</vt:i4>
      </vt:variant>
      <vt:variant>
        <vt:i4>0</vt:i4>
      </vt:variant>
      <vt:variant>
        <vt:i4>5</vt:i4>
      </vt:variant>
      <vt:variant>
        <vt:lpwstr>http://www.nevo.co.il/law/70301/40ja</vt:lpwstr>
      </vt:variant>
      <vt:variant>
        <vt:lpwstr/>
      </vt:variant>
      <vt:variant>
        <vt:i4>7995492</vt:i4>
      </vt:variant>
      <vt:variant>
        <vt:i4>210</vt:i4>
      </vt:variant>
      <vt:variant>
        <vt:i4>0</vt:i4>
      </vt:variant>
      <vt:variant>
        <vt:i4>5</vt:i4>
      </vt:variant>
      <vt:variant>
        <vt:lpwstr>http://www.nevo.co.il/law/70301</vt:lpwstr>
      </vt:variant>
      <vt:variant>
        <vt:lpwstr/>
      </vt:variant>
      <vt:variant>
        <vt:i4>4915208</vt:i4>
      </vt:variant>
      <vt:variant>
        <vt:i4>207</vt:i4>
      </vt:variant>
      <vt:variant>
        <vt:i4>0</vt:i4>
      </vt:variant>
      <vt:variant>
        <vt:i4>5</vt:i4>
      </vt:variant>
      <vt:variant>
        <vt:lpwstr>http://www.nevo.co.il/law/70301/40i.a</vt:lpwstr>
      </vt:variant>
      <vt:variant>
        <vt:lpwstr/>
      </vt:variant>
      <vt:variant>
        <vt:i4>7995492</vt:i4>
      </vt:variant>
      <vt:variant>
        <vt:i4>204</vt:i4>
      </vt:variant>
      <vt:variant>
        <vt:i4>0</vt:i4>
      </vt:variant>
      <vt:variant>
        <vt:i4>5</vt:i4>
      </vt:variant>
      <vt:variant>
        <vt:lpwstr>http://www.nevo.co.il/law/70301</vt:lpwstr>
      </vt:variant>
      <vt:variant>
        <vt:lpwstr/>
      </vt:variant>
      <vt:variant>
        <vt:i4>6619241</vt:i4>
      </vt:variant>
      <vt:variant>
        <vt:i4>201</vt:i4>
      </vt:variant>
      <vt:variant>
        <vt:i4>0</vt:i4>
      </vt:variant>
      <vt:variant>
        <vt:i4>5</vt:i4>
      </vt:variant>
      <vt:variant>
        <vt:lpwstr>http://www.nevo.co.il/law/70301/40i.a.6</vt:lpwstr>
      </vt:variant>
      <vt:variant>
        <vt:lpwstr/>
      </vt:variant>
      <vt:variant>
        <vt:i4>3604604</vt:i4>
      </vt:variant>
      <vt:variant>
        <vt:i4>198</vt:i4>
      </vt:variant>
      <vt:variant>
        <vt:i4>0</vt:i4>
      </vt:variant>
      <vt:variant>
        <vt:i4>5</vt:i4>
      </vt:variant>
      <vt:variant>
        <vt:lpwstr>http://www.nevo.co.il/case/28380863</vt:lpwstr>
      </vt:variant>
      <vt:variant>
        <vt:lpwstr/>
      </vt:variant>
      <vt:variant>
        <vt:i4>4128884</vt:i4>
      </vt:variant>
      <vt:variant>
        <vt:i4>195</vt:i4>
      </vt:variant>
      <vt:variant>
        <vt:i4>0</vt:i4>
      </vt:variant>
      <vt:variant>
        <vt:i4>5</vt:i4>
      </vt:variant>
      <vt:variant>
        <vt:lpwstr>http://www.nevo.co.il/case/27911655</vt:lpwstr>
      </vt:variant>
      <vt:variant>
        <vt:lpwstr/>
      </vt:variant>
      <vt:variant>
        <vt:i4>3473530</vt:i4>
      </vt:variant>
      <vt:variant>
        <vt:i4>192</vt:i4>
      </vt:variant>
      <vt:variant>
        <vt:i4>0</vt:i4>
      </vt:variant>
      <vt:variant>
        <vt:i4>5</vt:i4>
      </vt:variant>
      <vt:variant>
        <vt:lpwstr>http://www.nevo.co.il/case/28660017</vt:lpwstr>
      </vt:variant>
      <vt:variant>
        <vt:lpwstr/>
      </vt:variant>
      <vt:variant>
        <vt:i4>3407987</vt:i4>
      </vt:variant>
      <vt:variant>
        <vt:i4>189</vt:i4>
      </vt:variant>
      <vt:variant>
        <vt:i4>0</vt:i4>
      </vt:variant>
      <vt:variant>
        <vt:i4>5</vt:i4>
      </vt:variant>
      <vt:variant>
        <vt:lpwstr>http://www.nevo.co.il/case/21474168</vt:lpwstr>
      </vt:variant>
      <vt:variant>
        <vt:lpwstr/>
      </vt:variant>
      <vt:variant>
        <vt:i4>3407994</vt:i4>
      </vt:variant>
      <vt:variant>
        <vt:i4>186</vt:i4>
      </vt:variant>
      <vt:variant>
        <vt:i4>0</vt:i4>
      </vt:variant>
      <vt:variant>
        <vt:i4>5</vt:i4>
      </vt:variant>
      <vt:variant>
        <vt:lpwstr>http://www.nevo.co.il/case/28243273</vt:lpwstr>
      </vt:variant>
      <vt:variant>
        <vt:lpwstr/>
      </vt:variant>
      <vt:variant>
        <vt:i4>7995492</vt:i4>
      </vt:variant>
      <vt:variant>
        <vt:i4>183</vt:i4>
      </vt:variant>
      <vt:variant>
        <vt:i4>0</vt:i4>
      </vt:variant>
      <vt:variant>
        <vt:i4>5</vt:i4>
      </vt:variant>
      <vt:variant>
        <vt:lpwstr>http://www.nevo.co.il/law/70301</vt:lpwstr>
      </vt:variant>
      <vt:variant>
        <vt:lpwstr/>
      </vt:variant>
      <vt:variant>
        <vt:i4>3211380</vt:i4>
      </vt:variant>
      <vt:variant>
        <vt:i4>180</vt:i4>
      </vt:variant>
      <vt:variant>
        <vt:i4>0</vt:i4>
      </vt:variant>
      <vt:variant>
        <vt:i4>5</vt:i4>
      </vt:variant>
      <vt:variant>
        <vt:lpwstr>http://www.nevo.co.il/case/28883087</vt:lpwstr>
      </vt:variant>
      <vt:variant>
        <vt:lpwstr/>
      </vt:variant>
      <vt:variant>
        <vt:i4>4128884</vt:i4>
      </vt:variant>
      <vt:variant>
        <vt:i4>177</vt:i4>
      </vt:variant>
      <vt:variant>
        <vt:i4>0</vt:i4>
      </vt:variant>
      <vt:variant>
        <vt:i4>5</vt:i4>
      </vt:variant>
      <vt:variant>
        <vt:lpwstr>http://www.nevo.co.il/case/5587527</vt:lpwstr>
      </vt:variant>
      <vt:variant>
        <vt:lpwstr/>
      </vt:variant>
      <vt:variant>
        <vt:i4>3539063</vt:i4>
      </vt:variant>
      <vt:variant>
        <vt:i4>174</vt:i4>
      </vt:variant>
      <vt:variant>
        <vt:i4>0</vt:i4>
      </vt:variant>
      <vt:variant>
        <vt:i4>5</vt:i4>
      </vt:variant>
      <vt:variant>
        <vt:lpwstr>http://www.nevo.co.il/case/5833181</vt:lpwstr>
      </vt:variant>
      <vt:variant>
        <vt:lpwstr/>
      </vt:variant>
      <vt:variant>
        <vt:i4>3539056</vt:i4>
      </vt:variant>
      <vt:variant>
        <vt:i4>171</vt:i4>
      </vt:variant>
      <vt:variant>
        <vt:i4>0</vt:i4>
      </vt:variant>
      <vt:variant>
        <vt:i4>5</vt:i4>
      </vt:variant>
      <vt:variant>
        <vt:lpwstr>http://www.nevo.co.il/case/20513526</vt:lpwstr>
      </vt:variant>
      <vt:variant>
        <vt:lpwstr/>
      </vt:variant>
      <vt:variant>
        <vt:i4>7995492</vt:i4>
      </vt:variant>
      <vt:variant>
        <vt:i4>168</vt:i4>
      </vt:variant>
      <vt:variant>
        <vt:i4>0</vt:i4>
      </vt:variant>
      <vt:variant>
        <vt:i4>5</vt:i4>
      </vt:variant>
      <vt:variant>
        <vt:lpwstr>http://www.nevo.co.il/law/70301</vt:lpwstr>
      </vt:variant>
      <vt:variant>
        <vt:lpwstr/>
      </vt:variant>
      <vt:variant>
        <vt:i4>6750310</vt:i4>
      </vt:variant>
      <vt:variant>
        <vt:i4>165</vt:i4>
      </vt:variant>
      <vt:variant>
        <vt:i4>0</vt:i4>
      </vt:variant>
      <vt:variant>
        <vt:i4>5</vt:i4>
      </vt:variant>
      <vt:variant>
        <vt:lpwstr>http://www.nevo.co.il/law/70301/32</vt:lpwstr>
      </vt:variant>
      <vt:variant>
        <vt:lpwstr/>
      </vt:variant>
      <vt:variant>
        <vt:i4>3342453</vt:i4>
      </vt:variant>
      <vt:variant>
        <vt:i4>162</vt:i4>
      </vt:variant>
      <vt:variant>
        <vt:i4>0</vt:i4>
      </vt:variant>
      <vt:variant>
        <vt:i4>5</vt:i4>
      </vt:variant>
      <vt:variant>
        <vt:lpwstr>http://www.nevo.co.il/case/5969313</vt:lpwstr>
      </vt:variant>
      <vt:variant>
        <vt:lpwstr/>
      </vt:variant>
      <vt:variant>
        <vt:i4>3473531</vt:i4>
      </vt:variant>
      <vt:variant>
        <vt:i4>159</vt:i4>
      </vt:variant>
      <vt:variant>
        <vt:i4>0</vt:i4>
      </vt:variant>
      <vt:variant>
        <vt:i4>5</vt:i4>
      </vt:variant>
      <vt:variant>
        <vt:lpwstr>http://www.nevo.co.il/case/28266138</vt:lpwstr>
      </vt:variant>
      <vt:variant>
        <vt:lpwstr/>
      </vt:variant>
      <vt:variant>
        <vt:i4>3473524</vt:i4>
      </vt:variant>
      <vt:variant>
        <vt:i4>156</vt:i4>
      </vt:variant>
      <vt:variant>
        <vt:i4>0</vt:i4>
      </vt:variant>
      <vt:variant>
        <vt:i4>5</vt:i4>
      </vt:variant>
      <vt:variant>
        <vt:lpwstr>http://www.nevo.co.il/case/28200855</vt:lpwstr>
      </vt:variant>
      <vt:variant>
        <vt:lpwstr/>
      </vt:variant>
      <vt:variant>
        <vt:i4>3735673</vt:i4>
      </vt:variant>
      <vt:variant>
        <vt:i4>153</vt:i4>
      </vt:variant>
      <vt:variant>
        <vt:i4>0</vt:i4>
      </vt:variant>
      <vt:variant>
        <vt:i4>5</vt:i4>
      </vt:variant>
      <vt:variant>
        <vt:lpwstr>http://www.nevo.co.il/case/27734980</vt:lpwstr>
      </vt:variant>
      <vt:variant>
        <vt:lpwstr/>
      </vt:variant>
      <vt:variant>
        <vt:i4>3735670</vt:i4>
      </vt:variant>
      <vt:variant>
        <vt:i4>150</vt:i4>
      </vt:variant>
      <vt:variant>
        <vt:i4>0</vt:i4>
      </vt:variant>
      <vt:variant>
        <vt:i4>5</vt:i4>
      </vt:variant>
      <vt:variant>
        <vt:lpwstr>http://www.nevo.co.il/case/27708542</vt:lpwstr>
      </vt:variant>
      <vt:variant>
        <vt:lpwstr/>
      </vt:variant>
      <vt:variant>
        <vt:i4>3932283</vt:i4>
      </vt:variant>
      <vt:variant>
        <vt:i4>147</vt:i4>
      </vt:variant>
      <vt:variant>
        <vt:i4>0</vt:i4>
      </vt:variant>
      <vt:variant>
        <vt:i4>5</vt:i4>
      </vt:variant>
      <vt:variant>
        <vt:lpwstr>http://www.nevo.co.il/case/26905927</vt:lpwstr>
      </vt:variant>
      <vt:variant>
        <vt:lpwstr/>
      </vt:variant>
      <vt:variant>
        <vt:i4>7995492</vt:i4>
      </vt:variant>
      <vt:variant>
        <vt:i4>144</vt:i4>
      </vt:variant>
      <vt:variant>
        <vt:i4>0</vt:i4>
      </vt:variant>
      <vt:variant>
        <vt:i4>5</vt:i4>
      </vt:variant>
      <vt:variant>
        <vt:lpwstr>http://www.nevo.co.il/law/70301</vt:lpwstr>
      </vt:variant>
      <vt:variant>
        <vt:lpwstr/>
      </vt:variant>
      <vt:variant>
        <vt:i4>4128881</vt:i4>
      </vt:variant>
      <vt:variant>
        <vt:i4>141</vt:i4>
      </vt:variant>
      <vt:variant>
        <vt:i4>0</vt:i4>
      </vt:variant>
      <vt:variant>
        <vt:i4>5</vt:i4>
      </vt:variant>
      <vt:variant>
        <vt:lpwstr>http://www.nevo.co.il/case/27309272</vt:lpwstr>
      </vt:variant>
      <vt:variant>
        <vt:lpwstr/>
      </vt:variant>
      <vt:variant>
        <vt:i4>3670139</vt:i4>
      </vt:variant>
      <vt:variant>
        <vt:i4>138</vt:i4>
      </vt:variant>
      <vt:variant>
        <vt:i4>0</vt:i4>
      </vt:variant>
      <vt:variant>
        <vt:i4>5</vt:i4>
      </vt:variant>
      <vt:variant>
        <vt:lpwstr>http://www.nevo.co.il/case/25824863</vt:lpwstr>
      </vt:variant>
      <vt:variant>
        <vt:lpwstr/>
      </vt:variant>
      <vt:variant>
        <vt:i4>7995492</vt:i4>
      </vt:variant>
      <vt:variant>
        <vt:i4>135</vt:i4>
      </vt:variant>
      <vt:variant>
        <vt:i4>0</vt:i4>
      </vt:variant>
      <vt:variant>
        <vt:i4>5</vt:i4>
      </vt:variant>
      <vt:variant>
        <vt:lpwstr>http://www.nevo.co.il/law/70301</vt:lpwstr>
      </vt:variant>
      <vt:variant>
        <vt:lpwstr/>
      </vt:variant>
      <vt:variant>
        <vt:i4>5177424</vt:i4>
      </vt:variant>
      <vt:variant>
        <vt:i4>132</vt:i4>
      </vt:variant>
      <vt:variant>
        <vt:i4>0</vt:i4>
      </vt:variant>
      <vt:variant>
        <vt:i4>5</vt:i4>
      </vt:variant>
      <vt:variant>
        <vt:lpwstr>http://www.nevo.co.il/law/70301/144.g</vt:lpwstr>
      </vt:variant>
      <vt:variant>
        <vt:lpwstr/>
      </vt:variant>
      <vt:variant>
        <vt:i4>4063349</vt:i4>
      </vt:variant>
      <vt:variant>
        <vt:i4>129</vt:i4>
      </vt:variant>
      <vt:variant>
        <vt:i4>0</vt:i4>
      </vt:variant>
      <vt:variant>
        <vt:i4>5</vt:i4>
      </vt:variant>
      <vt:variant>
        <vt:lpwstr>http://www.nevo.co.il/case/7821883</vt:lpwstr>
      </vt:variant>
      <vt:variant>
        <vt:lpwstr/>
      </vt:variant>
      <vt:variant>
        <vt:i4>3145854</vt:i4>
      </vt:variant>
      <vt:variant>
        <vt:i4>126</vt:i4>
      </vt:variant>
      <vt:variant>
        <vt:i4>0</vt:i4>
      </vt:variant>
      <vt:variant>
        <vt:i4>5</vt:i4>
      </vt:variant>
      <vt:variant>
        <vt:lpwstr>http://www.nevo.co.il/case/5852404</vt:lpwstr>
      </vt:variant>
      <vt:variant>
        <vt:lpwstr/>
      </vt:variant>
      <vt:variant>
        <vt:i4>3211386</vt:i4>
      </vt:variant>
      <vt:variant>
        <vt:i4>123</vt:i4>
      </vt:variant>
      <vt:variant>
        <vt:i4>0</vt:i4>
      </vt:variant>
      <vt:variant>
        <vt:i4>5</vt:i4>
      </vt:variant>
      <vt:variant>
        <vt:lpwstr>http://www.nevo.co.il/case/10485615</vt:lpwstr>
      </vt:variant>
      <vt:variant>
        <vt:lpwstr/>
      </vt:variant>
      <vt:variant>
        <vt:i4>7995492</vt:i4>
      </vt:variant>
      <vt:variant>
        <vt:i4>120</vt:i4>
      </vt:variant>
      <vt:variant>
        <vt:i4>0</vt:i4>
      </vt:variant>
      <vt:variant>
        <vt:i4>5</vt:i4>
      </vt:variant>
      <vt:variant>
        <vt:lpwstr>http://www.nevo.co.il/law/70301</vt:lpwstr>
      </vt:variant>
      <vt:variant>
        <vt:lpwstr/>
      </vt:variant>
      <vt:variant>
        <vt:i4>5177424</vt:i4>
      </vt:variant>
      <vt:variant>
        <vt:i4>117</vt:i4>
      </vt:variant>
      <vt:variant>
        <vt:i4>0</vt:i4>
      </vt:variant>
      <vt:variant>
        <vt:i4>5</vt:i4>
      </vt:variant>
      <vt:variant>
        <vt:lpwstr>http://www.nevo.co.il/law/70301/144.b</vt:lpwstr>
      </vt:variant>
      <vt:variant>
        <vt:lpwstr/>
      </vt:variant>
      <vt:variant>
        <vt:i4>3211382</vt:i4>
      </vt:variant>
      <vt:variant>
        <vt:i4>114</vt:i4>
      </vt:variant>
      <vt:variant>
        <vt:i4>0</vt:i4>
      </vt:variant>
      <vt:variant>
        <vt:i4>5</vt:i4>
      </vt:variant>
      <vt:variant>
        <vt:lpwstr>http://www.nevo.co.il/case/11303307</vt:lpwstr>
      </vt:variant>
      <vt:variant>
        <vt:lpwstr/>
      </vt:variant>
      <vt:variant>
        <vt:i4>3473521</vt:i4>
      </vt:variant>
      <vt:variant>
        <vt:i4>111</vt:i4>
      </vt:variant>
      <vt:variant>
        <vt:i4>0</vt:i4>
      </vt:variant>
      <vt:variant>
        <vt:i4>5</vt:i4>
      </vt:variant>
      <vt:variant>
        <vt:lpwstr>http://www.nevo.co.il/case/20033641</vt:lpwstr>
      </vt:variant>
      <vt:variant>
        <vt:lpwstr/>
      </vt:variant>
      <vt:variant>
        <vt:i4>3276913</vt:i4>
      </vt:variant>
      <vt:variant>
        <vt:i4>108</vt:i4>
      </vt:variant>
      <vt:variant>
        <vt:i4>0</vt:i4>
      </vt:variant>
      <vt:variant>
        <vt:i4>5</vt:i4>
      </vt:variant>
      <vt:variant>
        <vt:lpwstr>http://www.nevo.co.il/case/27513365</vt:lpwstr>
      </vt:variant>
      <vt:variant>
        <vt:lpwstr/>
      </vt:variant>
      <vt:variant>
        <vt:i4>3866740</vt:i4>
      </vt:variant>
      <vt:variant>
        <vt:i4>105</vt:i4>
      </vt:variant>
      <vt:variant>
        <vt:i4>0</vt:i4>
      </vt:variant>
      <vt:variant>
        <vt:i4>5</vt:i4>
      </vt:variant>
      <vt:variant>
        <vt:lpwstr>http://www.nevo.co.il/case/17009738</vt:lpwstr>
      </vt:variant>
      <vt:variant>
        <vt:lpwstr/>
      </vt:variant>
      <vt:variant>
        <vt:i4>3473526</vt:i4>
      </vt:variant>
      <vt:variant>
        <vt:i4>102</vt:i4>
      </vt:variant>
      <vt:variant>
        <vt:i4>0</vt:i4>
      </vt:variant>
      <vt:variant>
        <vt:i4>5</vt:i4>
      </vt:variant>
      <vt:variant>
        <vt:lpwstr>http://www.nevo.co.il/case/17023776</vt:lpwstr>
      </vt:variant>
      <vt:variant>
        <vt:lpwstr/>
      </vt:variant>
      <vt:variant>
        <vt:i4>3145849</vt:i4>
      </vt:variant>
      <vt:variant>
        <vt:i4>99</vt:i4>
      </vt:variant>
      <vt:variant>
        <vt:i4>0</vt:i4>
      </vt:variant>
      <vt:variant>
        <vt:i4>5</vt:i4>
      </vt:variant>
      <vt:variant>
        <vt:lpwstr>http://www.nevo.co.il/case/13093721</vt:lpwstr>
      </vt:variant>
      <vt:variant>
        <vt:lpwstr/>
      </vt:variant>
      <vt:variant>
        <vt:i4>7995492</vt:i4>
      </vt:variant>
      <vt:variant>
        <vt:i4>96</vt:i4>
      </vt:variant>
      <vt:variant>
        <vt:i4>0</vt:i4>
      </vt:variant>
      <vt:variant>
        <vt:i4>5</vt:i4>
      </vt:variant>
      <vt:variant>
        <vt:lpwstr>http://www.nevo.co.il/law/70301</vt:lpwstr>
      </vt:variant>
      <vt:variant>
        <vt:lpwstr/>
      </vt:variant>
      <vt:variant>
        <vt:i4>393227</vt:i4>
      </vt:variant>
      <vt:variant>
        <vt:i4>93</vt:i4>
      </vt:variant>
      <vt:variant>
        <vt:i4>0</vt:i4>
      </vt:variant>
      <vt:variant>
        <vt:i4>5</vt:i4>
      </vt:variant>
      <vt:variant>
        <vt:lpwstr>http://www.nevo.co.il/law/70301/40jc</vt:lpwstr>
      </vt:variant>
      <vt:variant>
        <vt:lpwstr/>
      </vt:variant>
      <vt:variant>
        <vt:i4>7995492</vt:i4>
      </vt:variant>
      <vt:variant>
        <vt:i4>90</vt:i4>
      </vt:variant>
      <vt:variant>
        <vt:i4>0</vt:i4>
      </vt:variant>
      <vt:variant>
        <vt:i4>5</vt:i4>
      </vt:variant>
      <vt:variant>
        <vt:lpwstr>http://www.nevo.co.il/law/70301</vt:lpwstr>
      </vt:variant>
      <vt:variant>
        <vt:lpwstr/>
      </vt:variant>
      <vt:variant>
        <vt:i4>6619233</vt:i4>
      </vt:variant>
      <vt:variant>
        <vt:i4>87</vt:i4>
      </vt:variant>
      <vt:variant>
        <vt:i4>0</vt:i4>
      </vt:variant>
      <vt:variant>
        <vt:i4>5</vt:i4>
      </vt:variant>
      <vt:variant>
        <vt:lpwstr>http://www.nevo.co.il/law/70301/40i</vt:lpwstr>
      </vt:variant>
      <vt:variant>
        <vt:lpwstr/>
      </vt:variant>
      <vt:variant>
        <vt:i4>7995492</vt:i4>
      </vt:variant>
      <vt:variant>
        <vt:i4>84</vt:i4>
      </vt:variant>
      <vt:variant>
        <vt:i4>0</vt:i4>
      </vt:variant>
      <vt:variant>
        <vt:i4>5</vt:i4>
      </vt:variant>
      <vt:variant>
        <vt:lpwstr>http://www.nevo.co.il/law/70301</vt:lpwstr>
      </vt:variant>
      <vt:variant>
        <vt:lpwstr/>
      </vt:variant>
      <vt:variant>
        <vt:i4>6619233</vt:i4>
      </vt:variant>
      <vt:variant>
        <vt:i4>81</vt:i4>
      </vt:variant>
      <vt:variant>
        <vt:i4>0</vt:i4>
      </vt:variant>
      <vt:variant>
        <vt:i4>5</vt:i4>
      </vt:variant>
      <vt:variant>
        <vt:lpwstr>http://www.nevo.co.il/law/70301/40c</vt:lpwstr>
      </vt:variant>
      <vt:variant>
        <vt:lpwstr/>
      </vt:variant>
      <vt:variant>
        <vt:i4>7995492</vt:i4>
      </vt:variant>
      <vt:variant>
        <vt:i4>78</vt:i4>
      </vt:variant>
      <vt:variant>
        <vt:i4>0</vt:i4>
      </vt:variant>
      <vt:variant>
        <vt:i4>5</vt:i4>
      </vt:variant>
      <vt:variant>
        <vt:lpwstr>http://www.nevo.co.il/law/70301</vt:lpwstr>
      </vt:variant>
      <vt:variant>
        <vt:lpwstr/>
      </vt:variant>
      <vt:variant>
        <vt:i4>7995492</vt:i4>
      </vt:variant>
      <vt:variant>
        <vt:i4>75</vt:i4>
      </vt:variant>
      <vt:variant>
        <vt:i4>0</vt:i4>
      </vt:variant>
      <vt:variant>
        <vt:i4>5</vt:i4>
      </vt:variant>
      <vt:variant>
        <vt:lpwstr>http://www.nevo.co.il/law/70301</vt:lpwstr>
      </vt:variant>
      <vt:variant>
        <vt:lpwstr/>
      </vt:variant>
      <vt:variant>
        <vt:i4>6553702</vt:i4>
      </vt:variant>
      <vt:variant>
        <vt:i4>72</vt:i4>
      </vt:variant>
      <vt:variant>
        <vt:i4>0</vt:i4>
      </vt:variant>
      <vt:variant>
        <vt:i4>5</vt:i4>
      </vt:variant>
      <vt:variant>
        <vt:lpwstr>http://www.nevo.co.il/law/70301/31</vt:lpwstr>
      </vt:variant>
      <vt:variant>
        <vt:lpwstr/>
      </vt:variant>
      <vt:variant>
        <vt:i4>5177424</vt:i4>
      </vt:variant>
      <vt:variant>
        <vt:i4>69</vt:i4>
      </vt:variant>
      <vt:variant>
        <vt:i4>0</vt:i4>
      </vt:variant>
      <vt:variant>
        <vt:i4>5</vt:i4>
      </vt:variant>
      <vt:variant>
        <vt:lpwstr>http://www.nevo.co.il/law/70301/144.b</vt:lpwstr>
      </vt:variant>
      <vt:variant>
        <vt:lpwstr/>
      </vt:variant>
      <vt:variant>
        <vt:i4>3604600</vt:i4>
      </vt:variant>
      <vt:variant>
        <vt:i4>66</vt:i4>
      </vt:variant>
      <vt:variant>
        <vt:i4>0</vt:i4>
      </vt:variant>
      <vt:variant>
        <vt:i4>5</vt:i4>
      </vt:variant>
      <vt:variant>
        <vt:lpwstr>http://www.nevo.co.il/case/28344024</vt:lpwstr>
      </vt:variant>
      <vt:variant>
        <vt:lpwstr/>
      </vt:variant>
      <vt:variant>
        <vt:i4>3211380</vt:i4>
      </vt:variant>
      <vt:variant>
        <vt:i4>63</vt:i4>
      </vt:variant>
      <vt:variant>
        <vt:i4>0</vt:i4>
      </vt:variant>
      <vt:variant>
        <vt:i4>5</vt:i4>
      </vt:variant>
      <vt:variant>
        <vt:lpwstr>http://www.nevo.co.il/case/28217960</vt:lpwstr>
      </vt:variant>
      <vt:variant>
        <vt:lpwstr/>
      </vt:variant>
      <vt:variant>
        <vt:i4>4390992</vt:i4>
      </vt:variant>
      <vt:variant>
        <vt:i4>60</vt:i4>
      </vt:variant>
      <vt:variant>
        <vt:i4>0</vt:i4>
      </vt:variant>
      <vt:variant>
        <vt:i4>5</vt:i4>
      </vt:variant>
      <vt:variant>
        <vt:lpwstr>http://www.nevo.co.il/law/70301/287.a</vt:lpwstr>
      </vt:variant>
      <vt:variant>
        <vt:lpwstr/>
      </vt:variant>
      <vt:variant>
        <vt:i4>6357095</vt:i4>
      </vt:variant>
      <vt:variant>
        <vt:i4>57</vt:i4>
      </vt:variant>
      <vt:variant>
        <vt:i4>0</vt:i4>
      </vt:variant>
      <vt:variant>
        <vt:i4>5</vt:i4>
      </vt:variant>
      <vt:variant>
        <vt:lpwstr>http://www.nevo.co.il/law/70301/244</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5177424</vt:i4>
      </vt:variant>
      <vt:variant>
        <vt:i4>51</vt:i4>
      </vt:variant>
      <vt:variant>
        <vt:i4>0</vt:i4>
      </vt:variant>
      <vt:variant>
        <vt:i4>5</vt:i4>
      </vt:variant>
      <vt:variant>
        <vt:lpwstr>http://www.nevo.co.il/law/70301/144.b</vt:lpwstr>
      </vt:variant>
      <vt:variant>
        <vt:lpwstr/>
      </vt:variant>
      <vt:variant>
        <vt:i4>4063350</vt:i4>
      </vt:variant>
      <vt:variant>
        <vt:i4>48</vt:i4>
      </vt:variant>
      <vt:variant>
        <vt:i4>0</vt:i4>
      </vt:variant>
      <vt:variant>
        <vt:i4>5</vt:i4>
      </vt:variant>
      <vt:variant>
        <vt:lpwstr>http://www.nevo.co.il/case/28326890</vt:lpwstr>
      </vt:variant>
      <vt:variant>
        <vt:lpwstr/>
      </vt:variant>
      <vt:variant>
        <vt:i4>3604600</vt:i4>
      </vt:variant>
      <vt:variant>
        <vt:i4>45</vt:i4>
      </vt:variant>
      <vt:variant>
        <vt:i4>0</vt:i4>
      </vt:variant>
      <vt:variant>
        <vt:i4>5</vt:i4>
      </vt:variant>
      <vt:variant>
        <vt:lpwstr>http://www.nevo.co.il/case/28344024</vt:lpwstr>
      </vt:variant>
      <vt:variant>
        <vt:lpwstr/>
      </vt:variant>
      <vt:variant>
        <vt:i4>4063350</vt:i4>
      </vt:variant>
      <vt:variant>
        <vt:i4>42</vt:i4>
      </vt:variant>
      <vt:variant>
        <vt:i4>0</vt:i4>
      </vt:variant>
      <vt:variant>
        <vt:i4>5</vt:i4>
      </vt:variant>
      <vt:variant>
        <vt:lpwstr>http://www.nevo.co.il/case/28326890</vt:lpwstr>
      </vt:variant>
      <vt:variant>
        <vt:lpwstr/>
      </vt:variant>
      <vt:variant>
        <vt:i4>3407909</vt:i4>
      </vt:variant>
      <vt:variant>
        <vt:i4>39</vt:i4>
      </vt:variant>
      <vt:variant>
        <vt:i4>0</vt:i4>
      </vt:variant>
      <vt:variant>
        <vt:i4>5</vt:i4>
      </vt:variant>
      <vt:variant>
        <vt:lpwstr>http://www.nevo.co.il/law/70301/40jc.2</vt:lpwstr>
      </vt:variant>
      <vt:variant>
        <vt:lpwstr/>
      </vt:variant>
      <vt:variant>
        <vt:i4>393227</vt:i4>
      </vt:variant>
      <vt:variant>
        <vt:i4>36</vt:i4>
      </vt:variant>
      <vt:variant>
        <vt:i4>0</vt:i4>
      </vt:variant>
      <vt:variant>
        <vt:i4>5</vt:i4>
      </vt:variant>
      <vt:variant>
        <vt:lpwstr>http://www.nevo.co.il/law/70301/40jc</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4390992</vt:i4>
      </vt:variant>
      <vt:variant>
        <vt:i4>30</vt:i4>
      </vt:variant>
      <vt:variant>
        <vt:i4>0</vt:i4>
      </vt:variant>
      <vt:variant>
        <vt:i4>5</vt:i4>
      </vt:variant>
      <vt:variant>
        <vt:lpwstr>http://www.nevo.co.il/law/70301/287.a</vt:lpwstr>
      </vt:variant>
      <vt:variant>
        <vt:lpwstr/>
      </vt:variant>
      <vt:variant>
        <vt:i4>6357095</vt:i4>
      </vt:variant>
      <vt:variant>
        <vt:i4>27</vt:i4>
      </vt:variant>
      <vt:variant>
        <vt:i4>0</vt:i4>
      </vt:variant>
      <vt:variant>
        <vt:i4>5</vt:i4>
      </vt:variant>
      <vt:variant>
        <vt:lpwstr>http://www.nevo.co.il/law/70301/244</vt:lpwstr>
      </vt:variant>
      <vt:variant>
        <vt:lpwstr/>
      </vt:variant>
      <vt:variant>
        <vt:i4>5177424</vt:i4>
      </vt:variant>
      <vt:variant>
        <vt:i4>24</vt:i4>
      </vt:variant>
      <vt:variant>
        <vt:i4>0</vt:i4>
      </vt:variant>
      <vt:variant>
        <vt:i4>5</vt:i4>
      </vt:variant>
      <vt:variant>
        <vt:lpwstr>http://www.nevo.co.il/law/70301/144.g</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6619241</vt:i4>
      </vt:variant>
      <vt:variant>
        <vt:i4>18</vt:i4>
      </vt:variant>
      <vt:variant>
        <vt:i4>0</vt:i4>
      </vt:variant>
      <vt:variant>
        <vt:i4>5</vt:i4>
      </vt:variant>
      <vt:variant>
        <vt:lpwstr>http://www.nevo.co.il/law/70301/40i.a.6</vt:lpwstr>
      </vt:variant>
      <vt:variant>
        <vt:lpwstr/>
      </vt:variant>
      <vt:variant>
        <vt:i4>4915208</vt:i4>
      </vt:variant>
      <vt:variant>
        <vt:i4>15</vt:i4>
      </vt:variant>
      <vt:variant>
        <vt:i4>0</vt:i4>
      </vt:variant>
      <vt:variant>
        <vt:i4>5</vt:i4>
      </vt:variant>
      <vt:variant>
        <vt:lpwstr>http://www.nevo.co.il/law/70301/40i.a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6750310</vt:i4>
      </vt:variant>
      <vt:variant>
        <vt:i4>6</vt:i4>
      </vt:variant>
      <vt:variant>
        <vt:i4>0</vt:i4>
      </vt:variant>
      <vt:variant>
        <vt:i4>5</vt:i4>
      </vt:variant>
      <vt:variant>
        <vt:lpwstr>http://www.nevo.co.il/law/70301/32</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2025-01-19T16:50:00Z</dcterms:created>
  <dcterms:modified xsi:type="dcterms:W3CDTF">2025-01-19T16:50:00Z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41952</vt:lpwstr>
  </property>
  <property fmtid="{D5CDD505-2E9C-101B-9397-08002B2CF9AE}" pid="6" name="NEWPARTB">
    <vt:lpwstr>02</vt:lpwstr>
  </property>
  <property fmtid="{D5CDD505-2E9C-101B-9397-08002B2CF9AE}" pid="7" name="NEWPARTC">
    <vt:lpwstr>22</vt:lpwstr>
  </property>
  <property fmtid="{D5CDD505-2E9C-101B-9397-08002B2CF9AE}" pid="8" name="APPELLANT">
    <vt:lpwstr>מדינת-ישראל</vt:lpwstr>
  </property>
  <property fmtid="{D5CDD505-2E9C-101B-9397-08002B2CF9AE}" pid="9" name="APPELLEE">
    <vt:lpwstr>עיסאם אמארה</vt:lpwstr>
  </property>
  <property fmtid="{D5CDD505-2E9C-101B-9397-08002B2CF9AE}" pid="10" name="LAWYER">
    <vt:lpwstr>אדם סרי;פאדי זועבי</vt:lpwstr>
  </property>
  <property fmtid="{D5CDD505-2E9C-101B-9397-08002B2CF9AE}" pid="11" name="JUDGE">
    <vt:lpwstr>מוחמד עלי</vt:lpwstr>
  </property>
  <property fmtid="{D5CDD505-2E9C-101B-9397-08002B2CF9AE}" pid="12" name="CITY">
    <vt:lpwstr>חי'</vt:lpwstr>
  </property>
  <property fmtid="{D5CDD505-2E9C-101B-9397-08002B2CF9AE}" pid="13" name="DATE">
    <vt:lpwstr>20230216</vt:lpwstr>
  </property>
  <property fmtid="{D5CDD505-2E9C-101B-9397-08002B2CF9AE}" pid="14" name="TYPE_N_DATE">
    <vt:lpwstr>39020230216</vt:lpwstr>
  </property>
  <property fmtid="{D5CDD505-2E9C-101B-9397-08002B2CF9AE}" pid="15" name="WORDNUMPAGES">
    <vt:lpwstr>16</vt:lpwstr>
  </property>
  <property fmtid="{D5CDD505-2E9C-101B-9397-08002B2CF9AE}" pid="16" name="TYPE_ABS_DATE">
    <vt:lpwstr>390020230216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28326890:3;28344024:3;28217960;13093721;17023776;17009738;27513365;20033641;11303307;10485615;5852404;7821883;25824863;27309272;26905927;27708542;27734980;28200855;28266138;5969313;20513526;5833181;5587527;28883087;28243273;21474168;28660017;27911655</vt:lpwstr>
  </property>
  <property fmtid="{D5CDD505-2E9C-101B-9397-08002B2CF9AE}" pid="36" name="CASESLISTTMP2">
    <vt:lpwstr>28380863</vt:lpwstr>
  </property>
  <property fmtid="{D5CDD505-2E9C-101B-9397-08002B2CF9AE}" pid="37" name="LAWLISTTMP1">
    <vt:lpwstr>70301/144.b:3;244;287.a;031;040c;040i;40jc;144.g;032;040i.a.6;040i.a;40ja;40jc.2</vt:lpwstr>
  </property>
</Properties>
</file>