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D360D0" w:rsidRPr="00F14CFF" w14:paraId="235D235C" w14:textId="77777777" w:rsidTr="00CA54A3">
        <w:trPr>
          <w:trHeight w:hRule="exact" w:val="418"/>
          <w:jc w:val="center"/>
        </w:trPr>
        <w:tc>
          <w:tcPr>
            <w:tcW w:w="8721" w:type="dxa"/>
            <w:gridSpan w:val="2"/>
          </w:tcPr>
          <w:p w14:paraId="08579789" w14:textId="77777777" w:rsidR="00D360D0" w:rsidRPr="00F14CFF" w:rsidRDefault="00D360D0" w:rsidP="000F38A6">
            <w:pPr>
              <w:pStyle w:val="a3"/>
              <w:jc w:val="center"/>
              <w:rPr>
                <w:rFonts w:ascii="Tahoma" w:hAnsi="Tahoma" w:cs="Tahoma"/>
                <w:color w:val="000080"/>
                <w:rtl/>
              </w:rPr>
            </w:pPr>
            <w:bookmarkStart w:id="0" w:name="LastJudge"/>
            <w:r w:rsidRPr="00F14CFF">
              <w:rPr>
                <w:rFonts w:ascii="Tahoma" w:hAnsi="Tahoma" w:cs="Tahoma"/>
                <w:b/>
                <w:bCs/>
                <w:color w:val="000080"/>
                <w:rtl/>
              </w:rPr>
              <w:t>בית המשפט המחוזי בירושלים</w:t>
            </w:r>
          </w:p>
        </w:tc>
      </w:tr>
      <w:tr w:rsidR="00D360D0" w:rsidRPr="00F14CFF" w14:paraId="4B77B650" w14:textId="77777777" w:rsidTr="00CA54A3">
        <w:trPr>
          <w:trHeight w:val="337"/>
          <w:jc w:val="center"/>
        </w:trPr>
        <w:tc>
          <w:tcPr>
            <w:tcW w:w="5059" w:type="dxa"/>
          </w:tcPr>
          <w:p w14:paraId="472249ED" w14:textId="77777777" w:rsidR="00D360D0" w:rsidRPr="00F14CFF" w:rsidRDefault="00D360D0" w:rsidP="000F38A6">
            <w:pPr>
              <w:rPr>
                <w:rFonts w:cs="FrankRuehl"/>
                <w:b/>
                <w:bCs/>
                <w:sz w:val="28"/>
                <w:szCs w:val="28"/>
                <w:rtl/>
              </w:rPr>
            </w:pPr>
            <w:r w:rsidRPr="00F14CFF">
              <w:rPr>
                <w:rFonts w:cs="FrankRuehl"/>
                <w:b/>
                <w:bCs/>
                <w:sz w:val="28"/>
                <w:szCs w:val="28"/>
                <w:rtl/>
              </w:rPr>
              <w:t>ת"פ</w:t>
            </w:r>
            <w:r w:rsidRPr="00F14CFF">
              <w:rPr>
                <w:rFonts w:cs="FrankRuehl" w:hint="cs"/>
                <w:b/>
                <w:bCs/>
                <w:sz w:val="28"/>
                <w:szCs w:val="28"/>
                <w:rtl/>
              </w:rPr>
              <w:t xml:space="preserve"> </w:t>
            </w:r>
            <w:r w:rsidRPr="00F14CFF">
              <w:rPr>
                <w:rFonts w:cs="FrankRuehl"/>
                <w:b/>
                <w:bCs/>
                <w:sz w:val="28"/>
                <w:szCs w:val="28"/>
                <w:rtl/>
              </w:rPr>
              <w:t>47276-02-22</w:t>
            </w:r>
            <w:r w:rsidRPr="00F14CFF">
              <w:rPr>
                <w:rFonts w:cs="FrankRuehl" w:hint="cs"/>
                <w:b/>
                <w:bCs/>
                <w:sz w:val="28"/>
                <w:szCs w:val="28"/>
                <w:rtl/>
              </w:rPr>
              <w:t xml:space="preserve"> </w:t>
            </w:r>
            <w:r w:rsidRPr="00F14CFF">
              <w:rPr>
                <w:rFonts w:cs="FrankRuehl"/>
                <w:b/>
                <w:bCs/>
                <w:sz w:val="28"/>
                <w:szCs w:val="28"/>
                <w:rtl/>
              </w:rPr>
              <w:t>מדינת ישראל נ' אל עאדווין(עציר)</w:t>
            </w:r>
          </w:p>
        </w:tc>
        <w:tc>
          <w:tcPr>
            <w:tcW w:w="3662" w:type="dxa"/>
          </w:tcPr>
          <w:p w14:paraId="097AEA35" w14:textId="77777777" w:rsidR="00D360D0" w:rsidRPr="00F14CFF" w:rsidRDefault="00D360D0" w:rsidP="000F38A6">
            <w:pPr>
              <w:pStyle w:val="a3"/>
              <w:jc w:val="right"/>
              <w:rPr>
                <w:rFonts w:cs="FrankRuehl"/>
                <w:sz w:val="28"/>
                <w:szCs w:val="28"/>
                <w:rtl/>
              </w:rPr>
            </w:pPr>
          </w:p>
        </w:tc>
      </w:tr>
    </w:tbl>
    <w:p w14:paraId="4A9A0AB5" w14:textId="77777777" w:rsidR="00D360D0" w:rsidRPr="00F14CFF" w:rsidRDefault="00D360D0" w:rsidP="00D360D0">
      <w:pPr>
        <w:pStyle w:val="a3"/>
        <w:rPr>
          <w:rtl/>
        </w:rPr>
      </w:pPr>
      <w:r w:rsidRPr="00F14CFF">
        <w:rPr>
          <w:rFonts w:hint="cs"/>
          <w:rtl/>
        </w:rPr>
        <w:t xml:space="preserve"> </w:t>
      </w:r>
    </w:p>
    <w:p w14:paraId="12998DF6" w14:textId="77777777" w:rsidR="00D360D0" w:rsidRPr="00F14CFF" w:rsidRDefault="00D360D0" w:rsidP="00D360D0">
      <w:pPr>
        <w:jc w:val="both"/>
        <w:rPr>
          <w:rFonts w:ascii="David" w:hAnsi="David"/>
          <w:rtl/>
        </w:rPr>
      </w:pPr>
    </w:p>
    <w:p w14:paraId="27E7BF6E" w14:textId="77777777" w:rsidR="00D360D0" w:rsidRPr="00F14CFF" w:rsidRDefault="00D360D0" w:rsidP="00D360D0">
      <w:pPr>
        <w:jc w:val="both"/>
        <w:rPr>
          <w:rFonts w:ascii="David" w:hAnsi="David"/>
          <w:rtl/>
        </w:rPr>
      </w:pPr>
    </w:p>
    <w:tbl>
      <w:tblPr>
        <w:bidiVisual/>
        <w:tblW w:w="8802" w:type="dxa"/>
        <w:tblLook w:val="01E0" w:firstRow="1" w:lastRow="1" w:firstColumn="1" w:lastColumn="1" w:noHBand="0" w:noVBand="0"/>
      </w:tblPr>
      <w:tblGrid>
        <w:gridCol w:w="2880"/>
        <w:gridCol w:w="5839"/>
        <w:gridCol w:w="83"/>
      </w:tblGrid>
      <w:tr w:rsidR="00D360D0" w:rsidRPr="00F14CFF" w14:paraId="3AC300AB" w14:textId="77777777" w:rsidTr="00D360D0">
        <w:trPr>
          <w:gridAfter w:val="1"/>
          <w:wAfter w:w="55" w:type="dxa"/>
        </w:trPr>
        <w:tc>
          <w:tcPr>
            <w:tcW w:w="8719" w:type="dxa"/>
            <w:gridSpan w:val="2"/>
            <w:shd w:val="clear" w:color="auto" w:fill="auto"/>
          </w:tcPr>
          <w:p w14:paraId="00A7A71F" w14:textId="77777777" w:rsidR="00D360D0" w:rsidRPr="00F14CFF" w:rsidRDefault="00D360D0" w:rsidP="00D360D0">
            <w:pPr>
              <w:spacing w:line="360" w:lineRule="auto"/>
              <w:rPr>
                <w:rFonts w:ascii="David" w:hAnsi="David"/>
                <w:sz w:val="26"/>
                <w:szCs w:val="26"/>
                <w:rtl/>
              </w:rPr>
            </w:pPr>
            <w:r w:rsidRPr="00F14CFF">
              <w:rPr>
                <w:rFonts w:ascii="David" w:hAnsi="David"/>
                <w:b/>
                <w:bCs/>
                <w:sz w:val="26"/>
                <w:szCs w:val="26"/>
                <w:rtl/>
              </w:rPr>
              <w:t>לפני כב' השופטת חנה מרים לומפ</w:t>
            </w:r>
          </w:p>
        </w:tc>
      </w:tr>
      <w:tr w:rsidR="00D360D0" w:rsidRPr="00F14CFF" w14:paraId="62566ED6" w14:textId="77777777" w:rsidTr="00D360D0">
        <w:tc>
          <w:tcPr>
            <w:tcW w:w="2880" w:type="dxa"/>
            <w:shd w:val="clear" w:color="auto" w:fill="auto"/>
          </w:tcPr>
          <w:p w14:paraId="65FD60A2" w14:textId="77777777" w:rsidR="00D360D0" w:rsidRPr="00F14CFF" w:rsidRDefault="00D360D0" w:rsidP="000F38A6">
            <w:pPr>
              <w:rPr>
                <w:rFonts w:ascii="David" w:hAnsi="David"/>
                <w:b/>
                <w:bCs/>
                <w:sz w:val="26"/>
                <w:szCs w:val="26"/>
                <w:rtl/>
              </w:rPr>
            </w:pPr>
            <w:bookmarkStart w:id="1" w:name="FirstAppellant"/>
            <w:bookmarkStart w:id="2" w:name="FirstLawyer"/>
            <w:r w:rsidRPr="00F14CFF">
              <w:rPr>
                <w:rFonts w:ascii="David" w:hAnsi="David"/>
                <w:b/>
                <w:bCs/>
                <w:sz w:val="26"/>
                <w:szCs w:val="26"/>
                <w:rtl/>
              </w:rPr>
              <w:t>המאשימה</w:t>
            </w:r>
          </w:p>
        </w:tc>
        <w:tc>
          <w:tcPr>
            <w:tcW w:w="5922" w:type="dxa"/>
            <w:gridSpan w:val="2"/>
            <w:shd w:val="clear" w:color="auto" w:fill="auto"/>
          </w:tcPr>
          <w:p w14:paraId="44711B37" w14:textId="77777777" w:rsidR="00D360D0" w:rsidRPr="00F14CFF" w:rsidRDefault="00D360D0" w:rsidP="000F38A6">
            <w:pPr>
              <w:rPr>
                <w:rFonts w:ascii="David" w:hAnsi="David"/>
                <w:b/>
                <w:bCs/>
                <w:sz w:val="26"/>
                <w:szCs w:val="26"/>
                <w:rtl/>
              </w:rPr>
            </w:pPr>
            <w:r w:rsidRPr="00F14CFF">
              <w:rPr>
                <w:rFonts w:ascii="David" w:hAnsi="David"/>
                <w:b/>
                <w:bCs/>
                <w:sz w:val="26"/>
                <w:szCs w:val="26"/>
                <w:rtl/>
              </w:rPr>
              <w:t xml:space="preserve"> מדינת ישראל</w:t>
            </w:r>
          </w:p>
          <w:p w14:paraId="422DEA31" w14:textId="77777777" w:rsidR="00D360D0" w:rsidRPr="00F14CFF" w:rsidRDefault="00D360D0" w:rsidP="000F38A6">
            <w:pPr>
              <w:rPr>
                <w:rFonts w:ascii="David" w:hAnsi="David"/>
                <w:sz w:val="26"/>
                <w:szCs w:val="26"/>
              </w:rPr>
            </w:pPr>
            <w:r w:rsidRPr="00F14CFF">
              <w:rPr>
                <w:rFonts w:ascii="David" w:hAnsi="David"/>
                <w:sz w:val="26"/>
                <w:szCs w:val="26"/>
                <w:rtl/>
              </w:rPr>
              <w:t>באמצעות פרקליטות מחוז ירושלים, פלילי</w:t>
            </w:r>
          </w:p>
          <w:p w14:paraId="767E3223" w14:textId="77777777" w:rsidR="00D360D0" w:rsidRPr="00F14CFF" w:rsidRDefault="00D360D0" w:rsidP="000F38A6">
            <w:pPr>
              <w:rPr>
                <w:rFonts w:ascii="David" w:hAnsi="David"/>
                <w:b/>
                <w:bCs/>
                <w:sz w:val="26"/>
                <w:szCs w:val="26"/>
                <w:rtl/>
              </w:rPr>
            </w:pPr>
            <w:r w:rsidRPr="00F14CFF">
              <w:rPr>
                <w:rFonts w:ascii="David" w:hAnsi="David"/>
                <w:sz w:val="26"/>
                <w:szCs w:val="26"/>
                <w:rtl/>
              </w:rPr>
              <w:t>על ידי ב"כ עו"ד</w:t>
            </w:r>
            <w:r w:rsidRPr="00F14CFF">
              <w:rPr>
                <w:rFonts w:ascii="David" w:hAnsi="David" w:hint="cs"/>
                <w:sz w:val="26"/>
                <w:szCs w:val="26"/>
                <w:rtl/>
              </w:rPr>
              <w:t xml:space="preserve"> בני ליבסקינד</w:t>
            </w:r>
          </w:p>
        </w:tc>
      </w:tr>
      <w:bookmarkEnd w:id="1"/>
      <w:bookmarkEnd w:id="2"/>
      <w:tr w:rsidR="00D360D0" w:rsidRPr="00F14CFF" w14:paraId="5A319A1C" w14:textId="77777777" w:rsidTr="00D360D0">
        <w:tc>
          <w:tcPr>
            <w:tcW w:w="8802" w:type="dxa"/>
            <w:gridSpan w:val="3"/>
            <w:shd w:val="clear" w:color="auto" w:fill="auto"/>
          </w:tcPr>
          <w:p w14:paraId="28E6E6FA" w14:textId="77777777" w:rsidR="00D360D0" w:rsidRPr="00F14CFF" w:rsidRDefault="00D360D0" w:rsidP="000F38A6">
            <w:pPr>
              <w:rPr>
                <w:rFonts w:ascii="David" w:hAnsi="David"/>
                <w:b/>
                <w:bCs/>
                <w:sz w:val="26"/>
                <w:szCs w:val="26"/>
                <w:rtl/>
              </w:rPr>
            </w:pPr>
          </w:p>
          <w:p w14:paraId="3D37D97D" w14:textId="77777777" w:rsidR="00D360D0" w:rsidRPr="00F14CFF" w:rsidRDefault="00D360D0" w:rsidP="000F38A6">
            <w:pPr>
              <w:rPr>
                <w:rFonts w:ascii="David" w:hAnsi="David"/>
                <w:b/>
                <w:bCs/>
                <w:sz w:val="26"/>
                <w:szCs w:val="26"/>
                <w:rtl/>
              </w:rPr>
            </w:pPr>
            <w:r w:rsidRPr="00F14CFF">
              <w:rPr>
                <w:rFonts w:ascii="David" w:hAnsi="David"/>
                <w:b/>
                <w:bCs/>
                <w:sz w:val="26"/>
                <w:szCs w:val="26"/>
                <w:rtl/>
              </w:rPr>
              <w:t xml:space="preserve">                                                                       נגד</w:t>
            </w:r>
          </w:p>
          <w:p w14:paraId="229F73FE" w14:textId="77777777" w:rsidR="00D360D0" w:rsidRPr="00F14CFF" w:rsidRDefault="00D360D0" w:rsidP="000F38A6">
            <w:pPr>
              <w:rPr>
                <w:rFonts w:ascii="David" w:hAnsi="David"/>
                <w:b/>
                <w:bCs/>
                <w:sz w:val="26"/>
                <w:szCs w:val="26"/>
                <w:rtl/>
              </w:rPr>
            </w:pPr>
          </w:p>
        </w:tc>
      </w:tr>
      <w:tr w:rsidR="00D360D0" w:rsidRPr="00F14CFF" w14:paraId="38664C18" w14:textId="77777777" w:rsidTr="00D360D0">
        <w:tc>
          <w:tcPr>
            <w:tcW w:w="2880" w:type="dxa"/>
            <w:shd w:val="clear" w:color="auto" w:fill="auto"/>
          </w:tcPr>
          <w:p w14:paraId="3BF1FEE9" w14:textId="77777777" w:rsidR="00D360D0" w:rsidRPr="00F14CFF" w:rsidRDefault="00D360D0" w:rsidP="000F38A6">
            <w:pPr>
              <w:rPr>
                <w:rFonts w:ascii="David" w:hAnsi="David"/>
                <w:b/>
                <w:bCs/>
                <w:sz w:val="26"/>
                <w:szCs w:val="26"/>
                <w:rtl/>
              </w:rPr>
            </w:pPr>
            <w:r w:rsidRPr="00F14CFF">
              <w:rPr>
                <w:rFonts w:ascii="David" w:hAnsi="David"/>
                <w:b/>
                <w:bCs/>
                <w:sz w:val="26"/>
                <w:szCs w:val="26"/>
                <w:rtl/>
              </w:rPr>
              <w:t>הנאשם</w:t>
            </w:r>
          </w:p>
        </w:tc>
        <w:tc>
          <w:tcPr>
            <w:tcW w:w="5922" w:type="dxa"/>
            <w:gridSpan w:val="2"/>
            <w:shd w:val="clear" w:color="auto" w:fill="auto"/>
          </w:tcPr>
          <w:p w14:paraId="4DCD0936" w14:textId="77777777" w:rsidR="00D360D0" w:rsidRPr="00F14CFF" w:rsidRDefault="00D360D0" w:rsidP="000F38A6">
            <w:pPr>
              <w:rPr>
                <w:rFonts w:ascii="David" w:hAnsi="David"/>
                <w:b/>
                <w:bCs/>
                <w:sz w:val="26"/>
                <w:szCs w:val="26"/>
                <w:rtl/>
              </w:rPr>
            </w:pPr>
            <w:r w:rsidRPr="00F14CFF">
              <w:rPr>
                <w:rFonts w:ascii="David" w:hAnsi="David"/>
                <w:b/>
                <w:bCs/>
                <w:sz w:val="26"/>
                <w:szCs w:val="26"/>
                <w:rtl/>
              </w:rPr>
              <w:t xml:space="preserve">מחמד אל עאדווין (עציר), ת"ז </w:t>
            </w:r>
            <w:r w:rsidR="00F14CFF">
              <w:rPr>
                <w:rFonts w:ascii="David" w:hAnsi="David"/>
                <w:b/>
                <w:bCs/>
                <w:sz w:val="26"/>
                <w:szCs w:val="26"/>
              </w:rPr>
              <w:t>xxxxxxxxx</w:t>
            </w:r>
          </w:p>
          <w:p w14:paraId="4DE72AEB" w14:textId="77777777" w:rsidR="00D360D0" w:rsidRPr="00F14CFF" w:rsidRDefault="00D360D0" w:rsidP="000F38A6">
            <w:pPr>
              <w:rPr>
                <w:rFonts w:ascii="David" w:hAnsi="David"/>
                <w:b/>
                <w:bCs/>
                <w:sz w:val="26"/>
                <w:szCs w:val="26"/>
                <w:rtl/>
              </w:rPr>
            </w:pPr>
            <w:r w:rsidRPr="00F14CFF">
              <w:rPr>
                <w:rFonts w:ascii="David" w:hAnsi="David"/>
                <w:sz w:val="26"/>
                <w:szCs w:val="26"/>
                <w:rtl/>
              </w:rPr>
              <w:t>על ידי ב"כ עו"ד וסים דכוור</w:t>
            </w:r>
          </w:p>
        </w:tc>
      </w:tr>
    </w:tbl>
    <w:p w14:paraId="4781FC93" w14:textId="77777777" w:rsidR="00A404F3" w:rsidRPr="00A404F3" w:rsidRDefault="00A404F3" w:rsidP="00A404F3">
      <w:pPr>
        <w:spacing w:before="120" w:after="120" w:line="240" w:lineRule="exact"/>
        <w:ind w:left="283" w:hanging="283"/>
        <w:jc w:val="both"/>
        <w:rPr>
          <w:rFonts w:ascii="FrankRuehl" w:hAnsi="FrankRuehl" w:cs="FrankRuehl"/>
          <w:rtl/>
        </w:rPr>
      </w:pPr>
    </w:p>
    <w:p w14:paraId="60C374A8" w14:textId="77777777" w:rsidR="00B501D3" w:rsidRDefault="00B501D3" w:rsidP="00B501D3">
      <w:pPr>
        <w:rPr>
          <w:rFonts w:ascii="Arial" w:hAnsi="Arial"/>
          <w:sz w:val="26"/>
          <w:szCs w:val="26"/>
          <w:rtl/>
        </w:rPr>
      </w:pPr>
      <w:bookmarkStart w:id="3" w:name="LawTable"/>
      <w:bookmarkEnd w:id="3"/>
    </w:p>
    <w:p w14:paraId="455F4864" w14:textId="77777777" w:rsidR="00B501D3" w:rsidRPr="00B501D3" w:rsidRDefault="00B501D3" w:rsidP="00B501D3">
      <w:pPr>
        <w:spacing w:before="120" w:after="120" w:line="240" w:lineRule="exact"/>
        <w:ind w:left="283" w:hanging="283"/>
        <w:jc w:val="both"/>
        <w:rPr>
          <w:rFonts w:ascii="FrankRuehl" w:hAnsi="FrankRuehl" w:cs="FrankRuehl"/>
          <w:rtl/>
        </w:rPr>
      </w:pPr>
    </w:p>
    <w:p w14:paraId="73690BBA" w14:textId="77777777" w:rsidR="00B501D3" w:rsidRPr="00B501D3" w:rsidRDefault="00B501D3" w:rsidP="00B501D3">
      <w:pPr>
        <w:spacing w:before="120" w:after="120" w:line="240" w:lineRule="exact"/>
        <w:ind w:left="283" w:hanging="283"/>
        <w:jc w:val="both"/>
        <w:rPr>
          <w:rFonts w:ascii="FrankRuehl" w:hAnsi="FrankRuehl" w:cs="FrankRuehl"/>
          <w:rtl/>
        </w:rPr>
      </w:pPr>
    </w:p>
    <w:p w14:paraId="1FF3D1E3" w14:textId="77777777" w:rsidR="00B501D3" w:rsidRPr="00B501D3" w:rsidRDefault="00B501D3" w:rsidP="00B501D3">
      <w:pPr>
        <w:spacing w:before="120" w:after="120" w:line="240" w:lineRule="exact"/>
        <w:ind w:left="283" w:hanging="283"/>
        <w:jc w:val="both"/>
        <w:rPr>
          <w:rFonts w:ascii="FrankRuehl" w:hAnsi="FrankRuehl" w:cs="FrankRuehl"/>
          <w:rtl/>
        </w:rPr>
      </w:pPr>
      <w:r w:rsidRPr="00B501D3">
        <w:rPr>
          <w:rFonts w:ascii="FrankRuehl" w:hAnsi="FrankRuehl" w:cs="FrankRuehl"/>
          <w:rtl/>
        </w:rPr>
        <w:t xml:space="preserve">חקיקה שאוזכרה: </w:t>
      </w:r>
    </w:p>
    <w:p w14:paraId="67C7B9EB" w14:textId="77777777" w:rsidR="00B501D3" w:rsidRPr="00B501D3" w:rsidRDefault="00B501D3" w:rsidP="00B501D3">
      <w:pPr>
        <w:spacing w:before="120" w:after="120" w:line="240" w:lineRule="exact"/>
        <w:ind w:left="283" w:hanging="283"/>
        <w:jc w:val="both"/>
        <w:rPr>
          <w:rFonts w:ascii="FrankRuehl" w:hAnsi="FrankRuehl" w:cs="FrankRuehl"/>
          <w:rtl/>
        </w:rPr>
      </w:pPr>
      <w:hyperlink r:id="rId7" w:history="1">
        <w:r w:rsidRPr="00B501D3">
          <w:rPr>
            <w:rFonts w:ascii="FrankRuehl" w:hAnsi="FrankRuehl" w:cs="FrankRuehl"/>
            <w:color w:val="0000FF"/>
            <w:rtl/>
          </w:rPr>
          <w:t>חוק העונשין, תשל"ז-1977</w:t>
        </w:r>
      </w:hyperlink>
      <w:r w:rsidRPr="00B501D3">
        <w:rPr>
          <w:rFonts w:ascii="FrankRuehl" w:hAnsi="FrankRuehl" w:cs="FrankRuehl"/>
          <w:rtl/>
        </w:rPr>
        <w:t xml:space="preserve">: סע'  </w:t>
      </w:r>
      <w:hyperlink r:id="rId8" w:history="1">
        <w:r w:rsidRPr="00B501D3">
          <w:rPr>
            <w:rFonts w:ascii="FrankRuehl" w:hAnsi="FrankRuehl" w:cs="FrankRuehl"/>
            <w:color w:val="0000FF"/>
            <w:rtl/>
          </w:rPr>
          <w:t>40ב'</w:t>
        </w:r>
      </w:hyperlink>
      <w:r w:rsidRPr="00B501D3">
        <w:rPr>
          <w:rFonts w:ascii="FrankRuehl" w:hAnsi="FrankRuehl" w:cs="FrankRuehl"/>
          <w:rtl/>
        </w:rPr>
        <w:t xml:space="preserve">, </w:t>
      </w:r>
      <w:hyperlink r:id="rId9" w:history="1">
        <w:r w:rsidRPr="00B501D3">
          <w:rPr>
            <w:rFonts w:ascii="FrankRuehl" w:hAnsi="FrankRuehl" w:cs="FrankRuehl"/>
            <w:color w:val="0000FF"/>
            <w:rtl/>
          </w:rPr>
          <w:t>144(ב)</w:t>
        </w:r>
      </w:hyperlink>
      <w:r w:rsidRPr="00B501D3">
        <w:rPr>
          <w:rFonts w:ascii="FrankRuehl" w:hAnsi="FrankRuehl" w:cs="FrankRuehl"/>
          <w:rtl/>
        </w:rPr>
        <w:t xml:space="preserve">, </w:t>
      </w:r>
      <w:hyperlink r:id="rId10" w:history="1">
        <w:r w:rsidRPr="00B501D3">
          <w:rPr>
            <w:rFonts w:ascii="FrankRuehl" w:hAnsi="FrankRuehl" w:cs="FrankRuehl"/>
            <w:color w:val="0000FF"/>
            <w:rtl/>
          </w:rPr>
          <w:t>333</w:t>
        </w:r>
      </w:hyperlink>
      <w:r w:rsidRPr="00B501D3">
        <w:rPr>
          <w:rFonts w:ascii="FrankRuehl" w:hAnsi="FrankRuehl" w:cs="FrankRuehl"/>
          <w:rtl/>
        </w:rPr>
        <w:t xml:space="preserve">, </w:t>
      </w:r>
      <w:hyperlink r:id="rId11" w:history="1">
        <w:r w:rsidRPr="00B501D3">
          <w:rPr>
            <w:rFonts w:ascii="FrankRuehl" w:hAnsi="FrankRuehl" w:cs="FrankRuehl"/>
            <w:color w:val="0000FF"/>
            <w:rtl/>
          </w:rPr>
          <w:t>335(א)(1)</w:t>
        </w:r>
      </w:hyperlink>
      <w:r w:rsidRPr="00B501D3">
        <w:rPr>
          <w:rFonts w:ascii="FrankRuehl" w:hAnsi="FrankRuehl" w:cs="FrankRuehl"/>
          <w:rtl/>
        </w:rPr>
        <w:t xml:space="preserve">, </w:t>
      </w:r>
      <w:hyperlink r:id="rId12" w:history="1">
        <w:r w:rsidRPr="00B501D3">
          <w:rPr>
            <w:rFonts w:ascii="FrankRuehl" w:hAnsi="FrankRuehl" w:cs="FrankRuehl"/>
            <w:color w:val="0000FF"/>
            <w:rtl/>
          </w:rPr>
          <w:t>340א(ב)(1)</w:t>
        </w:r>
      </w:hyperlink>
    </w:p>
    <w:p w14:paraId="74345F02" w14:textId="77777777" w:rsidR="00B501D3" w:rsidRPr="00B501D3" w:rsidRDefault="00B501D3" w:rsidP="00B501D3">
      <w:pPr>
        <w:rPr>
          <w:rFonts w:ascii="Arial" w:hAnsi="Arial"/>
          <w:sz w:val="26"/>
          <w:szCs w:val="26"/>
          <w:rtl/>
        </w:rPr>
      </w:pPr>
      <w:bookmarkStart w:id="4" w:name="LawTable_End"/>
      <w:bookmarkEnd w:id="4"/>
    </w:p>
    <w:p w14:paraId="182DCC7C" w14:textId="77777777" w:rsidR="00D360D0" w:rsidRPr="00A404F3" w:rsidRDefault="00D360D0" w:rsidP="00A404F3">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60D0" w14:paraId="793E3BCF" w14:textId="77777777" w:rsidTr="00D360D0">
        <w:trPr>
          <w:trHeight w:val="355"/>
          <w:jc w:val="center"/>
        </w:trPr>
        <w:tc>
          <w:tcPr>
            <w:tcW w:w="8820" w:type="dxa"/>
            <w:tcBorders>
              <w:top w:val="nil"/>
              <w:left w:val="nil"/>
              <w:bottom w:val="nil"/>
              <w:right w:val="nil"/>
            </w:tcBorders>
            <w:shd w:val="clear" w:color="auto" w:fill="auto"/>
          </w:tcPr>
          <w:p w14:paraId="300A7528" w14:textId="77777777" w:rsidR="00F14CFF" w:rsidRPr="00F14CFF" w:rsidRDefault="00F14CFF" w:rsidP="00F14CFF">
            <w:pPr>
              <w:jc w:val="center"/>
              <w:rPr>
                <w:rFonts w:ascii="David" w:hAnsi="David"/>
                <w:b/>
                <w:bCs/>
                <w:sz w:val="32"/>
                <w:szCs w:val="32"/>
                <w:u w:val="single"/>
                <w:rtl/>
              </w:rPr>
            </w:pPr>
            <w:bookmarkStart w:id="5" w:name="PsakDin" w:colFirst="0" w:colLast="0"/>
            <w:bookmarkEnd w:id="0"/>
            <w:r w:rsidRPr="00F14CFF">
              <w:rPr>
                <w:rFonts w:ascii="David" w:hAnsi="David"/>
                <w:b/>
                <w:bCs/>
                <w:sz w:val="32"/>
                <w:szCs w:val="32"/>
                <w:u w:val="single"/>
                <w:rtl/>
              </w:rPr>
              <w:t>גזר דין</w:t>
            </w:r>
          </w:p>
          <w:p w14:paraId="1C3D5DA5" w14:textId="77777777" w:rsidR="00D360D0" w:rsidRPr="00F14CFF" w:rsidRDefault="00D360D0" w:rsidP="00F14CFF">
            <w:pPr>
              <w:jc w:val="center"/>
              <w:rPr>
                <w:rFonts w:ascii="David" w:hAnsi="David"/>
                <w:bCs/>
                <w:sz w:val="32"/>
                <w:szCs w:val="32"/>
                <w:u w:val="single"/>
                <w:rtl/>
              </w:rPr>
            </w:pPr>
          </w:p>
        </w:tc>
      </w:tr>
    </w:tbl>
    <w:bookmarkEnd w:id="5"/>
    <w:p w14:paraId="63896F3B" w14:textId="77777777" w:rsidR="00D360D0" w:rsidRDefault="00D360D0" w:rsidP="00D360D0">
      <w:pPr>
        <w:rPr>
          <w:rFonts w:ascii="Arial" w:hAnsi="Arial"/>
          <w:b/>
          <w:bCs/>
          <w:sz w:val="26"/>
          <w:szCs w:val="26"/>
          <w:u w:val="single"/>
          <w:rtl/>
        </w:rPr>
      </w:pPr>
      <w:r w:rsidRPr="00EA6485">
        <w:rPr>
          <w:rFonts w:ascii="Arial" w:hAnsi="Arial" w:hint="cs"/>
          <w:b/>
          <w:bCs/>
          <w:sz w:val="26"/>
          <w:szCs w:val="26"/>
          <w:u w:val="single"/>
          <w:rtl/>
        </w:rPr>
        <w:t>רקע</w:t>
      </w:r>
    </w:p>
    <w:p w14:paraId="2A7D0E2A" w14:textId="77777777" w:rsidR="00D360D0" w:rsidRPr="00EA6485" w:rsidRDefault="00D360D0" w:rsidP="00D360D0">
      <w:pPr>
        <w:rPr>
          <w:rFonts w:ascii="Arial" w:hAnsi="Arial"/>
          <w:b/>
          <w:bCs/>
          <w:sz w:val="12"/>
          <w:szCs w:val="12"/>
          <w:u w:val="single"/>
          <w:rtl/>
        </w:rPr>
      </w:pPr>
    </w:p>
    <w:p w14:paraId="1A953208" w14:textId="77777777" w:rsidR="00D360D0" w:rsidRDefault="00D360D0" w:rsidP="00D360D0">
      <w:pPr>
        <w:numPr>
          <w:ilvl w:val="0"/>
          <w:numId w:val="1"/>
        </w:numPr>
        <w:suppressLineNumbers/>
        <w:spacing w:before="120" w:after="120" w:line="360" w:lineRule="auto"/>
        <w:ind w:left="283" w:hanging="283"/>
        <w:contextualSpacing/>
        <w:jc w:val="both"/>
        <w:rPr>
          <w:rFonts w:ascii="Calibri" w:hAnsi="Calibri"/>
        </w:rPr>
      </w:pPr>
      <w:bookmarkStart w:id="6" w:name="ABSTRACT_START"/>
      <w:bookmarkEnd w:id="6"/>
      <w:r w:rsidRPr="00AC73AA">
        <w:rPr>
          <w:rtl/>
        </w:rPr>
        <w:t xml:space="preserve">הנאשם הורשע, </w:t>
      </w:r>
      <w:r w:rsidRPr="00AC73AA">
        <w:rPr>
          <w:rFonts w:hint="cs"/>
          <w:rtl/>
        </w:rPr>
        <w:t>על פי הודאתו</w:t>
      </w:r>
      <w:r w:rsidRPr="00AC73AA">
        <w:rPr>
          <w:rtl/>
        </w:rPr>
        <w:t xml:space="preserve">, </w:t>
      </w:r>
      <w:r w:rsidRPr="00AC73AA">
        <w:rPr>
          <w:rFonts w:hint="cs"/>
          <w:rtl/>
        </w:rPr>
        <w:t xml:space="preserve">במסגרת הסדר טיעון, </w:t>
      </w:r>
      <w:r w:rsidRPr="00AC73AA">
        <w:rPr>
          <w:rFonts w:ascii="Calibri" w:hAnsi="Calibri" w:hint="cs"/>
          <w:rtl/>
        </w:rPr>
        <w:t>ב</w:t>
      </w:r>
      <w:r>
        <w:rPr>
          <w:rFonts w:ascii="Calibri" w:hAnsi="Calibri" w:hint="cs"/>
          <w:rtl/>
        </w:rPr>
        <w:t>עובדות כתב האישום המתוקן, ב</w:t>
      </w:r>
      <w:r w:rsidRPr="00AC73AA">
        <w:rPr>
          <w:rFonts w:ascii="Calibri" w:hAnsi="Calibri"/>
          <w:rtl/>
        </w:rPr>
        <w:t>עביר</w:t>
      </w:r>
      <w:r w:rsidRPr="00AC73AA">
        <w:rPr>
          <w:rFonts w:ascii="Calibri" w:hAnsi="Calibri" w:hint="cs"/>
          <w:rtl/>
        </w:rPr>
        <w:t>ות של</w:t>
      </w:r>
      <w:r w:rsidRPr="00AC73AA">
        <w:rPr>
          <w:rFonts w:ascii="Calibri" w:hAnsi="Calibri"/>
          <w:rtl/>
        </w:rPr>
        <w:t xml:space="preserve"> נשיאת נשק ותחמושת, לפי </w:t>
      </w:r>
      <w:hyperlink r:id="rId13" w:history="1">
        <w:bookmarkStart w:id="7" w:name="Seif2"/>
        <w:r w:rsidR="00CA54A3" w:rsidRPr="00CA54A3">
          <w:rPr>
            <w:rStyle w:val="Hyperlink"/>
            <w:rFonts w:ascii="Calibri" w:hAnsi="Calibri" w:hint="eastAsia"/>
            <w:rtl/>
          </w:rPr>
          <w:t>סעיף</w:t>
        </w:r>
        <w:r w:rsidR="00CA54A3" w:rsidRPr="00CA54A3">
          <w:rPr>
            <w:rStyle w:val="Hyperlink"/>
            <w:rFonts w:ascii="Calibri" w:hAnsi="Calibri"/>
            <w:rtl/>
          </w:rPr>
          <w:t xml:space="preserve"> </w:t>
        </w:r>
        <w:bookmarkEnd w:id="7"/>
        <w:r w:rsidR="00CA54A3" w:rsidRPr="00CA54A3">
          <w:rPr>
            <w:rStyle w:val="Hyperlink"/>
            <w:rFonts w:ascii="Calibri" w:hAnsi="Calibri"/>
            <w:rtl/>
          </w:rPr>
          <w:t>144(</w:t>
        </w:r>
        <w:r w:rsidR="00CA54A3" w:rsidRPr="00CA54A3">
          <w:rPr>
            <w:rStyle w:val="Hyperlink"/>
            <w:rFonts w:ascii="Calibri" w:hAnsi="Calibri" w:hint="eastAsia"/>
            <w:rtl/>
          </w:rPr>
          <w:t>ב</w:t>
        </w:r>
        <w:r w:rsidR="00CA54A3" w:rsidRPr="00CA54A3">
          <w:rPr>
            <w:rStyle w:val="Hyperlink"/>
            <w:rFonts w:ascii="Calibri" w:hAnsi="Calibri"/>
            <w:rtl/>
          </w:rPr>
          <w:t>)</w:t>
        </w:r>
      </w:hyperlink>
      <w:r w:rsidRPr="00AC73AA">
        <w:rPr>
          <w:rFonts w:ascii="Calibri" w:hAnsi="Calibri"/>
          <w:rtl/>
        </w:rPr>
        <w:t xml:space="preserve"> ל</w:t>
      </w:r>
      <w:hyperlink r:id="rId14" w:history="1">
        <w:r w:rsidR="00F14CFF" w:rsidRPr="00F14CFF">
          <w:rPr>
            <w:rFonts w:ascii="Calibri" w:hAnsi="Calibri" w:hint="eastAsia"/>
            <w:color w:val="0000FF"/>
            <w:u w:val="single"/>
            <w:rtl/>
          </w:rPr>
          <w:t>חוק</w:t>
        </w:r>
        <w:r w:rsidR="00F14CFF" w:rsidRPr="00F14CFF">
          <w:rPr>
            <w:rFonts w:ascii="Calibri" w:hAnsi="Calibri"/>
            <w:color w:val="0000FF"/>
            <w:u w:val="single"/>
            <w:rtl/>
          </w:rPr>
          <w:t xml:space="preserve"> </w:t>
        </w:r>
        <w:r w:rsidR="00F14CFF" w:rsidRPr="00F14CFF">
          <w:rPr>
            <w:rFonts w:ascii="Calibri" w:hAnsi="Calibri" w:hint="eastAsia"/>
            <w:color w:val="0000FF"/>
            <w:u w:val="single"/>
            <w:rtl/>
          </w:rPr>
          <w:t>העונשין</w:t>
        </w:r>
      </w:hyperlink>
      <w:r w:rsidRPr="00AC73AA">
        <w:rPr>
          <w:rFonts w:ascii="Calibri" w:hAnsi="Calibri"/>
          <w:rtl/>
        </w:rPr>
        <w:t xml:space="preserve">, </w:t>
      </w:r>
      <w:r w:rsidRPr="00AC73AA">
        <w:rPr>
          <w:rFonts w:ascii="Tahoma" w:hAnsi="Tahoma"/>
          <w:rtl/>
        </w:rPr>
        <w:t>התשל"ז-1977 (להלן: "החוק")</w:t>
      </w:r>
      <w:r w:rsidRPr="00AC73AA">
        <w:rPr>
          <w:rFonts w:ascii="Calibri" w:hAnsi="Calibri" w:hint="cs"/>
          <w:rtl/>
        </w:rPr>
        <w:t xml:space="preserve">; </w:t>
      </w:r>
      <w:r w:rsidRPr="00AC73AA">
        <w:rPr>
          <w:rFonts w:ascii="David" w:hAnsi="David"/>
          <w:rtl/>
        </w:rPr>
        <w:t xml:space="preserve">חבלה חמורה בנסיבות מחמירות לפי </w:t>
      </w:r>
      <w:hyperlink r:id="rId15" w:history="1">
        <w:bookmarkStart w:id="8" w:name="Seif3"/>
        <w:r w:rsidR="00CA54A3" w:rsidRPr="00CA54A3">
          <w:rPr>
            <w:rStyle w:val="Hyperlink"/>
            <w:rFonts w:ascii="David" w:hAnsi="David"/>
            <w:rtl/>
          </w:rPr>
          <w:t xml:space="preserve">סעיף </w:t>
        </w:r>
        <w:bookmarkEnd w:id="8"/>
        <w:r w:rsidR="00CA54A3" w:rsidRPr="00CA54A3">
          <w:rPr>
            <w:rStyle w:val="Hyperlink"/>
            <w:rFonts w:ascii="David" w:hAnsi="David"/>
            <w:rtl/>
          </w:rPr>
          <w:t>333</w:t>
        </w:r>
      </w:hyperlink>
      <w:r w:rsidRPr="00AC73AA">
        <w:rPr>
          <w:rFonts w:ascii="David" w:hAnsi="David"/>
          <w:rtl/>
        </w:rPr>
        <w:t xml:space="preserve"> </w:t>
      </w:r>
      <w:r w:rsidRPr="00AC73AA">
        <w:rPr>
          <w:rFonts w:ascii="David" w:hAnsi="David" w:hint="cs"/>
          <w:rtl/>
        </w:rPr>
        <w:t>בצירוף</w:t>
      </w:r>
      <w:r w:rsidRPr="00AC73AA">
        <w:rPr>
          <w:rFonts w:ascii="David" w:hAnsi="David"/>
          <w:rtl/>
        </w:rPr>
        <w:t xml:space="preserve"> </w:t>
      </w:r>
      <w:hyperlink r:id="rId16" w:history="1">
        <w:r w:rsidR="00CA54A3" w:rsidRPr="00CA54A3">
          <w:rPr>
            <w:rStyle w:val="Hyperlink"/>
            <w:rFonts w:ascii="David" w:hAnsi="David"/>
            <w:rtl/>
          </w:rPr>
          <w:t>335(א)(1)</w:t>
        </w:r>
      </w:hyperlink>
      <w:r w:rsidRPr="00AC73AA">
        <w:rPr>
          <w:rFonts w:ascii="David" w:hAnsi="David" w:hint="cs"/>
          <w:rtl/>
        </w:rPr>
        <w:t xml:space="preserve"> לחוק; </w:t>
      </w:r>
      <w:r w:rsidRPr="00AC73AA">
        <w:rPr>
          <w:rFonts w:ascii="David" w:hAnsi="David"/>
          <w:rtl/>
        </w:rPr>
        <w:t xml:space="preserve">ירי מנשק חם לפי </w:t>
      </w:r>
      <w:hyperlink r:id="rId17" w:history="1">
        <w:bookmarkStart w:id="9" w:name="Seif4"/>
        <w:r w:rsidR="00CA54A3" w:rsidRPr="00CA54A3">
          <w:rPr>
            <w:rStyle w:val="Hyperlink"/>
            <w:rFonts w:ascii="David" w:hAnsi="David"/>
            <w:rtl/>
          </w:rPr>
          <w:t xml:space="preserve">סעיף </w:t>
        </w:r>
        <w:bookmarkEnd w:id="9"/>
        <w:r w:rsidR="00CA54A3" w:rsidRPr="00CA54A3">
          <w:rPr>
            <w:rStyle w:val="Hyperlink"/>
            <w:rFonts w:ascii="David" w:hAnsi="David"/>
            <w:rtl/>
          </w:rPr>
          <w:t>340א(ב)(1)</w:t>
        </w:r>
      </w:hyperlink>
      <w:r w:rsidRPr="00AC73AA">
        <w:rPr>
          <w:rFonts w:ascii="David" w:hAnsi="David"/>
          <w:rtl/>
        </w:rPr>
        <w:t xml:space="preserve"> לחוק</w:t>
      </w:r>
      <w:bookmarkStart w:id="10" w:name="ABSTRACT_END"/>
      <w:bookmarkEnd w:id="10"/>
      <w:r>
        <w:rPr>
          <w:rFonts w:ascii="Calibri" w:hAnsi="Calibri" w:hint="cs"/>
          <w:rtl/>
        </w:rPr>
        <w:t xml:space="preserve">. </w:t>
      </w:r>
    </w:p>
    <w:p w14:paraId="68AD2F66" w14:textId="77777777" w:rsidR="00D360D0" w:rsidRPr="00AC73AA" w:rsidRDefault="00D360D0" w:rsidP="00D360D0">
      <w:pPr>
        <w:suppressLineNumbers/>
        <w:spacing w:before="120" w:after="120" w:line="360" w:lineRule="auto"/>
        <w:ind w:left="283"/>
        <w:contextualSpacing/>
        <w:jc w:val="both"/>
        <w:rPr>
          <w:rFonts w:ascii="Calibri" w:hAnsi="Calibri"/>
          <w:sz w:val="12"/>
          <w:szCs w:val="12"/>
        </w:rPr>
      </w:pPr>
    </w:p>
    <w:p w14:paraId="57005BBB" w14:textId="77777777" w:rsidR="00D360D0" w:rsidRDefault="00D360D0" w:rsidP="00D360D0">
      <w:pPr>
        <w:numPr>
          <w:ilvl w:val="0"/>
          <w:numId w:val="1"/>
        </w:numPr>
        <w:suppressLineNumbers/>
        <w:spacing w:before="120" w:after="120" w:line="360" w:lineRule="auto"/>
        <w:ind w:left="283" w:hanging="283"/>
        <w:contextualSpacing/>
        <w:jc w:val="both"/>
        <w:rPr>
          <w:rFonts w:ascii="David" w:hAnsi="David"/>
        </w:rPr>
      </w:pPr>
      <w:r w:rsidRPr="00D57436">
        <w:rPr>
          <w:rFonts w:ascii="Calibri" w:hAnsi="Calibri" w:hint="cs"/>
          <w:rtl/>
        </w:rPr>
        <w:t xml:space="preserve">מעובדות כתב האישום המתוקן עולה, כי </w:t>
      </w:r>
      <w:r w:rsidRPr="00D57436">
        <w:rPr>
          <w:rFonts w:ascii="David" w:hAnsi="David"/>
          <w:rtl/>
        </w:rPr>
        <w:t>הנאשם הוא קרוב משפחתם של מוחמד עדווין (להלן: "</w:t>
      </w:r>
      <w:r w:rsidRPr="00D57436">
        <w:rPr>
          <w:rFonts w:ascii="David" w:hAnsi="David"/>
          <w:b/>
          <w:bCs/>
          <w:rtl/>
        </w:rPr>
        <w:t>מוחמד</w:t>
      </w:r>
      <w:r w:rsidRPr="00D57436">
        <w:rPr>
          <w:rFonts w:ascii="David" w:hAnsi="David"/>
          <w:rtl/>
        </w:rPr>
        <w:t>") ואחיו מחמוד עדווין (להלן: "</w:t>
      </w:r>
      <w:r w:rsidRPr="00D57436">
        <w:rPr>
          <w:rFonts w:ascii="David" w:hAnsi="David"/>
          <w:b/>
          <w:bCs/>
          <w:rtl/>
        </w:rPr>
        <w:t>מחמוד</w:t>
      </w:r>
      <w:r w:rsidRPr="00D57436">
        <w:rPr>
          <w:rFonts w:ascii="David" w:hAnsi="David"/>
          <w:rtl/>
        </w:rPr>
        <w:t>") וכן של שחאדה עדווין (להלן: "</w:t>
      </w:r>
      <w:r w:rsidRPr="00D57436">
        <w:rPr>
          <w:rFonts w:ascii="David" w:hAnsi="David"/>
          <w:b/>
          <w:bCs/>
          <w:rtl/>
        </w:rPr>
        <w:t>שחאדה</w:t>
      </w:r>
      <w:r w:rsidRPr="00D57436">
        <w:rPr>
          <w:rFonts w:ascii="David" w:hAnsi="David"/>
          <w:rtl/>
        </w:rPr>
        <w:t xml:space="preserve">"). </w:t>
      </w:r>
      <w:r w:rsidRPr="00D57436">
        <w:rPr>
          <w:rFonts w:ascii="Calibri" w:hAnsi="Calibri" w:hint="cs"/>
          <w:rtl/>
        </w:rPr>
        <w:t xml:space="preserve"> </w:t>
      </w:r>
      <w:r w:rsidRPr="00D57436">
        <w:rPr>
          <w:rFonts w:ascii="David" w:hAnsi="David"/>
          <w:rtl/>
        </w:rPr>
        <w:t>במועד הרלוונטי למתואר להלן, היה קיים סכסוך בין משפחת הנאשם לבין משפח</w:t>
      </w:r>
      <w:r>
        <w:rPr>
          <w:rFonts w:ascii="David" w:hAnsi="David" w:hint="cs"/>
          <w:rtl/>
        </w:rPr>
        <w:t>תם</w:t>
      </w:r>
      <w:r w:rsidRPr="00D57436">
        <w:rPr>
          <w:rFonts w:ascii="David" w:hAnsi="David"/>
          <w:rtl/>
        </w:rPr>
        <w:t xml:space="preserve"> של מוחמד ומחמוד. בתאריך 2.7.21 בשעות הערב התקיים מפגש משפחתי בביתו של סעדי עדווין – אביהם של מוחמד ומחמוד – לצורך קיום סולחה בין הצדדים, במסגרתו הוחלט, בין היתר, כי הנאשם לא יתקרב לבית המשפחה של מוחמד ומחמוד. באותו התאריך, בשעה 23:30 או בסמוך לכך, יצאו מהבית מוחמד ושחאדה. הנאשם הגיע למקום ומוחמד ושחאדה צעקו לעברו</w:t>
      </w:r>
      <w:r w:rsidRPr="00D57436">
        <w:rPr>
          <w:rFonts w:ascii="David" w:hAnsi="David" w:hint="cs"/>
          <w:rtl/>
        </w:rPr>
        <w:t>,</w:t>
      </w:r>
      <w:r w:rsidRPr="00D57436">
        <w:rPr>
          <w:rFonts w:ascii="David" w:hAnsi="David"/>
          <w:rtl/>
        </w:rPr>
        <w:t xml:space="preserve"> כי אסור לו להיות במקום. בשלב מסוים, בשל הסכסוך הקיים בין המשפחות ומשחש הנאשם מאוים בעקבות מספר יריות שנשמעו מכיוון הימצאות המתלוננים, שלף הנאשם אקדח והחל לירות </w:t>
      </w:r>
      <w:r w:rsidRPr="00D57436">
        <w:rPr>
          <w:rFonts w:ascii="David" w:hAnsi="David"/>
          <w:rtl/>
        </w:rPr>
        <w:lastRenderedPageBreak/>
        <w:t xml:space="preserve">מספר רב של כדורים. הנאשם ירה </w:t>
      </w:r>
      <w:bookmarkStart w:id="11" w:name="Seif7"/>
      <w:r w:rsidRPr="00D57436">
        <w:rPr>
          <w:rFonts w:ascii="David" w:hAnsi="David"/>
          <w:rtl/>
        </w:rPr>
        <w:t xml:space="preserve">חלק מהכדורים </w:t>
      </w:r>
      <w:bookmarkEnd w:id="11"/>
      <w:r w:rsidRPr="00D57436">
        <w:rPr>
          <w:rFonts w:ascii="David" w:hAnsi="David"/>
          <w:rtl/>
        </w:rPr>
        <w:t>באוויר</w:t>
      </w:r>
      <w:r w:rsidRPr="00D57436">
        <w:rPr>
          <w:rFonts w:ascii="David" w:hAnsi="David" w:hint="cs"/>
          <w:rtl/>
        </w:rPr>
        <w:t>,</w:t>
      </w:r>
      <w:r w:rsidRPr="00D57436">
        <w:rPr>
          <w:rFonts w:ascii="David" w:hAnsi="David"/>
          <w:rtl/>
        </w:rPr>
        <w:t xml:space="preserve"> וזאת בסמוך לבתי השכונה במקום</w:t>
      </w:r>
      <w:r w:rsidRPr="00D57436">
        <w:rPr>
          <w:rFonts w:ascii="David" w:hAnsi="David" w:hint="cs"/>
          <w:rtl/>
        </w:rPr>
        <w:t>,</w:t>
      </w:r>
      <w:r w:rsidRPr="00D57436">
        <w:rPr>
          <w:rFonts w:ascii="David" w:hAnsi="David"/>
          <w:rtl/>
        </w:rPr>
        <w:t xml:space="preserve"> ו</w:t>
      </w:r>
      <w:bookmarkStart w:id="12" w:name="Seif8"/>
      <w:r w:rsidRPr="00D57436">
        <w:rPr>
          <w:rFonts w:ascii="David" w:hAnsi="David"/>
          <w:rtl/>
        </w:rPr>
        <w:t xml:space="preserve">חלק מהכדורים </w:t>
      </w:r>
      <w:bookmarkEnd w:id="12"/>
      <w:r w:rsidRPr="00D57436">
        <w:rPr>
          <w:rFonts w:ascii="David" w:hAnsi="David"/>
          <w:rtl/>
        </w:rPr>
        <w:t>ירה לכיוון רגליהם של מוחמד ושחאדה, וזאת ממרחק של כשלושה מטרים. בעקבות כך ברחו מוחמד ושחאדה מהמקום.</w:t>
      </w:r>
      <w:r>
        <w:rPr>
          <w:rFonts w:ascii="David" w:hAnsi="David" w:hint="cs"/>
          <w:rtl/>
        </w:rPr>
        <w:t xml:space="preserve"> </w:t>
      </w:r>
      <w:r w:rsidRPr="00D57436">
        <w:rPr>
          <w:rFonts w:ascii="David" w:hAnsi="David"/>
          <w:rtl/>
        </w:rPr>
        <w:t xml:space="preserve">בעקבות קולות הירי הגיע למקום גם מחמוד. הנאשם הבחין במחמוד וכיון את האקדח, וזאת ממרחק של כשלושה מטרים. מחמוד התכופף והתחבא ואף זרק לעבר הנאשם אבנים על מנת שהנאשם לא יירה, ובמקביל ירה </w:t>
      </w:r>
      <w:r>
        <w:rPr>
          <w:rFonts w:ascii="David" w:hAnsi="David" w:hint="cs"/>
          <w:rtl/>
        </w:rPr>
        <w:t xml:space="preserve">הנאשם </w:t>
      </w:r>
      <w:r w:rsidRPr="00D57436">
        <w:rPr>
          <w:rFonts w:ascii="David" w:hAnsi="David"/>
          <w:rtl/>
        </w:rPr>
        <w:t>לכיוונו של מחמוד מספר כדורים. לאחר מכן ברח הנאשם מהמקום.</w:t>
      </w:r>
    </w:p>
    <w:p w14:paraId="43CC028E" w14:textId="77777777" w:rsidR="00D360D0" w:rsidRPr="00D57436" w:rsidRDefault="00D360D0" w:rsidP="00D360D0">
      <w:pPr>
        <w:suppressLineNumbers/>
        <w:spacing w:before="120" w:after="120" w:line="360" w:lineRule="auto"/>
        <w:ind w:left="720"/>
        <w:contextualSpacing/>
        <w:jc w:val="both"/>
        <w:rPr>
          <w:rFonts w:ascii="David" w:hAnsi="David"/>
          <w:sz w:val="12"/>
          <w:szCs w:val="12"/>
        </w:rPr>
      </w:pPr>
    </w:p>
    <w:p w14:paraId="048AD177" w14:textId="77777777" w:rsidR="00D360D0" w:rsidRDefault="00D360D0" w:rsidP="00D360D0">
      <w:pPr>
        <w:numPr>
          <w:ilvl w:val="0"/>
          <w:numId w:val="1"/>
        </w:numPr>
        <w:suppressLineNumbers/>
        <w:spacing w:before="120" w:after="120" w:line="360" w:lineRule="auto"/>
        <w:ind w:left="283" w:hanging="283"/>
        <w:contextualSpacing/>
        <w:jc w:val="both"/>
        <w:rPr>
          <w:rFonts w:ascii="David" w:hAnsi="David"/>
        </w:rPr>
      </w:pPr>
      <w:r>
        <w:rPr>
          <w:rFonts w:ascii="David" w:hAnsi="David"/>
          <w:rtl/>
        </w:rPr>
        <w:t xml:space="preserve">כתוצאה מהמתואר לעיל פונו מחמוד, מוחמד ושחאדה לבית החולים ונגרמו להם הפציעות הבאות: </w:t>
      </w:r>
    </w:p>
    <w:p w14:paraId="5C926778" w14:textId="77777777" w:rsidR="00D360D0" w:rsidRDefault="00D360D0" w:rsidP="00D360D0">
      <w:pPr>
        <w:pStyle w:val="a9"/>
        <w:spacing w:line="360" w:lineRule="auto"/>
        <w:jc w:val="both"/>
        <w:rPr>
          <w:rFonts w:ascii="David" w:hAnsi="David" w:cs="David"/>
          <w:sz w:val="24"/>
          <w:szCs w:val="24"/>
          <w:rtl/>
        </w:rPr>
      </w:pPr>
      <w:r>
        <w:rPr>
          <w:rFonts w:ascii="David" w:hAnsi="David" w:cs="David"/>
          <w:sz w:val="24"/>
          <w:szCs w:val="24"/>
          <w:rtl/>
        </w:rPr>
        <w:t>למחמוד – פציעת רסיס בעין ימין מעל העפעף שגרם לחתך של 0.5 ס"מ ושני פצעי ירי שטחיים בחזה ימין</w:t>
      </w:r>
      <w:r>
        <w:rPr>
          <w:rFonts w:ascii="David" w:hAnsi="David" w:cs="David" w:hint="cs"/>
          <w:sz w:val="24"/>
          <w:szCs w:val="24"/>
          <w:rtl/>
        </w:rPr>
        <w:t>,</w:t>
      </w:r>
      <w:r>
        <w:rPr>
          <w:rFonts w:ascii="David" w:hAnsi="David" w:cs="David"/>
          <w:sz w:val="24"/>
          <w:szCs w:val="24"/>
          <w:rtl/>
        </w:rPr>
        <w:t xml:space="preserve"> כאשר באחד מהם נותר רסיס. הרסיסים הוצאו בבית החולים.</w:t>
      </w:r>
    </w:p>
    <w:p w14:paraId="77984AFF" w14:textId="77777777" w:rsidR="00D360D0" w:rsidRPr="00D57436" w:rsidRDefault="00D360D0" w:rsidP="00D360D0">
      <w:pPr>
        <w:pStyle w:val="a9"/>
        <w:spacing w:line="360" w:lineRule="auto"/>
        <w:jc w:val="both"/>
        <w:rPr>
          <w:rFonts w:ascii="David" w:hAnsi="David" w:cs="David"/>
          <w:sz w:val="12"/>
          <w:szCs w:val="12"/>
        </w:rPr>
      </w:pPr>
    </w:p>
    <w:p w14:paraId="288201C3" w14:textId="77777777" w:rsidR="00D360D0" w:rsidRDefault="00D360D0" w:rsidP="00D360D0">
      <w:pPr>
        <w:pStyle w:val="a9"/>
        <w:spacing w:line="360" w:lineRule="auto"/>
        <w:jc w:val="both"/>
        <w:rPr>
          <w:rFonts w:ascii="David" w:hAnsi="David" w:cs="David"/>
          <w:sz w:val="24"/>
          <w:szCs w:val="24"/>
        </w:rPr>
      </w:pPr>
      <w:r>
        <w:rPr>
          <w:rFonts w:ascii="David" w:hAnsi="David" w:cs="David"/>
          <w:sz w:val="24"/>
          <w:szCs w:val="24"/>
          <w:rtl/>
        </w:rPr>
        <w:t>למחמוד – נגרם פצע כניסה ופצע יציאה של קליע בכף רגל ימין, שניהם בגודל של 1 ס"מ ובעומק של 0.5 ס"מ, וכן פציעת מרסיסים מרובים ברגל ימין ומרסיס נוסף באזור חזה ימין.</w:t>
      </w:r>
    </w:p>
    <w:p w14:paraId="1E8A69B0" w14:textId="77777777" w:rsidR="00D360D0" w:rsidRDefault="00D360D0" w:rsidP="00D360D0">
      <w:pPr>
        <w:pStyle w:val="a9"/>
        <w:spacing w:line="360" w:lineRule="auto"/>
        <w:jc w:val="both"/>
        <w:rPr>
          <w:rFonts w:ascii="David" w:hAnsi="David" w:cs="David"/>
          <w:sz w:val="24"/>
          <w:szCs w:val="24"/>
          <w:rtl/>
        </w:rPr>
      </w:pPr>
      <w:r>
        <w:rPr>
          <w:rFonts w:ascii="David" w:hAnsi="David" w:cs="David"/>
          <w:sz w:val="24"/>
          <w:szCs w:val="24"/>
          <w:rtl/>
        </w:rPr>
        <w:t>לשחאדה – נגרם פצע שטחי בירך שמאל.</w:t>
      </w:r>
    </w:p>
    <w:p w14:paraId="3F05423B"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Calibri" w:hAnsi="Calibri" w:hint="cs"/>
          <w:rtl/>
        </w:rPr>
        <w:t>במסגרת הסדר הטיעון לא היתה הסכמה לעניין העונש וכל צד נותר חופשי בטיעוניו. הטיעונים לעונש נדחו לאחר קבלת תסקיר שירות המבחן, מאחר שישנה חובה שבדין לכך, לאור גילו של הנאשם בעת ביצוע העבירה, 19</w:t>
      </w:r>
      <w:r w:rsidRPr="00082769">
        <w:rPr>
          <w:rFonts w:ascii="Calibri" w:hAnsi="Calibri" w:hint="cs"/>
          <w:rtl/>
        </w:rPr>
        <w:t xml:space="preserve"> שנים</w:t>
      </w:r>
      <w:r w:rsidRPr="00082769">
        <w:rPr>
          <w:rFonts w:ascii="Arial" w:hAnsi="Arial" w:hint="cs"/>
          <w:sz w:val="26"/>
          <w:szCs w:val="26"/>
          <w:rtl/>
        </w:rPr>
        <w:t>.</w:t>
      </w:r>
      <w:r w:rsidRPr="001723B7">
        <w:rPr>
          <w:rFonts w:ascii="Arial" w:hAnsi="Arial" w:hint="cs"/>
          <w:rtl/>
        </w:rPr>
        <w:t xml:space="preserve"> </w:t>
      </w:r>
      <w:r>
        <w:rPr>
          <w:rFonts w:ascii="Arial" w:hAnsi="Arial" w:hint="cs"/>
          <w:rtl/>
        </w:rPr>
        <w:t>בנוסף, הגיעו הצדדים להסכמה עובדתית לפיה ב</w:t>
      </w:r>
      <w:bookmarkStart w:id="13" w:name="Seif5"/>
      <w:r>
        <w:rPr>
          <w:rFonts w:ascii="Arial" w:hAnsi="Arial" w:hint="cs"/>
          <w:rtl/>
        </w:rPr>
        <w:t xml:space="preserve">סעיף </w:t>
      </w:r>
      <w:bookmarkEnd w:id="13"/>
      <w:r>
        <w:rPr>
          <w:rFonts w:ascii="Arial" w:hAnsi="Arial" w:hint="cs"/>
          <w:rtl/>
        </w:rPr>
        <w:t>3 לכתב האישום, המילה "מקום" מתייחסת לכביש ציבורי הממוקם מספר מטרים מביתו של הנאשם.</w:t>
      </w:r>
    </w:p>
    <w:p w14:paraId="47CA9B3D" w14:textId="77777777" w:rsidR="00D360D0" w:rsidRDefault="00D360D0" w:rsidP="00D360D0">
      <w:pPr>
        <w:suppressLineNumbers/>
        <w:spacing w:before="120" w:after="120" w:line="360" w:lineRule="auto"/>
        <w:ind w:left="283"/>
        <w:contextualSpacing/>
        <w:jc w:val="both"/>
        <w:rPr>
          <w:rFonts w:ascii="Arial" w:hAnsi="Arial"/>
          <w:b/>
          <w:bCs/>
          <w:sz w:val="26"/>
          <w:szCs w:val="26"/>
          <w:rtl/>
        </w:rPr>
      </w:pPr>
    </w:p>
    <w:p w14:paraId="42B249C7" w14:textId="77777777" w:rsidR="00D360D0" w:rsidRDefault="00D360D0" w:rsidP="00D360D0">
      <w:pPr>
        <w:spacing w:line="360" w:lineRule="auto"/>
        <w:rPr>
          <w:rFonts w:ascii="Arial" w:hAnsi="Arial"/>
          <w:b/>
          <w:bCs/>
          <w:u w:val="single"/>
          <w:rtl/>
        </w:rPr>
      </w:pPr>
      <w:r w:rsidRPr="00C0336B">
        <w:rPr>
          <w:rFonts w:ascii="Arial" w:hAnsi="Arial" w:hint="cs"/>
          <w:b/>
          <w:bCs/>
          <w:u w:val="single"/>
          <w:rtl/>
        </w:rPr>
        <w:t>תסקיר שירות מבחן</w:t>
      </w:r>
    </w:p>
    <w:p w14:paraId="4CC5303B" w14:textId="77777777" w:rsidR="00D360D0" w:rsidRPr="00EA6485" w:rsidRDefault="00D360D0" w:rsidP="00D360D0">
      <w:pPr>
        <w:spacing w:line="360" w:lineRule="auto"/>
        <w:rPr>
          <w:rFonts w:ascii="Arial" w:hAnsi="Arial"/>
          <w:b/>
          <w:bCs/>
          <w:sz w:val="12"/>
          <w:szCs w:val="12"/>
          <w:u w:val="single"/>
          <w:rtl/>
        </w:rPr>
      </w:pPr>
    </w:p>
    <w:p w14:paraId="43D83893"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sidRPr="00C0336B">
        <w:rPr>
          <w:rFonts w:ascii="Arial" w:hAnsi="Arial" w:hint="cs"/>
          <w:rtl/>
        </w:rPr>
        <w:t>מתסקיר שירות המבחן עולה</w:t>
      </w:r>
      <w:r>
        <w:rPr>
          <w:rFonts w:ascii="Arial" w:hAnsi="Arial" w:hint="cs"/>
          <w:rtl/>
        </w:rPr>
        <w:t>,</w:t>
      </w:r>
      <w:r w:rsidRPr="00C0336B">
        <w:rPr>
          <w:rFonts w:ascii="Arial" w:hAnsi="Arial" w:hint="cs"/>
          <w:rtl/>
        </w:rPr>
        <w:t xml:space="preserve"> כי הנאשם </w:t>
      </w:r>
      <w:r>
        <w:rPr>
          <w:rFonts w:ascii="Arial" w:hAnsi="Arial" w:hint="cs"/>
          <w:rtl/>
        </w:rPr>
        <w:t>כ</w:t>
      </w:r>
      <w:r w:rsidRPr="00C0336B">
        <w:rPr>
          <w:rFonts w:ascii="Arial" w:hAnsi="Arial" w:hint="cs"/>
          <w:rtl/>
        </w:rPr>
        <w:t>בן 22, רווק</w:t>
      </w:r>
      <w:r>
        <w:rPr>
          <w:rFonts w:ascii="Arial" w:hAnsi="Arial" w:hint="cs"/>
          <w:rtl/>
        </w:rPr>
        <w:t>, אשר טרם מעצרו התגורר עם משפחתו בירושלים ועבד בחברת אלומיניום. משפחת המוצא מונה זוג הורים ושבעה ילדים, כאשר הנאשם הוא השלישי בסדר הלידה. אביו כבן 50, עובד בשערי צדק כאחראי עובדי ניקיון, ואמו בת 48 ואינה עובדת. הנאשם מסר לשירות המבחן כי יש לו שני אחים רווקים המבוגרים ממנו המתגוררים בבית הוריו, כאשר אחיו הגדול שוהה במאסר, אך הנאשם נמנע מלמסור את סיבת מעצרו. הנאשם השלים תשע שנות לימוד. לאחר מכן למד את מקצוע חשמלאי רכב במשך כשנתיים במסגרת מ</w:t>
      </w:r>
      <w:bookmarkStart w:id="14" w:name="Seif11"/>
      <w:r>
        <w:rPr>
          <w:rFonts w:ascii="Arial" w:hAnsi="Arial" w:hint="cs"/>
          <w:rtl/>
        </w:rPr>
        <w:t>כלל "</w:t>
      </w:r>
      <w:bookmarkEnd w:id="14"/>
      <w:r>
        <w:rPr>
          <w:rFonts w:ascii="Arial" w:hAnsi="Arial" w:hint="cs"/>
          <w:rtl/>
        </w:rPr>
        <w:t>אורט". עם סיום לימודיו עבד תקופה קצרה בתחום, ובהמשך השתלב בעבודה בחברת אלומיניום עד למעצרו. הנאשם שלל שימוש או התנסות בחומרים פסיכו-אקטיביים, והוא נעדר מעורבות קודמת בפלילים.</w:t>
      </w:r>
    </w:p>
    <w:p w14:paraId="58FF43E1" w14:textId="77777777" w:rsidR="00D360D0" w:rsidRPr="00F90DE5" w:rsidRDefault="00D360D0" w:rsidP="00D360D0">
      <w:pPr>
        <w:spacing w:line="360" w:lineRule="auto"/>
        <w:jc w:val="both"/>
        <w:rPr>
          <w:rFonts w:ascii="Arial" w:hAnsi="Arial"/>
          <w:sz w:val="12"/>
          <w:szCs w:val="12"/>
          <w:rtl/>
        </w:rPr>
      </w:pPr>
    </w:p>
    <w:p w14:paraId="53DBFED5"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 xml:space="preserve">אשר לביצוע העבירה- הנאשם התקשה לקחת אחריות למעשיו ומסר, כי ביצע את העבירה מתוך לחץ וצורך להגן על עצמו ועל בני משפחתו. הוא לא הצליח לראות את חומרת מעשיו ואת הפגיעה באחרים, ותיאר את עצמו ואת משפחתו כקורבנות לסיטואציה, והתקשה לבטא חרטה או </w:t>
      </w:r>
      <w:r>
        <w:rPr>
          <w:rFonts w:ascii="Arial" w:hAnsi="Arial" w:hint="cs"/>
          <w:rtl/>
        </w:rPr>
        <w:lastRenderedPageBreak/>
        <w:t>אמפתיה כלפי נפגעי העבירה. שירות המבחן התרשם, כי הנאשם פעל באופן אימפולסיבי, ללא חשיבה על השלכות מעשיו וחומרתם.</w:t>
      </w:r>
    </w:p>
    <w:p w14:paraId="39CC0107" w14:textId="77777777" w:rsidR="00D360D0" w:rsidRPr="001723B7" w:rsidRDefault="00D360D0" w:rsidP="00D360D0">
      <w:pPr>
        <w:spacing w:line="360" w:lineRule="auto"/>
        <w:jc w:val="both"/>
        <w:rPr>
          <w:rFonts w:ascii="Arial" w:hAnsi="Arial"/>
          <w:sz w:val="12"/>
          <w:szCs w:val="12"/>
          <w:rtl/>
        </w:rPr>
      </w:pPr>
    </w:p>
    <w:p w14:paraId="6250469A"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אשר להערכת הסיכון והסיכוי- שירות המבחן התרשם מצעיר בעל יכולת תפקוד והסתגלות בתחום התעסוקה, נעדר עבר פלילי, שגדל במשפחה מתפקדת המהווה עבורו מסגרת תומכת, והוא שואף לנהל אורח חיים שומר חוק בעתיד. מנגד, שירות המבחן התרשם מפער בין תפקודו התקין לבין התנהלותו במסגרת העבירה הנדונה. להערכת שירות המבחן, בשל חוסר בשלות רגשית ובשל שיקול דעת אימפולסיבי, טושטש הגבול בין המותר לאסור, והנאשם התקשה לשקול את השלכות מעשיו ונענה ללחץ סביבתי. בנוסף, כדרך לטשטש קשיים רגשיים וחוסר ביטחון, התקשה הנאשם להכיר בבעייתיות שבהתנהלותו.</w:t>
      </w:r>
    </w:p>
    <w:p w14:paraId="3CB172B7" w14:textId="77777777" w:rsidR="00D360D0" w:rsidRPr="001723B7" w:rsidRDefault="00D360D0" w:rsidP="00D360D0">
      <w:pPr>
        <w:spacing w:line="360" w:lineRule="auto"/>
        <w:jc w:val="both"/>
        <w:rPr>
          <w:rFonts w:ascii="Arial" w:hAnsi="Arial"/>
          <w:sz w:val="12"/>
          <w:szCs w:val="12"/>
          <w:rtl/>
        </w:rPr>
      </w:pPr>
    </w:p>
    <w:p w14:paraId="7E8A981D"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סופו של דבר, המליץ שירות המבחן על ענישה של מאסר בפועל, כאשר להיקף העונש יילקח בחשבון גילו הצעיר של הנאשם והעובדה שמדובר במעורבותו הראשונה בפלילים. עוד המליץ שירות המבחן על הטלת מאסר על תנאי כעונש מרתיע הצופה פני עתיד.</w:t>
      </w:r>
    </w:p>
    <w:p w14:paraId="25FA953C" w14:textId="77777777" w:rsidR="00D360D0" w:rsidRDefault="00D360D0" w:rsidP="00D360D0">
      <w:pPr>
        <w:spacing w:line="360" w:lineRule="auto"/>
        <w:jc w:val="both"/>
        <w:rPr>
          <w:rFonts w:ascii="Arial" w:hAnsi="Arial"/>
          <w:rtl/>
        </w:rPr>
      </w:pPr>
    </w:p>
    <w:p w14:paraId="193BECA6" w14:textId="77777777" w:rsidR="00D360D0" w:rsidRDefault="00D360D0" w:rsidP="00D360D0">
      <w:pPr>
        <w:spacing w:line="360" w:lineRule="auto"/>
        <w:jc w:val="both"/>
        <w:rPr>
          <w:rFonts w:ascii="Arial" w:hAnsi="Arial"/>
          <w:rtl/>
        </w:rPr>
      </w:pPr>
      <w:r w:rsidRPr="00C622E7">
        <w:rPr>
          <w:rFonts w:ascii="Arial" w:hAnsi="Arial" w:hint="cs"/>
          <w:b/>
          <w:bCs/>
          <w:u w:val="single"/>
          <w:rtl/>
        </w:rPr>
        <w:t xml:space="preserve">טיעוני </w:t>
      </w:r>
      <w:r>
        <w:rPr>
          <w:rFonts w:ascii="Arial" w:hAnsi="Arial" w:hint="cs"/>
          <w:b/>
          <w:bCs/>
          <w:u w:val="single"/>
          <w:rtl/>
        </w:rPr>
        <w:t>הצדדים לעונש</w:t>
      </w:r>
    </w:p>
    <w:p w14:paraId="2AF26B95" w14:textId="77777777" w:rsidR="00D360D0" w:rsidRPr="00EA6485" w:rsidRDefault="00D360D0" w:rsidP="00D360D0">
      <w:pPr>
        <w:spacing w:line="360" w:lineRule="auto"/>
        <w:jc w:val="both"/>
        <w:rPr>
          <w:rFonts w:ascii="Arial" w:hAnsi="Arial"/>
          <w:sz w:val="10"/>
          <w:szCs w:val="10"/>
          <w:rtl/>
        </w:rPr>
      </w:pPr>
    </w:p>
    <w:p w14:paraId="3115ED59" w14:textId="77777777" w:rsidR="00D360D0" w:rsidRPr="00EA6485"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במסגרת הטיעונים לעונש הגיש ב"כ המאשימה, את הצהרת נפגע העבירה מחמוד עדווין (ת/1). מהתצהיר</w:t>
      </w:r>
      <w:r w:rsidRPr="00EA6485">
        <w:rPr>
          <w:rFonts w:ascii="Arial" w:hAnsi="Arial" w:hint="cs"/>
          <w:rtl/>
        </w:rPr>
        <w:t xml:space="preserve"> עולה</w:t>
      </w:r>
      <w:r>
        <w:rPr>
          <w:rFonts w:ascii="Arial" w:hAnsi="Arial" w:hint="cs"/>
          <w:rtl/>
        </w:rPr>
        <w:t>,</w:t>
      </w:r>
      <w:r w:rsidRPr="00EA6485">
        <w:rPr>
          <w:rFonts w:ascii="Arial" w:hAnsi="Arial" w:hint="cs"/>
          <w:rtl/>
        </w:rPr>
        <w:t xml:space="preserve"> כי נגרמו לו נזקים בבית החזה ומעל עין ימין כתוצאה מפגיעת הכדור ורסיסי הכדור. בנוסף לנזק הפיזי, נגרם לו נזק נפשי כתוצאה מפחד ומחשבה על האירוע, וכן ביעותי לילה והוא לא עבד במשך חודש וחצי. עוד הוסיף נפגע העבירה, כי אשתו הייתה בהיריון בעת האירוע וכתוצאה מירי על הבית, אחז אותה פחד והיא הפילה את עוברה. יוער, כי שני נפגעי העבירה האחרים לא הגישו הצהרת נפגע עבירה. </w:t>
      </w:r>
    </w:p>
    <w:p w14:paraId="313F4E58" w14:textId="77777777" w:rsidR="00D360D0" w:rsidRPr="007B5491" w:rsidRDefault="00D360D0" w:rsidP="00D360D0">
      <w:pPr>
        <w:spacing w:line="360" w:lineRule="auto"/>
        <w:jc w:val="both"/>
        <w:rPr>
          <w:rFonts w:ascii="Arial" w:hAnsi="Arial"/>
          <w:sz w:val="12"/>
          <w:szCs w:val="12"/>
          <w:rtl/>
        </w:rPr>
      </w:pPr>
    </w:p>
    <w:p w14:paraId="64AD45BB"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אשר לעונש- הדגיש ב"כ המאשימה, כי מדובר בשלוש עבירות שהעונש הקבוע בגינן הוא 14, 10 ו-5 שנות מאסר. אמנם אין מדובר באירוע מתוכנן, אולם הנאשם התקרב לבית משפחת המתלוננים למרות שהוסכם שהוא לא יתקרב לשם, אף לאחר שצעקו לעברו שאסור לו להיות שם. הנאשם הגיע למקום כשהוא מצויד באקדח, כאשר בכל שלב הוא יכול היה להתרחק מהמקום ולהישאר בביתו או ללכת משם ולא לשאת עליו נשק. גם לאחר הירי, כאשר נמלטו מוחמד ושחאדה, הוא יכול היה לעזוב את המקום, אבל הוא נשאר ומכוון את האקדח ויורה גם במחמוד ופוצע אותו. מדובר בירי של מספר רב של כדורים, כאשר חלקו היחסי בעבירה הוא מרכזי. גם אם הנאשם חש מאוים והדבר הוביל לירי, אין עדות לכך שהמתלוננים הם אלו שירו לעברו, ואין מחלוקת שמדובר בסכסוך הדדי. הנאשם הוא היחיד שיורה וממשיך בירי גם לאחר שנפגעי העבירה נמלטים מהמקום ופוגע במחמוד, שלא עשה כל צעד מאיים כלפיו.</w:t>
      </w:r>
    </w:p>
    <w:p w14:paraId="665906E0" w14:textId="77777777" w:rsidR="00D360D0" w:rsidRPr="00EA6485" w:rsidRDefault="00D360D0" w:rsidP="00D360D0">
      <w:pPr>
        <w:spacing w:line="360" w:lineRule="auto"/>
        <w:jc w:val="both"/>
        <w:rPr>
          <w:rFonts w:ascii="Arial" w:hAnsi="Arial"/>
          <w:sz w:val="12"/>
          <w:szCs w:val="12"/>
          <w:rtl/>
        </w:rPr>
      </w:pPr>
    </w:p>
    <w:p w14:paraId="0069A774"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לדידו של ב"כ המאשימה, אין קרבה לסיג הגנה עצמית במקרה זה, שכן הנאשם לא עמד באף אחת מדרישות סיג ההגנה העצמית: לא הייתה נחיצות לירות; לא הייתה מידיות; הירי היה לא מידתי ונבע מהתנהגותו הפסולה. הנאשם, כאמור, נשאר במקום גם כשהתבקש ללכת, ומגיע מצויד בנשק למקום. הוא יורה מספר רב של יריות, כאשר עמדה לפניו האפשרות לעזוב את המקום, וגרם לנזק משמעותי לנפגעי העבירה.</w:t>
      </w:r>
    </w:p>
    <w:p w14:paraId="7049CC14" w14:textId="77777777" w:rsidR="00D360D0" w:rsidRPr="007B5491" w:rsidRDefault="00D360D0" w:rsidP="00D360D0">
      <w:pPr>
        <w:spacing w:line="360" w:lineRule="auto"/>
        <w:jc w:val="both"/>
        <w:rPr>
          <w:rFonts w:ascii="Arial" w:hAnsi="Arial"/>
          <w:sz w:val="12"/>
          <w:szCs w:val="12"/>
          <w:rtl/>
        </w:rPr>
      </w:pPr>
    </w:p>
    <w:p w14:paraId="5A270B49"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ב"כ המאשימה הדגיש את הצורך בהחמרה בעבירות הנשק, בוודאי כאשר מדובר בירי באזור מגורים, כשפוטנציאל הנזק הוא גבוה מאוד, ומדובר במספר רב של יריות. זאת בנוסף לפגיעה בשלושה אנשים שנזקקו לטיפול רפואי. ב"כ המאשימה הפנה לפסיקה לתמיכה בטיעוניו, וציין כי הנשק לא אותר. בנסיבות אלה עתר ב"כ המאשימה להשתת מתחם עונש הולם הנע בין 4 וחצי ל-7 וחצי שנות מאסר, וביקש למקם את הנאשם בתחתית מתחם העונש ההולם, זאת מאחר שהודה, לקח אחריות למעשיו, חסך מזמנו של בית המשפט, ומדובר בזמן משמעותי, בשים לב לכך שמדובר באירוע מורכב. ב"כ המאשימה סבר שהיה מקום לקבוע מתחם עונש הולם גבוה יותר ולהשית על הנאשם עונש חמור יותר. אולם, בשל העמדה העונשית שנמסרה לב"כ הנאשם בעבר, בשל מורכבות התיק, עוד טרם הסדר הטיעון, לא עתר לכך. עוד ביקש להשית על הנאשם עונש של מאסר על תנאי וקנס ופיצוי לנפגעי העבירה.</w:t>
      </w:r>
    </w:p>
    <w:p w14:paraId="26E8C6AA" w14:textId="77777777" w:rsidR="00D360D0" w:rsidRPr="007B5491" w:rsidRDefault="00D360D0" w:rsidP="00D360D0">
      <w:pPr>
        <w:spacing w:line="360" w:lineRule="auto"/>
        <w:jc w:val="both"/>
        <w:rPr>
          <w:rFonts w:ascii="Arial" w:hAnsi="Arial"/>
          <w:sz w:val="12"/>
          <w:szCs w:val="12"/>
          <w:rtl/>
        </w:rPr>
      </w:pPr>
    </w:p>
    <w:p w14:paraId="4B1A24C0"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ב"כ הנאשם הדגיש, כי יש להיצמד לעובדות כתב האישום ולהסכמה לפיה המקום בו התרחש האירוע היה מקום ציבורי הסמוך לביתו של הנאשם. כמו כן, מדובר במי שנורו לעברו יריות והוא חש מאוים. הוא לא הפר כל הסכם עם נפגעי העבירה, ולכן במצב דברים זה, לדידו, מתקיימת קרבה לסייג ההגנה העצמית, ועל כן יש לקבוע את מתחם העונש בהתאם. ב"כ הנאשם הפנה לפסיקה עניפה בעניין הגנה עצמית, וטען כי יש כאן קרבה גדולה מאוד להתקיימות הסייג. כמו כן, השלים טיעוניו בכתב והתייחס לפסיקה בעניין מתחם העונש ההולם אשר לנשיאת נשק. על כן, בנסיבות אלה סבר שמתחם העונש ההולם נע בין 12 ל-18 חודשי מאסר. אשר לעונש המתאים- ציין, כי מדובר בנאשם נעדר עבר פלילי, צעיר אשר לקח אחריות מלאה למעשיו, ולקיחת האחריות המסויגת נובעת מכך ששירות המבחן לא התחשב בתיקון שנעשה בכתב האישום. בנוסף, יש להתחשב בכך שהנאשם שהה במעצר שנה וארבעה חודשים, והאירוע התרחש טרם ההחמרה המשמעותית בפסיקת בית המשפט העליון בעבירות הנשק. עוד ציין ב"כ הנאשם, כי הוא מודע להחמרה בענישה על עבירות של נשיאת נשק, אולם סבור שאירוע הירי צריך להיבלע בעבירת נשיאת הנשק. סופו של דבר, ביקש להתחשב בנאשם עד כמה שניתן, ולהשית עליו עונש שלא יעלה על 18 חודשי מאסר.</w:t>
      </w:r>
    </w:p>
    <w:p w14:paraId="4500AE0B" w14:textId="77777777" w:rsidR="00D360D0" w:rsidRPr="00F826C1" w:rsidRDefault="00D360D0" w:rsidP="00D360D0">
      <w:pPr>
        <w:spacing w:line="360" w:lineRule="auto"/>
        <w:jc w:val="both"/>
        <w:rPr>
          <w:rFonts w:ascii="Arial" w:hAnsi="Arial"/>
          <w:sz w:val="12"/>
          <w:szCs w:val="12"/>
          <w:rtl/>
        </w:rPr>
      </w:pPr>
    </w:p>
    <w:p w14:paraId="4621C319" w14:textId="77777777" w:rsidR="00D360D0" w:rsidRDefault="00D360D0" w:rsidP="00D360D0">
      <w:pPr>
        <w:numPr>
          <w:ilvl w:val="0"/>
          <w:numId w:val="1"/>
        </w:numPr>
        <w:suppressLineNumbers/>
        <w:spacing w:before="120" w:after="120" w:line="360" w:lineRule="auto"/>
        <w:ind w:left="283" w:hanging="283"/>
        <w:contextualSpacing/>
        <w:jc w:val="both"/>
        <w:rPr>
          <w:rFonts w:ascii="Arial" w:hAnsi="Arial"/>
          <w:rtl/>
        </w:rPr>
      </w:pPr>
      <w:r>
        <w:rPr>
          <w:rFonts w:ascii="Arial" w:hAnsi="Arial" w:hint="cs"/>
          <w:rtl/>
        </w:rPr>
        <w:t>הנאשם לא ביקש להוסיף על דברי בא כוחו והצטרף לדבריו.</w:t>
      </w:r>
    </w:p>
    <w:p w14:paraId="18466D87" w14:textId="77777777" w:rsidR="00D360D0" w:rsidRDefault="00D360D0" w:rsidP="00D360D0">
      <w:pPr>
        <w:rPr>
          <w:rFonts w:ascii="Arial" w:hAnsi="Arial"/>
          <w:b/>
          <w:bCs/>
          <w:sz w:val="26"/>
          <w:szCs w:val="26"/>
          <w:rtl/>
        </w:rPr>
      </w:pPr>
    </w:p>
    <w:p w14:paraId="60E4868B" w14:textId="77777777" w:rsidR="00D360D0" w:rsidRDefault="00D360D0" w:rsidP="00D360D0">
      <w:pPr>
        <w:rPr>
          <w:rFonts w:ascii="David" w:hAnsi="David"/>
          <w:b/>
          <w:bCs/>
          <w:u w:val="single"/>
          <w:rtl/>
        </w:rPr>
      </w:pPr>
      <w:r>
        <w:rPr>
          <w:rFonts w:ascii="David" w:hAnsi="David"/>
          <w:b/>
          <w:bCs/>
          <w:u w:val="single"/>
          <w:rtl/>
        </w:rPr>
        <w:t>דיון והכרעה</w:t>
      </w:r>
    </w:p>
    <w:p w14:paraId="3A0A6CAC" w14:textId="77777777" w:rsidR="00D360D0" w:rsidRPr="00F826C1" w:rsidRDefault="00D360D0" w:rsidP="00D360D0">
      <w:pPr>
        <w:spacing w:line="360" w:lineRule="auto"/>
        <w:rPr>
          <w:rFonts w:ascii="David" w:hAnsi="David"/>
          <w:sz w:val="12"/>
          <w:szCs w:val="12"/>
          <w:u w:val="single"/>
          <w:rtl/>
        </w:rPr>
      </w:pPr>
    </w:p>
    <w:p w14:paraId="3CF7C4B9" w14:textId="77777777" w:rsidR="00D360D0" w:rsidRDefault="00D360D0" w:rsidP="00D360D0">
      <w:pPr>
        <w:spacing w:line="360" w:lineRule="auto"/>
        <w:rPr>
          <w:rFonts w:ascii="David" w:hAnsi="David"/>
          <w:b/>
          <w:bCs/>
          <w:u w:val="single"/>
          <w:rtl/>
        </w:rPr>
      </w:pPr>
      <w:r w:rsidRPr="006F1E91">
        <w:rPr>
          <w:rFonts w:ascii="David" w:hAnsi="David"/>
          <w:b/>
          <w:bCs/>
          <w:u w:val="single"/>
          <w:rtl/>
        </w:rPr>
        <w:t>מתחם העונש ההולם</w:t>
      </w:r>
    </w:p>
    <w:p w14:paraId="0842B691" w14:textId="77777777" w:rsidR="00D360D0" w:rsidRPr="00F826C1" w:rsidRDefault="00D360D0" w:rsidP="00D360D0">
      <w:pPr>
        <w:spacing w:line="360" w:lineRule="auto"/>
        <w:rPr>
          <w:rFonts w:ascii="David" w:hAnsi="David"/>
          <w:b/>
          <w:bCs/>
          <w:sz w:val="12"/>
          <w:szCs w:val="12"/>
          <w:u w:val="single"/>
        </w:rPr>
      </w:pPr>
    </w:p>
    <w:p w14:paraId="0262857D" w14:textId="77777777" w:rsidR="00D360D0" w:rsidRDefault="00D360D0" w:rsidP="00D360D0">
      <w:pPr>
        <w:numPr>
          <w:ilvl w:val="0"/>
          <w:numId w:val="1"/>
        </w:numPr>
        <w:suppressLineNumbers/>
        <w:spacing w:before="120" w:after="120" w:line="360" w:lineRule="auto"/>
        <w:ind w:left="283" w:hanging="283"/>
        <w:contextualSpacing/>
        <w:jc w:val="both"/>
        <w:rPr>
          <w:rFonts w:ascii="David" w:hAnsi="David"/>
          <w:rtl/>
        </w:rPr>
      </w:pPr>
      <w:r>
        <w:rPr>
          <w:rFonts w:ascii="David" w:hAnsi="David"/>
          <w:rtl/>
        </w:rPr>
        <w:t xml:space="preserve">בהתאם </w:t>
      </w:r>
      <w:hyperlink r:id="rId18" w:history="1">
        <w:r w:rsidR="00CA54A3" w:rsidRPr="00CA54A3">
          <w:rPr>
            <w:rStyle w:val="Hyperlink"/>
            <w:rFonts w:ascii="David" w:hAnsi="David"/>
            <w:rtl/>
          </w:rPr>
          <w:t>ל</w:t>
        </w:r>
        <w:bookmarkStart w:id="15" w:name="Seif6"/>
        <w:r w:rsidR="00CA54A3" w:rsidRPr="00CA54A3">
          <w:rPr>
            <w:rStyle w:val="Hyperlink"/>
            <w:rFonts w:ascii="David" w:hAnsi="David"/>
            <w:rtl/>
          </w:rPr>
          <w:t xml:space="preserve">סעיף </w:t>
        </w:r>
        <w:bookmarkEnd w:id="15"/>
        <w:r w:rsidR="00CA54A3" w:rsidRPr="00CA54A3">
          <w:rPr>
            <w:rStyle w:val="Hyperlink"/>
            <w:rFonts w:ascii="David" w:hAnsi="David"/>
            <w:rtl/>
          </w:rPr>
          <w:t>40ב'</w:t>
        </w:r>
      </w:hyperlink>
      <w:r>
        <w:rPr>
          <w:rFonts w:ascii="David" w:hAnsi="David"/>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18A7B15A" w14:textId="77777777" w:rsidR="00D360D0" w:rsidRPr="00F826C1" w:rsidRDefault="00D360D0" w:rsidP="00D360D0">
      <w:pPr>
        <w:suppressLineNumbers/>
        <w:spacing w:before="120" w:after="120" w:line="360" w:lineRule="auto"/>
        <w:ind w:left="283"/>
        <w:contextualSpacing/>
        <w:jc w:val="both"/>
        <w:rPr>
          <w:rFonts w:ascii="David" w:hAnsi="David"/>
          <w:sz w:val="12"/>
          <w:szCs w:val="12"/>
        </w:rPr>
      </w:pPr>
    </w:p>
    <w:p w14:paraId="744B923A" w14:textId="77777777" w:rsidR="00D360D0" w:rsidRDefault="00D360D0" w:rsidP="00D360D0">
      <w:pPr>
        <w:numPr>
          <w:ilvl w:val="0"/>
          <w:numId w:val="1"/>
        </w:numPr>
        <w:suppressLineNumbers/>
        <w:spacing w:before="120" w:after="120" w:line="360" w:lineRule="auto"/>
        <w:ind w:left="283" w:hanging="283"/>
        <w:contextualSpacing/>
        <w:jc w:val="both"/>
        <w:rPr>
          <w:rFonts w:ascii="David" w:hAnsi="David"/>
        </w:rPr>
      </w:pPr>
      <w:r>
        <w:rPr>
          <w:rFonts w:ascii="David" w:hAnsi="David"/>
          <w:rtl/>
        </w:rPr>
        <w:t>הערכים החברתיים עליהם יש להגן מפני אלה המבצעים עבירות בנשק הם הגנה על שלום הציבור וביטחונו, שמירה על שלמות גופו ורכושו של אדם ומניעת פגיעה משמעותית בהם כתוצאה משימוש בנשק חם. כמו כן, ירי באמצעות נשק באזור מגורים או באזור שבו מצויים אנשים נוספים בקרבת מקום, אפילו כאשר הוא מכוון לאוויר, יש בו כדי ליצור סיכון לפגיעה בגוף או בנפש, וב</w:t>
      </w:r>
      <w:bookmarkStart w:id="16" w:name="Seif9"/>
      <w:r>
        <w:rPr>
          <w:rFonts w:ascii="David" w:hAnsi="David"/>
          <w:rtl/>
        </w:rPr>
        <w:t xml:space="preserve">פרט כאשר </w:t>
      </w:r>
      <w:bookmarkEnd w:id="16"/>
      <w:r>
        <w:rPr>
          <w:rFonts w:ascii="David" w:hAnsi="David"/>
          <w:rtl/>
        </w:rPr>
        <w:t xml:space="preserve">הירי נעשה על ידי מי שאינו מיומן בכך. </w:t>
      </w:r>
    </w:p>
    <w:p w14:paraId="1235A552" w14:textId="77777777" w:rsidR="00D360D0" w:rsidRPr="00F826C1" w:rsidRDefault="00D360D0" w:rsidP="00D360D0">
      <w:pPr>
        <w:suppressLineNumbers/>
        <w:spacing w:before="120" w:after="120" w:line="360" w:lineRule="auto"/>
        <w:ind w:left="283"/>
        <w:contextualSpacing/>
        <w:jc w:val="both"/>
        <w:rPr>
          <w:rFonts w:ascii="David" w:hAnsi="David"/>
          <w:sz w:val="12"/>
          <w:szCs w:val="12"/>
        </w:rPr>
      </w:pPr>
    </w:p>
    <w:p w14:paraId="2F140425" w14:textId="77777777" w:rsidR="00D360D0" w:rsidRDefault="00D360D0" w:rsidP="00D360D0">
      <w:pPr>
        <w:numPr>
          <w:ilvl w:val="0"/>
          <w:numId w:val="1"/>
        </w:numPr>
        <w:suppressLineNumbers/>
        <w:spacing w:line="360" w:lineRule="auto"/>
        <w:ind w:left="283" w:hanging="283"/>
        <w:contextualSpacing/>
        <w:jc w:val="both"/>
        <w:rPr>
          <w:rFonts w:ascii="David" w:hAnsi="David"/>
        </w:rPr>
      </w:pPr>
      <w:r>
        <w:rPr>
          <w:rFonts w:ascii="David" w:hAnsi="David"/>
          <w:rtl/>
        </w:rPr>
        <w:t>בית המשפט העליון חזר פעם אחר פעם על החומרה הגלומה בעבירות נשק, ועל פוטנציאל הפגיעה בנפש וברכוש שעלולים להיגרם כתוצאה מהשימוש בו. זאת ביתר שאת כאשר השימוש בנשק נעשה כאמצעי ליישוב סכסוכים, שהוא תופעה "המאיימת על הסדר הציבורי, על ביטחונם האישי של אזרחי המדינה ועל חוסנה של החברה" (</w:t>
      </w:r>
      <w:hyperlink r:id="rId19" w:history="1">
        <w:r w:rsidR="00F14CFF" w:rsidRPr="00F14CFF">
          <w:rPr>
            <w:rFonts w:ascii="David" w:hAnsi="David"/>
            <w:color w:val="0000FF"/>
            <w:u w:val="single"/>
            <w:rtl/>
          </w:rPr>
          <w:t>ע"פ 1275/22</w:t>
        </w:r>
      </w:hyperlink>
      <w:r>
        <w:rPr>
          <w:rFonts w:ascii="David" w:hAnsi="David"/>
          <w:rtl/>
        </w:rPr>
        <w:t xml:space="preserve"> </w:t>
      </w:r>
      <w:r>
        <w:rPr>
          <w:rFonts w:ascii="David" w:hAnsi="David"/>
          <w:b/>
          <w:bCs/>
          <w:rtl/>
        </w:rPr>
        <w:t>פלוני נ' מדינת ישראל</w:t>
      </w:r>
      <w:r>
        <w:rPr>
          <w:rFonts w:ascii="David" w:hAnsi="David"/>
          <w:rtl/>
        </w:rPr>
        <w:t xml:space="preserve"> (נבו 30.11.2022)</w:t>
      </w:r>
    </w:p>
    <w:p w14:paraId="2DEFD29D" w14:textId="77777777" w:rsidR="00D360D0" w:rsidRPr="00F826C1" w:rsidRDefault="00D360D0" w:rsidP="00D360D0">
      <w:pPr>
        <w:pStyle w:val="a9"/>
        <w:spacing w:after="0"/>
        <w:rPr>
          <w:rFonts w:ascii="David" w:hAnsi="David" w:cs="David"/>
          <w:sz w:val="12"/>
          <w:szCs w:val="12"/>
          <w:rtl/>
        </w:rPr>
      </w:pPr>
    </w:p>
    <w:p w14:paraId="646F9C56" w14:textId="77777777" w:rsidR="00D360D0" w:rsidRDefault="00D360D0" w:rsidP="00D360D0">
      <w:pPr>
        <w:numPr>
          <w:ilvl w:val="0"/>
          <w:numId w:val="1"/>
        </w:numPr>
        <w:suppressLineNumbers/>
        <w:spacing w:line="360" w:lineRule="auto"/>
        <w:ind w:left="283" w:hanging="283"/>
        <w:contextualSpacing/>
        <w:jc w:val="both"/>
        <w:rPr>
          <w:rFonts w:ascii="David" w:hAnsi="David"/>
        </w:rPr>
      </w:pPr>
      <w:r>
        <w:rPr>
          <w:rFonts w:ascii="David" w:hAnsi="David" w:hint="cs"/>
          <w:rtl/>
        </w:rPr>
        <w:t>עוד יפים</w:t>
      </w:r>
      <w:r w:rsidRPr="00711D74">
        <w:rPr>
          <w:rFonts w:ascii="David" w:hAnsi="David" w:hint="cs"/>
          <w:rtl/>
        </w:rPr>
        <w:t xml:space="preserve"> </w:t>
      </w:r>
      <w:r>
        <w:rPr>
          <w:rFonts w:ascii="David" w:hAnsi="David" w:hint="cs"/>
          <w:rtl/>
        </w:rPr>
        <w:t>בהקשר זה, הדברים שנאמרו מפי בית המשפט העליון, ב</w:t>
      </w:r>
      <w:hyperlink r:id="rId20" w:history="1">
        <w:r w:rsidR="00F14CFF" w:rsidRPr="00F14CFF">
          <w:rPr>
            <w:rFonts w:ascii="David" w:hAnsi="David"/>
            <w:color w:val="0000FF"/>
            <w:u w:val="single"/>
            <w:rtl/>
          </w:rPr>
          <w:t>ע"פ 32/14</w:t>
        </w:r>
      </w:hyperlink>
      <w:r>
        <w:rPr>
          <w:rFonts w:ascii="David" w:hAnsi="David"/>
          <w:rtl/>
        </w:rPr>
        <w:t xml:space="preserve"> </w:t>
      </w:r>
      <w:r>
        <w:rPr>
          <w:rFonts w:ascii="David" w:hAnsi="David"/>
          <w:b/>
          <w:bCs/>
          <w:rtl/>
        </w:rPr>
        <w:t>עמאש נ' מדינת ישראל</w:t>
      </w:r>
      <w:r>
        <w:rPr>
          <w:rFonts w:ascii="David" w:hAnsi="David"/>
          <w:rtl/>
        </w:rPr>
        <w:t xml:space="preserve"> (17.9.15): </w:t>
      </w:r>
    </w:p>
    <w:p w14:paraId="28CD7E23" w14:textId="77777777" w:rsidR="00D360D0" w:rsidRPr="00711D74" w:rsidRDefault="00D360D0" w:rsidP="00D360D0">
      <w:pPr>
        <w:pStyle w:val="a9"/>
        <w:spacing w:line="360" w:lineRule="auto"/>
        <w:ind w:left="567" w:right="567"/>
        <w:jc w:val="both"/>
        <w:rPr>
          <w:rFonts w:ascii="David" w:hAnsi="David" w:cs="David"/>
          <w:b/>
          <w:bCs/>
          <w:sz w:val="12"/>
          <w:szCs w:val="12"/>
          <w:rtl/>
        </w:rPr>
      </w:pPr>
    </w:p>
    <w:p w14:paraId="6E6CD7F5" w14:textId="77777777" w:rsidR="00D360D0" w:rsidRDefault="00D360D0" w:rsidP="00D360D0">
      <w:pPr>
        <w:pStyle w:val="a9"/>
        <w:spacing w:line="360" w:lineRule="auto"/>
        <w:ind w:left="567" w:right="567"/>
        <w:jc w:val="both"/>
        <w:rPr>
          <w:rFonts w:ascii="David" w:hAnsi="David" w:cs="David"/>
          <w:sz w:val="24"/>
          <w:szCs w:val="24"/>
          <w:rtl/>
        </w:rPr>
      </w:pPr>
      <w:r w:rsidRPr="00711D74">
        <w:rPr>
          <w:rFonts w:ascii="David" w:hAnsi="David" w:cs="David"/>
          <w:b/>
          <w:bCs/>
          <w:sz w:val="24"/>
          <w:szCs w:val="24"/>
          <w:rtl/>
        </w:rPr>
        <w:t>"רבות נאמר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אין מנוס מהטלת עונש מאסר של ממש בנסיבות אלו, גם אם מדובר באנשים נורמטיביים ללא עבר פלילי מכביד"</w:t>
      </w:r>
      <w:r>
        <w:rPr>
          <w:rFonts w:ascii="David" w:hAnsi="David" w:cs="David" w:hint="cs"/>
          <w:sz w:val="24"/>
          <w:szCs w:val="24"/>
          <w:rtl/>
        </w:rPr>
        <w:t>.</w:t>
      </w:r>
    </w:p>
    <w:p w14:paraId="60A5CAA3" w14:textId="77777777" w:rsidR="00D360D0" w:rsidRPr="00711D74" w:rsidRDefault="00D360D0" w:rsidP="00D360D0">
      <w:pPr>
        <w:pStyle w:val="a9"/>
        <w:spacing w:line="360" w:lineRule="auto"/>
        <w:ind w:left="1927" w:right="1134"/>
        <w:jc w:val="both"/>
        <w:rPr>
          <w:rFonts w:ascii="David" w:hAnsi="David" w:cs="David"/>
          <w:sz w:val="2"/>
          <w:szCs w:val="2"/>
        </w:rPr>
      </w:pPr>
    </w:p>
    <w:p w14:paraId="535BBA23" w14:textId="77777777" w:rsidR="00D360D0" w:rsidRDefault="00D360D0" w:rsidP="00D360D0">
      <w:pPr>
        <w:numPr>
          <w:ilvl w:val="0"/>
          <w:numId w:val="1"/>
        </w:numPr>
        <w:suppressLineNumbers/>
        <w:spacing w:line="360" w:lineRule="auto"/>
        <w:ind w:left="283" w:hanging="283"/>
        <w:contextualSpacing/>
        <w:jc w:val="both"/>
        <w:rPr>
          <w:rFonts w:ascii="David" w:hAnsi="David"/>
          <w:rtl/>
        </w:rPr>
      </w:pPr>
      <w:r>
        <w:rPr>
          <w:rFonts w:ascii="David" w:hAnsi="David"/>
          <w:rtl/>
        </w:rPr>
        <w:t xml:space="preserve">הערכים החברתיים אשר עליהם מגנה עבירת החבלה החמורה </w:t>
      </w:r>
      <w:r>
        <w:rPr>
          <w:rFonts w:ascii="David" w:hAnsi="David" w:hint="cs"/>
          <w:rtl/>
        </w:rPr>
        <w:t xml:space="preserve">בנסיבות מחמירות, </w:t>
      </w:r>
      <w:r>
        <w:rPr>
          <w:rFonts w:ascii="David" w:hAnsi="David"/>
          <w:rtl/>
        </w:rPr>
        <w:t>הם ערך שלמות הגוף, וכן ההגנה על שלום הציבור ובטחונו. המחוקק ייחס לעבירת זו דרגת חומרה גבוהה הבאה לידי ביטוי</w:t>
      </w:r>
      <w:r>
        <w:rPr>
          <w:rFonts w:ascii="David" w:hAnsi="David" w:hint="cs"/>
          <w:rtl/>
        </w:rPr>
        <w:t>,</w:t>
      </w:r>
      <w:r>
        <w:rPr>
          <w:rFonts w:ascii="David" w:hAnsi="David"/>
          <w:rtl/>
        </w:rPr>
        <w:t xml:space="preserve"> בכך שקבע לצידה עונש מאסר של עד 14 שנה. עמדה זו משקפת את היחס החברתי כלפי פגיעה בערכים </w:t>
      </w:r>
      <w:r>
        <w:rPr>
          <w:rFonts w:ascii="David" w:hAnsi="David" w:hint="cs"/>
          <w:rtl/>
        </w:rPr>
        <w:t>אלה</w:t>
      </w:r>
      <w:r>
        <w:rPr>
          <w:rFonts w:ascii="David" w:hAnsi="David"/>
          <w:rtl/>
        </w:rPr>
        <w:t>.</w:t>
      </w:r>
    </w:p>
    <w:p w14:paraId="0100B247" w14:textId="77777777" w:rsidR="00D360D0" w:rsidRPr="008071D8" w:rsidRDefault="00D360D0" w:rsidP="00D360D0">
      <w:pPr>
        <w:suppressLineNumbers/>
        <w:spacing w:line="360" w:lineRule="auto"/>
        <w:ind w:left="283"/>
        <w:contextualSpacing/>
        <w:jc w:val="both"/>
        <w:rPr>
          <w:rFonts w:ascii="David" w:hAnsi="David"/>
          <w:sz w:val="12"/>
          <w:szCs w:val="12"/>
        </w:rPr>
      </w:pPr>
    </w:p>
    <w:p w14:paraId="12C3EDF1" w14:textId="77777777" w:rsidR="00D360D0" w:rsidRDefault="00D360D0" w:rsidP="00D360D0">
      <w:pPr>
        <w:numPr>
          <w:ilvl w:val="0"/>
          <w:numId w:val="1"/>
        </w:numPr>
        <w:suppressLineNumbers/>
        <w:spacing w:line="360" w:lineRule="auto"/>
        <w:ind w:left="283" w:hanging="283"/>
        <w:contextualSpacing/>
        <w:jc w:val="both"/>
        <w:rPr>
          <w:rFonts w:ascii="David" w:hAnsi="David"/>
        </w:rPr>
      </w:pPr>
      <w:r>
        <w:rPr>
          <w:rFonts w:ascii="David" w:hAnsi="David"/>
          <w:rtl/>
        </w:rPr>
        <w:t>אשר לענישה הנוהגת:</w:t>
      </w:r>
    </w:p>
    <w:p w14:paraId="018BE71C" w14:textId="77777777" w:rsidR="00D360D0" w:rsidRPr="008071D8" w:rsidRDefault="00D360D0" w:rsidP="00D360D0">
      <w:pPr>
        <w:suppressLineNumbers/>
        <w:spacing w:line="360" w:lineRule="auto"/>
        <w:ind w:left="283"/>
        <w:contextualSpacing/>
        <w:jc w:val="both"/>
        <w:rPr>
          <w:rFonts w:ascii="David" w:hAnsi="David"/>
          <w:sz w:val="12"/>
          <w:szCs w:val="12"/>
        </w:rPr>
      </w:pPr>
    </w:p>
    <w:p w14:paraId="6F2DD0C2" w14:textId="77777777" w:rsidR="00D360D0" w:rsidRDefault="00D360D0" w:rsidP="00D360D0">
      <w:pPr>
        <w:numPr>
          <w:ilvl w:val="1"/>
          <w:numId w:val="1"/>
        </w:numPr>
        <w:suppressLineNumbers/>
        <w:spacing w:line="360" w:lineRule="auto"/>
        <w:ind w:left="708" w:hanging="141"/>
        <w:contextualSpacing/>
        <w:jc w:val="both"/>
        <w:rPr>
          <w:rFonts w:ascii="David" w:hAnsi="David"/>
        </w:rPr>
      </w:pPr>
      <w:r>
        <w:rPr>
          <w:rFonts w:ascii="David" w:hAnsi="David"/>
          <w:rtl/>
        </w:rPr>
        <w:t>ב</w:t>
      </w:r>
      <w:hyperlink r:id="rId21" w:history="1">
        <w:r w:rsidR="00F14CFF" w:rsidRPr="00F14CFF">
          <w:rPr>
            <w:rFonts w:ascii="David" w:hAnsi="David"/>
            <w:color w:val="0000FF"/>
            <w:u w:val="single"/>
            <w:rtl/>
          </w:rPr>
          <w:t>ע"פ 6702/22</w:t>
        </w:r>
      </w:hyperlink>
      <w:r>
        <w:rPr>
          <w:rFonts w:ascii="David" w:hAnsi="David"/>
          <w:rtl/>
        </w:rPr>
        <w:t xml:space="preserve"> </w:t>
      </w:r>
      <w:r>
        <w:rPr>
          <w:rFonts w:ascii="David" w:hAnsi="David"/>
          <w:b/>
          <w:bCs/>
          <w:rtl/>
        </w:rPr>
        <w:t>מדינת ישראל נ' נור הייב</w:t>
      </w:r>
      <w:r>
        <w:rPr>
          <w:rFonts w:ascii="David" w:hAnsi="David"/>
          <w:rtl/>
        </w:rPr>
        <w:t xml:space="preserve"> (04.04.23)</w:t>
      </w:r>
      <w:r>
        <w:rPr>
          <w:rFonts w:ascii="David" w:hAnsi="David" w:hint="cs"/>
          <w:rtl/>
        </w:rPr>
        <w:t>,</w:t>
      </w:r>
      <w:r>
        <w:rPr>
          <w:rFonts w:ascii="David" w:hAnsi="David"/>
          <w:rtl/>
        </w:rPr>
        <w:t xml:space="preserve"> החמיר בית המשפט העליון את עונשו של נאשם אשר הורשע בעבירות של נשיאת נשק וירי באזור מגורים. על פי עובדות כתב האישום המתוקן, הנאשם עמד על גג מבנה בעיר טובא זנגריה, וכשבידו נשק מקלע מסוג מא"ג, ירה באוויר בירי אוטומטי קליעים רבים מעל בתי הכפר המאוכלסים. </w:t>
      </w:r>
      <w:r w:rsidRPr="00711D74">
        <w:rPr>
          <w:rFonts w:ascii="David" w:hAnsi="David"/>
          <w:rtl/>
        </w:rPr>
        <w:t xml:space="preserve">בית המשפט </w:t>
      </w:r>
      <w:r>
        <w:rPr>
          <w:rFonts w:ascii="David" w:hAnsi="David" w:hint="cs"/>
          <w:rtl/>
        </w:rPr>
        <w:t xml:space="preserve">העליון </w:t>
      </w:r>
      <w:r w:rsidRPr="00711D74">
        <w:rPr>
          <w:rFonts w:ascii="David" w:hAnsi="David"/>
          <w:rtl/>
        </w:rPr>
        <w:t xml:space="preserve">החמיר בעונש </w:t>
      </w:r>
      <w:r>
        <w:rPr>
          <w:rFonts w:ascii="David" w:hAnsi="David" w:hint="cs"/>
          <w:rtl/>
        </w:rPr>
        <w:t>מ-</w:t>
      </w:r>
      <w:r>
        <w:rPr>
          <w:rFonts w:ascii="David" w:hAnsi="David"/>
          <w:rtl/>
        </w:rPr>
        <w:t>42 חודשי מאסר ל</w:t>
      </w:r>
      <w:r>
        <w:rPr>
          <w:rFonts w:ascii="David" w:hAnsi="David" w:hint="cs"/>
          <w:rtl/>
        </w:rPr>
        <w:t>-</w:t>
      </w:r>
      <w:r>
        <w:rPr>
          <w:rFonts w:ascii="David" w:hAnsi="David"/>
          <w:rtl/>
        </w:rPr>
        <w:t xml:space="preserve">50 חודשי מאסר. </w:t>
      </w:r>
    </w:p>
    <w:p w14:paraId="4BAE91C9" w14:textId="77777777" w:rsidR="00D360D0" w:rsidRPr="005C0DD7" w:rsidRDefault="00D360D0" w:rsidP="00D360D0">
      <w:pPr>
        <w:suppressLineNumbers/>
        <w:spacing w:line="360" w:lineRule="auto"/>
        <w:ind w:left="708"/>
        <w:contextualSpacing/>
        <w:jc w:val="both"/>
        <w:rPr>
          <w:rFonts w:ascii="David" w:hAnsi="David"/>
          <w:sz w:val="12"/>
          <w:szCs w:val="12"/>
        </w:rPr>
      </w:pPr>
    </w:p>
    <w:p w14:paraId="031B97A0" w14:textId="77777777" w:rsidR="00D360D0" w:rsidRDefault="00D360D0" w:rsidP="00D360D0">
      <w:pPr>
        <w:numPr>
          <w:ilvl w:val="1"/>
          <w:numId w:val="1"/>
        </w:numPr>
        <w:suppressLineNumbers/>
        <w:spacing w:line="360" w:lineRule="auto"/>
        <w:ind w:left="708" w:hanging="141"/>
        <w:contextualSpacing/>
        <w:jc w:val="both"/>
        <w:rPr>
          <w:rFonts w:ascii="David" w:hAnsi="David"/>
        </w:rPr>
      </w:pPr>
      <w:r w:rsidRPr="00711D74">
        <w:rPr>
          <w:rFonts w:ascii="David" w:hAnsi="David"/>
          <w:rtl/>
        </w:rPr>
        <w:t>ב</w:t>
      </w:r>
      <w:hyperlink r:id="rId22" w:history="1">
        <w:r w:rsidR="00F14CFF" w:rsidRPr="00F14CFF">
          <w:rPr>
            <w:rFonts w:ascii="David" w:hAnsi="David"/>
            <w:color w:val="0000FF"/>
            <w:u w:val="single"/>
            <w:rtl/>
          </w:rPr>
          <w:t>ע"פ 6068/21</w:t>
        </w:r>
      </w:hyperlink>
      <w:r w:rsidRPr="00711D74">
        <w:rPr>
          <w:rFonts w:ascii="David" w:hAnsi="David"/>
          <w:rtl/>
        </w:rPr>
        <w:t xml:space="preserve"> </w:t>
      </w:r>
      <w:r w:rsidRPr="00711D74">
        <w:rPr>
          <w:rFonts w:ascii="David" w:hAnsi="David"/>
          <w:b/>
          <w:bCs/>
          <w:rtl/>
        </w:rPr>
        <w:t>מדינת ישראל נ' אברהים פקיה</w:t>
      </w:r>
      <w:r w:rsidRPr="00711D74">
        <w:rPr>
          <w:rFonts w:ascii="David" w:hAnsi="David"/>
          <w:rtl/>
        </w:rPr>
        <w:t xml:space="preserve"> (19.12.21)</w:t>
      </w:r>
      <w:r>
        <w:rPr>
          <w:rFonts w:ascii="David" w:hAnsi="David" w:hint="cs"/>
          <w:rtl/>
        </w:rPr>
        <w:t>,</w:t>
      </w:r>
      <w:r w:rsidRPr="00711D74">
        <w:rPr>
          <w:rFonts w:ascii="David" w:hAnsi="David"/>
          <w:rtl/>
        </w:rPr>
        <w:t xml:space="preserve"> החמיר בית המשפט העליון את עונשו של נאשם אשר הורשע בעבירות של נשיאת נשק וירי באזור מגורים. על פי המתואר בכתב האישום המתוקן, הנאשם הגיע באמצעות קטנוע למקום במחנה הפליטים שועפאט הסמוך לאולם אירועים בו התקיימה חתונה באותה העת, וירה באוויר מספר כדורים. בית המשפט </w:t>
      </w:r>
      <w:r>
        <w:rPr>
          <w:rFonts w:ascii="David" w:hAnsi="David" w:hint="cs"/>
          <w:rtl/>
        </w:rPr>
        <w:t xml:space="preserve">העליון </w:t>
      </w:r>
      <w:r w:rsidRPr="00711D74">
        <w:rPr>
          <w:rFonts w:ascii="David" w:hAnsi="David"/>
          <w:rtl/>
        </w:rPr>
        <w:t xml:space="preserve">החמיר בעונש </w:t>
      </w:r>
      <w:r>
        <w:rPr>
          <w:rFonts w:ascii="David" w:hAnsi="David" w:hint="cs"/>
          <w:rtl/>
        </w:rPr>
        <w:t>מ-</w:t>
      </w:r>
      <w:r w:rsidRPr="00711D74">
        <w:rPr>
          <w:rFonts w:ascii="David" w:hAnsi="David"/>
          <w:rtl/>
        </w:rPr>
        <w:t>14 חודשי מאסר פועל ל</w:t>
      </w:r>
      <w:r>
        <w:rPr>
          <w:rFonts w:ascii="David" w:hAnsi="David" w:hint="cs"/>
          <w:rtl/>
        </w:rPr>
        <w:t>-</w:t>
      </w:r>
      <w:r w:rsidRPr="00711D74">
        <w:rPr>
          <w:rFonts w:ascii="David" w:hAnsi="David"/>
          <w:rtl/>
        </w:rPr>
        <w:t>25 חודשי מאסר בפועל.</w:t>
      </w:r>
    </w:p>
    <w:p w14:paraId="5494932A" w14:textId="77777777" w:rsidR="00D360D0" w:rsidRPr="005C0DD7" w:rsidRDefault="00D360D0" w:rsidP="00D360D0">
      <w:pPr>
        <w:suppressLineNumbers/>
        <w:spacing w:line="360" w:lineRule="auto"/>
        <w:ind w:left="708"/>
        <w:contextualSpacing/>
        <w:jc w:val="both"/>
        <w:rPr>
          <w:rFonts w:ascii="David" w:hAnsi="David"/>
          <w:sz w:val="12"/>
          <w:szCs w:val="12"/>
        </w:rPr>
      </w:pPr>
    </w:p>
    <w:p w14:paraId="62DE9B62" w14:textId="77777777" w:rsidR="00D360D0" w:rsidRDefault="00D360D0" w:rsidP="00D360D0">
      <w:pPr>
        <w:numPr>
          <w:ilvl w:val="1"/>
          <w:numId w:val="1"/>
        </w:numPr>
        <w:suppressLineNumbers/>
        <w:spacing w:line="360" w:lineRule="auto"/>
        <w:ind w:left="708" w:hanging="141"/>
        <w:contextualSpacing/>
        <w:jc w:val="both"/>
        <w:rPr>
          <w:rFonts w:ascii="David" w:hAnsi="David"/>
        </w:rPr>
      </w:pPr>
      <w:r>
        <w:rPr>
          <w:rFonts w:ascii="David" w:hAnsi="David"/>
          <w:rtl/>
        </w:rPr>
        <w:t>ב</w:t>
      </w:r>
      <w:hyperlink r:id="rId23" w:history="1">
        <w:r w:rsidR="00F14CFF" w:rsidRPr="00F14CFF">
          <w:rPr>
            <w:rFonts w:ascii="David" w:hAnsi="David"/>
            <w:color w:val="0000FF"/>
            <w:u w:val="single"/>
            <w:rtl/>
          </w:rPr>
          <w:t>ע"פ 3169/21</w:t>
        </w:r>
      </w:hyperlink>
      <w:r w:rsidR="00F14CFF">
        <w:rPr>
          <w:rFonts w:ascii="David" w:hAnsi="David"/>
          <w:rtl/>
        </w:rPr>
        <w:t xml:space="preserve"> </w:t>
      </w:r>
      <w:r>
        <w:rPr>
          <w:rFonts w:ascii="David" w:hAnsi="David"/>
          <w:b/>
          <w:bCs/>
          <w:rtl/>
        </w:rPr>
        <w:t>מדינת ישראל נ' אנס אגבאריה</w:t>
      </w:r>
      <w:r w:rsidR="00F14CFF">
        <w:rPr>
          <w:rFonts w:ascii="David" w:hAnsi="David"/>
          <w:rtl/>
        </w:rPr>
        <w:t xml:space="preserve"> </w:t>
      </w:r>
      <w:r>
        <w:rPr>
          <w:rFonts w:ascii="David" w:hAnsi="David"/>
          <w:rtl/>
        </w:rPr>
        <w:t>(21.06.21)</w:t>
      </w:r>
      <w:r>
        <w:rPr>
          <w:rFonts w:ascii="David" w:hAnsi="David" w:hint="cs"/>
          <w:rtl/>
        </w:rPr>
        <w:t xml:space="preserve">, </w:t>
      </w:r>
      <w:r>
        <w:rPr>
          <w:rFonts w:ascii="David" w:hAnsi="David"/>
          <w:rtl/>
        </w:rPr>
        <w:t>קיבל בית המשפט העליון את ערעור המדינה והחמיר את עונשם של שני נאשמים שהורשעו</w:t>
      </w:r>
      <w:r>
        <w:rPr>
          <w:rFonts w:ascii="David" w:hAnsi="David" w:hint="cs"/>
          <w:rtl/>
        </w:rPr>
        <w:t>,</w:t>
      </w:r>
      <w:r>
        <w:rPr>
          <w:rFonts w:ascii="David" w:hAnsi="David"/>
          <w:rtl/>
        </w:rPr>
        <w:t xml:space="preserve"> בין היתר</w:t>
      </w:r>
      <w:r>
        <w:rPr>
          <w:rFonts w:ascii="David" w:hAnsi="David" w:hint="cs"/>
          <w:rtl/>
        </w:rPr>
        <w:t>,</w:t>
      </w:r>
      <w:r>
        <w:rPr>
          <w:rFonts w:ascii="David" w:hAnsi="David"/>
          <w:rtl/>
        </w:rPr>
        <w:t xml:space="preserve"> בעבירות של החזקת, נשיאה והובלת נשק, ירי באזור מגורים ואיומים. בית המשפט העליון החמיר בעונשם של הנאשמים והעמיד אותו על 36 חודשים לריצוי בפועל תחת העונש של 24 חודשי מאסר לריצוי בפועל שגזר עליהם בית המשפט המחוזי. על פי עובדות כתב האישום המתוקן, מנהל המכללה שבה למדו הנאשמים נזף באחד מהם. בעקבות זאת לקחו הנאשמים רכב ממגרש למכירת מכוניות לנסיעת מבחן, החליפו את לוחית הרישוי והניחו ברכב שני ראשים של פגרי כבשים. הנאשמים נסעו בשעת לילה לבית מנהל המכללה ועצרו בסמוך אליו, השליכו ראש כבש לעבר חצר ביתו על מנת להפחידו וירו 37 קליעים באוויר באמצעות רובה סער שהיה ברשותם. לאחר שנסעו כ-100 מטרים ירו 11 כדורים נוספים ונסעו מהמקום, ובהמשך נמלטו משוטרים שקראו להם לעצור. </w:t>
      </w:r>
    </w:p>
    <w:p w14:paraId="10FBE961" w14:textId="77777777" w:rsidR="00D360D0" w:rsidRPr="000D31FA" w:rsidRDefault="00D360D0" w:rsidP="00D360D0">
      <w:pPr>
        <w:suppressLineNumbers/>
        <w:spacing w:line="360" w:lineRule="auto"/>
        <w:ind w:left="708"/>
        <w:contextualSpacing/>
        <w:jc w:val="both"/>
        <w:rPr>
          <w:rFonts w:ascii="David" w:hAnsi="David"/>
          <w:sz w:val="12"/>
          <w:szCs w:val="12"/>
        </w:rPr>
      </w:pPr>
    </w:p>
    <w:p w14:paraId="2B34DB7F" w14:textId="77777777" w:rsidR="00D360D0" w:rsidRDefault="00D360D0" w:rsidP="00D360D0">
      <w:pPr>
        <w:numPr>
          <w:ilvl w:val="1"/>
          <w:numId w:val="1"/>
        </w:numPr>
        <w:suppressLineNumbers/>
        <w:spacing w:line="360" w:lineRule="auto"/>
        <w:ind w:left="708" w:hanging="141"/>
        <w:contextualSpacing/>
        <w:jc w:val="both"/>
        <w:rPr>
          <w:rFonts w:ascii="David" w:hAnsi="David"/>
        </w:rPr>
      </w:pPr>
      <w:r>
        <w:rPr>
          <w:rFonts w:ascii="David" w:hAnsi="David"/>
          <w:rtl/>
        </w:rPr>
        <w:t>ב</w:t>
      </w:r>
      <w:hyperlink r:id="rId24" w:history="1">
        <w:r w:rsidR="00F14CFF" w:rsidRPr="00F14CFF">
          <w:rPr>
            <w:rFonts w:ascii="David" w:hAnsi="David"/>
            <w:color w:val="0000FF"/>
            <w:u w:val="single"/>
            <w:rtl/>
          </w:rPr>
          <w:t>ע"פ 4406/19</w:t>
        </w:r>
      </w:hyperlink>
      <w:r w:rsidR="00F14CFF">
        <w:rPr>
          <w:rFonts w:ascii="David" w:hAnsi="David"/>
          <w:rtl/>
        </w:rPr>
        <w:t xml:space="preserve"> </w:t>
      </w:r>
      <w:r>
        <w:rPr>
          <w:rFonts w:ascii="David" w:hAnsi="David"/>
          <w:b/>
          <w:bCs/>
          <w:rtl/>
        </w:rPr>
        <w:t>מדינת ישראל נ' יונס סובח</w:t>
      </w:r>
      <w:r w:rsidR="00F14CFF">
        <w:rPr>
          <w:rFonts w:ascii="David" w:hAnsi="David"/>
          <w:rtl/>
        </w:rPr>
        <w:t xml:space="preserve"> </w:t>
      </w:r>
      <w:r>
        <w:rPr>
          <w:rFonts w:ascii="David" w:hAnsi="David"/>
          <w:rtl/>
        </w:rPr>
        <w:t>(05.11.19)</w:t>
      </w:r>
      <w:r>
        <w:rPr>
          <w:rFonts w:ascii="David" w:hAnsi="David" w:hint="cs"/>
          <w:rtl/>
        </w:rPr>
        <w:t>,</w:t>
      </w:r>
      <w:r>
        <w:rPr>
          <w:rFonts w:ascii="David" w:hAnsi="David"/>
          <w:rtl/>
        </w:rPr>
        <w:t xml:space="preserve"> קיבל בית המשפט העליון את ערעור המדינה והחמיר בעונשם של נאשמים שהורשעו בעבירות של נשיאת נשק, ירי באזור מגורים וחבלה חמורה בנסיבות מחמירות. על פי עובדות כתב האישום, נאשמים 1 ו-2 יחד עם אדם נוסף הצטיידו באקדחים ונסעו ברכב הלוך ושוב מספר פעמים מול המתלונן שעמד ליד ביתו, תוך שהם יורים לעברו מתוך הרכב באקדחים. זאת על רקע סכסוך משפחת המתלונן למשפחת הנאשמים. המתלונן נפגע בבטנו התחתונה ונזקק לניתוח. אותה עת, במקום אחר, ירה הנאשם 3 באקדח לעבר מתלונן נוסף אשר נפגע בירך, ולאחר מכן ירה לעבר אנשים נוספים ולא פגע בהם. האקדחים לא נמסרו לידי רשויות החוק. בית המשפט העליון פסק כי נאשם 1, שנעדר עבר פלילי, ירצה 6 שנות מאסר בפועל תחת 50 חודשי מאסר בפועל שגזר עליו בית המשפט המחוזי; כי נאשם 2 ירצה 5 שנות מאסר בפועל תחת 42 חודשי מאסר בפועל שגזר עליו בית המשפט המחוזי; וכי הנאשם 3 ירצה 3.5 שנות מאסר בפועל תחת 24 חודשי מאסר בפועל שגזר עליו בית המשפט המחוזי.</w:t>
      </w:r>
    </w:p>
    <w:p w14:paraId="25D565E3" w14:textId="77777777" w:rsidR="00D360D0" w:rsidRPr="000D31FA" w:rsidRDefault="00D360D0" w:rsidP="00D360D0">
      <w:pPr>
        <w:pStyle w:val="a9"/>
        <w:rPr>
          <w:rFonts w:ascii="David" w:hAnsi="David"/>
          <w:sz w:val="10"/>
          <w:szCs w:val="10"/>
          <w:rtl/>
        </w:rPr>
      </w:pPr>
    </w:p>
    <w:p w14:paraId="06B28BA3" w14:textId="77777777" w:rsidR="00D360D0" w:rsidRDefault="00D360D0" w:rsidP="00D360D0">
      <w:pPr>
        <w:numPr>
          <w:ilvl w:val="1"/>
          <w:numId w:val="1"/>
        </w:numPr>
        <w:suppressLineNumbers/>
        <w:spacing w:line="360" w:lineRule="auto"/>
        <w:ind w:left="708" w:hanging="141"/>
        <w:contextualSpacing/>
        <w:jc w:val="both"/>
        <w:rPr>
          <w:rFonts w:ascii="David" w:hAnsi="David"/>
        </w:rPr>
      </w:pPr>
      <w:r>
        <w:rPr>
          <w:rFonts w:ascii="David" w:hAnsi="David"/>
          <w:rtl/>
        </w:rPr>
        <w:t>ב</w:t>
      </w:r>
      <w:hyperlink r:id="rId25" w:history="1">
        <w:r w:rsidR="00F14CFF" w:rsidRPr="00F14CFF">
          <w:rPr>
            <w:rFonts w:ascii="David" w:hAnsi="David"/>
            <w:color w:val="0000FF"/>
            <w:u w:val="single"/>
            <w:rtl/>
          </w:rPr>
          <w:t>ע"פ 1414/17</w:t>
        </w:r>
      </w:hyperlink>
      <w:r w:rsidR="00F14CFF">
        <w:rPr>
          <w:rFonts w:ascii="David" w:hAnsi="David"/>
          <w:rtl/>
        </w:rPr>
        <w:t xml:space="preserve"> </w:t>
      </w:r>
      <w:r>
        <w:rPr>
          <w:rFonts w:ascii="David" w:hAnsi="David"/>
          <w:b/>
          <w:bCs/>
          <w:rtl/>
        </w:rPr>
        <w:t>ראפת עריאן נ' מדינת ישראל</w:t>
      </w:r>
      <w:r w:rsidR="00F14CFF">
        <w:rPr>
          <w:rFonts w:ascii="David" w:hAnsi="David"/>
          <w:rtl/>
        </w:rPr>
        <w:t xml:space="preserve"> </w:t>
      </w:r>
      <w:r>
        <w:rPr>
          <w:rFonts w:ascii="David" w:hAnsi="David"/>
          <w:rtl/>
        </w:rPr>
        <w:t>(6.11.17)</w:t>
      </w:r>
      <w:r>
        <w:rPr>
          <w:rFonts w:ascii="David" w:hAnsi="David" w:hint="cs"/>
          <w:rtl/>
        </w:rPr>
        <w:t>,</w:t>
      </w:r>
      <w:r>
        <w:rPr>
          <w:rFonts w:ascii="David" w:hAnsi="David"/>
          <w:rtl/>
        </w:rPr>
        <w:t xml:space="preserve"> קיבל בית המשפט העליון את ערעור המדינה בעניינו של נאשם שהורשע בעבירות של החזקת נשק, ירי באזור מגורים וחבלה חמורה בנסיבות מחמירות, והחמיר את עונשו מעונש של 26 חודשי מאסר לריצוי בפועל לעונש של 38 חודשי מאסר לריצוי בפועל. על פי עובדות כתב האישום המתוקן, הנאשם ואחיו ערכו מסיבה בביתם הצמוד לבתי שכניהם. במהלך המסיבה הוציא הנאשם אקדח שאותו החזיק שלא כדין, ירה באמצעותו מספר כדורים כלפי מעלה, ובהמשך מסר אותו לאחיו שירה באמצעותו גם כן כלפי מעלה. לשמע קולות הירי, ניגש המתלונן, בן 13.5 באותה העת, לאחד מחלונות בית השכן המשקיפים אל מתחם בית הנאשם ואחיו. באותו הזמן המשיכו הנאשם ואחיו לירות כלפי מעלה, ואחד הכדורים שירה הנאשם פגע בראשו של המתלונן. נכון למועד הגשת כתב האישום המתוקן המתלונן היה מאושפז בבית החולים כשפלג גופו השמאלי משותק.</w:t>
      </w:r>
    </w:p>
    <w:p w14:paraId="0AA39B59" w14:textId="77777777" w:rsidR="00D360D0" w:rsidRPr="00DD47A4" w:rsidRDefault="00D360D0" w:rsidP="00D360D0">
      <w:pPr>
        <w:suppressLineNumbers/>
        <w:spacing w:line="360" w:lineRule="auto"/>
        <w:ind w:left="708"/>
        <w:contextualSpacing/>
        <w:jc w:val="both"/>
        <w:rPr>
          <w:rFonts w:ascii="David" w:hAnsi="David"/>
          <w:sz w:val="12"/>
          <w:szCs w:val="12"/>
        </w:rPr>
      </w:pPr>
    </w:p>
    <w:p w14:paraId="418B6279" w14:textId="77777777" w:rsidR="00D360D0" w:rsidRDefault="00D360D0" w:rsidP="00D360D0">
      <w:pPr>
        <w:numPr>
          <w:ilvl w:val="1"/>
          <w:numId w:val="1"/>
        </w:numPr>
        <w:suppressLineNumbers/>
        <w:spacing w:line="360" w:lineRule="auto"/>
        <w:ind w:left="708" w:hanging="141"/>
        <w:contextualSpacing/>
        <w:jc w:val="both"/>
        <w:rPr>
          <w:rFonts w:ascii="David" w:hAnsi="David"/>
        </w:rPr>
      </w:pPr>
      <w:r>
        <w:rPr>
          <w:rFonts w:ascii="David" w:hAnsi="David"/>
          <w:rtl/>
        </w:rPr>
        <w:t>ב</w:t>
      </w:r>
      <w:hyperlink r:id="rId26" w:history="1">
        <w:r w:rsidR="00F14CFF" w:rsidRPr="00F14CFF">
          <w:rPr>
            <w:rFonts w:ascii="David" w:hAnsi="David"/>
            <w:color w:val="0000FF"/>
            <w:u w:val="single"/>
            <w:rtl/>
          </w:rPr>
          <w:t>ע"פ 4377/16</w:t>
        </w:r>
      </w:hyperlink>
      <w:r w:rsidR="00F14CFF">
        <w:rPr>
          <w:rFonts w:ascii="David" w:hAnsi="David"/>
          <w:rtl/>
        </w:rPr>
        <w:t xml:space="preserve"> </w:t>
      </w:r>
      <w:r>
        <w:rPr>
          <w:rFonts w:ascii="David" w:hAnsi="David"/>
          <w:b/>
          <w:bCs/>
          <w:rtl/>
        </w:rPr>
        <w:t>רמדאן תורק נ' מדינת ישראל</w:t>
      </w:r>
      <w:r w:rsidR="00F14CFF">
        <w:rPr>
          <w:rFonts w:ascii="David" w:hAnsi="David"/>
          <w:rtl/>
        </w:rPr>
        <w:t xml:space="preserve"> </w:t>
      </w:r>
      <w:r>
        <w:rPr>
          <w:rFonts w:ascii="David" w:hAnsi="David"/>
          <w:rtl/>
        </w:rPr>
        <w:t>(06.10.16)</w:t>
      </w:r>
      <w:r>
        <w:rPr>
          <w:rFonts w:ascii="David" w:hAnsi="David" w:hint="cs"/>
          <w:rtl/>
        </w:rPr>
        <w:t>,</w:t>
      </w:r>
      <w:r>
        <w:rPr>
          <w:rFonts w:ascii="David" w:hAnsi="David"/>
          <w:rtl/>
        </w:rPr>
        <w:t xml:space="preserve"> דחה בית המשפט העליון את ערעורו של נאשם שבית המשפט המחוזי גזר עליו 30 חודשי מאסר לריצוי בפועל, לאחר שהורשע בעבירות של נשיאת נשק, מעשה פזיזות ורשלנות, איומים וירי באזור מגורים. על פי עובדות כתב האישום המתוקן, במהלך תגרה בין בני משפחתו של הנאשם לבין בני משפחתם של המתלוננים, הנאשם ירה לפחות 17 קליעים באמצעות נשק ארוך לעבר ביתם של בני משפחת המתלוננים בעודם עומדים בסמוך לשער, ואחד הקליעים פגע בשער הבית. </w:t>
      </w:r>
    </w:p>
    <w:p w14:paraId="1B4D9E31" w14:textId="77777777" w:rsidR="00D360D0" w:rsidRPr="00DD47A4" w:rsidRDefault="00D360D0" w:rsidP="00D360D0">
      <w:pPr>
        <w:suppressLineNumbers/>
        <w:spacing w:line="360" w:lineRule="auto"/>
        <w:ind w:left="567"/>
        <w:contextualSpacing/>
        <w:jc w:val="both"/>
        <w:rPr>
          <w:rFonts w:ascii="David" w:hAnsi="David"/>
          <w:sz w:val="12"/>
          <w:szCs w:val="12"/>
        </w:rPr>
      </w:pPr>
    </w:p>
    <w:p w14:paraId="0BBA764D" w14:textId="77777777" w:rsidR="00D360D0" w:rsidRDefault="00D360D0" w:rsidP="00D360D0">
      <w:pPr>
        <w:numPr>
          <w:ilvl w:val="1"/>
          <w:numId w:val="1"/>
        </w:numPr>
        <w:suppressLineNumbers/>
        <w:spacing w:line="360" w:lineRule="auto"/>
        <w:ind w:left="708" w:hanging="141"/>
        <w:contextualSpacing/>
        <w:jc w:val="both"/>
        <w:rPr>
          <w:rFonts w:ascii="David" w:hAnsi="David"/>
        </w:rPr>
      </w:pPr>
      <w:r>
        <w:rPr>
          <w:rFonts w:ascii="David" w:hAnsi="David"/>
          <w:rtl/>
        </w:rPr>
        <w:t>ב</w:t>
      </w:r>
      <w:hyperlink r:id="rId27" w:history="1">
        <w:r w:rsidR="00F14CFF" w:rsidRPr="00F14CFF">
          <w:rPr>
            <w:rFonts w:ascii="David" w:hAnsi="David"/>
            <w:color w:val="0000FF"/>
            <w:u w:val="single"/>
            <w:rtl/>
          </w:rPr>
          <w:t>ע"פ 1928/15</w:t>
        </w:r>
      </w:hyperlink>
      <w:r w:rsidR="00F14CFF">
        <w:rPr>
          <w:rFonts w:ascii="David" w:hAnsi="David"/>
          <w:rtl/>
        </w:rPr>
        <w:t xml:space="preserve"> </w:t>
      </w:r>
      <w:r>
        <w:rPr>
          <w:rFonts w:ascii="David" w:hAnsi="David"/>
          <w:b/>
          <w:bCs/>
          <w:rtl/>
        </w:rPr>
        <w:t>חאמד אלהוזייל נ' מדינת ישראל</w:t>
      </w:r>
      <w:r w:rsidR="00F14CFF">
        <w:rPr>
          <w:rFonts w:ascii="David" w:hAnsi="David"/>
          <w:rtl/>
        </w:rPr>
        <w:t xml:space="preserve"> </w:t>
      </w:r>
      <w:r>
        <w:rPr>
          <w:rFonts w:ascii="David" w:hAnsi="David"/>
          <w:rtl/>
        </w:rPr>
        <w:t>(08.06.16)</w:t>
      </w:r>
      <w:r>
        <w:rPr>
          <w:rFonts w:ascii="David" w:hAnsi="David" w:hint="cs"/>
          <w:rtl/>
        </w:rPr>
        <w:t>,</w:t>
      </w:r>
      <w:r>
        <w:rPr>
          <w:rFonts w:ascii="David" w:hAnsi="David"/>
          <w:rtl/>
        </w:rPr>
        <w:t xml:space="preserve"> קיבל בית המשפט העליון את ערעורו של נאשם שהורשע בעבירות של חבלה בנסיבות מחמירות, וגזר עליו עונש מאסר של חמש שנים ושישה חודשים לריצוי בפועל, תחת התקופה של שבע שנים שנקבע על ידי בית המשפט המחוזי. על פי עובדות כתב האישום המתוקן, ביום האירוע נסע הנאשם ברכבו בשעה שהוא נושא עליו את נשקו, אותו החזיק כדין מתוקף עבודתו כמאבטח. בנסיעתו נתקל במתלוננים, עמם היה מסוכסך, שנסעו ברכב אחר. בעת ששני הרכבים נסעו במקביל זה לזה במהירות, הנאשם דימה שאחד המתלוננים אוחז בידו אקדח, וחש שהוא עומד לפגוע בו. בתגובה לכך שלף הנאשם את אקדחו וירה שתי יריות לעבר רכבם של המתלוננים. כתוצאה מהירי נפגע אחד המתלוננים בגבו ונגרמו לו 100% נכות, ואילו המתלונן השני נפגע באופן שטחי בלבד.</w:t>
      </w:r>
    </w:p>
    <w:p w14:paraId="0B5919CE" w14:textId="77777777" w:rsidR="00D360D0" w:rsidRPr="000D31FA" w:rsidRDefault="00D360D0" w:rsidP="00D360D0">
      <w:pPr>
        <w:suppressLineNumbers/>
        <w:spacing w:line="360" w:lineRule="auto"/>
        <w:ind w:left="708"/>
        <w:contextualSpacing/>
        <w:jc w:val="both"/>
        <w:rPr>
          <w:rFonts w:ascii="David" w:hAnsi="David"/>
          <w:sz w:val="12"/>
          <w:szCs w:val="12"/>
        </w:rPr>
      </w:pPr>
    </w:p>
    <w:p w14:paraId="743F9F4B" w14:textId="77777777" w:rsidR="00D360D0" w:rsidRDefault="00D360D0" w:rsidP="00D360D0">
      <w:pPr>
        <w:numPr>
          <w:ilvl w:val="0"/>
          <w:numId w:val="1"/>
        </w:numPr>
        <w:suppressLineNumbers/>
        <w:spacing w:line="360" w:lineRule="auto"/>
        <w:ind w:left="283" w:hanging="283"/>
        <w:contextualSpacing/>
        <w:jc w:val="both"/>
        <w:rPr>
          <w:rFonts w:ascii="David" w:hAnsi="David"/>
        </w:rPr>
      </w:pPr>
      <w:r>
        <w:rPr>
          <w:rFonts w:ascii="David" w:hAnsi="David"/>
          <w:rtl/>
        </w:rPr>
        <w:t>אשר לנסיבות אשר קשורות לביצוע העבירו</w:t>
      </w:r>
      <w:r>
        <w:rPr>
          <w:rFonts w:ascii="David" w:hAnsi="David" w:hint="cs"/>
          <w:rtl/>
        </w:rPr>
        <w:t>-</w:t>
      </w:r>
      <w:r>
        <w:rPr>
          <w:rFonts w:ascii="David" w:hAnsi="David"/>
          <w:rtl/>
        </w:rPr>
        <w:t xml:space="preserve"> דומה</w:t>
      </w:r>
      <w:r>
        <w:rPr>
          <w:rFonts w:ascii="David" w:hAnsi="David" w:hint="cs"/>
          <w:rtl/>
        </w:rPr>
        <w:t>,</w:t>
      </w:r>
      <w:r>
        <w:rPr>
          <w:rFonts w:ascii="David" w:hAnsi="David"/>
          <w:rtl/>
        </w:rPr>
        <w:t xml:space="preserve"> כי לא קדם לירי שביצע הנאשם תכנון מוקדם, מעבר לעצם נשיאת הנשק. כמו כן, חלקו של הנאשם בביצוע העבירות הינו בלעדי. </w:t>
      </w:r>
      <w:r>
        <w:rPr>
          <w:rFonts w:ascii="David" w:hAnsi="David" w:hint="cs"/>
          <w:rtl/>
        </w:rPr>
        <w:t>מעובדות כתב האישום עולה ש</w:t>
      </w:r>
      <w:r>
        <w:rPr>
          <w:rFonts w:ascii="David" w:hAnsi="David"/>
          <w:rtl/>
        </w:rPr>
        <w:t xml:space="preserve">הנאשם החל לירות מאחר שחש מאוים לאחר ששמע יריות מכיוון הימצאות המתלוננים בני משפחתו שעמם היה קיים סכסוך. </w:t>
      </w:r>
      <w:r>
        <w:rPr>
          <w:rFonts w:ascii="David" w:hAnsi="David" w:hint="cs"/>
          <w:rtl/>
        </w:rPr>
        <w:t xml:space="preserve">הירי אירע בסמוך לביתו, כאשר עמד במקום ציבורי, ולכן בניגוד לטיעוני המאשימה, לא ניתן לטעון כי התנהגותו הפסולה הובילה לאירוע. מעובדות כתב האישום עולה, כי הנאשם חש מאוים לאחר שירו לעברו מכיוונם של המתלוננים, ולא הוא זה אשר החל בירי. בנוסף, הנאשם ירה לאוויר ולכיוון הרגליים ולא לעבר פלג גוף עליון. </w:t>
      </w:r>
      <w:r>
        <w:rPr>
          <w:rFonts w:ascii="David" w:hAnsi="David"/>
          <w:rtl/>
        </w:rPr>
        <w:t>למחמוד נגרמה פציעת רסיס בעין ימין מעל העפעף שגרם לחתך ושני פצעי ירי שטחיים בחזה, למוחמד נגרם פצע כניסה ופצע יציאה של קליע בכף רגל ימין ופציעות מרסיסים מרובים ברגל ימין ומרסיס נוסף באיזור חזה ימין, ולשאחדה נגרם פצעי שטחי בחזה שמאל</w:t>
      </w:r>
      <w:r>
        <w:rPr>
          <w:rFonts w:ascii="David" w:hAnsi="David" w:hint="cs"/>
          <w:rtl/>
        </w:rPr>
        <w:t xml:space="preserve">. למרבה המזל מרבית הפגיעות שנגרמו למתלוננים הם מרסיסים ופגיעה אחת היא מקליע בכף הרגל, והמתלוננים לא נזקקו לטיפול רפואי משמעותי והפגיעות שנגרמו להם הן שטחיות. </w:t>
      </w:r>
      <w:r>
        <w:rPr>
          <w:rFonts w:ascii="David" w:hAnsi="David"/>
          <w:rtl/>
        </w:rPr>
        <w:t>עם זאת, אין בכתב האישום אינדיקציה לכך שהמתלוננים עצמם היוו איום פיזי כלשהו על הנאשם בעת שהחל לירות, ושלא היה ביכולתו להתרחק מהמקום ולהימנע מן הירי. יתר על כן, הנזק הפוטנציאלי שצפוי היה להיגרם מביצוע העבירה הוא נזק חמור ומשמעותי בגוף ו</w:t>
      </w:r>
      <w:r>
        <w:rPr>
          <w:rFonts w:ascii="David" w:hAnsi="David" w:hint="cs"/>
          <w:rtl/>
        </w:rPr>
        <w:t>אך במזל לא נגרם נזק חמור יותר</w:t>
      </w:r>
      <w:r>
        <w:rPr>
          <w:rFonts w:ascii="David" w:hAnsi="David"/>
          <w:rtl/>
        </w:rPr>
        <w:t>. הנאשם ירה מספר רב של כדורים באוויר בסמוך לבתי מגורים ולמתלוננים שעמדו בקרבתו</w:t>
      </w:r>
      <w:r>
        <w:rPr>
          <w:rFonts w:ascii="David" w:hAnsi="David" w:hint="cs"/>
          <w:rtl/>
        </w:rPr>
        <w:t xml:space="preserve">, כך שסיכן גם עוברי אורח תמימים במעשיו. </w:t>
      </w:r>
      <w:r>
        <w:rPr>
          <w:rFonts w:ascii="David" w:hAnsi="David"/>
          <w:rtl/>
        </w:rPr>
        <w:t>כמו כן</w:t>
      </w:r>
      <w:r>
        <w:rPr>
          <w:rFonts w:ascii="David" w:hAnsi="David" w:hint="cs"/>
          <w:rtl/>
        </w:rPr>
        <w:t>,</w:t>
      </w:r>
      <w:r>
        <w:rPr>
          <w:rFonts w:ascii="David" w:hAnsi="David"/>
          <w:rtl/>
        </w:rPr>
        <w:t xml:space="preserve"> ירה </w:t>
      </w:r>
      <w:r>
        <w:rPr>
          <w:rFonts w:ascii="David" w:hAnsi="David" w:hint="cs"/>
          <w:rtl/>
        </w:rPr>
        <w:t>הנאשם את ה</w:t>
      </w:r>
      <w:r>
        <w:rPr>
          <w:rFonts w:ascii="David" w:hAnsi="David"/>
          <w:rtl/>
        </w:rPr>
        <w:t xml:space="preserve">כדורים ממרחק </w:t>
      </w:r>
      <w:r>
        <w:rPr>
          <w:rFonts w:ascii="David" w:hAnsi="David" w:hint="cs"/>
          <w:rtl/>
        </w:rPr>
        <w:t xml:space="preserve">קצר </w:t>
      </w:r>
      <w:r>
        <w:rPr>
          <w:rFonts w:ascii="David" w:hAnsi="David"/>
          <w:rtl/>
        </w:rPr>
        <w:t>של כשלושה מטרים</w:t>
      </w:r>
      <w:r>
        <w:rPr>
          <w:rFonts w:ascii="David" w:hAnsi="David" w:hint="cs"/>
          <w:rtl/>
        </w:rPr>
        <w:t>, דבר המגדיל את פוטנציאל הנזק. הנאשם המשיך בירי גם לאחר שמוחמד ושחאדה נמלטו מהמקום</w:t>
      </w:r>
      <w:r>
        <w:rPr>
          <w:rFonts w:ascii="David" w:hAnsi="David"/>
          <w:rtl/>
        </w:rPr>
        <w:t xml:space="preserve">, וירה מספר כדורים לכיוונו של מחמוד. </w:t>
      </w:r>
      <w:r>
        <w:rPr>
          <w:rFonts w:ascii="David" w:hAnsi="David" w:hint="cs"/>
          <w:rtl/>
        </w:rPr>
        <w:t>מכאן, ש</w:t>
      </w:r>
      <w:r>
        <w:rPr>
          <w:rFonts w:ascii="David" w:hAnsi="David"/>
          <w:rtl/>
        </w:rPr>
        <w:t>הנזק שיכול היה להיגרם למתלוננים ב</w:t>
      </w:r>
      <w:bookmarkStart w:id="17" w:name="Seif10"/>
      <w:r>
        <w:rPr>
          <w:rFonts w:ascii="David" w:hAnsi="David"/>
          <w:rtl/>
        </w:rPr>
        <w:t xml:space="preserve">פרט ולתושבי </w:t>
      </w:r>
      <w:bookmarkEnd w:id="17"/>
      <w:r>
        <w:rPr>
          <w:rFonts w:ascii="David" w:hAnsi="David"/>
          <w:rtl/>
        </w:rPr>
        <w:t>הבתים שבקרבתם ירה הנאשם ב</w:t>
      </w:r>
      <w:bookmarkStart w:id="18" w:name="Seif12"/>
      <w:r>
        <w:rPr>
          <w:rFonts w:ascii="David" w:hAnsi="David"/>
          <w:rtl/>
        </w:rPr>
        <w:t xml:space="preserve">כלל הוא </w:t>
      </w:r>
      <w:bookmarkEnd w:id="18"/>
      <w:r>
        <w:rPr>
          <w:rFonts w:ascii="David" w:hAnsi="David"/>
          <w:rtl/>
        </w:rPr>
        <w:t>כבד ביותר, ונראה ש</w:t>
      </w:r>
      <w:r>
        <w:rPr>
          <w:rFonts w:ascii="David" w:hAnsi="David" w:hint="cs"/>
          <w:rtl/>
        </w:rPr>
        <w:t xml:space="preserve">אך </w:t>
      </w:r>
      <w:r>
        <w:rPr>
          <w:rFonts w:ascii="David" w:hAnsi="David"/>
          <w:rtl/>
        </w:rPr>
        <w:t>במזל לא נגרם לאיש נזק רב יותר.</w:t>
      </w:r>
      <w:r>
        <w:rPr>
          <w:rFonts w:ascii="David" w:hAnsi="David" w:hint="cs"/>
          <w:rtl/>
        </w:rPr>
        <w:t xml:space="preserve"> בנוסף, נגרמו למתלוננים נזקים נפשיים, כפי שעולה מתצהיר נפגע העבירה של מחמוד, ממנה עולה כי הוא סובל מסיוטים, פחדים ונעדר מעבודתו במשך חודש וחצי. אשר לטענתו שאשתו הפילה בעקבות האירוע, הדבר לא עולה מעובדות כתב האישום, ולא הובאו ראיות בקשר לכך, ולכן לא ניתן להתחשב בנתון זה בעת קביעת מתחם העונש ההולם. </w:t>
      </w:r>
    </w:p>
    <w:p w14:paraId="47CEE792" w14:textId="77777777" w:rsidR="00D360D0" w:rsidRPr="006C73BD" w:rsidRDefault="00D360D0" w:rsidP="00D360D0">
      <w:pPr>
        <w:suppressLineNumbers/>
        <w:spacing w:line="360" w:lineRule="auto"/>
        <w:ind w:left="283"/>
        <w:contextualSpacing/>
        <w:jc w:val="both"/>
        <w:rPr>
          <w:rFonts w:ascii="David" w:hAnsi="David"/>
          <w:sz w:val="12"/>
          <w:szCs w:val="12"/>
        </w:rPr>
      </w:pPr>
    </w:p>
    <w:p w14:paraId="6796B875" w14:textId="77777777" w:rsidR="00D360D0" w:rsidRDefault="00D360D0" w:rsidP="00D360D0">
      <w:pPr>
        <w:numPr>
          <w:ilvl w:val="0"/>
          <w:numId w:val="1"/>
        </w:numPr>
        <w:suppressLineNumbers/>
        <w:spacing w:line="360" w:lineRule="auto"/>
        <w:ind w:left="283" w:hanging="283"/>
        <w:contextualSpacing/>
        <w:jc w:val="both"/>
        <w:rPr>
          <w:rFonts w:ascii="David" w:hAnsi="David"/>
        </w:rPr>
      </w:pPr>
      <w:r>
        <w:rPr>
          <w:rFonts w:ascii="David" w:hAnsi="David" w:hint="cs"/>
          <w:rtl/>
        </w:rPr>
        <w:t>סופו של דבר, בקביעת מתחם העונש ההולם התחשבתי בקרבה לסייג של הגנה עצמית, ונתתי לכך משקל מסוים, אך לא משקל מכריע.</w:t>
      </w:r>
      <w:r w:rsidRPr="00BE0EE1">
        <w:rPr>
          <w:rFonts w:ascii="David" w:hAnsi="David" w:hint="cs"/>
          <w:rtl/>
        </w:rPr>
        <w:t xml:space="preserve"> </w:t>
      </w:r>
      <w:r>
        <w:rPr>
          <w:rFonts w:ascii="David" w:hAnsi="David" w:hint="cs"/>
          <w:rtl/>
        </w:rPr>
        <w:t>בהקשר זה יצוין, כי בניגוד לפסיקה אליה הפנה ב"כ הנאשם, במקרה זה אין מדובר במי שנושא נשק ברישיון, ועצם נשיאת הנשק על ידו מהווה עבירה חמורה כשלעצמה. יוער, כי רק בשל נשיאת הנשק, ביחד עם תחמושת מתאימה ברחובה של עיר, מתחם העונש ההולם צריך להתחיל מ-18 חודשי מאסר לכל הפחות, בשים לב לכך שהעבירה בוצעה עוד טרם תיקון 140 ל</w:t>
      </w:r>
      <w:hyperlink r:id="rId28" w:history="1">
        <w:r w:rsidR="00F14CFF" w:rsidRPr="00F14CFF">
          <w:rPr>
            <w:rFonts w:ascii="David" w:hAnsi="David"/>
            <w:color w:val="0000FF"/>
            <w:u w:val="single"/>
            <w:rtl/>
          </w:rPr>
          <w:t>חוק העונשין</w:t>
        </w:r>
      </w:hyperlink>
      <w:r>
        <w:rPr>
          <w:rFonts w:ascii="David" w:hAnsi="David" w:hint="cs"/>
          <w:rtl/>
        </w:rPr>
        <w:t xml:space="preserve"> וההחמרה הנוספת בענישה (לאחר ההחמרה בענישה נקבע שמתחם עונש הולם לנשיאת אקדח ברחובה של עיר צריך להתחיל מ-30 חודשי מאסר בפועל, כך למשל </w:t>
      </w:r>
      <w:r w:rsidRPr="00CE67D6">
        <w:rPr>
          <w:rFonts w:ascii="David" w:hAnsi="David"/>
          <w:rtl/>
        </w:rPr>
        <w:t>ב</w:t>
      </w:r>
      <w:hyperlink r:id="rId29" w:history="1">
        <w:r w:rsidR="00F14CFF" w:rsidRPr="00F14CFF">
          <w:rPr>
            <w:rFonts w:ascii="David" w:hAnsi="David"/>
            <w:color w:val="0000FF"/>
            <w:u w:val="single"/>
            <w:rtl/>
          </w:rPr>
          <w:t>ע"פ 5602/22</w:t>
        </w:r>
      </w:hyperlink>
      <w:r w:rsidRPr="00CE67D6">
        <w:rPr>
          <w:rFonts w:ascii="David" w:hAnsi="David"/>
          <w:rtl/>
        </w:rPr>
        <w:t xml:space="preserve"> </w:t>
      </w:r>
      <w:r w:rsidRPr="00CE67D6">
        <w:rPr>
          <w:rFonts w:ascii="David" w:hAnsi="David"/>
          <w:b/>
          <w:bCs/>
          <w:rtl/>
        </w:rPr>
        <w:t>מדינת ישראל נ' פלוני</w:t>
      </w:r>
      <w:r w:rsidRPr="00CE67D6">
        <w:rPr>
          <w:rFonts w:ascii="David" w:hAnsi="David"/>
          <w:rtl/>
        </w:rPr>
        <w:t xml:space="preserve"> (14.9.22)</w:t>
      </w:r>
      <w:r>
        <w:rPr>
          <w:rFonts w:ascii="David" w:hAnsi="David" w:hint="cs"/>
          <w:rtl/>
        </w:rPr>
        <w:t>)</w:t>
      </w:r>
      <w:r w:rsidRPr="00CE67D6">
        <w:rPr>
          <w:rFonts w:ascii="David" w:hAnsi="David"/>
          <w:rtl/>
        </w:rPr>
        <w:t>.</w:t>
      </w:r>
      <w:r>
        <w:rPr>
          <w:rFonts w:ascii="David" w:hAnsi="David" w:hint="cs"/>
          <w:rtl/>
        </w:rPr>
        <w:t xml:space="preserve"> אולם בעניינינו יש להתחשב גם בכך שנפגעו שלושה אנשים מהירי, ובכך שבוצע ירי נרחב לעברם ולעבר בתי השכונה, בנסיבות של קרבה מסוימת לסייג של הגנה העצמית.</w:t>
      </w:r>
    </w:p>
    <w:p w14:paraId="1C2F5A57" w14:textId="77777777" w:rsidR="00D360D0" w:rsidRPr="00DD47A4" w:rsidRDefault="00D360D0" w:rsidP="00D360D0">
      <w:pPr>
        <w:suppressLineNumbers/>
        <w:spacing w:line="360" w:lineRule="auto"/>
        <w:ind w:left="283"/>
        <w:contextualSpacing/>
        <w:jc w:val="both"/>
        <w:rPr>
          <w:rFonts w:ascii="David" w:hAnsi="David"/>
          <w:sz w:val="12"/>
          <w:szCs w:val="12"/>
        </w:rPr>
      </w:pPr>
    </w:p>
    <w:p w14:paraId="5FA97C6B" w14:textId="77777777" w:rsidR="00D360D0" w:rsidRPr="00DD47A4" w:rsidRDefault="00D360D0" w:rsidP="00D360D0">
      <w:pPr>
        <w:numPr>
          <w:ilvl w:val="0"/>
          <w:numId w:val="1"/>
        </w:numPr>
        <w:suppressLineNumbers/>
        <w:spacing w:line="360" w:lineRule="auto"/>
        <w:ind w:left="283" w:hanging="283"/>
        <w:contextualSpacing/>
        <w:jc w:val="both"/>
        <w:rPr>
          <w:rFonts w:ascii="David" w:hAnsi="David"/>
        </w:rPr>
      </w:pPr>
      <w:r>
        <w:rPr>
          <w:rFonts w:ascii="David" w:hAnsi="David" w:hint="cs"/>
          <w:rtl/>
        </w:rPr>
        <w:t xml:space="preserve">אשר על כן, </w:t>
      </w:r>
      <w:r w:rsidRPr="005C4BBD">
        <w:rPr>
          <w:rFonts w:ascii="David" w:hAnsi="David"/>
          <w:rtl/>
        </w:rPr>
        <w:t xml:space="preserve">אני קובעת כי מתחם העונש ההולם נע בין </w:t>
      </w:r>
      <w:r>
        <w:rPr>
          <w:rFonts w:ascii="David" w:hAnsi="David" w:hint="cs"/>
          <w:rtl/>
        </w:rPr>
        <w:t>36</w:t>
      </w:r>
      <w:r w:rsidRPr="005C4BBD">
        <w:rPr>
          <w:rFonts w:ascii="David" w:hAnsi="David"/>
          <w:rtl/>
        </w:rPr>
        <w:t xml:space="preserve"> חודשי מאסר בפועל ועד ל-</w:t>
      </w:r>
      <w:r>
        <w:rPr>
          <w:rFonts w:ascii="David" w:hAnsi="David" w:hint="cs"/>
          <w:rtl/>
        </w:rPr>
        <w:t>60</w:t>
      </w:r>
      <w:r>
        <w:rPr>
          <w:rFonts w:ascii="David" w:hAnsi="David"/>
          <w:rtl/>
        </w:rPr>
        <w:t xml:space="preserve"> חודשי מאסר בפועל.</w:t>
      </w:r>
      <w:r>
        <w:rPr>
          <w:rFonts w:ascii="David" w:hAnsi="David" w:hint="cs"/>
          <w:rtl/>
        </w:rPr>
        <w:t xml:space="preserve"> </w:t>
      </w:r>
      <w:r w:rsidRPr="00DD47A4">
        <w:rPr>
          <w:rFonts w:ascii="David" w:hAnsi="David"/>
          <w:color w:val="000000"/>
          <w:rtl/>
        </w:rPr>
        <w:t xml:space="preserve">במקרה דנן, לא קיימים שיקולים אשר מצדיקים חריגה מהמתחם, לחומרה או לקולה. </w:t>
      </w:r>
    </w:p>
    <w:p w14:paraId="0416F349" w14:textId="77777777" w:rsidR="00D360D0" w:rsidRDefault="00D360D0" w:rsidP="00D360D0">
      <w:pPr>
        <w:pStyle w:val="a9"/>
        <w:rPr>
          <w:rFonts w:ascii="David" w:hAnsi="David"/>
          <w:color w:val="000000"/>
          <w:rtl/>
        </w:rPr>
      </w:pPr>
    </w:p>
    <w:p w14:paraId="7F7FE5E6" w14:textId="77777777" w:rsidR="00D360D0" w:rsidRDefault="00D360D0" w:rsidP="00D360D0">
      <w:pPr>
        <w:spacing w:line="360" w:lineRule="auto"/>
        <w:rPr>
          <w:rFonts w:ascii="David" w:hAnsi="David"/>
          <w:b/>
          <w:bCs/>
          <w:color w:val="000000"/>
          <w:u w:val="single"/>
          <w:rtl/>
        </w:rPr>
      </w:pPr>
      <w:r>
        <w:rPr>
          <w:rFonts w:ascii="David" w:hAnsi="David"/>
          <w:b/>
          <w:bCs/>
          <w:color w:val="000000"/>
          <w:u w:val="single"/>
          <w:rtl/>
        </w:rPr>
        <w:t>העונש המתאים</w:t>
      </w:r>
    </w:p>
    <w:p w14:paraId="68A3931A" w14:textId="77777777" w:rsidR="00D360D0" w:rsidRPr="002D655C" w:rsidRDefault="00D360D0" w:rsidP="00D360D0">
      <w:pPr>
        <w:spacing w:line="360" w:lineRule="auto"/>
        <w:rPr>
          <w:rFonts w:ascii="David" w:hAnsi="David"/>
          <w:b/>
          <w:bCs/>
          <w:color w:val="000000"/>
          <w:sz w:val="12"/>
          <w:szCs w:val="12"/>
          <w:u w:val="single"/>
        </w:rPr>
      </w:pPr>
    </w:p>
    <w:p w14:paraId="664F31AC" w14:textId="77777777" w:rsidR="00D360D0" w:rsidRDefault="00D360D0" w:rsidP="00D360D0">
      <w:pPr>
        <w:numPr>
          <w:ilvl w:val="0"/>
          <w:numId w:val="1"/>
        </w:numPr>
        <w:suppressLineNumbers/>
        <w:spacing w:line="360" w:lineRule="auto"/>
        <w:ind w:left="283" w:hanging="283"/>
        <w:contextualSpacing/>
        <w:jc w:val="both"/>
        <w:rPr>
          <w:rFonts w:ascii="David" w:hAnsi="David"/>
        </w:rPr>
      </w:pPr>
      <w:r w:rsidRPr="006F1E91">
        <w:rPr>
          <w:rFonts w:ascii="David" w:hAnsi="David"/>
          <w:rtl/>
        </w:rPr>
        <w:t xml:space="preserve">בגזירת העונש המתאים לנאשם, בגדרי מתחם העונש ההולם, יש להתחשב בנסיבות שאינן קשורות בביצוע העבירה. במסגרת זו מן הראוי לתת את הדעת לנסיבות הבאות: הנאשם </w:t>
      </w:r>
      <w:r w:rsidRPr="006F1E91">
        <w:rPr>
          <w:rFonts w:ascii="David" w:hAnsi="David" w:hint="cs"/>
          <w:rtl/>
        </w:rPr>
        <w:t xml:space="preserve">בן 21 (יליד 16.10.21) רווק </w:t>
      </w:r>
      <w:r w:rsidRPr="006F1E91">
        <w:rPr>
          <w:rFonts w:ascii="David" w:hAnsi="David"/>
          <w:rtl/>
        </w:rPr>
        <w:t xml:space="preserve">, </w:t>
      </w:r>
      <w:r w:rsidRPr="006F1E91">
        <w:rPr>
          <w:rFonts w:ascii="David" w:hAnsi="David" w:hint="cs"/>
          <w:rtl/>
        </w:rPr>
        <w:t>נעצר כחצי שנה לאחר האירוע</w:t>
      </w:r>
      <w:r>
        <w:rPr>
          <w:rFonts w:ascii="David" w:hAnsi="David" w:hint="cs"/>
          <w:rtl/>
        </w:rPr>
        <w:t>,</w:t>
      </w:r>
      <w:r w:rsidRPr="006F1E91">
        <w:rPr>
          <w:rFonts w:ascii="David" w:hAnsi="David" w:hint="cs"/>
          <w:rtl/>
        </w:rPr>
        <w:t xml:space="preserve"> ומאז </w:t>
      </w:r>
      <w:r>
        <w:rPr>
          <w:rFonts w:ascii="David" w:hAnsi="David" w:hint="cs"/>
          <w:rtl/>
        </w:rPr>
        <w:t xml:space="preserve">הוא </w:t>
      </w:r>
      <w:r w:rsidRPr="006F1E91">
        <w:rPr>
          <w:rFonts w:ascii="David" w:hAnsi="David"/>
          <w:rtl/>
        </w:rPr>
        <w:t xml:space="preserve">שוהה במעצר </w:t>
      </w:r>
      <w:r w:rsidRPr="006F1E91">
        <w:rPr>
          <w:rFonts w:ascii="David" w:hAnsi="David" w:hint="cs"/>
          <w:rtl/>
        </w:rPr>
        <w:t>במשך שנה וארבעה חודשים,</w:t>
      </w:r>
      <w:r w:rsidRPr="006F1E91">
        <w:rPr>
          <w:rFonts w:ascii="David" w:hAnsi="David"/>
          <w:rtl/>
        </w:rPr>
        <w:t xml:space="preserve"> וידוע כי תנאי מעצר קשים מתנאי מאסר.</w:t>
      </w:r>
      <w:r w:rsidRPr="006F1E91">
        <w:rPr>
          <w:rFonts w:ascii="David" w:hAnsi="David" w:hint="cs"/>
          <w:rtl/>
        </w:rPr>
        <w:t xml:space="preserve"> למרות מורכבותו של התיק, </w:t>
      </w:r>
      <w:r>
        <w:rPr>
          <w:rFonts w:ascii="David" w:hAnsi="David" w:hint="cs"/>
          <w:rtl/>
        </w:rPr>
        <w:t>הודה הנאשם בעבירות המיוחסות לו</w:t>
      </w:r>
      <w:r w:rsidRPr="006F1E91">
        <w:rPr>
          <w:rFonts w:ascii="David" w:hAnsi="David" w:hint="cs"/>
          <w:rtl/>
        </w:rPr>
        <w:t>, לאחר שכתב האישום תוקן, וחסך בכך זמן שיפוטי משמעותי ואת עדותם של נפגעי העבירה. הנאשם נעדר עבר פלילי</w:t>
      </w:r>
      <w:r>
        <w:rPr>
          <w:rFonts w:ascii="David" w:hAnsi="David" w:hint="cs"/>
          <w:rtl/>
        </w:rPr>
        <w:t>,</w:t>
      </w:r>
      <w:r w:rsidRPr="006F1E91">
        <w:rPr>
          <w:rFonts w:ascii="David" w:hAnsi="David" w:hint="cs"/>
          <w:rtl/>
        </w:rPr>
        <w:t xml:space="preserve"> וזוהי לו מעורבותו הראשונה בפלילי</w:t>
      </w:r>
      <w:r>
        <w:rPr>
          <w:rFonts w:ascii="David" w:hAnsi="David" w:hint="cs"/>
          <w:rtl/>
        </w:rPr>
        <w:t>ם.</w:t>
      </w:r>
      <w:r w:rsidRPr="006F1E91">
        <w:rPr>
          <w:rFonts w:ascii="David" w:hAnsi="David" w:hint="cs"/>
          <w:rtl/>
        </w:rPr>
        <w:t xml:space="preserve"> </w:t>
      </w:r>
      <w:r>
        <w:rPr>
          <w:rFonts w:ascii="David" w:hAnsi="David" w:hint="cs"/>
          <w:rtl/>
        </w:rPr>
        <w:t>ממועד ביצוע העבירה חלפו שנתיים בהם</w:t>
      </w:r>
      <w:r w:rsidRPr="006F1E91">
        <w:rPr>
          <w:rFonts w:ascii="David" w:hAnsi="David" w:hint="cs"/>
          <w:rtl/>
        </w:rPr>
        <w:t xml:space="preserve"> לא היה מעורב באירועים נוספים. </w:t>
      </w:r>
      <w:r>
        <w:rPr>
          <w:rFonts w:ascii="David" w:hAnsi="David" w:hint="cs"/>
          <w:rtl/>
        </w:rPr>
        <w:t xml:space="preserve">הנאשם בן למשפחה נורמטיבית ותומכת, </w:t>
      </w:r>
      <w:r w:rsidRPr="006F1E91">
        <w:rPr>
          <w:rFonts w:ascii="David" w:hAnsi="David" w:hint="cs"/>
          <w:rtl/>
        </w:rPr>
        <w:t xml:space="preserve">טרם מעצרו ניהל </w:t>
      </w:r>
      <w:r>
        <w:rPr>
          <w:rFonts w:ascii="David" w:hAnsi="David" w:hint="cs"/>
          <w:rtl/>
        </w:rPr>
        <w:t>א</w:t>
      </w:r>
      <w:r w:rsidRPr="006F1E91">
        <w:rPr>
          <w:rFonts w:ascii="David" w:hAnsi="David" w:hint="cs"/>
          <w:rtl/>
        </w:rPr>
        <w:t>ורח חיים נורמטיבי, ו</w:t>
      </w:r>
      <w:r>
        <w:rPr>
          <w:rFonts w:ascii="David" w:hAnsi="David" w:hint="cs"/>
          <w:rtl/>
        </w:rPr>
        <w:t xml:space="preserve">הוא </w:t>
      </w:r>
      <w:r w:rsidRPr="006F1E91">
        <w:rPr>
          <w:rFonts w:ascii="David" w:hAnsi="David" w:hint="cs"/>
          <w:rtl/>
        </w:rPr>
        <w:t xml:space="preserve">שואף לחזור לכך לאחר שחרורו. </w:t>
      </w:r>
      <w:r>
        <w:rPr>
          <w:rFonts w:ascii="David" w:hAnsi="David" w:hint="cs"/>
          <w:rtl/>
        </w:rPr>
        <w:t xml:space="preserve">מנגד, שקלתי כי הנשק ששימש לביצוע העבירות לא נמצא, ומתסקיר שירות המבחן עולה שהנאשם התקשה לקחת אחריות מלאה למעשיו, והתקשה להכיר בבעייתיות שבהתנהלותו. </w:t>
      </w:r>
    </w:p>
    <w:p w14:paraId="07317C8A" w14:textId="77777777" w:rsidR="00D360D0" w:rsidRPr="00A73073" w:rsidRDefault="00D360D0" w:rsidP="00D360D0">
      <w:pPr>
        <w:suppressLineNumbers/>
        <w:spacing w:line="360" w:lineRule="auto"/>
        <w:ind w:left="283"/>
        <w:contextualSpacing/>
        <w:jc w:val="both"/>
        <w:rPr>
          <w:rFonts w:ascii="David" w:hAnsi="David"/>
          <w:sz w:val="12"/>
          <w:szCs w:val="12"/>
        </w:rPr>
      </w:pPr>
    </w:p>
    <w:p w14:paraId="10836093" w14:textId="77777777" w:rsidR="00D360D0" w:rsidRDefault="00D360D0" w:rsidP="00D360D0">
      <w:pPr>
        <w:numPr>
          <w:ilvl w:val="0"/>
          <w:numId w:val="1"/>
        </w:numPr>
        <w:suppressLineNumbers/>
        <w:spacing w:line="360" w:lineRule="auto"/>
        <w:ind w:left="283" w:hanging="283"/>
        <w:contextualSpacing/>
        <w:jc w:val="both"/>
        <w:rPr>
          <w:rFonts w:ascii="David" w:hAnsi="David"/>
        </w:rPr>
      </w:pPr>
      <w:r>
        <w:rPr>
          <w:rFonts w:ascii="David" w:hAnsi="David" w:hint="cs"/>
          <w:rtl/>
        </w:rPr>
        <w:t>בעבירות מסוג זה, יש גם לשקול שיקולי הרתעת היחיד והרבים, כאמור.</w:t>
      </w:r>
      <w:r w:rsidRPr="006F1E91">
        <w:rPr>
          <w:rFonts w:ascii="David" w:hAnsi="David" w:hint="cs"/>
          <w:rtl/>
        </w:rPr>
        <w:t xml:space="preserve"> </w:t>
      </w:r>
      <w:r>
        <w:rPr>
          <w:rFonts w:ascii="David" w:hAnsi="David" w:hint="cs"/>
          <w:rtl/>
        </w:rPr>
        <w:t>על כן היה מקום לגזור על הנאשם עונש שלא בתחתית מתחם העונש ההולם. ברם, אין מחלוקת בין הצדדים בעניין זה, והם עתרו להשתת עונש מאסר בתחתית מתחם העונש ההולם, בין היתר, בשל מורכבות האירוע, דבר שהוביל לעמדה אליה עתרה המאשימה בסופו של דבר. בנסיבות אלה מצאתי לגזור על הנאשם עונש בתחתית מתחם העונש ההולם.</w:t>
      </w:r>
    </w:p>
    <w:p w14:paraId="1B1CA1D9" w14:textId="77777777" w:rsidR="00D360D0" w:rsidRDefault="00D360D0" w:rsidP="00D360D0">
      <w:pPr>
        <w:pStyle w:val="a9"/>
        <w:rPr>
          <w:rFonts w:ascii="David" w:hAnsi="David"/>
          <w:rtl/>
        </w:rPr>
      </w:pPr>
    </w:p>
    <w:p w14:paraId="3479CF62" w14:textId="77777777" w:rsidR="00D360D0" w:rsidRPr="002D655C" w:rsidRDefault="00D360D0" w:rsidP="00D360D0">
      <w:pPr>
        <w:numPr>
          <w:ilvl w:val="0"/>
          <w:numId w:val="1"/>
        </w:numPr>
        <w:suppressLineNumbers/>
        <w:spacing w:line="360" w:lineRule="auto"/>
        <w:ind w:left="283" w:hanging="283"/>
        <w:contextualSpacing/>
        <w:jc w:val="both"/>
        <w:rPr>
          <w:rFonts w:ascii="David" w:hAnsi="David"/>
        </w:rPr>
      </w:pPr>
      <w:r w:rsidRPr="002D655C">
        <w:rPr>
          <w:rFonts w:ascii="David" w:hAnsi="David"/>
          <w:rtl/>
        </w:rPr>
        <w:t>אשר על כן הנני גוזרת על הנאשם את עונשים כדלקמן:</w:t>
      </w:r>
    </w:p>
    <w:p w14:paraId="4015BC5E" w14:textId="77777777" w:rsidR="00D360D0" w:rsidRDefault="00D360D0" w:rsidP="00D360D0">
      <w:pPr>
        <w:spacing w:line="360" w:lineRule="auto"/>
        <w:ind w:left="283"/>
        <w:contextualSpacing/>
        <w:jc w:val="both"/>
        <w:rPr>
          <w:rFonts w:ascii="David" w:eastAsia="Calibri" w:hAnsi="David"/>
          <w:sz w:val="12"/>
          <w:szCs w:val="12"/>
        </w:rPr>
      </w:pPr>
    </w:p>
    <w:p w14:paraId="1CE82CDB" w14:textId="77777777" w:rsidR="00D360D0" w:rsidRDefault="00D360D0" w:rsidP="00D360D0">
      <w:pPr>
        <w:numPr>
          <w:ilvl w:val="1"/>
          <w:numId w:val="2"/>
        </w:numPr>
        <w:spacing w:line="360" w:lineRule="auto"/>
        <w:contextualSpacing/>
        <w:jc w:val="both"/>
        <w:rPr>
          <w:rFonts w:ascii="David" w:eastAsia="Calibri" w:hAnsi="David"/>
        </w:rPr>
      </w:pPr>
      <w:r>
        <w:rPr>
          <w:rFonts w:ascii="David" w:hAnsi="David"/>
          <w:rtl/>
        </w:rPr>
        <w:t xml:space="preserve"> </w:t>
      </w:r>
      <w:r>
        <w:rPr>
          <w:rFonts w:ascii="David" w:hAnsi="David" w:hint="cs"/>
          <w:rtl/>
        </w:rPr>
        <w:t>36 חודשי מאסר בפועל, אשר יימנו מיום מעצרו</w:t>
      </w:r>
      <w:r>
        <w:rPr>
          <w:rFonts w:ascii="David" w:hAnsi="David"/>
          <w:rtl/>
        </w:rPr>
        <w:t>.</w:t>
      </w:r>
    </w:p>
    <w:p w14:paraId="120D84B5" w14:textId="77777777" w:rsidR="00D360D0" w:rsidRDefault="00D360D0" w:rsidP="00D360D0">
      <w:pPr>
        <w:spacing w:line="360" w:lineRule="auto"/>
        <w:ind w:left="702"/>
        <w:jc w:val="both"/>
        <w:rPr>
          <w:rFonts w:ascii="David" w:hAnsi="David"/>
          <w:sz w:val="12"/>
          <w:szCs w:val="12"/>
          <w:rtl/>
        </w:rPr>
      </w:pPr>
    </w:p>
    <w:p w14:paraId="2BA8E19B" w14:textId="77777777" w:rsidR="00D360D0" w:rsidRDefault="00D360D0" w:rsidP="00D360D0">
      <w:pPr>
        <w:numPr>
          <w:ilvl w:val="1"/>
          <w:numId w:val="2"/>
        </w:numPr>
        <w:spacing w:line="360" w:lineRule="auto"/>
        <w:contextualSpacing/>
        <w:jc w:val="both"/>
        <w:rPr>
          <w:rFonts w:ascii="David" w:hAnsi="David"/>
          <w:rtl/>
        </w:rPr>
      </w:pPr>
      <w:r>
        <w:rPr>
          <w:rFonts w:ascii="David" w:hAnsi="David"/>
          <w:rtl/>
        </w:rPr>
        <w:t>12</w:t>
      </w:r>
      <w:r>
        <w:rPr>
          <w:rFonts w:ascii="Calibri" w:eastAsia="Calibri" w:hAnsi="Calibri"/>
          <w:rtl/>
        </w:rPr>
        <w:t xml:space="preserve"> חודשי מאסר על תנאי שלא יעבור בתוך 3 שנים מיום שחרורו על עבירות בנשק מסוג פשע</w:t>
      </w:r>
      <w:r>
        <w:rPr>
          <w:rFonts w:ascii="David" w:hAnsi="David" w:hint="cs"/>
          <w:rtl/>
        </w:rPr>
        <w:t xml:space="preserve"> או עבירת אלימות מסוג פשע</w:t>
      </w:r>
      <w:r>
        <w:rPr>
          <w:rFonts w:ascii="David" w:hAnsi="David"/>
          <w:rtl/>
        </w:rPr>
        <w:t>.</w:t>
      </w:r>
    </w:p>
    <w:p w14:paraId="08E3C696" w14:textId="77777777" w:rsidR="00D360D0" w:rsidRDefault="00D360D0" w:rsidP="00D360D0">
      <w:pPr>
        <w:spacing w:line="360" w:lineRule="auto"/>
        <w:ind w:left="567"/>
        <w:contextualSpacing/>
        <w:jc w:val="both"/>
        <w:rPr>
          <w:rFonts w:ascii="David" w:hAnsi="David"/>
          <w:sz w:val="12"/>
          <w:szCs w:val="12"/>
        </w:rPr>
      </w:pPr>
    </w:p>
    <w:p w14:paraId="254622B7" w14:textId="77777777" w:rsidR="00D360D0" w:rsidRDefault="00D360D0" w:rsidP="00D360D0">
      <w:pPr>
        <w:numPr>
          <w:ilvl w:val="1"/>
          <w:numId w:val="2"/>
        </w:numPr>
        <w:spacing w:line="360" w:lineRule="auto"/>
        <w:contextualSpacing/>
        <w:jc w:val="both"/>
        <w:rPr>
          <w:rFonts w:ascii="David" w:hAnsi="David"/>
          <w:rtl/>
        </w:rPr>
      </w:pPr>
      <w:r>
        <w:rPr>
          <w:rFonts w:ascii="Calibri" w:eastAsia="Calibri" w:hAnsi="Calibri"/>
          <w:rtl/>
        </w:rPr>
        <w:t>6 חודשי מאסר על תנאי שלא יעבור בתוך 3 שנים מיום שחרורו על עבירות בנשק מסוג עוון</w:t>
      </w:r>
      <w:r>
        <w:rPr>
          <w:rFonts w:ascii="Calibri" w:eastAsia="Calibri" w:hAnsi="Calibri" w:hint="cs"/>
          <w:rtl/>
        </w:rPr>
        <w:t xml:space="preserve"> או עבירת אלימות מסוג עוון</w:t>
      </w:r>
      <w:r>
        <w:rPr>
          <w:rFonts w:ascii="David" w:hAnsi="David"/>
          <w:rtl/>
        </w:rPr>
        <w:t>.</w:t>
      </w:r>
    </w:p>
    <w:p w14:paraId="0EAE7F21" w14:textId="77777777" w:rsidR="00D360D0" w:rsidRDefault="00D360D0" w:rsidP="00D360D0">
      <w:pPr>
        <w:spacing w:line="360" w:lineRule="auto"/>
        <w:ind w:left="567"/>
        <w:contextualSpacing/>
        <w:jc w:val="both"/>
        <w:rPr>
          <w:rFonts w:ascii="David" w:hAnsi="David"/>
          <w:sz w:val="12"/>
          <w:szCs w:val="12"/>
        </w:rPr>
      </w:pPr>
    </w:p>
    <w:p w14:paraId="574FD4C0" w14:textId="77777777" w:rsidR="00D360D0" w:rsidRDefault="00D360D0" w:rsidP="00D360D0">
      <w:pPr>
        <w:numPr>
          <w:ilvl w:val="1"/>
          <w:numId w:val="2"/>
        </w:numPr>
        <w:spacing w:line="360" w:lineRule="auto"/>
        <w:contextualSpacing/>
        <w:jc w:val="both"/>
        <w:rPr>
          <w:rFonts w:ascii="David" w:hAnsi="David"/>
        </w:rPr>
      </w:pPr>
      <w:r>
        <w:rPr>
          <w:rFonts w:ascii="Calibri" w:eastAsia="Calibri" w:hAnsi="Calibri"/>
          <w:rtl/>
        </w:rPr>
        <w:t>לנוכח תקופת המאסר, נסיבותיו האישיות של הנאשם ונסיבות ביצוע העבירה לא מצאתי להטיל עליו קנס.</w:t>
      </w:r>
    </w:p>
    <w:p w14:paraId="2CA1B9B2" w14:textId="77777777" w:rsidR="00D360D0" w:rsidRPr="00F90DE5" w:rsidRDefault="00D360D0" w:rsidP="00D360D0">
      <w:pPr>
        <w:pStyle w:val="a9"/>
        <w:rPr>
          <w:rFonts w:ascii="David" w:hAnsi="David"/>
          <w:sz w:val="2"/>
          <w:szCs w:val="2"/>
          <w:rtl/>
        </w:rPr>
      </w:pPr>
    </w:p>
    <w:p w14:paraId="535DA360" w14:textId="77777777" w:rsidR="00D360D0" w:rsidRDefault="00D360D0" w:rsidP="00D360D0">
      <w:pPr>
        <w:numPr>
          <w:ilvl w:val="1"/>
          <w:numId w:val="2"/>
        </w:numPr>
        <w:spacing w:line="360" w:lineRule="auto"/>
        <w:contextualSpacing/>
        <w:jc w:val="both"/>
        <w:rPr>
          <w:rFonts w:ascii="David" w:hAnsi="David"/>
        </w:rPr>
      </w:pPr>
      <w:r>
        <w:rPr>
          <w:rFonts w:ascii="David" w:hAnsi="David" w:hint="cs"/>
          <w:rtl/>
        </w:rPr>
        <w:t>הנאשם יפצה כל אחד מנפגעי העבירה בסכום של 3,000 ₪ וזאת עד ליום 1.8.23.</w:t>
      </w:r>
    </w:p>
    <w:p w14:paraId="4A517F2E" w14:textId="77777777" w:rsidR="00D360D0" w:rsidRPr="002D655C" w:rsidRDefault="00D360D0" w:rsidP="00D360D0">
      <w:pPr>
        <w:spacing w:line="360" w:lineRule="auto"/>
        <w:contextualSpacing/>
        <w:jc w:val="both"/>
        <w:rPr>
          <w:rFonts w:ascii="David" w:hAnsi="David"/>
          <w:b/>
          <w:bCs/>
          <w:u w:val="single"/>
          <w:rtl/>
        </w:rPr>
      </w:pPr>
    </w:p>
    <w:p w14:paraId="3388D15E" w14:textId="77777777" w:rsidR="00D360D0" w:rsidRPr="002D655C" w:rsidRDefault="00D360D0" w:rsidP="00D360D0">
      <w:pPr>
        <w:spacing w:line="360" w:lineRule="auto"/>
        <w:contextualSpacing/>
        <w:jc w:val="both"/>
        <w:rPr>
          <w:rFonts w:ascii="David" w:hAnsi="David"/>
          <w:b/>
          <w:bCs/>
          <w:u w:val="single"/>
          <w:rtl/>
        </w:rPr>
      </w:pPr>
      <w:r w:rsidRPr="002D655C">
        <w:rPr>
          <w:rFonts w:ascii="David" w:hAnsi="David" w:hint="cs"/>
          <w:b/>
          <w:bCs/>
          <w:u w:val="single"/>
          <w:rtl/>
        </w:rPr>
        <w:t>העתק גזר הדין ישלח לשירות המבחן.</w:t>
      </w:r>
    </w:p>
    <w:p w14:paraId="22D4CBD5" w14:textId="77777777" w:rsidR="00D360D0" w:rsidRPr="00F14CFF" w:rsidRDefault="00F14CFF" w:rsidP="00D360D0">
      <w:pPr>
        <w:rPr>
          <w:color w:val="FFFFFF"/>
          <w:sz w:val="2"/>
          <w:szCs w:val="2"/>
          <w:rtl/>
        </w:rPr>
      </w:pPr>
      <w:r w:rsidRPr="00F14CFF">
        <w:rPr>
          <w:color w:val="FFFFFF"/>
          <w:sz w:val="2"/>
          <w:szCs w:val="2"/>
          <w:rtl/>
        </w:rPr>
        <w:t>5129371</w:t>
      </w:r>
    </w:p>
    <w:p w14:paraId="589C6532" w14:textId="77777777" w:rsidR="00D360D0" w:rsidRDefault="00F14CFF" w:rsidP="00D360D0">
      <w:pPr>
        <w:rPr>
          <w:b/>
          <w:bCs/>
          <w:rtl/>
        </w:rPr>
      </w:pPr>
      <w:r w:rsidRPr="00F14CFF">
        <w:rPr>
          <w:b/>
          <w:bCs/>
          <w:color w:val="FFFFFF"/>
          <w:sz w:val="2"/>
          <w:szCs w:val="2"/>
          <w:rtl/>
        </w:rPr>
        <w:t>54678313</w:t>
      </w:r>
      <w:r w:rsidR="00D360D0">
        <w:rPr>
          <w:b/>
          <w:bCs/>
          <w:rtl/>
        </w:rPr>
        <w:t>זכות ערעור לבית המשפט העליון בתוך 45 יום מהיום.</w:t>
      </w:r>
    </w:p>
    <w:p w14:paraId="02E31F90" w14:textId="77777777" w:rsidR="00D360D0" w:rsidRDefault="00D360D0" w:rsidP="00D360D0">
      <w:pPr>
        <w:rPr>
          <w:rFonts w:ascii="Arial" w:hAnsi="Arial"/>
          <w:b/>
          <w:bCs/>
          <w:sz w:val="26"/>
          <w:szCs w:val="26"/>
          <w:rtl/>
        </w:rPr>
      </w:pPr>
    </w:p>
    <w:p w14:paraId="5E3E761B" w14:textId="77777777" w:rsidR="00D360D0" w:rsidRPr="000F2247" w:rsidRDefault="00F14CFF" w:rsidP="00D360D0">
      <w:pPr>
        <w:spacing w:line="360" w:lineRule="auto"/>
        <w:jc w:val="both"/>
        <w:rPr>
          <w:rFonts w:ascii="Arial" w:hAnsi="Arial"/>
          <w:b/>
          <w:bCs/>
          <w:sz w:val="26"/>
          <w:szCs w:val="26"/>
          <w:rtl/>
        </w:rPr>
      </w:pPr>
      <w:bookmarkStart w:id="19" w:name="Nitan"/>
      <w:r>
        <w:rPr>
          <w:rFonts w:ascii="Arial" w:hAnsi="Arial"/>
          <w:b/>
          <w:bCs/>
          <w:sz w:val="26"/>
          <w:szCs w:val="26"/>
          <w:rtl/>
        </w:rPr>
        <w:t xml:space="preserve">ניתן היום,  ג' סיוון תשפ"ג, 23 מאי 2023, במעמד ב"כ הצדדים והנאשם. </w:t>
      </w:r>
      <w:bookmarkEnd w:id="19"/>
      <w:r w:rsidR="00D360D0">
        <w:rPr>
          <w:rFonts w:ascii="Arial" w:hAnsi="Arial"/>
          <w:b/>
          <w:bCs/>
          <w:sz w:val="26"/>
          <w:szCs w:val="26"/>
          <w:rtl/>
        </w:rPr>
        <w:tab/>
      </w:r>
      <w:r w:rsidR="00D360D0">
        <w:rPr>
          <w:rFonts w:ascii="Arial" w:hAnsi="Arial"/>
          <w:b/>
          <w:bCs/>
          <w:sz w:val="26"/>
          <w:szCs w:val="26"/>
          <w:rtl/>
        </w:rPr>
        <w:tab/>
      </w:r>
      <w:r w:rsidR="00D360D0">
        <w:rPr>
          <w:rFonts w:ascii="Arial" w:hAnsi="Arial"/>
          <w:b/>
          <w:bCs/>
          <w:sz w:val="26"/>
          <w:szCs w:val="26"/>
          <w:rtl/>
        </w:rPr>
        <w:tab/>
      </w:r>
      <w:r w:rsidR="00D360D0">
        <w:rPr>
          <w:rFonts w:ascii="Arial" w:hAnsi="Arial"/>
          <w:b/>
          <w:bCs/>
          <w:sz w:val="26"/>
          <w:szCs w:val="26"/>
          <w:rtl/>
        </w:rPr>
        <w:tab/>
      </w:r>
      <w:r w:rsidR="00D360D0">
        <w:rPr>
          <w:rFonts w:ascii="Arial" w:hAnsi="Arial"/>
          <w:b/>
          <w:bCs/>
          <w:sz w:val="26"/>
          <w:szCs w:val="26"/>
          <w:rtl/>
        </w:rPr>
        <w:tab/>
      </w:r>
      <w:r w:rsidR="00D360D0">
        <w:rPr>
          <w:rFonts w:ascii="Arial" w:hAnsi="Arial"/>
          <w:b/>
          <w:bCs/>
          <w:sz w:val="26"/>
          <w:szCs w:val="26"/>
          <w:rtl/>
        </w:rPr>
        <w:tab/>
      </w:r>
      <w:r w:rsidR="00D360D0">
        <w:rPr>
          <w:rFonts w:ascii="Arial" w:hAnsi="Arial"/>
          <w:b/>
          <w:bCs/>
          <w:sz w:val="26"/>
          <w:szCs w:val="26"/>
          <w:rtl/>
        </w:rPr>
        <w:tab/>
      </w:r>
    </w:p>
    <w:p w14:paraId="1D45DCC1" w14:textId="77777777" w:rsidR="00D360D0" w:rsidRPr="000F2247" w:rsidRDefault="00D360D0" w:rsidP="00F14CF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C3294A8" w14:textId="77777777" w:rsidR="00D360D0" w:rsidRPr="000F2247" w:rsidRDefault="00D360D0" w:rsidP="00D360D0">
      <w:pPr>
        <w:jc w:val="center"/>
        <w:rPr>
          <w:rFonts w:ascii="Arial" w:hAnsi="Arial"/>
          <w:b/>
          <w:bCs/>
          <w:sz w:val="26"/>
          <w:szCs w:val="26"/>
          <w:rtl/>
        </w:rPr>
      </w:pPr>
    </w:p>
    <w:p w14:paraId="5B7DC1E1" w14:textId="77777777" w:rsidR="00282BA8" w:rsidRPr="00F14CFF" w:rsidRDefault="00282BA8" w:rsidP="00F14CFF">
      <w:pPr>
        <w:keepNext/>
        <w:rPr>
          <w:rFonts w:ascii="David" w:hAnsi="David"/>
          <w:color w:val="000000"/>
          <w:sz w:val="22"/>
          <w:szCs w:val="22"/>
          <w:rtl/>
        </w:rPr>
      </w:pPr>
    </w:p>
    <w:p w14:paraId="0283AE35" w14:textId="77777777" w:rsidR="00F14CFF" w:rsidRPr="00F14CFF" w:rsidRDefault="00F14CFF" w:rsidP="00F14CFF">
      <w:pPr>
        <w:keepNext/>
        <w:rPr>
          <w:rFonts w:ascii="David" w:hAnsi="David"/>
          <w:color w:val="000000"/>
          <w:sz w:val="22"/>
          <w:szCs w:val="22"/>
          <w:rtl/>
        </w:rPr>
      </w:pPr>
      <w:r w:rsidRPr="00F14CFF">
        <w:rPr>
          <w:rFonts w:ascii="David" w:hAnsi="David"/>
          <w:color w:val="000000"/>
          <w:sz w:val="22"/>
          <w:szCs w:val="22"/>
          <w:rtl/>
        </w:rPr>
        <w:t>חנה מרים לומפ 54678313</w:t>
      </w:r>
    </w:p>
    <w:p w14:paraId="10BED616" w14:textId="77777777" w:rsidR="00F14CFF" w:rsidRDefault="00F14CFF" w:rsidP="00F14CFF">
      <w:r w:rsidRPr="00F14CFF">
        <w:rPr>
          <w:color w:val="000000"/>
          <w:rtl/>
        </w:rPr>
        <w:t>נוסח מסמך זה כפוף לשינויי ניסוח ועריכה</w:t>
      </w:r>
    </w:p>
    <w:p w14:paraId="0427D1A1" w14:textId="77777777" w:rsidR="00F14CFF" w:rsidRDefault="00F14CFF" w:rsidP="00F14CFF">
      <w:pPr>
        <w:rPr>
          <w:rtl/>
        </w:rPr>
      </w:pPr>
    </w:p>
    <w:p w14:paraId="06A1CA7C" w14:textId="77777777" w:rsidR="00F14CFF" w:rsidRDefault="00F14CFF" w:rsidP="00F14CFF">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7E1A4FB" w14:textId="77777777" w:rsidR="00F14CFF" w:rsidRPr="00F14CFF" w:rsidRDefault="00F14CFF" w:rsidP="00F14CFF">
      <w:pPr>
        <w:jc w:val="center"/>
        <w:rPr>
          <w:color w:val="0000FF"/>
          <w:u w:val="single"/>
        </w:rPr>
      </w:pPr>
    </w:p>
    <w:sectPr w:rsidR="00F14CFF" w:rsidRPr="00F14CFF" w:rsidSect="00F14CF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4541B" w14:textId="77777777" w:rsidR="004731FE" w:rsidRDefault="004731FE" w:rsidP="00C327A7">
      <w:r>
        <w:separator/>
      </w:r>
    </w:p>
  </w:endnote>
  <w:endnote w:type="continuationSeparator" w:id="0">
    <w:p w14:paraId="0AF9E892" w14:textId="77777777" w:rsidR="004731FE" w:rsidRDefault="004731FE" w:rsidP="00C3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BF439" w14:textId="77777777" w:rsidR="00F14CFF" w:rsidRDefault="00F14CFF" w:rsidP="00F14C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650540" w14:textId="77777777" w:rsidR="000F38A6" w:rsidRPr="00F14CFF" w:rsidRDefault="00F14CFF" w:rsidP="00F14CF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16B9B" w14:textId="77777777" w:rsidR="00F14CFF" w:rsidRDefault="00F14CFF" w:rsidP="00F14C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710F">
      <w:rPr>
        <w:rFonts w:ascii="FrankRuehl" w:hAnsi="FrankRuehl" w:cs="FrankRuehl"/>
        <w:noProof/>
        <w:rtl/>
      </w:rPr>
      <w:t>1</w:t>
    </w:r>
    <w:r>
      <w:rPr>
        <w:rFonts w:ascii="FrankRuehl" w:hAnsi="FrankRuehl" w:cs="FrankRuehl"/>
        <w:rtl/>
      </w:rPr>
      <w:fldChar w:fldCharType="end"/>
    </w:r>
  </w:p>
  <w:p w14:paraId="5319FD69" w14:textId="77777777" w:rsidR="000F38A6" w:rsidRPr="00F14CFF" w:rsidRDefault="00F14CFF" w:rsidP="00F14CF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CD9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7C22E" w14:textId="77777777" w:rsidR="004731FE" w:rsidRDefault="004731FE" w:rsidP="00C327A7">
      <w:r>
        <w:separator/>
      </w:r>
    </w:p>
  </w:footnote>
  <w:footnote w:type="continuationSeparator" w:id="0">
    <w:p w14:paraId="14710EAA" w14:textId="77777777" w:rsidR="004731FE" w:rsidRDefault="004731FE" w:rsidP="00C32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76044" w14:textId="77777777" w:rsidR="00F14CFF" w:rsidRPr="00F14CFF" w:rsidRDefault="00F14CFF" w:rsidP="00F14CF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47276-02-22</w:t>
    </w:r>
    <w:r>
      <w:rPr>
        <w:rFonts w:ascii="David" w:hAnsi="David"/>
        <w:color w:val="000000"/>
        <w:sz w:val="22"/>
        <w:szCs w:val="22"/>
        <w:rtl/>
      </w:rPr>
      <w:tab/>
      <w:t xml:space="preserve"> מדינת ישראל נ' מחמד אל עאדווין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32068" w14:textId="77777777" w:rsidR="00F14CFF" w:rsidRPr="00F14CFF" w:rsidRDefault="00F14CFF" w:rsidP="00F14CF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47276-02-22</w:t>
    </w:r>
    <w:r>
      <w:rPr>
        <w:rFonts w:ascii="David" w:hAnsi="David"/>
        <w:color w:val="000000"/>
        <w:sz w:val="22"/>
        <w:szCs w:val="22"/>
        <w:rtl/>
      </w:rPr>
      <w:tab/>
      <w:t xml:space="preserve"> מדינת ישראל נ' מחמד אל עאדווין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05A3A"/>
    <w:multiLevelType w:val="hybridMultilevel"/>
    <w:tmpl w:val="6972D1F4"/>
    <w:lvl w:ilvl="0" w:tplc="59383ECA">
      <w:start w:val="1"/>
      <w:numFmt w:val="decimal"/>
      <w:lvlText w:val="%1."/>
      <w:lvlJc w:val="left"/>
      <w:pPr>
        <w:ind w:left="720" w:hanging="360"/>
      </w:pPr>
    </w:lvl>
    <w:lvl w:ilvl="1" w:tplc="21DEBC8E">
      <w:start w:val="1"/>
      <w:numFmt w:val="hebrew1"/>
      <w:lvlText w:val="%2."/>
      <w:lvlJc w:val="center"/>
      <w:pPr>
        <w:ind w:left="1440" w:hanging="360"/>
      </w:pPr>
      <w:rPr>
        <w:lang w:val="en-US"/>
      </w:rPr>
    </w:lvl>
    <w:lvl w:ilvl="2" w:tplc="22CA09DC">
      <w:start w:val="1"/>
      <w:numFmt w:val="lowerRoman"/>
      <w:lvlText w:val="%3."/>
      <w:lvlJc w:val="right"/>
      <w:pPr>
        <w:ind w:left="2160" w:hanging="180"/>
      </w:pPr>
    </w:lvl>
    <w:lvl w:ilvl="3" w:tplc="9800C136">
      <w:start w:val="1"/>
      <w:numFmt w:val="decimal"/>
      <w:lvlText w:val="%4."/>
      <w:lvlJc w:val="left"/>
      <w:pPr>
        <w:ind w:left="2880" w:hanging="360"/>
      </w:pPr>
    </w:lvl>
    <w:lvl w:ilvl="4" w:tplc="BFAA9468">
      <w:start w:val="1"/>
      <w:numFmt w:val="lowerLetter"/>
      <w:lvlText w:val="%5."/>
      <w:lvlJc w:val="left"/>
      <w:pPr>
        <w:ind w:left="3600" w:hanging="360"/>
      </w:pPr>
    </w:lvl>
    <w:lvl w:ilvl="5" w:tplc="EC0E54D6">
      <w:start w:val="1"/>
      <w:numFmt w:val="lowerRoman"/>
      <w:lvlText w:val="%6."/>
      <w:lvlJc w:val="right"/>
      <w:pPr>
        <w:ind w:left="4320" w:hanging="180"/>
      </w:pPr>
    </w:lvl>
    <w:lvl w:ilvl="6" w:tplc="FEBAB2D0">
      <w:start w:val="1"/>
      <w:numFmt w:val="decimal"/>
      <w:lvlText w:val="%7."/>
      <w:lvlJc w:val="left"/>
      <w:pPr>
        <w:ind w:left="5040" w:hanging="360"/>
      </w:pPr>
    </w:lvl>
    <w:lvl w:ilvl="7" w:tplc="44D29828">
      <w:start w:val="1"/>
      <w:numFmt w:val="lowerLetter"/>
      <w:lvlText w:val="%8."/>
      <w:lvlJc w:val="left"/>
      <w:pPr>
        <w:ind w:left="5760" w:hanging="360"/>
      </w:pPr>
    </w:lvl>
    <w:lvl w:ilvl="8" w:tplc="BB007F40">
      <w:start w:val="1"/>
      <w:numFmt w:val="lowerRoman"/>
      <w:lvlText w:val="%9."/>
      <w:lvlJc w:val="right"/>
      <w:pPr>
        <w:ind w:left="6480" w:hanging="180"/>
      </w:pPr>
    </w:lvl>
  </w:abstractNum>
  <w:abstractNum w:abstractNumId="1" w15:restartNumberingAfterBreak="0">
    <w:nsid w:val="5E10568F"/>
    <w:multiLevelType w:val="hybridMultilevel"/>
    <w:tmpl w:val="7EB2FEFC"/>
    <w:lvl w:ilvl="0" w:tplc="4124973C">
      <w:start w:val="1"/>
      <w:numFmt w:val="decimal"/>
      <w:lvlText w:val="%1."/>
      <w:lvlJc w:val="left"/>
      <w:pPr>
        <w:ind w:left="720" w:hanging="360"/>
      </w:pPr>
      <w:rPr>
        <w:b w:val="0"/>
        <w:bCs w:val="0"/>
        <w:lang w:val="en-US"/>
      </w:rPr>
    </w:lvl>
    <w:lvl w:ilvl="1" w:tplc="B42C9E0A">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10995013">
    <w:abstractNumId w:val="1"/>
  </w:num>
  <w:num w:numId="2" w16cid:durableId="96693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60D0"/>
    <w:rsid w:val="000E6E82"/>
    <w:rsid w:val="000F38A6"/>
    <w:rsid w:val="001B5A3B"/>
    <w:rsid w:val="00282BA8"/>
    <w:rsid w:val="003E23F6"/>
    <w:rsid w:val="004731FE"/>
    <w:rsid w:val="00546338"/>
    <w:rsid w:val="00644B26"/>
    <w:rsid w:val="0072710F"/>
    <w:rsid w:val="00A404F3"/>
    <w:rsid w:val="00A66D70"/>
    <w:rsid w:val="00B501D3"/>
    <w:rsid w:val="00C327A7"/>
    <w:rsid w:val="00CA54A3"/>
    <w:rsid w:val="00D360D0"/>
    <w:rsid w:val="00F14CFF"/>
    <w:rsid w:val="00FD70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7FC55F"/>
  <w15:chartTrackingRefBased/>
  <w15:docId w15:val="{2E63CE85-7267-43F9-87C3-C25DFC28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60D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60D0"/>
    <w:pPr>
      <w:tabs>
        <w:tab w:val="center" w:pos="4153"/>
        <w:tab w:val="right" w:pos="8306"/>
      </w:tabs>
    </w:pPr>
  </w:style>
  <w:style w:type="character" w:customStyle="1" w:styleId="a4">
    <w:name w:val="כותרת עליונה תו"/>
    <w:link w:val="a3"/>
    <w:rsid w:val="00D360D0"/>
    <w:rPr>
      <w:rFonts w:ascii="Times New Roman" w:eastAsia="Times New Roman" w:hAnsi="Times New Roman" w:cs="David"/>
      <w:sz w:val="24"/>
      <w:szCs w:val="24"/>
    </w:rPr>
  </w:style>
  <w:style w:type="paragraph" w:styleId="a5">
    <w:name w:val="footer"/>
    <w:basedOn w:val="a"/>
    <w:link w:val="a6"/>
    <w:rsid w:val="00D360D0"/>
    <w:pPr>
      <w:tabs>
        <w:tab w:val="center" w:pos="4153"/>
        <w:tab w:val="right" w:pos="8306"/>
      </w:tabs>
    </w:pPr>
  </w:style>
  <w:style w:type="character" w:customStyle="1" w:styleId="a6">
    <w:name w:val="כותרת תחתונה תו"/>
    <w:link w:val="a5"/>
    <w:rsid w:val="00D360D0"/>
    <w:rPr>
      <w:rFonts w:ascii="Times New Roman" w:eastAsia="Times New Roman" w:hAnsi="Times New Roman" w:cs="David"/>
      <w:sz w:val="24"/>
      <w:szCs w:val="24"/>
    </w:rPr>
  </w:style>
  <w:style w:type="table" w:styleId="a7">
    <w:name w:val="Table Grid"/>
    <w:basedOn w:val="a1"/>
    <w:rsid w:val="00D360D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60D0"/>
  </w:style>
  <w:style w:type="paragraph" w:styleId="a9">
    <w:name w:val="List Paragraph"/>
    <w:basedOn w:val="a"/>
    <w:qFormat/>
    <w:rsid w:val="00D360D0"/>
    <w:pPr>
      <w:spacing w:after="160" w:line="254" w:lineRule="auto"/>
      <w:ind w:left="720"/>
      <w:contextualSpacing/>
    </w:pPr>
    <w:rPr>
      <w:rFonts w:ascii="Calibri" w:eastAsia="Calibri" w:hAnsi="Calibri" w:cs="Arial"/>
      <w:sz w:val="22"/>
      <w:szCs w:val="22"/>
    </w:rPr>
  </w:style>
  <w:style w:type="character" w:styleId="Hyperlink">
    <w:name w:val="Hyperlink"/>
    <w:rsid w:val="00D360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1474922" TargetMode="External"/><Relationship Id="rId3" Type="http://schemas.openxmlformats.org/officeDocument/2006/relationships/settings" Target="settings.xml"/><Relationship Id="rId21" Type="http://schemas.openxmlformats.org/officeDocument/2006/relationships/hyperlink" Target="http://www.nevo.co.il/case/29042932"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340a.b.1" TargetMode="External"/><Relationship Id="rId17" Type="http://schemas.openxmlformats.org/officeDocument/2006/relationships/hyperlink" Target="http://www.nevo.co.il/law/70301/340a.b.1" TargetMode="External"/><Relationship Id="rId25" Type="http://schemas.openxmlformats.org/officeDocument/2006/relationships/hyperlink" Target="http://www.nevo.co.il/case/2224243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35.a.1" TargetMode="External"/><Relationship Id="rId20" Type="http://schemas.openxmlformats.org/officeDocument/2006/relationships/hyperlink" Target="http://www.nevo.co.il/case/20291305" TargetMode="External"/><Relationship Id="rId29" Type="http://schemas.openxmlformats.org/officeDocument/2006/relationships/hyperlink" Target="http://www.nevo.co.il/case/288830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5.a.1" TargetMode="External"/><Relationship Id="rId24" Type="http://schemas.openxmlformats.org/officeDocument/2006/relationships/hyperlink" Target="http://www.nevo.co.il/case/2582486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33" TargetMode="External"/><Relationship Id="rId23" Type="http://schemas.openxmlformats.org/officeDocument/2006/relationships/hyperlink" Target="http://www.nevo.co.il/case/27603872"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333" TargetMode="External"/><Relationship Id="rId19" Type="http://schemas.openxmlformats.org/officeDocument/2006/relationships/hyperlink" Target="http://www.nevo.co.il/case/2833055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915710" TargetMode="External"/><Relationship Id="rId27" Type="http://schemas.openxmlformats.org/officeDocument/2006/relationships/hyperlink" Target="http://www.nevo.co.il/case/20118388"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3354</Words>
  <Characters>16775</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20089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3211380</vt:i4>
      </vt:variant>
      <vt:variant>
        <vt:i4>66</vt:i4>
      </vt:variant>
      <vt:variant>
        <vt:i4>0</vt:i4>
      </vt:variant>
      <vt:variant>
        <vt:i4>5</vt:i4>
      </vt:variant>
      <vt:variant>
        <vt:lpwstr>http://www.nevo.co.il/case/28883087</vt:lpwstr>
      </vt:variant>
      <vt:variant>
        <vt:lpwstr/>
      </vt:variant>
      <vt:variant>
        <vt:i4>7995492</vt:i4>
      </vt:variant>
      <vt:variant>
        <vt:i4>63</vt:i4>
      </vt:variant>
      <vt:variant>
        <vt:i4>0</vt:i4>
      </vt:variant>
      <vt:variant>
        <vt:i4>5</vt:i4>
      </vt:variant>
      <vt:variant>
        <vt:lpwstr>http://www.nevo.co.il/law/70301</vt:lpwstr>
      </vt:variant>
      <vt:variant>
        <vt:lpwstr/>
      </vt:variant>
      <vt:variant>
        <vt:i4>3342454</vt:i4>
      </vt:variant>
      <vt:variant>
        <vt:i4>60</vt:i4>
      </vt:variant>
      <vt:variant>
        <vt:i4>0</vt:i4>
      </vt:variant>
      <vt:variant>
        <vt:i4>5</vt:i4>
      </vt:variant>
      <vt:variant>
        <vt:lpwstr>http://www.nevo.co.il/case/20118388</vt:lpwstr>
      </vt:variant>
      <vt:variant>
        <vt:lpwstr/>
      </vt:variant>
      <vt:variant>
        <vt:i4>3145851</vt:i4>
      </vt:variant>
      <vt:variant>
        <vt:i4>57</vt:i4>
      </vt:variant>
      <vt:variant>
        <vt:i4>0</vt:i4>
      </vt:variant>
      <vt:variant>
        <vt:i4>5</vt:i4>
      </vt:variant>
      <vt:variant>
        <vt:lpwstr>http://www.nevo.co.il/case/21474922</vt:lpwstr>
      </vt:variant>
      <vt:variant>
        <vt:lpwstr/>
      </vt:variant>
      <vt:variant>
        <vt:i4>3211382</vt:i4>
      </vt:variant>
      <vt:variant>
        <vt:i4>54</vt:i4>
      </vt:variant>
      <vt:variant>
        <vt:i4>0</vt:i4>
      </vt:variant>
      <vt:variant>
        <vt:i4>5</vt:i4>
      </vt:variant>
      <vt:variant>
        <vt:lpwstr>http://www.nevo.co.il/case/22242436</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3145851</vt:i4>
      </vt:variant>
      <vt:variant>
        <vt:i4>48</vt:i4>
      </vt:variant>
      <vt:variant>
        <vt:i4>0</vt:i4>
      </vt:variant>
      <vt:variant>
        <vt:i4>5</vt:i4>
      </vt:variant>
      <vt:variant>
        <vt:lpwstr>http://www.nevo.co.il/case/27603872</vt:lpwstr>
      </vt:variant>
      <vt:variant>
        <vt:lpwstr/>
      </vt:variant>
      <vt:variant>
        <vt:i4>4128885</vt:i4>
      </vt:variant>
      <vt:variant>
        <vt:i4>45</vt:i4>
      </vt:variant>
      <vt:variant>
        <vt:i4>0</vt:i4>
      </vt:variant>
      <vt:variant>
        <vt:i4>5</vt:i4>
      </vt:variant>
      <vt:variant>
        <vt:lpwstr>http://www.nevo.co.il/case/27915710</vt:lpwstr>
      </vt:variant>
      <vt:variant>
        <vt:lpwstr/>
      </vt:variant>
      <vt:variant>
        <vt:i4>3342448</vt:i4>
      </vt:variant>
      <vt:variant>
        <vt:i4>42</vt:i4>
      </vt:variant>
      <vt:variant>
        <vt:i4>0</vt:i4>
      </vt:variant>
      <vt:variant>
        <vt:i4>5</vt:i4>
      </vt:variant>
      <vt:variant>
        <vt:lpwstr>http://www.nevo.co.il/case/29042932</vt:lpwstr>
      </vt:variant>
      <vt:variant>
        <vt:lpwstr/>
      </vt:variant>
      <vt:variant>
        <vt:i4>3211390</vt:i4>
      </vt:variant>
      <vt:variant>
        <vt:i4>39</vt:i4>
      </vt:variant>
      <vt:variant>
        <vt:i4>0</vt:i4>
      </vt:variant>
      <vt:variant>
        <vt:i4>5</vt:i4>
      </vt:variant>
      <vt:variant>
        <vt:lpwstr>http://www.nevo.co.il/case/20291305</vt:lpwstr>
      </vt:variant>
      <vt:variant>
        <vt:lpwstr/>
      </vt:variant>
      <vt:variant>
        <vt:i4>3407994</vt:i4>
      </vt:variant>
      <vt:variant>
        <vt:i4>36</vt:i4>
      </vt:variant>
      <vt:variant>
        <vt:i4>0</vt:i4>
      </vt:variant>
      <vt:variant>
        <vt:i4>5</vt:i4>
      </vt:variant>
      <vt:variant>
        <vt:lpwstr>http://www.nevo.co.il/case/28330552</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5439574</vt:i4>
      </vt:variant>
      <vt:variant>
        <vt:i4>30</vt:i4>
      </vt:variant>
      <vt:variant>
        <vt:i4>0</vt:i4>
      </vt:variant>
      <vt:variant>
        <vt:i4>5</vt:i4>
      </vt:variant>
      <vt:variant>
        <vt:lpwstr>http://www.nevo.co.il/law/70301/340a.b.1</vt:lpwstr>
      </vt:variant>
      <vt:variant>
        <vt:lpwstr/>
      </vt:variant>
      <vt:variant>
        <vt:i4>6684722</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2025-01-19T16:50:00Z</dcterms:created>
  <dcterms:modified xsi:type="dcterms:W3CDTF">2025-01-19T16:50:00Z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47276</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אל עאדווין</vt:lpwstr>
  </property>
  <property fmtid="{D5CDD505-2E9C-101B-9397-08002B2CF9AE}" pid="10" name="LAWYER">
    <vt:lpwstr>בני ליבסקינד;וסים דכוור</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20230523</vt:lpwstr>
  </property>
  <property fmtid="{D5CDD505-2E9C-101B-9397-08002B2CF9AE}" pid="14" name="TYPE_N_DATE">
    <vt:lpwstr>39020230523</vt:lpwstr>
  </property>
  <property fmtid="{D5CDD505-2E9C-101B-9397-08002B2CF9AE}" pid="15" name="WORDNUMPAGES">
    <vt:lpwstr>9</vt:lpwstr>
  </property>
  <property fmtid="{D5CDD505-2E9C-101B-9397-08002B2CF9AE}" pid="16" name="TYPE_ABS_DATE">
    <vt:lpwstr>390020230523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28330552;20291305;29042932;27915710;27603872;25824863;22242436;21474922;20118388;28883087</vt:lpwstr>
  </property>
  <property fmtid="{D5CDD505-2E9C-101B-9397-08002B2CF9AE}" pid="36" name="LAWLISTTMP1">
    <vt:lpwstr>70301/144.b;333;335.a.1;340a.b.1;040b</vt:lpwstr>
  </property>
</Properties>
</file>