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6"/>
        <w:gridCol w:w="3663"/>
        <w:gridCol w:w="99"/>
      </w:tblGrid>
      <w:tr w:rsidR="007A0820" w:rsidRPr="00F374A2" w14:paraId="25693910" w14:textId="77777777" w:rsidTr="00AD6A3D">
        <w:trPr>
          <w:gridAfter w:val="1"/>
          <w:wAfter w:w="99" w:type="dxa"/>
          <w:trHeight w:hRule="exact" w:val="418"/>
          <w:jc w:val="center"/>
        </w:trPr>
        <w:tc>
          <w:tcPr>
            <w:tcW w:w="8721" w:type="dxa"/>
            <w:gridSpan w:val="4"/>
          </w:tcPr>
          <w:p w14:paraId="079976A4" w14:textId="77777777" w:rsidR="007A0820" w:rsidRPr="00F374A2" w:rsidRDefault="007A0820" w:rsidP="009279D4">
            <w:pPr>
              <w:pStyle w:val="a3"/>
              <w:jc w:val="center"/>
              <w:rPr>
                <w:rFonts w:ascii="Tahoma" w:hAnsi="Tahoma" w:cs="Tahoma"/>
                <w:color w:val="000080"/>
                <w:rtl/>
              </w:rPr>
            </w:pPr>
            <w:bookmarkStart w:id="0" w:name="LastJudge"/>
            <w:r w:rsidRPr="00F374A2">
              <w:rPr>
                <w:rFonts w:ascii="Tahoma" w:hAnsi="Tahoma" w:cs="Tahoma"/>
                <w:b/>
                <w:bCs/>
                <w:color w:val="000080"/>
                <w:rtl/>
              </w:rPr>
              <w:t>בית המשפט המחוזי בבאר שבע</w:t>
            </w:r>
          </w:p>
        </w:tc>
      </w:tr>
      <w:tr w:rsidR="007A0820" w:rsidRPr="00F374A2" w14:paraId="5B94D0A6" w14:textId="77777777" w:rsidTr="00AD6A3D">
        <w:trPr>
          <w:gridAfter w:val="1"/>
          <w:wAfter w:w="99" w:type="dxa"/>
          <w:trHeight w:val="337"/>
          <w:jc w:val="center"/>
        </w:trPr>
        <w:tc>
          <w:tcPr>
            <w:tcW w:w="5058" w:type="dxa"/>
            <w:gridSpan w:val="3"/>
          </w:tcPr>
          <w:p w14:paraId="50BED93A" w14:textId="77777777" w:rsidR="007A0820" w:rsidRPr="00F374A2" w:rsidRDefault="007A0820" w:rsidP="009279D4">
            <w:pPr>
              <w:rPr>
                <w:rFonts w:cs="FrankRuehl"/>
                <w:sz w:val="28"/>
                <w:szCs w:val="28"/>
                <w:rtl/>
              </w:rPr>
            </w:pPr>
            <w:r w:rsidRPr="00F374A2">
              <w:rPr>
                <w:rFonts w:cs="FrankRuehl"/>
                <w:sz w:val="28"/>
                <w:szCs w:val="28"/>
                <w:rtl/>
              </w:rPr>
              <w:t>ת"פ</w:t>
            </w:r>
            <w:r w:rsidRPr="00F374A2">
              <w:rPr>
                <w:rFonts w:cs="FrankRuehl" w:hint="cs"/>
                <w:sz w:val="28"/>
                <w:szCs w:val="28"/>
                <w:rtl/>
              </w:rPr>
              <w:t xml:space="preserve"> </w:t>
            </w:r>
            <w:r w:rsidRPr="00F374A2">
              <w:rPr>
                <w:rFonts w:cs="FrankRuehl"/>
                <w:sz w:val="28"/>
                <w:szCs w:val="28"/>
                <w:rtl/>
              </w:rPr>
              <w:t>6875-02-22</w:t>
            </w:r>
            <w:r w:rsidRPr="00F374A2">
              <w:rPr>
                <w:rFonts w:cs="FrankRuehl" w:hint="cs"/>
                <w:sz w:val="28"/>
                <w:szCs w:val="28"/>
                <w:rtl/>
              </w:rPr>
              <w:t xml:space="preserve"> </w:t>
            </w:r>
            <w:r w:rsidRPr="00F374A2">
              <w:rPr>
                <w:rFonts w:cs="FrankRuehl"/>
                <w:sz w:val="28"/>
                <w:szCs w:val="28"/>
                <w:rtl/>
              </w:rPr>
              <w:t>מדינת ישראל נ' אבו חתלה(עציר) ואח'</w:t>
            </w:r>
          </w:p>
          <w:p w14:paraId="44A06BAC" w14:textId="77777777" w:rsidR="007A0820" w:rsidRPr="00F374A2" w:rsidRDefault="007A0820" w:rsidP="009279D4">
            <w:pPr>
              <w:pStyle w:val="a3"/>
              <w:rPr>
                <w:rFonts w:cs="FrankRuehl"/>
                <w:sz w:val="28"/>
                <w:szCs w:val="28"/>
                <w:rtl/>
              </w:rPr>
            </w:pPr>
          </w:p>
        </w:tc>
        <w:tc>
          <w:tcPr>
            <w:tcW w:w="3663" w:type="dxa"/>
          </w:tcPr>
          <w:p w14:paraId="594F8B03" w14:textId="77777777" w:rsidR="007A0820" w:rsidRPr="00F374A2" w:rsidRDefault="007A0820" w:rsidP="009279D4">
            <w:pPr>
              <w:pStyle w:val="a3"/>
              <w:jc w:val="right"/>
              <w:rPr>
                <w:rFonts w:cs="FrankRuehl"/>
                <w:sz w:val="28"/>
                <w:szCs w:val="28"/>
                <w:rtl/>
              </w:rPr>
            </w:pPr>
          </w:p>
        </w:tc>
      </w:tr>
      <w:tr w:rsidR="007A0820" w:rsidRPr="00F374A2" w14:paraId="46CDFF99" w14:textId="77777777" w:rsidTr="00AD6A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771552FB" w14:textId="77777777" w:rsidR="007A0820" w:rsidRPr="00F374A2" w:rsidRDefault="007A0820" w:rsidP="007A0820">
            <w:pPr>
              <w:jc w:val="both"/>
              <w:rPr>
                <w:rFonts w:ascii="David" w:hAnsi="David"/>
                <w:sz w:val="26"/>
                <w:szCs w:val="26"/>
              </w:rPr>
            </w:pPr>
            <w:r w:rsidRPr="00F374A2">
              <w:rPr>
                <w:rFonts w:hint="cs"/>
                <w:rtl/>
              </w:rPr>
              <w:t xml:space="preserve"> </w:t>
            </w:r>
            <w:r w:rsidRPr="00F374A2">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081D6FDB" w14:textId="77777777" w:rsidR="007A0820" w:rsidRPr="00F374A2" w:rsidRDefault="007A0820" w:rsidP="009279D4">
            <w:pPr>
              <w:rPr>
                <w:rFonts w:ascii="David" w:hAnsi="David"/>
                <w:b/>
                <w:bCs/>
                <w:sz w:val="26"/>
                <w:szCs w:val="26"/>
                <w:rtl/>
              </w:rPr>
            </w:pPr>
            <w:r w:rsidRPr="00F374A2">
              <w:rPr>
                <w:rFonts w:ascii="David" w:hAnsi="David"/>
                <w:b/>
                <w:bCs/>
                <w:sz w:val="26"/>
                <w:szCs w:val="26"/>
                <w:rtl/>
              </w:rPr>
              <w:t>כבוד השופטת  טל לחיאני שהם</w:t>
            </w:r>
          </w:p>
          <w:p w14:paraId="6C58E405" w14:textId="77777777" w:rsidR="007A0820" w:rsidRPr="00F374A2" w:rsidRDefault="007A0820" w:rsidP="009279D4">
            <w:pPr>
              <w:rPr>
                <w:rFonts w:ascii="David" w:hAnsi="David"/>
                <w:sz w:val="26"/>
                <w:szCs w:val="26"/>
                <w:rtl/>
              </w:rPr>
            </w:pPr>
          </w:p>
          <w:p w14:paraId="29308E40" w14:textId="77777777" w:rsidR="007A0820" w:rsidRPr="00F374A2" w:rsidRDefault="007A0820" w:rsidP="007A0820">
            <w:pPr>
              <w:jc w:val="both"/>
              <w:rPr>
                <w:rFonts w:ascii="David" w:hAnsi="David"/>
                <w:sz w:val="26"/>
                <w:szCs w:val="26"/>
              </w:rPr>
            </w:pPr>
          </w:p>
        </w:tc>
      </w:tr>
      <w:tr w:rsidR="007A0820" w:rsidRPr="00F374A2" w14:paraId="25674EFC" w14:textId="77777777" w:rsidTr="00AD6A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7D35BF5" w14:textId="77777777" w:rsidR="007A0820" w:rsidRPr="00F374A2" w:rsidRDefault="007A0820" w:rsidP="007A0820">
            <w:pPr>
              <w:jc w:val="both"/>
              <w:rPr>
                <w:rFonts w:ascii="David" w:hAnsi="David"/>
                <w:sz w:val="26"/>
                <w:szCs w:val="26"/>
              </w:rPr>
            </w:pPr>
            <w:bookmarkStart w:id="1" w:name="FirstAppellant"/>
            <w:bookmarkStart w:id="2" w:name="FirstLawyer"/>
            <w:r w:rsidRPr="00F374A2">
              <w:rPr>
                <w:rFonts w:ascii="David" w:hAnsi="David"/>
                <w:sz w:val="26"/>
                <w:szCs w:val="26"/>
                <w:rtl/>
              </w:rPr>
              <w:t>בעניין:</w:t>
            </w:r>
          </w:p>
        </w:tc>
        <w:tc>
          <w:tcPr>
            <w:tcW w:w="3219" w:type="dxa"/>
            <w:tcBorders>
              <w:top w:val="nil"/>
              <w:left w:val="nil"/>
              <w:bottom w:val="nil"/>
              <w:right w:val="nil"/>
            </w:tcBorders>
            <w:shd w:val="clear" w:color="auto" w:fill="auto"/>
          </w:tcPr>
          <w:p w14:paraId="327BBBDE" w14:textId="77777777" w:rsidR="007A0820" w:rsidRPr="00F374A2" w:rsidRDefault="007A0820" w:rsidP="007A0820">
            <w:pPr>
              <w:suppressLineNumbers/>
            </w:pPr>
            <w:r w:rsidRPr="00F374A2">
              <w:rPr>
                <w:rFonts w:ascii="Arial" w:hAnsi="Arial" w:hint="cs"/>
                <w:b/>
                <w:bCs/>
                <w:sz w:val="26"/>
                <w:szCs w:val="26"/>
                <w:rtl/>
              </w:rPr>
              <w:t>ה</w:t>
            </w:r>
            <w:r w:rsidRPr="00F374A2">
              <w:rPr>
                <w:rFonts w:ascii="Arial" w:hAnsi="Arial"/>
                <w:b/>
                <w:bCs/>
                <w:sz w:val="26"/>
                <w:szCs w:val="26"/>
                <w:rtl/>
              </w:rPr>
              <w:t>מאשימה</w:t>
            </w:r>
          </w:p>
          <w:p w14:paraId="4FE302C6" w14:textId="77777777" w:rsidR="007A0820" w:rsidRPr="00F374A2" w:rsidRDefault="007A0820" w:rsidP="009279D4">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52EE3893" w14:textId="77777777" w:rsidR="007A0820" w:rsidRPr="00F374A2" w:rsidRDefault="007A0820" w:rsidP="007A0820">
            <w:pPr>
              <w:suppressLineNumbers/>
              <w:rPr>
                <w:rFonts w:ascii="Arial" w:hAnsi="Arial"/>
                <w:b/>
                <w:bCs/>
                <w:sz w:val="26"/>
                <w:szCs w:val="26"/>
                <w:rtl/>
              </w:rPr>
            </w:pPr>
            <w:r w:rsidRPr="00F374A2">
              <w:rPr>
                <w:rFonts w:ascii="Arial" w:hAnsi="Arial"/>
                <w:b/>
                <w:bCs/>
                <w:sz w:val="26"/>
                <w:szCs w:val="26"/>
                <w:rtl/>
              </w:rPr>
              <w:t>מדינת ישראל</w:t>
            </w:r>
            <w:r w:rsidRPr="00F374A2">
              <w:rPr>
                <w:rFonts w:ascii="Arial" w:hAnsi="Arial" w:hint="cs"/>
                <w:b/>
                <w:bCs/>
                <w:sz w:val="26"/>
                <w:szCs w:val="26"/>
                <w:rtl/>
              </w:rPr>
              <w:t xml:space="preserve"> </w:t>
            </w:r>
          </w:p>
          <w:p w14:paraId="17FD46A8" w14:textId="77777777" w:rsidR="007A0820" w:rsidRPr="00F374A2" w:rsidRDefault="007A0820" w:rsidP="007A0820">
            <w:pPr>
              <w:suppressLineNumbers/>
              <w:rPr>
                <w:b/>
                <w:bCs/>
              </w:rPr>
            </w:pPr>
            <w:r w:rsidRPr="00F374A2">
              <w:rPr>
                <w:rFonts w:ascii="Arial" w:hAnsi="Arial"/>
                <w:b/>
                <w:bCs/>
                <w:sz w:val="26"/>
                <w:szCs w:val="26"/>
                <w:rtl/>
              </w:rPr>
              <w:t>ע"י ב"כ עוה"ד</w:t>
            </w:r>
            <w:r w:rsidRPr="00F374A2">
              <w:rPr>
                <w:rFonts w:hint="cs"/>
                <w:b/>
                <w:bCs/>
                <w:rtl/>
              </w:rPr>
              <w:t xml:space="preserve"> חיים שוויצר</w:t>
            </w:r>
          </w:p>
          <w:p w14:paraId="6A8C5A0B" w14:textId="77777777" w:rsidR="007A0820" w:rsidRPr="00F374A2" w:rsidRDefault="007A0820" w:rsidP="009279D4">
            <w:pPr>
              <w:rPr>
                <w:rFonts w:ascii="David" w:hAnsi="David"/>
                <w:sz w:val="26"/>
                <w:szCs w:val="26"/>
              </w:rPr>
            </w:pPr>
          </w:p>
        </w:tc>
      </w:tr>
      <w:bookmarkEnd w:id="1"/>
      <w:bookmarkEnd w:id="2"/>
      <w:tr w:rsidR="007A0820" w:rsidRPr="00F374A2" w14:paraId="7F55EAB9" w14:textId="77777777" w:rsidTr="00AD6A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74DDE1C" w14:textId="77777777" w:rsidR="007A0820" w:rsidRPr="00F374A2" w:rsidRDefault="007A0820" w:rsidP="007A0820">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514E935D" w14:textId="77777777" w:rsidR="007A0820" w:rsidRPr="00F374A2" w:rsidRDefault="007A0820" w:rsidP="007A0820">
            <w:pPr>
              <w:jc w:val="center"/>
              <w:rPr>
                <w:rFonts w:ascii="David" w:hAnsi="David"/>
                <w:b/>
                <w:bCs/>
                <w:sz w:val="26"/>
                <w:szCs w:val="26"/>
                <w:rtl/>
              </w:rPr>
            </w:pPr>
          </w:p>
          <w:p w14:paraId="4E7843A8" w14:textId="77777777" w:rsidR="007A0820" w:rsidRPr="00F374A2" w:rsidRDefault="007A0820" w:rsidP="007A0820">
            <w:pPr>
              <w:jc w:val="center"/>
              <w:rPr>
                <w:rFonts w:ascii="David" w:hAnsi="David"/>
                <w:b/>
                <w:bCs/>
                <w:sz w:val="26"/>
                <w:szCs w:val="26"/>
                <w:rtl/>
              </w:rPr>
            </w:pPr>
            <w:r w:rsidRPr="00F374A2">
              <w:rPr>
                <w:rFonts w:ascii="David" w:hAnsi="David"/>
                <w:b/>
                <w:bCs/>
                <w:sz w:val="26"/>
                <w:szCs w:val="26"/>
                <w:rtl/>
              </w:rPr>
              <w:t>נגד</w:t>
            </w:r>
          </w:p>
          <w:p w14:paraId="76C85AF2" w14:textId="77777777" w:rsidR="007A0820" w:rsidRPr="00F374A2" w:rsidRDefault="007A0820" w:rsidP="007A0820">
            <w:pPr>
              <w:jc w:val="both"/>
              <w:rPr>
                <w:rFonts w:ascii="David" w:hAnsi="David"/>
                <w:sz w:val="26"/>
                <w:szCs w:val="26"/>
              </w:rPr>
            </w:pPr>
          </w:p>
        </w:tc>
      </w:tr>
      <w:tr w:rsidR="007A0820" w:rsidRPr="00F374A2" w14:paraId="737B73F8" w14:textId="77777777" w:rsidTr="00AD6A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E1AC24E" w14:textId="77777777" w:rsidR="007A0820" w:rsidRPr="00F374A2" w:rsidRDefault="007A0820" w:rsidP="009279D4">
            <w:pPr>
              <w:rPr>
                <w:rFonts w:ascii="David" w:hAnsi="David"/>
                <w:sz w:val="26"/>
                <w:szCs w:val="26"/>
                <w:rtl/>
              </w:rPr>
            </w:pPr>
          </w:p>
        </w:tc>
        <w:tc>
          <w:tcPr>
            <w:tcW w:w="3219" w:type="dxa"/>
            <w:tcBorders>
              <w:top w:val="nil"/>
              <w:left w:val="nil"/>
              <w:bottom w:val="nil"/>
              <w:right w:val="nil"/>
            </w:tcBorders>
            <w:shd w:val="clear" w:color="auto" w:fill="auto"/>
          </w:tcPr>
          <w:p w14:paraId="039CF0FF" w14:textId="77777777" w:rsidR="007A0820" w:rsidRPr="00F374A2" w:rsidRDefault="007A0820" w:rsidP="009279D4">
            <w:pPr>
              <w:rPr>
                <w:rFonts w:ascii="Arial" w:hAnsi="Arial"/>
                <w:b/>
                <w:bCs/>
                <w:sz w:val="26"/>
                <w:szCs w:val="26"/>
                <w:rtl/>
              </w:rPr>
            </w:pPr>
            <w:r w:rsidRPr="00F374A2">
              <w:rPr>
                <w:rFonts w:ascii="Arial" w:hAnsi="Arial"/>
                <w:b/>
                <w:bCs/>
                <w:sz w:val="26"/>
                <w:szCs w:val="26"/>
                <w:rtl/>
              </w:rPr>
              <w:t>הנאשמים</w:t>
            </w:r>
          </w:p>
        </w:tc>
        <w:tc>
          <w:tcPr>
            <w:tcW w:w="4678" w:type="dxa"/>
            <w:gridSpan w:val="3"/>
            <w:tcBorders>
              <w:top w:val="nil"/>
              <w:left w:val="nil"/>
              <w:bottom w:val="nil"/>
              <w:right w:val="nil"/>
            </w:tcBorders>
            <w:shd w:val="clear" w:color="auto" w:fill="auto"/>
            <w:vAlign w:val="center"/>
          </w:tcPr>
          <w:p w14:paraId="36D62521" w14:textId="77777777" w:rsidR="007A0820" w:rsidRPr="00F374A2" w:rsidRDefault="007A0820" w:rsidP="009279D4">
            <w:pPr>
              <w:rPr>
                <w:rFonts w:ascii="David" w:hAnsi="David"/>
                <w:sz w:val="26"/>
                <w:szCs w:val="26"/>
              </w:rPr>
            </w:pPr>
          </w:p>
          <w:p w14:paraId="505B2932" w14:textId="77777777" w:rsidR="007A0820" w:rsidRPr="00F374A2" w:rsidRDefault="007A0820" w:rsidP="007A0820">
            <w:pPr>
              <w:suppressLineNumbers/>
            </w:pPr>
            <w:r w:rsidRPr="00F374A2">
              <w:rPr>
                <w:rFonts w:ascii="Arial" w:hAnsi="Arial"/>
                <w:b/>
                <w:bCs/>
                <w:sz w:val="26"/>
                <w:szCs w:val="26"/>
                <w:rtl/>
              </w:rPr>
              <w:t>1. אנס אבו חתלה (עציר)</w:t>
            </w:r>
          </w:p>
          <w:p w14:paraId="54484492" w14:textId="77777777" w:rsidR="007A0820" w:rsidRPr="00F374A2" w:rsidRDefault="007A0820" w:rsidP="007A0820">
            <w:pPr>
              <w:suppressLineNumbers/>
            </w:pPr>
            <w:r w:rsidRPr="00F374A2">
              <w:rPr>
                <w:rFonts w:ascii="Arial" w:hAnsi="Arial"/>
                <w:b/>
                <w:bCs/>
                <w:sz w:val="26"/>
                <w:szCs w:val="26"/>
                <w:rtl/>
              </w:rPr>
              <w:t>2. זיאד אבו סנימה (עציר)</w:t>
            </w:r>
            <w:r w:rsidRPr="00F374A2">
              <w:rPr>
                <w:rFonts w:ascii="Arial" w:hAnsi="Arial"/>
                <w:b/>
                <w:bCs/>
                <w:sz w:val="26"/>
                <w:szCs w:val="26"/>
                <w:rtl/>
              </w:rPr>
              <w:br/>
            </w:r>
            <w:r w:rsidRPr="00F374A2">
              <w:rPr>
                <w:rFonts w:ascii="Arial" w:hAnsi="Arial" w:hint="cs"/>
                <w:b/>
                <w:bCs/>
                <w:sz w:val="26"/>
                <w:szCs w:val="26"/>
                <w:rtl/>
              </w:rPr>
              <w:t xml:space="preserve"> </w:t>
            </w:r>
            <w:r w:rsidRPr="00F374A2">
              <w:rPr>
                <w:rFonts w:ascii="Arial" w:hAnsi="Arial"/>
                <w:b/>
                <w:bCs/>
                <w:sz w:val="26"/>
                <w:szCs w:val="26"/>
                <w:rtl/>
              </w:rPr>
              <w:t>ע"י ב"כ עוה"ד</w:t>
            </w:r>
            <w:r w:rsidRPr="00F374A2">
              <w:rPr>
                <w:rFonts w:ascii="Arial" w:hAnsi="Arial" w:hint="cs"/>
                <w:b/>
                <w:bCs/>
                <w:sz w:val="26"/>
                <w:szCs w:val="26"/>
                <w:rtl/>
              </w:rPr>
              <w:t xml:space="preserve"> </w:t>
            </w:r>
            <w:r w:rsidRPr="00F374A2">
              <w:rPr>
                <w:rFonts w:hint="cs"/>
                <w:b/>
                <w:bCs/>
                <w:rtl/>
              </w:rPr>
              <w:t>ג'בארין</w:t>
            </w:r>
          </w:p>
        </w:tc>
      </w:tr>
    </w:tbl>
    <w:p w14:paraId="621CF69D" w14:textId="77777777" w:rsidR="00B3681C" w:rsidRDefault="00B3681C" w:rsidP="00F374A2">
      <w:pPr>
        <w:rPr>
          <w:sz w:val="26"/>
          <w:szCs w:val="26"/>
          <w:rtl/>
        </w:rPr>
      </w:pPr>
    </w:p>
    <w:p w14:paraId="0C2DD941" w14:textId="77777777" w:rsidR="00B3681C" w:rsidRPr="00B3681C" w:rsidRDefault="00B3681C" w:rsidP="00B3681C">
      <w:pPr>
        <w:spacing w:after="120" w:line="240" w:lineRule="exact"/>
        <w:ind w:left="283" w:hanging="283"/>
        <w:jc w:val="both"/>
        <w:rPr>
          <w:rFonts w:ascii="FrankRuehl" w:hAnsi="FrankRuehl" w:cs="FrankRuehl"/>
          <w:rtl/>
        </w:rPr>
      </w:pPr>
    </w:p>
    <w:p w14:paraId="55F43B86" w14:textId="77777777" w:rsidR="00723B66" w:rsidRPr="00723B66" w:rsidRDefault="00723B66" w:rsidP="00723B66">
      <w:pPr>
        <w:spacing w:before="120" w:after="120" w:line="240" w:lineRule="exact"/>
        <w:ind w:left="283" w:hanging="283"/>
        <w:jc w:val="both"/>
        <w:rPr>
          <w:rFonts w:ascii="FrankRuehl" w:hAnsi="FrankRuehl" w:cs="FrankRuehl"/>
          <w:rtl/>
        </w:rPr>
      </w:pPr>
    </w:p>
    <w:p w14:paraId="159C6444" w14:textId="77777777" w:rsidR="00BB768C" w:rsidRDefault="00BB768C" w:rsidP="00BB768C">
      <w:pPr>
        <w:rPr>
          <w:sz w:val="26"/>
          <w:szCs w:val="26"/>
          <w:rtl/>
        </w:rPr>
      </w:pPr>
      <w:bookmarkStart w:id="3" w:name="LawTable"/>
      <w:bookmarkEnd w:id="3"/>
    </w:p>
    <w:p w14:paraId="2BBF3D5A" w14:textId="77777777" w:rsidR="00BB768C" w:rsidRPr="00BB768C" w:rsidRDefault="00BB768C" w:rsidP="00BB768C">
      <w:pPr>
        <w:spacing w:before="120" w:after="120" w:line="240" w:lineRule="exact"/>
        <w:ind w:left="283" w:hanging="283"/>
        <w:jc w:val="both"/>
        <w:rPr>
          <w:rFonts w:ascii="FrankRuehl" w:hAnsi="FrankRuehl" w:cs="FrankRuehl"/>
          <w:rtl/>
        </w:rPr>
      </w:pPr>
    </w:p>
    <w:p w14:paraId="62A16575" w14:textId="77777777" w:rsidR="00BB768C" w:rsidRPr="00BB768C" w:rsidRDefault="00BB768C" w:rsidP="00BB768C">
      <w:pPr>
        <w:spacing w:before="120" w:after="120" w:line="240" w:lineRule="exact"/>
        <w:ind w:left="283" w:hanging="283"/>
        <w:jc w:val="both"/>
        <w:rPr>
          <w:rFonts w:ascii="FrankRuehl" w:hAnsi="FrankRuehl" w:cs="FrankRuehl"/>
          <w:rtl/>
        </w:rPr>
      </w:pPr>
    </w:p>
    <w:p w14:paraId="64BE2972" w14:textId="77777777" w:rsidR="00BB768C" w:rsidRPr="00BB768C" w:rsidRDefault="00BB768C" w:rsidP="00BB768C">
      <w:pPr>
        <w:spacing w:before="120" w:after="120" w:line="240" w:lineRule="exact"/>
        <w:ind w:left="283" w:hanging="283"/>
        <w:jc w:val="both"/>
        <w:rPr>
          <w:rFonts w:ascii="FrankRuehl" w:hAnsi="FrankRuehl" w:cs="FrankRuehl"/>
          <w:rtl/>
        </w:rPr>
      </w:pPr>
      <w:r w:rsidRPr="00BB768C">
        <w:rPr>
          <w:rFonts w:ascii="FrankRuehl" w:hAnsi="FrankRuehl" w:cs="FrankRuehl"/>
          <w:rtl/>
        </w:rPr>
        <w:t xml:space="preserve">חקיקה שאוזכרה: </w:t>
      </w:r>
    </w:p>
    <w:p w14:paraId="6E48E27D" w14:textId="77777777" w:rsidR="00BB768C" w:rsidRPr="00BB768C" w:rsidRDefault="00BB768C" w:rsidP="00BB768C">
      <w:pPr>
        <w:spacing w:before="120" w:after="120" w:line="240" w:lineRule="exact"/>
        <w:ind w:left="283" w:hanging="283"/>
        <w:jc w:val="both"/>
        <w:rPr>
          <w:rFonts w:ascii="FrankRuehl" w:hAnsi="FrankRuehl" w:cs="FrankRuehl"/>
          <w:rtl/>
        </w:rPr>
      </w:pPr>
      <w:hyperlink r:id="rId7" w:history="1">
        <w:r w:rsidRPr="00BB768C">
          <w:rPr>
            <w:rFonts w:ascii="FrankRuehl" w:hAnsi="FrankRuehl" w:cs="FrankRuehl"/>
            <w:color w:val="0000FF"/>
            <w:rtl/>
          </w:rPr>
          <w:t>חוק למניעת הסתננות (עבירות ושיפוט), תשי"ד-1954</w:t>
        </w:r>
      </w:hyperlink>
      <w:r w:rsidRPr="00BB768C">
        <w:rPr>
          <w:rFonts w:ascii="FrankRuehl" w:hAnsi="FrankRuehl" w:cs="FrankRuehl"/>
          <w:rtl/>
        </w:rPr>
        <w:t xml:space="preserve">: סע'  </w:t>
      </w:r>
      <w:hyperlink r:id="rId8" w:history="1">
        <w:r w:rsidRPr="00BB768C">
          <w:rPr>
            <w:rFonts w:ascii="FrankRuehl" w:hAnsi="FrankRuehl" w:cs="FrankRuehl"/>
            <w:color w:val="0000FF"/>
            <w:rtl/>
          </w:rPr>
          <w:t>4</w:t>
        </w:r>
      </w:hyperlink>
    </w:p>
    <w:p w14:paraId="7D25BAB6" w14:textId="77777777" w:rsidR="00BB768C" w:rsidRPr="00BB768C" w:rsidRDefault="00BB768C" w:rsidP="00BB768C">
      <w:pPr>
        <w:spacing w:before="120" w:after="120" w:line="240" w:lineRule="exact"/>
        <w:ind w:left="283" w:hanging="283"/>
        <w:jc w:val="both"/>
        <w:rPr>
          <w:rFonts w:ascii="FrankRuehl" w:hAnsi="FrankRuehl" w:cs="FrankRuehl"/>
          <w:rtl/>
        </w:rPr>
      </w:pPr>
      <w:hyperlink r:id="rId9" w:history="1">
        <w:r w:rsidRPr="00BB768C">
          <w:rPr>
            <w:rFonts w:ascii="FrankRuehl" w:hAnsi="FrankRuehl" w:cs="FrankRuehl"/>
            <w:color w:val="0000FF"/>
            <w:rtl/>
          </w:rPr>
          <w:t>חוק העונשין, תשל"ז-1977</w:t>
        </w:r>
      </w:hyperlink>
      <w:r w:rsidRPr="00BB768C">
        <w:rPr>
          <w:rFonts w:ascii="FrankRuehl" w:hAnsi="FrankRuehl" w:cs="FrankRuehl"/>
          <w:rtl/>
        </w:rPr>
        <w:t xml:space="preserve">: סע'  </w:t>
      </w:r>
      <w:hyperlink r:id="rId10" w:history="1">
        <w:r w:rsidRPr="00BB768C">
          <w:rPr>
            <w:rFonts w:ascii="FrankRuehl" w:hAnsi="FrankRuehl" w:cs="FrankRuehl"/>
            <w:color w:val="0000FF"/>
            <w:rtl/>
          </w:rPr>
          <w:t>40ג(א)</w:t>
        </w:r>
      </w:hyperlink>
      <w:r w:rsidRPr="00BB768C">
        <w:rPr>
          <w:rFonts w:ascii="FrankRuehl" w:hAnsi="FrankRuehl" w:cs="FrankRuehl"/>
          <w:rtl/>
        </w:rPr>
        <w:t xml:space="preserve">, </w:t>
      </w:r>
      <w:hyperlink r:id="rId11" w:history="1">
        <w:r w:rsidRPr="00BB768C">
          <w:rPr>
            <w:rFonts w:ascii="FrankRuehl" w:hAnsi="FrankRuehl" w:cs="FrankRuehl"/>
            <w:color w:val="0000FF"/>
            <w:rtl/>
          </w:rPr>
          <w:t>144(ב)</w:t>
        </w:r>
      </w:hyperlink>
    </w:p>
    <w:p w14:paraId="2B78C823" w14:textId="77777777" w:rsidR="00BB768C" w:rsidRPr="00BB768C" w:rsidRDefault="00BB768C" w:rsidP="00BB768C">
      <w:pPr>
        <w:rPr>
          <w:sz w:val="26"/>
          <w:szCs w:val="26"/>
          <w:rtl/>
        </w:rPr>
      </w:pPr>
      <w:bookmarkStart w:id="4" w:name="LawTable_End"/>
      <w:bookmarkEnd w:id="4"/>
    </w:p>
    <w:p w14:paraId="53A2AF78" w14:textId="77777777" w:rsidR="007A0820" w:rsidRPr="00723B66" w:rsidRDefault="007A0820" w:rsidP="00723B66">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A0820" w14:paraId="0BDC8025" w14:textId="77777777" w:rsidTr="007A0820">
        <w:trPr>
          <w:trHeight w:val="355"/>
          <w:jc w:val="center"/>
        </w:trPr>
        <w:tc>
          <w:tcPr>
            <w:tcW w:w="8820" w:type="dxa"/>
            <w:tcBorders>
              <w:top w:val="nil"/>
              <w:left w:val="nil"/>
              <w:bottom w:val="nil"/>
              <w:right w:val="nil"/>
            </w:tcBorders>
            <w:shd w:val="clear" w:color="auto" w:fill="auto"/>
          </w:tcPr>
          <w:p w14:paraId="233276BF" w14:textId="77777777" w:rsidR="00F374A2" w:rsidRPr="00F374A2" w:rsidRDefault="00F374A2" w:rsidP="00F374A2">
            <w:pPr>
              <w:jc w:val="center"/>
              <w:rPr>
                <w:rFonts w:ascii="David" w:hAnsi="David"/>
                <w:b/>
                <w:bCs/>
                <w:sz w:val="32"/>
                <w:szCs w:val="32"/>
                <w:u w:val="single"/>
                <w:rtl/>
              </w:rPr>
            </w:pPr>
            <w:bookmarkStart w:id="5" w:name="PsakDin" w:colFirst="0" w:colLast="0"/>
            <w:bookmarkEnd w:id="0"/>
            <w:r w:rsidRPr="00F374A2">
              <w:rPr>
                <w:rFonts w:ascii="David" w:hAnsi="David"/>
                <w:b/>
                <w:bCs/>
                <w:sz w:val="32"/>
                <w:szCs w:val="32"/>
                <w:u w:val="single"/>
                <w:rtl/>
              </w:rPr>
              <w:t>גזר דין</w:t>
            </w:r>
          </w:p>
          <w:p w14:paraId="6202434B" w14:textId="77777777" w:rsidR="007A0820" w:rsidRPr="00F374A2" w:rsidRDefault="007A0820" w:rsidP="00F374A2">
            <w:pPr>
              <w:jc w:val="center"/>
              <w:rPr>
                <w:rFonts w:ascii="David" w:hAnsi="David"/>
                <w:bCs/>
                <w:sz w:val="32"/>
                <w:szCs w:val="32"/>
                <w:u w:val="single"/>
                <w:rtl/>
              </w:rPr>
            </w:pPr>
          </w:p>
        </w:tc>
      </w:tr>
      <w:bookmarkEnd w:id="5"/>
    </w:tbl>
    <w:p w14:paraId="252CD480" w14:textId="77777777" w:rsidR="007A0820" w:rsidRPr="000F2247" w:rsidRDefault="007A0820" w:rsidP="007A0820">
      <w:pPr>
        <w:rPr>
          <w:rFonts w:ascii="Arial" w:hAnsi="Arial"/>
          <w:b/>
          <w:bCs/>
          <w:sz w:val="26"/>
          <w:szCs w:val="26"/>
          <w:rtl/>
        </w:rPr>
      </w:pPr>
    </w:p>
    <w:p w14:paraId="43E0E9CC" w14:textId="77777777" w:rsidR="007A0820" w:rsidRPr="00861FDF" w:rsidRDefault="007A0820" w:rsidP="007A0820">
      <w:pPr>
        <w:spacing w:line="360" w:lineRule="auto"/>
        <w:rPr>
          <w:rFonts w:ascii="Arial" w:hAnsi="Arial"/>
          <w:b/>
          <w:bCs/>
          <w:u w:val="single"/>
          <w:rtl/>
        </w:rPr>
      </w:pPr>
      <w:r w:rsidRPr="00861FDF">
        <w:rPr>
          <w:rFonts w:ascii="Arial" w:hAnsi="Arial"/>
          <w:b/>
          <w:bCs/>
          <w:u w:val="single"/>
          <w:rtl/>
        </w:rPr>
        <w:t xml:space="preserve">כתב אישום </w:t>
      </w:r>
    </w:p>
    <w:p w14:paraId="267612E6" w14:textId="77777777" w:rsidR="007A0820" w:rsidRPr="00861FDF" w:rsidRDefault="007A0820" w:rsidP="007A0820">
      <w:pPr>
        <w:spacing w:line="360" w:lineRule="auto"/>
        <w:jc w:val="both"/>
        <w:rPr>
          <w:rFonts w:ascii="Arial" w:hAnsi="Arial"/>
          <w:b/>
          <w:bCs/>
          <w:sz w:val="26"/>
          <w:szCs w:val="26"/>
          <w:rtl/>
        </w:rPr>
      </w:pPr>
      <w:r w:rsidRPr="00861FDF">
        <w:rPr>
          <w:rFonts w:ascii="Arial" w:hAnsi="Arial"/>
          <w:b/>
          <w:bCs/>
          <w:rtl/>
        </w:rPr>
        <w:t>1.</w:t>
      </w:r>
      <w:r w:rsidRPr="00861FDF">
        <w:rPr>
          <w:rFonts w:ascii="Arial" w:hAnsi="Arial"/>
          <w:rtl/>
        </w:rPr>
        <w:t xml:space="preserve"> </w:t>
      </w:r>
      <w:bookmarkStart w:id="6" w:name="ABSTRACT_START"/>
      <w:bookmarkEnd w:id="6"/>
      <w:r w:rsidRPr="00861FDF">
        <w:rPr>
          <w:rFonts w:ascii="Arial" w:hAnsi="Arial"/>
          <w:rtl/>
        </w:rPr>
        <w:t xml:space="preserve">הנאשמים הודו והורשעו במסגרת הסדר טיעון בביצוע עבירת הסתננות מזוינת, לפי </w:t>
      </w:r>
      <w:hyperlink r:id="rId12" w:history="1">
        <w:r w:rsidR="00B3681C" w:rsidRPr="00B3681C">
          <w:rPr>
            <w:rStyle w:val="Hyperlink"/>
            <w:rFonts w:ascii="Arial" w:hAnsi="Arial"/>
            <w:b/>
            <w:bCs/>
            <w:rtl/>
          </w:rPr>
          <w:t>סעיף 4</w:t>
        </w:r>
      </w:hyperlink>
      <w:r w:rsidRPr="00861FDF">
        <w:rPr>
          <w:rFonts w:ascii="Arial" w:hAnsi="Arial"/>
          <w:b/>
          <w:bCs/>
          <w:rtl/>
        </w:rPr>
        <w:t xml:space="preserve"> רישא ל</w:t>
      </w:r>
      <w:hyperlink r:id="rId13" w:history="1">
        <w:r w:rsidR="00F374A2" w:rsidRPr="00F374A2">
          <w:rPr>
            <w:rFonts w:ascii="Arial" w:hAnsi="Arial"/>
            <w:b/>
            <w:bCs/>
            <w:color w:val="0000FF"/>
            <w:u w:val="single"/>
            <w:rtl/>
          </w:rPr>
          <w:t>חוק למניעת הסתננות (עבירות ושיפוט)</w:t>
        </w:r>
      </w:hyperlink>
      <w:r w:rsidRPr="00861FDF">
        <w:rPr>
          <w:rFonts w:ascii="Arial" w:hAnsi="Arial"/>
          <w:b/>
          <w:bCs/>
          <w:rtl/>
        </w:rPr>
        <w:t xml:space="preserve">, תשי"ד-1954 (להלן: "חוק ההסתננות") </w:t>
      </w:r>
      <w:r w:rsidRPr="00861FDF">
        <w:rPr>
          <w:rFonts w:ascii="Arial" w:hAnsi="Arial"/>
          <w:rtl/>
        </w:rPr>
        <w:t xml:space="preserve">ועבירות בנשק (נשיאה), לפי </w:t>
      </w:r>
      <w:hyperlink r:id="rId14" w:history="1">
        <w:r w:rsidR="00B3681C" w:rsidRPr="00B3681C">
          <w:rPr>
            <w:rStyle w:val="Hyperlink"/>
            <w:rFonts w:ascii="Arial" w:hAnsi="Arial"/>
            <w:b/>
            <w:bCs/>
            <w:rtl/>
          </w:rPr>
          <w:t>סעיף 144(ב)</w:t>
        </w:r>
      </w:hyperlink>
      <w:r w:rsidRPr="00861FDF">
        <w:rPr>
          <w:rFonts w:ascii="Arial" w:hAnsi="Arial"/>
          <w:b/>
          <w:bCs/>
          <w:rtl/>
        </w:rPr>
        <w:t xml:space="preserve"> ל</w:t>
      </w:r>
      <w:hyperlink r:id="rId15" w:history="1">
        <w:r w:rsidR="00F374A2" w:rsidRPr="00F374A2">
          <w:rPr>
            <w:rFonts w:ascii="Arial" w:hAnsi="Arial"/>
            <w:b/>
            <w:bCs/>
            <w:color w:val="0000FF"/>
            <w:u w:val="single"/>
            <w:rtl/>
          </w:rPr>
          <w:t>חוק העונשין</w:t>
        </w:r>
      </w:hyperlink>
      <w:r w:rsidRPr="00861FDF">
        <w:rPr>
          <w:rFonts w:ascii="Arial" w:hAnsi="Arial"/>
          <w:b/>
          <w:bCs/>
          <w:rtl/>
        </w:rPr>
        <w:t xml:space="preserve"> תשל"ז-1977 </w:t>
      </w:r>
      <w:r w:rsidRPr="00861FDF">
        <w:rPr>
          <w:rFonts w:ascii="Arial" w:hAnsi="Arial"/>
          <w:rtl/>
        </w:rPr>
        <w:t xml:space="preserve">(להלן: </w:t>
      </w:r>
      <w:r w:rsidRPr="00861FDF">
        <w:rPr>
          <w:rFonts w:ascii="Arial" w:hAnsi="Arial"/>
          <w:b/>
          <w:bCs/>
          <w:rtl/>
        </w:rPr>
        <w:t>"חוק העונשין"</w:t>
      </w:r>
      <w:r w:rsidRPr="00861FDF">
        <w:rPr>
          <w:rFonts w:ascii="Arial" w:hAnsi="Arial"/>
          <w:rtl/>
        </w:rPr>
        <w:t>)</w:t>
      </w:r>
      <w:r w:rsidRPr="00861FDF">
        <w:rPr>
          <w:rFonts w:ascii="Arial" w:hAnsi="Arial"/>
          <w:sz w:val="26"/>
          <w:szCs w:val="26"/>
          <w:rtl/>
        </w:rPr>
        <w:t>.</w:t>
      </w:r>
      <w:r w:rsidRPr="00861FDF">
        <w:rPr>
          <w:rFonts w:ascii="Arial" w:hAnsi="Arial"/>
          <w:b/>
          <w:bCs/>
          <w:sz w:val="26"/>
          <w:szCs w:val="26"/>
          <w:rtl/>
        </w:rPr>
        <w:t xml:space="preserve"> </w:t>
      </w:r>
    </w:p>
    <w:p w14:paraId="1ABFC897" w14:textId="77777777" w:rsidR="007A0820" w:rsidRPr="00861FDF" w:rsidRDefault="007A0820" w:rsidP="007A0820">
      <w:pPr>
        <w:spacing w:line="360" w:lineRule="auto"/>
        <w:rPr>
          <w:rFonts w:ascii="Arial" w:hAnsi="Arial"/>
          <w:b/>
          <w:bCs/>
          <w:sz w:val="26"/>
          <w:szCs w:val="26"/>
          <w:rtl/>
        </w:rPr>
      </w:pPr>
    </w:p>
    <w:p w14:paraId="4A7F03D3" w14:textId="77777777" w:rsidR="007A0820" w:rsidRPr="00861FDF" w:rsidRDefault="007A0820" w:rsidP="007A0820">
      <w:pPr>
        <w:spacing w:line="360" w:lineRule="auto"/>
        <w:jc w:val="both"/>
        <w:rPr>
          <w:rFonts w:ascii="Arial" w:hAnsi="Arial"/>
          <w:rtl/>
        </w:rPr>
      </w:pPr>
      <w:bookmarkStart w:id="7" w:name="ABSTRACT_END"/>
      <w:bookmarkEnd w:id="7"/>
      <w:r w:rsidRPr="00861FDF">
        <w:rPr>
          <w:rFonts w:ascii="Arial" w:hAnsi="Arial"/>
          <w:rtl/>
        </w:rPr>
        <w:t xml:space="preserve">מכתב האישום המתוקן עולה כי הנאשמים הם תושבי רצועת עזה, ובמועד הרלבנטי לכתב האישום לא היו בעלי היתר כניסה לישראל. </w:t>
      </w:r>
    </w:p>
    <w:p w14:paraId="05C28D9F" w14:textId="77777777" w:rsidR="007A0820" w:rsidRPr="00861FDF" w:rsidRDefault="007A0820" w:rsidP="007A0820">
      <w:pPr>
        <w:spacing w:line="360" w:lineRule="auto"/>
        <w:jc w:val="both"/>
        <w:rPr>
          <w:rFonts w:ascii="Arial" w:hAnsi="Arial"/>
          <w:rtl/>
        </w:rPr>
      </w:pPr>
      <w:r w:rsidRPr="00861FDF">
        <w:rPr>
          <w:rFonts w:ascii="Arial" w:hAnsi="Arial"/>
          <w:rtl/>
        </w:rPr>
        <w:t xml:space="preserve">עובר ליום </w:t>
      </w:r>
      <w:r>
        <w:rPr>
          <w:rFonts w:ascii="Arial" w:hAnsi="Arial" w:hint="cs"/>
          <w:rtl/>
        </w:rPr>
        <w:t>26/01/22</w:t>
      </w:r>
      <w:r w:rsidRPr="00861FDF">
        <w:rPr>
          <w:rFonts w:ascii="Arial" w:hAnsi="Arial"/>
          <w:rtl/>
        </w:rPr>
        <w:t xml:space="preserve"> קשרו הנאשמים קשר להסתנן לישראל כשהם נושאים עימם רימון וכלי חותך (להלן: </w:t>
      </w:r>
      <w:r w:rsidRPr="00861FDF">
        <w:rPr>
          <w:rFonts w:ascii="Arial" w:hAnsi="Arial"/>
          <w:b/>
          <w:bCs/>
          <w:rtl/>
        </w:rPr>
        <w:t>"קטאר"</w:t>
      </w:r>
      <w:r w:rsidRPr="00861FDF">
        <w:rPr>
          <w:rFonts w:ascii="Arial" w:hAnsi="Arial"/>
          <w:rtl/>
        </w:rPr>
        <w:t xml:space="preserve">) וזאת כדי להיעצר. </w:t>
      </w:r>
    </w:p>
    <w:p w14:paraId="13BFC9AE" w14:textId="77777777" w:rsidR="007A0820" w:rsidRPr="00861FDF" w:rsidRDefault="007A0820" w:rsidP="007A0820">
      <w:pPr>
        <w:spacing w:line="360" w:lineRule="auto"/>
        <w:jc w:val="both"/>
        <w:rPr>
          <w:rFonts w:ascii="Arial" w:hAnsi="Arial"/>
          <w:rtl/>
        </w:rPr>
      </w:pPr>
      <w:r w:rsidRPr="00861FDF">
        <w:rPr>
          <w:rFonts w:ascii="Arial" w:hAnsi="Arial"/>
          <w:rtl/>
        </w:rPr>
        <w:lastRenderedPageBreak/>
        <w:t xml:space="preserve">במסגרת הקשר, הנאשמים רכשו יחד מאחר בעזה רימון תמורת 150 ₪. </w:t>
      </w:r>
    </w:p>
    <w:p w14:paraId="3FA8E58A" w14:textId="77777777" w:rsidR="007A0820" w:rsidRPr="00861FDF" w:rsidRDefault="007A0820" w:rsidP="007A0820">
      <w:pPr>
        <w:spacing w:line="360" w:lineRule="auto"/>
        <w:jc w:val="both"/>
        <w:rPr>
          <w:rFonts w:ascii="Arial" w:hAnsi="Arial"/>
          <w:rtl/>
        </w:rPr>
      </w:pPr>
      <w:r w:rsidRPr="00861FDF">
        <w:rPr>
          <w:rFonts w:ascii="Arial" w:hAnsi="Arial"/>
          <w:rtl/>
        </w:rPr>
        <w:t xml:space="preserve">בתאריך </w:t>
      </w:r>
      <w:r>
        <w:rPr>
          <w:rFonts w:ascii="Arial" w:hAnsi="Arial" w:hint="cs"/>
          <w:rtl/>
        </w:rPr>
        <w:t>26/01/22</w:t>
      </w:r>
      <w:r w:rsidRPr="00861FDF">
        <w:rPr>
          <w:rFonts w:ascii="Arial" w:hAnsi="Arial"/>
          <w:rtl/>
        </w:rPr>
        <w:t xml:space="preserve"> בשעה 04:00 או בסמוך לכך, התקרבו לגדר המערכת ועברו אותה לתוך שטח ישראל. </w:t>
      </w:r>
    </w:p>
    <w:p w14:paraId="4D7AA3FE" w14:textId="77777777" w:rsidR="007A0820" w:rsidRPr="00861FDF" w:rsidRDefault="007A0820" w:rsidP="007A0820">
      <w:pPr>
        <w:spacing w:line="360" w:lineRule="auto"/>
        <w:jc w:val="both"/>
        <w:rPr>
          <w:rFonts w:ascii="Arial" w:hAnsi="Arial"/>
          <w:rtl/>
        </w:rPr>
      </w:pPr>
      <w:r w:rsidRPr="00861FDF">
        <w:rPr>
          <w:rFonts w:ascii="Arial" w:hAnsi="Arial"/>
          <w:rtl/>
        </w:rPr>
        <w:t xml:space="preserve">כוחות צה"ל הבחינו בנאשמים, עצרו אותם ומצאו את הרימון והקטאר על גופם. </w:t>
      </w:r>
    </w:p>
    <w:p w14:paraId="74F21E56" w14:textId="77777777" w:rsidR="007A0820" w:rsidRPr="00861FDF" w:rsidRDefault="007A0820" w:rsidP="007A0820">
      <w:pPr>
        <w:spacing w:line="360" w:lineRule="auto"/>
        <w:jc w:val="both"/>
        <w:rPr>
          <w:rFonts w:ascii="Arial" w:hAnsi="Arial"/>
          <w:rtl/>
        </w:rPr>
      </w:pPr>
      <w:r w:rsidRPr="00861FDF">
        <w:rPr>
          <w:rFonts w:ascii="Arial" w:hAnsi="Arial"/>
          <w:rtl/>
        </w:rPr>
        <w:t xml:space="preserve">הרימון פוצץ במקום. </w:t>
      </w:r>
    </w:p>
    <w:p w14:paraId="0782CBFF" w14:textId="77777777" w:rsidR="007A0820" w:rsidRPr="00861FDF" w:rsidRDefault="007A0820" w:rsidP="007A0820">
      <w:pPr>
        <w:spacing w:line="360" w:lineRule="auto"/>
        <w:jc w:val="both"/>
        <w:rPr>
          <w:rFonts w:ascii="Arial" w:hAnsi="Arial"/>
          <w:rtl/>
        </w:rPr>
      </w:pPr>
    </w:p>
    <w:p w14:paraId="3FD8A7C4" w14:textId="77777777" w:rsidR="007A0820" w:rsidRPr="00861FDF" w:rsidRDefault="007A0820" w:rsidP="007A0820">
      <w:pPr>
        <w:spacing w:line="360" w:lineRule="auto"/>
        <w:jc w:val="both"/>
        <w:rPr>
          <w:rFonts w:ascii="Arial" w:hAnsi="Arial"/>
          <w:b/>
          <w:bCs/>
          <w:u w:val="single"/>
          <w:rtl/>
        </w:rPr>
      </w:pPr>
      <w:r w:rsidRPr="00861FDF">
        <w:rPr>
          <w:rFonts w:ascii="Arial" w:hAnsi="Arial"/>
          <w:b/>
          <w:bCs/>
          <w:u w:val="single"/>
          <w:rtl/>
        </w:rPr>
        <w:t xml:space="preserve">הסדר הטיעון </w:t>
      </w:r>
    </w:p>
    <w:p w14:paraId="75A8D188" w14:textId="77777777" w:rsidR="007A0820" w:rsidRPr="00861FDF" w:rsidRDefault="007A0820" w:rsidP="007A0820">
      <w:pPr>
        <w:spacing w:line="360" w:lineRule="auto"/>
        <w:jc w:val="both"/>
        <w:rPr>
          <w:rFonts w:ascii="Arial" w:hAnsi="Arial"/>
          <w:rtl/>
        </w:rPr>
      </w:pPr>
      <w:r w:rsidRPr="00861FDF">
        <w:rPr>
          <w:rFonts w:ascii="Arial" w:hAnsi="Arial"/>
          <w:b/>
          <w:bCs/>
          <w:rtl/>
        </w:rPr>
        <w:t>2.</w:t>
      </w:r>
      <w:r w:rsidRPr="00861FDF">
        <w:rPr>
          <w:rFonts w:ascii="Arial" w:hAnsi="Arial"/>
          <w:rtl/>
        </w:rPr>
        <w:t xml:space="preserve"> ביום 12</w:t>
      </w:r>
      <w:r>
        <w:rPr>
          <w:rFonts w:ascii="Arial" w:hAnsi="Arial" w:hint="cs"/>
          <w:rtl/>
        </w:rPr>
        <w:t>/</w:t>
      </w:r>
      <w:r w:rsidRPr="00861FDF">
        <w:rPr>
          <w:rFonts w:ascii="Arial" w:hAnsi="Arial"/>
          <w:rtl/>
        </w:rPr>
        <w:t>05/22 הוצג הסדר טיעון במסגרתו, כאמור, הודו הנאשמים בכתב האישום המתוקן מבלי שהוצגו הסכמות לשאלת העונש.</w:t>
      </w:r>
    </w:p>
    <w:p w14:paraId="687B4B9C" w14:textId="77777777" w:rsidR="007A0820" w:rsidRPr="00861FDF" w:rsidRDefault="007A0820" w:rsidP="007A0820">
      <w:pPr>
        <w:spacing w:line="360" w:lineRule="auto"/>
        <w:jc w:val="both"/>
        <w:rPr>
          <w:rFonts w:ascii="Arial" w:hAnsi="Arial"/>
        </w:rPr>
      </w:pPr>
    </w:p>
    <w:p w14:paraId="5D108D97" w14:textId="77777777" w:rsidR="007A0820" w:rsidRPr="00861FDF" w:rsidRDefault="007A0820" w:rsidP="007A0820">
      <w:pPr>
        <w:spacing w:line="360" w:lineRule="auto"/>
        <w:jc w:val="both"/>
        <w:rPr>
          <w:rFonts w:ascii="Arial" w:hAnsi="Arial"/>
          <w:b/>
          <w:bCs/>
          <w:u w:val="single"/>
          <w:rtl/>
        </w:rPr>
      </w:pPr>
      <w:r w:rsidRPr="00861FDF">
        <w:rPr>
          <w:rFonts w:ascii="Arial" w:hAnsi="Arial"/>
          <w:b/>
          <w:bCs/>
          <w:u w:val="single"/>
          <w:rtl/>
        </w:rPr>
        <w:t>טיעוני הצדדים לעונש</w:t>
      </w:r>
    </w:p>
    <w:p w14:paraId="5F14C59A" w14:textId="77777777" w:rsidR="007A0820" w:rsidRPr="00861FDF" w:rsidRDefault="007A0820" w:rsidP="007A0820">
      <w:pPr>
        <w:spacing w:line="360" w:lineRule="auto"/>
        <w:jc w:val="both"/>
        <w:rPr>
          <w:rFonts w:ascii="Arial" w:hAnsi="Arial"/>
          <w:rtl/>
        </w:rPr>
      </w:pPr>
      <w:r w:rsidRPr="00861FDF">
        <w:rPr>
          <w:rFonts w:ascii="Arial" w:hAnsi="Arial"/>
          <w:b/>
          <w:bCs/>
          <w:rtl/>
        </w:rPr>
        <w:t>3.</w:t>
      </w:r>
      <w:r w:rsidRPr="00861FDF">
        <w:rPr>
          <w:rFonts w:ascii="Arial" w:hAnsi="Arial"/>
          <w:rtl/>
        </w:rPr>
        <w:t xml:space="preserve"> המאשימה הפנתה בטיעוניה הכתובים לעונש לחומרת העבירות עליהן נותנים הנאשמים את הדין ולתכליתו של חוק ההסתננות – תכלית ביטחונית והרתעתית ולערך החברתי המוגן של שמירה על גבולות המדינה מפני מסתננים לצורך שמירה על ביטחון חייליה ואזרחיה. כל זאת ביתר שאת, עת מסתננים מתוך שטח הנשלט על ידי ארגון טרור מוכרז כשהם נושאים עימם כלי נשק, באופן שמוביל אף להשקעת משאבים רבים של גורמי הביטחון ולסיכונם. </w:t>
      </w:r>
    </w:p>
    <w:p w14:paraId="3AED866D" w14:textId="77777777" w:rsidR="007A0820" w:rsidRPr="00861FDF" w:rsidRDefault="007A0820" w:rsidP="007A0820">
      <w:pPr>
        <w:spacing w:line="360" w:lineRule="auto"/>
        <w:jc w:val="both"/>
        <w:rPr>
          <w:rFonts w:ascii="Arial" w:hAnsi="Arial"/>
          <w:rtl/>
        </w:rPr>
      </w:pPr>
      <w:r w:rsidRPr="00861FDF">
        <w:rPr>
          <w:rFonts w:ascii="Arial" w:hAnsi="Arial"/>
          <w:rtl/>
        </w:rPr>
        <w:t xml:space="preserve">כמו כן, הפנתה לערך החברתי המוגן שנפגע כתוצאה מעבירות בנשק - שמירה על ביטחון הציבור והסדר הציבורי. עוד הפנתה לריבוי עבירות אלה שהפכו ל"מכת מדינה" של ממש – דבר המחייב החמרה בענישה. </w:t>
      </w:r>
    </w:p>
    <w:p w14:paraId="454AE980" w14:textId="77777777" w:rsidR="007A0820" w:rsidRPr="00861FDF" w:rsidRDefault="007A0820" w:rsidP="007A0820">
      <w:pPr>
        <w:spacing w:line="360" w:lineRule="auto"/>
        <w:jc w:val="both"/>
        <w:rPr>
          <w:rFonts w:ascii="Arial" w:hAnsi="Arial"/>
          <w:rtl/>
        </w:rPr>
      </w:pPr>
    </w:p>
    <w:p w14:paraId="65ECAE89" w14:textId="77777777" w:rsidR="007A0820" w:rsidRPr="00861FDF" w:rsidRDefault="007A0820" w:rsidP="007A0820">
      <w:pPr>
        <w:spacing w:line="360" w:lineRule="auto"/>
        <w:jc w:val="both"/>
        <w:rPr>
          <w:rFonts w:ascii="Arial" w:hAnsi="Arial"/>
          <w:rtl/>
        </w:rPr>
      </w:pPr>
      <w:r w:rsidRPr="00861FDF">
        <w:rPr>
          <w:rFonts w:ascii="Arial" w:hAnsi="Arial"/>
          <w:rtl/>
        </w:rPr>
        <w:t xml:space="preserve">המאשימה טענה כי בהתאם לפסיקה, בהיעדר טעמים מיוחדים אין לקבוע את הרף התחתון של הענישה מתחת לעונש המינימום, שבמקרה זה, בגין ביצוע עבירת הנשק בלבד עומד על 30 חודשי מאסר, וזאת בשים לב לתיקון </w:t>
      </w:r>
      <w:r w:rsidRPr="00861FDF">
        <w:rPr>
          <w:rFonts w:ascii="Arial" w:hAnsi="Arial"/>
          <w:b/>
          <w:bCs/>
          <w:rtl/>
        </w:rPr>
        <w:t>140 ל</w:t>
      </w:r>
      <w:hyperlink r:id="rId16" w:history="1">
        <w:r w:rsidR="00F374A2" w:rsidRPr="00F374A2">
          <w:rPr>
            <w:rFonts w:ascii="Arial" w:hAnsi="Arial"/>
            <w:b/>
            <w:bCs/>
            <w:color w:val="0000FF"/>
            <w:u w:val="single"/>
            <w:rtl/>
          </w:rPr>
          <w:t>חוק העונשין</w:t>
        </w:r>
      </w:hyperlink>
      <w:r w:rsidRPr="00861FDF">
        <w:rPr>
          <w:rFonts w:ascii="Arial" w:hAnsi="Arial"/>
          <w:rtl/>
        </w:rPr>
        <w:t xml:space="preserve"> שנכנס לתוקף ביום 08/12/21. עוד טענה כי במקרה זה – עבירת הנשק היא הפחות חמורה מבין העבירות עליהן נותנים הנאשמים את הדין. </w:t>
      </w:r>
    </w:p>
    <w:p w14:paraId="43F0B235" w14:textId="77777777" w:rsidR="007A0820" w:rsidRPr="00861FDF" w:rsidRDefault="007A0820" w:rsidP="007A0820">
      <w:pPr>
        <w:spacing w:line="360" w:lineRule="auto"/>
        <w:jc w:val="both"/>
        <w:rPr>
          <w:rFonts w:ascii="Arial" w:hAnsi="Arial"/>
          <w:rtl/>
        </w:rPr>
      </w:pPr>
    </w:p>
    <w:p w14:paraId="03F17F70" w14:textId="77777777" w:rsidR="007A0820" w:rsidRPr="00861FDF" w:rsidRDefault="007A0820" w:rsidP="007A0820">
      <w:pPr>
        <w:spacing w:line="360" w:lineRule="auto"/>
        <w:jc w:val="both"/>
        <w:rPr>
          <w:rFonts w:ascii="Arial" w:hAnsi="Arial"/>
          <w:rtl/>
        </w:rPr>
      </w:pPr>
      <w:r w:rsidRPr="00861FDF">
        <w:rPr>
          <w:rFonts w:ascii="Arial" w:hAnsi="Arial"/>
          <w:rtl/>
        </w:rPr>
        <w:t xml:space="preserve">לאור המפורט עתרה המאשימה למתחם עונש הולם הנע בין </w:t>
      </w:r>
      <w:r>
        <w:rPr>
          <w:rFonts w:ascii="Arial" w:hAnsi="Arial" w:hint="cs"/>
          <w:rtl/>
        </w:rPr>
        <w:t>3-6 שנות מאסר</w:t>
      </w:r>
      <w:r w:rsidRPr="00861FDF">
        <w:rPr>
          <w:rFonts w:ascii="Arial" w:hAnsi="Arial"/>
          <w:rtl/>
        </w:rPr>
        <w:t>, והפנתה לפסיקה כתמיכה בעתירתה.</w:t>
      </w:r>
    </w:p>
    <w:p w14:paraId="62B2998B" w14:textId="77777777" w:rsidR="007A0820" w:rsidRPr="00861FDF" w:rsidRDefault="007A0820" w:rsidP="007A0820">
      <w:pPr>
        <w:spacing w:line="360" w:lineRule="auto"/>
        <w:jc w:val="both"/>
        <w:rPr>
          <w:rFonts w:ascii="David" w:hAnsi="David"/>
          <w:rtl/>
        </w:rPr>
      </w:pPr>
    </w:p>
    <w:p w14:paraId="78B949A0" w14:textId="77777777" w:rsidR="007A0820" w:rsidRPr="00861FDF" w:rsidRDefault="007A0820" w:rsidP="007A0820">
      <w:pPr>
        <w:spacing w:line="360" w:lineRule="auto"/>
        <w:jc w:val="both"/>
        <w:rPr>
          <w:b/>
          <w:rtl/>
        </w:rPr>
      </w:pPr>
      <w:r w:rsidRPr="00861FDF">
        <w:rPr>
          <w:b/>
          <w:rtl/>
        </w:rPr>
        <w:t>אשר לקביעת עונשם של הנאשמים בגדרי המתחם –</w:t>
      </w:r>
    </w:p>
    <w:p w14:paraId="774A810C" w14:textId="77777777" w:rsidR="007A0820" w:rsidRPr="00861FDF" w:rsidRDefault="007A0820" w:rsidP="007A0820">
      <w:pPr>
        <w:spacing w:line="360" w:lineRule="auto"/>
        <w:jc w:val="both"/>
        <w:rPr>
          <w:rFonts w:ascii="David" w:hAnsi="David"/>
          <w:rtl/>
        </w:rPr>
      </w:pPr>
      <w:r w:rsidRPr="00861FDF">
        <w:rPr>
          <w:rFonts w:ascii="David" w:hAnsi="David"/>
          <w:rtl/>
        </w:rPr>
        <w:t>המאשימה עתרה למקם את נאשם 2 בתחתית המתחם ולהטיל עליו 3 שנות מאסר לצד מאסר מותנה ממושך, וזאת בשים לב להיעדר עבר פלילי.</w:t>
      </w:r>
    </w:p>
    <w:p w14:paraId="0045A85E" w14:textId="77777777" w:rsidR="007A0820" w:rsidRPr="00861FDF" w:rsidRDefault="007A0820" w:rsidP="007A0820">
      <w:pPr>
        <w:spacing w:line="360" w:lineRule="auto"/>
        <w:jc w:val="both"/>
        <w:rPr>
          <w:rFonts w:ascii="David" w:hAnsi="David"/>
          <w:rtl/>
        </w:rPr>
      </w:pPr>
    </w:p>
    <w:p w14:paraId="0B58CD22" w14:textId="77777777" w:rsidR="007A0820" w:rsidRPr="00861FDF" w:rsidRDefault="007A0820" w:rsidP="007A0820">
      <w:pPr>
        <w:spacing w:line="360" w:lineRule="auto"/>
        <w:jc w:val="both"/>
        <w:rPr>
          <w:rFonts w:ascii="David" w:hAnsi="David"/>
          <w:rtl/>
        </w:rPr>
      </w:pPr>
      <w:r w:rsidRPr="00861FDF">
        <w:rPr>
          <w:rFonts w:ascii="David" w:hAnsi="David"/>
          <w:rtl/>
        </w:rPr>
        <w:t xml:space="preserve">באשר לנאשם 1, בשים לב לעברו הפלילי, העובדה כי עונש מאסר מותנה אשר היה תלוי ועומד כנגדו לא הרתיעו מלשוב ולבצע את העבירה ואף לבצע את עבירת ההסתננות כשהוא מזוין – עתרה </w:t>
      </w:r>
      <w:r w:rsidRPr="00861FDF">
        <w:rPr>
          <w:rFonts w:ascii="David" w:hAnsi="David"/>
          <w:rtl/>
        </w:rPr>
        <w:lastRenderedPageBreak/>
        <w:t xml:space="preserve">המאשימה למקמו באמצע המתחם, ולהטיל עליו 4 שנות מאסר לצד הפעלת המאסר המותנה, במצטבר, כך שירצה 4 וחצי שנות מאסר, וכן להטיל עליו מאסר מותנה ממושך.  </w:t>
      </w:r>
    </w:p>
    <w:p w14:paraId="68C2408E" w14:textId="77777777" w:rsidR="007A0820" w:rsidRPr="00861FDF" w:rsidRDefault="007A0820" w:rsidP="007A0820">
      <w:pPr>
        <w:spacing w:line="360" w:lineRule="auto"/>
        <w:jc w:val="both"/>
        <w:rPr>
          <w:rFonts w:ascii="David" w:hAnsi="David"/>
          <w:rtl/>
        </w:rPr>
      </w:pPr>
    </w:p>
    <w:p w14:paraId="7F33806F" w14:textId="77777777" w:rsidR="007A0820" w:rsidRPr="00861FDF" w:rsidRDefault="007A0820" w:rsidP="007A0820">
      <w:pPr>
        <w:spacing w:line="360" w:lineRule="auto"/>
        <w:jc w:val="both"/>
        <w:rPr>
          <w:rFonts w:ascii="David" w:hAnsi="David"/>
          <w:rtl/>
        </w:rPr>
      </w:pPr>
      <w:r w:rsidRPr="00861FDF">
        <w:rPr>
          <w:rFonts w:ascii="David" w:hAnsi="David"/>
          <w:b/>
          <w:bCs/>
          <w:rtl/>
        </w:rPr>
        <w:t>4.</w:t>
      </w:r>
      <w:r w:rsidRPr="00861FDF">
        <w:rPr>
          <w:rFonts w:ascii="David" w:hAnsi="David"/>
          <w:rtl/>
        </w:rPr>
        <w:t xml:space="preserve"> ב"כ הנאשמים טען כי העבירות בוצעו על רקע כלכלי ולא ממניע ביטחוני, וכי מטרת הנאשמים הייתה להיכלא ומשכך הסתננו כשברשותם נשק חם. כראייה לכך הפנה לעובדה שהנאשמים לא ניסו לפגוע בחיילים ברימון שהיה ברשותם, וכן טען כי אף המאשימה איננה סבורה שמדובר במי שמטרתם הייתה לפגע – שכן בחרה שלא לייחס להם מטרה שכזו בכתב האישום אשר הוגש כנגדם. </w:t>
      </w:r>
    </w:p>
    <w:p w14:paraId="75D312B7" w14:textId="77777777" w:rsidR="007A0820" w:rsidRPr="00861FDF" w:rsidRDefault="007A0820" w:rsidP="007A0820">
      <w:pPr>
        <w:spacing w:line="360" w:lineRule="auto"/>
        <w:jc w:val="both"/>
        <w:rPr>
          <w:rFonts w:ascii="David" w:hAnsi="David"/>
          <w:rtl/>
        </w:rPr>
      </w:pPr>
      <w:r w:rsidRPr="00861FDF">
        <w:rPr>
          <w:rFonts w:ascii="David" w:hAnsi="David"/>
          <w:rtl/>
        </w:rPr>
        <w:t>לאור האמור, טען ב"כ הנאשמים כי המתחם אליו עתרה המאשימה מוגזם ומשרת את מטרת הנאשמים, וכי בית המשפט לא צריך "לתת יד לעניין".</w:t>
      </w:r>
    </w:p>
    <w:p w14:paraId="3D81E201" w14:textId="77777777" w:rsidR="007A0820" w:rsidRPr="00861FDF" w:rsidRDefault="007A0820" w:rsidP="007A0820">
      <w:pPr>
        <w:spacing w:line="360" w:lineRule="auto"/>
        <w:jc w:val="both"/>
        <w:rPr>
          <w:rFonts w:ascii="David" w:hAnsi="David"/>
          <w:rtl/>
        </w:rPr>
      </w:pPr>
      <w:r w:rsidRPr="00861FDF">
        <w:rPr>
          <w:rFonts w:ascii="David" w:hAnsi="David"/>
          <w:rtl/>
        </w:rPr>
        <w:t>ב"כ הנאשמים טען כי יש להתחשב בגילם הצעיר של הנאשמים ולרקע הכלכלי המורכב שלהם, ולא להחמיר עימם.</w:t>
      </w:r>
    </w:p>
    <w:p w14:paraId="3AC80D04" w14:textId="77777777" w:rsidR="007A0820" w:rsidRPr="00861FDF" w:rsidRDefault="007A0820" w:rsidP="007A0820">
      <w:pPr>
        <w:spacing w:line="360" w:lineRule="auto"/>
        <w:jc w:val="both"/>
        <w:rPr>
          <w:rFonts w:ascii="David" w:hAnsi="David"/>
          <w:b/>
          <w:bCs/>
          <w:u w:val="single"/>
          <w:rtl/>
        </w:rPr>
      </w:pPr>
    </w:p>
    <w:p w14:paraId="27A82553" w14:textId="77777777" w:rsidR="007A0820" w:rsidRPr="00861FDF" w:rsidRDefault="007A0820" w:rsidP="007A0820">
      <w:pPr>
        <w:spacing w:line="360" w:lineRule="auto"/>
        <w:jc w:val="both"/>
        <w:rPr>
          <w:rFonts w:ascii="David" w:hAnsi="David"/>
          <w:b/>
          <w:bCs/>
          <w:u w:val="single"/>
          <w:rtl/>
        </w:rPr>
      </w:pPr>
      <w:r w:rsidRPr="00861FDF">
        <w:rPr>
          <w:rFonts w:ascii="David" w:hAnsi="David"/>
          <w:b/>
          <w:bCs/>
          <w:u w:val="single"/>
          <w:rtl/>
        </w:rPr>
        <w:t xml:space="preserve">קביעת מתחם העונש ההולם </w:t>
      </w:r>
    </w:p>
    <w:p w14:paraId="78ACB6F1" w14:textId="77777777" w:rsidR="007A0820" w:rsidRPr="00861FDF" w:rsidRDefault="007A0820" w:rsidP="007A0820">
      <w:pPr>
        <w:spacing w:line="360" w:lineRule="auto"/>
        <w:jc w:val="both"/>
        <w:rPr>
          <w:rFonts w:ascii="Arial" w:hAnsi="Arial"/>
        </w:rPr>
      </w:pPr>
      <w:r w:rsidRPr="00861FDF">
        <w:rPr>
          <w:rFonts w:ascii="Arial" w:hAnsi="Arial"/>
          <w:b/>
          <w:bCs/>
          <w:rtl/>
        </w:rPr>
        <w:t>5.</w:t>
      </w:r>
      <w:r w:rsidRPr="00861FDF">
        <w:rPr>
          <w:rFonts w:ascii="Arial" w:hAnsi="Arial"/>
          <w:rtl/>
        </w:rPr>
        <w:t xml:space="preserve"> על פי</w:t>
      </w:r>
      <w:r w:rsidRPr="00861FDF">
        <w:rPr>
          <w:rFonts w:ascii="Arial" w:hAnsi="Arial"/>
          <w:b/>
          <w:bCs/>
          <w:rtl/>
        </w:rPr>
        <w:t xml:space="preserve"> </w:t>
      </w:r>
      <w:hyperlink r:id="rId17" w:history="1">
        <w:r w:rsidR="00B3681C" w:rsidRPr="00B3681C">
          <w:rPr>
            <w:rStyle w:val="Hyperlink"/>
            <w:rFonts w:ascii="Arial" w:hAnsi="Arial"/>
            <w:b/>
            <w:bCs/>
            <w:rtl/>
          </w:rPr>
          <w:t>סעיף 40ג(א)</w:t>
        </w:r>
      </w:hyperlink>
      <w:r w:rsidRPr="00861FDF">
        <w:rPr>
          <w:rFonts w:ascii="Arial" w:hAnsi="Arial"/>
          <w:b/>
          <w:bCs/>
          <w:rtl/>
        </w:rPr>
        <w:t xml:space="preserve"> ל</w:t>
      </w:r>
      <w:hyperlink r:id="rId18" w:history="1">
        <w:r w:rsidR="00F374A2" w:rsidRPr="00F374A2">
          <w:rPr>
            <w:rFonts w:ascii="Arial" w:hAnsi="Arial"/>
            <w:b/>
            <w:bCs/>
            <w:color w:val="0000FF"/>
            <w:u w:val="single"/>
            <w:rtl/>
          </w:rPr>
          <w:t>חוק העונשין</w:t>
        </w:r>
      </w:hyperlink>
      <w:r w:rsidRPr="00861FDF">
        <w:rPr>
          <w:rFonts w:ascii="Arial" w:hAnsi="Arial"/>
          <w:rtl/>
        </w:rPr>
        <w:t>, בקביעת מתחם העונש בהתאם לעקרון ההלימה, על בית המשפט להתחשב: "</w:t>
      </w:r>
      <w:r w:rsidRPr="00861FDF">
        <w:rPr>
          <w:rFonts w:ascii="Arial" w:hAnsi="Arial"/>
          <w:b/>
          <w:bCs/>
          <w:rtl/>
        </w:rPr>
        <w:t>בערך החברתי שנפגע מביצוע העבירה, במידת הפגיעה בו, במדיניות הענישה הנהוגה ובנסיבות הקשורות בביצוע העבירה</w:t>
      </w:r>
      <w:r w:rsidRPr="00861FDF">
        <w:rPr>
          <w:rFonts w:ascii="Arial" w:hAnsi="Arial"/>
          <w:rtl/>
        </w:rPr>
        <w:t>".</w:t>
      </w:r>
    </w:p>
    <w:p w14:paraId="14F33AEF" w14:textId="77777777" w:rsidR="007A0820" w:rsidRPr="00861FDF" w:rsidRDefault="007A0820" w:rsidP="007A0820">
      <w:pPr>
        <w:spacing w:line="360" w:lineRule="auto"/>
        <w:jc w:val="both"/>
        <w:rPr>
          <w:rFonts w:ascii="Arial" w:hAnsi="Arial"/>
          <w:rtl/>
        </w:rPr>
      </w:pPr>
    </w:p>
    <w:p w14:paraId="52288E35" w14:textId="77777777" w:rsidR="007A0820" w:rsidRPr="00861FDF" w:rsidRDefault="007A0820" w:rsidP="007A0820">
      <w:pPr>
        <w:spacing w:line="360" w:lineRule="auto"/>
        <w:jc w:val="both"/>
        <w:rPr>
          <w:rFonts w:ascii="Arial" w:hAnsi="Arial"/>
          <w:rtl/>
        </w:rPr>
      </w:pPr>
      <w:r w:rsidRPr="00861FDF">
        <w:rPr>
          <w:rFonts w:ascii="Arial" w:hAnsi="Arial"/>
          <w:rtl/>
        </w:rPr>
        <w:t xml:space="preserve">אין מחלוקת בין הצדדים כי כתב האישום מתאר </w:t>
      </w:r>
      <w:r w:rsidRPr="00861FDF">
        <w:rPr>
          <w:rFonts w:ascii="Arial" w:hAnsi="Arial"/>
          <w:b/>
          <w:bCs/>
          <w:rtl/>
        </w:rPr>
        <w:t>אירוע אחד</w:t>
      </w:r>
      <w:r w:rsidRPr="00861FDF">
        <w:rPr>
          <w:rFonts w:ascii="Arial" w:hAnsi="Arial"/>
          <w:rtl/>
        </w:rPr>
        <w:t xml:space="preserve"> שבגינו יש לקבוע מתחם עונש הולם אחד. </w:t>
      </w:r>
    </w:p>
    <w:p w14:paraId="78E4679C" w14:textId="77777777" w:rsidR="007A0820" w:rsidRPr="00861FDF" w:rsidRDefault="007A0820" w:rsidP="007A0820">
      <w:pPr>
        <w:spacing w:line="360" w:lineRule="auto"/>
        <w:jc w:val="both"/>
        <w:rPr>
          <w:rFonts w:ascii="Arial" w:hAnsi="Arial"/>
          <w:rtl/>
        </w:rPr>
      </w:pPr>
    </w:p>
    <w:p w14:paraId="6D67BC23" w14:textId="77777777" w:rsidR="007A0820" w:rsidRPr="00861FDF" w:rsidRDefault="007A0820" w:rsidP="007A0820">
      <w:pPr>
        <w:spacing w:line="360" w:lineRule="auto"/>
        <w:jc w:val="both"/>
        <w:rPr>
          <w:rtl/>
        </w:rPr>
      </w:pPr>
      <w:r w:rsidRPr="00861FDF">
        <w:rPr>
          <w:b/>
          <w:bCs/>
          <w:rtl/>
        </w:rPr>
        <w:t>הערכים החברתיים המוגנים</w:t>
      </w:r>
      <w:r w:rsidRPr="00861FDF">
        <w:rPr>
          <w:rtl/>
        </w:rPr>
        <w:t xml:space="preserve"> אשר נפגעו כתוצאה ממעשיהם של הנאשמים כוללים בתוכם את השמירה על ביטחון המדינה, חייליה ואזרחיה, ריבונות המדינה וסמכותה לקבוע מי יבוא בשעריה, לצד האינטרס הכלכלי, וזאת בשים לב למשאבים האנושיים והכלכליים אשר מוקצים למניעת הסתננות. </w:t>
      </w:r>
    </w:p>
    <w:p w14:paraId="3FA97D48" w14:textId="77777777" w:rsidR="007A0820" w:rsidRPr="00861FDF" w:rsidRDefault="007A0820" w:rsidP="007A0820">
      <w:pPr>
        <w:spacing w:line="360" w:lineRule="auto"/>
        <w:jc w:val="both"/>
        <w:rPr>
          <w:rtl/>
        </w:rPr>
      </w:pPr>
      <w:r w:rsidRPr="00861FDF">
        <w:rPr>
          <w:rtl/>
        </w:rPr>
        <w:t>כידוע, תכלית חוק ההסתננות היא ביטחונית הרתעתית, ולעבירת ההסתננות קיים היבט בטחוני גם כאשר מדובר בכניסה למטרות כלכליות.</w:t>
      </w:r>
    </w:p>
    <w:p w14:paraId="643802A7" w14:textId="77777777" w:rsidR="007A0820" w:rsidRPr="00861FDF" w:rsidRDefault="007A0820" w:rsidP="007A0820">
      <w:pPr>
        <w:spacing w:line="360" w:lineRule="auto"/>
        <w:jc w:val="both"/>
        <w:rPr>
          <w:rtl/>
        </w:rPr>
      </w:pPr>
      <w:r w:rsidRPr="00861FDF">
        <w:rPr>
          <w:rtl/>
        </w:rPr>
        <w:t xml:space="preserve">[ראו לעניין זה גם </w:t>
      </w:r>
      <w:hyperlink r:id="rId19" w:history="1">
        <w:r w:rsidR="00F374A2" w:rsidRPr="00F374A2">
          <w:rPr>
            <w:b/>
            <w:bCs/>
            <w:color w:val="0000FF"/>
            <w:u w:val="single"/>
            <w:rtl/>
          </w:rPr>
          <w:t>ע"פ 5746/06</w:t>
        </w:r>
      </w:hyperlink>
      <w:r w:rsidRPr="00861FDF">
        <w:rPr>
          <w:b/>
          <w:bCs/>
          <w:rtl/>
        </w:rPr>
        <w:t xml:space="preserve"> עבאס נגד מדינת ישראל (31/07/07) </w:t>
      </w:r>
      <w:r w:rsidRPr="00861FDF">
        <w:rPr>
          <w:rtl/>
        </w:rPr>
        <w:t>(להלן: "</w:t>
      </w:r>
      <w:r w:rsidRPr="00861FDF">
        <w:rPr>
          <w:b/>
          <w:bCs/>
          <w:rtl/>
        </w:rPr>
        <w:t>פס"ד עבאס</w:t>
      </w:r>
      <w:r w:rsidRPr="00861FDF">
        <w:rPr>
          <w:rtl/>
        </w:rPr>
        <w:t>")].</w:t>
      </w:r>
    </w:p>
    <w:p w14:paraId="53CAB628" w14:textId="77777777" w:rsidR="007A0820" w:rsidRDefault="007A0820" w:rsidP="007A0820">
      <w:pPr>
        <w:spacing w:line="360" w:lineRule="auto"/>
        <w:jc w:val="both"/>
        <w:rPr>
          <w:b/>
          <w:bCs/>
          <w:rtl/>
        </w:rPr>
      </w:pPr>
    </w:p>
    <w:p w14:paraId="22BAEF2E" w14:textId="77777777" w:rsidR="007A0820" w:rsidRPr="00861FDF" w:rsidRDefault="007A0820" w:rsidP="007A0820">
      <w:pPr>
        <w:spacing w:line="360" w:lineRule="auto"/>
        <w:jc w:val="both"/>
        <w:rPr>
          <w:rtl/>
        </w:rPr>
      </w:pPr>
      <w:r w:rsidRPr="00861FDF">
        <w:rPr>
          <w:b/>
          <w:bCs/>
          <w:rtl/>
        </w:rPr>
        <w:t xml:space="preserve">מידת הפגיעה בערכים המוגנים </w:t>
      </w:r>
      <w:r w:rsidRPr="00861FDF">
        <w:rPr>
          <w:rtl/>
        </w:rPr>
        <w:t>היא ברף הבינוני, וזאת בשים לב לכך שהמעשים בוצעו תוך קשירת קשר וביצוע בצוותא, ואף בשים לב לסוג הנשק שנשאו הנאשמים, רימון, אך גם בשים לב למטרת ההסתננות לישראל, כמפורט בעובדות כתב האישום המתוקן.</w:t>
      </w:r>
    </w:p>
    <w:p w14:paraId="78767899" w14:textId="77777777" w:rsidR="007A0820" w:rsidRPr="00861FDF" w:rsidRDefault="007A0820" w:rsidP="007A0820">
      <w:pPr>
        <w:spacing w:line="360" w:lineRule="auto"/>
        <w:jc w:val="both"/>
        <w:rPr>
          <w:rtl/>
        </w:rPr>
      </w:pPr>
    </w:p>
    <w:p w14:paraId="73FD6AF5" w14:textId="77777777" w:rsidR="007A0820" w:rsidRPr="00861FDF" w:rsidRDefault="007A0820" w:rsidP="007A0820">
      <w:pPr>
        <w:spacing w:line="360" w:lineRule="auto"/>
        <w:jc w:val="both"/>
        <w:rPr>
          <w:rFonts w:ascii="Arial" w:hAnsi="Arial"/>
          <w:rtl/>
        </w:rPr>
      </w:pPr>
      <w:r w:rsidRPr="00861FDF">
        <w:rPr>
          <w:rFonts w:ascii="Arial" w:hAnsi="Arial"/>
          <w:rtl/>
        </w:rPr>
        <w:t xml:space="preserve">בתי המשפט הבהירו לא אחת, כי יש לנקוט יד קשה כנגד מבצעי עבירות ההסתננות המזוינת. </w:t>
      </w:r>
    </w:p>
    <w:p w14:paraId="5BFD3010" w14:textId="77777777" w:rsidR="007A0820" w:rsidRPr="00861FDF" w:rsidRDefault="007A0820" w:rsidP="007A0820">
      <w:pPr>
        <w:spacing w:line="360" w:lineRule="auto"/>
        <w:jc w:val="both"/>
        <w:rPr>
          <w:b/>
          <w:bCs/>
          <w:rtl/>
        </w:rPr>
      </w:pPr>
      <w:r w:rsidRPr="00861FDF">
        <w:rPr>
          <w:rFonts w:ascii="Arial" w:hAnsi="Arial"/>
          <w:rtl/>
        </w:rPr>
        <w:t>כך לדוגמא ב</w:t>
      </w:r>
      <w:r w:rsidRPr="00861FDF">
        <w:rPr>
          <w:rFonts w:ascii="David" w:hAnsi="David"/>
          <w:b/>
          <w:bCs/>
          <w:rtl/>
        </w:rPr>
        <w:t>ע"פ 5059/09 שרתאחה נגד מדינת ישראל (15/10/09)</w:t>
      </w:r>
      <w:r w:rsidRPr="00861FDF">
        <w:rPr>
          <w:rFonts w:ascii="David" w:hAnsi="David"/>
          <w:rtl/>
        </w:rPr>
        <w:t xml:space="preserve"> (להלן: "</w:t>
      </w:r>
      <w:r w:rsidRPr="00861FDF">
        <w:rPr>
          <w:rFonts w:ascii="David" w:hAnsi="David"/>
          <w:b/>
          <w:bCs/>
          <w:rtl/>
        </w:rPr>
        <w:t>פס"ד שרתאחה</w:t>
      </w:r>
      <w:r w:rsidRPr="00861FDF">
        <w:rPr>
          <w:rFonts w:ascii="David" w:hAnsi="David"/>
          <w:rtl/>
        </w:rPr>
        <w:t xml:space="preserve">") </w:t>
      </w:r>
      <w:r w:rsidRPr="00861FDF">
        <w:rPr>
          <w:rtl/>
        </w:rPr>
        <w:t>נקבע כי:</w:t>
      </w:r>
      <w:r w:rsidRPr="00861FDF">
        <w:rPr>
          <w:b/>
          <w:bCs/>
          <w:rtl/>
        </w:rPr>
        <w:t xml:space="preserve"> "במעשים מסוג זה גלומה סכנה מופלגת לציבור ולכוחות הביטחון, ועל כן נכון היה להגיב עליהם בענישה קשה כדי להרתיע את הרבים ולהפוך אותם ללא כדאיים".</w:t>
      </w:r>
    </w:p>
    <w:p w14:paraId="1B29C7C8" w14:textId="77777777" w:rsidR="007A0820" w:rsidRPr="00861FDF" w:rsidRDefault="007A0820" w:rsidP="007A0820">
      <w:pPr>
        <w:spacing w:line="360" w:lineRule="auto"/>
        <w:jc w:val="both"/>
        <w:rPr>
          <w:b/>
          <w:bCs/>
          <w:rtl/>
        </w:rPr>
      </w:pPr>
    </w:p>
    <w:p w14:paraId="2CE201B3" w14:textId="77777777" w:rsidR="007A0820" w:rsidRPr="00861FDF" w:rsidRDefault="007A0820" w:rsidP="007A0820">
      <w:pPr>
        <w:spacing w:line="360" w:lineRule="auto"/>
        <w:jc w:val="both"/>
        <w:rPr>
          <w:rFonts w:ascii="David" w:hAnsi="David"/>
          <w:rtl/>
        </w:rPr>
      </w:pPr>
      <w:r w:rsidRPr="00861FDF">
        <w:rPr>
          <w:rtl/>
        </w:rPr>
        <w:t>כמו כן,</w:t>
      </w:r>
      <w:r w:rsidRPr="00861FDF">
        <w:rPr>
          <w:b/>
          <w:bCs/>
          <w:rtl/>
        </w:rPr>
        <w:t xml:space="preserve"> </w:t>
      </w:r>
      <w:r w:rsidRPr="00861FDF">
        <w:rPr>
          <w:rFonts w:ascii="David" w:hAnsi="David"/>
          <w:rtl/>
        </w:rPr>
        <w:t xml:space="preserve">עבירת נשיאת הנשק לכשעצמה, הרימון במקרה זה, מחייבת ענישה מחמירה. </w:t>
      </w:r>
    </w:p>
    <w:p w14:paraId="7567F2C9" w14:textId="77777777" w:rsidR="007A0820" w:rsidRDefault="007A0820" w:rsidP="007A0820">
      <w:pPr>
        <w:spacing w:line="360" w:lineRule="auto"/>
        <w:jc w:val="both"/>
        <w:rPr>
          <w:rFonts w:ascii="Calibri" w:hAnsi="Calibri"/>
          <w:rtl/>
        </w:rPr>
      </w:pPr>
      <w:r w:rsidRPr="00861FDF">
        <w:rPr>
          <w:b/>
          <w:bCs/>
          <w:rtl/>
        </w:rPr>
        <w:t>תיקון 140 ל</w:t>
      </w:r>
      <w:hyperlink r:id="rId20" w:history="1">
        <w:r w:rsidR="00F374A2" w:rsidRPr="00F374A2">
          <w:rPr>
            <w:b/>
            <w:bCs/>
            <w:color w:val="0000FF"/>
            <w:u w:val="single"/>
            <w:rtl/>
          </w:rPr>
          <w:t>חוק העונשין</w:t>
        </w:r>
      </w:hyperlink>
      <w:r w:rsidRPr="00861FDF">
        <w:rPr>
          <w:b/>
          <w:bCs/>
          <w:rtl/>
        </w:rPr>
        <w:t xml:space="preserve">, </w:t>
      </w:r>
      <w:r w:rsidRPr="00861FDF">
        <w:rPr>
          <w:rtl/>
        </w:rPr>
        <w:t>אשר נכנס לתוקף טרם ביצוע העבירות עליהן נותנים הנאשמים את הדין</w:t>
      </w:r>
      <w:r w:rsidRPr="00861FDF">
        <w:rPr>
          <w:b/>
          <w:bCs/>
          <w:rtl/>
        </w:rPr>
        <w:t xml:space="preserve"> </w:t>
      </w:r>
      <w:r w:rsidRPr="00861FDF">
        <w:rPr>
          <w:rFonts w:ascii="Calibri" w:hAnsi="Calibri" w:hint="eastAsia"/>
          <w:rtl/>
        </w:rPr>
        <w:t>קובע</w:t>
      </w:r>
      <w:r w:rsidRPr="00861FDF">
        <w:rPr>
          <w:rFonts w:ascii="Calibri" w:hAnsi="Calibri"/>
          <w:rtl/>
        </w:rPr>
        <w:t xml:space="preserve"> </w:t>
      </w:r>
      <w:r w:rsidRPr="00861FDF">
        <w:rPr>
          <w:rFonts w:ascii="Calibri" w:hAnsi="Calibri" w:hint="eastAsia"/>
          <w:rtl/>
        </w:rPr>
        <w:t>כי</w:t>
      </w:r>
      <w:r w:rsidRPr="00861FDF">
        <w:rPr>
          <w:rFonts w:ascii="Calibri" w:hAnsi="Calibri"/>
          <w:rtl/>
        </w:rPr>
        <w:t xml:space="preserve"> </w:t>
      </w:r>
      <w:r w:rsidRPr="00861FDF">
        <w:rPr>
          <w:rFonts w:ascii="Calibri" w:hAnsi="Calibri" w:hint="eastAsia"/>
          <w:rtl/>
        </w:rPr>
        <w:t>משהורשע</w:t>
      </w:r>
      <w:r w:rsidRPr="00861FDF">
        <w:rPr>
          <w:rFonts w:ascii="Calibri" w:hAnsi="Calibri"/>
          <w:rtl/>
        </w:rPr>
        <w:t xml:space="preserve"> </w:t>
      </w:r>
      <w:r w:rsidRPr="00861FDF">
        <w:rPr>
          <w:rFonts w:ascii="Calibri" w:hAnsi="Calibri" w:hint="eastAsia"/>
          <w:rtl/>
        </w:rPr>
        <w:t>אדם</w:t>
      </w:r>
      <w:r w:rsidRPr="00861FDF">
        <w:rPr>
          <w:rFonts w:ascii="Calibri" w:hAnsi="Calibri"/>
          <w:rtl/>
        </w:rPr>
        <w:t xml:space="preserve">, </w:t>
      </w:r>
      <w:r w:rsidRPr="00861FDF">
        <w:rPr>
          <w:rFonts w:ascii="Calibri" w:hAnsi="Calibri" w:hint="eastAsia"/>
          <w:rtl/>
        </w:rPr>
        <w:t>בין</w:t>
      </w:r>
      <w:r w:rsidRPr="00861FDF">
        <w:rPr>
          <w:rFonts w:ascii="Calibri" w:hAnsi="Calibri"/>
          <w:rtl/>
        </w:rPr>
        <w:t xml:space="preserve"> </w:t>
      </w:r>
      <w:r w:rsidRPr="00861FDF">
        <w:rPr>
          <w:rFonts w:ascii="Calibri" w:hAnsi="Calibri" w:hint="eastAsia"/>
          <w:rtl/>
        </w:rPr>
        <w:t>היתר</w:t>
      </w:r>
      <w:r w:rsidRPr="00861FDF">
        <w:rPr>
          <w:rFonts w:ascii="Calibri" w:hAnsi="Calibri"/>
          <w:rtl/>
        </w:rPr>
        <w:t xml:space="preserve">, </w:t>
      </w:r>
      <w:r w:rsidRPr="00861FDF">
        <w:rPr>
          <w:rFonts w:ascii="Calibri" w:hAnsi="Calibri" w:hint="eastAsia"/>
          <w:rtl/>
        </w:rPr>
        <w:t>בגין</w:t>
      </w:r>
      <w:r w:rsidRPr="00861FDF">
        <w:rPr>
          <w:rFonts w:ascii="Calibri" w:hAnsi="Calibri"/>
          <w:rtl/>
        </w:rPr>
        <w:t xml:space="preserve"> </w:t>
      </w:r>
      <w:r w:rsidRPr="00861FDF">
        <w:rPr>
          <w:rFonts w:ascii="Calibri" w:hAnsi="Calibri" w:hint="eastAsia"/>
          <w:rtl/>
        </w:rPr>
        <w:t>ביצוע</w:t>
      </w:r>
      <w:r w:rsidRPr="00861FDF">
        <w:rPr>
          <w:rFonts w:ascii="Calibri" w:hAnsi="Calibri"/>
          <w:rtl/>
        </w:rPr>
        <w:t xml:space="preserve"> </w:t>
      </w:r>
      <w:r w:rsidRPr="00861FDF">
        <w:rPr>
          <w:rFonts w:ascii="Calibri" w:hAnsi="Calibri" w:hint="eastAsia"/>
          <w:rtl/>
        </w:rPr>
        <w:t>עבירת</w:t>
      </w:r>
      <w:r w:rsidRPr="00861FDF">
        <w:rPr>
          <w:rFonts w:ascii="Calibri" w:hAnsi="Calibri"/>
          <w:rtl/>
        </w:rPr>
        <w:t xml:space="preserve"> </w:t>
      </w:r>
      <w:r w:rsidRPr="00861FDF">
        <w:rPr>
          <w:rFonts w:ascii="Calibri" w:hAnsi="Calibri" w:hint="eastAsia"/>
          <w:rtl/>
        </w:rPr>
        <w:t>נשיאת</w:t>
      </w:r>
      <w:r w:rsidRPr="00861FDF">
        <w:rPr>
          <w:rFonts w:ascii="Calibri" w:hAnsi="Calibri"/>
          <w:rtl/>
        </w:rPr>
        <w:t xml:space="preserve"> </w:t>
      </w:r>
      <w:r w:rsidRPr="00861FDF">
        <w:rPr>
          <w:rFonts w:ascii="Calibri" w:hAnsi="Calibri" w:hint="eastAsia"/>
          <w:rtl/>
        </w:rPr>
        <w:t>הנשק</w:t>
      </w:r>
      <w:r w:rsidRPr="00861FDF">
        <w:rPr>
          <w:rFonts w:ascii="Calibri" w:hAnsi="Calibri"/>
          <w:rtl/>
        </w:rPr>
        <w:t xml:space="preserve"> </w:t>
      </w:r>
      <w:r w:rsidRPr="00861FDF">
        <w:rPr>
          <w:rFonts w:ascii="Calibri" w:hAnsi="Calibri" w:hint="eastAsia"/>
          <w:rtl/>
        </w:rPr>
        <w:t>לפי</w:t>
      </w:r>
      <w:r w:rsidRPr="00861FDF">
        <w:rPr>
          <w:rFonts w:ascii="Calibri" w:hAnsi="Calibri"/>
          <w:rtl/>
        </w:rPr>
        <w:t xml:space="preserve"> </w:t>
      </w:r>
      <w:hyperlink r:id="rId21" w:history="1">
        <w:r w:rsidR="00B3681C" w:rsidRPr="00B3681C">
          <w:rPr>
            <w:rStyle w:val="Hyperlink"/>
            <w:rFonts w:ascii="Calibri" w:hAnsi="Calibri" w:hint="eastAsia"/>
            <w:b/>
            <w:bCs/>
            <w:rtl/>
          </w:rPr>
          <w:t>סעיף</w:t>
        </w:r>
        <w:r w:rsidR="00B3681C" w:rsidRPr="00B3681C">
          <w:rPr>
            <w:rStyle w:val="Hyperlink"/>
            <w:rFonts w:ascii="Calibri" w:hAnsi="Calibri"/>
            <w:b/>
            <w:bCs/>
            <w:rtl/>
          </w:rPr>
          <w:t xml:space="preserve"> 144(</w:t>
        </w:r>
        <w:r w:rsidR="00B3681C" w:rsidRPr="00B3681C">
          <w:rPr>
            <w:rStyle w:val="Hyperlink"/>
            <w:rFonts w:ascii="Calibri" w:hAnsi="Calibri" w:hint="eastAsia"/>
            <w:b/>
            <w:bCs/>
            <w:rtl/>
          </w:rPr>
          <w:t>ב</w:t>
        </w:r>
        <w:r w:rsidR="00B3681C" w:rsidRPr="00B3681C">
          <w:rPr>
            <w:rStyle w:val="Hyperlink"/>
            <w:rFonts w:ascii="Calibri" w:hAnsi="Calibri"/>
            <w:b/>
            <w:bCs/>
            <w:rtl/>
          </w:rPr>
          <w:t>)</w:t>
        </w:r>
      </w:hyperlink>
      <w:r w:rsidRPr="00861FDF">
        <w:rPr>
          <w:rFonts w:ascii="Calibri" w:hAnsi="Calibri"/>
          <w:b/>
          <w:bCs/>
          <w:rtl/>
        </w:rPr>
        <w:t xml:space="preserve"> </w:t>
      </w:r>
      <w:r w:rsidRPr="00861FDF">
        <w:rPr>
          <w:rFonts w:ascii="Calibri" w:hAnsi="Calibri" w:hint="eastAsia"/>
          <w:b/>
          <w:bCs/>
          <w:rtl/>
        </w:rPr>
        <w:t>רישא</w:t>
      </w:r>
      <w:r w:rsidRPr="00861FDF">
        <w:rPr>
          <w:rFonts w:ascii="Calibri" w:hAnsi="Calibri"/>
          <w:rtl/>
        </w:rPr>
        <w:t xml:space="preserve">, </w:t>
      </w:r>
      <w:r w:rsidRPr="00861FDF">
        <w:rPr>
          <w:rFonts w:ascii="Calibri" w:hAnsi="Calibri" w:hint="eastAsia"/>
          <w:rtl/>
        </w:rPr>
        <w:t>כמו</w:t>
      </w:r>
      <w:r w:rsidRPr="00861FDF">
        <w:rPr>
          <w:rFonts w:ascii="Calibri" w:hAnsi="Calibri"/>
          <w:rtl/>
        </w:rPr>
        <w:t xml:space="preserve"> </w:t>
      </w:r>
      <w:r w:rsidRPr="00861FDF">
        <w:rPr>
          <w:rFonts w:ascii="Calibri" w:hAnsi="Calibri" w:hint="eastAsia"/>
          <w:rtl/>
        </w:rPr>
        <w:t>במקרה</w:t>
      </w:r>
      <w:r w:rsidRPr="00861FDF">
        <w:rPr>
          <w:rFonts w:ascii="Calibri" w:hAnsi="Calibri"/>
          <w:rtl/>
        </w:rPr>
        <w:t xml:space="preserve"> </w:t>
      </w:r>
      <w:r w:rsidRPr="00861FDF">
        <w:rPr>
          <w:rFonts w:ascii="Calibri" w:hAnsi="Calibri" w:hint="eastAsia"/>
          <w:rtl/>
        </w:rPr>
        <w:t>זה</w:t>
      </w:r>
      <w:r w:rsidRPr="00861FDF">
        <w:rPr>
          <w:rFonts w:ascii="Calibri" w:hAnsi="Calibri"/>
          <w:rtl/>
        </w:rPr>
        <w:t xml:space="preserve">, </w:t>
      </w:r>
      <w:r w:rsidRPr="00861FDF">
        <w:rPr>
          <w:rFonts w:ascii="Calibri" w:hAnsi="Calibri"/>
          <w:b/>
          <w:bCs/>
          <w:rtl/>
        </w:rPr>
        <w:t>"</w:t>
      </w:r>
      <w:r w:rsidRPr="00861FDF">
        <w:rPr>
          <w:b/>
          <w:bCs/>
          <w:noProof/>
          <w:rtl/>
          <w:lang w:eastAsia="he-IL"/>
        </w:rPr>
        <w:t>לא יפחת עונשו מרבע העונש המרבי שנקבע לאותה עבירה, אלא אם כן החליט בית המשפט, מטעמים מיוחדים שיירשמו, להקל בעונשו; עונש מאסר לפי סעיף קטן זה לא יהיה, בהעדר טעמים מיוחדים, כולו על-תנאי"</w:t>
      </w:r>
      <w:r w:rsidRPr="00861FDF">
        <w:rPr>
          <w:noProof/>
          <w:rtl/>
          <w:lang w:eastAsia="he-IL"/>
        </w:rPr>
        <w:t>.</w:t>
      </w:r>
      <w:r w:rsidRPr="00861FDF">
        <w:rPr>
          <w:rFonts w:ascii="Calibri" w:hAnsi="Calibri"/>
          <w:rtl/>
        </w:rPr>
        <w:t xml:space="preserve"> </w:t>
      </w:r>
      <w:r w:rsidRPr="00861FDF">
        <w:rPr>
          <w:rFonts w:ascii="Calibri" w:hAnsi="Calibri" w:hint="eastAsia"/>
          <w:rtl/>
        </w:rPr>
        <w:t>בהתאם</w:t>
      </w:r>
      <w:r w:rsidRPr="00861FDF">
        <w:rPr>
          <w:rFonts w:ascii="Calibri" w:hAnsi="Calibri"/>
          <w:rtl/>
        </w:rPr>
        <w:t xml:space="preserve"> </w:t>
      </w:r>
      <w:hyperlink r:id="rId22" w:history="1">
        <w:r w:rsidR="00B3681C" w:rsidRPr="00B3681C">
          <w:rPr>
            <w:rStyle w:val="Hyperlink"/>
            <w:rFonts w:ascii="Calibri" w:hAnsi="Calibri" w:hint="eastAsia"/>
            <w:b/>
            <w:bCs/>
            <w:rtl/>
          </w:rPr>
          <w:t>לסעיף</w:t>
        </w:r>
        <w:r w:rsidR="00B3681C" w:rsidRPr="00B3681C">
          <w:rPr>
            <w:rStyle w:val="Hyperlink"/>
            <w:rFonts w:ascii="Calibri" w:hAnsi="Calibri"/>
            <w:b/>
            <w:bCs/>
            <w:rtl/>
          </w:rPr>
          <w:t xml:space="preserve"> 144(</w:t>
        </w:r>
        <w:r w:rsidR="00B3681C" w:rsidRPr="00B3681C">
          <w:rPr>
            <w:rStyle w:val="Hyperlink"/>
            <w:rFonts w:ascii="Calibri" w:hAnsi="Calibri" w:hint="eastAsia"/>
            <w:b/>
            <w:bCs/>
            <w:rtl/>
          </w:rPr>
          <w:t>ב</w:t>
        </w:r>
        <w:r w:rsidR="00B3681C" w:rsidRPr="00B3681C">
          <w:rPr>
            <w:rStyle w:val="Hyperlink"/>
            <w:rFonts w:ascii="Calibri" w:hAnsi="Calibri"/>
            <w:b/>
            <w:bCs/>
            <w:rtl/>
          </w:rPr>
          <w:t>)</w:t>
        </w:r>
      </w:hyperlink>
      <w:r w:rsidRPr="00861FDF">
        <w:rPr>
          <w:rFonts w:ascii="Calibri" w:hAnsi="Calibri"/>
          <w:b/>
          <w:bCs/>
          <w:rtl/>
        </w:rPr>
        <w:t xml:space="preserve"> </w:t>
      </w:r>
      <w:r w:rsidRPr="00861FDF">
        <w:rPr>
          <w:rFonts w:ascii="Calibri" w:hAnsi="Calibri" w:hint="eastAsia"/>
          <w:b/>
          <w:bCs/>
          <w:rtl/>
        </w:rPr>
        <w:t>רישא</w:t>
      </w:r>
      <w:r w:rsidRPr="00861FDF">
        <w:rPr>
          <w:rFonts w:ascii="Calibri" w:hAnsi="Calibri"/>
          <w:rtl/>
        </w:rPr>
        <w:t xml:space="preserve"> – </w:t>
      </w:r>
      <w:r w:rsidRPr="00861FDF">
        <w:rPr>
          <w:rFonts w:ascii="Calibri" w:hAnsi="Calibri" w:hint="eastAsia"/>
          <w:rtl/>
        </w:rPr>
        <w:t>העונש</w:t>
      </w:r>
      <w:r w:rsidRPr="00861FDF">
        <w:rPr>
          <w:rFonts w:ascii="Calibri" w:hAnsi="Calibri"/>
          <w:rtl/>
        </w:rPr>
        <w:t xml:space="preserve"> </w:t>
      </w:r>
      <w:r w:rsidRPr="00861FDF">
        <w:rPr>
          <w:rFonts w:ascii="Calibri" w:hAnsi="Calibri" w:hint="eastAsia"/>
          <w:rtl/>
        </w:rPr>
        <w:t>המרבי</w:t>
      </w:r>
      <w:r w:rsidRPr="00861FDF">
        <w:rPr>
          <w:rFonts w:ascii="Calibri" w:hAnsi="Calibri"/>
          <w:rtl/>
        </w:rPr>
        <w:t xml:space="preserve"> </w:t>
      </w:r>
      <w:r w:rsidRPr="00861FDF">
        <w:rPr>
          <w:rFonts w:ascii="Calibri" w:hAnsi="Calibri" w:hint="eastAsia"/>
          <w:rtl/>
        </w:rPr>
        <w:t>אשר</w:t>
      </w:r>
      <w:r w:rsidRPr="00861FDF">
        <w:rPr>
          <w:rFonts w:ascii="Calibri" w:hAnsi="Calibri"/>
          <w:rtl/>
        </w:rPr>
        <w:t xml:space="preserve"> </w:t>
      </w:r>
      <w:r w:rsidRPr="00861FDF">
        <w:rPr>
          <w:rFonts w:ascii="Calibri" w:hAnsi="Calibri" w:hint="eastAsia"/>
          <w:rtl/>
        </w:rPr>
        <w:t>נקבע</w:t>
      </w:r>
      <w:r w:rsidRPr="00861FDF">
        <w:rPr>
          <w:rFonts w:ascii="Calibri" w:hAnsi="Calibri"/>
          <w:rtl/>
        </w:rPr>
        <w:t xml:space="preserve"> </w:t>
      </w:r>
      <w:r w:rsidRPr="00861FDF">
        <w:rPr>
          <w:rFonts w:ascii="Calibri" w:hAnsi="Calibri" w:hint="eastAsia"/>
          <w:rtl/>
        </w:rPr>
        <w:t>לצד</w:t>
      </w:r>
      <w:r w:rsidRPr="00861FDF">
        <w:rPr>
          <w:rFonts w:ascii="Calibri" w:hAnsi="Calibri"/>
          <w:rtl/>
        </w:rPr>
        <w:t xml:space="preserve"> </w:t>
      </w:r>
      <w:r w:rsidRPr="00861FDF">
        <w:rPr>
          <w:rFonts w:ascii="Calibri" w:hAnsi="Calibri" w:hint="eastAsia"/>
          <w:rtl/>
        </w:rPr>
        <w:t>ביצוע</w:t>
      </w:r>
      <w:r w:rsidRPr="00861FDF">
        <w:rPr>
          <w:rFonts w:ascii="Calibri" w:hAnsi="Calibri"/>
          <w:rtl/>
        </w:rPr>
        <w:t xml:space="preserve"> </w:t>
      </w:r>
      <w:r w:rsidRPr="00861FDF">
        <w:rPr>
          <w:rFonts w:ascii="Calibri" w:hAnsi="Calibri" w:hint="eastAsia"/>
          <w:rtl/>
        </w:rPr>
        <w:t>העבירה</w:t>
      </w:r>
      <w:r w:rsidRPr="00861FDF">
        <w:rPr>
          <w:rFonts w:ascii="Calibri" w:hAnsi="Calibri"/>
          <w:rtl/>
        </w:rPr>
        <w:t xml:space="preserve"> </w:t>
      </w:r>
      <w:r w:rsidRPr="00861FDF">
        <w:rPr>
          <w:rFonts w:ascii="Calibri" w:hAnsi="Calibri" w:hint="eastAsia"/>
          <w:rtl/>
        </w:rPr>
        <w:t>עומד</w:t>
      </w:r>
      <w:r w:rsidRPr="00861FDF">
        <w:rPr>
          <w:rFonts w:ascii="Calibri" w:hAnsi="Calibri"/>
          <w:rtl/>
        </w:rPr>
        <w:t xml:space="preserve"> </w:t>
      </w:r>
      <w:r w:rsidRPr="00861FDF">
        <w:rPr>
          <w:rFonts w:ascii="Calibri" w:hAnsi="Calibri" w:hint="eastAsia"/>
          <w:rtl/>
        </w:rPr>
        <w:t>על</w:t>
      </w:r>
      <w:r w:rsidRPr="00861FDF">
        <w:rPr>
          <w:rFonts w:ascii="Calibri" w:hAnsi="Calibri"/>
          <w:rtl/>
        </w:rPr>
        <w:t xml:space="preserve"> 10 </w:t>
      </w:r>
      <w:r w:rsidRPr="00861FDF">
        <w:rPr>
          <w:rFonts w:ascii="Calibri" w:hAnsi="Calibri" w:hint="eastAsia"/>
          <w:rtl/>
        </w:rPr>
        <w:t>שנות</w:t>
      </w:r>
      <w:r w:rsidRPr="00861FDF">
        <w:rPr>
          <w:rFonts w:ascii="Calibri" w:hAnsi="Calibri"/>
          <w:rtl/>
        </w:rPr>
        <w:t xml:space="preserve"> </w:t>
      </w:r>
      <w:r w:rsidRPr="00861FDF">
        <w:rPr>
          <w:rFonts w:ascii="Calibri" w:hAnsi="Calibri" w:hint="eastAsia"/>
          <w:rtl/>
        </w:rPr>
        <w:t>מאסר</w:t>
      </w:r>
      <w:r w:rsidRPr="00861FDF">
        <w:rPr>
          <w:rFonts w:ascii="Calibri" w:hAnsi="Calibri"/>
          <w:rtl/>
        </w:rPr>
        <w:t xml:space="preserve">. </w:t>
      </w:r>
    </w:p>
    <w:p w14:paraId="2FDA0327" w14:textId="77777777" w:rsidR="007A0820" w:rsidRDefault="007A0820" w:rsidP="007A0820">
      <w:pPr>
        <w:spacing w:line="360" w:lineRule="auto"/>
        <w:jc w:val="both"/>
        <w:rPr>
          <w:rFonts w:ascii="Calibri" w:hAnsi="Calibri"/>
          <w:rtl/>
        </w:rPr>
      </w:pPr>
      <w:r>
        <w:rPr>
          <w:rFonts w:ascii="Calibri" w:hAnsi="Calibri" w:hint="cs"/>
          <w:rtl/>
        </w:rPr>
        <w:t xml:space="preserve">בקביעת עונש מינימום לעבירה זו, ביקש המחוקק להביע דעתו באשר לצורך בהחמרה בענישה בעבירות מסוג זה. </w:t>
      </w:r>
    </w:p>
    <w:p w14:paraId="59B7CC01" w14:textId="77777777" w:rsidR="007A0820" w:rsidRPr="00CE5508" w:rsidRDefault="007A0820" w:rsidP="007A0820">
      <w:pPr>
        <w:spacing w:line="360" w:lineRule="auto"/>
        <w:jc w:val="both"/>
        <w:rPr>
          <w:rFonts w:ascii="Calibri" w:hAnsi="Calibri"/>
          <w:rtl/>
        </w:rPr>
      </w:pPr>
      <w:r>
        <w:rPr>
          <w:rFonts w:ascii="Calibri" w:hAnsi="Calibri" w:hint="cs"/>
          <w:rtl/>
        </w:rPr>
        <w:t xml:space="preserve">עיון בדברי ההסבר להצעת חוק זו מלמד כי הרקע לקביעת עונש המינימום נבע מגידול משמעותי בעבירות החזקת נשק ומספר העבירות הקשורות לעבירה זו. כך לדוגמה בשנת 2020 הגיעו מספר </w:t>
      </w:r>
      <w:r w:rsidRPr="00CE5508">
        <w:rPr>
          <w:rFonts w:ascii="Calibri" w:hAnsi="Calibri" w:hint="cs"/>
          <w:rtl/>
        </w:rPr>
        <w:t xml:space="preserve">אירועי הירי לשיא של 10,874 אירועים.  </w:t>
      </w:r>
    </w:p>
    <w:p w14:paraId="7B1A1E39" w14:textId="77777777" w:rsidR="007A0820" w:rsidRDefault="007A0820" w:rsidP="007A0820">
      <w:pPr>
        <w:spacing w:line="360" w:lineRule="auto"/>
        <w:jc w:val="both"/>
        <w:rPr>
          <w:rFonts w:ascii="Calibri" w:hAnsi="Calibri"/>
          <w:rtl/>
        </w:rPr>
      </w:pPr>
      <w:r w:rsidRPr="00CE5508">
        <w:rPr>
          <w:rFonts w:ascii="Calibri" w:hAnsi="Calibri" w:hint="cs"/>
          <w:rtl/>
        </w:rPr>
        <w:t>לאור העלייה במספר עבירות הנשק שלא כדין וכתוצאה מכך לעליה במספר אירועי הירי במדינה, ביקש המחוקק להביא להחמרה בענישה על ידי קביעת עונש מינימו</w:t>
      </w:r>
      <w:r w:rsidRPr="00CE5508">
        <w:rPr>
          <w:rFonts w:ascii="Calibri" w:hAnsi="Calibri" w:hint="eastAsia"/>
          <w:rtl/>
        </w:rPr>
        <w:t>ם</w:t>
      </w:r>
      <w:r w:rsidRPr="00CE5508">
        <w:rPr>
          <w:rFonts w:ascii="Calibri" w:hAnsi="Calibri" w:hint="cs"/>
          <w:rtl/>
        </w:rPr>
        <w:t xml:space="preserve"> לעבירה, הגם שמדובר בכלי חריג</w:t>
      </w:r>
      <w:r>
        <w:rPr>
          <w:rFonts w:ascii="Calibri" w:hAnsi="Calibri" w:hint="cs"/>
          <w:rtl/>
        </w:rPr>
        <w:t xml:space="preserve"> ויוצא דופן. </w:t>
      </w:r>
    </w:p>
    <w:p w14:paraId="34066512" w14:textId="77777777" w:rsidR="007A0820" w:rsidRPr="00324D12" w:rsidRDefault="007A0820" w:rsidP="007A0820">
      <w:pPr>
        <w:spacing w:line="360" w:lineRule="auto"/>
        <w:jc w:val="both"/>
        <w:rPr>
          <w:rFonts w:ascii="Calibri" w:hAnsi="Calibri"/>
          <w:b/>
          <w:bCs/>
          <w:rtl/>
        </w:rPr>
      </w:pPr>
      <w:r>
        <w:rPr>
          <w:rFonts w:ascii="Calibri" w:hAnsi="Calibri" w:hint="cs"/>
          <w:rtl/>
        </w:rPr>
        <w:t>ראו: דברי ההסבר ל</w:t>
      </w:r>
      <w:r w:rsidRPr="00324D12">
        <w:rPr>
          <w:rFonts w:ascii="Calibri" w:hAnsi="Calibri" w:hint="cs"/>
          <w:b/>
          <w:bCs/>
          <w:rtl/>
        </w:rPr>
        <w:t>הצ"ח הכנסת, 872, מיום 03</w:t>
      </w:r>
      <w:r>
        <w:rPr>
          <w:rFonts w:ascii="Calibri" w:hAnsi="Calibri" w:hint="cs"/>
          <w:b/>
          <w:bCs/>
          <w:rtl/>
        </w:rPr>
        <w:t>/08/2021</w:t>
      </w:r>
      <w:r w:rsidRPr="00324D12">
        <w:rPr>
          <w:rFonts w:ascii="Calibri" w:hAnsi="Calibri" w:hint="cs"/>
          <w:b/>
          <w:bCs/>
          <w:rtl/>
        </w:rPr>
        <w:t xml:space="preserve">. </w:t>
      </w:r>
    </w:p>
    <w:p w14:paraId="746040D2" w14:textId="77777777" w:rsidR="007A0820" w:rsidRPr="00861FDF" w:rsidRDefault="007A0820" w:rsidP="007A0820">
      <w:pPr>
        <w:spacing w:line="360" w:lineRule="auto"/>
        <w:jc w:val="both"/>
        <w:rPr>
          <w:rFonts w:ascii="Calibri" w:hAnsi="Calibri"/>
          <w:rtl/>
        </w:rPr>
      </w:pPr>
    </w:p>
    <w:p w14:paraId="2BA3BDF6" w14:textId="77777777" w:rsidR="007A0820" w:rsidRPr="00861FDF" w:rsidRDefault="007A0820" w:rsidP="007A0820">
      <w:pPr>
        <w:spacing w:line="360" w:lineRule="auto"/>
        <w:jc w:val="both"/>
        <w:rPr>
          <w:rFonts w:ascii="David" w:hAnsi="David"/>
          <w:rtl/>
        </w:rPr>
      </w:pPr>
      <w:r w:rsidRPr="00861FDF">
        <w:rPr>
          <w:rFonts w:ascii="Calibri" w:hAnsi="Calibri" w:hint="eastAsia"/>
          <w:rtl/>
        </w:rPr>
        <w:t>מעבר</w:t>
      </w:r>
      <w:r w:rsidRPr="00861FDF">
        <w:rPr>
          <w:rFonts w:ascii="Calibri" w:hAnsi="Calibri"/>
          <w:rtl/>
        </w:rPr>
        <w:t xml:space="preserve"> </w:t>
      </w:r>
      <w:r w:rsidRPr="00861FDF">
        <w:rPr>
          <w:rFonts w:ascii="Calibri" w:hAnsi="Calibri" w:hint="eastAsia"/>
          <w:rtl/>
        </w:rPr>
        <w:t>לאמור</w:t>
      </w:r>
      <w:r w:rsidRPr="00861FDF">
        <w:rPr>
          <w:rFonts w:ascii="Calibri" w:hAnsi="Calibri"/>
          <w:rtl/>
        </w:rPr>
        <w:t xml:space="preserve"> </w:t>
      </w:r>
      <w:r w:rsidRPr="00861FDF">
        <w:rPr>
          <w:rFonts w:ascii="Calibri" w:hAnsi="Calibri" w:hint="eastAsia"/>
          <w:rtl/>
        </w:rPr>
        <w:t>יש</w:t>
      </w:r>
      <w:r w:rsidRPr="00861FDF">
        <w:rPr>
          <w:rFonts w:ascii="Calibri" w:hAnsi="Calibri"/>
          <w:rtl/>
        </w:rPr>
        <w:t xml:space="preserve"> </w:t>
      </w:r>
      <w:r w:rsidRPr="00861FDF">
        <w:rPr>
          <w:rFonts w:ascii="Calibri" w:hAnsi="Calibri" w:hint="eastAsia"/>
          <w:rtl/>
        </w:rPr>
        <w:t>לציין</w:t>
      </w:r>
      <w:r w:rsidRPr="00861FDF">
        <w:rPr>
          <w:rFonts w:ascii="Calibri" w:hAnsi="Calibri"/>
          <w:rtl/>
        </w:rPr>
        <w:t xml:space="preserve"> </w:t>
      </w:r>
      <w:r w:rsidRPr="00861FDF">
        <w:rPr>
          <w:rFonts w:ascii="Calibri" w:hAnsi="Calibri" w:hint="eastAsia"/>
          <w:rtl/>
        </w:rPr>
        <w:t>כי</w:t>
      </w:r>
      <w:r w:rsidRPr="00861FDF">
        <w:rPr>
          <w:rFonts w:ascii="Calibri" w:hAnsi="Calibri"/>
          <w:rtl/>
        </w:rPr>
        <w:t xml:space="preserve"> </w:t>
      </w:r>
      <w:r w:rsidRPr="00861FDF">
        <w:rPr>
          <w:rFonts w:ascii="David" w:hAnsi="David"/>
          <w:rtl/>
        </w:rPr>
        <w:t xml:space="preserve">על אף שתיקון זה נכנס לתוקף אך לאחרונה, מגמת ההחמרה והצורך בה נקבע כבר לפני שנים רבות. </w:t>
      </w:r>
    </w:p>
    <w:p w14:paraId="43BB6201" w14:textId="77777777" w:rsidR="007A0820" w:rsidRDefault="007A0820" w:rsidP="007A0820">
      <w:pPr>
        <w:spacing w:line="360" w:lineRule="auto"/>
        <w:jc w:val="both"/>
        <w:rPr>
          <w:rFonts w:ascii="Calibri" w:hAnsi="Calibri"/>
          <w:rtl/>
        </w:rPr>
      </w:pPr>
      <w:r w:rsidRPr="00861FDF">
        <w:rPr>
          <w:rFonts w:ascii="David" w:hAnsi="David"/>
          <w:rtl/>
        </w:rPr>
        <w:t>כך למשל ב</w:t>
      </w:r>
      <w:r w:rsidRPr="00861FDF">
        <w:rPr>
          <w:rFonts w:ascii="David" w:hAnsi="David"/>
          <w:b/>
          <w:bCs/>
          <w:rtl/>
        </w:rPr>
        <w:t xml:space="preserve">ע"פ </w:t>
      </w:r>
      <w:hyperlink r:id="rId23" w:history="1">
        <w:r w:rsidR="00723B66" w:rsidRPr="00723B66">
          <w:rPr>
            <w:rFonts w:ascii="David" w:hAnsi="David"/>
            <w:b/>
            <w:bCs/>
            <w:color w:val="0000FF"/>
            <w:u w:val="single"/>
            <w:rtl/>
          </w:rPr>
          <w:t xml:space="preserve">1332/04 </w:t>
        </w:r>
      </w:hyperlink>
      <w:r w:rsidRPr="00861FDF">
        <w:rPr>
          <w:rFonts w:ascii="David" w:hAnsi="David"/>
          <w:b/>
          <w:bCs/>
          <w:rtl/>
        </w:rPr>
        <w:t xml:space="preserve"> מדינת ישראל נגד פס ואח' (19/04/04) </w:t>
      </w:r>
      <w:r w:rsidRPr="00861FDF">
        <w:rPr>
          <w:rFonts w:ascii="David" w:hAnsi="David"/>
          <w:rtl/>
        </w:rPr>
        <w:t xml:space="preserve">נקבע כי: </w:t>
      </w:r>
      <w:r w:rsidRPr="00861FDF">
        <w:rPr>
          <w:rFonts w:ascii="David" w:hAnsi="David"/>
          <w:b/>
          <w:bCs/>
          <w:rtl/>
        </w:rPr>
        <w:t>"</w:t>
      </w:r>
      <w:r w:rsidRPr="00861FDF">
        <w:rPr>
          <w:rFonts w:ascii="Calibri" w:hAnsi="Calibri" w:hint="eastAsia"/>
          <w:b/>
          <w:bCs/>
          <w:rtl/>
        </w:rPr>
        <w:t>גם</w:t>
      </w:r>
      <w:r w:rsidRPr="00861FDF">
        <w:rPr>
          <w:rFonts w:ascii="Calibri" w:hAnsi="Calibri"/>
          <w:b/>
          <w:bCs/>
          <w:rtl/>
        </w:rPr>
        <w:t xml:space="preserve"> </w:t>
      </w:r>
      <w:r w:rsidRPr="00861FDF">
        <w:rPr>
          <w:rFonts w:ascii="Calibri" w:hAnsi="Calibri" w:hint="eastAsia"/>
          <w:b/>
          <w:bCs/>
          <w:rtl/>
        </w:rPr>
        <w:t>אם</w:t>
      </w:r>
      <w:r w:rsidRPr="00861FDF">
        <w:rPr>
          <w:rFonts w:ascii="Calibri" w:hAnsi="Calibri"/>
          <w:b/>
          <w:bCs/>
          <w:rtl/>
        </w:rPr>
        <w:t xml:space="preserve"> </w:t>
      </w:r>
      <w:r w:rsidRPr="00861FDF">
        <w:rPr>
          <w:rFonts w:ascii="Calibri" w:hAnsi="Calibri" w:hint="eastAsia"/>
          <w:b/>
          <w:bCs/>
          <w:rtl/>
        </w:rPr>
        <w:t>נכון</w:t>
      </w:r>
      <w:r w:rsidRPr="00861FDF">
        <w:rPr>
          <w:rFonts w:ascii="Calibri" w:hAnsi="Calibri"/>
          <w:b/>
          <w:bCs/>
          <w:rtl/>
        </w:rPr>
        <w:t xml:space="preserve"> </w:t>
      </w:r>
      <w:r w:rsidRPr="00861FDF">
        <w:rPr>
          <w:rFonts w:ascii="Calibri" w:hAnsi="Calibri" w:hint="eastAsia"/>
          <w:b/>
          <w:bCs/>
          <w:rtl/>
        </w:rPr>
        <w:t>הדבר</w:t>
      </w:r>
      <w:r w:rsidRPr="00861FDF">
        <w:rPr>
          <w:rFonts w:ascii="Calibri" w:hAnsi="Calibri"/>
          <w:b/>
          <w:bCs/>
          <w:rtl/>
        </w:rPr>
        <w:t xml:space="preserve"> </w:t>
      </w:r>
      <w:r w:rsidRPr="00861FDF">
        <w:rPr>
          <w:rFonts w:ascii="Calibri" w:hAnsi="Calibri" w:hint="eastAsia"/>
          <w:b/>
          <w:bCs/>
          <w:rtl/>
        </w:rPr>
        <w:t>כי</w:t>
      </w:r>
      <w:r w:rsidRPr="00861FDF">
        <w:rPr>
          <w:rFonts w:ascii="Calibri" w:hAnsi="Calibri"/>
          <w:b/>
          <w:bCs/>
          <w:rtl/>
        </w:rPr>
        <w:t xml:space="preserve"> </w:t>
      </w:r>
      <w:r w:rsidRPr="00861FDF">
        <w:rPr>
          <w:rFonts w:ascii="Calibri" w:hAnsi="Calibri" w:hint="eastAsia"/>
          <w:b/>
          <w:bCs/>
          <w:rtl/>
        </w:rPr>
        <w:t>עד</w:t>
      </w:r>
      <w:r w:rsidRPr="00861FDF">
        <w:rPr>
          <w:rFonts w:ascii="Calibri" w:hAnsi="Calibri"/>
          <w:b/>
          <w:bCs/>
          <w:rtl/>
        </w:rPr>
        <w:t xml:space="preserve"> </w:t>
      </w:r>
      <w:r w:rsidRPr="00861FDF">
        <w:rPr>
          <w:rFonts w:ascii="Calibri" w:hAnsi="Calibri" w:hint="eastAsia"/>
          <w:b/>
          <w:bCs/>
          <w:rtl/>
        </w:rPr>
        <w:t>כה</w:t>
      </w:r>
      <w:r w:rsidRPr="00861FDF">
        <w:rPr>
          <w:rFonts w:ascii="Calibri" w:hAnsi="Calibri"/>
          <w:b/>
          <w:bCs/>
          <w:rtl/>
        </w:rPr>
        <w:t xml:space="preserve"> </w:t>
      </w:r>
      <w:r w:rsidRPr="00861FDF">
        <w:rPr>
          <w:rFonts w:ascii="Calibri" w:hAnsi="Calibri" w:hint="eastAsia"/>
          <w:b/>
          <w:bCs/>
          <w:rtl/>
        </w:rPr>
        <w:t>רמת</w:t>
      </w:r>
      <w:r w:rsidRPr="00861FDF">
        <w:rPr>
          <w:rFonts w:ascii="Calibri" w:hAnsi="Calibri"/>
          <w:b/>
          <w:bCs/>
          <w:rtl/>
        </w:rPr>
        <w:t xml:space="preserve"> </w:t>
      </w:r>
      <w:r w:rsidRPr="00861FDF">
        <w:rPr>
          <w:rFonts w:ascii="Calibri" w:hAnsi="Calibri" w:hint="eastAsia"/>
          <w:b/>
          <w:bCs/>
          <w:rtl/>
        </w:rPr>
        <w:t>הענישה</w:t>
      </w:r>
      <w:r w:rsidRPr="00861FDF">
        <w:rPr>
          <w:rFonts w:ascii="Calibri" w:hAnsi="Calibri"/>
          <w:b/>
          <w:bCs/>
          <w:rtl/>
        </w:rPr>
        <w:t xml:space="preserve"> </w:t>
      </w:r>
      <w:r w:rsidRPr="00861FDF">
        <w:rPr>
          <w:rFonts w:ascii="Calibri" w:hAnsi="Calibri" w:hint="eastAsia"/>
          <w:b/>
          <w:bCs/>
          <w:rtl/>
        </w:rPr>
        <w:t>בעבירות</w:t>
      </w:r>
      <w:r w:rsidRPr="00861FDF">
        <w:rPr>
          <w:rFonts w:ascii="Calibri" w:hAnsi="Calibri"/>
          <w:b/>
          <w:bCs/>
          <w:rtl/>
        </w:rPr>
        <w:t xml:space="preserve"> </w:t>
      </w:r>
      <w:r w:rsidRPr="00861FDF">
        <w:rPr>
          <w:rFonts w:ascii="Calibri" w:hAnsi="Calibri" w:hint="eastAsia"/>
          <w:b/>
          <w:bCs/>
          <w:rtl/>
        </w:rPr>
        <w:t>של</w:t>
      </w:r>
      <w:r w:rsidRPr="00861FDF">
        <w:rPr>
          <w:rFonts w:ascii="Calibri" w:hAnsi="Calibri"/>
          <w:b/>
          <w:bCs/>
          <w:rtl/>
        </w:rPr>
        <w:t xml:space="preserve"> </w:t>
      </w:r>
      <w:r w:rsidRPr="00861FDF">
        <w:rPr>
          <w:rFonts w:ascii="Calibri" w:hAnsi="Calibri" w:hint="eastAsia"/>
          <w:b/>
          <w:bCs/>
          <w:rtl/>
        </w:rPr>
        <w:t>החזקת</w:t>
      </w:r>
      <w:r w:rsidRPr="00861FDF">
        <w:rPr>
          <w:rFonts w:ascii="Calibri" w:hAnsi="Calibri"/>
          <w:b/>
          <w:bCs/>
          <w:rtl/>
        </w:rPr>
        <w:t xml:space="preserve"> </w:t>
      </w:r>
      <w:r w:rsidRPr="00861FDF">
        <w:rPr>
          <w:rFonts w:ascii="Calibri" w:hAnsi="Calibri" w:hint="eastAsia"/>
          <w:b/>
          <w:bCs/>
          <w:rtl/>
        </w:rPr>
        <w:t>נשק</w:t>
      </w:r>
      <w:r w:rsidRPr="00861FDF">
        <w:rPr>
          <w:rFonts w:ascii="Calibri" w:hAnsi="Calibri"/>
          <w:b/>
          <w:bCs/>
          <w:rtl/>
        </w:rPr>
        <w:t xml:space="preserve"> </w:t>
      </w:r>
      <w:r w:rsidRPr="00861FDF">
        <w:rPr>
          <w:rFonts w:ascii="Calibri" w:hAnsi="Calibri" w:hint="eastAsia"/>
          <w:b/>
          <w:bCs/>
          <w:rtl/>
        </w:rPr>
        <w:t>אינה</w:t>
      </w:r>
      <w:r w:rsidRPr="00861FDF">
        <w:rPr>
          <w:rFonts w:ascii="Calibri" w:hAnsi="Calibri"/>
          <w:b/>
          <w:bCs/>
          <w:rtl/>
        </w:rPr>
        <w:t xml:space="preserve"> </w:t>
      </w:r>
      <w:r w:rsidRPr="00861FDF">
        <w:rPr>
          <w:rFonts w:ascii="Calibri" w:hAnsi="Calibri" w:hint="eastAsia"/>
          <w:b/>
          <w:bCs/>
          <w:rtl/>
        </w:rPr>
        <w:t>גבוהה</w:t>
      </w:r>
      <w:r w:rsidRPr="00861FDF">
        <w:rPr>
          <w:rFonts w:ascii="Calibri" w:hAnsi="Calibri"/>
          <w:b/>
          <w:bCs/>
          <w:rtl/>
        </w:rPr>
        <w:t xml:space="preserve">, </w:t>
      </w:r>
      <w:r w:rsidRPr="00861FDF">
        <w:rPr>
          <w:rFonts w:ascii="Calibri" w:hAnsi="Calibri" w:hint="eastAsia"/>
          <w:b/>
          <w:bCs/>
          <w:rtl/>
        </w:rPr>
        <w:t>הרי</w:t>
      </w:r>
      <w:r w:rsidRPr="00861FDF">
        <w:rPr>
          <w:rFonts w:ascii="Calibri" w:hAnsi="Calibri"/>
          <w:b/>
          <w:bCs/>
          <w:rtl/>
        </w:rPr>
        <w:t xml:space="preserve"> </w:t>
      </w:r>
      <w:r w:rsidRPr="00861FDF">
        <w:rPr>
          <w:rFonts w:ascii="Calibri" w:hAnsi="Calibri" w:hint="eastAsia"/>
          <w:b/>
          <w:bCs/>
          <w:rtl/>
        </w:rPr>
        <w:t>שהמציאות</w:t>
      </w:r>
      <w:r w:rsidRPr="00861FDF">
        <w:rPr>
          <w:rFonts w:ascii="Calibri" w:hAnsi="Calibri"/>
          <w:b/>
          <w:bCs/>
          <w:rtl/>
        </w:rPr>
        <w:t xml:space="preserve"> </w:t>
      </w:r>
      <w:r w:rsidRPr="00861FDF">
        <w:rPr>
          <w:rFonts w:ascii="Calibri" w:hAnsi="Calibri" w:hint="eastAsia"/>
          <w:b/>
          <w:bCs/>
          <w:rtl/>
        </w:rPr>
        <w:t>השוררת</w:t>
      </w:r>
      <w:r w:rsidRPr="00861FDF">
        <w:rPr>
          <w:rFonts w:ascii="Calibri" w:hAnsi="Calibri"/>
          <w:b/>
          <w:bCs/>
          <w:rtl/>
        </w:rPr>
        <w:t xml:space="preserve"> </w:t>
      </w:r>
      <w:r w:rsidRPr="00861FDF">
        <w:rPr>
          <w:rFonts w:ascii="Calibri" w:hAnsi="Calibri" w:hint="eastAsia"/>
          <w:b/>
          <w:bCs/>
          <w:rtl/>
        </w:rPr>
        <w:t>היום</w:t>
      </w:r>
      <w:r w:rsidRPr="00861FDF">
        <w:rPr>
          <w:rFonts w:ascii="Calibri" w:hAnsi="Calibri"/>
          <w:b/>
          <w:bCs/>
          <w:rtl/>
        </w:rPr>
        <w:t xml:space="preserve"> </w:t>
      </w:r>
      <w:r w:rsidRPr="00861FDF">
        <w:rPr>
          <w:rFonts w:ascii="Calibri" w:hAnsi="Calibri" w:hint="eastAsia"/>
          <w:b/>
          <w:bCs/>
          <w:rtl/>
        </w:rPr>
        <w:t>בארץ</w:t>
      </w:r>
      <w:r w:rsidRPr="00861FDF">
        <w:rPr>
          <w:rFonts w:ascii="Calibri" w:hAnsi="Calibri"/>
          <w:b/>
          <w:bCs/>
          <w:rtl/>
        </w:rPr>
        <w:t xml:space="preserve"> – </w:t>
      </w:r>
      <w:r w:rsidRPr="00861FDF">
        <w:rPr>
          <w:rFonts w:ascii="Calibri" w:hAnsi="Calibri" w:hint="eastAsia"/>
          <w:b/>
          <w:bCs/>
          <w:rtl/>
        </w:rPr>
        <w:t>זמינותו</w:t>
      </w:r>
      <w:r w:rsidRPr="00861FDF">
        <w:rPr>
          <w:rFonts w:ascii="Calibri" w:hAnsi="Calibri"/>
          <w:b/>
          <w:bCs/>
          <w:rtl/>
        </w:rPr>
        <w:t xml:space="preserve"> </w:t>
      </w:r>
      <w:r w:rsidRPr="00861FDF">
        <w:rPr>
          <w:rFonts w:ascii="Calibri" w:hAnsi="Calibri" w:hint="eastAsia"/>
          <w:b/>
          <w:bCs/>
          <w:rtl/>
        </w:rPr>
        <w:t>של</w:t>
      </w:r>
      <w:r w:rsidRPr="00861FDF">
        <w:rPr>
          <w:rFonts w:ascii="Calibri" w:hAnsi="Calibri"/>
          <w:b/>
          <w:bCs/>
          <w:rtl/>
        </w:rPr>
        <w:t xml:space="preserve"> </w:t>
      </w:r>
      <w:r w:rsidRPr="00861FDF">
        <w:rPr>
          <w:rFonts w:ascii="Calibri" w:hAnsi="Calibri" w:hint="eastAsia"/>
          <w:b/>
          <w:bCs/>
          <w:rtl/>
        </w:rPr>
        <w:t>נשק</w:t>
      </w:r>
      <w:r w:rsidRPr="00861FDF">
        <w:rPr>
          <w:rFonts w:ascii="Calibri" w:hAnsi="Calibri"/>
          <w:b/>
          <w:bCs/>
          <w:rtl/>
        </w:rPr>
        <w:t xml:space="preserve"> </w:t>
      </w:r>
      <w:r w:rsidRPr="00861FDF">
        <w:rPr>
          <w:rFonts w:ascii="Calibri" w:hAnsi="Calibri" w:hint="eastAsia"/>
          <w:b/>
          <w:bCs/>
          <w:rtl/>
        </w:rPr>
        <w:t>חם</w:t>
      </w:r>
      <w:r w:rsidRPr="00861FDF">
        <w:rPr>
          <w:rFonts w:ascii="Calibri" w:hAnsi="Calibri"/>
          <w:b/>
          <w:bCs/>
          <w:rtl/>
        </w:rPr>
        <w:t xml:space="preserve"> </w:t>
      </w:r>
      <w:r w:rsidRPr="00861FDF">
        <w:rPr>
          <w:rFonts w:ascii="Calibri" w:hAnsi="Calibri" w:hint="eastAsia"/>
          <w:b/>
          <w:bCs/>
          <w:rtl/>
        </w:rPr>
        <w:t>ורב</w:t>
      </w:r>
      <w:r w:rsidRPr="00861FDF">
        <w:rPr>
          <w:rFonts w:ascii="Calibri" w:hAnsi="Calibri"/>
          <w:b/>
          <w:bCs/>
          <w:rtl/>
        </w:rPr>
        <w:t xml:space="preserve"> </w:t>
      </w:r>
      <w:r w:rsidRPr="00861FDF">
        <w:rPr>
          <w:rFonts w:ascii="Calibri" w:hAnsi="Calibri" w:hint="eastAsia"/>
          <w:b/>
          <w:bCs/>
          <w:rtl/>
        </w:rPr>
        <w:t>עוצמה</w:t>
      </w:r>
      <w:r w:rsidRPr="00861FDF">
        <w:rPr>
          <w:rFonts w:ascii="Calibri" w:hAnsi="Calibri"/>
          <w:b/>
          <w:bCs/>
          <w:rtl/>
        </w:rPr>
        <w:t xml:space="preserve"> </w:t>
      </w:r>
      <w:r w:rsidRPr="00861FDF">
        <w:rPr>
          <w:rFonts w:ascii="Calibri" w:hAnsi="Calibri" w:hint="eastAsia"/>
          <w:b/>
          <w:bCs/>
          <w:rtl/>
        </w:rPr>
        <w:t>שיש</w:t>
      </w:r>
      <w:r w:rsidRPr="00861FDF">
        <w:rPr>
          <w:rFonts w:ascii="Calibri" w:hAnsi="Calibri"/>
          <w:b/>
          <w:bCs/>
          <w:rtl/>
        </w:rPr>
        <w:t xml:space="preserve"> </w:t>
      </w:r>
      <w:r w:rsidRPr="00861FDF">
        <w:rPr>
          <w:rFonts w:ascii="Calibri" w:hAnsi="Calibri" w:hint="eastAsia"/>
          <w:b/>
          <w:bCs/>
          <w:rtl/>
        </w:rPr>
        <w:t>עמו</w:t>
      </w:r>
      <w:r w:rsidRPr="00861FDF">
        <w:rPr>
          <w:rFonts w:ascii="Calibri" w:hAnsi="Calibri"/>
          <w:b/>
          <w:bCs/>
          <w:rtl/>
        </w:rPr>
        <w:t xml:space="preserve"> </w:t>
      </w:r>
      <w:r w:rsidRPr="00861FDF">
        <w:rPr>
          <w:rFonts w:ascii="Calibri" w:hAnsi="Calibri" w:hint="eastAsia"/>
          <w:b/>
          <w:bCs/>
          <w:rtl/>
        </w:rPr>
        <w:t>פוטנציאל</w:t>
      </w:r>
      <w:r w:rsidRPr="00861FDF">
        <w:rPr>
          <w:rFonts w:ascii="Calibri" w:hAnsi="Calibri"/>
          <w:b/>
          <w:bCs/>
          <w:rtl/>
        </w:rPr>
        <w:t xml:space="preserve"> </w:t>
      </w:r>
      <w:r w:rsidRPr="00861FDF">
        <w:rPr>
          <w:rFonts w:ascii="Calibri" w:hAnsi="Calibri" w:hint="eastAsia"/>
          <w:b/>
          <w:bCs/>
          <w:rtl/>
        </w:rPr>
        <w:t>להסלמה</w:t>
      </w:r>
      <w:r w:rsidRPr="00861FDF">
        <w:rPr>
          <w:rFonts w:ascii="Calibri" w:hAnsi="Calibri"/>
          <w:b/>
          <w:bCs/>
          <w:rtl/>
        </w:rPr>
        <w:t xml:space="preserve"> </w:t>
      </w:r>
      <w:r w:rsidRPr="00861FDF">
        <w:rPr>
          <w:rFonts w:ascii="Calibri" w:hAnsi="Calibri" w:hint="eastAsia"/>
          <w:b/>
          <w:bCs/>
          <w:rtl/>
        </w:rPr>
        <w:t>באלימות</w:t>
      </w:r>
      <w:r w:rsidRPr="00861FDF">
        <w:rPr>
          <w:rFonts w:ascii="Calibri" w:hAnsi="Calibri"/>
          <w:b/>
          <w:bCs/>
          <w:rtl/>
        </w:rPr>
        <w:t xml:space="preserve"> </w:t>
      </w:r>
      <w:r w:rsidRPr="00861FDF">
        <w:rPr>
          <w:rFonts w:ascii="Calibri" w:hAnsi="Calibri" w:hint="eastAsia"/>
          <w:b/>
          <w:bCs/>
          <w:rtl/>
        </w:rPr>
        <w:t>העבריינית</w:t>
      </w:r>
      <w:r w:rsidRPr="00861FDF">
        <w:rPr>
          <w:rFonts w:ascii="Calibri" w:hAnsi="Calibri"/>
          <w:b/>
          <w:bCs/>
          <w:rtl/>
        </w:rPr>
        <w:t xml:space="preserve"> </w:t>
      </w:r>
      <w:r w:rsidRPr="00861FDF">
        <w:rPr>
          <w:rFonts w:ascii="Calibri" w:hAnsi="Calibri" w:hint="eastAsia"/>
          <w:b/>
          <w:bCs/>
          <w:rtl/>
        </w:rPr>
        <w:t>והאידאולוגית</w:t>
      </w:r>
      <w:r w:rsidRPr="00861FDF">
        <w:rPr>
          <w:rFonts w:ascii="Calibri" w:hAnsi="Calibri"/>
          <w:b/>
          <w:bCs/>
          <w:rtl/>
        </w:rPr>
        <w:t xml:space="preserve"> </w:t>
      </w:r>
      <w:r w:rsidRPr="00861FDF">
        <w:rPr>
          <w:rFonts w:ascii="Calibri" w:hAnsi="Calibri" w:hint="eastAsia"/>
          <w:b/>
          <w:bCs/>
          <w:rtl/>
        </w:rPr>
        <w:t>כאחד</w:t>
      </w:r>
      <w:r w:rsidRPr="00861FDF">
        <w:rPr>
          <w:rFonts w:ascii="Calibri" w:hAnsi="Calibri"/>
          <w:b/>
          <w:bCs/>
          <w:rtl/>
        </w:rPr>
        <w:t xml:space="preserve"> – </w:t>
      </w:r>
      <w:r w:rsidRPr="00861FDF">
        <w:rPr>
          <w:rFonts w:ascii="Calibri" w:hAnsi="Calibri" w:hint="eastAsia"/>
          <w:b/>
          <w:bCs/>
          <w:rtl/>
        </w:rPr>
        <w:t>מחייבת</w:t>
      </w:r>
      <w:r w:rsidRPr="00861FDF">
        <w:rPr>
          <w:rFonts w:ascii="Calibri" w:hAnsi="Calibri"/>
          <w:b/>
          <w:bCs/>
          <w:rtl/>
        </w:rPr>
        <w:t xml:space="preserve"> </w:t>
      </w:r>
      <w:r w:rsidRPr="00861FDF">
        <w:rPr>
          <w:rFonts w:ascii="Calibri" w:hAnsi="Calibri" w:hint="eastAsia"/>
          <w:b/>
          <w:bCs/>
          <w:rtl/>
        </w:rPr>
        <w:t>מתן</w:t>
      </w:r>
      <w:r w:rsidRPr="00861FDF">
        <w:rPr>
          <w:rFonts w:ascii="Calibri" w:hAnsi="Calibri"/>
          <w:b/>
          <w:bCs/>
          <w:rtl/>
        </w:rPr>
        <w:t xml:space="preserve"> </w:t>
      </w:r>
      <w:r w:rsidRPr="00861FDF">
        <w:rPr>
          <w:rFonts w:ascii="Calibri" w:hAnsi="Calibri" w:hint="eastAsia"/>
          <w:b/>
          <w:bCs/>
          <w:rtl/>
        </w:rPr>
        <w:t>ביטוי</w:t>
      </w:r>
      <w:r w:rsidRPr="00861FDF">
        <w:rPr>
          <w:rFonts w:ascii="Calibri" w:hAnsi="Calibri"/>
          <w:b/>
          <w:bCs/>
          <w:rtl/>
        </w:rPr>
        <w:t xml:space="preserve"> </w:t>
      </w:r>
      <w:r w:rsidRPr="00861FDF">
        <w:rPr>
          <w:rFonts w:ascii="Calibri" w:hAnsi="Calibri" w:hint="eastAsia"/>
          <w:b/>
          <w:bCs/>
          <w:rtl/>
        </w:rPr>
        <w:t>עונשי</w:t>
      </w:r>
      <w:r w:rsidRPr="00861FDF">
        <w:rPr>
          <w:rFonts w:ascii="Calibri" w:hAnsi="Calibri"/>
          <w:b/>
          <w:bCs/>
          <w:rtl/>
        </w:rPr>
        <w:t xml:space="preserve"> </w:t>
      </w:r>
      <w:r w:rsidRPr="00861FDF">
        <w:rPr>
          <w:rFonts w:ascii="Calibri" w:hAnsi="Calibri" w:hint="eastAsia"/>
          <w:b/>
          <w:bCs/>
          <w:rtl/>
        </w:rPr>
        <w:t>הולם</w:t>
      </w:r>
      <w:r w:rsidRPr="00861FDF">
        <w:rPr>
          <w:rFonts w:ascii="Calibri" w:hAnsi="Calibri"/>
          <w:b/>
          <w:bCs/>
          <w:rtl/>
        </w:rPr>
        <w:t xml:space="preserve"> </w:t>
      </w:r>
      <w:r w:rsidRPr="00861FDF">
        <w:rPr>
          <w:rFonts w:ascii="Calibri" w:hAnsi="Calibri" w:hint="eastAsia"/>
          <w:b/>
          <w:bCs/>
          <w:rtl/>
        </w:rPr>
        <w:t>והחמרה</w:t>
      </w:r>
      <w:r w:rsidRPr="00861FDF">
        <w:rPr>
          <w:rFonts w:ascii="Calibri" w:hAnsi="Calibri"/>
          <w:b/>
          <w:bCs/>
          <w:rtl/>
        </w:rPr>
        <w:t xml:space="preserve"> </w:t>
      </w:r>
      <w:r w:rsidRPr="00861FDF">
        <w:rPr>
          <w:rFonts w:ascii="Calibri" w:hAnsi="Calibri" w:hint="eastAsia"/>
          <w:b/>
          <w:bCs/>
          <w:rtl/>
        </w:rPr>
        <w:t>ברמת</w:t>
      </w:r>
      <w:r w:rsidRPr="00861FDF">
        <w:rPr>
          <w:rFonts w:ascii="Calibri" w:hAnsi="Calibri"/>
          <w:b/>
          <w:bCs/>
          <w:rtl/>
        </w:rPr>
        <w:t xml:space="preserve"> </w:t>
      </w:r>
      <w:r w:rsidRPr="00861FDF">
        <w:rPr>
          <w:rFonts w:ascii="Calibri" w:hAnsi="Calibri" w:hint="eastAsia"/>
          <w:b/>
          <w:bCs/>
          <w:rtl/>
        </w:rPr>
        <w:t>הענישה</w:t>
      </w:r>
      <w:r w:rsidRPr="00861FDF">
        <w:rPr>
          <w:rFonts w:ascii="Calibri" w:hAnsi="Calibri"/>
          <w:b/>
          <w:bCs/>
          <w:rtl/>
        </w:rPr>
        <w:t xml:space="preserve"> ... </w:t>
      </w:r>
      <w:r w:rsidRPr="00861FDF">
        <w:rPr>
          <w:rFonts w:ascii="Calibri" w:hAnsi="Calibri" w:hint="eastAsia"/>
          <w:b/>
          <w:bCs/>
          <w:rtl/>
        </w:rPr>
        <w:t>אם</w:t>
      </w:r>
      <w:r w:rsidRPr="00861FDF">
        <w:rPr>
          <w:rFonts w:ascii="Calibri" w:hAnsi="Calibri"/>
          <w:b/>
          <w:bCs/>
          <w:rtl/>
        </w:rPr>
        <w:t xml:space="preserve"> </w:t>
      </w:r>
      <w:r w:rsidRPr="00861FDF">
        <w:rPr>
          <w:rFonts w:ascii="Calibri" w:hAnsi="Calibri" w:hint="eastAsia"/>
          <w:b/>
          <w:bCs/>
          <w:rtl/>
        </w:rPr>
        <w:t>אכן</w:t>
      </w:r>
      <w:r w:rsidRPr="00861FDF">
        <w:rPr>
          <w:rFonts w:ascii="Calibri" w:hAnsi="Calibri"/>
          <w:b/>
          <w:bCs/>
          <w:rtl/>
        </w:rPr>
        <w:t xml:space="preserve"> </w:t>
      </w:r>
      <w:r w:rsidRPr="00861FDF">
        <w:rPr>
          <w:rFonts w:ascii="Calibri" w:hAnsi="Calibri" w:hint="eastAsia"/>
          <w:b/>
          <w:bCs/>
          <w:rtl/>
        </w:rPr>
        <w:t>נהגו</w:t>
      </w:r>
      <w:r w:rsidRPr="00861FDF">
        <w:rPr>
          <w:rFonts w:ascii="Calibri" w:hAnsi="Calibri"/>
          <w:b/>
          <w:bCs/>
          <w:rtl/>
        </w:rPr>
        <w:t xml:space="preserve"> </w:t>
      </w:r>
      <w:r w:rsidRPr="00861FDF">
        <w:rPr>
          <w:rFonts w:ascii="Calibri" w:hAnsi="Calibri" w:hint="eastAsia"/>
          <w:b/>
          <w:bCs/>
          <w:rtl/>
        </w:rPr>
        <w:t>בתי</w:t>
      </w:r>
      <w:r w:rsidRPr="00861FDF">
        <w:rPr>
          <w:rFonts w:ascii="Calibri" w:hAnsi="Calibri"/>
          <w:b/>
          <w:bCs/>
          <w:rtl/>
        </w:rPr>
        <w:t>-</w:t>
      </w:r>
      <w:r w:rsidRPr="00861FDF">
        <w:rPr>
          <w:rFonts w:ascii="Calibri" w:hAnsi="Calibri" w:hint="eastAsia"/>
          <w:b/>
          <w:bCs/>
          <w:rtl/>
        </w:rPr>
        <w:t>המשפט</w:t>
      </w:r>
      <w:r w:rsidRPr="00861FDF">
        <w:rPr>
          <w:rFonts w:ascii="Calibri" w:hAnsi="Calibri"/>
          <w:b/>
          <w:bCs/>
          <w:rtl/>
        </w:rPr>
        <w:t xml:space="preserve"> </w:t>
      </w:r>
      <w:r w:rsidRPr="00861FDF">
        <w:rPr>
          <w:rFonts w:ascii="Calibri" w:hAnsi="Calibri" w:hint="eastAsia"/>
          <w:b/>
          <w:bCs/>
          <w:rtl/>
        </w:rPr>
        <w:t>בסלחנות</w:t>
      </w:r>
      <w:r w:rsidRPr="00861FDF">
        <w:rPr>
          <w:rFonts w:ascii="Calibri" w:hAnsi="Calibri"/>
          <w:b/>
          <w:bCs/>
          <w:rtl/>
        </w:rPr>
        <w:t xml:space="preserve"> </w:t>
      </w:r>
      <w:r w:rsidRPr="00861FDF">
        <w:rPr>
          <w:rFonts w:ascii="Calibri" w:hAnsi="Calibri" w:hint="eastAsia"/>
          <w:b/>
          <w:bCs/>
          <w:rtl/>
        </w:rPr>
        <w:t>עד</w:t>
      </w:r>
      <w:r w:rsidRPr="00861FDF">
        <w:rPr>
          <w:rFonts w:ascii="Calibri" w:hAnsi="Calibri"/>
          <w:b/>
          <w:bCs/>
          <w:rtl/>
        </w:rPr>
        <w:t xml:space="preserve"> </w:t>
      </w:r>
      <w:r w:rsidRPr="00861FDF">
        <w:rPr>
          <w:rFonts w:ascii="Calibri" w:hAnsi="Calibri" w:hint="eastAsia"/>
          <w:b/>
          <w:bCs/>
          <w:rtl/>
        </w:rPr>
        <w:t>כה</w:t>
      </w:r>
      <w:r w:rsidRPr="00861FDF">
        <w:rPr>
          <w:rFonts w:ascii="Calibri" w:hAnsi="Calibri"/>
          <w:b/>
          <w:bCs/>
          <w:rtl/>
        </w:rPr>
        <w:t xml:space="preserve"> </w:t>
      </w:r>
      <w:r w:rsidRPr="00861FDF">
        <w:rPr>
          <w:rFonts w:ascii="Calibri" w:hAnsi="Calibri" w:hint="eastAsia"/>
          <w:b/>
          <w:bCs/>
          <w:rtl/>
        </w:rPr>
        <w:t>בעבירות</w:t>
      </w:r>
      <w:r w:rsidRPr="00861FDF">
        <w:rPr>
          <w:rFonts w:ascii="Calibri" w:hAnsi="Calibri"/>
          <w:b/>
          <w:bCs/>
          <w:rtl/>
        </w:rPr>
        <w:t xml:space="preserve"> </w:t>
      </w:r>
      <w:r w:rsidRPr="00861FDF">
        <w:rPr>
          <w:rFonts w:ascii="Calibri" w:hAnsi="Calibri" w:hint="eastAsia"/>
          <w:b/>
          <w:bCs/>
          <w:rtl/>
        </w:rPr>
        <w:t>נשק</w:t>
      </w:r>
      <w:r w:rsidRPr="00861FDF">
        <w:rPr>
          <w:rFonts w:ascii="Calibri" w:hAnsi="Calibri"/>
          <w:b/>
          <w:bCs/>
          <w:rtl/>
        </w:rPr>
        <w:t xml:space="preserve">, </w:t>
      </w:r>
      <w:r w:rsidRPr="00861FDF">
        <w:rPr>
          <w:rFonts w:ascii="Calibri" w:hAnsi="Calibri" w:hint="eastAsia"/>
          <w:b/>
          <w:bCs/>
          <w:rtl/>
        </w:rPr>
        <w:t>ניתן</w:t>
      </w:r>
      <w:r w:rsidRPr="00861FDF">
        <w:rPr>
          <w:rFonts w:ascii="Calibri" w:hAnsi="Calibri"/>
          <w:b/>
          <w:bCs/>
          <w:rtl/>
        </w:rPr>
        <w:t xml:space="preserve"> </w:t>
      </w:r>
      <w:r w:rsidRPr="00861FDF">
        <w:rPr>
          <w:rFonts w:ascii="Calibri" w:hAnsi="Calibri" w:hint="eastAsia"/>
          <w:b/>
          <w:bCs/>
          <w:rtl/>
        </w:rPr>
        <w:t>לומר</w:t>
      </w:r>
      <w:r w:rsidRPr="00861FDF">
        <w:rPr>
          <w:rFonts w:ascii="Calibri" w:hAnsi="Calibri"/>
          <w:b/>
          <w:bCs/>
          <w:rtl/>
        </w:rPr>
        <w:t xml:space="preserve"> </w:t>
      </w:r>
      <w:r w:rsidRPr="00861FDF">
        <w:rPr>
          <w:rFonts w:ascii="Calibri" w:hAnsi="Calibri" w:hint="eastAsia"/>
          <w:b/>
          <w:bCs/>
          <w:rtl/>
        </w:rPr>
        <w:t>כי</w:t>
      </w:r>
      <w:r w:rsidRPr="00861FDF">
        <w:rPr>
          <w:rFonts w:ascii="Calibri" w:hAnsi="Calibri"/>
          <w:b/>
          <w:bCs/>
          <w:rtl/>
        </w:rPr>
        <w:t xml:space="preserve"> </w:t>
      </w:r>
      <w:r w:rsidRPr="00861FDF">
        <w:rPr>
          <w:rFonts w:ascii="Calibri" w:hAnsi="Calibri" w:hint="eastAsia"/>
          <w:b/>
          <w:bCs/>
          <w:rtl/>
        </w:rPr>
        <w:t>לא</w:t>
      </w:r>
      <w:r w:rsidRPr="00861FDF">
        <w:rPr>
          <w:rFonts w:ascii="Calibri" w:hAnsi="Calibri"/>
          <w:b/>
          <w:bCs/>
          <w:rtl/>
        </w:rPr>
        <w:t xml:space="preserve"> </w:t>
      </w:r>
      <w:r w:rsidRPr="00861FDF">
        <w:rPr>
          <w:rFonts w:ascii="Calibri" w:hAnsi="Calibri" w:hint="eastAsia"/>
          <w:b/>
          <w:bCs/>
          <w:rtl/>
        </w:rPr>
        <w:t>הרימו</w:t>
      </w:r>
      <w:r w:rsidRPr="00861FDF">
        <w:rPr>
          <w:rFonts w:ascii="Calibri" w:hAnsi="Calibri"/>
          <w:b/>
          <w:bCs/>
          <w:rtl/>
        </w:rPr>
        <w:t xml:space="preserve"> </w:t>
      </w:r>
      <w:r w:rsidRPr="00861FDF">
        <w:rPr>
          <w:rFonts w:ascii="Calibri" w:hAnsi="Calibri" w:hint="eastAsia"/>
          <w:b/>
          <w:bCs/>
          <w:rtl/>
        </w:rPr>
        <w:t>תרומה</w:t>
      </w:r>
      <w:r w:rsidRPr="00861FDF">
        <w:rPr>
          <w:rFonts w:ascii="Calibri" w:hAnsi="Calibri"/>
          <w:b/>
          <w:bCs/>
          <w:rtl/>
        </w:rPr>
        <w:t xml:space="preserve"> </w:t>
      </w:r>
      <w:r w:rsidRPr="00861FDF">
        <w:rPr>
          <w:rFonts w:ascii="Calibri" w:hAnsi="Calibri" w:hint="eastAsia"/>
          <w:b/>
          <w:bCs/>
          <w:rtl/>
        </w:rPr>
        <w:t>מספקת</w:t>
      </w:r>
      <w:r w:rsidRPr="00861FDF">
        <w:rPr>
          <w:rFonts w:ascii="Calibri" w:hAnsi="Calibri"/>
          <w:b/>
          <w:bCs/>
          <w:rtl/>
        </w:rPr>
        <w:t xml:space="preserve"> </w:t>
      </w:r>
      <w:r w:rsidRPr="00861FDF">
        <w:rPr>
          <w:rFonts w:ascii="Calibri" w:hAnsi="Calibri" w:hint="eastAsia"/>
          <w:b/>
          <w:bCs/>
          <w:rtl/>
        </w:rPr>
        <w:t>לעקירת</w:t>
      </w:r>
      <w:r w:rsidRPr="00861FDF">
        <w:rPr>
          <w:rFonts w:ascii="Calibri" w:hAnsi="Calibri"/>
          <w:b/>
          <w:bCs/>
          <w:rtl/>
        </w:rPr>
        <w:t xml:space="preserve"> </w:t>
      </w:r>
      <w:r w:rsidRPr="00861FDF">
        <w:rPr>
          <w:rFonts w:ascii="Calibri" w:hAnsi="Calibri" w:hint="eastAsia"/>
          <w:b/>
          <w:bCs/>
          <w:rtl/>
        </w:rPr>
        <w:t>התופעה</w:t>
      </w:r>
      <w:r w:rsidRPr="00861FDF">
        <w:rPr>
          <w:rFonts w:ascii="Calibri" w:hAnsi="Calibri"/>
          <w:b/>
          <w:bCs/>
          <w:rtl/>
        </w:rPr>
        <w:t xml:space="preserve"> </w:t>
      </w:r>
      <w:r w:rsidRPr="00861FDF">
        <w:rPr>
          <w:rFonts w:ascii="Calibri" w:hAnsi="Calibri" w:hint="eastAsia"/>
          <w:b/>
          <w:bCs/>
          <w:rtl/>
        </w:rPr>
        <w:t>של</w:t>
      </w:r>
      <w:r w:rsidRPr="00861FDF">
        <w:rPr>
          <w:rFonts w:ascii="Calibri" w:hAnsi="Calibri"/>
          <w:b/>
          <w:bCs/>
          <w:rtl/>
        </w:rPr>
        <w:t xml:space="preserve"> </w:t>
      </w:r>
      <w:r w:rsidRPr="00861FDF">
        <w:rPr>
          <w:rFonts w:ascii="Calibri" w:hAnsi="Calibri" w:hint="eastAsia"/>
          <w:b/>
          <w:bCs/>
          <w:rtl/>
        </w:rPr>
        <w:t>החזקה</w:t>
      </w:r>
      <w:r w:rsidRPr="00861FDF">
        <w:rPr>
          <w:rFonts w:ascii="Calibri" w:hAnsi="Calibri"/>
          <w:b/>
          <w:bCs/>
          <w:rtl/>
        </w:rPr>
        <w:t xml:space="preserve"> </w:t>
      </w:r>
      <w:r w:rsidRPr="00861FDF">
        <w:rPr>
          <w:rFonts w:ascii="Calibri" w:hAnsi="Calibri" w:hint="eastAsia"/>
          <w:b/>
          <w:bCs/>
          <w:rtl/>
        </w:rPr>
        <w:t>או</w:t>
      </w:r>
      <w:r w:rsidRPr="00861FDF">
        <w:rPr>
          <w:rFonts w:ascii="Calibri" w:hAnsi="Calibri"/>
          <w:b/>
          <w:bCs/>
          <w:rtl/>
        </w:rPr>
        <w:t xml:space="preserve"> </w:t>
      </w:r>
      <w:r w:rsidRPr="00861FDF">
        <w:rPr>
          <w:rFonts w:ascii="Calibri" w:hAnsi="Calibri" w:hint="eastAsia"/>
          <w:b/>
          <w:bCs/>
          <w:rtl/>
        </w:rPr>
        <w:t>נשיאה</w:t>
      </w:r>
      <w:r w:rsidRPr="00861FDF">
        <w:rPr>
          <w:rFonts w:ascii="Calibri" w:hAnsi="Calibri"/>
          <w:b/>
          <w:bCs/>
          <w:rtl/>
        </w:rPr>
        <w:t xml:space="preserve"> </w:t>
      </w:r>
      <w:r w:rsidRPr="00861FDF">
        <w:rPr>
          <w:rFonts w:ascii="Calibri" w:hAnsi="Calibri" w:hint="eastAsia"/>
          <w:b/>
          <w:bCs/>
          <w:rtl/>
        </w:rPr>
        <w:t>של</w:t>
      </w:r>
      <w:r w:rsidRPr="00861FDF">
        <w:rPr>
          <w:rFonts w:ascii="Calibri" w:hAnsi="Calibri"/>
          <w:b/>
          <w:bCs/>
          <w:rtl/>
        </w:rPr>
        <w:t xml:space="preserve"> </w:t>
      </w:r>
      <w:r w:rsidRPr="00861FDF">
        <w:rPr>
          <w:rFonts w:ascii="Calibri" w:hAnsi="Calibri" w:hint="eastAsia"/>
          <w:b/>
          <w:bCs/>
          <w:rtl/>
        </w:rPr>
        <w:t>נשק</w:t>
      </w:r>
      <w:r w:rsidRPr="00861FDF">
        <w:rPr>
          <w:rFonts w:ascii="Calibri" w:hAnsi="Calibri"/>
          <w:b/>
          <w:bCs/>
          <w:rtl/>
        </w:rPr>
        <w:t xml:space="preserve">, </w:t>
      </w:r>
      <w:r w:rsidRPr="00861FDF">
        <w:rPr>
          <w:rFonts w:ascii="Calibri" w:hAnsi="Calibri" w:hint="eastAsia"/>
          <w:b/>
          <w:bCs/>
          <w:rtl/>
        </w:rPr>
        <w:t>שהתפשטה</w:t>
      </w:r>
      <w:r w:rsidRPr="00861FDF">
        <w:rPr>
          <w:rFonts w:ascii="Calibri" w:hAnsi="Calibri"/>
          <w:b/>
          <w:bCs/>
          <w:rtl/>
        </w:rPr>
        <w:t xml:space="preserve"> </w:t>
      </w:r>
      <w:r w:rsidRPr="00861FDF">
        <w:rPr>
          <w:rFonts w:ascii="Calibri" w:hAnsi="Calibri" w:hint="eastAsia"/>
          <w:b/>
          <w:bCs/>
          <w:rtl/>
        </w:rPr>
        <w:t>במקומותינו</w:t>
      </w:r>
      <w:r w:rsidRPr="00861FDF">
        <w:rPr>
          <w:rFonts w:ascii="Calibri" w:hAnsi="Calibri"/>
          <w:b/>
          <w:bCs/>
          <w:rtl/>
        </w:rPr>
        <w:t xml:space="preserve"> </w:t>
      </w:r>
      <w:r w:rsidRPr="00861FDF">
        <w:rPr>
          <w:rFonts w:ascii="Calibri" w:hAnsi="Calibri" w:hint="eastAsia"/>
          <w:b/>
          <w:bCs/>
          <w:rtl/>
        </w:rPr>
        <w:t>והתדרדרה</w:t>
      </w:r>
      <w:r w:rsidRPr="00861FDF">
        <w:rPr>
          <w:rFonts w:ascii="Calibri" w:hAnsi="Calibri"/>
          <w:b/>
          <w:bCs/>
          <w:rtl/>
        </w:rPr>
        <w:t xml:space="preserve"> </w:t>
      </w:r>
      <w:r w:rsidRPr="00861FDF">
        <w:rPr>
          <w:rFonts w:ascii="Calibri" w:hAnsi="Calibri" w:hint="eastAsia"/>
          <w:b/>
          <w:bCs/>
          <w:rtl/>
        </w:rPr>
        <w:t>לשימוש</w:t>
      </w:r>
      <w:r w:rsidRPr="00861FDF">
        <w:rPr>
          <w:rFonts w:ascii="Calibri" w:hAnsi="Calibri"/>
          <w:b/>
          <w:bCs/>
          <w:rtl/>
        </w:rPr>
        <w:t xml:space="preserve"> </w:t>
      </w:r>
      <w:r w:rsidRPr="00861FDF">
        <w:rPr>
          <w:rFonts w:ascii="Calibri" w:hAnsi="Calibri" w:hint="eastAsia"/>
          <w:b/>
          <w:bCs/>
          <w:rtl/>
        </w:rPr>
        <w:t>בו</w:t>
      </w:r>
      <w:r w:rsidRPr="00861FDF">
        <w:rPr>
          <w:rFonts w:ascii="Calibri" w:hAnsi="Calibri"/>
          <w:b/>
          <w:bCs/>
          <w:rtl/>
        </w:rPr>
        <w:t xml:space="preserve"> </w:t>
      </w:r>
      <w:r w:rsidRPr="00861FDF">
        <w:rPr>
          <w:rFonts w:ascii="Calibri" w:hAnsi="Calibri" w:hint="eastAsia"/>
          <w:b/>
          <w:bCs/>
          <w:rtl/>
        </w:rPr>
        <w:t>בידי</w:t>
      </w:r>
      <w:r w:rsidRPr="00861FDF">
        <w:rPr>
          <w:rFonts w:ascii="Calibri" w:hAnsi="Calibri"/>
          <w:b/>
          <w:bCs/>
          <w:rtl/>
        </w:rPr>
        <w:t xml:space="preserve"> </w:t>
      </w:r>
      <w:r w:rsidRPr="00861FDF">
        <w:rPr>
          <w:rFonts w:ascii="Calibri" w:hAnsi="Calibri" w:hint="eastAsia"/>
          <w:b/>
          <w:bCs/>
          <w:rtl/>
        </w:rPr>
        <w:t>גורמים</w:t>
      </w:r>
      <w:r w:rsidRPr="00861FDF">
        <w:rPr>
          <w:rFonts w:ascii="Calibri" w:hAnsi="Calibri"/>
          <w:b/>
          <w:bCs/>
          <w:rtl/>
        </w:rPr>
        <w:t xml:space="preserve"> </w:t>
      </w:r>
      <w:r w:rsidRPr="00861FDF">
        <w:rPr>
          <w:rFonts w:ascii="Calibri" w:hAnsi="Calibri" w:hint="eastAsia"/>
          <w:b/>
          <w:bCs/>
          <w:rtl/>
        </w:rPr>
        <w:t>המסכנים</w:t>
      </w:r>
      <w:r w:rsidRPr="00861FDF">
        <w:rPr>
          <w:rFonts w:ascii="Calibri" w:hAnsi="Calibri"/>
          <w:b/>
          <w:bCs/>
          <w:rtl/>
        </w:rPr>
        <w:t xml:space="preserve"> </w:t>
      </w:r>
      <w:r w:rsidRPr="00861FDF">
        <w:rPr>
          <w:rFonts w:ascii="Calibri" w:hAnsi="Calibri" w:hint="eastAsia"/>
          <w:b/>
          <w:bCs/>
          <w:rtl/>
        </w:rPr>
        <w:t>את</w:t>
      </w:r>
      <w:r w:rsidRPr="00861FDF">
        <w:rPr>
          <w:rFonts w:ascii="Calibri" w:hAnsi="Calibri"/>
          <w:b/>
          <w:bCs/>
          <w:rtl/>
        </w:rPr>
        <w:t xml:space="preserve"> </w:t>
      </w:r>
      <w:r w:rsidRPr="00861FDF">
        <w:rPr>
          <w:rFonts w:ascii="Calibri" w:hAnsi="Calibri" w:hint="eastAsia"/>
          <w:b/>
          <w:bCs/>
          <w:rtl/>
        </w:rPr>
        <w:t>שלומו</w:t>
      </w:r>
      <w:r w:rsidRPr="00861FDF">
        <w:rPr>
          <w:rFonts w:ascii="Calibri" w:hAnsi="Calibri"/>
          <w:b/>
          <w:bCs/>
          <w:rtl/>
        </w:rPr>
        <w:t xml:space="preserve"> </w:t>
      </w:r>
      <w:r w:rsidRPr="00861FDF">
        <w:rPr>
          <w:rFonts w:ascii="Calibri" w:hAnsi="Calibri" w:hint="eastAsia"/>
          <w:b/>
          <w:bCs/>
          <w:rtl/>
        </w:rPr>
        <w:t>ואת</w:t>
      </w:r>
      <w:r w:rsidRPr="00861FDF">
        <w:rPr>
          <w:rFonts w:ascii="Calibri" w:hAnsi="Calibri"/>
          <w:b/>
          <w:bCs/>
          <w:rtl/>
        </w:rPr>
        <w:t xml:space="preserve"> </w:t>
      </w:r>
      <w:r w:rsidRPr="00861FDF">
        <w:rPr>
          <w:rFonts w:ascii="Calibri" w:hAnsi="Calibri" w:hint="eastAsia"/>
          <w:b/>
          <w:bCs/>
          <w:rtl/>
        </w:rPr>
        <w:t>ביטחונו</w:t>
      </w:r>
      <w:r w:rsidRPr="00861FDF">
        <w:rPr>
          <w:rFonts w:ascii="Calibri" w:hAnsi="Calibri"/>
          <w:b/>
          <w:bCs/>
          <w:rtl/>
        </w:rPr>
        <w:t xml:space="preserve"> </w:t>
      </w:r>
      <w:r w:rsidRPr="00861FDF">
        <w:rPr>
          <w:rFonts w:ascii="Calibri" w:hAnsi="Calibri" w:hint="eastAsia"/>
          <w:b/>
          <w:bCs/>
          <w:rtl/>
        </w:rPr>
        <w:t>של</w:t>
      </w:r>
      <w:r w:rsidRPr="00861FDF">
        <w:rPr>
          <w:rFonts w:ascii="Calibri" w:hAnsi="Calibri"/>
          <w:b/>
          <w:bCs/>
          <w:rtl/>
        </w:rPr>
        <w:t xml:space="preserve"> </w:t>
      </w:r>
      <w:r w:rsidRPr="00861FDF">
        <w:rPr>
          <w:rFonts w:ascii="Calibri" w:hAnsi="Calibri" w:hint="eastAsia"/>
          <w:b/>
          <w:bCs/>
          <w:rtl/>
        </w:rPr>
        <w:t>הציבור</w:t>
      </w:r>
      <w:r w:rsidRPr="00861FDF">
        <w:rPr>
          <w:rFonts w:ascii="Calibri" w:hAnsi="Calibri"/>
          <w:rtl/>
        </w:rPr>
        <w:t>".</w:t>
      </w:r>
    </w:p>
    <w:p w14:paraId="06AB9FD3" w14:textId="77777777" w:rsidR="007A0820" w:rsidRDefault="007A0820" w:rsidP="007A0820">
      <w:pPr>
        <w:spacing w:line="360" w:lineRule="auto"/>
        <w:jc w:val="both"/>
        <w:rPr>
          <w:rFonts w:ascii="Calibri" w:hAnsi="Calibri"/>
          <w:rtl/>
        </w:rPr>
      </w:pPr>
    </w:p>
    <w:p w14:paraId="011F24DE" w14:textId="77777777" w:rsidR="007A0820" w:rsidRPr="00ED01B7" w:rsidRDefault="007A0820" w:rsidP="007A0820">
      <w:pPr>
        <w:spacing w:line="360" w:lineRule="auto"/>
        <w:jc w:val="both"/>
        <w:rPr>
          <w:rFonts w:ascii="Calibri" w:hAnsi="Calibri"/>
          <w:rtl/>
        </w:rPr>
      </w:pPr>
      <w:r w:rsidRPr="00ED01B7">
        <w:rPr>
          <w:rFonts w:ascii="Calibri" w:hAnsi="Calibri" w:hint="cs"/>
          <w:rtl/>
        </w:rPr>
        <w:t>כמו כן, אך לפני מספר ימים נקבע ב</w:t>
      </w:r>
      <w:hyperlink r:id="rId24" w:history="1">
        <w:r w:rsidR="00F374A2" w:rsidRPr="00F374A2">
          <w:rPr>
            <w:rFonts w:ascii="David" w:hAnsi="David"/>
            <w:b/>
            <w:bCs/>
            <w:color w:val="0000FF"/>
            <w:u w:val="single"/>
            <w:rtl/>
          </w:rPr>
          <w:t>ע"פ 5602/22</w:t>
        </w:r>
      </w:hyperlink>
      <w:r w:rsidRPr="00ED01B7">
        <w:rPr>
          <w:rFonts w:ascii="David" w:hAnsi="David"/>
          <w:b/>
          <w:bCs/>
          <w:rtl/>
        </w:rPr>
        <w:t xml:space="preserve"> מדינת ישראל</w:t>
      </w:r>
      <w:r w:rsidRPr="00ED01B7">
        <w:rPr>
          <w:rFonts w:ascii="David" w:hAnsi="David" w:hint="cs"/>
          <w:b/>
          <w:bCs/>
          <w:rtl/>
        </w:rPr>
        <w:t xml:space="preserve"> נגד פלוני</w:t>
      </w:r>
      <w:r w:rsidRPr="00ED01B7">
        <w:rPr>
          <w:rFonts w:ascii="David" w:hAnsi="David"/>
          <w:b/>
          <w:bCs/>
          <w:rtl/>
        </w:rPr>
        <w:t xml:space="preserve"> (</w:t>
      </w:r>
      <w:r w:rsidRPr="00ED01B7">
        <w:rPr>
          <w:rFonts w:ascii="David" w:hAnsi="David" w:hint="cs"/>
          <w:b/>
          <w:bCs/>
          <w:rtl/>
        </w:rPr>
        <w:t>14</w:t>
      </w:r>
      <w:r w:rsidRPr="00ED01B7">
        <w:rPr>
          <w:rFonts w:ascii="David" w:hAnsi="David"/>
          <w:b/>
          <w:bCs/>
          <w:rtl/>
        </w:rPr>
        <w:t>/</w:t>
      </w:r>
      <w:r w:rsidRPr="00ED01B7">
        <w:rPr>
          <w:rFonts w:ascii="David" w:hAnsi="David" w:hint="cs"/>
          <w:b/>
          <w:bCs/>
          <w:rtl/>
        </w:rPr>
        <w:t>09</w:t>
      </w:r>
      <w:r w:rsidRPr="00ED01B7">
        <w:rPr>
          <w:rFonts w:ascii="David" w:hAnsi="David"/>
          <w:b/>
          <w:bCs/>
          <w:rtl/>
        </w:rPr>
        <w:t>/</w:t>
      </w:r>
      <w:r w:rsidRPr="00ED01B7">
        <w:rPr>
          <w:rFonts w:ascii="David" w:hAnsi="David" w:hint="cs"/>
          <w:b/>
          <w:bCs/>
          <w:rtl/>
        </w:rPr>
        <w:t xml:space="preserve">22) </w:t>
      </w:r>
      <w:r w:rsidRPr="00ED01B7">
        <w:rPr>
          <w:rFonts w:ascii="Calibri" w:hAnsi="Calibri" w:hint="cs"/>
          <w:rtl/>
        </w:rPr>
        <w:t>(להלן: "</w:t>
      </w:r>
      <w:r w:rsidRPr="00ED01B7">
        <w:rPr>
          <w:rFonts w:ascii="Calibri" w:hAnsi="Calibri" w:hint="cs"/>
          <w:b/>
          <w:bCs/>
          <w:rtl/>
        </w:rPr>
        <w:t>פס"ד מדינת ישראל נגד פלוני</w:t>
      </w:r>
      <w:r w:rsidRPr="00ED01B7">
        <w:rPr>
          <w:rFonts w:ascii="Calibri" w:hAnsi="Calibri" w:hint="cs"/>
          <w:rtl/>
        </w:rPr>
        <w:t xml:space="preserve">") כך: </w:t>
      </w:r>
    </w:p>
    <w:p w14:paraId="22D60981" w14:textId="77777777" w:rsidR="007A0820" w:rsidRPr="00ED01B7" w:rsidRDefault="007A0820" w:rsidP="007A0820">
      <w:pPr>
        <w:spacing w:line="360" w:lineRule="auto"/>
        <w:ind w:left="340" w:right="340"/>
        <w:jc w:val="both"/>
        <w:rPr>
          <w:rFonts w:ascii="David" w:hAnsi="David"/>
          <w:b/>
          <w:bCs/>
          <w:rtl/>
        </w:rPr>
      </w:pPr>
      <w:r w:rsidRPr="00ED01B7">
        <w:rPr>
          <w:rFonts w:ascii="David" w:hAnsi="David"/>
          <w:b/>
          <w:bCs/>
          <w:rtl/>
        </w:rPr>
        <w:t>"... מדיניות הענישה בעבירות נשק שבית משפט זה קבע בשורה ארוכה של פסקי דין הופנמה אך באופן חלקי – וחבל שכך.</w:t>
      </w:r>
    </w:p>
    <w:p w14:paraId="08375DD4" w14:textId="77777777" w:rsidR="007A0820" w:rsidRPr="00ED01B7" w:rsidRDefault="007A0820" w:rsidP="007A0820">
      <w:pPr>
        <w:spacing w:line="360" w:lineRule="auto"/>
        <w:ind w:left="340" w:right="340"/>
        <w:jc w:val="both"/>
        <w:rPr>
          <w:rFonts w:ascii="David" w:hAnsi="David"/>
          <w:b/>
          <w:bCs/>
          <w:rtl/>
        </w:rPr>
      </w:pPr>
      <w:r w:rsidRPr="00ED01B7">
        <w:rPr>
          <w:rFonts w:ascii="David" w:hAnsi="David"/>
          <w:b/>
          <w:bCs/>
          <w:rtl/>
        </w:rPr>
        <w:t>..</w:t>
      </w:r>
      <w:r w:rsidRPr="00ED01B7">
        <w:rPr>
          <w:rFonts w:ascii="David" w:hAnsi="David" w:hint="cs"/>
          <w:b/>
          <w:bCs/>
          <w:rtl/>
        </w:rPr>
        <w:t>.</w:t>
      </w:r>
      <w:r w:rsidRPr="00ED01B7">
        <w:rPr>
          <w:rFonts w:ascii="David" w:hAnsi="David"/>
          <w:b/>
          <w:bCs/>
          <w:rtl/>
        </w:rPr>
        <w:t xml:space="preserve"> בית משפט זה יישם את מדיניות ההחמרה האמורה ביחס לכלל עבירות נשק בשורה ארוכה של פסקי דין</w:t>
      </w:r>
      <w:r w:rsidRPr="00ED01B7">
        <w:rPr>
          <w:rFonts w:ascii="David" w:hAnsi="David" w:hint="cs"/>
          <w:b/>
          <w:bCs/>
          <w:rtl/>
        </w:rPr>
        <w:t xml:space="preserve"> </w:t>
      </w:r>
      <w:r w:rsidRPr="00ED01B7">
        <w:rPr>
          <w:rFonts w:ascii="David" w:hAnsi="David"/>
          <w:b/>
          <w:bCs/>
          <w:rtl/>
        </w:rPr>
        <w:t xml:space="preserve">... מדיניות בלתי-מתפשרת זו קיבלה באחרונה ביטוי סטטוטורי </w:t>
      </w:r>
      <w:r w:rsidRPr="00F374A2">
        <w:rPr>
          <w:rFonts w:ascii="David" w:hAnsi="David"/>
          <w:b/>
          <w:bCs/>
          <w:color w:val="000000"/>
          <w:rtl/>
        </w:rPr>
        <w:t>בסעיף 144(ז)</w:t>
      </w:r>
      <w:r w:rsidRPr="00ED01B7">
        <w:rPr>
          <w:rFonts w:ascii="David" w:hAnsi="David"/>
          <w:b/>
          <w:bCs/>
          <w:rtl/>
        </w:rPr>
        <w:t xml:space="preserve"> לחוק אשר חוקק במסגרת תיקון מס' 140.</w:t>
      </w:r>
    </w:p>
    <w:p w14:paraId="4F174354" w14:textId="77777777" w:rsidR="007A0820" w:rsidRPr="00F928E6" w:rsidRDefault="007A0820" w:rsidP="007A0820">
      <w:pPr>
        <w:spacing w:line="360" w:lineRule="auto"/>
        <w:ind w:left="340" w:right="340"/>
        <w:jc w:val="both"/>
        <w:rPr>
          <w:rFonts w:ascii="David" w:hAnsi="David"/>
          <w:b/>
          <w:bCs/>
        </w:rPr>
      </w:pPr>
      <w:r w:rsidRPr="00ED01B7">
        <w:rPr>
          <w:rFonts w:ascii="David" w:hAnsi="David"/>
          <w:b/>
          <w:bCs/>
          <w:rtl/>
        </w:rPr>
        <w:t>..</w:t>
      </w:r>
      <w:r w:rsidRPr="00ED01B7">
        <w:rPr>
          <w:rFonts w:ascii="David" w:hAnsi="David" w:hint="cs"/>
          <w:b/>
          <w:bCs/>
          <w:rtl/>
        </w:rPr>
        <w:t>.</w:t>
      </w:r>
      <w:r w:rsidRPr="00ED01B7">
        <w:rPr>
          <w:rFonts w:ascii="David" w:hAnsi="David"/>
          <w:b/>
          <w:bCs/>
          <w:rtl/>
        </w:rPr>
        <w:t xml:space="preserve"> הענישה המחמירה והבלתי מתפרשת כאמור צריכה לחול ללא סייגים על כל נאשם בגיר באשר הוא, שכן "בטיפולנו בעבירות [נשק] מסוג זה ובמבצעיהן, להרתעת היחיד והרבים ולהרחקת עברייני הנשק מהחברה על ידי השמתם בין כותלי הכלא לתקופות ממושכות יש מעמד בכורה", ועל כן "ככלל, יעדים עונשיים אלו מוחקים מניה וביה את בקשת העבריין לשיקום [...] גם כאשר מדובר בעבריין צעיר שהסתבך לראשונה בפלילים ובקשתו לשיקום כנה ואף זוכה לתמיכתו של שירות המבחן" (ראו: </w:t>
      </w:r>
      <w:hyperlink r:id="rId25" w:history="1">
        <w:r w:rsidR="00F374A2" w:rsidRPr="00F374A2">
          <w:rPr>
            <w:rFonts w:ascii="David" w:hAnsi="David"/>
            <w:b/>
            <w:bCs/>
            <w:color w:val="0000FF"/>
            <w:u w:val="single"/>
            <w:rtl/>
          </w:rPr>
          <w:t>ע"פ 4077/22</w:t>
        </w:r>
      </w:hyperlink>
      <w:r w:rsidRPr="00ED01B7">
        <w:rPr>
          <w:rFonts w:ascii="David" w:hAnsi="David"/>
          <w:b/>
          <w:bCs/>
          <w:rtl/>
        </w:rPr>
        <w:t xml:space="preserve"> פלוני נ' מדינת ישראל, פסקה 12 [פורסם בנבו] (‏28.7.2022)). זאת, מסיבה פשוטה: "בימים קשים אלה, השיקום שבראש מעייננו הוא שיקום המרחב הציבורי המדמם כתוצאה מעבירות נשק בלתי פוסקות והשימוש העברייני בנשק חם." (שם). בהקשר זה אוסיף ואציין את המובן מאליו: בית משפט שמקל בעונשו של עבריין נשק מכביד על החברה שנאלצת להגן על עצמה –על כל בניה ובנותיה – מעברייני נשק. במילים פשוטות יותר, בהן השתמשתי בתוארי את מדיניות הענישה הראויה ביחס לעבירות מין, עסקינן במשחק-סכום-אפס: בית משפט שמרחם על העבריין אינו מרחם על הקורבן הבא (ראו והשוו: </w:t>
      </w:r>
      <w:hyperlink r:id="rId26" w:history="1">
        <w:r w:rsidR="00F374A2" w:rsidRPr="00F374A2">
          <w:rPr>
            <w:rFonts w:ascii="David" w:hAnsi="David"/>
            <w:b/>
            <w:bCs/>
            <w:color w:val="0000FF"/>
            <w:u w:val="single"/>
            <w:rtl/>
          </w:rPr>
          <w:t>ע"פ 3792/18</w:t>
        </w:r>
      </w:hyperlink>
      <w:r w:rsidRPr="00ED01B7">
        <w:rPr>
          <w:rFonts w:ascii="David" w:hAnsi="David"/>
          <w:b/>
          <w:bCs/>
          <w:rtl/>
        </w:rPr>
        <w:t xml:space="preserve"> פלוני נ' מדינת ישראל, פסקה 17 [פורסם בנבו] (11.11.2018))</w:t>
      </w:r>
      <w:r w:rsidRPr="00ED01B7">
        <w:rPr>
          <w:rFonts w:ascii="David" w:hAnsi="David" w:hint="cs"/>
          <w:b/>
          <w:bCs/>
          <w:rtl/>
        </w:rPr>
        <w:t>"</w:t>
      </w:r>
      <w:r w:rsidRPr="00ED01B7">
        <w:rPr>
          <w:rFonts w:ascii="David" w:hAnsi="David"/>
          <w:b/>
          <w:bCs/>
          <w:rtl/>
        </w:rPr>
        <w:t>.</w:t>
      </w:r>
    </w:p>
    <w:p w14:paraId="4A7EBD47" w14:textId="77777777" w:rsidR="007A0820" w:rsidRPr="00861FDF" w:rsidRDefault="007A0820" w:rsidP="007A0820">
      <w:pPr>
        <w:spacing w:line="360" w:lineRule="auto"/>
        <w:jc w:val="both"/>
        <w:rPr>
          <w:b/>
          <w:bCs/>
          <w:rtl/>
        </w:rPr>
      </w:pPr>
    </w:p>
    <w:p w14:paraId="7B302129" w14:textId="77777777" w:rsidR="007A0820" w:rsidRPr="00861FDF" w:rsidRDefault="007A0820" w:rsidP="007A0820">
      <w:pPr>
        <w:spacing w:line="360" w:lineRule="auto"/>
        <w:jc w:val="both"/>
        <w:rPr>
          <w:rFonts w:ascii="David" w:hAnsi="David"/>
          <w:b/>
          <w:bCs/>
          <w:u w:val="single"/>
          <w:rtl/>
        </w:rPr>
      </w:pPr>
      <w:r w:rsidRPr="00861FDF">
        <w:rPr>
          <w:rFonts w:ascii="David" w:hAnsi="David"/>
          <w:b/>
          <w:bCs/>
          <w:u w:val="single"/>
          <w:rtl/>
        </w:rPr>
        <w:t xml:space="preserve">מדיניות הענישה הנוהגת  </w:t>
      </w:r>
    </w:p>
    <w:p w14:paraId="00750FF8" w14:textId="77777777" w:rsidR="007A0820" w:rsidRPr="00861FDF" w:rsidRDefault="007A0820" w:rsidP="007A0820">
      <w:pPr>
        <w:spacing w:line="360" w:lineRule="auto"/>
        <w:jc w:val="both"/>
        <w:rPr>
          <w:rtl/>
        </w:rPr>
      </w:pPr>
      <w:r w:rsidRPr="00861FDF">
        <w:rPr>
          <w:b/>
          <w:bCs/>
          <w:rtl/>
        </w:rPr>
        <w:t>6.</w:t>
      </w:r>
      <w:r w:rsidRPr="00861FDF">
        <w:rPr>
          <w:rtl/>
        </w:rPr>
        <w:t xml:space="preserve"> בטרם הפנייה לפסיקה נוהגת אציין את הידוע לכל ולפיו הפסיקה הנוהגת מהווה פרמטר אחד מתוך מספר פרמטרים שהתווה המחוקק לבתי המשפט בקובעם את מתחם העונש ההולם וכי </w:t>
      </w:r>
      <w:r w:rsidRPr="00861FDF">
        <w:rPr>
          <w:b/>
          <w:bCs/>
          <w:rtl/>
        </w:rPr>
        <w:t>"מלאכת הענישה לעולם אינה מתמטית, ועליה להיגזר מנסיבותיו הקונקרטיות של כל מקרה לגופו"</w:t>
      </w:r>
      <w:r w:rsidRPr="00861FDF">
        <w:rPr>
          <w:rtl/>
        </w:rPr>
        <w:t>.</w:t>
      </w:r>
    </w:p>
    <w:p w14:paraId="25F24A21" w14:textId="77777777" w:rsidR="007A0820" w:rsidRPr="00861FDF" w:rsidRDefault="007A0820" w:rsidP="007A0820">
      <w:pPr>
        <w:spacing w:line="360" w:lineRule="auto"/>
        <w:jc w:val="both"/>
        <w:rPr>
          <w:rFonts w:ascii="David" w:hAnsi="David"/>
          <w:b/>
          <w:bCs/>
          <w:rtl/>
        </w:rPr>
      </w:pPr>
      <w:r w:rsidRPr="00861FDF">
        <w:rPr>
          <w:rtl/>
        </w:rPr>
        <w:t>[ראו:</w:t>
      </w:r>
      <w:r w:rsidRPr="00861FDF">
        <w:rPr>
          <w:b/>
          <w:bCs/>
          <w:rtl/>
        </w:rPr>
        <w:t xml:space="preserve"> </w:t>
      </w:r>
      <w:hyperlink r:id="rId27" w:history="1">
        <w:r w:rsidR="00F374A2" w:rsidRPr="00F374A2">
          <w:rPr>
            <w:b/>
            <w:bCs/>
            <w:color w:val="0000FF"/>
            <w:u w:val="single"/>
            <w:rtl/>
          </w:rPr>
          <w:t>ע"פ 4232/20</w:t>
        </w:r>
      </w:hyperlink>
      <w:r w:rsidRPr="00861FDF">
        <w:rPr>
          <w:b/>
          <w:bCs/>
          <w:rtl/>
        </w:rPr>
        <w:t xml:space="preserve"> פלוני נגד מדינת ישראל (12/11/20)</w:t>
      </w:r>
      <w:r w:rsidRPr="00861FDF">
        <w:rPr>
          <w:rtl/>
        </w:rPr>
        <w:t xml:space="preserve"> (פסקה 9)]. </w:t>
      </w:r>
    </w:p>
    <w:p w14:paraId="5B128DD5" w14:textId="77777777" w:rsidR="007A0820" w:rsidRPr="00861FDF" w:rsidRDefault="007A0820" w:rsidP="007A0820">
      <w:pPr>
        <w:tabs>
          <w:tab w:val="center" w:pos="4153"/>
          <w:tab w:val="right" w:pos="8306"/>
        </w:tabs>
        <w:spacing w:line="360" w:lineRule="auto"/>
        <w:jc w:val="both"/>
        <w:rPr>
          <w:rtl/>
        </w:rPr>
      </w:pPr>
    </w:p>
    <w:p w14:paraId="71D81269" w14:textId="77777777" w:rsidR="007A0820" w:rsidRPr="00861FDF" w:rsidRDefault="007A0820" w:rsidP="007A0820">
      <w:pPr>
        <w:tabs>
          <w:tab w:val="center" w:pos="4153"/>
          <w:tab w:val="right" w:pos="8306"/>
        </w:tabs>
        <w:spacing w:line="360" w:lineRule="auto"/>
        <w:jc w:val="both"/>
        <w:rPr>
          <w:rtl/>
        </w:rPr>
      </w:pPr>
      <w:r w:rsidRPr="00861FDF">
        <w:rPr>
          <w:rtl/>
        </w:rPr>
        <w:t xml:space="preserve">בחינת מדיניות הענישה הנוהגת מעלה כי בתי המשפט שוקלים פרמטרים שונים, ובין היתר סיבת הכניסה לישראל, עבר פלילי, נסיבות אישיות ואף נסיבותיה הביטחוניות המיוחדות של אותה תקופה, וכן סוג הנשק וסיבת נשיאתו, וכי ככלל בעבירות מהסוג עליהם נותנים הנאשמים את הדין נוהגים בתי המשפט להחמיר בענישה. </w:t>
      </w:r>
    </w:p>
    <w:p w14:paraId="09472934" w14:textId="77777777" w:rsidR="007A0820" w:rsidRPr="00861FDF" w:rsidRDefault="007A0820" w:rsidP="007A0820">
      <w:pPr>
        <w:spacing w:line="360" w:lineRule="auto"/>
        <w:jc w:val="both"/>
        <w:rPr>
          <w:rtl/>
        </w:rPr>
      </w:pPr>
    </w:p>
    <w:p w14:paraId="0A046877" w14:textId="77777777" w:rsidR="007A0820" w:rsidRPr="002C63AE" w:rsidRDefault="007A0820" w:rsidP="007A0820">
      <w:pPr>
        <w:spacing w:line="360" w:lineRule="auto"/>
        <w:jc w:val="both"/>
        <w:rPr>
          <w:rtl/>
        </w:rPr>
      </w:pPr>
      <w:r w:rsidRPr="00861FDF">
        <w:rPr>
          <w:rtl/>
        </w:rPr>
        <w:t>ומכאן לפסיקה הנוהגת:</w:t>
      </w:r>
    </w:p>
    <w:p w14:paraId="66285606" w14:textId="77777777" w:rsidR="007A0820" w:rsidRPr="00861FDF" w:rsidRDefault="007A0820" w:rsidP="007A0820">
      <w:pPr>
        <w:spacing w:line="360" w:lineRule="auto"/>
        <w:jc w:val="both"/>
        <w:rPr>
          <w:rFonts w:ascii="David" w:hAnsi="David"/>
          <w:rtl/>
        </w:rPr>
      </w:pPr>
      <w:r w:rsidRPr="00ED01B7">
        <w:rPr>
          <w:rFonts w:ascii="David" w:hAnsi="David"/>
          <w:rtl/>
        </w:rPr>
        <w:t>ב</w:t>
      </w:r>
      <w:r w:rsidRPr="00ED01B7">
        <w:rPr>
          <w:rFonts w:ascii="David" w:hAnsi="David" w:hint="cs"/>
          <w:b/>
          <w:bCs/>
          <w:rtl/>
        </w:rPr>
        <w:t xml:space="preserve">פס"ד מדינת ישראל נגד פלוני </w:t>
      </w:r>
      <w:r w:rsidRPr="00ED01B7">
        <w:rPr>
          <w:rFonts w:ascii="David" w:hAnsi="David"/>
          <w:rtl/>
        </w:rPr>
        <w:t>נדון ערעור</w:t>
      </w:r>
      <w:r w:rsidRPr="00ED01B7">
        <w:rPr>
          <w:rFonts w:ascii="David" w:hAnsi="David" w:hint="cs"/>
          <w:rtl/>
        </w:rPr>
        <w:t xml:space="preserve"> המדינה בעניינו ש</w:t>
      </w:r>
      <w:r w:rsidRPr="00ED01B7">
        <w:rPr>
          <w:rFonts w:ascii="David" w:hAnsi="David"/>
          <w:rtl/>
        </w:rPr>
        <w:t xml:space="preserve">ל מי שהורשע, בהתאם להודאתו, בביצוע עבירת </w:t>
      </w:r>
      <w:r w:rsidRPr="00ED01B7">
        <w:rPr>
          <w:rFonts w:ascii="David" w:hAnsi="David" w:hint="cs"/>
          <w:rtl/>
        </w:rPr>
        <w:t xml:space="preserve">נשיאת נשק, הפרעה לשוטר במילוי תפקידו וכניסה ושהייה בישראל בניגוד לחוק. הנאשם, תושב ג'נין שלא היה מורקה להיכנס לישראל, נתפס כשהוא נוסע ברחבי אום אל פאחם כשהוא נושא על גופו אקדח חצי אוטומטי עם מחסנית וכדורים תואמים. כאשר התבקש לעצור לבדיקת השוטרים </w:t>
      </w:r>
      <w:r w:rsidRPr="00ED01B7">
        <w:rPr>
          <w:rFonts w:ascii="David" w:hAnsi="David"/>
          <w:rtl/>
        </w:rPr>
        <w:t>–</w:t>
      </w:r>
      <w:r w:rsidRPr="00ED01B7">
        <w:rPr>
          <w:rFonts w:ascii="David" w:hAnsi="David" w:hint="cs"/>
          <w:rtl/>
        </w:rPr>
        <w:t xml:space="preserve"> יצא מהרכב והחל להימלט, ואחרי שנתפס </w:t>
      </w:r>
      <w:r w:rsidRPr="00ED01B7">
        <w:rPr>
          <w:rFonts w:ascii="David" w:hAnsi="David"/>
          <w:rtl/>
        </w:rPr>
        <w:t>–</w:t>
      </w:r>
      <w:r w:rsidRPr="00ED01B7">
        <w:rPr>
          <w:rFonts w:ascii="David" w:hAnsi="David" w:hint="cs"/>
          <w:rtl/>
        </w:rPr>
        <w:t xml:space="preserve"> נאבק בשוטר, עד שנעצר בעזרת 2 שוטרים נוספים.</w:t>
      </w:r>
      <w:r w:rsidRPr="00ED01B7">
        <w:rPr>
          <w:rFonts w:ascii="David" w:hAnsi="David"/>
          <w:rtl/>
        </w:rPr>
        <w:t xml:space="preserve"> בית המשפט המחוזי קבע מתחם הנע בין </w:t>
      </w:r>
      <w:r w:rsidRPr="00ED01B7">
        <w:rPr>
          <w:rFonts w:ascii="David" w:hAnsi="David" w:hint="cs"/>
          <w:rtl/>
        </w:rPr>
        <w:t>16</w:t>
      </w:r>
      <w:r w:rsidRPr="00ED01B7">
        <w:rPr>
          <w:rFonts w:ascii="David" w:hAnsi="David"/>
          <w:rtl/>
        </w:rPr>
        <w:t>-40 חודשי מאסר</w:t>
      </w:r>
      <w:r w:rsidRPr="00ED01B7">
        <w:rPr>
          <w:rFonts w:ascii="David" w:hAnsi="David" w:hint="cs"/>
          <w:rtl/>
        </w:rPr>
        <w:t xml:space="preserve"> בפועל</w:t>
      </w:r>
      <w:r w:rsidRPr="00ED01B7">
        <w:rPr>
          <w:rFonts w:ascii="David" w:hAnsi="David"/>
          <w:rtl/>
        </w:rPr>
        <w:t xml:space="preserve">, ובשל נסיבותיו האישיות של הנאשם והיעדר עבר פלילי – הטיל עליו </w:t>
      </w:r>
      <w:r w:rsidRPr="00ED01B7">
        <w:rPr>
          <w:rFonts w:ascii="David" w:hAnsi="David" w:hint="cs"/>
          <w:rtl/>
        </w:rPr>
        <w:t>18</w:t>
      </w:r>
      <w:r w:rsidRPr="00ED01B7">
        <w:rPr>
          <w:rFonts w:ascii="David" w:hAnsi="David"/>
          <w:rtl/>
        </w:rPr>
        <w:t xml:space="preserve"> חודשי מאסר בפועל, בניכוי ימי מעצרו, לצד מאסר מותנה</w:t>
      </w:r>
      <w:r w:rsidRPr="00ED01B7">
        <w:rPr>
          <w:rFonts w:ascii="David" w:hAnsi="David" w:hint="cs"/>
          <w:rtl/>
        </w:rPr>
        <w:t xml:space="preserve"> וקנס</w:t>
      </w:r>
      <w:r w:rsidRPr="00ED01B7">
        <w:rPr>
          <w:rFonts w:ascii="David" w:hAnsi="David"/>
          <w:rtl/>
        </w:rPr>
        <w:t xml:space="preserve">. בית המשפט העליון </w:t>
      </w:r>
      <w:r w:rsidRPr="00ED01B7">
        <w:rPr>
          <w:rFonts w:ascii="David" w:hAnsi="David" w:hint="cs"/>
          <w:rtl/>
        </w:rPr>
        <w:t>קיבל את ערעור המדינה</w:t>
      </w:r>
      <w:r w:rsidRPr="00ED01B7">
        <w:rPr>
          <w:rFonts w:ascii="David" w:hAnsi="David"/>
          <w:rtl/>
        </w:rPr>
        <w:t xml:space="preserve"> על חומרת העונש וקבע</w:t>
      </w:r>
      <w:r w:rsidRPr="00ED01B7">
        <w:rPr>
          <w:rFonts w:ascii="David" w:hAnsi="David" w:hint="cs"/>
          <w:rtl/>
        </w:rPr>
        <w:t>, כאמור,</w:t>
      </w:r>
      <w:r w:rsidRPr="00ED01B7">
        <w:rPr>
          <w:rFonts w:ascii="David" w:hAnsi="David"/>
          <w:rtl/>
        </w:rPr>
        <w:t xml:space="preserve"> כי</w:t>
      </w:r>
      <w:r w:rsidRPr="00ED01B7">
        <w:rPr>
          <w:rFonts w:ascii="David" w:hAnsi="David" w:hint="cs"/>
          <w:rtl/>
        </w:rPr>
        <w:t xml:space="preserve"> יש להחמיר מדיניות הענישה ביחס לכלל עבירות הנשק ועל כלל הנאשמים הבגירים </w:t>
      </w:r>
      <w:r w:rsidRPr="00ED01B7">
        <w:rPr>
          <w:rFonts w:ascii="David" w:hAnsi="David"/>
          <w:rtl/>
        </w:rPr>
        <w:t>–</w:t>
      </w:r>
      <w:r w:rsidRPr="00ED01B7">
        <w:rPr>
          <w:rFonts w:ascii="David" w:hAnsi="David" w:hint="cs"/>
          <w:rtl/>
        </w:rPr>
        <w:t xml:space="preserve"> ללא סייגים, קבע כי</w:t>
      </w:r>
      <w:r w:rsidRPr="00ED01B7">
        <w:rPr>
          <w:rFonts w:ascii="David" w:hAnsi="David"/>
          <w:rtl/>
        </w:rPr>
        <w:t xml:space="preserve"> מתחם העונש </w:t>
      </w:r>
      <w:r w:rsidRPr="00ED01B7">
        <w:rPr>
          <w:rFonts w:ascii="David" w:hAnsi="David" w:hint="cs"/>
          <w:rtl/>
        </w:rPr>
        <w:t xml:space="preserve">שראוי לקבוע לנאשם בגיר בגין נשיאה בלתי חוקית של נשק חם במרחב הציבורי נע בין 30-42 חודשי מאסר בפועל, לצד ענישה נלווית, וכי בהיעדר נסיבות מיוחדות לחריגה מהמתחם </w:t>
      </w:r>
      <w:r w:rsidRPr="00ED01B7">
        <w:rPr>
          <w:rFonts w:ascii="David" w:hAnsi="David"/>
          <w:rtl/>
        </w:rPr>
        <w:t>–</w:t>
      </w:r>
      <w:r w:rsidRPr="00ED01B7">
        <w:rPr>
          <w:rFonts w:ascii="David" w:hAnsi="David" w:hint="cs"/>
          <w:rtl/>
        </w:rPr>
        <w:t xml:space="preserve"> סביר להטיל על נאשם כאמור 36 חודשי מאסר בפועל. במקרה זה, על אף נסיבותיו האישיות של הנאשם, אשר מצדיקות הקלה מסוימת בעונשו, אלו "מתקזזות" על ידי העבירות הנלוות שביצע הנאשם. על אף האמור, מאחר וערכאת ערעור אינה ממצה את הדין עם נאשם </w:t>
      </w:r>
      <w:r w:rsidRPr="00ED01B7">
        <w:rPr>
          <w:rFonts w:ascii="David" w:hAnsi="David"/>
          <w:rtl/>
        </w:rPr>
        <w:t>–</w:t>
      </w:r>
      <w:r w:rsidRPr="00ED01B7">
        <w:rPr>
          <w:rFonts w:ascii="David" w:hAnsi="David" w:hint="cs"/>
          <w:rtl/>
        </w:rPr>
        <w:t xml:space="preserve"> הוחמר עונשו של הנאשם </w:t>
      </w:r>
      <w:r>
        <w:rPr>
          <w:rFonts w:ascii="David" w:hAnsi="David" w:hint="cs"/>
          <w:rtl/>
        </w:rPr>
        <w:t>ל-28</w:t>
      </w:r>
      <w:r w:rsidRPr="00ED01B7">
        <w:rPr>
          <w:rFonts w:ascii="David" w:hAnsi="David" w:hint="cs"/>
          <w:rtl/>
        </w:rPr>
        <w:t xml:space="preserve"> חודשי מאסר בפועל בלבד. </w:t>
      </w:r>
    </w:p>
    <w:p w14:paraId="3479183F" w14:textId="77777777" w:rsidR="007A0820" w:rsidRDefault="007A0820" w:rsidP="007A0820">
      <w:pPr>
        <w:spacing w:line="360" w:lineRule="auto"/>
        <w:jc w:val="both"/>
        <w:rPr>
          <w:rFonts w:ascii="David" w:hAnsi="David"/>
          <w:rtl/>
        </w:rPr>
      </w:pPr>
    </w:p>
    <w:p w14:paraId="24A3EA3A" w14:textId="77777777" w:rsidR="007A0820" w:rsidRPr="00861FDF" w:rsidRDefault="007A0820" w:rsidP="007A0820">
      <w:pPr>
        <w:spacing w:line="360" w:lineRule="auto"/>
        <w:jc w:val="both"/>
        <w:rPr>
          <w:rFonts w:ascii="David" w:hAnsi="David"/>
          <w:rtl/>
        </w:rPr>
      </w:pPr>
      <w:r w:rsidRPr="00861FDF">
        <w:rPr>
          <w:rFonts w:ascii="David" w:hAnsi="David"/>
          <w:rtl/>
        </w:rPr>
        <w:t>ב</w:t>
      </w:r>
      <w:hyperlink r:id="rId28" w:history="1">
        <w:r w:rsidR="00F374A2" w:rsidRPr="00F374A2">
          <w:rPr>
            <w:rFonts w:ascii="David" w:hAnsi="David"/>
            <w:b/>
            <w:bCs/>
            <w:color w:val="0000FF"/>
            <w:u w:val="single"/>
            <w:rtl/>
          </w:rPr>
          <w:t>ע"פ 7716/14</w:t>
        </w:r>
      </w:hyperlink>
      <w:r w:rsidRPr="00861FDF">
        <w:rPr>
          <w:rFonts w:ascii="David" w:hAnsi="David"/>
          <w:b/>
          <w:bCs/>
          <w:rtl/>
        </w:rPr>
        <w:t xml:space="preserve"> אבו סעיפאן נגד מדינת ישראל (27/04/15)</w:t>
      </w:r>
      <w:r w:rsidRPr="00861FDF">
        <w:rPr>
          <w:rFonts w:ascii="David" w:hAnsi="David"/>
          <w:rtl/>
        </w:rPr>
        <w:t xml:space="preserve">, אליו הפנתה המאשימה, נדון ערעורו של מי שהורשע, בהתאם להודאתו, בביצוע עבירת הסתננות מזויינת, וזאת לאחר שהסתנן לישראל דרך גדר הגבול שבין רצועת עזה לישראל, יחד עם אחר, כשכל אחד מהם מחזיק בסכין. בית המשפט המחוזי קבע מתחם הנע בין 18-40 חודשי מאסר, ובשל נסיבותיו האישיות של הנאשם והיעדר עבר פלילי – הטיל עליו 26 חודשי מאסר בפועל, בניכוי ימי מעצרו, לצד מאסר מותנה. בית המשפט העליון דחה את הערעור על חומרת העונש וקבע כי הן מתחם העונש אשר נקבע והן העונש שהוטל על הנאשם – אינם חורגים ממדיניות הענישה הנהוגה. </w:t>
      </w:r>
    </w:p>
    <w:p w14:paraId="3F5D7588" w14:textId="77777777" w:rsidR="007A0820" w:rsidRPr="00861FDF" w:rsidRDefault="007A0820" w:rsidP="007A0820">
      <w:pPr>
        <w:spacing w:line="360" w:lineRule="auto"/>
        <w:jc w:val="both"/>
        <w:rPr>
          <w:rFonts w:ascii="David" w:hAnsi="David"/>
          <w:rtl/>
        </w:rPr>
      </w:pPr>
    </w:p>
    <w:p w14:paraId="7F72C0AA" w14:textId="77777777" w:rsidR="007A0820" w:rsidRPr="00861FDF" w:rsidRDefault="007A0820" w:rsidP="007A0820">
      <w:pPr>
        <w:spacing w:line="360" w:lineRule="auto"/>
        <w:jc w:val="both"/>
        <w:rPr>
          <w:rFonts w:ascii="David" w:hAnsi="David"/>
          <w:rtl/>
        </w:rPr>
      </w:pPr>
      <w:r w:rsidRPr="00861FDF">
        <w:rPr>
          <w:rFonts w:ascii="David" w:hAnsi="David"/>
          <w:rtl/>
        </w:rPr>
        <w:t>ב</w:t>
      </w:r>
      <w:r w:rsidRPr="00861FDF">
        <w:rPr>
          <w:rFonts w:ascii="David" w:hAnsi="David"/>
          <w:b/>
          <w:bCs/>
          <w:rtl/>
        </w:rPr>
        <w:t xml:space="preserve">פס"ד שרתאחה </w:t>
      </w:r>
      <w:r w:rsidRPr="00861FDF">
        <w:rPr>
          <w:rFonts w:ascii="David" w:hAnsi="David"/>
          <w:rtl/>
        </w:rPr>
        <w:t xml:space="preserve">נדון ערעורו של מי שהורשע, בהתאם להודאתו, בביצוע עבירת הסתננות ופגיעה ברכוש שהיה בה כדי לפגוע בביטחון המדינה. זאת לאחר שחדר לישראל דרך גדר הגבול שבין רצועת עזה לישראל, לאחר שחתך אותה. הוא נעצר וגורש לרצועה, אולם לאחר כחודשיים שב ונכנס לישראל דרך הגבול עם מצרים. בית המשפט המחוזי הטיל על הנאשם 12 חודשי מאסר לצד 24 חודשי מאסר מותנה. בית המשפט העליון קיבל את הערעור על קולת העונש, החמיר עונשו של הנאשם ל-24 חודשי מאסר בפועל לצד המאסר המותנה שנותר על כנו, זאת אף נוכח ההלכה לפיה ערכאת הערעור איננה ממצה את הדין עם נאשמים, וקבע כי בשל חומרת העבירות יש להטיל ענישה מרתיעה. </w:t>
      </w:r>
    </w:p>
    <w:p w14:paraId="705626ED" w14:textId="77777777" w:rsidR="007A0820" w:rsidRPr="00861FDF" w:rsidRDefault="007A0820" w:rsidP="007A0820">
      <w:pPr>
        <w:spacing w:line="360" w:lineRule="auto"/>
        <w:jc w:val="both"/>
        <w:rPr>
          <w:rFonts w:ascii="David" w:hAnsi="David"/>
          <w:rtl/>
        </w:rPr>
      </w:pPr>
    </w:p>
    <w:p w14:paraId="342044F7" w14:textId="77777777" w:rsidR="007A0820" w:rsidRPr="00861FDF" w:rsidRDefault="007A0820" w:rsidP="007A0820">
      <w:pPr>
        <w:spacing w:line="360" w:lineRule="auto"/>
        <w:jc w:val="both"/>
        <w:rPr>
          <w:rtl/>
        </w:rPr>
      </w:pPr>
      <w:r w:rsidRPr="00861FDF">
        <w:rPr>
          <w:rtl/>
        </w:rPr>
        <w:t>ב</w:t>
      </w:r>
      <w:r w:rsidRPr="00861FDF">
        <w:rPr>
          <w:b/>
          <w:bCs/>
          <w:rtl/>
        </w:rPr>
        <w:t>פס"ד עבאס</w:t>
      </w:r>
      <w:r w:rsidRPr="00861FDF">
        <w:rPr>
          <w:rtl/>
        </w:rPr>
        <w:t xml:space="preserve"> נדון ערעורו של מי שהורשע, לאחר שהודה במסכת העובדתית, בביצוע עבירת הסתננות וקשירת קשר להסתננות. זאת לאחר שעבר את גדר המערכת מרצועת עזה לישראל, יחד עם אחר שתכנן לבצע פיגוע בישראל, ללא ידיעת הנאשם. בית המשפט המחוזי גזר על הנאשם 30 חודשי מאסר בפועל לצד 12 חודשי מאסר מותנה. בית המשפט העליון דחה את הערעור על חומרת העונש וקבע כי בצדק השית בית משפט קמא על הנאשם עונש שירתיע מפני מעשי הסתננות וכי עונש זה תואם את התכלית ההרתעתית-ביטחונית של החוק למניעת הסתננות, תוך שהתחשב אף בעברו הפלילי של הנאשם ומנגד בנסיבות המקלות במקרה זה, ובכללם העובדה כי הסתנן שלא על מנת לבצע פעילות חבלנית. </w:t>
      </w:r>
    </w:p>
    <w:p w14:paraId="55027CBD" w14:textId="77777777" w:rsidR="007A0820" w:rsidRPr="00861FDF" w:rsidRDefault="007A0820" w:rsidP="007A0820">
      <w:pPr>
        <w:spacing w:line="360" w:lineRule="auto"/>
        <w:jc w:val="both"/>
        <w:rPr>
          <w:rFonts w:ascii="David" w:hAnsi="David"/>
          <w:rtl/>
        </w:rPr>
      </w:pPr>
    </w:p>
    <w:p w14:paraId="5B7843AA" w14:textId="77777777" w:rsidR="007A0820" w:rsidRPr="00861FDF" w:rsidRDefault="007A0820" w:rsidP="007A0820">
      <w:pPr>
        <w:spacing w:line="360" w:lineRule="auto"/>
        <w:jc w:val="both"/>
        <w:rPr>
          <w:rFonts w:ascii="Calibri" w:hAnsi="Calibri"/>
          <w:rtl/>
        </w:rPr>
      </w:pPr>
      <w:r w:rsidRPr="00861FDF">
        <w:rPr>
          <w:rFonts w:ascii="David" w:hAnsi="David"/>
          <w:rtl/>
        </w:rPr>
        <w:t>ב</w:t>
      </w:r>
      <w:hyperlink r:id="rId29" w:history="1">
        <w:r w:rsidR="00F374A2" w:rsidRPr="00F374A2">
          <w:rPr>
            <w:rFonts w:ascii="David" w:hAnsi="David"/>
            <w:b/>
            <w:bCs/>
            <w:color w:val="0000FF"/>
            <w:u w:val="single"/>
            <w:rtl/>
          </w:rPr>
          <w:t>ת"פ 1715-07-21</w:t>
        </w:r>
      </w:hyperlink>
      <w:r w:rsidRPr="00861FDF">
        <w:rPr>
          <w:rFonts w:ascii="David" w:hAnsi="David"/>
          <w:b/>
          <w:bCs/>
          <w:rtl/>
        </w:rPr>
        <w:t xml:space="preserve"> מדינת ישראל נגד שאוי (14/03/22), </w:t>
      </w:r>
      <w:r w:rsidRPr="00861FDF">
        <w:rPr>
          <w:rFonts w:ascii="David" w:hAnsi="David"/>
          <w:rtl/>
        </w:rPr>
        <w:t xml:space="preserve">אליו הפנתה המאשימה, הורשע נאשם, בהתאם להודאתו, בביצוע עבירת הסתננות מזויינת ועבירת נשיאת נשק, וזאת לאחר שעבר את גדר המערכת שבין רצועת עזה לישראל כשעל גופו רימון רסס, מה שנחזה להיות מטען מאולתר ו-3 סכינים, וזאת על מנת להיעצר. למען הסר ספק, העבירה בוצעה טרם כניסת </w:t>
      </w:r>
      <w:r w:rsidRPr="00861FDF">
        <w:rPr>
          <w:rFonts w:ascii="David" w:hAnsi="David"/>
          <w:b/>
          <w:bCs/>
          <w:rtl/>
        </w:rPr>
        <w:t>תיקון 140 ל</w:t>
      </w:r>
      <w:hyperlink r:id="rId30" w:history="1">
        <w:r w:rsidR="00F374A2" w:rsidRPr="00F374A2">
          <w:rPr>
            <w:rFonts w:ascii="David" w:hAnsi="David"/>
            <w:b/>
            <w:bCs/>
            <w:color w:val="0000FF"/>
            <w:u w:val="single"/>
            <w:rtl/>
          </w:rPr>
          <w:t>חוק העונשין</w:t>
        </w:r>
      </w:hyperlink>
      <w:r w:rsidRPr="00861FDF">
        <w:rPr>
          <w:rFonts w:ascii="David" w:hAnsi="David"/>
          <w:rtl/>
        </w:rPr>
        <w:t xml:space="preserve"> לתוקף</w:t>
      </w:r>
      <w:r w:rsidRPr="00861FDF">
        <w:rPr>
          <w:rFonts w:ascii="Calibri" w:hAnsi="Calibri"/>
          <w:rtl/>
        </w:rPr>
        <w:t xml:space="preserve">. </w:t>
      </w:r>
      <w:r w:rsidRPr="00861FDF">
        <w:rPr>
          <w:rFonts w:ascii="David" w:hAnsi="David"/>
          <w:rtl/>
        </w:rPr>
        <w:t xml:space="preserve">בית המשפט קבע מתחם ענישה הנע בין 26-48 חודשי מאסר בפועל, ובשל גילו הצעיר של הנאשם, 18 שנים בלבד ובהיעדר עבר – הסתפק בהטלת 30 חודשי מאסר בלבד בניכוי ימי מעצרו לצד 12 חודשי מאסר מותנה. </w:t>
      </w:r>
    </w:p>
    <w:p w14:paraId="2FC8A4E7" w14:textId="77777777" w:rsidR="007A0820" w:rsidRPr="0028506C" w:rsidRDefault="007A0820" w:rsidP="007A0820">
      <w:pPr>
        <w:spacing w:line="360" w:lineRule="auto"/>
        <w:jc w:val="both"/>
        <w:rPr>
          <w:rFonts w:ascii="David" w:hAnsi="David"/>
          <w:rtl/>
        </w:rPr>
      </w:pPr>
      <w:r w:rsidRPr="0028506C">
        <w:rPr>
          <w:rFonts w:ascii="David" w:hAnsi="David" w:hint="cs"/>
          <w:rtl/>
        </w:rPr>
        <w:t>יצוין כי בתיק זה תלוי ועומד ערעור שטרם הוכרע.</w:t>
      </w:r>
      <w:r w:rsidRPr="0028506C">
        <w:rPr>
          <w:rFonts w:ascii="David" w:hAnsi="David"/>
          <w:rtl/>
        </w:rPr>
        <w:t xml:space="preserve"> </w:t>
      </w:r>
    </w:p>
    <w:p w14:paraId="3F6B0B15" w14:textId="77777777" w:rsidR="007A0820" w:rsidRPr="00861FDF" w:rsidRDefault="007A0820" w:rsidP="007A0820">
      <w:pPr>
        <w:spacing w:line="360" w:lineRule="auto"/>
        <w:jc w:val="both"/>
        <w:rPr>
          <w:rFonts w:ascii="David" w:hAnsi="David"/>
          <w:rtl/>
        </w:rPr>
      </w:pPr>
    </w:p>
    <w:p w14:paraId="08950451" w14:textId="77777777" w:rsidR="007A0820" w:rsidRPr="00861FDF" w:rsidRDefault="007A0820" w:rsidP="007A0820">
      <w:pPr>
        <w:spacing w:line="360" w:lineRule="auto"/>
        <w:jc w:val="both"/>
        <w:rPr>
          <w:rFonts w:ascii="Calibri" w:hAnsi="Calibri"/>
          <w:rtl/>
        </w:rPr>
      </w:pPr>
      <w:r w:rsidRPr="00861FDF">
        <w:rPr>
          <w:rFonts w:ascii="David" w:hAnsi="David"/>
          <w:rtl/>
        </w:rPr>
        <w:t>ב</w:t>
      </w:r>
      <w:hyperlink r:id="rId31" w:history="1">
        <w:r w:rsidR="00F374A2" w:rsidRPr="00F374A2">
          <w:rPr>
            <w:rFonts w:ascii="David" w:hAnsi="David"/>
            <w:b/>
            <w:bCs/>
            <w:color w:val="0000FF"/>
            <w:u w:val="single"/>
            <w:rtl/>
          </w:rPr>
          <w:t>ת"פ 34630-12-21</w:t>
        </w:r>
      </w:hyperlink>
      <w:r w:rsidRPr="00861FDF">
        <w:rPr>
          <w:rFonts w:ascii="David" w:hAnsi="David"/>
          <w:b/>
          <w:bCs/>
          <w:rtl/>
        </w:rPr>
        <w:t xml:space="preserve"> מדינת ישראל נגד דבארי (13/03/22), </w:t>
      </w:r>
      <w:r w:rsidRPr="00861FDF">
        <w:rPr>
          <w:rFonts w:ascii="David" w:hAnsi="David"/>
          <w:rtl/>
        </w:rPr>
        <w:t xml:space="preserve">אליו הפנתה המאשימה, הורשע נאשם, בהתאם להודאתו, בביצוע עבירת הסתננות מזויינת ועבירת נשיאת נשק, וזאת לאחר שעבר את גדר המערכת שבין רצועת עזה לישראל כשעל גופו רימון רסס, וזאת על מנת להיעצר. למען הסר ספק, העבירה בוצעה טרם כניסת </w:t>
      </w:r>
      <w:r w:rsidRPr="00861FDF">
        <w:rPr>
          <w:rFonts w:ascii="David" w:hAnsi="David"/>
          <w:b/>
          <w:bCs/>
          <w:rtl/>
        </w:rPr>
        <w:t>תיקון 140 ל</w:t>
      </w:r>
      <w:hyperlink r:id="rId32" w:history="1">
        <w:r w:rsidR="00F374A2" w:rsidRPr="00F374A2">
          <w:rPr>
            <w:rFonts w:ascii="David" w:hAnsi="David"/>
            <w:b/>
            <w:bCs/>
            <w:color w:val="0000FF"/>
            <w:u w:val="single"/>
            <w:rtl/>
          </w:rPr>
          <w:t>חוק העונשין</w:t>
        </w:r>
      </w:hyperlink>
      <w:r w:rsidRPr="00861FDF">
        <w:rPr>
          <w:rFonts w:ascii="David" w:hAnsi="David"/>
          <w:rtl/>
        </w:rPr>
        <w:t xml:space="preserve"> לתוקף</w:t>
      </w:r>
      <w:r w:rsidRPr="00861FDF">
        <w:rPr>
          <w:rFonts w:ascii="Calibri" w:hAnsi="Calibri"/>
          <w:rtl/>
        </w:rPr>
        <w:t xml:space="preserve">. </w:t>
      </w:r>
      <w:r w:rsidRPr="00861FDF">
        <w:rPr>
          <w:rFonts w:ascii="David" w:hAnsi="David"/>
          <w:rtl/>
        </w:rPr>
        <w:t xml:space="preserve">בית המשפט קבע מתחם ענישה הנע בין 24-48 חודשי מאסר בפועל, ובשל גילו הצעיר של הנאשם ובהיעדר עבר פלילי – הסתפק בהטלת 24 חודשי מאסר בלבד בניכוי ימי מעצרו לצד 9 חודשי מאסר מותנה וקנס. </w:t>
      </w:r>
      <w:r w:rsidRPr="00861FDF">
        <w:rPr>
          <w:rFonts w:ascii="Calibri" w:hAnsi="Calibri"/>
          <w:rtl/>
        </w:rPr>
        <w:t xml:space="preserve"> </w:t>
      </w:r>
    </w:p>
    <w:p w14:paraId="57D3492D" w14:textId="77777777" w:rsidR="007A0820" w:rsidRPr="00861FDF" w:rsidRDefault="007A0820" w:rsidP="007A0820">
      <w:pPr>
        <w:spacing w:line="360" w:lineRule="auto"/>
        <w:jc w:val="both"/>
        <w:rPr>
          <w:rFonts w:ascii="David" w:hAnsi="David"/>
          <w:rtl/>
        </w:rPr>
      </w:pPr>
    </w:p>
    <w:p w14:paraId="5FAB3490" w14:textId="77777777" w:rsidR="007A0820" w:rsidRPr="00861FDF" w:rsidRDefault="007A0820" w:rsidP="007A0820">
      <w:pPr>
        <w:spacing w:line="360" w:lineRule="auto"/>
        <w:jc w:val="both"/>
        <w:rPr>
          <w:rFonts w:ascii="Calibri" w:hAnsi="Calibri"/>
          <w:rtl/>
        </w:rPr>
      </w:pPr>
      <w:r w:rsidRPr="00861FDF">
        <w:rPr>
          <w:rFonts w:ascii="David" w:hAnsi="David"/>
          <w:rtl/>
        </w:rPr>
        <w:t>ב</w:t>
      </w:r>
      <w:hyperlink r:id="rId33" w:history="1">
        <w:r w:rsidR="00F374A2" w:rsidRPr="00F374A2">
          <w:rPr>
            <w:rFonts w:ascii="David" w:hAnsi="David"/>
            <w:b/>
            <w:bCs/>
            <w:color w:val="0000FF"/>
            <w:u w:val="single"/>
            <w:rtl/>
          </w:rPr>
          <w:t>ת"פ 51971-12-21</w:t>
        </w:r>
      </w:hyperlink>
      <w:r w:rsidRPr="00861FDF">
        <w:rPr>
          <w:rFonts w:ascii="David" w:hAnsi="David"/>
          <w:b/>
          <w:bCs/>
          <w:rtl/>
        </w:rPr>
        <w:t xml:space="preserve"> מדינת ישראל נגד אבו סנימה ואח' (13/03/22), </w:t>
      </w:r>
      <w:r w:rsidRPr="00861FDF">
        <w:rPr>
          <w:rFonts w:ascii="David" w:hAnsi="David"/>
          <w:rtl/>
        </w:rPr>
        <w:t xml:space="preserve">אליו הפנתה המאשימה, הורשעו נאשמים, בהתאם להודאתם, בביצוע עבירת הסתננות מזויינת ועבירת נשיאת נשק, וזאת לאחר שעברו את גדר המערכת שבין רצועת עזה לישראל כשעל גופו של האחד רימון רסס ועל השני - סכין, וזאת במטרה להיעצר. במקרה זה העבירה בוצעה לאחר כניסתו לתוקף של </w:t>
      </w:r>
      <w:r w:rsidRPr="00861FDF">
        <w:rPr>
          <w:rFonts w:ascii="David" w:hAnsi="David"/>
          <w:b/>
          <w:bCs/>
          <w:rtl/>
        </w:rPr>
        <w:t>תיקון 140 ל</w:t>
      </w:r>
      <w:hyperlink r:id="rId34" w:history="1">
        <w:r w:rsidR="00F374A2" w:rsidRPr="00F374A2">
          <w:rPr>
            <w:rFonts w:ascii="David" w:hAnsi="David"/>
            <w:b/>
            <w:bCs/>
            <w:color w:val="0000FF"/>
            <w:u w:val="single"/>
            <w:rtl/>
          </w:rPr>
          <w:t>חוק העונשין</w:t>
        </w:r>
      </w:hyperlink>
      <w:r w:rsidRPr="00861FDF">
        <w:rPr>
          <w:rFonts w:ascii="Calibri" w:hAnsi="Calibri"/>
          <w:rtl/>
        </w:rPr>
        <w:t xml:space="preserve">. </w:t>
      </w:r>
      <w:r w:rsidRPr="00861FDF">
        <w:rPr>
          <w:rFonts w:ascii="David" w:hAnsi="David"/>
          <w:rtl/>
        </w:rPr>
        <w:t xml:space="preserve">בית המשפט קבע מתחם ענישה הנע בין 24-48 חודשי מאסר בפועל, ובשל גילם הצעיר של הנאשמים, נסיבותיהם האישיות ובהיעדר עבר פלילי – הסתפק בהטלת 24 חודשי מאסר בפועל בלבד בניכוי ימי מעצרם לצד 9 חודשי מאסר מותנה וקנס. </w:t>
      </w:r>
    </w:p>
    <w:p w14:paraId="460C63C2" w14:textId="77777777" w:rsidR="007A0820" w:rsidRPr="00861FDF" w:rsidRDefault="007A0820" w:rsidP="007A0820">
      <w:pPr>
        <w:spacing w:line="360" w:lineRule="auto"/>
        <w:jc w:val="both"/>
        <w:rPr>
          <w:rFonts w:ascii="David" w:hAnsi="David"/>
          <w:rtl/>
        </w:rPr>
      </w:pPr>
    </w:p>
    <w:p w14:paraId="645BF572" w14:textId="77777777" w:rsidR="007A0820" w:rsidRPr="00861FDF" w:rsidRDefault="007A0820" w:rsidP="007A0820">
      <w:pPr>
        <w:spacing w:line="360" w:lineRule="auto"/>
        <w:jc w:val="both"/>
        <w:rPr>
          <w:rFonts w:ascii="David" w:hAnsi="David"/>
          <w:b/>
          <w:bCs/>
          <w:rtl/>
        </w:rPr>
      </w:pPr>
      <w:r w:rsidRPr="00861FDF">
        <w:rPr>
          <w:rFonts w:ascii="David" w:hAnsi="David"/>
          <w:rtl/>
        </w:rPr>
        <w:t>לא מצאתי לנכון ללמוד מ</w:t>
      </w:r>
      <w:hyperlink r:id="rId35" w:history="1">
        <w:r w:rsidR="00F374A2" w:rsidRPr="00F374A2">
          <w:rPr>
            <w:rFonts w:ascii="David" w:hAnsi="David"/>
            <w:b/>
            <w:bCs/>
            <w:color w:val="0000FF"/>
            <w:u w:val="single"/>
            <w:rtl/>
          </w:rPr>
          <w:t>ת"פ 66173-10-21</w:t>
        </w:r>
      </w:hyperlink>
      <w:r w:rsidRPr="00861FDF">
        <w:rPr>
          <w:rFonts w:ascii="David" w:hAnsi="David"/>
          <w:b/>
          <w:bCs/>
          <w:rtl/>
        </w:rPr>
        <w:t xml:space="preserve"> </w:t>
      </w:r>
      <w:r w:rsidRPr="00861FDF">
        <w:rPr>
          <w:rFonts w:ascii="David" w:hAnsi="David"/>
          <w:rtl/>
        </w:rPr>
        <w:t>אליו הפנתה ב"כ המאשימה, וזאת מאחר ופסק דין זה עסק בנאשם אשר אף ביצע עבירת ניסיון חבלה בכוונה מחמירה בנסיבות מעשה טרור.</w:t>
      </w:r>
    </w:p>
    <w:p w14:paraId="36E40CCD" w14:textId="77777777" w:rsidR="007A0820" w:rsidRPr="00861FDF" w:rsidRDefault="007A0820" w:rsidP="007A0820">
      <w:pPr>
        <w:spacing w:line="360" w:lineRule="auto"/>
        <w:jc w:val="both"/>
        <w:rPr>
          <w:rFonts w:ascii="David" w:hAnsi="David"/>
          <w:b/>
          <w:bCs/>
          <w:rtl/>
        </w:rPr>
      </w:pPr>
    </w:p>
    <w:p w14:paraId="65CBEE03" w14:textId="77777777" w:rsidR="007A0820" w:rsidRPr="00861FDF" w:rsidRDefault="007A0820" w:rsidP="007A0820">
      <w:pPr>
        <w:spacing w:line="360" w:lineRule="auto"/>
        <w:jc w:val="both"/>
        <w:rPr>
          <w:rFonts w:ascii="David" w:hAnsi="David"/>
          <w:b/>
          <w:bCs/>
          <w:u w:val="single"/>
          <w:rtl/>
        </w:rPr>
      </w:pPr>
      <w:r w:rsidRPr="00861FDF">
        <w:rPr>
          <w:rFonts w:ascii="David" w:hAnsi="David"/>
          <w:b/>
          <w:bCs/>
          <w:u w:val="single"/>
          <w:rtl/>
        </w:rPr>
        <w:t xml:space="preserve">נסיבות ביצוע העבירה </w:t>
      </w:r>
    </w:p>
    <w:p w14:paraId="5B76C540" w14:textId="77777777" w:rsidR="007A0820" w:rsidRPr="00861FDF" w:rsidRDefault="007A0820" w:rsidP="007A0820">
      <w:pPr>
        <w:spacing w:line="360" w:lineRule="auto"/>
        <w:jc w:val="both"/>
        <w:rPr>
          <w:rFonts w:ascii="David" w:hAnsi="David"/>
          <w:rtl/>
        </w:rPr>
      </w:pPr>
      <w:r w:rsidRPr="00861FDF">
        <w:rPr>
          <w:rFonts w:ascii="David" w:hAnsi="David"/>
          <w:b/>
          <w:bCs/>
          <w:rtl/>
        </w:rPr>
        <w:t xml:space="preserve">7. </w:t>
      </w:r>
      <w:r w:rsidRPr="00861FDF">
        <w:rPr>
          <w:rFonts w:ascii="David" w:hAnsi="David"/>
          <w:rtl/>
        </w:rPr>
        <w:t>במסגרת</w:t>
      </w:r>
      <w:r w:rsidRPr="00861FDF">
        <w:rPr>
          <w:rFonts w:ascii="David" w:hAnsi="David"/>
          <w:b/>
          <w:bCs/>
          <w:rtl/>
        </w:rPr>
        <w:t xml:space="preserve"> נסיבות ביצוע העבירות </w:t>
      </w:r>
      <w:r w:rsidRPr="00861FDF">
        <w:rPr>
          <w:rFonts w:ascii="David" w:hAnsi="David"/>
          <w:rtl/>
        </w:rPr>
        <w:t>יש לקחת בחשבון שלאירוע קדם תכנון שבא לידי ביטוי גם בקש</w:t>
      </w:r>
      <w:r>
        <w:rPr>
          <w:rFonts w:ascii="David" w:hAnsi="David" w:hint="cs"/>
          <w:rtl/>
        </w:rPr>
        <w:t>י</w:t>
      </w:r>
      <w:r w:rsidRPr="00861FDF">
        <w:rPr>
          <w:rFonts w:ascii="David" w:hAnsi="David"/>
          <w:rtl/>
        </w:rPr>
        <w:t xml:space="preserve">רת הקשר וגם ברכישת הרימון מראש, וכן כי המעשים בוצעו, כאמור, בצוותא חדא כשלכל אחד מהנאשמים חלק שווה במידת האחריות לאירוע וחלק פעיל בביצוע המעשים. כמו כן, יש ליתן משקל  לסיבה שהובילה את הנאשמים לבצע המעשים – רצונם להיעצר. </w:t>
      </w:r>
    </w:p>
    <w:p w14:paraId="767A121F" w14:textId="77777777" w:rsidR="007A0820" w:rsidRPr="00861FDF" w:rsidRDefault="007A0820" w:rsidP="007A0820">
      <w:pPr>
        <w:spacing w:line="360" w:lineRule="auto"/>
        <w:contextualSpacing/>
        <w:jc w:val="both"/>
        <w:rPr>
          <w:rFonts w:ascii="David" w:hAnsi="David"/>
          <w:b/>
          <w:bCs/>
          <w:rtl/>
        </w:rPr>
      </w:pPr>
    </w:p>
    <w:p w14:paraId="4416225A" w14:textId="77777777" w:rsidR="007A0820" w:rsidRPr="00861FDF" w:rsidRDefault="007A0820" w:rsidP="007A0820">
      <w:pPr>
        <w:spacing w:line="360" w:lineRule="auto"/>
        <w:contextualSpacing/>
        <w:jc w:val="both"/>
        <w:rPr>
          <w:rFonts w:ascii="David" w:hAnsi="David"/>
          <w:rtl/>
        </w:rPr>
      </w:pPr>
      <w:r w:rsidRPr="00861FDF">
        <w:rPr>
          <w:rFonts w:ascii="David" w:hAnsi="David"/>
          <w:rtl/>
        </w:rPr>
        <w:t>נוסף על המפורט, יש ליתן משקל לנזק אשר נגרם כתוצאה מביצוע המעשים, בזבוז משאבים של גורמי הביטחון ואף לסיכונם.</w:t>
      </w:r>
    </w:p>
    <w:p w14:paraId="2030B089" w14:textId="77777777" w:rsidR="007A0820" w:rsidRDefault="007A0820" w:rsidP="007A0820">
      <w:pPr>
        <w:spacing w:line="360" w:lineRule="auto"/>
        <w:contextualSpacing/>
        <w:jc w:val="both"/>
        <w:rPr>
          <w:rFonts w:ascii="David" w:hAnsi="David"/>
          <w:b/>
          <w:bCs/>
          <w:rtl/>
        </w:rPr>
      </w:pPr>
    </w:p>
    <w:p w14:paraId="06F14972" w14:textId="77777777" w:rsidR="007A0820" w:rsidRDefault="007A0820" w:rsidP="007A0820">
      <w:pPr>
        <w:spacing w:line="360" w:lineRule="auto"/>
        <w:contextualSpacing/>
        <w:jc w:val="both"/>
        <w:rPr>
          <w:rFonts w:ascii="David" w:hAnsi="David"/>
          <w:rtl/>
        </w:rPr>
      </w:pPr>
      <w:r w:rsidRPr="00A531DC">
        <w:rPr>
          <w:rFonts w:ascii="David" w:hAnsi="David" w:hint="cs"/>
          <w:rtl/>
        </w:rPr>
        <w:t>בעני</w:t>
      </w:r>
      <w:r>
        <w:rPr>
          <w:rFonts w:ascii="David" w:hAnsi="David" w:hint="cs"/>
          <w:rtl/>
        </w:rPr>
        <w:t>י</w:t>
      </w:r>
      <w:r w:rsidRPr="00A531DC">
        <w:rPr>
          <w:rFonts w:ascii="David" w:hAnsi="David" w:hint="cs"/>
          <w:rtl/>
        </w:rPr>
        <w:t>ן ז</w:t>
      </w:r>
      <w:r>
        <w:rPr>
          <w:rFonts w:ascii="David" w:hAnsi="David" w:hint="cs"/>
          <w:rtl/>
        </w:rPr>
        <w:t xml:space="preserve">ה טען ב"כ הנאשמים ארוכות וטען כי לאור מדיניות ההעמדה לדין של מסתננים בוצעה </w:t>
      </w:r>
      <w:r w:rsidRPr="00CE5508">
        <w:rPr>
          <w:rFonts w:ascii="David" w:hAnsi="David" w:hint="cs"/>
          <w:rtl/>
        </w:rPr>
        <w:t>העבירה תוך נשיאת רימון, אך זאת רק כדי להיעצר ולא כדי לפגוע, ומשכך, אין לייחס חומרה יתרה</w:t>
      </w:r>
      <w:r>
        <w:rPr>
          <w:rFonts w:ascii="David" w:hAnsi="David" w:hint="cs"/>
          <w:rtl/>
        </w:rPr>
        <w:t xml:space="preserve"> למעשים.</w:t>
      </w:r>
    </w:p>
    <w:p w14:paraId="719B4D70" w14:textId="77777777" w:rsidR="007A0820" w:rsidRDefault="007A0820" w:rsidP="007A0820">
      <w:pPr>
        <w:spacing w:line="360" w:lineRule="auto"/>
        <w:contextualSpacing/>
        <w:jc w:val="both"/>
        <w:rPr>
          <w:rFonts w:ascii="David" w:hAnsi="David"/>
          <w:rtl/>
        </w:rPr>
      </w:pPr>
      <w:r w:rsidRPr="00BA7EE7">
        <w:rPr>
          <w:rFonts w:ascii="David" w:hAnsi="David" w:hint="cs"/>
          <w:rtl/>
        </w:rPr>
        <w:t>אין לי אלא לדחות את טענת ההגנה, תוך הפנייה לדבריו של חברי כב' השופט י.ליבדרו                                   ב</w:t>
      </w:r>
      <w:r w:rsidRPr="00BA7EE7">
        <w:rPr>
          <w:rFonts w:ascii="David" w:hAnsi="David" w:hint="cs"/>
          <w:b/>
          <w:bCs/>
          <w:rtl/>
        </w:rPr>
        <w:t>ת"פ 1715-07-22</w:t>
      </w:r>
      <w:r w:rsidRPr="00BA7EE7">
        <w:rPr>
          <w:rFonts w:ascii="David" w:hAnsi="David" w:hint="cs"/>
          <w:rtl/>
        </w:rPr>
        <w:t xml:space="preserve"> </w:t>
      </w:r>
      <w:r w:rsidRPr="00BA7EE7">
        <w:rPr>
          <w:rFonts w:ascii="David" w:hAnsi="David" w:hint="cs"/>
          <w:b/>
          <w:bCs/>
          <w:rtl/>
        </w:rPr>
        <w:t xml:space="preserve">מדינת ישראל נגד שאני (14/03/22) </w:t>
      </w:r>
      <w:r w:rsidRPr="00BA7EE7">
        <w:rPr>
          <w:rFonts w:ascii="David" w:hAnsi="David" w:hint="cs"/>
          <w:rtl/>
        </w:rPr>
        <w:t>(סעיף 10 לגזה"ד).</w:t>
      </w:r>
    </w:p>
    <w:p w14:paraId="6DF6B646" w14:textId="77777777" w:rsidR="007A0820" w:rsidRDefault="007A0820" w:rsidP="007A0820">
      <w:pPr>
        <w:spacing w:line="360" w:lineRule="auto"/>
        <w:contextualSpacing/>
        <w:jc w:val="both"/>
        <w:rPr>
          <w:rFonts w:ascii="David" w:hAnsi="David"/>
          <w:rtl/>
        </w:rPr>
      </w:pPr>
    </w:p>
    <w:p w14:paraId="2CBB8D8C" w14:textId="77777777" w:rsidR="007A0820" w:rsidRDefault="007A0820" w:rsidP="007A0820">
      <w:pPr>
        <w:spacing w:line="360" w:lineRule="auto"/>
        <w:contextualSpacing/>
        <w:jc w:val="both"/>
        <w:rPr>
          <w:rFonts w:ascii="David" w:hAnsi="David"/>
          <w:rtl/>
        </w:rPr>
      </w:pPr>
      <w:r w:rsidRPr="00BA7EE7">
        <w:rPr>
          <w:rFonts w:ascii="David" w:hAnsi="David" w:hint="cs"/>
          <w:rtl/>
        </w:rPr>
        <w:t>בקצרה אומר כי גם אם פניהם של הנאשמים לא היו לפגע, הרי שבעצם החדירה מאזור בו שולט ארגון טרור שהגבול עמו נפיץ מבחינה ביטחונית, ישנו סיכון לביטחון החיילים והשוהים במקום, ולו רק</w:t>
      </w:r>
      <w:r>
        <w:rPr>
          <w:rFonts w:ascii="David" w:hAnsi="David" w:hint="cs"/>
          <w:rtl/>
        </w:rPr>
        <w:t xml:space="preserve"> מתוך חשש לאירוע ירי דו-צדדי ו/או הפעלת הרימון מחמת טעות או שימוש לא זהיר בו. </w:t>
      </w:r>
    </w:p>
    <w:p w14:paraId="3231FFEA" w14:textId="77777777" w:rsidR="007A0820" w:rsidRDefault="007A0820" w:rsidP="007A0820">
      <w:pPr>
        <w:spacing w:line="360" w:lineRule="auto"/>
        <w:contextualSpacing/>
        <w:jc w:val="both"/>
        <w:rPr>
          <w:rFonts w:ascii="David" w:hAnsi="David"/>
          <w:rtl/>
        </w:rPr>
      </w:pPr>
    </w:p>
    <w:p w14:paraId="4333757F" w14:textId="77777777" w:rsidR="007A0820" w:rsidRDefault="007A0820" w:rsidP="007A0820">
      <w:pPr>
        <w:spacing w:line="360" w:lineRule="auto"/>
        <w:contextualSpacing/>
        <w:jc w:val="both"/>
        <w:rPr>
          <w:rFonts w:ascii="David" w:hAnsi="David"/>
          <w:rtl/>
        </w:rPr>
      </w:pPr>
      <w:r w:rsidRPr="00BA7EE7">
        <w:rPr>
          <w:rFonts w:ascii="David" w:hAnsi="David" w:hint="cs"/>
          <w:rtl/>
        </w:rPr>
        <w:t>העובדה שתושב רצועת עזה מסתנן לתוך ישראל, מצויד כל פעם בנשק הנדרש לשם העמדתו לדין,  רק כדי להיעצר ובכך להביא לקבלת כספים עבור משפחתו - אינה יכולה להפחית מחומרת המעשה</w:t>
      </w:r>
      <w:r>
        <w:rPr>
          <w:rFonts w:ascii="David" w:hAnsi="David" w:hint="cs"/>
          <w:rtl/>
        </w:rPr>
        <w:t xml:space="preserve"> ומפוטנציאל הנזק הגלום ממעשיו. </w:t>
      </w:r>
    </w:p>
    <w:p w14:paraId="282F5989" w14:textId="77777777" w:rsidR="007A0820" w:rsidRDefault="007A0820" w:rsidP="007A0820">
      <w:pPr>
        <w:spacing w:line="360" w:lineRule="auto"/>
        <w:contextualSpacing/>
        <w:jc w:val="both"/>
        <w:rPr>
          <w:rFonts w:ascii="David" w:hAnsi="David"/>
          <w:rtl/>
        </w:rPr>
      </w:pPr>
    </w:p>
    <w:p w14:paraId="3B8AB2CA" w14:textId="77777777" w:rsidR="007A0820" w:rsidRDefault="007A0820" w:rsidP="007A0820">
      <w:pPr>
        <w:spacing w:line="360" w:lineRule="auto"/>
        <w:contextualSpacing/>
        <w:jc w:val="both"/>
        <w:rPr>
          <w:rFonts w:ascii="David" w:hAnsi="David"/>
          <w:rtl/>
        </w:rPr>
      </w:pPr>
      <w:r w:rsidRPr="00BA7EE7">
        <w:rPr>
          <w:rFonts w:ascii="David" w:hAnsi="David" w:hint="cs"/>
          <w:rtl/>
        </w:rPr>
        <w:t>לאחר שכל זה נאמר - אתן גם משקל לעובדה לפיה כוונת ה</w:t>
      </w:r>
      <w:r>
        <w:rPr>
          <w:rFonts w:ascii="David" w:hAnsi="David" w:hint="cs"/>
          <w:rtl/>
        </w:rPr>
        <w:t>נאשמים לא הייתה לפגע.</w:t>
      </w:r>
    </w:p>
    <w:p w14:paraId="52F9B6F0" w14:textId="77777777" w:rsidR="007A0820" w:rsidRPr="00A531DC" w:rsidRDefault="007A0820" w:rsidP="007A0820">
      <w:pPr>
        <w:spacing w:line="360" w:lineRule="auto"/>
        <w:contextualSpacing/>
        <w:jc w:val="both"/>
        <w:rPr>
          <w:rFonts w:ascii="David" w:hAnsi="David"/>
          <w:rtl/>
        </w:rPr>
      </w:pPr>
      <w:r>
        <w:rPr>
          <w:rFonts w:ascii="David" w:hAnsi="David" w:hint="cs"/>
          <w:rtl/>
        </w:rPr>
        <w:t xml:space="preserve"> </w:t>
      </w:r>
    </w:p>
    <w:p w14:paraId="50EC00EF" w14:textId="77777777" w:rsidR="007A0820" w:rsidRPr="00861FDF" w:rsidRDefault="007A0820" w:rsidP="007A0820">
      <w:pPr>
        <w:spacing w:line="360" w:lineRule="auto"/>
        <w:jc w:val="both"/>
        <w:rPr>
          <w:rFonts w:ascii="Calibri" w:hAnsi="Calibri"/>
          <w:rtl/>
        </w:rPr>
      </w:pPr>
      <w:r>
        <w:rPr>
          <w:rFonts w:ascii="Calibri" w:hAnsi="Calibri" w:hint="cs"/>
          <w:rtl/>
        </w:rPr>
        <w:t>מעבר לאמור,</w:t>
      </w:r>
      <w:r w:rsidRPr="00861FDF">
        <w:rPr>
          <w:rFonts w:ascii="Calibri" w:hAnsi="Calibri"/>
          <w:rtl/>
        </w:rPr>
        <w:t xml:space="preserve"> </w:t>
      </w:r>
      <w:r>
        <w:rPr>
          <w:rFonts w:ascii="Calibri" w:hAnsi="Calibri" w:hint="cs"/>
          <w:rtl/>
        </w:rPr>
        <w:t xml:space="preserve">בשים לב אף לעונש המינימום שנקבע לעבירת הנשק, יש לקחת בחשבון אף את </w:t>
      </w:r>
      <w:r w:rsidRPr="00861FDF">
        <w:rPr>
          <w:rFonts w:ascii="Calibri" w:hAnsi="Calibri" w:hint="eastAsia"/>
          <w:rtl/>
        </w:rPr>
        <w:t>פסיקתו</w:t>
      </w:r>
      <w:r w:rsidRPr="00861FDF">
        <w:rPr>
          <w:rFonts w:ascii="Calibri" w:hAnsi="Calibri"/>
          <w:rtl/>
        </w:rPr>
        <w:t xml:space="preserve"> </w:t>
      </w:r>
      <w:r w:rsidRPr="00861FDF">
        <w:rPr>
          <w:rFonts w:ascii="Calibri" w:hAnsi="Calibri" w:hint="eastAsia"/>
          <w:rtl/>
        </w:rPr>
        <w:t>המחייבת</w:t>
      </w:r>
      <w:r w:rsidRPr="00861FDF">
        <w:rPr>
          <w:rFonts w:ascii="Calibri" w:hAnsi="Calibri"/>
          <w:rtl/>
        </w:rPr>
        <w:t xml:space="preserve"> </w:t>
      </w:r>
      <w:r w:rsidRPr="00861FDF">
        <w:rPr>
          <w:rFonts w:ascii="Calibri" w:hAnsi="Calibri" w:hint="eastAsia"/>
          <w:rtl/>
        </w:rPr>
        <w:t>של</w:t>
      </w:r>
      <w:r w:rsidRPr="00861FDF">
        <w:rPr>
          <w:rFonts w:ascii="Calibri" w:hAnsi="Calibri"/>
          <w:rtl/>
        </w:rPr>
        <w:t xml:space="preserve"> </w:t>
      </w:r>
      <w:r w:rsidRPr="00861FDF">
        <w:rPr>
          <w:rFonts w:ascii="Calibri" w:hAnsi="Calibri" w:hint="eastAsia"/>
          <w:rtl/>
        </w:rPr>
        <w:t>בית</w:t>
      </w:r>
      <w:r w:rsidRPr="00861FDF">
        <w:rPr>
          <w:rFonts w:ascii="Calibri" w:hAnsi="Calibri"/>
          <w:rtl/>
        </w:rPr>
        <w:t xml:space="preserve"> </w:t>
      </w:r>
      <w:r w:rsidRPr="00861FDF">
        <w:rPr>
          <w:rFonts w:ascii="Calibri" w:hAnsi="Calibri" w:hint="eastAsia"/>
          <w:rtl/>
        </w:rPr>
        <w:t>המשפט</w:t>
      </w:r>
      <w:r w:rsidRPr="00861FDF">
        <w:rPr>
          <w:rFonts w:ascii="Calibri" w:hAnsi="Calibri"/>
          <w:rtl/>
        </w:rPr>
        <w:t xml:space="preserve"> </w:t>
      </w:r>
      <w:r w:rsidRPr="00861FDF">
        <w:rPr>
          <w:rFonts w:ascii="Calibri" w:hAnsi="Calibri" w:hint="eastAsia"/>
          <w:rtl/>
        </w:rPr>
        <w:t>העליון</w:t>
      </w:r>
      <w:r w:rsidRPr="00861FDF">
        <w:rPr>
          <w:rFonts w:ascii="Calibri" w:hAnsi="Calibri"/>
          <w:rtl/>
        </w:rPr>
        <w:t xml:space="preserve"> </w:t>
      </w:r>
      <w:r>
        <w:rPr>
          <w:rFonts w:ascii="Calibri" w:hAnsi="Calibri" w:hint="cs"/>
          <w:rtl/>
        </w:rPr>
        <w:t>ה</w:t>
      </w:r>
      <w:r w:rsidRPr="00861FDF">
        <w:rPr>
          <w:rFonts w:ascii="Calibri" w:hAnsi="Calibri" w:hint="eastAsia"/>
          <w:rtl/>
        </w:rPr>
        <w:t>מורה</w:t>
      </w:r>
      <w:r w:rsidRPr="00861FDF">
        <w:rPr>
          <w:rFonts w:ascii="Calibri" w:hAnsi="Calibri"/>
          <w:rtl/>
        </w:rPr>
        <w:t xml:space="preserve"> </w:t>
      </w:r>
      <w:r w:rsidRPr="00861FDF">
        <w:rPr>
          <w:rFonts w:ascii="Calibri" w:hAnsi="Calibri" w:hint="eastAsia"/>
          <w:rtl/>
        </w:rPr>
        <w:t>כי</w:t>
      </w:r>
      <w:r w:rsidRPr="00861FDF">
        <w:rPr>
          <w:rFonts w:ascii="Calibri" w:hAnsi="Calibri"/>
          <w:rtl/>
        </w:rPr>
        <w:t xml:space="preserve"> </w:t>
      </w:r>
      <w:r w:rsidRPr="00861FDF">
        <w:rPr>
          <w:rFonts w:ascii="Calibri" w:hAnsi="Calibri" w:hint="eastAsia"/>
          <w:rtl/>
        </w:rPr>
        <w:t>על</w:t>
      </w:r>
      <w:r w:rsidRPr="00861FDF">
        <w:rPr>
          <w:rFonts w:ascii="Calibri" w:hAnsi="Calibri"/>
          <w:rtl/>
        </w:rPr>
        <w:t xml:space="preserve"> </w:t>
      </w:r>
      <w:r w:rsidRPr="00861FDF">
        <w:rPr>
          <w:rFonts w:ascii="Calibri" w:hAnsi="Calibri" w:hint="eastAsia"/>
          <w:rtl/>
        </w:rPr>
        <w:t>דרך</w:t>
      </w:r>
      <w:r w:rsidRPr="00861FDF">
        <w:rPr>
          <w:rFonts w:ascii="Calibri" w:hAnsi="Calibri"/>
          <w:rtl/>
        </w:rPr>
        <w:t xml:space="preserve"> </w:t>
      </w:r>
      <w:r w:rsidRPr="00861FDF">
        <w:rPr>
          <w:rFonts w:ascii="Calibri" w:hAnsi="Calibri" w:hint="eastAsia"/>
          <w:rtl/>
        </w:rPr>
        <w:t>הכלל</w:t>
      </w:r>
      <w:r w:rsidRPr="00861FDF">
        <w:rPr>
          <w:rFonts w:ascii="Calibri" w:hAnsi="Calibri"/>
          <w:rtl/>
        </w:rPr>
        <w:t xml:space="preserve"> </w:t>
      </w:r>
      <w:r w:rsidRPr="00861FDF">
        <w:rPr>
          <w:rFonts w:ascii="Calibri" w:hAnsi="Calibri" w:hint="eastAsia"/>
          <w:rtl/>
        </w:rPr>
        <w:t>יש</w:t>
      </w:r>
      <w:r w:rsidRPr="00861FDF">
        <w:rPr>
          <w:rFonts w:ascii="Calibri" w:hAnsi="Calibri"/>
          <w:rtl/>
        </w:rPr>
        <w:t xml:space="preserve"> </w:t>
      </w:r>
      <w:r w:rsidRPr="00861FDF">
        <w:rPr>
          <w:rFonts w:ascii="Calibri" w:hAnsi="Calibri" w:hint="eastAsia"/>
          <w:rtl/>
        </w:rPr>
        <w:t>לקבוע</w:t>
      </w:r>
      <w:r w:rsidRPr="00861FDF">
        <w:rPr>
          <w:rFonts w:ascii="Calibri" w:hAnsi="Calibri"/>
          <w:rtl/>
        </w:rPr>
        <w:t xml:space="preserve"> </w:t>
      </w:r>
      <w:r w:rsidRPr="00861FDF">
        <w:rPr>
          <w:rFonts w:ascii="Calibri" w:hAnsi="Calibri" w:hint="eastAsia"/>
          <w:rtl/>
        </w:rPr>
        <w:t>מתחם</w:t>
      </w:r>
      <w:r w:rsidRPr="00861FDF">
        <w:rPr>
          <w:rFonts w:ascii="Calibri" w:hAnsi="Calibri"/>
          <w:rtl/>
        </w:rPr>
        <w:t xml:space="preserve"> </w:t>
      </w:r>
      <w:r w:rsidRPr="00861FDF">
        <w:rPr>
          <w:rFonts w:ascii="Calibri" w:hAnsi="Calibri" w:hint="eastAsia"/>
          <w:rtl/>
        </w:rPr>
        <w:t>עונש</w:t>
      </w:r>
      <w:r w:rsidRPr="00861FDF">
        <w:rPr>
          <w:rFonts w:ascii="Calibri" w:hAnsi="Calibri"/>
          <w:rtl/>
        </w:rPr>
        <w:t xml:space="preserve"> </w:t>
      </w:r>
      <w:r w:rsidRPr="00861FDF">
        <w:rPr>
          <w:rFonts w:ascii="Calibri" w:hAnsi="Calibri" w:hint="eastAsia"/>
          <w:rtl/>
        </w:rPr>
        <w:t>הולם</w:t>
      </w:r>
      <w:r w:rsidRPr="00861FDF">
        <w:rPr>
          <w:rFonts w:ascii="Calibri" w:hAnsi="Calibri"/>
          <w:rtl/>
        </w:rPr>
        <w:t xml:space="preserve"> </w:t>
      </w:r>
      <w:r w:rsidRPr="00861FDF">
        <w:rPr>
          <w:rFonts w:ascii="Calibri" w:hAnsi="Calibri" w:hint="eastAsia"/>
          <w:rtl/>
        </w:rPr>
        <w:t>אשר</w:t>
      </w:r>
      <w:r w:rsidRPr="00861FDF">
        <w:rPr>
          <w:rFonts w:ascii="Calibri" w:hAnsi="Calibri"/>
          <w:rtl/>
        </w:rPr>
        <w:t xml:space="preserve"> </w:t>
      </w:r>
      <w:r w:rsidRPr="00861FDF">
        <w:rPr>
          <w:rFonts w:ascii="Calibri" w:hAnsi="Calibri" w:hint="eastAsia"/>
          <w:rtl/>
        </w:rPr>
        <w:t>תחתיתו</w:t>
      </w:r>
      <w:r w:rsidRPr="00861FDF">
        <w:rPr>
          <w:rFonts w:ascii="Calibri" w:hAnsi="Calibri"/>
          <w:rtl/>
        </w:rPr>
        <w:t xml:space="preserve"> </w:t>
      </w:r>
      <w:r w:rsidRPr="00861FDF">
        <w:rPr>
          <w:rFonts w:ascii="Calibri" w:hAnsi="Calibri" w:hint="eastAsia"/>
          <w:rtl/>
        </w:rPr>
        <w:t>מושפעת</w:t>
      </w:r>
      <w:r w:rsidRPr="00861FDF">
        <w:rPr>
          <w:rFonts w:ascii="Calibri" w:hAnsi="Calibri"/>
          <w:rtl/>
        </w:rPr>
        <w:t xml:space="preserve"> </w:t>
      </w:r>
      <w:r w:rsidRPr="00861FDF">
        <w:rPr>
          <w:rFonts w:ascii="Calibri" w:hAnsi="Calibri" w:hint="eastAsia"/>
          <w:rtl/>
        </w:rPr>
        <w:t>ומתיישבת</w:t>
      </w:r>
      <w:r w:rsidRPr="00861FDF">
        <w:rPr>
          <w:rFonts w:ascii="Calibri" w:hAnsi="Calibri"/>
          <w:rtl/>
        </w:rPr>
        <w:t xml:space="preserve"> </w:t>
      </w:r>
      <w:r w:rsidRPr="00861FDF">
        <w:rPr>
          <w:rFonts w:ascii="Calibri" w:hAnsi="Calibri" w:hint="eastAsia"/>
          <w:rtl/>
        </w:rPr>
        <w:t>עם</w:t>
      </w:r>
      <w:r w:rsidRPr="00861FDF">
        <w:rPr>
          <w:rFonts w:ascii="Calibri" w:hAnsi="Calibri"/>
          <w:rtl/>
        </w:rPr>
        <w:t xml:space="preserve"> </w:t>
      </w:r>
      <w:r w:rsidRPr="00861FDF">
        <w:rPr>
          <w:rFonts w:ascii="Calibri" w:hAnsi="Calibri" w:hint="eastAsia"/>
          <w:rtl/>
        </w:rPr>
        <w:t>הנחייתו</w:t>
      </w:r>
      <w:r w:rsidRPr="00861FDF">
        <w:rPr>
          <w:rFonts w:ascii="Calibri" w:hAnsi="Calibri"/>
          <w:rtl/>
        </w:rPr>
        <w:t xml:space="preserve"> </w:t>
      </w:r>
      <w:r w:rsidRPr="00861FDF">
        <w:rPr>
          <w:rFonts w:ascii="Calibri" w:hAnsi="Calibri" w:hint="eastAsia"/>
          <w:rtl/>
        </w:rPr>
        <w:t>הברורה</w:t>
      </w:r>
      <w:r w:rsidRPr="00861FDF">
        <w:rPr>
          <w:rFonts w:ascii="Calibri" w:hAnsi="Calibri"/>
          <w:rtl/>
        </w:rPr>
        <w:t xml:space="preserve"> </w:t>
      </w:r>
      <w:r w:rsidRPr="00861FDF">
        <w:rPr>
          <w:rFonts w:ascii="Calibri" w:hAnsi="Calibri" w:hint="eastAsia"/>
          <w:rtl/>
        </w:rPr>
        <w:t>של</w:t>
      </w:r>
      <w:r w:rsidRPr="00861FDF">
        <w:rPr>
          <w:rFonts w:ascii="Calibri" w:hAnsi="Calibri"/>
          <w:rtl/>
        </w:rPr>
        <w:t xml:space="preserve"> </w:t>
      </w:r>
      <w:r w:rsidRPr="00861FDF">
        <w:rPr>
          <w:rFonts w:ascii="Calibri" w:hAnsi="Calibri" w:hint="eastAsia"/>
          <w:rtl/>
        </w:rPr>
        <w:t>המחוקק</w:t>
      </w:r>
      <w:r w:rsidRPr="00861FDF">
        <w:rPr>
          <w:rFonts w:ascii="Calibri" w:hAnsi="Calibri"/>
          <w:rtl/>
        </w:rPr>
        <w:t xml:space="preserve"> </w:t>
      </w:r>
      <w:r w:rsidRPr="00861FDF">
        <w:rPr>
          <w:rFonts w:ascii="Calibri" w:hAnsi="Calibri" w:hint="eastAsia"/>
          <w:rtl/>
        </w:rPr>
        <w:t>ומשקפת</w:t>
      </w:r>
      <w:r w:rsidRPr="00861FDF">
        <w:rPr>
          <w:rFonts w:ascii="Calibri" w:hAnsi="Calibri"/>
          <w:rtl/>
        </w:rPr>
        <w:t xml:space="preserve"> </w:t>
      </w:r>
      <w:r w:rsidRPr="00861FDF">
        <w:rPr>
          <w:rFonts w:ascii="Calibri" w:hAnsi="Calibri" w:hint="eastAsia"/>
          <w:rtl/>
        </w:rPr>
        <w:t>את</w:t>
      </w:r>
      <w:r w:rsidRPr="00861FDF">
        <w:rPr>
          <w:rFonts w:ascii="Calibri" w:hAnsi="Calibri"/>
          <w:rtl/>
        </w:rPr>
        <w:t xml:space="preserve"> </w:t>
      </w:r>
      <w:r w:rsidRPr="00861FDF">
        <w:rPr>
          <w:rFonts w:ascii="Calibri" w:hAnsi="Calibri" w:hint="eastAsia"/>
          <w:rtl/>
        </w:rPr>
        <w:t>החומרה</w:t>
      </w:r>
      <w:r w:rsidRPr="00861FDF">
        <w:rPr>
          <w:rFonts w:ascii="Calibri" w:hAnsi="Calibri"/>
          <w:rtl/>
        </w:rPr>
        <w:t xml:space="preserve"> </w:t>
      </w:r>
      <w:r w:rsidRPr="00861FDF">
        <w:rPr>
          <w:rFonts w:ascii="Calibri" w:hAnsi="Calibri" w:hint="eastAsia"/>
          <w:rtl/>
        </w:rPr>
        <w:t>המיוחסת</w:t>
      </w:r>
      <w:r w:rsidRPr="00861FDF">
        <w:rPr>
          <w:rFonts w:ascii="Calibri" w:hAnsi="Calibri"/>
          <w:rtl/>
        </w:rPr>
        <w:t xml:space="preserve"> </w:t>
      </w:r>
      <w:r w:rsidRPr="00861FDF">
        <w:rPr>
          <w:rFonts w:ascii="Calibri" w:hAnsi="Calibri" w:hint="eastAsia"/>
          <w:rtl/>
        </w:rPr>
        <w:t>לעבירה</w:t>
      </w:r>
      <w:r w:rsidRPr="00861FDF">
        <w:rPr>
          <w:rFonts w:ascii="Calibri" w:hAnsi="Calibri"/>
          <w:rtl/>
        </w:rPr>
        <w:t xml:space="preserve"> </w:t>
      </w:r>
      <w:r w:rsidRPr="00861FDF">
        <w:rPr>
          <w:rFonts w:ascii="Calibri" w:hAnsi="Calibri" w:hint="eastAsia"/>
          <w:rtl/>
        </w:rPr>
        <w:t>ולמידת</w:t>
      </w:r>
      <w:r w:rsidRPr="00861FDF">
        <w:rPr>
          <w:rFonts w:ascii="Calibri" w:hAnsi="Calibri"/>
          <w:rtl/>
        </w:rPr>
        <w:t xml:space="preserve"> </w:t>
      </w:r>
      <w:r w:rsidRPr="00861FDF">
        <w:rPr>
          <w:rFonts w:ascii="Calibri" w:hAnsi="Calibri" w:hint="eastAsia"/>
          <w:rtl/>
        </w:rPr>
        <w:t>הפגיעה</w:t>
      </w:r>
      <w:r w:rsidRPr="00861FDF">
        <w:rPr>
          <w:rFonts w:ascii="Calibri" w:hAnsi="Calibri"/>
          <w:rtl/>
        </w:rPr>
        <w:t xml:space="preserve"> </w:t>
      </w:r>
      <w:r w:rsidRPr="00861FDF">
        <w:rPr>
          <w:rFonts w:ascii="Calibri" w:hAnsi="Calibri" w:hint="eastAsia"/>
          <w:rtl/>
        </w:rPr>
        <w:t>בערכים</w:t>
      </w:r>
      <w:r w:rsidRPr="00861FDF">
        <w:rPr>
          <w:rFonts w:ascii="Calibri" w:hAnsi="Calibri"/>
          <w:rtl/>
        </w:rPr>
        <w:t xml:space="preserve"> </w:t>
      </w:r>
      <w:r w:rsidRPr="00861FDF">
        <w:rPr>
          <w:rFonts w:ascii="Calibri" w:hAnsi="Calibri" w:hint="eastAsia"/>
          <w:rtl/>
        </w:rPr>
        <w:t>המוגנים</w:t>
      </w:r>
      <w:r w:rsidRPr="00861FDF">
        <w:rPr>
          <w:rFonts w:ascii="Calibri" w:hAnsi="Calibri"/>
          <w:rtl/>
        </w:rPr>
        <w:t xml:space="preserve"> </w:t>
      </w:r>
      <w:r w:rsidRPr="00861FDF">
        <w:rPr>
          <w:rFonts w:ascii="Calibri" w:hAnsi="Calibri" w:hint="eastAsia"/>
          <w:rtl/>
        </w:rPr>
        <w:t>בביצועה</w:t>
      </w:r>
      <w:r w:rsidRPr="00861FDF">
        <w:rPr>
          <w:rFonts w:ascii="Calibri" w:hAnsi="Calibri"/>
          <w:rtl/>
        </w:rPr>
        <w:t>.</w:t>
      </w:r>
    </w:p>
    <w:p w14:paraId="08ECB24F" w14:textId="77777777" w:rsidR="007A0820" w:rsidRPr="00861FDF" w:rsidRDefault="007A0820" w:rsidP="007A0820">
      <w:pPr>
        <w:spacing w:line="360" w:lineRule="auto"/>
        <w:jc w:val="both"/>
        <w:rPr>
          <w:rFonts w:ascii="Calibri" w:hAnsi="Calibri"/>
        </w:rPr>
      </w:pPr>
      <w:r w:rsidRPr="00861FDF">
        <w:rPr>
          <w:rFonts w:ascii="Calibri" w:hAnsi="Calibri"/>
          <w:rtl/>
        </w:rPr>
        <w:t>[</w:t>
      </w:r>
      <w:r w:rsidRPr="00861FDF">
        <w:rPr>
          <w:rFonts w:ascii="Calibri" w:hAnsi="Calibri" w:hint="eastAsia"/>
          <w:rtl/>
        </w:rPr>
        <w:t>ראו</w:t>
      </w:r>
      <w:r w:rsidRPr="00861FDF">
        <w:rPr>
          <w:rFonts w:ascii="Calibri" w:hAnsi="Calibri"/>
          <w:rtl/>
        </w:rPr>
        <w:t xml:space="preserve"> </w:t>
      </w:r>
      <w:r w:rsidRPr="00861FDF">
        <w:rPr>
          <w:rFonts w:ascii="Calibri" w:hAnsi="Calibri" w:hint="eastAsia"/>
          <w:rtl/>
        </w:rPr>
        <w:t>לעניין</w:t>
      </w:r>
      <w:r w:rsidRPr="00861FDF">
        <w:rPr>
          <w:rFonts w:ascii="Calibri" w:hAnsi="Calibri"/>
          <w:rtl/>
        </w:rPr>
        <w:t xml:space="preserve"> </w:t>
      </w:r>
      <w:r w:rsidRPr="00861FDF">
        <w:rPr>
          <w:rFonts w:ascii="Calibri" w:hAnsi="Calibri" w:hint="eastAsia"/>
          <w:rtl/>
        </w:rPr>
        <w:t>זה</w:t>
      </w:r>
      <w:r w:rsidRPr="00861FDF">
        <w:rPr>
          <w:rFonts w:ascii="Calibri" w:hAnsi="Calibri"/>
          <w:rtl/>
        </w:rPr>
        <w:t xml:space="preserve"> </w:t>
      </w:r>
      <w:hyperlink r:id="rId36" w:history="1">
        <w:r w:rsidR="00F374A2" w:rsidRPr="00F374A2">
          <w:rPr>
            <w:rFonts w:ascii="Calibri" w:hAnsi="Calibri" w:hint="eastAsia"/>
            <w:b/>
            <w:bCs/>
            <w:color w:val="0000FF"/>
            <w:u w:val="single"/>
            <w:rtl/>
          </w:rPr>
          <w:t>ע</w:t>
        </w:r>
        <w:r w:rsidR="00F374A2" w:rsidRPr="00F374A2">
          <w:rPr>
            <w:rFonts w:ascii="Calibri" w:hAnsi="Calibri"/>
            <w:b/>
            <w:bCs/>
            <w:color w:val="0000FF"/>
            <w:u w:val="single"/>
            <w:rtl/>
          </w:rPr>
          <w:t>"</w:t>
        </w:r>
        <w:r w:rsidR="00F374A2" w:rsidRPr="00F374A2">
          <w:rPr>
            <w:rFonts w:ascii="Calibri" w:hAnsi="Calibri" w:hint="eastAsia"/>
            <w:b/>
            <w:bCs/>
            <w:color w:val="0000FF"/>
            <w:u w:val="single"/>
            <w:rtl/>
          </w:rPr>
          <w:t>פ</w:t>
        </w:r>
        <w:r w:rsidR="00F374A2" w:rsidRPr="00F374A2">
          <w:rPr>
            <w:rFonts w:ascii="Calibri" w:hAnsi="Calibri"/>
            <w:b/>
            <w:bCs/>
            <w:color w:val="0000FF"/>
            <w:u w:val="single"/>
            <w:rtl/>
          </w:rPr>
          <w:t xml:space="preserve"> 1605/13</w:t>
        </w:r>
      </w:hyperlink>
      <w:r w:rsidRPr="00861FDF">
        <w:rPr>
          <w:rFonts w:ascii="Calibri" w:hAnsi="Calibri"/>
          <w:b/>
          <w:bCs/>
          <w:rtl/>
        </w:rPr>
        <w:t xml:space="preserve"> </w:t>
      </w:r>
      <w:r w:rsidRPr="00861FDF">
        <w:rPr>
          <w:rFonts w:ascii="Calibri" w:hAnsi="Calibri" w:hint="eastAsia"/>
          <w:b/>
          <w:bCs/>
          <w:rtl/>
        </w:rPr>
        <w:t>פלוני</w:t>
      </w:r>
      <w:r w:rsidRPr="00861FDF">
        <w:rPr>
          <w:rFonts w:ascii="Calibri" w:hAnsi="Calibri"/>
          <w:b/>
          <w:bCs/>
          <w:rtl/>
        </w:rPr>
        <w:t xml:space="preserve"> </w:t>
      </w:r>
      <w:r w:rsidRPr="00861FDF">
        <w:rPr>
          <w:rFonts w:ascii="Calibri" w:hAnsi="Calibri" w:hint="eastAsia"/>
          <w:b/>
          <w:bCs/>
          <w:rtl/>
        </w:rPr>
        <w:t>נגד</w:t>
      </w:r>
      <w:r w:rsidRPr="00861FDF">
        <w:rPr>
          <w:rFonts w:ascii="Calibri" w:hAnsi="Calibri"/>
          <w:b/>
          <w:bCs/>
          <w:rtl/>
        </w:rPr>
        <w:t xml:space="preserve"> </w:t>
      </w:r>
      <w:r w:rsidRPr="00861FDF">
        <w:rPr>
          <w:rFonts w:ascii="Calibri" w:hAnsi="Calibri" w:hint="eastAsia"/>
          <w:b/>
          <w:bCs/>
          <w:rtl/>
        </w:rPr>
        <w:t>מדינת</w:t>
      </w:r>
      <w:r w:rsidRPr="00861FDF">
        <w:rPr>
          <w:rFonts w:ascii="Calibri" w:hAnsi="Calibri"/>
          <w:b/>
          <w:bCs/>
          <w:rtl/>
        </w:rPr>
        <w:t xml:space="preserve"> </w:t>
      </w:r>
      <w:r w:rsidRPr="00861FDF">
        <w:rPr>
          <w:rFonts w:ascii="Calibri" w:hAnsi="Calibri" w:hint="eastAsia"/>
          <w:b/>
          <w:bCs/>
          <w:rtl/>
        </w:rPr>
        <w:t>ישראל</w:t>
      </w:r>
      <w:r w:rsidRPr="00861FDF">
        <w:rPr>
          <w:rFonts w:ascii="Calibri" w:hAnsi="Calibri"/>
          <w:b/>
          <w:bCs/>
          <w:rtl/>
        </w:rPr>
        <w:t xml:space="preserve">  (27/08/14) (</w:t>
      </w:r>
      <w:r w:rsidRPr="00861FDF">
        <w:rPr>
          <w:rFonts w:ascii="Calibri" w:hAnsi="Calibri" w:hint="eastAsia"/>
          <w:b/>
          <w:bCs/>
          <w:rtl/>
        </w:rPr>
        <w:t>פסקה</w:t>
      </w:r>
      <w:r w:rsidRPr="00861FDF">
        <w:rPr>
          <w:rFonts w:ascii="Calibri" w:hAnsi="Calibri"/>
          <w:b/>
          <w:bCs/>
          <w:rtl/>
        </w:rPr>
        <w:t xml:space="preserve"> 26)]</w:t>
      </w:r>
    </w:p>
    <w:p w14:paraId="7B81403C" w14:textId="77777777" w:rsidR="007A0820" w:rsidRPr="00861FDF" w:rsidRDefault="007A0820" w:rsidP="007A0820">
      <w:pPr>
        <w:spacing w:line="360" w:lineRule="auto"/>
        <w:jc w:val="both"/>
        <w:rPr>
          <w:rFonts w:ascii="David" w:hAnsi="David"/>
          <w:highlight w:val="green"/>
          <w:rtl/>
        </w:rPr>
      </w:pPr>
    </w:p>
    <w:p w14:paraId="288A3F33" w14:textId="77777777" w:rsidR="007A0820" w:rsidRPr="00861FDF" w:rsidRDefault="007A0820" w:rsidP="007A0820">
      <w:pPr>
        <w:spacing w:line="360" w:lineRule="auto"/>
        <w:jc w:val="both"/>
        <w:rPr>
          <w:rtl/>
        </w:rPr>
      </w:pPr>
      <w:r w:rsidRPr="00861FDF">
        <w:rPr>
          <w:b/>
          <w:bCs/>
          <w:rtl/>
        </w:rPr>
        <w:t xml:space="preserve">8. לאור האמור אני קובעת כי מתחם העונש ההולם בגין מכלול מעשיהם של הנאשמים נע בין </w:t>
      </w:r>
      <w:r w:rsidRPr="009B1B85">
        <w:rPr>
          <w:rFonts w:hint="cs"/>
          <w:b/>
          <w:bCs/>
          <w:rtl/>
        </w:rPr>
        <w:t>3</w:t>
      </w:r>
      <w:r>
        <w:rPr>
          <w:rFonts w:hint="cs"/>
          <w:b/>
          <w:bCs/>
          <w:rtl/>
        </w:rPr>
        <w:t>3</w:t>
      </w:r>
      <w:r w:rsidRPr="009B1B85">
        <w:rPr>
          <w:rFonts w:hint="cs"/>
          <w:b/>
          <w:bCs/>
          <w:rtl/>
        </w:rPr>
        <w:t xml:space="preserve"> </w:t>
      </w:r>
      <w:r w:rsidRPr="009B1B85">
        <w:rPr>
          <w:b/>
          <w:bCs/>
          <w:rtl/>
        </w:rPr>
        <w:t>–</w:t>
      </w:r>
      <w:r w:rsidRPr="009B1B85">
        <w:rPr>
          <w:rFonts w:hint="cs"/>
          <w:b/>
          <w:bCs/>
          <w:rtl/>
        </w:rPr>
        <w:t xml:space="preserve"> </w:t>
      </w:r>
      <w:r w:rsidRPr="00ED01B7">
        <w:rPr>
          <w:rFonts w:hint="cs"/>
          <w:b/>
          <w:bCs/>
          <w:rtl/>
        </w:rPr>
        <w:t>50</w:t>
      </w:r>
      <w:r>
        <w:rPr>
          <w:rFonts w:hint="cs"/>
          <w:b/>
          <w:bCs/>
          <w:rtl/>
        </w:rPr>
        <w:t xml:space="preserve"> </w:t>
      </w:r>
      <w:r w:rsidRPr="00861FDF">
        <w:rPr>
          <w:b/>
          <w:bCs/>
          <w:rtl/>
        </w:rPr>
        <w:t>חודשי מאסר בפועל</w:t>
      </w:r>
      <w:r w:rsidRPr="00861FDF">
        <w:rPr>
          <w:rtl/>
        </w:rPr>
        <w:t>.</w:t>
      </w:r>
    </w:p>
    <w:p w14:paraId="5AA755AD" w14:textId="77777777" w:rsidR="007A0820" w:rsidRPr="00861FDF" w:rsidRDefault="007A0820" w:rsidP="007A0820">
      <w:pPr>
        <w:spacing w:line="360" w:lineRule="auto"/>
        <w:jc w:val="both"/>
        <w:rPr>
          <w:rFonts w:ascii="David" w:hAnsi="David"/>
          <w:b/>
          <w:bCs/>
          <w:u w:val="single"/>
          <w:rtl/>
        </w:rPr>
      </w:pPr>
    </w:p>
    <w:p w14:paraId="608EB8FE" w14:textId="77777777" w:rsidR="007A0820" w:rsidRPr="00861FDF" w:rsidRDefault="007A0820" w:rsidP="007A0820">
      <w:pPr>
        <w:spacing w:line="360" w:lineRule="auto"/>
        <w:jc w:val="both"/>
        <w:rPr>
          <w:rFonts w:ascii="David" w:hAnsi="David"/>
          <w:b/>
          <w:bCs/>
          <w:u w:val="single"/>
          <w:rtl/>
        </w:rPr>
      </w:pPr>
      <w:r w:rsidRPr="00861FDF">
        <w:rPr>
          <w:rFonts w:ascii="David" w:hAnsi="David"/>
          <w:b/>
          <w:bCs/>
          <w:u w:val="single"/>
          <w:rtl/>
        </w:rPr>
        <w:t>קביעת עונשם של הנאשמים</w:t>
      </w:r>
    </w:p>
    <w:p w14:paraId="5E5BDEBC" w14:textId="77777777" w:rsidR="007A0820" w:rsidRPr="00861FDF" w:rsidRDefault="007A0820" w:rsidP="007A0820">
      <w:pPr>
        <w:spacing w:line="360" w:lineRule="auto"/>
        <w:jc w:val="both"/>
        <w:rPr>
          <w:rtl/>
        </w:rPr>
      </w:pPr>
      <w:r w:rsidRPr="00861FDF">
        <w:rPr>
          <w:b/>
          <w:bCs/>
          <w:rtl/>
        </w:rPr>
        <w:t>9. נסיבות שאינן קשורות בביצוע העבירה</w:t>
      </w:r>
      <w:r w:rsidRPr="00861FDF">
        <w:rPr>
          <w:rtl/>
        </w:rPr>
        <w:t xml:space="preserve"> -</w:t>
      </w:r>
    </w:p>
    <w:p w14:paraId="057CB2CF" w14:textId="77777777" w:rsidR="007A0820" w:rsidRPr="00861FDF" w:rsidRDefault="007A0820" w:rsidP="007A0820">
      <w:pPr>
        <w:tabs>
          <w:tab w:val="center" w:pos="4153"/>
          <w:tab w:val="right" w:pos="8306"/>
        </w:tabs>
        <w:spacing w:line="360" w:lineRule="auto"/>
        <w:jc w:val="both"/>
        <w:rPr>
          <w:rFonts w:ascii="Arial" w:hAnsi="Arial"/>
          <w:rtl/>
        </w:rPr>
      </w:pPr>
      <w:r w:rsidRPr="00861FDF">
        <w:rPr>
          <w:rFonts w:ascii="Arial" w:hAnsi="Arial"/>
          <w:rtl/>
        </w:rPr>
        <w:t xml:space="preserve">אשר לנסיבות שאינן קשורות בביצוע העבירות יש ליתן משקל לפגיעה של העונש בנאשמים, לרבות בשל גילם. </w:t>
      </w:r>
    </w:p>
    <w:p w14:paraId="1BE460E1" w14:textId="77777777" w:rsidR="007A0820" w:rsidRPr="00861FDF" w:rsidRDefault="007A0820" w:rsidP="007A0820">
      <w:pPr>
        <w:tabs>
          <w:tab w:val="center" w:pos="4153"/>
          <w:tab w:val="right" w:pos="8306"/>
        </w:tabs>
        <w:spacing w:line="360" w:lineRule="auto"/>
        <w:jc w:val="both"/>
        <w:rPr>
          <w:rFonts w:ascii="Arial" w:hAnsi="Arial"/>
          <w:rtl/>
        </w:rPr>
      </w:pPr>
      <w:r w:rsidRPr="00861FDF">
        <w:rPr>
          <w:rFonts w:ascii="Arial" w:hAnsi="Arial"/>
          <w:rtl/>
        </w:rPr>
        <w:t xml:space="preserve">ככלל, לנאשם אשר נשלח לריצוי מאסר מאחורי סורג ובריח נגרם נזק, הן בשל הגבלת החירות והיעדר היכולת להתפרנס, והן מהפן הנפשי וההשפעות הסביבתיות הנלוות למאסר. עם זאת, במקרה זה, כאשר מדובר בנאשמים אשר הצהירו כי הסתננו במטרה להיעצר – אין ליתן משקל משמעותי לפגיעה בנאשמים או במשפחותיהם בגין הטלת מאסר, וזאת על אף גילם הצעיר. </w:t>
      </w:r>
    </w:p>
    <w:p w14:paraId="23655BA0" w14:textId="77777777" w:rsidR="007A0820" w:rsidRPr="00861FDF" w:rsidRDefault="007A0820" w:rsidP="007A0820">
      <w:pPr>
        <w:spacing w:line="360" w:lineRule="auto"/>
        <w:jc w:val="both"/>
        <w:rPr>
          <w:rtl/>
        </w:rPr>
      </w:pPr>
    </w:p>
    <w:p w14:paraId="0278D256" w14:textId="77777777" w:rsidR="007A0820" w:rsidRPr="00861FDF" w:rsidRDefault="007A0820" w:rsidP="007A0820">
      <w:pPr>
        <w:spacing w:line="360" w:lineRule="auto"/>
        <w:jc w:val="both"/>
        <w:rPr>
          <w:rtl/>
        </w:rPr>
      </w:pPr>
      <w:r w:rsidRPr="00861FDF">
        <w:rPr>
          <w:rtl/>
        </w:rPr>
        <w:t>לעניין גילם של הנאשמים יש להפנות ל</w:t>
      </w:r>
      <w:hyperlink r:id="rId37" w:history="1">
        <w:r w:rsidR="00F374A2" w:rsidRPr="00F374A2">
          <w:rPr>
            <w:b/>
            <w:bCs/>
            <w:color w:val="0000FF"/>
            <w:u w:val="single"/>
            <w:rtl/>
          </w:rPr>
          <w:t>ע"פ 3623/21</w:t>
        </w:r>
      </w:hyperlink>
      <w:r w:rsidRPr="00861FDF">
        <w:rPr>
          <w:b/>
          <w:bCs/>
          <w:rtl/>
        </w:rPr>
        <w:t xml:space="preserve"> אבו ענאם נגד מדינת ישראל (04/11/21)</w:t>
      </w:r>
      <w:r w:rsidRPr="00861FDF">
        <w:rPr>
          <w:rtl/>
        </w:rPr>
        <w:t xml:space="preserve"> בו הובהר ש"</w:t>
      </w:r>
      <w:r w:rsidRPr="00861FDF">
        <w:rPr>
          <w:b/>
          <w:bCs/>
          <w:rtl/>
        </w:rPr>
        <w:t>הלכה היא כי ההכרה בקטגוריית הבגירים הצעירים אין משמעותה כי בכל מקרה תהיה הקלה בעונש, אלא על בית המשפט לבחון בכל מקרה לגופו האם ועד כמה מתקיימים המשתנים המצדיקים הקלה</w:t>
      </w:r>
      <w:r w:rsidRPr="00861FDF">
        <w:rPr>
          <w:rtl/>
        </w:rPr>
        <w:t>".</w:t>
      </w:r>
    </w:p>
    <w:p w14:paraId="7029CC1C" w14:textId="77777777" w:rsidR="007A0820" w:rsidRPr="00861FDF" w:rsidRDefault="007A0820" w:rsidP="007A0820">
      <w:pPr>
        <w:spacing w:line="360" w:lineRule="auto"/>
        <w:jc w:val="both"/>
        <w:rPr>
          <w:rtl/>
        </w:rPr>
      </w:pPr>
    </w:p>
    <w:p w14:paraId="0E884816" w14:textId="77777777" w:rsidR="007A0820" w:rsidRPr="00861FDF" w:rsidRDefault="007A0820" w:rsidP="007A0820">
      <w:pPr>
        <w:spacing w:line="360" w:lineRule="auto"/>
        <w:jc w:val="both"/>
        <w:rPr>
          <w:rFonts w:ascii="David" w:hAnsi="David"/>
          <w:rtl/>
        </w:rPr>
      </w:pPr>
      <w:r w:rsidRPr="00861FDF">
        <w:rPr>
          <w:rtl/>
        </w:rPr>
        <w:t xml:space="preserve">עוד יש ליתן </w:t>
      </w:r>
      <w:r w:rsidRPr="00861FDF">
        <w:rPr>
          <w:rFonts w:ascii="David" w:hAnsi="David"/>
          <w:rtl/>
        </w:rPr>
        <w:t>משקל להודאתם של הנאשמים בכתב האישום המתוקן, שיש בהן משום לקיחת אחריות על מעשיהם.</w:t>
      </w:r>
    </w:p>
    <w:p w14:paraId="1D422C6A" w14:textId="77777777" w:rsidR="007A0820" w:rsidRPr="00861FDF" w:rsidRDefault="007A0820" w:rsidP="007A0820">
      <w:pPr>
        <w:spacing w:line="360" w:lineRule="auto"/>
        <w:jc w:val="both"/>
        <w:rPr>
          <w:rFonts w:ascii="David" w:hAnsi="David"/>
          <w:rtl/>
        </w:rPr>
      </w:pPr>
    </w:p>
    <w:p w14:paraId="0EAEAFBC" w14:textId="77777777" w:rsidR="007A0820" w:rsidRPr="00861FDF" w:rsidRDefault="007A0820" w:rsidP="007A0820">
      <w:pPr>
        <w:spacing w:line="360" w:lineRule="auto"/>
        <w:jc w:val="both"/>
        <w:rPr>
          <w:rFonts w:ascii="David" w:hAnsi="David"/>
          <w:rtl/>
        </w:rPr>
      </w:pPr>
      <w:r w:rsidRPr="00861FDF">
        <w:rPr>
          <w:rFonts w:ascii="David" w:hAnsi="David"/>
          <w:rtl/>
        </w:rPr>
        <w:t xml:space="preserve">כמו כן, בעניינו של </w:t>
      </w:r>
      <w:r w:rsidRPr="00861FDF">
        <w:rPr>
          <w:rFonts w:ascii="David" w:hAnsi="David"/>
          <w:b/>
          <w:bCs/>
          <w:rtl/>
        </w:rPr>
        <w:t>נאשם 2</w:t>
      </w:r>
      <w:r w:rsidRPr="00861FDF">
        <w:rPr>
          <w:rFonts w:ascii="David" w:hAnsi="David"/>
          <w:rtl/>
        </w:rPr>
        <w:t xml:space="preserve"> יש לתת את הדעת לכך שהנאשם נעדר עבר פלילי. </w:t>
      </w:r>
    </w:p>
    <w:p w14:paraId="5E986EE0" w14:textId="77777777" w:rsidR="007A0820" w:rsidRPr="00861FDF" w:rsidRDefault="007A0820" w:rsidP="007A0820">
      <w:pPr>
        <w:spacing w:line="360" w:lineRule="auto"/>
        <w:jc w:val="both"/>
        <w:rPr>
          <w:rFonts w:ascii="David" w:hAnsi="David"/>
          <w:rtl/>
        </w:rPr>
      </w:pPr>
    </w:p>
    <w:p w14:paraId="18E26E54" w14:textId="77777777" w:rsidR="007A0820" w:rsidRDefault="007A0820" w:rsidP="007A0820">
      <w:pPr>
        <w:spacing w:line="360" w:lineRule="auto"/>
        <w:jc w:val="both"/>
        <w:rPr>
          <w:rFonts w:ascii="Arial" w:hAnsi="Arial"/>
          <w:rtl/>
        </w:rPr>
      </w:pPr>
      <w:r w:rsidRPr="00861FDF">
        <w:rPr>
          <w:rFonts w:ascii="David" w:hAnsi="David"/>
          <w:rtl/>
        </w:rPr>
        <w:t>באשר ל</w:t>
      </w:r>
      <w:r w:rsidRPr="00861FDF">
        <w:rPr>
          <w:rFonts w:ascii="David" w:hAnsi="David"/>
          <w:b/>
          <w:bCs/>
          <w:rtl/>
        </w:rPr>
        <w:t>נאשם 1</w:t>
      </w:r>
      <w:r w:rsidRPr="00861FDF">
        <w:rPr>
          <w:rFonts w:ascii="David" w:hAnsi="David"/>
          <w:rtl/>
        </w:rPr>
        <w:t>, עיון ב</w:t>
      </w:r>
      <w:r w:rsidRPr="00861FDF">
        <w:rPr>
          <w:rFonts w:ascii="David" w:hAnsi="David"/>
          <w:b/>
          <w:bCs/>
          <w:rtl/>
        </w:rPr>
        <w:t xml:space="preserve">ת/1 </w:t>
      </w:r>
      <w:r w:rsidRPr="00861FDF">
        <w:rPr>
          <w:rFonts w:ascii="David" w:hAnsi="David"/>
          <w:rtl/>
        </w:rPr>
        <w:t xml:space="preserve">מעלה כי </w:t>
      </w:r>
      <w:r w:rsidRPr="00861FDF">
        <w:rPr>
          <w:rFonts w:ascii="Arial" w:hAnsi="Arial"/>
          <w:rtl/>
        </w:rPr>
        <w:t xml:space="preserve">על אף גילו הצעיר, זה הורשע בעבר בשתי הזדמנויות שונות בביצוע עבירת הסתננות והסתננות מזויינת, אשר בגינם ריצה 2 מאסרים בפועל, האחד למשך 6 חודשים והשני למשך 11 חודשים, </w:t>
      </w:r>
      <w:r>
        <w:rPr>
          <w:rFonts w:ascii="Arial" w:hAnsi="Arial"/>
          <w:rtl/>
        </w:rPr>
        <w:t>שלא הרתיעוהו מלשוב ולבצע עבירות</w:t>
      </w:r>
      <w:r>
        <w:rPr>
          <w:rFonts w:ascii="Arial" w:hAnsi="Arial" w:hint="cs"/>
          <w:rtl/>
        </w:rPr>
        <w:t>.</w:t>
      </w:r>
      <w:r w:rsidRPr="00861FDF">
        <w:rPr>
          <w:rFonts w:ascii="Arial" w:hAnsi="Arial"/>
          <w:rtl/>
        </w:rPr>
        <w:t xml:space="preserve"> </w:t>
      </w:r>
      <w:r>
        <w:rPr>
          <w:rFonts w:ascii="Arial" w:hAnsi="Arial" w:hint="cs"/>
          <w:rtl/>
        </w:rPr>
        <w:t xml:space="preserve">כמו </w:t>
      </w:r>
      <w:r w:rsidRPr="00861FDF">
        <w:rPr>
          <w:rFonts w:ascii="Arial" w:hAnsi="Arial"/>
          <w:rtl/>
        </w:rPr>
        <w:t xml:space="preserve">כן, תלוי ועומד כנגדו, כאמור, מאסר מותנה למשך 6 חודשים. </w:t>
      </w:r>
    </w:p>
    <w:p w14:paraId="41AF5605" w14:textId="77777777" w:rsidR="007A0820" w:rsidRPr="00861FDF" w:rsidRDefault="007A0820" w:rsidP="007A0820">
      <w:pPr>
        <w:spacing w:line="360" w:lineRule="auto"/>
        <w:jc w:val="both"/>
        <w:rPr>
          <w:rtl/>
        </w:rPr>
      </w:pPr>
      <w:r w:rsidRPr="00861FDF">
        <w:rPr>
          <w:rFonts w:ascii="Arial" w:hAnsi="Arial"/>
          <w:rtl/>
        </w:rPr>
        <w:t>עיון ב</w:t>
      </w:r>
      <w:r w:rsidRPr="00861FDF">
        <w:rPr>
          <w:rFonts w:ascii="Arial" w:hAnsi="Arial"/>
          <w:b/>
          <w:bCs/>
          <w:rtl/>
        </w:rPr>
        <w:t xml:space="preserve">ת/2 </w:t>
      </w:r>
      <w:r w:rsidRPr="00861FDF">
        <w:rPr>
          <w:rFonts w:ascii="Arial" w:hAnsi="Arial"/>
          <w:rtl/>
        </w:rPr>
        <w:t xml:space="preserve">מעלה כי לאחר ביצוע העבירה הקודמת, בעת שהיה קטין, הצהיר בפני קצינת המבחן כי ישוב ויסתנן למדינת ישראל, וזאת על מנת לנקום את מות אחיו.  </w:t>
      </w:r>
    </w:p>
    <w:p w14:paraId="7E83DEEC" w14:textId="77777777" w:rsidR="007A0820" w:rsidRDefault="007A0820" w:rsidP="007A0820">
      <w:pPr>
        <w:tabs>
          <w:tab w:val="center" w:pos="4153"/>
          <w:tab w:val="right" w:pos="8306"/>
        </w:tabs>
        <w:spacing w:line="360" w:lineRule="auto"/>
        <w:jc w:val="both"/>
        <w:rPr>
          <w:rFonts w:ascii="Arial" w:hAnsi="Arial"/>
          <w:rtl/>
        </w:rPr>
      </w:pPr>
    </w:p>
    <w:p w14:paraId="240BED29" w14:textId="77777777" w:rsidR="007A0820" w:rsidRPr="00861FDF" w:rsidRDefault="007A0820" w:rsidP="007A0820">
      <w:pPr>
        <w:tabs>
          <w:tab w:val="center" w:pos="4153"/>
          <w:tab w:val="right" w:pos="8306"/>
        </w:tabs>
        <w:spacing w:line="360" w:lineRule="auto"/>
        <w:jc w:val="both"/>
        <w:rPr>
          <w:rFonts w:ascii="Arial" w:hAnsi="Arial"/>
          <w:rtl/>
        </w:rPr>
      </w:pPr>
      <w:r w:rsidRPr="00861FDF">
        <w:rPr>
          <w:rFonts w:ascii="Arial" w:hAnsi="Arial"/>
          <w:rtl/>
        </w:rPr>
        <w:t xml:space="preserve">לאור המפורט, בעניינו של נאשם </w:t>
      </w:r>
      <w:r>
        <w:rPr>
          <w:rFonts w:ascii="Arial" w:hAnsi="Arial" w:hint="cs"/>
          <w:rtl/>
        </w:rPr>
        <w:t>2</w:t>
      </w:r>
      <w:r w:rsidRPr="00861FDF">
        <w:rPr>
          <w:rFonts w:ascii="Arial" w:hAnsi="Arial"/>
          <w:rtl/>
        </w:rPr>
        <w:t xml:space="preserve"> אף יש ליתן משקל לשיקול הרתעת היחיד, וזאת לצד שיקול הרתעת הרבים בעבירות מהסוגים עליהם נותן את הדין, כפי שעולה מפסיקת בית המשפט, כמפורט לעיל.  </w:t>
      </w:r>
    </w:p>
    <w:p w14:paraId="7896073F" w14:textId="77777777" w:rsidR="007A0820" w:rsidRPr="00861FDF" w:rsidRDefault="007A0820" w:rsidP="007A0820">
      <w:pPr>
        <w:tabs>
          <w:tab w:val="center" w:pos="4153"/>
          <w:tab w:val="right" w:pos="8306"/>
        </w:tabs>
        <w:spacing w:line="360" w:lineRule="auto"/>
        <w:rPr>
          <w:rtl/>
        </w:rPr>
      </w:pPr>
    </w:p>
    <w:p w14:paraId="2EA0F56C" w14:textId="77777777" w:rsidR="007A0820" w:rsidRPr="00861FDF" w:rsidRDefault="007A0820" w:rsidP="007A0820">
      <w:pPr>
        <w:spacing w:line="360" w:lineRule="auto"/>
        <w:jc w:val="both"/>
        <w:rPr>
          <w:b/>
          <w:bCs/>
          <w:rtl/>
        </w:rPr>
      </w:pPr>
      <w:r w:rsidRPr="00861FDF">
        <w:rPr>
          <w:rtl/>
        </w:rPr>
        <w:t>נוסף על המפורט, לאור הצורך בהרתעת הרבים, ובעניינו של נאשם 1 אף בהרתעת היחיד, ועל אף המצוקה הכלכלית הנטענת בעניינם של הנאשמים יש להפנות ל</w:t>
      </w:r>
      <w:hyperlink r:id="rId38" w:history="1">
        <w:r w:rsidR="00F374A2" w:rsidRPr="00F374A2">
          <w:rPr>
            <w:b/>
            <w:bCs/>
            <w:color w:val="0000FF"/>
            <w:u w:val="single"/>
            <w:rtl/>
          </w:rPr>
          <w:t>ע"פ 6474/08</w:t>
        </w:r>
      </w:hyperlink>
      <w:r w:rsidRPr="00861FDF">
        <w:rPr>
          <w:b/>
          <w:bCs/>
          <w:rtl/>
        </w:rPr>
        <w:t xml:space="preserve"> פרג'אללה ואח' נגד מדינת ישראל (10/06/09)</w:t>
      </w:r>
      <w:r w:rsidRPr="00861FDF">
        <w:rPr>
          <w:rtl/>
        </w:rPr>
        <w:t xml:space="preserve"> בו נקבע בעניינם של מסתננים מרצועת עזה כי: </w:t>
      </w:r>
      <w:r w:rsidRPr="00861FDF">
        <w:rPr>
          <w:b/>
          <w:bCs/>
          <w:rtl/>
        </w:rPr>
        <w:t>"עבירת ההסתננות, ובייחוד במצב הביטחוני השורר ברצועת עזה, היא אכן עבירה חמורה, אשר יש לה השלכות ביטחוניות נכבדות ... נוכח האמור, ואל מול הצורך בהרתעה, ברי שלא ניתן לתת משקל נוסף לטענות אודות המצוקה הכלכלית שבה שרויים המערערים ובני משפחותיהם"</w:t>
      </w:r>
      <w:r w:rsidRPr="00861FDF">
        <w:rPr>
          <w:rtl/>
        </w:rPr>
        <w:t>.</w:t>
      </w:r>
      <w:r w:rsidRPr="00861FDF">
        <w:rPr>
          <w:b/>
          <w:bCs/>
          <w:rtl/>
        </w:rPr>
        <w:t xml:space="preserve">  </w:t>
      </w:r>
    </w:p>
    <w:p w14:paraId="6FF3FBAF" w14:textId="77777777" w:rsidR="007A0820" w:rsidRPr="00861FDF" w:rsidRDefault="007A0820" w:rsidP="007A0820">
      <w:pPr>
        <w:tabs>
          <w:tab w:val="center" w:pos="4153"/>
          <w:tab w:val="right" w:pos="8306"/>
        </w:tabs>
        <w:spacing w:line="360" w:lineRule="auto"/>
        <w:rPr>
          <w:rtl/>
        </w:rPr>
      </w:pPr>
    </w:p>
    <w:p w14:paraId="7E0B6567" w14:textId="77777777" w:rsidR="007A0820" w:rsidRPr="00861FDF" w:rsidRDefault="007A0820" w:rsidP="007A0820">
      <w:pPr>
        <w:spacing w:line="360" w:lineRule="auto"/>
        <w:jc w:val="both"/>
        <w:rPr>
          <w:rtl/>
        </w:rPr>
      </w:pPr>
      <w:r w:rsidRPr="00861FDF">
        <w:rPr>
          <w:b/>
          <w:bCs/>
          <w:rtl/>
        </w:rPr>
        <w:t>10</w:t>
      </w:r>
      <w:r w:rsidRPr="00861FDF">
        <w:rPr>
          <w:rtl/>
        </w:rPr>
        <w:t xml:space="preserve">. סוף דבר, לאחר ששקלתי את הנסיבות לקולה ולחומרה במקרה דנן, כמפורט לעיל, באתי לכלל מסקנה כי יש להטיל על נאשם 1 ענישה ברף הבינוני של המתחם, ועל נאשם 2 – ענישה ברף התחתון של המתחם. </w:t>
      </w:r>
    </w:p>
    <w:p w14:paraId="163E11F0" w14:textId="77777777" w:rsidR="007A0820" w:rsidRPr="00861FDF" w:rsidRDefault="007A0820" w:rsidP="007A0820">
      <w:pPr>
        <w:spacing w:line="360" w:lineRule="auto"/>
        <w:jc w:val="both"/>
        <w:rPr>
          <w:rFonts w:ascii="David" w:hAnsi="David"/>
          <w:rtl/>
        </w:rPr>
      </w:pPr>
    </w:p>
    <w:p w14:paraId="6642DEDB" w14:textId="77777777" w:rsidR="007A0820" w:rsidRDefault="007A0820" w:rsidP="007A0820">
      <w:pPr>
        <w:spacing w:line="360" w:lineRule="auto"/>
        <w:jc w:val="both"/>
        <w:rPr>
          <w:rtl/>
        </w:rPr>
      </w:pPr>
      <w:r>
        <w:rPr>
          <w:rFonts w:hint="cs"/>
          <w:rtl/>
        </w:rPr>
        <w:t xml:space="preserve">הגם שמדובר בנאשמים שהורשעו בעבירות זהות ועל אף עיקרון אחידות הענישה, ברי כי נסיבותיו של נאשם 1 אינן זהות לנאשם 2 ועל כן אך הגיוני כי הענישה בעניינם לא תהא זהה. </w:t>
      </w:r>
    </w:p>
    <w:p w14:paraId="2E6C5A04" w14:textId="77777777" w:rsidR="007A0820" w:rsidRPr="00861FDF" w:rsidRDefault="007A0820" w:rsidP="007A0820">
      <w:pPr>
        <w:spacing w:line="360" w:lineRule="auto"/>
        <w:jc w:val="both"/>
        <w:rPr>
          <w:rtl/>
        </w:rPr>
      </w:pPr>
      <w:r>
        <w:rPr>
          <w:rFonts w:hint="cs"/>
          <w:rtl/>
        </w:rPr>
        <w:t xml:space="preserve">בעניין זה אפנה לדברי כבוד השופט ד' מינץ ולפיו </w:t>
      </w:r>
      <w:r w:rsidRPr="00861FDF">
        <w:rPr>
          <w:rtl/>
        </w:rPr>
        <w:t xml:space="preserve"> "</w:t>
      </w:r>
      <w:r w:rsidRPr="00861FDF">
        <w:rPr>
          <w:b/>
          <w:bCs/>
          <w:rtl/>
        </w:rPr>
        <w:t>עקרון אחידות הענישה, חשוב ככל שיהא – אינו חזות הכל, הענישה היא לעולם ענישה אינדיווידואלית והיא נגזרת ממכלול הנסיבות והשיקולים הפרטניים שבכל מקרה ומקרה"</w:t>
      </w:r>
      <w:r w:rsidRPr="00861FDF">
        <w:rPr>
          <w:rtl/>
        </w:rPr>
        <w:t xml:space="preserve"> (</w:t>
      </w:r>
      <w:hyperlink r:id="rId39" w:history="1">
        <w:r w:rsidR="00F374A2" w:rsidRPr="00F374A2">
          <w:rPr>
            <w:b/>
            <w:bCs/>
            <w:color w:val="0000FF"/>
            <w:u w:val="single"/>
            <w:rtl/>
          </w:rPr>
          <w:t>רע"פ  9094/16</w:t>
        </w:r>
      </w:hyperlink>
      <w:r w:rsidRPr="00861FDF">
        <w:rPr>
          <w:b/>
          <w:bCs/>
          <w:rtl/>
        </w:rPr>
        <w:t xml:space="preserve"> נעימי נגד מדינת ישראל (12/04/18</w:t>
      </w:r>
      <w:r w:rsidRPr="00861FDF">
        <w:rPr>
          <w:rtl/>
        </w:rPr>
        <w:t>), וכפי שעולה אף</w:t>
      </w:r>
      <w:r w:rsidRPr="00861FDF">
        <w:rPr>
          <w:b/>
          <w:bCs/>
          <w:rtl/>
        </w:rPr>
        <w:t xml:space="preserve"> </w:t>
      </w:r>
      <w:r w:rsidRPr="00861FDF">
        <w:rPr>
          <w:rtl/>
        </w:rPr>
        <w:t>מ</w:t>
      </w:r>
      <w:hyperlink r:id="rId40" w:history="1">
        <w:r w:rsidR="00F374A2" w:rsidRPr="00F374A2">
          <w:rPr>
            <w:b/>
            <w:bCs/>
            <w:color w:val="0000FF"/>
            <w:u w:val="single"/>
            <w:rtl/>
          </w:rPr>
          <w:t>ע"פ 587/22</w:t>
        </w:r>
      </w:hyperlink>
      <w:r w:rsidRPr="00861FDF">
        <w:rPr>
          <w:b/>
          <w:bCs/>
          <w:rtl/>
        </w:rPr>
        <w:t xml:space="preserve"> אבו נאעסה נגד מדינת ישראל (22/05/22) (פסקה 11)).</w:t>
      </w:r>
      <w:r w:rsidRPr="00861FDF">
        <w:rPr>
          <w:rtl/>
        </w:rPr>
        <w:t xml:space="preserve"> </w:t>
      </w:r>
    </w:p>
    <w:p w14:paraId="0DC618DC" w14:textId="77777777" w:rsidR="007A0820" w:rsidRPr="00861FDF" w:rsidRDefault="007A0820" w:rsidP="007A0820">
      <w:pPr>
        <w:tabs>
          <w:tab w:val="center" w:pos="4153"/>
          <w:tab w:val="right" w:pos="8306"/>
        </w:tabs>
        <w:spacing w:line="360" w:lineRule="auto"/>
        <w:jc w:val="both"/>
        <w:rPr>
          <w:rFonts w:ascii="Arial" w:hAnsi="Arial"/>
          <w:rtl/>
        </w:rPr>
      </w:pPr>
    </w:p>
    <w:p w14:paraId="03B45564" w14:textId="77777777" w:rsidR="007A0820" w:rsidRPr="00861FDF" w:rsidRDefault="007A0820" w:rsidP="007A0820">
      <w:pPr>
        <w:tabs>
          <w:tab w:val="center" w:pos="4153"/>
          <w:tab w:val="right" w:pos="8306"/>
        </w:tabs>
        <w:spacing w:line="360" w:lineRule="auto"/>
        <w:jc w:val="both"/>
        <w:rPr>
          <w:rFonts w:ascii="David" w:hAnsi="David"/>
          <w:b/>
          <w:bCs/>
          <w:u w:val="single"/>
          <w:rtl/>
        </w:rPr>
      </w:pPr>
      <w:r w:rsidRPr="00861FDF">
        <w:rPr>
          <w:rFonts w:ascii="David" w:hAnsi="David"/>
          <w:b/>
          <w:bCs/>
          <w:u w:val="single"/>
          <w:rtl/>
        </w:rPr>
        <w:t>11. סוף דבר, אני גוזרת על הנאשמים את העונשים הבאים:</w:t>
      </w:r>
    </w:p>
    <w:p w14:paraId="383C89E9" w14:textId="77777777" w:rsidR="007A0820" w:rsidRPr="00861FDF" w:rsidRDefault="007A0820" w:rsidP="007A0820">
      <w:pPr>
        <w:tabs>
          <w:tab w:val="center" w:pos="4153"/>
          <w:tab w:val="right" w:pos="8306"/>
        </w:tabs>
        <w:spacing w:line="360" w:lineRule="auto"/>
        <w:jc w:val="both"/>
        <w:rPr>
          <w:rFonts w:ascii="David" w:hAnsi="David"/>
          <w:b/>
          <w:bCs/>
          <w:sz w:val="26"/>
          <w:szCs w:val="26"/>
          <w:u w:val="single"/>
          <w:rtl/>
        </w:rPr>
      </w:pPr>
      <w:r w:rsidRPr="00861FDF">
        <w:rPr>
          <w:rFonts w:ascii="David" w:hAnsi="David"/>
          <w:b/>
          <w:bCs/>
          <w:sz w:val="26"/>
          <w:szCs w:val="26"/>
          <w:u w:val="single"/>
          <w:rtl/>
        </w:rPr>
        <w:t>נאשם 1-</w:t>
      </w:r>
    </w:p>
    <w:p w14:paraId="05838C69" w14:textId="77777777" w:rsidR="007A0820" w:rsidRPr="00ED01B7" w:rsidRDefault="007A0820" w:rsidP="007A0820">
      <w:pPr>
        <w:pStyle w:val="a9"/>
        <w:numPr>
          <w:ilvl w:val="0"/>
          <w:numId w:val="1"/>
        </w:numPr>
        <w:tabs>
          <w:tab w:val="center" w:pos="4153"/>
          <w:tab w:val="right" w:pos="8306"/>
        </w:tabs>
        <w:spacing w:line="360" w:lineRule="auto"/>
        <w:jc w:val="both"/>
        <w:rPr>
          <w:rFonts w:ascii="David" w:hAnsi="David"/>
          <w:b/>
          <w:bCs/>
          <w:rtl/>
        </w:rPr>
      </w:pPr>
      <w:r>
        <w:rPr>
          <w:rFonts w:ascii="David" w:hAnsi="David" w:hint="cs"/>
          <w:b/>
          <w:bCs/>
          <w:rtl/>
        </w:rPr>
        <w:t>41</w:t>
      </w:r>
      <w:r w:rsidRPr="00ED01B7">
        <w:rPr>
          <w:rFonts w:ascii="David" w:hAnsi="David"/>
          <w:b/>
          <w:bCs/>
          <w:rtl/>
        </w:rPr>
        <w:t xml:space="preserve"> חודשי מאסר בפועל </w:t>
      </w:r>
      <w:r>
        <w:rPr>
          <w:rFonts w:ascii="David" w:hAnsi="David" w:hint="cs"/>
          <w:b/>
          <w:bCs/>
          <w:rtl/>
        </w:rPr>
        <w:t>.</w:t>
      </w:r>
      <w:r w:rsidRPr="00ED01B7">
        <w:rPr>
          <w:rFonts w:ascii="David" w:hAnsi="David"/>
          <w:b/>
          <w:bCs/>
          <w:rtl/>
        </w:rPr>
        <w:t xml:space="preserve"> </w:t>
      </w:r>
    </w:p>
    <w:p w14:paraId="22AE46AD" w14:textId="77777777" w:rsidR="007A0820" w:rsidRDefault="007A0820" w:rsidP="007A0820">
      <w:pPr>
        <w:pStyle w:val="a9"/>
        <w:numPr>
          <w:ilvl w:val="0"/>
          <w:numId w:val="1"/>
        </w:numPr>
        <w:tabs>
          <w:tab w:val="center" w:pos="4153"/>
          <w:tab w:val="right" w:pos="8306"/>
        </w:tabs>
        <w:spacing w:line="360" w:lineRule="auto"/>
        <w:jc w:val="both"/>
        <w:rPr>
          <w:rFonts w:ascii="David" w:hAnsi="David"/>
          <w:b/>
          <w:bCs/>
        </w:rPr>
      </w:pPr>
      <w:r>
        <w:rPr>
          <w:rFonts w:ascii="David" w:hAnsi="David" w:hint="cs"/>
          <w:b/>
          <w:bCs/>
          <w:rtl/>
        </w:rPr>
        <w:t xml:space="preserve">מפעילה מאסר מותנה בן 6 חודשים שהוטל על הנאשם ביום 22/10/19 במסגרת </w:t>
      </w:r>
      <w:hyperlink r:id="rId41" w:history="1">
        <w:r w:rsidR="00F374A2" w:rsidRPr="00F374A2">
          <w:rPr>
            <w:rFonts w:ascii="David" w:hAnsi="David"/>
            <w:b/>
            <w:bCs/>
            <w:color w:val="0000FF"/>
            <w:u w:val="single"/>
            <w:rtl/>
          </w:rPr>
          <w:t>ת"פ 21298-07-19</w:t>
        </w:r>
      </w:hyperlink>
      <w:r>
        <w:rPr>
          <w:rFonts w:ascii="David" w:hAnsi="David" w:hint="cs"/>
          <w:b/>
          <w:bCs/>
          <w:rtl/>
        </w:rPr>
        <w:t xml:space="preserve">, חצוי בחופף וחציו במצטבר. </w:t>
      </w:r>
    </w:p>
    <w:p w14:paraId="12DA2CF9" w14:textId="77777777" w:rsidR="007A0820" w:rsidRPr="005837A7" w:rsidRDefault="007A0820" w:rsidP="007A0820">
      <w:pPr>
        <w:pStyle w:val="a9"/>
        <w:tabs>
          <w:tab w:val="center" w:pos="4153"/>
          <w:tab w:val="right" w:pos="8306"/>
        </w:tabs>
        <w:spacing w:line="360" w:lineRule="auto"/>
        <w:ind w:left="920"/>
        <w:jc w:val="both"/>
        <w:rPr>
          <w:rFonts w:ascii="David" w:hAnsi="David"/>
          <w:b/>
          <w:bCs/>
          <w:u w:val="single"/>
          <w:rtl/>
        </w:rPr>
      </w:pPr>
      <w:r w:rsidRPr="005837A7">
        <w:rPr>
          <w:rFonts w:ascii="David" w:hAnsi="David" w:hint="cs"/>
          <w:b/>
          <w:bCs/>
          <w:u w:val="single"/>
          <w:rtl/>
        </w:rPr>
        <w:t xml:space="preserve">סה"כ ירצה הנאשם </w:t>
      </w:r>
      <w:r w:rsidRPr="00A954E3">
        <w:rPr>
          <w:rFonts w:ascii="David" w:hAnsi="David" w:hint="cs"/>
          <w:b/>
          <w:bCs/>
          <w:u w:val="single"/>
          <w:rtl/>
        </w:rPr>
        <w:t>44</w:t>
      </w:r>
      <w:r w:rsidRPr="005837A7">
        <w:rPr>
          <w:rFonts w:ascii="David" w:hAnsi="David" w:hint="cs"/>
          <w:b/>
          <w:bCs/>
          <w:u w:val="single"/>
          <w:rtl/>
        </w:rPr>
        <w:t xml:space="preserve"> חודשי מאסר בפועל שימנו מיום מעצרו. </w:t>
      </w:r>
    </w:p>
    <w:p w14:paraId="56FC02EE" w14:textId="77777777" w:rsidR="007A0820" w:rsidRPr="005837A7" w:rsidRDefault="007A0820" w:rsidP="007A0820">
      <w:pPr>
        <w:pStyle w:val="a9"/>
        <w:numPr>
          <w:ilvl w:val="0"/>
          <w:numId w:val="1"/>
        </w:numPr>
        <w:tabs>
          <w:tab w:val="center" w:pos="4153"/>
          <w:tab w:val="right" w:pos="8306"/>
        </w:tabs>
        <w:spacing w:line="360" w:lineRule="auto"/>
        <w:jc w:val="both"/>
        <w:rPr>
          <w:rFonts w:ascii="David" w:hAnsi="David"/>
          <w:b/>
          <w:bCs/>
          <w:rtl/>
        </w:rPr>
      </w:pPr>
      <w:r w:rsidRPr="005837A7">
        <w:rPr>
          <w:rFonts w:ascii="David" w:hAnsi="David" w:hint="cs"/>
          <w:b/>
          <w:bCs/>
          <w:rtl/>
        </w:rPr>
        <w:t>8</w:t>
      </w:r>
      <w:r w:rsidRPr="005837A7">
        <w:rPr>
          <w:rFonts w:ascii="David" w:hAnsi="David"/>
          <w:b/>
          <w:bCs/>
          <w:rtl/>
        </w:rPr>
        <w:t xml:space="preserve"> חודשי מאסר על תנאי למשך 3 שנים מיום שחרורו שלא יעבור עבירה לפי חוק ההסתננות </w:t>
      </w:r>
      <w:r w:rsidRPr="005837A7">
        <w:rPr>
          <w:rFonts w:ascii="David" w:hAnsi="David" w:hint="cs"/>
          <w:b/>
          <w:bCs/>
          <w:rtl/>
        </w:rPr>
        <w:t>ו/</w:t>
      </w:r>
      <w:r w:rsidRPr="005837A7">
        <w:rPr>
          <w:rFonts w:ascii="David" w:hAnsi="David"/>
          <w:b/>
          <w:bCs/>
          <w:rtl/>
        </w:rPr>
        <w:t xml:space="preserve">או </w:t>
      </w:r>
      <w:r w:rsidRPr="005837A7">
        <w:rPr>
          <w:rFonts w:ascii="David" w:hAnsi="David" w:hint="cs"/>
          <w:b/>
          <w:bCs/>
          <w:rtl/>
        </w:rPr>
        <w:t xml:space="preserve">עבירה מסוג פשע </w:t>
      </w:r>
      <w:r w:rsidRPr="005837A7">
        <w:rPr>
          <w:rFonts w:ascii="David" w:hAnsi="David"/>
          <w:b/>
          <w:bCs/>
          <w:rtl/>
        </w:rPr>
        <w:t>לפי</w:t>
      </w:r>
      <w:r w:rsidRPr="005837A7">
        <w:rPr>
          <w:rFonts w:ascii="David" w:hAnsi="David" w:hint="cs"/>
          <w:b/>
          <w:bCs/>
          <w:rtl/>
        </w:rPr>
        <w:t xml:space="preserve"> </w:t>
      </w:r>
      <w:r w:rsidRPr="005837A7">
        <w:rPr>
          <w:rFonts w:ascii="David" w:hAnsi="David"/>
          <w:b/>
          <w:bCs/>
          <w:rtl/>
        </w:rPr>
        <w:t>סימן א' פרק ה' ל</w:t>
      </w:r>
      <w:hyperlink r:id="rId42" w:history="1">
        <w:r w:rsidR="00F374A2" w:rsidRPr="00F374A2">
          <w:rPr>
            <w:rFonts w:ascii="David" w:hAnsi="David"/>
            <w:b/>
            <w:bCs/>
            <w:color w:val="0000FF"/>
            <w:u w:val="single"/>
            <w:rtl/>
          </w:rPr>
          <w:t>חוק העונשין</w:t>
        </w:r>
      </w:hyperlink>
      <w:r w:rsidRPr="005837A7">
        <w:rPr>
          <w:rFonts w:ascii="David" w:hAnsi="David"/>
          <w:b/>
          <w:bCs/>
          <w:rtl/>
        </w:rPr>
        <w:t>.</w:t>
      </w:r>
    </w:p>
    <w:p w14:paraId="1D094053" w14:textId="77777777" w:rsidR="007A0820" w:rsidRPr="00861FDF" w:rsidRDefault="007A0820" w:rsidP="007A0820">
      <w:pPr>
        <w:tabs>
          <w:tab w:val="center" w:pos="4153"/>
          <w:tab w:val="right" w:pos="8306"/>
        </w:tabs>
        <w:spacing w:line="360" w:lineRule="auto"/>
        <w:jc w:val="both"/>
        <w:rPr>
          <w:rFonts w:ascii="David" w:hAnsi="David"/>
          <w:b/>
          <w:bCs/>
          <w:rtl/>
        </w:rPr>
      </w:pPr>
      <w:r w:rsidRPr="00861FDF">
        <w:rPr>
          <w:rFonts w:ascii="David" w:hAnsi="David"/>
          <w:rtl/>
        </w:rPr>
        <w:t xml:space="preserve">        </w:t>
      </w:r>
    </w:p>
    <w:p w14:paraId="06F57E28" w14:textId="77777777" w:rsidR="007A0820" w:rsidRPr="00861FDF" w:rsidRDefault="007A0820" w:rsidP="007A0820">
      <w:pPr>
        <w:tabs>
          <w:tab w:val="center" w:pos="4153"/>
          <w:tab w:val="right" w:pos="8306"/>
        </w:tabs>
        <w:spacing w:line="360" w:lineRule="auto"/>
        <w:jc w:val="both"/>
        <w:rPr>
          <w:rFonts w:ascii="David" w:hAnsi="David"/>
          <w:b/>
          <w:bCs/>
          <w:sz w:val="26"/>
          <w:szCs w:val="26"/>
          <w:u w:val="single"/>
          <w:rtl/>
        </w:rPr>
      </w:pPr>
      <w:r w:rsidRPr="00861FDF">
        <w:rPr>
          <w:rFonts w:ascii="David" w:hAnsi="David"/>
          <w:b/>
          <w:bCs/>
          <w:sz w:val="26"/>
          <w:szCs w:val="26"/>
          <w:u w:val="single"/>
          <w:rtl/>
        </w:rPr>
        <w:t>נאשם 2-</w:t>
      </w:r>
    </w:p>
    <w:p w14:paraId="12F57B62" w14:textId="77777777" w:rsidR="007A0820" w:rsidRPr="00861FDF" w:rsidRDefault="007A0820" w:rsidP="007A0820">
      <w:pPr>
        <w:tabs>
          <w:tab w:val="center" w:pos="4153"/>
          <w:tab w:val="right" w:pos="8306"/>
        </w:tabs>
        <w:spacing w:line="360" w:lineRule="auto"/>
        <w:ind w:left="425"/>
        <w:jc w:val="both"/>
        <w:rPr>
          <w:rFonts w:ascii="David" w:hAnsi="David"/>
          <w:b/>
          <w:bCs/>
          <w:rtl/>
        </w:rPr>
      </w:pPr>
      <w:r w:rsidRPr="00861FDF">
        <w:rPr>
          <w:rFonts w:ascii="David" w:hAnsi="David"/>
          <w:b/>
          <w:bCs/>
          <w:rtl/>
        </w:rPr>
        <w:t xml:space="preserve">א.  </w:t>
      </w:r>
      <w:r w:rsidRPr="009B1B85">
        <w:rPr>
          <w:rFonts w:ascii="David" w:hAnsi="David"/>
          <w:b/>
          <w:bCs/>
          <w:rtl/>
        </w:rPr>
        <w:t>3</w:t>
      </w:r>
      <w:r>
        <w:rPr>
          <w:rFonts w:ascii="David" w:hAnsi="David" w:hint="cs"/>
          <w:b/>
          <w:bCs/>
          <w:rtl/>
        </w:rPr>
        <w:t>3</w:t>
      </w:r>
      <w:r w:rsidRPr="00861FDF">
        <w:rPr>
          <w:rFonts w:ascii="David" w:hAnsi="David"/>
          <w:b/>
          <w:bCs/>
          <w:rtl/>
        </w:rPr>
        <w:t xml:space="preserve"> חודשי מאסר בפועל </w:t>
      </w:r>
      <w:r>
        <w:rPr>
          <w:rFonts w:ascii="David" w:hAnsi="David" w:hint="cs"/>
          <w:b/>
          <w:bCs/>
          <w:rtl/>
        </w:rPr>
        <w:t>שימנו מיום</w:t>
      </w:r>
      <w:r w:rsidRPr="00861FDF">
        <w:rPr>
          <w:rFonts w:ascii="David" w:hAnsi="David"/>
          <w:b/>
          <w:bCs/>
          <w:rtl/>
        </w:rPr>
        <w:t xml:space="preserve"> מעצרו. </w:t>
      </w:r>
    </w:p>
    <w:p w14:paraId="6E8B1094" w14:textId="77777777" w:rsidR="007A0820" w:rsidRPr="00861FDF" w:rsidRDefault="007A0820" w:rsidP="007A0820">
      <w:pPr>
        <w:tabs>
          <w:tab w:val="center" w:pos="4153"/>
          <w:tab w:val="right" w:pos="8306"/>
        </w:tabs>
        <w:spacing w:line="360" w:lineRule="auto"/>
        <w:ind w:left="425"/>
        <w:jc w:val="both"/>
        <w:rPr>
          <w:rFonts w:ascii="David" w:hAnsi="David"/>
          <w:b/>
          <w:bCs/>
          <w:rtl/>
        </w:rPr>
      </w:pPr>
      <w:r w:rsidRPr="00861FDF">
        <w:rPr>
          <w:rFonts w:ascii="David" w:hAnsi="David"/>
          <w:b/>
          <w:bCs/>
          <w:rtl/>
        </w:rPr>
        <w:t>ב.</w:t>
      </w:r>
      <w:r>
        <w:rPr>
          <w:rFonts w:ascii="David" w:hAnsi="David" w:hint="cs"/>
          <w:b/>
          <w:bCs/>
          <w:rtl/>
        </w:rPr>
        <w:t xml:space="preserve"> </w:t>
      </w:r>
      <w:r w:rsidRPr="00861FDF">
        <w:rPr>
          <w:rFonts w:ascii="David" w:hAnsi="David"/>
          <w:b/>
          <w:bCs/>
          <w:rtl/>
        </w:rPr>
        <w:t xml:space="preserve"> </w:t>
      </w:r>
      <w:r>
        <w:rPr>
          <w:rFonts w:ascii="David" w:hAnsi="David" w:hint="cs"/>
          <w:b/>
          <w:bCs/>
          <w:rtl/>
        </w:rPr>
        <w:t>6</w:t>
      </w:r>
      <w:r w:rsidRPr="00861FDF">
        <w:rPr>
          <w:rFonts w:ascii="David" w:hAnsi="David"/>
          <w:b/>
          <w:bCs/>
          <w:rtl/>
        </w:rPr>
        <w:t xml:space="preserve"> חודשי מאסר על תנאי למשך 3 שנים מיום שחרורו שלא יעבור עבירה לפי חוק ההסתננות או </w:t>
      </w:r>
      <w:r>
        <w:rPr>
          <w:rFonts w:ascii="David" w:hAnsi="David" w:hint="cs"/>
          <w:b/>
          <w:bCs/>
          <w:rtl/>
        </w:rPr>
        <w:t xml:space="preserve">עבירה מסוג פשע </w:t>
      </w:r>
      <w:r w:rsidRPr="00861FDF">
        <w:rPr>
          <w:rFonts w:ascii="David" w:hAnsi="David"/>
          <w:b/>
          <w:bCs/>
          <w:rtl/>
        </w:rPr>
        <w:t>לפי סימן א' פרק ה' ל</w:t>
      </w:r>
      <w:hyperlink r:id="rId43" w:history="1">
        <w:r w:rsidR="00F374A2" w:rsidRPr="00F374A2">
          <w:rPr>
            <w:rFonts w:ascii="David" w:hAnsi="David"/>
            <w:b/>
            <w:bCs/>
            <w:color w:val="0000FF"/>
            <w:u w:val="single"/>
            <w:rtl/>
          </w:rPr>
          <w:t>חוק העונשין</w:t>
        </w:r>
      </w:hyperlink>
      <w:r w:rsidRPr="00861FDF">
        <w:rPr>
          <w:rFonts w:ascii="David" w:hAnsi="David"/>
          <w:b/>
          <w:bCs/>
          <w:rtl/>
        </w:rPr>
        <w:t>.</w:t>
      </w:r>
    </w:p>
    <w:p w14:paraId="6807DD86" w14:textId="77777777" w:rsidR="007A0820" w:rsidRPr="00861FDF" w:rsidRDefault="007A0820" w:rsidP="007A0820">
      <w:pPr>
        <w:tabs>
          <w:tab w:val="center" w:pos="4153"/>
          <w:tab w:val="right" w:pos="8306"/>
        </w:tabs>
        <w:spacing w:line="360" w:lineRule="auto"/>
        <w:jc w:val="both"/>
        <w:rPr>
          <w:rFonts w:ascii="David" w:hAnsi="David"/>
          <w:b/>
          <w:bCs/>
          <w:rtl/>
        </w:rPr>
      </w:pPr>
    </w:p>
    <w:p w14:paraId="10CA3CEB" w14:textId="77777777" w:rsidR="007A0820" w:rsidRPr="00861FDF" w:rsidRDefault="00F374A2" w:rsidP="007A0820">
      <w:pPr>
        <w:tabs>
          <w:tab w:val="center" w:pos="4153"/>
          <w:tab w:val="right" w:pos="8306"/>
        </w:tabs>
        <w:spacing w:line="360" w:lineRule="auto"/>
        <w:jc w:val="both"/>
        <w:rPr>
          <w:rFonts w:ascii="David" w:hAnsi="David"/>
          <w:b/>
          <w:bCs/>
          <w:rtl/>
        </w:rPr>
      </w:pPr>
      <w:r w:rsidRPr="00F374A2">
        <w:rPr>
          <w:rFonts w:ascii="David" w:hAnsi="David"/>
          <w:b/>
          <w:bCs/>
          <w:color w:val="FFFFFF"/>
          <w:sz w:val="2"/>
          <w:szCs w:val="2"/>
          <w:rtl/>
        </w:rPr>
        <w:t>5129371</w:t>
      </w:r>
      <w:r w:rsidR="007A0820" w:rsidRPr="00861FDF">
        <w:rPr>
          <w:rFonts w:ascii="David" w:hAnsi="David"/>
          <w:b/>
          <w:bCs/>
          <w:rtl/>
        </w:rPr>
        <w:t>זכות ערעור תוך 45 יום לבית המשפט העליון.</w:t>
      </w:r>
    </w:p>
    <w:p w14:paraId="398FB1AD" w14:textId="77777777" w:rsidR="007A0820" w:rsidRPr="00F374A2" w:rsidRDefault="00F374A2" w:rsidP="007A0820">
      <w:pPr>
        <w:rPr>
          <w:rFonts w:ascii="Arial" w:hAnsi="Arial"/>
          <w:b/>
          <w:bCs/>
          <w:color w:val="FFFFFF"/>
          <w:sz w:val="2"/>
          <w:szCs w:val="2"/>
          <w:rtl/>
        </w:rPr>
      </w:pPr>
      <w:r w:rsidRPr="00F374A2">
        <w:rPr>
          <w:rFonts w:ascii="Arial" w:hAnsi="Arial"/>
          <w:b/>
          <w:bCs/>
          <w:color w:val="FFFFFF"/>
          <w:sz w:val="2"/>
          <w:szCs w:val="2"/>
          <w:rtl/>
        </w:rPr>
        <w:t>54678313</w:t>
      </w:r>
    </w:p>
    <w:p w14:paraId="58A01D6D" w14:textId="77777777" w:rsidR="007A0820" w:rsidRPr="000F2247" w:rsidRDefault="007A0820" w:rsidP="007A0820">
      <w:pPr>
        <w:rPr>
          <w:rFonts w:ascii="Arial" w:hAnsi="Arial"/>
          <w:b/>
          <w:bCs/>
          <w:sz w:val="26"/>
          <w:szCs w:val="26"/>
          <w:rtl/>
        </w:rPr>
      </w:pPr>
    </w:p>
    <w:p w14:paraId="1195C7CD" w14:textId="77777777" w:rsidR="007A0820" w:rsidRPr="000F2247" w:rsidRDefault="00F374A2" w:rsidP="007A0820">
      <w:pPr>
        <w:rPr>
          <w:rFonts w:ascii="Arial" w:hAnsi="Arial"/>
          <w:b/>
          <w:bCs/>
          <w:sz w:val="26"/>
          <w:szCs w:val="26"/>
          <w:rtl/>
        </w:rPr>
      </w:pPr>
      <w:bookmarkStart w:id="8" w:name="Nitan"/>
      <w:r>
        <w:rPr>
          <w:rFonts w:ascii="Arial" w:hAnsi="Arial"/>
          <w:b/>
          <w:bCs/>
          <w:sz w:val="26"/>
          <w:szCs w:val="26"/>
          <w:rtl/>
        </w:rPr>
        <w:t xml:space="preserve">ניתן היום,  כ"ג אלול תשפ"ב, 19 ספטמבר 2022, במעמד הצדדים. </w:t>
      </w:r>
      <w:bookmarkEnd w:id="8"/>
    </w:p>
    <w:p w14:paraId="3A1EB7D9" w14:textId="77777777" w:rsidR="007A0820" w:rsidRPr="000F2247" w:rsidRDefault="007A0820" w:rsidP="00F374A2">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77FD866" w14:textId="77777777" w:rsidR="007A0820" w:rsidRPr="00AD6A3D" w:rsidRDefault="00AD6A3D" w:rsidP="007A0820">
      <w:pPr>
        <w:jc w:val="center"/>
        <w:rPr>
          <w:rFonts w:ascii="Arial" w:hAnsi="Arial"/>
          <w:b/>
          <w:bCs/>
          <w:color w:val="FFFFFF"/>
          <w:sz w:val="2"/>
          <w:szCs w:val="2"/>
          <w:rtl/>
        </w:rPr>
      </w:pPr>
      <w:r w:rsidRPr="00AD6A3D">
        <w:rPr>
          <w:rFonts w:ascii="Arial" w:hAnsi="Arial"/>
          <w:b/>
          <w:bCs/>
          <w:color w:val="FFFFFF"/>
          <w:sz w:val="2"/>
          <w:szCs w:val="2"/>
          <w:rtl/>
        </w:rPr>
        <w:t>5129371</w:t>
      </w:r>
    </w:p>
    <w:p w14:paraId="0E9D8F5C" w14:textId="77777777" w:rsidR="00F374A2" w:rsidRDefault="00AD6A3D" w:rsidP="00F374A2">
      <w:pPr>
        <w:rPr>
          <w:rFonts w:hint="cs"/>
        </w:rPr>
      </w:pPr>
      <w:r w:rsidRPr="00AD6A3D">
        <w:rPr>
          <w:rFonts w:ascii="David" w:hAnsi="David"/>
          <w:color w:val="FFFFFF"/>
          <w:sz w:val="2"/>
          <w:szCs w:val="2"/>
          <w:rtl/>
        </w:rPr>
        <w:t>5467831</w:t>
      </w:r>
    </w:p>
    <w:p w14:paraId="4D9168C7" w14:textId="77777777" w:rsidR="00F374A2" w:rsidRDefault="00F374A2" w:rsidP="00F374A2">
      <w:pPr>
        <w:rPr>
          <w:rtl/>
        </w:rPr>
      </w:pPr>
    </w:p>
    <w:p w14:paraId="5E6D8883" w14:textId="77777777" w:rsidR="00F374A2" w:rsidRDefault="00F374A2" w:rsidP="00F374A2">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2B1AEAD9" w14:textId="77777777" w:rsidR="00AD6A3D" w:rsidRPr="00AD6A3D" w:rsidRDefault="00AD6A3D" w:rsidP="00AD6A3D">
      <w:pPr>
        <w:keepNext/>
        <w:rPr>
          <w:rFonts w:ascii="David" w:hAnsi="David"/>
          <w:color w:val="000000"/>
          <w:sz w:val="22"/>
          <w:szCs w:val="22"/>
          <w:rtl/>
        </w:rPr>
      </w:pPr>
    </w:p>
    <w:p w14:paraId="42B057D4" w14:textId="77777777" w:rsidR="00AD6A3D" w:rsidRPr="00AD6A3D" w:rsidRDefault="00AD6A3D" w:rsidP="00AD6A3D">
      <w:pPr>
        <w:keepNext/>
        <w:rPr>
          <w:rFonts w:ascii="David" w:hAnsi="David"/>
          <w:color w:val="000000"/>
          <w:sz w:val="22"/>
          <w:szCs w:val="22"/>
          <w:rtl/>
        </w:rPr>
      </w:pPr>
      <w:r w:rsidRPr="00AD6A3D">
        <w:rPr>
          <w:rFonts w:ascii="David" w:hAnsi="David"/>
          <w:color w:val="000000"/>
          <w:sz w:val="22"/>
          <w:szCs w:val="22"/>
          <w:rtl/>
        </w:rPr>
        <w:t>טל לחיאני שהם 54678313-/</w:t>
      </w:r>
    </w:p>
    <w:p w14:paraId="0226476C" w14:textId="77777777" w:rsidR="00F374A2" w:rsidRPr="00F374A2" w:rsidRDefault="00AD6A3D" w:rsidP="00AD6A3D">
      <w:pPr>
        <w:rPr>
          <w:color w:val="0000FF"/>
          <w:u w:val="single"/>
        </w:rPr>
      </w:pPr>
      <w:r w:rsidRPr="00AD6A3D">
        <w:rPr>
          <w:color w:val="000000"/>
          <w:u w:val="single"/>
          <w:rtl/>
        </w:rPr>
        <w:t>נוסח מסמך זה כפוף לשינויי ניסוח ועריכה</w:t>
      </w:r>
    </w:p>
    <w:sectPr w:rsidR="00F374A2" w:rsidRPr="00F374A2" w:rsidSect="00AD6A3D">
      <w:headerReference w:type="even" r:id="rId45"/>
      <w:headerReference w:type="default" r:id="rId46"/>
      <w:footerReference w:type="even" r:id="rId47"/>
      <w:footerReference w:type="default" r:id="rId4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87A8D6" w14:textId="77777777" w:rsidR="000E515A" w:rsidRDefault="000E515A" w:rsidP="00D7351B">
      <w:r>
        <w:separator/>
      </w:r>
    </w:p>
  </w:endnote>
  <w:endnote w:type="continuationSeparator" w:id="0">
    <w:p w14:paraId="3759A4D7" w14:textId="77777777" w:rsidR="000E515A" w:rsidRDefault="000E515A" w:rsidP="00D73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CEDCDF" w14:textId="77777777" w:rsidR="00AD6A3D" w:rsidRDefault="00AD6A3D" w:rsidP="00AD6A3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4FC0CA9" w14:textId="77777777" w:rsidR="009279D4" w:rsidRPr="00AD6A3D" w:rsidRDefault="00AD6A3D" w:rsidP="00AD6A3D">
    <w:pPr>
      <w:pStyle w:val="a5"/>
      <w:pBdr>
        <w:top w:val="single" w:sz="4" w:space="1" w:color="auto"/>
        <w:between w:val="single" w:sz="4" w:space="0" w:color="auto"/>
      </w:pBdr>
      <w:spacing w:after="60"/>
      <w:jc w:val="center"/>
      <w:rPr>
        <w:rFonts w:ascii="FrankRuehl" w:hAnsi="FrankRuehl" w:cs="FrankRuehl"/>
        <w:color w:val="000000"/>
      </w:rPr>
    </w:pPr>
    <w:r w:rsidRPr="00AD6A3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B427D9" w14:textId="77777777" w:rsidR="00AD6A3D" w:rsidRDefault="00AD6A3D" w:rsidP="00AD6A3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C758C">
      <w:rPr>
        <w:rFonts w:ascii="FrankRuehl" w:hAnsi="FrankRuehl" w:cs="FrankRuehl"/>
        <w:noProof/>
        <w:rtl/>
      </w:rPr>
      <w:t>1</w:t>
    </w:r>
    <w:r>
      <w:rPr>
        <w:rFonts w:ascii="FrankRuehl" w:hAnsi="FrankRuehl" w:cs="FrankRuehl"/>
        <w:rtl/>
      </w:rPr>
      <w:fldChar w:fldCharType="end"/>
    </w:r>
  </w:p>
  <w:p w14:paraId="4B69A638" w14:textId="77777777" w:rsidR="009279D4" w:rsidRPr="00AD6A3D" w:rsidRDefault="00AD6A3D" w:rsidP="00AD6A3D">
    <w:pPr>
      <w:pStyle w:val="a5"/>
      <w:pBdr>
        <w:top w:val="single" w:sz="4" w:space="1" w:color="auto"/>
        <w:between w:val="single" w:sz="4" w:space="0" w:color="auto"/>
      </w:pBdr>
      <w:spacing w:after="60"/>
      <w:jc w:val="center"/>
      <w:rPr>
        <w:rFonts w:ascii="FrankRuehl" w:hAnsi="FrankRuehl" w:cs="FrankRuehl"/>
        <w:color w:val="000000"/>
      </w:rPr>
    </w:pPr>
    <w:r w:rsidRPr="00AD6A3D">
      <w:rPr>
        <w:rFonts w:ascii="FrankRuehl" w:hAnsi="FrankRuehl" w:cs="FrankRuehl"/>
        <w:color w:val="000000"/>
      </w:rPr>
      <w:pict w14:anchorId="3422A9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BC870A" w14:textId="77777777" w:rsidR="000E515A" w:rsidRDefault="000E515A" w:rsidP="00D7351B">
      <w:r>
        <w:separator/>
      </w:r>
    </w:p>
  </w:footnote>
  <w:footnote w:type="continuationSeparator" w:id="0">
    <w:p w14:paraId="26DB6594" w14:textId="77777777" w:rsidR="000E515A" w:rsidRDefault="000E515A" w:rsidP="00D735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5E342B" w14:textId="77777777" w:rsidR="00F374A2" w:rsidRPr="00AD6A3D" w:rsidRDefault="00AD6A3D" w:rsidP="00AD6A3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6875-02-22</w:t>
    </w:r>
    <w:r>
      <w:rPr>
        <w:rFonts w:ascii="David" w:hAnsi="David"/>
        <w:color w:val="000000"/>
        <w:sz w:val="22"/>
        <w:szCs w:val="22"/>
        <w:rtl/>
      </w:rPr>
      <w:tab/>
      <w:t xml:space="preserve"> מדינת ישראל נ' אנס אבו חתלה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67A40A" w14:textId="77777777" w:rsidR="00F374A2" w:rsidRPr="00AD6A3D" w:rsidRDefault="00AD6A3D" w:rsidP="00AD6A3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6875-02-22</w:t>
    </w:r>
    <w:r>
      <w:rPr>
        <w:rFonts w:ascii="David" w:hAnsi="David"/>
        <w:color w:val="000000"/>
        <w:sz w:val="22"/>
        <w:szCs w:val="22"/>
        <w:rtl/>
      </w:rPr>
      <w:tab/>
      <w:t xml:space="preserve"> מדינת ישראל נ' אנס אבו חתלה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EB23D0"/>
    <w:multiLevelType w:val="hybridMultilevel"/>
    <w:tmpl w:val="91D4017E"/>
    <w:lvl w:ilvl="0" w:tplc="607E1616">
      <w:start w:val="1"/>
      <w:numFmt w:val="hebrew1"/>
      <w:lvlText w:val="%1."/>
      <w:lvlJc w:val="left"/>
      <w:pPr>
        <w:ind w:left="920" w:hanging="495"/>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num w:numId="1" w16cid:durableId="1721321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A0820"/>
    <w:rsid w:val="000D63EC"/>
    <w:rsid w:val="000E515A"/>
    <w:rsid w:val="001100FB"/>
    <w:rsid w:val="001B5A3B"/>
    <w:rsid w:val="00216870"/>
    <w:rsid w:val="00723B66"/>
    <w:rsid w:val="007A0820"/>
    <w:rsid w:val="009279D4"/>
    <w:rsid w:val="009C758C"/>
    <w:rsid w:val="00AD6A3D"/>
    <w:rsid w:val="00B3681C"/>
    <w:rsid w:val="00BB768C"/>
    <w:rsid w:val="00D21BC0"/>
    <w:rsid w:val="00D6591F"/>
    <w:rsid w:val="00D7351B"/>
    <w:rsid w:val="00F374A2"/>
    <w:rsid w:val="00FD15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E444C98"/>
  <w15:chartTrackingRefBased/>
  <w15:docId w15:val="{5A3C1C72-F1B9-4A82-A8CA-13C4ABC2B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A082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A0820"/>
    <w:pPr>
      <w:tabs>
        <w:tab w:val="center" w:pos="4153"/>
        <w:tab w:val="right" w:pos="8306"/>
      </w:tabs>
    </w:pPr>
  </w:style>
  <w:style w:type="character" w:customStyle="1" w:styleId="a4">
    <w:name w:val="כותרת עליונה תו"/>
    <w:link w:val="a3"/>
    <w:rsid w:val="007A0820"/>
    <w:rPr>
      <w:rFonts w:ascii="Times New Roman" w:eastAsia="Times New Roman" w:hAnsi="Times New Roman" w:cs="David"/>
      <w:sz w:val="24"/>
      <w:szCs w:val="24"/>
    </w:rPr>
  </w:style>
  <w:style w:type="paragraph" w:styleId="a5">
    <w:name w:val="footer"/>
    <w:basedOn w:val="a"/>
    <w:link w:val="a6"/>
    <w:rsid w:val="007A0820"/>
    <w:pPr>
      <w:tabs>
        <w:tab w:val="center" w:pos="4153"/>
        <w:tab w:val="right" w:pos="8306"/>
      </w:tabs>
    </w:pPr>
  </w:style>
  <w:style w:type="character" w:customStyle="1" w:styleId="a6">
    <w:name w:val="כותרת תחתונה תו"/>
    <w:link w:val="a5"/>
    <w:rsid w:val="007A0820"/>
    <w:rPr>
      <w:rFonts w:ascii="Times New Roman" w:eastAsia="Times New Roman" w:hAnsi="Times New Roman" w:cs="David"/>
      <w:sz w:val="24"/>
      <w:szCs w:val="24"/>
    </w:rPr>
  </w:style>
  <w:style w:type="table" w:styleId="a7">
    <w:name w:val="Table Grid"/>
    <w:basedOn w:val="a1"/>
    <w:rsid w:val="007A082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A0820"/>
  </w:style>
  <w:style w:type="character" w:styleId="Hyperlink">
    <w:name w:val="Hyperlink"/>
    <w:rsid w:val="007A0820"/>
    <w:rPr>
      <w:color w:val="0000FF"/>
      <w:u w:val="single"/>
    </w:rPr>
  </w:style>
  <w:style w:type="paragraph" w:styleId="a9">
    <w:name w:val="List Paragraph"/>
    <w:basedOn w:val="a"/>
    <w:qFormat/>
    <w:rsid w:val="007A08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2510"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4263089" TargetMode="External"/><Relationship Id="rId39" Type="http://schemas.openxmlformats.org/officeDocument/2006/relationships/hyperlink" Target="http://www.nevo.co.il/case/21664407" TargetMode="External"/><Relationship Id="rId21" Type="http://schemas.openxmlformats.org/officeDocument/2006/relationships/hyperlink" Target="http://www.nevo.co.il/law/70301/144.b" TargetMode="External"/><Relationship Id="rId34" Type="http://schemas.openxmlformats.org/officeDocument/2006/relationships/hyperlink" Target="http://www.nevo.co.il/law/70301" TargetMode="External"/><Relationship Id="rId42" Type="http://schemas.openxmlformats.org/officeDocument/2006/relationships/hyperlink" Target="http://www.nevo.co.il/law/70301"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72510"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27752004"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case/28883087"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27648790" TargetMode="External"/><Relationship Id="rId40" Type="http://schemas.openxmlformats.org/officeDocument/2006/relationships/hyperlink" Target="http://www.nevo.co.il/case/28268880"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5762686" TargetMode="External"/><Relationship Id="rId28" Type="http://schemas.openxmlformats.org/officeDocument/2006/relationships/hyperlink" Target="http://www.nevo.co.il/case/18654015" TargetMode="External"/><Relationship Id="rId36" Type="http://schemas.openxmlformats.org/officeDocument/2006/relationships/hyperlink" Target="http://www.nevo.co.il/case/6708658" TargetMode="External"/><Relationship Id="rId49" Type="http://schemas.openxmlformats.org/officeDocument/2006/relationships/fontTable" Target="fontTable.xml"/><Relationship Id="rId10" Type="http://schemas.openxmlformats.org/officeDocument/2006/relationships/hyperlink" Target="http://www.nevo.co.il/law/70301/40c.a" TargetMode="External"/><Relationship Id="rId19" Type="http://schemas.openxmlformats.org/officeDocument/2006/relationships/hyperlink" Target="http://www.nevo.co.il/case/5945006" TargetMode="External"/><Relationship Id="rId31" Type="http://schemas.openxmlformats.org/officeDocument/2006/relationships/hyperlink" Target="http://www.nevo.co.il/case/28177660" TargetMode="External"/><Relationship Id="rId44"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law/70301/144.b" TargetMode="External"/><Relationship Id="rId27" Type="http://schemas.openxmlformats.org/officeDocument/2006/relationships/hyperlink" Target="http://www.nevo.co.il/case/26789718"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28043259" TargetMode="External"/><Relationship Id="rId43" Type="http://schemas.openxmlformats.org/officeDocument/2006/relationships/hyperlink" Target="http://www.nevo.co.il/law/70301" TargetMode="External"/><Relationship Id="rId48" Type="http://schemas.openxmlformats.org/officeDocument/2006/relationships/footer" Target="footer2.xml"/><Relationship Id="rId8" Type="http://schemas.openxmlformats.org/officeDocument/2006/relationships/hyperlink" Target="http://www.nevo.co.il/law/72510/4" TargetMode="External"/><Relationship Id="rId3" Type="http://schemas.openxmlformats.org/officeDocument/2006/relationships/settings" Target="settings.xml"/><Relationship Id="rId12" Type="http://schemas.openxmlformats.org/officeDocument/2006/relationships/hyperlink" Target="http://www.nevo.co.il/law/72510/4" TargetMode="External"/><Relationship Id="rId17" Type="http://schemas.openxmlformats.org/officeDocument/2006/relationships/hyperlink" Target="http://www.nevo.co.il/law/70301/40c.a" TargetMode="External"/><Relationship Id="rId25" Type="http://schemas.openxmlformats.org/officeDocument/2006/relationships/hyperlink" Target="http://www.nevo.co.il/case/28697227" TargetMode="External"/><Relationship Id="rId33" Type="http://schemas.openxmlformats.org/officeDocument/2006/relationships/hyperlink" Target="http://www.nevo.co.il/case/28195980" TargetMode="External"/><Relationship Id="rId38" Type="http://schemas.openxmlformats.org/officeDocument/2006/relationships/hyperlink" Target="http://www.nevo.co.il/case/6068019" TargetMode="External"/><Relationship Id="rId46" Type="http://schemas.openxmlformats.org/officeDocument/2006/relationships/header" Target="header2.xml"/><Relationship Id="rId20" Type="http://schemas.openxmlformats.org/officeDocument/2006/relationships/hyperlink" Target="http://www.nevo.co.il/law/70301" TargetMode="External"/><Relationship Id="rId41" Type="http://schemas.openxmlformats.org/officeDocument/2006/relationships/hyperlink" Target="http://www.nevo.co.il/case/25850280"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3389</Words>
  <Characters>16945</Characters>
  <Application>Microsoft Office Word</Application>
  <DocSecurity>0</DocSecurity>
  <Lines>141</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20294</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7995492</vt:i4>
      </vt:variant>
      <vt:variant>
        <vt:i4>108</vt:i4>
      </vt:variant>
      <vt:variant>
        <vt:i4>0</vt:i4>
      </vt:variant>
      <vt:variant>
        <vt:i4>5</vt:i4>
      </vt:variant>
      <vt:variant>
        <vt:lpwstr>http://www.nevo.co.il/law/70301</vt:lpwstr>
      </vt:variant>
      <vt:variant>
        <vt:lpwstr/>
      </vt:variant>
      <vt:variant>
        <vt:i4>7995492</vt:i4>
      </vt:variant>
      <vt:variant>
        <vt:i4>105</vt:i4>
      </vt:variant>
      <vt:variant>
        <vt:i4>0</vt:i4>
      </vt:variant>
      <vt:variant>
        <vt:i4>5</vt:i4>
      </vt:variant>
      <vt:variant>
        <vt:lpwstr>http://www.nevo.co.il/law/70301</vt:lpwstr>
      </vt:variant>
      <vt:variant>
        <vt:lpwstr/>
      </vt:variant>
      <vt:variant>
        <vt:i4>3276918</vt:i4>
      </vt:variant>
      <vt:variant>
        <vt:i4>102</vt:i4>
      </vt:variant>
      <vt:variant>
        <vt:i4>0</vt:i4>
      </vt:variant>
      <vt:variant>
        <vt:i4>5</vt:i4>
      </vt:variant>
      <vt:variant>
        <vt:lpwstr>http://www.nevo.co.il/case/25850280</vt:lpwstr>
      </vt:variant>
      <vt:variant>
        <vt:lpwstr/>
      </vt:variant>
      <vt:variant>
        <vt:i4>3145842</vt:i4>
      </vt:variant>
      <vt:variant>
        <vt:i4>99</vt:i4>
      </vt:variant>
      <vt:variant>
        <vt:i4>0</vt:i4>
      </vt:variant>
      <vt:variant>
        <vt:i4>5</vt:i4>
      </vt:variant>
      <vt:variant>
        <vt:lpwstr>http://www.nevo.co.il/case/28268880</vt:lpwstr>
      </vt:variant>
      <vt:variant>
        <vt:lpwstr/>
      </vt:variant>
      <vt:variant>
        <vt:i4>3145847</vt:i4>
      </vt:variant>
      <vt:variant>
        <vt:i4>96</vt:i4>
      </vt:variant>
      <vt:variant>
        <vt:i4>0</vt:i4>
      </vt:variant>
      <vt:variant>
        <vt:i4>5</vt:i4>
      </vt:variant>
      <vt:variant>
        <vt:lpwstr>http://www.nevo.co.il/case/21664407</vt:lpwstr>
      </vt:variant>
      <vt:variant>
        <vt:lpwstr/>
      </vt:variant>
      <vt:variant>
        <vt:i4>3735677</vt:i4>
      </vt:variant>
      <vt:variant>
        <vt:i4>93</vt:i4>
      </vt:variant>
      <vt:variant>
        <vt:i4>0</vt:i4>
      </vt:variant>
      <vt:variant>
        <vt:i4>5</vt:i4>
      </vt:variant>
      <vt:variant>
        <vt:lpwstr>http://www.nevo.co.il/case/6068019</vt:lpwstr>
      </vt:variant>
      <vt:variant>
        <vt:lpwstr/>
      </vt:variant>
      <vt:variant>
        <vt:i4>3473520</vt:i4>
      </vt:variant>
      <vt:variant>
        <vt:i4>90</vt:i4>
      </vt:variant>
      <vt:variant>
        <vt:i4>0</vt:i4>
      </vt:variant>
      <vt:variant>
        <vt:i4>5</vt:i4>
      </vt:variant>
      <vt:variant>
        <vt:lpwstr>http://www.nevo.co.il/case/27648790</vt:lpwstr>
      </vt:variant>
      <vt:variant>
        <vt:lpwstr/>
      </vt:variant>
      <vt:variant>
        <vt:i4>3670142</vt:i4>
      </vt:variant>
      <vt:variant>
        <vt:i4>87</vt:i4>
      </vt:variant>
      <vt:variant>
        <vt:i4>0</vt:i4>
      </vt:variant>
      <vt:variant>
        <vt:i4>5</vt:i4>
      </vt:variant>
      <vt:variant>
        <vt:lpwstr>http://www.nevo.co.il/case/6708658</vt:lpwstr>
      </vt:variant>
      <vt:variant>
        <vt:lpwstr/>
      </vt:variant>
      <vt:variant>
        <vt:i4>3407994</vt:i4>
      </vt:variant>
      <vt:variant>
        <vt:i4>84</vt:i4>
      </vt:variant>
      <vt:variant>
        <vt:i4>0</vt:i4>
      </vt:variant>
      <vt:variant>
        <vt:i4>5</vt:i4>
      </vt:variant>
      <vt:variant>
        <vt:lpwstr>http://www.nevo.co.il/case/28043259</vt:lpwstr>
      </vt:variant>
      <vt:variant>
        <vt:lpwstr/>
      </vt:variant>
      <vt:variant>
        <vt:i4>7995492</vt:i4>
      </vt:variant>
      <vt:variant>
        <vt:i4>81</vt:i4>
      </vt:variant>
      <vt:variant>
        <vt:i4>0</vt:i4>
      </vt:variant>
      <vt:variant>
        <vt:i4>5</vt:i4>
      </vt:variant>
      <vt:variant>
        <vt:lpwstr>http://www.nevo.co.il/law/70301</vt:lpwstr>
      </vt:variant>
      <vt:variant>
        <vt:lpwstr/>
      </vt:variant>
      <vt:variant>
        <vt:i4>4063356</vt:i4>
      </vt:variant>
      <vt:variant>
        <vt:i4>78</vt:i4>
      </vt:variant>
      <vt:variant>
        <vt:i4>0</vt:i4>
      </vt:variant>
      <vt:variant>
        <vt:i4>5</vt:i4>
      </vt:variant>
      <vt:variant>
        <vt:lpwstr>http://www.nevo.co.il/case/28195980</vt:lpwstr>
      </vt:variant>
      <vt:variant>
        <vt:lpwstr/>
      </vt:variant>
      <vt:variant>
        <vt:i4>7995492</vt:i4>
      </vt:variant>
      <vt:variant>
        <vt:i4>75</vt:i4>
      </vt:variant>
      <vt:variant>
        <vt:i4>0</vt:i4>
      </vt:variant>
      <vt:variant>
        <vt:i4>5</vt:i4>
      </vt:variant>
      <vt:variant>
        <vt:lpwstr>http://www.nevo.co.il/law/70301</vt:lpwstr>
      </vt:variant>
      <vt:variant>
        <vt:lpwstr/>
      </vt:variant>
      <vt:variant>
        <vt:i4>3276925</vt:i4>
      </vt:variant>
      <vt:variant>
        <vt:i4>72</vt:i4>
      </vt:variant>
      <vt:variant>
        <vt:i4>0</vt:i4>
      </vt:variant>
      <vt:variant>
        <vt:i4>5</vt:i4>
      </vt:variant>
      <vt:variant>
        <vt:lpwstr>http://www.nevo.co.il/case/28177660</vt:lpwstr>
      </vt:variant>
      <vt:variant>
        <vt:lpwstr/>
      </vt:variant>
      <vt:variant>
        <vt:i4>7995492</vt:i4>
      </vt:variant>
      <vt:variant>
        <vt:i4>69</vt:i4>
      </vt:variant>
      <vt:variant>
        <vt:i4>0</vt:i4>
      </vt:variant>
      <vt:variant>
        <vt:i4>5</vt:i4>
      </vt:variant>
      <vt:variant>
        <vt:lpwstr>http://www.nevo.co.il/law/70301</vt:lpwstr>
      </vt:variant>
      <vt:variant>
        <vt:lpwstr/>
      </vt:variant>
      <vt:variant>
        <vt:i4>3604598</vt:i4>
      </vt:variant>
      <vt:variant>
        <vt:i4>66</vt:i4>
      </vt:variant>
      <vt:variant>
        <vt:i4>0</vt:i4>
      </vt:variant>
      <vt:variant>
        <vt:i4>5</vt:i4>
      </vt:variant>
      <vt:variant>
        <vt:lpwstr>http://www.nevo.co.il/case/27752004</vt:lpwstr>
      </vt:variant>
      <vt:variant>
        <vt:lpwstr/>
      </vt:variant>
      <vt:variant>
        <vt:i4>3276921</vt:i4>
      </vt:variant>
      <vt:variant>
        <vt:i4>63</vt:i4>
      </vt:variant>
      <vt:variant>
        <vt:i4>0</vt:i4>
      </vt:variant>
      <vt:variant>
        <vt:i4>5</vt:i4>
      </vt:variant>
      <vt:variant>
        <vt:lpwstr>http://www.nevo.co.il/case/18654015</vt:lpwstr>
      </vt:variant>
      <vt:variant>
        <vt:lpwstr/>
      </vt:variant>
      <vt:variant>
        <vt:i4>3997821</vt:i4>
      </vt:variant>
      <vt:variant>
        <vt:i4>60</vt:i4>
      </vt:variant>
      <vt:variant>
        <vt:i4>0</vt:i4>
      </vt:variant>
      <vt:variant>
        <vt:i4>5</vt:i4>
      </vt:variant>
      <vt:variant>
        <vt:lpwstr>http://www.nevo.co.il/case/26789718</vt:lpwstr>
      </vt:variant>
      <vt:variant>
        <vt:lpwstr/>
      </vt:variant>
      <vt:variant>
        <vt:i4>3866742</vt:i4>
      </vt:variant>
      <vt:variant>
        <vt:i4>57</vt:i4>
      </vt:variant>
      <vt:variant>
        <vt:i4>0</vt:i4>
      </vt:variant>
      <vt:variant>
        <vt:i4>5</vt:i4>
      </vt:variant>
      <vt:variant>
        <vt:lpwstr>http://www.nevo.co.il/case/24263089</vt:lpwstr>
      </vt:variant>
      <vt:variant>
        <vt:lpwstr/>
      </vt:variant>
      <vt:variant>
        <vt:i4>3211383</vt:i4>
      </vt:variant>
      <vt:variant>
        <vt:i4>54</vt:i4>
      </vt:variant>
      <vt:variant>
        <vt:i4>0</vt:i4>
      </vt:variant>
      <vt:variant>
        <vt:i4>5</vt:i4>
      </vt:variant>
      <vt:variant>
        <vt:lpwstr>http://www.nevo.co.il/case/28697227</vt:lpwstr>
      </vt:variant>
      <vt:variant>
        <vt:lpwstr/>
      </vt:variant>
      <vt:variant>
        <vt:i4>3211380</vt:i4>
      </vt:variant>
      <vt:variant>
        <vt:i4>51</vt:i4>
      </vt:variant>
      <vt:variant>
        <vt:i4>0</vt:i4>
      </vt:variant>
      <vt:variant>
        <vt:i4>5</vt:i4>
      </vt:variant>
      <vt:variant>
        <vt:lpwstr>http://www.nevo.co.il/case/28883087</vt:lpwstr>
      </vt:variant>
      <vt:variant>
        <vt:lpwstr/>
      </vt:variant>
      <vt:variant>
        <vt:i4>3342457</vt:i4>
      </vt:variant>
      <vt:variant>
        <vt:i4>48</vt:i4>
      </vt:variant>
      <vt:variant>
        <vt:i4>0</vt:i4>
      </vt:variant>
      <vt:variant>
        <vt:i4>5</vt:i4>
      </vt:variant>
      <vt:variant>
        <vt:lpwstr>http://www.nevo.co.il/case/5762686</vt:lpwstr>
      </vt:variant>
      <vt:variant>
        <vt:lpwstr/>
      </vt:variant>
      <vt:variant>
        <vt:i4>5177424</vt:i4>
      </vt:variant>
      <vt:variant>
        <vt:i4>45</vt:i4>
      </vt:variant>
      <vt:variant>
        <vt:i4>0</vt:i4>
      </vt:variant>
      <vt:variant>
        <vt:i4>5</vt:i4>
      </vt:variant>
      <vt:variant>
        <vt:lpwstr>http://www.nevo.co.il/law/70301/144.b</vt:lpwstr>
      </vt:variant>
      <vt:variant>
        <vt:lpwstr/>
      </vt:variant>
      <vt:variant>
        <vt:i4>5177424</vt:i4>
      </vt:variant>
      <vt:variant>
        <vt:i4>42</vt:i4>
      </vt:variant>
      <vt:variant>
        <vt:i4>0</vt:i4>
      </vt:variant>
      <vt:variant>
        <vt:i4>5</vt:i4>
      </vt:variant>
      <vt:variant>
        <vt:lpwstr>http://www.nevo.co.il/law/70301/144.b</vt:lpwstr>
      </vt:variant>
      <vt:variant>
        <vt:lpwstr/>
      </vt:variant>
      <vt:variant>
        <vt:i4>7995492</vt:i4>
      </vt:variant>
      <vt:variant>
        <vt:i4>39</vt:i4>
      </vt:variant>
      <vt:variant>
        <vt:i4>0</vt:i4>
      </vt:variant>
      <vt:variant>
        <vt:i4>5</vt:i4>
      </vt:variant>
      <vt:variant>
        <vt:lpwstr>http://www.nevo.co.il/law/70301</vt:lpwstr>
      </vt:variant>
      <vt:variant>
        <vt:lpwstr/>
      </vt:variant>
      <vt:variant>
        <vt:i4>3604600</vt:i4>
      </vt:variant>
      <vt:variant>
        <vt:i4>36</vt:i4>
      </vt:variant>
      <vt:variant>
        <vt:i4>0</vt:i4>
      </vt:variant>
      <vt:variant>
        <vt:i4>5</vt:i4>
      </vt:variant>
      <vt:variant>
        <vt:lpwstr>http://www.nevo.co.il/case/5945006</vt:lpwstr>
      </vt:variant>
      <vt:variant>
        <vt:lpwstr/>
      </vt:variant>
      <vt:variant>
        <vt:i4>7995492</vt:i4>
      </vt:variant>
      <vt:variant>
        <vt:i4>33</vt:i4>
      </vt:variant>
      <vt:variant>
        <vt:i4>0</vt:i4>
      </vt:variant>
      <vt:variant>
        <vt:i4>5</vt:i4>
      </vt:variant>
      <vt:variant>
        <vt:lpwstr>http://www.nevo.co.il/law/70301</vt:lpwstr>
      </vt:variant>
      <vt:variant>
        <vt:lpwstr/>
      </vt:variant>
      <vt:variant>
        <vt:i4>4915202</vt:i4>
      </vt:variant>
      <vt:variant>
        <vt:i4>30</vt:i4>
      </vt:variant>
      <vt:variant>
        <vt:i4>0</vt:i4>
      </vt:variant>
      <vt:variant>
        <vt:i4>5</vt:i4>
      </vt:variant>
      <vt:variant>
        <vt:lpwstr>http://www.nevo.co.il/law/70301/40c.a</vt:lpwstr>
      </vt:variant>
      <vt:variant>
        <vt:lpwstr/>
      </vt:variant>
      <vt:variant>
        <vt:i4>7995492</vt:i4>
      </vt:variant>
      <vt:variant>
        <vt:i4>27</vt:i4>
      </vt:variant>
      <vt:variant>
        <vt:i4>0</vt:i4>
      </vt:variant>
      <vt:variant>
        <vt:i4>5</vt:i4>
      </vt:variant>
      <vt:variant>
        <vt:lpwstr>http://www.nevo.co.il/law/70301</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7929954</vt:i4>
      </vt:variant>
      <vt:variant>
        <vt:i4>18</vt:i4>
      </vt:variant>
      <vt:variant>
        <vt:i4>0</vt:i4>
      </vt:variant>
      <vt:variant>
        <vt:i4>5</vt:i4>
      </vt:variant>
      <vt:variant>
        <vt:lpwstr>http://www.nevo.co.il/law/72510</vt:lpwstr>
      </vt:variant>
      <vt:variant>
        <vt:lpwstr/>
      </vt:variant>
      <vt:variant>
        <vt:i4>5636178</vt:i4>
      </vt:variant>
      <vt:variant>
        <vt:i4>15</vt:i4>
      </vt:variant>
      <vt:variant>
        <vt:i4>0</vt:i4>
      </vt:variant>
      <vt:variant>
        <vt:i4>5</vt:i4>
      </vt:variant>
      <vt:variant>
        <vt:lpwstr>http://www.nevo.co.il/law/72510/4</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4915202</vt:i4>
      </vt:variant>
      <vt:variant>
        <vt:i4>9</vt:i4>
      </vt:variant>
      <vt:variant>
        <vt:i4>0</vt:i4>
      </vt:variant>
      <vt:variant>
        <vt:i4>5</vt:i4>
      </vt:variant>
      <vt:variant>
        <vt:lpwstr>http://www.nevo.co.il/law/70301/40c.a</vt:lpwstr>
      </vt:variant>
      <vt:variant>
        <vt:lpwstr/>
      </vt:variant>
      <vt:variant>
        <vt:i4>7995492</vt:i4>
      </vt:variant>
      <vt:variant>
        <vt:i4>6</vt:i4>
      </vt:variant>
      <vt:variant>
        <vt:i4>0</vt:i4>
      </vt:variant>
      <vt:variant>
        <vt:i4>5</vt:i4>
      </vt:variant>
      <vt:variant>
        <vt:lpwstr>http://www.nevo.co.il/law/70301</vt:lpwstr>
      </vt:variant>
      <vt:variant>
        <vt:lpwstr/>
      </vt:variant>
      <vt:variant>
        <vt:i4>5636178</vt:i4>
      </vt:variant>
      <vt:variant>
        <vt:i4>3</vt:i4>
      </vt:variant>
      <vt:variant>
        <vt:i4>0</vt:i4>
      </vt:variant>
      <vt:variant>
        <vt:i4>5</vt:i4>
      </vt:variant>
      <vt:variant>
        <vt:lpwstr>http://www.nevo.co.il/law/72510/4</vt:lpwstr>
      </vt:variant>
      <vt:variant>
        <vt:lpwstr/>
      </vt:variant>
      <vt:variant>
        <vt:i4>7929954</vt:i4>
      </vt:variant>
      <vt:variant>
        <vt:i4>0</vt:i4>
      </vt:variant>
      <vt:variant>
        <vt:i4>0</vt:i4>
      </vt:variant>
      <vt:variant>
        <vt:i4>5</vt:i4>
      </vt:variant>
      <vt:variant>
        <vt:lpwstr>http://www.nevo.co.il/law/72510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2025-04-25T10:53:00Z</dcterms:created>
  <dcterms:modified xsi:type="dcterms:W3CDTF">2025-04-25T10:53:00Z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6875</vt:lpwstr>
  </property>
  <property fmtid="{D5CDD505-2E9C-101B-9397-08002B2CF9AE}" pid="6" name="NEWPARTB">
    <vt:lpwstr>02</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אנס אבו חתלה;זיאד אבו סנימה</vt:lpwstr>
  </property>
  <property fmtid="{D5CDD505-2E9C-101B-9397-08002B2CF9AE}" pid="10" name="LAWYER">
    <vt:lpwstr>חיים שוויצר;ג'בארין</vt:lpwstr>
  </property>
  <property fmtid="{D5CDD505-2E9C-101B-9397-08002B2CF9AE}" pid="11" name="JUDGE">
    <vt:lpwstr>טל לחיאני שהם</vt:lpwstr>
  </property>
  <property fmtid="{D5CDD505-2E9C-101B-9397-08002B2CF9AE}" pid="12" name="CITY">
    <vt:lpwstr>ב"ש</vt:lpwstr>
  </property>
  <property fmtid="{D5CDD505-2E9C-101B-9397-08002B2CF9AE}" pid="13" name="DATE">
    <vt:lpwstr>20220919</vt:lpwstr>
  </property>
  <property fmtid="{D5CDD505-2E9C-101B-9397-08002B2CF9AE}" pid="14" name="TYPE_N_DATE">
    <vt:lpwstr>39020220919</vt:lpwstr>
  </property>
  <property fmtid="{D5CDD505-2E9C-101B-9397-08002B2CF9AE}" pid="15" name="WORDNUMPAGES">
    <vt:lpwstr>10</vt:lpwstr>
  </property>
  <property fmtid="{D5CDD505-2E9C-101B-9397-08002B2CF9AE}" pid="16" name="TYPE_ABS_DATE">
    <vt:lpwstr>390020220919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5945006;5762686;28883087;28697227;24263089;26789718;18654015;27752004;28177660;28195980;28043259;6708658;27648790;6068019;21664407;28268880;25850280</vt:lpwstr>
  </property>
  <property fmtid="{D5CDD505-2E9C-101B-9397-08002B2CF9AE}" pid="36" name="LAWLISTTMP1">
    <vt:lpwstr>72510/004</vt:lpwstr>
  </property>
  <property fmtid="{D5CDD505-2E9C-101B-9397-08002B2CF9AE}" pid="37" name="LAWLISTTMP2">
    <vt:lpwstr>70301/144.b:3;040c.a</vt:lpwstr>
  </property>
</Properties>
</file>