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EB4489" w:rsidRPr="00365FF4" w14:paraId="0D66B83D" w14:textId="77777777" w:rsidTr="00B808D1">
        <w:trPr>
          <w:gridAfter w:val="1"/>
          <w:wAfter w:w="99" w:type="dxa"/>
          <w:trHeight w:hRule="exact" w:val="418"/>
          <w:jc w:val="center"/>
        </w:trPr>
        <w:tc>
          <w:tcPr>
            <w:tcW w:w="8721" w:type="dxa"/>
            <w:gridSpan w:val="4"/>
          </w:tcPr>
          <w:p w14:paraId="1782BBAE" w14:textId="77777777" w:rsidR="00EB4489" w:rsidRPr="00365FF4" w:rsidRDefault="00EB4489" w:rsidP="006B20CF">
            <w:pPr>
              <w:pStyle w:val="a3"/>
              <w:jc w:val="center"/>
              <w:rPr>
                <w:rFonts w:ascii="Tahoma" w:hAnsi="Tahoma" w:cs="Tahoma"/>
                <w:color w:val="000080"/>
                <w:rtl/>
              </w:rPr>
            </w:pPr>
            <w:bookmarkStart w:id="0" w:name="LastJudge"/>
            <w:r w:rsidRPr="00365FF4">
              <w:rPr>
                <w:rFonts w:ascii="Tahoma" w:hAnsi="Tahoma" w:cs="Tahoma"/>
                <w:b/>
                <w:bCs/>
                <w:color w:val="000080"/>
                <w:rtl/>
              </w:rPr>
              <w:t>בית המשפט המחוזי מרכז-לוד</w:t>
            </w:r>
          </w:p>
        </w:tc>
      </w:tr>
      <w:tr w:rsidR="00EB4489" w:rsidRPr="00365FF4" w14:paraId="53A50DEE" w14:textId="77777777" w:rsidTr="00B808D1">
        <w:trPr>
          <w:gridAfter w:val="1"/>
          <w:wAfter w:w="99" w:type="dxa"/>
          <w:trHeight w:val="337"/>
          <w:jc w:val="center"/>
        </w:trPr>
        <w:tc>
          <w:tcPr>
            <w:tcW w:w="5057" w:type="dxa"/>
            <w:gridSpan w:val="3"/>
          </w:tcPr>
          <w:p w14:paraId="38B6AE37" w14:textId="77777777" w:rsidR="00EB4489" w:rsidRPr="00365FF4" w:rsidRDefault="00EB4489" w:rsidP="006B20CF">
            <w:pPr>
              <w:rPr>
                <w:rFonts w:cs="FrankRuehl"/>
                <w:sz w:val="28"/>
                <w:szCs w:val="28"/>
                <w:rtl/>
              </w:rPr>
            </w:pPr>
            <w:r w:rsidRPr="00365FF4">
              <w:rPr>
                <w:rFonts w:cs="FrankRuehl"/>
                <w:sz w:val="28"/>
                <w:szCs w:val="28"/>
                <w:rtl/>
              </w:rPr>
              <w:t>ת"פ</w:t>
            </w:r>
            <w:r w:rsidRPr="00365FF4">
              <w:rPr>
                <w:rFonts w:cs="FrankRuehl" w:hint="cs"/>
                <w:sz w:val="28"/>
                <w:szCs w:val="28"/>
                <w:rtl/>
              </w:rPr>
              <w:t xml:space="preserve"> </w:t>
            </w:r>
            <w:r w:rsidRPr="00365FF4">
              <w:rPr>
                <w:rFonts w:cs="FrankRuehl"/>
                <w:sz w:val="28"/>
                <w:szCs w:val="28"/>
                <w:rtl/>
              </w:rPr>
              <w:t>6968-02-22</w:t>
            </w:r>
            <w:r w:rsidRPr="00365FF4">
              <w:rPr>
                <w:rFonts w:cs="FrankRuehl" w:hint="cs"/>
                <w:sz w:val="28"/>
                <w:szCs w:val="28"/>
                <w:rtl/>
              </w:rPr>
              <w:t xml:space="preserve"> </w:t>
            </w:r>
            <w:r w:rsidRPr="00365FF4">
              <w:rPr>
                <w:rFonts w:cs="FrankRuehl"/>
                <w:sz w:val="28"/>
                <w:szCs w:val="28"/>
                <w:rtl/>
              </w:rPr>
              <w:t>מדינת ישראל נ' גאבר(עציר)</w:t>
            </w:r>
          </w:p>
          <w:p w14:paraId="53463458" w14:textId="77777777" w:rsidR="00EB4489" w:rsidRPr="00365FF4" w:rsidRDefault="00EB4489" w:rsidP="006B20CF">
            <w:pPr>
              <w:pStyle w:val="a3"/>
              <w:rPr>
                <w:rFonts w:cs="FrankRuehl"/>
                <w:sz w:val="28"/>
                <w:szCs w:val="28"/>
                <w:rtl/>
              </w:rPr>
            </w:pPr>
          </w:p>
        </w:tc>
        <w:tc>
          <w:tcPr>
            <w:tcW w:w="3664" w:type="dxa"/>
          </w:tcPr>
          <w:p w14:paraId="4752EEEE" w14:textId="77777777" w:rsidR="00EB4489" w:rsidRPr="00365FF4" w:rsidRDefault="00EB4489" w:rsidP="006B20CF">
            <w:pPr>
              <w:pStyle w:val="a3"/>
              <w:jc w:val="right"/>
              <w:rPr>
                <w:rFonts w:cs="FrankRuehl"/>
                <w:sz w:val="28"/>
                <w:szCs w:val="28"/>
                <w:rtl/>
              </w:rPr>
            </w:pPr>
          </w:p>
        </w:tc>
      </w:tr>
      <w:tr w:rsidR="00EB4489" w:rsidRPr="00365FF4" w14:paraId="292FFD8A" w14:textId="77777777" w:rsidTr="00B80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E144BC2" w14:textId="77777777" w:rsidR="00EB4489" w:rsidRPr="00365FF4" w:rsidRDefault="00EB4489" w:rsidP="00EB4489">
            <w:pPr>
              <w:jc w:val="both"/>
              <w:rPr>
                <w:rFonts w:ascii="David" w:hAnsi="David"/>
                <w:sz w:val="26"/>
                <w:szCs w:val="26"/>
              </w:rPr>
            </w:pPr>
            <w:r w:rsidRPr="00365FF4">
              <w:rPr>
                <w:rFonts w:hint="cs"/>
                <w:rtl/>
              </w:rPr>
              <w:t xml:space="preserve"> </w:t>
            </w:r>
            <w:r w:rsidRPr="00365FF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BAB4BAF" w14:textId="77777777" w:rsidR="00EB4489" w:rsidRPr="00365FF4" w:rsidRDefault="00EB4489" w:rsidP="006B20CF">
            <w:pPr>
              <w:rPr>
                <w:rFonts w:ascii="David" w:hAnsi="David"/>
                <w:b/>
                <w:bCs/>
                <w:sz w:val="26"/>
                <w:szCs w:val="26"/>
                <w:rtl/>
              </w:rPr>
            </w:pPr>
            <w:r w:rsidRPr="00365FF4">
              <w:rPr>
                <w:rFonts w:ascii="David" w:hAnsi="David"/>
                <w:b/>
                <w:bCs/>
                <w:sz w:val="26"/>
                <w:szCs w:val="26"/>
                <w:rtl/>
              </w:rPr>
              <w:t>כבוד השופטת  מרב גרינברג</w:t>
            </w:r>
          </w:p>
          <w:p w14:paraId="25835C4E" w14:textId="77777777" w:rsidR="00EB4489" w:rsidRPr="00365FF4" w:rsidRDefault="00EB4489" w:rsidP="006B20CF">
            <w:pPr>
              <w:rPr>
                <w:rFonts w:ascii="David" w:hAnsi="David"/>
                <w:sz w:val="26"/>
                <w:szCs w:val="26"/>
                <w:rtl/>
              </w:rPr>
            </w:pPr>
          </w:p>
          <w:p w14:paraId="3B78ED2F" w14:textId="77777777" w:rsidR="00EB4489" w:rsidRPr="00365FF4" w:rsidRDefault="00EB4489" w:rsidP="00EB4489">
            <w:pPr>
              <w:jc w:val="both"/>
              <w:rPr>
                <w:rFonts w:ascii="David" w:hAnsi="David"/>
                <w:sz w:val="26"/>
                <w:szCs w:val="26"/>
              </w:rPr>
            </w:pPr>
          </w:p>
        </w:tc>
      </w:tr>
      <w:tr w:rsidR="00EB4489" w:rsidRPr="00365FF4" w14:paraId="52516FFA" w14:textId="77777777" w:rsidTr="00B80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1E6C54" w14:textId="77777777" w:rsidR="00EB4489" w:rsidRPr="00365FF4" w:rsidRDefault="00EB4489" w:rsidP="00EB4489">
            <w:pPr>
              <w:jc w:val="both"/>
              <w:rPr>
                <w:rFonts w:ascii="David" w:hAnsi="David"/>
                <w:sz w:val="26"/>
                <w:szCs w:val="26"/>
              </w:rPr>
            </w:pPr>
            <w:bookmarkStart w:id="1" w:name="FirstAppellant"/>
            <w:r w:rsidRPr="00365FF4">
              <w:rPr>
                <w:rFonts w:ascii="David" w:hAnsi="David"/>
                <w:sz w:val="26"/>
                <w:szCs w:val="26"/>
                <w:rtl/>
              </w:rPr>
              <w:t>בעניין:</w:t>
            </w:r>
          </w:p>
        </w:tc>
        <w:tc>
          <w:tcPr>
            <w:tcW w:w="3219" w:type="dxa"/>
            <w:tcBorders>
              <w:top w:val="nil"/>
              <w:left w:val="nil"/>
              <w:bottom w:val="nil"/>
              <w:right w:val="nil"/>
            </w:tcBorders>
            <w:shd w:val="clear" w:color="auto" w:fill="auto"/>
          </w:tcPr>
          <w:p w14:paraId="772E9A25" w14:textId="77777777" w:rsidR="00EB4489" w:rsidRPr="00365FF4" w:rsidRDefault="00EB4489" w:rsidP="00EB4489">
            <w:pPr>
              <w:suppressLineNumbers/>
            </w:pPr>
            <w:r w:rsidRPr="00365FF4">
              <w:rPr>
                <w:rFonts w:ascii="Arial" w:hAnsi="Arial" w:hint="cs"/>
                <w:b/>
                <w:bCs/>
                <w:sz w:val="26"/>
                <w:szCs w:val="26"/>
                <w:rtl/>
              </w:rPr>
              <w:t>ה</w:t>
            </w:r>
            <w:r w:rsidRPr="00365FF4">
              <w:rPr>
                <w:rFonts w:ascii="Arial" w:hAnsi="Arial"/>
                <w:b/>
                <w:bCs/>
                <w:sz w:val="26"/>
                <w:szCs w:val="26"/>
                <w:rtl/>
              </w:rPr>
              <w:t>מאשימה</w:t>
            </w:r>
          </w:p>
          <w:p w14:paraId="51DC7028" w14:textId="77777777" w:rsidR="00EB4489" w:rsidRPr="00365FF4" w:rsidRDefault="00EB4489" w:rsidP="006B20C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0C78BF8" w14:textId="77777777" w:rsidR="00EB4489" w:rsidRPr="00365FF4" w:rsidRDefault="00EB4489" w:rsidP="00EB4489">
            <w:pPr>
              <w:suppressLineNumbers/>
              <w:rPr>
                <w:rFonts w:ascii="David" w:hAnsi="David"/>
                <w:sz w:val="26"/>
                <w:szCs w:val="26"/>
              </w:rPr>
            </w:pPr>
            <w:r w:rsidRPr="00365FF4">
              <w:rPr>
                <w:rFonts w:ascii="Arial" w:hAnsi="Arial"/>
                <w:b/>
                <w:bCs/>
                <w:sz w:val="26"/>
                <w:szCs w:val="26"/>
                <w:rtl/>
              </w:rPr>
              <w:t>מדינת ישראל</w:t>
            </w:r>
            <w:r w:rsidRPr="00365FF4">
              <w:rPr>
                <w:rFonts w:ascii="Arial" w:hAnsi="Arial" w:hint="cs"/>
                <w:b/>
                <w:bCs/>
                <w:sz w:val="26"/>
                <w:szCs w:val="26"/>
                <w:rtl/>
              </w:rPr>
              <w:t xml:space="preserve"> </w:t>
            </w:r>
          </w:p>
        </w:tc>
      </w:tr>
      <w:bookmarkEnd w:id="1"/>
      <w:tr w:rsidR="00EB4489" w:rsidRPr="00365FF4" w14:paraId="0F5B9117" w14:textId="77777777" w:rsidTr="00B80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9419D38" w14:textId="77777777" w:rsidR="00EB4489" w:rsidRPr="00365FF4" w:rsidRDefault="00EB4489" w:rsidP="00EB448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5392731" w14:textId="77777777" w:rsidR="00EB4489" w:rsidRPr="00365FF4" w:rsidRDefault="00EB4489" w:rsidP="00EB4489">
            <w:pPr>
              <w:jc w:val="center"/>
              <w:rPr>
                <w:rFonts w:ascii="David" w:hAnsi="David"/>
                <w:b/>
                <w:bCs/>
                <w:sz w:val="26"/>
                <w:szCs w:val="26"/>
                <w:rtl/>
              </w:rPr>
            </w:pPr>
          </w:p>
          <w:p w14:paraId="7CA13EF7" w14:textId="77777777" w:rsidR="00EB4489" w:rsidRPr="00365FF4" w:rsidRDefault="00EB4489" w:rsidP="00EB4489">
            <w:pPr>
              <w:jc w:val="center"/>
              <w:rPr>
                <w:rFonts w:ascii="David" w:hAnsi="David"/>
                <w:b/>
                <w:bCs/>
                <w:sz w:val="26"/>
                <w:szCs w:val="26"/>
                <w:rtl/>
              </w:rPr>
            </w:pPr>
            <w:r w:rsidRPr="00365FF4">
              <w:rPr>
                <w:rFonts w:ascii="David" w:hAnsi="David"/>
                <w:b/>
                <w:bCs/>
                <w:sz w:val="26"/>
                <w:szCs w:val="26"/>
                <w:rtl/>
              </w:rPr>
              <w:t>נגד</w:t>
            </w:r>
          </w:p>
          <w:p w14:paraId="50F98476" w14:textId="77777777" w:rsidR="00EB4489" w:rsidRPr="00365FF4" w:rsidRDefault="00EB4489" w:rsidP="00EB4489">
            <w:pPr>
              <w:jc w:val="both"/>
              <w:rPr>
                <w:rFonts w:ascii="David" w:hAnsi="David"/>
                <w:sz w:val="26"/>
                <w:szCs w:val="26"/>
              </w:rPr>
            </w:pPr>
          </w:p>
        </w:tc>
      </w:tr>
      <w:tr w:rsidR="00EB4489" w:rsidRPr="00365FF4" w14:paraId="6D36C5D5" w14:textId="77777777" w:rsidTr="00B80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D9DA40" w14:textId="77777777" w:rsidR="00EB4489" w:rsidRPr="00365FF4" w:rsidRDefault="00EB4489" w:rsidP="006B20CF">
            <w:pPr>
              <w:rPr>
                <w:rFonts w:ascii="David" w:hAnsi="David"/>
                <w:sz w:val="26"/>
                <w:szCs w:val="26"/>
                <w:rtl/>
              </w:rPr>
            </w:pPr>
          </w:p>
        </w:tc>
        <w:tc>
          <w:tcPr>
            <w:tcW w:w="3219" w:type="dxa"/>
            <w:tcBorders>
              <w:top w:val="nil"/>
              <w:left w:val="nil"/>
              <w:bottom w:val="nil"/>
              <w:right w:val="nil"/>
            </w:tcBorders>
            <w:shd w:val="clear" w:color="auto" w:fill="auto"/>
          </w:tcPr>
          <w:p w14:paraId="2E969A40" w14:textId="77777777" w:rsidR="00EB4489" w:rsidRPr="00365FF4" w:rsidRDefault="00EB4489" w:rsidP="006B20CF">
            <w:pPr>
              <w:rPr>
                <w:rFonts w:ascii="Arial" w:hAnsi="Arial"/>
                <w:b/>
                <w:bCs/>
                <w:sz w:val="26"/>
                <w:szCs w:val="26"/>
                <w:rtl/>
              </w:rPr>
            </w:pPr>
            <w:r w:rsidRPr="00365FF4">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62A84A49" w14:textId="77777777" w:rsidR="00EB4489" w:rsidRPr="00365FF4" w:rsidRDefault="00EB4489" w:rsidP="00EB4489">
            <w:pPr>
              <w:suppressLineNumbers/>
              <w:rPr>
                <w:rFonts w:ascii="David" w:hAnsi="David"/>
                <w:sz w:val="26"/>
                <w:szCs w:val="26"/>
              </w:rPr>
            </w:pPr>
            <w:r w:rsidRPr="00365FF4">
              <w:rPr>
                <w:rFonts w:ascii="Arial" w:hAnsi="Arial"/>
                <w:b/>
                <w:bCs/>
                <w:sz w:val="26"/>
                <w:szCs w:val="26"/>
                <w:rtl/>
              </w:rPr>
              <w:t>חמזה גאבר</w:t>
            </w:r>
          </w:p>
        </w:tc>
      </w:tr>
    </w:tbl>
    <w:p w14:paraId="69506B1F" w14:textId="77777777" w:rsidR="00B808D1" w:rsidRDefault="00B808D1" w:rsidP="00365FF4">
      <w:pPr>
        <w:rPr>
          <w:sz w:val="26"/>
          <w:szCs w:val="26"/>
          <w:rtl/>
        </w:rPr>
      </w:pPr>
    </w:p>
    <w:p w14:paraId="4D2A7015" w14:textId="77777777" w:rsidR="00B808D1" w:rsidRPr="00B808D1" w:rsidRDefault="00B808D1" w:rsidP="00B808D1">
      <w:pPr>
        <w:spacing w:after="120" w:line="240" w:lineRule="exact"/>
        <w:ind w:left="283" w:hanging="283"/>
        <w:jc w:val="both"/>
        <w:rPr>
          <w:rFonts w:ascii="FrankRuehl" w:hAnsi="FrankRuehl" w:cs="FrankRuehl"/>
          <w:rtl/>
        </w:rPr>
      </w:pPr>
    </w:p>
    <w:p w14:paraId="701ABE14" w14:textId="77777777" w:rsidR="00E9251B" w:rsidRPr="00E9251B" w:rsidRDefault="00E9251B" w:rsidP="00E9251B">
      <w:pPr>
        <w:spacing w:before="120" w:after="120" w:line="240" w:lineRule="exact"/>
        <w:ind w:left="283" w:hanging="283"/>
        <w:jc w:val="both"/>
        <w:rPr>
          <w:rFonts w:ascii="FrankRuehl" w:hAnsi="FrankRuehl" w:cs="FrankRuehl"/>
          <w:rtl/>
        </w:rPr>
      </w:pPr>
    </w:p>
    <w:p w14:paraId="4CFAE70C" w14:textId="77777777" w:rsidR="008C6DC6" w:rsidRDefault="008C6DC6" w:rsidP="008C6DC6">
      <w:pPr>
        <w:rPr>
          <w:sz w:val="26"/>
          <w:szCs w:val="26"/>
          <w:rtl/>
        </w:rPr>
      </w:pPr>
      <w:bookmarkStart w:id="2" w:name="LawTable"/>
      <w:bookmarkEnd w:id="2"/>
    </w:p>
    <w:p w14:paraId="507E92D9" w14:textId="77777777" w:rsidR="008C6DC6" w:rsidRPr="008C6DC6" w:rsidRDefault="008C6DC6" w:rsidP="008C6DC6">
      <w:pPr>
        <w:spacing w:before="120" w:after="120" w:line="240" w:lineRule="exact"/>
        <w:ind w:left="283" w:hanging="283"/>
        <w:jc w:val="both"/>
        <w:rPr>
          <w:rFonts w:ascii="FrankRuehl" w:hAnsi="FrankRuehl" w:cs="FrankRuehl"/>
          <w:rtl/>
        </w:rPr>
      </w:pPr>
    </w:p>
    <w:p w14:paraId="22D4605B" w14:textId="77777777" w:rsidR="008C6DC6" w:rsidRPr="008C6DC6" w:rsidRDefault="008C6DC6" w:rsidP="008C6DC6">
      <w:pPr>
        <w:spacing w:before="120" w:after="120" w:line="240" w:lineRule="exact"/>
        <w:ind w:left="283" w:hanging="283"/>
        <w:jc w:val="both"/>
        <w:rPr>
          <w:rFonts w:ascii="FrankRuehl" w:hAnsi="FrankRuehl" w:cs="FrankRuehl"/>
          <w:rtl/>
        </w:rPr>
      </w:pPr>
    </w:p>
    <w:p w14:paraId="48814E83" w14:textId="77777777" w:rsidR="008C6DC6" w:rsidRPr="008C6DC6" w:rsidRDefault="008C6DC6" w:rsidP="008C6DC6">
      <w:pPr>
        <w:spacing w:before="120" w:after="120" w:line="240" w:lineRule="exact"/>
        <w:ind w:left="283" w:hanging="283"/>
        <w:jc w:val="both"/>
        <w:rPr>
          <w:rFonts w:ascii="FrankRuehl" w:hAnsi="FrankRuehl" w:cs="FrankRuehl"/>
          <w:rtl/>
        </w:rPr>
      </w:pPr>
      <w:r w:rsidRPr="008C6DC6">
        <w:rPr>
          <w:rFonts w:ascii="FrankRuehl" w:hAnsi="FrankRuehl" w:cs="FrankRuehl"/>
          <w:rtl/>
        </w:rPr>
        <w:t xml:space="preserve">חקיקה שאוזכרה: </w:t>
      </w:r>
    </w:p>
    <w:p w14:paraId="23ADCE0F" w14:textId="77777777" w:rsidR="008C6DC6" w:rsidRPr="008C6DC6" w:rsidRDefault="008C6DC6" w:rsidP="008C6DC6">
      <w:pPr>
        <w:spacing w:before="120" w:after="120" w:line="240" w:lineRule="exact"/>
        <w:ind w:left="283" w:hanging="283"/>
        <w:jc w:val="both"/>
        <w:rPr>
          <w:rFonts w:ascii="FrankRuehl" w:hAnsi="FrankRuehl" w:cs="FrankRuehl"/>
          <w:rtl/>
        </w:rPr>
      </w:pPr>
      <w:hyperlink r:id="rId7" w:history="1">
        <w:r w:rsidRPr="008C6DC6">
          <w:rPr>
            <w:rFonts w:ascii="FrankRuehl" w:hAnsi="FrankRuehl" w:cs="FrankRuehl"/>
            <w:color w:val="0000FF"/>
            <w:rtl/>
          </w:rPr>
          <w:t>חוק העונשין, תשל"ז-1977</w:t>
        </w:r>
      </w:hyperlink>
      <w:r w:rsidRPr="008C6DC6">
        <w:rPr>
          <w:rFonts w:ascii="FrankRuehl" w:hAnsi="FrankRuehl" w:cs="FrankRuehl"/>
          <w:rtl/>
        </w:rPr>
        <w:t xml:space="preserve">: סע'  </w:t>
      </w:r>
      <w:hyperlink r:id="rId8" w:history="1">
        <w:r w:rsidRPr="008C6DC6">
          <w:rPr>
            <w:rFonts w:ascii="FrankRuehl" w:hAnsi="FrankRuehl" w:cs="FrankRuehl"/>
            <w:color w:val="0000FF"/>
            <w:rtl/>
          </w:rPr>
          <w:t>144(א)</w:t>
        </w:r>
      </w:hyperlink>
      <w:r w:rsidRPr="008C6DC6">
        <w:rPr>
          <w:rFonts w:ascii="FrankRuehl" w:hAnsi="FrankRuehl" w:cs="FrankRuehl"/>
          <w:rtl/>
        </w:rPr>
        <w:t xml:space="preserve">, </w:t>
      </w:r>
      <w:hyperlink r:id="rId9" w:history="1">
        <w:r w:rsidRPr="008C6DC6">
          <w:rPr>
            <w:rFonts w:ascii="FrankRuehl" w:hAnsi="FrankRuehl" w:cs="FrankRuehl"/>
            <w:color w:val="0000FF"/>
            <w:rtl/>
          </w:rPr>
          <w:t>144(ג)</w:t>
        </w:r>
      </w:hyperlink>
    </w:p>
    <w:p w14:paraId="5DC6E073" w14:textId="77777777" w:rsidR="008C6DC6" w:rsidRPr="008C6DC6" w:rsidRDefault="008C6DC6" w:rsidP="008C6DC6">
      <w:pPr>
        <w:rPr>
          <w:sz w:val="26"/>
          <w:szCs w:val="26"/>
          <w:rtl/>
        </w:rPr>
      </w:pPr>
      <w:bookmarkStart w:id="3" w:name="LawTable_End"/>
      <w:bookmarkEnd w:id="3"/>
    </w:p>
    <w:p w14:paraId="319D952A" w14:textId="77777777" w:rsidR="00EB4489" w:rsidRPr="00E9251B" w:rsidRDefault="00EB4489" w:rsidP="00E9251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4489" w14:paraId="17DDDD0E" w14:textId="77777777" w:rsidTr="00EB4489">
        <w:trPr>
          <w:trHeight w:val="355"/>
          <w:jc w:val="center"/>
        </w:trPr>
        <w:tc>
          <w:tcPr>
            <w:tcW w:w="8820" w:type="dxa"/>
            <w:tcBorders>
              <w:top w:val="nil"/>
              <w:left w:val="nil"/>
              <w:bottom w:val="nil"/>
              <w:right w:val="nil"/>
            </w:tcBorders>
            <w:shd w:val="clear" w:color="auto" w:fill="auto"/>
          </w:tcPr>
          <w:p w14:paraId="057029A1" w14:textId="77777777" w:rsidR="00365FF4" w:rsidRPr="00365FF4" w:rsidRDefault="00365FF4" w:rsidP="00365FF4">
            <w:pPr>
              <w:jc w:val="center"/>
              <w:rPr>
                <w:rFonts w:ascii="David" w:hAnsi="David"/>
                <w:b/>
                <w:bCs/>
                <w:sz w:val="32"/>
                <w:szCs w:val="32"/>
                <w:u w:val="single"/>
                <w:rtl/>
              </w:rPr>
            </w:pPr>
            <w:bookmarkStart w:id="4" w:name="PsakDin" w:colFirst="0" w:colLast="0"/>
            <w:bookmarkEnd w:id="0"/>
            <w:r w:rsidRPr="00365FF4">
              <w:rPr>
                <w:rFonts w:ascii="David" w:hAnsi="David"/>
                <w:b/>
                <w:bCs/>
                <w:sz w:val="32"/>
                <w:szCs w:val="32"/>
                <w:u w:val="single"/>
                <w:rtl/>
              </w:rPr>
              <w:t>גזר דין</w:t>
            </w:r>
          </w:p>
          <w:p w14:paraId="3AF9AFE6" w14:textId="77777777" w:rsidR="00EB4489" w:rsidRPr="00365FF4" w:rsidRDefault="00EB4489" w:rsidP="00365FF4">
            <w:pPr>
              <w:jc w:val="center"/>
              <w:rPr>
                <w:rFonts w:ascii="David" w:hAnsi="David"/>
                <w:bCs/>
                <w:sz w:val="32"/>
                <w:szCs w:val="32"/>
                <w:u w:val="single"/>
                <w:rtl/>
              </w:rPr>
            </w:pPr>
          </w:p>
        </w:tc>
      </w:tr>
      <w:bookmarkEnd w:id="4"/>
    </w:tbl>
    <w:p w14:paraId="3576150A" w14:textId="77777777" w:rsidR="00EB4489" w:rsidRPr="000F2247" w:rsidRDefault="00EB4489" w:rsidP="00EB4489">
      <w:pPr>
        <w:rPr>
          <w:rFonts w:ascii="Arial" w:hAnsi="Arial"/>
          <w:b/>
          <w:bCs/>
          <w:sz w:val="26"/>
          <w:szCs w:val="26"/>
          <w:rtl/>
        </w:rPr>
      </w:pPr>
    </w:p>
    <w:p w14:paraId="0E11E7E5" w14:textId="77777777" w:rsidR="00EB4489" w:rsidRDefault="00EB4489" w:rsidP="00EB4489">
      <w:pPr>
        <w:numPr>
          <w:ilvl w:val="0"/>
          <w:numId w:val="1"/>
        </w:numPr>
        <w:spacing w:line="360" w:lineRule="auto"/>
        <w:contextualSpacing/>
        <w:jc w:val="both"/>
        <w:rPr>
          <w:rFonts w:ascii="David" w:eastAsia="David" w:hAnsi="David"/>
          <w:rtl/>
        </w:rPr>
      </w:pPr>
      <w:bookmarkStart w:id="5" w:name="ABSTRACT_START"/>
      <w:bookmarkEnd w:id="5"/>
      <w:r>
        <w:rPr>
          <w:rFonts w:ascii="David" w:eastAsia="David" w:hAnsi="David"/>
          <w:rtl/>
        </w:rPr>
        <w:t xml:space="preserve">הנאשם הורשע, במסגרת הסדר טיעון, בעובדות כתב אישום מתוקן בעבירת </w:t>
      </w:r>
      <w:r>
        <w:rPr>
          <w:rFonts w:ascii="David" w:eastAsia="David" w:hAnsi="David"/>
          <w:b/>
          <w:bCs/>
          <w:rtl/>
        </w:rPr>
        <w:t xml:space="preserve">החזקת נשק, אביזר נשק ותחמושת שלא כדין, לפי </w:t>
      </w:r>
      <w:hyperlink r:id="rId10" w:history="1">
        <w:r w:rsidR="00B808D1" w:rsidRPr="00B808D1">
          <w:rPr>
            <w:rStyle w:val="Hyperlink"/>
            <w:rFonts w:ascii="David" w:eastAsia="David" w:hAnsi="David"/>
            <w:b/>
            <w:bCs/>
            <w:rtl/>
          </w:rPr>
          <w:t>סעיף 144(א)</w:t>
        </w:r>
      </w:hyperlink>
      <w:r>
        <w:rPr>
          <w:rFonts w:ascii="David" w:eastAsia="David" w:hAnsi="David"/>
          <w:b/>
          <w:bCs/>
          <w:rtl/>
        </w:rPr>
        <w:t xml:space="preserve"> רישא וסיפא ל</w:t>
      </w:r>
      <w:hyperlink r:id="rId11" w:history="1">
        <w:r w:rsidR="00365FF4" w:rsidRPr="00365FF4">
          <w:rPr>
            <w:rFonts w:ascii="David" w:eastAsia="David" w:hAnsi="David"/>
            <w:b/>
            <w:bCs/>
            <w:color w:val="0000FF"/>
            <w:u w:val="single"/>
            <w:rtl/>
          </w:rPr>
          <w:t>חוק העונשין</w:t>
        </w:r>
      </w:hyperlink>
      <w:r>
        <w:rPr>
          <w:rFonts w:ascii="David" w:eastAsia="David" w:hAnsi="David"/>
          <w:b/>
          <w:bCs/>
          <w:rtl/>
        </w:rPr>
        <w:t>, תשל"ז-1977</w:t>
      </w:r>
      <w:r>
        <w:rPr>
          <w:rFonts w:ascii="David" w:eastAsia="David" w:hAnsi="David"/>
          <w:rtl/>
        </w:rPr>
        <w:t xml:space="preserve"> (להלן:"החוק"). כמפורט בעובדות כתב האישום המתוקן, החזיק, עובר ליום 23.1.22, במחסן סמוך לביתו, רובה צייד מאולתר ותחמושת תואמת.  </w:t>
      </w:r>
    </w:p>
    <w:p w14:paraId="5FF9E5B3" w14:textId="77777777" w:rsidR="00EB4489" w:rsidRDefault="00EB4489" w:rsidP="00EB4489">
      <w:pPr>
        <w:spacing w:line="360" w:lineRule="auto"/>
        <w:jc w:val="both"/>
        <w:rPr>
          <w:rFonts w:ascii="David" w:eastAsia="David" w:hAnsi="David"/>
          <w:rtl/>
        </w:rPr>
      </w:pPr>
    </w:p>
    <w:p w14:paraId="10EDF5FF" w14:textId="77777777" w:rsidR="00EB4489" w:rsidRDefault="00EB4489" w:rsidP="00EB4489">
      <w:pPr>
        <w:numPr>
          <w:ilvl w:val="0"/>
          <w:numId w:val="1"/>
        </w:numPr>
        <w:spacing w:line="360" w:lineRule="auto"/>
        <w:contextualSpacing/>
        <w:jc w:val="both"/>
        <w:rPr>
          <w:rFonts w:ascii="David" w:eastAsia="David" w:hAnsi="David"/>
        </w:rPr>
      </w:pPr>
      <w:bookmarkStart w:id="6" w:name="ABSTRACT_END"/>
      <w:bookmarkEnd w:id="6"/>
      <w:r>
        <w:rPr>
          <w:rFonts w:ascii="David" w:eastAsia="David" w:hAnsi="David"/>
          <w:rtl/>
        </w:rPr>
        <w:t xml:space="preserve">ביום 29.6.22 הציגו הצדדים הסדר טיעון, לפיו הנאשם יודה ויורשע בעובדות כתב אישום מתוקן, הנאשם יופנה לתסקיר והצדדים יטענו באופן חופשי לעונש. </w:t>
      </w:r>
    </w:p>
    <w:p w14:paraId="1402F5AE" w14:textId="77777777" w:rsidR="00EB4489" w:rsidRDefault="00EB4489" w:rsidP="00EB4489">
      <w:pPr>
        <w:pStyle w:val="a9"/>
        <w:rPr>
          <w:rFonts w:ascii="David" w:eastAsia="David" w:hAnsi="David" w:cs="David"/>
          <w:sz w:val="24"/>
          <w:szCs w:val="24"/>
        </w:rPr>
      </w:pPr>
    </w:p>
    <w:p w14:paraId="5097D6F9" w14:textId="77777777" w:rsidR="00EB4489" w:rsidRDefault="00EB4489" w:rsidP="00EB4489">
      <w:pPr>
        <w:spacing w:line="360" w:lineRule="auto"/>
        <w:ind w:left="720"/>
        <w:contextualSpacing/>
        <w:jc w:val="both"/>
        <w:rPr>
          <w:rFonts w:ascii="David" w:eastAsia="David" w:hAnsi="David"/>
          <w:b/>
          <w:bCs/>
          <w:u w:val="single"/>
          <w:rtl/>
        </w:rPr>
      </w:pPr>
      <w:r>
        <w:rPr>
          <w:rFonts w:ascii="David" w:eastAsia="David" w:hAnsi="David"/>
          <w:b/>
          <w:bCs/>
          <w:u w:val="single"/>
          <w:rtl/>
        </w:rPr>
        <w:t>עיקרי תסקיר שירות המבחן</w:t>
      </w:r>
    </w:p>
    <w:p w14:paraId="6C1EE239" w14:textId="77777777" w:rsidR="00EB4489" w:rsidRDefault="00EB4489" w:rsidP="00EB4489">
      <w:pPr>
        <w:pStyle w:val="a9"/>
        <w:numPr>
          <w:ilvl w:val="0"/>
          <w:numId w:val="1"/>
        </w:numPr>
        <w:spacing w:after="0" w:line="360" w:lineRule="auto"/>
        <w:jc w:val="both"/>
        <w:rPr>
          <w:rFonts w:ascii="David" w:eastAsia="David" w:hAnsi="David" w:cs="David"/>
          <w:sz w:val="24"/>
          <w:szCs w:val="24"/>
          <w:rtl/>
        </w:rPr>
      </w:pPr>
      <w:r>
        <w:rPr>
          <w:rFonts w:ascii="David" w:eastAsia="David" w:hAnsi="David" w:cs="David"/>
          <w:sz w:val="24"/>
          <w:szCs w:val="24"/>
          <w:rtl/>
        </w:rPr>
        <w:t xml:space="preserve">הנאשם בן 37, נשוי ואב לשלושה ילדים, סיים 7 שנות לימוד והחל לעבוד עם אביו בעבודות בניין, טרם מעצרו עבד במסגריה. הנאשם אינו בקשר עם אביו בשל התנגדות האב לתהליך חזרה בתשובה שעבר, מאותו סיבה נותק הקשר עם אמו, עוד תאר את אביו כאיש נוקשה שנהג כלפיו באלימות. בעברו רקע התמכרותי לאלכוהול ושימוש החומרים ממכרים. לנאשם שלוש הרשעות קודמות בעבירות סמים ורכוש, דיווח שכיום מחזיק באישור רפואי </w:t>
      </w:r>
      <w:r>
        <w:rPr>
          <w:rFonts w:ascii="David" w:eastAsia="David" w:hAnsi="David" w:cs="David"/>
          <w:sz w:val="24"/>
          <w:szCs w:val="24"/>
          <w:rtl/>
        </w:rPr>
        <w:lastRenderedPageBreak/>
        <w:t xml:space="preserve">לקנאביס. הנאשם נטל אחריות מלאה על מעשיו והסביר כי החזיק בנשק כדי להגן על בעלי חיים בבעלותו מפני חזירי בר. שירות המבחן התרשם מאדם שגדל בנסיבות משפחתיות מורכבות ונעדר גורמי תמיכה, הנאשם הביע רצון לשילוב בהליכי שיקום אך להערכתם מביע מוטיבציה חיצונית בלבד מתוך חשש מתוצאות ההליך המשפטי, עוד לא נשלל סיכון למעורבות חוזרת בפלילים. נוכח התרשמותם לא באו בהמלצה טיפולית והמליצו לשלבו בהליכי טיפול במסגרת שב"ס. </w:t>
      </w:r>
    </w:p>
    <w:p w14:paraId="77D9A7C1" w14:textId="77777777" w:rsidR="00EB4489" w:rsidRDefault="00EB4489" w:rsidP="00EB4489">
      <w:pPr>
        <w:pStyle w:val="a9"/>
        <w:spacing w:after="0" w:line="360" w:lineRule="auto"/>
        <w:jc w:val="both"/>
        <w:rPr>
          <w:rFonts w:ascii="David" w:eastAsia="David" w:hAnsi="David" w:cs="David"/>
          <w:sz w:val="24"/>
          <w:szCs w:val="24"/>
        </w:rPr>
      </w:pPr>
    </w:p>
    <w:p w14:paraId="74058B79" w14:textId="77777777" w:rsidR="00EB4489" w:rsidRDefault="00EB4489" w:rsidP="00EB4489">
      <w:pPr>
        <w:pStyle w:val="a9"/>
        <w:numPr>
          <w:ilvl w:val="0"/>
          <w:numId w:val="1"/>
        </w:numPr>
        <w:spacing w:after="0" w:line="360" w:lineRule="auto"/>
        <w:jc w:val="both"/>
        <w:rPr>
          <w:rFonts w:ascii="David" w:eastAsia="David" w:hAnsi="David" w:cs="David"/>
          <w:sz w:val="24"/>
          <w:szCs w:val="24"/>
        </w:rPr>
      </w:pPr>
      <w:r>
        <w:rPr>
          <w:rFonts w:ascii="David" w:eastAsia="David" w:hAnsi="David" w:cs="David"/>
          <w:sz w:val="24"/>
          <w:szCs w:val="24"/>
          <w:rtl/>
        </w:rPr>
        <w:t xml:space="preserve">עוד הוגשה ע"י ההגנה חוות דעת פרטית שנערכה ע"י מר אילן מרגלית, עו"ס בהכשרתו, שפגש בנאשם ובהוריו. חוות הדעת סוקרת בהרחבה את נסיבות חייו ואת תהליכי הדרדרותו מגיל צעיר, הנאשם מאשים את אביו בהתדרדרותו ורואה בו אחראי למצבו הנפשי והפיזי הירוד באותה תקופה. מר מרגלית התרשם מאדם שסובל  מגיל צעיר מבעיות תפקודיות ומתקשה לתפקד לאורך זמן באופן אחראי ושקול. בצד זאת סבור שהמצב המשברי שבו נתון ורצונו להשתלב בהליך טיפולי מאפשרים לשלבו בתכנית טיפולית הכוללת הליכי טיפול וגמילה וליווי פסיכיאטרי ופסיכולוגי. </w:t>
      </w:r>
    </w:p>
    <w:p w14:paraId="13C4A49C" w14:textId="77777777" w:rsidR="00EB4489" w:rsidRDefault="00EB4489" w:rsidP="00EB4489">
      <w:pPr>
        <w:spacing w:line="360" w:lineRule="auto"/>
        <w:ind w:left="720"/>
        <w:contextualSpacing/>
        <w:jc w:val="both"/>
        <w:rPr>
          <w:rFonts w:ascii="David" w:eastAsia="David" w:hAnsi="David"/>
          <w:rtl/>
        </w:rPr>
      </w:pPr>
    </w:p>
    <w:p w14:paraId="79EBADB0" w14:textId="77777777" w:rsidR="00EB4489" w:rsidRDefault="00EB4489" w:rsidP="00EB4489">
      <w:pPr>
        <w:spacing w:line="360" w:lineRule="auto"/>
        <w:ind w:firstLine="720"/>
        <w:jc w:val="both"/>
        <w:rPr>
          <w:rFonts w:ascii="David" w:eastAsia="David" w:hAnsi="David"/>
          <w:b/>
          <w:bCs/>
          <w:u w:val="single"/>
          <w:rtl/>
        </w:rPr>
      </w:pPr>
      <w:r>
        <w:rPr>
          <w:rFonts w:ascii="David" w:eastAsia="David" w:hAnsi="David"/>
          <w:b/>
          <w:bCs/>
          <w:u w:val="single"/>
          <w:rtl/>
        </w:rPr>
        <w:t>תמצית הטיעונים לעונש</w:t>
      </w:r>
    </w:p>
    <w:p w14:paraId="617341E8" w14:textId="77777777" w:rsidR="00EB4489" w:rsidRDefault="00EB4489" w:rsidP="00EB4489">
      <w:pPr>
        <w:numPr>
          <w:ilvl w:val="0"/>
          <w:numId w:val="1"/>
        </w:numPr>
        <w:spacing w:line="360" w:lineRule="auto"/>
        <w:contextualSpacing/>
        <w:jc w:val="both"/>
        <w:rPr>
          <w:rFonts w:ascii="David" w:eastAsia="David" w:hAnsi="David"/>
          <w:rtl/>
        </w:rPr>
      </w:pPr>
      <w:r>
        <w:rPr>
          <w:rFonts w:ascii="David" w:eastAsia="David" w:hAnsi="David"/>
          <w:rtl/>
        </w:rPr>
        <w:t xml:space="preserve">ב"כ המאשימה, עו"ד כהן-קדוש, עמדה בטיעוניה על חומרת עבירות הנשק שהן בבחינת "מכת מדינה", הערכים המוגנים שנפגעו ופוטנציאל הנזק שעלול היה להיגרם מהחזקת נשק בלתי חוקי. עוד הדגישה כי אין בסוג הנשק- רובה ציד כדי להביא להקלה בעונש וכי הנשק נתפס כשלצדו תחמושת מתאימה. באשר למדיניות הענישה הנוהגת, עמדה ב"כ המאשימה על מגמת ההחמרה בענישה בעבירות נשק, ועל הוראת השעה, החלה בענייננו, בה נקבעו עונשי מינימום לעבירות אלו, כביטוי לרצון המחוקק להיאבק בתופעה. עוד סבורה שהתסקיר אינו מגלה סיכויי שיקום והנאשם אינו מגלה מוטיבציה אמיתית לגמילה. בנסיבות אלו ובהנתן עברו הפלילי, ביקשה לגזור עליו 24 חודשי מאסר לצד ענישה נלווית. </w:t>
      </w:r>
    </w:p>
    <w:p w14:paraId="1DB43C9F" w14:textId="77777777" w:rsidR="00EB4489" w:rsidRDefault="00EB4489" w:rsidP="00EB4489">
      <w:pPr>
        <w:spacing w:line="360" w:lineRule="auto"/>
        <w:ind w:left="720"/>
        <w:contextualSpacing/>
        <w:jc w:val="both"/>
        <w:rPr>
          <w:rFonts w:ascii="David" w:eastAsia="David" w:hAnsi="David"/>
        </w:rPr>
      </w:pPr>
    </w:p>
    <w:p w14:paraId="26866359" w14:textId="77777777" w:rsidR="00EB4489" w:rsidRDefault="00EB4489" w:rsidP="00EB4489">
      <w:pPr>
        <w:numPr>
          <w:ilvl w:val="0"/>
          <w:numId w:val="1"/>
        </w:numPr>
        <w:spacing w:line="360" w:lineRule="auto"/>
        <w:contextualSpacing/>
        <w:jc w:val="both"/>
        <w:rPr>
          <w:rFonts w:ascii="David" w:eastAsia="David" w:hAnsi="David"/>
          <w:rtl/>
        </w:rPr>
      </w:pPr>
      <w:r>
        <w:rPr>
          <w:rFonts w:ascii="David" w:eastAsia="David" w:hAnsi="David"/>
          <w:rtl/>
        </w:rPr>
        <w:t>ב"כ הנאשם, עו"ד זילברמן, הפנה לתיקון כתב האישום לקולא וביקש להקל עימו. עוד עמד על נסיבותיו ילדותו המורכבות כפי שעלו מחוות הדעת הפרטית שהוגשה. ב"כ הנאשם לא התעלם מחומרת מעשיו אך סבור שניתן לאבחנו מעברייני נשק אחרים וממדיניות הפסיקה, לדבריו, הנאשם קנה את רובה הצייד לצורך הגנה מפני חזירי בר, לא עשה בו שימוש והחזיק בו לשעת צורך. עוד סבור שמדובר בנאשם חיובי הבשל המתאים לשיקום והטלת מאסר ממושך עלולה לשבור את רוחו ואת רצונו לערוך שינוי בחייו. הנאשם שוהה במעצר לראשונה בחייו תקופה ממושכת, מבין את הטעות שעשה ומביע חרטה. על כן ביקש להסתפק בתקופת מאסר החופפת את תקופת מעצרו.</w:t>
      </w:r>
    </w:p>
    <w:p w14:paraId="0C9E2108" w14:textId="77777777" w:rsidR="00EB4489" w:rsidRDefault="00EB4489" w:rsidP="00EB4489">
      <w:pPr>
        <w:pStyle w:val="a9"/>
        <w:rPr>
          <w:rFonts w:ascii="David" w:eastAsia="David" w:hAnsi="David" w:cs="David"/>
          <w:sz w:val="24"/>
          <w:szCs w:val="24"/>
        </w:rPr>
      </w:pPr>
    </w:p>
    <w:p w14:paraId="2965DF43" w14:textId="77777777" w:rsidR="00EB4489" w:rsidRDefault="00EB4489" w:rsidP="00EB4489">
      <w:pPr>
        <w:spacing w:line="360" w:lineRule="auto"/>
        <w:ind w:left="720"/>
        <w:contextualSpacing/>
        <w:jc w:val="both"/>
        <w:rPr>
          <w:rFonts w:ascii="David" w:eastAsia="David" w:hAnsi="David"/>
          <w:b/>
          <w:bCs/>
          <w:u w:val="single"/>
          <w:rtl/>
        </w:rPr>
      </w:pPr>
      <w:r>
        <w:rPr>
          <w:rFonts w:ascii="David" w:eastAsia="David" w:hAnsi="David"/>
          <w:b/>
          <w:bCs/>
          <w:u w:val="single"/>
          <w:rtl/>
        </w:rPr>
        <w:t>דיון והכרעה</w:t>
      </w:r>
    </w:p>
    <w:p w14:paraId="4432DF63" w14:textId="77777777" w:rsidR="00EB4489" w:rsidRDefault="00EB4489" w:rsidP="00EB4489">
      <w:pPr>
        <w:spacing w:line="360" w:lineRule="auto"/>
        <w:ind w:left="720"/>
        <w:contextualSpacing/>
        <w:jc w:val="both"/>
        <w:rPr>
          <w:rFonts w:ascii="David" w:eastAsia="David" w:hAnsi="David"/>
          <w:b/>
          <w:bCs/>
          <w:u w:val="single"/>
          <w:rtl/>
        </w:rPr>
      </w:pPr>
      <w:r>
        <w:rPr>
          <w:rFonts w:ascii="David" w:eastAsia="David" w:hAnsi="David"/>
          <w:b/>
          <w:bCs/>
          <w:u w:val="single"/>
          <w:rtl/>
        </w:rPr>
        <w:lastRenderedPageBreak/>
        <w:t>מתחם העונש ההולם</w:t>
      </w:r>
    </w:p>
    <w:p w14:paraId="6EB0AED5" w14:textId="77777777" w:rsidR="00EB4489" w:rsidRDefault="00EB4489" w:rsidP="00EB4489">
      <w:pPr>
        <w:numPr>
          <w:ilvl w:val="0"/>
          <w:numId w:val="1"/>
        </w:numPr>
        <w:spacing w:line="360" w:lineRule="auto"/>
        <w:contextualSpacing/>
        <w:jc w:val="both"/>
        <w:rPr>
          <w:rtl/>
        </w:rPr>
      </w:pPr>
      <w:r>
        <w:rPr>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0B30015E" w14:textId="77777777" w:rsidR="00EB4489" w:rsidRDefault="00EB4489" w:rsidP="00EB4489">
      <w:pPr>
        <w:ind w:left="720"/>
        <w:contextualSpacing/>
      </w:pPr>
    </w:p>
    <w:p w14:paraId="4BB11A7C" w14:textId="77777777" w:rsidR="00EB4489" w:rsidRDefault="00EB4489" w:rsidP="00EB4489">
      <w:pPr>
        <w:numPr>
          <w:ilvl w:val="0"/>
          <w:numId w:val="1"/>
        </w:numPr>
        <w:spacing w:after="120" w:line="360" w:lineRule="auto"/>
        <w:contextualSpacing/>
        <w:jc w:val="both"/>
        <w:rPr>
          <w:rFonts w:ascii="David" w:eastAsia="David" w:hAnsi="David"/>
          <w:rtl/>
        </w:rPr>
      </w:pPr>
      <w:r>
        <w:rPr>
          <w:rFonts w:ascii="David" w:eastAsia="David" w:hAnsi="David"/>
          <w:color w:val="000000"/>
          <w:spacing w:val="10"/>
          <w:rtl/>
        </w:rPr>
        <w:t>עבירות הנשק הפכו זה מכבר למכת מדינה</w:t>
      </w:r>
      <w:r>
        <w:rPr>
          <w:rFonts w:ascii="David" w:eastAsia="David" w:hAnsi="David"/>
          <w:rtl/>
        </w:rPr>
        <w:t xml:space="preserve"> ומגלמות סכנה ממשית לשלום הציבור ולביטחונו</w:t>
      </w:r>
      <w:r>
        <w:rPr>
          <w:rFonts w:ascii="David" w:eastAsia="David" w:hAnsi="David"/>
          <w:color w:val="000000"/>
          <w:spacing w:val="10"/>
          <w:rtl/>
        </w:rPr>
        <w:t>. חומרתן היתרה של עבירות אלה</w:t>
      </w:r>
      <w:r>
        <w:rPr>
          <w:rFonts w:ascii="David" w:eastAsia="David" w:hAnsi="David"/>
          <w:rtl/>
        </w:rPr>
        <w:t xml:space="preserve"> אינה מתמצה אך בעבירות גופן, אלא בפוטנציאל הנזק הנובע מהן</w:t>
      </w:r>
      <w:r>
        <w:rPr>
          <w:rFonts w:ascii="David" w:eastAsia="David" w:hAnsi="David"/>
          <w:color w:val="000000"/>
          <w:spacing w:val="10"/>
          <w:rtl/>
        </w:rPr>
        <w:t xml:space="preserve">. פגיעתן הקשה והשפעתן על תחושת הביטחון של כלל אזרחי המדינה, זכו להתייחסות נרחבת בפסקי דין רבים של בית משפט העליון. </w:t>
      </w:r>
      <w:r>
        <w:rPr>
          <w:rFonts w:ascii="David" w:eastAsia="David" w:hAnsi="David"/>
          <w:rtl/>
        </w:rPr>
        <w:t>מגמת הפסיקה בשנים האחרונות מלמדת על החמרה בענישה לצורך מיגור עבירות אלו, תוך מתן משקל לשיקולי הרתעה. מגמה זו אחידה ועיקבית ביחס לכלל עברייני הנשק, אף כשהם נעדרי עבר פלילי, והאירוע הוא בגדר חריג בנוף חייהם הנורמטיבי (</w:t>
      </w:r>
      <w:hyperlink r:id="rId12" w:history="1">
        <w:r w:rsidR="00365FF4" w:rsidRPr="00365FF4">
          <w:rPr>
            <w:rFonts w:ascii="David" w:eastAsia="David" w:hAnsi="David"/>
            <w:color w:val="0000FF"/>
            <w:u w:val="single"/>
            <w:rtl/>
          </w:rPr>
          <w:t>ע"פ 5813/21</w:t>
        </w:r>
      </w:hyperlink>
      <w:r>
        <w:rPr>
          <w:rFonts w:ascii="David" w:eastAsia="David" w:hAnsi="David"/>
          <w:rtl/>
        </w:rPr>
        <w:t xml:space="preserve"> </w:t>
      </w:r>
      <w:r>
        <w:rPr>
          <w:rFonts w:ascii="David" w:eastAsia="David" w:hAnsi="David"/>
          <w:b/>
          <w:bCs/>
          <w:rtl/>
        </w:rPr>
        <w:t>מוחמד ג'בארין נ' מדינת ישראל</w:t>
      </w:r>
      <w:r>
        <w:rPr>
          <w:rFonts w:ascii="David" w:eastAsia="David" w:hAnsi="David"/>
          <w:rtl/>
        </w:rPr>
        <w:t>, פסקה 14</w:t>
      </w:r>
      <w:r>
        <w:rPr>
          <w:rFonts w:ascii="David" w:eastAsia="David" w:hAnsi="David"/>
          <w:b/>
          <w:bCs/>
          <w:rtl/>
        </w:rPr>
        <w:t xml:space="preserve"> </w:t>
      </w:r>
      <w:r>
        <w:rPr>
          <w:rFonts w:ascii="David" w:eastAsia="David" w:hAnsi="David"/>
          <w:rtl/>
        </w:rPr>
        <w:t>(31.5.2022, להלן :"ענין ג'אברין"); ב</w:t>
      </w:r>
      <w:hyperlink r:id="rId13" w:history="1">
        <w:r w:rsidR="00365FF4" w:rsidRPr="00365FF4">
          <w:rPr>
            <w:rFonts w:ascii="David" w:eastAsia="David" w:hAnsi="David"/>
            <w:color w:val="0000FF"/>
            <w:u w:val="single"/>
            <w:rtl/>
          </w:rPr>
          <w:t>ע"פ 6011/21</w:t>
        </w:r>
      </w:hyperlink>
      <w:r>
        <w:rPr>
          <w:rFonts w:ascii="David" w:eastAsia="David" w:hAnsi="David"/>
          <w:rtl/>
        </w:rPr>
        <w:t xml:space="preserve"> </w:t>
      </w:r>
      <w:r>
        <w:rPr>
          <w:rFonts w:ascii="David" w:eastAsia="David" w:hAnsi="David"/>
          <w:b/>
          <w:bCs/>
          <w:rtl/>
        </w:rPr>
        <w:t>חאלד דסוקי נ' מדנית ישראל</w:t>
      </w:r>
      <w:r>
        <w:rPr>
          <w:rFonts w:ascii="David" w:eastAsia="David" w:hAnsi="David"/>
          <w:rtl/>
        </w:rPr>
        <w:t xml:space="preserve">  (25.11.2021); </w:t>
      </w:r>
      <w:hyperlink r:id="rId14" w:history="1">
        <w:r w:rsidR="00365FF4" w:rsidRPr="00365FF4">
          <w:rPr>
            <w:rFonts w:ascii="David" w:eastAsia="David" w:hAnsi="David"/>
            <w:color w:val="0000FF"/>
            <w:spacing w:val="10"/>
            <w:sz w:val="20"/>
            <w:u w:val="single"/>
            <w:shd w:val="clear" w:color="auto" w:fill="FFFFFF"/>
            <w:rtl/>
          </w:rPr>
          <w:t>ע"פ 8320/21</w:t>
        </w:r>
      </w:hyperlink>
      <w:r>
        <w:rPr>
          <w:rFonts w:ascii="David" w:eastAsia="David" w:hAnsi="David"/>
          <w:spacing w:val="10"/>
          <w:sz w:val="20"/>
          <w:shd w:val="clear" w:color="auto" w:fill="FFFFFF"/>
          <w:rtl/>
        </w:rPr>
        <w:t xml:space="preserve"> </w:t>
      </w:r>
      <w:r>
        <w:rPr>
          <w:rFonts w:ascii="David" w:eastAsia="David" w:hAnsi="David"/>
          <w:b/>
          <w:bCs/>
          <w:spacing w:val="10"/>
          <w:sz w:val="20"/>
          <w:shd w:val="clear" w:color="auto" w:fill="FFFFFF"/>
          <w:rtl/>
        </w:rPr>
        <w:t>מדינת ישראל נ' מחמד בסילה</w:t>
      </w:r>
      <w:r>
        <w:rPr>
          <w:rFonts w:ascii="David" w:eastAsia="David" w:hAnsi="David"/>
          <w:spacing w:val="10"/>
          <w:sz w:val="20"/>
          <w:shd w:val="clear" w:color="auto" w:fill="FFFFFF"/>
          <w:rtl/>
        </w:rPr>
        <w:t>, פסקה 10 (28.12.2021)</w:t>
      </w:r>
      <w:r>
        <w:rPr>
          <w:rFonts w:ascii="David" w:eastAsia="David" w:hAnsi="David"/>
          <w:rtl/>
        </w:rPr>
        <w:t xml:space="preserve">; </w:t>
      </w:r>
      <w:hyperlink r:id="rId15" w:history="1">
        <w:r w:rsidR="00365FF4" w:rsidRPr="00365FF4">
          <w:rPr>
            <w:rFonts w:ascii="David" w:eastAsia="David" w:hAnsi="David"/>
            <w:color w:val="0000FF"/>
            <w:u w:val="single"/>
            <w:rtl/>
          </w:rPr>
          <w:t>ע"פ 2283/22</w:t>
        </w:r>
      </w:hyperlink>
      <w:r>
        <w:rPr>
          <w:rFonts w:ascii="David" w:eastAsia="David" w:hAnsi="David"/>
          <w:rtl/>
        </w:rPr>
        <w:t xml:space="preserve"> </w:t>
      </w:r>
      <w:r>
        <w:rPr>
          <w:rFonts w:ascii="David" w:eastAsia="David" w:hAnsi="David"/>
          <w:b/>
          <w:bCs/>
          <w:rtl/>
        </w:rPr>
        <w:t>אל נבארי נ' מדינת ישראל</w:t>
      </w:r>
      <w:r>
        <w:rPr>
          <w:rFonts w:ascii="David" w:eastAsia="David" w:hAnsi="David"/>
          <w:rtl/>
        </w:rPr>
        <w:t xml:space="preserve"> (31.7.2022); </w:t>
      </w:r>
      <w:hyperlink r:id="rId16" w:history="1">
        <w:r w:rsidR="00365FF4" w:rsidRPr="00365FF4">
          <w:rPr>
            <w:rFonts w:ascii="David" w:eastAsia="David" w:hAnsi="David"/>
            <w:color w:val="0000FF"/>
            <w:u w:val="single"/>
            <w:rtl/>
          </w:rPr>
          <w:t>ע"פ 78/21</w:t>
        </w:r>
      </w:hyperlink>
      <w:r>
        <w:rPr>
          <w:rFonts w:ascii="David" w:eastAsia="David" w:hAnsi="David"/>
          <w:rtl/>
        </w:rPr>
        <w:t xml:space="preserve"> </w:t>
      </w:r>
      <w:r>
        <w:rPr>
          <w:rFonts w:ascii="David" w:eastAsia="David" w:hAnsi="David"/>
          <w:b/>
          <w:bCs/>
          <w:rtl/>
        </w:rPr>
        <w:t>פלוני נ' מדינת</w:t>
      </w:r>
      <w:r>
        <w:rPr>
          <w:rFonts w:ascii="David" w:eastAsia="David" w:hAnsi="David"/>
          <w:rtl/>
        </w:rPr>
        <w:t xml:space="preserve"> </w:t>
      </w:r>
      <w:r>
        <w:rPr>
          <w:rFonts w:ascii="David" w:eastAsia="David" w:hAnsi="David"/>
          <w:b/>
          <w:bCs/>
          <w:rtl/>
        </w:rPr>
        <w:t>ישראל</w:t>
      </w:r>
      <w:r>
        <w:rPr>
          <w:rFonts w:ascii="David" w:eastAsia="David" w:hAnsi="David"/>
          <w:rtl/>
        </w:rPr>
        <w:t xml:space="preserve"> (26.7.2022</w:t>
      </w:r>
      <w:r w:rsidRPr="00C842CA">
        <w:rPr>
          <w:rFonts w:ascii="David" w:eastAsia="David" w:hAnsi="David"/>
          <w:rtl/>
        </w:rPr>
        <w:t xml:space="preserve">); </w:t>
      </w:r>
      <w:hyperlink r:id="rId17" w:history="1">
        <w:r w:rsidR="00365FF4" w:rsidRPr="00365FF4">
          <w:rPr>
            <w:rFonts w:ascii="David" w:eastAsia="David" w:hAnsi="David"/>
            <w:color w:val="0000FF"/>
            <w:u w:val="single"/>
            <w:rtl/>
          </w:rPr>
          <w:t>ע"פ 116/13</w:t>
        </w:r>
      </w:hyperlink>
      <w:r w:rsidR="00365FF4">
        <w:rPr>
          <w:rFonts w:ascii="David" w:eastAsia="David" w:hAnsi="David"/>
          <w:rtl/>
        </w:rPr>
        <w:t xml:space="preserve"> </w:t>
      </w:r>
      <w:r>
        <w:rPr>
          <w:rFonts w:ascii="David" w:eastAsia="David" w:hAnsi="David"/>
          <w:b/>
          <w:bCs/>
          <w:rtl/>
        </w:rPr>
        <w:t>וקנין נ' מדינת ישראל</w:t>
      </w:r>
      <w:r>
        <w:rPr>
          <w:rFonts w:ascii="David" w:eastAsia="David" w:hAnsi="David"/>
          <w:rtl/>
        </w:rPr>
        <w:t>,</w:t>
      </w:r>
      <w:r w:rsidR="00365FF4">
        <w:rPr>
          <w:rFonts w:ascii="David" w:eastAsia="David" w:hAnsi="David"/>
          <w:rtl/>
        </w:rPr>
        <w:t xml:space="preserve"> </w:t>
      </w:r>
      <w:r>
        <w:rPr>
          <w:rFonts w:ascii="David" w:eastAsia="David" w:hAnsi="David"/>
          <w:rtl/>
        </w:rPr>
        <w:t xml:space="preserve">פסקה 7 (31.7.2013)). </w:t>
      </w:r>
    </w:p>
    <w:p w14:paraId="6451EEBF" w14:textId="77777777" w:rsidR="00EB4489" w:rsidRDefault="00EB4489" w:rsidP="00EB4489">
      <w:pPr>
        <w:spacing w:line="360" w:lineRule="auto"/>
        <w:ind w:left="720"/>
        <w:contextualSpacing/>
        <w:jc w:val="both"/>
        <w:rPr>
          <w:rFonts w:ascii="David" w:eastAsia="Calibri" w:hAnsi="David"/>
          <w:rtl/>
        </w:rPr>
      </w:pPr>
    </w:p>
    <w:p w14:paraId="3640FE36" w14:textId="77777777" w:rsidR="00EB4489" w:rsidRDefault="00EB4489" w:rsidP="00EB4489">
      <w:pPr>
        <w:spacing w:line="360" w:lineRule="auto"/>
        <w:ind w:left="720"/>
        <w:contextualSpacing/>
        <w:jc w:val="both"/>
        <w:rPr>
          <w:rFonts w:ascii="David" w:eastAsia="David" w:hAnsi="David"/>
          <w:rtl/>
        </w:rPr>
      </w:pPr>
      <w:r>
        <w:rPr>
          <w:rFonts w:ascii="David" w:hAnsi="David"/>
          <w:color w:val="000000"/>
          <w:spacing w:val="10"/>
          <w:rtl/>
        </w:rPr>
        <w:t xml:space="preserve">זו קיבלה ביטוי גם בחקיקה, במסגרת תיקון 140 לחוק שחל בענייננו בו נקבעו עונשי מינימום לעבירות נשק באשר הן, באופן שככלל, העונש שיושת בגין עבירות אלו, לא יפחת מרבע העונש המרבי שנקבע לעבירה </w:t>
      </w:r>
      <w:r w:rsidRPr="00C842CA">
        <w:rPr>
          <w:rFonts w:ascii="David" w:hAnsi="David"/>
          <w:spacing w:val="10"/>
          <w:rtl/>
        </w:rPr>
        <w:t>(</w:t>
      </w:r>
      <w:hyperlink r:id="rId18" w:history="1">
        <w:r w:rsidR="00365FF4" w:rsidRPr="00365FF4">
          <w:rPr>
            <w:rFonts w:ascii="David" w:hAnsi="David"/>
            <w:color w:val="0000FF"/>
            <w:u w:val="single"/>
            <w:rtl/>
          </w:rPr>
          <w:t>ע"פ 6496/21</w:t>
        </w:r>
      </w:hyperlink>
      <w:r w:rsidR="00365FF4">
        <w:rPr>
          <w:rFonts w:ascii="David" w:hAnsi="David"/>
          <w:rtl/>
        </w:rPr>
        <w:t xml:space="preserve"> </w:t>
      </w:r>
      <w:r>
        <w:rPr>
          <w:rFonts w:ascii="David" w:hAnsi="David"/>
          <w:b/>
          <w:bCs/>
          <w:color w:val="000000"/>
          <w:rtl/>
        </w:rPr>
        <w:t>ריאן נגד מדינת ישראל</w:t>
      </w:r>
      <w:r w:rsidR="00365FF4">
        <w:rPr>
          <w:rFonts w:ascii="David" w:hAnsi="David"/>
          <w:color w:val="000000"/>
          <w:rtl/>
        </w:rPr>
        <w:t xml:space="preserve"> </w:t>
      </w:r>
      <w:r>
        <w:rPr>
          <w:rFonts w:ascii="David" w:hAnsi="David"/>
          <w:color w:val="000000"/>
          <w:rtl/>
        </w:rPr>
        <w:t xml:space="preserve"> (20.12.2021). </w:t>
      </w:r>
    </w:p>
    <w:p w14:paraId="76653BE0" w14:textId="77777777" w:rsidR="00EB4489" w:rsidRDefault="00EB4489" w:rsidP="00EB4489">
      <w:pPr>
        <w:spacing w:line="360" w:lineRule="auto"/>
        <w:ind w:left="720"/>
        <w:contextualSpacing/>
        <w:jc w:val="both"/>
        <w:rPr>
          <w:rFonts w:ascii="David" w:eastAsia="David" w:hAnsi="David"/>
          <w:rtl/>
        </w:rPr>
      </w:pPr>
    </w:p>
    <w:p w14:paraId="24B6ED8C" w14:textId="77777777" w:rsidR="00EB4489" w:rsidRDefault="00EB4489" w:rsidP="00EB4489">
      <w:pPr>
        <w:numPr>
          <w:ilvl w:val="0"/>
          <w:numId w:val="1"/>
        </w:numPr>
        <w:spacing w:line="360" w:lineRule="auto"/>
        <w:contextualSpacing/>
        <w:jc w:val="both"/>
        <w:textAlignment w:val="baseline"/>
        <w:rPr>
          <w:rtl/>
        </w:rPr>
      </w:pPr>
      <w:r>
        <w:rPr>
          <w:rFonts w:ascii="David" w:eastAsia="David" w:hAnsi="David"/>
          <w:rtl/>
        </w:rPr>
        <w:t>בענייננו, הנאשם החזיק ברובה ציד ובתחמושת תואמת, במחסן סמוך לביתו. ודוק, אין מקום להקל עימו הקלה ניכרת אך משום שמדובר ברובה ציד, "</w:t>
      </w:r>
      <w:r>
        <w:rPr>
          <w:rFonts w:ascii="David" w:eastAsia="David" w:hAnsi="David"/>
          <w:b/>
          <w:bCs/>
          <w:rtl/>
        </w:rPr>
        <w:t xml:space="preserve">נשק הוא נשק. מדובר בכלי משחית המסוגל "להמית אדם" כלשון </w:t>
      </w:r>
      <w:hyperlink r:id="rId19" w:history="1">
        <w:r w:rsidR="00B808D1" w:rsidRPr="00B808D1">
          <w:rPr>
            <w:rStyle w:val="Hyperlink"/>
            <w:rFonts w:ascii="David" w:eastAsia="David" w:hAnsi="David"/>
            <w:b/>
            <w:bCs/>
            <w:rtl/>
          </w:rPr>
          <w:t>סעיף 144(ג)</w:t>
        </w:r>
      </w:hyperlink>
      <w:r>
        <w:rPr>
          <w:rFonts w:ascii="David" w:eastAsia="David" w:hAnsi="David"/>
          <w:b/>
          <w:bCs/>
          <w:rtl/>
        </w:rPr>
        <w:t xml:space="preserve"> ל</w:t>
      </w:r>
      <w:hyperlink r:id="rId20" w:history="1">
        <w:r w:rsidR="00365FF4" w:rsidRPr="00365FF4">
          <w:rPr>
            <w:rFonts w:ascii="David" w:eastAsia="David" w:hAnsi="David"/>
            <w:b/>
            <w:bCs/>
            <w:color w:val="0000FF"/>
            <w:u w:val="single"/>
            <w:rtl/>
          </w:rPr>
          <w:t>חוק העונשין</w:t>
        </w:r>
      </w:hyperlink>
      <w:r>
        <w:rPr>
          <w:rFonts w:ascii="David" w:eastAsia="David" w:hAnsi="David"/>
          <w:b/>
          <w:bCs/>
          <w:rtl/>
        </w:rPr>
        <w:t>. לא בכדי המחוקק ביקש להכליל בגדר המונח "נשק" מנעד רחב של כלים ואביזרים המסוגלים לגרום למותו של אדם, והצורך לשרש חולה רעה זו באמצעות ענישה מחמירה ומרתיעה חל על כל סוגי כלי הנשק</w:t>
      </w:r>
      <w:r>
        <w:rPr>
          <w:rFonts w:ascii="David" w:eastAsia="David" w:hAnsi="David"/>
          <w:rtl/>
        </w:rPr>
        <w:t xml:space="preserve">" (עניין ג'אברין, פסקה 14). חרף האמור, יש מקום ליתן משקל מסוים לכלי הנשק שאינו נשק התקפי שמוחזק למטרות פליליות (שם, פסקה 15). בתסקירו נטען, כי  מטרת ההחזקת הנשק הייתה לצורך הגנה על בעלי חיים שבבעלותו מפני חזירי בר וכי לא עשה בו שימוש, לא הוצגה לפניי אינדקציה המראה אחרת. </w:t>
      </w:r>
    </w:p>
    <w:p w14:paraId="18C3E05D" w14:textId="77777777" w:rsidR="00EB4489" w:rsidRDefault="00EB4489" w:rsidP="00EB4489">
      <w:pPr>
        <w:pStyle w:val="a9"/>
        <w:rPr>
          <w:rFonts w:ascii="Times New Roman" w:eastAsia="Times New Roman" w:hAnsi="Times New Roman" w:cs="David"/>
          <w:sz w:val="24"/>
          <w:szCs w:val="24"/>
        </w:rPr>
      </w:pPr>
    </w:p>
    <w:p w14:paraId="2D8314B8" w14:textId="77777777" w:rsidR="00EB4489" w:rsidRDefault="00EB4489" w:rsidP="00EB4489">
      <w:pPr>
        <w:numPr>
          <w:ilvl w:val="0"/>
          <w:numId w:val="1"/>
        </w:numPr>
        <w:spacing w:after="120" w:line="360" w:lineRule="auto"/>
        <w:contextualSpacing/>
        <w:jc w:val="both"/>
        <w:textAlignment w:val="baseline"/>
        <w:rPr>
          <w:rtl/>
        </w:rPr>
      </w:pPr>
      <w:r>
        <w:rPr>
          <w:rtl/>
        </w:rPr>
        <w:t xml:space="preserve">בחינת מידת פגיעת מעשי הנאשם בערך המוגן מובילה למסקנה כי הפגיעה היא </w:t>
      </w:r>
      <w:r>
        <w:rPr>
          <w:b/>
          <w:bCs/>
          <w:rtl/>
        </w:rPr>
        <w:t>ברף נמוך-בינוני</w:t>
      </w:r>
      <w:r>
        <w:rPr>
          <w:rtl/>
        </w:rPr>
        <w:t xml:space="preserve">. בהקשר זה נתתי דעתי לכך לסוג הנשק, החזקת תחמושת תואמת ולכך שאין אינדקציה לשימוש בנשק או לתכנון עבירה פלילית באמצעותו. </w:t>
      </w:r>
    </w:p>
    <w:p w14:paraId="18BEB4E2" w14:textId="77777777" w:rsidR="00EB4489" w:rsidRDefault="00EB4489" w:rsidP="00EB4489">
      <w:pPr>
        <w:spacing w:after="120" w:line="360" w:lineRule="auto"/>
        <w:ind w:left="720"/>
        <w:contextualSpacing/>
        <w:jc w:val="both"/>
        <w:textAlignment w:val="baseline"/>
        <w:rPr>
          <w:rtl/>
        </w:rPr>
      </w:pPr>
    </w:p>
    <w:p w14:paraId="672DF400" w14:textId="77777777" w:rsidR="00EB4489" w:rsidRDefault="00EB4489" w:rsidP="00EB4489">
      <w:pPr>
        <w:numPr>
          <w:ilvl w:val="0"/>
          <w:numId w:val="1"/>
        </w:numPr>
        <w:spacing w:line="360" w:lineRule="auto"/>
        <w:contextualSpacing/>
        <w:jc w:val="both"/>
        <w:rPr>
          <w:rFonts w:ascii="David" w:eastAsia="David" w:hAnsi="David"/>
          <w:b/>
          <w:bCs/>
          <w:rtl/>
        </w:rPr>
      </w:pPr>
      <w:r>
        <w:rPr>
          <w:rFonts w:ascii="David" w:eastAsia="David" w:hAnsi="David"/>
          <w:rtl/>
        </w:rPr>
        <w:t>על דרך הכלל, דינם של מחזיקי הנשק, לרבות אלו שעברם נקי והתקבל בעניינם תסקיר חיובי, למאסר ממש שאינו קצר:</w:t>
      </w:r>
    </w:p>
    <w:p w14:paraId="68F6A327" w14:textId="77777777" w:rsidR="00EB4489" w:rsidRDefault="00EB4489" w:rsidP="00EB4489">
      <w:pPr>
        <w:ind w:left="720"/>
        <w:contextualSpacing/>
        <w:rPr>
          <w:rFonts w:ascii="David" w:eastAsia="David" w:hAnsi="David"/>
          <w:b/>
          <w:bCs/>
        </w:rPr>
      </w:pPr>
    </w:p>
    <w:p w14:paraId="58DDF25F" w14:textId="77777777" w:rsidR="00EB4489" w:rsidRDefault="00EB4489" w:rsidP="00EB4489">
      <w:pPr>
        <w:numPr>
          <w:ilvl w:val="0"/>
          <w:numId w:val="2"/>
        </w:numPr>
        <w:spacing w:after="120" w:line="360" w:lineRule="auto"/>
        <w:contextualSpacing/>
        <w:jc w:val="both"/>
        <w:rPr>
          <w:rFonts w:ascii="David" w:hAnsi="David"/>
          <w:rtl/>
        </w:rPr>
      </w:pPr>
      <w:r>
        <w:rPr>
          <w:rFonts w:ascii="David" w:hAnsi="David"/>
          <w:rtl/>
        </w:rPr>
        <w:t xml:space="preserve">המקרה שמזכיר במידת מה את המקרה שלפנינו ואליו הפנתה המאשימה הוא עניין ג'אברין, שם נדונו ערעורים שהגישו שני נאשמים שהורשעו בהחזקת רובה ציד טעון בשני כדורים ולצדו תחמושת תואמת ברכב שבו נסעו סמוך לגדר הבטחון בישוב אום אל פחם. בית המשפט גזר על הנאשמים, בעלי עבר פלילי מכביד, </w:t>
      </w:r>
      <w:r>
        <w:rPr>
          <w:rFonts w:ascii="David" w:hAnsi="David"/>
          <w:b/>
          <w:bCs/>
          <w:rtl/>
        </w:rPr>
        <w:t xml:space="preserve">מאסרים בני 18 ו-21 חודשי מאסר, </w:t>
      </w:r>
      <w:r>
        <w:rPr>
          <w:rFonts w:ascii="David" w:hAnsi="David"/>
          <w:rtl/>
        </w:rPr>
        <w:t xml:space="preserve">ערעורם נדחה; </w:t>
      </w:r>
    </w:p>
    <w:p w14:paraId="55A8133B" w14:textId="77777777" w:rsidR="00EB4489" w:rsidRDefault="00EB4489" w:rsidP="00EB4489">
      <w:pPr>
        <w:spacing w:after="120" w:line="360" w:lineRule="auto"/>
        <w:ind w:left="720"/>
        <w:contextualSpacing/>
        <w:jc w:val="both"/>
        <w:rPr>
          <w:rFonts w:ascii="David" w:hAnsi="David"/>
        </w:rPr>
      </w:pPr>
    </w:p>
    <w:p w14:paraId="2BF6ADC7" w14:textId="77777777" w:rsidR="00EB4489" w:rsidRDefault="00365FF4" w:rsidP="00EB4489">
      <w:pPr>
        <w:numPr>
          <w:ilvl w:val="0"/>
          <w:numId w:val="2"/>
        </w:numPr>
        <w:spacing w:after="120" w:line="360" w:lineRule="auto"/>
        <w:contextualSpacing/>
        <w:jc w:val="both"/>
      </w:pPr>
      <w:hyperlink r:id="rId21" w:history="1">
        <w:r w:rsidRPr="00365FF4">
          <w:rPr>
            <w:rFonts w:ascii="David" w:eastAsia="David" w:hAnsi="David"/>
            <w:color w:val="0000FF"/>
            <w:u w:val="single"/>
            <w:rtl/>
          </w:rPr>
          <w:t>ע"פ 2482/22</w:t>
        </w:r>
      </w:hyperlink>
      <w:r w:rsidR="00EB4489" w:rsidRPr="00C842CA">
        <w:rPr>
          <w:rFonts w:ascii="David" w:eastAsia="David" w:hAnsi="David"/>
          <w:rtl/>
        </w:rPr>
        <w:t xml:space="preserve"> </w:t>
      </w:r>
      <w:r w:rsidR="00EB4489">
        <w:rPr>
          <w:rFonts w:ascii="David" w:eastAsia="David" w:hAnsi="David" w:hint="cs"/>
          <w:b/>
          <w:bCs/>
          <w:rtl/>
        </w:rPr>
        <w:t xml:space="preserve">מדינת ישראל נ' קדורה </w:t>
      </w:r>
      <w:r w:rsidR="00EB4489">
        <w:rPr>
          <w:rFonts w:ascii="David" w:eastAsia="David" w:hAnsi="David" w:hint="cs"/>
          <w:rtl/>
        </w:rPr>
        <w:t>(מיום 14.4.2022) –הנאשם הורשע, על פי הודאתו, בעבירת החזקת נשק בצוותא עם אחר – אקדח "גלוק", מחסנית, כדורים ורימון הלם אותם החזיק בביתו לתקופה קצרה. בית המשפט המחוזי קבע מתחם עונש הנע בין 36-10 חודשי מאסר וגזר על הנאשם, בן 19 וללא הרשעות קודמות, 10 חודשי מאסר</w:t>
      </w:r>
      <w:r w:rsidR="00EB4489">
        <w:rPr>
          <w:rFonts w:ascii="David" w:eastAsia="David" w:hAnsi="David" w:hint="cs"/>
          <w:b/>
          <w:bCs/>
          <w:rtl/>
        </w:rPr>
        <w:t>.</w:t>
      </w:r>
      <w:r w:rsidR="00EB4489">
        <w:rPr>
          <w:rFonts w:ascii="David" w:eastAsia="David" w:hAnsi="David" w:hint="cs"/>
          <w:rtl/>
        </w:rPr>
        <w:t xml:space="preserve"> בית המשפט העליון קיבל את ערעור המדינה ו</w:t>
      </w:r>
      <w:r w:rsidR="00EB4489">
        <w:rPr>
          <w:rFonts w:ascii="David" w:eastAsia="David" w:hAnsi="David" w:hint="cs"/>
          <w:b/>
          <w:bCs/>
          <w:rtl/>
        </w:rPr>
        <w:t>החמיר עונשו ל-18 חודשים</w:t>
      </w:r>
      <w:r w:rsidR="00EB4489">
        <w:rPr>
          <w:rFonts w:ascii="David" w:eastAsia="David" w:hAnsi="David" w:hint="cs"/>
          <w:rtl/>
        </w:rPr>
        <w:t>;</w:t>
      </w:r>
    </w:p>
    <w:p w14:paraId="317581FC" w14:textId="77777777" w:rsidR="00EB4489" w:rsidRDefault="00EB4489" w:rsidP="00EB4489">
      <w:pPr>
        <w:spacing w:after="120" w:line="360" w:lineRule="auto"/>
        <w:ind w:left="720"/>
        <w:contextualSpacing/>
        <w:jc w:val="both"/>
      </w:pPr>
    </w:p>
    <w:p w14:paraId="04088076" w14:textId="77777777" w:rsidR="00EB4489" w:rsidRDefault="00EB4489" w:rsidP="00EB4489">
      <w:pPr>
        <w:numPr>
          <w:ilvl w:val="0"/>
          <w:numId w:val="2"/>
        </w:numPr>
        <w:spacing w:after="120" w:line="360" w:lineRule="auto"/>
        <w:contextualSpacing/>
        <w:jc w:val="both"/>
        <w:rPr>
          <w:rFonts w:ascii="David" w:eastAsia="David" w:hAnsi="David"/>
          <w:rtl/>
        </w:rPr>
      </w:pPr>
      <w:r>
        <w:rPr>
          <w:rFonts w:ascii="David" w:eastAsia="David" w:hAnsi="David"/>
          <w:rtl/>
        </w:rPr>
        <w:t>ע"פ 166/22</w:t>
      </w:r>
      <w:r>
        <w:rPr>
          <w:b/>
          <w:bCs/>
          <w:rtl/>
        </w:rPr>
        <w:t xml:space="preserve">טאהא נ' מדינת ישראל </w:t>
      </w:r>
      <w:r>
        <w:rPr>
          <w:rtl/>
        </w:rPr>
        <w:t>(1.6.2022)-נאשם צעיר, נעדר עבר פלילי, החזיק לבקשת אחר תת מקלע מאולתר ברכבו, הנשק נמצא בחיפוש שערך שוטר ברכבו. על הנאשם נגזרו 22 חודשי מאסר, נקבע מתחם שנע בין 20-40 חודשי מאסר. ערעורו נדחה;</w:t>
      </w:r>
    </w:p>
    <w:p w14:paraId="5534CF29" w14:textId="77777777" w:rsidR="00EB4489" w:rsidRDefault="00EB4489" w:rsidP="00EB4489">
      <w:pPr>
        <w:pStyle w:val="a9"/>
        <w:rPr>
          <w:rFonts w:ascii="David" w:eastAsia="David" w:hAnsi="David" w:cs="David"/>
          <w:sz w:val="24"/>
          <w:szCs w:val="24"/>
        </w:rPr>
      </w:pPr>
    </w:p>
    <w:p w14:paraId="65FC3CBF" w14:textId="77777777" w:rsidR="00EB4489" w:rsidRDefault="00365FF4" w:rsidP="00EB4489">
      <w:pPr>
        <w:numPr>
          <w:ilvl w:val="0"/>
          <w:numId w:val="2"/>
        </w:numPr>
        <w:spacing w:after="120" w:line="360" w:lineRule="auto"/>
        <w:contextualSpacing/>
        <w:jc w:val="both"/>
        <w:rPr>
          <w:rtl/>
        </w:rPr>
      </w:pPr>
      <w:hyperlink r:id="rId22" w:history="1">
        <w:r w:rsidRPr="00365FF4">
          <w:rPr>
            <w:rFonts w:ascii="David" w:eastAsia="David" w:hAnsi="David"/>
            <w:color w:val="0000FF"/>
            <w:u w:val="single"/>
            <w:rtl/>
          </w:rPr>
          <w:t>ע"פ 2015/21</w:t>
        </w:r>
      </w:hyperlink>
      <w:r w:rsidR="00EB4489">
        <w:rPr>
          <w:rFonts w:ascii="David" w:eastAsia="David" w:hAnsi="David"/>
          <w:rtl/>
        </w:rPr>
        <w:t xml:space="preserve"> </w:t>
      </w:r>
      <w:r w:rsidR="00EB4489">
        <w:rPr>
          <w:rFonts w:ascii="David" w:eastAsia="David" w:hAnsi="David"/>
          <w:b/>
          <w:bCs/>
          <w:rtl/>
        </w:rPr>
        <w:t>אזברגה נ' מדינת ישראל</w:t>
      </w:r>
      <w:r w:rsidR="00EB4489">
        <w:rPr>
          <w:rFonts w:ascii="David" w:eastAsia="David" w:hAnsi="David"/>
          <w:rtl/>
        </w:rPr>
        <w:t xml:space="preserve"> (9.12.2021) – נדחה ערעורו של נאשם בעל עבר שאינו מכביד שהורשע בהחזקת שני אקדחים ברכבו, שירות המבחן המליץ להסתפק בעניינו בענישה שיקומית של עבודות שירות. </w:t>
      </w:r>
      <w:r w:rsidR="00EB4489">
        <w:rPr>
          <w:rFonts w:ascii="David" w:eastAsia="David" w:hAnsi="David"/>
          <w:b/>
          <w:bCs/>
          <w:rtl/>
        </w:rPr>
        <w:t>נקבע בעניינו מתחם שנע בין 12-36 חודשי מאסר ונגזרו עליו 16 חודשי מאסר.</w:t>
      </w:r>
      <w:r w:rsidR="00EB4489">
        <w:rPr>
          <w:rFonts w:ascii="David" w:eastAsia="David" w:hAnsi="David"/>
          <w:rtl/>
        </w:rPr>
        <w:t xml:space="preserve"> בית המשפט העליון התייחס בהחלטתו לשיקולי השיקום אך נתן משקל בכורה למדיניות הענישה המחמירה בעבירות נשק;</w:t>
      </w:r>
    </w:p>
    <w:p w14:paraId="18B357F6" w14:textId="77777777" w:rsidR="00EB4489" w:rsidRDefault="00EB4489" w:rsidP="00EB4489">
      <w:pPr>
        <w:ind w:left="720"/>
        <w:contextualSpacing/>
      </w:pPr>
    </w:p>
    <w:p w14:paraId="33423369" w14:textId="77777777" w:rsidR="00EB4489" w:rsidRDefault="00365FF4" w:rsidP="00EB4489">
      <w:pPr>
        <w:numPr>
          <w:ilvl w:val="0"/>
          <w:numId w:val="2"/>
        </w:numPr>
        <w:spacing w:after="120" w:line="360" w:lineRule="auto"/>
        <w:contextualSpacing/>
        <w:jc w:val="both"/>
        <w:rPr>
          <w:rtl/>
        </w:rPr>
      </w:pPr>
      <w:hyperlink r:id="rId23" w:history="1">
        <w:r w:rsidRPr="00365FF4">
          <w:rPr>
            <w:color w:val="0000FF"/>
            <w:u w:val="single"/>
            <w:rtl/>
          </w:rPr>
          <w:t>ע"פ 6011/21</w:t>
        </w:r>
      </w:hyperlink>
      <w:r w:rsidR="00EB4489">
        <w:rPr>
          <w:rtl/>
        </w:rPr>
        <w:t xml:space="preserve"> </w:t>
      </w:r>
      <w:r w:rsidR="00EB4489">
        <w:rPr>
          <w:b/>
          <w:bCs/>
          <w:rtl/>
        </w:rPr>
        <w:t>דסוקי נ' מדינת ישראל</w:t>
      </w:r>
      <w:r w:rsidR="00EB4489">
        <w:rPr>
          <w:rtl/>
        </w:rPr>
        <w:t xml:space="preserve"> (מיום 25.11.2021)- דחיית ערעורו של נאשם שהורשע בעבירה של החזקת  אקדח טעון על גופו ונדון למאסר בן 13 חודשים;</w:t>
      </w:r>
    </w:p>
    <w:p w14:paraId="0DBB2215" w14:textId="77777777" w:rsidR="00EB4489" w:rsidRDefault="00EB4489" w:rsidP="00EB4489">
      <w:pPr>
        <w:ind w:left="720"/>
        <w:contextualSpacing/>
      </w:pPr>
    </w:p>
    <w:p w14:paraId="5F17386C" w14:textId="77777777" w:rsidR="00EB4489" w:rsidRDefault="00EB4489" w:rsidP="00EB4489">
      <w:pPr>
        <w:ind w:left="720"/>
        <w:contextualSpacing/>
        <w:rPr>
          <w:rtl/>
        </w:rPr>
      </w:pPr>
    </w:p>
    <w:p w14:paraId="18DC7B4D" w14:textId="77777777" w:rsidR="00EB4489" w:rsidRDefault="00365FF4" w:rsidP="00EB4489">
      <w:pPr>
        <w:numPr>
          <w:ilvl w:val="0"/>
          <w:numId w:val="2"/>
        </w:numPr>
        <w:spacing w:after="120" w:line="360" w:lineRule="auto"/>
        <w:contextualSpacing/>
        <w:jc w:val="both"/>
        <w:rPr>
          <w:rtl/>
        </w:rPr>
      </w:pPr>
      <w:hyperlink r:id="rId24" w:history="1">
        <w:r w:rsidRPr="00365FF4">
          <w:rPr>
            <w:color w:val="0000FF"/>
            <w:u w:val="single"/>
            <w:rtl/>
          </w:rPr>
          <w:t>ע"פ 1826/19</w:t>
        </w:r>
      </w:hyperlink>
      <w:r w:rsidR="00EB4489">
        <w:rPr>
          <w:rtl/>
        </w:rPr>
        <w:t xml:space="preserve"> </w:t>
      </w:r>
      <w:r w:rsidR="00EB4489">
        <w:rPr>
          <w:b/>
          <w:bCs/>
          <w:rtl/>
        </w:rPr>
        <w:t>אבו עסא נ' מדינת ישראל</w:t>
      </w:r>
      <w:r w:rsidR="00EB4489">
        <w:rPr>
          <w:rtl/>
        </w:rPr>
        <w:t xml:space="preserve"> (מיום 11.7.2019)- נדחה ערעורו של נאשם, שהורשע בהחזקת נשק אוטומטי, בית המשפט קבע מתחם עונשי שנע בין 15-36 חודשי מאסר. על הנאשם, צעיר, ללא עבר בעל סיכויי שיקום, נגזרו 18 חודשי מאסר;</w:t>
      </w:r>
    </w:p>
    <w:p w14:paraId="5D72FA4F" w14:textId="77777777" w:rsidR="00EB4489" w:rsidRDefault="00EB4489" w:rsidP="00EB4489">
      <w:pPr>
        <w:ind w:left="720"/>
        <w:contextualSpacing/>
      </w:pPr>
    </w:p>
    <w:p w14:paraId="1EF99187" w14:textId="77777777" w:rsidR="00EB4489" w:rsidRDefault="00365FF4" w:rsidP="00EB4489">
      <w:pPr>
        <w:numPr>
          <w:ilvl w:val="0"/>
          <w:numId w:val="2"/>
        </w:numPr>
        <w:spacing w:after="120" w:line="360" w:lineRule="auto"/>
        <w:contextualSpacing/>
        <w:jc w:val="both"/>
        <w:rPr>
          <w:rtl/>
        </w:rPr>
      </w:pPr>
      <w:hyperlink r:id="rId25" w:history="1">
        <w:r w:rsidRPr="00365FF4">
          <w:rPr>
            <w:color w:val="0000FF"/>
            <w:u w:val="single"/>
            <w:rtl/>
          </w:rPr>
          <w:t>רע"פ 5613/20</w:t>
        </w:r>
      </w:hyperlink>
      <w:r w:rsidR="00EB4489">
        <w:rPr>
          <w:rtl/>
        </w:rPr>
        <w:t xml:space="preserve"> </w:t>
      </w:r>
      <w:r w:rsidR="00EB4489">
        <w:rPr>
          <w:b/>
          <w:bCs/>
          <w:rtl/>
        </w:rPr>
        <w:t>אלהוזייל נ' מדינת ישראל</w:t>
      </w:r>
      <w:r w:rsidR="00EB4489">
        <w:rPr>
          <w:rtl/>
        </w:rPr>
        <w:t xml:space="preserve"> (מיום 25.8.2020)– הנאשם הורשע בהחזקת אקדח ותחמושת מתאימה. הנאשם בעל עבר פלילי, נסיבותיו האישיות קשות ושירות המבחן המליץ לגזור עליו עבודות שירות. בית משפט השלום קבע מתחם עונשי שנע בין 11-33 חודשי מאסר וגזר עליו שנת מאסר. ערעור ור"ע שהגיש- נדחו; </w:t>
      </w:r>
    </w:p>
    <w:p w14:paraId="67509FF0" w14:textId="77777777" w:rsidR="00EB4489" w:rsidRDefault="00EB4489" w:rsidP="00EB4489">
      <w:pPr>
        <w:ind w:left="720"/>
        <w:contextualSpacing/>
      </w:pPr>
    </w:p>
    <w:p w14:paraId="1B14A75C" w14:textId="77777777" w:rsidR="00EB4489" w:rsidRDefault="00365FF4" w:rsidP="00EB4489">
      <w:pPr>
        <w:numPr>
          <w:ilvl w:val="0"/>
          <w:numId w:val="2"/>
        </w:numPr>
        <w:spacing w:after="120" w:line="360" w:lineRule="auto"/>
        <w:contextualSpacing/>
        <w:jc w:val="both"/>
        <w:rPr>
          <w:rtl/>
        </w:rPr>
      </w:pPr>
      <w:hyperlink r:id="rId26" w:history="1">
        <w:r w:rsidRPr="00365FF4">
          <w:rPr>
            <w:color w:val="0000FF"/>
            <w:u w:val="single"/>
            <w:rtl/>
          </w:rPr>
          <w:t>ע"פ 3288/14</w:t>
        </w:r>
      </w:hyperlink>
      <w:r w:rsidR="00EB4489">
        <w:rPr>
          <w:rtl/>
        </w:rPr>
        <w:t xml:space="preserve"> </w:t>
      </w:r>
      <w:r w:rsidR="00EB4489">
        <w:rPr>
          <w:b/>
          <w:bCs/>
          <w:rtl/>
        </w:rPr>
        <w:t xml:space="preserve">מדינת ישראל נ' קריספיל </w:t>
      </w:r>
      <w:r w:rsidR="00EB4489">
        <w:rPr>
          <w:rtl/>
        </w:rPr>
        <w:t xml:space="preserve">(24.8.2014) – הנאשם הורשע בעבירה החזקת אקדח טעון ומשתיק קול. נקבע מתחם ענישה הנע בין 22-6 חודשי מאסר, והנאשם, בעל עבר פלילי, נדון ל-9 חודשי מאסר בפועל. בית המשפט העליון קיבל את ערעור המדינה והחמיר עונשו ל-18 חודשים. </w:t>
      </w:r>
    </w:p>
    <w:p w14:paraId="026540DA" w14:textId="77777777" w:rsidR="00EB4489" w:rsidRDefault="00EB4489" w:rsidP="00EB4489">
      <w:pPr>
        <w:spacing w:after="120" w:line="360" w:lineRule="auto"/>
        <w:ind w:left="720"/>
        <w:contextualSpacing/>
        <w:jc w:val="both"/>
      </w:pPr>
    </w:p>
    <w:p w14:paraId="0175A92A" w14:textId="77777777" w:rsidR="00EB4489" w:rsidRDefault="00EB4489" w:rsidP="00EB4489">
      <w:pPr>
        <w:spacing w:line="360" w:lineRule="auto"/>
        <w:ind w:left="720"/>
        <w:contextualSpacing/>
        <w:jc w:val="both"/>
        <w:rPr>
          <w:rFonts w:ascii="David" w:eastAsia="David" w:hAnsi="David"/>
        </w:rPr>
      </w:pPr>
      <w:r>
        <w:rPr>
          <w:rFonts w:ascii="David" w:eastAsia="David" w:hAnsi="David"/>
          <w:rtl/>
        </w:rPr>
        <w:t xml:space="preserve">התמונה העונשית המשתקפת בפסיקה ברורה וכוללת עונשי מאסר ממש, בבחינת  </w:t>
      </w:r>
      <w:r>
        <w:rPr>
          <w:rFonts w:ascii="David" w:eastAsia="David" w:hAnsi="David"/>
          <w:b/>
          <w:bCs/>
          <w:rtl/>
        </w:rPr>
        <w:t>"אם מחזיקים- למאסר נשלחים</w:t>
      </w:r>
      <w:r>
        <w:rPr>
          <w:rFonts w:ascii="David" w:eastAsia="David" w:hAnsi="David"/>
          <w:rtl/>
        </w:rPr>
        <w:t xml:space="preserve">" (כב' השופט עמית, </w:t>
      </w:r>
      <w:hyperlink r:id="rId27" w:history="1">
        <w:r w:rsidR="00365FF4" w:rsidRPr="00365FF4">
          <w:rPr>
            <w:rFonts w:ascii="David" w:eastAsia="David" w:hAnsi="David"/>
            <w:color w:val="0000FF"/>
            <w:u w:val="single"/>
            <w:rtl/>
          </w:rPr>
          <w:t>ע"פ 2482/22</w:t>
        </w:r>
      </w:hyperlink>
      <w:r>
        <w:rPr>
          <w:rFonts w:ascii="David" w:eastAsia="David" w:hAnsi="David"/>
          <w:rtl/>
        </w:rPr>
        <w:t xml:space="preserve"> </w:t>
      </w:r>
      <w:r>
        <w:rPr>
          <w:rFonts w:ascii="David" w:eastAsia="David" w:hAnsi="David"/>
          <w:b/>
          <w:bCs/>
          <w:rtl/>
        </w:rPr>
        <w:t xml:space="preserve">מדינת ישראל נ' קדורה, </w:t>
      </w:r>
      <w:r>
        <w:rPr>
          <w:rFonts w:ascii="David" w:eastAsia="David" w:hAnsi="David"/>
          <w:rtl/>
        </w:rPr>
        <w:t xml:space="preserve">פ' 6 (מיום 14.04.2022)).  </w:t>
      </w:r>
    </w:p>
    <w:p w14:paraId="19E76C0E" w14:textId="77777777" w:rsidR="00EB4489" w:rsidRDefault="00EB4489" w:rsidP="00EB4489">
      <w:pPr>
        <w:spacing w:line="360" w:lineRule="auto"/>
        <w:ind w:left="720"/>
        <w:contextualSpacing/>
        <w:jc w:val="both"/>
        <w:rPr>
          <w:rFonts w:ascii="David" w:eastAsia="David" w:hAnsi="David"/>
        </w:rPr>
      </w:pPr>
    </w:p>
    <w:p w14:paraId="5E291D9C" w14:textId="77777777" w:rsidR="00EB4489" w:rsidRDefault="00EB4489" w:rsidP="00EB4489">
      <w:pPr>
        <w:numPr>
          <w:ilvl w:val="0"/>
          <w:numId w:val="1"/>
        </w:numPr>
        <w:spacing w:line="360" w:lineRule="auto"/>
        <w:contextualSpacing/>
        <w:jc w:val="both"/>
        <w:rPr>
          <w:rFonts w:ascii="David" w:eastAsia="David" w:hAnsi="David"/>
          <w:rtl/>
        </w:rPr>
      </w:pPr>
      <w:r>
        <w:rPr>
          <w:rFonts w:ascii="David" w:eastAsia="David" w:hAnsi="David"/>
          <w:rtl/>
        </w:rPr>
        <w:t xml:space="preserve">לאחר שבחנתי את נסיבות ביצוע העבירה, מדיניות הענישה הנוהגת והוראת תיקון 140 לחוק, אני קובעת מתחם ענישה שנע </w:t>
      </w:r>
      <w:r>
        <w:rPr>
          <w:rFonts w:ascii="David" w:eastAsia="David" w:hAnsi="David"/>
          <w:b/>
          <w:bCs/>
          <w:rtl/>
        </w:rPr>
        <w:t xml:space="preserve">בין 14-30 חודשי מאסר. </w:t>
      </w:r>
      <w:r>
        <w:rPr>
          <w:rFonts w:ascii="David" w:eastAsia="David" w:hAnsi="David"/>
          <w:rtl/>
        </w:rPr>
        <w:t xml:space="preserve">עתירת ההגנה להסתפק בתקופת מעצרו אינה מתיישבת עם מדיניות הפסיקה ומגמת ההחמרה בענישת עברייני נשק. </w:t>
      </w:r>
    </w:p>
    <w:p w14:paraId="6A61D027" w14:textId="77777777" w:rsidR="00EB4489" w:rsidRDefault="00EB4489" w:rsidP="00EB4489">
      <w:pPr>
        <w:spacing w:line="360" w:lineRule="auto"/>
        <w:ind w:left="720"/>
        <w:contextualSpacing/>
        <w:jc w:val="both"/>
        <w:rPr>
          <w:rFonts w:ascii="David" w:eastAsia="David" w:hAnsi="David"/>
        </w:rPr>
      </w:pPr>
      <w:r>
        <w:rPr>
          <w:rFonts w:ascii="David" w:eastAsia="David" w:hAnsi="David"/>
          <w:rtl/>
        </w:rPr>
        <w:t xml:space="preserve"> </w:t>
      </w:r>
    </w:p>
    <w:p w14:paraId="457B5C75" w14:textId="77777777" w:rsidR="00EB4489" w:rsidRDefault="00EB4489" w:rsidP="00EB4489">
      <w:pPr>
        <w:spacing w:line="360" w:lineRule="auto"/>
        <w:jc w:val="both"/>
        <w:rPr>
          <w:rFonts w:ascii="David" w:eastAsia="David" w:hAnsi="David"/>
          <w:b/>
          <w:bCs/>
          <w:u w:val="single"/>
          <w:rtl/>
        </w:rPr>
      </w:pPr>
      <w:r>
        <w:rPr>
          <w:rFonts w:ascii="David" w:eastAsia="David" w:hAnsi="David"/>
          <w:b/>
          <w:bCs/>
          <w:u w:val="single"/>
          <w:rtl/>
        </w:rPr>
        <w:t>גזירת העונש המתאים לנאשם</w:t>
      </w:r>
    </w:p>
    <w:p w14:paraId="2896CAC0" w14:textId="77777777" w:rsidR="00EB4489" w:rsidRDefault="00EB4489" w:rsidP="00EB4489">
      <w:pPr>
        <w:numPr>
          <w:ilvl w:val="0"/>
          <w:numId w:val="1"/>
        </w:numPr>
        <w:spacing w:line="360" w:lineRule="auto"/>
        <w:contextualSpacing/>
        <w:jc w:val="both"/>
        <w:rPr>
          <w:rFonts w:ascii="David" w:eastAsia="David" w:hAnsi="David"/>
        </w:rPr>
      </w:pPr>
      <w:r>
        <w:rPr>
          <w:rFonts w:ascii="David" w:eastAsia="David" w:hAnsi="David"/>
          <w:rtl/>
        </w:rPr>
        <w:t xml:space="preserve">הנאשם יליד 1985,בעברו שלוש הרשעות בעבירות רכוש וסמים, הנאשם עצור בתיק זה עד תום ההליכים.  מהתסקיר שהוגש כמו גם מחוות הדעת הפרטית וטיעוני ב"כ עולה תמונת חיים מורכבת של אדם שחווה ילדות קשה, נעדר גורמי תמיכה אך הצליח בשנים האחרונות לעצור את ההליך ההדרדרות שבו היה נתון. הנאשם אכן זקוק לשילוב בהליך טיפולי אך להתרשמות שירות המבחן אינו בשל לכך ומביע מוטיבציה וורבלית בלבד, אף מחוות הדעת הפרטית עולה, חרף התרשמות מנזקקות טיפולית, כי מדובר בנאשם בעלי דפוסי התנהגות שספק אם יתאימו להליך טיפול ארוך טווח.  </w:t>
      </w:r>
    </w:p>
    <w:p w14:paraId="3BECDDD9" w14:textId="77777777" w:rsidR="00EB4489" w:rsidRDefault="00EB4489" w:rsidP="00EB4489">
      <w:pPr>
        <w:spacing w:line="360" w:lineRule="auto"/>
        <w:ind w:left="720"/>
        <w:contextualSpacing/>
        <w:jc w:val="both"/>
        <w:rPr>
          <w:rFonts w:ascii="David" w:eastAsia="David" w:hAnsi="David"/>
        </w:rPr>
      </w:pPr>
    </w:p>
    <w:p w14:paraId="0907AD38" w14:textId="77777777" w:rsidR="00EB4489" w:rsidRDefault="00EB4489" w:rsidP="00EB4489">
      <w:pPr>
        <w:numPr>
          <w:ilvl w:val="0"/>
          <w:numId w:val="1"/>
        </w:numPr>
        <w:spacing w:line="360" w:lineRule="auto"/>
        <w:contextualSpacing/>
        <w:jc w:val="both"/>
        <w:rPr>
          <w:rFonts w:ascii="David" w:eastAsia="David" w:hAnsi="David"/>
        </w:rPr>
      </w:pPr>
      <w:r>
        <w:rPr>
          <w:rFonts w:ascii="David" w:eastAsia="David" w:hAnsi="David"/>
          <w:rtl/>
        </w:rPr>
        <w:t xml:space="preserve">הנאשם הודה ונטל אחריות מלאה, עצור לראשונה בחייו תקופה ארוכה וניכר שחווית המעצר והניתוק הממושך ממשפחתו נתנו בו אותותיו. </w:t>
      </w:r>
    </w:p>
    <w:p w14:paraId="068CF997" w14:textId="77777777" w:rsidR="00EB4489" w:rsidRDefault="00EB4489" w:rsidP="00EB4489">
      <w:pPr>
        <w:pStyle w:val="a9"/>
        <w:rPr>
          <w:rFonts w:ascii="David" w:eastAsia="David" w:hAnsi="David"/>
          <w:rtl/>
        </w:rPr>
      </w:pPr>
    </w:p>
    <w:p w14:paraId="694FCAD4" w14:textId="77777777" w:rsidR="00EB4489" w:rsidRDefault="00EB4489" w:rsidP="00EB4489">
      <w:pPr>
        <w:numPr>
          <w:ilvl w:val="0"/>
          <w:numId w:val="1"/>
        </w:numPr>
        <w:spacing w:line="360" w:lineRule="auto"/>
        <w:contextualSpacing/>
        <w:jc w:val="both"/>
        <w:rPr>
          <w:rFonts w:ascii="David" w:eastAsia="David" w:hAnsi="David"/>
          <w:rtl/>
        </w:rPr>
      </w:pPr>
      <w:r>
        <w:rPr>
          <w:rFonts w:ascii="David" w:eastAsia="David" w:hAnsi="David"/>
          <w:rtl/>
        </w:rPr>
        <w:t>בהנתן עברו הפלילי והעדר המלצה טיפולית, משמדובר בעבירה שיש ליתן בה משקל רב לשיקול הרתעת הרבים, היה ראוי למקם את עונשו של הנאשם במרכז המתחם. עם זאת, מצאתי להתחשב בנסיבותיו מתוך תקווה שלמד את לקחו ויימנע מביצוע עבירות דומות בעתיד ולמקמו בחלק התחתון של המתחם. בענייננו חלה, כאמור, הוראת השעה במסגרת תיקון 140 ל</w:t>
      </w:r>
      <w:hyperlink r:id="rId28" w:history="1">
        <w:r w:rsidR="00365FF4" w:rsidRPr="00365FF4">
          <w:rPr>
            <w:rFonts w:ascii="David" w:eastAsia="David" w:hAnsi="David"/>
            <w:color w:val="0000FF"/>
            <w:u w:val="single"/>
            <w:rtl/>
          </w:rPr>
          <w:t>חוק העונשין</w:t>
        </w:r>
      </w:hyperlink>
      <w:r>
        <w:rPr>
          <w:rFonts w:ascii="David" w:eastAsia="David" w:hAnsi="David"/>
          <w:rtl/>
        </w:rPr>
        <w:t xml:space="preserve">. העונש המרבי הקבוע בצדה של העבירה בה הורשע הנאשם הוא 7 שנים, ורבע ממנו עומד על 21 חודשי מאסר, חלקו יוטל כענישה צופה פני עתיד. </w:t>
      </w:r>
    </w:p>
    <w:p w14:paraId="352510F7" w14:textId="77777777" w:rsidR="00EB4489" w:rsidRDefault="00EB4489" w:rsidP="00EB4489">
      <w:pPr>
        <w:spacing w:line="360" w:lineRule="auto"/>
        <w:ind w:left="720"/>
        <w:contextualSpacing/>
        <w:jc w:val="both"/>
        <w:rPr>
          <w:rFonts w:ascii="David" w:eastAsia="David" w:hAnsi="David"/>
        </w:rPr>
      </w:pPr>
    </w:p>
    <w:p w14:paraId="6A08A76C" w14:textId="77777777" w:rsidR="00EB4489" w:rsidRDefault="00EB4489" w:rsidP="00EB4489">
      <w:pPr>
        <w:numPr>
          <w:ilvl w:val="0"/>
          <w:numId w:val="1"/>
        </w:numPr>
        <w:spacing w:line="360" w:lineRule="auto"/>
        <w:contextualSpacing/>
        <w:jc w:val="both"/>
        <w:rPr>
          <w:rFonts w:ascii="David" w:eastAsia="David" w:hAnsi="David"/>
        </w:rPr>
      </w:pPr>
      <w:r>
        <w:rPr>
          <w:rFonts w:ascii="David" w:eastAsia="David" w:hAnsi="David"/>
          <w:b/>
          <w:bCs/>
          <w:rtl/>
        </w:rPr>
        <w:t xml:space="preserve">לאור האמור לעיל, ולאחר ששקלתי את כלל השיקולים, אני גוזרת על הנאשם את העונשים הבאים: </w:t>
      </w:r>
    </w:p>
    <w:p w14:paraId="690BD650" w14:textId="77777777" w:rsidR="00EB4489" w:rsidRDefault="00EB4489" w:rsidP="00EB4489">
      <w:pPr>
        <w:ind w:left="720"/>
        <w:contextualSpacing/>
        <w:rPr>
          <w:rFonts w:ascii="David" w:eastAsia="David" w:hAnsi="David"/>
        </w:rPr>
      </w:pPr>
    </w:p>
    <w:p w14:paraId="0629B37A" w14:textId="77777777" w:rsidR="00EB4489" w:rsidRDefault="00EB4489" w:rsidP="00EB4489">
      <w:pPr>
        <w:numPr>
          <w:ilvl w:val="0"/>
          <w:numId w:val="3"/>
        </w:numPr>
        <w:spacing w:line="360" w:lineRule="auto"/>
        <w:contextualSpacing/>
        <w:jc w:val="both"/>
        <w:rPr>
          <w:rFonts w:ascii="David" w:eastAsia="David" w:hAnsi="David"/>
          <w:b/>
          <w:bCs/>
          <w:rtl/>
        </w:rPr>
      </w:pPr>
      <w:r>
        <w:rPr>
          <w:rFonts w:ascii="David" w:eastAsia="David" w:hAnsi="David"/>
          <w:b/>
          <w:bCs/>
          <w:rtl/>
        </w:rPr>
        <w:t>16 חודשי מאסר בפועל החל מיום מעצרו 23.1.22.</w:t>
      </w:r>
    </w:p>
    <w:p w14:paraId="08D6FED4" w14:textId="77777777" w:rsidR="00EB4489" w:rsidRDefault="00EB4489" w:rsidP="00EB4489">
      <w:pPr>
        <w:numPr>
          <w:ilvl w:val="0"/>
          <w:numId w:val="3"/>
        </w:numPr>
        <w:spacing w:line="360" w:lineRule="auto"/>
        <w:contextualSpacing/>
        <w:jc w:val="both"/>
        <w:rPr>
          <w:rFonts w:ascii="David" w:eastAsia="David" w:hAnsi="David"/>
        </w:rPr>
      </w:pPr>
      <w:r>
        <w:rPr>
          <w:rFonts w:ascii="David" w:eastAsia="David" w:hAnsi="David"/>
          <w:rtl/>
        </w:rPr>
        <w:t xml:space="preserve">מאסר על תנאי בן 10 חודשים לבל יעבור הנאשם עבירת נשק מסוג פשע תוך 3 שנים מיום שחרורו. </w:t>
      </w:r>
    </w:p>
    <w:p w14:paraId="3AFAC4A3" w14:textId="77777777" w:rsidR="00EB4489" w:rsidRDefault="00EB4489" w:rsidP="00EB4489">
      <w:pPr>
        <w:numPr>
          <w:ilvl w:val="0"/>
          <w:numId w:val="3"/>
        </w:numPr>
        <w:spacing w:line="360" w:lineRule="auto"/>
        <w:contextualSpacing/>
        <w:jc w:val="both"/>
        <w:rPr>
          <w:rFonts w:ascii="David" w:eastAsia="David" w:hAnsi="David"/>
        </w:rPr>
      </w:pPr>
      <w:r>
        <w:rPr>
          <w:rFonts w:ascii="David" w:eastAsia="David" w:hAnsi="David"/>
          <w:rtl/>
        </w:rPr>
        <w:t xml:space="preserve">קנס בסך 3,000 ₪ או 30 ימי מאסר. הקנס ישולם בשלושה תשלומים שווים ורצופים החל מיום 1.1.2023. </w:t>
      </w:r>
    </w:p>
    <w:p w14:paraId="41566ED7" w14:textId="77777777" w:rsidR="00EB4489" w:rsidRDefault="00EB4489" w:rsidP="00EB4489">
      <w:pPr>
        <w:spacing w:line="360" w:lineRule="auto"/>
        <w:ind w:left="1080"/>
        <w:contextualSpacing/>
        <w:jc w:val="both"/>
        <w:rPr>
          <w:rFonts w:ascii="David" w:eastAsia="David" w:hAnsi="David"/>
        </w:rPr>
      </w:pPr>
    </w:p>
    <w:p w14:paraId="2BE70ED7" w14:textId="77777777" w:rsidR="00EB4489" w:rsidRDefault="00EB4489" w:rsidP="00EB4489">
      <w:pPr>
        <w:spacing w:line="360" w:lineRule="auto"/>
        <w:ind w:left="1080"/>
        <w:contextualSpacing/>
        <w:jc w:val="both"/>
        <w:rPr>
          <w:rFonts w:ascii="David" w:eastAsia="David" w:hAnsi="David"/>
          <w:rtl/>
        </w:rPr>
      </w:pPr>
    </w:p>
    <w:p w14:paraId="5A3114B0" w14:textId="77777777" w:rsidR="00EB4489" w:rsidRDefault="00EB4489" w:rsidP="00EB4489">
      <w:pPr>
        <w:spacing w:line="360" w:lineRule="auto"/>
        <w:jc w:val="both"/>
        <w:rPr>
          <w:rFonts w:ascii="David" w:eastAsia="David" w:hAnsi="David"/>
          <w:rtl/>
        </w:rPr>
      </w:pPr>
      <w:r>
        <w:rPr>
          <w:rFonts w:ascii="David" w:eastAsia="David" w:hAnsi="David"/>
          <w:rtl/>
        </w:rPr>
        <w:t>הנשק והתחמושת יושמדו.</w:t>
      </w:r>
    </w:p>
    <w:p w14:paraId="27F381D3" w14:textId="77777777" w:rsidR="00EB4489" w:rsidRDefault="00EB4489" w:rsidP="00EB4489">
      <w:pPr>
        <w:spacing w:line="360" w:lineRule="auto"/>
        <w:ind w:left="1080"/>
        <w:contextualSpacing/>
        <w:jc w:val="both"/>
        <w:rPr>
          <w:rFonts w:ascii="David" w:eastAsia="David" w:hAnsi="David"/>
          <w:rtl/>
        </w:rPr>
      </w:pPr>
    </w:p>
    <w:p w14:paraId="43C845FB" w14:textId="77777777" w:rsidR="00EB4489" w:rsidRDefault="00365FF4" w:rsidP="00EB4489">
      <w:pPr>
        <w:spacing w:line="360" w:lineRule="auto"/>
        <w:jc w:val="both"/>
        <w:rPr>
          <w:rFonts w:ascii="David" w:eastAsia="David" w:hAnsi="David"/>
          <w:b/>
          <w:bCs/>
          <w:rtl/>
        </w:rPr>
      </w:pPr>
      <w:r w:rsidRPr="00365FF4">
        <w:rPr>
          <w:rFonts w:ascii="David" w:eastAsia="David" w:hAnsi="David"/>
          <w:b/>
          <w:bCs/>
          <w:color w:val="FFFFFF"/>
          <w:sz w:val="2"/>
          <w:szCs w:val="2"/>
          <w:rtl/>
        </w:rPr>
        <w:t>5129371</w:t>
      </w:r>
      <w:r w:rsidR="00EB4489">
        <w:rPr>
          <w:rFonts w:ascii="David" w:eastAsia="David" w:hAnsi="David"/>
          <w:b/>
          <w:bCs/>
          <w:rtl/>
        </w:rPr>
        <w:t>זכות ערעור לבית המשפט העליון תוך 45 יום.</w:t>
      </w:r>
    </w:p>
    <w:p w14:paraId="75318F36" w14:textId="77777777" w:rsidR="00EB4489" w:rsidRPr="00365FF4" w:rsidRDefault="00365FF4" w:rsidP="00EB4489">
      <w:pPr>
        <w:spacing w:line="360" w:lineRule="auto"/>
        <w:ind w:left="1080"/>
        <w:contextualSpacing/>
        <w:jc w:val="both"/>
        <w:rPr>
          <w:rFonts w:ascii="David" w:eastAsia="David" w:hAnsi="David"/>
          <w:color w:val="FFFFFF"/>
          <w:sz w:val="2"/>
          <w:szCs w:val="2"/>
        </w:rPr>
      </w:pPr>
      <w:r w:rsidRPr="00365FF4">
        <w:rPr>
          <w:rFonts w:ascii="David" w:eastAsia="David" w:hAnsi="David"/>
          <w:color w:val="FFFFFF"/>
          <w:sz w:val="2"/>
          <w:szCs w:val="2"/>
          <w:rtl/>
        </w:rPr>
        <w:t>54678313</w:t>
      </w:r>
    </w:p>
    <w:p w14:paraId="09501371" w14:textId="77777777" w:rsidR="00EB4489" w:rsidRDefault="00EB4489" w:rsidP="00EB4489">
      <w:pPr>
        <w:spacing w:line="360" w:lineRule="auto"/>
        <w:jc w:val="both"/>
        <w:rPr>
          <w:rFonts w:ascii="David" w:eastAsia="David" w:hAnsi="David"/>
        </w:rPr>
      </w:pPr>
    </w:p>
    <w:p w14:paraId="60067D3D" w14:textId="77777777" w:rsidR="00EB4489" w:rsidRPr="000F2247" w:rsidRDefault="00365FF4" w:rsidP="00EB4489">
      <w:pPr>
        <w:rPr>
          <w:rFonts w:ascii="Arial" w:hAnsi="Arial"/>
          <w:b/>
          <w:bCs/>
          <w:sz w:val="26"/>
          <w:szCs w:val="26"/>
          <w:rtl/>
        </w:rPr>
      </w:pPr>
      <w:bookmarkStart w:id="7" w:name="Nitan"/>
      <w:r>
        <w:rPr>
          <w:rFonts w:ascii="Arial" w:hAnsi="Arial"/>
          <w:b/>
          <w:bCs/>
          <w:sz w:val="26"/>
          <w:szCs w:val="26"/>
          <w:rtl/>
        </w:rPr>
        <w:t xml:space="preserve">ניתן היום,  כ"ה תשרי תשפ"ג, 20 אוקטובר 2022. </w:t>
      </w:r>
      <w:bookmarkEnd w:id="7"/>
    </w:p>
    <w:p w14:paraId="73FF66EC" w14:textId="77777777" w:rsidR="00EB4489" w:rsidRPr="000F2247" w:rsidRDefault="00EB4489" w:rsidP="00365FF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81C5CCE" w14:textId="77777777" w:rsidR="00EB4489" w:rsidRPr="000F2247" w:rsidRDefault="00EB4489" w:rsidP="00EB4489">
      <w:pPr>
        <w:jc w:val="center"/>
        <w:rPr>
          <w:rFonts w:ascii="Arial" w:hAnsi="Arial"/>
          <w:b/>
          <w:bCs/>
          <w:sz w:val="26"/>
          <w:szCs w:val="26"/>
          <w:rtl/>
        </w:rPr>
      </w:pPr>
    </w:p>
    <w:p w14:paraId="6321020E" w14:textId="77777777" w:rsidR="00EE17EC" w:rsidRPr="00365FF4" w:rsidRDefault="00EE17EC" w:rsidP="00365FF4">
      <w:pPr>
        <w:keepNext/>
        <w:rPr>
          <w:rFonts w:ascii="David" w:hAnsi="David"/>
          <w:color w:val="000000"/>
          <w:sz w:val="22"/>
          <w:szCs w:val="22"/>
          <w:rtl/>
        </w:rPr>
      </w:pPr>
    </w:p>
    <w:p w14:paraId="0458CE46" w14:textId="77777777" w:rsidR="00365FF4" w:rsidRPr="00365FF4" w:rsidRDefault="00365FF4" w:rsidP="00365FF4">
      <w:pPr>
        <w:keepNext/>
        <w:rPr>
          <w:rFonts w:ascii="David" w:hAnsi="David"/>
          <w:color w:val="000000"/>
          <w:sz w:val="22"/>
          <w:szCs w:val="22"/>
          <w:rtl/>
        </w:rPr>
      </w:pPr>
      <w:r w:rsidRPr="00365FF4">
        <w:rPr>
          <w:rFonts w:ascii="David" w:hAnsi="David"/>
          <w:color w:val="000000"/>
          <w:sz w:val="22"/>
          <w:szCs w:val="22"/>
          <w:rtl/>
        </w:rPr>
        <w:t>מרב גרינברג 54678313</w:t>
      </w:r>
    </w:p>
    <w:p w14:paraId="5DEDF838" w14:textId="77777777" w:rsidR="00365FF4" w:rsidRDefault="00365FF4" w:rsidP="00365FF4">
      <w:r w:rsidRPr="00365FF4">
        <w:rPr>
          <w:color w:val="000000"/>
          <w:rtl/>
        </w:rPr>
        <w:t>נוסח מסמך זה כפוף לשינויי ניסוח ועריכה</w:t>
      </w:r>
    </w:p>
    <w:p w14:paraId="0D585D4E" w14:textId="77777777" w:rsidR="00365FF4" w:rsidRDefault="00365FF4" w:rsidP="00365FF4">
      <w:pPr>
        <w:rPr>
          <w:rtl/>
        </w:rPr>
      </w:pPr>
    </w:p>
    <w:p w14:paraId="12002E77" w14:textId="77777777" w:rsidR="00365FF4" w:rsidRDefault="00365FF4" w:rsidP="00365FF4">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C033664" w14:textId="77777777" w:rsidR="00365FF4" w:rsidRPr="00365FF4" w:rsidRDefault="00365FF4" w:rsidP="00365FF4">
      <w:pPr>
        <w:jc w:val="center"/>
        <w:rPr>
          <w:color w:val="0000FF"/>
          <w:u w:val="single"/>
        </w:rPr>
      </w:pPr>
    </w:p>
    <w:sectPr w:rsidR="00365FF4" w:rsidRPr="00365FF4" w:rsidSect="00365FF4">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0E6C8" w14:textId="77777777" w:rsidR="008644AC" w:rsidRDefault="008644AC" w:rsidP="00242C68">
      <w:r>
        <w:separator/>
      </w:r>
    </w:p>
  </w:endnote>
  <w:endnote w:type="continuationSeparator" w:id="0">
    <w:p w14:paraId="00A348B4" w14:textId="77777777" w:rsidR="008644AC" w:rsidRDefault="008644AC" w:rsidP="0024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FE4EC" w14:textId="77777777" w:rsidR="00365FF4" w:rsidRDefault="00365FF4" w:rsidP="00365F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4DF9D1" w14:textId="77777777" w:rsidR="006B20CF" w:rsidRPr="00365FF4" w:rsidRDefault="00365FF4" w:rsidP="00365FF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42235" w14:textId="77777777" w:rsidR="00365FF4" w:rsidRDefault="00365FF4" w:rsidP="00365F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8799F">
      <w:rPr>
        <w:rFonts w:ascii="FrankRuehl" w:hAnsi="FrankRuehl" w:cs="FrankRuehl"/>
        <w:noProof/>
        <w:rtl/>
      </w:rPr>
      <w:t>1</w:t>
    </w:r>
    <w:r>
      <w:rPr>
        <w:rFonts w:ascii="FrankRuehl" w:hAnsi="FrankRuehl" w:cs="FrankRuehl"/>
        <w:rtl/>
      </w:rPr>
      <w:fldChar w:fldCharType="end"/>
    </w:r>
  </w:p>
  <w:p w14:paraId="62410D6A" w14:textId="77777777" w:rsidR="006B20CF" w:rsidRPr="00365FF4" w:rsidRDefault="00365FF4" w:rsidP="00365FF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BA8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F8020" w14:textId="77777777" w:rsidR="008644AC" w:rsidRDefault="008644AC" w:rsidP="00242C68">
      <w:r>
        <w:separator/>
      </w:r>
    </w:p>
  </w:footnote>
  <w:footnote w:type="continuationSeparator" w:id="0">
    <w:p w14:paraId="2697F183" w14:textId="77777777" w:rsidR="008644AC" w:rsidRDefault="008644AC" w:rsidP="00242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23A66" w14:textId="77777777" w:rsidR="00365FF4" w:rsidRPr="00365FF4" w:rsidRDefault="00365FF4" w:rsidP="00365F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6968-02-22</w:t>
    </w:r>
    <w:r>
      <w:rPr>
        <w:rFonts w:ascii="David" w:hAnsi="David"/>
        <w:color w:val="000000"/>
        <w:sz w:val="22"/>
        <w:szCs w:val="22"/>
        <w:rtl/>
      </w:rPr>
      <w:tab/>
      <w:t xml:space="preserve"> מדינת ישראל נ' חמזה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C5DCC" w14:textId="77777777" w:rsidR="00365FF4" w:rsidRPr="00365FF4" w:rsidRDefault="00365FF4" w:rsidP="00365F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6968-02-22</w:t>
    </w:r>
    <w:r>
      <w:rPr>
        <w:rFonts w:ascii="David" w:hAnsi="David"/>
        <w:color w:val="000000"/>
        <w:sz w:val="22"/>
        <w:szCs w:val="22"/>
        <w:rtl/>
      </w:rPr>
      <w:tab/>
      <w:t xml:space="preserve"> מדינת ישראל נ' חמזה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0429E98"/>
    <w:lvl w:ilvl="0" w:tplc="B5BC5C6C">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22E248F"/>
    <w:multiLevelType w:val="hybridMultilevel"/>
    <w:tmpl w:val="68E8ED88"/>
    <w:lvl w:ilvl="0" w:tplc="443059FE">
      <w:start w:val="1"/>
      <w:numFmt w:val="hebrew1"/>
      <w:lvlText w:val="%1."/>
      <w:lvlJc w:val="left"/>
      <w:pPr>
        <w:ind w:left="720" w:hanging="360"/>
      </w:pPr>
      <w:rPr>
        <w:rFonts w:ascii="David" w:eastAsia="Calibri" w:hAnsi="David" w:cs="David" w:hint="default"/>
        <w:sz w:val="22"/>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EC356E9"/>
    <w:multiLevelType w:val="hybridMultilevel"/>
    <w:tmpl w:val="62105F5C"/>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366975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23673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83064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4489"/>
    <w:rsid w:val="00033F67"/>
    <w:rsid w:val="001B5A3B"/>
    <w:rsid w:val="00242C68"/>
    <w:rsid w:val="00365FF4"/>
    <w:rsid w:val="006B20CF"/>
    <w:rsid w:val="007E4D78"/>
    <w:rsid w:val="008644AC"/>
    <w:rsid w:val="008C6DC6"/>
    <w:rsid w:val="00981DFB"/>
    <w:rsid w:val="009E4B90"/>
    <w:rsid w:val="00A8799F"/>
    <w:rsid w:val="00B808D1"/>
    <w:rsid w:val="00D83BCA"/>
    <w:rsid w:val="00E9251B"/>
    <w:rsid w:val="00EB4489"/>
    <w:rsid w:val="00EE1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271897"/>
  <w15:chartTrackingRefBased/>
  <w15:docId w15:val="{78D934F5-E8CF-47B5-B65E-BF9993FC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448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4489"/>
    <w:pPr>
      <w:tabs>
        <w:tab w:val="center" w:pos="4153"/>
        <w:tab w:val="right" w:pos="8306"/>
      </w:tabs>
    </w:pPr>
  </w:style>
  <w:style w:type="character" w:customStyle="1" w:styleId="a4">
    <w:name w:val="כותרת עליונה תו"/>
    <w:link w:val="a3"/>
    <w:rsid w:val="00EB4489"/>
    <w:rPr>
      <w:rFonts w:ascii="Times New Roman" w:eastAsia="Times New Roman" w:hAnsi="Times New Roman" w:cs="David"/>
      <w:sz w:val="24"/>
      <w:szCs w:val="24"/>
    </w:rPr>
  </w:style>
  <w:style w:type="paragraph" w:styleId="a5">
    <w:name w:val="footer"/>
    <w:basedOn w:val="a"/>
    <w:link w:val="a6"/>
    <w:rsid w:val="00EB4489"/>
    <w:pPr>
      <w:tabs>
        <w:tab w:val="center" w:pos="4153"/>
        <w:tab w:val="right" w:pos="8306"/>
      </w:tabs>
    </w:pPr>
  </w:style>
  <w:style w:type="character" w:customStyle="1" w:styleId="a6">
    <w:name w:val="כותרת תחתונה תו"/>
    <w:link w:val="a5"/>
    <w:rsid w:val="00EB4489"/>
    <w:rPr>
      <w:rFonts w:ascii="Times New Roman" w:eastAsia="Times New Roman" w:hAnsi="Times New Roman" w:cs="David"/>
      <w:sz w:val="24"/>
      <w:szCs w:val="24"/>
    </w:rPr>
  </w:style>
  <w:style w:type="table" w:styleId="a7">
    <w:name w:val="Table Grid"/>
    <w:basedOn w:val="a1"/>
    <w:rsid w:val="00EB448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B4489"/>
  </w:style>
  <w:style w:type="paragraph" w:styleId="a9">
    <w:name w:val="List Paragraph"/>
    <w:basedOn w:val="a"/>
    <w:qFormat/>
    <w:rsid w:val="00EB4489"/>
    <w:pPr>
      <w:spacing w:after="160" w:line="256" w:lineRule="auto"/>
      <w:ind w:left="720"/>
      <w:contextualSpacing/>
    </w:pPr>
    <w:rPr>
      <w:rFonts w:ascii="Calibri" w:eastAsia="Calibri" w:hAnsi="Calibri" w:cs="Arial"/>
      <w:sz w:val="22"/>
      <w:szCs w:val="22"/>
    </w:rPr>
  </w:style>
  <w:style w:type="character" w:styleId="Hyperlink">
    <w:name w:val="Hyperlink"/>
    <w:rsid w:val="00EB4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911638" TargetMode="External"/><Relationship Id="rId18" Type="http://schemas.openxmlformats.org/officeDocument/2006/relationships/hyperlink" Target="http://www.nevo.co.il/case/27933514" TargetMode="External"/><Relationship Id="rId26" Type="http://schemas.openxmlformats.org/officeDocument/2006/relationships/hyperlink" Target="http://www.nevo.co.il/case/16913730" TargetMode="External"/><Relationship Id="rId3" Type="http://schemas.openxmlformats.org/officeDocument/2006/relationships/settings" Target="settings.xml"/><Relationship Id="rId21" Type="http://schemas.openxmlformats.org/officeDocument/2006/relationships/hyperlink" Target="http://www.nevo.co.il/case/28513828"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27894608" TargetMode="External"/><Relationship Id="rId17" Type="http://schemas.openxmlformats.org/officeDocument/2006/relationships/hyperlink" Target="http://www.nevo.co.il/case/5568354" TargetMode="External"/><Relationship Id="rId25" Type="http://schemas.openxmlformats.org/officeDocument/2006/relationships/hyperlink" Target="http://www.nevo.co.il/case/2691399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7305799" TargetMode="External"/><Relationship Id="rId20" Type="http://schemas.openxmlformats.org/officeDocument/2006/relationships/hyperlink" Target="http://www.nevo.co.il/law/7030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528737"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8452933" TargetMode="External"/><Relationship Id="rId23" Type="http://schemas.openxmlformats.org/officeDocument/2006/relationships/hyperlink" Target="http://www.nevo.co.il/case/27911638"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144.c"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c" TargetMode="External"/><Relationship Id="rId14" Type="http://schemas.openxmlformats.org/officeDocument/2006/relationships/hyperlink" Target="http://www.nevo.co.il/case/28152132" TargetMode="External"/><Relationship Id="rId22" Type="http://schemas.openxmlformats.org/officeDocument/2006/relationships/hyperlink" Target="http://www.nevo.co.il/case/27491153" TargetMode="External"/><Relationship Id="rId27" Type="http://schemas.openxmlformats.org/officeDocument/2006/relationships/hyperlink" Target="http://www.nevo.co.il/case/2851382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1873</Words>
  <Characters>9366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11217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3539061</vt:i4>
      </vt:variant>
      <vt:variant>
        <vt:i4>60</vt:i4>
      </vt:variant>
      <vt:variant>
        <vt:i4>0</vt:i4>
      </vt:variant>
      <vt:variant>
        <vt:i4>5</vt:i4>
      </vt:variant>
      <vt:variant>
        <vt:lpwstr>http://www.nevo.co.il/case/28513828</vt:lpwstr>
      </vt:variant>
      <vt:variant>
        <vt:lpwstr/>
      </vt:variant>
      <vt:variant>
        <vt:i4>3670132</vt:i4>
      </vt:variant>
      <vt:variant>
        <vt:i4>57</vt:i4>
      </vt:variant>
      <vt:variant>
        <vt:i4>0</vt:i4>
      </vt:variant>
      <vt:variant>
        <vt:i4>5</vt:i4>
      </vt:variant>
      <vt:variant>
        <vt:lpwstr>http://www.nevo.co.il/case/16913730</vt:lpwstr>
      </vt:variant>
      <vt:variant>
        <vt:lpwstr/>
      </vt:variant>
      <vt:variant>
        <vt:i4>3211386</vt:i4>
      </vt:variant>
      <vt:variant>
        <vt:i4>54</vt:i4>
      </vt:variant>
      <vt:variant>
        <vt:i4>0</vt:i4>
      </vt:variant>
      <vt:variant>
        <vt:i4>5</vt:i4>
      </vt:variant>
      <vt:variant>
        <vt:lpwstr>http://www.nevo.co.il/case/26913995</vt:lpwstr>
      </vt:variant>
      <vt:variant>
        <vt:lpwstr/>
      </vt:variant>
      <vt:variant>
        <vt:i4>3932276</vt:i4>
      </vt:variant>
      <vt:variant>
        <vt:i4>51</vt:i4>
      </vt:variant>
      <vt:variant>
        <vt:i4>0</vt:i4>
      </vt:variant>
      <vt:variant>
        <vt:i4>5</vt:i4>
      </vt:variant>
      <vt:variant>
        <vt:lpwstr>http://www.nevo.co.il/case/25528737</vt:lpwstr>
      </vt:variant>
      <vt:variant>
        <vt:lpwstr/>
      </vt:variant>
      <vt:variant>
        <vt:i4>3735668</vt:i4>
      </vt:variant>
      <vt:variant>
        <vt:i4>48</vt:i4>
      </vt:variant>
      <vt:variant>
        <vt:i4>0</vt:i4>
      </vt:variant>
      <vt:variant>
        <vt:i4>5</vt:i4>
      </vt:variant>
      <vt:variant>
        <vt:lpwstr>http://www.nevo.co.il/case/27911638</vt:lpwstr>
      </vt:variant>
      <vt:variant>
        <vt:lpwstr/>
      </vt:variant>
      <vt:variant>
        <vt:i4>3276923</vt:i4>
      </vt:variant>
      <vt:variant>
        <vt:i4>45</vt:i4>
      </vt:variant>
      <vt:variant>
        <vt:i4>0</vt:i4>
      </vt:variant>
      <vt:variant>
        <vt:i4>5</vt:i4>
      </vt:variant>
      <vt:variant>
        <vt:lpwstr>http://www.nevo.co.il/case/27491153</vt:lpwstr>
      </vt:variant>
      <vt:variant>
        <vt:lpwstr/>
      </vt:variant>
      <vt:variant>
        <vt:i4>3539061</vt:i4>
      </vt:variant>
      <vt:variant>
        <vt:i4>42</vt:i4>
      </vt:variant>
      <vt:variant>
        <vt:i4>0</vt:i4>
      </vt:variant>
      <vt:variant>
        <vt:i4>5</vt:i4>
      </vt:variant>
      <vt:variant>
        <vt:lpwstr>http://www.nevo.co.il/case/28513828</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http://www.nevo.co.il/law/70301/144.c</vt:lpwstr>
      </vt:variant>
      <vt:variant>
        <vt:lpwstr/>
      </vt:variant>
      <vt:variant>
        <vt:i4>3735669</vt:i4>
      </vt:variant>
      <vt:variant>
        <vt:i4>33</vt:i4>
      </vt:variant>
      <vt:variant>
        <vt:i4>0</vt:i4>
      </vt:variant>
      <vt:variant>
        <vt:i4>5</vt:i4>
      </vt:variant>
      <vt:variant>
        <vt:lpwstr>http://www.nevo.co.il/case/27933514</vt:lpwstr>
      </vt:variant>
      <vt:variant>
        <vt:lpwstr/>
      </vt:variant>
      <vt:variant>
        <vt:i4>3407996</vt:i4>
      </vt:variant>
      <vt:variant>
        <vt:i4>30</vt:i4>
      </vt:variant>
      <vt:variant>
        <vt:i4>0</vt:i4>
      </vt:variant>
      <vt:variant>
        <vt:i4>5</vt:i4>
      </vt:variant>
      <vt:variant>
        <vt:lpwstr>http://www.nevo.co.il/case/5568354</vt:lpwstr>
      </vt:variant>
      <vt:variant>
        <vt:lpwstr/>
      </vt:variant>
      <vt:variant>
        <vt:i4>3997812</vt:i4>
      </vt:variant>
      <vt:variant>
        <vt:i4>27</vt:i4>
      </vt:variant>
      <vt:variant>
        <vt:i4>0</vt:i4>
      </vt:variant>
      <vt:variant>
        <vt:i4>5</vt:i4>
      </vt:variant>
      <vt:variant>
        <vt:lpwstr>http://www.nevo.co.il/case/27305799</vt:lpwstr>
      </vt:variant>
      <vt:variant>
        <vt:lpwstr/>
      </vt:variant>
      <vt:variant>
        <vt:i4>3604592</vt:i4>
      </vt:variant>
      <vt:variant>
        <vt:i4>24</vt:i4>
      </vt:variant>
      <vt:variant>
        <vt:i4>0</vt:i4>
      </vt:variant>
      <vt:variant>
        <vt:i4>5</vt:i4>
      </vt:variant>
      <vt:variant>
        <vt:lpwstr>http://www.nevo.co.il/case/28452933</vt:lpwstr>
      </vt:variant>
      <vt:variant>
        <vt:lpwstr/>
      </vt:variant>
      <vt:variant>
        <vt:i4>3276920</vt:i4>
      </vt:variant>
      <vt:variant>
        <vt:i4>21</vt:i4>
      </vt:variant>
      <vt:variant>
        <vt:i4>0</vt:i4>
      </vt:variant>
      <vt:variant>
        <vt:i4>5</vt:i4>
      </vt:variant>
      <vt:variant>
        <vt:lpwstr>http://www.nevo.co.il/case/28152132</vt:lpwstr>
      </vt:variant>
      <vt:variant>
        <vt:lpwstr/>
      </vt:variant>
      <vt:variant>
        <vt:i4>3735668</vt:i4>
      </vt:variant>
      <vt:variant>
        <vt:i4>18</vt:i4>
      </vt:variant>
      <vt:variant>
        <vt:i4>0</vt:i4>
      </vt:variant>
      <vt:variant>
        <vt:i4>5</vt:i4>
      </vt:variant>
      <vt:variant>
        <vt:lpwstr>http://www.nevo.co.il/case/27911638</vt:lpwstr>
      </vt:variant>
      <vt:variant>
        <vt:lpwstr/>
      </vt:variant>
      <vt:variant>
        <vt:i4>4063356</vt:i4>
      </vt:variant>
      <vt:variant>
        <vt:i4>15</vt:i4>
      </vt:variant>
      <vt:variant>
        <vt:i4>0</vt:i4>
      </vt:variant>
      <vt:variant>
        <vt:i4>5</vt:i4>
      </vt:variant>
      <vt:variant>
        <vt:lpwstr>http://www.nevo.co.il/case/27894608</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2025-01-19T16:51:00Z</dcterms:created>
  <dcterms:modified xsi:type="dcterms:W3CDTF">2025-01-19T16:51:00Z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6968</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חמזה גאבר</vt:lpwstr>
  </property>
  <property fmtid="{D5CDD505-2E9C-101B-9397-08002B2CF9AE}" pid="10" name="JUDGE">
    <vt:lpwstr>מרב גרינברג</vt:lpwstr>
  </property>
  <property fmtid="{D5CDD505-2E9C-101B-9397-08002B2CF9AE}" pid="11" name="CITY">
    <vt:lpwstr>מרכז</vt:lpwstr>
  </property>
  <property fmtid="{D5CDD505-2E9C-101B-9397-08002B2CF9AE}" pid="12" name="DATE">
    <vt:lpwstr>20221020</vt:lpwstr>
  </property>
  <property fmtid="{D5CDD505-2E9C-101B-9397-08002B2CF9AE}" pid="13" name="TYPE_N_DATE">
    <vt:lpwstr>39020221020</vt:lpwstr>
  </property>
  <property fmtid="{D5CDD505-2E9C-101B-9397-08002B2CF9AE}" pid="14" name="WORDNUMPAGES">
    <vt:lpwstr>6</vt:lpwstr>
  </property>
  <property fmtid="{D5CDD505-2E9C-101B-9397-08002B2CF9AE}" pid="15" name="TYPE_ABS_DATE">
    <vt:lpwstr>390020221020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27894608;27911638:2;28152132;28452933;27305799;5568354;27933514;28513828:2;27491153;25528737;26913995;16913730</vt:lpwstr>
  </property>
  <property fmtid="{D5CDD505-2E9C-101B-9397-08002B2CF9AE}" pid="36" name="LAWLISTTMP1">
    <vt:lpwstr>70301/144.a;144.c</vt:lpwstr>
  </property>
</Properties>
</file>